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15.xml" ContentType="application/vnd.openxmlformats-officedocument.drawingml.chart+xml"/>
  <Override PartName="/word/theme/themeOverride2.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21.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theme/themeOverride5.xml" ContentType="application/vnd.openxmlformats-officedocument.themeOverride+xml"/>
  <Override PartName="/word/charts/chart40.xml" ContentType="application/vnd.openxmlformats-officedocument.drawingml.chart+xml"/>
  <Override PartName="/word/theme/themeOverride6.xml" ContentType="application/vnd.openxmlformats-officedocument.themeOverride+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theme/themeOverride7.xml" ContentType="application/vnd.openxmlformats-officedocument.themeOverride+xml"/>
  <Override PartName="/word/charts/chart44.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8.xml" ContentType="application/vnd.openxmlformats-officedocument.themeOverride+xml"/>
  <Override PartName="/word/charts/chart45.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9.xml" ContentType="application/vnd.openxmlformats-officedocument.themeOverride+xml"/>
  <Override PartName="/word/charts/chart46.xml" ContentType="application/vnd.openxmlformats-officedocument.drawingml.chart+xml"/>
  <Override PartName="/word/charts/chart47.xml" ContentType="application/vnd.openxmlformats-officedocument.drawingml.chart+xml"/>
  <Override PartName="/word/theme/themeOverride10.xml" ContentType="application/vnd.openxmlformats-officedocument.themeOverride+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1.xml" ContentType="application/vnd.openxmlformats-officedocument.themeOverride+xml"/>
  <Override PartName="/word/charts/chart56.xml" ContentType="application/vnd.openxmlformats-officedocument.drawingml.chart+xml"/>
  <Override PartName="/word/charts/chart57.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2.xml" ContentType="application/vnd.openxmlformats-officedocument.themeOverride+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3.xml" ContentType="application/vnd.openxmlformats-officedocument.themeOverride+xml"/>
  <Override PartName="/word/charts/chart61.xml" ContentType="application/vnd.openxmlformats-officedocument.drawingml.chart+xml"/>
  <Override PartName="/word/charts/chart6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63.xml" ContentType="application/vnd.openxmlformats-officedocument.drawingml.chart+xml"/>
  <Override PartName="/word/charts/chart6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6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6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6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68.xml" ContentType="application/vnd.openxmlformats-officedocument.drawingml.chart+xml"/>
  <Override PartName="/word/charts/chart69.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6.xml" ContentType="application/vnd.openxmlformats-officedocument.themeOverride+xml"/>
  <Override PartName="/word/charts/chart70.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7.xml" ContentType="application/vnd.openxmlformats-officedocument.themeOverride+xml"/>
  <Override PartName="/word/charts/chart71.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8.xml" ContentType="application/vnd.openxmlformats-officedocument.themeOverride+xml"/>
  <Override PartName="/word/charts/chart72.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9.xml" ContentType="application/vnd.openxmlformats-officedocument.themeOverride+xml"/>
  <Override PartName="/word/charts/chart73.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0.xml" ContentType="application/vnd.openxmlformats-officedocument.themeOverride+xml"/>
  <Override PartName="/word/charts/chart74.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1.xml" ContentType="application/vnd.openxmlformats-officedocument.themeOverride+xml"/>
  <Override PartName="/word/charts/chart75.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2.xml" ContentType="application/vnd.openxmlformats-officedocument.themeOverride+xml"/>
  <Override PartName="/word/charts/chart76.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3.xml" ContentType="application/vnd.openxmlformats-officedocument.themeOverride+xml"/>
  <Override PartName="/word/charts/chart77.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4.xml" ContentType="application/vnd.openxmlformats-officedocument.themeOverride+xml"/>
  <Override PartName="/word/charts/chart78.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5.xml" ContentType="application/vnd.openxmlformats-officedocument.themeOverride+xml"/>
  <Override PartName="/word/charts/chart79.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6.xml" ContentType="application/vnd.openxmlformats-officedocument.themeOverride+xml"/>
  <Override PartName="/word/charts/chart80.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7.xml" ContentType="application/vnd.openxmlformats-officedocument.themeOverride+xml"/>
  <Override PartName="/word/charts/chart81.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8.xml" ContentType="application/vnd.openxmlformats-officedocument.themeOverride+xml"/>
  <Override PartName="/word/charts/chart82.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9.xml" ContentType="application/vnd.openxmlformats-officedocument.themeOverride+xml"/>
  <Override PartName="/word/charts/chart83.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0.xml" ContentType="application/vnd.openxmlformats-officedocument.themeOverride+xml"/>
  <Override PartName="/word/charts/chart84.xml" ContentType="application/vnd.openxmlformats-officedocument.drawingml.chart+xml"/>
  <Override PartName="/word/theme/themeOverride31.xml" ContentType="application/vnd.openxmlformats-officedocument.themeOverride+xml"/>
  <Override PartName="/word/charts/chart85.xml" ContentType="application/vnd.openxmlformats-officedocument.drawingml.chart+xml"/>
  <Override PartName="/word/theme/themeOverride32.xml" ContentType="application/vnd.openxmlformats-officedocument.themeOverride+xml"/>
  <Override PartName="/word/charts/chart86.xml" ContentType="application/vnd.openxmlformats-officedocument.drawingml.chart+xml"/>
  <Override PartName="/word/theme/themeOverride33.xml" ContentType="application/vnd.openxmlformats-officedocument.themeOverride+xml"/>
  <Override PartName="/word/charts/chart87.xml" ContentType="application/vnd.openxmlformats-officedocument.drawingml.chart+xml"/>
  <Override PartName="/word/theme/themeOverride34.xml" ContentType="application/vnd.openxmlformats-officedocument.themeOverride+xml"/>
  <Override PartName="/word/charts/chart88.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5.xml" ContentType="application/vnd.openxmlformats-officedocument.themeOverride+xml"/>
  <Override PartName="/word/charts/chart89.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6.xml" ContentType="application/vnd.openxmlformats-officedocument.themeOverride+xml"/>
  <Override PartName="/word/charts/chart90.xml" ContentType="application/vnd.openxmlformats-officedocument.drawingml.chart+xml"/>
  <Override PartName="/word/theme/themeOverride37.xml" ContentType="application/vnd.openxmlformats-officedocument.themeOverride+xml"/>
  <Override PartName="/word/charts/chart91.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8.xml" ContentType="application/vnd.openxmlformats-officedocument.themeOverride+xml"/>
  <Override PartName="/word/charts/chart92.xml" ContentType="application/vnd.openxmlformats-officedocument.drawingml.chart+xml"/>
  <Override PartName="/word/theme/themeOverride39.xml" ContentType="application/vnd.openxmlformats-officedocument.themeOverride+xml"/>
  <Override PartName="/word/charts/chart93.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94.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95.xml" ContentType="application/vnd.openxmlformats-officedocument.drawingml.chart+xml"/>
  <Override PartName="/word/theme/themeOverride40.xml" ContentType="application/vnd.openxmlformats-officedocument.themeOverride+xml"/>
  <Override PartName="/word/charts/chart96.xml" ContentType="application/vnd.openxmlformats-officedocument.drawingml.chart+xml"/>
  <Override PartName="/word/drawings/drawing1.xml" ContentType="application/vnd.openxmlformats-officedocument.drawingml.chartshapes+xml"/>
  <Override PartName="/word/charts/chart97.xml" ContentType="application/vnd.openxmlformats-officedocument.drawingml.chart+xml"/>
  <Override PartName="/word/charts/chart98.xml" ContentType="application/vnd.openxmlformats-officedocument.drawingml.chart+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charts/chart99.xml" ContentType="application/vnd.openxmlformats-officedocument.drawingml.chart+xml"/>
  <Override PartName="/word/charts/chart100.xml" ContentType="application/vnd.openxmlformats-officedocument.drawingml.chart+xml"/>
  <Override PartName="/word/charts/chart101.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102.xml" ContentType="application/vnd.openxmlformats-officedocument.drawingml.chart+xml"/>
  <Override PartName="/word/charts/chart103.xml" ContentType="application/vnd.openxmlformats-officedocument.drawingml.chart+xml"/>
  <Override PartName="/word/charts/chart104.xml" ContentType="application/vnd.openxmlformats-officedocument.drawingml.chart+xml"/>
  <Override PartName="/word/theme/themeOverride41.xml" ContentType="application/vnd.openxmlformats-officedocument.themeOverride+xml"/>
  <Override PartName="/word/charts/chart105.xml" ContentType="application/vnd.openxmlformats-officedocument.drawingml.chart+xml"/>
  <Override PartName="/word/theme/themeOverride42.xml" ContentType="application/vnd.openxmlformats-officedocument.themeOverride+xml"/>
  <Override PartName="/word/charts/chart106.xml" ContentType="application/vnd.openxmlformats-officedocument.drawingml.chart+xml"/>
  <Override PartName="/word/theme/themeOverride43.xml" ContentType="application/vnd.openxmlformats-officedocument.themeOverride+xml"/>
  <Override PartName="/word/charts/chart107.xml" ContentType="application/vnd.openxmlformats-officedocument.drawingml.chart+xml"/>
  <Override PartName="/word/theme/themeOverride44.xml" ContentType="application/vnd.openxmlformats-officedocument.themeOverride+xml"/>
  <Override PartName="/word/charts/chart108.xml" ContentType="application/vnd.openxmlformats-officedocument.drawingml.chart+xml"/>
  <Override PartName="/word/theme/themeOverride45.xml" ContentType="application/vnd.openxmlformats-officedocument.themeOverride+xml"/>
  <Override PartName="/word/charts/chart109.xml" ContentType="application/vnd.openxmlformats-officedocument.drawingml.chart+xml"/>
  <Override PartName="/word/theme/themeOverride46.xml" ContentType="application/vnd.openxmlformats-officedocument.themeOverride+xml"/>
  <Override PartName="/word/charts/chart110.xml" ContentType="application/vnd.openxmlformats-officedocument.drawingml.chart+xml"/>
  <Override PartName="/word/theme/themeOverride47.xml" ContentType="application/vnd.openxmlformats-officedocument.themeOverride+xml"/>
  <Override PartName="/word/charts/chart111.xml" ContentType="application/vnd.openxmlformats-officedocument.drawingml.chart+xml"/>
  <Override PartName="/word/theme/themeOverride48.xml" ContentType="application/vnd.openxmlformats-officedocument.themeOverride+xml"/>
  <Override PartName="/word/charts/chart112.xml" ContentType="application/vnd.openxmlformats-officedocument.drawingml.chart+xml"/>
  <Override PartName="/word/theme/themeOverride49.xml" ContentType="application/vnd.openxmlformats-officedocument.themeOverride+xml"/>
  <Override PartName="/word/charts/chart113.xml" ContentType="application/vnd.openxmlformats-officedocument.drawingml.chart+xml"/>
  <Override PartName="/word/theme/themeOverride50.xml" ContentType="application/vnd.openxmlformats-officedocument.themeOverride+xml"/>
  <Override PartName="/word/charts/chart114.xml" ContentType="application/vnd.openxmlformats-officedocument.drawingml.chart+xml"/>
  <Override PartName="/word/charts/chart115.xml" ContentType="application/vnd.openxmlformats-officedocument.drawingml.chart+xml"/>
  <Override PartName="/word/charts/chart116.xml" ContentType="application/vnd.openxmlformats-officedocument.drawingml.chart+xml"/>
  <Override PartName="/word/charts/chart117.xml" ContentType="application/vnd.openxmlformats-officedocument.drawingml.chart+xml"/>
  <Override PartName="/word/charts/chart118.xml" ContentType="application/vnd.openxmlformats-officedocument.drawingml.chart+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FFC388" w14:textId="77777777" w:rsidR="00512EDF" w:rsidRDefault="00977233" w:rsidP="00512EDF">
      <w:pPr>
        <w:jc w:val="right"/>
        <w:rPr>
          <w:bCs/>
          <w:sz w:val="20"/>
          <w:szCs w:val="20"/>
        </w:rPr>
      </w:pPr>
      <w:r w:rsidRPr="009F7F19">
        <w:rPr>
          <w:sz w:val="20"/>
          <w:szCs w:val="20"/>
        </w:rPr>
        <w:t xml:space="preserve">Załącznik do rozporządzenia Ministra Infrastruktury </w:t>
      </w:r>
    </w:p>
    <w:p w14:paraId="33DA2FCF" w14:textId="26395A10" w:rsidR="00977233" w:rsidRPr="009F7F19" w:rsidRDefault="00977233" w:rsidP="009F7F19">
      <w:pPr>
        <w:jc w:val="right"/>
        <w:rPr>
          <w:sz w:val="20"/>
          <w:szCs w:val="20"/>
        </w:rPr>
      </w:pPr>
      <w:r w:rsidRPr="009F7F19">
        <w:rPr>
          <w:sz w:val="20"/>
          <w:szCs w:val="20"/>
        </w:rPr>
        <w:t>z dnia ……. 2022 r. (Dz. U. poz. ...)</w:t>
      </w:r>
    </w:p>
    <w:p w14:paraId="5468E812" w14:textId="77777777" w:rsidR="00977233" w:rsidRPr="008368C5" w:rsidRDefault="00977233" w:rsidP="00977233"/>
    <w:p w14:paraId="579BEC81" w14:textId="77777777" w:rsidR="00977233" w:rsidRPr="008368C5" w:rsidRDefault="00977233" w:rsidP="00977233"/>
    <w:p w14:paraId="13CCF545" w14:textId="77777777" w:rsidR="00977233" w:rsidRPr="008368C5" w:rsidRDefault="00977233" w:rsidP="00977233"/>
    <w:p w14:paraId="38EA1AD4" w14:textId="77777777" w:rsidR="00977233" w:rsidRPr="008368C5" w:rsidRDefault="00977233" w:rsidP="00977233"/>
    <w:p w14:paraId="08140ACA" w14:textId="77777777" w:rsidR="00977233" w:rsidRPr="008368C5" w:rsidRDefault="00977233" w:rsidP="00977233"/>
    <w:p w14:paraId="03EE9DB6" w14:textId="77777777" w:rsidR="00977233" w:rsidRPr="008368C5" w:rsidRDefault="00977233" w:rsidP="00977233"/>
    <w:p w14:paraId="7424F6AD" w14:textId="77777777" w:rsidR="00977233" w:rsidRPr="008368C5" w:rsidRDefault="00977233" w:rsidP="00977233"/>
    <w:p w14:paraId="49184774" w14:textId="77777777" w:rsidR="00977233" w:rsidRPr="00EE462B" w:rsidRDefault="00977233" w:rsidP="00977233"/>
    <w:p w14:paraId="3A58D1F1" w14:textId="1B144087" w:rsidR="006B2425" w:rsidRPr="00795F17" w:rsidRDefault="00512EDF" w:rsidP="00A22ED2">
      <w:pPr>
        <w:pStyle w:val="Tytuzaacznika"/>
      </w:pPr>
      <w:bookmarkStart w:id="0" w:name="_Toc54269562"/>
      <w:bookmarkStart w:id="1" w:name="_Toc55815266"/>
      <w:bookmarkStart w:id="2" w:name="_Toc55856422"/>
      <w:bookmarkStart w:id="3" w:name="_Ref21946801"/>
      <w:bookmarkStart w:id="4" w:name="_Toc41490131"/>
      <w:bookmarkStart w:id="5" w:name="_Toc46317393"/>
      <w:bookmarkStart w:id="6" w:name="_Hlk21895310"/>
      <w:r>
        <w:t>Plan</w:t>
      </w:r>
      <w:r w:rsidR="006B2425" w:rsidRPr="00795F17">
        <w:t xml:space="preserve"> gospodarowania wodami na obszarze dorzecza Odry</w:t>
      </w:r>
      <w:bookmarkEnd w:id="0"/>
      <w:bookmarkEnd w:id="1"/>
      <w:bookmarkEnd w:id="2"/>
    </w:p>
    <w:p w14:paraId="1BC64924" w14:textId="77777777" w:rsidR="001C2F69" w:rsidRPr="00EE462B" w:rsidRDefault="001C2F69" w:rsidP="001C2F69"/>
    <w:p w14:paraId="0C84EF44" w14:textId="77777777" w:rsidR="0068028D" w:rsidRPr="00795F17" w:rsidRDefault="0068028D" w:rsidP="0044393D">
      <w:pPr>
        <w:sectPr w:rsidR="0068028D" w:rsidRPr="00795F17" w:rsidSect="00AC6047">
          <w:headerReference w:type="default" r:id="rId12"/>
          <w:footerReference w:type="default" r:id="rId13"/>
          <w:footerReference w:type="first" r:id="rId14"/>
          <w:pgSz w:w="11906" w:h="16838" w:code="9"/>
          <w:pgMar w:top="1417" w:right="1417" w:bottom="1417" w:left="1417" w:header="708" w:footer="708" w:gutter="0"/>
          <w:cols w:space="708"/>
          <w:titlePg/>
          <w:docGrid w:linePitch="360"/>
        </w:sectPr>
      </w:pPr>
      <w:bookmarkStart w:id="7" w:name="_GoBack"/>
      <w:bookmarkEnd w:id="7"/>
    </w:p>
    <w:p w14:paraId="444E283B" w14:textId="77777777" w:rsidR="006B2425" w:rsidRPr="00795F17" w:rsidRDefault="006B2425" w:rsidP="0044393D">
      <w:pPr>
        <w:pStyle w:val="Tytu"/>
      </w:pPr>
      <w:r w:rsidRPr="00795F17">
        <w:lastRenderedPageBreak/>
        <w:t>Spis treści</w:t>
      </w:r>
    </w:p>
    <w:sdt>
      <w:sdtPr>
        <w:id w:val="-1677958238"/>
        <w:docPartObj>
          <w:docPartGallery w:val="Table of Contents"/>
          <w:docPartUnique/>
        </w:docPartObj>
      </w:sdtPr>
      <w:sdtEndPr/>
      <w:sdtContent>
        <w:p w14:paraId="42E09BF3" w14:textId="3C928D95" w:rsidR="00DD4ADF" w:rsidRDefault="00F35232">
          <w:pPr>
            <w:pStyle w:val="Spistreci1"/>
            <w:rPr>
              <w:rFonts w:asciiTheme="minorHAnsi" w:eastAsiaTheme="minorEastAsia" w:hAnsiTheme="minorHAnsi" w:cstheme="minorBidi"/>
              <w:b w:val="0"/>
              <w:smallCaps w:val="0"/>
              <w:sz w:val="22"/>
              <w:szCs w:val="22"/>
              <w:lang w:eastAsia="pl-PL"/>
            </w:rPr>
          </w:pPr>
          <w:r w:rsidRPr="00795F17">
            <w:fldChar w:fldCharType="begin"/>
          </w:r>
          <w:r w:rsidRPr="00795F17">
            <w:instrText xml:space="preserve"> TOC \h \z \u \t "Nagłówek 1;1;Nagłówek 2;2;Nagłówek 3;3" </w:instrText>
          </w:r>
          <w:r w:rsidRPr="00795F17">
            <w:fldChar w:fldCharType="separate"/>
          </w:r>
          <w:hyperlink w:anchor="_Toc105512625" w:history="1">
            <w:r w:rsidR="00DD4ADF" w:rsidRPr="00B47543">
              <w:rPr>
                <w:rStyle w:val="Hipercze"/>
              </w:rPr>
              <w:t>1.</w:t>
            </w:r>
            <w:r w:rsidR="00DD4ADF">
              <w:rPr>
                <w:rFonts w:asciiTheme="minorHAnsi" w:eastAsiaTheme="minorEastAsia" w:hAnsiTheme="minorHAnsi" w:cstheme="minorBidi"/>
                <w:b w:val="0"/>
                <w:smallCaps w:val="0"/>
                <w:sz w:val="22"/>
                <w:szCs w:val="22"/>
                <w:lang w:eastAsia="pl-PL"/>
              </w:rPr>
              <w:tab/>
            </w:r>
            <w:r w:rsidR="00DD4ADF" w:rsidRPr="00B47543">
              <w:rPr>
                <w:rStyle w:val="Hipercze"/>
              </w:rPr>
              <w:t>Wprowadzenie</w:t>
            </w:r>
            <w:r w:rsidR="00DD4ADF">
              <w:rPr>
                <w:webHidden/>
              </w:rPr>
              <w:tab/>
            </w:r>
            <w:r w:rsidR="00DD4ADF">
              <w:rPr>
                <w:webHidden/>
              </w:rPr>
              <w:fldChar w:fldCharType="begin"/>
            </w:r>
            <w:r w:rsidR="00DD4ADF">
              <w:rPr>
                <w:webHidden/>
              </w:rPr>
              <w:instrText xml:space="preserve"> PAGEREF _Toc105512625 \h </w:instrText>
            </w:r>
            <w:r w:rsidR="00DD4ADF">
              <w:rPr>
                <w:webHidden/>
              </w:rPr>
            </w:r>
            <w:r w:rsidR="00DD4ADF">
              <w:rPr>
                <w:webHidden/>
              </w:rPr>
              <w:fldChar w:fldCharType="separate"/>
            </w:r>
            <w:r w:rsidR="001F774D">
              <w:rPr>
                <w:webHidden/>
              </w:rPr>
              <w:t>24</w:t>
            </w:r>
            <w:r w:rsidR="00DD4ADF">
              <w:rPr>
                <w:webHidden/>
              </w:rPr>
              <w:fldChar w:fldCharType="end"/>
            </w:r>
          </w:hyperlink>
        </w:p>
        <w:p w14:paraId="3DCB9404" w14:textId="3FEBD967" w:rsidR="00DD4ADF" w:rsidRDefault="009C595A">
          <w:pPr>
            <w:pStyle w:val="Spistreci1"/>
            <w:rPr>
              <w:rFonts w:asciiTheme="minorHAnsi" w:eastAsiaTheme="minorEastAsia" w:hAnsiTheme="minorHAnsi" w:cstheme="minorBidi"/>
              <w:b w:val="0"/>
              <w:smallCaps w:val="0"/>
              <w:sz w:val="22"/>
              <w:szCs w:val="22"/>
              <w:lang w:eastAsia="pl-PL"/>
            </w:rPr>
          </w:pPr>
          <w:hyperlink w:anchor="_Toc105512626" w:history="1">
            <w:r w:rsidR="00DD4ADF" w:rsidRPr="00B47543">
              <w:rPr>
                <w:rStyle w:val="Hipercze"/>
              </w:rPr>
              <w:t>2.</w:t>
            </w:r>
            <w:r w:rsidR="00DD4ADF">
              <w:rPr>
                <w:rFonts w:asciiTheme="minorHAnsi" w:eastAsiaTheme="minorEastAsia" w:hAnsiTheme="minorHAnsi" w:cstheme="minorBidi"/>
                <w:b w:val="0"/>
                <w:smallCaps w:val="0"/>
                <w:sz w:val="22"/>
                <w:szCs w:val="22"/>
                <w:lang w:eastAsia="pl-PL"/>
              </w:rPr>
              <w:tab/>
            </w:r>
            <w:r w:rsidR="00DD4ADF" w:rsidRPr="00B47543">
              <w:rPr>
                <w:rStyle w:val="Hipercze"/>
              </w:rPr>
              <w:t>Struktura dokumentu</w:t>
            </w:r>
            <w:r w:rsidR="00DD4ADF">
              <w:rPr>
                <w:webHidden/>
              </w:rPr>
              <w:tab/>
            </w:r>
            <w:r w:rsidR="00DD4ADF">
              <w:rPr>
                <w:webHidden/>
              </w:rPr>
              <w:fldChar w:fldCharType="begin"/>
            </w:r>
            <w:r w:rsidR="00DD4ADF">
              <w:rPr>
                <w:webHidden/>
              </w:rPr>
              <w:instrText xml:space="preserve"> PAGEREF _Toc105512626 \h </w:instrText>
            </w:r>
            <w:r w:rsidR="00DD4ADF">
              <w:rPr>
                <w:webHidden/>
              </w:rPr>
            </w:r>
            <w:r w:rsidR="00DD4ADF">
              <w:rPr>
                <w:webHidden/>
              </w:rPr>
              <w:fldChar w:fldCharType="separate"/>
            </w:r>
            <w:r w:rsidR="001F774D">
              <w:rPr>
                <w:webHidden/>
              </w:rPr>
              <w:t>26</w:t>
            </w:r>
            <w:r w:rsidR="00DD4ADF">
              <w:rPr>
                <w:webHidden/>
              </w:rPr>
              <w:fldChar w:fldCharType="end"/>
            </w:r>
          </w:hyperlink>
        </w:p>
        <w:p w14:paraId="45FA3605" w14:textId="216AA3CA" w:rsidR="00DD4ADF" w:rsidRDefault="009C595A">
          <w:pPr>
            <w:pStyle w:val="Spistreci1"/>
            <w:rPr>
              <w:rFonts w:asciiTheme="minorHAnsi" w:eastAsiaTheme="minorEastAsia" w:hAnsiTheme="minorHAnsi" w:cstheme="minorBidi"/>
              <w:b w:val="0"/>
              <w:smallCaps w:val="0"/>
              <w:sz w:val="22"/>
              <w:szCs w:val="22"/>
              <w:lang w:eastAsia="pl-PL"/>
            </w:rPr>
          </w:pPr>
          <w:hyperlink w:anchor="_Toc105512627" w:history="1">
            <w:r w:rsidR="00DD4ADF" w:rsidRPr="00B47543">
              <w:rPr>
                <w:rStyle w:val="Hipercze"/>
              </w:rPr>
              <w:t>3.</w:t>
            </w:r>
            <w:r w:rsidR="00DD4ADF">
              <w:rPr>
                <w:rFonts w:asciiTheme="minorHAnsi" w:eastAsiaTheme="minorEastAsia" w:hAnsiTheme="minorHAnsi" w:cstheme="minorBidi"/>
                <w:b w:val="0"/>
                <w:smallCaps w:val="0"/>
                <w:sz w:val="22"/>
                <w:szCs w:val="22"/>
                <w:lang w:eastAsia="pl-PL"/>
              </w:rPr>
              <w:tab/>
            </w:r>
            <w:r w:rsidR="00DD4ADF" w:rsidRPr="00B47543">
              <w:rPr>
                <w:rStyle w:val="Hipercze"/>
              </w:rPr>
              <w:t>Ogólny opis cech charakterystycznych obszaru dorzecza wraz z wykazem obszarów chronionych</w:t>
            </w:r>
            <w:r w:rsidR="00DD4ADF">
              <w:rPr>
                <w:webHidden/>
              </w:rPr>
              <w:tab/>
            </w:r>
            <w:r w:rsidR="00DD4ADF">
              <w:rPr>
                <w:webHidden/>
              </w:rPr>
              <w:fldChar w:fldCharType="begin"/>
            </w:r>
            <w:r w:rsidR="00DD4ADF">
              <w:rPr>
                <w:webHidden/>
              </w:rPr>
              <w:instrText xml:space="preserve"> PAGEREF _Toc105512627 \h </w:instrText>
            </w:r>
            <w:r w:rsidR="00DD4ADF">
              <w:rPr>
                <w:webHidden/>
              </w:rPr>
            </w:r>
            <w:r w:rsidR="00DD4ADF">
              <w:rPr>
                <w:webHidden/>
              </w:rPr>
              <w:fldChar w:fldCharType="separate"/>
            </w:r>
            <w:r w:rsidR="001F774D">
              <w:rPr>
                <w:webHidden/>
              </w:rPr>
              <w:t>29</w:t>
            </w:r>
            <w:r w:rsidR="00DD4ADF">
              <w:rPr>
                <w:webHidden/>
              </w:rPr>
              <w:fldChar w:fldCharType="end"/>
            </w:r>
          </w:hyperlink>
        </w:p>
        <w:p w14:paraId="2AF72C1E" w14:textId="2D472B20" w:rsidR="00DD4ADF" w:rsidRDefault="009C595A">
          <w:pPr>
            <w:pStyle w:val="Spistreci2"/>
            <w:rPr>
              <w:rFonts w:asciiTheme="minorHAnsi" w:eastAsiaTheme="minorEastAsia" w:hAnsiTheme="minorHAnsi" w:cstheme="minorBidi"/>
              <w:sz w:val="22"/>
              <w:szCs w:val="22"/>
              <w:lang w:eastAsia="pl-PL"/>
            </w:rPr>
          </w:pPr>
          <w:hyperlink w:anchor="_Toc105512628" w:history="1">
            <w:r w:rsidR="00DD4ADF" w:rsidRPr="00B47543">
              <w:rPr>
                <w:rStyle w:val="Hipercze"/>
              </w:rPr>
              <w:t>3.1.</w:t>
            </w:r>
            <w:r w:rsidR="00DD4ADF">
              <w:rPr>
                <w:rFonts w:asciiTheme="minorHAnsi" w:eastAsiaTheme="minorEastAsia" w:hAnsiTheme="minorHAnsi" w:cstheme="minorBidi"/>
                <w:sz w:val="22"/>
                <w:szCs w:val="22"/>
                <w:lang w:eastAsia="pl-PL"/>
              </w:rPr>
              <w:tab/>
            </w:r>
            <w:r w:rsidR="00DD4ADF" w:rsidRPr="00B47543">
              <w:rPr>
                <w:rStyle w:val="Hipercze"/>
              </w:rPr>
              <w:t>Wykaz JCWP wraz z podaniem ich typów i ustalonych warunków referencyjnych oraz statusu</w:t>
            </w:r>
            <w:r w:rsidR="00DD4ADF">
              <w:rPr>
                <w:webHidden/>
              </w:rPr>
              <w:tab/>
            </w:r>
            <w:r w:rsidR="00DD4ADF">
              <w:rPr>
                <w:webHidden/>
              </w:rPr>
              <w:fldChar w:fldCharType="begin"/>
            </w:r>
            <w:r w:rsidR="00DD4ADF">
              <w:rPr>
                <w:webHidden/>
              </w:rPr>
              <w:instrText xml:space="preserve"> PAGEREF _Toc105512628 \h </w:instrText>
            </w:r>
            <w:r w:rsidR="00DD4ADF">
              <w:rPr>
                <w:webHidden/>
              </w:rPr>
            </w:r>
            <w:r w:rsidR="00DD4ADF">
              <w:rPr>
                <w:webHidden/>
              </w:rPr>
              <w:fldChar w:fldCharType="separate"/>
            </w:r>
            <w:r w:rsidR="001F774D">
              <w:rPr>
                <w:webHidden/>
              </w:rPr>
              <w:t>39</w:t>
            </w:r>
            <w:r w:rsidR="00DD4ADF">
              <w:rPr>
                <w:webHidden/>
              </w:rPr>
              <w:fldChar w:fldCharType="end"/>
            </w:r>
          </w:hyperlink>
        </w:p>
        <w:p w14:paraId="67644D9E" w14:textId="5BD88EFD" w:rsidR="00DD4ADF" w:rsidRDefault="009C595A">
          <w:pPr>
            <w:pStyle w:val="Spistreci3"/>
            <w:rPr>
              <w:rFonts w:asciiTheme="minorHAnsi" w:eastAsiaTheme="minorEastAsia" w:hAnsiTheme="minorHAnsi" w:cstheme="minorBidi"/>
              <w:i w:val="0"/>
              <w:sz w:val="22"/>
              <w:szCs w:val="22"/>
              <w:lang w:eastAsia="pl-PL"/>
            </w:rPr>
          </w:pPr>
          <w:hyperlink w:anchor="_Toc105512629" w:history="1">
            <w:r w:rsidR="00DD4ADF" w:rsidRPr="00B47543">
              <w:rPr>
                <w:rStyle w:val="Hipercze"/>
              </w:rPr>
              <w:t>3.1.1.</w:t>
            </w:r>
            <w:r w:rsidR="00DD4ADF">
              <w:rPr>
                <w:rFonts w:asciiTheme="minorHAnsi" w:eastAsiaTheme="minorEastAsia" w:hAnsiTheme="minorHAnsi" w:cstheme="minorBidi"/>
                <w:i w:val="0"/>
                <w:sz w:val="22"/>
                <w:szCs w:val="22"/>
                <w:lang w:eastAsia="pl-PL"/>
              </w:rPr>
              <w:tab/>
            </w:r>
            <w:r w:rsidR="00DD4ADF" w:rsidRPr="00B47543">
              <w:rPr>
                <w:rStyle w:val="Hipercze"/>
              </w:rPr>
              <w:t>Typologia JCWP</w:t>
            </w:r>
            <w:r w:rsidR="00DD4ADF">
              <w:rPr>
                <w:webHidden/>
              </w:rPr>
              <w:tab/>
            </w:r>
            <w:r w:rsidR="00DD4ADF">
              <w:rPr>
                <w:webHidden/>
              </w:rPr>
              <w:fldChar w:fldCharType="begin"/>
            </w:r>
            <w:r w:rsidR="00DD4ADF">
              <w:rPr>
                <w:webHidden/>
              </w:rPr>
              <w:instrText xml:space="preserve"> PAGEREF _Toc105512629 \h </w:instrText>
            </w:r>
            <w:r w:rsidR="00DD4ADF">
              <w:rPr>
                <w:webHidden/>
              </w:rPr>
            </w:r>
            <w:r w:rsidR="00DD4ADF">
              <w:rPr>
                <w:webHidden/>
              </w:rPr>
              <w:fldChar w:fldCharType="separate"/>
            </w:r>
            <w:r w:rsidR="001F774D">
              <w:rPr>
                <w:webHidden/>
              </w:rPr>
              <w:t>41</w:t>
            </w:r>
            <w:r w:rsidR="00DD4ADF">
              <w:rPr>
                <w:webHidden/>
              </w:rPr>
              <w:fldChar w:fldCharType="end"/>
            </w:r>
          </w:hyperlink>
        </w:p>
        <w:p w14:paraId="0E02949F" w14:textId="23DD574F" w:rsidR="00DD4ADF" w:rsidRDefault="009C595A">
          <w:pPr>
            <w:pStyle w:val="Spistreci3"/>
            <w:rPr>
              <w:rFonts w:asciiTheme="minorHAnsi" w:eastAsiaTheme="minorEastAsia" w:hAnsiTheme="minorHAnsi" w:cstheme="minorBidi"/>
              <w:i w:val="0"/>
              <w:sz w:val="22"/>
              <w:szCs w:val="22"/>
              <w:lang w:eastAsia="pl-PL"/>
            </w:rPr>
          </w:pPr>
          <w:hyperlink w:anchor="_Toc105512630" w:history="1">
            <w:r w:rsidR="00DD4ADF" w:rsidRPr="00B47543">
              <w:rPr>
                <w:rStyle w:val="Hipercze"/>
              </w:rPr>
              <w:t>3.1.2.</w:t>
            </w:r>
            <w:r w:rsidR="00DD4ADF">
              <w:rPr>
                <w:rFonts w:asciiTheme="minorHAnsi" w:eastAsiaTheme="minorEastAsia" w:hAnsiTheme="minorHAnsi" w:cstheme="minorBidi"/>
                <w:i w:val="0"/>
                <w:sz w:val="22"/>
                <w:szCs w:val="22"/>
                <w:lang w:eastAsia="pl-PL"/>
              </w:rPr>
              <w:tab/>
            </w:r>
            <w:r w:rsidR="00DD4ADF" w:rsidRPr="00B47543">
              <w:rPr>
                <w:rStyle w:val="Hipercze"/>
              </w:rPr>
              <w:t>Status JCWP</w:t>
            </w:r>
            <w:r w:rsidR="00DD4ADF">
              <w:rPr>
                <w:webHidden/>
              </w:rPr>
              <w:tab/>
            </w:r>
            <w:r w:rsidR="00DD4ADF">
              <w:rPr>
                <w:webHidden/>
              </w:rPr>
              <w:fldChar w:fldCharType="begin"/>
            </w:r>
            <w:r w:rsidR="00DD4ADF">
              <w:rPr>
                <w:webHidden/>
              </w:rPr>
              <w:instrText xml:space="preserve"> PAGEREF _Toc105512630 \h </w:instrText>
            </w:r>
            <w:r w:rsidR="00DD4ADF">
              <w:rPr>
                <w:webHidden/>
              </w:rPr>
            </w:r>
            <w:r w:rsidR="00DD4ADF">
              <w:rPr>
                <w:webHidden/>
              </w:rPr>
              <w:fldChar w:fldCharType="separate"/>
            </w:r>
            <w:r w:rsidR="001F774D">
              <w:rPr>
                <w:webHidden/>
              </w:rPr>
              <w:t>44</w:t>
            </w:r>
            <w:r w:rsidR="00DD4ADF">
              <w:rPr>
                <w:webHidden/>
              </w:rPr>
              <w:fldChar w:fldCharType="end"/>
            </w:r>
          </w:hyperlink>
        </w:p>
        <w:p w14:paraId="140C52A9" w14:textId="15F63269" w:rsidR="00DD4ADF" w:rsidRDefault="009C595A">
          <w:pPr>
            <w:pStyle w:val="Spistreci2"/>
            <w:rPr>
              <w:rFonts w:asciiTheme="minorHAnsi" w:eastAsiaTheme="minorEastAsia" w:hAnsiTheme="minorHAnsi" w:cstheme="minorBidi"/>
              <w:sz w:val="22"/>
              <w:szCs w:val="22"/>
              <w:lang w:eastAsia="pl-PL"/>
            </w:rPr>
          </w:pPr>
          <w:hyperlink w:anchor="_Toc105512631" w:history="1">
            <w:r w:rsidR="00DD4ADF" w:rsidRPr="00B47543">
              <w:rPr>
                <w:rStyle w:val="Hipercze"/>
              </w:rPr>
              <w:t>3.2.</w:t>
            </w:r>
            <w:r w:rsidR="00DD4ADF">
              <w:rPr>
                <w:rFonts w:asciiTheme="minorHAnsi" w:eastAsiaTheme="minorEastAsia" w:hAnsiTheme="minorHAnsi" w:cstheme="minorBidi"/>
                <w:sz w:val="22"/>
                <w:szCs w:val="22"/>
                <w:lang w:eastAsia="pl-PL"/>
              </w:rPr>
              <w:tab/>
            </w:r>
            <w:r w:rsidR="00DD4ADF" w:rsidRPr="00B47543">
              <w:rPr>
                <w:rStyle w:val="Hipercze"/>
              </w:rPr>
              <w:t>Wykaz JCWPd</w:t>
            </w:r>
            <w:r w:rsidR="00DD4ADF">
              <w:rPr>
                <w:webHidden/>
              </w:rPr>
              <w:tab/>
            </w:r>
            <w:r w:rsidR="00DD4ADF">
              <w:rPr>
                <w:webHidden/>
              </w:rPr>
              <w:fldChar w:fldCharType="begin"/>
            </w:r>
            <w:r w:rsidR="00DD4ADF">
              <w:rPr>
                <w:webHidden/>
              </w:rPr>
              <w:instrText xml:space="preserve"> PAGEREF _Toc105512631 \h </w:instrText>
            </w:r>
            <w:r w:rsidR="00DD4ADF">
              <w:rPr>
                <w:webHidden/>
              </w:rPr>
            </w:r>
            <w:r w:rsidR="00DD4ADF">
              <w:rPr>
                <w:webHidden/>
              </w:rPr>
              <w:fldChar w:fldCharType="separate"/>
            </w:r>
            <w:r w:rsidR="001F774D">
              <w:rPr>
                <w:webHidden/>
              </w:rPr>
              <w:t>47</w:t>
            </w:r>
            <w:r w:rsidR="00DD4ADF">
              <w:rPr>
                <w:webHidden/>
              </w:rPr>
              <w:fldChar w:fldCharType="end"/>
            </w:r>
          </w:hyperlink>
        </w:p>
        <w:p w14:paraId="37CBC808" w14:textId="197CDF61" w:rsidR="00DD4ADF" w:rsidRDefault="009C595A">
          <w:pPr>
            <w:pStyle w:val="Spistreci2"/>
            <w:rPr>
              <w:rFonts w:asciiTheme="minorHAnsi" w:eastAsiaTheme="minorEastAsia" w:hAnsiTheme="minorHAnsi" w:cstheme="minorBidi"/>
              <w:sz w:val="22"/>
              <w:szCs w:val="22"/>
              <w:lang w:eastAsia="pl-PL"/>
            </w:rPr>
          </w:pPr>
          <w:hyperlink w:anchor="_Toc105512632" w:history="1">
            <w:r w:rsidR="00DD4ADF" w:rsidRPr="00B47543">
              <w:rPr>
                <w:rStyle w:val="Hipercze"/>
              </w:rPr>
              <w:t>3.3.</w:t>
            </w:r>
            <w:r w:rsidR="00DD4ADF">
              <w:rPr>
                <w:rFonts w:asciiTheme="minorHAnsi" w:eastAsiaTheme="minorEastAsia" w:hAnsiTheme="minorHAnsi" w:cstheme="minorBidi"/>
                <w:sz w:val="22"/>
                <w:szCs w:val="22"/>
                <w:lang w:eastAsia="pl-PL"/>
              </w:rPr>
              <w:tab/>
            </w:r>
            <w:r w:rsidR="00DD4ADF" w:rsidRPr="00B47543">
              <w:rPr>
                <w:rStyle w:val="Hipercze"/>
              </w:rPr>
              <w:t>Wykaz obszarów chronionych, o których mowa w art. 317 ust. 4  ustawy – Prawo wodne</w:t>
            </w:r>
            <w:r w:rsidR="00DD4ADF">
              <w:rPr>
                <w:webHidden/>
              </w:rPr>
              <w:tab/>
            </w:r>
            <w:r w:rsidR="00DD4ADF">
              <w:rPr>
                <w:webHidden/>
              </w:rPr>
              <w:fldChar w:fldCharType="begin"/>
            </w:r>
            <w:r w:rsidR="00DD4ADF">
              <w:rPr>
                <w:webHidden/>
              </w:rPr>
              <w:instrText xml:space="preserve"> PAGEREF _Toc105512632 \h </w:instrText>
            </w:r>
            <w:r w:rsidR="00DD4ADF">
              <w:rPr>
                <w:webHidden/>
              </w:rPr>
            </w:r>
            <w:r w:rsidR="00DD4ADF">
              <w:rPr>
                <w:webHidden/>
              </w:rPr>
              <w:fldChar w:fldCharType="separate"/>
            </w:r>
            <w:r w:rsidR="001F774D">
              <w:rPr>
                <w:webHidden/>
              </w:rPr>
              <w:t>52</w:t>
            </w:r>
            <w:r w:rsidR="00DD4ADF">
              <w:rPr>
                <w:webHidden/>
              </w:rPr>
              <w:fldChar w:fldCharType="end"/>
            </w:r>
          </w:hyperlink>
        </w:p>
        <w:p w14:paraId="1FC59BF2" w14:textId="16D8CF37" w:rsidR="00DD4ADF" w:rsidRDefault="009C595A">
          <w:pPr>
            <w:pStyle w:val="Spistreci3"/>
            <w:rPr>
              <w:rFonts w:asciiTheme="minorHAnsi" w:eastAsiaTheme="minorEastAsia" w:hAnsiTheme="minorHAnsi" w:cstheme="minorBidi"/>
              <w:i w:val="0"/>
              <w:sz w:val="22"/>
              <w:szCs w:val="22"/>
              <w:lang w:eastAsia="pl-PL"/>
            </w:rPr>
          </w:pPr>
          <w:hyperlink w:anchor="_Toc105512633" w:history="1">
            <w:r w:rsidR="00DD4ADF" w:rsidRPr="00B47543">
              <w:rPr>
                <w:rStyle w:val="Hipercze"/>
              </w:rPr>
              <w:t>3.3.1.</w:t>
            </w:r>
            <w:r w:rsidR="00DD4ADF">
              <w:rPr>
                <w:rFonts w:asciiTheme="minorHAnsi" w:eastAsiaTheme="minorEastAsia" w:hAnsiTheme="minorHAnsi" w:cstheme="minorBidi"/>
                <w:i w:val="0"/>
                <w:sz w:val="22"/>
                <w:szCs w:val="22"/>
                <w:lang w:eastAsia="pl-PL"/>
              </w:rPr>
              <w:tab/>
            </w:r>
            <w:r w:rsidR="00DD4ADF" w:rsidRPr="00B47543">
              <w:rPr>
                <w:rStyle w:val="Hipercze"/>
              </w:rPr>
              <w:t>Jednolite części wód przeznaczone do poboru wody na potrzeby zaopatrzenia ludności w wodę przeznaczoną do spożycia przez ludzi, o których mowa w art. 71 ustawy – Prawo wodne</w:t>
            </w:r>
            <w:r w:rsidR="00DD4ADF">
              <w:rPr>
                <w:webHidden/>
              </w:rPr>
              <w:tab/>
            </w:r>
            <w:r w:rsidR="00DD4ADF">
              <w:rPr>
                <w:webHidden/>
              </w:rPr>
              <w:fldChar w:fldCharType="begin"/>
            </w:r>
            <w:r w:rsidR="00DD4ADF">
              <w:rPr>
                <w:webHidden/>
              </w:rPr>
              <w:instrText xml:space="preserve"> PAGEREF _Toc105512633 \h </w:instrText>
            </w:r>
            <w:r w:rsidR="00DD4ADF">
              <w:rPr>
                <w:webHidden/>
              </w:rPr>
            </w:r>
            <w:r w:rsidR="00DD4ADF">
              <w:rPr>
                <w:webHidden/>
              </w:rPr>
              <w:fldChar w:fldCharType="separate"/>
            </w:r>
            <w:r w:rsidR="001F774D">
              <w:rPr>
                <w:webHidden/>
              </w:rPr>
              <w:t>52</w:t>
            </w:r>
            <w:r w:rsidR="00DD4ADF">
              <w:rPr>
                <w:webHidden/>
              </w:rPr>
              <w:fldChar w:fldCharType="end"/>
            </w:r>
          </w:hyperlink>
        </w:p>
        <w:p w14:paraId="7AFC5FDD" w14:textId="05ED74EA" w:rsidR="00DD4ADF" w:rsidRDefault="009C595A">
          <w:pPr>
            <w:pStyle w:val="Spistreci3"/>
            <w:rPr>
              <w:rFonts w:asciiTheme="minorHAnsi" w:eastAsiaTheme="minorEastAsia" w:hAnsiTheme="minorHAnsi" w:cstheme="minorBidi"/>
              <w:i w:val="0"/>
              <w:sz w:val="22"/>
              <w:szCs w:val="22"/>
              <w:lang w:eastAsia="pl-PL"/>
            </w:rPr>
          </w:pPr>
          <w:hyperlink w:anchor="_Toc105512634" w:history="1">
            <w:r w:rsidR="00DD4ADF" w:rsidRPr="00B47543">
              <w:rPr>
                <w:rStyle w:val="Hipercze"/>
              </w:rPr>
              <w:t>3.3.2.</w:t>
            </w:r>
            <w:r w:rsidR="00DD4ADF">
              <w:rPr>
                <w:rFonts w:asciiTheme="minorHAnsi" w:eastAsiaTheme="minorEastAsia" w:hAnsiTheme="minorHAnsi" w:cstheme="minorBidi"/>
                <w:i w:val="0"/>
                <w:sz w:val="22"/>
                <w:szCs w:val="22"/>
                <w:lang w:eastAsia="pl-PL"/>
              </w:rPr>
              <w:tab/>
            </w:r>
            <w:r w:rsidR="00DD4ADF" w:rsidRPr="00B47543">
              <w:rPr>
                <w:rStyle w:val="Hipercze"/>
              </w:rPr>
              <w:t>Jednolite części wód przeznaczone do celów rekreacyjnych, w tym kąpieliskowych</w:t>
            </w:r>
            <w:r w:rsidR="00DD4ADF">
              <w:rPr>
                <w:webHidden/>
              </w:rPr>
              <w:tab/>
            </w:r>
            <w:r w:rsidR="00DD4ADF">
              <w:rPr>
                <w:webHidden/>
              </w:rPr>
              <w:fldChar w:fldCharType="begin"/>
            </w:r>
            <w:r w:rsidR="00DD4ADF">
              <w:rPr>
                <w:webHidden/>
              </w:rPr>
              <w:instrText xml:space="preserve"> PAGEREF _Toc105512634 \h </w:instrText>
            </w:r>
            <w:r w:rsidR="00DD4ADF">
              <w:rPr>
                <w:webHidden/>
              </w:rPr>
            </w:r>
            <w:r w:rsidR="00DD4ADF">
              <w:rPr>
                <w:webHidden/>
              </w:rPr>
              <w:fldChar w:fldCharType="separate"/>
            </w:r>
            <w:r w:rsidR="001F774D">
              <w:rPr>
                <w:webHidden/>
              </w:rPr>
              <w:t>53</w:t>
            </w:r>
            <w:r w:rsidR="00DD4ADF">
              <w:rPr>
                <w:webHidden/>
              </w:rPr>
              <w:fldChar w:fldCharType="end"/>
            </w:r>
          </w:hyperlink>
        </w:p>
        <w:p w14:paraId="3EF69008" w14:textId="233532B1" w:rsidR="00DD4ADF" w:rsidRDefault="009C595A">
          <w:pPr>
            <w:pStyle w:val="Spistreci3"/>
            <w:rPr>
              <w:rFonts w:asciiTheme="minorHAnsi" w:eastAsiaTheme="minorEastAsia" w:hAnsiTheme="minorHAnsi" w:cstheme="minorBidi"/>
              <w:i w:val="0"/>
              <w:sz w:val="22"/>
              <w:szCs w:val="22"/>
              <w:lang w:eastAsia="pl-PL"/>
            </w:rPr>
          </w:pPr>
          <w:hyperlink w:anchor="_Toc105512635" w:history="1">
            <w:r w:rsidR="00DD4ADF" w:rsidRPr="00B47543">
              <w:rPr>
                <w:rStyle w:val="Hipercze"/>
              </w:rPr>
              <w:t>3.3.3.</w:t>
            </w:r>
            <w:r w:rsidR="00DD4ADF">
              <w:rPr>
                <w:rFonts w:asciiTheme="minorHAnsi" w:eastAsiaTheme="minorEastAsia" w:hAnsiTheme="minorHAnsi" w:cstheme="minorBidi"/>
                <w:i w:val="0"/>
                <w:sz w:val="22"/>
                <w:szCs w:val="22"/>
                <w:lang w:eastAsia="pl-PL"/>
              </w:rPr>
              <w:tab/>
            </w:r>
            <w:r w:rsidR="00DD4ADF" w:rsidRPr="00B47543">
              <w:rPr>
                <w:rStyle w:val="Hipercze"/>
              </w:rPr>
              <w:t>Obszary wrażliwe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r w:rsidR="00DD4ADF">
              <w:rPr>
                <w:webHidden/>
              </w:rPr>
              <w:tab/>
            </w:r>
            <w:r w:rsidR="00DD4ADF">
              <w:rPr>
                <w:webHidden/>
              </w:rPr>
              <w:fldChar w:fldCharType="begin"/>
            </w:r>
            <w:r w:rsidR="00DD4ADF">
              <w:rPr>
                <w:webHidden/>
              </w:rPr>
              <w:instrText xml:space="preserve"> PAGEREF _Toc105512635 \h </w:instrText>
            </w:r>
            <w:r w:rsidR="00DD4ADF">
              <w:rPr>
                <w:webHidden/>
              </w:rPr>
            </w:r>
            <w:r w:rsidR="00DD4ADF">
              <w:rPr>
                <w:webHidden/>
              </w:rPr>
              <w:fldChar w:fldCharType="separate"/>
            </w:r>
            <w:r w:rsidR="001F774D">
              <w:rPr>
                <w:webHidden/>
              </w:rPr>
              <w:t>54</w:t>
            </w:r>
            <w:r w:rsidR="00DD4ADF">
              <w:rPr>
                <w:webHidden/>
              </w:rPr>
              <w:fldChar w:fldCharType="end"/>
            </w:r>
          </w:hyperlink>
        </w:p>
        <w:p w14:paraId="1400485E" w14:textId="0181A88C" w:rsidR="00DD4ADF" w:rsidRDefault="009C595A">
          <w:pPr>
            <w:pStyle w:val="Spistreci3"/>
            <w:rPr>
              <w:rFonts w:asciiTheme="minorHAnsi" w:eastAsiaTheme="minorEastAsia" w:hAnsiTheme="minorHAnsi" w:cstheme="minorBidi"/>
              <w:i w:val="0"/>
              <w:sz w:val="22"/>
              <w:szCs w:val="22"/>
              <w:lang w:eastAsia="pl-PL"/>
            </w:rPr>
          </w:pPr>
          <w:hyperlink w:anchor="_Toc105512636" w:history="1">
            <w:r w:rsidR="00DD4ADF" w:rsidRPr="00B47543">
              <w:rPr>
                <w:rStyle w:val="Hipercze"/>
              </w:rPr>
              <w:t>3.3.4.</w:t>
            </w:r>
            <w:r w:rsidR="00DD4ADF">
              <w:rPr>
                <w:rFonts w:asciiTheme="minorHAnsi" w:eastAsiaTheme="minorEastAsia" w:hAnsiTheme="minorHAnsi" w:cstheme="minorBidi"/>
                <w:i w:val="0"/>
                <w:sz w:val="22"/>
                <w:szCs w:val="22"/>
                <w:lang w:eastAsia="pl-PL"/>
              </w:rPr>
              <w:tab/>
            </w:r>
            <w:r w:rsidR="00DD4ADF" w:rsidRPr="00B47543">
              <w:rPr>
                <w:rStyle w:val="Hipercze"/>
              </w:rPr>
              <w:t>Obszary przeznaczone do ochrony siedlisk lub gatunków, o których mowa w przepisach ustawy z dnia 16 kwietnia 2004 r. o ochronie przyrody, dla których utrzymanie lub poprawa stanu wód jest ważnym czynnikiem w ich ochronie</w:t>
            </w:r>
            <w:r w:rsidR="00DD4ADF">
              <w:rPr>
                <w:webHidden/>
              </w:rPr>
              <w:tab/>
            </w:r>
            <w:r w:rsidR="00DD4ADF">
              <w:rPr>
                <w:webHidden/>
              </w:rPr>
              <w:fldChar w:fldCharType="begin"/>
            </w:r>
            <w:r w:rsidR="00DD4ADF">
              <w:rPr>
                <w:webHidden/>
              </w:rPr>
              <w:instrText xml:space="preserve"> PAGEREF _Toc105512636 \h </w:instrText>
            </w:r>
            <w:r w:rsidR="00DD4ADF">
              <w:rPr>
                <w:webHidden/>
              </w:rPr>
            </w:r>
            <w:r w:rsidR="00DD4ADF">
              <w:rPr>
                <w:webHidden/>
              </w:rPr>
              <w:fldChar w:fldCharType="separate"/>
            </w:r>
            <w:r w:rsidR="001F774D">
              <w:rPr>
                <w:webHidden/>
              </w:rPr>
              <w:t>54</w:t>
            </w:r>
            <w:r w:rsidR="00DD4ADF">
              <w:rPr>
                <w:webHidden/>
              </w:rPr>
              <w:fldChar w:fldCharType="end"/>
            </w:r>
          </w:hyperlink>
        </w:p>
        <w:p w14:paraId="69E5003C" w14:textId="2EE977A0" w:rsidR="00DD4ADF" w:rsidRDefault="009C595A">
          <w:pPr>
            <w:pStyle w:val="Spistreci3"/>
            <w:rPr>
              <w:rFonts w:asciiTheme="minorHAnsi" w:eastAsiaTheme="minorEastAsia" w:hAnsiTheme="minorHAnsi" w:cstheme="minorBidi"/>
              <w:i w:val="0"/>
              <w:sz w:val="22"/>
              <w:szCs w:val="22"/>
              <w:lang w:eastAsia="pl-PL"/>
            </w:rPr>
          </w:pPr>
          <w:hyperlink w:anchor="_Toc105512637" w:history="1">
            <w:r w:rsidR="00DD4ADF" w:rsidRPr="00B47543">
              <w:rPr>
                <w:rStyle w:val="Hipercze"/>
              </w:rPr>
              <w:t>3.3.5.</w:t>
            </w:r>
            <w:r w:rsidR="00DD4ADF">
              <w:rPr>
                <w:rFonts w:asciiTheme="minorHAnsi" w:eastAsiaTheme="minorEastAsia" w:hAnsiTheme="minorHAnsi" w:cstheme="minorBidi"/>
                <w:i w:val="0"/>
                <w:sz w:val="22"/>
                <w:szCs w:val="22"/>
                <w:lang w:eastAsia="pl-PL"/>
              </w:rPr>
              <w:tab/>
            </w:r>
            <w:r w:rsidR="00DD4ADF" w:rsidRPr="00B47543">
              <w:rPr>
                <w:rStyle w:val="Hipercze"/>
              </w:rPr>
              <w:t>Obszary przeznaczone do ochrony gatunków zwierząt wodnych o znaczeniu gospodarczym</w:t>
            </w:r>
            <w:r w:rsidR="00DD4ADF">
              <w:rPr>
                <w:webHidden/>
              </w:rPr>
              <w:tab/>
            </w:r>
            <w:r w:rsidR="00DD4ADF">
              <w:rPr>
                <w:webHidden/>
              </w:rPr>
              <w:fldChar w:fldCharType="begin"/>
            </w:r>
            <w:r w:rsidR="00DD4ADF">
              <w:rPr>
                <w:webHidden/>
              </w:rPr>
              <w:instrText xml:space="preserve"> PAGEREF _Toc105512637 \h </w:instrText>
            </w:r>
            <w:r w:rsidR="00DD4ADF">
              <w:rPr>
                <w:webHidden/>
              </w:rPr>
            </w:r>
            <w:r w:rsidR="00DD4ADF">
              <w:rPr>
                <w:webHidden/>
              </w:rPr>
              <w:fldChar w:fldCharType="separate"/>
            </w:r>
            <w:r w:rsidR="001F774D">
              <w:rPr>
                <w:webHidden/>
              </w:rPr>
              <w:t>54</w:t>
            </w:r>
            <w:r w:rsidR="00DD4ADF">
              <w:rPr>
                <w:webHidden/>
              </w:rPr>
              <w:fldChar w:fldCharType="end"/>
            </w:r>
          </w:hyperlink>
        </w:p>
        <w:p w14:paraId="1146DF95" w14:textId="31C870B5" w:rsidR="00DD4ADF" w:rsidRDefault="009C595A">
          <w:pPr>
            <w:pStyle w:val="Spistreci1"/>
            <w:rPr>
              <w:rFonts w:asciiTheme="minorHAnsi" w:eastAsiaTheme="minorEastAsia" w:hAnsiTheme="minorHAnsi" w:cstheme="minorBidi"/>
              <w:b w:val="0"/>
              <w:smallCaps w:val="0"/>
              <w:sz w:val="22"/>
              <w:szCs w:val="22"/>
              <w:lang w:eastAsia="pl-PL"/>
            </w:rPr>
          </w:pPr>
          <w:hyperlink w:anchor="_Toc105512638" w:history="1">
            <w:r w:rsidR="00DD4ADF" w:rsidRPr="00B47543">
              <w:rPr>
                <w:rStyle w:val="Hipercze"/>
              </w:rPr>
              <w:t>4.</w:t>
            </w:r>
            <w:r w:rsidR="00DD4ADF">
              <w:rPr>
                <w:rFonts w:asciiTheme="minorHAnsi" w:eastAsiaTheme="minorEastAsia" w:hAnsiTheme="minorHAnsi" w:cstheme="minorBidi"/>
                <w:b w:val="0"/>
                <w:smallCaps w:val="0"/>
                <w:sz w:val="22"/>
                <w:szCs w:val="22"/>
                <w:lang w:eastAsia="pl-PL"/>
              </w:rPr>
              <w:tab/>
            </w:r>
            <w:r w:rsidR="00DD4ADF" w:rsidRPr="00B47543">
              <w:rPr>
                <w:rStyle w:val="Hipercze"/>
              </w:rPr>
              <w:t>Informacje dotyczące prognozowanych zmian klimatu</w:t>
            </w:r>
            <w:r w:rsidR="00DD4ADF">
              <w:rPr>
                <w:webHidden/>
              </w:rPr>
              <w:tab/>
            </w:r>
            <w:r w:rsidR="00DD4ADF">
              <w:rPr>
                <w:webHidden/>
              </w:rPr>
              <w:fldChar w:fldCharType="begin"/>
            </w:r>
            <w:r w:rsidR="00DD4ADF">
              <w:rPr>
                <w:webHidden/>
              </w:rPr>
              <w:instrText xml:space="preserve"> PAGEREF _Toc105512638 \h </w:instrText>
            </w:r>
            <w:r w:rsidR="00DD4ADF">
              <w:rPr>
                <w:webHidden/>
              </w:rPr>
            </w:r>
            <w:r w:rsidR="00DD4ADF">
              <w:rPr>
                <w:webHidden/>
              </w:rPr>
              <w:fldChar w:fldCharType="separate"/>
            </w:r>
            <w:r w:rsidR="001F774D">
              <w:rPr>
                <w:webHidden/>
              </w:rPr>
              <w:t>56</w:t>
            </w:r>
            <w:r w:rsidR="00DD4ADF">
              <w:rPr>
                <w:webHidden/>
              </w:rPr>
              <w:fldChar w:fldCharType="end"/>
            </w:r>
          </w:hyperlink>
        </w:p>
        <w:p w14:paraId="66FC0C2D" w14:textId="2B858DD3" w:rsidR="00DD4ADF" w:rsidRDefault="009C595A">
          <w:pPr>
            <w:pStyle w:val="Spistreci1"/>
            <w:rPr>
              <w:rFonts w:asciiTheme="minorHAnsi" w:eastAsiaTheme="minorEastAsia" w:hAnsiTheme="minorHAnsi" w:cstheme="minorBidi"/>
              <w:b w:val="0"/>
              <w:smallCaps w:val="0"/>
              <w:sz w:val="22"/>
              <w:szCs w:val="22"/>
              <w:lang w:eastAsia="pl-PL"/>
            </w:rPr>
          </w:pPr>
          <w:hyperlink w:anchor="_Toc105512639" w:history="1">
            <w:r w:rsidR="00DD4ADF" w:rsidRPr="00B47543">
              <w:rPr>
                <w:rStyle w:val="Hipercze"/>
              </w:rPr>
              <w:t>5.</w:t>
            </w:r>
            <w:r w:rsidR="00DD4ADF">
              <w:rPr>
                <w:rFonts w:asciiTheme="minorHAnsi" w:eastAsiaTheme="minorEastAsia" w:hAnsiTheme="minorHAnsi" w:cstheme="minorBidi"/>
                <w:b w:val="0"/>
                <w:smallCaps w:val="0"/>
                <w:sz w:val="22"/>
                <w:szCs w:val="22"/>
                <w:lang w:eastAsia="pl-PL"/>
              </w:rPr>
              <w:tab/>
            </w:r>
            <w:r w:rsidR="00DD4ADF" w:rsidRPr="00B47543">
              <w:rPr>
                <w:rStyle w:val="Hipercze"/>
              </w:rPr>
              <w:t>Monitoring wód</w:t>
            </w:r>
            <w:r w:rsidR="00DD4ADF">
              <w:rPr>
                <w:webHidden/>
              </w:rPr>
              <w:tab/>
            </w:r>
            <w:r w:rsidR="00DD4ADF">
              <w:rPr>
                <w:webHidden/>
              </w:rPr>
              <w:fldChar w:fldCharType="begin"/>
            </w:r>
            <w:r w:rsidR="00DD4ADF">
              <w:rPr>
                <w:webHidden/>
              </w:rPr>
              <w:instrText xml:space="preserve"> PAGEREF _Toc105512639 \h </w:instrText>
            </w:r>
            <w:r w:rsidR="00DD4ADF">
              <w:rPr>
                <w:webHidden/>
              </w:rPr>
            </w:r>
            <w:r w:rsidR="00DD4ADF">
              <w:rPr>
                <w:webHidden/>
              </w:rPr>
              <w:fldChar w:fldCharType="separate"/>
            </w:r>
            <w:r w:rsidR="001F774D">
              <w:rPr>
                <w:webHidden/>
              </w:rPr>
              <w:t>72</w:t>
            </w:r>
            <w:r w:rsidR="00DD4ADF">
              <w:rPr>
                <w:webHidden/>
              </w:rPr>
              <w:fldChar w:fldCharType="end"/>
            </w:r>
          </w:hyperlink>
        </w:p>
        <w:p w14:paraId="6E6C0B43" w14:textId="68458E17" w:rsidR="00DD4ADF" w:rsidRDefault="009C595A">
          <w:pPr>
            <w:pStyle w:val="Spistreci2"/>
            <w:rPr>
              <w:rFonts w:asciiTheme="minorHAnsi" w:eastAsiaTheme="minorEastAsia" w:hAnsiTheme="minorHAnsi" w:cstheme="minorBidi"/>
              <w:sz w:val="22"/>
              <w:szCs w:val="22"/>
              <w:lang w:eastAsia="pl-PL"/>
            </w:rPr>
          </w:pPr>
          <w:hyperlink w:anchor="_Toc105512640" w:history="1">
            <w:r w:rsidR="00DD4ADF" w:rsidRPr="00B47543">
              <w:rPr>
                <w:rStyle w:val="Hipercze"/>
              </w:rPr>
              <w:t>5.1.</w:t>
            </w:r>
            <w:r w:rsidR="00DD4ADF">
              <w:rPr>
                <w:rFonts w:asciiTheme="minorHAnsi" w:eastAsiaTheme="minorEastAsia" w:hAnsiTheme="minorHAnsi" w:cstheme="minorBidi"/>
                <w:sz w:val="22"/>
                <w:szCs w:val="22"/>
                <w:lang w:eastAsia="pl-PL"/>
              </w:rPr>
              <w:tab/>
            </w:r>
            <w:r w:rsidR="00DD4ADF" w:rsidRPr="00B47543">
              <w:rPr>
                <w:rStyle w:val="Hipercze"/>
              </w:rPr>
              <w:t>Wody powierzchniowe</w:t>
            </w:r>
            <w:r w:rsidR="00DD4ADF">
              <w:rPr>
                <w:webHidden/>
              </w:rPr>
              <w:tab/>
            </w:r>
            <w:r w:rsidR="00DD4ADF">
              <w:rPr>
                <w:webHidden/>
              </w:rPr>
              <w:fldChar w:fldCharType="begin"/>
            </w:r>
            <w:r w:rsidR="00DD4ADF">
              <w:rPr>
                <w:webHidden/>
              </w:rPr>
              <w:instrText xml:space="preserve"> PAGEREF _Toc105512640 \h </w:instrText>
            </w:r>
            <w:r w:rsidR="00DD4ADF">
              <w:rPr>
                <w:webHidden/>
              </w:rPr>
            </w:r>
            <w:r w:rsidR="00DD4ADF">
              <w:rPr>
                <w:webHidden/>
              </w:rPr>
              <w:fldChar w:fldCharType="separate"/>
            </w:r>
            <w:r w:rsidR="001F774D">
              <w:rPr>
                <w:webHidden/>
              </w:rPr>
              <w:t>73</w:t>
            </w:r>
            <w:r w:rsidR="00DD4ADF">
              <w:rPr>
                <w:webHidden/>
              </w:rPr>
              <w:fldChar w:fldCharType="end"/>
            </w:r>
          </w:hyperlink>
        </w:p>
        <w:p w14:paraId="41F8FF47" w14:textId="45CB2876" w:rsidR="00DD4ADF" w:rsidRDefault="009C595A">
          <w:pPr>
            <w:pStyle w:val="Spistreci3"/>
            <w:rPr>
              <w:rFonts w:asciiTheme="minorHAnsi" w:eastAsiaTheme="minorEastAsia" w:hAnsiTheme="minorHAnsi" w:cstheme="minorBidi"/>
              <w:i w:val="0"/>
              <w:sz w:val="22"/>
              <w:szCs w:val="22"/>
              <w:lang w:eastAsia="pl-PL"/>
            </w:rPr>
          </w:pPr>
          <w:hyperlink w:anchor="_Toc105512641" w:history="1">
            <w:r w:rsidR="00DD4ADF" w:rsidRPr="00B47543">
              <w:rPr>
                <w:rStyle w:val="Hipercze"/>
              </w:rPr>
              <w:t>5.1.1.</w:t>
            </w:r>
            <w:r w:rsidR="00DD4ADF">
              <w:rPr>
                <w:rFonts w:asciiTheme="minorHAnsi" w:eastAsiaTheme="minorEastAsia" w:hAnsiTheme="minorHAnsi" w:cstheme="minorBidi"/>
                <w:i w:val="0"/>
                <w:sz w:val="22"/>
                <w:szCs w:val="22"/>
                <w:lang w:eastAsia="pl-PL"/>
              </w:rPr>
              <w:tab/>
            </w:r>
            <w:r w:rsidR="00DD4ADF" w:rsidRPr="00B47543">
              <w:rPr>
                <w:rStyle w:val="Hipercze"/>
              </w:rPr>
              <w:t>Monitoring wód powierzchniowych</w:t>
            </w:r>
            <w:r w:rsidR="00DD4ADF">
              <w:rPr>
                <w:webHidden/>
              </w:rPr>
              <w:tab/>
            </w:r>
            <w:r w:rsidR="00DD4ADF">
              <w:rPr>
                <w:webHidden/>
              </w:rPr>
              <w:fldChar w:fldCharType="begin"/>
            </w:r>
            <w:r w:rsidR="00DD4ADF">
              <w:rPr>
                <w:webHidden/>
              </w:rPr>
              <w:instrText xml:space="preserve"> PAGEREF _Toc105512641 \h </w:instrText>
            </w:r>
            <w:r w:rsidR="00DD4ADF">
              <w:rPr>
                <w:webHidden/>
              </w:rPr>
            </w:r>
            <w:r w:rsidR="00DD4ADF">
              <w:rPr>
                <w:webHidden/>
              </w:rPr>
              <w:fldChar w:fldCharType="separate"/>
            </w:r>
            <w:r w:rsidR="001F774D">
              <w:rPr>
                <w:webHidden/>
              </w:rPr>
              <w:t>73</w:t>
            </w:r>
            <w:r w:rsidR="00DD4ADF">
              <w:rPr>
                <w:webHidden/>
              </w:rPr>
              <w:fldChar w:fldCharType="end"/>
            </w:r>
          </w:hyperlink>
        </w:p>
        <w:p w14:paraId="08661D0A" w14:textId="61650AD6" w:rsidR="00DD4ADF" w:rsidRDefault="009C595A">
          <w:pPr>
            <w:pStyle w:val="Spistreci3"/>
            <w:rPr>
              <w:rFonts w:asciiTheme="minorHAnsi" w:eastAsiaTheme="minorEastAsia" w:hAnsiTheme="minorHAnsi" w:cstheme="minorBidi"/>
              <w:i w:val="0"/>
              <w:sz w:val="22"/>
              <w:szCs w:val="22"/>
              <w:lang w:eastAsia="pl-PL"/>
            </w:rPr>
          </w:pPr>
          <w:hyperlink w:anchor="_Toc105512642" w:history="1">
            <w:r w:rsidR="00DD4ADF" w:rsidRPr="00B47543">
              <w:rPr>
                <w:rStyle w:val="Hipercze"/>
              </w:rPr>
              <w:t>5.1.2.</w:t>
            </w:r>
            <w:r w:rsidR="00DD4ADF">
              <w:rPr>
                <w:rFonts w:asciiTheme="minorHAnsi" w:eastAsiaTheme="minorEastAsia" w:hAnsiTheme="minorHAnsi" w:cstheme="minorBidi"/>
                <w:i w:val="0"/>
                <w:sz w:val="22"/>
                <w:szCs w:val="22"/>
                <w:lang w:eastAsia="pl-PL"/>
              </w:rPr>
              <w:tab/>
            </w:r>
            <w:r w:rsidR="00DD4ADF" w:rsidRPr="00B47543">
              <w:rPr>
                <w:rStyle w:val="Hipercze"/>
              </w:rPr>
              <w:t>Mapa sieci monitoringu wód powierzchniowych wraz z prezentacją programów monitoringowych</w:t>
            </w:r>
            <w:r w:rsidR="00DD4ADF">
              <w:rPr>
                <w:webHidden/>
              </w:rPr>
              <w:tab/>
            </w:r>
            <w:r w:rsidR="00DD4ADF">
              <w:rPr>
                <w:webHidden/>
              </w:rPr>
              <w:fldChar w:fldCharType="begin"/>
            </w:r>
            <w:r w:rsidR="00DD4ADF">
              <w:rPr>
                <w:webHidden/>
              </w:rPr>
              <w:instrText xml:space="preserve"> PAGEREF _Toc105512642 \h </w:instrText>
            </w:r>
            <w:r w:rsidR="00DD4ADF">
              <w:rPr>
                <w:webHidden/>
              </w:rPr>
            </w:r>
            <w:r w:rsidR="00DD4ADF">
              <w:rPr>
                <w:webHidden/>
              </w:rPr>
              <w:fldChar w:fldCharType="separate"/>
            </w:r>
            <w:r w:rsidR="001F774D">
              <w:rPr>
                <w:webHidden/>
              </w:rPr>
              <w:t>77</w:t>
            </w:r>
            <w:r w:rsidR="00DD4ADF">
              <w:rPr>
                <w:webHidden/>
              </w:rPr>
              <w:fldChar w:fldCharType="end"/>
            </w:r>
          </w:hyperlink>
        </w:p>
        <w:p w14:paraId="5074BEBB" w14:textId="63EA8FFF" w:rsidR="00DD4ADF" w:rsidRDefault="009C595A">
          <w:pPr>
            <w:pStyle w:val="Spistreci3"/>
            <w:rPr>
              <w:rFonts w:asciiTheme="minorHAnsi" w:eastAsiaTheme="minorEastAsia" w:hAnsiTheme="minorHAnsi" w:cstheme="minorBidi"/>
              <w:i w:val="0"/>
              <w:sz w:val="22"/>
              <w:szCs w:val="22"/>
              <w:lang w:eastAsia="pl-PL"/>
            </w:rPr>
          </w:pPr>
          <w:hyperlink w:anchor="_Toc105512643" w:history="1">
            <w:r w:rsidR="00DD4ADF" w:rsidRPr="00B47543">
              <w:rPr>
                <w:rStyle w:val="Hipercze"/>
              </w:rPr>
              <w:t>5.1.3.</w:t>
            </w:r>
            <w:r w:rsidR="00DD4ADF">
              <w:rPr>
                <w:rFonts w:asciiTheme="minorHAnsi" w:eastAsiaTheme="minorEastAsia" w:hAnsiTheme="minorHAnsi" w:cstheme="minorBidi"/>
                <w:i w:val="0"/>
                <w:sz w:val="22"/>
                <w:szCs w:val="22"/>
                <w:lang w:eastAsia="pl-PL"/>
              </w:rPr>
              <w:tab/>
            </w:r>
            <w:r w:rsidR="00DD4ADF" w:rsidRPr="00B47543">
              <w:rPr>
                <w:rStyle w:val="Hipercze"/>
              </w:rPr>
              <w:t>Wyniki państwowego monitoringu środowiska w zakresie wód powierzchniowych</w:t>
            </w:r>
            <w:r w:rsidR="00DD4ADF">
              <w:rPr>
                <w:webHidden/>
              </w:rPr>
              <w:tab/>
            </w:r>
            <w:r w:rsidR="00DD4ADF">
              <w:rPr>
                <w:webHidden/>
              </w:rPr>
              <w:fldChar w:fldCharType="begin"/>
            </w:r>
            <w:r w:rsidR="00DD4ADF">
              <w:rPr>
                <w:webHidden/>
              </w:rPr>
              <w:instrText xml:space="preserve"> PAGEREF _Toc105512643 \h </w:instrText>
            </w:r>
            <w:r w:rsidR="00DD4ADF">
              <w:rPr>
                <w:webHidden/>
              </w:rPr>
            </w:r>
            <w:r w:rsidR="00DD4ADF">
              <w:rPr>
                <w:webHidden/>
              </w:rPr>
              <w:fldChar w:fldCharType="separate"/>
            </w:r>
            <w:r w:rsidR="001F774D">
              <w:rPr>
                <w:webHidden/>
              </w:rPr>
              <w:t>82</w:t>
            </w:r>
            <w:r w:rsidR="00DD4ADF">
              <w:rPr>
                <w:webHidden/>
              </w:rPr>
              <w:fldChar w:fldCharType="end"/>
            </w:r>
          </w:hyperlink>
        </w:p>
        <w:p w14:paraId="29C5EB52" w14:textId="38DAD356" w:rsidR="00DD4ADF" w:rsidRDefault="009C595A">
          <w:pPr>
            <w:pStyle w:val="Spistreci2"/>
            <w:rPr>
              <w:rFonts w:asciiTheme="minorHAnsi" w:eastAsiaTheme="minorEastAsia" w:hAnsiTheme="minorHAnsi" w:cstheme="minorBidi"/>
              <w:sz w:val="22"/>
              <w:szCs w:val="22"/>
              <w:lang w:eastAsia="pl-PL"/>
            </w:rPr>
          </w:pPr>
          <w:hyperlink w:anchor="_Toc105512644" w:history="1">
            <w:r w:rsidR="00DD4ADF" w:rsidRPr="00B47543">
              <w:rPr>
                <w:rStyle w:val="Hipercze"/>
              </w:rPr>
              <w:t>5.2.</w:t>
            </w:r>
            <w:r w:rsidR="00DD4ADF">
              <w:rPr>
                <w:rFonts w:asciiTheme="minorHAnsi" w:eastAsiaTheme="minorEastAsia" w:hAnsiTheme="minorHAnsi" w:cstheme="minorBidi"/>
                <w:sz w:val="22"/>
                <w:szCs w:val="22"/>
                <w:lang w:eastAsia="pl-PL"/>
              </w:rPr>
              <w:tab/>
            </w:r>
            <w:r w:rsidR="00DD4ADF" w:rsidRPr="00B47543">
              <w:rPr>
                <w:rStyle w:val="Hipercze"/>
              </w:rPr>
              <w:t>Wody podziemne</w:t>
            </w:r>
            <w:r w:rsidR="00DD4ADF">
              <w:rPr>
                <w:webHidden/>
              </w:rPr>
              <w:tab/>
            </w:r>
            <w:r w:rsidR="00DD4ADF">
              <w:rPr>
                <w:webHidden/>
              </w:rPr>
              <w:fldChar w:fldCharType="begin"/>
            </w:r>
            <w:r w:rsidR="00DD4ADF">
              <w:rPr>
                <w:webHidden/>
              </w:rPr>
              <w:instrText xml:space="preserve"> PAGEREF _Toc105512644 \h </w:instrText>
            </w:r>
            <w:r w:rsidR="00DD4ADF">
              <w:rPr>
                <w:webHidden/>
              </w:rPr>
            </w:r>
            <w:r w:rsidR="00DD4ADF">
              <w:rPr>
                <w:webHidden/>
              </w:rPr>
              <w:fldChar w:fldCharType="separate"/>
            </w:r>
            <w:r w:rsidR="001F774D">
              <w:rPr>
                <w:webHidden/>
              </w:rPr>
              <w:t>103</w:t>
            </w:r>
            <w:r w:rsidR="00DD4ADF">
              <w:rPr>
                <w:webHidden/>
              </w:rPr>
              <w:fldChar w:fldCharType="end"/>
            </w:r>
          </w:hyperlink>
        </w:p>
        <w:p w14:paraId="28E16508" w14:textId="77D466E2" w:rsidR="00DD4ADF" w:rsidRDefault="009C595A">
          <w:pPr>
            <w:pStyle w:val="Spistreci3"/>
            <w:rPr>
              <w:rFonts w:asciiTheme="minorHAnsi" w:eastAsiaTheme="minorEastAsia" w:hAnsiTheme="minorHAnsi" w:cstheme="minorBidi"/>
              <w:i w:val="0"/>
              <w:sz w:val="22"/>
              <w:szCs w:val="22"/>
              <w:lang w:eastAsia="pl-PL"/>
            </w:rPr>
          </w:pPr>
          <w:hyperlink w:anchor="_Toc105512645" w:history="1">
            <w:r w:rsidR="00DD4ADF" w:rsidRPr="00B47543">
              <w:rPr>
                <w:rStyle w:val="Hipercze"/>
              </w:rPr>
              <w:t>5.2.1.</w:t>
            </w:r>
            <w:r w:rsidR="00DD4ADF">
              <w:rPr>
                <w:rFonts w:asciiTheme="minorHAnsi" w:eastAsiaTheme="minorEastAsia" w:hAnsiTheme="minorHAnsi" w:cstheme="minorBidi"/>
                <w:i w:val="0"/>
                <w:sz w:val="22"/>
                <w:szCs w:val="22"/>
                <w:lang w:eastAsia="pl-PL"/>
              </w:rPr>
              <w:tab/>
            </w:r>
            <w:r w:rsidR="00DD4ADF" w:rsidRPr="00B47543">
              <w:rPr>
                <w:rStyle w:val="Hipercze"/>
              </w:rPr>
              <w:t>Monitoring wód podziemnych</w:t>
            </w:r>
            <w:r w:rsidR="00DD4ADF">
              <w:rPr>
                <w:webHidden/>
              </w:rPr>
              <w:tab/>
            </w:r>
            <w:r w:rsidR="00DD4ADF">
              <w:rPr>
                <w:webHidden/>
              </w:rPr>
              <w:fldChar w:fldCharType="begin"/>
            </w:r>
            <w:r w:rsidR="00DD4ADF">
              <w:rPr>
                <w:webHidden/>
              </w:rPr>
              <w:instrText xml:space="preserve"> PAGEREF _Toc105512645 \h </w:instrText>
            </w:r>
            <w:r w:rsidR="00DD4ADF">
              <w:rPr>
                <w:webHidden/>
              </w:rPr>
            </w:r>
            <w:r w:rsidR="00DD4ADF">
              <w:rPr>
                <w:webHidden/>
              </w:rPr>
              <w:fldChar w:fldCharType="separate"/>
            </w:r>
            <w:r w:rsidR="001F774D">
              <w:rPr>
                <w:webHidden/>
              </w:rPr>
              <w:t>103</w:t>
            </w:r>
            <w:r w:rsidR="00DD4ADF">
              <w:rPr>
                <w:webHidden/>
              </w:rPr>
              <w:fldChar w:fldCharType="end"/>
            </w:r>
          </w:hyperlink>
        </w:p>
        <w:p w14:paraId="69EDBF3E" w14:textId="4A83BF48" w:rsidR="00DD4ADF" w:rsidRDefault="009C595A">
          <w:pPr>
            <w:pStyle w:val="Spistreci3"/>
            <w:rPr>
              <w:rFonts w:asciiTheme="minorHAnsi" w:eastAsiaTheme="minorEastAsia" w:hAnsiTheme="minorHAnsi" w:cstheme="minorBidi"/>
              <w:i w:val="0"/>
              <w:sz w:val="22"/>
              <w:szCs w:val="22"/>
              <w:lang w:eastAsia="pl-PL"/>
            </w:rPr>
          </w:pPr>
          <w:hyperlink w:anchor="_Toc105512646" w:history="1">
            <w:r w:rsidR="00DD4ADF" w:rsidRPr="00B47543">
              <w:rPr>
                <w:rStyle w:val="Hipercze"/>
              </w:rPr>
              <w:t>5.2.2.</w:t>
            </w:r>
            <w:r w:rsidR="00DD4ADF">
              <w:rPr>
                <w:rFonts w:asciiTheme="minorHAnsi" w:eastAsiaTheme="minorEastAsia" w:hAnsiTheme="minorHAnsi" w:cstheme="minorBidi"/>
                <w:i w:val="0"/>
                <w:sz w:val="22"/>
                <w:szCs w:val="22"/>
                <w:lang w:eastAsia="pl-PL"/>
              </w:rPr>
              <w:tab/>
            </w:r>
            <w:r w:rsidR="00DD4ADF" w:rsidRPr="00B47543">
              <w:rPr>
                <w:rStyle w:val="Hipercze"/>
              </w:rPr>
              <w:t>Mapa sieci monitoringu wraz z prezentacją programów monitoringowych</w:t>
            </w:r>
            <w:r w:rsidR="00DD4ADF">
              <w:rPr>
                <w:webHidden/>
              </w:rPr>
              <w:tab/>
            </w:r>
            <w:r w:rsidR="00DD4ADF">
              <w:rPr>
                <w:webHidden/>
              </w:rPr>
              <w:fldChar w:fldCharType="begin"/>
            </w:r>
            <w:r w:rsidR="00DD4ADF">
              <w:rPr>
                <w:webHidden/>
              </w:rPr>
              <w:instrText xml:space="preserve"> PAGEREF _Toc105512646 \h </w:instrText>
            </w:r>
            <w:r w:rsidR="00DD4ADF">
              <w:rPr>
                <w:webHidden/>
              </w:rPr>
            </w:r>
            <w:r w:rsidR="00DD4ADF">
              <w:rPr>
                <w:webHidden/>
              </w:rPr>
              <w:fldChar w:fldCharType="separate"/>
            </w:r>
            <w:r w:rsidR="001F774D">
              <w:rPr>
                <w:webHidden/>
              </w:rPr>
              <w:t>113</w:t>
            </w:r>
            <w:r w:rsidR="00DD4ADF">
              <w:rPr>
                <w:webHidden/>
              </w:rPr>
              <w:fldChar w:fldCharType="end"/>
            </w:r>
          </w:hyperlink>
        </w:p>
        <w:p w14:paraId="60CE9778" w14:textId="29394D70" w:rsidR="00DD4ADF" w:rsidRDefault="009C595A">
          <w:pPr>
            <w:pStyle w:val="Spistreci3"/>
            <w:rPr>
              <w:rFonts w:asciiTheme="minorHAnsi" w:eastAsiaTheme="minorEastAsia" w:hAnsiTheme="minorHAnsi" w:cstheme="minorBidi"/>
              <w:i w:val="0"/>
              <w:sz w:val="22"/>
              <w:szCs w:val="22"/>
              <w:lang w:eastAsia="pl-PL"/>
            </w:rPr>
          </w:pPr>
          <w:hyperlink w:anchor="_Toc105512647" w:history="1">
            <w:r w:rsidR="00DD4ADF" w:rsidRPr="00B47543">
              <w:rPr>
                <w:rStyle w:val="Hipercze"/>
              </w:rPr>
              <w:t>5.2.3.</w:t>
            </w:r>
            <w:r w:rsidR="00DD4ADF">
              <w:rPr>
                <w:rFonts w:asciiTheme="minorHAnsi" w:eastAsiaTheme="minorEastAsia" w:hAnsiTheme="minorHAnsi" w:cstheme="minorBidi"/>
                <w:i w:val="0"/>
                <w:sz w:val="22"/>
                <w:szCs w:val="22"/>
                <w:lang w:eastAsia="pl-PL"/>
              </w:rPr>
              <w:tab/>
            </w:r>
            <w:r w:rsidR="00DD4ADF" w:rsidRPr="00B47543">
              <w:rPr>
                <w:rStyle w:val="Hipercze"/>
              </w:rPr>
              <w:t>Wyniki oceny stanu JCWPd</w:t>
            </w:r>
            <w:r w:rsidR="00DD4ADF">
              <w:rPr>
                <w:webHidden/>
              </w:rPr>
              <w:tab/>
            </w:r>
            <w:r w:rsidR="00DD4ADF">
              <w:rPr>
                <w:webHidden/>
              </w:rPr>
              <w:fldChar w:fldCharType="begin"/>
            </w:r>
            <w:r w:rsidR="00DD4ADF">
              <w:rPr>
                <w:webHidden/>
              </w:rPr>
              <w:instrText xml:space="preserve"> PAGEREF _Toc105512647 \h </w:instrText>
            </w:r>
            <w:r w:rsidR="00DD4ADF">
              <w:rPr>
                <w:webHidden/>
              </w:rPr>
            </w:r>
            <w:r w:rsidR="00DD4ADF">
              <w:rPr>
                <w:webHidden/>
              </w:rPr>
              <w:fldChar w:fldCharType="separate"/>
            </w:r>
            <w:r w:rsidR="001F774D">
              <w:rPr>
                <w:webHidden/>
              </w:rPr>
              <w:t>114</w:t>
            </w:r>
            <w:r w:rsidR="00DD4ADF">
              <w:rPr>
                <w:webHidden/>
              </w:rPr>
              <w:fldChar w:fldCharType="end"/>
            </w:r>
          </w:hyperlink>
        </w:p>
        <w:p w14:paraId="7095D0A6" w14:textId="53F7F8E5" w:rsidR="00DD4ADF" w:rsidRDefault="009C595A">
          <w:pPr>
            <w:pStyle w:val="Spistreci1"/>
            <w:rPr>
              <w:rFonts w:asciiTheme="minorHAnsi" w:eastAsiaTheme="minorEastAsia" w:hAnsiTheme="minorHAnsi" w:cstheme="minorBidi"/>
              <w:b w:val="0"/>
              <w:smallCaps w:val="0"/>
              <w:sz w:val="22"/>
              <w:szCs w:val="22"/>
              <w:lang w:eastAsia="pl-PL"/>
            </w:rPr>
          </w:pPr>
          <w:hyperlink w:anchor="_Toc105512648" w:history="1">
            <w:r w:rsidR="00DD4ADF" w:rsidRPr="00B47543">
              <w:rPr>
                <w:rStyle w:val="Hipercze"/>
              </w:rPr>
              <w:t>6.</w:t>
            </w:r>
            <w:r w:rsidR="00DD4ADF">
              <w:rPr>
                <w:rFonts w:asciiTheme="minorHAnsi" w:eastAsiaTheme="minorEastAsia" w:hAnsiTheme="minorHAnsi" w:cstheme="minorBidi"/>
                <w:b w:val="0"/>
                <w:smallCaps w:val="0"/>
                <w:sz w:val="22"/>
                <w:szCs w:val="22"/>
                <w:lang w:eastAsia="pl-PL"/>
              </w:rPr>
              <w:tab/>
            </w:r>
            <w:r w:rsidR="00DD4ADF" w:rsidRPr="00B47543">
              <w:rPr>
                <w:rStyle w:val="Hipercze"/>
              </w:rPr>
              <w:t>Wykaz wielkości emisji i stężeń substancji priorytetowych określonych w przepisach wydanych na podstawie art. 114 ustawy – Prawo wodne oraz innych substancji powodujących zanieczyszczenie, dla których zostały określone środowiskowe normy jakości</w:t>
            </w:r>
            <w:r w:rsidR="00DD4ADF">
              <w:rPr>
                <w:webHidden/>
              </w:rPr>
              <w:tab/>
            </w:r>
            <w:r w:rsidR="00DD4ADF">
              <w:rPr>
                <w:webHidden/>
              </w:rPr>
              <w:fldChar w:fldCharType="begin"/>
            </w:r>
            <w:r w:rsidR="00DD4ADF">
              <w:rPr>
                <w:webHidden/>
              </w:rPr>
              <w:instrText xml:space="preserve"> PAGEREF _Toc105512648 \h </w:instrText>
            </w:r>
            <w:r w:rsidR="00DD4ADF">
              <w:rPr>
                <w:webHidden/>
              </w:rPr>
            </w:r>
            <w:r w:rsidR="00DD4ADF">
              <w:rPr>
                <w:webHidden/>
              </w:rPr>
              <w:fldChar w:fldCharType="separate"/>
            </w:r>
            <w:r w:rsidR="001F774D">
              <w:rPr>
                <w:webHidden/>
              </w:rPr>
              <w:t>126</w:t>
            </w:r>
            <w:r w:rsidR="00DD4ADF">
              <w:rPr>
                <w:webHidden/>
              </w:rPr>
              <w:fldChar w:fldCharType="end"/>
            </w:r>
          </w:hyperlink>
        </w:p>
        <w:p w14:paraId="3E726C63" w14:textId="6C4E86E8" w:rsidR="00DD4ADF" w:rsidRDefault="009C595A">
          <w:pPr>
            <w:pStyle w:val="Spistreci1"/>
            <w:rPr>
              <w:rFonts w:asciiTheme="minorHAnsi" w:eastAsiaTheme="minorEastAsia" w:hAnsiTheme="minorHAnsi" w:cstheme="minorBidi"/>
              <w:b w:val="0"/>
              <w:smallCaps w:val="0"/>
              <w:sz w:val="22"/>
              <w:szCs w:val="22"/>
              <w:lang w:eastAsia="pl-PL"/>
            </w:rPr>
          </w:pPr>
          <w:hyperlink w:anchor="_Toc105512649" w:history="1">
            <w:r w:rsidR="00DD4ADF" w:rsidRPr="00B47543">
              <w:rPr>
                <w:rStyle w:val="Hipercze"/>
              </w:rPr>
              <w:t>7.</w:t>
            </w:r>
            <w:r w:rsidR="00DD4ADF">
              <w:rPr>
                <w:rFonts w:asciiTheme="minorHAnsi" w:eastAsiaTheme="minorEastAsia" w:hAnsiTheme="minorHAnsi" w:cstheme="minorBidi"/>
                <w:b w:val="0"/>
                <w:smallCaps w:val="0"/>
                <w:sz w:val="22"/>
                <w:szCs w:val="22"/>
                <w:lang w:eastAsia="pl-PL"/>
              </w:rPr>
              <w:tab/>
            </w:r>
            <w:r w:rsidR="00DD4ADF" w:rsidRPr="00B47543">
              <w:rPr>
                <w:rStyle w:val="Hipercze"/>
              </w:rPr>
              <w:t>Podsumowanie identyfikacji znaczących oddziaływań antropogenicznych i oceny ich wpływu na stan wód powierzchniowych i podziemnych</w:t>
            </w:r>
            <w:r w:rsidR="00DD4ADF">
              <w:rPr>
                <w:webHidden/>
              </w:rPr>
              <w:tab/>
            </w:r>
            <w:r w:rsidR="00DD4ADF">
              <w:rPr>
                <w:webHidden/>
              </w:rPr>
              <w:fldChar w:fldCharType="begin"/>
            </w:r>
            <w:r w:rsidR="00DD4ADF">
              <w:rPr>
                <w:webHidden/>
              </w:rPr>
              <w:instrText xml:space="preserve"> PAGEREF _Toc105512649 \h </w:instrText>
            </w:r>
            <w:r w:rsidR="00DD4ADF">
              <w:rPr>
                <w:webHidden/>
              </w:rPr>
            </w:r>
            <w:r w:rsidR="00DD4ADF">
              <w:rPr>
                <w:webHidden/>
              </w:rPr>
              <w:fldChar w:fldCharType="separate"/>
            </w:r>
            <w:r w:rsidR="001F774D">
              <w:rPr>
                <w:webHidden/>
              </w:rPr>
              <w:t>131</w:t>
            </w:r>
            <w:r w:rsidR="00DD4ADF">
              <w:rPr>
                <w:webHidden/>
              </w:rPr>
              <w:fldChar w:fldCharType="end"/>
            </w:r>
          </w:hyperlink>
        </w:p>
        <w:p w14:paraId="46B4E403" w14:textId="593A7DB3" w:rsidR="00DD4ADF" w:rsidRDefault="009C595A">
          <w:pPr>
            <w:pStyle w:val="Spistreci2"/>
            <w:rPr>
              <w:rFonts w:asciiTheme="minorHAnsi" w:eastAsiaTheme="minorEastAsia" w:hAnsiTheme="minorHAnsi" w:cstheme="minorBidi"/>
              <w:sz w:val="22"/>
              <w:szCs w:val="22"/>
              <w:lang w:eastAsia="pl-PL"/>
            </w:rPr>
          </w:pPr>
          <w:hyperlink w:anchor="_Toc105512650" w:history="1">
            <w:r w:rsidR="00DD4ADF" w:rsidRPr="00B47543">
              <w:rPr>
                <w:rStyle w:val="Hipercze"/>
              </w:rPr>
              <w:t>7.1.</w:t>
            </w:r>
            <w:r w:rsidR="00DD4ADF">
              <w:rPr>
                <w:rFonts w:asciiTheme="minorHAnsi" w:eastAsiaTheme="minorEastAsia" w:hAnsiTheme="minorHAnsi" w:cstheme="minorBidi"/>
                <w:sz w:val="22"/>
                <w:szCs w:val="22"/>
                <w:lang w:eastAsia="pl-PL"/>
              </w:rPr>
              <w:tab/>
            </w:r>
            <w:r w:rsidR="00DD4ADF" w:rsidRPr="00B47543">
              <w:rPr>
                <w:rStyle w:val="Hipercze"/>
              </w:rPr>
              <w:t>Wody powierzchniowe</w:t>
            </w:r>
            <w:r w:rsidR="00DD4ADF">
              <w:rPr>
                <w:webHidden/>
              </w:rPr>
              <w:tab/>
            </w:r>
            <w:r w:rsidR="00DD4ADF">
              <w:rPr>
                <w:webHidden/>
              </w:rPr>
              <w:fldChar w:fldCharType="begin"/>
            </w:r>
            <w:r w:rsidR="00DD4ADF">
              <w:rPr>
                <w:webHidden/>
              </w:rPr>
              <w:instrText xml:space="preserve"> PAGEREF _Toc105512650 \h </w:instrText>
            </w:r>
            <w:r w:rsidR="00DD4ADF">
              <w:rPr>
                <w:webHidden/>
              </w:rPr>
            </w:r>
            <w:r w:rsidR="00DD4ADF">
              <w:rPr>
                <w:webHidden/>
              </w:rPr>
              <w:fldChar w:fldCharType="separate"/>
            </w:r>
            <w:r w:rsidR="001F774D">
              <w:rPr>
                <w:webHidden/>
              </w:rPr>
              <w:t>131</w:t>
            </w:r>
            <w:r w:rsidR="00DD4ADF">
              <w:rPr>
                <w:webHidden/>
              </w:rPr>
              <w:fldChar w:fldCharType="end"/>
            </w:r>
          </w:hyperlink>
        </w:p>
        <w:p w14:paraId="249C1CF6" w14:textId="324EB97E" w:rsidR="00DD4ADF" w:rsidRDefault="009C595A">
          <w:pPr>
            <w:pStyle w:val="Spistreci2"/>
            <w:rPr>
              <w:rFonts w:asciiTheme="minorHAnsi" w:eastAsiaTheme="minorEastAsia" w:hAnsiTheme="minorHAnsi" w:cstheme="minorBidi"/>
              <w:sz w:val="22"/>
              <w:szCs w:val="22"/>
              <w:lang w:eastAsia="pl-PL"/>
            </w:rPr>
          </w:pPr>
          <w:hyperlink w:anchor="_Toc105512651" w:history="1">
            <w:r w:rsidR="00DD4ADF" w:rsidRPr="00B47543">
              <w:rPr>
                <w:rStyle w:val="Hipercze"/>
              </w:rPr>
              <w:t>7.2.</w:t>
            </w:r>
            <w:r w:rsidR="00DD4ADF">
              <w:rPr>
                <w:rFonts w:asciiTheme="minorHAnsi" w:eastAsiaTheme="minorEastAsia" w:hAnsiTheme="minorHAnsi" w:cstheme="minorBidi"/>
                <w:sz w:val="22"/>
                <w:szCs w:val="22"/>
                <w:lang w:eastAsia="pl-PL"/>
              </w:rPr>
              <w:tab/>
            </w:r>
            <w:r w:rsidR="00DD4ADF" w:rsidRPr="00B47543">
              <w:rPr>
                <w:rStyle w:val="Hipercze"/>
              </w:rPr>
              <w:t>Wody podziemne</w:t>
            </w:r>
            <w:r w:rsidR="00DD4ADF">
              <w:rPr>
                <w:webHidden/>
              </w:rPr>
              <w:tab/>
            </w:r>
            <w:r w:rsidR="00DD4ADF">
              <w:rPr>
                <w:webHidden/>
              </w:rPr>
              <w:fldChar w:fldCharType="begin"/>
            </w:r>
            <w:r w:rsidR="00DD4ADF">
              <w:rPr>
                <w:webHidden/>
              </w:rPr>
              <w:instrText xml:space="preserve"> PAGEREF _Toc105512651 \h </w:instrText>
            </w:r>
            <w:r w:rsidR="00DD4ADF">
              <w:rPr>
                <w:webHidden/>
              </w:rPr>
            </w:r>
            <w:r w:rsidR="00DD4ADF">
              <w:rPr>
                <w:webHidden/>
              </w:rPr>
              <w:fldChar w:fldCharType="separate"/>
            </w:r>
            <w:r w:rsidR="001F774D">
              <w:rPr>
                <w:webHidden/>
              </w:rPr>
              <w:t>152</w:t>
            </w:r>
            <w:r w:rsidR="00DD4ADF">
              <w:rPr>
                <w:webHidden/>
              </w:rPr>
              <w:fldChar w:fldCharType="end"/>
            </w:r>
          </w:hyperlink>
        </w:p>
        <w:p w14:paraId="140FC2FD" w14:textId="71A1E24A" w:rsidR="00DD4ADF" w:rsidRDefault="009C595A">
          <w:pPr>
            <w:pStyle w:val="Spistreci1"/>
            <w:rPr>
              <w:rFonts w:asciiTheme="minorHAnsi" w:eastAsiaTheme="minorEastAsia" w:hAnsiTheme="minorHAnsi" w:cstheme="minorBidi"/>
              <w:b w:val="0"/>
              <w:smallCaps w:val="0"/>
              <w:sz w:val="22"/>
              <w:szCs w:val="22"/>
              <w:lang w:eastAsia="pl-PL"/>
            </w:rPr>
          </w:pPr>
          <w:hyperlink w:anchor="_Toc105512652" w:history="1">
            <w:r w:rsidR="00DD4ADF" w:rsidRPr="00B47543">
              <w:rPr>
                <w:rStyle w:val="Hipercze"/>
              </w:rPr>
              <w:t>8.</w:t>
            </w:r>
            <w:r w:rsidR="00DD4ADF">
              <w:rPr>
                <w:rFonts w:asciiTheme="minorHAnsi" w:eastAsiaTheme="minorEastAsia" w:hAnsiTheme="minorHAnsi" w:cstheme="minorBidi"/>
                <w:b w:val="0"/>
                <w:smallCaps w:val="0"/>
                <w:sz w:val="22"/>
                <w:szCs w:val="22"/>
                <w:lang w:eastAsia="pl-PL"/>
              </w:rPr>
              <w:tab/>
            </w:r>
            <w:r w:rsidR="00DD4ADF" w:rsidRPr="00B47543">
              <w:rPr>
                <w:rStyle w:val="Hipercze"/>
              </w:rPr>
              <w:t>Cele środowiskowe dla jcw i obszarów chronionych</w:t>
            </w:r>
            <w:r w:rsidR="00DD4ADF">
              <w:rPr>
                <w:webHidden/>
              </w:rPr>
              <w:tab/>
            </w:r>
            <w:r w:rsidR="00DD4ADF">
              <w:rPr>
                <w:webHidden/>
              </w:rPr>
              <w:fldChar w:fldCharType="begin"/>
            </w:r>
            <w:r w:rsidR="00DD4ADF">
              <w:rPr>
                <w:webHidden/>
              </w:rPr>
              <w:instrText xml:space="preserve"> PAGEREF _Toc105512652 \h </w:instrText>
            </w:r>
            <w:r w:rsidR="00DD4ADF">
              <w:rPr>
                <w:webHidden/>
              </w:rPr>
            </w:r>
            <w:r w:rsidR="00DD4ADF">
              <w:rPr>
                <w:webHidden/>
              </w:rPr>
              <w:fldChar w:fldCharType="separate"/>
            </w:r>
            <w:r w:rsidR="001F774D">
              <w:rPr>
                <w:webHidden/>
              </w:rPr>
              <w:t>159</w:t>
            </w:r>
            <w:r w:rsidR="00DD4ADF">
              <w:rPr>
                <w:webHidden/>
              </w:rPr>
              <w:fldChar w:fldCharType="end"/>
            </w:r>
          </w:hyperlink>
        </w:p>
        <w:p w14:paraId="3BB83189" w14:textId="74127EA8" w:rsidR="00DD4ADF" w:rsidRDefault="009C595A">
          <w:pPr>
            <w:pStyle w:val="Spistreci2"/>
            <w:rPr>
              <w:rFonts w:asciiTheme="minorHAnsi" w:eastAsiaTheme="minorEastAsia" w:hAnsiTheme="minorHAnsi" w:cstheme="minorBidi"/>
              <w:sz w:val="22"/>
              <w:szCs w:val="22"/>
              <w:lang w:eastAsia="pl-PL"/>
            </w:rPr>
          </w:pPr>
          <w:hyperlink w:anchor="_Toc105512653" w:history="1">
            <w:r w:rsidR="00DD4ADF" w:rsidRPr="00B47543">
              <w:rPr>
                <w:rStyle w:val="Hipercze"/>
              </w:rPr>
              <w:t>8.1.</w:t>
            </w:r>
            <w:r w:rsidR="00DD4ADF">
              <w:rPr>
                <w:rFonts w:asciiTheme="minorHAnsi" w:eastAsiaTheme="minorEastAsia" w:hAnsiTheme="minorHAnsi" w:cstheme="minorBidi"/>
                <w:sz w:val="22"/>
                <w:szCs w:val="22"/>
                <w:lang w:eastAsia="pl-PL"/>
              </w:rPr>
              <w:tab/>
            </w:r>
            <w:r w:rsidR="00DD4ADF" w:rsidRPr="00B47543">
              <w:rPr>
                <w:rStyle w:val="Hipercze"/>
              </w:rPr>
              <w:t>Cele środowiskowe JCWP</w:t>
            </w:r>
            <w:r w:rsidR="00DD4ADF">
              <w:rPr>
                <w:webHidden/>
              </w:rPr>
              <w:tab/>
            </w:r>
            <w:r w:rsidR="00DD4ADF">
              <w:rPr>
                <w:webHidden/>
              </w:rPr>
              <w:fldChar w:fldCharType="begin"/>
            </w:r>
            <w:r w:rsidR="00DD4ADF">
              <w:rPr>
                <w:webHidden/>
              </w:rPr>
              <w:instrText xml:space="preserve"> PAGEREF _Toc105512653 \h </w:instrText>
            </w:r>
            <w:r w:rsidR="00DD4ADF">
              <w:rPr>
                <w:webHidden/>
              </w:rPr>
            </w:r>
            <w:r w:rsidR="00DD4ADF">
              <w:rPr>
                <w:webHidden/>
              </w:rPr>
              <w:fldChar w:fldCharType="separate"/>
            </w:r>
            <w:r w:rsidR="001F774D">
              <w:rPr>
                <w:webHidden/>
              </w:rPr>
              <w:t>159</w:t>
            </w:r>
            <w:r w:rsidR="00DD4ADF">
              <w:rPr>
                <w:webHidden/>
              </w:rPr>
              <w:fldChar w:fldCharType="end"/>
            </w:r>
          </w:hyperlink>
        </w:p>
        <w:p w14:paraId="24513581" w14:textId="54077EBB" w:rsidR="00DD4ADF" w:rsidRDefault="009C595A">
          <w:pPr>
            <w:pStyle w:val="Spistreci3"/>
            <w:rPr>
              <w:rFonts w:asciiTheme="minorHAnsi" w:eastAsiaTheme="minorEastAsia" w:hAnsiTheme="minorHAnsi" w:cstheme="minorBidi"/>
              <w:i w:val="0"/>
              <w:sz w:val="22"/>
              <w:szCs w:val="22"/>
              <w:lang w:eastAsia="pl-PL"/>
            </w:rPr>
          </w:pPr>
          <w:hyperlink w:anchor="_Toc105512654" w:history="1">
            <w:r w:rsidR="00DD4ADF" w:rsidRPr="00B47543">
              <w:rPr>
                <w:rStyle w:val="Hipercze"/>
              </w:rPr>
              <w:t>8.1.1.</w:t>
            </w:r>
            <w:r w:rsidR="00DD4ADF">
              <w:rPr>
                <w:rFonts w:asciiTheme="minorHAnsi" w:eastAsiaTheme="minorEastAsia" w:hAnsiTheme="minorHAnsi" w:cstheme="minorBidi"/>
                <w:i w:val="0"/>
                <w:sz w:val="22"/>
                <w:szCs w:val="22"/>
                <w:lang w:eastAsia="pl-PL"/>
              </w:rPr>
              <w:tab/>
            </w:r>
            <w:r w:rsidR="00DD4ADF" w:rsidRPr="00B47543">
              <w:rPr>
                <w:rStyle w:val="Hipercze"/>
              </w:rPr>
              <w:t>Sposób określenia wartości granicznych dla stanu ekologicznego</w:t>
            </w:r>
            <w:r w:rsidR="00DD4ADF">
              <w:rPr>
                <w:webHidden/>
              </w:rPr>
              <w:tab/>
            </w:r>
            <w:r w:rsidR="00DD4ADF">
              <w:rPr>
                <w:webHidden/>
              </w:rPr>
              <w:fldChar w:fldCharType="begin"/>
            </w:r>
            <w:r w:rsidR="00DD4ADF">
              <w:rPr>
                <w:webHidden/>
              </w:rPr>
              <w:instrText xml:space="preserve"> PAGEREF _Toc105512654 \h </w:instrText>
            </w:r>
            <w:r w:rsidR="00DD4ADF">
              <w:rPr>
                <w:webHidden/>
              </w:rPr>
            </w:r>
            <w:r w:rsidR="00DD4ADF">
              <w:rPr>
                <w:webHidden/>
              </w:rPr>
              <w:fldChar w:fldCharType="separate"/>
            </w:r>
            <w:r w:rsidR="001F774D">
              <w:rPr>
                <w:webHidden/>
              </w:rPr>
              <w:t>164</w:t>
            </w:r>
            <w:r w:rsidR="00DD4ADF">
              <w:rPr>
                <w:webHidden/>
              </w:rPr>
              <w:fldChar w:fldCharType="end"/>
            </w:r>
          </w:hyperlink>
        </w:p>
        <w:p w14:paraId="5A7E5C72" w14:textId="3405E16C" w:rsidR="00DD4ADF" w:rsidRDefault="009C595A">
          <w:pPr>
            <w:pStyle w:val="Spistreci3"/>
            <w:rPr>
              <w:rFonts w:asciiTheme="minorHAnsi" w:eastAsiaTheme="minorEastAsia" w:hAnsiTheme="minorHAnsi" w:cstheme="minorBidi"/>
              <w:i w:val="0"/>
              <w:sz w:val="22"/>
              <w:szCs w:val="22"/>
              <w:lang w:eastAsia="pl-PL"/>
            </w:rPr>
          </w:pPr>
          <w:hyperlink w:anchor="_Toc105512655" w:history="1">
            <w:r w:rsidR="00DD4ADF" w:rsidRPr="00B47543">
              <w:rPr>
                <w:rStyle w:val="Hipercze"/>
              </w:rPr>
              <w:t>8.1.2.</w:t>
            </w:r>
            <w:r w:rsidR="00DD4ADF">
              <w:rPr>
                <w:rFonts w:asciiTheme="minorHAnsi" w:eastAsiaTheme="minorEastAsia" w:hAnsiTheme="minorHAnsi" w:cstheme="minorBidi"/>
                <w:i w:val="0"/>
                <w:sz w:val="22"/>
                <w:szCs w:val="22"/>
                <w:lang w:eastAsia="pl-PL"/>
              </w:rPr>
              <w:tab/>
            </w:r>
            <w:r w:rsidR="00DD4ADF" w:rsidRPr="00B47543">
              <w:rPr>
                <w:rStyle w:val="Hipercze"/>
              </w:rPr>
              <w:t>Sposób określenia wartości granicznych dla potencjału ekologicznego</w:t>
            </w:r>
            <w:r w:rsidR="00DD4ADF">
              <w:rPr>
                <w:webHidden/>
              </w:rPr>
              <w:tab/>
            </w:r>
            <w:r w:rsidR="00DD4ADF">
              <w:rPr>
                <w:webHidden/>
              </w:rPr>
              <w:fldChar w:fldCharType="begin"/>
            </w:r>
            <w:r w:rsidR="00DD4ADF">
              <w:rPr>
                <w:webHidden/>
              </w:rPr>
              <w:instrText xml:space="preserve"> PAGEREF _Toc105512655 \h </w:instrText>
            </w:r>
            <w:r w:rsidR="00DD4ADF">
              <w:rPr>
                <w:webHidden/>
              </w:rPr>
            </w:r>
            <w:r w:rsidR="00DD4ADF">
              <w:rPr>
                <w:webHidden/>
              </w:rPr>
              <w:fldChar w:fldCharType="separate"/>
            </w:r>
            <w:r w:rsidR="001F774D">
              <w:rPr>
                <w:webHidden/>
              </w:rPr>
              <w:t>164</w:t>
            </w:r>
            <w:r w:rsidR="00DD4ADF">
              <w:rPr>
                <w:webHidden/>
              </w:rPr>
              <w:fldChar w:fldCharType="end"/>
            </w:r>
          </w:hyperlink>
        </w:p>
        <w:p w14:paraId="3CAD5F4D" w14:textId="1142B4C3" w:rsidR="00DD4ADF" w:rsidRDefault="009C595A">
          <w:pPr>
            <w:pStyle w:val="Spistreci3"/>
            <w:rPr>
              <w:rFonts w:asciiTheme="minorHAnsi" w:eastAsiaTheme="minorEastAsia" w:hAnsiTheme="minorHAnsi" w:cstheme="minorBidi"/>
              <w:i w:val="0"/>
              <w:sz w:val="22"/>
              <w:szCs w:val="22"/>
              <w:lang w:eastAsia="pl-PL"/>
            </w:rPr>
          </w:pPr>
          <w:hyperlink w:anchor="_Toc105512656" w:history="1">
            <w:r w:rsidR="00DD4ADF" w:rsidRPr="00B47543">
              <w:rPr>
                <w:rStyle w:val="Hipercze"/>
              </w:rPr>
              <w:t>8.1.3.</w:t>
            </w:r>
            <w:r w:rsidR="00DD4ADF">
              <w:rPr>
                <w:rFonts w:asciiTheme="minorHAnsi" w:eastAsiaTheme="minorEastAsia" w:hAnsiTheme="minorHAnsi" w:cstheme="minorBidi"/>
                <w:i w:val="0"/>
                <w:sz w:val="22"/>
                <w:szCs w:val="22"/>
                <w:lang w:eastAsia="pl-PL"/>
              </w:rPr>
              <w:tab/>
            </w:r>
            <w:r w:rsidR="00DD4ADF" w:rsidRPr="00B47543">
              <w:rPr>
                <w:rStyle w:val="Hipercze"/>
              </w:rPr>
              <w:t>Ocena osiągnięcia celów środowiskowych JCWP RW</w:t>
            </w:r>
            <w:r w:rsidR="00DD4ADF">
              <w:rPr>
                <w:webHidden/>
              </w:rPr>
              <w:tab/>
            </w:r>
            <w:r w:rsidR="00DD4ADF">
              <w:rPr>
                <w:webHidden/>
              </w:rPr>
              <w:fldChar w:fldCharType="begin"/>
            </w:r>
            <w:r w:rsidR="00DD4ADF">
              <w:rPr>
                <w:webHidden/>
              </w:rPr>
              <w:instrText xml:space="preserve"> PAGEREF _Toc105512656 \h </w:instrText>
            </w:r>
            <w:r w:rsidR="00DD4ADF">
              <w:rPr>
                <w:webHidden/>
              </w:rPr>
            </w:r>
            <w:r w:rsidR="00DD4ADF">
              <w:rPr>
                <w:webHidden/>
              </w:rPr>
              <w:fldChar w:fldCharType="separate"/>
            </w:r>
            <w:r w:rsidR="001F774D">
              <w:rPr>
                <w:webHidden/>
              </w:rPr>
              <w:t>166</w:t>
            </w:r>
            <w:r w:rsidR="00DD4ADF">
              <w:rPr>
                <w:webHidden/>
              </w:rPr>
              <w:fldChar w:fldCharType="end"/>
            </w:r>
          </w:hyperlink>
        </w:p>
        <w:p w14:paraId="622DD74D" w14:textId="3F036BDC" w:rsidR="00DD4ADF" w:rsidRDefault="009C595A">
          <w:pPr>
            <w:pStyle w:val="Spistreci3"/>
            <w:rPr>
              <w:rFonts w:asciiTheme="minorHAnsi" w:eastAsiaTheme="minorEastAsia" w:hAnsiTheme="minorHAnsi" w:cstheme="minorBidi"/>
              <w:i w:val="0"/>
              <w:sz w:val="22"/>
              <w:szCs w:val="22"/>
              <w:lang w:eastAsia="pl-PL"/>
            </w:rPr>
          </w:pPr>
          <w:hyperlink w:anchor="_Toc105512657" w:history="1">
            <w:r w:rsidR="00DD4ADF" w:rsidRPr="00B47543">
              <w:rPr>
                <w:rStyle w:val="Hipercze"/>
              </w:rPr>
              <w:t>8.1.4.</w:t>
            </w:r>
            <w:r w:rsidR="00DD4ADF">
              <w:rPr>
                <w:rFonts w:asciiTheme="minorHAnsi" w:eastAsiaTheme="minorEastAsia" w:hAnsiTheme="minorHAnsi" w:cstheme="minorBidi"/>
                <w:i w:val="0"/>
                <w:sz w:val="22"/>
                <w:szCs w:val="22"/>
                <w:lang w:eastAsia="pl-PL"/>
              </w:rPr>
              <w:tab/>
            </w:r>
            <w:r w:rsidR="00DD4ADF" w:rsidRPr="00B47543">
              <w:rPr>
                <w:rStyle w:val="Hipercze"/>
              </w:rPr>
              <w:t>Ocena osiągnięcia celów środowiskowych JCWP RWr</w:t>
            </w:r>
            <w:r w:rsidR="00DD4ADF">
              <w:rPr>
                <w:webHidden/>
              </w:rPr>
              <w:tab/>
            </w:r>
            <w:r w:rsidR="00DD4ADF">
              <w:rPr>
                <w:webHidden/>
              </w:rPr>
              <w:fldChar w:fldCharType="begin"/>
            </w:r>
            <w:r w:rsidR="00DD4ADF">
              <w:rPr>
                <w:webHidden/>
              </w:rPr>
              <w:instrText xml:space="preserve"> PAGEREF _Toc105512657 \h </w:instrText>
            </w:r>
            <w:r w:rsidR="00DD4ADF">
              <w:rPr>
                <w:webHidden/>
              </w:rPr>
            </w:r>
            <w:r w:rsidR="00DD4ADF">
              <w:rPr>
                <w:webHidden/>
              </w:rPr>
              <w:fldChar w:fldCharType="separate"/>
            </w:r>
            <w:r w:rsidR="001F774D">
              <w:rPr>
                <w:webHidden/>
              </w:rPr>
              <w:t>171</w:t>
            </w:r>
            <w:r w:rsidR="00DD4ADF">
              <w:rPr>
                <w:webHidden/>
              </w:rPr>
              <w:fldChar w:fldCharType="end"/>
            </w:r>
          </w:hyperlink>
        </w:p>
        <w:p w14:paraId="13A98602" w14:textId="0603677A" w:rsidR="00DD4ADF" w:rsidRDefault="009C595A">
          <w:pPr>
            <w:pStyle w:val="Spistreci3"/>
            <w:rPr>
              <w:rFonts w:asciiTheme="minorHAnsi" w:eastAsiaTheme="minorEastAsia" w:hAnsiTheme="minorHAnsi" w:cstheme="minorBidi"/>
              <w:i w:val="0"/>
              <w:sz w:val="22"/>
              <w:szCs w:val="22"/>
              <w:lang w:eastAsia="pl-PL"/>
            </w:rPr>
          </w:pPr>
          <w:hyperlink w:anchor="_Toc105512658" w:history="1">
            <w:r w:rsidR="00DD4ADF" w:rsidRPr="00B47543">
              <w:rPr>
                <w:rStyle w:val="Hipercze"/>
              </w:rPr>
              <w:t>8.1.5.</w:t>
            </w:r>
            <w:r w:rsidR="00DD4ADF">
              <w:rPr>
                <w:rFonts w:asciiTheme="minorHAnsi" w:eastAsiaTheme="minorEastAsia" w:hAnsiTheme="minorHAnsi" w:cstheme="minorBidi"/>
                <w:i w:val="0"/>
                <w:sz w:val="22"/>
                <w:szCs w:val="22"/>
                <w:lang w:eastAsia="pl-PL"/>
              </w:rPr>
              <w:tab/>
            </w:r>
            <w:r w:rsidR="00DD4ADF" w:rsidRPr="00B47543">
              <w:rPr>
                <w:rStyle w:val="Hipercze"/>
              </w:rPr>
              <w:t>Ocena osiągnięcia celów środowiskowych JCWP LW</w:t>
            </w:r>
            <w:r w:rsidR="00DD4ADF">
              <w:rPr>
                <w:webHidden/>
              </w:rPr>
              <w:tab/>
            </w:r>
            <w:r w:rsidR="00DD4ADF">
              <w:rPr>
                <w:webHidden/>
              </w:rPr>
              <w:fldChar w:fldCharType="begin"/>
            </w:r>
            <w:r w:rsidR="00DD4ADF">
              <w:rPr>
                <w:webHidden/>
              </w:rPr>
              <w:instrText xml:space="preserve"> PAGEREF _Toc105512658 \h </w:instrText>
            </w:r>
            <w:r w:rsidR="00DD4ADF">
              <w:rPr>
                <w:webHidden/>
              </w:rPr>
            </w:r>
            <w:r w:rsidR="00DD4ADF">
              <w:rPr>
                <w:webHidden/>
              </w:rPr>
              <w:fldChar w:fldCharType="separate"/>
            </w:r>
            <w:r w:rsidR="001F774D">
              <w:rPr>
                <w:webHidden/>
              </w:rPr>
              <w:t>174</w:t>
            </w:r>
            <w:r w:rsidR="00DD4ADF">
              <w:rPr>
                <w:webHidden/>
              </w:rPr>
              <w:fldChar w:fldCharType="end"/>
            </w:r>
          </w:hyperlink>
        </w:p>
        <w:p w14:paraId="6986B6D1" w14:textId="3A046E40" w:rsidR="00DD4ADF" w:rsidRDefault="009C595A">
          <w:pPr>
            <w:pStyle w:val="Spistreci3"/>
            <w:rPr>
              <w:rFonts w:asciiTheme="minorHAnsi" w:eastAsiaTheme="minorEastAsia" w:hAnsiTheme="minorHAnsi" w:cstheme="minorBidi"/>
              <w:i w:val="0"/>
              <w:sz w:val="22"/>
              <w:szCs w:val="22"/>
              <w:lang w:eastAsia="pl-PL"/>
            </w:rPr>
          </w:pPr>
          <w:hyperlink w:anchor="_Toc105512659" w:history="1">
            <w:r w:rsidR="00DD4ADF" w:rsidRPr="00B47543">
              <w:rPr>
                <w:rStyle w:val="Hipercze"/>
              </w:rPr>
              <w:t>8.1.6.</w:t>
            </w:r>
            <w:r w:rsidR="00DD4ADF">
              <w:rPr>
                <w:rFonts w:asciiTheme="minorHAnsi" w:eastAsiaTheme="minorEastAsia" w:hAnsiTheme="minorHAnsi" w:cstheme="minorBidi"/>
                <w:i w:val="0"/>
                <w:sz w:val="22"/>
                <w:szCs w:val="22"/>
                <w:lang w:eastAsia="pl-PL"/>
              </w:rPr>
              <w:tab/>
            </w:r>
            <w:r w:rsidR="00DD4ADF" w:rsidRPr="00B47543">
              <w:rPr>
                <w:rStyle w:val="Hipercze"/>
              </w:rPr>
              <w:t>Ocena osiągnięcia celów środowiskowych JCWP TW i CW</w:t>
            </w:r>
            <w:r w:rsidR="00DD4ADF">
              <w:rPr>
                <w:webHidden/>
              </w:rPr>
              <w:tab/>
            </w:r>
            <w:r w:rsidR="00DD4ADF">
              <w:rPr>
                <w:webHidden/>
              </w:rPr>
              <w:fldChar w:fldCharType="begin"/>
            </w:r>
            <w:r w:rsidR="00DD4ADF">
              <w:rPr>
                <w:webHidden/>
              </w:rPr>
              <w:instrText xml:space="preserve"> PAGEREF _Toc105512659 \h </w:instrText>
            </w:r>
            <w:r w:rsidR="00DD4ADF">
              <w:rPr>
                <w:webHidden/>
              </w:rPr>
            </w:r>
            <w:r w:rsidR="00DD4ADF">
              <w:rPr>
                <w:webHidden/>
              </w:rPr>
              <w:fldChar w:fldCharType="separate"/>
            </w:r>
            <w:r w:rsidR="001F774D">
              <w:rPr>
                <w:webHidden/>
              </w:rPr>
              <w:t>178</w:t>
            </w:r>
            <w:r w:rsidR="00DD4ADF">
              <w:rPr>
                <w:webHidden/>
              </w:rPr>
              <w:fldChar w:fldCharType="end"/>
            </w:r>
          </w:hyperlink>
        </w:p>
        <w:p w14:paraId="702063B0" w14:textId="0B6F746E" w:rsidR="00DD4ADF" w:rsidRDefault="009C595A">
          <w:pPr>
            <w:pStyle w:val="Spistreci2"/>
            <w:rPr>
              <w:rFonts w:asciiTheme="minorHAnsi" w:eastAsiaTheme="minorEastAsia" w:hAnsiTheme="minorHAnsi" w:cstheme="minorBidi"/>
              <w:sz w:val="22"/>
              <w:szCs w:val="22"/>
              <w:lang w:eastAsia="pl-PL"/>
            </w:rPr>
          </w:pPr>
          <w:hyperlink w:anchor="_Toc105512660" w:history="1">
            <w:r w:rsidR="00DD4ADF" w:rsidRPr="00B47543">
              <w:rPr>
                <w:rStyle w:val="Hipercze"/>
              </w:rPr>
              <w:t>8.2.</w:t>
            </w:r>
            <w:r w:rsidR="00DD4ADF">
              <w:rPr>
                <w:rFonts w:asciiTheme="minorHAnsi" w:eastAsiaTheme="minorEastAsia" w:hAnsiTheme="minorHAnsi" w:cstheme="minorBidi"/>
                <w:sz w:val="22"/>
                <w:szCs w:val="22"/>
                <w:lang w:eastAsia="pl-PL"/>
              </w:rPr>
              <w:tab/>
            </w:r>
            <w:r w:rsidR="00DD4ADF" w:rsidRPr="00B47543">
              <w:rPr>
                <w:rStyle w:val="Hipercze"/>
              </w:rPr>
              <w:t>Cele środowiskowe JCWPd</w:t>
            </w:r>
            <w:r w:rsidR="00DD4ADF">
              <w:rPr>
                <w:webHidden/>
              </w:rPr>
              <w:tab/>
            </w:r>
            <w:r w:rsidR="00DD4ADF">
              <w:rPr>
                <w:webHidden/>
              </w:rPr>
              <w:fldChar w:fldCharType="begin"/>
            </w:r>
            <w:r w:rsidR="00DD4ADF">
              <w:rPr>
                <w:webHidden/>
              </w:rPr>
              <w:instrText xml:space="preserve"> PAGEREF _Toc105512660 \h </w:instrText>
            </w:r>
            <w:r w:rsidR="00DD4ADF">
              <w:rPr>
                <w:webHidden/>
              </w:rPr>
            </w:r>
            <w:r w:rsidR="00DD4ADF">
              <w:rPr>
                <w:webHidden/>
              </w:rPr>
              <w:fldChar w:fldCharType="separate"/>
            </w:r>
            <w:r w:rsidR="001F774D">
              <w:rPr>
                <w:webHidden/>
              </w:rPr>
              <w:t>179</w:t>
            </w:r>
            <w:r w:rsidR="00DD4ADF">
              <w:rPr>
                <w:webHidden/>
              </w:rPr>
              <w:fldChar w:fldCharType="end"/>
            </w:r>
          </w:hyperlink>
        </w:p>
        <w:p w14:paraId="259D4921" w14:textId="768FB6B5" w:rsidR="00DD4ADF" w:rsidRDefault="009C595A">
          <w:pPr>
            <w:pStyle w:val="Spistreci2"/>
            <w:rPr>
              <w:rFonts w:asciiTheme="minorHAnsi" w:eastAsiaTheme="minorEastAsia" w:hAnsiTheme="minorHAnsi" w:cstheme="minorBidi"/>
              <w:sz w:val="22"/>
              <w:szCs w:val="22"/>
              <w:lang w:eastAsia="pl-PL"/>
            </w:rPr>
          </w:pPr>
          <w:hyperlink w:anchor="_Toc105512661" w:history="1">
            <w:r w:rsidR="00DD4ADF" w:rsidRPr="00B47543">
              <w:rPr>
                <w:rStyle w:val="Hipercze"/>
                <w:rFonts w:cstheme="minorHAnsi"/>
                <w:bCs/>
                <w:iCs/>
              </w:rPr>
              <w:t>8.3.</w:t>
            </w:r>
            <w:r w:rsidR="00DD4ADF">
              <w:rPr>
                <w:rFonts w:asciiTheme="minorHAnsi" w:eastAsiaTheme="minorEastAsia" w:hAnsiTheme="minorHAnsi" w:cstheme="minorBidi"/>
                <w:sz w:val="22"/>
                <w:szCs w:val="22"/>
                <w:lang w:eastAsia="pl-PL"/>
              </w:rPr>
              <w:tab/>
            </w:r>
            <w:r w:rsidR="00DD4ADF" w:rsidRPr="00B47543">
              <w:rPr>
                <w:rStyle w:val="Hipercze"/>
              </w:rPr>
              <w:t>Cele środowiskowe obszarów chronionych</w:t>
            </w:r>
            <w:r w:rsidR="00DD4ADF">
              <w:rPr>
                <w:webHidden/>
              </w:rPr>
              <w:tab/>
            </w:r>
            <w:r w:rsidR="00DD4ADF">
              <w:rPr>
                <w:webHidden/>
              </w:rPr>
              <w:fldChar w:fldCharType="begin"/>
            </w:r>
            <w:r w:rsidR="00DD4ADF">
              <w:rPr>
                <w:webHidden/>
              </w:rPr>
              <w:instrText xml:space="preserve"> PAGEREF _Toc105512661 \h </w:instrText>
            </w:r>
            <w:r w:rsidR="00DD4ADF">
              <w:rPr>
                <w:webHidden/>
              </w:rPr>
            </w:r>
            <w:r w:rsidR="00DD4ADF">
              <w:rPr>
                <w:webHidden/>
              </w:rPr>
              <w:fldChar w:fldCharType="separate"/>
            </w:r>
            <w:r w:rsidR="001F774D">
              <w:rPr>
                <w:webHidden/>
              </w:rPr>
              <w:t>183</w:t>
            </w:r>
            <w:r w:rsidR="00DD4ADF">
              <w:rPr>
                <w:webHidden/>
              </w:rPr>
              <w:fldChar w:fldCharType="end"/>
            </w:r>
          </w:hyperlink>
        </w:p>
        <w:p w14:paraId="1E0B49F0" w14:textId="406CD0CC" w:rsidR="00DD4ADF" w:rsidRDefault="009C595A">
          <w:pPr>
            <w:pStyle w:val="Spistreci2"/>
            <w:rPr>
              <w:rFonts w:asciiTheme="minorHAnsi" w:eastAsiaTheme="minorEastAsia" w:hAnsiTheme="minorHAnsi" w:cstheme="minorBidi"/>
              <w:sz w:val="22"/>
              <w:szCs w:val="22"/>
              <w:lang w:eastAsia="pl-PL"/>
            </w:rPr>
          </w:pPr>
          <w:hyperlink w:anchor="_Toc105512662" w:history="1">
            <w:r w:rsidR="00DD4ADF" w:rsidRPr="00B47543">
              <w:rPr>
                <w:rStyle w:val="Hipercze"/>
                <w:lang w:eastAsia="zh-TW"/>
              </w:rPr>
              <w:t>8.4.</w:t>
            </w:r>
            <w:r w:rsidR="00DD4ADF">
              <w:rPr>
                <w:rFonts w:asciiTheme="minorHAnsi" w:eastAsiaTheme="minorEastAsia" w:hAnsiTheme="minorHAnsi" w:cstheme="minorBidi"/>
                <w:sz w:val="22"/>
                <w:szCs w:val="22"/>
                <w:lang w:eastAsia="pl-PL"/>
              </w:rPr>
              <w:tab/>
            </w:r>
            <w:r w:rsidR="00DD4ADF" w:rsidRPr="00B47543">
              <w:rPr>
                <w:rStyle w:val="Hipercze"/>
                <w:lang w:eastAsia="zh-TW"/>
              </w:rPr>
              <w:t>Przedłużenie terminu osiągnięcia celów środowiskowych i ustalenie mniej rygorystycznych celów środowiskowych</w:t>
            </w:r>
            <w:r w:rsidR="00DD4ADF">
              <w:rPr>
                <w:webHidden/>
              </w:rPr>
              <w:tab/>
            </w:r>
            <w:r w:rsidR="00DD4ADF">
              <w:rPr>
                <w:webHidden/>
              </w:rPr>
              <w:fldChar w:fldCharType="begin"/>
            </w:r>
            <w:r w:rsidR="00DD4ADF">
              <w:rPr>
                <w:webHidden/>
              </w:rPr>
              <w:instrText xml:space="preserve"> PAGEREF _Toc105512662 \h </w:instrText>
            </w:r>
            <w:r w:rsidR="00DD4ADF">
              <w:rPr>
                <w:webHidden/>
              </w:rPr>
            </w:r>
            <w:r w:rsidR="00DD4ADF">
              <w:rPr>
                <w:webHidden/>
              </w:rPr>
              <w:fldChar w:fldCharType="separate"/>
            </w:r>
            <w:r w:rsidR="001F774D">
              <w:rPr>
                <w:webHidden/>
              </w:rPr>
              <w:t>190</w:t>
            </w:r>
            <w:r w:rsidR="00DD4ADF">
              <w:rPr>
                <w:webHidden/>
              </w:rPr>
              <w:fldChar w:fldCharType="end"/>
            </w:r>
          </w:hyperlink>
        </w:p>
        <w:p w14:paraId="32203296" w14:textId="3E5D9D06" w:rsidR="00DD4ADF" w:rsidRDefault="009C595A">
          <w:pPr>
            <w:pStyle w:val="Spistreci2"/>
            <w:rPr>
              <w:rFonts w:asciiTheme="minorHAnsi" w:eastAsiaTheme="minorEastAsia" w:hAnsiTheme="minorHAnsi" w:cstheme="minorBidi"/>
              <w:sz w:val="22"/>
              <w:szCs w:val="22"/>
              <w:lang w:eastAsia="pl-PL"/>
            </w:rPr>
          </w:pPr>
          <w:hyperlink w:anchor="_Toc105512663" w:history="1">
            <w:r w:rsidR="00DD4ADF" w:rsidRPr="00B47543">
              <w:rPr>
                <w:rStyle w:val="Hipercze"/>
                <w:lang w:eastAsia="zh-TW"/>
              </w:rPr>
              <w:t>8.5.</w:t>
            </w:r>
            <w:r w:rsidR="00DD4ADF">
              <w:rPr>
                <w:rFonts w:asciiTheme="minorHAnsi" w:eastAsiaTheme="minorEastAsia" w:hAnsiTheme="minorHAnsi" w:cstheme="minorBidi"/>
                <w:sz w:val="22"/>
                <w:szCs w:val="22"/>
                <w:lang w:eastAsia="pl-PL"/>
              </w:rPr>
              <w:tab/>
            </w:r>
            <w:r w:rsidR="00DD4ADF" w:rsidRPr="00B47543">
              <w:rPr>
                <w:rStyle w:val="Hipercze"/>
                <w:lang w:eastAsia="zh-TW"/>
              </w:rPr>
              <w:t>Cele środowiskowe a czasowe pogorszenie stanu jcw w wyniku zjawisk o charakterze naturalnym lub na skutek siły wyższej</w:t>
            </w:r>
            <w:r w:rsidR="00DD4ADF">
              <w:rPr>
                <w:webHidden/>
              </w:rPr>
              <w:tab/>
            </w:r>
            <w:r w:rsidR="00DD4ADF">
              <w:rPr>
                <w:webHidden/>
              </w:rPr>
              <w:fldChar w:fldCharType="begin"/>
            </w:r>
            <w:r w:rsidR="00DD4ADF">
              <w:rPr>
                <w:webHidden/>
              </w:rPr>
              <w:instrText xml:space="preserve"> PAGEREF _Toc105512663 \h </w:instrText>
            </w:r>
            <w:r w:rsidR="00DD4ADF">
              <w:rPr>
                <w:webHidden/>
              </w:rPr>
            </w:r>
            <w:r w:rsidR="00DD4ADF">
              <w:rPr>
                <w:webHidden/>
              </w:rPr>
              <w:fldChar w:fldCharType="separate"/>
            </w:r>
            <w:r w:rsidR="001F774D">
              <w:rPr>
                <w:webHidden/>
              </w:rPr>
              <w:t>197</w:t>
            </w:r>
            <w:r w:rsidR="00DD4ADF">
              <w:rPr>
                <w:webHidden/>
              </w:rPr>
              <w:fldChar w:fldCharType="end"/>
            </w:r>
          </w:hyperlink>
        </w:p>
        <w:p w14:paraId="18417964" w14:textId="379D559D" w:rsidR="00DD4ADF" w:rsidRDefault="009C595A">
          <w:pPr>
            <w:pStyle w:val="Spistreci1"/>
            <w:rPr>
              <w:rFonts w:asciiTheme="minorHAnsi" w:eastAsiaTheme="minorEastAsia" w:hAnsiTheme="minorHAnsi" w:cstheme="minorBidi"/>
              <w:b w:val="0"/>
              <w:smallCaps w:val="0"/>
              <w:sz w:val="22"/>
              <w:szCs w:val="22"/>
              <w:lang w:eastAsia="pl-PL"/>
            </w:rPr>
          </w:pPr>
          <w:hyperlink w:anchor="_Toc105512664" w:history="1">
            <w:r w:rsidR="00DD4ADF" w:rsidRPr="00B47543">
              <w:rPr>
                <w:rStyle w:val="Hipercze"/>
              </w:rPr>
              <w:t>9.</w:t>
            </w:r>
            <w:r w:rsidR="00DD4ADF">
              <w:rPr>
                <w:rFonts w:asciiTheme="minorHAnsi" w:eastAsiaTheme="minorEastAsia" w:hAnsiTheme="minorHAnsi" w:cstheme="minorBidi"/>
                <w:b w:val="0"/>
                <w:smallCaps w:val="0"/>
                <w:sz w:val="22"/>
                <w:szCs w:val="22"/>
                <w:lang w:eastAsia="pl-PL"/>
              </w:rPr>
              <w:tab/>
            </w:r>
            <w:r w:rsidR="00DD4ADF" w:rsidRPr="00B47543">
              <w:rPr>
                <w:rStyle w:val="Hipercze"/>
              </w:rPr>
              <w:t>Ocena postępu w osiąganiu celów środowiskowych</w:t>
            </w:r>
            <w:r w:rsidR="00DD4ADF">
              <w:rPr>
                <w:webHidden/>
              </w:rPr>
              <w:tab/>
            </w:r>
            <w:r w:rsidR="00DD4ADF">
              <w:rPr>
                <w:webHidden/>
              </w:rPr>
              <w:fldChar w:fldCharType="begin"/>
            </w:r>
            <w:r w:rsidR="00DD4ADF">
              <w:rPr>
                <w:webHidden/>
              </w:rPr>
              <w:instrText xml:space="preserve"> PAGEREF _Toc105512664 \h </w:instrText>
            </w:r>
            <w:r w:rsidR="00DD4ADF">
              <w:rPr>
                <w:webHidden/>
              </w:rPr>
            </w:r>
            <w:r w:rsidR="00DD4ADF">
              <w:rPr>
                <w:webHidden/>
              </w:rPr>
              <w:fldChar w:fldCharType="separate"/>
            </w:r>
            <w:r w:rsidR="001F774D">
              <w:rPr>
                <w:webHidden/>
              </w:rPr>
              <w:t>199</w:t>
            </w:r>
            <w:r w:rsidR="00DD4ADF">
              <w:rPr>
                <w:webHidden/>
              </w:rPr>
              <w:fldChar w:fldCharType="end"/>
            </w:r>
          </w:hyperlink>
        </w:p>
        <w:p w14:paraId="22DA9D17" w14:textId="6FA7E8B5" w:rsidR="00DD4ADF" w:rsidRDefault="009C595A">
          <w:pPr>
            <w:pStyle w:val="Spistreci2"/>
            <w:rPr>
              <w:rFonts w:asciiTheme="minorHAnsi" w:eastAsiaTheme="minorEastAsia" w:hAnsiTheme="minorHAnsi" w:cstheme="minorBidi"/>
              <w:sz w:val="22"/>
              <w:szCs w:val="22"/>
              <w:lang w:eastAsia="pl-PL"/>
            </w:rPr>
          </w:pPr>
          <w:hyperlink w:anchor="_Toc105512665" w:history="1">
            <w:r w:rsidR="00DD4ADF" w:rsidRPr="00B47543">
              <w:rPr>
                <w:rStyle w:val="Hipercze"/>
              </w:rPr>
              <w:t>9.1.</w:t>
            </w:r>
            <w:r w:rsidR="00DD4ADF">
              <w:rPr>
                <w:rFonts w:asciiTheme="minorHAnsi" w:eastAsiaTheme="minorEastAsia" w:hAnsiTheme="minorHAnsi" w:cstheme="minorBidi"/>
                <w:sz w:val="22"/>
                <w:szCs w:val="22"/>
                <w:lang w:eastAsia="pl-PL"/>
              </w:rPr>
              <w:tab/>
            </w:r>
            <w:r w:rsidR="00DD4ADF" w:rsidRPr="00B47543">
              <w:rPr>
                <w:rStyle w:val="Hipercze"/>
              </w:rPr>
              <w:t>Ocena postępu w osiąganiu celów środowiskowych JCWP</w:t>
            </w:r>
            <w:r w:rsidR="00DD4ADF">
              <w:rPr>
                <w:webHidden/>
              </w:rPr>
              <w:tab/>
            </w:r>
            <w:r w:rsidR="00DD4ADF">
              <w:rPr>
                <w:webHidden/>
              </w:rPr>
              <w:fldChar w:fldCharType="begin"/>
            </w:r>
            <w:r w:rsidR="00DD4ADF">
              <w:rPr>
                <w:webHidden/>
              </w:rPr>
              <w:instrText xml:space="preserve"> PAGEREF _Toc105512665 \h </w:instrText>
            </w:r>
            <w:r w:rsidR="00DD4ADF">
              <w:rPr>
                <w:webHidden/>
              </w:rPr>
            </w:r>
            <w:r w:rsidR="00DD4ADF">
              <w:rPr>
                <w:webHidden/>
              </w:rPr>
              <w:fldChar w:fldCharType="separate"/>
            </w:r>
            <w:r w:rsidR="001F774D">
              <w:rPr>
                <w:webHidden/>
              </w:rPr>
              <w:t>200</w:t>
            </w:r>
            <w:r w:rsidR="00DD4ADF">
              <w:rPr>
                <w:webHidden/>
              </w:rPr>
              <w:fldChar w:fldCharType="end"/>
            </w:r>
          </w:hyperlink>
        </w:p>
        <w:p w14:paraId="37C931D4" w14:textId="15C41B56" w:rsidR="00DD4ADF" w:rsidRDefault="009C595A">
          <w:pPr>
            <w:pStyle w:val="Spistreci3"/>
            <w:rPr>
              <w:rFonts w:asciiTheme="minorHAnsi" w:eastAsiaTheme="minorEastAsia" w:hAnsiTheme="minorHAnsi" w:cstheme="minorBidi"/>
              <w:i w:val="0"/>
              <w:sz w:val="22"/>
              <w:szCs w:val="22"/>
              <w:lang w:eastAsia="pl-PL"/>
            </w:rPr>
          </w:pPr>
          <w:hyperlink w:anchor="_Toc105512666" w:history="1">
            <w:r w:rsidR="00DD4ADF" w:rsidRPr="00B47543">
              <w:rPr>
                <w:rStyle w:val="Hipercze"/>
              </w:rPr>
              <w:t>9.1.1.</w:t>
            </w:r>
            <w:r w:rsidR="00DD4ADF">
              <w:rPr>
                <w:rFonts w:asciiTheme="minorHAnsi" w:eastAsiaTheme="minorEastAsia" w:hAnsiTheme="minorHAnsi" w:cstheme="minorBidi"/>
                <w:i w:val="0"/>
                <w:sz w:val="22"/>
                <w:szCs w:val="22"/>
                <w:lang w:eastAsia="pl-PL"/>
              </w:rPr>
              <w:tab/>
            </w:r>
            <w:r w:rsidR="00DD4ADF" w:rsidRPr="00B47543">
              <w:rPr>
                <w:rStyle w:val="Hipercze"/>
              </w:rPr>
              <w:t>Ocena postępu w osiąganiu celów środowiskowych dla stanu/potencjału ekologicznego JCWP RW w okresie od 2016 r. do 2021 r. wraz z wyjaśnieniem przyczyn nieosiągnięcia celów środowiskowych</w:t>
            </w:r>
            <w:r w:rsidR="00DD4ADF">
              <w:rPr>
                <w:webHidden/>
              </w:rPr>
              <w:tab/>
            </w:r>
            <w:r w:rsidR="00DD4ADF">
              <w:rPr>
                <w:webHidden/>
              </w:rPr>
              <w:fldChar w:fldCharType="begin"/>
            </w:r>
            <w:r w:rsidR="00DD4ADF">
              <w:rPr>
                <w:webHidden/>
              </w:rPr>
              <w:instrText xml:space="preserve"> PAGEREF _Toc105512666 \h </w:instrText>
            </w:r>
            <w:r w:rsidR="00DD4ADF">
              <w:rPr>
                <w:webHidden/>
              </w:rPr>
            </w:r>
            <w:r w:rsidR="00DD4ADF">
              <w:rPr>
                <w:webHidden/>
              </w:rPr>
              <w:fldChar w:fldCharType="separate"/>
            </w:r>
            <w:r w:rsidR="001F774D">
              <w:rPr>
                <w:webHidden/>
              </w:rPr>
              <w:t>200</w:t>
            </w:r>
            <w:r w:rsidR="00DD4ADF">
              <w:rPr>
                <w:webHidden/>
              </w:rPr>
              <w:fldChar w:fldCharType="end"/>
            </w:r>
          </w:hyperlink>
        </w:p>
        <w:p w14:paraId="3C896DE1" w14:textId="6B5EC8D9" w:rsidR="00DD4ADF" w:rsidRDefault="009C595A">
          <w:pPr>
            <w:pStyle w:val="Spistreci3"/>
            <w:rPr>
              <w:rFonts w:asciiTheme="minorHAnsi" w:eastAsiaTheme="minorEastAsia" w:hAnsiTheme="minorHAnsi" w:cstheme="minorBidi"/>
              <w:i w:val="0"/>
              <w:sz w:val="22"/>
              <w:szCs w:val="22"/>
              <w:lang w:eastAsia="pl-PL"/>
            </w:rPr>
          </w:pPr>
          <w:hyperlink w:anchor="_Toc105512667" w:history="1">
            <w:r w:rsidR="00DD4ADF" w:rsidRPr="00B47543">
              <w:rPr>
                <w:rStyle w:val="Hipercze"/>
              </w:rPr>
              <w:t>9.1.2.</w:t>
            </w:r>
            <w:r w:rsidR="00DD4ADF">
              <w:rPr>
                <w:rFonts w:asciiTheme="minorHAnsi" w:eastAsiaTheme="minorEastAsia" w:hAnsiTheme="minorHAnsi" w:cstheme="minorBidi"/>
                <w:i w:val="0"/>
                <w:sz w:val="22"/>
                <w:szCs w:val="22"/>
                <w:lang w:eastAsia="pl-PL"/>
              </w:rPr>
              <w:tab/>
            </w:r>
            <w:r w:rsidR="00DD4ADF" w:rsidRPr="00B47543">
              <w:rPr>
                <w:rStyle w:val="Hipercze"/>
              </w:rPr>
              <w:t>Ocena postępu w osiąganiu celów środowiskowych dla stanu chemicznego JCWP RW w okresie od 2016 r. do 2021 r. wraz z wyjaśnieniem przyczyn nieosiągnięcia celów środowiskowych</w:t>
            </w:r>
            <w:r w:rsidR="00DD4ADF">
              <w:rPr>
                <w:webHidden/>
              </w:rPr>
              <w:tab/>
            </w:r>
            <w:r w:rsidR="00DD4ADF">
              <w:rPr>
                <w:webHidden/>
              </w:rPr>
              <w:fldChar w:fldCharType="begin"/>
            </w:r>
            <w:r w:rsidR="00DD4ADF">
              <w:rPr>
                <w:webHidden/>
              </w:rPr>
              <w:instrText xml:space="preserve"> PAGEREF _Toc105512667 \h </w:instrText>
            </w:r>
            <w:r w:rsidR="00DD4ADF">
              <w:rPr>
                <w:webHidden/>
              </w:rPr>
            </w:r>
            <w:r w:rsidR="00DD4ADF">
              <w:rPr>
                <w:webHidden/>
              </w:rPr>
              <w:fldChar w:fldCharType="separate"/>
            </w:r>
            <w:r w:rsidR="001F774D">
              <w:rPr>
                <w:webHidden/>
              </w:rPr>
              <w:t>202</w:t>
            </w:r>
            <w:r w:rsidR="00DD4ADF">
              <w:rPr>
                <w:webHidden/>
              </w:rPr>
              <w:fldChar w:fldCharType="end"/>
            </w:r>
          </w:hyperlink>
        </w:p>
        <w:p w14:paraId="7F491EBC" w14:textId="6805A377" w:rsidR="00DD4ADF" w:rsidRDefault="009C595A">
          <w:pPr>
            <w:pStyle w:val="Spistreci3"/>
            <w:rPr>
              <w:rFonts w:asciiTheme="minorHAnsi" w:eastAsiaTheme="minorEastAsia" w:hAnsiTheme="minorHAnsi" w:cstheme="minorBidi"/>
              <w:i w:val="0"/>
              <w:sz w:val="22"/>
              <w:szCs w:val="22"/>
              <w:lang w:eastAsia="pl-PL"/>
            </w:rPr>
          </w:pPr>
          <w:hyperlink w:anchor="_Toc105512668" w:history="1">
            <w:r w:rsidR="00DD4ADF" w:rsidRPr="00B47543">
              <w:rPr>
                <w:rStyle w:val="Hipercze"/>
              </w:rPr>
              <w:t>9.1.3.</w:t>
            </w:r>
            <w:r w:rsidR="00DD4ADF">
              <w:rPr>
                <w:rFonts w:asciiTheme="minorHAnsi" w:eastAsiaTheme="minorEastAsia" w:hAnsiTheme="minorHAnsi" w:cstheme="minorBidi"/>
                <w:i w:val="0"/>
                <w:sz w:val="22"/>
                <w:szCs w:val="22"/>
                <w:lang w:eastAsia="pl-PL"/>
              </w:rPr>
              <w:tab/>
            </w:r>
            <w:r w:rsidR="00DD4ADF" w:rsidRPr="00B47543">
              <w:rPr>
                <w:rStyle w:val="Hipercze"/>
              </w:rPr>
              <w:t>Ocena postępu w osiąganiu celów środowiskowych dla stanu/potencjału ekologicznego JCWP RWr w okresie od 2016 r. do 2021 r. wraz z wyjaśnieniem przyczyn nieosiągnięcia celów środowiskowych</w:t>
            </w:r>
            <w:r w:rsidR="00DD4ADF">
              <w:rPr>
                <w:webHidden/>
              </w:rPr>
              <w:tab/>
            </w:r>
            <w:r w:rsidR="00DD4ADF">
              <w:rPr>
                <w:webHidden/>
              </w:rPr>
              <w:fldChar w:fldCharType="begin"/>
            </w:r>
            <w:r w:rsidR="00DD4ADF">
              <w:rPr>
                <w:webHidden/>
              </w:rPr>
              <w:instrText xml:space="preserve"> PAGEREF _Toc105512668 \h </w:instrText>
            </w:r>
            <w:r w:rsidR="00DD4ADF">
              <w:rPr>
                <w:webHidden/>
              </w:rPr>
            </w:r>
            <w:r w:rsidR="00DD4ADF">
              <w:rPr>
                <w:webHidden/>
              </w:rPr>
              <w:fldChar w:fldCharType="separate"/>
            </w:r>
            <w:r w:rsidR="001F774D">
              <w:rPr>
                <w:webHidden/>
              </w:rPr>
              <w:t>205</w:t>
            </w:r>
            <w:r w:rsidR="00DD4ADF">
              <w:rPr>
                <w:webHidden/>
              </w:rPr>
              <w:fldChar w:fldCharType="end"/>
            </w:r>
          </w:hyperlink>
        </w:p>
        <w:p w14:paraId="332D15DF" w14:textId="511E6AA2" w:rsidR="00DD4ADF" w:rsidRDefault="009C595A">
          <w:pPr>
            <w:pStyle w:val="Spistreci3"/>
            <w:rPr>
              <w:rFonts w:asciiTheme="minorHAnsi" w:eastAsiaTheme="minorEastAsia" w:hAnsiTheme="minorHAnsi" w:cstheme="minorBidi"/>
              <w:i w:val="0"/>
              <w:sz w:val="22"/>
              <w:szCs w:val="22"/>
              <w:lang w:eastAsia="pl-PL"/>
            </w:rPr>
          </w:pPr>
          <w:hyperlink w:anchor="_Toc105512669" w:history="1">
            <w:r w:rsidR="00DD4ADF" w:rsidRPr="00B47543">
              <w:rPr>
                <w:rStyle w:val="Hipercze"/>
              </w:rPr>
              <w:t>9.1.4.</w:t>
            </w:r>
            <w:r w:rsidR="00DD4ADF">
              <w:rPr>
                <w:rFonts w:asciiTheme="minorHAnsi" w:eastAsiaTheme="minorEastAsia" w:hAnsiTheme="minorHAnsi" w:cstheme="minorBidi"/>
                <w:i w:val="0"/>
                <w:sz w:val="22"/>
                <w:szCs w:val="22"/>
                <w:lang w:eastAsia="pl-PL"/>
              </w:rPr>
              <w:tab/>
            </w:r>
            <w:r w:rsidR="00DD4ADF" w:rsidRPr="00B47543">
              <w:rPr>
                <w:rStyle w:val="Hipercze"/>
              </w:rPr>
              <w:t>Ocena postępu w osiąganiu celów środowiskowych dla stanu chemicznego JCWP RWr w okresie od 2016 r. do 2021 r. wraz z wyjaśnieniem przyczyn nieosiągnięcia celów środowiskowych</w:t>
            </w:r>
            <w:r w:rsidR="00DD4ADF">
              <w:rPr>
                <w:webHidden/>
              </w:rPr>
              <w:tab/>
            </w:r>
            <w:r w:rsidR="00DD4ADF">
              <w:rPr>
                <w:webHidden/>
              </w:rPr>
              <w:fldChar w:fldCharType="begin"/>
            </w:r>
            <w:r w:rsidR="00DD4ADF">
              <w:rPr>
                <w:webHidden/>
              </w:rPr>
              <w:instrText xml:space="preserve"> PAGEREF _Toc105512669 \h </w:instrText>
            </w:r>
            <w:r w:rsidR="00DD4ADF">
              <w:rPr>
                <w:webHidden/>
              </w:rPr>
            </w:r>
            <w:r w:rsidR="00DD4ADF">
              <w:rPr>
                <w:webHidden/>
              </w:rPr>
              <w:fldChar w:fldCharType="separate"/>
            </w:r>
            <w:r w:rsidR="001F774D">
              <w:rPr>
                <w:webHidden/>
              </w:rPr>
              <w:t>207</w:t>
            </w:r>
            <w:r w:rsidR="00DD4ADF">
              <w:rPr>
                <w:webHidden/>
              </w:rPr>
              <w:fldChar w:fldCharType="end"/>
            </w:r>
          </w:hyperlink>
        </w:p>
        <w:p w14:paraId="63ACE45A" w14:textId="15DA4500" w:rsidR="00DD4ADF" w:rsidRDefault="009C595A">
          <w:pPr>
            <w:pStyle w:val="Spistreci3"/>
            <w:rPr>
              <w:rFonts w:asciiTheme="minorHAnsi" w:eastAsiaTheme="minorEastAsia" w:hAnsiTheme="minorHAnsi" w:cstheme="minorBidi"/>
              <w:i w:val="0"/>
              <w:sz w:val="22"/>
              <w:szCs w:val="22"/>
              <w:lang w:eastAsia="pl-PL"/>
            </w:rPr>
          </w:pPr>
          <w:hyperlink w:anchor="_Toc105512670" w:history="1">
            <w:r w:rsidR="00DD4ADF" w:rsidRPr="00B47543">
              <w:rPr>
                <w:rStyle w:val="Hipercze"/>
              </w:rPr>
              <w:t>9.1.5.</w:t>
            </w:r>
            <w:r w:rsidR="00DD4ADF">
              <w:rPr>
                <w:rFonts w:asciiTheme="minorHAnsi" w:eastAsiaTheme="minorEastAsia" w:hAnsiTheme="minorHAnsi" w:cstheme="minorBidi"/>
                <w:i w:val="0"/>
                <w:sz w:val="22"/>
                <w:szCs w:val="22"/>
                <w:lang w:eastAsia="pl-PL"/>
              </w:rPr>
              <w:tab/>
            </w:r>
            <w:r w:rsidR="00DD4ADF" w:rsidRPr="00B47543">
              <w:rPr>
                <w:rStyle w:val="Hipercze"/>
                <w:shd w:val="clear" w:color="auto" w:fill="FFFFFF" w:themeFill="background1"/>
              </w:rPr>
              <w:t>Ocena postępu w osiąganiu celów środowiskowych dla potencjału ekologicznego JCWP LW w</w:t>
            </w:r>
            <w:r w:rsidR="00DD4ADF" w:rsidRPr="00B47543">
              <w:rPr>
                <w:rStyle w:val="Hipercze"/>
              </w:rPr>
              <w:t xml:space="preserve"> okresie od 2016 r. do 2021 r. wraz z wyjaśnieniem przyczyn nieosiągnięcia celów środowiskowych</w:t>
            </w:r>
            <w:r w:rsidR="00DD4ADF">
              <w:rPr>
                <w:webHidden/>
              </w:rPr>
              <w:tab/>
            </w:r>
            <w:r w:rsidR="00DD4ADF">
              <w:rPr>
                <w:webHidden/>
              </w:rPr>
              <w:fldChar w:fldCharType="begin"/>
            </w:r>
            <w:r w:rsidR="00DD4ADF">
              <w:rPr>
                <w:webHidden/>
              </w:rPr>
              <w:instrText xml:space="preserve"> PAGEREF _Toc105512670 \h </w:instrText>
            </w:r>
            <w:r w:rsidR="00DD4ADF">
              <w:rPr>
                <w:webHidden/>
              </w:rPr>
            </w:r>
            <w:r w:rsidR="00DD4ADF">
              <w:rPr>
                <w:webHidden/>
              </w:rPr>
              <w:fldChar w:fldCharType="separate"/>
            </w:r>
            <w:r w:rsidR="001F774D">
              <w:rPr>
                <w:webHidden/>
              </w:rPr>
              <w:t>209</w:t>
            </w:r>
            <w:r w:rsidR="00DD4ADF">
              <w:rPr>
                <w:webHidden/>
              </w:rPr>
              <w:fldChar w:fldCharType="end"/>
            </w:r>
          </w:hyperlink>
        </w:p>
        <w:p w14:paraId="7AC13073" w14:textId="0F1F5F6C" w:rsidR="00DD4ADF" w:rsidRDefault="009C595A">
          <w:pPr>
            <w:pStyle w:val="Spistreci3"/>
            <w:rPr>
              <w:rFonts w:asciiTheme="minorHAnsi" w:eastAsiaTheme="minorEastAsia" w:hAnsiTheme="minorHAnsi" w:cstheme="minorBidi"/>
              <w:i w:val="0"/>
              <w:sz w:val="22"/>
              <w:szCs w:val="22"/>
              <w:lang w:eastAsia="pl-PL"/>
            </w:rPr>
          </w:pPr>
          <w:hyperlink w:anchor="_Toc105512671" w:history="1">
            <w:r w:rsidR="00DD4ADF" w:rsidRPr="00B47543">
              <w:rPr>
                <w:rStyle w:val="Hipercze"/>
              </w:rPr>
              <w:t>9.1.6.</w:t>
            </w:r>
            <w:r w:rsidR="00DD4ADF">
              <w:rPr>
                <w:rFonts w:asciiTheme="minorHAnsi" w:eastAsiaTheme="minorEastAsia" w:hAnsiTheme="minorHAnsi" w:cstheme="minorBidi"/>
                <w:i w:val="0"/>
                <w:sz w:val="22"/>
                <w:szCs w:val="22"/>
                <w:lang w:eastAsia="pl-PL"/>
              </w:rPr>
              <w:tab/>
            </w:r>
            <w:r w:rsidR="00DD4ADF" w:rsidRPr="00B47543">
              <w:rPr>
                <w:rStyle w:val="Hipercze"/>
              </w:rPr>
              <w:t>Ocena postępu w osiąganiu celów środowiskowych dla stanu chemicznego JCWP LW w okresie od 2016 r. do 2021 r. wraz z wyjaśnieniem przyczyn nieosiągnięcia celów środowiskowych</w:t>
            </w:r>
            <w:r w:rsidR="00DD4ADF">
              <w:rPr>
                <w:webHidden/>
              </w:rPr>
              <w:tab/>
            </w:r>
            <w:r w:rsidR="00DD4ADF">
              <w:rPr>
                <w:webHidden/>
              </w:rPr>
              <w:fldChar w:fldCharType="begin"/>
            </w:r>
            <w:r w:rsidR="00DD4ADF">
              <w:rPr>
                <w:webHidden/>
              </w:rPr>
              <w:instrText xml:space="preserve"> PAGEREF _Toc105512671 \h </w:instrText>
            </w:r>
            <w:r w:rsidR="00DD4ADF">
              <w:rPr>
                <w:webHidden/>
              </w:rPr>
            </w:r>
            <w:r w:rsidR="00DD4ADF">
              <w:rPr>
                <w:webHidden/>
              </w:rPr>
              <w:fldChar w:fldCharType="separate"/>
            </w:r>
            <w:r w:rsidR="001F774D">
              <w:rPr>
                <w:webHidden/>
              </w:rPr>
              <w:t>212</w:t>
            </w:r>
            <w:r w:rsidR="00DD4ADF">
              <w:rPr>
                <w:webHidden/>
              </w:rPr>
              <w:fldChar w:fldCharType="end"/>
            </w:r>
          </w:hyperlink>
        </w:p>
        <w:p w14:paraId="606CB139" w14:textId="77371CA0" w:rsidR="00DD4ADF" w:rsidRDefault="009C595A">
          <w:pPr>
            <w:pStyle w:val="Spistreci3"/>
            <w:rPr>
              <w:rFonts w:asciiTheme="minorHAnsi" w:eastAsiaTheme="minorEastAsia" w:hAnsiTheme="minorHAnsi" w:cstheme="minorBidi"/>
              <w:i w:val="0"/>
              <w:sz w:val="22"/>
              <w:szCs w:val="22"/>
              <w:lang w:eastAsia="pl-PL"/>
            </w:rPr>
          </w:pPr>
          <w:hyperlink w:anchor="_Toc105512672" w:history="1">
            <w:r w:rsidR="00DD4ADF" w:rsidRPr="00B47543">
              <w:rPr>
                <w:rStyle w:val="Hipercze"/>
              </w:rPr>
              <w:t>9.1.7.</w:t>
            </w:r>
            <w:r w:rsidR="00DD4ADF">
              <w:rPr>
                <w:rFonts w:asciiTheme="minorHAnsi" w:eastAsiaTheme="minorEastAsia" w:hAnsiTheme="minorHAnsi" w:cstheme="minorBidi"/>
                <w:i w:val="0"/>
                <w:sz w:val="22"/>
                <w:szCs w:val="22"/>
                <w:lang w:eastAsia="pl-PL"/>
              </w:rPr>
              <w:tab/>
            </w:r>
            <w:r w:rsidR="00DD4ADF" w:rsidRPr="00B47543">
              <w:rPr>
                <w:rStyle w:val="Hipercze"/>
              </w:rPr>
              <w:t>Ocena postępu w osiąganiu celów środowiskowych dla stanu/potencjału ekologicznego JCWP TW i CW w okresie od 2016 r. do 2021 r. wraz z wyjaśnieniem przyczyn nieosiągnięcia celów środowiskowych</w:t>
            </w:r>
            <w:r w:rsidR="00DD4ADF">
              <w:rPr>
                <w:webHidden/>
              </w:rPr>
              <w:tab/>
            </w:r>
            <w:r w:rsidR="00DD4ADF">
              <w:rPr>
                <w:webHidden/>
              </w:rPr>
              <w:fldChar w:fldCharType="begin"/>
            </w:r>
            <w:r w:rsidR="00DD4ADF">
              <w:rPr>
                <w:webHidden/>
              </w:rPr>
              <w:instrText xml:space="preserve"> PAGEREF _Toc105512672 \h </w:instrText>
            </w:r>
            <w:r w:rsidR="00DD4ADF">
              <w:rPr>
                <w:webHidden/>
              </w:rPr>
            </w:r>
            <w:r w:rsidR="00DD4ADF">
              <w:rPr>
                <w:webHidden/>
              </w:rPr>
              <w:fldChar w:fldCharType="separate"/>
            </w:r>
            <w:r w:rsidR="001F774D">
              <w:rPr>
                <w:webHidden/>
              </w:rPr>
              <w:t>214</w:t>
            </w:r>
            <w:r w:rsidR="00DD4ADF">
              <w:rPr>
                <w:webHidden/>
              </w:rPr>
              <w:fldChar w:fldCharType="end"/>
            </w:r>
          </w:hyperlink>
        </w:p>
        <w:p w14:paraId="44D7C4E1" w14:textId="5345F0C0" w:rsidR="00DD4ADF" w:rsidRDefault="009C595A">
          <w:pPr>
            <w:pStyle w:val="Spistreci3"/>
            <w:rPr>
              <w:rFonts w:asciiTheme="minorHAnsi" w:eastAsiaTheme="minorEastAsia" w:hAnsiTheme="minorHAnsi" w:cstheme="minorBidi"/>
              <w:i w:val="0"/>
              <w:sz w:val="22"/>
              <w:szCs w:val="22"/>
              <w:lang w:eastAsia="pl-PL"/>
            </w:rPr>
          </w:pPr>
          <w:hyperlink w:anchor="_Toc105512673" w:history="1">
            <w:r w:rsidR="00DD4ADF" w:rsidRPr="00B47543">
              <w:rPr>
                <w:rStyle w:val="Hipercze"/>
              </w:rPr>
              <w:t>9.1.8.</w:t>
            </w:r>
            <w:r w:rsidR="00DD4ADF">
              <w:rPr>
                <w:rFonts w:asciiTheme="minorHAnsi" w:eastAsiaTheme="minorEastAsia" w:hAnsiTheme="minorHAnsi" w:cstheme="minorBidi"/>
                <w:i w:val="0"/>
                <w:sz w:val="22"/>
                <w:szCs w:val="22"/>
                <w:lang w:eastAsia="pl-PL"/>
              </w:rPr>
              <w:tab/>
            </w:r>
            <w:r w:rsidR="00DD4ADF" w:rsidRPr="00B47543">
              <w:rPr>
                <w:rStyle w:val="Hipercze"/>
              </w:rPr>
              <w:t>Ocena postępu w osiąganiu celów środowiskowych dla stanu chemicznego JCWP TW i CW w okresie od 2016 r. do 2021 r. wraz z wyjaśnieniem przyczyn nieosiągnięcia celów środowiskowych</w:t>
            </w:r>
            <w:r w:rsidR="00DD4ADF">
              <w:rPr>
                <w:webHidden/>
              </w:rPr>
              <w:tab/>
            </w:r>
            <w:r w:rsidR="00DD4ADF">
              <w:rPr>
                <w:webHidden/>
              </w:rPr>
              <w:fldChar w:fldCharType="begin"/>
            </w:r>
            <w:r w:rsidR="00DD4ADF">
              <w:rPr>
                <w:webHidden/>
              </w:rPr>
              <w:instrText xml:space="preserve"> PAGEREF _Toc105512673 \h </w:instrText>
            </w:r>
            <w:r w:rsidR="00DD4ADF">
              <w:rPr>
                <w:webHidden/>
              </w:rPr>
            </w:r>
            <w:r w:rsidR="00DD4ADF">
              <w:rPr>
                <w:webHidden/>
              </w:rPr>
              <w:fldChar w:fldCharType="separate"/>
            </w:r>
            <w:r w:rsidR="001F774D">
              <w:rPr>
                <w:webHidden/>
              </w:rPr>
              <w:t>216</w:t>
            </w:r>
            <w:r w:rsidR="00DD4ADF">
              <w:rPr>
                <w:webHidden/>
              </w:rPr>
              <w:fldChar w:fldCharType="end"/>
            </w:r>
          </w:hyperlink>
        </w:p>
        <w:p w14:paraId="24A8B82B" w14:textId="208650A6" w:rsidR="00DD4ADF" w:rsidRDefault="009C595A">
          <w:pPr>
            <w:pStyle w:val="Spistreci2"/>
            <w:rPr>
              <w:rFonts w:asciiTheme="minorHAnsi" w:eastAsiaTheme="minorEastAsia" w:hAnsiTheme="minorHAnsi" w:cstheme="minorBidi"/>
              <w:sz w:val="22"/>
              <w:szCs w:val="22"/>
              <w:lang w:eastAsia="pl-PL"/>
            </w:rPr>
          </w:pPr>
          <w:hyperlink w:anchor="_Toc105512674" w:history="1">
            <w:r w:rsidR="00DD4ADF" w:rsidRPr="00B47543">
              <w:rPr>
                <w:rStyle w:val="Hipercze"/>
                <w:rFonts w:cstheme="minorHAnsi"/>
              </w:rPr>
              <w:t>9.2.</w:t>
            </w:r>
            <w:r w:rsidR="00DD4ADF">
              <w:rPr>
                <w:rFonts w:asciiTheme="minorHAnsi" w:eastAsiaTheme="minorEastAsia" w:hAnsiTheme="minorHAnsi" w:cstheme="minorBidi"/>
                <w:sz w:val="22"/>
                <w:szCs w:val="22"/>
                <w:lang w:eastAsia="pl-PL"/>
              </w:rPr>
              <w:tab/>
            </w:r>
            <w:r w:rsidR="00DD4ADF" w:rsidRPr="00B47543">
              <w:rPr>
                <w:rStyle w:val="Hipercze"/>
              </w:rPr>
              <w:t>Ocena postępu w osiąganiu celów środowiskowych JCWP</w:t>
            </w:r>
            <w:r w:rsidR="00DD4ADF" w:rsidRPr="00B47543">
              <w:rPr>
                <w:rStyle w:val="Hipercze"/>
                <w:rFonts w:cstheme="minorHAnsi"/>
              </w:rPr>
              <w:t>d</w:t>
            </w:r>
            <w:r w:rsidR="00DD4ADF">
              <w:rPr>
                <w:webHidden/>
              </w:rPr>
              <w:tab/>
            </w:r>
            <w:r w:rsidR="00DD4ADF">
              <w:rPr>
                <w:webHidden/>
              </w:rPr>
              <w:fldChar w:fldCharType="begin"/>
            </w:r>
            <w:r w:rsidR="00DD4ADF">
              <w:rPr>
                <w:webHidden/>
              </w:rPr>
              <w:instrText xml:space="preserve"> PAGEREF _Toc105512674 \h </w:instrText>
            </w:r>
            <w:r w:rsidR="00DD4ADF">
              <w:rPr>
                <w:webHidden/>
              </w:rPr>
            </w:r>
            <w:r w:rsidR="00DD4ADF">
              <w:rPr>
                <w:webHidden/>
              </w:rPr>
              <w:fldChar w:fldCharType="separate"/>
            </w:r>
            <w:r w:rsidR="001F774D">
              <w:rPr>
                <w:webHidden/>
              </w:rPr>
              <w:t>217</w:t>
            </w:r>
            <w:r w:rsidR="00DD4ADF">
              <w:rPr>
                <w:webHidden/>
              </w:rPr>
              <w:fldChar w:fldCharType="end"/>
            </w:r>
          </w:hyperlink>
        </w:p>
        <w:p w14:paraId="77AE0795" w14:textId="2E45E429" w:rsidR="00DD4ADF" w:rsidRDefault="009C595A">
          <w:pPr>
            <w:pStyle w:val="Spistreci2"/>
            <w:rPr>
              <w:rFonts w:asciiTheme="minorHAnsi" w:eastAsiaTheme="minorEastAsia" w:hAnsiTheme="minorHAnsi" w:cstheme="minorBidi"/>
              <w:sz w:val="22"/>
              <w:szCs w:val="22"/>
              <w:lang w:eastAsia="pl-PL"/>
            </w:rPr>
          </w:pPr>
          <w:hyperlink w:anchor="_Toc105512675" w:history="1">
            <w:r w:rsidR="00DD4ADF" w:rsidRPr="00B47543">
              <w:rPr>
                <w:rStyle w:val="Hipercze"/>
              </w:rPr>
              <w:t>9.3.</w:t>
            </w:r>
            <w:r w:rsidR="00DD4ADF">
              <w:rPr>
                <w:rFonts w:asciiTheme="minorHAnsi" w:eastAsiaTheme="minorEastAsia" w:hAnsiTheme="minorHAnsi" w:cstheme="minorBidi"/>
                <w:sz w:val="22"/>
                <w:szCs w:val="22"/>
                <w:lang w:eastAsia="pl-PL"/>
              </w:rPr>
              <w:tab/>
            </w:r>
            <w:r w:rsidR="00DD4ADF" w:rsidRPr="00B47543">
              <w:rPr>
                <w:rStyle w:val="Hipercze"/>
              </w:rPr>
              <w:t>Ocena postępu w osiąganiu celów środowiskowych dla obszarów chronionych</w:t>
            </w:r>
            <w:r w:rsidR="00DD4ADF">
              <w:rPr>
                <w:webHidden/>
              </w:rPr>
              <w:tab/>
            </w:r>
            <w:r w:rsidR="00DD4ADF">
              <w:rPr>
                <w:webHidden/>
              </w:rPr>
              <w:fldChar w:fldCharType="begin"/>
            </w:r>
            <w:r w:rsidR="00DD4ADF">
              <w:rPr>
                <w:webHidden/>
              </w:rPr>
              <w:instrText xml:space="preserve"> PAGEREF _Toc105512675 \h </w:instrText>
            </w:r>
            <w:r w:rsidR="00DD4ADF">
              <w:rPr>
                <w:webHidden/>
              </w:rPr>
            </w:r>
            <w:r w:rsidR="00DD4ADF">
              <w:rPr>
                <w:webHidden/>
              </w:rPr>
              <w:fldChar w:fldCharType="separate"/>
            </w:r>
            <w:r w:rsidR="001F774D">
              <w:rPr>
                <w:webHidden/>
              </w:rPr>
              <w:t>220</w:t>
            </w:r>
            <w:r w:rsidR="00DD4ADF">
              <w:rPr>
                <w:webHidden/>
              </w:rPr>
              <w:fldChar w:fldCharType="end"/>
            </w:r>
          </w:hyperlink>
        </w:p>
        <w:p w14:paraId="6A65E7A5" w14:textId="4E4722D3" w:rsidR="00DD4ADF" w:rsidRDefault="009C595A">
          <w:pPr>
            <w:pStyle w:val="Spistreci1"/>
            <w:rPr>
              <w:rFonts w:asciiTheme="minorHAnsi" w:eastAsiaTheme="minorEastAsia" w:hAnsiTheme="minorHAnsi" w:cstheme="minorBidi"/>
              <w:b w:val="0"/>
              <w:smallCaps w:val="0"/>
              <w:sz w:val="22"/>
              <w:szCs w:val="22"/>
              <w:lang w:eastAsia="pl-PL"/>
            </w:rPr>
          </w:pPr>
          <w:hyperlink w:anchor="_Toc105512676" w:history="1">
            <w:r w:rsidR="00DD4ADF" w:rsidRPr="00B47543">
              <w:rPr>
                <w:rStyle w:val="Hipercze"/>
              </w:rPr>
              <w:t>10.</w:t>
            </w:r>
            <w:r w:rsidR="00DD4ADF">
              <w:rPr>
                <w:rFonts w:asciiTheme="minorHAnsi" w:eastAsiaTheme="minorEastAsia" w:hAnsiTheme="minorHAnsi" w:cstheme="minorBidi"/>
                <w:b w:val="0"/>
                <w:smallCaps w:val="0"/>
                <w:sz w:val="22"/>
                <w:szCs w:val="22"/>
                <w:lang w:eastAsia="pl-PL"/>
              </w:rPr>
              <w:tab/>
            </w:r>
            <w:r w:rsidR="00DD4ADF" w:rsidRPr="00B47543">
              <w:rPr>
                <w:rStyle w:val="Hipercze"/>
              </w:rPr>
              <w:t>Podsumowanie działań zawartych w aPGW</w:t>
            </w:r>
            <w:r w:rsidR="00DD4ADF">
              <w:rPr>
                <w:webHidden/>
              </w:rPr>
              <w:tab/>
            </w:r>
            <w:r w:rsidR="00DD4ADF">
              <w:rPr>
                <w:webHidden/>
              </w:rPr>
              <w:fldChar w:fldCharType="begin"/>
            </w:r>
            <w:r w:rsidR="00DD4ADF">
              <w:rPr>
                <w:webHidden/>
              </w:rPr>
              <w:instrText xml:space="preserve"> PAGEREF _Toc105512676 \h </w:instrText>
            </w:r>
            <w:r w:rsidR="00DD4ADF">
              <w:rPr>
                <w:webHidden/>
              </w:rPr>
            </w:r>
            <w:r w:rsidR="00DD4ADF">
              <w:rPr>
                <w:webHidden/>
              </w:rPr>
              <w:fldChar w:fldCharType="separate"/>
            </w:r>
            <w:r w:rsidR="001F774D">
              <w:rPr>
                <w:webHidden/>
              </w:rPr>
              <w:t>225</w:t>
            </w:r>
            <w:r w:rsidR="00DD4ADF">
              <w:rPr>
                <w:webHidden/>
              </w:rPr>
              <w:fldChar w:fldCharType="end"/>
            </w:r>
          </w:hyperlink>
        </w:p>
        <w:p w14:paraId="6274A358" w14:textId="4048FAC6" w:rsidR="00DD4ADF" w:rsidRDefault="009C595A">
          <w:pPr>
            <w:pStyle w:val="Spistreci2"/>
            <w:rPr>
              <w:rFonts w:asciiTheme="minorHAnsi" w:eastAsiaTheme="minorEastAsia" w:hAnsiTheme="minorHAnsi" w:cstheme="minorBidi"/>
              <w:sz w:val="22"/>
              <w:szCs w:val="22"/>
              <w:lang w:eastAsia="pl-PL"/>
            </w:rPr>
          </w:pPr>
          <w:hyperlink w:anchor="_Toc105512677" w:history="1">
            <w:r w:rsidR="00DD4ADF" w:rsidRPr="00B47543">
              <w:rPr>
                <w:rStyle w:val="Hipercze"/>
              </w:rPr>
              <w:t>10.1.</w:t>
            </w:r>
            <w:r w:rsidR="00DD4ADF">
              <w:rPr>
                <w:rFonts w:asciiTheme="minorHAnsi" w:eastAsiaTheme="minorEastAsia" w:hAnsiTheme="minorHAnsi" w:cstheme="minorBidi"/>
                <w:sz w:val="22"/>
                <w:szCs w:val="22"/>
                <w:lang w:eastAsia="pl-PL"/>
              </w:rPr>
              <w:tab/>
            </w:r>
            <w:r w:rsidR="00DD4ADF" w:rsidRPr="00B47543">
              <w:rPr>
                <w:rStyle w:val="Hipercze"/>
              </w:rPr>
              <w:t>Podsumowanie informacji uzyskanych w wyniku monitorowania realizacji działań zawartych w ostatnim planie gospodarowania wodami na obszarze dorzecza, pozyskanych na podstawie art. 328 ust. 2 ustawy – Prawo wodne</w:t>
            </w:r>
            <w:r w:rsidR="00DD4ADF">
              <w:rPr>
                <w:webHidden/>
              </w:rPr>
              <w:tab/>
            </w:r>
            <w:r w:rsidR="00DD4ADF">
              <w:rPr>
                <w:webHidden/>
              </w:rPr>
              <w:fldChar w:fldCharType="begin"/>
            </w:r>
            <w:r w:rsidR="00DD4ADF">
              <w:rPr>
                <w:webHidden/>
              </w:rPr>
              <w:instrText xml:space="preserve"> PAGEREF _Toc105512677 \h </w:instrText>
            </w:r>
            <w:r w:rsidR="00DD4ADF">
              <w:rPr>
                <w:webHidden/>
              </w:rPr>
            </w:r>
            <w:r w:rsidR="00DD4ADF">
              <w:rPr>
                <w:webHidden/>
              </w:rPr>
              <w:fldChar w:fldCharType="separate"/>
            </w:r>
            <w:r w:rsidR="001F774D">
              <w:rPr>
                <w:webHidden/>
              </w:rPr>
              <w:t>225</w:t>
            </w:r>
            <w:r w:rsidR="00DD4ADF">
              <w:rPr>
                <w:webHidden/>
              </w:rPr>
              <w:fldChar w:fldCharType="end"/>
            </w:r>
          </w:hyperlink>
        </w:p>
        <w:p w14:paraId="2FAB5138" w14:textId="21057187" w:rsidR="00DD4ADF" w:rsidRDefault="009C595A">
          <w:pPr>
            <w:pStyle w:val="Spistreci2"/>
            <w:rPr>
              <w:rFonts w:asciiTheme="minorHAnsi" w:eastAsiaTheme="minorEastAsia" w:hAnsiTheme="minorHAnsi" w:cstheme="minorBidi"/>
              <w:sz w:val="22"/>
              <w:szCs w:val="22"/>
              <w:lang w:eastAsia="pl-PL"/>
            </w:rPr>
          </w:pPr>
          <w:hyperlink w:anchor="_Toc105512678" w:history="1">
            <w:r w:rsidR="00DD4ADF" w:rsidRPr="00B47543">
              <w:rPr>
                <w:rStyle w:val="Hipercze"/>
              </w:rPr>
              <w:t>10.2.</w:t>
            </w:r>
            <w:r w:rsidR="00DD4ADF">
              <w:rPr>
                <w:rFonts w:asciiTheme="minorHAnsi" w:eastAsiaTheme="minorEastAsia" w:hAnsiTheme="minorHAnsi" w:cstheme="minorBidi"/>
                <w:sz w:val="22"/>
                <w:szCs w:val="22"/>
                <w:lang w:eastAsia="pl-PL"/>
              </w:rPr>
              <w:tab/>
            </w:r>
            <w:r w:rsidR="00DD4ADF" w:rsidRPr="00B47543">
              <w:rPr>
                <w:rStyle w:val="Hipercze"/>
              </w:rPr>
              <w:t>Działania z aPGW, które nie zostały zrealizowane</w:t>
            </w:r>
            <w:r w:rsidR="00DD4ADF">
              <w:rPr>
                <w:webHidden/>
              </w:rPr>
              <w:tab/>
            </w:r>
            <w:r w:rsidR="00DD4ADF">
              <w:rPr>
                <w:webHidden/>
              </w:rPr>
              <w:fldChar w:fldCharType="begin"/>
            </w:r>
            <w:r w:rsidR="00DD4ADF">
              <w:rPr>
                <w:webHidden/>
              </w:rPr>
              <w:instrText xml:space="preserve"> PAGEREF _Toc105512678 \h </w:instrText>
            </w:r>
            <w:r w:rsidR="00DD4ADF">
              <w:rPr>
                <w:webHidden/>
              </w:rPr>
            </w:r>
            <w:r w:rsidR="00DD4ADF">
              <w:rPr>
                <w:webHidden/>
              </w:rPr>
              <w:fldChar w:fldCharType="separate"/>
            </w:r>
            <w:r w:rsidR="001F774D">
              <w:rPr>
                <w:webHidden/>
              </w:rPr>
              <w:t>233</w:t>
            </w:r>
            <w:r w:rsidR="00DD4ADF">
              <w:rPr>
                <w:webHidden/>
              </w:rPr>
              <w:fldChar w:fldCharType="end"/>
            </w:r>
          </w:hyperlink>
        </w:p>
        <w:p w14:paraId="5A579A8C" w14:textId="032C373A" w:rsidR="00DD4ADF" w:rsidRDefault="009C595A">
          <w:pPr>
            <w:pStyle w:val="Spistreci2"/>
            <w:rPr>
              <w:rFonts w:asciiTheme="minorHAnsi" w:eastAsiaTheme="minorEastAsia" w:hAnsiTheme="minorHAnsi" w:cstheme="minorBidi"/>
              <w:sz w:val="22"/>
              <w:szCs w:val="22"/>
              <w:lang w:eastAsia="pl-PL"/>
            </w:rPr>
          </w:pPr>
          <w:hyperlink w:anchor="_Toc105512679" w:history="1">
            <w:r w:rsidR="00DD4ADF" w:rsidRPr="00B47543">
              <w:rPr>
                <w:rStyle w:val="Hipercze"/>
              </w:rPr>
              <w:t>10.3.</w:t>
            </w:r>
            <w:r w:rsidR="00DD4ADF">
              <w:rPr>
                <w:rFonts w:asciiTheme="minorHAnsi" w:eastAsiaTheme="minorEastAsia" w:hAnsiTheme="minorHAnsi" w:cstheme="minorBidi"/>
                <w:sz w:val="22"/>
                <w:szCs w:val="22"/>
                <w:lang w:eastAsia="pl-PL"/>
              </w:rPr>
              <w:tab/>
            </w:r>
            <w:r w:rsidR="00DD4ADF" w:rsidRPr="00B47543">
              <w:rPr>
                <w:rStyle w:val="Hipercze"/>
              </w:rPr>
              <w:t>Konieczne, dodatkowe działania podjęte w trakcie realizacji aPGW na obszarze dorzecza</w:t>
            </w:r>
            <w:r w:rsidR="00DD4ADF">
              <w:rPr>
                <w:webHidden/>
              </w:rPr>
              <w:tab/>
            </w:r>
            <w:r w:rsidR="00DD4ADF">
              <w:rPr>
                <w:webHidden/>
              </w:rPr>
              <w:fldChar w:fldCharType="begin"/>
            </w:r>
            <w:r w:rsidR="00DD4ADF">
              <w:rPr>
                <w:webHidden/>
              </w:rPr>
              <w:instrText xml:space="preserve"> PAGEREF _Toc105512679 \h </w:instrText>
            </w:r>
            <w:r w:rsidR="00DD4ADF">
              <w:rPr>
                <w:webHidden/>
              </w:rPr>
            </w:r>
            <w:r w:rsidR="00DD4ADF">
              <w:rPr>
                <w:webHidden/>
              </w:rPr>
              <w:fldChar w:fldCharType="separate"/>
            </w:r>
            <w:r w:rsidR="001F774D">
              <w:rPr>
                <w:webHidden/>
              </w:rPr>
              <w:t>234</w:t>
            </w:r>
            <w:r w:rsidR="00DD4ADF">
              <w:rPr>
                <w:webHidden/>
              </w:rPr>
              <w:fldChar w:fldCharType="end"/>
            </w:r>
          </w:hyperlink>
        </w:p>
        <w:p w14:paraId="6DD0D874" w14:textId="7143D04B" w:rsidR="00DD4ADF" w:rsidRDefault="009C595A">
          <w:pPr>
            <w:pStyle w:val="Spistreci1"/>
            <w:rPr>
              <w:rFonts w:asciiTheme="minorHAnsi" w:eastAsiaTheme="minorEastAsia" w:hAnsiTheme="minorHAnsi" w:cstheme="minorBidi"/>
              <w:b w:val="0"/>
              <w:smallCaps w:val="0"/>
              <w:sz w:val="22"/>
              <w:szCs w:val="22"/>
              <w:lang w:eastAsia="pl-PL"/>
            </w:rPr>
          </w:pPr>
          <w:hyperlink w:anchor="_Toc105512680" w:history="1">
            <w:r w:rsidR="00DD4ADF" w:rsidRPr="00B47543">
              <w:rPr>
                <w:rStyle w:val="Hipercze"/>
              </w:rPr>
              <w:t>11.</w:t>
            </w:r>
            <w:r w:rsidR="00DD4ADF">
              <w:rPr>
                <w:rFonts w:asciiTheme="minorHAnsi" w:eastAsiaTheme="minorEastAsia" w:hAnsiTheme="minorHAnsi" w:cstheme="minorBidi"/>
                <w:b w:val="0"/>
                <w:smallCaps w:val="0"/>
                <w:sz w:val="22"/>
                <w:szCs w:val="22"/>
                <w:lang w:eastAsia="pl-PL"/>
              </w:rPr>
              <w:tab/>
            </w:r>
            <w:r w:rsidR="00DD4ADF" w:rsidRPr="00B47543">
              <w:rPr>
                <w:rStyle w:val="Hipercze"/>
              </w:rPr>
              <w:t>Analizy ekonomiczne związane z korzystaniem z wód</w:t>
            </w:r>
            <w:r w:rsidR="00DD4ADF">
              <w:rPr>
                <w:webHidden/>
              </w:rPr>
              <w:tab/>
            </w:r>
            <w:r w:rsidR="00DD4ADF">
              <w:rPr>
                <w:webHidden/>
              </w:rPr>
              <w:fldChar w:fldCharType="begin"/>
            </w:r>
            <w:r w:rsidR="00DD4ADF">
              <w:rPr>
                <w:webHidden/>
              </w:rPr>
              <w:instrText xml:space="preserve"> PAGEREF _Toc105512680 \h </w:instrText>
            </w:r>
            <w:r w:rsidR="00DD4ADF">
              <w:rPr>
                <w:webHidden/>
              </w:rPr>
            </w:r>
            <w:r w:rsidR="00DD4ADF">
              <w:rPr>
                <w:webHidden/>
              </w:rPr>
              <w:fldChar w:fldCharType="separate"/>
            </w:r>
            <w:r w:rsidR="001F774D">
              <w:rPr>
                <w:webHidden/>
              </w:rPr>
              <w:t>236</w:t>
            </w:r>
            <w:r w:rsidR="00DD4ADF">
              <w:rPr>
                <w:webHidden/>
              </w:rPr>
              <w:fldChar w:fldCharType="end"/>
            </w:r>
          </w:hyperlink>
        </w:p>
        <w:p w14:paraId="000CD40E" w14:textId="06F5AF3E" w:rsidR="00DD4ADF" w:rsidRDefault="009C595A">
          <w:pPr>
            <w:pStyle w:val="Spistreci2"/>
            <w:rPr>
              <w:rFonts w:asciiTheme="minorHAnsi" w:eastAsiaTheme="minorEastAsia" w:hAnsiTheme="minorHAnsi" w:cstheme="minorBidi"/>
              <w:sz w:val="22"/>
              <w:szCs w:val="22"/>
              <w:lang w:eastAsia="pl-PL"/>
            </w:rPr>
          </w:pPr>
          <w:hyperlink w:anchor="_Toc105512681" w:history="1">
            <w:r w:rsidR="00DD4ADF" w:rsidRPr="00B47543">
              <w:rPr>
                <w:rStyle w:val="Hipercze"/>
              </w:rPr>
              <w:t>11.1.</w:t>
            </w:r>
            <w:r w:rsidR="00DD4ADF">
              <w:rPr>
                <w:rFonts w:asciiTheme="minorHAnsi" w:eastAsiaTheme="minorEastAsia" w:hAnsiTheme="minorHAnsi" w:cstheme="minorBidi"/>
                <w:sz w:val="22"/>
                <w:szCs w:val="22"/>
                <w:lang w:eastAsia="pl-PL"/>
              </w:rPr>
              <w:tab/>
            </w:r>
            <w:r w:rsidR="00DD4ADF" w:rsidRPr="00B47543">
              <w:rPr>
                <w:rStyle w:val="Hipercze"/>
              </w:rPr>
              <w:t>Analiza zwrotu kosztów usług wodnych</w:t>
            </w:r>
            <w:r w:rsidR="00DD4ADF">
              <w:rPr>
                <w:webHidden/>
              </w:rPr>
              <w:tab/>
            </w:r>
            <w:r w:rsidR="00DD4ADF">
              <w:rPr>
                <w:webHidden/>
              </w:rPr>
              <w:fldChar w:fldCharType="begin"/>
            </w:r>
            <w:r w:rsidR="00DD4ADF">
              <w:rPr>
                <w:webHidden/>
              </w:rPr>
              <w:instrText xml:space="preserve"> PAGEREF _Toc105512681 \h </w:instrText>
            </w:r>
            <w:r w:rsidR="00DD4ADF">
              <w:rPr>
                <w:webHidden/>
              </w:rPr>
            </w:r>
            <w:r w:rsidR="00DD4ADF">
              <w:rPr>
                <w:webHidden/>
              </w:rPr>
              <w:fldChar w:fldCharType="separate"/>
            </w:r>
            <w:r w:rsidR="001F774D">
              <w:rPr>
                <w:webHidden/>
              </w:rPr>
              <w:t>236</w:t>
            </w:r>
            <w:r w:rsidR="00DD4ADF">
              <w:rPr>
                <w:webHidden/>
              </w:rPr>
              <w:fldChar w:fldCharType="end"/>
            </w:r>
          </w:hyperlink>
        </w:p>
        <w:p w14:paraId="072FBE95" w14:textId="0F2CC366" w:rsidR="00DD4ADF" w:rsidRDefault="009C595A">
          <w:pPr>
            <w:pStyle w:val="Spistreci3"/>
            <w:rPr>
              <w:rFonts w:asciiTheme="minorHAnsi" w:eastAsiaTheme="minorEastAsia" w:hAnsiTheme="minorHAnsi" w:cstheme="minorBidi"/>
              <w:i w:val="0"/>
              <w:sz w:val="22"/>
              <w:szCs w:val="22"/>
              <w:lang w:eastAsia="pl-PL"/>
            </w:rPr>
          </w:pPr>
          <w:hyperlink w:anchor="_Toc105512682" w:history="1">
            <w:r w:rsidR="00DD4ADF" w:rsidRPr="00B47543">
              <w:rPr>
                <w:rStyle w:val="Hipercze"/>
              </w:rPr>
              <w:t>11.1.1.</w:t>
            </w:r>
            <w:r w:rsidR="00DD4ADF">
              <w:rPr>
                <w:rFonts w:asciiTheme="minorHAnsi" w:eastAsiaTheme="minorEastAsia" w:hAnsiTheme="minorHAnsi" w:cstheme="minorBidi"/>
                <w:i w:val="0"/>
                <w:sz w:val="22"/>
                <w:szCs w:val="22"/>
                <w:lang w:eastAsia="pl-PL"/>
              </w:rPr>
              <w:tab/>
            </w:r>
            <w:r w:rsidR="00DD4ADF" w:rsidRPr="00B47543">
              <w:rPr>
                <w:rStyle w:val="Hipercze"/>
              </w:rPr>
              <w:t>Zinternalizowane koszty zasobowe – opłaty za usługi wodne w Polsce w 2019 r.</w:t>
            </w:r>
            <w:r w:rsidR="00DD4ADF">
              <w:rPr>
                <w:webHidden/>
              </w:rPr>
              <w:tab/>
            </w:r>
            <w:r w:rsidR="00DD4ADF">
              <w:rPr>
                <w:webHidden/>
              </w:rPr>
              <w:fldChar w:fldCharType="begin"/>
            </w:r>
            <w:r w:rsidR="00DD4ADF">
              <w:rPr>
                <w:webHidden/>
              </w:rPr>
              <w:instrText xml:space="preserve"> PAGEREF _Toc105512682 \h </w:instrText>
            </w:r>
            <w:r w:rsidR="00DD4ADF">
              <w:rPr>
                <w:webHidden/>
              </w:rPr>
            </w:r>
            <w:r w:rsidR="00DD4ADF">
              <w:rPr>
                <w:webHidden/>
              </w:rPr>
              <w:fldChar w:fldCharType="separate"/>
            </w:r>
            <w:r w:rsidR="001F774D">
              <w:rPr>
                <w:webHidden/>
              </w:rPr>
              <w:t>236</w:t>
            </w:r>
            <w:r w:rsidR="00DD4ADF">
              <w:rPr>
                <w:webHidden/>
              </w:rPr>
              <w:fldChar w:fldCharType="end"/>
            </w:r>
          </w:hyperlink>
        </w:p>
        <w:p w14:paraId="4DAF1506" w14:textId="36E4EE90" w:rsidR="00DD4ADF" w:rsidRDefault="009C595A">
          <w:pPr>
            <w:pStyle w:val="Spistreci3"/>
            <w:rPr>
              <w:rFonts w:asciiTheme="minorHAnsi" w:eastAsiaTheme="minorEastAsia" w:hAnsiTheme="minorHAnsi" w:cstheme="minorBidi"/>
              <w:i w:val="0"/>
              <w:sz w:val="22"/>
              <w:szCs w:val="22"/>
              <w:lang w:eastAsia="pl-PL"/>
            </w:rPr>
          </w:pPr>
          <w:hyperlink w:anchor="_Toc105512683" w:history="1">
            <w:r w:rsidR="00DD4ADF" w:rsidRPr="00B47543">
              <w:rPr>
                <w:rStyle w:val="Hipercze"/>
              </w:rPr>
              <w:t>11.1.2.</w:t>
            </w:r>
            <w:r w:rsidR="00DD4ADF">
              <w:rPr>
                <w:rFonts w:asciiTheme="minorHAnsi" w:eastAsiaTheme="minorEastAsia" w:hAnsiTheme="minorHAnsi" w:cstheme="minorBidi"/>
                <w:i w:val="0"/>
                <w:sz w:val="22"/>
                <w:szCs w:val="22"/>
                <w:lang w:eastAsia="pl-PL"/>
              </w:rPr>
              <w:tab/>
            </w:r>
            <w:r w:rsidR="00DD4ADF" w:rsidRPr="00B47543">
              <w:rPr>
                <w:rStyle w:val="Hipercze"/>
              </w:rPr>
              <w:t>Koszty środowiskowe</w:t>
            </w:r>
            <w:r w:rsidR="00DD4ADF">
              <w:rPr>
                <w:webHidden/>
              </w:rPr>
              <w:tab/>
            </w:r>
            <w:r w:rsidR="00DD4ADF">
              <w:rPr>
                <w:webHidden/>
              </w:rPr>
              <w:fldChar w:fldCharType="begin"/>
            </w:r>
            <w:r w:rsidR="00DD4ADF">
              <w:rPr>
                <w:webHidden/>
              </w:rPr>
              <w:instrText xml:space="preserve"> PAGEREF _Toc105512683 \h </w:instrText>
            </w:r>
            <w:r w:rsidR="00DD4ADF">
              <w:rPr>
                <w:webHidden/>
              </w:rPr>
            </w:r>
            <w:r w:rsidR="00DD4ADF">
              <w:rPr>
                <w:webHidden/>
              </w:rPr>
              <w:fldChar w:fldCharType="separate"/>
            </w:r>
            <w:r w:rsidR="001F774D">
              <w:rPr>
                <w:webHidden/>
              </w:rPr>
              <w:t>238</w:t>
            </w:r>
            <w:r w:rsidR="00DD4ADF">
              <w:rPr>
                <w:webHidden/>
              </w:rPr>
              <w:fldChar w:fldCharType="end"/>
            </w:r>
          </w:hyperlink>
        </w:p>
        <w:p w14:paraId="50C665D5" w14:textId="0EAEA444" w:rsidR="00DD4ADF" w:rsidRDefault="009C595A">
          <w:pPr>
            <w:pStyle w:val="Spistreci3"/>
            <w:rPr>
              <w:rFonts w:asciiTheme="minorHAnsi" w:eastAsiaTheme="minorEastAsia" w:hAnsiTheme="minorHAnsi" w:cstheme="minorBidi"/>
              <w:i w:val="0"/>
              <w:sz w:val="22"/>
              <w:szCs w:val="22"/>
              <w:lang w:eastAsia="pl-PL"/>
            </w:rPr>
          </w:pPr>
          <w:hyperlink w:anchor="_Toc105512684" w:history="1">
            <w:r w:rsidR="00DD4ADF" w:rsidRPr="00B47543">
              <w:rPr>
                <w:rStyle w:val="Hipercze"/>
              </w:rPr>
              <w:t>11.1.3.</w:t>
            </w:r>
            <w:r w:rsidR="00DD4ADF">
              <w:rPr>
                <w:rFonts w:asciiTheme="minorHAnsi" w:eastAsiaTheme="minorEastAsia" w:hAnsiTheme="minorHAnsi" w:cstheme="minorBidi"/>
                <w:i w:val="0"/>
                <w:sz w:val="22"/>
                <w:szCs w:val="22"/>
                <w:lang w:eastAsia="pl-PL"/>
              </w:rPr>
              <w:tab/>
            </w:r>
            <w:r w:rsidR="00DD4ADF" w:rsidRPr="00B47543">
              <w:rPr>
                <w:rStyle w:val="Hipercze"/>
              </w:rPr>
              <w:t>Zwrot kosztów usług wodnych w sektorze komunalnym</w:t>
            </w:r>
            <w:r w:rsidR="00DD4ADF">
              <w:rPr>
                <w:webHidden/>
              </w:rPr>
              <w:tab/>
            </w:r>
            <w:r w:rsidR="00DD4ADF">
              <w:rPr>
                <w:webHidden/>
              </w:rPr>
              <w:fldChar w:fldCharType="begin"/>
            </w:r>
            <w:r w:rsidR="00DD4ADF">
              <w:rPr>
                <w:webHidden/>
              </w:rPr>
              <w:instrText xml:space="preserve"> PAGEREF _Toc105512684 \h </w:instrText>
            </w:r>
            <w:r w:rsidR="00DD4ADF">
              <w:rPr>
                <w:webHidden/>
              </w:rPr>
            </w:r>
            <w:r w:rsidR="00DD4ADF">
              <w:rPr>
                <w:webHidden/>
              </w:rPr>
              <w:fldChar w:fldCharType="separate"/>
            </w:r>
            <w:r w:rsidR="001F774D">
              <w:rPr>
                <w:webHidden/>
              </w:rPr>
              <w:t>239</w:t>
            </w:r>
            <w:r w:rsidR="00DD4ADF">
              <w:rPr>
                <w:webHidden/>
              </w:rPr>
              <w:fldChar w:fldCharType="end"/>
            </w:r>
          </w:hyperlink>
        </w:p>
        <w:p w14:paraId="663D7E29" w14:textId="7C8BCA1A" w:rsidR="00DD4ADF" w:rsidRDefault="009C595A">
          <w:pPr>
            <w:pStyle w:val="Spistreci3"/>
            <w:rPr>
              <w:rFonts w:asciiTheme="minorHAnsi" w:eastAsiaTheme="minorEastAsia" w:hAnsiTheme="minorHAnsi" w:cstheme="minorBidi"/>
              <w:i w:val="0"/>
              <w:sz w:val="22"/>
              <w:szCs w:val="22"/>
              <w:lang w:eastAsia="pl-PL"/>
            </w:rPr>
          </w:pPr>
          <w:hyperlink w:anchor="_Toc105512685" w:history="1">
            <w:r w:rsidR="00DD4ADF" w:rsidRPr="00B47543">
              <w:rPr>
                <w:rStyle w:val="Hipercze"/>
              </w:rPr>
              <w:t>11.1.4.</w:t>
            </w:r>
            <w:r w:rsidR="00DD4ADF">
              <w:rPr>
                <w:rFonts w:asciiTheme="minorHAnsi" w:eastAsiaTheme="minorEastAsia" w:hAnsiTheme="minorHAnsi" w:cstheme="minorBidi"/>
                <w:i w:val="0"/>
                <w:sz w:val="22"/>
                <w:szCs w:val="22"/>
                <w:lang w:eastAsia="pl-PL"/>
              </w:rPr>
              <w:tab/>
            </w:r>
            <w:r w:rsidR="00DD4ADF" w:rsidRPr="00B47543">
              <w:rPr>
                <w:rStyle w:val="Hipercze"/>
              </w:rPr>
              <w:t>Zwrot kosztów usług wodnych w przemyśle</w:t>
            </w:r>
            <w:r w:rsidR="00DD4ADF">
              <w:rPr>
                <w:webHidden/>
              </w:rPr>
              <w:tab/>
            </w:r>
            <w:r w:rsidR="00DD4ADF">
              <w:rPr>
                <w:webHidden/>
              </w:rPr>
              <w:fldChar w:fldCharType="begin"/>
            </w:r>
            <w:r w:rsidR="00DD4ADF">
              <w:rPr>
                <w:webHidden/>
              </w:rPr>
              <w:instrText xml:space="preserve"> PAGEREF _Toc105512685 \h </w:instrText>
            </w:r>
            <w:r w:rsidR="00DD4ADF">
              <w:rPr>
                <w:webHidden/>
              </w:rPr>
            </w:r>
            <w:r w:rsidR="00DD4ADF">
              <w:rPr>
                <w:webHidden/>
              </w:rPr>
              <w:fldChar w:fldCharType="separate"/>
            </w:r>
            <w:r w:rsidR="001F774D">
              <w:rPr>
                <w:webHidden/>
              </w:rPr>
              <w:t>240</w:t>
            </w:r>
            <w:r w:rsidR="00DD4ADF">
              <w:rPr>
                <w:webHidden/>
              </w:rPr>
              <w:fldChar w:fldCharType="end"/>
            </w:r>
          </w:hyperlink>
        </w:p>
        <w:p w14:paraId="601DC64E" w14:textId="00E136E4" w:rsidR="00DD4ADF" w:rsidRDefault="009C595A">
          <w:pPr>
            <w:pStyle w:val="Spistreci3"/>
            <w:rPr>
              <w:rFonts w:asciiTheme="minorHAnsi" w:eastAsiaTheme="minorEastAsia" w:hAnsiTheme="minorHAnsi" w:cstheme="minorBidi"/>
              <w:i w:val="0"/>
              <w:sz w:val="22"/>
              <w:szCs w:val="22"/>
              <w:lang w:eastAsia="pl-PL"/>
            </w:rPr>
          </w:pPr>
          <w:hyperlink w:anchor="_Toc105512686" w:history="1">
            <w:r w:rsidR="00DD4ADF" w:rsidRPr="00B47543">
              <w:rPr>
                <w:rStyle w:val="Hipercze"/>
              </w:rPr>
              <w:t>11.1.5.</w:t>
            </w:r>
            <w:r w:rsidR="00DD4ADF">
              <w:rPr>
                <w:rFonts w:asciiTheme="minorHAnsi" w:eastAsiaTheme="minorEastAsia" w:hAnsiTheme="minorHAnsi" w:cstheme="minorBidi"/>
                <w:i w:val="0"/>
                <w:sz w:val="22"/>
                <w:szCs w:val="22"/>
                <w:lang w:eastAsia="pl-PL"/>
              </w:rPr>
              <w:tab/>
            </w:r>
            <w:r w:rsidR="00DD4ADF" w:rsidRPr="00B47543">
              <w:rPr>
                <w:rStyle w:val="Hipercze"/>
              </w:rPr>
              <w:t>Zwrot kosztów usług wodnych w rolnictwie</w:t>
            </w:r>
            <w:r w:rsidR="00DD4ADF">
              <w:rPr>
                <w:webHidden/>
              </w:rPr>
              <w:tab/>
            </w:r>
            <w:r w:rsidR="00DD4ADF">
              <w:rPr>
                <w:webHidden/>
              </w:rPr>
              <w:fldChar w:fldCharType="begin"/>
            </w:r>
            <w:r w:rsidR="00DD4ADF">
              <w:rPr>
                <w:webHidden/>
              </w:rPr>
              <w:instrText xml:space="preserve"> PAGEREF _Toc105512686 \h </w:instrText>
            </w:r>
            <w:r w:rsidR="00DD4ADF">
              <w:rPr>
                <w:webHidden/>
              </w:rPr>
            </w:r>
            <w:r w:rsidR="00DD4ADF">
              <w:rPr>
                <w:webHidden/>
              </w:rPr>
              <w:fldChar w:fldCharType="separate"/>
            </w:r>
            <w:r w:rsidR="001F774D">
              <w:rPr>
                <w:webHidden/>
              </w:rPr>
              <w:t>240</w:t>
            </w:r>
            <w:r w:rsidR="00DD4ADF">
              <w:rPr>
                <w:webHidden/>
              </w:rPr>
              <w:fldChar w:fldCharType="end"/>
            </w:r>
          </w:hyperlink>
        </w:p>
        <w:p w14:paraId="714D8F40" w14:textId="53F7FFBF" w:rsidR="00DD4ADF" w:rsidRDefault="009C595A">
          <w:pPr>
            <w:pStyle w:val="Spistreci2"/>
            <w:rPr>
              <w:rFonts w:asciiTheme="minorHAnsi" w:eastAsiaTheme="minorEastAsia" w:hAnsiTheme="minorHAnsi" w:cstheme="minorBidi"/>
              <w:sz w:val="22"/>
              <w:szCs w:val="22"/>
              <w:lang w:eastAsia="pl-PL"/>
            </w:rPr>
          </w:pPr>
          <w:hyperlink w:anchor="_Toc105512687" w:history="1">
            <w:r w:rsidR="00DD4ADF" w:rsidRPr="00B47543">
              <w:rPr>
                <w:rStyle w:val="Hipercze"/>
              </w:rPr>
              <w:t>11.2.</w:t>
            </w:r>
            <w:r w:rsidR="00DD4ADF">
              <w:rPr>
                <w:rFonts w:asciiTheme="minorHAnsi" w:eastAsiaTheme="minorEastAsia" w:hAnsiTheme="minorHAnsi" w:cstheme="minorBidi"/>
                <w:sz w:val="22"/>
                <w:szCs w:val="22"/>
                <w:lang w:eastAsia="pl-PL"/>
              </w:rPr>
              <w:tab/>
            </w:r>
            <w:r w:rsidR="00DD4ADF" w:rsidRPr="00B47543">
              <w:rPr>
                <w:rStyle w:val="Hipercze"/>
              </w:rPr>
              <w:t>Analiza efektywności jakościowej i kosztowej zestawu działań</w:t>
            </w:r>
            <w:r w:rsidR="00DD4ADF">
              <w:rPr>
                <w:webHidden/>
              </w:rPr>
              <w:tab/>
            </w:r>
            <w:r w:rsidR="00DD4ADF">
              <w:rPr>
                <w:webHidden/>
              </w:rPr>
              <w:fldChar w:fldCharType="begin"/>
            </w:r>
            <w:r w:rsidR="00DD4ADF">
              <w:rPr>
                <w:webHidden/>
              </w:rPr>
              <w:instrText xml:space="preserve"> PAGEREF _Toc105512687 \h </w:instrText>
            </w:r>
            <w:r w:rsidR="00DD4ADF">
              <w:rPr>
                <w:webHidden/>
              </w:rPr>
            </w:r>
            <w:r w:rsidR="00DD4ADF">
              <w:rPr>
                <w:webHidden/>
              </w:rPr>
              <w:fldChar w:fldCharType="separate"/>
            </w:r>
            <w:r w:rsidR="001F774D">
              <w:rPr>
                <w:webHidden/>
              </w:rPr>
              <w:t>241</w:t>
            </w:r>
            <w:r w:rsidR="00DD4ADF">
              <w:rPr>
                <w:webHidden/>
              </w:rPr>
              <w:fldChar w:fldCharType="end"/>
            </w:r>
          </w:hyperlink>
        </w:p>
        <w:p w14:paraId="477D8030" w14:textId="1BA8BC2D" w:rsidR="00DD4ADF" w:rsidRDefault="009C595A">
          <w:pPr>
            <w:pStyle w:val="Spistreci3"/>
            <w:rPr>
              <w:rFonts w:asciiTheme="minorHAnsi" w:eastAsiaTheme="minorEastAsia" w:hAnsiTheme="minorHAnsi" w:cstheme="minorBidi"/>
              <w:i w:val="0"/>
              <w:sz w:val="22"/>
              <w:szCs w:val="22"/>
              <w:lang w:eastAsia="pl-PL"/>
            </w:rPr>
          </w:pPr>
          <w:hyperlink w:anchor="_Toc105512688" w:history="1">
            <w:r w:rsidR="00DD4ADF" w:rsidRPr="00B47543">
              <w:rPr>
                <w:rStyle w:val="Hipercze"/>
              </w:rPr>
              <w:t>11.2.1.</w:t>
            </w:r>
            <w:r w:rsidR="00DD4ADF">
              <w:rPr>
                <w:rFonts w:asciiTheme="minorHAnsi" w:eastAsiaTheme="minorEastAsia" w:hAnsiTheme="minorHAnsi" w:cstheme="minorBidi"/>
                <w:i w:val="0"/>
                <w:sz w:val="22"/>
                <w:szCs w:val="22"/>
                <w:lang w:eastAsia="pl-PL"/>
              </w:rPr>
              <w:tab/>
            </w:r>
            <w:r w:rsidR="00DD4ADF" w:rsidRPr="00B47543">
              <w:rPr>
                <w:rStyle w:val="Hipercze"/>
              </w:rPr>
              <w:t>Metodyka</w:t>
            </w:r>
            <w:r w:rsidR="00DD4ADF">
              <w:rPr>
                <w:webHidden/>
              </w:rPr>
              <w:tab/>
            </w:r>
            <w:r w:rsidR="00DD4ADF">
              <w:rPr>
                <w:webHidden/>
              </w:rPr>
              <w:fldChar w:fldCharType="begin"/>
            </w:r>
            <w:r w:rsidR="00DD4ADF">
              <w:rPr>
                <w:webHidden/>
              </w:rPr>
              <w:instrText xml:space="preserve"> PAGEREF _Toc105512688 \h </w:instrText>
            </w:r>
            <w:r w:rsidR="00DD4ADF">
              <w:rPr>
                <w:webHidden/>
              </w:rPr>
            </w:r>
            <w:r w:rsidR="00DD4ADF">
              <w:rPr>
                <w:webHidden/>
              </w:rPr>
              <w:fldChar w:fldCharType="separate"/>
            </w:r>
            <w:r w:rsidR="001F774D">
              <w:rPr>
                <w:webHidden/>
              </w:rPr>
              <w:t>241</w:t>
            </w:r>
            <w:r w:rsidR="00DD4ADF">
              <w:rPr>
                <w:webHidden/>
              </w:rPr>
              <w:fldChar w:fldCharType="end"/>
            </w:r>
          </w:hyperlink>
        </w:p>
        <w:p w14:paraId="34AB87AE" w14:textId="56071449" w:rsidR="00DD4ADF" w:rsidRDefault="009C595A">
          <w:pPr>
            <w:pStyle w:val="Spistreci3"/>
            <w:rPr>
              <w:rFonts w:asciiTheme="minorHAnsi" w:eastAsiaTheme="minorEastAsia" w:hAnsiTheme="minorHAnsi" w:cstheme="minorBidi"/>
              <w:i w:val="0"/>
              <w:sz w:val="22"/>
              <w:szCs w:val="22"/>
              <w:lang w:eastAsia="pl-PL"/>
            </w:rPr>
          </w:pPr>
          <w:hyperlink w:anchor="_Toc105512689" w:history="1">
            <w:r w:rsidR="00DD4ADF" w:rsidRPr="00B47543">
              <w:rPr>
                <w:rStyle w:val="Hipercze"/>
              </w:rPr>
              <w:t>11.2.2.</w:t>
            </w:r>
            <w:r w:rsidR="00DD4ADF">
              <w:rPr>
                <w:rFonts w:asciiTheme="minorHAnsi" w:eastAsiaTheme="minorEastAsia" w:hAnsiTheme="minorHAnsi" w:cstheme="minorBidi"/>
                <w:i w:val="0"/>
                <w:sz w:val="22"/>
                <w:szCs w:val="22"/>
                <w:lang w:eastAsia="pl-PL"/>
              </w:rPr>
              <w:tab/>
            </w:r>
            <w:r w:rsidR="00DD4ADF" w:rsidRPr="00B47543">
              <w:rPr>
                <w:rStyle w:val="Hipercze"/>
              </w:rPr>
              <w:t>Wyniki analizy efektywności jakościowej i kosztowej</w:t>
            </w:r>
            <w:r w:rsidR="00DD4ADF">
              <w:rPr>
                <w:webHidden/>
              </w:rPr>
              <w:tab/>
            </w:r>
            <w:r w:rsidR="00DD4ADF">
              <w:rPr>
                <w:webHidden/>
              </w:rPr>
              <w:fldChar w:fldCharType="begin"/>
            </w:r>
            <w:r w:rsidR="00DD4ADF">
              <w:rPr>
                <w:webHidden/>
              </w:rPr>
              <w:instrText xml:space="preserve"> PAGEREF _Toc105512689 \h </w:instrText>
            </w:r>
            <w:r w:rsidR="00DD4ADF">
              <w:rPr>
                <w:webHidden/>
              </w:rPr>
            </w:r>
            <w:r w:rsidR="00DD4ADF">
              <w:rPr>
                <w:webHidden/>
              </w:rPr>
              <w:fldChar w:fldCharType="separate"/>
            </w:r>
            <w:r w:rsidR="001F774D">
              <w:rPr>
                <w:webHidden/>
              </w:rPr>
              <w:t>243</w:t>
            </w:r>
            <w:r w:rsidR="00DD4ADF">
              <w:rPr>
                <w:webHidden/>
              </w:rPr>
              <w:fldChar w:fldCharType="end"/>
            </w:r>
          </w:hyperlink>
        </w:p>
        <w:p w14:paraId="3380FAAC" w14:textId="46E81C81" w:rsidR="00DD4ADF" w:rsidRDefault="009C595A">
          <w:pPr>
            <w:pStyle w:val="Spistreci2"/>
            <w:rPr>
              <w:rFonts w:asciiTheme="minorHAnsi" w:eastAsiaTheme="minorEastAsia" w:hAnsiTheme="minorHAnsi" w:cstheme="minorBidi"/>
              <w:sz w:val="22"/>
              <w:szCs w:val="22"/>
              <w:lang w:eastAsia="pl-PL"/>
            </w:rPr>
          </w:pPr>
          <w:hyperlink w:anchor="_Toc105512690" w:history="1">
            <w:r w:rsidR="00DD4ADF" w:rsidRPr="00B47543">
              <w:rPr>
                <w:rStyle w:val="Hipercze"/>
              </w:rPr>
              <w:t>11.3.</w:t>
            </w:r>
            <w:r w:rsidR="00DD4ADF">
              <w:rPr>
                <w:rFonts w:asciiTheme="minorHAnsi" w:eastAsiaTheme="minorEastAsia" w:hAnsiTheme="minorHAnsi" w:cstheme="minorBidi"/>
                <w:sz w:val="22"/>
                <w:szCs w:val="22"/>
                <w:lang w:eastAsia="pl-PL"/>
              </w:rPr>
              <w:tab/>
            </w:r>
            <w:r w:rsidR="00DD4ADF" w:rsidRPr="00B47543">
              <w:rPr>
                <w:rStyle w:val="Hipercze"/>
              </w:rPr>
              <w:t>Analiza ekonomiczna zestawu działań</w:t>
            </w:r>
            <w:r w:rsidR="00DD4ADF">
              <w:rPr>
                <w:webHidden/>
              </w:rPr>
              <w:tab/>
            </w:r>
            <w:r w:rsidR="00DD4ADF">
              <w:rPr>
                <w:webHidden/>
              </w:rPr>
              <w:fldChar w:fldCharType="begin"/>
            </w:r>
            <w:r w:rsidR="00DD4ADF">
              <w:rPr>
                <w:webHidden/>
              </w:rPr>
              <w:instrText xml:space="preserve"> PAGEREF _Toc105512690 \h </w:instrText>
            </w:r>
            <w:r w:rsidR="00DD4ADF">
              <w:rPr>
                <w:webHidden/>
              </w:rPr>
            </w:r>
            <w:r w:rsidR="00DD4ADF">
              <w:rPr>
                <w:webHidden/>
              </w:rPr>
              <w:fldChar w:fldCharType="separate"/>
            </w:r>
            <w:r w:rsidR="001F774D">
              <w:rPr>
                <w:webHidden/>
              </w:rPr>
              <w:t>245</w:t>
            </w:r>
            <w:r w:rsidR="00DD4ADF">
              <w:rPr>
                <w:webHidden/>
              </w:rPr>
              <w:fldChar w:fldCharType="end"/>
            </w:r>
          </w:hyperlink>
        </w:p>
        <w:p w14:paraId="761D77DD" w14:textId="30BF3952" w:rsidR="00DD4ADF" w:rsidRDefault="009C595A">
          <w:pPr>
            <w:pStyle w:val="Spistreci3"/>
            <w:rPr>
              <w:rFonts w:asciiTheme="minorHAnsi" w:eastAsiaTheme="minorEastAsia" w:hAnsiTheme="minorHAnsi" w:cstheme="minorBidi"/>
              <w:i w:val="0"/>
              <w:sz w:val="22"/>
              <w:szCs w:val="22"/>
              <w:lang w:eastAsia="pl-PL"/>
            </w:rPr>
          </w:pPr>
          <w:hyperlink w:anchor="_Toc105512691" w:history="1">
            <w:r w:rsidR="00DD4ADF" w:rsidRPr="00B47543">
              <w:rPr>
                <w:rStyle w:val="Hipercze"/>
              </w:rPr>
              <w:t>11.3.1.</w:t>
            </w:r>
            <w:r w:rsidR="00DD4ADF">
              <w:rPr>
                <w:rFonts w:asciiTheme="minorHAnsi" w:eastAsiaTheme="minorEastAsia" w:hAnsiTheme="minorHAnsi" w:cstheme="minorBidi"/>
                <w:i w:val="0"/>
                <w:sz w:val="22"/>
                <w:szCs w:val="22"/>
                <w:lang w:eastAsia="pl-PL"/>
              </w:rPr>
              <w:tab/>
            </w:r>
            <w:r w:rsidR="00DD4ADF" w:rsidRPr="00B47543">
              <w:rPr>
                <w:rStyle w:val="Hipercze"/>
              </w:rPr>
              <w:t>Ogólne podejście do analiz</w:t>
            </w:r>
            <w:r w:rsidR="00DD4ADF">
              <w:rPr>
                <w:webHidden/>
              </w:rPr>
              <w:tab/>
            </w:r>
            <w:r w:rsidR="00DD4ADF">
              <w:rPr>
                <w:webHidden/>
              </w:rPr>
              <w:fldChar w:fldCharType="begin"/>
            </w:r>
            <w:r w:rsidR="00DD4ADF">
              <w:rPr>
                <w:webHidden/>
              </w:rPr>
              <w:instrText xml:space="preserve"> PAGEREF _Toc105512691 \h </w:instrText>
            </w:r>
            <w:r w:rsidR="00DD4ADF">
              <w:rPr>
                <w:webHidden/>
              </w:rPr>
            </w:r>
            <w:r w:rsidR="00DD4ADF">
              <w:rPr>
                <w:webHidden/>
              </w:rPr>
              <w:fldChar w:fldCharType="separate"/>
            </w:r>
            <w:r w:rsidR="001F774D">
              <w:rPr>
                <w:webHidden/>
              </w:rPr>
              <w:t>245</w:t>
            </w:r>
            <w:r w:rsidR="00DD4ADF">
              <w:rPr>
                <w:webHidden/>
              </w:rPr>
              <w:fldChar w:fldCharType="end"/>
            </w:r>
          </w:hyperlink>
        </w:p>
        <w:p w14:paraId="638C6241" w14:textId="41092141" w:rsidR="00DD4ADF" w:rsidRDefault="009C595A">
          <w:pPr>
            <w:pStyle w:val="Spistreci3"/>
            <w:rPr>
              <w:rFonts w:asciiTheme="minorHAnsi" w:eastAsiaTheme="minorEastAsia" w:hAnsiTheme="minorHAnsi" w:cstheme="minorBidi"/>
              <w:i w:val="0"/>
              <w:sz w:val="22"/>
              <w:szCs w:val="22"/>
              <w:lang w:eastAsia="pl-PL"/>
            </w:rPr>
          </w:pPr>
          <w:hyperlink w:anchor="_Toc105512692" w:history="1">
            <w:r w:rsidR="00DD4ADF" w:rsidRPr="00B47543">
              <w:rPr>
                <w:rStyle w:val="Hipercze"/>
              </w:rPr>
              <w:t>11.3.2.</w:t>
            </w:r>
            <w:r w:rsidR="00DD4ADF">
              <w:rPr>
                <w:rFonts w:asciiTheme="minorHAnsi" w:eastAsiaTheme="minorEastAsia" w:hAnsiTheme="minorHAnsi" w:cstheme="minorBidi"/>
                <w:i w:val="0"/>
                <w:sz w:val="22"/>
                <w:szCs w:val="22"/>
                <w:lang w:eastAsia="pl-PL"/>
              </w:rPr>
              <w:tab/>
            </w:r>
            <w:r w:rsidR="00DD4ADF" w:rsidRPr="00B47543">
              <w:rPr>
                <w:rStyle w:val="Hipercze"/>
              </w:rPr>
              <w:t>Wyniki analiz ekonomicznych – ocena ilościowa</w:t>
            </w:r>
            <w:r w:rsidR="00DD4ADF">
              <w:rPr>
                <w:webHidden/>
              </w:rPr>
              <w:tab/>
            </w:r>
            <w:r w:rsidR="00DD4ADF">
              <w:rPr>
                <w:webHidden/>
              </w:rPr>
              <w:fldChar w:fldCharType="begin"/>
            </w:r>
            <w:r w:rsidR="00DD4ADF">
              <w:rPr>
                <w:webHidden/>
              </w:rPr>
              <w:instrText xml:space="preserve"> PAGEREF _Toc105512692 \h </w:instrText>
            </w:r>
            <w:r w:rsidR="00DD4ADF">
              <w:rPr>
                <w:webHidden/>
              </w:rPr>
            </w:r>
            <w:r w:rsidR="00DD4ADF">
              <w:rPr>
                <w:webHidden/>
              </w:rPr>
              <w:fldChar w:fldCharType="separate"/>
            </w:r>
            <w:r w:rsidR="001F774D">
              <w:rPr>
                <w:webHidden/>
              </w:rPr>
              <w:t>246</w:t>
            </w:r>
            <w:r w:rsidR="00DD4ADF">
              <w:rPr>
                <w:webHidden/>
              </w:rPr>
              <w:fldChar w:fldCharType="end"/>
            </w:r>
          </w:hyperlink>
        </w:p>
        <w:p w14:paraId="1BA232F4" w14:textId="2D15E8D9" w:rsidR="00DD4ADF" w:rsidRDefault="009C595A">
          <w:pPr>
            <w:pStyle w:val="Spistreci3"/>
            <w:rPr>
              <w:rFonts w:asciiTheme="minorHAnsi" w:eastAsiaTheme="minorEastAsia" w:hAnsiTheme="minorHAnsi" w:cstheme="minorBidi"/>
              <w:i w:val="0"/>
              <w:sz w:val="22"/>
              <w:szCs w:val="22"/>
              <w:lang w:eastAsia="pl-PL"/>
            </w:rPr>
          </w:pPr>
          <w:hyperlink w:anchor="_Toc105512693" w:history="1">
            <w:r w:rsidR="00DD4ADF" w:rsidRPr="00B47543">
              <w:rPr>
                <w:rStyle w:val="Hipercze"/>
              </w:rPr>
              <w:t>11.3.3.</w:t>
            </w:r>
            <w:r w:rsidR="00DD4ADF">
              <w:rPr>
                <w:rFonts w:asciiTheme="minorHAnsi" w:eastAsiaTheme="minorEastAsia" w:hAnsiTheme="minorHAnsi" w:cstheme="minorBidi"/>
                <w:i w:val="0"/>
                <w:sz w:val="22"/>
                <w:szCs w:val="22"/>
                <w:lang w:eastAsia="pl-PL"/>
              </w:rPr>
              <w:tab/>
            </w:r>
            <w:r w:rsidR="00DD4ADF" w:rsidRPr="00B47543">
              <w:rPr>
                <w:rStyle w:val="Hipercze"/>
              </w:rPr>
              <w:t>Wyniki analiz ekonomicznych – ocena jakościowa</w:t>
            </w:r>
            <w:r w:rsidR="00DD4ADF">
              <w:rPr>
                <w:webHidden/>
              </w:rPr>
              <w:tab/>
            </w:r>
            <w:r w:rsidR="00DD4ADF">
              <w:rPr>
                <w:webHidden/>
              </w:rPr>
              <w:fldChar w:fldCharType="begin"/>
            </w:r>
            <w:r w:rsidR="00DD4ADF">
              <w:rPr>
                <w:webHidden/>
              </w:rPr>
              <w:instrText xml:space="preserve"> PAGEREF _Toc105512693 \h </w:instrText>
            </w:r>
            <w:r w:rsidR="00DD4ADF">
              <w:rPr>
                <w:webHidden/>
              </w:rPr>
            </w:r>
            <w:r w:rsidR="00DD4ADF">
              <w:rPr>
                <w:webHidden/>
              </w:rPr>
              <w:fldChar w:fldCharType="separate"/>
            </w:r>
            <w:r w:rsidR="001F774D">
              <w:rPr>
                <w:webHidden/>
              </w:rPr>
              <w:t>247</w:t>
            </w:r>
            <w:r w:rsidR="00DD4ADF">
              <w:rPr>
                <w:webHidden/>
              </w:rPr>
              <w:fldChar w:fldCharType="end"/>
            </w:r>
          </w:hyperlink>
        </w:p>
        <w:p w14:paraId="38897E3A" w14:textId="732DB905" w:rsidR="00DD4ADF" w:rsidRDefault="009C595A">
          <w:pPr>
            <w:pStyle w:val="Spistreci1"/>
            <w:rPr>
              <w:rFonts w:asciiTheme="minorHAnsi" w:eastAsiaTheme="minorEastAsia" w:hAnsiTheme="minorHAnsi" w:cstheme="minorBidi"/>
              <w:b w:val="0"/>
              <w:smallCaps w:val="0"/>
              <w:sz w:val="22"/>
              <w:szCs w:val="22"/>
              <w:lang w:eastAsia="pl-PL"/>
            </w:rPr>
          </w:pPr>
          <w:hyperlink w:anchor="_Toc105512694" w:history="1">
            <w:r w:rsidR="00DD4ADF" w:rsidRPr="00B47543">
              <w:rPr>
                <w:rStyle w:val="Hipercze"/>
              </w:rPr>
              <w:t>12.</w:t>
            </w:r>
            <w:r w:rsidR="00DD4ADF">
              <w:rPr>
                <w:rFonts w:asciiTheme="minorHAnsi" w:eastAsiaTheme="minorEastAsia" w:hAnsiTheme="minorHAnsi" w:cstheme="minorBidi"/>
                <w:b w:val="0"/>
                <w:smallCaps w:val="0"/>
                <w:sz w:val="22"/>
                <w:szCs w:val="22"/>
                <w:lang w:eastAsia="pl-PL"/>
              </w:rPr>
              <w:tab/>
            </w:r>
            <w:r w:rsidR="00DD4ADF" w:rsidRPr="00B47543">
              <w:rPr>
                <w:rStyle w:val="Hipercze"/>
              </w:rPr>
              <w:t>Zestaw działań</w:t>
            </w:r>
            <w:r w:rsidR="00DD4ADF">
              <w:rPr>
                <w:webHidden/>
              </w:rPr>
              <w:tab/>
            </w:r>
            <w:r w:rsidR="00DD4ADF">
              <w:rPr>
                <w:webHidden/>
              </w:rPr>
              <w:fldChar w:fldCharType="begin"/>
            </w:r>
            <w:r w:rsidR="00DD4ADF">
              <w:rPr>
                <w:webHidden/>
              </w:rPr>
              <w:instrText xml:space="preserve"> PAGEREF _Toc105512694 \h </w:instrText>
            </w:r>
            <w:r w:rsidR="00DD4ADF">
              <w:rPr>
                <w:webHidden/>
              </w:rPr>
            </w:r>
            <w:r w:rsidR="00DD4ADF">
              <w:rPr>
                <w:webHidden/>
              </w:rPr>
              <w:fldChar w:fldCharType="separate"/>
            </w:r>
            <w:r w:rsidR="001F774D">
              <w:rPr>
                <w:webHidden/>
              </w:rPr>
              <w:t>249</w:t>
            </w:r>
            <w:r w:rsidR="00DD4ADF">
              <w:rPr>
                <w:webHidden/>
              </w:rPr>
              <w:fldChar w:fldCharType="end"/>
            </w:r>
          </w:hyperlink>
        </w:p>
        <w:p w14:paraId="0DBC4AC5" w14:textId="5A8E9191" w:rsidR="00DD4ADF" w:rsidRDefault="009C595A">
          <w:pPr>
            <w:pStyle w:val="Spistreci2"/>
            <w:rPr>
              <w:rFonts w:asciiTheme="minorHAnsi" w:eastAsiaTheme="minorEastAsia" w:hAnsiTheme="minorHAnsi" w:cstheme="minorBidi"/>
              <w:sz w:val="22"/>
              <w:szCs w:val="22"/>
              <w:lang w:eastAsia="pl-PL"/>
            </w:rPr>
          </w:pPr>
          <w:hyperlink w:anchor="_Toc105512695" w:history="1">
            <w:r w:rsidR="00DD4ADF" w:rsidRPr="00B47543">
              <w:rPr>
                <w:rStyle w:val="Hipercze"/>
              </w:rPr>
              <w:t>12.1.</w:t>
            </w:r>
            <w:r w:rsidR="00DD4ADF">
              <w:rPr>
                <w:rFonts w:asciiTheme="minorHAnsi" w:eastAsiaTheme="minorEastAsia" w:hAnsiTheme="minorHAnsi" w:cstheme="minorBidi"/>
                <w:sz w:val="22"/>
                <w:szCs w:val="22"/>
                <w:lang w:eastAsia="pl-PL"/>
              </w:rPr>
              <w:tab/>
            </w:r>
            <w:r w:rsidR="00DD4ADF" w:rsidRPr="00B47543">
              <w:rPr>
                <w:rStyle w:val="Hipercze"/>
              </w:rPr>
              <w:t>Katalog działań krajowych</w:t>
            </w:r>
            <w:r w:rsidR="00DD4ADF">
              <w:rPr>
                <w:webHidden/>
              </w:rPr>
              <w:tab/>
            </w:r>
            <w:r w:rsidR="00DD4ADF">
              <w:rPr>
                <w:webHidden/>
              </w:rPr>
              <w:fldChar w:fldCharType="begin"/>
            </w:r>
            <w:r w:rsidR="00DD4ADF">
              <w:rPr>
                <w:webHidden/>
              </w:rPr>
              <w:instrText xml:space="preserve"> PAGEREF _Toc105512695 \h </w:instrText>
            </w:r>
            <w:r w:rsidR="00DD4ADF">
              <w:rPr>
                <w:webHidden/>
              </w:rPr>
            </w:r>
            <w:r w:rsidR="00DD4ADF">
              <w:rPr>
                <w:webHidden/>
              </w:rPr>
              <w:fldChar w:fldCharType="separate"/>
            </w:r>
            <w:r w:rsidR="001F774D">
              <w:rPr>
                <w:webHidden/>
              </w:rPr>
              <w:t>254</w:t>
            </w:r>
            <w:r w:rsidR="00DD4ADF">
              <w:rPr>
                <w:webHidden/>
              </w:rPr>
              <w:fldChar w:fldCharType="end"/>
            </w:r>
          </w:hyperlink>
        </w:p>
        <w:p w14:paraId="0B8D16ED" w14:textId="08DCF869" w:rsidR="00DD4ADF" w:rsidRDefault="009C595A">
          <w:pPr>
            <w:pStyle w:val="Spistreci2"/>
            <w:rPr>
              <w:rFonts w:asciiTheme="minorHAnsi" w:eastAsiaTheme="minorEastAsia" w:hAnsiTheme="minorHAnsi" w:cstheme="minorBidi"/>
              <w:sz w:val="22"/>
              <w:szCs w:val="22"/>
              <w:lang w:eastAsia="pl-PL"/>
            </w:rPr>
          </w:pPr>
          <w:hyperlink w:anchor="_Toc105512696" w:history="1">
            <w:r w:rsidR="00DD4ADF" w:rsidRPr="00B47543">
              <w:rPr>
                <w:rStyle w:val="Hipercze"/>
              </w:rPr>
              <w:t>12.2.</w:t>
            </w:r>
            <w:r w:rsidR="00DD4ADF">
              <w:rPr>
                <w:rFonts w:asciiTheme="minorHAnsi" w:eastAsiaTheme="minorEastAsia" w:hAnsiTheme="minorHAnsi" w:cstheme="minorBidi"/>
                <w:sz w:val="22"/>
                <w:szCs w:val="22"/>
                <w:lang w:eastAsia="pl-PL"/>
              </w:rPr>
              <w:tab/>
            </w:r>
            <w:r w:rsidR="00DD4ADF" w:rsidRPr="00B47543">
              <w:rPr>
                <w:rStyle w:val="Hipercze"/>
              </w:rPr>
              <w:t>Katalogi działań poszczególnych kategorii wód</w:t>
            </w:r>
            <w:r w:rsidR="00DD4ADF">
              <w:rPr>
                <w:webHidden/>
              </w:rPr>
              <w:tab/>
            </w:r>
            <w:r w:rsidR="00DD4ADF">
              <w:rPr>
                <w:webHidden/>
              </w:rPr>
              <w:fldChar w:fldCharType="begin"/>
            </w:r>
            <w:r w:rsidR="00DD4ADF">
              <w:rPr>
                <w:webHidden/>
              </w:rPr>
              <w:instrText xml:space="preserve"> PAGEREF _Toc105512696 \h </w:instrText>
            </w:r>
            <w:r w:rsidR="00DD4ADF">
              <w:rPr>
                <w:webHidden/>
              </w:rPr>
            </w:r>
            <w:r w:rsidR="00DD4ADF">
              <w:rPr>
                <w:webHidden/>
              </w:rPr>
              <w:fldChar w:fldCharType="separate"/>
            </w:r>
            <w:r w:rsidR="001F774D">
              <w:rPr>
                <w:webHidden/>
              </w:rPr>
              <w:t>256</w:t>
            </w:r>
            <w:r w:rsidR="00DD4ADF">
              <w:rPr>
                <w:webHidden/>
              </w:rPr>
              <w:fldChar w:fldCharType="end"/>
            </w:r>
          </w:hyperlink>
        </w:p>
        <w:p w14:paraId="3EB52DC8" w14:textId="561445CD" w:rsidR="00DD4ADF" w:rsidRDefault="009C595A">
          <w:pPr>
            <w:pStyle w:val="Spistreci3"/>
            <w:rPr>
              <w:rFonts w:asciiTheme="minorHAnsi" w:eastAsiaTheme="minorEastAsia" w:hAnsiTheme="minorHAnsi" w:cstheme="minorBidi"/>
              <w:i w:val="0"/>
              <w:sz w:val="22"/>
              <w:szCs w:val="22"/>
              <w:lang w:eastAsia="pl-PL"/>
            </w:rPr>
          </w:pPr>
          <w:hyperlink w:anchor="_Toc105512697" w:history="1">
            <w:r w:rsidR="00DD4ADF" w:rsidRPr="00B47543">
              <w:rPr>
                <w:rStyle w:val="Hipercze"/>
              </w:rPr>
              <w:t>12.2.1.</w:t>
            </w:r>
            <w:r w:rsidR="00DD4ADF">
              <w:rPr>
                <w:rFonts w:asciiTheme="minorHAnsi" w:eastAsiaTheme="minorEastAsia" w:hAnsiTheme="minorHAnsi" w:cstheme="minorBidi"/>
                <w:i w:val="0"/>
                <w:sz w:val="22"/>
                <w:szCs w:val="22"/>
                <w:lang w:eastAsia="pl-PL"/>
              </w:rPr>
              <w:tab/>
            </w:r>
            <w:r w:rsidR="00DD4ADF" w:rsidRPr="00B47543">
              <w:rPr>
                <w:rStyle w:val="Hipercze"/>
              </w:rPr>
              <w:t>Katalog działań JCWP RW</w:t>
            </w:r>
            <w:r w:rsidR="00DD4ADF">
              <w:rPr>
                <w:webHidden/>
              </w:rPr>
              <w:tab/>
            </w:r>
            <w:r w:rsidR="00DD4ADF">
              <w:rPr>
                <w:webHidden/>
              </w:rPr>
              <w:fldChar w:fldCharType="begin"/>
            </w:r>
            <w:r w:rsidR="00DD4ADF">
              <w:rPr>
                <w:webHidden/>
              </w:rPr>
              <w:instrText xml:space="preserve"> PAGEREF _Toc105512697 \h </w:instrText>
            </w:r>
            <w:r w:rsidR="00DD4ADF">
              <w:rPr>
                <w:webHidden/>
              </w:rPr>
            </w:r>
            <w:r w:rsidR="00DD4ADF">
              <w:rPr>
                <w:webHidden/>
              </w:rPr>
              <w:fldChar w:fldCharType="separate"/>
            </w:r>
            <w:r w:rsidR="001F774D">
              <w:rPr>
                <w:webHidden/>
              </w:rPr>
              <w:t>258</w:t>
            </w:r>
            <w:r w:rsidR="00DD4ADF">
              <w:rPr>
                <w:webHidden/>
              </w:rPr>
              <w:fldChar w:fldCharType="end"/>
            </w:r>
          </w:hyperlink>
        </w:p>
        <w:p w14:paraId="47AA2786" w14:textId="0DA1C369" w:rsidR="00DD4ADF" w:rsidRDefault="009C595A">
          <w:pPr>
            <w:pStyle w:val="Spistreci3"/>
            <w:rPr>
              <w:rFonts w:asciiTheme="minorHAnsi" w:eastAsiaTheme="minorEastAsia" w:hAnsiTheme="minorHAnsi" w:cstheme="minorBidi"/>
              <w:i w:val="0"/>
              <w:sz w:val="22"/>
              <w:szCs w:val="22"/>
              <w:lang w:eastAsia="pl-PL"/>
            </w:rPr>
          </w:pPr>
          <w:hyperlink w:anchor="_Toc105512698" w:history="1">
            <w:r w:rsidR="00DD4ADF" w:rsidRPr="00B47543">
              <w:rPr>
                <w:rStyle w:val="Hipercze"/>
              </w:rPr>
              <w:t>12.2.2.</w:t>
            </w:r>
            <w:r w:rsidR="00DD4ADF">
              <w:rPr>
                <w:rFonts w:asciiTheme="minorHAnsi" w:eastAsiaTheme="minorEastAsia" w:hAnsiTheme="minorHAnsi" w:cstheme="minorBidi"/>
                <w:i w:val="0"/>
                <w:sz w:val="22"/>
                <w:szCs w:val="22"/>
                <w:lang w:eastAsia="pl-PL"/>
              </w:rPr>
              <w:tab/>
            </w:r>
            <w:r w:rsidR="00DD4ADF" w:rsidRPr="00B47543">
              <w:rPr>
                <w:rStyle w:val="Hipercze"/>
              </w:rPr>
              <w:t>Katalog działań JCWP RWr</w:t>
            </w:r>
            <w:r w:rsidR="00DD4ADF">
              <w:rPr>
                <w:webHidden/>
              </w:rPr>
              <w:tab/>
            </w:r>
            <w:r w:rsidR="00DD4ADF">
              <w:rPr>
                <w:webHidden/>
              </w:rPr>
              <w:fldChar w:fldCharType="begin"/>
            </w:r>
            <w:r w:rsidR="00DD4ADF">
              <w:rPr>
                <w:webHidden/>
              </w:rPr>
              <w:instrText xml:space="preserve"> PAGEREF _Toc105512698 \h </w:instrText>
            </w:r>
            <w:r w:rsidR="00DD4ADF">
              <w:rPr>
                <w:webHidden/>
              </w:rPr>
            </w:r>
            <w:r w:rsidR="00DD4ADF">
              <w:rPr>
                <w:webHidden/>
              </w:rPr>
              <w:fldChar w:fldCharType="separate"/>
            </w:r>
            <w:r w:rsidR="001F774D">
              <w:rPr>
                <w:webHidden/>
              </w:rPr>
              <w:t>262</w:t>
            </w:r>
            <w:r w:rsidR="00DD4ADF">
              <w:rPr>
                <w:webHidden/>
              </w:rPr>
              <w:fldChar w:fldCharType="end"/>
            </w:r>
          </w:hyperlink>
        </w:p>
        <w:p w14:paraId="65BB1FA9" w14:textId="758D5CF0" w:rsidR="00DD4ADF" w:rsidRDefault="009C595A">
          <w:pPr>
            <w:pStyle w:val="Spistreci3"/>
            <w:rPr>
              <w:rFonts w:asciiTheme="minorHAnsi" w:eastAsiaTheme="minorEastAsia" w:hAnsiTheme="minorHAnsi" w:cstheme="minorBidi"/>
              <w:i w:val="0"/>
              <w:sz w:val="22"/>
              <w:szCs w:val="22"/>
              <w:lang w:eastAsia="pl-PL"/>
            </w:rPr>
          </w:pPr>
          <w:hyperlink w:anchor="_Toc105512699" w:history="1">
            <w:r w:rsidR="00DD4ADF" w:rsidRPr="00B47543">
              <w:rPr>
                <w:rStyle w:val="Hipercze"/>
              </w:rPr>
              <w:t>12.2.3.</w:t>
            </w:r>
            <w:r w:rsidR="00DD4ADF">
              <w:rPr>
                <w:rFonts w:asciiTheme="minorHAnsi" w:eastAsiaTheme="minorEastAsia" w:hAnsiTheme="minorHAnsi" w:cstheme="minorBidi"/>
                <w:i w:val="0"/>
                <w:sz w:val="22"/>
                <w:szCs w:val="22"/>
                <w:lang w:eastAsia="pl-PL"/>
              </w:rPr>
              <w:tab/>
            </w:r>
            <w:r w:rsidR="00DD4ADF" w:rsidRPr="00B47543">
              <w:rPr>
                <w:rStyle w:val="Hipercze"/>
              </w:rPr>
              <w:t>Katalog działań JCWP LW</w:t>
            </w:r>
            <w:r w:rsidR="00DD4ADF">
              <w:rPr>
                <w:webHidden/>
              </w:rPr>
              <w:tab/>
            </w:r>
            <w:r w:rsidR="00DD4ADF">
              <w:rPr>
                <w:webHidden/>
              </w:rPr>
              <w:fldChar w:fldCharType="begin"/>
            </w:r>
            <w:r w:rsidR="00DD4ADF">
              <w:rPr>
                <w:webHidden/>
              </w:rPr>
              <w:instrText xml:space="preserve"> PAGEREF _Toc105512699 \h </w:instrText>
            </w:r>
            <w:r w:rsidR="00DD4ADF">
              <w:rPr>
                <w:webHidden/>
              </w:rPr>
            </w:r>
            <w:r w:rsidR="00DD4ADF">
              <w:rPr>
                <w:webHidden/>
              </w:rPr>
              <w:fldChar w:fldCharType="separate"/>
            </w:r>
            <w:r w:rsidR="001F774D">
              <w:rPr>
                <w:webHidden/>
              </w:rPr>
              <w:t>265</w:t>
            </w:r>
            <w:r w:rsidR="00DD4ADF">
              <w:rPr>
                <w:webHidden/>
              </w:rPr>
              <w:fldChar w:fldCharType="end"/>
            </w:r>
          </w:hyperlink>
        </w:p>
        <w:p w14:paraId="56BA8A62" w14:textId="1395567E" w:rsidR="00DD4ADF" w:rsidRDefault="009C595A">
          <w:pPr>
            <w:pStyle w:val="Spistreci3"/>
            <w:rPr>
              <w:rFonts w:asciiTheme="minorHAnsi" w:eastAsiaTheme="minorEastAsia" w:hAnsiTheme="minorHAnsi" w:cstheme="minorBidi"/>
              <w:i w:val="0"/>
              <w:sz w:val="22"/>
              <w:szCs w:val="22"/>
              <w:lang w:eastAsia="pl-PL"/>
            </w:rPr>
          </w:pPr>
          <w:hyperlink w:anchor="_Toc105512700" w:history="1">
            <w:r w:rsidR="00DD4ADF" w:rsidRPr="00B47543">
              <w:rPr>
                <w:rStyle w:val="Hipercze"/>
              </w:rPr>
              <w:t>12.2.4.</w:t>
            </w:r>
            <w:r w:rsidR="00DD4ADF">
              <w:rPr>
                <w:rFonts w:asciiTheme="minorHAnsi" w:eastAsiaTheme="minorEastAsia" w:hAnsiTheme="minorHAnsi" w:cstheme="minorBidi"/>
                <w:i w:val="0"/>
                <w:sz w:val="22"/>
                <w:szCs w:val="22"/>
                <w:lang w:eastAsia="pl-PL"/>
              </w:rPr>
              <w:tab/>
            </w:r>
            <w:r w:rsidR="00DD4ADF" w:rsidRPr="00B47543">
              <w:rPr>
                <w:rStyle w:val="Hipercze"/>
              </w:rPr>
              <w:t>Katalog działań JCWP TW i CW</w:t>
            </w:r>
            <w:r w:rsidR="00DD4ADF">
              <w:rPr>
                <w:webHidden/>
              </w:rPr>
              <w:tab/>
            </w:r>
            <w:r w:rsidR="00DD4ADF">
              <w:rPr>
                <w:webHidden/>
              </w:rPr>
              <w:fldChar w:fldCharType="begin"/>
            </w:r>
            <w:r w:rsidR="00DD4ADF">
              <w:rPr>
                <w:webHidden/>
              </w:rPr>
              <w:instrText xml:space="preserve"> PAGEREF _Toc105512700 \h </w:instrText>
            </w:r>
            <w:r w:rsidR="00DD4ADF">
              <w:rPr>
                <w:webHidden/>
              </w:rPr>
            </w:r>
            <w:r w:rsidR="00DD4ADF">
              <w:rPr>
                <w:webHidden/>
              </w:rPr>
              <w:fldChar w:fldCharType="separate"/>
            </w:r>
            <w:r w:rsidR="001F774D">
              <w:rPr>
                <w:webHidden/>
              </w:rPr>
              <w:t>269</w:t>
            </w:r>
            <w:r w:rsidR="00DD4ADF">
              <w:rPr>
                <w:webHidden/>
              </w:rPr>
              <w:fldChar w:fldCharType="end"/>
            </w:r>
          </w:hyperlink>
        </w:p>
        <w:p w14:paraId="4D5BB255" w14:textId="3C2CF427" w:rsidR="00DD4ADF" w:rsidRDefault="009C595A">
          <w:pPr>
            <w:pStyle w:val="Spistreci3"/>
            <w:rPr>
              <w:rFonts w:asciiTheme="minorHAnsi" w:eastAsiaTheme="minorEastAsia" w:hAnsiTheme="minorHAnsi" w:cstheme="minorBidi"/>
              <w:i w:val="0"/>
              <w:sz w:val="22"/>
              <w:szCs w:val="22"/>
              <w:lang w:eastAsia="pl-PL"/>
            </w:rPr>
          </w:pPr>
          <w:hyperlink w:anchor="_Toc105512701" w:history="1">
            <w:r w:rsidR="00DD4ADF" w:rsidRPr="00B47543">
              <w:rPr>
                <w:rStyle w:val="Hipercze"/>
              </w:rPr>
              <w:t>12.2.5.</w:t>
            </w:r>
            <w:r w:rsidR="00DD4ADF">
              <w:rPr>
                <w:rFonts w:asciiTheme="minorHAnsi" w:eastAsiaTheme="minorEastAsia" w:hAnsiTheme="minorHAnsi" w:cstheme="minorBidi"/>
                <w:i w:val="0"/>
                <w:sz w:val="22"/>
                <w:szCs w:val="22"/>
                <w:lang w:eastAsia="pl-PL"/>
              </w:rPr>
              <w:tab/>
            </w:r>
            <w:r w:rsidR="00DD4ADF" w:rsidRPr="00B47543">
              <w:rPr>
                <w:rStyle w:val="Hipercze"/>
              </w:rPr>
              <w:t>Katalog działań JCWPd (GW)</w:t>
            </w:r>
            <w:r w:rsidR="00DD4ADF">
              <w:rPr>
                <w:webHidden/>
              </w:rPr>
              <w:tab/>
            </w:r>
            <w:r w:rsidR="00DD4ADF">
              <w:rPr>
                <w:webHidden/>
              </w:rPr>
              <w:fldChar w:fldCharType="begin"/>
            </w:r>
            <w:r w:rsidR="00DD4ADF">
              <w:rPr>
                <w:webHidden/>
              </w:rPr>
              <w:instrText xml:space="preserve"> PAGEREF _Toc105512701 \h </w:instrText>
            </w:r>
            <w:r w:rsidR="00DD4ADF">
              <w:rPr>
                <w:webHidden/>
              </w:rPr>
            </w:r>
            <w:r w:rsidR="00DD4ADF">
              <w:rPr>
                <w:webHidden/>
              </w:rPr>
              <w:fldChar w:fldCharType="separate"/>
            </w:r>
            <w:r w:rsidR="001F774D">
              <w:rPr>
                <w:webHidden/>
              </w:rPr>
              <w:t>272</w:t>
            </w:r>
            <w:r w:rsidR="00DD4ADF">
              <w:rPr>
                <w:webHidden/>
              </w:rPr>
              <w:fldChar w:fldCharType="end"/>
            </w:r>
          </w:hyperlink>
        </w:p>
        <w:p w14:paraId="51D553D3" w14:textId="06E99865" w:rsidR="00DD4ADF" w:rsidRDefault="009C595A">
          <w:pPr>
            <w:pStyle w:val="Spistreci2"/>
            <w:rPr>
              <w:rFonts w:asciiTheme="minorHAnsi" w:eastAsiaTheme="minorEastAsia" w:hAnsiTheme="minorHAnsi" w:cstheme="minorBidi"/>
              <w:sz w:val="22"/>
              <w:szCs w:val="22"/>
              <w:lang w:eastAsia="pl-PL"/>
            </w:rPr>
          </w:pPr>
          <w:hyperlink w:anchor="_Toc105512702" w:history="1">
            <w:r w:rsidR="00DD4ADF" w:rsidRPr="00B47543">
              <w:rPr>
                <w:rStyle w:val="Hipercze"/>
              </w:rPr>
              <w:t>12.3.</w:t>
            </w:r>
            <w:r w:rsidR="00DD4ADF">
              <w:rPr>
                <w:rFonts w:asciiTheme="minorHAnsi" w:eastAsiaTheme="minorEastAsia" w:hAnsiTheme="minorHAnsi" w:cstheme="minorBidi"/>
                <w:sz w:val="22"/>
                <w:szCs w:val="22"/>
                <w:lang w:eastAsia="pl-PL"/>
              </w:rPr>
              <w:tab/>
            </w:r>
            <w:r w:rsidR="00DD4ADF" w:rsidRPr="00B47543">
              <w:rPr>
                <w:rStyle w:val="Hipercze"/>
              </w:rPr>
              <w:t>Opis zestawu działań podstawowych i uzupełniających jcw</w:t>
            </w:r>
            <w:r w:rsidR="00DD4ADF">
              <w:rPr>
                <w:webHidden/>
              </w:rPr>
              <w:tab/>
            </w:r>
            <w:r w:rsidR="00DD4ADF">
              <w:rPr>
                <w:webHidden/>
              </w:rPr>
              <w:fldChar w:fldCharType="begin"/>
            </w:r>
            <w:r w:rsidR="00DD4ADF">
              <w:rPr>
                <w:webHidden/>
              </w:rPr>
              <w:instrText xml:space="preserve"> PAGEREF _Toc105512702 \h </w:instrText>
            </w:r>
            <w:r w:rsidR="00DD4ADF">
              <w:rPr>
                <w:webHidden/>
              </w:rPr>
            </w:r>
            <w:r w:rsidR="00DD4ADF">
              <w:rPr>
                <w:webHidden/>
              </w:rPr>
              <w:fldChar w:fldCharType="separate"/>
            </w:r>
            <w:r w:rsidR="001F774D">
              <w:rPr>
                <w:webHidden/>
              </w:rPr>
              <w:t>276</w:t>
            </w:r>
            <w:r w:rsidR="00DD4ADF">
              <w:rPr>
                <w:webHidden/>
              </w:rPr>
              <w:fldChar w:fldCharType="end"/>
            </w:r>
          </w:hyperlink>
        </w:p>
        <w:p w14:paraId="7FFDA389" w14:textId="6856D80B" w:rsidR="00DD4ADF" w:rsidRDefault="009C595A">
          <w:pPr>
            <w:pStyle w:val="Spistreci3"/>
            <w:rPr>
              <w:rFonts w:asciiTheme="minorHAnsi" w:eastAsiaTheme="minorEastAsia" w:hAnsiTheme="minorHAnsi" w:cstheme="minorBidi"/>
              <w:i w:val="0"/>
              <w:sz w:val="22"/>
              <w:szCs w:val="22"/>
              <w:lang w:eastAsia="pl-PL"/>
            </w:rPr>
          </w:pPr>
          <w:hyperlink w:anchor="_Toc105512703" w:history="1">
            <w:r w:rsidR="00DD4ADF" w:rsidRPr="00B47543">
              <w:rPr>
                <w:rStyle w:val="Hipercze"/>
              </w:rPr>
              <w:t>12.3.1.</w:t>
            </w:r>
            <w:r w:rsidR="00DD4ADF">
              <w:rPr>
                <w:rFonts w:asciiTheme="minorHAnsi" w:eastAsiaTheme="minorEastAsia" w:hAnsiTheme="minorHAnsi" w:cstheme="minorBidi"/>
                <w:i w:val="0"/>
                <w:sz w:val="22"/>
                <w:szCs w:val="22"/>
                <w:lang w:eastAsia="pl-PL"/>
              </w:rPr>
              <w:tab/>
            </w:r>
            <w:r w:rsidR="00DD4ADF" w:rsidRPr="00B47543">
              <w:rPr>
                <w:rStyle w:val="Hipercze"/>
              </w:rPr>
              <w:t>Zestaw działań podstawowych i uzupełniających JCWP RW</w:t>
            </w:r>
            <w:r w:rsidR="00DD4ADF">
              <w:rPr>
                <w:webHidden/>
              </w:rPr>
              <w:tab/>
            </w:r>
            <w:r w:rsidR="00DD4ADF">
              <w:rPr>
                <w:webHidden/>
              </w:rPr>
              <w:fldChar w:fldCharType="begin"/>
            </w:r>
            <w:r w:rsidR="00DD4ADF">
              <w:rPr>
                <w:webHidden/>
              </w:rPr>
              <w:instrText xml:space="preserve"> PAGEREF _Toc105512703 \h </w:instrText>
            </w:r>
            <w:r w:rsidR="00DD4ADF">
              <w:rPr>
                <w:webHidden/>
              </w:rPr>
            </w:r>
            <w:r w:rsidR="00DD4ADF">
              <w:rPr>
                <w:webHidden/>
              </w:rPr>
              <w:fldChar w:fldCharType="separate"/>
            </w:r>
            <w:r w:rsidR="001F774D">
              <w:rPr>
                <w:webHidden/>
              </w:rPr>
              <w:t>276</w:t>
            </w:r>
            <w:r w:rsidR="00DD4ADF">
              <w:rPr>
                <w:webHidden/>
              </w:rPr>
              <w:fldChar w:fldCharType="end"/>
            </w:r>
          </w:hyperlink>
        </w:p>
        <w:p w14:paraId="4077AF76" w14:textId="4146318F" w:rsidR="00DD4ADF" w:rsidRDefault="009C595A">
          <w:pPr>
            <w:pStyle w:val="Spistreci3"/>
            <w:rPr>
              <w:rFonts w:asciiTheme="minorHAnsi" w:eastAsiaTheme="minorEastAsia" w:hAnsiTheme="minorHAnsi" w:cstheme="minorBidi"/>
              <w:i w:val="0"/>
              <w:sz w:val="22"/>
              <w:szCs w:val="22"/>
              <w:lang w:eastAsia="pl-PL"/>
            </w:rPr>
          </w:pPr>
          <w:hyperlink w:anchor="_Toc105512704" w:history="1">
            <w:r w:rsidR="00DD4ADF" w:rsidRPr="00B47543">
              <w:rPr>
                <w:rStyle w:val="Hipercze"/>
              </w:rPr>
              <w:t>12.3.2.</w:t>
            </w:r>
            <w:r w:rsidR="00DD4ADF">
              <w:rPr>
                <w:rFonts w:asciiTheme="minorHAnsi" w:eastAsiaTheme="minorEastAsia" w:hAnsiTheme="minorHAnsi" w:cstheme="minorBidi"/>
                <w:i w:val="0"/>
                <w:sz w:val="22"/>
                <w:szCs w:val="22"/>
                <w:lang w:eastAsia="pl-PL"/>
              </w:rPr>
              <w:tab/>
            </w:r>
            <w:r w:rsidR="00DD4ADF" w:rsidRPr="00B47543">
              <w:rPr>
                <w:rStyle w:val="Hipercze"/>
              </w:rPr>
              <w:t>Zestaw działań podstawowych i uzupełniających JCWP RWr</w:t>
            </w:r>
            <w:r w:rsidR="00DD4ADF">
              <w:rPr>
                <w:webHidden/>
              </w:rPr>
              <w:tab/>
            </w:r>
            <w:r w:rsidR="00DD4ADF">
              <w:rPr>
                <w:webHidden/>
              </w:rPr>
              <w:fldChar w:fldCharType="begin"/>
            </w:r>
            <w:r w:rsidR="00DD4ADF">
              <w:rPr>
                <w:webHidden/>
              </w:rPr>
              <w:instrText xml:space="preserve"> PAGEREF _Toc105512704 \h </w:instrText>
            </w:r>
            <w:r w:rsidR="00DD4ADF">
              <w:rPr>
                <w:webHidden/>
              </w:rPr>
            </w:r>
            <w:r w:rsidR="00DD4ADF">
              <w:rPr>
                <w:webHidden/>
              </w:rPr>
              <w:fldChar w:fldCharType="separate"/>
            </w:r>
            <w:r w:rsidR="001F774D">
              <w:rPr>
                <w:webHidden/>
              </w:rPr>
              <w:t>280</w:t>
            </w:r>
            <w:r w:rsidR="00DD4ADF">
              <w:rPr>
                <w:webHidden/>
              </w:rPr>
              <w:fldChar w:fldCharType="end"/>
            </w:r>
          </w:hyperlink>
        </w:p>
        <w:p w14:paraId="4A9322E6" w14:textId="05F3F691" w:rsidR="00DD4ADF" w:rsidRDefault="009C595A">
          <w:pPr>
            <w:pStyle w:val="Spistreci3"/>
            <w:rPr>
              <w:rFonts w:asciiTheme="minorHAnsi" w:eastAsiaTheme="minorEastAsia" w:hAnsiTheme="minorHAnsi" w:cstheme="minorBidi"/>
              <w:i w:val="0"/>
              <w:sz w:val="22"/>
              <w:szCs w:val="22"/>
              <w:lang w:eastAsia="pl-PL"/>
            </w:rPr>
          </w:pPr>
          <w:hyperlink w:anchor="_Toc105512705" w:history="1">
            <w:r w:rsidR="00DD4ADF" w:rsidRPr="00B47543">
              <w:rPr>
                <w:rStyle w:val="Hipercze"/>
              </w:rPr>
              <w:t>12.3.3.</w:t>
            </w:r>
            <w:r w:rsidR="00DD4ADF">
              <w:rPr>
                <w:rFonts w:asciiTheme="minorHAnsi" w:eastAsiaTheme="minorEastAsia" w:hAnsiTheme="minorHAnsi" w:cstheme="minorBidi"/>
                <w:i w:val="0"/>
                <w:sz w:val="22"/>
                <w:szCs w:val="22"/>
                <w:lang w:eastAsia="pl-PL"/>
              </w:rPr>
              <w:tab/>
            </w:r>
            <w:r w:rsidR="00DD4ADF" w:rsidRPr="00B47543">
              <w:rPr>
                <w:rStyle w:val="Hipercze"/>
              </w:rPr>
              <w:t>Zestaw działań podstawowych i uzupełniających JCWP LW</w:t>
            </w:r>
            <w:r w:rsidR="00DD4ADF">
              <w:rPr>
                <w:webHidden/>
              </w:rPr>
              <w:tab/>
            </w:r>
            <w:r w:rsidR="00DD4ADF">
              <w:rPr>
                <w:webHidden/>
              </w:rPr>
              <w:fldChar w:fldCharType="begin"/>
            </w:r>
            <w:r w:rsidR="00DD4ADF">
              <w:rPr>
                <w:webHidden/>
              </w:rPr>
              <w:instrText xml:space="preserve"> PAGEREF _Toc105512705 \h </w:instrText>
            </w:r>
            <w:r w:rsidR="00DD4ADF">
              <w:rPr>
                <w:webHidden/>
              </w:rPr>
            </w:r>
            <w:r w:rsidR="00DD4ADF">
              <w:rPr>
                <w:webHidden/>
              </w:rPr>
              <w:fldChar w:fldCharType="separate"/>
            </w:r>
            <w:r w:rsidR="001F774D">
              <w:rPr>
                <w:webHidden/>
              </w:rPr>
              <w:t>284</w:t>
            </w:r>
            <w:r w:rsidR="00DD4ADF">
              <w:rPr>
                <w:webHidden/>
              </w:rPr>
              <w:fldChar w:fldCharType="end"/>
            </w:r>
          </w:hyperlink>
        </w:p>
        <w:p w14:paraId="09AEB404" w14:textId="77D345FD" w:rsidR="00DD4ADF" w:rsidRDefault="009C595A">
          <w:pPr>
            <w:pStyle w:val="Spistreci3"/>
            <w:rPr>
              <w:rFonts w:asciiTheme="minorHAnsi" w:eastAsiaTheme="minorEastAsia" w:hAnsiTheme="minorHAnsi" w:cstheme="minorBidi"/>
              <w:i w:val="0"/>
              <w:sz w:val="22"/>
              <w:szCs w:val="22"/>
              <w:lang w:eastAsia="pl-PL"/>
            </w:rPr>
          </w:pPr>
          <w:hyperlink w:anchor="_Toc105512706" w:history="1">
            <w:r w:rsidR="00DD4ADF" w:rsidRPr="00B47543">
              <w:rPr>
                <w:rStyle w:val="Hipercze"/>
              </w:rPr>
              <w:t>12.3.4.</w:t>
            </w:r>
            <w:r w:rsidR="00DD4ADF">
              <w:rPr>
                <w:rFonts w:asciiTheme="minorHAnsi" w:eastAsiaTheme="minorEastAsia" w:hAnsiTheme="minorHAnsi" w:cstheme="minorBidi"/>
                <w:i w:val="0"/>
                <w:sz w:val="22"/>
                <w:szCs w:val="22"/>
                <w:lang w:eastAsia="pl-PL"/>
              </w:rPr>
              <w:tab/>
            </w:r>
            <w:r w:rsidR="00DD4ADF" w:rsidRPr="00B47543">
              <w:rPr>
                <w:rStyle w:val="Hipercze"/>
              </w:rPr>
              <w:t>Zestaw działań podstawowych i uzupełniających JCWP TW i CW</w:t>
            </w:r>
            <w:r w:rsidR="00DD4ADF">
              <w:rPr>
                <w:webHidden/>
              </w:rPr>
              <w:tab/>
            </w:r>
            <w:r w:rsidR="00DD4ADF">
              <w:rPr>
                <w:webHidden/>
              </w:rPr>
              <w:fldChar w:fldCharType="begin"/>
            </w:r>
            <w:r w:rsidR="00DD4ADF">
              <w:rPr>
                <w:webHidden/>
              </w:rPr>
              <w:instrText xml:space="preserve"> PAGEREF _Toc105512706 \h </w:instrText>
            </w:r>
            <w:r w:rsidR="00DD4ADF">
              <w:rPr>
                <w:webHidden/>
              </w:rPr>
            </w:r>
            <w:r w:rsidR="00DD4ADF">
              <w:rPr>
                <w:webHidden/>
              </w:rPr>
              <w:fldChar w:fldCharType="separate"/>
            </w:r>
            <w:r w:rsidR="001F774D">
              <w:rPr>
                <w:webHidden/>
              </w:rPr>
              <w:t>286</w:t>
            </w:r>
            <w:r w:rsidR="00DD4ADF">
              <w:rPr>
                <w:webHidden/>
              </w:rPr>
              <w:fldChar w:fldCharType="end"/>
            </w:r>
          </w:hyperlink>
        </w:p>
        <w:p w14:paraId="0E3CA47E" w14:textId="4F107A36" w:rsidR="00DD4ADF" w:rsidRDefault="009C595A">
          <w:pPr>
            <w:pStyle w:val="Spistreci3"/>
            <w:rPr>
              <w:rFonts w:asciiTheme="minorHAnsi" w:eastAsiaTheme="minorEastAsia" w:hAnsiTheme="minorHAnsi" w:cstheme="minorBidi"/>
              <w:i w:val="0"/>
              <w:sz w:val="22"/>
              <w:szCs w:val="22"/>
              <w:lang w:eastAsia="pl-PL"/>
            </w:rPr>
          </w:pPr>
          <w:hyperlink w:anchor="_Toc105512707" w:history="1">
            <w:r w:rsidR="00DD4ADF" w:rsidRPr="00B47543">
              <w:rPr>
                <w:rStyle w:val="Hipercze"/>
              </w:rPr>
              <w:t>12.3.5.</w:t>
            </w:r>
            <w:r w:rsidR="00DD4ADF">
              <w:rPr>
                <w:rFonts w:asciiTheme="minorHAnsi" w:eastAsiaTheme="minorEastAsia" w:hAnsiTheme="minorHAnsi" w:cstheme="minorBidi"/>
                <w:i w:val="0"/>
                <w:sz w:val="22"/>
                <w:szCs w:val="22"/>
                <w:lang w:eastAsia="pl-PL"/>
              </w:rPr>
              <w:tab/>
            </w:r>
            <w:r w:rsidR="00DD4ADF" w:rsidRPr="00B47543">
              <w:rPr>
                <w:rStyle w:val="Hipercze"/>
              </w:rPr>
              <w:t>Zestawy działań dla JCWPd (GW)</w:t>
            </w:r>
            <w:r w:rsidR="00DD4ADF">
              <w:rPr>
                <w:webHidden/>
              </w:rPr>
              <w:tab/>
            </w:r>
            <w:r w:rsidR="00DD4ADF">
              <w:rPr>
                <w:webHidden/>
              </w:rPr>
              <w:fldChar w:fldCharType="begin"/>
            </w:r>
            <w:r w:rsidR="00DD4ADF">
              <w:rPr>
                <w:webHidden/>
              </w:rPr>
              <w:instrText xml:space="preserve"> PAGEREF _Toc105512707 \h </w:instrText>
            </w:r>
            <w:r w:rsidR="00DD4ADF">
              <w:rPr>
                <w:webHidden/>
              </w:rPr>
            </w:r>
            <w:r w:rsidR="00DD4ADF">
              <w:rPr>
                <w:webHidden/>
              </w:rPr>
              <w:fldChar w:fldCharType="separate"/>
            </w:r>
            <w:r w:rsidR="001F774D">
              <w:rPr>
                <w:webHidden/>
              </w:rPr>
              <w:t>288</w:t>
            </w:r>
            <w:r w:rsidR="00DD4ADF">
              <w:rPr>
                <w:webHidden/>
              </w:rPr>
              <w:fldChar w:fldCharType="end"/>
            </w:r>
          </w:hyperlink>
        </w:p>
        <w:p w14:paraId="477F419A" w14:textId="6F9FF598" w:rsidR="00DD4ADF" w:rsidRDefault="009C595A">
          <w:pPr>
            <w:pStyle w:val="Spistreci2"/>
            <w:rPr>
              <w:rFonts w:asciiTheme="minorHAnsi" w:eastAsiaTheme="minorEastAsia" w:hAnsiTheme="minorHAnsi" w:cstheme="minorBidi"/>
              <w:sz w:val="22"/>
              <w:szCs w:val="22"/>
              <w:lang w:eastAsia="pl-PL"/>
            </w:rPr>
          </w:pPr>
          <w:hyperlink w:anchor="_Toc105512708" w:history="1">
            <w:r w:rsidR="00DD4ADF" w:rsidRPr="00B47543">
              <w:rPr>
                <w:rStyle w:val="Hipercze"/>
              </w:rPr>
              <w:t>12.4.</w:t>
            </w:r>
            <w:r w:rsidR="00DD4ADF">
              <w:rPr>
                <w:rFonts w:asciiTheme="minorHAnsi" w:eastAsiaTheme="minorEastAsia" w:hAnsiTheme="minorHAnsi" w:cstheme="minorBidi"/>
                <w:sz w:val="22"/>
                <w:szCs w:val="22"/>
                <w:lang w:eastAsia="pl-PL"/>
              </w:rPr>
              <w:tab/>
            </w:r>
            <w:r w:rsidR="00DD4ADF" w:rsidRPr="00B47543">
              <w:rPr>
                <w:rStyle w:val="Hipercze"/>
              </w:rPr>
              <w:t>Koszty zestawu działań</w:t>
            </w:r>
            <w:r w:rsidR="00DD4ADF">
              <w:rPr>
                <w:webHidden/>
              </w:rPr>
              <w:tab/>
            </w:r>
            <w:r w:rsidR="00DD4ADF">
              <w:rPr>
                <w:webHidden/>
              </w:rPr>
              <w:fldChar w:fldCharType="begin"/>
            </w:r>
            <w:r w:rsidR="00DD4ADF">
              <w:rPr>
                <w:webHidden/>
              </w:rPr>
              <w:instrText xml:space="preserve"> PAGEREF _Toc105512708 \h </w:instrText>
            </w:r>
            <w:r w:rsidR="00DD4ADF">
              <w:rPr>
                <w:webHidden/>
              </w:rPr>
            </w:r>
            <w:r w:rsidR="00DD4ADF">
              <w:rPr>
                <w:webHidden/>
              </w:rPr>
              <w:fldChar w:fldCharType="separate"/>
            </w:r>
            <w:r w:rsidR="001F774D">
              <w:rPr>
                <w:webHidden/>
              </w:rPr>
              <w:t>291</w:t>
            </w:r>
            <w:r w:rsidR="00DD4ADF">
              <w:rPr>
                <w:webHidden/>
              </w:rPr>
              <w:fldChar w:fldCharType="end"/>
            </w:r>
          </w:hyperlink>
        </w:p>
        <w:p w14:paraId="780483E3" w14:textId="7532D08B" w:rsidR="00DD4ADF" w:rsidRDefault="009C595A">
          <w:pPr>
            <w:pStyle w:val="Spistreci1"/>
            <w:rPr>
              <w:rFonts w:asciiTheme="minorHAnsi" w:eastAsiaTheme="minorEastAsia" w:hAnsiTheme="minorHAnsi" w:cstheme="minorBidi"/>
              <w:b w:val="0"/>
              <w:smallCaps w:val="0"/>
              <w:sz w:val="22"/>
              <w:szCs w:val="22"/>
              <w:lang w:eastAsia="pl-PL"/>
            </w:rPr>
          </w:pPr>
          <w:hyperlink w:anchor="_Toc105512709" w:history="1">
            <w:r w:rsidR="00DD4ADF" w:rsidRPr="00B47543">
              <w:rPr>
                <w:rStyle w:val="Hipercze"/>
              </w:rPr>
              <w:t>13.</w:t>
            </w:r>
            <w:r w:rsidR="00DD4ADF">
              <w:rPr>
                <w:rFonts w:asciiTheme="minorHAnsi" w:eastAsiaTheme="minorEastAsia" w:hAnsiTheme="minorHAnsi" w:cstheme="minorBidi"/>
                <w:b w:val="0"/>
                <w:smallCaps w:val="0"/>
                <w:sz w:val="22"/>
                <w:szCs w:val="22"/>
                <w:lang w:eastAsia="pl-PL"/>
              </w:rPr>
              <w:tab/>
            </w:r>
            <w:r w:rsidR="00DD4ADF" w:rsidRPr="00B47543">
              <w:rPr>
                <w:rStyle w:val="Hipercze"/>
              </w:rPr>
              <w:t>Podsumowanie działań</w:t>
            </w:r>
            <w:r w:rsidR="00DD4ADF">
              <w:rPr>
                <w:webHidden/>
              </w:rPr>
              <w:tab/>
            </w:r>
            <w:r w:rsidR="00DD4ADF">
              <w:rPr>
                <w:webHidden/>
              </w:rPr>
              <w:fldChar w:fldCharType="begin"/>
            </w:r>
            <w:r w:rsidR="00DD4ADF">
              <w:rPr>
                <w:webHidden/>
              </w:rPr>
              <w:instrText xml:space="preserve"> PAGEREF _Toc105512709 \h </w:instrText>
            </w:r>
            <w:r w:rsidR="00DD4ADF">
              <w:rPr>
                <w:webHidden/>
              </w:rPr>
            </w:r>
            <w:r w:rsidR="00DD4ADF">
              <w:rPr>
                <w:webHidden/>
              </w:rPr>
              <w:fldChar w:fldCharType="separate"/>
            </w:r>
            <w:r w:rsidR="001F774D">
              <w:rPr>
                <w:webHidden/>
              </w:rPr>
              <w:t>295</w:t>
            </w:r>
            <w:r w:rsidR="00DD4ADF">
              <w:rPr>
                <w:webHidden/>
              </w:rPr>
              <w:fldChar w:fldCharType="end"/>
            </w:r>
          </w:hyperlink>
        </w:p>
        <w:p w14:paraId="60449E96" w14:textId="33374EF5" w:rsidR="00DD4ADF" w:rsidRDefault="009C595A">
          <w:pPr>
            <w:pStyle w:val="Spistreci2"/>
            <w:rPr>
              <w:rFonts w:asciiTheme="minorHAnsi" w:eastAsiaTheme="minorEastAsia" w:hAnsiTheme="minorHAnsi" w:cstheme="minorBidi"/>
              <w:sz w:val="22"/>
              <w:szCs w:val="22"/>
              <w:lang w:eastAsia="pl-PL"/>
            </w:rPr>
          </w:pPr>
          <w:hyperlink w:anchor="_Toc105512710" w:history="1">
            <w:r w:rsidR="00DD4ADF" w:rsidRPr="00B47543">
              <w:rPr>
                <w:rStyle w:val="Hipercze"/>
              </w:rPr>
              <w:t>13.1.</w:t>
            </w:r>
            <w:r w:rsidR="00DD4ADF">
              <w:rPr>
                <w:rFonts w:asciiTheme="minorHAnsi" w:eastAsiaTheme="minorEastAsia" w:hAnsiTheme="minorHAnsi" w:cstheme="minorBidi"/>
                <w:sz w:val="22"/>
                <w:szCs w:val="22"/>
                <w:lang w:eastAsia="pl-PL"/>
              </w:rPr>
              <w:tab/>
            </w:r>
            <w:r w:rsidR="00DD4ADF" w:rsidRPr="00B47543">
              <w:rPr>
                <w:rStyle w:val="Hipercze"/>
              </w:rPr>
              <w:t>Informacje o planowanych i podjętych działaniach, które służą wdrożeniu zasady zwrotu kosztów usług wodnych</w:t>
            </w:r>
            <w:r w:rsidR="00DD4ADF">
              <w:rPr>
                <w:webHidden/>
              </w:rPr>
              <w:tab/>
            </w:r>
            <w:r w:rsidR="00DD4ADF">
              <w:rPr>
                <w:webHidden/>
              </w:rPr>
              <w:fldChar w:fldCharType="begin"/>
            </w:r>
            <w:r w:rsidR="00DD4ADF">
              <w:rPr>
                <w:webHidden/>
              </w:rPr>
              <w:instrText xml:space="preserve"> PAGEREF _Toc105512710 \h </w:instrText>
            </w:r>
            <w:r w:rsidR="00DD4ADF">
              <w:rPr>
                <w:webHidden/>
              </w:rPr>
            </w:r>
            <w:r w:rsidR="00DD4ADF">
              <w:rPr>
                <w:webHidden/>
              </w:rPr>
              <w:fldChar w:fldCharType="separate"/>
            </w:r>
            <w:r w:rsidR="001F774D">
              <w:rPr>
                <w:webHidden/>
              </w:rPr>
              <w:t>295</w:t>
            </w:r>
            <w:r w:rsidR="00DD4ADF">
              <w:rPr>
                <w:webHidden/>
              </w:rPr>
              <w:fldChar w:fldCharType="end"/>
            </w:r>
          </w:hyperlink>
        </w:p>
        <w:p w14:paraId="4384DBE6" w14:textId="3C6F0176" w:rsidR="00DD4ADF" w:rsidRDefault="009C595A">
          <w:pPr>
            <w:pStyle w:val="Spistreci3"/>
            <w:rPr>
              <w:rFonts w:asciiTheme="minorHAnsi" w:eastAsiaTheme="minorEastAsia" w:hAnsiTheme="minorHAnsi" w:cstheme="minorBidi"/>
              <w:i w:val="0"/>
              <w:sz w:val="22"/>
              <w:szCs w:val="22"/>
              <w:lang w:eastAsia="pl-PL"/>
            </w:rPr>
          </w:pPr>
          <w:hyperlink w:anchor="_Toc105512711" w:history="1">
            <w:r w:rsidR="00DD4ADF" w:rsidRPr="00B47543">
              <w:rPr>
                <w:rStyle w:val="Hipercze"/>
              </w:rPr>
              <w:t>13.1.1.</w:t>
            </w:r>
            <w:r w:rsidR="00DD4ADF">
              <w:rPr>
                <w:rFonts w:asciiTheme="minorHAnsi" w:eastAsiaTheme="minorEastAsia" w:hAnsiTheme="minorHAnsi" w:cstheme="minorBidi"/>
                <w:i w:val="0"/>
                <w:sz w:val="22"/>
                <w:szCs w:val="22"/>
                <w:lang w:eastAsia="pl-PL"/>
              </w:rPr>
              <w:tab/>
            </w:r>
            <w:r w:rsidR="00DD4ADF" w:rsidRPr="00B47543">
              <w:rPr>
                <w:rStyle w:val="Hipercze"/>
              </w:rPr>
              <w:t>u.z.z.w.o.ś. oraz przepisy wykonawcze do tej ustawy – rozporządzenie Ministra Gospodarki Morskiej i Żeglugi Śródlądowej z dnia 12 lipca 2019 r. w sprawie warunków, jakie należy spełnić przy wprowadzaniu ścieków do wód lub do ziemi, oraz w sprawie substancji szczególnie szkodliwych dla środowiska (Dz. U. poz. 1311).Kompleksowe uregulowanie zasady zwrotu kosztów usług wodnych w ustawie – Prawo wodne</w:t>
            </w:r>
            <w:r w:rsidR="00DD4ADF">
              <w:rPr>
                <w:webHidden/>
              </w:rPr>
              <w:tab/>
            </w:r>
            <w:r w:rsidR="00DD4ADF">
              <w:rPr>
                <w:webHidden/>
              </w:rPr>
              <w:fldChar w:fldCharType="begin"/>
            </w:r>
            <w:r w:rsidR="00DD4ADF">
              <w:rPr>
                <w:webHidden/>
              </w:rPr>
              <w:instrText xml:space="preserve"> PAGEREF _Toc105512711 \h </w:instrText>
            </w:r>
            <w:r w:rsidR="00DD4ADF">
              <w:rPr>
                <w:webHidden/>
              </w:rPr>
            </w:r>
            <w:r w:rsidR="00DD4ADF">
              <w:rPr>
                <w:webHidden/>
              </w:rPr>
              <w:fldChar w:fldCharType="separate"/>
            </w:r>
            <w:r w:rsidR="001F774D">
              <w:rPr>
                <w:webHidden/>
              </w:rPr>
              <w:t>295</w:t>
            </w:r>
            <w:r w:rsidR="00DD4ADF">
              <w:rPr>
                <w:webHidden/>
              </w:rPr>
              <w:fldChar w:fldCharType="end"/>
            </w:r>
          </w:hyperlink>
        </w:p>
        <w:p w14:paraId="5AF4E69D" w14:textId="5FCA4CBE" w:rsidR="00DD4ADF" w:rsidRDefault="009C595A">
          <w:pPr>
            <w:pStyle w:val="Spistreci3"/>
            <w:rPr>
              <w:rFonts w:asciiTheme="minorHAnsi" w:eastAsiaTheme="minorEastAsia" w:hAnsiTheme="minorHAnsi" w:cstheme="minorBidi"/>
              <w:i w:val="0"/>
              <w:sz w:val="22"/>
              <w:szCs w:val="22"/>
              <w:lang w:eastAsia="pl-PL"/>
            </w:rPr>
          </w:pPr>
          <w:hyperlink w:anchor="_Toc105512712" w:history="1">
            <w:r w:rsidR="00DD4ADF" w:rsidRPr="00B47543">
              <w:rPr>
                <w:rStyle w:val="Hipercze"/>
              </w:rPr>
              <w:t>13.1.2.</w:t>
            </w:r>
            <w:r w:rsidR="00DD4ADF">
              <w:rPr>
                <w:rFonts w:asciiTheme="minorHAnsi" w:eastAsiaTheme="minorEastAsia" w:hAnsiTheme="minorHAnsi" w:cstheme="minorBidi"/>
                <w:i w:val="0"/>
                <w:sz w:val="22"/>
                <w:szCs w:val="22"/>
                <w:lang w:eastAsia="pl-PL"/>
              </w:rPr>
              <w:tab/>
            </w:r>
            <w:r w:rsidR="00DD4ADF" w:rsidRPr="00B47543">
              <w:rPr>
                <w:rStyle w:val="Hipercze"/>
              </w:rPr>
              <w:t>System regulacji i zatwierdzania taryf za usługi wodno-kanalizacyjne</w:t>
            </w:r>
            <w:r w:rsidR="00DD4ADF">
              <w:rPr>
                <w:webHidden/>
              </w:rPr>
              <w:tab/>
            </w:r>
            <w:r w:rsidR="00DD4ADF">
              <w:rPr>
                <w:webHidden/>
              </w:rPr>
              <w:fldChar w:fldCharType="begin"/>
            </w:r>
            <w:r w:rsidR="00DD4ADF">
              <w:rPr>
                <w:webHidden/>
              </w:rPr>
              <w:instrText xml:space="preserve"> PAGEREF _Toc105512712 \h </w:instrText>
            </w:r>
            <w:r w:rsidR="00DD4ADF">
              <w:rPr>
                <w:webHidden/>
              </w:rPr>
            </w:r>
            <w:r w:rsidR="00DD4ADF">
              <w:rPr>
                <w:webHidden/>
              </w:rPr>
              <w:fldChar w:fldCharType="separate"/>
            </w:r>
            <w:r w:rsidR="001F774D">
              <w:rPr>
                <w:webHidden/>
              </w:rPr>
              <w:t>298</w:t>
            </w:r>
            <w:r w:rsidR="00DD4ADF">
              <w:rPr>
                <w:webHidden/>
              </w:rPr>
              <w:fldChar w:fldCharType="end"/>
            </w:r>
          </w:hyperlink>
        </w:p>
        <w:p w14:paraId="003FE9A2" w14:textId="7B3A45FB" w:rsidR="00DD4ADF" w:rsidRDefault="009C595A">
          <w:pPr>
            <w:pStyle w:val="Spistreci3"/>
            <w:rPr>
              <w:rFonts w:asciiTheme="minorHAnsi" w:eastAsiaTheme="minorEastAsia" w:hAnsiTheme="minorHAnsi" w:cstheme="minorBidi"/>
              <w:i w:val="0"/>
              <w:sz w:val="22"/>
              <w:szCs w:val="22"/>
              <w:lang w:eastAsia="pl-PL"/>
            </w:rPr>
          </w:pPr>
          <w:hyperlink w:anchor="_Toc105512713" w:history="1">
            <w:r w:rsidR="00DD4ADF" w:rsidRPr="00B47543">
              <w:rPr>
                <w:rStyle w:val="Hipercze"/>
              </w:rPr>
              <w:t>13.1.3.</w:t>
            </w:r>
            <w:r w:rsidR="00DD4ADF">
              <w:rPr>
                <w:rFonts w:asciiTheme="minorHAnsi" w:eastAsiaTheme="minorEastAsia" w:hAnsiTheme="minorHAnsi" w:cstheme="minorBidi"/>
                <w:i w:val="0"/>
                <w:sz w:val="22"/>
                <w:szCs w:val="22"/>
                <w:lang w:eastAsia="pl-PL"/>
              </w:rPr>
              <w:tab/>
            </w:r>
            <w:r w:rsidR="00DD4ADF" w:rsidRPr="00B47543">
              <w:rPr>
                <w:rStyle w:val="Hipercze"/>
              </w:rPr>
              <w:t>Planowane działania</w:t>
            </w:r>
            <w:r w:rsidR="00DD4ADF">
              <w:rPr>
                <w:webHidden/>
              </w:rPr>
              <w:tab/>
            </w:r>
            <w:r w:rsidR="00DD4ADF">
              <w:rPr>
                <w:webHidden/>
              </w:rPr>
              <w:fldChar w:fldCharType="begin"/>
            </w:r>
            <w:r w:rsidR="00DD4ADF">
              <w:rPr>
                <w:webHidden/>
              </w:rPr>
              <w:instrText xml:space="preserve"> PAGEREF _Toc105512713 \h </w:instrText>
            </w:r>
            <w:r w:rsidR="00DD4ADF">
              <w:rPr>
                <w:webHidden/>
              </w:rPr>
            </w:r>
            <w:r w:rsidR="00DD4ADF">
              <w:rPr>
                <w:webHidden/>
              </w:rPr>
              <w:fldChar w:fldCharType="separate"/>
            </w:r>
            <w:r w:rsidR="001F774D">
              <w:rPr>
                <w:webHidden/>
              </w:rPr>
              <w:t>301</w:t>
            </w:r>
            <w:r w:rsidR="00DD4ADF">
              <w:rPr>
                <w:webHidden/>
              </w:rPr>
              <w:fldChar w:fldCharType="end"/>
            </w:r>
          </w:hyperlink>
        </w:p>
        <w:p w14:paraId="2EF2A21A" w14:textId="3DBA2090" w:rsidR="00DD4ADF" w:rsidRDefault="009C595A">
          <w:pPr>
            <w:pStyle w:val="Spistreci2"/>
            <w:rPr>
              <w:rFonts w:asciiTheme="minorHAnsi" w:eastAsiaTheme="minorEastAsia" w:hAnsiTheme="minorHAnsi" w:cstheme="minorBidi"/>
              <w:sz w:val="22"/>
              <w:szCs w:val="22"/>
              <w:lang w:eastAsia="pl-PL"/>
            </w:rPr>
          </w:pPr>
          <w:hyperlink w:anchor="_Toc105512714" w:history="1">
            <w:r w:rsidR="00DD4ADF" w:rsidRPr="00B47543">
              <w:rPr>
                <w:rStyle w:val="Hipercze"/>
              </w:rPr>
              <w:t>13.2.</w:t>
            </w:r>
            <w:r w:rsidR="00DD4ADF">
              <w:rPr>
                <w:rFonts w:asciiTheme="minorHAnsi" w:eastAsiaTheme="minorEastAsia" w:hAnsiTheme="minorHAnsi" w:cstheme="minorBidi"/>
                <w:sz w:val="22"/>
                <w:szCs w:val="22"/>
                <w:lang w:eastAsia="pl-PL"/>
              </w:rPr>
              <w:tab/>
            </w:r>
            <w:r w:rsidR="00DD4ADF" w:rsidRPr="00B47543">
              <w:rPr>
                <w:rStyle w:val="Hipercze"/>
              </w:rPr>
              <w:t>Podsumowanie działań podjętych dla realizacji celów środowiskowych i wymagań związanych z zaopatrzeniem w wodę</w:t>
            </w:r>
            <w:r w:rsidR="00DD4ADF">
              <w:rPr>
                <w:webHidden/>
              </w:rPr>
              <w:tab/>
            </w:r>
            <w:r w:rsidR="00DD4ADF">
              <w:rPr>
                <w:webHidden/>
              </w:rPr>
              <w:fldChar w:fldCharType="begin"/>
            </w:r>
            <w:r w:rsidR="00DD4ADF">
              <w:rPr>
                <w:webHidden/>
              </w:rPr>
              <w:instrText xml:space="preserve"> PAGEREF _Toc105512714 \h </w:instrText>
            </w:r>
            <w:r w:rsidR="00DD4ADF">
              <w:rPr>
                <w:webHidden/>
              </w:rPr>
            </w:r>
            <w:r w:rsidR="00DD4ADF">
              <w:rPr>
                <w:webHidden/>
              </w:rPr>
              <w:fldChar w:fldCharType="separate"/>
            </w:r>
            <w:r w:rsidR="001F774D">
              <w:rPr>
                <w:webHidden/>
              </w:rPr>
              <w:t>302</w:t>
            </w:r>
            <w:r w:rsidR="00DD4ADF">
              <w:rPr>
                <w:webHidden/>
              </w:rPr>
              <w:fldChar w:fldCharType="end"/>
            </w:r>
          </w:hyperlink>
        </w:p>
        <w:p w14:paraId="2D418668" w14:textId="21E09A3F" w:rsidR="00DD4ADF" w:rsidRDefault="009C595A">
          <w:pPr>
            <w:pStyle w:val="Spistreci2"/>
            <w:rPr>
              <w:rFonts w:asciiTheme="minorHAnsi" w:eastAsiaTheme="minorEastAsia" w:hAnsiTheme="minorHAnsi" w:cstheme="minorBidi"/>
              <w:sz w:val="22"/>
              <w:szCs w:val="22"/>
              <w:lang w:eastAsia="pl-PL"/>
            </w:rPr>
          </w:pPr>
          <w:hyperlink w:anchor="_Toc105512715" w:history="1">
            <w:r w:rsidR="00DD4ADF" w:rsidRPr="00B47543">
              <w:rPr>
                <w:rStyle w:val="Hipercze"/>
              </w:rPr>
              <w:t>13.3.</w:t>
            </w:r>
            <w:r w:rsidR="00DD4ADF">
              <w:rPr>
                <w:rFonts w:asciiTheme="minorHAnsi" w:eastAsiaTheme="minorEastAsia" w:hAnsiTheme="minorHAnsi" w:cstheme="minorBidi"/>
                <w:sz w:val="22"/>
                <w:szCs w:val="22"/>
                <w:lang w:eastAsia="pl-PL"/>
              </w:rPr>
              <w:tab/>
            </w:r>
            <w:r w:rsidR="00DD4ADF" w:rsidRPr="00B47543">
              <w:rPr>
                <w:rStyle w:val="Hipercze"/>
              </w:rPr>
              <w:t>Informacje dotyczące pozwoleń wodnoprawnych</w:t>
            </w:r>
            <w:r w:rsidR="00DD4ADF">
              <w:rPr>
                <w:webHidden/>
              </w:rPr>
              <w:tab/>
            </w:r>
            <w:r w:rsidR="00DD4ADF">
              <w:rPr>
                <w:webHidden/>
              </w:rPr>
              <w:fldChar w:fldCharType="begin"/>
            </w:r>
            <w:r w:rsidR="00DD4ADF">
              <w:rPr>
                <w:webHidden/>
              </w:rPr>
              <w:instrText xml:space="preserve"> PAGEREF _Toc105512715 \h </w:instrText>
            </w:r>
            <w:r w:rsidR="00DD4ADF">
              <w:rPr>
                <w:webHidden/>
              </w:rPr>
            </w:r>
            <w:r w:rsidR="00DD4ADF">
              <w:rPr>
                <w:webHidden/>
              </w:rPr>
              <w:fldChar w:fldCharType="separate"/>
            </w:r>
            <w:r w:rsidR="001F774D">
              <w:rPr>
                <w:webHidden/>
              </w:rPr>
              <w:t>309</w:t>
            </w:r>
            <w:r w:rsidR="00DD4ADF">
              <w:rPr>
                <w:webHidden/>
              </w:rPr>
              <w:fldChar w:fldCharType="end"/>
            </w:r>
          </w:hyperlink>
        </w:p>
        <w:p w14:paraId="45CE062B" w14:textId="624ED479" w:rsidR="00DD4ADF" w:rsidRDefault="009C595A">
          <w:pPr>
            <w:pStyle w:val="Spistreci2"/>
            <w:rPr>
              <w:rFonts w:asciiTheme="minorHAnsi" w:eastAsiaTheme="minorEastAsia" w:hAnsiTheme="minorHAnsi" w:cstheme="minorBidi"/>
              <w:sz w:val="22"/>
              <w:szCs w:val="22"/>
              <w:lang w:eastAsia="pl-PL"/>
            </w:rPr>
          </w:pPr>
          <w:hyperlink w:anchor="_Toc105512716" w:history="1">
            <w:r w:rsidR="00DD4ADF" w:rsidRPr="00B47543">
              <w:rPr>
                <w:rStyle w:val="Hipercze"/>
              </w:rPr>
              <w:t>13.4.</w:t>
            </w:r>
            <w:r w:rsidR="00DD4ADF">
              <w:rPr>
                <w:rFonts w:asciiTheme="minorHAnsi" w:eastAsiaTheme="minorEastAsia" w:hAnsiTheme="minorHAnsi" w:cstheme="minorBidi"/>
                <w:sz w:val="22"/>
                <w:szCs w:val="22"/>
                <w:lang w:eastAsia="pl-PL"/>
              </w:rPr>
              <w:tab/>
            </w:r>
            <w:r w:rsidR="00DD4ADF" w:rsidRPr="00B47543">
              <w:rPr>
                <w:rStyle w:val="Hipercze"/>
              </w:rPr>
              <w:t>Informacje o zezwoleniach na wprowadzanie zanieczyszczeń bezpośrednio do wód podziemnych</w:t>
            </w:r>
            <w:r w:rsidR="00DD4ADF">
              <w:rPr>
                <w:webHidden/>
              </w:rPr>
              <w:tab/>
            </w:r>
            <w:r w:rsidR="00DD4ADF">
              <w:rPr>
                <w:webHidden/>
              </w:rPr>
              <w:fldChar w:fldCharType="begin"/>
            </w:r>
            <w:r w:rsidR="00DD4ADF">
              <w:rPr>
                <w:webHidden/>
              </w:rPr>
              <w:instrText xml:space="preserve"> PAGEREF _Toc105512716 \h </w:instrText>
            </w:r>
            <w:r w:rsidR="00DD4ADF">
              <w:rPr>
                <w:webHidden/>
              </w:rPr>
            </w:r>
            <w:r w:rsidR="00DD4ADF">
              <w:rPr>
                <w:webHidden/>
              </w:rPr>
              <w:fldChar w:fldCharType="separate"/>
            </w:r>
            <w:r w:rsidR="001F774D">
              <w:rPr>
                <w:webHidden/>
              </w:rPr>
              <w:t>314</w:t>
            </w:r>
            <w:r w:rsidR="00DD4ADF">
              <w:rPr>
                <w:webHidden/>
              </w:rPr>
              <w:fldChar w:fldCharType="end"/>
            </w:r>
          </w:hyperlink>
        </w:p>
        <w:p w14:paraId="0BCF76EB" w14:textId="35F9306B" w:rsidR="00DD4ADF" w:rsidRDefault="009C595A">
          <w:pPr>
            <w:pStyle w:val="Spistreci2"/>
            <w:rPr>
              <w:rFonts w:asciiTheme="minorHAnsi" w:eastAsiaTheme="minorEastAsia" w:hAnsiTheme="minorHAnsi" w:cstheme="minorBidi"/>
              <w:sz w:val="22"/>
              <w:szCs w:val="22"/>
              <w:lang w:eastAsia="pl-PL"/>
            </w:rPr>
          </w:pPr>
          <w:hyperlink w:anchor="_Toc105512717" w:history="1">
            <w:r w:rsidR="00DD4ADF" w:rsidRPr="00B47543">
              <w:rPr>
                <w:rStyle w:val="Hipercze"/>
              </w:rPr>
              <w:t>13.5.</w:t>
            </w:r>
            <w:r w:rsidR="00DD4ADF">
              <w:rPr>
                <w:rFonts w:asciiTheme="minorHAnsi" w:eastAsiaTheme="minorEastAsia" w:hAnsiTheme="minorHAnsi" w:cstheme="minorBidi"/>
                <w:sz w:val="22"/>
                <w:szCs w:val="22"/>
                <w:lang w:eastAsia="pl-PL"/>
              </w:rPr>
              <w:tab/>
            </w:r>
            <w:r w:rsidR="00DD4ADF" w:rsidRPr="00B47543">
              <w:rPr>
                <w:rStyle w:val="Hipercze"/>
              </w:rPr>
              <w:t>Podsumowanie działań podjętych w celu eliminowania stężeń substancji priorytetowych</w:t>
            </w:r>
            <w:r w:rsidR="00DD4ADF">
              <w:rPr>
                <w:webHidden/>
              </w:rPr>
              <w:tab/>
            </w:r>
            <w:r w:rsidR="00DD4ADF">
              <w:rPr>
                <w:webHidden/>
              </w:rPr>
              <w:fldChar w:fldCharType="begin"/>
            </w:r>
            <w:r w:rsidR="00DD4ADF">
              <w:rPr>
                <w:webHidden/>
              </w:rPr>
              <w:instrText xml:space="preserve"> PAGEREF _Toc105512717 \h </w:instrText>
            </w:r>
            <w:r w:rsidR="00DD4ADF">
              <w:rPr>
                <w:webHidden/>
              </w:rPr>
            </w:r>
            <w:r w:rsidR="00DD4ADF">
              <w:rPr>
                <w:webHidden/>
              </w:rPr>
              <w:fldChar w:fldCharType="separate"/>
            </w:r>
            <w:r w:rsidR="001F774D">
              <w:rPr>
                <w:webHidden/>
              </w:rPr>
              <w:t>315</w:t>
            </w:r>
            <w:r w:rsidR="00DD4ADF">
              <w:rPr>
                <w:webHidden/>
              </w:rPr>
              <w:fldChar w:fldCharType="end"/>
            </w:r>
          </w:hyperlink>
        </w:p>
        <w:p w14:paraId="3111B9F0" w14:textId="51823B2A" w:rsidR="00DD4ADF" w:rsidRDefault="009C595A">
          <w:pPr>
            <w:pStyle w:val="Spistreci3"/>
            <w:rPr>
              <w:rFonts w:asciiTheme="minorHAnsi" w:eastAsiaTheme="minorEastAsia" w:hAnsiTheme="minorHAnsi" w:cstheme="minorBidi"/>
              <w:i w:val="0"/>
              <w:sz w:val="22"/>
              <w:szCs w:val="22"/>
              <w:lang w:eastAsia="pl-PL"/>
            </w:rPr>
          </w:pPr>
          <w:hyperlink w:anchor="_Toc105512718" w:history="1">
            <w:r w:rsidR="00DD4ADF" w:rsidRPr="00B47543">
              <w:rPr>
                <w:rStyle w:val="Hipercze"/>
              </w:rPr>
              <w:t>13.5.1.</w:t>
            </w:r>
            <w:r w:rsidR="00DD4ADF">
              <w:rPr>
                <w:rFonts w:asciiTheme="minorHAnsi" w:eastAsiaTheme="minorEastAsia" w:hAnsiTheme="minorHAnsi" w:cstheme="minorBidi"/>
                <w:i w:val="0"/>
                <w:sz w:val="22"/>
                <w:szCs w:val="22"/>
                <w:lang w:eastAsia="pl-PL"/>
              </w:rPr>
              <w:tab/>
            </w:r>
            <w:r w:rsidR="00DD4ADF" w:rsidRPr="00B47543">
              <w:rPr>
                <w:rStyle w:val="Hipercze"/>
              </w:rPr>
              <w:t>Wdrażanie działań w celu eliminowania stężeń substancji priorytetowych</w:t>
            </w:r>
            <w:r w:rsidR="00DD4ADF">
              <w:rPr>
                <w:webHidden/>
              </w:rPr>
              <w:tab/>
            </w:r>
            <w:r w:rsidR="00DD4ADF">
              <w:rPr>
                <w:webHidden/>
              </w:rPr>
              <w:fldChar w:fldCharType="begin"/>
            </w:r>
            <w:r w:rsidR="00DD4ADF">
              <w:rPr>
                <w:webHidden/>
              </w:rPr>
              <w:instrText xml:space="preserve"> PAGEREF _Toc105512718 \h </w:instrText>
            </w:r>
            <w:r w:rsidR="00DD4ADF">
              <w:rPr>
                <w:webHidden/>
              </w:rPr>
            </w:r>
            <w:r w:rsidR="00DD4ADF">
              <w:rPr>
                <w:webHidden/>
              </w:rPr>
              <w:fldChar w:fldCharType="separate"/>
            </w:r>
            <w:r w:rsidR="001F774D">
              <w:rPr>
                <w:webHidden/>
              </w:rPr>
              <w:t>316</w:t>
            </w:r>
            <w:r w:rsidR="00DD4ADF">
              <w:rPr>
                <w:webHidden/>
              </w:rPr>
              <w:fldChar w:fldCharType="end"/>
            </w:r>
          </w:hyperlink>
        </w:p>
        <w:p w14:paraId="1016F83E" w14:textId="50BE66DD" w:rsidR="00DD4ADF" w:rsidRDefault="009C595A">
          <w:pPr>
            <w:pStyle w:val="Spistreci3"/>
            <w:rPr>
              <w:rFonts w:asciiTheme="minorHAnsi" w:eastAsiaTheme="minorEastAsia" w:hAnsiTheme="minorHAnsi" w:cstheme="minorBidi"/>
              <w:i w:val="0"/>
              <w:sz w:val="22"/>
              <w:szCs w:val="22"/>
              <w:lang w:eastAsia="pl-PL"/>
            </w:rPr>
          </w:pPr>
          <w:hyperlink w:anchor="_Toc105512719" w:history="1">
            <w:r w:rsidR="00DD4ADF" w:rsidRPr="00B47543">
              <w:rPr>
                <w:rStyle w:val="Hipercze"/>
              </w:rPr>
              <w:t>13.5.2.</w:t>
            </w:r>
            <w:r w:rsidR="00DD4ADF">
              <w:rPr>
                <w:rFonts w:asciiTheme="minorHAnsi" w:eastAsiaTheme="minorEastAsia" w:hAnsiTheme="minorHAnsi" w:cstheme="minorBidi"/>
                <w:i w:val="0"/>
                <w:sz w:val="22"/>
                <w:szCs w:val="22"/>
                <w:lang w:eastAsia="pl-PL"/>
              </w:rPr>
              <w:tab/>
            </w:r>
            <w:r w:rsidR="00DD4ADF" w:rsidRPr="00B47543">
              <w:rPr>
                <w:rStyle w:val="Hipercze"/>
              </w:rPr>
              <w:t>Postęp we wdrażaniu działań w ramach aPGW (2016)</w:t>
            </w:r>
            <w:r w:rsidR="00DD4ADF">
              <w:rPr>
                <w:webHidden/>
              </w:rPr>
              <w:tab/>
            </w:r>
            <w:r w:rsidR="00DD4ADF">
              <w:rPr>
                <w:webHidden/>
              </w:rPr>
              <w:fldChar w:fldCharType="begin"/>
            </w:r>
            <w:r w:rsidR="00DD4ADF">
              <w:rPr>
                <w:webHidden/>
              </w:rPr>
              <w:instrText xml:space="preserve"> PAGEREF _Toc105512719 \h </w:instrText>
            </w:r>
            <w:r w:rsidR="00DD4ADF">
              <w:rPr>
                <w:webHidden/>
              </w:rPr>
            </w:r>
            <w:r w:rsidR="00DD4ADF">
              <w:rPr>
                <w:webHidden/>
              </w:rPr>
              <w:fldChar w:fldCharType="separate"/>
            </w:r>
            <w:r w:rsidR="001F774D">
              <w:rPr>
                <w:webHidden/>
              </w:rPr>
              <w:t>317</w:t>
            </w:r>
            <w:r w:rsidR="00DD4ADF">
              <w:rPr>
                <w:webHidden/>
              </w:rPr>
              <w:fldChar w:fldCharType="end"/>
            </w:r>
          </w:hyperlink>
        </w:p>
        <w:p w14:paraId="5C3E2402" w14:textId="4F91F74C" w:rsidR="00DD4ADF" w:rsidRDefault="009C595A">
          <w:pPr>
            <w:pStyle w:val="Spistreci3"/>
            <w:rPr>
              <w:rFonts w:asciiTheme="minorHAnsi" w:eastAsiaTheme="minorEastAsia" w:hAnsiTheme="minorHAnsi" w:cstheme="minorBidi"/>
              <w:i w:val="0"/>
              <w:sz w:val="22"/>
              <w:szCs w:val="22"/>
              <w:lang w:eastAsia="pl-PL"/>
            </w:rPr>
          </w:pPr>
          <w:hyperlink w:anchor="_Toc105512720" w:history="1">
            <w:r w:rsidR="00DD4ADF" w:rsidRPr="00B47543">
              <w:rPr>
                <w:rStyle w:val="Hipercze"/>
              </w:rPr>
              <w:t>13.5.3.</w:t>
            </w:r>
            <w:r w:rsidR="00DD4ADF">
              <w:rPr>
                <w:rFonts w:asciiTheme="minorHAnsi" w:eastAsiaTheme="minorEastAsia" w:hAnsiTheme="minorHAnsi" w:cstheme="minorBidi"/>
                <w:i w:val="0"/>
                <w:sz w:val="22"/>
                <w:szCs w:val="22"/>
                <w:lang w:eastAsia="pl-PL"/>
              </w:rPr>
              <w:tab/>
            </w:r>
            <w:r w:rsidR="00DD4ADF" w:rsidRPr="00B47543">
              <w:rPr>
                <w:rStyle w:val="Hipercze"/>
              </w:rPr>
              <w:t>Ocena skuteczności zrealizowanych działań w ramach aPGW</w:t>
            </w:r>
            <w:r w:rsidR="00DD4ADF">
              <w:rPr>
                <w:webHidden/>
              </w:rPr>
              <w:tab/>
            </w:r>
            <w:r w:rsidR="00DD4ADF">
              <w:rPr>
                <w:webHidden/>
              </w:rPr>
              <w:fldChar w:fldCharType="begin"/>
            </w:r>
            <w:r w:rsidR="00DD4ADF">
              <w:rPr>
                <w:webHidden/>
              </w:rPr>
              <w:instrText xml:space="preserve"> PAGEREF _Toc105512720 \h </w:instrText>
            </w:r>
            <w:r w:rsidR="00DD4ADF">
              <w:rPr>
                <w:webHidden/>
              </w:rPr>
            </w:r>
            <w:r w:rsidR="00DD4ADF">
              <w:rPr>
                <w:webHidden/>
              </w:rPr>
              <w:fldChar w:fldCharType="separate"/>
            </w:r>
            <w:r w:rsidR="001F774D">
              <w:rPr>
                <w:webHidden/>
              </w:rPr>
              <w:t>321</w:t>
            </w:r>
            <w:r w:rsidR="00DD4ADF">
              <w:rPr>
                <w:webHidden/>
              </w:rPr>
              <w:fldChar w:fldCharType="end"/>
            </w:r>
          </w:hyperlink>
        </w:p>
        <w:p w14:paraId="56F8577D" w14:textId="670D5D9D" w:rsidR="00DD4ADF" w:rsidRDefault="009C595A">
          <w:pPr>
            <w:pStyle w:val="Spistreci3"/>
            <w:rPr>
              <w:rFonts w:asciiTheme="minorHAnsi" w:eastAsiaTheme="minorEastAsia" w:hAnsiTheme="minorHAnsi" w:cstheme="minorBidi"/>
              <w:i w:val="0"/>
              <w:sz w:val="22"/>
              <w:szCs w:val="22"/>
              <w:lang w:eastAsia="pl-PL"/>
            </w:rPr>
          </w:pPr>
          <w:hyperlink w:anchor="_Toc105512721" w:history="1">
            <w:r w:rsidR="00DD4ADF" w:rsidRPr="00B47543">
              <w:rPr>
                <w:rStyle w:val="Hipercze"/>
              </w:rPr>
              <w:t>13.5.4.</w:t>
            </w:r>
            <w:r w:rsidR="00DD4ADF">
              <w:rPr>
                <w:rFonts w:asciiTheme="minorHAnsi" w:eastAsiaTheme="minorEastAsia" w:hAnsiTheme="minorHAnsi" w:cstheme="minorBidi"/>
                <w:i w:val="0"/>
                <w:sz w:val="22"/>
                <w:szCs w:val="22"/>
                <w:lang w:eastAsia="pl-PL"/>
              </w:rPr>
              <w:tab/>
            </w:r>
            <w:r w:rsidR="00DD4ADF" w:rsidRPr="00B47543">
              <w:rPr>
                <w:rStyle w:val="Hipercze"/>
              </w:rPr>
              <w:t>Działania służące eliminacji stężeń substancji priorytetowych w ramach IIaPGW</w:t>
            </w:r>
            <w:r w:rsidR="00DD4ADF">
              <w:rPr>
                <w:webHidden/>
              </w:rPr>
              <w:tab/>
            </w:r>
            <w:r w:rsidR="00DD4ADF">
              <w:rPr>
                <w:webHidden/>
              </w:rPr>
              <w:fldChar w:fldCharType="begin"/>
            </w:r>
            <w:r w:rsidR="00DD4ADF">
              <w:rPr>
                <w:webHidden/>
              </w:rPr>
              <w:instrText xml:space="preserve"> PAGEREF _Toc105512721 \h </w:instrText>
            </w:r>
            <w:r w:rsidR="00DD4ADF">
              <w:rPr>
                <w:webHidden/>
              </w:rPr>
            </w:r>
            <w:r w:rsidR="00DD4ADF">
              <w:rPr>
                <w:webHidden/>
              </w:rPr>
              <w:fldChar w:fldCharType="separate"/>
            </w:r>
            <w:r w:rsidR="001F774D">
              <w:rPr>
                <w:webHidden/>
              </w:rPr>
              <w:t>325</w:t>
            </w:r>
            <w:r w:rsidR="00DD4ADF">
              <w:rPr>
                <w:webHidden/>
              </w:rPr>
              <w:fldChar w:fldCharType="end"/>
            </w:r>
          </w:hyperlink>
        </w:p>
        <w:p w14:paraId="10412C6E" w14:textId="76E573EC" w:rsidR="00DD4ADF" w:rsidRDefault="009C595A">
          <w:pPr>
            <w:pStyle w:val="Spistreci2"/>
            <w:rPr>
              <w:rFonts w:asciiTheme="minorHAnsi" w:eastAsiaTheme="minorEastAsia" w:hAnsiTheme="minorHAnsi" w:cstheme="minorBidi"/>
              <w:sz w:val="22"/>
              <w:szCs w:val="22"/>
              <w:lang w:eastAsia="pl-PL"/>
            </w:rPr>
          </w:pPr>
          <w:hyperlink w:anchor="_Toc105512722" w:history="1">
            <w:r w:rsidR="00DD4ADF" w:rsidRPr="00B47543">
              <w:rPr>
                <w:rStyle w:val="Hipercze"/>
              </w:rPr>
              <w:t>13.6.</w:t>
            </w:r>
            <w:r w:rsidR="00DD4ADF">
              <w:rPr>
                <w:rFonts w:asciiTheme="minorHAnsi" w:eastAsiaTheme="minorEastAsia" w:hAnsiTheme="minorHAnsi" w:cstheme="minorBidi"/>
                <w:sz w:val="22"/>
                <w:szCs w:val="22"/>
                <w:lang w:eastAsia="pl-PL"/>
              </w:rPr>
              <w:tab/>
            </w:r>
            <w:r w:rsidR="00DD4ADF" w:rsidRPr="00B47543">
              <w:rPr>
                <w:rStyle w:val="Hipercze"/>
              </w:rPr>
              <w:t>Podsumowanie działań podjętych w celu zapobieżenia skutkom zanieczyszczeń niedających się przewidzieć lub łagodzenia tych skutków</w:t>
            </w:r>
            <w:r w:rsidR="00DD4ADF">
              <w:rPr>
                <w:webHidden/>
              </w:rPr>
              <w:tab/>
            </w:r>
            <w:r w:rsidR="00DD4ADF">
              <w:rPr>
                <w:webHidden/>
              </w:rPr>
              <w:fldChar w:fldCharType="begin"/>
            </w:r>
            <w:r w:rsidR="00DD4ADF">
              <w:rPr>
                <w:webHidden/>
              </w:rPr>
              <w:instrText xml:space="preserve"> PAGEREF _Toc105512722 \h </w:instrText>
            </w:r>
            <w:r w:rsidR="00DD4ADF">
              <w:rPr>
                <w:webHidden/>
              </w:rPr>
            </w:r>
            <w:r w:rsidR="00DD4ADF">
              <w:rPr>
                <w:webHidden/>
              </w:rPr>
              <w:fldChar w:fldCharType="separate"/>
            </w:r>
            <w:r w:rsidR="001F774D">
              <w:rPr>
                <w:webHidden/>
              </w:rPr>
              <w:t>326</w:t>
            </w:r>
            <w:r w:rsidR="00DD4ADF">
              <w:rPr>
                <w:webHidden/>
              </w:rPr>
              <w:fldChar w:fldCharType="end"/>
            </w:r>
          </w:hyperlink>
        </w:p>
        <w:p w14:paraId="2F523F85" w14:textId="5247F092" w:rsidR="00DD4ADF" w:rsidRDefault="009C595A">
          <w:pPr>
            <w:pStyle w:val="Spistreci2"/>
            <w:rPr>
              <w:rFonts w:asciiTheme="minorHAnsi" w:eastAsiaTheme="minorEastAsia" w:hAnsiTheme="minorHAnsi" w:cstheme="minorBidi"/>
              <w:sz w:val="22"/>
              <w:szCs w:val="22"/>
              <w:lang w:eastAsia="pl-PL"/>
            </w:rPr>
          </w:pPr>
          <w:hyperlink w:anchor="_Toc105512723" w:history="1">
            <w:r w:rsidR="00DD4ADF" w:rsidRPr="00B47543">
              <w:rPr>
                <w:rStyle w:val="Hipercze"/>
              </w:rPr>
              <w:t>13.7.</w:t>
            </w:r>
            <w:r w:rsidR="00DD4ADF">
              <w:rPr>
                <w:rFonts w:asciiTheme="minorHAnsi" w:eastAsiaTheme="minorEastAsia" w:hAnsiTheme="minorHAnsi" w:cstheme="minorBidi"/>
                <w:sz w:val="22"/>
                <w:szCs w:val="22"/>
                <w:lang w:eastAsia="pl-PL"/>
              </w:rPr>
              <w:tab/>
            </w:r>
            <w:r w:rsidR="00DD4ADF" w:rsidRPr="00B47543">
              <w:rPr>
                <w:rStyle w:val="Hipercze"/>
              </w:rPr>
              <w:t>Podsumowanie działań, o których mowa w art. 325 ust. 1 ustawy – Prawo wodne</w:t>
            </w:r>
            <w:r w:rsidR="00DD4ADF">
              <w:rPr>
                <w:webHidden/>
              </w:rPr>
              <w:tab/>
            </w:r>
            <w:r w:rsidR="00DD4ADF">
              <w:rPr>
                <w:webHidden/>
              </w:rPr>
              <w:fldChar w:fldCharType="begin"/>
            </w:r>
            <w:r w:rsidR="00DD4ADF">
              <w:rPr>
                <w:webHidden/>
              </w:rPr>
              <w:instrText xml:space="preserve"> PAGEREF _Toc105512723 \h </w:instrText>
            </w:r>
            <w:r w:rsidR="00DD4ADF">
              <w:rPr>
                <w:webHidden/>
              </w:rPr>
            </w:r>
            <w:r w:rsidR="00DD4ADF">
              <w:rPr>
                <w:webHidden/>
              </w:rPr>
              <w:fldChar w:fldCharType="separate"/>
            </w:r>
            <w:r w:rsidR="001F774D">
              <w:rPr>
                <w:webHidden/>
              </w:rPr>
              <w:t>337</w:t>
            </w:r>
            <w:r w:rsidR="00DD4ADF">
              <w:rPr>
                <w:webHidden/>
              </w:rPr>
              <w:fldChar w:fldCharType="end"/>
            </w:r>
          </w:hyperlink>
        </w:p>
        <w:p w14:paraId="015B96B4" w14:textId="00D1BC87" w:rsidR="00DD4ADF" w:rsidRDefault="009C595A">
          <w:pPr>
            <w:pStyle w:val="Spistreci2"/>
            <w:rPr>
              <w:rFonts w:asciiTheme="minorHAnsi" w:eastAsiaTheme="minorEastAsia" w:hAnsiTheme="minorHAnsi" w:cstheme="minorBidi"/>
              <w:sz w:val="22"/>
              <w:szCs w:val="22"/>
              <w:lang w:eastAsia="pl-PL"/>
            </w:rPr>
          </w:pPr>
          <w:hyperlink w:anchor="_Toc105512724" w:history="1">
            <w:r w:rsidR="00DD4ADF" w:rsidRPr="00B47543">
              <w:rPr>
                <w:rStyle w:val="Hipercze"/>
              </w:rPr>
              <w:t>13.8.</w:t>
            </w:r>
            <w:r w:rsidR="00DD4ADF">
              <w:rPr>
                <w:rFonts w:asciiTheme="minorHAnsi" w:eastAsiaTheme="minorEastAsia" w:hAnsiTheme="minorHAnsi" w:cstheme="minorBidi"/>
                <w:sz w:val="22"/>
                <w:szCs w:val="22"/>
                <w:lang w:eastAsia="pl-PL"/>
              </w:rPr>
              <w:tab/>
            </w:r>
            <w:r w:rsidR="00DD4ADF" w:rsidRPr="00B47543">
              <w:rPr>
                <w:rStyle w:val="Hipercze"/>
              </w:rPr>
              <w:t>Informacje o sposobie prowadzenia działań polegających na utrzymaniu wód</w:t>
            </w:r>
            <w:r w:rsidR="00DD4ADF">
              <w:rPr>
                <w:webHidden/>
              </w:rPr>
              <w:tab/>
            </w:r>
            <w:r w:rsidR="00DD4ADF">
              <w:rPr>
                <w:webHidden/>
              </w:rPr>
              <w:fldChar w:fldCharType="begin"/>
            </w:r>
            <w:r w:rsidR="00DD4ADF">
              <w:rPr>
                <w:webHidden/>
              </w:rPr>
              <w:instrText xml:space="preserve"> PAGEREF _Toc105512724 \h </w:instrText>
            </w:r>
            <w:r w:rsidR="00DD4ADF">
              <w:rPr>
                <w:webHidden/>
              </w:rPr>
            </w:r>
            <w:r w:rsidR="00DD4ADF">
              <w:rPr>
                <w:webHidden/>
              </w:rPr>
              <w:fldChar w:fldCharType="separate"/>
            </w:r>
            <w:r w:rsidR="001F774D">
              <w:rPr>
                <w:webHidden/>
              </w:rPr>
              <w:t>339</w:t>
            </w:r>
            <w:r w:rsidR="00DD4ADF">
              <w:rPr>
                <w:webHidden/>
              </w:rPr>
              <w:fldChar w:fldCharType="end"/>
            </w:r>
          </w:hyperlink>
        </w:p>
        <w:p w14:paraId="31B13283" w14:textId="29A11F41" w:rsidR="00DD4ADF" w:rsidRDefault="009C595A">
          <w:pPr>
            <w:pStyle w:val="Spistreci3"/>
            <w:rPr>
              <w:rFonts w:asciiTheme="minorHAnsi" w:eastAsiaTheme="minorEastAsia" w:hAnsiTheme="minorHAnsi" w:cstheme="minorBidi"/>
              <w:i w:val="0"/>
              <w:sz w:val="22"/>
              <w:szCs w:val="22"/>
              <w:lang w:eastAsia="pl-PL"/>
            </w:rPr>
          </w:pPr>
          <w:hyperlink w:anchor="_Toc105512725" w:history="1">
            <w:r w:rsidR="00DD4ADF" w:rsidRPr="00B47543">
              <w:rPr>
                <w:rStyle w:val="Hipercze"/>
              </w:rPr>
              <w:t>13.8.1.</w:t>
            </w:r>
            <w:r w:rsidR="00DD4ADF">
              <w:rPr>
                <w:rFonts w:asciiTheme="minorHAnsi" w:eastAsiaTheme="minorEastAsia" w:hAnsiTheme="minorHAnsi" w:cstheme="minorBidi"/>
                <w:i w:val="0"/>
                <w:sz w:val="22"/>
                <w:szCs w:val="22"/>
                <w:lang w:eastAsia="pl-PL"/>
              </w:rPr>
              <w:tab/>
            </w:r>
            <w:r w:rsidR="00DD4ADF" w:rsidRPr="00B47543">
              <w:rPr>
                <w:rStyle w:val="Hipercze"/>
              </w:rPr>
              <w:t>Działania wykonywane na poziomie obszaru dorzecza oraz regionu wodnego na podstawie PUW</w:t>
            </w:r>
            <w:r w:rsidR="00DD4ADF">
              <w:rPr>
                <w:webHidden/>
              </w:rPr>
              <w:tab/>
            </w:r>
            <w:r w:rsidR="00DD4ADF">
              <w:rPr>
                <w:webHidden/>
              </w:rPr>
              <w:fldChar w:fldCharType="begin"/>
            </w:r>
            <w:r w:rsidR="00DD4ADF">
              <w:rPr>
                <w:webHidden/>
              </w:rPr>
              <w:instrText xml:space="preserve"> PAGEREF _Toc105512725 \h </w:instrText>
            </w:r>
            <w:r w:rsidR="00DD4ADF">
              <w:rPr>
                <w:webHidden/>
              </w:rPr>
            </w:r>
            <w:r w:rsidR="00DD4ADF">
              <w:rPr>
                <w:webHidden/>
              </w:rPr>
              <w:fldChar w:fldCharType="separate"/>
            </w:r>
            <w:r w:rsidR="001F774D">
              <w:rPr>
                <w:webHidden/>
              </w:rPr>
              <w:t>340</w:t>
            </w:r>
            <w:r w:rsidR="00DD4ADF">
              <w:rPr>
                <w:webHidden/>
              </w:rPr>
              <w:fldChar w:fldCharType="end"/>
            </w:r>
          </w:hyperlink>
        </w:p>
        <w:p w14:paraId="75EB8B21" w14:textId="5381CC8E" w:rsidR="00DD4ADF" w:rsidRDefault="009C595A">
          <w:pPr>
            <w:pStyle w:val="Spistreci3"/>
            <w:rPr>
              <w:rFonts w:asciiTheme="minorHAnsi" w:eastAsiaTheme="minorEastAsia" w:hAnsiTheme="minorHAnsi" w:cstheme="minorBidi"/>
              <w:i w:val="0"/>
              <w:sz w:val="22"/>
              <w:szCs w:val="22"/>
              <w:lang w:eastAsia="pl-PL"/>
            </w:rPr>
          </w:pPr>
          <w:hyperlink w:anchor="_Toc105512726" w:history="1">
            <w:r w:rsidR="00DD4ADF" w:rsidRPr="00B47543">
              <w:rPr>
                <w:rStyle w:val="Hipercze"/>
              </w:rPr>
              <w:t>13.8.2.</w:t>
            </w:r>
            <w:r w:rsidR="00DD4ADF">
              <w:rPr>
                <w:rFonts w:asciiTheme="minorHAnsi" w:eastAsiaTheme="minorEastAsia" w:hAnsiTheme="minorHAnsi" w:cstheme="minorBidi"/>
                <w:i w:val="0"/>
                <w:sz w:val="22"/>
                <w:szCs w:val="22"/>
                <w:lang w:eastAsia="pl-PL"/>
              </w:rPr>
              <w:tab/>
            </w:r>
            <w:r w:rsidR="00DD4ADF" w:rsidRPr="00B47543">
              <w:rPr>
                <w:rStyle w:val="Hipercze"/>
              </w:rPr>
              <w:t>Katalog dobrych praktyk w zakresie robót hydrotechnicznych i prac utrzymaniowych wraz z ustaleniem zasad</w:t>
            </w:r>
            <w:r w:rsidR="00DD4ADF">
              <w:rPr>
                <w:webHidden/>
              </w:rPr>
              <w:tab/>
            </w:r>
            <w:r w:rsidR="00DD4ADF">
              <w:rPr>
                <w:webHidden/>
              </w:rPr>
              <w:fldChar w:fldCharType="begin"/>
            </w:r>
            <w:r w:rsidR="00DD4ADF">
              <w:rPr>
                <w:webHidden/>
              </w:rPr>
              <w:instrText xml:space="preserve"> PAGEREF _Toc105512726 \h </w:instrText>
            </w:r>
            <w:r w:rsidR="00DD4ADF">
              <w:rPr>
                <w:webHidden/>
              </w:rPr>
            </w:r>
            <w:r w:rsidR="00DD4ADF">
              <w:rPr>
                <w:webHidden/>
              </w:rPr>
              <w:fldChar w:fldCharType="separate"/>
            </w:r>
            <w:r w:rsidR="001F774D">
              <w:rPr>
                <w:webHidden/>
              </w:rPr>
              <w:t>342</w:t>
            </w:r>
            <w:r w:rsidR="00DD4ADF">
              <w:rPr>
                <w:webHidden/>
              </w:rPr>
              <w:fldChar w:fldCharType="end"/>
            </w:r>
          </w:hyperlink>
        </w:p>
        <w:p w14:paraId="68455787" w14:textId="4C595B68" w:rsidR="00DD4ADF" w:rsidRDefault="009C595A">
          <w:pPr>
            <w:pStyle w:val="Spistreci3"/>
            <w:rPr>
              <w:rFonts w:asciiTheme="minorHAnsi" w:eastAsiaTheme="minorEastAsia" w:hAnsiTheme="minorHAnsi" w:cstheme="minorBidi"/>
              <w:i w:val="0"/>
              <w:sz w:val="22"/>
              <w:szCs w:val="22"/>
              <w:lang w:eastAsia="pl-PL"/>
            </w:rPr>
          </w:pPr>
          <w:hyperlink w:anchor="_Toc105512727" w:history="1">
            <w:r w:rsidR="00DD4ADF" w:rsidRPr="00B47543">
              <w:rPr>
                <w:rStyle w:val="Hipercze"/>
              </w:rPr>
              <w:t>13.8.3.</w:t>
            </w:r>
            <w:r w:rsidR="00DD4ADF">
              <w:rPr>
                <w:rFonts w:asciiTheme="minorHAnsi" w:eastAsiaTheme="minorEastAsia" w:hAnsiTheme="minorHAnsi" w:cstheme="minorBidi"/>
                <w:i w:val="0"/>
                <w:sz w:val="22"/>
                <w:szCs w:val="22"/>
                <w:lang w:eastAsia="pl-PL"/>
              </w:rPr>
              <w:tab/>
            </w:r>
            <w:r w:rsidR="00DD4ADF" w:rsidRPr="00B47543">
              <w:rPr>
                <w:rStyle w:val="Hipercze"/>
              </w:rPr>
              <w:t>Raport dotyczący zrealizowanych prac na przykładzie roku 2019</w:t>
            </w:r>
            <w:r w:rsidR="00DD4ADF">
              <w:rPr>
                <w:webHidden/>
              </w:rPr>
              <w:tab/>
            </w:r>
            <w:r w:rsidR="00DD4ADF">
              <w:rPr>
                <w:webHidden/>
              </w:rPr>
              <w:fldChar w:fldCharType="begin"/>
            </w:r>
            <w:r w:rsidR="00DD4ADF">
              <w:rPr>
                <w:webHidden/>
              </w:rPr>
              <w:instrText xml:space="preserve"> PAGEREF _Toc105512727 \h </w:instrText>
            </w:r>
            <w:r w:rsidR="00DD4ADF">
              <w:rPr>
                <w:webHidden/>
              </w:rPr>
            </w:r>
            <w:r w:rsidR="00DD4ADF">
              <w:rPr>
                <w:webHidden/>
              </w:rPr>
              <w:fldChar w:fldCharType="separate"/>
            </w:r>
            <w:r w:rsidR="001F774D">
              <w:rPr>
                <w:webHidden/>
              </w:rPr>
              <w:t>343</w:t>
            </w:r>
            <w:r w:rsidR="00DD4ADF">
              <w:rPr>
                <w:webHidden/>
              </w:rPr>
              <w:fldChar w:fldCharType="end"/>
            </w:r>
          </w:hyperlink>
        </w:p>
        <w:p w14:paraId="473BB2E1" w14:textId="3DE931DA" w:rsidR="00DD4ADF" w:rsidRDefault="009C595A">
          <w:pPr>
            <w:pStyle w:val="Spistreci2"/>
            <w:rPr>
              <w:rFonts w:asciiTheme="minorHAnsi" w:eastAsiaTheme="minorEastAsia" w:hAnsiTheme="minorHAnsi" w:cstheme="minorBidi"/>
              <w:sz w:val="22"/>
              <w:szCs w:val="22"/>
              <w:lang w:eastAsia="pl-PL"/>
            </w:rPr>
          </w:pPr>
          <w:hyperlink w:anchor="_Toc105512728" w:history="1">
            <w:r w:rsidR="00DD4ADF" w:rsidRPr="00B47543">
              <w:rPr>
                <w:rStyle w:val="Hipercze"/>
              </w:rPr>
              <w:t>13.9.</w:t>
            </w:r>
            <w:r w:rsidR="00DD4ADF">
              <w:rPr>
                <w:rFonts w:asciiTheme="minorHAnsi" w:eastAsiaTheme="minorEastAsia" w:hAnsiTheme="minorHAnsi" w:cstheme="minorBidi"/>
                <w:sz w:val="22"/>
                <w:szCs w:val="22"/>
                <w:lang w:eastAsia="pl-PL"/>
              </w:rPr>
              <w:tab/>
            </w:r>
            <w:r w:rsidR="00DD4ADF" w:rsidRPr="00B47543">
              <w:rPr>
                <w:rStyle w:val="Hipercze"/>
              </w:rPr>
              <w:t>Działania związane z ochroną wód morskich</w:t>
            </w:r>
            <w:r w:rsidR="00DD4ADF">
              <w:rPr>
                <w:webHidden/>
              </w:rPr>
              <w:tab/>
            </w:r>
            <w:r w:rsidR="00DD4ADF">
              <w:rPr>
                <w:webHidden/>
              </w:rPr>
              <w:fldChar w:fldCharType="begin"/>
            </w:r>
            <w:r w:rsidR="00DD4ADF">
              <w:rPr>
                <w:webHidden/>
              </w:rPr>
              <w:instrText xml:space="preserve"> PAGEREF _Toc105512728 \h </w:instrText>
            </w:r>
            <w:r w:rsidR="00DD4ADF">
              <w:rPr>
                <w:webHidden/>
              </w:rPr>
            </w:r>
            <w:r w:rsidR="00DD4ADF">
              <w:rPr>
                <w:webHidden/>
              </w:rPr>
              <w:fldChar w:fldCharType="separate"/>
            </w:r>
            <w:r w:rsidR="001F774D">
              <w:rPr>
                <w:webHidden/>
              </w:rPr>
              <w:t>348</w:t>
            </w:r>
            <w:r w:rsidR="00DD4ADF">
              <w:rPr>
                <w:webHidden/>
              </w:rPr>
              <w:fldChar w:fldCharType="end"/>
            </w:r>
          </w:hyperlink>
        </w:p>
        <w:p w14:paraId="584A3D99" w14:textId="76BE1ACE" w:rsidR="00DD4ADF" w:rsidRDefault="009C595A">
          <w:pPr>
            <w:pStyle w:val="Spistreci2"/>
            <w:rPr>
              <w:rFonts w:asciiTheme="minorHAnsi" w:eastAsiaTheme="minorEastAsia" w:hAnsiTheme="minorHAnsi" w:cstheme="minorBidi"/>
              <w:sz w:val="22"/>
              <w:szCs w:val="22"/>
              <w:lang w:eastAsia="pl-PL"/>
            </w:rPr>
          </w:pPr>
          <w:hyperlink w:anchor="_Toc105512729" w:history="1">
            <w:r w:rsidR="00DD4ADF" w:rsidRPr="00B47543">
              <w:rPr>
                <w:rStyle w:val="Hipercze"/>
              </w:rPr>
              <w:t>13.10.</w:t>
            </w:r>
            <w:r w:rsidR="00DD4ADF">
              <w:rPr>
                <w:rFonts w:asciiTheme="minorHAnsi" w:eastAsiaTheme="minorEastAsia" w:hAnsiTheme="minorHAnsi" w:cstheme="minorBidi"/>
                <w:sz w:val="22"/>
                <w:szCs w:val="22"/>
                <w:lang w:eastAsia="pl-PL"/>
              </w:rPr>
              <w:tab/>
            </w:r>
            <w:r w:rsidR="00DD4ADF" w:rsidRPr="00B47543">
              <w:rPr>
                <w:rStyle w:val="Hipercze"/>
              </w:rPr>
              <w:t>Informacje o pozostałych działaniach</w:t>
            </w:r>
            <w:r w:rsidR="00DD4ADF">
              <w:rPr>
                <w:webHidden/>
              </w:rPr>
              <w:tab/>
            </w:r>
            <w:r w:rsidR="00DD4ADF">
              <w:rPr>
                <w:webHidden/>
              </w:rPr>
              <w:fldChar w:fldCharType="begin"/>
            </w:r>
            <w:r w:rsidR="00DD4ADF">
              <w:rPr>
                <w:webHidden/>
              </w:rPr>
              <w:instrText xml:space="preserve"> PAGEREF _Toc105512729 \h </w:instrText>
            </w:r>
            <w:r w:rsidR="00DD4ADF">
              <w:rPr>
                <w:webHidden/>
              </w:rPr>
            </w:r>
            <w:r w:rsidR="00DD4ADF">
              <w:rPr>
                <w:webHidden/>
              </w:rPr>
              <w:fldChar w:fldCharType="separate"/>
            </w:r>
            <w:r w:rsidR="001F774D">
              <w:rPr>
                <w:webHidden/>
              </w:rPr>
              <w:t>354</w:t>
            </w:r>
            <w:r w:rsidR="00DD4ADF">
              <w:rPr>
                <w:webHidden/>
              </w:rPr>
              <w:fldChar w:fldCharType="end"/>
            </w:r>
          </w:hyperlink>
        </w:p>
        <w:p w14:paraId="332A0AF2" w14:textId="416694A7" w:rsidR="00DD4ADF" w:rsidRDefault="009C595A">
          <w:pPr>
            <w:pStyle w:val="Spistreci1"/>
            <w:rPr>
              <w:rFonts w:asciiTheme="minorHAnsi" w:eastAsiaTheme="minorEastAsia" w:hAnsiTheme="minorHAnsi" w:cstheme="minorBidi"/>
              <w:b w:val="0"/>
              <w:smallCaps w:val="0"/>
              <w:sz w:val="22"/>
              <w:szCs w:val="22"/>
              <w:lang w:eastAsia="pl-PL"/>
            </w:rPr>
          </w:pPr>
          <w:hyperlink w:anchor="_Toc105512730" w:history="1">
            <w:r w:rsidR="00DD4ADF" w:rsidRPr="00B47543">
              <w:rPr>
                <w:rStyle w:val="Hipercze"/>
              </w:rPr>
              <w:t>14.</w:t>
            </w:r>
            <w:r w:rsidR="00DD4ADF">
              <w:rPr>
                <w:rFonts w:asciiTheme="minorHAnsi" w:eastAsiaTheme="minorEastAsia" w:hAnsiTheme="minorHAnsi" w:cstheme="minorBidi"/>
                <w:b w:val="0"/>
                <w:smallCaps w:val="0"/>
                <w:sz w:val="22"/>
                <w:szCs w:val="22"/>
                <w:lang w:eastAsia="pl-PL"/>
              </w:rPr>
              <w:tab/>
            </w:r>
            <w:r w:rsidR="00DD4ADF" w:rsidRPr="00B47543">
              <w:rPr>
                <w:rStyle w:val="Hipercze"/>
              </w:rPr>
              <w:t>Warunki potwierdzenia ważności pomiarów lub badań w monitoringu JCWP i JCWPd</w:t>
            </w:r>
            <w:r w:rsidR="00DD4ADF">
              <w:rPr>
                <w:webHidden/>
              </w:rPr>
              <w:tab/>
            </w:r>
            <w:r w:rsidR="00DD4ADF">
              <w:rPr>
                <w:webHidden/>
              </w:rPr>
              <w:fldChar w:fldCharType="begin"/>
            </w:r>
            <w:r w:rsidR="00DD4ADF">
              <w:rPr>
                <w:webHidden/>
              </w:rPr>
              <w:instrText xml:space="preserve"> PAGEREF _Toc105512730 \h </w:instrText>
            </w:r>
            <w:r w:rsidR="00DD4ADF">
              <w:rPr>
                <w:webHidden/>
              </w:rPr>
            </w:r>
            <w:r w:rsidR="00DD4ADF">
              <w:rPr>
                <w:webHidden/>
              </w:rPr>
              <w:fldChar w:fldCharType="separate"/>
            </w:r>
            <w:r w:rsidR="001F774D">
              <w:rPr>
                <w:webHidden/>
              </w:rPr>
              <w:t>358</w:t>
            </w:r>
            <w:r w:rsidR="00DD4ADF">
              <w:rPr>
                <w:webHidden/>
              </w:rPr>
              <w:fldChar w:fldCharType="end"/>
            </w:r>
          </w:hyperlink>
        </w:p>
        <w:p w14:paraId="6EF2C31F" w14:textId="4DA39D24" w:rsidR="00DD4ADF" w:rsidRDefault="009C595A">
          <w:pPr>
            <w:pStyle w:val="Spistreci1"/>
            <w:rPr>
              <w:rFonts w:asciiTheme="minorHAnsi" w:eastAsiaTheme="minorEastAsia" w:hAnsiTheme="minorHAnsi" w:cstheme="minorBidi"/>
              <w:b w:val="0"/>
              <w:smallCaps w:val="0"/>
              <w:sz w:val="22"/>
              <w:szCs w:val="22"/>
              <w:lang w:eastAsia="pl-PL"/>
            </w:rPr>
          </w:pPr>
          <w:hyperlink w:anchor="_Toc105512731" w:history="1">
            <w:r w:rsidR="00DD4ADF" w:rsidRPr="00B47543">
              <w:rPr>
                <w:rStyle w:val="Hipercze"/>
              </w:rPr>
              <w:t>15.</w:t>
            </w:r>
            <w:r w:rsidR="00DD4ADF">
              <w:rPr>
                <w:rFonts w:asciiTheme="minorHAnsi" w:eastAsiaTheme="minorEastAsia" w:hAnsiTheme="minorHAnsi" w:cstheme="minorBidi"/>
                <w:b w:val="0"/>
                <w:smallCaps w:val="0"/>
                <w:sz w:val="22"/>
                <w:szCs w:val="22"/>
                <w:lang w:eastAsia="pl-PL"/>
              </w:rPr>
              <w:tab/>
            </w:r>
            <w:r w:rsidR="00DD4ADF" w:rsidRPr="00B47543">
              <w:rPr>
                <w:rStyle w:val="Hipercze"/>
              </w:rPr>
              <w:t>Uzasadnienie częstotliwości prowadzenia monitoringu substancji priorytetowych określonej w przepisach wydanych na podstawie art. 350 ust. 1 ustawy – Prawo wodne</w:t>
            </w:r>
            <w:r w:rsidR="00DD4ADF">
              <w:rPr>
                <w:webHidden/>
              </w:rPr>
              <w:tab/>
            </w:r>
            <w:r w:rsidR="00DD4ADF">
              <w:rPr>
                <w:webHidden/>
              </w:rPr>
              <w:fldChar w:fldCharType="begin"/>
            </w:r>
            <w:r w:rsidR="00DD4ADF">
              <w:rPr>
                <w:webHidden/>
              </w:rPr>
              <w:instrText xml:space="preserve"> PAGEREF _Toc105512731 \h </w:instrText>
            </w:r>
            <w:r w:rsidR="00DD4ADF">
              <w:rPr>
                <w:webHidden/>
              </w:rPr>
            </w:r>
            <w:r w:rsidR="00DD4ADF">
              <w:rPr>
                <w:webHidden/>
              </w:rPr>
              <w:fldChar w:fldCharType="separate"/>
            </w:r>
            <w:r w:rsidR="001F774D">
              <w:rPr>
                <w:webHidden/>
              </w:rPr>
              <w:t>360</w:t>
            </w:r>
            <w:r w:rsidR="00DD4ADF">
              <w:rPr>
                <w:webHidden/>
              </w:rPr>
              <w:fldChar w:fldCharType="end"/>
            </w:r>
          </w:hyperlink>
        </w:p>
        <w:p w14:paraId="72347AF6" w14:textId="3ECEBA98" w:rsidR="00DD4ADF" w:rsidRDefault="009C595A">
          <w:pPr>
            <w:pStyle w:val="Spistreci1"/>
            <w:rPr>
              <w:rFonts w:asciiTheme="minorHAnsi" w:eastAsiaTheme="minorEastAsia" w:hAnsiTheme="minorHAnsi" w:cstheme="minorBidi"/>
              <w:b w:val="0"/>
              <w:smallCaps w:val="0"/>
              <w:sz w:val="22"/>
              <w:szCs w:val="22"/>
              <w:lang w:eastAsia="pl-PL"/>
            </w:rPr>
          </w:pPr>
          <w:hyperlink w:anchor="_Toc105512732" w:history="1">
            <w:r w:rsidR="00DD4ADF" w:rsidRPr="00B47543">
              <w:rPr>
                <w:rStyle w:val="Hipercze"/>
              </w:rPr>
              <w:t>16.</w:t>
            </w:r>
            <w:r w:rsidR="00DD4ADF">
              <w:rPr>
                <w:rFonts w:asciiTheme="minorHAnsi" w:eastAsiaTheme="minorEastAsia" w:hAnsiTheme="minorHAnsi" w:cstheme="minorBidi"/>
                <w:b w:val="0"/>
                <w:smallCaps w:val="0"/>
                <w:sz w:val="22"/>
                <w:szCs w:val="22"/>
                <w:lang w:eastAsia="pl-PL"/>
              </w:rPr>
              <w:tab/>
            </w:r>
            <w:r w:rsidR="00DD4ADF" w:rsidRPr="00B47543">
              <w:rPr>
                <w:rStyle w:val="Hipercze"/>
              </w:rPr>
              <w:t>Wykaz inwestycji i działań, które mogą spowodować nieosiągnięcie dobrego stanu wód lub pogorszenie dobrego stanu wód</w:t>
            </w:r>
            <w:r w:rsidR="00DD4ADF">
              <w:rPr>
                <w:webHidden/>
              </w:rPr>
              <w:tab/>
            </w:r>
            <w:r w:rsidR="00DD4ADF">
              <w:rPr>
                <w:webHidden/>
              </w:rPr>
              <w:fldChar w:fldCharType="begin"/>
            </w:r>
            <w:r w:rsidR="00DD4ADF">
              <w:rPr>
                <w:webHidden/>
              </w:rPr>
              <w:instrText xml:space="preserve"> PAGEREF _Toc105512732 \h </w:instrText>
            </w:r>
            <w:r w:rsidR="00DD4ADF">
              <w:rPr>
                <w:webHidden/>
              </w:rPr>
            </w:r>
            <w:r w:rsidR="00DD4ADF">
              <w:rPr>
                <w:webHidden/>
              </w:rPr>
              <w:fldChar w:fldCharType="separate"/>
            </w:r>
            <w:r w:rsidR="001F774D">
              <w:rPr>
                <w:webHidden/>
              </w:rPr>
              <w:t>365</w:t>
            </w:r>
            <w:r w:rsidR="00DD4ADF">
              <w:rPr>
                <w:webHidden/>
              </w:rPr>
              <w:fldChar w:fldCharType="end"/>
            </w:r>
          </w:hyperlink>
        </w:p>
        <w:p w14:paraId="625E3590" w14:textId="4488BDE8" w:rsidR="00DD4ADF" w:rsidRDefault="009C595A">
          <w:pPr>
            <w:pStyle w:val="Spistreci1"/>
            <w:rPr>
              <w:rFonts w:asciiTheme="minorHAnsi" w:eastAsiaTheme="minorEastAsia" w:hAnsiTheme="minorHAnsi" w:cstheme="minorBidi"/>
              <w:b w:val="0"/>
              <w:smallCaps w:val="0"/>
              <w:sz w:val="22"/>
              <w:szCs w:val="22"/>
              <w:lang w:eastAsia="pl-PL"/>
            </w:rPr>
          </w:pPr>
          <w:hyperlink w:anchor="_Toc105512733" w:history="1">
            <w:r w:rsidR="00DD4ADF" w:rsidRPr="00B47543">
              <w:rPr>
                <w:rStyle w:val="Hipercze"/>
              </w:rPr>
              <w:t>17.</w:t>
            </w:r>
            <w:r w:rsidR="00DD4ADF">
              <w:rPr>
                <w:rFonts w:asciiTheme="minorHAnsi" w:eastAsiaTheme="minorEastAsia" w:hAnsiTheme="minorHAnsi" w:cstheme="minorBidi"/>
                <w:b w:val="0"/>
                <w:smallCaps w:val="0"/>
                <w:sz w:val="22"/>
                <w:szCs w:val="22"/>
                <w:lang w:eastAsia="pl-PL"/>
              </w:rPr>
              <w:tab/>
            </w:r>
            <w:r w:rsidR="00DD4ADF" w:rsidRPr="00B47543">
              <w:rPr>
                <w:rStyle w:val="Hipercze"/>
              </w:rPr>
              <w:t>Zagrożenia dla swobodnego przepływu wód oraz spływu lodów</w:t>
            </w:r>
            <w:r w:rsidR="00DD4ADF">
              <w:rPr>
                <w:webHidden/>
              </w:rPr>
              <w:tab/>
            </w:r>
            <w:r w:rsidR="00DD4ADF">
              <w:rPr>
                <w:webHidden/>
              </w:rPr>
              <w:fldChar w:fldCharType="begin"/>
            </w:r>
            <w:r w:rsidR="00DD4ADF">
              <w:rPr>
                <w:webHidden/>
              </w:rPr>
              <w:instrText xml:space="preserve"> PAGEREF _Toc105512733 \h </w:instrText>
            </w:r>
            <w:r w:rsidR="00DD4ADF">
              <w:rPr>
                <w:webHidden/>
              </w:rPr>
            </w:r>
            <w:r w:rsidR="00DD4ADF">
              <w:rPr>
                <w:webHidden/>
              </w:rPr>
              <w:fldChar w:fldCharType="separate"/>
            </w:r>
            <w:r w:rsidR="001F774D">
              <w:rPr>
                <w:webHidden/>
              </w:rPr>
              <w:t>368</w:t>
            </w:r>
            <w:r w:rsidR="00DD4ADF">
              <w:rPr>
                <w:webHidden/>
              </w:rPr>
              <w:fldChar w:fldCharType="end"/>
            </w:r>
          </w:hyperlink>
        </w:p>
        <w:p w14:paraId="5339BB70" w14:textId="5990BBD6" w:rsidR="00DD4ADF" w:rsidRDefault="009C595A">
          <w:pPr>
            <w:pStyle w:val="Spistreci1"/>
            <w:rPr>
              <w:rFonts w:asciiTheme="minorHAnsi" w:eastAsiaTheme="minorEastAsia" w:hAnsiTheme="minorHAnsi" w:cstheme="minorBidi"/>
              <w:b w:val="0"/>
              <w:smallCaps w:val="0"/>
              <w:sz w:val="22"/>
              <w:szCs w:val="22"/>
              <w:lang w:eastAsia="pl-PL"/>
            </w:rPr>
          </w:pPr>
          <w:hyperlink w:anchor="_Toc105512734" w:history="1">
            <w:r w:rsidR="00DD4ADF" w:rsidRPr="00B47543">
              <w:rPr>
                <w:rStyle w:val="Hipercze"/>
              </w:rPr>
              <w:t>18.</w:t>
            </w:r>
            <w:r w:rsidR="00DD4ADF">
              <w:rPr>
                <w:rFonts w:asciiTheme="minorHAnsi" w:eastAsiaTheme="minorEastAsia" w:hAnsiTheme="minorHAnsi" w:cstheme="minorBidi"/>
                <w:b w:val="0"/>
                <w:smallCaps w:val="0"/>
                <w:sz w:val="22"/>
                <w:szCs w:val="22"/>
                <w:lang w:eastAsia="pl-PL"/>
              </w:rPr>
              <w:tab/>
            </w:r>
            <w:r w:rsidR="00DD4ADF" w:rsidRPr="00B47543">
              <w:rPr>
                <w:rStyle w:val="Hipercze"/>
              </w:rPr>
              <w:t>Budowle regulacyjne i urządzenia wodne</w:t>
            </w:r>
            <w:r w:rsidR="00DD4ADF">
              <w:rPr>
                <w:webHidden/>
              </w:rPr>
              <w:tab/>
            </w:r>
            <w:r w:rsidR="00DD4ADF">
              <w:rPr>
                <w:webHidden/>
              </w:rPr>
              <w:fldChar w:fldCharType="begin"/>
            </w:r>
            <w:r w:rsidR="00DD4ADF">
              <w:rPr>
                <w:webHidden/>
              </w:rPr>
              <w:instrText xml:space="preserve"> PAGEREF _Toc105512734 \h </w:instrText>
            </w:r>
            <w:r w:rsidR="00DD4ADF">
              <w:rPr>
                <w:webHidden/>
              </w:rPr>
            </w:r>
            <w:r w:rsidR="00DD4ADF">
              <w:rPr>
                <w:webHidden/>
              </w:rPr>
              <w:fldChar w:fldCharType="separate"/>
            </w:r>
            <w:r w:rsidR="001F774D">
              <w:rPr>
                <w:webHidden/>
              </w:rPr>
              <w:t>371</w:t>
            </w:r>
            <w:r w:rsidR="00DD4ADF">
              <w:rPr>
                <w:webHidden/>
              </w:rPr>
              <w:fldChar w:fldCharType="end"/>
            </w:r>
          </w:hyperlink>
        </w:p>
        <w:p w14:paraId="68D8A7A1" w14:textId="644EA65F" w:rsidR="00DD4ADF" w:rsidRDefault="009C595A">
          <w:pPr>
            <w:pStyle w:val="Spistreci1"/>
            <w:rPr>
              <w:rFonts w:asciiTheme="minorHAnsi" w:eastAsiaTheme="minorEastAsia" w:hAnsiTheme="minorHAnsi" w:cstheme="minorBidi"/>
              <w:b w:val="0"/>
              <w:smallCaps w:val="0"/>
              <w:sz w:val="22"/>
              <w:szCs w:val="22"/>
              <w:lang w:eastAsia="pl-PL"/>
            </w:rPr>
          </w:pPr>
          <w:hyperlink w:anchor="_Toc105512735" w:history="1">
            <w:r w:rsidR="00DD4ADF" w:rsidRPr="00B47543">
              <w:rPr>
                <w:rStyle w:val="Hipercze"/>
              </w:rPr>
              <w:t>19.</w:t>
            </w:r>
            <w:r w:rsidR="00DD4ADF">
              <w:rPr>
                <w:rFonts w:asciiTheme="minorHAnsi" w:eastAsiaTheme="minorEastAsia" w:hAnsiTheme="minorHAnsi" w:cstheme="minorBidi"/>
                <w:b w:val="0"/>
                <w:smallCaps w:val="0"/>
                <w:sz w:val="22"/>
                <w:szCs w:val="22"/>
                <w:lang w:eastAsia="pl-PL"/>
              </w:rPr>
              <w:tab/>
            </w:r>
            <w:r w:rsidR="00DD4ADF" w:rsidRPr="00B47543">
              <w:rPr>
                <w:rStyle w:val="Hipercze"/>
              </w:rPr>
              <w:t>Wykaz szczegółowych programów i planów gospodarowania dla obszaru dorzecza</w:t>
            </w:r>
            <w:r w:rsidR="00DD4ADF">
              <w:rPr>
                <w:webHidden/>
              </w:rPr>
              <w:tab/>
            </w:r>
            <w:r w:rsidR="00DD4ADF">
              <w:rPr>
                <w:webHidden/>
              </w:rPr>
              <w:fldChar w:fldCharType="begin"/>
            </w:r>
            <w:r w:rsidR="00DD4ADF">
              <w:rPr>
                <w:webHidden/>
              </w:rPr>
              <w:instrText xml:space="preserve"> PAGEREF _Toc105512735 \h </w:instrText>
            </w:r>
            <w:r w:rsidR="00DD4ADF">
              <w:rPr>
                <w:webHidden/>
              </w:rPr>
            </w:r>
            <w:r w:rsidR="00DD4ADF">
              <w:rPr>
                <w:webHidden/>
              </w:rPr>
              <w:fldChar w:fldCharType="separate"/>
            </w:r>
            <w:r w:rsidR="001F774D">
              <w:rPr>
                <w:webHidden/>
              </w:rPr>
              <w:t>373</w:t>
            </w:r>
            <w:r w:rsidR="00DD4ADF">
              <w:rPr>
                <w:webHidden/>
              </w:rPr>
              <w:fldChar w:fldCharType="end"/>
            </w:r>
          </w:hyperlink>
        </w:p>
        <w:p w14:paraId="5AA3B390" w14:textId="3290835E" w:rsidR="00DD4ADF" w:rsidRDefault="009C595A">
          <w:pPr>
            <w:pStyle w:val="Spistreci2"/>
            <w:rPr>
              <w:rFonts w:asciiTheme="minorHAnsi" w:eastAsiaTheme="minorEastAsia" w:hAnsiTheme="minorHAnsi" w:cstheme="minorBidi"/>
              <w:sz w:val="22"/>
              <w:szCs w:val="22"/>
              <w:lang w:eastAsia="pl-PL"/>
            </w:rPr>
          </w:pPr>
          <w:hyperlink w:anchor="_Toc105512736" w:history="1">
            <w:r w:rsidR="00DD4ADF" w:rsidRPr="00B47543">
              <w:rPr>
                <w:rStyle w:val="Hipercze"/>
              </w:rPr>
              <w:t>19.1.</w:t>
            </w:r>
            <w:r w:rsidR="00DD4ADF">
              <w:rPr>
                <w:rFonts w:asciiTheme="minorHAnsi" w:eastAsiaTheme="minorEastAsia" w:hAnsiTheme="minorHAnsi" w:cstheme="minorBidi"/>
                <w:sz w:val="22"/>
                <w:szCs w:val="22"/>
                <w:lang w:eastAsia="pl-PL"/>
              </w:rPr>
              <w:tab/>
            </w:r>
            <w:r w:rsidR="00DD4ADF" w:rsidRPr="00B47543">
              <w:rPr>
                <w:rStyle w:val="Hipercze"/>
              </w:rPr>
              <w:t>Dokumenty powiązane mające wpływ na ustalenia IIaPGW</w:t>
            </w:r>
            <w:r w:rsidR="00DD4ADF">
              <w:rPr>
                <w:webHidden/>
              </w:rPr>
              <w:tab/>
            </w:r>
            <w:r w:rsidR="00DD4ADF">
              <w:rPr>
                <w:webHidden/>
              </w:rPr>
              <w:fldChar w:fldCharType="begin"/>
            </w:r>
            <w:r w:rsidR="00DD4ADF">
              <w:rPr>
                <w:webHidden/>
              </w:rPr>
              <w:instrText xml:space="preserve"> PAGEREF _Toc105512736 \h </w:instrText>
            </w:r>
            <w:r w:rsidR="00DD4ADF">
              <w:rPr>
                <w:webHidden/>
              </w:rPr>
            </w:r>
            <w:r w:rsidR="00DD4ADF">
              <w:rPr>
                <w:webHidden/>
              </w:rPr>
              <w:fldChar w:fldCharType="separate"/>
            </w:r>
            <w:r w:rsidR="001F774D">
              <w:rPr>
                <w:webHidden/>
              </w:rPr>
              <w:t>375</w:t>
            </w:r>
            <w:r w:rsidR="00DD4ADF">
              <w:rPr>
                <w:webHidden/>
              </w:rPr>
              <w:fldChar w:fldCharType="end"/>
            </w:r>
          </w:hyperlink>
        </w:p>
        <w:p w14:paraId="552C809D" w14:textId="1903AA3F" w:rsidR="00DD4ADF" w:rsidRDefault="009C595A">
          <w:pPr>
            <w:pStyle w:val="Spistreci3"/>
            <w:rPr>
              <w:rFonts w:asciiTheme="minorHAnsi" w:eastAsiaTheme="minorEastAsia" w:hAnsiTheme="minorHAnsi" w:cstheme="minorBidi"/>
              <w:i w:val="0"/>
              <w:sz w:val="22"/>
              <w:szCs w:val="22"/>
              <w:lang w:eastAsia="pl-PL"/>
            </w:rPr>
          </w:pPr>
          <w:hyperlink w:anchor="_Toc105512737" w:history="1">
            <w:r w:rsidR="00DD4ADF" w:rsidRPr="00B47543">
              <w:rPr>
                <w:rStyle w:val="Hipercze"/>
              </w:rPr>
              <w:t>19.1.1.</w:t>
            </w:r>
            <w:r w:rsidR="00DD4ADF">
              <w:rPr>
                <w:rFonts w:asciiTheme="minorHAnsi" w:eastAsiaTheme="minorEastAsia" w:hAnsiTheme="minorHAnsi" w:cstheme="minorBidi"/>
                <w:i w:val="0"/>
                <w:sz w:val="22"/>
                <w:szCs w:val="22"/>
                <w:lang w:eastAsia="pl-PL"/>
              </w:rPr>
              <w:tab/>
            </w:r>
            <w:r w:rsidR="00DD4ADF" w:rsidRPr="00B47543">
              <w:rPr>
                <w:rStyle w:val="Hipercze"/>
              </w:rPr>
              <w:t>Dokumenty o charakterze strategicznym</w:t>
            </w:r>
            <w:r w:rsidR="00DD4ADF">
              <w:rPr>
                <w:webHidden/>
              </w:rPr>
              <w:tab/>
            </w:r>
            <w:r w:rsidR="00DD4ADF">
              <w:rPr>
                <w:webHidden/>
              </w:rPr>
              <w:fldChar w:fldCharType="begin"/>
            </w:r>
            <w:r w:rsidR="00DD4ADF">
              <w:rPr>
                <w:webHidden/>
              </w:rPr>
              <w:instrText xml:space="preserve"> PAGEREF _Toc105512737 \h </w:instrText>
            </w:r>
            <w:r w:rsidR="00DD4ADF">
              <w:rPr>
                <w:webHidden/>
              </w:rPr>
            </w:r>
            <w:r w:rsidR="00DD4ADF">
              <w:rPr>
                <w:webHidden/>
              </w:rPr>
              <w:fldChar w:fldCharType="separate"/>
            </w:r>
            <w:r w:rsidR="001F774D">
              <w:rPr>
                <w:webHidden/>
              </w:rPr>
              <w:t>375</w:t>
            </w:r>
            <w:r w:rsidR="00DD4ADF">
              <w:rPr>
                <w:webHidden/>
              </w:rPr>
              <w:fldChar w:fldCharType="end"/>
            </w:r>
          </w:hyperlink>
        </w:p>
        <w:p w14:paraId="274EF70E" w14:textId="59EA7C26" w:rsidR="00DD4ADF" w:rsidRDefault="009C595A">
          <w:pPr>
            <w:pStyle w:val="Spistreci3"/>
            <w:rPr>
              <w:rFonts w:asciiTheme="minorHAnsi" w:eastAsiaTheme="minorEastAsia" w:hAnsiTheme="minorHAnsi" w:cstheme="minorBidi"/>
              <w:i w:val="0"/>
              <w:sz w:val="22"/>
              <w:szCs w:val="22"/>
              <w:lang w:eastAsia="pl-PL"/>
            </w:rPr>
          </w:pPr>
          <w:hyperlink w:anchor="_Toc105512738" w:history="1">
            <w:r w:rsidR="00DD4ADF" w:rsidRPr="00B47543">
              <w:rPr>
                <w:rStyle w:val="Hipercze"/>
              </w:rPr>
              <w:t>19.1.2.</w:t>
            </w:r>
            <w:r w:rsidR="00DD4ADF">
              <w:rPr>
                <w:rFonts w:asciiTheme="minorHAnsi" w:eastAsiaTheme="minorEastAsia" w:hAnsiTheme="minorHAnsi" w:cstheme="minorBidi"/>
                <w:i w:val="0"/>
                <w:sz w:val="22"/>
                <w:szCs w:val="22"/>
                <w:lang w:eastAsia="pl-PL"/>
              </w:rPr>
              <w:tab/>
            </w:r>
            <w:r w:rsidR="00DD4ADF" w:rsidRPr="00B47543">
              <w:rPr>
                <w:rStyle w:val="Hipercze"/>
              </w:rPr>
              <w:t>Dokumenty i inne instrumenty o charakterze operacyjno-wdrożeniowym – komplementarne względem zapisów IIaPGW</w:t>
            </w:r>
            <w:r w:rsidR="00DD4ADF">
              <w:rPr>
                <w:webHidden/>
              </w:rPr>
              <w:tab/>
            </w:r>
            <w:r w:rsidR="00DD4ADF">
              <w:rPr>
                <w:webHidden/>
              </w:rPr>
              <w:fldChar w:fldCharType="begin"/>
            </w:r>
            <w:r w:rsidR="00DD4ADF">
              <w:rPr>
                <w:webHidden/>
              </w:rPr>
              <w:instrText xml:space="preserve"> PAGEREF _Toc105512738 \h </w:instrText>
            </w:r>
            <w:r w:rsidR="00DD4ADF">
              <w:rPr>
                <w:webHidden/>
              </w:rPr>
            </w:r>
            <w:r w:rsidR="00DD4ADF">
              <w:rPr>
                <w:webHidden/>
              </w:rPr>
              <w:fldChar w:fldCharType="separate"/>
            </w:r>
            <w:r w:rsidR="001F774D">
              <w:rPr>
                <w:webHidden/>
              </w:rPr>
              <w:t>383</w:t>
            </w:r>
            <w:r w:rsidR="00DD4ADF">
              <w:rPr>
                <w:webHidden/>
              </w:rPr>
              <w:fldChar w:fldCharType="end"/>
            </w:r>
          </w:hyperlink>
        </w:p>
        <w:p w14:paraId="1B689CC5" w14:textId="59D61240" w:rsidR="00DD4ADF" w:rsidRDefault="009C595A">
          <w:pPr>
            <w:pStyle w:val="Spistreci3"/>
            <w:rPr>
              <w:rFonts w:asciiTheme="minorHAnsi" w:eastAsiaTheme="minorEastAsia" w:hAnsiTheme="minorHAnsi" w:cstheme="minorBidi"/>
              <w:i w:val="0"/>
              <w:sz w:val="22"/>
              <w:szCs w:val="22"/>
              <w:lang w:eastAsia="pl-PL"/>
            </w:rPr>
          </w:pPr>
          <w:hyperlink w:anchor="_Toc105512739" w:history="1">
            <w:r w:rsidR="00DD4ADF" w:rsidRPr="00B47543">
              <w:rPr>
                <w:rStyle w:val="Hipercze"/>
              </w:rPr>
              <w:t>19.1.3.</w:t>
            </w:r>
            <w:r w:rsidR="00DD4ADF">
              <w:rPr>
                <w:rFonts w:asciiTheme="minorHAnsi" w:eastAsiaTheme="minorEastAsia" w:hAnsiTheme="minorHAnsi" w:cstheme="minorBidi"/>
                <w:i w:val="0"/>
                <w:sz w:val="22"/>
                <w:szCs w:val="22"/>
                <w:lang w:eastAsia="pl-PL"/>
              </w:rPr>
              <w:tab/>
            </w:r>
            <w:r w:rsidR="00DD4ADF" w:rsidRPr="00B47543">
              <w:rPr>
                <w:rStyle w:val="Hipercze"/>
              </w:rPr>
              <w:t>Dokumenty i inne instrumenty o charakterze operacyjno-wdrożeniowym – inne powiązane</w:t>
            </w:r>
            <w:r w:rsidR="00DD4ADF">
              <w:rPr>
                <w:webHidden/>
              </w:rPr>
              <w:tab/>
            </w:r>
            <w:r w:rsidR="00DD4ADF">
              <w:rPr>
                <w:webHidden/>
              </w:rPr>
              <w:fldChar w:fldCharType="begin"/>
            </w:r>
            <w:r w:rsidR="00DD4ADF">
              <w:rPr>
                <w:webHidden/>
              </w:rPr>
              <w:instrText xml:space="preserve"> PAGEREF _Toc105512739 \h </w:instrText>
            </w:r>
            <w:r w:rsidR="00DD4ADF">
              <w:rPr>
                <w:webHidden/>
              </w:rPr>
            </w:r>
            <w:r w:rsidR="00DD4ADF">
              <w:rPr>
                <w:webHidden/>
              </w:rPr>
              <w:fldChar w:fldCharType="separate"/>
            </w:r>
            <w:r w:rsidR="001F774D">
              <w:rPr>
                <w:webHidden/>
              </w:rPr>
              <w:t>391</w:t>
            </w:r>
            <w:r w:rsidR="00DD4ADF">
              <w:rPr>
                <w:webHidden/>
              </w:rPr>
              <w:fldChar w:fldCharType="end"/>
            </w:r>
          </w:hyperlink>
        </w:p>
        <w:p w14:paraId="1752EC63" w14:textId="6361D644" w:rsidR="00DD4ADF" w:rsidRDefault="009C595A">
          <w:pPr>
            <w:pStyle w:val="Spistreci2"/>
            <w:rPr>
              <w:rFonts w:asciiTheme="minorHAnsi" w:eastAsiaTheme="minorEastAsia" w:hAnsiTheme="minorHAnsi" w:cstheme="minorBidi"/>
              <w:sz w:val="22"/>
              <w:szCs w:val="22"/>
              <w:lang w:eastAsia="pl-PL"/>
            </w:rPr>
          </w:pPr>
          <w:hyperlink w:anchor="_Toc105512740" w:history="1">
            <w:r w:rsidR="00DD4ADF" w:rsidRPr="00B47543">
              <w:rPr>
                <w:rStyle w:val="Hipercze"/>
              </w:rPr>
              <w:t>19.2.</w:t>
            </w:r>
            <w:r w:rsidR="00DD4ADF">
              <w:rPr>
                <w:rFonts w:asciiTheme="minorHAnsi" w:eastAsiaTheme="minorEastAsia" w:hAnsiTheme="minorHAnsi" w:cstheme="minorBidi"/>
                <w:sz w:val="22"/>
                <w:szCs w:val="22"/>
                <w:lang w:eastAsia="pl-PL"/>
              </w:rPr>
              <w:tab/>
            </w:r>
            <w:r w:rsidR="00DD4ADF" w:rsidRPr="00B47543">
              <w:rPr>
                <w:rStyle w:val="Hipercze"/>
              </w:rPr>
              <w:t>Dokumenty powiązane, na które wpływ mają ustalenia IIaPGW</w:t>
            </w:r>
            <w:r w:rsidR="00DD4ADF">
              <w:rPr>
                <w:webHidden/>
              </w:rPr>
              <w:tab/>
            </w:r>
            <w:r w:rsidR="00DD4ADF">
              <w:rPr>
                <w:webHidden/>
              </w:rPr>
              <w:fldChar w:fldCharType="begin"/>
            </w:r>
            <w:r w:rsidR="00DD4ADF">
              <w:rPr>
                <w:webHidden/>
              </w:rPr>
              <w:instrText xml:space="preserve"> PAGEREF _Toc105512740 \h </w:instrText>
            </w:r>
            <w:r w:rsidR="00DD4ADF">
              <w:rPr>
                <w:webHidden/>
              </w:rPr>
            </w:r>
            <w:r w:rsidR="00DD4ADF">
              <w:rPr>
                <w:webHidden/>
              </w:rPr>
              <w:fldChar w:fldCharType="separate"/>
            </w:r>
            <w:r w:rsidR="001F774D">
              <w:rPr>
                <w:webHidden/>
              </w:rPr>
              <w:t>396</w:t>
            </w:r>
            <w:r w:rsidR="00DD4ADF">
              <w:rPr>
                <w:webHidden/>
              </w:rPr>
              <w:fldChar w:fldCharType="end"/>
            </w:r>
          </w:hyperlink>
        </w:p>
        <w:p w14:paraId="63435BFE" w14:textId="2813B41F" w:rsidR="00DD4ADF" w:rsidRDefault="009C595A">
          <w:pPr>
            <w:pStyle w:val="Spistreci1"/>
            <w:rPr>
              <w:rFonts w:asciiTheme="minorHAnsi" w:eastAsiaTheme="minorEastAsia" w:hAnsiTheme="minorHAnsi" w:cstheme="minorBidi"/>
              <w:b w:val="0"/>
              <w:smallCaps w:val="0"/>
              <w:sz w:val="22"/>
              <w:szCs w:val="22"/>
              <w:lang w:eastAsia="pl-PL"/>
            </w:rPr>
          </w:pPr>
          <w:hyperlink w:anchor="_Toc105512741" w:history="1">
            <w:r w:rsidR="00DD4ADF" w:rsidRPr="00B47543">
              <w:rPr>
                <w:rStyle w:val="Hipercze"/>
              </w:rPr>
              <w:t>20.</w:t>
            </w:r>
            <w:r w:rsidR="00DD4ADF">
              <w:rPr>
                <w:rFonts w:asciiTheme="minorHAnsi" w:eastAsiaTheme="minorEastAsia" w:hAnsiTheme="minorHAnsi" w:cstheme="minorBidi"/>
                <w:b w:val="0"/>
                <w:smallCaps w:val="0"/>
                <w:sz w:val="22"/>
                <w:szCs w:val="22"/>
                <w:lang w:eastAsia="pl-PL"/>
              </w:rPr>
              <w:tab/>
            </w:r>
            <w:r w:rsidR="00DD4ADF" w:rsidRPr="00B47543">
              <w:rPr>
                <w:rStyle w:val="Hipercze"/>
              </w:rPr>
              <w:t>Podsumowanie działań zastosowanych w celu informowania społeczeństwa i konsultacji publicznych, opis wyników i dokonanych na ich podstawie zmian w Planie</w:t>
            </w:r>
            <w:r w:rsidR="00DD4ADF">
              <w:rPr>
                <w:webHidden/>
              </w:rPr>
              <w:tab/>
            </w:r>
            <w:r w:rsidR="00DD4ADF">
              <w:rPr>
                <w:webHidden/>
              </w:rPr>
              <w:fldChar w:fldCharType="begin"/>
            </w:r>
            <w:r w:rsidR="00DD4ADF">
              <w:rPr>
                <w:webHidden/>
              </w:rPr>
              <w:instrText xml:space="preserve"> PAGEREF _Toc105512741 \h </w:instrText>
            </w:r>
            <w:r w:rsidR="00DD4ADF">
              <w:rPr>
                <w:webHidden/>
              </w:rPr>
            </w:r>
            <w:r w:rsidR="00DD4ADF">
              <w:rPr>
                <w:webHidden/>
              </w:rPr>
              <w:fldChar w:fldCharType="separate"/>
            </w:r>
            <w:r w:rsidR="001F774D">
              <w:rPr>
                <w:webHidden/>
              </w:rPr>
              <w:t>398</w:t>
            </w:r>
            <w:r w:rsidR="00DD4ADF">
              <w:rPr>
                <w:webHidden/>
              </w:rPr>
              <w:fldChar w:fldCharType="end"/>
            </w:r>
          </w:hyperlink>
        </w:p>
        <w:p w14:paraId="2A2D0ACC" w14:textId="0CAAFF52" w:rsidR="00DD4ADF" w:rsidRDefault="009C595A">
          <w:pPr>
            <w:pStyle w:val="Spistreci1"/>
            <w:rPr>
              <w:rFonts w:asciiTheme="minorHAnsi" w:eastAsiaTheme="minorEastAsia" w:hAnsiTheme="minorHAnsi" w:cstheme="minorBidi"/>
              <w:b w:val="0"/>
              <w:smallCaps w:val="0"/>
              <w:sz w:val="22"/>
              <w:szCs w:val="22"/>
              <w:lang w:eastAsia="pl-PL"/>
            </w:rPr>
          </w:pPr>
          <w:hyperlink w:anchor="_Toc105512742" w:history="1">
            <w:r w:rsidR="00DD4ADF" w:rsidRPr="00B47543">
              <w:rPr>
                <w:rStyle w:val="Hipercze"/>
              </w:rPr>
              <w:t>21.</w:t>
            </w:r>
            <w:r w:rsidR="00DD4ADF">
              <w:rPr>
                <w:rFonts w:asciiTheme="minorHAnsi" w:eastAsiaTheme="minorEastAsia" w:hAnsiTheme="minorHAnsi" w:cstheme="minorBidi"/>
                <w:b w:val="0"/>
                <w:smallCaps w:val="0"/>
                <w:sz w:val="22"/>
                <w:szCs w:val="22"/>
                <w:lang w:eastAsia="pl-PL"/>
              </w:rPr>
              <w:tab/>
            </w:r>
            <w:r w:rsidR="00DD4ADF" w:rsidRPr="00B47543">
              <w:rPr>
                <w:rStyle w:val="Hipercze"/>
              </w:rPr>
              <w:t>Organy właściwe w sprawach gospodarowania wodami dla obszaru dorzecza</w:t>
            </w:r>
            <w:r w:rsidR="00DD4ADF">
              <w:rPr>
                <w:webHidden/>
              </w:rPr>
              <w:tab/>
            </w:r>
            <w:r w:rsidR="00DD4ADF">
              <w:rPr>
                <w:webHidden/>
              </w:rPr>
              <w:fldChar w:fldCharType="begin"/>
            </w:r>
            <w:r w:rsidR="00DD4ADF">
              <w:rPr>
                <w:webHidden/>
              </w:rPr>
              <w:instrText xml:space="preserve"> PAGEREF _Toc105512742 \h </w:instrText>
            </w:r>
            <w:r w:rsidR="00DD4ADF">
              <w:rPr>
                <w:webHidden/>
              </w:rPr>
            </w:r>
            <w:r w:rsidR="00DD4ADF">
              <w:rPr>
                <w:webHidden/>
              </w:rPr>
              <w:fldChar w:fldCharType="separate"/>
            </w:r>
            <w:r w:rsidR="001F774D">
              <w:rPr>
                <w:webHidden/>
              </w:rPr>
              <w:t>403</w:t>
            </w:r>
            <w:r w:rsidR="00DD4ADF">
              <w:rPr>
                <w:webHidden/>
              </w:rPr>
              <w:fldChar w:fldCharType="end"/>
            </w:r>
          </w:hyperlink>
        </w:p>
        <w:p w14:paraId="1D0400B0" w14:textId="617E5A13" w:rsidR="00DD4ADF" w:rsidRDefault="009C595A">
          <w:pPr>
            <w:pStyle w:val="Spistreci1"/>
            <w:rPr>
              <w:rFonts w:asciiTheme="minorHAnsi" w:eastAsiaTheme="minorEastAsia" w:hAnsiTheme="minorHAnsi" w:cstheme="minorBidi"/>
              <w:b w:val="0"/>
              <w:smallCaps w:val="0"/>
              <w:sz w:val="22"/>
              <w:szCs w:val="22"/>
              <w:lang w:eastAsia="pl-PL"/>
            </w:rPr>
          </w:pPr>
          <w:hyperlink w:anchor="_Toc105512743" w:history="1">
            <w:r w:rsidR="00DD4ADF" w:rsidRPr="00B47543">
              <w:rPr>
                <w:rStyle w:val="Hipercze"/>
              </w:rPr>
              <w:t>22.</w:t>
            </w:r>
            <w:r w:rsidR="00DD4ADF">
              <w:rPr>
                <w:rFonts w:asciiTheme="minorHAnsi" w:eastAsiaTheme="minorEastAsia" w:hAnsiTheme="minorHAnsi" w:cstheme="minorBidi"/>
                <w:b w:val="0"/>
                <w:smallCaps w:val="0"/>
                <w:sz w:val="22"/>
                <w:szCs w:val="22"/>
                <w:lang w:eastAsia="pl-PL"/>
              </w:rPr>
              <w:tab/>
            </w:r>
            <w:r w:rsidR="00DD4ADF" w:rsidRPr="00B47543">
              <w:rPr>
                <w:rStyle w:val="Hipercze"/>
              </w:rPr>
              <w:t>Współpraca międzynarodowa</w:t>
            </w:r>
            <w:r w:rsidR="00DD4ADF">
              <w:rPr>
                <w:webHidden/>
              </w:rPr>
              <w:tab/>
            </w:r>
            <w:r w:rsidR="00DD4ADF">
              <w:rPr>
                <w:webHidden/>
              </w:rPr>
              <w:fldChar w:fldCharType="begin"/>
            </w:r>
            <w:r w:rsidR="00DD4ADF">
              <w:rPr>
                <w:webHidden/>
              </w:rPr>
              <w:instrText xml:space="preserve"> PAGEREF _Toc105512743 \h </w:instrText>
            </w:r>
            <w:r w:rsidR="00DD4ADF">
              <w:rPr>
                <w:webHidden/>
              </w:rPr>
            </w:r>
            <w:r w:rsidR="00DD4ADF">
              <w:rPr>
                <w:webHidden/>
              </w:rPr>
              <w:fldChar w:fldCharType="separate"/>
            </w:r>
            <w:r w:rsidR="001F774D">
              <w:rPr>
                <w:webHidden/>
              </w:rPr>
              <w:t>413</w:t>
            </w:r>
            <w:r w:rsidR="00DD4ADF">
              <w:rPr>
                <w:webHidden/>
              </w:rPr>
              <w:fldChar w:fldCharType="end"/>
            </w:r>
          </w:hyperlink>
        </w:p>
        <w:p w14:paraId="3D9B2BD7" w14:textId="7A1A14FE" w:rsidR="00DD4ADF" w:rsidRDefault="009C595A">
          <w:pPr>
            <w:pStyle w:val="Spistreci1"/>
            <w:rPr>
              <w:rFonts w:asciiTheme="minorHAnsi" w:eastAsiaTheme="minorEastAsia" w:hAnsiTheme="minorHAnsi" w:cstheme="minorBidi"/>
              <w:b w:val="0"/>
              <w:smallCaps w:val="0"/>
              <w:sz w:val="22"/>
              <w:szCs w:val="22"/>
              <w:lang w:eastAsia="pl-PL"/>
            </w:rPr>
          </w:pPr>
          <w:hyperlink w:anchor="_Toc105512744" w:history="1">
            <w:r w:rsidR="00DD4ADF" w:rsidRPr="00B47543">
              <w:rPr>
                <w:rStyle w:val="Hipercze"/>
              </w:rPr>
              <w:t>23.</w:t>
            </w:r>
            <w:r w:rsidR="00DD4ADF">
              <w:rPr>
                <w:rFonts w:asciiTheme="minorHAnsi" w:eastAsiaTheme="minorEastAsia" w:hAnsiTheme="minorHAnsi" w:cstheme="minorBidi"/>
                <w:b w:val="0"/>
                <w:smallCaps w:val="0"/>
                <w:sz w:val="22"/>
                <w:szCs w:val="22"/>
                <w:lang w:eastAsia="pl-PL"/>
              </w:rPr>
              <w:tab/>
            </w:r>
            <w:r w:rsidR="00DD4ADF" w:rsidRPr="00B47543">
              <w:rPr>
                <w:rStyle w:val="Hipercze"/>
              </w:rPr>
              <w:t>Podsumowanie wszelkich zmian lub uaktualnień dokonanych od dnia ogłoszenia poprzedniego planu gospodarowania wodami na obszarze dorzecza</w:t>
            </w:r>
            <w:r w:rsidR="00DD4ADF">
              <w:rPr>
                <w:webHidden/>
              </w:rPr>
              <w:tab/>
            </w:r>
            <w:r w:rsidR="00DD4ADF">
              <w:rPr>
                <w:webHidden/>
              </w:rPr>
              <w:fldChar w:fldCharType="begin"/>
            </w:r>
            <w:r w:rsidR="00DD4ADF">
              <w:rPr>
                <w:webHidden/>
              </w:rPr>
              <w:instrText xml:space="preserve"> PAGEREF _Toc105512744 \h </w:instrText>
            </w:r>
            <w:r w:rsidR="00DD4ADF">
              <w:rPr>
                <w:webHidden/>
              </w:rPr>
            </w:r>
            <w:r w:rsidR="00DD4ADF">
              <w:rPr>
                <w:webHidden/>
              </w:rPr>
              <w:fldChar w:fldCharType="separate"/>
            </w:r>
            <w:r w:rsidR="001F774D">
              <w:rPr>
                <w:webHidden/>
              </w:rPr>
              <w:t>423</w:t>
            </w:r>
            <w:r w:rsidR="00DD4ADF">
              <w:rPr>
                <w:webHidden/>
              </w:rPr>
              <w:fldChar w:fldCharType="end"/>
            </w:r>
          </w:hyperlink>
        </w:p>
        <w:p w14:paraId="04EDB106" w14:textId="7550AE84" w:rsidR="00DD4ADF" w:rsidRDefault="009C595A">
          <w:pPr>
            <w:pStyle w:val="Spistreci1"/>
            <w:rPr>
              <w:rFonts w:asciiTheme="minorHAnsi" w:eastAsiaTheme="minorEastAsia" w:hAnsiTheme="minorHAnsi" w:cstheme="minorBidi"/>
              <w:b w:val="0"/>
              <w:smallCaps w:val="0"/>
              <w:sz w:val="22"/>
              <w:szCs w:val="22"/>
              <w:lang w:eastAsia="pl-PL"/>
            </w:rPr>
          </w:pPr>
          <w:hyperlink w:anchor="_Toc105512745" w:history="1">
            <w:r w:rsidR="00DD4ADF" w:rsidRPr="00B47543">
              <w:rPr>
                <w:rStyle w:val="Hipercze"/>
              </w:rPr>
              <w:t>24.</w:t>
            </w:r>
            <w:r w:rsidR="00DD4ADF">
              <w:rPr>
                <w:rFonts w:asciiTheme="minorHAnsi" w:eastAsiaTheme="minorEastAsia" w:hAnsiTheme="minorHAnsi" w:cstheme="minorBidi"/>
                <w:b w:val="0"/>
                <w:smallCaps w:val="0"/>
                <w:sz w:val="22"/>
                <w:szCs w:val="22"/>
                <w:lang w:eastAsia="pl-PL"/>
              </w:rPr>
              <w:tab/>
            </w:r>
            <w:r w:rsidR="00DD4ADF" w:rsidRPr="00B47543">
              <w:rPr>
                <w:rStyle w:val="Hipercze"/>
              </w:rPr>
              <w:t>Informacja o sposobach i procedurach pozyskiwania informacji i dokumentacji źródłowej wykorzystanej do sporządzenia IIaPGW oraz informacji o spodziewanych wynikach realizacji IIaPGW</w:t>
            </w:r>
            <w:r w:rsidR="00DD4ADF">
              <w:rPr>
                <w:webHidden/>
              </w:rPr>
              <w:tab/>
            </w:r>
            <w:r w:rsidR="00DD4ADF">
              <w:rPr>
                <w:webHidden/>
              </w:rPr>
              <w:fldChar w:fldCharType="begin"/>
            </w:r>
            <w:r w:rsidR="00DD4ADF">
              <w:rPr>
                <w:webHidden/>
              </w:rPr>
              <w:instrText xml:space="preserve"> PAGEREF _Toc105512745 \h </w:instrText>
            </w:r>
            <w:r w:rsidR="00DD4ADF">
              <w:rPr>
                <w:webHidden/>
              </w:rPr>
            </w:r>
            <w:r w:rsidR="00DD4ADF">
              <w:rPr>
                <w:webHidden/>
              </w:rPr>
              <w:fldChar w:fldCharType="separate"/>
            </w:r>
            <w:r w:rsidR="001F774D">
              <w:rPr>
                <w:webHidden/>
              </w:rPr>
              <w:t>427</w:t>
            </w:r>
            <w:r w:rsidR="00DD4ADF">
              <w:rPr>
                <w:webHidden/>
              </w:rPr>
              <w:fldChar w:fldCharType="end"/>
            </w:r>
          </w:hyperlink>
        </w:p>
        <w:p w14:paraId="2DACE575" w14:textId="036C36F1" w:rsidR="00DD4ADF" w:rsidRDefault="009C595A">
          <w:pPr>
            <w:pStyle w:val="Spistreci2"/>
            <w:rPr>
              <w:rFonts w:asciiTheme="minorHAnsi" w:eastAsiaTheme="minorEastAsia" w:hAnsiTheme="minorHAnsi" w:cstheme="minorBidi"/>
              <w:sz w:val="22"/>
              <w:szCs w:val="22"/>
              <w:lang w:eastAsia="pl-PL"/>
            </w:rPr>
          </w:pPr>
          <w:hyperlink w:anchor="_Toc105512746" w:history="1">
            <w:r w:rsidR="00DD4ADF" w:rsidRPr="00B47543">
              <w:rPr>
                <w:rStyle w:val="Hipercze"/>
              </w:rPr>
              <w:t>24.1.</w:t>
            </w:r>
            <w:r w:rsidR="00DD4ADF">
              <w:rPr>
                <w:rFonts w:asciiTheme="minorHAnsi" w:eastAsiaTheme="minorEastAsia" w:hAnsiTheme="minorHAnsi" w:cstheme="minorBidi"/>
                <w:sz w:val="22"/>
                <w:szCs w:val="22"/>
                <w:lang w:eastAsia="pl-PL"/>
              </w:rPr>
              <w:tab/>
            </w:r>
            <w:r w:rsidR="00DD4ADF" w:rsidRPr="00B47543">
              <w:rPr>
                <w:rStyle w:val="Hipercze"/>
              </w:rPr>
              <w:t>Punkty kontaktowe pozyskiwania informacji o spodziewanych wynikach realizacji planu</w:t>
            </w:r>
            <w:r w:rsidR="00DD4ADF">
              <w:rPr>
                <w:webHidden/>
              </w:rPr>
              <w:tab/>
            </w:r>
            <w:r w:rsidR="00DD4ADF">
              <w:rPr>
                <w:webHidden/>
              </w:rPr>
              <w:fldChar w:fldCharType="begin"/>
            </w:r>
            <w:r w:rsidR="00DD4ADF">
              <w:rPr>
                <w:webHidden/>
              </w:rPr>
              <w:instrText xml:space="preserve"> PAGEREF _Toc105512746 \h </w:instrText>
            </w:r>
            <w:r w:rsidR="00DD4ADF">
              <w:rPr>
                <w:webHidden/>
              </w:rPr>
            </w:r>
            <w:r w:rsidR="00DD4ADF">
              <w:rPr>
                <w:webHidden/>
              </w:rPr>
              <w:fldChar w:fldCharType="separate"/>
            </w:r>
            <w:r w:rsidR="001F774D">
              <w:rPr>
                <w:webHidden/>
              </w:rPr>
              <w:t>427</w:t>
            </w:r>
            <w:r w:rsidR="00DD4ADF">
              <w:rPr>
                <w:webHidden/>
              </w:rPr>
              <w:fldChar w:fldCharType="end"/>
            </w:r>
          </w:hyperlink>
        </w:p>
        <w:p w14:paraId="5CEB8EC5" w14:textId="5AB72A30" w:rsidR="00DD4ADF" w:rsidRDefault="009C595A">
          <w:pPr>
            <w:pStyle w:val="Spistreci2"/>
            <w:rPr>
              <w:rFonts w:asciiTheme="minorHAnsi" w:eastAsiaTheme="minorEastAsia" w:hAnsiTheme="minorHAnsi" w:cstheme="minorBidi"/>
              <w:sz w:val="22"/>
              <w:szCs w:val="22"/>
              <w:lang w:eastAsia="pl-PL"/>
            </w:rPr>
          </w:pPr>
          <w:hyperlink w:anchor="_Toc105512747" w:history="1">
            <w:r w:rsidR="00DD4ADF" w:rsidRPr="00B47543">
              <w:rPr>
                <w:rStyle w:val="Hipercze"/>
              </w:rPr>
              <w:t>24.2.</w:t>
            </w:r>
            <w:r w:rsidR="00DD4ADF">
              <w:rPr>
                <w:rFonts w:asciiTheme="minorHAnsi" w:eastAsiaTheme="minorEastAsia" w:hAnsiTheme="minorHAnsi" w:cstheme="minorBidi"/>
                <w:sz w:val="22"/>
                <w:szCs w:val="22"/>
                <w:lang w:eastAsia="pl-PL"/>
              </w:rPr>
              <w:tab/>
            </w:r>
            <w:r w:rsidR="00DD4ADF" w:rsidRPr="00B47543">
              <w:rPr>
                <w:rStyle w:val="Hipercze"/>
              </w:rPr>
              <w:t>Procedury pozyskiwania źródłowej dokumentacji</w:t>
            </w:r>
            <w:r w:rsidR="00DD4ADF">
              <w:rPr>
                <w:webHidden/>
              </w:rPr>
              <w:tab/>
            </w:r>
            <w:r w:rsidR="00DD4ADF">
              <w:rPr>
                <w:webHidden/>
              </w:rPr>
              <w:fldChar w:fldCharType="begin"/>
            </w:r>
            <w:r w:rsidR="00DD4ADF">
              <w:rPr>
                <w:webHidden/>
              </w:rPr>
              <w:instrText xml:space="preserve"> PAGEREF _Toc105512747 \h </w:instrText>
            </w:r>
            <w:r w:rsidR="00DD4ADF">
              <w:rPr>
                <w:webHidden/>
              </w:rPr>
            </w:r>
            <w:r w:rsidR="00DD4ADF">
              <w:rPr>
                <w:webHidden/>
              </w:rPr>
              <w:fldChar w:fldCharType="separate"/>
            </w:r>
            <w:r w:rsidR="001F774D">
              <w:rPr>
                <w:webHidden/>
              </w:rPr>
              <w:t>428</w:t>
            </w:r>
            <w:r w:rsidR="00DD4ADF">
              <w:rPr>
                <w:webHidden/>
              </w:rPr>
              <w:fldChar w:fldCharType="end"/>
            </w:r>
          </w:hyperlink>
        </w:p>
        <w:p w14:paraId="53D11087" w14:textId="478E1FC9" w:rsidR="00DD4ADF" w:rsidRDefault="009C595A">
          <w:pPr>
            <w:pStyle w:val="Spistreci2"/>
            <w:rPr>
              <w:rFonts w:asciiTheme="minorHAnsi" w:eastAsiaTheme="minorEastAsia" w:hAnsiTheme="minorHAnsi" w:cstheme="minorBidi"/>
              <w:sz w:val="22"/>
              <w:szCs w:val="22"/>
              <w:lang w:eastAsia="pl-PL"/>
            </w:rPr>
          </w:pPr>
          <w:hyperlink w:anchor="_Toc105512748" w:history="1">
            <w:r w:rsidR="00DD4ADF" w:rsidRPr="00B47543">
              <w:rPr>
                <w:rStyle w:val="Hipercze"/>
              </w:rPr>
              <w:t>24.3.</w:t>
            </w:r>
            <w:r w:rsidR="00DD4ADF">
              <w:rPr>
                <w:rFonts w:asciiTheme="minorHAnsi" w:eastAsiaTheme="minorEastAsia" w:hAnsiTheme="minorHAnsi" w:cstheme="minorBidi"/>
                <w:sz w:val="22"/>
                <w:szCs w:val="22"/>
                <w:lang w:eastAsia="pl-PL"/>
              </w:rPr>
              <w:tab/>
            </w:r>
            <w:r w:rsidR="00DD4ADF" w:rsidRPr="00B47543">
              <w:rPr>
                <w:rStyle w:val="Hipercze"/>
              </w:rPr>
              <w:t>Dokumentacja źródłowa wykorzystana przy sporządzaniu IIaPGW</w:t>
            </w:r>
            <w:r w:rsidR="00DD4ADF">
              <w:rPr>
                <w:webHidden/>
              </w:rPr>
              <w:tab/>
            </w:r>
            <w:r w:rsidR="00DD4ADF">
              <w:rPr>
                <w:webHidden/>
              </w:rPr>
              <w:fldChar w:fldCharType="begin"/>
            </w:r>
            <w:r w:rsidR="00DD4ADF">
              <w:rPr>
                <w:webHidden/>
              </w:rPr>
              <w:instrText xml:space="preserve"> PAGEREF _Toc105512748 \h </w:instrText>
            </w:r>
            <w:r w:rsidR="00DD4ADF">
              <w:rPr>
                <w:webHidden/>
              </w:rPr>
            </w:r>
            <w:r w:rsidR="00DD4ADF">
              <w:rPr>
                <w:webHidden/>
              </w:rPr>
              <w:fldChar w:fldCharType="separate"/>
            </w:r>
            <w:r w:rsidR="001F774D">
              <w:rPr>
                <w:webHidden/>
              </w:rPr>
              <w:t>428</w:t>
            </w:r>
            <w:r w:rsidR="00DD4ADF">
              <w:rPr>
                <w:webHidden/>
              </w:rPr>
              <w:fldChar w:fldCharType="end"/>
            </w:r>
          </w:hyperlink>
        </w:p>
        <w:p w14:paraId="1673F9A4" w14:textId="12380FC6" w:rsidR="00DD4ADF" w:rsidRDefault="009C595A">
          <w:pPr>
            <w:pStyle w:val="Spistreci1"/>
            <w:rPr>
              <w:rFonts w:asciiTheme="minorHAnsi" w:eastAsiaTheme="minorEastAsia" w:hAnsiTheme="minorHAnsi" w:cstheme="minorBidi"/>
              <w:b w:val="0"/>
              <w:smallCaps w:val="0"/>
              <w:sz w:val="22"/>
              <w:szCs w:val="22"/>
              <w:lang w:eastAsia="pl-PL"/>
            </w:rPr>
          </w:pPr>
          <w:hyperlink w:anchor="_Toc105512749" w:history="1">
            <w:r w:rsidR="00DD4ADF" w:rsidRPr="00B47543">
              <w:rPr>
                <w:rStyle w:val="Hipercze"/>
              </w:rPr>
              <w:t>Załączniki</w:t>
            </w:r>
            <w:r w:rsidR="00DD4ADF">
              <w:rPr>
                <w:webHidden/>
              </w:rPr>
              <w:tab/>
            </w:r>
            <w:r w:rsidR="00DD4ADF">
              <w:rPr>
                <w:webHidden/>
              </w:rPr>
              <w:fldChar w:fldCharType="begin"/>
            </w:r>
            <w:r w:rsidR="00DD4ADF">
              <w:rPr>
                <w:webHidden/>
              </w:rPr>
              <w:instrText xml:space="preserve"> PAGEREF _Toc105512749 \h </w:instrText>
            </w:r>
            <w:r w:rsidR="00DD4ADF">
              <w:rPr>
                <w:webHidden/>
              </w:rPr>
            </w:r>
            <w:r w:rsidR="00DD4ADF">
              <w:rPr>
                <w:webHidden/>
              </w:rPr>
              <w:fldChar w:fldCharType="separate"/>
            </w:r>
            <w:r w:rsidR="001F774D">
              <w:rPr>
                <w:webHidden/>
              </w:rPr>
              <w:t>432</w:t>
            </w:r>
            <w:r w:rsidR="00DD4ADF">
              <w:rPr>
                <w:webHidden/>
              </w:rPr>
              <w:fldChar w:fldCharType="end"/>
            </w:r>
          </w:hyperlink>
        </w:p>
        <w:p w14:paraId="6087FA31" w14:textId="7A3CBFF2" w:rsidR="006B2425" w:rsidRPr="00795F17" w:rsidRDefault="00F35232" w:rsidP="00F35232">
          <w:pPr>
            <w:pStyle w:val="Spistreci1"/>
          </w:pPr>
          <w:r w:rsidRPr="00795F17">
            <w:fldChar w:fldCharType="end"/>
          </w:r>
        </w:p>
      </w:sdtContent>
    </w:sdt>
    <w:p w14:paraId="2A228B7F" w14:textId="77777777" w:rsidR="00BE0C18" w:rsidRPr="00795F17" w:rsidRDefault="00BE0C18" w:rsidP="0044393D">
      <w:pPr>
        <w:pStyle w:val="Tytu"/>
      </w:pPr>
      <w:r w:rsidRPr="00795F17">
        <w:br w:type="column"/>
      </w:r>
      <w:r w:rsidRPr="00795F17">
        <w:lastRenderedPageBreak/>
        <w:t>Spis tabel</w:t>
      </w:r>
    </w:p>
    <w:p w14:paraId="06E6DFD1" w14:textId="64BEF747" w:rsidR="00CD4059" w:rsidRDefault="00F8325B">
      <w:pPr>
        <w:pStyle w:val="Spisilustracji"/>
        <w:rPr>
          <w:rFonts w:asciiTheme="minorHAnsi" w:eastAsiaTheme="minorEastAsia" w:hAnsiTheme="minorHAnsi" w:cstheme="minorBidi"/>
          <w:sz w:val="22"/>
          <w:lang w:eastAsia="pl-PL"/>
        </w:rPr>
      </w:pPr>
      <w:r>
        <w:fldChar w:fldCharType="begin"/>
      </w:r>
      <w:r>
        <w:instrText xml:space="preserve"> TOC \h \z \c "Tabela" </w:instrText>
      </w:r>
      <w:r>
        <w:fldChar w:fldCharType="separate"/>
      </w:r>
      <w:hyperlink w:anchor="_Toc105512750" w:history="1">
        <w:r w:rsidR="00CD4059" w:rsidRPr="00BF773F">
          <w:rPr>
            <w:rStyle w:val="Hipercze"/>
          </w:rPr>
          <w:t>Tabela 2</w:t>
        </w:r>
        <w:r w:rsidR="00CD4059" w:rsidRPr="00BF773F">
          <w:rPr>
            <w:rStyle w:val="Hipercze"/>
          </w:rPr>
          <w:noBreakHyphen/>
          <w:t>1.</w:t>
        </w:r>
        <w:r w:rsidR="00CD4059">
          <w:rPr>
            <w:rFonts w:asciiTheme="minorHAnsi" w:eastAsiaTheme="minorEastAsia" w:hAnsiTheme="minorHAnsi" w:cstheme="minorBidi"/>
            <w:sz w:val="22"/>
            <w:lang w:eastAsia="pl-PL"/>
          </w:rPr>
          <w:tab/>
        </w:r>
        <w:r w:rsidR="00CD4059" w:rsidRPr="00BF773F">
          <w:rPr>
            <w:rStyle w:val="Hipercze"/>
          </w:rPr>
          <w:t>Zestawienie rozdziałów IIaPGW w odniesieniu do zakresu wskazanego w pr.w. i r.p.g.w.</w:t>
        </w:r>
        <w:r w:rsidR="00CD4059">
          <w:rPr>
            <w:webHidden/>
          </w:rPr>
          <w:tab/>
        </w:r>
        <w:r w:rsidR="00CD4059">
          <w:rPr>
            <w:webHidden/>
          </w:rPr>
          <w:fldChar w:fldCharType="begin"/>
        </w:r>
        <w:r w:rsidR="00CD4059">
          <w:rPr>
            <w:webHidden/>
          </w:rPr>
          <w:instrText xml:space="preserve"> PAGEREF _Toc105512750 \h </w:instrText>
        </w:r>
        <w:r w:rsidR="00CD4059">
          <w:rPr>
            <w:webHidden/>
          </w:rPr>
        </w:r>
        <w:r w:rsidR="00CD4059">
          <w:rPr>
            <w:webHidden/>
          </w:rPr>
          <w:fldChar w:fldCharType="separate"/>
        </w:r>
        <w:r w:rsidR="001F774D">
          <w:rPr>
            <w:webHidden/>
          </w:rPr>
          <w:t>26</w:t>
        </w:r>
        <w:r w:rsidR="00CD4059">
          <w:rPr>
            <w:webHidden/>
          </w:rPr>
          <w:fldChar w:fldCharType="end"/>
        </w:r>
      </w:hyperlink>
    </w:p>
    <w:p w14:paraId="6225106B" w14:textId="64140776" w:rsidR="00CD4059" w:rsidRDefault="009C595A">
      <w:pPr>
        <w:pStyle w:val="Spisilustracji"/>
        <w:rPr>
          <w:rFonts w:asciiTheme="minorHAnsi" w:eastAsiaTheme="minorEastAsia" w:hAnsiTheme="minorHAnsi" w:cstheme="minorBidi"/>
          <w:sz w:val="22"/>
          <w:lang w:eastAsia="pl-PL"/>
        </w:rPr>
      </w:pPr>
      <w:hyperlink w:anchor="_Toc105512751" w:history="1">
        <w:r w:rsidR="00CD4059" w:rsidRPr="00BF773F">
          <w:rPr>
            <w:rStyle w:val="Hipercze"/>
          </w:rPr>
          <w:t>Tabela 3</w:t>
        </w:r>
        <w:r w:rsidR="00CD4059" w:rsidRPr="00BF773F">
          <w:rPr>
            <w:rStyle w:val="Hipercze"/>
          </w:rPr>
          <w:noBreakHyphen/>
          <w:t>1.</w:t>
        </w:r>
        <w:r w:rsidR="00CD4059">
          <w:rPr>
            <w:rFonts w:asciiTheme="minorHAnsi" w:eastAsiaTheme="minorEastAsia" w:hAnsiTheme="minorHAnsi" w:cstheme="minorBidi"/>
            <w:sz w:val="22"/>
            <w:lang w:eastAsia="pl-PL"/>
          </w:rPr>
          <w:tab/>
        </w:r>
        <w:r w:rsidR="00CD4059" w:rsidRPr="00BF773F">
          <w:rPr>
            <w:rStyle w:val="Hipercze"/>
          </w:rPr>
          <w:t>Ogólny opis obszaru dorzecza Odry</w:t>
        </w:r>
        <w:r w:rsidR="00CD4059">
          <w:rPr>
            <w:webHidden/>
          </w:rPr>
          <w:tab/>
        </w:r>
        <w:r w:rsidR="00CD4059">
          <w:rPr>
            <w:webHidden/>
          </w:rPr>
          <w:fldChar w:fldCharType="begin"/>
        </w:r>
        <w:r w:rsidR="00CD4059">
          <w:rPr>
            <w:webHidden/>
          </w:rPr>
          <w:instrText xml:space="preserve"> PAGEREF _Toc105512751 \h </w:instrText>
        </w:r>
        <w:r w:rsidR="00CD4059">
          <w:rPr>
            <w:webHidden/>
          </w:rPr>
        </w:r>
        <w:r w:rsidR="00CD4059">
          <w:rPr>
            <w:webHidden/>
          </w:rPr>
          <w:fldChar w:fldCharType="separate"/>
        </w:r>
        <w:r w:rsidR="001F774D">
          <w:rPr>
            <w:webHidden/>
          </w:rPr>
          <w:t>31</w:t>
        </w:r>
        <w:r w:rsidR="00CD4059">
          <w:rPr>
            <w:webHidden/>
          </w:rPr>
          <w:fldChar w:fldCharType="end"/>
        </w:r>
      </w:hyperlink>
    </w:p>
    <w:p w14:paraId="42F3BB41" w14:textId="3AC0C381" w:rsidR="00CD4059" w:rsidRDefault="009C595A">
      <w:pPr>
        <w:pStyle w:val="Spisilustracji"/>
        <w:rPr>
          <w:rFonts w:asciiTheme="minorHAnsi" w:eastAsiaTheme="minorEastAsia" w:hAnsiTheme="minorHAnsi" w:cstheme="minorBidi"/>
          <w:sz w:val="22"/>
          <w:lang w:eastAsia="pl-PL"/>
        </w:rPr>
      </w:pPr>
      <w:hyperlink w:anchor="_Toc105512752" w:history="1">
        <w:r w:rsidR="00CD4059" w:rsidRPr="00BF773F">
          <w:rPr>
            <w:rStyle w:val="Hipercze"/>
          </w:rPr>
          <w:t>Tabela 3</w:t>
        </w:r>
        <w:r w:rsidR="00CD4059" w:rsidRPr="00BF773F">
          <w:rPr>
            <w:rStyle w:val="Hipercze"/>
          </w:rPr>
          <w:noBreakHyphen/>
          <w:t>2.</w:t>
        </w:r>
        <w:r w:rsidR="00CD4059">
          <w:rPr>
            <w:rFonts w:asciiTheme="minorHAnsi" w:eastAsiaTheme="minorEastAsia" w:hAnsiTheme="minorHAnsi" w:cstheme="minorBidi"/>
            <w:sz w:val="22"/>
            <w:lang w:eastAsia="pl-PL"/>
          </w:rPr>
          <w:tab/>
        </w:r>
        <w:r w:rsidR="00CD4059" w:rsidRPr="00BF773F">
          <w:rPr>
            <w:rStyle w:val="Hipercze"/>
          </w:rPr>
          <w:t>Zestawienie JCWP na obszarze dorzecza Odry</w:t>
        </w:r>
        <w:r w:rsidR="00CD4059">
          <w:rPr>
            <w:webHidden/>
          </w:rPr>
          <w:tab/>
        </w:r>
        <w:r w:rsidR="00CD4059">
          <w:rPr>
            <w:webHidden/>
          </w:rPr>
          <w:fldChar w:fldCharType="begin"/>
        </w:r>
        <w:r w:rsidR="00CD4059">
          <w:rPr>
            <w:webHidden/>
          </w:rPr>
          <w:instrText xml:space="preserve"> PAGEREF _Toc105512752 \h </w:instrText>
        </w:r>
        <w:r w:rsidR="00CD4059">
          <w:rPr>
            <w:webHidden/>
          </w:rPr>
        </w:r>
        <w:r w:rsidR="00CD4059">
          <w:rPr>
            <w:webHidden/>
          </w:rPr>
          <w:fldChar w:fldCharType="separate"/>
        </w:r>
        <w:r w:rsidR="001F774D">
          <w:rPr>
            <w:webHidden/>
          </w:rPr>
          <w:t>40</w:t>
        </w:r>
        <w:r w:rsidR="00CD4059">
          <w:rPr>
            <w:webHidden/>
          </w:rPr>
          <w:fldChar w:fldCharType="end"/>
        </w:r>
      </w:hyperlink>
    </w:p>
    <w:p w14:paraId="1B63730C" w14:textId="18984A79" w:rsidR="00CD4059" w:rsidRDefault="009C595A">
      <w:pPr>
        <w:pStyle w:val="Spisilustracji"/>
        <w:rPr>
          <w:rFonts w:asciiTheme="minorHAnsi" w:eastAsiaTheme="minorEastAsia" w:hAnsiTheme="minorHAnsi" w:cstheme="minorBidi"/>
          <w:sz w:val="22"/>
          <w:lang w:eastAsia="pl-PL"/>
        </w:rPr>
      </w:pPr>
      <w:hyperlink w:anchor="_Toc105512753" w:history="1">
        <w:r w:rsidR="00CD4059" w:rsidRPr="00BF773F">
          <w:rPr>
            <w:rStyle w:val="Hipercze"/>
          </w:rPr>
          <w:t>Tabela 3</w:t>
        </w:r>
        <w:r w:rsidR="00CD4059" w:rsidRPr="00BF773F">
          <w:rPr>
            <w:rStyle w:val="Hipercze"/>
          </w:rPr>
          <w:noBreakHyphen/>
          <w:t>3.</w:t>
        </w:r>
        <w:r w:rsidR="00CD4059">
          <w:rPr>
            <w:rFonts w:asciiTheme="minorHAnsi" w:eastAsiaTheme="minorEastAsia" w:hAnsiTheme="minorHAnsi" w:cstheme="minorBidi"/>
            <w:sz w:val="22"/>
            <w:lang w:eastAsia="pl-PL"/>
          </w:rPr>
          <w:tab/>
        </w:r>
        <w:r w:rsidR="00CD4059" w:rsidRPr="00BF773F">
          <w:rPr>
            <w:rStyle w:val="Hipercze"/>
          </w:rPr>
          <w:t>Typy JCWP RW na obszarze dorzecza Odry</w:t>
        </w:r>
        <w:r w:rsidR="00CD4059">
          <w:rPr>
            <w:webHidden/>
          </w:rPr>
          <w:tab/>
        </w:r>
        <w:r w:rsidR="00CD4059">
          <w:rPr>
            <w:webHidden/>
          </w:rPr>
          <w:fldChar w:fldCharType="begin"/>
        </w:r>
        <w:r w:rsidR="00CD4059">
          <w:rPr>
            <w:webHidden/>
          </w:rPr>
          <w:instrText xml:space="preserve"> PAGEREF _Toc105512753 \h </w:instrText>
        </w:r>
        <w:r w:rsidR="00CD4059">
          <w:rPr>
            <w:webHidden/>
          </w:rPr>
        </w:r>
        <w:r w:rsidR="00CD4059">
          <w:rPr>
            <w:webHidden/>
          </w:rPr>
          <w:fldChar w:fldCharType="separate"/>
        </w:r>
        <w:r w:rsidR="001F774D">
          <w:rPr>
            <w:webHidden/>
          </w:rPr>
          <w:t>42</w:t>
        </w:r>
        <w:r w:rsidR="00CD4059">
          <w:rPr>
            <w:webHidden/>
          </w:rPr>
          <w:fldChar w:fldCharType="end"/>
        </w:r>
      </w:hyperlink>
    </w:p>
    <w:p w14:paraId="5141634F" w14:textId="3183486C" w:rsidR="00CD4059" w:rsidRDefault="009C595A">
      <w:pPr>
        <w:pStyle w:val="Spisilustracji"/>
        <w:rPr>
          <w:rFonts w:asciiTheme="minorHAnsi" w:eastAsiaTheme="minorEastAsia" w:hAnsiTheme="minorHAnsi" w:cstheme="minorBidi"/>
          <w:sz w:val="22"/>
          <w:lang w:eastAsia="pl-PL"/>
        </w:rPr>
      </w:pPr>
      <w:hyperlink w:anchor="_Toc105512754" w:history="1">
        <w:r w:rsidR="00CD4059" w:rsidRPr="00BF773F">
          <w:rPr>
            <w:rStyle w:val="Hipercze"/>
          </w:rPr>
          <w:t>Tabela 3</w:t>
        </w:r>
        <w:r w:rsidR="00CD4059" w:rsidRPr="00BF773F">
          <w:rPr>
            <w:rStyle w:val="Hipercze"/>
          </w:rPr>
          <w:noBreakHyphen/>
          <w:t>4.</w:t>
        </w:r>
        <w:r w:rsidR="00CD4059">
          <w:rPr>
            <w:rFonts w:asciiTheme="minorHAnsi" w:eastAsiaTheme="minorEastAsia" w:hAnsiTheme="minorHAnsi" w:cstheme="minorBidi"/>
            <w:sz w:val="22"/>
            <w:lang w:eastAsia="pl-PL"/>
          </w:rPr>
          <w:tab/>
        </w:r>
        <w:r w:rsidR="00CD4059" w:rsidRPr="00BF773F">
          <w:rPr>
            <w:rStyle w:val="Hipercze"/>
          </w:rPr>
          <w:t>Typy JCWP LW na obszarze dorzecza Odry</w:t>
        </w:r>
        <w:r w:rsidR="00CD4059">
          <w:rPr>
            <w:webHidden/>
          </w:rPr>
          <w:tab/>
        </w:r>
        <w:r w:rsidR="00CD4059">
          <w:rPr>
            <w:webHidden/>
          </w:rPr>
          <w:fldChar w:fldCharType="begin"/>
        </w:r>
        <w:r w:rsidR="00CD4059">
          <w:rPr>
            <w:webHidden/>
          </w:rPr>
          <w:instrText xml:space="preserve"> PAGEREF _Toc105512754 \h </w:instrText>
        </w:r>
        <w:r w:rsidR="00CD4059">
          <w:rPr>
            <w:webHidden/>
          </w:rPr>
        </w:r>
        <w:r w:rsidR="00CD4059">
          <w:rPr>
            <w:webHidden/>
          </w:rPr>
          <w:fldChar w:fldCharType="separate"/>
        </w:r>
        <w:r w:rsidR="001F774D">
          <w:rPr>
            <w:webHidden/>
          </w:rPr>
          <w:t>43</w:t>
        </w:r>
        <w:r w:rsidR="00CD4059">
          <w:rPr>
            <w:webHidden/>
          </w:rPr>
          <w:fldChar w:fldCharType="end"/>
        </w:r>
      </w:hyperlink>
    </w:p>
    <w:p w14:paraId="548BA045" w14:textId="2E9ACAE2" w:rsidR="00CD4059" w:rsidRDefault="009C595A">
      <w:pPr>
        <w:pStyle w:val="Spisilustracji"/>
        <w:rPr>
          <w:rFonts w:asciiTheme="minorHAnsi" w:eastAsiaTheme="minorEastAsia" w:hAnsiTheme="minorHAnsi" w:cstheme="minorBidi"/>
          <w:sz w:val="22"/>
          <w:lang w:eastAsia="pl-PL"/>
        </w:rPr>
      </w:pPr>
      <w:hyperlink w:anchor="_Toc105512755" w:history="1">
        <w:r w:rsidR="00CD4059" w:rsidRPr="00BF773F">
          <w:rPr>
            <w:rStyle w:val="Hipercze"/>
          </w:rPr>
          <w:t>Tabela 3</w:t>
        </w:r>
        <w:r w:rsidR="00CD4059" w:rsidRPr="00BF773F">
          <w:rPr>
            <w:rStyle w:val="Hipercze"/>
          </w:rPr>
          <w:noBreakHyphen/>
          <w:t>5.</w:t>
        </w:r>
        <w:r w:rsidR="00CD4059">
          <w:rPr>
            <w:rFonts w:asciiTheme="minorHAnsi" w:eastAsiaTheme="minorEastAsia" w:hAnsiTheme="minorHAnsi" w:cstheme="minorBidi"/>
            <w:sz w:val="22"/>
            <w:lang w:eastAsia="pl-PL"/>
          </w:rPr>
          <w:tab/>
        </w:r>
        <w:r w:rsidR="00CD4059" w:rsidRPr="00BF773F">
          <w:rPr>
            <w:rStyle w:val="Hipercze"/>
          </w:rPr>
          <w:t>Typy JCWP TW na obszarze dorzecza Odry</w:t>
        </w:r>
        <w:r w:rsidR="00CD4059">
          <w:rPr>
            <w:webHidden/>
          </w:rPr>
          <w:tab/>
        </w:r>
        <w:r w:rsidR="00CD4059">
          <w:rPr>
            <w:webHidden/>
          </w:rPr>
          <w:fldChar w:fldCharType="begin"/>
        </w:r>
        <w:r w:rsidR="00CD4059">
          <w:rPr>
            <w:webHidden/>
          </w:rPr>
          <w:instrText xml:space="preserve"> PAGEREF _Toc105512755 \h </w:instrText>
        </w:r>
        <w:r w:rsidR="00CD4059">
          <w:rPr>
            <w:webHidden/>
          </w:rPr>
        </w:r>
        <w:r w:rsidR="00CD4059">
          <w:rPr>
            <w:webHidden/>
          </w:rPr>
          <w:fldChar w:fldCharType="separate"/>
        </w:r>
        <w:r w:rsidR="001F774D">
          <w:rPr>
            <w:webHidden/>
          </w:rPr>
          <w:t>44</w:t>
        </w:r>
        <w:r w:rsidR="00CD4059">
          <w:rPr>
            <w:webHidden/>
          </w:rPr>
          <w:fldChar w:fldCharType="end"/>
        </w:r>
      </w:hyperlink>
    </w:p>
    <w:p w14:paraId="0B90575A" w14:textId="11C71DB6" w:rsidR="00CD4059" w:rsidRDefault="009C595A">
      <w:pPr>
        <w:pStyle w:val="Spisilustracji"/>
        <w:rPr>
          <w:rFonts w:asciiTheme="minorHAnsi" w:eastAsiaTheme="minorEastAsia" w:hAnsiTheme="minorHAnsi" w:cstheme="minorBidi"/>
          <w:sz w:val="22"/>
          <w:lang w:eastAsia="pl-PL"/>
        </w:rPr>
      </w:pPr>
      <w:hyperlink w:anchor="_Toc105512756" w:history="1">
        <w:r w:rsidR="00CD4059" w:rsidRPr="00BF773F">
          <w:rPr>
            <w:rStyle w:val="Hipercze"/>
          </w:rPr>
          <w:t>Tabela 3</w:t>
        </w:r>
        <w:r w:rsidR="00CD4059" w:rsidRPr="00BF773F">
          <w:rPr>
            <w:rStyle w:val="Hipercze"/>
          </w:rPr>
          <w:noBreakHyphen/>
          <w:t>6.</w:t>
        </w:r>
        <w:r w:rsidR="00CD4059">
          <w:rPr>
            <w:rFonts w:asciiTheme="minorHAnsi" w:eastAsiaTheme="minorEastAsia" w:hAnsiTheme="minorHAnsi" w:cstheme="minorBidi"/>
            <w:sz w:val="22"/>
            <w:lang w:eastAsia="pl-PL"/>
          </w:rPr>
          <w:tab/>
        </w:r>
        <w:r w:rsidR="00CD4059" w:rsidRPr="00BF773F">
          <w:rPr>
            <w:rStyle w:val="Hipercze"/>
          </w:rPr>
          <w:t>Typy JCWP CW na obszarze dorzecza Odry</w:t>
        </w:r>
        <w:r w:rsidR="00CD4059">
          <w:rPr>
            <w:webHidden/>
          </w:rPr>
          <w:tab/>
        </w:r>
        <w:r w:rsidR="00CD4059">
          <w:rPr>
            <w:webHidden/>
          </w:rPr>
          <w:fldChar w:fldCharType="begin"/>
        </w:r>
        <w:r w:rsidR="00CD4059">
          <w:rPr>
            <w:webHidden/>
          </w:rPr>
          <w:instrText xml:space="preserve"> PAGEREF _Toc105512756 \h </w:instrText>
        </w:r>
        <w:r w:rsidR="00CD4059">
          <w:rPr>
            <w:webHidden/>
          </w:rPr>
        </w:r>
        <w:r w:rsidR="00CD4059">
          <w:rPr>
            <w:webHidden/>
          </w:rPr>
          <w:fldChar w:fldCharType="separate"/>
        </w:r>
        <w:r w:rsidR="001F774D">
          <w:rPr>
            <w:webHidden/>
          </w:rPr>
          <w:t>44</w:t>
        </w:r>
        <w:r w:rsidR="00CD4059">
          <w:rPr>
            <w:webHidden/>
          </w:rPr>
          <w:fldChar w:fldCharType="end"/>
        </w:r>
      </w:hyperlink>
    </w:p>
    <w:p w14:paraId="3B73DAD5" w14:textId="0995F3A4" w:rsidR="00CD4059" w:rsidRDefault="009C595A">
      <w:pPr>
        <w:pStyle w:val="Spisilustracji"/>
        <w:rPr>
          <w:rFonts w:asciiTheme="minorHAnsi" w:eastAsiaTheme="minorEastAsia" w:hAnsiTheme="minorHAnsi" w:cstheme="minorBidi"/>
          <w:sz w:val="22"/>
          <w:lang w:eastAsia="pl-PL"/>
        </w:rPr>
      </w:pPr>
      <w:hyperlink w:anchor="_Toc105512757" w:history="1">
        <w:r w:rsidR="00CD4059" w:rsidRPr="00BF773F">
          <w:rPr>
            <w:rStyle w:val="Hipercze"/>
          </w:rPr>
          <w:t>Tabela 3</w:t>
        </w:r>
        <w:r w:rsidR="00CD4059" w:rsidRPr="00BF773F">
          <w:rPr>
            <w:rStyle w:val="Hipercze"/>
          </w:rPr>
          <w:noBreakHyphen/>
          <w:t>7.</w:t>
        </w:r>
        <w:r w:rsidR="00CD4059">
          <w:rPr>
            <w:rFonts w:asciiTheme="minorHAnsi" w:eastAsiaTheme="minorEastAsia" w:hAnsiTheme="minorHAnsi" w:cstheme="minorBidi"/>
            <w:sz w:val="22"/>
            <w:lang w:eastAsia="pl-PL"/>
          </w:rPr>
          <w:tab/>
        </w:r>
        <w:r w:rsidR="00CD4059" w:rsidRPr="00BF773F">
          <w:rPr>
            <w:rStyle w:val="Hipercze"/>
          </w:rPr>
          <w:t>Zestawienie JCWP z określonym statusem w poszczególnych regionach wodnych obszaru dorzecza Odry</w:t>
        </w:r>
        <w:r w:rsidR="00CD4059">
          <w:rPr>
            <w:webHidden/>
          </w:rPr>
          <w:tab/>
        </w:r>
        <w:r w:rsidR="00CD4059">
          <w:rPr>
            <w:webHidden/>
          </w:rPr>
          <w:fldChar w:fldCharType="begin"/>
        </w:r>
        <w:r w:rsidR="00CD4059">
          <w:rPr>
            <w:webHidden/>
          </w:rPr>
          <w:instrText xml:space="preserve"> PAGEREF _Toc105512757 \h </w:instrText>
        </w:r>
        <w:r w:rsidR="00CD4059">
          <w:rPr>
            <w:webHidden/>
          </w:rPr>
        </w:r>
        <w:r w:rsidR="00CD4059">
          <w:rPr>
            <w:webHidden/>
          </w:rPr>
          <w:fldChar w:fldCharType="separate"/>
        </w:r>
        <w:r w:rsidR="001F774D">
          <w:rPr>
            <w:webHidden/>
          </w:rPr>
          <w:t>46</w:t>
        </w:r>
        <w:r w:rsidR="00CD4059">
          <w:rPr>
            <w:webHidden/>
          </w:rPr>
          <w:fldChar w:fldCharType="end"/>
        </w:r>
      </w:hyperlink>
    </w:p>
    <w:p w14:paraId="669EEDA0" w14:textId="05D94F18" w:rsidR="00CD4059" w:rsidRDefault="009C595A">
      <w:pPr>
        <w:pStyle w:val="Spisilustracji"/>
        <w:rPr>
          <w:rFonts w:asciiTheme="minorHAnsi" w:eastAsiaTheme="minorEastAsia" w:hAnsiTheme="minorHAnsi" w:cstheme="minorBidi"/>
          <w:sz w:val="22"/>
          <w:lang w:eastAsia="pl-PL"/>
        </w:rPr>
      </w:pPr>
      <w:hyperlink w:anchor="_Toc105512758" w:history="1">
        <w:r w:rsidR="00CD4059" w:rsidRPr="00BF773F">
          <w:rPr>
            <w:rStyle w:val="Hipercze"/>
          </w:rPr>
          <w:t>Tabela 3</w:t>
        </w:r>
        <w:r w:rsidR="00CD4059" w:rsidRPr="00BF773F">
          <w:rPr>
            <w:rStyle w:val="Hipercze"/>
          </w:rPr>
          <w:noBreakHyphen/>
          <w:t>8.</w:t>
        </w:r>
        <w:r w:rsidR="00CD4059">
          <w:rPr>
            <w:rFonts w:asciiTheme="minorHAnsi" w:eastAsiaTheme="minorEastAsia" w:hAnsiTheme="minorHAnsi" w:cstheme="minorBidi"/>
            <w:sz w:val="22"/>
            <w:lang w:eastAsia="pl-PL"/>
          </w:rPr>
          <w:tab/>
        </w:r>
        <w:r w:rsidR="00CD4059" w:rsidRPr="00BF773F">
          <w:rPr>
            <w:rStyle w:val="Hipercze"/>
          </w:rPr>
          <w:t>Zestawienie JCWPd w obszarze dorzecza Odry</w:t>
        </w:r>
        <w:r w:rsidR="00CD4059">
          <w:rPr>
            <w:webHidden/>
          </w:rPr>
          <w:tab/>
        </w:r>
        <w:r w:rsidR="00CD4059">
          <w:rPr>
            <w:webHidden/>
          </w:rPr>
          <w:fldChar w:fldCharType="begin"/>
        </w:r>
        <w:r w:rsidR="00CD4059">
          <w:rPr>
            <w:webHidden/>
          </w:rPr>
          <w:instrText xml:space="preserve"> PAGEREF _Toc105512758 \h </w:instrText>
        </w:r>
        <w:r w:rsidR="00CD4059">
          <w:rPr>
            <w:webHidden/>
          </w:rPr>
        </w:r>
        <w:r w:rsidR="00CD4059">
          <w:rPr>
            <w:webHidden/>
          </w:rPr>
          <w:fldChar w:fldCharType="separate"/>
        </w:r>
        <w:r w:rsidR="001F774D">
          <w:rPr>
            <w:webHidden/>
          </w:rPr>
          <w:t>48</w:t>
        </w:r>
        <w:r w:rsidR="00CD4059">
          <w:rPr>
            <w:webHidden/>
          </w:rPr>
          <w:fldChar w:fldCharType="end"/>
        </w:r>
      </w:hyperlink>
    </w:p>
    <w:p w14:paraId="7A0F0191" w14:textId="18AC9F57" w:rsidR="00CD4059" w:rsidRDefault="009C595A">
      <w:pPr>
        <w:pStyle w:val="Spisilustracji"/>
        <w:rPr>
          <w:rFonts w:asciiTheme="minorHAnsi" w:eastAsiaTheme="minorEastAsia" w:hAnsiTheme="minorHAnsi" w:cstheme="minorBidi"/>
          <w:sz w:val="22"/>
          <w:lang w:eastAsia="pl-PL"/>
        </w:rPr>
      </w:pPr>
      <w:hyperlink w:anchor="_Toc105512759" w:history="1">
        <w:r w:rsidR="00CD4059" w:rsidRPr="00BF773F">
          <w:rPr>
            <w:rStyle w:val="Hipercze"/>
          </w:rPr>
          <w:t>Tabela 3</w:t>
        </w:r>
        <w:r w:rsidR="00CD4059" w:rsidRPr="00BF773F">
          <w:rPr>
            <w:rStyle w:val="Hipercze"/>
          </w:rPr>
          <w:noBreakHyphen/>
          <w:t>9.</w:t>
        </w:r>
        <w:r w:rsidR="00CD4059">
          <w:rPr>
            <w:rFonts w:asciiTheme="minorHAnsi" w:eastAsiaTheme="minorEastAsia" w:hAnsiTheme="minorHAnsi" w:cstheme="minorBidi"/>
            <w:sz w:val="22"/>
            <w:lang w:eastAsia="pl-PL"/>
          </w:rPr>
          <w:tab/>
        </w:r>
        <w:r w:rsidR="00CD4059" w:rsidRPr="00BF773F">
          <w:rPr>
            <w:rStyle w:val="Hipercze"/>
          </w:rPr>
          <w:t>GZWP występujące w obrębie obszaru dorzecza Odry</w:t>
        </w:r>
        <w:r w:rsidR="00CD4059">
          <w:rPr>
            <w:webHidden/>
          </w:rPr>
          <w:tab/>
        </w:r>
        <w:r w:rsidR="00CD4059">
          <w:rPr>
            <w:webHidden/>
          </w:rPr>
          <w:fldChar w:fldCharType="begin"/>
        </w:r>
        <w:r w:rsidR="00CD4059">
          <w:rPr>
            <w:webHidden/>
          </w:rPr>
          <w:instrText xml:space="preserve"> PAGEREF _Toc105512759 \h </w:instrText>
        </w:r>
        <w:r w:rsidR="00CD4059">
          <w:rPr>
            <w:webHidden/>
          </w:rPr>
        </w:r>
        <w:r w:rsidR="00CD4059">
          <w:rPr>
            <w:webHidden/>
          </w:rPr>
          <w:fldChar w:fldCharType="separate"/>
        </w:r>
        <w:r w:rsidR="001F774D">
          <w:rPr>
            <w:webHidden/>
          </w:rPr>
          <w:t>49</w:t>
        </w:r>
        <w:r w:rsidR="00CD4059">
          <w:rPr>
            <w:webHidden/>
          </w:rPr>
          <w:fldChar w:fldCharType="end"/>
        </w:r>
      </w:hyperlink>
    </w:p>
    <w:p w14:paraId="2CBC0DD7" w14:textId="19D4F9DA" w:rsidR="00CD4059" w:rsidRDefault="009C595A">
      <w:pPr>
        <w:pStyle w:val="Spisilustracji"/>
        <w:rPr>
          <w:rFonts w:asciiTheme="minorHAnsi" w:eastAsiaTheme="minorEastAsia" w:hAnsiTheme="minorHAnsi" w:cstheme="minorBidi"/>
          <w:sz w:val="22"/>
          <w:lang w:eastAsia="pl-PL"/>
        </w:rPr>
      </w:pPr>
      <w:hyperlink w:anchor="_Toc105512760" w:history="1">
        <w:r w:rsidR="00CD4059" w:rsidRPr="00BF773F">
          <w:rPr>
            <w:rStyle w:val="Hipercze"/>
            <w:bCs/>
          </w:rPr>
          <w:t>Tabela 4</w:t>
        </w:r>
        <w:r w:rsidR="00CD4059" w:rsidRPr="00BF773F">
          <w:rPr>
            <w:rStyle w:val="Hipercze"/>
            <w:bCs/>
          </w:rPr>
          <w:noBreakHyphen/>
          <w:t>1.</w:t>
        </w:r>
        <w:r w:rsidR="00CD4059">
          <w:rPr>
            <w:rFonts w:asciiTheme="minorHAnsi" w:eastAsiaTheme="minorEastAsia" w:hAnsiTheme="minorHAnsi" w:cstheme="minorBidi"/>
            <w:sz w:val="22"/>
            <w:lang w:eastAsia="pl-PL"/>
          </w:rPr>
          <w:tab/>
        </w:r>
        <w:r w:rsidR="00CD4059" w:rsidRPr="00BF773F">
          <w:rPr>
            <w:rStyle w:val="Hipercze"/>
          </w:rPr>
          <w:t>Charakterystyka klimatyczna – obszar dorzecza Odry – region wodny Górnej Odry</w:t>
        </w:r>
        <w:r w:rsidR="00CD4059">
          <w:rPr>
            <w:webHidden/>
          </w:rPr>
          <w:tab/>
        </w:r>
        <w:r w:rsidR="00CD4059">
          <w:rPr>
            <w:webHidden/>
          </w:rPr>
          <w:fldChar w:fldCharType="begin"/>
        </w:r>
        <w:r w:rsidR="00CD4059">
          <w:rPr>
            <w:webHidden/>
          </w:rPr>
          <w:instrText xml:space="preserve"> PAGEREF _Toc105512760 \h </w:instrText>
        </w:r>
        <w:r w:rsidR="00CD4059">
          <w:rPr>
            <w:webHidden/>
          </w:rPr>
        </w:r>
        <w:r w:rsidR="00CD4059">
          <w:rPr>
            <w:webHidden/>
          </w:rPr>
          <w:fldChar w:fldCharType="separate"/>
        </w:r>
        <w:r w:rsidR="001F774D">
          <w:rPr>
            <w:webHidden/>
          </w:rPr>
          <w:t>59</w:t>
        </w:r>
        <w:r w:rsidR="00CD4059">
          <w:rPr>
            <w:webHidden/>
          </w:rPr>
          <w:fldChar w:fldCharType="end"/>
        </w:r>
      </w:hyperlink>
    </w:p>
    <w:p w14:paraId="456BB5D1" w14:textId="1DC49BE6" w:rsidR="00CD4059" w:rsidRDefault="009C595A">
      <w:pPr>
        <w:pStyle w:val="Spisilustracji"/>
        <w:rPr>
          <w:rFonts w:asciiTheme="minorHAnsi" w:eastAsiaTheme="minorEastAsia" w:hAnsiTheme="minorHAnsi" w:cstheme="minorBidi"/>
          <w:sz w:val="22"/>
          <w:lang w:eastAsia="pl-PL"/>
        </w:rPr>
      </w:pPr>
      <w:hyperlink w:anchor="_Toc105512761" w:history="1">
        <w:r w:rsidR="00CD4059" w:rsidRPr="00BF773F">
          <w:rPr>
            <w:rStyle w:val="Hipercze"/>
            <w:bCs/>
          </w:rPr>
          <w:t>Tabela 4</w:t>
        </w:r>
        <w:r w:rsidR="00CD4059" w:rsidRPr="00BF773F">
          <w:rPr>
            <w:rStyle w:val="Hipercze"/>
            <w:bCs/>
          </w:rPr>
          <w:noBreakHyphen/>
          <w:t>2.</w:t>
        </w:r>
        <w:r w:rsidR="00CD4059">
          <w:rPr>
            <w:rFonts w:asciiTheme="minorHAnsi" w:eastAsiaTheme="minorEastAsia" w:hAnsiTheme="minorHAnsi" w:cstheme="minorBidi"/>
            <w:sz w:val="22"/>
            <w:lang w:eastAsia="pl-PL"/>
          </w:rPr>
          <w:tab/>
        </w:r>
        <w:r w:rsidR="00CD4059" w:rsidRPr="00BF773F">
          <w:rPr>
            <w:rStyle w:val="Hipercze"/>
          </w:rPr>
          <w:t>Charakterystyka klimatyczna – obszar dorzecza Odry – region wodny Środkowej Odry</w:t>
        </w:r>
        <w:r w:rsidR="00CD4059">
          <w:rPr>
            <w:webHidden/>
          </w:rPr>
          <w:tab/>
        </w:r>
        <w:r w:rsidR="00CD4059">
          <w:rPr>
            <w:webHidden/>
          </w:rPr>
          <w:fldChar w:fldCharType="begin"/>
        </w:r>
        <w:r w:rsidR="00CD4059">
          <w:rPr>
            <w:webHidden/>
          </w:rPr>
          <w:instrText xml:space="preserve"> PAGEREF _Toc105512761 \h </w:instrText>
        </w:r>
        <w:r w:rsidR="00CD4059">
          <w:rPr>
            <w:webHidden/>
          </w:rPr>
        </w:r>
        <w:r w:rsidR="00CD4059">
          <w:rPr>
            <w:webHidden/>
          </w:rPr>
          <w:fldChar w:fldCharType="separate"/>
        </w:r>
        <w:r w:rsidR="001F774D">
          <w:rPr>
            <w:webHidden/>
          </w:rPr>
          <w:t>61</w:t>
        </w:r>
        <w:r w:rsidR="00CD4059">
          <w:rPr>
            <w:webHidden/>
          </w:rPr>
          <w:fldChar w:fldCharType="end"/>
        </w:r>
      </w:hyperlink>
    </w:p>
    <w:p w14:paraId="502ADC0E" w14:textId="0BAC34C1" w:rsidR="00CD4059" w:rsidRDefault="009C595A">
      <w:pPr>
        <w:pStyle w:val="Spisilustracji"/>
        <w:rPr>
          <w:rFonts w:asciiTheme="minorHAnsi" w:eastAsiaTheme="minorEastAsia" w:hAnsiTheme="minorHAnsi" w:cstheme="minorBidi"/>
          <w:sz w:val="22"/>
          <w:lang w:eastAsia="pl-PL"/>
        </w:rPr>
      </w:pPr>
      <w:hyperlink w:anchor="_Toc105512762" w:history="1">
        <w:r w:rsidR="00CD4059" w:rsidRPr="00BF773F">
          <w:rPr>
            <w:rStyle w:val="Hipercze"/>
            <w:bCs/>
          </w:rPr>
          <w:t>Tabela 4</w:t>
        </w:r>
        <w:r w:rsidR="00CD4059" w:rsidRPr="00BF773F">
          <w:rPr>
            <w:rStyle w:val="Hipercze"/>
            <w:bCs/>
          </w:rPr>
          <w:noBreakHyphen/>
          <w:t>3.</w:t>
        </w:r>
        <w:r w:rsidR="00CD4059">
          <w:rPr>
            <w:rFonts w:asciiTheme="minorHAnsi" w:eastAsiaTheme="minorEastAsia" w:hAnsiTheme="minorHAnsi" w:cstheme="minorBidi"/>
            <w:sz w:val="22"/>
            <w:lang w:eastAsia="pl-PL"/>
          </w:rPr>
          <w:tab/>
        </w:r>
        <w:r w:rsidR="00CD4059" w:rsidRPr="00BF773F">
          <w:rPr>
            <w:rStyle w:val="Hipercze"/>
          </w:rPr>
          <w:t>Charakterystyka klimatyczna – obszar dorzecza Odry – region wodny Dolnej Odry i Przymorza Zachodniego</w:t>
        </w:r>
        <w:r w:rsidR="00CD4059">
          <w:rPr>
            <w:webHidden/>
          </w:rPr>
          <w:tab/>
        </w:r>
        <w:r w:rsidR="00CD4059">
          <w:rPr>
            <w:webHidden/>
          </w:rPr>
          <w:fldChar w:fldCharType="begin"/>
        </w:r>
        <w:r w:rsidR="00CD4059">
          <w:rPr>
            <w:webHidden/>
          </w:rPr>
          <w:instrText xml:space="preserve"> PAGEREF _Toc105512762 \h </w:instrText>
        </w:r>
        <w:r w:rsidR="00CD4059">
          <w:rPr>
            <w:webHidden/>
          </w:rPr>
        </w:r>
        <w:r w:rsidR="00CD4059">
          <w:rPr>
            <w:webHidden/>
          </w:rPr>
          <w:fldChar w:fldCharType="separate"/>
        </w:r>
        <w:r w:rsidR="001F774D">
          <w:rPr>
            <w:webHidden/>
          </w:rPr>
          <w:t>63</w:t>
        </w:r>
        <w:r w:rsidR="00CD4059">
          <w:rPr>
            <w:webHidden/>
          </w:rPr>
          <w:fldChar w:fldCharType="end"/>
        </w:r>
      </w:hyperlink>
    </w:p>
    <w:p w14:paraId="1748E9B8" w14:textId="7F72299C" w:rsidR="00CD4059" w:rsidRDefault="009C595A">
      <w:pPr>
        <w:pStyle w:val="Spisilustracji"/>
        <w:rPr>
          <w:rFonts w:asciiTheme="minorHAnsi" w:eastAsiaTheme="minorEastAsia" w:hAnsiTheme="minorHAnsi" w:cstheme="minorBidi"/>
          <w:sz w:val="22"/>
          <w:lang w:eastAsia="pl-PL"/>
        </w:rPr>
      </w:pPr>
      <w:hyperlink w:anchor="_Toc105512763" w:history="1">
        <w:r w:rsidR="00CD4059" w:rsidRPr="00BF773F">
          <w:rPr>
            <w:rStyle w:val="Hipercze"/>
            <w:bCs/>
          </w:rPr>
          <w:t>Tabela 4</w:t>
        </w:r>
        <w:r w:rsidR="00CD4059" w:rsidRPr="00BF773F">
          <w:rPr>
            <w:rStyle w:val="Hipercze"/>
            <w:bCs/>
          </w:rPr>
          <w:noBreakHyphen/>
          <w:t>4.</w:t>
        </w:r>
        <w:r w:rsidR="00CD4059">
          <w:rPr>
            <w:rFonts w:asciiTheme="minorHAnsi" w:eastAsiaTheme="minorEastAsia" w:hAnsiTheme="minorHAnsi" w:cstheme="minorBidi"/>
            <w:sz w:val="22"/>
            <w:lang w:eastAsia="pl-PL"/>
          </w:rPr>
          <w:tab/>
        </w:r>
        <w:r w:rsidR="00CD4059" w:rsidRPr="00BF773F">
          <w:rPr>
            <w:rStyle w:val="Hipercze"/>
          </w:rPr>
          <w:t>Charakterystyka klimatyczna – obszar dorzecza Odry – region wodny Warty</w:t>
        </w:r>
        <w:r w:rsidR="00CD4059">
          <w:rPr>
            <w:webHidden/>
          </w:rPr>
          <w:tab/>
        </w:r>
        <w:r w:rsidR="00CD4059">
          <w:rPr>
            <w:webHidden/>
          </w:rPr>
          <w:fldChar w:fldCharType="begin"/>
        </w:r>
        <w:r w:rsidR="00CD4059">
          <w:rPr>
            <w:webHidden/>
          </w:rPr>
          <w:instrText xml:space="preserve"> PAGEREF _Toc105512763 \h </w:instrText>
        </w:r>
        <w:r w:rsidR="00CD4059">
          <w:rPr>
            <w:webHidden/>
          </w:rPr>
        </w:r>
        <w:r w:rsidR="00CD4059">
          <w:rPr>
            <w:webHidden/>
          </w:rPr>
          <w:fldChar w:fldCharType="separate"/>
        </w:r>
        <w:r w:rsidR="001F774D">
          <w:rPr>
            <w:webHidden/>
          </w:rPr>
          <w:t>66</w:t>
        </w:r>
        <w:r w:rsidR="00CD4059">
          <w:rPr>
            <w:webHidden/>
          </w:rPr>
          <w:fldChar w:fldCharType="end"/>
        </w:r>
      </w:hyperlink>
    </w:p>
    <w:p w14:paraId="633AE925" w14:textId="74A01F75" w:rsidR="00CD4059" w:rsidRDefault="009C595A">
      <w:pPr>
        <w:pStyle w:val="Spisilustracji"/>
        <w:rPr>
          <w:rFonts w:asciiTheme="minorHAnsi" w:eastAsiaTheme="minorEastAsia" w:hAnsiTheme="minorHAnsi" w:cstheme="minorBidi"/>
          <w:sz w:val="22"/>
          <w:lang w:eastAsia="pl-PL"/>
        </w:rPr>
      </w:pPr>
      <w:hyperlink w:anchor="_Toc105512764" w:history="1">
        <w:r w:rsidR="00CD4059" w:rsidRPr="00BF773F">
          <w:rPr>
            <w:rStyle w:val="Hipercze"/>
            <w:bCs/>
          </w:rPr>
          <w:t>Tabela 4</w:t>
        </w:r>
        <w:r w:rsidR="00CD4059" w:rsidRPr="00BF773F">
          <w:rPr>
            <w:rStyle w:val="Hipercze"/>
            <w:bCs/>
          </w:rPr>
          <w:noBreakHyphen/>
          <w:t>5.</w:t>
        </w:r>
        <w:r w:rsidR="00CD4059">
          <w:rPr>
            <w:rFonts w:asciiTheme="minorHAnsi" w:eastAsiaTheme="minorEastAsia" w:hAnsiTheme="minorHAnsi" w:cstheme="minorBidi"/>
            <w:sz w:val="22"/>
            <w:lang w:eastAsia="pl-PL"/>
          </w:rPr>
          <w:tab/>
        </w:r>
        <w:r w:rsidR="00CD4059" w:rsidRPr="00BF773F">
          <w:rPr>
            <w:rStyle w:val="Hipercze"/>
          </w:rPr>
          <w:t>Charakterystyka klimatyczna – obszar dorzecza Odry – region wodny Noteci</w:t>
        </w:r>
        <w:r w:rsidR="00CD4059">
          <w:rPr>
            <w:webHidden/>
          </w:rPr>
          <w:tab/>
        </w:r>
        <w:r w:rsidR="00CD4059">
          <w:rPr>
            <w:webHidden/>
          </w:rPr>
          <w:fldChar w:fldCharType="begin"/>
        </w:r>
        <w:r w:rsidR="00CD4059">
          <w:rPr>
            <w:webHidden/>
          </w:rPr>
          <w:instrText xml:space="preserve"> PAGEREF _Toc105512764 \h </w:instrText>
        </w:r>
        <w:r w:rsidR="00CD4059">
          <w:rPr>
            <w:webHidden/>
          </w:rPr>
        </w:r>
        <w:r w:rsidR="00CD4059">
          <w:rPr>
            <w:webHidden/>
          </w:rPr>
          <w:fldChar w:fldCharType="separate"/>
        </w:r>
        <w:r w:rsidR="001F774D">
          <w:rPr>
            <w:webHidden/>
          </w:rPr>
          <w:t>68</w:t>
        </w:r>
        <w:r w:rsidR="00CD4059">
          <w:rPr>
            <w:webHidden/>
          </w:rPr>
          <w:fldChar w:fldCharType="end"/>
        </w:r>
      </w:hyperlink>
    </w:p>
    <w:p w14:paraId="660F1E36" w14:textId="65A905B7" w:rsidR="00CD4059" w:rsidRDefault="009C595A">
      <w:pPr>
        <w:pStyle w:val="Spisilustracji"/>
        <w:rPr>
          <w:rFonts w:asciiTheme="minorHAnsi" w:eastAsiaTheme="minorEastAsia" w:hAnsiTheme="minorHAnsi" w:cstheme="minorBidi"/>
          <w:sz w:val="22"/>
          <w:lang w:eastAsia="pl-PL"/>
        </w:rPr>
      </w:pPr>
      <w:hyperlink w:anchor="_Toc105512765" w:history="1">
        <w:r w:rsidR="00CD4059" w:rsidRPr="00BF773F">
          <w:rPr>
            <w:rStyle w:val="Hipercze"/>
          </w:rPr>
          <w:t>Tabela 5</w:t>
        </w:r>
        <w:r w:rsidR="00CD4059" w:rsidRPr="00BF773F">
          <w:rPr>
            <w:rStyle w:val="Hipercze"/>
          </w:rPr>
          <w:noBreakHyphen/>
          <w:t>1.</w:t>
        </w:r>
        <w:r w:rsidR="00CD4059">
          <w:rPr>
            <w:rFonts w:asciiTheme="minorHAnsi" w:eastAsiaTheme="minorEastAsia" w:hAnsiTheme="minorHAnsi" w:cstheme="minorBidi"/>
            <w:sz w:val="22"/>
            <w:lang w:eastAsia="pl-PL"/>
          </w:rPr>
          <w:tab/>
        </w:r>
        <w:r w:rsidR="00CD4059" w:rsidRPr="00BF773F">
          <w:rPr>
            <w:rStyle w:val="Hipercze"/>
          </w:rPr>
          <w:t>Kryteria wyboru JCWP do monitorowania w ramach monitoringu diagnostycznego</w:t>
        </w:r>
        <w:r w:rsidR="00CD4059">
          <w:rPr>
            <w:webHidden/>
          </w:rPr>
          <w:tab/>
        </w:r>
        <w:r w:rsidR="00CD4059">
          <w:rPr>
            <w:webHidden/>
          </w:rPr>
          <w:fldChar w:fldCharType="begin"/>
        </w:r>
        <w:r w:rsidR="00CD4059">
          <w:rPr>
            <w:webHidden/>
          </w:rPr>
          <w:instrText xml:space="preserve"> PAGEREF _Toc105512765 \h </w:instrText>
        </w:r>
        <w:r w:rsidR="00CD4059">
          <w:rPr>
            <w:webHidden/>
          </w:rPr>
        </w:r>
        <w:r w:rsidR="00CD4059">
          <w:rPr>
            <w:webHidden/>
          </w:rPr>
          <w:fldChar w:fldCharType="separate"/>
        </w:r>
        <w:r w:rsidR="001F774D">
          <w:rPr>
            <w:webHidden/>
          </w:rPr>
          <w:t>74</w:t>
        </w:r>
        <w:r w:rsidR="00CD4059">
          <w:rPr>
            <w:webHidden/>
          </w:rPr>
          <w:fldChar w:fldCharType="end"/>
        </w:r>
      </w:hyperlink>
    </w:p>
    <w:p w14:paraId="6D06DB6D" w14:textId="7651C60C" w:rsidR="00CD4059" w:rsidRDefault="009C595A">
      <w:pPr>
        <w:pStyle w:val="Spisilustracji"/>
        <w:rPr>
          <w:rFonts w:asciiTheme="minorHAnsi" w:eastAsiaTheme="minorEastAsia" w:hAnsiTheme="minorHAnsi" w:cstheme="minorBidi"/>
          <w:sz w:val="22"/>
          <w:lang w:eastAsia="pl-PL"/>
        </w:rPr>
      </w:pPr>
      <w:hyperlink w:anchor="_Toc105512766" w:history="1">
        <w:r w:rsidR="00CD4059" w:rsidRPr="00BF773F">
          <w:rPr>
            <w:rStyle w:val="Hipercze"/>
          </w:rPr>
          <w:t>Tabela 5</w:t>
        </w:r>
        <w:r w:rsidR="00CD4059" w:rsidRPr="00BF773F">
          <w:rPr>
            <w:rStyle w:val="Hipercze"/>
          </w:rPr>
          <w:noBreakHyphen/>
          <w:t>2.</w:t>
        </w:r>
        <w:r w:rsidR="00CD4059">
          <w:rPr>
            <w:rFonts w:asciiTheme="minorHAnsi" w:eastAsiaTheme="minorEastAsia" w:hAnsiTheme="minorHAnsi" w:cstheme="minorBidi"/>
            <w:sz w:val="22"/>
            <w:lang w:eastAsia="pl-PL"/>
          </w:rPr>
          <w:tab/>
        </w:r>
        <w:r w:rsidR="00CD4059" w:rsidRPr="00BF773F">
          <w:rPr>
            <w:rStyle w:val="Hipercze"/>
          </w:rPr>
          <w:t>Kryteria wyboru JCWP do monitorowania w ramach monitoringu operacyjnego</w:t>
        </w:r>
        <w:r w:rsidR="00CD4059">
          <w:rPr>
            <w:webHidden/>
          </w:rPr>
          <w:tab/>
        </w:r>
        <w:r w:rsidR="00CD4059">
          <w:rPr>
            <w:webHidden/>
          </w:rPr>
          <w:fldChar w:fldCharType="begin"/>
        </w:r>
        <w:r w:rsidR="00CD4059">
          <w:rPr>
            <w:webHidden/>
          </w:rPr>
          <w:instrText xml:space="preserve"> PAGEREF _Toc105512766 \h </w:instrText>
        </w:r>
        <w:r w:rsidR="00CD4059">
          <w:rPr>
            <w:webHidden/>
          </w:rPr>
        </w:r>
        <w:r w:rsidR="00CD4059">
          <w:rPr>
            <w:webHidden/>
          </w:rPr>
          <w:fldChar w:fldCharType="separate"/>
        </w:r>
        <w:r w:rsidR="001F774D">
          <w:rPr>
            <w:webHidden/>
          </w:rPr>
          <w:t>75</w:t>
        </w:r>
        <w:r w:rsidR="00CD4059">
          <w:rPr>
            <w:webHidden/>
          </w:rPr>
          <w:fldChar w:fldCharType="end"/>
        </w:r>
      </w:hyperlink>
    </w:p>
    <w:p w14:paraId="3B1CCE52" w14:textId="03231580" w:rsidR="00CD4059" w:rsidRDefault="009C595A">
      <w:pPr>
        <w:pStyle w:val="Spisilustracji"/>
        <w:rPr>
          <w:rFonts w:asciiTheme="minorHAnsi" w:eastAsiaTheme="minorEastAsia" w:hAnsiTheme="minorHAnsi" w:cstheme="minorBidi"/>
          <w:sz w:val="22"/>
          <w:lang w:eastAsia="pl-PL"/>
        </w:rPr>
      </w:pPr>
      <w:hyperlink w:anchor="_Toc105512767" w:history="1">
        <w:r w:rsidR="00CD4059" w:rsidRPr="00BF773F">
          <w:rPr>
            <w:rStyle w:val="Hipercze"/>
          </w:rPr>
          <w:t>Tabela 5</w:t>
        </w:r>
        <w:r w:rsidR="00CD4059" w:rsidRPr="00BF773F">
          <w:rPr>
            <w:rStyle w:val="Hipercze"/>
          </w:rPr>
          <w:noBreakHyphen/>
          <w:t>3.</w:t>
        </w:r>
        <w:r w:rsidR="00CD4059">
          <w:rPr>
            <w:rFonts w:asciiTheme="minorHAnsi" w:eastAsiaTheme="minorEastAsia" w:hAnsiTheme="minorHAnsi" w:cstheme="minorBidi"/>
            <w:sz w:val="22"/>
            <w:lang w:eastAsia="pl-PL"/>
          </w:rPr>
          <w:tab/>
        </w:r>
        <w:r w:rsidR="00CD4059" w:rsidRPr="00BF773F">
          <w:rPr>
            <w:rStyle w:val="Hipercze"/>
          </w:rPr>
          <w:t>Kryteria wyboru JCWP do monitorowania w ramach monitoringu obszarów chronionych</w:t>
        </w:r>
        <w:r w:rsidR="00CD4059">
          <w:rPr>
            <w:webHidden/>
          </w:rPr>
          <w:tab/>
        </w:r>
        <w:r w:rsidR="00CD4059">
          <w:rPr>
            <w:webHidden/>
          </w:rPr>
          <w:fldChar w:fldCharType="begin"/>
        </w:r>
        <w:r w:rsidR="00CD4059">
          <w:rPr>
            <w:webHidden/>
          </w:rPr>
          <w:instrText xml:space="preserve"> PAGEREF _Toc105512767 \h </w:instrText>
        </w:r>
        <w:r w:rsidR="00CD4059">
          <w:rPr>
            <w:webHidden/>
          </w:rPr>
        </w:r>
        <w:r w:rsidR="00CD4059">
          <w:rPr>
            <w:webHidden/>
          </w:rPr>
          <w:fldChar w:fldCharType="separate"/>
        </w:r>
        <w:r w:rsidR="001F774D">
          <w:rPr>
            <w:webHidden/>
          </w:rPr>
          <w:t>76</w:t>
        </w:r>
        <w:r w:rsidR="00CD4059">
          <w:rPr>
            <w:webHidden/>
          </w:rPr>
          <w:fldChar w:fldCharType="end"/>
        </w:r>
      </w:hyperlink>
    </w:p>
    <w:p w14:paraId="5B240504" w14:textId="60579359" w:rsidR="00CD4059" w:rsidRDefault="009C595A">
      <w:pPr>
        <w:pStyle w:val="Spisilustracji"/>
        <w:rPr>
          <w:rFonts w:asciiTheme="minorHAnsi" w:eastAsiaTheme="minorEastAsia" w:hAnsiTheme="minorHAnsi" w:cstheme="minorBidi"/>
          <w:sz w:val="22"/>
          <w:lang w:eastAsia="pl-PL"/>
        </w:rPr>
      </w:pPr>
      <w:hyperlink w:anchor="_Toc105512768" w:history="1">
        <w:r w:rsidR="00CD4059" w:rsidRPr="00BF773F">
          <w:rPr>
            <w:rStyle w:val="Hipercze"/>
          </w:rPr>
          <w:t>Tabela 5</w:t>
        </w:r>
        <w:r w:rsidR="00CD4059" w:rsidRPr="00BF773F">
          <w:rPr>
            <w:rStyle w:val="Hipercze"/>
          </w:rPr>
          <w:noBreakHyphen/>
          <w:t>4.</w:t>
        </w:r>
        <w:r w:rsidR="00CD4059">
          <w:rPr>
            <w:rFonts w:asciiTheme="minorHAnsi" w:eastAsiaTheme="minorEastAsia" w:hAnsiTheme="minorHAnsi" w:cstheme="minorBidi"/>
            <w:sz w:val="22"/>
            <w:lang w:eastAsia="pl-PL"/>
          </w:rPr>
          <w:tab/>
        </w:r>
        <w:r w:rsidR="00CD4059" w:rsidRPr="00BF773F">
          <w:rPr>
            <w:rStyle w:val="Hipercze"/>
          </w:rPr>
          <w:t>Liczba JCWP RW i RWr planowanych do monitoringu w stosunku do całkowitej liczby JCWP na obszarze dorzecza Odry (porównanie cyklów planistycznych 2016–2021 i 2022–2027)</w:t>
        </w:r>
        <w:r w:rsidR="00CD4059">
          <w:rPr>
            <w:webHidden/>
          </w:rPr>
          <w:tab/>
        </w:r>
        <w:r w:rsidR="00CD4059">
          <w:rPr>
            <w:webHidden/>
          </w:rPr>
          <w:fldChar w:fldCharType="begin"/>
        </w:r>
        <w:r w:rsidR="00CD4059">
          <w:rPr>
            <w:webHidden/>
          </w:rPr>
          <w:instrText xml:space="preserve"> PAGEREF _Toc105512768 \h </w:instrText>
        </w:r>
        <w:r w:rsidR="00CD4059">
          <w:rPr>
            <w:webHidden/>
          </w:rPr>
        </w:r>
        <w:r w:rsidR="00CD4059">
          <w:rPr>
            <w:webHidden/>
          </w:rPr>
          <w:fldChar w:fldCharType="separate"/>
        </w:r>
        <w:r w:rsidR="001F774D">
          <w:rPr>
            <w:webHidden/>
          </w:rPr>
          <w:t>78</w:t>
        </w:r>
        <w:r w:rsidR="00CD4059">
          <w:rPr>
            <w:webHidden/>
          </w:rPr>
          <w:fldChar w:fldCharType="end"/>
        </w:r>
      </w:hyperlink>
    </w:p>
    <w:p w14:paraId="0FE15381" w14:textId="454E19D9" w:rsidR="00CD4059" w:rsidRDefault="009C595A">
      <w:pPr>
        <w:pStyle w:val="Spisilustracji"/>
        <w:rPr>
          <w:rFonts w:asciiTheme="minorHAnsi" w:eastAsiaTheme="minorEastAsia" w:hAnsiTheme="minorHAnsi" w:cstheme="minorBidi"/>
          <w:sz w:val="22"/>
          <w:lang w:eastAsia="pl-PL"/>
        </w:rPr>
      </w:pPr>
      <w:hyperlink w:anchor="_Toc105512769" w:history="1">
        <w:r w:rsidR="00CD4059" w:rsidRPr="00BF773F">
          <w:rPr>
            <w:rStyle w:val="Hipercze"/>
          </w:rPr>
          <w:t>Tabela 5</w:t>
        </w:r>
        <w:r w:rsidR="00CD4059" w:rsidRPr="00BF773F">
          <w:rPr>
            <w:rStyle w:val="Hipercze"/>
          </w:rPr>
          <w:noBreakHyphen/>
          <w:t>5.</w:t>
        </w:r>
        <w:r w:rsidR="00CD4059">
          <w:rPr>
            <w:rFonts w:asciiTheme="minorHAnsi" w:eastAsiaTheme="minorEastAsia" w:hAnsiTheme="minorHAnsi" w:cstheme="minorBidi"/>
            <w:sz w:val="22"/>
            <w:lang w:eastAsia="pl-PL"/>
          </w:rPr>
          <w:tab/>
        </w:r>
        <w:r w:rsidR="00CD4059" w:rsidRPr="00BF773F">
          <w:rPr>
            <w:rStyle w:val="Hipercze"/>
          </w:rPr>
          <w:t>Liczba JCWP RW i RWr planowanych do MD, MO i/lub MB w latach 2022–2027 w stosunku do całkowitej liczby JCWP danych kategorii w podziale na regiony wodne</w:t>
        </w:r>
        <w:r w:rsidR="00CD4059">
          <w:rPr>
            <w:webHidden/>
          </w:rPr>
          <w:tab/>
        </w:r>
        <w:r w:rsidR="00CD4059">
          <w:rPr>
            <w:webHidden/>
          </w:rPr>
          <w:fldChar w:fldCharType="begin"/>
        </w:r>
        <w:r w:rsidR="00CD4059">
          <w:rPr>
            <w:webHidden/>
          </w:rPr>
          <w:instrText xml:space="preserve"> PAGEREF _Toc105512769 \h </w:instrText>
        </w:r>
        <w:r w:rsidR="00CD4059">
          <w:rPr>
            <w:webHidden/>
          </w:rPr>
        </w:r>
        <w:r w:rsidR="00CD4059">
          <w:rPr>
            <w:webHidden/>
          </w:rPr>
          <w:fldChar w:fldCharType="separate"/>
        </w:r>
        <w:r w:rsidR="001F774D">
          <w:rPr>
            <w:webHidden/>
          </w:rPr>
          <w:t>79</w:t>
        </w:r>
        <w:r w:rsidR="00CD4059">
          <w:rPr>
            <w:webHidden/>
          </w:rPr>
          <w:fldChar w:fldCharType="end"/>
        </w:r>
      </w:hyperlink>
    </w:p>
    <w:p w14:paraId="524D48AA" w14:textId="52B28575" w:rsidR="00CD4059" w:rsidRDefault="009C595A">
      <w:pPr>
        <w:pStyle w:val="Spisilustracji"/>
        <w:rPr>
          <w:rFonts w:asciiTheme="minorHAnsi" w:eastAsiaTheme="minorEastAsia" w:hAnsiTheme="minorHAnsi" w:cstheme="minorBidi"/>
          <w:sz w:val="22"/>
          <w:lang w:eastAsia="pl-PL"/>
        </w:rPr>
      </w:pPr>
      <w:hyperlink w:anchor="_Toc105512770" w:history="1">
        <w:r w:rsidR="00CD4059" w:rsidRPr="00BF773F">
          <w:rPr>
            <w:rStyle w:val="Hipercze"/>
          </w:rPr>
          <w:t>Tabela 5</w:t>
        </w:r>
        <w:r w:rsidR="00CD4059" w:rsidRPr="00BF773F">
          <w:rPr>
            <w:rStyle w:val="Hipercze"/>
          </w:rPr>
          <w:noBreakHyphen/>
          <w:t>6.</w:t>
        </w:r>
        <w:r w:rsidR="00CD4059">
          <w:rPr>
            <w:rFonts w:asciiTheme="minorHAnsi" w:eastAsiaTheme="minorEastAsia" w:hAnsiTheme="minorHAnsi" w:cstheme="minorBidi"/>
            <w:sz w:val="22"/>
            <w:lang w:eastAsia="pl-PL"/>
          </w:rPr>
          <w:tab/>
        </w:r>
        <w:r w:rsidR="00CD4059" w:rsidRPr="00BF773F">
          <w:rPr>
            <w:rStyle w:val="Hipercze"/>
          </w:rPr>
          <w:t>Liczba JCWP LW planowanych do monitoringu w stosunku do całkowitej liczby JCWP na obszarze dorzecza Odry (porównanie cyklów planistycznych 2016–2021 i 2022–2027)</w:t>
        </w:r>
        <w:r w:rsidR="00CD4059">
          <w:rPr>
            <w:webHidden/>
          </w:rPr>
          <w:tab/>
        </w:r>
        <w:r w:rsidR="00CD4059">
          <w:rPr>
            <w:webHidden/>
          </w:rPr>
          <w:fldChar w:fldCharType="begin"/>
        </w:r>
        <w:r w:rsidR="00CD4059">
          <w:rPr>
            <w:webHidden/>
          </w:rPr>
          <w:instrText xml:space="preserve"> PAGEREF _Toc105512770 \h </w:instrText>
        </w:r>
        <w:r w:rsidR="00CD4059">
          <w:rPr>
            <w:webHidden/>
          </w:rPr>
        </w:r>
        <w:r w:rsidR="00CD4059">
          <w:rPr>
            <w:webHidden/>
          </w:rPr>
          <w:fldChar w:fldCharType="separate"/>
        </w:r>
        <w:r w:rsidR="001F774D">
          <w:rPr>
            <w:webHidden/>
          </w:rPr>
          <w:t>80</w:t>
        </w:r>
        <w:r w:rsidR="00CD4059">
          <w:rPr>
            <w:webHidden/>
          </w:rPr>
          <w:fldChar w:fldCharType="end"/>
        </w:r>
      </w:hyperlink>
    </w:p>
    <w:p w14:paraId="79E98290" w14:textId="3B67F175" w:rsidR="00CD4059" w:rsidRDefault="009C595A">
      <w:pPr>
        <w:pStyle w:val="Spisilustracji"/>
        <w:rPr>
          <w:rFonts w:asciiTheme="minorHAnsi" w:eastAsiaTheme="minorEastAsia" w:hAnsiTheme="minorHAnsi" w:cstheme="minorBidi"/>
          <w:sz w:val="22"/>
          <w:lang w:eastAsia="pl-PL"/>
        </w:rPr>
      </w:pPr>
      <w:hyperlink w:anchor="_Toc105512771" w:history="1">
        <w:r w:rsidR="00CD4059" w:rsidRPr="00BF773F">
          <w:rPr>
            <w:rStyle w:val="Hipercze"/>
          </w:rPr>
          <w:t>Tabela 5</w:t>
        </w:r>
        <w:r w:rsidR="00CD4059" w:rsidRPr="00BF773F">
          <w:rPr>
            <w:rStyle w:val="Hipercze"/>
          </w:rPr>
          <w:noBreakHyphen/>
          <w:t>7.</w:t>
        </w:r>
        <w:r w:rsidR="00CD4059">
          <w:rPr>
            <w:rFonts w:asciiTheme="minorHAnsi" w:eastAsiaTheme="minorEastAsia" w:hAnsiTheme="minorHAnsi" w:cstheme="minorBidi"/>
            <w:sz w:val="22"/>
            <w:lang w:eastAsia="pl-PL"/>
          </w:rPr>
          <w:tab/>
        </w:r>
        <w:r w:rsidR="00CD4059" w:rsidRPr="00BF773F">
          <w:rPr>
            <w:rStyle w:val="Hipercze"/>
          </w:rPr>
          <w:t>Liczba JCWP LW planowanych do MD, MO i/lub MB w latach 2022–2027 w stosunku do całkowitej liczby JCWP danych kategorii w podziale na regiony wodne</w:t>
        </w:r>
        <w:r w:rsidR="00CD4059">
          <w:rPr>
            <w:webHidden/>
          </w:rPr>
          <w:tab/>
        </w:r>
        <w:r w:rsidR="00CD4059">
          <w:rPr>
            <w:webHidden/>
          </w:rPr>
          <w:fldChar w:fldCharType="begin"/>
        </w:r>
        <w:r w:rsidR="00CD4059">
          <w:rPr>
            <w:webHidden/>
          </w:rPr>
          <w:instrText xml:space="preserve"> PAGEREF _Toc105512771 \h </w:instrText>
        </w:r>
        <w:r w:rsidR="00CD4059">
          <w:rPr>
            <w:webHidden/>
          </w:rPr>
        </w:r>
        <w:r w:rsidR="00CD4059">
          <w:rPr>
            <w:webHidden/>
          </w:rPr>
          <w:fldChar w:fldCharType="separate"/>
        </w:r>
        <w:r w:rsidR="001F774D">
          <w:rPr>
            <w:webHidden/>
          </w:rPr>
          <w:t>81</w:t>
        </w:r>
        <w:r w:rsidR="00CD4059">
          <w:rPr>
            <w:webHidden/>
          </w:rPr>
          <w:fldChar w:fldCharType="end"/>
        </w:r>
      </w:hyperlink>
    </w:p>
    <w:p w14:paraId="0E42C23B" w14:textId="01ED9AEF" w:rsidR="00CD4059" w:rsidRDefault="009C595A">
      <w:pPr>
        <w:pStyle w:val="Spisilustracji"/>
        <w:rPr>
          <w:rFonts w:asciiTheme="minorHAnsi" w:eastAsiaTheme="minorEastAsia" w:hAnsiTheme="minorHAnsi" w:cstheme="minorBidi"/>
          <w:sz w:val="22"/>
          <w:lang w:eastAsia="pl-PL"/>
        </w:rPr>
      </w:pPr>
      <w:hyperlink w:anchor="_Toc105512772" w:history="1">
        <w:r w:rsidR="00CD4059" w:rsidRPr="00BF773F">
          <w:rPr>
            <w:rStyle w:val="Hipercze"/>
          </w:rPr>
          <w:t>Tabela 5</w:t>
        </w:r>
        <w:r w:rsidR="00CD4059" w:rsidRPr="00BF773F">
          <w:rPr>
            <w:rStyle w:val="Hipercze"/>
          </w:rPr>
          <w:noBreakHyphen/>
          <w:t>8.</w:t>
        </w:r>
        <w:r w:rsidR="00CD4059">
          <w:rPr>
            <w:rFonts w:asciiTheme="minorHAnsi" w:eastAsiaTheme="minorEastAsia" w:hAnsiTheme="minorHAnsi" w:cstheme="minorBidi"/>
            <w:sz w:val="22"/>
            <w:lang w:eastAsia="pl-PL"/>
          </w:rPr>
          <w:tab/>
        </w:r>
        <w:r w:rsidR="00CD4059" w:rsidRPr="00BF773F">
          <w:rPr>
            <w:rStyle w:val="Hipercze"/>
          </w:rPr>
          <w:t>Liczba JCWP TW i CW planowanych do monitoringu w stosunku do całkowitej liczby JCWP na obszarze dorzecza Odry (porównanie cyklów planistycznych 2016–2021 i 2022–2027)</w:t>
        </w:r>
        <w:r w:rsidR="00CD4059">
          <w:rPr>
            <w:webHidden/>
          </w:rPr>
          <w:tab/>
        </w:r>
        <w:r w:rsidR="00CD4059">
          <w:rPr>
            <w:webHidden/>
          </w:rPr>
          <w:fldChar w:fldCharType="begin"/>
        </w:r>
        <w:r w:rsidR="00CD4059">
          <w:rPr>
            <w:webHidden/>
          </w:rPr>
          <w:instrText xml:space="preserve"> PAGEREF _Toc105512772 \h </w:instrText>
        </w:r>
        <w:r w:rsidR="00CD4059">
          <w:rPr>
            <w:webHidden/>
          </w:rPr>
        </w:r>
        <w:r w:rsidR="00CD4059">
          <w:rPr>
            <w:webHidden/>
          </w:rPr>
          <w:fldChar w:fldCharType="separate"/>
        </w:r>
        <w:r w:rsidR="001F774D">
          <w:rPr>
            <w:webHidden/>
          </w:rPr>
          <w:t>82</w:t>
        </w:r>
        <w:r w:rsidR="00CD4059">
          <w:rPr>
            <w:webHidden/>
          </w:rPr>
          <w:fldChar w:fldCharType="end"/>
        </w:r>
      </w:hyperlink>
    </w:p>
    <w:p w14:paraId="322204E9" w14:textId="2CE438B8" w:rsidR="00CD4059" w:rsidRDefault="009C595A">
      <w:pPr>
        <w:pStyle w:val="Spisilustracji"/>
        <w:rPr>
          <w:rFonts w:asciiTheme="minorHAnsi" w:eastAsiaTheme="minorEastAsia" w:hAnsiTheme="minorHAnsi" w:cstheme="minorBidi"/>
          <w:sz w:val="22"/>
          <w:lang w:eastAsia="pl-PL"/>
        </w:rPr>
      </w:pPr>
      <w:hyperlink w:anchor="_Toc105512773" w:history="1">
        <w:r w:rsidR="00CD4059" w:rsidRPr="00BF773F">
          <w:rPr>
            <w:rStyle w:val="Hipercze"/>
          </w:rPr>
          <w:t>Tabela 5</w:t>
        </w:r>
        <w:r w:rsidR="00CD4059" w:rsidRPr="00BF773F">
          <w:rPr>
            <w:rStyle w:val="Hipercze"/>
          </w:rPr>
          <w:noBreakHyphen/>
          <w:t>9.</w:t>
        </w:r>
        <w:r w:rsidR="00CD4059">
          <w:rPr>
            <w:rFonts w:asciiTheme="minorHAnsi" w:eastAsiaTheme="minorEastAsia" w:hAnsiTheme="minorHAnsi" w:cstheme="minorBidi"/>
            <w:sz w:val="22"/>
            <w:lang w:eastAsia="pl-PL"/>
          </w:rPr>
          <w:tab/>
        </w:r>
        <w:r w:rsidR="00CD4059" w:rsidRPr="00BF773F">
          <w:rPr>
            <w:rStyle w:val="Hipercze"/>
          </w:rPr>
          <w:t>Klasyfikacja stanu ekologicznego JCWP</w:t>
        </w:r>
        <w:r w:rsidR="00CD4059">
          <w:rPr>
            <w:webHidden/>
          </w:rPr>
          <w:tab/>
        </w:r>
        <w:r w:rsidR="00CD4059">
          <w:rPr>
            <w:webHidden/>
          </w:rPr>
          <w:fldChar w:fldCharType="begin"/>
        </w:r>
        <w:r w:rsidR="00CD4059">
          <w:rPr>
            <w:webHidden/>
          </w:rPr>
          <w:instrText xml:space="preserve"> PAGEREF _Toc105512773 \h </w:instrText>
        </w:r>
        <w:r w:rsidR="00CD4059">
          <w:rPr>
            <w:webHidden/>
          </w:rPr>
        </w:r>
        <w:r w:rsidR="00CD4059">
          <w:rPr>
            <w:webHidden/>
          </w:rPr>
          <w:fldChar w:fldCharType="separate"/>
        </w:r>
        <w:r w:rsidR="001F774D">
          <w:rPr>
            <w:webHidden/>
          </w:rPr>
          <w:t>85</w:t>
        </w:r>
        <w:r w:rsidR="00CD4059">
          <w:rPr>
            <w:webHidden/>
          </w:rPr>
          <w:fldChar w:fldCharType="end"/>
        </w:r>
      </w:hyperlink>
    </w:p>
    <w:p w14:paraId="5E233051" w14:textId="7B667342" w:rsidR="00CD4059" w:rsidRDefault="009C595A">
      <w:pPr>
        <w:pStyle w:val="Spisilustracji"/>
        <w:rPr>
          <w:rFonts w:asciiTheme="minorHAnsi" w:eastAsiaTheme="minorEastAsia" w:hAnsiTheme="minorHAnsi" w:cstheme="minorBidi"/>
          <w:sz w:val="22"/>
          <w:lang w:eastAsia="pl-PL"/>
        </w:rPr>
      </w:pPr>
      <w:hyperlink w:anchor="_Toc105512774" w:history="1">
        <w:r w:rsidR="00CD4059" w:rsidRPr="00BF773F">
          <w:rPr>
            <w:rStyle w:val="Hipercze"/>
          </w:rPr>
          <w:t>Tabela 5</w:t>
        </w:r>
        <w:r w:rsidR="00CD4059" w:rsidRPr="00BF773F">
          <w:rPr>
            <w:rStyle w:val="Hipercze"/>
          </w:rPr>
          <w:noBreakHyphen/>
          <w:t>10.</w:t>
        </w:r>
        <w:r w:rsidR="00CD4059">
          <w:rPr>
            <w:rFonts w:asciiTheme="minorHAnsi" w:eastAsiaTheme="minorEastAsia" w:hAnsiTheme="minorHAnsi" w:cstheme="minorBidi"/>
            <w:sz w:val="22"/>
            <w:lang w:eastAsia="pl-PL"/>
          </w:rPr>
          <w:tab/>
        </w:r>
        <w:r w:rsidR="00CD4059" w:rsidRPr="00BF773F">
          <w:rPr>
            <w:rStyle w:val="Hipercze"/>
          </w:rPr>
          <w:t>Klasyfikacja potencjału ekologicznego JCWP</w:t>
        </w:r>
        <w:r w:rsidR="00CD4059">
          <w:rPr>
            <w:webHidden/>
          </w:rPr>
          <w:tab/>
        </w:r>
        <w:r w:rsidR="00CD4059">
          <w:rPr>
            <w:webHidden/>
          </w:rPr>
          <w:fldChar w:fldCharType="begin"/>
        </w:r>
        <w:r w:rsidR="00CD4059">
          <w:rPr>
            <w:webHidden/>
          </w:rPr>
          <w:instrText xml:space="preserve"> PAGEREF _Toc105512774 \h </w:instrText>
        </w:r>
        <w:r w:rsidR="00CD4059">
          <w:rPr>
            <w:webHidden/>
          </w:rPr>
        </w:r>
        <w:r w:rsidR="00CD4059">
          <w:rPr>
            <w:webHidden/>
          </w:rPr>
          <w:fldChar w:fldCharType="separate"/>
        </w:r>
        <w:r w:rsidR="001F774D">
          <w:rPr>
            <w:webHidden/>
          </w:rPr>
          <w:t>86</w:t>
        </w:r>
        <w:r w:rsidR="00CD4059">
          <w:rPr>
            <w:webHidden/>
          </w:rPr>
          <w:fldChar w:fldCharType="end"/>
        </w:r>
      </w:hyperlink>
    </w:p>
    <w:p w14:paraId="07016CD2" w14:textId="48B11D8A" w:rsidR="00CD4059" w:rsidRDefault="009C595A">
      <w:pPr>
        <w:pStyle w:val="Spisilustracji"/>
        <w:rPr>
          <w:rFonts w:asciiTheme="minorHAnsi" w:eastAsiaTheme="minorEastAsia" w:hAnsiTheme="minorHAnsi" w:cstheme="minorBidi"/>
          <w:sz w:val="22"/>
          <w:lang w:eastAsia="pl-PL"/>
        </w:rPr>
      </w:pPr>
      <w:hyperlink w:anchor="_Toc105512775" w:history="1">
        <w:r w:rsidR="00CD4059" w:rsidRPr="00BF773F">
          <w:rPr>
            <w:rStyle w:val="Hipercze"/>
          </w:rPr>
          <w:t>Tabela 5</w:t>
        </w:r>
        <w:r w:rsidR="00CD4059" w:rsidRPr="00BF773F">
          <w:rPr>
            <w:rStyle w:val="Hipercze"/>
          </w:rPr>
          <w:noBreakHyphen/>
          <w:t>11.</w:t>
        </w:r>
        <w:r w:rsidR="00CD4059">
          <w:rPr>
            <w:rFonts w:asciiTheme="minorHAnsi" w:eastAsiaTheme="minorEastAsia" w:hAnsiTheme="minorHAnsi" w:cstheme="minorBidi"/>
            <w:sz w:val="22"/>
            <w:lang w:eastAsia="pl-PL"/>
          </w:rPr>
          <w:tab/>
        </w:r>
        <w:r w:rsidR="00CD4059" w:rsidRPr="00BF773F">
          <w:rPr>
            <w:rStyle w:val="Hipercze"/>
          </w:rPr>
          <w:t>Klasyfikacja stanu chemicznego JCWP</w:t>
        </w:r>
        <w:r w:rsidR="00CD4059">
          <w:rPr>
            <w:webHidden/>
          </w:rPr>
          <w:tab/>
        </w:r>
        <w:r w:rsidR="00CD4059">
          <w:rPr>
            <w:webHidden/>
          </w:rPr>
          <w:fldChar w:fldCharType="begin"/>
        </w:r>
        <w:r w:rsidR="00CD4059">
          <w:rPr>
            <w:webHidden/>
          </w:rPr>
          <w:instrText xml:space="preserve"> PAGEREF _Toc105512775 \h </w:instrText>
        </w:r>
        <w:r w:rsidR="00CD4059">
          <w:rPr>
            <w:webHidden/>
          </w:rPr>
        </w:r>
        <w:r w:rsidR="00CD4059">
          <w:rPr>
            <w:webHidden/>
          </w:rPr>
          <w:fldChar w:fldCharType="separate"/>
        </w:r>
        <w:r w:rsidR="001F774D">
          <w:rPr>
            <w:webHidden/>
          </w:rPr>
          <w:t>87</w:t>
        </w:r>
        <w:r w:rsidR="00CD4059">
          <w:rPr>
            <w:webHidden/>
          </w:rPr>
          <w:fldChar w:fldCharType="end"/>
        </w:r>
      </w:hyperlink>
    </w:p>
    <w:p w14:paraId="5CB85C26" w14:textId="5230CE65" w:rsidR="00CD4059" w:rsidRDefault="009C595A">
      <w:pPr>
        <w:pStyle w:val="Spisilustracji"/>
        <w:rPr>
          <w:rFonts w:asciiTheme="minorHAnsi" w:eastAsiaTheme="minorEastAsia" w:hAnsiTheme="minorHAnsi" w:cstheme="minorBidi"/>
          <w:sz w:val="22"/>
          <w:lang w:eastAsia="pl-PL"/>
        </w:rPr>
      </w:pPr>
      <w:hyperlink w:anchor="_Toc105512776" w:history="1">
        <w:r w:rsidR="00CD4059" w:rsidRPr="00BF773F">
          <w:rPr>
            <w:rStyle w:val="Hipercze"/>
          </w:rPr>
          <w:t>Tabela 5</w:t>
        </w:r>
        <w:r w:rsidR="00CD4059" w:rsidRPr="00BF773F">
          <w:rPr>
            <w:rStyle w:val="Hipercze"/>
          </w:rPr>
          <w:noBreakHyphen/>
          <w:t>12.</w:t>
        </w:r>
        <w:r w:rsidR="00CD4059">
          <w:rPr>
            <w:rFonts w:asciiTheme="minorHAnsi" w:eastAsiaTheme="minorEastAsia" w:hAnsiTheme="minorHAnsi" w:cstheme="minorBidi"/>
            <w:sz w:val="22"/>
            <w:lang w:eastAsia="pl-PL"/>
          </w:rPr>
          <w:tab/>
        </w:r>
        <w:r w:rsidR="00CD4059" w:rsidRPr="00BF773F">
          <w:rPr>
            <w:rStyle w:val="Hipercze"/>
            <w:bCs/>
          </w:rPr>
          <w:t>Sposób oceny stanu ogólnego JCWP</w:t>
        </w:r>
        <w:r w:rsidR="00CD4059">
          <w:rPr>
            <w:webHidden/>
          </w:rPr>
          <w:tab/>
        </w:r>
        <w:r w:rsidR="00CD4059">
          <w:rPr>
            <w:webHidden/>
          </w:rPr>
          <w:fldChar w:fldCharType="begin"/>
        </w:r>
        <w:r w:rsidR="00CD4059">
          <w:rPr>
            <w:webHidden/>
          </w:rPr>
          <w:instrText xml:space="preserve"> PAGEREF _Toc105512776 \h </w:instrText>
        </w:r>
        <w:r w:rsidR="00CD4059">
          <w:rPr>
            <w:webHidden/>
          </w:rPr>
        </w:r>
        <w:r w:rsidR="00CD4059">
          <w:rPr>
            <w:webHidden/>
          </w:rPr>
          <w:fldChar w:fldCharType="separate"/>
        </w:r>
        <w:r w:rsidR="001F774D">
          <w:rPr>
            <w:webHidden/>
          </w:rPr>
          <w:t>88</w:t>
        </w:r>
        <w:r w:rsidR="00CD4059">
          <w:rPr>
            <w:webHidden/>
          </w:rPr>
          <w:fldChar w:fldCharType="end"/>
        </w:r>
      </w:hyperlink>
    </w:p>
    <w:p w14:paraId="27B40FEC" w14:textId="4B48E03E" w:rsidR="00CD4059" w:rsidRDefault="009C595A">
      <w:pPr>
        <w:pStyle w:val="Spisilustracji"/>
        <w:rPr>
          <w:rFonts w:asciiTheme="minorHAnsi" w:eastAsiaTheme="minorEastAsia" w:hAnsiTheme="minorHAnsi" w:cstheme="minorBidi"/>
          <w:sz w:val="22"/>
          <w:lang w:eastAsia="pl-PL"/>
        </w:rPr>
      </w:pPr>
      <w:hyperlink w:anchor="_Toc105512777" w:history="1">
        <w:r w:rsidR="00CD4059" w:rsidRPr="00BF773F">
          <w:rPr>
            <w:rStyle w:val="Hipercze"/>
          </w:rPr>
          <w:t>Tabela 5</w:t>
        </w:r>
        <w:r w:rsidR="00CD4059" w:rsidRPr="00BF773F">
          <w:rPr>
            <w:rStyle w:val="Hipercze"/>
          </w:rPr>
          <w:noBreakHyphen/>
          <w:t>13.</w:t>
        </w:r>
        <w:r w:rsidR="00CD4059">
          <w:rPr>
            <w:rFonts w:asciiTheme="minorHAnsi" w:eastAsiaTheme="minorEastAsia" w:hAnsiTheme="minorHAnsi" w:cstheme="minorBidi"/>
            <w:sz w:val="22"/>
            <w:lang w:eastAsia="pl-PL"/>
          </w:rPr>
          <w:tab/>
        </w:r>
        <w:r w:rsidR="00CD4059" w:rsidRPr="00BF773F">
          <w:rPr>
            <w:rStyle w:val="Hipercze"/>
          </w:rPr>
          <w:t>Liczba JCWP RW zagrożonych nieosiągnięciem celów środowiskowych wraz ze wskazaniem liczby JCWP RW z określoną oceną stanu w podziale na regiony wodne obszaru dorzecza Odry</w:t>
        </w:r>
        <w:r w:rsidR="00CD4059">
          <w:rPr>
            <w:webHidden/>
          </w:rPr>
          <w:tab/>
        </w:r>
        <w:r w:rsidR="00CD4059">
          <w:rPr>
            <w:webHidden/>
          </w:rPr>
          <w:fldChar w:fldCharType="begin"/>
        </w:r>
        <w:r w:rsidR="00CD4059">
          <w:rPr>
            <w:webHidden/>
          </w:rPr>
          <w:instrText xml:space="preserve"> PAGEREF _Toc105512777 \h </w:instrText>
        </w:r>
        <w:r w:rsidR="00CD4059">
          <w:rPr>
            <w:webHidden/>
          </w:rPr>
        </w:r>
        <w:r w:rsidR="00CD4059">
          <w:rPr>
            <w:webHidden/>
          </w:rPr>
          <w:fldChar w:fldCharType="separate"/>
        </w:r>
        <w:r w:rsidR="001F774D">
          <w:rPr>
            <w:webHidden/>
          </w:rPr>
          <w:t>89</w:t>
        </w:r>
        <w:r w:rsidR="00CD4059">
          <w:rPr>
            <w:webHidden/>
          </w:rPr>
          <w:fldChar w:fldCharType="end"/>
        </w:r>
      </w:hyperlink>
    </w:p>
    <w:p w14:paraId="41D39CB6" w14:textId="62EEDF0C" w:rsidR="00CD4059" w:rsidRDefault="009C595A">
      <w:pPr>
        <w:pStyle w:val="Spisilustracji"/>
        <w:rPr>
          <w:rFonts w:asciiTheme="minorHAnsi" w:eastAsiaTheme="minorEastAsia" w:hAnsiTheme="minorHAnsi" w:cstheme="minorBidi"/>
          <w:sz w:val="22"/>
          <w:lang w:eastAsia="pl-PL"/>
        </w:rPr>
      </w:pPr>
      <w:hyperlink w:anchor="_Toc105512778" w:history="1">
        <w:r w:rsidR="00CD4059" w:rsidRPr="00BF773F">
          <w:rPr>
            <w:rStyle w:val="Hipercze"/>
          </w:rPr>
          <w:t>Tabela 5</w:t>
        </w:r>
        <w:r w:rsidR="00CD4059" w:rsidRPr="00BF773F">
          <w:rPr>
            <w:rStyle w:val="Hipercze"/>
          </w:rPr>
          <w:noBreakHyphen/>
          <w:t>14.</w:t>
        </w:r>
        <w:r w:rsidR="00CD4059">
          <w:rPr>
            <w:rFonts w:asciiTheme="minorHAnsi" w:eastAsiaTheme="minorEastAsia" w:hAnsiTheme="minorHAnsi" w:cstheme="minorBidi"/>
            <w:sz w:val="22"/>
            <w:lang w:eastAsia="pl-PL"/>
          </w:rPr>
          <w:tab/>
        </w:r>
        <w:r w:rsidR="00CD4059" w:rsidRPr="00BF773F">
          <w:rPr>
            <w:rStyle w:val="Hipercze"/>
          </w:rPr>
          <w:t>Podsumowanie oceny stanu JCWP RW – obszar dorzecza Odry</w:t>
        </w:r>
        <w:r w:rsidR="00CD4059">
          <w:rPr>
            <w:webHidden/>
          </w:rPr>
          <w:tab/>
        </w:r>
        <w:r w:rsidR="00CD4059">
          <w:rPr>
            <w:webHidden/>
          </w:rPr>
          <w:fldChar w:fldCharType="begin"/>
        </w:r>
        <w:r w:rsidR="00CD4059">
          <w:rPr>
            <w:webHidden/>
          </w:rPr>
          <w:instrText xml:space="preserve"> PAGEREF _Toc105512778 \h </w:instrText>
        </w:r>
        <w:r w:rsidR="00CD4059">
          <w:rPr>
            <w:webHidden/>
          </w:rPr>
        </w:r>
        <w:r w:rsidR="00CD4059">
          <w:rPr>
            <w:webHidden/>
          </w:rPr>
          <w:fldChar w:fldCharType="separate"/>
        </w:r>
        <w:r w:rsidR="001F774D">
          <w:rPr>
            <w:webHidden/>
          </w:rPr>
          <w:t>92</w:t>
        </w:r>
        <w:r w:rsidR="00CD4059">
          <w:rPr>
            <w:webHidden/>
          </w:rPr>
          <w:fldChar w:fldCharType="end"/>
        </w:r>
      </w:hyperlink>
    </w:p>
    <w:p w14:paraId="6E2FD2FF" w14:textId="58BE2383" w:rsidR="00CD4059" w:rsidRDefault="009C595A">
      <w:pPr>
        <w:pStyle w:val="Spisilustracji"/>
        <w:rPr>
          <w:rFonts w:asciiTheme="minorHAnsi" w:eastAsiaTheme="minorEastAsia" w:hAnsiTheme="minorHAnsi" w:cstheme="minorBidi"/>
          <w:sz w:val="22"/>
          <w:lang w:eastAsia="pl-PL"/>
        </w:rPr>
      </w:pPr>
      <w:hyperlink w:anchor="_Toc105512779" w:history="1">
        <w:r w:rsidR="00CD4059" w:rsidRPr="00BF773F">
          <w:rPr>
            <w:rStyle w:val="Hipercze"/>
          </w:rPr>
          <w:t>Tabela 5</w:t>
        </w:r>
        <w:r w:rsidR="00CD4059" w:rsidRPr="00BF773F">
          <w:rPr>
            <w:rStyle w:val="Hipercze"/>
          </w:rPr>
          <w:noBreakHyphen/>
          <w:t>15.</w:t>
        </w:r>
        <w:r w:rsidR="00CD4059">
          <w:rPr>
            <w:rFonts w:asciiTheme="minorHAnsi" w:eastAsiaTheme="minorEastAsia" w:hAnsiTheme="minorHAnsi" w:cstheme="minorBidi"/>
            <w:sz w:val="22"/>
            <w:lang w:eastAsia="pl-PL"/>
          </w:rPr>
          <w:tab/>
        </w:r>
        <w:r w:rsidR="00CD4059" w:rsidRPr="00BF773F">
          <w:rPr>
            <w:rStyle w:val="Hipercze"/>
          </w:rPr>
          <w:t>Liczba JCWP RWr zagrożonych nieosiągnięciem celów środowiskowych wraz ze wskazaniem liczby JCWP RWr z oceną stanu w podziale na regiony wodne obszaru dorzecza Odry</w:t>
        </w:r>
        <w:r w:rsidR="00CD4059">
          <w:rPr>
            <w:webHidden/>
          </w:rPr>
          <w:tab/>
        </w:r>
        <w:r w:rsidR="00CD4059">
          <w:rPr>
            <w:webHidden/>
          </w:rPr>
          <w:fldChar w:fldCharType="begin"/>
        </w:r>
        <w:r w:rsidR="00CD4059">
          <w:rPr>
            <w:webHidden/>
          </w:rPr>
          <w:instrText xml:space="preserve"> PAGEREF _Toc105512779 \h </w:instrText>
        </w:r>
        <w:r w:rsidR="00CD4059">
          <w:rPr>
            <w:webHidden/>
          </w:rPr>
        </w:r>
        <w:r w:rsidR="00CD4059">
          <w:rPr>
            <w:webHidden/>
          </w:rPr>
          <w:fldChar w:fldCharType="separate"/>
        </w:r>
        <w:r w:rsidR="001F774D">
          <w:rPr>
            <w:webHidden/>
          </w:rPr>
          <w:t>93</w:t>
        </w:r>
        <w:r w:rsidR="00CD4059">
          <w:rPr>
            <w:webHidden/>
          </w:rPr>
          <w:fldChar w:fldCharType="end"/>
        </w:r>
      </w:hyperlink>
    </w:p>
    <w:p w14:paraId="3BBE7B85" w14:textId="72F725FD" w:rsidR="00CD4059" w:rsidRDefault="009C595A">
      <w:pPr>
        <w:pStyle w:val="Spisilustracji"/>
        <w:rPr>
          <w:rFonts w:asciiTheme="minorHAnsi" w:eastAsiaTheme="minorEastAsia" w:hAnsiTheme="minorHAnsi" w:cstheme="minorBidi"/>
          <w:sz w:val="22"/>
          <w:lang w:eastAsia="pl-PL"/>
        </w:rPr>
      </w:pPr>
      <w:hyperlink w:anchor="_Toc105512780" w:history="1">
        <w:r w:rsidR="00CD4059" w:rsidRPr="00BF773F">
          <w:rPr>
            <w:rStyle w:val="Hipercze"/>
          </w:rPr>
          <w:t>Tabela 5</w:t>
        </w:r>
        <w:r w:rsidR="00CD4059" w:rsidRPr="00BF773F">
          <w:rPr>
            <w:rStyle w:val="Hipercze"/>
          </w:rPr>
          <w:noBreakHyphen/>
          <w:t>16.</w:t>
        </w:r>
        <w:r w:rsidR="00CD4059">
          <w:rPr>
            <w:rFonts w:asciiTheme="minorHAnsi" w:eastAsiaTheme="minorEastAsia" w:hAnsiTheme="minorHAnsi" w:cstheme="minorBidi"/>
            <w:sz w:val="22"/>
            <w:lang w:eastAsia="pl-PL"/>
          </w:rPr>
          <w:tab/>
        </w:r>
        <w:r w:rsidR="00CD4059" w:rsidRPr="00BF773F">
          <w:rPr>
            <w:rStyle w:val="Hipercze"/>
          </w:rPr>
          <w:t>Podsumowanie oceny stanu JCWP RWr – obszar dorzecza Odry</w:t>
        </w:r>
        <w:r w:rsidR="00CD4059">
          <w:rPr>
            <w:webHidden/>
          </w:rPr>
          <w:tab/>
        </w:r>
        <w:r w:rsidR="00CD4059">
          <w:rPr>
            <w:webHidden/>
          </w:rPr>
          <w:fldChar w:fldCharType="begin"/>
        </w:r>
        <w:r w:rsidR="00CD4059">
          <w:rPr>
            <w:webHidden/>
          </w:rPr>
          <w:instrText xml:space="preserve"> PAGEREF _Toc105512780 \h </w:instrText>
        </w:r>
        <w:r w:rsidR="00CD4059">
          <w:rPr>
            <w:webHidden/>
          </w:rPr>
        </w:r>
        <w:r w:rsidR="00CD4059">
          <w:rPr>
            <w:webHidden/>
          </w:rPr>
          <w:fldChar w:fldCharType="separate"/>
        </w:r>
        <w:r w:rsidR="001F774D">
          <w:rPr>
            <w:webHidden/>
          </w:rPr>
          <w:t>95</w:t>
        </w:r>
        <w:r w:rsidR="00CD4059">
          <w:rPr>
            <w:webHidden/>
          </w:rPr>
          <w:fldChar w:fldCharType="end"/>
        </w:r>
      </w:hyperlink>
    </w:p>
    <w:p w14:paraId="159572F6" w14:textId="2F52AC16" w:rsidR="00CD4059" w:rsidRDefault="009C595A">
      <w:pPr>
        <w:pStyle w:val="Spisilustracji"/>
        <w:rPr>
          <w:rFonts w:asciiTheme="minorHAnsi" w:eastAsiaTheme="minorEastAsia" w:hAnsiTheme="minorHAnsi" w:cstheme="minorBidi"/>
          <w:sz w:val="22"/>
          <w:lang w:eastAsia="pl-PL"/>
        </w:rPr>
      </w:pPr>
      <w:hyperlink w:anchor="_Toc105512781" w:history="1">
        <w:r w:rsidR="00CD4059" w:rsidRPr="00BF773F">
          <w:rPr>
            <w:rStyle w:val="Hipercze"/>
          </w:rPr>
          <w:t>Tabela 5</w:t>
        </w:r>
        <w:r w:rsidR="00CD4059" w:rsidRPr="00BF773F">
          <w:rPr>
            <w:rStyle w:val="Hipercze"/>
          </w:rPr>
          <w:noBreakHyphen/>
          <w:t>17.</w:t>
        </w:r>
        <w:r w:rsidR="00CD4059">
          <w:rPr>
            <w:rFonts w:asciiTheme="minorHAnsi" w:eastAsiaTheme="minorEastAsia" w:hAnsiTheme="minorHAnsi" w:cstheme="minorBidi"/>
            <w:sz w:val="22"/>
            <w:lang w:eastAsia="pl-PL"/>
          </w:rPr>
          <w:tab/>
        </w:r>
        <w:r w:rsidR="00CD4059" w:rsidRPr="00BF773F">
          <w:rPr>
            <w:rStyle w:val="Hipercze"/>
          </w:rPr>
          <w:t>Liczba JCWP LW zagrożonych nieosiągnięciem celów środowiskowych wraz z określeniem liczby JCWP LW z oceną stanu w podziale na regiony wodne obszaru dorzecza Odry</w:t>
        </w:r>
        <w:r w:rsidR="00CD4059">
          <w:rPr>
            <w:webHidden/>
          </w:rPr>
          <w:tab/>
        </w:r>
        <w:r w:rsidR="00CD4059">
          <w:rPr>
            <w:webHidden/>
          </w:rPr>
          <w:fldChar w:fldCharType="begin"/>
        </w:r>
        <w:r w:rsidR="00CD4059">
          <w:rPr>
            <w:webHidden/>
          </w:rPr>
          <w:instrText xml:space="preserve"> PAGEREF _Toc105512781 \h </w:instrText>
        </w:r>
        <w:r w:rsidR="00CD4059">
          <w:rPr>
            <w:webHidden/>
          </w:rPr>
        </w:r>
        <w:r w:rsidR="00CD4059">
          <w:rPr>
            <w:webHidden/>
          </w:rPr>
          <w:fldChar w:fldCharType="separate"/>
        </w:r>
        <w:r w:rsidR="001F774D">
          <w:rPr>
            <w:webHidden/>
          </w:rPr>
          <w:t>96</w:t>
        </w:r>
        <w:r w:rsidR="00CD4059">
          <w:rPr>
            <w:webHidden/>
          </w:rPr>
          <w:fldChar w:fldCharType="end"/>
        </w:r>
      </w:hyperlink>
    </w:p>
    <w:p w14:paraId="21681273" w14:textId="74A64BBB" w:rsidR="00CD4059" w:rsidRDefault="009C595A">
      <w:pPr>
        <w:pStyle w:val="Spisilustracji"/>
        <w:rPr>
          <w:rFonts w:asciiTheme="minorHAnsi" w:eastAsiaTheme="minorEastAsia" w:hAnsiTheme="minorHAnsi" w:cstheme="minorBidi"/>
          <w:sz w:val="22"/>
          <w:lang w:eastAsia="pl-PL"/>
        </w:rPr>
      </w:pPr>
      <w:hyperlink w:anchor="_Toc105512782" w:history="1">
        <w:r w:rsidR="00CD4059" w:rsidRPr="00BF773F">
          <w:rPr>
            <w:rStyle w:val="Hipercze"/>
          </w:rPr>
          <w:t>Tabela 5</w:t>
        </w:r>
        <w:r w:rsidR="00CD4059" w:rsidRPr="00BF773F">
          <w:rPr>
            <w:rStyle w:val="Hipercze"/>
          </w:rPr>
          <w:noBreakHyphen/>
          <w:t>18.</w:t>
        </w:r>
        <w:r w:rsidR="00CD4059">
          <w:rPr>
            <w:rFonts w:asciiTheme="minorHAnsi" w:eastAsiaTheme="minorEastAsia" w:hAnsiTheme="minorHAnsi" w:cstheme="minorBidi"/>
            <w:sz w:val="22"/>
            <w:lang w:eastAsia="pl-PL"/>
          </w:rPr>
          <w:tab/>
        </w:r>
        <w:r w:rsidR="00CD4059" w:rsidRPr="00BF773F">
          <w:rPr>
            <w:rStyle w:val="Hipercze"/>
          </w:rPr>
          <w:t>Podsumowanie oceny stanu JCWP LW – obszar dorzecza Odry</w:t>
        </w:r>
        <w:r w:rsidR="00CD4059">
          <w:rPr>
            <w:webHidden/>
          </w:rPr>
          <w:tab/>
        </w:r>
        <w:r w:rsidR="00CD4059">
          <w:rPr>
            <w:webHidden/>
          </w:rPr>
          <w:fldChar w:fldCharType="begin"/>
        </w:r>
        <w:r w:rsidR="00CD4059">
          <w:rPr>
            <w:webHidden/>
          </w:rPr>
          <w:instrText xml:space="preserve"> PAGEREF _Toc105512782 \h </w:instrText>
        </w:r>
        <w:r w:rsidR="00CD4059">
          <w:rPr>
            <w:webHidden/>
          </w:rPr>
        </w:r>
        <w:r w:rsidR="00CD4059">
          <w:rPr>
            <w:webHidden/>
          </w:rPr>
          <w:fldChar w:fldCharType="separate"/>
        </w:r>
        <w:r w:rsidR="001F774D">
          <w:rPr>
            <w:webHidden/>
          </w:rPr>
          <w:t>98</w:t>
        </w:r>
        <w:r w:rsidR="00CD4059">
          <w:rPr>
            <w:webHidden/>
          </w:rPr>
          <w:fldChar w:fldCharType="end"/>
        </w:r>
      </w:hyperlink>
    </w:p>
    <w:p w14:paraId="30987967" w14:textId="2AD2EC78" w:rsidR="00CD4059" w:rsidRDefault="009C595A">
      <w:pPr>
        <w:pStyle w:val="Spisilustracji"/>
        <w:rPr>
          <w:rFonts w:asciiTheme="minorHAnsi" w:eastAsiaTheme="minorEastAsia" w:hAnsiTheme="minorHAnsi" w:cstheme="minorBidi"/>
          <w:sz w:val="22"/>
          <w:lang w:eastAsia="pl-PL"/>
        </w:rPr>
      </w:pPr>
      <w:hyperlink w:anchor="_Toc105512783" w:history="1">
        <w:r w:rsidR="00CD4059" w:rsidRPr="00BF773F">
          <w:rPr>
            <w:rStyle w:val="Hipercze"/>
          </w:rPr>
          <w:t>Tabela 5</w:t>
        </w:r>
        <w:r w:rsidR="00CD4059" w:rsidRPr="00BF773F">
          <w:rPr>
            <w:rStyle w:val="Hipercze"/>
          </w:rPr>
          <w:noBreakHyphen/>
          <w:t>19.</w:t>
        </w:r>
        <w:r w:rsidR="00CD4059">
          <w:rPr>
            <w:rFonts w:asciiTheme="minorHAnsi" w:eastAsiaTheme="minorEastAsia" w:hAnsiTheme="minorHAnsi" w:cstheme="minorBidi"/>
            <w:sz w:val="22"/>
            <w:lang w:eastAsia="pl-PL"/>
          </w:rPr>
          <w:tab/>
        </w:r>
        <w:r w:rsidR="00CD4059" w:rsidRPr="00BF773F">
          <w:rPr>
            <w:rStyle w:val="Hipercze"/>
          </w:rPr>
          <w:t>Liczba JCWP TW i CW zagrożonych nieosiągnięciem celów środowiskowych wraz z określeniem liczby JCWP TW i CW z oceną stanu na obszarze dorzecza Odry</w:t>
        </w:r>
        <w:r w:rsidR="00CD4059">
          <w:rPr>
            <w:webHidden/>
          </w:rPr>
          <w:tab/>
        </w:r>
        <w:r w:rsidR="00CD4059">
          <w:rPr>
            <w:webHidden/>
          </w:rPr>
          <w:fldChar w:fldCharType="begin"/>
        </w:r>
        <w:r w:rsidR="00CD4059">
          <w:rPr>
            <w:webHidden/>
          </w:rPr>
          <w:instrText xml:space="preserve"> PAGEREF _Toc105512783 \h </w:instrText>
        </w:r>
        <w:r w:rsidR="00CD4059">
          <w:rPr>
            <w:webHidden/>
          </w:rPr>
        </w:r>
        <w:r w:rsidR="00CD4059">
          <w:rPr>
            <w:webHidden/>
          </w:rPr>
          <w:fldChar w:fldCharType="separate"/>
        </w:r>
        <w:r w:rsidR="001F774D">
          <w:rPr>
            <w:webHidden/>
          </w:rPr>
          <w:t>100</w:t>
        </w:r>
        <w:r w:rsidR="00CD4059">
          <w:rPr>
            <w:webHidden/>
          </w:rPr>
          <w:fldChar w:fldCharType="end"/>
        </w:r>
      </w:hyperlink>
    </w:p>
    <w:p w14:paraId="64764406" w14:textId="1A5A8E5F" w:rsidR="00CD4059" w:rsidRDefault="009C595A">
      <w:pPr>
        <w:pStyle w:val="Spisilustracji"/>
        <w:rPr>
          <w:rFonts w:asciiTheme="minorHAnsi" w:eastAsiaTheme="minorEastAsia" w:hAnsiTheme="minorHAnsi" w:cstheme="minorBidi"/>
          <w:sz w:val="22"/>
          <w:lang w:eastAsia="pl-PL"/>
        </w:rPr>
      </w:pPr>
      <w:hyperlink w:anchor="_Toc105512784" w:history="1">
        <w:r w:rsidR="00CD4059" w:rsidRPr="00BF773F">
          <w:rPr>
            <w:rStyle w:val="Hipercze"/>
          </w:rPr>
          <w:t>Tabela 5</w:t>
        </w:r>
        <w:r w:rsidR="00CD4059" w:rsidRPr="00BF773F">
          <w:rPr>
            <w:rStyle w:val="Hipercze"/>
          </w:rPr>
          <w:noBreakHyphen/>
          <w:t>20.</w:t>
        </w:r>
        <w:r w:rsidR="00CD4059">
          <w:rPr>
            <w:rFonts w:asciiTheme="minorHAnsi" w:eastAsiaTheme="minorEastAsia" w:hAnsiTheme="minorHAnsi" w:cstheme="minorBidi"/>
            <w:sz w:val="22"/>
            <w:lang w:eastAsia="pl-PL"/>
          </w:rPr>
          <w:tab/>
        </w:r>
        <w:r w:rsidR="00CD4059" w:rsidRPr="00BF773F">
          <w:rPr>
            <w:rStyle w:val="Hipercze"/>
          </w:rPr>
          <w:t>Podsumowanie oceny stanu JCWP TW i CW – obszar dorzecza Odry</w:t>
        </w:r>
        <w:r w:rsidR="00CD4059">
          <w:rPr>
            <w:webHidden/>
          </w:rPr>
          <w:tab/>
        </w:r>
        <w:r w:rsidR="00CD4059">
          <w:rPr>
            <w:webHidden/>
          </w:rPr>
          <w:fldChar w:fldCharType="begin"/>
        </w:r>
        <w:r w:rsidR="00CD4059">
          <w:rPr>
            <w:webHidden/>
          </w:rPr>
          <w:instrText xml:space="preserve"> PAGEREF _Toc105512784 \h </w:instrText>
        </w:r>
        <w:r w:rsidR="00CD4059">
          <w:rPr>
            <w:webHidden/>
          </w:rPr>
        </w:r>
        <w:r w:rsidR="00CD4059">
          <w:rPr>
            <w:webHidden/>
          </w:rPr>
          <w:fldChar w:fldCharType="separate"/>
        </w:r>
        <w:r w:rsidR="001F774D">
          <w:rPr>
            <w:webHidden/>
          </w:rPr>
          <w:t>100</w:t>
        </w:r>
        <w:r w:rsidR="00CD4059">
          <w:rPr>
            <w:webHidden/>
          </w:rPr>
          <w:fldChar w:fldCharType="end"/>
        </w:r>
      </w:hyperlink>
    </w:p>
    <w:p w14:paraId="281C91B1" w14:textId="6558D397" w:rsidR="00CD4059" w:rsidRDefault="009C595A">
      <w:pPr>
        <w:pStyle w:val="Spisilustracji"/>
        <w:rPr>
          <w:rFonts w:asciiTheme="minorHAnsi" w:eastAsiaTheme="minorEastAsia" w:hAnsiTheme="minorHAnsi" w:cstheme="minorBidi"/>
          <w:sz w:val="22"/>
          <w:lang w:eastAsia="pl-PL"/>
        </w:rPr>
      </w:pPr>
      <w:hyperlink w:anchor="_Toc105512785" w:history="1">
        <w:r w:rsidR="00CD4059" w:rsidRPr="00BF773F">
          <w:rPr>
            <w:rStyle w:val="Hipercze"/>
          </w:rPr>
          <w:t>Tabela 5</w:t>
        </w:r>
        <w:r w:rsidR="00CD4059" w:rsidRPr="00BF773F">
          <w:rPr>
            <w:rStyle w:val="Hipercze"/>
          </w:rPr>
          <w:noBreakHyphen/>
          <w:t>21.</w:t>
        </w:r>
        <w:r w:rsidR="00CD4059">
          <w:rPr>
            <w:rFonts w:asciiTheme="minorHAnsi" w:eastAsiaTheme="minorEastAsia" w:hAnsiTheme="minorHAnsi" w:cstheme="minorBidi"/>
            <w:sz w:val="22"/>
            <w:lang w:eastAsia="pl-PL"/>
          </w:rPr>
          <w:tab/>
        </w:r>
        <w:r w:rsidR="00CD4059" w:rsidRPr="00BF773F">
          <w:rPr>
            <w:rStyle w:val="Hipercze"/>
          </w:rPr>
          <w:t>Liczba JCWP monitorowanych i niemonitorowanych przeanalizowanych pod kątem klasyfikacji i oceny w podziale na kategorie wód</w:t>
        </w:r>
        <w:r w:rsidR="00CD4059">
          <w:rPr>
            <w:webHidden/>
          </w:rPr>
          <w:tab/>
        </w:r>
        <w:r w:rsidR="00CD4059">
          <w:rPr>
            <w:webHidden/>
          </w:rPr>
          <w:fldChar w:fldCharType="begin"/>
        </w:r>
        <w:r w:rsidR="00CD4059">
          <w:rPr>
            <w:webHidden/>
          </w:rPr>
          <w:instrText xml:space="preserve"> PAGEREF _Toc105512785 \h </w:instrText>
        </w:r>
        <w:r w:rsidR="00CD4059">
          <w:rPr>
            <w:webHidden/>
          </w:rPr>
        </w:r>
        <w:r w:rsidR="00CD4059">
          <w:rPr>
            <w:webHidden/>
          </w:rPr>
          <w:fldChar w:fldCharType="separate"/>
        </w:r>
        <w:r w:rsidR="001F774D">
          <w:rPr>
            <w:webHidden/>
          </w:rPr>
          <w:t>102</w:t>
        </w:r>
        <w:r w:rsidR="00CD4059">
          <w:rPr>
            <w:webHidden/>
          </w:rPr>
          <w:fldChar w:fldCharType="end"/>
        </w:r>
      </w:hyperlink>
    </w:p>
    <w:p w14:paraId="6B0E0246" w14:textId="46B767DB" w:rsidR="00CD4059" w:rsidRDefault="009C595A">
      <w:pPr>
        <w:pStyle w:val="Spisilustracji"/>
        <w:rPr>
          <w:rFonts w:asciiTheme="minorHAnsi" w:eastAsiaTheme="minorEastAsia" w:hAnsiTheme="minorHAnsi" w:cstheme="minorBidi"/>
          <w:sz w:val="22"/>
          <w:lang w:eastAsia="pl-PL"/>
        </w:rPr>
      </w:pPr>
      <w:hyperlink w:anchor="_Toc105512786" w:history="1">
        <w:r w:rsidR="00CD4059" w:rsidRPr="00BF773F">
          <w:rPr>
            <w:rStyle w:val="Hipercze"/>
          </w:rPr>
          <w:t>Tabela 5</w:t>
        </w:r>
        <w:r w:rsidR="00CD4059" w:rsidRPr="00BF773F">
          <w:rPr>
            <w:rStyle w:val="Hipercze"/>
          </w:rPr>
          <w:noBreakHyphen/>
          <w:t>22.</w:t>
        </w:r>
        <w:r w:rsidR="00CD4059">
          <w:rPr>
            <w:rFonts w:asciiTheme="minorHAnsi" w:eastAsiaTheme="minorEastAsia" w:hAnsiTheme="minorHAnsi" w:cstheme="minorBidi"/>
            <w:sz w:val="22"/>
            <w:lang w:eastAsia="pl-PL"/>
          </w:rPr>
          <w:tab/>
        </w:r>
        <w:r w:rsidR="00CD4059" w:rsidRPr="00BF773F">
          <w:rPr>
            <w:rStyle w:val="Hipercze"/>
          </w:rPr>
          <w:t>Podsumowanie statystyczne klasyfikacji i oceny JCWP (JCWP monitorowane i niemonitorowane)</w:t>
        </w:r>
        <w:r w:rsidR="00CD4059">
          <w:rPr>
            <w:webHidden/>
          </w:rPr>
          <w:tab/>
        </w:r>
        <w:r w:rsidR="00CD4059">
          <w:rPr>
            <w:webHidden/>
          </w:rPr>
          <w:fldChar w:fldCharType="begin"/>
        </w:r>
        <w:r w:rsidR="00CD4059">
          <w:rPr>
            <w:webHidden/>
          </w:rPr>
          <w:instrText xml:space="preserve"> PAGEREF _Toc105512786 \h </w:instrText>
        </w:r>
        <w:r w:rsidR="00CD4059">
          <w:rPr>
            <w:webHidden/>
          </w:rPr>
        </w:r>
        <w:r w:rsidR="00CD4059">
          <w:rPr>
            <w:webHidden/>
          </w:rPr>
          <w:fldChar w:fldCharType="separate"/>
        </w:r>
        <w:r w:rsidR="001F774D">
          <w:rPr>
            <w:webHidden/>
          </w:rPr>
          <w:t>102</w:t>
        </w:r>
        <w:r w:rsidR="00CD4059">
          <w:rPr>
            <w:webHidden/>
          </w:rPr>
          <w:fldChar w:fldCharType="end"/>
        </w:r>
      </w:hyperlink>
    </w:p>
    <w:p w14:paraId="137A2281" w14:textId="2A750B7E" w:rsidR="00CD4059" w:rsidRDefault="009C595A">
      <w:pPr>
        <w:pStyle w:val="Spisilustracji"/>
        <w:rPr>
          <w:rFonts w:asciiTheme="minorHAnsi" w:eastAsiaTheme="minorEastAsia" w:hAnsiTheme="minorHAnsi" w:cstheme="minorBidi"/>
          <w:sz w:val="22"/>
          <w:lang w:eastAsia="pl-PL"/>
        </w:rPr>
      </w:pPr>
      <w:hyperlink w:anchor="_Toc105512787" w:history="1">
        <w:r w:rsidR="00CD4059" w:rsidRPr="00BF773F">
          <w:rPr>
            <w:rStyle w:val="Hipercze"/>
          </w:rPr>
          <w:t>Tabela 5</w:t>
        </w:r>
        <w:r w:rsidR="00CD4059" w:rsidRPr="00BF773F">
          <w:rPr>
            <w:rStyle w:val="Hipercze"/>
          </w:rPr>
          <w:noBreakHyphen/>
          <w:t>23.</w:t>
        </w:r>
        <w:r w:rsidR="00CD4059">
          <w:rPr>
            <w:rFonts w:asciiTheme="minorHAnsi" w:eastAsiaTheme="minorEastAsia" w:hAnsiTheme="minorHAnsi" w:cstheme="minorBidi"/>
            <w:sz w:val="22"/>
            <w:lang w:eastAsia="pl-PL"/>
          </w:rPr>
          <w:tab/>
        </w:r>
        <w:r w:rsidR="00CD4059" w:rsidRPr="00BF773F">
          <w:rPr>
            <w:rStyle w:val="Hipercze"/>
          </w:rPr>
          <w:t>Wyniki analizy tendencji zmian stężeń wskaźników fizykochemicznych w punktach w latach 2007–2019</w:t>
        </w:r>
        <w:r w:rsidR="00CD4059">
          <w:rPr>
            <w:webHidden/>
          </w:rPr>
          <w:tab/>
        </w:r>
        <w:r w:rsidR="00CD4059">
          <w:rPr>
            <w:webHidden/>
          </w:rPr>
          <w:fldChar w:fldCharType="begin"/>
        </w:r>
        <w:r w:rsidR="00CD4059">
          <w:rPr>
            <w:webHidden/>
          </w:rPr>
          <w:instrText xml:space="preserve"> PAGEREF _Toc105512787 \h </w:instrText>
        </w:r>
        <w:r w:rsidR="00CD4059">
          <w:rPr>
            <w:webHidden/>
          </w:rPr>
        </w:r>
        <w:r w:rsidR="00CD4059">
          <w:rPr>
            <w:webHidden/>
          </w:rPr>
          <w:fldChar w:fldCharType="separate"/>
        </w:r>
        <w:r w:rsidR="001F774D">
          <w:rPr>
            <w:webHidden/>
          </w:rPr>
          <w:t>116</w:t>
        </w:r>
        <w:r w:rsidR="00CD4059">
          <w:rPr>
            <w:webHidden/>
          </w:rPr>
          <w:fldChar w:fldCharType="end"/>
        </w:r>
      </w:hyperlink>
    </w:p>
    <w:p w14:paraId="4F8A7811" w14:textId="4CF4C231" w:rsidR="00CD4059" w:rsidRDefault="009C595A">
      <w:pPr>
        <w:pStyle w:val="Spisilustracji"/>
        <w:rPr>
          <w:rFonts w:asciiTheme="minorHAnsi" w:eastAsiaTheme="minorEastAsia" w:hAnsiTheme="minorHAnsi" w:cstheme="minorBidi"/>
          <w:sz w:val="22"/>
          <w:lang w:eastAsia="pl-PL"/>
        </w:rPr>
      </w:pPr>
      <w:hyperlink w:anchor="_Toc105512788" w:history="1">
        <w:r w:rsidR="00CD4059" w:rsidRPr="00BF773F">
          <w:rPr>
            <w:rStyle w:val="Hipercze"/>
          </w:rPr>
          <w:t>Tabela 5</w:t>
        </w:r>
        <w:r w:rsidR="00CD4059" w:rsidRPr="00BF773F">
          <w:rPr>
            <w:rStyle w:val="Hipercze"/>
          </w:rPr>
          <w:noBreakHyphen/>
          <w:t>24.</w:t>
        </w:r>
        <w:r w:rsidR="00CD4059">
          <w:rPr>
            <w:rFonts w:asciiTheme="minorHAnsi" w:eastAsiaTheme="minorEastAsia" w:hAnsiTheme="minorHAnsi" w:cstheme="minorBidi"/>
            <w:sz w:val="22"/>
            <w:lang w:eastAsia="pl-PL"/>
          </w:rPr>
          <w:tab/>
        </w:r>
        <w:r w:rsidR="00CD4059" w:rsidRPr="00BF773F">
          <w:rPr>
            <w:rStyle w:val="Hipercze"/>
          </w:rPr>
          <w:t>Wyniki analizy tendencji zmian stężeń wskaźników fizykochemicznych w obszarach JCWPd uznanych za zagrożone lub o stanie słabym w latach 2007–2019</w:t>
        </w:r>
        <w:r w:rsidR="00CD4059">
          <w:rPr>
            <w:webHidden/>
          </w:rPr>
          <w:tab/>
        </w:r>
        <w:r w:rsidR="00CD4059">
          <w:rPr>
            <w:webHidden/>
          </w:rPr>
          <w:fldChar w:fldCharType="begin"/>
        </w:r>
        <w:r w:rsidR="00CD4059">
          <w:rPr>
            <w:webHidden/>
          </w:rPr>
          <w:instrText xml:space="preserve"> PAGEREF _Toc105512788 \h </w:instrText>
        </w:r>
        <w:r w:rsidR="00CD4059">
          <w:rPr>
            <w:webHidden/>
          </w:rPr>
        </w:r>
        <w:r w:rsidR="00CD4059">
          <w:rPr>
            <w:webHidden/>
          </w:rPr>
          <w:fldChar w:fldCharType="separate"/>
        </w:r>
        <w:r w:rsidR="001F774D">
          <w:rPr>
            <w:webHidden/>
          </w:rPr>
          <w:t>116</w:t>
        </w:r>
        <w:r w:rsidR="00CD4059">
          <w:rPr>
            <w:webHidden/>
          </w:rPr>
          <w:fldChar w:fldCharType="end"/>
        </w:r>
      </w:hyperlink>
    </w:p>
    <w:p w14:paraId="0E2D0FC7" w14:textId="699121CF" w:rsidR="00CD4059" w:rsidRDefault="009C595A">
      <w:pPr>
        <w:pStyle w:val="Spisilustracji"/>
        <w:rPr>
          <w:rFonts w:asciiTheme="minorHAnsi" w:eastAsiaTheme="minorEastAsia" w:hAnsiTheme="minorHAnsi" w:cstheme="minorBidi"/>
          <w:sz w:val="22"/>
          <w:lang w:eastAsia="pl-PL"/>
        </w:rPr>
      </w:pPr>
      <w:hyperlink w:anchor="_Toc105512789" w:history="1">
        <w:r w:rsidR="00CD4059" w:rsidRPr="00BF773F">
          <w:rPr>
            <w:rStyle w:val="Hipercze"/>
          </w:rPr>
          <w:t>Tabela 5</w:t>
        </w:r>
        <w:r w:rsidR="00CD4059" w:rsidRPr="00BF773F">
          <w:rPr>
            <w:rStyle w:val="Hipercze"/>
          </w:rPr>
          <w:noBreakHyphen/>
          <w:t>25.</w:t>
        </w:r>
        <w:r w:rsidR="00CD4059">
          <w:rPr>
            <w:rFonts w:asciiTheme="minorHAnsi" w:eastAsiaTheme="minorEastAsia" w:hAnsiTheme="minorHAnsi" w:cstheme="minorBidi"/>
            <w:sz w:val="22"/>
            <w:lang w:eastAsia="pl-PL"/>
          </w:rPr>
          <w:tab/>
        </w:r>
        <w:r w:rsidR="00CD4059" w:rsidRPr="00BF773F">
          <w:rPr>
            <w:rStyle w:val="Hipercze"/>
          </w:rPr>
          <w:t>Wyniki analizy położenia zwierciadła wody podziemnej w podziale na 66 JCWPd znajdujących się na obszarze dorzecza Odry</w:t>
        </w:r>
        <w:r w:rsidR="00CD4059">
          <w:rPr>
            <w:webHidden/>
          </w:rPr>
          <w:tab/>
        </w:r>
        <w:r w:rsidR="00CD4059">
          <w:rPr>
            <w:webHidden/>
          </w:rPr>
          <w:fldChar w:fldCharType="begin"/>
        </w:r>
        <w:r w:rsidR="00CD4059">
          <w:rPr>
            <w:webHidden/>
          </w:rPr>
          <w:instrText xml:space="preserve"> PAGEREF _Toc105512789 \h </w:instrText>
        </w:r>
        <w:r w:rsidR="00CD4059">
          <w:rPr>
            <w:webHidden/>
          </w:rPr>
        </w:r>
        <w:r w:rsidR="00CD4059">
          <w:rPr>
            <w:webHidden/>
          </w:rPr>
          <w:fldChar w:fldCharType="separate"/>
        </w:r>
        <w:r w:rsidR="001F774D">
          <w:rPr>
            <w:webHidden/>
          </w:rPr>
          <w:t>117</w:t>
        </w:r>
        <w:r w:rsidR="00CD4059">
          <w:rPr>
            <w:webHidden/>
          </w:rPr>
          <w:fldChar w:fldCharType="end"/>
        </w:r>
      </w:hyperlink>
    </w:p>
    <w:p w14:paraId="71C2F279" w14:textId="173888A2" w:rsidR="00CD4059" w:rsidRDefault="009C595A">
      <w:pPr>
        <w:pStyle w:val="Spisilustracji"/>
        <w:rPr>
          <w:rFonts w:asciiTheme="minorHAnsi" w:eastAsiaTheme="minorEastAsia" w:hAnsiTheme="minorHAnsi" w:cstheme="minorBidi"/>
          <w:sz w:val="22"/>
          <w:lang w:eastAsia="pl-PL"/>
        </w:rPr>
      </w:pPr>
      <w:hyperlink w:anchor="_Toc105512790" w:history="1">
        <w:r w:rsidR="00CD4059" w:rsidRPr="00BF773F">
          <w:rPr>
            <w:rStyle w:val="Hipercze"/>
          </w:rPr>
          <w:t>Tabela 5</w:t>
        </w:r>
        <w:r w:rsidR="00CD4059" w:rsidRPr="00BF773F">
          <w:rPr>
            <w:rStyle w:val="Hipercze"/>
          </w:rPr>
          <w:noBreakHyphen/>
          <w:t>26.</w:t>
        </w:r>
        <w:r w:rsidR="00CD4059">
          <w:rPr>
            <w:rFonts w:asciiTheme="minorHAnsi" w:eastAsiaTheme="minorEastAsia" w:hAnsiTheme="minorHAnsi" w:cstheme="minorBidi"/>
            <w:sz w:val="22"/>
            <w:lang w:eastAsia="pl-PL"/>
          </w:rPr>
          <w:tab/>
        </w:r>
        <w:r w:rsidR="00CD4059" w:rsidRPr="00BF773F">
          <w:rPr>
            <w:rStyle w:val="Hipercze"/>
          </w:rPr>
          <w:t>Stan chemiczny JCWPd na obszarze dorzecza Odry</w:t>
        </w:r>
        <w:r w:rsidR="00CD4059">
          <w:rPr>
            <w:webHidden/>
          </w:rPr>
          <w:tab/>
        </w:r>
        <w:r w:rsidR="00CD4059">
          <w:rPr>
            <w:webHidden/>
          </w:rPr>
          <w:fldChar w:fldCharType="begin"/>
        </w:r>
        <w:r w:rsidR="00CD4059">
          <w:rPr>
            <w:webHidden/>
          </w:rPr>
          <w:instrText xml:space="preserve"> PAGEREF _Toc105512790 \h </w:instrText>
        </w:r>
        <w:r w:rsidR="00CD4059">
          <w:rPr>
            <w:webHidden/>
          </w:rPr>
        </w:r>
        <w:r w:rsidR="00CD4059">
          <w:rPr>
            <w:webHidden/>
          </w:rPr>
          <w:fldChar w:fldCharType="separate"/>
        </w:r>
        <w:r w:rsidR="001F774D">
          <w:rPr>
            <w:webHidden/>
          </w:rPr>
          <w:t>118</w:t>
        </w:r>
        <w:r w:rsidR="00CD4059">
          <w:rPr>
            <w:webHidden/>
          </w:rPr>
          <w:fldChar w:fldCharType="end"/>
        </w:r>
      </w:hyperlink>
    </w:p>
    <w:p w14:paraId="5EDCFA1A" w14:textId="3359342A" w:rsidR="00CD4059" w:rsidRDefault="009C595A">
      <w:pPr>
        <w:pStyle w:val="Spisilustracji"/>
        <w:rPr>
          <w:rFonts w:asciiTheme="minorHAnsi" w:eastAsiaTheme="minorEastAsia" w:hAnsiTheme="minorHAnsi" w:cstheme="minorBidi"/>
          <w:sz w:val="22"/>
          <w:lang w:eastAsia="pl-PL"/>
        </w:rPr>
      </w:pPr>
      <w:hyperlink w:anchor="_Toc105512791" w:history="1">
        <w:r w:rsidR="00CD4059" w:rsidRPr="00BF773F">
          <w:rPr>
            <w:rStyle w:val="Hipercze"/>
          </w:rPr>
          <w:t>Tabela 5</w:t>
        </w:r>
        <w:r w:rsidR="00CD4059" w:rsidRPr="00BF773F">
          <w:rPr>
            <w:rStyle w:val="Hipercze"/>
          </w:rPr>
          <w:noBreakHyphen/>
          <w:t>27.</w:t>
        </w:r>
        <w:r w:rsidR="00CD4059">
          <w:rPr>
            <w:rFonts w:asciiTheme="minorHAnsi" w:eastAsiaTheme="minorEastAsia" w:hAnsiTheme="minorHAnsi" w:cstheme="minorBidi"/>
            <w:sz w:val="22"/>
            <w:lang w:eastAsia="pl-PL"/>
          </w:rPr>
          <w:tab/>
        </w:r>
        <w:r w:rsidR="00CD4059" w:rsidRPr="00BF773F">
          <w:rPr>
            <w:rStyle w:val="Hipercze"/>
          </w:rPr>
          <w:t>Wyniki testu C.1 - Ogólna ocena stanu chemicznego JCWPd</w:t>
        </w:r>
        <w:r w:rsidR="00CD4059">
          <w:rPr>
            <w:webHidden/>
          </w:rPr>
          <w:tab/>
        </w:r>
        <w:r w:rsidR="00CD4059">
          <w:rPr>
            <w:webHidden/>
          </w:rPr>
          <w:fldChar w:fldCharType="begin"/>
        </w:r>
        <w:r w:rsidR="00CD4059">
          <w:rPr>
            <w:webHidden/>
          </w:rPr>
          <w:instrText xml:space="preserve"> PAGEREF _Toc105512791 \h </w:instrText>
        </w:r>
        <w:r w:rsidR="00CD4059">
          <w:rPr>
            <w:webHidden/>
          </w:rPr>
        </w:r>
        <w:r w:rsidR="00CD4059">
          <w:rPr>
            <w:webHidden/>
          </w:rPr>
          <w:fldChar w:fldCharType="separate"/>
        </w:r>
        <w:r w:rsidR="001F774D">
          <w:rPr>
            <w:webHidden/>
          </w:rPr>
          <w:t>118</w:t>
        </w:r>
        <w:r w:rsidR="00CD4059">
          <w:rPr>
            <w:webHidden/>
          </w:rPr>
          <w:fldChar w:fldCharType="end"/>
        </w:r>
      </w:hyperlink>
    </w:p>
    <w:p w14:paraId="5E7391E2" w14:textId="30D77478" w:rsidR="00CD4059" w:rsidRDefault="009C595A">
      <w:pPr>
        <w:pStyle w:val="Spisilustracji"/>
        <w:rPr>
          <w:rFonts w:asciiTheme="minorHAnsi" w:eastAsiaTheme="minorEastAsia" w:hAnsiTheme="minorHAnsi" w:cstheme="minorBidi"/>
          <w:sz w:val="22"/>
          <w:lang w:eastAsia="pl-PL"/>
        </w:rPr>
      </w:pPr>
      <w:hyperlink w:anchor="_Toc105512792" w:history="1">
        <w:r w:rsidR="00CD4059" w:rsidRPr="00BF773F">
          <w:rPr>
            <w:rStyle w:val="Hipercze"/>
          </w:rPr>
          <w:t>Tabela 5</w:t>
        </w:r>
        <w:r w:rsidR="00CD4059" w:rsidRPr="00BF773F">
          <w:rPr>
            <w:rStyle w:val="Hipercze"/>
          </w:rPr>
          <w:noBreakHyphen/>
          <w:t>28.</w:t>
        </w:r>
        <w:r w:rsidR="00CD4059">
          <w:rPr>
            <w:rFonts w:asciiTheme="minorHAnsi" w:eastAsiaTheme="minorEastAsia" w:hAnsiTheme="minorHAnsi" w:cstheme="minorBidi"/>
            <w:sz w:val="22"/>
            <w:lang w:eastAsia="pl-PL"/>
          </w:rPr>
          <w:tab/>
        </w:r>
        <w:r w:rsidR="00CD4059" w:rsidRPr="00BF773F">
          <w:rPr>
            <w:rStyle w:val="Hipercze"/>
          </w:rPr>
          <w:t>Wyniki testu C.2/I.2 - Ocena wpływu ingresji i ascenzji wód słonych lub innych zdegradowanych na stan wód podziemnych</w:t>
        </w:r>
        <w:r w:rsidR="00CD4059">
          <w:rPr>
            <w:webHidden/>
          </w:rPr>
          <w:tab/>
        </w:r>
        <w:r w:rsidR="00CD4059">
          <w:rPr>
            <w:webHidden/>
          </w:rPr>
          <w:fldChar w:fldCharType="begin"/>
        </w:r>
        <w:r w:rsidR="00CD4059">
          <w:rPr>
            <w:webHidden/>
          </w:rPr>
          <w:instrText xml:space="preserve"> PAGEREF _Toc105512792 \h </w:instrText>
        </w:r>
        <w:r w:rsidR="00CD4059">
          <w:rPr>
            <w:webHidden/>
          </w:rPr>
        </w:r>
        <w:r w:rsidR="00CD4059">
          <w:rPr>
            <w:webHidden/>
          </w:rPr>
          <w:fldChar w:fldCharType="separate"/>
        </w:r>
        <w:r w:rsidR="001F774D">
          <w:rPr>
            <w:webHidden/>
          </w:rPr>
          <w:t>119</w:t>
        </w:r>
        <w:r w:rsidR="00CD4059">
          <w:rPr>
            <w:webHidden/>
          </w:rPr>
          <w:fldChar w:fldCharType="end"/>
        </w:r>
      </w:hyperlink>
    </w:p>
    <w:p w14:paraId="12B06E29" w14:textId="7ECEAF5E" w:rsidR="00CD4059" w:rsidRDefault="009C595A">
      <w:pPr>
        <w:pStyle w:val="Spisilustracji"/>
        <w:rPr>
          <w:rFonts w:asciiTheme="minorHAnsi" w:eastAsiaTheme="minorEastAsia" w:hAnsiTheme="minorHAnsi" w:cstheme="minorBidi"/>
          <w:sz w:val="22"/>
          <w:lang w:eastAsia="pl-PL"/>
        </w:rPr>
      </w:pPr>
      <w:hyperlink w:anchor="_Toc105512793" w:history="1">
        <w:r w:rsidR="00CD4059" w:rsidRPr="00BF773F">
          <w:rPr>
            <w:rStyle w:val="Hipercze"/>
          </w:rPr>
          <w:t>Tabela 5</w:t>
        </w:r>
        <w:r w:rsidR="00CD4059" w:rsidRPr="00BF773F">
          <w:rPr>
            <w:rStyle w:val="Hipercze"/>
          </w:rPr>
          <w:noBreakHyphen/>
          <w:t>29.</w:t>
        </w:r>
        <w:r w:rsidR="00CD4059">
          <w:rPr>
            <w:rFonts w:asciiTheme="minorHAnsi" w:eastAsiaTheme="minorEastAsia" w:hAnsiTheme="minorHAnsi" w:cstheme="minorBidi"/>
            <w:sz w:val="22"/>
            <w:lang w:eastAsia="pl-PL"/>
          </w:rPr>
          <w:tab/>
        </w:r>
        <w:r w:rsidR="00CD4059" w:rsidRPr="00BF773F">
          <w:rPr>
            <w:rStyle w:val="Hipercze"/>
          </w:rPr>
          <w:t>Wyniki testu C.3 - Ochrona ekosystemów lądowych zależnych od wód podziemnych</w:t>
        </w:r>
        <w:r w:rsidR="00CD4059">
          <w:rPr>
            <w:webHidden/>
          </w:rPr>
          <w:tab/>
        </w:r>
        <w:r w:rsidR="00CD4059">
          <w:rPr>
            <w:webHidden/>
          </w:rPr>
          <w:fldChar w:fldCharType="begin"/>
        </w:r>
        <w:r w:rsidR="00CD4059">
          <w:rPr>
            <w:webHidden/>
          </w:rPr>
          <w:instrText xml:space="preserve"> PAGEREF _Toc105512793 \h </w:instrText>
        </w:r>
        <w:r w:rsidR="00CD4059">
          <w:rPr>
            <w:webHidden/>
          </w:rPr>
        </w:r>
        <w:r w:rsidR="00CD4059">
          <w:rPr>
            <w:webHidden/>
          </w:rPr>
          <w:fldChar w:fldCharType="separate"/>
        </w:r>
        <w:r w:rsidR="001F774D">
          <w:rPr>
            <w:webHidden/>
          </w:rPr>
          <w:t>119</w:t>
        </w:r>
        <w:r w:rsidR="00CD4059">
          <w:rPr>
            <w:webHidden/>
          </w:rPr>
          <w:fldChar w:fldCharType="end"/>
        </w:r>
      </w:hyperlink>
    </w:p>
    <w:p w14:paraId="157ED352" w14:textId="19E61377" w:rsidR="00CD4059" w:rsidRDefault="009C595A">
      <w:pPr>
        <w:pStyle w:val="Spisilustracji"/>
        <w:rPr>
          <w:rFonts w:asciiTheme="minorHAnsi" w:eastAsiaTheme="minorEastAsia" w:hAnsiTheme="minorHAnsi" w:cstheme="minorBidi"/>
          <w:sz w:val="22"/>
          <w:lang w:eastAsia="pl-PL"/>
        </w:rPr>
      </w:pPr>
      <w:hyperlink w:anchor="_Toc105512794" w:history="1">
        <w:r w:rsidR="00CD4059" w:rsidRPr="00BF773F">
          <w:rPr>
            <w:rStyle w:val="Hipercze"/>
          </w:rPr>
          <w:t>Tabela 5</w:t>
        </w:r>
        <w:r w:rsidR="00CD4059" w:rsidRPr="00BF773F">
          <w:rPr>
            <w:rStyle w:val="Hipercze"/>
          </w:rPr>
          <w:noBreakHyphen/>
          <w:t>30.</w:t>
        </w:r>
        <w:r w:rsidR="00CD4059">
          <w:rPr>
            <w:rFonts w:asciiTheme="minorHAnsi" w:eastAsiaTheme="minorEastAsia" w:hAnsiTheme="minorHAnsi" w:cstheme="minorBidi"/>
            <w:sz w:val="22"/>
            <w:lang w:eastAsia="pl-PL"/>
          </w:rPr>
          <w:tab/>
        </w:r>
        <w:r w:rsidR="00CD4059" w:rsidRPr="00BF773F">
          <w:rPr>
            <w:rStyle w:val="Hipercze"/>
          </w:rPr>
          <w:t>Wyniki testu C.4 - Ochrona stanu wód powierzchniowych</w:t>
        </w:r>
        <w:r w:rsidR="00CD4059">
          <w:rPr>
            <w:webHidden/>
          </w:rPr>
          <w:tab/>
        </w:r>
        <w:r w:rsidR="00CD4059">
          <w:rPr>
            <w:webHidden/>
          </w:rPr>
          <w:fldChar w:fldCharType="begin"/>
        </w:r>
        <w:r w:rsidR="00CD4059">
          <w:rPr>
            <w:webHidden/>
          </w:rPr>
          <w:instrText xml:space="preserve"> PAGEREF _Toc105512794 \h </w:instrText>
        </w:r>
        <w:r w:rsidR="00CD4059">
          <w:rPr>
            <w:webHidden/>
          </w:rPr>
        </w:r>
        <w:r w:rsidR="00CD4059">
          <w:rPr>
            <w:webHidden/>
          </w:rPr>
          <w:fldChar w:fldCharType="separate"/>
        </w:r>
        <w:r w:rsidR="001F774D">
          <w:rPr>
            <w:webHidden/>
          </w:rPr>
          <w:t>119</w:t>
        </w:r>
        <w:r w:rsidR="00CD4059">
          <w:rPr>
            <w:webHidden/>
          </w:rPr>
          <w:fldChar w:fldCharType="end"/>
        </w:r>
      </w:hyperlink>
    </w:p>
    <w:p w14:paraId="3D7D9BA6" w14:textId="65FC082E" w:rsidR="00CD4059" w:rsidRDefault="009C595A">
      <w:pPr>
        <w:pStyle w:val="Spisilustracji"/>
        <w:rPr>
          <w:rFonts w:asciiTheme="minorHAnsi" w:eastAsiaTheme="minorEastAsia" w:hAnsiTheme="minorHAnsi" w:cstheme="minorBidi"/>
          <w:sz w:val="22"/>
          <w:lang w:eastAsia="pl-PL"/>
        </w:rPr>
      </w:pPr>
      <w:hyperlink w:anchor="_Toc105512795" w:history="1">
        <w:r w:rsidR="00CD4059" w:rsidRPr="00BF773F">
          <w:rPr>
            <w:rStyle w:val="Hipercze"/>
          </w:rPr>
          <w:t>Tabela 5</w:t>
        </w:r>
        <w:r w:rsidR="00CD4059" w:rsidRPr="00BF773F">
          <w:rPr>
            <w:rStyle w:val="Hipercze"/>
          </w:rPr>
          <w:noBreakHyphen/>
          <w:t>31.</w:t>
        </w:r>
        <w:r w:rsidR="00CD4059">
          <w:rPr>
            <w:rFonts w:asciiTheme="minorHAnsi" w:eastAsiaTheme="minorEastAsia" w:hAnsiTheme="minorHAnsi" w:cstheme="minorBidi"/>
            <w:sz w:val="22"/>
            <w:lang w:eastAsia="pl-PL"/>
          </w:rPr>
          <w:tab/>
        </w:r>
        <w:r w:rsidR="00CD4059" w:rsidRPr="00BF773F">
          <w:rPr>
            <w:rStyle w:val="Hipercze"/>
          </w:rPr>
          <w:t>Wyniki testu C.5 - Ochrona wód przeznaczonych do spożycia przez ludzi</w:t>
        </w:r>
        <w:r w:rsidR="00CD4059">
          <w:rPr>
            <w:webHidden/>
          </w:rPr>
          <w:tab/>
        </w:r>
        <w:r w:rsidR="00CD4059">
          <w:rPr>
            <w:webHidden/>
          </w:rPr>
          <w:fldChar w:fldCharType="begin"/>
        </w:r>
        <w:r w:rsidR="00CD4059">
          <w:rPr>
            <w:webHidden/>
          </w:rPr>
          <w:instrText xml:space="preserve"> PAGEREF _Toc105512795 \h </w:instrText>
        </w:r>
        <w:r w:rsidR="00CD4059">
          <w:rPr>
            <w:webHidden/>
          </w:rPr>
        </w:r>
        <w:r w:rsidR="00CD4059">
          <w:rPr>
            <w:webHidden/>
          </w:rPr>
          <w:fldChar w:fldCharType="separate"/>
        </w:r>
        <w:r w:rsidR="001F774D">
          <w:rPr>
            <w:webHidden/>
          </w:rPr>
          <w:t>120</w:t>
        </w:r>
        <w:r w:rsidR="00CD4059">
          <w:rPr>
            <w:webHidden/>
          </w:rPr>
          <w:fldChar w:fldCharType="end"/>
        </w:r>
      </w:hyperlink>
    </w:p>
    <w:p w14:paraId="16C90540" w14:textId="05299A64" w:rsidR="00CD4059" w:rsidRDefault="009C595A">
      <w:pPr>
        <w:pStyle w:val="Spisilustracji"/>
        <w:rPr>
          <w:rFonts w:asciiTheme="minorHAnsi" w:eastAsiaTheme="minorEastAsia" w:hAnsiTheme="minorHAnsi" w:cstheme="minorBidi"/>
          <w:sz w:val="22"/>
          <w:lang w:eastAsia="pl-PL"/>
        </w:rPr>
      </w:pPr>
      <w:hyperlink w:anchor="_Toc105512796" w:history="1">
        <w:r w:rsidR="00CD4059" w:rsidRPr="00BF773F">
          <w:rPr>
            <w:rStyle w:val="Hipercze"/>
          </w:rPr>
          <w:t>Tabela 5</w:t>
        </w:r>
        <w:r w:rsidR="00CD4059" w:rsidRPr="00BF773F">
          <w:rPr>
            <w:rStyle w:val="Hipercze"/>
          </w:rPr>
          <w:noBreakHyphen/>
          <w:t>32.</w:t>
        </w:r>
        <w:r w:rsidR="00CD4059">
          <w:rPr>
            <w:rFonts w:asciiTheme="minorHAnsi" w:eastAsiaTheme="minorEastAsia" w:hAnsiTheme="minorHAnsi" w:cstheme="minorBidi"/>
            <w:sz w:val="22"/>
            <w:lang w:eastAsia="pl-PL"/>
          </w:rPr>
          <w:tab/>
        </w:r>
        <w:r w:rsidR="00CD4059" w:rsidRPr="00BF773F">
          <w:rPr>
            <w:rStyle w:val="Hipercze"/>
          </w:rPr>
          <w:t>Wykaz wskaźników, w przypadku których odnotowano przekroczenie wartości progowej dobrego stanu chemicznego na obszarze dorzecza Odry</w:t>
        </w:r>
        <w:r w:rsidR="00CD4059">
          <w:rPr>
            <w:webHidden/>
          </w:rPr>
          <w:tab/>
        </w:r>
        <w:r w:rsidR="00CD4059">
          <w:rPr>
            <w:webHidden/>
          </w:rPr>
          <w:fldChar w:fldCharType="begin"/>
        </w:r>
        <w:r w:rsidR="00CD4059">
          <w:rPr>
            <w:webHidden/>
          </w:rPr>
          <w:instrText xml:space="preserve"> PAGEREF _Toc105512796 \h </w:instrText>
        </w:r>
        <w:r w:rsidR="00CD4059">
          <w:rPr>
            <w:webHidden/>
          </w:rPr>
        </w:r>
        <w:r w:rsidR="00CD4059">
          <w:rPr>
            <w:webHidden/>
          </w:rPr>
          <w:fldChar w:fldCharType="separate"/>
        </w:r>
        <w:r w:rsidR="001F774D">
          <w:rPr>
            <w:webHidden/>
          </w:rPr>
          <w:t>121</w:t>
        </w:r>
        <w:r w:rsidR="00CD4059">
          <w:rPr>
            <w:webHidden/>
          </w:rPr>
          <w:fldChar w:fldCharType="end"/>
        </w:r>
      </w:hyperlink>
    </w:p>
    <w:p w14:paraId="38DB28D7" w14:textId="2B35A65E" w:rsidR="00CD4059" w:rsidRDefault="009C595A">
      <w:pPr>
        <w:pStyle w:val="Spisilustracji"/>
        <w:rPr>
          <w:rFonts w:asciiTheme="minorHAnsi" w:eastAsiaTheme="minorEastAsia" w:hAnsiTheme="minorHAnsi" w:cstheme="minorBidi"/>
          <w:sz w:val="22"/>
          <w:lang w:eastAsia="pl-PL"/>
        </w:rPr>
      </w:pPr>
      <w:hyperlink w:anchor="_Toc105512797" w:history="1">
        <w:r w:rsidR="00CD4059" w:rsidRPr="00BF773F">
          <w:rPr>
            <w:rStyle w:val="Hipercze"/>
          </w:rPr>
          <w:t>Tabela 5</w:t>
        </w:r>
        <w:r w:rsidR="00CD4059" w:rsidRPr="00BF773F">
          <w:rPr>
            <w:rStyle w:val="Hipercze"/>
          </w:rPr>
          <w:noBreakHyphen/>
          <w:t>33.</w:t>
        </w:r>
        <w:r w:rsidR="00CD4059">
          <w:rPr>
            <w:rFonts w:asciiTheme="minorHAnsi" w:eastAsiaTheme="minorEastAsia" w:hAnsiTheme="minorHAnsi" w:cstheme="minorBidi"/>
            <w:sz w:val="22"/>
            <w:lang w:eastAsia="pl-PL"/>
          </w:rPr>
          <w:tab/>
        </w:r>
        <w:r w:rsidR="00CD4059" w:rsidRPr="00BF773F">
          <w:rPr>
            <w:rStyle w:val="Hipercze"/>
          </w:rPr>
          <w:t>Stan ilościowy JCWPd na obszarze dorzecza Odry</w:t>
        </w:r>
        <w:r w:rsidR="00CD4059">
          <w:rPr>
            <w:webHidden/>
          </w:rPr>
          <w:tab/>
        </w:r>
        <w:r w:rsidR="00CD4059">
          <w:rPr>
            <w:webHidden/>
          </w:rPr>
          <w:fldChar w:fldCharType="begin"/>
        </w:r>
        <w:r w:rsidR="00CD4059">
          <w:rPr>
            <w:webHidden/>
          </w:rPr>
          <w:instrText xml:space="preserve"> PAGEREF _Toc105512797 \h </w:instrText>
        </w:r>
        <w:r w:rsidR="00CD4059">
          <w:rPr>
            <w:webHidden/>
          </w:rPr>
        </w:r>
        <w:r w:rsidR="00CD4059">
          <w:rPr>
            <w:webHidden/>
          </w:rPr>
          <w:fldChar w:fldCharType="separate"/>
        </w:r>
        <w:r w:rsidR="001F774D">
          <w:rPr>
            <w:webHidden/>
          </w:rPr>
          <w:t>123</w:t>
        </w:r>
        <w:r w:rsidR="00CD4059">
          <w:rPr>
            <w:webHidden/>
          </w:rPr>
          <w:fldChar w:fldCharType="end"/>
        </w:r>
      </w:hyperlink>
    </w:p>
    <w:p w14:paraId="4ABA899C" w14:textId="6FAF905B" w:rsidR="00CD4059" w:rsidRDefault="009C595A">
      <w:pPr>
        <w:pStyle w:val="Spisilustracji"/>
        <w:rPr>
          <w:rFonts w:asciiTheme="minorHAnsi" w:eastAsiaTheme="minorEastAsia" w:hAnsiTheme="minorHAnsi" w:cstheme="minorBidi"/>
          <w:sz w:val="22"/>
          <w:lang w:eastAsia="pl-PL"/>
        </w:rPr>
      </w:pPr>
      <w:hyperlink w:anchor="_Toc105512798" w:history="1">
        <w:r w:rsidR="00CD4059" w:rsidRPr="00BF773F">
          <w:rPr>
            <w:rStyle w:val="Hipercze"/>
          </w:rPr>
          <w:t>Tabela 5</w:t>
        </w:r>
        <w:r w:rsidR="00CD4059" w:rsidRPr="00BF773F">
          <w:rPr>
            <w:rStyle w:val="Hipercze"/>
          </w:rPr>
          <w:noBreakHyphen/>
          <w:t>34.</w:t>
        </w:r>
        <w:r w:rsidR="00CD4059">
          <w:rPr>
            <w:rFonts w:asciiTheme="minorHAnsi" w:eastAsiaTheme="minorEastAsia" w:hAnsiTheme="minorHAnsi" w:cstheme="minorBidi"/>
            <w:sz w:val="22"/>
            <w:lang w:eastAsia="pl-PL"/>
          </w:rPr>
          <w:tab/>
        </w:r>
        <w:r w:rsidR="00CD4059" w:rsidRPr="00BF773F">
          <w:rPr>
            <w:rStyle w:val="Hipercze"/>
            <w:bCs/>
          </w:rPr>
          <w:t>Wyniki testu I.1 - Bilans wodny</w:t>
        </w:r>
        <w:r w:rsidR="00CD4059">
          <w:rPr>
            <w:webHidden/>
          </w:rPr>
          <w:tab/>
        </w:r>
        <w:r w:rsidR="00CD4059">
          <w:rPr>
            <w:webHidden/>
          </w:rPr>
          <w:fldChar w:fldCharType="begin"/>
        </w:r>
        <w:r w:rsidR="00CD4059">
          <w:rPr>
            <w:webHidden/>
          </w:rPr>
          <w:instrText xml:space="preserve"> PAGEREF _Toc105512798 \h </w:instrText>
        </w:r>
        <w:r w:rsidR="00CD4059">
          <w:rPr>
            <w:webHidden/>
          </w:rPr>
        </w:r>
        <w:r w:rsidR="00CD4059">
          <w:rPr>
            <w:webHidden/>
          </w:rPr>
          <w:fldChar w:fldCharType="separate"/>
        </w:r>
        <w:r w:rsidR="001F774D">
          <w:rPr>
            <w:webHidden/>
          </w:rPr>
          <w:t>123</w:t>
        </w:r>
        <w:r w:rsidR="00CD4059">
          <w:rPr>
            <w:webHidden/>
          </w:rPr>
          <w:fldChar w:fldCharType="end"/>
        </w:r>
      </w:hyperlink>
    </w:p>
    <w:p w14:paraId="713E06C7" w14:textId="6BB66EE7" w:rsidR="00CD4059" w:rsidRDefault="009C595A">
      <w:pPr>
        <w:pStyle w:val="Spisilustracji"/>
        <w:rPr>
          <w:rFonts w:asciiTheme="minorHAnsi" w:eastAsiaTheme="minorEastAsia" w:hAnsiTheme="minorHAnsi" w:cstheme="minorBidi"/>
          <w:sz w:val="22"/>
          <w:lang w:eastAsia="pl-PL"/>
        </w:rPr>
      </w:pPr>
      <w:hyperlink w:anchor="_Toc105512799" w:history="1">
        <w:r w:rsidR="00CD4059" w:rsidRPr="00BF773F">
          <w:rPr>
            <w:rStyle w:val="Hipercze"/>
          </w:rPr>
          <w:t>Tabela 5</w:t>
        </w:r>
        <w:r w:rsidR="00CD4059" w:rsidRPr="00BF773F">
          <w:rPr>
            <w:rStyle w:val="Hipercze"/>
          </w:rPr>
          <w:noBreakHyphen/>
          <w:t>35.</w:t>
        </w:r>
        <w:r w:rsidR="00CD4059">
          <w:rPr>
            <w:rFonts w:asciiTheme="minorHAnsi" w:eastAsiaTheme="minorEastAsia" w:hAnsiTheme="minorHAnsi" w:cstheme="minorBidi"/>
            <w:sz w:val="22"/>
            <w:lang w:eastAsia="pl-PL"/>
          </w:rPr>
          <w:tab/>
        </w:r>
        <w:r w:rsidR="00CD4059" w:rsidRPr="00BF773F">
          <w:rPr>
            <w:rStyle w:val="Hipercze"/>
          </w:rPr>
          <w:t>Wyniki testu I.3 - Ochrona ekosystemów lądowych zależnych od wód podziemnych</w:t>
        </w:r>
        <w:r w:rsidR="00CD4059">
          <w:rPr>
            <w:webHidden/>
          </w:rPr>
          <w:tab/>
        </w:r>
        <w:r w:rsidR="00CD4059">
          <w:rPr>
            <w:webHidden/>
          </w:rPr>
          <w:fldChar w:fldCharType="begin"/>
        </w:r>
        <w:r w:rsidR="00CD4059">
          <w:rPr>
            <w:webHidden/>
          </w:rPr>
          <w:instrText xml:space="preserve"> PAGEREF _Toc105512799 \h </w:instrText>
        </w:r>
        <w:r w:rsidR="00CD4059">
          <w:rPr>
            <w:webHidden/>
          </w:rPr>
        </w:r>
        <w:r w:rsidR="00CD4059">
          <w:rPr>
            <w:webHidden/>
          </w:rPr>
          <w:fldChar w:fldCharType="separate"/>
        </w:r>
        <w:r w:rsidR="001F774D">
          <w:rPr>
            <w:webHidden/>
          </w:rPr>
          <w:t>123</w:t>
        </w:r>
        <w:r w:rsidR="00CD4059">
          <w:rPr>
            <w:webHidden/>
          </w:rPr>
          <w:fldChar w:fldCharType="end"/>
        </w:r>
      </w:hyperlink>
    </w:p>
    <w:p w14:paraId="7396E9B7" w14:textId="0A153593" w:rsidR="00CD4059" w:rsidRDefault="009C595A">
      <w:pPr>
        <w:pStyle w:val="Spisilustracji"/>
        <w:rPr>
          <w:rFonts w:asciiTheme="minorHAnsi" w:eastAsiaTheme="minorEastAsia" w:hAnsiTheme="minorHAnsi" w:cstheme="minorBidi"/>
          <w:sz w:val="22"/>
          <w:lang w:eastAsia="pl-PL"/>
        </w:rPr>
      </w:pPr>
      <w:hyperlink w:anchor="_Toc105512800" w:history="1">
        <w:r w:rsidR="00CD4059" w:rsidRPr="00BF773F">
          <w:rPr>
            <w:rStyle w:val="Hipercze"/>
          </w:rPr>
          <w:t>Tabela 6</w:t>
        </w:r>
        <w:r w:rsidR="00CD4059" w:rsidRPr="00BF773F">
          <w:rPr>
            <w:rStyle w:val="Hipercze"/>
          </w:rPr>
          <w:noBreakHyphen/>
          <w:t>1.</w:t>
        </w:r>
        <w:r w:rsidR="00CD4059">
          <w:rPr>
            <w:rFonts w:asciiTheme="minorHAnsi" w:eastAsiaTheme="minorEastAsia" w:hAnsiTheme="minorHAnsi" w:cstheme="minorBidi"/>
            <w:sz w:val="22"/>
            <w:lang w:eastAsia="pl-PL"/>
          </w:rPr>
          <w:tab/>
        </w:r>
        <w:r w:rsidR="00CD4059" w:rsidRPr="00BF773F">
          <w:rPr>
            <w:rStyle w:val="Hipercze"/>
          </w:rPr>
          <w:t>Substancje, dla których zgodnie z r.kl.jcwp stwierdzono przekroczenie środowiskowych norm jakości na obszarze dorzecza Odry („+” – występuje przekroczenie; „-” – nie występuje przekroczenie)</w:t>
        </w:r>
        <w:r w:rsidR="00CD4059">
          <w:rPr>
            <w:webHidden/>
          </w:rPr>
          <w:tab/>
        </w:r>
        <w:r w:rsidR="00CD4059">
          <w:rPr>
            <w:webHidden/>
          </w:rPr>
          <w:fldChar w:fldCharType="begin"/>
        </w:r>
        <w:r w:rsidR="00CD4059">
          <w:rPr>
            <w:webHidden/>
          </w:rPr>
          <w:instrText xml:space="preserve"> PAGEREF _Toc105512800 \h </w:instrText>
        </w:r>
        <w:r w:rsidR="00CD4059">
          <w:rPr>
            <w:webHidden/>
          </w:rPr>
        </w:r>
        <w:r w:rsidR="00CD4059">
          <w:rPr>
            <w:webHidden/>
          </w:rPr>
          <w:fldChar w:fldCharType="separate"/>
        </w:r>
        <w:r w:rsidR="001F774D">
          <w:rPr>
            <w:webHidden/>
          </w:rPr>
          <w:t>129</w:t>
        </w:r>
        <w:r w:rsidR="00CD4059">
          <w:rPr>
            <w:webHidden/>
          </w:rPr>
          <w:fldChar w:fldCharType="end"/>
        </w:r>
      </w:hyperlink>
    </w:p>
    <w:p w14:paraId="7F910132" w14:textId="7ADC7D1D" w:rsidR="00CD4059" w:rsidRDefault="009C595A">
      <w:pPr>
        <w:pStyle w:val="Spisilustracji"/>
        <w:rPr>
          <w:rFonts w:asciiTheme="minorHAnsi" w:eastAsiaTheme="minorEastAsia" w:hAnsiTheme="minorHAnsi" w:cstheme="minorBidi"/>
          <w:sz w:val="22"/>
          <w:lang w:eastAsia="pl-PL"/>
        </w:rPr>
      </w:pPr>
      <w:hyperlink w:anchor="_Toc105512801" w:history="1">
        <w:r w:rsidR="00CD4059" w:rsidRPr="00BF773F">
          <w:rPr>
            <w:rStyle w:val="Hipercze"/>
          </w:rPr>
          <w:t>Tabela 6</w:t>
        </w:r>
        <w:r w:rsidR="00CD4059" w:rsidRPr="00BF773F">
          <w:rPr>
            <w:rStyle w:val="Hipercze"/>
          </w:rPr>
          <w:noBreakHyphen/>
          <w:t>2.</w:t>
        </w:r>
        <w:r w:rsidR="00CD4059">
          <w:rPr>
            <w:rFonts w:asciiTheme="minorHAnsi" w:eastAsiaTheme="minorEastAsia" w:hAnsiTheme="minorHAnsi" w:cstheme="minorBidi"/>
            <w:sz w:val="22"/>
            <w:lang w:eastAsia="pl-PL"/>
          </w:rPr>
          <w:tab/>
        </w:r>
        <w:r w:rsidR="00CD4059" w:rsidRPr="00BF773F">
          <w:rPr>
            <w:rStyle w:val="Hipercze"/>
          </w:rPr>
          <w:t>Podsumowanie dla oznaczeń wykonanych w wodzie i biocie na obszarze dorzecza Odry</w:t>
        </w:r>
        <w:r w:rsidR="00CD4059">
          <w:rPr>
            <w:webHidden/>
          </w:rPr>
          <w:tab/>
        </w:r>
        <w:r w:rsidR="00CD4059">
          <w:rPr>
            <w:webHidden/>
          </w:rPr>
          <w:fldChar w:fldCharType="begin"/>
        </w:r>
        <w:r w:rsidR="00CD4059">
          <w:rPr>
            <w:webHidden/>
          </w:rPr>
          <w:instrText xml:space="preserve"> PAGEREF _Toc105512801 \h </w:instrText>
        </w:r>
        <w:r w:rsidR="00CD4059">
          <w:rPr>
            <w:webHidden/>
          </w:rPr>
        </w:r>
        <w:r w:rsidR="00CD4059">
          <w:rPr>
            <w:webHidden/>
          </w:rPr>
          <w:fldChar w:fldCharType="separate"/>
        </w:r>
        <w:r w:rsidR="001F774D">
          <w:rPr>
            <w:webHidden/>
          </w:rPr>
          <w:t>130</w:t>
        </w:r>
        <w:r w:rsidR="00CD4059">
          <w:rPr>
            <w:webHidden/>
          </w:rPr>
          <w:fldChar w:fldCharType="end"/>
        </w:r>
      </w:hyperlink>
    </w:p>
    <w:p w14:paraId="78E7D4C5" w14:textId="50B21C40" w:rsidR="00CD4059" w:rsidRDefault="009C595A">
      <w:pPr>
        <w:pStyle w:val="Spisilustracji"/>
        <w:rPr>
          <w:rFonts w:asciiTheme="minorHAnsi" w:eastAsiaTheme="minorEastAsia" w:hAnsiTheme="minorHAnsi" w:cstheme="minorBidi"/>
          <w:sz w:val="22"/>
          <w:lang w:eastAsia="pl-PL"/>
        </w:rPr>
      </w:pPr>
      <w:hyperlink w:anchor="_Toc105512802" w:history="1">
        <w:r w:rsidR="00CD4059" w:rsidRPr="00BF773F">
          <w:rPr>
            <w:rStyle w:val="Hipercze"/>
            <w:bCs/>
          </w:rPr>
          <w:t>Tabela 7</w:t>
        </w:r>
        <w:r w:rsidR="00CD4059" w:rsidRPr="00BF773F">
          <w:rPr>
            <w:rStyle w:val="Hipercze"/>
            <w:bCs/>
          </w:rPr>
          <w:noBreakHyphen/>
          <w:t>1.</w:t>
        </w:r>
        <w:r w:rsidR="00CD4059">
          <w:rPr>
            <w:rFonts w:asciiTheme="minorHAnsi" w:eastAsiaTheme="minorEastAsia" w:hAnsiTheme="minorHAnsi" w:cstheme="minorBidi"/>
            <w:sz w:val="22"/>
            <w:lang w:eastAsia="pl-PL"/>
          </w:rPr>
          <w:tab/>
        </w:r>
        <w:r w:rsidR="00CD4059" w:rsidRPr="00BF773F">
          <w:rPr>
            <w:rStyle w:val="Hipercze"/>
          </w:rPr>
          <w:t>Podsumowanie analizy znaczących oddziaływań antropogenicznych wraz z oceną ryzyka nieosiągnięcia celów środowiskowych dla JCWP RW – obszar dorzecza Odry</w:t>
        </w:r>
        <w:r w:rsidR="00CD4059">
          <w:rPr>
            <w:webHidden/>
          </w:rPr>
          <w:tab/>
        </w:r>
        <w:r w:rsidR="00CD4059">
          <w:rPr>
            <w:webHidden/>
          </w:rPr>
          <w:fldChar w:fldCharType="begin"/>
        </w:r>
        <w:r w:rsidR="00CD4059">
          <w:rPr>
            <w:webHidden/>
          </w:rPr>
          <w:instrText xml:space="preserve"> PAGEREF _Toc105512802 \h </w:instrText>
        </w:r>
        <w:r w:rsidR="00CD4059">
          <w:rPr>
            <w:webHidden/>
          </w:rPr>
        </w:r>
        <w:r w:rsidR="00CD4059">
          <w:rPr>
            <w:webHidden/>
          </w:rPr>
          <w:fldChar w:fldCharType="separate"/>
        </w:r>
        <w:r w:rsidR="001F774D">
          <w:rPr>
            <w:webHidden/>
          </w:rPr>
          <w:t>136</w:t>
        </w:r>
        <w:r w:rsidR="00CD4059">
          <w:rPr>
            <w:webHidden/>
          </w:rPr>
          <w:fldChar w:fldCharType="end"/>
        </w:r>
      </w:hyperlink>
    </w:p>
    <w:p w14:paraId="70DA8246" w14:textId="0365CF3C" w:rsidR="00CD4059" w:rsidRDefault="009C595A">
      <w:pPr>
        <w:pStyle w:val="Spisilustracji"/>
        <w:rPr>
          <w:rFonts w:asciiTheme="minorHAnsi" w:eastAsiaTheme="minorEastAsia" w:hAnsiTheme="minorHAnsi" w:cstheme="minorBidi"/>
          <w:sz w:val="22"/>
          <w:lang w:eastAsia="pl-PL"/>
        </w:rPr>
      </w:pPr>
      <w:hyperlink w:anchor="_Toc105512803" w:history="1">
        <w:r w:rsidR="00CD4059" w:rsidRPr="00BF773F">
          <w:rPr>
            <w:rStyle w:val="Hipercze"/>
            <w:bCs/>
          </w:rPr>
          <w:t>Tabela 7</w:t>
        </w:r>
        <w:r w:rsidR="00CD4059" w:rsidRPr="00BF773F">
          <w:rPr>
            <w:rStyle w:val="Hipercze"/>
            <w:bCs/>
          </w:rPr>
          <w:noBreakHyphen/>
          <w:t>2.</w:t>
        </w:r>
        <w:r w:rsidR="00CD4059">
          <w:rPr>
            <w:rFonts w:asciiTheme="minorHAnsi" w:eastAsiaTheme="minorEastAsia" w:hAnsiTheme="minorHAnsi" w:cstheme="minorBidi"/>
            <w:sz w:val="22"/>
            <w:lang w:eastAsia="pl-PL"/>
          </w:rPr>
          <w:tab/>
        </w:r>
        <w:r w:rsidR="00CD4059" w:rsidRPr="00BF773F">
          <w:rPr>
            <w:rStyle w:val="Hipercze"/>
          </w:rPr>
          <w:t>Liczba JCWP RW, dla których wskazano presję znaczącą umiarkowaną lub silną na elementy biologiczne, w podziale na poszczególne regiony wodne obszaru dorzecza Odry</w:t>
        </w:r>
        <w:r w:rsidR="00CD4059">
          <w:rPr>
            <w:webHidden/>
          </w:rPr>
          <w:tab/>
        </w:r>
        <w:r w:rsidR="00CD4059">
          <w:rPr>
            <w:webHidden/>
          </w:rPr>
          <w:fldChar w:fldCharType="begin"/>
        </w:r>
        <w:r w:rsidR="00CD4059">
          <w:rPr>
            <w:webHidden/>
          </w:rPr>
          <w:instrText xml:space="preserve"> PAGEREF _Toc105512803 \h </w:instrText>
        </w:r>
        <w:r w:rsidR="00CD4059">
          <w:rPr>
            <w:webHidden/>
          </w:rPr>
        </w:r>
        <w:r w:rsidR="00CD4059">
          <w:rPr>
            <w:webHidden/>
          </w:rPr>
          <w:fldChar w:fldCharType="separate"/>
        </w:r>
        <w:r w:rsidR="001F774D">
          <w:rPr>
            <w:webHidden/>
          </w:rPr>
          <w:t>137</w:t>
        </w:r>
        <w:r w:rsidR="00CD4059">
          <w:rPr>
            <w:webHidden/>
          </w:rPr>
          <w:fldChar w:fldCharType="end"/>
        </w:r>
      </w:hyperlink>
    </w:p>
    <w:p w14:paraId="09C4A940" w14:textId="5A90129B" w:rsidR="00CD4059" w:rsidRDefault="009C595A">
      <w:pPr>
        <w:pStyle w:val="Spisilustracji"/>
        <w:rPr>
          <w:rFonts w:asciiTheme="minorHAnsi" w:eastAsiaTheme="minorEastAsia" w:hAnsiTheme="minorHAnsi" w:cstheme="minorBidi"/>
          <w:sz w:val="22"/>
          <w:lang w:eastAsia="pl-PL"/>
        </w:rPr>
      </w:pPr>
      <w:hyperlink w:anchor="_Toc105512804" w:history="1">
        <w:r w:rsidR="00CD4059" w:rsidRPr="00BF773F">
          <w:rPr>
            <w:rStyle w:val="Hipercze"/>
          </w:rPr>
          <w:t>Tabela 7</w:t>
        </w:r>
        <w:r w:rsidR="00CD4059" w:rsidRPr="00BF773F">
          <w:rPr>
            <w:rStyle w:val="Hipercze"/>
          </w:rPr>
          <w:noBreakHyphen/>
          <w:t>3.</w:t>
        </w:r>
        <w:r w:rsidR="00CD4059">
          <w:rPr>
            <w:rFonts w:asciiTheme="minorHAnsi" w:eastAsiaTheme="minorEastAsia" w:hAnsiTheme="minorHAnsi" w:cstheme="minorBidi"/>
            <w:sz w:val="22"/>
            <w:lang w:eastAsia="pl-PL"/>
          </w:rPr>
          <w:tab/>
        </w:r>
        <w:r w:rsidR="00CD4059" w:rsidRPr="00BF773F">
          <w:rPr>
            <w:rStyle w:val="Hipercze"/>
          </w:rPr>
          <w:t>Liczba JCWP RW zagrożonych nieosiągnięciem celów środowiskowych w podziale na regiony wodne obszaru dorzecza Odry</w:t>
        </w:r>
        <w:r w:rsidR="00CD4059">
          <w:rPr>
            <w:webHidden/>
          </w:rPr>
          <w:tab/>
        </w:r>
        <w:r w:rsidR="00CD4059">
          <w:rPr>
            <w:webHidden/>
          </w:rPr>
          <w:fldChar w:fldCharType="begin"/>
        </w:r>
        <w:r w:rsidR="00CD4059">
          <w:rPr>
            <w:webHidden/>
          </w:rPr>
          <w:instrText xml:space="preserve"> PAGEREF _Toc105512804 \h </w:instrText>
        </w:r>
        <w:r w:rsidR="00CD4059">
          <w:rPr>
            <w:webHidden/>
          </w:rPr>
        </w:r>
        <w:r w:rsidR="00CD4059">
          <w:rPr>
            <w:webHidden/>
          </w:rPr>
          <w:fldChar w:fldCharType="separate"/>
        </w:r>
        <w:r w:rsidR="001F774D">
          <w:rPr>
            <w:webHidden/>
          </w:rPr>
          <w:t>143</w:t>
        </w:r>
        <w:r w:rsidR="00CD4059">
          <w:rPr>
            <w:webHidden/>
          </w:rPr>
          <w:fldChar w:fldCharType="end"/>
        </w:r>
      </w:hyperlink>
    </w:p>
    <w:p w14:paraId="589DAC6D" w14:textId="68D26572" w:rsidR="00CD4059" w:rsidRDefault="009C595A">
      <w:pPr>
        <w:pStyle w:val="Spisilustracji"/>
        <w:rPr>
          <w:rFonts w:asciiTheme="minorHAnsi" w:eastAsiaTheme="minorEastAsia" w:hAnsiTheme="minorHAnsi" w:cstheme="minorBidi"/>
          <w:sz w:val="22"/>
          <w:lang w:eastAsia="pl-PL"/>
        </w:rPr>
      </w:pPr>
      <w:hyperlink w:anchor="_Toc105512805" w:history="1">
        <w:r w:rsidR="00CD4059" w:rsidRPr="00BF773F">
          <w:rPr>
            <w:rStyle w:val="Hipercze"/>
            <w:bCs/>
          </w:rPr>
          <w:t>Tabela 7</w:t>
        </w:r>
        <w:r w:rsidR="00CD4059" w:rsidRPr="00BF773F">
          <w:rPr>
            <w:rStyle w:val="Hipercze"/>
            <w:bCs/>
          </w:rPr>
          <w:noBreakHyphen/>
          <w:t>4.</w:t>
        </w:r>
        <w:r w:rsidR="00CD4059">
          <w:rPr>
            <w:rFonts w:asciiTheme="minorHAnsi" w:eastAsiaTheme="minorEastAsia" w:hAnsiTheme="minorHAnsi" w:cstheme="minorBidi"/>
            <w:sz w:val="22"/>
            <w:lang w:eastAsia="pl-PL"/>
          </w:rPr>
          <w:tab/>
        </w:r>
        <w:r w:rsidR="00CD4059" w:rsidRPr="00BF773F">
          <w:rPr>
            <w:rStyle w:val="Hipercze"/>
          </w:rPr>
          <w:t>Podsumowanie analizy znaczących oddziaływań antropogenicznych wraz z oceną ryzyka nieosiągnięcia celów środowiskowych dla JCWP RWr – obszar dorzecza Odry</w:t>
        </w:r>
        <w:r w:rsidR="00CD4059">
          <w:rPr>
            <w:webHidden/>
          </w:rPr>
          <w:tab/>
        </w:r>
        <w:r w:rsidR="00CD4059">
          <w:rPr>
            <w:webHidden/>
          </w:rPr>
          <w:fldChar w:fldCharType="begin"/>
        </w:r>
        <w:r w:rsidR="00CD4059">
          <w:rPr>
            <w:webHidden/>
          </w:rPr>
          <w:instrText xml:space="preserve"> PAGEREF _Toc105512805 \h </w:instrText>
        </w:r>
        <w:r w:rsidR="00CD4059">
          <w:rPr>
            <w:webHidden/>
          </w:rPr>
        </w:r>
        <w:r w:rsidR="00CD4059">
          <w:rPr>
            <w:webHidden/>
          </w:rPr>
          <w:fldChar w:fldCharType="separate"/>
        </w:r>
        <w:r w:rsidR="001F774D">
          <w:rPr>
            <w:webHidden/>
          </w:rPr>
          <w:t>144</w:t>
        </w:r>
        <w:r w:rsidR="00CD4059">
          <w:rPr>
            <w:webHidden/>
          </w:rPr>
          <w:fldChar w:fldCharType="end"/>
        </w:r>
      </w:hyperlink>
    </w:p>
    <w:p w14:paraId="33ECC9EF" w14:textId="7516FDFB" w:rsidR="00CD4059" w:rsidRDefault="009C595A">
      <w:pPr>
        <w:pStyle w:val="Spisilustracji"/>
        <w:rPr>
          <w:rFonts w:asciiTheme="minorHAnsi" w:eastAsiaTheme="minorEastAsia" w:hAnsiTheme="minorHAnsi" w:cstheme="minorBidi"/>
          <w:sz w:val="22"/>
          <w:lang w:eastAsia="pl-PL"/>
        </w:rPr>
      </w:pPr>
      <w:hyperlink w:anchor="_Toc105512806" w:history="1">
        <w:r w:rsidR="00CD4059" w:rsidRPr="00BF773F">
          <w:rPr>
            <w:rStyle w:val="Hipercze"/>
            <w:bCs/>
          </w:rPr>
          <w:t>Tabela 7</w:t>
        </w:r>
        <w:r w:rsidR="00CD4059" w:rsidRPr="00BF773F">
          <w:rPr>
            <w:rStyle w:val="Hipercze"/>
            <w:bCs/>
          </w:rPr>
          <w:noBreakHyphen/>
          <w:t>5.</w:t>
        </w:r>
        <w:r w:rsidR="00CD4059">
          <w:rPr>
            <w:rFonts w:asciiTheme="minorHAnsi" w:eastAsiaTheme="minorEastAsia" w:hAnsiTheme="minorHAnsi" w:cstheme="minorBidi"/>
            <w:sz w:val="22"/>
            <w:lang w:eastAsia="pl-PL"/>
          </w:rPr>
          <w:tab/>
        </w:r>
        <w:r w:rsidR="00CD4059" w:rsidRPr="00BF773F">
          <w:rPr>
            <w:rStyle w:val="Hipercze"/>
          </w:rPr>
          <w:t>Podsumowanie analizy znaczących oddziaływań antropogenicznych wraz z oceną ryzyka nieosiągnięcia celów środowiskowych dla JCWP LW – obszar dorzecza Odry</w:t>
        </w:r>
        <w:r w:rsidR="00CD4059">
          <w:rPr>
            <w:webHidden/>
          </w:rPr>
          <w:tab/>
        </w:r>
        <w:r w:rsidR="00CD4059">
          <w:rPr>
            <w:webHidden/>
          </w:rPr>
          <w:fldChar w:fldCharType="begin"/>
        </w:r>
        <w:r w:rsidR="00CD4059">
          <w:rPr>
            <w:webHidden/>
          </w:rPr>
          <w:instrText xml:space="preserve"> PAGEREF _Toc105512806 \h </w:instrText>
        </w:r>
        <w:r w:rsidR="00CD4059">
          <w:rPr>
            <w:webHidden/>
          </w:rPr>
        </w:r>
        <w:r w:rsidR="00CD4059">
          <w:rPr>
            <w:webHidden/>
          </w:rPr>
          <w:fldChar w:fldCharType="separate"/>
        </w:r>
        <w:r w:rsidR="001F774D">
          <w:rPr>
            <w:webHidden/>
          </w:rPr>
          <w:t>146</w:t>
        </w:r>
        <w:r w:rsidR="00CD4059">
          <w:rPr>
            <w:webHidden/>
          </w:rPr>
          <w:fldChar w:fldCharType="end"/>
        </w:r>
      </w:hyperlink>
    </w:p>
    <w:p w14:paraId="1E0BA4BA" w14:textId="57628C6F" w:rsidR="00CD4059" w:rsidRDefault="009C595A">
      <w:pPr>
        <w:pStyle w:val="Spisilustracji"/>
        <w:rPr>
          <w:rFonts w:asciiTheme="minorHAnsi" w:eastAsiaTheme="minorEastAsia" w:hAnsiTheme="minorHAnsi" w:cstheme="minorBidi"/>
          <w:sz w:val="22"/>
          <w:lang w:eastAsia="pl-PL"/>
        </w:rPr>
      </w:pPr>
      <w:hyperlink w:anchor="_Toc105512807" w:history="1">
        <w:r w:rsidR="00CD4059" w:rsidRPr="00BF773F">
          <w:rPr>
            <w:rStyle w:val="Hipercze"/>
            <w:bCs/>
          </w:rPr>
          <w:t>Tabela 7</w:t>
        </w:r>
        <w:r w:rsidR="00CD4059" w:rsidRPr="00BF773F">
          <w:rPr>
            <w:rStyle w:val="Hipercze"/>
            <w:bCs/>
          </w:rPr>
          <w:noBreakHyphen/>
          <w:t>6.</w:t>
        </w:r>
        <w:r w:rsidR="00CD4059">
          <w:rPr>
            <w:rFonts w:asciiTheme="minorHAnsi" w:eastAsiaTheme="minorEastAsia" w:hAnsiTheme="minorHAnsi" w:cstheme="minorBidi"/>
            <w:sz w:val="22"/>
            <w:lang w:eastAsia="pl-PL"/>
          </w:rPr>
          <w:tab/>
        </w:r>
        <w:r w:rsidR="00CD4059" w:rsidRPr="00BF773F">
          <w:rPr>
            <w:rStyle w:val="Hipercze"/>
          </w:rPr>
          <w:t>Udział JCWP LW zagrożonych nieosiągnięciem celów środowiskowych w ogólnej liczbie JCWP LW danego regionu wodnego obszaru dorzecza Odry</w:t>
        </w:r>
        <w:r w:rsidR="00CD4059">
          <w:rPr>
            <w:webHidden/>
          </w:rPr>
          <w:tab/>
        </w:r>
        <w:r w:rsidR="00CD4059">
          <w:rPr>
            <w:webHidden/>
          </w:rPr>
          <w:fldChar w:fldCharType="begin"/>
        </w:r>
        <w:r w:rsidR="00CD4059">
          <w:rPr>
            <w:webHidden/>
          </w:rPr>
          <w:instrText xml:space="preserve"> PAGEREF _Toc105512807 \h </w:instrText>
        </w:r>
        <w:r w:rsidR="00CD4059">
          <w:rPr>
            <w:webHidden/>
          </w:rPr>
        </w:r>
        <w:r w:rsidR="00CD4059">
          <w:rPr>
            <w:webHidden/>
          </w:rPr>
          <w:fldChar w:fldCharType="separate"/>
        </w:r>
        <w:r w:rsidR="001F774D">
          <w:rPr>
            <w:webHidden/>
          </w:rPr>
          <w:t>148</w:t>
        </w:r>
        <w:r w:rsidR="00CD4059">
          <w:rPr>
            <w:webHidden/>
          </w:rPr>
          <w:fldChar w:fldCharType="end"/>
        </w:r>
      </w:hyperlink>
    </w:p>
    <w:p w14:paraId="3FBB3150" w14:textId="1A7DCB6B" w:rsidR="00CD4059" w:rsidRDefault="009C595A">
      <w:pPr>
        <w:pStyle w:val="Spisilustracji"/>
        <w:rPr>
          <w:rFonts w:asciiTheme="minorHAnsi" w:eastAsiaTheme="minorEastAsia" w:hAnsiTheme="minorHAnsi" w:cstheme="minorBidi"/>
          <w:sz w:val="22"/>
          <w:lang w:eastAsia="pl-PL"/>
        </w:rPr>
      </w:pPr>
      <w:hyperlink w:anchor="_Toc105512808" w:history="1">
        <w:r w:rsidR="00CD4059" w:rsidRPr="00BF773F">
          <w:rPr>
            <w:rStyle w:val="Hipercze"/>
            <w:bCs/>
          </w:rPr>
          <w:t>Tabela 7</w:t>
        </w:r>
        <w:r w:rsidR="00CD4059" w:rsidRPr="00BF773F">
          <w:rPr>
            <w:rStyle w:val="Hipercze"/>
            <w:bCs/>
          </w:rPr>
          <w:noBreakHyphen/>
          <w:t>7.</w:t>
        </w:r>
        <w:r w:rsidR="00CD4059">
          <w:rPr>
            <w:rFonts w:asciiTheme="minorHAnsi" w:eastAsiaTheme="minorEastAsia" w:hAnsiTheme="minorHAnsi" w:cstheme="minorBidi"/>
            <w:sz w:val="22"/>
            <w:lang w:eastAsia="pl-PL"/>
          </w:rPr>
          <w:tab/>
        </w:r>
        <w:r w:rsidR="00CD4059" w:rsidRPr="00BF773F">
          <w:rPr>
            <w:rStyle w:val="Hipercze"/>
          </w:rPr>
          <w:t>Podsumowanie analizy znaczących oddziaływań antropogenicznych wraz z oceną ryzyka nieosiągnięcia celów środowiskowych dla JCWP TW i CW – obszar dorzecza Odry</w:t>
        </w:r>
        <w:r w:rsidR="00CD4059">
          <w:rPr>
            <w:webHidden/>
          </w:rPr>
          <w:tab/>
        </w:r>
        <w:r w:rsidR="00CD4059">
          <w:rPr>
            <w:webHidden/>
          </w:rPr>
          <w:fldChar w:fldCharType="begin"/>
        </w:r>
        <w:r w:rsidR="00CD4059">
          <w:rPr>
            <w:webHidden/>
          </w:rPr>
          <w:instrText xml:space="preserve"> PAGEREF _Toc105512808 \h </w:instrText>
        </w:r>
        <w:r w:rsidR="00CD4059">
          <w:rPr>
            <w:webHidden/>
          </w:rPr>
        </w:r>
        <w:r w:rsidR="00CD4059">
          <w:rPr>
            <w:webHidden/>
          </w:rPr>
          <w:fldChar w:fldCharType="separate"/>
        </w:r>
        <w:r w:rsidR="001F774D">
          <w:rPr>
            <w:webHidden/>
          </w:rPr>
          <w:t>149</w:t>
        </w:r>
        <w:r w:rsidR="00CD4059">
          <w:rPr>
            <w:webHidden/>
          </w:rPr>
          <w:fldChar w:fldCharType="end"/>
        </w:r>
      </w:hyperlink>
    </w:p>
    <w:p w14:paraId="0B5F9751" w14:textId="3D8AC564" w:rsidR="00CD4059" w:rsidRDefault="009C595A">
      <w:pPr>
        <w:pStyle w:val="Spisilustracji"/>
        <w:rPr>
          <w:rFonts w:asciiTheme="minorHAnsi" w:eastAsiaTheme="minorEastAsia" w:hAnsiTheme="minorHAnsi" w:cstheme="minorBidi"/>
          <w:sz w:val="22"/>
          <w:lang w:eastAsia="pl-PL"/>
        </w:rPr>
      </w:pPr>
      <w:hyperlink w:anchor="_Toc105512809" w:history="1">
        <w:r w:rsidR="00CD4059" w:rsidRPr="00BF773F">
          <w:rPr>
            <w:rStyle w:val="Hipercze"/>
          </w:rPr>
          <w:t>Tabela 7</w:t>
        </w:r>
        <w:r w:rsidR="00CD4059" w:rsidRPr="00BF773F">
          <w:rPr>
            <w:rStyle w:val="Hipercze"/>
          </w:rPr>
          <w:noBreakHyphen/>
          <w:t>8.</w:t>
        </w:r>
        <w:r w:rsidR="00CD4059">
          <w:rPr>
            <w:rFonts w:asciiTheme="minorHAnsi" w:eastAsiaTheme="minorEastAsia" w:hAnsiTheme="minorHAnsi" w:cstheme="minorBidi"/>
            <w:sz w:val="22"/>
            <w:lang w:eastAsia="pl-PL"/>
          </w:rPr>
          <w:tab/>
        </w:r>
        <w:r w:rsidR="00CD4059" w:rsidRPr="00BF773F">
          <w:rPr>
            <w:rStyle w:val="Hipercze"/>
          </w:rPr>
          <w:t>Roczna wielkość poborów z ujęć wód podziemnych z podziałem na czynniki sprawcze – obszar dorzecza Odry</w:t>
        </w:r>
        <w:r w:rsidR="00CD4059">
          <w:rPr>
            <w:webHidden/>
          </w:rPr>
          <w:tab/>
        </w:r>
        <w:r w:rsidR="00CD4059">
          <w:rPr>
            <w:webHidden/>
          </w:rPr>
          <w:fldChar w:fldCharType="begin"/>
        </w:r>
        <w:r w:rsidR="00CD4059">
          <w:rPr>
            <w:webHidden/>
          </w:rPr>
          <w:instrText xml:space="preserve"> PAGEREF _Toc105512809 \h </w:instrText>
        </w:r>
        <w:r w:rsidR="00CD4059">
          <w:rPr>
            <w:webHidden/>
          </w:rPr>
        </w:r>
        <w:r w:rsidR="00CD4059">
          <w:rPr>
            <w:webHidden/>
          </w:rPr>
          <w:fldChar w:fldCharType="separate"/>
        </w:r>
        <w:r w:rsidR="001F774D">
          <w:rPr>
            <w:webHidden/>
          </w:rPr>
          <w:t>156</w:t>
        </w:r>
        <w:r w:rsidR="00CD4059">
          <w:rPr>
            <w:webHidden/>
          </w:rPr>
          <w:fldChar w:fldCharType="end"/>
        </w:r>
      </w:hyperlink>
    </w:p>
    <w:p w14:paraId="6D3CBC50" w14:textId="6FC7EE3B" w:rsidR="00CD4059" w:rsidRDefault="009C595A">
      <w:pPr>
        <w:pStyle w:val="Spisilustracji"/>
        <w:rPr>
          <w:rFonts w:asciiTheme="minorHAnsi" w:eastAsiaTheme="minorEastAsia" w:hAnsiTheme="minorHAnsi" w:cstheme="minorBidi"/>
          <w:sz w:val="22"/>
          <w:lang w:eastAsia="pl-PL"/>
        </w:rPr>
      </w:pPr>
      <w:hyperlink w:anchor="_Toc105512810" w:history="1">
        <w:r w:rsidR="00CD4059" w:rsidRPr="00BF773F">
          <w:rPr>
            <w:rStyle w:val="Hipercze"/>
          </w:rPr>
          <w:t>Tabela 7</w:t>
        </w:r>
        <w:r w:rsidR="00CD4059" w:rsidRPr="00BF773F">
          <w:rPr>
            <w:rStyle w:val="Hipercze"/>
          </w:rPr>
          <w:noBreakHyphen/>
          <w:t>9.</w:t>
        </w:r>
        <w:r w:rsidR="00CD4059">
          <w:rPr>
            <w:rFonts w:asciiTheme="minorHAnsi" w:eastAsiaTheme="minorEastAsia" w:hAnsiTheme="minorHAnsi" w:cstheme="minorBidi"/>
            <w:sz w:val="22"/>
            <w:lang w:eastAsia="pl-PL"/>
          </w:rPr>
          <w:tab/>
        </w:r>
        <w:r w:rsidR="00CD4059" w:rsidRPr="00BF773F">
          <w:rPr>
            <w:rStyle w:val="Hipercze"/>
          </w:rPr>
          <w:t>Zestawienie JCWPd na obszarze których pobór wód podziemnych związany z odwodnieniem kopalni przewyższa pobór na inne cele –</w:t>
        </w:r>
        <w:r w:rsidR="00CD4059" w:rsidRPr="00BF773F">
          <w:rPr>
            <w:rStyle w:val="Hipercze"/>
            <w:rFonts w:cstheme="minorHAnsi"/>
          </w:rPr>
          <w:t xml:space="preserve"> obszar dorzecza Odry</w:t>
        </w:r>
        <w:r w:rsidR="00CD4059">
          <w:rPr>
            <w:webHidden/>
          </w:rPr>
          <w:tab/>
        </w:r>
        <w:r w:rsidR="00CD4059">
          <w:rPr>
            <w:webHidden/>
          </w:rPr>
          <w:fldChar w:fldCharType="begin"/>
        </w:r>
        <w:r w:rsidR="00CD4059">
          <w:rPr>
            <w:webHidden/>
          </w:rPr>
          <w:instrText xml:space="preserve"> PAGEREF _Toc105512810 \h </w:instrText>
        </w:r>
        <w:r w:rsidR="00CD4059">
          <w:rPr>
            <w:webHidden/>
          </w:rPr>
        </w:r>
        <w:r w:rsidR="00CD4059">
          <w:rPr>
            <w:webHidden/>
          </w:rPr>
          <w:fldChar w:fldCharType="separate"/>
        </w:r>
        <w:r w:rsidR="001F774D">
          <w:rPr>
            <w:webHidden/>
          </w:rPr>
          <w:t>157</w:t>
        </w:r>
        <w:r w:rsidR="00CD4059">
          <w:rPr>
            <w:webHidden/>
          </w:rPr>
          <w:fldChar w:fldCharType="end"/>
        </w:r>
      </w:hyperlink>
    </w:p>
    <w:p w14:paraId="4E114A9D" w14:textId="721811AD" w:rsidR="00CD4059" w:rsidRDefault="009C595A">
      <w:pPr>
        <w:pStyle w:val="Spisilustracji"/>
        <w:rPr>
          <w:rFonts w:asciiTheme="minorHAnsi" w:eastAsiaTheme="minorEastAsia" w:hAnsiTheme="minorHAnsi" w:cstheme="minorBidi"/>
          <w:sz w:val="22"/>
          <w:lang w:eastAsia="pl-PL"/>
        </w:rPr>
      </w:pPr>
      <w:hyperlink w:anchor="_Toc105512811" w:history="1">
        <w:r w:rsidR="00CD4059" w:rsidRPr="00BF773F">
          <w:rPr>
            <w:rStyle w:val="Hipercze"/>
          </w:rPr>
          <w:t>Tabela 8</w:t>
        </w:r>
        <w:r w:rsidR="00CD4059" w:rsidRPr="00BF773F">
          <w:rPr>
            <w:rStyle w:val="Hipercze"/>
          </w:rPr>
          <w:noBreakHyphen/>
          <w:t>1.</w:t>
        </w:r>
        <w:r w:rsidR="00CD4059">
          <w:rPr>
            <w:rFonts w:asciiTheme="minorHAnsi" w:eastAsiaTheme="minorEastAsia" w:hAnsiTheme="minorHAnsi" w:cstheme="minorBidi"/>
            <w:sz w:val="22"/>
            <w:lang w:eastAsia="pl-PL"/>
          </w:rPr>
          <w:tab/>
        </w:r>
        <w:r w:rsidR="00CD4059" w:rsidRPr="00BF773F">
          <w:rPr>
            <w:rStyle w:val="Hipercze"/>
          </w:rPr>
          <w:t>Liczba JCWP RW z poszczególnymi celami środowiskowymi na obszarze dorzecza Odry w aPGW (2016–2021)</w:t>
        </w:r>
        <w:r w:rsidR="00CD4059">
          <w:rPr>
            <w:webHidden/>
          </w:rPr>
          <w:tab/>
        </w:r>
        <w:r w:rsidR="00CD4059">
          <w:rPr>
            <w:webHidden/>
          </w:rPr>
          <w:fldChar w:fldCharType="begin"/>
        </w:r>
        <w:r w:rsidR="00CD4059">
          <w:rPr>
            <w:webHidden/>
          </w:rPr>
          <w:instrText xml:space="preserve"> PAGEREF _Toc105512811 \h </w:instrText>
        </w:r>
        <w:r w:rsidR="00CD4059">
          <w:rPr>
            <w:webHidden/>
          </w:rPr>
        </w:r>
        <w:r w:rsidR="00CD4059">
          <w:rPr>
            <w:webHidden/>
          </w:rPr>
          <w:fldChar w:fldCharType="separate"/>
        </w:r>
        <w:r w:rsidR="001F774D">
          <w:rPr>
            <w:webHidden/>
          </w:rPr>
          <w:t>159</w:t>
        </w:r>
        <w:r w:rsidR="00CD4059">
          <w:rPr>
            <w:webHidden/>
          </w:rPr>
          <w:fldChar w:fldCharType="end"/>
        </w:r>
      </w:hyperlink>
    </w:p>
    <w:p w14:paraId="08684520" w14:textId="2FACA4C5" w:rsidR="00CD4059" w:rsidRDefault="009C595A">
      <w:pPr>
        <w:pStyle w:val="Spisilustracji"/>
        <w:rPr>
          <w:rFonts w:asciiTheme="minorHAnsi" w:eastAsiaTheme="minorEastAsia" w:hAnsiTheme="minorHAnsi" w:cstheme="minorBidi"/>
          <w:sz w:val="22"/>
          <w:lang w:eastAsia="pl-PL"/>
        </w:rPr>
      </w:pPr>
      <w:hyperlink w:anchor="_Toc105512812" w:history="1">
        <w:r w:rsidR="00CD4059" w:rsidRPr="00BF773F">
          <w:rPr>
            <w:rStyle w:val="Hipercze"/>
          </w:rPr>
          <w:t>Tabela 8</w:t>
        </w:r>
        <w:r w:rsidR="00CD4059" w:rsidRPr="00BF773F">
          <w:rPr>
            <w:rStyle w:val="Hipercze"/>
          </w:rPr>
          <w:noBreakHyphen/>
          <w:t>2.</w:t>
        </w:r>
        <w:r w:rsidR="00CD4059">
          <w:rPr>
            <w:rFonts w:asciiTheme="minorHAnsi" w:eastAsiaTheme="minorEastAsia" w:hAnsiTheme="minorHAnsi" w:cstheme="minorBidi"/>
            <w:sz w:val="22"/>
            <w:lang w:eastAsia="pl-PL"/>
          </w:rPr>
          <w:tab/>
        </w:r>
        <w:r w:rsidR="00CD4059" w:rsidRPr="00BF773F">
          <w:rPr>
            <w:rStyle w:val="Hipercze"/>
          </w:rPr>
          <w:t>Liczba JCWP LW z poszczególnymi celami środowiskowymi na obszarze dorzecza Odry w aPGW (2016–2021)</w:t>
        </w:r>
        <w:r w:rsidR="00CD4059">
          <w:rPr>
            <w:webHidden/>
          </w:rPr>
          <w:tab/>
        </w:r>
        <w:r w:rsidR="00CD4059">
          <w:rPr>
            <w:webHidden/>
          </w:rPr>
          <w:fldChar w:fldCharType="begin"/>
        </w:r>
        <w:r w:rsidR="00CD4059">
          <w:rPr>
            <w:webHidden/>
          </w:rPr>
          <w:instrText xml:space="preserve"> PAGEREF _Toc105512812 \h </w:instrText>
        </w:r>
        <w:r w:rsidR="00CD4059">
          <w:rPr>
            <w:webHidden/>
          </w:rPr>
        </w:r>
        <w:r w:rsidR="00CD4059">
          <w:rPr>
            <w:webHidden/>
          </w:rPr>
          <w:fldChar w:fldCharType="separate"/>
        </w:r>
        <w:r w:rsidR="001F774D">
          <w:rPr>
            <w:webHidden/>
          </w:rPr>
          <w:t>160</w:t>
        </w:r>
        <w:r w:rsidR="00CD4059">
          <w:rPr>
            <w:webHidden/>
          </w:rPr>
          <w:fldChar w:fldCharType="end"/>
        </w:r>
      </w:hyperlink>
    </w:p>
    <w:p w14:paraId="2330992B" w14:textId="4DB66F78" w:rsidR="00CD4059" w:rsidRDefault="009C595A">
      <w:pPr>
        <w:pStyle w:val="Spisilustracji"/>
        <w:rPr>
          <w:rFonts w:asciiTheme="minorHAnsi" w:eastAsiaTheme="minorEastAsia" w:hAnsiTheme="minorHAnsi" w:cstheme="minorBidi"/>
          <w:sz w:val="22"/>
          <w:lang w:eastAsia="pl-PL"/>
        </w:rPr>
      </w:pPr>
      <w:hyperlink w:anchor="_Toc105512813" w:history="1">
        <w:r w:rsidR="00CD4059" w:rsidRPr="00BF773F">
          <w:rPr>
            <w:rStyle w:val="Hipercze"/>
          </w:rPr>
          <w:t>Tabela 8</w:t>
        </w:r>
        <w:r w:rsidR="00CD4059" w:rsidRPr="00BF773F">
          <w:rPr>
            <w:rStyle w:val="Hipercze"/>
          </w:rPr>
          <w:noBreakHyphen/>
          <w:t>3.</w:t>
        </w:r>
        <w:r w:rsidR="00CD4059">
          <w:rPr>
            <w:rFonts w:asciiTheme="minorHAnsi" w:eastAsiaTheme="minorEastAsia" w:hAnsiTheme="minorHAnsi" w:cstheme="minorBidi"/>
            <w:sz w:val="22"/>
            <w:lang w:eastAsia="pl-PL"/>
          </w:rPr>
          <w:tab/>
        </w:r>
        <w:r w:rsidR="00CD4059" w:rsidRPr="00BF773F">
          <w:rPr>
            <w:rStyle w:val="Hipercze"/>
          </w:rPr>
          <w:t>Liczba JCWP TW i CW z poszczególnymi celami środowiskowymi na obszarze dorzecza Odry w aPGW (2016–2021)</w:t>
        </w:r>
        <w:r w:rsidR="00CD4059">
          <w:rPr>
            <w:webHidden/>
          </w:rPr>
          <w:tab/>
        </w:r>
        <w:r w:rsidR="00CD4059">
          <w:rPr>
            <w:webHidden/>
          </w:rPr>
          <w:fldChar w:fldCharType="begin"/>
        </w:r>
        <w:r w:rsidR="00CD4059">
          <w:rPr>
            <w:webHidden/>
          </w:rPr>
          <w:instrText xml:space="preserve"> PAGEREF _Toc105512813 \h </w:instrText>
        </w:r>
        <w:r w:rsidR="00CD4059">
          <w:rPr>
            <w:webHidden/>
          </w:rPr>
        </w:r>
        <w:r w:rsidR="00CD4059">
          <w:rPr>
            <w:webHidden/>
          </w:rPr>
          <w:fldChar w:fldCharType="separate"/>
        </w:r>
        <w:r w:rsidR="001F774D">
          <w:rPr>
            <w:webHidden/>
          </w:rPr>
          <w:t>160</w:t>
        </w:r>
        <w:r w:rsidR="00CD4059">
          <w:rPr>
            <w:webHidden/>
          </w:rPr>
          <w:fldChar w:fldCharType="end"/>
        </w:r>
      </w:hyperlink>
    </w:p>
    <w:p w14:paraId="1A70D779" w14:textId="13C00672" w:rsidR="00CD4059" w:rsidRDefault="009C595A">
      <w:pPr>
        <w:pStyle w:val="Spisilustracji"/>
        <w:rPr>
          <w:rFonts w:asciiTheme="minorHAnsi" w:eastAsiaTheme="minorEastAsia" w:hAnsiTheme="minorHAnsi" w:cstheme="minorBidi"/>
          <w:sz w:val="22"/>
          <w:lang w:eastAsia="pl-PL"/>
        </w:rPr>
      </w:pPr>
      <w:hyperlink w:anchor="_Toc105512814" w:history="1">
        <w:r w:rsidR="00CD4059" w:rsidRPr="00BF773F">
          <w:rPr>
            <w:rStyle w:val="Hipercze"/>
          </w:rPr>
          <w:t>Tabela 8</w:t>
        </w:r>
        <w:r w:rsidR="00CD4059" w:rsidRPr="00BF773F">
          <w:rPr>
            <w:rStyle w:val="Hipercze"/>
          </w:rPr>
          <w:noBreakHyphen/>
          <w:t>4.</w:t>
        </w:r>
        <w:r w:rsidR="00CD4059">
          <w:rPr>
            <w:rFonts w:asciiTheme="minorHAnsi" w:eastAsiaTheme="minorEastAsia" w:hAnsiTheme="minorHAnsi" w:cstheme="minorBidi"/>
            <w:sz w:val="22"/>
            <w:lang w:eastAsia="pl-PL"/>
          </w:rPr>
          <w:tab/>
        </w:r>
        <w:r w:rsidR="00CD4059" w:rsidRPr="00BF773F">
          <w:rPr>
            <w:rStyle w:val="Hipercze"/>
            <w:lang w:eastAsia="zh-TW"/>
          </w:rPr>
          <w:t>Liczba JCWP RW z poszczególnymi celami środowiskowymi na obszarze dorzecza Odry w IIaPGW (2022–2027)</w:t>
        </w:r>
        <w:r w:rsidR="00CD4059">
          <w:rPr>
            <w:webHidden/>
          </w:rPr>
          <w:tab/>
        </w:r>
        <w:r w:rsidR="00CD4059">
          <w:rPr>
            <w:webHidden/>
          </w:rPr>
          <w:fldChar w:fldCharType="begin"/>
        </w:r>
        <w:r w:rsidR="00CD4059">
          <w:rPr>
            <w:webHidden/>
          </w:rPr>
          <w:instrText xml:space="preserve"> PAGEREF _Toc105512814 \h </w:instrText>
        </w:r>
        <w:r w:rsidR="00CD4059">
          <w:rPr>
            <w:webHidden/>
          </w:rPr>
        </w:r>
        <w:r w:rsidR="00CD4059">
          <w:rPr>
            <w:webHidden/>
          </w:rPr>
          <w:fldChar w:fldCharType="separate"/>
        </w:r>
        <w:r w:rsidR="001F774D">
          <w:rPr>
            <w:webHidden/>
          </w:rPr>
          <w:t>161</w:t>
        </w:r>
        <w:r w:rsidR="00CD4059">
          <w:rPr>
            <w:webHidden/>
          </w:rPr>
          <w:fldChar w:fldCharType="end"/>
        </w:r>
      </w:hyperlink>
    </w:p>
    <w:p w14:paraId="7606F00E" w14:textId="24A859AF" w:rsidR="00CD4059" w:rsidRDefault="009C595A">
      <w:pPr>
        <w:pStyle w:val="Spisilustracji"/>
        <w:rPr>
          <w:rFonts w:asciiTheme="minorHAnsi" w:eastAsiaTheme="minorEastAsia" w:hAnsiTheme="minorHAnsi" w:cstheme="minorBidi"/>
          <w:sz w:val="22"/>
          <w:lang w:eastAsia="pl-PL"/>
        </w:rPr>
      </w:pPr>
      <w:hyperlink w:anchor="_Toc105512815" w:history="1">
        <w:r w:rsidR="00CD4059" w:rsidRPr="00BF773F">
          <w:rPr>
            <w:rStyle w:val="Hipercze"/>
          </w:rPr>
          <w:t>Tabela 8</w:t>
        </w:r>
        <w:r w:rsidR="00CD4059" w:rsidRPr="00BF773F">
          <w:rPr>
            <w:rStyle w:val="Hipercze"/>
          </w:rPr>
          <w:noBreakHyphen/>
          <w:t>5.</w:t>
        </w:r>
        <w:r w:rsidR="00CD4059">
          <w:rPr>
            <w:rFonts w:asciiTheme="minorHAnsi" w:eastAsiaTheme="minorEastAsia" w:hAnsiTheme="minorHAnsi" w:cstheme="minorBidi"/>
            <w:sz w:val="22"/>
            <w:lang w:eastAsia="pl-PL"/>
          </w:rPr>
          <w:tab/>
        </w:r>
        <w:r w:rsidR="00CD4059" w:rsidRPr="00BF773F">
          <w:rPr>
            <w:rStyle w:val="Hipercze"/>
            <w:lang w:eastAsia="zh-TW"/>
          </w:rPr>
          <w:t>Liczba JCWP RWr z poszczególnymi celami środowiskowymi na obszarze dorzecza Odry w IIaPGW (2022–2027)</w:t>
        </w:r>
        <w:r w:rsidR="00CD4059">
          <w:rPr>
            <w:webHidden/>
          </w:rPr>
          <w:tab/>
        </w:r>
        <w:r w:rsidR="00CD4059">
          <w:rPr>
            <w:webHidden/>
          </w:rPr>
          <w:fldChar w:fldCharType="begin"/>
        </w:r>
        <w:r w:rsidR="00CD4059">
          <w:rPr>
            <w:webHidden/>
          </w:rPr>
          <w:instrText xml:space="preserve"> PAGEREF _Toc105512815 \h </w:instrText>
        </w:r>
        <w:r w:rsidR="00CD4059">
          <w:rPr>
            <w:webHidden/>
          </w:rPr>
        </w:r>
        <w:r w:rsidR="00CD4059">
          <w:rPr>
            <w:webHidden/>
          </w:rPr>
          <w:fldChar w:fldCharType="separate"/>
        </w:r>
        <w:r w:rsidR="001F774D">
          <w:rPr>
            <w:webHidden/>
          </w:rPr>
          <w:t>162</w:t>
        </w:r>
        <w:r w:rsidR="00CD4059">
          <w:rPr>
            <w:webHidden/>
          </w:rPr>
          <w:fldChar w:fldCharType="end"/>
        </w:r>
      </w:hyperlink>
    </w:p>
    <w:p w14:paraId="033444A6" w14:textId="4E74ACA3" w:rsidR="00CD4059" w:rsidRDefault="009C595A">
      <w:pPr>
        <w:pStyle w:val="Spisilustracji"/>
        <w:rPr>
          <w:rFonts w:asciiTheme="minorHAnsi" w:eastAsiaTheme="minorEastAsia" w:hAnsiTheme="minorHAnsi" w:cstheme="minorBidi"/>
          <w:sz w:val="22"/>
          <w:lang w:eastAsia="pl-PL"/>
        </w:rPr>
      </w:pPr>
      <w:hyperlink w:anchor="_Toc105512816" w:history="1">
        <w:r w:rsidR="00CD4059" w:rsidRPr="00BF773F">
          <w:rPr>
            <w:rStyle w:val="Hipercze"/>
          </w:rPr>
          <w:t>Tabela 8</w:t>
        </w:r>
        <w:r w:rsidR="00CD4059" w:rsidRPr="00BF773F">
          <w:rPr>
            <w:rStyle w:val="Hipercze"/>
          </w:rPr>
          <w:noBreakHyphen/>
          <w:t>6.</w:t>
        </w:r>
        <w:r w:rsidR="00CD4059">
          <w:rPr>
            <w:rFonts w:asciiTheme="minorHAnsi" w:eastAsiaTheme="minorEastAsia" w:hAnsiTheme="minorHAnsi" w:cstheme="minorBidi"/>
            <w:sz w:val="22"/>
            <w:lang w:eastAsia="pl-PL"/>
          </w:rPr>
          <w:tab/>
        </w:r>
        <w:r w:rsidR="00CD4059" w:rsidRPr="00BF773F">
          <w:rPr>
            <w:rStyle w:val="Hipercze"/>
            <w:lang w:eastAsia="zh-TW"/>
          </w:rPr>
          <w:t>Liczba JCWP LW z poszczególnymi celami środowiskowymi na obszarze dorzecza Odry w IIaPGW (2022–2027)</w:t>
        </w:r>
        <w:r w:rsidR="00CD4059">
          <w:rPr>
            <w:webHidden/>
          </w:rPr>
          <w:tab/>
        </w:r>
        <w:r w:rsidR="00CD4059">
          <w:rPr>
            <w:webHidden/>
          </w:rPr>
          <w:fldChar w:fldCharType="begin"/>
        </w:r>
        <w:r w:rsidR="00CD4059">
          <w:rPr>
            <w:webHidden/>
          </w:rPr>
          <w:instrText xml:space="preserve"> PAGEREF _Toc105512816 \h </w:instrText>
        </w:r>
        <w:r w:rsidR="00CD4059">
          <w:rPr>
            <w:webHidden/>
          </w:rPr>
        </w:r>
        <w:r w:rsidR="00CD4059">
          <w:rPr>
            <w:webHidden/>
          </w:rPr>
          <w:fldChar w:fldCharType="separate"/>
        </w:r>
        <w:r w:rsidR="001F774D">
          <w:rPr>
            <w:webHidden/>
          </w:rPr>
          <w:t>163</w:t>
        </w:r>
        <w:r w:rsidR="00CD4059">
          <w:rPr>
            <w:webHidden/>
          </w:rPr>
          <w:fldChar w:fldCharType="end"/>
        </w:r>
      </w:hyperlink>
    </w:p>
    <w:p w14:paraId="073A35A7" w14:textId="285BB9A0" w:rsidR="00CD4059" w:rsidRDefault="009C595A">
      <w:pPr>
        <w:pStyle w:val="Spisilustracji"/>
        <w:rPr>
          <w:rFonts w:asciiTheme="minorHAnsi" w:eastAsiaTheme="minorEastAsia" w:hAnsiTheme="minorHAnsi" w:cstheme="minorBidi"/>
          <w:sz w:val="22"/>
          <w:lang w:eastAsia="pl-PL"/>
        </w:rPr>
      </w:pPr>
      <w:hyperlink w:anchor="_Toc105512817" w:history="1">
        <w:r w:rsidR="00CD4059" w:rsidRPr="00BF773F">
          <w:rPr>
            <w:rStyle w:val="Hipercze"/>
          </w:rPr>
          <w:t>Tabela 8</w:t>
        </w:r>
        <w:r w:rsidR="00CD4059" w:rsidRPr="00BF773F">
          <w:rPr>
            <w:rStyle w:val="Hipercze"/>
          </w:rPr>
          <w:noBreakHyphen/>
          <w:t>7.</w:t>
        </w:r>
        <w:r w:rsidR="00CD4059">
          <w:rPr>
            <w:rFonts w:asciiTheme="minorHAnsi" w:eastAsiaTheme="minorEastAsia" w:hAnsiTheme="minorHAnsi" w:cstheme="minorBidi"/>
            <w:sz w:val="22"/>
            <w:lang w:eastAsia="pl-PL"/>
          </w:rPr>
          <w:tab/>
        </w:r>
        <w:r w:rsidR="00CD4059" w:rsidRPr="00BF773F">
          <w:rPr>
            <w:rStyle w:val="Hipercze"/>
            <w:lang w:eastAsia="zh-TW"/>
          </w:rPr>
          <w:t>JCWP TW i CW z poszczególnymi celami środowiskowymi na obszarze dorzecza Odry w IIaPGW (2022–2027)</w:t>
        </w:r>
        <w:r w:rsidR="00CD4059">
          <w:rPr>
            <w:webHidden/>
          </w:rPr>
          <w:tab/>
        </w:r>
        <w:r w:rsidR="00CD4059">
          <w:rPr>
            <w:webHidden/>
          </w:rPr>
          <w:fldChar w:fldCharType="begin"/>
        </w:r>
        <w:r w:rsidR="00CD4059">
          <w:rPr>
            <w:webHidden/>
          </w:rPr>
          <w:instrText xml:space="preserve"> PAGEREF _Toc105512817 \h </w:instrText>
        </w:r>
        <w:r w:rsidR="00CD4059">
          <w:rPr>
            <w:webHidden/>
          </w:rPr>
        </w:r>
        <w:r w:rsidR="00CD4059">
          <w:rPr>
            <w:webHidden/>
          </w:rPr>
          <w:fldChar w:fldCharType="separate"/>
        </w:r>
        <w:r w:rsidR="001F774D">
          <w:rPr>
            <w:webHidden/>
          </w:rPr>
          <w:t>163</w:t>
        </w:r>
        <w:r w:rsidR="00CD4059">
          <w:rPr>
            <w:webHidden/>
          </w:rPr>
          <w:fldChar w:fldCharType="end"/>
        </w:r>
      </w:hyperlink>
    </w:p>
    <w:p w14:paraId="5F28F4A0" w14:textId="1FF17B52" w:rsidR="00CD4059" w:rsidRDefault="009C595A">
      <w:pPr>
        <w:pStyle w:val="Spisilustracji"/>
        <w:rPr>
          <w:rFonts w:asciiTheme="minorHAnsi" w:eastAsiaTheme="minorEastAsia" w:hAnsiTheme="minorHAnsi" w:cstheme="minorBidi"/>
          <w:sz w:val="22"/>
          <w:lang w:eastAsia="pl-PL"/>
        </w:rPr>
      </w:pPr>
      <w:hyperlink w:anchor="_Toc105512818" w:history="1">
        <w:r w:rsidR="00CD4059" w:rsidRPr="00BF773F">
          <w:rPr>
            <w:rStyle w:val="Hipercze"/>
            <w:bCs/>
          </w:rPr>
          <w:t xml:space="preserve">Tabela </w:t>
        </w:r>
        <w:r w:rsidR="00CD4059" w:rsidRPr="00BF773F">
          <w:rPr>
            <w:rStyle w:val="Hipercze"/>
          </w:rPr>
          <w:t>8</w:t>
        </w:r>
        <w:r w:rsidR="00CD4059" w:rsidRPr="00BF773F">
          <w:rPr>
            <w:rStyle w:val="Hipercze"/>
            <w:bCs/>
          </w:rPr>
          <w:noBreakHyphen/>
        </w:r>
        <w:r w:rsidR="00CD4059" w:rsidRPr="00BF773F">
          <w:rPr>
            <w:rStyle w:val="Hipercze"/>
          </w:rPr>
          <w:t>8</w:t>
        </w:r>
        <w:r w:rsidR="00CD4059" w:rsidRPr="00BF773F">
          <w:rPr>
            <w:rStyle w:val="Hipercze"/>
            <w:bCs/>
          </w:rPr>
          <w:t>.</w:t>
        </w:r>
        <w:r w:rsidR="00CD4059">
          <w:rPr>
            <w:rFonts w:asciiTheme="minorHAnsi" w:eastAsiaTheme="minorEastAsia" w:hAnsiTheme="minorHAnsi" w:cstheme="minorBidi"/>
            <w:sz w:val="22"/>
            <w:lang w:eastAsia="pl-PL"/>
          </w:rPr>
          <w:tab/>
        </w:r>
        <w:r w:rsidR="00CD4059" w:rsidRPr="00BF773F">
          <w:rPr>
            <w:rStyle w:val="Hipercze"/>
          </w:rPr>
          <w:t>Osiągnięcie celów środowiskowych ustalonych na lata 2016–2021 dla JCWP RW na obszarze dorzecza Odry w oparciu o jednostki planistyczne aPGW</w:t>
        </w:r>
        <w:r w:rsidR="00CD4059">
          <w:rPr>
            <w:webHidden/>
          </w:rPr>
          <w:tab/>
        </w:r>
        <w:r w:rsidR="00CD4059">
          <w:rPr>
            <w:webHidden/>
          </w:rPr>
          <w:fldChar w:fldCharType="begin"/>
        </w:r>
        <w:r w:rsidR="00CD4059">
          <w:rPr>
            <w:webHidden/>
          </w:rPr>
          <w:instrText xml:space="preserve"> PAGEREF _Toc105512818 \h </w:instrText>
        </w:r>
        <w:r w:rsidR="00CD4059">
          <w:rPr>
            <w:webHidden/>
          </w:rPr>
        </w:r>
        <w:r w:rsidR="00CD4059">
          <w:rPr>
            <w:webHidden/>
          </w:rPr>
          <w:fldChar w:fldCharType="separate"/>
        </w:r>
        <w:r w:rsidR="001F774D">
          <w:rPr>
            <w:webHidden/>
          </w:rPr>
          <w:t>167</w:t>
        </w:r>
        <w:r w:rsidR="00CD4059">
          <w:rPr>
            <w:webHidden/>
          </w:rPr>
          <w:fldChar w:fldCharType="end"/>
        </w:r>
      </w:hyperlink>
    </w:p>
    <w:p w14:paraId="413D8E5C" w14:textId="33DE3AC3" w:rsidR="00CD4059" w:rsidRDefault="009C595A">
      <w:pPr>
        <w:pStyle w:val="Spisilustracji"/>
        <w:rPr>
          <w:rFonts w:asciiTheme="minorHAnsi" w:eastAsiaTheme="minorEastAsia" w:hAnsiTheme="minorHAnsi" w:cstheme="minorBidi"/>
          <w:sz w:val="22"/>
          <w:lang w:eastAsia="pl-PL"/>
        </w:rPr>
      </w:pPr>
      <w:hyperlink w:anchor="_Toc105512819" w:history="1">
        <w:r w:rsidR="00CD4059" w:rsidRPr="00BF773F">
          <w:rPr>
            <w:rStyle w:val="Hipercze"/>
            <w:bCs/>
          </w:rPr>
          <w:t>Tabela 8</w:t>
        </w:r>
        <w:r w:rsidR="00CD4059" w:rsidRPr="00BF773F">
          <w:rPr>
            <w:rStyle w:val="Hipercze"/>
            <w:bCs/>
          </w:rPr>
          <w:noBreakHyphen/>
          <w:t>9.</w:t>
        </w:r>
        <w:r w:rsidR="00CD4059">
          <w:rPr>
            <w:rFonts w:asciiTheme="minorHAnsi" w:eastAsiaTheme="minorEastAsia" w:hAnsiTheme="minorHAnsi" w:cstheme="minorBidi"/>
            <w:sz w:val="22"/>
            <w:lang w:eastAsia="pl-PL"/>
          </w:rPr>
          <w:tab/>
        </w:r>
        <w:r w:rsidR="00CD4059" w:rsidRPr="00BF773F">
          <w:rPr>
            <w:rStyle w:val="Hipercze"/>
            <w:lang w:eastAsia="pl-PL"/>
          </w:rPr>
          <w:t>Osiągnięcie celów środowiskowych ustalonych na lata 2016–2021 dla JCWP RWr na obszarze dorzecza Odry w oparciu o jednostki planistyczne aPGW</w:t>
        </w:r>
        <w:r w:rsidR="00CD4059">
          <w:rPr>
            <w:webHidden/>
          </w:rPr>
          <w:tab/>
        </w:r>
        <w:r w:rsidR="00CD4059">
          <w:rPr>
            <w:webHidden/>
          </w:rPr>
          <w:fldChar w:fldCharType="begin"/>
        </w:r>
        <w:r w:rsidR="00CD4059">
          <w:rPr>
            <w:webHidden/>
          </w:rPr>
          <w:instrText xml:space="preserve"> PAGEREF _Toc105512819 \h </w:instrText>
        </w:r>
        <w:r w:rsidR="00CD4059">
          <w:rPr>
            <w:webHidden/>
          </w:rPr>
        </w:r>
        <w:r w:rsidR="00CD4059">
          <w:rPr>
            <w:webHidden/>
          </w:rPr>
          <w:fldChar w:fldCharType="separate"/>
        </w:r>
        <w:r w:rsidR="001F774D">
          <w:rPr>
            <w:webHidden/>
          </w:rPr>
          <w:t>171</w:t>
        </w:r>
        <w:r w:rsidR="00CD4059">
          <w:rPr>
            <w:webHidden/>
          </w:rPr>
          <w:fldChar w:fldCharType="end"/>
        </w:r>
      </w:hyperlink>
    </w:p>
    <w:p w14:paraId="718B2DB8" w14:textId="63B72AB9" w:rsidR="00CD4059" w:rsidRDefault="009C595A">
      <w:pPr>
        <w:pStyle w:val="Spisilustracji"/>
        <w:rPr>
          <w:rFonts w:asciiTheme="minorHAnsi" w:eastAsiaTheme="minorEastAsia" w:hAnsiTheme="minorHAnsi" w:cstheme="minorBidi"/>
          <w:sz w:val="22"/>
          <w:lang w:eastAsia="pl-PL"/>
        </w:rPr>
      </w:pPr>
      <w:hyperlink w:anchor="_Toc105512820" w:history="1">
        <w:r w:rsidR="00CD4059" w:rsidRPr="00BF773F">
          <w:rPr>
            <w:rStyle w:val="Hipercze"/>
          </w:rPr>
          <w:t>Tabela 8</w:t>
        </w:r>
        <w:r w:rsidR="00CD4059" w:rsidRPr="00BF773F">
          <w:rPr>
            <w:rStyle w:val="Hipercze"/>
          </w:rPr>
          <w:noBreakHyphen/>
          <w:t>10.</w:t>
        </w:r>
        <w:r w:rsidR="00CD4059">
          <w:rPr>
            <w:rFonts w:asciiTheme="minorHAnsi" w:eastAsiaTheme="minorEastAsia" w:hAnsiTheme="minorHAnsi" w:cstheme="minorBidi"/>
            <w:sz w:val="22"/>
            <w:lang w:eastAsia="pl-PL"/>
          </w:rPr>
          <w:tab/>
        </w:r>
        <w:r w:rsidR="00CD4059" w:rsidRPr="00BF773F">
          <w:rPr>
            <w:rStyle w:val="Hipercze"/>
            <w:lang w:eastAsia="pl-PL"/>
          </w:rPr>
          <w:t>Osiągnięcie celów środowiskowych ustalonych na lata 2016–2021 dla JCWP LW na obszarze dorzecza Odry w oparciu o jednostki planistyczne aPGW</w:t>
        </w:r>
        <w:r w:rsidR="00CD4059">
          <w:rPr>
            <w:webHidden/>
          </w:rPr>
          <w:tab/>
        </w:r>
        <w:r w:rsidR="00CD4059">
          <w:rPr>
            <w:webHidden/>
          </w:rPr>
          <w:fldChar w:fldCharType="begin"/>
        </w:r>
        <w:r w:rsidR="00CD4059">
          <w:rPr>
            <w:webHidden/>
          </w:rPr>
          <w:instrText xml:space="preserve"> PAGEREF _Toc105512820 \h </w:instrText>
        </w:r>
        <w:r w:rsidR="00CD4059">
          <w:rPr>
            <w:webHidden/>
          </w:rPr>
        </w:r>
        <w:r w:rsidR="00CD4059">
          <w:rPr>
            <w:webHidden/>
          </w:rPr>
          <w:fldChar w:fldCharType="separate"/>
        </w:r>
        <w:r w:rsidR="001F774D">
          <w:rPr>
            <w:webHidden/>
          </w:rPr>
          <w:t>175</w:t>
        </w:r>
        <w:r w:rsidR="00CD4059">
          <w:rPr>
            <w:webHidden/>
          </w:rPr>
          <w:fldChar w:fldCharType="end"/>
        </w:r>
      </w:hyperlink>
    </w:p>
    <w:p w14:paraId="0365E4EF" w14:textId="3C945845" w:rsidR="00CD4059" w:rsidRDefault="009C595A">
      <w:pPr>
        <w:pStyle w:val="Spisilustracji"/>
        <w:rPr>
          <w:rFonts w:asciiTheme="minorHAnsi" w:eastAsiaTheme="minorEastAsia" w:hAnsiTheme="minorHAnsi" w:cstheme="minorBidi"/>
          <w:sz w:val="22"/>
          <w:lang w:eastAsia="pl-PL"/>
        </w:rPr>
      </w:pPr>
      <w:hyperlink w:anchor="_Toc105512821" w:history="1">
        <w:r w:rsidR="00CD4059" w:rsidRPr="00BF773F">
          <w:rPr>
            <w:rStyle w:val="Hipercze"/>
          </w:rPr>
          <w:t>Tabela 8</w:t>
        </w:r>
        <w:r w:rsidR="00CD4059" w:rsidRPr="00BF773F">
          <w:rPr>
            <w:rStyle w:val="Hipercze"/>
          </w:rPr>
          <w:noBreakHyphen/>
          <w:t>11.</w:t>
        </w:r>
        <w:r w:rsidR="00CD4059">
          <w:rPr>
            <w:rFonts w:asciiTheme="minorHAnsi" w:eastAsiaTheme="minorEastAsia" w:hAnsiTheme="minorHAnsi" w:cstheme="minorBidi"/>
            <w:sz w:val="22"/>
            <w:lang w:eastAsia="pl-PL"/>
          </w:rPr>
          <w:tab/>
        </w:r>
        <w:r w:rsidR="00CD4059" w:rsidRPr="00BF773F">
          <w:rPr>
            <w:rStyle w:val="Hipercze"/>
            <w:lang w:eastAsia="pl-PL"/>
          </w:rPr>
          <w:t>Osiągnięcie celów środowiskowych ustalonych na lata 2016–2021 dla JCWP TW i CW na obszarze dorzecza Odry w oparciu o jednostki planistyczne aPGW</w:t>
        </w:r>
        <w:r w:rsidR="00CD4059">
          <w:rPr>
            <w:webHidden/>
          </w:rPr>
          <w:tab/>
        </w:r>
        <w:r w:rsidR="00CD4059">
          <w:rPr>
            <w:webHidden/>
          </w:rPr>
          <w:fldChar w:fldCharType="begin"/>
        </w:r>
        <w:r w:rsidR="00CD4059">
          <w:rPr>
            <w:webHidden/>
          </w:rPr>
          <w:instrText xml:space="preserve"> PAGEREF _Toc105512821 \h </w:instrText>
        </w:r>
        <w:r w:rsidR="00CD4059">
          <w:rPr>
            <w:webHidden/>
          </w:rPr>
        </w:r>
        <w:r w:rsidR="00CD4059">
          <w:rPr>
            <w:webHidden/>
          </w:rPr>
          <w:fldChar w:fldCharType="separate"/>
        </w:r>
        <w:r w:rsidR="001F774D">
          <w:rPr>
            <w:webHidden/>
          </w:rPr>
          <w:t>179</w:t>
        </w:r>
        <w:r w:rsidR="00CD4059">
          <w:rPr>
            <w:webHidden/>
          </w:rPr>
          <w:fldChar w:fldCharType="end"/>
        </w:r>
      </w:hyperlink>
    </w:p>
    <w:p w14:paraId="770C4650" w14:textId="28845564" w:rsidR="00CD4059" w:rsidRDefault="009C595A">
      <w:pPr>
        <w:pStyle w:val="Spisilustracji"/>
        <w:rPr>
          <w:rFonts w:asciiTheme="minorHAnsi" w:eastAsiaTheme="minorEastAsia" w:hAnsiTheme="minorHAnsi" w:cstheme="minorBidi"/>
          <w:sz w:val="22"/>
          <w:lang w:eastAsia="pl-PL"/>
        </w:rPr>
      </w:pPr>
      <w:hyperlink w:anchor="_Toc105512822" w:history="1">
        <w:r w:rsidR="00CD4059" w:rsidRPr="00BF773F">
          <w:rPr>
            <w:rStyle w:val="Hipercze"/>
          </w:rPr>
          <w:t>Tabela 8</w:t>
        </w:r>
        <w:r w:rsidR="00CD4059" w:rsidRPr="00BF773F">
          <w:rPr>
            <w:rStyle w:val="Hipercze"/>
          </w:rPr>
          <w:noBreakHyphen/>
          <w:t>12.</w:t>
        </w:r>
        <w:r w:rsidR="00CD4059">
          <w:rPr>
            <w:rFonts w:asciiTheme="minorHAnsi" w:eastAsiaTheme="minorEastAsia" w:hAnsiTheme="minorHAnsi" w:cstheme="minorBidi"/>
            <w:sz w:val="22"/>
            <w:lang w:eastAsia="pl-PL"/>
          </w:rPr>
          <w:tab/>
        </w:r>
        <w:r w:rsidR="00CD4059" w:rsidRPr="00BF773F">
          <w:rPr>
            <w:rStyle w:val="Hipercze"/>
          </w:rPr>
          <w:t>Osiągnięcie celów środowiskowych ustalonych na lata 2016–2021 dla obszaru dorzecza Odry</w:t>
        </w:r>
        <w:r w:rsidR="00CD4059">
          <w:rPr>
            <w:webHidden/>
          </w:rPr>
          <w:tab/>
        </w:r>
        <w:r w:rsidR="00CD4059">
          <w:rPr>
            <w:webHidden/>
          </w:rPr>
          <w:fldChar w:fldCharType="begin"/>
        </w:r>
        <w:r w:rsidR="00CD4059">
          <w:rPr>
            <w:webHidden/>
          </w:rPr>
          <w:instrText xml:space="preserve"> PAGEREF _Toc105512822 \h </w:instrText>
        </w:r>
        <w:r w:rsidR="00CD4059">
          <w:rPr>
            <w:webHidden/>
          </w:rPr>
        </w:r>
        <w:r w:rsidR="00CD4059">
          <w:rPr>
            <w:webHidden/>
          </w:rPr>
          <w:fldChar w:fldCharType="separate"/>
        </w:r>
        <w:r w:rsidR="001F774D">
          <w:rPr>
            <w:webHidden/>
          </w:rPr>
          <w:t>181</w:t>
        </w:r>
        <w:r w:rsidR="00CD4059">
          <w:rPr>
            <w:webHidden/>
          </w:rPr>
          <w:fldChar w:fldCharType="end"/>
        </w:r>
      </w:hyperlink>
    </w:p>
    <w:p w14:paraId="2CF272AF" w14:textId="7F0518D4" w:rsidR="00CD4059" w:rsidRDefault="009C595A">
      <w:pPr>
        <w:pStyle w:val="Spisilustracji"/>
        <w:rPr>
          <w:rFonts w:asciiTheme="minorHAnsi" w:eastAsiaTheme="minorEastAsia" w:hAnsiTheme="minorHAnsi" w:cstheme="minorBidi"/>
          <w:sz w:val="22"/>
          <w:lang w:eastAsia="pl-PL"/>
        </w:rPr>
      </w:pPr>
      <w:hyperlink w:anchor="_Toc105512823" w:history="1">
        <w:r w:rsidR="00CD4059" w:rsidRPr="00BF773F">
          <w:rPr>
            <w:rStyle w:val="Hipercze"/>
          </w:rPr>
          <w:t>Tabela 8</w:t>
        </w:r>
        <w:r w:rsidR="00CD4059" w:rsidRPr="00BF773F">
          <w:rPr>
            <w:rStyle w:val="Hipercze"/>
          </w:rPr>
          <w:noBreakHyphen/>
          <w:t>13.</w:t>
        </w:r>
        <w:r w:rsidR="00CD4059">
          <w:rPr>
            <w:rFonts w:asciiTheme="minorHAnsi" w:eastAsiaTheme="minorEastAsia" w:hAnsiTheme="minorHAnsi" w:cstheme="minorBidi"/>
            <w:sz w:val="22"/>
            <w:lang w:eastAsia="pl-PL"/>
          </w:rPr>
          <w:tab/>
        </w:r>
        <w:r w:rsidR="00CD4059" w:rsidRPr="00BF773F">
          <w:rPr>
            <w:rStyle w:val="Hipercze"/>
          </w:rPr>
          <w:t>Podsumowanie celów środowiskowych dla JCWPd na obszarze dorzecza Odry (2022–2027)</w:t>
        </w:r>
        <w:r w:rsidR="00CD4059">
          <w:rPr>
            <w:webHidden/>
          </w:rPr>
          <w:tab/>
        </w:r>
        <w:r w:rsidR="00CD4059">
          <w:rPr>
            <w:webHidden/>
          </w:rPr>
          <w:fldChar w:fldCharType="begin"/>
        </w:r>
        <w:r w:rsidR="00CD4059">
          <w:rPr>
            <w:webHidden/>
          </w:rPr>
          <w:instrText xml:space="preserve"> PAGEREF _Toc105512823 \h </w:instrText>
        </w:r>
        <w:r w:rsidR="00CD4059">
          <w:rPr>
            <w:webHidden/>
          </w:rPr>
        </w:r>
        <w:r w:rsidR="00CD4059">
          <w:rPr>
            <w:webHidden/>
          </w:rPr>
          <w:fldChar w:fldCharType="separate"/>
        </w:r>
        <w:r w:rsidR="001F774D">
          <w:rPr>
            <w:webHidden/>
          </w:rPr>
          <w:t>183</w:t>
        </w:r>
        <w:r w:rsidR="00CD4059">
          <w:rPr>
            <w:webHidden/>
          </w:rPr>
          <w:fldChar w:fldCharType="end"/>
        </w:r>
      </w:hyperlink>
    </w:p>
    <w:p w14:paraId="6C2674B8" w14:textId="5594207E" w:rsidR="00CD4059" w:rsidRDefault="009C595A">
      <w:pPr>
        <w:pStyle w:val="Spisilustracji"/>
        <w:rPr>
          <w:rFonts w:asciiTheme="minorHAnsi" w:eastAsiaTheme="minorEastAsia" w:hAnsiTheme="minorHAnsi" w:cstheme="minorBidi"/>
          <w:sz w:val="22"/>
          <w:lang w:eastAsia="pl-PL"/>
        </w:rPr>
      </w:pPr>
      <w:hyperlink w:anchor="_Toc105512824" w:history="1">
        <w:r w:rsidR="00CD4059" w:rsidRPr="00BF773F">
          <w:rPr>
            <w:rStyle w:val="Hipercze"/>
          </w:rPr>
          <w:t>Tabela 8</w:t>
        </w:r>
        <w:r w:rsidR="00CD4059" w:rsidRPr="00BF773F">
          <w:rPr>
            <w:rStyle w:val="Hipercze"/>
          </w:rPr>
          <w:noBreakHyphen/>
          <w:t>14.</w:t>
        </w:r>
        <w:r w:rsidR="00CD4059">
          <w:rPr>
            <w:rFonts w:asciiTheme="minorHAnsi" w:eastAsiaTheme="minorEastAsia" w:hAnsiTheme="minorHAnsi" w:cstheme="minorBidi"/>
            <w:sz w:val="22"/>
            <w:lang w:eastAsia="pl-PL"/>
          </w:rPr>
          <w:tab/>
        </w:r>
        <w:r w:rsidR="00CD4059" w:rsidRPr="00BF773F">
          <w:rPr>
            <w:rStyle w:val="Hipercze"/>
          </w:rPr>
          <w:t>Zestawienie liczbowe jcw z odstępstwami od osiągnięcia celów środowiskowych w trybie art. 4 ust. 4 i 5 RDW (IIaPGW, 2022–2027)</w:t>
        </w:r>
        <w:r w:rsidR="00CD4059">
          <w:rPr>
            <w:webHidden/>
          </w:rPr>
          <w:tab/>
        </w:r>
        <w:r w:rsidR="00CD4059">
          <w:rPr>
            <w:webHidden/>
          </w:rPr>
          <w:fldChar w:fldCharType="begin"/>
        </w:r>
        <w:r w:rsidR="00CD4059">
          <w:rPr>
            <w:webHidden/>
          </w:rPr>
          <w:instrText xml:space="preserve"> PAGEREF _Toc105512824 \h </w:instrText>
        </w:r>
        <w:r w:rsidR="00CD4059">
          <w:rPr>
            <w:webHidden/>
          </w:rPr>
        </w:r>
        <w:r w:rsidR="00CD4059">
          <w:rPr>
            <w:webHidden/>
          </w:rPr>
          <w:fldChar w:fldCharType="separate"/>
        </w:r>
        <w:r w:rsidR="001F774D">
          <w:rPr>
            <w:webHidden/>
          </w:rPr>
          <w:t>195</w:t>
        </w:r>
        <w:r w:rsidR="00CD4059">
          <w:rPr>
            <w:webHidden/>
          </w:rPr>
          <w:fldChar w:fldCharType="end"/>
        </w:r>
      </w:hyperlink>
    </w:p>
    <w:p w14:paraId="1A58AC2F" w14:textId="1F547140" w:rsidR="00CD4059" w:rsidRDefault="009C595A">
      <w:pPr>
        <w:pStyle w:val="Spisilustracji"/>
        <w:rPr>
          <w:rFonts w:asciiTheme="minorHAnsi" w:eastAsiaTheme="minorEastAsia" w:hAnsiTheme="minorHAnsi" w:cstheme="minorBidi"/>
          <w:sz w:val="22"/>
          <w:lang w:eastAsia="pl-PL"/>
        </w:rPr>
      </w:pPr>
      <w:hyperlink w:anchor="_Toc105512825" w:history="1">
        <w:r w:rsidR="00CD4059" w:rsidRPr="00BF773F">
          <w:rPr>
            <w:rStyle w:val="Hipercze"/>
          </w:rPr>
          <w:t>Tabela 9</w:t>
        </w:r>
        <w:r w:rsidR="00CD4059" w:rsidRPr="00BF773F">
          <w:rPr>
            <w:rStyle w:val="Hipercze"/>
          </w:rPr>
          <w:noBreakHyphen/>
          <w:t>1.</w:t>
        </w:r>
        <w:r w:rsidR="00CD4059">
          <w:rPr>
            <w:rFonts w:asciiTheme="minorHAnsi" w:eastAsiaTheme="minorEastAsia" w:hAnsiTheme="minorHAnsi" w:cstheme="minorBidi"/>
            <w:sz w:val="22"/>
            <w:lang w:eastAsia="pl-PL"/>
          </w:rPr>
          <w:tab/>
        </w:r>
        <w:r w:rsidR="00CD4059" w:rsidRPr="00BF773F">
          <w:rPr>
            <w:rStyle w:val="Hipercze"/>
          </w:rPr>
          <w:t>Ocena postępu w osiąganiu celów środowiskowych dla stanu/potencjału ekologicznego na obszarze dorzecza Odry w układzie planistycznym aPGW (2016–2021) – JCWP RW</w:t>
        </w:r>
        <w:r w:rsidR="00CD4059">
          <w:rPr>
            <w:webHidden/>
          </w:rPr>
          <w:tab/>
        </w:r>
        <w:r w:rsidR="00CD4059">
          <w:rPr>
            <w:webHidden/>
          </w:rPr>
          <w:fldChar w:fldCharType="begin"/>
        </w:r>
        <w:r w:rsidR="00CD4059">
          <w:rPr>
            <w:webHidden/>
          </w:rPr>
          <w:instrText xml:space="preserve"> PAGEREF _Toc105512825 \h </w:instrText>
        </w:r>
        <w:r w:rsidR="00CD4059">
          <w:rPr>
            <w:webHidden/>
          </w:rPr>
        </w:r>
        <w:r w:rsidR="00CD4059">
          <w:rPr>
            <w:webHidden/>
          </w:rPr>
          <w:fldChar w:fldCharType="separate"/>
        </w:r>
        <w:r w:rsidR="001F774D">
          <w:rPr>
            <w:webHidden/>
          </w:rPr>
          <w:t>200</w:t>
        </w:r>
        <w:r w:rsidR="00CD4059">
          <w:rPr>
            <w:webHidden/>
          </w:rPr>
          <w:fldChar w:fldCharType="end"/>
        </w:r>
      </w:hyperlink>
    </w:p>
    <w:p w14:paraId="56D24BEF" w14:textId="125F13E2" w:rsidR="00CD4059" w:rsidRDefault="009C595A">
      <w:pPr>
        <w:pStyle w:val="Spisilustracji"/>
        <w:rPr>
          <w:rFonts w:asciiTheme="minorHAnsi" w:eastAsiaTheme="minorEastAsia" w:hAnsiTheme="minorHAnsi" w:cstheme="minorBidi"/>
          <w:sz w:val="22"/>
          <w:lang w:eastAsia="pl-PL"/>
        </w:rPr>
      </w:pPr>
      <w:hyperlink w:anchor="_Toc105512826" w:history="1">
        <w:r w:rsidR="00CD4059" w:rsidRPr="00BF773F">
          <w:rPr>
            <w:rStyle w:val="Hipercze"/>
          </w:rPr>
          <w:t>Tabela 9</w:t>
        </w:r>
        <w:r w:rsidR="00CD4059" w:rsidRPr="00BF773F">
          <w:rPr>
            <w:rStyle w:val="Hipercze"/>
          </w:rPr>
          <w:noBreakHyphen/>
          <w:t>2.</w:t>
        </w:r>
        <w:r w:rsidR="00CD4059">
          <w:rPr>
            <w:rFonts w:asciiTheme="minorHAnsi" w:eastAsiaTheme="minorEastAsia" w:hAnsiTheme="minorHAnsi" w:cstheme="minorBidi"/>
            <w:sz w:val="22"/>
            <w:lang w:eastAsia="pl-PL"/>
          </w:rPr>
          <w:tab/>
        </w:r>
        <w:r w:rsidR="00CD4059" w:rsidRPr="00BF773F">
          <w:rPr>
            <w:rStyle w:val="Hipercze"/>
          </w:rPr>
          <w:t>Ocena postępu w osiąganiu celów środowiskowych dla stanu/potencjału ekologicznego na obszarze dorzecza Odry w układzie planistycznym IIaPGW (2022–2027) – JCWP RW</w:t>
        </w:r>
        <w:r w:rsidR="00CD4059">
          <w:rPr>
            <w:webHidden/>
          </w:rPr>
          <w:tab/>
        </w:r>
        <w:r w:rsidR="00CD4059">
          <w:rPr>
            <w:webHidden/>
          </w:rPr>
          <w:fldChar w:fldCharType="begin"/>
        </w:r>
        <w:r w:rsidR="00CD4059">
          <w:rPr>
            <w:webHidden/>
          </w:rPr>
          <w:instrText xml:space="preserve"> PAGEREF _Toc105512826 \h </w:instrText>
        </w:r>
        <w:r w:rsidR="00CD4059">
          <w:rPr>
            <w:webHidden/>
          </w:rPr>
        </w:r>
        <w:r w:rsidR="00CD4059">
          <w:rPr>
            <w:webHidden/>
          </w:rPr>
          <w:fldChar w:fldCharType="separate"/>
        </w:r>
        <w:r w:rsidR="001F774D">
          <w:rPr>
            <w:webHidden/>
          </w:rPr>
          <w:t>201</w:t>
        </w:r>
        <w:r w:rsidR="00CD4059">
          <w:rPr>
            <w:webHidden/>
          </w:rPr>
          <w:fldChar w:fldCharType="end"/>
        </w:r>
      </w:hyperlink>
    </w:p>
    <w:p w14:paraId="5CB7E6E4" w14:textId="6B8E4C04" w:rsidR="00CD4059" w:rsidRDefault="009C595A">
      <w:pPr>
        <w:pStyle w:val="Spisilustracji"/>
        <w:rPr>
          <w:rFonts w:asciiTheme="minorHAnsi" w:eastAsiaTheme="minorEastAsia" w:hAnsiTheme="minorHAnsi" w:cstheme="minorBidi"/>
          <w:sz w:val="22"/>
          <w:lang w:eastAsia="pl-PL"/>
        </w:rPr>
      </w:pPr>
      <w:hyperlink w:anchor="_Toc105512827" w:history="1">
        <w:r w:rsidR="00CD4059" w:rsidRPr="00BF773F">
          <w:rPr>
            <w:rStyle w:val="Hipercze"/>
          </w:rPr>
          <w:t>Tabela 9</w:t>
        </w:r>
        <w:r w:rsidR="00CD4059" w:rsidRPr="00BF773F">
          <w:rPr>
            <w:rStyle w:val="Hipercze"/>
          </w:rPr>
          <w:noBreakHyphen/>
          <w:t>3.</w:t>
        </w:r>
        <w:r w:rsidR="00CD4059">
          <w:rPr>
            <w:rFonts w:asciiTheme="minorHAnsi" w:eastAsiaTheme="minorEastAsia" w:hAnsiTheme="minorHAnsi" w:cstheme="minorBidi"/>
            <w:sz w:val="22"/>
            <w:lang w:eastAsia="pl-PL"/>
          </w:rPr>
          <w:tab/>
        </w:r>
        <w:r w:rsidR="00CD4059" w:rsidRPr="00BF773F">
          <w:rPr>
            <w:rStyle w:val="Hipercze"/>
          </w:rPr>
          <w:t xml:space="preserve">Analiza przyczyn wpływających na brak postępu w osiąganiu celów środowiskowych dla stanu/potencjału ekologicznego na obszarze dorzecza Odry (bazując na nowym układzie planistycznym </w:t>
        </w:r>
        <w:r w:rsidR="00CD4059" w:rsidRPr="00BF773F">
          <w:rPr>
            <w:rStyle w:val="Hipercze"/>
            <w:rFonts w:cstheme="minorHAnsi"/>
          </w:rPr>
          <w:t>IIaPGW)</w:t>
        </w:r>
        <w:r w:rsidR="00CD4059" w:rsidRPr="00BF773F">
          <w:rPr>
            <w:rStyle w:val="Hipercze"/>
          </w:rPr>
          <w:t xml:space="preserve"> – JCWP RW</w:t>
        </w:r>
        <w:r w:rsidR="00CD4059">
          <w:rPr>
            <w:webHidden/>
          </w:rPr>
          <w:tab/>
        </w:r>
        <w:r w:rsidR="00CD4059">
          <w:rPr>
            <w:webHidden/>
          </w:rPr>
          <w:fldChar w:fldCharType="begin"/>
        </w:r>
        <w:r w:rsidR="00CD4059">
          <w:rPr>
            <w:webHidden/>
          </w:rPr>
          <w:instrText xml:space="preserve"> PAGEREF _Toc105512827 \h </w:instrText>
        </w:r>
        <w:r w:rsidR="00CD4059">
          <w:rPr>
            <w:webHidden/>
          </w:rPr>
        </w:r>
        <w:r w:rsidR="00CD4059">
          <w:rPr>
            <w:webHidden/>
          </w:rPr>
          <w:fldChar w:fldCharType="separate"/>
        </w:r>
        <w:r w:rsidR="001F774D">
          <w:rPr>
            <w:webHidden/>
          </w:rPr>
          <w:t>201</w:t>
        </w:r>
        <w:r w:rsidR="00CD4059">
          <w:rPr>
            <w:webHidden/>
          </w:rPr>
          <w:fldChar w:fldCharType="end"/>
        </w:r>
      </w:hyperlink>
    </w:p>
    <w:p w14:paraId="16219538" w14:textId="3ECAE06A" w:rsidR="00CD4059" w:rsidRDefault="009C595A">
      <w:pPr>
        <w:pStyle w:val="Spisilustracji"/>
        <w:rPr>
          <w:rFonts w:asciiTheme="minorHAnsi" w:eastAsiaTheme="minorEastAsia" w:hAnsiTheme="minorHAnsi" w:cstheme="minorBidi"/>
          <w:sz w:val="22"/>
          <w:lang w:eastAsia="pl-PL"/>
        </w:rPr>
      </w:pPr>
      <w:hyperlink w:anchor="_Toc105512828" w:history="1">
        <w:r w:rsidR="00CD4059" w:rsidRPr="00BF773F">
          <w:rPr>
            <w:rStyle w:val="Hipercze"/>
          </w:rPr>
          <w:t>Tabela 9</w:t>
        </w:r>
        <w:r w:rsidR="00CD4059" w:rsidRPr="00BF773F">
          <w:rPr>
            <w:rStyle w:val="Hipercze"/>
          </w:rPr>
          <w:noBreakHyphen/>
          <w:t>4.</w:t>
        </w:r>
        <w:r w:rsidR="00CD4059">
          <w:rPr>
            <w:rFonts w:asciiTheme="minorHAnsi" w:eastAsiaTheme="minorEastAsia" w:hAnsiTheme="minorHAnsi" w:cstheme="minorBidi"/>
            <w:sz w:val="22"/>
            <w:lang w:eastAsia="pl-PL"/>
          </w:rPr>
          <w:tab/>
        </w:r>
        <w:r w:rsidR="00CD4059" w:rsidRPr="00BF773F">
          <w:rPr>
            <w:rStyle w:val="Hipercze"/>
          </w:rPr>
          <w:t>Ocena postępu w osiąganiu celów środowiskowych dla stanu chemicznego na obszarze dorzecza Odry w układzie planistycznym aPGW (2016–2021) – JCWP RW</w:t>
        </w:r>
        <w:r w:rsidR="00CD4059">
          <w:rPr>
            <w:webHidden/>
          </w:rPr>
          <w:tab/>
        </w:r>
        <w:r w:rsidR="00CD4059">
          <w:rPr>
            <w:webHidden/>
          </w:rPr>
          <w:fldChar w:fldCharType="begin"/>
        </w:r>
        <w:r w:rsidR="00CD4059">
          <w:rPr>
            <w:webHidden/>
          </w:rPr>
          <w:instrText xml:space="preserve"> PAGEREF _Toc105512828 \h </w:instrText>
        </w:r>
        <w:r w:rsidR="00CD4059">
          <w:rPr>
            <w:webHidden/>
          </w:rPr>
        </w:r>
        <w:r w:rsidR="00CD4059">
          <w:rPr>
            <w:webHidden/>
          </w:rPr>
          <w:fldChar w:fldCharType="separate"/>
        </w:r>
        <w:r w:rsidR="001F774D">
          <w:rPr>
            <w:webHidden/>
          </w:rPr>
          <w:t>203</w:t>
        </w:r>
        <w:r w:rsidR="00CD4059">
          <w:rPr>
            <w:webHidden/>
          </w:rPr>
          <w:fldChar w:fldCharType="end"/>
        </w:r>
      </w:hyperlink>
    </w:p>
    <w:p w14:paraId="21663766" w14:textId="19A2ACD2" w:rsidR="00CD4059" w:rsidRDefault="009C595A">
      <w:pPr>
        <w:pStyle w:val="Spisilustracji"/>
        <w:rPr>
          <w:rFonts w:asciiTheme="minorHAnsi" w:eastAsiaTheme="minorEastAsia" w:hAnsiTheme="minorHAnsi" w:cstheme="minorBidi"/>
          <w:sz w:val="22"/>
          <w:lang w:eastAsia="pl-PL"/>
        </w:rPr>
      </w:pPr>
      <w:hyperlink w:anchor="_Toc105512829" w:history="1">
        <w:r w:rsidR="00CD4059" w:rsidRPr="00BF773F">
          <w:rPr>
            <w:rStyle w:val="Hipercze"/>
          </w:rPr>
          <w:t>Tabela 9</w:t>
        </w:r>
        <w:r w:rsidR="00CD4059" w:rsidRPr="00BF773F">
          <w:rPr>
            <w:rStyle w:val="Hipercze"/>
          </w:rPr>
          <w:noBreakHyphen/>
          <w:t>5.</w:t>
        </w:r>
        <w:r w:rsidR="00CD4059">
          <w:rPr>
            <w:rFonts w:asciiTheme="minorHAnsi" w:eastAsiaTheme="minorEastAsia" w:hAnsiTheme="minorHAnsi" w:cstheme="minorBidi"/>
            <w:sz w:val="22"/>
            <w:lang w:eastAsia="pl-PL"/>
          </w:rPr>
          <w:tab/>
        </w:r>
        <w:r w:rsidR="00CD4059" w:rsidRPr="00BF773F">
          <w:rPr>
            <w:rStyle w:val="Hipercze"/>
          </w:rPr>
          <w:t>Ocena postępu w osiąganiu celów środowiskowych dla stanu chemicznego na obszarze dorzecza Odry w układzie planistycznym IIaPGW (2022–2027) – JCWP RW</w:t>
        </w:r>
        <w:r w:rsidR="00CD4059">
          <w:rPr>
            <w:webHidden/>
          </w:rPr>
          <w:tab/>
        </w:r>
        <w:r w:rsidR="00CD4059">
          <w:rPr>
            <w:webHidden/>
          </w:rPr>
          <w:fldChar w:fldCharType="begin"/>
        </w:r>
        <w:r w:rsidR="00CD4059">
          <w:rPr>
            <w:webHidden/>
          </w:rPr>
          <w:instrText xml:space="preserve"> PAGEREF _Toc105512829 \h </w:instrText>
        </w:r>
        <w:r w:rsidR="00CD4059">
          <w:rPr>
            <w:webHidden/>
          </w:rPr>
        </w:r>
        <w:r w:rsidR="00CD4059">
          <w:rPr>
            <w:webHidden/>
          </w:rPr>
          <w:fldChar w:fldCharType="separate"/>
        </w:r>
        <w:r w:rsidR="001F774D">
          <w:rPr>
            <w:webHidden/>
          </w:rPr>
          <w:t>203</w:t>
        </w:r>
        <w:r w:rsidR="00CD4059">
          <w:rPr>
            <w:webHidden/>
          </w:rPr>
          <w:fldChar w:fldCharType="end"/>
        </w:r>
      </w:hyperlink>
    </w:p>
    <w:p w14:paraId="6968046A" w14:textId="5DEAA095" w:rsidR="00CD4059" w:rsidRDefault="009C595A">
      <w:pPr>
        <w:pStyle w:val="Spisilustracji"/>
        <w:rPr>
          <w:rFonts w:asciiTheme="minorHAnsi" w:eastAsiaTheme="minorEastAsia" w:hAnsiTheme="minorHAnsi" w:cstheme="minorBidi"/>
          <w:sz w:val="22"/>
          <w:lang w:eastAsia="pl-PL"/>
        </w:rPr>
      </w:pPr>
      <w:hyperlink w:anchor="_Toc105512830" w:history="1">
        <w:r w:rsidR="00CD4059" w:rsidRPr="00BF773F">
          <w:rPr>
            <w:rStyle w:val="Hipercze"/>
          </w:rPr>
          <w:t>Tabela 9</w:t>
        </w:r>
        <w:r w:rsidR="00CD4059" w:rsidRPr="00BF773F">
          <w:rPr>
            <w:rStyle w:val="Hipercze"/>
          </w:rPr>
          <w:noBreakHyphen/>
          <w:t>6.</w:t>
        </w:r>
        <w:r w:rsidR="00CD4059">
          <w:rPr>
            <w:rFonts w:asciiTheme="minorHAnsi" w:eastAsiaTheme="minorEastAsia" w:hAnsiTheme="minorHAnsi" w:cstheme="minorBidi"/>
            <w:sz w:val="22"/>
            <w:lang w:eastAsia="pl-PL"/>
          </w:rPr>
          <w:tab/>
        </w:r>
        <w:r w:rsidR="00CD4059" w:rsidRPr="00BF773F">
          <w:rPr>
            <w:rStyle w:val="Hipercze"/>
          </w:rPr>
          <w:t xml:space="preserve">Analiza przyczyn wpływających na brak postępu w osiąganiu celów środowiskowych dla stanu chemicznego na obszarze dorzecza Odry (bazując na nowym układzie planistycznym </w:t>
        </w:r>
        <w:r w:rsidR="00CD4059" w:rsidRPr="00BF773F">
          <w:rPr>
            <w:rStyle w:val="Hipercze"/>
            <w:rFonts w:cstheme="minorHAnsi"/>
          </w:rPr>
          <w:t xml:space="preserve">IIaPGW) </w:t>
        </w:r>
        <w:r w:rsidR="00CD4059" w:rsidRPr="00BF773F">
          <w:rPr>
            <w:rStyle w:val="Hipercze"/>
          </w:rPr>
          <w:t>–  JCWP RW</w:t>
        </w:r>
        <w:r w:rsidR="00CD4059">
          <w:rPr>
            <w:webHidden/>
          </w:rPr>
          <w:tab/>
        </w:r>
        <w:r w:rsidR="00CD4059">
          <w:rPr>
            <w:webHidden/>
          </w:rPr>
          <w:fldChar w:fldCharType="begin"/>
        </w:r>
        <w:r w:rsidR="00CD4059">
          <w:rPr>
            <w:webHidden/>
          </w:rPr>
          <w:instrText xml:space="preserve"> PAGEREF _Toc105512830 \h </w:instrText>
        </w:r>
        <w:r w:rsidR="00CD4059">
          <w:rPr>
            <w:webHidden/>
          </w:rPr>
        </w:r>
        <w:r w:rsidR="00CD4059">
          <w:rPr>
            <w:webHidden/>
          </w:rPr>
          <w:fldChar w:fldCharType="separate"/>
        </w:r>
        <w:r w:rsidR="001F774D">
          <w:rPr>
            <w:webHidden/>
          </w:rPr>
          <w:t>204</w:t>
        </w:r>
        <w:r w:rsidR="00CD4059">
          <w:rPr>
            <w:webHidden/>
          </w:rPr>
          <w:fldChar w:fldCharType="end"/>
        </w:r>
      </w:hyperlink>
    </w:p>
    <w:p w14:paraId="567E57D5" w14:textId="502F2C17" w:rsidR="00CD4059" w:rsidRDefault="009C595A">
      <w:pPr>
        <w:pStyle w:val="Spisilustracji"/>
        <w:rPr>
          <w:rFonts w:asciiTheme="minorHAnsi" w:eastAsiaTheme="minorEastAsia" w:hAnsiTheme="minorHAnsi" w:cstheme="minorBidi"/>
          <w:sz w:val="22"/>
          <w:lang w:eastAsia="pl-PL"/>
        </w:rPr>
      </w:pPr>
      <w:hyperlink w:anchor="_Toc105512831" w:history="1">
        <w:r w:rsidR="00CD4059" w:rsidRPr="00BF773F">
          <w:rPr>
            <w:rStyle w:val="Hipercze"/>
          </w:rPr>
          <w:t>Tabela 9</w:t>
        </w:r>
        <w:r w:rsidR="00CD4059" w:rsidRPr="00BF773F">
          <w:rPr>
            <w:rStyle w:val="Hipercze"/>
          </w:rPr>
          <w:noBreakHyphen/>
          <w:t>7.</w:t>
        </w:r>
        <w:r w:rsidR="00CD4059">
          <w:rPr>
            <w:rFonts w:asciiTheme="minorHAnsi" w:eastAsiaTheme="minorEastAsia" w:hAnsiTheme="minorHAnsi" w:cstheme="minorBidi"/>
            <w:sz w:val="22"/>
            <w:lang w:eastAsia="pl-PL"/>
          </w:rPr>
          <w:tab/>
        </w:r>
        <w:r w:rsidR="00CD4059" w:rsidRPr="00BF773F">
          <w:rPr>
            <w:rStyle w:val="Hipercze"/>
          </w:rPr>
          <w:t>Ocena postępu w osiąganiu celów środowiskowych dla stanu/potencjału ekologicznego na obszarze dorzecza Odry w układzie planistycznym aPGW (2016-2021) – JCWP RWr</w:t>
        </w:r>
        <w:r w:rsidR="00CD4059">
          <w:rPr>
            <w:webHidden/>
          </w:rPr>
          <w:tab/>
        </w:r>
        <w:r w:rsidR="00CD4059">
          <w:rPr>
            <w:webHidden/>
          </w:rPr>
          <w:fldChar w:fldCharType="begin"/>
        </w:r>
        <w:r w:rsidR="00CD4059">
          <w:rPr>
            <w:webHidden/>
          </w:rPr>
          <w:instrText xml:space="preserve"> PAGEREF _Toc105512831 \h </w:instrText>
        </w:r>
        <w:r w:rsidR="00CD4059">
          <w:rPr>
            <w:webHidden/>
          </w:rPr>
        </w:r>
        <w:r w:rsidR="00CD4059">
          <w:rPr>
            <w:webHidden/>
          </w:rPr>
          <w:fldChar w:fldCharType="separate"/>
        </w:r>
        <w:r w:rsidR="001F774D">
          <w:rPr>
            <w:webHidden/>
          </w:rPr>
          <w:t>205</w:t>
        </w:r>
        <w:r w:rsidR="00CD4059">
          <w:rPr>
            <w:webHidden/>
          </w:rPr>
          <w:fldChar w:fldCharType="end"/>
        </w:r>
      </w:hyperlink>
    </w:p>
    <w:p w14:paraId="47FC73D9" w14:textId="48BD882F" w:rsidR="00CD4059" w:rsidRDefault="009C595A">
      <w:pPr>
        <w:pStyle w:val="Spisilustracji"/>
        <w:rPr>
          <w:rFonts w:asciiTheme="minorHAnsi" w:eastAsiaTheme="minorEastAsia" w:hAnsiTheme="minorHAnsi" w:cstheme="minorBidi"/>
          <w:sz w:val="22"/>
          <w:lang w:eastAsia="pl-PL"/>
        </w:rPr>
      </w:pPr>
      <w:hyperlink w:anchor="_Toc105512832" w:history="1">
        <w:r w:rsidR="00CD4059" w:rsidRPr="00BF773F">
          <w:rPr>
            <w:rStyle w:val="Hipercze"/>
          </w:rPr>
          <w:t>Tabela 9</w:t>
        </w:r>
        <w:r w:rsidR="00CD4059" w:rsidRPr="00BF773F">
          <w:rPr>
            <w:rStyle w:val="Hipercze"/>
          </w:rPr>
          <w:noBreakHyphen/>
          <w:t>8.</w:t>
        </w:r>
        <w:r w:rsidR="00CD4059">
          <w:rPr>
            <w:rFonts w:asciiTheme="minorHAnsi" w:eastAsiaTheme="minorEastAsia" w:hAnsiTheme="minorHAnsi" w:cstheme="minorBidi"/>
            <w:sz w:val="22"/>
            <w:lang w:eastAsia="pl-PL"/>
          </w:rPr>
          <w:tab/>
        </w:r>
        <w:r w:rsidR="00CD4059" w:rsidRPr="00BF773F">
          <w:rPr>
            <w:rStyle w:val="Hipercze"/>
          </w:rPr>
          <w:t>Ocena postępu w osiąganiu celów środowiskowych dla stanu/potencjału ekologicznego na obszarze dorzecza Odry w układzie planistycznym IIaPGW (cykl planistyczny 2022–2027) –  JCWP RWr</w:t>
        </w:r>
        <w:r w:rsidR="00CD4059">
          <w:rPr>
            <w:webHidden/>
          </w:rPr>
          <w:tab/>
        </w:r>
        <w:r w:rsidR="00CD4059">
          <w:rPr>
            <w:webHidden/>
          </w:rPr>
          <w:fldChar w:fldCharType="begin"/>
        </w:r>
        <w:r w:rsidR="00CD4059">
          <w:rPr>
            <w:webHidden/>
          </w:rPr>
          <w:instrText xml:space="preserve"> PAGEREF _Toc105512832 \h </w:instrText>
        </w:r>
        <w:r w:rsidR="00CD4059">
          <w:rPr>
            <w:webHidden/>
          </w:rPr>
        </w:r>
        <w:r w:rsidR="00CD4059">
          <w:rPr>
            <w:webHidden/>
          </w:rPr>
          <w:fldChar w:fldCharType="separate"/>
        </w:r>
        <w:r w:rsidR="001F774D">
          <w:rPr>
            <w:webHidden/>
          </w:rPr>
          <w:t>206</w:t>
        </w:r>
        <w:r w:rsidR="00CD4059">
          <w:rPr>
            <w:webHidden/>
          </w:rPr>
          <w:fldChar w:fldCharType="end"/>
        </w:r>
      </w:hyperlink>
    </w:p>
    <w:p w14:paraId="3AF53422" w14:textId="66485BE8" w:rsidR="00CD4059" w:rsidRDefault="009C595A">
      <w:pPr>
        <w:pStyle w:val="Spisilustracji"/>
        <w:rPr>
          <w:rFonts w:asciiTheme="minorHAnsi" w:eastAsiaTheme="minorEastAsia" w:hAnsiTheme="minorHAnsi" w:cstheme="minorBidi"/>
          <w:sz w:val="22"/>
          <w:lang w:eastAsia="pl-PL"/>
        </w:rPr>
      </w:pPr>
      <w:hyperlink w:anchor="_Toc105512833" w:history="1">
        <w:r w:rsidR="00CD4059" w:rsidRPr="00BF773F">
          <w:rPr>
            <w:rStyle w:val="Hipercze"/>
          </w:rPr>
          <w:t>Tabela 9</w:t>
        </w:r>
        <w:r w:rsidR="00CD4059" w:rsidRPr="00BF773F">
          <w:rPr>
            <w:rStyle w:val="Hipercze"/>
          </w:rPr>
          <w:noBreakHyphen/>
          <w:t>9.</w:t>
        </w:r>
        <w:r w:rsidR="00CD4059">
          <w:rPr>
            <w:rFonts w:asciiTheme="minorHAnsi" w:eastAsiaTheme="minorEastAsia" w:hAnsiTheme="minorHAnsi" w:cstheme="minorBidi"/>
            <w:sz w:val="22"/>
            <w:lang w:eastAsia="pl-PL"/>
          </w:rPr>
          <w:tab/>
        </w:r>
        <w:r w:rsidR="00CD4059" w:rsidRPr="00BF773F">
          <w:rPr>
            <w:rStyle w:val="Hipercze"/>
          </w:rPr>
          <w:t xml:space="preserve">Analiza przyczyn wpływających na brak postępu w osiąganiu celów środowiskowych dla stanu/potencjału ekologicznego na obszarze dorzecza Odry (bazując na nowym układzie planistycznym </w:t>
        </w:r>
        <w:r w:rsidR="00CD4059" w:rsidRPr="00BF773F">
          <w:rPr>
            <w:rStyle w:val="Hipercze"/>
            <w:rFonts w:cstheme="minorHAnsi"/>
          </w:rPr>
          <w:t>IIaPGW)</w:t>
        </w:r>
        <w:r w:rsidR="00CD4059" w:rsidRPr="00BF773F">
          <w:rPr>
            <w:rStyle w:val="Hipercze"/>
          </w:rPr>
          <w:t xml:space="preserve"> – JCWP RWr</w:t>
        </w:r>
        <w:r w:rsidR="00CD4059">
          <w:rPr>
            <w:webHidden/>
          </w:rPr>
          <w:tab/>
        </w:r>
        <w:r w:rsidR="00CD4059">
          <w:rPr>
            <w:webHidden/>
          </w:rPr>
          <w:fldChar w:fldCharType="begin"/>
        </w:r>
        <w:r w:rsidR="00CD4059">
          <w:rPr>
            <w:webHidden/>
          </w:rPr>
          <w:instrText xml:space="preserve"> PAGEREF _Toc105512833 \h </w:instrText>
        </w:r>
        <w:r w:rsidR="00CD4059">
          <w:rPr>
            <w:webHidden/>
          </w:rPr>
        </w:r>
        <w:r w:rsidR="00CD4059">
          <w:rPr>
            <w:webHidden/>
          </w:rPr>
          <w:fldChar w:fldCharType="separate"/>
        </w:r>
        <w:r w:rsidR="001F774D">
          <w:rPr>
            <w:webHidden/>
          </w:rPr>
          <w:t>206</w:t>
        </w:r>
        <w:r w:rsidR="00CD4059">
          <w:rPr>
            <w:webHidden/>
          </w:rPr>
          <w:fldChar w:fldCharType="end"/>
        </w:r>
      </w:hyperlink>
    </w:p>
    <w:p w14:paraId="6BDDD032" w14:textId="07C225CF" w:rsidR="00CD4059" w:rsidRDefault="009C595A">
      <w:pPr>
        <w:pStyle w:val="Spisilustracji"/>
        <w:rPr>
          <w:rFonts w:asciiTheme="minorHAnsi" w:eastAsiaTheme="minorEastAsia" w:hAnsiTheme="minorHAnsi" w:cstheme="minorBidi"/>
          <w:sz w:val="22"/>
          <w:lang w:eastAsia="pl-PL"/>
        </w:rPr>
      </w:pPr>
      <w:hyperlink w:anchor="_Toc105512834" w:history="1">
        <w:r w:rsidR="00CD4059" w:rsidRPr="00BF773F">
          <w:rPr>
            <w:rStyle w:val="Hipercze"/>
          </w:rPr>
          <w:t>Tabela 9</w:t>
        </w:r>
        <w:r w:rsidR="00CD4059" w:rsidRPr="00BF773F">
          <w:rPr>
            <w:rStyle w:val="Hipercze"/>
          </w:rPr>
          <w:noBreakHyphen/>
          <w:t>10.</w:t>
        </w:r>
        <w:r w:rsidR="00CD4059">
          <w:rPr>
            <w:rFonts w:asciiTheme="minorHAnsi" w:eastAsiaTheme="minorEastAsia" w:hAnsiTheme="minorHAnsi" w:cstheme="minorBidi"/>
            <w:sz w:val="22"/>
            <w:lang w:eastAsia="pl-PL"/>
          </w:rPr>
          <w:tab/>
        </w:r>
        <w:r w:rsidR="00CD4059" w:rsidRPr="00BF773F">
          <w:rPr>
            <w:rStyle w:val="Hipercze"/>
          </w:rPr>
          <w:t>Ocena postępu w osiąganiu celów środowiskowych dla stanu chemicznego na obszarze dorzecza Odry w układzie planistycznym aPGW (cykl planistyczny 2016–2021) – JCWP RWr</w:t>
        </w:r>
        <w:r w:rsidR="00CD4059">
          <w:rPr>
            <w:webHidden/>
          </w:rPr>
          <w:tab/>
        </w:r>
        <w:r w:rsidR="00CD4059">
          <w:rPr>
            <w:webHidden/>
          </w:rPr>
          <w:fldChar w:fldCharType="begin"/>
        </w:r>
        <w:r w:rsidR="00CD4059">
          <w:rPr>
            <w:webHidden/>
          </w:rPr>
          <w:instrText xml:space="preserve"> PAGEREF _Toc105512834 \h </w:instrText>
        </w:r>
        <w:r w:rsidR="00CD4059">
          <w:rPr>
            <w:webHidden/>
          </w:rPr>
        </w:r>
        <w:r w:rsidR="00CD4059">
          <w:rPr>
            <w:webHidden/>
          </w:rPr>
          <w:fldChar w:fldCharType="separate"/>
        </w:r>
        <w:r w:rsidR="001F774D">
          <w:rPr>
            <w:webHidden/>
          </w:rPr>
          <w:t>207</w:t>
        </w:r>
        <w:r w:rsidR="00CD4059">
          <w:rPr>
            <w:webHidden/>
          </w:rPr>
          <w:fldChar w:fldCharType="end"/>
        </w:r>
      </w:hyperlink>
    </w:p>
    <w:p w14:paraId="3788F1D2" w14:textId="6A6E761A" w:rsidR="00CD4059" w:rsidRDefault="009C595A">
      <w:pPr>
        <w:pStyle w:val="Spisilustracji"/>
        <w:rPr>
          <w:rFonts w:asciiTheme="minorHAnsi" w:eastAsiaTheme="minorEastAsia" w:hAnsiTheme="minorHAnsi" w:cstheme="minorBidi"/>
          <w:sz w:val="22"/>
          <w:lang w:eastAsia="pl-PL"/>
        </w:rPr>
      </w:pPr>
      <w:hyperlink w:anchor="_Toc105512835" w:history="1">
        <w:r w:rsidR="00CD4059" w:rsidRPr="00BF773F">
          <w:rPr>
            <w:rStyle w:val="Hipercze"/>
          </w:rPr>
          <w:t>Tabela 9</w:t>
        </w:r>
        <w:r w:rsidR="00CD4059" w:rsidRPr="00BF773F">
          <w:rPr>
            <w:rStyle w:val="Hipercze"/>
          </w:rPr>
          <w:noBreakHyphen/>
          <w:t>11.</w:t>
        </w:r>
        <w:r w:rsidR="00CD4059">
          <w:rPr>
            <w:rFonts w:asciiTheme="minorHAnsi" w:eastAsiaTheme="minorEastAsia" w:hAnsiTheme="minorHAnsi" w:cstheme="minorBidi"/>
            <w:sz w:val="22"/>
            <w:lang w:eastAsia="pl-PL"/>
          </w:rPr>
          <w:tab/>
        </w:r>
        <w:r w:rsidR="00CD4059" w:rsidRPr="00BF773F">
          <w:rPr>
            <w:rStyle w:val="Hipercze"/>
          </w:rPr>
          <w:t xml:space="preserve">Ocena postępu w osiąganiu celów środowiskowych dla stanu chemicznego </w:t>
        </w:r>
        <w:r w:rsidR="00CD4059" w:rsidRPr="00BF773F">
          <w:rPr>
            <w:rStyle w:val="Hipercze"/>
            <w:rFonts w:cstheme="minorHAnsi"/>
          </w:rPr>
          <w:t>w</w:t>
        </w:r>
        <w:r w:rsidR="00CD4059" w:rsidRPr="00BF773F">
          <w:rPr>
            <w:rStyle w:val="Hipercze"/>
          </w:rPr>
          <w:t xml:space="preserve"> obszarze dorzecza </w:t>
        </w:r>
        <w:r w:rsidR="00CD4059" w:rsidRPr="00BF773F">
          <w:rPr>
            <w:rStyle w:val="Hipercze"/>
            <w:rFonts w:cstheme="minorHAnsi"/>
          </w:rPr>
          <w:t>Odry</w:t>
        </w:r>
        <w:r w:rsidR="00CD4059" w:rsidRPr="00BF773F">
          <w:rPr>
            <w:rStyle w:val="Hipercze"/>
          </w:rPr>
          <w:t xml:space="preserve"> bazujące na nowym układzie planistycznym </w:t>
        </w:r>
        <w:r w:rsidR="00CD4059" w:rsidRPr="00BF773F">
          <w:rPr>
            <w:rStyle w:val="Hipercze"/>
            <w:rFonts w:cstheme="minorHAnsi"/>
          </w:rPr>
          <w:t xml:space="preserve">IIaPGW </w:t>
        </w:r>
        <w:r w:rsidR="00CD4059" w:rsidRPr="00BF773F">
          <w:rPr>
            <w:rStyle w:val="Hipercze"/>
          </w:rPr>
          <w:t>– JCWP RWr</w:t>
        </w:r>
        <w:r w:rsidR="00CD4059">
          <w:rPr>
            <w:webHidden/>
          </w:rPr>
          <w:tab/>
        </w:r>
        <w:r w:rsidR="00CD4059">
          <w:rPr>
            <w:webHidden/>
          </w:rPr>
          <w:fldChar w:fldCharType="begin"/>
        </w:r>
        <w:r w:rsidR="00CD4059">
          <w:rPr>
            <w:webHidden/>
          </w:rPr>
          <w:instrText xml:space="preserve"> PAGEREF _Toc105512835 \h </w:instrText>
        </w:r>
        <w:r w:rsidR="00CD4059">
          <w:rPr>
            <w:webHidden/>
          </w:rPr>
        </w:r>
        <w:r w:rsidR="00CD4059">
          <w:rPr>
            <w:webHidden/>
          </w:rPr>
          <w:fldChar w:fldCharType="separate"/>
        </w:r>
        <w:r w:rsidR="001F774D">
          <w:rPr>
            <w:webHidden/>
          </w:rPr>
          <w:t>208</w:t>
        </w:r>
        <w:r w:rsidR="00CD4059">
          <w:rPr>
            <w:webHidden/>
          </w:rPr>
          <w:fldChar w:fldCharType="end"/>
        </w:r>
      </w:hyperlink>
    </w:p>
    <w:p w14:paraId="1BB1CF3F" w14:textId="40F61F43" w:rsidR="00CD4059" w:rsidRDefault="009C595A">
      <w:pPr>
        <w:pStyle w:val="Spisilustracji"/>
        <w:rPr>
          <w:rFonts w:asciiTheme="minorHAnsi" w:eastAsiaTheme="minorEastAsia" w:hAnsiTheme="minorHAnsi" w:cstheme="minorBidi"/>
          <w:sz w:val="22"/>
          <w:lang w:eastAsia="pl-PL"/>
        </w:rPr>
      </w:pPr>
      <w:hyperlink w:anchor="_Toc105512836" w:history="1">
        <w:r w:rsidR="00CD4059" w:rsidRPr="00BF773F">
          <w:rPr>
            <w:rStyle w:val="Hipercze"/>
          </w:rPr>
          <w:t>Tabela 9</w:t>
        </w:r>
        <w:r w:rsidR="00CD4059" w:rsidRPr="00BF773F">
          <w:rPr>
            <w:rStyle w:val="Hipercze"/>
          </w:rPr>
          <w:noBreakHyphen/>
          <w:t>12.</w:t>
        </w:r>
        <w:r w:rsidR="00CD4059">
          <w:rPr>
            <w:rFonts w:asciiTheme="minorHAnsi" w:eastAsiaTheme="minorEastAsia" w:hAnsiTheme="minorHAnsi" w:cstheme="minorBidi"/>
            <w:sz w:val="22"/>
            <w:lang w:eastAsia="pl-PL"/>
          </w:rPr>
          <w:tab/>
        </w:r>
        <w:r w:rsidR="00CD4059" w:rsidRPr="00BF773F">
          <w:rPr>
            <w:rStyle w:val="Hipercze"/>
          </w:rPr>
          <w:t xml:space="preserve">Analiza przyczyn wpływających na brak postępu w osiąganiu celów środowiskowych dla stanu chemicznego na obszarze dorzecza Odry (bazując na nowym układzie planistycznym </w:t>
        </w:r>
        <w:r w:rsidR="00CD4059" w:rsidRPr="00BF773F">
          <w:rPr>
            <w:rStyle w:val="Hipercze"/>
            <w:rFonts w:cstheme="minorHAnsi"/>
          </w:rPr>
          <w:t xml:space="preserve">IIaPGW) </w:t>
        </w:r>
        <w:r w:rsidR="00CD4059" w:rsidRPr="00BF773F">
          <w:rPr>
            <w:rStyle w:val="Hipercze"/>
          </w:rPr>
          <w:t>–  JCWP RWr</w:t>
        </w:r>
        <w:r w:rsidR="00CD4059">
          <w:rPr>
            <w:webHidden/>
          </w:rPr>
          <w:tab/>
        </w:r>
        <w:r w:rsidR="00CD4059">
          <w:rPr>
            <w:webHidden/>
          </w:rPr>
          <w:fldChar w:fldCharType="begin"/>
        </w:r>
        <w:r w:rsidR="00CD4059">
          <w:rPr>
            <w:webHidden/>
          </w:rPr>
          <w:instrText xml:space="preserve"> PAGEREF _Toc105512836 \h </w:instrText>
        </w:r>
        <w:r w:rsidR="00CD4059">
          <w:rPr>
            <w:webHidden/>
          </w:rPr>
        </w:r>
        <w:r w:rsidR="00CD4059">
          <w:rPr>
            <w:webHidden/>
          </w:rPr>
          <w:fldChar w:fldCharType="separate"/>
        </w:r>
        <w:r w:rsidR="001F774D">
          <w:rPr>
            <w:webHidden/>
          </w:rPr>
          <w:t>209</w:t>
        </w:r>
        <w:r w:rsidR="00CD4059">
          <w:rPr>
            <w:webHidden/>
          </w:rPr>
          <w:fldChar w:fldCharType="end"/>
        </w:r>
      </w:hyperlink>
    </w:p>
    <w:p w14:paraId="0F686215" w14:textId="51CF6722" w:rsidR="00CD4059" w:rsidRDefault="009C595A">
      <w:pPr>
        <w:pStyle w:val="Spisilustracji"/>
        <w:rPr>
          <w:rFonts w:asciiTheme="minorHAnsi" w:eastAsiaTheme="minorEastAsia" w:hAnsiTheme="minorHAnsi" w:cstheme="minorBidi"/>
          <w:sz w:val="22"/>
          <w:lang w:eastAsia="pl-PL"/>
        </w:rPr>
      </w:pPr>
      <w:hyperlink w:anchor="_Toc105512837" w:history="1">
        <w:r w:rsidR="00CD4059" w:rsidRPr="00BF773F">
          <w:rPr>
            <w:rStyle w:val="Hipercze"/>
          </w:rPr>
          <w:t>Tabela 9</w:t>
        </w:r>
        <w:r w:rsidR="00CD4059" w:rsidRPr="00BF773F">
          <w:rPr>
            <w:rStyle w:val="Hipercze"/>
          </w:rPr>
          <w:noBreakHyphen/>
          <w:t>13.</w:t>
        </w:r>
        <w:r w:rsidR="00CD4059">
          <w:rPr>
            <w:rFonts w:asciiTheme="minorHAnsi" w:eastAsiaTheme="minorEastAsia" w:hAnsiTheme="minorHAnsi" w:cstheme="minorBidi"/>
            <w:sz w:val="22"/>
            <w:lang w:eastAsia="pl-PL"/>
          </w:rPr>
          <w:tab/>
        </w:r>
        <w:r w:rsidR="00CD4059" w:rsidRPr="00BF773F">
          <w:rPr>
            <w:rStyle w:val="Hipercze"/>
          </w:rPr>
          <w:t>Ocena postępu w osiąganiu celów środowiskowych dla stanu/potencjału ekologicznego na obszarze dorzecza Odry w układzie planistycznym aPGW (cykl planistyczny 2016–2021) –  JCWP LW</w:t>
        </w:r>
        <w:r w:rsidR="00CD4059">
          <w:rPr>
            <w:webHidden/>
          </w:rPr>
          <w:tab/>
        </w:r>
        <w:r w:rsidR="00CD4059">
          <w:rPr>
            <w:webHidden/>
          </w:rPr>
          <w:fldChar w:fldCharType="begin"/>
        </w:r>
        <w:r w:rsidR="00CD4059">
          <w:rPr>
            <w:webHidden/>
          </w:rPr>
          <w:instrText xml:space="preserve"> PAGEREF _Toc105512837 \h </w:instrText>
        </w:r>
        <w:r w:rsidR="00CD4059">
          <w:rPr>
            <w:webHidden/>
          </w:rPr>
        </w:r>
        <w:r w:rsidR="00CD4059">
          <w:rPr>
            <w:webHidden/>
          </w:rPr>
          <w:fldChar w:fldCharType="separate"/>
        </w:r>
        <w:r w:rsidR="001F774D">
          <w:rPr>
            <w:webHidden/>
          </w:rPr>
          <w:t>210</w:t>
        </w:r>
        <w:r w:rsidR="00CD4059">
          <w:rPr>
            <w:webHidden/>
          </w:rPr>
          <w:fldChar w:fldCharType="end"/>
        </w:r>
      </w:hyperlink>
    </w:p>
    <w:p w14:paraId="328769F7" w14:textId="6CF23B6D" w:rsidR="00CD4059" w:rsidRDefault="009C595A">
      <w:pPr>
        <w:pStyle w:val="Spisilustracji"/>
        <w:rPr>
          <w:rFonts w:asciiTheme="minorHAnsi" w:eastAsiaTheme="minorEastAsia" w:hAnsiTheme="minorHAnsi" w:cstheme="minorBidi"/>
          <w:sz w:val="22"/>
          <w:lang w:eastAsia="pl-PL"/>
        </w:rPr>
      </w:pPr>
      <w:hyperlink w:anchor="_Toc105512838" w:history="1">
        <w:r w:rsidR="00CD4059" w:rsidRPr="00BF773F">
          <w:rPr>
            <w:rStyle w:val="Hipercze"/>
          </w:rPr>
          <w:t>Tabela 9</w:t>
        </w:r>
        <w:r w:rsidR="00CD4059" w:rsidRPr="00BF773F">
          <w:rPr>
            <w:rStyle w:val="Hipercze"/>
          </w:rPr>
          <w:noBreakHyphen/>
          <w:t>14.</w:t>
        </w:r>
        <w:r w:rsidR="00CD4059">
          <w:rPr>
            <w:rFonts w:asciiTheme="minorHAnsi" w:eastAsiaTheme="minorEastAsia" w:hAnsiTheme="minorHAnsi" w:cstheme="minorBidi"/>
            <w:sz w:val="22"/>
            <w:lang w:eastAsia="pl-PL"/>
          </w:rPr>
          <w:tab/>
        </w:r>
        <w:r w:rsidR="00CD4059" w:rsidRPr="00BF773F">
          <w:rPr>
            <w:rStyle w:val="Hipercze"/>
          </w:rPr>
          <w:t>Ocena postępu w osiąganiu celów środowiskowych dla stanu/potencjału ekologicznego na obszarze dorzecza Odry w układzie planistycznym IIaPGW (cykl planistyczny 2022–2027) –  JCWP LW</w:t>
        </w:r>
        <w:r w:rsidR="00CD4059">
          <w:rPr>
            <w:webHidden/>
          </w:rPr>
          <w:tab/>
        </w:r>
        <w:r w:rsidR="00CD4059">
          <w:rPr>
            <w:webHidden/>
          </w:rPr>
          <w:fldChar w:fldCharType="begin"/>
        </w:r>
        <w:r w:rsidR="00CD4059">
          <w:rPr>
            <w:webHidden/>
          </w:rPr>
          <w:instrText xml:space="preserve"> PAGEREF _Toc105512838 \h </w:instrText>
        </w:r>
        <w:r w:rsidR="00CD4059">
          <w:rPr>
            <w:webHidden/>
          </w:rPr>
        </w:r>
        <w:r w:rsidR="00CD4059">
          <w:rPr>
            <w:webHidden/>
          </w:rPr>
          <w:fldChar w:fldCharType="separate"/>
        </w:r>
        <w:r w:rsidR="001F774D">
          <w:rPr>
            <w:webHidden/>
          </w:rPr>
          <w:t>210</w:t>
        </w:r>
        <w:r w:rsidR="00CD4059">
          <w:rPr>
            <w:webHidden/>
          </w:rPr>
          <w:fldChar w:fldCharType="end"/>
        </w:r>
      </w:hyperlink>
    </w:p>
    <w:p w14:paraId="0FF8F443" w14:textId="0F8ABE1A" w:rsidR="00CD4059" w:rsidRDefault="009C595A">
      <w:pPr>
        <w:pStyle w:val="Spisilustracji"/>
        <w:rPr>
          <w:rFonts w:asciiTheme="minorHAnsi" w:eastAsiaTheme="minorEastAsia" w:hAnsiTheme="minorHAnsi" w:cstheme="minorBidi"/>
          <w:sz w:val="22"/>
          <w:lang w:eastAsia="pl-PL"/>
        </w:rPr>
      </w:pPr>
      <w:hyperlink w:anchor="_Toc105512839" w:history="1">
        <w:r w:rsidR="00CD4059" w:rsidRPr="00BF773F">
          <w:rPr>
            <w:rStyle w:val="Hipercze"/>
          </w:rPr>
          <w:t>Tabela 9</w:t>
        </w:r>
        <w:r w:rsidR="00CD4059" w:rsidRPr="00BF773F">
          <w:rPr>
            <w:rStyle w:val="Hipercze"/>
          </w:rPr>
          <w:noBreakHyphen/>
          <w:t>15.</w:t>
        </w:r>
        <w:r w:rsidR="00CD4059">
          <w:rPr>
            <w:rFonts w:asciiTheme="minorHAnsi" w:eastAsiaTheme="minorEastAsia" w:hAnsiTheme="minorHAnsi" w:cstheme="minorBidi"/>
            <w:sz w:val="22"/>
            <w:lang w:eastAsia="pl-PL"/>
          </w:rPr>
          <w:tab/>
        </w:r>
        <w:r w:rsidR="00CD4059" w:rsidRPr="00BF773F">
          <w:rPr>
            <w:rStyle w:val="Hipercze"/>
          </w:rPr>
          <w:t xml:space="preserve">Analiza przyczyn wpływających na brak postępu w osiąganiu celów środowiskowych dla stanu/potencjału ekologicznego na obszarze dorzecza Odry (bazując na nowym układzie planistycznym </w:t>
        </w:r>
        <w:r w:rsidR="00CD4059" w:rsidRPr="00BF773F">
          <w:rPr>
            <w:rStyle w:val="Hipercze"/>
            <w:rFonts w:cstheme="minorHAnsi"/>
          </w:rPr>
          <w:t>IIaPGW)</w:t>
        </w:r>
        <w:r w:rsidR="00CD4059" w:rsidRPr="00BF773F">
          <w:rPr>
            <w:rStyle w:val="Hipercze"/>
          </w:rPr>
          <w:t xml:space="preserve"> – JCWP LW</w:t>
        </w:r>
        <w:r w:rsidR="00CD4059">
          <w:rPr>
            <w:webHidden/>
          </w:rPr>
          <w:tab/>
        </w:r>
        <w:r w:rsidR="00CD4059">
          <w:rPr>
            <w:webHidden/>
          </w:rPr>
          <w:fldChar w:fldCharType="begin"/>
        </w:r>
        <w:r w:rsidR="00CD4059">
          <w:rPr>
            <w:webHidden/>
          </w:rPr>
          <w:instrText xml:space="preserve"> PAGEREF _Toc105512839 \h </w:instrText>
        </w:r>
        <w:r w:rsidR="00CD4059">
          <w:rPr>
            <w:webHidden/>
          </w:rPr>
        </w:r>
        <w:r w:rsidR="00CD4059">
          <w:rPr>
            <w:webHidden/>
          </w:rPr>
          <w:fldChar w:fldCharType="separate"/>
        </w:r>
        <w:r w:rsidR="001F774D">
          <w:rPr>
            <w:webHidden/>
          </w:rPr>
          <w:t>211</w:t>
        </w:r>
        <w:r w:rsidR="00CD4059">
          <w:rPr>
            <w:webHidden/>
          </w:rPr>
          <w:fldChar w:fldCharType="end"/>
        </w:r>
      </w:hyperlink>
    </w:p>
    <w:p w14:paraId="5CBF6569" w14:textId="621E93F0" w:rsidR="00CD4059" w:rsidRDefault="009C595A">
      <w:pPr>
        <w:pStyle w:val="Spisilustracji"/>
        <w:rPr>
          <w:rFonts w:asciiTheme="minorHAnsi" w:eastAsiaTheme="minorEastAsia" w:hAnsiTheme="minorHAnsi" w:cstheme="minorBidi"/>
          <w:sz w:val="22"/>
          <w:lang w:eastAsia="pl-PL"/>
        </w:rPr>
      </w:pPr>
      <w:hyperlink w:anchor="_Toc105512840" w:history="1">
        <w:r w:rsidR="00CD4059" w:rsidRPr="00BF773F">
          <w:rPr>
            <w:rStyle w:val="Hipercze"/>
          </w:rPr>
          <w:t>Tabela 9</w:t>
        </w:r>
        <w:r w:rsidR="00CD4059" w:rsidRPr="00BF773F">
          <w:rPr>
            <w:rStyle w:val="Hipercze"/>
          </w:rPr>
          <w:noBreakHyphen/>
          <w:t>16.</w:t>
        </w:r>
        <w:r w:rsidR="00CD4059">
          <w:rPr>
            <w:rFonts w:asciiTheme="minorHAnsi" w:eastAsiaTheme="minorEastAsia" w:hAnsiTheme="minorHAnsi" w:cstheme="minorBidi"/>
            <w:sz w:val="22"/>
            <w:lang w:eastAsia="pl-PL"/>
          </w:rPr>
          <w:tab/>
        </w:r>
        <w:r w:rsidR="00CD4059" w:rsidRPr="00BF773F">
          <w:rPr>
            <w:rStyle w:val="Hipercze"/>
          </w:rPr>
          <w:t>Ocena postępu w osiąganiu celów środowiskowych dla stanu chemicznego na obszarze dorzecza Odry w układzie planistycznym aPGW (cykl planistyczny 2016–2021) – JCWP LW</w:t>
        </w:r>
        <w:r w:rsidR="00CD4059">
          <w:rPr>
            <w:webHidden/>
          </w:rPr>
          <w:tab/>
        </w:r>
        <w:r w:rsidR="00CD4059">
          <w:rPr>
            <w:webHidden/>
          </w:rPr>
          <w:fldChar w:fldCharType="begin"/>
        </w:r>
        <w:r w:rsidR="00CD4059">
          <w:rPr>
            <w:webHidden/>
          </w:rPr>
          <w:instrText xml:space="preserve"> PAGEREF _Toc105512840 \h </w:instrText>
        </w:r>
        <w:r w:rsidR="00CD4059">
          <w:rPr>
            <w:webHidden/>
          </w:rPr>
        </w:r>
        <w:r w:rsidR="00CD4059">
          <w:rPr>
            <w:webHidden/>
          </w:rPr>
          <w:fldChar w:fldCharType="separate"/>
        </w:r>
        <w:r w:rsidR="001F774D">
          <w:rPr>
            <w:webHidden/>
          </w:rPr>
          <w:t>212</w:t>
        </w:r>
        <w:r w:rsidR="00CD4059">
          <w:rPr>
            <w:webHidden/>
          </w:rPr>
          <w:fldChar w:fldCharType="end"/>
        </w:r>
      </w:hyperlink>
    </w:p>
    <w:p w14:paraId="35A25A64" w14:textId="073C9038" w:rsidR="00CD4059" w:rsidRDefault="009C595A">
      <w:pPr>
        <w:pStyle w:val="Spisilustracji"/>
        <w:rPr>
          <w:rFonts w:asciiTheme="minorHAnsi" w:eastAsiaTheme="minorEastAsia" w:hAnsiTheme="minorHAnsi" w:cstheme="minorBidi"/>
          <w:sz w:val="22"/>
          <w:lang w:eastAsia="pl-PL"/>
        </w:rPr>
      </w:pPr>
      <w:hyperlink w:anchor="_Toc105512841" w:history="1">
        <w:r w:rsidR="00CD4059" w:rsidRPr="00BF773F">
          <w:rPr>
            <w:rStyle w:val="Hipercze"/>
          </w:rPr>
          <w:t>Tabela 9</w:t>
        </w:r>
        <w:r w:rsidR="00CD4059" w:rsidRPr="00BF773F">
          <w:rPr>
            <w:rStyle w:val="Hipercze"/>
          </w:rPr>
          <w:noBreakHyphen/>
          <w:t>17.</w:t>
        </w:r>
        <w:r w:rsidR="00CD4059">
          <w:rPr>
            <w:rFonts w:asciiTheme="minorHAnsi" w:eastAsiaTheme="minorEastAsia" w:hAnsiTheme="minorHAnsi" w:cstheme="minorBidi"/>
            <w:sz w:val="22"/>
            <w:lang w:eastAsia="pl-PL"/>
          </w:rPr>
          <w:tab/>
        </w:r>
        <w:r w:rsidR="00CD4059" w:rsidRPr="00BF773F">
          <w:rPr>
            <w:rStyle w:val="Hipercze"/>
          </w:rPr>
          <w:t>Ocena postępu w osiąganiu celów środowiskowych dla stanu chemicznego na obszarze dorzecza Odry w układzie planistycznym IIaPGW (cykl planistyczny 2022–2027) – JCWP LW</w:t>
        </w:r>
        <w:r w:rsidR="00CD4059">
          <w:rPr>
            <w:webHidden/>
          </w:rPr>
          <w:tab/>
        </w:r>
        <w:r w:rsidR="00CD4059">
          <w:rPr>
            <w:webHidden/>
          </w:rPr>
          <w:fldChar w:fldCharType="begin"/>
        </w:r>
        <w:r w:rsidR="00CD4059">
          <w:rPr>
            <w:webHidden/>
          </w:rPr>
          <w:instrText xml:space="preserve"> PAGEREF _Toc105512841 \h </w:instrText>
        </w:r>
        <w:r w:rsidR="00CD4059">
          <w:rPr>
            <w:webHidden/>
          </w:rPr>
        </w:r>
        <w:r w:rsidR="00CD4059">
          <w:rPr>
            <w:webHidden/>
          </w:rPr>
          <w:fldChar w:fldCharType="separate"/>
        </w:r>
        <w:r w:rsidR="001F774D">
          <w:rPr>
            <w:webHidden/>
          </w:rPr>
          <w:t>212</w:t>
        </w:r>
        <w:r w:rsidR="00CD4059">
          <w:rPr>
            <w:webHidden/>
          </w:rPr>
          <w:fldChar w:fldCharType="end"/>
        </w:r>
      </w:hyperlink>
    </w:p>
    <w:p w14:paraId="307281B9" w14:textId="337E86FF" w:rsidR="00CD4059" w:rsidRDefault="009C595A">
      <w:pPr>
        <w:pStyle w:val="Spisilustracji"/>
        <w:rPr>
          <w:rFonts w:asciiTheme="minorHAnsi" w:eastAsiaTheme="minorEastAsia" w:hAnsiTheme="minorHAnsi" w:cstheme="minorBidi"/>
          <w:sz w:val="22"/>
          <w:lang w:eastAsia="pl-PL"/>
        </w:rPr>
      </w:pPr>
      <w:hyperlink w:anchor="_Toc105512842" w:history="1">
        <w:r w:rsidR="00CD4059" w:rsidRPr="00BF773F">
          <w:rPr>
            <w:rStyle w:val="Hipercze"/>
          </w:rPr>
          <w:t>Tabela 9</w:t>
        </w:r>
        <w:r w:rsidR="00CD4059" w:rsidRPr="00BF773F">
          <w:rPr>
            <w:rStyle w:val="Hipercze"/>
          </w:rPr>
          <w:noBreakHyphen/>
          <w:t>18.</w:t>
        </w:r>
        <w:r w:rsidR="00CD4059">
          <w:rPr>
            <w:rFonts w:asciiTheme="minorHAnsi" w:eastAsiaTheme="minorEastAsia" w:hAnsiTheme="minorHAnsi" w:cstheme="minorBidi"/>
            <w:sz w:val="22"/>
            <w:lang w:eastAsia="pl-PL"/>
          </w:rPr>
          <w:tab/>
        </w:r>
        <w:r w:rsidR="00CD4059" w:rsidRPr="00BF773F">
          <w:rPr>
            <w:rStyle w:val="Hipercze"/>
          </w:rPr>
          <w:t xml:space="preserve">Analiza przyczyn wpływających na brak postępu w osiąganiu celów środowiskowych dla stanu chemicznego na obszarze dorzecza Odry (bazując na nowym układzie planistycznym </w:t>
        </w:r>
        <w:r w:rsidR="00CD4059" w:rsidRPr="00BF773F">
          <w:rPr>
            <w:rStyle w:val="Hipercze"/>
            <w:rFonts w:cstheme="minorHAnsi"/>
          </w:rPr>
          <w:t xml:space="preserve">IIaPGW) </w:t>
        </w:r>
        <w:r w:rsidR="00CD4059" w:rsidRPr="00BF773F">
          <w:rPr>
            <w:rStyle w:val="Hipercze"/>
          </w:rPr>
          <w:t>– JCWP LW</w:t>
        </w:r>
        <w:r w:rsidR="00CD4059">
          <w:rPr>
            <w:webHidden/>
          </w:rPr>
          <w:tab/>
        </w:r>
        <w:r w:rsidR="00CD4059">
          <w:rPr>
            <w:webHidden/>
          </w:rPr>
          <w:fldChar w:fldCharType="begin"/>
        </w:r>
        <w:r w:rsidR="00CD4059">
          <w:rPr>
            <w:webHidden/>
          </w:rPr>
          <w:instrText xml:space="preserve"> PAGEREF _Toc105512842 \h </w:instrText>
        </w:r>
        <w:r w:rsidR="00CD4059">
          <w:rPr>
            <w:webHidden/>
          </w:rPr>
        </w:r>
        <w:r w:rsidR="00CD4059">
          <w:rPr>
            <w:webHidden/>
          </w:rPr>
          <w:fldChar w:fldCharType="separate"/>
        </w:r>
        <w:r w:rsidR="001F774D">
          <w:rPr>
            <w:webHidden/>
          </w:rPr>
          <w:t>213</w:t>
        </w:r>
        <w:r w:rsidR="00CD4059">
          <w:rPr>
            <w:webHidden/>
          </w:rPr>
          <w:fldChar w:fldCharType="end"/>
        </w:r>
      </w:hyperlink>
    </w:p>
    <w:p w14:paraId="33E7766B" w14:textId="4F8C013C" w:rsidR="00CD4059" w:rsidRDefault="009C595A">
      <w:pPr>
        <w:pStyle w:val="Spisilustracji"/>
        <w:rPr>
          <w:rFonts w:asciiTheme="minorHAnsi" w:eastAsiaTheme="minorEastAsia" w:hAnsiTheme="minorHAnsi" w:cstheme="minorBidi"/>
          <w:sz w:val="22"/>
          <w:lang w:eastAsia="pl-PL"/>
        </w:rPr>
      </w:pPr>
      <w:hyperlink w:anchor="_Toc105512843" w:history="1">
        <w:r w:rsidR="00CD4059" w:rsidRPr="00BF773F">
          <w:rPr>
            <w:rStyle w:val="Hipercze"/>
          </w:rPr>
          <w:t>Tabela 9</w:t>
        </w:r>
        <w:r w:rsidR="00CD4059" w:rsidRPr="00BF773F">
          <w:rPr>
            <w:rStyle w:val="Hipercze"/>
          </w:rPr>
          <w:noBreakHyphen/>
          <w:t>19.</w:t>
        </w:r>
        <w:r w:rsidR="00CD4059">
          <w:rPr>
            <w:rFonts w:asciiTheme="minorHAnsi" w:eastAsiaTheme="minorEastAsia" w:hAnsiTheme="minorHAnsi" w:cstheme="minorBidi"/>
            <w:sz w:val="22"/>
            <w:lang w:eastAsia="pl-PL"/>
          </w:rPr>
          <w:tab/>
        </w:r>
        <w:r w:rsidR="00CD4059" w:rsidRPr="00BF773F">
          <w:rPr>
            <w:rStyle w:val="Hipercze"/>
          </w:rPr>
          <w:t>Ocena postępu w osiąganiu celów środowiskowych dla stanu/potencjału ekologicznego na obszarze dorzecza Odry w układzie planistycznym aPGW (cykl planistyczny 2016–2021) –  JCWP TW i CW</w:t>
        </w:r>
        <w:r w:rsidR="00CD4059">
          <w:rPr>
            <w:webHidden/>
          </w:rPr>
          <w:tab/>
        </w:r>
        <w:r w:rsidR="00CD4059">
          <w:rPr>
            <w:webHidden/>
          </w:rPr>
          <w:fldChar w:fldCharType="begin"/>
        </w:r>
        <w:r w:rsidR="00CD4059">
          <w:rPr>
            <w:webHidden/>
          </w:rPr>
          <w:instrText xml:space="preserve"> PAGEREF _Toc105512843 \h </w:instrText>
        </w:r>
        <w:r w:rsidR="00CD4059">
          <w:rPr>
            <w:webHidden/>
          </w:rPr>
        </w:r>
        <w:r w:rsidR="00CD4059">
          <w:rPr>
            <w:webHidden/>
          </w:rPr>
          <w:fldChar w:fldCharType="separate"/>
        </w:r>
        <w:r w:rsidR="001F774D">
          <w:rPr>
            <w:webHidden/>
          </w:rPr>
          <w:t>214</w:t>
        </w:r>
        <w:r w:rsidR="00CD4059">
          <w:rPr>
            <w:webHidden/>
          </w:rPr>
          <w:fldChar w:fldCharType="end"/>
        </w:r>
      </w:hyperlink>
    </w:p>
    <w:p w14:paraId="51B6A30A" w14:textId="5D1C435D" w:rsidR="00CD4059" w:rsidRDefault="009C595A">
      <w:pPr>
        <w:pStyle w:val="Spisilustracji"/>
        <w:rPr>
          <w:rFonts w:asciiTheme="minorHAnsi" w:eastAsiaTheme="minorEastAsia" w:hAnsiTheme="minorHAnsi" w:cstheme="minorBidi"/>
          <w:sz w:val="22"/>
          <w:lang w:eastAsia="pl-PL"/>
        </w:rPr>
      </w:pPr>
      <w:hyperlink w:anchor="_Toc105512844" w:history="1">
        <w:r w:rsidR="00CD4059" w:rsidRPr="00BF773F">
          <w:rPr>
            <w:rStyle w:val="Hipercze"/>
          </w:rPr>
          <w:t>Tabela 9</w:t>
        </w:r>
        <w:r w:rsidR="00CD4059" w:rsidRPr="00BF773F">
          <w:rPr>
            <w:rStyle w:val="Hipercze"/>
          </w:rPr>
          <w:noBreakHyphen/>
          <w:t>20.</w:t>
        </w:r>
        <w:r w:rsidR="00CD4059">
          <w:rPr>
            <w:rFonts w:asciiTheme="minorHAnsi" w:eastAsiaTheme="minorEastAsia" w:hAnsiTheme="minorHAnsi" w:cstheme="minorBidi"/>
            <w:sz w:val="22"/>
            <w:lang w:eastAsia="pl-PL"/>
          </w:rPr>
          <w:tab/>
        </w:r>
        <w:r w:rsidR="00CD4059" w:rsidRPr="00BF773F">
          <w:rPr>
            <w:rStyle w:val="Hipercze"/>
          </w:rPr>
          <w:t>Ocena postępu w osiąganiu celów środowiskowych dla stanu/potencjału ekologicznego na obszarze dorzecza Odry w układzie planistycznym IIaPGW (cykl planistyczny 2022–2027) –  JCWP TW i CW</w:t>
        </w:r>
        <w:r w:rsidR="00CD4059">
          <w:rPr>
            <w:webHidden/>
          </w:rPr>
          <w:tab/>
        </w:r>
        <w:r w:rsidR="00CD4059">
          <w:rPr>
            <w:webHidden/>
          </w:rPr>
          <w:fldChar w:fldCharType="begin"/>
        </w:r>
        <w:r w:rsidR="00CD4059">
          <w:rPr>
            <w:webHidden/>
          </w:rPr>
          <w:instrText xml:space="preserve"> PAGEREF _Toc105512844 \h </w:instrText>
        </w:r>
        <w:r w:rsidR="00CD4059">
          <w:rPr>
            <w:webHidden/>
          </w:rPr>
        </w:r>
        <w:r w:rsidR="00CD4059">
          <w:rPr>
            <w:webHidden/>
          </w:rPr>
          <w:fldChar w:fldCharType="separate"/>
        </w:r>
        <w:r w:rsidR="001F774D">
          <w:rPr>
            <w:webHidden/>
          </w:rPr>
          <w:t>215</w:t>
        </w:r>
        <w:r w:rsidR="00CD4059">
          <w:rPr>
            <w:webHidden/>
          </w:rPr>
          <w:fldChar w:fldCharType="end"/>
        </w:r>
      </w:hyperlink>
    </w:p>
    <w:p w14:paraId="66998B00" w14:textId="54EEA3F7" w:rsidR="00CD4059" w:rsidRDefault="009C595A">
      <w:pPr>
        <w:pStyle w:val="Spisilustracji"/>
        <w:rPr>
          <w:rFonts w:asciiTheme="minorHAnsi" w:eastAsiaTheme="minorEastAsia" w:hAnsiTheme="minorHAnsi" w:cstheme="minorBidi"/>
          <w:sz w:val="22"/>
          <w:lang w:eastAsia="pl-PL"/>
        </w:rPr>
      </w:pPr>
      <w:hyperlink w:anchor="_Toc105512845" w:history="1">
        <w:r w:rsidR="00CD4059" w:rsidRPr="00BF773F">
          <w:rPr>
            <w:rStyle w:val="Hipercze"/>
          </w:rPr>
          <w:t>Tabela 9</w:t>
        </w:r>
        <w:r w:rsidR="00CD4059" w:rsidRPr="00BF773F">
          <w:rPr>
            <w:rStyle w:val="Hipercze"/>
          </w:rPr>
          <w:noBreakHyphen/>
          <w:t>21.</w:t>
        </w:r>
        <w:r w:rsidR="00CD4059">
          <w:rPr>
            <w:rFonts w:asciiTheme="minorHAnsi" w:eastAsiaTheme="minorEastAsia" w:hAnsiTheme="minorHAnsi" w:cstheme="minorBidi"/>
            <w:sz w:val="22"/>
            <w:lang w:eastAsia="pl-PL"/>
          </w:rPr>
          <w:tab/>
        </w:r>
        <w:r w:rsidR="00CD4059" w:rsidRPr="00BF773F">
          <w:rPr>
            <w:rStyle w:val="Hipercze"/>
          </w:rPr>
          <w:t xml:space="preserve">Analiza przyczyn wpływających na brak postępu w osiąganiu celów środowiskowych dla stanu/potencjału ekologicznego na obszarze dorzecza Odry (bazując na nowym układzie planistycznym </w:t>
        </w:r>
        <w:r w:rsidR="00CD4059" w:rsidRPr="00BF773F">
          <w:rPr>
            <w:rStyle w:val="Hipercze"/>
            <w:rFonts w:cstheme="minorHAnsi"/>
          </w:rPr>
          <w:t>IIaPGW)</w:t>
        </w:r>
        <w:r w:rsidR="00CD4059" w:rsidRPr="00BF773F">
          <w:rPr>
            <w:rStyle w:val="Hipercze"/>
          </w:rPr>
          <w:t xml:space="preserve"> – JCWP TW i CW</w:t>
        </w:r>
        <w:r w:rsidR="00CD4059">
          <w:rPr>
            <w:webHidden/>
          </w:rPr>
          <w:tab/>
        </w:r>
        <w:r w:rsidR="00CD4059">
          <w:rPr>
            <w:webHidden/>
          </w:rPr>
          <w:fldChar w:fldCharType="begin"/>
        </w:r>
        <w:r w:rsidR="00CD4059">
          <w:rPr>
            <w:webHidden/>
          </w:rPr>
          <w:instrText xml:space="preserve"> PAGEREF _Toc105512845 \h </w:instrText>
        </w:r>
        <w:r w:rsidR="00CD4059">
          <w:rPr>
            <w:webHidden/>
          </w:rPr>
        </w:r>
        <w:r w:rsidR="00CD4059">
          <w:rPr>
            <w:webHidden/>
          </w:rPr>
          <w:fldChar w:fldCharType="separate"/>
        </w:r>
        <w:r w:rsidR="001F774D">
          <w:rPr>
            <w:webHidden/>
          </w:rPr>
          <w:t>215</w:t>
        </w:r>
        <w:r w:rsidR="00CD4059">
          <w:rPr>
            <w:webHidden/>
          </w:rPr>
          <w:fldChar w:fldCharType="end"/>
        </w:r>
      </w:hyperlink>
    </w:p>
    <w:p w14:paraId="2B766D12" w14:textId="09BEE558" w:rsidR="00CD4059" w:rsidRDefault="009C595A">
      <w:pPr>
        <w:pStyle w:val="Spisilustracji"/>
        <w:rPr>
          <w:rFonts w:asciiTheme="minorHAnsi" w:eastAsiaTheme="minorEastAsia" w:hAnsiTheme="minorHAnsi" w:cstheme="minorBidi"/>
          <w:sz w:val="22"/>
          <w:lang w:eastAsia="pl-PL"/>
        </w:rPr>
      </w:pPr>
      <w:hyperlink w:anchor="_Toc105512846" w:history="1">
        <w:r w:rsidR="00CD4059" w:rsidRPr="00BF773F">
          <w:rPr>
            <w:rStyle w:val="Hipercze"/>
          </w:rPr>
          <w:t>Tabela 9</w:t>
        </w:r>
        <w:r w:rsidR="00CD4059" w:rsidRPr="00BF773F">
          <w:rPr>
            <w:rStyle w:val="Hipercze"/>
          </w:rPr>
          <w:noBreakHyphen/>
          <w:t>22.</w:t>
        </w:r>
        <w:r w:rsidR="00CD4059">
          <w:rPr>
            <w:rFonts w:asciiTheme="minorHAnsi" w:eastAsiaTheme="minorEastAsia" w:hAnsiTheme="minorHAnsi" w:cstheme="minorBidi"/>
            <w:sz w:val="22"/>
            <w:lang w:eastAsia="pl-PL"/>
          </w:rPr>
          <w:tab/>
        </w:r>
        <w:r w:rsidR="00CD4059" w:rsidRPr="00BF773F">
          <w:rPr>
            <w:rStyle w:val="Hipercze"/>
          </w:rPr>
          <w:t>Ocena postępu w osiąganiu celów środowiskowych dla stanu chemicznego na obszarze dorzecza Odry w układzie planistycznym aPGW (cykl planistyczny 2016–2021) – JCWP TW i CW</w:t>
        </w:r>
        <w:r w:rsidR="00CD4059">
          <w:rPr>
            <w:webHidden/>
          </w:rPr>
          <w:tab/>
        </w:r>
        <w:r w:rsidR="00CD4059">
          <w:rPr>
            <w:webHidden/>
          </w:rPr>
          <w:fldChar w:fldCharType="begin"/>
        </w:r>
        <w:r w:rsidR="00CD4059">
          <w:rPr>
            <w:webHidden/>
          </w:rPr>
          <w:instrText xml:space="preserve"> PAGEREF _Toc105512846 \h </w:instrText>
        </w:r>
        <w:r w:rsidR="00CD4059">
          <w:rPr>
            <w:webHidden/>
          </w:rPr>
        </w:r>
        <w:r w:rsidR="00CD4059">
          <w:rPr>
            <w:webHidden/>
          </w:rPr>
          <w:fldChar w:fldCharType="separate"/>
        </w:r>
        <w:r w:rsidR="001F774D">
          <w:rPr>
            <w:webHidden/>
          </w:rPr>
          <w:t>216</w:t>
        </w:r>
        <w:r w:rsidR="00CD4059">
          <w:rPr>
            <w:webHidden/>
          </w:rPr>
          <w:fldChar w:fldCharType="end"/>
        </w:r>
      </w:hyperlink>
    </w:p>
    <w:p w14:paraId="79431EDB" w14:textId="3B8E485B" w:rsidR="00CD4059" w:rsidRDefault="009C595A">
      <w:pPr>
        <w:pStyle w:val="Spisilustracji"/>
        <w:rPr>
          <w:rFonts w:asciiTheme="minorHAnsi" w:eastAsiaTheme="minorEastAsia" w:hAnsiTheme="minorHAnsi" w:cstheme="minorBidi"/>
          <w:sz w:val="22"/>
          <w:lang w:eastAsia="pl-PL"/>
        </w:rPr>
      </w:pPr>
      <w:hyperlink w:anchor="_Toc105512847" w:history="1">
        <w:r w:rsidR="00CD4059" w:rsidRPr="00BF773F">
          <w:rPr>
            <w:rStyle w:val="Hipercze"/>
          </w:rPr>
          <w:t>Tabela 9</w:t>
        </w:r>
        <w:r w:rsidR="00CD4059" w:rsidRPr="00BF773F">
          <w:rPr>
            <w:rStyle w:val="Hipercze"/>
          </w:rPr>
          <w:noBreakHyphen/>
          <w:t>23.</w:t>
        </w:r>
        <w:r w:rsidR="00CD4059">
          <w:rPr>
            <w:rFonts w:asciiTheme="minorHAnsi" w:eastAsiaTheme="minorEastAsia" w:hAnsiTheme="minorHAnsi" w:cstheme="minorBidi"/>
            <w:sz w:val="22"/>
            <w:lang w:eastAsia="pl-PL"/>
          </w:rPr>
          <w:tab/>
        </w:r>
        <w:r w:rsidR="00CD4059" w:rsidRPr="00BF773F">
          <w:rPr>
            <w:rStyle w:val="Hipercze"/>
          </w:rPr>
          <w:t>Ocena postępu w osiąganiu celów środowiskowych dla stanu chemicznego na obszarze dorzecza Odry w układzie planistycznym IIaPGW (cykl planistyczny 2022–2027) – JCWP TW i CW</w:t>
        </w:r>
        <w:r w:rsidR="00CD4059">
          <w:rPr>
            <w:webHidden/>
          </w:rPr>
          <w:tab/>
        </w:r>
        <w:r w:rsidR="00CD4059">
          <w:rPr>
            <w:webHidden/>
          </w:rPr>
          <w:fldChar w:fldCharType="begin"/>
        </w:r>
        <w:r w:rsidR="00CD4059">
          <w:rPr>
            <w:webHidden/>
          </w:rPr>
          <w:instrText xml:space="preserve"> PAGEREF _Toc105512847 \h </w:instrText>
        </w:r>
        <w:r w:rsidR="00CD4059">
          <w:rPr>
            <w:webHidden/>
          </w:rPr>
        </w:r>
        <w:r w:rsidR="00CD4059">
          <w:rPr>
            <w:webHidden/>
          </w:rPr>
          <w:fldChar w:fldCharType="separate"/>
        </w:r>
        <w:r w:rsidR="001F774D">
          <w:rPr>
            <w:webHidden/>
          </w:rPr>
          <w:t>216</w:t>
        </w:r>
        <w:r w:rsidR="00CD4059">
          <w:rPr>
            <w:webHidden/>
          </w:rPr>
          <w:fldChar w:fldCharType="end"/>
        </w:r>
      </w:hyperlink>
    </w:p>
    <w:p w14:paraId="1F03B72A" w14:textId="0697016A" w:rsidR="00CD4059" w:rsidRDefault="009C595A">
      <w:pPr>
        <w:pStyle w:val="Spisilustracji"/>
        <w:rPr>
          <w:rFonts w:asciiTheme="minorHAnsi" w:eastAsiaTheme="minorEastAsia" w:hAnsiTheme="minorHAnsi" w:cstheme="minorBidi"/>
          <w:sz w:val="22"/>
          <w:lang w:eastAsia="pl-PL"/>
        </w:rPr>
      </w:pPr>
      <w:hyperlink w:anchor="_Toc105512848" w:history="1">
        <w:r w:rsidR="00CD4059" w:rsidRPr="00BF773F">
          <w:rPr>
            <w:rStyle w:val="Hipercze"/>
          </w:rPr>
          <w:t>Tabela 9</w:t>
        </w:r>
        <w:r w:rsidR="00CD4059" w:rsidRPr="00BF773F">
          <w:rPr>
            <w:rStyle w:val="Hipercze"/>
          </w:rPr>
          <w:noBreakHyphen/>
          <w:t>24.</w:t>
        </w:r>
        <w:r w:rsidR="00CD4059">
          <w:rPr>
            <w:rFonts w:asciiTheme="minorHAnsi" w:eastAsiaTheme="minorEastAsia" w:hAnsiTheme="minorHAnsi" w:cstheme="minorBidi"/>
            <w:sz w:val="22"/>
            <w:lang w:eastAsia="pl-PL"/>
          </w:rPr>
          <w:tab/>
        </w:r>
        <w:r w:rsidR="00CD4059" w:rsidRPr="00BF773F">
          <w:rPr>
            <w:rStyle w:val="Hipercze"/>
          </w:rPr>
          <w:t>Analiza przyczyn wpływających na brak postępu w osiąganiu celów środowiskowych dla stanu chemicznego na obszarze dorzecza Odry (bazując na nowym układzie planistycznym IIaPGW) – JCWP TW i CW</w:t>
        </w:r>
        <w:r w:rsidR="00CD4059">
          <w:rPr>
            <w:webHidden/>
          </w:rPr>
          <w:tab/>
        </w:r>
        <w:r w:rsidR="00CD4059">
          <w:rPr>
            <w:webHidden/>
          </w:rPr>
          <w:fldChar w:fldCharType="begin"/>
        </w:r>
        <w:r w:rsidR="00CD4059">
          <w:rPr>
            <w:webHidden/>
          </w:rPr>
          <w:instrText xml:space="preserve"> PAGEREF _Toc105512848 \h </w:instrText>
        </w:r>
        <w:r w:rsidR="00CD4059">
          <w:rPr>
            <w:webHidden/>
          </w:rPr>
        </w:r>
        <w:r w:rsidR="00CD4059">
          <w:rPr>
            <w:webHidden/>
          </w:rPr>
          <w:fldChar w:fldCharType="separate"/>
        </w:r>
        <w:r w:rsidR="001F774D">
          <w:rPr>
            <w:webHidden/>
          </w:rPr>
          <w:t>217</w:t>
        </w:r>
        <w:r w:rsidR="00CD4059">
          <w:rPr>
            <w:webHidden/>
          </w:rPr>
          <w:fldChar w:fldCharType="end"/>
        </w:r>
      </w:hyperlink>
    </w:p>
    <w:p w14:paraId="6C96869E" w14:textId="0B804A88" w:rsidR="00CD4059" w:rsidRDefault="009C595A">
      <w:pPr>
        <w:pStyle w:val="Spisilustracji"/>
        <w:rPr>
          <w:rFonts w:asciiTheme="minorHAnsi" w:eastAsiaTheme="minorEastAsia" w:hAnsiTheme="minorHAnsi" w:cstheme="minorBidi"/>
          <w:sz w:val="22"/>
          <w:lang w:eastAsia="pl-PL"/>
        </w:rPr>
      </w:pPr>
      <w:hyperlink w:anchor="_Toc105512849" w:history="1">
        <w:r w:rsidR="00CD4059" w:rsidRPr="00BF773F">
          <w:rPr>
            <w:rStyle w:val="Hipercze"/>
          </w:rPr>
          <w:t>Tabela 9</w:t>
        </w:r>
        <w:r w:rsidR="00CD4059" w:rsidRPr="00BF773F">
          <w:rPr>
            <w:rStyle w:val="Hipercze"/>
          </w:rPr>
          <w:noBreakHyphen/>
          <w:t>25.</w:t>
        </w:r>
        <w:r w:rsidR="00CD4059">
          <w:rPr>
            <w:rFonts w:asciiTheme="minorHAnsi" w:eastAsiaTheme="minorEastAsia" w:hAnsiTheme="minorHAnsi" w:cstheme="minorBidi"/>
            <w:sz w:val="22"/>
            <w:lang w:eastAsia="pl-PL"/>
          </w:rPr>
          <w:tab/>
        </w:r>
        <w:r w:rsidR="00CD4059" w:rsidRPr="00BF773F">
          <w:rPr>
            <w:rStyle w:val="Hipercze"/>
          </w:rPr>
          <w:t>Porównanie wyniku oceny stanu JCWPd w latach 2016 i 2019 w podziale na regiony wodne obszaru dorzecza Odry</w:t>
        </w:r>
        <w:r w:rsidR="00CD4059">
          <w:rPr>
            <w:webHidden/>
          </w:rPr>
          <w:tab/>
        </w:r>
        <w:r w:rsidR="00CD4059">
          <w:rPr>
            <w:webHidden/>
          </w:rPr>
          <w:fldChar w:fldCharType="begin"/>
        </w:r>
        <w:r w:rsidR="00CD4059">
          <w:rPr>
            <w:webHidden/>
          </w:rPr>
          <w:instrText xml:space="preserve"> PAGEREF _Toc105512849 \h </w:instrText>
        </w:r>
        <w:r w:rsidR="00CD4059">
          <w:rPr>
            <w:webHidden/>
          </w:rPr>
        </w:r>
        <w:r w:rsidR="00CD4059">
          <w:rPr>
            <w:webHidden/>
          </w:rPr>
          <w:fldChar w:fldCharType="separate"/>
        </w:r>
        <w:r w:rsidR="001F774D">
          <w:rPr>
            <w:webHidden/>
          </w:rPr>
          <w:t>218</w:t>
        </w:r>
        <w:r w:rsidR="00CD4059">
          <w:rPr>
            <w:webHidden/>
          </w:rPr>
          <w:fldChar w:fldCharType="end"/>
        </w:r>
      </w:hyperlink>
    </w:p>
    <w:p w14:paraId="65B75CB9" w14:textId="218C7537" w:rsidR="00CD4059" w:rsidRDefault="009C595A">
      <w:pPr>
        <w:pStyle w:val="Spisilustracji"/>
        <w:rPr>
          <w:rFonts w:asciiTheme="minorHAnsi" w:eastAsiaTheme="minorEastAsia" w:hAnsiTheme="minorHAnsi" w:cstheme="minorBidi"/>
          <w:sz w:val="22"/>
          <w:lang w:eastAsia="pl-PL"/>
        </w:rPr>
      </w:pPr>
      <w:hyperlink w:anchor="_Toc105512850" w:history="1">
        <w:r w:rsidR="00CD4059" w:rsidRPr="00BF773F">
          <w:rPr>
            <w:rStyle w:val="Hipercze"/>
          </w:rPr>
          <w:t>Tabela 9</w:t>
        </w:r>
        <w:r w:rsidR="00CD4059" w:rsidRPr="00BF773F">
          <w:rPr>
            <w:rStyle w:val="Hipercze"/>
          </w:rPr>
          <w:noBreakHyphen/>
          <w:t>26.</w:t>
        </w:r>
        <w:r w:rsidR="00CD4059">
          <w:rPr>
            <w:rFonts w:asciiTheme="minorHAnsi" w:eastAsiaTheme="minorEastAsia" w:hAnsiTheme="minorHAnsi" w:cstheme="minorBidi"/>
            <w:sz w:val="22"/>
            <w:lang w:eastAsia="pl-PL"/>
          </w:rPr>
          <w:tab/>
        </w:r>
        <w:r w:rsidR="00CD4059" w:rsidRPr="00BF773F">
          <w:rPr>
            <w:rStyle w:val="Hipercze"/>
          </w:rPr>
          <w:t xml:space="preserve">Ocena postępu w osiąganiu podstawowych celów środowiskowych dla obszarów chronionych wód przeznaczonych do poboru wody na potrzeby zaopatrzenia ludności w wodę przeznaczoną do spożycia przez ludzi; wód przeznaczonych do celów rekreacyjnych, w tym kąpieliskowych; wrażliwych na eutrofizację </w:t>
        </w:r>
        <w:r w:rsidR="00CD4059" w:rsidRPr="00BF773F">
          <w:rPr>
            <w:rStyle w:val="Hipercze"/>
          </w:rPr>
          <w:lastRenderedPageBreak/>
          <w:t>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 na obszarze dorzecza Odry</w:t>
        </w:r>
        <w:r w:rsidR="00CD4059">
          <w:rPr>
            <w:webHidden/>
          </w:rPr>
          <w:tab/>
        </w:r>
        <w:r w:rsidR="00CD4059">
          <w:rPr>
            <w:webHidden/>
          </w:rPr>
          <w:fldChar w:fldCharType="begin"/>
        </w:r>
        <w:r w:rsidR="00CD4059">
          <w:rPr>
            <w:webHidden/>
          </w:rPr>
          <w:instrText xml:space="preserve"> PAGEREF _Toc105512850 \h </w:instrText>
        </w:r>
        <w:r w:rsidR="00CD4059">
          <w:rPr>
            <w:webHidden/>
          </w:rPr>
        </w:r>
        <w:r w:rsidR="00CD4059">
          <w:rPr>
            <w:webHidden/>
          </w:rPr>
          <w:fldChar w:fldCharType="separate"/>
        </w:r>
        <w:r w:rsidR="001F774D">
          <w:rPr>
            <w:webHidden/>
          </w:rPr>
          <w:t>223</w:t>
        </w:r>
        <w:r w:rsidR="00CD4059">
          <w:rPr>
            <w:webHidden/>
          </w:rPr>
          <w:fldChar w:fldCharType="end"/>
        </w:r>
      </w:hyperlink>
    </w:p>
    <w:p w14:paraId="466D12D4" w14:textId="587FE128" w:rsidR="00CD4059" w:rsidRDefault="009C595A">
      <w:pPr>
        <w:pStyle w:val="Spisilustracji"/>
        <w:rPr>
          <w:rFonts w:asciiTheme="minorHAnsi" w:eastAsiaTheme="minorEastAsia" w:hAnsiTheme="minorHAnsi" w:cstheme="minorBidi"/>
          <w:sz w:val="22"/>
          <w:lang w:eastAsia="pl-PL"/>
        </w:rPr>
      </w:pPr>
      <w:hyperlink w:anchor="_Toc105512851" w:history="1">
        <w:r w:rsidR="00CD4059" w:rsidRPr="00BF773F">
          <w:rPr>
            <w:rStyle w:val="Hipercze"/>
          </w:rPr>
          <w:t>Tabela 10</w:t>
        </w:r>
        <w:r w:rsidR="00CD4059" w:rsidRPr="00BF773F">
          <w:rPr>
            <w:rStyle w:val="Hipercze"/>
          </w:rPr>
          <w:noBreakHyphen/>
          <w:t>1.</w:t>
        </w:r>
        <w:r w:rsidR="00CD4059">
          <w:rPr>
            <w:rFonts w:asciiTheme="minorHAnsi" w:eastAsiaTheme="minorEastAsia" w:hAnsiTheme="minorHAnsi" w:cstheme="minorBidi"/>
            <w:sz w:val="22"/>
            <w:lang w:eastAsia="pl-PL"/>
          </w:rPr>
          <w:tab/>
        </w:r>
        <w:r w:rsidR="00CD4059" w:rsidRPr="00BF773F">
          <w:rPr>
            <w:rStyle w:val="Hipercze"/>
          </w:rPr>
          <w:t>Stopień realizacji działań podstawowych krajowych</w:t>
        </w:r>
        <w:r w:rsidR="00CD4059">
          <w:rPr>
            <w:webHidden/>
          </w:rPr>
          <w:tab/>
        </w:r>
        <w:r w:rsidR="00CD4059">
          <w:rPr>
            <w:webHidden/>
          </w:rPr>
          <w:fldChar w:fldCharType="begin"/>
        </w:r>
        <w:r w:rsidR="00CD4059">
          <w:rPr>
            <w:webHidden/>
          </w:rPr>
          <w:instrText xml:space="preserve"> PAGEREF _Toc105512851 \h </w:instrText>
        </w:r>
        <w:r w:rsidR="00CD4059">
          <w:rPr>
            <w:webHidden/>
          </w:rPr>
        </w:r>
        <w:r w:rsidR="00CD4059">
          <w:rPr>
            <w:webHidden/>
          </w:rPr>
          <w:fldChar w:fldCharType="separate"/>
        </w:r>
        <w:r w:rsidR="001F774D">
          <w:rPr>
            <w:webHidden/>
          </w:rPr>
          <w:t>225</w:t>
        </w:r>
        <w:r w:rsidR="00CD4059">
          <w:rPr>
            <w:webHidden/>
          </w:rPr>
          <w:fldChar w:fldCharType="end"/>
        </w:r>
      </w:hyperlink>
    </w:p>
    <w:p w14:paraId="61781EE3" w14:textId="7A75E68F" w:rsidR="00CD4059" w:rsidRDefault="009C595A">
      <w:pPr>
        <w:pStyle w:val="Spisilustracji"/>
        <w:rPr>
          <w:rFonts w:asciiTheme="minorHAnsi" w:eastAsiaTheme="minorEastAsia" w:hAnsiTheme="minorHAnsi" w:cstheme="minorBidi"/>
          <w:sz w:val="22"/>
          <w:lang w:eastAsia="pl-PL"/>
        </w:rPr>
      </w:pPr>
      <w:hyperlink w:anchor="_Toc105512852" w:history="1">
        <w:r w:rsidR="00CD4059" w:rsidRPr="00BF773F">
          <w:rPr>
            <w:rStyle w:val="Hipercze"/>
          </w:rPr>
          <w:t>Tabela 10</w:t>
        </w:r>
        <w:r w:rsidR="00CD4059" w:rsidRPr="00BF773F">
          <w:rPr>
            <w:rStyle w:val="Hipercze"/>
          </w:rPr>
          <w:noBreakHyphen/>
          <w:t>2.</w:t>
        </w:r>
        <w:r w:rsidR="00CD4059">
          <w:rPr>
            <w:rFonts w:asciiTheme="minorHAnsi" w:eastAsiaTheme="minorEastAsia" w:hAnsiTheme="minorHAnsi" w:cstheme="minorBidi"/>
            <w:sz w:val="22"/>
            <w:lang w:eastAsia="pl-PL"/>
          </w:rPr>
          <w:tab/>
        </w:r>
        <w:r w:rsidR="00CD4059" w:rsidRPr="00BF773F">
          <w:rPr>
            <w:rStyle w:val="Hipercze"/>
          </w:rPr>
          <w:t>Stopień realizacji działań wynikających z aPWŚK</w:t>
        </w:r>
        <w:r w:rsidR="00CD4059">
          <w:rPr>
            <w:webHidden/>
          </w:rPr>
          <w:tab/>
        </w:r>
        <w:r w:rsidR="00CD4059">
          <w:rPr>
            <w:webHidden/>
          </w:rPr>
          <w:fldChar w:fldCharType="begin"/>
        </w:r>
        <w:r w:rsidR="00CD4059">
          <w:rPr>
            <w:webHidden/>
          </w:rPr>
          <w:instrText xml:space="preserve"> PAGEREF _Toc105512852 \h </w:instrText>
        </w:r>
        <w:r w:rsidR="00CD4059">
          <w:rPr>
            <w:webHidden/>
          </w:rPr>
        </w:r>
        <w:r w:rsidR="00CD4059">
          <w:rPr>
            <w:webHidden/>
          </w:rPr>
          <w:fldChar w:fldCharType="separate"/>
        </w:r>
        <w:r w:rsidR="001F774D">
          <w:rPr>
            <w:webHidden/>
          </w:rPr>
          <w:t>229</w:t>
        </w:r>
        <w:r w:rsidR="00CD4059">
          <w:rPr>
            <w:webHidden/>
          </w:rPr>
          <w:fldChar w:fldCharType="end"/>
        </w:r>
      </w:hyperlink>
    </w:p>
    <w:p w14:paraId="5845DC6E" w14:textId="52F8CE43" w:rsidR="00CD4059" w:rsidRDefault="009C595A">
      <w:pPr>
        <w:pStyle w:val="Spisilustracji"/>
        <w:rPr>
          <w:rFonts w:asciiTheme="minorHAnsi" w:eastAsiaTheme="minorEastAsia" w:hAnsiTheme="minorHAnsi" w:cstheme="minorBidi"/>
          <w:sz w:val="22"/>
          <w:lang w:eastAsia="pl-PL"/>
        </w:rPr>
      </w:pPr>
      <w:hyperlink w:anchor="_Toc105512853" w:history="1">
        <w:r w:rsidR="00CD4059" w:rsidRPr="00BF773F">
          <w:rPr>
            <w:rStyle w:val="Hipercze"/>
          </w:rPr>
          <w:t>Tabela 10</w:t>
        </w:r>
        <w:r w:rsidR="00CD4059" w:rsidRPr="00BF773F">
          <w:rPr>
            <w:rStyle w:val="Hipercze"/>
          </w:rPr>
          <w:noBreakHyphen/>
          <w:t>3.</w:t>
        </w:r>
        <w:r w:rsidR="00CD4059">
          <w:rPr>
            <w:rFonts w:asciiTheme="minorHAnsi" w:eastAsiaTheme="minorEastAsia" w:hAnsiTheme="minorHAnsi" w:cstheme="minorBidi"/>
            <w:sz w:val="22"/>
            <w:lang w:eastAsia="pl-PL"/>
          </w:rPr>
          <w:tab/>
        </w:r>
        <w:r w:rsidR="00CD4059" w:rsidRPr="00BF773F">
          <w:rPr>
            <w:rStyle w:val="Hipercze"/>
          </w:rPr>
          <w:t>Liczba postępowań będących wynikiem przeglądów pozwoleń wodnoprawnych przeprowadzonych przez organy Wód Polskich – dane za 2019 rok</w:t>
        </w:r>
        <w:r w:rsidR="00CD4059">
          <w:rPr>
            <w:webHidden/>
          </w:rPr>
          <w:tab/>
        </w:r>
        <w:r w:rsidR="00CD4059">
          <w:rPr>
            <w:webHidden/>
          </w:rPr>
          <w:fldChar w:fldCharType="begin"/>
        </w:r>
        <w:r w:rsidR="00CD4059">
          <w:rPr>
            <w:webHidden/>
          </w:rPr>
          <w:instrText xml:space="preserve"> PAGEREF _Toc105512853 \h </w:instrText>
        </w:r>
        <w:r w:rsidR="00CD4059">
          <w:rPr>
            <w:webHidden/>
          </w:rPr>
        </w:r>
        <w:r w:rsidR="00CD4059">
          <w:rPr>
            <w:webHidden/>
          </w:rPr>
          <w:fldChar w:fldCharType="separate"/>
        </w:r>
        <w:r w:rsidR="001F774D">
          <w:rPr>
            <w:webHidden/>
          </w:rPr>
          <w:t>235</w:t>
        </w:r>
        <w:r w:rsidR="00CD4059">
          <w:rPr>
            <w:webHidden/>
          </w:rPr>
          <w:fldChar w:fldCharType="end"/>
        </w:r>
      </w:hyperlink>
    </w:p>
    <w:p w14:paraId="0B264C5E" w14:textId="23DD4F9E" w:rsidR="00CD4059" w:rsidRDefault="009C595A">
      <w:pPr>
        <w:pStyle w:val="Spisilustracji"/>
        <w:rPr>
          <w:rFonts w:asciiTheme="minorHAnsi" w:eastAsiaTheme="minorEastAsia" w:hAnsiTheme="minorHAnsi" w:cstheme="minorBidi"/>
          <w:sz w:val="22"/>
          <w:lang w:eastAsia="pl-PL"/>
        </w:rPr>
      </w:pPr>
      <w:hyperlink w:anchor="_Toc105512854" w:history="1">
        <w:r w:rsidR="00CD4059" w:rsidRPr="00BF773F">
          <w:rPr>
            <w:rStyle w:val="Hipercze"/>
          </w:rPr>
          <w:t>Tabela 11</w:t>
        </w:r>
        <w:r w:rsidR="00CD4059" w:rsidRPr="00BF773F">
          <w:rPr>
            <w:rStyle w:val="Hipercze"/>
          </w:rPr>
          <w:noBreakHyphen/>
          <w:t>1.</w:t>
        </w:r>
        <w:r w:rsidR="00CD4059">
          <w:rPr>
            <w:rFonts w:asciiTheme="minorHAnsi" w:eastAsiaTheme="minorEastAsia" w:hAnsiTheme="minorHAnsi" w:cstheme="minorBidi"/>
            <w:sz w:val="22"/>
            <w:lang w:eastAsia="pl-PL"/>
          </w:rPr>
          <w:tab/>
        </w:r>
        <w:r w:rsidR="00CD4059" w:rsidRPr="00BF773F">
          <w:rPr>
            <w:rStyle w:val="Hipercze"/>
          </w:rPr>
          <w:t>Opłaty stałe za usługi wodne, uiszczone w 2019 r.</w:t>
        </w:r>
        <w:r w:rsidR="00CD4059">
          <w:rPr>
            <w:webHidden/>
          </w:rPr>
          <w:tab/>
        </w:r>
        <w:r w:rsidR="00CD4059">
          <w:rPr>
            <w:webHidden/>
          </w:rPr>
          <w:fldChar w:fldCharType="begin"/>
        </w:r>
        <w:r w:rsidR="00CD4059">
          <w:rPr>
            <w:webHidden/>
          </w:rPr>
          <w:instrText xml:space="preserve"> PAGEREF _Toc105512854 \h </w:instrText>
        </w:r>
        <w:r w:rsidR="00CD4059">
          <w:rPr>
            <w:webHidden/>
          </w:rPr>
        </w:r>
        <w:r w:rsidR="00CD4059">
          <w:rPr>
            <w:webHidden/>
          </w:rPr>
          <w:fldChar w:fldCharType="separate"/>
        </w:r>
        <w:r w:rsidR="001F774D">
          <w:rPr>
            <w:webHidden/>
          </w:rPr>
          <w:t>237</w:t>
        </w:r>
        <w:r w:rsidR="00CD4059">
          <w:rPr>
            <w:webHidden/>
          </w:rPr>
          <w:fldChar w:fldCharType="end"/>
        </w:r>
      </w:hyperlink>
    </w:p>
    <w:p w14:paraId="574C74E9" w14:textId="7DC65045" w:rsidR="00CD4059" w:rsidRDefault="009C595A">
      <w:pPr>
        <w:pStyle w:val="Spisilustracji"/>
        <w:rPr>
          <w:rFonts w:asciiTheme="minorHAnsi" w:eastAsiaTheme="minorEastAsia" w:hAnsiTheme="minorHAnsi" w:cstheme="minorBidi"/>
          <w:sz w:val="22"/>
          <w:lang w:eastAsia="pl-PL"/>
        </w:rPr>
      </w:pPr>
      <w:hyperlink w:anchor="_Toc105512855" w:history="1">
        <w:r w:rsidR="00CD4059" w:rsidRPr="00BF773F">
          <w:rPr>
            <w:rStyle w:val="Hipercze"/>
          </w:rPr>
          <w:t>Tabela 11</w:t>
        </w:r>
        <w:r w:rsidR="00CD4059" w:rsidRPr="00BF773F">
          <w:rPr>
            <w:rStyle w:val="Hipercze"/>
          </w:rPr>
          <w:noBreakHyphen/>
          <w:t>2.</w:t>
        </w:r>
        <w:r w:rsidR="00CD4059">
          <w:rPr>
            <w:rFonts w:asciiTheme="minorHAnsi" w:eastAsiaTheme="minorEastAsia" w:hAnsiTheme="minorHAnsi" w:cstheme="minorBidi"/>
            <w:sz w:val="22"/>
            <w:lang w:eastAsia="pl-PL"/>
          </w:rPr>
          <w:tab/>
        </w:r>
        <w:r w:rsidR="00CD4059" w:rsidRPr="00BF773F">
          <w:rPr>
            <w:rStyle w:val="Hipercze"/>
          </w:rPr>
          <w:t>Opłaty zmienne za usługi wodne, uiszczone w 2019 r.</w:t>
        </w:r>
        <w:r w:rsidR="00CD4059">
          <w:rPr>
            <w:webHidden/>
          </w:rPr>
          <w:tab/>
        </w:r>
        <w:r w:rsidR="00CD4059">
          <w:rPr>
            <w:webHidden/>
          </w:rPr>
          <w:fldChar w:fldCharType="begin"/>
        </w:r>
        <w:r w:rsidR="00CD4059">
          <w:rPr>
            <w:webHidden/>
          </w:rPr>
          <w:instrText xml:space="preserve"> PAGEREF _Toc105512855 \h </w:instrText>
        </w:r>
        <w:r w:rsidR="00CD4059">
          <w:rPr>
            <w:webHidden/>
          </w:rPr>
        </w:r>
        <w:r w:rsidR="00CD4059">
          <w:rPr>
            <w:webHidden/>
          </w:rPr>
          <w:fldChar w:fldCharType="separate"/>
        </w:r>
        <w:r w:rsidR="001F774D">
          <w:rPr>
            <w:webHidden/>
          </w:rPr>
          <w:t>237</w:t>
        </w:r>
        <w:r w:rsidR="00CD4059">
          <w:rPr>
            <w:webHidden/>
          </w:rPr>
          <w:fldChar w:fldCharType="end"/>
        </w:r>
      </w:hyperlink>
    </w:p>
    <w:p w14:paraId="2B2DE26A" w14:textId="6879427E" w:rsidR="00CD4059" w:rsidRDefault="009C595A">
      <w:pPr>
        <w:pStyle w:val="Spisilustracji"/>
        <w:rPr>
          <w:rFonts w:asciiTheme="minorHAnsi" w:eastAsiaTheme="minorEastAsia" w:hAnsiTheme="minorHAnsi" w:cstheme="minorBidi"/>
          <w:sz w:val="22"/>
          <w:lang w:eastAsia="pl-PL"/>
        </w:rPr>
      </w:pPr>
      <w:hyperlink w:anchor="_Toc105512856" w:history="1">
        <w:r w:rsidR="00CD4059" w:rsidRPr="00BF773F">
          <w:rPr>
            <w:rStyle w:val="Hipercze"/>
          </w:rPr>
          <w:t>Tabela 11</w:t>
        </w:r>
        <w:r w:rsidR="00CD4059" w:rsidRPr="00BF773F">
          <w:rPr>
            <w:rStyle w:val="Hipercze"/>
          </w:rPr>
          <w:noBreakHyphen/>
          <w:t>3.</w:t>
        </w:r>
        <w:r w:rsidR="00CD4059">
          <w:rPr>
            <w:rFonts w:asciiTheme="minorHAnsi" w:eastAsiaTheme="minorEastAsia" w:hAnsiTheme="minorHAnsi" w:cstheme="minorBidi"/>
            <w:sz w:val="22"/>
            <w:lang w:eastAsia="pl-PL"/>
          </w:rPr>
          <w:tab/>
        </w:r>
        <w:r w:rsidR="00CD4059" w:rsidRPr="00BF773F">
          <w:rPr>
            <w:rStyle w:val="Hipercze"/>
          </w:rPr>
          <w:t>Wysokość jednostkowych opłat za usługi wodne w 2019 r.</w:t>
        </w:r>
        <w:r w:rsidR="00CD4059">
          <w:rPr>
            <w:webHidden/>
          </w:rPr>
          <w:tab/>
        </w:r>
        <w:r w:rsidR="00CD4059">
          <w:rPr>
            <w:webHidden/>
          </w:rPr>
          <w:fldChar w:fldCharType="begin"/>
        </w:r>
        <w:r w:rsidR="00CD4059">
          <w:rPr>
            <w:webHidden/>
          </w:rPr>
          <w:instrText xml:space="preserve"> PAGEREF _Toc105512856 \h </w:instrText>
        </w:r>
        <w:r w:rsidR="00CD4059">
          <w:rPr>
            <w:webHidden/>
          </w:rPr>
        </w:r>
        <w:r w:rsidR="00CD4059">
          <w:rPr>
            <w:webHidden/>
          </w:rPr>
          <w:fldChar w:fldCharType="separate"/>
        </w:r>
        <w:r w:rsidR="001F774D">
          <w:rPr>
            <w:webHidden/>
          </w:rPr>
          <w:t>237</w:t>
        </w:r>
        <w:r w:rsidR="00CD4059">
          <w:rPr>
            <w:webHidden/>
          </w:rPr>
          <w:fldChar w:fldCharType="end"/>
        </w:r>
      </w:hyperlink>
    </w:p>
    <w:p w14:paraId="1A53D932" w14:textId="64812E10" w:rsidR="00CD4059" w:rsidRDefault="009C595A">
      <w:pPr>
        <w:pStyle w:val="Spisilustracji"/>
        <w:rPr>
          <w:rFonts w:asciiTheme="minorHAnsi" w:eastAsiaTheme="minorEastAsia" w:hAnsiTheme="minorHAnsi" w:cstheme="minorBidi"/>
          <w:sz w:val="22"/>
          <w:lang w:eastAsia="pl-PL"/>
        </w:rPr>
      </w:pPr>
      <w:hyperlink w:anchor="_Toc105512857" w:history="1">
        <w:r w:rsidR="00CD4059" w:rsidRPr="00BF773F">
          <w:rPr>
            <w:rStyle w:val="Hipercze"/>
          </w:rPr>
          <w:t>Tabela 11</w:t>
        </w:r>
        <w:r w:rsidR="00CD4059" w:rsidRPr="00BF773F">
          <w:rPr>
            <w:rStyle w:val="Hipercze"/>
          </w:rPr>
          <w:noBreakHyphen/>
          <w:t>4.</w:t>
        </w:r>
        <w:r w:rsidR="00CD4059">
          <w:rPr>
            <w:rFonts w:asciiTheme="minorHAnsi" w:eastAsiaTheme="minorEastAsia" w:hAnsiTheme="minorHAnsi" w:cstheme="minorBidi"/>
            <w:sz w:val="22"/>
            <w:lang w:eastAsia="pl-PL"/>
          </w:rPr>
          <w:tab/>
        </w:r>
        <w:r w:rsidR="00CD4059" w:rsidRPr="00BF773F">
          <w:rPr>
            <w:rStyle w:val="Hipercze"/>
          </w:rPr>
          <w:t>Podział kosztów środowiskowych pomiędzy sektory w 2018 r.</w:t>
        </w:r>
        <w:r w:rsidR="00CD4059">
          <w:rPr>
            <w:webHidden/>
          </w:rPr>
          <w:tab/>
        </w:r>
        <w:r w:rsidR="00CD4059">
          <w:rPr>
            <w:webHidden/>
          </w:rPr>
          <w:fldChar w:fldCharType="begin"/>
        </w:r>
        <w:r w:rsidR="00CD4059">
          <w:rPr>
            <w:webHidden/>
          </w:rPr>
          <w:instrText xml:space="preserve"> PAGEREF _Toc105512857 \h </w:instrText>
        </w:r>
        <w:r w:rsidR="00CD4059">
          <w:rPr>
            <w:webHidden/>
          </w:rPr>
        </w:r>
        <w:r w:rsidR="00CD4059">
          <w:rPr>
            <w:webHidden/>
          </w:rPr>
          <w:fldChar w:fldCharType="separate"/>
        </w:r>
        <w:r w:rsidR="001F774D">
          <w:rPr>
            <w:webHidden/>
          </w:rPr>
          <w:t>238</w:t>
        </w:r>
        <w:r w:rsidR="00CD4059">
          <w:rPr>
            <w:webHidden/>
          </w:rPr>
          <w:fldChar w:fldCharType="end"/>
        </w:r>
      </w:hyperlink>
    </w:p>
    <w:p w14:paraId="1DC02118" w14:textId="555F9F9B" w:rsidR="00CD4059" w:rsidRDefault="009C595A">
      <w:pPr>
        <w:pStyle w:val="Spisilustracji"/>
        <w:rPr>
          <w:rFonts w:asciiTheme="minorHAnsi" w:eastAsiaTheme="minorEastAsia" w:hAnsiTheme="minorHAnsi" w:cstheme="minorBidi"/>
          <w:sz w:val="22"/>
          <w:lang w:eastAsia="pl-PL"/>
        </w:rPr>
      </w:pPr>
      <w:hyperlink w:anchor="_Toc105512858" w:history="1">
        <w:r w:rsidR="00CD4059" w:rsidRPr="00BF773F">
          <w:rPr>
            <w:rStyle w:val="Hipercze"/>
          </w:rPr>
          <w:t>Tabela 11</w:t>
        </w:r>
        <w:r w:rsidR="00CD4059" w:rsidRPr="00BF773F">
          <w:rPr>
            <w:rStyle w:val="Hipercze"/>
          </w:rPr>
          <w:noBreakHyphen/>
          <w:t>5.</w:t>
        </w:r>
        <w:r w:rsidR="00CD4059">
          <w:rPr>
            <w:rFonts w:asciiTheme="minorHAnsi" w:eastAsiaTheme="minorEastAsia" w:hAnsiTheme="minorHAnsi" w:cstheme="minorBidi"/>
            <w:sz w:val="22"/>
            <w:lang w:eastAsia="pl-PL"/>
          </w:rPr>
          <w:tab/>
        </w:r>
        <w:r w:rsidR="00CD4059" w:rsidRPr="00BF773F">
          <w:rPr>
            <w:rStyle w:val="Hipercze"/>
          </w:rPr>
          <w:t>Dane finansowe sektora komunalnego w Polsce w 2018 r.</w:t>
        </w:r>
        <w:r w:rsidR="00CD4059">
          <w:rPr>
            <w:webHidden/>
          </w:rPr>
          <w:tab/>
        </w:r>
        <w:r w:rsidR="00CD4059">
          <w:rPr>
            <w:webHidden/>
          </w:rPr>
          <w:fldChar w:fldCharType="begin"/>
        </w:r>
        <w:r w:rsidR="00CD4059">
          <w:rPr>
            <w:webHidden/>
          </w:rPr>
          <w:instrText xml:space="preserve"> PAGEREF _Toc105512858 \h </w:instrText>
        </w:r>
        <w:r w:rsidR="00CD4059">
          <w:rPr>
            <w:webHidden/>
          </w:rPr>
        </w:r>
        <w:r w:rsidR="00CD4059">
          <w:rPr>
            <w:webHidden/>
          </w:rPr>
          <w:fldChar w:fldCharType="separate"/>
        </w:r>
        <w:r w:rsidR="001F774D">
          <w:rPr>
            <w:webHidden/>
          </w:rPr>
          <w:t>239</w:t>
        </w:r>
        <w:r w:rsidR="00CD4059">
          <w:rPr>
            <w:webHidden/>
          </w:rPr>
          <w:fldChar w:fldCharType="end"/>
        </w:r>
      </w:hyperlink>
    </w:p>
    <w:p w14:paraId="6EC24598" w14:textId="583FF172" w:rsidR="00CD4059" w:rsidRDefault="009C595A">
      <w:pPr>
        <w:pStyle w:val="Spisilustracji"/>
        <w:rPr>
          <w:rFonts w:asciiTheme="minorHAnsi" w:eastAsiaTheme="minorEastAsia" w:hAnsiTheme="minorHAnsi" w:cstheme="minorBidi"/>
          <w:sz w:val="22"/>
          <w:lang w:eastAsia="pl-PL"/>
        </w:rPr>
      </w:pPr>
      <w:hyperlink w:anchor="_Toc105512859" w:history="1">
        <w:r w:rsidR="00CD4059" w:rsidRPr="00BF773F">
          <w:rPr>
            <w:rStyle w:val="Hipercze"/>
          </w:rPr>
          <w:t>Tabela 11</w:t>
        </w:r>
        <w:r w:rsidR="00CD4059" w:rsidRPr="00BF773F">
          <w:rPr>
            <w:rStyle w:val="Hipercze"/>
          </w:rPr>
          <w:noBreakHyphen/>
          <w:t>6.</w:t>
        </w:r>
        <w:r w:rsidR="00CD4059">
          <w:rPr>
            <w:rFonts w:asciiTheme="minorHAnsi" w:eastAsiaTheme="minorEastAsia" w:hAnsiTheme="minorHAnsi" w:cstheme="minorBidi"/>
            <w:sz w:val="22"/>
            <w:lang w:eastAsia="pl-PL"/>
          </w:rPr>
          <w:tab/>
        </w:r>
        <w:r w:rsidR="00CD4059" w:rsidRPr="00BF773F">
          <w:rPr>
            <w:rStyle w:val="Hipercze"/>
          </w:rPr>
          <w:t>Stopa zwrotu kosztów usług wodnych w sektorze komunalnym w 2018 r.</w:t>
        </w:r>
        <w:r w:rsidR="00CD4059">
          <w:rPr>
            <w:webHidden/>
          </w:rPr>
          <w:tab/>
        </w:r>
        <w:r w:rsidR="00CD4059">
          <w:rPr>
            <w:webHidden/>
          </w:rPr>
          <w:fldChar w:fldCharType="begin"/>
        </w:r>
        <w:r w:rsidR="00CD4059">
          <w:rPr>
            <w:webHidden/>
          </w:rPr>
          <w:instrText xml:space="preserve"> PAGEREF _Toc105512859 \h </w:instrText>
        </w:r>
        <w:r w:rsidR="00CD4059">
          <w:rPr>
            <w:webHidden/>
          </w:rPr>
        </w:r>
        <w:r w:rsidR="00CD4059">
          <w:rPr>
            <w:webHidden/>
          </w:rPr>
          <w:fldChar w:fldCharType="separate"/>
        </w:r>
        <w:r w:rsidR="001F774D">
          <w:rPr>
            <w:webHidden/>
          </w:rPr>
          <w:t>239</w:t>
        </w:r>
        <w:r w:rsidR="00CD4059">
          <w:rPr>
            <w:webHidden/>
          </w:rPr>
          <w:fldChar w:fldCharType="end"/>
        </w:r>
      </w:hyperlink>
    </w:p>
    <w:p w14:paraId="2DF4DB0C" w14:textId="19615E27" w:rsidR="00CD4059" w:rsidRDefault="009C595A">
      <w:pPr>
        <w:pStyle w:val="Spisilustracji"/>
        <w:rPr>
          <w:rFonts w:asciiTheme="minorHAnsi" w:eastAsiaTheme="minorEastAsia" w:hAnsiTheme="minorHAnsi" w:cstheme="minorBidi"/>
          <w:sz w:val="22"/>
          <w:lang w:eastAsia="pl-PL"/>
        </w:rPr>
      </w:pPr>
      <w:hyperlink w:anchor="_Toc105512860" w:history="1">
        <w:r w:rsidR="00CD4059" w:rsidRPr="00BF773F">
          <w:rPr>
            <w:rStyle w:val="Hipercze"/>
          </w:rPr>
          <w:t>Tabela 11</w:t>
        </w:r>
        <w:r w:rsidR="00CD4059" w:rsidRPr="00BF773F">
          <w:rPr>
            <w:rStyle w:val="Hipercze"/>
          </w:rPr>
          <w:noBreakHyphen/>
          <w:t>7.</w:t>
        </w:r>
        <w:r w:rsidR="00CD4059">
          <w:rPr>
            <w:rFonts w:asciiTheme="minorHAnsi" w:eastAsiaTheme="minorEastAsia" w:hAnsiTheme="minorHAnsi" w:cstheme="minorBidi"/>
            <w:sz w:val="22"/>
            <w:lang w:eastAsia="pl-PL"/>
          </w:rPr>
          <w:tab/>
        </w:r>
        <w:r w:rsidR="00CD4059" w:rsidRPr="00BF773F">
          <w:rPr>
            <w:rStyle w:val="Hipercze"/>
          </w:rPr>
          <w:t>Wielkość kosztów związanych z gospodarką wodną w rolnictwie w Polsce, dane w mln zł za 2017 r.</w:t>
        </w:r>
        <w:r w:rsidR="00CD4059">
          <w:rPr>
            <w:webHidden/>
          </w:rPr>
          <w:tab/>
        </w:r>
        <w:r w:rsidR="00CD4059">
          <w:rPr>
            <w:webHidden/>
          </w:rPr>
          <w:fldChar w:fldCharType="begin"/>
        </w:r>
        <w:r w:rsidR="00CD4059">
          <w:rPr>
            <w:webHidden/>
          </w:rPr>
          <w:instrText xml:space="preserve"> PAGEREF _Toc105512860 \h </w:instrText>
        </w:r>
        <w:r w:rsidR="00CD4059">
          <w:rPr>
            <w:webHidden/>
          </w:rPr>
        </w:r>
        <w:r w:rsidR="00CD4059">
          <w:rPr>
            <w:webHidden/>
          </w:rPr>
          <w:fldChar w:fldCharType="separate"/>
        </w:r>
        <w:r w:rsidR="001F774D">
          <w:rPr>
            <w:webHidden/>
          </w:rPr>
          <w:t>240</w:t>
        </w:r>
        <w:r w:rsidR="00CD4059">
          <w:rPr>
            <w:webHidden/>
          </w:rPr>
          <w:fldChar w:fldCharType="end"/>
        </w:r>
      </w:hyperlink>
    </w:p>
    <w:p w14:paraId="25841488" w14:textId="163C2319" w:rsidR="00CD4059" w:rsidRDefault="009C595A">
      <w:pPr>
        <w:pStyle w:val="Spisilustracji"/>
        <w:rPr>
          <w:rFonts w:asciiTheme="minorHAnsi" w:eastAsiaTheme="minorEastAsia" w:hAnsiTheme="minorHAnsi" w:cstheme="minorBidi"/>
          <w:sz w:val="22"/>
          <w:lang w:eastAsia="pl-PL"/>
        </w:rPr>
      </w:pPr>
      <w:hyperlink w:anchor="_Toc105512861" w:history="1">
        <w:r w:rsidR="00CD4059" w:rsidRPr="00BF773F">
          <w:rPr>
            <w:rStyle w:val="Hipercze"/>
          </w:rPr>
          <w:t>Tabela 11</w:t>
        </w:r>
        <w:r w:rsidR="00CD4059" w:rsidRPr="00BF773F">
          <w:rPr>
            <w:rStyle w:val="Hipercze"/>
          </w:rPr>
          <w:noBreakHyphen/>
          <w:t>8.</w:t>
        </w:r>
        <w:r w:rsidR="00CD4059">
          <w:rPr>
            <w:rFonts w:asciiTheme="minorHAnsi" w:eastAsiaTheme="minorEastAsia" w:hAnsiTheme="minorHAnsi" w:cstheme="minorBidi"/>
            <w:sz w:val="22"/>
            <w:lang w:eastAsia="pl-PL"/>
          </w:rPr>
          <w:tab/>
        </w:r>
        <w:r w:rsidR="00CD4059" w:rsidRPr="00BF773F">
          <w:rPr>
            <w:rStyle w:val="Hipercze"/>
          </w:rPr>
          <w:t>Macierz efektywności kosztowej</w:t>
        </w:r>
        <w:r w:rsidR="00CD4059">
          <w:rPr>
            <w:webHidden/>
          </w:rPr>
          <w:tab/>
        </w:r>
        <w:r w:rsidR="00CD4059">
          <w:rPr>
            <w:webHidden/>
          </w:rPr>
          <w:fldChar w:fldCharType="begin"/>
        </w:r>
        <w:r w:rsidR="00CD4059">
          <w:rPr>
            <w:webHidden/>
          </w:rPr>
          <w:instrText xml:space="preserve"> PAGEREF _Toc105512861 \h </w:instrText>
        </w:r>
        <w:r w:rsidR="00CD4059">
          <w:rPr>
            <w:webHidden/>
          </w:rPr>
        </w:r>
        <w:r w:rsidR="00CD4059">
          <w:rPr>
            <w:webHidden/>
          </w:rPr>
          <w:fldChar w:fldCharType="separate"/>
        </w:r>
        <w:r w:rsidR="001F774D">
          <w:rPr>
            <w:webHidden/>
          </w:rPr>
          <w:t>242</w:t>
        </w:r>
        <w:r w:rsidR="00CD4059">
          <w:rPr>
            <w:webHidden/>
          </w:rPr>
          <w:fldChar w:fldCharType="end"/>
        </w:r>
      </w:hyperlink>
    </w:p>
    <w:p w14:paraId="57146F96" w14:textId="744DDE5D" w:rsidR="00CD4059" w:rsidRDefault="009C595A">
      <w:pPr>
        <w:pStyle w:val="Spisilustracji"/>
        <w:rPr>
          <w:rFonts w:asciiTheme="minorHAnsi" w:eastAsiaTheme="minorEastAsia" w:hAnsiTheme="minorHAnsi" w:cstheme="minorBidi"/>
          <w:sz w:val="22"/>
          <w:lang w:eastAsia="pl-PL"/>
        </w:rPr>
      </w:pPr>
      <w:hyperlink w:anchor="_Toc105512862" w:history="1">
        <w:r w:rsidR="00CD4059" w:rsidRPr="00BF773F">
          <w:rPr>
            <w:rStyle w:val="Hipercze"/>
          </w:rPr>
          <w:t>Tabela 11</w:t>
        </w:r>
        <w:r w:rsidR="00CD4059" w:rsidRPr="00BF773F">
          <w:rPr>
            <w:rStyle w:val="Hipercze"/>
          </w:rPr>
          <w:noBreakHyphen/>
          <w:t>9.</w:t>
        </w:r>
        <w:r w:rsidR="00CD4059">
          <w:rPr>
            <w:rFonts w:asciiTheme="minorHAnsi" w:eastAsiaTheme="minorEastAsia" w:hAnsiTheme="minorHAnsi" w:cstheme="minorBidi"/>
            <w:sz w:val="22"/>
            <w:lang w:eastAsia="pl-PL"/>
          </w:rPr>
          <w:tab/>
        </w:r>
        <w:r w:rsidR="00CD4059" w:rsidRPr="00BF773F">
          <w:rPr>
            <w:rStyle w:val="Hipercze"/>
          </w:rPr>
          <w:t>Wyniki analizy efektywności jakościowej – wskaźnik efektywności dla wód powierzchniowych</w:t>
        </w:r>
        <w:r w:rsidR="00CD4059">
          <w:rPr>
            <w:webHidden/>
          </w:rPr>
          <w:tab/>
        </w:r>
        <w:r w:rsidR="00CD4059">
          <w:rPr>
            <w:webHidden/>
          </w:rPr>
          <w:fldChar w:fldCharType="begin"/>
        </w:r>
        <w:r w:rsidR="00CD4059">
          <w:rPr>
            <w:webHidden/>
          </w:rPr>
          <w:instrText xml:space="preserve"> PAGEREF _Toc105512862 \h </w:instrText>
        </w:r>
        <w:r w:rsidR="00CD4059">
          <w:rPr>
            <w:webHidden/>
          </w:rPr>
        </w:r>
        <w:r w:rsidR="00CD4059">
          <w:rPr>
            <w:webHidden/>
          </w:rPr>
          <w:fldChar w:fldCharType="separate"/>
        </w:r>
        <w:r w:rsidR="001F774D">
          <w:rPr>
            <w:webHidden/>
          </w:rPr>
          <w:t>243</w:t>
        </w:r>
        <w:r w:rsidR="00CD4059">
          <w:rPr>
            <w:webHidden/>
          </w:rPr>
          <w:fldChar w:fldCharType="end"/>
        </w:r>
      </w:hyperlink>
    </w:p>
    <w:p w14:paraId="4609A096" w14:textId="27EFC11C" w:rsidR="00CD4059" w:rsidRDefault="009C595A">
      <w:pPr>
        <w:pStyle w:val="Spisilustracji"/>
        <w:rPr>
          <w:rFonts w:asciiTheme="minorHAnsi" w:eastAsiaTheme="minorEastAsia" w:hAnsiTheme="minorHAnsi" w:cstheme="minorBidi"/>
          <w:sz w:val="22"/>
          <w:lang w:eastAsia="pl-PL"/>
        </w:rPr>
      </w:pPr>
      <w:hyperlink w:anchor="_Toc105512863" w:history="1">
        <w:r w:rsidR="00CD4059" w:rsidRPr="00BF773F">
          <w:rPr>
            <w:rStyle w:val="Hipercze"/>
          </w:rPr>
          <w:t>Tabela 11</w:t>
        </w:r>
        <w:r w:rsidR="00CD4059" w:rsidRPr="00BF773F">
          <w:rPr>
            <w:rStyle w:val="Hipercze"/>
          </w:rPr>
          <w:noBreakHyphen/>
          <w:t>10.</w:t>
        </w:r>
        <w:r w:rsidR="00CD4059">
          <w:rPr>
            <w:rFonts w:asciiTheme="minorHAnsi" w:eastAsiaTheme="minorEastAsia" w:hAnsiTheme="minorHAnsi" w:cstheme="minorBidi"/>
            <w:sz w:val="22"/>
            <w:lang w:eastAsia="pl-PL"/>
          </w:rPr>
          <w:tab/>
        </w:r>
        <w:r w:rsidR="00CD4059" w:rsidRPr="00BF773F">
          <w:rPr>
            <w:rStyle w:val="Hipercze"/>
          </w:rPr>
          <w:t>Wyniki analizy efektywności jakościowej – wskaźnik efektywności dla wód podziemnych</w:t>
        </w:r>
        <w:r w:rsidR="00CD4059">
          <w:rPr>
            <w:webHidden/>
          </w:rPr>
          <w:tab/>
        </w:r>
        <w:r w:rsidR="00CD4059">
          <w:rPr>
            <w:webHidden/>
          </w:rPr>
          <w:fldChar w:fldCharType="begin"/>
        </w:r>
        <w:r w:rsidR="00CD4059">
          <w:rPr>
            <w:webHidden/>
          </w:rPr>
          <w:instrText xml:space="preserve"> PAGEREF _Toc105512863 \h </w:instrText>
        </w:r>
        <w:r w:rsidR="00CD4059">
          <w:rPr>
            <w:webHidden/>
          </w:rPr>
        </w:r>
        <w:r w:rsidR="00CD4059">
          <w:rPr>
            <w:webHidden/>
          </w:rPr>
          <w:fldChar w:fldCharType="separate"/>
        </w:r>
        <w:r w:rsidR="001F774D">
          <w:rPr>
            <w:webHidden/>
          </w:rPr>
          <w:t>243</w:t>
        </w:r>
        <w:r w:rsidR="00CD4059">
          <w:rPr>
            <w:webHidden/>
          </w:rPr>
          <w:fldChar w:fldCharType="end"/>
        </w:r>
      </w:hyperlink>
    </w:p>
    <w:p w14:paraId="7A628530" w14:textId="5FFA7FC9" w:rsidR="00CD4059" w:rsidRDefault="009C595A">
      <w:pPr>
        <w:pStyle w:val="Spisilustracji"/>
        <w:rPr>
          <w:rFonts w:asciiTheme="minorHAnsi" w:eastAsiaTheme="minorEastAsia" w:hAnsiTheme="minorHAnsi" w:cstheme="minorBidi"/>
          <w:sz w:val="22"/>
          <w:lang w:eastAsia="pl-PL"/>
        </w:rPr>
      </w:pPr>
      <w:hyperlink w:anchor="_Toc105512864" w:history="1">
        <w:r w:rsidR="00CD4059" w:rsidRPr="00BF773F">
          <w:rPr>
            <w:rStyle w:val="Hipercze"/>
          </w:rPr>
          <w:t>Tabela 11</w:t>
        </w:r>
        <w:r w:rsidR="00CD4059" w:rsidRPr="00BF773F">
          <w:rPr>
            <w:rStyle w:val="Hipercze"/>
          </w:rPr>
          <w:noBreakHyphen/>
          <w:t>11.</w:t>
        </w:r>
        <w:r w:rsidR="00CD4059">
          <w:rPr>
            <w:rFonts w:asciiTheme="minorHAnsi" w:eastAsiaTheme="minorEastAsia" w:hAnsiTheme="minorHAnsi" w:cstheme="minorBidi"/>
            <w:sz w:val="22"/>
            <w:lang w:eastAsia="pl-PL"/>
          </w:rPr>
          <w:tab/>
        </w:r>
        <w:r w:rsidR="00CD4059" w:rsidRPr="00BF773F">
          <w:rPr>
            <w:rStyle w:val="Hipercze"/>
            <w:lang w:eastAsia="zh-CN"/>
          </w:rPr>
          <w:t>Wyniki analizy efektywności kosztowej – wody powierzchniowe</w:t>
        </w:r>
        <w:r w:rsidR="00CD4059">
          <w:rPr>
            <w:webHidden/>
          </w:rPr>
          <w:tab/>
        </w:r>
        <w:r w:rsidR="00CD4059">
          <w:rPr>
            <w:webHidden/>
          </w:rPr>
          <w:fldChar w:fldCharType="begin"/>
        </w:r>
        <w:r w:rsidR="00CD4059">
          <w:rPr>
            <w:webHidden/>
          </w:rPr>
          <w:instrText xml:space="preserve"> PAGEREF _Toc105512864 \h </w:instrText>
        </w:r>
        <w:r w:rsidR="00CD4059">
          <w:rPr>
            <w:webHidden/>
          </w:rPr>
        </w:r>
        <w:r w:rsidR="00CD4059">
          <w:rPr>
            <w:webHidden/>
          </w:rPr>
          <w:fldChar w:fldCharType="separate"/>
        </w:r>
        <w:r w:rsidR="001F774D">
          <w:rPr>
            <w:webHidden/>
          </w:rPr>
          <w:t>244</w:t>
        </w:r>
        <w:r w:rsidR="00CD4059">
          <w:rPr>
            <w:webHidden/>
          </w:rPr>
          <w:fldChar w:fldCharType="end"/>
        </w:r>
      </w:hyperlink>
    </w:p>
    <w:p w14:paraId="309C7574" w14:textId="5BF58159" w:rsidR="00CD4059" w:rsidRDefault="009C595A">
      <w:pPr>
        <w:pStyle w:val="Spisilustracji"/>
        <w:rPr>
          <w:rFonts w:asciiTheme="minorHAnsi" w:eastAsiaTheme="minorEastAsia" w:hAnsiTheme="minorHAnsi" w:cstheme="minorBidi"/>
          <w:sz w:val="22"/>
          <w:lang w:eastAsia="pl-PL"/>
        </w:rPr>
      </w:pPr>
      <w:hyperlink w:anchor="_Toc105512865" w:history="1">
        <w:r w:rsidR="00CD4059" w:rsidRPr="00BF773F">
          <w:rPr>
            <w:rStyle w:val="Hipercze"/>
          </w:rPr>
          <w:t>Tabela 11</w:t>
        </w:r>
        <w:r w:rsidR="00CD4059" w:rsidRPr="00BF773F">
          <w:rPr>
            <w:rStyle w:val="Hipercze"/>
          </w:rPr>
          <w:noBreakHyphen/>
          <w:t>12.</w:t>
        </w:r>
        <w:r w:rsidR="00CD4059">
          <w:rPr>
            <w:rFonts w:asciiTheme="minorHAnsi" w:eastAsiaTheme="minorEastAsia" w:hAnsiTheme="minorHAnsi" w:cstheme="minorBidi"/>
            <w:sz w:val="22"/>
            <w:lang w:eastAsia="pl-PL"/>
          </w:rPr>
          <w:tab/>
        </w:r>
        <w:r w:rsidR="00CD4059" w:rsidRPr="00BF773F">
          <w:rPr>
            <w:rStyle w:val="Hipercze"/>
          </w:rPr>
          <w:t>Wyniki analizy efektywności kosztowej – wody podziemne</w:t>
        </w:r>
        <w:r w:rsidR="00CD4059">
          <w:rPr>
            <w:webHidden/>
          </w:rPr>
          <w:tab/>
        </w:r>
        <w:r w:rsidR="00CD4059">
          <w:rPr>
            <w:webHidden/>
          </w:rPr>
          <w:fldChar w:fldCharType="begin"/>
        </w:r>
        <w:r w:rsidR="00CD4059">
          <w:rPr>
            <w:webHidden/>
          </w:rPr>
          <w:instrText xml:space="preserve"> PAGEREF _Toc105512865 \h </w:instrText>
        </w:r>
        <w:r w:rsidR="00CD4059">
          <w:rPr>
            <w:webHidden/>
          </w:rPr>
        </w:r>
        <w:r w:rsidR="00CD4059">
          <w:rPr>
            <w:webHidden/>
          </w:rPr>
          <w:fldChar w:fldCharType="separate"/>
        </w:r>
        <w:r w:rsidR="001F774D">
          <w:rPr>
            <w:webHidden/>
          </w:rPr>
          <w:t>244</w:t>
        </w:r>
        <w:r w:rsidR="00CD4059">
          <w:rPr>
            <w:webHidden/>
          </w:rPr>
          <w:fldChar w:fldCharType="end"/>
        </w:r>
      </w:hyperlink>
    </w:p>
    <w:p w14:paraId="7D52B615" w14:textId="6822AD1E" w:rsidR="00CD4059" w:rsidRDefault="009C595A">
      <w:pPr>
        <w:pStyle w:val="Spisilustracji"/>
        <w:rPr>
          <w:rFonts w:asciiTheme="minorHAnsi" w:eastAsiaTheme="minorEastAsia" w:hAnsiTheme="minorHAnsi" w:cstheme="minorBidi"/>
          <w:sz w:val="22"/>
          <w:lang w:eastAsia="pl-PL"/>
        </w:rPr>
      </w:pPr>
      <w:hyperlink w:anchor="_Toc105512866" w:history="1">
        <w:r w:rsidR="00CD4059" w:rsidRPr="00BF773F">
          <w:rPr>
            <w:rStyle w:val="Hipercze"/>
          </w:rPr>
          <w:t>Tabela 11</w:t>
        </w:r>
        <w:r w:rsidR="00CD4059" w:rsidRPr="00BF773F">
          <w:rPr>
            <w:rStyle w:val="Hipercze"/>
          </w:rPr>
          <w:noBreakHyphen/>
          <w:t>13.</w:t>
        </w:r>
        <w:r w:rsidR="00CD4059">
          <w:rPr>
            <w:rFonts w:asciiTheme="minorHAnsi" w:eastAsiaTheme="minorEastAsia" w:hAnsiTheme="minorHAnsi" w:cstheme="minorBidi"/>
            <w:sz w:val="22"/>
            <w:lang w:eastAsia="pl-PL"/>
          </w:rPr>
          <w:tab/>
        </w:r>
        <w:r w:rsidR="00CD4059" w:rsidRPr="00BF773F">
          <w:rPr>
            <w:rStyle w:val="Hipercze"/>
          </w:rPr>
          <w:t>Wskaźnik istotności presji na stan chemiczny JCWPd (Wip)</w:t>
        </w:r>
        <w:r w:rsidR="00CD4059">
          <w:rPr>
            <w:webHidden/>
          </w:rPr>
          <w:tab/>
        </w:r>
        <w:r w:rsidR="00CD4059">
          <w:rPr>
            <w:webHidden/>
          </w:rPr>
          <w:fldChar w:fldCharType="begin"/>
        </w:r>
        <w:r w:rsidR="00CD4059">
          <w:rPr>
            <w:webHidden/>
          </w:rPr>
          <w:instrText xml:space="preserve"> PAGEREF _Toc105512866 \h </w:instrText>
        </w:r>
        <w:r w:rsidR="00CD4059">
          <w:rPr>
            <w:webHidden/>
          </w:rPr>
        </w:r>
        <w:r w:rsidR="00CD4059">
          <w:rPr>
            <w:webHidden/>
          </w:rPr>
          <w:fldChar w:fldCharType="separate"/>
        </w:r>
        <w:r w:rsidR="001F774D">
          <w:rPr>
            <w:webHidden/>
          </w:rPr>
          <w:t>246</w:t>
        </w:r>
        <w:r w:rsidR="00CD4059">
          <w:rPr>
            <w:webHidden/>
          </w:rPr>
          <w:fldChar w:fldCharType="end"/>
        </w:r>
      </w:hyperlink>
    </w:p>
    <w:p w14:paraId="692046C0" w14:textId="50FDF285" w:rsidR="00CD4059" w:rsidRDefault="009C595A">
      <w:pPr>
        <w:pStyle w:val="Spisilustracji"/>
        <w:rPr>
          <w:rFonts w:asciiTheme="minorHAnsi" w:eastAsiaTheme="minorEastAsia" w:hAnsiTheme="minorHAnsi" w:cstheme="minorBidi"/>
          <w:sz w:val="22"/>
          <w:lang w:eastAsia="pl-PL"/>
        </w:rPr>
      </w:pPr>
      <w:hyperlink w:anchor="_Toc105512867" w:history="1">
        <w:r w:rsidR="00CD4059" w:rsidRPr="00BF773F">
          <w:rPr>
            <w:rStyle w:val="Hipercze"/>
          </w:rPr>
          <w:t>Tabela 11</w:t>
        </w:r>
        <w:r w:rsidR="00CD4059" w:rsidRPr="00BF773F">
          <w:rPr>
            <w:rStyle w:val="Hipercze"/>
          </w:rPr>
          <w:noBreakHyphen/>
          <w:t>14.</w:t>
        </w:r>
        <w:r w:rsidR="00CD4059">
          <w:rPr>
            <w:rFonts w:asciiTheme="minorHAnsi" w:eastAsiaTheme="minorEastAsia" w:hAnsiTheme="minorHAnsi" w:cstheme="minorBidi"/>
            <w:sz w:val="22"/>
            <w:lang w:eastAsia="pl-PL"/>
          </w:rPr>
          <w:tab/>
        </w:r>
        <w:r w:rsidR="00CD4059" w:rsidRPr="00BF773F">
          <w:rPr>
            <w:rStyle w:val="Hipercze"/>
          </w:rPr>
          <w:t>Wskaźnik prawdopodobieństwa występowania deficytu wody na cele zaopatrzenia ludności w wodę (Wpd)</w:t>
        </w:r>
        <w:r w:rsidR="00CD4059">
          <w:rPr>
            <w:webHidden/>
          </w:rPr>
          <w:tab/>
        </w:r>
        <w:r w:rsidR="00CD4059">
          <w:rPr>
            <w:webHidden/>
          </w:rPr>
          <w:fldChar w:fldCharType="begin"/>
        </w:r>
        <w:r w:rsidR="00CD4059">
          <w:rPr>
            <w:webHidden/>
          </w:rPr>
          <w:instrText xml:space="preserve"> PAGEREF _Toc105512867 \h </w:instrText>
        </w:r>
        <w:r w:rsidR="00CD4059">
          <w:rPr>
            <w:webHidden/>
          </w:rPr>
        </w:r>
        <w:r w:rsidR="00CD4059">
          <w:rPr>
            <w:webHidden/>
          </w:rPr>
          <w:fldChar w:fldCharType="separate"/>
        </w:r>
        <w:r w:rsidR="001F774D">
          <w:rPr>
            <w:webHidden/>
          </w:rPr>
          <w:t>246</w:t>
        </w:r>
        <w:r w:rsidR="00CD4059">
          <w:rPr>
            <w:webHidden/>
          </w:rPr>
          <w:fldChar w:fldCharType="end"/>
        </w:r>
      </w:hyperlink>
    </w:p>
    <w:p w14:paraId="16472F29" w14:textId="1D1F786A" w:rsidR="00CD4059" w:rsidRDefault="009C595A">
      <w:pPr>
        <w:pStyle w:val="Spisilustracji"/>
        <w:rPr>
          <w:rFonts w:asciiTheme="minorHAnsi" w:eastAsiaTheme="minorEastAsia" w:hAnsiTheme="minorHAnsi" w:cstheme="minorBidi"/>
          <w:sz w:val="22"/>
          <w:lang w:eastAsia="pl-PL"/>
        </w:rPr>
      </w:pPr>
      <w:hyperlink w:anchor="_Toc105512868" w:history="1">
        <w:r w:rsidR="00CD4059" w:rsidRPr="00BF773F">
          <w:rPr>
            <w:rStyle w:val="Hipercze"/>
          </w:rPr>
          <w:t>Tabela 11</w:t>
        </w:r>
        <w:r w:rsidR="00CD4059" w:rsidRPr="00BF773F">
          <w:rPr>
            <w:rStyle w:val="Hipercze"/>
          </w:rPr>
          <w:noBreakHyphen/>
          <w:t>15.</w:t>
        </w:r>
        <w:r w:rsidR="00CD4059">
          <w:rPr>
            <w:rFonts w:asciiTheme="minorHAnsi" w:eastAsiaTheme="minorEastAsia" w:hAnsiTheme="minorHAnsi" w:cstheme="minorBidi"/>
            <w:sz w:val="22"/>
            <w:lang w:eastAsia="pl-PL"/>
          </w:rPr>
          <w:tab/>
        </w:r>
        <w:r w:rsidR="00CD4059" w:rsidRPr="00BF773F">
          <w:rPr>
            <w:rStyle w:val="Hipercze"/>
          </w:rPr>
          <w:t>Analiza ekonomiczna – wskaźniki</w:t>
        </w:r>
        <w:r w:rsidR="00CD4059">
          <w:rPr>
            <w:webHidden/>
          </w:rPr>
          <w:tab/>
        </w:r>
        <w:r w:rsidR="00CD4059">
          <w:rPr>
            <w:webHidden/>
          </w:rPr>
          <w:fldChar w:fldCharType="begin"/>
        </w:r>
        <w:r w:rsidR="00CD4059">
          <w:rPr>
            <w:webHidden/>
          </w:rPr>
          <w:instrText xml:space="preserve"> PAGEREF _Toc105512868 \h </w:instrText>
        </w:r>
        <w:r w:rsidR="00CD4059">
          <w:rPr>
            <w:webHidden/>
          </w:rPr>
        </w:r>
        <w:r w:rsidR="00CD4059">
          <w:rPr>
            <w:webHidden/>
          </w:rPr>
          <w:fldChar w:fldCharType="separate"/>
        </w:r>
        <w:r w:rsidR="001F774D">
          <w:rPr>
            <w:webHidden/>
          </w:rPr>
          <w:t>247</w:t>
        </w:r>
        <w:r w:rsidR="00CD4059">
          <w:rPr>
            <w:webHidden/>
          </w:rPr>
          <w:fldChar w:fldCharType="end"/>
        </w:r>
      </w:hyperlink>
    </w:p>
    <w:p w14:paraId="43E8F197" w14:textId="3C485B15" w:rsidR="00CD4059" w:rsidRDefault="009C595A">
      <w:pPr>
        <w:pStyle w:val="Spisilustracji"/>
        <w:rPr>
          <w:rFonts w:asciiTheme="minorHAnsi" w:eastAsiaTheme="minorEastAsia" w:hAnsiTheme="minorHAnsi" w:cstheme="minorBidi"/>
          <w:sz w:val="22"/>
          <w:lang w:eastAsia="pl-PL"/>
        </w:rPr>
      </w:pPr>
      <w:hyperlink w:anchor="_Toc105512869" w:history="1">
        <w:r w:rsidR="00CD4059" w:rsidRPr="00BF773F">
          <w:rPr>
            <w:rStyle w:val="Hipercze"/>
          </w:rPr>
          <w:t>Tabela 11</w:t>
        </w:r>
        <w:r w:rsidR="00CD4059" w:rsidRPr="00BF773F">
          <w:rPr>
            <w:rStyle w:val="Hipercze"/>
          </w:rPr>
          <w:noBreakHyphen/>
          <w:t>16.</w:t>
        </w:r>
        <w:r w:rsidR="00CD4059">
          <w:rPr>
            <w:rFonts w:asciiTheme="minorHAnsi" w:eastAsiaTheme="minorEastAsia" w:hAnsiTheme="minorHAnsi" w:cstheme="minorBidi"/>
            <w:sz w:val="22"/>
            <w:lang w:eastAsia="pl-PL"/>
          </w:rPr>
          <w:tab/>
        </w:r>
        <w:r w:rsidR="00CD4059" w:rsidRPr="00BF773F">
          <w:rPr>
            <w:rStyle w:val="Hipercze"/>
          </w:rPr>
          <w:t>Wyniki analiz ekonomicznych – ocena jakościowa</w:t>
        </w:r>
        <w:r w:rsidR="00CD4059">
          <w:rPr>
            <w:webHidden/>
          </w:rPr>
          <w:tab/>
        </w:r>
        <w:r w:rsidR="00CD4059">
          <w:rPr>
            <w:webHidden/>
          </w:rPr>
          <w:fldChar w:fldCharType="begin"/>
        </w:r>
        <w:r w:rsidR="00CD4059">
          <w:rPr>
            <w:webHidden/>
          </w:rPr>
          <w:instrText xml:space="preserve"> PAGEREF _Toc105512869 \h </w:instrText>
        </w:r>
        <w:r w:rsidR="00CD4059">
          <w:rPr>
            <w:webHidden/>
          </w:rPr>
        </w:r>
        <w:r w:rsidR="00CD4059">
          <w:rPr>
            <w:webHidden/>
          </w:rPr>
          <w:fldChar w:fldCharType="separate"/>
        </w:r>
        <w:r w:rsidR="001F774D">
          <w:rPr>
            <w:webHidden/>
          </w:rPr>
          <w:t>247</w:t>
        </w:r>
        <w:r w:rsidR="00CD4059">
          <w:rPr>
            <w:webHidden/>
          </w:rPr>
          <w:fldChar w:fldCharType="end"/>
        </w:r>
      </w:hyperlink>
    </w:p>
    <w:p w14:paraId="5A890273" w14:textId="24376B27" w:rsidR="00CD4059" w:rsidRDefault="009C595A">
      <w:pPr>
        <w:pStyle w:val="Spisilustracji"/>
        <w:rPr>
          <w:rFonts w:asciiTheme="minorHAnsi" w:eastAsiaTheme="minorEastAsia" w:hAnsiTheme="minorHAnsi" w:cstheme="minorBidi"/>
          <w:sz w:val="22"/>
          <w:lang w:eastAsia="pl-PL"/>
        </w:rPr>
      </w:pPr>
      <w:hyperlink w:anchor="_Toc105512870" w:history="1">
        <w:r w:rsidR="00CD4059" w:rsidRPr="00BF773F">
          <w:rPr>
            <w:rStyle w:val="Hipercze"/>
          </w:rPr>
          <w:t>Tabela 12</w:t>
        </w:r>
        <w:r w:rsidR="00CD4059" w:rsidRPr="00BF773F">
          <w:rPr>
            <w:rStyle w:val="Hipercze"/>
          </w:rPr>
          <w:noBreakHyphen/>
          <w:t>1.</w:t>
        </w:r>
        <w:r w:rsidR="00CD4059">
          <w:rPr>
            <w:rFonts w:asciiTheme="minorHAnsi" w:eastAsiaTheme="minorEastAsia" w:hAnsiTheme="minorHAnsi" w:cstheme="minorBidi"/>
            <w:sz w:val="22"/>
            <w:lang w:eastAsia="pl-PL"/>
          </w:rPr>
          <w:tab/>
        </w:r>
        <w:r w:rsidR="00CD4059" w:rsidRPr="00BF773F">
          <w:rPr>
            <w:rStyle w:val="Hipercze"/>
          </w:rPr>
          <w:t>Kodowanie działań w katalogu JCWP</w:t>
        </w:r>
        <w:r w:rsidR="00CD4059">
          <w:rPr>
            <w:webHidden/>
          </w:rPr>
          <w:tab/>
        </w:r>
        <w:r w:rsidR="00CD4059">
          <w:rPr>
            <w:webHidden/>
          </w:rPr>
          <w:fldChar w:fldCharType="begin"/>
        </w:r>
        <w:r w:rsidR="00CD4059">
          <w:rPr>
            <w:webHidden/>
          </w:rPr>
          <w:instrText xml:space="preserve"> PAGEREF _Toc105512870 \h </w:instrText>
        </w:r>
        <w:r w:rsidR="00CD4059">
          <w:rPr>
            <w:webHidden/>
          </w:rPr>
        </w:r>
        <w:r w:rsidR="00CD4059">
          <w:rPr>
            <w:webHidden/>
          </w:rPr>
          <w:fldChar w:fldCharType="separate"/>
        </w:r>
        <w:r w:rsidR="001F774D">
          <w:rPr>
            <w:webHidden/>
          </w:rPr>
          <w:t>257</w:t>
        </w:r>
        <w:r w:rsidR="00CD4059">
          <w:rPr>
            <w:webHidden/>
          </w:rPr>
          <w:fldChar w:fldCharType="end"/>
        </w:r>
      </w:hyperlink>
    </w:p>
    <w:p w14:paraId="552FD263" w14:textId="1DB21C4A" w:rsidR="00CD4059" w:rsidRDefault="009C595A">
      <w:pPr>
        <w:pStyle w:val="Spisilustracji"/>
        <w:rPr>
          <w:rFonts w:asciiTheme="minorHAnsi" w:eastAsiaTheme="minorEastAsia" w:hAnsiTheme="minorHAnsi" w:cstheme="minorBidi"/>
          <w:sz w:val="22"/>
          <w:lang w:eastAsia="pl-PL"/>
        </w:rPr>
      </w:pPr>
      <w:hyperlink w:anchor="_Toc105512871" w:history="1">
        <w:r w:rsidR="00CD4059" w:rsidRPr="00BF773F">
          <w:rPr>
            <w:rStyle w:val="Hipercze"/>
          </w:rPr>
          <w:t>Tabela 12</w:t>
        </w:r>
        <w:r w:rsidR="00CD4059" w:rsidRPr="00BF773F">
          <w:rPr>
            <w:rStyle w:val="Hipercze"/>
          </w:rPr>
          <w:noBreakHyphen/>
          <w:t>2.</w:t>
        </w:r>
        <w:r w:rsidR="00CD4059">
          <w:rPr>
            <w:rFonts w:asciiTheme="minorHAnsi" w:eastAsiaTheme="minorEastAsia" w:hAnsiTheme="minorHAnsi" w:cstheme="minorBidi"/>
            <w:sz w:val="22"/>
            <w:lang w:eastAsia="pl-PL"/>
          </w:rPr>
          <w:tab/>
        </w:r>
        <w:r w:rsidR="00CD4059" w:rsidRPr="00BF773F">
          <w:rPr>
            <w:rStyle w:val="Hipercze"/>
          </w:rPr>
          <w:t>Kodowanie działań w katalogu JCWPd</w:t>
        </w:r>
        <w:r w:rsidR="00CD4059">
          <w:rPr>
            <w:webHidden/>
          </w:rPr>
          <w:tab/>
        </w:r>
        <w:r w:rsidR="00CD4059">
          <w:rPr>
            <w:webHidden/>
          </w:rPr>
          <w:fldChar w:fldCharType="begin"/>
        </w:r>
        <w:r w:rsidR="00CD4059">
          <w:rPr>
            <w:webHidden/>
          </w:rPr>
          <w:instrText xml:space="preserve"> PAGEREF _Toc105512871 \h </w:instrText>
        </w:r>
        <w:r w:rsidR="00CD4059">
          <w:rPr>
            <w:webHidden/>
          </w:rPr>
        </w:r>
        <w:r w:rsidR="00CD4059">
          <w:rPr>
            <w:webHidden/>
          </w:rPr>
          <w:fldChar w:fldCharType="separate"/>
        </w:r>
        <w:r w:rsidR="001F774D">
          <w:rPr>
            <w:webHidden/>
          </w:rPr>
          <w:t>258</w:t>
        </w:r>
        <w:r w:rsidR="00CD4059">
          <w:rPr>
            <w:webHidden/>
          </w:rPr>
          <w:fldChar w:fldCharType="end"/>
        </w:r>
      </w:hyperlink>
    </w:p>
    <w:p w14:paraId="26A70D49" w14:textId="7BDC95F0" w:rsidR="00CD4059" w:rsidRDefault="009C595A">
      <w:pPr>
        <w:pStyle w:val="Spisilustracji"/>
        <w:rPr>
          <w:rFonts w:asciiTheme="minorHAnsi" w:eastAsiaTheme="minorEastAsia" w:hAnsiTheme="minorHAnsi" w:cstheme="minorBidi"/>
          <w:sz w:val="22"/>
          <w:lang w:eastAsia="pl-PL"/>
        </w:rPr>
      </w:pPr>
      <w:hyperlink w:anchor="_Toc105512872" w:history="1">
        <w:r w:rsidR="00CD4059" w:rsidRPr="00BF773F">
          <w:rPr>
            <w:rStyle w:val="Hipercze"/>
          </w:rPr>
          <w:t>Tabela 12</w:t>
        </w:r>
        <w:r w:rsidR="00CD4059" w:rsidRPr="00BF773F">
          <w:rPr>
            <w:rStyle w:val="Hipercze"/>
          </w:rPr>
          <w:noBreakHyphen/>
          <w:t>3.</w:t>
        </w:r>
        <w:r w:rsidR="00CD4059">
          <w:rPr>
            <w:rFonts w:asciiTheme="minorHAnsi" w:eastAsiaTheme="minorEastAsia" w:hAnsiTheme="minorHAnsi" w:cstheme="minorBidi"/>
            <w:sz w:val="22"/>
            <w:lang w:eastAsia="pl-PL"/>
          </w:rPr>
          <w:tab/>
        </w:r>
        <w:r w:rsidR="00CD4059" w:rsidRPr="00BF773F">
          <w:rPr>
            <w:rStyle w:val="Hipercze"/>
          </w:rPr>
          <w:t>Liczba działań poszczególnych kodów IIaPGW JCWP RW</w:t>
        </w:r>
        <w:r w:rsidR="00CD4059">
          <w:rPr>
            <w:webHidden/>
          </w:rPr>
          <w:tab/>
        </w:r>
        <w:r w:rsidR="00CD4059">
          <w:rPr>
            <w:webHidden/>
          </w:rPr>
          <w:fldChar w:fldCharType="begin"/>
        </w:r>
        <w:r w:rsidR="00CD4059">
          <w:rPr>
            <w:webHidden/>
          </w:rPr>
          <w:instrText xml:space="preserve"> PAGEREF _Toc105512872 \h </w:instrText>
        </w:r>
        <w:r w:rsidR="00CD4059">
          <w:rPr>
            <w:webHidden/>
          </w:rPr>
        </w:r>
        <w:r w:rsidR="00CD4059">
          <w:rPr>
            <w:webHidden/>
          </w:rPr>
          <w:fldChar w:fldCharType="separate"/>
        </w:r>
        <w:r w:rsidR="001F774D">
          <w:rPr>
            <w:webHidden/>
          </w:rPr>
          <w:t>260</w:t>
        </w:r>
        <w:r w:rsidR="00CD4059">
          <w:rPr>
            <w:webHidden/>
          </w:rPr>
          <w:fldChar w:fldCharType="end"/>
        </w:r>
      </w:hyperlink>
    </w:p>
    <w:p w14:paraId="71B583E1" w14:textId="7F150918" w:rsidR="00CD4059" w:rsidRDefault="009C595A">
      <w:pPr>
        <w:pStyle w:val="Spisilustracji"/>
        <w:rPr>
          <w:rFonts w:asciiTheme="minorHAnsi" w:eastAsiaTheme="minorEastAsia" w:hAnsiTheme="minorHAnsi" w:cstheme="minorBidi"/>
          <w:sz w:val="22"/>
          <w:lang w:eastAsia="pl-PL"/>
        </w:rPr>
      </w:pPr>
      <w:hyperlink w:anchor="_Toc105512873" w:history="1">
        <w:r w:rsidR="00CD4059" w:rsidRPr="00BF773F">
          <w:rPr>
            <w:rStyle w:val="Hipercze"/>
          </w:rPr>
          <w:t>Tabela 12</w:t>
        </w:r>
        <w:r w:rsidR="00CD4059" w:rsidRPr="00BF773F">
          <w:rPr>
            <w:rStyle w:val="Hipercze"/>
          </w:rPr>
          <w:noBreakHyphen/>
          <w:t>4.</w:t>
        </w:r>
        <w:r w:rsidR="00CD4059">
          <w:rPr>
            <w:rFonts w:asciiTheme="minorHAnsi" w:eastAsiaTheme="minorEastAsia" w:hAnsiTheme="minorHAnsi" w:cstheme="minorBidi"/>
            <w:sz w:val="22"/>
            <w:lang w:eastAsia="pl-PL"/>
          </w:rPr>
          <w:tab/>
        </w:r>
        <w:r w:rsidR="00CD4059" w:rsidRPr="00BF773F">
          <w:rPr>
            <w:rStyle w:val="Hipercze"/>
          </w:rPr>
          <w:t>Liczba działań poszczególnych kodów IIaPGW JCWP RWr</w:t>
        </w:r>
        <w:r w:rsidR="00CD4059">
          <w:rPr>
            <w:webHidden/>
          </w:rPr>
          <w:tab/>
        </w:r>
        <w:r w:rsidR="00CD4059">
          <w:rPr>
            <w:webHidden/>
          </w:rPr>
          <w:fldChar w:fldCharType="begin"/>
        </w:r>
        <w:r w:rsidR="00CD4059">
          <w:rPr>
            <w:webHidden/>
          </w:rPr>
          <w:instrText xml:space="preserve"> PAGEREF _Toc105512873 \h </w:instrText>
        </w:r>
        <w:r w:rsidR="00CD4059">
          <w:rPr>
            <w:webHidden/>
          </w:rPr>
        </w:r>
        <w:r w:rsidR="00CD4059">
          <w:rPr>
            <w:webHidden/>
          </w:rPr>
          <w:fldChar w:fldCharType="separate"/>
        </w:r>
        <w:r w:rsidR="001F774D">
          <w:rPr>
            <w:webHidden/>
          </w:rPr>
          <w:t>264</w:t>
        </w:r>
        <w:r w:rsidR="00CD4059">
          <w:rPr>
            <w:webHidden/>
          </w:rPr>
          <w:fldChar w:fldCharType="end"/>
        </w:r>
      </w:hyperlink>
    </w:p>
    <w:p w14:paraId="5B915130" w14:textId="75BACBCC" w:rsidR="00CD4059" w:rsidRDefault="009C595A">
      <w:pPr>
        <w:pStyle w:val="Spisilustracji"/>
        <w:rPr>
          <w:rFonts w:asciiTheme="minorHAnsi" w:eastAsiaTheme="minorEastAsia" w:hAnsiTheme="minorHAnsi" w:cstheme="minorBidi"/>
          <w:sz w:val="22"/>
          <w:lang w:eastAsia="pl-PL"/>
        </w:rPr>
      </w:pPr>
      <w:hyperlink w:anchor="_Toc105512874" w:history="1">
        <w:r w:rsidR="00CD4059" w:rsidRPr="00BF773F">
          <w:rPr>
            <w:rStyle w:val="Hipercze"/>
          </w:rPr>
          <w:t>Tabela 12</w:t>
        </w:r>
        <w:r w:rsidR="00CD4059" w:rsidRPr="00BF773F">
          <w:rPr>
            <w:rStyle w:val="Hipercze"/>
          </w:rPr>
          <w:noBreakHyphen/>
          <w:t>5.</w:t>
        </w:r>
        <w:r w:rsidR="00CD4059">
          <w:rPr>
            <w:rFonts w:asciiTheme="minorHAnsi" w:eastAsiaTheme="minorEastAsia" w:hAnsiTheme="minorHAnsi" w:cstheme="minorBidi"/>
            <w:sz w:val="22"/>
            <w:lang w:eastAsia="pl-PL"/>
          </w:rPr>
          <w:tab/>
        </w:r>
        <w:r w:rsidR="00CD4059" w:rsidRPr="00BF773F">
          <w:rPr>
            <w:rStyle w:val="Hipercze"/>
          </w:rPr>
          <w:t>Liczba działań poszczególnych kodów IIaPGW JCWP LW</w:t>
        </w:r>
        <w:r w:rsidR="00CD4059">
          <w:rPr>
            <w:webHidden/>
          </w:rPr>
          <w:tab/>
        </w:r>
        <w:r w:rsidR="00CD4059">
          <w:rPr>
            <w:webHidden/>
          </w:rPr>
          <w:fldChar w:fldCharType="begin"/>
        </w:r>
        <w:r w:rsidR="00CD4059">
          <w:rPr>
            <w:webHidden/>
          </w:rPr>
          <w:instrText xml:space="preserve"> PAGEREF _Toc105512874 \h </w:instrText>
        </w:r>
        <w:r w:rsidR="00CD4059">
          <w:rPr>
            <w:webHidden/>
          </w:rPr>
        </w:r>
        <w:r w:rsidR="00CD4059">
          <w:rPr>
            <w:webHidden/>
          </w:rPr>
          <w:fldChar w:fldCharType="separate"/>
        </w:r>
        <w:r w:rsidR="001F774D">
          <w:rPr>
            <w:webHidden/>
          </w:rPr>
          <w:t>267</w:t>
        </w:r>
        <w:r w:rsidR="00CD4059">
          <w:rPr>
            <w:webHidden/>
          </w:rPr>
          <w:fldChar w:fldCharType="end"/>
        </w:r>
      </w:hyperlink>
    </w:p>
    <w:p w14:paraId="70E4816A" w14:textId="24C789F6" w:rsidR="00CD4059" w:rsidRDefault="009C595A">
      <w:pPr>
        <w:pStyle w:val="Spisilustracji"/>
        <w:rPr>
          <w:rFonts w:asciiTheme="minorHAnsi" w:eastAsiaTheme="minorEastAsia" w:hAnsiTheme="minorHAnsi" w:cstheme="minorBidi"/>
          <w:sz w:val="22"/>
          <w:lang w:eastAsia="pl-PL"/>
        </w:rPr>
      </w:pPr>
      <w:hyperlink w:anchor="_Toc105512875" w:history="1">
        <w:r w:rsidR="00CD4059" w:rsidRPr="00BF773F">
          <w:rPr>
            <w:rStyle w:val="Hipercze"/>
          </w:rPr>
          <w:t>Tabela 12</w:t>
        </w:r>
        <w:r w:rsidR="00CD4059" w:rsidRPr="00BF773F">
          <w:rPr>
            <w:rStyle w:val="Hipercze"/>
          </w:rPr>
          <w:noBreakHyphen/>
          <w:t>6.</w:t>
        </w:r>
        <w:r w:rsidR="00CD4059">
          <w:rPr>
            <w:rFonts w:asciiTheme="minorHAnsi" w:eastAsiaTheme="minorEastAsia" w:hAnsiTheme="minorHAnsi" w:cstheme="minorBidi"/>
            <w:sz w:val="22"/>
            <w:lang w:eastAsia="pl-PL"/>
          </w:rPr>
          <w:tab/>
        </w:r>
        <w:r w:rsidR="00CD4059" w:rsidRPr="00BF773F">
          <w:rPr>
            <w:rStyle w:val="Hipercze"/>
          </w:rPr>
          <w:t>Liczba działań poszczególnych kodów IIaPGW JCWP TW i CW</w:t>
        </w:r>
        <w:r w:rsidR="00CD4059">
          <w:rPr>
            <w:webHidden/>
          </w:rPr>
          <w:tab/>
        </w:r>
        <w:r w:rsidR="00CD4059">
          <w:rPr>
            <w:webHidden/>
          </w:rPr>
          <w:fldChar w:fldCharType="begin"/>
        </w:r>
        <w:r w:rsidR="00CD4059">
          <w:rPr>
            <w:webHidden/>
          </w:rPr>
          <w:instrText xml:space="preserve"> PAGEREF _Toc105512875 \h </w:instrText>
        </w:r>
        <w:r w:rsidR="00CD4059">
          <w:rPr>
            <w:webHidden/>
          </w:rPr>
        </w:r>
        <w:r w:rsidR="00CD4059">
          <w:rPr>
            <w:webHidden/>
          </w:rPr>
          <w:fldChar w:fldCharType="separate"/>
        </w:r>
        <w:r w:rsidR="001F774D">
          <w:rPr>
            <w:webHidden/>
          </w:rPr>
          <w:t>271</w:t>
        </w:r>
        <w:r w:rsidR="00CD4059">
          <w:rPr>
            <w:webHidden/>
          </w:rPr>
          <w:fldChar w:fldCharType="end"/>
        </w:r>
      </w:hyperlink>
    </w:p>
    <w:p w14:paraId="0945BDB1" w14:textId="1ED8D79F" w:rsidR="00CD4059" w:rsidRDefault="009C595A">
      <w:pPr>
        <w:pStyle w:val="Spisilustracji"/>
        <w:rPr>
          <w:rFonts w:asciiTheme="minorHAnsi" w:eastAsiaTheme="minorEastAsia" w:hAnsiTheme="minorHAnsi" w:cstheme="minorBidi"/>
          <w:sz w:val="22"/>
          <w:lang w:eastAsia="pl-PL"/>
        </w:rPr>
      </w:pPr>
      <w:hyperlink w:anchor="_Toc105512876" w:history="1">
        <w:r w:rsidR="00CD4059" w:rsidRPr="00BF773F">
          <w:rPr>
            <w:rStyle w:val="Hipercze"/>
          </w:rPr>
          <w:t>Tabela 12</w:t>
        </w:r>
        <w:r w:rsidR="00CD4059" w:rsidRPr="00BF773F">
          <w:rPr>
            <w:rStyle w:val="Hipercze"/>
          </w:rPr>
          <w:noBreakHyphen/>
          <w:t>7.</w:t>
        </w:r>
        <w:r w:rsidR="00CD4059">
          <w:rPr>
            <w:rFonts w:asciiTheme="minorHAnsi" w:eastAsiaTheme="minorEastAsia" w:hAnsiTheme="minorHAnsi" w:cstheme="minorBidi"/>
            <w:sz w:val="22"/>
            <w:lang w:eastAsia="pl-PL"/>
          </w:rPr>
          <w:tab/>
        </w:r>
        <w:r w:rsidR="00CD4059" w:rsidRPr="00BF773F">
          <w:rPr>
            <w:rStyle w:val="Hipercze"/>
          </w:rPr>
          <w:t>Liczba działań w poszczególnych grupach działań – JCWPd</w:t>
        </w:r>
        <w:r w:rsidR="00CD4059">
          <w:rPr>
            <w:webHidden/>
          </w:rPr>
          <w:tab/>
        </w:r>
        <w:r w:rsidR="00CD4059">
          <w:rPr>
            <w:webHidden/>
          </w:rPr>
          <w:fldChar w:fldCharType="begin"/>
        </w:r>
        <w:r w:rsidR="00CD4059">
          <w:rPr>
            <w:webHidden/>
          </w:rPr>
          <w:instrText xml:space="preserve"> PAGEREF _Toc105512876 \h </w:instrText>
        </w:r>
        <w:r w:rsidR="00CD4059">
          <w:rPr>
            <w:webHidden/>
          </w:rPr>
        </w:r>
        <w:r w:rsidR="00CD4059">
          <w:rPr>
            <w:webHidden/>
          </w:rPr>
          <w:fldChar w:fldCharType="separate"/>
        </w:r>
        <w:r w:rsidR="001F774D">
          <w:rPr>
            <w:webHidden/>
          </w:rPr>
          <w:t>274</w:t>
        </w:r>
        <w:r w:rsidR="00CD4059">
          <w:rPr>
            <w:webHidden/>
          </w:rPr>
          <w:fldChar w:fldCharType="end"/>
        </w:r>
      </w:hyperlink>
    </w:p>
    <w:p w14:paraId="538ADE48" w14:textId="4E920D22" w:rsidR="00CD4059" w:rsidRDefault="009C595A">
      <w:pPr>
        <w:pStyle w:val="Spisilustracji"/>
        <w:rPr>
          <w:rFonts w:asciiTheme="minorHAnsi" w:eastAsiaTheme="minorEastAsia" w:hAnsiTheme="minorHAnsi" w:cstheme="minorBidi"/>
          <w:sz w:val="22"/>
          <w:lang w:eastAsia="pl-PL"/>
        </w:rPr>
      </w:pPr>
      <w:hyperlink w:anchor="_Toc105512877" w:history="1">
        <w:r w:rsidR="00CD4059" w:rsidRPr="00BF773F">
          <w:rPr>
            <w:rStyle w:val="Hipercze"/>
          </w:rPr>
          <w:t>Tabela 12</w:t>
        </w:r>
        <w:r w:rsidR="00CD4059" w:rsidRPr="00BF773F">
          <w:rPr>
            <w:rStyle w:val="Hipercze"/>
          </w:rPr>
          <w:noBreakHyphen/>
          <w:t>8.</w:t>
        </w:r>
        <w:r w:rsidR="00CD4059">
          <w:rPr>
            <w:rFonts w:asciiTheme="minorHAnsi" w:eastAsiaTheme="minorEastAsia" w:hAnsiTheme="minorHAnsi" w:cstheme="minorBidi"/>
            <w:sz w:val="22"/>
            <w:lang w:eastAsia="pl-PL"/>
          </w:rPr>
          <w:tab/>
        </w:r>
        <w:r w:rsidR="00CD4059" w:rsidRPr="00BF773F">
          <w:rPr>
            <w:rStyle w:val="Hipercze"/>
          </w:rPr>
          <w:t>Zestawienie działań zalecanych do wdrożenia w JCWP RW na obszarze dorzecza Odry</w:t>
        </w:r>
        <w:r w:rsidR="00CD4059">
          <w:rPr>
            <w:webHidden/>
          </w:rPr>
          <w:tab/>
        </w:r>
        <w:r w:rsidR="00CD4059">
          <w:rPr>
            <w:webHidden/>
          </w:rPr>
          <w:fldChar w:fldCharType="begin"/>
        </w:r>
        <w:r w:rsidR="00CD4059">
          <w:rPr>
            <w:webHidden/>
          </w:rPr>
          <w:instrText xml:space="preserve"> PAGEREF _Toc105512877 \h </w:instrText>
        </w:r>
        <w:r w:rsidR="00CD4059">
          <w:rPr>
            <w:webHidden/>
          </w:rPr>
        </w:r>
        <w:r w:rsidR="00CD4059">
          <w:rPr>
            <w:webHidden/>
          </w:rPr>
          <w:fldChar w:fldCharType="separate"/>
        </w:r>
        <w:r w:rsidR="001F774D">
          <w:rPr>
            <w:webHidden/>
          </w:rPr>
          <w:t>277</w:t>
        </w:r>
        <w:r w:rsidR="00CD4059">
          <w:rPr>
            <w:webHidden/>
          </w:rPr>
          <w:fldChar w:fldCharType="end"/>
        </w:r>
      </w:hyperlink>
    </w:p>
    <w:p w14:paraId="117E45BA" w14:textId="14DB4F4E" w:rsidR="00CD4059" w:rsidRDefault="009C595A">
      <w:pPr>
        <w:pStyle w:val="Spisilustracji"/>
        <w:rPr>
          <w:rFonts w:asciiTheme="minorHAnsi" w:eastAsiaTheme="minorEastAsia" w:hAnsiTheme="minorHAnsi" w:cstheme="minorBidi"/>
          <w:sz w:val="22"/>
          <w:lang w:eastAsia="pl-PL"/>
        </w:rPr>
      </w:pPr>
      <w:hyperlink w:anchor="_Toc105512878" w:history="1">
        <w:r w:rsidR="00CD4059" w:rsidRPr="00BF773F">
          <w:rPr>
            <w:rStyle w:val="Hipercze"/>
          </w:rPr>
          <w:t>Tabela 12</w:t>
        </w:r>
        <w:r w:rsidR="00CD4059" w:rsidRPr="00BF773F">
          <w:rPr>
            <w:rStyle w:val="Hipercze"/>
          </w:rPr>
          <w:noBreakHyphen/>
          <w:t>9.</w:t>
        </w:r>
        <w:r w:rsidR="00CD4059">
          <w:rPr>
            <w:rFonts w:asciiTheme="minorHAnsi" w:eastAsiaTheme="minorEastAsia" w:hAnsiTheme="minorHAnsi" w:cstheme="minorBidi"/>
            <w:sz w:val="22"/>
            <w:lang w:eastAsia="pl-PL"/>
          </w:rPr>
          <w:tab/>
        </w:r>
        <w:r w:rsidR="00CD4059" w:rsidRPr="00BF773F">
          <w:rPr>
            <w:rStyle w:val="Hipercze"/>
          </w:rPr>
          <w:t>Zestawienie działań zalecanych do wdrożenia w JCWP RWr na obszarze dorzecza Odry</w:t>
        </w:r>
        <w:r w:rsidR="00CD4059">
          <w:rPr>
            <w:webHidden/>
          </w:rPr>
          <w:tab/>
        </w:r>
        <w:r w:rsidR="00CD4059">
          <w:rPr>
            <w:webHidden/>
          </w:rPr>
          <w:fldChar w:fldCharType="begin"/>
        </w:r>
        <w:r w:rsidR="00CD4059">
          <w:rPr>
            <w:webHidden/>
          </w:rPr>
          <w:instrText xml:space="preserve"> PAGEREF _Toc105512878 \h </w:instrText>
        </w:r>
        <w:r w:rsidR="00CD4059">
          <w:rPr>
            <w:webHidden/>
          </w:rPr>
        </w:r>
        <w:r w:rsidR="00CD4059">
          <w:rPr>
            <w:webHidden/>
          </w:rPr>
          <w:fldChar w:fldCharType="separate"/>
        </w:r>
        <w:r w:rsidR="001F774D">
          <w:rPr>
            <w:webHidden/>
          </w:rPr>
          <w:t>282</w:t>
        </w:r>
        <w:r w:rsidR="00CD4059">
          <w:rPr>
            <w:webHidden/>
          </w:rPr>
          <w:fldChar w:fldCharType="end"/>
        </w:r>
      </w:hyperlink>
    </w:p>
    <w:p w14:paraId="3445B4AE" w14:textId="298A0CEE" w:rsidR="00CD4059" w:rsidRDefault="009C595A">
      <w:pPr>
        <w:pStyle w:val="Spisilustracji"/>
        <w:rPr>
          <w:rFonts w:asciiTheme="minorHAnsi" w:eastAsiaTheme="minorEastAsia" w:hAnsiTheme="minorHAnsi" w:cstheme="minorBidi"/>
          <w:sz w:val="22"/>
          <w:lang w:eastAsia="pl-PL"/>
        </w:rPr>
      </w:pPr>
      <w:hyperlink w:anchor="_Toc105512879" w:history="1">
        <w:r w:rsidR="00CD4059" w:rsidRPr="00BF773F">
          <w:rPr>
            <w:rStyle w:val="Hipercze"/>
          </w:rPr>
          <w:t>Tabela 12</w:t>
        </w:r>
        <w:r w:rsidR="00CD4059" w:rsidRPr="00BF773F">
          <w:rPr>
            <w:rStyle w:val="Hipercze"/>
          </w:rPr>
          <w:noBreakHyphen/>
          <w:t>10.</w:t>
        </w:r>
        <w:r w:rsidR="00CD4059">
          <w:rPr>
            <w:rFonts w:asciiTheme="minorHAnsi" w:eastAsiaTheme="minorEastAsia" w:hAnsiTheme="minorHAnsi" w:cstheme="minorBidi"/>
            <w:sz w:val="22"/>
            <w:lang w:eastAsia="pl-PL"/>
          </w:rPr>
          <w:tab/>
        </w:r>
        <w:r w:rsidR="00CD4059" w:rsidRPr="00BF773F">
          <w:rPr>
            <w:rStyle w:val="Hipercze"/>
          </w:rPr>
          <w:t>Zestawienie działań zalecanych do wdrożenia w JCWP LW na obszarze dorzecza Odry</w:t>
        </w:r>
        <w:r w:rsidR="00CD4059">
          <w:rPr>
            <w:webHidden/>
          </w:rPr>
          <w:tab/>
        </w:r>
        <w:r w:rsidR="00CD4059">
          <w:rPr>
            <w:webHidden/>
          </w:rPr>
          <w:fldChar w:fldCharType="begin"/>
        </w:r>
        <w:r w:rsidR="00CD4059">
          <w:rPr>
            <w:webHidden/>
          </w:rPr>
          <w:instrText xml:space="preserve"> PAGEREF _Toc105512879 \h </w:instrText>
        </w:r>
        <w:r w:rsidR="00CD4059">
          <w:rPr>
            <w:webHidden/>
          </w:rPr>
        </w:r>
        <w:r w:rsidR="00CD4059">
          <w:rPr>
            <w:webHidden/>
          </w:rPr>
          <w:fldChar w:fldCharType="separate"/>
        </w:r>
        <w:r w:rsidR="001F774D">
          <w:rPr>
            <w:webHidden/>
          </w:rPr>
          <w:t>284</w:t>
        </w:r>
        <w:r w:rsidR="00CD4059">
          <w:rPr>
            <w:webHidden/>
          </w:rPr>
          <w:fldChar w:fldCharType="end"/>
        </w:r>
      </w:hyperlink>
    </w:p>
    <w:p w14:paraId="71315551" w14:textId="32B6BDD0" w:rsidR="00CD4059" w:rsidRDefault="009C595A">
      <w:pPr>
        <w:pStyle w:val="Spisilustracji"/>
        <w:rPr>
          <w:rFonts w:asciiTheme="minorHAnsi" w:eastAsiaTheme="minorEastAsia" w:hAnsiTheme="minorHAnsi" w:cstheme="minorBidi"/>
          <w:sz w:val="22"/>
          <w:lang w:eastAsia="pl-PL"/>
        </w:rPr>
      </w:pPr>
      <w:hyperlink w:anchor="_Toc105512880" w:history="1">
        <w:r w:rsidR="00CD4059" w:rsidRPr="00BF773F">
          <w:rPr>
            <w:rStyle w:val="Hipercze"/>
          </w:rPr>
          <w:t>Tabela 12</w:t>
        </w:r>
        <w:r w:rsidR="00CD4059" w:rsidRPr="00BF773F">
          <w:rPr>
            <w:rStyle w:val="Hipercze"/>
          </w:rPr>
          <w:noBreakHyphen/>
          <w:t>11.</w:t>
        </w:r>
        <w:r w:rsidR="00CD4059">
          <w:rPr>
            <w:rFonts w:asciiTheme="minorHAnsi" w:eastAsiaTheme="minorEastAsia" w:hAnsiTheme="minorHAnsi" w:cstheme="minorBidi"/>
            <w:sz w:val="22"/>
            <w:lang w:eastAsia="pl-PL"/>
          </w:rPr>
          <w:tab/>
        </w:r>
        <w:r w:rsidR="00CD4059" w:rsidRPr="00BF773F">
          <w:rPr>
            <w:rStyle w:val="Hipercze"/>
          </w:rPr>
          <w:t>Zestawienie działań zalecanych do wdrożenia w JCWP TW i CW na obszarze dorzecza Odry</w:t>
        </w:r>
        <w:r w:rsidR="00CD4059">
          <w:rPr>
            <w:webHidden/>
          </w:rPr>
          <w:tab/>
        </w:r>
        <w:r w:rsidR="00CD4059">
          <w:rPr>
            <w:webHidden/>
          </w:rPr>
          <w:fldChar w:fldCharType="begin"/>
        </w:r>
        <w:r w:rsidR="00CD4059">
          <w:rPr>
            <w:webHidden/>
          </w:rPr>
          <w:instrText xml:space="preserve"> PAGEREF _Toc105512880 \h </w:instrText>
        </w:r>
        <w:r w:rsidR="00CD4059">
          <w:rPr>
            <w:webHidden/>
          </w:rPr>
        </w:r>
        <w:r w:rsidR="00CD4059">
          <w:rPr>
            <w:webHidden/>
          </w:rPr>
          <w:fldChar w:fldCharType="separate"/>
        </w:r>
        <w:r w:rsidR="001F774D">
          <w:rPr>
            <w:webHidden/>
          </w:rPr>
          <w:t>287</w:t>
        </w:r>
        <w:r w:rsidR="00CD4059">
          <w:rPr>
            <w:webHidden/>
          </w:rPr>
          <w:fldChar w:fldCharType="end"/>
        </w:r>
      </w:hyperlink>
    </w:p>
    <w:p w14:paraId="0CA30A07" w14:textId="1366CC4B" w:rsidR="00CD4059" w:rsidRDefault="009C595A">
      <w:pPr>
        <w:pStyle w:val="Spisilustracji"/>
        <w:rPr>
          <w:rFonts w:asciiTheme="minorHAnsi" w:eastAsiaTheme="minorEastAsia" w:hAnsiTheme="minorHAnsi" w:cstheme="minorBidi"/>
          <w:sz w:val="22"/>
          <w:lang w:eastAsia="pl-PL"/>
        </w:rPr>
      </w:pPr>
      <w:hyperlink w:anchor="_Toc105512881" w:history="1">
        <w:r w:rsidR="00CD4059" w:rsidRPr="00BF773F">
          <w:rPr>
            <w:rStyle w:val="Hipercze"/>
          </w:rPr>
          <w:t>Tabela 12</w:t>
        </w:r>
        <w:r w:rsidR="00CD4059" w:rsidRPr="00BF773F">
          <w:rPr>
            <w:rStyle w:val="Hipercze"/>
          </w:rPr>
          <w:noBreakHyphen/>
          <w:t>12.</w:t>
        </w:r>
        <w:r w:rsidR="00CD4059">
          <w:rPr>
            <w:rFonts w:asciiTheme="minorHAnsi" w:eastAsiaTheme="minorEastAsia" w:hAnsiTheme="minorHAnsi" w:cstheme="minorBidi"/>
            <w:sz w:val="22"/>
            <w:lang w:eastAsia="pl-PL"/>
          </w:rPr>
          <w:tab/>
        </w:r>
        <w:r w:rsidR="00CD4059" w:rsidRPr="00BF773F">
          <w:rPr>
            <w:rStyle w:val="Hipercze"/>
          </w:rPr>
          <w:t>Zestawienie działań uzupełniających przypisanych do JCWPd na obszarze dorzecza Odry</w:t>
        </w:r>
        <w:r w:rsidR="00CD4059">
          <w:rPr>
            <w:webHidden/>
          </w:rPr>
          <w:tab/>
        </w:r>
        <w:r w:rsidR="00CD4059">
          <w:rPr>
            <w:webHidden/>
          </w:rPr>
          <w:fldChar w:fldCharType="begin"/>
        </w:r>
        <w:r w:rsidR="00CD4059">
          <w:rPr>
            <w:webHidden/>
          </w:rPr>
          <w:instrText xml:space="preserve"> PAGEREF _Toc105512881 \h </w:instrText>
        </w:r>
        <w:r w:rsidR="00CD4059">
          <w:rPr>
            <w:webHidden/>
          </w:rPr>
        </w:r>
        <w:r w:rsidR="00CD4059">
          <w:rPr>
            <w:webHidden/>
          </w:rPr>
          <w:fldChar w:fldCharType="separate"/>
        </w:r>
        <w:r w:rsidR="001F774D">
          <w:rPr>
            <w:webHidden/>
          </w:rPr>
          <w:t>289</w:t>
        </w:r>
        <w:r w:rsidR="00CD4059">
          <w:rPr>
            <w:webHidden/>
          </w:rPr>
          <w:fldChar w:fldCharType="end"/>
        </w:r>
      </w:hyperlink>
    </w:p>
    <w:p w14:paraId="65C45CEC" w14:textId="65CA1900" w:rsidR="00CD4059" w:rsidRDefault="009C595A">
      <w:pPr>
        <w:pStyle w:val="Spisilustracji"/>
        <w:rPr>
          <w:rFonts w:asciiTheme="minorHAnsi" w:eastAsiaTheme="minorEastAsia" w:hAnsiTheme="minorHAnsi" w:cstheme="minorBidi"/>
          <w:sz w:val="22"/>
          <w:lang w:eastAsia="pl-PL"/>
        </w:rPr>
      </w:pPr>
      <w:hyperlink w:anchor="_Toc105512882" w:history="1">
        <w:r w:rsidR="00CD4059" w:rsidRPr="00BF773F">
          <w:rPr>
            <w:rStyle w:val="Hipercze"/>
          </w:rPr>
          <w:t>Tabela 12</w:t>
        </w:r>
        <w:r w:rsidR="00CD4059" w:rsidRPr="00BF773F">
          <w:rPr>
            <w:rStyle w:val="Hipercze"/>
          </w:rPr>
          <w:noBreakHyphen/>
          <w:t>13.</w:t>
        </w:r>
        <w:r w:rsidR="00CD4059">
          <w:rPr>
            <w:rFonts w:asciiTheme="minorHAnsi" w:eastAsiaTheme="minorEastAsia" w:hAnsiTheme="minorHAnsi" w:cstheme="minorBidi"/>
            <w:sz w:val="22"/>
            <w:lang w:eastAsia="pl-PL"/>
          </w:rPr>
          <w:tab/>
        </w:r>
        <w:r w:rsidR="00CD4059" w:rsidRPr="00BF773F">
          <w:rPr>
            <w:rStyle w:val="Hipercze"/>
          </w:rPr>
          <w:t>Koszty zestawu działań na obszarze dorzecza Odry (w tys. zł)</w:t>
        </w:r>
        <w:r w:rsidR="00CD4059">
          <w:rPr>
            <w:webHidden/>
          </w:rPr>
          <w:tab/>
        </w:r>
        <w:r w:rsidR="00CD4059">
          <w:rPr>
            <w:webHidden/>
          </w:rPr>
          <w:fldChar w:fldCharType="begin"/>
        </w:r>
        <w:r w:rsidR="00CD4059">
          <w:rPr>
            <w:webHidden/>
          </w:rPr>
          <w:instrText xml:space="preserve"> PAGEREF _Toc105512882 \h </w:instrText>
        </w:r>
        <w:r w:rsidR="00CD4059">
          <w:rPr>
            <w:webHidden/>
          </w:rPr>
        </w:r>
        <w:r w:rsidR="00CD4059">
          <w:rPr>
            <w:webHidden/>
          </w:rPr>
          <w:fldChar w:fldCharType="separate"/>
        </w:r>
        <w:r w:rsidR="001F774D">
          <w:rPr>
            <w:webHidden/>
          </w:rPr>
          <w:t>291</w:t>
        </w:r>
        <w:r w:rsidR="00CD4059">
          <w:rPr>
            <w:webHidden/>
          </w:rPr>
          <w:fldChar w:fldCharType="end"/>
        </w:r>
      </w:hyperlink>
    </w:p>
    <w:p w14:paraId="392DB448" w14:textId="01F50F07" w:rsidR="00CD4059" w:rsidRDefault="009C595A">
      <w:pPr>
        <w:pStyle w:val="Spisilustracji"/>
        <w:rPr>
          <w:rFonts w:asciiTheme="minorHAnsi" w:eastAsiaTheme="minorEastAsia" w:hAnsiTheme="minorHAnsi" w:cstheme="minorBidi"/>
          <w:sz w:val="22"/>
          <w:lang w:eastAsia="pl-PL"/>
        </w:rPr>
      </w:pPr>
      <w:hyperlink w:anchor="_Toc105512883" w:history="1">
        <w:r w:rsidR="00CD4059" w:rsidRPr="00BF773F">
          <w:rPr>
            <w:rStyle w:val="Hipercze"/>
          </w:rPr>
          <w:t>Tabela 12</w:t>
        </w:r>
        <w:r w:rsidR="00CD4059" w:rsidRPr="00BF773F">
          <w:rPr>
            <w:rStyle w:val="Hipercze"/>
          </w:rPr>
          <w:noBreakHyphen/>
          <w:t>14.</w:t>
        </w:r>
        <w:r w:rsidR="00CD4059">
          <w:rPr>
            <w:rFonts w:asciiTheme="minorHAnsi" w:eastAsiaTheme="minorEastAsia" w:hAnsiTheme="minorHAnsi" w:cstheme="minorBidi"/>
            <w:sz w:val="22"/>
            <w:lang w:eastAsia="pl-PL"/>
          </w:rPr>
          <w:tab/>
        </w:r>
        <w:r w:rsidR="00CD4059" w:rsidRPr="00BF773F">
          <w:rPr>
            <w:rStyle w:val="Hipercze"/>
          </w:rPr>
          <w:t>Udział poszczególnych kategorii wód w kosztach ogółem zestawu działań – obszar dorzecza Odry</w:t>
        </w:r>
        <w:r w:rsidR="00CD4059">
          <w:rPr>
            <w:webHidden/>
          </w:rPr>
          <w:tab/>
        </w:r>
        <w:r w:rsidR="00CD4059">
          <w:rPr>
            <w:webHidden/>
          </w:rPr>
          <w:fldChar w:fldCharType="begin"/>
        </w:r>
        <w:r w:rsidR="00CD4059">
          <w:rPr>
            <w:webHidden/>
          </w:rPr>
          <w:instrText xml:space="preserve"> PAGEREF _Toc105512883 \h </w:instrText>
        </w:r>
        <w:r w:rsidR="00CD4059">
          <w:rPr>
            <w:webHidden/>
          </w:rPr>
        </w:r>
        <w:r w:rsidR="00CD4059">
          <w:rPr>
            <w:webHidden/>
          </w:rPr>
          <w:fldChar w:fldCharType="separate"/>
        </w:r>
        <w:r w:rsidR="001F774D">
          <w:rPr>
            <w:webHidden/>
          </w:rPr>
          <w:t>292</w:t>
        </w:r>
        <w:r w:rsidR="00CD4059">
          <w:rPr>
            <w:webHidden/>
          </w:rPr>
          <w:fldChar w:fldCharType="end"/>
        </w:r>
      </w:hyperlink>
    </w:p>
    <w:p w14:paraId="296A133C" w14:textId="5101572C" w:rsidR="00CD4059" w:rsidRDefault="009C595A">
      <w:pPr>
        <w:pStyle w:val="Spisilustracji"/>
        <w:rPr>
          <w:rFonts w:asciiTheme="minorHAnsi" w:eastAsiaTheme="minorEastAsia" w:hAnsiTheme="minorHAnsi" w:cstheme="minorBidi"/>
          <w:sz w:val="22"/>
          <w:lang w:eastAsia="pl-PL"/>
        </w:rPr>
      </w:pPr>
      <w:hyperlink w:anchor="_Toc105512884" w:history="1">
        <w:r w:rsidR="00CD4059" w:rsidRPr="00BF773F">
          <w:rPr>
            <w:rStyle w:val="Hipercze"/>
          </w:rPr>
          <w:t>Tabela 12</w:t>
        </w:r>
        <w:r w:rsidR="00CD4059" w:rsidRPr="00BF773F">
          <w:rPr>
            <w:rStyle w:val="Hipercze"/>
          </w:rPr>
          <w:noBreakHyphen/>
          <w:t>15.</w:t>
        </w:r>
        <w:r w:rsidR="00CD4059">
          <w:rPr>
            <w:rFonts w:asciiTheme="minorHAnsi" w:eastAsiaTheme="minorEastAsia" w:hAnsiTheme="minorHAnsi" w:cstheme="minorBidi"/>
            <w:sz w:val="22"/>
            <w:lang w:eastAsia="pl-PL"/>
          </w:rPr>
          <w:tab/>
        </w:r>
        <w:r w:rsidR="00CD4059" w:rsidRPr="00BF773F">
          <w:rPr>
            <w:rStyle w:val="Hipercze"/>
          </w:rPr>
          <w:t>Koszty zestawu działań według rodzajów działań (w tys. zł) – obszar dorzecza Odry</w:t>
        </w:r>
        <w:r w:rsidR="00CD4059">
          <w:rPr>
            <w:webHidden/>
          </w:rPr>
          <w:tab/>
        </w:r>
        <w:r w:rsidR="00CD4059">
          <w:rPr>
            <w:webHidden/>
          </w:rPr>
          <w:fldChar w:fldCharType="begin"/>
        </w:r>
        <w:r w:rsidR="00CD4059">
          <w:rPr>
            <w:webHidden/>
          </w:rPr>
          <w:instrText xml:space="preserve"> PAGEREF _Toc105512884 \h </w:instrText>
        </w:r>
        <w:r w:rsidR="00CD4059">
          <w:rPr>
            <w:webHidden/>
          </w:rPr>
        </w:r>
        <w:r w:rsidR="00CD4059">
          <w:rPr>
            <w:webHidden/>
          </w:rPr>
          <w:fldChar w:fldCharType="separate"/>
        </w:r>
        <w:r w:rsidR="001F774D">
          <w:rPr>
            <w:webHidden/>
          </w:rPr>
          <w:t>292</w:t>
        </w:r>
        <w:r w:rsidR="00CD4059">
          <w:rPr>
            <w:webHidden/>
          </w:rPr>
          <w:fldChar w:fldCharType="end"/>
        </w:r>
      </w:hyperlink>
    </w:p>
    <w:p w14:paraId="6570BFE8" w14:textId="51A93E48" w:rsidR="00CD4059" w:rsidRDefault="009C595A">
      <w:pPr>
        <w:pStyle w:val="Spisilustracji"/>
        <w:rPr>
          <w:rFonts w:asciiTheme="minorHAnsi" w:eastAsiaTheme="minorEastAsia" w:hAnsiTheme="minorHAnsi" w:cstheme="minorBidi"/>
          <w:sz w:val="22"/>
          <w:lang w:eastAsia="pl-PL"/>
        </w:rPr>
      </w:pPr>
      <w:hyperlink w:anchor="_Toc105512885" w:history="1">
        <w:r w:rsidR="00CD4059" w:rsidRPr="00BF773F">
          <w:rPr>
            <w:rStyle w:val="Hipercze"/>
          </w:rPr>
          <w:t>Tabela 12</w:t>
        </w:r>
        <w:r w:rsidR="00CD4059" w:rsidRPr="00BF773F">
          <w:rPr>
            <w:rStyle w:val="Hipercze"/>
          </w:rPr>
          <w:noBreakHyphen/>
          <w:t>16.</w:t>
        </w:r>
        <w:r w:rsidR="00CD4059">
          <w:rPr>
            <w:rFonts w:asciiTheme="minorHAnsi" w:eastAsiaTheme="minorEastAsia" w:hAnsiTheme="minorHAnsi" w:cstheme="minorBidi"/>
            <w:sz w:val="22"/>
            <w:lang w:eastAsia="pl-PL"/>
          </w:rPr>
          <w:tab/>
        </w:r>
        <w:r w:rsidR="00CD4059" w:rsidRPr="00BF773F">
          <w:rPr>
            <w:rStyle w:val="Hipercze"/>
          </w:rPr>
          <w:t>Koszty zestawu działań według kategorii działań (w tys. zł) – obszar dorzecza Odry</w:t>
        </w:r>
        <w:r w:rsidR="00CD4059">
          <w:rPr>
            <w:webHidden/>
          </w:rPr>
          <w:tab/>
        </w:r>
        <w:r w:rsidR="00CD4059">
          <w:rPr>
            <w:webHidden/>
          </w:rPr>
          <w:fldChar w:fldCharType="begin"/>
        </w:r>
        <w:r w:rsidR="00CD4059">
          <w:rPr>
            <w:webHidden/>
          </w:rPr>
          <w:instrText xml:space="preserve"> PAGEREF _Toc105512885 \h </w:instrText>
        </w:r>
        <w:r w:rsidR="00CD4059">
          <w:rPr>
            <w:webHidden/>
          </w:rPr>
        </w:r>
        <w:r w:rsidR="00CD4059">
          <w:rPr>
            <w:webHidden/>
          </w:rPr>
          <w:fldChar w:fldCharType="separate"/>
        </w:r>
        <w:r w:rsidR="001F774D">
          <w:rPr>
            <w:webHidden/>
          </w:rPr>
          <w:t>292</w:t>
        </w:r>
        <w:r w:rsidR="00CD4059">
          <w:rPr>
            <w:webHidden/>
          </w:rPr>
          <w:fldChar w:fldCharType="end"/>
        </w:r>
      </w:hyperlink>
    </w:p>
    <w:p w14:paraId="317F22B0" w14:textId="195F0FFC" w:rsidR="00CD4059" w:rsidRDefault="009C595A">
      <w:pPr>
        <w:pStyle w:val="Spisilustracji"/>
        <w:rPr>
          <w:rFonts w:asciiTheme="minorHAnsi" w:eastAsiaTheme="minorEastAsia" w:hAnsiTheme="minorHAnsi" w:cstheme="minorBidi"/>
          <w:sz w:val="22"/>
          <w:lang w:eastAsia="pl-PL"/>
        </w:rPr>
      </w:pPr>
      <w:hyperlink w:anchor="_Toc105512886" w:history="1">
        <w:r w:rsidR="00CD4059" w:rsidRPr="00BF773F">
          <w:rPr>
            <w:rStyle w:val="Hipercze"/>
          </w:rPr>
          <w:t>Tabela 12</w:t>
        </w:r>
        <w:r w:rsidR="00CD4059" w:rsidRPr="00BF773F">
          <w:rPr>
            <w:rStyle w:val="Hipercze"/>
          </w:rPr>
          <w:noBreakHyphen/>
          <w:t>17.</w:t>
        </w:r>
        <w:r w:rsidR="00CD4059">
          <w:rPr>
            <w:rFonts w:asciiTheme="minorHAnsi" w:eastAsiaTheme="minorEastAsia" w:hAnsiTheme="minorHAnsi" w:cstheme="minorBidi"/>
            <w:sz w:val="22"/>
            <w:lang w:eastAsia="pl-PL"/>
          </w:rPr>
          <w:tab/>
        </w:r>
        <w:r w:rsidR="00CD4059" w:rsidRPr="00BF773F">
          <w:rPr>
            <w:rStyle w:val="Hipercze"/>
          </w:rPr>
          <w:t>Ocena realności wdrożenia działań – obszar dorzecza Odry</w:t>
        </w:r>
        <w:r w:rsidR="00CD4059">
          <w:rPr>
            <w:webHidden/>
          </w:rPr>
          <w:tab/>
        </w:r>
        <w:r w:rsidR="00CD4059">
          <w:rPr>
            <w:webHidden/>
          </w:rPr>
          <w:fldChar w:fldCharType="begin"/>
        </w:r>
        <w:r w:rsidR="00CD4059">
          <w:rPr>
            <w:webHidden/>
          </w:rPr>
          <w:instrText xml:space="preserve"> PAGEREF _Toc105512886 \h </w:instrText>
        </w:r>
        <w:r w:rsidR="00CD4059">
          <w:rPr>
            <w:webHidden/>
          </w:rPr>
        </w:r>
        <w:r w:rsidR="00CD4059">
          <w:rPr>
            <w:webHidden/>
          </w:rPr>
          <w:fldChar w:fldCharType="separate"/>
        </w:r>
        <w:r w:rsidR="001F774D">
          <w:rPr>
            <w:webHidden/>
          </w:rPr>
          <w:t>293</w:t>
        </w:r>
        <w:r w:rsidR="00CD4059">
          <w:rPr>
            <w:webHidden/>
          </w:rPr>
          <w:fldChar w:fldCharType="end"/>
        </w:r>
      </w:hyperlink>
    </w:p>
    <w:p w14:paraId="756299FE" w14:textId="24ECC88A" w:rsidR="00CD4059" w:rsidRDefault="009C595A">
      <w:pPr>
        <w:pStyle w:val="Spisilustracji"/>
        <w:rPr>
          <w:rFonts w:asciiTheme="minorHAnsi" w:eastAsiaTheme="minorEastAsia" w:hAnsiTheme="minorHAnsi" w:cstheme="minorBidi"/>
          <w:sz w:val="22"/>
          <w:lang w:eastAsia="pl-PL"/>
        </w:rPr>
      </w:pPr>
      <w:hyperlink w:anchor="_Toc105512887" w:history="1">
        <w:r w:rsidR="00CD4059" w:rsidRPr="00BF773F">
          <w:rPr>
            <w:rStyle w:val="Hipercze"/>
          </w:rPr>
          <w:t>Tabela 13</w:t>
        </w:r>
        <w:r w:rsidR="00CD4059" w:rsidRPr="00BF773F">
          <w:rPr>
            <w:rStyle w:val="Hipercze"/>
          </w:rPr>
          <w:noBreakHyphen/>
          <w:t>1.</w:t>
        </w:r>
        <w:r w:rsidR="00CD4059">
          <w:rPr>
            <w:rFonts w:asciiTheme="minorHAnsi" w:eastAsiaTheme="minorEastAsia" w:hAnsiTheme="minorHAnsi" w:cstheme="minorBidi"/>
            <w:sz w:val="22"/>
            <w:lang w:eastAsia="pl-PL"/>
          </w:rPr>
          <w:tab/>
        </w:r>
        <w:r w:rsidR="00CD4059" w:rsidRPr="00BF773F">
          <w:rPr>
            <w:rStyle w:val="Hipercze"/>
          </w:rPr>
          <w:t>Działania związane z wdrażaniem zasady zwrotu kosztów usług wodnych ujęte w aPWŚK</w:t>
        </w:r>
        <w:r w:rsidR="00CD4059">
          <w:rPr>
            <w:webHidden/>
          </w:rPr>
          <w:tab/>
        </w:r>
        <w:r w:rsidR="00CD4059">
          <w:rPr>
            <w:webHidden/>
          </w:rPr>
          <w:fldChar w:fldCharType="begin"/>
        </w:r>
        <w:r w:rsidR="00CD4059">
          <w:rPr>
            <w:webHidden/>
          </w:rPr>
          <w:instrText xml:space="preserve"> PAGEREF _Toc105512887 \h </w:instrText>
        </w:r>
        <w:r w:rsidR="00CD4059">
          <w:rPr>
            <w:webHidden/>
          </w:rPr>
        </w:r>
        <w:r w:rsidR="00CD4059">
          <w:rPr>
            <w:webHidden/>
          </w:rPr>
          <w:fldChar w:fldCharType="separate"/>
        </w:r>
        <w:r w:rsidR="001F774D">
          <w:rPr>
            <w:webHidden/>
          </w:rPr>
          <w:t>295</w:t>
        </w:r>
        <w:r w:rsidR="00CD4059">
          <w:rPr>
            <w:webHidden/>
          </w:rPr>
          <w:fldChar w:fldCharType="end"/>
        </w:r>
      </w:hyperlink>
    </w:p>
    <w:p w14:paraId="62BAA03B" w14:textId="0D29CFA1" w:rsidR="00CD4059" w:rsidRDefault="009C595A">
      <w:pPr>
        <w:pStyle w:val="Spisilustracji"/>
        <w:rPr>
          <w:rFonts w:asciiTheme="minorHAnsi" w:eastAsiaTheme="minorEastAsia" w:hAnsiTheme="minorHAnsi" w:cstheme="minorBidi"/>
          <w:sz w:val="22"/>
          <w:lang w:eastAsia="pl-PL"/>
        </w:rPr>
      </w:pPr>
      <w:hyperlink w:anchor="_Toc105512888" w:history="1">
        <w:r w:rsidR="00CD4059" w:rsidRPr="00BF773F">
          <w:rPr>
            <w:rStyle w:val="Hipercze"/>
          </w:rPr>
          <w:t>Tabela 13</w:t>
        </w:r>
        <w:r w:rsidR="00CD4059" w:rsidRPr="00BF773F">
          <w:rPr>
            <w:rStyle w:val="Hipercze"/>
          </w:rPr>
          <w:noBreakHyphen/>
          <w:t>2.</w:t>
        </w:r>
        <w:r w:rsidR="00CD4059">
          <w:rPr>
            <w:rFonts w:asciiTheme="minorHAnsi" w:eastAsiaTheme="minorEastAsia" w:hAnsiTheme="minorHAnsi" w:cstheme="minorBidi"/>
            <w:sz w:val="22"/>
            <w:lang w:eastAsia="pl-PL"/>
          </w:rPr>
          <w:tab/>
        </w:r>
        <w:r w:rsidR="00CD4059" w:rsidRPr="00BF773F">
          <w:rPr>
            <w:rStyle w:val="Hipercze"/>
          </w:rPr>
          <w:t>Liczba złożonych wniosków taryfowych według organu regulacyjnego (RZGW WP)</w:t>
        </w:r>
        <w:r w:rsidR="00CD4059">
          <w:rPr>
            <w:webHidden/>
          </w:rPr>
          <w:tab/>
        </w:r>
        <w:r w:rsidR="00CD4059">
          <w:rPr>
            <w:webHidden/>
          </w:rPr>
          <w:fldChar w:fldCharType="begin"/>
        </w:r>
        <w:r w:rsidR="00CD4059">
          <w:rPr>
            <w:webHidden/>
          </w:rPr>
          <w:instrText xml:space="preserve"> PAGEREF _Toc105512888 \h </w:instrText>
        </w:r>
        <w:r w:rsidR="00CD4059">
          <w:rPr>
            <w:webHidden/>
          </w:rPr>
        </w:r>
        <w:r w:rsidR="00CD4059">
          <w:rPr>
            <w:webHidden/>
          </w:rPr>
          <w:fldChar w:fldCharType="separate"/>
        </w:r>
        <w:r w:rsidR="001F774D">
          <w:rPr>
            <w:webHidden/>
          </w:rPr>
          <w:t>300</w:t>
        </w:r>
        <w:r w:rsidR="00CD4059">
          <w:rPr>
            <w:webHidden/>
          </w:rPr>
          <w:fldChar w:fldCharType="end"/>
        </w:r>
      </w:hyperlink>
    </w:p>
    <w:p w14:paraId="2CA1D41F" w14:textId="5DAB33B8" w:rsidR="00CD4059" w:rsidRDefault="009C595A">
      <w:pPr>
        <w:pStyle w:val="Spisilustracji"/>
        <w:rPr>
          <w:rFonts w:asciiTheme="minorHAnsi" w:eastAsiaTheme="minorEastAsia" w:hAnsiTheme="minorHAnsi" w:cstheme="minorBidi"/>
          <w:sz w:val="22"/>
          <w:lang w:eastAsia="pl-PL"/>
        </w:rPr>
      </w:pPr>
      <w:hyperlink w:anchor="_Toc105512889" w:history="1">
        <w:r w:rsidR="00CD4059" w:rsidRPr="00BF773F">
          <w:rPr>
            <w:rStyle w:val="Hipercze"/>
          </w:rPr>
          <w:t>Tabela 13</w:t>
        </w:r>
        <w:r w:rsidR="00CD4059" w:rsidRPr="00BF773F">
          <w:rPr>
            <w:rStyle w:val="Hipercze"/>
          </w:rPr>
          <w:noBreakHyphen/>
          <w:t>3.</w:t>
        </w:r>
        <w:r w:rsidR="00CD4059">
          <w:rPr>
            <w:rFonts w:asciiTheme="minorHAnsi" w:eastAsiaTheme="minorEastAsia" w:hAnsiTheme="minorHAnsi" w:cstheme="minorBidi"/>
            <w:sz w:val="22"/>
            <w:lang w:eastAsia="pl-PL"/>
          </w:rPr>
          <w:tab/>
        </w:r>
        <w:r w:rsidR="00CD4059" w:rsidRPr="00BF773F">
          <w:rPr>
            <w:rStyle w:val="Hipercze"/>
          </w:rPr>
          <w:t>Liczba wniosków taryfowych złożonych do RZGW WP w Bydgoszczy, Gliwicach, Poznaniu, Szczecinie i Wrocławiu według formy organizacyjnej przedsiębiorstwa wodociągowo-kanalizacyjnego występującego z wnioskiem</w:t>
        </w:r>
        <w:r w:rsidR="00CD4059">
          <w:rPr>
            <w:webHidden/>
          </w:rPr>
          <w:tab/>
        </w:r>
        <w:r w:rsidR="00CD4059">
          <w:rPr>
            <w:webHidden/>
          </w:rPr>
          <w:fldChar w:fldCharType="begin"/>
        </w:r>
        <w:r w:rsidR="00CD4059">
          <w:rPr>
            <w:webHidden/>
          </w:rPr>
          <w:instrText xml:space="preserve"> PAGEREF _Toc105512889 \h </w:instrText>
        </w:r>
        <w:r w:rsidR="00CD4059">
          <w:rPr>
            <w:webHidden/>
          </w:rPr>
        </w:r>
        <w:r w:rsidR="00CD4059">
          <w:rPr>
            <w:webHidden/>
          </w:rPr>
          <w:fldChar w:fldCharType="separate"/>
        </w:r>
        <w:r w:rsidR="001F774D">
          <w:rPr>
            <w:webHidden/>
          </w:rPr>
          <w:t>300</w:t>
        </w:r>
        <w:r w:rsidR="00CD4059">
          <w:rPr>
            <w:webHidden/>
          </w:rPr>
          <w:fldChar w:fldCharType="end"/>
        </w:r>
      </w:hyperlink>
    </w:p>
    <w:p w14:paraId="57537730" w14:textId="6AE2CAD1" w:rsidR="00CD4059" w:rsidRDefault="009C595A">
      <w:pPr>
        <w:pStyle w:val="Spisilustracji"/>
        <w:rPr>
          <w:rFonts w:asciiTheme="minorHAnsi" w:eastAsiaTheme="minorEastAsia" w:hAnsiTheme="minorHAnsi" w:cstheme="minorBidi"/>
          <w:sz w:val="22"/>
          <w:lang w:eastAsia="pl-PL"/>
        </w:rPr>
      </w:pPr>
      <w:hyperlink w:anchor="_Toc105512890" w:history="1">
        <w:r w:rsidR="00CD4059" w:rsidRPr="00BF773F">
          <w:rPr>
            <w:rStyle w:val="Hipercze"/>
            <w:bCs/>
          </w:rPr>
          <w:t>Tabela 13</w:t>
        </w:r>
        <w:r w:rsidR="00CD4059" w:rsidRPr="00BF773F">
          <w:rPr>
            <w:rStyle w:val="Hipercze"/>
            <w:bCs/>
          </w:rPr>
          <w:noBreakHyphen/>
          <w:t>4.</w:t>
        </w:r>
        <w:r w:rsidR="00CD4059">
          <w:rPr>
            <w:rFonts w:asciiTheme="minorHAnsi" w:eastAsiaTheme="minorEastAsia" w:hAnsiTheme="minorHAnsi" w:cstheme="minorBidi"/>
            <w:sz w:val="22"/>
            <w:lang w:eastAsia="pl-PL"/>
          </w:rPr>
          <w:tab/>
        </w:r>
        <w:r w:rsidR="00CD4059" w:rsidRPr="00BF773F">
          <w:rPr>
            <w:rStyle w:val="Hipercze"/>
          </w:rPr>
          <w:t xml:space="preserve">Liczba wniosków taryfowych </w:t>
        </w:r>
        <w:r w:rsidR="00CD4059" w:rsidRPr="00BF773F">
          <w:rPr>
            <w:rStyle w:val="Hipercze"/>
            <w:rFonts w:cs="Calibri"/>
          </w:rPr>
          <w:t xml:space="preserve">złożonych do RZGW WP </w:t>
        </w:r>
        <w:r w:rsidR="00CD4059" w:rsidRPr="00BF773F">
          <w:rPr>
            <w:rStyle w:val="Hipercze"/>
          </w:rPr>
          <w:t>w Bydgoszczy, Gliwicach, Poznaniu, Szczecinie i Wrocławiu według rodzaju działalności przedsiębiorstwa</w:t>
        </w:r>
        <w:r w:rsidR="00CD4059">
          <w:rPr>
            <w:webHidden/>
          </w:rPr>
          <w:tab/>
        </w:r>
        <w:r w:rsidR="00CD4059">
          <w:rPr>
            <w:webHidden/>
          </w:rPr>
          <w:fldChar w:fldCharType="begin"/>
        </w:r>
        <w:r w:rsidR="00CD4059">
          <w:rPr>
            <w:webHidden/>
          </w:rPr>
          <w:instrText xml:space="preserve"> PAGEREF _Toc105512890 \h </w:instrText>
        </w:r>
        <w:r w:rsidR="00CD4059">
          <w:rPr>
            <w:webHidden/>
          </w:rPr>
        </w:r>
        <w:r w:rsidR="00CD4059">
          <w:rPr>
            <w:webHidden/>
          </w:rPr>
          <w:fldChar w:fldCharType="separate"/>
        </w:r>
        <w:r w:rsidR="001F774D">
          <w:rPr>
            <w:webHidden/>
          </w:rPr>
          <w:t>301</w:t>
        </w:r>
        <w:r w:rsidR="00CD4059">
          <w:rPr>
            <w:webHidden/>
          </w:rPr>
          <w:fldChar w:fldCharType="end"/>
        </w:r>
      </w:hyperlink>
    </w:p>
    <w:p w14:paraId="381042AE" w14:textId="7365F7C5" w:rsidR="00CD4059" w:rsidRDefault="009C595A">
      <w:pPr>
        <w:pStyle w:val="Spisilustracji"/>
        <w:rPr>
          <w:rFonts w:asciiTheme="minorHAnsi" w:eastAsiaTheme="minorEastAsia" w:hAnsiTheme="minorHAnsi" w:cstheme="minorBidi"/>
          <w:sz w:val="22"/>
          <w:lang w:eastAsia="pl-PL"/>
        </w:rPr>
      </w:pPr>
      <w:hyperlink w:anchor="_Toc105512891" w:history="1">
        <w:r w:rsidR="00CD4059" w:rsidRPr="00BF773F">
          <w:rPr>
            <w:rStyle w:val="Hipercze"/>
          </w:rPr>
          <w:t>Tabela 13</w:t>
        </w:r>
        <w:r w:rsidR="00CD4059" w:rsidRPr="00BF773F">
          <w:rPr>
            <w:rStyle w:val="Hipercze"/>
          </w:rPr>
          <w:noBreakHyphen/>
          <w:t>5.</w:t>
        </w:r>
        <w:r w:rsidR="00CD4059">
          <w:rPr>
            <w:rFonts w:asciiTheme="minorHAnsi" w:eastAsiaTheme="minorEastAsia" w:hAnsiTheme="minorHAnsi" w:cstheme="minorBidi"/>
            <w:sz w:val="22"/>
            <w:lang w:eastAsia="pl-PL"/>
          </w:rPr>
          <w:tab/>
        </w:r>
        <w:r w:rsidR="00CD4059" w:rsidRPr="00BF773F">
          <w:rPr>
            <w:rStyle w:val="Hipercze"/>
          </w:rPr>
          <w:t>Działania planowane na IV cykl planistyczny (2022–2027).</w:t>
        </w:r>
        <w:r w:rsidR="00CD4059">
          <w:rPr>
            <w:webHidden/>
          </w:rPr>
          <w:tab/>
        </w:r>
        <w:r w:rsidR="00CD4059">
          <w:rPr>
            <w:webHidden/>
          </w:rPr>
          <w:fldChar w:fldCharType="begin"/>
        </w:r>
        <w:r w:rsidR="00CD4059">
          <w:rPr>
            <w:webHidden/>
          </w:rPr>
          <w:instrText xml:space="preserve"> PAGEREF _Toc105512891 \h </w:instrText>
        </w:r>
        <w:r w:rsidR="00CD4059">
          <w:rPr>
            <w:webHidden/>
          </w:rPr>
        </w:r>
        <w:r w:rsidR="00CD4059">
          <w:rPr>
            <w:webHidden/>
          </w:rPr>
          <w:fldChar w:fldCharType="separate"/>
        </w:r>
        <w:r w:rsidR="001F774D">
          <w:rPr>
            <w:webHidden/>
          </w:rPr>
          <w:t>302</w:t>
        </w:r>
        <w:r w:rsidR="00CD4059">
          <w:rPr>
            <w:webHidden/>
          </w:rPr>
          <w:fldChar w:fldCharType="end"/>
        </w:r>
      </w:hyperlink>
    </w:p>
    <w:p w14:paraId="62DAE9AC" w14:textId="1BE72840" w:rsidR="00CD4059" w:rsidRDefault="009C595A">
      <w:pPr>
        <w:pStyle w:val="Spisilustracji"/>
        <w:rPr>
          <w:rFonts w:asciiTheme="minorHAnsi" w:eastAsiaTheme="minorEastAsia" w:hAnsiTheme="minorHAnsi" w:cstheme="minorBidi"/>
          <w:sz w:val="22"/>
          <w:lang w:eastAsia="pl-PL"/>
        </w:rPr>
      </w:pPr>
      <w:hyperlink w:anchor="_Toc105512892" w:history="1">
        <w:r w:rsidR="00CD4059" w:rsidRPr="00BF773F">
          <w:rPr>
            <w:rStyle w:val="Hipercze"/>
          </w:rPr>
          <w:t>Tabela 13</w:t>
        </w:r>
        <w:r w:rsidR="00CD4059" w:rsidRPr="00BF773F">
          <w:rPr>
            <w:rStyle w:val="Hipercze"/>
          </w:rPr>
          <w:noBreakHyphen/>
          <w:t>6.</w:t>
        </w:r>
        <w:r w:rsidR="00CD4059">
          <w:rPr>
            <w:rFonts w:asciiTheme="minorHAnsi" w:eastAsiaTheme="minorEastAsia" w:hAnsiTheme="minorHAnsi" w:cstheme="minorBidi"/>
            <w:sz w:val="22"/>
            <w:lang w:eastAsia="pl-PL"/>
          </w:rPr>
          <w:tab/>
        </w:r>
        <w:r w:rsidR="00CD4059" w:rsidRPr="00BF773F">
          <w:rPr>
            <w:rStyle w:val="Hipercze"/>
          </w:rPr>
          <w:t>Działania związane z realizacją celów środowiskowych i wymagań związanych z zaopatrzeniem w wodę ujęte w aPWŚK</w:t>
        </w:r>
        <w:r w:rsidR="00CD4059">
          <w:rPr>
            <w:webHidden/>
          </w:rPr>
          <w:tab/>
        </w:r>
        <w:r w:rsidR="00CD4059">
          <w:rPr>
            <w:webHidden/>
          </w:rPr>
          <w:fldChar w:fldCharType="begin"/>
        </w:r>
        <w:r w:rsidR="00CD4059">
          <w:rPr>
            <w:webHidden/>
          </w:rPr>
          <w:instrText xml:space="preserve"> PAGEREF _Toc105512892 \h </w:instrText>
        </w:r>
        <w:r w:rsidR="00CD4059">
          <w:rPr>
            <w:webHidden/>
          </w:rPr>
        </w:r>
        <w:r w:rsidR="00CD4059">
          <w:rPr>
            <w:webHidden/>
          </w:rPr>
          <w:fldChar w:fldCharType="separate"/>
        </w:r>
        <w:r w:rsidR="001F774D">
          <w:rPr>
            <w:webHidden/>
          </w:rPr>
          <w:t>302</w:t>
        </w:r>
        <w:r w:rsidR="00CD4059">
          <w:rPr>
            <w:webHidden/>
          </w:rPr>
          <w:fldChar w:fldCharType="end"/>
        </w:r>
      </w:hyperlink>
    </w:p>
    <w:p w14:paraId="03434ADF" w14:textId="444DFE56" w:rsidR="00CD4059" w:rsidRDefault="009C595A">
      <w:pPr>
        <w:pStyle w:val="Spisilustracji"/>
        <w:rPr>
          <w:rFonts w:asciiTheme="minorHAnsi" w:eastAsiaTheme="minorEastAsia" w:hAnsiTheme="minorHAnsi" w:cstheme="minorBidi"/>
          <w:sz w:val="22"/>
          <w:lang w:eastAsia="pl-PL"/>
        </w:rPr>
      </w:pPr>
      <w:hyperlink w:anchor="_Toc105512893" w:history="1">
        <w:r w:rsidR="00CD4059" w:rsidRPr="00BF773F">
          <w:rPr>
            <w:rStyle w:val="Hipercze"/>
          </w:rPr>
          <w:t>Tabela 13</w:t>
        </w:r>
        <w:r w:rsidR="00CD4059" w:rsidRPr="00BF773F">
          <w:rPr>
            <w:rStyle w:val="Hipercze"/>
          </w:rPr>
          <w:noBreakHyphen/>
          <w:t>7.</w:t>
        </w:r>
        <w:r w:rsidR="00CD4059">
          <w:rPr>
            <w:rFonts w:asciiTheme="minorHAnsi" w:eastAsiaTheme="minorEastAsia" w:hAnsiTheme="minorHAnsi" w:cstheme="minorBidi"/>
            <w:sz w:val="22"/>
            <w:lang w:eastAsia="pl-PL"/>
          </w:rPr>
          <w:tab/>
        </w:r>
        <w:r w:rsidR="00CD4059" w:rsidRPr="00BF773F">
          <w:rPr>
            <w:rStyle w:val="Hipercze"/>
          </w:rPr>
          <w:t>Zmiany w kompetencjach organów właściwych do spraw czynności podejmowanych w przypadku możliwości nieosiągnięcia celów środowiskowych</w:t>
        </w:r>
        <w:r w:rsidR="00CD4059">
          <w:rPr>
            <w:webHidden/>
          </w:rPr>
          <w:tab/>
        </w:r>
        <w:r w:rsidR="00CD4059">
          <w:rPr>
            <w:webHidden/>
          </w:rPr>
          <w:fldChar w:fldCharType="begin"/>
        </w:r>
        <w:r w:rsidR="00CD4059">
          <w:rPr>
            <w:webHidden/>
          </w:rPr>
          <w:instrText xml:space="preserve"> PAGEREF _Toc105512893 \h </w:instrText>
        </w:r>
        <w:r w:rsidR="00CD4059">
          <w:rPr>
            <w:webHidden/>
          </w:rPr>
        </w:r>
        <w:r w:rsidR="00CD4059">
          <w:rPr>
            <w:webHidden/>
          </w:rPr>
          <w:fldChar w:fldCharType="separate"/>
        </w:r>
        <w:r w:rsidR="001F774D">
          <w:rPr>
            <w:webHidden/>
          </w:rPr>
          <w:t>304</w:t>
        </w:r>
        <w:r w:rsidR="00CD4059">
          <w:rPr>
            <w:webHidden/>
          </w:rPr>
          <w:fldChar w:fldCharType="end"/>
        </w:r>
      </w:hyperlink>
    </w:p>
    <w:p w14:paraId="479C0941" w14:textId="354DF190" w:rsidR="00CD4059" w:rsidRDefault="009C595A">
      <w:pPr>
        <w:pStyle w:val="Spisilustracji"/>
        <w:rPr>
          <w:rFonts w:asciiTheme="minorHAnsi" w:eastAsiaTheme="minorEastAsia" w:hAnsiTheme="minorHAnsi" w:cstheme="minorBidi"/>
          <w:sz w:val="22"/>
          <w:lang w:eastAsia="pl-PL"/>
        </w:rPr>
      </w:pPr>
      <w:hyperlink w:anchor="_Toc105512894" w:history="1">
        <w:r w:rsidR="00CD4059" w:rsidRPr="00BF773F">
          <w:rPr>
            <w:rStyle w:val="Hipercze"/>
          </w:rPr>
          <w:t>Tabela 13</w:t>
        </w:r>
        <w:r w:rsidR="00CD4059" w:rsidRPr="00BF773F">
          <w:rPr>
            <w:rStyle w:val="Hipercze"/>
          </w:rPr>
          <w:noBreakHyphen/>
          <w:t>8.</w:t>
        </w:r>
        <w:r w:rsidR="00CD4059">
          <w:rPr>
            <w:rFonts w:asciiTheme="minorHAnsi" w:eastAsiaTheme="minorEastAsia" w:hAnsiTheme="minorHAnsi" w:cstheme="minorBidi"/>
            <w:sz w:val="22"/>
            <w:lang w:eastAsia="pl-PL"/>
          </w:rPr>
          <w:tab/>
        </w:r>
        <w:r w:rsidR="00CD4059" w:rsidRPr="00BF773F">
          <w:rPr>
            <w:rStyle w:val="Hipercze"/>
          </w:rPr>
          <w:t>Proponowane działania krajowe, wspólne dla wszystkich jcw – obszar dorzecza – obszar dorzecza Odry</w:t>
        </w:r>
        <w:r w:rsidR="00CD4059">
          <w:rPr>
            <w:webHidden/>
          </w:rPr>
          <w:tab/>
        </w:r>
        <w:r w:rsidR="00CD4059">
          <w:rPr>
            <w:webHidden/>
          </w:rPr>
          <w:fldChar w:fldCharType="begin"/>
        </w:r>
        <w:r w:rsidR="00CD4059">
          <w:rPr>
            <w:webHidden/>
          </w:rPr>
          <w:instrText xml:space="preserve"> PAGEREF _Toc105512894 \h </w:instrText>
        </w:r>
        <w:r w:rsidR="00CD4059">
          <w:rPr>
            <w:webHidden/>
          </w:rPr>
        </w:r>
        <w:r w:rsidR="00CD4059">
          <w:rPr>
            <w:webHidden/>
          </w:rPr>
          <w:fldChar w:fldCharType="separate"/>
        </w:r>
        <w:r w:rsidR="001F774D">
          <w:rPr>
            <w:webHidden/>
          </w:rPr>
          <w:t>305</w:t>
        </w:r>
        <w:r w:rsidR="00CD4059">
          <w:rPr>
            <w:webHidden/>
          </w:rPr>
          <w:fldChar w:fldCharType="end"/>
        </w:r>
      </w:hyperlink>
    </w:p>
    <w:p w14:paraId="481BDDF4" w14:textId="7D2463C6" w:rsidR="00CD4059" w:rsidRDefault="009C595A">
      <w:pPr>
        <w:pStyle w:val="Spisilustracji"/>
        <w:rPr>
          <w:rFonts w:asciiTheme="minorHAnsi" w:eastAsiaTheme="minorEastAsia" w:hAnsiTheme="minorHAnsi" w:cstheme="minorBidi"/>
          <w:sz w:val="22"/>
          <w:lang w:eastAsia="pl-PL"/>
        </w:rPr>
      </w:pPr>
      <w:hyperlink w:anchor="_Toc105512895" w:history="1">
        <w:r w:rsidR="00CD4059" w:rsidRPr="00BF773F">
          <w:rPr>
            <w:rStyle w:val="Hipercze"/>
          </w:rPr>
          <w:t>Tabela 13</w:t>
        </w:r>
        <w:r w:rsidR="00CD4059" w:rsidRPr="00BF773F">
          <w:rPr>
            <w:rStyle w:val="Hipercze"/>
          </w:rPr>
          <w:noBreakHyphen/>
          <w:t>9.</w:t>
        </w:r>
        <w:r w:rsidR="00CD4059">
          <w:rPr>
            <w:rFonts w:asciiTheme="minorHAnsi" w:eastAsiaTheme="minorEastAsia" w:hAnsiTheme="minorHAnsi" w:cstheme="minorBidi"/>
            <w:sz w:val="22"/>
            <w:lang w:eastAsia="pl-PL"/>
          </w:rPr>
          <w:tab/>
        </w:r>
        <w:r w:rsidR="00CD4059" w:rsidRPr="00BF773F">
          <w:rPr>
            <w:rStyle w:val="Hipercze"/>
          </w:rPr>
          <w:t>Proponowane działania uzupełniające dla JCWPd</w:t>
        </w:r>
        <w:r w:rsidR="00CD4059">
          <w:rPr>
            <w:webHidden/>
          </w:rPr>
          <w:tab/>
        </w:r>
        <w:r w:rsidR="00CD4059">
          <w:rPr>
            <w:webHidden/>
          </w:rPr>
          <w:fldChar w:fldCharType="begin"/>
        </w:r>
        <w:r w:rsidR="00CD4059">
          <w:rPr>
            <w:webHidden/>
          </w:rPr>
          <w:instrText xml:space="preserve"> PAGEREF _Toc105512895 \h </w:instrText>
        </w:r>
        <w:r w:rsidR="00CD4059">
          <w:rPr>
            <w:webHidden/>
          </w:rPr>
        </w:r>
        <w:r w:rsidR="00CD4059">
          <w:rPr>
            <w:webHidden/>
          </w:rPr>
          <w:fldChar w:fldCharType="separate"/>
        </w:r>
        <w:r w:rsidR="001F774D">
          <w:rPr>
            <w:webHidden/>
          </w:rPr>
          <w:t>306</w:t>
        </w:r>
        <w:r w:rsidR="00CD4059">
          <w:rPr>
            <w:webHidden/>
          </w:rPr>
          <w:fldChar w:fldCharType="end"/>
        </w:r>
      </w:hyperlink>
    </w:p>
    <w:p w14:paraId="701EB43A" w14:textId="32843600" w:rsidR="00CD4059" w:rsidRDefault="009C595A">
      <w:pPr>
        <w:pStyle w:val="Spisilustracji"/>
        <w:rPr>
          <w:rFonts w:asciiTheme="minorHAnsi" w:eastAsiaTheme="minorEastAsia" w:hAnsiTheme="minorHAnsi" w:cstheme="minorBidi"/>
          <w:sz w:val="22"/>
          <w:lang w:eastAsia="pl-PL"/>
        </w:rPr>
      </w:pPr>
      <w:hyperlink w:anchor="_Toc105512896" w:history="1">
        <w:r w:rsidR="00CD4059" w:rsidRPr="00BF773F">
          <w:rPr>
            <w:rStyle w:val="Hipercze"/>
          </w:rPr>
          <w:t>Tabela 13</w:t>
        </w:r>
        <w:r w:rsidR="00CD4059" w:rsidRPr="00BF773F">
          <w:rPr>
            <w:rStyle w:val="Hipercze"/>
          </w:rPr>
          <w:noBreakHyphen/>
          <w:t>10.</w:t>
        </w:r>
        <w:r w:rsidR="00CD4059">
          <w:rPr>
            <w:rFonts w:asciiTheme="minorHAnsi" w:eastAsiaTheme="minorEastAsia" w:hAnsiTheme="minorHAnsi" w:cstheme="minorBidi"/>
            <w:sz w:val="22"/>
            <w:lang w:eastAsia="pl-PL"/>
          </w:rPr>
          <w:tab/>
        </w:r>
        <w:r w:rsidR="00CD4059" w:rsidRPr="00BF773F">
          <w:rPr>
            <w:rStyle w:val="Hipercze"/>
          </w:rPr>
          <w:t>Zestawienie liczby pozwoleń wodnoprawnych wydanych do roku 2018 i obowiązujących w okresie 2022–2027</w:t>
        </w:r>
        <w:r w:rsidR="00CD4059">
          <w:rPr>
            <w:webHidden/>
          </w:rPr>
          <w:tab/>
        </w:r>
        <w:r w:rsidR="00CD4059">
          <w:rPr>
            <w:webHidden/>
          </w:rPr>
          <w:fldChar w:fldCharType="begin"/>
        </w:r>
        <w:r w:rsidR="00CD4059">
          <w:rPr>
            <w:webHidden/>
          </w:rPr>
          <w:instrText xml:space="preserve"> PAGEREF _Toc105512896 \h </w:instrText>
        </w:r>
        <w:r w:rsidR="00CD4059">
          <w:rPr>
            <w:webHidden/>
          </w:rPr>
        </w:r>
        <w:r w:rsidR="00CD4059">
          <w:rPr>
            <w:webHidden/>
          </w:rPr>
          <w:fldChar w:fldCharType="separate"/>
        </w:r>
        <w:r w:rsidR="001F774D">
          <w:rPr>
            <w:webHidden/>
          </w:rPr>
          <w:t>311</w:t>
        </w:r>
        <w:r w:rsidR="00CD4059">
          <w:rPr>
            <w:webHidden/>
          </w:rPr>
          <w:fldChar w:fldCharType="end"/>
        </w:r>
      </w:hyperlink>
    </w:p>
    <w:p w14:paraId="64F5060F" w14:textId="4DE4F6BF" w:rsidR="00CD4059" w:rsidRDefault="009C595A">
      <w:pPr>
        <w:pStyle w:val="Spisilustracji"/>
        <w:rPr>
          <w:rFonts w:asciiTheme="minorHAnsi" w:eastAsiaTheme="minorEastAsia" w:hAnsiTheme="minorHAnsi" w:cstheme="minorBidi"/>
          <w:sz w:val="22"/>
          <w:lang w:eastAsia="pl-PL"/>
        </w:rPr>
      </w:pPr>
      <w:hyperlink w:anchor="_Toc105512897" w:history="1">
        <w:r w:rsidR="00CD4059" w:rsidRPr="00BF773F">
          <w:rPr>
            <w:rStyle w:val="Hipercze"/>
          </w:rPr>
          <w:t>Tabela 13</w:t>
        </w:r>
        <w:r w:rsidR="00CD4059" w:rsidRPr="00BF773F">
          <w:rPr>
            <w:rStyle w:val="Hipercze"/>
          </w:rPr>
          <w:noBreakHyphen/>
          <w:t>11.</w:t>
        </w:r>
        <w:r w:rsidR="00CD4059">
          <w:rPr>
            <w:rFonts w:asciiTheme="minorHAnsi" w:eastAsiaTheme="minorEastAsia" w:hAnsiTheme="minorHAnsi" w:cstheme="minorBidi"/>
            <w:sz w:val="22"/>
            <w:lang w:eastAsia="pl-PL"/>
          </w:rPr>
          <w:tab/>
        </w:r>
        <w:r w:rsidR="00CD4059" w:rsidRPr="00BF773F">
          <w:rPr>
            <w:rStyle w:val="Hipercze"/>
          </w:rPr>
          <w:t>Zestawienie liczby pozwoleń wodnoprawnych udzielonych w okresie 2018–2019 na obszarze dorzecza Odry z podziałem na RZGW WP</w:t>
        </w:r>
        <w:r w:rsidR="00CD4059">
          <w:rPr>
            <w:webHidden/>
          </w:rPr>
          <w:tab/>
        </w:r>
        <w:r w:rsidR="00CD4059">
          <w:rPr>
            <w:webHidden/>
          </w:rPr>
          <w:fldChar w:fldCharType="begin"/>
        </w:r>
        <w:r w:rsidR="00CD4059">
          <w:rPr>
            <w:webHidden/>
          </w:rPr>
          <w:instrText xml:space="preserve"> PAGEREF _Toc105512897 \h </w:instrText>
        </w:r>
        <w:r w:rsidR="00CD4059">
          <w:rPr>
            <w:webHidden/>
          </w:rPr>
        </w:r>
        <w:r w:rsidR="00CD4059">
          <w:rPr>
            <w:webHidden/>
          </w:rPr>
          <w:fldChar w:fldCharType="separate"/>
        </w:r>
        <w:r w:rsidR="001F774D">
          <w:rPr>
            <w:webHidden/>
          </w:rPr>
          <w:t>313</w:t>
        </w:r>
        <w:r w:rsidR="00CD4059">
          <w:rPr>
            <w:webHidden/>
          </w:rPr>
          <w:fldChar w:fldCharType="end"/>
        </w:r>
      </w:hyperlink>
    </w:p>
    <w:p w14:paraId="26F66A5B" w14:textId="27B7F1DB" w:rsidR="00CD4059" w:rsidRDefault="009C595A">
      <w:pPr>
        <w:pStyle w:val="Spisilustracji"/>
        <w:rPr>
          <w:rFonts w:asciiTheme="minorHAnsi" w:eastAsiaTheme="minorEastAsia" w:hAnsiTheme="minorHAnsi" w:cstheme="minorBidi"/>
          <w:sz w:val="22"/>
          <w:lang w:eastAsia="pl-PL"/>
        </w:rPr>
      </w:pPr>
      <w:hyperlink w:anchor="_Toc105512898" w:history="1">
        <w:r w:rsidR="00CD4059" w:rsidRPr="00BF773F">
          <w:rPr>
            <w:rStyle w:val="Hipercze"/>
          </w:rPr>
          <w:t>Tabela 13</w:t>
        </w:r>
        <w:r w:rsidR="00CD4059" w:rsidRPr="00BF773F">
          <w:rPr>
            <w:rStyle w:val="Hipercze"/>
          </w:rPr>
          <w:noBreakHyphen/>
          <w:t>12.</w:t>
        </w:r>
        <w:r w:rsidR="00CD4059">
          <w:rPr>
            <w:rFonts w:asciiTheme="minorHAnsi" w:eastAsiaTheme="minorEastAsia" w:hAnsiTheme="minorHAnsi" w:cstheme="minorBidi"/>
            <w:sz w:val="22"/>
            <w:lang w:eastAsia="pl-PL"/>
          </w:rPr>
          <w:tab/>
        </w:r>
        <w:r w:rsidR="00CD4059" w:rsidRPr="00BF773F">
          <w:rPr>
            <w:rStyle w:val="Hipercze"/>
          </w:rPr>
          <w:t>Wielkość zrzutu w podziale na rodzaj zrzutu na obszarze dorzecza Odry</w:t>
        </w:r>
        <w:r w:rsidR="00CD4059">
          <w:rPr>
            <w:webHidden/>
          </w:rPr>
          <w:tab/>
        </w:r>
        <w:r w:rsidR="00CD4059">
          <w:rPr>
            <w:webHidden/>
          </w:rPr>
          <w:fldChar w:fldCharType="begin"/>
        </w:r>
        <w:r w:rsidR="00CD4059">
          <w:rPr>
            <w:webHidden/>
          </w:rPr>
          <w:instrText xml:space="preserve"> PAGEREF _Toc105512898 \h </w:instrText>
        </w:r>
        <w:r w:rsidR="00CD4059">
          <w:rPr>
            <w:webHidden/>
          </w:rPr>
        </w:r>
        <w:r w:rsidR="00CD4059">
          <w:rPr>
            <w:webHidden/>
          </w:rPr>
          <w:fldChar w:fldCharType="separate"/>
        </w:r>
        <w:r w:rsidR="001F774D">
          <w:rPr>
            <w:webHidden/>
          </w:rPr>
          <w:t>314</w:t>
        </w:r>
        <w:r w:rsidR="00CD4059">
          <w:rPr>
            <w:webHidden/>
          </w:rPr>
          <w:fldChar w:fldCharType="end"/>
        </w:r>
      </w:hyperlink>
    </w:p>
    <w:p w14:paraId="565AF707" w14:textId="345A8338" w:rsidR="00CD4059" w:rsidRDefault="009C595A">
      <w:pPr>
        <w:pStyle w:val="Spisilustracji"/>
        <w:rPr>
          <w:rFonts w:asciiTheme="minorHAnsi" w:eastAsiaTheme="minorEastAsia" w:hAnsiTheme="minorHAnsi" w:cstheme="minorBidi"/>
          <w:sz w:val="22"/>
          <w:lang w:eastAsia="pl-PL"/>
        </w:rPr>
      </w:pPr>
      <w:hyperlink w:anchor="_Toc105512899" w:history="1">
        <w:r w:rsidR="00CD4059" w:rsidRPr="00BF773F">
          <w:rPr>
            <w:rStyle w:val="Hipercze"/>
          </w:rPr>
          <w:t>Tabela 13</w:t>
        </w:r>
        <w:r w:rsidR="00CD4059" w:rsidRPr="00BF773F">
          <w:rPr>
            <w:rStyle w:val="Hipercze"/>
          </w:rPr>
          <w:noBreakHyphen/>
          <w:t>13.</w:t>
        </w:r>
        <w:r w:rsidR="00CD4059">
          <w:rPr>
            <w:rFonts w:asciiTheme="minorHAnsi" w:eastAsiaTheme="minorEastAsia" w:hAnsiTheme="minorHAnsi" w:cstheme="minorBidi"/>
            <w:sz w:val="22"/>
            <w:lang w:eastAsia="pl-PL"/>
          </w:rPr>
          <w:tab/>
        </w:r>
        <w:r w:rsidR="00CD4059" w:rsidRPr="00BF773F">
          <w:rPr>
            <w:rStyle w:val="Hipercze"/>
          </w:rPr>
          <w:t>Wybrane działania z Katalogu działań krajowych aPWŚK (2016), znaczące dla poprawy stanu jakościowego JCWP</w:t>
        </w:r>
        <w:r w:rsidR="00CD4059">
          <w:rPr>
            <w:webHidden/>
          </w:rPr>
          <w:tab/>
        </w:r>
        <w:r w:rsidR="00CD4059">
          <w:rPr>
            <w:webHidden/>
          </w:rPr>
          <w:fldChar w:fldCharType="begin"/>
        </w:r>
        <w:r w:rsidR="00CD4059">
          <w:rPr>
            <w:webHidden/>
          </w:rPr>
          <w:instrText xml:space="preserve"> PAGEREF _Toc105512899 \h </w:instrText>
        </w:r>
        <w:r w:rsidR="00CD4059">
          <w:rPr>
            <w:webHidden/>
          </w:rPr>
        </w:r>
        <w:r w:rsidR="00CD4059">
          <w:rPr>
            <w:webHidden/>
          </w:rPr>
          <w:fldChar w:fldCharType="separate"/>
        </w:r>
        <w:r w:rsidR="001F774D">
          <w:rPr>
            <w:webHidden/>
          </w:rPr>
          <w:t>316</w:t>
        </w:r>
        <w:r w:rsidR="00CD4059">
          <w:rPr>
            <w:webHidden/>
          </w:rPr>
          <w:fldChar w:fldCharType="end"/>
        </w:r>
      </w:hyperlink>
    </w:p>
    <w:p w14:paraId="7AC3BCCD" w14:textId="31E55346" w:rsidR="00CD4059" w:rsidRDefault="009C595A">
      <w:pPr>
        <w:pStyle w:val="Spisilustracji"/>
        <w:rPr>
          <w:rFonts w:asciiTheme="minorHAnsi" w:eastAsiaTheme="minorEastAsia" w:hAnsiTheme="minorHAnsi" w:cstheme="minorBidi"/>
          <w:sz w:val="22"/>
          <w:lang w:eastAsia="pl-PL"/>
        </w:rPr>
      </w:pPr>
      <w:hyperlink w:anchor="_Toc105512900" w:history="1">
        <w:r w:rsidR="00CD4059" w:rsidRPr="00BF773F">
          <w:rPr>
            <w:rStyle w:val="Hipercze"/>
          </w:rPr>
          <w:t>Tabela 13</w:t>
        </w:r>
        <w:r w:rsidR="00CD4059" w:rsidRPr="00BF773F">
          <w:rPr>
            <w:rStyle w:val="Hipercze"/>
          </w:rPr>
          <w:noBreakHyphen/>
          <w:t>14.</w:t>
        </w:r>
        <w:r w:rsidR="00CD4059">
          <w:rPr>
            <w:rFonts w:asciiTheme="minorHAnsi" w:eastAsiaTheme="minorEastAsia" w:hAnsiTheme="minorHAnsi" w:cstheme="minorBidi"/>
            <w:sz w:val="22"/>
            <w:lang w:eastAsia="pl-PL"/>
          </w:rPr>
          <w:tab/>
        </w:r>
        <w:r w:rsidR="00CD4059" w:rsidRPr="00BF773F">
          <w:rPr>
            <w:rStyle w:val="Hipercze"/>
          </w:rPr>
          <w:t>Podsumowanie liczby działań zrealizowanych i zaawansowanych w realizacji, mających znaczenie dla poprawy stanu jakościowego JCWP – wszystkie obszary dorzeczy i kategorie wód</w:t>
        </w:r>
        <w:r w:rsidR="00CD4059">
          <w:rPr>
            <w:webHidden/>
          </w:rPr>
          <w:tab/>
        </w:r>
        <w:r w:rsidR="00CD4059">
          <w:rPr>
            <w:webHidden/>
          </w:rPr>
          <w:fldChar w:fldCharType="begin"/>
        </w:r>
        <w:r w:rsidR="00CD4059">
          <w:rPr>
            <w:webHidden/>
          </w:rPr>
          <w:instrText xml:space="preserve"> PAGEREF _Toc105512900 \h </w:instrText>
        </w:r>
        <w:r w:rsidR="00CD4059">
          <w:rPr>
            <w:webHidden/>
          </w:rPr>
        </w:r>
        <w:r w:rsidR="00CD4059">
          <w:rPr>
            <w:webHidden/>
          </w:rPr>
          <w:fldChar w:fldCharType="separate"/>
        </w:r>
        <w:r w:rsidR="001F774D">
          <w:rPr>
            <w:webHidden/>
          </w:rPr>
          <w:t>320</w:t>
        </w:r>
        <w:r w:rsidR="00CD4059">
          <w:rPr>
            <w:webHidden/>
          </w:rPr>
          <w:fldChar w:fldCharType="end"/>
        </w:r>
      </w:hyperlink>
    </w:p>
    <w:p w14:paraId="422F0EF1" w14:textId="23FDF272" w:rsidR="00CD4059" w:rsidRDefault="009C595A">
      <w:pPr>
        <w:pStyle w:val="Spisilustracji"/>
        <w:rPr>
          <w:rFonts w:asciiTheme="minorHAnsi" w:eastAsiaTheme="minorEastAsia" w:hAnsiTheme="minorHAnsi" w:cstheme="minorBidi"/>
          <w:sz w:val="22"/>
          <w:lang w:eastAsia="pl-PL"/>
        </w:rPr>
      </w:pPr>
      <w:hyperlink w:anchor="_Toc105512901" w:history="1">
        <w:r w:rsidR="00CD4059" w:rsidRPr="00BF773F">
          <w:rPr>
            <w:rStyle w:val="Hipercze"/>
          </w:rPr>
          <w:t>Tabela 13</w:t>
        </w:r>
        <w:r w:rsidR="00CD4059" w:rsidRPr="00BF773F">
          <w:rPr>
            <w:rStyle w:val="Hipercze"/>
          </w:rPr>
          <w:noBreakHyphen/>
          <w:t>15.</w:t>
        </w:r>
        <w:r w:rsidR="00CD4059">
          <w:rPr>
            <w:rFonts w:asciiTheme="minorHAnsi" w:eastAsiaTheme="minorEastAsia" w:hAnsiTheme="minorHAnsi" w:cstheme="minorBidi"/>
            <w:sz w:val="22"/>
            <w:lang w:eastAsia="pl-PL"/>
          </w:rPr>
          <w:tab/>
        </w:r>
        <w:r w:rsidR="00CD4059" w:rsidRPr="00BF773F">
          <w:rPr>
            <w:rStyle w:val="Hipercze"/>
          </w:rPr>
          <w:t>Podsumowanie liczby działań zrealizowanych i zaawansowanych w realizacji, mających znaczenie dla poprawy stanu jakościowego JCWP – obszar dorzecza Odry</w:t>
        </w:r>
        <w:r w:rsidR="00CD4059">
          <w:rPr>
            <w:webHidden/>
          </w:rPr>
          <w:tab/>
        </w:r>
        <w:r w:rsidR="00CD4059">
          <w:rPr>
            <w:webHidden/>
          </w:rPr>
          <w:fldChar w:fldCharType="begin"/>
        </w:r>
        <w:r w:rsidR="00CD4059">
          <w:rPr>
            <w:webHidden/>
          </w:rPr>
          <w:instrText xml:space="preserve"> PAGEREF _Toc105512901 \h </w:instrText>
        </w:r>
        <w:r w:rsidR="00CD4059">
          <w:rPr>
            <w:webHidden/>
          </w:rPr>
        </w:r>
        <w:r w:rsidR="00CD4059">
          <w:rPr>
            <w:webHidden/>
          </w:rPr>
          <w:fldChar w:fldCharType="separate"/>
        </w:r>
        <w:r w:rsidR="001F774D">
          <w:rPr>
            <w:webHidden/>
          </w:rPr>
          <w:t>321</w:t>
        </w:r>
        <w:r w:rsidR="00CD4059">
          <w:rPr>
            <w:webHidden/>
          </w:rPr>
          <w:fldChar w:fldCharType="end"/>
        </w:r>
      </w:hyperlink>
    </w:p>
    <w:p w14:paraId="225D00CE" w14:textId="15530024" w:rsidR="00CD4059" w:rsidRDefault="009C595A">
      <w:pPr>
        <w:pStyle w:val="Spisilustracji"/>
        <w:rPr>
          <w:rFonts w:asciiTheme="minorHAnsi" w:eastAsiaTheme="minorEastAsia" w:hAnsiTheme="minorHAnsi" w:cstheme="minorBidi"/>
          <w:sz w:val="22"/>
          <w:lang w:eastAsia="pl-PL"/>
        </w:rPr>
      </w:pPr>
      <w:hyperlink w:anchor="_Toc105512902" w:history="1">
        <w:r w:rsidR="00CD4059" w:rsidRPr="00BF773F">
          <w:rPr>
            <w:rStyle w:val="Hipercze"/>
          </w:rPr>
          <w:t>Tabela 13</w:t>
        </w:r>
        <w:r w:rsidR="00CD4059" w:rsidRPr="00BF773F">
          <w:rPr>
            <w:rStyle w:val="Hipercze"/>
          </w:rPr>
          <w:noBreakHyphen/>
          <w:t>16.</w:t>
        </w:r>
        <w:r w:rsidR="00CD4059">
          <w:rPr>
            <w:rFonts w:asciiTheme="minorHAnsi" w:eastAsiaTheme="minorEastAsia" w:hAnsiTheme="minorHAnsi" w:cstheme="minorBidi"/>
            <w:sz w:val="22"/>
            <w:lang w:eastAsia="pl-PL"/>
          </w:rPr>
          <w:tab/>
        </w:r>
        <w:r w:rsidR="00CD4059" w:rsidRPr="00BF773F">
          <w:rPr>
            <w:rStyle w:val="Hipercze"/>
          </w:rPr>
          <w:t>Skuteczność działań dla kategorii JCWP rzecznych w zakresie oceny substancji priorytetowych w wodzie – analiza statystyczna obejmująca wszystkie obszary dorzeczy</w:t>
        </w:r>
        <w:r w:rsidR="00CD4059">
          <w:rPr>
            <w:webHidden/>
          </w:rPr>
          <w:tab/>
        </w:r>
        <w:r w:rsidR="00CD4059">
          <w:rPr>
            <w:webHidden/>
          </w:rPr>
          <w:fldChar w:fldCharType="begin"/>
        </w:r>
        <w:r w:rsidR="00CD4059">
          <w:rPr>
            <w:webHidden/>
          </w:rPr>
          <w:instrText xml:space="preserve"> PAGEREF _Toc105512902 \h </w:instrText>
        </w:r>
        <w:r w:rsidR="00CD4059">
          <w:rPr>
            <w:webHidden/>
          </w:rPr>
        </w:r>
        <w:r w:rsidR="00CD4059">
          <w:rPr>
            <w:webHidden/>
          </w:rPr>
          <w:fldChar w:fldCharType="separate"/>
        </w:r>
        <w:r w:rsidR="001F774D">
          <w:rPr>
            <w:webHidden/>
          </w:rPr>
          <w:t>322</w:t>
        </w:r>
        <w:r w:rsidR="00CD4059">
          <w:rPr>
            <w:webHidden/>
          </w:rPr>
          <w:fldChar w:fldCharType="end"/>
        </w:r>
      </w:hyperlink>
    </w:p>
    <w:p w14:paraId="64F49CBA" w14:textId="42F0B5F5" w:rsidR="00CD4059" w:rsidRDefault="009C595A">
      <w:pPr>
        <w:pStyle w:val="Spisilustracji"/>
        <w:rPr>
          <w:rFonts w:asciiTheme="minorHAnsi" w:eastAsiaTheme="minorEastAsia" w:hAnsiTheme="minorHAnsi" w:cstheme="minorBidi"/>
          <w:sz w:val="22"/>
          <w:lang w:eastAsia="pl-PL"/>
        </w:rPr>
      </w:pPr>
      <w:hyperlink w:anchor="_Toc105512903" w:history="1">
        <w:r w:rsidR="00CD4059" w:rsidRPr="00BF773F">
          <w:rPr>
            <w:rStyle w:val="Hipercze"/>
          </w:rPr>
          <w:t>Tabela 13</w:t>
        </w:r>
        <w:r w:rsidR="00CD4059" w:rsidRPr="00BF773F">
          <w:rPr>
            <w:rStyle w:val="Hipercze"/>
          </w:rPr>
          <w:noBreakHyphen/>
          <w:t>17.</w:t>
        </w:r>
        <w:r w:rsidR="00CD4059">
          <w:rPr>
            <w:rFonts w:asciiTheme="minorHAnsi" w:eastAsiaTheme="minorEastAsia" w:hAnsiTheme="minorHAnsi" w:cstheme="minorBidi"/>
            <w:sz w:val="22"/>
            <w:lang w:eastAsia="pl-PL"/>
          </w:rPr>
          <w:tab/>
        </w:r>
        <w:r w:rsidR="00CD4059" w:rsidRPr="00BF773F">
          <w:rPr>
            <w:rStyle w:val="Hipercze"/>
          </w:rPr>
          <w:t>Skuteczność działań dla kategorii JCWP jeziornych w zakresie oceny substancji priorytetowych w wodzie – analiza statystyczna obejmująca wszystkie obszary dorzeczy</w:t>
        </w:r>
        <w:r w:rsidR="00CD4059">
          <w:rPr>
            <w:webHidden/>
          </w:rPr>
          <w:tab/>
        </w:r>
        <w:r w:rsidR="00CD4059">
          <w:rPr>
            <w:webHidden/>
          </w:rPr>
          <w:fldChar w:fldCharType="begin"/>
        </w:r>
        <w:r w:rsidR="00CD4059">
          <w:rPr>
            <w:webHidden/>
          </w:rPr>
          <w:instrText xml:space="preserve"> PAGEREF _Toc105512903 \h </w:instrText>
        </w:r>
        <w:r w:rsidR="00CD4059">
          <w:rPr>
            <w:webHidden/>
          </w:rPr>
        </w:r>
        <w:r w:rsidR="00CD4059">
          <w:rPr>
            <w:webHidden/>
          </w:rPr>
          <w:fldChar w:fldCharType="separate"/>
        </w:r>
        <w:r w:rsidR="001F774D">
          <w:rPr>
            <w:webHidden/>
          </w:rPr>
          <w:t>323</w:t>
        </w:r>
        <w:r w:rsidR="00CD4059">
          <w:rPr>
            <w:webHidden/>
          </w:rPr>
          <w:fldChar w:fldCharType="end"/>
        </w:r>
      </w:hyperlink>
    </w:p>
    <w:p w14:paraId="172D66C3" w14:textId="73571754" w:rsidR="00CD4059" w:rsidRDefault="009C595A">
      <w:pPr>
        <w:pStyle w:val="Spisilustracji"/>
        <w:rPr>
          <w:rFonts w:asciiTheme="minorHAnsi" w:eastAsiaTheme="minorEastAsia" w:hAnsiTheme="minorHAnsi" w:cstheme="minorBidi"/>
          <w:sz w:val="22"/>
          <w:lang w:eastAsia="pl-PL"/>
        </w:rPr>
      </w:pPr>
      <w:hyperlink w:anchor="_Toc105512904" w:history="1">
        <w:r w:rsidR="00CD4059" w:rsidRPr="00BF773F">
          <w:rPr>
            <w:rStyle w:val="Hipercze"/>
          </w:rPr>
          <w:t>Tabela 13</w:t>
        </w:r>
        <w:r w:rsidR="00CD4059" w:rsidRPr="00BF773F">
          <w:rPr>
            <w:rStyle w:val="Hipercze"/>
          </w:rPr>
          <w:noBreakHyphen/>
          <w:t>18.</w:t>
        </w:r>
        <w:r w:rsidR="00CD4059">
          <w:rPr>
            <w:rFonts w:asciiTheme="minorHAnsi" w:eastAsiaTheme="minorEastAsia" w:hAnsiTheme="minorHAnsi" w:cstheme="minorBidi"/>
            <w:sz w:val="22"/>
            <w:lang w:eastAsia="pl-PL"/>
          </w:rPr>
          <w:tab/>
        </w:r>
        <w:r w:rsidR="00CD4059" w:rsidRPr="00BF773F">
          <w:rPr>
            <w:rStyle w:val="Hipercze"/>
          </w:rPr>
          <w:t>Skuteczność działań dla kategorii JCWP rzeczne w zakresie oceny substancji priorytetowych w wodzie – analiza statystyczna obejmująca obszar dorzecza Odry</w:t>
        </w:r>
        <w:r w:rsidR="00CD4059">
          <w:rPr>
            <w:webHidden/>
          </w:rPr>
          <w:tab/>
        </w:r>
        <w:r w:rsidR="00CD4059">
          <w:rPr>
            <w:webHidden/>
          </w:rPr>
          <w:fldChar w:fldCharType="begin"/>
        </w:r>
        <w:r w:rsidR="00CD4059">
          <w:rPr>
            <w:webHidden/>
          </w:rPr>
          <w:instrText xml:space="preserve"> PAGEREF _Toc105512904 \h </w:instrText>
        </w:r>
        <w:r w:rsidR="00CD4059">
          <w:rPr>
            <w:webHidden/>
          </w:rPr>
        </w:r>
        <w:r w:rsidR="00CD4059">
          <w:rPr>
            <w:webHidden/>
          </w:rPr>
          <w:fldChar w:fldCharType="separate"/>
        </w:r>
        <w:r w:rsidR="001F774D">
          <w:rPr>
            <w:webHidden/>
          </w:rPr>
          <w:t>324</w:t>
        </w:r>
        <w:r w:rsidR="00CD4059">
          <w:rPr>
            <w:webHidden/>
          </w:rPr>
          <w:fldChar w:fldCharType="end"/>
        </w:r>
      </w:hyperlink>
    </w:p>
    <w:p w14:paraId="43CBFC7D" w14:textId="5DE22E5D" w:rsidR="00CD4059" w:rsidRDefault="009C595A">
      <w:pPr>
        <w:pStyle w:val="Spisilustracji"/>
        <w:rPr>
          <w:rFonts w:asciiTheme="minorHAnsi" w:eastAsiaTheme="minorEastAsia" w:hAnsiTheme="minorHAnsi" w:cstheme="minorBidi"/>
          <w:sz w:val="22"/>
          <w:lang w:eastAsia="pl-PL"/>
        </w:rPr>
      </w:pPr>
      <w:hyperlink w:anchor="_Toc105512905" w:history="1">
        <w:r w:rsidR="00CD4059" w:rsidRPr="00BF773F">
          <w:rPr>
            <w:rStyle w:val="Hipercze"/>
          </w:rPr>
          <w:t>Tabela 13</w:t>
        </w:r>
        <w:r w:rsidR="00CD4059" w:rsidRPr="00BF773F">
          <w:rPr>
            <w:rStyle w:val="Hipercze"/>
          </w:rPr>
          <w:noBreakHyphen/>
          <w:t>19.</w:t>
        </w:r>
        <w:r w:rsidR="00CD4059">
          <w:rPr>
            <w:rFonts w:asciiTheme="minorHAnsi" w:eastAsiaTheme="minorEastAsia" w:hAnsiTheme="minorHAnsi" w:cstheme="minorBidi"/>
            <w:sz w:val="22"/>
            <w:lang w:eastAsia="pl-PL"/>
          </w:rPr>
          <w:tab/>
        </w:r>
        <w:r w:rsidR="00CD4059" w:rsidRPr="00BF773F">
          <w:rPr>
            <w:rStyle w:val="Hipercze"/>
          </w:rPr>
          <w:t>Skuteczność działań dla kategorii JCWP jeziorne w zakresie oceny substancji priorytetowych w wodzie – analiza statystyczna obejmująca obszar dorzecza Odry</w:t>
        </w:r>
        <w:r w:rsidR="00CD4059">
          <w:rPr>
            <w:webHidden/>
          </w:rPr>
          <w:tab/>
        </w:r>
        <w:r w:rsidR="00CD4059">
          <w:rPr>
            <w:webHidden/>
          </w:rPr>
          <w:fldChar w:fldCharType="begin"/>
        </w:r>
        <w:r w:rsidR="00CD4059">
          <w:rPr>
            <w:webHidden/>
          </w:rPr>
          <w:instrText xml:space="preserve"> PAGEREF _Toc105512905 \h </w:instrText>
        </w:r>
        <w:r w:rsidR="00CD4059">
          <w:rPr>
            <w:webHidden/>
          </w:rPr>
        </w:r>
        <w:r w:rsidR="00CD4059">
          <w:rPr>
            <w:webHidden/>
          </w:rPr>
          <w:fldChar w:fldCharType="separate"/>
        </w:r>
        <w:r w:rsidR="001F774D">
          <w:rPr>
            <w:webHidden/>
          </w:rPr>
          <w:t>324</w:t>
        </w:r>
        <w:r w:rsidR="00CD4059">
          <w:rPr>
            <w:webHidden/>
          </w:rPr>
          <w:fldChar w:fldCharType="end"/>
        </w:r>
      </w:hyperlink>
    </w:p>
    <w:p w14:paraId="03A2235A" w14:textId="4532ED56" w:rsidR="00CD4059" w:rsidRDefault="009C595A">
      <w:pPr>
        <w:pStyle w:val="Spisilustracji"/>
        <w:rPr>
          <w:rFonts w:asciiTheme="minorHAnsi" w:eastAsiaTheme="minorEastAsia" w:hAnsiTheme="minorHAnsi" w:cstheme="minorBidi"/>
          <w:sz w:val="22"/>
          <w:lang w:eastAsia="pl-PL"/>
        </w:rPr>
      </w:pPr>
      <w:hyperlink w:anchor="_Toc105512906" w:history="1">
        <w:r w:rsidR="00CD4059" w:rsidRPr="00BF773F">
          <w:rPr>
            <w:rStyle w:val="Hipercze"/>
          </w:rPr>
          <w:t>Tabela 13</w:t>
        </w:r>
        <w:r w:rsidR="00CD4059" w:rsidRPr="00BF773F">
          <w:rPr>
            <w:rStyle w:val="Hipercze"/>
          </w:rPr>
          <w:noBreakHyphen/>
          <w:t>20.</w:t>
        </w:r>
        <w:r w:rsidR="00CD4059">
          <w:rPr>
            <w:rFonts w:asciiTheme="minorHAnsi" w:eastAsiaTheme="minorEastAsia" w:hAnsiTheme="minorHAnsi" w:cstheme="minorBidi"/>
            <w:sz w:val="22"/>
            <w:lang w:eastAsia="pl-PL"/>
          </w:rPr>
          <w:tab/>
        </w:r>
        <w:r w:rsidR="00CD4059" w:rsidRPr="00BF773F">
          <w:rPr>
            <w:rStyle w:val="Hipercze"/>
          </w:rPr>
          <w:t>Zakres obowiązków w celu przeciwdziałania skutkom zanieczyszczeń wraz ze wskazaniem podmiotu odpowiedzialnego i podstawy prawnej działania</w:t>
        </w:r>
        <w:r w:rsidR="00CD4059">
          <w:rPr>
            <w:webHidden/>
          </w:rPr>
          <w:tab/>
        </w:r>
        <w:r w:rsidR="00CD4059">
          <w:rPr>
            <w:webHidden/>
          </w:rPr>
          <w:fldChar w:fldCharType="begin"/>
        </w:r>
        <w:r w:rsidR="00CD4059">
          <w:rPr>
            <w:webHidden/>
          </w:rPr>
          <w:instrText xml:space="preserve"> PAGEREF _Toc105512906 \h </w:instrText>
        </w:r>
        <w:r w:rsidR="00CD4059">
          <w:rPr>
            <w:webHidden/>
          </w:rPr>
        </w:r>
        <w:r w:rsidR="00CD4059">
          <w:rPr>
            <w:webHidden/>
          </w:rPr>
          <w:fldChar w:fldCharType="separate"/>
        </w:r>
        <w:r w:rsidR="001F774D">
          <w:rPr>
            <w:webHidden/>
          </w:rPr>
          <w:t>328</w:t>
        </w:r>
        <w:r w:rsidR="00CD4059">
          <w:rPr>
            <w:webHidden/>
          </w:rPr>
          <w:fldChar w:fldCharType="end"/>
        </w:r>
      </w:hyperlink>
    </w:p>
    <w:p w14:paraId="7E32E24C" w14:textId="2EFABA31" w:rsidR="00CD4059" w:rsidRDefault="009C595A">
      <w:pPr>
        <w:pStyle w:val="Spisilustracji"/>
        <w:rPr>
          <w:rFonts w:asciiTheme="minorHAnsi" w:eastAsiaTheme="minorEastAsia" w:hAnsiTheme="minorHAnsi" w:cstheme="minorBidi"/>
          <w:sz w:val="22"/>
          <w:lang w:eastAsia="pl-PL"/>
        </w:rPr>
      </w:pPr>
      <w:hyperlink w:anchor="_Toc105512907" w:history="1">
        <w:r w:rsidR="00CD4059" w:rsidRPr="00BF773F">
          <w:rPr>
            <w:rStyle w:val="Hipercze"/>
          </w:rPr>
          <w:t>Tabela 13</w:t>
        </w:r>
        <w:r w:rsidR="00CD4059" w:rsidRPr="00BF773F">
          <w:rPr>
            <w:rStyle w:val="Hipercze"/>
          </w:rPr>
          <w:noBreakHyphen/>
          <w:t>21.</w:t>
        </w:r>
        <w:r w:rsidR="00CD4059">
          <w:rPr>
            <w:rFonts w:asciiTheme="minorHAnsi" w:eastAsiaTheme="minorEastAsia" w:hAnsiTheme="minorHAnsi" w:cstheme="minorBidi"/>
            <w:sz w:val="22"/>
            <w:lang w:eastAsia="pl-PL"/>
          </w:rPr>
          <w:tab/>
        </w:r>
        <w:r w:rsidR="00CD4059" w:rsidRPr="00BF773F">
          <w:rPr>
            <w:rStyle w:val="Hipercze"/>
          </w:rPr>
          <w:t>Występowanie zdarzeń o znamionach poważnej awarii w okresie 2016–2019 – według rodzajów awarii na obszarze dorzecza Odry</w:t>
        </w:r>
        <w:r w:rsidR="00CD4059">
          <w:rPr>
            <w:webHidden/>
          </w:rPr>
          <w:tab/>
        </w:r>
        <w:r w:rsidR="00CD4059">
          <w:rPr>
            <w:webHidden/>
          </w:rPr>
          <w:fldChar w:fldCharType="begin"/>
        </w:r>
        <w:r w:rsidR="00CD4059">
          <w:rPr>
            <w:webHidden/>
          </w:rPr>
          <w:instrText xml:space="preserve"> PAGEREF _Toc105512907 \h </w:instrText>
        </w:r>
        <w:r w:rsidR="00CD4059">
          <w:rPr>
            <w:webHidden/>
          </w:rPr>
        </w:r>
        <w:r w:rsidR="00CD4059">
          <w:rPr>
            <w:webHidden/>
          </w:rPr>
          <w:fldChar w:fldCharType="separate"/>
        </w:r>
        <w:r w:rsidR="001F774D">
          <w:rPr>
            <w:webHidden/>
          </w:rPr>
          <w:t>331</w:t>
        </w:r>
        <w:r w:rsidR="00CD4059">
          <w:rPr>
            <w:webHidden/>
          </w:rPr>
          <w:fldChar w:fldCharType="end"/>
        </w:r>
      </w:hyperlink>
    </w:p>
    <w:p w14:paraId="01207D11" w14:textId="423F243E" w:rsidR="00CD4059" w:rsidRDefault="009C595A">
      <w:pPr>
        <w:pStyle w:val="Spisilustracji"/>
        <w:rPr>
          <w:rFonts w:asciiTheme="minorHAnsi" w:eastAsiaTheme="minorEastAsia" w:hAnsiTheme="minorHAnsi" w:cstheme="minorBidi"/>
          <w:sz w:val="22"/>
          <w:lang w:eastAsia="pl-PL"/>
        </w:rPr>
      </w:pPr>
      <w:hyperlink w:anchor="_Toc105512908" w:history="1">
        <w:r w:rsidR="00CD4059" w:rsidRPr="00BF773F">
          <w:rPr>
            <w:rStyle w:val="Hipercze"/>
          </w:rPr>
          <w:t>Tabela 13</w:t>
        </w:r>
        <w:r w:rsidR="00CD4059" w:rsidRPr="00BF773F">
          <w:rPr>
            <w:rStyle w:val="Hipercze"/>
          </w:rPr>
          <w:noBreakHyphen/>
          <w:t>22.</w:t>
        </w:r>
        <w:r w:rsidR="00CD4059">
          <w:rPr>
            <w:rFonts w:asciiTheme="minorHAnsi" w:eastAsiaTheme="minorEastAsia" w:hAnsiTheme="minorHAnsi" w:cstheme="minorBidi"/>
            <w:sz w:val="22"/>
            <w:lang w:eastAsia="pl-PL"/>
          </w:rPr>
          <w:tab/>
        </w:r>
        <w:r w:rsidR="00CD4059" w:rsidRPr="00BF773F">
          <w:rPr>
            <w:rStyle w:val="Hipercze"/>
          </w:rPr>
          <w:t>Występowanie zdarzeń o znamionach poważnej awarii w okresie 2016–2019 na obszarze dorzecza Odry – według lokalizacji w województwach</w:t>
        </w:r>
        <w:r w:rsidR="00CD4059">
          <w:rPr>
            <w:webHidden/>
          </w:rPr>
          <w:tab/>
        </w:r>
        <w:r w:rsidR="00CD4059">
          <w:rPr>
            <w:webHidden/>
          </w:rPr>
          <w:fldChar w:fldCharType="begin"/>
        </w:r>
        <w:r w:rsidR="00CD4059">
          <w:rPr>
            <w:webHidden/>
          </w:rPr>
          <w:instrText xml:space="preserve"> PAGEREF _Toc105512908 \h </w:instrText>
        </w:r>
        <w:r w:rsidR="00CD4059">
          <w:rPr>
            <w:webHidden/>
          </w:rPr>
        </w:r>
        <w:r w:rsidR="00CD4059">
          <w:rPr>
            <w:webHidden/>
          </w:rPr>
          <w:fldChar w:fldCharType="separate"/>
        </w:r>
        <w:r w:rsidR="001F774D">
          <w:rPr>
            <w:webHidden/>
          </w:rPr>
          <w:t>332</w:t>
        </w:r>
        <w:r w:rsidR="00CD4059">
          <w:rPr>
            <w:webHidden/>
          </w:rPr>
          <w:fldChar w:fldCharType="end"/>
        </w:r>
      </w:hyperlink>
    </w:p>
    <w:p w14:paraId="566AA79A" w14:textId="27A8C959" w:rsidR="00CD4059" w:rsidRDefault="009C595A">
      <w:pPr>
        <w:pStyle w:val="Spisilustracji"/>
        <w:rPr>
          <w:rFonts w:asciiTheme="minorHAnsi" w:eastAsiaTheme="minorEastAsia" w:hAnsiTheme="minorHAnsi" w:cstheme="minorBidi"/>
          <w:sz w:val="22"/>
          <w:lang w:eastAsia="pl-PL"/>
        </w:rPr>
      </w:pPr>
      <w:hyperlink w:anchor="_Toc105512909" w:history="1">
        <w:r w:rsidR="00CD4059" w:rsidRPr="00BF773F">
          <w:rPr>
            <w:rStyle w:val="Hipercze"/>
          </w:rPr>
          <w:t>Tabela 13</w:t>
        </w:r>
        <w:r w:rsidR="00CD4059" w:rsidRPr="00BF773F">
          <w:rPr>
            <w:rStyle w:val="Hipercze"/>
          </w:rPr>
          <w:noBreakHyphen/>
          <w:t>23.</w:t>
        </w:r>
        <w:r w:rsidR="00CD4059">
          <w:rPr>
            <w:rFonts w:asciiTheme="minorHAnsi" w:eastAsiaTheme="minorEastAsia" w:hAnsiTheme="minorHAnsi" w:cstheme="minorBidi"/>
            <w:sz w:val="22"/>
            <w:lang w:eastAsia="pl-PL"/>
          </w:rPr>
          <w:tab/>
        </w:r>
        <w:r w:rsidR="00CD4059" w:rsidRPr="00BF773F">
          <w:rPr>
            <w:rStyle w:val="Hipercze"/>
          </w:rPr>
          <w:t>Działania pośrednio związane z przeciwdziałaniem skutkom zanieczyszczeń – wynikające z powiązanych przepisów</w:t>
        </w:r>
        <w:r w:rsidR="00CD4059">
          <w:rPr>
            <w:webHidden/>
          </w:rPr>
          <w:tab/>
        </w:r>
        <w:r w:rsidR="00CD4059">
          <w:rPr>
            <w:webHidden/>
          </w:rPr>
          <w:fldChar w:fldCharType="begin"/>
        </w:r>
        <w:r w:rsidR="00CD4059">
          <w:rPr>
            <w:webHidden/>
          </w:rPr>
          <w:instrText xml:space="preserve"> PAGEREF _Toc105512909 \h </w:instrText>
        </w:r>
        <w:r w:rsidR="00CD4059">
          <w:rPr>
            <w:webHidden/>
          </w:rPr>
        </w:r>
        <w:r w:rsidR="00CD4059">
          <w:rPr>
            <w:webHidden/>
          </w:rPr>
          <w:fldChar w:fldCharType="separate"/>
        </w:r>
        <w:r w:rsidR="001F774D">
          <w:rPr>
            <w:webHidden/>
          </w:rPr>
          <w:t>334</w:t>
        </w:r>
        <w:r w:rsidR="00CD4059">
          <w:rPr>
            <w:webHidden/>
          </w:rPr>
          <w:fldChar w:fldCharType="end"/>
        </w:r>
      </w:hyperlink>
    </w:p>
    <w:p w14:paraId="54ACA227" w14:textId="4AEF1068" w:rsidR="00CD4059" w:rsidRDefault="009C595A">
      <w:pPr>
        <w:pStyle w:val="Spisilustracji"/>
        <w:rPr>
          <w:rFonts w:asciiTheme="minorHAnsi" w:eastAsiaTheme="minorEastAsia" w:hAnsiTheme="minorHAnsi" w:cstheme="minorBidi"/>
          <w:sz w:val="22"/>
          <w:lang w:eastAsia="pl-PL"/>
        </w:rPr>
      </w:pPr>
      <w:hyperlink w:anchor="_Toc105512910" w:history="1">
        <w:r w:rsidR="00CD4059" w:rsidRPr="00BF773F">
          <w:rPr>
            <w:rStyle w:val="Hipercze"/>
          </w:rPr>
          <w:t>Tabela 13</w:t>
        </w:r>
        <w:r w:rsidR="00CD4059" w:rsidRPr="00BF773F">
          <w:rPr>
            <w:rStyle w:val="Hipercze"/>
          </w:rPr>
          <w:noBreakHyphen/>
          <w:t>24.</w:t>
        </w:r>
        <w:r w:rsidR="00CD4059">
          <w:rPr>
            <w:rFonts w:asciiTheme="minorHAnsi" w:eastAsiaTheme="minorEastAsia" w:hAnsiTheme="minorHAnsi" w:cstheme="minorBidi"/>
            <w:sz w:val="22"/>
            <w:lang w:eastAsia="pl-PL"/>
          </w:rPr>
          <w:tab/>
        </w:r>
        <w:r w:rsidR="00CD4059" w:rsidRPr="00BF773F">
          <w:rPr>
            <w:rStyle w:val="Hipercze"/>
            <w:lang w:eastAsia="pl-PL"/>
          </w:rPr>
          <w:t>Działania, o których mowa w art. 325 ust. 1 pkt 2 pr.w. – katalog działań krajowych IIaPGW</w:t>
        </w:r>
        <w:r w:rsidR="00CD4059">
          <w:rPr>
            <w:webHidden/>
          </w:rPr>
          <w:tab/>
        </w:r>
        <w:r w:rsidR="00CD4059">
          <w:rPr>
            <w:webHidden/>
          </w:rPr>
          <w:fldChar w:fldCharType="begin"/>
        </w:r>
        <w:r w:rsidR="00CD4059">
          <w:rPr>
            <w:webHidden/>
          </w:rPr>
          <w:instrText xml:space="preserve"> PAGEREF _Toc105512910 \h </w:instrText>
        </w:r>
        <w:r w:rsidR="00CD4059">
          <w:rPr>
            <w:webHidden/>
          </w:rPr>
        </w:r>
        <w:r w:rsidR="00CD4059">
          <w:rPr>
            <w:webHidden/>
          </w:rPr>
          <w:fldChar w:fldCharType="separate"/>
        </w:r>
        <w:r w:rsidR="001F774D">
          <w:rPr>
            <w:webHidden/>
          </w:rPr>
          <w:t>338</w:t>
        </w:r>
        <w:r w:rsidR="00CD4059">
          <w:rPr>
            <w:webHidden/>
          </w:rPr>
          <w:fldChar w:fldCharType="end"/>
        </w:r>
      </w:hyperlink>
    </w:p>
    <w:p w14:paraId="7DD583FC" w14:textId="4A08CEA5" w:rsidR="00CD4059" w:rsidRDefault="009C595A">
      <w:pPr>
        <w:pStyle w:val="Spisilustracji"/>
        <w:rPr>
          <w:rFonts w:asciiTheme="minorHAnsi" w:eastAsiaTheme="minorEastAsia" w:hAnsiTheme="minorHAnsi" w:cstheme="minorBidi"/>
          <w:sz w:val="22"/>
          <w:lang w:eastAsia="pl-PL"/>
        </w:rPr>
      </w:pPr>
      <w:hyperlink w:anchor="_Toc105512911" w:history="1">
        <w:r w:rsidR="00CD4059" w:rsidRPr="00BF773F">
          <w:rPr>
            <w:rStyle w:val="Hipercze"/>
          </w:rPr>
          <w:t>Tabela 13</w:t>
        </w:r>
        <w:r w:rsidR="00CD4059" w:rsidRPr="00BF773F">
          <w:rPr>
            <w:rStyle w:val="Hipercze"/>
          </w:rPr>
          <w:noBreakHyphen/>
          <w:t>25.</w:t>
        </w:r>
        <w:r w:rsidR="00CD4059">
          <w:rPr>
            <w:rFonts w:asciiTheme="minorHAnsi" w:eastAsiaTheme="minorEastAsia" w:hAnsiTheme="minorHAnsi" w:cstheme="minorBidi"/>
            <w:sz w:val="22"/>
            <w:lang w:eastAsia="pl-PL"/>
          </w:rPr>
          <w:tab/>
        </w:r>
        <w:r w:rsidR="00CD4059" w:rsidRPr="00BF773F">
          <w:rPr>
            <w:rStyle w:val="Hipercze"/>
            <w:rFonts w:cs="Calibri"/>
          </w:rPr>
          <w:t>Działania dotyczące ochrony wód morskich planowane w IIaPGW</w:t>
        </w:r>
        <w:r w:rsidR="00CD4059">
          <w:rPr>
            <w:webHidden/>
          </w:rPr>
          <w:tab/>
        </w:r>
        <w:r w:rsidR="00CD4059">
          <w:rPr>
            <w:webHidden/>
          </w:rPr>
          <w:fldChar w:fldCharType="begin"/>
        </w:r>
        <w:r w:rsidR="00CD4059">
          <w:rPr>
            <w:webHidden/>
          </w:rPr>
          <w:instrText xml:space="preserve"> PAGEREF _Toc105512911 \h </w:instrText>
        </w:r>
        <w:r w:rsidR="00CD4059">
          <w:rPr>
            <w:webHidden/>
          </w:rPr>
        </w:r>
        <w:r w:rsidR="00CD4059">
          <w:rPr>
            <w:webHidden/>
          </w:rPr>
          <w:fldChar w:fldCharType="separate"/>
        </w:r>
        <w:r w:rsidR="001F774D">
          <w:rPr>
            <w:webHidden/>
          </w:rPr>
          <w:t>351</w:t>
        </w:r>
        <w:r w:rsidR="00CD4059">
          <w:rPr>
            <w:webHidden/>
          </w:rPr>
          <w:fldChar w:fldCharType="end"/>
        </w:r>
      </w:hyperlink>
    </w:p>
    <w:p w14:paraId="0335683E" w14:textId="74F398E1" w:rsidR="00CD4059" w:rsidRDefault="009C595A">
      <w:pPr>
        <w:pStyle w:val="Spisilustracji"/>
        <w:rPr>
          <w:rFonts w:asciiTheme="minorHAnsi" w:eastAsiaTheme="minorEastAsia" w:hAnsiTheme="minorHAnsi" w:cstheme="minorBidi"/>
          <w:sz w:val="22"/>
          <w:lang w:eastAsia="pl-PL"/>
        </w:rPr>
      </w:pPr>
      <w:hyperlink w:anchor="_Toc105512912" w:history="1">
        <w:r w:rsidR="00CD4059" w:rsidRPr="00BF773F">
          <w:rPr>
            <w:rStyle w:val="Hipercze"/>
          </w:rPr>
          <w:t>Tabela 15</w:t>
        </w:r>
        <w:r w:rsidR="00CD4059" w:rsidRPr="00BF773F">
          <w:rPr>
            <w:rStyle w:val="Hipercze"/>
          </w:rPr>
          <w:noBreakHyphen/>
          <w:t>1.</w:t>
        </w:r>
        <w:r w:rsidR="00CD4059">
          <w:rPr>
            <w:rFonts w:asciiTheme="minorHAnsi" w:eastAsiaTheme="minorEastAsia" w:hAnsiTheme="minorHAnsi" w:cstheme="minorBidi"/>
            <w:sz w:val="22"/>
            <w:lang w:eastAsia="pl-PL"/>
          </w:rPr>
          <w:tab/>
        </w:r>
        <w:r w:rsidR="00CD4059" w:rsidRPr="00BF773F">
          <w:rPr>
            <w:rStyle w:val="Hipercze"/>
          </w:rPr>
          <w:t xml:space="preserve">Ocena stanu chemicznego wód dla kategorii wód na obszarze dorzecza Odry w oparciu o wyniki oceny stanu GIOŚ za lata 2014–2019 oraz wartości według </w:t>
        </w:r>
        <w:r w:rsidR="00CD4059" w:rsidRPr="00BF773F">
          <w:rPr>
            <w:rStyle w:val="Hipercze"/>
            <w:i/>
          </w:rPr>
          <w:t>Analizy znaczących oddziaływań – JCWP (…)</w:t>
        </w:r>
        <w:r w:rsidR="00CD4059" w:rsidRPr="00BF773F">
          <w:rPr>
            <w:rStyle w:val="Hipercze"/>
          </w:rPr>
          <w:t xml:space="preserve"> w zlewniach niemonitorowanych</w:t>
        </w:r>
        <w:r w:rsidR="00CD4059">
          <w:rPr>
            <w:webHidden/>
          </w:rPr>
          <w:tab/>
        </w:r>
        <w:r w:rsidR="00CD4059">
          <w:rPr>
            <w:webHidden/>
          </w:rPr>
          <w:fldChar w:fldCharType="begin"/>
        </w:r>
        <w:r w:rsidR="00CD4059">
          <w:rPr>
            <w:webHidden/>
          </w:rPr>
          <w:instrText xml:space="preserve"> PAGEREF _Toc105512912 \h </w:instrText>
        </w:r>
        <w:r w:rsidR="00CD4059">
          <w:rPr>
            <w:webHidden/>
          </w:rPr>
        </w:r>
        <w:r w:rsidR="00CD4059">
          <w:rPr>
            <w:webHidden/>
          </w:rPr>
          <w:fldChar w:fldCharType="separate"/>
        </w:r>
        <w:r w:rsidR="001F774D">
          <w:rPr>
            <w:webHidden/>
          </w:rPr>
          <w:t>362</w:t>
        </w:r>
        <w:r w:rsidR="00CD4059">
          <w:rPr>
            <w:webHidden/>
          </w:rPr>
          <w:fldChar w:fldCharType="end"/>
        </w:r>
      </w:hyperlink>
    </w:p>
    <w:p w14:paraId="32ECB238" w14:textId="444FE316" w:rsidR="00CD4059" w:rsidRDefault="009C595A">
      <w:pPr>
        <w:pStyle w:val="Spisilustracji"/>
        <w:rPr>
          <w:rFonts w:asciiTheme="minorHAnsi" w:eastAsiaTheme="minorEastAsia" w:hAnsiTheme="minorHAnsi" w:cstheme="minorBidi"/>
          <w:sz w:val="22"/>
          <w:lang w:eastAsia="pl-PL"/>
        </w:rPr>
      </w:pPr>
      <w:hyperlink w:anchor="_Toc105512913" w:history="1">
        <w:r w:rsidR="00CD4059" w:rsidRPr="00BF773F">
          <w:rPr>
            <w:rStyle w:val="Hipercze"/>
          </w:rPr>
          <w:t>Tabela 15</w:t>
        </w:r>
        <w:r w:rsidR="00CD4059" w:rsidRPr="00BF773F">
          <w:rPr>
            <w:rStyle w:val="Hipercze"/>
          </w:rPr>
          <w:noBreakHyphen/>
          <w:t>2.</w:t>
        </w:r>
        <w:r w:rsidR="00CD4059">
          <w:rPr>
            <w:rFonts w:asciiTheme="minorHAnsi" w:eastAsiaTheme="minorEastAsia" w:hAnsiTheme="minorHAnsi" w:cstheme="minorBidi"/>
            <w:sz w:val="22"/>
            <w:lang w:eastAsia="pl-PL"/>
          </w:rPr>
          <w:tab/>
        </w:r>
        <w:r w:rsidR="00CD4059" w:rsidRPr="00BF773F">
          <w:rPr>
            <w:rStyle w:val="Hipercze"/>
          </w:rPr>
          <w:t>Udział wód objętych programami monitoringu na obszarze dorzecza Odry</w:t>
        </w:r>
        <w:r w:rsidR="00CD4059">
          <w:rPr>
            <w:webHidden/>
          </w:rPr>
          <w:tab/>
        </w:r>
        <w:r w:rsidR="00CD4059">
          <w:rPr>
            <w:webHidden/>
          </w:rPr>
          <w:fldChar w:fldCharType="begin"/>
        </w:r>
        <w:r w:rsidR="00CD4059">
          <w:rPr>
            <w:webHidden/>
          </w:rPr>
          <w:instrText xml:space="preserve"> PAGEREF _Toc105512913 \h </w:instrText>
        </w:r>
        <w:r w:rsidR="00CD4059">
          <w:rPr>
            <w:webHidden/>
          </w:rPr>
        </w:r>
        <w:r w:rsidR="00CD4059">
          <w:rPr>
            <w:webHidden/>
          </w:rPr>
          <w:fldChar w:fldCharType="separate"/>
        </w:r>
        <w:r w:rsidR="001F774D">
          <w:rPr>
            <w:webHidden/>
          </w:rPr>
          <w:t>362</w:t>
        </w:r>
        <w:r w:rsidR="00CD4059">
          <w:rPr>
            <w:webHidden/>
          </w:rPr>
          <w:fldChar w:fldCharType="end"/>
        </w:r>
      </w:hyperlink>
    </w:p>
    <w:p w14:paraId="3D7DE1D1" w14:textId="1455EEEE" w:rsidR="00CD4059" w:rsidRDefault="009C595A">
      <w:pPr>
        <w:pStyle w:val="Spisilustracji"/>
        <w:rPr>
          <w:rFonts w:asciiTheme="minorHAnsi" w:eastAsiaTheme="minorEastAsia" w:hAnsiTheme="minorHAnsi" w:cstheme="minorBidi"/>
          <w:sz w:val="22"/>
          <w:lang w:eastAsia="pl-PL"/>
        </w:rPr>
      </w:pPr>
      <w:hyperlink w:anchor="_Toc105512914" w:history="1">
        <w:r w:rsidR="00CD4059" w:rsidRPr="00BF773F">
          <w:rPr>
            <w:rStyle w:val="Hipercze"/>
          </w:rPr>
          <w:t>Tabela 17</w:t>
        </w:r>
        <w:r w:rsidR="00CD4059" w:rsidRPr="00BF773F">
          <w:rPr>
            <w:rStyle w:val="Hipercze"/>
          </w:rPr>
          <w:noBreakHyphen/>
          <w:t>1.</w:t>
        </w:r>
        <w:r w:rsidR="00CD4059">
          <w:rPr>
            <w:rFonts w:asciiTheme="minorHAnsi" w:eastAsiaTheme="minorEastAsia" w:hAnsiTheme="minorHAnsi" w:cstheme="minorBidi"/>
            <w:sz w:val="22"/>
            <w:lang w:eastAsia="pl-PL"/>
          </w:rPr>
          <w:tab/>
        </w:r>
        <w:r w:rsidR="00CD4059" w:rsidRPr="00BF773F">
          <w:rPr>
            <w:rStyle w:val="Hipercze"/>
          </w:rPr>
          <w:t>Zestawienie liczby odcinków i liczby JCWP potencjalnie zagrożonych w odniesieniu do poszczególnych regionów wodnych obszaru dorzecza Odry</w:t>
        </w:r>
        <w:r w:rsidR="00CD4059">
          <w:rPr>
            <w:webHidden/>
          </w:rPr>
          <w:tab/>
        </w:r>
        <w:r w:rsidR="00CD4059">
          <w:rPr>
            <w:webHidden/>
          </w:rPr>
          <w:fldChar w:fldCharType="begin"/>
        </w:r>
        <w:r w:rsidR="00CD4059">
          <w:rPr>
            <w:webHidden/>
          </w:rPr>
          <w:instrText xml:space="preserve"> PAGEREF _Toc105512914 \h </w:instrText>
        </w:r>
        <w:r w:rsidR="00CD4059">
          <w:rPr>
            <w:webHidden/>
          </w:rPr>
        </w:r>
        <w:r w:rsidR="00CD4059">
          <w:rPr>
            <w:webHidden/>
          </w:rPr>
          <w:fldChar w:fldCharType="separate"/>
        </w:r>
        <w:r w:rsidR="001F774D">
          <w:rPr>
            <w:webHidden/>
          </w:rPr>
          <w:t>368</w:t>
        </w:r>
        <w:r w:rsidR="00CD4059">
          <w:rPr>
            <w:webHidden/>
          </w:rPr>
          <w:fldChar w:fldCharType="end"/>
        </w:r>
      </w:hyperlink>
    </w:p>
    <w:p w14:paraId="214CE6BE" w14:textId="3186A622" w:rsidR="00CD4059" w:rsidRDefault="009C595A">
      <w:pPr>
        <w:pStyle w:val="Spisilustracji"/>
        <w:rPr>
          <w:rFonts w:asciiTheme="minorHAnsi" w:eastAsiaTheme="minorEastAsia" w:hAnsiTheme="minorHAnsi" w:cstheme="minorBidi"/>
          <w:sz w:val="22"/>
          <w:lang w:eastAsia="pl-PL"/>
        </w:rPr>
      </w:pPr>
      <w:hyperlink w:anchor="_Toc105512915" w:history="1">
        <w:r w:rsidR="00CD4059" w:rsidRPr="00BF773F">
          <w:rPr>
            <w:rStyle w:val="Hipercze"/>
          </w:rPr>
          <w:t>Tabela 18</w:t>
        </w:r>
        <w:r w:rsidR="00CD4059" w:rsidRPr="00BF773F">
          <w:rPr>
            <w:rStyle w:val="Hipercze"/>
          </w:rPr>
          <w:noBreakHyphen/>
          <w:t>1.</w:t>
        </w:r>
        <w:r w:rsidR="00CD4059">
          <w:rPr>
            <w:rFonts w:asciiTheme="minorHAnsi" w:eastAsiaTheme="minorEastAsia" w:hAnsiTheme="minorHAnsi" w:cstheme="minorBidi"/>
            <w:sz w:val="22"/>
            <w:lang w:eastAsia="pl-PL"/>
          </w:rPr>
          <w:tab/>
        </w:r>
        <w:r w:rsidR="00CD4059" w:rsidRPr="00BF773F">
          <w:rPr>
            <w:rStyle w:val="Hipercze"/>
          </w:rPr>
          <w:t>Budowle regulacyjne na obszarze dorzecza Odry</w:t>
        </w:r>
        <w:r w:rsidR="00CD4059">
          <w:rPr>
            <w:webHidden/>
          </w:rPr>
          <w:tab/>
        </w:r>
        <w:r w:rsidR="00CD4059">
          <w:rPr>
            <w:webHidden/>
          </w:rPr>
          <w:fldChar w:fldCharType="begin"/>
        </w:r>
        <w:r w:rsidR="00CD4059">
          <w:rPr>
            <w:webHidden/>
          </w:rPr>
          <w:instrText xml:space="preserve"> PAGEREF _Toc105512915 \h </w:instrText>
        </w:r>
        <w:r w:rsidR="00CD4059">
          <w:rPr>
            <w:webHidden/>
          </w:rPr>
        </w:r>
        <w:r w:rsidR="00CD4059">
          <w:rPr>
            <w:webHidden/>
          </w:rPr>
          <w:fldChar w:fldCharType="separate"/>
        </w:r>
        <w:r w:rsidR="001F774D">
          <w:rPr>
            <w:webHidden/>
          </w:rPr>
          <w:t>371</w:t>
        </w:r>
        <w:r w:rsidR="00CD4059">
          <w:rPr>
            <w:webHidden/>
          </w:rPr>
          <w:fldChar w:fldCharType="end"/>
        </w:r>
      </w:hyperlink>
    </w:p>
    <w:p w14:paraId="1E3CDC5F" w14:textId="091C8D9E" w:rsidR="00CD4059" w:rsidRDefault="009C595A">
      <w:pPr>
        <w:pStyle w:val="Spisilustracji"/>
        <w:rPr>
          <w:rFonts w:asciiTheme="minorHAnsi" w:eastAsiaTheme="minorEastAsia" w:hAnsiTheme="minorHAnsi" w:cstheme="minorBidi"/>
          <w:sz w:val="22"/>
          <w:lang w:eastAsia="pl-PL"/>
        </w:rPr>
      </w:pPr>
      <w:hyperlink w:anchor="_Toc105512916" w:history="1">
        <w:r w:rsidR="00CD4059" w:rsidRPr="00BF773F">
          <w:rPr>
            <w:rStyle w:val="Hipercze"/>
          </w:rPr>
          <w:t>Tabela 21</w:t>
        </w:r>
        <w:r w:rsidR="00CD4059" w:rsidRPr="00BF773F">
          <w:rPr>
            <w:rStyle w:val="Hipercze"/>
          </w:rPr>
          <w:noBreakHyphen/>
          <w:t>1.</w:t>
        </w:r>
        <w:r w:rsidR="00CD4059">
          <w:rPr>
            <w:rFonts w:asciiTheme="minorHAnsi" w:eastAsiaTheme="minorEastAsia" w:hAnsiTheme="minorHAnsi" w:cstheme="minorBidi"/>
            <w:sz w:val="22"/>
            <w:lang w:eastAsia="pl-PL"/>
          </w:rPr>
          <w:tab/>
        </w:r>
        <w:r w:rsidR="00CD4059" w:rsidRPr="00BF773F">
          <w:rPr>
            <w:rStyle w:val="Hipercze"/>
          </w:rPr>
          <w:t>Zestawienie organów właściwych w sprawach gospodarowania wodami dla obszaru dorzecza Odry wraz ze statusem prawnym oraz danymi adresowymi</w:t>
        </w:r>
        <w:r w:rsidR="00CD4059">
          <w:rPr>
            <w:webHidden/>
          </w:rPr>
          <w:tab/>
        </w:r>
        <w:r w:rsidR="00CD4059">
          <w:rPr>
            <w:webHidden/>
          </w:rPr>
          <w:fldChar w:fldCharType="begin"/>
        </w:r>
        <w:r w:rsidR="00CD4059">
          <w:rPr>
            <w:webHidden/>
          </w:rPr>
          <w:instrText xml:space="preserve"> PAGEREF _Toc105512916 \h </w:instrText>
        </w:r>
        <w:r w:rsidR="00CD4059">
          <w:rPr>
            <w:webHidden/>
          </w:rPr>
        </w:r>
        <w:r w:rsidR="00CD4059">
          <w:rPr>
            <w:webHidden/>
          </w:rPr>
          <w:fldChar w:fldCharType="separate"/>
        </w:r>
        <w:r w:rsidR="001F774D">
          <w:rPr>
            <w:webHidden/>
          </w:rPr>
          <w:t>403</w:t>
        </w:r>
        <w:r w:rsidR="00CD4059">
          <w:rPr>
            <w:webHidden/>
          </w:rPr>
          <w:fldChar w:fldCharType="end"/>
        </w:r>
      </w:hyperlink>
    </w:p>
    <w:p w14:paraId="1FDED7B8" w14:textId="68D45C69" w:rsidR="00CD4059" w:rsidRDefault="009C595A">
      <w:pPr>
        <w:pStyle w:val="Spisilustracji"/>
        <w:rPr>
          <w:rFonts w:asciiTheme="minorHAnsi" w:eastAsiaTheme="minorEastAsia" w:hAnsiTheme="minorHAnsi" w:cstheme="minorBidi"/>
          <w:sz w:val="22"/>
          <w:lang w:eastAsia="pl-PL"/>
        </w:rPr>
      </w:pPr>
      <w:hyperlink w:anchor="_Toc105512917" w:history="1">
        <w:r w:rsidR="00CD4059" w:rsidRPr="00BF773F">
          <w:rPr>
            <w:rStyle w:val="Hipercze"/>
          </w:rPr>
          <w:t>Tabela 23</w:t>
        </w:r>
        <w:r w:rsidR="00CD4059" w:rsidRPr="00BF773F">
          <w:rPr>
            <w:rStyle w:val="Hipercze"/>
          </w:rPr>
          <w:noBreakHyphen/>
          <w:t>1.</w:t>
        </w:r>
        <w:r w:rsidR="00CD4059">
          <w:rPr>
            <w:rFonts w:asciiTheme="minorHAnsi" w:eastAsiaTheme="minorEastAsia" w:hAnsiTheme="minorHAnsi" w:cstheme="minorBidi"/>
            <w:sz w:val="22"/>
            <w:lang w:eastAsia="pl-PL"/>
          </w:rPr>
          <w:tab/>
        </w:r>
        <w:r w:rsidR="00CD4059" w:rsidRPr="00BF773F">
          <w:rPr>
            <w:rStyle w:val="Hipercze"/>
          </w:rPr>
          <w:t>Porównanie liczby JCWP danej kategorii i o danym statusie według aPGW i IIaPGW</w:t>
        </w:r>
        <w:r w:rsidR="00CD4059">
          <w:rPr>
            <w:webHidden/>
          </w:rPr>
          <w:tab/>
        </w:r>
        <w:r w:rsidR="00CD4059">
          <w:rPr>
            <w:webHidden/>
          </w:rPr>
          <w:fldChar w:fldCharType="begin"/>
        </w:r>
        <w:r w:rsidR="00CD4059">
          <w:rPr>
            <w:webHidden/>
          </w:rPr>
          <w:instrText xml:space="preserve"> PAGEREF _Toc105512917 \h </w:instrText>
        </w:r>
        <w:r w:rsidR="00CD4059">
          <w:rPr>
            <w:webHidden/>
          </w:rPr>
        </w:r>
        <w:r w:rsidR="00CD4059">
          <w:rPr>
            <w:webHidden/>
          </w:rPr>
          <w:fldChar w:fldCharType="separate"/>
        </w:r>
        <w:r w:rsidR="001F774D">
          <w:rPr>
            <w:webHidden/>
          </w:rPr>
          <w:t>424</w:t>
        </w:r>
        <w:r w:rsidR="00CD4059">
          <w:rPr>
            <w:webHidden/>
          </w:rPr>
          <w:fldChar w:fldCharType="end"/>
        </w:r>
      </w:hyperlink>
    </w:p>
    <w:p w14:paraId="430671F4" w14:textId="18C0F1F2" w:rsidR="00CD4059" w:rsidRDefault="009C595A">
      <w:pPr>
        <w:pStyle w:val="Spisilustracji"/>
        <w:rPr>
          <w:rFonts w:asciiTheme="minorHAnsi" w:eastAsiaTheme="minorEastAsia" w:hAnsiTheme="minorHAnsi" w:cstheme="minorBidi"/>
          <w:sz w:val="22"/>
          <w:lang w:eastAsia="pl-PL"/>
        </w:rPr>
      </w:pPr>
      <w:hyperlink w:anchor="_Toc105512918" w:history="1">
        <w:r w:rsidR="00CD4059" w:rsidRPr="00BF773F">
          <w:rPr>
            <w:rStyle w:val="Hipercze"/>
          </w:rPr>
          <w:t>Tabela 24</w:t>
        </w:r>
        <w:r w:rsidR="00CD4059" w:rsidRPr="00BF773F">
          <w:rPr>
            <w:rStyle w:val="Hipercze"/>
          </w:rPr>
          <w:noBreakHyphen/>
          <w:t>1.</w:t>
        </w:r>
        <w:r w:rsidR="00CD4059">
          <w:rPr>
            <w:rFonts w:asciiTheme="minorHAnsi" w:eastAsiaTheme="minorEastAsia" w:hAnsiTheme="minorHAnsi" w:cstheme="minorBidi"/>
            <w:sz w:val="22"/>
            <w:lang w:eastAsia="pl-PL"/>
          </w:rPr>
          <w:tab/>
        </w:r>
        <w:r w:rsidR="00CD4059" w:rsidRPr="00BF773F">
          <w:rPr>
            <w:rStyle w:val="Hipercze"/>
          </w:rPr>
          <w:t>Dane adresowe organów właściwych do udzielania informacji z zakresu IIaPGW dla obszaru dorzecza Odry</w:t>
        </w:r>
        <w:r w:rsidR="00CD4059">
          <w:rPr>
            <w:webHidden/>
          </w:rPr>
          <w:tab/>
        </w:r>
        <w:r w:rsidR="00CD4059">
          <w:rPr>
            <w:webHidden/>
          </w:rPr>
          <w:fldChar w:fldCharType="begin"/>
        </w:r>
        <w:r w:rsidR="00CD4059">
          <w:rPr>
            <w:webHidden/>
          </w:rPr>
          <w:instrText xml:space="preserve"> PAGEREF _Toc105512918 \h </w:instrText>
        </w:r>
        <w:r w:rsidR="00CD4059">
          <w:rPr>
            <w:webHidden/>
          </w:rPr>
        </w:r>
        <w:r w:rsidR="00CD4059">
          <w:rPr>
            <w:webHidden/>
          </w:rPr>
          <w:fldChar w:fldCharType="separate"/>
        </w:r>
        <w:r w:rsidR="001F774D">
          <w:rPr>
            <w:webHidden/>
          </w:rPr>
          <w:t>427</w:t>
        </w:r>
        <w:r w:rsidR="00CD4059">
          <w:rPr>
            <w:webHidden/>
          </w:rPr>
          <w:fldChar w:fldCharType="end"/>
        </w:r>
      </w:hyperlink>
    </w:p>
    <w:p w14:paraId="694E7BC0" w14:textId="54015755" w:rsidR="00CD4059" w:rsidRDefault="009C595A">
      <w:pPr>
        <w:pStyle w:val="Spisilustracji"/>
        <w:rPr>
          <w:rFonts w:asciiTheme="minorHAnsi" w:eastAsiaTheme="minorEastAsia" w:hAnsiTheme="minorHAnsi" w:cstheme="minorBidi"/>
          <w:sz w:val="22"/>
          <w:lang w:eastAsia="pl-PL"/>
        </w:rPr>
      </w:pPr>
      <w:hyperlink w:anchor="_Toc105512919" w:history="1">
        <w:r w:rsidR="00CD4059" w:rsidRPr="00BF773F">
          <w:rPr>
            <w:rStyle w:val="Hipercze"/>
          </w:rPr>
          <w:t>Tabela 24</w:t>
        </w:r>
        <w:r w:rsidR="00CD4059" w:rsidRPr="00BF773F">
          <w:rPr>
            <w:rStyle w:val="Hipercze"/>
          </w:rPr>
          <w:noBreakHyphen/>
          <w:t>2.</w:t>
        </w:r>
        <w:r w:rsidR="00CD4059">
          <w:rPr>
            <w:rFonts w:asciiTheme="minorHAnsi" w:eastAsiaTheme="minorEastAsia" w:hAnsiTheme="minorHAnsi" w:cstheme="minorBidi"/>
            <w:sz w:val="22"/>
            <w:lang w:eastAsia="pl-PL"/>
          </w:rPr>
          <w:tab/>
        </w:r>
        <w:r w:rsidR="00CD4059" w:rsidRPr="00BF773F">
          <w:rPr>
            <w:rStyle w:val="Hipercze"/>
          </w:rPr>
          <w:t>Dane adresowe organów właściwych do udzielania informacji z zakresu monitoringu wód i obszarów chronionych dla obszaru dorzecza Odry</w:t>
        </w:r>
        <w:r w:rsidR="00CD4059">
          <w:rPr>
            <w:webHidden/>
          </w:rPr>
          <w:tab/>
        </w:r>
        <w:r w:rsidR="00CD4059">
          <w:rPr>
            <w:webHidden/>
          </w:rPr>
          <w:fldChar w:fldCharType="begin"/>
        </w:r>
        <w:r w:rsidR="00CD4059">
          <w:rPr>
            <w:webHidden/>
          </w:rPr>
          <w:instrText xml:space="preserve"> PAGEREF _Toc105512919 \h </w:instrText>
        </w:r>
        <w:r w:rsidR="00CD4059">
          <w:rPr>
            <w:webHidden/>
          </w:rPr>
        </w:r>
        <w:r w:rsidR="00CD4059">
          <w:rPr>
            <w:webHidden/>
          </w:rPr>
          <w:fldChar w:fldCharType="separate"/>
        </w:r>
        <w:r w:rsidR="001F774D">
          <w:rPr>
            <w:webHidden/>
          </w:rPr>
          <w:t>427</w:t>
        </w:r>
        <w:r w:rsidR="00CD4059">
          <w:rPr>
            <w:webHidden/>
          </w:rPr>
          <w:fldChar w:fldCharType="end"/>
        </w:r>
      </w:hyperlink>
    </w:p>
    <w:p w14:paraId="62134A75" w14:textId="02EE53FD" w:rsidR="00DD221D" w:rsidRPr="00795F17" w:rsidRDefault="00F8325B" w:rsidP="004C22AF">
      <w:pPr>
        <w:pStyle w:val="Tytu"/>
      </w:pPr>
      <w:r>
        <w:fldChar w:fldCharType="end"/>
      </w:r>
      <w:r w:rsidR="00DD221D" w:rsidRPr="00795F17">
        <w:t>Spis rysunków</w:t>
      </w:r>
    </w:p>
    <w:p w14:paraId="54A2A03F" w14:textId="3A431FA5" w:rsidR="00342921" w:rsidRDefault="005E4A11">
      <w:pPr>
        <w:pStyle w:val="Spisilustracji"/>
        <w:rPr>
          <w:rFonts w:asciiTheme="minorHAnsi" w:eastAsiaTheme="minorEastAsia" w:hAnsiTheme="minorHAnsi" w:cstheme="minorBidi"/>
          <w:sz w:val="22"/>
          <w:lang w:eastAsia="pl-PL"/>
        </w:rPr>
      </w:pPr>
      <w:r>
        <w:fldChar w:fldCharType="begin"/>
      </w:r>
      <w:r>
        <w:instrText xml:space="preserve"> TOC \h \z \c "Rysunek" </w:instrText>
      </w:r>
      <w:r>
        <w:fldChar w:fldCharType="separate"/>
      </w:r>
      <w:hyperlink w:anchor="_Toc105512929" w:history="1">
        <w:r w:rsidR="00342921" w:rsidRPr="00AB6CEA">
          <w:rPr>
            <w:rStyle w:val="Hipercze"/>
          </w:rPr>
          <w:t>Rysunek 1</w:t>
        </w:r>
        <w:r w:rsidR="00342921" w:rsidRPr="00AB6CEA">
          <w:rPr>
            <w:rStyle w:val="Hipercze"/>
          </w:rPr>
          <w:noBreakHyphen/>
          <w:t>1.</w:t>
        </w:r>
        <w:r w:rsidR="00342921">
          <w:rPr>
            <w:rFonts w:asciiTheme="minorHAnsi" w:eastAsiaTheme="minorEastAsia" w:hAnsiTheme="minorHAnsi" w:cstheme="minorBidi"/>
            <w:sz w:val="22"/>
            <w:lang w:eastAsia="pl-PL"/>
          </w:rPr>
          <w:tab/>
        </w:r>
        <w:r w:rsidR="00342921" w:rsidRPr="00AB6CEA">
          <w:rPr>
            <w:rStyle w:val="Hipercze"/>
          </w:rPr>
          <w:t>Relacje głównych zagadnień planu gospodarowania wodami</w:t>
        </w:r>
        <w:r w:rsidR="00342921">
          <w:rPr>
            <w:webHidden/>
          </w:rPr>
          <w:tab/>
        </w:r>
        <w:r w:rsidR="00342921">
          <w:rPr>
            <w:webHidden/>
          </w:rPr>
          <w:fldChar w:fldCharType="begin"/>
        </w:r>
        <w:r w:rsidR="00342921">
          <w:rPr>
            <w:webHidden/>
          </w:rPr>
          <w:instrText xml:space="preserve"> PAGEREF _Toc105512929 \h </w:instrText>
        </w:r>
        <w:r w:rsidR="00342921">
          <w:rPr>
            <w:webHidden/>
          </w:rPr>
        </w:r>
        <w:r w:rsidR="00342921">
          <w:rPr>
            <w:webHidden/>
          </w:rPr>
          <w:fldChar w:fldCharType="separate"/>
        </w:r>
        <w:r w:rsidR="001F774D">
          <w:rPr>
            <w:webHidden/>
          </w:rPr>
          <w:t>24</w:t>
        </w:r>
        <w:r w:rsidR="00342921">
          <w:rPr>
            <w:webHidden/>
          </w:rPr>
          <w:fldChar w:fldCharType="end"/>
        </w:r>
      </w:hyperlink>
    </w:p>
    <w:p w14:paraId="7DEA7117" w14:textId="1D5B44E6" w:rsidR="00342921" w:rsidRDefault="009C595A">
      <w:pPr>
        <w:pStyle w:val="Spisilustracji"/>
        <w:rPr>
          <w:rFonts w:asciiTheme="minorHAnsi" w:eastAsiaTheme="minorEastAsia" w:hAnsiTheme="minorHAnsi" w:cstheme="minorBidi"/>
          <w:sz w:val="22"/>
          <w:lang w:eastAsia="pl-PL"/>
        </w:rPr>
      </w:pPr>
      <w:hyperlink w:anchor="_Toc105512930" w:history="1">
        <w:r w:rsidR="00342921" w:rsidRPr="00AB6CEA">
          <w:rPr>
            <w:rStyle w:val="Hipercze"/>
          </w:rPr>
          <w:t>Rysunek 2</w:t>
        </w:r>
        <w:r w:rsidR="00342921" w:rsidRPr="00AB6CEA">
          <w:rPr>
            <w:rStyle w:val="Hipercze"/>
          </w:rPr>
          <w:noBreakHyphen/>
          <w:t>1.</w:t>
        </w:r>
        <w:r w:rsidR="00342921">
          <w:rPr>
            <w:rFonts w:asciiTheme="minorHAnsi" w:eastAsiaTheme="minorEastAsia" w:hAnsiTheme="minorHAnsi" w:cstheme="minorBidi"/>
            <w:sz w:val="22"/>
            <w:lang w:eastAsia="pl-PL"/>
          </w:rPr>
          <w:tab/>
        </w:r>
        <w:r w:rsidR="00342921" w:rsidRPr="00AB6CEA">
          <w:rPr>
            <w:rStyle w:val="Hipercze"/>
          </w:rPr>
          <w:t>Struktura dokumentu IIaPGW</w:t>
        </w:r>
        <w:r w:rsidR="00342921">
          <w:rPr>
            <w:webHidden/>
          </w:rPr>
          <w:tab/>
        </w:r>
        <w:r w:rsidR="00342921">
          <w:rPr>
            <w:webHidden/>
          </w:rPr>
          <w:fldChar w:fldCharType="begin"/>
        </w:r>
        <w:r w:rsidR="00342921">
          <w:rPr>
            <w:webHidden/>
          </w:rPr>
          <w:instrText xml:space="preserve"> PAGEREF _Toc105512930 \h </w:instrText>
        </w:r>
        <w:r w:rsidR="00342921">
          <w:rPr>
            <w:webHidden/>
          </w:rPr>
        </w:r>
        <w:r w:rsidR="00342921">
          <w:rPr>
            <w:webHidden/>
          </w:rPr>
          <w:fldChar w:fldCharType="separate"/>
        </w:r>
        <w:r w:rsidR="001F774D">
          <w:rPr>
            <w:webHidden/>
          </w:rPr>
          <w:t>28</w:t>
        </w:r>
        <w:r w:rsidR="00342921">
          <w:rPr>
            <w:webHidden/>
          </w:rPr>
          <w:fldChar w:fldCharType="end"/>
        </w:r>
      </w:hyperlink>
    </w:p>
    <w:p w14:paraId="26018840" w14:textId="56F950AF" w:rsidR="00342921" w:rsidRDefault="009C595A">
      <w:pPr>
        <w:pStyle w:val="Spisilustracji"/>
        <w:rPr>
          <w:rFonts w:asciiTheme="minorHAnsi" w:eastAsiaTheme="minorEastAsia" w:hAnsiTheme="minorHAnsi" w:cstheme="minorBidi"/>
          <w:sz w:val="22"/>
          <w:lang w:eastAsia="pl-PL"/>
        </w:rPr>
      </w:pPr>
      <w:hyperlink w:anchor="_Toc105512931" w:history="1">
        <w:r w:rsidR="00342921" w:rsidRPr="00AB6CEA">
          <w:rPr>
            <w:rStyle w:val="Hipercze"/>
          </w:rPr>
          <w:t>Rysunek 3</w:t>
        </w:r>
        <w:r w:rsidR="00342921" w:rsidRPr="00AB6CEA">
          <w:rPr>
            <w:rStyle w:val="Hipercze"/>
          </w:rPr>
          <w:noBreakHyphen/>
          <w:t>1.</w:t>
        </w:r>
        <w:r w:rsidR="00342921">
          <w:rPr>
            <w:rFonts w:asciiTheme="minorHAnsi" w:eastAsiaTheme="minorEastAsia" w:hAnsiTheme="minorHAnsi" w:cstheme="minorBidi"/>
            <w:sz w:val="22"/>
            <w:lang w:eastAsia="pl-PL"/>
          </w:rPr>
          <w:tab/>
        </w:r>
        <w:r w:rsidR="00342921" w:rsidRPr="00AB6CEA">
          <w:rPr>
            <w:rStyle w:val="Hipercze"/>
          </w:rPr>
          <w:t>Graficzne odwzorowanie obszaru dorzecza Odry</w:t>
        </w:r>
        <w:r w:rsidR="00342921">
          <w:rPr>
            <w:webHidden/>
          </w:rPr>
          <w:tab/>
        </w:r>
        <w:r w:rsidR="00342921">
          <w:rPr>
            <w:webHidden/>
          </w:rPr>
          <w:fldChar w:fldCharType="begin"/>
        </w:r>
        <w:r w:rsidR="00342921">
          <w:rPr>
            <w:webHidden/>
          </w:rPr>
          <w:instrText xml:space="preserve"> PAGEREF _Toc105512931 \h </w:instrText>
        </w:r>
        <w:r w:rsidR="00342921">
          <w:rPr>
            <w:webHidden/>
          </w:rPr>
        </w:r>
        <w:r w:rsidR="00342921">
          <w:rPr>
            <w:webHidden/>
          </w:rPr>
          <w:fldChar w:fldCharType="separate"/>
        </w:r>
        <w:r w:rsidR="001F774D">
          <w:rPr>
            <w:webHidden/>
          </w:rPr>
          <w:t>30</w:t>
        </w:r>
        <w:r w:rsidR="00342921">
          <w:rPr>
            <w:webHidden/>
          </w:rPr>
          <w:fldChar w:fldCharType="end"/>
        </w:r>
      </w:hyperlink>
    </w:p>
    <w:p w14:paraId="23D4D3B2" w14:textId="4D10A528" w:rsidR="00342921" w:rsidRDefault="009C595A">
      <w:pPr>
        <w:pStyle w:val="Spisilustracji"/>
        <w:rPr>
          <w:rFonts w:asciiTheme="minorHAnsi" w:eastAsiaTheme="minorEastAsia" w:hAnsiTheme="minorHAnsi" w:cstheme="minorBidi"/>
          <w:sz w:val="22"/>
          <w:lang w:eastAsia="pl-PL"/>
        </w:rPr>
      </w:pPr>
      <w:hyperlink w:anchor="_Toc105512932" w:history="1">
        <w:r w:rsidR="00342921" w:rsidRPr="00AB6CEA">
          <w:rPr>
            <w:rStyle w:val="Hipercze"/>
          </w:rPr>
          <w:t>Rysunek 3</w:t>
        </w:r>
        <w:r w:rsidR="00342921" w:rsidRPr="00AB6CEA">
          <w:rPr>
            <w:rStyle w:val="Hipercze"/>
          </w:rPr>
          <w:noBreakHyphen/>
          <w:t>2.</w:t>
        </w:r>
        <w:r w:rsidR="00342921">
          <w:rPr>
            <w:rFonts w:asciiTheme="minorHAnsi" w:eastAsiaTheme="minorEastAsia" w:hAnsiTheme="minorHAnsi" w:cstheme="minorBidi"/>
            <w:sz w:val="22"/>
            <w:lang w:eastAsia="pl-PL"/>
          </w:rPr>
          <w:tab/>
        </w:r>
        <w:r w:rsidR="00342921" w:rsidRPr="00AB6CEA">
          <w:rPr>
            <w:rStyle w:val="Hipercze"/>
          </w:rPr>
          <w:t>Etapy procesu wyznaczania silnie zmienionych i sztucznych części wód</w:t>
        </w:r>
        <w:r w:rsidR="00342921">
          <w:rPr>
            <w:webHidden/>
          </w:rPr>
          <w:tab/>
        </w:r>
        <w:r w:rsidR="00342921">
          <w:rPr>
            <w:webHidden/>
          </w:rPr>
          <w:fldChar w:fldCharType="begin"/>
        </w:r>
        <w:r w:rsidR="00342921">
          <w:rPr>
            <w:webHidden/>
          </w:rPr>
          <w:instrText xml:space="preserve"> PAGEREF _Toc105512932 \h </w:instrText>
        </w:r>
        <w:r w:rsidR="00342921">
          <w:rPr>
            <w:webHidden/>
          </w:rPr>
        </w:r>
        <w:r w:rsidR="00342921">
          <w:rPr>
            <w:webHidden/>
          </w:rPr>
          <w:fldChar w:fldCharType="separate"/>
        </w:r>
        <w:r w:rsidR="001F774D">
          <w:rPr>
            <w:webHidden/>
          </w:rPr>
          <w:t>45</w:t>
        </w:r>
        <w:r w:rsidR="00342921">
          <w:rPr>
            <w:webHidden/>
          </w:rPr>
          <w:fldChar w:fldCharType="end"/>
        </w:r>
      </w:hyperlink>
    </w:p>
    <w:p w14:paraId="36CA2257" w14:textId="18E76C24" w:rsidR="00342921" w:rsidRDefault="009C595A">
      <w:pPr>
        <w:pStyle w:val="Spisilustracji"/>
        <w:rPr>
          <w:rFonts w:asciiTheme="minorHAnsi" w:eastAsiaTheme="minorEastAsia" w:hAnsiTheme="minorHAnsi" w:cstheme="minorBidi"/>
          <w:sz w:val="22"/>
          <w:lang w:eastAsia="pl-PL"/>
        </w:rPr>
      </w:pPr>
      <w:hyperlink w:anchor="_Toc105512933" w:history="1">
        <w:r w:rsidR="00342921" w:rsidRPr="00AB6CEA">
          <w:rPr>
            <w:rStyle w:val="Hipercze"/>
          </w:rPr>
          <w:t>Rysunek 8</w:t>
        </w:r>
        <w:r w:rsidR="00342921" w:rsidRPr="00AB6CEA">
          <w:rPr>
            <w:rStyle w:val="Hipercze"/>
          </w:rPr>
          <w:noBreakHyphen/>
          <w:t>1.</w:t>
        </w:r>
        <w:r w:rsidR="00342921">
          <w:rPr>
            <w:rFonts w:asciiTheme="minorHAnsi" w:eastAsiaTheme="minorEastAsia" w:hAnsiTheme="minorHAnsi" w:cstheme="minorBidi"/>
            <w:sz w:val="22"/>
            <w:lang w:eastAsia="pl-PL"/>
          </w:rPr>
          <w:tab/>
        </w:r>
        <w:r w:rsidR="00342921" w:rsidRPr="00AB6CEA">
          <w:rPr>
            <w:rStyle w:val="Hipercze"/>
          </w:rPr>
          <w:t>Algorytm decyzyjny zastosowania odstępstw w trybie art. 4 ust. 4 i 5 RDW</w:t>
        </w:r>
        <w:r w:rsidR="00342921">
          <w:rPr>
            <w:webHidden/>
          </w:rPr>
          <w:tab/>
        </w:r>
        <w:r w:rsidR="00342921">
          <w:rPr>
            <w:webHidden/>
          </w:rPr>
          <w:fldChar w:fldCharType="begin"/>
        </w:r>
        <w:r w:rsidR="00342921">
          <w:rPr>
            <w:webHidden/>
          </w:rPr>
          <w:instrText xml:space="preserve"> PAGEREF _Toc105512933 \h </w:instrText>
        </w:r>
        <w:r w:rsidR="00342921">
          <w:rPr>
            <w:webHidden/>
          </w:rPr>
        </w:r>
        <w:r w:rsidR="00342921">
          <w:rPr>
            <w:webHidden/>
          </w:rPr>
          <w:fldChar w:fldCharType="separate"/>
        </w:r>
        <w:r w:rsidR="001F774D">
          <w:rPr>
            <w:webHidden/>
          </w:rPr>
          <w:t>193</w:t>
        </w:r>
        <w:r w:rsidR="00342921">
          <w:rPr>
            <w:webHidden/>
          </w:rPr>
          <w:fldChar w:fldCharType="end"/>
        </w:r>
      </w:hyperlink>
    </w:p>
    <w:p w14:paraId="039432CF" w14:textId="1E67B9CB" w:rsidR="00342921" w:rsidRDefault="009C595A">
      <w:pPr>
        <w:pStyle w:val="Spisilustracji"/>
        <w:rPr>
          <w:rFonts w:asciiTheme="minorHAnsi" w:eastAsiaTheme="minorEastAsia" w:hAnsiTheme="minorHAnsi" w:cstheme="minorBidi"/>
          <w:sz w:val="22"/>
          <w:lang w:eastAsia="pl-PL"/>
        </w:rPr>
      </w:pPr>
      <w:hyperlink w:anchor="_Toc105512934" w:history="1">
        <w:r w:rsidR="00342921" w:rsidRPr="00AB6CEA">
          <w:rPr>
            <w:rStyle w:val="Hipercze"/>
          </w:rPr>
          <w:t>Rysunek 11</w:t>
        </w:r>
        <w:r w:rsidR="00342921" w:rsidRPr="00AB6CEA">
          <w:rPr>
            <w:rStyle w:val="Hipercze"/>
          </w:rPr>
          <w:noBreakHyphen/>
          <w:t>1.</w:t>
        </w:r>
        <w:r w:rsidR="00342921">
          <w:rPr>
            <w:rFonts w:asciiTheme="minorHAnsi" w:eastAsiaTheme="minorEastAsia" w:hAnsiTheme="minorHAnsi" w:cstheme="minorBidi"/>
            <w:sz w:val="22"/>
            <w:lang w:eastAsia="pl-PL"/>
          </w:rPr>
          <w:tab/>
        </w:r>
        <w:r w:rsidR="00342921" w:rsidRPr="00AB6CEA">
          <w:rPr>
            <w:rStyle w:val="Hipercze"/>
          </w:rPr>
          <w:t>Schemat analizy efektywności kosztowej</w:t>
        </w:r>
        <w:r w:rsidR="00342921">
          <w:rPr>
            <w:webHidden/>
          </w:rPr>
          <w:tab/>
        </w:r>
        <w:r w:rsidR="00342921">
          <w:rPr>
            <w:webHidden/>
          </w:rPr>
          <w:fldChar w:fldCharType="begin"/>
        </w:r>
        <w:r w:rsidR="00342921">
          <w:rPr>
            <w:webHidden/>
          </w:rPr>
          <w:instrText xml:space="preserve"> PAGEREF _Toc105512934 \h </w:instrText>
        </w:r>
        <w:r w:rsidR="00342921">
          <w:rPr>
            <w:webHidden/>
          </w:rPr>
        </w:r>
        <w:r w:rsidR="00342921">
          <w:rPr>
            <w:webHidden/>
          </w:rPr>
          <w:fldChar w:fldCharType="separate"/>
        </w:r>
        <w:r w:rsidR="001F774D">
          <w:rPr>
            <w:webHidden/>
          </w:rPr>
          <w:t>242</w:t>
        </w:r>
        <w:r w:rsidR="00342921">
          <w:rPr>
            <w:webHidden/>
          </w:rPr>
          <w:fldChar w:fldCharType="end"/>
        </w:r>
      </w:hyperlink>
    </w:p>
    <w:p w14:paraId="676DE273" w14:textId="51C361F2" w:rsidR="00342921" w:rsidRDefault="009C595A">
      <w:pPr>
        <w:pStyle w:val="Spisilustracji"/>
        <w:rPr>
          <w:rFonts w:asciiTheme="minorHAnsi" w:eastAsiaTheme="minorEastAsia" w:hAnsiTheme="minorHAnsi" w:cstheme="minorBidi"/>
          <w:sz w:val="22"/>
          <w:lang w:eastAsia="pl-PL"/>
        </w:rPr>
      </w:pPr>
      <w:hyperlink w:anchor="_Toc105512935" w:history="1">
        <w:r w:rsidR="00342921" w:rsidRPr="00AB6CEA">
          <w:rPr>
            <w:rStyle w:val="Hipercze"/>
          </w:rPr>
          <w:t>Rysunek 12</w:t>
        </w:r>
        <w:r w:rsidR="00342921" w:rsidRPr="00AB6CEA">
          <w:rPr>
            <w:rStyle w:val="Hipercze"/>
          </w:rPr>
          <w:noBreakHyphen/>
          <w:t>1.</w:t>
        </w:r>
        <w:r w:rsidR="00342921">
          <w:rPr>
            <w:rFonts w:asciiTheme="minorHAnsi" w:eastAsiaTheme="minorEastAsia" w:hAnsiTheme="minorHAnsi" w:cstheme="minorBidi"/>
            <w:sz w:val="22"/>
            <w:lang w:eastAsia="pl-PL"/>
          </w:rPr>
          <w:tab/>
        </w:r>
        <w:r w:rsidR="00342921" w:rsidRPr="00AB6CEA">
          <w:rPr>
            <w:rStyle w:val="Hipercze"/>
          </w:rPr>
          <w:t>Powiązania wzajemne katalogów i zestawów</w:t>
        </w:r>
        <w:r w:rsidR="00342921">
          <w:rPr>
            <w:webHidden/>
          </w:rPr>
          <w:tab/>
        </w:r>
        <w:r w:rsidR="00342921">
          <w:rPr>
            <w:webHidden/>
          </w:rPr>
          <w:fldChar w:fldCharType="begin"/>
        </w:r>
        <w:r w:rsidR="00342921">
          <w:rPr>
            <w:webHidden/>
          </w:rPr>
          <w:instrText xml:space="preserve"> PAGEREF _Toc105512935 \h </w:instrText>
        </w:r>
        <w:r w:rsidR="00342921">
          <w:rPr>
            <w:webHidden/>
          </w:rPr>
        </w:r>
        <w:r w:rsidR="00342921">
          <w:rPr>
            <w:webHidden/>
          </w:rPr>
          <w:fldChar w:fldCharType="separate"/>
        </w:r>
        <w:r w:rsidR="001F774D">
          <w:rPr>
            <w:webHidden/>
          </w:rPr>
          <w:t>252</w:t>
        </w:r>
        <w:r w:rsidR="00342921">
          <w:rPr>
            <w:webHidden/>
          </w:rPr>
          <w:fldChar w:fldCharType="end"/>
        </w:r>
      </w:hyperlink>
    </w:p>
    <w:p w14:paraId="7D9538E7" w14:textId="7E45A353" w:rsidR="00342921" w:rsidRDefault="009C595A">
      <w:pPr>
        <w:pStyle w:val="Spisilustracji"/>
        <w:rPr>
          <w:rFonts w:asciiTheme="minorHAnsi" w:eastAsiaTheme="minorEastAsia" w:hAnsiTheme="minorHAnsi" w:cstheme="minorBidi"/>
          <w:sz w:val="22"/>
          <w:lang w:eastAsia="pl-PL"/>
        </w:rPr>
      </w:pPr>
      <w:hyperlink w:anchor="_Toc105512936" w:history="1">
        <w:r w:rsidR="00342921" w:rsidRPr="00AB6CEA">
          <w:rPr>
            <w:rStyle w:val="Hipercze"/>
          </w:rPr>
          <w:t>Rysunek 19</w:t>
        </w:r>
        <w:r w:rsidR="00342921" w:rsidRPr="00AB6CEA">
          <w:rPr>
            <w:rStyle w:val="Hipercze"/>
          </w:rPr>
          <w:noBreakHyphen/>
          <w:t>1.</w:t>
        </w:r>
        <w:r w:rsidR="00342921">
          <w:rPr>
            <w:rFonts w:asciiTheme="minorHAnsi" w:eastAsiaTheme="minorEastAsia" w:hAnsiTheme="minorHAnsi" w:cstheme="minorBidi"/>
            <w:sz w:val="22"/>
            <w:lang w:eastAsia="pl-PL"/>
          </w:rPr>
          <w:tab/>
        </w:r>
        <w:r w:rsidR="00342921" w:rsidRPr="00AB6CEA">
          <w:rPr>
            <w:rStyle w:val="Hipercze"/>
          </w:rPr>
          <w:t>Schemat - relacje pomiędzy wybranymi dokumentami systemu zarządzania polityką rozwoju a dokumentem IIaPGW</w:t>
        </w:r>
        <w:r w:rsidR="00342921">
          <w:rPr>
            <w:webHidden/>
          </w:rPr>
          <w:tab/>
        </w:r>
        <w:r w:rsidR="00342921">
          <w:rPr>
            <w:webHidden/>
          </w:rPr>
          <w:fldChar w:fldCharType="begin"/>
        </w:r>
        <w:r w:rsidR="00342921">
          <w:rPr>
            <w:webHidden/>
          </w:rPr>
          <w:instrText xml:space="preserve"> PAGEREF _Toc105512936 \h </w:instrText>
        </w:r>
        <w:r w:rsidR="00342921">
          <w:rPr>
            <w:webHidden/>
          </w:rPr>
        </w:r>
        <w:r w:rsidR="00342921">
          <w:rPr>
            <w:webHidden/>
          </w:rPr>
          <w:fldChar w:fldCharType="separate"/>
        </w:r>
        <w:r w:rsidR="001F774D">
          <w:rPr>
            <w:webHidden/>
          </w:rPr>
          <w:t>374</w:t>
        </w:r>
        <w:r w:rsidR="00342921">
          <w:rPr>
            <w:webHidden/>
          </w:rPr>
          <w:fldChar w:fldCharType="end"/>
        </w:r>
      </w:hyperlink>
    </w:p>
    <w:p w14:paraId="60B50208" w14:textId="0FA43E6A" w:rsidR="00342921" w:rsidRDefault="009C595A">
      <w:pPr>
        <w:pStyle w:val="Spisilustracji"/>
        <w:rPr>
          <w:rFonts w:asciiTheme="minorHAnsi" w:eastAsiaTheme="minorEastAsia" w:hAnsiTheme="minorHAnsi" w:cstheme="minorBidi"/>
          <w:sz w:val="22"/>
          <w:lang w:eastAsia="pl-PL"/>
        </w:rPr>
      </w:pPr>
      <w:hyperlink w:anchor="_Toc105512937" w:history="1">
        <w:r w:rsidR="00342921" w:rsidRPr="00AB6CEA">
          <w:rPr>
            <w:rStyle w:val="Hipercze"/>
          </w:rPr>
          <w:t>Rysunek 20</w:t>
        </w:r>
        <w:r w:rsidR="00342921" w:rsidRPr="00AB6CEA">
          <w:rPr>
            <w:rStyle w:val="Hipercze"/>
          </w:rPr>
          <w:noBreakHyphen/>
          <w:t xml:space="preserve">1. </w:t>
        </w:r>
        <w:r w:rsidR="00342921">
          <w:rPr>
            <w:rFonts w:asciiTheme="minorHAnsi" w:eastAsiaTheme="minorEastAsia" w:hAnsiTheme="minorHAnsi" w:cstheme="minorBidi"/>
            <w:sz w:val="22"/>
            <w:lang w:eastAsia="pl-PL"/>
          </w:rPr>
          <w:tab/>
        </w:r>
        <w:r w:rsidR="00342921" w:rsidRPr="00AB6CEA">
          <w:rPr>
            <w:rStyle w:val="Hipercze"/>
          </w:rPr>
          <w:t>Miejsca spotkań konsultacyjnych projektów IIaPGW</w:t>
        </w:r>
        <w:r w:rsidR="00342921">
          <w:rPr>
            <w:webHidden/>
          </w:rPr>
          <w:tab/>
        </w:r>
        <w:r w:rsidR="00342921">
          <w:rPr>
            <w:webHidden/>
          </w:rPr>
          <w:fldChar w:fldCharType="begin"/>
        </w:r>
        <w:r w:rsidR="00342921">
          <w:rPr>
            <w:webHidden/>
          </w:rPr>
          <w:instrText xml:space="preserve"> PAGEREF _Toc105512937 \h </w:instrText>
        </w:r>
        <w:r w:rsidR="00342921">
          <w:rPr>
            <w:webHidden/>
          </w:rPr>
        </w:r>
        <w:r w:rsidR="00342921">
          <w:rPr>
            <w:webHidden/>
          </w:rPr>
          <w:fldChar w:fldCharType="separate"/>
        </w:r>
        <w:r w:rsidR="001F774D">
          <w:rPr>
            <w:webHidden/>
          </w:rPr>
          <w:t>400</w:t>
        </w:r>
        <w:r w:rsidR="00342921">
          <w:rPr>
            <w:webHidden/>
          </w:rPr>
          <w:fldChar w:fldCharType="end"/>
        </w:r>
      </w:hyperlink>
    </w:p>
    <w:p w14:paraId="7C2EB9FE" w14:textId="1B1BE086" w:rsidR="00BE0C18" w:rsidRPr="00795F17" w:rsidRDefault="005E4A11" w:rsidP="0044393D">
      <w:pPr>
        <w:pStyle w:val="Tytu"/>
      </w:pPr>
      <w:r>
        <w:lastRenderedPageBreak/>
        <w:fldChar w:fldCharType="end"/>
      </w:r>
      <w:r w:rsidR="00BE0C18" w:rsidRPr="00795F17">
        <w:t>Spis wykresów</w:t>
      </w:r>
    </w:p>
    <w:p w14:paraId="79BB97F3" w14:textId="79CBCB09" w:rsidR="00342921" w:rsidRDefault="005E4A11">
      <w:pPr>
        <w:pStyle w:val="Spisilustracji"/>
        <w:rPr>
          <w:rFonts w:asciiTheme="minorHAnsi" w:eastAsiaTheme="minorEastAsia" w:hAnsiTheme="minorHAnsi" w:cstheme="minorBidi"/>
          <w:sz w:val="22"/>
          <w:lang w:eastAsia="pl-PL"/>
        </w:rPr>
      </w:pPr>
      <w:r>
        <w:fldChar w:fldCharType="begin"/>
      </w:r>
      <w:r>
        <w:instrText xml:space="preserve"> TOC \h \z \c "Wykres" </w:instrText>
      </w:r>
      <w:r>
        <w:fldChar w:fldCharType="separate"/>
      </w:r>
      <w:hyperlink w:anchor="_Toc105512938" w:history="1">
        <w:r w:rsidR="00342921" w:rsidRPr="00D32504">
          <w:rPr>
            <w:rStyle w:val="Hipercze"/>
          </w:rPr>
          <w:t>Wykres 3</w:t>
        </w:r>
        <w:r w:rsidR="00342921" w:rsidRPr="00D32504">
          <w:rPr>
            <w:rStyle w:val="Hipercze"/>
          </w:rPr>
          <w:noBreakHyphen/>
          <w:t>1.</w:t>
        </w:r>
        <w:r w:rsidR="00342921">
          <w:rPr>
            <w:rFonts w:asciiTheme="minorHAnsi" w:eastAsiaTheme="minorEastAsia" w:hAnsiTheme="minorHAnsi" w:cstheme="minorBidi"/>
            <w:sz w:val="22"/>
            <w:lang w:eastAsia="pl-PL"/>
          </w:rPr>
          <w:tab/>
        </w:r>
        <w:r w:rsidR="00342921" w:rsidRPr="00D32504">
          <w:rPr>
            <w:rStyle w:val="Hipercze"/>
          </w:rPr>
          <w:t>Udział powierzchni poszczególnych regionów wodnych w powierzchni obszaru dorzecza Odry</w:t>
        </w:r>
        <w:r w:rsidR="00342921">
          <w:rPr>
            <w:webHidden/>
          </w:rPr>
          <w:tab/>
        </w:r>
        <w:r w:rsidR="00342921">
          <w:rPr>
            <w:webHidden/>
          </w:rPr>
          <w:fldChar w:fldCharType="begin"/>
        </w:r>
        <w:r w:rsidR="00342921">
          <w:rPr>
            <w:webHidden/>
          </w:rPr>
          <w:instrText xml:space="preserve"> PAGEREF _Toc105512938 \h </w:instrText>
        </w:r>
        <w:r w:rsidR="00342921">
          <w:rPr>
            <w:webHidden/>
          </w:rPr>
        </w:r>
        <w:r w:rsidR="00342921">
          <w:rPr>
            <w:webHidden/>
          </w:rPr>
          <w:fldChar w:fldCharType="separate"/>
        </w:r>
        <w:r w:rsidR="001F774D">
          <w:rPr>
            <w:webHidden/>
          </w:rPr>
          <w:t>33</w:t>
        </w:r>
        <w:r w:rsidR="00342921">
          <w:rPr>
            <w:webHidden/>
          </w:rPr>
          <w:fldChar w:fldCharType="end"/>
        </w:r>
      </w:hyperlink>
    </w:p>
    <w:p w14:paraId="2CC12C7E" w14:textId="4F83A81B" w:rsidR="00342921" w:rsidRDefault="009C595A">
      <w:pPr>
        <w:pStyle w:val="Spisilustracji"/>
        <w:rPr>
          <w:rFonts w:asciiTheme="minorHAnsi" w:eastAsiaTheme="minorEastAsia" w:hAnsiTheme="minorHAnsi" w:cstheme="minorBidi"/>
          <w:sz w:val="22"/>
          <w:lang w:eastAsia="pl-PL"/>
        </w:rPr>
      </w:pPr>
      <w:hyperlink w:anchor="_Toc105512939" w:history="1">
        <w:r w:rsidR="00342921" w:rsidRPr="00D32504">
          <w:rPr>
            <w:rStyle w:val="Hipercze"/>
          </w:rPr>
          <w:t>Wykres 3</w:t>
        </w:r>
        <w:r w:rsidR="00342921" w:rsidRPr="00D32504">
          <w:rPr>
            <w:rStyle w:val="Hipercze"/>
          </w:rPr>
          <w:noBreakHyphen/>
          <w:t>2.</w:t>
        </w:r>
        <w:r w:rsidR="00342921">
          <w:rPr>
            <w:rFonts w:asciiTheme="minorHAnsi" w:eastAsiaTheme="minorEastAsia" w:hAnsiTheme="minorHAnsi" w:cstheme="minorBidi"/>
            <w:sz w:val="22"/>
            <w:lang w:eastAsia="pl-PL"/>
          </w:rPr>
          <w:tab/>
        </w:r>
        <w:r w:rsidR="00342921" w:rsidRPr="00D32504">
          <w:rPr>
            <w:rStyle w:val="Hipercze"/>
          </w:rPr>
          <w:t>Udział powierzchni poszczególnych ekoregionów w obrębie regionu wodnego Górnej Odry</w:t>
        </w:r>
        <w:r w:rsidR="00342921">
          <w:rPr>
            <w:webHidden/>
          </w:rPr>
          <w:tab/>
        </w:r>
        <w:r w:rsidR="00342921">
          <w:rPr>
            <w:webHidden/>
          </w:rPr>
          <w:fldChar w:fldCharType="begin"/>
        </w:r>
        <w:r w:rsidR="00342921">
          <w:rPr>
            <w:webHidden/>
          </w:rPr>
          <w:instrText xml:space="preserve"> PAGEREF _Toc105512939 \h </w:instrText>
        </w:r>
        <w:r w:rsidR="00342921">
          <w:rPr>
            <w:webHidden/>
          </w:rPr>
        </w:r>
        <w:r w:rsidR="00342921">
          <w:rPr>
            <w:webHidden/>
          </w:rPr>
          <w:fldChar w:fldCharType="separate"/>
        </w:r>
        <w:r w:rsidR="001F774D">
          <w:rPr>
            <w:webHidden/>
          </w:rPr>
          <w:t>34</w:t>
        </w:r>
        <w:r w:rsidR="00342921">
          <w:rPr>
            <w:webHidden/>
          </w:rPr>
          <w:fldChar w:fldCharType="end"/>
        </w:r>
      </w:hyperlink>
    </w:p>
    <w:p w14:paraId="09D4AC87" w14:textId="4DAD415F" w:rsidR="00342921" w:rsidRDefault="009C595A">
      <w:pPr>
        <w:pStyle w:val="Spisilustracji"/>
        <w:rPr>
          <w:rFonts w:asciiTheme="minorHAnsi" w:eastAsiaTheme="minorEastAsia" w:hAnsiTheme="minorHAnsi" w:cstheme="minorBidi"/>
          <w:sz w:val="22"/>
          <w:lang w:eastAsia="pl-PL"/>
        </w:rPr>
      </w:pPr>
      <w:hyperlink w:anchor="_Toc105512940" w:history="1">
        <w:r w:rsidR="00342921" w:rsidRPr="00D32504">
          <w:rPr>
            <w:rStyle w:val="Hipercze"/>
          </w:rPr>
          <w:t>Wykres 3</w:t>
        </w:r>
        <w:r w:rsidR="00342921" w:rsidRPr="00D32504">
          <w:rPr>
            <w:rStyle w:val="Hipercze"/>
          </w:rPr>
          <w:noBreakHyphen/>
          <w:t>3.</w:t>
        </w:r>
        <w:r w:rsidR="00342921">
          <w:rPr>
            <w:rFonts w:asciiTheme="minorHAnsi" w:eastAsiaTheme="minorEastAsia" w:hAnsiTheme="minorHAnsi" w:cstheme="minorBidi"/>
            <w:sz w:val="22"/>
            <w:lang w:eastAsia="pl-PL"/>
          </w:rPr>
          <w:tab/>
        </w:r>
        <w:r w:rsidR="00342921" w:rsidRPr="00D32504">
          <w:rPr>
            <w:rStyle w:val="Hipercze"/>
          </w:rPr>
          <w:t>Udział poszczególnych form zagospodarowania terenu regionu wodnego Górnej Odry</w:t>
        </w:r>
        <w:r w:rsidR="00342921">
          <w:rPr>
            <w:webHidden/>
          </w:rPr>
          <w:tab/>
        </w:r>
        <w:r w:rsidR="00342921">
          <w:rPr>
            <w:webHidden/>
          </w:rPr>
          <w:fldChar w:fldCharType="begin"/>
        </w:r>
        <w:r w:rsidR="00342921">
          <w:rPr>
            <w:webHidden/>
          </w:rPr>
          <w:instrText xml:space="preserve"> PAGEREF _Toc105512940 \h </w:instrText>
        </w:r>
        <w:r w:rsidR="00342921">
          <w:rPr>
            <w:webHidden/>
          </w:rPr>
        </w:r>
        <w:r w:rsidR="00342921">
          <w:rPr>
            <w:webHidden/>
          </w:rPr>
          <w:fldChar w:fldCharType="separate"/>
        </w:r>
        <w:r w:rsidR="001F774D">
          <w:rPr>
            <w:webHidden/>
          </w:rPr>
          <w:t>34</w:t>
        </w:r>
        <w:r w:rsidR="00342921">
          <w:rPr>
            <w:webHidden/>
          </w:rPr>
          <w:fldChar w:fldCharType="end"/>
        </w:r>
      </w:hyperlink>
    </w:p>
    <w:p w14:paraId="3EEB66D9" w14:textId="3318AB63" w:rsidR="00342921" w:rsidRDefault="009C595A">
      <w:pPr>
        <w:pStyle w:val="Spisilustracji"/>
        <w:rPr>
          <w:rFonts w:asciiTheme="minorHAnsi" w:eastAsiaTheme="minorEastAsia" w:hAnsiTheme="minorHAnsi" w:cstheme="minorBidi"/>
          <w:sz w:val="22"/>
          <w:lang w:eastAsia="pl-PL"/>
        </w:rPr>
      </w:pPr>
      <w:hyperlink w:anchor="_Toc105512941" w:history="1">
        <w:r w:rsidR="00342921" w:rsidRPr="00D32504">
          <w:rPr>
            <w:rStyle w:val="Hipercze"/>
          </w:rPr>
          <w:t>Wykres 3</w:t>
        </w:r>
        <w:r w:rsidR="00342921" w:rsidRPr="00D32504">
          <w:rPr>
            <w:rStyle w:val="Hipercze"/>
          </w:rPr>
          <w:noBreakHyphen/>
          <w:t>4.</w:t>
        </w:r>
        <w:r w:rsidR="00342921">
          <w:rPr>
            <w:rFonts w:asciiTheme="minorHAnsi" w:eastAsiaTheme="minorEastAsia" w:hAnsiTheme="minorHAnsi" w:cstheme="minorBidi"/>
            <w:sz w:val="22"/>
            <w:lang w:eastAsia="pl-PL"/>
          </w:rPr>
          <w:tab/>
        </w:r>
        <w:r w:rsidR="00342921" w:rsidRPr="00D32504">
          <w:rPr>
            <w:rStyle w:val="Hipercze"/>
          </w:rPr>
          <w:t>Udział powierzchni poszczególnych ekoregionów w obrębie regionu wodnego Środkowej Odry</w:t>
        </w:r>
        <w:r w:rsidR="00342921">
          <w:rPr>
            <w:webHidden/>
          </w:rPr>
          <w:tab/>
        </w:r>
        <w:r w:rsidR="00342921">
          <w:rPr>
            <w:webHidden/>
          </w:rPr>
          <w:fldChar w:fldCharType="begin"/>
        </w:r>
        <w:r w:rsidR="00342921">
          <w:rPr>
            <w:webHidden/>
          </w:rPr>
          <w:instrText xml:space="preserve"> PAGEREF _Toc105512941 \h </w:instrText>
        </w:r>
        <w:r w:rsidR="00342921">
          <w:rPr>
            <w:webHidden/>
          </w:rPr>
        </w:r>
        <w:r w:rsidR="00342921">
          <w:rPr>
            <w:webHidden/>
          </w:rPr>
          <w:fldChar w:fldCharType="separate"/>
        </w:r>
        <w:r w:rsidR="001F774D">
          <w:rPr>
            <w:webHidden/>
          </w:rPr>
          <w:t>35</w:t>
        </w:r>
        <w:r w:rsidR="00342921">
          <w:rPr>
            <w:webHidden/>
          </w:rPr>
          <w:fldChar w:fldCharType="end"/>
        </w:r>
      </w:hyperlink>
    </w:p>
    <w:p w14:paraId="67D56853" w14:textId="5159A571" w:rsidR="00342921" w:rsidRDefault="009C595A">
      <w:pPr>
        <w:pStyle w:val="Spisilustracji"/>
        <w:rPr>
          <w:rFonts w:asciiTheme="minorHAnsi" w:eastAsiaTheme="minorEastAsia" w:hAnsiTheme="minorHAnsi" w:cstheme="minorBidi"/>
          <w:sz w:val="22"/>
          <w:lang w:eastAsia="pl-PL"/>
        </w:rPr>
      </w:pPr>
      <w:hyperlink w:anchor="_Toc105512942" w:history="1">
        <w:r w:rsidR="00342921" w:rsidRPr="00D32504">
          <w:rPr>
            <w:rStyle w:val="Hipercze"/>
          </w:rPr>
          <w:t>Wykres 3</w:t>
        </w:r>
        <w:r w:rsidR="00342921" w:rsidRPr="00D32504">
          <w:rPr>
            <w:rStyle w:val="Hipercze"/>
          </w:rPr>
          <w:noBreakHyphen/>
          <w:t>5.</w:t>
        </w:r>
        <w:r w:rsidR="00342921">
          <w:rPr>
            <w:rFonts w:asciiTheme="minorHAnsi" w:eastAsiaTheme="minorEastAsia" w:hAnsiTheme="minorHAnsi" w:cstheme="minorBidi"/>
            <w:sz w:val="22"/>
            <w:lang w:eastAsia="pl-PL"/>
          </w:rPr>
          <w:tab/>
        </w:r>
        <w:r w:rsidR="00342921" w:rsidRPr="00D32504">
          <w:rPr>
            <w:rStyle w:val="Hipercze"/>
          </w:rPr>
          <w:t>Udział poszczególnych form zagospodarowania terenu regionu wodnego Środkowej Odry</w:t>
        </w:r>
        <w:r w:rsidR="00342921">
          <w:rPr>
            <w:webHidden/>
          </w:rPr>
          <w:tab/>
        </w:r>
        <w:r w:rsidR="00342921">
          <w:rPr>
            <w:webHidden/>
          </w:rPr>
          <w:fldChar w:fldCharType="begin"/>
        </w:r>
        <w:r w:rsidR="00342921">
          <w:rPr>
            <w:webHidden/>
          </w:rPr>
          <w:instrText xml:space="preserve"> PAGEREF _Toc105512942 \h </w:instrText>
        </w:r>
        <w:r w:rsidR="00342921">
          <w:rPr>
            <w:webHidden/>
          </w:rPr>
        </w:r>
        <w:r w:rsidR="00342921">
          <w:rPr>
            <w:webHidden/>
          </w:rPr>
          <w:fldChar w:fldCharType="separate"/>
        </w:r>
        <w:r w:rsidR="001F774D">
          <w:rPr>
            <w:webHidden/>
          </w:rPr>
          <w:t>36</w:t>
        </w:r>
        <w:r w:rsidR="00342921">
          <w:rPr>
            <w:webHidden/>
          </w:rPr>
          <w:fldChar w:fldCharType="end"/>
        </w:r>
      </w:hyperlink>
    </w:p>
    <w:p w14:paraId="01101BA9" w14:textId="265A443D" w:rsidR="00342921" w:rsidRDefault="009C595A">
      <w:pPr>
        <w:pStyle w:val="Spisilustracji"/>
        <w:rPr>
          <w:rFonts w:asciiTheme="minorHAnsi" w:eastAsiaTheme="minorEastAsia" w:hAnsiTheme="minorHAnsi" w:cstheme="minorBidi"/>
          <w:sz w:val="22"/>
          <w:lang w:eastAsia="pl-PL"/>
        </w:rPr>
      </w:pPr>
      <w:hyperlink w:anchor="_Toc105512943" w:history="1">
        <w:r w:rsidR="00342921" w:rsidRPr="00D32504">
          <w:rPr>
            <w:rStyle w:val="Hipercze"/>
          </w:rPr>
          <w:t>Wykres 3</w:t>
        </w:r>
        <w:r w:rsidR="00342921" w:rsidRPr="00D32504">
          <w:rPr>
            <w:rStyle w:val="Hipercze"/>
          </w:rPr>
          <w:noBreakHyphen/>
          <w:t>6.</w:t>
        </w:r>
        <w:r w:rsidR="00342921">
          <w:rPr>
            <w:rFonts w:asciiTheme="minorHAnsi" w:eastAsiaTheme="minorEastAsia" w:hAnsiTheme="minorHAnsi" w:cstheme="minorBidi"/>
            <w:sz w:val="22"/>
            <w:lang w:eastAsia="pl-PL"/>
          </w:rPr>
          <w:tab/>
        </w:r>
        <w:r w:rsidR="00342921" w:rsidRPr="00D32504">
          <w:rPr>
            <w:rStyle w:val="Hipercze"/>
          </w:rPr>
          <w:t>Udział poszczególnych form zagospodarowania terenu regionu wodnego Dolnej Odry i Przymorza Zachodniego</w:t>
        </w:r>
        <w:r w:rsidR="00342921">
          <w:rPr>
            <w:webHidden/>
          </w:rPr>
          <w:tab/>
        </w:r>
        <w:r w:rsidR="00342921">
          <w:rPr>
            <w:webHidden/>
          </w:rPr>
          <w:fldChar w:fldCharType="begin"/>
        </w:r>
        <w:r w:rsidR="00342921">
          <w:rPr>
            <w:webHidden/>
          </w:rPr>
          <w:instrText xml:space="preserve"> PAGEREF _Toc105512943 \h </w:instrText>
        </w:r>
        <w:r w:rsidR="00342921">
          <w:rPr>
            <w:webHidden/>
          </w:rPr>
        </w:r>
        <w:r w:rsidR="00342921">
          <w:rPr>
            <w:webHidden/>
          </w:rPr>
          <w:fldChar w:fldCharType="separate"/>
        </w:r>
        <w:r w:rsidR="001F774D">
          <w:rPr>
            <w:webHidden/>
          </w:rPr>
          <w:t>37</w:t>
        </w:r>
        <w:r w:rsidR="00342921">
          <w:rPr>
            <w:webHidden/>
          </w:rPr>
          <w:fldChar w:fldCharType="end"/>
        </w:r>
      </w:hyperlink>
    </w:p>
    <w:p w14:paraId="6201DE43" w14:textId="6B524E67" w:rsidR="00342921" w:rsidRDefault="009C595A">
      <w:pPr>
        <w:pStyle w:val="Spisilustracji"/>
        <w:rPr>
          <w:rFonts w:asciiTheme="minorHAnsi" w:eastAsiaTheme="minorEastAsia" w:hAnsiTheme="minorHAnsi" w:cstheme="minorBidi"/>
          <w:sz w:val="22"/>
          <w:lang w:eastAsia="pl-PL"/>
        </w:rPr>
      </w:pPr>
      <w:hyperlink w:anchor="_Toc105512944" w:history="1">
        <w:r w:rsidR="00342921" w:rsidRPr="00D32504">
          <w:rPr>
            <w:rStyle w:val="Hipercze"/>
          </w:rPr>
          <w:t>Wykres 3</w:t>
        </w:r>
        <w:r w:rsidR="00342921" w:rsidRPr="00D32504">
          <w:rPr>
            <w:rStyle w:val="Hipercze"/>
          </w:rPr>
          <w:noBreakHyphen/>
          <w:t>7.</w:t>
        </w:r>
        <w:r w:rsidR="00342921">
          <w:rPr>
            <w:rFonts w:asciiTheme="minorHAnsi" w:eastAsiaTheme="minorEastAsia" w:hAnsiTheme="minorHAnsi" w:cstheme="minorBidi"/>
            <w:sz w:val="22"/>
            <w:lang w:eastAsia="pl-PL"/>
          </w:rPr>
          <w:tab/>
        </w:r>
        <w:r w:rsidR="00342921" w:rsidRPr="00D32504">
          <w:rPr>
            <w:rStyle w:val="Hipercze"/>
          </w:rPr>
          <w:t>Udział poszczególnych form zagospodarowania terenu regionu wodnego Warty</w:t>
        </w:r>
        <w:r w:rsidR="00342921">
          <w:rPr>
            <w:webHidden/>
          </w:rPr>
          <w:tab/>
        </w:r>
        <w:r w:rsidR="00342921">
          <w:rPr>
            <w:webHidden/>
          </w:rPr>
          <w:fldChar w:fldCharType="begin"/>
        </w:r>
        <w:r w:rsidR="00342921">
          <w:rPr>
            <w:webHidden/>
          </w:rPr>
          <w:instrText xml:space="preserve"> PAGEREF _Toc105512944 \h </w:instrText>
        </w:r>
        <w:r w:rsidR="00342921">
          <w:rPr>
            <w:webHidden/>
          </w:rPr>
        </w:r>
        <w:r w:rsidR="00342921">
          <w:rPr>
            <w:webHidden/>
          </w:rPr>
          <w:fldChar w:fldCharType="separate"/>
        </w:r>
        <w:r w:rsidR="001F774D">
          <w:rPr>
            <w:webHidden/>
          </w:rPr>
          <w:t>38</w:t>
        </w:r>
        <w:r w:rsidR="00342921">
          <w:rPr>
            <w:webHidden/>
          </w:rPr>
          <w:fldChar w:fldCharType="end"/>
        </w:r>
      </w:hyperlink>
    </w:p>
    <w:p w14:paraId="7CB88F32" w14:textId="36F9EE0B" w:rsidR="00342921" w:rsidRDefault="009C595A">
      <w:pPr>
        <w:pStyle w:val="Spisilustracji"/>
        <w:rPr>
          <w:rFonts w:asciiTheme="minorHAnsi" w:eastAsiaTheme="minorEastAsia" w:hAnsiTheme="minorHAnsi" w:cstheme="minorBidi"/>
          <w:sz w:val="22"/>
          <w:lang w:eastAsia="pl-PL"/>
        </w:rPr>
      </w:pPr>
      <w:hyperlink w:anchor="_Toc105512945" w:history="1">
        <w:r w:rsidR="00342921" w:rsidRPr="00D32504">
          <w:rPr>
            <w:rStyle w:val="Hipercze"/>
          </w:rPr>
          <w:t>Wykres 3</w:t>
        </w:r>
        <w:r w:rsidR="00342921" w:rsidRPr="00D32504">
          <w:rPr>
            <w:rStyle w:val="Hipercze"/>
          </w:rPr>
          <w:noBreakHyphen/>
          <w:t>8.</w:t>
        </w:r>
        <w:r w:rsidR="00342921">
          <w:rPr>
            <w:rFonts w:asciiTheme="minorHAnsi" w:eastAsiaTheme="minorEastAsia" w:hAnsiTheme="minorHAnsi" w:cstheme="minorBidi"/>
            <w:sz w:val="22"/>
            <w:lang w:eastAsia="pl-PL"/>
          </w:rPr>
          <w:tab/>
        </w:r>
        <w:r w:rsidR="00342921" w:rsidRPr="00D32504">
          <w:rPr>
            <w:rStyle w:val="Hipercze"/>
          </w:rPr>
          <w:t>Udział poszczególnych form zagospodarowania terenu regionu wodnego Noteci</w:t>
        </w:r>
        <w:r w:rsidR="00342921">
          <w:rPr>
            <w:webHidden/>
          </w:rPr>
          <w:tab/>
        </w:r>
        <w:r w:rsidR="00342921">
          <w:rPr>
            <w:webHidden/>
          </w:rPr>
          <w:fldChar w:fldCharType="begin"/>
        </w:r>
        <w:r w:rsidR="00342921">
          <w:rPr>
            <w:webHidden/>
          </w:rPr>
          <w:instrText xml:space="preserve"> PAGEREF _Toc105512945 \h </w:instrText>
        </w:r>
        <w:r w:rsidR="00342921">
          <w:rPr>
            <w:webHidden/>
          </w:rPr>
        </w:r>
        <w:r w:rsidR="00342921">
          <w:rPr>
            <w:webHidden/>
          </w:rPr>
          <w:fldChar w:fldCharType="separate"/>
        </w:r>
        <w:r w:rsidR="001F774D">
          <w:rPr>
            <w:webHidden/>
          </w:rPr>
          <w:t>39</w:t>
        </w:r>
        <w:r w:rsidR="00342921">
          <w:rPr>
            <w:webHidden/>
          </w:rPr>
          <w:fldChar w:fldCharType="end"/>
        </w:r>
      </w:hyperlink>
    </w:p>
    <w:p w14:paraId="4F5A7B2E" w14:textId="1ECD64B5" w:rsidR="00342921" w:rsidRDefault="009C595A">
      <w:pPr>
        <w:pStyle w:val="Spisilustracji"/>
        <w:rPr>
          <w:rFonts w:asciiTheme="minorHAnsi" w:eastAsiaTheme="minorEastAsia" w:hAnsiTheme="minorHAnsi" w:cstheme="minorBidi"/>
          <w:sz w:val="22"/>
          <w:lang w:eastAsia="pl-PL"/>
        </w:rPr>
      </w:pPr>
      <w:hyperlink w:anchor="_Toc105512946" w:history="1">
        <w:r w:rsidR="00342921" w:rsidRPr="00D32504">
          <w:rPr>
            <w:rStyle w:val="Hipercze"/>
          </w:rPr>
          <w:t>Wykres 3</w:t>
        </w:r>
        <w:r w:rsidR="00342921" w:rsidRPr="00D32504">
          <w:rPr>
            <w:rStyle w:val="Hipercze"/>
          </w:rPr>
          <w:noBreakHyphen/>
          <w:t>9.</w:t>
        </w:r>
        <w:r w:rsidR="00342921">
          <w:rPr>
            <w:rFonts w:asciiTheme="minorHAnsi" w:eastAsiaTheme="minorEastAsia" w:hAnsiTheme="minorHAnsi" w:cstheme="minorBidi"/>
            <w:sz w:val="22"/>
            <w:lang w:eastAsia="pl-PL"/>
          </w:rPr>
          <w:tab/>
        </w:r>
        <w:r w:rsidR="00342921" w:rsidRPr="00D32504">
          <w:rPr>
            <w:rStyle w:val="Hipercze"/>
          </w:rPr>
          <w:t>Udział JCWP RW poszczególnych regionów wodnych w ogólnej liczbie JCWP RW obszaru dorzecza Odry</w:t>
        </w:r>
        <w:r w:rsidR="00342921">
          <w:rPr>
            <w:webHidden/>
          </w:rPr>
          <w:tab/>
        </w:r>
        <w:r w:rsidR="00342921">
          <w:rPr>
            <w:webHidden/>
          </w:rPr>
          <w:fldChar w:fldCharType="begin"/>
        </w:r>
        <w:r w:rsidR="00342921">
          <w:rPr>
            <w:webHidden/>
          </w:rPr>
          <w:instrText xml:space="preserve"> PAGEREF _Toc105512946 \h </w:instrText>
        </w:r>
        <w:r w:rsidR="00342921">
          <w:rPr>
            <w:webHidden/>
          </w:rPr>
        </w:r>
        <w:r w:rsidR="00342921">
          <w:rPr>
            <w:webHidden/>
          </w:rPr>
          <w:fldChar w:fldCharType="separate"/>
        </w:r>
        <w:r w:rsidR="001F774D">
          <w:rPr>
            <w:webHidden/>
          </w:rPr>
          <w:t>40</w:t>
        </w:r>
        <w:r w:rsidR="00342921">
          <w:rPr>
            <w:webHidden/>
          </w:rPr>
          <w:fldChar w:fldCharType="end"/>
        </w:r>
      </w:hyperlink>
    </w:p>
    <w:p w14:paraId="5D348407" w14:textId="6364BED9" w:rsidR="00342921" w:rsidRDefault="009C595A">
      <w:pPr>
        <w:pStyle w:val="Spisilustracji"/>
        <w:rPr>
          <w:rFonts w:asciiTheme="minorHAnsi" w:eastAsiaTheme="minorEastAsia" w:hAnsiTheme="minorHAnsi" w:cstheme="minorBidi"/>
          <w:sz w:val="22"/>
          <w:lang w:eastAsia="pl-PL"/>
        </w:rPr>
      </w:pPr>
      <w:hyperlink w:anchor="_Toc105512947" w:history="1">
        <w:r w:rsidR="00342921" w:rsidRPr="00D32504">
          <w:rPr>
            <w:rStyle w:val="Hipercze"/>
          </w:rPr>
          <w:t>Wykres 3</w:t>
        </w:r>
        <w:r w:rsidR="00342921" w:rsidRPr="00D32504">
          <w:rPr>
            <w:rStyle w:val="Hipercze"/>
          </w:rPr>
          <w:noBreakHyphen/>
          <w:t>10.</w:t>
        </w:r>
        <w:r w:rsidR="00342921">
          <w:rPr>
            <w:rFonts w:asciiTheme="minorHAnsi" w:eastAsiaTheme="minorEastAsia" w:hAnsiTheme="minorHAnsi" w:cstheme="minorBidi"/>
            <w:sz w:val="22"/>
            <w:lang w:eastAsia="pl-PL"/>
          </w:rPr>
          <w:tab/>
        </w:r>
        <w:r w:rsidR="00342921" w:rsidRPr="00D32504">
          <w:rPr>
            <w:rStyle w:val="Hipercze"/>
          </w:rPr>
          <w:t>Udział JCWP RWr poszczególnych regionów wodnych w ogólnej liczbie JCWP RWr obszaru dorzecza Odry</w:t>
        </w:r>
        <w:r w:rsidR="00342921">
          <w:rPr>
            <w:webHidden/>
          </w:rPr>
          <w:tab/>
        </w:r>
        <w:r w:rsidR="00342921">
          <w:rPr>
            <w:webHidden/>
          </w:rPr>
          <w:fldChar w:fldCharType="begin"/>
        </w:r>
        <w:r w:rsidR="00342921">
          <w:rPr>
            <w:webHidden/>
          </w:rPr>
          <w:instrText xml:space="preserve"> PAGEREF _Toc105512947 \h </w:instrText>
        </w:r>
        <w:r w:rsidR="00342921">
          <w:rPr>
            <w:webHidden/>
          </w:rPr>
        </w:r>
        <w:r w:rsidR="00342921">
          <w:rPr>
            <w:webHidden/>
          </w:rPr>
          <w:fldChar w:fldCharType="separate"/>
        </w:r>
        <w:r w:rsidR="001F774D">
          <w:rPr>
            <w:webHidden/>
          </w:rPr>
          <w:t>41</w:t>
        </w:r>
        <w:r w:rsidR="00342921">
          <w:rPr>
            <w:webHidden/>
          </w:rPr>
          <w:fldChar w:fldCharType="end"/>
        </w:r>
      </w:hyperlink>
    </w:p>
    <w:p w14:paraId="42B9E519" w14:textId="480BBB97" w:rsidR="00342921" w:rsidRDefault="009C595A">
      <w:pPr>
        <w:pStyle w:val="Spisilustracji"/>
        <w:rPr>
          <w:rFonts w:asciiTheme="minorHAnsi" w:eastAsiaTheme="minorEastAsia" w:hAnsiTheme="minorHAnsi" w:cstheme="minorBidi"/>
          <w:sz w:val="22"/>
          <w:lang w:eastAsia="pl-PL"/>
        </w:rPr>
      </w:pPr>
      <w:hyperlink w:anchor="_Toc105512948" w:history="1">
        <w:r w:rsidR="00342921" w:rsidRPr="00D32504">
          <w:rPr>
            <w:rStyle w:val="Hipercze"/>
          </w:rPr>
          <w:t>Wykres 3</w:t>
        </w:r>
        <w:r w:rsidR="00342921" w:rsidRPr="00D32504">
          <w:rPr>
            <w:rStyle w:val="Hipercze"/>
          </w:rPr>
          <w:noBreakHyphen/>
          <w:t>11.</w:t>
        </w:r>
        <w:r w:rsidR="00342921">
          <w:rPr>
            <w:rFonts w:asciiTheme="minorHAnsi" w:eastAsiaTheme="minorEastAsia" w:hAnsiTheme="minorHAnsi" w:cstheme="minorBidi"/>
            <w:sz w:val="22"/>
            <w:lang w:eastAsia="pl-PL"/>
          </w:rPr>
          <w:tab/>
        </w:r>
        <w:r w:rsidR="00342921" w:rsidRPr="00D32504">
          <w:rPr>
            <w:rStyle w:val="Hipercze"/>
          </w:rPr>
          <w:t>Udział JCWP LW poszczególnych regionów wodnych w ogólnej liczbie JCWP LW obszaru dorzecza Odry</w:t>
        </w:r>
        <w:r w:rsidR="00342921">
          <w:rPr>
            <w:webHidden/>
          </w:rPr>
          <w:tab/>
        </w:r>
        <w:r w:rsidR="00342921">
          <w:rPr>
            <w:webHidden/>
          </w:rPr>
          <w:fldChar w:fldCharType="begin"/>
        </w:r>
        <w:r w:rsidR="00342921">
          <w:rPr>
            <w:webHidden/>
          </w:rPr>
          <w:instrText xml:space="preserve"> PAGEREF _Toc105512948 \h </w:instrText>
        </w:r>
        <w:r w:rsidR="00342921">
          <w:rPr>
            <w:webHidden/>
          </w:rPr>
        </w:r>
        <w:r w:rsidR="00342921">
          <w:rPr>
            <w:webHidden/>
          </w:rPr>
          <w:fldChar w:fldCharType="separate"/>
        </w:r>
        <w:r w:rsidR="001F774D">
          <w:rPr>
            <w:webHidden/>
          </w:rPr>
          <w:t>41</w:t>
        </w:r>
        <w:r w:rsidR="00342921">
          <w:rPr>
            <w:webHidden/>
          </w:rPr>
          <w:fldChar w:fldCharType="end"/>
        </w:r>
      </w:hyperlink>
    </w:p>
    <w:p w14:paraId="7096C0C7" w14:textId="50BD9DBC" w:rsidR="00342921" w:rsidRDefault="009C595A">
      <w:pPr>
        <w:pStyle w:val="Spisilustracji"/>
        <w:rPr>
          <w:rFonts w:asciiTheme="minorHAnsi" w:eastAsiaTheme="minorEastAsia" w:hAnsiTheme="minorHAnsi" w:cstheme="minorBidi"/>
          <w:sz w:val="22"/>
          <w:lang w:eastAsia="pl-PL"/>
        </w:rPr>
      </w:pPr>
      <w:hyperlink w:anchor="_Toc105512949" w:history="1">
        <w:r w:rsidR="00342921" w:rsidRPr="00D32504">
          <w:rPr>
            <w:rStyle w:val="Hipercze"/>
          </w:rPr>
          <w:t>Wykres 3</w:t>
        </w:r>
        <w:r w:rsidR="00342921" w:rsidRPr="00D32504">
          <w:rPr>
            <w:rStyle w:val="Hipercze"/>
          </w:rPr>
          <w:noBreakHyphen/>
          <w:t>12.</w:t>
        </w:r>
        <w:r w:rsidR="00342921">
          <w:rPr>
            <w:rFonts w:asciiTheme="minorHAnsi" w:eastAsiaTheme="minorEastAsia" w:hAnsiTheme="minorHAnsi" w:cstheme="minorBidi"/>
            <w:sz w:val="22"/>
            <w:lang w:eastAsia="pl-PL"/>
          </w:rPr>
          <w:tab/>
        </w:r>
        <w:r w:rsidR="00342921" w:rsidRPr="00D32504">
          <w:rPr>
            <w:rStyle w:val="Hipercze"/>
          </w:rPr>
          <w:t>Udział JCWP RW danego typu w ogólnej liczbie JCWP RW obszaru dorzecza Odry</w:t>
        </w:r>
        <w:r w:rsidR="00342921">
          <w:rPr>
            <w:webHidden/>
          </w:rPr>
          <w:tab/>
        </w:r>
        <w:r w:rsidR="00342921">
          <w:rPr>
            <w:webHidden/>
          </w:rPr>
          <w:fldChar w:fldCharType="begin"/>
        </w:r>
        <w:r w:rsidR="00342921">
          <w:rPr>
            <w:webHidden/>
          </w:rPr>
          <w:instrText xml:space="preserve"> PAGEREF _Toc105512949 \h </w:instrText>
        </w:r>
        <w:r w:rsidR="00342921">
          <w:rPr>
            <w:webHidden/>
          </w:rPr>
        </w:r>
        <w:r w:rsidR="00342921">
          <w:rPr>
            <w:webHidden/>
          </w:rPr>
          <w:fldChar w:fldCharType="separate"/>
        </w:r>
        <w:r w:rsidR="001F774D">
          <w:rPr>
            <w:webHidden/>
          </w:rPr>
          <w:t>43</w:t>
        </w:r>
        <w:r w:rsidR="00342921">
          <w:rPr>
            <w:webHidden/>
          </w:rPr>
          <w:fldChar w:fldCharType="end"/>
        </w:r>
      </w:hyperlink>
    </w:p>
    <w:p w14:paraId="626E842F" w14:textId="03AFBC07" w:rsidR="00342921" w:rsidRDefault="009C595A">
      <w:pPr>
        <w:pStyle w:val="Spisilustracji"/>
        <w:rPr>
          <w:rFonts w:asciiTheme="minorHAnsi" w:eastAsiaTheme="minorEastAsia" w:hAnsiTheme="minorHAnsi" w:cstheme="minorBidi"/>
          <w:sz w:val="22"/>
          <w:lang w:eastAsia="pl-PL"/>
        </w:rPr>
      </w:pPr>
      <w:hyperlink w:anchor="_Toc105512950" w:history="1">
        <w:r w:rsidR="00342921" w:rsidRPr="00D32504">
          <w:rPr>
            <w:rStyle w:val="Hipercze"/>
          </w:rPr>
          <w:t>Wykres 3</w:t>
        </w:r>
        <w:r w:rsidR="00342921" w:rsidRPr="00D32504">
          <w:rPr>
            <w:rStyle w:val="Hipercze"/>
          </w:rPr>
          <w:noBreakHyphen/>
          <w:t>13.</w:t>
        </w:r>
        <w:r w:rsidR="00342921">
          <w:rPr>
            <w:rFonts w:asciiTheme="minorHAnsi" w:eastAsiaTheme="minorEastAsia" w:hAnsiTheme="minorHAnsi" w:cstheme="minorBidi"/>
            <w:sz w:val="22"/>
            <w:lang w:eastAsia="pl-PL"/>
          </w:rPr>
          <w:tab/>
        </w:r>
        <w:r w:rsidR="00342921" w:rsidRPr="00D32504">
          <w:rPr>
            <w:rStyle w:val="Hipercze"/>
          </w:rPr>
          <w:t>Udział JCWP LW danego typu w ogólnej liczbie JCWP LW obszaru dorzecza Odry</w:t>
        </w:r>
        <w:r w:rsidR="00342921">
          <w:rPr>
            <w:webHidden/>
          </w:rPr>
          <w:tab/>
        </w:r>
        <w:r w:rsidR="00342921">
          <w:rPr>
            <w:webHidden/>
          </w:rPr>
          <w:fldChar w:fldCharType="begin"/>
        </w:r>
        <w:r w:rsidR="00342921">
          <w:rPr>
            <w:webHidden/>
          </w:rPr>
          <w:instrText xml:space="preserve"> PAGEREF _Toc105512950 \h </w:instrText>
        </w:r>
        <w:r w:rsidR="00342921">
          <w:rPr>
            <w:webHidden/>
          </w:rPr>
        </w:r>
        <w:r w:rsidR="00342921">
          <w:rPr>
            <w:webHidden/>
          </w:rPr>
          <w:fldChar w:fldCharType="separate"/>
        </w:r>
        <w:r w:rsidR="001F774D">
          <w:rPr>
            <w:webHidden/>
          </w:rPr>
          <w:t>44</w:t>
        </w:r>
        <w:r w:rsidR="00342921">
          <w:rPr>
            <w:webHidden/>
          </w:rPr>
          <w:fldChar w:fldCharType="end"/>
        </w:r>
      </w:hyperlink>
    </w:p>
    <w:p w14:paraId="44D1DC83" w14:textId="69EEA3A6" w:rsidR="00342921" w:rsidRDefault="009C595A">
      <w:pPr>
        <w:pStyle w:val="Spisilustracji"/>
        <w:rPr>
          <w:rFonts w:asciiTheme="minorHAnsi" w:eastAsiaTheme="minorEastAsia" w:hAnsiTheme="minorHAnsi" w:cstheme="minorBidi"/>
          <w:sz w:val="22"/>
          <w:lang w:eastAsia="pl-PL"/>
        </w:rPr>
      </w:pPr>
      <w:hyperlink w:anchor="_Toc105512951" w:history="1">
        <w:r w:rsidR="00342921" w:rsidRPr="00D32504">
          <w:rPr>
            <w:rStyle w:val="Hipercze"/>
          </w:rPr>
          <w:t>Wykres 3</w:t>
        </w:r>
        <w:r w:rsidR="00342921" w:rsidRPr="00D32504">
          <w:rPr>
            <w:rStyle w:val="Hipercze"/>
          </w:rPr>
          <w:noBreakHyphen/>
          <w:t>14.</w:t>
        </w:r>
        <w:r w:rsidR="00342921">
          <w:rPr>
            <w:rFonts w:asciiTheme="minorHAnsi" w:eastAsiaTheme="minorEastAsia" w:hAnsiTheme="minorHAnsi" w:cstheme="minorBidi"/>
            <w:sz w:val="22"/>
            <w:lang w:eastAsia="pl-PL"/>
          </w:rPr>
          <w:tab/>
        </w:r>
        <w:r w:rsidR="00342921" w:rsidRPr="00D32504">
          <w:rPr>
            <w:rStyle w:val="Hipercze"/>
          </w:rPr>
          <w:t>Udział JCWP RW z określonym statusem w ogólnej liczbie JCWP RW na obszarze dorzecza Odry</w:t>
        </w:r>
        <w:r w:rsidR="00342921">
          <w:rPr>
            <w:webHidden/>
          </w:rPr>
          <w:tab/>
        </w:r>
        <w:r w:rsidR="00342921">
          <w:rPr>
            <w:webHidden/>
          </w:rPr>
          <w:fldChar w:fldCharType="begin"/>
        </w:r>
        <w:r w:rsidR="00342921">
          <w:rPr>
            <w:webHidden/>
          </w:rPr>
          <w:instrText xml:space="preserve"> PAGEREF _Toc105512951 \h </w:instrText>
        </w:r>
        <w:r w:rsidR="00342921">
          <w:rPr>
            <w:webHidden/>
          </w:rPr>
        </w:r>
        <w:r w:rsidR="00342921">
          <w:rPr>
            <w:webHidden/>
          </w:rPr>
          <w:fldChar w:fldCharType="separate"/>
        </w:r>
        <w:r w:rsidR="001F774D">
          <w:rPr>
            <w:webHidden/>
          </w:rPr>
          <w:t>47</w:t>
        </w:r>
        <w:r w:rsidR="00342921">
          <w:rPr>
            <w:webHidden/>
          </w:rPr>
          <w:fldChar w:fldCharType="end"/>
        </w:r>
      </w:hyperlink>
    </w:p>
    <w:p w14:paraId="42055479" w14:textId="269587F3" w:rsidR="00342921" w:rsidRDefault="009C595A">
      <w:pPr>
        <w:pStyle w:val="Spisilustracji"/>
        <w:rPr>
          <w:rFonts w:asciiTheme="minorHAnsi" w:eastAsiaTheme="minorEastAsia" w:hAnsiTheme="minorHAnsi" w:cstheme="minorBidi"/>
          <w:sz w:val="22"/>
          <w:lang w:eastAsia="pl-PL"/>
        </w:rPr>
      </w:pPr>
      <w:hyperlink w:anchor="_Toc105512952" w:history="1">
        <w:r w:rsidR="00342921" w:rsidRPr="00D32504">
          <w:rPr>
            <w:rStyle w:val="Hipercze"/>
          </w:rPr>
          <w:t>Wykres 3</w:t>
        </w:r>
        <w:r w:rsidR="00342921" w:rsidRPr="00D32504">
          <w:rPr>
            <w:rStyle w:val="Hipercze"/>
          </w:rPr>
          <w:noBreakHyphen/>
          <w:t>15.</w:t>
        </w:r>
        <w:r w:rsidR="00342921">
          <w:rPr>
            <w:rFonts w:asciiTheme="minorHAnsi" w:eastAsiaTheme="minorEastAsia" w:hAnsiTheme="minorHAnsi" w:cstheme="minorBidi"/>
            <w:sz w:val="22"/>
            <w:lang w:eastAsia="pl-PL"/>
          </w:rPr>
          <w:tab/>
        </w:r>
        <w:r w:rsidR="00342921" w:rsidRPr="00D32504">
          <w:rPr>
            <w:rStyle w:val="Hipercze"/>
          </w:rPr>
          <w:t>Udział JCWP LW z określonym statusem w ogólnej liczbie JCWP LW na obszarze dorzecza Odry</w:t>
        </w:r>
        <w:r w:rsidR="00342921">
          <w:rPr>
            <w:webHidden/>
          </w:rPr>
          <w:tab/>
        </w:r>
        <w:r w:rsidR="00342921">
          <w:rPr>
            <w:webHidden/>
          </w:rPr>
          <w:fldChar w:fldCharType="begin"/>
        </w:r>
        <w:r w:rsidR="00342921">
          <w:rPr>
            <w:webHidden/>
          </w:rPr>
          <w:instrText xml:space="preserve"> PAGEREF _Toc105512952 \h </w:instrText>
        </w:r>
        <w:r w:rsidR="00342921">
          <w:rPr>
            <w:webHidden/>
          </w:rPr>
        </w:r>
        <w:r w:rsidR="00342921">
          <w:rPr>
            <w:webHidden/>
          </w:rPr>
          <w:fldChar w:fldCharType="separate"/>
        </w:r>
        <w:r w:rsidR="001F774D">
          <w:rPr>
            <w:webHidden/>
          </w:rPr>
          <w:t>47</w:t>
        </w:r>
        <w:r w:rsidR="00342921">
          <w:rPr>
            <w:webHidden/>
          </w:rPr>
          <w:fldChar w:fldCharType="end"/>
        </w:r>
      </w:hyperlink>
    </w:p>
    <w:p w14:paraId="6186795A" w14:textId="3D120FE1" w:rsidR="00342921" w:rsidRDefault="009C595A">
      <w:pPr>
        <w:pStyle w:val="Spisilustracji"/>
        <w:rPr>
          <w:rFonts w:asciiTheme="minorHAnsi" w:eastAsiaTheme="minorEastAsia" w:hAnsiTheme="minorHAnsi" w:cstheme="minorBidi"/>
          <w:sz w:val="22"/>
          <w:lang w:eastAsia="pl-PL"/>
        </w:rPr>
      </w:pPr>
      <w:hyperlink w:anchor="_Toc105512953" w:history="1">
        <w:r w:rsidR="00342921" w:rsidRPr="00D32504">
          <w:rPr>
            <w:rStyle w:val="Hipercze"/>
          </w:rPr>
          <w:t>Wykres 3</w:t>
        </w:r>
        <w:r w:rsidR="00342921" w:rsidRPr="00D32504">
          <w:rPr>
            <w:rStyle w:val="Hipercze"/>
          </w:rPr>
          <w:noBreakHyphen/>
          <w:t>16.</w:t>
        </w:r>
        <w:r w:rsidR="00342921">
          <w:rPr>
            <w:rFonts w:asciiTheme="minorHAnsi" w:eastAsiaTheme="minorEastAsia" w:hAnsiTheme="minorHAnsi" w:cstheme="minorBidi"/>
            <w:sz w:val="22"/>
            <w:lang w:eastAsia="pl-PL"/>
          </w:rPr>
          <w:tab/>
        </w:r>
        <w:r w:rsidR="00342921" w:rsidRPr="00D32504">
          <w:rPr>
            <w:rStyle w:val="Hipercze"/>
          </w:rPr>
          <w:t>Udział liczby JCWPd w poszczególnych regionach wodnych w ogólnej liczbie JCWPd obszaru dorzecza Odry</w:t>
        </w:r>
        <w:r w:rsidR="00342921">
          <w:rPr>
            <w:webHidden/>
          </w:rPr>
          <w:tab/>
        </w:r>
        <w:r w:rsidR="00342921">
          <w:rPr>
            <w:webHidden/>
          </w:rPr>
          <w:fldChar w:fldCharType="begin"/>
        </w:r>
        <w:r w:rsidR="00342921">
          <w:rPr>
            <w:webHidden/>
          </w:rPr>
          <w:instrText xml:space="preserve"> PAGEREF _Toc105512953 \h </w:instrText>
        </w:r>
        <w:r w:rsidR="00342921">
          <w:rPr>
            <w:webHidden/>
          </w:rPr>
        </w:r>
        <w:r w:rsidR="00342921">
          <w:rPr>
            <w:webHidden/>
          </w:rPr>
          <w:fldChar w:fldCharType="separate"/>
        </w:r>
        <w:r w:rsidR="001F774D">
          <w:rPr>
            <w:webHidden/>
          </w:rPr>
          <w:t>48</w:t>
        </w:r>
        <w:r w:rsidR="00342921">
          <w:rPr>
            <w:webHidden/>
          </w:rPr>
          <w:fldChar w:fldCharType="end"/>
        </w:r>
      </w:hyperlink>
    </w:p>
    <w:p w14:paraId="7EEA51E6" w14:textId="06E9662E" w:rsidR="00342921" w:rsidRDefault="009C595A">
      <w:pPr>
        <w:pStyle w:val="Spisilustracji"/>
        <w:rPr>
          <w:rFonts w:asciiTheme="minorHAnsi" w:eastAsiaTheme="minorEastAsia" w:hAnsiTheme="minorHAnsi" w:cstheme="minorBidi"/>
          <w:sz w:val="22"/>
          <w:lang w:eastAsia="pl-PL"/>
        </w:rPr>
      </w:pPr>
      <w:hyperlink w:anchor="_Toc105512954" w:history="1">
        <w:r w:rsidR="00342921" w:rsidRPr="00D32504">
          <w:rPr>
            <w:rStyle w:val="Hipercze"/>
          </w:rPr>
          <w:t>Wykres 4</w:t>
        </w:r>
        <w:r w:rsidR="00342921" w:rsidRPr="00D32504">
          <w:rPr>
            <w:rStyle w:val="Hipercze"/>
          </w:rPr>
          <w:noBreakHyphen/>
          <w:t>1.</w:t>
        </w:r>
        <w:r w:rsidR="00342921">
          <w:rPr>
            <w:rFonts w:asciiTheme="minorHAnsi" w:eastAsiaTheme="minorEastAsia" w:hAnsiTheme="minorHAnsi" w:cstheme="minorBidi"/>
            <w:sz w:val="22"/>
            <w:lang w:eastAsia="pl-PL"/>
          </w:rPr>
          <w:tab/>
        </w:r>
        <w:r w:rsidR="00342921" w:rsidRPr="00D32504">
          <w:rPr>
            <w:rStyle w:val="Hipercze"/>
          </w:rPr>
          <w:t>Prognozowane tendencje zmian wybranych składowych klimatu</w:t>
        </w:r>
        <w:r w:rsidR="00342921">
          <w:rPr>
            <w:webHidden/>
          </w:rPr>
          <w:tab/>
        </w:r>
        <w:r w:rsidR="00342921">
          <w:rPr>
            <w:webHidden/>
          </w:rPr>
          <w:fldChar w:fldCharType="begin"/>
        </w:r>
        <w:r w:rsidR="00342921">
          <w:rPr>
            <w:webHidden/>
          </w:rPr>
          <w:instrText xml:space="preserve"> PAGEREF _Toc105512954 \h </w:instrText>
        </w:r>
        <w:r w:rsidR="00342921">
          <w:rPr>
            <w:webHidden/>
          </w:rPr>
        </w:r>
        <w:r w:rsidR="00342921">
          <w:rPr>
            <w:webHidden/>
          </w:rPr>
          <w:fldChar w:fldCharType="separate"/>
        </w:r>
        <w:r w:rsidR="001F774D">
          <w:rPr>
            <w:webHidden/>
          </w:rPr>
          <w:t>70</w:t>
        </w:r>
        <w:r w:rsidR="00342921">
          <w:rPr>
            <w:webHidden/>
          </w:rPr>
          <w:fldChar w:fldCharType="end"/>
        </w:r>
      </w:hyperlink>
    </w:p>
    <w:p w14:paraId="7E54ED72" w14:textId="1482A1A2" w:rsidR="00342921" w:rsidRDefault="009C595A">
      <w:pPr>
        <w:pStyle w:val="Spisilustracji"/>
        <w:rPr>
          <w:rFonts w:asciiTheme="minorHAnsi" w:eastAsiaTheme="minorEastAsia" w:hAnsiTheme="minorHAnsi" w:cstheme="minorBidi"/>
          <w:sz w:val="22"/>
          <w:lang w:eastAsia="pl-PL"/>
        </w:rPr>
      </w:pPr>
      <w:hyperlink w:anchor="_Toc105512955" w:history="1">
        <w:r w:rsidR="00342921" w:rsidRPr="00D32504">
          <w:rPr>
            <w:rStyle w:val="Hipercze"/>
          </w:rPr>
          <w:t>Wykres 5</w:t>
        </w:r>
        <w:r w:rsidR="00342921" w:rsidRPr="00D32504">
          <w:rPr>
            <w:rStyle w:val="Hipercze"/>
          </w:rPr>
          <w:noBreakHyphen/>
          <w:t>1.</w:t>
        </w:r>
        <w:r w:rsidR="00342921">
          <w:rPr>
            <w:rFonts w:asciiTheme="minorHAnsi" w:eastAsiaTheme="minorEastAsia" w:hAnsiTheme="minorHAnsi" w:cstheme="minorBidi"/>
            <w:sz w:val="22"/>
            <w:lang w:eastAsia="pl-PL"/>
          </w:rPr>
          <w:tab/>
        </w:r>
        <w:r w:rsidR="00342921" w:rsidRPr="00D32504">
          <w:rPr>
            <w:rStyle w:val="Hipercze"/>
          </w:rPr>
          <w:t>Udział JCWP RW i RWr planowanych do objęcia monitoringiem w latach 2022–2027 w  stosunku do ogólnej liczby JCWP danej kategorii na obszarze dorzecza Odry</w:t>
        </w:r>
        <w:r w:rsidR="00342921">
          <w:rPr>
            <w:webHidden/>
          </w:rPr>
          <w:tab/>
        </w:r>
        <w:r w:rsidR="00342921">
          <w:rPr>
            <w:webHidden/>
          </w:rPr>
          <w:fldChar w:fldCharType="begin"/>
        </w:r>
        <w:r w:rsidR="00342921">
          <w:rPr>
            <w:webHidden/>
          </w:rPr>
          <w:instrText xml:space="preserve"> PAGEREF _Toc105512955 \h </w:instrText>
        </w:r>
        <w:r w:rsidR="00342921">
          <w:rPr>
            <w:webHidden/>
          </w:rPr>
        </w:r>
        <w:r w:rsidR="00342921">
          <w:rPr>
            <w:webHidden/>
          </w:rPr>
          <w:fldChar w:fldCharType="separate"/>
        </w:r>
        <w:r w:rsidR="001F774D">
          <w:rPr>
            <w:webHidden/>
          </w:rPr>
          <w:t>79</w:t>
        </w:r>
        <w:r w:rsidR="00342921">
          <w:rPr>
            <w:webHidden/>
          </w:rPr>
          <w:fldChar w:fldCharType="end"/>
        </w:r>
      </w:hyperlink>
    </w:p>
    <w:p w14:paraId="1B262939" w14:textId="709A702B" w:rsidR="00342921" w:rsidRDefault="009C595A">
      <w:pPr>
        <w:pStyle w:val="Spisilustracji"/>
        <w:rPr>
          <w:rFonts w:asciiTheme="minorHAnsi" w:eastAsiaTheme="minorEastAsia" w:hAnsiTheme="minorHAnsi" w:cstheme="minorBidi"/>
          <w:sz w:val="22"/>
          <w:lang w:eastAsia="pl-PL"/>
        </w:rPr>
      </w:pPr>
      <w:hyperlink w:anchor="_Toc105512956" w:history="1">
        <w:r w:rsidR="00342921" w:rsidRPr="00D32504">
          <w:rPr>
            <w:rStyle w:val="Hipercze"/>
          </w:rPr>
          <w:t>Wykres 5</w:t>
        </w:r>
        <w:r w:rsidR="00342921" w:rsidRPr="00D32504">
          <w:rPr>
            <w:rStyle w:val="Hipercze"/>
          </w:rPr>
          <w:noBreakHyphen/>
          <w:t>2.</w:t>
        </w:r>
        <w:r w:rsidR="00342921">
          <w:rPr>
            <w:rFonts w:asciiTheme="minorHAnsi" w:eastAsiaTheme="minorEastAsia" w:hAnsiTheme="minorHAnsi" w:cstheme="minorBidi"/>
            <w:sz w:val="22"/>
            <w:lang w:eastAsia="pl-PL"/>
          </w:rPr>
          <w:tab/>
        </w:r>
        <w:r w:rsidR="00342921" w:rsidRPr="00D32504">
          <w:rPr>
            <w:rStyle w:val="Hipercze"/>
          </w:rPr>
          <w:t>Udział JCWP LW planowanych do objęcia monitoringiem w latach 2022–2027 w stosunku do ogólnej liczby JCWP danej kategorii na obszarze dorzecza Odry</w:t>
        </w:r>
        <w:r w:rsidR="00342921">
          <w:rPr>
            <w:webHidden/>
          </w:rPr>
          <w:tab/>
        </w:r>
        <w:r w:rsidR="00342921">
          <w:rPr>
            <w:webHidden/>
          </w:rPr>
          <w:fldChar w:fldCharType="begin"/>
        </w:r>
        <w:r w:rsidR="00342921">
          <w:rPr>
            <w:webHidden/>
          </w:rPr>
          <w:instrText xml:space="preserve"> PAGEREF _Toc105512956 \h </w:instrText>
        </w:r>
        <w:r w:rsidR="00342921">
          <w:rPr>
            <w:webHidden/>
          </w:rPr>
        </w:r>
        <w:r w:rsidR="00342921">
          <w:rPr>
            <w:webHidden/>
          </w:rPr>
          <w:fldChar w:fldCharType="separate"/>
        </w:r>
        <w:r w:rsidR="001F774D">
          <w:rPr>
            <w:webHidden/>
          </w:rPr>
          <w:t>80</w:t>
        </w:r>
        <w:r w:rsidR="00342921">
          <w:rPr>
            <w:webHidden/>
          </w:rPr>
          <w:fldChar w:fldCharType="end"/>
        </w:r>
      </w:hyperlink>
    </w:p>
    <w:p w14:paraId="22083E75" w14:textId="6E9ECEF1" w:rsidR="00342921" w:rsidRDefault="009C595A">
      <w:pPr>
        <w:pStyle w:val="Spisilustracji"/>
        <w:rPr>
          <w:rFonts w:asciiTheme="minorHAnsi" w:eastAsiaTheme="minorEastAsia" w:hAnsiTheme="minorHAnsi" w:cstheme="minorBidi"/>
          <w:sz w:val="22"/>
          <w:lang w:eastAsia="pl-PL"/>
        </w:rPr>
      </w:pPr>
      <w:hyperlink w:anchor="_Toc105512957" w:history="1">
        <w:r w:rsidR="00342921" w:rsidRPr="00D32504">
          <w:rPr>
            <w:rStyle w:val="Hipercze"/>
          </w:rPr>
          <w:t>Wykres 5</w:t>
        </w:r>
        <w:r w:rsidR="00342921" w:rsidRPr="00D32504">
          <w:rPr>
            <w:rStyle w:val="Hipercze"/>
          </w:rPr>
          <w:noBreakHyphen/>
          <w:t>3.</w:t>
        </w:r>
        <w:r w:rsidR="00342921">
          <w:rPr>
            <w:rFonts w:asciiTheme="minorHAnsi" w:eastAsiaTheme="minorEastAsia" w:hAnsiTheme="minorHAnsi" w:cstheme="minorBidi"/>
            <w:sz w:val="22"/>
            <w:lang w:eastAsia="pl-PL"/>
          </w:rPr>
          <w:tab/>
        </w:r>
        <w:r w:rsidR="00342921" w:rsidRPr="00D32504">
          <w:rPr>
            <w:rStyle w:val="Hipercze"/>
          </w:rPr>
          <w:t>Udział JCWP RW z oceną stanu w ogólnej liczbie JCWP RW na obszarze dorzecza Odry – ocena stanu zgodnie z r.kl.jcwp do 2022 r.</w:t>
        </w:r>
        <w:r w:rsidR="00342921">
          <w:rPr>
            <w:webHidden/>
          </w:rPr>
          <w:tab/>
        </w:r>
        <w:r w:rsidR="00342921">
          <w:rPr>
            <w:webHidden/>
          </w:rPr>
          <w:fldChar w:fldCharType="begin"/>
        </w:r>
        <w:r w:rsidR="00342921">
          <w:rPr>
            <w:webHidden/>
          </w:rPr>
          <w:instrText xml:space="preserve"> PAGEREF _Toc105512957 \h </w:instrText>
        </w:r>
        <w:r w:rsidR="00342921">
          <w:rPr>
            <w:webHidden/>
          </w:rPr>
        </w:r>
        <w:r w:rsidR="00342921">
          <w:rPr>
            <w:webHidden/>
          </w:rPr>
          <w:fldChar w:fldCharType="separate"/>
        </w:r>
        <w:r w:rsidR="001F774D">
          <w:rPr>
            <w:webHidden/>
          </w:rPr>
          <w:t>90</w:t>
        </w:r>
        <w:r w:rsidR="00342921">
          <w:rPr>
            <w:webHidden/>
          </w:rPr>
          <w:fldChar w:fldCharType="end"/>
        </w:r>
      </w:hyperlink>
    </w:p>
    <w:p w14:paraId="3150E4AC" w14:textId="601BA2A3" w:rsidR="00342921" w:rsidRDefault="009C595A">
      <w:pPr>
        <w:pStyle w:val="Spisilustracji"/>
        <w:rPr>
          <w:rFonts w:asciiTheme="minorHAnsi" w:eastAsiaTheme="minorEastAsia" w:hAnsiTheme="minorHAnsi" w:cstheme="minorBidi"/>
          <w:sz w:val="22"/>
          <w:lang w:eastAsia="pl-PL"/>
        </w:rPr>
      </w:pPr>
      <w:hyperlink w:anchor="_Toc105512958" w:history="1">
        <w:r w:rsidR="00342921" w:rsidRPr="00D32504">
          <w:rPr>
            <w:rStyle w:val="Hipercze"/>
          </w:rPr>
          <w:t>Wykres 5</w:t>
        </w:r>
        <w:r w:rsidR="00342921" w:rsidRPr="00D32504">
          <w:rPr>
            <w:rStyle w:val="Hipercze"/>
          </w:rPr>
          <w:noBreakHyphen/>
          <w:t>4.</w:t>
        </w:r>
        <w:r w:rsidR="00342921">
          <w:rPr>
            <w:rFonts w:asciiTheme="minorHAnsi" w:eastAsiaTheme="minorEastAsia" w:hAnsiTheme="minorHAnsi" w:cstheme="minorBidi"/>
            <w:sz w:val="22"/>
            <w:lang w:eastAsia="pl-PL"/>
          </w:rPr>
          <w:tab/>
        </w:r>
        <w:r w:rsidR="00342921" w:rsidRPr="00D32504">
          <w:rPr>
            <w:rStyle w:val="Hipercze"/>
          </w:rPr>
          <w:t>Udział JCWP RW z oceną stanu w ogólnej liczbie JCWP RW na obszarze dorzecza Odry – ocena stanu zgodnie z r.kl.jcwp od 2022 r.</w:t>
        </w:r>
        <w:r w:rsidR="00342921">
          <w:rPr>
            <w:webHidden/>
          </w:rPr>
          <w:tab/>
        </w:r>
        <w:r w:rsidR="00342921">
          <w:rPr>
            <w:webHidden/>
          </w:rPr>
          <w:fldChar w:fldCharType="begin"/>
        </w:r>
        <w:r w:rsidR="00342921">
          <w:rPr>
            <w:webHidden/>
          </w:rPr>
          <w:instrText xml:space="preserve"> PAGEREF _Toc105512958 \h </w:instrText>
        </w:r>
        <w:r w:rsidR="00342921">
          <w:rPr>
            <w:webHidden/>
          </w:rPr>
        </w:r>
        <w:r w:rsidR="00342921">
          <w:rPr>
            <w:webHidden/>
          </w:rPr>
          <w:fldChar w:fldCharType="separate"/>
        </w:r>
        <w:r w:rsidR="001F774D">
          <w:rPr>
            <w:webHidden/>
          </w:rPr>
          <w:t>91</w:t>
        </w:r>
        <w:r w:rsidR="00342921">
          <w:rPr>
            <w:webHidden/>
          </w:rPr>
          <w:fldChar w:fldCharType="end"/>
        </w:r>
      </w:hyperlink>
    </w:p>
    <w:p w14:paraId="07616FFB" w14:textId="51453669" w:rsidR="00342921" w:rsidRDefault="009C595A">
      <w:pPr>
        <w:pStyle w:val="Spisilustracji"/>
        <w:rPr>
          <w:rFonts w:asciiTheme="minorHAnsi" w:eastAsiaTheme="minorEastAsia" w:hAnsiTheme="minorHAnsi" w:cstheme="minorBidi"/>
          <w:sz w:val="22"/>
          <w:lang w:eastAsia="pl-PL"/>
        </w:rPr>
      </w:pPr>
      <w:hyperlink w:anchor="_Toc105512959" w:history="1">
        <w:r w:rsidR="00342921" w:rsidRPr="00D32504">
          <w:rPr>
            <w:rStyle w:val="Hipercze"/>
          </w:rPr>
          <w:t>Wykres 5</w:t>
        </w:r>
        <w:r w:rsidR="00342921" w:rsidRPr="00D32504">
          <w:rPr>
            <w:rStyle w:val="Hipercze"/>
          </w:rPr>
          <w:noBreakHyphen/>
          <w:t>5.</w:t>
        </w:r>
        <w:r w:rsidR="00342921">
          <w:rPr>
            <w:rFonts w:asciiTheme="minorHAnsi" w:eastAsiaTheme="minorEastAsia" w:hAnsiTheme="minorHAnsi" w:cstheme="minorBidi"/>
            <w:sz w:val="22"/>
            <w:lang w:eastAsia="pl-PL"/>
          </w:rPr>
          <w:tab/>
        </w:r>
        <w:r w:rsidR="00342921" w:rsidRPr="00D32504">
          <w:rPr>
            <w:rStyle w:val="Hipercze"/>
          </w:rPr>
          <w:t>Udział JCWP RWr z oceną stanu w ogólnej liczbie JCWP RWr na obszarze dorzecza Odry - ocena stanu zgodnie z r.kl.jcwp do 2022 r.</w:t>
        </w:r>
        <w:r w:rsidR="00342921">
          <w:rPr>
            <w:webHidden/>
          </w:rPr>
          <w:tab/>
        </w:r>
        <w:r w:rsidR="00342921">
          <w:rPr>
            <w:webHidden/>
          </w:rPr>
          <w:fldChar w:fldCharType="begin"/>
        </w:r>
        <w:r w:rsidR="00342921">
          <w:rPr>
            <w:webHidden/>
          </w:rPr>
          <w:instrText xml:space="preserve"> PAGEREF _Toc105512959 \h </w:instrText>
        </w:r>
        <w:r w:rsidR="00342921">
          <w:rPr>
            <w:webHidden/>
          </w:rPr>
        </w:r>
        <w:r w:rsidR="00342921">
          <w:rPr>
            <w:webHidden/>
          </w:rPr>
          <w:fldChar w:fldCharType="separate"/>
        </w:r>
        <w:r w:rsidR="001F774D">
          <w:rPr>
            <w:webHidden/>
          </w:rPr>
          <w:t>94</w:t>
        </w:r>
        <w:r w:rsidR="00342921">
          <w:rPr>
            <w:webHidden/>
          </w:rPr>
          <w:fldChar w:fldCharType="end"/>
        </w:r>
      </w:hyperlink>
    </w:p>
    <w:p w14:paraId="4011AD53" w14:textId="613C78A6" w:rsidR="00342921" w:rsidRDefault="009C595A">
      <w:pPr>
        <w:pStyle w:val="Spisilustracji"/>
        <w:rPr>
          <w:rFonts w:asciiTheme="minorHAnsi" w:eastAsiaTheme="minorEastAsia" w:hAnsiTheme="minorHAnsi" w:cstheme="minorBidi"/>
          <w:sz w:val="22"/>
          <w:lang w:eastAsia="pl-PL"/>
        </w:rPr>
      </w:pPr>
      <w:hyperlink w:anchor="_Toc105512960" w:history="1">
        <w:r w:rsidR="00342921" w:rsidRPr="00D32504">
          <w:rPr>
            <w:rStyle w:val="Hipercze"/>
          </w:rPr>
          <w:t>Wykres 5</w:t>
        </w:r>
        <w:r w:rsidR="00342921" w:rsidRPr="00D32504">
          <w:rPr>
            <w:rStyle w:val="Hipercze"/>
          </w:rPr>
          <w:noBreakHyphen/>
          <w:t>6.</w:t>
        </w:r>
        <w:r w:rsidR="00342921">
          <w:rPr>
            <w:rFonts w:asciiTheme="minorHAnsi" w:eastAsiaTheme="minorEastAsia" w:hAnsiTheme="minorHAnsi" w:cstheme="minorBidi"/>
            <w:sz w:val="22"/>
            <w:lang w:eastAsia="pl-PL"/>
          </w:rPr>
          <w:tab/>
        </w:r>
        <w:r w:rsidR="00342921" w:rsidRPr="00D32504">
          <w:rPr>
            <w:rStyle w:val="Hipercze"/>
          </w:rPr>
          <w:t>Udział JCWP RWr z oceną stanu w ogólnej liczbie JCWP RWr na obszarze dorzecza Odry – ocena stanu zgodnie z r.kl.jcwp od 2022 r.</w:t>
        </w:r>
        <w:r w:rsidR="00342921">
          <w:rPr>
            <w:webHidden/>
          </w:rPr>
          <w:tab/>
        </w:r>
        <w:r w:rsidR="00342921">
          <w:rPr>
            <w:webHidden/>
          </w:rPr>
          <w:fldChar w:fldCharType="begin"/>
        </w:r>
        <w:r w:rsidR="00342921">
          <w:rPr>
            <w:webHidden/>
          </w:rPr>
          <w:instrText xml:space="preserve"> PAGEREF _Toc105512960 \h </w:instrText>
        </w:r>
        <w:r w:rsidR="00342921">
          <w:rPr>
            <w:webHidden/>
          </w:rPr>
        </w:r>
        <w:r w:rsidR="00342921">
          <w:rPr>
            <w:webHidden/>
          </w:rPr>
          <w:fldChar w:fldCharType="separate"/>
        </w:r>
        <w:r w:rsidR="001F774D">
          <w:rPr>
            <w:webHidden/>
          </w:rPr>
          <w:t>94</w:t>
        </w:r>
        <w:r w:rsidR="00342921">
          <w:rPr>
            <w:webHidden/>
          </w:rPr>
          <w:fldChar w:fldCharType="end"/>
        </w:r>
      </w:hyperlink>
    </w:p>
    <w:p w14:paraId="01332B63" w14:textId="52D552D9" w:rsidR="00342921" w:rsidRDefault="009C595A">
      <w:pPr>
        <w:pStyle w:val="Spisilustracji"/>
        <w:rPr>
          <w:rFonts w:asciiTheme="minorHAnsi" w:eastAsiaTheme="minorEastAsia" w:hAnsiTheme="minorHAnsi" w:cstheme="minorBidi"/>
          <w:sz w:val="22"/>
          <w:lang w:eastAsia="pl-PL"/>
        </w:rPr>
      </w:pPr>
      <w:hyperlink w:anchor="_Toc105512961" w:history="1">
        <w:r w:rsidR="00342921" w:rsidRPr="00D32504">
          <w:rPr>
            <w:rStyle w:val="Hipercze"/>
          </w:rPr>
          <w:t>Wykres 5</w:t>
        </w:r>
        <w:r w:rsidR="00342921" w:rsidRPr="00D32504">
          <w:rPr>
            <w:rStyle w:val="Hipercze"/>
          </w:rPr>
          <w:noBreakHyphen/>
          <w:t>7.</w:t>
        </w:r>
        <w:r w:rsidR="00342921">
          <w:rPr>
            <w:rFonts w:asciiTheme="minorHAnsi" w:eastAsiaTheme="minorEastAsia" w:hAnsiTheme="minorHAnsi" w:cstheme="minorBidi"/>
            <w:sz w:val="22"/>
            <w:lang w:eastAsia="pl-PL"/>
          </w:rPr>
          <w:tab/>
        </w:r>
        <w:r w:rsidR="00342921" w:rsidRPr="00D32504">
          <w:rPr>
            <w:rStyle w:val="Hipercze"/>
          </w:rPr>
          <w:t>Udział JCWP LW z oceną stanu w ogólnej liczbie JCWP LW na obszarze dorzecza Odry – ocena stanu zgodnie z r.kl.jcwp do 2022 r.</w:t>
        </w:r>
        <w:r w:rsidR="00342921">
          <w:rPr>
            <w:webHidden/>
          </w:rPr>
          <w:tab/>
        </w:r>
        <w:r w:rsidR="00342921">
          <w:rPr>
            <w:webHidden/>
          </w:rPr>
          <w:fldChar w:fldCharType="begin"/>
        </w:r>
        <w:r w:rsidR="00342921">
          <w:rPr>
            <w:webHidden/>
          </w:rPr>
          <w:instrText xml:space="preserve"> PAGEREF _Toc105512961 \h </w:instrText>
        </w:r>
        <w:r w:rsidR="00342921">
          <w:rPr>
            <w:webHidden/>
          </w:rPr>
        </w:r>
        <w:r w:rsidR="00342921">
          <w:rPr>
            <w:webHidden/>
          </w:rPr>
          <w:fldChar w:fldCharType="separate"/>
        </w:r>
        <w:r w:rsidR="001F774D">
          <w:rPr>
            <w:webHidden/>
          </w:rPr>
          <w:t>97</w:t>
        </w:r>
        <w:r w:rsidR="00342921">
          <w:rPr>
            <w:webHidden/>
          </w:rPr>
          <w:fldChar w:fldCharType="end"/>
        </w:r>
      </w:hyperlink>
    </w:p>
    <w:p w14:paraId="23142D76" w14:textId="63DCB3A7" w:rsidR="00342921" w:rsidRDefault="009C595A">
      <w:pPr>
        <w:pStyle w:val="Spisilustracji"/>
        <w:rPr>
          <w:rFonts w:asciiTheme="minorHAnsi" w:eastAsiaTheme="minorEastAsia" w:hAnsiTheme="minorHAnsi" w:cstheme="minorBidi"/>
          <w:sz w:val="22"/>
          <w:lang w:eastAsia="pl-PL"/>
        </w:rPr>
      </w:pPr>
      <w:hyperlink w:anchor="_Toc105512962" w:history="1">
        <w:r w:rsidR="00342921" w:rsidRPr="00D32504">
          <w:rPr>
            <w:rStyle w:val="Hipercze"/>
          </w:rPr>
          <w:t>Wykres 5</w:t>
        </w:r>
        <w:r w:rsidR="00342921" w:rsidRPr="00D32504">
          <w:rPr>
            <w:rStyle w:val="Hipercze"/>
          </w:rPr>
          <w:noBreakHyphen/>
          <w:t>8.</w:t>
        </w:r>
        <w:r w:rsidR="00342921">
          <w:rPr>
            <w:rFonts w:asciiTheme="minorHAnsi" w:eastAsiaTheme="minorEastAsia" w:hAnsiTheme="minorHAnsi" w:cstheme="minorBidi"/>
            <w:sz w:val="22"/>
            <w:lang w:eastAsia="pl-PL"/>
          </w:rPr>
          <w:tab/>
        </w:r>
        <w:r w:rsidR="00342921" w:rsidRPr="00D32504">
          <w:rPr>
            <w:rStyle w:val="Hipercze"/>
          </w:rPr>
          <w:t>Udział JCWP LW z oceną stanu w ogólnej liczbie JCWP LW na obszarze dorzecza Odry – ocena stanu zgodnie z r.kl.jcwp od 2022 r.</w:t>
        </w:r>
        <w:r w:rsidR="00342921">
          <w:rPr>
            <w:webHidden/>
          </w:rPr>
          <w:tab/>
        </w:r>
        <w:r w:rsidR="00342921">
          <w:rPr>
            <w:webHidden/>
          </w:rPr>
          <w:fldChar w:fldCharType="begin"/>
        </w:r>
        <w:r w:rsidR="00342921">
          <w:rPr>
            <w:webHidden/>
          </w:rPr>
          <w:instrText xml:space="preserve"> PAGEREF _Toc105512962 \h </w:instrText>
        </w:r>
        <w:r w:rsidR="00342921">
          <w:rPr>
            <w:webHidden/>
          </w:rPr>
        </w:r>
        <w:r w:rsidR="00342921">
          <w:rPr>
            <w:webHidden/>
          </w:rPr>
          <w:fldChar w:fldCharType="separate"/>
        </w:r>
        <w:r w:rsidR="001F774D">
          <w:rPr>
            <w:webHidden/>
          </w:rPr>
          <w:t>97</w:t>
        </w:r>
        <w:r w:rsidR="00342921">
          <w:rPr>
            <w:webHidden/>
          </w:rPr>
          <w:fldChar w:fldCharType="end"/>
        </w:r>
      </w:hyperlink>
    </w:p>
    <w:p w14:paraId="5820E00F" w14:textId="3B60AB4F" w:rsidR="00342921" w:rsidRDefault="009C595A">
      <w:pPr>
        <w:pStyle w:val="Spisilustracji"/>
        <w:rPr>
          <w:rFonts w:asciiTheme="minorHAnsi" w:eastAsiaTheme="minorEastAsia" w:hAnsiTheme="minorHAnsi" w:cstheme="minorBidi"/>
          <w:sz w:val="22"/>
          <w:lang w:eastAsia="pl-PL"/>
        </w:rPr>
      </w:pPr>
      <w:hyperlink w:anchor="_Toc105512963" w:history="1">
        <w:r w:rsidR="00342921" w:rsidRPr="00D32504">
          <w:rPr>
            <w:rStyle w:val="Hipercze"/>
          </w:rPr>
          <w:t>Wykres 5</w:t>
        </w:r>
        <w:r w:rsidR="00342921" w:rsidRPr="00D32504">
          <w:rPr>
            <w:rStyle w:val="Hipercze"/>
          </w:rPr>
          <w:noBreakHyphen/>
          <w:t>9.</w:t>
        </w:r>
        <w:r w:rsidR="00342921">
          <w:rPr>
            <w:rFonts w:asciiTheme="minorHAnsi" w:eastAsiaTheme="minorEastAsia" w:hAnsiTheme="minorHAnsi" w:cstheme="minorBidi"/>
            <w:sz w:val="22"/>
            <w:lang w:eastAsia="pl-PL"/>
          </w:rPr>
          <w:tab/>
        </w:r>
        <w:r w:rsidR="00342921" w:rsidRPr="00D32504">
          <w:rPr>
            <w:rStyle w:val="Hipercze"/>
          </w:rPr>
          <w:t>Procent powierzchni regionu wodnego Górnej Odry z JCWPd o słabym stanie chemicznym</w:t>
        </w:r>
        <w:r w:rsidR="00342921">
          <w:rPr>
            <w:webHidden/>
          </w:rPr>
          <w:tab/>
        </w:r>
        <w:r w:rsidR="00342921">
          <w:rPr>
            <w:webHidden/>
          </w:rPr>
          <w:fldChar w:fldCharType="begin"/>
        </w:r>
        <w:r w:rsidR="00342921">
          <w:rPr>
            <w:webHidden/>
          </w:rPr>
          <w:instrText xml:space="preserve"> PAGEREF _Toc105512963 \h </w:instrText>
        </w:r>
        <w:r w:rsidR="00342921">
          <w:rPr>
            <w:webHidden/>
          </w:rPr>
        </w:r>
        <w:r w:rsidR="00342921">
          <w:rPr>
            <w:webHidden/>
          </w:rPr>
          <w:fldChar w:fldCharType="separate"/>
        </w:r>
        <w:r w:rsidR="001F774D">
          <w:rPr>
            <w:webHidden/>
          </w:rPr>
          <w:t>122</w:t>
        </w:r>
        <w:r w:rsidR="00342921">
          <w:rPr>
            <w:webHidden/>
          </w:rPr>
          <w:fldChar w:fldCharType="end"/>
        </w:r>
      </w:hyperlink>
    </w:p>
    <w:p w14:paraId="00407CC7" w14:textId="14562474" w:rsidR="00342921" w:rsidRDefault="009C595A">
      <w:pPr>
        <w:pStyle w:val="Spisilustracji"/>
        <w:rPr>
          <w:rFonts w:asciiTheme="minorHAnsi" w:eastAsiaTheme="minorEastAsia" w:hAnsiTheme="minorHAnsi" w:cstheme="minorBidi"/>
          <w:sz w:val="22"/>
          <w:lang w:eastAsia="pl-PL"/>
        </w:rPr>
      </w:pPr>
      <w:hyperlink w:anchor="_Toc105512964" w:history="1">
        <w:r w:rsidR="00342921" w:rsidRPr="00D32504">
          <w:rPr>
            <w:rStyle w:val="Hipercze"/>
          </w:rPr>
          <w:t>Wykres 5</w:t>
        </w:r>
        <w:r w:rsidR="00342921" w:rsidRPr="00D32504">
          <w:rPr>
            <w:rStyle w:val="Hipercze"/>
          </w:rPr>
          <w:noBreakHyphen/>
          <w:t>10.</w:t>
        </w:r>
        <w:r w:rsidR="00342921">
          <w:rPr>
            <w:rFonts w:asciiTheme="minorHAnsi" w:eastAsiaTheme="minorEastAsia" w:hAnsiTheme="minorHAnsi" w:cstheme="minorBidi"/>
            <w:sz w:val="22"/>
            <w:lang w:eastAsia="pl-PL"/>
          </w:rPr>
          <w:tab/>
        </w:r>
        <w:r w:rsidR="00342921" w:rsidRPr="00D32504">
          <w:rPr>
            <w:rStyle w:val="Hipercze"/>
          </w:rPr>
          <w:t>Procent powierzchni regionu wodnego Środkowej Odry z JCWPd o słabym stanie chemicznym</w:t>
        </w:r>
        <w:r w:rsidR="00342921">
          <w:rPr>
            <w:webHidden/>
          </w:rPr>
          <w:tab/>
        </w:r>
        <w:r w:rsidR="00342921">
          <w:rPr>
            <w:webHidden/>
          </w:rPr>
          <w:fldChar w:fldCharType="begin"/>
        </w:r>
        <w:r w:rsidR="00342921">
          <w:rPr>
            <w:webHidden/>
          </w:rPr>
          <w:instrText xml:space="preserve"> PAGEREF _Toc105512964 \h </w:instrText>
        </w:r>
        <w:r w:rsidR="00342921">
          <w:rPr>
            <w:webHidden/>
          </w:rPr>
        </w:r>
        <w:r w:rsidR="00342921">
          <w:rPr>
            <w:webHidden/>
          </w:rPr>
          <w:fldChar w:fldCharType="separate"/>
        </w:r>
        <w:r w:rsidR="001F774D">
          <w:rPr>
            <w:webHidden/>
          </w:rPr>
          <w:t>122</w:t>
        </w:r>
        <w:r w:rsidR="00342921">
          <w:rPr>
            <w:webHidden/>
          </w:rPr>
          <w:fldChar w:fldCharType="end"/>
        </w:r>
      </w:hyperlink>
    </w:p>
    <w:p w14:paraId="44FF8781" w14:textId="38E50366" w:rsidR="00342921" w:rsidRDefault="009C595A">
      <w:pPr>
        <w:pStyle w:val="Spisilustracji"/>
        <w:rPr>
          <w:rFonts w:asciiTheme="minorHAnsi" w:eastAsiaTheme="minorEastAsia" w:hAnsiTheme="minorHAnsi" w:cstheme="minorBidi"/>
          <w:sz w:val="22"/>
          <w:lang w:eastAsia="pl-PL"/>
        </w:rPr>
      </w:pPr>
      <w:hyperlink w:anchor="_Toc105512965" w:history="1">
        <w:r w:rsidR="00342921" w:rsidRPr="00D32504">
          <w:rPr>
            <w:rStyle w:val="Hipercze"/>
          </w:rPr>
          <w:t>Wykres 5</w:t>
        </w:r>
        <w:r w:rsidR="00342921" w:rsidRPr="00D32504">
          <w:rPr>
            <w:rStyle w:val="Hipercze"/>
          </w:rPr>
          <w:noBreakHyphen/>
          <w:t>11.</w:t>
        </w:r>
        <w:r w:rsidR="00342921">
          <w:rPr>
            <w:rFonts w:asciiTheme="minorHAnsi" w:eastAsiaTheme="minorEastAsia" w:hAnsiTheme="minorHAnsi" w:cstheme="minorBidi"/>
            <w:sz w:val="22"/>
            <w:lang w:eastAsia="pl-PL"/>
          </w:rPr>
          <w:tab/>
        </w:r>
        <w:r w:rsidR="00342921" w:rsidRPr="00D32504">
          <w:rPr>
            <w:rStyle w:val="Hipercze"/>
          </w:rPr>
          <w:t>Procent powierzchni regionu wodnego Dolnej Odry i Przymorza Zachodniego z JCWPd o słabym stanie chemicznym</w:t>
        </w:r>
        <w:r w:rsidR="00342921">
          <w:rPr>
            <w:webHidden/>
          </w:rPr>
          <w:tab/>
        </w:r>
        <w:r w:rsidR="00342921">
          <w:rPr>
            <w:webHidden/>
          </w:rPr>
          <w:fldChar w:fldCharType="begin"/>
        </w:r>
        <w:r w:rsidR="00342921">
          <w:rPr>
            <w:webHidden/>
          </w:rPr>
          <w:instrText xml:space="preserve"> PAGEREF _Toc105512965 \h </w:instrText>
        </w:r>
        <w:r w:rsidR="00342921">
          <w:rPr>
            <w:webHidden/>
          </w:rPr>
        </w:r>
        <w:r w:rsidR="00342921">
          <w:rPr>
            <w:webHidden/>
          </w:rPr>
          <w:fldChar w:fldCharType="separate"/>
        </w:r>
        <w:r w:rsidR="001F774D">
          <w:rPr>
            <w:webHidden/>
          </w:rPr>
          <w:t>122</w:t>
        </w:r>
        <w:r w:rsidR="00342921">
          <w:rPr>
            <w:webHidden/>
          </w:rPr>
          <w:fldChar w:fldCharType="end"/>
        </w:r>
      </w:hyperlink>
    </w:p>
    <w:p w14:paraId="19FE35F6" w14:textId="3AF9ED42" w:rsidR="00342921" w:rsidRDefault="009C595A">
      <w:pPr>
        <w:pStyle w:val="Spisilustracji"/>
        <w:rPr>
          <w:rFonts w:asciiTheme="minorHAnsi" w:eastAsiaTheme="minorEastAsia" w:hAnsiTheme="minorHAnsi" w:cstheme="minorBidi"/>
          <w:sz w:val="22"/>
          <w:lang w:eastAsia="pl-PL"/>
        </w:rPr>
      </w:pPr>
      <w:hyperlink w:anchor="_Toc105512966" w:history="1">
        <w:r w:rsidR="00342921" w:rsidRPr="00D32504">
          <w:rPr>
            <w:rStyle w:val="Hipercze"/>
          </w:rPr>
          <w:t>Wykres 5</w:t>
        </w:r>
        <w:r w:rsidR="00342921" w:rsidRPr="00D32504">
          <w:rPr>
            <w:rStyle w:val="Hipercze"/>
          </w:rPr>
          <w:noBreakHyphen/>
          <w:t>12.</w:t>
        </w:r>
        <w:r w:rsidR="00342921">
          <w:rPr>
            <w:rFonts w:asciiTheme="minorHAnsi" w:eastAsiaTheme="minorEastAsia" w:hAnsiTheme="minorHAnsi" w:cstheme="minorBidi"/>
            <w:sz w:val="22"/>
            <w:lang w:eastAsia="pl-PL"/>
          </w:rPr>
          <w:tab/>
        </w:r>
        <w:r w:rsidR="00342921" w:rsidRPr="00D32504">
          <w:rPr>
            <w:rStyle w:val="Hipercze"/>
          </w:rPr>
          <w:t>Procent powierzchni regionu wodnego Warty z JCWPd o słabym stanie chemicznym</w:t>
        </w:r>
        <w:r w:rsidR="00342921">
          <w:rPr>
            <w:webHidden/>
          </w:rPr>
          <w:tab/>
        </w:r>
        <w:r w:rsidR="00342921">
          <w:rPr>
            <w:webHidden/>
          </w:rPr>
          <w:fldChar w:fldCharType="begin"/>
        </w:r>
        <w:r w:rsidR="00342921">
          <w:rPr>
            <w:webHidden/>
          </w:rPr>
          <w:instrText xml:space="preserve"> PAGEREF _Toc105512966 \h </w:instrText>
        </w:r>
        <w:r w:rsidR="00342921">
          <w:rPr>
            <w:webHidden/>
          </w:rPr>
        </w:r>
        <w:r w:rsidR="00342921">
          <w:rPr>
            <w:webHidden/>
          </w:rPr>
          <w:fldChar w:fldCharType="separate"/>
        </w:r>
        <w:r w:rsidR="001F774D">
          <w:rPr>
            <w:webHidden/>
          </w:rPr>
          <w:t>122</w:t>
        </w:r>
        <w:r w:rsidR="00342921">
          <w:rPr>
            <w:webHidden/>
          </w:rPr>
          <w:fldChar w:fldCharType="end"/>
        </w:r>
      </w:hyperlink>
    </w:p>
    <w:p w14:paraId="4868D4EA" w14:textId="327AA907" w:rsidR="00342921" w:rsidRDefault="009C595A">
      <w:pPr>
        <w:pStyle w:val="Spisilustracji"/>
        <w:rPr>
          <w:rFonts w:asciiTheme="minorHAnsi" w:eastAsiaTheme="minorEastAsia" w:hAnsiTheme="minorHAnsi" w:cstheme="minorBidi"/>
          <w:sz w:val="22"/>
          <w:lang w:eastAsia="pl-PL"/>
        </w:rPr>
      </w:pPr>
      <w:hyperlink w:anchor="_Toc105512967" w:history="1">
        <w:r w:rsidR="00342921" w:rsidRPr="00D32504">
          <w:rPr>
            <w:rStyle w:val="Hipercze"/>
          </w:rPr>
          <w:t>Wykres 5</w:t>
        </w:r>
        <w:r w:rsidR="00342921" w:rsidRPr="00D32504">
          <w:rPr>
            <w:rStyle w:val="Hipercze"/>
          </w:rPr>
          <w:noBreakHyphen/>
          <w:t>13.</w:t>
        </w:r>
        <w:r w:rsidR="00342921">
          <w:rPr>
            <w:rFonts w:asciiTheme="minorHAnsi" w:eastAsiaTheme="minorEastAsia" w:hAnsiTheme="minorHAnsi" w:cstheme="minorBidi"/>
            <w:sz w:val="22"/>
            <w:lang w:eastAsia="pl-PL"/>
          </w:rPr>
          <w:tab/>
        </w:r>
        <w:r w:rsidR="00342921" w:rsidRPr="00D32504">
          <w:rPr>
            <w:rStyle w:val="Hipercze"/>
          </w:rPr>
          <w:t>Procent powierzchni regionu wodnego Noteci z JCWPd o słabym stanie chemicznym</w:t>
        </w:r>
        <w:r w:rsidR="00342921">
          <w:rPr>
            <w:webHidden/>
          </w:rPr>
          <w:tab/>
        </w:r>
        <w:r w:rsidR="00342921">
          <w:rPr>
            <w:webHidden/>
          </w:rPr>
          <w:fldChar w:fldCharType="begin"/>
        </w:r>
        <w:r w:rsidR="00342921">
          <w:rPr>
            <w:webHidden/>
          </w:rPr>
          <w:instrText xml:space="preserve"> PAGEREF _Toc105512967 \h </w:instrText>
        </w:r>
        <w:r w:rsidR="00342921">
          <w:rPr>
            <w:webHidden/>
          </w:rPr>
        </w:r>
        <w:r w:rsidR="00342921">
          <w:rPr>
            <w:webHidden/>
          </w:rPr>
          <w:fldChar w:fldCharType="separate"/>
        </w:r>
        <w:r w:rsidR="001F774D">
          <w:rPr>
            <w:webHidden/>
          </w:rPr>
          <w:t>122</w:t>
        </w:r>
        <w:r w:rsidR="00342921">
          <w:rPr>
            <w:webHidden/>
          </w:rPr>
          <w:fldChar w:fldCharType="end"/>
        </w:r>
      </w:hyperlink>
    </w:p>
    <w:p w14:paraId="78BCF7D6" w14:textId="15D78D14" w:rsidR="00342921" w:rsidRDefault="009C595A">
      <w:pPr>
        <w:pStyle w:val="Spisilustracji"/>
        <w:rPr>
          <w:rFonts w:asciiTheme="minorHAnsi" w:eastAsiaTheme="minorEastAsia" w:hAnsiTheme="minorHAnsi" w:cstheme="minorBidi"/>
          <w:sz w:val="22"/>
          <w:lang w:eastAsia="pl-PL"/>
        </w:rPr>
      </w:pPr>
      <w:hyperlink w:anchor="_Toc105512968" w:history="1">
        <w:r w:rsidR="00342921" w:rsidRPr="00D32504">
          <w:rPr>
            <w:rStyle w:val="Hipercze"/>
          </w:rPr>
          <w:t>Wykres 5</w:t>
        </w:r>
        <w:r w:rsidR="00342921" w:rsidRPr="00D32504">
          <w:rPr>
            <w:rStyle w:val="Hipercze"/>
          </w:rPr>
          <w:noBreakHyphen/>
          <w:t>14.</w:t>
        </w:r>
        <w:r w:rsidR="00342921">
          <w:rPr>
            <w:rFonts w:asciiTheme="minorHAnsi" w:eastAsiaTheme="minorEastAsia" w:hAnsiTheme="minorHAnsi" w:cstheme="minorBidi"/>
            <w:sz w:val="22"/>
            <w:lang w:eastAsia="pl-PL"/>
          </w:rPr>
          <w:tab/>
        </w:r>
        <w:r w:rsidR="00342921" w:rsidRPr="00D32504">
          <w:rPr>
            <w:rStyle w:val="Hipercze"/>
          </w:rPr>
          <w:t>Procent powierzchni regionu wodnego Górnej Odry z JCWPd o  słabym stanie ilościowym</w:t>
        </w:r>
        <w:r w:rsidR="00342921">
          <w:rPr>
            <w:webHidden/>
          </w:rPr>
          <w:tab/>
        </w:r>
        <w:r w:rsidR="00342921">
          <w:rPr>
            <w:webHidden/>
          </w:rPr>
          <w:fldChar w:fldCharType="begin"/>
        </w:r>
        <w:r w:rsidR="00342921">
          <w:rPr>
            <w:webHidden/>
          </w:rPr>
          <w:instrText xml:space="preserve"> PAGEREF _Toc105512968 \h </w:instrText>
        </w:r>
        <w:r w:rsidR="00342921">
          <w:rPr>
            <w:webHidden/>
          </w:rPr>
        </w:r>
        <w:r w:rsidR="00342921">
          <w:rPr>
            <w:webHidden/>
          </w:rPr>
          <w:fldChar w:fldCharType="separate"/>
        </w:r>
        <w:r w:rsidR="001F774D">
          <w:rPr>
            <w:webHidden/>
          </w:rPr>
          <w:t>124</w:t>
        </w:r>
        <w:r w:rsidR="00342921">
          <w:rPr>
            <w:webHidden/>
          </w:rPr>
          <w:fldChar w:fldCharType="end"/>
        </w:r>
      </w:hyperlink>
    </w:p>
    <w:p w14:paraId="047CBCFD" w14:textId="1DC18495" w:rsidR="00342921" w:rsidRDefault="009C595A">
      <w:pPr>
        <w:pStyle w:val="Spisilustracji"/>
        <w:rPr>
          <w:rFonts w:asciiTheme="minorHAnsi" w:eastAsiaTheme="minorEastAsia" w:hAnsiTheme="minorHAnsi" w:cstheme="minorBidi"/>
          <w:sz w:val="22"/>
          <w:lang w:eastAsia="pl-PL"/>
        </w:rPr>
      </w:pPr>
      <w:hyperlink w:anchor="_Toc105512969" w:history="1">
        <w:r w:rsidR="00342921" w:rsidRPr="00D32504">
          <w:rPr>
            <w:rStyle w:val="Hipercze"/>
          </w:rPr>
          <w:t>Wykres 5</w:t>
        </w:r>
        <w:r w:rsidR="00342921" w:rsidRPr="00D32504">
          <w:rPr>
            <w:rStyle w:val="Hipercze"/>
          </w:rPr>
          <w:noBreakHyphen/>
          <w:t>15.</w:t>
        </w:r>
        <w:r w:rsidR="00342921">
          <w:rPr>
            <w:rFonts w:asciiTheme="minorHAnsi" w:eastAsiaTheme="minorEastAsia" w:hAnsiTheme="minorHAnsi" w:cstheme="minorBidi"/>
            <w:sz w:val="22"/>
            <w:lang w:eastAsia="pl-PL"/>
          </w:rPr>
          <w:tab/>
        </w:r>
        <w:r w:rsidR="00342921" w:rsidRPr="00D32504">
          <w:rPr>
            <w:rStyle w:val="Hipercze"/>
          </w:rPr>
          <w:t>Procent powierzchni regionu wodnego Środkowej Odry z JCWPd o słabym stanie ilościowym</w:t>
        </w:r>
        <w:r w:rsidR="00342921">
          <w:rPr>
            <w:webHidden/>
          </w:rPr>
          <w:tab/>
        </w:r>
        <w:r w:rsidR="00342921">
          <w:rPr>
            <w:webHidden/>
          </w:rPr>
          <w:fldChar w:fldCharType="begin"/>
        </w:r>
        <w:r w:rsidR="00342921">
          <w:rPr>
            <w:webHidden/>
          </w:rPr>
          <w:instrText xml:space="preserve"> PAGEREF _Toc105512969 \h </w:instrText>
        </w:r>
        <w:r w:rsidR="00342921">
          <w:rPr>
            <w:webHidden/>
          </w:rPr>
        </w:r>
        <w:r w:rsidR="00342921">
          <w:rPr>
            <w:webHidden/>
          </w:rPr>
          <w:fldChar w:fldCharType="separate"/>
        </w:r>
        <w:r w:rsidR="001F774D">
          <w:rPr>
            <w:webHidden/>
          </w:rPr>
          <w:t>124</w:t>
        </w:r>
        <w:r w:rsidR="00342921">
          <w:rPr>
            <w:webHidden/>
          </w:rPr>
          <w:fldChar w:fldCharType="end"/>
        </w:r>
      </w:hyperlink>
    </w:p>
    <w:p w14:paraId="406AED48" w14:textId="119A7870" w:rsidR="00342921" w:rsidRDefault="009C595A">
      <w:pPr>
        <w:pStyle w:val="Spisilustracji"/>
        <w:rPr>
          <w:rFonts w:asciiTheme="minorHAnsi" w:eastAsiaTheme="minorEastAsia" w:hAnsiTheme="minorHAnsi" w:cstheme="minorBidi"/>
          <w:sz w:val="22"/>
          <w:lang w:eastAsia="pl-PL"/>
        </w:rPr>
      </w:pPr>
      <w:hyperlink w:anchor="_Toc105512970" w:history="1">
        <w:r w:rsidR="00342921" w:rsidRPr="00D32504">
          <w:rPr>
            <w:rStyle w:val="Hipercze"/>
          </w:rPr>
          <w:t>Wykres 5</w:t>
        </w:r>
        <w:r w:rsidR="00342921" w:rsidRPr="00D32504">
          <w:rPr>
            <w:rStyle w:val="Hipercze"/>
          </w:rPr>
          <w:noBreakHyphen/>
          <w:t>16.</w:t>
        </w:r>
        <w:r w:rsidR="00342921">
          <w:rPr>
            <w:rFonts w:asciiTheme="minorHAnsi" w:eastAsiaTheme="minorEastAsia" w:hAnsiTheme="minorHAnsi" w:cstheme="minorBidi"/>
            <w:sz w:val="22"/>
            <w:lang w:eastAsia="pl-PL"/>
          </w:rPr>
          <w:tab/>
        </w:r>
        <w:r w:rsidR="00342921" w:rsidRPr="00D32504">
          <w:rPr>
            <w:rStyle w:val="Hipercze"/>
          </w:rPr>
          <w:t>Procent powierzchni regionu wodnego Dolnej Odry i Przymorza Zachodniego z JCWPd o słabym stanie ilościowym</w:t>
        </w:r>
        <w:r w:rsidR="00342921">
          <w:rPr>
            <w:webHidden/>
          </w:rPr>
          <w:tab/>
        </w:r>
        <w:r w:rsidR="00342921">
          <w:rPr>
            <w:webHidden/>
          </w:rPr>
          <w:fldChar w:fldCharType="begin"/>
        </w:r>
        <w:r w:rsidR="00342921">
          <w:rPr>
            <w:webHidden/>
          </w:rPr>
          <w:instrText xml:space="preserve"> PAGEREF _Toc105512970 \h </w:instrText>
        </w:r>
        <w:r w:rsidR="00342921">
          <w:rPr>
            <w:webHidden/>
          </w:rPr>
        </w:r>
        <w:r w:rsidR="00342921">
          <w:rPr>
            <w:webHidden/>
          </w:rPr>
          <w:fldChar w:fldCharType="separate"/>
        </w:r>
        <w:r w:rsidR="001F774D">
          <w:rPr>
            <w:webHidden/>
          </w:rPr>
          <w:t>124</w:t>
        </w:r>
        <w:r w:rsidR="00342921">
          <w:rPr>
            <w:webHidden/>
          </w:rPr>
          <w:fldChar w:fldCharType="end"/>
        </w:r>
      </w:hyperlink>
    </w:p>
    <w:p w14:paraId="611DC5E9" w14:textId="2459E3C7" w:rsidR="00342921" w:rsidRDefault="009C595A">
      <w:pPr>
        <w:pStyle w:val="Spisilustracji"/>
        <w:rPr>
          <w:rFonts w:asciiTheme="minorHAnsi" w:eastAsiaTheme="minorEastAsia" w:hAnsiTheme="minorHAnsi" w:cstheme="minorBidi"/>
          <w:sz w:val="22"/>
          <w:lang w:eastAsia="pl-PL"/>
        </w:rPr>
      </w:pPr>
      <w:hyperlink w:anchor="_Toc105512971" w:history="1">
        <w:r w:rsidR="00342921" w:rsidRPr="00D32504">
          <w:rPr>
            <w:rStyle w:val="Hipercze"/>
          </w:rPr>
          <w:t>Wykres 5</w:t>
        </w:r>
        <w:r w:rsidR="00342921" w:rsidRPr="00D32504">
          <w:rPr>
            <w:rStyle w:val="Hipercze"/>
          </w:rPr>
          <w:noBreakHyphen/>
          <w:t>17.</w:t>
        </w:r>
        <w:r w:rsidR="00342921">
          <w:rPr>
            <w:rFonts w:asciiTheme="minorHAnsi" w:eastAsiaTheme="minorEastAsia" w:hAnsiTheme="minorHAnsi" w:cstheme="minorBidi"/>
            <w:sz w:val="22"/>
            <w:lang w:eastAsia="pl-PL"/>
          </w:rPr>
          <w:tab/>
        </w:r>
        <w:r w:rsidR="00342921" w:rsidRPr="00D32504">
          <w:rPr>
            <w:rStyle w:val="Hipercze"/>
          </w:rPr>
          <w:t>Procent powierzchni regionu wodnego Warty z JCWPd o słabym stanie ilościowym</w:t>
        </w:r>
        <w:r w:rsidR="00342921">
          <w:rPr>
            <w:webHidden/>
          </w:rPr>
          <w:tab/>
        </w:r>
        <w:r w:rsidR="00342921">
          <w:rPr>
            <w:webHidden/>
          </w:rPr>
          <w:fldChar w:fldCharType="begin"/>
        </w:r>
        <w:r w:rsidR="00342921">
          <w:rPr>
            <w:webHidden/>
          </w:rPr>
          <w:instrText xml:space="preserve"> PAGEREF _Toc105512971 \h </w:instrText>
        </w:r>
        <w:r w:rsidR="00342921">
          <w:rPr>
            <w:webHidden/>
          </w:rPr>
        </w:r>
        <w:r w:rsidR="00342921">
          <w:rPr>
            <w:webHidden/>
          </w:rPr>
          <w:fldChar w:fldCharType="separate"/>
        </w:r>
        <w:r w:rsidR="001F774D">
          <w:rPr>
            <w:webHidden/>
          </w:rPr>
          <w:t>124</w:t>
        </w:r>
        <w:r w:rsidR="00342921">
          <w:rPr>
            <w:webHidden/>
          </w:rPr>
          <w:fldChar w:fldCharType="end"/>
        </w:r>
      </w:hyperlink>
    </w:p>
    <w:p w14:paraId="4E3E64EB" w14:textId="702B4CBE" w:rsidR="00342921" w:rsidRDefault="009C595A">
      <w:pPr>
        <w:pStyle w:val="Spisilustracji"/>
        <w:rPr>
          <w:rFonts w:asciiTheme="minorHAnsi" w:eastAsiaTheme="minorEastAsia" w:hAnsiTheme="minorHAnsi" w:cstheme="minorBidi"/>
          <w:sz w:val="22"/>
          <w:lang w:eastAsia="pl-PL"/>
        </w:rPr>
      </w:pPr>
      <w:hyperlink w:anchor="_Toc105512972" w:history="1">
        <w:r w:rsidR="00342921" w:rsidRPr="00D32504">
          <w:rPr>
            <w:rStyle w:val="Hipercze"/>
          </w:rPr>
          <w:t>Wykres 5</w:t>
        </w:r>
        <w:r w:rsidR="00342921" w:rsidRPr="00D32504">
          <w:rPr>
            <w:rStyle w:val="Hipercze"/>
          </w:rPr>
          <w:noBreakHyphen/>
          <w:t>18.</w:t>
        </w:r>
        <w:r w:rsidR="00342921">
          <w:rPr>
            <w:rFonts w:asciiTheme="minorHAnsi" w:eastAsiaTheme="minorEastAsia" w:hAnsiTheme="minorHAnsi" w:cstheme="minorBidi"/>
            <w:sz w:val="22"/>
            <w:lang w:eastAsia="pl-PL"/>
          </w:rPr>
          <w:tab/>
        </w:r>
        <w:r w:rsidR="00342921" w:rsidRPr="00D32504">
          <w:rPr>
            <w:rStyle w:val="Hipercze"/>
          </w:rPr>
          <w:t>Procent powierzchni regionu wodnego Noteci z JCWPd o słabym stanie ilościowym</w:t>
        </w:r>
        <w:r w:rsidR="00342921">
          <w:rPr>
            <w:webHidden/>
          </w:rPr>
          <w:tab/>
        </w:r>
        <w:r w:rsidR="00342921">
          <w:rPr>
            <w:webHidden/>
          </w:rPr>
          <w:fldChar w:fldCharType="begin"/>
        </w:r>
        <w:r w:rsidR="00342921">
          <w:rPr>
            <w:webHidden/>
          </w:rPr>
          <w:instrText xml:space="preserve"> PAGEREF _Toc105512972 \h </w:instrText>
        </w:r>
        <w:r w:rsidR="00342921">
          <w:rPr>
            <w:webHidden/>
          </w:rPr>
        </w:r>
        <w:r w:rsidR="00342921">
          <w:rPr>
            <w:webHidden/>
          </w:rPr>
          <w:fldChar w:fldCharType="separate"/>
        </w:r>
        <w:r w:rsidR="001F774D">
          <w:rPr>
            <w:webHidden/>
          </w:rPr>
          <w:t>125</w:t>
        </w:r>
        <w:r w:rsidR="00342921">
          <w:rPr>
            <w:webHidden/>
          </w:rPr>
          <w:fldChar w:fldCharType="end"/>
        </w:r>
      </w:hyperlink>
    </w:p>
    <w:p w14:paraId="4AB26D14" w14:textId="30DE30D3" w:rsidR="00342921" w:rsidRDefault="009C595A">
      <w:pPr>
        <w:pStyle w:val="Spisilustracji"/>
        <w:rPr>
          <w:rFonts w:asciiTheme="minorHAnsi" w:eastAsiaTheme="minorEastAsia" w:hAnsiTheme="minorHAnsi" w:cstheme="minorBidi"/>
          <w:sz w:val="22"/>
          <w:lang w:eastAsia="pl-PL"/>
        </w:rPr>
      </w:pPr>
      <w:hyperlink w:anchor="_Toc105512973" w:history="1">
        <w:r w:rsidR="00342921" w:rsidRPr="00D32504">
          <w:rPr>
            <w:rStyle w:val="Hipercze"/>
          </w:rPr>
          <w:t>Wykres 6</w:t>
        </w:r>
        <w:r w:rsidR="00342921" w:rsidRPr="00D32504">
          <w:rPr>
            <w:rStyle w:val="Hipercze"/>
          </w:rPr>
          <w:noBreakHyphen/>
          <w:t>1.</w:t>
        </w:r>
        <w:r w:rsidR="00342921">
          <w:rPr>
            <w:rFonts w:asciiTheme="minorHAnsi" w:eastAsiaTheme="minorEastAsia" w:hAnsiTheme="minorHAnsi" w:cstheme="minorBidi"/>
            <w:sz w:val="22"/>
            <w:lang w:eastAsia="pl-PL"/>
          </w:rPr>
          <w:tab/>
        </w:r>
        <w:r w:rsidR="00342921" w:rsidRPr="00D32504">
          <w:rPr>
            <w:rStyle w:val="Hipercze"/>
          </w:rPr>
          <w:t>Częstość przekroczeń wartości granicznych EQS (≥50%) w wodzie i biocie w podziale na typ wód (LW: JCWP jeziorne; RW oraz RWr: JCWP rzeczne i zbiornikowe; CW oraz TW: JCWP przejściowe i przybrzeżne)</w:t>
        </w:r>
        <w:r w:rsidR="00342921">
          <w:rPr>
            <w:webHidden/>
          </w:rPr>
          <w:tab/>
        </w:r>
        <w:r w:rsidR="00342921">
          <w:rPr>
            <w:webHidden/>
          </w:rPr>
          <w:fldChar w:fldCharType="begin"/>
        </w:r>
        <w:r w:rsidR="00342921">
          <w:rPr>
            <w:webHidden/>
          </w:rPr>
          <w:instrText xml:space="preserve"> PAGEREF _Toc105512973 \h </w:instrText>
        </w:r>
        <w:r w:rsidR="00342921">
          <w:rPr>
            <w:webHidden/>
          </w:rPr>
        </w:r>
        <w:r w:rsidR="00342921">
          <w:rPr>
            <w:webHidden/>
          </w:rPr>
          <w:fldChar w:fldCharType="separate"/>
        </w:r>
        <w:r w:rsidR="001F774D">
          <w:rPr>
            <w:webHidden/>
          </w:rPr>
          <w:t>129</w:t>
        </w:r>
        <w:r w:rsidR="00342921">
          <w:rPr>
            <w:webHidden/>
          </w:rPr>
          <w:fldChar w:fldCharType="end"/>
        </w:r>
      </w:hyperlink>
    </w:p>
    <w:p w14:paraId="3A0F6CB6" w14:textId="414C7217" w:rsidR="00342921" w:rsidRDefault="009C595A">
      <w:pPr>
        <w:pStyle w:val="Spisilustracji"/>
        <w:rPr>
          <w:rFonts w:asciiTheme="minorHAnsi" w:eastAsiaTheme="minorEastAsia" w:hAnsiTheme="minorHAnsi" w:cstheme="minorBidi"/>
          <w:sz w:val="22"/>
          <w:lang w:eastAsia="pl-PL"/>
        </w:rPr>
      </w:pPr>
      <w:hyperlink w:anchor="_Toc105512974" w:history="1">
        <w:r w:rsidR="00342921" w:rsidRPr="00D32504">
          <w:rPr>
            <w:rStyle w:val="Hipercze"/>
          </w:rPr>
          <w:t>Wykres 7</w:t>
        </w:r>
        <w:r w:rsidR="00342921" w:rsidRPr="00D32504">
          <w:rPr>
            <w:rStyle w:val="Hipercze"/>
          </w:rPr>
          <w:noBreakHyphen/>
          <w:t>1.</w:t>
        </w:r>
        <w:r w:rsidR="00342921">
          <w:rPr>
            <w:rFonts w:asciiTheme="minorHAnsi" w:eastAsiaTheme="minorEastAsia" w:hAnsiTheme="minorHAnsi" w:cstheme="minorBidi"/>
            <w:sz w:val="22"/>
            <w:lang w:eastAsia="pl-PL"/>
          </w:rPr>
          <w:tab/>
        </w:r>
        <w:r w:rsidR="00342921" w:rsidRPr="00D32504">
          <w:rPr>
            <w:rStyle w:val="Hipercze"/>
          </w:rPr>
          <w:t>Udział liczby JCWP RW ze zidentyfikowaną daną presją znaczącą w ogólnej liczbie JCWP RW – obszar dorzecza Odry</w:t>
        </w:r>
        <w:r w:rsidR="00342921">
          <w:rPr>
            <w:webHidden/>
          </w:rPr>
          <w:tab/>
        </w:r>
        <w:r w:rsidR="00342921">
          <w:rPr>
            <w:webHidden/>
          </w:rPr>
          <w:fldChar w:fldCharType="begin"/>
        </w:r>
        <w:r w:rsidR="00342921">
          <w:rPr>
            <w:webHidden/>
          </w:rPr>
          <w:instrText xml:space="preserve"> PAGEREF _Toc105512974 \h </w:instrText>
        </w:r>
        <w:r w:rsidR="00342921">
          <w:rPr>
            <w:webHidden/>
          </w:rPr>
        </w:r>
        <w:r w:rsidR="00342921">
          <w:rPr>
            <w:webHidden/>
          </w:rPr>
          <w:fldChar w:fldCharType="separate"/>
        </w:r>
        <w:r w:rsidR="001F774D">
          <w:rPr>
            <w:webHidden/>
          </w:rPr>
          <w:t>136</w:t>
        </w:r>
        <w:r w:rsidR="00342921">
          <w:rPr>
            <w:webHidden/>
          </w:rPr>
          <w:fldChar w:fldCharType="end"/>
        </w:r>
      </w:hyperlink>
    </w:p>
    <w:p w14:paraId="7CCA50CA" w14:textId="578C785F" w:rsidR="00342921" w:rsidRDefault="009C595A">
      <w:pPr>
        <w:pStyle w:val="Spisilustracji"/>
        <w:rPr>
          <w:rFonts w:asciiTheme="minorHAnsi" w:eastAsiaTheme="minorEastAsia" w:hAnsiTheme="minorHAnsi" w:cstheme="minorBidi"/>
          <w:sz w:val="22"/>
          <w:lang w:eastAsia="pl-PL"/>
        </w:rPr>
      </w:pPr>
      <w:hyperlink w:anchor="_Toc105512975" w:history="1">
        <w:r w:rsidR="00342921" w:rsidRPr="00D32504">
          <w:rPr>
            <w:rStyle w:val="Hipercze"/>
          </w:rPr>
          <w:t>Wykres 7</w:t>
        </w:r>
        <w:r w:rsidR="00342921" w:rsidRPr="00D32504">
          <w:rPr>
            <w:rStyle w:val="Hipercze"/>
          </w:rPr>
          <w:noBreakHyphen/>
          <w:t>2.</w:t>
        </w:r>
        <w:r w:rsidR="00342921">
          <w:rPr>
            <w:rFonts w:asciiTheme="minorHAnsi" w:eastAsiaTheme="minorEastAsia" w:hAnsiTheme="minorHAnsi" w:cstheme="minorBidi"/>
            <w:sz w:val="22"/>
            <w:lang w:eastAsia="pl-PL"/>
          </w:rPr>
          <w:tab/>
        </w:r>
        <w:r w:rsidR="00342921" w:rsidRPr="00D32504">
          <w:rPr>
            <w:rStyle w:val="Hipercze"/>
          </w:rPr>
          <w:t>Udział liczby JCWP ze zidentyfikowaną presją znaczącą, umiarkowaną i silną na elementy biologiczne zależne od hydromorfologii, w podziale na poszczególne regiony wodne obszaru dorzecza Odry</w:t>
        </w:r>
        <w:r w:rsidR="00342921">
          <w:rPr>
            <w:webHidden/>
          </w:rPr>
          <w:tab/>
        </w:r>
        <w:r w:rsidR="00342921">
          <w:rPr>
            <w:webHidden/>
          </w:rPr>
          <w:fldChar w:fldCharType="begin"/>
        </w:r>
        <w:r w:rsidR="00342921">
          <w:rPr>
            <w:webHidden/>
          </w:rPr>
          <w:instrText xml:space="preserve"> PAGEREF _Toc105512975 \h </w:instrText>
        </w:r>
        <w:r w:rsidR="00342921">
          <w:rPr>
            <w:webHidden/>
          </w:rPr>
        </w:r>
        <w:r w:rsidR="00342921">
          <w:rPr>
            <w:webHidden/>
          </w:rPr>
          <w:fldChar w:fldCharType="separate"/>
        </w:r>
        <w:r w:rsidR="001F774D">
          <w:rPr>
            <w:webHidden/>
          </w:rPr>
          <w:t>138</w:t>
        </w:r>
        <w:r w:rsidR="00342921">
          <w:rPr>
            <w:webHidden/>
          </w:rPr>
          <w:fldChar w:fldCharType="end"/>
        </w:r>
      </w:hyperlink>
    </w:p>
    <w:p w14:paraId="788A4AF1" w14:textId="2C582E41" w:rsidR="00342921" w:rsidRDefault="009C595A">
      <w:pPr>
        <w:pStyle w:val="Spisilustracji"/>
        <w:rPr>
          <w:rFonts w:asciiTheme="minorHAnsi" w:eastAsiaTheme="minorEastAsia" w:hAnsiTheme="minorHAnsi" w:cstheme="minorBidi"/>
          <w:sz w:val="22"/>
          <w:lang w:eastAsia="pl-PL"/>
        </w:rPr>
      </w:pPr>
      <w:hyperlink w:anchor="_Toc105512976" w:history="1">
        <w:r w:rsidR="00342921" w:rsidRPr="00D32504">
          <w:rPr>
            <w:rStyle w:val="Hipercze"/>
          </w:rPr>
          <w:t>Wykres 7</w:t>
        </w:r>
        <w:r w:rsidR="00342921" w:rsidRPr="00D32504">
          <w:rPr>
            <w:rStyle w:val="Hipercze"/>
          </w:rPr>
          <w:noBreakHyphen/>
          <w:t>3.</w:t>
        </w:r>
        <w:r w:rsidR="00342921">
          <w:rPr>
            <w:rFonts w:asciiTheme="minorHAnsi" w:eastAsiaTheme="minorEastAsia" w:hAnsiTheme="minorHAnsi" w:cstheme="minorBidi"/>
            <w:sz w:val="22"/>
            <w:lang w:eastAsia="pl-PL"/>
          </w:rPr>
          <w:tab/>
        </w:r>
        <w:r w:rsidR="00342921" w:rsidRPr="00D32504">
          <w:rPr>
            <w:rStyle w:val="Hipercze"/>
          </w:rPr>
          <w:t>Udział liczby JCWP ze zidentyfikowaną presją znaczącą umiarkowaną i silną na elementy biologiczne zależne od fizykochemii (trofii), w podziale na poszczególne regiony wodne obszaru dorzecza Odry</w:t>
        </w:r>
        <w:r w:rsidR="00342921">
          <w:rPr>
            <w:webHidden/>
          </w:rPr>
          <w:tab/>
        </w:r>
        <w:r w:rsidR="00342921">
          <w:rPr>
            <w:webHidden/>
          </w:rPr>
          <w:fldChar w:fldCharType="begin"/>
        </w:r>
        <w:r w:rsidR="00342921">
          <w:rPr>
            <w:webHidden/>
          </w:rPr>
          <w:instrText xml:space="preserve"> PAGEREF _Toc105512976 \h </w:instrText>
        </w:r>
        <w:r w:rsidR="00342921">
          <w:rPr>
            <w:webHidden/>
          </w:rPr>
        </w:r>
        <w:r w:rsidR="00342921">
          <w:rPr>
            <w:webHidden/>
          </w:rPr>
          <w:fldChar w:fldCharType="separate"/>
        </w:r>
        <w:r w:rsidR="001F774D">
          <w:rPr>
            <w:webHidden/>
          </w:rPr>
          <w:t>139</w:t>
        </w:r>
        <w:r w:rsidR="00342921">
          <w:rPr>
            <w:webHidden/>
          </w:rPr>
          <w:fldChar w:fldCharType="end"/>
        </w:r>
      </w:hyperlink>
    </w:p>
    <w:p w14:paraId="6C69FF9A" w14:textId="3B75866E" w:rsidR="00342921" w:rsidRDefault="009C595A">
      <w:pPr>
        <w:pStyle w:val="Spisilustracji"/>
        <w:rPr>
          <w:rFonts w:asciiTheme="minorHAnsi" w:eastAsiaTheme="minorEastAsia" w:hAnsiTheme="minorHAnsi" w:cstheme="minorBidi"/>
          <w:sz w:val="22"/>
          <w:lang w:eastAsia="pl-PL"/>
        </w:rPr>
      </w:pPr>
      <w:hyperlink w:anchor="_Toc105512977" w:history="1">
        <w:r w:rsidR="00342921" w:rsidRPr="00D32504">
          <w:rPr>
            <w:rStyle w:val="Hipercze"/>
          </w:rPr>
          <w:t>Wykres 7</w:t>
        </w:r>
        <w:r w:rsidR="00342921" w:rsidRPr="00D32504">
          <w:rPr>
            <w:rStyle w:val="Hipercze"/>
          </w:rPr>
          <w:noBreakHyphen/>
          <w:t>4.</w:t>
        </w:r>
        <w:r w:rsidR="00342921">
          <w:rPr>
            <w:rFonts w:asciiTheme="minorHAnsi" w:eastAsiaTheme="minorEastAsia" w:hAnsiTheme="minorHAnsi" w:cstheme="minorBidi"/>
            <w:sz w:val="22"/>
            <w:lang w:eastAsia="pl-PL"/>
          </w:rPr>
          <w:tab/>
        </w:r>
        <w:r w:rsidR="00342921" w:rsidRPr="00D32504">
          <w:rPr>
            <w:rStyle w:val="Hipercze"/>
          </w:rPr>
          <w:t>Zestawienie oceny ryzyka nieosiągnięcia celów środowiskowych dla elementów biologicznych zależnych od hydromorfologii, w podziale na regiony wodne obszaru dorzecza Odry</w:t>
        </w:r>
        <w:r w:rsidR="00342921">
          <w:rPr>
            <w:webHidden/>
          </w:rPr>
          <w:tab/>
        </w:r>
        <w:r w:rsidR="00342921">
          <w:rPr>
            <w:webHidden/>
          </w:rPr>
          <w:fldChar w:fldCharType="begin"/>
        </w:r>
        <w:r w:rsidR="00342921">
          <w:rPr>
            <w:webHidden/>
          </w:rPr>
          <w:instrText xml:space="preserve"> PAGEREF _Toc105512977 \h </w:instrText>
        </w:r>
        <w:r w:rsidR="00342921">
          <w:rPr>
            <w:webHidden/>
          </w:rPr>
        </w:r>
        <w:r w:rsidR="00342921">
          <w:rPr>
            <w:webHidden/>
          </w:rPr>
          <w:fldChar w:fldCharType="separate"/>
        </w:r>
        <w:r w:rsidR="001F774D">
          <w:rPr>
            <w:webHidden/>
          </w:rPr>
          <w:t>140</w:t>
        </w:r>
        <w:r w:rsidR="00342921">
          <w:rPr>
            <w:webHidden/>
          </w:rPr>
          <w:fldChar w:fldCharType="end"/>
        </w:r>
      </w:hyperlink>
    </w:p>
    <w:p w14:paraId="397FA11F" w14:textId="0BB7D39D" w:rsidR="00342921" w:rsidRDefault="009C595A">
      <w:pPr>
        <w:pStyle w:val="Spisilustracji"/>
        <w:rPr>
          <w:rFonts w:asciiTheme="minorHAnsi" w:eastAsiaTheme="minorEastAsia" w:hAnsiTheme="minorHAnsi" w:cstheme="minorBidi"/>
          <w:sz w:val="22"/>
          <w:lang w:eastAsia="pl-PL"/>
        </w:rPr>
      </w:pPr>
      <w:hyperlink w:anchor="_Toc105512978" w:history="1">
        <w:r w:rsidR="00342921" w:rsidRPr="00D32504">
          <w:rPr>
            <w:rStyle w:val="Hipercze"/>
          </w:rPr>
          <w:t>Wykres 7</w:t>
        </w:r>
        <w:r w:rsidR="00342921" w:rsidRPr="00D32504">
          <w:rPr>
            <w:rStyle w:val="Hipercze"/>
          </w:rPr>
          <w:noBreakHyphen/>
          <w:t>5.</w:t>
        </w:r>
        <w:r w:rsidR="00342921">
          <w:rPr>
            <w:rFonts w:asciiTheme="minorHAnsi" w:eastAsiaTheme="minorEastAsia" w:hAnsiTheme="minorHAnsi" w:cstheme="minorBidi"/>
            <w:sz w:val="22"/>
            <w:lang w:eastAsia="pl-PL"/>
          </w:rPr>
          <w:tab/>
        </w:r>
        <w:r w:rsidR="00342921" w:rsidRPr="00D32504">
          <w:rPr>
            <w:rStyle w:val="Hipercze"/>
            <w:lang w:val="pl"/>
          </w:rPr>
          <w:t>Zestawienie oceny ryzyka nieosiągnięcia celów środowiskowych dla elementów biologicznych zależnych od fizykochemii, w podziale na regiony wodne obszaru dorzecza Odry</w:t>
        </w:r>
        <w:r w:rsidR="00342921">
          <w:rPr>
            <w:webHidden/>
          </w:rPr>
          <w:tab/>
        </w:r>
        <w:r w:rsidR="00342921">
          <w:rPr>
            <w:webHidden/>
          </w:rPr>
          <w:fldChar w:fldCharType="begin"/>
        </w:r>
        <w:r w:rsidR="00342921">
          <w:rPr>
            <w:webHidden/>
          </w:rPr>
          <w:instrText xml:space="preserve"> PAGEREF _Toc105512978 \h </w:instrText>
        </w:r>
        <w:r w:rsidR="00342921">
          <w:rPr>
            <w:webHidden/>
          </w:rPr>
        </w:r>
        <w:r w:rsidR="00342921">
          <w:rPr>
            <w:webHidden/>
          </w:rPr>
          <w:fldChar w:fldCharType="separate"/>
        </w:r>
        <w:r w:rsidR="001F774D">
          <w:rPr>
            <w:webHidden/>
          </w:rPr>
          <w:t>141</w:t>
        </w:r>
        <w:r w:rsidR="00342921">
          <w:rPr>
            <w:webHidden/>
          </w:rPr>
          <w:fldChar w:fldCharType="end"/>
        </w:r>
      </w:hyperlink>
    </w:p>
    <w:p w14:paraId="7054E492" w14:textId="0569F802" w:rsidR="00342921" w:rsidRDefault="009C595A">
      <w:pPr>
        <w:pStyle w:val="Spisilustracji"/>
        <w:rPr>
          <w:rFonts w:asciiTheme="minorHAnsi" w:eastAsiaTheme="minorEastAsia" w:hAnsiTheme="minorHAnsi" w:cstheme="minorBidi"/>
          <w:sz w:val="22"/>
          <w:lang w:eastAsia="pl-PL"/>
        </w:rPr>
      </w:pPr>
      <w:hyperlink w:anchor="_Toc105512979" w:history="1">
        <w:r w:rsidR="00342921" w:rsidRPr="00D32504">
          <w:rPr>
            <w:rStyle w:val="Hipercze"/>
          </w:rPr>
          <w:t>Wykres 7</w:t>
        </w:r>
        <w:r w:rsidR="00342921" w:rsidRPr="00D32504">
          <w:rPr>
            <w:rStyle w:val="Hipercze"/>
          </w:rPr>
          <w:noBreakHyphen/>
          <w:t>6.</w:t>
        </w:r>
        <w:r w:rsidR="00342921">
          <w:rPr>
            <w:rFonts w:asciiTheme="minorHAnsi" w:eastAsiaTheme="minorEastAsia" w:hAnsiTheme="minorHAnsi" w:cstheme="minorBidi"/>
            <w:sz w:val="22"/>
            <w:lang w:eastAsia="pl-PL"/>
          </w:rPr>
          <w:tab/>
        </w:r>
        <w:r w:rsidR="00342921" w:rsidRPr="00D32504">
          <w:rPr>
            <w:rStyle w:val="Hipercze"/>
          </w:rPr>
          <w:t>Dominujące źródła presji na wskaźniki fizykochemiczne JCWP RW, w podziale na poszczególne regiony wodne obszaru dorzecza Odry</w:t>
        </w:r>
        <w:r w:rsidR="00342921">
          <w:rPr>
            <w:webHidden/>
          </w:rPr>
          <w:tab/>
        </w:r>
        <w:r w:rsidR="00342921">
          <w:rPr>
            <w:webHidden/>
          </w:rPr>
          <w:fldChar w:fldCharType="begin"/>
        </w:r>
        <w:r w:rsidR="00342921">
          <w:rPr>
            <w:webHidden/>
          </w:rPr>
          <w:instrText xml:space="preserve"> PAGEREF _Toc105512979 \h </w:instrText>
        </w:r>
        <w:r w:rsidR="00342921">
          <w:rPr>
            <w:webHidden/>
          </w:rPr>
        </w:r>
        <w:r w:rsidR="00342921">
          <w:rPr>
            <w:webHidden/>
          </w:rPr>
          <w:fldChar w:fldCharType="separate"/>
        </w:r>
        <w:r w:rsidR="001F774D">
          <w:rPr>
            <w:webHidden/>
          </w:rPr>
          <w:t>142</w:t>
        </w:r>
        <w:r w:rsidR="00342921">
          <w:rPr>
            <w:webHidden/>
          </w:rPr>
          <w:fldChar w:fldCharType="end"/>
        </w:r>
      </w:hyperlink>
    </w:p>
    <w:p w14:paraId="03D1ABBB" w14:textId="06554DED" w:rsidR="00342921" w:rsidRDefault="009C595A">
      <w:pPr>
        <w:pStyle w:val="Spisilustracji"/>
        <w:rPr>
          <w:rFonts w:asciiTheme="minorHAnsi" w:eastAsiaTheme="minorEastAsia" w:hAnsiTheme="minorHAnsi" w:cstheme="minorBidi"/>
          <w:sz w:val="22"/>
          <w:lang w:eastAsia="pl-PL"/>
        </w:rPr>
      </w:pPr>
      <w:hyperlink w:anchor="_Toc105512980" w:history="1">
        <w:r w:rsidR="00342921" w:rsidRPr="00D32504">
          <w:rPr>
            <w:rStyle w:val="Hipercze"/>
          </w:rPr>
          <w:t>Wykres 7</w:t>
        </w:r>
        <w:r w:rsidR="00342921" w:rsidRPr="00D32504">
          <w:rPr>
            <w:rStyle w:val="Hipercze"/>
          </w:rPr>
          <w:noBreakHyphen/>
          <w:t>7.</w:t>
        </w:r>
        <w:r w:rsidR="00342921">
          <w:rPr>
            <w:rFonts w:asciiTheme="minorHAnsi" w:eastAsiaTheme="minorEastAsia" w:hAnsiTheme="minorHAnsi" w:cstheme="minorBidi"/>
            <w:sz w:val="22"/>
            <w:lang w:eastAsia="pl-PL"/>
          </w:rPr>
          <w:tab/>
        </w:r>
        <w:r w:rsidR="00342921" w:rsidRPr="00D32504">
          <w:rPr>
            <w:rStyle w:val="Hipercze"/>
          </w:rPr>
          <w:t>Udział JCWP RW zagrożonych nieosiągnięciem celów środowiskowych w ogólnej liczbie JCWP RW obszaru dorzecza Odry</w:t>
        </w:r>
        <w:r w:rsidR="00342921">
          <w:rPr>
            <w:webHidden/>
          </w:rPr>
          <w:tab/>
        </w:r>
        <w:r w:rsidR="00342921">
          <w:rPr>
            <w:webHidden/>
          </w:rPr>
          <w:fldChar w:fldCharType="begin"/>
        </w:r>
        <w:r w:rsidR="00342921">
          <w:rPr>
            <w:webHidden/>
          </w:rPr>
          <w:instrText xml:space="preserve"> PAGEREF _Toc105512980 \h </w:instrText>
        </w:r>
        <w:r w:rsidR="00342921">
          <w:rPr>
            <w:webHidden/>
          </w:rPr>
        </w:r>
        <w:r w:rsidR="00342921">
          <w:rPr>
            <w:webHidden/>
          </w:rPr>
          <w:fldChar w:fldCharType="separate"/>
        </w:r>
        <w:r w:rsidR="001F774D">
          <w:rPr>
            <w:webHidden/>
          </w:rPr>
          <w:t>143</w:t>
        </w:r>
        <w:r w:rsidR="00342921">
          <w:rPr>
            <w:webHidden/>
          </w:rPr>
          <w:fldChar w:fldCharType="end"/>
        </w:r>
      </w:hyperlink>
    </w:p>
    <w:p w14:paraId="1DB5CD9F" w14:textId="733BEC5A" w:rsidR="00342921" w:rsidRDefault="009C595A">
      <w:pPr>
        <w:pStyle w:val="Spisilustracji"/>
        <w:rPr>
          <w:rFonts w:asciiTheme="minorHAnsi" w:eastAsiaTheme="minorEastAsia" w:hAnsiTheme="minorHAnsi" w:cstheme="minorBidi"/>
          <w:sz w:val="22"/>
          <w:lang w:eastAsia="pl-PL"/>
        </w:rPr>
      </w:pPr>
      <w:hyperlink w:anchor="_Toc105512981" w:history="1">
        <w:r w:rsidR="00342921" w:rsidRPr="00D32504">
          <w:rPr>
            <w:rStyle w:val="Hipercze"/>
          </w:rPr>
          <w:t>Wykres 7</w:t>
        </w:r>
        <w:r w:rsidR="00342921" w:rsidRPr="00D32504">
          <w:rPr>
            <w:rStyle w:val="Hipercze"/>
          </w:rPr>
          <w:noBreakHyphen/>
          <w:t>8.</w:t>
        </w:r>
        <w:r w:rsidR="00342921">
          <w:rPr>
            <w:rFonts w:asciiTheme="minorHAnsi" w:eastAsiaTheme="minorEastAsia" w:hAnsiTheme="minorHAnsi" w:cstheme="minorBidi"/>
            <w:sz w:val="22"/>
            <w:lang w:eastAsia="pl-PL"/>
          </w:rPr>
          <w:tab/>
        </w:r>
        <w:r w:rsidR="00342921" w:rsidRPr="00D32504">
          <w:rPr>
            <w:rStyle w:val="Hipercze"/>
          </w:rPr>
          <w:t>Udział JCWP RW zagrożonych nieosiągnięciem celów środowiskowych w ogólnej liczbie JCWP RW danego regionu wodnego</w:t>
        </w:r>
        <w:r w:rsidR="00342921">
          <w:rPr>
            <w:webHidden/>
          </w:rPr>
          <w:tab/>
        </w:r>
        <w:r w:rsidR="00342921">
          <w:rPr>
            <w:webHidden/>
          </w:rPr>
          <w:fldChar w:fldCharType="begin"/>
        </w:r>
        <w:r w:rsidR="00342921">
          <w:rPr>
            <w:webHidden/>
          </w:rPr>
          <w:instrText xml:space="preserve"> PAGEREF _Toc105512981 \h </w:instrText>
        </w:r>
        <w:r w:rsidR="00342921">
          <w:rPr>
            <w:webHidden/>
          </w:rPr>
        </w:r>
        <w:r w:rsidR="00342921">
          <w:rPr>
            <w:webHidden/>
          </w:rPr>
          <w:fldChar w:fldCharType="separate"/>
        </w:r>
        <w:r w:rsidR="001F774D">
          <w:rPr>
            <w:webHidden/>
          </w:rPr>
          <w:t>144</w:t>
        </w:r>
        <w:r w:rsidR="00342921">
          <w:rPr>
            <w:webHidden/>
          </w:rPr>
          <w:fldChar w:fldCharType="end"/>
        </w:r>
      </w:hyperlink>
    </w:p>
    <w:p w14:paraId="629E1870" w14:textId="58CDE701" w:rsidR="00342921" w:rsidRDefault="009C595A">
      <w:pPr>
        <w:pStyle w:val="Spisilustracji"/>
        <w:rPr>
          <w:rFonts w:asciiTheme="minorHAnsi" w:eastAsiaTheme="minorEastAsia" w:hAnsiTheme="minorHAnsi" w:cstheme="minorBidi"/>
          <w:sz w:val="22"/>
          <w:lang w:eastAsia="pl-PL"/>
        </w:rPr>
      </w:pPr>
      <w:hyperlink w:anchor="_Toc105512982" w:history="1">
        <w:r w:rsidR="00342921" w:rsidRPr="00D32504">
          <w:rPr>
            <w:rStyle w:val="Hipercze"/>
          </w:rPr>
          <w:t>Wykres 7</w:t>
        </w:r>
        <w:r w:rsidR="00342921" w:rsidRPr="00D32504">
          <w:rPr>
            <w:rStyle w:val="Hipercze"/>
          </w:rPr>
          <w:noBreakHyphen/>
          <w:t>9.</w:t>
        </w:r>
        <w:r w:rsidR="00342921">
          <w:rPr>
            <w:rFonts w:asciiTheme="minorHAnsi" w:eastAsiaTheme="minorEastAsia" w:hAnsiTheme="minorHAnsi" w:cstheme="minorBidi"/>
            <w:sz w:val="22"/>
            <w:lang w:eastAsia="pl-PL"/>
          </w:rPr>
          <w:tab/>
        </w:r>
        <w:r w:rsidR="00342921" w:rsidRPr="00D32504">
          <w:rPr>
            <w:rStyle w:val="Hipercze"/>
          </w:rPr>
          <w:t>Udział liczby JCWP RWr ze zidentyfikowaną daną presją znaczącą w ogólnej liczbie JCWP RWr – obszar dorzecza Odry</w:t>
        </w:r>
        <w:r w:rsidR="00342921">
          <w:rPr>
            <w:webHidden/>
          </w:rPr>
          <w:tab/>
        </w:r>
        <w:r w:rsidR="00342921">
          <w:rPr>
            <w:webHidden/>
          </w:rPr>
          <w:fldChar w:fldCharType="begin"/>
        </w:r>
        <w:r w:rsidR="00342921">
          <w:rPr>
            <w:webHidden/>
          </w:rPr>
          <w:instrText xml:space="preserve"> PAGEREF _Toc105512982 \h </w:instrText>
        </w:r>
        <w:r w:rsidR="00342921">
          <w:rPr>
            <w:webHidden/>
          </w:rPr>
        </w:r>
        <w:r w:rsidR="00342921">
          <w:rPr>
            <w:webHidden/>
          </w:rPr>
          <w:fldChar w:fldCharType="separate"/>
        </w:r>
        <w:r w:rsidR="001F774D">
          <w:rPr>
            <w:webHidden/>
          </w:rPr>
          <w:t>145</w:t>
        </w:r>
        <w:r w:rsidR="00342921">
          <w:rPr>
            <w:webHidden/>
          </w:rPr>
          <w:fldChar w:fldCharType="end"/>
        </w:r>
      </w:hyperlink>
    </w:p>
    <w:p w14:paraId="661C6C0F" w14:textId="78586584" w:rsidR="00342921" w:rsidRDefault="009C595A">
      <w:pPr>
        <w:pStyle w:val="Spisilustracji"/>
        <w:rPr>
          <w:rFonts w:asciiTheme="minorHAnsi" w:eastAsiaTheme="minorEastAsia" w:hAnsiTheme="minorHAnsi" w:cstheme="minorBidi"/>
          <w:sz w:val="22"/>
          <w:lang w:eastAsia="pl-PL"/>
        </w:rPr>
      </w:pPr>
      <w:hyperlink w:anchor="_Toc105512983" w:history="1">
        <w:r w:rsidR="00342921" w:rsidRPr="00D32504">
          <w:rPr>
            <w:rStyle w:val="Hipercze"/>
          </w:rPr>
          <w:t>Wykres 7</w:t>
        </w:r>
        <w:r w:rsidR="00342921" w:rsidRPr="00D32504">
          <w:rPr>
            <w:rStyle w:val="Hipercze"/>
          </w:rPr>
          <w:noBreakHyphen/>
          <w:t>10.</w:t>
        </w:r>
        <w:r w:rsidR="00342921">
          <w:rPr>
            <w:rFonts w:asciiTheme="minorHAnsi" w:eastAsiaTheme="minorEastAsia" w:hAnsiTheme="minorHAnsi" w:cstheme="minorBidi"/>
            <w:sz w:val="22"/>
            <w:lang w:eastAsia="pl-PL"/>
          </w:rPr>
          <w:tab/>
        </w:r>
        <w:r w:rsidR="00342921" w:rsidRPr="00D32504">
          <w:rPr>
            <w:rStyle w:val="Hipercze"/>
          </w:rPr>
          <w:t>Udział JCWP LW ze zidentyfikowaną daną presją znaczącą w ogólnej liczbie JCWP – obszar dorzecza Odry</w:t>
        </w:r>
        <w:r w:rsidR="00342921">
          <w:rPr>
            <w:webHidden/>
          </w:rPr>
          <w:tab/>
        </w:r>
        <w:r w:rsidR="00342921">
          <w:rPr>
            <w:webHidden/>
          </w:rPr>
          <w:fldChar w:fldCharType="begin"/>
        </w:r>
        <w:r w:rsidR="00342921">
          <w:rPr>
            <w:webHidden/>
          </w:rPr>
          <w:instrText xml:space="preserve"> PAGEREF _Toc105512983 \h </w:instrText>
        </w:r>
        <w:r w:rsidR="00342921">
          <w:rPr>
            <w:webHidden/>
          </w:rPr>
        </w:r>
        <w:r w:rsidR="00342921">
          <w:rPr>
            <w:webHidden/>
          </w:rPr>
          <w:fldChar w:fldCharType="separate"/>
        </w:r>
        <w:r w:rsidR="001F774D">
          <w:rPr>
            <w:webHidden/>
          </w:rPr>
          <w:t>147</w:t>
        </w:r>
        <w:r w:rsidR="00342921">
          <w:rPr>
            <w:webHidden/>
          </w:rPr>
          <w:fldChar w:fldCharType="end"/>
        </w:r>
      </w:hyperlink>
    </w:p>
    <w:p w14:paraId="6B6A6073" w14:textId="7229B43D" w:rsidR="00342921" w:rsidRDefault="009C595A">
      <w:pPr>
        <w:pStyle w:val="Spisilustracji"/>
        <w:rPr>
          <w:rFonts w:asciiTheme="minorHAnsi" w:eastAsiaTheme="minorEastAsia" w:hAnsiTheme="minorHAnsi" w:cstheme="minorBidi"/>
          <w:sz w:val="22"/>
          <w:lang w:eastAsia="pl-PL"/>
        </w:rPr>
      </w:pPr>
      <w:hyperlink w:anchor="_Toc105512984" w:history="1">
        <w:r w:rsidR="00342921" w:rsidRPr="00D32504">
          <w:rPr>
            <w:rStyle w:val="Hipercze"/>
          </w:rPr>
          <w:t>Wykres 7</w:t>
        </w:r>
        <w:r w:rsidR="00342921" w:rsidRPr="00D32504">
          <w:rPr>
            <w:rStyle w:val="Hipercze"/>
          </w:rPr>
          <w:noBreakHyphen/>
          <w:t>11.</w:t>
        </w:r>
        <w:r w:rsidR="00342921">
          <w:rPr>
            <w:rFonts w:asciiTheme="minorHAnsi" w:eastAsiaTheme="minorEastAsia" w:hAnsiTheme="minorHAnsi" w:cstheme="minorBidi"/>
            <w:sz w:val="22"/>
            <w:lang w:eastAsia="pl-PL"/>
          </w:rPr>
          <w:tab/>
        </w:r>
        <w:r w:rsidR="00342921" w:rsidRPr="00D32504">
          <w:rPr>
            <w:rStyle w:val="Hipercze"/>
          </w:rPr>
          <w:t>Udział JCWP LW zagrożonych nieosiągnięciem celów środowiskowych w ogólnej liczbie JCWP LW obszaru dorzecza Odry</w:t>
        </w:r>
        <w:r w:rsidR="00342921">
          <w:rPr>
            <w:webHidden/>
          </w:rPr>
          <w:tab/>
        </w:r>
        <w:r w:rsidR="00342921">
          <w:rPr>
            <w:webHidden/>
          </w:rPr>
          <w:fldChar w:fldCharType="begin"/>
        </w:r>
        <w:r w:rsidR="00342921">
          <w:rPr>
            <w:webHidden/>
          </w:rPr>
          <w:instrText xml:space="preserve"> PAGEREF _Toc105512984 \h </w:instrText>
        </w:r>
        <w:r w:rsidR="00342921">
          <w:rPr>
            <w:webHidden/>
          </w:rPr>
        </w:r>
        <w:r w:rsidR="00342921">
          <w:rPr>
            <w:webHidden/>
          </w:rPr>
          <w:fldChar w:fldCharType="separate"/>
        </w:r>
        <w:r w:rsidR="001F774D">
          <w:rPr>
            <w:webHidden/>
          </w:rPr>
          <w:t>148</w:t>
        </w:r>
        <w:r w:rsidR="00342921">
          <w:rPr>
            <w:webHidden/>
          </w:rPr>
          <w:fldChar w:fldCharType="end"/>
        </w:r>
      </w:hyperlink>
    </w:p>
    <w:p w14:paraId="6B031648" w14:textId="4EDE4827" w:rsidR="00342921" w:rsidRDefault="009C595A">
      <w:pPr>
        <w:pStyle w:val="Spisilustracji"/>
        <w:rPr>
          <w:rFonts w:asciiTheme="minorHAnsi" w:eastAsiaTheme="minorEastAsia" w:hAnsiTheme="minorHAnsi" w:cstheme="minorBidi"/>
          <w:sz w:val="22"/>
          <w:lang w:eastAsia="pl-PL"/>
        </w:rPr>
      </w:pPr>
      <w:hyperlink w:anchor="_Toc105512985" w:history="1">
        <w:r w:rsidR="00342921" w:rsidRPr="00D32504">
          <w:rPr>
            <w:rStyle w:val="Hipercze"/>
          </w:rPr>
          <w:t>Wykres 7</w:t>
        </w:r>
        <w:r w:rsidR="00342921" w:rsidRPr="00D32504">
          <w:rPr>
            <w:rStyle w:val="Hipercze"/>
          </w:rPr>
          <w:noBreakHyphen/>
          <w:t>12.</w:t>
        </w:r>
        <w:r w:rsidR="00342921">
          <w:rPr>
            <w:rFonts w:asciiTheme="minorHAnsi" w:eastAsiaTheme="minorEastAsia" w:hAnsiTheme="minorHAnsi" w:cstheme="minorBidi"/>
            <w:sz w:val="22"/>
            <w:lang w:eastAsia="pl-PL"/>
          </w:rPr>
          <w:tab/>
        </w:r>
        <w:r w:rsidR="00342921" w:rsidRPr="00D32504">
          <w:rPr>
            <w:rStyle w:val="Hipercze"/>
          </w:rPr>
          <w:t>Udział JCWP LW zagrożonych nieosiągnięciem celów środowiskowych w ogólnej liczbie JCWP LW danego regionu wodnego</w:t>
        </w:r>
        <w:r w:rsidR="00342921">
          <w:rPr>
            <w:webHidden/>
          </w:rPr>
          <w:tab/>
        </w:r>
        <w:r w:rsidR="00342921">
          <w:rPr>
            <w:webHidden/>
          </w:rPr>
          <w:fldChar w:fldCharType="begin"/>
        </w:r>
        <w:r w:rsidR="00342921">
          <w:rPr>
            <w:webHidden/>
          </w:rPr>
          <w:instrText xml:space="preserve"> PAGEREF _Toc105512985 \h </w:instrText>
        </w:r>
        <w:r w:rsidR="00342921">
          <w:rPr>
            <w:webHidden/>
          </w:rPr>
        </w:r>
        <w:r w:rsidR="00342921">
          <w:rPr>
            <w:webHidden/>
          </w:rPr>
          <w:fldChar w:fldCharType="separate"/>
        </w:r>
        <w:r w:rsidR="001F774D">
          <w:rPr>
            <w:webHidden/>
          </w:rPr>
          <w:t>149</w:t>
        </w:r>
        <w:r w:rsidR="00342921">
          <w:rPr>
            <w:webHidden/>
          </w:rPr>
          <w:fldChar w:fldCharType="end"/>
        </w:r>
      </w:hyperlink>
    </w:p>
    <w:p w14:paraId="707AC7C2" w14:textId="0FCA3A14" w:rsidR="00342921" w:rsidRDefault="009C595A">
      <w:pPr>
        <w:pStyle w:val="Spisilustracji"/>
        <w:rPr>
          <w:rFonts w:asciiTheme="minorHAnsi" w:eastAsiaTheme="minorEastAsia" w:hAnsiTheme="minorHAnsi" w:cstheme="minorBidi"/>
          <w:sz w:val="22"/>
          <w:lang w:eastAsia="pl-PL"/>
        </w:rPr>
      </w:pPr>
      <w:hyperlink w:anchor="_Toc105512986" w:history="1">
        <w:r w:rsidR="00342921" w:rsidRPr="00D32504">
          <w:rPr>
            <w:rStyle w:val="Hipercze"/>
          </w:rPr>
          <w:t>Wykres 7</w:t>
        </w:r>
        <w:r w:rsidR="00342921" w:rsidRPr="00D32504">
          <w:rPr>
            <w:rStyle w:val="Hipercze"/>
          </w:rPr>
          <w:noBreakHyphen/>
          <w:t>13.</w:t>
        </w:r>
        <w:r w:rsidR="00342921">
          <w:rPr>
            <w:rFonts w:asciiTheme="minorHAnsi" w:eastAsiaTheme="minorEastAsia" w:hAnsiTheme="minorHAnsi" w:cstheme="minorBidi"/>
            <w:sz w:val="22"/>
            <w:lang w:eastAsia="pl-PL"/>
          </w:rPr>
          <w:tab/>
        </w:r>
        <w:r w:rsidR="00342921" w:rsidRPr="00D32504">
          <w:rPr>
            <w:rStyle w:val="Hipercze"/>
          </w:rPr>
          <w:t>Udział JCWPd zagrożonych i niezagrożonych nieosiągnięciem celów środowiskowych na obszarze dorzecza Odry</w:t>
        </w:r>
        <w:r w:rsidR="00342921">
          <w:rPr>
            <w:webHidden/>
          </w:rPr>
          <w:tab/>
        </w:r>
        <w:r w:rsidR="00342921">
          <w:rPr>
            <w:webHidden/>
          </w:rPr>
          <w:fldChar w:fldCharType="begin"/>
        </w:r>
        <w:r w:rsidR="00342921">
          <w:rPr>
            <w:webHidden/>
          </w:rPr>
          <w:instrText xml:space="preserve"> PAGEREF _Toc105512986 \h </w:instrText>
        </w:r>
        <w:r w:rsidR="00342921">
          <w:rPr>
            <w:webHidden/>
          </w:rPr>
        </w:r>
        <w:r w:rsidR="00342921">
          <w:rPr>
            <w:webHidden/>
          </w:rPr>
          <w:fldChar w:fldCharType="separate"/>
        </w:r>
        <w:r w:rsidR="001F774D">
          <w:rPr>
            <w:webHidden/>
          </w:rPr>
          <w:t>154</w:t>
        </w:r>
        <w:r w:rsidR="00342921">
          <w:rPr>
            <w:webHidden/>
          </w:rPr>
          <w:fldChar w:fldCharType="end"/>
        </w:r>
      </w:hyperlink>
    </w:p>
    <w:p w14:paraId="314E4434" w14:textId="783CB9CB" w:rsidR="00342921" w:rsidRDefault="009C595A">
      <w:pPr>
        <w:pStyle w:val="Spisilustracji"/>
        <w:rPr>
          <w:rFonts w:asciiTheme="minorHAnsi" w:eastAsiaTheme="minorEastAsia" w:hAnsiTheme="minorHAnsi" w:cstheme="minorBidi"/>
          <w:sz w:val="22"/>
          <w:lang w:eastAsia="pl-PL"/>
        </w:rPr>
      </w:pPr>
      <w:hyperlink w:anchor="_Toc105512987" w:history="1">
        <w:r w:rsidR="00342921" w:rsidRPr="00D32504">
          <w:rPr>
            <w:rStyle w:val="Hipercze"/>
          </w:rPr>
          <w:t>Wykres 7</w:t>
        </w:r>
        <w:r w:rsidR="00342921" w:rsidRPr="00D32504">
          <w:rPr>
            <w:rStyle w:val="Hipercze"/>
          </w:rPr>
          <w:noBreakHyphen/>
          <w:t>14.</w:t>
        </w:r>
        <w:r w:rsidR="00342921">
          <w:rPr>
            <w:rFonts w:asciiTheme="minorHAnsi" w:eastAsiaTheme="minorEastAsia" w:hAnsiTheme="minorHAnsi" w:cstheme="minorBidi"/>
            <w:sz w:val="22"/>
            <w:lang w:eastAsia="pl-PL"/>
          </w:rPr>
          <w:tab/>
        </w:r>
        <w:r w:rsidR="00342921" w:rsidRPr="00D32504">
          <w:rPr>
            <w:rStyle w:val="Hipercze"/>
          </w:rPr>
          <w:t>Udział różnych typów składowisk na obszarze dorzecza Odry</w:t>
        </w:r>
        <w:r w:rsidR="00342921">
          <w:rPr>
            <w:webHidden/>
          </w:rPr>
          <w:tab/>
        </w:r>
        <w:r w:rsidR="00342921">
          <w:rPr>
            <w:webHidden/>
          </w:rPr>
          <w:fldChar w:fldCharType="begin"/>
        </w:r>
        <w:r w:rsidR="00342921">
          <w:rPr>
            <w:webHidden/>
          </w:rPr>
          <w:instrText xml:space="preserve"> PAGEREF _Toc105512987 \h </w:instrText>
        </w:r>
        <w:r w:rsidR="00342921">
          <w:rPr>
            <w:webHidden/>
          </w:rPr>
        </w:r>
        <w:r w:rsidR="00342921">
          <w:rPr>
            <w:webHidden/>
          </w:rPr>
          <w:fldChar w:fldCharType="separate"/>
        </w:r>
        <w:r w:rsidR="001F774D">
          <w:rPr>
            <w:webHidden/>
          </w:rPr>
          <w:t>155</w:t>
        </w:r>
        <w:r w:rsidR="00342921">
          <w:rPr>
            <w:webHidden/>
          </w:rPr>
          <w:fldChar w:fldCharType="end"/>
        </w:r>
      </w:hyperlink>
    </w:p>
    <w:p w14:paraId="229B59EE" w14:textId="02CD887E" w:rsidR="00342921" w:rsidRDefault="009C595A">
      <w:pPr>
        <w:pStyle w:val="Spisilustracji"/>
        <w:rPr>
          <w:rFonts w:asciiTheme="minorHAnsi" w:eastAsiaTheme="minorEastAsia" w:hAnsiTheme="minorHAnsi" w:cstheme="minorBidi"/>
          <w:sz w:val="22"/>
          <w:lang w:eastAsia="pl-PL"/>
        </w:rPr>
      </w:pPr>
      <w:hyperlink w:anchor="_Toc105512988" w:history="1">
        <w:r w:rsidR="00342921" w:rsidRPr="00D32504">
          <w:rPr>
            <w:rStyle w:val="Hipercze"/>
          </w:rPr>
          <w:t>Wykres 7</w:t>
        </w:r>
        <w:r w:rsidR="00342921" w:rsidRPr="00D32504">
          <w:rPr>
            <w:rStyle w:val="Hipercze"/>
          </w:rPr>
          <w:noBreakHyphen/>
          <w:t>15.</w:t>
        </w:r>
        <w:r w:rsidR="00342921">
          <w:rPr>
            <w:rFonts w:asciiTheme="minorHAnsi" w:eastAsiaTheme="minorEastAsia" w:hAnsiTheme="minorHAnsi" w:cstheme="minorBidi"/>
            <w:sz w:val="22"/>
            <w:lang w:eastAsia="pl-PL"/>
          </w:rPr>
          <w:tab/>
        </w:r>
        <w:r w:rsidR="00342921" w:rsidRPr="00D32504">
          <w:rPr>
            <w:rStyle w:val="Hipercze"/>
          </w:rPr>
          <w:t>Udział rodzajów zrzutów ścieków na obszarze dorzecza Odry</w:t>
        </w:r>
        <w:r w:rsidR="00342921">
          <w:rPr>
            <w:webHidden/>
          </w:rPr>
          <w:tab/>
        </w:r>
        <w:r w:rsidR="00342921">
          <w:rPr>
            <w:webHidden/>
          </w:rPr>
          <w:fldChar w:fldCharType="begin"/>
        </w:r>
        <w:r w:rsidR="00342921">
          <w:rPr>
            <w:webHidden/>
          </w:rPr>
          <w:instrText xml:space="preserve"> PAGEREF _Toc105512988 \h </w:instrText>
        </w:r>
        <w:r w:rsidR="00342921">
          <w:rPr>
            <w:webHidden/>
          </w:rPr>
        </w:r>
        <w:r w:rsidR="00342921">
          <w:rPr>
            <w:webHidden/>
          </w:rPr>
          <w:fldChar w:fldCharType="separate"/>
        </w:r>
        <w:r w:rsidR="001F774D">
          <w:rPr>
            <w:webHidden/>
          </w:rPr>
          <w:t>155</w:t>
        </w:r>
        <w:r w:rsidR="00342921">
          <w:rPr>
            <w:webHidden/>
          </w:rPr>
          <w:fldChar w:fldCharType="end"/>
        </w:r>
      </w:hyperlink>
    </w:p>
    <w:p w14:paraId="3CD5CD89" w14:textId="0EB4567B" w:rsidR="00342921" w:rsidRDefault="009C595A">
      <w:pPr>
        <w:pStyle w:val="Spisilustracji"/>
        <w:rPr>
          <w:rFonts w:asciiTheme="minorHAnsi" w:eastAsiaTheme="minorEastAsia" w:hAnsiTheme="minorHAnsi" w:cstheme="minorBidi"/>
          <w:sz w:val="22"/>
          <w:lang w:eastAsia="pl-PL"/>
        </w:rPr>
      </w:pPr>
      <w:hyperlink w:anchor="_Toc105512989" w:history="1">
        <w:r w:rsidR="00342921" w:rsidRPr="00D32504">
          <w:rPr>
            <w:rStyle w:val="Hipercze"/>
          </w:rPr>
          <w:t>Wykres 7</w:t>
        </w:r>
        <w:r w:rsidR="00342921" w:rsidRPr="00D32504">
          <w:rPr>
            <w:rStyle w:val="Hipercze"/>
          </w:rPr>
          <w:noBreakHyphen/>
          <w:t>16.</w:t>
        </w:r>
        <w:r w:rsidR="00342921">
          <w:rPr>
            <w:rFonts w:asciiTheme="minorHAnsi" w:eastAsiaTheme="minorEastAsia" w:hAnsiTheme="minorHAnsi" w:cstheme="minorBidi"/>
            <w:sz w:val="22"/>
            <w:lang w:eastAsia="pl-PL"/>
          </w:rPr>
          <w:tab/>
        </w:r>
        <w:r w:rsidR="00342921" w:rsidRPr="00D32504">
          <w:rPr>
            <w:rStyle w:val="Hipercze"/>
          </w:rPr>
          <w:t>Stopień wykorzystania zasobów dostępnych do zagospodarowania w poszczególnych regionach wodnych obszaru dorzecza Odry</w:t>
        </w:r>
        <w:r w:rsidR="00342921">
          <w:rPr>
            <w:webHidden/>
          </w:rPr>
          <w:tab/>
        </w:r>
        <w:r w:rsidR="00342921">
          <w:rPr>
            <w:webHidden/>
          </w:rPr>
          <w:fldChar w:fldCharType="begin"/>
        </w:r>
        <w:r w:rsidR="00342921">
          <w:rPr>
            <w:webHidden/>
          </w:rPr>
          <w:instrText xml:space="preserve"> PAGEREF _Toc105512989 \h </w:instrText>
        </w:r>
        <w:r w:rsidR="00342921">
          <w:rPr>
            <w:webHidden/>
          </w:rPr>
        </w:r>
        <w:r w:rsidR="00342921">
          <w:rPr>
            <w:webHidden/>
          </w:rPr>
          <w:fldChar w:fldCharType="separate"/>
        </w:r>
        <w:r w:rsidR="001F774D">
          <w:rPr>
            <w:webHidden/>
          </w:rPr>
          <w:t>158</w:t>
        </w:r>
        <w:r w:rsidR="00342921">
          <w:rPr>
            <w:webHidden/>
          </w:rPr>
          <w:fldChar w:fldCharType="end"/>
        </w:r>
      </w:hyperlink>
    </w:p>
    <w:p w14:paraId="713AE4F2" w14:textId="0B5F7496" w:rsidR="00342921" w:rsidRDefault="009C595A">
      <w:pPr>
        <w:pStyle w:val="Spisilustracji"/>
        <w:rPr>
          <w:rFonts w:asciiTheme="minorHAnsi" w:eastAsiaTheme="minorEastAsia" w:hAnsiTheme="minorHAnsi" w:cstheme="minorBidi"/>
          <w:sz w:val="22"/>
          <w:lang w:eastAsia="pl-PL"/>
        </w:rPr>
      </w:pPr>
      <w:hyperlink w:anchor="_Toc105512990" w:history="1">
        <w:r w:rsidR="00342921" w:rsidRPr="00D32504">
          <w:rPr>
            <w:rStyle w:val="Hipercze"/>
          </w:rPr>
          <w:t>Wykres 8</w:t>
        </w:r>
        <w:r w:rsidR="00342921" w:rsidRPr="00D32504">
          <w:rPr>
            <w:rStyle w:val="Hipercze"/>
          </w:rPr>
          <w:noBreakHyphen/>
          <w:t>1.</w:t>
        </w:r>
        <w:r w:rsidR="00342921">
          <w:rPr>
            <w:rFonts w:asciiTheme="minorHAnsi" w:eastAsiaTheme="minorEastAsia" w:hAnsiTheme="minorHAnsi" w:cstheme="minorBidi"/>
            <w:sz w:val="22"/>
            <w:lang w:eastAsia="pl-PL"/>
          </w:rPr>
          <w:tab/>
        </w:r>
        <w:r w:rsidR="00342921" w:rsidRPr="00D32504">
          <w:rPr>
            <w:rStyle w:val="Hipercze"/>
            <w:lang w:eastAsia="pl-PL"/>
          </w:rPr>
          <w:t>Ocena osiągnięcia celów środowiskowych wyznaczonych w aPGW (2016–2021) dla stanu/potencjału ekologicznego w JCWP RW obszaru dorzecza Odry oraz w poszczególnych regionach wodnych tego obszaru dorzecza w oparciu o nowy układ jednostek planistycznych</w:t>
        </w:r>
        <w:r w:rsidR="00342921">
          <w:rPr>
            <w:webHidden/>
          </w:rPr>
          <w:tab/>
        </w:r>
        <w:r w:rsidR="00342921">
          <w:rPr>
            <w:webHidden/>
          </w:rPr>
          <w:fldChar w:fldCharType="begin"/>
        </w:r>
        <w:r w:rsidR="00342921">
          <w:rPr>
            <w:webHidden/>
          </w:rPr>
          <w:instrText xml:space="preserve"> PAGEREF _Toc105512990 \h </w:instrText>
        </w:r>
        <w:r w:rsidR="00342921">
          <w:rPr>
            <w:webHidden/>
          </w:rPr>
        </w:r>
        <w:r w:rsidR="00342921">
          <w:rPr>
            <w:webHidden/>
          </w:rPr>
          <w:fldChar w:fldCharType="separate"/>
        </w:r>
        <w:r w:rsidR="001F774D">
          <w:rPr>
            <w:webHidden/>
          </w:rPr>
          <w:t>168</w:t>
        </w:r>
        <w:r w:rsidR="00342921">
          <w:rPr>
            <w:webHidden/>
          </w:rPr>
          <w:fldChar w:fldCharType="end"/>
        </w:r>
      </w:hyperlink>
    </w:p>
    <w:p w14:paraId="7B6E127E" w14:textId="681BA0F2" w:rsidR="00342921" w:rsidRDefault="009C595A">
      <w:pPr>
        <w:pStyle w:val="Spisilustracji"/>
        <w:rPr>
          <w:rFonts w:asciiTheme="minorHAnsi" w:eastAsiaTheme="minorEastAsia" w:hAnsiTheme="minorHAnsi" w:cstheme="minorBidi"/>
          <w:sz w:val="22"/>
          <w:lang w:eastAsia="pl-PL"/>
        </w:rPr>
      </w:pPr>
      <w:hyperlink w:anchor="_Toc105512991" w:history="1">
        <w:r w:rsidR="00342921" w:rsidRPr="00D32504">
          <w:rPr>
            <w:rStyle w:val="Hipercze"/>
          </w:rPr>
          <w:t>Wykres 8</w:t>
        </w:r>
        <w:r w:rsidR="00342921" w:rsidRPr="00D32504">
          <w:rPr>
            <w:rStyle w:val="Hipercze"/>
          </w:rPr>
          <w:noBreakHyphen/>
          <w:t>2.</w:t>
        </w:r>
        <w:r w:rsidR="00342921">
          <w:rPr>
            <w:rFonts w:asciiTheme="minorHAnsi" w:eastAsiaTheme="minorEastAsia" w:hAnsiTheme="minorHAnsi" w:cstheme="minorBidi"/>
            <w:sz w:val="22"/>
            <w:lang w:eastAsia="pl-PL"/>
          </w:rPr>
          <w:tab/>
        </w:r>
        <w:r w:rsidR="00342921" w:rsidRPr="00D32504">
          <w:rPr>
            <w:rStyle w:val="Hipercze"/>
            <w:lang w:eastAsia="pl-PL"/>
          </w:rPr>
          <w:t>Ocena osiągnięcia wyznaczonych w aPGW (2016–2021) celów środowiskowych w zakresie migracji ryb w JCWP RW obszaru dorzecza Odry oraz w poszczególnych regionach wodnych tego obszaru dorzecza w oparciu o nowy układ jednostek planistycznych</w:t>
        </w:r>
        <w:r w:rsidR="00342921">
          <w:rPr>
            <w:webHidden/>
          </w:rPr>
          <w:tab/>
        </w:r>
        <w:r w:rsidR="00342921">
          <w:rPr>
            <w:webHidden/>
          </w:rPr>
          <w:fldChar w:fldCharType="begin"/>
        </w:r>
        <w:r w:rsidR="00342921">
          <w:rPr>
            <w:webHidden/>
          </w:rPr>
          <w:instrText xml:space="preserve"> PAGEREF _Toc105512991 \h </w:instrText>
        </w:r>
        <w:r w:rsidR="00342921">
          <w:rPr>
            <w:webHidden/>
          </w:rPr>
        </w:r>
        <w:r w:rsidR="00342921">
          <w:rPr>
            <w:webHidden/>
          </w:rPr>
          <w:fldChar w:fldCharType="separate"/>
        </w:r>
        <w:r w:rsidR="001F774D">
          <w:rPr>
            <w:webHidden/>
          </w:rPr>
          <w:t>169</w:t>
        </w:r>
        <w:r w:rsidR="00342921">
          <w:rPr>
            <w:webHidden/>
          </w:rPr>
          <w:fldChar w:fldCharType="end"/>
        </w:r>
      </w:hyperlink>
    </w:p>
    <w:p w14:paraId="48C87245" w14:textId="0F79E7DB" w:rsidR="00342921" w:rsidRDefault="009C595A">
      <w:pPr>
        <w:pStyle w:val="Spisilustracji"/>
        <w:rPr>
          <w:rFonts w:asciiTheme="minorHAnsi" w:eastAsiaTheme="minorEastAsia" w:hAnsiTheme="minorHAnsi" w:cstheme="minorBidi"/>
          <w:sz w:val="22"/>
          <w:lang w:eastAsia="pl-PL"/>
        </w:rPr>
      </w:pPr>
      <w:hyperlink w:anchor="_Toc105512992" w:history="1">
        <w:r w:rsidR="00342921" w:rsidRPr="00D32504">
          <w:rPr>
            <w:rStyle w:val="Hipercze"/>
          </w:rPr>
          <w:t>Wykres 8</w:t>
        </w:r>
        <w:r w:rsidR="00342921" w:rsidRPr="00D32504">
          <w:rPr>
            <w:rStyle w:val="Hipercze"/>
          </w:rPr>
          <w:noBreakHyphen/>
          <w:t>3.</w:t>
        </w:r>
        <w:r w:rsidR="00342921">
          <w:rPr>
            <w:rFonts w:asciiTheme="minorHAnsi" w:eastAsiaTheme="minorEastAsia" w:hAnsiTheme="minorHAnsi" w:cstheme="minorBidi"/>
            <w:sz w:val="22"/>
            <w:lang w:eastAsia="pl-PL"/>
          </w:rPr>
          <w:tab/>
        </w:r>
        <w:r w:rsidR="00342921" w:rsidRPr="00D32504">
          <w:rPr>
            <w:rStyle w:val="Hipercze"/>
            <w:lang w:eastAsia="pl-PL"/>
          </w:rPr>
          <w:t>Ocena osiągnięcia wyznaczonych w aPGW (2016–2021) celów środowiskowych w zakresie stanu chemicznego w JCWP RW na obszarze dorzecza Odry oraz w poszczególnych regionach wodnych tego obszaru dorzecza w oparciu o nowy układ jednostek planistycznych</w:t>
        </w:r>
        <w:r w:rsidR="00342921">
          <w:rPr>
            <w:webHidden/>
          </w:rPr>
          <w:tab/>
        </w:r>
        <w:r w:rsidR="00342921">
          <w:rPr>
            <w:webHidden/>
          </w:rPr>
          <w:fldChar w:fldCharType="begin"/>
        </w:r>
        <w:r w:rsidR="00342921">
          <w:rPr>
            <w:webHidden/>
          </w:rPr>
          <w:instrText xml:space="preserve"> PAGEREF _Toc105512992 \h </w:instrText>
        </w:r>
        <w:r w:rsidR="00342921">
          <w:rPr>
            <w:webHidden/>
          </w:rPr>
        </w:r>
        <w:r w:rsidR="00342921">
          <w:rPr>
            <w:webHidden/>
          </w:rPr>
          <w:fldChar w:fldCharType="separate"/>
        </w:r>
        <w:r w:rsidR="001F774D">
          <w:rPr>
            <w:webHidden/>
          </w:rPr>
          <w:t>170</w:t>
        </w:r>
        <w:r w:rsidR="00342921">
          <w:rPr>
            <w:webHidden/>
          </w:rPr>
          <w:fldChar w:fldCharType="end"/>
        </w:r>
      </w:hyperlink>
    </w:p>
    <w:p w14:paraId="4CD49CB4" w14:textId="7A23650B" w:rsidR="00342921" w:rsidRDefault="009C595A">
      <w:pPr>
        <w:pStyle w:val="Spisilustracji"/>
        <w:rPr>
          <w:rFonts w:asciiTheme="minorHAnsi" w:eastAsiaTheme="minorEastAsia" w:hAnsiTheme="minorHAnsi" w:cstheme="minorBidi"/>
          <w:sz w:val="22"/>
          <w:lang w:eastAsia="pl-PL"/>
        </w:rPr>
      </w:pPr>
      <w:hyperlink w:anchor="_Toc105512993" w:history="1">
        <w:r w:rsidR="00342921" w:rsidRPr="00D32504">
          <w:rPr>
            <w:rStyle w:val="Hipercze"/>
          </w:rPr>
          <w:t>Wykres 8</w:t>
        </w:r>
        <w:r w:rsidR="00342921" w:rsidRPr="00D32504">
          <w:rPr>
            <w:rStyle w:val="Hipercze"/>
          </w:rPr>
          <w:noBreakHyphen/>
          <w:t>4.</w:t>
        </w:r>
        <w:r w:rsidR="00342921">
          <w:rPr>
            <w:rFonts w:asciiTheme="minorHAnsi" w:eastAsiaTheme="minorEastAsia" w:hAnsiTheme="minorHAnsi" w:cstheme="minorBidi"/>
            <w:sz w:val="22"/>
            <w:lang w:eastAsia="pl-PL"/>
          </w:rPr>
          <w:tab/>
        </w:r>
        <w:r w:rsidR="00342921" w:rsidRPr="00D32504">
          <w:rPr>
            <w:rStyle w:val="Hipercze"/>
            <w:lang w:eastAsia="pl-PL"/>
          </w:rPr>
          <w:t>Ocena osiągnięcia wyznaczonych w aPGW (2016–2021) celów środowiskowych w zakresie stanu ogólnego w JCWP RW na obszarze dorzecza Odry w oparciu o nowy układ jednostek planistycznych</w:t>
        </w:r>
        <w:r w:rsidR="00342921">
          <w:rPr>
            <w:webHidden/>
          </w:rPr>
          <w:tab/>
        </w:r>
        <w:r w:rsidR="00342921">
          <w:rPr>
            <w:webHidden/>
          </w:rPr>
          <w:fldChar w:fldCharType="begin"/>
        </w:r>
        <w:r w:rsidR="00342921">
          <w:rPr>
            <w:webHidden/>
          </w:rPr>
          <w:instrText xml:space="preserve"> PAGEREF _Toc105512993 \h </w:instrText>
        </w:r>
        <w:r w:rsidR="00342921">
          <w:rPr>
            <w:webHidden/>
          </w:rPr>
        </w:r>
        <w:r w:rsidR="00342921">
          <w:rPr>
            <w:webHidden/>
          </w:rPr>
          <w:fldChar w:fldCharType="separate"/>
        </w:r>
        <w:r w:rsidR="001F774D">
          <w:rPr>
            <w:webHidden/>
          </w:rPr>
          <w:t>171</w:t>
        </w:r>
        <w:r w:rsidR="00342921">
          <w:rPr>
            <w:webHidden/>
          </w:rPr>
          <w:fldChar w:fldCharType="end"/>
        </w:r>
      </w:hyperlink>
    </w:p>
    <w:p w14:paraId="138C84DA" w14:textId="375BC14B" w:rsidR="00342921" w:rsidRDefault="009C595A">
      <w:pPr>
        <w:pStyle w:val="Spisilustracji"/>
        <w:rPr>
          <w:rFonts w:asciiTheme="minorHAnsi" w:eastAsiaTheme="minorEastAsia" w:hAnsiTheme="minorHAnsi" w:cstheme="minorBidi"/>
          <w:sz w:val="22"/>
          <w:lang w:eastAsia="pl-PL"/>
        </w:rPr>
      </w:pPr>
      <w:hyperlink w:anchor="_Toc105512994" w:history="1">
        <w:r w:rsidR="00342921" w:rsidRPr="00D32504">
          <w:rPr>
            <w:rStyle w:val="Hipercze"/>
          </w:rPr>
          <w:t>Wykres 8</w:t>
        </w:r>
        <w:r w:rsidR="00342921" w:rsidRPr="00D32504">
          <w:rPr>
            <w:rStyle w:val="Hipercze"/>
          </w:rPr>
          <w:noBreakHyphen/>
          <w:t>5.</w:t>
        </w:r>
        <w:r w:rsidR="00342921">
          <w:rPr>
            <w:rFonts w:asciiTheme="minorHAnsi" w:eastAsiaTheme="minorEastAsia" w:hAnsiTheme="minorHAnsi" w:cstheme="minorBidi"/>
            <w:sz w:val="22"/>
            <w:lang w:eastAsia="pl-PL"/>
          </w:rPr>
          <w:tab/>
        </w:r>
        <w:r w:rsidR="00342921" w:rsidRPr="00D32504">
          <w:rPr>
            <w:rStyle w:val="Hipercze"/>
            <w:lang w:eastAsia="pl-PL"/>
          </w:rPr>
          <w:t>Ocena osiągnięcia wyznaczonych w aPGW (2016–2021) celów środowiskowych dla stanu/potencjału ekologicznego, wyznaczonych w aPGW w JCWP RWr na obszarze dorzecza Odry oraz w poszczególnych regionach wodnych tego obszaru dorzecza w oparciu o nowy układ jednostek planistycznych</w:t>
        </w:r>
        <w:r w:rsidR="00342921">
          <w:rPr>
            <w:webHidden/>
          </w:rPr>
          <w:tab/>
        </w:r>
        <w:r w:rsidR="00342921">
          <w:rPr>
            <w:webHidden/>
          </w:rPr>
          <w:fldChar w:fldCharType="begin"/>
        </w:r>
        <w:r w:rsidR="00342921">
          <w:rPr>
            <w:webHidden/>
          </w:rPr>
          <w:instrText xml:space="preserve"> PAGEREF _Toc105512994 \h </w:instrText>
        </w:r>
        <w:r w:rsidR="00342921">
          <w:rPr>
            <w:webHidden/>
          </w:rPr>
        </w:r>
        <w:r w:rsidR="00342921">
          <w:rPr>
            <w:webHidden/>
          </w:rPr>
          <w:fldChar w:fldCharType="separate"/>
        </w:r>
        <w:r w:rsidR="001F774D">
          <w:rPr>
            <w:webHidden/>
          </w:rPr>
          <w:t>172</w:t>
        </w:r>
        <w:r w:rsidR="00342921">
          <w:rPr>
            <w:webHidden/>
          </w:rPr>
          <w:fldChar w:fldCharType="end"/>
        </w:r>
      </w:hyperlink>
    </w:p>
    <w:p w14:paraId="10D16269" w14:textId="6B3AFB83" w:rsidR="00342921" w:rsidRDefault="009C595A">
      <w:pPr>
        <w:pStyle w:val="Spisilustracji"/>
        <w:rPr>
          <w:rFonts w:asciiTheme="minorHAnsi" w:eastAsiaTheme="minorEastAsia" w:hAnsiTheme="minorHAnsi" w:cstheme="minorBidi"/>
          <w:sz w:val="22"/>
          <w:lang w:eastAsia="pl-PL"/>
        </w:rPr>
      </w:pPr>
      <w:hyperlink w:anchor="_Toc105512995" w:history="1">
        <w:r w:rsidR="00342921" w:rsidRPr="00D32504">
          <w:rPr>
            <w:rStyle w:val="Hipercze"/>
          </w:rPr>
          <w:t>Wykres 8</w:t>
        </w:r>
        <w:r w:rsidR="00342921" w:rsidRPr="00D32504">
          <w:rPr>
            <w:rStyle w:val="Hipercze"/>
          </w:rPr>
          <w:noBreakHyphen/>
          <w:t>6</w:t>
        </w:r>
        <w:r w:rsidR="00342921">
          <w:rPr>
            <w:rFonts w:asciiTheme="minorHAnsi" w:eastAsiaTheme="minorEastAsia" w:hAnsiTheme="minorHAnsi" w:cstheme="minorBidi"/>
            <w:sz w:val="22"/>
            <w:lang w:eastAsia="pl-PL"/>
          </w:rPr>
          <w:tab/>
        </w:r>
        <w:r w:rsidR="00342921" w:rsidRPr="00D32504">
          <w:rPr>
            <w:rStyle w:val="Hipercze"/>
            <w:lang w:eastAsia="pl-PL"/>
          </w:rPr>
          <w:t>Ocena osiągnięcia wyznaczonych w aPGW (2016–2021) celów środowiskowych w zakresie stanu chemicznego w JCWP RWr w poszczególnych regionach wodnych obszaru dorzecza Odry w oparciu o nowy układ jednostek planistycznych</w:t>
        </w:r>
        <w:r w:rsidR="00342921">
          <w:rPr>
            <w:webHidden/>
          </w:rPr>
          <w:tab/>
        </w:r>
        <w:r w:rsidR="00342921">
          <w:rPr>
            <w:webHidden/>
          </w:rPr>
          <w:fldChar w:fldCharType="begin"/>
        </w:r>
        <w:r w:rsidR="00342921">
          <w:rPr>
            <w:webHidden/>
          </w:rPr>
          <w:instrText xml:space="preserve"> PAGEREF _Toc105512995 \h </w:instrText>
        </w:r>
        <w:r w:rsidR="00342921">
          <w:rPr>
            <w:webHidden/>
          </w:rPr>
        </w:r>
        <w:r w:rsidR="00342921">
          <w:rPr>
            <w:webHidden/>
          </w:rPr>
          <w:fldChar w:fldCharType="separate"/>
        </w:r>
        <w:r w:rsidR="001F774D">
          <w:rPr>
            <w:webHidden/>
          </w:rPr>
          <w:t>173</w:t>
        </w:r>
        <w:r w:rsidR="00342921">
          <w:rPr>
            <w:webHidden/>
          </w:rPr>
          <w:fldChar w:fldCharType="end"/>
        </w:r>
      </w:hyperlink>
    </w:p>
    <w:p w14:paraId="4BB906FF" w14:textId="5A46A6FC" w:rsidR="00342921" w:rsidRDefault="009C595A">
      <w:pPr>
        <w:pStyle w:val="Spisilustracji"/>
        <w:rPr>
          <w:rFonts w:asciiTheme="minorHAnsi" w:eastAsiaTheme="minorEastAsia" w:hAnsiTheme="minorHAnsi" w:cstheme="minorBidi"/>
          <w:sz w:val="22"/>
          <w:lang w:eastAsia="pl-PL"/>
        </w:rPr>
      </w:pPr>
      <w:hyperlink w:anchor="_Toc105512996" w:history="1">
        <w:r w:rsidR="00342921" w:rsidRPr="00D32504">
          <w:rPr>
            <w:rStyle w:val="Hipercze"/>
          </w:rPr>
          <w:t>Wykres 8</w:t>
        </w:r>
        <w:r w:rsidR="00342921" w:rsidRPr="00D32504">
          <w:rPr>
            <w:rStyle w:val="Hipercze"/>
          </w:rPr>
          <w:noBreakHyphen/>
          <w:t>7.</w:t>
        </w:r>
        <w:r w:rsidR="00342921">
          <w:rPr>
            <w:rFonts w:asciiTheme="minorHAnsi" w:eastAsiaTheme="minorEastAsia" w:hAnsiTheme="minorHAnsi" w:cstheme="minorBidi"/>
            <w:sz w:val="22"/>
            <w:lang w:eastAsia="pl-PL"/>
          </w:rPr>
          <w:tab/>
        </w:r>
        <w:r w:rsidR="00342921" w:rsidRPr="00D32504">
          <w:rPr>
            <w:rStyle w:val="Hipercze"/>
          </w:rPr>
          <w:t xml:space="preserve">Ocena osiągnięcia wyznaczonych w aPGW </w:t>
        </w:r>
        <w:r w:rsidR="00342921" w:rsidRPr="00D32504">
          <w:rPr>
            <w:rStyle w:val="Hipercze"/>
            <w:lang w:eastAsia="pl-PL"/>
          </w:rPr>
          <w:t>(2016–2021)</w:t>
        </w:r>
        <w:r w:rsidR="00342921" w:rsidRPr="00D32504">
          <w:rPr>
            <w:rStyle w:val="Hipercze"/>
          </w:rPr>
          <w:t xml:space="preserve"> celów środowiskowych w zakresie stanu ogólnego w JCWP RWr na obszarze dorzecza Odry </w:t>
        </w:r>
        <w:r w:rsidR="00342921" w:rsidRPr="00D32504">
          <w:rPr>
            <w:rStyle w:val="Hipercze"/>
            <w:lang w:eastAsia="pl-PL"/>
          </w:rPr>
          <w:t xml:space="preserve">oraz w poszczególnych regionach wodnych tego obszaru dorzecza </w:t>
        </w:r>
        <w:r w:rsidR="00342921" w:rsidRPr="00D32504">
          <w:rPr>
            <w:rStyle w:val="Hipercze"/>
          </w:rPr>
          <w:t>w oparciu o nowy układ jednostek planistycznych</w:t>
        </w:r>
        <w:r w:rsidR="00342921">
          <w:rPr>
            <w:webHidden/>
          </w:rPr>
          <w:tab/>
        </w:r>
        <w:r w:rsidR="00342921">
          <w:rPr>
            <w:webHidden/>
          </w:rPr>
          <w:fldChar w:fldCharType="begin"/>
        </w:r>
        <w:r w:rsidR="00342921">
          <w:rPr>
            <w:webHidden/>
          </w:rPr>
          <w:instrText xml:space="preserve"> PAGEREF _Toc105512996 \h </w:instrText>
        </w:r>
        <w:r w:rsidR="00342921">
          <w:rPr>
            <w:webHidden/>
          </w:rPr>
        </w:r>
        <w:r w:rsidR="00342921">
          <w:rPr>
            <w:webHidden/>
          </w:rPr>
          <w:fldChar w:fldCharType="separate"/>
        </w:r>
        <w:r w:rsidR="001F774D">
          <w:rPr>
            <w:webHidden/>
          </w:rPr>
          <w:t>174</w:t>
        </w:r>
        <w:r w:rsidR="00342921">
          <w:rPr>
            <w:webHidden/>
          </w:rPr>
          <w:fldChar w:fldCharType="end"/>
        </w:r>
      </w:hyperlink>
    </w:p>
    <w:p w14:paraId="144E4EF7" w14:textId="3E9E47CA" w:rsidR="00342921" w:rsidRDefault="009C595A">
      <w:pPr>
        <w:pStyle w:val="Spisilustracji"/>
        <w:rPr>
          <w:rFonts w:asciiTheme="minorHAnsi" w:eastAsiaTheme="minorEastAsia" w:hAnsiTheme="minorHAnsi" w:cstheme="minorBidi"/>
          <w:sz w:val="22"/>
          <w:lang w:eastAsia="pl-PL"/>
        </w:rPr>
      </w:pPr>
      <w:hyperlink w:anchor="_Toc105512997" w:history="1">
        <w:r w:rsidR="00342921" w:rsidRPr="00D32504">
          <w:rPr>
            <w:rStyle w:val="Hipercze"/>
          </w:rPr>
          <w:t>Wykres 8</w:t>
        </w:r>
        <w:r w:rsidR="00342921" w:rsidRPr="00D32504">
          <w:rPr>
            <w:rStyle w:val="Hipercze"/>
          </w:rPr>
          <w:noBreakHyphen/>
          <w:t>8.</w:t>
        </w:r>
        <w:r w:rsidR="00342921">
          <w:rPr>
            <w:rFonts w:asciiTheme="minorHAnsi" w:eastAsiaTheme="minorEastAsia" w:hAnsiTheme="minorHAnsi" w:cstheme="minorBidi"/>
            <w:sz w:val="22"/>
            <w:lang w:eastAsia="pl-PL"/>
          </w:rPr>
          <w:tab/>
        </w:r>
        <w:r w:rsidR="00342921" w:rsidRPr="00D32504">
          <w:rPr>
            <w:rStyle w:val="Hipercze"/>
            <w:lang w:eastAsia="pl-PL"/>
          </w:rPr>
          <w:t>Ocena osiągnięcia wyznaczonych w aPGW (2016–2021) celów środowiskowych dla stanu/potencjału ekologicznego, wyznaczonych w aPGW w JCWP LW na obszarze dorzecza Odry oraz w poszczególnych regionach wodnych tego obszaru dorzecza w oparciu o nowy układ jednostek planistycznych</w:t>
        </w:r>
        <w:r w:rsidR="00342921">
          <w:rPr>
            <w:webHidden/>
          </w:rPr>
          <w:tab/>
        </w:r>
        <w:r w:rsidR="00342921">
          <w:rPr>
            <w:webHidden/>
          </w:rPr>
          <w:fldChar w:fldCharType="begin"/>
        </w:r>
        <w:r w:rsidR="00342921">
          <w:rPr>
            <w:webHidden/>
          </w:rPr>
          <w:instrText xml:space="preserve"> PAGEREF _Toc105512997 \h </w:instrText>
        </w:r>
        <w:r w:rsidR="00342921">
          <w:rPr>
            <w:webHidden/>
          </w:rPr>
        </w:r>
        <w:r w:rsidR="00342921">
          <w:rPr>
            <w:webHidden/>
          </w:rPr>
          <w:fldChar w:fldCharType="separate"/>
        </w:r>
        <w:r w:rsidR="001F774D">
          <w:rPr>
            <w:webHidden/>
          </w:rPr>
          <w:t>176</w:t>
        </w:r>
        <w:r w:rsidR="00342921">
          <w:rPr>
            <w:webHidden/>
          </w:rPr>
          <w:fldChar w:fldCharType="end"/>
        </w:r>
      </w:hyperlink>
    </w:p>
    <w:p w14:paraId="1B38038B" w14:textId="280CB809" w:rsidR="00342921" w:rsidRDefault="009C595A">
      <w:pPr>
        <w:pStyle w:val="Spisilustracji"/>
        <w:rPr>
          <w:rFonts w:asciiTheme="minorHAnsi" w:eastAsiaTheme="minorEastAsia" w:hAnsiTheme="minorHAnsi" w:cstheme="minorBidi"/>
          <w:sz w:val="22"/>
          <w:lang w:eastAsia="pl-PL"/>
        </w:rPr>
      </w:pPr>
      <w:hyperlink w:anchor="_Toc105512998" w:history="1">
        <w:r w:rsidR="00342921" w:rsidRPr="00D32504">
          <w:rPr>
            <w:rStyle w:val="Hipercze"/>
          </w:rPr>
          <w:t>Wykres 8</w:t>
        </w:r>
        <w:r w:rsidR="00342921" w:rsidRPr="00D32504">
          <w:rPr>
            <w:rStyle w:val="Hipercze"/>
          </w:rPr>
          <w:noBreakHyphen/>
          <w:t>9.</w:t>
        </w:r>
        <w:r w:rsidR="00342921">
          <w:rPr>
            <w:rFonts w:asciiTheme="minorHAnsi" w:eastAsiaTheme="minorEastAsia" w:hAnsiTheme="minorHAnsi" w:cstheme="minorBidi"/>
            <w:sz w:val="22"/>
            <w:lang w:eastAsia="pl-PL"/>
          </w:rPr>
          <w:tab/>
        </w:r>
        <w:r w:rsidR="00342921" w:rsidRPr="00D32504">
          <w:rPr>
            <w:rStyle w:val="Hipercze"/>
            <w:lang w:eastAsia="pl-PL"/>
          </w:rPr>
          <w:t>Ocena osiągnięcia wyznaczonych w aPGW (2016–2021) celów środowiskowych w zakresie stanu chemicznego w JCWP LW na obszarze dorzecza Odry oraz w poszczególnych regionach wodnych tego obszaru dorzecza w oparciu o nowy układ jednostek planistycznych</w:t>
        </w:r>
        <w:r w:rsidR="00342921">
          <w:rPr>
            <w:webHidden/>
          </w:rPr>
          <w:tab/>
        </w:r>
        <w:r w:rsidR="00342921">
          <w:rPr>
            <w:webHidden/>
          </w:rPr>
          <w:fldChar w:fldCharType="begin"/>
        </w:r>
        <w:r w:rsidR="00342921">
          <w:rPr>
            <w:webHidden/>
          </w:rPr>
          <w:instrText xml:space="preserve"> PAGEREF _Toc105512998 \h </w:instrText>
        </w:r>
        <w:r w:rsidR="00342921">
          <w:rPr>
            <w:webHidden/>
          </w:rPr>
        </w:r>
        <w:r w:rsidR="00342921">
          <w:rPr>
            <w:webHidden/>
          </w:rPr>
          <w:fldChar w:fldCharType="separate"/>
        </w:r>
        <w:r w:rsidR="001F774D">
          <w:rPr>
            <w:webHidden/>
          </w:rPr>
          <w:t>177</w:t>
        </w:r>
        <w:r w:rsidR="00342921">
          <w:rPr>
            <w:webHidden/>
          </w:rPr>
          <w:fldChar w:fldCharType="end"/>
        </w:r>
      </w:hyperlink>
    </w:p>
    <w:p w14:paraId="4EECAC9C" w14:textId="17F14998" w:rsidR="00342921" w:rsidRDefault="009C595A">
      <w:pPr>
        <w:pStyle w:val="Spisilustracji"/>
        <w:rPr>
          <w:rFonts w:asciiTheme="minorHAnsi" w:eastAsiaTheme="minorEastAsia" w:hAnsiTheme="minorHAnsi" w:cstheme="minorBidi"/>
          <w:sz w:val="22"/>
          <w:lang w:eastAsia="pl-PL"/>
        </w:rPr>
      </w:pPr>
      <w:hyperlink w:anchor="_Toc105512999" w:history="1">
        <w:r w:rsidR="00342921" w:rsidRPr="00D32504">
          <w:rPr>
            <w:rStyle w:val="Hipercze"/>
          </w:rPr>
          <w:t>Wykres 8</w:t>
        </w:r>
        <w:r w:rsidR="00342921" w:rsidRPr="00D32504">
          <w:rPr>
            <w:rStyle w:val="Hipercze"/>
          </w:rPr>
          <w:noBreakHyphen/>
          <w:t>10.</w:t>
        </w:r>
        <w:r w:rsidR="00342921">
          <w:rPr>
            <w:rFonts w:asciiTheme="minorHAnsi" w:eastAsiaTheme="minorEastAsia" w:hAnsiTheme="minorHAnsi" w:cstheme="minorBidi"/>
            <w:sz w:val="22"/>
            <w:lang w:eastAsia="pl-PL"/>
          </w:rPr>
          <w:tab/>
        </w:r>
        <w:r w:rsidR="00342921" w:rsidRPr="00D32504">
          <w:rPr>
            <w:rStyle w:val="Hipercze"/>
            <w:lang w:eastAsia="pl-PL"/>
          </w:rPr>
          <w:t>Ocena osiągnięcia wyznaczonych w aPGW (2016–2021) celów środowiskowych w zakresie stanu ogólnego w JCWP LW na obszarze dorzecza Odry w oparciu o nowy układ jednostek planistycznych</w:t>
        </w:r>
        <w:r w:rsidR="00342921">
          <w:rPr>
            <w:webHidden/>
          </w:rPr>
          <w:tab/>
        </w:r>
        <w:r w:rsidR="00342921">
          <w:rPr>
            <w:webHidden/>
          </w:rPr>
          <w:fldChar w:fldCharType="begin"/>
        </w:r>
        <w:r w:rsidR="00342921">
          <w:rPr>
            <w:webHidden/>
          </w:rPr>
          <w:instrText xml:space="preserve"> PAGEREF _Toc105512999 \h </w:instrText>
        </w:r>
        <w:r w:rsidR="00342921">
          <w:rPr>
            <w:webHidden/>
          </w:rPr>
        </w:r>
        <w:r w:rsidR="00342921">
          <w:rPr>
            <w:webHidden/>
          </w:rPr>
          <w:fldChar w:fldCharType="separate"/>
        </w:r>
        <w:r w:rsidR="001F774D">
          <w:rPr>
            <w:webHidden/>
          </w:rPr>
          <w:t>178</w:t>
        </w:r>
        <w:r w:rsidR="00342921">
          <w:rPr>
            <w:webHidden/>
          </w:rPr>
          <w:fldChar w:fldCharType="end"/>
        </w:r>
      </w:hyperlink>
    </w:p>
    <w:p w14:paraId="68A6B097" w14:textId="2A2E16B6" w:rsidR="00342921" w:rsidRDefault="009C595A">
      <w:pPr>
        <w:pStyle w:val="Spisilustracji"/>
        <w:rPr>
          <w:rFonts w:asciiTheme="minorHAnsi" w:eastAsiaTheme="minorEastAsia" w:hAnsiTheme="minorHAnsi" w:cstheme="minorBidi"/>
          <w:sz w:val="22"/>
          <w:lang w:eastAsia="pl-PL"/>
        </w:rPr>
      </w:pPr>
      <w:hyperlink w:anchor="_Toc105513000" w:history="1">
        <w:r w:rsidR="00342921" w:rsidRPr="00D32504">
          <w:rPr>
            <w:rStyle w:val="Hipercze"/>
          </w:rPr>
          <w:t>Wykres 8</w:t>
        </w:r>
        <w:r w:rsidR="00342921" w:rsidRPr="00D32504">
          <w:rPr>
            <w:rStyle w:val="Hipercze"/>
          </w:rPr>
          <w:noBreakHyphen/>
          <w:t>11.</w:t>
        </w:r>
        <w:r w:rsidR="00342921">
          <w:rPr>
            <w:rFonts w:asciiTheme="minorHAnsi" w:eastAsiaTheme="minorEastAsia" w:hAnsiTheme="minorHAnsi" w:cstheme="minorBidi"/>
            <w:sz w:val="22"/>
            <w:lang w:eastAsia="pl-PL"/>
          </w:rPr>
          <w:tab/>
        </w:r>
        <w:r w:rsidR="00342921" w:rsidRPr="00D32504">
          <w:rPr>
            <w:rStyle w:val="Hipercze"/>
          </w:rPr>
          <w:t>Podsumowanie wyników oceny stanu JCWPd (osiągnięcia celów środowiskowych) na obszarze dorzecza Odry (podano liczbę JCWPd)</w:t>
        </w:r>
        <w:r w:rsidR="00342921">
          <w:rPr>
            <w:webHidden/>
          </w:rPr>
          <w:tab/>
        </w:r>
        <w:r w:rsidR="00342921">
          <w:rPr>
            <w:webHidden/>
          </w:rPr>
          <w:fldChar w:fldCharType="begin"/>
        </w:r>
        <w:r w:rsidR="00342921">
          <w:rPr>
            <w:webHidden/>
          </w:rPr>
          <w:instrText xml:space="preserve"> PAGEREF _Toc105513000 \h </w:instrText>
        </w:r>
        <w:r w:rsidR="00342921">
          <w:rPr>
            <w:webHidden/>
          </w:rPr>
        </w:r>
        <w:r w:rsidR="00342921">
          <w:rPr>
            <w:webHidden/>
          </w:rPr>
          <w:fldChar w:fldCharType="separate"/>
        </w:r>
        <w:r w:rsidR="001F774D">
          <w:rPr>
            <w:webHidden/>
          </w:rPr>
          <w:t>180</w:t>
        </w:r>
        <w:r w:rsidR="00342921">
          <w:rPr>
            <w:webHidden/>
          </w:rPr>
          <w:fldChar w:fldCharType="end"/>
        </w:r>
      </w:hyperlink>
    </w:p>
    <w:p w14:paraId="5DD17B7A" w14:textId="0BEC9296" w:rsidR="00342921" w:rsidRDefault="009C595A">
      <w:pPr>
        <w:pStyle w:val="Spisilustracji"/>
        <w:rPr>
          <w:rFonts w:asciiTheme="minorHAnsi" w:eastAsiaTheme="minorEastAsia" w:hAnsiTheme="minorHAnsi" w:cstheme="minorBidi"/>
          <w:sz w:val="22"/>
          <w:lang w:eastAsia="pl-PL"/>
        </w:rPr>
      </w:pPr>
      <w:hyperlink w:anchor="_Toc105513001" w:history="1">
        <w:r w:rsidR="00342921" w:rsidRPr="00D32504">
          <w:rPr>
            <w:rStyle w:val="Hipercze"/>
          </w:rPr>
          <w:t>Wykres 8</w:t>
        </w:r>
        <w:r w:rsidR="00342921" w:rsidRPr="00D32504">
          <w:rPr>
            <w:rStyle w:val="Hipercze"/>
          </w:rPr>
          <w:noBreakHyphen/>
          <w:t>12.</w:t>
        </w:r>
        <w:r w:rsidR="00342921">
          <w:rPr>
            <w:rFonts w:asciiTheme="minorHAnsi" w:eastAsiaTheme="minorEastAsia" w:hAnsiTheme="minorHAnsi" w:cstheme="minorBidi"/>
            <w:sz w:val="22"/>
            <w:lang w:eastAsia="pl-PL"/>
          </w:rPr>
          <w:tab/>
        </w:r>
        <w:r w:rsidR="00342921" w:rsidRPr="00D32504">
          <w:rPr>
            <w:rStyle w:val="Hipercze"/>
          </w:rPr>
          <w:t>Ocena osiągnięcia wyznaczonych w aPGW (2016–2021) celów środowiskowych dla JCWPd na obszarze dorzecza Odry oraz w poszczególnych regionach wodnych tego obszaru dorzecza w oparciu o nowy układ jednostek planistycznych</w:t>
        </w:r>
        <w:r w:rsidR="00342921">
          <w:rPr>
            <w:webHidden/>
          </w:rPr>
          <w:tab/>
        </w:r>
        <w:r w:rsidR="00342921">
          <w:rPr>
            <w:webHidden/>
          </w:rPr>
          <w:fldChar w:fldCharType="begin"/>
        </w:r>
        <w:r w:rsidR="00342921">
          <w:rPr>
            <w:webHidden/>
          </w:rPr>
          <w:instrText xml:space="preserve"> PAGEREF _Toc105513001 \h </w:instrText>
        </w:r>
        <w:r w:rsidR="00342921">
          <w:rPr>
            <w:webHidden/>
          </w:rPr>
        </w:r>
        <w:r w:rsidR="00342921">
          <w:rPr>
            <w:webHidden/>
          </w:rPr>
          <w:fldChar w:fldCharType="separate"/>
        </w:r>
        <w:r w:rsidR="001F774D">
          <w:rPr>
            <w:webHidden/>
          </w:rPr>
          <w:t>181</w:t>
        </w:r>
        <w:r w:rsidR="00342921">
          <w:rPr>
            <w:webHidden/>
          </w:rPr>
          <w:fldChar w:fldCharType="end"/>
        </w:r>
      </w:hyperlink>
    </w:p>
    <w:p w14:paraId="487AE35E" w14:textId="68F92264" w:rsidR="00342921" w:rsidRDefault="009C595A">
      <w:pPr>
        <w:pStyle w:val="Spisilustracji"/>
        <w:rPr>
          <w:rFonts w:asciiTheme="minorHAnsi" w:eastAsiaTheme="minorEastAsia" w:hAnsiTheme="minorHAnsi" w:cstheme="minorBidi"/>
          <w:sz w:val="22"/>
          <w:lang w:eastAsia="pl-PL"/>
        </w:rPr>
      </w:pPr>
      <w:hyperlink w:anchor="_Toc105513002" w:history="1">
        <w:r w:rsidR="00342921" w:rsidRPr="00D32504">
          <w:rPr>
            <w:rStyle w:val="Hipercze"/>
          </w:rPr>
          <w:t>Wykres 8</w:t>
        </w:r>
        <w:r w:rsidR="00342921" w:rsidRPr="00D32504">
          <w:rPr>
            <w:rStyle w:val="Hipercze"/>
          </w:rPr>
          <w:noBreakHyphen/>
          <w:t>13.</w:t>
        </w:r>
        <w:r w:rsidR="00342921">
          <w:rPr>
            <w:rFonts w:asciiTheme="minorHAnsi" w:eastAsiaTheme="minorEastAsia" w:hAnsiTheme="minorHAnsi" w:cstheme="minorBidi"/>
            <w:sz w:val="22"/>
            <w:lang w:eastAsia="pl-PL"/>
          </w:rPr>
          <w:tab/>
        </w:r>
        <w:r w:rsidR="00342921" w:rsidRPr="00D32504">
          <w:rPr>
            <w:rStyle w:val="Hipercze"/>
          </w:rPr>
          <w:t>Podsumowanie wyniku oceny osiągnięcia celów środowiskowych obszarów przeznaczonych do ochrony siedlisk lub gatunków ustanowionych w u.o.p, dla których utrzymanie lub poprawa stanu wód jest ważnym czynnikiem w ich ochronie, które uwzględnione zostały w wykazie obszarów przeznaczonych do ochrony siedlisk lub gatunków w latach 2016–2021</w:t>
        </w:r>
        <w:r w:rsidR="00342921">
          <w:rPr>
            <w:webHidden/>
          </w:rPr>
          <w:tab/>
        </w:r>
        <w:r w:rsidR="00342921">
          <w:rPr>
            <w:webHidden/>
          </w:rPr>
          <w:fldChar w:fldCharType="begin"/>
        </w:r>
        <w:r w:rsidR="00342921">
          <w:rPr>
            <w:webHidden/>
          </w:rPr>
          <w:instrText xml:space="preserve"> PAGEREF _Toc105513002 \h </w:instrText>
        </w:r>
        <w:r w:rsidR="00342921">
          <w:rPr>
            <w:webHidden/>
          </w:rPr>
        </w:r>
        <w:r w:rsidR="00342921">
          <w:rPr>
            <w:webHidden/>
          </w:rPr>
          <w:fldChar w:fldCharType="separate"/>
        </w:r>
        <w:r w:rsidR="001F774D">
          <w:rPr>
            <w:webHidden/>
          </w:rPr>
          <w:t>187</w:t>
        </w:r>
        <w:r w:rsidR="00342921">
          <w:rPr>
            <w:webHidden/>
          </w:rPr>
          <w:fldChar w:fldCharType="end"/>
        </w:r>
      </w:hyperlink>
    </w:p>
    <w:p w14:paraId="2D716424" w14:textId="51E23D8E" w:rsidR="00342921" w:rsidRDefault="009C595A">
      <w:pPr>
        <w:pStyle w:val="Spisilustracji"/>
        <w:rPr>
          <w:rFonts w:asciiTheme="minorHAnsi" w:eastAsiaTheme="minorEastAsia" w:hAnsiTheme="minorHAnsi" w:cstheme="minorBidi"/>
          <w:sz w:val="22"/>
          <w:lang w:eastAsia="pl-PL"/>
        </w:rPr>
      </w:pPr>
      <w:hyperlink w:anchor="_Toc105513003" w:history="1">
        <w:r w:rsidR="00342921" w:rsidRPr="00D32504">
          <w:rPr>
            <w:rStyle w:val="Hipercze"/>
          </w:rPr>
          <w:t>Wykres 10</w:t>
        </w:r>
        <w:r w:rsidR="00342921" w:rsidRPr="00D32504">
          <w:rPr>
            <w:rStyle w:val="Hipercze"/>
          </w:rPr>
          <w:noBreakHyphen/>
          <w:t>1.</w:t>
        </w:r>
        <w:r w:rsidR="00342921">
          <w:rPr>
            <w:rFonts w:asciiTheme="minorHAnsi" w:eastAsiaTheme="minorEastAsia" w:hAnsiTheme="minorHAnsi" w:cstheme="minorBidi"/>
            <w:sz w:val="22"/>
            <w:lang w:eastAsia="pl-PL"/>
          </w:rPr>
          <w:tab/>
        </w:r>
        <w:r w:rsidR="00342921" w:rsidRPr="00D32504">
          <w:rPr>
            <w:rStyle w:val="Hipercze"/>
          </w:rPr>
          <w:t>Udział działań krajowych z określonym terminem realizacji (aPGW)</w:t>
        </w:r>
        <w:r w:rsidR="00342921">
          <w:rPr>
            <w:webHidden/>
          </w:rPr>
          <w:tab/>
        </w:r>
        <w:r w:rsidR="00342921">
          <w:rPr>
            <w:webHidden/>
          </w:rPr>
          <w:fldChar w:fldCharType="begin"/>
        </w:r>
        <w:r w:rsidR="00342921">
          <w:rPr>
            <w:webHidden/>
          </w:rPr>
          <w:instrText xml:space="preserve"> PAGEREF _Toc105513003 \h </w:instrText>
        </w:r>
        <w:r w:rsidR="00342921">
          <w:rPr>
            <w:webHidden/>
          </w:rPr>
        </w:r>
        <w:r w:rsidR="00342921">
          <w:rPr>
            <w:webHidden/>
          </w:rPr>
          <w:fldChar w:fldCharType="separate"/>
        </w:r>
        <w:r w:rsidR="001F774D">
          <w:rPr>
            <w:webHidden/>
          </w:rPr>
          <w:t>227</w:t>
        </w:r>
        <w:r w:rsidR="00342921">
          <w:rPr>
            <w:webHidden/>
          </w:rPr>
          <w:fldChar w:fldCharType="end"/>
        </w:r>
      </w:hyperlink>
    </w:p>
    <w:p w14:paraId="721B8E7E" w14:textId="506063FA" w:rsidR="00342921" w:rsidRDefault="009C595A">
      <w:pPr>
        <w:pStyle w:val="Spisilustracji"/>
        <w:rPr>
          <w:rFonts w:asciiTheme="minorHAnsi" w:eastAsiaTheme="minorEastAsia" w:hAnsiTheme="minorHAnsi" w:cstheme="minorBidi"/>
          <w:sz w:val="22"/>
          <w:lang w:eastAsia="pl-PL"/>
        </w:rPr>
      </w:pPr>
      <w:hyperlink w:anchor="_Toc105513004" w:history="1">
        <w:r w:rsidR="00342921" w:rsidRPr="00D32504">
          <w:rPr>
            <w:rStyle w:val="Hipercze"/>
          </w:rPr>
          <w:t>Wykres 10</w:t>
        </w:r>
        <w:r w:rsidR="00342921" w:rsidRPr="00D32504">
          <w:rPr>
            <w:rStyle w:val="Hipercze"/>
          </w:rPr>
          <w:noBreakHyphen/>
          <w:t>2.</w:t>
        </w:r>
        <w:r w:rsidR="00342921">
          <w:rPr>
            <w:rFonts w:asciiTheme="minorHAnsi" w:eastAsiaTheme="minorEastAsia" w:hAnsiTheme="minorHAnsi" w:cstheme="minorBidi"/>
            <w:sz w:val="22"/>
            <w:lang w:eastAsia="pl-PL"/>
          </w:rPr>
          <w:tab/>
        </w:r>
        <w:r w:rsidR="00342921" w:rsidRPr="00D32504">
          <w:rPr>
            <w:rStyle w:val="Hipercze"/>
          </w:rPr>
          <w:t>Stan realizacji działań krajowych ze wskazanym terminem realizacji (aPGW)</w:t>
        </w:r>
        <w:r w:rsidR="00342921">
          <w:rPr>
            <w:webHidden/>
          </w:rPr>
          <w:tab/>
        </w:r>
        <w:r w:rsidR="00342921">
          <w:rPr>
            <w:webHidden/>
          </w:rPr>
          <w:fldChar w:fldCharType="begin"/>
        </w:r>
        <w:r w:rsidR="00342921">
          <w:rPr>
            <w:webHidden/>
          </w:rPr>
          <w:instrText xml:space="preserve"> PAGEREF _Toc105513004 \h </w:instrText>
        </w:r>
        <w:r w:rsidR="00342921">
          <w:rPr>
            <w:webHidden/>
          </w:rPr>
        </w:r>
        <w:r w:rsidR="00342921">
          <w:rPr>
            <w:webHidden/>
          </w:rPr>
          <w:fldChar w:fldCharType="separate"/>
        </w:r>
        <w:r w:rsidR="001F774D">
          <w:rPr>
            <w:webHidden/>
          </w:rPr>
          <w:t>227</w:t>
        </w:r>
        <w:r w:rsidR="00342921">
          <w:rPr>
            <w:webHidden/>
          </w:rPr>
          <w:fldChar w:fldCharType="end"/>
        </w:r>
      </w:hyperlink>
    </w:p>
    <w:p w14:paraId="26367AAD" w14:textId="58CFD3A5" w:rsidR="00342921" w:rsidRDefault="009C595A">
      <w:pPr>
        <w:pStyle w:val="Spisilustracji"/>
        <w:rPr>
          <w:rFonts w:asciiTheme="minorHAnsi" w:eastAsiaTheme="minorEastAsia" w:hAnsiTheme="minorHAnsi" w:cstheme="minorBidi"/>
          <w:sz w:val="22"/>
          <w:lang w:eastAsia="pl-PL"/>
        </w:rPr>
      </w:pPr>
      <w:hyperlink w:anchor="_Toc105513005" w:history="1">
        <w:r w:rsidR="00342921" w:rsidRPr="00D32504">
          <w:rPr>
            <w:rStyle w:val="Hipercze"/>
          </w:rPr>
          <w:t>Wykres 10</w:t>
        </w:r>
        <w:r w:rsidR="00342921" w:rsidRPr="00D32504">
          <w:rPr>
            <w:rStyle w:val="Hipercze"/>
          </w:rPr>
          <w:noBreakHyphen/>
          <w:t>3.</w:t>
        </w:r>
        <w:r w:rsidR="00342921">
          <w:rPr>
            <w:rFonts w:asciiTheme="minorHAnsi" w:eastAsiaTheme="minorEastAsia" w:hAnsiTheme="minorHAnsi" w:cstheme="minorBidi"/>
            <w:sz w:val="22"/>
            <w:lang w:eastAsia="pl-PL"/>
          </w:rPr>
          <w:tab/>
        </w:r>
        <w:r w:rsidR="00342921" w:rsidRPr="00D32504">
          <w:rPr>
            <w:rStyle w:val="Hipercze"/>
          </w:rPr>
          <w:t>Udział działań zaplanowanych dla poszczególnych kategorii wód w ogólnej liczbie działań aPGW (w skali kraju)</w:t>
        </w:r>
        <w:r w:rsidR="00342921">
          <w:rPr>
            <w:webHidden/>
          </w:rPr>
          <w:tab/>
        </w:r>
        <w:r w:rsidR="00342921">
          <w:rPr>
            <w:webHidden/>
          </w:rPr>
          <w:fldChar w:fldCharType="begin"/>
        </w:r>
        <w:r w:rsidR="00342921">
          <w:rPr>
            <w:webHidden/>
          </w:rPr>
          <w:instrText xml:space="preserve"> PAGEREF _Toc105513005 \h </w:instrText>
        </w:r>
        <w:r w:rsidR="00342921">
          <w:rPr>
            <w:webHidden/>
          </w:rPr>
        </w:r>
        <w:r w:rsidR="00342921">
          <w:rPr>
            <w:webHidden/>
          </w:rPr>
          <w:fldChar w:fldCharType="separate"/>
        </w:r>
        <w:r w:rsidR="001F774D">
          <w:rPr>
            <w:webHidden/>
          </w:rPr>
          <w:t>228</w:t>
        </w:r>
        <w:r w:rsidR="00342921">
          <w:rPr>
            <w:webHidden/>
          </w:rPr>
          <w:fldChar w:fldCharType="end"/>
        </w:r>
      </w:hyperlink>
    </w:p>
    <w:p w14:paraId="130CFEEA" w14:textId="4D25C4F7" w:rsidR="00342921" w:rsidRDefault="009C595A">
      <w:pPr>
        <w:pStyle w:val="Spisilustracji"/>
        <w:rPr>
          <w:rFonts w:asciiTheme="minorHAnsi" w:eastAsiaTheme="minorEastAsia" w:hAnsiTheme="minorHAnsi" w:cstheme="minorBidi"/>
          <w:sz w:val="22"/>
          <w:lang w:eastAsia="pl-PL"/>
        </w:rPr>
      </w:pPr>
      <w:hyperlink w:anchor="_Toc105513006" w:history="1">
        <w:r w:rsidR="00342921" w:rsidRPr="00D32504">
          <w:rPr>
            <w:rStyle w:val="Hipercze"/>
          </w:rPr>
          <w:t>Wykres 10</w:t>
        </w:r>
        <w:r w:rsidR="00342921" w:rsidRPr="00D32504">
          <w:rPr>
            <w:rStyle w:val="Hipercze"/>
          </w:rPr>
          <w:noBreakHyphen/>
          <w:t>4.</w:t>
        </w:r>
        <w:r w:rsidR="00342921">
          <w:rPr>
            <w:rFonts w:asciiTheme="minorHAnsi" w:eastAsiaTheme="minorEastAsia" w:hAnsiTheme="minorHAnsi" w:cstheme="minorBidi"/>
            <w:sz w:val="22"/>
            <w:lang w:eastAsia="pl-PL"/>
          </w:rPr>
          <w:tab/>
        </w:r>
        <w:r w:rsidR="00342921" w:rsidRPr="00D32504">
          <w:rPr>
            <w:rStyle w:val="Hipercze"/>
          </w:rPr>
          <w:t>Udział działań o określonym statusie w podziale na działania podstawowe i uzupełniające - JCWP RW (w skali kraju)</w:t>
        </w:r>
        <w:r w:rsidR="00342921">
          <w:rPr>
            <w:webHidden/>
          </w:rPr>
          <w:tab/>
        </w:r>
        <w:r w:rsidR="00342921">
          <w:rPr>
            <w:webHidden/>
          </w:rPr>
          <w:fldChar w:fldCharType="begin"/>
        </w:r>
        <w:r w:rsidR="00342921">
          <w:rPr>
            <w:webHidden/>
          </w:rPr>
          <w:instrText xml:space="preserve"> PAGEREF _Toc105513006 \h </w:instrText>
        </w:r>
        <w:r w:rsidR="00342921">
          <w:rPr>
            <w:webHidden/>
          </w:rPr>
        </w:r>
        <w:r w:rsidR="00342921">
          <w:rPr>
            <w:webHidden/>
          </w:rPr>
          <w:fldChar w:fldCharType="separate"/>
        </w:r>
        <w:r w:rsidR="001F774D">
          <w:rPr>
            <w:webHidden/>
          </w:rPr>
          <w:t>230</w:t>
        </w:r>
        <w:r w:rsidR="00342921">
          <w:rPr>
            <w:webHidden/>
          </w:rPr>
          <w:fldChar w:fldCharType="end"/>
        </w:r>
      </w:hyperlink>
    </w:p>
    <w:p w14:paraId="749C1618" w14:textId="3DB21023" w:rsidR="00342921" w:rsidRDefault="009C595A">
      <w:pPr>
        <w:pStyle w:val="Spisilustracji"/>
        <w:rPr>
          <w:rFonts w:asciiTheme="minorHAnsi" w:eastAsiaTheme="minorEastAsia" w:hAnsiTheme="minorHAnsi" w:cstheme="minorBidi"/>
          <w:sz w:val="22"/>
          <w:lang w:eastAsia="pl-PL"/>
        </w:rPr>
      </w:pPr>
      <w:hyperlink w:anchor="_Toc105513007" w:history="1">
        <w:r w:rsidR="00342921" w:rsidRPr="00D32504">
          <w:rPr>
            <w:rStyle w:val="Hipercze"/>
          </w:rPr>
          <w:t>Wykres 10</w:t>
        </w:r>
        <w:r w:rsidR="00342921" w:rsidRPr="00D32504">
          <w:rPr>
            <w:rStyle w:val="Hipercze"/>
          </w:rPr>
          <w:noBreakHyphen/>
          <w:t>5.</w:t>
        </w:r>
        <w:r w:rsidR="00342921">
          <w:rPr>
            <w:rFonts w:asciiTheme="minorHAnsi" w:eastAsiaTheme="minorEastAsia" w:hAnsiTheme="minorHAnsi" w:cstheme="minorBidi"/>
            <w:sz w:val="22"/>
            <w:lang w:eastAsia="pl-PL"/>
          </w:rPr>
          <w:tab/>
        </w:r>
        <w:r w:rsidR="00342921" w:rsidRPr="00D32504">
          <w:rPr>
            <w:rStyle w:val="Hipercze"/>
          </w:rPr>
          <w:t>Udział JCWP LW z przypisanymi działaniami danej kategorii</w:t>
        </w:r>
        <w:r w:rsidR="00342921">
          <w:rPr>
            <w:webHidden/>
          </w:rPr>
          <w:tab/>
        </w:r>
        <w:r w:rsidR="00342921">
          <w:rPr>
            <w:webHidden/>
          </w:rPr>
          <w:fldChar w:fldCharType="begin"/>
        </w:r>
        <w:r w:rsidR="00342921">
          <w:rPr>
            <w:webHidden/>
          </w:rPr>
          <w:instrText xml:space="preserve"> PAGEREF _Toc105513007 \h </w:instrText>
        </w:r>
        <w:r w:rsidR="00342921">
          <w:rPr>
            <w:webHidden/>
          </w:rPr>
        </w:r>
        <w:r w:rsidR="00342921">
          <w:rPr>
            <w:webHidden/>
          </w:rPr>
          <w:fldChar w:fldCharType="separate"/>
        </w:r>
        <w:r w:rsidR="001F774D">
          <w:rPr>
            <w:webHidden/>
          </w:rPr>
          <w:t>231</w:t>
        </w:r>
        <w:r w:rsidR="00342921">
          <w:rPr>
            <w:webHidden/>
          </w:rPr>
          <w:fldChar w:fldCharType="end"/>
        </w:r>
      </w:hyperlink>
    </w:p>
    <w:p w14:paraId="230894AD" w14:textId="3A8EE2B9" w:rsidR="00342921" w:rsidRDefault="009C595A">
      <w:pPr>
        <w:pStyle w:val="Spisilustracji"/>
        <w:rPr>
          <w:rFonts w:asciiTheme="minorHAnsi" w:eastAsiaTheme="minorEastAsia" w:hAnsiTheme="minorHAnsi" w:cstheme="minorBidi"/>
          <w:sz w:val="22"/>
          <w:lang w:eastAsia="pl-PL"/>
        </w:rPr>
      </w:pPr>
      <w:hyperlink w:anchor="_Toc105513008" w:history="1">
        <w:r w:rsidR="00342921" w:rsidRPr="00D32504">
          <w:rPr>
            <w:rStyle w:val="Hipercze"/>
          </w:rPr>
          <w:t>Wykres 10</w:t>
        </w:r>
        <w:r w:rsidR="00342921" w:rsidRPr="00D32504">
          <w:rPr>
            <w:rStyle w:val="Hipercze"/>
          </w:rPr>
          <w:noBreakHyphen/>
          <w:t>6.</w:t>
        </w:r>
        <w:r w:rsidR="00342921">
          <w:rPr>
            <w:rFonts w:asciiTheme="minorHAnsi" w:eastAsiaTheme="minorEastAsia" w:hAnsiTheme="minorHAnsi" w:cstheme="minorBidi"/>
            <w:sz w:val="22"/>
            <w:lang w:eastAsia="pl-PL"/>
          </w:rPr>
          <w:tab/>
        </w:r>
        <w:r w:rsidR="00342921" w:rsidRPr="00D32504">
          <w:rPr>
            <w:rStyle w:val="Hipercze"/>
          </w:rPr>
          <w:t>Udział działań o określonym statusie w podziale na działania podstawowe i uzupełniające – JCWP TW i CW (w skali kraju)</w:t>
        </w:r>
        <w:r w:rsidR="00342921">
          <w:rPr>
            <w:webHidden/>
          </w:rPr>
          <w:tab/>
        </w:r>
        <w:r w:rsidR="00342921">
          <w:rPr>
            <w:webHidden/>
          </w:rPr>
          <w:fldChar w:fldCharType="begin"/>
        </w:r>
        <w:r w:rsidR="00342921">
          <w:rPr>
            <w:webHidden/>
          </w:rPr>
          <w:instrText xml:space="preserve"> PAGEREF _Toc105513008 \h </w:instrText>
        </w:r>
        <w:r w:rsidR="00342921">
          <w:rPr>
            <w:webHidden/>
          </w:rPr>
        </w:r>
        <w:r w:rsidR="00342921">
          <w:rPr>
            <w:webHidden/>
          </w:rPr>
          <w:fldChar w:fldCharType="separate"/>
        </w:r>
        <w:r w:rsidR="001F774D">
          <w:rPr>
            <w:webHidden/>
          </w:rPr>
          <w:t>232</w:t>
        </w:r>
        <w:r w:rsidR="00342921">
          <w:rPr>
            <w:webHidden/>
          </w:rPr>
          <w:fldChar w:fldCharType="end"/>
        </w:r>
      </w:hyperlink>
    </w:p>
    <w:p w14:paraId="1B3C715D" w14:textId="58588D26" w:rsidR="00342921" w:rsidRDefault="009C595A">
      <w:pPr>
        <w:pStyle w:val="Spisilustracji"/>
        <w:rPr>
          <w:rFonts w:asciiTheme="minorHAnsi" w:eastAsiaTheme="minorEastAsia" w:hAnsiTheme="minorHAnsi" w:cstheme="minorBidi"/>
          <w:sz w:val="22"/>
          <w:lang w:eastAsia="pl-PL"/>
        </w:rPr>
      </w:pPr>
      <w:hyperlink w:anchor="_Toc105513009" w:history="1">
        <w:r w:rsidR="00342921" w:rsidRPr="00D32504">
          <w:rPr>
            <w:rStyle w:val="Hipercze"/>
          </w:rPr>
          <w:t>Wykres 10</w:t>
        </w:r>
        <w:r w:rsidR="00342921" w:rsidRPr="00D32504">
          <w:rPr>
            <w:rStyle w:val="Hipercze"/>
          </w:rPr>
          <w:noBreakHyphen/>
          <w:t>7.</w:t>
        </w:r>
        <w:r w:rsidR="00342921">
          <w:rPr>
            <w:rFonts w:asciiTheme="minorHAnsi" w:eastAsiaTheme="minorEastAsia" w:hAnsiTheme="minorHAnsi" w:cstheme="minorBidi"/>
            <w:sz w:val="22"/>
            <w:lang w:eastAsia="pl-PL"/>
          </w:rPr>
          <w:tab/>
        </w:r>
        <w:r w:rsidR="00342921" w:rsidRPr="00D32504">
          <w:rPr>
            <w:rStyle w:val="Hipercze"/>
          </w:rPr>
          <w:t>Udział działań o określonym statusie w podziale na działania podstawowe i uzupełniające – JCWPd (w skali kraju)</w:t>
        </w:r>
        <w:r w:rsidR="00342921">
          <w:rPr>
            <w:webHidden/>
          </w:rPr>
          <w:tab/>
        </w:r>
        <w:r w:rsidR="00342921">
          <w:rPr>
            <w:webHidden/>
          </w:rPr>
          <w:fldChar w:fldCharType="begin"/>
        </w:r>
        <w:r w:rsidR="00342921">
          <w:rPr>
            <w:webHidden/>
          </w:rPr>
          <w:instrText xml:space="preserve"> PAGEREF _Toc105513009 \h </w:instrText>
        </w:r>
        <w:r w:rsidR="00342921">
          <w:rPr>
            <w:webHidden/>
          </w:rPr>
        </w:r>
        <w:r w:rsidR="00342921">
          <w:rPr>
            <w:webHidden/>
          </w:rPr>
          <w:fldChar w:fldCharType="separate"/>
        </w:r>
        <w:r w:rsidR="001F774D">
          <w:rPr>
            <w:webHidden/>
          </w:rPr>
          <w:t>233</w:t>
        </w:r>
        <w:r w:rsidR="00342921">
          <w:rPr>
            <w:webHidden/>
          </w:rPr>
          <w:fldChar w:fldCharType="end"/>
        </w:r>
      </w:hyperlink>
    </w:p>
    <w:p w14:paraId="78D5BF51" w14:textId="5CF90C4A" w:rsidR="00342921" w:rsidRDefault="009C595A">
      <w:pPr>
        <w:pStyle w:val="Spisilustracji"/>
        <w:rPr>
          <w:rFonts w:asciiTheme="minorHAnsi" w:eastAsiaTheme="minorEastAsia" w:hAnsiTheme="minorHAnsi" w:cstheme="minorBidi"/>
          <w:sz w:val="22"/>
          <w:lang w:eastAsia="pl-PL"/>
        </w:rPr>
      </w:pPr>
      <w:hyperlink w:anchor="_Toc105513010" w:history="1">
        <w:r w:rsidR="00342921" w:rsidRPr="00D32504">
          <w:rPr>
            <w:rStyle w:val="Hipercze"/>
          </w:rPr>
          <w:t>Wykres 12</w:t>
        </w:r>
        <w:r w:rsidR="00342921" w:rsidRPr="00D32504">
          <w:rPr>
            <w:rStyle w:val="Hipercze"/>
          </w:rPr>
          <w:noBreakHyphen/>
          <w:t>1.</w:t>
        </w:r>
        <w:r w:rsidR="00342921">
          <w:rPr>
            <w:rFonts w:asciiTheme="minorHAnsi" w:eastAsiaTheme="minorEastAsia" w:hAnsiTheme="minorHAnsi" w:cstheme="minorBidi"/>
            <w:sz w:val="22"/>
            <w:lang w:eastAsia="pl-PL"/>
          </w:rPr>
          <w:tab/>
        </w:r>
        <w:r w:rsidR="00342921" w:rsidRPr="00D32504">
          <w:rPr>
            <w:rStyle w:val="Hipercze"/>
          </w:rPr>
          <w:t>Udział działań poszczególnych kategorii w katalogu działań krajowych IIaPGW</w:t>
        </w:r>
        <w:r w:rsidR="00342921">
          <w:rPr>
            <w:webHidden/>
          </w:rPr>
          <w:tab/>
        </w:r>
        <w:r w:rsidR="00342921">
          <w:rPr>
            <w:webHidden/>
          </w:rPr>
          <w:fldChar w:fldCharType="begin"/>
        </w:r>
        <w:r w:rsidR="00342921">
          <w:rPr>
            <w:webHidden/>
          </w:rPr>
          <w:instrText xml:space="preserve"> PAGEREF _Toc105513010 \h </w:instrText>
        </w:r>
        <w:r w:rsidR="00342921">
          <w:rPr>
            <w:webHidden/>
          </w:rPr>
        </w:r>
        <w:r w:rsidR="00342921">
          <w:rPr>
            <w:webHidden/>
          </w:rPr>
          <w:fldChar w:fldCharType="separate"/>
        </w:r>
        <w:r w:rsidR="001F774D">
          <w:rPr>
            <w:webHidden/>
          </w:rPr>
          <w:t>255</w:t>
        </w:r>
        <w:r w:rsidR="00342921">
          <w:rPr>
            <w:webHidden/>
          </w:rPr>
          <w:fldChar w:fldCharType="end"/>
        </w:r>
      </w:hyperlink>
    </w:p>
    <w:p w14:paraId="3B199205" w14:textId="00C11BB0" w:rsidR="00342921" w:rsidRDefault="009C595A">
      <w:pPr>
        <w:pStyle w:val="Spisilustracji"/>
        <w:rPr>
          <w:rFonts w:asciiTheme="minorHAnsi" w:eastAsiaTheme="minorEastAsia" w:hAnsiTheme="minorHAnsi" w:cstheme="minorBidi"/>
          <w:sz w:val="22"/>
          <w:lang w:eastAsia="pl-PL"/>
        </w:rPr>
      </w:pPr>
      <w:hyperlink w:anchor="_Toc105513011" w:history="1">
        <w:r w:rsidR="00342921" w:rsidRPr="00D32504">
          <w:rPr>
            <w:rStyle w:val="Hipercze"/>
          </w:rPr>
          <w:t>Wykres 12</w:t>
        </w:r>
        <w:r w:rsidR="00342921" w:rsidRPr="00D32504">
          <w:rPr>
            <w:rStyle w:val="Hipercze"/>
          </w:rPr>
          <w:noBreakHyphen/>
          <w:t>2.</w:t>
        </w:r>
        <w:r w:rsidR="00342921">
          <w:rPr>
            <w:rFonts w:asciiTheme="minorHAnsi" w:eastAsiaTheme="minorEastAsia" w:hAnsiTheme="minorHAnsi" w:cstheme="minorBidi"/>
            <w:sz w:val="22"/>
            <w:lang w:eastAsia="pl-PL"/>
          </w:rPr>
          <w:tab/>
        </w:r>
        <w:r w:rsidR="00342921" w:rsidRPr="00D32504">
          <w:rPr>
            <w:rStyle w:val="Hipercze"/>
          </w:rPr>
          <w:t>Udział działań z prolongacji oraz nowych w katalogu działań krajowych IIaPGW</w:t>
        </w:r>
        <w:r w:rsidR="00342921">
          <w:rPr>
            <w:webHidden/>
          </w:rPr>
          <w:tab/>
        </w:r>
        <w:r w:rsidR="00342921">
          <w:rPr>
            <w:webHidden/>
          </w:rPr>
          <w:fldChar w:fldCharType="begin"/>
        </w:r>
        <w:r w:rsidR="00342921">
          <w:rPr>
            <w:webHidden/>
          </w:rPr>
          <w:instrText xml:space="preserve"> PAGEREF _Toc105513011 \h </w:instrText>
        </w:r>
        <w:r w:rsidR="00342921">
          <w:rPr>
            <w:webHidden/>
          </w:rPr>
        </w:r>
        <w:r w:rsidR="00342921">
          <w:rPr>
            <w:webHidden/>
          </w:rPr>
          <w:fldChar w:fldCharType="separate"/>
        </w:r>
        <w:r w:rsidR="001F774D">
          <w:rPr>
            <w:webHidden/>
          </w:rPr>
          <w:t>256</w:t>
        </w:r>
        <w:r w:rsidR="00342921">
          <w:rPr>
            <w:webHidden/>
          </w:rPr>
          <w:fldChar w:fldCharType="end"/>
        </w:r>
      </w:hyperlink>
    </w:p>
    <w:p w14:paraId="5F038C93" w14:textId="1A108508" w:rsidR="00342921" w:rsidRDefault="009C595A">
      <w:pPr>
        <w:pStyle w:val="Spisilustracji"/>
        <w:rPr>
          <w:rFonts w:asciiTheme="minorHAnsi" w:eastAsiaTheme="minorEastAsia" w:hAnsiTheme="minorHAnsi" w:cstheme="minorBidi"/>
          <w:sz w:val="22"/>
          <w:lang w:eastAsia="pl-PL"/>
        </w:rPr>
      </w:pPr>
      <w:hyperlink w:anchor="_Toc105513012" w:history="1">
        <w:r w:rsidR="00342921" w:rsidRPr="00D32504">
          <w:rPr>
            <w:rStyle w:val="Hipercze"/>
          </w:rPr>
          <w:t>Wykres 12</w:t>
        </w:r>
        <w:r w:rsidR="00342921" w:rsidRPr="00D32504">
          <w:rPr>
            <w:rStyle w:val="Hipercze"/>
          </w:rPr>
          <w:noBreakHyphen/>
          <w:t>3.</w:t>
        </w:r>
        <w:r w:rsidR="00342921">
          <w:rPr>
            <w:rFonts w:asciiTheme="minorHAnsi" w:eastAsiaTheme="minorEastAsia" w:hAnsiTheme="minorHAnsi" w:cstheme="minorBidi"/>
            <w:sz w:val="22"/>
            <w:lang w:eastAsia="pl-PL"/>
          </w:rPr>
          <w:tab/>
        </w:r>
        <w:r w:rsidR="00342921" w:rsidRPr="00D32504">
          <w:rPr>
            <w:rStyle w:val="Hipercze"/>
          </w:rPr>
          <w:t>Udział działań z określonym terminem realizacji oraz działań ciągłych w katalogu działań krajowych IIaPGW</w:t>
        </w:r>
        <w:r w:rsidR="00342921">
          <w:rPr>
            <w:webHidden/>
          </w:rPr>
          <w:tab/>
        </w:r>
        <w:r w:rsidR="00342921">
          <w:rPr>
            <w:webHidden/>
          </w:rPr>
          <w:fldChar w:fldCharType="begin"/>
        </w:r>
        <w:r w:rsidR="00342921">
          <w:rPr>
            <w:webHidden/>
          </w:rPr>
          <w:instrText xml:space="preserve"> PAGEREF _Toc105513012 \h </w:instrText>
        </w:r>
        <w:r w:rsidR="00342921">
          <w:rPr>
            <w:webHidden/>
          </w:rPr>
        </w:r>
        <w:r w:rsidR="00342921">
          <w:rPr>
            <w:webHidden/>
          </w:rPr>
          <w:fldChar w:fldCharType="separate"/>
        </w:r>
        <w:r w:rsidR="001F774D">
          <w:rPr>
            <w:webHidden/>
          </w:rPr>
          <w:t>256</w:t>
        </w:r>
        <w:r w:rsidR="00342921">
          <w:rPr>
            <w:webHidden/>
          </w:rPr>
          <w:fldChar w:fldCharType="end"/>
        </w:r>
      </w:hyperlink>
    </w:p>
    <w:p w14:paraId="2634DD8A" w14:textId="08735DA5" w:rsidR="00342921" w:rsidRDefault="009C595A">
      <w:pPr>
        <w:pStyle w:val="Spisilustracji"/>
        <w:rPr>
          <w:rFonts w:asciiTheme="minorHAnsi" w:eastAsiaTheme="minorEastAsia" w:hAnsiTheme="minorHAnsi" w:cstheme="minorBidi"/>
          <w:sz w:val="22"/>
          <w:lang w:eastAsia="pl-PL"/>
        </w:rPr>
      </w:pPr>
      <w:hyperlink w:anchor="_Toc105513013" w:history="1">
        <w:r w:rsidR="00342921" w:rsidRPr="00D32504">
          <w:rPr>
            <w:rStyle w:val="Hipercze"/>
          </w:rPr>
          <w:t>Wykres 12</w:t>
        </w:r>
        <w:r w:rsidR="00342921" w:rsidRPr="00D32504">
          <w:rPr>
            <w:rStyle w:val="Hipercze"/>
          </w:rPr>
          <w:noBreakHyphen/>
          <w:t>4.</w:t>
        </w:r>
        <w:r w:rsidR="00342921">
          <w:rPr>
            <w:rFonts w:asciiTheme="minorHAnsi" w:eastAsiaTheme="minorEastAsia" w:hAnsiTheme="minorHAnsi" w:cstheme="minorBidi"/>
            <w:sz w:val="22"/>
            <w:lang w:eastAsia="pl-PL"/>
          </w:rPr>
          <w:tab/>
        </w:r>
        <w:r w:rsidR="00342921" w:rsidRPr="00D32504">
          <w:rPr>
            <w:rStyle w:val="Hipercze"/>
          </w:rPr>
          <w:t>Udział działań w poszczególnych kategoriach katalogu działań JCWP RW</w:t>
        </w:r>
        <w:r w:rsidR="00342921">
          <w:rPr>
            <w:webHidden/>
          </w:rPr>
          <w:tab/>
        </w:r>
        <w:r w:rsidR="00342921">
          <w:rPr>
            <w:webHidden/>
          </w:rPr>
          <w:fldChar w:fldCharType="begin"/>
        </w:r>
        <w:r w:rsidR="00342921">
          <w:rPr>
            <w:webHidden/>
          </w:rPr>
          <w:instrText xml:space="preserve"> PAGEREF _Toc105513013 \h </w:instrText>
        </w:r>
        <w:r w:rsidR="00342921">
          <w:rPr>
            <w:webHidden/>
          </w:rPr>
        </w:r>
        <w:r w:rsidR="00342921">
          <w:rPr>
            <w:webHidden/>
          </w:rPr>
          <w:fldChar w:fldCharType="separate"/>
        </w:r>
        <w:r w:rsidR="001F774D">
          <w:rPr>
            <w:webHidden/>
          </w:rPr>
          <w:t>259</w:t>
        </w:r>
        <w:r w:rsidR="00342921">
          <w:rPr>
            <w:webHidden/>
          </w:rPr>
          <w:fldChar w:fldCharType="end"/>
        </w:r>
      </w:hyperlink>
    </w:p>
    <w:p w14:paraId="5523AD74" w14:textId="371ADE3C" w:rsidR="00342921" w:rsidRDefault="009C595A">
      <w:pPr>
        <w:pStyle w:val="Spisilustracji"/>
        <w:rPr>
          <w:rFonts w:asciiTheme="minorHAnsi" w:eastAsiaTheme="minorEastAsia" w:hAnsiTheme="minorHAnsi" w:cstheme="minorBidi"/>
          <w:sz w:val="22"/>
          <w:lang w:eastAsia="pl-PL"/>
        </w:rPr>
      </w:pPr>
      <w:hyperlink w:anchor="_Toc105513014" w:history="1">
        <w:r w:rsidR="00342921" w:rsidRPr="00D32504">
          <w:rPr>
            <w:rStyle w:val="Hipercze"/>
          </w:rPr>
          <w:t>Wykres 12</w:t>
        </w:r>
        <w:r w:rsidR="00342921" w:rsidRPr="00D32504">
          <w:rPr>
            <w:rStyle w:val="Hipercze"/>
          </w:rPr>
          <w:noBreakHyphen/>
          <w:t>5.</w:t>
        </w:r>
        <w:r w:rsidR="00342921">
          <w:rPr>
            <w:rFonts w:asciiTheme="minorHAnsi" w:eastAsiaTheme="minorEastAsia" w:hAnsiTheme="minorHAnsi" w:cstheme="minorBidi"/>
            <w:sz w:val="22"/>
            <w:lang w:eastAsia="pl-PL"/>
          </w:rPr>
          <w:tab/>
        </w:r>
        <w:r w:rsidR="00342921" w:rsidRPr="00D32504">
          <w:rPr>
            <w:rStyle w:val="Hipercze"/>
          </w:rPr>
          <w:t>Udział działań podstawowych oraz uzupełniających w katalogu działań JCWP RW</w:t>
        </w:r>
        <w:r w:rsidR="00342921">
          <w:rPr>
            <w:webHidden/>
          </w:rPr>
          <w:tab/>
        </w:r>
        <w:r w:rsidR="00342921">
          <w:rPr>
            <w:webHidden/>
          </w:rPr>
          <w:fldChar w:fldCharType="begin"/>
        </w:r>
        <w:r w:rsidR="00342921">
          <w:rPr>
            <w:webHidden/>
          </w:rPr>
          <w:instrText xml:space="preserve"> PAGEREF _Toc105513014 \h </w:instrText>
        </w:r>
        <w:r w:rsidR="00342921">
          <w:rPr>
            <w:webHidden/>
          </w:rPr>
        </w:r>
        <w:r w:rsidR="00342921">
          <w:rPr>
            <w:webHidden/>
          </w:rPr>
          <w:fldChar w:fldCharType="separate"/>
        </w:r>
        <w:r w:rsidR="001F774D">
          <w:rPr>
            <w:webHidden/>
          </w:rPr>
          <w:t>259</w:t>
        </w:r>
        <w:r w:rsidR="00342921">
          <w:rPr>
            <w:webHidden/>
          </w:rPr>
          <w:fldChar w:fldCharType="end"/>
        </w:r>
      </w:hyperlink>
    </w:p>
    <w:p w14:paraId="54C22F6E" w14:textId="40B12796" w:rsidR="00342921" w:rsidRDefault="009C595A">
      <w:pPr>
        <w:pStyle w:val="Spisilustracji"/>
        <w:rPr>
          <w:rFonts w:asciiTheme="minorHAnsi" w:eastAsiaTheme="minorEastAsia" w:hAnsiTheme="minorHAnsi" w:cstheme="minorBidi"/>
          <w:sz w:val="22"/>
          <w:lang w:eastAsia="pl-PL"/>
        </w:rPr>
      </w:pPr>
      <w:hyperlink w:anchor="_Toc105513015" w:history="1">
        <w:r w:rsidR="00342921" w:rsidRPr="00D32504">
          <w:rPr>
            <w:rStyle w:val="Hipercze"/>
          </w:rPr>
          <w:t>Wykres 12</w:t>
        </w:r>
        <w:r w:rsidR="00342921" w:rsidRPr="00D32504">
          <w:rPr>
            <w:rStyle w:val="Hipercze"/>
          </w:rPr>
          <w:noBreakHyphen/>
          <w:t>6.</w:t>
        </w:r>
        <w:r w:rsidR="00342921">
          <w:rPr>
            <w:rFonts w:asciiTheme="minorHAnsi" w:eastAsiaTheme="minorEastAsia" w:hAnsiTheme="minorHAnsi" w:cstheme="minorBidi"/>
            <w:sz w:val="22"/>
            <w:lang w:eastAsia="pl-PL"/>
          </w:rPr>
          <w:tab/>
        </w:r>
        <w:r w:rsidR="00342921" w:rsidRPr="00D32504">
          <w:rPr>
            <w:rStyle w:val="Hipercze"/>
          </w:rPr>
          <w:t>Udział działań ukierunkowanych na redukcję poszczególnych rodzajów presji</w:t>
        </w:r>
        <w:r w:rsidR="00342921">
          <w:rPr>
            <w:webHidden/>
          </w:rPr>
          <w:tab/>
        </w:r>
        <w:r w:rsidR="00342921">
          <w:rPr>
            <w:webHidden/>
          </w:rPr>
          <w:fldChar w:fldCharType="begin"/>
        </w:r>
        <w:r w:rsidR="00342921">
          <w:rPr>
            <w:webHidden/>
          </w:rPr>
          <w:instrText xml:space="preserve"> PAGEREF _Toc105513015 \h </w:instrText>
        </w:r>
        <w:r w:rsidR="00342921">
          <w:rPr>
            <w:webHidden/>
          </w:rPr>
        </w:r>
        <w:r w:rsidR="00342921">
          <w:rPr>
            <w:webHidden/>
          </w:rPr>
          <w:fldChar w:fldCharType="separate"/>
        </w:r>
        <w:r w:rsidR="001F774D">
          <w:rPr>
            <w:webHidden/>
          </w:rPr>
          <w:t>260</w:t>
        </w:r>
        <w:r w:rsidR="00342921">
          <w:rPr>
            <w:webHidden/>
          </w:rPr>
          <w:fldChar w:fldCharType="end"/>
        </w:r>
      </w:hyperlink>
    </w:p>
    <w:p w14:paraId="38A26534" w14:textId="2E41DC4A" w:rsidR="00342921" w:rsidRDefault="009C595A">
      <w:pPr>
        <w:pStyle w:val="Spisilustracji"/>
        <w:rPr>
          <w:rFonts w:asciiTheme="minorHAnsi" w:eastAsiaTheme="minorEastAsia" w:hAnsiTheme="minorHAnsi" w:cstheme="minorBidi"/>
          <w:sz w:val="22"/>
          <w:lang w:eastAsia="pl-PL"/>
        </w:rPr>
      </w:pPr>
      <w:hyperlink w:anchor="_Toc105513016" w:history="1">
        <w:r w:rsidR="00342921" w:rsidRPr="00D32504">
          <w:rPr>
            <w:rStyle w:val="Hipercze"/>
          </w:rPr>
          <w:t>Wykres 12</w:t>
        </w:r>
        <w:r w:rsidR="00342921" w:rsidRPr="00D32504">
          <w:rPr>
            <w:rStyle w:val="Hipercze"/>
          </w:rPr>
          <w:noBreakHyphen/>
          <w:t>7.</w:t>
        </w:r>
        <w:r w:rsidR="00342921">
          <w:rPr>
            <w:rFonts w:asciiTheme="minorHAnsi" w:eastAsiaTheme="minorEastAsia" w:hAnsiTheme="minorHAnsi" w:cstheme="minorBidi"/>
            <w:sz w:val="22"/>
            <w:lang w:eastAsia="pl-PL"/>
          </w:rPr>
          <w:tab/>
        </w:r>
        <w:r w:rsidR="00342921" w:rsidRPr="00D32504">
          <w:rPr>
            <w:rStyle w:val="Hipercze"/>
          </w:rPr>
          <w:t>Udział działań w poszczególnych kategoriach katalogu działań JCWP RWr</w:t>
        </w:r>
        <w:r w:rsidR="00342921">
          <w:rPr>
            <w:webHidden/>
          </w:rPr>
          <w:tab/>
        </w:r>
        <w:r w:rsidR="00342921">
          <w:rPr>
            <w:webHidden/>
          </w:rPr>
          <w:fldChar w:fldCharType="begin"/>
        </w:r>
        <w:r w:rsidR="00342921">
          <w:rPr>
            <w:webHidden/>
          </w:rPr>
          <w:instrText xml:space="preserve"> PAGEREF _Toc105513016 \h </w:instrText>
        </w:r>
        <w:r w:rsidR="00342921">
          <w:rPr>
            <w:webHidden/>
          </w:rPr>
        </w:r>
        <w:r w:rsidR="00342921">
          <w:rPr>
            <w:webHidden/>
          </w:rPr>
          <w:fldChar w:fldCharType="separate"/>
        </w:r>
        <w:r w:rsidR="001F774D">
          <w:rPr>
            <w:webHidden/>
          </w:rPr>
          <w:t>263</w:t>
        </w:r>
        <w:r w:rsidR="00342921">
          <w:rPr>
            <w:webHidden/>
          </w:rPr>
          <w:fldChar w:fldCharType="end"/>
        </w:r>
      </w:hyperlink>
    </w:p>
    <w:p w14:paraId="4911585A" w14:textId="50DC759B" w:rsidR="00342921" w:rsidRDefault="009C595A">
      <w:pPr>
        <w:pStyle w:val="Spisilustracji"/>
        <w:rPr>
          <w:rFonts w:asciiTheme="minorHAnsi" w:eastAsiaTheme="minorEastAsia" w:hAnsiTheme="minorHAnsi" w:cstheme="minorBidi"/>
          <w:sz w:val="22"/>
          <w:lang w:eastAsia="pl-PL"/>
        </w:rPr>
      </w:pPr>
      <w:hyperlink w:anchor="_Toc105513017" w:history="1">
        <w:r w:rsidR="00342921" w:rsidRPr="00D32504">
          <w:rPr>
            <w:rStyle w:val="Hipercze"/>
          </w:rPr>
          <w:t>Wykres 12</w:t>
        </w:r>
        <w:r w:rsidR="00342921" w:rsidRPr="00D32504">
          <w:rPr>
            <w:rStyle w:val="Hipercze"/>
          </w:rPr>
          <w:noBreakHyphen/>
          <w:t>8.</w:t>
        </w:r>
        <w:r w:rsidR="00342921">
          <w:rPr>
            <w:rFonts w:asciiTheme="minorHAnsi" w:eastAsiaTheme="minorEastAsia" w:hAnsiTheme="minorHAnsi" w:cstheme="minorBidi"/>
            <w:sz w:val="22"/>
            <w:lang w:eastAsia="pl-PL"/>
          </w:rPr>
          <w:tab/>
        </w:r>
        <w:r w:rsidR="00342921" w:rsidRPr="00D32504">
          <w:rPr>
            <w:rStyle w:val="Hipercze"/>
          </w:rPr>
          <w:t>Udział działań podstawowych oraz uzupełniających w katalogu działań JCWP RWr</w:t>
        </w:r>
        <w:r w:rsidR="00342921">
          <w:rPr>
            <w:webHidden/>
          </w:rPr>
          <w:tab/>
        </w:r>
        <w:r w:rsidR="00342921">
          <w:rPr>
            <w:webHidden/>
          </w:rPr>
          <w:fldChar w:fldCharType="begin"/>
        </w:r>
        <w:r w:rsidR="00342921">
          <w:rPr>
            <w:webHidden/>
          </w:rPr>
          <w:instrText xml:space="preserve"> PAGEREF _Toc105513017 \h </w:instrText>
        </w:r>
        <w:r w:rsidR="00342921">
          <w:rPr>
            <w:webHidden/>
          </w:rPr>
        </w:r>
        <w:r w:rsidR="00342921">
          <w:rPr>
            <w:webHidden/>
          </w:rPr>
          <w:fldChar w:fldCharType="separate"/>
        </w:r>
        <w:r w:rsidR="001F774D">
          <w:rPr>
            <w:webHidden/>
          </w:rPr>
          <w:t>263</w:t>
        </w:r>
        <w:r w:rsidR="00342921">
          <w:rPr>
            <w:webHidden/>
          </w:rPr>
          <w:fldChar w:fldCharType="end"/>
        </w:r>
      </w:hyperlink>
    </w:p>
    <w:p w14:paraId="39775414" w14:textId="1C65BEAF" w:rsidR="00342921" w:rsidRDefault="009C595A">
      <w:pPr>
        <w:pStyle w:val="Spisilustracji"/>
        <w:rPr>
          <w:rFonts w:asciiTheme="minorHAnsi" w:eastAsiaTheme="minorEastAsia" w:hAnsiTheme="minorHAnsi" w:cstheme="minorBidi"/>
          <w:sz w:val="22"/>
          <w:lang w:eastAsia="pl-PL"/>
        </w:rPr>
      </w:pPr>
      <w:hyperlink w:anchor="_Toc105513018" w:history="1">
        <w:r w:rsidR="00342921" w:rsidRPr="00D32504">
          <w:rPr>
            <w:rStyle w:val="Hipercze"/>
          </w:rPr>
          <w:t>Wykres 12</w:t>
        </w:r>
        <w:r w:rsidR="00342921" w:rsidRPr="00D32504">
          <w:rPr>
            <w:rStyle w:val="Hipercze"/>
          </w:rPr>
          <w:noBreakHyphen/>
          <w:t>9.</w:t>
        </w:r>
        <w:r w:rsidR="00342921">
          <w:rPr>
            <w:rFonts w:asciiTheme="minorHAnsi" w:eastAsiaTheme="minorEastAsia" w:hAnsiTheme="minorHAnsi" w:cstheme="minorBidi"/>
            <w:sz w:val="22"/>
            <w:lang w:eastAsia="pl-PL"/>
          </w:rPr>
          <w:tab/>
        </w:r>
        <w:r w:rsidR="00342921" w:rsidRPr="00D32504">
          <w:rPr>
            <w:rStyle w:val="Hipercze"/>
          </w:rPr>
          <w:t>Udział działań ukierunkowanych na redukcję poszczególnych rodzajów presji</w:t>
        </w:r>
        <w:r w:rsidR="00342921">
          <w:rPr>
            <w:webHidden/>
          </w:rPr>
          <w:tab/>
        </w:r>
        <w:r w:rsidR="00342921">
          <w:rPr>
            <w:webHidden/>
          </w:rPr>
          <w:fldChar w:fldCharType="begin"/>
        </w:r>
        <w:r w:rsidR="00342921">
          <w:rPr>
            <w:webHidden/>
          </w:rPr>
          <w:instrText xml:space="preserve"> PAGEREF _Toc105513018 \h </w:instrText>
        </w:r>
        <w:r w:rsidR="00342921">
          <w:rPr>
            <w:webHidden/>
          </w:rPr>
        </w:r>
        <w:r w:rsidR="00342921">
          <w:rPr>
            <w:webHidden/>
          </w:rPr>
          <w:fldChar w:fldCharType="separate"/>
        </w:r>
        <w:r w:rsidR="001F774D">
          <w:rPr>
            <w:webHidden/>
          </w:rPr>
          <w:t>264</w:t>
        </w:r>
        <w:r w:rsidR="00342921">
          <w:rPr>
            <w:webHidden/>
          </w:rPr>
          <w:fldChar w:fldCharType="end"/>
        </w:r>
      </w:hyperlink>
    </w:p>
    <w:p w14:paraId="31E165DF" w14:textId="3C9D6127" w:rsidR="00342921" w:rsidRDefault="009C595A">
      <w:pPr>
        <w:pStyle w:val="Spisilustracji"/>
        <w:rPr>
          <w:rFonts w:asciiTheme="minorHAnsi" w:eastAsiaTheme="minorEastAsia" w:hAnsiTheme="minorHAnsi" w:cstheme="minorBidi"/>
          <w:sz w:val="22"/>
          <w:lang w:eastAsia="pl-PL"/>
        </w:rPr>
      </w:pPr>
      <w:hyperlink w:anchor="_Toc105513019" w:history="1">
        <w:r w:rsidR="00342921" w:rsidRPr="00D32504">
          <w:rPr>
            <w:rStyle w:val="Hipercze"/>
          </w:rPr>
          <w:t>Wykres 12</w:t>
        </w:r>
        <w:r w:rsidR="00342921" w:rsidRPr="00D32504">
          <w:rPr>
            <w:rStyle w:val="Hipercze"/>
          </w:rPr>
          <w:noBreakHyphen/>
          <w:t>10.</w:t>
        </w:r>
        <w:r w:rsidR="00342921">
          <w:rPr>
            <w:rFonts w:asciiTheme="minorHAnsi" w:eastAsiaTheme="minorEastAsia" w:hAnsiTheme="minorHAnsi" w:cstheme="minorBidi"/>
            <w:sz w:val="22"/>
            <w:lang w:eastAsia="pl-PL"/>
          </w:rPr>
          <w:tab/>
        </w:r>
        <w:r w:rsidR="00342921" w:rsidRPr="00D32504">
          <w:rPr>
            <w:rStyle w:val="Hipercze"/>
          </w:rPr>
          <w:t>Udział działań w poszczególnych kategoriach katalogu działań JCWP LW</w:t>
        </w:r>
        <w:r w:rsidR="00342921">
          <w:rPr>
            <w:webHidden/>
          </w:rPr>
          <w:tab/>
        </w:r>
        <w:r w:rsidR="00342921">
          <w:rPr>
            <w:webHidden/>
          </w:rPr>
          <w:fldChar w:fldCharType="begin"/>
        </w:r>
        <w:r w:rsidR="00342921">
          <w:rPr>
            <w:webHidden/>
          </w:rPr>
          <w:instrText xml:space="preserve"> PAGEREF _Toc105513019 \h </w:instrText>
        </w:r>
        <w:r w:rsidR="00342921">
          <w:rPr>
            <w:webHidden/>
          </w:rPr>
        </w:r>
        <w:r w:rsidR="00342921">
          <w:rPr>
            <w:webHidden/>
          </w:rPr>
          <w:fldChar w:fldCharType="separate"/>
        </w:r>
        <w:r w:rsidR="001F774D">
          <w:rPr>
            <w:webHidden/>
          </w:rPr>
          <w:t>266</w:t>
        </w:r>
        <w:r w:rsidR="00342921">
          <w:rPr>
            <w:webHidden/>
          </w:rPr>
          <w:fldChar w:fldCharType="end"/>
        </w:r>
      </w:hyperlink>
    </w:p>
    <w:p w14:paraId="2F0DF75A" w14:textId="59ECA67B" w:rsidR="00342921" w:rsidRDefault="009C595A">
      <w:pPr>
        <w:pStyle w:val="Spisilustracji"/>
        <w:rPr>
          <w:rFonts w:asciiTheme="minorHAnsi" w:eastAsiaTheme="minorEastAsia" w:hAnsiTheme="minorHAnsi" w:cstheme="minorBidi"/>
          <w:sz w:val="22"/>
          <w:lang w:eastAsia="pl-PL"/>
        </w:rPr>
      </w:pPr>
      <w:hyperlink w:anchor="_Toc105513020" w:history="1">
        <w:r w:rsidR="00342921" w:rsidRPr="00D32504">
          <w:rPr>
            <w:rStyle w:val="Hipercze"/>
          </w:rPr>
          <w:t>Wykres 12</w:t>
        </w:r>
        <w:r w:rsidR="00342921" w:rsidRPr="00D32504">
          <w:rPr>
            <w:rStyle w:val="Hipercze"/>
          </w:rPr>
          <w:noBreakHyphen/>
          <w:t>11.</w:t>
        </w:r>
        <w:r w:rsidR="00342921">
          <w:rPr>
            <w:rFonts w:asciiTheme="minorHAnsi" w:eastAsiaTheme="minorEastAsia" w:hAnsiTheme="minorHAnsi" w:cstheme="minorBidi"/>
            <w:sz w:val="22"/>
            <w:lang w:eastAsia="pl-PL"/>
          </w:rPr>
          <w:tab/>
        </w:r>
        <w:r w:rsidR="00342921" w:rsidRPr="00D32504">
          <w:rPr>
            <w:rStyle w:val="Hipercze"/>
          </w:rPr>
          <w:t>Udział działań podstawowych oraz uzupełniających w katalogu działań JCWP LW</w:t>
        </w:r>
        <w:r w:rsidR="00342921">
          <w:rPr>
            <w:webHidden/>
          </w:rPr>
          <w:tab/>
        </w:r>
        <w:r w:rsidR="00342921">
          <w:rPr>
            <w:webHidden/>
          </w:rPr>
          <w:fldChar w:fldCharType="begin"/>
        </w:r>
        <w:r w:rsidR="00342921">
          <w:rPr>
            <w:webHidden/>
          </w:rPr>
          <w:instrText xml:space="preserve"> PAGEREF _Toc105513020 \h </w:instrText>
        </w:r>
        <w:r w:rsidR="00342921">
          <w:rPr>
            <w:webHidden/>
          </w:rPr>
        </w:r>
        <w:r w:rsidR="00342921">
          <w:rPr>
            <w:webHidden/>
          </w:rPr>
          <w:fldChar w:fldCharType="separate"/>
        </w:r>
        <w:r w:rsidR="001F774D">
          <w:rPr>
            <w:webHidden/>
          </w:rPr>
          <w:t>266</w:t>
        </w:r>
        <w:r w:rsidR="00342921">
          <w:rPr>
            <w:webHidden/>
          </w:rPr>
          <w:fldChar w:fldCharType="end"/>
        </w:r>
      </w:hyperlink>
    </w:p>
    <w:p w14:paraId="45D6FB48" w14:textId="42EFEFB9" w:rsidR="00342921" w:rsidRDefault="009C595A">
      <w:pPr>
        <w:pStyle w:val="Spisilustracji"/>
        <w:rPr>
          <w:rFonts w:asciiTheme="minorHAnsi" w:eastAsiaTheme="minorEastAsia" w:hAnsiTheme="minorHAnsi" w:cstheme="minorBidi"/>
          <w:sz w:val="22"/>
          <w:lang w:eastAsia="pl-PL"/>
        </w:rPr>
      </w:pPr>
      <w:hyperlink w:anchor="_Toc105513021" w:history="1">
        <w:r w:rsidR="00342921" w:rsidRPr="00D32504">
          <w:rPr>
            <w:rStyle w:val="Hipercze"/>
          </w:rPr>
          <w:t>Wykres 12</w:t>
        </w:r>
        <w:r w:rsidR="00342921" w:rsidRPr="00D32504">
          <w:rPr>
            <w:rStyle w:val="Hipercze"/>
          </w:rPr>
          <w:noBreakHyphen/>
          <w:t>12.</w:t>
        </w:r>
        <w:r w:rsidR="00342921">
          <w:rPr>
            <w:rFonts w:asciiTheme="minorHAnsi" w:eastAsiaTheme="minorEastAsia" w:hAnsiTheme="minorHAnsi" w:cstheme="minorBidi"/>
            <w:sz w:val="22"/>
            <w:lang w:eastAsia="pl-PL"/>
          </w:rPr>
          <w:tab/>
        </w:r>
        <w:r w:rsidR="00342921" w:rsidRPr="00D32504">
          <w:rPr>
            <w:rStyle w:val="Hipercze"/>
          </w:rPr>
          <w:t>Udział działań ukierunkowanych na redukcję poszczególnych rodzajów presji</w:t>
        </w:r>
        <w:r w:rsidR="00342921">
          <w:rPr>
            <w:webHidden/>
          </w:rPr>
          <w:tab/>
        </w:r>
        <w:r w:rsidR="00342921">
          <w:rPr>
            <w:webHidden/>
          </w:rPr>
          <w:fldChar w:fldCharType="begin"/>
        </w:r>
        <w:r w:rsidR="00342921">
          <w:rPr>
            <w:webHidden/>
          </w:rPr>
          <w:instrText xml:space="preserve"> PAGEREF _Toc105513021 \h </w:instrText>
        </w:r>
        <w:r w:rsidR="00342921">
          <w:rPr>
            <w:webHidden/>
          </w:rPr>
        </w:r>
        <w:r w:rsidR="00342921">
          <w:rPr>
            <w:webHidden/>
          </w:rPr>
          <w:fldChar w:fldCharType="separate"/>
        </w:r>
        <w:r w:rsidR="001F774D">
          <w:rPr>
            <w:webHidden/>
          </w:rPr>
          <w:t>267</w:t>
        </w:r>
        <w:r w:rsidR="00342921">
          <w:rPr>
            <w:webHidden/>
          </w:rPr>
          <w:fldChar w:fldCharType="end"/>
        </w:r>
      </w:hyperlink>
    </w:p>
    <w:p w14:paraId="6372CCD9" w14:textId="0B9BC692" w:rsidR="00342921" w:rsidRDefault="009C595A">
      <w:pPr>
        <w:pStyle w:val="Spisilustracji"/>
        <w:rPr>
          <w:rFonts w:asciiTheme="minorHAnsi" w:eastAsiaTheme="minorEastAsia" w:hAnsiTheme="minorHAnsi" w:cstheme="minorBidi"/>
          <w:sz w:val="22"/>
          <w:lang w:eastAsia="pl-PL"/>
        </w:rPr>
      </w:pPr>
      <w:hyperlink w:anchor="_Toc105513022" w:history="1">
        <w:r w:rsidR="00342921" w:rsidRPr="00D32504">
          <w:rPr>
            <w:rStyle w:val="Hipercze"/>
          </w:rPr>
          <w:t>Wykres 12</w:t>
        </w:r>
        <w:r w:rsidR="00342921" w:rsidRPr="00D32504">
          <w:rPr>
            <w:rStyle w:val="Hipercze"/>
          </w:rPr>
          <w:noBreakHyphen/>
          <w:t>13.</w:t>
        </w:r>
        <w:r w:rsidR="00342921">
          <w:rPr>
            <w:rFonts w:asciiTheme="minorHAnsi" w:eastAsiaTheme="minorEastAsia" w:hAnsiTheme="minorHAnsi" w:cstheme="minorBidi"/>
            <w:sz w:val="22"/>
            <w:lang w:eastAsia="pl-PL"/>
          </w:rPr>
          <w:tab/>
        </w:r>
        <w:r w:rsidR="00342921" w:rsidRPr="00D32504">
          <w:rPr>
            <w:rStyle w:val="Hipercze"/>
          </w:rPr>
          <w:t>Udział działań w poszczególnych kategoriach katalogu działań JCWP TW i CW</w:t>
        </w:r>
        <w:r w:rsidR="00342921">
          <w:rPr>
            <w:webHidden/>
          </w:rPr>
          <w:tab/>
        </w:r>
        <w:r w:rsidR="00342921">
          <w:rPr>
            <w:webHidden/>
          </w:rPr>
          <w:fldChar w:fldCharType="begin"/>
        </w:r>
        <w:r w:rsidR="00342921">
          <w:rPr>
            <w:webHidden/>
          </w:rPr>
          <w:instrText xml:space="preserve"> PAGEREF _Toc105513022 \h </w:instrText>
        </w:r>
        <w:r w:rsidR="00342921">
          <w:rPr>
            <w:webHidden/>
          </w:rPr>
        </w:r>
        <w:r w:rsidR="00342921">
          <w:rPr>
            <w:webHidden/>
          </w:rPr>
          <w:fldChar w:fldCharType="separate"/>
        </w:r>
        <w:r w:rsidR="001F774D">
          <w:rPr>
            <w:webHidden/>
          </w:rPr>
          <w:t>270</w:t>
        </w:r>
        <w:r w:rsidR="00342921">
          <w:rPr>
            <w:webHidden/>
          </w:rPr>
          <w:fldChar w:fldCharType="end"/>
        </w:r>
      </w:hyperlink>
    </w:p>
    <w:p w14:paraId="46299CEA" w14:textId="4DFB2ECD" w:rsidR="00342921" w:rsidRDefault="009C595A">
      <w:pPr>
        <w:pStyle w:val="Spisilustracji"/>
        <w:rPr>
          <w:rFonts w:asciiTheme="minorHAnsi" w:eastAsiaTheme="minorEastAsia" w:hAnsiTheme="minorHAnsi" w:cstheme="minorBidi"/>
          <w:sz w:val="22"/>
          <w:lang w:eastAsia="pl-PL"/>
        </w:rPr>
      </w:pPr>
      <w:hyperlink w:anchor="_Toc105513023" w:history="1">
        <w:r w:rsidR="00342921" w:rsidRPr="00D32504">
          <w:rPr>
            <w:rStyle w:val="Hipercze"/>
          </w:rPr>
          <w:t>Wykres 12</w:t>
        </w:r>
        <w:r w:rsidR="00342921" w:rsidRPr="00D32504">
          <w:rPr>
            <w:rStyle w:val="Hipercze"/>
          </w:rPr>
          <w:noBreakHyphen/>
          <w:t>14.</w:t>
        </w:r>
        <w:r w:rsidR="00342921">
          <w:rPr>
            <w:rFonts w:asciiTheme="minorHAnsi" w:eastAsiaTheme="minorEastAsia" w:hAnsiTheme="minorHAnsi" w:cstheme="minorBidi"/>
            <w:sz w:val="22"/>
            <w:lang w:eastAsia="pl-PL"/>
          </w:rPr>
          <w:tab/>
        </w:r>
        <w:r w:rsidR="00342921" w:rsidRPr="00D32504">
          <w:rPr>
            <w:rStyle w:val="Hipercze"/>
          </w:rPr>
          <w:t>Udział działań podstawowych oraz uzupełniających w katalogu działań JCWP TW i CW</w:t>
        </w:r>
        <w:r w:rsidR="00342921">
          <w:rPr>
            <w:webHidden/>
          </w:rPr>
          <w:tab/>
        </w:r>
        <w:r w:rsidR="00342921">
          <w:rPr>
            <w:webHidden/>
          </w:rPr>
          <w:fldChar w:fldCharType="begin"/>
        </w:r>
        <w:r w:rsidR="00342921">
          <w:rPr>
            <w:webHidden/>
          </w:rPr>
          <w:instrText xml:space="preserve"> PAGEREF _Toc105513023 \h </w:instrText>
        </w:r>
        <w:r w:rsidR="00342921">
          <w:rPr>
            <w:webHidden/>
          </w:rPr>
        </w:r>
        <w:r w:rsidR="00342921">
          <w:rPr>
            <w:webHidden/>
          </w:rPr>
          <w:fldChar w:fldCharType="separate"/>
        </w:r>
        <w:r w:rsidR="001F774D">
          <w:rPr>
            <w:webHidden/>
          </w:rPr>
          <w:t>270</w:t>
        </w:r>
        <w:r w:rsidR="00342921">
          <w:rPr>
            <w:webHidden/>
          </w:rPr>
          <w:fldChar w:fldCharType="end"/>
        </w:r>
      </w:hyperlink>
    </w:p>
    <w:p w14:paraId="45758F0E" w14:textId="635E0265" w:rsidR="00342921" w:rsidRDefault="009C595A">
      <w:pPr>
        <w:pStyle w:val="Spisilustracji"/>
        <w:rPr>
          <w:rFonts w:asciiTheme="minorHAnsi" w:eastAsiaTheme="minorEastAsia" w:hAnsiTheme="minorHAnsi" w:cstheme="minorBidi"/>
          <w:sz w:val="22"/>
          <w:lang w:eastAsia="pl-PL"/>
        </w:rPr>
      </w:pPr>
      <w:hyperlink w:anchor="_Toc105513024" w:history="1">
        <w:r w:rsidR="00342921" w:rsidRPr="00D32504">
          <w:rPr>
            <w:rStyle w:val="Hipercze"/>
          </w:rPr>
          <w:t>Wykres 12</w:t>
        </w:r>
        <w:r w:rsidR="00342921" w:rsidRPr="00D32504">
          <w:rPr>
            <w:rStyle w:val="Hipercze"/>
          </w:rPr>
          <w:noBreakHyphen/>
          <w:t>15.</w:t>
        </w:r>
        <w:r w:rsidR="00342921">
          <w:rPr>
            <w:rFonts w:asciiTheme="minorHAnsi" w:eastAsiaTheme="minorEastAsia" w:hAnsiTheme="minorHAnsi" w:cstheme="minorBidi"/>
            <w:sz w:val="22"/>
            <w:lang w:eastAsia="pl-PL"/>
          </w:rPr>
          <w:tab/>
        </w:r>
        <w:r w:rsidR="00342921" w:rsidRPr="00D32504">
          <w:rPr>
            <w:rStyle w:val="Hipercze"/>
          </w:rPr>
          <w:t>Udział działań ukierunkowanych na redukcję poszczególnych rodzajów presji</w:t>
        </w:r>
        <w:r w:rsidR="00342921">
          <w:rPr>
            <w:webHidden/>
          </w:rPr>
          <w:tab/>
        </w:r>
        <w:r w:rsidR="00342921">
          <w:rPr>
            <w:webHidden/>
          </w:rPr>
          <w:fldChar w:fldCharType="begin"/>
        </w:r>
        <w:r w:rsidR="00342921">
          <w:rPr>
            <w:webHidden/>
          </w:rPr>
          <w:instrText xml:space="preserve"> PAGEREF _Toc105513024 \h </w:instrText>
        </w:r>
        <w:r w:rsidR="00342921">
          <w:rPr>
            <w:webHidden/>
          </w:rPr>
        </w:r>
        <w:r w:rsidR="00342921">
          <w:rPr>
            <w:webHidden/>
          </w:rPr>
          <w:fldChar w:fldCharType="separate"/>
        </w:r>
        <w:r w:rsidR="001F774D">
          <w:rPr>
            <w:webHidden/>
          </w:rPr>
          <w:t>271</w:t>
        </w:r>
        <w:r w:rsidR="00342921">
          <w:rPr>
            <w:webHidden/>
          </w:rPr>
          <w:fldChar w:fldCharType="end"/>
        </w:r>
      </w:hyperlink>
    </w:p>
    <w:p w14:paraId="49FDE1F4" w14:textId="19FF6237" w:rsidR="00342921" w:rsidRDefault="009C595A">
      <w:pPr>
        <w:pStyle w:val="Spisilustracji"/>
        <w:rPr>
          <w:rFonts w:asciiTheme="minorHAnsi" w:eastAsiaTheme="minorEastAsia" w:hAnsiTheme="minorHAnsi" w:cstheme="minorBidi"/>
          <w:sz w:val="22"/>
          <w:lang w:eastAsia="pl-PL"/>
        </w:rPr>
      </w:pPr>
      <w:hyperlink w:anchor="_Toc105513025" w:history="1">
        <w:r w:rsidR="00342921" w:rsidRPr="00D32504">
          <w:rPr>
            <w:rStyle w:val="Hipercze"/>
          </w:rPr>
          <w:t>Wykres 12</w:t>
        </w:r>
        <w:r w:rsidR="00342921" w:rsidRPr="00D32504">
          <w:rPr>
            <w:rStyle w:val="Hipercze"/>
          </w:rPr>
          <w:noBreakHyphen/>
          <w:t>16.</w:t>
        </w:r>
        <w:r w:rsidR="00342921">
          <w:rPr>
            <w:rFonts w:asciiTheme="minorHAnsi" w:eastAsiaTheme="minorEastAsia" w:hAnsiTheme="minorHAnsi" w:cstheme="minorBidi"/>
            <w:sz w:val="22"/>
            <w:lang w:eastAsia="pl-PL"/>
          </w:rPr>
          <w:tab/>
        </w:r>
        <w:r w:rsidR="00342921" w:rsidRPr="00D32504">
          <w:rPr>
            <w:rStyle w:val="Hipercze"/>
          </w:rPr>
          <w:t>Udział działań w poszczególnych kategoriach katalogu działań JCWPd</w:t>
        </w:r>
        <w:r w:rsidR="00342921">
          <w:rPr>
            <w:webHidden/>
          </w:rPr>
          <w:tab/>
        </w:r>
        <w:r w:rsidR="00342921">
          <w:rPr>
            <w:webHidden/>
          </w:rPr>
          <w:fldChar w:fldCharType="begin"/>
        </w:r>
        <w:r w:rsidR="00342921">
          <w:rPr>
            <w:webHidden/>
          </w:rPr>
          <w:instrText xml:space="preserve"> PAGEREF _Toc105513025 \h </w:instrText>
        </w:r>
        <w:r w:rsidR="00342921">
          <w:rPr>
            <w:webHidden/>
          </w:rPr>
        </w:r>
        <w:r w:rsidR="00342921">
          <w:rPr>
            <w:webHidden/>
          </w:rPr>
          <w:fldChar w:fldCharType="separate"/>
        </w:r>
        <w:r w:rsidR="001F774D">
          <w:rPr>
            <w:webHidden/>
          </w:rPr>
          <w:t>273</w:t>
        </w:r>
        <w:r w:rsidR="00342921">
          <w:rPr>
            <w:webHidden/>
          </w:rPr>
          <w:fldChar w:fldCharType="end"/>
        </w:r>
      </w:hyperlink>
    </w:p>
    <w:p w14:paraId="2BD22DA0" w14:textId="5AB972E4" w:rsidR="00342921" w:rsidRDefault="009C595A">
      <w:pPr>
        <w:pStyle w:val="Spisilustracji"/>
        <w:rPr>
          <w:rFonts w:asciiTheme="minorHAnsi" w:eastAsiaTheme="minorEastAsia" w:hAnsiTheme="minorHAnsi" w:cstheme="minorBidi"/>
          <w:sz w:val="22"/>
          <w:lang w:eastAsia="pl-PL"/>
        </w:rPr>
      </w:pPr>
      <w:hyperlink w:anchor="_Toc105513026" w:history="1">
        <w:r w:rsidR="00342921" w:rsidRPr="00D32504">
          <w:rPr>
            <w:rStyle w:val="Hipercze"/>
          </w:rPr>
          <w:t>Wykres 12</w:t>
        </w:r>
        <w:r w:rsidR="00342921" w:rsidRPr="00D32504">
          <w:rPr>
            <w:rStyle w:val="Hipercze"/>
          </w:rPr>
          <w:noBreakHyphen/>
          <w:t>17.</w:t>
        </w:r>
        <w:r w:rsidR="00342921">
          <w:rPr>
            <w:rFonts w:asciiTheme="minorHAnsi" w:eastAsiaTheme="minorEastAsia" w:hAnsiTheme="minorHAnsi" w:cstheme="minorBidi"/>
            <w:sz w:val="22"/>
            <w:lang w:eastAsia="pl-PL"/>
          </w:rPr>
          <w:tab/>
        </w:r>
        <w:r w:rsidR="00342921" w:rsidRPr="00D32504">
          <w:rPr>
            <w:rStyle w:val="Hipercze"/>
          </w:rPr>
          <w:t>Udział działań podstawowych oraz uzupełniających w katalogu działań JCWPd</w:t>
        </w:r>
        <w:r w:rsidR="00342921">
          <w:rPr>
            <w:webHidden/>
          </w:rPr>
          <w:tab/>
        </w:r>
        <w:r w:rsidR="00342921">
          <w:rPr>
            <w:webHidden/>
          </w:rPr>
          <w:fldChar w:fldCharType="begin"/>
        </w:r>
        <w:r w:rsidR="00342921">
          <w:rPr>
            <w:webHidden/>
          </w:rPr>
          <w:instrText xml:space="preserve"> PAGEREF _Toc105513026 \h </w:instrText>
        </w:r>
        <w:r w:rsidR="00342921">
          <w:rPr>
            <w:webHidden/>
          </w:rPr>
        </w:r>
        <w:r w:rsidR="00342921">
          <w:rPr>
            <w:webHidden/>
          </w:rPr>
          <w:fldChar w:fldCharType="separate"/>
        </w:r>
        <w:r w:rsidR="001F774D">
          <w:rPr>
            <w:webHidden/>
          </w:rPr>
          <w:t>273</w:t>
        </w:r>
        <w:r w:rsidR="00342921">
          <w:rPr>
            <w:webHidden/>
          </w:rPr>
          <w:fldChar w:fldCharType="end"/>
        </w:r>
      </w:hyperlink>
    </w:p>
    <w:p w14:paraId="392D20C0" w14:textId="3A5F04DF" w:rsidR="00342921" w:rsidRDefault="009C595A">
      <w:pPr>
        <w:pStyle w:val="Spisilustracji"/>
        <w:rPr>
          <w:rFonts w:asciiTheme="minorHAnsi" w:eastAsiaTheme="minorEastAsia" w:hAnsiTheme="minorHAnsi" w:cstheme="minorBidi"/>
          <w:sz w:val="22"/>
          <w:lang w:eastAsia="pl-PL"/>
        </w:rPr>
      </w:pPr>
      <w:hyperlink w:anchor="_Toc105513027" w:history="1">
        <w:r w:rsidR="00342921" w:rsidRPr="00D32504">
          <w:rPr>
            <w:rStyle w:val="Hipercze"/>
          </w:rPr>
          <w:t>Wykres 12</w:t>
        </w:r>
        <w:r w:rsidR="00342921" w:rsidRPr="00D32504">
          <w:rPr>
            <w:rStyle w:val="Hipercze"/>
          </w:rPr>
          <w:noBreakHyphen/>
          <w:t>18.</w:t>
        </w:r>
        <w:r w:rsidR="00342921">
          <w:rPr>
            <w:rFonts w:asciiTheme="minorHAnsi" w:eastAsiaTheme="minorEastAsia" w:hAnsiTheme="minorHAnsi" w:cstheme="minorBidi"/>
            <w:sz w:val="22"/>
            <w:lang w:eastAsia="pl-PL"/>
          </w:rPr>
          <w:tab/>
        </w:r>
        <w:r w:rsidR="00342921" w:rsidRPr="00D32504">
          <w:rPr>
            <w:rStyle w:val="Hipercze"/>
          </w:rPr>
          <w:t>Udział działań dla JCWPd w poszczególnych grupach</w:t>
        </w:r>
        <w:r w:rsidR="00342921">
          <w:rPr>
            <w:webHidden/>
          </w:rPr>
          <w:tab/>
        </w:r>
        <w:r w:rsidR="00342921">
          <w:rPr>
            <w:webHidden/>
          </w:rPr>
          <w:fldChar w:fldCharType="begin"/>
        </w:r>
        <w:r w:rsidR="00342921">
          <w:rPr>
            <w:webHidden/>
          </w:rPr>
          <w:instrText xml:space="preserve"> PAGEREF _Toc105513027 \h </w:instrText>
        </w:r>
        <w:r w:rsidR="00342921">
          <w:rPr>
            <w:webHidden/>
          </w:rPr>
        </w:r>
        <w:r w:rsidR="00342921">
          <w:rPr>
            <w:webHidden/>
          </w:rPr>
          <w:fldChar w:fldCharType="separate"/>
        </w:r>
        <w:r w:rsidR="001F774D">
          <w:rPr>
            <w:webHidden/>
          </w:rPr>
          <w:t>274</w:t>
        </w:r>
        <w:r w:rsidR="00342921">
          <w:rPr>
            <w:webHidden/>
          </w:rPr>
          <w:fldChar w:fldCharType="end"/>
        </w:r>
      </w:hyperlink>
    </w:p>
    <w:p w14:paraId="134E467C" w14:textId="1E36DD3D" w:rsidR="00342921" w:rsidRDefault="009C595A">
      <w:pPr>
        <w:pStyle w:val="Spisilustracji"/>
        <w:rPr>
          <w:rFonts w:asciiTheme="minorHAnsi" w:eastAsiaTheme="minorEastAsia" w:hAnsiTheme="minorHAnsi" w:cstheme="minorBidi"/>
          <w:sz w:val="22"/>
          <w:lang w:eastAsia="pl-PL"/>
        </w:rPr>
      </w:pPr>
      <w:hyperlink w:anchor="_Toc105513028" w:history="1">
        <w:r w:rsidR="00342921" w:rsidRPr="00D32504">
          <w:rPr>
            <w:rStyle w:val="Hipercze"/>
          </w:rPr>
          <w:t>Wykres 12</w:t>
        </w:r>
        <w:r w:rsidR="00342921" w:rsidRPr="00D32504">
          <w:rPr>
            <w:rStyle w:val="Hipercze"/>
          </w:rPr>
          <w:noBreakHyphen/>
          <w:t>19.</w:t>
        </w:r>
        <w:r w:rsidR="00342921">
          <w:rPr>
            <w:rFonts w:asciiTheme="minorHAnsi" w:eastAsiaTheme="minorEastAsia" w:hAnsiTheme="minorHAnsi" w:cstheme="minorBidi"/>
            <w:sz w:val="22"/>
            <w:lang w:eastAsia="pl-PL"/>
          </w:rPr>
          <w:tab/>
        </w:r>
        <w:r w:rsidR="00342921" w:rsidRPr="00D32504">
          <w:rPr>
            <w:rStyle w:val="Hipercze"/>
          </w:rPr>
          <w:t>Udział działań ukierunkowanych na redukcję poszczególnych rodzajów presji</w:t>
        </w:r>
        <w:r w:rsidR="00342921">
          <w:rPr>
            <w:webHidden/>
          </w:rPr>
          <w:tab/>
        </w:r>
        <w:r w:rsidR="00342921">
          <w:rPr>
            <w:webHidden/>
          </w:rPr>
          <w:fldChar w:fldCharType="begin"/>
        </w:r>
        <w:r w:rsidR="00342921">
          <w:rPr>
            <w:webHidden/>
          </w:rPr>
          <w:instrText xml:space="preserve"> PAGEREF _Toc105513028 \h </w:instrText>
        </w:r>
        <w:r w:rsidR="00342921">
          <w:rPr>
            <w:webHidden/>
          </w:rPr>
        </w:r>
        <w:r w:rsidR="00342921">
          <w:rPr>
            <w:webHidden/>
          </w:rPr>
          <w:fldChar w:fldCharType="separate"/>
        </w:r>
        <w:r w:rsidR="001F774D">
          <w:rPr>
            <w:webHidden/>
          </w:rPr>
          <w:t>275</w:t>
        </w:r>
        <w:r w:rsidR="00342921">
          <w:rPr>
            <w:webHidden/>
          </w:rPr>
          <w:fldChar w:fldCharType="end"/>
        </w:r>
      </w:hyperlink>
    </w:p>
    <w:p w14:paraId="3CF2C9A1" w14:textId="4A8FA6EA" w:rsidR="00342921" w:rsidRDefault="009C595A">
      <w:pPr>
        <w:pStyle w:val="Spisilustracji"/>
        <w:rPr>
          <w:rFonts w:asciiTheme="minorHAnsi" w:eastAsiaTheme="minorEastAsia" w:hAnsiTheme="minorHAnsi" w:cstheme="minorBidi"/>
          <w:sz w:val="22"/>
          <w:lang w:eastAsia="pl-PL"/>
        </w:rPr>
      </w:pPr>
      <w:hyperlink w:anchor="_Toc105513029" w:history="1">
        <w:r w:rsidR="00342921" w:rsidRPr="00D32504">
          <w:rPr>
            <w:rStyle w:val="Hipercze"/>
          </w:rPr>
          <w:t>Wykres 12</w:t>
        </w:r>
        <w:r w:rsidR="00342921" w:rsidRPr="00D32504">
          <w:rPr>
            <w:rStyle w:val="Hipercze"/>
          </w:rPr>
          <w:noBreakHyphen/>
          <w:t>20.</w:t>
        </w:r>
        <w:r w:rsidR="00342921">
          <w:rPr>
            <w:rFonts w:asciiTheme="minorHAnsi" w:eastAsiaTheme="minorEastAsia" w:hAnsiTheme="minorHAnsi" w:cstheme="minorBidi"/>
            <w:sz w:val="22"/>
            <w:lang w:eastAsia="pl-PL"/>
          </w:rPr>
          <w:tab/>
        </w:r>
        <w:r w:rsidR="00342921" w:rsidRPr="00D32504">
          <w:rPr>
            <w:rStyle w:val="Hipercze"/>
          </w:rPr>
          <w:t>Udział JCWP RW z przypisanymi zestawami działań w regionach wodnych obszaru dorzecza Odry</w:t>
        </w:r>
        <w:r w:rsidR="00342921">
          <w:rPr>
            <w:webHidden/>
          </w:rPr>
          <w:tab/>
        </w:r>
        <w:r w:rsidR="00342921">
          <w:rPr>
            <w:webHidden/>
          </w:rPr>
          <w:fldChar w:fldCharType="begin"/>
        </w:r>
        <w:r w:rsidR="00342921">
          <w:rPr>
            <w:webHidden/>
          </w:rPr>
          <w:instrText xml:space="preserve"> PAGEREF _Toc105513029 \h </w:instrText>
        </w:r>
        <w:r w:rsidR="00342921">
          <w:rPr>
            <w:webHidden/>
          </w:rPr>
        </w:r>
        <w:r w:rsidR="00342921">
          <w:rPr>
            <w:webHidden/>
          </w:rPr>
          <w:fldChar w:fldCharType="separate"/>
        </w:r>
        <w:r w:rsidR="001F774D">
          <w:rPr>
            <w:webHidden/>
          </w:rPr>
          <w:t>279</w:t>
        </w:r>
        <w:r w:rsidR="00342921">
          <w:rPr>
            <w:webHidden/>
          </w:rPr>
          <w:fldChar w:fldCharType="end"/>
        </w:r>
      </w:hyperlink>
    </w:p>
    <w:p w14:paraId="492E0360" w14:textId="23FAB299" w:rsidR="00342921" w:rsidRDefault="009C595A">
      <w:pPr>
        <w:pStyle w:val="Spisilustracji"/>
        <w:rPr>
          <w:rFonts w:asciiTheme="minorHAnsi" w:eastAsiaTheme="minorEastAsia" w:hAnsiTheme="minorHAnsi" w:cstheme="minorBidi"/>
          <w:sz w:val="22"/>
          <w:lang w:eastAsia="pl-PL"/>
        </w:rPr>
      </w:pPr>
      <w:hyperlink w:anchor="_Toc105513030" w:history="1">
        <w:r w:rsidR="00342921" w:rsidRPr="00D32504">
          <w:rPr>
            <w:rStyle w:val="Hipercze"/>
          </w:rPr>
          <w:t>Wykres 12</w:t>
        </w:r>
        <w:r w:rsidR="00342921" w:rsidRPr="00D32504">
          <w:rPr>
            <w:rStyle w:val="Hipercze"/>
          </w:rPr>
          <w:noBreakHyphen/>
          <w:t>21.</w:t>
        </w:r>
        <w:r w:rsidR="00342921">
          <w:rPr>
            <w:rFonts w:asciiTheme="minorHAnsi" w:eastAsiaTheme="minorEastAsia" w:hAnsiTheme="minorHAnsi" w:cstheme="minorBidi"/>
            <w:sz w:val="22"/>
            <w:lang w:eastAsia="pl-PL"/>
          </w:rPr>
          <w:tab/>
        </w:r>
        <w:r w:rsidR="00342921" w:rsidRPr="00D32504">
          <w:rPr>
            <w:rStyle w:val="Hipercze"/>
          </w:rPr>
          <w:t>Podział działań w zestawie dla JCWP RW dla obszaru dorzecza Odry</w:t>
        </w:r>
        <w:r w:rsidR="00342921">
          <w:rPr>
            <w:webHidden/>
          </w:rPr>
          <w:tab/>
        </w:r>
        <w:r w:rsidR="00342921">
          <w:rPr>
            <w:webHidden/>
          </w:rPr>
          <w:fldChar w:fldCharType="begin"/>
        </w:r>
        <w:r w:rsidR="00342921">
          <w:rPr>
            <w:webHidden/>
          </w:rPr>
          <w:instrText xml:space="preserve"> PAGEREF _Toc105513030 \h </w:instrText>
        </w:r>
        <w:r w:rsidR="00342921">
          <w:rPr>
            <w:webHidden/>
          </w:rPr>
        </w:r>
        <w:r w:rsidR="00342921">
          <w:rPr>
            <w:webHidden/>
          </w:rPr>
          <w:fldChar w:fldCharType="separate"/>
        </w:r>
        <w:r w:rsidR="001F774D">
          <w:rPr>
            <w:webHidden/>
          </w:rPr>
          <w:t>280</w:t>
        </w:r>
        <w:r w:rsidR="00342921">
          <w:rPr>
            <w:webHidden/>
          </w:rPr>
          <w:fldChar w:fldCharType="end"/>
        </w:r>
      </w:hyperlink>
    </w:p>
    <w:p w14:paraId="05444435" w14:textId="2FE9FC6C" w:rsidR="00342921" w:rsidRDefault="009C595A">
      <w:pPr>
        <w:pStyle w:val="Spisilustracji"/>
        <w:rPr>
          <w:rFonts w:asciiTheme="minorHAnsi" w:eastAsiaTheme="minorEastAsia" w:hAnsiTheme="minorHAnsi" w:cstheme="minorBidi"/>
          <w:sz w:val="22"/>
          <w:lang w:eastAsia="pl-PL"/>
        </w:rPr>
      </w:pPr>
      <w:hyperlink w:anchor="_Toc105513031" w:history="1">
        <w:r w:rsidR="00342921" w:rsidRPr="00D32504">
          <w:rPr>
            <w:rStyle w:val="Hipercze"/>
          </w:rPr>
          <w:t>Wykres 12</w:t>
        </w:r>
        <w:r w:rsidR="00342921" w:rsidRPr="00D32504">
          <w:rPr>
            <w:rStyle w:val="Hipercze"/>
          </w:rPr>
          <w:noBreakHyphen/>
          <w:t>22.</w:t>
        </w:r>
        <w:r w:rsidR="00342921">
          <w:rPr>
            <w:rFonts w:asciiTheme="minorHAnsi" w:eastAsiaTheme="minorEastAsia" w:hAnsiTheme="minorHAnsi" w:cstheme="minorBidi"/>
            <w:sz w:val="22"/>
            <w:lang w:eastAsia="pl-PL"/>
          </w:rPr>
          <w:tab/>
        </w:r>
        <w:r w:rsidR="00342921" w:rsidRPr="00D32504">
          <w:rPr>
            <w:rStyle w:val="Hipercze"/>
          </w:rPr>
          <w:t>Udział JCWP RWr z przypisanymi zestawami działań w regionach wodnych obszaru dorzecza Odry</w:t>
        </w:r>
        <w:r w:rsidR="00342921">
          <w:rPr>
            <w:webHidden/>
          </w:rPr>
          <w:tab/>
        </w:r>
        <w:r w:rsidR="00342921">
          <w:rPr>
            <w:webHidden/>
          </w:rPr>
          <w:fldChar w:fldCharType="begin"/>
        </w:r>
        <w:r w:rsidR="00342921">
          <w:rPr>
            <w:webHidden/>
          </w:rPr>
          <w:instrText xml:space="preserve"> PAGEREF _Toc105513031 \h </w:instrText>
        </w:r>
        <w:r w:rsidR="00342921">
          <w:rPr>
            <w:webHidden/>
          </w:rPr>
        </w:r>
        <w:r w:rsidR="00342921">
          <w:rPr>
            <w:webHidden/>
          </w:rPr>
          <w:fldChar w:fldCharType="separate"/>
        </w:r>
        <w:r w:rsidR="001F774D">
          <w:rPr>
            <w:webHidden/>
          </w:rPr>
          <w:t>283</w:t>
        </w:r>
        <w:r w:rsidR="00342921">
          <w:rPr>
            <w:webHidden/>
          </w:rPr>
          <w:fldChar w:fldCharType="end"/>
        </w:r>
      </w:hyperlink>
    </w:p>
    <w:p w14:paraId="26F95FED" w14:textId="1C4214E7" w:rsidR="00342921" w:rsidRDefault="009C595A">
      <w:pPr>
        <w:pStyle w:val="Spisilustracji"/>
        <w:rPr>
          <w:rFonts w:asciiTheme="minorHAnsi" w:eastAsiaTheme="minorEastAsia" w:hAnsiTheme="minorHAnsi" w:cstheme="minorBidi"/>
          <w:sz w:val="22"/>
          <w:lang w:eastAsia="pl-PL"/>
        </w:rPr>
      </w:pPr>
      <w:hyperlink w:anchor="_Toc105513032" w:history="1">
        <w:r w:rsidR="00342921" w:rsidRPr="00D32504">
          <w:rPr>
            <w:rStyle w:val="Hipercze"/>
          </w:rPr>
          <w:t>Wykres 12</w:t>
        </w:r>
        <w:r w:rsidR="00342921" w:rsidRPr="00D32504">
          <w:rPr>
            <w:rStyle w:val="Hipercze"/>
          </w:rPr>
          <w:noBreakHyphen/>
          <w:t>23.</w:t>
        </w:r>
        <w:r w:rsidR="00342921">
          <w:rPr>
            <w:rFonts w:asciiTheme="minorHAnsi" w:eastAsiaTheme="minorEastAsia" w:hAnsiTheme="minorHAnsi" w:cstheme="minorBidi"/>
            <w:sz w:val="22"/>
            <w:lang w:eastAsia="pl-PL"/>
          </w:rPr>
          <w:tab/>
        </w:r>
        <w:r w:rsidR="00342921" w:rsidRPr="00D32504">
          <w:rPr>
            <w:rStyle w:val="Hipercze"/>
          </w:rPr>
          <w:t>Podział działań w zestawie dla JCWP RWr dla obszaru dorzecza Odry</w:t>
        </w:r>
        <w:r w:rsidR="00342921">
          <w:rPr>
            <w:webHidden/>
          </w:rPr>
          <w:tab/>
        </w:r>
        <w:r w:rsidR="00342921">
          <w:rPr>
            <w:webHidden/>
          </w:rPr>
          <w:fldChar w:fldCharType="begin"/>
        </w:r>
        <w:r w:rsidR="00342921">
          <w:rPr>
            <w:webHidden/>
          </w:rPr>
          <w:instrText xml:space="preserve"> PAGEREF _Toc105513032 \h </w:instrText>
        </w:r>
        <w:r w:rsidR="00342921">
          <w:rPr>
            <w:webHidden/>
          </w:rPr>
        </w:r>
        <w:r w:rsidR="00342921">
          <w:rPr>
            <w:webHidden/>
          </w:rPr>
          <w:fldChar w:fldCharType="separate"/>
        </w:r>
        <w:r w:rsidR="001F774D">
          <w:rPr>
            <w:webHidden/>
          </w:rPr>
          <w:t>283</w:t>
        </w:r>
        <w:r w:rsidR="00342921">
          <w:rPr>
            <w:webHidden/>
          </w:rPr>
          <w:fldChar w:fldCharType="end"/>
        </w:r>
      </w:hyperlink>
    </w:p>
    <w:p w14:paraId="47E1C331" w14:textId="67D4EEDE" w:rsidR="00342921" w:rsidRDefault="009C595A">
      <w:pPr>
        <w:pStyle w:val="Spisilustracji"/>
        <w:rPr>
          <w:rFonts w:asciiTheme="minorHAnsi" w:eastAsiaTheme="minorEastAsia" w:hAnsiTheme="minorHAnsi" w:cstheme="minorBidi"/>
          <w:sz w:val="22"/>
          <w:lang w:eastAsia="pl-PL"/>
        </w:rPr>
      </w:pPr>
      <w:hyperlink w:anchor="_Toc105513033" w:history="1">
        <w:r w:rsidR="00342921" w:rsidRPr="00D32504">
          <w:rPr>
            <w:rStyle w:val="Hipercze"/>
          </w:rPr>
          <w:t>Wykres 12</w:t>
        </w:r>
        <w:r w:rsidR="00342921" w:rsidRPr="00D32504">
          <w:rPr>
            <w:rStyle w:val="Hipercze"/>
          </w:rPr>
          <w:noBreakHyphen/>
          <w:t>24.</w:t>
        </w:r>
        <w:r w:rsidR="00342921">
          <w:rPr>
            <w:rFonts w:asciiTheme="minorHAnsi" w:eastAsiaTheme="minorEastAsia" w:hAnsiTheme="minorHAnsi" w:cstheme="minorBidi"/>
            <w:sz w:val="22"/>
            <w:lang w:eastAsia="pl-PL"/>
          </w:rPr>
          <w:tab/>
        </w:r>
        <w:r w:rsidR="00342921" w:rsidRPr="00D32504">
          <w:rPr>
            <w:rStyle w:val="Hipercze"/>
          </w:rPr>
          <w:t>Udział JCWP LW z przypisanymi zestawami działań w regionach wodnych obszaru dorzecza</w:t>
        </w:r>
        <w:r w:rsidR="00342921">
          <w:rPr>
            <w:webHidden/>
          </w:rPr>
          <w:tab/>
        </w:r>
        <w:r w:rsidR="00342921">
          <w:rPr>
            <w:webHidden/>
          </w:rPr>
          <w:fldChar w:fldCharType="begin"/>
        </w:r>
        <w:r w:rsidR="00342921">
          <w:rPr>
            <w:webHidden/>
          </w:rPr>
          <w:instrText xml:space="preserve"> PAGEREF _Toc105513033 \h </w:instrText>
        </w:r>
        <w:r w:rsidR="00342921">
          <w:rPr>
            <w:webHidden/>
          </w:rPr>
        </w:r>
        <w:r w:rsidR="00342921">
          <w:rPr>
            <w:webHidden/>
          </w:rPr>
          <w:fldChar w:fldCharType="separate"/>
        </w:r>
        <w:r w:rsidR="001F774D">
          <w:rPr>
            <w:webHidden/>
          </w:rPr>
          <w:t>285</w:t>
        </w:r>
        <w:r w:rsidR="00342921">
          <w:rPr>
            <w:webHidden/>
          </w:rPr>
          <w:fldChar w:fldCharType="end"/>
        </w:r>
      </w:hyperlink>
    </w:p>
    <w:p w14:paraId="3B09FC34" w14:textId="4F53B981" w:rsidR="00342921" w:rsidRDefault="009C595A">
      <w:pPr>
        <w:pStyle w:val="Spisilustracji"/>
        <w:rPr>
          <w:rFonts w:asciiTheme="minorHAnsi" w:eastAsiaTheme="minorEastAsia" w:hAnsiTheme="minorHAnsi" w:cstheme="minorBidi"/>
          <w:sz w:val="22"/>
          <w:lang w:eastAsia="pl-PL"/>
        </w:rPr>
      </w:pPr>
      <w:hyperlink w:anchor="_Toc105513034" w:history="1">
        <w:r w:rsidR="00342921" w:rsidRPr="00D32504">
          <w:rPr>
            <w:rStyle w:val="Hipercze"/>
          </w:rPr>
          <w:t>Wykres 12</w:t>
        </w:r>
        <w:r w:rsidR="00342921" w:rsidRPr="00D32504">
          <w:rPr>
            <w:rStyle w:val="Hipercze"/>
          </w:rPr>
          <w:noBreakHyphen/>
          <w:t>25.</w:t>
        </w:r>
        <w:r w:rsidR="00342921">
          <w:rPr>
            <w:rFonts w:asciiTheme="minorHAnsi" w:eastAsiaTheme="minorEastAsia" w:hAnsiTheme="minorHAnsi" w:cstheme="minorBidi"/>
            <w:sz w:val="22"/>
            <w:lang w:eastAsia="pl-PL"/>
          </w:rPr>
          <w:tab/>
        </w:r>
        <w:r w:rsidR="00342921" w:rsidRPr="00D32504">
          <w:rPr>
            <w:rStyle w:val="Hipercze"/>
          </w:rPr>
          <w:t>Podział działań w zestawie dla JCWP LW dla obszaru dorzecza Odry</w:t>
        </w:r>
        <w:r w:rsidR="00342921">
          <w:rPr>
            <w:webHidden/>
          </w:rPr>
          <w:tab/>
        </w:r>
        <w:r w:rsidR="00342921">
          <w:rPr>
            <w:webHidden/>
          </w:rPr>
          <w:fldChar w:fldCharType="begin"/>
        </w:r>
        <w:r w:rsidR="00342921">
          <w:rPr>
            <w:webHidden/>
          </w:rPr>
          <w:instrText xml:space="preserve"> PAGEREF _Toc105513034 \h </w:instrText>
        </w:r>
        <w:r w:rsidR="00342921">
          <w:rPr>
            <w:webHidden/>
          </w:rPr>
        </w:r>
        <w:r w:rsidR="00342921">
          <w:rPr>
            <w:webHidden/>
          </w:rPr>
          <w:fldChar w:fldCharType="separate"/>
        </w:r>
        <w:r w:rsidR="001F774D">
          <w:rPr>
            <w:webHidden/>
          </w:rPr>
          <w:t>286</w:t>
        </w:r>
        <w:r w:rsidR="00342921">
          <w:rPr>
            <w:webHidden/>
          </w:rPr>
          <w:fldChar w:fldCharType="end"/>
        </w:r>
      </w:hyperlink>
    </w:p>
    <w:p w14:paraId="091D22B9" w14:textId="5452E4E4" w:rsidR="00342921" w:rsidRDefault="009C595A">
      <w:pPr>
        <w:pStyle w:val="Spisilustracji"/>
        <w:rPr>
          <w:rFonts w:asciiTheme="minorHAnsi" w:eastAsiaTheme="minorEastAsia" w:hAnsiTheme="minorHAnsi" w:cstheme="minorBidi"/>
          <w:sz w:val="22"/>
          <w:lang w:eastAsia="pl-PL"/>
        </w:rPr>
      </w:pPr>
      <w:hyperlink w:anchor="_Toc105513035" w:history="1">
        <w:r w:rsidR="00342921" w:rsidRPr="00D32504">
          <w:rPr>
            <w:rStyle w:val="Hipercze"/>
          </w:rPr>
          <w:t>Wykres 12</w:t>
        </w:r>
        <w:r w:rsidR="00342921" w:rsidRPr="00D32504">
          <w:rPr>
            <w:rStyle w:val="Hipercze"/>
          </w:rPr>
          <w:noBreakHyphen/>
          <w:t>26.</w:t>
        </w:r>
        <w:r w:rsidR="00342921">
          <w:rPr>
            <w:rFonts w:asciiTheme="minorHAnsi" w:eastAsiaTheme="minorEastAsia" w:hAnsiTheme="minorHAnsi" w:cstheme="minorBidi"/>
            <w:sz w:val="22"/>
            <w:lang w:eastAsia="pl-PL"/>
          </w:rPr>
          <w:tab/>
        </w:r>
        <w:r w:rsidR="00342921" w:rsidRPr="00D32504">
          <w:rPr>
            <w:rStyle w:val="Hipercze"/>
          </w:rPr>
          <w:t>Podział działań w zestawie dla JCWP TW i CW dla obszaru dorzecza Odry</w:t>
        </w:r>
        <w:r w:rsidR="00342921">
          <w:rPr>
            <w:webHidden/>
          </w:rPr>
          <w:tab/>
        </w:r>
        <w:r w:rsidR="00342921">
          <w:rPr>
            <w:webHidden/>
          </w:rPr>
          <w:fldChar w:fldCharType="begin"/>
        </w:r>
        <w:r w:rsidR="00342921">
          <w:rPr>
            <w:webHidden/>
          </w:rPr>
          <w:instrText xml:space="preserve"> PAGEREF _Toc105513035 \h </w:instrText>
        </w:r>
        <w:r w:rsidR="00342921">
          <w:rPr>
            <w:webHidden/>
          </w:rPr>
        </w:r>
        <w:r w:rsidR="00342921">
          <w:rPr>
            <w:webHidden/>
          </w:rPr>
          <w:fldChar w:fldCharType="separate"/>
        </w:r>
        <w:r w:rsidR="001F774D">
          <w:rPr>
            <w:webHidden/>
          </w:rPr>
          <w:t>288</w:t>
        </w:r>
        <w:r w:rsidR="00342921">
          <w:rPr>
            <w:webHidden/>
          </w:rPr>
          <w:fldChar w:fldCharType="end"/>
        </w:r>
      </w:hyperlink>
    </w:p>
    <w:p w14:paraId="3DC9BFCA" w14:textId="335C89B5" w:rsidR="00342921" w:rsidRDefault="009C595A">
      <w:pPr>
        <w:pStyle w:val="Spisilustracji"/>
        <w:rPr>
          <w:rFonts w:asciiTheme="minorHAnsi" w:eastAsiaTheme="minorEastAsia" w:hAnsiTheme="minorHAnsi" w:cstheme="minorBidi"/>
          <w:sz w:val="22"/>
          <w:lang w:eastAsia="pl-PL"/>
        </w:rPr>
      </w:pPr>
      <w:hyperlink w:anchor="_Toc105513036" w:history="1">
        <w:r w:rsidR="00342921" w:rsidRPr="00D32504">
          <w:rPr>
            <w:rStyle w:val="Hipercze"/>
          </w:rPr>
          <w:t>Wykres 12</w:t>
        </w:r>
        <w:r w:rsidR="00342921" w:rsidRPr="00D32504">
          <w:rPr>
            <w:rStyle w:val="Hipercze"/>
          </w:rPr>
          <w:noBreakHyphen/>
          <w:t>27.</w:t>
        </w:r>
        <w:r w:rsidR="00342921">
          <w:rPr>
            <w:rFonts w:asciiTheme="minorHAnsi" w:eastAsiaTheme="minorEastAsia" w:hAnsiTheme="minorHAnsi" w:cstheme="minorBidi"/>
            <w:sz w:val="22"/>
            <w:lang w:eastAsia="pl-PL"/>
          </w:rPr>
          <w:tab/>
        </w:r>
        <w:r w:rsidR="00342921" w:rsidRPr="00D32504">
          <w:rPr>
            <w:rStyle w:val="Hipercze"/>
          </w:rPr>
          <w:t>Udział JCWPd z przypisanymi zestawami działań w regionach wodnych obszaru dorzecza Odry (część JCWPd położone jest na obszarze dwóch regionów wodnych)</w:t>
        </w:r>
        <w:r w:rsidR="00342921">
          <w:rPr>
            <w:webHidden/>
          </w:rPr>
          <w:tab/>
        </w:r>
        <w:r w:rsidR="00342921">
          <w:rPr>
            <w:webHidden/>
          </w:rPr>
          <w:fldChar w:fldCharType="begin"/>
        </w:r>
        <w:r w:rsidR="00342921">
          <w:rPr>
            <w:webHidden/>
          </w:rPr>
          <w:instrText xml:space="preserve"> PAGEREF _Toc105513036 \h </w:instrText>
        </w:r>
        <w:r w:rsidR="00342921">
          <w:rPr>
            <w:webHidden/>
          </w:rPr>
        </w:r>
        <w:r w:rsidR="00342921">
          <w:rPr>
            <w:webHidden/>
          </w:rPr>
          <w:fldChar w:fldCharType="separate"/>
        </w:r>
        <w:r w:rsidR="001F774D">
          <w:rPr>
            <w:webHidden/>
          </w:rPr>
          <w:t>290</w:t>
        </w:r>
        <w:r w:rsidR="00342921">
          <w:rPr>
            <w:webHidden/>
          </w:rPr>
          <w:fldChar w:fldCharType="end"/>
        </w:r>
      </w:hyperlink>
    </w:p>
    <w:p w14:paraId="7FCF8524" w14:textId="75F71C1B" w:rsidR="00342921" w:rsidRDefault="009C595A">
      <w:pPr>
        <w:pStyle w:val="Spisilustracji"/>
        <w:rPr>
          <w:rFonts w:asciiTheme="minorHAnsi" w:eastAsiaTheme="minorEastAsia" w:hAnsiTheme="minorHAnsi" w:cstheme="minorBidi"/>
          <w:sz w:val="22"/>
          <w:lang w:eastAsia="pl-PL"/>
        </w:rPr>
      </w:pPr>
      <w:hyperlink w:anchor="_Toc105513037" w:history="1">
        <w:r w:rsidR="00342921" w:rsidRPr="00D32504">
          <w:rPr>
            <w:rStyle w:val="Hipercze"/>
          </w:rPr>
          <w:t>Wykres 12</w:t>
        </w:r>
        <w:r w:rsidR="00342921" w:rsidRPr="00D32504">
          <w:rPr>
            <w:rStyle w:val="Hipercze"/>
          </w:rPr>
          <w:noBreakHyphen/>
          <w:t>28.</w:t>
        </w:r>
        <w:r w:rsidR="00342921">
          <w:rPr>
            <w:rFonts w:asciiTheme="minorHAnsi" w:eastAsiaTheme="minorEastAsia" w:hAnsiTheme="minorHAnsi" w:cstheme="minorBidi"/>
            <w:sz w:val="22"/>
            <w:lang w:eastAsia="pl-PL"/>
          </w:rPr>
          <w:tab/>
        </w:r>
        <w:r w:rsidR="00342921" w:rsidRPr="00D32504">
          <w:rPr>
            <w:rStyle w:val="Hipercze"/>
          </w:rPr>
          <w:t>Podział działań w zestawie dla JCWPd (GW) dla obszaru dorzecza Odry</w:t>
        </w:r>
        <w:r w:rsidR="00342921">
          <w:rPr>
            <w:webHidden/>
          </w:rPr>
          <w:tab/>
        </w:r>
        <w:r w:rsidR="00342921">
          <w:rPr>
            <w:webHidden/>
          </w:rPr>
          <w:fldChar w:fldCharType="begin"/>
        </w:r>
        <w:r w:rsidR="00342921">
          <w:rPr>
            <w:webHidden/>
          </w:rPr>
          <w:instrText xml:space="preserve"> PAGEREF _Toc105513037 \h </w:instrText>
        </w:r>
        <w:r w:rsidR="00342921">
          <w:rPr>
            <w:webHidden/>
          </w:rPr>
        </w:r>
        <w:r w:rsidR="00342921">
          <w:rPr>
            <w:webHidden/>
          </w:rPr>
          <w:fldChar w:fldCharType="separate"/>
        </w:r>
        <w:r w:rsidR="001F774D">
          <w:rPr>
            <w:webHidden/>
          </w:rPr>
          <w:t>291</w:t>
        </w:r>
        <w:r w:rsidR="00342921">
          <w:rPr>
            <w:webHidden/>
          </w:rPr>
          <w:fldChar w:fldCharType="end"/>
        </w:r>
      </w:hyperlink>
    </w:p>
    <w:p w14:paraId="5733B156" w14:textId="64D0DF5A" w:rsidR="00342921" w:rsidRDefault="009C595A">
      <w:pPr>
        <w:pStyle w:val="Spisilustracji"/>
        <w:rPr>
          <w:rFonts w:asciiTheme="minorHAnsi" w:eastAsiaTheme="minorEastAsia" w:hAnsiTheme="minorHAnsi" w:cstheme="minorBidi"/>
          <w:sz w:val="22"/>
          <w:lang w:eastAsia="pl-PL"/>
        </w:rPr>
      </w:pPr>
      <w:hyperlink w:anchor="_Toc105513038" w:history="1">
        <w:r w:rsidR="00342921" w:rsidRPr="00D32504">
          <w:rPr>
            <w:rStyle w:val="Hipercze"/>
          </w:rPr>
          <w:t>Wykres 13</w:t>
        </w:r>
        <w:r w:rsidR="00342921" w:rsidRPr="00D32504">
          <w:rPr>
            <w:rStyle w:val="Hipercze"/>
          </w:rPr>
          <w:noBreakHyphen/>
          <w:t>1.</w:t>
        </w:r>
        <w:r w:rsidR="00342921">
          <w:rPr>
            <w:rFonts w:asciiTheme="minorHAnsi" w:eastAsiaTheme="minorEastAsia" w:hAnsiTheme="minorHAnsi" w:cstheme="minorBidi"/>
            <w:sz w:val="22"/>
            <w:lang w:eastAsia="pl-PL"/>
          </w:rPr>
          <w:tab/>
        </w:r>
        <w:r w:rsidR="00342921" w:rsidRPr="00D32504">
          <w:rPr>
            <w:rStyle w:val="Hipercze"/>
          </w:rPr>
          <w:t>Stan realizacji działań z grupy dostęp do informacji</w:t>
        </w:r>
        <w:r w:rsidR="00342921">
          <w:rPr>
            <w:webHidden/>
          </w:rPr>
          <w:tab/>
        </w:r>
        <w:r w:rsidR="00342921">
          <w:rPr>
            <w:webHidden/>
          </w:rPr>
          <w:fldChar w:fldCharType="begin"/>
        </w:r>
        <w:r w:rsidR="00342921">
          <w:rPr>
            <w:webHidden/>
          </w:rPr>
          <w:instrText xml:space="preserve"> PAGEREF _Toc105513038 \h </w:instrText>
        </w:r>
        <w:r w:rsidR="00342921">
          <w:rPr>
            <w:webHidden/>
          </w:rPr>
        </w:r>
        <w:r w:rsidR="00342921">
          <w:rPr>
            <w:webHidden/>
          </w:rPr>
          <w:fldChar w:fldCharType="separate"/>
        </w:r>
        <w:r w:rsidR="001F774D">
          <w:rPr>
            <w:webHidden/>
          </w:rPr>
          <w:t>303</w:t>
        </w:r>
        <w:r w:rsidR="00342921">
          <w:rPr>
            <w:webHidden/>
          </w:rPr>
          <w:fldChar w:fldCharType="end"/>
        </w:r>
      </w:hyperlink>
    </w:p>
    <w:p w14:paraId="75270270" w14:textId="06793A04" w:rsidR="00342921" w:rsidRDefault="009C595A">
      <w:pPr>
        <w:pStyle w:val="Spisilustracji"/>
        <w:rPr>
          <w:rFonts w:asciiTheme="minorHAnsi" w:eastAsiaTheme="minorEastAsia" w:hAnsiTheme="minorHAnsi" w:cstheme="minorBidi"/>
          <w:sz w:val="22"/>
          <w:lang w:eastAsia="pl-PL"/>
        </w:rPr>
      </w:pPr>
      <w:hyperlink w:anchor="_Toc105513039" w:history="1">
        <w:r w:rsidR="00342921" w:rsidRPr="00D32504">
          <w:rPr>
            <w:rStyle w:val="Hipercze"/>
          </w:rPr>
          <w:t>Wykres 13</w:t>
        </w:r>
        <w:r w:rsidR="00342921" w:rsidRPr="00D32504">
          <w:rPr>
            <w:rStyle w:val="Hipercze"/>
          </w:rPr>
          <w:noBreakHyphen/>
          <w:t>2.</w:t>
        </w:r>
        <w:r w:rsidR="00342921">
          <w:rPr>
            <w:rFonts w:asciiTheme="minorHAnsi" w:eastAsiaTheme="minorEastAsia" w:hAnsiTheme="minorHAnsi" w:cstheme="minorBidi"/>
            <w:sz w:val="22"/>
            <w:lang w:eastAsia="pl-PL"/>
          </w:rPr>
          <w:tab/>
        </w:r>
        <w:r w:rsidR="00342921" w:rsidRPr="00D32504">
          <w:rPr>
            <w:rStyle w:val="Hipercze"/>
          </w:rPr>
          <w:t>Stan realizacji działań z grupy działania organizacyjno-prawne</w:t>
        </w:r>
        <w:r w:rsidR="00342921">
          <w:rPr>
            <w:webHidden/>
          </w:rPr>
          <w:tab/>
        </w:r>
        <w:r w:rsidR="00342921">
          <w:rPr>
            <w:webHidden/>
          </w:rPr>
          <w:fldChar w:fldCharType="begin"/>
        </w:r>
        <w:r w:rsidR="00342921">
          <w:rPr>
            <w:webHidden/>
          </w:rPr>
          <w:instrText xml:space="preserve"> PAGEREF _Toc105513039 \h </w:instrText>
        </w:r>
        <w:r w:rsidR="00342921">
          <w:rPr>
            <w:webHidden/>
          </w:rPr>
        </w:r>
        <w:r w:rsidR="00342921">
          <w:rPr>
            <w:webHidden/>
          </w:rPr>
          <w:fldChar w:fldCharType="separate"/>
        </w:r>
        <w:r w:rsidR="001F774D">
          <w:rPr>
            <w:webHidden/>
          </w:rPr>
          <w:t>304</w:t>
        </w:r>
        <w:r w:rsidR="00342921">
          <w:rPr>
            <w:webHidden/>
          </w:rPr>
          <w:fldChar w:fldCharType="end"/>
        </w:r>
      </w:hyperlink>
    </w:p>
    <w:p w14:paraId="7495667D" w14:textId="384B303C" w:rsidR="00342921" w:rsidRDefault="009C595A">
      <w:pPr>
        <w:pStyle w:val="Spisilustracji"/>
        <w:rPr>
          <w:rFonts w:asciiTheme="minorHAnsi" w:eastAsiaTheme="minorEastAsia" w:hAnsiTheme="minorHAnsi" w:cstheme="minorBidi"/>
          <w:sz w:val="22"/>
          <w:lang w:eastAsia="pl-PL"/>
        </w:rPr>
      </w:pPr>
      <w:hyperlink w:anchor="_Toc105513040" w:history="1">
        <w:r w:rsidR="00342921" w:rsidRPr="00D32504">
          <w:rPr>
            <w:rStyle w:val="Hipercze"/>
          </w:rPr>
          <w:t>Wykres 13</w:t>
        </w:r>
        <w:r w:rsidR="00342921" w:rsidRPr="00D32504">
          <w:rPr>
            <w:rStyle w:val="Hipercze"/>
          </w:rPr>
          <w:noBreakHyphen/>
          <w:t>3.</w:t>
        </w:r>
        <w:r w:rsidR="00342921">
          <w:rPr>
            <w:rFonts w:asciiTheme="minorHAnsi" w:eastAsiaTheme="minorEastAsia" w:hAnsiTheme="minorHAnsi" w:cstheme="minorBidi"/>
            <w:sz w:val="22"/>
            <w:lang w:eastAsia="pl-PL"/>
          </w:rPr>
          <w:tab/>
        </w:r>
        <w:r w:rsidR="00342921" w:rsidRPr="00D32504">
          <w:rPr>
            <w:rStyle w:val="Hipercze"/>
          </w:rPr>
          <w:t>Udział poszczególnych typów pozwoleń wodnoprawnych w ogólnej liczbie pozwoleń obowiązujących w okresie 2022–2027 na obszarze dorzecza Odry</w:t>
        </w:r>
        <w:r w:rsidR="00342921">
          <w:rPr>
            <w:webHidden/>
          </w:rPr>
          <w:tab/>
        </w:r>
        <w:r w:rsidR="00342921">
          <w:rPr>
            <w:webHidden/>
          </w:rPr>
          <w:fldChar w:fldCharType="begin"/>
        </w:r>
        <w:r w:rsidR="00342921">
          <w:rPr>
            <w:webHidden/>
          </w:rPr>
          <w:instrText xml:space="preserve"> PAGEREF _Toc105513040 \h </w:instrText>
        </w:r>
        <w:r w:rsidR="00342921">
          <w:rPr>
            <w:webHidden/>
          </w:rPr>
        </w:r>
        <w:r w:rsidR="00342921">
          <w:rPr>
            <w:webHidden/>
          </w:rPr>
          <w:fldChar w:fldCharType="separate"/>
        </w:r>
        <w:r w:rsidR="001F774D">
          <w:rPr>
            <w:webHidden/>
          </w:rPr>
          <w:t>312</w:t>
        </w:r>
        <w:r w:rsidR="00342921">
          <w:rPr>
            <w:webHidden/>
          </w:rPr>
          <w:fldChar w:fldCharType="end"/>
        </w:r>
      </w:hyperlink>
    </w:p>
    <w:p w14:paraId="2289C784" w14:textId="09369460" w:rsidR="00342921" w:rsidRDefault="009C595A">
      <w:pPr>
        <w:pStyle w:val="Spisilustracji"/>
        <w:rPr>
          <w:rFonts w:asciiTheme="minorHAnsi" w:eastAsiaTheme="minorEastAsia" w:hAnsiTheme="minorHAnsi" w:cstheme="minorBidi"/>
          <w:sz w:val="22"/>
          <w:lang w:eastAsia="pl-PL"/>
        </w:rPr>
      </w:pPr>
      <w:hyperlink w:anchor="_Toc105513041" w:history="1">
        <w:r w:rsidR="00342921" w:rsidRPr="00D32504">
          <w:rPr>
            <w:rStyle w:val="Hipercze"/>
          </w:rPr>
          <w:t>Wykres 13</w:t>
        </w:r>
        <w:r w:rsidR="00342921" w:rsidRPr="00D32504">
          <w:rPr>
            <w:rStyle w:val="Hipercze"/>
          </w:rPr>
          <w:noBreakHyphen/>
          <w:t>4.</w:t>
        </w:r>
        <w:r w:rsidR="00342921">
          <w:rPr>
            <w:rFonts w:asciiTheme="minorHAnsi" w:eastAsiaTheme="minorEastAsia" w:hAnsiTheme="minorHAnsi" w:cstheme="minorBidi"/>
            <w:sz w:val="22"/>
            <w:lang w:eastAsia="pl-PL"/>
          </w:rPr>
          <w:tab/>
        </w:r>
        <w:r w:rsidR="00342921" w:rsidRPr="00D32504">
          <w:rPr>
            <w:rStyle w:val="Hipercze"/>
          </w:rPr>
          <w:t>Udział poszczególnych rodzajów pozwoleń wodnoprawnych udzielonych w okresie 2018– 2019 na obszarze dorzecza Odry</w:t>
        </w:r>
        <w:r w:rsidR="00342921">
          <w:rPr>
            <w:webHidden/>
          </w:rPr>
          <w:tab/>
        </w:r>
        <w:r w:rsidR="00342921">
          <w:rPr>
            <w:webHidden/>
          </w:rPr>
          <w:fldChar w:fldCharType="begin"/>
        </w:r>
        <w:r w:rsidR="00342921">
          <w:rPr>
            <w:webHidden/>
          </w:rPr>
          <w:instrText xml:space="preserve"> PAGEREF _Toc105513041 \h </w:instrText>
        </w:r>
        <w:r w:rsidR="00342921">
          <w:rPr>
            <w:webHidden/>
          </w:rPr>
        </w:r>
        <w:r w:rsidR="00342921">
          <w:rPr>
            <w:webHidden/>
          </w:rPr>
          <w:fldChar w:fldCharType="separate"/>
        </w:r>
        <w:r w:rsidR="001F774D">
          <w:rPr>
            <w:webHidden/>
          </w:rPr>
          <w:t>313</w:t>
        </w:r>
        <w:r w:rsidR="00342921">
          <w:rPr>
            <w:webHidden/>
          </w:rPr>
          <w:fldChar w:fldCharType="end"/>
        </w:r>
      </w:hyperlink>
    </w:p>
    <w:p w14:paraId="1AB7E168" w14:textId="7EB2836E" w:rsidR="00342921" w:rsidRDefault="009C595A">
      <w:pPr>
        <w:pStyle w:val="Spisilustracji"/>
        <w:rPr>
          <w:rFonts w:asciiTheme="minorHAnsi" w:eastAsiaTheme="minorEastAsia" w:hAnsiTheme="minorHAnsi" w:cstheme="minorBidi"/>
          <w:sz w:val="22"/>
          <w:lang w:eastAsia="pl-PL"/>
        </w:rPr>
      </w:pPr>
      <w:hyperlink w:anchor="_Toc105513042" w:history="1">
        <w:r w:rsidR="00342921" w:rsidRPr="00D32504">
          <w:rPr>
            <w:rStyle w:val="Hipercze"/>
          </w:rPr>
          <w:t>Wykres 13</w:t>
        </w:r>
        <w:r w:rsidR="00342921" w:rsidRPr="00D32504">
          <w:rPr>
            <w:rStyle w:val="Hipercze"/>
          </w:rPr>
          <w:noBreakHyphen/>
          <w:t>5.</w:t>
        </w:r>
        <w:r w:rsidR="00342921">
          <w:rPr>
            <w:rFonts w:asciiTheme="minorHAnsi" w:eastAsiaTheme="minorEastAsia" w:hAnsiTheme="minorHAnsi" w:cstheme="minorBidi"/>
            <w:sz w:val="22"/>
            <w:lang w:eastAsia="pl-PL"/>
          </w:rPr>
          <w:tab/>
        </w:r>
        <w:r w:rsidR="00342921" w:rsidRPr="00D32504">
          <w:rPr>
            <w:rStyle w:val="Hipercze"/>
          </w:rPr>
          <w:t>Rodzaje udzielonych w okresie 2018–2019 pozwoleń wodnoprawnych w poszczególnych RZGW WP obszaru dorzecza Odry</w:t>
        </w:r>
        <w:r w:rsidR="00342921">
          <w:rPr>
            <w:webHidden/>
          </w:rPr>
          <w:tab/>
        </w:r>
        <w:r w:rsidR="00342921">
          <w:rPr>
            <w:webHidden/>
          </w:rPr>
          <w:fldChar w:fldCharType="begin"/>
        </w:r>
        <w:r w:rsidR="00342921">
          <w:rPr>
            <w:webHidden/>
          </w:rPr>
          <w:instrText xml:space="preserve"> PAGEREF _Toc105513042 \h </w:instrText>
        </w:r>
        <w:r w:rsidR="00342921">
          <w:rPr>
            <w:webHidden/>
          </w:rPr>
        </w:r>
        <w:r w:rsidR="00342921">
          <w:rPr>
            <w:webHidden/>
          </w:rPr>
          <w:fldChar w:fldCharType="separate"/>
        </w:r>
        <w:r w:rsidR="001F774D">
          <w:rPr>
            <w:webHidden/>
          </w:rPr>
          <w:t>314</w:t>
        </w:r>
        <w:r w:rsidR="00342921">
          <w:rPr>
            <w:webHidden/>
          </w:rPr>
          <w:fldChar w:fldCharType="end"/>
        </w:r>
      </w:hyperlink>
    </w:p>
    <w:p w14:paraId="1B4F0D14" w14:textId="3571BC57" w:rsidR="00342921" w:rsidRDefault="009C595A">
      <w:pPr>
        <w:pStyle w:val="Spisilustracji"/>
        <w:rPr>
          <w:rFonts w:asciiTheme="minorHAnsi" w:eastAsiaTheme="minorEastAsia" w:hAnsiTheme="minorHAnsi" w:cstheme="minorBidi"/>
          <w:sz w:val="22"/>
          <w:lang w:eastAsia="pl-PL"/>
        </w:rPr>
      </w:pPr>
      <w:hyperlink w:anchor="_Toc105513043" w:history="1">
        <w:r w:rsidR="00342921" w:rsidRPr="00D32504">
          <w:rPr>
            <w:rStyle w:val="Hipercze"/>
          </w:rPr>
          <w:t>Wykres 13</w:t>
        </w:r>
        <w:r w:rsidR="00342921" w:rsidRPr="00D32504">
          <w:rPr>
            <w:rStyle w:val="Hipercze"/>
          </w:rPr>
          <w:noBreakHyphen/>
          <w:t>6.</w:t>
        </w:r>
        <w:r w:rsidR="00342921">
          <w:rPr>
            <w:rFonts w:asciiTheme="minorHAnsi" w:eastAsiaTheme="minorEastAsia" w:hAnsiTheme="minorHAnsi" w:cstheme="minorBidi"/>
            <w:sz w:val="22"/>
            <w:lang w:eastAsia="pl-PL"/>
          </w:rPr>
          <w:tab/>
        </w:r>
        <w:r w:rsidR="00342921" w:rsidRPr="00D32504">
          <w:rPr>
            <w:rStyle w:val="Hipercze"/>
          </w:rPr>
          <w:t>Występowanie zdarzeń o znamionach poważnej awarii w okresie 2016–2019 na obszarze dorzecza Odry – według lokalizacji w województwach, z wyszczególnieniem zdarzeń stwarzających potencjalne zagrożenie dla wód</w:t>
        </w:r>
        <w:r w:rsidR="00342921">
          <w:rPr>
            <w:webHidden/>
          </w:rPr>
          <w:tab/>
        </w:r>
        <w:r w:rsidR="00342921">
          <w:rPr>
            <w:webHidden/>
          </w:rPr>
          <w:fldChar w:fldCharType="begin"/>
        </w:r>
        <w:r w:rsidR="00342921">
          <w:rPr>
            <w:webHidden/>
          </w:rPr>
          <w:instrText xml:space="preserve"> PAGEREF _Toc105513043 \h </w:instrText>
        </w:r>
        <w:r w:rsidR="00342921">
          <w:rPr>
            <w:webHidden/>
          </w:rPr>
        </w:r>
        <w:r w:rsidR="00342921">
          <w:rPr>
            <w:webHidden/>
          </w:rPr>
          <w:fldChar w:fldCharType="separate"/>
        </w:r>
        <w:r w:rsidR="001F774D">
          <w:rPr>
            <w:webHidden/>
          </w:rPr>
          <w:t>333</w:t>
        </w:r>
        <w:r w:rsidR="00342921">
          <w:rPr>
            <w:webHidden/>
          </w:rPr>
          <w:fldChar w:fldCharType="end"/>
        </w:r>
      </w:hyperlink>
    </w:p>
    <w:p w14:paraId="42B577E1" w14:textId="3E81A74B" w:rsidR="00342921" w:rsidRDefault="009C595A">
      <w:pPr>
        <w:pStyle w:val="Spisilustracji"/>
        <w:rPr>
          <w:rFonts w:asciiTheme="minorHAnsi" w:eastAsiaTheme="minorEastAsia" w:hAnsiTheme="minorHAnsi" w:cstheme="minorBidi"/>
          <w:sz w:val="22"/>
          <w:lang w:eastAsia="pl-PL"/>
        </w:rPr>
      </w:pPr>
      <w:hyperlink w:anchor="_Toc105513044" w:history="1">
        <w:r w:rsidR="00342921" w:rsidRPr="00D32504">
          <w:rPr>
            <w:rStyle w:val="Hipercze"/>
          </w:rPr>
          <w:t>Wykres 13</w:t>
        </w:r>
        <w:r w:rsidR="00342921" w:rsidRPr="00D32504">
          <w:rPr>
            <w:rStyle w:val="Hipercze"/>
          </w:rPr>
          <w:noBreakHyphen/>
          <w:t>7.</w:t>
        </w:r>
        <w:r w:rsidR="00342921">
          <w:rPr>
            <w:rFonts w:asciiTheme="minorHAnsi" w:eastAsiaTheme="minorEastAsia" w:hAnsiTheme="minorHAnsi" w:cstheme="minorBidi"/>
            <w:sz w:val="22"/>
            <w:lang w:eastAsia="pl-PL"/>
          </w:rPr>
          <w:tab/>
        </w:r>
        <w:r w:rsidR="00342921" w:rsidRPr="00D32504">
          <w:rPr>
            <w:rStyle w:val="Hipercze"/>
          </w:rPr>
          <w:t>Liczba wykonanych prac dla kategorii 1 - 3 według PUW, 2018 r.</w:t>
        </w:r>
        <w:r w:rsidR="00342921">
          <w:rPr>
            <w:webHidden/>
          </w:rPr>
          <w:tab/>
        </w:r>
        <w:r w:rsidR="00342921">
          <w:rPr>
            <w:webHidden/>
          </w:rPr>
          <w:fldChar w:fldCharType="begin"/>
        </w:r>
        <w:r w:rsidR="00342921">
          <w:rPr>
            <w:webHidden/>
          </w:rPr>
          <w:instrText xml:space="preserve"> PAGEREF _Toc105513044 \h </w:instrText>
        </w:r>
        <w:r w:rsidR="00342921">
          <w:rPr>
            <w:webHidden/>
          </w:rPr>
        </w:r>
        <w:r w:rsidR="00342921">
          <w:rPr>
            <w:webHidden/>
          </w:rPr>
          <w:fldChar w:fldCharType="separate"/>
        </w:r>
        <w:r w:rsidR="001F774D">
          <w:rPr>
            <w:webHidden/>
          </w:rPr>
          <w:t>343</w:t>
        </w:r>
        <w:r w:rsidR="00342921">
          <w:rPr>
            <w:webHidden/>
          </w:rPr>
          <w:fldChar w:fldCharType="end"/>
        </w:r>
      </w:hyperlink>
    </w:p>
    <w:p w14:paraId="46C4D4BF" w14:textId="1F14051E" w:rsidR="00342921" w:rsidRDefault="009C595A">
      <w:pPr>
        <w:pStyle w:val="Spisilustracji"/>
        <w:rPr>
          <w:rFonts w:asciiTheme="minorHAnsi" w:eastAsiaTheme="minorEastAsia" w:hAnsiTheme="minorHAnsi" w:cstheme="minorBidi"/>
          <w:sz w:val="22"/>
          <w:lang w:eastAsia="pl-PL"/>
        </w:rPr>
      </w:pPr>
      <w:hyperlink w:anchor="_Toc105513045" w:history="1">
        <w:r w:rsidR="00342921" w:rsidRPr="00D32504">
          <w:rPr>
            <w:rStyle w:val="Hipercze"/>
          </w:rPr>
          <w:t>Wykres 13</w:t>
        </w:r>
        <w:r w:rsidR="00342921" w:rsidRPr="00D32504">
          <w:rPr>
            <w:rStyle w:val="Hipercze"/>
          </w:rPr>
          <w:noBreakHyphen/>
          <w:t>8.</w:t>
        </w:r>
        <w:r w:rsidR="00342921">
          <w:rPr>
            <w:rFonts w:asciiTheme="minorHAnsi" w:eastAsiaTheme="minorEastAsia" w:hAnsiTheme="minorHAnsi" w:cstheme="minorBidi"/>
            <w:sz w:val="22"/>
            <w:lang w:eastAsia="pl-PL"/>
          </w:rPr>
          <w:tab/>
        </w:r>
        <w:r w:rsidR="00342921" w:rsidRPr="00D32504">
          <w:rPr>
            <w:rStyle w:val="Hipercze"/>
          </w:rPr>
          <w:t>Liczba wykonanych prac dla kategorii 4 według PUW, 2018 r.</w:t>
        </w:r>
        <w:r w:rsidR="00342921">
          <w:rPr>
            <w:webHidden/>
          </w:rPr>
          <w:tab/>
        </w:r>
        <w:r w:rsidR="00342921">
          <w:rPr>
            <w:webHidden/>
          </w:rPr>
          <w:fldChar w:fldCharType="begin"/>
        </w:r>
        <w:r w:rsidR="00342921">
          <w:rPr>
            <w:webHidden/>
          </w:rPr>
          <w:instrText xml:space="preserve"> PAGEREF _Toc105513045 \h </w:instrText>
        </w:r>
        <w:r w:rsidR="00342921">
          <w:rPr>
            <w:webHidden/>
          </w:rPr>
        </w:r>
        <w:r w:rsidR="00342921">
          <w:rPr>
            <w:webHidden/>
          </w:rPr>
          <w:fldChar w:fldCharType="separate"/>
        </w:r>
        <w:r w:rsidR="001F774D">
          <w:rPr>
            <w:webHidden/>
          </w:rPr>
          <w:t>344</w:t>
        </w:r>
        <w:r w:rsidR="00342921">
          <w:rPr>
            <w:webHidden/>
          </w:rPr>
          <w:fldChar w:fldCharType="end"/>
        </w:r>
      </w:hyperlink>
    </w:p>
    <w:p w14:paraId="08226D58" w14:textId="0EDC8C6C" w:rsidR="00342921" w:rsidRDefault="009C595A">
      <w:pPr>
        <w:pStyle w:val="Spisilustracji"/>
        <w:rPr>
          <w:rFonts w:asciiTheme="minorHAnsi" w:eastAsiaTheme="minorEastAsia" w:hAnsiTheme="minorHAnsi" w:cstheme="minorBidi"/>
          <w:sz w:val="22"/>
          <w:lang w:eastAsia="pl-PL"/>
        </w:rPr>
      </w:pPr>
      <w:hyperlink w:anchor="_Toc105513046" w:history="1">
        <w:r w:rsidR="00342921" w:rsidRPr="00D32504">
          <w:rPr>
            <w:rStyle w:val="Hipercze"/>
          </w:rPr>
          <w:t>Wykres 13</w:t>
        </w:r>
        <w:r w:rsidR="00342921" w:rsidRPr="00D32504">
          <w:rPr>
            <w:rStyle w:val="Hipercze"/>
          </w:rPr>
          <w:noBreakHyphen/>
          <w:t>9.</w:t>
        </w:r>
        <w:r w:rsidR="00342921">
          <w:rPr>
            <w:rFonts w:asciiTheme="minorHAnsi" w:eastAsiaTheme="minorEastAsia" w:hAnsiTheme="minorHAnsi" w:cstheme="minorBidi"/>
            <w:sz w:val="22"/>
            <w:lang w:eastAsia="pl-PL"/>
          </w:rPr>
          <w:tab/>
        </w:r>
        <w:r w:rsidR="00342921" w:rsidRPr="00D32504">
          <w:rPr>
            <w:rStyle w:val="Hipercze"/>
          </w:rPr>
          <w:t>Liczba wykonanych prac dla kategorii 5 według PUW, 2018 r.</w:t>
        </w:r>
        <w:r w:rsidR="00342921">
          <w:rPr>
            <w:webHidden/>
          </w:rPr>
          <w:tab/>
        </w:r>
        <w:r w:rsidR="00342921">
          <w:rPr>
            <w:webHidden/>
          </w:rPr>
          <w:fldChar w:fldCharType="begin"/>
        </w:r>
        <w:r w:rsidR="00342921">
          <w:rPr>
            <w:webHidden/>
          </w:rPr>
          <w:instrText xml:space="preserve"> PAGEREF _Toc105513046 \h </w:instrText>
        </w:r>
        <w:r w:rsidR="00342921">
          <w:rPr>
            <w:webHidden/>
          </w:rPr>
        </w:r>
        <w:r w:rsidR="00342921">
          <w:rPr>
            <w:webHidden/>
          </w:rPr>
          <w:fldChar w:fldCharType="separate"/>
        </w:r>
        <w:r w:rsidR="001F774D">
          <w:rPr>
            <w:webHidden/>
          </w:rPr>
          <w:t>344</w:t>
        </w:r>
        <w:r w:rsidR="00342921">
          <w:rPr>
            <w:webHidden/>
          </w:rPr>
          <w:fldChar w:fldCharType="end"/>
        </w:r>
      </w:hyperlink>
    </w:p>
    <w:p w14:paraId="2BC98729" w14:textId="6C6AE1CB" w:rsidR="00342921" w:rsidRDefault="009C595A">
      <w:pPr>
        <w:pStyle w:val="Spisilustracji"/>
        <w:rPr>
          <w:rFonts w:asciiTheme="minorHAnsi" w:eastAsiaTheme="minorEastAsia" w:hAnsiTheme="minorHAnsi" w:cstheme="minorBidi"/>
          <w:sz w:val="22"/>
          <w:lang w:eastAsia="pl-PL"/>
        </w:rPr>
      </w:pPr>
      <w:hyperlink w:anchor="_Toc105513047" w:history="1">
        <w:r w:rsidR="00342921" w:rsidRPr="00D32504">
          <w:rPr>
            <w:rStyle w:val="Hipercze"/>
          </w:rPr>
          <w:t>Wykres 13</w:t>
        </w:r>
        <w:r w:rsidR="00342921" w:rsidRPr="00D32504">
          <w:rPr>
            <w:rStyle w:val="Hipercze"/>
          </w:rPr>
          <w:noBreakHyphen/>
          <w:t>10.</w:t>
        </w:r>
        <w:r w:rsidR="00342921">
          <w:rPr>
            <w:rFonts w:asciiTheme="minorHAnsi" w:eastAsiaTheme="minorEastAsia" w:hAnsiTheme="minorHAnsi" w:cstheme="minorBidi"/>
            <w:sz w:val="22"/>
            <w:lang w:eastAsia="pl-PL"/>
          </w:rPr>
          <w:tab/>
        </w:r>
        <w:r w:rsidR="00342921" w:rsidRPr="00D32504">
          <w:rPr>
            <w:rStyle w:val="Hipercze"/>
          </w:rPr>
          <w:t>Liczba wykonanych prac dla kategorii 6 według PUW, 2018 r.</w:t>
        </w:r>
        <w:r w:rsidR="00342921">
          <w:rPr>
            <w:webHidden/>
          </w:rPr>
          <w:tab/>
        </w:r>
        <w:r w:rsidR="00342921">
          <w:rPr>
            <w:webHidden/>
          </w:rPr>
          <w:fldChar w:fldCharType="begin"/>
        </w:r>
        <w:r w:rsidR="00342921">
          <w:rPr>
            <w:webHidden/>
          </w:rPr>
          <w:instrText xml:space="preserve"> PAGEREF _Toc105513047 \h </w:instrText>
        </w:r>
        <w:r w:rsidR="00342921">
          <w:rPr>
            <w:webHidden/>
          </w:rPr>
        </w:r>
        <w:r w:rsidR="00342921">
          <w:rPr>
            <w:webHidden/>
          </w:rPr>
          <w:fldChar w:fldCharType="separate"/>
        </w:r>
        <w:r w:rsidR="001F774D">
          <w:rPr>
            <w:webHidden/>
          </w:rPr>
          <w:t>344</w:t>
        </w:r>
        <w:r w:rsidR="00342921">
          <w:rPr>
            <w:webHidden/>
          </w:rPr>
          <w:fldChar w:fldCharType="end"/>
        </w:r>
      </w:hyperlink>
    </w:p>
    <w:p w14:paraId="6D530097" w14:textId="3A0D74D0" w:rsidR="00342921" w:rsidRDefault="009C595A">
      <w:pPr>
        <w:pStyle w:val="Spisilustracji"/>
        <w:rPr>
          <w:rFonts w:asciiTheme="minorHAnsi" w:eastAsiaTheme="minorEastAsia" w:hAnsiTheme="minorHAnsi" w:cstheme="minorBidi"/>
          <w:sz w:val="22"/>
          <w:lang w:eastAsia="pl-PL"/>
        </w:rPr>
      </w:pPr>
      <w:hyperlink w:anchor="_Toc105513048" w:history="1">
        <w:r w:rsidR="00342921" w:rsidRPr="00D32504">
          <w:rPr>
            <w:rStyle w:val="Hipercze"/>
          </w:rPr>
          <w:t>Wykres 13</w:t>
        </w:r>
        <w:r w:rsidR="00342921" w:rsidRPr="00D32504">
          <w:rPr>
            <w:rStyle w:val="Hipercze"/>
          </w:rPr>
          <w:noBreakHyphen/>
          <w:t>11.</w:t>
        </w:r>
        <w:r w:rsidR="00342921">
          <w:rPr>
            <w:rFonts w:asciiTheme="minorHAnsi" w:eastAsiaTheme="minorEastAsia" w:hAnsiTheme="minorHAnsi" w:cstheme="minorBidi"/>
            <w:sz w:val="22"/>
            <w:lang w:eastAsia="pl-PL"/>
          </w:rPr>
          <w:tab/>
        </w:r>
        <w:r w:rsidR="00342921" w:rsidRPr="00D32504">
          <w:rPr>
            <w:rStyle w:val="Hipercze"/>
          </w:rPr>
          <w:t>Liczba wykonanych prac dla kategorii 7 według PUW, 2018 r.</w:t>
        </w:r>
        <w:r w:rsidR="00342921">
          <w:rPr>
            <w:webHidden/>
          </w:rPr>
          <w:tab/>
        </w:r>
        <w:r w:rsidR="00342921">
          <w:rPr>
            <w:webHidden/>
          </w:rPr>
          <w:fldChar w:fldCharType="begin"/>
        </w:r>
        <w:r w:rsidR="00342921">
          <w:rPr>
            <w:webHidden/>
          </w:rPr>
          <w:instrText xml:space="preserve"> PAGEREF _Toc105513048 \h </w:instrText>
        </w:r>
        <w:r w:rsidR="00342921">
          <w:rPr>
            <w:webHidden/>
          </w:rPr>
        </w:r>
        <w:r w:rsidR="00342921">
          <w:rPr>
            <w:webHidden/>
          </w:rPr>
          <w:fldChar w:fldCharType="separate"/>
        </w:r>
        <w:r w:rsidR="001F774D">
          <w:rPr>
            <w:webHidden/>
          </w:rPr>
          <w:t>345</w:t>
        </w:r>
        <w:r w:rsidR="00342921">
          <w:rPr>
            <w:webHidden/>
          </w:rPr>
          <w:fldChar w:fldCharType="end"/>
        </w:r>
      </w:hyperlink>
    </w:p>
    <w:p w14:paraId="244A92C0" w14:textId="7B724F39" w:rsidR="00342921" w:rsidRDefault="009C595A">
      <w:pPr>
        <w:pStyle w:val="Spisilustracji"/>
        <w:rPr>
          <w:rFonts w:asciiTheme="minorHAnsi" w:eastAsiaTheme="minorEastAsia" w:hAnsiTheme="minorHAnsi" w:cstheme="minorBidi"/>
          <w:sz w:val="22"/>
          <w:lang w:eastAsia="pl-PL"/>
        </w:rPr>
      </w:pPr>
      <w:hyperlink w:anchor="_Toc105513049" w:history="1">
        <w:r w:rsidR="00342921" w:rsidRPr="00D32504">
          <w:rPr>
            <w:rStyle w:val="Hipercze"/>
          </w:rPr>
          <w:t>Wykres 13</w:t>
        </w:r>
        <w:r w:rsidR="00342921" w:rsidRPr="00D32504">
          <w:rPr>
            <w:rStyle w:val="Hipercze"/>
          </w:rPr>
          <w:noBreakHyphen/>
          <w:t>12.</w:t>
        </w:r>
        <w:r w:rsidR="00342921">
          <w:rPr>
            <w:rFonts w:asciiTheme="minorHAnsi" w:eastAsiaTheme="minorEastAsia" w:hAnsiTheme="minorHAnsi" w:cstheme="minorBidi"/>
            <w:sz w:val="22"/>
            <w:lang w:eastAsia="pl-PL"/>
          </w:rPr>
          <w:tab/>
        </w:r>
        <w:r w:rsidR="00342921" w:rsidRPr="00D32504">
          <w:rPr>
            <w:rStyle w:val="Hipercze"/>
          </w:rPr>
          <w:t>Liczba wykonanych prac dla kategorii 8 według PUW, 2018 r.</w:t>
        </w:r>
        <w:r w:rsidR="00342921">
          <w:rPr>
            <w:webHidden/>
          </w:rPr>
          <w:tab/>
        </w:r>
        <w:r w:rsidR="00342921">
          <w:rPr>
            <w:webHidden/>
          </w:rPr>
          <w:fldChar w:fldCharType="begin"/>
        </w:r>
        <w:r w:rsidR="00342921">
          <w:rPr>
            <w:webHidden/>
          </w:rPr>
          <w:instrText xml:space="preserve"> PAGEREF _Toc105513049 \h </w:instrText>
        </w:r>
        <w:r w:rsidR="00342921">
          <w:rPr>
            <w:webHidden/>
          </w:rPr>
        </w:r>
        <w:r w:rsidR="00342921">
          <w:rPr>
            <w:webHidden/>
          </w:rPr>
          <w:fldChar w:fldCharType="separate"/>
        </w:r>
        <w:r w:rsidR="001F774D">
          <w:rPr>
            <w:webHidden/>
          </w:rPr>
          <w:t>345</w:t>
        </w:r>
        <w:r w:rsidR="00342921">
          <w:rPr>
            <w:webHidden/>
          </w:rPr>
          <w:fldChar w:fldCharType="end"/>
        </w:r>
      </w:hyperlink>
    </w:p>
    <w:p w14:paraId="5BEC86D2" w14:textId="5D0E2419" w:rsidR="00342921" w:rsidRDefault="009C595A">
      <w:pPr>
        <w:pStyle w:val="Spisilustracji"/>
        <w:rPr>
          <w:rFonts w:asciiTheme="minorHAnsi" w:eastAsiaTheme="minorEastAsia" w:hAnsiTheme="minorHAnsi" w:cstheme="minorBidi"/>
          <w:sz w:val="22"/>
          <w:lang w:eastAsia="pl-PL"/>
        </w:rPr>
      </w:pPr>
      <w:hyperlink w:anchor="_Toc105513050" w:history="1">
        <w:r w:rsidR="00342921" w:rsidRPr="00D32504">
          <w:rPr>
            <w:rStyle w:val="Hipercze"/>
          </w:rPr>
          <w:t>Wykres 13</w:t>
        </w:r>
        <w:r w:rsidR="00342921" w:rsidRPr="00D32504">
          <w:rPr>
            <w:rStyle w:val="Hipercze"/>
          </w:rPr>
          <w:noBreakHyphen/>
          <w:t>13.</w:t>
        </w:r>
        <w:r w:rsidR="00342921">
          <w:rPr>
            <w:rFonts w:asciiTheme="minorHAnsi" w:eastAsiaTheme="minorEastAsia" w:hAnsiTheme="minorHAnsi" w:cstheme="minorBidi"/>
            <w:sz w:val="22"/>
            <w:lang w:eastAsia="pl-PL"/>
          </w:rPr>
          <w:tab/>
        </w:r>
        <w:r w:rsidR="00342921" w:rsidRPr="00D32504">
          <w:rPr>
            <w:rStyle w:val="Hipercze"/>
          </w:rPr>
          <w:t>Liczba wykonanych prac dla kategorii 1 - 4 według PUW, 2019 r.</w:t>
        </w:r>
        <w:r w:rsidR="00342921">
          <w:rPr>
            <w:webHidden/>
          </w:rPr>
          <w:tab/>
        </w:r>
        <w:r w:rsidR="00342921">
          <w:rPr>
            <w:webHidden/>
          </w:rPr>
          <w:fldChar w:fldCharType="begin"/>
        </w:r>
        <w:r w:rsidR="00342921">
          <w:rPr>
            <w:webHidden/>
          </w:rPr>
          <w:instrText xml:space="preserve"> PAGEREF _Toc105513050 \h </w:instrText>
        </w:r>
        <w:r w:rsidR="00342921">
          <w:rPr>
            <w:webHidden/>
          </w:rPr>
        </w:r>
        <w:r w:rsidR="00342921">
          <w:rPr>
            <w:webHidden/>
          </w:rPr>
          <w:fldChar w:fldCharType="separate"/>
        </w:r>
        <w:r w:rsidR="001F774D">
          <w:rPr>
            <w:webHidden/>
          </w:rPr>
          <w:t>345</w:t>
        </w:r>
        <w:r w:rsidR="00342921">
          <w:rPr>
            <w:webHidden/>
          </w:rPr>
          <w:fldChar w:fldCharType="end"/>
        </w:r>
      </w:hyperlink>
    </w:p>
    <w:p w14:paraId="1BFD1389" w14:textId="396AD0F7" w:rsidR="00342921" w:rsidRDefault="009C595A">
      <w:pPr>
        <w:pStyle w:val="Spisilustracji"/>
        <w:rPr>
          <w:rFonts w:asciiTheme="minorHAnsi" w:eastAsiaTheme="minorEastAsia" w:hAnsiTheme="minorHAnsi" w:cstheme="minorBidi"/>
          <w:sz w:val="22"/>
          <w:lang w:eastAsia="pl-PL"/>
        </w:rPr>
      </w:pPr>
      <w:hyperlink w:anchor="_Toc105513051" w:history="1">
        <w:r w:rsidR="00342921" w:rsidRPr="00D32504">
          <w:rPr>
            <w:rStyle w:val="Hipercze"/>
          </w:rPr>
          <w:t>Wykres 13</w:t>
        </w:r>
        <w:r w:rsidR="00342921" w:rsidRPr="00D32504">
          <w:rPr>
            <w:rStyle w:val="Hipercze"/>
          </w:rPr>
          <w:noBreakHyphen/>
          <w:t>14.</w:t>
        </w:r>
        <w:r w:rsidR="00342921">
          <w:rPr>
            <w:rFonts w:asciiTheme="minorHAnsi" w:eastAsiaTheme="minorEastAsia" w:hAnsiTheme="minorHAnsi" w:cstheme="minorBidi"/>
            <w:sz w:val="22"/>
            <w:lang w:eastAsia="pl-PL"/>
          </w:rPr>
          <w:tab/>
        </w:r>
        <w:r w:rsidR="00342921" w:rsidRPr="00D32504">
          <w:rPr>
            <w:rStyle w:val="Hipercze"/>
          </w:rPr>
          <w:t>Liczba wykonanych prac dla kategorii 5 według PUW, 2019 r.</w:t>
        </w:r>
        <w:r w:rsidR="00342921">
          <w:rPr>
            <w:webHidden/>
          </w:rPr>
          <w:tab/>
        </w:r>
        <w:r w:rsidR="00342921">
          <w:rPr>
            <w:webHidden/>
          </w:rPr>
          <w:fldChar w:fldCharType="begin"/>
        </w:r>
        <w:r w:rsidR="00342921">
          <w:rPr>
            <w:webHidden/>
          </w:rPr>
          <w:instrText xml:space="preserve"> PAGEREF _Toc105513051 \h </w:instrText>
        </w:r>
        <w:r w:rsidR="00342921">
          <w:rPr>
            <w:webHidden/>
          </w:rPr>
        </w:r>
        <w:r w:rsidR="00342921">
          <w:rPr>
            <w:webHidden/>
          </w:rPr>
          <w:fldChar w:fldCharType="separate"/>
        </w:r>
        <w:r w:rsidR="001F774D">
          <w:rPr>
            <w:webHidden/>
          </w:rPr>
          <w:t>346</w:t>
        </w:r>
        <w:r w:rsidR="00342921">
          <w:rPr>
            <w:webHidden/>
          </w:rPr>
          <w:fldChar w:fldCharType="end"/>
        </w:r>
      </w:hyperlink>
    </w:p>
    <w:p w14:paraId="56E3422A" w14:textId="3759FB48" w:rsidR="00342921" w:rsidRDefault="009C595A">
      <w:pPr>
        <w:pStyle w:val="Spisilustracji"/>
        <w:rPr>
          <w:rFonts w:asciiTheme="minorHAnsi" w:eastAsiaTheme="minorEastAsia" w:hAnsiTheme="minorHAnsi" w:cstheme="minorBidi"/>
          <w:sz w:val="22"/>
          <w:lang w:eastAsia="pl-PL"/>
        </w:rPr>
      </w:pPr>
      <w:hyperlink w:anchor="_Toc105513052" w:history="1">
        <w:r w:rsidR="00342921" w:rsidRPr="00D32504">
          <w:rPr>
            <w:rStyle w:val="Hipercze"/>
          </w:rPr>
          <w:t>Wykres 13</w:t>
        </w:r>
        <w:r w:rsidR="00342921" w:rsidRPr="00D32504">
          <w:rPr>
            <w:rStyle w:val="Hipercze"/>
          </w:rPr>
          <w:noBreakHyphen/>
          <w:t>15.</w:t>
        </w:r>
        <w:r w:rsidR="00342921">
          <w:rPr>
            <w:rFonts w:asciiTheme="minorHAnsi" w:eastAsiaTheme="minorEastAsia" w:hAnsiTheme="minorHAnsi" w:cstheme="minorBidi"/>
            <w:sz w:val="22"/>
            <w:lang w:eastAsia="pl-PL"/>
          </w:rPr>
          <w:tab/>
        </w:r>
        <w:r w:rsidR="00342921" w:rsidRPr="00D32504">
          <w:rPr>
            <w:rStyle w:val="Hipercze"/>
          </w:rPr>
          <w:t>Liczba wykonanych prac dla kategorii 6 według PUW, 2019 r.</w:t>
        </w:r>
        <w:r w:rsidR="00342921">
          <w:rPr>
            <w:webHidden/>
          </w:rPr>
          <w:tab/>
        </w:r>
        <w:r w:rsidR="00342921">
          <w:rPr>
            <w:webHidden/>
          </w:rPr>
          <w:fldChar w:fldCharType="begin"/>
        </w:r>
        <w:r w:rsidR="00342921">
          <w:rPr>
            <w:webHidden/>
          </w:rPr>
          <w:instrText xml:space="preserve"> PAGEREF _Toc105513052 \h </w:instrText>
        </w:r>
        <w:r w:rsidR="00342921">
          <w:rPr>
            <w:webHidden/>
          </w:rPr>
        </w:r>
        <w:r w:rsidR="00342921">
          <w:rPr>
            <w:webHidden/>
          </w:rPr>
          <w:fldChar w:fldCharType="separate"/>
        </w:r>
        <w:r w:rsidR="001F774D">
          <w:rPr>
            <w:webHidden/>
          </w:rPr>
          <w:t>346</w:t>
        </w:r>
        <w:r w:rsidR="00342921">
          <w:rPr>
            <w:webHidden/>
          </w:rPr>
          <w:fldChar w:fldCharType="end"/>
        </w:r>
      </w:hyperlink>
    </w:p>
    <w:p w14:paraId="676E2577" w14:textId="70A6C370" w:rsidR="00342921" w:rsidRDefault="009C595A">
      <w:pPr>
        <w:pStyle w:val="Spisilustracji"/>
        <w:rPr>
          <w:rFonts w:asciiTheme="minorHAnsi" w:eastAsiaTheme="minorEastAsia" w:hAnsiTheme="minorHAnsi" w:cstheme="minorBidi"/>
          <w:sz w:val="22"/>
          <w:lang w:eastAsia="pl-PL"/>
        </w:rPr>
      </w:pPr>
      <w:hyperlink w:anchor="_Toc105513053" w:history="1">
        <w:r w:rsidR="00342921" w:rsidRPr="00D32504">
          <w:rPr>
            <w:rStyle w:val="Hipercze"/>
          </w:rPr>
          <w:t>Wykres 13</w:t>
        </w:r>
        <w:r w:rsidR="00342921" w:rsidRPr="00D32504">
          <w:rPr>
            <w:rStyle w:val="Hipercze"/>
          </w:rPr>
          <w:noBreakHyphen/>
          <w:t>16.</w:t>
        </w:r>
        <w:r w:rsidR="00342921">
          <w:rPr>
            <w:rFonts w:asciiTheme="minorHAnsi" w:eastAsiaTheme="minorEastAsia" w:hAnsiTheme="minorHAnsi" w:cstheme="minorBidi"/>
            <w:sz w:val="22"/>
            <w:lang w:eastAsia="pl-PL"/>
          </w:rPr>
          <w:tab/>
        </w:r>
        <w:r w:rsidR="00342921" w:rsidRPr="00D32504">
          <w:rPr>
            <w:rStyle w:val="Hipercze"/>
          </w:rPr>
          <w:t>Liczba wykonanych prac dla kategorii 7 według PUW, 2019 r.</w:t>
        </w:r>
        <w:r w:rsidR="00342921">
          <w:rPr>
            <w:webHidden/>
          </w:rPr>
          <w:tab/>
        </w:r>
        <w:r w:rsidR="00342921">
          <w:rPr>
            <w:webHidden/>
          </w:rPr>
          <w:fldChar w:fldCharType="begin"/>
        </w:r>
        <w:r w:rsidR="00342921">
          <w:rPr>
            <w:webHidden/>
          </w:rPr>
          <w:instrText xml:space="preserve"> PAGEREF _Toc105513053 \h </w:instrText>
        </w:r>
        <w:r w:rsidR="00342921">
          <w:rPr>
            <w:webHidden/>
          </w:rPr>
        </w:r>
        <w:r w:rsidR="00342921">
          <w:rPr>
            <w:webHidden/>
          </w:rPr>
          <w:fldChar w:fldCharType="separate"/>
        </w:r>
        <w:r w:rsidR="001F774D">
          <w:rPr>
            <w:webHidden/>
          </w:rPr>
          <w:t>346</w:t>
        </w:r>
        <w:r w:rsidR="00342921">
          <w:rPr>
            <w:webHidden/>
          </w:rPr>
          <w:fldChar w:fldCharType="end"/>
        </w:r>
      </w:hyperlink>
    </w:p>
    <w:p w14:paraId="07A028C4" w14:textId="6040634A" w:rsidR="00342921" w:rsidRDefault="009C595A">
      <w:pPr>
        <w:pStyle w:val="Spisilustracji"/>
        <w:rPr>
          <w:rFonts w:asciiTheme="minorHAnsi" w:eastAsiaTheme="minorEastAsia" w:hAnsiTheme="minorHAnsi" w:cstheme="minorBidi"/>
          <w:sz w:val="22"/>
          <w:lang w:eastAsia="pl-PL"/>
        </w:rPr>
      </w:pPr>
      <w:hyperlink w:anchor="_Toc105513054" w:history="1">
        <w:r w:rsidR="00342921" w:rsidRPr="00D32504">
          <w:rPr>
            <w:rStyle w:val="Hipercze"/>
          </w:rPr>
          <w:t>Wykres 13</w:t>
        </w:r>
        <w:r w:rsidR="00342921" w:rsidRPr="00D32504">
          <w:rPr>
            <w:rStyle w:val="Hipercze"/>
          </w:rPr>
          <w:noBreakHyphen/>
          <w:t>17.</w:t>
        </w:r>
        <w:r w:rsidR="00342921">
          <w:rPr>
            <w:rFonts w:asciiTheme="minorHAnsi" w:eastAsiaTheme="minorEastAsia" w:hAnsiTheme="minorHAnsi" w:cstheme="minorBidi"/>
            <w:sz w:val="22"/>
            <w:lang w:eastAsia="pl-PL"/>
          </w:rPr>
          <w:tab/>
        </w:r>
        <w:r w:rsidR="00342921" w:rsidRPr="00D32504">
          <w:rPr>
            <w:rStyle w:val="Hipercze"/>
          </w:rPr>
          <w:t>Liczba wykonanych prac dla kategorii 8 według PUW, 2019 r.</w:t>
        </w:r>
        <w:r w:rsidR="00342921">
          <w:rPr>
            <w:webHidden/>
          </w:rPr>
          <w:tab/>
        </w:r>
        <w:r w:rsidR="00342921">
          <w:rPr>
            <w:webHidden/>
          </w:rPr>
          <w:fldChar w:fldCharType="begin"/>
        </w:r>
        <w:r w:rsidR="00342921">
          <w:rPr>
            <w:webHidden/>
          </w:rPr>
          <w:instrText xml:space="preserve"> PAGEREF _Toc105513054 \h </w:instrText>
        </w:r>
        <w:r w:rsidR="00342921">
          <w:rPr>
            <w:webHidden/>
          </w:rPr>
        </w:r>
        <w:r w:rsidR="00342921">
          <w:rPr>
            <w:webHidden/>
          </w:rPr>
          <w:fldChar w:fldCharType="separate"/>
        </w:r>
        <w:r w:rsidR="001F774D">
          <w:rPr>
            <w:webHidden/>
          </w:rPr>
          <w:t>347</w:t>
        </w:r>
        <w:r w:rsidR="00342921">
          <w:rPr>
            <w:webHidden/>
          </w:rPr>
          <w:fldChar w:fldCharType="end"/>
        </w:r>
      </w:hyperlink>
    </w:p>
    <w:p w14:paraId="26489536" w14:textId="71102119" w:rsidR="00342921" w:rsidRDefault="009C595A">
      <w:pPr>
        <w:pStyle w:val="Spisilustracji"/>
        <w:rPr>
          <w:rFonts w:asciiTheme="minorHAnsi" w:eastAsiaTheme="minorEastAsia" w:hAnsiTheme="minorHAnsi" w:cstheme="minorBidi"/>
          <w:sz w:val="22"/>
          <w:lang w:eastAsia="pl-PL"/>
        </w:rPr>
      </w:pPr>
      <w:hyperlink w:anchor="_Toc105513055" w:history="1">
        <w:r w:rsidR="00342921" w:rsidRPr="00D32504">
          <w:rPr>
            <w:rStyle w:val="Hipercze"/>
          </w:rPr>
          <w:t>Wykres 13</w:t>
        </w:r>
        <w:r w:rsidR="00342921" w:rsidRPr="00D32504">
          <w:rPr>
            <w:rStyle w:val="Hipercze"/>
          </w:rPr>
          <w:noBreakHyphen/>
          <w:t>18.</w:t>
        </w:r>
        <w:r w:rsidR="00342921">
          <w:rPr>
            <w:rFonts w:asciiTheme="minorHAnsi" w:eastAsiaTheme="minorEastAsia" w:hAnsiTheme="minorHAnsi" w:cstheme="minorBidi"/>
            <w:sz w:val="22"/>
            <w:lang w:eastAsia="pl-PL"/>
          </w:rPr>
          <w:tab/>
        </w:r>
        <w:r w:rsidR="00342921" w:rsidRPr="00D32504">
          <w:rPr>
            <w:rStyle w:val="Hipercze"/>
          </w:rPr>
          <w:t>Liczba podjętych interwencji w podziale na kategorie według PUW – poszczególne RZGW WP, 2018 r.</w:t>
        </w:r>
        <w:r w:rsidR="00342921">
          <w:rPr>
            <w:webHidden/>
          </w:rPr>
          <w:tab/>
        </w:r>
        <w:r w:rsidR="00342921">
          <w:rPr>
            <w:webHidden/>
          </w:rPr>
          <w:fldChar w:fldCharType="begin"/>
        </w:r>
        <w:r w:rsidR="00342921">
          <w:rPr>
            <w:webHidden/>
          </w:rPr>
          <w:instrText xml:space="preserve"> PAGEREF _Toc105513055 \h </w:instrText>
        </w:r>
        <w:r w:rsidR="00342921">
          <w:rPr>
            <w:webHidden/>
          </w:rPr>
        </w:r>
        <w:r w:rsidR="00342921">
          <w:rPr>
            <w:webHidden/>
          </w:rPr>
          <w:fldChar w:fldCharType="separate"/>
        </w:r>
        <w:r w:rsidR="001F774D">
          <w:rPr>
            <w:webHidden/>
          </w:rPr>
          <w:t>347</w:t>
        </w:r>
        <w:r w:rsidR="00342921">
          <w:rPr>
            <w:webHidden/>
          </w:rPr>
          <w:fldChar w:fldCharType="end"/>
        </w:r>
      </w:hyperlink>
    </w:p>
    <w:p w14:paraId="49910053" w14:textId="7441EE54" w:rsidR="00342921" w:rsidRDefault="009C595A">
      <w:pPr>
        <w:pStyle w:val="Spisilustracji"/>
        <w:rPr>
          <w:rFonts w:asciiTheme="minorHAnsi" w:eastAsiaTheme="minorEastAsia" w:hAnsiTheme="minorHAnsi" w:cstheme="minorBidi"/>
          <w:sz w:val="22"/>
          <w:lang w:eastAsia="pl-PL"/>
        </w:rPr>
      </w:pPr>
      <w:hyperlink w:anchor="_Toc105513056" w:history="1">
        <w:r w:rsidR="00342921" w:rsidRPr="00D32504">
          <w:rPr>
            <w:rStyle w:val="Hipercze"/>
          </w:rPr>
          <w:t>Wykres 13</w:t>
        </w:r>
        <w:r w:rsidR="00342921" w:rsidRPr="00D32504">
          <w:rPr>
            <w:rStyle w:val="Hipercze"/>
          </w:rPr>
          <w:noBreakHyphen/>
          <w:t>19.</w:t>
        </w:r>
        <w:r w:rsidR="00342921">
          <w:rPr>
            <w:rFonts w:asciiTheme="minorHAnsi" w:eastAsiaTheme="minorEastAsia" w:hAnsiTheme="minorHAnsi" w:cstheme="minorBidi"/>
            <w:sz w:val="22"/>
            <w:lang w:eastAsia="pl-PL"/>
          </w:rPr>
          <w:tab/>
        </w:r>
        <w:r w:rsidR="00342921" w:rsidRPr="00D32504">
          <w:rPr>
            <w:rStyle w:val="Hipercze"/>
          </w:rPr>
          <w:t>Liczba podjętych interwencji w podziale na kategorie według PUW – poszczególne RZGW WP, 2019 r.</w:t>
        </w:r>
        <w:r w:rsidR="00342921">
          <w:rPr>
            <w:webHidden/>
          </w:rPr>
          <w:tab/>
        </w:r>
        <w:r w:rsidR="00342921">
          <w:rPr>
            <w:webHidden/>
          </w:rPr>
          <w:fldChar w:fldCharType="begin"/>
        </w:r>
        <w:r w:rsidR="00342921">
          <w:rPr>
            <w:webHidden/>
          </w:rPr>
          <w:instrText xml:space="preserve"> PAGEREF _Toc105513056 \h </w:instrText>
        </w:r>
        <w:r w:rsidR="00342921">
          <w:rPr>
            <w:webHidden/>
          </w:rPr>
        </w:r>
        <w:r w:rsidR="00342921">
          <w:rPr>
            <w:webHidden/>
          </w:rPr>
          <w:fldChar w:fldCharType="separate"/>
        </w:r>
        <w:r w:rsidR="001F774D">
          <w:rPr>
            <w:webHidden/>
          </w:rPr>
          <w:t>348</w:t>
        </w:r>
        <w:r w:rsidR="00342921">
          <w:rPr>
            <w:webHidden/>
          </w:rPr>
          <w:fldChar w:fldCharType="end"/>
        </w:r>
      </w:hyperlink>
    </w:p>
    <w:p w14:paraId="5AC64379" w14:textId="3356A3AB" w:rsidR="00342921" w:rsidRDefault="009C595A">
      <w:pPr>
        <w:pStyle w:val="Spisilustracji"/>
        <w:rPr>
          <w:rFonts w:asciiTheme="minorHAnsi" w:eastAsiaTheme="minorEastAsia" w:hAnsiTheme="minorHAnsi" w:cstheme="minorBidi"/>
          <w:sz w:val="22"/>
          <w:lang w:eastAsia="pl-PL"/>
        </w:rPr>
      </w:pPr>
      <w:hyperlink w:anchor="_Toc105513057" w:history="1">
        <w:r w:rsidR="00342921" w:rsidRPr="00D32504">
          <w:rPr>
            <w:rStyle w:val="Hipercze"/>
          </w:rPr>
          <w:t>Wykres 17</w:t>
        </w:r>
        <w:r w:rsidR="00342921" w:rsidRPr="00D32504">
          <w:rPr>
            <w:rStyle w:val="Hipercze"/>
          </w:rPr>
          <w:noBreakHyphen/>
          <w:t>1.</w:t>
        </w:r>
        <w:r w:rsidR="00342921">
          <w:rPr>
            <w:rFonts w:asciiTheme="minorHAnsi" w:eastAsiaTheme="minorEastAsia" w:hAnsiTheme="minorHAnsi" w:cstheme="minorBidi"/>
            <w:sz w:val="22"/>
            <w:lang w:eastAsia="pl-PL"/>
          </w:rPr>
          <w:tab/>
        </w:r>
        <w:r w:rsidR="00342921" w:rsidRPr="00D32504">
          <w:rPr>
            <w:rStyle w:val="Hipercze"/>
          </w:rPr>
          <w:t>Liczba JCWP z odcinkami potencjalnego zagrożenia dla swobodnego spływu lodu - PUW 2016 r.</w:t>
        </w:r>
        <w:r w:rsidR="00342921">
          <w:rPr>
            <w:webHidden/>
          </w:rPr>
          <w:tab/>
        </w:r>
        <w:r w:rsidR="00342921">
          <w:rPr>
            <w:webHidden/>
          </w:rPr>
          <w:fldChar w:fldCharType="begin"/>
        </w:r>
        <w:r w:rsidR="00342921">
          <w:rPr>
            <w:webHidden/>
          </w:rPr>
          <w:instrText xml:space="preserve"> PAGEREF _Toc105513057 \h </w:instrText>
        </w:r>
        <w:r w:rsidR="00342921">
          <w:rPr>
            <w:webHidden/>
          </w:rPr>
        </w:r>
        <w:r w:rsidR="00342921">
          <w:rPr>
            <w:webHidden/>
          </w:rPr>
          <w:fldChar w:fldCharType="separate"/>
        </w:r>
        <w:r w:rsidR="001F774D">
          <w:rPr>
            <w:webHidden/>
          </w:rPr>
          <w:t>369</w:t>
        </w:r>
        <w:r w:rsidR="00342921">
          <w:rPr>
            <w:webHidden/>
          </w:rPr>
          <w:fldChar w:fldCharType="end"/>
        </w:r>
      </w:hyperlink>
    </w:p>
    <w:p w14:paraId="03175233" w14:textId="0684D87C" w:rsidR="00342921" w:rsidRDefault="009C595A">
      <w:pPr>
        <w:pStyle w:val="Spisilustracji"/>
        <w:rPr>
          <w:rFonts w:asciiTheme="minorHAnsi" w:eastAsiaTheme="minorEastAsia" w:hAnsiTheme="minorHAnsi" w:cstheme="minorBidi"/>
          <w:sz w:val="22"/>
          <w:lang w:eastAsia="pl-PL"/>
        </w:rPr>
      </w:pPr>
      <w:hyperlink w:anchor="_Toc105513058" w:history="1">
        <w:r w:rsidR="00342921" w:rsidRPr="00D32504">
          <w:rPr>
            <w:rStyle w:val="Hipercze"/>
          </w:rPr>
          <w:t>Wykres 17</w:t>
        </w:r>
        <w:r w:rsidR="00342921" w:rsidRPr="00D32504">
          <w:rPr>
            <w:rStyle w:val="Hipercze"/>
          </w:rPr>
          <w:noBreakHyphen/>
          <w:t>2.</w:t>
        </w:r>
        <w:r w:rsidR="00342921">
          <w:rPr>
            <w:rFonts w:asciiTheme="minorHAnsi" w:eastAsiaTheme="minorEastAsia" w:hAnsiTheme="minorHAnsi" w:cstheme="minorBidi"/>
            <w:sz w:val="22"/>
            <w:lang w:eastAsia="pl-PL"/>
          </w:rPr>
          <w:tab/>
        </w:r>
        <w:r w:rsidR="00342921" w:rsidRPr="00D32504">
          <w:rPr>
            <w:rStyle w:val="Hipercze"/>
          </w:rPr>
          <w:t>Liczba JCWP z odcinkami potencjalnego zagrożenia dla swobodnego spływu lodu – wykazy 2020 r.</w:t>
        </w:r>
        <w:r w:rsidR="00342921">
          <w:rPr>
            <w:webHidden/>
          </w:rPr>
          <w:tab/>
        </w:r>
        <w:r w:rsidR="00342921">
          <w:rPr>
            <w:webHidden/>
          </w:rPr>
          <w:fldChar w:fldCharType="begin"/>
        </w:r>
        <w:r w:rsidR="00342921">
          <w:rPr>
            <w:webHidden/>
          </w:rPr>
          <w:instrText xml:space="preserve"> PAGEREF _Toc105513058 \h </w:instrText>
        </w:r>
        <w:r w:rsidR="00342921">
          <w:rPr>
            <w:webHidden/>
          </w:rPr>
        </w:r>
        <w:r w:rsidR="00342921">
          <w:rPr>
            <w:webHidden/>
          </w:rPr>
          <w:fldChar w:fldCharType="separate"/>
        </w:r>
        <w:r w:rsidR="001F774D">
          <w:rPr>
            <w:webHidden/>
          </w:rPr>
          <w:t>369</w:t>
        </w:r>
        <w:r w:rsidR="00342921">
          <w:rPr>
            <w:webHidden/>
          </w:rPr>
          <w:fldChar w:fldCharType="end"/>
        </w:r>
      </w:hyperlink>
    </w:p>
    <w:p w14:paraId="30B92ED1" w14:textId="136D368A" w:rsidR="00342921" w:rsidRDefault="009C595A">
      <w:pPr>
        <w:pStyle w:val="Spisilustracji"/>
        <w:rPr>
          <w:rFonts w:asciiTheme="minorHAnsi" w:eastAsiaTheme="minorEastAsia" w:hAnsiTheme="minorHAnsi" w:cstheme="minorBidi"/>
          <w:sz w:val="22"/>
          <w:lang w:eastAsia="pl-PL"/>
        </w:rPr>
      </w:pPr>
      <w:hyperlink w:anchor="_Toc105513059" w:history="1">
        <w:r w:rsidR="00342921" w:rsidRPr="00D32504">
          <w:rPr>
            <w:rStyle w:val="Hipercze"/>
          </w:rPr>
          <w:t>Wykres 18</w:t>
        </w:r>
        <w:r w:rsidR="00342921" w:rsidRPr="00D32504">
          <w:rPr>
            <w:rStyle w:val="Hipercze"/>
          </w:rPr>
          <w:noBreakHyphen/>
          <w:t>1.</w:t>
        </w:r>
        <w:r w:rsidR="00342921">
          <w:rPr>
            <w:rFonts w:asciiTheme="minorHAnsi" w:eastAsiaTheme="minorEastAsia" w:hAnsiTheme="minorHAnsi" w:cstheme="minorBidi"/>
            <w:sz w:val="22"/>
            <w:lang w:eastAsia="pl-PL"/>
          </w:rPr>
          <w:tab/>
        </w:r>
        <w:r w:rsidR="00342921" w:rsidRPr="00D32504">
          <w:rPr>
            <w:rStyle w:val="Hipercze"/>
          </w:rPr>
          <w:t>Udział liczby budowli regulacyjnych poszczególnych regionów wodnych w ogólnej liczbie budowli na obszarze dorzecza Odry</w:t>
        </w:r>
        <w:r w:rsidR="00342921">
          <w:rPr>
            <w:webHidden/>
          </w:rPr>
          <w:tab/>
        </w:r>
        <w:r w:rsidR="00342921">
          <w:rPr>
            <w:webHidden/>
          </w:rPr>
          <w:fldChar w:fldCharType="begin"/>
        </w:r>
        <w:r w:rsidR="00342921">
          <w:rPr>
            <w:webHidden/>
          </w:rPr>
          <w:instrText xml:space="preserve"> PAGEREF _Toc105513059 \h </w:instrText>
        </w:r>
        <w:r w:rsidR="00342921">
          <w:rPr>
            <w:webHidden/>
          </w:rPr>
        </w:r>
        <w:r w:rsidR="00342921">
          <w:rPr>
            <w:webHidden/>
          </w:rPr>
          <w:fldChar w:fldCharType="separate"/>
        </w:r>
        <w:r w:rsidR="001F774D">
          <w:rPr>
            <w:webHidden/>
          </w:rPr>
          <w:t>372</w:t>
        </w:r>
        <w:r w:rsidR="00342921">
          <w:rPr>
            <w:webHidden/>
          </w:rPr>
          <w:fldChar w:fldCharType="end"/>
        </w:r>
      </w:hyperlink>
    </w:p>
    <w:p w14:paraId="10E8511C" w14:textId="4B45DBEC" w:rsidR="00FE7F92" w:rsidRPr="00795F17" w:rsidRDefault="005E4A11" w:rsidP="0044393D">
      <w:r>
        <w:fldChar w:fldCharType="end"/>
      </w:r>
    </w:p>
    <w:p w14:paraId="5B962282" w14:textId="1CF57DD0" w:rsidR="006B2425" w:rsidRPr="00795F17" w:rsidRDefault="006B2425" w:rsidP="0044393D">
      <w:pPr>
        <w:sectPr w:rsidR="006B2425" w:rsidRPr="00795F17" w:rsidSect="00FE7F92">
          <w:headerReference w:type="even" r:id="rId15"/>
          <w:headerReference w:type="default" r:id="rId16"/>
          <w:headerReference w:type="first" r:id="rId17"/>
          <w:pgSz w:w="11906" w:h="16838"/>
          <w:pgMar w:top="1417" w:right="1417" w:bottom="1417" w:left="1417" w:header="708" w:footer="708" w:gutter="0"/>
          <w:cols w:space="708"/>
          <w:docGrid w:linePitch="360"/>
        </w:sectPr>
      </w:pPr>
    </w:p>
    <w:p w14:paraId="29B6C6F8" w14:textId="5D940B97" w:rsidR="006B2425" w:rsidRPr="00795F17" w:rsidRDefault="006B2425" w:rsidP="0044393D">
      <w:pPr>
        <w:pStyle w:val="Tytu"/>
      </w:pPr>
      <w:bookmarkStart w:id="8" w:name="_Toc41490128"/>
      <w:bookmarkStart w:id="9" w:name="_Toc46317392"/>
      <w:r w:rsidRPr="00795F17">
        <w:t>Wykaz skrótów stosowanych w planie gospodarowania wodami na obszarze dorzecza Odry</w:t>
      </w:r>
    </w:p>
    <w:tbl>
      <w:tblPr>
        <w:tblStyle w:val="Tabela-Siatka1"/>
        <w:tblW w:w="5000" w:type="pct"/>
        <w:tblLook w:val="00A0" w:firstRow="1" w:lastRow="0" w:firstColumn="1" w:lastColumn="0" w:noHBand="0" w:noVBand="0"/>
      </w:tblPr>
      <w:tblGrid>
        <w:gridCol w:w="2180"/>
        <w:gridCol w:w="6882"/>
      </w:tblGrid>
      <w:tr w:rsidR="00425B78" w:rsidRPr="008368C5" w14:paraId="19F6F933" w14:textId="77777777" w:rsidTr="00425B78">
        <w:trPr>
          <w:cantSplit/>
          <w:trHeight w:val="340"/>
          <w:tblHeader/>
        </w:trPr>
        <w:tc>
          <w:tcPr>
            <w:tcW w:w="2180" w:type="dxa"/>
            <w:shd w:val="clear" w:color="auto" w:fill="BFBFBF" w:themeFill="background1" w:themeFillShade="BF"/>
            <w:vAlign w:val="center"/>
          </w:tcPr>
          <w:p w14:paraId="002CC053" w14:textId="77777777" w:rsidR="00425B78" w:rsidRPr="008368C5" w:rsidRDefault="00425B78" w:rsidP="00425B78">
            <w:pPr>
              <w:pStyle w:val="Wykazskrotowbold"/>
            </w:pPr>
            <w:r w:rsidRPr="008368C5">
              <w:t>Skrót</w:t>
            </w:r>
          </w:p>
        </w:tc>
        <w:tc>
          <w:tcPr>
            <w:tcW w:w="6882" w:type="dxa"/>
            <w:shd w:val="clear" w:color="auto" w:fill="BFBFBF" w:themeFill="background1" w:themeFillShade="BF"/>
            <w:vAlign w:val="center"/>
          </w:tcPr>
          <w:p w14:paraId="4FDADA56" w14:textId="77777777" w:rsidR="00425B78" w:rsidRPr="008368C5" w:rsidRDefault="00425B78" w:rsidP="00425B78">
            <w:pPr>
              <w:pStyle w:val="Wykazskrotowbold"/>
            </w:pPr>
            <w:r w:rsidRPr="008368C5">
              <w:t>Rozwinięcie</w:t>
            </w:r>
          </w:p>
        </w:tc>
      </w:tr>
      <w:tr w:rsidR="00425B78" w:rsidRPr="008368C5" w14:paraId="3F250564" w14:textId="77777777" w:rsidTr="00425B78">
        <w:trPr>
          <w:cantSplit/>
          <w:trHeight w:val="340"/>
        </w:trPr>
        <w:tc>
          <w:tcPr>
            <w:tcW w:w="2180" w:type="dxa"/>
            <w:shd w:val="clear" w:color="auto" w:fill="auto"/>
            <w:vAlign w:val="center"/>
          </w:tcPr>
          <w:p w14:paraId="32C2E73B" w14:textId="77777777" w:rsidR="00425B78" w:rsidRPr="008368C5" w:rsidRDefault="00425B78" w:rsidP="00425B78">
            <w:pPr>
              <w:pStyle w:val="Wykazskrotowbold"/>
            </w:pPr>
            <w:r w:rsidRPr="008368C5">
              <w:t>aPGW</w:t>
            </w:r>
          </w:p>
        </w:tc>
        <w:tc>
          <w:tcPr>
            <w:tcW w:w="6882" w:type="dxa"/>
            <w:shd w:val="clear" w:color="auto" w:fill="auto"/>
            <w:vAlign w:val="center"/>
          </w:tcPr>
          <w:p w14:paraId="7A2D83C5" w14:textId="77777777" w:rsidR="00425B78" w:rsidRPr="008368C5" w:rsidRDefault="00425B78" w:rsidP="00425B78">
            <w:pPr>
              <w:pStyle w:val="Wykazskrotow"/>
            </w:pPr>
            <w:r w:rsidRPr="008368C5">
              <w:t>Aktualizacja Planów gospodarowania wodami na obszarach dorzeczy (2016)</w:t>
            </w:r>
          </w:p>
        </w:tc>
      </w:tr>
      <w:tr w:rsidR="00425B78" w:rsidRPr="008368C5" w14:paraId="6C045E13" w14:textId="77777777" w:rsidTr="00425B78">
        <w:trPr>
          <w:cantSplit/>
          <w:trHeight w:val="340"/>
        </w:trPr>
        <w:tc>
          <w:tcPr>
            <w:tcW w:w="2180" w:type="dxa"/>
            <w:shd w:val="clear" w:color="auto" w:fill="auto"/>
            <w:vAlign w:val="center"/>
          </w:tcPr>
          <w:p w14:paraId="0A4CABAB" w14:textId="77777777" w:rsidR="00425B78" w:rsidRPr="008368C5" w:rsidRDefault="00425B78" w:rsidP="00425B78">
            <w:pPr>
              <w:pStyle w:val="Wykazskrotowbold"/>
            </w:pPr>
            <w:r w:rsidRPr="008368C5">
              <w:t>aPWŚK</w:t>
            </w:r>
          </w:p>
        </w:tc>
        <w:tc>
          <w:tcPr>
            <w:tcW w:w="6882" w:type="dxa"/>
            <w:shd w:val="clear" w:color="auto" w:fill="auto"/>
            <w:vAlign w:val="center"/>
          </w:tcPr>
          <w:p w14:paraId="3A626689" w14:textId="77777777" w:rsidR="00425B78" w:rsidRPr="008368C5" w:rsidRDefault="00425B78" w:rsidP="00425B78">
            <w:pPr>
              <w:pStyle w:val="Wykazskrotow"/>
            </w:pPr>
            <w:r w:rsidRPr="008368C5">
              <w:t>Aktualizacja Programu Wodno-Środowiskowego Kraju</w:t>
            </w:r>
          </w:p>
        </w:tc>
      </w:tr>
      <w:tr w:rsidR="00425B78" w:rsidRPr="008368C5" w14:paraId="3347FA47" w14:textId="77777777" w:rsidTr="00425B78">
        <w:trPr>
          <w:cantSplit/>
          <w:trHeight w:val="340"/>
        </w:trPr>
        <w:tc>
          <w:tcPr>
            <w:tcW w:w="2180" w:type="dxa"/>
            <w:shd w:val="clear" w:color="auto" w:fill="auto"/>
            <w:vAlign w:val="center"/>
          </w:tcPr>
          <w:p w14:paraId="7E99E39A" w14:textId="77777777" w:rsidR="00425B78" w:rsidRPr="008368C5" w:rsidRDefault="00425B78" w:rsidP="00425B78">
            <w:pPr>
              <w:pStyle w:val="Wykazskrotowbold"/>
            </w:pPr>
            <w:r>
              <w:t>aPOWM</w:t>
            </w:r>
          </w:p>
        </w:tc>
        <w:tc>
          <w:tcPr>
            <w:tcW w:w="6882" w:type="dxa"/>
            <w:shd w:val="clear" w:color="auto" w:fill="auto"/>
            <w:vAlign w:val="center"/>
          </w:tcPr>
          <w:p w14:paraId="70BD8FF1" w14:textId="77777777" w:rsidR="00425B78" w:rsidRPr="008368C5" w:rsidRDefault="00425B78" w:rsidP="00425B78">
            <w:pPr>
              <w:pStyle w:val="Wykazskrotow"/>
            </w:pPr>
            <w:r>
              <w:t>Aktualizacja Programu wód morskich</w:t>
            </w:r>
          </w:p>
        </w:tc>
      </w:tr>
      <w:tr w:rsidR="00425B78" w:rsidRPr="008368C5" w14:paraId="0F97C495" w14:textId="77777777" w:rsidTr="00425B78">
        <w:trPr>
          <w:cantSplit/>
          <w:trHeight w:val="340"/>
        </w:trPr>
        <w:tc>
          <w:tcPr>
            <w:tcW w:w="2180" w:type="dxa"/>
            <w:shd w:val="clear" w:color="auto" w:fill="auto"/>
            <w:vAlign w:val="center"/>
          </w:tcPr>
          <w:p w14:paraId="6B5934A8" w14:textId="77777777" w:rsidR="00425B78" w:rsidRPr="008368C5" w:rsidRDefault="00425B78" w:rsidP="00425B78">
            <w:pPr>
              <w:pStyle w:val="Wykazskrotowbold"/>
            </w:pPr>
            <w:r w:rsidRPr="008368C5">
              <w:t>aPZRP</w:t>
            </w:r>
          </w:p>
        </w:tc>
        <w:tc>
          <w:tcPr>
            <w:tcW w:w="6882" w:type="dxa"/>
            <w:shd w:val="clear" w:color="auto" w:fill="auto"/>
            <w:vAlign w:val="center"/>
          </w:tcPr>
          <w:p w14:paraId="5845FA14" w14:textId="77777777" w:rsidR="00425B78" w:rsidRPr="008368C5" w:rsidRDefault="00425B78" w:rsidP="00425B78">
            <w:pPr>
              <w:pStyle w:val="Wykazskrotow"/>
            </w:pPr>
            <w:r w:rsidRPr="008368C5">
              <w:t>Aktualizacja Planów zarządzania ryzykiem powodziowym (2021)</w:t>
            </w:r>
          </w:p>
        </w:tc>
      </w:tr>
      <w:tr w:rsidR="00425B78" w:rsidRPr="008368C5" w14:paraId="4E6C3011" w14:textId="77777777" w:rsidTr="00425B78">
        <w:trPr>
          <w:cantSplit/>
          <w:trHeight w:val="340"/>
        </w:trPr>
        <w:tc>
          <w:tcPr>
            <w:tcW w:w="2180" w:type="dxa"/>
            <w:shd w:val="clear" w:color="auto" w:fill="auto"/>
            <w:vAlign w:val="center"/>
          </w:tcPr>
          <w:p w14:paraId="4C5D5082" w14:textId="77777777" w:rsidR="00425B78" w:rsidRPr="008368C5" w:rsidRDefault="00425B78" w:rsidP="00425B78">
            <w:pPr>
              <w:pStyle w:val="Wykazskrotowbold"/>
            </w:pPr>
            <w:r w:rsidRPr="008368C5">
              <w:t>A</w:t>
            </w:r>
            <w:r>
              <w:t>R</w:t>
            </w:r>
            <w:r w:rsidRPr="008368C5" w:rsidDel="00022F8A">
              <w:t>r</w:t>
            </w:r>
            <w:r w:rsidRPr="008368C5">
              <w:t>iMR</w:t>
            </w:r>
          </w:p>
        </w:tc>
        <w:tc>
          <w:tcPr>
            <w:tcW w:w="6882" w:type="dxa"/>
            <w:shd w:val="clear" w:color="auto" w:fill="auto"/>
            <w:vAlign w:val="center"/>
          </w:tcPr>
          <w:p w14:paraId="32E676E6" w14:textId="77777777" w:rsidR="00425B78" w:rsidRPr="008368C5" w:rsidRDefault="00425B78" w:rsidP="00425B78">
            <w:pPr>
              <w:pStyle w:val="Wykazskrotow"/>
            </w:pPr>
            <w:r w:rsidRPr="008368C5">
              <w:t>Agencja Restrukturyzacji i Modernizacji Rolnictwa</w:t>
            </w:r>
          </w:p>
        </w:tc>
      </w:tr>
      <w:tr w:rsidR="00425B78" w:rsidRPr="008368C5" w14:paraId="4D3EE266" w14:textId="77777777" w:rsidTr="00425B78">
        <w:trPr>
          <w:trHeight w:val="340"/>
        </w:trPr>
        <w:tc>
          <w:tcPr>
            <w:tcW w:w="2180" w:type="dxa"/>
          </w:tcPr>
          <w:p w14:paraId="277CE633" w14:textId="77777777" w:rsidR="00425B78" w:rsidRPr="008368C5" w:rsidRDefault="00425B78" w:rsidP="00425B78">
            <w:pPr>
              <w:pStyle w:val="Wykazskrotowbold"/>
            </w:pPr>
            <w:r w:rsidRPr="008368C5">
              <w:t>B/C</w:t>
            </w:r>
          </w:p>
        </w:tc>
        <w:tc>
          <w:tcPr>
            <w:tcW w:w="6882" w:type="dxa"/>
          </w:tcPr>
          <w:p w14:paraId="7D980D30" w14:textId="305BA9AF" w:rsidR="00425B78" w:rsidRPr="008368C5" w:rsidRDefault="00ED384D" w:rsidP="00425B78">
            <w:pPr>
              <w:pStyle w:val="Wykazskrotow"/>
            </w:pPr>
            <w:r>
              <w:t>s</w:t>
            </w:r>
            <w:r w:rsidRPr="008368C5">
              <w:t xml:space="preserve">tosunek </w:t>
            </w:r>
            <w:r w:rsidR="00425B78" w:rsidRPr="008368C5">
              <w:t>korzyści (B) do kosztów (C)</w:t>
            </w:r>
          </w:p>
        </w:tc>
      </w:tr>
      <w:tr w:rsidR="00425B78" w:rsidRPr="008368C5" w14:paraId="185FE465" w14:textId="77777777" w:rsidTr="00425B78">
        <w:trPr>
          <w:cantSplit/>
          <w:trHeight w:val="340"/>
        </w:trPr>
        <w:tc>
          <w:tcPr>
            <w:tcW w:w="2180" w:type="dxa"/>
            <w:shd w:val="clear" w:color="auto" w:fill="auto"/>
            <w:vAlign w:val="center"/>
          </w:tcPr>
          <w:p w14:paraId="0080358E" w14:textId="77777777" w:rsidR="00425B78" w:rsidRPr="008368C5" w:rsidRDefault="00425B78" w:rsidP="00425B78">
            <w:pPr>
              <w:pStyle w:val="Wykazskrotowbold"/>
            </w:pPr>
            <w:r w:rsidRPr="008368C5">
              <w:t>baza HYMO</w:t>
            </w:r>
          </w:p>
        </w:tc>
        <w:tc>
          <w:tcPr>
            <w:tcW w:w="6882" w:type="dxa"/>
            <w:shd w:val="clear" w:color="auto" w:fill="auto"/>
            <w:vAlign w:val="center"/>
          </w:tcPr>
          <w:p w14:paraId="51933B89" w14:textId="478958B8" w:rsidR="00425B78" w:rsidRPr="008368C5" w:rsidRDefault="00ED384D" w:rsidP="00425B78">
            <w:pPr>
              <w:pStyle w:val="Wykazskrotow"/>
            </w:pPr>
            <w:r>
              <w:t>b</w:t>
            </w:r>
            <w:r w:rsidRPr="008368C5">
              <w:t xml:space="preserve">aza </w:t>
            </w:r>
            <w:r w:rsidR="00425B78" w:rsidRPr="008368C5">
              <w:t xml:space="preserve">danych elementów hydromorfologicznych </w:t>
            </w:r>
          </w:p>
        </w:tc>
      </w:tr>
      <w:tr w:rsidR="00425B78" w:rsidRPr="008368C5" w14:paraId="3A622D73" w14:textId="77777777" w:rsidTr="00425B78">
        <w:trPr>
          <w:cantSplit/>
          <w:trHeight w:val="340"/>
        </w:trPr>
        <w:tc>
          <w:tcPr>
            <w:tcW w:w="2180" w:type="dxa"/>
            <w:shd w:val="clear" w:color="auto" w:fill="auto"/>
            <w:vAlign w:val="center"/>
          </w:tcPr>
          <w:p w14:paraId="31C9ABAB" w14:textId="77777777" w:rsidR="00425B78" w:rsidRPr="008368C5" w:rsidRDefault="00425B78" w:rsidP="00425B78">
            <w:pPr>
              <w:pStyle w:val="Wykazskrotowbold"/>
            </w:pPr>
            <w:r w:rsidRPr="008368C5">
              <w:t>BTX</w:t>
            </w:r>
          </w:p>
        </w:tc>
        <w:tc>
          <w:tcPr>
            <w:tcW w:w="6882" w:type="dxa"/>
            <w:shd w:val="clear" w:color="auto" w:fill="auto"/>
            <w:vAlign w:val="center"/>
          </w:tcPr>
          <w:p w14:paraId="20CB82B5" w14:textId="7B1D6E62" w:rsidR="00425B78" w:rsidRPr="008368C5" w:rsidRDefault="00ED384D" w:rsidP="00425B78">
            <w:pPr>
              <w:pStyle w:val="Wykazskrotow"/>
            </w:pPr>
            <w:r>
              <w:t>l</w:t>
            </w:r>
            <w:r w:rsidRPr="008368C5">
              <w:t xml:space="preserve">otne </w:t>
            </w:r>
            <w:r w:rsidR="00425B78" w:rsidRPr="008368C5">
              <w:t>węglowodory aromatyczne</w:t>
            </w:r>
          </w:p>
        </w:tc>
      </w:tr>
      <w:tr w:rsidR="00425B78" w:rsidRPr="008368C5" w14:paraId="4A3D4CF1" w14:textId="77777777" w:rsidTr="00425B78">
        <w:trPr>
          <w:cantSplit/>
          <w:trHeight w:val="340"/>
        </w:trPr>
        <w:tc>
          <w:tcPr>
            <w:tcW w:w="2180" w:type="dxa"/>
            <w:shd w:val="clear" w:color="auto" w:fill="auto"/>
            <w:vAlign w:val="center"/>
          </w:tcPr>
          <w:p w14:paraId="63766A7E" w14:textId="77777777" w:rsidR="00425B78" w:rsidRPr="008368C5" w:rsidRDefault="00425B78" w:rsidP="00425B78">
            <w:pPr>
              <w:pStyle w:val="Wykazskrotowbold"/>
            </w:pPr>
            <w:r w:rsidRPr="008368C5">
              <w:t>BZT</w:t>
            </w:r>
            <w:r w:rsidRPr="008368C5">
              <w:rPr>
                <w:vertAlign w:val="subscript"/>
              </w:rPr>
              <w:t>5</w:t>
            </w:r>
          </w:p>
        </w:tc>
        <w:tc>
          <w:tcPr>
            <w:tcW w:w="6882" w:type="dxa"/>
            <w:shd w:val="clear" w:color="auto" w:fill="auto"/>
            <w:vAlign w:val="center"/>
          </w:tcPr>
          <w:p w14:paraId="50E05C2F" w14:textId="33209E89" w:rsidR="00425B78" w:rsidRPr="008368C5" w:rsidRDefault="00ED384D" w:rsidP="00425B78">
            <w:pPr>
              <w:pStyle w:val="Wykazskrotow"/>
            </w:pPr>
            <w:r>
              <w:t>p</w:t>
            </w:r>
            <w:r w:rsidRPr="008368C5">
              <w:t xml:space="preserve">ięciodobowe </w:t>
            </w:r>
            <w:r w:rsidR="00425B78" w:rsidRPr="008368C5">
              <w:t>biochemiczne zapotrzebowanie tlenu</w:t>
            </w:r>
          </w:p>
        </w:tc>
      </w:tr>
      <w:tr w:rsidR="00425B78" w:rsidRPr="00FA05DC" w14:paraId="2AA8056D" w14:textId="77777777" w:rsidTr="00425B78">
        <w:trPr>
          <w:trHeight w:val="340"/>
        </w:trPr>
        <w:tc>
          <w:tcPr>
            <w:tcW w:w="2180" w:type="dxa"/>
          </w:tcPr>
          <w:p w14:paraId="2CBD9989" w14:textId="77777777" w:rsidR="00425B78" w:rsidRPr="008368C5" w:rsidRDefault="00425B78" w:rsidP="00425B78">
            <w:pPr>
              <w:pStyle w:val="Wykazskrotowbold"/>
            </w:pPr>
            <w:r w:rsidRPr="008368C5">
              <w:t>CDCIR</w:t>
            </w:r>
          </w:p>
        </w:tc>
        <w:tc>
          <w:tcPr>
            <w:tcW w:w="6882" w:type="dxa"/>
          </w:tcPr>
          <w:p w14:paraId="00B7EA66" w14:textId="77777777" w:rsidR="00425B78" w:rsidRPr="00891910" w:rsidRDefault="00425B78" w:rsidP="00425B78">
            <w:pPr>
              <w:pStyle w:val="Wykazskrotow"/>
              <w:rPr>
                <w:lang w:val="en-US"/>
              </w:rPr>
            </w:pPr>
            <w:r w:rsidRPr="008368C5">
              <w:t>Wspólnotowe Centrum Dokumentacji Zagrożeń Przemysłowych (</w:t>
            </w:r>
            <w:r w:rsidRPr="008368C5" w:rsidDel="00022F8A">
              <w:t xml:space="preserve">ang. </w:t>
            </w:r>
            <w:r w:rsidRPr="00D94D91">
              <w:rPr>
                <w:i/>
                <w:lang w:val="en-US"/>
              </w:rPr>
              <w:t>Community Documentation Centre on Industrial Risks</w:t>
            </w:r>
            <w:r w:rsidRPr="00920740">
              <w:rPr>
                <w:lang w:val="en-US"/>
              </w:rPr>
              <w:t>)</w:t>
            </w:r>
          </w:p>
        </w:tc>
      </w:tr>
      <w:tr w:rsidR="00425B78" w:rsidRPr="008368C5" w14:paraId="458D830F" w14:textId="77777777" w:rsidTr="00425B78">
        <w:trPr>
          <w:cantSplit/>
          <w:trHeight w:val="340"/>
        </w:trPr>
        <w:tc>
          <w:tcPr>
            <w:tcW w:w="2180" w:type="dxa"/>
            <w:shd w:val="clear" w:color="auto" w:fill="auto"/>
            <w:vAlign w:val="center"/>
          </w:tcPr>
          <w:p w14:paraId="0AE4ED2F" w14:textId="77777777" w:rsidR="00425B78" w:rsidRPr="008368C5" w:rsidRDefault="00425B78" w:rsidP="00425B78">
            <w:pPr>
              <w:pStyle w:val="Wykazskrotowbold"/>
            </w:pPr>
            <w:r w:rsidRPr="008368C5">
              <w:t>ChZT-Cr</w:t>
            </w:r>
          </w:p>
        </w:tc>
        <w:tc>
          <w:tcPr>
            <w:tcW w:w="6882" w:type="dxa"/>
            <w:shd w:val="clear" w:color="auto" w:fill="auto"/>
            <w:vAlign w:val="center"/>
          </w:tcPr>
          <w:p w14:paraId="0B6BE71A" w14:textId="056ECE35" w:rsidR="00425B78" w:rsidRPr="008368C5" w:rsidRDefault="00ED384D" w:rsidP="00425B78">
            <w:pPr>
              <w:pStyle w:val="Wykazskrotow"/>
            </w:pPr>
            <w:r>
              <w:t>c</w:t>
            </w:r>
            <w:r w:rsidRPr="008368C5">
              <w:t xml:space="preserve">hemiczne </w:t>
            </w:r>
            <w:r w:rsidR="00425B78" w:rsidRPr="008368C5">
              <w:t xml:space="preserve">zapotrzebowanie tlenu </w:t>
            </w:r>
            <w:r w:rsidR="00425B78">
              <w:t xml:space="preserve">oznaczane </w:t>
            </w:r>
            <w:r w:rsidR="00425B78" w:rsidRPr="008368C5">
              <w:t>metodą dichromianową</w:t>
            </w:r>
          </w:p>
        </w:tc>
      </w:tr>
      <w:tr w:rsidR="00425B78" w:rsidRPr="00FA05DC" w14:paraId="269904D1" w14:textId="77777777" w:rsidTr="00425B78">
        <w:trPr>
          <w:cantSplit/>
          <w:trHeight w:val="340"/>
        </w:trPr>
        <w:tc>
          <w:tcPr>
            <w:tcW w:w="2180" w:type="dxa"/>
            <w:shd w:val="clear" w:color="auto" w:fill="auto"/>
            <w:vAlign w:val="center"/>
          </w:tcPr>
          <w:p w14:paraId="60E9B7E4" w14:textId="77777777" w:rsidR="00425B78" w:rsidRPr="008368C5" w:rsidRDefault="00425B78" w:rsidP="00425B78">
            <w:pPr>
              <w:pStyle w:val="Wykazskrotowbold"/>
            </w:pPr>
            <w:r w:rsidRPr="008368C5">
              <w:t>CIS</w:t>
            </w:r>
          </w:p>
        </w:tc>
        <w:tc>
          <w:tcPr>
            <w:tcW w:w="6882" w:type="dxa"/>
            <w:shd w:val="clear" w:color="auto" w:fill="auto"/>
            <w:vAlign w:val="center"/>
          </w:tcPr>
          <w:p w14:paraId="01409B78" w14:textId="77777777" w:rsidR="00425B78" w:rsidRPr="008368C5" w:rsidRDefault="00425B78" w:rsidP="00425B78">
            <w:pPr>
              <w:pStyle w:val="Wykazskrotow"/>
              <w:rPr>
                <w:lang w:val="en-US"/>
              </w:rPr>
            </w:pPr>
            <w:r w:rsidRPr="005758F9">
              <w:t xml:space="preserve">Wspólna strategia wdrażania Ramowej Dyrektywy Wodnej (ang. </w:t>
            </w:r>
            <w:r w:rsidRPr="009B579A">
              <w:rPr>
                <w:i/>
                <w:iCs/>
                <w:lang w:val="en-US"/>
              </w:rPr>
              <w:t>Common Implementation Strategy for the Water Framework Directive</w:t>
            </w:r>
            <w:r w:rsidRPr="008368C5">
              <w:rPr>
                <w:lang w:val="en-US"/>
              </w:rPr>
              <w:t>)</w:t>
            </w:r>
          </w:p>
        </w:tc>
      </w:tr>
      <w:tr w:rsidR="00425B78" w:rsidRPr="008368C5" w14:paraId="090BB064" w14:textId="77777777" w:rsidTr="00425B78">
        <w:trPr>
          <w:cantSplit/>
          <w:trHeight w:val="340"/>
        </w:trPr>
        <w:tc>
          <w:tcPr>
            <w:tcW w:w="2180" w:type="dxa"/>
            <w:shd w:val="clear" w:color="auto" w:fill="auto"/>
            <w:vAlign w:val="center"/>
          </w:tcPr>
          <w:p w14:paraId="575A7E92" w14:textId="77777777" w:rsidR="00425B78" w:rsidRPr="008368C5" w:rsidRDefault="00425B78" w:rsidP="00425B78">
            <w:pPr>
              <w:pStyle w:val="Wykazskrotowbold"/>
            </w:pPr>
            <w:r w:rsidRPr="008368C5">
              <w:t>CRFOP</w:t>
            </w:r>
          </w:p>
        </w:tc>
        <w:tc>
          <w:tcPr>
            <w:tcW w:w="6882" w:type="dxa"/>
            <w:shd w:val="clear" w:color="auto" w:fill="auto"/>
            <w:vAlign w:val="center"/>
          </w:tcPr>
          <w:p w14:paraId="45B698AB" w14:textId="77777777" w:rsidR="00425B78" w:rsidRPr="008368C5" w:rsidRDefault="00425B78" w:rsidP="00425B78">
            <w:pPr>
              <w:pStyle w:val="Wykazskrotow"/>
            </w:pPr>
            <w:r w:rsidRPr="008368C5">
              <w:t>Centralny Rejestr Form Ochrony Przyrody</w:t>
            </w:r>
          </w:p>
        </w:tc>
      </w:tr>
      <w:tr w:rsidR="00425B78" w:rsidRPr="008368C5" w14:paraId="16EF5126" w14:textId="77777777" w:rsidTr="00425B78">
        <w:trPr>
          <w:cantSplit/>
          <w:trHeight w:val="340"/>
        </w:trPr>
        <w:tc>
          <w:tcPr>
            <w:tcW w:w="2180" w:type="dxa"/>
            <w:shd w:val="clear" w:color="auto" w:fill="auto"/>
            <w:vAlign w:val="center"/>
          </w:tcPr>
          <w:p w14:paraId="207A9EC2" w14:textId="77777777" w:rsidR="00425B78" w:rsidRPr="008368C5" w:rsidRDefault="00425B78" w:rsidP="00425B78">
            <w:pPr>
              <w:pStyle w:val="Wykazskrotowbold"/>
            </w:pPr>
            <w:r w:rsidRPr="008368C5">
              <w:t>DPE</w:t>
            </w:r>
          </w:p>
        </w:tc>
        <w:tc>
          <w:tcPr>
            <w:tcW w:w="6882" w:type="dxa"/>
            <w:shd w:val="clear" w:color="auto" w:fill="auto"/>
            <w:vAlign w:val="center"/>
          </w:tcPr>
          <w:p w14:paraId="1B293552" w14:textId="06E971F8" w:rsidR="00425B78" w:rsidRPr="008368C5" w:rsidRDefault="00ED384D" w:rsidP="00425B78">
            <w:pPr>
              <w:pStyle w:val="Wykazskrotow"/>
            </w:pPr>
            <w:r>
              <w:t>d</w:t>
            </w:r>
            <w:r w:rsidRPr="008368C5">
              <w:t xml:space="preserve">olna </w:t>
            </w:r>
            <w:r w:rsidR="00425B78" w:rsidRPr="008368C5">
              <w:t>granica potencjału ekologicznego</w:t>
            </w:r>
          </w:p>
        </w:tc>
      </w:tr>
      <w:tr w:rsidR="00425B78" w:rsidRPr="008368C5" w14:paraId="72A98619" w14:textId="77777777" w:rsidTr="00425B78">
        <w:trPr>
          <w:cantSplit/>
          <w:trHeight w:val="340"/>
        </w:trPr>
        <w:tc>
          <w:tcPr>
            <w:tcW w:w="2180" w:type="dxa"/>
            <w:shd w:val="clear" w:color="auto" w:fill="auto"/>
            <w:vAlign w:val="center"/>
          </w:tcPr>
          <w:p w14:paraId="7608E7C8" w14:textId="77777777" w:rsidR="00425B78" w:rsidRPr="008368C5" w:rsidRDefault="00425B78" w:rsidP="00425B78">
            <w:pPr>
              <w:pStyle w:val="Wykazskrotowbold"/>
            </w:pPr>
            <w:r w:rsidRPr="008368C5">
              <w:t>DSE</w:t>
            </w:r>
          </w:p>
        </w:tc>
        <w:tc>
          <w:tcPr>
            <w:tcW w:w="6882" w:type="dxa"/>
            <w:shd w:val="clear" w:color="auto" w:fill="auto"/>
            <w:vAlign w:val="center"/>
          </w:tcPr>
          <w:p w14:paraId="4EB0E0B6" w14:textId="44C5D8BD" w:rsidR="00425B78" w:rsidRPr="008368C5" w:rsidRDefault="00ED384D" w:rsidP="00425B78">
            <w:pPr>
              <w:pStyle w:val="Wykazskrotow"/>
            </w:pPr>
            <w:r>
              <w:t>d</w:t>
            </w:r>
            <w:r w:rsidRPr="008368C5">
              <w:t xml:space="preserve">olna </w:t>
            </w:r>
            <w:r w:rsidR="00425B78" w:rsidRPr="008368C5">
              <w:t>granica stanu ekologicznego</w:t>
            </w:r>
          </w:p>
        </w:tc>
      </w:tr>
      <w:tr w:rsidR="00425B78" w:rsidRPr="008368C5" w14:paraId="00D4D417" w14:textId="77777777" w:rsidTr="00425B78">
        <w:trPr>
          <w:cantSplit/>
          <w:trHeight w:val="340"/>
        </w:trPr>
        <w:tc>
          <w:tcPr>
            <w:tcW w:w="2180" w:type="dxa"/>
            <w:shd w:val="clear" w:color="auto" w:fill="auto"/>
            <w:vAlign w:val="center"/>
          </w:tcPr>
          <w:p w14:paraId="6C8A6112" w14:textId="77777777" w:rsidR="00425B78" w:rsidRPr="008368C5" w:rsidRDefault="00425B78" w:rsidP="00425B78">
            <w:pPr>
              <w:pStyle w:val="Wykazskrotowbold"/>
            </w:pPr>
            <w:r>
              <w:rPr>
                <w:rFonts w:eastAsia="Times New Roman"/>
                <w:lang w:eastAsia="pl-PL"/>
              </w:rPr>
              <w:t>DWP</w:t>
            </w:r>
            <w:r w:rsidRPr="008368C5">
              <w:t xml:space="preserve"> </w:t>
            </w:r>
          </w:p>
        </w:tc>
        <w:tc>
          <w:tcPr>
            <w:tcW w:w="6882" w:type="dxa"/>
            <w:shd w:val="clear" w:color="auto" w:fill="auto"/>
            <w:vAlign w:val="center"/>
          </w:tcPr>
          <w:p w14:paraId="13BAD046" w14:textId="77777777" w:rsidR="00425B78" w:rsidRPr="008368C5" w:rsidRDefault="00425B78" w:rsidP="00425B78">
            <w:pPr>
              <w:pStyle w:val="Wykazskrotow"/>
            </w:pPr>
            <w:r>
              <w:rPr>
                <w:rFonts w:eastAsia="Times New Roman"/>
                <w:color w:val="000000"/>
                <w:lang w:eastAsia="pl-PL"/>
              </w:rPr>
              <w:t>d</w:t>
            </w:r>
            <w:r w:rsidRPr="00795F17">
              <w:rPr>
                <w:rFonts w:eastAsia="Times New Roman"/>
                <w:color w:val="000000"/>
                <w:lang w:eastAsia="pl-PL"/>
              </w:rPr>
              <w:t>yrektywa 2006/118/WE Parlamentu Europejskiego i Rady z dnia 12 grudnia 2006 r. w sprawie ochrony wód podziemnych przed zanieczyszczeniem i pogorszeniem ich stanu (Dz.</w:t>
            </w:r>
            <w:r>
              <w:rPr>
                <w:rFonts w:eastAsia="Times New Roman"/>
                <w:color w:val="000000"/>
                <w:lang w:eastAsia="pl-PL"/>
              </w:rPr>
              <w:t xml:space="preserve"> </w:t>
            </w:r>
            <w:r w:rsidRPr="00795F17">
              <w:rPr>
                <w:rFonts w:eastAsia="Times New Roman"/>
                <w:color w:val="000000"/>
                <w:lang w:eastAsia="pl-PL"/>
              </w:rPr>
              <w:t xml:space="preserve">Urz. </w:t>
            </w:r>
            <w:r>
              <w:rPr>
                <w:rFonts w:eastAsia="Times New Roman"/>
                <w:color w:val="000000"/>
                <w:lang w:eastAsia="pl-PL"/>
              </w:rPr>
              <w:t>W</w:t>
            </w:r>
            <w:r w:rsidRPr="00795F17">
              <w:rPr>
                <w:rFonts w:eastAsia="Times New Roman"/>
                <w:color w:val="000000"/>
                <w:lang w:eastAsia="pl-PL"/>
              </w:rPr>
              <w:t>E L 372/19 z 27</w:t>
            </w:r>
            <w:r>
              <w:rPr>
                <w:rFonts w:eastAsia="Times New Roman"/>
                <w:color w:val="000000"/>
                <w:lang w:eastAsia="pl-PL"/>
              </w:rPr>
              <w:t>.12.</w:t>
            </w:r>
            <w:r w:rsidRPr="00795F17">
              <w:rPr>
                <w:rFonts w:eastAsia="Times New Roman"/>
                <w:color w:val="000000"/>
                <w:lang w:eastAsia="pl-PL"/>
              </w:rPr>
              <w:t>2006 r.</w:t>
            </w:r>
            <w:r>
              <w:rPr>
                <w:rFonts w:eastAsia="Times New Roman"/>
                <w:color w:val="000000"/>
                <w:lang w:eastAsia="pl-PL"/>
              </w:rPr>
              <w:t>, str.19</w:t>
            </w:r>
            <w:r w:rsidRPr="00795F17">
              <w:rPr>
                <w:rFonts w:eastAsia="Times New Roman"/>
                <w:color w:val="000000"/>
                <w:lang w:eastAsia="pl-PL"/>
              </w:rPr>
              <w:t xml:space="preserve">) oraz </w:t>
            </w:r>
            <w:r>
              <w:rPr>
                <w:rFonts w:eastAsia="Times New Roman"/>
                <w:color w:val="000000"/>
                <w:lang w:eastAsia="pl-PL"/>
              </w:rPr>
              <w:t>d</w:t>
            </w:r>
            <w:r w:rsidRPr="00795F17">
              <w:rPr>
                <w:rFonts w:eastAsia="Times New Roman"/>
                <w:color w:val="000000"/>
                <w:lang w:eastAsia="pl-PL"/>
              </w:rPr>
              <w:t>yrektywa Komisji 2014/80/UE z dnia 20 czerwca 2014 r. zmieniająca załącznik II do dyrektywy 2006/118/WE Parlamentu Europejskiego i Rady w sprawie ochrony wód podziemnych przed zanieczyszczeniem i pogorszeniem ich stanu (Dz.</w:t>
            </w:r>
            <w:r>
              <w:rPr>
                <w:rFonts w:eastAsia="Times New Roman"/>
                <w:color w:val="000000"/>
                <w:lang w:eastAsia="pl-PL"/>
              </w:rPr>
              <w:t xml:space="preserve"> </w:t>
            </w:r>
            <w:r w:rsidRPr="00795F17">
              <w:rPr>
                <w:rFonts w:eastAsia="Times New Roman"/>
                <w:color w:val="000000"/>
                <w:lang w:eastAsia="pl-PL"/>
              </w:rPr>
              <w:t>Urz. UE L 182</w:t>
            </w:r>
            <w:r>
              <w:rPr>
                <w:rFonts w:eastAsia="Times New Roman"/>
                <w:color w:val="000000"/>
                <w:lang w:eastAsia="pl-PL"/>
              </w:rPr>
              <w:t xml:space="preserve"> z</w:t>
            </w:r>
            <w:r w:rsidRPr="00795F17">
              <w:rPr>
                <w:rFonts w:eastAsia="Times New Roman"/>
                <w:color w:val="000000"/>
                <w:lang w:eastAsia="pl-PL"/>
              </w:rPr>
              <w:t xml:space="preserve"> 21</w:t>
            </w:r>
            <w:r>
              <w:rPr>
                <w:rFonts w:eastAsia="Times New Roman"/>
                <w:color w:val="000000"/>
                <w:lang w:eastAsia="pl-PL"/>
              </w:rPr>
              <w:t>.06.</w:t>
            </w:r>
            <w:r w:rsidRPr="00795F17">
              <w:rPr>
                <w:rFonts w:eastAsia="Times New Roman"/>
                <w:color w:val="000000"/>
                <w:lang w:eastAsia="pl-PL"/>
              </w:rPr>
              <w:t>201</w:t>
            </w:r>
            <w:r>
              <w:rPr>
                <w:rFonts w:eastAsia="Times New Roman"/>
                <w:color w:val="000000"/>
                <w:lang w:eastAsia="pl-PL"/>
              </w:rPr>
              <w:t>4</w:t>
            </w:r>
            <w:r w:rsidRPr="00795F17">
              <w:rPr>
                <w:rFonts w:eastAsia="Times New Roman"/>
                <w:color w:val="000000"/>
                <w:lang w:eastAsia="pl-PL"/>
              </w:rPr>
              <w:t xml:space="preserve"> r.</w:t>
            </w:r>
            <w:r>
              <w:rPr>
                <w:rFonts w:eastAsia="Times New Roman"/>
                <w:color w:val="000000"/>
                <w:lang w:eastAsia="pl-PL"/>
              </w:rPr>
              <w:t>, str. 52</w:t>
            </w:r>
            <w:r w:rsidRPr="00795F17">
              <w:rPr>
                <w:rFonts w:eastAsia="Times New Roman"/>
                <w:color w:val="000000"/>
                <w:lang w:eastAsia="pl-PL"/>
              </w:rPr>
              <w:t>)</w:t>
            </w:r>
          </w:p>
        </w:tc>
      </w:tr>
      <w:tr w:rsidR="00425B78" w:rsidRPr="008368C5" w14:paraId="3C927FA7" w14:textId="77777777" w:rsidTr="00425B78">
        <w:trPr>
          <w:cantSplit/>
          <w:trHeight w:val="340"/>
        </w:trPr>
        <w:tc>
          <w:tcPr>
            <w:tcW w:w="2180" w:type="dxa"/>
            <w:shd w:val="clear" w:color="auto" w:fill="auto"/>
            <w:vAlign w:val="center"/>
          </w:tcPr>
          <w:p w14:paraId="7FD934D8" w14:textId="77777777" w:rsidR="00425B78" w:rsidRPr="004511BC" w:rsidRDefault="00425B78" w:rsidP="00425B78">
            <w:pPr>
              <w:pStyle w:val="Wykazskrotowbold"/>
            </w:pPr>
            <w:r w:rsidRPr="002B61B7">
              <w:rPr>
                <w:rFonts w:eastAsia="Times New Roman"/>
                <w:lang w:eastAsia="pl-PL"/>
              </w:rPr>
              <w:t>Dyrektywa Azotanowa </w:t>
            </w:r>
          </w:p>
        </w:tc>
        <w:tc>
          <w:tcPr>
            <w:tcW w:w="6882" w:type="dxa"/>
            <w:shd w:val="clear" w:color="auto" w:fill="auto"/>
            <w:vAlign w:val="center"/>
          </w:tcPr>
          <w:p w14:paraId="4ACD2F0A" w14:textId="77777777" w:rsidR="00425B78" w:rsidRPr="00170BA3" w:rsidRDefault="00425B78" w:rsidP="00425B78">
            <w:pPr>
              <w:pStyle w:val="Wykazskrotow"/>
            </w:pPr>
            <w:r>
              <w:rPr>
                <w:rFonts w:eastAsia="Times New Roman"/>
                <w:color w:val="000000"/>
                <w:lang w:eastAsia="pl-PL"/>
              </w:rPr>
              <w:t>d</w:t>
            </w:r>
            <w:r w:rsidRPr="00795F17">
              <w:rPr>
                <w:rFonts w:eastAsia="Times New Roman"/>
                <w:color w:val="000000"/>
                <w:lang w:eastAsia="pl-PL"/>
              </w:rPr>
              <w:t>yrektywa Rady</w:t>
            </w:r>
            <w:r>
              <w:rPr>
                <w:rFonts w:eastAsia="Times New Roman"/>
                <w:color w:val="000000"/>
                <w:lang w:eastAsia="pl-PL"/>
              </w:rPr>
              <w:t xml:space="preserve"> </w:t>
            </w:r>
            <w:r w:rsidRPr="00795F17">
              <w:rPr>
                <w:rFonts w:eastAsia="Times New Roman"/>
                <w:color w:val="000000"/>
                <w:lang w:eastAsia="pl-PL"/>
              </w:rPr>
              <w:t>91/676/EWG z dnia 12 grudnia 1991 r. dotycząca ochrony wód przed zanieczyszczeniami powodowanymi przez azotany pochodzenia rolniczego (Dz.</w:t>
            </w:r>
            <w:r>
              <w:rPr>
                <w:rFonts w:eastAsia="Times New Roman"/>
                <w:color w:val="000000"/>
                <w:lang w:eastAsia="pl-PL"/>
              </w:rPr>
              <w:t xml:space="preserve"> </w:t>
            </w:r>
            <w:r w:rsidRPr="00795F17">
              <w:rPr>
                <w:rFonts w:eastAsia="Times New Roman"/>
                <w:color w:val="000000"/>
                <w:lang w:eastAsia="pl-PL"/>
              </w:rPr>
              <w:t xml:space="preserve">Urz. </w:t>
            </w:r>
            <w:r>
              <w:rPr>
                <w:rFonts w:eastAsia="Times New Roman"/>
                <w:color w:val="000000"/>
                <w:lang w:eastAsia="pl-PL"/>
              </w:rPr>
              <w:t>W</w:t>
            </w:r>
            <w:r w:rsidRPr="00795F17">
              <w:rPr>
                <w:rFonts w:eastAsia="Times New Roman"/>
                <w:color w:val="000000"/>
                <w:lang w:eastAsia="pl-PL"/>
              </w:rPr>
              <w:t>E L 375</w:t>
            </w:r>
            <w:r>
              <w:rPr>
                <w:rFonts w:eastAsia="Times New Roman"/>
                <w:color w:val="000000"/>
                <w:lang w:eastAsia="pl-PL"/>
              </w:rPr>
              <w:t xml:space="preserve"> z </w:t>
            </w:r>
            <w:r w:rsidRPr="00795F17">
              <w:rPr>
                <w:rFonts w:eastAsia="Times New Roman"/>
                <w:color w:val="000000"/>
                <w:lang w:eastAsia="pl-PL"/>
              </w:rPr>
              <w:t>31</w:t>
            </w:r>
            <w:r>
              <w:rPr>
                <w:rFonts w:eastAsia="Times New Roman"/>
                <w:color w:val="000000"/>
                <w:lang w:eastAsia="pl-PL"/>
              </w:rPr>
              <w:t>.12.</w:t>
            </w:r>
            <w:r w:rsidRPr="00795F17">
              <w:rPr>
                <w:rFonts w:eastAsia="Times New Roman"/>
                <w:color w:val="000000"/>
                <w:lang w:eastAsia="pl-PL"/>
              </w:rPr>
              <w:t>1991 r.</w:t>
            </w:r>
            <w:r>
              <w:rPr>
                <w:rFonts w:eastAsia="Times New Roman"/>
                <w:color w:val="000000"/>
                <w:lang w:eastAsia="pl-PL"/>
              </w:rPr>
              <w:t>, str. 1 – Dz. Urz. UE Polskie wydanie specjalne, rozdz. 15, t. 2, str. 68, z późn. zm.)</w:t>
            </w:r>
          </w:p>
        </w:tc>
      </w:tr>
      <w:tr w:rsidR="00425B78" w:rsidRPr="008368C5" w14:paraId="41FAEAF2" w14:textId="77777777" w:rsidTr="00425B78">
        <w:trPr>
          <w:cantSplit/>
          <w:trHeight w:val="340"/>
        </w:trPr>
        <w:tc>
          <w:tcPr>
            <w:tcW w:w="2180" w:type="dxa"/>
            <w:shd w:val="clear" w:color="auto" w:fill="auto"/>
            <w:vAlign w:val="center"/>
          </w:tcPr>
          <w:p w14:paraId="5B380E85" w14:textId="77777777" w:rsidR="00425B78" w:rsidRPr="008368C5" w:rsidRDefault="00425B78" w:rsidP="00425B78">
            <w:pPr>
              <w:pStyle w:val="Wykazskrotowbold"/>
            </w:pPr>
            <w:r w:rsidRPr="004511BC">
              <w:t xml:space="preserve">Dyrektywa dot. jakości wody do spożycia </w:t>
            </w:r>
          </w:p>
        </w:tc>
        <w:tc>
          <w:tcPr>
            <w:tcW w:w="6882" w:type="dxa"/>
            <w:shd w:val="clear" w:color="auto" w:fill="auto"/>
            <w:vAlign w:val="center"/>
          </w:tcPr>
          <w:p w14:paraId="1091F0E4" w14:textId="77777777" w:rsidR="00425B78" w:rsidRDefault="00425B78" w:rsidP="00425B78">
            <w:pPr>
              <w:pStyle w:val="Wykazskrotow"/>
              <w:rPr>
                <w:rFonts w:eastAsia="Times New Roman"/>
                <w:color w:val="000000"/>
                <w:lang w:eastAsia="pl-PL"/>
              </w:rPr>
            </w:pPr>
            <w:r>
              <w:rPr>
                <w:rFonts w:eastAsia="Times New Roman"/>
                <w:color w:val="000000"/>
                <w:lang w:eastAsia="pl-PL"/>
              </w:rPr>
              <w:t>d</w:t>
            </w:r>
            <w:r w:rsidRPr="00795F17">
              <w:rPr>
                <w:rFonts w:eastAsia="Times New Roman"/>
                <w:color w:val="000000"/>
                <w:lang w:eastAsia="pl-PL"/>
              </w:rPr>
              <w:t xml:space="preserve">yrektywa Rady 98/83/WE </w:t>
            </w:r>
            <w:r>
              <w:rPr>
                <w:rFonts w:eastAsia="Times New Roman"/>
                <w:color w:val="000000"/>
                <w:lang w:eastAsia="pl-PL"/>
              </w:rPr>
              <w:t xml:space="preserve">z dnia 3 listopada 1998 r. </w:t>
            </w:r>
            <w:r w:rsidRPr="00795F17">
              <w:rPr>
                <w:rFonts w:eastAsia="Times New Roman"/>
                <w:color w:val="000000"/>
                <w:lang w:eastAsia="pl-PL"/>
              </w:rPr>
              <w:t>w sprawie jakości wody przeznaczonej do spożycia przez ludzi (Dz.</w:t>
            </w:r>
            <w:r>
              <w:rPr>
                <w:rFonts w:eastAsia="Times New Roman"/>
                <w:color w:val="000000"/>
                <w:lang w:eastAsia="pl-PL"/>
              </w:rPr>
              <w:t xml:space="preserve"> </w:t>
            </w:r>
            <w:r w:rsidRPr="00795F17">
              <w:rPr>
                <w:rFonts w:eastAsia="Times New Roman"/>
                <w:color w:val="000000"/>
                <w:lang w:eastAsia="pl-PL"/>
              </w:rPr>
              <w:t xml:space="preserve">Urz. </w:t>
            </w:r>
            <w:r>
              <w:rPr>
                <w:rFonts w:eastAsia="Times New Roman"/>
                <w:color w:val="000000"/>
                <w:lang w:eastAsia="pl-PL"/>
              </w:rPr>
              <w:t>W</w:t>
            </w:r>
            <w:r w:rsidRPr="00795F17">
              <w:rPr>
                <w:rFonts w:eastAsia="Times New Roman"/>
                <w:color w:val="000000"/>
                <w:lang w:eastAsia="pl-PL"/>
              </w:rPr>
              <w:t>E L 330</w:t>
            </w:r>
            <w:r w:rsidRPr="00170BA3">
              <w:rPr>
                <w:rFonts w:eastAsia="Times New Roman"/>
                <w:color w:val="000000"/>
                <w:lang w:eastAsia="pl-PL"/>
              </w:rPr>
              <w:t xml:space="preserve"> z 5</w:t>
            </w:r>
            <w:r>
              <w:rPr>
                <w:rFonts w:eastAsia="Times New Roman"/>
                <w:color w:val="000000"/>
                <w:lang w:eastAsia="pl-PL"/>
              </w:rPr>
              <w:t>.12.</w:t>
            </w:r>
            <w:r w:rsidRPr="00170BA3">
              <w:rPr>
                <w:rFonts w:eastAsia="Times New Roman"/>
                <w:color w:val="000000"/>
                <w:lang w:eastAsia="pl-PL"/>
              </w:rPr>
              <w:t>1998 r.</w:t>
            </w:r>
            <w:r>
              <w:rPr>
                <w:rFonts w:eastAsia="Times New Roman"/>
                <w:color w:val="000000"/>
                <w:lang w:eastAsia="pl-PL"/>
              </w:rPr>
              <w:t>, str. 32 – Dz. Urz. UE Polskie Wydanie specjalne, rozdz. 15, t. 4, str. 90, z późn. zm.</w:t>
            </w:r>
            <w:r w:rsidRPr="00795F17">
              <w:rPr>
                <w:rFonts w:eastAsia="Times New Roman"/>
                <w:color w:val="000000"/>
                <w:lang w:eastAsia="pl-PL"/>
              </w:rPr>
              <w:t>)</w:t>
            </w:r>
            <w:r w:rsidRPr="00795F17">
              <w:rPr>
                <w:rFonts w:eastAsia="Times New Roman"/>
                <w:color w:val="000000"/>
                <w:lang w:eastAsia="pl-PL"/>
              </w:rPr>
              <w:tab/>
            </w:r>
          </w:p>
          <w:p w14:paraId="49D315DF" w14:textId="77777777" w:rsidR="00425B78" w:rsidRPr="00535AD5" w:rsidRDefault="00425B78" w:rsidP="00425B78">
            <w:pPr>
              <w:pStyle w:val="Wykazskrotow"/>
              <w:rPr>
                <w:rFonts w:eastAsia="Times New Roman"/>
                <w:color w:val="000000"/>
                <w:lang w:eastAsia="pl-PL"/>
              </w:rPr>
            </w:pPr>
            <w:r>
              <w:rPr>
                <w:rFonts w:eastAsia="Times New Roman"/>
                <w:color w:val="000000"/>
                <w:lang w:eastAsia="pl-PL"/>
              </w:rPr>
              <w:t>d</w:t>
            </w:r>
            <w:r w:rsidRPr="00795F17">
              <w:rPr>
                <w:rFonts w:eastAsia="Times New Roman"/>
                <w:color w:val="000000"/>
                <w:lang w:eastAsia="pl-PL"/>
              </w:rPr>
              <w:t>yrektywa Parlamentu Europejskiego i Rady (UE) 2020/2184 z dnia 16 grudnia 2020 r. w sprawie jakości wody przeznaczonej do spożycia przez ludzi (wersja przekształcona) Dz.</w:t>
            </w:r>
            <w:r>
              <w:rPr>
                <w:rFonts w:eastAsia="Times New Roman"/>
                <w:color w:val="000000"/>
                <w:lang w:eastAsia="pl-PL"/>
              </w:rPr>
              <w:t xml:space="preserve"> </w:t>
            </w:r>
            <w:r w:rsidRPr="00795F17">
              <w:rPr>
                <w:rFonts w:eastAsia="Times New Roman"/>
                <w:color w:val="000000"/>
                <w:lang w:eastAsia="pl-PL"/>
              </w:rPr>
              <w:t>Urz. UE L 435</w:t>
            </w:r>
            <w:r>
              <w:rPr>
                <w:rFonts w:eastAsia="Times New Roman"/>
                <w:color w:val="000000"/>
                <w:lang w:eastAsia="pl-PL"/>
              </w:rPr>
              <w:t xml:space="preserve"> </w:t>
            </w:r>
            <w:r w:rsidRPr="00795F17">
              <w:rPr>
                <w:rFonts w:eastAsia="Times New Roman"/>
                <w:color w:val="000000"/>
                <w:lang w:eastAsia="pl-PL"/>
              </w:rPr>
              <w:t>z 23</w:t>
            </w:r>
            <w:r>
              <w:rPr>
                <w:rFonts w:eastAsia="Times New Roman"/>
                <w:color w:val="000000"/>
                <w:lang w:eastAsia="pl-PL"/>
              </w:rPr>
              <w:t>.12.</w:t>
            </w:r>
            <w:r w:rsidRPr="00795F17">
              <w:rPr>
                <w:rFonts w:eastAsia="Times New Roman"/>
                <w:color w:val="000000"/>
                <w:lang w:eastAsia="pl-PL"/>
              </w:rPr>
              <w:t>2020 r.</w:t>
            </w:r>
            <w:r>
              <w:rPr>
                <w:rFonts w:eastAsia="Times New Roman"/>
                <w:color w:val="000000"/>
                <w:lang w:eastAsia="pl-PL"/>
              </w:rPr>
              <w:t>, str. 1</w:t>
            </w:r>
            <w:r w:rsidRPr="00795F17">
              <w:rPr>
                <w:rFonts w:eastAsia="Times New Roman"/>
                <w:color w:val="000000"/>
                <w:lang w:eastAsia="pl-PL"/>
              </w:rPr>
              <w:t>)</w:t>
            </w:r>
          </w:p>
        </w:tc>
      </w:tr>
      <w:tr w:rsidR="00425B78" w:rsidRPr="008368C5" w14:paraId="2E9956A6" w14:textId="77777777" w:rsidTr="00425B78">
        <w:trPr>
          <w:cantSplit/>
          <w:trHeight w:val="340"/>
        </w:trPr>
        <w:tc>
          <w:tcPr>
            <w:tcW w:w="2180" w:type="dxa"/>
            <w:shd w:val="clear" w:color="auto" w:fill="auto"/>
            <w:vAlign w:val="center"/>
          </w:tcPr>
          <w:p w14:paraId="52142512" w14:textId="77777777" w:rsidR="00425B78" w:rsidRPr="008368C5" w:rsidRDefault="00425B78" w:rsidP="00425B78">
            <w:pPr>
              <w:pStyle w:val="Wykazskrotowbold"/>
            </w:pPr>
            <w:r w:rsidRPr="008368C5">
              <w:t>Dz.</w:t>
            </w:r>
            <w:r>
              <w:t xml:space="preserve"> </w:t>
            </w:r>
            <w:r w:rsidRPr="008368C5">
              <w:t>U.</w:t>
            </w:r>
          </w:p>
        </w:tc>
        <w:tc>
          <w:tcPr>
            <w:tcW w:w="6882" w:type="dxa"/>
            <w:shd w:val="clear" w:color="auto" w:fill="auto"/>
            <w:vAlign w:val="center"/>
          </w:tcPr>
          <w:p w14:paraId="69DF179A" w14:textId="77777777" w:rsidR="00425B78" w:rsidRPr="008368C5" w:rsidRDefault="00425B78" w:rsidP="00425B78">
            <w:pPr>
              <w:pStyle w:val="Wykazskrotow"/>
            </w:pPr>
            <w:r w:rsidRPr="008368C5">
              <w:t>Dziennik Ustaw</w:t>
            </w:r>
            <w:r>
              <w:t xml:space="preserve"> Rzeczypospolitej Polskiej</w:t>
            </w:r>
          </w:p>
        </w:tc>
      </w:tr>
      <w:tr w:rsidR="00425B78" w:rsidRPr="008368C5" w14:paraId="4BD9A50A" w14:textId="77777777" w:rsidTr="00425B78">
        <w:trPr>
          <w:cantSplit/>
          <w:trHeight w:val="340"/>
        </w:trPr>
        <w:tc>
          <w:tcPr>
            <w:tcW w:w="2180" w:type="dxa"/>
            <w:vAlign w:val="center"/>
          </w:tcPr>
          <w:p w14:paraId="4B9DE0C4" w14:textId="77777777" w:rsidR="00425B78" w:rsidRPr="008368C5" w:rsidRDefault="00425B78" w:rsidP="00425B78">
            <w:pPr>
              <w:pStyle w:val="Wykazskrotowbold"/>
            </w:pPr>
            <w:r w:rsidRPr="008368C5">
              <w:t>Dz.</w:t>
            </w:r>
            <w:r>
              <w:t xml:space="preserve"> </w:t>
            </w:r>
            <w:r w:rsidRPr="008368C5">
              <w:t>Urz. UE L</w:t>
            </w:r>
          </w:p>
        </w:tc>
        <w:tc>
          <w:tcPr>
            <w:tcW w:w="6882" w:type="dxa"/>
            <w:vAlign w:val="center"/>
          </w:tcPr>
          <w:p w14:paraId="02C49D78" w14:textId="77777777" w:rsidR="00425B78" w:rsidRPr="008368C5" w:rsidRDefault="00425B78" w:rsidP="00425B78">
            <w:pPr>
              <w:pStyle w:val="Wykazskrotow"/>
            </w:pPr>
            <w:r w:rsidRPr="008368C5">
              <w:t>Dziennik Urzędowy Unii Europejskiej, seria L (Legislacja)</w:t>
            </w:r>
          </w:p>
        </w:tc>
      </w:tr>
      <w:tr w:rsidR="00425B78" w:rsidRPr="008368C5" w14:paraId="35CCC8E6" w14:textId="77777777" w:rsidTr="00425B78">
        <w:trPr>
          <w:cantSplit/>
          <w:trHeight w:val="340"/>
        </w:trPr>
        <w:tc>
          <w:tcPr>
            <w:tcW w:w="2180" w:type="dxa"/>
            <w:vAlign w:val="center"/>
          </w:tcPr>
          <w:p w14:paraId="779D3D0F" w14:textId="77777777" w:rsidR="00425B78" w:rsidRPr="008368C5" w:rsidRDefault="00425B78" w:rsidP="00425B78">
            <w:pPr>
              <w:pStyle w:val="Wykazskrotowbold"/>
            </w:pPr>
            <w:r w:rsidRPr="008368C5">
              <w:rPr>
                <w:rFonts w:eastAsia="Times New Roman"/>
                <w:lang w:eastAsia="pl-PL"/>
              </w:rPr>
              <w:t>EFI+PL</w:t>
            </w:r>
          </w:p>
        </w:tc>
        <w:tc>
          <w:tcPr>
            <w:tcW w:w="6882" w:type="dxa"/>
            <w:vAlign w:val="center"/>
          </w:tcPr>
          <w:p w14:paraId="663C63C7" w14:textId="4ADF1187" w:rsidR="00425B78" w:rsidRPr="008368C5" w:rsidRDefault="00ED384D" w:rsidP="00425B78">
            <w:pPr>
              <w:pStyle w:val="Wykazskrotow"/>
            </w:pPr>
            <w:r>
              <w:rPr>
                <w:rFonts w:eastAsia="Times New Roman"/>
                <w:lang w:eastAsia="pl-PL"/>
              </w:rPr>
              <w:t>dw</w:t>
            </w:r>
            <w:r w:rsidR="00425B78" w:rsidRPr="008368C5">
              <w:rPr>
                <w:rFonts w:eastAsia="Times New Roman"/>
                <w:lang w:eastAsia="pl-PL"/>
              </w:rPr>
              <w:t>elometryczny wskaźnik do oceny stanu/potencjału ekologicznego rzek w oparciu o ichtiofaunę stosowany w PMŚ w Polsce</w:t>
            </w:r>
          </w:p>
        </w:tc>
      </w:tr>
      <w:tr w:rsidR="00425B78" w:rsidRPr="008368C5" w14:paraId="4DE2E175" w14:textId="77777777" w:rsidTr="00425B78">
        <w:trPr>
          <w:cantSplit/>
          <w:trHeight w:val="340"/>
        </w:trPr>
        <w:tc>
          <w:tcPr>
            <w:tcW w:w="2180" w:type="dxa"/>
            <w:shd w:val="clear" w:color="auto" w:fill="auto"/>
            <w:vAlign w:val="center"/>
          </w:tcPr>
          <w:p w14:paraId="0C43DFD9" w14:textId="77777777" w:rsidR="00425B78" w:rsidRPr="008368C5" w:rsidRDefault="00425B78" w:rsidP="00425B78">
            <w:pPr>
              <w:pStyle w:val="Wykazskrotowbold"/>
            </w:pPr>
            <w:r w:rsidRPr="008368C5">
              <w:t>EFRROW</w:t>
            </w:r>
          </w:p>
        </w:tc>
        <w:tc>
          <w:tcPr>
            <w:tcW w:w="6882" w:type="dxa"/>
            <w:shd w:val="clear" w:color="auto" w:fill="auto"/>
            <w:vAlign w:val="center"/>
          </w:tcPr>
          <w:p w14:paraId="22EF3577" w14:textId="77777777" w:rsidR="00425B78" w:rsidRPr="008368C5" w:rsidRDefault="00425B78" w:rsidP="00425B78">
            <w:pPr>
              <w:pStyle w:val="Wykazskrotow"/>
            </w:pPr>
            <w:r w:rsidRPr="008368C5">
              <w:t>Europejski Fundusz Rolny na rzecz Rozwoju Obszarów Wiejskich</w:t>
            </w:r>
          </w:p>
        </w:tc>
      </w:tr>
      <w:tr w:rsidR="00425B78" w:rsidRPr="008368C5" w14:paraId="5ADEE469" w14:textId="77777777" w:rsidTr="00425B78">
        <w:trPr>
          <w:cantSplit/>
          <w:trHeight w:val="340"/>
        </w:trPr>
        <w:tc>
          <w:tcPr>
            <w:tcW w:w="2180" w:type="dxa"/>
            <w:shd w:val="clear" w:color="auto" w:fill="auto"/>
            <w:vAlign w:val="center"/>
          </w:tcPr>
          <w:p w14:paraId="13F02D6F" w14:textId="77777777" w:rsidR="00425B78" w:rsidRPr="008368C5" w:rsidRDefault="00425B78" w:rsidP="00425B78">
            <w:pPr>
              <w:pStyle w:val="Wykazskrotowbold"/>
            </w:pPr>
            <w:r w:rsidRPr="008368C5">
              <w:t>ELZPd</w:t>
            </w:r>
          </w:p>
        </w:tc>
        <w:tc>
          <w:tcPr>
            <w:tcW w:w="6882" w:type="dxa"/>
            <w:shd w:val="clear" w:color="auto" w:fill="auto"/>
            <w:vAlign w:val="center"/>
          </w:tcPr>
          <w:p w14:paraId="000BAC55" w14:textId="6AB05044" w:rsidR="00425B78" w:rsidRPr="008368C5" w:rsidRDefault="00ED384D" w:rsidP="00425B78">
            <w:pPr>
              <w:pStyle w:val="Wykazskrotow"/>
            </w:pPr>
            <w:r>
              <w:t>e</w:t>
            </w:r>
            <w:r w:rsidRPr="008368C5">
              <w:t xml:space="preserve">kosystemy </w:t>
            </w:r>
            <w:r w:rsidR="00425B78" w:rsidRPr="008368C5">
              <w:t>lądowe zależne od wód podziemnych</w:t>
            </w:r>
          </w:p>
        </w:tc>
      </w:tr>
      <w:tr w:rsidR="00425B78" w:rsidRPr="008368C5" w14:paraId="7CA1E458" w14:textId="77777777" w:rsidTr="00425B78">
        <w:trPr>
          <w:trHeight w:val="340"/>
        </w:trPr>
        <w:tc>
          <w:tcPr>
            <w:tcW w:w="2180" w:type="dxa"/>
          </w:tcPr>
          <w:p w14:paraId="33ED7E71" w14:textId="77777777" w:rsidR="00425B78" w:rsidRPr="008368C5" w:rsidRDefault="00425B78" w:rsidP="00425B78">
            <w:pPr>
              <w:pStyle w:val="Wykazskrotowbold"/>
            </w:pPr>
            <w:r w:rsidRPr="008368C5">
              <w:t>ENPVE</w:t>
            </w:r>
          </w:p>
        </w:tc>
        <w:tc>
          <w:tcPr>
            <w:tcW w:w="6882" w:type="dxa"/>
          </w:tcPr>
          <w:p w14:paraId="3918848D" w14:textId="090433F2" w:rsidR="00425B78" w:rsidRPr="008368C5" w:rsidRDefault="00ED384D" w:rsidP="00425B78">
            <w:pPr>
              <w:pStyle w:val="Wykazskrotow"/>
            </w:pPr>
            <w:r>
              <w:t>e</w:t>
            </w:r>
            <w:r w:rsidRPr="008368C5">
              <w:t xml:space="preserve">konomiczna </w:t>
            </w:r>
            <w:r w:rsidR="00425B78" w:rsidRPr="008368C5">
              <w:t>stopa zwrotu inwestycji</w:t>
            </w:r>
          </w:p>
        </w:tc>
      </w:tr>
      <w:tr w:rsidR="00425B78" w:rsidRPr="008368C5" w14:paraId="3AAD79CA" w14:textId="77777777" w:rsidTr="00425B78">
        <w:trPr>
          <w:cantSplit/>
          <w:trHeight w:val="340"/>
        </w:trPr>
        <w:tc>
          <w:tcPr>
            <w:tcW w:w="2180" w:type="dxa"/>
            <w:shd w:val="clear" w:color="auto" w:fill="auto"/>
            <w:vAlign w:val="center"/>
          </w:tcPr>
          <w:p w14:paraId="69C1FCFA" w14:textId="77777777" w:rsidR="00425B78" w:rsidRPr="008368C5" w:rsidRDefault="00425B78" w:rsidP="00425B78">
            <w:pPr>
              <w:pStyle w:val="Wykazskrotowbold"/>
            </w:pPr>
            <w:r w:rsidRPr="008368C5">
              <w:t>E</w:t>
            </w:r>
            <w:r>
              <w:t>-</w:t>
            </w:r>
            <w:r w:rsidRPr="008368C5">
              <w:t>PRTR</w:t>
            </w:r>
          </w:p>
        </w:tc>
        <w:tc>
          <w:tcPr>
            <w:tcW w:w="6882" w:type="dxa"/>
            <w:shd w:val="clear" w:color="auto" w:fill="auto"/>
            <w:vAlign w:val="center"/>
          </w:tcPr>
          <w:p w14:paraId="5212EA25" w14:textId="77777777" w:rsidR="00425B78" w:rsidRPr="008368C5" w:rsidRDefault="00425B78" w:rsidP="00425B78">
            <w:pPr>
              <w:pStyle w:val="Wykazskrotow"/>
            </w:pPr>
            <w:r>
              <w:t>Europejski</w:t>
            </w:r>
            <w:r w:rsidRPr="008368C5">
              <w:t xml:space="preserve"> Rejestr Uwalniania i Transferu Zanieczyszczeń</w:t>
            </w:r>
          </w:p>
        </w:tc>
      </w:tr>
      <w:tr w:rsidR="00425B78" w:rsidRPr="008368C5" w14:paraId="2339E217" w14:textId="77777777" w:rsidTr="00425B78">
        <w:trPr>
          <w:cantSplit/>
          <w:trHeight w:val="340"/>
        </w:trPr>
        <w:tc>
          <w:tcPr>
            <w:tcW w:w="2180" w:type="dxa"/>
            <w:vAlign w:val="center"/>
          </w:tcPr>
          <w:p w14:paraId="2C2606E3" w14:textId="77777777" w:rsidR="00425B78" w:rsidRPr="008368C5" w:rsidRDefault="00425B78" w:rsidP="00425B78">
            <w:pPr>
              <w:pStyle w:val="Wykazskrotowbold"/>
            </w:pPr>
            <w:r w:rsidRPr="008368C5">
              <w:t>EQS</w:t>
            </w:r>
          </w:p>
        </w:tc>
        <w:tc>
          <w:tcPr>
            <w:tcW w:w="6882" w:type="dxa"/>
            <w:vAlign w:val="center"/>
          </w:tcPr>
          <w:p w14:paraId="49E2F766" w14:textId="01498C55" w:rsidR="00425B78" w:rsidRPr="008368C5" w:rsidRDefault="00ED384D" w:rsidP="00425B78">
            <w:pPr>
              <w:pStyle w:val="Wykazskrotow"/>
            </w:pPr>
            <w:r>
              <w:t>ś</w:t>
            </w:r>
            <w:r w:rsidRPr="008368C5">
              <w:t xml:space="preserve">rodowiskowe </w:t>
            </w:r>
            <w:r w:rsidR="00425B78" w:rsidRPr="008368C5">
              <w:t>normy jakości (</w:t>
            </w:r>
            <w:r w:rsidR="00425B78">
              <w:t xml:space="preserve">ang. </w:t>
            </w:r>
            <w:r w:rsidR="00425B78" w:rsidRPr="008368C5">
              <w:rPr>
                <w:i/>
              </w:rPr>
              <w:t>environmental quality standards</w:t>
            </w:r>
            <w:r w:rsidR="00425B78" w:rsidRPr="008368C5">
              <w:t>)</w:t>
            </w:r>
          </w:p>
        </w:tc>
      </w:tr>
      <w:tr w:rsidR="00425B78" w:rsidRPr="008368C5" w14:paraId="141A0481" w14:textId="77777777" w:rsidTr="00425B78">
        <w:trPr>
          <w:cantSplit/>
          <w:trHeight w:val="340"/>
        </w:trPr>
        <w:tc>
          <w:tcPr>
            <w:tcW w:w="2180" w:type="dxa"/>
            <w:shd w:val="clear" w:color="auto" w:fill="auto"/>
            <w:vAlign w:val="center"/>
          </w:tcPr>
          <w:p w14:paraId="7EA3649E" w14:textId="77777777" w:rsidR="00425B78" w:rsidRPr="008368C5" w:rsidRDefault="00425B78" w:rsidP="00425B78">
            <w:pPr>
              <w:pStyle w:val="Wykazskrotowbold"/>
            </w:pPr>
            <w:r w:rsidRPr="008368C5">
              <w:t>EUT</w:t>
            </w:r>
          </w:p>
        </w:tc>
        <w:tc>
          <w:tcPr>
            <w:tcW w:w="6882" w:type="dxa"/>
            <w:shd w:val="clear" w:color="auto" w:fill="auto"/>
            <w:vAlign w:val="center"/>
          </w:tcPr>
          <w:p w14:paraId="5D58008D" w14:textId="7D993BF1" w:rsidR="00425B78" w:rsidRPr="008368C5" w:rsidRDefault="00ED384D" w:rsidP="00425B78">
            <w:pPr>
              <w:pStyle w:val="Wykazskrotow"/>
            </w:pPr>
            <w:r>
              <w:t>o</w:t>
            </w:r>
            <w:r w:rsidRPr="008368C5">
              <w:t xml:space="preserve">bszary </w:t>
            </w:r>
            <w:r w:rsidR="00425B78" w:rsidRPr="008368C5">
              <w:t xml:space="preserve">wrażliwe na eutrofizację wywołaną zanieczyszczeniami pochodzącymi ze źródeł komunalnych, </w:t>
            </w:r>
            <w:r w:rsidR="00425B78" w:rsidRPr="002135F6">
              <w:t>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p>
        </w:tc>
      </w:tr>
      <w:tr w:rsidR="00425B78" w:rsidRPr="008368C5" w14:paraId="54931C76" w14:textId="77777777" w:rsidTr="00425B78">
        <w:trPr>
          <w:cantSplit/>
          <w:trHeight w:val="340"/>
        </w:trPr>
        <w:tc>
          <w:tcPr>
            <w:tcW w:w="2180" w:type="dxa"/>
            <w:shd w:val="clear" w:color="auto" w:fill="auto"/>
            <w:vAlign w:val="center"/>
          </w:tcPr>
          <w:p w14:paraId="452B9630" w14:textId="77777777" w:rsidR="00425B78" w:rsidRPr="008368C5" w:rsidRDefault="00425B78" w:rsidP="00425B78">
            <w:pPr>
              <w:pStyle w:val="Wykazskrotowbold"/>
            </w:pPr>
            <w:r w:rsidRPr="008368C5">
              <w:t>FLORA</w:t>
            </w:r>
          </w:p>
        </w:tc>
        <w:tc>
          <w:tcPr>
            <w:tcW w:w="6882" w:type="dxa"/>
            <w:shd w:val="clear" w:color="auto" w:fill="auto"/>
            <w:vAlign w:val="center"/>
          </w:tcPr>
          <w:p w14:paraId="342D9AA9" w14:textId="7A9D8D0D" w:rsidR="00425B78" w:rsidRPr="008368C5" w:rsidRDefault="00ED384D" w:rsidP="00425B78">
            <w:pPr>
              <w:pStyle w:val="Wykazskrotow"/>
            </w:pPr>
            <w:r>
              <w:t>w</w:t>
            </w:r>
            <w:r w:rsidRPr="008368C5">
              <w:t xml:space="preserve">skaźnik </w:t>
            </w:r>
            <w:r w:rsidR="00425B78" w:rsidRPr="008368C5">
              <w:t>oceny fitoplanktonu i fitobentosu</w:t>
            </w:r>
          </w:p>
        </w:tc>
      </w:tr>
      <w:tr w:rsidR="00425B78" w:rsidRPr="008368C5" w14:paraId="01E02046" w14:textId="77777777" w:rsidTr="00425B78">
        <w:trPr>
          <w:trHeight w:val="340"/>
        </w:trPr>
        <w:tc>
          <w:tcPr>
            <w:tcW w:w="2180" w:type="dxa"/>
          </w:tcPr>
          <w:p w14:paraId="2AB7B741" w14:textId="77777777" w:rsidR="00425B78" w:rsidRPr="008368C5" w:rsidRDefault="00425B78" w:rsidP="00425B78">
            <w:pPr>
              <w:pStyle w:val="Wykazskrotowbold"/>
            </w:pPr>
            <w:r w:rsidRPr="008368C5">
              <w:t>FS</w:t>
            </w:r>
          </w:p>
        </w:tc>
        <w:tc>
          <w:tcPr>
            <w:tcW w:w="6882" w:type="dxa"/>
          </w:tcPr>
          <w:p w14:paraId="64FE1107" w14:textId="77777777" w:rsidR="00425B78" w:rsidRPr="008368C5" w:rsidRDefault="00425B78" w:rsidP="00425B78">
            <w:pPr>
              <w:pStyle w:val="Wykazskrotow"/>
            </w:pPr>
            <w:r w:rsidRPr="008368C5">
              <w:t>Fundusz Spójności</w:t>
            </w:r>
          </w:p>
        </w:tc>
      </w:tr>
      <w:tr w:rsidR="00425B78" w:rsidRPr="008368C5" w14:paraId="37BE2665" w14:textId="77777777" w:rsidTr="00425B78">
        <w:trPr>
          <w:cantSplit/>
          <w:trHeight w:val="340"/>
        </w:trPr>
        <w:tc>
          <w:tcPr>
            <w:tcW w:w="2180" w:type="dxa"/>
            <w:shd w:val="clear" w:color="auto" w:fill="auto"/>
            <w:vAlign w:val="center"/>
          </w:tcPr>
          <w:p w14:paraId="0E42D208" w14:textId="77777777" w:rsidR="00425B78" w:rsidRPr="008368C5" w:rsidRDefault="00425B78" w:rsidP="00425B78">
            <w:pPr>
              <w:pStyle w:val="Wykazskrotowbold"/>
            </w:pPr>
            <w:r w:rsidRPr="008368C5">
              <w:t>GDOŚ</w:t>
            </w:r>
          </w:p>
        </w:tc>
        <w:tc>
          <w:tcPr>
            <w:tcW w:w="6882" w:type="dxa"/>
            <w:shd w:val="clear" w:color="auto" w:fill="auto"/>
            <w:vAlign w:val="center"/>
          </w:tcPr>
          <w:p w14:paraId="34804404" w14:textId="77777777" w:rsidR="00425B78" w:rsidRPr="008368C5" w:rsidRDefault="00425B78" w:rsidP="00425B78">
            <w:pPr>
              <w:pStyle w:val="Wykazskrotow"/>
            </w:pPr>
            <w:r w:rsidRPr="008368C5">
              <w:t>Generalna Dyrekcja Ochrony Środowiska</w:t>
            </w:r>
          </w:p>
        </w:tc>
      </w:tr>
      <w:tr w:rsidR="00425B78" w:rsidRPr="008368C5" w14:paraId="3AD3D5A2" w14:textId="77777777" w:rsidTr="00425B78">
        <w:trPr>
          <w:cantSplit/>
          <w:trHeight w:val="340"/>
        </w:trPr>
        <w:tc>
          <w:tcPr>
            <w:tcW w:w="2180" w:type="dxa"/>
            <w:shd w:val="clear" w:color="auto" w:fill="auto"/>
            <w:vAlign w:val="center"/>
          </w:tcPr>
          <w:p w14:paraId="14D3BB79" w14:textId="77777777" w:rsidR="00425B78" w:rsidRPr="008368C5" w:rsidRDefault="00425B78" w:rsidP="00425B78">
            <w:pPr>
              <w:pStyle w:val="Wykazskrotowbold"/>
            </w:pPr>
            <w:r w:rsidRPr="008368C5">
              <w:t>GIOŚ</w:t>
            </w:r>
          </w:p>
        </w:tc>
        <w:tc>
          <w:tcPr>
            <w:tcW w:w="6882" w:type="dxa"/>
            <w:shd w:val="clear" w:color="auto" w:fill="auto"/>
            <w:vAlign w:val="center"/>
          </w:tcPr>
          <w:p w14:paraId="19CBCF13" w14:textId="77777777" w:rsidR="00425B78" w:rsidRPr="008368C5" w:rsidRDefault="00425B78" w:rsidP="00425B78">
            <w:pPr>
              <w:pStyle w:val="Wykazskrotow"/>
            </w:pPr>
            <w:r w:rsidRPr="008368C5">
              <w:t>Główny Inspektorat Ochrony Środowiska</w:t>
            </w:r>
          </w:p>
        </w:tc>
      </w:tr>
      <w:tr w:rsidR="00425B78" w:rsidRPr="008368C5" w14:paraId="064FCCDF" w14:textId="77777777" w:rsidTr="00425B78">
        <w:trPr>
          <w:cantSplit/>
          <w:trHeight w:val="340"/>
        </w:trPr>
        <w:tc>
          <w:tcPr>
            <w:tcW w:w="2180" w:type="dxa"/>
            <w:shd w:val="clear" w:color="auto" w:fill="auto"/>
            <w:vAlign w:val="center"/>
          </w:tcPr>
          <w:p w14:paraId="6BB7777F" w14:textId="77777777" w:rsidR="00425B78" w:rsidRPr="008368C5" w:rsidRDefault="00425B78" w:rsidP="00425B78">
            <w:pPr>
              <w:pStyle w:val="Wykazskrotowbold"/>
            </w:pPr>
            <w:r w:rsidRPr="008368C5">
              <w:t>GRŚ</w:t>
            </w:r>
          </w:p>
        </w:tc>
        <w:tc>
          <w:tcPr>
            <w:tcW w:w="6882" w:type="dxa"/>
            <w:shd w:val="clear" w:color="auto" w:fill="auto"/>
            <w:vAlign w:val="center"/>
          </w:tcPr>
          <w:p w14:paraId="7870468F" w14:textId="77777777" w:rsidR="00425B78" w:rsidRPr="008368C5" w:rsidRDefault="00425B78" w:rsidP="00425B78">
            <w:pPr>
              <w:pStyle w:val="Wykazskrotow"/>
            </w:pPr>
            <w:r>
              <w:t>g</w:t>
            </w:r>
            <w:r w:rsidRPr="008368C5">
              <w:t>łówne rodzaje środków</w:t>
            </w:r>
          </w:p>
        </w:tc>
      </w:tr>
      <w:tr w:rsidR="00425B78" w:rsidRPr="008368C5" w14:paraId="6F5680E3" w14:textId="77777777" w:rsidTr="00425B78">
        <w:trPr>
          <w:cantSplit/>
          <w:trHeight w:val="340"/>
        </w:trPr>
        <w:tc>
          <w:tcPr>
            <w:tcW w:w="2180" w:type="dxa"/>
            <w:shd w:val="clear" w:color="auto" w:fill="auto"/>
            <w:vAlign w:val="center"/>
          </w:tcPr>
          <w:p w14:paraId="3E73304C" w14:textId="77777777" w:rsidR="00425B78" w:rsidRPr="008368C5" w:rsidRDefault="00425B78" w:rsidP="00425B78">
            <w:pPr>
              <w:pStyle w:val="Wykazskrotowbold"/>
            </w:pPr>
            <w:r w:rsidRPr="008368C5">
              <w:t>GUPW</w:t>
            </w:r>
          </w:p>
        </w:tc>
        <w:tc>
          <w:tcPr>
            <w:tcW w:w="6882" w:type="dxa"/>
            <w:shd w:val="clear" w:color="auto" w:fill="auto"/>
            <w:vAlign w:val="center"/>
          </w:tcPr>
          <w:p w14:paraId="6410B0AB" w14:textId="77777777" w:rsidR="00425B78" w:rsidRPr="008368C5" w:rsidRDefault="00425B78" w:rsidP="00425B78">
            <w:pPr>
              <w:pStyle w:val="Wykazskrotow"/>
            </w:pPr>
            <w:r>
              <w:t>g</w:t>
            </w:r>
            <w:r w:rsidRPr="008368C5">
              <w:t>łówne użytkowe poziomy wodonośne</w:t>
            </w:r>
          </w:p>
        </w:tc>
      </w:tr>
      <w:tr w:rsidR="00425B78" w:rsidRPr="008368C5" w14:paraId="549F5B73" w14:textId="77777777" w:rsidTr="00425B78">
        <w:trPr>
          <w:cantSplit/>
          <w:trHeight w:val="340"/>
        </w:trPr>
        <w:tc>
          <w:tcPr>
            <w:tcW w:w="2180" w:type="dxa"/>
            <w:shd w:val="clear" w:color="auto" w:fill="auto"/>
            <w:vAlign w:val="center"/>
          </w:tcPr>
          <w:p w14:paraId="649B6C77" w14:textId="77777777" w:rsidR="00425B78" w:rsidRPr="008368C5" w:rsidRDefault="00425B78" w:rsidP="00425B78">
            <w:pPr>
              <w:pStyle w:val="Wykazskrotowbold"/>
            </w:pPr>
            <w:r w:rsidRPr="008368C5">
              <w:t>GUS</w:t>
            </w:r>
          </w:p>
        </w:tc>
        <w:tc>
          <w:tcPr>
            <w:tcW w:w="6882" w:type="dxa"/>
            <w:shd w:val="clear" w:color="auto" w:fill="auto"/>
            <w:vAlign w:val="center"/>
          </w:tcPr>
          <w:p w14:paraId="399CEF91" w14:textId="77777777" w:rsidR="00425B78" w:rsidRPr="008368C5" w:rsidRDefault="00425B78" w:rsidP="00425B78">
            <w:pPr>
              <w:pStyle w:val="Wykazskrotow"/>
            </w:pPr>
            <w:r w:rsidRPr="008368C5">
              <w:t>Główny Urząd Statystyczny</w:t>
            </w:r>
          </w:p>
        </w:tc>
      </w:tr>
      <w:tr w:rsidR="00425B78" w:rsidRPr="008368C5" w14:paraId="74F6F088" w14:textId="77777777" w:rsidTr="00425B78">
        <w:trPr>
          <w:cantSplit/>
          <w:trHeight w:val="340"/>
        </w:trPr>
        <w:tc>
          <w:tcPr>
            <w:tcW w:w="2180" w:type="dxa"/>
            <w:shd w:val="clear" w:color="auto" w:fill="auto"/>
            <w:vAlign w:val="center"/>
          </w:tcPr>
          <w:p w14:paraId="00843973" w14:textId="77777777" w:rsidR="00425B78" w:rsidRPr="008368C5" w:rsidRDefault="00425B78" w:rsidP="00425B78">
            <w:pPr>
              <w:pStyle w:val="Wykazskrotowbold"/>
            </w:pPr>
            <w:r w:rsidRPr="008368C5">
              <w:t>GZWP</w:t>
            </w:r>
          </w:p>
        </w:tc>
        <w:tc>
          <w:tcPr>
            <w:tcW w:w="6882" w:type="dxa"/>
            <w:shd w:val="clear" w:color="auto" w:fill="auto"/>
            <w:vAlign w:val="center"/>
          </w:tcPr>
          <w:p w14:paraId="6B9CAF1E" w14:textId="77777777" w:rsidR="00425B78" w:rsidRPr="008368C5" w:rsidRDefault="00425B78" w:rsidP="00425B78">
            <w:pPr>
              <w:pStyle w:val="Wykazskrotow"/>
            </w:pPr>
            <w:r>
              <w:t>gł</w:t>
            </w:r>
            <w:r w:rsidRPr="008368C5">
              <w:t>ówne zbiorniki wód podziemnych</w:t>
            </w:r>
          </w:p>
        </w:tc>
      </w:tr>
      <w:tr w:rsidR="00425B78" w:rsidRPr="008368C5" w14:paraId="47AB8831" w14:textId="77777777" w:rsidTr="00425B78">
        <w:trPr>
          <w:cantSplit/>
          <w:trHeight w:val="340"/>
        </w:trPr>
        <w:tc>
          <w:tcPr>
            <w:tcW w:w="2180" w:type="dxa"/>
            <w:shd w:val="clear" w:color="auto" w:fill="auto"/>
            <w:vAlign w:val="center"/>
          </w:tcPr>
          <w:p w14:paraId="407686AB" w14:textId="77777777" w:rsidR="00425B78" w:rsidRPr="008368C5" w:rsidRDefault="00425B78" w:rsidP="00425B78">
            <w:pPr>
              <w:pStyle w:val="Wykazskrotowbold"/>
            </w:pPr>
            <w:r w:rsidRPr="008368C5">
              <w:t>HIR</w:t>
            </w:r>
          </w:p>
        </w:tc>
        <w:tc>
          <w:tcPr>
            <w:tcW w:w="6882" w:type="dxa"/>
            <w:shd w:val="clear" w:color="auto" w:fill="auto"/>
            <w:vAlign w:val="center"/>
          </w:tcPr>
          <w:p w14:paraId="1E19324D" w14:textId="093924E3" w:rsidR="00425B78" w:rsidRPr="008368C5" w:rsidRDefault="00ED384D" w:rsidP="00425B78">
            <w:pPr>
              <w:pStyle w:val="Wykazskrotow"/>
            </w:pPr>
            <w:r>
              <w:t>h</w:t>
            </w:r>
            <w:r w:rsidRPr="008368C5">
              <w:t xml:space="preserve">ydromorfologiczny </w:t>
            </w:r>
            <w:r w:rsidR="00425B78" w:rsidRPr="008368C5">
              <w:t>indeks rzeczny</w:t>
            </w:r>
          </w:p>
        </w:tc>
      </w:tr>
      <w:tr w:rsidR="00425B78" w:rsidRPr="008368C5" w14:paraId="6E660174" w14:textId="77777777" w:rsidTr="00425B78">
        <w:trPr>
          <w:cantSplit/>
          <w:trHeight w:val="340"/>
        </w:trPr>
        <w:tc>
          <w:tcPr>
            <w:tcW w:w="2180" w:type="dxa"/>
            <w:shd w:val="clear" w:color="auto" w:fill="auto"/>
          </w:tcPr>
          <w:p w14:paraId="1A949FF0" w14:textId="77777777" w:rsidR="00425B78" w:rsidRPr="008368C5" w:rsidRDefault="00425B78" w:rsidP="00425B78">
            <w:pPr>
              <w:pStyle w:val="Wykazskrotowbold"/>
            </w:pPr>
            <w:r w:rsidRPr="00A428F2">
              <w:t>IBI_PL</w:t>
            </w:r>
          </w:p>
        </w:tc>
        <w:tc>
          <w:tcPr>
            <w:tcW w:w="6882" w:type="dxa"/>
            <w:shd w:val="clear" w:color="auto" w:fill="auto"/>
          </w:tcPr>
          <w:p w14:paraId="52C86F63" w14:textId="3221011B" w:rsidR="00425B78" w:rsidRPr="008368C5" w:rsidRDefault="00ED384D" w:rsidP="00425B78">
            <w:pPr>
              <w:pStyle w:val="Wykazskrotow"/>
            </w:pPr>
            <w:r>
              <w:t>w</w:t>
            </w:r>
            <w:r w:rsidRPr="00A428F2">
              <w:t xml:space="preserve">ielometryczny </w:t>
            </w:r>
            <w:r w:rsidR="00425B78" w:rsidRPr="00A428F2">
              <w:t>wskaźnik do oceny stanu/potencjału ekologicznego rzek w oparciu o ichtiofaunę stosowany w PMŚ w Polsce</w:t>
            </w:r>
          </w:p>
        </w:tc>
      </w:tr>
      <w:tr w:rsidR="00425B78" w:rsidRPr="008368C5" w14:paraId="6CC895F9" w14:textId="77777777" w:rsidTr="00425B78">
        <w:trPr>
          <w:trHeight w:val="340"/>
        </w:trPr>
        <w:tc>
          <w:tcPr>
            <w:tcW w:w="2180" w:type="dxa"/>
          </w:tcPr>
          <w:p w14:paraId="5A52ACD6" w14:textId="77777777" w:rsidR="00425B78" w:rsidRPr="008368C5" w:rsidRDefault="00425B78" w:rsidP="00425B78">
            <w:pPr>
              <w:pStyle w:val="Wykazskrotowbold"/>
            </w:pPr>
            <w:r w:rsidRPr="008368C5">
              <w:t>i.o.ś.</w:t>
            </w:r>
          </w:p>
        </w:tc>
        <w:tc>
          <w:tcPr>
            <w:tcW w:w="6882" w:type="dxa"/>
          </w:tcPr>
          <w:p w14:paraId="30BD6496" w14:textId="77777777" w:rsidR="00425B78" w:rsidRPr="008368C5" w:rsidRDefault="00425B78" w:rsidP="00425B78">
            <w:pPr>
              <w:pStyle w:val="Wykazskrotow"/>
            </w:pPr>
            <w:r>
              <w:t>u</w:t>
            </w:r>
            <w:r w:rsidRPr="008368C5">
              <w:t>stawa z dnia 20 lipca 1991 r. o Inspekcji Ochrony Środowiska (Dz.U. z 202</w:t>
            </w:r>
            <w:r>
              <w:t>1</w:t>
            </w:r>
            <w:r w:rsidRPr="008368C5">
              <w:t> r.</w:t>
            </w:r>
            <w:r w:rsidDel="00087A28">
              <w:t>,</w:t>
            </w:r>
            <w:r w:rsidRPr="008368C5">
              <w:t xml:space="preserve"> poz. </w:t>
            </w:r>
            <w:r>
              <w:t>746, z późn. zm.)</w:t>
            </w:r>
          </w:p>
        </w:tc>
      </w:tr>
      <w:tr w:rsidR="00425B78" w:rsidRPr="008368C5" w14:paraId="4BA40B74" w14:textId="77777777" w:rsidTr="00425B78">
        <w:trPr>
          <w:cantSplit/>
          <w:trHeight w:val="340"/>
        </w:trPr>
        <w:tc>
          <w:tcPr>
            <w:tcW w:w="2180" w:type="dxa"/>
            <w:shd w:val="clear" w:color="auto" w:fill="auto"/>
            <w:vAlign w:val="center"/>
          </w:tcPr>
          <w:p w14:paraId="662E563C" w14:textId="77777777" w:rsidR="00425B78" w:rsidRPr="008368C5" w:rsidRDefault="00425B78" w:rsidP="00425B78">
            <w:pPr>
              <w:pStyle w:val="Wykazskrotowbold"/>
            </w:pPr>
            <w:r w:rsidRPr="008368C5">
              <w:t>IFPL</w:t>
            </w:r>
          </w:p>
        </w:tc>
        <w:tc>
          <w:tcPr>
            <w:tcW w:w="6882" w:type="dxa"/>
            <w:shd w:val="clear" w:color="auto" w:fill="auto"/>
            <w:vAlign w:val="center"/>
          </w:tcPr>
          <w:p w14:paraId="1AAF217A" w14:textId="3734360F" w:rsidR="00425B78" w:rsidRPr="008368C5" w:rsidRDefault="00ED384D" w:rsidP="00425B78">
            <w:pPr>
              <w:pStyle w:val="Wykazskrotow"/>
            </w:pPr>
            <w:r>
              <w:t>w</w:t>
            </w:r>
            <w:r w:rsidRPr="008368C5">
              <w:t xml:space="preserve">skaźnik </w:t>
            </w:r>
            <w:r w:rsidR="00425B78" w:rsidRPr="008368C5">
              <w:t>oceny fitoplanktonu</w:t>
            </w:r>
          </w:p>
        </w:tc>
      </w:tr>
      <w:tr w:rsidR="00425B78" w:rsidRPr="008368C5" w14:paraId="401E7A39" w14:textId="77777777" w:rsidTr="00425B78">
        <w:trPr>
          <w:cantSplit/>
          <w:trHeight w:val="340"/>
        </w:trPr>
        <w:tc>
          <w:tcPr>
            <w:tcW w:w="2180" w:type="dxa"/>
            <w:shd w:val="clear" w:color="auto" w:fill="auto"/>
            <w:vAlign w:val="center"/>
          </w:tcPr>
          <w:p w14:paraId="6F583B94" w14:textId="77777777" w:rsidR="00425B78" w:rsidRPr="008368C5" w:rsidRDefault="00425B78" w:rsidP="00425B78">
            <w:pPr>
              <w:pStyle w:val="Wykazskrotowbold"/>
            </w:pPr>
            <w:r w:rsidRPr="008368C5">
              <w:t>IIaPGW</w:t>
            </w:r>
          </w:p>
        </w:tc>
        <w:tc>
          <w:tcPr>
            <w:tcW w:w="6882" w:type="dxa"/>
            <w:shd w:val="clear" w:color="auto" w:fill="auto"/>
            <w:vAlign w:val="center"/>
          </w:tcPr>
          <w:p w14:paraId="26F27FD3" w14:textId="77777777" w:rsidR="00425B78" w:rsidRPr="008368C5" w:rsidRDefault="00425B78" w:rsidP="00425B78">
            <w:pPr>
              <w:pStyle w:val="Wykazskrotow"/>
            </w:pPr>
            <w:r w:rsidRPr="008368C5">
              <w:t xml:space="preserve">Druga aktualizacja Planów gospodarowania wodami na obszarach dorzeczy </w:t>
            </w:r>
            <w:r w:rsidRPr="008368C5">
              <w:rPr>
                <w:rFonts w:cstheme="minorHAnsi"/>
              </w:rPr>
              <w:t>(202</w:t>
            </w:r>
            <w:r>
              <w:rPr>
                <w:rFonts w:cstheme="minorHAnsi"/>
              </w:rPr>
              <w:t>2-2027</w:t>
            </w:r>
            <w:r w:rsidRPr="008368C5">
              <w:rPr>
                <w:rFonts w:cstheme="minorHAnsi"/>
              </w:rPr>
              <w:t>)</w:t>
            </w:r>
          </w:p>
        </w:tc>
      </w:tr>
      <w:tr w:rsidR="00425B78" w:rsidRPr="008368C5" w14:paraId="58BF9B1B" w14:textId="77777777" w:rsidTr="00425B78">
        <w:trPr>
          <w:cantSplit/>
          <w:trHeight w:val="340"/>
        </w:trPr>
        <w:tc>
          <w:tcPr>
            <w:tcW w:w="2180" w:type="dxa"/>
            <w:shd w:val="clear" w:color="auto" w:fill="auto"/>
            <w:vAlign w:val="center"/>
          </w:tcPr>
          <w:p w14:paraId="6C43BBDD" w14:textId="77777777" w:rsidR="00425B78" w:rsidRPr="008368C5" w:rsidRDefault="00425B78" w:rsidP="00425B78">
            <w:pPr>
              <w:pStyle w:val="Wykazskrotowbold"/>
            </w:pPr>
            <w:r w:rsidRPr="008368C5">
              <w:t>IMGW-PIB</w:t>
            </w:r>
          </w:p>
        </w:tc>
        <w:tc>
          <w:tcPr>
            <w:tcW w:w="6882" w:type="dxa"/>
            <w:shd w:val="clear" w:color="auto" w:fill="auto"/>
            <w:vAlign w:val="center"/>
          </w:tcPr>
          <w:p w14:paraId="7D8B0158" w14:textId="77777777" w:rsidR="00425B78" w:rsidRPr="008368C5" w:rsidRDefault="00425B78" w:rsidP="00425B78">
            <w:pPr>
              <w:pStyle w:val="Wykazskrotow"/>
            </w:pPr>
            <w:r w:rsidRPr="008368C5">
              <w:t>Instytut Meteorologii i Gospodarki Wodnej - Państwowy Instytut Badawczy</w:t>
            </w:r>
          </w:p>
        </w:tc>
      </w:tr>
      <w:tr w:rsidR="00425B78" w:rsidRPr="008368C5" w14:paraId="77320D10" w14:textId="77777777" w:rsidTr="00425B78">
        <w:trPr>
          <w:cantSplit/>
          <w:trHeight w:val="340"/>
        </w:trPr>
        <w:tc>
          <w:tcPr>
            <w:tcW w:w="2180" w:type="dxa"/>
            <w:shd w:val="clear" w:color="auto" w:fill="auto"/>
            <w:vAlign w:val="center"/>
          </w:tcPr>
          <w:p w14:paraId="49AE4AAD" w14:textId="77777777" w:rsidR="00425B78" w:rsidRPr="008368C5" w:rsidRDefault="00425B78" w:rsidP="00425B78">
            <w:pPr>
              <w:pStyle w:val="Wykazskrotowbold"/>
            </w:pPr>
            <w:r w:rsidRPr="008368C5">
              <w:t>IO</w:t>
            </w:r>
          </w:p>
        </w:tc>
        <w:tc>
          <w:tcPr>
            <w:tcW w:w="6882" w:type="dxa"/>
            <w:shd w:val="clear" w:color="auto" w:fill="auto"/>
            <w:vAlign w:val="center"/>
          </w:tcPr>
          <w:p w14:paraId="3E73AFF5" w14:textId="690AC1B3" w:rsidR="00425B78" w:rsidRPr="008368C5" w:rsidRDefault="00ED384D" w:rsidP="00425B78">
            <w:pPr>
              <w:pStyle w:val="Wykazskrotow"/>
            </w:pPr>
            <w:r>
              <w:t>w</w:t>
            </w:r>
            <w:r w:rsidRPr="008368C5">
              <w:t xml:space="preserve">skaźnik </w:t>
            </w:r>
            <w:r w:rsidR="00425B78" w:rsidRPr="008368C5">
              <w:t>oceny fitobentosu</w:t>
            </w:r>
          </w:p>
        </w:tc>
      </w:tr>
      <w:tr w:rsidR="00425B78" w:rsidRPr="008368C5" w14:paraId="169730EC" w14:textId="77777777" w:rsidTr="00425B78">
        <w:trPr>
          <w:cantSplit/>
          <w:trHeight w:val="340"/>
        </w:trPr>
        <w:tc>
          <w:tcPr>
            <w:tcW w:w="2180" w:type="dxa"/>
            <w:shd w:val="clear" w:color="auto" w:fill="auto"/>
            <w:vAlign w:val="center"/>
          </w:tcPr>
          <w:p w14:paraId="562C0E74" w14:textId="77777777" w:rsidR="00425B78" w:rsidRPr="008368C5" w:rsidRDefault="00425B78" w:rsidP="00425B78">
            <w:pPr>
              <w:pStyle w:val="Wykazskrotowbold"/>
            </w:pPr>
            <w:r w:rsidRPr="008368C5">
              <w:t>IOŚ</w:t>
            </w:r>
          </w:p>
        </w:tc>
        <w:tc>
          <w:tcPr>
            <w:tcW w:w="6882" w:type="dxa"/>
            <w:shd w:val="clear" w:color="auto" w:fill="auto"/>
            <w:vAlign w:val="center"/>
          </w:tcPr>
          <w:p w14:paraId="73336ADA" w14:textId="77777777" w:rsidR="00425B78" w:rsidRPr="008368C5" w:rsidRDefault="00425B78" w:rsidP="00425B78">
            <w:pPr>
              <w:pStyle w:val="Wykazskrotow"/>
            </w:pPr>
            <w:r w:rsidRPr="008368C5">
              <w:t>Inspekcja Ochrony Środowiska</w:t>
            </w:r>
          </w:p>
        </w:tc>
      </w:tr>
      <w:tr w:rsidR="00425B78" w:rsidRPr="008368C5" w14:paraId="0D3A5BE8" w14:textId="77777777" w:rsidTr="00425B78">
        <w:trPr>
          <w:cantSplit/>
          <w:trHeight w:val="340"/>
        </w:trPr>
        <w:tc>
          <w:tcPr>
            <w:tcW w:w="2180" w:type="dxa"/>
            <w:shd w:val="clear" w:color="auto" w:fill="auto"/>
            <w:vAlign w:val="center"/>
          </w:tcPr>
          <w:p w14:paraId="413C8DCC" w14:textId="77777777" w:rsidR="00425B78" w:rsidRPr="008368C5" w:rsidRDefault="00425B78" w:rsidP="00425B78">
            <w:pPr>
              <w:pStyle w:val="Wykazskrotowbold"/>
            </w:pPr>
            <w:r w:rsidRPr="008368C5">
              <w:t>Jcw</w:t>
            </w:r>
          </w:p>
        </w:tc>
        <w:tc>
          <w:tcPr>
            <w:tcW w:w="6882" w:type="dxa"/>
            <w:shd w:val="clear" w:color="auto" w:fill="auto"/>
            <w:vAlign w:val="center"/>
          </w:tcPr>
          <w:p w14:paraId="4B18B090" w14:textId="77777777" w:rsidR="00425B78" w:rsidRPr="008368C5" w:rsidRDefault="00425B78" w:rsidP="00425B78">
            <w:pPr>
              <w:pStyle w:val="Wykazskrotow"/>
            </w:pPr>
            <w:r>
              <w:t>j</w:t>
            </w:r>
            <w:r w:rsidRPr="008368C5">
              <w:t>ednolita część wód</w:t>
            </w:r>
          </w:p>
        </w:tc>
      </w:tr>
      <w:tr w:rsidR="00425B78" w:rsidRPr="008368C5" w14:paraId="3D132448" w14:textId="77777777" w:rsidTr="00425B78">
        <w:trPr>
          <w:cantSplit/>
          <w:trHeight w:val="340"/>
        </w:trPr>
        <w:tc>
          <w:tcPr>
            <w:tcW w:w="2180" w:type="dxa"/>
            <w:shd w:val="clear" w:color="auto" w:fill="auto"/>
            <w:vAlign w:val="center"/>
          </w:tcPr>
          <w:p w14:paraId="12E493B9" w14:textId="77777777" w:rsidR="00425B78" w:rsidRPr="008368C5" w:rsidRDefault="00425B78" w:rsidP="00425B78">
            <w:pPr>
              <w:pStyle w:val="Wykazskrotowbold"/>
            </w:pPr>
            <w:r>
              <w:t>JCWP</w:t>
            </w:r>
          </w:p>
        </w:tc>
        <w:tc>
          <w:tcPr>
            <w:tcW w:w="6882" w:type="dxa"/>
            <w:shd w:val="clear" w:color="auto" w:fill="auto"/>
            <w:vAlign w:val="center"/>
          </w:tcPr>
          <w:p w14:paraId="6603DBC6" w14:textId="77777777" w:rsidR="00425B78" w:rsidRPr="008368C5" w:rsidRDefault="00425B78" w:rsidP="00425B78">
            <w:pPr>
              <w:pStyle w:val="Wykazskrotow"/>
            </w:pPr>
            <w:r>
              <w:t>j</w:t>
            </w:r>
            <w:r w:rsidRPr="008368C5">
              <w:t>ednolita część wód powierzchniowych</w:t>
            </w:r>
          </w:p>
        </w:tc>
      </w:tr>
      <w:tr w:rsidR="00425B78" w:rsidRPr="008368C5" w14:paraId="74DA656B" w14:textId="77777777" w:rsidTr="00425B78">
        <w:trPr>
          <w:cantSplit/>
          <w:trHeight w:val="340"/>
        </w:trPr>
        <w:tc>
          <w:tcPr>
            <w:tcW w:w="2180" w:type="dxa"/>
            <w:shd w:val="clear" w:color="auto" w:fill="auto"/>
            <w:vAlign w:val="center"/>
          </w:tcPr>
          <w:p w14:paraId="2263A078" w14:textId="77777777" w:rsidR="00425B78" w:rsidRPr="008368C5" w:rsidRDefault="00425B78" w:rsidP="00425B78">
            <w:pPr>
              <w:pStyle w:val="Wykazskrotowbold"/>
            </w:pPr>
            <w:r>
              <w:rPr>
                <w:rFonts w:eastAsia="Times New Roman"/>
                <w:color w:val="000000"/>
                <w:lang w:eastAsia="pl-PL"/>
              </w:rPr>
              <w:t>JCWP</w:t>
            </w:r>
            <w:r w:rsidRPr="00D074DA">
              <w:rPr>
                <w:rFonts w:eastAsia="Times New Roman"/>
                <w:color w:val="000000"/>
                <w:lang w:eastAsia="pl-PL"/>
              </w:rPr>
              <w:t xml:space="preserve"> CW</w:t>
            </w:r>
          </w:p>
        </w:tc>
        <w:tc>
          <w:tcPr>
            <w:tcW w:w="6882" w:type="dxa"/>
            <w:shd w:val="clear" w:color="auto" w:fill="auto"/>
            <w:vAlign w:val="center"/>
          </w:tcPr>
          <w:p w14:paraId="630FEBEA" w14:textId="77777777" w:rsidR="00425B78" w:rsidRPr="008368C5" w:rsidRDefault="00425B78" w:rsidP="00425B78">
            <w:pPr>
              <w:pStyle w:val="Wykazskrotow"/>
            </w:pPr>
            <w:r>
              <w:t>j</w:t>
            </w:r>
            <w:r w:rsidRPr="008368C5">
              <w:t xml:space="preserve">ednolita część wód powierzchniowych przybrzeżnych (IIaPGW odnosi się do </w:t>
            </w:r>
            <w:r>
              <w:t>JCWP</w:t>
            </w:r>
            <w:r w:rsidRPr="008368C5">
              <w:t xml:space="preserve"> w nowym układzie planistycznym)</w:t>
            </w:r>
          </w:p>
        </w:tc>
      </w:tr>
      <w:tr w:rsidR="00425B78" w:rsidRPr="008368C5" w14:paraId="6FB63F45" w14:textId="77777777" w:rsidTr="00425B78">
        <w:trPr>
          <w:cantSplit/>
          <w:trHeight w:val="340"/>
        </w:trPr>
        <w:tc>
          <w:tcPr>
            <w:tcW w:w="2180" w:type="dxa"/>
            <w:shd w:val="clear" w:color="auto" w:fill="auto"/>
            <w:vAlign w:val="center"/>
          </w:tcPr>
          <w:p w14:paraId="7971ABE9" w14:textId="77777777" w:rsidR="00425B78" w:rsidRPr="008368C5" w:rsidRDefault="00425B78" w:rsidP="00425B78">
            <w:pPr>
              <w:pStyle w:val="Wykazskrotowbold"/>
            </w:pPr>
            <w:r>
              <w:rPr>
                <w:rFonts w:eastAsia="Times New Roman"/>
                <w:color w:val="000000"/>
                <w:lang w:eastAsia="pl-PL"/>
              </w:rPr>
              <w:t>JCWP</w:t>
            </w:r>
            <w:r w:rsidRPr="00D074DA">
              <w:rPr>
                <w:rFonts w:eastAsia="Times New Roman"/>
                <w:color w:val="000000"/>
                <w:lang w:eastAsia="pl-PL"/>
              </w:rPr>
              <w:t xml:space="preserve"> LW</w:t>
            </w:r>
          </w:p>
        </w:tc>
        <w:tc>
          <w:tcPr>
            <w:tcW w:w="6882" w:type="dxa"/>
            <w:shd w:val="clear" w:color="auto" w:fill="auto"/>
            <w:vAlign w:val="center"/>
          </w:tcPr>
          <w:p w14:paraId="18DCF52B" w14:textId="77777777" w:rsidR="00425B78" w:rsidRPr="008368C5" w:rsidRDefault="00425B78" w:rsidP="00425B78">
            <w:pPr>
              <w:pStyle w:val="Wykazskrotow"/>
            </w:pPr>
            <w:r>
              <w:t>je</w:t>
            </w:r>
            <w:r w:rsidRPr="008368C5">
              <w:t xml:space="preserve">dnolita część wód powierzchniowych jeziornych (IIaPGW odnosi się do </w:t>
            </w:r>
            <w:r>
              <w:t>JCWP</w:t>
            </w:r>
            <w:r w:rsidRPr="008368C5">
              <w:t xml:space="preserve"> w nowym układzie planistycznym)</w:t>
            </w:r>
          </w:p>
        </w:tc>
      </w:tr>
      <w:tr w:rsidR="00425B78" w:rsidRPr="008368C5" w14:paraId="394985F6" w14:textId="77777777" w:rsidTr="00425B78">
        <w:trPr>
          <w:cantSplit/>
          <w:trHeight w:val="340"/>
        </w:trPr>
        <w:tc>
          <w:tcPr>
            <w:tcW w:w="2180" w:type="dxa"/>
            <w:shd w:val="clear" w:color="auto" w:fill="auto"/>
            <w:vAlign w:val="center"/>
          </w:tcPr>
          <w:p w14:paraId="3DA6334D" w14:textId="77777777" w:rsidR="00425B78" w:rsidRPr="008368C5" w:rsidRDefault="00425B78" w:rsidP="00425B78">
            <w:pPr>
              <w:pStyle w:val="Wykazskrotowbold"/>
            </w:pPr>
            <w:r>
              <w:rPr>
                <w:rFonts w:eastAsia="Times New Roman"/>
                <w:color w:val="000000"/>
                <w:lang w:eastAsia="pl-PL"/>
              </w:rPr>
              <w:t>JCWP</w:t>
            </w:r>
            <w:r w:rsidRPr="00D074DA">
              <w:rPr>
                <w:rFonts w:eastAsia="Times New Roman"/>
                <w:color w:val="000000"/>
                <w:lang w:eastAsia="pl-PL"/>
              </w:rPr>
              <w:t xml:space="preserve"> RW</w:t>
            </w:r>
          </w:p>
        </w:tc>
        <w:tc>
          <w:tcPr>
            <w:tcW w:w="6882" w:type="dxa"/>
            <w:shd w:val="clear" w:color="auto" w:fill="auto"/>
            <w:vAlign w:val="center"/>
          </w:tcPr>
          <w:p w14:paraId="2C0AE6EB" w14:textId="77777777" w:rsidR="00425B78" w:rsidRPr="008368C5" w:rsidRDefault="00425B78" w:rsidP="00425B78">
            <w:pPr>
              <w:pStyle w:val="Wykazskrotow"/>
            </w:pPr>
            <w:r>
              <w:t>j</w:t>
            </w:r>
            <w:r w:rsidRPr="00567AB7">
              <w:t>ednolita część wód powierzchniowych rzecznych</w:t>
            </w:r>
            <w:r w:rsidRPr="008368C5">
              <w:t xml:space="preserve"> (IIaPGW odnosi się do </w:t>
            </w:r>
            <w:r>
              <w:t>JCWP</w:t>
            </w:r>
            <w:r w:rsidRPr="008368C5">
              <w:t xml:space="preserve"> w nowym układzie planistycznym)</w:t>
            </w:r>
          </w:p>
        </w:tc>
      </w:tr>
      <w:tr w:rsidR="00425B78" w:rsidRPr="008368C5" w14:paraId="630BF352" w14:textId="77777777" w:rsidTr="00425B78">
        <w:trPr>
          <w:cantSplit/>
          <w:trHeight w:val="340"/>
        </w:trPr>
        <w:tc>
          <w:tcPr>
            <w:tcW w:w="2180" w:type="dxa"/>
            <w:shd w:val="clear" w:color="auto" w:fill="auto"/>
            <w:vAlign w:val="center"/>
          </w:tcPr>
          <w:p w14:paraId="54A4F7DF" w14:textId="77777777" w:rsidR="00425B78" w:rsidRPr="008368C5" w:rsidRDefault="00425B78" w:rsidP="00425B78">
            <w:pPr>
              <w:pStyle w:val="Wykazskrotowbold"/>
            </w:pPr>
            <w:r>
              <w:rPr>
                <w:rFonts w:eastAsia="Times New Roman"/>
                <w:color w:val="000000"/>
                <w:lang w:eastAsia="pl-PL"/>
              </w:rPr>
              <w:t>JCWP</w:t>
            </w:r>
            <w:r w:rsidRPr="00D074DA">
              <w:rPr>
                <w:rFonts w:eastAsia="Times New Roman"/>
                <w:color w:val="000000"/>
                <w:lang w:eastAsia="pl-PL"/>
              </w:rPr>
              <w:t xml:space="preserve"> RWr</w:t>
            </w:r>
          </w:p>
        </w:tc>
        <w:tc>
          <w:tcPr>
            <w:tcW w:w="6882" w:type="dxa"/>
            <w:shd w:val="clear" w:color="auto" w:fill="auto"/>
            <w:vAlign w:val="center"/>
          </w:tcPr>
          <w:p w14:paraId="57C6071E" w14:textId="77777777" w:rsidR="00425B78" w:rsidRPr="008368C5" w:rsidRDefault="00425B78" w:rsidP="00425B78">
            <w:pPr>
              <w:pStyle w:val="Wykazskrotow"/>
            </w:pPr>
            <w:r>
              <w:t>j</w:t>
            </w:r>
            <w:r w:rsidRPr="008368C5">
              <w:t xml:space="preserve">ednolita część wód powierzchniowych zbiornikowych (IIaPGW odnosi się do </w:t>
            </w:r>
            <w:r>
              <w:t>JCWP</w:t>
            </w:r>
            <w:r w:rsidRPr="008368C5">
              <w:t xml:space="preserve"> w nowym układzie planistycznym)</w:t>
            </w:r>
          </w:p>
        </w:tc>
      </w:tr>
      <w:tr w:rsidR="00425B78" w:rsidRPr="008368C5" w14:paraId="4E1C8077" w14:textId="77777777" w:rsidTr="00425B78">
        <w:trPr>
          <w:cantSplit/>
          <w:trHeight w:val="340"/>
        </w:trPr>
        <w:tc>
          <w:tcPr>
            <w:tcW w:w="2180" w:type="dxa"/>
            <w:shd w:val="clear" w:color="auto" w:fill="auto"/>
            <w:vAlign w:val="center"/>
          </w:tcPr>
          <w:p w14:paraId="5C82806E" w14:textId="77777777" w:rsidR="00425B78" w:rsidRPr="008368C5" w:rsidRDefault="00425B78" w:rsidP="00425B78">
            <w:pPr>
              <w:pStyle w:val="Wykazskrotowbold"/>
            </w:pPr>
            <w:r>
              <w:rPr>
                <w:rFonts w:eastAsia="Times New Roman"/>
                <w:color w:val="000000"/>
                <w:lang w:eastAsia="pl-PL"/>
              </w:rPr>
              <w:t>JCWP</w:t>
            </w:r>
            <w:r w:rsidRPr="00D074DA">
              <w:rPr>
                <w:rFonts w:eastAsia="Times New Roman"/>
                <w:color w:val="000000"/>
                <w:lang w:eastAsia="pl-PL"/>
              </w:rPr>
              <w:t xml:space="preserve"> TW</w:t>
            </w:r>
          </w:p>
        </w:tc>
        <w:tc>
          <w:tcPr>
            <w:tcW w:w="6882" w:type="dxa"/>
            <w:shd w:val="clear" w:color="auto" w:fill="auto"/>
            <w:vAlign w:val="center"/>
          </w:tcPr>
          <w:p w14:paraId="1585EE87" w14:textId="77777777" w:rsidR="00425B78" w:rsidRPr="008368C5" w:rsidRDefault="00425B78" w:rsidP="00425B78">
            <w:pPr>
              <w:pStyle w:val="Wykazskrotow"/>
            </w:pPr>
            <w:r>
              <w:t>j</w:t>
            </w:r>
            <w:r w:rsidRPr="008368C5">
              <w:t xml:space="preserve">ednolita część wód powierzchniowych przejściowych (IIaPGW odnosi się do </w:t>
            </w:r>
            <w:r>
              <w:t>JCWP</w:t>
            </w:r>
            <w:r w:rsidRPr="008368C5">
              <w:t xml:space="preserve"> w nowym układzie planistycznym)</w:t>
            </w:r>
          </w:p>
        </w:tc>
      </w:tr>
      <w:tr w:rsidR="00425B78" w:rsidRPr="008368C5" w14:paraId="6F12F5D4" w14:textId="77777777" w:rsidTr="00425B78">
        <w:trPr>
          <w:cantSplit/>
          <w:trHeight w:val="340"/>
        </w:trPr>
        <w:tc>
          <w:tcPr>
            <w:tcW w:w="2180" w:type="dxa"/>
            <w:shd w:val="clear" w:color="auto" w:fill="auto"/>
            <w:vAlign w:val="center"/>
          </w:tcPr>
          <w:p w14:paraId="367943C0" w14:textId="77777777" w:rsidR="00425B78" w:rsidRPr="008368C5" w:rsidRDefault="00425B78" w:rsidP="00425B78">
            <w:pPr>
              <w:pStyle w:val="Wykazskrotowbold"/>
            </w:pPr>
            <w:r>
              <w:rPr>
                <w:rFonts w:eastAsia="Times New Roman"/>
                <w:color w:val="000000"/>
                <w:lang w:eastAsia="pl-PL"/>
              </w:rPr>
              <w:t>JCWPd</w:t>
            </w:r>
          </w:p>
        </w:tc>
        <w:tc>
          <w:tcPr>
            <w:tcW w:w="6882" w:type="dxa"/>
            <w:shd w:val="clear" w:color="auto" w:fill="auto"/>
            <w:vAlign w:val="center"/>
          </w:tcPr>
          <w:p w14:paraId="6528F384" w14:textId="77777777" w:rsidR="00425B78" w:rsidRPr="008368C5" w:rsidRDefault="00425B78" w:rsidP="00425B78">
            <w:pPr>
              <w:pStyle w:val="Wykazskrotow"/>
            </w:pPr>
            <w:r>
              <w:t>j</w:t>
            </w:r>
            <w:r w:rsidRPr="008368C5">
              <w:t>ednolita część wód podziemnych</w:t>
            </w:r>
          </w:p>
        </w:tc>
      </w:tr>
      <w:tr w:rsidR="00425B78" w:rsidRPr="008368C5" w14:paraId="6899E2D8" w14:textId="77777777" w:rsidTr="00425B78">
        <w:trPr>
          <w:cantSplit/>
          <w:trHeight w:val="340"/>
        </w:trPr>
        <w:tc>
          <w:tcPr>
            <w:tcW w:w="2180" w:type="dxa"/>
            <w:shd w:val="clear" w:color="auto" w:fill="auto"/>
            <w:vAlign w:val="center"/>
          </w:tcPr>
          <w:p w14:paraId="456DAEEA" w14:textId="77777777" w:rsidR="00425B78" w:rsidRPr="008368C5" w:rsidRDefault="00425B78" w:rsidP="00425B78">
            <w:pPr>
              <w:pStyle w:val="Wykazskrotowbold"/>
            </w:pPr>
            <w:r>
              <w:rPr>
                <w:rFonts w:eastAsia="Times New Roman"/>
                <w:color w:val="000000"/>
                <w:lang w:eastAsia="pl-PL"/>
              </w:rPr>
              <w:t>JCWPd</w:t>
            </w:r>
            <w:r w:rsidRPr="00D074DA">
              <w:rPr>
                <w:rFonts w:eastAsia="Times New Roman"/>
                <w:color w:val="000000"/>
                <w:lang w:eastAsia="pl-PL"/>
              </w:rPr>
              <w:t xml:space="preserve"> (GW)</w:t>
            </w:r>
          </w:p>
        </w:tc>
        <w:tc>
          <w:tcPr>
            <w:tcW w:w="6882" w:type="dxa"/>
            <w:shd w:val="clear" w:color="auto" w:fill="auto"/>
            <w:vAlign w:val="center"/>
          </w:tcPr>
          <w:p w14:paraId="1BDC2C3D" w14:textId="77777777" w:rsidR="00425B78" w:rsidRPr="008368C5" w:rsidRDefault="00425B78" w:rsidP="00425B78">
            <w:pPr>
              <w:pStyle w:val="Wykazskrotow"/>
            </w:pPr>
            <w:r>
              <w:t>o</w:t>
            </w:r>
            <w:r w:rsidRPr="008368C5">
              <w:t>znaczenie zestawu działań dla jednolitych części wód podziemnych</w:t>
            </w:r>
          </w:p>
        </w:tc>
      </w:tr>
      <w:tr w:rsidR="00425B78" w:rsidRPr="008368C5" w14:paraId="3F624EF2" w14:textId="77777777" w:rsidTr="00425B78">
        <w:trPr>
          <w:cantSplit/>
          <w:trHeight w:val="340"/>
        </w:trPr>
        <w:tc>
          <w:tcPr>
            <w:tcW w:w="2180" w:type="dxa"/>
            <w:shd w:val="clear" w:color="auto" w:fill="auto"/>
            <w:vAlign w:val="center"/>
          </w:tcPr>
          <w:p w14:paraId="72A06BA1" w14:textId="77777777" w:rsidR="00425B78" w:rsidRPr="008368C5" w:rsidRDefault="00425B78" w:rsidP="00425B78">
            <w:pPr>
              <w:pStyle w:val="Wykazskrotowbold"/>
            </w:pPr>
            <w:r w:rsidRPr="008368C5">
              <w:t>k.p.a.</w:t>
            </w:r>
          </w:p>
        </w:tc>
        <w:tc>
          <w:tcPr>
            <w:tcW w:w="6882" w:type="dxa"/>
            <w:shd w:val="clear" w:color="auto" w:fill="auto"/>
            <w:vAlign w:val="center"/>
          </w:tcPr>
          <w:p w14:paraId="0F4E06AA" w14:textId="77777777" w:rsidR="00425B78" w:rsidRPr="008368C5" w:rsidRDefault="00425B78" w:rsidP="00425B78">
            <w:pPr>
              <w:pStyle w:val="Wykazskrotow"/>
            </w:pPr>
            <w:r>
              <w:t>u</w:t>
            </w:r>
            <w:r w:rsidRPr="008368C5">
              <w:t xml:space="preserve">stawa z dnia 14 czerwca 1960 r. </w:t>
            </w:r>
            <w:r>
              <w:t xml:space="preserve">– </w:t>
            </w:r>
            <w:r w:rsidRPr="008368C5">
              <w:t>Kodeks postępowania administracyjnego (Dz.U. z 202</w:t>
            </w:r>
            <w:r>
              <w:t>1</w:t>
            </w:r>
            <w:r w:rsidRPr="008368C5">
              <w:t> r. poz. </w:t>
            </w:r>
            <w:r>
              <w:t>735</w:t>
            </w:r>
            <w:r w:rsidRPr="008368C5">
              <w:t xml:space="preserve"> z późn. zm.)</w:t>
            </w:r>
          </w:p>
        </w:tc>
      </w:tr>
      <w:tr w:rsidR="00425B78" w:rsidRPr="008368C5" w14:paraId="4FF08285" w14:textId="77777777" w:rsidTr="00425B78">
        <w:trPr>
          <w:cantSplit/>
          <w:trHeight w:val="340"/>
        </w:trPr>
        <w:tc>
          <w:tcPr>
            <w:tcW w:w="2180" w:type="dxa"/>
            <w:shd w:val="clear" w:color="auto" w:fill="auto"/>
            <w:vAlign w:val="center"/>
          </w:tcPr>
          <w:p w14:paraId="397B73AE" w14:textId="77777777" w:rsidR="00425B78" w:rsidRPr="008368C5" w:rsidRDefault="00425B78" w:rsidP="00425B78">
            <w:pPr>
              <w:pStyle w:val="Wykazskrotowbold"/>
            </w:pPr>
            <w:r w:rsidRPr="008368C5">
              <w:t>KE</w:t>
            </w:r>
          </w:p>
        </w:tc>
        <w:tc>
          <w:tcPr>
            <w:tcW w:w="6882" w:type="dxa"/>
            <w:shd w:val="clear" w:color="auto" w:fill="auto"/>
            <w:vAlign w:val="center"/>
          </w:tcPr>
          <w:p w14:paraId="5011A4EA" w14:textId="77777777" w:rsidR="00425B78" w:rsidRPr="008368C5" w:rsidRDefault="00425B78" w:rsidP="00425B78">
            <w:pPr>
              <w:pStyle w:val="Wykazskrotow"/>
            </w:pPr>
            <w:r w:rsidRPr="008368C5">
              <w:t>Komisja Europejska</w:t>
            </w:r>
          </w:p>
        </w:tc>
      </w:tr>
      <w:tr w:rsidR="00425B78" w:rsidRPr="008368C5" w14:paraId="236F97C7" w14:textId="77777777" w:rsidTr="00425B78">
        <w:trPr>
          <w:cantSplit/>
          <w:trHeight w:val="340"/>
        </w:trPr>
        <w:tc>
          <w:tcPr>
            <w:tcW w:w="2180" w:type="dxa"/>
            <w:shd w:val="clear" w:color="auto" w:fill="auto"/>
            <w:vAlign w:val="center"/>
          </w:tcPr>
          <w:p w14:paraId="58CBF62A" w14:textId="77777777" w:rsidR="00425B78" w:rsidRPr="008368C5" w:rsidRDefault="00425B78" w:rsidP="00425B78">
            <w:pPr>
              <w:pStyle w:val="Wykazskrotowbold"/>
            </w:pPr>
            <w:r w:rsidRPr="008368C5">
              <w:t>KPEiK</w:t>
            </w:r>
          </w:p>
        </w:tc>
        <w:tc>
          <w:tcPr>
            <w:tcW w:w="6882" w:type="dxa"/>
            <w:shd w:val="clear" w:color="auto" w:fill="auto"/>
            <w:vAlign w:val="center"/>
          </w:tcPr>
          <w:p w14:paraId="23AF9EE6" w14:textId="77777777" w:rsidR="00425B78" w:rsidRPr="008368C5" w:rsidRDefault="00425B78" w:rsidP="00425B78">
            <w:pPr>
              <w:pStyle w:val="Wykazskrotow"/>
            </w:pPr>
            <w:r w:rsidRPr="008368C5">
              <w:t>Krajowy Plan na Rzecz Energii i Klimatu na lata 2021</w:t>
            </w:r>
            <w:r w:rsidRPr="008368C5" w:rsidDel="0067273E">
              <w:t>-</w:t>
            </w:r>
            <w:r>
              <w:t>–</w:t>
            </w:r>
            <w:r w:rsidRPr="008368C5">
              <w:t>2030</w:t>
            </w:r>
          </w:p>
        </w:tc>
      </w:tr>
      <w:tr w:rsidR="00425B78" w:rsidRPr="008368C5" w14:paraId="43158301" w14:textId="77777777" w:rsidTr="00425B78">
        <w:trPr>
          <w:cantSplit/>
          <w:trHeight w:val="340"/>
        </w:trPr>
        <w:tc>
          <w:tcPr>
            <w:tcW w:w="2180" w:type="dxa"/>
            <w:shd w:val="clear" w:color="auto" w:fill="auto"/>
            <w:vAlign w:val="center"/>
          </w:tcPr>
          <w:p w14:paraId="0B1E65F1" w14:textId="77777777" w:rsidR="00425B78" w:rsidRPr="008368C5" w:rsidRDefault="00425B78" w:rsidP="00425B78">
            <w:pPr>
              <w:pStyle w:val="Wykazskrotowbold"/>
            </w:pPr>
            <w:r w:rsidRPr="008368C5">
              <w:t>KPGO</w:t>
            </w:r>
          </w:p>
        </w:tc>
        <w:tc>
          <w:tcPr>
            <w:tcW w:w="6882" w:type="dxa"/>
            <w:shd w:val="clear" w:color="auto" w:fill="auto"/>
            <w:vAlign w:val="center"/>
          </w:tcPr>
          <w:p w14:paraId="28398E51" w14:textId="77777777" w:rsidR="00425B78" w:rsidRPr="008368C5" w:rsidRDefault="00425B78" w:rsidP="00425B78">
            <w:pPr>
              <w:pStyle w:val="Wykazskrotow"/>
            </w:pPr>
            <w:r w:rsidRPr="008368C5">
              <w:t xml:space="preserve">Krajowy </w:t>
            </w:r>
            <w:r>
              <w:t>P</w:t>
            </w:r>
            <w:r w:rsidRPr="008368C5">
              <w:t xml:space="preserve">lan </w:t>
            </w:r>
            <w:r>
              <w:t>G</w:t>
            </w:r>
            <w:r w:rsidRPr="008368C5">
              <w:t xml:space="preserve">ospodarki </w:t>
            </w:r>
            <w:r>
              <w:t>O</w:t>
            </w:r>
            <w:r w:rsidRPr="008368C5">
              <w:t>dpadami</w:t>
            </w:r>
          </w:p>
        </w:tc>
      </w:tr>
      <w:tr w:rsidR="00425B78" w:rsidRPr="008368C5" w14:paraId="46023FEE" w14:textId="77777777" w:rsidTr="00425B78">
        <w:trPr>
          <w:cantSplit/>
          <w:trHeight w:val="340"/>
        </w:trPr>
        <w:tc>
          <w:tcPr>
            <w:tcW w:w="2180" w:type="dxa"/>
            <w:shd w:val="clear" w:color="auto" w:fill="auto"/>
            <w:vAlign w:val="center"/>
          </w:tcPr>
          <w:p w14:paraId="2B4FA571" w14:textId="77777777" w:rsidR="00425B78" w:rsidRPr="008368C5" w:rsidRDefault="00425B78" w:rsidP="00425B78">
            <w:pPr>
              <w:pStyle w:val="Wykazskrotowbold"/>
            </w:pPr>
            <w:r w:rsidRPr="008368C5">
              <w:t>KPOŚK</w:t>
            </w:r>
          </w:p>
        </w:tc>
        <w:tc>
          <w:tcPr>
            <w:tcW w:w="6882" w:type="dxa"/>
            <w:shd w:val="clear" w:color="auto" w:fill="auto"/>
            <w:vAlign w:val="center"/>
          </w:tcPr>
          <w:p w14:paraId="298A9EFE" w14:textId="77777777" w:rsidR="00425B78" w:rsidRPr="008368C5" w:rsidRDefault="00425B78" w:rsidP="00425B78">
            <w:pPr>
              <w:pStyle w:val="Wykazskrotow"/>
            </w:pPr>
            <w:r w:rsidRPr="008368C5">
              <w:t>Krajowy Program Oczyszczania Ścieków Komunalnych</w:t>
            </w:r>
          </w:p>
        </w:tc>
      </w:tr>
      <w:tr w:rsidR="00425B78" w:rsidRPr="008368C5" w14:paraId="1E52C85F" w14:textId="77777777" w:rsidTr="00425B78">
        <w:trPr>
          <w:cantSplit/>
          <w:trHeight w:val="340"/>
        </w:trPr>
        <w:tc>
          <w:tcPr>
            <w:tcW w:w="2180" w:type="dxa"/>
            <w:shd w:val="clear" w:color="auto" w:fill="auto"/>
            <w:vAlign w:val="center"/>
          </w:tcPr>
          <w:p w14:paraId="5F5B5624" w14:textId="77777777" w:rsidR="00425B78" w:rsidRPr="008368C5" w:rsidRDefault="00425B78" w:rsidP="00425B78">
            <w:pPr>
              <w:pStyle w:val="Wykazskrotowbold"/>
            </w:pPr>
            <w:r w:rsidRPr="008368C5">
              <w:t>KPOWM</w:t>
            </w:r>
          </w:p>
        </w:tc>
        <w:tc>
          <w:tcPr>
            <w:tcW w:w="6882" w:type="dxa"/>
            <w:shd w:val="clear" w:color="auto" w:fill="auto"/>
            <w:vAlign w:val="center"/>
          </w:tcPr>
          <w:p w14:paraId="4E048442" w14:textId="77777777" w:rsidR="00425B78" w:rsidRPr="008368C5" w:rsidRDefault="00425B78" w:rsidP="00425B78">
            <w:pPr>
              <w:pStyle w:val="Wykazskrotow"/>
            </w:pPr>
            <w:r w:rsidRPr="008368C5">
              <w:t>Krajowy Program Ochrony Wód Morskich</w:t>
            </w:r>
            <w:r>
              <w:t xml:space="preserve"> (2017)</w:t>
            </w:r>
          </w:p>
        </w:tc>
      </w:tr>
      <w:tr w:rsidR="00425B78" w:rsidRPr="008368C5" w14:paraId="44B349B7" w14:textId="77777777" w:rsidTr="00425B78">
        <w:trPr>
          <w:cantSplit/>
          <w:trHeight w:val="340"/>
        </w:trPr>
        <w:tc>
          <w:tcPr>
            <w:tcW w:w="2180" w:type="dxa"/>
            <w:shd w:val="clear" w:color="auto" w:fill="auto"/>
            <w:vAlign w:val="center"/>
          </w:tcPr>
          <w:p w14:paraId="68DDA9AB" w14:textId="77777777" w:rsidR="00425B78" w:rsidRPr="008368C5" w:rsidRDefault="00425B78" w:rsidP="00425B78">
            <w:pPr>
              <w:pStyle w:val="Wykazskrotowbold"/>
            </w:pPr>
            <w:r w:rsidRPr="008368C5">
              <w:t>KPRWP</w:t>
            </w:r>
          </w:p>
        </w:tc>
        <w:tc>
          <w:tcPr>
            <w:tcW w:w="6882" w:type="dxa"/>
            <w:shd w:val="clear" w:color="auto" w:fill="auto"/>
            <w:vAlign w:val="center"/>
          </w:tcPr>
          <w:p w14:paraId="1AC2F810" w14:textId="77777777" w:rsidR="00425B78" w:rsidRPr="008368C5" w:rsidRDefault="00425B78" w:rsidP="00425B78">
            <w:pPr>
              <w:pStyle w:val="Wykazskrotow"/>
            </w:pPr>
            <w:r w:rsidRPr="008368C5">
              <w:t>Krajowy Program Renaturyzacji Wód Powierzchniowych</w:t>
            </w:r>
          </w:p>
        </w:tc>
      </w:tr>
      <w:tr w:rsidR="00425B78" w:rsidRPr="008368C5" w14:paraId="775B2425" w14:textId="77777777" w:rsidTr="00425B78">
        <w:trPr>
          <w:cantSplit/>
          <w:trHeight w:val="340"/>
        </w:trPr>
        <w:tc>
          <w:tcPr>
            <w:tcW w:w="2180" w:type="dxa"/>
            <w:shd w:val="clear" w:color="auto" w:fill="auto"/>
            <w:vAlign w:val="center"/>
          </w:tcPr>
          <w:p w14:paraId="2D1FCB65" w14:textId="77777777" w:rsidR="00425B78" w:rsidRPr="008368C5" w:rsidRDefault="00425B78" w:rsidP="00425B78">
            <w:pPr>
              <w:pStyle w:val="Wykazskrotowbold"/>
            </w:pPr>
            <w:r w:rsidRPr="008368C5">
              <w:t>KPZK</w:t>
            </w:r>
          </w:p>
        </w:tc>
        <w:tc>
          <w:tcPr>
            <w:tcW w:w="6882" w:type="dxa"/>
            <w:shd w:val="clear" w:color="auto" w:fill="auto"/>
            <w:vAlign w:val="center"/>
          </w:tcPr>
          <w:p w14:paraId="37CABA55" w14:textId="77777777" w:rsidR="00425B78" w:rsidRPr="008368C5" w:rsidRDefault="00425B78" w:rsidP="00425B78">
            <w:pPr>
              <w:pStyle w:val="Wykazskrotow"/>
            </w:pPr>
            <w:r w:rsidRPr="008368C5">
              <w:t>Krajowy Plan Zarządzania Kryzysowego</w:t>
            </w:r>
          </w:p>
        </w:tc>
      </w:tr>
      <w:tr w:rsidR="00425B78" w:rsidRPr="008368C5" w14:paraId="49408AC5" w14:textId="77777777" w:rsidTr="00425B78">
        <w:trPr>
          <w:cantSplit/>
          <w:trHeight w:val="340"/>
        </w:trPr>
        <w:tc>
          <w:tcPr>
            <w:tcW w:w="2180" w:type="dxa"/>
            <w:shd w:val="clear" w:color="auto" w:fill="auto"/>
            <w:vAlign w:val="center"/>
          </w:tcPr>
          <w:p w14:paraId="7E869467" w14:textId="77777777" w:rsidR="00425B78" w:rsidRPr="008368C5" w:rsidRDefault="00425B78" w:rsidP="00425B78">
            <w:pPr>
              <w:pStyle w:val="Wykazskrotowbold"/>
            </w:pPr>
            <w:r w:rsidRPr="008368C5">
              <w:t>KPZL</w:t>
            </w:r>
          </w:p>
        </w:tc>
        <w:tc>
          <w:tcPr>
            <w:tcW w:w="6882" w:type="dxa"/>
            <w:shd w:val="clear" w:color="auto" w:fill="auto"/>
            <w:vAlign w:val="center"/>
          </w:tcPr>
          <w:p w14:paraId="0BF82217" w14:textId="77777777" w:rsidR="00425B78" w:rsidRPr="008368C5" w:rsidRDefault="00425B78" w:rsidP="00425B78">
            <w:pPr>
              <w:pStyle w:val="Wykazskrotow"/>
            </w:pPr>
            <w:r w:rsidRPr="008368C5">
              <w:t>Krajowy Program Zwiększania Lesistości</w:t>
            </w:r>
          </w:p>
        </w:tc>
      </w:tr>
      <w:tr w:rsidR="00425B78" w:rsidRPr="008368C5" w14:paraId="6262E05D" w14:textId="77777777" w:rsidTr="00425B78">
        <w:trPr>
          <w:cantSplit/>
          <w:trHeight w:val="340"/>
        </w:trPr>
        <w:tc>
          <w:tcPr>
            <w:tcW w:w="2180" w:type="dxa"/>
            <w:shd w:val="clear" w:color="auto" w:fill="auto"/>
            <w:vAlign w:val="center"/>
          </w:tcPr>
          <w:p w14:paraId="4C188D2B" w14:textId="77777777" w:rsidR="00425B78" w:rsidRPr="008368C5" w:rsidRDefault="00425B78" w:rsidP="00425B78">
            <w:pPr>
              <w:pStyle w:val="Wykazskrotowbold"/>
            </w:pPr>
            <w:r w:rsidRPr="008368C5">
              <w:t>KSRR 2030</w:t>
            </w:r>
          </w:p>
        </w:tc>
        <w:tc>
          <w:tcPr>
            <w:tcW w:w="6882" w:type="dxa"/>
            <w:shd w:val="clear" w:color="auto" w:fill="auto"/>
            <w:vAlign w:val="center"/>
          </w:tcPr>
          <w:p w14:paraId="64EC9026" w14:textId="77777777" w:rsidR="00425B78" w:rsidRPr="008368C5" w:rsidRDefault="00425B78" w:rsidP="00425B78">
            <w:pPr>
              <w:pStyle w:val="Wykazskrotow"/>
            </w:pPr>
            <w:r w:rsidRPr="008368C5">
              <w:t>Krajowa Strategia Rozwoju Regionalnego 2030</w:t>
            </w:r>
          </w:p>
        </w:tc>
      </w:tr>
      <w:tr w:rsidR="00425B78" w:rsidRPr="00FA05DC" w14:paraId="127B2A9A" w14:textId="77777777" w:rsidTr="00425B78">
        <w:trPr>
          <w:cantSplit/>
          <w:trHeight w:val="340"/>
        </w:trPr>
        <w:tc>
          <w:tcPr>
            <w:tcW w:w="2180" w:type="dxa"/>
            <w:shd w:val="clear" w:color="auto" w:fill="auto"/>
            <w:vAlign w:val="center"/>
          </w:tcPr>
          <w:p w14:paraId="06463278" w14:textId="77777777" w:rsidR="00425B78" w:rsidRPr="008368C5" w:rsidRDefault="00425B78" w:rsidP="00425B78">
            <w:pPr>
              <w:pStyle w:val="Wykazskrotowbold"/>
            </w:pPr>
            <w:r w:rsidRPr="008368C5">
              <w:t>KTM</w:t>
            </w:r>
          </w:p>
        </w:tc>
        <w:tc>
          <w:tcPr>
            <w:tcW w:w="6882" w:type="dxa"/>
            <w:shd w:val="clear" w:color="auto" w:fill="auto"/>
            <w:vAlign w:val="center"/>
          </w:tcPr>
          <w:p w14:paraId="4E0AE189" w14:textId="5CB5F194" w:rsidR="00425B78" w:rsidRPr="008368C5" w:rsidRDefault="00F9696B" w:rsidP="00425B78">
            <w:pPr>
              <w:pStyle w:val="Wykazskrotow"/>
              <w:rPr>
                <w:lang w:val="en-US"/>
              </w:rPr>
            </w:pPr>
            <w:r>
              <w:rPr>
                <w:lang w:val="en-US"/>
              </w:rPr>
              <w:t>t</w:t>
            </w:r>
            <w:r w:rsidRPr="008368C5">
              <w:rPr>
                <w:lang w:val="en-US"/>
              </w:rPr>
              <w:t xml:space="preserve">yp </w:t>
            </w:r>
            <w:r w:rsidR="00425B78" w:rsidRPr="008368C5">
              <w:rPr>
                <w:lang w:val="en-US"/>
              </w:rPr>
              <w:t>działania (</w:t>
            </w:r>
            <w:r w:rsidR="00425B78">
              <w:rPr>
                <w:lang w:val="en-US"/>
              </w:rPr>
              <w:t xml:space="preserve">ang. </w:t>
            </w:r>
            <w:r w:rsidR="00425B78" w:rsidRPr="009B579A">
              <w:rPr>
                <w:i/>
                <w:lang w:val="en-US"/>
              </w:rPr>
              <w:t>Key Types of Measures</w:t>
            </w:r>
            <w:r w:rsidR="00425B78" w:rsidRPr="008368C5">
              <w:rPr>
                <w:lang w:val="en-US"/>
              </w:rPr>
              <w:t>); Annex 8q: List of Relevant KTM (KTM_Enum) Final Draft v4 WFD Reporting Guidance 2022 - 30.04.2020)</w:t>
            </w:r>
          </w:p>
        </w:tc>
      </w:tr>
      <w:tr w:rsidR="00425B78" w:rsidRPr="008368C5" w14:paraId="7CC4D516" w14:textId="77777777" w:rsidTr="00425B78">
        <w:trPr>
          <w:cantSplit/>
          <w:trHeight w:val="340"/>
        </w:trPr>
        <w:tc>
          <w:tcPr>
            <w:tcW w:w="2180" w:type="dxa"/>
            <w:shd w:val="clear" w:color="auto" w:fill="auto"/>
            <w:vAlign w:val="center"/>
          </w:tcPr>
          <w:p w14:paraId="1A1E03A7" w14:textId="77777777" w:rsidR="00425B78" w:rsidRPr="008368C5" w:rsidRDefault="00425B78" w:rsidP="00425B78">
            <w:pPr>
              <w:pStyle w:val="Wykazskrotowbold"/>
            </w:pPr>
            <w:r w:rsidRPr="008368C5">
              <w:t>KZGW</w:t>
            </w:r>
          </w:p>
        </w:tc>
        <w:tc>
          <w:tcPr>
            <w:tcW w:w="6882" w:type="dxa"/>
            <w:shd w:val="clear" w:color="auto" w:fill="auto"/>
            <w:vAlign w:val="center"/>
          </w:tcPr>
          <w:p w14:paraId="0C7EEFDE" w14:textId="77777777" w:rsidR="00425B78" w:rsidRPr="008368C5" w:rsidRDefault="00425B78" w:rsidP="00425B78">
            <w:pPr>
              <w:pStyle w:val="Wykazskrotow"/>
            </w:pPr>
            <w:r w:rsidRPr="008368C5">
              <w:t>Krajowy Zarząd Gospodarki Wodnej</w:t>
            </w:r>
          </w:p>
        </w:tc>
      </w:tr>
      <w:tr w:rsidR="00425B78" w:rsidRPr="008368C5" w14:paraId="26BEBE11" w14:textId="77777777" w:rsidTr="00425B78">
        <w:trPr>
          <w:cantSplit/>
          <w:trHeight w:val="340"/>
        </w:trPr>
        <w:tc>
          <w:tcPr>
            <w:tcW w:w="2180" w:type="dxa"/>
            <w:shd w:val="clear" w:color="auto" w:fill="auto"/>
            <w:vAlign w:val="center"/>
          </w:tcPr>
          <w:p w14:paraId="262FAB19" w14:textId="77777777" w:rsidR="00425B78" w:rsidRPr="008368C5" w:rsidRDefault="00425B78" w:rsidP="00425B78">
            <w:pPr>
              <w:pStyle w:val="Wykazskrotowbold"/>
            </w:pPr>
            <w:r w:rsidRPr="008368C5">
              <w:t>LCh</w:t>
            </w:r>
          </w:p>
        </w:tc>
        <w:tc>
          <w:tcPr>
            <w:tcW w:w="6882" w:type="dxa"/>
            <w:shd w:val="clear" w:color="auto" w:fill="auto"/>
            <w:vAlign w:val="center"/>
          </w:tcPr>
          <w:p w14:paraId="0DC3AC89" w14:textId="77777777" w:rsidR="00425B78" w:rsidRPr="008368C5" w:rsidRDefault="00425B78" w:rsidP="00425B78">
            <w:pPr>
              <w:pStyle w:val="Wykazskrotow"/>
              <w:rPr>
                <w:lang w:val="en-US"/>
              </w:rPr>
            </w:pPr>
            <w:r w:rsidRPr="008368C5">
              <w:rPr>
                <w:lang w:val="en-US"/>
              </w:rPr>
              <w:t>Laboratorium Chemiczne PIG-PIB</w:t>
            </w:r>
          </w:p>
        </w:tc>
      </w:tr>
      <w:tr w:rsidR="00425B78" w:rsidRPr="008368C5" w14:paraId="401D8A48" w14:textId="77777777" w:rsidTr="00425B78">
        <w:trPr>
          <w:trHeight w:val="340"/>
        </w:trPr>
        <w:tc>
          <w:tcPr>
            <w:tcW w:w="2180" w:type="dxa"/>
          </w:tcPr>
          <w:p w14:paraId="7E8E51C9" w14:textId="77777777" w:rsidR="00425B78" w:rsidRPr="008368C5" w:rsidRDefault="00425B78" w:rsidP="00425B78">
            <w:pPr>
              <w:pStyle w:val="Wykazskrotowbold"/>
            </w:pPr>
            <w:r w:rsidRPr="008368C5">
              <w:t>MAHB</w:t>
            </w:r>
          </w:p>
        </w:tc>
        <w:tc>
          <w:tcPr>
            <w:tcW w:w="6882" w:type="dxa"/>
          </w:tcPr>
          <w:p w14:paraId="34E49464" w14:textId="77777777" w:rsidR="00425B78" w:rsidRPr="008368C5" w:rsidRDefault="00425B78" w:rsidP="00425B78">
            <w:pPr>
              <w:pStyle w:val="Wykazskrotow"/>
            </w:pPr>
            <w:r w:rsidRPr="008368C5">
              <w:t>Biuro ds. Zagrożeń Poważnymi Awariami (</w:t>
            </w:r>
            <w:r>
              <w:t xml:space="preserve">ang. </w:t>
            </w:r>
            <w:r w:rsidRPr="009B579A">
              <w:rPr>
                <w:i/>
                <w:iCs/>
              </w:rPr>
              <w:t>Major Accident Hazard Bureau</w:t>
            </w:r>
            <w:r w:rsidRPr="008368C5">
              <w:t>), funkcjonujące w strukturach UE</w:t>
            </w:r>
          </w:p>
        </w:tc>
      </w:tr>
      <w:tr w:rsidR="00425B78" w:rsidRPr="008368C5" w14:paraId="11716B75" w14:textId="77777777" w:rsidTr="00425B78">
        <w:trPr>
          <w:trHeight w:val="340"/>
        </w:trPr>
        <w:tc>
          <w:tcPr>
            <w:tcW w:w="2180" w:type="dxa"/>
          </w:tcPr>
          <w:p w14:paraId="484ED0B6" w14:textId="77777777" w:rsidR="00425B78" w:rsidRPr="008368C5" w:rsidRDefault="00425B78" w:rsidP="00425B78">
            <w:pPr>
              <w:pStyle w:val="Wykazskrotowbold"/>
            </w:pPr>
            <w:r w:rsidRPr="008368C5">
              <w:t>MARS</w:t>
            </w:r>
          </w:p>
        </w:tc>
        <w:tc>
          <w:tcPr>
            <w:tcW w:w="6882" w:type="dxa"/>
          </w:tcPr>
          <w:p w14:paraId="12A9A6D1" w14:textId="4B0196C7" w:rsidR="00425B78" w:rsidRPr="008368C5" w:rsidRDefault="00F25496" w:rsidP="00425B78">
            <w:pPr>
              <w:pStyle w:val="Wykazskrotow"/>
            </w:pPr>
            <w:r>
              <w:t>s</w:t>
            </w:r>
            <w:r w:rsidRPr="008368C5">
              <w:t xml:space="preserve">ystem </w:t>
            </w:r>
            <w:r w:rsidR="00425B78" w:rsidRPr="008368C5">
              <w:t>zgłaszania poważnych awarii (</w:t>
            </w:r>
            <w:r w:rsidR="00425B78">
              <w:t xml:space="preserve">ang. </w:t>
            </w:r>
            <w:r w:rsidR="00425B78" w:rsidRPr="009B579A">
              <w:rPr>
                <w:i/>
                <w:iCs/>
              </w:rPr>
              <w:t>Major</w:t>
            </w:r>
            <w:r w:rsidR="00425B78" w:rsidRPr="009B579A" w:rsidDel="0067273E">
              <w:rPr>
                <w:i/>
                <w:iCs/>
              </w:rPr>
              <w:t xml:space="preserve"> - </w:t>
            </w:r>
            <w:r w:rsidR="00425B78" w:rsidRPr="009B579A">
              <w:rPr>
                <w:i/>
                <w:iCs/>
              </w:rPr>
              <w:t>Accident Reporting System</w:t>
            </w:r>
            <w:r w:rsidR="00425B78" w:rsidRPr="009B579A">
              <w:t>)</w:t>
            </w:r>
          </w:p>
        </w:tc>
      </w:tr>
      <w:tr w:rsidR="00425B78" w:rsidRPr="008368C5" w14:paraId="6B21E5B3" w14:textId="77777777" w:rsidTr="00425B78">
        <w:trPr>
          <w:cantSplit/>
          <w:trHeight w:val="340"/>
        </w:trPr>
        <w:tc>
          <w:tcPr>
            <w:tcW w:w="2180" w:type="dxa"/>
            <w:shd w:val="clear" w:color="auto" w:fill="auto"/>
            <w:vAlign w:val="center"/>
          </w:tcPr>
          <w:p w14:paraId="47341E93" w14:textId="77777777" w:rsidR="00425B78" w:rsidRPr="008368C5" w:rsidRDefault="00425B78" w:rsidP="00425B78">
            <w:pPr>
              <w:pStyle w:val="Wykazskrotowbold"/>
            </w:pPr>
            <w:r w:rsidRPr="008368C5">
              <w:t>MB</w:t>
            </w:r>
          </w:p>
        </w:tc>
        <w:tc>
          <w:tcPr>
            <w:tcW w:w="6882" w:type="dxa"/>
            <w:shd w:val="clear" w:color="auto" w:fill="auto"/>
            <w:vAlign w:val="center"/>
          </w:tcPr>
          <w:p w14:paraId="3585DAA6" w14:textId="77777777" w:rsidR="00425B78" w:rsidRPr="008368C5" w:rsidRDefault="00425B78" w:rsidP="00425B78">
            <w:pPr>
              <w:pStyle w:val="Wykazskrotow"/>
            </w:pPr>
            <w:r>
              <w:t>m</w:t>
            </w:r>
            <w:r w:rsidRPr="008368C5">
              <w:t>onitoring badawczy</w:t>
            </w:r>
          </w:p>
        </w:tc>
      </w:tr>
      <w:tr w:rsidR="00425B78" w:rsidRPr="008368C5" w14:paraId="312FCEE3" w14:textId="77777777" w:rsidTr="00425B78">
        <w:trPr>
          <w:cantSplit/>
          <w:trHeight w:val="340"/>
        </w:trPr>
        <w:tc>
          <w:tcPr>
            <w:tcW w:w="2180" w:type="dxa"/>
            <w:shd w:val="clear" w:color="auto" w:fill="auto"/>
            <w:vAlign w:val="center"/>
          </w:tcPr>
          <w:p w14:paraId="0E75E43D" w14:textId="77777777" w:rsidR="00425B78" w:rsidRPr="008368C5" w:rsidRDefault="00425B78" w:rsidP="00425B78">
            <w:pPr>
              <w:pStyle w:val="Wykazskrotowbold"/>
            </w:pPr>
            <w:r w:rsidRPr="008368C5">
              <w:t>MD</w:t>
            </w:r>
          </w:p>
        </w:tc>
        <w:tc>
          <w:tcPr>
            <w:tcW w:w="6882" w:type="dxa"/>
            <w:shd w:val="clear" w:color="auto" w:fill="auto"/>
            <w:vAlign w:val="center"/>
          </w:tcPr>
          <w:p w14:paraId="5BC1B454" w14:textId="77777777" w:rsidR="00425B78" w:rsidRPr="008368C5" w:rsidRDefault="00425B78" w:rsidP="00425B78">
            <w:pPr>
              <w:pStyle w:val="Wykazskrotow"/>
            </w:pPr>
            <w:r>
              <w:t>m</w:t>
            </w:r>
            <w:r w:rsidRPr="008368C5">
              <w:t>onitoring diagnostyczny</w:t>
            </w:r>
          </w:p>
        </w:tc>
      </w:tr>
      <w:tr w:rsidR="00425B78" w:rsidRPr="008368C5" w14:paraId="04419A94" w14:textId="77777777" w:rsidTr="00425B78">
        <w:trPr>
          <w:cantSplit/>
          <w:trHeight w:val="340"/>
        </w:trPr>
        <w:tc>
          <w:tcPr>
            <w:tcW w:w="2180" w:type="dxa"/>
            <w:shd w:val="clear" w:color="auto" w:fill="auto"/>
            <w:vAlign w:val="center"/>
          </w:tcPr>
          <w:p w14:paraId="1220A22D" w14:textId="77777777" w:rsidR="00425B78" w:rsidRPr="008368C5" w:rsidRDefault="00425B78" w:rsidP="00425B78">
            <w:pPr>
              <w:pStyle w:val="Wykazskrotowbold"/>
            </w:pPr>
            <w:r w:rsidRPr="008368C5">
              <w:t>MI</w:t>
            </w:r>
          </w:p>
        </w:tc>
        <w:tc>
          <w:tcPr>
            <w:tcW w:w="6882" w:type="dxa"/>
            <w:shd w:val="clear" w:color="auto" w:fill="auto"/>
            <w:vAlign w:val="center"/>
          </w:tcPr>
          <w:p w14:paraId="08FA454F" w14:textId="77777777" w:rsidR="00425B78" w:rsidRPr="008368C5" w:rsidRDefault="00425B78" w:rsidP="00425B78">
            <w:pPr>
              <w:pStyle w:val="Wykazskrotow"/>
            </w:pPr>
            <w:r w:rsidRPr="008368C5">
              <w:t>Ministerstwo Infrastruktury</w:t>
            </w:r>
          </w:p>
        </w:tc>
      </w:tr>
      <w:tr w:rsidR="00425B78" w:rsidRPr="008368C5" w14:paraId="1464E9DC" w14:textId="77777777" w:rsidTr="00425B78">
        <w:trPr>
          <w:cantSplit/>
          <w:trHeight w:val="340"/>
        </w:trPr>
        <w:tc>
          <w:tcPr>
            <w:tcW w:w="2180" w:type="dxa"/>
            <w:shd w:val="clear" w:color="auto" w:fill="auto"/>
            <w:vAlign w:val="center"/>
          </w:tcPr>
          <w:p w14:paraId="63D3E00D" w14:textId="77777777" w:rsidR="00425B78" w:rsidRPr="008368C5" w:rsidRDefault="00425B78" w:rsidP="00425B78">
            <w:pPr>
              <w:pStyle w:val="Wykazskrotowbold"/>
            </w:pPr>
            <w:r w:rsidRPr="008368C5">
              <w:rPr>
                <w:rFonts w:eastAsia="Times New Roman"/>
                <w:lang w:eastAsia="pl-PL"/>
              </w:rPr>
              <w:t>MIR</w:t>
            </w:r>
          </w:p>
        </w:tc>
        <w:tc>
          <w:tcPr>
            <w:tcW w:w="6882" w:type="dxa"/>
            <w:shd w:val="clear" w:color="auto" w:fill="auto"/>
            <w:vAlign w:val="center"/>
          </w:tcPr>
          <w:p w14:paraId="52474D14" w14:textId="28B45082" w:rsidR="00425B78" w:rsidRPr="008368C5" w:rsidRDefault="00F25496" w:rsidP="00425B78">
            <w:pPr>
              <w:pStyle w:val="Wykazskrotow"/>
            </w:pPr>
            <w:r>
              <w:rPr>
                <w:rFonts w:eastAsia="Times New Roman"/>
                <w:lang w:eastAsia="pl-PL"/>
              </w:rPr>
              <w:t>m</w:t>
            </w:r>
            <w:r w:rsidRPr="008368C5">
              <w:rPr>
                <w:rFonts w:eastAsia="Times New Roman"/>
                <w:lang w:eastAsia="pl-PL"/>
              </w:rPr>
              <w:t xml:space="preserve">akrofitowy </w:t>
            </w:r>
            <w:r>
              <w:rPr>
                <w:rFonts w:eastAsia="Times New Roman"/>
                <w:lang w:eastAsia="pl-PL"/>
              </w:rPr>
              <w:t>i</w:t>
            </w:r>
            <w:r w:rsidR="00425B78" w:rsidRPr="008368C5">
              <w:rPr>
                <w:rFonts w:eastAsia="Times New Roman"/>
                <w:lang w:eastAsia="pl-PL"/>
              </w:rPr>
              <w:t xml:space="preserve">ndeks </w:t>
            </w:r>
            <w:r>
              <w:rPr>
                <w:rFonts w:eastAsia="Times New Roman"/>
                <w:lang w:eastAsia="pl-PL"/>
              </w:rPr>
              <w:t>r</w:t>
            </w:r>
            <w:r w:rsidR="00425B78" w:rsidRPr="008368C5">
              <w:rPr>
                <w:rFonts w:eastAsia="Times New Roman"/>
                <w:lang w:eastAsia="pl-PL"/>
              </w:rPr>
              <w:t>zeczny</w:t>
            </w:r>
          </w:p>
        </w:tc>
      </w:tr>
      <w:tr w:rsidR="00425B78" w:rsidRPr="008368C5" w14:paraId="060ABE8F" w14:textId="77777777" w:rsidTr="00425B78">
        <w:trPr>
          <w:cantSplit/>
          <w:trHeight w:val="340"/>
        </w:trPr>
        <w:tc>
          <w:tcPr>
            <w:tcW w:w="2180" w:type="dxa"/>
            <w:shd w:val="clear" w:color="auto" w:fill="auto"/>
            <w:vAlign w:val="center"/>
          </w:tcPr>
          <w:p w14:paraId="7E6C5E7B" w14:textId="77777777" w:rsidR="00425B78" w:rsidRPr="008368C5" w:rsidRDefault="00425B78" w:rsidP="00425B78">
            <w:pPr>
              <w:pStyle w:val="Wykazskrotowbold"/>
            </w:pPr>
            <w:r w:rsidRPr="008368C5">
              <w:t>MKiŚ</w:t>
            </w:r>
          </w:p>
        </w:tc>
        <w:tc>
          <w:tcPr>
            <w:tcW w:w="6882" w:type="dxa"/>
            <w:shd w:val="clear" w:color="auto" w:fill="auto"/>
            <w:vAlign w:val="center"/>
          </w:tcPr>
          <w:p w14:paraId="1E71926A" w14:textId="77777777" w:rsidR="00425B78" w:rsidRPr="008368C5" w:rsidRDefault="00425B78" w:rsidP="00425B78">
            <w:pPr>
              <w:pStyle w:val="Wykazskrotow"/>
            </w:pPr>
            <w:r w:rsidRPr="008368C5">
              <w:t>Ministerstwo Klimatu i Środowiska</w:t>
            </w:r>
          </w:p>
        </w:tc>
      </w:tr>
      <w:tr w:rsidR="00425B78" w:rsidRPr="008368C5" w14:paraId="2FB30E41" w14:textId="77777777" w:rsidTr="00425B78">
        <w:trPr>
          <w:cantSplit/>
          <w:trHeight w:val="340"/>
        </w:trPr>
        <w:tc>
          <w:tcPr>
            <w:tcW w:w="2180" w:type="dxa"/>
            <w:shd w:val="clear" w:color="auto" w:fill="auto"/>
            <w:vAlign w:val="center"/>
          </w:tcPr>
          <w:p w14:paraId="653D2374" w14:textId="77777777" w:rsidR="00425B78" w:rsidRPr="008368C5" w:rsidRDefault="00425B78" w:rsidP="00425B78">
            <w:pPr>
              <w:pStyle w:val="Wykazskrotowbold"/>
            </w:pPr>
            <w:r w:rsidRPr="008368C5">
              <w:rPr>
                <w:rFonts w:eastAsia="Times New Roman"/>
                <w:lang w:eastAsia="pl-PL"/>
              </w:rPr>
              <w:t>MMI_PL</w:t>
            </w:r>
          </w:p>
        </w:tc>
        <w:tc>
          <w:tcPr>
            <w:tcW w:w="6882" w:type="dxa"/>
            <w:shd w:val="clear" w:color="auto" w:fill="auto"/>
            <w:vAlign w:val="center"/>
          </w:tcPr>
          <w:p w14:paraId="7585F91F" w14:textId="20D50A1E" w:rsidR="00425B78" w:rsidRPr="008368C5" w:rsidRDefault="00F25496" w:rsidP="00425B78">
            <w:pPr>
              <w:pStyle w:val="Wykazskrotow"/>
            </w:pPr>
            <w:r>
              <w:rPr>
                <w:rFonts w:eastAsia="Times New Roman"/>
                <w:lang w:eastAsia="pl-PL"/>
              </w:rPr>
              <w:t>w</w:t>
            </w:r>
            <w:r w:rsidRPr="008368C5">
              <w:rPr>
                <w:rFonts w:eastAsia="Times New Roman"/>
                <w:lang w:eastAsia="pl-PL"/>
              </w:rPr>
              <w:t xml:space="preserve">ielometryczny </w:t>
            </w:r>
            <w:r>
              <w:rPr>
                <w:rFonts w:eastAsia="Times New Roman"/>
                <w:lang w:eastAsia="pl-PL"/>
              </w:rPr>
              <w:t>w</w:t>
            </w:r>
            <w:r w:rsidRPr="008368C5">
              <w:rPr>
                <w:rFonts w:eastAsia="Times New Roman"/>
                <w:lang w:eastAsia="pl-PL"/>
              </w:rPr>
              <w:t xml:space="preserve">skaźnik </w:t>
            </w:r>
            <w:r>
              <w:rPr>
                <w:rFonts w:eastAsia="Times New Roman"/>
                <w:lang w:eastAsia="pl-PL"/>
              </w:rPr>
              <w:t>s</w:t>
            </w:r>
            <w:r w:rsidRPr="008368C5">
              <w:rPr>
                <w:rFonts w:eastAsia="Times New Roman"/>
                <w:lang w:eastAsia="pl-PL"/>
              </w:rPr>
              <w:t xml:space="preserve">tanu </w:t>
            </w:r>
            <w:r>
              <w:rPr>
                <w:rFonts w:eastAsia="Times New Roman"/>
                <w:lang w:eastAsia="pl-PL"/>
              </w:rPr>
              <w:t>e</w:t>
            </w:r>
            <w:r w:rsidRPr="008368C5">
              <w:rPr>
                <w:rFonts w:eastAsia="Times New Roman"/>
                <w:lang w:eastAsia="pl-PL"/>
              </w:rPr>
              <w:t xml:space="preserve">kologicznego </w:t>
            </w:r>
            <w:r>
              <w:rPr>
                <w:rFonts w:eastAsia="Times New Roman"/>
                <w:lang w:eastAsia="pl-PL"/>
              </w:rPr>
              <w:t>r</w:t>
            </w:r>
            <w:r w:rsidRPr="008368C5">
              <w:rPr>
                <w:rFonts w:eastAsia="Times New Roman"/>
                <w:lang w:eastAsia="pl-PL"/>
              </w:rPr>
              <w:t>zek</w:t>
            </w:r>
          </w:p>
        </w:tc>
      </w:tr>
      <w:tr w:rsidR="00425B78" w:rsidRPr="008368C5" w14:paraId="7BD7A6DF" w14:textId="77777777" w:rsidTr="00425B78">
        <w:trPr>
          <w:cantSplit/>
          <w:trHeight w:val="340"/>
        </w:trPr>
        <w:tc>
          <w:tcPr>
            <w:tcW w:w="2180" w:type="dxa"/>
            <w:shd w:val="clear" w:color="auto" w:fill="auto"/>
            <w:vAlign w:val="center"/>
          </w:tcPr>
          <w:p w14:paraId="03368DFD" w14:textId="77777777" w:rsidR="00425B78" w:rsidRPr="008368C5" w:rsidRDefault="00425B78" w:rsidP="00425B78">
            <w:pPr>
              <w:pStyle w:val="Wykazskrotowbold"/>
            </w:pPr>
            <w:r w:rsidRPr="008368C5">
              <w:t>MO</w:t>
            </w:r>
          </w:p>
        </w:tc>
        <w:tc>
          <w:tcPr>
            <w:tcW w:w="6882" w:type="dxa"/>
            <w:shd w:val="clear" w:color="auto" w:fill="auto"/>
            <w:vAlign w:val="center"/>
          </w:tcPr>
          <w:p w14:paraId="5EF1C321" w14:textId="77777777" w:rsidR="00425B78" w:rsidRPr="008368C5" w:rsidRDefault="00425B78" w:rsidP="00425B78">
            <w:pPr>
              <w:pStyle w:val="Wykazskrotow"/>
            </w:pPr>
            <w:r>
              <w:t>m</w:t>
            </w:r>
            <w:r w:rsidRPr="008368C5">
              <w:t>onitoring operacyjny</w:t>
            </w:r>
          </w:p>
        </w:tc>
      </w:tr>
      <w:tr w:rsidR="00425B78" w:rsidRPr="008368C5" w14:paraId="4DE1D0FE" w14:textId="77777777" w:rsidTr="00425B78">
        <w:trPr>
          <w:cantSplit/>
          <w:trHeight w:val="340"/>
        </w:trPr>
        <w:tc>
          <w:tcPr>
            <w:tcW w:w="2180" w:type="dxa"/>
            <w:shd w:val="clear" w:color="auto" w:fill="auto"/>
            <w:vAlign w:val="center"/>
          </w:tcPr>
          <w:p w14:paraId="1B29C0B6" w14:textId="77777777" w:rsidR="00425B78" w:rsidRPr="008368C5" w:rsidRDefault="00425B78" w:rsidP="00425B78">
            <w:pPr>
              <w:pStyle w:val="Wykazskrotowbold"/>
            </w:pPr>
            <w:r w:rsidRPr="008368C5">
              <w:t>MPA</w:t>
            </w:r>
          </w:p>
        </w:tc>
        <w:tc>
          <w:tcPr>
            <w:tcW w:w="6882" w:type="dxa"/>
            <w:shd w:val="clear" w:color="auto" w:fill="auto"/>
            <w:vAlign w:val="center"/>
          </w:tcPr>
          <w:p w14:paraId="2BD2B7CC" w14:textId="27F1F605" w:rsidR="00425B78" w:rsidRPr="008368C5" w:rsidRDefault="00F25496" w:rsidP="00425B78">
            <w:pPr>
              <w:pStyle w:val="Wykazskrotow"/>
            </w:pPr>
            <w:r>
              <w:t>p</w:t>
            </w:r>
            <w:r w:rsidRPr="008368C5">
              <w:t xml:space="preserve">lany </w:t>
            </w:r>
            <w:r w:rsidR="00425B78" w:rsidRPr="008368C5">
              <w:t xml:space="preserve">adaptacji do zmian klimatu w miastach powyżej 100 tys. mieszkańców </w:t>
            </w:r>
            <w:r w:rsidR="00425B78" w:rsidRPr="008368C5" w:rsidDel="0067273E">
              <w:t>-</w:t>
            </w:r>
            <w:r w:rsidR="00425B78">
              <w:t>–</w:t>
            </w:r>
            <w:r w:rsidR="00425B78" w:rsidRPr="008368C5">
              <w:t xml:space="preserve"> Miejskie plany adaptacji do zmian klimatu</w:t>
            </w:r>
          </w:p>
        </w:tc>
      </w:tr>
      <w:tr w:rsidR="00425B78" w:rsidRPr="008368C5" w14:paraId="4FF5CAEF" w14:textId="77777777" w:rsidTr="00425B78">
        <w:trPr>
          <w:cantSplit/>
          <w:trHeight w:val="340"/>
        </w:trPr>
        <w:tc>
          <w:tcPr>
            <w:tcW w:w="2180" w:type="dxa"/>
            <w:shd w:val="clear" w:color="auto" w:fill="auto"/>
            <w:vAlign w:val="center"/>
          </w:tcPr>
          <w:p w14:paraId="6B1B8FD7" w14:textId="77777777" w:rsidR="00425B78" w:rsidRPr="008368C5" w:rsidRDefault="00425B78" w:rsidP="00425B78">
            <w:pPr>
              <w:pStyle w:val="Wykazskrotowbold"/>
            </w:pPr>
            <w:r w:rsidRPr="008368C5">
              <w:t>MPHP10</w:t>
            </w:r>
          </w:p>
        </w:tc>
        <w:tc>
          <w:tcPr>
            <w:tcW w:w="6882" w:type="dxa"/>
            <w:shd w:val="clear" w:color="auto" w:fill="auto"/>
            <w:vAlign w:val="center"/>
          </w:tcPr>
          <w:p w14:paraId="1B6A16B4" w14:textId="77777777" w:rsidR="00425B78" w:rsidRPr="008368C5" w:rsidRDefault="00425B78" w:rsidP="00425B78">
            <w:pPr>
              <w:pStyle w:val="Wykazskrotow"/>
            </w:pPr>
            <w:r w:rsidRPr="008368C5">
              <w:t xml:space="preserve">Mapa Podziału Hydrograficznego Polski w skali </w:t>
            </w:r>
            <w:r w:rsidRPr="008368C5" w:rsidDel="00A56070">
              <w:t xml:space="preserve">referencyjnej </w:t>
            </w:r>
            <w:r w:rsidRPr="008368C5">
              <w:t>1:10 000</w:t>
            </w:r>
          </w:p>
        </w:tc>
      </w:tr>
      <w:tr w:rsidR="00425B78" w:rsidRPr="008368C5" w14:paraId="140718B9" w14:textId="77777777" w:rsidTr="00425B78">
        <w:trPr>
          <w:cantSplit/>
          <w:trHeight w:val="340"/>
        </w:trPr>
        <w:tc>
          <w:tcPr>
            <w:tcW w:w="2180" w:type="dxa"/>
            <w:shd w:val="clear" w:color="auto" w:fill="auto"/>
          </w:tcPr>
          <w:p w14:paraId="237720F9" w14:textId="77777777" w:rsidR="00425B78" w:rsidRPr="008368C5" w:rsidRDefault="00425B78" w:rsidP="00425B78">
            <w:pPr>
              <w:pStyle w:val="Wykazskrotowbold"/>
            </w:pPr>
            <w:r w:rsidRPr="00084EF7">
              <w:t>m p.p.t</w:t>
            </w:r>
          </w:p>
        </w:tc>
        <w:tc>
          <w:tcPr>
            <w:tcW w:w="6882" w:type="dxa"/>
            <w:shd w:val="clear" w:color="auto" w:fill="auto"/>
          </w:tcPr>
          <w:p w14:paraId="2C38A462" w14:textId="77777777" w:rsidR="00425B78" w:rsidRPr="008368C5" w:rsidRDefault="00425B78" w:rsidP="00425B78">
            <w:pPr>
              <w:pStyle w:val="Wykazskrotow"/>
            </w:pPr>
            <w:r>
              <w:t>m</w:t>
            </w:r>
            <w:r w:rsidRPr="00084EF7">
              <w:t>etry pod poziomem terenu</w:t>
            </w:r>
          </w:p>
        </w:tc>
      </w:tr>
      <w:tr w:rsidR="00425B78" w:rsidRPr="008368C5" w14:paraId="09AC5A30" w14:textId="77777777" w:rsidTr="00425B78">
        <w:trPr>
          <w:cantSplit/>
          <w:trHeight w:val="340"/>
        </w:trPr>
        <w:tc>
          <w:tcPr>
            <w:tcW w:w="2180" w:type="dxa"/>
            <w:shd w:val="clear" w:color="auto" w:fill="auto"/>
            <w:vAlign w:val="center"/>
          </w:tcPr>
          <w:p w14:paraId="6F4C31DE" w14:textId="77777777" w:rsidR="00425B78" w:rsidRPr="008368C5" w:rsidRDefault="00425B78" w:rsidP="00425B78">
            <w:pPr>
              <w:pStyle w:val="Wykazskrotowbold"/>
            </w:pPr>
            <w:r w:rsidRPr="008368C5">
              <w:t>MRG2</w:t>
            </w:r>
          </w:p>
        </w:tc>
        <w:tc>
          <w:tcPr>
            <w:tcW w:w="6882" w:type="dxa"/>
            <w:shd w:val="clear" w:color="auto" w:fill="auto"/>
            <w:vAlign w:val="center"/>
          </w:tcPr>
          <w:p w14:paraId="5922087C" w14:textId="77777777" w:rsidR="00425B78" w:rsidRPr="008368C5" w:rsidRDefault="00425B78" w:rsidP="00425B78">
            <w:pPr>
              <w:pStyle w:val="Wykazskrotow"/>
            </w:pPr>
            <w:r w:rsidRPr="008368C5">
              <w:t xml:space="preserve">Kompleksowy projekt adaptacji lasów i leśnictwa do zmian klimatu </w:t>
            </w:r>
            <w:r w:rsidRPr="008368C5" w:rsidDel="0067273E">
              <w:t>-</w:t>
            </w:r>
            <w:r>
              <w:t>–</w:t>
            </w:r>
            <w:r w:rsidRPr="008368C5">
              <w:t xml:space="preserve"> mała retencja oraz przeciwdziałanie erozji wodnej na terenach nizinnych</w:t>
            </w:r>
          </w:p>
        </w:tc>
      </w:tr>
      <w:tr w:rsidR="00425B78" w:rsidRPr="008368C5" w14:paraId="7CA30EF4" w14:textId="77777777" w:rsidTr="00425B78">
        <w:trPr>
          <w:cantSplit/>
          <w:trHeight w:val="340"/>
        </w:trPr>
        <w:tc>
          <w:tcPr>
            <w:tcW w:w="2180" w:type="dxa"/>
            <w:shd w:val="clear" w:color="auto" w:fill="auto"/>
            <w:vAlign w:val="center"/>
          </w:tcPr>
          <w:p w14:paraId="340C8E73" w14:textId="77777777" w:rsidR="00425B78" w:rsidRPr="008368C5" w:rsidRDefault="00425B78" w:rsidP="00425B78">
            <w:pPr>
              <w:pStyle w:val="Wykazskrotowbold"/>
            </w:pPr>
            <w:r w:rsidRPr="008368C5">
              <w:t>MRN2</w:t>
            </w:r>
          </w:p>
        </w:tc>
        <w:tc>
          <w:tcPr>
            <w:tcW w:w="6882" w:type="dxa"/>
            <w:shd w:val="clear" w:color="auto" w:fill="auto"/>
            <w:vAlign w:val="center"/>
          </w:tcPr>
          <w:p w14:paraId="60C18F4B" w14:textId="77777777" w:rsidR="00425B78" w:rsidRPr="008368C5" w:rsidRDefault="00425B78" w:rsidP="00425B78">
            <w:pPr>
              <w:pStyle w:val="Wykazskrotow"/>
            </w:pPr>
            <w:r w:rsidRPr="008368C5">
              <w:t xml:space="preserve">Kompleksowy projekt adaptacji lasów i leśnictwa do zmian klimatu </w:t>
            </w:r>
            <w:r w:rsidRPr="008368C5" w:rsidDel="0067273E">
              <w:t>-</w:t>
            </w:r>
            <w:r>
              <w:t>–</w:t>
            </w:r>
            <w:r w:rsidRPr="008368C5">
              <w:t xml:space="preserve"> mała retencja oraz przeciwdziałanie erozji wodnej na terenach górskich</w:t>
            </w:r>
          </w:p>
        </w:tc>
      </w:tr>
      <w:tr w:rsidR="00425B78" w:rsidRPr="008368C5" w14:paraId="53C2DB14" w14:textId="77777777" w:rsidTr="00425B78">
        <w:trPr>
          <w:cantSplit/>
          <w:trHeight w:val="340"/>
        </w:trPr>
        <w:tc>
          <w:tcPr>
            <w:tcW w:w="2180" w:type="dxa"/>
            <w:shd w:val="clear" w:color="auto" w:fill="auto"/>
            <w:vAlign w:val="center"/>
          </w:tcPr>
          <w:p w14:paraId="16819743" w14:textId="77777777" w:rsidR="00425B78" w:rsidRPr="008368C5" w:rsidRDefault="00425B78" w:rsidP="00425B78">
            <w:pPr>
              <w:pStyle w:val="Wykazskrotowbold"/>
            </w:pPr>
            <w:r w:rsidRPr="008368C5">
              <w:t>MŚ</w:t>
            </w:r>
          </w:p>
        </w:tc>
        <w:tc>
          <w:tcPr>
            <w:tcW w:w="6882" w:type="dxa"/>
            <w:shd w:val="clear" w:color="auto" w:fill="auto"/>
            <w:vAlign w:val="center"/>
          </w:tcPr>
          <w:p w14:paraId="0494991F" w14:textId="77777777" w:rsidR="00425B78" w:rsidRPr="008368C5" w:rsidRDefault="00425B78" w:rsidP="00425B78">
            <w:pPr>
              <w:pStyle w:val="Wykazskrotow"/>
            </w:pPr>
            <w:r w:rsidRPr="008368C5">
              <w:t>Ministerstwo Środowiska (obecnie Ministerstwo Klimatu i Środowiska)</w:t>
            </w:r>
          </w:p>
        </w:tc>
      </w:tr>
      <w:tr w:rsidR="00425B78" w:rsidRPr="008368C5" w14:paraId="5C4485CD" w14:textId="77777777" w:rsidTr="00425B78">
        <w:trPr>
          <w:cantSplit/>
          <w:trHeight w:val="340"/>
        </w:trPr>
        <w:tc>
          <w:tcPr>
            <w:tcW w:w="2180" w:type="dxa"/>
            <w:shd w:val="clear" w:color="auto" w:fill="auto"/>
            <w:vAlign w:val="center"/>
          </w:tcPr>
          <w:p w14:paraId="755B7D88" w14:textId="77777777" w:rsidR="00425B78" w:rsidRPr="008368C5" w:rsidRDefault="00425B78" w:rsidP="00425B78">
            <w:pPr>
              <w:pStyle w:val="Wykazskrotowbold"/>
            </w:pPr>
            <w:r w:rsidRPr="008368C5">
              <w:t>MWP</w:t>
            </w:r>
          </w:p>
        </w:tc>
        <w:tc>
          <w:tcPr>
            <w:tcW w:w="6882" w:type="dxa"/>
            <w:shd w:val="clear" w:color="auto" w:fill="auto"/>
            <w:vAlign w:val="center"/>
          </w:tcPr>
          <w:p w14:paraId="51EBC07E" w14:textId="77777777" w:rsidR="00425B78" w:rsidRPr="008368C5" w:rsidRDefault="00425B78" w:rsidP="00425B78">
            <w:pPr>
              <w:pStyle w:val="Wykazskrotow"/>
            </w:pPr>
            <w:r>
              <w:t>m</w:t>
            </w:r>
            <w:r w:rsidRPr="008368C5">
              <w:t xml:space="preserve">onitoring </w:t>
            </w:r>
            <w:r>
              <w:t>w</w:t>
            </w:r>
            <w:r w:rsidRPr="008368C5">
              <w:t xml:space="preserve">ód </w:t>
            </w:r>
            <w:r>
              <w:t>p</w:t>
            </w:r>
            <w:r w:rsidRPr="008368C5">
              <w:t>odziemnych</w:t>
            </w:r>
          </w:p>
        </w:tc>
      </w:tr>
      <w:tr w:rsidR="00425B78" w:rsidRPr="008368C5" w14:paraId="2307E93F" w14:textId="77777777" w:rsidTr="00425B78">
        <w:trPr>
          <w:cantSplit/>
          <w:trHeight w:val="340"/>
        </w:trPr>
        <w:tc>
          <w:tcPr>
            <w:tcW w:w="2180" w:type="dxa"/>
            <w:shd w:val="clear" w:color="auto" w:fill="auto"/>
            <w:vAlign w:val="center"/>
          </w:tcPr>
          <w:p w14:paraId="4BCDF61E" w14:textId="77777777" w:rsidR="00425B78" w:rsidRPr="008368C5" w:rsidRDefault="00425B78" w:rsidP="00425B78">
            <w:pPr>
              <w:pStyle w:val="Wykazskrotowbold"/>
            </w:pPr>
            <w:r w:rsidRPr="008368C5">
              <w:t>MZB</w:t>
            </w:r>
          </w:p>
        </w:tc>
        <w:tc>
          <w:tcPr>
            <w:tcW w:w="6882" w:type="dxa"/>
            <w:shd w:val="clear" w:color="auto" w:fill="auto"/>
            <w:vAlign w:val="center"/>
          </w:tcPr>
          <w:p w14:paraId="3767C546" w14:textId="77777777" w:rsidR="00425B78" w:rsidRPr="008368C5" w:rsidRDefault="00425B78" w:rsidP="00425B78">
            <w:pPr>
              <w:pStyle w:val="Wykazskrotow"/>
            </w:pPr>
            <w:r>
              <w:t>w</w:t>
            </w:r>
            <w:r w:rsidRPr="008368C5">
              <w:t xml:space="preserve">skaźnik </w:t>
            </w:r>
            <w:r>
              <w:t>o</w:t>
            </w:r>
            <w:r w:rsidRPr="008368C5">
              <w:t xml:space="preserve">ceny </w:t>
            </w:r>
            <w:r>
              <w:t>m</w:t>
            </w:r>
            <w:r w:rsidRPr="008368C5">
              <w:t>akrobezkręgowców</w:t>
            </w:r>
          </w:p>
        </w:tc>
      </w:tr>
      <w:tr w:rsidR="00425B78" w:rsidRPr="008368C5" w14:paraId="0A89BF97" w14:textId="77777777" w:rsidTr="00425B78">
        <w:trPr>
          <w:cantSplit/>
          <w:trHeight w:val="340"/>
        </w:trPr>
        <w:tc>
          <w:tcPr>
            <w:tcW w:w="2180" w:type="dxa"/>
            <w:shd w:val="clear" w:color="auto" w:fill="auto"/>
            <w:vAlign w:val="center"/>
          </w:tcPr>
          <w:p w14:paraId="018BCF10" w14:textId="77777777" w:rsidR="00425B78" w:rsidRPr="008368C5" w:rsidRDefault="00425B78" w:rsidP="00425B78">
            <w:pPr>
              <w:pStyle w:val="Wykazskrotowbold"/>
            </w:pPr>
            <w:r w:rsidRPr="008368C5">
              <w:t>NAT</w:t>
            </w:r>
          </w:p>
        </w:tc>
        <w:tc>
          <w:tcPr>
            <w:tcW w:w="6882" w:type="dxa"/>
            <w:shd w:val="clear" w:color="auto" w:fill="auto"/>
            <w:vAlign w:val="center"/>
          </w:tcPr>
          <w:p w14:paraId="6B933CA0" w14:textId="77777777" w:rsidR="00425B78" w:rsidRPr="008368C5" w:rsidRDefault="00425B78" w:rsidP="00425B78">
            <w:pPr>
              <w:pStyle w:val="Wykazskrotow"/>
            </w:pPr>
            <w:r>
              <w:t>n</w:t>
            </w:r>
            <w:r w:rsidRPr="008368C5">
              <w:t>aturalna część wód</w:t>
            </w:r>
          </w:p>
        </w:tc>
      </w:tr>
      <w:tr w:rsidR="00425B78" w:rsidRPr="008368C5" w14:paraId="30D9A60C" w14:textId="77777777" w:rsidTr="00425B78">
        <w:trPr>
          <w:cantSplit/>
          <w:trHeight w:val="340"/>
        </w:trPr>
        <w:tc>
          <w:tcPr>
            <w:tcW w:w="2180" w:type="dxa"/>
            <w:shd w:val="clear" w:color="auto" w:fill="auto"/>
            <w:vAlign w:val="center"/>
          </w:tcPr>
          <w:p w14:paraId="6187AD70" w14:textId="77777777" w:rsidR="00425B78" w:rsidRPr="008368C5" w:rsidRDefault="00425B78" w:rsidP="00425B78">
            <w:pPr>
              <w:pStyle w:val="Wykazskrotowbold"/>
            </w:pPr>
            <w:r w:rsidRPr="008368C5">
              <w:t>NFOŚiGW</w:t>
            </w:r>
          </w:p>
        </w:tc>
        <w:tc>
          <w:tcPr>
            <w:tcW w:w="6882" w:type="dxa"/>
            <w:shd w:val="clear" w:color="auto" w:fill="auto"/>
            <w:vAlign w:val="center"/>
          </w:tcPr>
          <w:p w14:paraId="2D159AA0" w14:textId="77777777" w:rsidR="00425B78" w:rsidRPr="008368C5" w:rsidRDefault="00425B78" w:rsidP="00425B78">
            <w:pPr>
              <w:pStyle w:val="Wykazskrotow"/>
            </w:pPr>
            <w:r w:rsidRPr="008368C5">
              <w:t>Narodowy Fundusz Ochrony Środowiska i Gospodarki Wodnej</w:t>
            </w:r>
          </w:p>
        </w:tc>
      </w:tr>
      <w:tr w:rsidR="00425B78" w:rsidRPr="008368C5" w14:paraId="2EAE9B0C" w14:textId="77777777" w:rsidTr="00425B78">
        <w:trPr>
          <w:cantSplit/>
          <w:trHeight w:val="340"/>
        </w:trPr>
        <w:tc>
          <w:tcPr>
            <w:tcW w:w="2180" w:type="dxa"/>
            <w:shd w:val="clear" w:color="auto" w:fill="auto"/>
            <w:vAlign w:val="center"/>
          </w:tcPr>
          <w:p w14:paraId="28C3DD7F" w14:textId="77777777" w:rsidR="00425B78" w:rsidRPr="008368C5" w:rsidRDefault="00425B78" w:rsidP="00425B78">
            <w:pPr>
              <w:pStyle w:val="Wykazskrotowbold"/>
            </w:pPr>
            <w:r w:rsidRPr="008368C5">
              <w:t>NGO</w:t>
            </w:r>
          </w:p>
        </w:tc>
        <w:tc>
          <w:tcPr>
            <w:tcW w:w="6882" w:type="dxa"/>
            <w:shd w:val="clear" w:color="auto" w:fill="auto"/>
            <w:vAlign w:val="center"/>
          </w:tcPr>
          <w:p w14:paraId="7D152162" w14:textId="0877DE7C" w:rsidR="00425B78" w:rsidRPr="008368C5" w:rsidRDefault="004B0AD0" w:rsidP="00425B78">
            <w:pPr>
              <w:pStyle w:val="Wykazskrotow"/>
            </w:pPr>
            <w:r>
              <w:t>o</w:t>
            </w:r>
            <w:r w:rsidR="00425B78" w:rsidRPr="008368C5">
              <w:t>rganizacja pozarządowa (</w:t>
            </w:r>
            <w:r w:rsidR="00425B78">
              <w:t xml:space="preserve">ang. </w:t>
            </w:r>
            <w:r w:rsidR="00425B78" w:rsidRPr="009B579A">
              <w:rPr>
                <w:i/>
                <w:iCs/>
              </w:rPr>
              <w:t>Non-government organization</w:t>
            </w:r>
            <w:r w:rsidR="00425B78" w:rsidRPr="008368C5">
              <w:t>)</w:t>
            </w:r>
          </w:p>
        </w:tc>
      </w:tr>
      <w:tr w:rsidR="00425B78" w:rsidRPr="008368C5" w14:paraId="1B481F80" w14:textId="77777777" w:rsidTr="00425B78">
        <w:trPr>
          <w:cantSplit/>
          <w:trHeight w:val="340"/>
        </w:trPr>
        <w:tc>
          <w:tcPr>
            <w:tcW w:w="2180" w:type="dxa"/>
            <w:shd w:val="clear" w:color="auto" w:fill="auto"/>
            <w:vAlign w:val="center"/>
          </w:tcPr>
          <w:p w14:paraId="7B7EEB4E" w14:textId="77777777" w:rsidR="00425B78" w:rsidRPr="008368C5" w:rsidRDefault="00425B78" w:rsidP="00425B78">
            <w:pPr>
              <w:pStyle w:val="Wykazskrotowbold"/>
            </w:pPr>
            <w:r w:rsidRPr="008368C5">
              <w:t>NW WP</w:t>
            </w:r>
          </w:p>
        </w:tc>
        <w:tc>
          <w:tcPr>
            <w:tcW w:w="6882" w:type="dxa"/>
            <w:shd w:val="clear" w:color="auto" w:fill="auto"/>
            <w:vAlign w:val="center"/>
          </w:tcPr>
          <w:p w14:paraId="4F160845" w14:textId="77777777" w:rsidR="00425B78" w:rsidRPr="008368C5" w:rsidRDefault="00425B78" w:rsidP="00425B78">
            <w:pPr>
              <w:pStyle w:val="Wykazskrotow"/>
            </w:pPr>
            <w:r w:rsidRPr="008368C5">
              <w:t xml:space="preserve">Nadzór Wodny </w:t>
            </w:r>
            <w:r>
              <w:t xml:space="preserve">Państwowego Gospodarstwa Wodnego </w:t>
            </w:r>
            <w:r w:rsidRPr="008368C5">
              <w:t>Wody Polskie</w:t>
            </w:r>
          </w:p>
        </w:tc>
      </w:tr>
      <w:tr w:rsidR="00425B78" w:rsidRPr="008368C5" w14:paraId="3B7E89FA" w14:textId="77777777" w:rsidTr="00425B78">
        <w:trPr>
          <w:trHeight w:val="340"/>
        </w:trPr>
        <w:tc>
          <w:tcPr>
            <w:tcW w:w="2180" w:type="dxa"/>
          </w:tcPr>
          <w:p w14:paraId="38ED4293" w14:textId="77777777" w:rsidR="00425B78" w:rsidRPr="008368C5" w:rsidRDefault="00425B78" w:rsidP="00425B78">
            <w:pPr>
              <w:pStyle w:val="Wykazskrotowbold"/>
            </w:pPr>
            <w:r w:rsidRPr="008368C5">
              <w:t>OP</w:t>
            </w:r>
          </w:p>
        </w:tc>
        <w:tc>
          <w:tcPr>
            <w:tcW w:w="6882" w:type="dxa"/>
          </w:tcPr>
          <w:p w14:paraId="011FC96A" w14:textId="5FCA0C84" w:rsidR="00425B78" w:rsidRPr="008368C5" w:rsidRDefault="008D49EA" w:rsidP="00425B78">
            <w:pPr>
              <w:pStyle w:val="Wykazskrotow"/>
            </w:pPr>
            <w:r>
              <w:t>o</w:t>
            </w:r>
            <w:r w:rsidRPr="008368C5">
              <w:t xml:space="preserve">bszary </w:t>
            </w:r>
            <w:r>
              <w:t>p</w:t>
            </w:r>
            <w:r w:rsidRPr="008368C5">
              <w:t>riorytetowe</w:t>
            </w:r>
          </w:p>
        </w:tc>
      </w:tr>
      <w:tr w:rsidR="00425B78" w:rsidRPr="008368C5" w14:paraId="0B7BD0B6" w14:textId="77777777" w:rsidTr="00425B78">
        <w:trPr>
          <w:cantSplit/>
          <w:trHeight w:val="340"/>
        </w:trPr>
        <w:tc>
          <w:tcPr>
            <w:tcW w:w="2180" w:type="dxa"/>
            <w:shd w:val="clear" w:color="auto" w:fill="auto"/>
            <w:vAlign w:val="center"/>
          </w:tcPr>
          <w:p w14:paraId="00800495" w14:textId="77777777" w:rsidR="00425B78" w:rsidRPr="008368C5" w:rsidRDefault="00425B78" w:rsidP="00425B78">
            <w:pPr>
              <w:pStyle w:val="Wykazskrotowbold"/>
            </w:pPr>
            <w:r w:rsidRPr="008368C5">
              <w:t>O</w:t>
            </w:r>
            <w:r>
              <w:t>p</w:t>
            </w:r>
            <w:r w:rsidRPr="008368C5">
              <w:t>Z</w:t>
            </w:r>
          </w:p>
        </w:tc>
        <w:tc>
          <w:tcPr>
            <w:tcW w:w="6882" w:type="dxa"/>
            <w:shd w:val="clear" w:color="auto" w:fill="auto"/>
            <w:vAlign w:val="center"/>
          </w:tcPr>
          <w:p w14:paraId="4A3C6F04" w14:textId="77777777" w:rsidR="00425B78" w:rsidRPr="008368C5" w:rsidRDefault="00425B78" w:rsidP="00425B78">
            <w:pPr>
              <w:pStyle w:val="Wykazskrotow"/>
            </w:pPr>
            <w:r w:rsidRPr="008368C5">
              <w:t xml:space="preserve">Grupa Robocza </w:t>
            </w:r>
            <w:r>
              <w:t xml:space="preserve">do spraw </w:t>
            </w:r>
            <w:r w:rsidRPr="008368C5">
              <w:t xml:space="preserve">ochrony wód granicznych przed zanieczyszczeniem </w:t>
            </w:r>
          </w:p>
        </w:tc>
      </w:tr>
      <w:tr w:rsidR="00425B78" w:rsidRPr="008368C5" w14:paraId="68D88885" w14:textId="77777777" w:rsidTr="00425B78">
        <w:trPr>
          <w:cantSplit/>
          <w:trHeight w:val="340"/>
        </w:trPr>
        <w:tc>
          <w:tcPr>
            <w:tcW w:w="2180" w:type="dxa"/>
            <w:shd w:val="clear" w:color="auto" w:fill="auto"/>
            <w:vAlign w:val="center"/>
          </w:tcPr>
          <w:p w14:paraId="28029668" w14:textId="77777777" w:rsidR="00425B78" w:rsidRPr="008368C5" w:rsidRDefault="00425B78" w:rsidP="00425B78">
            <w:pPr>
              <w:pStyle w:val="Wykazskrotowbold"/>
            </w:pPr>
            <w:r w:rsidRPr="008368C5">
              <w:t>OSO</w:t>
            </w:r>
          </w:p>
        </w:tc>
        <w:tc>
          <w:tcPr>
            <w:tcW w:w="6882" w:type="dxa"/>
            <w:shd w:val="clear" w:color="auto" w:fill="auto"/>
            <w:vAlign w:val="center"/>
          </w:tcPr>
          <w:p w14:paraId="0650E7C8" w14:textId="77777777" w:rsidR="00425B78" w:rsidRPr="008368C5" w:rsidRDefault="00425B78" w:rsidP="00425B78">
            <w:pPr>
              <w:pStyle w:val="Wykazskrotow"/>
            </w:pPr>
            <w:r>
              <w:t>o</w:t>
            </w:r>
            <w:r w:rsidRPr="008368C5">
              <w:t>bszar specjalnej ochrony ptaków</w:t>
            </w:r>
          </w:p>
        </w:tc>
      </w:tr>
      <w:tr w:rsidR="00425B78" w:rsidRPr="008368C5" w14:paraId="3E5FA7BA" w14:textId="77777777" w:rsidTr="00425B78">
        <w:trPr>
          <w:cantSplit/>
          <w:trHeight w:val="340"/>
        </w:trPr>
        <w:tc>
          <w:tcPr>
            <w:tcW w:w="2180" w:type="dxa"/>
            <w:shd w:val="clear" w:color="auto" w:fill="auto"/>
            <w:vAlign w:val="center"/>
          </w:tcPr>
          <w:p w14:paraId="55FA3E3E" w14:textId="77777777" w:rsidR="00425B78" w:rsidRPr="008368C5" w:rsidRDefault="00425B78" w:rsidP="00425B78">
            <w:pPr>
              <w:pStyle w:val="Wykazskrotowbold"/>
            </w:pPr>
            <w:r w:rsidRPr="008368C5">
              <w:t>OWO</w:t>
            </w:r>
          </w:p>
        </w:tc>
        <w:tc>
          <w:tcPr>
            <w:tcW w:w="6882" w:type="dxa"/>
            <w:shd w:val="clear" w:color="auto" w:fill="auto"/>
            <w:vAlign w:val="center"/>
          </w:tcPr>
          <w:p w14:paraId="7C32A7E3" w14:textId="77777777" w:rsidR="00425B78" w:rsidRPr="008368C5" w:rsidRDefault="00425B78" w:rsidP="00425B78">
            <w:pPr>
              <w:pStyle w:val="Wykazskrotow"/>
            </w:pPr>
            <w:r>
              <w:t>o</w:t>
            </w:r>
            <w:r w:rsidRPr="008368C5">
              <w:t>gólny węgiel organiczny</w:t>
            </w:r>
          </w:p>
        </w:tc>
      </w:tr>
      <w:tr w:rsidR="00425B78" w:rsidRPr="008368C5" w14:paraId="2DE77657" w14:textId="77777777" w:rsidTr="004E24D2">
        <w:trPr>
          <w:trHeight w:val="340"/>
        </w:trPr>
        <w:tc>
          <w:tcPr>
            <w:tcW w:w="2180" w:type="dxa"/>
          </w:tcPr>
          <w:p w14:paraId="76B25293" w14:textId="77777777" w:rsidR="00425B78" w:rsidRPr="008368C5" w:rsidRDefault="00425B78" w:rsidP="00425B78">
            <w:pPr>
              <w:pStyle w:val="Wykazskrotowbold"/>
            </w:pPr>
            <w:r w:rsidRPr="008368C5">
              <w:t>OWR</w:t>
            </w:r>
          </w:p>
        </w:tc>
        <w:tc>
          <w:tcPr>
            <w:tcW w:w="6882" w:type="dxa"/>
            <w:vAlign w:val="center"/>
          </w:tcPr>
          <w:p w14:paraId="3216C099" w14:textId="4F423765" w:rsidR="00425B78" w:rsidRPr="008368C5" w:rsidRDefault="008D49EA" w:rsidP="008D49EA">
            <w:pPr>
              <w:pStyle w:val="Wykazskrotow"/>
            </w:pPr>
            <w:r>
              <w:t>o</w:t>
            </w:r>
            <w:r w:rsidRPr="008368C5">
              <w:t xml:space="preserve">bszary </w:t>
            </w:r>
            <w:r>
              <w:t>w</w:t>
            </w:r>
            <w:r w:rsidRPr="008368C5">
              <w:t xml:space="preserve">ymagające </w:t>
            </w:r>
            <w:r>
              <w:t>r</w:t>
            </w:r>
            <w:r w:rsidRPr="008368C5">
              <w:t>enaturyzacji</w:t>
            </w:r>
          </w:p>
        </w:tc>
      </w:tr>
      <w:tr w:rsidR="00425B78" w:rsidRPr="008368C5" w14:paraId="5B8BD27A" w14:textId="77777777" w:rsidTr="00425B78">
        <w:trPr>
          <w:cantSplit/>
          <w:trHeight w:val="340"/>
        </w:trPr>
        <w:tc>
          <w:tcPr>
            <w:tcW w:w="2180" w:type="dxa"/>
            <w:shd w:val="clear" w:color="auto" w:fill="auto"/>
            <w:vAlign w:val="center"/>
          </w:tcPr>
          <w:p w14:paraId="23B3A965" w14:textId="77777777" w:rsidR="00425B78" w:rsidRPr="008368C5" w:rsidRDefault="00425B78" w:rsidP="00425B78">
            <w:pPr>
              <w:pStyle w:val="Wykazskrotowbold"/>
            </w:pPr>
            <w:r w:rsidRPr="008368C5">
              <w:t>OZE</w:t>
            </w:r>
          </w:p>
        </w:tc>
        <w:tc>
          <w:tcPr>
            <w:tcW w:w="6882" w:type="dxa"/>
            <w:shd w:val="clear" w:color="auto" w:fill="auto"/>
            <w:vAlign w:val="center"/>
          </w:tcPr>
          <w:p w14:paraId="3E764D9A" w14:textId="77777777" w:rsidR="00425B78" w:rsidRPr="008368C5" w:rsidRDefault="00425B78" w:rsidP="00425B78">
            <w:pPr>
              <w:pStyle w:val="Wykazskrotow"/>
            </w:pPr>
            <w:r>
              <w:t>o</w:t>
            </w:r>
            <w:r w:rsidRPr="008368C5">
              <w:t>dnawialne źródło energii</w:t>
            </w:r>
          </w:p>
        </w:tc>
      </w:tr>
      <w:tr w:rsidR="00425B78" w:rsidRPr="008368C5" w14:paraId="1217DE94" w14:textId="77777777" w:rsidTr="00425B78">
        <w:trPr>
          <w:cantSplit/>
          <w:trHeight w:val="340"/>
        </w:trPr>
        <w:tc>
          <w:tcPr>
            <w:tcW w:w="2180" w:type="dxa"/>
            <w:shd w:val="clear" w:color="auto" w:fill="auto"/>
            <w:vAlign w:val="center"/>
          </w:tcPr>
          <w:p w14:paraId="1E1681BE" w14:textId="77777777" w:rsidR="00425B78" w:rsidRPr="008368C5" w:rsidRDefault="00425B78" w:rsidP="00425B78">
            <w:pPr>
              <w:pStyle w:val="Wykazskrotowbold"/>
            </w:pPr>
            <w:r w:rsidRPr="008368C5">
              <w:t>p.o.ś. | Prawo ochrony środowiska</w:t>
            </w:r>
          </w:p>
        </w:tc>
        <w:tc>
          <w:tcPr>
            <w:tcW w:w="6882" w:type="dxa"/>
            <w:shd w:val="clear" w:color="auto" w:fill="auto"/>
            <w:vAlign w:val="center"/>
          </w:tcPr>
          <w:p w14:paraId="607C0D52" w14:textId="77777777" w:rsidR="00425B78" w:rsidRPr="008368C5" w:rsidRDefault="00425B78" w:rsidP="00425B78">
            <w:pPr>
              <w:pStyle w:val="Wykazskrotow"/>
            </w:pPr>
            <w:r>
              <w:t>u</w:t>
            </w:r>
            <w:r w:rsidRPr="008368C5">
              <w:t xml:space="preserve">stawa z dnia 27 kwietnia 2001 r. </w:t>
            </w:r>
            <w:r>
              <w:t xml:space="preserve">– </w:t>
            </w:r>
            <w:r w:rsidRPr="008368C5">
              <w:t>Prawo ochrony środowiska (Dz.</w:t>
            </w:r>
            <w:r>
              <w:t xml:space="preserve"> </w:t>
            </w:r>
            <w:r w:rsidRPr="008368C5">
              <w:t>U. z</w:t>
            </w:r>
            <w:r w:rsidRPr="008368C5" w:rsidDel="00F36276">
              <w:t> </w:t>
            </w:r>
            <w:r w:rsidRPr="008368C5">
              <w:t>202</w:t>
            </w:r>
            <w:r>
              <w:t>1</w:t>
            </w:r>
            <w:r w:rsidRPr="008368C5">
              <w:t> r. poz. </w:t>
            </w:r>
            <w:r>
              <w:t>1973, z późn. zm.</w:t>
            </w:r>
            <w:r w:rsidRPr="008368C5">
              <w:t>)</w:t>
            </w:r>
          </w:p>
        </w:tc>
      </w:tr>
      <w:tr w:rsidR="00425B78" w:rsidRPr="008368C5" w14:paraId="0F757805" w14:textId="77777777" w:rsidTr="00425B78">
        <w:trPr>
          <w:cantSplit/>
          <w:trHeight w:val="340"/>
        </w:trPr>
        <w:tc>
          <w:tcPr>
            <w:tcW w:w="2180" w:type="dxa"/>
            <w:shd w:val="clear" w:color="auto" w:fill="auto"/>
            <w:vAlign w:val="center"/>
          </w:tcPr>
          <w:p w14:paraId="38C29ACC" w14:textId="77777777" w:rsidR="00425B78" w:rsidRPr="008368C5" w:rsidRDefault="00425B78" w:rsidP="00425B78">
            <w:pPr>
              <w:pStyle w:val="Wykazskrotowbold"/>
            </w:pPr>
            <w:r w:rsidRPr="008368C5">
              <w:t>PCA</w:t>
            </w:r>
          </w:p>
        </w:tc>
        <w:tc>
          <w:tcPr>
            <w:tcW w:w="6882" w:type="dxa"/>
            <w:shd w:val="clear" w:color="auto" w:fill="auto"/>
            <w:vAlign w:val="center"/>
          </w:tcPr>
          <w:p w14:paraId="1CB96572" w14:textId="77777777" w:rsidR="00425B78" w:rsidRPr="008368C5" w:rsidRDefault="00425B78" w:rsidP="00425B78">
            <w:pPr>
              <w:pStyle w:val="Wykazskrotow"/>
            </w:pPr>
            <w:r w:rsidRPr="008368C5">
              <w:t>Polskie Centrum Akredytacji</w:t>
            </w:r>
          </w:p>
        </w:tc>
      </w:tr>
      <w:tr w:rsidR="00425B78" w:rsidRPr="008368C5" w14:paraId="3F2AE7FC" w14:textId="77777777" w:rsidTr="00425B78">
        <w:trPr>
          <w:cantSplit/>
          <w:trHeight w:val="340"/>
        </w:trPr>
        <w:tc>
          <w:tcPr>
            <w:tcW w:w="2180" w:type="dxa"/>
            <w:shd w:val="clear" w:color="auto" w:fill="auto"/>
            <w:vAlign w:val="center"/>
          </w:tcPr>
          <w:p w14:paraId="288A14BC" w14:textId="77777777" w:rsidR="00425B78" w:rsidRPr="008368C5" w:rsidRDefault="00425B78" w:rsidP="00425B78">
            <w:pPr>
              <w:pStyle w:val="Wykazskrotowbold"/>
            </w:pPr>
            <w:r w:rsidRPr="008368C5">
              <w:t>PE</w:t>
            </w:r>
          </w:p>
        </w:tc>
        <w:tc>
          <w:tcPr>
            <w:tcW w:w="6882" w:type="dxa"/>
            <w:shd w:val="clear" w:color="auto" w:fill="auto"/>
            <w:vAlign w:val="center"/>
          </w:tcPr>
          <w:p w14:paraId="544A3D9F" w14:textId="77777777" w:rsidR="00425B78" w:rsidRPr="008368C5" w:rsidRDefault="00425B78" w:rsidP="00425B78">
            <w:pPr>
              <w:pStyle w:val="Wykazskrotow"/>
            </w:pPr>
            <w:r>
              <w:t>p</w:t>
            </w:r>
            <w:r w:rsidRPr="008368C5">
              <w:t>otencjał ekologiczny</w:t>
            </w:r>
          </w:p>
        </w:tc>
      </w:tr>
      <w:tr w:rsidR="00425B78" w:rsidRPr="008368C5" w14:paraId="1FC26BBA" w14:textId="77777777" w:rsidTr="00425B78">
        <w:trPr>
          <w:cantSplit/>
          <w:trHeight w:val="340"/>
        </w:trPr>
        <w:tc>
          <w:tcPr>
            <w:tcW w:w="2180" w:type="dxa"/>
            <w:shd w:val="clear" w:color="auto" w:fill="auto"/>
            <w:vAlign w:val="center"/>
          </w:tcPr>
          <w:p w14:paraId="6C12859C" w14:textId="77777777" w:rsidR="00425B78" w:rsidRPr="008368C5" w:rsidRDefault="00425B78" w:rsidP="00425B78">
            <w:pPr>
              <w:pStyle w:val="Wykazskrotowbold"/>
            </w:pPr>
            <w:r w:rsidRPr="008368C5">
              <w:t>PEJ</w:t>
            </w:r>
          </w:p>
        </w:tc>
        <w:tc>
          <w:tcPr>
            <w:tcW w:w="6882" w:type="dxa"/>
            <w:shd w:val="clear" w:color="auto" w:fill="auto"/>
            <w:vAlign w:val="center"/>
          </w:tcPr>
          <w:p w14:paraId="1D9CB46D" w14:textId="77777777" w:rsidR="00425B78" w:rsidRPr="008368C5" w:rsidRDefault="00425B78" w:rsidP="00425B78">
            <w:pPr>
              <w:pStyle w:val="Wykazskrotow"/>
            </w:pPr>
            <w:r w:rsidRPr="008368C5">
              <w:t>Program polskiej energetyki jądrowej</w:t>
            </w:r>
          </w:p>
        </w:tc>
      </w:tr>
      <w:tr w:rsidR="00425B78" w:rsidRPr="008368C5" w14:paraId="697B9152" w14:textId="77777777" w:rsidTr="00425B78">
        <w:trPr>
          <w:cantSplit/>
          <w:trHeight w:val="340"/>
        </w:trPr>
        <w:tc>
          <w:tcPr>
            <w:tcW w:w="2180" w:type="dxa"/>
            <w:vAlign w:val="center"/>
          </w:tcPr>
          <w:p w14:paraId="00AB85E8" w14:textId="77777777" w:rsidR="00425B78" w:rsidRPr="008368C5" w:rsidRDefault="00425B78" w:rsidP="00425B78">
            <w:pPr>
              <w:pStyle w:val="Wykazskrotowbold"/>
            </w:pPr>
            <w:r w:rsidRPr="008368C5">
              <w:t>PEP2030</w:t>
            </w:r>
          </w:p>
        </w:tc>
        <w:tc>
          <w:tcPr>
            <w:tcW w:w="6882" w:type="dxa"/>
            <w:vAlign w:val="center"/>
          </w:tcPr>
          <w:p w14:paraId="4F3CC5C2" w14:textId="77777777" w:rsidR="00425B78" w:rsidRPr="008368C5" w:rsidRDefault="00425B78" w:rsidP="00425B78">
            <w:pPr>
              <w:pStyle w:val="Wykazskrotow"/>
            </w:pPr>
            <w:r w:rsidRPr="008368C5">
              <w:t xml:space="preserve">Polityka ekologiczna państwa 2030 </w:t>
            </w:r>
            <w:r>
              <w:t>–</w:t>
            </w:r>
            <w:r w:rsidRPr="008368C5">
              <w:t xml:space="preserve"> strategia rozwoju w obszarze środowiska i gospodarki wodnej</w:t>
            </w:r>
          </w:p>
        </w:tc>
      </w:tr>
      <w:tr w:rsidR="00425B78" w:rsidRPr="008368C5" w14:paraId="4DEDE597" w14:textId="77777777" w:rsidTr="00425B78">
        <w:trPr>
          <w:cantSplit/>
          <w:trHeight w:val="340"/>
        </w:trPr>
        <w:tc>
          <w:tcPr>
            <w:tcW w:w="2180" w:type="dxa"/>
            <w:vAlign w:val="center"/>
          </w:tcPr>
          <w:p w14:paraId="4482E708" w14:textId="77777777" w:rsidR="00425B78" w:rsidRPr="008368C5" w:rsidRDefault="00425B78" w:rsidP="00425B78">
            <w:pPr>
              <w:pStyle w:val="Wykazskrotowbold"/>
            </w:pPr>
            <w:r w:rsidRPr="008368C5">
              <w:t>PEP2040</w:t>
            </w:r>
          </w:p>
        </w:tc>
        <w:tc>
          <w:tcPr>
            <w:tcW w:w="6882" w:type="dxa"/>
            <w:vAlign w:val="center"/>
          </w:tcPr>
          <w:p w14:paraId="6CE5FB7D" w14:textId="77777777" w:rsidR="00425B78" w:rsidRPr="008368C5" w:rsidRDefault="00425B78" w:rsidP="00425B78">
            <w:pPr>
              <w:pStyle w:val="Wykazskrotow"/>
            </w:pPr>
            <w:r w:rsidRPr="008368C5">
              <w:t xml:space="preserve">Polityka energetyczna Polski do 2040 r. </w:t>
            </w:r>
            <w:r>
              <w:t>–</w:t>
            </w:r>
            <w:r w:rsidRPr="008368C5">
              <w:t xml:space="preserve"> strategia rozwoju sektora paliwowo-energetycznego </w:t>
            </w:r>
          </w:p>
        </w:tc>
      </w:tr>
      <w:tr w:rsidR="00425B78" w:rsidRPr="008368C5" w14:paraId="198B7B15" w14:textId="77777777" w:rsidTr="00425B78">
        <w:trPr>
          <w:cantSplit/>
          <w:trHeight w:val="340"/>
        </w:trPr>
        <w:tc>
          <w:tcPr>
            <w:tcW w:w="2180" w:type="dxa"/>
            <w:shd w:val="clear" w:color="auto" w:fill="auto"/>
            <w:vAlign w:val="center"/>
          </w:tcPr>
          <w:p w14:paraId="3A8DC35F" w14:textId="77777777" w:rsidR="00425B78" w:rsidRPr="008368C5" w:rsidRDefault="00425B78" w:rsidP="00425B78">
            <w:pPr>
              <w:pStyle w:val="Wykazskrotowbold"/>
            </w:pPr>
            <w:r w:rsidRPr="008368C5">
              <w:t>PGW | Plan gospodarowania wodami</w:t>
            </w:r>
          </w:p>
        </w:tc>
        <w:tc>
          <w:tcPr>
            <w:tcW w:w="6882" w:type="dxa"/>
            <w:shd w:val="clear" w:color="auto" w:fill="auto"/>
            <w:vAlign w:val="center"/>
          </w:tcPr>
          <w:p w14:paraId="6B8CF477" w14:textId="77777777" w:rsidR="00425B78" w:rsidRPr="008368C5" w:rsidRDefault="00425B78" w:rsidP="00425B78">
            <w:pPr>
              <w:pStyle w:val="Wykazskrotow"/>
            </w:pPr>
            <w:r w:rsidRPr="008368C5">
              <w:t>Plan gospodarowania wodami na obszarze dorzecz</w:t>
            </w:r>
            <w:r>
              <w:t>a</w:t>
            </w:r>
          </w:p>
        </w:tc>
      </w:tr>
      <w:tr w:rsidR="00425B78" w:rsidRPr="008368C5" w14:paraId="4E17A11E" w14:textId="77777777" w:rsidTr="00425B78">
        <w:trPr>
          <w:cantSplit/>
          <w:trHeight w:val="340"/>
        </w:trPr>
        <w:tc>
          <w:tcPr>
            <w:tcW w:w="2180" w:type="dxa"/>
            <w:shd w:val="clear" w:color="auto" w:fill="auto"/>
            <w:vAlign w:val="center"/>
          </w:tcPr>
          <w:p w14:paraId="16FDA63B" w14:textId="77777777" w:rsidR="00425B78" w:rsidRPr="008368C5" w:rsidRDefault="00425B78" w:rsidP="00425B78">
            <w:pPr>
              <w:pStyle w:val="Wykazskrotowbold"/>
            </w:pPr>
            <w:r w:rsidRPr="008368C5">
              <w:t>PGW WP</w:t>
            </w:r>
          </w:p>
        </w:tc>
        <w:tc>
          <w:tcPr>
            <w:tcW w:w="6882" w:type="dxa"/>
            <w:shd w:val="clear" w:color="auto" w:fill="auto"/>
            <w:vAlign w:val="center"/>
          </w:tcPr>
          <w:p w14:paraId="1BDED17E" w14:textId="77777777" w:rsidR="00425B78" w:rsidRPr="008368C5" w:rsidRDefault="00425B78" w:rsidP="00425B78">
            <w:pPr>
              <w:pStyle w:val="Wykazskrotow"/>
            </w:pPr>
            <w:r w:rsidRPr="008368C5">
              <w:t>Państwowe Gospodarstwo Wodne Wody Polskie</w:t>
            </w:r>
          </w:p>
        </w:tc>
      </w:tr>
      <w:tr w:rsidR="00425B78" w:rsidRPr="008368C5" w14:paraId="63F5DA77" w14:textId="77777777" w:rsidTr="00425B78">
        <w:trPr>
          <w:cantSplit/>
          <w:trHeight w:val="340"/>
        </w:trPr>
        <w:tc>
          <w:tcPr>
            <w:tcW w:w="2180" w:type="dxa"/>
            <w:shd w:val="clear" w:color="auto" w:fill="auto"/>
            <w:vAlign w:val="center"/>
          </w:tcPr>
          <w:p w14:paraId="7B8CEDA3" w14:textId="77777777" w:rsidR="00425B78" w:rsidRPr="008368C5" w:rsidRDefault="00425B78" w:rsidP="00425B78">
            <w:pPr>
              <w:pStyle w:val="Wykazskrotowbold"/>
            </w:pPr>
            <w:r w:rsidRPr="008368C5">
              <w:t>PIG-PIB</w:t>
            </w:r>
          </w:p>
        </w:tc>
        <w:tc>
          <w:tcPr>
            <w:tcW w:w="6882" w:type="dxa"/>
            <w:shd w:val="clear" w:color="auto" w:fill="auto"/>
            <w:vAlign w:val="center"/>
          </w:tcPr>
          <w:p w14:paraId="68857C13" w14:textId="77777777" w:rsidR="00425B78" w:rsidRPr="008368C5" w:rsidRDefault="00425B78" w:rsidP="00425B78">
            <w:pPr>
              <w:pStyle w:val="Wykazskrotow"/>
            </w:pPr>
            <w:r w:rsidRPr="008368C5">
              <w:t>Państwowy Instytut Geologiczny - Państwowy Instytut Badawczy</w:t>
            </w:r>
          </w:p>
        </w:tc>
      </w:tr>
      <w:tr w:rsidR="00425B78" w:rsidRPr="008368C5" w14:paraId="29E45056" w14:textId="77777777" w:rsidTr="00425B78">
        <w:trPr>
          <w:cantSplit/>
          <w:trHeight w:val="340"/>
        </w:trPr>
        <w:tc>
          <w:tcPr>
            <w:tcW w:w="2180" w:type="dxa"/>
            <w:shd w:val="clear" w:color="auto" w:fill="auto"/>
            <w:vAlign w:val="center"/>
          </w:tcPr>
          <w:p w14:paraId="69CAE0D8" w14:textId="77777777" w:rsidR="00425B78" w:rsidRPr="008368C5" w:rsidRDefault="00425B78" w:rsidP="00425B78">
            <w:pPr>
              <w:pStyle w:val="Wykazskrotowbold"/>
            </w:pPr>
            <w:r w:rsidRPr="008368C5">
              <w:t>PLC-7</w:t>
            </w:r>
          </w:p>
        </w:tc>
        <w:tc>
          <w:tcPr>
            <w:tcW w:w="6882" w:type="dxa"/>
            <w:shd w:val="clear" w:color="auto" w:fill="auto"/>
            <w:vAlign w:val="center"/>
          </w:tcPr>
          <w:p w14:paraId="2720A19A" w14:textId="77777777" w:rsidR="00425B78" w:rsidRPr="008368C5" w:rsidRDefault="00425B78" w:rsidP="00425B78">
            <w:pPr>
              <w:pStyle w:val="Wykazskrotow"/>
            </w:pPr>
            <w:r w:rsidRPr="008368C5">
              <w:t>Opracowanie bilansu ładunków zanieczyszczeń odprowadzanych rzekami do Morza Bałtyckiego - PLC 7, PGW WP, 2019</w:t>
            </w:r>
          </w:p>
        </w:tc>
      </w:tr>
      <w:tr w:rsidR="00425B78" w:rsidRPr="008368C5" w14:paraId="7E80C1F2" w14:textId="77777777" w:rsidTr="00425B78">
        <w:trPr>
          <w:cantSplit/>
          <w:trHeight w:val="340"/>
        </w:trPr>
        <w:tc>
          <w:tcPr>
            <w:tcW w:w="2180" w:type="dxa"/>
            <w:shd w:val="clear" w:color="auto" w:fill="auto"/>
            <w:vAlign w:val="center"/>
          </w:tcPr>
          <w:p w14:paraId="36EAC058" w14:textId="77777777" w:rsidR="00425B78" w:rsidRPr="008368C5" w:rsidRDefault="00425B78" w:rsidP="00425B78">
            <w:pPr>
              <w:pStyle w:val="Wykazskrotowbold"/>
            </w:pPr>
            <w:r w:rsidRPr="008368C5">
              <w:t>PMPL</w:t>
            </w:r>
          </w:p>
        </w:tc>
        <w:tc>
          <w:tcPr>
            <w:tcW w:w="6882" w:type="dxa"/>
            <w:shd w:val="clear" w:color="auto" w:fill="auto"/>
            <w:vAlign w:val="center"/>
          </w:tcPr>
          <w:p w14:paraId="66E1C649" w14:textId="45ACAE2F" w:rsidR="00425B78" w:rsidRPr="008368C5" w:rsidRDefault="000E2ABA" w:rsidP="00425B78">
            <w:pPr>
              <w:pStyle w:val="Wykazskrotow"/>
            </w:pPr>
            <w:r>
              <w:t>p</w:t>
            </w:r>
            <w:r w:rsidRPr="008368C5">
              <w:t xml:space="preserve">ełny </w:t>
            </w:r>
            <w:r>
              <w:t>i</w:t>
            </w:r>
            <w:r w:rsidRPr="008368C5">
              <w:t xml:space="preserve">ndeks </w:t>
            </w:r>
            <w:r>
              <w:t>f</w:t>
            </w:r>
            <w:r w:rsidRPr="008368C5">
              <w:t xml:space="preserve">itoplanktonowy </w:t>
            </w:r>
            <w:r w:rsidR="00425B78">
              <w:t>d</w:t>
            </w:r>
            <w:r w:rsidR="00425B78" w:rsidRPr="008368C5">
              <w:t xml:space="preserve">la </w:t>
            </w:r>
            <w:r>
              <w:t>p</w:t>
            </w:r>
            <w:r w:rsidRPr="008368C5">
              <w:t xml:space="preserve">olskich </w:t>
            </w:r>
            <w:r>
              <w:t>j</w:t>
            </w:r>
            <w:r w:rsidRPr="008368C5">
              <w:t>ezior</w:t>
            </w:r>
          </w:p>
        </w:tc>
      </w:tr>
      <w:tr w:rsidR="00425B78" w:rsidRPr="008368C5" w14:paraId="48BA8F18" w14:textId="77777777" w:rsidTr="00425B78">
        <w:trPr>
          <w:cantSplit/>
          <w:trHeight w:val="340"/>
        </w:trPr>
        <w:tc>
          <w:tcPr>
            <w:tcW w:w="2180" w:type="dxa"/>
            <w:shd w:val="clear" w:color="auto" w:fill="auto"/>
            <w:vAlign w:val="center"/>
          </w:tcPr>
          <w:p w14:paraId="2C9D628B" w14:textId="77777777" w:rsidR="00425B78" w:rsidRPr="008368C5" w:rsidRDefault="00425B78" w:rsidP="00425B78">
            <w:pPr>
              <w:pStyle w:val="Wykazskrotowbold"/>
            </w:pPr>
            <w:r w:rsidRPr="008368C5">
              <w:t>PMŚ</w:t>
            </w:r>
          </w:p>
        </w:tc>
        <w:tc>
          <w:tcPr>
            <w:tcW w:w="6882" w:type="dxa"/>
            <w:shd w:val="clear" w:color="auto" w:fill="auto"/>
            <w:vAlign w:val="center"/>
          </w:tcPr>
          <w:p w14:paraId="2CDA2B44" w14:textId="77777777" w:rsidR="00425B78" w:rsidRPr="008368C5" w:rsidRDefault="00425B78" w:rsidP="00425B78">
            <w:pPr>
              <w:pStyle w:val="Wykazskrotow"/>
            </w:pPr>
            <w:r>
              <w:t>p</w:t>
            </w:r>
            <w:r w:rsidRPr="008368C5">
              <w:t xml:space="preserve">aństwowy </w:t>
            </w:r>
            <w:r>
              <w:t>m</w:t>
            </w:r>
            <w:r w:rsidRPr="008368C5">
              <w:t xml:space="preserve">onitoring </w:t>
            </w:r>
            <w:r>
              <w:t>ś</w:t>
            </w:r>
            <w:r w:rsidRPr="008368C5">
              <w:t>rodowiska</w:t>
            </w:r>
          </w:p>
        </w:tc>
      </w:tr>
      <w:tr w:rsidR="00425B78" w:rsidRPr="008368C5" w14:paraId="4B9D8BBD" w14:textId="77777777" w:rsidTr="00425B78">
        <w:trPr>
          <w:cantSplit/>
          <w:trHeight w:val="340"/>
        </w:trPr>
        <w:tc>
          <w:tcPr>
            <w:tcW w:w="2180" w:type="dxa"/>
            <w:shd w:val="clear" w:color="auto" w:fill="auto"/>
            <w:vAlign w:val="center"/>
          </w:tcPr>
          <w:p w14:paraId="381058D2" w14:textId="77777777" w:rsidR="00425B78" w:rsidRPr="008368C5" w:rsidRDefault="00425B78" w:rsidP="00425B78">
            <w:pPr>
              <w:pStyle w:val="Wykazskrotowbold"/>
            </w:pPr>
            <w:r w:rsidRPr="008368C5">
              <w:t>POIiŚ</w:t>
            </w:r>
          </w:p>
        </w:tc>
        <w:tc>
          <w:tcPr>
            <w:tcW w:w="6882" w:type="dxa"/>
            <w:shd w:val="clear" w:color="auto" w:fill="auto"/>
            <w:vAlign w:val="center"/>
          </w:tcPr>
          <w:p w14:paraId="662C469B" w14:textId="77777777" w:rsidR="00425B78" w:rsidRPr="008368C5" w:rsidRDefault="00425B78" w:rsidP="00425B78">
            <w:pPr>
              <w:pStyle w:val="Wykazskrotow"/>
            </w:pPr>
            <w:r w:rsidRPr="008368C5">
              <w:t>Program Operacyjny Infrastruktura i Środowisko</w:t>
            </w:r>
          </w:p>
        </w:tc>
      </w:tr>
      <w:tr w:rsidR="00425B78" w:rsidRPr="008368C5" w14:paraId="11689060" w14:textId="77777777" w:rsidTr="00425B78">
        <w:trPr>
          <w:cantSplit/>
          <w:trHeight w:val="340"/>
        </w:trPr>
        <w:tc>
          <w:tcPr>
            <w:tcW w:w="2180" w:type="dxa"/>
            <w:shd w:val="clear" w:color="auto" w:fill="auto"/>
            <w:vAlign w:val="center"/>
          </w:tcPr>
          <w:p w14:paraId="7606ACEB" w14:textId="77777777" w:rsidR="00425B78" w:rsidRPr="008368C5" w:rsidRDefault="00425B78" w:rsidP="00425B78">
            <w:pPr>
              <w:pStyle w:val="Wykazskrotowbold"/>
            </w:pPr>
            <w:r>
              <w:t>POZ</w:t>
            </w:r>
          </w:p>
        </w:tc>
        <w:tc>
          <w:tcPr>
            <w:tcW w:w="6882" w:type="dxa"/>
            <w:shd w:val="clear" w:color="auto" w:fill="auto"/>
            <w:vAlign w:val="center"/>
          </w:tcPr>
          <w:p w14:paraId="7924BCB6" w14:textId="77777777" w:rsidR="00425B78" w:rsidRPr="008368C5" w:rsidRDefault="00425B78" w:rsidP="00425B78">
            <w:pPr>
              <w:pStyle w:val="Wykazskrotow"/>
            </w:pPr>
            <w:r>
              <w:rPr>
                <w:rFonts w:eastAsia="Times New Roman"/>
                <w:color w:val="000000"/>
                <w:lang w:eastAsia="pl-PL"/>
              </w:rPr>
              <w:t>p</w:t>
            </w:r>
            <w:r w:rsidRPr="007E545D">
              <w:rPr>
                <w:rFonts w:eastAsia="Times New Roman"/>
                <w:color w:val="000000"/>
                <w:lang w:eastAsia="pl-PL"/>
              </w:rPr>
              <w:t xml:space="preserve">ozostałe obszary zlewni </w:t>
            </w:r>
            <w:r>
              <w:rPr>
                <w:rFonts w:eastAsia="Times New Roman"/>
                <w:color w:val="000000"/>
                <w:lang w:eastAsia="pl-PL"/>
              </w:rPr>
              <w:t>JCWP</w:t>
            </w:r>
            <w:r w:rsidRPr="007E545D">
              <w:rPr>
                <w:rFonts w:eastAsia="Times New Roman"/>
                <w:color w:val="000000"/>
                <w:lang w:eastAsia="pl-PL"/>
              </w:rPr>
              <w:t xml:space="preserve"> (obszary, które nie stanowią zlewni bezpośredniej </w:t>
            </w:r>
            <w:r>
              <w:rPr>
                <w:rFonts w:eastAsia="Times New Roman"/>
                <w:color w:val="000000"/>
                <w:lang w:eastAsia="pl-PL"/>
              </w:rPr>
              <w:t>JCWP</w:t>
            </w:r>
            <w:r w:rsidRPr="007E545D">
              <w:rPr>
                <w:rFonts w:eastAsia="Times New Roman"/>
                <w:color w:val="000000"/>
                <w:lang w:eastAsia="pl-PL"/>
              </w:rPr>
              <w:t xml:space="preserve"> rzecznych)</w:t>
            </w:r>
          </w:p>
        </w:tc>
      </w:tr>
      <w:tr w:rsidR="00425B78" w:rsidRPr="008368C5" w14:paraId="69A46BD1" w14:textId="77777777" w:rsidTr="00425B78">
        <w:trPr>
          <w:cantSplit/>
          <w:trHeight w:val="340"/>
        </w:trPr>
        <w:tc>
          <w:tcPr>
            <w:tcW w:w="2180" w:type="dxa"/>
            <w:shd w:val="clear" w:color="auto" w:fill="auto"/>
            <w:vAlign w:val="center"/>
          </w:tcPr>
          <w:p w14:paraId="737768E5" w14:textId="77777777" w:rsidR="00425B78" w:rsidRPr="008368C5" w:rsidRDefault="00425B78" w:rsidP="00425B78">
            <w:pPr>
              <w:pStyle w:val="Wykazskrotowbold"/>
            </w:pPr>
            <w:r w:rsidRPr="008368C5">
              <w:t>PPH2</w:t>
            </w:r>
          </w:p>
        </w:tc>
        <w:tc>
          <w:tcPr>
            <w:tcW w:w="6882" w:type="dxa"/>
            <w:shd w:val="clear" w:color="auto" w:fill="auto"/>
            <w:vAlign w:val="center"/>
          </w:tcPr>
          <w:p w14:paraId="470017F8" w14:textId="77777777" w:rsidR="00425B78" w:rsidRPr="008368C5" w:rsidRDefault="00425B78" w:rsidP="00425B78">
            <w:pPr>
              <w:pStyle w:val="Wykazskrotow"/>
            </w:pPr>
            <w:r>
              <w:t>w</w:t>
            </w:r>
            <w:r w:rsidRPr="008368C5">
              <w:t>skaźnik dotyczący budowli piętrzących</w:t>
            </w:r>
          </w:p>
        </w:tc>
      </w:tr>
      <w:tr w:rsidR="00425B78" w:rsidRPr="008368C5" w14:paraId="7AD0B124" w14:textId="77777777" w:rsidTr="00425B78">
        <w:trPr>
          <w:cantSplit/>
          <w:trHeight w:val="340"/>
        </w:trPr>
        <w:tc>
          <w:tcPr>
            <w:tcW w:w="2180" w:type="dxa"/>
            <w:shd w:val="clear" w:color="auto" w:fill="auto"/>
            <w:vAlign w:val="center"/>
          </w:tcPr>
          <w:p w14:paraId="63C93240" w14:textId="77777777" w:rsidR="00425B78" w:rsidRPr="008368C5" w:rsidRDefault="00425B78" w:rsidP="00425B78">
            <w:pPr>
              <w:pStyle w:val="Wykazskrotowbold"/>
            </w:pPr>
            <w:r w:rsidRPr="008368C5">
              <w:t>Ppk</w:t>
            </w:r>
          </w:p>
        </w:tc>
        <w:tc>
          <w:tcPr>
            <w:tcW w:w="6882" w:type="dxa"/>
            <w:shd w:val="clear" w:color="auto" w:fill="auto"/>
            <w:vAlign w:val="center"/>
          </w:tcPr>
          <w:p w14:paraId="3899AEB9" w14:textId="77777777" w:rsidR="00425B78" w:rsidRPr="008368C5" w:rsidRDefault="00425B78" w:rsidP="00425B78">
            <w:pPr>
              <w:pStyle w:val="Wykazskrotow"/>
            </w:pPr>
            <w:r>
              <w:t>p</w:t>
            </w:r>
            <w:r w:rsidRPr="008368C5">
              <w:t>unkt pomiarowo-kontrolny monitoringu GIOŚ</w:t>
            </w:r>
          </w:p>
        </w:tc>
      </w:tr>
      <w:tr w:rsidR="00425B78" w:rsidRPr="008368C5" w14:paraId="02217807" w14:textId="77777777" w:rsidTr="00425B78">
        <w:trPr>
          <w:cantSplit/>
          <w:trHeight w:val="340"/>
        </w:trPr>
        <w:tc>
          <w:tcPr>
            <w:tcW w:w="2180" w:type="dxa"/>
            <w:shd w:val="clear" w:color="auto" w:fill="auto"/>
            <w:vAlign w:val="center"/>
          </w:tcPr>
          <w:p w14:paraId="3328AC4A" w14:textId="77777777" w:rsidR="00425B78" w:rsidRPr="008368C5" w:rsidRDefault="00425B78" w:rsidP="00425B78">
            <w:pPr>
              <w:pStyle w:val="Wykazskrotowbold"/>
            </w:pPr>
            <w:r w:rsidRPr="008368C5">
              <w:t>PPSS</w:t>
            </w:r>
          </w:p>
        </w:tc>
        <w:tc>
          <w:tcPr>
            <w:tcW w:w="6882" w:type="dxa"/>
            <w:shd w:val="clear" w:color="auto" w:fill="auto"/>
            <w:vAlign w:val="center"/>
          </w:tcPr>
          <w:p w14:paraId="3A665040" w14:textId="77777777" w:rsidR="00425B78" w:rsidRPr="008368C5" w:rsidRDefault="00425B78" w:rsidP="00425B78">
            <w:pPr>
              <w:pStyle w:val="Wykazskrotow"/>
            </w:pPr>
            <w:r w:rsidRPr="008368C5">
              <w:t xml:space="preserve">Plan </w:t>
            </w:r>
            <w:r>
              <w:t>p</w:t>
            </w:r>
            <w:r w:rsidRPr="008368C5">
              <w:t xml:space="preserve">rzeciwdziałania </w:t>
            </w:r>
            <w:r>
              <w:t>s</w:t>
            </w:r>
            <w:r w:rsidRPr="008368C5">
              <w:t xml:space="preserve">kutkom </w:t>
            </w:r>
            <w:r>
              <w:t>s</w:t>
            </w:r>
            <w:r w:rsidRPr="008368C5">
              <w:t>uszy</w:t>
            </w:r>
          </w:p>
        </w:tc>
      </w:tr>
      <w:tr w:rsidR="00425B78" w:rsidRPr="008368C5" w14:paraId="7891E784" w14:textId="77777777" w:rsidTr="00425B78">
        <w:trPr>
          <w:cantSplit/>
          <w:trHeight w:val="340"/>
        </w:trPr>
        <w:tc>
          <w:tcPr>
            <w:tcW w:w="2180" w:type="dxa"/>
            <w:shd w:val="clear" w:color="auto" w:fill="auto"/>
            <w:vAlign w:val="center"/>
          </w:tcPr>
          <w:p w14:paraId="590650AD" w14:textId="77777777" w:rsidR="00425B78" w:rsidRPr="008368C5" w:rsidRDefault="00425B78" w:rsidP="00425B78">
            <w:pPr>
              <w:pStyle w:val="Wykazskrotowbold"/>
            </w:pPr>
            <w:r w:rsidRPr="008368C5">
              <w:t xml:space="preserve">pr.w. |Prawo wodne </w:t>
            </w:r>
          </w:p>
        </w:tc>
        <w:tc>
          <w:tcPr>
            <w:tcW w:w="6882" w:type="dxa"/>
            <w:shd w:val="clear" w:color="auto" w:fill="auto"/>
            <w:vAlign w:val="center"/>
          </w:tcPr>
          <w:p w14:paraId="6251D62A" w14:textId="77777777" w:rsidR="00425B78" w:rsidRPr="008368C5" w:rsidRDefault="00425B78" w:rsidP="00425B78">
            <w:pPr>
              <w:pStyle w:val="Wykazskrotow"/>
            </w:pPr>
            <w:r>
              <w:rPr>
                <w:rFonts w:eastAsia="Times New Roman"/>
                <w:color w:val="000000"/>
                <w:lang w:eastAsia="pl-PL"/>
              </w:rPr>
              <w:t>u</w:t>
            </w:r>
            <w:r w:rsidRPr="00795F17">
              <w:rPr>
                <w:rFonts w:eastAsia="Times New Roman"/>
                <w:color w:val="000000"/>
                <w:lang w:eastAsia="pl-PL"/>
              </w:rPr>
              <w:t xml:space="preserve">stawa z dnia 20 lipca 2017 r. </w:t>
            </w:r>
            <w:r>
              <w:rPr>
                <w:rFonts w:eastAsia="Times New Roman"/>
                <w:color w:val="000000"/>
                <w:lang w:eastAsia="pl-PL"/>
              </w:rPr>
              <w:t>–</w:t>
            </w:r>
            <w:r w:rsidRPr="00795F17">
              <w:rPr>
                <w:rFonts w:eastAsia="Times New Roman"/>
                <w:color w:val="000000"/>
                <w:lang w:eastAsia="pl-PL"/>
              </w:rPr>
              <w:t xml:space="preserve"> Prawo wodne (</w:t>
            </w:r>
            <w:r w:rsidRPr="00987846">
              <w:rPr>
                <w:rFonts w:eastAsia="Times New Roman"/>
                <w:color w:val="000000"/>
                <w:lang w:eastAsia="pl-PL"/>
              </w:rPr>
              <w:t>Dz. U. z 2021 r. poz. 2233, z późn. zm.</w:t>
            </w:r>
            <w:r w:rsidRPr="00795F17">
              <w:rPr>
                <w:rFonts w:eastAsia="Times New Roman"/>
                <w:color w:val="000000"/>
                <w:lang w:eastAsia="pl-PL"/>
              </w:rPr>
              <w:t>)</w:t>
            </w:r>
          </w:p>
        </w:tc>
      </w:tr>
      <w:tr w:rsidR="00425B78" w:rsidRPr="008368C5" w14:paraId="46A68EEC" w14:textId="77777777" w:rsidTr="00425B78">
        <w:trPr>
          <w:cantSplit/>
          <w:trHeight w:val="340"/>
        </w:trPr>
        <w:tc>
          <w:tcPr>
            <w:tcW w:w="2180" w:type="dxa"/>
            <w:vAlign w:val="center"/>
          </w:tcPr>
          <w:p w14:paraId="106BA020" w14:textId="77777777" w:rsidR="00425B78" w:rsidRPr="008368C5" w:rsidRDefault="00425B78" w:rsidP="00425B78">
            <w:pPr>
              <w:pStyle w:val="Wykazskrotowbold"/>
            </w:pPr>
            <w:r w:rsidRPr="008368C5">
              <w:t>Prognoza OOŚ</w:t>
            </w:r>
          </w:p>
        </w:tc>
        <w:tc>
          <w:tcPr>
            <w:tcW w:w="6882" w:type="dxa"/>
            <w:vAlign w:val="center"/>
          </w:tcPr>
          <w:p w14:paraId="0BEAB821" w14:textId="0CA31872" w:rsidR="00425B78" w:rsidRPr="008368C5" w:rsidRDefault="00861A64" w:rsidP="00425B78">
            <w:pPr>
              <w:pStyle w:val="Wykazskrotow"/>
            </w:pPr>
            <w:r>
              <w:t>p</w:t>
            </w:r>
            <w:r w:rsidRPr="008368C5">
              <w:t xml:space="preserve">rognoza </w:t>
            </w:r>
            <w:r w:rsidR="00425B78" w:rsidRPr="008368C5">
              <w:t>oddziaływania na środowisko</w:t>
            </w:r>
          </w:p>
        </w:tc>
      </w:tr>
      <w:tr w:rsidR="00425B78" w:rsidRPr="008368C5" w14:paraId="46FCA652" w14:textId="77777777" w:rsidTr="00425B78">
        <w:trPr>
          <w:cantSplit/>
          <w:trHeight w:val="340"/>
        </w:trPr>
        <w:tc>
          <w:tcPr>
            <w:tcW w:w="2180" w:type="dxa"/>
            <w:shd w:val="clear" w:color="auto" w:fill="auto"/>
            <w:vAlign w:val="center"/>
          </w:tcPr>
          <w:p w14:paraId="7EC5D1C4" w14:textId="77777777" w:rsidR="00425B78" w:rsidRPr="008368C5" w:rsidRDefault="00425B78" w:rsidP="00425B78">
            <w:pPr>
              <w:pStyle w:val="Wykazskrotowbold"/>
            </w:pPr>
            <w:r w:rsidRPr="008368C5">
              <w:t>PRR</w:t>
            </w:r>
          </w:p>
        </w:tc>
        <w:tc>
          <w:tcPr>
            <w:tcW w:w="6882" w:type="dxa"/>
            <w:shd w:val="clear" w:color="auto" w:fill="auto"/>
            <w:vAlign w:val="center"/>
          </w:tcPr>
          <w:p w14:paraId="060D4AD6" w14:textId="77777777" w:rsidR="00425B78" w:rsidRPr="008368C5" w:rsidRDefault="00425B78" w:rsidP="00425B78">
            <w:pPr>
              <w:pStyle w:val="Wykazskrotow"/>
            </w:pPr>
            <w:r w:rsidRPr="008368C5">
              <w:t>Program przeciwdziałania niedoborowi wody na lata 2021</w:t>
            </w:r>
            <w:r w:rsidRPr="008368C5" w:rsidDel="0067273E">
              <w:t>-</w:t>
            </w:r>
            <w:r>
              <w:t>–</w:t>
            </w:r>
            <w:r w:rsidRPr="008368C5">
              <w:t>2027 z perspektywą do 2030 r. (zwany Programem Rozwoju Retencji)</w:t>
            </w:r>
          </w:p>
        </w:tc>
      </w:tr>
      <w:tr w:rsidR="00425B78" w:rsidRPr="008368C5" w14:paraId="67547D42" w14:textId="77777777" w:rsidTr="00425B78">
        <w:trPr>
          <w:cantSplit/>
          <w:trHeight w:val="340"/>
        </w:trPr>
        <w:tc>
          <w:tcPr>
            <w:tcW w:w="2180" w:type="dxa"/>
            <w:shd w:val="clear" w:color="auto" w:fill="auto"/>
            <w:vAlign w:val="center"/>
          </w:tcPr>
          <w:p w14:paraId="65856291" w14:textId="77777777" w:rsidR="00425B78" w:rsidRPr="008368C5" w:rsidRDefault="00425B78" w:rsidP="00425B78">
            <w:pPr>
              <w:pStyle w:val="Wykazskrotowbold"/>
            </w:pPr>
            <w:r w:rsidRPr="008368C5">
              <w:t>PRTR</w:t>
            </w:r>
          </w:p>
        </w:tc>
        <w:tc>
          <w:tcPr>
            <w:tcW w:w="6882" w:type="dxa"/>
            <w:shd w:val="clear" w:color="auto" w:fill="auto"/>
            <w:vAlign w:val="center"/>
          </w:tcPr>
          <w:p w14:paraId="49233928" w14:textId="77777777" w:rsidR="00425B78" w:rsidRPr="008368C5" w:rsidRDefault="00425B78" w:rsidP="00425B78">
            <w:pPr>
              <w:pStyle w:val="Wykazskrotow"/>
            </w:pPr>
            <w:r w:rsidRPr="008368C5">
              <w:t>Krajowy Rejestr Uwalniania i Transferu Zanieczyszczeń</w:t>
            </w:r>
          </w:p>
        </w:tc>
      </w:tr>
      <w:tr w:rsidR="00425B78" w:rsidRPr="008368C5" w14:paraId="1D7BDADD" w14:textId="77777777" w:rsidTr="00425B78">
        <w:trPr>
          <w:cantSplit/>
          <w:trHeight w:val="340"/>
        </w:trPr>
        <w:tc>
          <w:tcPr>
            <w:tcW w:w="2180" w:type="dxa"/>
            <w:shd w:val="clear" w:color="auto" w:fill="auto"/>
            <w:vAlign w:val="center"/>
          </w:tcPr>
          <w:p w14:paraId="2F5642FD" w14:textId="77777777" w:rsidR="00425B78" w:rsidRPr="008368C5" w:rsidRDefault="00425B78" w:rsidP="00425B78">
            <w:pPr>
              <w:pStyle w:val="Wykazskrotowbold"/>
            </w:pPr>
            <w:r w:rsidRPr="008368C5">
              <w:t>PSH</w:t>
            </w:r>
          </w:p>
        </w:tc>
        <w:tc>
          <w:tcPr>
            <w:tcW w:w="6882" w:type="dxa"/>
            <w:shd w:val="clear" w:color="auto" w:fill="auto"/>
            <w:vAlign w:val="center"/>
          </w:tcPr>
          <w:p w14:paraId="1B54C0F9" w14:textId="77777777" w:rsidR="00425B78" w:rsidRPr="008368C5" w:rsidRDefault="00425B78" w:rsidP="00425B78">
            <w:pPr>
              <w:pStyle w:val="Wykazskrotow"/>
            </w:pPr>
            <w:r w:rsidRPr="008368C5">
              <w:t>Państwowa Służba Hydrogeologiczna</w:t>
            </w:r>
          </w:p>
        </w:tc>
      </w:tr>
      <w:tr w:rsidR="00425B78" w:rsidRPr="008368C5" w14:paraId="3DDFA551" w14:textId="77777777" w:rsidTr="00425B78">
        <w:trPr>
          <w:cantSplit/>
          <w:trHeight w:val="340"/>
        </w:trPr>
        <w:tc>
          <w:tcPr>
            <w:tcW w:w="2180" w:type="dxa"/>
            <w:shd w:val="clear" w:color="auto" w:fill="auto"/>
            <w:vAlign w:val="center"/>
          </w:tcPr>
          <w:p w14:paraId="338811EC" w14:textId="77777777" w:rsidR="00425B78" w:rsidRPr="008368C5" w:rsidRDefault="00425B78" w:rsidP="00425B78">
            <w:pPr>
              <w:pStyle w:val="Wykazskrotowbold"/>
            </w:pPr>
            <w:r w:rsidRPr="008368C5">
              <w:t>PUW</w:t>
            </w:r>
          </w:p>
        </w:tc>
        <w:tc>
          <w:tcPr>
            <w:tcW w:w="6882" w:type="dxa"/>
            <w:shd w:val="clear" w:color="auto" w:fill="auto"/>
            <w:vAlign w:val="center"/>
          </w:tcPr>
          <w:p w14:paraId="06246913" w14:textId="1C45CA36" w:rsidR="00425B78" w:rsidRPr="008368C5" w:rsidRDefault="00425B78" w:rsidP="00425B78">
            <w:pPr>
              <w:pStyle w:val="Wykazskrotow"/>
            </w:pPr>
            <w:r w:rsidRPr="008368C5">
              <w:t xml:space="preserve">Plan </w:t>
            </w:r>
            <w:r w:rsidR="00861A64">
              <w:t>u</w:t>
            </w:r>
            <w:r w:rsidR="00861A64" w:rsidRPr="008368C5">
              <w:t xml:space="preserve">trzymania </w:t>
            </w:r>
            <w:r w:rsidR="00861A64">
              <w:t>w</w:t>
            </w:r>
            <w:r w:rsidRPr="008368C5">
              <w:t>ód</w:t>
            </w:r>
          </w:p>
        </w:tc>
      </w:tr>
      <w:tr w:rsidR="00425B78" w:rsidRPr="008368C5" w14:paraId="7A1409D9" w14:textId="77777777" w:rsidTr="00425B78">
        <w:trPr>
          <w:cantSplit/>
          <w:trHeight w:val="340"/>
        </w:trPr>
        <w:tc>
          <w:tcPr>
            <w:tcW w:w="2180" w:type="dxa"/>
            <w:vAlign w:val="center"/>
          </w:tcPr>
          <w:p w14:paraId="47D5DCBB" w14:textId="77777777" w:rsidR="00425B78" w:rsidRPr="008368C5" w:rsidRDefault="00425B78" w:rsidP="00425B78">
            <w:pPr>
              <w:pStyle w:val="Wykazskrotowbold"/>
            </w:pPr>
            <w:r w:rsidRPr="008368C5">
              <w:t>PZO</w:t>
            </w:r>
          </w:p>
        </w:tc>
        <w:tc>
          <w:tcPr>
            <w:tcW w:w="6882" w:type="dxa"/>
            <w:vAlign w:val="center"/>
          </w:tcPr>
          <w:p w14:paraId="7281D6A2" w14:textId="78D5AA8F" w:rsidR="00425B78" w:rsidRPr="008368C5" w:rsidRDefault="00425B78" w:rsidP="00425B78">
            <w:pPr>
              <w:pStyle w:val="Wykazskrotow"/>
            </w:pPr>
            <w:r w:rsidRPr="008368C5">
              <w:t xml:space="preserve">Plany </w:t>
            </w:r>
            <w:r w:rsidR="00861A64">
              <w:t>z</w:t>
            </w:r>
            <w:r w:rsidR="00861A64" w:rsidRPr="008368C5">
              <w:t xml:space="preserve">adań </w:t>
            </w:r>
            <w:r w:rsidR="00861A64">
              <w:t>o</w:t>
            </w:r>
            <w:r w:rsidR="00861A64" w:rsidRPr="008368C5">
              <w:t xml:space="preserve">chronnych </w:t>
            </w:r>
            <w:r w:rsidRPr="008368C5">
              <w:t>(obszarów Natura 2000)</w:t>
            </w:r>
          </w:p>
        </w:tc>
      </w:tr>
      <w:tr w:rsidR="00425B78" w:rsidRPr="008368C5" w14:paraId="706B9BAF" w14:textId="77777777" w:rsidTr="00425B78">
        <w:trPr>
          <w:cantSplit/>
          <w:trHeight w:val="340"/>
        </w:trPr>
        <w:tc>
          <w:tcPr>
            <w:tcW w:w="2180" w:type="dxa"/>
            <w:vAlign w:val="center"/>
          </w:tcPr>
          <w:p w14:paraId="6DCAB38E" w14:textId="77777777" w:rsidR="00425B78" w:rsidRPr="008368C5" w:rsidRDefault="00425B78" w:rsidP="00425B78">
            <w:pPr>
              <w:pStyle w:val="Wykazskrotowbold"/>
            </w:pPr>
            <w:r w:rsidRPr="008368C5">
              <w:t>PZRP</w:t>
            </w:r>
          </w:p>
        </w:tc>
        <w:tc>
          <w:tcPr>
            <w:tcW w:w="6882" w:type="dxa"/>
            <w:vAlign w:val="center"/>
          </w:tcPr>
          <w:p w14:paraId="145733D1" w14:textId="7A9D2E02" w:rsidR="00425B78" w:rsidRPr="008368C5" w:rsidRDefault="00425B78" w:rsidP="00425B78">
            <w:pPr>
              <w:pStyle w:val="Wykazskrotow"/>
            </w:pPr>
            <w:r w:rsidRPr="008368C5">
              <w:t xml:space="preserve">Plany </w:t>
            </w:r>
            <w:r w:rsidR="00861A64">
              <w:t>z</w:t>
            </w:r>
            <w:r w:rsidR="00861A64" w:rsidRPr="008368C5">
              <w:t xml:space="preserve">arządzania </w:t>
            </w:r>
            <w:r w:rsidR="00861A64">
              <w:t>r</w:t>
            </w:r>
            <w:r w:rsidR="00861A64" w:rsidRPr="008368C5">
              <w:t xml:space="preserve">yzykiem </w:t>
            </w:r>
            <w:r w:rsidR="00861A64">
              <w:t>p</w:t>
            </w:r>
            <w:r w:rsidR="00861A64" w:rsidRPr="008368C5">
              <w:t>owodziowym</w:t>
            </w:r>
          </w:p>
        </w:tc>
      </w:tr>
      <w:tr w:rsidR="00425B78" w:rsidRPr="008368C5" w14:paraId="3BB21ACB" w14:textId="77777777" w:rsidTr="00425B78">
        <w:trPr>
          <w:cantSplit/>
          <w:trHeight w:val="340"/>
        </w:trPr>
        <w:tc>
          <w:tcPr>
            <w:tcW w:w="2180" w:type="dxa"/>
            <w:vAlign w:val="center"/>
          </w:tcPr>
          <w:p w14:paraId="6B4082B4" w14:textId="77777777" w:rsidR="00425B78" w:rsidRPr="008368C5" w:rsidRDefault="00425B78" w:rsidP="00425B78">
            <w:pPr>
              <w:pStyle w:val="Wykazskrotowbold"/>
            </w:pPr>
            <w:r w:rsidRPr="005870FA">
              <w:rPr>
                <w:rFonts w:eastAsia="Times New Roman"/>
                <w:color w:val="000000"/>
                <w:lang w:eastAsia="pl-PL"/>
              </w:rPr>
              <w:t>r.g.z.w.</w:t>
            </w:r>
          </w:p>
        </w:tc>
        <w:tc>
          <w:tcPr>
            <w:tcW w:w="6882" w:type="dxa"/>
            <w:vAlign w:val="center"/>
          </w:tcPr>
          <w:p w14:paraId="24E33698" w14:textId="77777777" w:rsidR="00425B78" w:rsidRPr="008368C5" w:rsidRDefault="00425B78" w:rsidP="00425B78">
            <w:pPr>
              <w:pStyle w:val="Wykazskrotow"/>
            </w:pPr>
            <w:r>
              <w:rPr>
                <w:rFonts w:cstheme="minorHAnsi"/>
              </w:rPr>
              <w:t>r</w:t>
            </w:r>
            <w:r w:rsidRPr="005870FA">
              <w:rPr>
                <w:rFonts w:cstheme="minorHAnsi"/>
              </w:rPr>
              <w:t>ozporządzenie Ministra Rolnictwa i Rozwoju Wsi z dnia 6 maja 2021 r. w sprawie określenia gatunków zwierząt wodnych o znaczeniu gospodarczym oraz obszarów przeznaczonych do ochrony tych gatunków (Dz. U. poz. 896)</w:t>
            </w:r>
          </w:p>
        </w:tc>
      </w:tr>
      <w:tr w:rsidR="00425B78" w:rsidRPr="008368C5" w14:paraId="33018CC1" w14:textId="77777777" w:rsidTr="00425B78">
        <w:trPr>
          <w:trHeight w:val="340"/>
        </w:trPr>
        <w:tc>
          <w:tcPr>
            <w:tcW w:w="2180" w:type="dxa"/>
            <w:shd w:val="clear" w:color="auto" w:fill="auto"/>
            <w:vAlign w:val="center"/>
          </w:tcPr>
          <w:p w14:paraId="3ABAB2B7" w14:textId="77777777" w:rsidR="00425B78" w:rsidRPr="008368C5" w:rsidRDefault="00425B78" w:rsidP="00425B78">
            <w:pPr>
              <w:pStyle w:val="Wykazskrotowbold"/>
            </w:pPr>
            <w:r>
              <w:t>r.kl.jcwp</w:t>
            </w:r>
            <w:r w:rsidRPr="008368C5">
              <w:t xml:space="preserve"> </w:t>
            </w:r>
          </w:p>
        </w:tc>
        <w:tc>
          <w:tcPr>
            <w:tcW w:w="6882" w:type="dxa"/>
            <w:shd w:val="clear" w:color="auto" w:fill="auto"/>
            <w:vAlign w:val="center"/>
          </w:tcPr>
          <w:p w14:paraId="2766EF92" w14:textId="77777777" w:rsidR="00425B78" w:rsidRPr="008368C5" w:rsidRDefault="00425B78" w:rsidP="00425B78">
            <w:pPr>
              <w:pStyle w:val="Wykazskrotow"/>
              <w:rPr>
                <w:rFonts w:eastAsia="Times New Roman"/>
                <w:lang w:eastAsia="pl-PL"/>
              </w:rPr>
            </w:pPr>
            <w:r>
              <w:rPr>
                <w:rFonts w:eastAsia="Times New Roman"/>
                <w:color w:val="000000"/>
                <w:lang w:eastAsia="pl-PL"/>
              </w:rPr>
              <w:t>r</w:t>
            </w:r>
            <w:r w:rsidRPr="00687308">
              <w:rPr>
                <w:rFonts w:eastAsia="Times New Roman"/>
                <w:color w:val="000000"/>
                <w:lang w:eastAsia="pl-PL"/>
              </w:rPr>
              <w:t>ozporządzenie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 U. poz. 1475)</w:t>
            </w:r>
          </w:p>
        </w:tc>
      </w:tr>
      <w:tr w:rsidR="00425B78" w:rsidRPr="008368C5" w14:paraId="570715F4" w14:textId="77777777" w:rsidTr="00425B78">
        <w:trPr>
          <w:cantSplit/>
          <w:trHeight w:val="340"/>
        </w:trPr>
        <w:tc>
          <w:tcPr>
            <w:tcW w:w="2180" w:type="dxa"/>
            <w:shd w:val="clear" w:color="auto" w:fill="auto"/>
            <w:vAlign w:val="center"/>
          </w:tcPr>
          <w:p w14:paraId="5D81A459" w14:textId="77777777" w:rsidR="00425B78" w:rsidRPr="008368C5" w:rsidRDefault="00425B78" w:rsidP="00425B78">
            <w:pPr>
              <w:pStyle w:val="Wykazskrotowbold"/>
            </w:pPr>
            <w:r>
              <w:t>r.kl.jcwpd</w:t>
            </w:r>
          </w:p>
        </w:tc>
        <w:tc>
          <w:tcPr>
            <w:tcW w:w="6882" w:type="dxa"/>
            <w:shd w:val="clear" w:color="auto" w:fill="auto"/>
            <w:vAlign w:val="center"/>
          </w:tcPr>
          <w:p w14:paraId="518ADB2C" w14:textId="77777777" w:rsidR="00425B78" w:rsidRPr="008368C5" w:rsidRDefault="00425B78" w:rsidP="00425B78">
            <w:pPr>
              <w:pStyle w:val="Wykazskrotow"/>
            </w:pPr>
            <w:r>
              <w:rPr>
                <w:rFonts w:eastAsia="Times New Roman"/>
                <w:color w:val="000000"/>
                <w:lang w:eastAsia="pl-PL"/>
              </w:rPr>
              <w:t>r</w:t>
            </w:r>
            <w:r w:rsidRPr="00795F17">
              <w:rPr>
                <w:rFonts w:eastAsia="Times New Roman"/>
                <w:color w:val="000000"/>
                <w:lang w:eastAsia="pl-PL"/>
              </w:rPr>
              <w:t>ozporządzenie Ministra Gospodarki Morskiej i Żeglugi Śródlądowej z dnia 11 października 2019 r. w sprawie kryteriów i sposobu oceny stanu jednolitych części wód podziemnych (Dz.</w:t>
            </w:r>
            <w:r>
              <w:rPr>
                <w:rFonts w:eastAsia="Times New Roman"/>
                <w:color w:val="000000"/>
                <w:lang w:eastAsia="pl-PL"/>
              </w:rPr>
              <w:t xml:space="preserve"> </w:t>
            </w:r>
            <w:r w:rsidRPr="00795F17">
              <w:rPr>
                <w:rFonts w:eastAsia="Times New Roman"/>
                <w:color w:val="000000"/>
                <w:lang w:eastAsia="pl-PL"/>
              </w:rPr>
              <w:t>U. poz. 2148)</w:t>
            </w:r>
          </w:p>
        </w:tc>
      </w:tr>
      <w:tr w:rsidR="00425B78" w:rsidRPr="008368C5" w14:paraId="35EE70E7" w14:textId="77777777" w:rsidTr="00425B78">
        <w:trPr>
          <w:cantSplit/>
          <w:trHeight w:val="340"/>
        </w:trPr>
        <w:tc>
          <w:tcPr>
            <w:tcW w:w="2180" w:type="dxa"/>
            <w:shd w:val="clear" w:color="auto" w:fill="auto"/>
            <w:vAlign w:val="center"/>
          </w:tcPr>
          <w:p w14:paraId="45E20BDB" w14:textId="77777777" w:rsidR="00425B78" w:rsidRPr="008368C5" w:rsidRDefault="00425B78" w:rsidP="00425B78">
            <w:pPr>
              <w:pStyle w:val="Wykazskrotowbold"/>
            </w:pPr>
            <w:r w:rsidRPr="008368C5">
              <w:t>r.m.jcw</w:t>
            </w:r>
          </w:p>
        </w:tc>
        <w:tc>
          <w:tcPr>
            <w:tcW w:w="6882" w:type="dxa"/>
            <w:shd w:val="clear" w:color="auto" w:fill="auto"/>
            <w:vAlign w:val="center"/>
          </w:tcPr>
          <w:p w14:paraId="0BED9EB6" w14:textId="77777777" w:rsidR="00425B78" w:rsidRPr="008368C5" w:rsidRDefault="00425B78" w:rsidP="00425B78">
            <w:pPr>
              <w:pStyle w:val="Wykazskrotow"/>
            </w:pPr>
            <w:r>
              <w:rPr>
                <w:rFonts w:eastAsia="Times New Roman"/>
                <w:color w:val="000000"/>
                <w:lang w:eastAsia="pl-PL"/>
              </w:rPr>
              <w:t>r</w:t>
            </w:r>
            <w:r w:rsidRPr="00687308">
              <w:rPr>
                <w:rFonts w:eastAsia="Times New Roman"/>
                <w:color w:val="000000"/>
                <w:lang w:eastAsia="pl-PL"/>
              </w:rPr>
              <w:t>ozporządzenie Ministra Infrastruktury z dnia 13 lipca 2021 r. w sprawie form i sposobu prowadzenia monitoringu jednolitych części wód powierzchniowych i jednolitych części wód podziemnych (Dz. U. poz. 1576)</w:t>
            </w:r>
            <w:r w:rsidRPr="008368C5" w:rsidDel="00955AB4">
              <w:t xml:space="preserve"> </w:t>
            </w:r>
          </w:p>
        </w:tc>
      </w:tr>
      <w:tr w:rsidR="00425B78" w:rsidRPr="008368C5" w14:paraId="02A83869" w14:textId="77777777" w:rsidTr="00425B78">
        <w:trPr>
          <w:cantSplit/>
          <w:trHeight w:val="340"/>
        </w:trPr>
        <w:tc>
          <w:tcPr>
            <w:tcW w:w="2180" w:type="dxa"/>
            <w:shd w:val="clear" w:color="auto" w:fill="auto"/>
            <w:vAlign w:val="center"/>
          </w:tcPr>
          <w:p w14:paraId="176E1E05" w14:textId="77777777" w:rsidR="00425B78" w:rsidRPr="008368C5" w:rsidRDefault="00425B78" w:rsidP="00425B78">
            <w:pPr>
              <w:pStyle w:val="Wykazskrotowbold"/>
            </w:pPr>
            <w:r w:rsidRPr="008368C5">
              <w:t>r.p.g.w.</w:t>
            </w:r>
          </w:p>
        </w:tc>
        <w:tc>
          <w:tcPr>
            <w:tcW w:w="6882" w:type="dxa"/>
            <w:shd w:val="clear" w:color="auto" w:fill="auto"/>
            <w:vAlign w:val="center"/>
          </w:tcPr>
          <w:p w14:paraId="76825FF5" w14:textId="77777777" w:rsidR="00425B78" w:rsidRPr="008368C5" w:rsidRDefault="00425B78" w:rsidP="00425B78">
            <w:pPr>
              <w:pStyle w:val="Wykazskrotow"/>
            </w:pPr>
            <w:r>
              <w:rPr>
                <w:rFonts w:eastAsia="Times New Roman"/>
                <w:color w:val="000000"/>
                <w:lang w:eastAsia="pl-PL"/>
              </w:rPr>
              <w:t>r</w:t>
            </w:r>
            <w:r w:rsidRPr="00795F17">
              <w:rPr>
                <w:rFonts w:eastAsia="Times New Roman"/>
                <w:color w:val="000000"/>
                <w:lang w:eastAsia="pl-PL"/>
              </w:rPr>
              <w:t>ozporządzenie Rady Ministrów z dnia 4 października 2019 r. w sprawie szczegółowego zakresu opracowywania planów gospodarowania wodami na obszarach dorzeczy (Dz.</w:t>
            </w:r>
            <w:r>
              <w:rPr>
                <w:rFonts w:eastAsia="Times New Roman"/>
                <w:color w:val="000000"/>
                <w:lang w:eastAsia="pl-PL"/>
              </w:rPr>
              <w:t xml:space="preserve"> </w:t>
            </w:r>
            <w:r w:rsidRPr="00795F17">
              <w:rPr>
                <w:rFonts w:eastAsia="Times New Roman"/>
                <w:color w:val="000000"/>
                <w:lang w:eastAsia="pl-PL"/>
              </w:rPr>
              <w:t>U.</w:t>
            </w:r>
            <w:r>
              <w:rPr>
                <w:rFonts w:eastAsia="Times New Roman"/>
                <w:color w:val="000000"/>
                <w:lang w:eastAsia="pl-PL"/>
              </w:rPr>
              <w:t xml:space="preserve"> </w:t>
            </w:r>
            <w:r w:rsidRPr="00795F17">
              <w:rPr>
                <w:rFonts w:eastAsia="Times New Roman"/>
                <w:color w:val="000000"/>
                <w:lang w:eastAsia="pl-PL"/>
              </w:rPr>
              <w:t>poz. 2150)</w:t>
            </w:r>
          </w:p>
        </w:tc>
      </w:tr>
      <w:tr w:rsidR="00425B78" w:rsidRPr="008368C5" w14:paraId="65BDC2A7" w14:textId="77777777" w:rsidTr="00425B78">
        <w:trPr>
          <w:cantSplit/>
          <w:trHeight w:val="340"/>
        </w:trPr>
        <w:tc>
          <w:tcPr>
            <w:tcW w:w="2180" w:type="dxa"/>
            <w:shd w:val="clear" w:color="auto" w:fill="auto"/>
            <w:vAlign w:val="center"/>
          </w:tcPr>
          <w:p w14:paraId="0A88D81C" w14:textId="77777777" w:rsidR="00425B78" w:rsidRPr="00F56E19" w:rsidRDefault="00425B78" w:rsidP="00425B78">
            <w:pPr>
              <w:pStyle w:val="Wykazskrotowbold"/>
            </w:pPr>
            <w:r w:rsidRPr="00F56E19">
              <w:rPr>
                <w:rFonts w:eastAsia="Times New Roman"/>
                <w:color w:val="000000"/>
                <w:lang w:eastAsia="pl-PL"/>
              </w:rPr>
              <w:t>r.s.sz.ś.w</w:t>
            </w:r>
          </w:p>
        </w:tc>
        <w:tc>
          <w:tcPr>
            <w:tcW w:w="6882" w:type="dxa"/>
            <w:shd w:val="clear" w:color="auto" w:fill="auto"/>
            <w:vAlign w:val="center"/>
          </w:tcPr>
          <w:p w14:paraId="3ED753FC" w14:textId="77777777" w:rsidR="00425B78" w:rsidRPr="00795F17" w:rsidRDefault="00425B78" w:rsidP="00425B78">
            <w:pPr>
              <w:pStyle w:val="Wykazskrotow"/>
              <w:rPr>
                <w:rFonts w:eastAsia="Times New Roman"/>
                <w:color w:val="000000"/>
                <w:lang w:eastAsia="pl-PL"/>
              </w:rPr>
            </w:pPr>
            <w:r>
              <w:rPr>
                <w:rFonts w:eastAsia="Times New Roman"/>
                <w:color w:val="000000"/>
                <w:lang w:eastAsia="pl-PL"/>
              </w:rPr>
              <w:t>rozporządzenie w sprawie warunków, jakie należy spełnić przy wprowadzaniu ścieków do wód lub do ziemi, oraz w sprawie substancji szczególnie szkodliwych dla środowiska (Dz. U. poz. 1311)</w:t>
            </w:r>
          </w:p>
        </w:tc>
      </w:tr>
      <w:tr w:rsidR="00425B78" w:rsidRPr="008368C5" w14:paraId="50494323" w14:textId="77777777" w:rsidTr="00425B78">
        <w:trPr>
          <w:cantSplit/>
          <w:trHeight w:val="340"/>
        </w:trPr>
        <w:tc>
          <w:tcPr>
            <w:tcW w:w="2180" w:type="dxa"/>
            <w:vAlign w:val="center"/>
          </w:tcPr>
          <w:p w14:paraId="3BE1629A" w14:textId="77777777" w:rsidR="00425B78" w:rsidRPr="008368C5" w:rsidRDefault="00425B78" w:rsidP="00425B78">
            <w:pPr>
              <w:pStyle w:val="Wykazskrotowbold"/>
            </w:pPr>
            <w:r w:rsidRPr="008368C5">
              <w:t>RDOŚ</w:t>
            </w:r>
          </w:p>
        </w:tc>
        <w:tc>
          <w:tcPr>
            <w:tcW w:w="6882" w:type="dxa"/>
            <w:vAlign w:val="center"/>
          </w:tcPr>
          <w:p w14:paraId="509070EE" w14:textId="77777777" w:rsidR="00425B78" w:rsidRPr="008368C5" w:rsidRDefault="00425B78" w:rsidP="00425B78">
            <w:pPr>
              <w:pStyle w:val="Wykazskrotow"/>
            </w:pPr>
            <w:r w:rsidRPr="008368C5">
              <w:t>Regionalna Dyrekcja Ochrony Środowiska</w:t>
            </w:r>
          </w:p>
        </w:tc>
      </w:tr>
      <w:tr w:rsidR="00425B78" w:rsidRPr="008368C5" w14:paraId="5CF47140" w14:textId="77777777" w:rsidTr="00425B78">
        <w:trPr>
          <w:cantSplit/>
          <w:trHeight w:val="340"/>
        </w:trPr>
        <w:tc>
          <w:tcPr>
            <w:tcW w:w="2180" w:type="dxa"/>
            <w:vAlign w:val="center"/>
          </w:tcPr>
          <w:p w14:paraId="25A1660A" w14:textId="77777777" w:rsidR="00425B78" w:rsidRPr="008368C5" w:rsidRDefault="00425B78" w:rsidP="00425B78">
            <w:pPr>
              <w:pStyle w:val="Wykazskrotowbold"/>
            </w:pPr>
            <w:r w:rsidRPr="008368C5">
              <w:t>RDSM</w:t>
            </w:r>
          </w:p>
        </w:tc>
        <w:tc>
          <w:tcPr>
            <w:tcW w:w="6882" w:type="dxa"/>
            <w:vAlign w:val="center"/>
          </w:tcPr>
          <w:p w14:paraId="3BD45CAF" w14:textId="77777777" w:rsidR="00425B78" w:rsidRPr="008368C5" w:rsidRDefault="00425B78" w:rsidP="00425B78">
            <w:pPr>
              <w:pStyle w:val="Wykazskrotow"/>
            </w:pPr>
            <w:r>
              <w:t>d</w:t>
            </w:r>
            <w:r w:rsidRPr="008368C5">
              <w:t>yrektywa Parlamentu Europejskiego i Rady 2008/56/WE z dnia 17 czerwca 2008 r. ustanawiająca ramy działań Wspólnoty w dziedzinie polityki środowiska morskiego (</w:t>
            </w:r>
            <w:r>
              <w:t>dyrektywa ramowa</w:t>
            </w:r>
            <w:r w:rsidRPr="008368C5">
              <w:t xml:space="preserve"> w sprawie </w:t>
            </w:r>
            <w:r>
              <w:t>s</w:t>
            </w:r>
            <w:r w:rsidRPr="008368C5">
              <w:t xml:space="preserve">trategii </w:t>
            </w:r>
            <w:r>
              <w:t>m</w:t>
            </w:r>
            <w:r w:rsidRPr="008368C5">
              <w:t>orskiej)</w:t>
            </w:r>
            <w:r>
              <w:t xml:space="preserve"> (</w:t>
            </w:r>
            <w:r w:rsidRPr="00C66A5F">
              <w:t>Dz.</w:t>
            </w:r>
            <w:r>
              <w:t xml:space="preserve"> </w:t>
            </w:r>
            <w:r w:rsidRPr="00C66A5F">
              <w:t>U</w:t>
            </w:r>
            <w:r>
              <w:t>rz</w:t>
            </w:r>
            <w:r w:rsidRPr="00C66A5F">
              <w:t>.</w:t>
            </w:r>
            <w:r>
              <w:t xml:space="preserve"> </w:t>
            </w:r>
            <w:r w:rsidRPr="00C66A5F">
              <w:t>UE</w:t>
            </w:r>
            <w:r>
              <w:t xml:space="preserve"> </w:t>
            </w:r>
            <w:r w:rsidRPr="00C66A5F">
              <w:t>L</w:t>
            </w:r>
            <w:r>
              <w:t xml:space="preserve"> </w:t>
            </w:r>
            <w:r w:rsidRPr="00C66A5F">
              <w:t>164</w:t>
            </w:r>
            <w:r>
              <w:t xml:space="preserve"> z 25.06.2008 r., str. 19, z późn. zm.)</w:t>
            </w:r>
          </w:p>
        </w:tc>
      </w:tr>
      <w:tr w:rsidR="00425B78" w:rsidRPr="008368C5" w14:paraId="37855259" w14:textId="77777777" w:rsidTr="00425B78">
        <w:trPr>
          <w:cantSplit/>
          <w:trHeight w:val="340"/>
        </w:trPr>
        <w:tc>
          <w:tcPr>
            <w:tcW w:w="2180" w:type="dxa"/>
            <w:shd w:val="clear" w:color="auto" w:fill="auto"/>
            <w:vAlign w:val="center"/>
          </w:tcPr>
          <w:p w14:paraId="28A98FA0" w14:textId="77777777" w:rsidR="00425B78" w:rsidRPr="008368C5" w:rsidRDefault="00425B78" w:rsidP="00425B78">
            <w:pPr>
              <w:pStyle w:val="Wykazskrotowbold"/>
            </w:pPr>
            <w:r w:rsidRPr="008368C5">
              <w:t xml:space="preserve">RDW | Ramowa Dyrektywa Wodna </w:t>
            </w:r>
          </w:p>
        </w:tc>
        <w:tc>
          <w:tcPr>
            <w:tcW w:w="6882" w:type="dxa"/>
            <w:shd w:val="clear" w:color="auto" w:fill="auto"/>
            <w:vAlign w:val="center"/>
          </w:tcPr>
          <w:p w14:paraId="0BF7ABC5" w14:textId="77777777" w:rsidR="00425B78" w:rsidRPr="008368C5" w:rsidRDefault="00425B78" w:rsidP="00425B78">
            <w:pPr>
              <w:pStyle w:val="Wykazskrotow"/>
            </w:pPr>
            <w:r>
              <w:t>d</w:t>
            </w:r>
            <w:r w:rsidRPr="008368C5">
              <w:t>yrektywa Parlamentu Europejskiego i Rady 2000/60/WE z </w:t>
            </w:r>
            <w:r>
              <w:t xml:space="preserve">dnia </w:t>
            </w:r>
            <w:r w:rsidRPr="008368C5">
              <w:t>23 października 20</w:t>
            </w:r>
            <w:r>
              <w:t>0</w:t>
            </w:r>
            <w:r w:rsidRPr="008368C5">
              <w:t>0 r. ustanawiająca ramy wspólnotowego działania w dziedzinie polityki wodnej (Dz.</w:t>
            </w:r>
            <w:r>
              <w:t xml:space="preserve"> </w:t>
            </w:r>
            <w:r w:rsidRPr="008368C5">
              <w:t xml:space="preserve">Urz. </w:t>
            </w:r>
            <w:r>
              <w:t>W</w:t>
            </w:r>
            <w:r w:rsidRPr="008368C5">
              <w:t>E L 327</w:t>
            </w:r>
            <w:r>
              <w:t xml:space="preserve"> z</w:t>
            </w:r>
            <w:r>
              <w:rPr>
                <w:rFonts w:eastAsia="Times New Roman"/>
                <w:color w:val="000000"/>
                <w:lang w:eastAsia="pl-PL"/>
              </w:rPr>
              <w:t xml:space="preserve"> 22.12.2000 r., str. 1 – Dz. Urz. UE Polskie wydanie specjalne, rozdz. 15, t. 5, str. 275,</w:t>
            </w:r>
            <w:r>
              <w:t xml:space="preserve"> z późn. zm.</w:t>
            </w:r>
            <w:r w:rsidRPr="008368C5">
              <w:t>)</w:t>
            </w:r>
          </w:p>
        </w:tc>
      </w:tr>
      <w:tr w:rsidR="00425B78" w:rsidRPr="008368C5" w14:paraId="32F9BC68" w14:textId="77777777" w:rsidTr="00425B78">
        <w:trPr>
          <w:cantSplit/>
          <w:trHeight w:val="340"/>
        </w:trPr>
        <w:tc>
          <w:tcPr>
            <w:tcW w:w="2180" w:type="dxa"/>
            <w:shd w:val="clear" w:color="auto" w:fill="auto"/>
            <w:vAlign w:val="center"/>
          </w:tcPr>
          <w:p w14:paraId="10B4F980" w14:textId="77777777" w:rsidR="00425B78" w:rsidRPr="008368C5" w:rsidRDefault="00425B78" w:rsidP="00425B78">
            <w:pPr>
              <w:pStyle w:val="Wykazskrotowbold"/>
            </w:pPr>
            <w:r w:rsidRPr="008368C5">
              <w:t>RHS</w:t>
            </w:r>
          </w:p>
        </w:tc>
        <w:tc>
          <w:tcPr>
            <w:tcW w:w="6882" w:type="dxa"/>
            <w:shd w:val="clear" w:color="auto" w:fill="auto"/>
            <w:vAlign w:val="center"/>
          </w:tcPr>
          <w:p w14:paraId="09D45CD3" w14:textId="7AFAEC26" w:rsidR="00425B78" w:rsidRPr="008368C5" w:rsidRDefault="00861A64" w:rsidP="00425B78">
            <w:pPr>
              <w:pStyle w:val="Wykazskrotow"/>
            </w:pPr>
            <w:r>
              <w:t>m</w:t>
            </w:r>
            <w:r w:rsidRPr="008368C5">
              <w:t xml:space="preserve">etoda </w:t>
            </w:r>
            <w:r w:rsidR="00425B78" w:rsidRPr="008368C5">
              <w:t>oceny hydromorfologicznej rzek (</w:t>
            </w:r>
            <w:r w:rsidR="00425B78" w:rsidRPr="009B579A">
              <w:rPr>
                <w:i/>
                <w:iCs/>
              </w:rPr>
              <w:t>River Habitat Survey</w:t>
            </w:r>
            <w:r w:rsidR="00425B78" w:rsidRPr="008368C5">
              <w:t>)</w:t>
            </w:r>
          </w:p>
        </w:tc>
      </w:tr>
      <w:tr w:rsidR="00425B78" w:rsidRPr="008368C5" w14:paraId="66EF8594" w14:textId="77777777" w:rsidTr="00425B78">
        <w:trPr>
          <w:cantSplit/>
          <w:trHeight w:val="340"/>
        </w:trPr>
        <w:tc>
          <w:tcPr>
            <w:tcW w:w="2180" w:type="dxa"/>
            <w:shd w:val="clear" w:color="auto" w:fill="auto"/>
            <w:vAlign w:val="center"/>
          </w:tcPr>
          <w:p w14:paraId="31BDACA3" w14:textId="77777777" w:rsidR="00425B78" w:rsidRPr="008368C5" w:rsidRDefault="00425B78" w:rsidP="00425B78">
            <w:pPr>
              <w:pStyle w:val="Wykazskrotowbold"/>
            </w:pPr>
            <w:r w:rsidRPr="008368C5">
              <w:t>RK</w:t>
            </w:r>
          </w:p>
        </w:tc>
        <w:tc>
          <w:tcPr>
            <w:tcW w:w="6882" w:type="dxa"/>
            <w:shd w:val="clear" w:color="auto" w:fill="auto"/>
            <w:vAlign w:val="center"/>
          </w:tcPr>
          <w:p w14:paraId="5494AE4C" w14:textId="77777777" w:rsidR="00425B78" w:rsidRPr="008368C5" w:rsidRDefault="00425B78" w:rsidP="00425B78">
            <w:pPr>
              <w:pStyle w:val="Wykazskrotow"/>
            </w:pPr>
            <w:r>
              <w:t>j</w:t>
            </w:r>
            <w:r w:rsidRPr="008368C5">
              <w:t>ednolita część wód przeznaczona do celów rekreacyjnych, w tym kąpieliskowych</w:t>
            </w:r>
          </w:p>
        </w:tc>
      </w:tr>
      <w:tr w:rsidR="00425B78" w:rsidRPr="008368C5" w14:paraId="14F925EB" w14:textId="77777777" w:rsidTr="00425B78">
        <w:trPr>
          <w:cantSplit/>
          <w:trHeight w:val="340"/>
        </w:trPr>
        <w:tc>
          <w:tcPr>
            <w:tcW w:w="2180" w:type="dxa"/>
            <w:shd w:val="clear" w:color="auto" w:fill="auto"/>
            <w:vAlign w:val="center"/>
          </w:tcPr>
          <w:p w14:paraId="0DE47528" w14:textId="77777777" w:rsidR="00425B78" w:rsidRPr="008368C5" w:rsidRDefault="00425B78" w:rsidP="00425B78">
            <w:pPr>
              <w:pStyle w:val="Wykazskrotowbold"/>
            </w:pPr>
            <w:r w:rsidRPr="00795F17">
              <w:rPr>
                <w:rFonts w:eastAsia="Times New Roman"/>
                <w:color w:val="000000"/>
                <w:lang w:eastAsia="pl-PL"/>
              </w:rPr>
              <w:t>RZGW WP</w:t>
            </w:r>
          </w:p>
        </w:tc>
        <w:tc>
          <w:tcPr>
            <w:tcW w:w="6882" w:type="dxa"/>
            <w:shd w:val="clear" w:color="auto" w:fill="auto"/>
            <w:vAlign w:val="center"/>
          </w:tcPr>
          <w:p w14:paraId="106F32B6" w14:textId="6D32465E" w:rsidR="00425B78" w:rsidRPr="008368C5" w:rsidRDefault="00ED014E" w:rsidP="00425B78">
            <w:pPr>
              <w:pStyle w:val="Wykazskrotow"/>
            </w:pPr>
            <w:r>
              <w:rPr>
                <w:rFonts w:eastAsia="Times New Roman"/>
                <w:color w:val="000000"/>
                <w:lang w:eastAsia="pl-PL"/>
              </w:rPr>
              <w:t>R</w:t>
            </w:r>
            <w:r w:rsidRPr="00795F17">
              <w:rPr>
                <w:rFonts w:eastAsia="Times New Roman"/>
                <w:color w:val="000000"/>
                <w:lang w:eastAsia="pl-PL"/>
              </w:rPr>
              <w:t xml:space="preserve">egionalny </w:t>
            </w:r>
            <w:r w:rsidR="00425B78">
              <w:rPr>
                <w:rFonts w:eastAsia="Times New Roman"/>
                <w:color w:val="000000"/>
                <w:lang w:eastAsia="pl-PL"/>
              </w:rPr>
              <w:t>z</w:t>
            </w:r>
            <w:r w:rsidR="00425B78" w:rsidRPr="00795F17">
              <w:rPr>
                <w:rFonts w:eastAsia="Times New Roman"/>
                <w:color w:val="000000"/>
                <w:lang w:eastAsia="pl-PL"/>
              </w:rPr>
              <w:t xml:space="preserve">arząd </w:t>
            </w:r>
            <w:r w:rsidR="00425B78">
              <w:rPr>
                <w:rFonts w:eastAsia="Times New Roman"/>
                <w:color w:val="000000"/>
                <w:lang w:eastAsia="pl-PL"/>
              </w:rPr>
              <w:t>g</w:t>
            </w:r>
            <w:r w:rsidR="00425B78" w:rsidRPr="00795F17">
              <w:rPr>
                <w:rFonts w:eastAsia="Times New Roman"/>
                <w:color w:val="000000"/>
                <w:lang w:eastAsia="pl-PL"/>
              </w:rPr>
              <w:t xml:space="preserve">ospodarki </w:t>
            </w:r>
            <w:r w:rsidR="00425B78">
              <w:rPr>
                <w:rFonts w:eastAsia="Times New Roman"/>
                <w:color w:val="000000"/>
                <w:lang w:eastAsia="pl-PL"/>
              </w:rPr>
              <w:t>w</w:t>
            </w:r>
            <w:r w:rsidR="00425B78" w:rsidRPr="00795F17">
              <w:rPr>
                <w:rFonts w:eastAsia="Times New Roman"/>
                <w:color w:val="000000"/>
                <w:lang w:eastAsia="pl-PL"/>
              </w:rPr>
              <w:t>odnej</w:t>
            </w:r>
            <w:r w:rsidR="00425B78">
              <w:rPr>
                <w:rFonts w:eastAsia="Times New Roman"/>
                <w:color w:val="000000"/>
                <w:lang w:eastAsia="pl-PL"/>
              </w:rPr>
              <w:t xml:space="preserve"> Państwowego Gospodarstwa Wodnego </w:t>
            </w:r>
            <w:r w:rsidR="00425B78" w:rsidRPr="00795F17">
              <w:rPr>
                <w:rFonts w:eastAsia="Times New Roman"/>
                <w:color w:val="000000"/>
                <w:lang w:eastAsia="pl-PL"/>
              </w:rPr>
              <w:t>Wody Polskie</w:t>
            </w:r>
          </w:p>
        </w:tc>
      </w:tr>
      <w:tr w:rsidR="00425B78" w:rsidRPr="008368C5" w14:paraId="3F5F63DB" w14:textId="77777777" w:rsidTr="00425B78">
        <w:trPr>
          <w:cantSplit/>
          <w:trHeight w:val="340"/>
        </w:trPr>
        <w:tc>
          <w:tcPr>
            <w:tcW w:w="2180" w:type="dxa"/>
            <w:shd w:val="clear" w:color="auto" w:fill="auto"/>
            <w:vAlign w:val="center"/>
          </w:tcPr>
          <w:p w14:paraId="35306BE2" w14:textId="77777777" w:rsidR="00425B78" w:rsidRPr="008368C5" w:rsidRDefault="00425B78" w:rsidP="00425B78">
            <w:pPr>
              <w:pStyle w:val="Wykazskrotowbold"/>
            </w:pPr>
            <w:r w:rsidRPr="008368C5">
              <w:t>s.pr.w.</w:t>
            </w:r>
          </w:p>
        </w:tc>
        <w:tc>
          <w:tcPr>
            <w:tcW w:w="6882" w:type="dxa"/>
            <w:shd w:val="clear" w:color="auto" w:fill="auto"/>
            <w:vAlign w:val="center"/>
          </w:tcPr>
          <w:p w14:paraId="1DA789D5" w14:textId="77777777" w:rsidR="00425B78" w:rsidRPr="008368C5" w:rsidRDefault="00425B78" w:rsidP="00425B78">
            <w:pPr>
              <w:pStyle w:val="Wykazskrotow"/>
            </w:pPr>
            <w:r>
              <w:rPr>
                <w:rFonts w:eastAsia="Times New Roman"/>
                <w:color w:val="000000"/>
                <w:lang w:eastAsia="pl-PL"/>
              </w:rPr>
              <w:t>u</w:t>
            </w:r>
            <w:r w:rsidRPr="00795F17">
              <w:rPr>
                <w:rFonts w:eastAsia="Times New Roman"/>
                <w:color w:val="000000"/>
                <w:lang w:eastAsia="pl-PL"/>
              </w:rPr>
              <w:t xml:space="preserve">stawa z dnia 18 lipca 2001 r. </w:t>
            </w:r>
            <w:r>
              <w:rPr>
                <w:rFonts w:eastAsia="Times New Roman"/>
                <w:color w:val="000000"/>
                <w:lang w:eastAsia="pl-PL"/>
              </w:rPr>
              <w:t>–</w:t>
            </w:r>
            <w:r w:rsidRPr="00795F17">
              <w:rPr>
                <w:rFonts w:eastAsia="Times New Roman"/>
                <w:color w:val="000000"/>
                <w:lang w:eastAsia="pl-PL"/>
              </w:rPr>
              <w:t xml:space="preserve"> Prawo wodne (Dz.U. z 2017 r. poz. 1121)</w:t>
            </w:r>
            <w:r>
              <w:rPr>
                <w:rFonts w:eastAsia="Times New Roman"/>
                <w:color w:val="000000"/>
                <w:lang w:eastAsia="pl-PL"/>
              </w:rPr>
              <w:t>, a</w:t>
            </w:r>
            <w:r w:rsidRPr="00795F17">
              <w:rPr>
                <w:rFonts w:eastAsia="Times New Roman"/>
                <w:color w:val="000000"/>
                <w:lang w:eastAsia="pl-PL"/>
              </w:rPr>
              <w:t>kt uchylony</w:t>
            </w:r>
          </w:p>
        </w:tc>
      </w:tr>
      <w:tr w:rsidR="00425B78" w:rsidRPr="008368C5" w14:paraId="2A8E46E1" w14:textId="77777777" w:rsidTr="00425B78">
        <w:trPr>
          <w:cantSplit/>
          <w:trHeight w:val="340"/>
        </w:trPr>
        <w:tc>
          <w:tcPr>
            <w:tcW w:w="2180" w:type="dxa"/>
            <w:shd w:val="clear" w:color="auto" w:fill="auto"/>
            <w:vAlign w:val="center"/>
          </w:tcPr>
          <w:p w14:paraId="49869A3B" w14:textId="77777777" w:rsidR="00425B78" w:rsidRPr="008368C5" w:rsidRDefault="00425B78" w:rsidP="00425B78">
            <w:pPr>
              <w:pStyle w:val="Wykazskrotowbold"/>
            </w:pPr>
            <w:r w:rsidRPr="008368C5">
              <w:t>s.</w:t>
            </w:r>
            <w:r>
              <w:t>r.kl.jcwp</w:t>
            </w:r>
            <w:r w:rsidRPr="008368C5">
              <w:t xml:space="preserve"> (2009)</w:t>
            </w:r>
          </w:p>
        </w:tc>
        <w:tc>
          <w:tcPr>
            <w:tcW w:w="6882" w:type="dxa"/>
            <w:shd w:val="clear" w:color="auto" w:fill="auto"/>
            <w:vAlign w:val="center"/>
          </w:tcPr>
          <w:p w14:paraId="4BD7A2D3" w14:textId="77777777" w:rsidR="00425B78" w:rsidRPr="008368C5" w:rsidRDefault="00425B78" w:rsidP="00425B78">
            <w:pPr>
              <w:pStyle w:val="Wykazskrotow"/>
            </w:pPr>
            <w:r>
              <w:rPr>
                <w:rFonts w:eastAsia="Times New Roman"/>
                <w:color w:val="000000"/>
                <w:lang w:eastAsia="pl-PL"/>
              </w:rPr>
              <w:t>r</w:t>
            </w:r>
            <w:r w:rsidRPr="00795F17">
              <w:rPr>
                <w:rFonts w:eastAsia="Times New Roman"/>
                <w:color w:val="000000"/>
                <w:lang w:eastAsia="pl-PL"/>
              </w:rPr>
              <w:t>ozporządzenie Ministra Środowiska z dnia 20 sierpnia 2008 r. w sprawie sposobu klasyfikacji stanu jednolitych części wód powierzchniowych (Dz.U. z 2008 r. poz. 1008)</w:t>
            </w:r>
            <w:r>
              <w:rPr>
                <w:rFonts w:eastAsia="Times New Roman"/>
                <w:color w:val="000000"/>
                <w:lang w:eastAsia="pl-PL"/>
              </w:rPr>
              <w:t>, a</w:t>
            </w:r>
            <w:r w:rsidRPr="00795F17">
              <w:rPr>
                <w:rFonts w:eastAsia="Times New Roman"/>
                <w:color w:val="000000"/>
                <w:lang w:eastAsia="pl-PL"/>
              </w:rPr>
              <w:t>kt uchylony</w:t>
            </w:r>
          </w:p>
        </w:tc>
      </w:tr>
      <w:tr w:rsidR="00425B78" w:rsidRPr="008368C5" w14:paraId="420CB8A2" w14:textId="77777777" w:rsidTr="00425B78">
        <w:trPr>
          <w:cantSplit/>
          <w:trHeight w:val="340"/>
        </w:trPr>
        <w:tc>
          <w:tcPr>
            <w:tcW w:w="2180" w:type="dxa"/>
            <w:shd w:val="clear" w:color="auto" w:fill="auto"/>
            <w:vAlign w:val="center"/>
          </w:tcPr>
          <w:p w14:paraId="2F41F17E" w14:textId="77777777" w:rsidR="00425B78" w:rsidRPr="008368C5" w:rsidRDefault="00425B78" w:rsidP="00425B78">
            <w:pPr>
              <w:pStyle w:val="Wykazskrotowbold"/>
            </w:pPr>
            <w:r w:rsidRPr="00795F17">
              <w:rPr>
                <w:rFonts w:eastAsia="Times New Roman"/>
                <w:color w:val="000000"/>
                <w:lang w:eastAsia="pl-PL"/>
              </w:rPr>
              <w:t>s.</w:t>
            </w:r>
            <w:r>
              <w:rPr>
                <w:rFonts w:eastAsia="Times New Roman"/>
                <w:color w:val="000000"/>
                <w:lang w:eastAsia="pl-PL"/>
              </w:rPr>
              <w:t>r.kl.jcwp</w:t>
            </w:r>
            <w:r w:rsidRPr="00795F17">
              <w:rPr>
                <w:rFonts w:eastAsia="Times New Roman"/>
                <w:color w:val="000000"/>
                <w:lang w:eastAsia="pl-PL"/>
              </w:rPr>
              <w:t xml:space="preserve"> (2011)</w:t>
            </w:r>
          </w:p>
        </w:tc>
        <w:tc>
          <w:tcPr>
            <w:tcW w:w="6882" w:type="dxa"/>
            <w:shd w:val="clear" w:color="auto" w:fill="auto"/>
            <w:vAlign w:val="center"/>
          </w:tcPr>
          <w:p w14:paraId="0FDA3AC1" w14:textId="77777777" w:rsidR="00425B78" w:rsidRPr="008368C5" w:rsidRDefault="00425B78" w:rsidP="00425B78">
            <w:pPr>
              <w:pStyle w:val="Wykazskrotow"/>
            </w:pPr>
            <w:r>
              <w:rPr>
                <w:rFonts w:eastAsia="Times New Roman"/>
                <w:color w:val="000000"/>
                <w:lang w:eastAsia="pl-PL"/>
              </w:rPr>
              <w:t>r</w:t>
            </w:r>
            <w:r w:rsidRPr="00795F17">
              <w:rPr>
                <w:rFonts w:eastAsia="Times New Roman"/>
                <w:color w:val="000000"/>
                <w:lang w:eastAsia="pl-PL"/>
              </w:rPr>
              <w:t>ozporządzenie Ministra Środowiska</w:t>
            </w:r>
            <w:r>
              <w:rPr>
                <w:rFonts w:eastAsia="Times New Roman"/>
                <w:color w:val="000000"/>
                <w:lang w:eastAsia="pl-PL"/>
              </w:rPr>
              <w:t xml:space="preserve"> </w:t>
            </w:r>
            <w:r w:rsidRPr="00795F17">
              <w:rPr>
                <w:rFonts w:eastAsia="Times New Roman"/>
                <w:color w:val="000000"/>
                <w:lang w:eastAsia="pl-PL"/>
              </w:rPr>
              <w:t>z dnia 9 listopada 2011 r. w sprawie sposobu klasyfikacji stanu jednolitych części wód powierzchniowych oraz środowiskowych norm jakości dla substancji priorytetowych (Dz.</w:t>
            </w:r>
            <w:r>
              <w:rPr>
                <w:rFonts w:eastAsia="Times New Roman"/>
                <w:color w:val="000000"/>
                <w:lang w:eastAsia="pl-PL"/>
              </w:rPr>
              <w:t xml:space="preserve"> </w:t>
            </w:r>
            <w:r w:rsidRPr="00795F17">
              <w:rPr>
                <w:rFonts w:eastAsia="Times New Roman"/>
                <w:color w:val="000000"/>
                <w:lang w:eastAsia="pl-PL"/>
              </w:rPr>
              <w:t>U. z 2011 r. poz. 1545)</w:t>
            </w:r>
            <w:r>
              <w:rPr>
                <w:rFonts w:eastAsia="Times New Roman"/>
                <w:color w:val="000000"/>
                <w:lang w:eastAsia="pl-PL"/>
              </w:rPr>
              <w:t>, a</w:t>
            </w:r>
            <w:r w:rsidRPr="00795F17">
              <w:rPr>
                <w:rFonts w:eastAsia="Times New Roman"/>
                <w:color w:val="000000"/>
                <w:lang w:eastAsia="pl-PL"/>
              </w:rPr>
              <w:t>kt uchylony</w:t>
            </w:r>
          </w:p>
        </w:tc>
      </w:tr>
      <w:tr w:rsidR="00425B78" w:rsidRPr="008368C5" w14:paraId="34A51EAF" w14:textId="77777777" w:rsidTr="00425B78">
        <w:trPr>
          <w:cantSplit/>
          <w:trHeight w:val="340"/>
        </w:trPr>
        <w:tc>
          <w:tcPr>
            <w:tcW w:w="2180" w:type="dxa"/>
            <w:shd w:val="clear" w:color="auto" w:fill="auto"/>
            <w:vAlign w:val="center"/>
          </w:tcPr>
          <w:p w14:paraId="7D13F35E" w14:textId="77777777" w:rsidR="00425B78" w:rsidRPr="008368C5" w:rsidRDefault="00425B78" w:rsidP="00425B78">
            <w:pPr>
              <w:pStyle w:val="Wykazskrotowbold"/>
            </w:pPr>
            <w:r w:rsidRPr="00795F17">
              <w:rPr>
                <w:rFonts w:eastAsia="Times New Roman"/>
                <w:color w:val="000000"/>
                <w:lang w:eastAsia="pl-PL"/>
              </w:rPr>
              <w:t>s.</w:t>
            </w:r>
            <w:r>
              <w:rPr>
                <w:rFonts w:eastAsia="Times New Roman"/>
                <w:color w:val="000000"/>
                <w:lang w:eastAsia="pl-PL"/>
              </w:rPr>
              <w:t>r.kl.jcwp</w:t>
            </w:r>
            <w:r w:rsidRPr="00795F17">
              <w:rPr>
                <w:rFonts w:eastAsia="Times New Roman"/>
                <w:color w:val="000000"/>
                <w:lang w:eastAsia="pl-PL"/>
              </w:rPr>
              <w:t xml:space="preserve"> (2014)</w:t>
            </w:r>
          </w:p>
        </w:tc>
        <w:tc>
          <w:tcPr>
            <w:tcW w:w="6882" w:type="dxa"/>
            <w:shd w:val="clear" w:color="auto" w:fill="auto"/>
            <w:vAlign w:val="center"/>
          </w:tcPr>
          <w:p w14:paraId="016C5929" w14:textId="77777777" w:rsidR="00425B78" w:rsidRPr="008368C5" w:rsidRDefault="00425B78" w:rsidP="00425B78">
            <w:pPr>
              <w:pStyle w:val="Wykazskrotow"/>
            </w:pPr>
            <w:r>
              <w:rPr>
                <w:rFonts w:eastAsia="Times New Roman"/>
                <w:color w:val="000000"/>
                <w:lang w:eastAsia="pl-PL"/>
              </w:rPr>
              <w:t>r</w:t>
            </w:r>
            <w:r w:rsidRPr="00795F17">
              <w:rPr>
                <w:rFonts w:eastAsia="Times New Roman"/>
                <w:color w:val="000000"/>
                <w:lang w:eastAsia="pl-PL"/>
              </w:rPr>
              <w:t>ozporządzenie Ministra Środowiska z dnia 22 października 2014 r. w sprawie sposobu klasyfikacji stanu jednolitych części wód powierzchniowych oraz środowiskowych norm jakości dla substancji priorytetowych (Dz.</w:t>
            </w:r>
            <w:r>
              <w:rPr>
                <w:rFonts w:eastAsia="Times New Roman"/>
                <w:color w:val="000000"/>
                <w:lang w:eastAsia="pl-PL"/>
              </w:rPr>
              <w:t xml:space="preserve"> </w:t>
            </w:r>
            <w:r w:rsidRPr="00795F17">
              <w:rPr>
                <w:rFonts w:eastAsia="Times New Roman"/>
                <w:color w:val="000000"/>
                <w:lang w:eastAsia="pl-PL"/>
              </w:rPr>
              <w:t>U. poz. 1482)</w:t>
            </w:r>
            <w:r>
              <w:rPr>
                <w:rFonts w:eastAsia="Times New Roman"/>
                <w:color w:val="000000"/>
                <w:lang w:eastAsia="pl-PL"/>
              </w:rPr>
              <w:t>, a</w:t>
            </w:r>
            <w:r w:rsidRPr="00795F17">
              <w:rPr>
                <w:rFonts w:eastAsia="Times New Roman"/>
                <w:color w:val="000000"/>
                <w:lang w:eastAsia="pl-PL"/>
              </w:rPr>
              <w:t>kt uchylony</w:t>
            </w:r>
          </w:p>
        </w:tc>
      </w:tr>
      <w:tr w:rsidR="00425B78" w:rsidRPr="008368C5" w14:paraId="3D722AE6" w14:textId="77777777" w:rsidTr="00425B78">
        <w:trPr>
          <w:cantSplit/>
          <w:trHeight w:val="340"/>
        </w:trPr>
        <w:tc>
          <w:tcPr>
            <w:tcW w:w="2180" w:type="dxa"/>
            <w:shd w:val="clear" w:color="auto" w:fill="auto"/>
            <w:vAlign w:val="center"/>
          </w:tcPr>
          <w:p w14:paraId="3D970088" w14:textId="77777777" w:rsidR="00425B78" w:rsidRPr="008368C5" w:rsidRDefault="00425B78" w:rsidP="00425B78">
            <w:pPr>
              <w:pStyle w:val="Wykazskrotowbold"/>
            </w:pPr>
            <w:r w:rsidRPr="008368C5">
              <w:t>s.</w:t>
            </w:r>
            <w:r>
              <w:t>r.kl.jcwp</w:t>
            </w:r>
            <w:r w:rsidRPr="008368C5">
              <w:t xml:space="preserve"> (2016)</w:t>
            </w:r>
          </w:p>
        </w:tc>
        <w:tc>
          <w:tcPr>
            <w:tcW w:w="6882" w:type="dxa"/>
            <w:shd w:val="clear" w:color="auto" w:fill="auto"/>
            <w:vAlign w:val="center"/>
          </w:tcPr>
          <w:p w14:paraId="64FC4865" w14:textId="77777777" w:rsidR="00425B78" w:rsidRPr="008368C5" w:rsidRDefault="00425B78" w:rsidP="00425B78">
            <w:pPr>
              <w:pStyle w:val="Wykazskrotow"/>
            </w:pPr>
            <w:r>
              <w:rPr>
                <w:rFonts w:eastAsia="Times New Roman"/>
                <w:color w:val="000000"/>
                <w:lang w:eastAsia="pl-PL"/>
              </w:rPr>
              <w:t>r</w:t>
            </w:r>
            <w:r w:rsidRPr="00795F17">
              <w:rPr>
                <w:rFonts w:eastAsia="Times New Roman"/>
                <w:color w:val="000000"/>
                <w:lang w:eastAsia="pl-PL"/>
              </w:rPr>
              <w:t>ozporządzenie Ministra Środowiska z dnia 21 lipca 2016 r. w sprawie sposobu klasyfikacji stanu jednolitych części wód powierzchniowych oraz środowiskowych norm jakości dla substancji priorytetowych (Dz.</w:t>
            </w:r>
            <w:r>
              <w:rPr>
                <w:rFonts w:eastAsia="Times New Roman"/>
                <w:color w:val="000000"/>
                <w:lang w:eastAsia="pl-PL"/>
              </w:rPr>
              <w:t xml:space="preserve"> </w:t>
            </w:r>
            <w:r w:rsidRPr="00795F17">
              <w:rPr>
                <w:rFonts w:eastAsia="Times New Roman"/>
                <w:color w:val="000000"/>
                <w:lang w:eastAsia="pl-PL"/>
              </w:rPr>
              <w:t>U. poz. 1187)</w:t>
            </w:r>
            <w:r>
              <w:rPr>
                <w:rFonts w:eastAsia="Times New Roman"/>
                <w:color w:val="000000"/>
                <w:lang w:eastAsia="pl-PL"/>
              </w:rPr>
              <w:t>, a</w:t>
            </w:r>
            <w:r w:rsidRPr="00795F17">
              <w:rPr>
                <w:rFonts w:eastAsia="Times New Roman"/>
                <w:color w:val="000000"/>
                <w:lang w:eastAsia="pl-PL"/>
              </w:rPr>
              <w:t>kt uchylony</w:t>
            </w:r>
          </w:p>
        </w:tc>
      </w:tr>
      <w:tr w:rsidR="00425B78" w:rsidRPr="008368C5" w14:paraId="4A60D37E" w14:textId="77777777" w:rsidTr="00425B78">
        <w:trPr>
          <w:cantSplit/>
          <w:trHeight w:val="340"/>
        </w:trPr>
        <w:tc>
          <w:tcPr>
            <w:tcW w:w="2180" w:type="dxa"/>
            <w:shd w:val="clear" w:color="auto" w:fill="auto"/>
            <w:vAlign w:val="center"/>
          </w:tcPr>
          <w:p w14:paraId="5FE49C15" w14:textId="77777777" w:rsidR="00425B78" w:rsidRPr="008368C5" w:rsidRDefault="00425B78" w:rsidP="00425B78">
            <w:pPr>
              <w:pStyle w:val="Wykazskrotowbold"/>
            </w:pPr>
            <w:r>
              <w:t>s.r.kl.jcwp (2019)</w:t>
            </w:r>
          </w:p>
        </w:tc>
        <w:tc>
          <w:tcPr>
            <w:tcW w:w="6882" w:type="dxa"/>
            <w:shd w:val="clear" w:color="auto" w:fill="auto"/>
            <w:vAlign w:val="center"/>
          </w:tcPr>
          <w:p w14:paraId="6044CC5C" w14:textId="77777777" w:rsidR="00425B78" w:rsidRPr="00795F17" w:rsidRDefault="00425B78" w:rsidP="00425B78">
            <w:pPr>
              <w:pStyle w:val="Wykazskrotow"/>
              <w:rPr>
                <w:rFonts w:eastAsia="Times New Roman"/>
                <w:color w:val="000000"/>
                <w:lang w:eastAsia="pl-PL"/>
              </w:rPr>
            </w:pPr>
            <w:r>
              <w:t>r</w:t>
            </w:r>
            <w:r w:rsidRPr="008368C5">
              <w:t>ozporządzenie 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 (Dz.</w:t>
            </w:r>
            <w:r>
              <w:t xml:space="preserve"> </w:t>
            </w:r>
            <w:r w:rsidRPr="008368C5">
              <w:t>U. poz. 2149)</w:t>
            </w:r>
            <w:r>
              <w:t>, akt uchylony</w:t>
            </w:r>
          </w:p>
        </w:tc>
      </w:tr>
      <w:tr w:rsidR="00425B78" w:rsidRPr="008368C5" w14:paraId="2232E6BC" w14:textId="77777777" w:rsidTr="00425B78">
        <w:trPr>
          <w:cantSplit/>
          <w:trHeight w:val="340"/>
        </w:trPr>
        <w:tc>
          <w:tcPr>
            <w:tcW w:w="2180" w:type="dxa"/>
            <w:shd w:val="clear" w:color="auto" w:fill="auto"/>
            <w:vAlign w:val="center"/>
          </w:tcPr>
          <w:p w14:paraId="7F9E5C17" w14:textId="77777777" w:rsidR="00425B78" w:rsidRPr="008368C5" w:rsidRDefault="00425B78" w:rsidP="00425B78">
            <w:pPr>
              <w:pStyle w:val="Wykazskrotowbold"/>
            </w:pPr>
            <w:r w:rsidRPr="008368C5">
              <w:t>s.r.kl.s.e.p. (2009)</w:t>
            </w:r>
          </w:p>
        </w:tc>
        <w:tc>
          <w:tcPr>
            <w:tcW w:w="6882" w:type="dxa"/>
            <w:shd w:val="clear" w:color="auto" w:fill="auto"/>
            <w:vAlign w:val="center"/>
          </w:tcPr>
          <w:p w14:paraId="793FDDF5" w14:textId="77777777" w:rsidR="00425B78" w:rsidRPr="008368C5" w:rsidRDefault="00425B78" w:rsidP="00425B78">
            <w:pPr>
              <w:pStyle w:val="Wykazskrotow"/>
            </w:pPr>
            <w:r>
              <w:rPr>
                <w:rFonts w:eastAsia="Times New Roman"/>
                <w:color w:val="000000"/>
                <w:lang w:eastAsia="pl-PL"/>
              </w:rPr>
              <w:t>r</w:t>
            </w:r>
            <w:r w:rsidRPr="00795F17">
              <w:rPr>
                <w:rFonts w:eastAsia="Times New Roman"/>
                <w:color w:val="000000"/>
                <w:lang w:eastAsia="pl-PL"/>
              </w:rPr>
              <w:t>ozporządzenie Ministra Środowiska z dnia 22 lipca 2009 r. w sprawie klasyfikacji stanu ekologicznego, potencjału ekologicznego i stanu chemicznego jednolitych części wód powierzchniowych (Dz.</w:t>
            </w:r>
            <w:r>
              <w:rPr>
                <w:rFonts w:eastAsia="Times New Roman"/>
                <w:color w:val="000000"/>
                <w:lang w:eastAsia="pl-PL"/>
              </w:rPr>
              <w:t xml:space="preserve"> </w:t>
            </w:r>
            <w:r w:rsidRPr="00795F17">
              <w:rPr>
                <w:rFonts w:eastAsia="Times New Roman"/>
                <w:color w:val="000000"/>
                <w:lang w:eastAsia="pl-PL"/>
              </w:rPr>
              <w:t>U. poz. 1018)</w:t>
            </w:r>
            <w:r>
              <w:rPr>
                <w:rFonts w:eastAsia="Times New Roman"/>
                <w:color w:val="000000"/>
                <w:lang w:eastAsia="pl-PL"/>
              </w:rPr>
              <w:t>, a</w:t>
            </w:r>
            <w:r w:rsidRPr="00795F17">
              <w:rPr>
                <w:rFonts w:eastAsia="Times New Roman"/>
                <w:color w:val="000000"/>
                <w:lang w:eastAsia="pl-PL"/>
              </w:rPr>
              <w:t>kt uchylony</w:t>
            </w:r>
          </w:p>
        </w:tc>
      </w:tr>
      <w:tr w:rsidR="00425B78" w:rsidRPr="008368C5" w14:paraId="0DF08997" w14:textId="77777777" w:rsidTr="00425B78">
        <w:trPr>
          <w:cantSplit/>
          <w:trHeight w:val="340"/>
        </w:trPr>
        <w:tc>
          <w:tcPr>
            <w:tcW w:w="2180" w:type="dxa"/>
            <w:shd w:val="clear" w:color="auto" w:fill="auto"/>
            <w:vAlign w:val="center"/>
          </w:tcPr>
          <w:p w14:paraId="15CA6EF9" w14:textId="77777777" w:rsidR="00425B78" w:rsidRPr="008368C5" w:rsidRDefault="00425B78" w:rsidP="00425B78">
            <w:pPr>
              <w:pStyle w:val="Wykazskrotowbold"/>
            </w:pPr>
            <w:r w:rsidRPr="008368C5">
              <w:t>s.r.kl.s.e.p. (2011)</w:t>
            </w:r>
          </w:p>
        </w:tc>
        <w:tc>
          <w:tcPr>
            <w:tcW w:w="6882" w:type="dxa"/>
            <w:shd w:val="clear" w:color="auto" w:fill="auto"/>
            <w:vAlign w:val="center"/>
          </w:tcPr>
          <w:p w14:paraId="12101489" w14:textId="77777777" w:rsidR="00425B78" w:rsidRPr="008368C5" w:rsidRDefault="00425B78" w:rsidP="00425B78">
            <w:pPr>
              <w:pStyle w:val="Wykazskrotow"/>
            </w:pPr>
            <w:r>
              <w:rPr>
                <w:rFonts w:eastAsia="Times New Roman"/>
                <w:color w:val="000000"/>
                <w:lang w:eastAsia="pl-PL"/>
              </w:rPr>
              <w:t>r</w:t>
            </w:r>
            <w:r w:rsidRPr="00795F17">
              <w:rPr>
                <w:rFonts w:eastAsia="Times New Roman"/>
                <w:color w:val="000000"/>
                <w:lang w:eastAsia="pl-PL"/>
              </w:rPr>
              <w:t>ozporządzenie Ministra Środowiska z </w:t>
            </w:r>
            <w:r>
              <w:rPr>
                <w:rFonts w:eastAsia="Times New Roman"/>
                <w:color w:val="000000"/>
                <w:lang w:eastAsia="pl-PL"/>
              </w:rPr>
              <w:t xml:space="preserve">dnia </w:t>
            </w:r>
            <w:r w:rsidRPr="00795F17">
              <w:rPr>
                <w:rFonts w:eastAsia="Times New Roman"/>
                <w:color w:val="000000"/>
                <w:lang w:eastAsia="pl-PL"/>
              </w:rPr>
              <w:t>9 listopada 2011 r. w sprawie klasyfikacji stanu ekologicznego, potencjału ekologicznego i stanu chemicznego jednolitych części wód powierzchniowych (Dz.</w:t>
            </w:r>
            <w:r>
              <w:rPr>
                <w:rFonts w:eastAsia="Times New Roman"/>
                <w:color w:val="000000"/>
                <w:lang w:eastAsia="pl-PL"/>
              </w:rPr>
              <w:t xml:space="preserve"> </w:t>
            </w:r>
            <w:r w:rsidRPr="00795F17">
              <w:rPr>
                <w:rFonts w:eastAsia="Times New Roman"/>
                <w:color w:val="000000"/>
                <w:lang w:eastAsia="pl-PL"/>
              </w:rPr>
              <w:t>U. poz. 1549)</w:t>
            </w:r>
            <w:r>
              <w:rPr>
                <w:rFonts w:eastAsia="Times New Roman"/>
                <w:color w:val="000000"/>
                <w:lang w:eastAsia="pl-PL"/>
              </w:rPr>
              <w:t>, a</w:t>
            </w:r>
            <w:r w:rsidRPr="00795F17">
              <w:rPr>
                <w:rFonts w:eastAsia="Times New Roman"/>
                <w:color w:val="000000"/>
                <w:lang w:eastAsia="pl-PL"/>
              </w:rPr>
              <w:t>kt uchylony</w:t>
            </w:r>
          </w:p>
        </w:tc>
      </w:tr>
      <w:tr w:rsidR="00425B78" w:rsidRPr="008368C5" w14:paraId="1B592BD1" w14:textId="77777777" w:rsidTr="00425B78">
        <w:trPr>
          <w:cantSplit/>
          <w:trHeight w:val="340"/>
        </w:trPr>
        <w:tc>
          <w:tcPr>
            <w:tcW w:w="2180" w:type="dxa"/>
            <w:shd w:val="clear" w:color="auto" w:fill="auto"/>
            <w:vAlign w:val="center"/>
          </w:tcPr>
          <w:p w14:paraId="5FDB13B6" w14:textId="77777777" w:rsidR="00425B78" w:rsidRPr="008368C5" w:rsidRDefault="00425B78" w:rsidP="00425B78">
            <w:pPr>
              <w:pStyle w:val="Wykazskrotowbold"/>
            </w:pPr>
            <w:r w:rsidRPr="008368C5">
              <w:t>s.r.m. (2009)</w:t>
            </w:r>
          </w:p>
        </w:tc>
        <w:tc>
          <w:tcPr>
            <w:tcW w:w="6882" w:type="dxa"/>
            <w:shd w:val="clear" w:color="auto" w:fill="auto"/>
            <w:vAlign w:val="center"/>
          </w:tcPr>
          <w:p w14:paraId="72900D3F" w14:textId="77777777" w:rsidR="00425B78" w:rsidRPr="008368C5" w:rsidRDefault="00425B78" w:rsidP="00425B78">
            <w:pPr>
              <w:pStyle w:val="Wykazskrotow"/>
            </w:pPr>
            <w:r>
              <w:rPr>
                <w:rFonts w:eastAsia="Times New Roman"/>
                <w:color w:val="000000"/>
                <w:lang w:eastAsia="pl-PL"/>
              </w:rPr>
              <w:t>r</w:t>
            </w:r>
            <w:r w:rsidRPr="00795F17">
              <w:rPr>
                <w:rFonts w:eastAsia="Times New Roman"/>
                <w:color w:val="000000"/>
                <w:lang w:eastAsia="pl-PL"/>
              </w:rPr>
              <w:t>ozporządzenie Ministra Środowiska z dnia 13 maja 2009 r. w sprawie form i sposobu prowadzenia monitoringu jednolitych części wód powierzchniowych i podziemnych (Dz.</w:t>
            </w:r>
            <w:r>
              <w:rPr>
                <w:rFonts w:eastAsia="Times New Roman"/>
                <w:color w:val="000000"/>
                <w:lang w:eastAsia="pl-PL"/>
              </w:rPr>
              <w:t xml:space="preserve"> </w:t>
            </w:r>
            <w:r w:rsidRPr="00795F17">
              <w:rPr>
                <w:rFonts w:eastAsia="Times New Roman"/>
                <w:color w:val="000000"/>
                <w:lang w:eastAsia="pl-PL"/>
              </w:rPr>
              <w:t>U.</w:t>
            </w:r>
            <w:r>
              <w:rPr>
                <w:rFonts w:eastAsia="Times New Roman"/>
                <w:color w:val="000000"/>
                <w:lang w:eastAsia="pl-PL"/>
              </w:rPr>
              <w:t xml:space="preserve"> </w:t>
            </w:r>
            <w:r w:rsidRPr="00795F17">
              <w:rPr>
                <w:rFonts w:eastAsia="Times New Roman"/>
                <w:color w:val="000000"/>
                <w:lang w:eastAsia="pl-PL"/>
              </w:rPr>
              <w:t>poz. 685)</w:t>
            </w:r>
            <w:r>
              <w:rPr>
                <w:rFonts w:eastAsia="Times New Roman"/>
                <w:color w:val="000000"/>
                <w:lang w:eastAsia="pl-PL"/>
              </w:rPr>
              <w:t>, a</w:t>
            </w:r>
            <w:r w:rsidRPr="00795F17">
              <w:rPr>
                <w:rFonts w:eastAsia="Times New Roman"/>
                <w:color w:val="000000"/>
                <w:lang w:eastAsia="pl-PL"/>
              </w:rPr>
              <w:t>kt uchylony</w:t>
            </w:r>
          </w:p>
        </w:tc>
      </w:tr>
      <w:tr w:rsidR="00425B78" w:rsidRPr="008368C5" w14:paraId="752A0E7E" w14:textId="77777777" w:rsidTr="00425B78">
        <w:trPr>
          <w:cantSplit/>
          <w:trHeight w:val="340"/>
        </w:trPr>
        <w:tc>
          <w:tcPr>
            <w:tcW w:w="2180" w:type="dxa"/>
            <w:shd w:val="clear" w:color="auto" w:fill="auto"/>
            <w:vAlign w:val="center"/>
          </w:tcPr>
          <w:p w14:paraId="46F2A334" w14:textId="77777777" w:rsidR="00425B78" w:rsidRPr="008368C5" w:rsidRDefault="00425B78" w:rsidP="00425B78">
            <w:pPr>
              <w:pStyle w:val="Wykazskrotowbold"/>
            </w:pPr>
            <w:r w:rsidRPr="008368C5">
              <w:t>s.r.m. (2011)</w:t>
            </w:r>
          </w:p>
        </w:tc>
        <w:tc>
          <w:tcPr>
            <w:tcW w:w="6882" w:type="dxa"/>
            <w:shd w:val="clear" w:color="auto" w:fill="auto"/>
            <w:vAlign w:val="center"/>
          </w:tcPr>
          <w:p w14:paraId="656BD728" w14:textId="77777777" w:rsidR="00425B78" w:rsidRPr="008368C5" w:rsidRDefault="00425B78" w:rsidP="00425B78">
            <w:pPr>
              <w:pStyle w:val="Wykazskrotow"/>
            </w:pPr>
            <w:r>
              <w:rPr>
                <w:rFonts w:eastAsia="Times New Roman"/>
                <w:color w:val="000000"/>
                <w:lang w:eastAsia="pl-PL"/>
              </w:rPr>
              <w:t>r</w:t>
            </w:r>
            <w:r w:rsidRPr="00795F17">
              <w:rPr>
                <w:rFonts w:eastAsia="Times New Roman"/>
                <w:color w:val="000000"/>
                <w:lang w:eastAsia="pl-PL"/>
              </w:rPr>
              <w:t>ozporządzenie Ministra Środowiska z dnia 15 listopada 2011 r. w sprawie form i sposobu prowadzenia monitoringu jednolitych części wód powierzchniowych i podziemnych (Dz.</w:t>
            </w:r>
            <w:r>
              <w:rPr>
                <w:rFonts w:eastAsia="Times New Roman"/>
                <w:color w:val="000000"/>
                <w:lang w:eastAsia="pl-PL"/>
              </w:rPr>
              <w:t xml:space="preserve"> </w:t>
            </w:r>
            <w:r w:rsidRPr="00795F17">
              <w:rPr>
                <w:rFonts w:eastAsia="Times New Roman"/>
                <w:color w:val="000000"/>
                <w:lang w:eastAsia="pl-PL"/>
              </w:rPr>
              <w:t>U.</w:t>
            </w:r>
            <w:r>
              <w:rPr>
                <w:rFonts w:eastAsia="Times New Roman"/>
                <w:color w:val="000000"/>
                <w:lang w:eastAsia="pl-PL"/>
              </w:rPr>
              <w:t xml:space="preserve"> </w:t>
            </w:r>
            <w:r w:rsidRPr="00795F17">
              <w:rPr>
                <w:rFonts w:eastAsia="Times New Roman"/>
                <w:color w:val="000000"/>
                <w:lang w:eastAsia="pl-PL"/>
              </w:rPr>
              <w:t>poz. 1550)</w:t>
            </w:r>
            <w:r>
              <w:rPr>
                <w:rFonts w:eastAsia="Times New Roman"/>
                <w:color w:val="000000"/>
                <w:lang w:eastAsia="pl-PL"/>
              </w:rPr>
              <w:t>, a</w:t>
            </w:r>
            <w:r w:rsidRPr="00795F17">
              <w:rPr>
                <w:rFonts w:eastAsia="Times New Roman"/>
                <w:color w:val="000000"/>
                <w:lang w:eastAsia="pl-PL"/>
              </w:rPr>
              <w:t>kt uchylony</w:t>
            </w:r>
          </w:p>
        </w:tc>
      </w:tr>
      <w:tr w:rsidR="00425B78" w:rsidRPr="008368C5" w14:paraId="1B579DDC" w14:textId="77777777" w:rsidTr="00425B78">
        <w:trPr>
          <w:cantSplit/>
          <w:trHeight w:val="340"/>
        </w:trPr>
        <w:tc>
          <w:tcPr>
            <w:tcW w:w="2180" w:type="dxa"/>
            <w:shd w:val="clear" w:color="auto" w:fill="auto"/>
            <w:vAlign w:val="center"/>
          </w:tcPr>
          <w:p w14:paraId="697AE65E" w14:textId="77777777" w:rsidR="00425B78" w:rsidRPr="008368C5" w:rsidRDefault="00425B78" w:rsidP="00425B78">
            <w:pPr>
              <w:pStyle w:val="Wykazskrotowbold"/>
            </w:pPr>
            <w:r w:rsidRPr="00795F17">
              <w:rPr>
                <w:rFonts w:eastAsia="Times New Roman"/>
                <w:color w:val="000000"/>
                <w:lang w:eastAsia="pl-PL"/>
              </w:rPr>
              <w:t>s.r.m. jcw (2016)</w:t>
            </w:r>
          </w:p>
        </w:tc>
        <w:tc>
          <w:tcPr>
            <w:tcW w:w="6882" w:type="dxa"/>
            <w:shd w:val="clear" w:color="auto" w:fill="auto"/>
            <w:vAlign w:val="center"/>
          </w:tcPr>
          <w:p w14:paraId="2AE481E3" w14:textId="77777777" w:rsidR="00425B78" w:rsidRPr="008368C5" w:rsidRDefault="00425B78" w:rsidP="00425B78">
            <w:pPr>
              <w:pStyle w:val="Wykazskrotow"/>
            </w:pPr>
            <w:r>
              <w:rPr>
                <w:rFonts w:eastAsia="Times New Roman"/>
                <w:color w:val="000000"/>
                <w:lang w:eastAsia="pl-PL"/>
              </w:rPr>
              <w:t>r</w:t>
            </w:r>
            <w:r w:rsidRPr="00795F17">
              <w:rPr>
                <w:rFonts w:eastAsia="Times New Roman"/>
                <w:color w:val="000000"/>
                <w:lang w:eastAsia="pl-PL"/>
              </w:rPr>
              <w:t>ozporządzenie Ministra Środowiska z dnia 19 lipca 2016 r. w sprawie form i sposobu prowadzenia monitoringu jednolitych części wód powierzchniowych i podziemnych (Dz.</w:t>
            </w:r>
            <w:r>
              <w:rPr>
                <w:rFonts w:eastAsia="Times New Roman"/>
                <w:color w:val="000000"/>
                <w:lang w:eastAsia="pl-PL"/>
              </w:rPr>
              <w:t xml:space="preserve"> </w:t>
            </w:r>
            <w:r w:rsidRPr="00795F17">
              <w:rPr>
                <w:rFonts w:eastAsia="Times New Roman"/>
                <w:color w:val="000000"/>
                <w:lang w:eastAsia="pl-PL"/>
              </w:rPr>
              <w:t>U.</w:t>
            </w:r>
            <w:r>
              <w:rPr>
                <w:rFonts w:eastAsia="Times New Roman"/>
                <w:color w:val="000000"/>
                <w:lang w:eastAsia="pl-PL"/>
              </w:rPr>
              <w:t xml:space="preserve"> </w:t>
            </w:r>
            <w:r w:rsidRPr="00795F17">
              <w:rPr>
                <w:rFonts w:eastAsia="Times New Roman"/>
                <w:color w:val="000000"/>
                <w:lang w:eastAsia="pl-PL"/>
              </w:rPr>
              <w:t>poz. 1178)</w:t>
            </w:r>
            <w:r>
              <w:rPr>
                <w:rFonts w:eastAsia="Times New Roman"/>
                <w:color w:val="000000"/>
                <w:lang w:eastAsia="pl-PL"/>
              </w:rPr>
              <w:t>, a</w:t>
            </w:r>
            <w:r w:rsidRPr="00795F17">
              <w:rPr>
                <w:rFonts w:eastAsia="Times New Roman"/>
                <w:color w:val="000000"/>
                <w:lang w:eastAsia="pl-PL"/>
              </w:rPr>
              <w:t>kt uchylony</w:t>
            </w:r>
          </w:p>
        </w:tc>
      </w:tr>
      <w:tr w:rsidR="00425B78" w:rsidRPr="008368C5" w14:paraId="625BB46F" w14:textId="77777777" w:rsidTr="00425B78">
        <w:trPr>
          <w:cantSplit/>
          <w:trHeight w:val="340"/>
        </w:trPr>
        <w:tc>
          <w:tcPr>
            <w:tcW w:w="2180" w:type="dxa"/>
            <w:shd w:val="clear" w:color="auto" w:fill="auto"/>
            <w:vAlign w:val="center"/>
          </w:tcPr>
          <w:p w14:paraId="0B4FC3D6" w14:textId="77777777" w:rsidR="00425B78" w:rsidRPr="00795F17" w:rsidRDefault="00425B78" w:rsidP="00425B78">
            <w:pPr>
              <w:pStyle w:val="Wykazskrotowbold"/>
              <w:rPr>
                <w:rFonts w:eastAsia="Times New Roman"/>
                <w:color w:val="000000"/>
                <w:lang w:eastAsia="pl-PL"/>
              </w:rPr>
            </w:pPr>
            <w:r>
              <w:rPr>
                <w:rFonts w:eastAsia="Times New Roman"/>
                <w:color w:val="000000"/>
                <w:lang w:eastAsia="pl-PL"/>
              </w:rPr>
              <w:t>s.r.m.jcw (2019)</w:t>
            </w:r>
          </w:p>
        </w:tc>
        <w:tc>
          <w:tcPr>
            <w:tcW w:w="6882" w:type="dxa"/>
            <w:shd w:val="clear" w:color="auto" w:fill="auto"/>
            <w:vAlign w:val="center"/>
          </w:tcPr>
          <w:p w14:paraId="0E18A417" w14:textId="77777777" w:rsidR="00425B78" w:rsidRPr="008368C5" w:rsidRDefault="00425B78" w:rsidP="00425B78">
            <w:pPr>
              <w:pStyle w:val="Wykazskrotow"/>
            </w:pPr>
            <w:r>
              <w:t>r</w:t>
            </w:r>
            <w:r w:rsidRPr="008368C5">
              <w:t>ozporządzenie Ministra Gospodarki Morskiej i Żeglugi Śródlądowej z dnia 9 października 2019 r. w sprawie form i sposobu prowadzenia monitoringu jednolitych części wód powierzchniowych i jednolitych części wód podziemnych (Dz.</w:t>
            </w:r>
            <w:r>
              <w:t xml:space="preserve"> </w:t>
            </w:r>
            <w:r w:rsidRPr="008368C5">
              <w:t>U. poz. 2147)</w:t>
            </w:r>
            <w:r>
              <w:t>, akt uchylony</w:t>
            </w:r>
          </w:p>
        </w:tc>
      </w:tr>
      <w:tr w:rsidR="00425B78" w:rsidRPr="008368C5" w14:paraId="243EB63D" w14:textId="77777777" w:rsidTr="00425B78">
        <w:trPr>
          <w:cantSplit/>
          <w:trHeight w:val="340"/>
        </w:trPr>
        <w:tc>
          <w:tcPr>
            <w:tcW w:w="2180" w:type="dxa"/>
            <w:shd w:val="clear" w:color="auto" w:fill="auto"/>
            <w:vAlign w:val="center"/>
          </w:tcPr>
          <w:p w14:paraId="7325FB5C" w14:textId="77777777" w:rsidR="00425B78" w:rsidRPr="008368C5" w:rsidRDefault="00425B78" w:rsidP="00425B78">
            <w:pPr>
              <w:pStyle w:val="Wykazskrotowbold"/>
            </w:pPr>
            <w:r w:rsidRPr="00795F17">
              <w:rPr>
                <w:rFonts w:eastAsia="Times New Roman"/>
                <w:color w:val="000000"/>
                <w:lang w:eastAsia="pl-PL"/>
              </w:rPr>
              <w:t>s.r.</w:t>
            </w:r>
            <w:r>
              <w:rPr>
                <w:rFonts w:eastAsia="Times New Roman"/>
                <w:color w:val="000000"/>
                <w:lang w:eastAsia="pl-PL"/>
              </w:rPr>
              <w:t>kl</w:t>
            </w:r>
            <w:r w:rsidRPr="00795F17">
              <w:rPr>
                <w:rFonts w:eastAsia="Times New Roman"/>
                <w:color w:val="000000"/>
                <w:lang w:eastAsia="pl-PL"/>
              </w:rPr>
              <w:t xml:space="preserve">. </w:t>
            </w:r>
            <w:r>
              <w:rPr>
                <w:rFonts w:eastAsia="Times New Roman"/>
                <w:color w:val="000000"/>
                <w:lang w:eastAsia="pl-PL"/>
              </w:rPr>
              <w:t>JCWPd</w:t>
            </w:r>
            <w:r w:rsidRPr="00795F17">
              <w:rPr>
                <w:rFonts w:eastAsia="Times New Roman"/>
                <w:color w:val="000000"/>
                <w:lang w:eastAsia="pl-PL"/>
              </w:rPr>
              <w:t xml:space="preserve"> (201</w:t>
            </w:r>
            <w:r>
              <w:rPr>
                <w:rFonts w:eastAsia="Times New Roman"/>
                <w:color w:val="000000"/>
                <w:lang w:eastAsia="pl-PL"/>
              </w:rPr>
              <w:t>9</w:t>
            </w:r>
            <w:r w:rsidRPr="00795F17">
              <w:rPr>
                <w:rFonts w:eastAsia="Times New Roman"/>
                <w:color w:val="000000"/>
                <w:lang w:eastAsia="pl-PL"/>
              </w:rPr>
              <w:t>)</w:t>
            </w:r>
          </w:p>
        </w:tc>
        <w:tc>
          <w:tcPr>
            <w:tcW w:w="6882" w:type="dxa"/>
            <w:shd w:val="clear" w:color="auto" w:fill="auto"/>
            <w:vAlign w:val="center"/>
          </w:tcPr>
          <w:p w14:paraId="1328EDFD" w14:textId="77777777" w:rsidR="00425B78" w:rsidRPr="008368C5" w:rsidRDefault="00425B78" w:rsidP="00425B78">
            <w:pPr>
              <w:pStyle w:val="Wykazskrotow"/>
            </w:pPr>
            <w:r>
              <w:t>r</w:t>
            </w:r>
            <w:r w:rsidRPr="008368C5">
              <w:t>ozporządzenie Ministra Gospodarki Morskiej i Żeglugi Śródlądowej z dnia 11 października 2019 r. w sprawie kryteriów i sposobu oceny stanu jednolitych części wód podziemnych (Dz.</w:t>
            </w:r>
            <w:r>
              <w:t xml:space="preserve"> </w:t>
            </w:r>
            <w:r w:rsidRPr="008368C5">
              <w:t>U. poz. 2148)</w:t>
            </w:r>
            <w:r>
              <w:t>, akt uchylony</w:t>
            </w:r>
          </w:p>
        </w:tc>
      </w:tr>
      <w:tr w:rsidR="00425B78" w:rsidRPr="008368C5" w14:paraId="7AE48320" w14:textId="77777777" w:rsidTr="00425B78">
        <w:trPr>
          <w:cantSplit/>
          <w:trHeight w:val="340"/>
        </w:trPr>
        <w:tc>
          <w:tcPr>
            <w:tcW w:w="2180" w:type="dxa"/>
            <w:shd w:val="clear" w:color="auto" w:fill="auto"/>
            <w:vAlign w:val="center"/>
          </w:tcPr>
          <w:p w14:paraId="14E205E6" w14:textId="77777777" w:rsidR="00425B78" w:rsidRPr="008368C5" w:rsidRDefault="00425B78" w:rsidP="00425B78">
            <w:pPr>
              <w:pStyle w:val="Wykazskrotowbold"/>
            </w:pPr>
            <w:r w:rsidRPr="008368C5">
              <w:t>SCW</w:t>
            </w:r>
          </w:p>
        </w:tc>
        <w:tc>
          <w:tcPr>
            <w:tcW w:w="6882" w:type="dxa"/>
            <w:shd w:val="clear" w:color="auto" w:fill="auto"/>
            <w:vAlign w:val="center"/>
          </w:tcPr>
          <w:p w14:paraId="3E0903D3" w14:textId="77777777" w:rsidR="00425B78" w:rsidRPr="008368C5" w:rsidRDefault="00425B78" w:rsidP="00425B78">
            <w:pPr>
              <w:pStyle w:val="Wykazskrotow"/>
            </w:pPr>
            <w:r>
              <w:t>s</w:t>
            </w:r>
            <w:r w:rsidRPr="008368C5">
              <w:t>ztuczna część wód</w:t>
            </w:r>
          </w:p>
        </w:tc>
      </w:tr>
      <w:tr w:rsidR="00425B78" w:rsidRPr="008368C5" w14:paraId="596BA779" w14:textId="77777777" w:rsidTr="00425B78">
        <w:trPr>
          <w:cantSplit/>
          <w:trHeight w:val="340"/>
        </w:trPr>
        <w:tc>
          <w:tcPr>
            <w:tcW w:w="2180" w:type="dxa"/>
            <w:shd w:val="clear" w:color="auto" w:fill="auto"/>
            <w:vAlign w:val="center"/>
          </w:tcPr>
          <w:p w14:paraId="2B875BC9" w14:textId="77777777" w:rsidR="00425B78" w:rsidRPr="008368C5" w:rsidRDefault="00425B78" w:rsidP="00425B78">
            <w:pPr>
              <w:pStyle w:val="Wykazskrotowbold"/>
            </w:pPr>
            <w:r w:rsidRPr="008368C5">
              <w:t>SDF</w:t>
            </w:r>
          </w:p>
        </w:tc>
        <w:tc>
          <w:tcPr>
            <w:tcW w:w="6882" w:type="dxa"/>
            <w:shd w:val="clear" w:color="auto" w:fill="auto"/>
            <w:vAlign w:val="center"/>
          </w:tcPr>
          <w:p w14:paraId="02D8FCEC" w14:textId="0A26276F" w:rsidR="00425B78" w:rsidRPr="008368C5" w:rsidRDefault="00ED014E" w:rsidP="00425B78">
            <w:pPr>
              <w:pStyle w:val="Wykazskrotow"/>
            </w:pPr>
            <w:r>
              <w:t>s</w:t>
            </w:r>
            <w:r w:rsidRPr="008368C5">
              <w:t xml:space="preserve">tandardowy </w:t>
            </w:r>
            <w:r w:rsidR="00425B78" w:rsidRPr="008368C5">
              <w:t>formularz opisu obszaru Natura 2000 (</w:t>
            </w:r>
            <w:r w:rsidR="00425B78">
              <w:t xml:space="preserve">ang. </w:t>
            </w:r>
            <w:r w:rsidR="00425B78" w:rsidRPr="009B579A">
              <w:rPr>
                <w:i/>
                <w:iCs/>
              </w:rPr>
              <w:t>Standard Data Form</w:t>
            </w:r>
            <w:r w:rsidR="00425B78" w:rsidRPr="008368C5">
              <w:t>)</w:t>
            </w:r>
          </w:p>
        </w:tc>
      </w:tr>
      <w:tr w:rsidR="00425B78" w:rsidRPr="008368C5" w14:paraId="0AE4E1BC" w14:textId="77777777" w:rsidTr="00425B78">
        <w:trPr>
          <w:cantSplit/>
          <w:trHeight w:val="340"/>
        </w:trPr>
        <w:tc>
          <w:tcPr>
            <w:tcW w:w="2180" w:type="dxa"/>
            <w:shd w:val="clear" w:color="auto" w:fill="auto"/>
            <w:vAlign w:val="center"/>
          </w:tcPr>
          <w:p w14:paraId="1204C094" w14:textId="77777777" w:rsidR="00425B78" w:rsidRPr="008368C5" w:rsidRDefault="00425B78" w:rsidP="00425B78">
            <w:pPr>
              <w:pStyle w:val="Wykazskrotowbold"/>
            </w:pPr>
            <w:r w:rsidRPr="008368C5">
              <w:t>SE</w:t>
            </w:r>
          </w:p>
        </w:tc>
        <w:tc>
          <w:tcPr>
            <w:tcW w:w="6882" w:type="dxa"/>
            <w:shd w:val="clear" w:color="auto" w:fill="auto"/>
            <w:vAlign w:val="center"/>
          </w:tcPr>
          <w:p w14:paraId="5B5C9C4B" w14:textId="77777777" w:rsidR="00425B78" w:rsidRPr="008368C5" w:rsidRDefault="00425B78" w:rsidP="00425B78">
            <w:pPr>
              <w:pStyle w:val="Wykazskrotow"/>
            </w:pPr>
            <w:r>
              <w:t>s</w:t>
            </w:r>
            <w:r w:rsidRPr="008368C5">
              <w:t>tan ekologiczny</w:t>
            </w:r>
          </w:p>
        </w:tc>
      </w:tr>
      <w:tr w:rsidR="00425B78" w:rsidRPr="008368C5" w14:paraId="5D1C5DF6" w14:textId="77777777" w:rsidTr="00425B78">
        <w:trPr>
          <w:cantSplit/>
          <w:trHeight w:val="340"/>
        </w:trPr>
        <w:tc>
          <w:tcPr>
            <w:tcW w:w="2180" w:type="dxa"/>
            <w:vAlign w:val="center"/>
          </w:tcPr>
          <w:p w14:paraId="09B49FC6" w14:textId="77777777" w:rsidR="00425B78" w:rsidRPr="008368C5" w:rsidRDefault="00425B78" w:rsidP="00425B78">
            <w:pPr>
              <w:pStyle w:val="Wykazskrotowbold"/>
            </w:pPr>
            <w:r w:rsidRPr="008368C5">
              <w:t>SiG</w:t>
            </w:r>
          </w:p>
        </w:tc>
        <w:tc>
          <w:tcPr>
            <w:tcW w:w="6882" w:type="dxa"/>
            <w:vAlign w:val="center"/>
          </w:tcPr>
          <w:p w14:paraId="7162246D" w14:textId="74C37CAD" w:rsidR="00425B78" w:rsidRPr="008368C5" w:rsidRDefault="00ED014E" w:rsidP="00425B78">
            <w:pPr>
              <w:pStyle w:val="Wykazskrotow"/>
            </w:pPr>
            <w:r>
              <w:t>o</w:t>
            </w:r>
            <w:r w:rsidRPr="008368C5">
              <w:t xml:space="preserve">bszary </w:t>
            </w:r>
            <w:r w:rsidR="00425B78" w:rsidRPr="008368C5">
              <w:t>przeznaczone do ochrony siedlisk lub gatunków, o których mowa w przepisach ustawy z dnia 16 kwietnia 2004 r. o ochronie przyrody, dla których utrzymanie lub poprawa stanu wód jest ważnym czynnikiem w ich ochronie</w:t>
            </w:r>
          </w:p>
        </w:tc>
      </w:tr>
      <w:tr w:rsidR="00425B78" w:rsidRPr="008368C5" w14:paraId="0F875E76" w14:textId="77777777" w:rsidTr="00425B78">
        <w:trPr>
          <w:cantSplit/>
          <w:trHeight w:val="340"/>
        </w:trPr>
        <w:tc>
          <w:tcPr>
            <w:tcW w:w="2180" w:type="dxa"/>
            <w:shd w:val="clear" w:color="auto" w:fill="auto"/>
            <w:vAlign w:val="center"/>
          </w:tcPr>
          <w:p w14:paraId="244D83A8" w14:textId="77777777" w:rsidR="00425B78" w:rsidRPr="008368C5" w:rsidRDefault="00425B78" w:rsidP="00425B78">
            <w:pPr>
              <w:pStyle w:val="Wykazskrotowbold"/>
            </w:pPr>
            <w:r w:rsidRPr="008368C5">
              <w:t>SiNP</w:t>
            </w:r>
          </w:p>
        </w:tc>
        <w:tc>
          <w:tcPr>
            <w:tcW w:w="6882" w:type="dxa"/>
            <w:shd w:val="clear" w:color="auto" w:fill="auto"/>
            <w:vAlign w:val="center"/>
          </w:tcPr>
          <w:p w14:paraId="4CC07CFA" w14:textId="77777777" w:rsidR="00425B78" w:rsidRPr="008368C5" w:rsidRDefault="00425B78" w:rsidP="00425B78">
            <w:pPr>
              <w:pStyle w:val="Wykazskrotow"/>
            </w:pPr>
            <w:r w:rsidRPr="008368C5">
              <w:t>Strategia „Sprawne i Nowoczesne Państwo 2030”</w:t>
            </w:r>
          </w:p>
        </w:tc>
      </w:tr>
      <w:tr w:rsidR="00425B78" w:rsidRPr="008368C5" w14:paraId="7EA897C4" w14:textId="77777777" w:rsidTr="00425B78">
        <w:trPr>
          <w:cantSplit/>
          <w:trHeight w:val="340"/>
        </w:trPr>
        <w:tc>
          <w:tcPr>
            <w:tcW w:w="2180" w:type="dxa"/>
            <w:shd w:val="clear" w:color="auto" w:fill="auto"/>
            <w:vAlign w:val="center"/>
          </w:tcPr>
          <w:p w14:paraId="573F8DF6" w14:textId="77777777" w:rsidR="00425B78" w:rsidRPr="008368C5" w:rsidRDefault="00425B78" w:rsidP="00425B78">
            <w:pPr>
              <w:pStyle w:val="Wykazskrotowbold"/>
            </w:pPr>
            <w:r w:rsidRPr="008368C5">
              <w:t>SNO</w:t>
            </w:r>
          </w:p>
        </w:tc>
        <w:tc>
          <w:tcPr>
            <w:tcW w:w="6882" w:type="dxa"/>
            <w:shd w:val="clear" w:color="auto" w:fill="auto"/>
            <w:vAlign w:val="center"/>
          </w:tcPr>
          <w:p w14:paraId="3C35FFF1" w14:textId="0A92F143" w:rsidR="00425B78" w:rsidRPr="008368C5" w:rsidRDefault="00ED014E" w:rsidP="00425B78">
            <w:pPr>
              <w:pStyle w:val="Wykazskrotow"/>
            </w:pPr>
            <w:r>
              <w:t>s</w:t>
            </w:r>
            <w:r w:rsidRPr="008368C5">
              <w:t xml:space="preserve">tan </w:t>
            </w:r>
            <w:r w:rsidR="00425B78" w:rsidRPr="008368C5">
              <w:t>niski ostrzegawczy</w:t>
            </w:r>
          </w:p>
        </w:tc>
      </w:tr>
      <w:tr w:rsidR="00425B78" w:rsidRPr="008368C5" w14:paraId="05164855" w14:textId="77777777" w:rsidTr="00425B78">
        <w:trPr>
          <w:cantSplit/>
          <w:trHeight w:val="340"/>
        </w:trPr>
        <w:tc>
          <w:tcPr>
            <w:tcW w:w="2180" w:type="dxa"/>
            <w:shd w:val="clear" w:color="auto" w:fill="auto"/>
            <w:vAlign w:val="center"/>
          </w:tcPr>
          <w:p w14:paraId="24D32487" w14:textId="77777777" w:rsidR="00425B78" w:rsidRPr="008368C5" w:rsidRDefault="00425B78" w:rsidP="00425B78">
            <w:pPr>
              <w:pStyle w:val="Wykazskrotowbold"/>
            </w:pPr>
            <w:r w:rsidRPr="008368C5">
              <w:t>SOBWP</w:t>
            </w:r>
          </w:p>
        </w:tc>
        <w:tc>
          <w:tcPr>
            <w:tcW w:w="6882" w:type="dxa"/>
            <w:shd w:val="clear" w:color="auto" w:fill="auto"/>
            <w:vAlign w:val="center"/>
          </w:tcPr>
          <w:p w14:paraId="532D1F4A" w14:textId="77777777" w:rsidR="00425B78" w:rsidRPr="008368C5" w:rsidRDefault="00425B78" w:rsidP="00425B78">
            <w:pPr>
              <w:pStyle w:val="Wykazskrotow"/>
            </w:pPr>
            <w:r>
              <w:t>s</w:t>
            </w:r>
            <w:r w:rsidRPr="008368C5">
              <w:t>ieć obserwacyjno-badawcza wód podziemnych</w:t>
            </w:r>
          </w:p>
        </w:tc>
      </w:tr>
      <w:tr w:rsidR="00425B78" w:rsidRPr="008368C5" w14:paraId="2079EDFA" w14:textId="77777777" w:rsidTr="00425B78">
        <w:trPr>
          <w:cantSplit/>
          <w:trHeight w:val="340"/>
        </w:trPr>
        <w:tc>
          <w:tcPr>
            <w:tcW w:w="2180" w:type="dxa"/>
            <w:shd w:val="clear" w:color="auto" w:fill="auto"/>
            <w:vAlign w:val="center"/>
          </w:tcPr>
          <w:p w14:paraId="42E18E50" w14:textId="77777777" w:rsidR="00425B78" w:rsidRPr="008368C5" w:rsidRDefault="00425B78" w:rsidP="00425B78">
            <w:pPr>
              <w:pStyle w:val="Wykazskrotowbold"/>
            </w:pPr>
            <w:r w:rsidRPr="008368C5">
              <w:t>SON</w:t>
            </w:r>
          </w:p>
        </w:tc>
        <w:tc>
          <w:tcPr>
            <w:tcW w:w="6882" w:type="dxa"/>
            <w:shd w:val="clear" w:color="auto" w:fill="auto"/>
            <w:vAlign w:val="center"/>
          </w:tcPr>
          <w:p w14:paraId="621D7E0F" w14:textId="6A338C52" w:rsidR="00425B78" w:rsidRPr="008368C5" w:rsidRDefault="00425B78" w:rsidP="00425B78">
            <w:pPr>
              <w:pStyle w:val="Wykazskrotow"/>
            </w:pPr>
            <w:r w:rsidRPr="008368C5">
              <w:t xml:space="preserve">Społeczna </w:t>
            </w:r>
            <w:r w:rsidR="00F76043">
              <w:t>o</w:t>
            </w:r>
            <w:r w:rsidR="00F76043" w:rsidRPr="008368C5">
              <w:t xml:space="preserve">dpowiedzialność </w:t>
            </w:r>
            <w:r w:rsidR="00F76043">
              <w:t>n</w:t>
            </w:r>
            <w:r w:rsidR="00F76043" w:rsidRPr="008368C5">
              <w:t>auki</w:t>
            </w:r>
          </w:p>
        </w:tc>
      </w:tr>
      <w:tr w:rsidR="00425B78" w:rsidRPr="008368C5" w14:paraId="376BCFCA" w14:textId="77777777" w:rsidTr="00425B78">
        <w:trPr>
          <w:cantSplit/>
          <w:trHeight w:val="340"/>
        </w:trPr>
        <w:tc>
          <w:tcPr>
            <w:tcW w:w="2180" w:type="dxa"/>
            <w:shd w:val="clear" w:color="auto" w:fill="auto"/>
            <w:vAlign w:val="center"/>
          </w:tcPr>
          <w:p w14:paraId="00AB5236" w14:textId="77777777" w:rsidR="00425B78" w:rsidRPr="008368C5" w:rsidRDefault="00425B78" w:rsidP="00425B78">
            <w:pPr>
              <w:pStyle w:val="Wykazskrotowbold"/>
            </w:pPr>
            <w:r w:rsidRPr="008368C5">
              <w:t>SOO</w:t>
            </w:r>
          </w:p>
        </w:tc>
        <w:tc>
          <w:tcPr>
            <w:tcW w:w="6882" w:type="dxa"/>
            <w:shd w:val="clear" w:color="auto" w:fill="auto"/>
            <w:vAlign w:val="center"/>
          </w:tcPr>
          <w:p w14:paraId="477D928C" w14:textId="77777777" w:rsidR="00425B78" w:rsidRPr="008368C5" w:rsidRDefault="00425B78" w:rsidP="00425B78">
            <w:pPr>
              <w:pStyle w:val="Wykazskrotow"/>
            </w:pPr>
            <w:r>
              <w:t>s</w:t>
            </w:r>
            <w:r w:rsidRPr="008368C5">
              <w:t>pecjalny obszar ochrony siedlisk Natura 2000</w:t>
            </w:r>
          </w:p>
        </w:tc>
      </w:tr>
      <w:tr w:rsidR="00425B78" w:rsidRPr="008368C5" w14:paraId="7A905E04" w14:textId="77777777" w:rsidTr="00425B78">
        <w:trPr>
          <w:cantSplit/>
          <w:trHeight w:val="340"/>
        </w:trPr>
        <w:tc>
          <w:tcPr>
            <w:tcW w:w="2180" w:type="dxa"/>
            <w:shd w:val="clear" w:color="auto" w:fill="auto"/>
            <w:vAlign w:val="center"/>
          </w:tcPr>
          <w:p w14:paraId="3E0F4FE6" w14:textId="77777777" w:rsidR="00425B78" w:rsidRPr="008368C5" w:rsidRDefault="00425B78" w:rsidP="00425B78">
            <w:pPr>
              <w:pStyle w:val="Wykazskrotowbold"/>
            </w:pPr>
            <w:r w:rsidRPr="008368C5">
              <w:t>SOOŚ</w:t>
            </w:r>
          </w:p>
        </w:tc>
        <w:tc>
          <w:tcPr>
            <w:tcW w:w="6882" w:type="dxa"/>
            <w:shd w:val="clear" w:color="auto" w:fill="auto"/>
            <w:vAlign w:val="center"/>
          </w:tcPr>
          <w:p w14:paraId="6C790A63" w14:textId="77777777" w:rsidR="00425B78" w:rsidRPr="008368C5" w:rsidRDefault="00425B78" w:rsidP="00425B78">
            <w:pPr>
              <w:pStyle w:val="Wykazskrotow"/>
            </w:pPr>
            <w:r>
              <w:t>s</w:t>
            </w:r>
            <w:r w:rsidRPr="008368C5">
              <w:t>trategiczna ocena oddziaływania na środowisko</w:t>
            </w:r>
          </w:p>
        </w:tc>
      </w:tr>
      <w:tr w:rsidR="00425B78" w:rsidRPr="008368C5" w14:paraId="05D88955" w14:textId="77777777" w:rsidTr="00425B78">
        <w:trPr>
          <w:cantSplit/>
          <w:trHeight w:val="340"/>
        </w:trPr>
        <w:tc>
          <w:tcPr>
            <w:tcW w:w="2180" w:type="dxa"/>
            <w:shd w:val="clear" w:color="auto" w:fill="auto"/>
            <w:vAlign w:val="center"/>
          </w:tcPr>
          <w:p w14:paraId="0F73A895" w14:textId="77777777" w:rsidR="00425B78" w:rsidRPr="008368C5" w:rsidRDefault="00425B78" w:rsidP="00425B78">
            <w:pPr>
              <w:pStyle w:val="Wykazskrotowbold"/>
            </w:pPr>
            <w:r w:rsidRPr="008368C5">
              <w:t>SP 2030</w:t>
            </w:r>
          </w:p>
        </w:tc>
        <w:tc>
          <w:tcPr>
            <w:tcW w:w="6882" w:type="dxa"/>
            <w:shd w:val="clear" w:color="auto" w:fill="auto"/>
            <w:vAlign w:val="center"/>
          </w:tcPr>
          <w:p w14:paraId="6317099C" w14:textId="77777777" w:rsidR="00425B78" w:rsidRPr="008368C5" w:rsidRDefault="00425B78" w:rsidP="00425B78">
            <w:pPr>
              <w:pStyle w:val="Wykazskrotow"/>
            </w:pPr>
            <w:r w:rsidRPr="008368C5">
              <w:t>Strategia produktywności 2030</w:t>
            </w:r>
          </w:p>
        </w:tc>
      </w:tr>
      <w:tr w:rsidR="00425B78" w:rsidRPr="008368C5" w14:paraId="040C1BBA" w14:textId="77777777" w:rsidTr="00425B78">
        <w:trPr>
          <w:cantSplit/>
          <w:trHeight w:val="340"/>
        </w:trPr>
        <w:tc>
          <w:tcPr>
            <w:tcW w:w="2180" w:type="dxa"/>
            <w:shd w:val="clear" w:color="auto" w:fill="auto"/>
            <w:vAlign w:val="center"/>
          </w:tcPr>
          <w:p w14:paraId="5F192552" w14:textId="77777777" w:rsidR="00425B78" w:rsidRPr="008368C5" w:rsidRDefault="00425B78" w:rsidP="00425B78">
            <w:pPr>
              <w:pStyle w:val="Wykazskrotowbold"/>
            </w:pPr>
            <w:r w:rsidRPr="008368C5">
              <w:t>SPA 2020</w:t>
            </w:r>
          </w:p>
        </w:tc>
        <w:tc>
          <w:tcPr>
            <w:tcW w:w="6882" w:type="dxa"/>
            <w:shd w:val="clear" w:color="auto" w:fill="auto"/>
            <w:vAlign w:val="center"/>
          </w:tcPr>
          <w:p w14:paraId="62B99168" w14:textId="77777777" w:rsidR="00425B78" w:rsidRPr="008368C5" w:rsidRDefault="00425B78" w:rsidP="00425B78">
            <w:pPr>
              <w:pStyle w:val="Wykazskrotow"/>
            </w:pPr>
            <w:r w:rsidRPr="008368C5">
              <w:t>Strategiczny plan adaptacji dla sektorów i obszarów wrażliwych na zmiany klimatu do 2020 r. z perspektywą do 2030 r.</w:t>
            </w:r>
          </w:p>
        </w:tc>
      </w:tr>
      <w:tr w:rsidR="00425B78" w:rsidRPr="008368C5" w14:paraId="443F4046" w14:textId="77777777" w:rsidTr="00425B78">
        <w:trPr>
          <w:cantSplit/>
          <w:trHeight w:val="340"/>
        </w:trPr>
        <w:tc>
          <w:tcPr>
            <w:tcW w:w="2180" w:type="dxa"/>
            <w:shd w:val="clear" w:color="auto" w:fill="auto"/>
            <w:vAlign w:val="center"/>
          </w:tcPr>
          <w:p w14:paraId="5F9052FC" w14:textId="77777777" w:rsidR="00425B78" w:rsidRPr="008368C5" w:rsidRDefault="00425B78" w:rsidP="00425B78">
            <w:pPr>
              <w:pStyle w:val="Wykazskrotowbold"/>
            </w:pPr>
            <w:r w:rsidRPr="008368C5">
              <w:t>SRKS</w:t>
            </w:r>
          </w:p>
        </w:tc>
        <w:tc>
          <w:tcPr>
            <w:tcW w:w="6882" w:type="dxa"/>
            <w:shd w:val="clear" w:color="auto" w:fill="auto"/>
            <w:vAlign w:val="center"/>
          </w:tcPr>
          <w:p w14:paraId="3ECC7207" w14:textId="473DBB24" w:rsidR="00425B78" w:rsidRPr="008368C5" w:rsidRDefault="00425B78" w:rsidP="00425B78">
            <w:pPr>
              <w:pStyle w:val="Wykazskrotow"/>
            </w:pPr>
            <w:r w:rsidRPr="008368C5">
              <w:t xml:space="preserve">Strategia </w:t>
            </w:r>
            <w:r w:rsidR="00F76043">
              <w:t>r</w:t>
            </w:r>
            <w:r w:rsidR="00F76043" w:rsidRPr="008368C5">
              <w:t xml:space="preserve">ozwoju </w:t>
            </w:r>
            <w:r w:rsidR="00F76043">
              <w:t>k</w:t>
            </w:r>
            <w:r w:rsidR="00F76043" w:rsidRPr="008368C5">
              <w:t xml:space="preserve">apitału </w:t>
            </w:r>
            <w:r w:rsidR="00F76043">
              <w:t>s</w:t>
            </w:r>
            <w:r w:rsidR="00F76043" w:rsidRPr="008368C5">
              <w:t xml:space="preserve">połecznego </w:t>
            </w:r>
            <w:r w:rsidRPr="008368C5">
              <w:t>(współdziałanie, kultura, kreatywność) 2030</w:t>
            </w:r>
          </w:p>
        </w:tc>
      </w:tr>
      <w:tr w:rsidR="00425B78" w:rsidRPr="008368C5" w14:paraId="35E501EC" w14:textId="77777777" w:rsidTr="00425B78">
        <w:trPr>
          <w:cantSplit/>
          <w:trHeight w:val="340"/>
        </w:trPr>
        <w:tc>
          <w:tcPr>
            <w:tcW w:w="2180" w:type="dxa"/>
            <w:shd w:val="clear" w:color="auto" w:fill="auto"/>
            <w:vAlign w:val="center"/>
          </w:tcPr>
          <w:p w14:paraId="49918D14" w14:textId="77777777" w:rsidR="00425B78" w:rsidRPr="008368C5" w:rsidRDefault="00425B78" w:rsidP="00425B78">
            <w:pPr>
              <w:pStyle w:val="Wykazskrotowbold"/>
            </w:pPr>
            <w:r w:rsidRPr="008368C5">
              <w:t>SRT 2030</w:t>
            </w:r>
          </w:p>
        </w:tc>
        <w:tc>
          <w:tcPr>
            <w:tcW w:w="6882" w:type="dxa"/>
            <w:shd w:val="clear" w:color="auto" w:fill="auto"/>
            <w:vAlign w:val="center"/>
          </w:tcPr>
          <w:p w14:paraId="6FDE1553" w14:textId="2473AF8D" w:rsidR="00425B78" w:rsidRPr="008368C5" w:rsidRDefault="00425B78" w:rsidP="00425B78">
            <w:pPr>
              <w:pStyle w:val="Wykazskrotow"/>
            </w:pPr>
            <w:r w:rsidRPr="008368C5">
              <w:t xml:space="preserve">Strategia </w:t>
            </w:r>
            <w:r w:rsidR="00F76043">
              <w:t>z</w:t>
            </w:r>
            <w:r w:rsidR="00F76043" w:rsidRPr="008368C5">
              <w:t xml:space="preserve">równoważonego </w:t>
            </w:r>
            <w:r w:rsidR="00F76043">
              <w:t>r</w:t>
            </w:r>
            <w:r w:rsidR="00F76043" w:rsidRPr="008368C5">
              <w:t xml:space="preserve">ozwoju </w:t>
            </w:r>
            <w:r w:rsidR="00F76043">
              <w:t>t</w:t>
            </w:r>
            <w:r w:rsidR="00F76043" w:rsidRPr="008368C5">
              <w:t xml:space="preserve">ransportu </w:t>
            </w:r>
            <w:r w:rsidRPr="008368C5">
              <w:t>do 2030 r.</w:t>
            </w:r>
          </w:p>
        </w:tc>
      </w:tr>
      <w:tr w:rsidR="00425B78" w:rsidRPr="008368C5" w14:paraId="32148A80" w14:textId="77777777" w:rsidTr="00425B78">
        <w:trPr>
          <w:cantSplit/>
          <w:trHeight w:val="340"/>
        </w:trPr>
        <w:tc>
          <w:tcPr>
            <w:tcW w:w="2180" w:type="dxa"/>
            <w:shd w:val="clear" w:color="auto" w:fill="auto"/>
            <w:vAlign w:val="center"/>
          </w:tcPr>
          <w:p w14:paraId="2D877C73" w14:textId="77777777" w:rsidR="00425B78" w:rsidRPr="008368C5" w:rsidRDefault="00425B78" w:rsidP="00425B78">
            <w:pPr>
              <w:pStyle w:val="Wykazskrotowbold"/>
            </w:pPr>
            <w:r w:rsidRPr="008368C5">
              <w:t>SSNMQ</w:t>
            </w:r>
          </w:p>
        </w:tc>
        <w:tc>
          <w:tcPr>
            <w:tcW w:w="6882" w:type="dxa"/>
            <w:shd w:val="clear" w:color="auto" w:fill="auto"/>
            <w:vAlign w:val="center"/>
          </w:tcPr>
          <w:p w14:paraId="41BE06B8" w14:textId="77777777" w:rsidR="00425B78" w:rsidRPr="008368C5" w:rsidRDefault="00425B78" w:rsidP="00425B78">
            <w:pPr>
              <w:pStyle w:val="Wykazskrotow"/>
            </w:pPr>
            <w:r>
              <w:t>p</w:t>
            </w:r>
            <w:r w:rsidRPr="008368C5">
              <w:t>rzepływ średni z najniższych miesięcznych w wieloleciu</w:t>
            </w:r>
          </w:p>
        </w:tc>
      </w:tr>
      <w:tr w:rsidR="00425B78" w:rsidRPr="008368C5" w14:paraId="53464D38" w14:textId="77777777" w:rsidTr="00425B78">
        <w:trPr>
          <w:cantSplit/>
          <w:trHeight w:val="340"/>
        </w:trPr>
        <w:tc>
          <w:tcPr>
            <w:tcW w:w="2180" w:type="dxa"/>
            <w:shd w:val="clear" w:color="auto" w:fill="auto"/>
            <w:vAlign w:val="center"/>
          </w:tcPr>
          <w:p w14:paraId="5912192E" w14:textId="77777777" w:rsidR="00425B78" w:rsidRPr="008368C5" w:rsidRDefault="00425B78" w:rsidP="00425B78">
            <w:pPr>
              <w:pStyle w:val="Wykazskrotowbold"/>
            </w:pPr>
            <w:r w:rsidRPr="008368C5">
              <w:t>SZCW</w:t>
            </w:r>
          </w:p>
        </w:tc>
        <w:tc>
          <w:tcPr>
            <w:tcW w:w="6882" w:type="dxa"/>
            <w:shd w:val="clear" w:color="auto" w:fill="auto"/>
            <w:vAlign w:val="center"/>
          </w:tcPr>
          <w:p w14:paraId="265CDAE5" w14:textId="77777777" w:rsidR="00425B78" w:rsidRPr="008368C5" w:rsidRDefault="00425B78" w:rsidP="00425B78">
            <w:pPr>
              <w:pStyle w:val="Wykazskrotow"/>
            </w:pPr>
            <w:r>
              <w:t>s</w:t>
            </w:r>
            <w:r w:rsidRPr="008368C5">
              <w:t>ilnie zmieniona część wód</w:t>
            </w:r>
          </w:p>
        </w:tc>
      </w:tr>
      <w:tr w:rsidR="00425B78" w:rsidRPr="008368C5" w14:paraId="44ED31F9" w14:textId="77777777" w:rsidTr="00425B78">
        <w:trPr>
          <w:cantSplit/>
          <w:trHeight w:val="340"/>
        </w:trPr>
        <w:tc>
          <w:tcPr>
            <w:tcW w:w="2180" w:type="dxa"/>
            <w:shd w:val="clear" w:color="auto" w:fill="auto"/>
            <w:vAlign w:val="center"/>
          </w:tcPr>
          <w:p w14:paraId="4B0D48DE" w14:textId="77777777" w:rsidR="00425B78" w:rsidRPr="008368C5" w:rsidRDefault="00425B78" w:rsidP="00425B78">
            <w:pPr>
              <w:pStyle w:val="Wykazskrotowbold"/>
            </w:pPr>
            <w:r w:rsidRPr="008368C5">
              <w:t>SZRWRiR 2030</w:t>
            </w:r>
          </w:p>
        </w:tc>
        <w:tc>
          <w:tcPr>
            <w:tcW w:w="6882" w:type="dxa"/>
            <w:shd w:val="clear" w:color="auto" w:fill="auto"/>
            <w:vAlign w:val="center"/>
          </w:tcPr>
          <w:p w14:paraId="57B13939" w14:textId="77777777" w:rsidR="00425B78" w:rsidRPr="008368C5" w:rsidRDefault="00425B78" w:rsidP="00425B78">
            <w:pPr>
              <w:pStyle w:val="Wykazskrotow"/>
            </w:pPr>
            <w:r w:rsidRPr="00781F07">
              <w:t>Strategia zrównoważonego rozwoju wsi, rolnictwa i rybactwa 2030</w:t>
            </w:r>
          </w:p>
        </w:tc>
      </w:tr>
      <w:tr w:rsidR="00425B78" w:rsidRPr="008368C5" w14:paraId="3C563D70" w14:textId="77777777" w:rsidTr="00425B78">
        <w:trPr>
          <w:cantSplit/>
          <w:trHeight w:val="340"/>
        </w:trPr>
        <w:tc>
          <w:tcPr>
            <w:tcW w:w="2180" w:type="dxa"/>
            <w:shd w:val="clear" w:color="auto" w:fill="auto"/>
          </w:tcPr>
          <w:p w14:paraId="5AA2F75F" w14:textId="77777777" w:rsidR="00425B78" w:rsidRPr="008368C5" w:rsidRDefault="00425B78" w:rsidP="00425B78">
            <w:pPr>
              <w:pStyle w:val="Wykazskrotowbold"/>
            </w:pPr>
            <w:r w:rsidRPr="008368C5">
              <w:t>śdw</w:t>
            </w:r>
          </w:p>
        </w:tc>
        <w:tc>
          <w:tcPr>
            <w:tcW w:w="6882" w:type="dxa"/>
            <w:shd w:val="clear" w:color="auto" w:fill="auto"/>
          </w:tcPr>
          <w:p w14:paraId="38F8D027" w14:textId="77777777" w:rsidR="00425B78" w:rsidRPr="008368C5" w:rsidRDefault="00425B78" w:rsidP="00425B78">
            <w:pPr>
              <w:pStyle w:val="Wykazskrotow"/>
            </w:pPr>
            <w:r>
              <w:t>ś</w:t>
            </w:r>
            <w:r w:rsidRPr="008368C5">
              <w:t>ródlądowa droga wodna</w:t>
            </w:r>
          </w:p>
        </w:tc>
      </w:tr>
      <w:tr w:rsidR="00425B78" w:rsidRPr="008368C5" w14:paraId="1DE4F946" w14:textId="77777777" w:rsidTr="00425B78">
        <w:trPr>
          <w:trHeight w:val="340"/>
        </w:trPr>
        <w:tc>
          <w:tcPr>
            <w:tcW w:w="2180" w:type="dxa"/>
          </w:tcPr>
          <w:p w14:paraId="537FC049" w14:textId="77777777" w:rsidR="00425B78" w:rsidRPr="008368C5" w:rsidRDefault="00425B78" w:rsidP="00425B78">
            <w:pPr>
              <w:pStyle w:val="Wykazskrotowbold"/>
            </w:pPr>
            <w:r w:rsidRPr="008368C5">
              <w:t>TWG</w:t>
            </w:r>
          </w:p>
        </w:tc>
        <w:tc>
          <w:tcPr>
            <w:tcW w:w="6882" w:type="dxa"/>
          </w:tcPr>
          <w:p w14:paraId="67009F1D" w14:textId="77777777" w:rsidR="00425B78" w:rsidRPr="008368C5" w:rsidRDefault="00425B78" w:rsidP="00425B78">
            <w:pPr>
              <w:pStyle w:val="Wykazskrotow"/>
            </w:pPr>
            <w:r w:rsidRPr="008368C5">
              <w:t>Techniczna Grupa Robocza (</w:t>
            </w:r>
            <w:r w:rsidRPr="008368C5" w:rsidDel="00324950">
              <w:t xml:space="preserve">ang. </w:t>
            </w:r>
            <w:r w:rsidRPr="008368C5">
              <w:rPr>
                <w:i/>
                <w:iCs/>
              </w:rPr>
              <w:t>Technical Working Group</w:t>
            </w:r>
            <w:r w:rsidRPr="008368C5">
              <w:t>)</w:t>
            </w:r>
          </w:p>
        </w:tc>
      </w:tr>
      <w:tr w:rsidR="00425B78" w:rsidRPr="008368C5" w14:paraId="34F95118" w14:textId="77777777" w:rsidTr="00425B78">
        <w:trPr>
          <w:cantSplit/>
          <w:trHeight w:val="340"/>
        </w:trPr>
        <w:tc>
          <w:tcPr>
            <w:tcW w:w="2180" w:type="dxa"/>
            <w:shd w:val="clear" w:color="auto" w:fill="auto"/>
            <w:vAlign w:val="center"/>
          </w:tcPr>
          <w:p w14:paraId="743BAED2" w14:textId="77777777" w:rsidR="00425B78" w:rsidRPr="008368C5" w:rsidRDefault="00425B78" w:rsidP="00425B78">
            <w:pPr>
              <w:pStyle w:val="Wykazskrotowbold"/>
            </w:pPr>
            <w:r w:rsidRPr="008368C5">
              <w:t xml:space="preserve">u.i.o.ś. </w:t>
            </w:r>
          </w:p>
        </w:tc>
        <w:tc>
          <w:tcPr>
            <w:tcW w:w="6882" w:type="dxa"/>
            <w:shd w:val="clear" w:color="auto" w:fill="auto"/>
            <w:vAlign w:val="center"/>
          </w:tcPr>
          <w:p w14:paraId="30AE9791" w14:textId="77777777" w:rsidR="00425B78" w:rsidRPr="008368C5" w:rsidRDefault="00425B78" w:rsidP="00425B78">
            <w:pPr>
              <w:pStyle w:val="Wykazskrotow"/>
            </w:pPr>
            <w:r>
              <w:rPr>
                <w:rFonts w:eastAsia="Times New Roman"/>
                <w:color w:val="000000"/>
                <w:lang w:eastAsia="pl-PL"/>
              </w:rPr>
              <w:t>u</w:t>
            </w:r>
            <w:r w:rsidRPr="00795F17">
              <w:rPr>
                <w:rFonts w:eastAsia="Times New Roman"/>
                <w:color w:val="000000"/>
                <w:lang w:eastAsia="pl-PL"/>
              </w:rPr>
              <w:t>stawa z dnia 3 października 2008 r. o udostępnianiu informacji o środowisku i jego ochronie, udziale społeczeństwa w ochronie środowiska oraz o ocenach oddziaływania na środowisko (</w:t>
            </w:r>
            <w:r w:rsidRPr="00F9199B">
              <w:rPr>
                <w:rFonts w:eastAsia="Times New Roman"/>
                <w:color w:val="000000"/>
                <w:lang w:eastAsia="pl-PL"/>
              </w:rPr>
              <w:t>Dz. U. z 2021 r. poz. 2</w:t>
            </w:r>
            <w:r>
              <w:rPr>
                <w:rFonts w:eastAsia="Times New Roman"/>
                <w:color w:val="000000"/>
                <w:lang w:eastAsia="pl-PL"/>
              </w:rPr>
              <w:t>373,</w:t>
            </w:r>
            <w:r w:rsidRPr="00F9199B">
              <w:rPr>
                <w:rFonts w:eastAsia="Times New Roman"/>
                <w:color w:val="000000"/>
                <w:lang w:eastAsia="pl-PL"/>
              </w:rPr>
              <w:t xml:space="preserve"> z późn. zm</w:t>
            </w:r>
            <w:r>
              <w:rPr>
                <w:rFonts w:eastAsia="Times New Roman"/>
                <w:color w:val="000000"/>
                <w:lang w:eastAsia="pl-PL"/>
              </w:rPr>
              <w:t>.)</w:t>
            </w:r>
          </w:p>
        </w:tc>
      </w:tr>
      <w:tr w:rsidR="00425B78" w:rsidRPr="008368C5" w14:paraId="1CF056DC" w14:textId="77777777" w:rsidTr="00425B78">
        <w:trPr>
          <w:cantSplit/>
          <w:trHeight w:val="340"/>
        </w:trPr>
        <w:tc>
          <w:tcPr>
            <w:tcW w:w="2180" w:type="dxa"/>
            <w:shd w:val="clear" w:color="auto" w:fill="auto"/>
            <w:vAlign w:val="center"/>
          </w:tcPr>
          <w:p w14:paraId="5BA8E121" w14:textId="77777777" w:rsidR="00425B78" w:rsidRPr="008368C5" w:rsidRDefault="00425B78" w:rsidP="00425B78">
            <w:pPr>
              <w:pStyle w:val="Wykazskrotowbold"/>
            </w:pPr>
            <w:r w:rsidRPr="008368C5">
              <w:t xml:space="preserve">u.o.o. </w:t>
            </w:r>
          </w:p>
        </w:tc>
        <w:tc>
          <w:tcPr>
            <w:tcW w:w="6882" w:type="dxa"/>
            <w:shd w:val="clear" w:color="auto" w:fill="auto"/>
            <w:vAlign w:val="center"/>
          </w:tcPr>
          <w:p w14:paraId="78D19FE7" w14:textId="77777777" w:rsidR="00425B78" w:rsidRPr="008368C5" w:rsidRDefault="00425B78" w:rsidP="00425B78">
            <w:pPr>
              <w:pStyle w:val="Wykazskrotow"/>
            </w:pPr>
            <w:r>
              <w:rPr>
                <w:rFonts w:eastAsia="Times New Roman"/>
                <w:color w:val="000000"/>
                <w:lang w:eastAsia="pl-PL"/>
              </w:rPr>
              <w:t>u</w:t>
            </w:r>
            <w:r w:rsidRPr="00795F17">
              <w:rPr>
                <w:rFonts w:eastAsia="Times New Roman"/>
                <w:color w:val="000000"/>
                <w:lang w:eastAsia="pl-PL"/>
              </w:rPr>
              <w:t>stawa z dnia 14 grudnia 2012 r. o odpadach (</w:t>
            </w:r>
            <w:r w:rsidRPr="009C1F49">
              <w:rPr>
                <w:rFonts w:eastAsia="Times New Roman"/>
                <w:color w:val="000000"/>
                <w:lang w:eastAsia="pl-PL"/>
              </w:rPr>
              <w:t>Dz. U. z 202</w:t>
            </w:r>
            <w:r>
              <w:rPr>
                <w:rFonts w:eastAsia="Times New Roman"/>
                <w:color w:val="000000"/>
                <w:lang w:eastAsia="pl-PL"/>
              </w:rPr>
              <w:t>2</w:t>
            </w:r>
            <w:r w:rsidRPr="009C1F49">
              <w:rPr>
                <w:rFonts w:eastAsia="Times New Roman"/>
                <w:color w:val="000000"/>
                <w:lang w:eastAsia="pl-PL"/>
              </w:rPr>
              <w:t xml:space="preserve"> r. poz. </w:t>
            </w:r>
            <w:r>
              <w:rPr>
                <w:rFonts w:eastAsia="Times New Roman"/>
                <w:color w:val="000000"/>
                <w:lang w:eastAsia="pl-PL"/>
              </w:rPr>
              <w:t>69</w:t>
            </w:r>
            <w:r w:rsidRPr="009C1F49">
              <w:rPr>
                <w:rFonts w:eastAsia="Times New Roman"/>
                <w:color w:val="000000"/>
                <w:lang w:eastAsia="pl-PL"/>
              </w:rPr>
              <w:t>9</w:t>
            </w:r>
            <w:r>
              <w:rPr>
                <w:rFonts w:eastAsia="Times New Roman"/>
                <w:color w:val="000000"/>
                <w:lang w:eastAsia="pl-PL"/>
              </w:rPr>
              <w:t>)</w:t>
            </w:r>
          </w:p>
        </w:tc>
      </w:tr>
      <w:tr w:rsidR="00425B78" w:rsidRPr="008368C5" w14:paraId="4C024135" w14:textId="77777777" w:rsidTr="00425B78">
        <w:trPr>
          <w:cantSplit/>
          <w:trHeight w:val="340"/>
        </w:trPr>
        <w:tc>
          <w:tcPr>
            <w:tcW w:w="2180" w:type="dxa"/>
            <w:shd w:val="clear" w:color="auto" w:fill="auto"/>
            <w:vAlign w:val="center"/>
          </w:tcPr>
          <w:p w14:paraId="4B40E5CD" w14:textId="77777777" w:rsidR="00425B78" w:rsidRPr="008368C5" w:rsidRDefault="00425B78" w:rsidP="00425B78">
            <w:pPr>
              <w:pStyle w:val="Wykazskrotowbold"/>
            </w:pPr>
            <w:r w:rsidRPr="008368C5">
              <w:t>u.o.p</w:t>
            </w:r>
          </w:p>
        </w:tc>
        <w:tc>
          <w:tcPr>
            <w:tcW w:w="6882" w:type="dxa"/>
            <w:shd w:val="clear" w:color="auto" w:fill="auto"/>
            <w:vAlign w:val="center"/>
          </w:tcPr>
          <w:p w14:paraId="13BCC5F0" w14:textId="77777777" w:rsidR="00425B78" w:rsidRPr="008368C5" w:rsidRDefault="00425B78" w:rsidP="00425B78">
            <w:pPr>
              <w:pStyle w:val="Wykazskrotow"/>
            </w:pPr>
            <w:r>
              <w:rPr>
                <w:rFonts w:eastAsia="Times New Roman"/>
                <w:color w:val="000000"/>
                <w:lang w:eastAsia="pl-PL"/>
              </w:rPr>
              <w:t>u</w:t>
            </w:r>
            <w:r w:rsidRPr="00795F17">
              <w:rPr>
                <w:rFonts w:eastAsia="Times New Roman"/>
                <w:color w:val="000000"/>
                <w:lang w:eastAsia="pl-PL"/>
              </w:rPr>
              <w:t>stawa z dnia 16 kwietnia 2004 r. o ochronie przyrody (Dz.U. z 202</w:t>
            </w:r>
            <w:r>
              <w:rPr>
                <w:rFonts w:eastAsia="Times New Roman"/>
                <w:color w:val="000000"/>
                <w:lang w:eastAsia="pl-PL"/>
              </w:rPr>
              <w:t>1</w:t>
            </w:r>
            <w:r w:rsidRPr="00795F17">
              <w:rPr>
                <w:rFonts w:eastAsia="Times New Roman"/>
                <w:color w:val="000000"/>
                <w:lang w:eastAsia="pl-PL"/>
              </w:rPr>
              <w:t> r. poz. </w:t>
            </w:r>
            <w:r>
              <w:rPr>
                <w:rFonts w:eastAsia="Times New Roman"/>
                <w:color w:val="000000"/>
                <w:lang w:eastAsia="pl-PL"/>
              </w:rPr>
              <w:t>1098, z późn. zm.</w:t>
            </w:r>
            <w:r w:rsidRPr="00795F17">
              <w:rPr>
                <w:rFonts w:eastAsia="Times New Roman"/>
                <w:color w:val="000000"/>
                <w:lang w:eastAsia="pl-PL"/>
              </w:rPr>
              <w:t>)</w:t>
            </w:r>
          </w:p>
        </w:tc>
      </w:tr>
      <w:tr w:rsidR="00425B78" w:rsidRPr="008368C5" w14:paraId="2A0264ED" w14:textId="77777777" w:rsidTr="00425B78">
        <w:trPr>
          <w:cantSplit/>
          <w:trHeight w:val="340"/>
        </w:trPr>
        <w:tc>
          <w:tcPr>
            <w:tcW w:w="2180" w:type="dxa"/>
            <w:shd w:val="clear" w:color="auto" w:fill="auto"/>
          </w:tcPr>
          <w:p w14:paraId="0D8C70DD" w14:textId="77777777" w:rsidR="00425B78" w:rsidRPr="008368C5" w:rsidDel="004934AF" w:rsidRDefault="00425B78" w:rsidP="00425B78">
            <w:pPr>
              <w:pStyle w:val="Wykazskrotowbold"/>
            </w:pPr>
            <w:r w:rsidRPr="008368C5">
              <w:t>u.p.i.s</w:t>
            </w:r>
            <w:r>
              <w:t>.</w:t>
            </w:r>
          </w:p>
        </w:tc>
        <w:tc>
          <w:tcPr>
            <w:tcW w:w="6882" w:type="dxa"/>
            <w:shd w:val="clear" w:color="auto" w:fill="auto"/>
          </w:tcPr>
          <w:p w14:paraId="5FD28342" w14:textId="77777777" w:rsidR="00425B78" w:rsidRPr="008368C5" w:rsidRDefault="00425B78" w:rsidP="00425B78">
            <w:pPr>
              <w:pStyle w:val="Wykazskrotow"/>
            </w:pPr>
            <w:r>
              <w:rPr>
                <w:rFonts w:eastAsia="Times New Roman"/>
                <w:color w:val="000000"/>
                <w:lang w:eastAsia="pl-PL"/>
              </w:rPr>
              <w:t>u</w:t>
            </w:r>
            <w:r w:rsidRPr="00795F17">
              <w:rPr>
                <w:rFonts w:eastAsia="Times New Roman"/>
                <w:color w:val="000000"/>
                <w:lang w:eastAsia="pl-PL"/>
              </w:rPr>
              <w:t>stawa z dnia 14 marca 1985 r. o Państwowej Inspekcji Sanitarnej (Dz.</w:t>
            </w:r>
            <w:r>
              <w:rPr>
                <w:rFonts w:eastAsia="Times New Roman"/>
                <w:color w:val="000000"/>
                <w:lang w:eastAsia="pl-PL"/>
              </w:rPr>
              <w:t xml:space="preserve"> </w:t>
            </w:r>
            <w:r w:rsidRPr="00795F17">
              <w:rPr>
                <w:rFonts w:eastAsia="Times New Roman"/>
                <w:color w:val="000000"/>
                <w:lang w:eastAsia="pl-PL"/>
              </w:rPr>
              <w:t>U. z 2021 r. poz. 195</w:t>
            </w:r>
            <w:r>
              <w:rPr>
                <w:rFonts w:eastAsia="Times New Roman"/>
                <w:color w:val="000000"/>
                <w:lang w:eastAsia="pl-PL"/>
              </w:rPr>
              <w:t>, z późn. zm.</w:t>
            </w:r>
            <w:r w:rsidRPr="00795F17">
              <w:rPr>
                <w:rFonts w:eastAsia="Times New Roman"/>
                <w:color w:val="000000"/>
                <w:lang w:eastAsia="pl-PL"/>
              </w:rPr>
              <w:t>)</w:t>
            </w:r>
          </w:p>
        </w:tc>
      </w:tr>
      <w:tr w:rsidR="00425B78" w:rsidRPr="008368C5" w14:paraId="73D68746" w14:textId="77777777" w:rsidTr="00425B78">
        <w:trPr>
          <w:cantSplit/>
          <w:trHeight w:val="340"/>
        </w:trPr>
        <w:tc>
          <w:tcPr>
            <w:tcW w:w="2180" w:type="dxa"/>
            <w:shd w:val="clear" w:color="auto" w:fill="auto"/>
            <w:vAlign w:val="center"/>
          </w:tcPr>
          <w:p w14:paraId="38E6ABCB" w14:textId="77777777" w:rsidR="00425B78" w:rsidRPr="008368C5" w:rsidRDefault="00425B78" w:rsidP="00425B78">
            <w:pPr>
              <w:pStyle w:val="Wykazskrotowbold"/>
            </w:pPr>
            <w:r w:rsidRPr="008368C5">
              <w:t>u.p.i.z.p</w:t>
            </w:r>
          </w:p>
        </w:tc>
        <w:tc>
          <w:tcPr>
            <w:tcW w:w="6882" w:type="dxa"/>
            <w:shd w:val="clear" w:color="auto" w:fill="auto"/>
            <w:vAlign w:val="center"/>
          </w:tcPr>
          <w:p w14:paraId="04596078" w14:textId="77777777" w:rsidR="00425B78" w:rsidRPr="008368C5" w:rsidRDefault="00425B78" w:rsidP="00425B78">
            <w:pPr>
              <w:pStyle w:val="Wykazskrotow"/>
            </w:pPr>
            <w:r>
              <w:rPr>
                <w:rFonts w:eastAsia="Times New Roman"/>
                <w:color w:val="000000"/>
                <w:lang w:eastAsia="pl-PL"/>
              </w:rPr>
              <w:t>u</w:t>
            </w:r>
            <w:r w:rsidRPr="00795F17">
              <w:rPr>
                <w:rFonts w:eastAsia="Times New Roman"/>
                <w:color w:val="000000"/>
                <w:lang w:eastAsia="pl-PL"/>
              </w:rPr>
              <w:t>stawa z dnia 27 marca 2003 r. o planowaniu i zagospodarowaniu przestrzennym (Dz.</w:t>
            </w:r>
            <w:r>
              <w:rPr>
                <w:rFonts w:eastAsia="Times New Roman"/>
                <w:color w:val="000000"/>
                <w:lang w:eastAsia="pl-PL"/>
              </w:rPr>
              <w:t xml:space="preserve"> </w:t>
            </w:r>
            <w:r w:rsidRPr="00795F17">
              <w:rPr>
                <w:rFonts w:eastAsia="Times New Roman"/>
                <w:color w:val="000000"/>
                <w:lang w:eastAsia="pl-PL"/>
              </w:rPr>
              <w:t>U. z </w:t>
            </w:r>
            <w:r w:rsidRPr="00AB2D5A">
              <w:rPr>
                <w:rFonts w:eastAsia="Times New Roman"/>
                <w:color w:val="000000"/>
                <w:lang w:eastAsia="pl-PL"/>
              </w:rPr>
              <w:t>202</w:t>
            </w:r>
            <w:r>
              <w:rPr>
                <w:rFonts w:eastAsia="Times New Roman"/>
                <w:color w:val="000000"/>
                <w:lang w:eastAsia="pl-PL"/>
              </w:rPr>
              <w:t>2</w:t>
            </w:r>
            <w:r w:rsidRPr="00AB2D5A">
              <w:rPr>
                <w:rFonts w:eastAsia="Times New Roman"/>
                <w:color w:val="000000"/>
                <w:lang w:eastAsia="pl-PL"/>
              </w:rPr>
              <w:t xml:space="preserve"> r. poz. </w:t>
            </w:r>
            <w:r>
              <w:rPr>
                <w:rFonts w:eastAsia="Times New Roman"/>
                <w:color w:val="000000"/>
                <w:lang w:eastAsia="pl-PL"/>
              </w:rPr>
              <w:t>503)</w:t>
            </w:r>
          </w:p>
        </w:tc>
      </w:tr>
      <w:tr w:rsidR="00425B78" w:rsidRPr="008368C5" w14:paraId="25FF419B" w14:textId="77777777" w:rsidTr="00425B78">
        <w:trPr>
          <w:cantSplit/>
          <w:trHeight w:val="340"/>
        </w:trPr>
        <w:tc>
          <w:tcPr>
            <w:tcW w:w="2180" w:type="dxa"/>
            <w:shd w:val="clear" w:color="auto" w:fill="auto"/>
            <w:vAlign w:val="center"/>
          </w:tcPr>
          <w:p w14:paraId="081084AA" w14:textId="77777777" w:rsidR="00425B78" w:rsidRPr="008368C5" w:rsidDel="004934AF" w:rsidRDefault="00425B78" w:rsidP="00425B78">
            <w:pPr>
              <w:pStyle w:val="Wykazskrotowbold"/>
            </w:pPr>
            <w:r w:rsidRPr="008368C5">
              <w:t>u.s.g.</w:t>
            </w:r>
          </w:p>
        </w:tc>
        <w:tc>
          <w:tcPr>
            <w:tcW w:w="6882" w:type="dxa"/>
            <w:shd w:val="clear" w:color="auto" w:fill="auto"/>
            <w:vAlign w:val="center"/>
          </w:tcPr>
          <w:p w14:paraId="7CBE2786" w14:textId="77777777" w:rsidR="00425B78" w:rsidRPr="008368C5" w:rsidRDefault="00425B78" w:rsidP="00425B78">
            <w:pPr>
              <w:pStyle w:val="Wykazskrotow"/>
            </w:pPr>
            <w:r>
              <w:rPr>
                <w:rFonts w:eastAsia="Times New Roman"/>
                <w:color w:val="000000"/>
                <w:lang w:eastAsia="pl-PL"/>
              </w:rPr>
              <w:t>u</w:t>
            </w:r>
            <w:r w:rsidRPr="00795F17">
              <w:rPr>
                <w:rFonts w:eastAsia="Times New Roman"/>
                <w:color w:val="000000"/>
                <w:lang w:eastAsia="pl-PL"/>
              </w:rPr>
              <w:t>stawa z dnia 8 marca 1990 r. o samorządzie gminnym (Dz.</w:t>
            </w:r>
            <w:r>
              <w:rPr>
                <w:rFonts w:eastAsia="Times New Roman"/>
                <w:color w:val="000000"/>
                <w:lang w:eastAsia="pl-PL"/>
              </w:rPr>
              <w:t xml:space="preserve"> </w:t>
            </w:r>
            <w:r w:rsidRPr="00795F17">
              <w:rPr>
                <w:rFonts w:eastAsia="Times New Roman"/>
                <w:color w:val="000000"/>
                <w:lang w:eastAsia="pl-PL"/>
              </w:rPr>
              <w:t>U. z 202</w:t>
            </w:r>
            <w:r>
              <w:rPr>
                <w:rFonts w:eastAsia="Times New Roman"/>
                <w:color w:val="000000"/>
                <w:lang w:eastAsia="pl-PL"/>
              </w:rPr>
              <w:t>2</w:t>
            </w:r>
            <w:r w:rsidRPr="00795F17">
              <w:rPr>
                <w:rFonts w:eastAsia="Times New Roman"/>
                <w:color w:val="000000"/>
                <w:lang w:eastAsia="pl-PL"/>
              </w:rPr>
              <w:t> r. poz. </w:t>
            </w:r>
            <w:r>
              <w:rPr>
                <w:rFonts w:eastAsia="Times New Roman"/>
                <w:color w:val="000000"/>
                <w:lang w:eastAsia="pl-PL"/>
              </w:rPr>
              <w:t>559, z późn. zm.</w:t>
            </w:r>
            <w:r w:rsidRPr="00795F17">
              <w:rPr>
                <w:rFonts w:eastAsia="Times New Roman"/>
                <w:color w:val="000000"/>
                <w:lang w:eastAsia="pl-PL"/>
              </w:rPr>
              <w:t>)</w:t>
            </w:r>
          </w:p>
        </w:tc>
      </w:tr>
      <w:tr w:rsidR="00425B78" w:rsidRPr="008368C5" w14:paraId="65C01375" w14:textId="77777777" w:rsidTr="00425B78">
        <w:trPr>
          <w:cantSplit/>
          <w:trHeight w:val="340"/>
        </w:trPr>
        <w:tc>
          <w:tcPr>
            <w:tcW w:w="2180" w:type="dxa"/>
            <w:shd w:val="clear" w:color="auto" w:fill="auto"/>
            <w:vAlign w:val="center"/>
          </w:tcPr>
          <w:p w14:paraId="4C84AFF3" w14:textId="77777777" w:rsidR="00425B78" w:rsidRPr="008368C5" w:rsidRDefault="00425B78" w:rsidP="00425B78">
            <w:pPr>
              <w:pStyle w:val="Wykazskrotowbold"/>
            </w:pPr>
            <w:r w:rsidRPr="00795F17">
              <w:rPr>
                <w:rFonts w:eastAsia="Times New Roman"/>
                <w:color w:val="000000"/>
                <w:lang w:eastAsia="pl-PL"/>
              </w:rPr>
              <w:t>u.z.z.w.o.ś</w:t>
            </w:r>
          </w:p>
        </w:tc>
        <w:tc>
          <w:tcPr>
            <w:tcW w:w="6882" w:type="dxa"/>
            <w:shd w:val="clear" w:color="auto" w:fill="auto"/>
            <w:vAlign w:val="center"/>
          </w:tcPr>
          <w:p w14:paraId="195ED28C" w14:textId="77777777" w:rsidR="00425B78" w:rsidRPr="008368C5" w:rsidRDefault="00425B78" w:rsidP="00425B78">
            <w:pPr>
              <w:pStyle w:val="Wykazskrotow"/>
            </w:pPr>
            <w:r>
              <w:rPr>
                <w:rFonts w:eastAsia="Times New Roman"/>
                <w:color w:val="000000"/>
                <w:lang w:eastAsia="pl-PL"/>
              </w:rPr>
              <w:t>u</w:t>
            </w:r>
            <w:r w:rsidRPr="00795F17">
              <w:rPr>
                <w:rFonts w:eastAsia="Times New Roman"/>
                <w:color w:val="000000"/>
                <w:lang w:eastAsia="pl-PL"/>
              </w:rPr>
              <w:t>stawa z dnia 7 czerwca 2001 r. o zbiorowym zaopatrzeniu w wodę i zbiorowym odprowadzaniu ścieków (Dz.</w:t>
            </w:r>
            <w:r>
              <w:rPr>
                <w:rFonts w:eastAsia="Times New Roman"/>
                <w:color w:val="000000"/>
                <w:lang w:eastAsia="pl-PL"/>
              </w:rPr>
              <w:t xml:space="preserve"> </w:t>
            </w:r>
            <w:r w:rsidRPr="00795F17">
              <w:rPr>
                <w:rFonts w:eastAsia="Times New Roman"/>
                <w:color w:val="000000"/>
                <w:lang w:eastAsia="pl-PL"/>
              </w:rPr>
              <w:t>U. z 2020 r. poz. 2028)</w:t>
            </w:r>
          </w:p>
        </w:tc>
      </w:tr>
      <w:tr w:rsidR="00425B78" w:rsidRPr="008368C5" w14:paraId="2DBBAEAF" w14:textId="77777777" w:rsidTr="00425B78">
        <w:trPr>
          <w:trHeight w:val="340"/>
        </w:trPr>
        <w:tc>
          <w:tcPr>
            <w:tcW w:w="2180" w:type="dxa"/>
            <w:shd w:val="clear" w:color="auto" w:fill="auto"/>
            <w:vAlign w:val="center"/>
          </w:tcPr>
          <w:p w14:paraId="14B75E1A" w14:textId="77777777" w:rsidR="00425B78" w:rsidRPr="008368C5" w:rsidRDefault="00425B78" w:rsidP="00425B78">
            <w:pPr>
              <w:pStyle w:val="Wykazskrotowbold"/>
            </w:pPr>
            <w:r w:rsidRPr="008368C5">
              <w:t>UETWG</w:t>
            </w:r>
          </w:p>
        </w:tc>
        <w:tc>
          <w:tcPr>
            <w:tcW w:w="6882" w:type="dxa"/>
            <w:shd w:val="clear" w:color="auto" w:fill="auto"/>
            <w:vAlign w:val="center"/>
          </w:tcPr>
          <w:p w14:paraId="59A1C2D1" w14:textId="77777777" w:rsidR="00425B78" w:rsidRPr="008368C5" w:rsidRDefault="00425B78" w:rsidP="00425B78">
            <w:pPr>
              <w:pStyle w:val="Wykazskrotow"/>
            </w:pPr>
            <w:r w:rsidRPr="008368C5">
              <w:t>Unia Europejska</w:t>
            </w:r>
            <w:r>
              <w:t xml:space="preserve"> </w:t>
            </w:r>
            <w:r w:rsidRPr="008368C5">
              <w:t xml:space="preserve">Techniczna Grupa Robocza (ang. </w:t>
            </w:r>
            <w:r w:rsidRPr="008368C5">
              <w:rPr>
                <w:i/>
                <w:iCs/>
              </w:rPr>
              <w:t>Technical Working Group</w:t>
            </w:r>
            <w:r w:rsidRPr="008368C5">
              <w:t>)</w:t>
            </w:r>
          </w:p>
        </w:tc>
      </w:tr>
      <w:tr w:rsidR="00425B78" w:rsidRPr="008368C5" w14:paraId="2D5DE08F" w14:textId="77777777" w:rsidTr="00425B78">
        <w:trPr>
          <w:cantSplit/>
          <w:trHeight w:val="340"/>
        </w:trPr>
        <w:tc>
          <w:tcPr>
            <w:tcW w:w="2180" w:type="dxa"/>
            <w:shd w:val="clear" w:color="auto" w:fill="auto"/>
            <w:vAlign w:val="center"/>
          </w:tcPr>
          <w:p w14:paraId="1429327D" w14:textId="77777777" w:rsidR="00425B78" w:rsidRPr="008368C5" w:rsidRDefault="00425B78" w:rsidP="00425B78">
            <w:pPr>
              <w:pStyle w:val="Wykazskrotowbold"/>
            </w:pPr>
            <w:r w:rsidRPr="008368C5">
              <w:t>WFOŚiGW</w:t>
            </w:r>
          </w:p>
        </w:tc>
        <w:tc>
          <w:tcPr>
            <w:tcW w:w="6882" w:type="dxa"/>
            <w:shd w:val="clear" w:color="auto" w:fill="auto"/>
            <w:vAlign w:val="center"/>
          </w:tcPr>
          <w:p w14:paraId="0B82A0C2" w14:textId="77777777" w:rsidR="00425B78" w:rsidRPr="008368C5" w:rsidRDefault="00425B78" w:rsidP="00425B78">
            <w:pPr>
              <w:pStyle w:val="Wykazskrotow"/>
            </w:pPr>
            <w:r w:rsidRPr="008368C5">
              <w:t xml:space="preserve">Wojewódzki Fundusz Ochrony Środowiska i Gospodarki Wodnej </w:t>
            </w:r>
          </w:p>
        </w:tc>
      </w:tr>
      <w:tr w:rsidR="00425B78" w:rsidRPr="008368C5" w14:paraId="1F4ECAC5" w14:textId="77777777" w:rsidTr="00425B78">
        <w:trPr>
          <w:cantSplit/>
          <w:trHeight w:val="340"/>
        </w:trPr>
        <w:tc>
          <w:tcPr>
            <w:tcW w:w="2180" w:type="dxa"/>
            <w:shd w:val="clear" w:color="auto" w:fill="auto"/>
            <w:vAlign w:val="center"/>
          </w:tcPr>
          <w:p w14:paraId="057C9CA1" w14:textId="77777777" w:rsidR="00425B78" w:rsidRPr="008368C5" w:rsidRDefault="00425B78" w:rsidP="00425B78">
            <w:pPr>
              <w:pStyle w:val="Wykazskrotowbold"/>
            </w:pPr>
            <w:r w:rsidRPr="008368C5">
              <w:t>WIOŚ</w:t>
            </w:r>
          </w:p>
        </w:tc>
        <w:tc>
          <w:tcPr>
            <w:tcW w:w="6882" w:type="dxa"/>
            <w:shd w:val="clear" w:color="auto" w:fill="auto"/>
            <w:vAlign w:val="center"/>
          </w:tcPr>
          <w:p w14:paraId="18917554" w14:textId="77777777" w:rsidR="00425B78" w:rsidRPr="008368C5" w:rsidRDefault="00425B78" w:rsidP="00425B78">
            <w:pPr>
              <w:pStyle w:val="Wykazskrotow"/>
            </w:pPr>
            <w:r w:rsidRPr="008368C5">
              <w:t>Wojewódzki Inspektorat Ochrony Środowiska</w:t>
            </w:r>
          </w:p>
        </w:tc>
      </w:tr>
      <w:tr w:rsidR="00425B78" w:rsidRPr="008368C5" w14:paraId="2EC2B1F4" w14:textId="77777777" w:rsidTr="004E24D2">
        <w:trPr>
          <w:cantSplit/>
          <w:trHeight w:val="340"/>
        </w:trPr>
        <w:tc>
          <w:tcPr>
            <w:tcW w:w="2180" w:type="dxa"/>
            <w:shd w:val="clear" w:color="auto" w:fill="auto"/>
          </w:tcPr>
          <w:p w14:paraId="2CC5A456" w14:textId="77777777" w:rsidR="00425B78" w:rsidRPr="008368C5" w:rsidRDefault="00425B78" w:rsidP="00425B78">
            <w:pPr>
              <w:pStyle w:val="Wykazskrotowbold"/>
            </w:pPr>
            <w:r w:rsidRPr="008368C5">
              <w:t>Wip</w:t>
            </w:r>
          </w:p>
        </w:tc>
        <w:tc>
          <w:tcPr>
            <w:tcW w:w="6882" w:type="dxa"/>
            <w:shd w:val="clear" w:color="auto" w:fill="auto"/>
            <w:vAlign w:val="center"/>
          </w:tcPr>
          <w:p w14:paraId="353E36A2" w14:textId="77777777" w:rsidR="00425B78" w:rsidRPr="008368C5" w:rsidRDefault="00425B78" w:rsidP="00425B78">
            <w:pPr>
              <w:pStyle w:val="Wykazskrotow"/>
            </w:pPr>
            <w:r>
              <w:t>w</w:t>
            </w:r>
            <w:r w:rsidRPr="008368C5">
              <w:t xml:space="preserve">skaźnik istotności presji w danej </w:t>
            </w:r>
            <w:r>
              <w:t>JCWPd</w:t>
            </w:r>
          </w:p>
        </w:tc>
      </w:tr>
      <w:tr w:rsidR="00425B78" w:rsidRPr="008368C5" w14:paraId="2C2AFAAA" w14:textId="77777777" w:rsidTr="00425B78">
        <w:trPr>
          <w:trHeight w:val="340"/>
        </w:trPr>
        <w:tc>
          <w:tcPr>
            <w:tcW w:w="2180" w:type="dxa"/>
          </w:tcPr>
          <w:p w14:paraId="7E31B3F4" w14:textId="77777777" w:rsidR="00425B78" w:rsidRPr="008368C5" w:rsidRDefault="00425B78" w:rsidP="00425B78">
            <w:pPr>
              <w:pStyle w:val="Wykazskrotowbold"/>
            </w:pPr>
            <w:r w:rsidRPr="008368C5">
              <w:t>Wpd</w:t>
            </w:r>
          </w:p>
        </w:tc>
        <w:tc>
          <w:tcPr>
            <w:tcW w:w="6882" w:type="dxa"/>
          </w:tcPr>
          <w:p w14:paraId="53D1A16F" w14:textId="77777777" w:rsidR="00425B78" w:rsidRPr="008368C5" w:rsidRDefault="00425B78" w:rsidP="00425B78">
            <w:pPr>
              <w:pStyle w:val="Wykazskrotow"/>
            </w:pPr>
            <w:r>
              <w:t>w</w:t>
            </w:r>
            <w:r w:rsidRPr="008368C5">
              <w:t>skaźnik prawdopodobieństwa występowania deficytu wody na cele zaopatrzenia ludności w wodę</w:t>
            </w:r>
          </w:p>
        </w:tc>
      </w:tr>
      <w:tr w:rsidR="00425B78" w:rsidRPr="008368C5" w14:paraId="5D412D79" w14:textId="77777777" w:rsidTr="00425B78">
        <w:trPr>
          <w:trHeight w:val="340"/>
        </w:trPr>
        <w:tc>
          <w:tcPr>
            <w:tcW w:w="2180" w:type="dxa"/>
            <w:shd w:val="clear" w:color="auto" w:fill="auto"/>
            <w:vAlign w:val="center"/>
          </w:tcPr>
          <w:p w14:paraId="07DF0F59" w14:textId="77777777" w:rsidR="00425B78" w:rsidRPr="008368C5" w:rsidRDefault="00425B78" w:rsidP="00425B78">
            <w:pPr>
              <w:pStyle w:val="Wykazskrotowbold"/>
            </w:pPr>
            <w:r w:rsidRPr="008368C5">
              <w:t>WPGO</w:t>
            </w:r>
          </w:p>
        </w:tc>
        <w:tc>
          <w:tcPr>
            <w:tcW w:w="6882" w:type="dxa"/>
            <w:shd w:val="clear" w:color="auto" w:fill="auto"/>
            <w:vAlign w:val="center"/>
          </w:tcPr>
          <w:p w14:paraId="135C76AB" w14:textId="77777777" w:rsidR="00425B78" w:rsidRPr="008368C5" w:rsidRDefault="00425B78" w:rsidP="00425B78">
            <w:pPr>
              <w:pStyle w:val="Wykazskrotow"/>
            </w:pPr>
            <w:r>
              <w:t>w</w:t>
            </w:r>
            <w:r w:rsidRPr="008368C5">
              <w:t>ojewódzkie plany gospodarki odpadami</w:t>
            </w:r>
          </w:p>
        </w:tc>
      </w:tr>
      <w:tr w:rsidR="00425B78" w:rsidRPr="008368C5" w14:paraId="6EE8806F" w14:textId="77777777" w:rsidTr="00425B78">
        <w:trPr>
          <w:cantSplit/>
          <w:trHeight w:val="340"/>
        </w:trPr>
        <w:tc>
          <w:tcPr>
            <w:tcW w:w="2180" w:type="dxa"/>
            <w:shd w:val="clear" w:color="auto" w:fill="auto"/>
            <w:vAlign w:val="center"/>
          </w:tcPr>
          <w:p w14:paraId="287A735E" w14:textId="77777777" w:rsidR="00425B78" w:rsidRPr="008368C5" w:rsidRDefault="00425B78" w:rsidP="00425B78">
            <w:pPr>
              <w:pStyle w:val="Wykazskrotowbold"/>
            </w:pPr>
            <w:r w:rsidRPr="008368C5">
              <w:t>WPR</w:t>
            </w:r>
          </w:p>
        </w:tc>
        <w:tc>
          <w:tcPr>
            <w:tcW w:w="6882" w:type="dxa"/>
            <w:shd w:val="clear" w:color="auto" w:fill="auto"/>
            <w:vAlign w:val="center"/>
          </w:tcPr>
          <w:p w14:paraId="7CA8B303" w14:textId="77777777" w:rsidR="00425B78" w:rsidRPr="008368C5" w:rsidRDefault="00425B78" w:rsidP="00425B78">
            <w:pPr>
              <w:pStyle w:val="Wykazskrotow"/>
            </w:pPr>
            <w:r>
              <w:t>w</w:t>
            </w:r>
            <w:r w:rsidRPr="008368C5">
              <w:t>spólna polityka rolna</w:t>
            </w:r>
          </w:p>
        </w:tc>
      </w:tr>
      <w:tr w:rsidR="00425B78" w:rsidRPr="008368C5" w14:paraId="6CCE3173" w14:textId="77777777" w:rsidTr="00425B78">
        <w:trPr>
          <w:cantSplit/>
          <w:trHeight w:val="340"/>
        </w:trPr>
        <w:tc>
          <w:tcPr>
            <w:tcW w:w="2180" w:type="dxa"/>
            <w:shd w:val="clear" w:color="auto" w:fill="auto"/>
            <w:vAlign w:val="center"/>
          </w:tcPr>
          <w:p w14:paraId="68941663" w14:textId="77777777" w:rsidR="00425B78" w:rsidRPr="008368C5" w:rsidRDefault="00425B78" w:rsidP="00425B78">
            <w:pPr>
              <w:pStyle w:val="Wykazskrotowbold"/>
            </w:pPr>
            <w:r w:rsidRPr="008368C5">
              <w:t>WPRyb</w:t>
            </w:r>
          </w:p>
        </w:tc>
        <w:tc>
          <w:tcPr>
            <w:tcW w:w="6882" w:type="dxa"/>
            <w:shd w:val="clear" w:color="auto" w:fill="auto"/>
            <w:vAlign w:val="center"/>
          </w:tcPr>
          <w:p w14:paraId="142BBBBE" w14:textId="77777777" w:rsidR="00425B78" w:rsidRPr="008368C5" w:rsidRDefault="00425B78" w:rsidP="00425B78">
            <w:pPr>
              <w:pStyle w:val="Wykazskrotow"/>
            </w:pPr>
            <w:r>
              <w:t>w</w:t>
            </w:r>
            <w:r w:rsidRPr="008368C5">
              <w:t>spólna polityka rybołówstwa</w:t>
            </w:r>
          </w:p>
        </w:tc>
      </w:tr>
      <w:tr w:rsidR="00425B78" w:rsidRPr="008368C5" w14:paraId="6C8A7061" w14:textId="77777777" w:rsidTr="00425B78">
        <w:trPr>
          <w:cantSplit/>
          <w:trHeight w:val="340"/>
        </w:trPr>
        <w:tc>
          <w:tcPr>
            <w:tcW w:w="2180" w:type="dxa"/>
            <w:shd w:val="clear" w:color="auto" w:fill="auto"/>
            <w:vAlign w:val="center"/>
          </w:tcPr>
          <w:p w14:paraId="3D4C0948" w14:textId="77777777" w:rsidR="00425B78" w:rsidRPr="008368C5" w:rsidRDefault="00425B78" w:rsidP="00425B78">
            <w:pPr>
              <w:pStyle w:val="Wykazskrotowbold"/>
            </w:pPr>
            <w:r w:rsidRPr="008368C5">
              <w:t>WskWp</w:t>
            </w:r>
          </w:p>
        </w:tc>
        <w:tc>
          <w:tcPr>
            <w:tcW w:w="6882" w:type="dxa"/>
            <w:shd w:val="clear" w:color="auto" w:fill="auto"/>
            <w:vAlign w:val="center"/>
          </w:tcPr>
          <w:p w14:paraId="290CD66A" w14:textId="77777777" w:rsidR="00425B78" w:rsidRPr="008368C5" w:rsidRDefault="00425B78" w:rsidP="00425B78">
            <w:pPr>
              <w:pStyle w:val="Wykazskrotow"/>
            </w:pPr>
            <w:r>
              <w:t>w</w:t>
            </w:r>
            <w:r w:rsidRPr="008368C5">
              <w:t>skaźnik zmiany ekosystemu</w:t>
            </w:r>
          </w:p>
        </w:tc>
      </w:tr>
      <w:tr w:rsidR="00425B78" w:rsidRPr="008368C5" w14:paraId="712F5C3D" w14:textId="77777777" w:rsidTr="00425B78">
        <w:trPr>
          <w:cantSplit/>
          <w:trHeight w:val="340"/>
        </w:trPr>
        <w:tc>
          <w:tcPr>
            <w:tcW w:w="2180" w:type="dxa"/>
            <w:shd w:val="clear" w:color="auto" w:fill="auto"/>
            <w:vAlign w:val="center"/>
          </w:tcPr>
          <w:p w14:paraId="16062B35" w14:textId="77777777" w:rsidR="00425B78" w:rsidRPr="008368C5" w:rsidRDefault="00425B78" w:rsidP="00425B78">
            <w:pPr>
              <w:pStyle w:val="Wykazskrotowbold"/>
            </w:pPr>
            <w:r w:rsidRPr="008368C5">
              <w:t>WTP</w:t>
            </w:r>
          </w:p>
        </w:tc>
        <w:tc>
          <w:tcPr>
            <w:tcW w:w="6882" w:type="dxa"/>
            <w:shd w:val="clear" w:color="auto" w:fill="auto"/>
            <w:vAlign w:val="center"/>
          </w:tcPr>
          <w:p w14:paraId="05B44E60" w14:textId="77777777" w:rsidR="00425B78" w:rsidRPr="008368C5" w:rsidRDefault="00425B78" w:rsidP="00425B78">
            <w:pPr>
              <w:pStyle w:val="Wykazskrotow"/>
            </w:pPr>
            <w:r>
              <w:t>s</w:t>
            </w:r>
            <w:r w:rsidRPr="008368C5">
              <w:t>kłonności do ponoszenia wydatków</w:t>
            </w:r>
          </w:p>
        </w:tc>
      </w:tr>
      <w:tr w:rsidR="00425B78" w:rsidRPr="008368C5" w14:paraId="59DA2DA2" w14:textId="77777777" w:rsidTr="00425B78">
        <w:trPr>
          <w:cantSplit/>
          <w:trHeight w:val="340"/>
        </w:trPr>
        <w:tc>
          <w:tcPr>
            <w:tcW w:w="2180" w:type="dxa"/>
            <w:shd w:val="clear" w:color="auto" w:fill="auto"/>
            <w:vAlign w:val="center"/>
          </w:tcPr>
          <w:p w14:paraId="40F2862C" w14:textId="77777777" w:rsidR="00425B78" w:rsidRPr="008368C5" w:rsidRDefault="00425B78" w:rsidP="00425B78">
            <w:pPr>
              <w:pStyle w:val="Wykazskrotowbold"/>
            </w:pPr>
            <w:r w:rsidRPr="008368C5">
              <w:t>WWA</w:t>
            </w:r>
          </w:p>
        </w:tc>
        <w:tc>
          <w:tcPr>
            <w:tcW w:w="6882" w:type="dxa"/>
            <w:shd w:val="clear" w:color="auto" w:fill="auto"/>
            <w:vAlign w:val="center"/>
          </w:tcPr>
          <w:p w14:paraId="3312231F" w14:textId="666C2EAD" w:rsidR="00425B78" w:rsidRPr="008368C5" w:rsidRDefault="00F76043" w:rsidP="00425B78">
            <w:pPr>
              <w:pStyle w:val="Wykazskrotow"/>
            </w:pPr>
            <w:r>
              <w:t>w</w:t>
            </w:r>
            <w:r w:rsidRPr="008368C5">
              <w:t xml:space="preserve">ielopierścieniowe </w:t>
            </w:r>
            <w:r>
              <w:t>w</w:t>
            </w:r>
            <w:r w:rsidRPr="008368C5">
              <w:t xml:space="preserve">ęglowodory </w:t>
            </w:r>
            <w:r>
              <w:t>a</w:t>
            </w:r>
            <w:r w:rsidRPr="008368C5">
              <w:t>romatyczne</w:t>
            </w:r>
          </w:p>
        </w:tc>
      </w:tr>
      <w:tr w:rsidR="00425B78" w:rsidRPr="008368C5" w14:paraId="6C733331" w14:textId="77777777" w:rsidTr="00425B78">
        <w:trPr>
          <w:cantSplit/>
          <w:trHeight w:val="340"/>
        </w:trPr>
        <w:tc>
          <w:tcPr>
            <w:tcW w:w="2180" w:type="dxa"/>
            <w:shd w:val="clear" w:color="auto" w:fill="auto"/>
            <w:vAlign w:val="center"/>
          </w:tcPr>
          <w:p w14:paraId="221583BC" w14:textId="77777777" w:rsidR="00425B78" w:rsidRPr="008368C5" w:rsidRDefault="00425B78" w:rsidP="00425B78">
            <w:pPr>
              <w:pStyle w:val="Wykazskrotowbold"/>
            </w:pPr>
            <w:r w:rsidRPr="008368C5">
              <w:t>ZD</w:t>
            </w:r>
          </w:p>
        </w:tc>
        <w:tc>
          <w:tcPr>
            <w:tcW w:w="6882" w:type="dxa"/>
            <w:shd w:val="clear" w:color="auto" w:fill="auto"/>
            <w:vAlign w:val="center"/>
          </w:tcPr>
          <w:p w14:paraId="2E6B7BA5" w14:textId="77777777" w:rsidR="00425B78" w:rsidRPr="008368C5" w:rsidRDefault="00425B78" w:rsidP="00425B78">
            <w:pPr>
              <w:pStyle w:val="Wykazskrotow"/>
            </w:pPr>
            <w:r>
              <w:rPr>
                <w:rFonts w:eastAsia="Times New Roman"/>
                <w:color w:val="000000"/>
                <w:lang w:eastAsia="pl-PL"/>
              </w:rPr>
              <w:t>z</w:t>
            </w:r>
            <w:r w:rsidRPr="00795F17">
              <w:rPr>
                <w:rFonts w:eastAsia="Times New Roman"/>
                <w:color w:val="000000"/>
                <w:lang w:eastAsia="pl-PL"/>
              </w:rPr>
              <w:t>asoby dyspozycyjne</w:t>
            </w:r>
          </w:p>
        </w:tc>
      </w:tr>
      <w:tr w:rsidR="00425B78" w:rsidRPr="008368C5" w14:paraId="3D765F13" w14:textId="77777777" w:rsidTr="00425B78">
        <w:trPr>
          <w:cantSplit/>
          <w:trHeight w:val="340"/>
        </w:trPr>
        <w:tc>
          <w:tcPr>
            <w:tcW w:w="2180" w:type="dxa"/>
            <w:shd w:val="clear" w:color="auto" w:fill="auto"/>
            <w:vAlign w:val="center"/>
          </w:tcPr>
          <w:p w14:paraId="1A7FDF3B" w14:textId="77777777" w:rsidR="00425B78" w:rsidRPr="008368C5" w:rsidRDefault="00425B78" w:rsidP="00425B78">
            <w:pPr>
              <w:pStyle w:val="Wykazskrotowbold"/>
            </w:pPr>
            <w:r w:rsidRPr="008368C5">
              <w:t>ZD</w:t>
            </w:r>
            <w:r>
              <w:t>G</w:t>
            </w:r>
          </w:p>
        </w:tc>
        <w:tc>
          <w:tcPr>
            <w:tcW w:w="6882" w:type="dxa"/>
            <w:shd w:val="clear" w:color="auto" w:fill="auto"/>
            <w:vAlign w:val="center"/>
          </w:tcPr>
          <w:p w14:paraId="36A39ACC" w14:textId="77777777" w:rsidR="00425B78" w:rsidRPr="008368C5" w:rsidRDefault="00425B78" w:rsidP="00425B78">
            <w:pPr>
              <w:pStyle w:val="Wykazskrotow"/>
            </w:pPr>
            <w:r>
              <w:rPr>
                <w:rFonts w:eastAsia="Times New Roman"/>
                <w:color w:val="000000"/>
                <w:lang w:eastAsia="pl-PL"/>
              </w:rPr>
              <w:t>za</w:t>
            </w:r>
            <w:r w:rsidRPr="00795F17">
              <w:rPr>
                <w:rFonts w:eastAsia="Times New Roman"/>
                <w:color w:val="000000"/>
                <w:lang w:eastAsia="pl-PL"/>
              </w:rPr>
              <w:t>soby dostępne do zagospodarowania</w:t>
            </w:r>
          </w:p>
        </w:tc>
      </w:tr>
      <w:tr w:rsidR="00425B78" w:rsidRPr="008368C5" w14:paraId="07A49C65" w14:textId="77777777" w:rsidTr="00425B78">
        <w:trPr>
          <w:cantSplit/>
          <w:trHeight w:val="340"/>
        </w:trPr>
        <w:tc>
          <w:tcPr>
            <w:tcW w:w="2180" w:type="dxa"/>
            <w:shd w:val="clear" w:color="auto" w:fill="auto"/>
            <w:vAlign w:val="center"/>
          </w:tcPr>
          <w:p w14:paraId="012A2303" w14:textId="77777777" w:rsidR="00425B78" w:rsidRPr="008368C5" w:rsidRDefault="00425B78" w:rsidP="00425B78">
            <w:pPr>
              <w:pStyle w:val="Wykazskrotowbold"/>
              <w:keepNext/>
            </w:pPr>
            <w:r w:rsidRPr="008368C5">
              <w:t>ZL</w:t>
            </w:r>
          </w:p>
        </w:tc>
        <w:tc>
          <w:tcPr>
            <w:tcW w:w="6882" w:type="dxa"/>
            <w:shd w:val="clear" w:color="auto" w:fill="auto"/>
            <w:vAlign w:val="center"/>
          </w:tcPr>
          <w:p w14:paraId="488DEC07" w14:textId="77777777" w:rsidR="00425B78" w:rsidRPr="008368C5" w:rsidRDefault="00425B78" w:rsidP="00425B78">
            <w:pPr>
              <w:pStyle w:val="Wykazskrotow"/>
              <w:keepNext/>
            </w:pPr>
            <w:r>
              <w:rPr>
                <w:rFonts w:eastAsia="Times New Roman"/>
                <w:color w:val="000000"/>
                <w:lang w:eastAsia="pl-PL"/>
              </w:rPr>
              <w:t>j</w:t>
            </w:r>
            <w:r w:rsidRPr="00795F17">
              <w:rPr>
                <w:rFonts w:eastAsia="Times New Roman"/>
                <w:color w:val="000000"/>
                <w:lang w:eastAsia="pl-PL"/>
              </w:rPr>
              <w:t>ednolita część wód przeznaczona do poboru wody na potrzeby zaopatrzenia ludności w wodę przeznaczoną do spożycia przez ludzi</w:t>
            </w:r>
          </w:p>
        </w:tc>
      </w:tr>
      <w:tr w:rsidR="00425B78" w:rsidRPr="008368C5" w14:paraId="6A433090" w14:textId="77777777" w:rsidTr="00425B78">
        <w:trPr>
          <w:cantSplit/>
          <w:trHeight w:val="340"/>
        </w:trPr>
        <w:tc>
          <w:tcPr>
            <w:tcW w:w="2180" w:type="dxa"/>
            <w:vAlign w:val="center"/>
          </w:tcPr>
          <w:p w14:paraId="51107115" w14:textId="77777777" w:rsidR="00425B78" w:rsidRPr="008368C5" w:rsidRDefault="00425B78" w:rsidP="00425B78">
            <w:pPr>
              <w:pStyle w:val="Wykazskrotowbold"/>
            </w:pPr>
            <w:r w:rsidRPr="008368C5">
              <w:t>ZPPŚ</w:t>
            </w:r>
          </w:p>
        </w:tc>
        <w:tc>
          <w:tcPr>
            <w:tcW w:w="6882" w:type="dxa"/>
            <w:vAlign w:val="center"/>
          </w:tcPr>
          <w:p w14:paraId="7ECF1AC7" w14:textId="5F478BE5" w:rsidR="00425B78" w:rsidRPr="008368C5" w:rsidRDefault="00D56488" w:rsidP="00425B78">
            <w:pPr>
              <w:pStyle w:val="Wykazskrotow"/>
            </w:pPr>
            <w:r>
              <w:t>Z</w:t>
            </w:r>
            <w:r w:rsidRPr="008368C5">
              <w:t xml:space="preserve">espół </w:t>
            </w:r>
            <w:r w:rsidR="00425B78" w:rsidRPr="008368C5">
              <w:t>Poboru Próbek Środowiskowych PIG-PIB</w:t>
            </w:r>
          </w:p>
        </w:tc>
      </w:tr>
    </w:tbl>
    <w:p w14:paraId="2833D1B5" w14:textId="77777777" w:rsidR="006B2425" w:rsidRPr="00795F17" w:rsidRDefault="006B2425" w:rsidP="0044393D">
      <w:pPr>
        <w:pStyle w:val="Tytu"/>
      </w:pPr>
      <w:r w:rsidRPr="00795F17">
        <w:t>Wykaz kluczowych pojęć (terminologia) stosowanych w planie gospodarowania wodami na obszarze dorzecza Odry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14"/>
        <w:gridCol w:w="5948"/>
      </w:tblGrid>
      <w:tr w:rsidR="00B85222" w:rsidRPr="00795F17" w14:paraId="564DC594" w14:textId="77777777" w:rsidTr="008C0577">
        <w:trPr>
          <w:cantSplit/>
          <w:trHeight w:val="454"/>
          <w:tblHeader/>
        </w:trPr>
        <w:tc>
          <w:tcPr>
            <w:tcW w:w="171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bookmarkEnd w:id="8"/>
          <w:bookmarkEnd w:id="9"/>
          <w:p w14:paraId="36CA7C58" w14:textId="69D6B9E0" w:rsidR="00B85222" w:rsidRPr="00795F17" w:rsidRDefault="00B85222" w:rsidP="005842B5">
            <w:pPr>
              <w:pStyle w:val="Wykazskrotowbold"/>
            </w:pPr>
            <w:r w:rsidRPr="00795F17">
              <w:t xml:space="preserve">Stosowane pojęcie </w:t>
            </w:r>
            <w:r w:rsidR="00AF5D5A">
              <w:t>–</w:t>
            </w:r>
            <w:r w:rsidRPr="00795F17">
              <w:t xml:space="preserve"> terminologia</w:t>
            </w:r>
          </w:p>
        </w:tc>
        <w:tc>
          <w:tcPr>
            <w:tcW w:w="328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1110DDE" w14:textId="0E71D2B4" w:rsidR="00B85222" w:rsidRPr="00795F17" w:rsidRDefault="00B85222" w:rsidP="005842B5">
            <w:pPr>
              <w:pStyle w:val="Wykazskrotowbold"/>
            </w:pPr>
            <w:r w:rsidRPr="00795F17">
              <w:t>Rozwinięcie</w:t>
            </w:r>
          </w:p>
        </w:tc>
      </w:tr>
      <w:tr w:rsidR="00217D72" w:rsidRPr="00795F17" w14:paraId="0F1806BD"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69CB1345" w14:textId="0B6AAA19" w:rsidR="00784EA1" w:rsidRPr="00795F17" w:rsidRDefault="00950EAF" w:rsidP="005842B5">
            <w:pPr>
              <w:pStyle w:val="Wykazskrotowbold"/>
            </w:pPr>
            <w:r>
              <w:t>o</w:t>
            </w:r>
            <w:r w:rsidR="00784EA1" w:rsidRPr="00795F17">
              <w:t>pracowanie i przyjęcie PGW</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2EAF1DD3" w14:textId="77777777" w:rsidR="00784EA1" w:rsidRPr="00795F17" w:rsidRDefault="00784EA1" w:rsidP="005842B5">
            <w:pPr>
              <w:pStyle w:val="Wykazskrotow"/>
            </w:pPr>
            <w:r w:rsidRPr="00795F17">
              <w:t>2011</w:t>
            </w:r>
          </w:p>
        </w:tc>
      </w:tr>
      <w:tr w:rsidR="00217D72" w:rsidRPr="00795F17" w14:paraId="6C87A141"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27C74765" w14:textId="77777777" w:rsidR="00784EA1" w:rsidRPr="00795F17" w:rsidRDefault="00784EA1" w:rsidP="005842B5">
            <w:pPr>
              <w:pStyle w:val="Wykazskrotowbold"/>
            </w:pPr>
            <w:r w:rsidRPr="00795F17">
              <w:t>II cykl planistyczny</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230AB327" w14:textId="6DA5BD5C" w:rsidR="00784EA1" w:rsidRPr="00795F17" w:rsidRDefault="00784EA1" w:rsidP="005842B5">
            <w:pPr>
              <w:pStyle w:val="Wykazskrotow"/>
            </w:pPr>
            <w:r w:rsidRPr="00795F17">
              <w:t>2010</w:t>
            </w:r>
            <w:r w:rsidR="006B5BAA">
              <w:t>–</w:t>
            </w:r>
            <w:r w:rsidRPr="00795F17">
              <w:t>2015 (PGW)</w:t>
            </w:r>
          </w:p>
        </w:tc>
      </w:tr>
      <w:tr w:rsidR="00217D72" w:rsidRPr="00795F17" w14:paraId="7C86F83B"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2A421C65" w14:textId="07212A24" w:rsidR="00784EA1" w:rsidRPr="00795F17" w:rsidRDefault="00950EAF" w:rsidP="005842B5">
            <w:pPr>
              <w:pStyle w:val="Wykazskrotowbold"/>
            </w:pPr>
            <w:r>
              <w:t>o</w:t>
            </w:r>
            <w:r w:rsidR="00784EA1" w:rsidRPr="00795F17">
              <w:t>pracowanie i przyjęcie aPGW</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45482A2E" w14:textId="77777777" w:rsidR="00784EA1" w:rsidRPr="00795F17" w:rsidRDefault="00784EA1" w:rsidP="005842B5">
            <w:pPr>
              <w:pStyle w:val="Wykazskrotow"/>
            </w:pPr>
            <w:r w:rsidRPr="00795F17">
              <w:t>2016</w:t>
            </w:r>
          </w:p>
        </w:tc>
      </w:tr>
      <w:tr w:rsidR="00217D72" w:rsidRPr="00795F17" w14:paraId="5F617FB7"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60EDE13F" w14:textId="77777777" w:rsidR="00784EA1" w:rsidRPr="00795F17" w:rsidRDefault="00784EA1" w:rsidP="005842B5">
            <w:pPr>
              <w:pStyle w:val="Wykazskrotowbold"/>
            </w:pPr>
            <w:r w:rsidRPr="00795F17">
              <w:t>III cykl planistyczny</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20E72ACB" w14:textId="0A5E5D59" w:rsidR="00784EA1" w:rsidRPr="00795F17" w:rsidRDefault="00784EA1" w:rsidP="005842B5">
            <w:pPr>
              <w:pStyle w:val="Wykazskrotow"/>
            </w:pPr>
            <w:r w:rsidRPr="00795F17">
              <w:t>2016</w:t>
            </w:r>
            <w:r w:rsidR="006B5BAA">
              <w:t>–</w:t>
            </w:r>
            <w:r w:rsidRPr="00795F17">
              <w:t>2021 (aPGW)</w:t>
            </w:r>
          </w:p>
        </w:tc>
      </w:tr>
      <w:tr w:rsidR="00217D72" w:rsidRPr="00795F17" w14:paraId="53572C3D"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3A6D84BE" w14:textId="789AC77A" w:rsidR="00784EA1" w:rsidRPr="00795F17" w:rsidRDefault="00950EAF" w:rsidP="005842B5">
            <w:pPr>
              <w:pStyle w:val="Wykazskrotowbold"/>
            </w:pPr>
            <w:r>
              <w:t>o</w:t>
            </w:r>
            <w:r w:rsidR="00784EA1" w:rsidRPr="00795F17">
              <w:t>pracowanie i przyjęcie IIaPGW</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168A5121" w14:textId="77777777" w:rsidR="00784EA1" w:rsidRPr="00795F17" w:rsidRDefault="00784EA1" w:rsidP="005842B5">
            <w:pPr>
              <w:pStyle w:val="Wykazskrotow"/>
            </w:pPr>
            <w:r w:rsidRPr="00795F17">
              <w:t>2021</w:t>
            </w:r>
          </w:p>
        </w:tc>
      </w:tr>
      <w:tr w:rsidR="00217D72" w:rsidRPr="00795F17" w14:paraId="37EE55AD"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5249046A" w14:textId="77777777" w:rsidR="00784EA1" w:rsidRPr="00795F17" w:rsidRDefault="00784EA1" w:rsidP="005842B5">
            <w:pPr>
              <w:pStyle w:val="Wykazskrotowbold"/>
            </w:pPr>
            <w:r w:rsidRPr="00795F17">
              <w:t>IV cykl planistyczny</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563B31B2" w14:textId="2829B9E4" w:rsidR="00784EA1" w:rsidRPr="00795F17" w:rsidRDefault="00784EA1" w:rsidP="005842B5">
            <w:pPr>
              <w:pStyle w:val="Wykazskrotow"/>
            </w:pPr>
            <w:r w:rsidRPr="00795F17">
              <w:t>2022</w:t>
            </w:r>
            <w:r w:rsidR="006B5BAA">
              <w:t>–</w:t>
            </w:r>
            <w:r w:rsidRPr="00795F17">
              <w:t>2027 (IIaPGW)</w:t>
            </w:r>
          </w:p>
        </w:tc>
      </w:tr>
      <w:tr w:rsidR="00217D72" w:rsidRPr="00795F17" w14:paraId="5E09BB00"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4D59A9C9" w14:textId="21C02169" w:rsidR="00784EA1" w:rsidRPr="00795F17" w:rsidRDefault="00DF005E" w:rsidP="005842B5">
            <w:pPr>
              <w:pStyle w:val="Wykazskrotowbold"/>
            </w:pPr>
            <w:r>
              <w:t>JCWP</w:t>
            </w:r>
            <w:r w:rsidR="00784EA1" w:rsidRPr="00795F17">
              <w:t xml:space="preserve"> w starym układzie planistycznym / </w:t>
            </w:r>
            <w:r>
              <w:t>JCWP</w:t>
            </w:r>
            <w:r w:rsidR="00784EA1" w:rsidRPr="00795F17">
              <w:t xml:space="preserve"> (aPGW)</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03D358FE" w14:textId="3A066538" w:rsidR="00784EA1" w:rsidRPr="00795F17" w:rsidRDefault="00784EA1" w:rsidP="005842B5">
            <w:pPr>
              <w:pStyle w:val="Wykazskrotow"/>
            </w:pPr>
            <w:r w:rsidRPr="00795F17">
              <w:t>podział na jednolite części wód powierzchniowych funkcjonujący w układzie planistycznym obowiązującym w III cyklu planistycznym 2016</w:t>
            </w:r>
            <w:r w:rsidR="006B5BAA">
              <w:t>–</w:t>
            </w:r>
            <w:r w:rsidRPr="00795F17">
              <w:t>2021, zgodnie z</w:t>
            </w:r>
            <w:r w:rsidR="006F0D9F">
              <w:t> </w:t>
            </w:r>
            <w:r w:rsidRPr="00795F17">
              <w:t xml:space="preserve"> aPGW 2016</w:t>
            </w:r>
          </w:p>
        </w:tc>
      </w:tr>
      <w:tr w:rsidR="00217D72" w:rsidRPr="00795F17" w14:paraId="6550C452"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3657C7B7" w14:textId="7375C907" w:rsidR="00784EA1" w:rsidRPr="00795F17" w:rsidRDefault="00DF005E" w:rsidP="005842B5">
            <w:pPr>
              <w:pStyle w:val="Wykazskrotowbold"/>
            </w:pPr>
            <w:r>
              <w:t>JCWP</w:t>
            </w:r>
            <w:r w:rsidR="00784EA1" w:rsidRPr="00795F17">
              <w:t xml:space="preserve"> w nowym układzie planistycznym / </w:t>
            </w:r>
            <w:r>
              <w:t>JCWP</w:t>
            </w:r>
            <w:r w:rsidR="00784EA1" w:rsidRPr="00795F17">
              <w:t xml:space="preserve"> (IIaPGW)</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609593B7" w14:textId="2265F721" w:rsidR="00784EA1" w:rsidRPr="00795F17" w:rsidRDefault="00784EA1" w:rsidP="005842B5">
            <w:pPr>
              <w:pStyle w:val="Wykazskrotow"/>
            </w:pPr>
            <w:r w:rsidRPr="00795F17">
              <w:t>podział na jednolite części wód powierzchniowych funkcjonujący w układzie planistycznym obowiązującym w IV cyklu planistycznym 2022</w:t>
            </w:r>
            <w:r w:rsidR="006B5BAA">
              <w:t>–</w:t>
            </w:r>
            <w:r w:rsidRPr="00795F17">
              <w:t>2027, zgodnie z</w:t>
            </w:r>
            <w:r w:rsidR="006F0D9F">
              <w:t> </w:t>
            </w:r>
            <w:r w:rsidRPr="00795F17">
              <w:t xml:space="preserve"> IIaPGW </w:t>
            </w:r>
            <w:r w:rsidR="00EC63FC" w:rsidRPr="00795F17">
              <w:t>202</w:t>
            </w:r>
            <w:r w:rsidR="00EC63FC">
              <w:t>1</w:t>
            </w:r>
          </w:p>
        </w:tc>
      </w:tr>
      <w:tr w:rsidR="00217D72" w:rsidRPr="00795F17" w14:paraId="7F42DC73"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66886CC1" w14:textId="77777777" w:rsidR="00784EA1" w:rsidRPr="00795F17" w:rsidRDefault="00784EA1" w:rsidP="005842B5">
            <w:pPr>
              <w:pStyle w:val="Wykazskrotowbold"/>
            </w:pPr>
            <w:r w:rsidRPr="00795F17">
              <w:t>ppk 2016-2021</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1AC128B1" w14:textId="14CCAD86" w:rsidR="00784EA1" w:rsidRPr="00795F17" w:rsidRDefault="00784EA1" w:rsidP="005842B5">
            <w:pPr>
              <w:pStyle w:val="Wykazskrotow"/>
            </w:pPr>
            <w:r w:rsidRPr="00795F17">
              <w:t xml:space="preserve">reprezentatywne punkty pomiarowo-kontrolne </w:t>
            </w:r>
            <w:r w:rsidR="00DF005E">
              <w:t>JCWP</w:t>
            </w:r>
            <w:r w:rsidRPr="00795F17">
              <w:t xml:space="preserve"> dla III cyklu planistycznego 2016</w:t>
            </w:r>
            <w:r w:rsidR="006B5BAA">
              <w:t>–</w:t>
            </w:r>
            <w:r w:rsidRPr="00795F17">
              <w:t>2021</w:t>
            </w:r>
          </w:p>
        </w:tc>
      </w:tr>
      <w:tr w:rsidR="00217D72" w:rsidRPr="00795F17" w14:paraId="1B08C46A"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431012ED" w14:textId="77777777" w:rsidR="00784EA1" w:rsidRPr="00795F17" w:rsidRDefault="00784EA1" w:rsidP="005842B5">
            <w:pPr>
              <w:pStyle w:val="Wykazskrotowbold"/>
            </w:pPr>
            <w:r w:rsidRPr="00795F17">
              <w:t>ppk w nowym układzie planistycznym</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5AB2DE58" w14:textId="5976D1EA" w:rsidR="00784EA1" w:rsidRPr="00795F17" w:rsidRDefault="00784EA1" w:rsidP="005842B5">
            <w:pPr>
              <w:pStyle w:val="Wykazskrotow"/>
            </w:pPr>
            <w:r w:rsidRPr="00795F17">
              <w:t xml:space="preserve">punkty pomiarowo-kontrolne </w:t>
            </w:r>
            <w:r w:rsidR="00DF005E">
              <w:t>JCWP</w:t>
            </w:r>
            <w:r w:rsidRPr="00795F17">
              <w:t xml:space="preserve"> wskazane przez GIOŚ na etapie przygotowywania do opracowania IIaPGW, jako odpowiednie dla prowadzenia analiz w nowym układzie planistycznym </w:t>
            </w:r>
            <w:r w:rsidR="006B5BAA">
              <w:t>–</w:t>
            </w:r>
            <w:r w:rsidRPr="00795F17">
              <w:t xml:space="preserve"> niereprezentatywne</w:t>
            </w:r>
          </w:p>
        </w:tc>
      </w:tr>
      <w:tr w:rsidR="00217D72" w:rsidRPr="00795F17" w14:paraId="4D498A67"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3A63E64F" w14:textId="333B0CCF" w:rsidR="00784EA1" w:rsidRPr="00795F17" w:rsidRDefault="00784EA1" w:rsidP="005842B5">
            <w:pPr>
              <w:pStyle w:val="Wykazskrotowbold"/>
            </w:pPr>
            <w:r w:rsidRPr="00795F17">
              <w:t>ppk reprezentatywne 2022</w:t>
            </w:r>
            <w:r w:rsidR="008132B4">
              <w:t>–</w:t>
            </w:r>
            <w:r w:rsidRPr="00795F17">
              <w:t>2027</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25872956" w14:textId="7FC2BC29" w:rsidR="00784EA1" w:rsidRPr="00795F17" w:rsidRDefault="00784EA1" w:rsidP="005842B5">
            <w:pPr>
              <w:pStyle w:val="Wykazskrotow"/>
            </w:pPr>
            <w:r w:rsidRPr="00795F17">
              <w:t xml:space="preserve">reprezentatywne punkty pomiarowo-kontrolne </w:t>
            </w:r>
            <w:r w:rsidR="00DF005E">
              <w:t>JCWP</w:t>
            </w:r>
            <w:r w:rsidRPr="00795F17">
              <w:t xml:space="preserve"> dla IV cyklu planistycznego 2022</w:t>
            </w:r>
            <w:r w:rsidR="006B5BAA">
              <w:t>–</w:t>
            </w:r>
            <w:r w:rsidRPr="00795F17">
              <w:t>2027</w:t>
            </w:r>
          </w:p>
        </w:tc>
      </w:tr>
      <w:tr w:rsidR="00217D72" w:rsidRPr="00795F17" w14:paraId="6059CDEF"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194F7A2C" w14:textId="7A69FD7A" w:rsidR="00784EA1" w:rsidRPr="00795F17" w:rsidRDefault="00DF1764" w:rsidP="005842B5">
            <w:pPr>
              <w:pStyle w:val="Wykazskrotowbold"/>
            </w:pPr>
            <w:r>
              <w:t>c</w:t>
            </w:r>
            <w:r w:rsidRPr="00795F17">
              <w:t xml:space="preserve">ele </w:t>
            </w:r>
            <w:r w:rsidR="00784EA1" w:rsidRPr="00795F17">
              <w:t>środowiskowe</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190E9AEA" w14:textId="4F2E3B30" w:rsidR="00784EA1" w:rsidRPr="00795F17" w:rsidRDefault="00784EA1" w:rsidP="005842B5">
            <w:pPr>
              <w:pStyle w:val="Wykazskrotow"/>
            </w:pPr>
            <w:r w:rsidRPr="00795F17">
              <w:t xml:space="preserve">w rozumieniu art. 56, </w:t>
            </w:r>
            <w:r w:rsidR="00BF555C" w:rsidRPr="00795F17">
              <w:t xml:space="preserve">art. </w:t>
            </w:r>
            <w:r w:rsidRPr="00795F17">
              <w:t xml:space="preserve">57, </w:t>
            </w:r>
            <w:r w:rsidR="00BF555C" w:rsidRPr="00795F17">
              <w:t xml:space="preserve">art. </w:t>
            </w:r>
            <w:r w:rsidRPr="00795F17">
              <w:t xml:space="preserve">59, </w:t>
            </w:r>
            <w:r w:rsidR="00BF555C" w:rsidRPr="00795F17">
              <w:t xml:space="preserve">art. </w:t>
            </w:r>
            <w:r w:rsidRPr="00795F17">
              <w:t>61 pr.w.</w:t>
            </w:r>
          </w:p>
        </w:tc>
      </w:tr>
      <w:tr w:rsidR="006448E3" w:rsidRPr="00795F17" w14:paraId="0CAA9B9A"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5A5DD503" w14:textId="3BA182AB" w:rsidR="006448E3" w:rsidRPr="00795F17" w:rsidRDefault="00DF1764" w:rsidP="006448E3">
            <w:pPr>
              <w:pStyle w:val="Wykazskrotowbold"/>
            </w:pPr>
            <w:r>
              <w:t>d</w:t>
            </w:r>
            <w:r w:rsidRPr="00946345">
              <w:t xml:space="preserve">obry </w:t>
            </w:r>
            <w:r w:rsidR="006448E3" w:rsidRPr="00946345">
              <w:t>potencjał ekologiczny</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5CC1AA2E" w14:textId="3BAB4D60" w:rsidR="006448E3" w:rsidRPr="00795F17" w:rsidRDefault="006448E3" w:rsidP="006448E3">
            <w:pPr>
              <w:pStyle w:val="Wykazskrotow"/>
            </w:pPr>
            <w:r w:rsidRPr="00946345">
              <w:rPr>
                <w:rFonts w:eastAsia="Times New Roman"/>
              </w:rPr>
              <w:t xml:space="preserve">potencjał silnie zmienionych jednolitych części wód powierzchniowych lub sztucznych jednolitych części wód powierzchniowych, który na podstawie klasyfikacji potencjału ekologicznego tych wód, dokonanej z uwzględnieniem definicji klasyfikacji tego potencjału określonej w przepisach wydanych na podstawie art. 53 ust. 4 pr.w. jest określony jako dobry (art. 16 pkt 6 pr.w.) </w:t>
            </w:r>
          </w:p>
        </w:tc>
      </w:tr>
      <w:tr w:rsidR="006448E3" w:rsidRPr="00795F17" w14:paraId="12A6DCC5"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00C3FF8F" w14:textId="35C42DB3" w:rsidR="006448E3" w:rsidRPr="00795F17" w:rsidRDefault="00DF1764" w:rsidP="006448E3">
            <w:pPr>
              <w:pStyle w:val="Wykazskrotowbold"/>
            </w:pPr>
            <w:r>
              <w:t>d</w:t>
            </w:r>
            <w:r w:rsidRPr="00946345">
              <w:t xml:space="preserve">obry </w:t>
            </w:r>
            <w:r w:rsidR="006448E3" w:rsidRPr="00946345">
              <w:t>stan ilościowy wód podziemnych</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7A2FB104" w14:textId="4219ECFE" w:rsidR="006448E3" w:rsidRPr="00795F17" w:rsidRDefault="006448E3" w:rsidP="006448E3">
            <w:pPr>
              <w:pStyle w:val="Wykazskrotow"/>
            </w:pPr>
            <w:r w:rsidRPr="00946345">
              <w:rPr>
                <w:rFonts w:eastAsia="Times New Roman"/>
                <w:color w:val="000000" w:themeColor="text1"/>
              </w:rPr>
              <w:t>stan jednolitych części wód podziemnych, który na podstawie oceny stanu ilościowego tych wód, dokonanej z uwzględnieniem definicji klasyfikacji tego stanu, jest określony jako dobry (art. 16 pkt 10 pr.w.)</w:t>
            </w:r>
            <w:r w:rsidRPr="00946345">
              <w:rPr>
                <w:rFonts w:eastAsia="Helvetica"/>
                <w:color w:val="000000" w:themeColor="text1"/>
              </w:rPr>
              <w:t>;</w:t>
            </w:r>
          </w:p>
        </w:tc>
      </w:tr>
      <w:tr w:rsidR="006448E3" w:rsidRPr="00795F17" w14:paraId="501AC514"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2563BF2C" w14:textId="77A59241" w:rsidR="006448E3" w:rsidRPr="00795F17" w:rsidRDefault="00DF1764" w:rsidP="006448E3">
            <w:pPr>
              <w:pStyle w:val="Wykazskrotowbold"/>
            </w:pPr>
            <w:r>
              <w:t>d</w:t>
            </w:r>
            <w:r w:rsidRPr="00946345">
              <w:t xml:space="preserve">obry </w:t>
            </w:r>
            <w:r w:rsidR="006448E3" w:rsidRPr="00946345">
              <w:t>stan chemiczny wód podziemnych</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7EA9B892" w14:textId="25E8BA7B" w:rsidR="006448E3" w:rsidRPr="00795F17" w:rsidRDefault="006448E3" w:rsidP="006448E3">
            <w:pPr>
              <w:pStyle w:val="Wykazskrotow"/>
            </w:pPr>
            <w:r w:rsidRPr="00946345">
              <w:rPr>
                <w:rFonts w:eastAsia="Times New Roman"/>
                <w:color w:val="000000" w:themeColor="text1"/>
              </w:rPr>
              <w:t xml:space="preserve">stan chemiczny </w:t>
            </w:r>
            <w:r w:rsidR="00DF005E">
              <w:rPr>
                <w:rFonts w:eastAsia="Times New Roman"/>
                <w:color w:val="000000" w:themeColor="text1"/>
              </w:rPr>
              <w:t>JCWP</w:t>
            </w:r>
            <w:r w:rsidRPr="00946345">
              <w:rPr>
                <w:rFonts w:eastAsia="Times New Roman"/>
                <w:color w:val="000000" w:themeColor="text1"/>
              </w:rPr>
              <w:t>d, który na podstawie oceny stanu chemicznego tych wód, dokonanej z uwzględnieniem definicji klasyfikacji tego stanu, jest określony jako dobry (art. 16 pkt 7 pr.w.);</w:t>
            </w:r>
          </w:p>
        </w:tc>
      </w:tr>
      <w:tr w:rsidR="006448E3" w:rsidRPr="00795F17" w14:paraId="54E533BD"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2E077CD7" w14:textId="6C46C5B1" w:rsidR="006448E3" w:rsidRPr="00795F17" w:rsidRDefault="00DF1764" w:rsidP="006448E3">
            <w:pPr>
              <w:pStyle w:val="Wykazskrotowbold"/>
            </w:pPr>
            <w:r>
              <w:t>d</w:t>
            </w:r>
            <w:r w:rsidRPr="00946345">
              <w:t xml:space="preserve">obry </w:t>
            </w:r>
            <w:r w:rsidR="006448E3" w:rsidRPr="00946345">
              <w:t>stan ekologiczny</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704CFF25" w14:textId="104E107C" w:rsidR="006448E3" w:rsidRPr="00795F17" w:rsidRDefault="006448E3" w:rsidP="006448E3">
            <w:pPr>
              <w:pStyle w:val="Wykazskrotow"/>
            </w:pPr>
            <w:r w:rsidRPr="00946345">
              <w:rPr>
                <w:rFonts w:eastAsia="Times New Roman"/>
                <w:color w:val="000000" w:themeColor="text1"/>
              </w:rPr>
              <w:t xml:space="preserve">stan jcw innych niż silnie zmienione jednolite części wód powierzchniowych lub sztuczne jednolite części wód powierzchniowych, który na podstawie klasyfikacji stanu ekologicznego tych wód, dokonanej z uwzględnieniem definicji klasyfikacji tego stanu określonej w przepisach wydanych na podstawie art. 53 ust. 4 pr.w., jest określony jako dobry (art. 16 pkt 9 pr.w.) </w:t>
            </w:r>
          </w:p>
        </w:tc>
      </w:tr>
      <w:tr w:rsidR="006448E3" w:rsidRPr="00795F17" w14:paraId="7B46D78A"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07A2C4A8" w14:textId="1DDB17ED" w:rsidR="006448E3" w:rsidRPr="00795F17" w:rsidRDefault="00DF1764" w:rsidP="006448E3">
            <w:pPr>
              <w:pStyle w:val="Wykazskrotowbold"/>
            </w:pPr>
            <w:r>
              <w:t>d</w:t>
            </w:r>
            <w:r w:rsidRPr="00946345">
              <w:t xml:space="preserve">obry </w:t>
            </w:r>
            <w:r w:rsidR="006448E3" w:rsidRPr="00946345">
              <w:t>stan wód podziemnych</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0A5F0B72" w14:textId="79319F62" w:rsidR="006448E3" w:rsidRPr="00795F17" w:rsidRDefault="006448E3" w:rsidP="006448E3">
            <w:pPr>
              <w:pStyle w:val="Wykazskrotow"/>
            </w:pPr>
            <w:r w:rsidRPr="00946345">
              <w:rPr>
                <w:rFonts w:eastAsia="Times New Roman"/>
                <w:color w:val="000000" w:themeColor="text1"/>
              </w:rPr>
              <w:t xml:space="preserve">stan </w:t>
            </w:r>
            <w:r w:rsidR="00DF005E">
              <w:rPr>
                <w:rFonts w:eastAsia="Times New Roman"/>
                <w:color w:val="000000" w:themeColor="text1"/>
              </w:rPr>
              <w:t>JCWP</w:t>
            </w:r>
            <w:r w:rsidRPr="00946345">
              <w:rPr>
                <w:rFonts w:eastAsia="Times New Roman"/>
                <w:color w:val="000000" w:themeColor="text1"/>
              </w:rPr>
              <w:t xml:space="preserve">d, w którym stan ilościowy wód podziemnych oraz stan chemiczny tych wód są określone co najmniej jako dobre (art. 16 pkt 11 pr.w.) </w:t>
            </w:r>
          </w:p>
        </w:tc>
      </w:tr>
      <w:tr w:rsidR="006448E3" w:rsidRPr="00795F17" w14:paraId="5C898F63"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67C7B07C" w14:textId="7FBC6CF5" w:rsidR="006448E3" w:rsidRPr="00795F17" w:rsidRDefault="00DF1764" w:rsidP="006448E3">
            <w:pPr>
              <w:pStyle w:val="Wykazskrotowbold"/>
            </w:pPr>
            <w:r>
              <w:t>d</w:t>
            </w:r>
            <w:r w:rsidRPr="00946345">
              <w:t xml:space="preserve">obry </w:t>
            </w:r>
            <w:r w:rsidR="006448E3" w:rsidRPr="00946345">
              <w:t>stan wód powierzchniowych</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72CA78CF" w14:textId="7AACE4AB" w:rsidR="006448E3" w:rsidRPr="00795F17" w:rsidRDefault="006448E3" w:rsidP="006448E3">
            <w:pPr>
              <w:pStyle w:val="Wykazskrotow"/>
            </w:pPr>
            <w:r w:rsidRPr="00946345">
              <w:rPr>
                <w:rFonts w:eastAsia="Times New Roman"/>
                <w:color w:val="000000" w:themeColor="text1"/>
              </w:rPr>
              <w:t xml:space="preserve">stan </w:t>
            </w:r>
            <w:r w:rsidR="00DF005E">
              <w:rPr>
                <w:rFonts w:eastAsia="Times New Roman"/>
                <w:color w:val="000000" w:themeColor="text1"/>
              </w:rPr>
              <w:t>JCWP</w:t>
            </w:r>
            <w:r w:rsidRPr="00946345">
              <w:rPr>
                <w:rFonts w:eastAsia="Times New Roman"/>
                <w:color w:val="000000" w:themeColor="text1"/>
              </w:rPr>
              <w:t xml:space="preserve"> charakteryzujący się dobrym stanem chemicznym wód powierzchniowych oraz co najmniej dobrym stanem ekologicznym lub co najmniej dobrym potencjałem ekologicznym (art. 16 pkt 12 pr.w.) </w:t>
            </w:r>
          </w:p>
        </w:tc>
      </w:tr>
      <w:tr w:rsidR="006448E3" w:rsidRPr="00795F17" w14:paraId="4EFC30B2"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244EC247" w14:textId="55CD6317" w:rsidR="006448E3" w:rsidRPr="00795F17" w:rsidRDefault="00DF1764" w:rsidP="006448E3">
            <w:pPr>
              <w:pStyle w:val="Wykazskrotowbold"/>
            </w:pPr>
            <w:r>
              <w:t>d</w:t>
            </w:r>
            <w:r w:rsidRPr="00946345">
              <w:t xml:space="preserve">obry </w:t>
            </w:r>
            <w:r w:rsidR="006448E3" w:rsidRPr="00946345">
              <w:t>stan chemiczny wód powierzchniowych</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7C7FD430" w14:textId="435F43A5" w:rsidR="006448E3" w:rsidRPr="00795F17" w:rsidRDefault="006448E3" w:rsidP="006448E3">
            <w:pPr>
              <w:pStyle w:val="Wykazskrotow"/>
            </w:pPr>
            <w:r w:rsidRPr="00946345">
              <w:rPr>
                <w:rFonts w:eastAsia="Times New Roman"/>
                <w:color w:val="000000" w:themeColor="text1"/>
              </w:rPr>
              <w:t xml:space="preserve">stan chemiczny </w:t>
            </w:r>
            <w:r w:rsidR="00DF005E">
              <w:rPr>
                <w:rFonts w:eastAsia="Times New Roman"/>
                <w:color w:val="000000" w:themeColor="text1"/>
              </w:rPr>
              <w:t>JCWP</w:t>
            </w:r>
            <w:r w:rsidRPr="00946345">
              <w:rPr>
                <w:rFonts w:eastAsia="Times New Roman"/>
                <w:color w:val="000000" w:themeColor="text1"/>
              </w:rPr>
              <w:t>, który na podstawie klasyfikacji stanu chemicznego tych wód, dokonanej z uwzględnieniem definicji klasyfikacji tego stanu, jest określony jako dobry (art. 16 pkt 8 pr.w.)</w:t>
            </w:r>
          </w:p>
        </w:tc>
      </w:tr>
      <w:tr w:rsidR="006448E3" w:rsidRPr="00795F17" w14:paraId="0F00BBA4"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703E3C3D" w14:textId="38B2E610" w:rsidR="006448E3" w:rsidRPr="00795F17" w:rsidRDefault="00DF1764" w:rsidP="006448E3">
            <w:pPr>
              <w:pStyle w:val="Wykazskrotowbold"/>
            </w:pPr>
            <w:r>
              <w:t>d</w:t>
            </w:r>
            <w:r w:rsidRPr="00795F17">
              <w:t xml:space="preserve">ziałania </w:t>
            </w:r>
            <w:r w:rsidR="006448E3" w:rsidRPr="00795F17">
              <w:t>podstawowe</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1E99D803" w14:textId="4230B47A" w:rsidR="006448E3" w:rsidRPr="00795F17" w:rsidRDefault="006448E3" w:rsidP="006448E3">
            <w:pPr>
              <w:pStyle w:val="Wykazskrotow"/>
            </w:pPr>
            <w:r w:rsidRPr="00795F17">
              <w:t>zgodnie z definicją zawartą w art. 324 ust. 2 pr.w.</w:t>
            </w:r>
          </w:p>
        </w:tc>
      </w:tr>
      <w:tr w:rsidR="006448E3" w:rsidRPr="00795F17" w14:paraId="1A3E2B1C"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2A2B402C" w14:textId="61887CCB" w:rsidR="006448E3" w:rsidRPr="00795F17" w:rsidRDefault="00DF1764" w:rsidP="006448E3">
            <w:pPr>
              <w:pStyle w:val="Wykazskrotowbold"/>
            </w:pPr>
            <w:r>
              <w:t>d</w:t>
            </w:r>
            <w:r w:rsidRPr="00795F17">
              <w:t xml:space="preserve">ziałania </w:t>
            </w:r>
            <w:r w:rsidR="006448E3" w:rsidRPr="00795F17">
              <w:t>uzupełniające</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5849974C" w14:textId="4C2854BB" w:rsidR="006448E3" w:rsidRPr="00795F17" w:rsidRDefault="006448E3" w:rsidP="006448E3">
            <w:pPr>
              <w:pStyle w:val="Wykazskrotow"/>
            </w:pPr>
            <w:r w:rsidRPr="00795F17">
              <w:t>zgodnie z definicją zawartą w art. 324 ust. 4 pr.w.</w:t>
            </w:r>
          </w:p>
        </w:tc>
      </w:tr>
      <w:tr w:rsidR="006448E3" w:rsidRPr="00795F17" w14:paraId="1C809056"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5E08853F" w14:textId="424773BC" w:rsidR="006448E3" w:rsidRPr="00795F17" w:rsidRDefault="00DF1764" w:rsidP="006448E3">
            <w:pPr>
              <w:pStyle w:val="Wykazskrotowbold"/>
            </w:pPr>
            <w:r>
              <w:t>k</w:t>
            </w:r>
            <w:r w:rsidRPr="00795F17">
              <w:t xml:space="preserve">oszty </w:t>
            </w:r>
            <w:r w:rsidR="006448E3" w:rsidRPr="00795F17">
              <w:t>środowiskowe</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07ECA4F2" w14:textId="4A2FB90E" w:rsidR="006448E3" w:rsidRPr="00795F17" w:rsidRDefault="006448E3" w:rsidP="006448E3">
            <w:pPr>
              <w:pStyle w:val="Wykazskrotow"/>
            </w:pPr>
            <w:r w:rsidRPr="00795F17">
              <w:t>rozumie się przez to wartość materialną strat w środowisku powodowanych przez korzystanie z wód (art. 16 pkt 24 pr.w.)</w:t>
            </w:r>
          </w:p>
        </w:tc>
      </w:tr>
      <w:tr w:rsidR="006448E3" w:rsidRPr="00795F17" w14:paraId="3EAEC1F0"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0B2E0478" w14:textId="23DB2C0C" w:rsidR="006448E3" w:rsidRPr="00795F17" w:rsidRDefault="00DF1764" w:rsidP="006448E3">
            <w:pPr>
              <w:pStyle w:val="Wykazskrotowbold"/>
            </w:pPr>
            <w:r>
              <w:t>k</w:t>
            </w:r>
            <w:r w:rsidRPr="00795F17">
              <w:t xml:space="preserve">oszty </w:t>
            </w:r>
            <w:r w:rsidR="006448E3" w:rsidRPr="00795F17">
              <w:t>zasobowe</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7F6E1F2B" w14:textId="2A3599A9" w:rsidR="006448E3" w:rsidRPr="00795F17" w:rsidRDefault="006448E3" w:rsidP="006448E3">
            <w:pPr>
              <w:pStyle w:val="Wykazskrotow"/>
            </w:pPr>
            <w:r w:rsidRPr="00795F17">
              <w:t>rozumie się przez to wartość utraconych korzyści, które mogłyby być osiągnięte, gdyby zasoby wodne i ich zdolność do samoodtwarzania nie były zmniejszane przez podmioty aktualnie je użytkujące (art. 16 pkt 25 pr.w.)</w:t>
            </w:r>
          </w:p>
        </w:tc>
      </w:tr>
      <w:tr w:rsidR="006448E3" w:rsidRPr="00795F17" w14:paraId="187C42FD"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5152DDD7" w14:textId="65549EF1" w:rsidR="006448E3" w:rsidRPr="00795F17" w:rsidRDefault="00DF1764" w:rsidP="006448E3">
            <w:pPr>
              <w:pStyle w:val="Wykazskrotowbold"/>
            </w:pPr>
            <w:r>
              <w:t>m</w:t>
            </w:r>
            <w:r w:rsidRPr="00795F17">
              <w:t xml:space="preserve">etodyka </w:t>
            </w:r>
            <w:r w:rsidR="006448E3" w:rsidRPr="00795F17">
              <w:t>referencyjna</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73157025" w14:textId="505B74D9" w:rsidR="006448E3" w:rsidRPr="00795F17" w:rsidRDefault="006448E3" w:rsidP="006448E3">
            <w:pPr>
              <w:pStyle w:val="Wykazskrotow"/>
            </w:pPr>
            <w:r w:rsidRPr="00795F17">
              <w:t>metoda pomiarów lub badań, która może obejmować w szczególności sposób poboru próbek, sposób interpretacji uzyskanych danych, a także metodyki modelowania rozprzestrzeniania substancji oraz energii w środowisku (</w:t>
            </w:r>
            <w:r>
              <w:t>według </w:t>
            </w:r>
            <w:r w:rsidRPr="00795F17">
              <w:t>Prawa ochrony środowiska)</w:t>
            </w:r>
          </w:p>
        </w:tc>
      </w:tr>
      <w:tr w:rsidR="006448E3" w:rsidRPr="00795F17" w14:paraId="75AF6B95"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7222AE03" w14:textId="7A626661" w:rsidR="006448E3" w:rsidRPr="00795F17" w:rsidRDefault="00DF1764" w:rsidP="006448E3">
            <w:pPr>
              <w:pStyle w:val="Wykazskrotowbold"/>
            </w:pPr>
            <w:r>
              <w:t>n</w:t>
            </w:r>
            <w:r w:rsidRPr="00795F17">
              <w:t xml:space="preserve">ajefektywniejsza </w:t>
            </w:r>
            <w:r w:rsidR="006448E3" w:rsidRPr="00795F17">
              <w:t>ekonomicznie kombinacja działań</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377A9B95" w14:textId="77777777" w:rsidR="006448E3" w:rsidRPr="00795F17" w:rsidRDefault="006448E3" w:rsidP="006448E3">
            <w:pPr>
              <w:pStyle w:val="Wykazskrotow"/>
            </w:pPr>
            <w:r w:rsidRPr="00795F17">
              <w:t>w rozumieniu określonym przez §5 ust. 1 pkt 2 r.p.g.w.</w:t>
            </w:r>
          </w:p>
        </w:tc>
      </w:tr>
      <w:tr w:rsidR="006448E3" w:rsidRPr="00795F17" w14:paraId="6C4CA158"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65BF25C4" w14:textId="2BFE877C" w:rsidR="006448E3" w:rsidRPr="00795F17" w:rsidRDefault="00DF1764" w:rsidP="006448E3">
            <w:pPr>
              <w:pStyle w:val="Wykazskrotowbold"/>
            </w:pPr>
            <w:r>
              <w:t>o</w:t>
            </w:r>
            <w:r w:rsidRPr="00795F17">
              <w:t xml:space="preserve">bszary </w:t>
            </w:r>
            <w:r w:rsidR="006448E3" w:rsidRPr="00795F17">
              <w:t>chronione</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7118CD1B" w14:textId="5EA0576B" w:rsidR="006448E3" w:rsidRPr="00795F17" w:rsidRDefault="006448E3" w:rsidP="006448E3">
            <w:pPr>
              <w:pStyle w:val="Wykazskrotow"/>
            </w:pPr>
            <w:r w:rsidRPr="00795F17">
              <w:t>w rozumieniu określonym przez art. 16 pkt 32 pr.w.:</w:t>
            </w:r>
          </w:p>
          <w:p w14:paraId="5F817D24" w14:textId="5F9E8824" w:rsidR="006448E3" w:rsidRPr="00795F17" w:rsidRDefault="006448E3" w:rsidP="006448E3">
            <w:pPr>
              <w:pStyle w:val="Wykazskrotow"/>
            </w:pPr>
            <w:r w:rsidRPr="00795F17">
              <w:t>a) jcw przeznaczone do poboru wody na potrzeby zaopatrzenia ludności w</w:t>
            </w:r>
            <w:r>
              <w:t> </w:t>
            </w:r>
            <w:r w:rsidRPr="00795F17">
              <w:t>wodę przeznaczoną do spożycia przez ludzi,</w:t>
            </w:r>
          </w:p>
          <w:p w14:paraId="05AAC37F" w14:textId="77777777" w:rsidR="006448E3" w:rsidRPr="00795F17" w:rsidRDefault="006448E3" w:rsidP="006448E3">
            <w:pPr>
              <w:pStyle w:val="Wykazskrotow"/>
            </w:pPr>
            <w:r w:rsidRPr="00795F17">
              <w:t>b) jcw przeznaczone do celów rekreacyjnych, w tym kąpieliskowych,</w:t>
            </w:r>
          </w:p>
          <w:p w14:paraId="031A8474" w14:textId="5FD9A8B7" w:rsidR="006448E3" w:rsidRPr="00795F17" w:rsidRDefault="006448E3" w:rsidP="006448E3">
            <w:pPr>
              <w:pStyle w:val="Wykazskrotow"/>
            </w:pPr>
            <w:r w:rsidRPr="00795F17">
              <w:t>c) obszary wrażliwe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w:t>
            </w:r>
            <w:r>
              <w:t> </w:t>
            </w:r>
            <w:r w:rsidRPr="00795F17">
              <w:t>środowisku wodnym oraz pogorszenie jakości tych wód,</w:t>
            </w:r>
          </w:p>
          <w:p w14:paraId="2B581B27" w14:textId="3EE307C3" w:rsidR="006448E3" w:rsidRPr="00795F17" w:rsidRDefault="006448E3" w:rsidP="006448E3">
            <w:pPr>
              <w:pStyle w:val="Wykazskrotow"/>
            </w:pPr>
            <w:r w:rsidRPr="00795F17">
              <w:t>d) obszary przeznaczone do ochrony siedlisk lub gatunków, o których mowa w</w:t>
            </w:r>
            <w:r>
              <w:t> </w:t>
            </w:r>
            <w:r w:rsidRPr="00795F17">
              <w:t>przepisach</w:t>
            </w:r>
            <w:r>
              <w:t xml:space="preserve"> </w:t>
            </w:r>
            <w:r w:rsidRPr="00795F17">
              <w:t>ustawy z dnia 16 kwietnia 2004 r. o ochronie przyrody, dla których utrzymanie lub poprawa stanu wód jest ważnym czynnikiem w ich ochronie,</w:t>
            </w:r>
          </w:p>
          <w:p w14:paraId="6E1665CF" w14:textId="77777777" w:rsidR="006448E3" w:rsidRPr="00795F17" w:rsidRDefault="006448E3" w:rsidP="006448E3">
            <w:pPr>
              <w:pStyle w:val="Wykazskrotow"/>
            </w:pPr>
            <w:r w:rsidRPr="00795F17">
              <w:t>e) obszary przeznaczone do ochrony gatunków zwierząt wodnych o znaczeniu gospodarczym.</w:t>
            </w:r>
          </w:p>
        </w:tc>
      </w:tr>
      <w:tr w:rsidR="007D05C1" w:rsidRPr="00795F17" w14:paraId="532A6EB2"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4AB4B511" w14:textId="240503DB" w:rsidR="007D05C1" w:rsidRPr="00795F17" w:rsidRDefault="00950EAF" w:rsidP="007D05C1">
            <w:pPr>
              <w:pStyle w:val="Wykazskrotowbold"/>
            </w:pPr>
            <w:r>
              <w:t>r</w:t>
            </w:r>
            <w:r w:rsidR="007D05C1" w:rsidRPr="00946345">
              <w:t>ejestr wykazów obszarów chronionych</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119318C8" w14:textId="484686A0" w:rsidR="007D05C1" w:rsidRPr="00795F17" w:rsidRDefault="007D05C1" w:rsidP="007D05C1">
            <w:pPr>
              <w:pStyle w:val="Wykazskrotow"/>
            </w:pPr>
            <w:r w:rsidRPr="00946345">
              <w:rPr>
                <w:rFonts w:eastAsia="Times New Roman"/>
                <w:color w:val="000000" w:themeColor="text1"/>
              </w:rPr>
              <w:t>w rozumieniu określonym przez art. 317 ust. 1 pkt 5 i art. 317 ust. 4 pr.w.</w:t>
            </w:r>
          </w:p>
        </w:tc>
      </w:tr>
      <w:tr w:rsidR="007D05C1" w:rsidRPr="00795F17" w14:paraId="790C6DA3"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365A5B96" w14:textId="54A79166" w:rsidR="007D05C1" w:rsidRPr="00795F17" w:rsidRDefault="00DF1764" w:rsidP="007D05C1">
            <w:pPr>
              <w:pStyle w:val="Wykazskrotowbold"/>
            </w:pPr>
            <w:r>
              <w:t>s</w:t>
            </w:r>
            <w:r w:rsidRPr="00795F17">
              <w:t xml:space="preserve">ubstancje </w:t>
            </w:r>
            <w:r w:rsidR="007D05C1" w:rsidRPr="00795F17">
              <w:t>priorytetowe</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43784C1B" w14:textId="7F3F2848" w:rsidR="007D05C1" w:rsidRPr="00795F17" w:rsidRDefault="007D05C1" w:rsidP="007D05C1">
            <w:pPr>
              <w:pStyle w:val="Wykazskrotow"/>
            </w:pPr>
            <w:r w:rsidRPr="00795F17">
              <w:t xml:space="preserve">substancje zanieczyszczające szczególnie niebezpieczne dla środowiska wodnego ujęte w </w:t>
            </w:r>
            <w:r>
              <w:t>r</w:t>
            </w:r>
            <w:r w:rsidRPr="00795F17">
              <w:t>ozporządzeniu Ministra Gospodarki Morskiej i Żeglugi Śródlądowej z dnia 1 marca 2019 r. w sprawie wykazu substancji priorytetowych (Dz.U. poz. 528)</w:t>
            </w:r>
          </w:p>
        </w:tc>
      </w:tr>
      <w:tr w:rsidR="007D05C1" w:rsidRPr="00795F17" w14:paraId="2BF2ADA7"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6CD71181" w14:textId="34F94732" w:rsidR="007D05C1" w:rsidRPr="00795F17" w:rsidRDefault="00E441F0" w:rsidP="007D05C1">
            <w:pPr>
              <w:pStyle w:val="Wykazskrotowbold"/>
            </w:pPr>
            <w:r>
              <w:t>t</w:t>
            </w:r>
            <w:r w:rsidRPr="00795F17">
              <w:t xml:space="preserve">ypy </w:t>
            </w:r>
            <w:r w:rsidR="007D05C1" w:rsidRPr="00795F17">
              <w:t>abiotyczne rzek</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11C7757B" w14:textId="0F124125" w:rsidR="007D05C1" w:rsidRPr="00795F17" w:rsidRDefault="007D05C1" w:rsidP="007D05C1">
            <w:pPr>
              <w:pStyle w:val="Wykazskrotow"/>
            </w:pPr>
            <w:r w:rsidRPr="00795F17">
              <w:t xml:space="preserve">w rozumieniu </w:t>
            </w:r>
            <w:r w:rsidR="00134A0A" w:rsidRPr="00795F17">
              <w:t>zał</w:t>
            </w:r>
            <w:r w:rsidR="00134A0A">
              <w:t xml:space="preserve">ącznika nr </w:t>
            </w:r>
            <w:r w:rsidRPr="00795F17">
              <w:t xml:space="preserve">6 do </w:t>
            </w:r>
            <w:r>
              <w:t>r</w:t>
            </w:r>
            <w:r w:rsidRPr="00B865B2">
              <w:t>ozporządzenia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 U. poz. 1475)</w:t>
            </w:r>
          </w:p>
        </w:tc>
      </w:tr>
      <w:tr w:rsidR="007D05C1" w:rsidRPr="00795F17" w14:paraId="75E94FC9"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17FC9B77" w14:textId="2E64A86A" w:rsidR="007D05C1" w:rsidRPr="00795F17" w:rsidRDefault="00950EAF" w:rsidP="007D05C1">
            <w:pPr>
              <w:pStyle w:val="Wykazskrotowbold"/>
            </w:pPr>
            <w:r>
              <w:t>t</w:t>
            </w:r>
            <w:r w:rsidR="007D05C1" w:rsidRPr="00795F17">
              <w:t>yp wód powierzchniowych, potencjał ekologiczny, stan ekologiczny, elementy biologiczne, klasa stanu ekologicznego wód, klasa potencjału ekologicznego wód</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50E4D5C2" w14:textId="39BFCE4A" w:rsidR="007D05C1" w:rsidRPr="00795F17" w:rsidRDefault="007D05C1" w:rsidP="007D05C1">
            <w:pPr>
              <w:pStyle w:val="Wykazskrotow"/>
            </w:pPr>
            <w:r w:rsidRPr="00795F17">
              <w:t xml:space="preserve">w rozumieniu </w:t>
            </w:r>
            <w:r>
              <w:t>r</w:t>
            </w:r>
            <w:r w:rsidRPr="0055157A">
              <w:t>ozporządzenia Ministra Infrastruktury z dnia 25 czerwca 2021</w:t>
            </w:r>
            <w:r>
              <w:t> </w:t>
            </w:r>
            <w:r w:rsidRPr="0055157A">
              <w:t>r. w sprawie klasyfikacji stanu ekologicznego, potencjału ekologicznego i stanu chemicznego oraz sposobu klasyfikacji stanu jednolitych części wód powierzchniowych, a także środowiskowych norm jakości dla substancji priorytetowych (Dz. U. poz. 1475)</w:t>
            </w:r>
          </w:p>
        </w:tc>
      </w:tr>
      <w:tr w:rsidR="007D05C1" w:rsidRPr="00795F17" w14:paraId="5ABF3CBE"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12A6C9D5" w14:textId="48F92741" w:rsidR="007D05C1" w:rsidRPr="00795F17" w:rsidRDefault="00950EAF" w:rsidP="007D05C1">
            <w:pPr>
              <w:pStyle w:val="Wykazskrotowbold"/>
            </w:pPr>
            <w:r>
              <w:t>u</w:t>
            </w:r>
            <w:r w:rsidR="007D05C1" w:rsidRPr="00795F17">
              <w:t>trzymywanie wód, kategorie prac utrzymaniowych</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2399B4F1" w14:textId="4A59DCF7" w:rsidR="007D05C1" w:rsidRPr="00795F17" w:rsidRDefault="007D05C1" w:rsidP="007D05C1">
            <w:pPr>
              <w:pStyle w:val="Wykazskrotow"/>
            </w:pPr>
            <w:r w:rsidRPr="00795F17">
              <w:t>w rozumieniu art. 227 pr.w.</w:t>
            </w:r>
          </w:p>
        </w:tc>
      </w:tr>
      <w:tr w:rsidR="007D05C1" w:rsidRPr="00795F17" w14:paraId="59D0019F"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758A31E4" w14:textId="747ED63B" w:rsidR="007D05C1" w:rsidRPr="00795F17" w:rsidRDefault="00D30FA6" w:rsidP="007D05C1">
            <w:pPr>
              <w:pStyle w:val="Wykazskrotowbold"/>
            </w:pPr>
            <w:r>
              <w:t>w</w:t>
            </w:r>
            <w:r w:rsidRPr="00795F17">
              <w:t xml:space="preserve">ykaz </w:t>
            </w:r>
            <w:r w:rsidR="007D05C1" w:rsidRPr="00795F17">
              <w:t>inwestycji</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51A8F51C" w14:textId="729B821A" w:rsidR="007D05C1" w:rsidRPr="00795F17" w:rsidRDefault="007D05C1" w:rsidP="007D05C1">
            <w:pPr>
              <w:pStyle w:val="Wykazskrotow"/>
            </w:pPr>
            <w:r w:rsidRPr="00795F17">
              <w:t>wykaz planowanych inwestycji lub działań mogących wpłynąć na możliwość osiągnięcia celów środowiskowych, o których mowa w art. 56, art. 57, art. 59 oraz w art. 61 pr.w., zgodnie z definicją przewidzianą art. 435  pr.w.</w:t>
            </w:r>
          </w:p>
        </w:tc>
      </w:tr>
      <w:tr w:rsidR="007D05C1" w:rsidRPr="00795F17" w14:paraId="099135D8"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1BDB116C" w14:textId="52DB0D97" w:rsidR="007D05C1" w:rsidRPr="00795F17" w:rsidRDefault="0061314B" w:rsidP="007D05C1">
            <w:pPr>
              <w:pStyle w:val="Wykazskrotowbold"/>
            </w:pPr>
            <w:r>
              <w:t>z</w:t>
            </w:r>
            <w:r w:rsidRPr="00795F17">
              <w:t>anieczyszczenie</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3E381BD9" w14:textId="56CEC35B" w:rsidR="007D05C1" w:rsidRPr="00795F17" w:rsidRDefault="007D05C1" w:rsidP="007D05C1">
            <w:pPr>
              <w:pStyle w:val="Wykazskrotow"/>
            </w:pPr>
            <w:r w:rsidRPr="00795F17">
              <w:t>rozumie się przez to emisję, która może być szkodliwa dla zdrowia ludzi lub stanu środowiska, może powodować szkodę w dobrach materialnych, może pogarszać walory estetyczne środowiska lub może kolidować z innymi, uzasadnionymi sposobami korzystania ze środowiska, zgodnie z definicją przewidzianą art. 3 pkt 49 p.o.ś.</w:t>
            </w:r>
          </w:p>
        </w:tc>
      </w:tr>
      <w:tr w:rsidR="007D05C1" w:rsidRPr="00795F17" w14:paraId="57367F6A"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22CB4310" w14:textId="38A5344B" w:rsidR="007D05C1" w:rsidRPr="00795F17" w:rsidRDefault="00566F95" w:rsidP="007D05C1">
            <w:pPr>
              <w:pStyle w:val="Wykazskrotowbold"/>
            </w:pPr>
            <w:r>
              <w:t>z</w:t>
            </w:r>
            <w:r w:rsidRPr="00795F17">
              <w:t xml:space="preserve">estaw </w:t>
            </w:r>
            <w:r w:rsidR="007D05C1" w:rsidRPr="00795F17">
              <w:t>działań</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6AD87B00" w14:textId="44B5DCC2" w:rsidR="007D05C1" w:rsidRPr="00795F17" w:rsidRDefault="007D05C1" w:rsidP="007D05C1">
            <w:pPr>
              <w:pStyle w:val="Wykazskrotow"/>
            </w:pPr>
            <w:r w:rsidRPr="00795F17">
              <w:t>zbiór wszystkich działań planowanych do wdrożenia we wszystkich jcw, służący osiąganiu ustanawianych celów środowiskowych obejmuje zestaw działań, o których mowa w art. 324 ust.</w:t>
            </w:r>
            <w:r>
              <w:t xml:space="preserve"> </w:t>
            </w:r>
            <w:r w:rsidRPr="00795F17">
              <w:t>1 pr.w., z uwzględnieniem sposobów osiągania ustanawianych celów środowiskowych, oraz informacje o</w:t>
            </w:r>
            <w:r>
              <w:t> </w:t>
            </w:r>
            <w:r w:rsidRPr="00795F17">
              <w:t>działaniach, o których mowa w art. 159 ust. 1 i 3 pr.w. (§2 ust. 1 pkt</w:t>
            </w:r>
            <w:r>
              <w:t> </w:t>
            </w:r>
            <w:r w:rsidRPr="00795F17">
              <w:t xml:space="preserve">12 r.p.g.w.). </w:t>
            </w:r>
          </w:p>
          <w:p w14:paraId="0DF3A610" w14:textId="43C5AEDF" w:rsidR="007D05C1" w:rsidRPr="00795F17" w:rsidRDefault="007D05C1" w:rsidP="007D05C1">
            <w:pPr>
              <w:pStyle w:val="Wykazskrotow"/>
            </w:pPr>
            <w:r w:rsidRPr="00795F17">
              <w:t xml:space="preserve">Zestaw działań </w:t>
            </w:r>
            <w:r>
              <w:t>–</w:t>
            </w:r>
            <w:r w:rsidRPr="00795F17">
              <w:t xml:space="preserve"> program działań </w:t>
            </w:r>
            <w:r>
              <w:t>według</w:t>
            </w:r>
            <w:r w:rsidRPr="00795F17">
              <w:t xml:space="preserve"> RDW.</w:t>
            </w:r>
          </w:p>
        </w:tc>
      </w:tr>
      <w:tr w:rsidR="007D05C1" w:rsidRPr="00795F17" w14:paraId="4AE9F156"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60C2E9E9" w14:textId="0FE2CFB4" w:rsidR="007D05C1" w:rsidRPr="00795F17" w:rsidRDefault="009D2C14" w:rsidP="007D05C1">
            <w:pPr>
              <w:pStyle w:val="Wykazskrotowbold"/>
            </w:pPr>
            <w:r>
              <w:t>z</w:t>
            </w:r>
            <w:r w:rsidRPr="00795F17">
              <w:t xml:space="preserve">wrot </w:t>
            </w:r>
            <w:r w:rsidR="007D05C1" w:rsidRPr="00795F17">
              <w:t>kosztów usług wodnych</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309478C5" w14:textId="3871A00C" w:rsidR="007D05C1" w:rsidRPr="00795F17" w:rsidRDefault="007D05C1" w:rsidP="007D05C1">
            <w:pPr>
              <w:pStyle w:val="Wykazskrotow"/>
            </w:pPr>
            <w:r w:rsidRPr="00795F17">
              <w:t xml:space="preserve">w rozumieniu określonym </w:t>
            </w:r>
            <w:r w:rsidR="000B5E72">
              <w:t xml:space="preserve">w </w:t>
            </w:r>
            <w:r w:rsidRPr="00795F17">
              <w:t>pr.w.; zgodnie z art. 9 ust. 3 pr.w. gospodarowanie wodami opiera się na zasadzie zwrotu kosztów usług wodnych, uwzględniających koszty środowiskowe i koszty zasobowe oraz analizę ekonomiczną</w:t>
            </w:r>
          </w:p>
        </w:tc>
      </w:tr>
    </w:tbl>
    <w:p w14:paraId="03CE2636" w14:textId="77777777" w:rsidR="006B2425" w:rsidRPr="00795F17" w:rsidRDefault="006B2425" w:rsidP="0044393D"/>
    <w:p w14:paraId="169C90DB" w14:textId="77777777" w:rsidR="006B2425" w:rsidRPr="00795F17" w:rsidRDefault="006B2425" w:rsidP="0044393D">
      <w:pPr>
        <w:sectPr w:rsidR="006B2425" w:rsidRPr="00795F17" w:rsidSect="00FE7F92">
          <w:pgSz w:w="11906" w:h="16838"/>
          <w:pgMar w:top="1417" w:right="1417" w:bottom="1417" w:left="1417" w:header="708" w:footer="708" w:gutter="0"/>
          <w:cols w:space="708"/>
          <w:docGrid w:linePitch="360"/>
        </w:sectPr>
      </w:pPr>
    </w:p>
    <w:p w14:paraId="4891E6B4" w14:textId="48287204" w:rsidR="00E26CE0" w:rsidRPr="00795F17" w:rsidRDefault="008E59B7" w:rsidP="00BA6B41">
      <w:pPr>
        <w:pStyle w:val="Nagwek1"/>
      </w:pPr>
      <w:bookmarkStart w:id="10" w:name="_Toc66272261"/>
      <w:bookmarkStart w:id="11" w:name="_Toc66347788"/>
      <w:bookmarkStart w:id="12" w:name="_Toc105512625"/>
      <w:r w:rsidRPr="00795F17">
        <w:t>W</w:t>
      </w:r>
      <w:bookmarkEnd w:id="3"/>
      <w:bookmarkEnd w:id="4"/>
      <w:bookmarkEnd w:id="5"/>
      <w:r w:rsidR="00755EAA" w:rsidRPr="00795F17">
        <w:t>prowadzenie</w:t>
      </w:r>
      <w:bookmarkStart w:id="13" w:name="_Hlk21898247"/>
      <w:bookmarkEnd w:id="6"/>
      <w:bookmarkEnd w:id="10"/>
      <w:bookmarkEnd w:id="11"/>
      <w:bookmarkEnd w:id="12"/>
    </w:p>
    <w:p w14:paraId="0B4719E1" w14:textId="21E610F6" w:rsidR="00771DCB" w:rsidRPr="00795F17" w:rsidRDefault="00771DCB" w:rsidP="0044393D">
      <w:pPr>
        <w:rPr>
          <w:lang w:eastAsia="pl-PL"/>
        </w:rPr>
      </w:pPr>
      <w:r w:rsidRPr="00795F17">
        <w:rPr>
          <w:lang w:eastAsia="pl-PL"/>
        </w:rPr>
        <w:t xml:space="preserve">IIaPGW </w:t>
      </w:r>
      <w:r w:rsidR="00B11005">
        <w:rPr>
          <w:lang w:eastAsia="pl-PL"/>
        </w:rPr>
        <w:t xml:space="preserve">na </w:t>
      </w:r>
      <w:r w:rsidRPr="00795F17">
        <w:rPr>
          <w:lang w:eastAsia="pl-PL"/>
        </w:rPr>
        <w:t>obszar</w:t>
      </w:r>
      <w:r w:rsidR="00B11005">
        <w:rPr>
          <w:lang w:eastAsia="pl-PL"/>
        </w:rPr>
        <w:t>ze</w:t>
      </w:r>
      <w:r w:rsidRPr="00795F17">
        <w:rPr>
          <w:lang w:eastAsia="pl-PL"/>
        </w:rPr>
        <w:t xml:space="preserve"> dorzecza </w:t>
      </w:r>
      <w:r w:rsidR="002D62D6" w:rsidRPr="00795F17">
        <w:rPr>
          <w:lang w:eastAsia="pl-PL"/>
        </w:rPr>
        <w:t>Odry</w:t>
      </w:r>
      <w:r w:rsidRPr="00795F17">
        <w:rPr>
          <w:lang w:eastAsia="pl-PL"/>
        </w:rPr>
        <w:t xml:space="preserve"> stanowi wypełnienie zobowiązań wynikających z</w:t>
      </w:r>
      <w:r w:rsidR="00B5206E" w:rsidRPr="00795F17">
        <w:rPr>
          <w:lang w:eastAsia="pl-PL"/>
        </w:rPr>
        <w:t> </w:t>
      </w:r>
      <w:r w:rsidRPr="00795F17">
        <w:rPr>
          <w:lang w:eastAsia="pl-PL"/>
        </w:rPr>
        <w:t>post</w:t>
      </w:r>
      <w:r w:rsidR="00CA7A3B" w:rsidRPr="00795F17">
        <w:rPr>
          <w:lang w:eastAsia="pl-PL"/>
        </w:rPr>
        <w:t>a</w:t>
      </w:r>
      <w:r w:rsidRPr="00795F17">
        <w:rPr>
          <w:lang w:eastAsia="pl-PL"/>
        </w:rPr>
        <w:t>nowień Ramowej Dyrektywy Wodnej w</w:t>
      </w:r>
      <w:r w:rsidR="00C2667B">
        <w:rPr>
          <w:lang w:eastAsia="pl-PL"/>
        </w:rPr>
        <w:t xml:space="preserve"> </w:t>
      </w:r>
      <w:r w:rsidRPr="00795F17">
        <w:rPr>
          <w:lang w:eastAsia="pl-PL"/>
        </w:rPr>
        <w:t xml:space="preserve">zakresie cyklicznej (sześcioletniej) aktualizacji planów gospodarowania wodami. Jednocześnie dokument umożliwia wypełnienie zobowiązań raportowych Polski </w:t>
      </w:r>
      <w:r w:rsidR="00E818C6" w:rsidRPr="00795F17">
        <w:rPr>
          <w:lang w:eastAsia="pl-PL"/>
        </w:rPr>
        <w:t>wobec</w:t>
      </w:r>
      <w:r w:rsidRPr="00795F17">
        <w:rPr>
          <w:lang w:eastAsia="pl-PL"/>
        </w:rPr>
        <w:t xml:space="preserve"> KE. </w:t>
      </w:r>
    </w:p>
    <w:p w14:paraId="41B87BCB" w14:textId="12258077" w:rsidR="00771DCB" w:rsidRPr="00795F17" w:rsidRDefault="00771DCB" w:rsidP="0044393D">
      <w:r w:rsidRPr="00795F17">
        <w:t>Zgodnie z RDW każde Państwo Członkowskie zapewnia ustalenie programu środków (działań), dla</w:t>
      </w:r>
      <w:r w:rsidR="00A80501" w:rsidRPr="00795F17">
        <w:t> </w:t>
      </w:r>
      <w:r w:rsidRPr="00795F17">
        <w:t xml:space="preserve">wszystkich obszarów dorzeczy lub części międzynarodowych obszarów dorzeczy leżących na jego terytorium, uwzględniając wyniki analiz wymaganych art. 5 RDW (w tym przegląd wpływu działalności człowieka na środowisko i analizę ekonomiczną korzystania z wód). Program działań (zgodnie z pr.w. </w:t>
      </w:r>
      <w:r w:rsidR="009541D9">
        <w:t>–</w:t>
      </w:r>
      <w:r w:rsidRPr="00795F17">
        <w:t xml:space="preserve"> zestaw działań) powinien być ukierunkowany na osiągnięcie celów środowiskowych dla wód powierzchniowych, podziemnych </w:t>
      </w:r>
      <w:r w:rsidR="00E818C6" w:rsidRPr="00795F17">
        <w:t xml:space="preserve">i </w:t>
      </w:r>
      <w:r w:rsidRPr="00795F17">
        <w:t xml:space="preserve">obszarów chronionych. </w:t>
      </w:r>
    </w:p>
    <w:p w14:paraId="5D71F748" w14:textId="087CFE94" w:rsidR="00771DCB" w:rsidRPr="00795F17" w:rsidRDefault="00771DCB" w:rsidP="0044393D">
      <w:pPr>
        <w:rPr>
          <w:lang w:eastAsia="pl-PL"/>
        </w:rPr>
      </w:pPr>
      <w:r w:rsidRPr="00795F17">
        <w:rPr>
          <w:lang w:eastAsia="pl-PL"/>
        </w:rPr>
        <w:t>Niniejsz</w:t>
      </w:r>
      <w:r w:rsidR="00A1583C">
        <w:rPr>
          <w:lang w:eastAsia="pl-PL"/>
        </w:rPr>
        <w:t>a</w:t>
      </w:r>
      <w:r w:rsidRPr="00795F17" w:rsidDel="00A1583C">
        <w:rPr>
          <w:lang w:eastAsia="pl-PL"/>
        </w:rPr>
        <w:t xml:space="preserve"> </w:t>
      </w:r>
      <w:r w:rsidRPr="00795F17">
        <w:rPr>
          <w:lang w:eastAsia="pl-PL"/>
        </w:rPr>
        <w:t xml:space="preserve">IIaPGW </w:t>
      </w:r>
      <w:r w:rsidR="00A01E1A">
        <w:rPr>
          <w:lang w:eastAsia="pl-PL"/>
        </w:rPr>
        <w:t xml:space="preserve">na </w:t>
      </w:r>
      <w:r w:rsidRPr="00795F17">
        <w:rPr>
          <w:lang w:eastAsia="pl-PL"/>
        </w:rPr>
        <w:t>obszar</w:t>
      </w:r>
      <w:r w:rsidR="00A01E1A">
        <w:rPr>
          <w:lang w:eastAsia="pl-PL"/>
        </w:rPr>
        <w:t>ze</w:t>
      </w:r>
      <w:r w:rsidRPr="00795F17">
        <w:rPr>
          <w:lang w:eastAsia="pl-PL"/>
        </w:rPr>
        <w:t xml:space="preserve"> dorzecza </w:t>
      </w:r>
      <w:r w:rsidR="002D62D6" w:rsidRPr="00795F17">
        <w:rPr>
          <w:lang w:eastAsia="pl-PL"/>
        </w:rPr>
        <w:t>Odry</w:t>
      </w:r>
      <w:r w:rsidRPr="00795F17">
        <w:rPr>
          <w:lang w:eastAsia="pl-PL"/>
        </w:rPr>
        <w:t xml:space="preserve"> jest głównym dokumentem planistycznym w zakresie gospodarowania wodami </w:t>
      </w:r>
      <w:r w:rsidR="00C82255">
        <w:rPr>
          <w:lang w:eastAsia="pl-PL"/>
        </w:rPr>
        <w:t xml:space="preserve">na </w:t>
      </w:r>
      <w:r w:rsidRPr="00795F17">
        <w:rPr>
          <w:lang w:eastAsia="pl-PL"/>
        </w:rPr>
        <w:t xml:space="preserve">tym </w:t>
      </w:r>
      <w:r w:rsidR="00562274">
        <w:rPr>
          <w:lang w:eastAsia="pl-PL"/>
        </w:rPr>
        <w:t xml:space="preserve">obszarze </w:t>
      </w:r>
      <w:r w:rsidRPr="00795F17">
        <w:rPr>
          <w:lang w:eastAsia="pl-PL"/>
        </w:rPr>
        <w:t>dorzecz</w:t>
      </w:r>
      <w:r w:rsidR="00562274">
        <w:rPr>
          <w:lang w:eastAsia="pl-PL"/>
        </w:rPr>
        <w:t>a</w:t>
      </w:r>
      <w:r w:rsidRPr="00795F17">
        <w:rPr>
          <w:lang w:eastAsia="pl-PL"/>
        </w:rPr>
        <w:t xml:space="preserve">. </w:t>
      </w:r>
    </w:p>
    <w:p w14:paraId="78286B81" w14:textId="27DAD828" w:rsidR="00771DCB" w:rsidRPr="00795F17" w:rsidRDefault="00771DCB" w:rsidP="0044393D">
      <w:pPr>
        <w:rPr>
          <w:lang w:eastAsia="pl-PL"/>
        </w:rPr>
      </w:pPr>
      <w:r w:rsidRPr="00795F17">
        <w:rPr>
          <w:lang w:eastAsia="pl-PL"/>
        </w:rPr>
        <w:t xml:space="preserve">Stanowi on podstawę do podejmowania decyzji kształtujących stan zasobów wodnych na obszarze dorzecza i </w:t>
      </w:r>
      <w:r w:rsidR="002F6942" w:rsidRPr="00795F17">
        <w:rPr>
          <w:lang w:eastAsia="pl-PL"/>
        </w:rPr>
        <w:t xml:space="preserve">określa </w:t>
      </w:r>
      <w:r w:rsidRPr="00795F17">
        <w:rPr>
          <w:lang w:eastAsia="pl-PL"/>
        </w:rPr>
        <w:t>zasady gospodarowania nimi. Służy także koordynowaniu działań mających na</w:t>
      </w:r>
      <w:r w:rsidR="002F6942" w:rsidRPr="00795F17">
        <w:rPr>
          <w:lang w:eastAsia="pl-PL"/>
        </w:rPr>
        <w:t xml:space="preserve"> </w:t>
      </w:r>
      <w:r w:rsidRPr="00795F17">
        <w:rPr>
          <w:lang w:eastAsia="pl-PL"/>
        </w:rPr>
        <w:t>celu osiągnięcie lub utrzymanie co najmniej dobrego stanu wód oraz ekosystemów od wód zależnych, poprawę stanu zasobów wodnych, poprawę możliwości korzystania z wód</w:t>
      </w:r>
      <w:r w:rsidR="00204CE9">
        <w:rPr>
          <w:lang w:eastAsia="pl-PL"/>
        </w:rPr>
        <w:t xml:space="preserve"> oraz</w:t>
      </w:r>
      <w:r w:rsidRPr="00795F17">
        <w:rPr>
          <w:lang w:eastAsia="pl-PL"/>
        </w:rPr>
        <w:t>zmniejszenie ilości wprowadzanych do wód lub do ziemi substancji mogących negatywnie oddziaływać na wody</w:t>
      </w:r>
      <w:r w:rsidR="005D45D1">
        <w:rPr>
          <w:lang w:eastAsia="pl-PL"/>
        </w:rPr>
        <w:t>.</w:t>
      </w:r>
      <w:r w:rsidR="005D45D1" w:rsidRPr="00795F17">
        <w:rPr>
          <w:lang w:eastAsia="pl-PL"/>
        </w:rPr>
        <w:t xml:space="preserve"> </w:t>
      </w:r>
    </w:p>
    <w:p w14:paraId="41B138B6" w14:textId="3D24AE2A" w:rsidR="00771DCB" w:rsidRPr="00795F17" w:rsidRDefault="00771DCB" w:rsidP="0044393D">
      <w:r w:rsidRPr="00795F17">
        <w:t xml:space="preserve">Cały proces opracowania IIaPGW prowadzony jest przez </w:t>
      </w:r>
      <w:r w:rsidR="0028234C" w:rsidRPr="00795F17">
        <w:t>PGW WP</w:t>
      </w:r>
      <w:r w:rsidRPr="00795F17">
        <w:t xml:space="preserve"> poprzez realizację szeregu prac, których wyniki docelowo </w:t>
      </w:r>
      <w:r w:rsidR="002F6942" w:rsidRPr="00795F17">
        <w:t>zostały</w:t>
      </w:r>
      <w:r w:rsidRPr="00795F17">
        <w:t xml:space="preserve"> wykorzystane w </w:t>
      </w:r>
      <w:r w:rsidR="00BF16DF">
        <w:t>niniejszym opracowaniu.</w:t>
      </w:r>
      <w:r w:rsidRPr="00795F17">
        <w:t xml:space="preserve"> </w:t>
      </w:r>
    </w:p>
    <w:p w14:paraId="20268051" w14:textId="43BE1991" w:rsidR="00771DCB" w:rsidRPr="00795F17" w:rsidRDefault="00771DCB" w:rsidP="0044393D">
      <w:pPr>
        <w:rPr>
          <w:lang w:eastAsia="pl-PL"/>
        </w:rPr>
      </w:pPr>
      <w:r w:rsidRPr="00795F17">
        <w:t>Niniejsz</w:t>
      </w:r>
      <w:r w:rsidR="0095357C">
        <w:t>a</w:t>
      </w:r>
      <w:r w:rsidRPr="00795F17">
        <w:t xml:space="preserve"> IIaPGW </w:t>
      </w:r>
      <w:r w:rsidR="007039CD">
        <w:t xml:space="preserve">na </w:t>
      </w:r>
      <w:r w:rsidRPr="00795F17">
        <w:t>obszar</w:t>
      </w:r>
      <w:r w:rsidR="007039CD">
        <w:t>ze</w:t>
      </w:r>
      <w:r w:rsidRPr="00795F17">
        <w:t xml:space="preserve"> dorzecza </w:t>
      </w:r>
      <w:r w:rsidR="002D62D6" w:rsidRPr="00795F17">
        <w:rPr>
          <w:lang w:eastAsia="pl-PL"/>
        </w:rPr>
        <w:t>Odry</w:t>
      </w:r>
      <w:r w:rsidRPr="00795F17">
        <w:t xml:space="preserve"> zawiera w</w:t>
      </w:r>
      <w:r w:rsidRPr="00795F17">
        <w:rPr>
          <w:lang w:eastAsia="pl-PL"/>
        </w:rPr>
        <w:t>szystkie elementy wymagane art.</w:t>
      </w:r>
      <w:r w:rsidR="00CA7A3B" w:rsidRPr="00795F17">
        <w:rPr>
          <w:lang w:eastAsia="pl-PL"/>
        </w:rPr>
        <w:t xml:space="preserve"> </w:t>
      </w:r>
      <w:r w:rsidRPr="00795F17">
        <w:rPr>
          <w:lang w:eastAsia="pl-PL"/>
        </w:rPr>
        <w:t xml:space="preserve">318 pr.w. i </w:t>
      </w:r>
      <w:r w:rsidR="00C2667B">
        <w:rPr>
          <w:lang w:eastAsia="pl-PL"/>
        </w:rPr>
        <w:t> </w:t>
      </w:r>
      <w:r w:rsidRPr="00795F17">
        <w:rPr>
          <w:lang w:eastAsia="pl-PL"/>
        </w:rPr>
        <w:t>r.p.g.w.</w:t>
      </w:r>
    </w:p>
    <w:p w14:paraId="5F54D314" w14:textId="1E0C91CA" w:rsidR="00C75BCB" w:rsidRPr="00795F17" w:rsidRDefault="00771DCB" w:rsidP="0044393D">
      <w:r w:rsidRPr="00795F17">
        <w:t xml:space="preserve">Plany gospodarowania wodami przedstawiają wynik procesu </w:t>
      </w:r>
      <w:r w:rsidR="007D1F5F" w:rsidRPr="00795F17">
        <w:t xml:space="preserve">przeprowadzenia </w:t>
      </w:r>
      <w:r w:rsidRPr="00795F17">
        <w:t>powiązanych działań realizowanych dla uzyskania pełnego obrazu stanu jcw i postępu w osiąganiu celów środowiskowych.</w:t>
      </w:r>
    </w:p>
    <w:p w14:paraId="2D1EC4E1" w14:textId="0DCC1F2F" w:rsidR="00DC533D" w:rsidRPr="00795F17" w:rsidRDefault="007F3B4C" w:rsidP="005842B5">
      <w:pPr>
        <w:jc w:val="center"/>
      </w:pPr>
      <w:r w:rsidRPr="00795F17">
        <w:rPr>
          <w:noProof/>
          <w:lang w:eastAsia="pl-PL"/>
        </w:rPr>
        <w:drawing>
          <wp:inline distT="0" distB="0" distL="0" distR="0" wp14:anchorId="7BEC098E" wp14:editId="5FD34F76">
            <wp:extent cx="5220427" cy="2964180"/>
            <wp:effectExtent l="0" t="0" r="0" b="7620"/>
            <wp:docPr id="1692861454" name="Obraz 169286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29101" cy="2969105"/>
                    </a:xfrm>
                    <a:prstGeom prst="rect">
                      <a:avLst/>
                    </a:prstGeom>
                  </pic:spPr>
                </pic:pic>
              </a:graphicData>
            </a:graphic>
          </wp:inline>
        </w:drawing>
      </w:r>
    </w:p>
    <w:p w14:paraId="5B981BE3" w14:textId="1D28E211" w:rsidR="001173E8" w:rsidRPr="00795F17" w:rsidRDefault="00DD1FDE" w:rsidP="004D7705">
      <w:pPr>
        <w:pStyle w:val="Rysunek"/>
      </w:pPr>
      <w:bookmarkStart w:id="14" w:name="_Toc66273031"/>
      <w:bookmarkStart w:id="15" w:name="_Toc105512929"/>
      <w:r w:rsidRPr="00795F17">
        <w:t xml:space="preserve">Rysunek </w:t>
      </w:r>
      <w:r>
        <w:fldChar w:fldCharType="begin"/>
      </w:r>
      <w:r>
        <w:instrText>STYLEREF 1 \s</w:instrText>
      </w:r>
      <w:r>
        <w:fldChar w:fldCharType="separate"/>
      </w:r>
      <w:r w:rsidR="001F774D">
        <w:rPr>
          <w:noProof/>
        </w:rPr>
        <w:t>1</w:t>
      </w:r>
      <w:r>
        <w:fldChar w:fldCharType="end"/>
      </w:r>
      <w:r w:rsidR="00881BAC">
        <w:noBreakHyphen/>
      </w:r>
      <w:fldSimple w:instr=" SEQ Rysunek \* ARABIC \s 1 ">
        <w:r w:rsidR="001F774D">
          <w:rPr>
            <w:noProof/>
          </w:rPr>
          <w:t>1</w:t>
        </w:r>
      </w:fldSimple>
      <w:r w:rsidR="00342921">
        <w:rPr>
          <w:noProof/>
        </w:rPr>
        <w:t>.</w:t>
      </w:r>
      <w:r w:rsidRPr="00795F17">
        <w:tab/>
        <w:t>Relacje głównych zagadnień planu gospodarowania wodami</w:t>
      </w:r>
      <w:bookmarkEnd w:id="14"/>
      <w:bookmarkEnd w:id="15"/>
    </w:p>
    <w:p w14:paraId="277CBB54" w14:textId="3049608B" w:rsidR="00D316B1" w:rsidRPr="00795F17" w:rsidRDefault="00D316B1" w:rsidP="00C75BCB">
      <w:pPr>
        <w:pStyle w:val="rdo"/>
        <w:spacing w:before="0" w:after="0"/>
      </w:pPr>
      <w:r w:rsidRPr="00795F17">
        <w:t xml:space="preserve">Źródło: </w:t>
      </w:r>
      <w:r w:rsidR="00FD7248" w:rsidRPr="00795F17">
        <w:t>opracowanie własne</w:t>
      </w:r>
    </w:p>
    <w:p w14:paraId="58F67BA6" w14:textId="3402BEE2" w:rsidR="00771DCB" w:rsidRPr="00795F17" w:rsidRDefault="00771DCB" w:rsidP="0044393D">
      <w:pPr>
        <w:rPr>
          <w:lang w:eastAsia="pl-PL"/>
        </w:rPr>
      </w:pPr>
      <w:r w:rsidRPr="00795F17">
        <w:rPr>
          <w:lang w:eastAsia="pl-PL"/>
        </w:rPr>
        <w:t>Niniejsz</w:t>
      </w:r>
      <w:r w:rsidR="0095357C">
        <w:rPr>
          <w:lang w:eastAsia="pl-PL"/>
        </w:rPr>
        <w:t>a</w:t>
      </w:r>
      <w:r w:rsidRPr="00795F17">
        <w:rPr>
          <w:lang w:eastAsia="pl-PL"/>
        </w:rPr>
        <w:t xml:space="preserve"> IIaPGW </w:t>
      </w:r>
      <w:r w:rsidR="00784798">
        <w:rPr>
          <w:lang w:eastAsia="pl-PL"/>
        </w:rPr>
        <w:t xml:space="preserve">na </w:t>
      </w:r>
      <w:r w:rsidRPr="00795F17">
        <w:rPr>
          <w:lang w:eastAsia="pl-PL"/>
        </w:rPr>
        <w:t>obszar</w:t>
      </w:r>
      <w:r w:rsidR="00784798">
        <w:rPr>
          <w:lang w:eastAsia="pl-PL"/>
        </w:rPr>
        <w:t>ze</w:t>
      </w:r>
      <w:r w:rsidRPr="00795F17">
        <w:rPr>
          <w:lang w:eastAsia="pl-PL"/>
        </w:rPr>
        <w:t xml:space="preserve"> dorzecza </w:t>
      </w:r>
      <w:r w:rsidR="002D62D6" w:rsidRPr="00795F17">
        <w:rPr>
          <w:lang w:eastAsia="pl-PL"/>
        </w:rPr>
        <w:t>Odry</w:t>
      </w:r>
      <w:r w:rsidRPr="00795F17">
        <w:rPr>
          <w:lang w:eastAsia="pl-PL"/>
        </w:rPr>
        <w:t xml:space="preserve"> poza wskazaniem kierunków działania w</w:t>
      </w:r>
      <w:r w:rsidR="00784798">
        <w:rPr>
          <w:lang w:eastAsia="pl-PL"/>
        </w:rPr>
        <w:t> </w:t>
      </w:r>
      <w:r w:rsidRPr="00795F17">
        <w:rPr>
          <w:lang w:eastAsia="pl-PL"/>
        </w:rPr>
        <w:t>okresie kolejnych 6 lat, ma również za zadanie przedstawienie danych i informacji stanowiących podsumowanie aktualnego na koniec III cyklu planistycznego stopnia osiągnięcia celów środowiskowych jcw, ekosystemów od wód zależnych oraz obszarów chronionych. W dokumencie znajduje się również podsumowanie prac i działań podjętych w ostatnim cyklu planistycznym wraz</w:t>
      </w:r>
      <w:r w:rsidR="00016AC4">
        <w:rPr>
          <w:lang w:eastAsia="pl-PL"/>
        </w:rPr>
        <w:t> </w:t>
      </w:r>
      <w:r w:rsidRPr="00795F17">
        <w:rPr>
          <w:lang w:eastAsia="pl-PL"/>
        </w:rPr>
        <w:t>z określeniem warunków wyjściowych dla nowego, aktualnego cyklu planistycznego.</w:t>
      </w:r>
    </w:p>
    <w:p w14:paraId="02F2779C" w14:textId="320DF239" w:rsidR="00771DCB" w:rsidRPr="00795F17" w:rsidRDefault="00771DCB" w:rsidP="0044393D">
      <w:pPr>
        <w:rPr>
          <w:lang w:eastAsia="pl-PL"/>
        </w:rPr>
      </w:pPr>
      <w:r w:rsidRPr="00795F17">
        <w:rPr>
          <w:lang w:eastAsia="pl-PL"/>
        </w:rPr>
        <w:t xml:space="preserve">Priorytetem IIaPGW </w:t>
      </w:r>
      <w:r w:rsidR="004446E6">
        <w:rPr>
          <w:lang w:eastAsia="pl-PL"/>
        </w:rPr>
        <w:t>na</w:t>
      </w:r>
      <w:r w:rsidRPr="00795F17">
        <w:rPr>
          <w:lang w:eastAsia="pl-PL"/>
        </w:rPr>
        <w:t xml:space="preserve"> obszar</w:t>
      </w:r>
      <w:r w:rsidR="004446E6">
        <w:rPr>
          <w:lang w:eastAsia="pl-PL"/>
        </w:rPr>
        <w:t>ze</w:t>
      </w:r>
      <w:r w:rsidRPr="00795F17">
        <w:rPr>
          <w:lang w:eastAsia="pl-PL"/>
        </w:rPr>
        <w:t xml:space="preserve"> dorzecza </w:t>
      </w:r>
      <w:r w:rsidR="002D62D6" w:rsidRPr="00795F17">
        <w:rPr>
          <w:lang w:eastAsia="pl-PL"/>
        </w:rPr>
        <w:t>Odry</w:t>
      </w:r>
      <w:r w:rsidRPr="00795F17">
        <w:rPr>
          <w:lang w:eastAsia="pl-PL"/>
        </w:rPr>
        <w:t xml:space="preserve"> jest stworzenie w ekosystemach wodnych i od wód zależnych warunków, określonych w RDW, sprzyjających osiągnięciu celów środowiskowych wyznaczonych dla poszczególnych jcw oraz dla obszarów chronionych. Efekt procesu osiągania celów środowiskowych nie został dotychczas w pełni uzyskany. Determinuje to konieczność szczegółowego przeanalizowania przyczyn braku zakładanego postępu w osiąganiu celów środowiskowych oraz</w:t>
      </w:r>
      <w:r w:rsidR="00016AC4">
        <w:rPr>
          <w:lang w:eastAsia="pl-PL"/>
        </w:rPr>
        <w:t> </w:t>
      </w:r>
      <w:r w:rsidRPr="00795F17">
        <w:rPr>
          <w:lang w:eastAsia="pl-PL"/>
        </w:rPr>
        <w:t>przygotowania zaktualizowanego zestawu działań naprawczych dających realną szansę na</w:t>
      </w:r>
      <w:r w:rsidR="00902EF6" w:rsidRPr="00795F17">
        <w:rPr>
          <w:lang w:eastAsia="pl-PL"/>
        </w:rPr>
        <w:t xml:space="preserve"> </w:t>
      </w:r>
      <w:r w:rsidRPr="00795F17">
        <w:rPr>
          <w:lang w:eastAsia="pl-PL"/>
        </w:rPr>
        <w:t xml:space="preserve">osiągnięcie celów środowiskowych do roku 2027 </w:t>
      </w:r>
      <w:r w:rsidRPr="00795F17">
        <w:rPr>
          <w:rFonts w:cs="Calibri"/>
        </w:rPr>
        <w:t>dla tych jcw, dla których nadal nie stwierdzono oczekiwanego stanu</w:t>
      </w:r>
      <w:r w:rsidRPr="00795F17">
        <w:rPr>
          <w:lang w:eastAsia="pl-PL"/>
        </w:rPr>
        <w:t xml:space="preserve">. Zestaw działań </w:t>
      </w:r>
      <w:r w:rsidRPr="00795F17">
        <w:rPr>
          <w:rFonts w:cs="Calibri"/>
        </w:rPr>
        <w:t xml:space="preserve">IIaPGW zawiera również działania zmierzające do utrzymania dobrego stanu w tych jcw, które stan ten osiągnęły. </w:t>
      </w:r>
      <w:r w:rsidRPr="00795F17">
        <w:rPr>
          <w:lang w:eastAsia="pl-PL"/>
        </w:rPr>
        <w:t xml:space="preserve">W przypadku jcw, dla których został wykazany brak możliwości </w:t>
      </w:r>
      <w:r w:rsidR="0064673B" w:rsidRPr="00795F17">
        <w:rPr>
          <w:lang w:eastAsia="pl-PL"/>
        </w:rPr>
        <w:t>osiągnięcia</w:t>
      </w:r>
      <w:r w:rsidRPr="00795F17">
        <w:rPr>
          <w:lang w:eastAsia="pl-PL"/>
        </w:rPr>
        <w:t xml:space="preserve"> celów środowiskowych, przy jednoczesnym spełnianiu przesłanek dla przyznania odstępstw, przygotowane zostały szczegółowe uzasadnienia odstępstw </w:t>
      </w:r>
      <w:r w:rsidRPr="00795F17">
        <w:rPr>
          <w:rFonts w:cs="Calibri"/>
        </w:rPr>
        <w:t>w zakresie konieczności osiągnięcia celu środowiskowego</w:t>
      </w:r>
      <w:r w:rsidR="00D03694" w:rsidRPr="00795F17">
        <w:rPr>
          <w:rFonts w:cs="Calibri"/>
        </w:rPr>
        <w:t>,</w:t>
      </w:r>
      <w:r w:rsidRPr="00795F17">
        <w:rPr>
          <w:lang w:eastAsia="pl-PL"/>
        </w:rPr>
        <w:t xml:space="preserve"> wymaganych RDW. </w:t>
      </w:r>
    </w:p>
    <w:p w14:paraId="2AE34928" w14:textId="623553EB" w:rsidR="00771DCB" w:rsidRPr="00795F17" w:rsidRDefault="00771DCB" w:rsidP="0044393D">
      <w:pPr>
        <w:rPr>
          <w:lang w:eastAsia="pl-PL"/>
        </w:rPr>
      </w:pPr>
      <w:r w:rsidRPr="00795F17">
        <w:rPr>
          <w:lang w:eastAsia="pl-PL"/>
        </w:rPr>
        <w:t xml:space="preserve">W IIaPGW </w:t>
      </w:r>
      <w:r w:rsidR="007D1AB0">
        <w:rPr>
          <w:lang w:eastAsia="pl-PL"/>
        </w:rPr>
        <w:t xml:space="preserve">na </w:t>
      </w:r>
      <w:r w:rsidRPr="00795F17">
        <w:rPr>
          <w:lang w:eastAsia="pl-PL"/>
        </w:rPr>
        <w:t>obszar</w:t>
      </w:r>
      <w:r w:rsidR="007D1AB0">
        <w:rPr>
          <w:lang w:eastAsia="pl-PL"/>
        </w:rPr>
        <w:t>ze</w:t>
      </w:r>
      <w:r w:rsidRPr="00795F17">
        <w:rPr>
          <w:lang w:eastAsia="pl-PL"/>
        </w:rPr>
        <w:t xml:space="preserve"> dorzecza </w:t>
      </w:r>
      <w:r w:rsidR="002D62D6" w:rsidRPr="00795F17">
        <w:rPr>
          <w:lang w:eastAsia="pl-PL"/>
        </w:rPr>
        <w:t>Odry</w:t>
      </w:r>
      <w:r w:rsidRPr="00795F17">
        <w:rPr>
          <w:lang w:eastAsia="pl-PL"/>
        </w:rPr>
        <w:t xml:space="preserve"> zawarto również wykaz inwestycji, które mogą doprowadzić do nieosiągnięcia założonych celów środowiskowych, spełniających jednak warunki dopuszczające zastosowanie odstępstwa na podstawie art. 4 ust. 7 RDW.</w:t>
      </w:r>
    </w:p>
    <w:p w14:paraId="6C7A40D3" w14:textId="5C1250DE" w:rsidR="00771DCB" w:rsidRPr="00795F17" w:rsidRDefault="00771DCB" w:rsidP="0044393D">
      <w:pPr>
        <w:rPr>
          <w:color w:val="000000"/>
        </w:rPr>
      </w:pPr>
      <w:bookmarkStart w:id="16" w:name="_Toc55856427"/>
      <w:r w:rsidRPr="00795F17">
        <w:t>Projekt planu gospodarowania wodami jest podawany do publicznej wiadomości na</w:t>
      </w:r>
      <w:r w:rsidR="00F604DF" w:rsidRPr="00795F17">
        <w:t> </w:t>
      </w:r>
      <w:r w:rsidRPr="00795F17">
        <w:t>zasadach i w</w:t>
      </w:r>
      <w:r w:rsidR="00016AC4">
        <w:t> </w:t>
      </w:r>
      <w:r w:rsidRPr="00795F17">
        <w:t>trybie określony</w:t>
      </w:r>
      <w:r w:rsidR="002172FC" w:rsidRPr="00795F17">
        <w:t>m</w:t>
      </w:r>
      <w:r w:rsidRPr="00795F17">
        <w:t xml:space="preserve"> w przepisach</w:t>
      </w:r>
      <w:r w:rsidR="00C05679" w:rsidRPr="00795F17">
        <w:t xml:space="preserve"> </w:t>
      </w:r>
      <w:r w:rsidRPr="00795F17">
        <w:t>u.i.o.ś., aby w okresie 6-miesięcznych konsultacji społecznych zainteresowane strony mo</w:t>
      </w:r>
      <w:r w:rsidR="00943C7B" w:rsidRPr="00795F17">
        <w:t>gły</w:t>
      </w:r>
      <w:r w:rsidRPr="00795F17">
        <w:t xml:space="preserve"> zgłaszać uwagi do ustaleń zawartych w tym dokumencie.</w:t>
      </w:r>
    </w:p>
    <w:p w14:paraId="2915BF76" w14:textId="03258858" w:rsidR="00771DCB" w:rsidRPr="00795F17" w:rsidRDefault="00771DCB" w:rsidP="0044393D">
      <w:pPr>
        <w:rPr>
          <w:color w:val="000000"/>
        </w:rPr>
      </w:pPr>
      <w:r w:rsidRPr="00795F17">
        <w:t>Cały proces konsultacji społecznych ma na celu włączenie wszystkich zainteresowanych stron w</w:t>
      </w:r>
      <w:r w:rsidR="00BE0D33" w:rsidRPr="00795F17">
        <w:t xml:space="preserve"> </w:t>
      </w:r>
      <w:r w:rsidRPr="00795F17">
        <w:t xml:space="preserve">proces </w:t>
      </w:r>
      <w:r w:rsidR="005560D7">
        <w:t xml:space="preserve">opracowania </w:t>
      </w:r>
      <w:r w:rsidRPr="00795F17">
        <w:t>IIaPGW, tak aby stanowił on podstawę podejmowania decyzji kształtujących stan zasobów wodnych i</w:t>
      </w:r>
      <w:r w:rsidR="000376C9" w:rsidRPr="00795F17">
        <w:t> </w:t>
      </w:r>
      <w:r w:rsidRPr="00795F17">
        <w:t>zasad gospodarowania nimi w przyszłości.</w:t>
      </w:r>
      <w:bookmarkEnd w:id="16"/>
    </w:p>
    <w:p w14:paraId="47845E39" w14:textId="65E85B14" w:rsidR="00325721" w:rsidRPr="00795F17" w:rsidRDefault="00CA7A3B" w:rsidP="00BA6B41">
      <w:pPr>
        <w:pStyle w:val="Nagwek1"/>
      </w:pPr>
      <w:r w:rsidRPr="00795F17">
        <w:br w:type="column"/>
      </w:r>
      <w:bookmarkStart w:id="17" w:name="_Toc66272262"/>
      <w:bookmarkStart w:id="18" w:name="_Toc66347789"/>
      <w:bookmarkStart w:id="19" w:name="_Toc105512626"/>
      <w:r w:rsidR="00325721" w:rsidRPr="00795F17">
        <w:t>Struktura dokumentu</w:t>
      </w:r>
      <w:bookmarkEnd w:id="17"/>
      <w:bookmarkEnd w:id="18"/>
      <w:bookmarkEnd w:id="19"/>
    </w:p>
    <w:p w14:paraId="6A038E5D" w14:textId="207D473C" w:rsidR="00DD1FDE" w:rsidRPr="00795F17" w:rsidRDefault="00DD1FDE" w:rsidP="0044393D">
      <w:pPr>
        <w:rPr>
          <w:lang w:eastAsia="pl-PL"/>
        </w:rPr>
      </w:pPr>
      <w:r w:rsidRPr="00795F17">
        <w:rPr>
          <w:lang w:eastAsia="pl-PL"/>
        </w:rPr>
        <w:t>Zakres informacji prezentowanych w planie gospodarowania wodami, w tym w niniejszym projekcie IIaPGW określony jest pr.w. i r.p.g.w</w:t>
      </w:r>
      <w:r w:rsidR="00E67AA8" w:rsidRPr="00795F17">
        <w:rPr>
          <w:lang w:eastAsia="pl-PL"/>
        </w:rPr>
        <w:t>.</w:t>
      </w:r>
      <w:r w:rsidRPr="00795F17">
        <w:rPr>
          <w:lang w:eastAsia="pl-PL"/>
        </w:rPr>
        <w:t>, które wskazują zagadnienia konieczne do uwzględnienia w t</w:t>
      </w:r>
      <w:r w:rsidR="00B50266">
        <w:rPr>
          <w:lang w:eastAsia="pl-PL"/>
        </w:rPr>
        <w:t>ym</w:t>
      </w:r>
      <w:r w:rsidRPr="00795F17">
        <w:rPr>
          <w:lang w:eastAsia="pl-PL"/>
        </w:rPr>
        <w:t xml:space="preserve"> dokumencie.</w:t>
      </w:r>
    </w:p>
    <w:p w14:paraId="257963EF" w14:textId="0122924E" w:rsidR="00DD1FDE" w:rsidRPr="00795F17" w:rsidRDefault="00DD1FDE" w:rsidP="0044393D">
      <w:pPr>
        <w:rPr>
          <w:lang w:eastAsia="pl-PL"/>
        </w:rPr>
      </w:pPr>
      <w:r w:rsidRPr="00795F17">
        <w:rPr>
          <w:lang w:eastAsia="pl-PL"/>
        </w:rPr>
        <w:t>Dla u</w:t>
      </w:r>
      <w:r w:rsidR="00EE2E3B">
        <w:rPr>
          <w:lang w:eastAsia="pl-PL"/>
        </w:rPr>
        <w:t>łatwienia</w:t>
      </w:r>
      <w:r w:rsidRPr="00795F17">
        <w:rPr>
          <w:lang w:eastAsia="pl-PL"/>
        </w:rPr>
        <w:t xml:space="preserve"> identyfikacji poszczególnych rozdziałów IIaPGW, w których zaprezentowano wymagane prawem informacje, zostało przygotowane zestawienie (</w:t>
      </w:r>
      <w:r w:rsidR="003C4376" w:rsidRPr="00795F17">
        <w:rPr>
          <w:lang w:eastAsia="pl-PL"/>
        </w:rPr>
        <w:t>t</w:t>
      </w:r>
      <w:r w:rsidRPr="00795F17">
        <w:rPr>
          <w:lang w:eastAsia="pl-PL"/>
        </w:rPr>
        <w:t xml:space="preserve">abela 2-1) wskazujące rozdział/podrozdział, w którym znajduje się odniesienie do danego </w:t>
      </w:r>
      <w:r w:rsidR="005C7DF0">
        <w:rPr>
          <w:lang w:eastAsia="pl-PL"/>
        </w:rPr>
        <w:t>art</w:t>
      </w:r>
      <w:r w:rsidR="00F50E85">
        <w:rPr>
          <w:lang w:eastAsia="pl-PL"/>
        </w:rPr>
        <w:t>ykułu</w:t>
      </w:r>
      <w:r w:rsidRPr="00795F17">
        <w:rPr>
          <w:lang w:eastAsia="pl-PL"/>
        </w:rPr>
        <w:t xml:space="preserve"> pr.w. lub par</w:t>
      </w:r>
      <w:r w:rsidR="00F50E85">
        <w:rPr>
          <w:lang w:eastAsia="pl-PL"/>
        </w:rPr>
        <w:t>agrafu</w:t>
      </w:r>
      <w:r w:rsidR="00F50E85" w:rsidRPr="00795F17">
        <w:rPr>
          <w:lang w:eastAsia="pl-PL"/>
        </w:rPr>
        <w:t xml:space="preserve"> </w:t>
      </w:r>
      <w:r w:rsidRPr="00795F17">
        <w:rPr>
          <w:lang w:eastAsia="pl-PL"/>
        </w:rPr>
        <w:t>r.p.g.w.</w:t>
      </w:r>
    </w:p>
    <w:p w14:paraId="1AEBFA26" w14:textId="55295ADD" w:rsidR="00DD1FDE" w:rsidRPr="00795F17" w:rsidRDefault="00DD1FDE" w:rsidP="004D7705">
      <w:pPr>
        <w:pStyle w:val="Tabela"/>
      </w:pPr>
      <w:bookmarkStart w:id="20" w:name="_Toc66341842"/>
      <w:bookmarkStart w:id="21" w:name="_Toc105512750"/>
      <w:r w:rsidRPr="00795F17">
        <w:t xml:space="preserve">Tabela </w:t>
      </w:r>
      <w:fldSimple w:instr=" STYLEREF 1 \s ">
        <w:r w:rsidR="001F774D">
          <w:rPr>
            <w:noProof/>
          </w:rPr>
          <w:t>2</w:t>
        </w:r>
      </w:fldSimple>
      <w:r w:rsidR="00BB3B21" w:rsidRPr="00795F17">
        <w:noBreakHyphen/>
      </w:r>
      <w:fldSimple w:instr=" SEQ Tabela \* ARABIC \s 1 ">
        <w:r w:rsidR="001F774D">
          <w:rPr>
            <w:noProof/>
          </w:rPr>
          <w:t>1</w:t>
        </w:r>
      </w:fldSimple>
      <w:r w:rsidR="00BA11D4">
        <w:rPr>
          <w:noProof/>
        </w:rPr>
        <w:t>.</w:t>
      </w:r>
      <w:r w:rsidRPr="00795F17">
        <w:tab/>
      </w:r>
      <w:bookmarkEnd w:id="20"/>
      <w:r w:rsidR="007E0142" w:rsidRPr="008368C5">
        <w:t xml:space="preserve">Zestawienie </w:t>
      </w:r>
      <w:r w:rsidR="007E0142">
        <w:t xml:space="preserve">rozdziałów </w:t>
      </w:r>
      <w:r w:rsidR="007E0142" w:rsidRPr="008368C5">
        <w:t>IIaPGW</w:t>
      </w:r>
      <w:r w:rsidR="007E0142">
        <w:t xml:space="preserve"> </w:t>
      </w:r>
      <w:r w:rsidR="007E0142" w:rsidRPr="008368C5">
        <w:t>w odniesieniu do zakresu wskazanego w pr.w. i r.p.g.w</w:t>
      </w:r>
      <w:r w:rsidR="007E0142">
        <w:t>.</w:t>
      </w:r>
      <w:bookmarkEnd w:id="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
        <w:gridCol w:w="2232"/>
        <w:gridCol w:w="3513"/>
        <w:gridCol w:w="2642"/>
      </w:tblGrid>
      <w:tr w:rsidR="00496EEA" w:rsidRPr="00795F17" w14:paraId="2AF71CB0" w14:textId="77777777" w:rsidTr="00544256">
        <w:trPr>
          <w:trHeight w:val="454"/>
          <w:tblHeader/>
        </w:trPr>
        <w:tc>
          <w:tcPr>
            <w:tcW w:w="349" w:type="pct"/>
            <w:shd w:val="clear" w:color="auto" w:fill="BFBFBF" w:themeFill="background1" w:themeFillShade="BF"/>
            <w:vAlign w:val="center"/>
            <w:hideMark/>
          </w:tcPr>
          <w:p w14:paraId="69E85254" w14:textId="298110E2" w:rsidR="002B2F46" w:rsidRPr="00795F17" w:rsidRDefault="00DD1FDE" w:rsidP="005862B8">
            <w:pPr>
              <w:pStyle w:val="Teksttabelinaglowek"/>
            </w:pPr>
            <w:bookmarkStart w:id="22" w:name="_Hlk67325225"/>
            <w:r w:rsidRPr="00795F17">
              <w:t>Lp.</w:t>
            </w:r>
          </w:p>
        </w:tc>
        <w:tc>
          <w:tcPr>
            <w:tcW w:w="1238" w:type="pct"/>
            <w:shd w:val="clear" w:color="auto" w:fill="BFBFBF" w:themeFill="background1" w:themeFillShade="BF"/>
            <w:vAlign w:val="center"/>
          </w:tcPr>
          <w:p w14:paraId="10AB4825" w14:textId="3FC4FA3F" w:rsidR="00DD1FDE" w:rsidRPr="00795F17" w:rsidRDefault="00DD1FDE" w:rsidP="00262C2E">
            <w:pPr>
              <w:pStyle w:val="Teksttabelinaglowek"/>
            </w:pPr>
            <w:r w:rsidRPr="00795F17">
              <w:t>Rozdział planu gospodarowania wodami</w:t>
            </w:r>
          </w:p>
        </w:tc>
        <w:tc>
          <w:tcPr>
            <w:tcW w:w="1948" w:type="pct"/>
            <w:shd w:val="clear" w:color="auto" w:fill="BFBFBF" w:themeFill="background1" w:themeFillShade="BF"/>
            <w:vAlign w:val="center"/>
            <w:hideMark/>
          </w:tcPr>
          <w:p w14:paraId="15FB6EF0" w14:textId="1E7A192E" w:rsidR="00DD1FDE" w:rsidRPr="00795F17" w:rsidRDefault="000D7177" w:rsidP="00262C2E">
            <w:pPr>
              <w:pStyle w:val="Teksttabelinaglowek"/>
            </w:pPr>
            <w:r w:rsidRPr="00795F17">
              <w:t>R</w:t>
            </w:r>
            <w:r w:rsidR="00DD1FDE" w:rsidRPr="00795F17">
              <w:t>ozporządzeni</w:t>
            </w:r>
            <w:r w:rsidRPr="00795F17">
              <w:t>e</w:t>
            </w:r>
            <w:r w:rsidR="00DD1FDE" w:rsidRPr="00795F17">
              <w:t xml:space="preserve"> w sprawie zakresu</w:t>
            </w:r>
            <w:r w:rsidR="00440F4C" w:rsidRPr="00795F17">
              <w:t xml:space="preserve"> </w:t>
            </w:r>
            <w:r w:rsidR="00DD1FDE" w:rsidRPr="00795F17">
              <w:t>planu gospodarowania wodami</w:t>
            </w:r>
          </w:p>
        </w:tc>
        <w:tc>
          <w:tcPr>
            <w:tcW w:w="1465" w:type="pct"/>
            <w:shd w:val="clear" w:color="auto" w:fill="BFBFBF" w:themeFill="background1" w:themeFillShade="BF"/>
            <w:vAlign w:val="center"/>
            <w:hideMark/>
          </w:tcPr>
          <w:p w14:paraId="69DBA934" w14:textId="3D1394B0" w:rsidR="00DD1FDE" w:rsidRPr="00795F17" w:rsidRDefault="000D7177" w:rsidP="00262C2E">
            <w:pPr>
              <w:pStyle w:val="Teksttabelinaglowek"/>
            </w:pPr>
            <w:r w:rsidRPr="00795F17">
              <w:t>U</w:t>
            </w:r>
            <w:r w:rsidR="00DD1FDE" w:rsidRPr="00795F17">
              <w:t>staw</w:t>
            </w:r>
            <w:r w:rsidRPr="00795F17">
              <w:t>a</w:t>
            </w:r>
            <w:r w:rsidR="00DD1FDE" w:rsidRPr="00795F17">
              <w:t xml:space="preserve"> </w:t>
            </w:r>
            <w:r w:rsidR="00BA65F1" w:rsidRPr="00795F17">
              <w:t>Prawo wodne</w:t>
            </w:r>
          </w:p>
        </w:tc>
      </w:tr>
      <w:tr w:rsidR="00DD1FDE" w:rsidRPr="00795F17" w14:paraId="345F6A75" w14:textId="77777777" w:rsidTr="00544256">
        <w:trPr>
          <w:trHeight w:val="454"/>
        </w:trPr>
        <w:tc>
          <w:tcPr>
            <w:tcW w:w="349" w:type="pct"/>
            <w:vAlign w:val="center"/>
            <w:hideMark/>
          </w:tcPr>
          <w:p w14:paraId="65145BE2" w14:textId="3CCF07DF" w:rsidR="00DD1FDE" w:rsidRPr="00795F17" w:rsidRDefault="00DD1FDE" w:rsidP="00BE0D33">
            <w:pPr>
              <w:pStyle w:val="Teksttabelisrodek"/>
            </w:pPr>
            <w:r w:rsidRPr="00795F17">
              <w:t>1</w:t>
            </w:r>
            <w:r w:rsidR="00CF0336" w:rsidRPr="00795F17">
              <w:t>.</w:t>
            </w:r>
          </w:p>
        </w:tc>
        <w:tc>
          <w:tcPr>
            <w:tcW w:w="1238" w:type="pct"/>
            <w:vAlign w:val="center"/>
          </w:tcPr>
          <w:p w14:paraId="5915E609" w14:textId="6955C55A" w:rsidR="00DD1FDE" w:rsidRPr="00795F17" w:rsidRDefault="00DD1FDE" w:rsidP="005842B5">
            <w:pPr>
              <w:pStyle w:val="Teksttabelilewy"/>
            </w:pPr>
            <w:r w:rsidRPr="00795F17">
              <w:t>Rozdział 3</w:t>
            </w:r>
          </w:p>
        </w:tc>
        <w:tc>
          <w:tcPr>
            <w:tcW w:w="1948" w:type="pct"/>
            <w:vAlign w:val="center"/>
            <w:hideMark/>
          </w:tcPr>
          <w:p w14:paraId="3826C78E" w14:textId="5E80D1FB" w:rsidR="00DD1FDE" w:rsidRPr="00795F17" w:rsidRDefault="00DD1FDE" w:rsidP="005842B5">
            <w:pPr>
              <w:pStyle w:val="Teksttabelilewy"/>
            </w:pPr>
            <w:r w:rsidRPr="00795F17">
              <w:t xml:space="preserve">§2 ust. 1 pkt 1a </w:t>
            </w:r>
            <w:r w:rsidR="00F326BD" w:rsidRPr="00795F17">
              <w:t>-</w:t>
            </w:r>
            <w:r w:rsidRPr="00795F17">
              <w:t xml:space="preserve"> 1d r.p.g.w.</w:t>
            </w:r>
          </w:p>
        </w:tc>
        <w:tc>
          <w:tcPr>
            <w:tcW w:w="1465" w:type="pct"/>
            <w:vAlign w:val="center"/>
            <w:hideMark/>
          </w:tcPr>
          <w:p w14:paraId="42C255B9" w14:textId="010A0396" w:rsidR="00DD1FDE" w:rsidRPr="00795F17" w:rsidRDefault="00DD1FDE" w:rsidP="005842B5">
            <w:pPr>
              <w:pStyle w:val="Teksttabelilewy"/>
            </w:pPr>
            <w:r w:rsidRPr="00795F17">
              <w:t xml:space="preserve">art. 318 ust. 1 pkt 1 </w:t>
            </w:r>
            <w:r w:rsidR="00805195" w:rsidRPr="00795F17">
              <w:t>pr.w.</w:t>
            </w:r>
          </w:p>
        </w:tc>
      </w:tr>
      <w:tr w:rsidR="00DD1FDE" w:rsidRPr="00795F17" w14:paraId="274DE985" w14:textId="77777777" w:rsidTr="00544256">
        <w:trPr>
          <w:trHeight w:val="454"/>
        </w:trPr>
        <w:tc>
          <w:tcPr>
            <w:tcW w:w="349" w:type="pct"/>
            <w:vAlign w:val="center"/>
            <w:hideMark/>
          </w:tcPr>
          <w:p w14:paraId="4B83D296" w14:textId="6D6DCEA6" w:rsidR="00DD1FDE" w:rsidRPr="00795F17" w:rsidRDefault="00DD1FDE" w:rsidP="00BE0D33">
            <w:pPr>
              <w:pStyle w:val="Teksttabelisrodek"/>
            </w:pPr>
            <w:r w:rsidRPr="00795F17">
              <w:t>2</w:t>
            </w:r>
            <w:r w:rsidR="00CF0336" w:rsidRPr="00795F17">
              <w:t>.</w:t>
            </w:r>
          </w:p>
        </w:tc>
        <w:tc>
          <w:tcPr>
            <w:tcW w:w="1238" w:type="pct"/>
            <w:vAlign w:val="center"/>
          </w:tcPr>
          <w:p w14:paraId="1B32944B" w14:textId="1A80F16D" w:rsidR="00DD1FDE" w:rsidRPr="00795F17" w:rsidRDefault="00DD1FDE" w:rsidP="005842B5">
            <w:pPr>
              <w:pStyle w:val="Teksttabelilewy"/>
            </w:pPr>
            <w:r w:rsidRPr="00795F17">
              <w:t>Rozdział 7</w:t>
            </w:r>
          </w:p>
        </w:tc>
        <w:tc>
          <w:tcPr>
            <w:tcW w:w="1948" w:type="pct"/>
            <w:vAlign w:val="center"/>
            <w:hideMark/>
          </w:tcPr>
          <w:p w14:paraId="7E6FC5E0" w14:textId="316AF607" w:rsidR="00DD1FDE" w:rsidRPr="00795F17" w:rsidRDefault="00DD1FDE" w:rsidP="005842B5">
            <w:pPr>
              <w:pStyle w:val="Teksttabelilewy"/>
            </w:pPr>
            <w:r w:rsidRPr="00795F17">
              <w:t>§2 ust. 1 pkt 39 </w:t>
            </w:r>
            <w:r w:rsidR="00E67AA8" w:rsidRPr="00795F17">
              <w:t>r.p.g.w.</w:t>
            </w:r>
          </w:p>
          <w:p w14:paraId="21073144" w14:textId="4DD3F60D" w:rsidR="00DD1FDE" w:rsidRPr="00795F17" w:rsidRDefault="00DD1FDE" w:rsidP="005842B5">
            <w:pPr>
              <w:pStyle w:val="Teksttabelilewy"/>
            </w:pPr>
            <w:r w:rsidRPr="00795F17">
              <w:t>§3 </w:t>
            </w:r>
            <w:r w:rsidR="00E67AA8" w:rsidRPr="00795F17">
              <w:t>r.p.g.w.</w:t>
            </w:r>
          </w:p>
        </w:tc>
        <w:tc>
          <w:tcPr>
            <w:tcW w:w="1465" w:type="pct"/>
            <w:vAlign w:val="center"/>
            <w:hideMark/>
          </w:tcPr>
          <w:p w14:paraId="2BF9C02B" w14:textId="1EACD2F2" w:rsidR="00DD1FDE" w:rsidRPr="00795F17" w:rsidRDefault="00DD1FDE" w:rsidP="005842B5">
            <w:pPr>
              <w:pStyle w:val="Teksttabelilewy"/>
            </w:pPr>
            <w:r w:rsidRPr="00795F17">
              <w:t>art. 318 ust. 1 pkt 2 </w:t>
            </w:r>
            <w:r w:rsidR="00805195" w:rsidRPr="00795F17">
              <w:t>pr.w.</w:t>
            </w:r>
          </w:p>
        </w:tc>
      </w:tr>
      <w:tr w:rsidR="00DD1FDE" w:rsidRPr="00795F17" w14:paraId="3446D4A1" w14:textId="77777777" w:rsidTr="00544256">
        <w:trPr>
          <w:trHeight w:val="454"/>
        </w:trPr>
        <w:tc>
          <w:tcPr>
            <w:tcW w:w="349" w:type="pct"/>
            <w:vAlign w:val="center"/>
            <w:hideMark/>
          </w:tcPr>
          <w:p w14:paraId="73045A1F" w14:textId="289DB1F0" w:rsidR="00DD1FDE" w:rsidRPr="00795F17" w:rsidRDefault="00DD1FDE" w:rsidP="00BE0D33">
            <w:pPr>
              <w:pStyle w:val="Teksttabelisrodek"/>
            </w:pPr>
            <w:r w:rsidRPr="00795F17">
              <w:t>3</w:t>
            </w:r>
            <w:r w:rsidR="00CF0336" w:rsidRPr="00795F17">
              <w:t>.</w:t>
            </w:r>
          </w:p>
        </w:tc>
        <w:tc>
          <w:tcPr>
            <w:tcW w:w="1238" w:type="pct"/>
            <w:vAlign w:val="center"/>
          </w:tcPr>
          <w:p w14:paraId="09024A0E" w14:textId="5FBAB35E" w:rsidR="00DD1FDE" w:rsidRPr="00795F17" w:rsidRDefault="00DD1FDE" w:rsidP="005842B5">
            <w:pPr>
              <w:pStyle w:val="Teksttabelilewy"/>
            </w:pPr>
            <w:r w:rsidRPr="00795F17">
              <w:t>Rozdział 3</w:t>
            </w:r>
          </w:p>
        </w:tc>
        <w:tc>
          <w:tcPr>
            <w:tcW w:w="1948" w:type="pct"/>
            <w:vAlign w:val="center"/>
            <w:hideMark/>
          </w:tcPr>
          <w:p w14:paraId="37DFB90D" w14:textId="69016ECC" w:rsidR="00DD1FDE" w:rsidRPr="00795F17" w:rsidRDefault="00DD1FDE" w:rsidP="005842B5">
            <w:pPr>
              <w:pStyle w:val="Teksttabelilewy"/>
              <w:rPr>
                <w:lang w:val="de-DE"/>
              </w:rPr>
            </w:pPr>
            <w:r w:rsidRPr="00795F17">
              <w:rPr>
                <w:lang w:val="de-DE"/>
              </w:rPr>
              <w:t>§2 ust. 1 pkt 1e r.p.g.w.</w:t>
            </w:r>
          </w:p>
        </w:tc>
        <w:tc>
          <w:tcPr>
            <w:tcW w:w="1465" w:type="pct"/>
            <w:vAlign w:val="center"/>
            <w:hideMark/>
          </w:tcPr>
          <w:p w14:paraId="1CCB09E2" w14:textId="1E35C961" w:rsidR="00DD1FDE" w:rsidRPr="00795F17" w:rsidRDefault="00DD1FDE" w:rsidP="005842B5">
            <w:pPr>
              <w:pStyle w:val="Teksttabelilewy"/>
            </w:pPr>
            <w:r w:rsidRPr="00795F17">
              <w:t xml:space="preserve">art. 318 ust. 1 pkt 3 </w:t>
            </w:r>
            <w:r w:rsidR="00805195" w:rsidRPr="00795F17">
              <w:t>pr.w.</w:t>
            </w:r>
          </w:p>
        </w:tc>
      </w:tr>
      <w:tr w:rsidR="00DD1FDE" w:rsidRPr="00795F17" w14:paraId="5AC04031" w14:textId="77777777" w:rsidTr="00544256">
        <w:trPr>
          <w:trHeight w:val="454"/>
        </w:trPr>
        <w:tc>
          <w:tcPr>
            <w:tcW w:w="349" w:type="pct"/>
            <w:vAlign w:val="center"/>
            <w:hideMark/>
          </w:tcPr>
          <w:p w14:paraId="1C5800CD" w14:textId="44C012F0" w:rsidR="00DD1FDE" w:rsidRPr="00795F17" w:rsidRDefault="00DD1FDE" w:rsidP="00BE0D33">
            <w:pPr>
              <w:pStyle w:val="Teksttabelisrodek"/>
            </w:pPr>
            <w:r w:rsidRPr="00795F17">
              <w:t>4</w:t>
            </w:r>
            <w:r w:rsidR="00CF0336" w:rsidRPr="00795F17">
              <w:t>.</w:t>
            </w:r>
          </w:p>
        </w:tc>
        <w:tc>
          <w:tcPr>
            <w:tcW w:w="1238" w:type="pct"/>
            <w:vAlign w:val="center"/>
          </w:tcPr>
          <w:p w14:paraId="772389EB" w14:textId="18801603" w:rsidR="00DD1FDE" w:rsidRPr="00795F17" w:rsidRDefault="00DD1FDE" w:rsidP="005842B5">
            <w:pPr>
              <w:pStyle w:val="Teksttabelilewy"/>
            </w:pPr>
            <w:r w:rsidRPr="00795F17">
              <w:t>Rozdział 5.1</w:t>
            </w:r>
          </w:p>
        </w:tc>
        <w:tc>
          <w:tcPr>
            <w:tcW w:w="1948" w:type="pct"/>
            <w:vAlign w:val="center"/>
            <w:hideMark/>
          </w:tcPr>
          <w:p w14:paraId="296EE738" w14:textId="713BAC1D" w:rsidR="00DD1FDE" w:rsidRPr="00795F17" w:rsidRDefault="00DD1FDE" w:rsidP="005842B5">
            <w:pPr>
              <w:pStyle w:val="Teksttabelilewy"/>
              <w:rPr>
                <w:lang w:val="en-US"/>
              </w:rPr>
            </w:pPr>
            <w:r w:rsidRPr="00795F17">
              <w:rPr>
                <w:lang w:val="en-US"/>
              </w:rPr>
              <w:t>§2 ust. 1 pkt 2</w:t>
            </w:r>
            <w:r w:rsidR="00D44061" w:rsidRPr="00795F17">
              <w:rPr>
                <w:lang w:val="en-US"/>
              </w:rPr>
              <w:t>, 3 a, 6, 7</w:t>
            </w:r>
            <w:r w:rsidRPr="00795F17">
              <w:rPr>
                <w:lang w:val="en-US"/>
              </w:rPr>
              <w:t> </w:t>
            </w:r>
            <w:r w:rsidR="00E67AA8" w:rsidRPr="00795F17">
              <w:rPr>
                <w:lang w:val="en-US"/>
              </w:rPr>
              <w:t>r.p.g.w.</w:t>
            </w:r>
          </w:p>
        </w:tc>
        <w:tc>
          <w:tcPr>
            <w:tcW w:w="1465" w:type="pct"/>
            <w:vAlign w:val="center"/>
            <w:hideMark/>
          </w:tcPr>
          <w:p w14:paraId="1EA92A16" w14:textId="63EB1745" w:rsidR="00DD1FDE" w:rsidRPr="00795F17" w:rsidRDefault="00DD1FDE" w:rsidP="005842B5">
            <w:pPr>
              <w:pStyle w:val="Teksttabelilewy"/>
            </w:pPr>
            <w:r w:rsidRPr="00795F17">
              <w:t>art. 318 ust. 1 pkt 4 </w:t>
            </w:r>
            <w:r w:rsidR="00805195" w:rsidRPr="00795F17">
              <w:t>pr.w.</w:t>
            </w:r>
          </w:p>
        </w:tc>
      </w:tr>
      <w:tr w:rsidR="00DD1FDE" w:rsidRPr="00795F17" w14:paraId="3A323FB1" w14:textId="77777777" w:rsidTr="00544256">
        <w:trPr>
          <w:trHeight w:val="454"/>
        </w:trPr>
        <w:tc>
          <w:tcPr>
            <w:tcW w:w="349" w:type="pct"/>
            <w:vAlign w:val="center"/>
            <w:hideMark/>
          </w:tcPr>
          <w:p w14:paraId="1C6B8C77" w14:textId="17A3575C" w:rsidR="00DD1FDE" w:rsidRPr="00795F17" w:rsidRDefault="00DD1FDE" w:rsidP="00BE0D33">
            <w:pPr>
              <w:pStyle w:val="Teksttabelisrodek"/>
            </w:pPr>
            <w:r w:rsidRPr="00795F17">
              <w:t>5</w:t>
            </w:r>
            <w:r w:rsidR="00CF0336" w:rsidRPr="00795F17">
              <w:t>.</w:t>
            </w:r>
          </w:p>
        </w:tc>
        <w:tc>
          <w:tcPr>
            <w:tcW w:w="1238" w:type="pct"/>
            <w:vAlign w:val="center"/>
          </w:tcPr>
          <w:p w14:paraId="64F883F3" w14:textId="04D9240C" w:rsidR="00DD1FDE" w:rsidRPr="00795F17" w:rsidRDefault="00DD1FDE" w:rsidP="005842B5">
            <w:pPr>
              <w:pStyle w:val="Teksttabelilewy"/>
            </w:pPr>
            <w:r w:rsidRPr="00795F17">
              <w:t>Rozdział 5.2</w:t>
            </w:r>
          </w:p>
        </w:tc>
        <w:tc>
          <w:tcPr>
            <w:tcW w:w="1948" w:type="pct"/>
            <w:vAlign w:val="center"/>
            <w:hideMark/>
          </w:tcPr>
          <w:p w14:paraId="2CEAEF80" w14:textId="5880E302" w:rsidR="00DD1FDE" w:rsidRPr="00795F17" w:rsidRDefault="00DD1FDE" w:rsidP="005842B5">
            <w:pPr>
              <w:pStyle w:val="Teksttabelilewy"/>
            </w:pPr>
            <w:r w:rsidRPr="00795F17">
              <w:t xml:space="preserve">§2 ust. 1 pkt </w:t>
            </w:r>
            <w:r w:rsidR="00D44061" w:rsidRPr="00795F17">
              <w:t xml:space="preserve">2, </w:t>
            </w:r>
            <w:r w:rsidRPr="00795F17">
              <w:t>3</w:t>
            </w:r>
            <w:r w:rsidR="00D44061" w:rsidRPr="00795F17">
              <w:t xml:space="preserve"> b, 4, 5, 6, 7, 8, 9, </w:t>
            </w:r>
            <w:r w:rsidRPr="00795F17">
              <w:t>10 </w:t>
            </w:r>
            <w:r w:rsidR="00E67AA8" w:rsidRPr="00795F17">
              <w:t>r.p.g.w.</w:t>
            </w:r>
          </w:p>
        </w:tc>
        <w:tc>
          <w:tcPr>
            <w:tcW w:w="1465" w:type="pct"/>
            <w:vAlign w:val="center"/>
            <w:hideMark/>
          </w:tcPr>
          <w:p w14:paraId="4BF2BC65" w14:textId="14B2E243" w:rsidR="00DD1FDE" w:rsidRPr="00795F17" w:rsidRDefault="00DD1FDE" w:rsidP="005842B5">
            <w:pPr>
              <w:pStyle w:val="Teksttabelilewy"/>
            </w:pPr>
            <w:r w:rsidRPr="00795F17">
              <w:t>art. 318 ust. 1 pkt 4 </w:t>
            </w:r>
            <w:r w:rsidR="00805195" w:rsidRPr="00795F17">
              <w:t>pr.w.</w:t>
            </w:r>
          </w:p>
        </w:tc>
      </w:tr>
      <w:tr w:rsidR="00DD1FDE" w:rsidRPr="00795F17" w14:paraId="08C20B4E" w14:textId="77777777" w:rsidTr="00544256">
        <w:trPr>
          <w:trHeight w:val="454"/>
        </w:trPr>
        <w:tc>
          <w:tcPr>
            <w:tcW w:w="349" w:type="pct"/>
            <w:vAlign w:val="center"/>
            <w:hideMark/>
          </w:tcPr>
          <w:p w14:paraId="34C22A57" w14:textId="705B138D" w:rsidR="00DD1FDE" w:rsidRPr="00795F17" w:rsidRDefault="00DD1FDE" w:rsidP="00BE0D33">
            <w:pPr>
              <w:pStyle w:val="Teksttabelisrodek"/>
            </w:pPr>
            <w:r w:rsidRPr="00795F17">
              <w:t>6</w:t>
            </w:r>
            <w:r w:rsidR="00CF0336" w:rsidRPr="00795F17">
              <w:t>.</w:t>
            </w:r>
          </w:p>
        </w:tc>
        <w:tc>
          <w:tcPr>
            <w:tcW w:w="1238" w:type="pct"/>
            <w:vAlign w:val="center"/>
          </w:tcPr>
          <w:p w14:paraId="17DF188F" w14:textId="19488141" w:rsidR="00DD1FDE" w:rsidRPr="00795F17" w:rsidRDefault="00DD1FDE" w:rsidP="005842B5">
            <w:pPr>
              <w:pStyle w:val="Teksttabelilewy"/>
            </w:pPr>
            <w:r w:rsidRPr="00795F17">
              <w:t>Rozdział 8</w:t>
            </w:r>
          </w:p>
        </w:tc>
        <w:tc>
          <w:tcPr>
            <w:tcW w:w="1948" w:type="pct"/>
            <w:vAlign w:val="center"/>
            <w:hideMark/>
          </w:tcPr>
          <w:p w14:paraId="64BDEE54" w14:textId="56A2F9FB" w:rsidR="00DD1FDE" w:rsidRPr="00795F17" w:rsidRDefault="00DD1FDE" w:rsidP="005842B5">
            <w:pPr>
              <w:pStyle w:val="Teksttabelilewy"/>
            </w:pPr>
            <w:r w:rsidRPr="00795F17">
              <w:t>§2 ust. 1 pkt 11 </w:t>
            </w:r>
            <w:r w:rsidR="00E67AA8" w:rsidRPr="00795F17">
              <w:t>r.p.g.w.</w:t>
            </w:r>
          </w:p>
          <w:p w14:paraId="656CF830" w14:textId="19E88791" w:rsidR="00DD1FDE" w:rsidRPr="00795F17" w:rsidRDefault="00DD1FDE" w:rsidP="005842B5">
            <w:pPr>
              <w:pStyle w:val="Teksttabelilewy"/>
            </w:pPr>
            <w:r w:rsidRPr="00795F17">
              <w:t>§4 </w:t>
            </w:r>
            <w:r w:rsidR="00E67AA8" w:rsidRPr="00795F17">
              <w:t>r.p.g.w.</w:t>
            </w:r>
          </w:p>
        </w:tc>
        <w:tc>
          <w:tcPr>
            <w:tcW w:w="1465" w:type="pct"/>
            <w:vAlign w:val="center"/>
            <w:hideMark/>
          </w:tcPr>
          <w:p w14:paraId="207A23F4" w14:textId="4118069E" w:rsidR="00DD1FDE" w:rsidRPr="00795F17" w:rsidRDefault="00DD1FDE" w:rsidP="005842B5">
            <w:pPr>
              <w:pStyle w:val="Teksttabelilewy"/>
            </w:pPr>
            <w:r w:rsidRPr="00795F17">
              <w:t>art. 318 ust. 1 pkt 5 </w:t>
            </w:r>
            <w:r w:rsidR="00805195" w:rsidRPr="00795F17">
              <w:t>pr.w.</w:t>
            </w:r>
          </w:p>
        </w:tc>
      </w:tr>
      <w:tr w:rsidR="00DD1FDE" w:rsidRPr="00795F17" w14:paraId="5AE50F89" w14:textId="77777777" w:rsidTr="00544256">
        <w:trPr>
          <w:trHeight w:val="454"/>
        </w:trPr>
        <w:tc>
          <w:tcPr>
            <w:tcW w:w="349" w:type="pct"/>
            <w:vAlign w:val="center"/>
            <w:hideMark/>
          </w:tcPr>
          <w:p w14:paraId="173863A4" w14:textId="7109EBBA" w:rsidR="00DD1FDE" w:rsidRPr="00795F17" w:rsidRDefault="00DD1FDE" w:rsidP="00BE0D33">
            <w:pPr>
              <w:pStyle w:val="Teksttabelisrodek"/>
            </w:pPr>
            <w:r w:rsidRPr="00795F17">
              <w:t>7</w:t>
            </w:r>
            <w:r w:rsidR="00CF0336" w:rsidRPr="00795F17">
              <w:t>.</w:t>
            </w:r>
          </w:p>
        </w:tc>
        <w:tc>
          <w:tcPr>
            <w:tcW w:w="1238" w:type="pct"/>
            <w:vAlign w:val="center"/>
          </w:tcPr>
          <w:p w14:paraId="695335CF" w14:textId="0D936A7E" w:rsidR="00DD1FDE" w:rsidRPr="00795F17" w:rsidRDefault="00DD1FDE" w:rsidP="005842B5">
            <w:pPr>
              <w:pStyle w:val="Teksttabelilewy"/>
            </w:pPr>
            <w:r w:rsidRPr="00795F17">
              <w:t>Rozdział 11</w:t>
            </w:r>
          </w:p>
        </w:tc>
        <w:tc>
          <w:tcPr>
            <w:tcW w:w="1948" w:type="pct"/>
            <w:vAlign w:val="center"/>
            <w:hideMark/>
          </w:tcPr>
          <w:p w14:paraId="38443EFC" w14:textId="53A64AFB" w:rsidR="00DD1FDE" w:rsidRPr="00795F17" w:rsidRDefault="00DD1FDE" w:rsidP="005842B5">
            <w:pPr>
              <w:pStyle w:val="Teksttabelilewy"/>
            </w:pPr>
            <w:r w:rsidRPr="00795F17">
              <w:t>§2 ust. 1 pkt 40 </w:t>
            </w:r>
            <w:r w:rsidR="00E67AA8" w:rsidRPr="00795F17">
              <w:t>r.p.g.w.</w:t>
            </w:r>
          </w:p>
          <w:p w14:paraId="2D311BE5" w14:textId="21BDB2AC" w:rsidR="00DD1FDE" w:rsidRPr="00795F17" w:rsidRDefault="00DD1FDE" w:rsidP="005842B5">
            <w:pPr>
              <w:pStyle w:val="Teksttabelilewy"/>
            </w:pPr>
            <w:r w:rsidRPr="00795F17">
              <w:t>§5 </w:t>
            </w:r>
            <w:r w:rsidR="00E67AA8" w:rsidRPr="00795F17">
              <w:t>r.p.g.w.</w:t>
            </w:r>
          </w:p>
        </w:tc>
        <w:tc>
          <w:tcPr>
            <w:tcW w:w="1465" w:type="pct"/>
            <w:vAlign w:val="center"/>
            <w:hideMark/>
          </w:tcPr>
          <w:p w14:paraId="5007EB92" w14:textId="33AA4E1D" w:rsidR="00DD1FDE" w:rsidRPr="00795F17" w:rsidRDefault="00DD1FDE" w:rsidP="005842B5">
            <w:pPr>
              <w:pStyle w:val="Teksttabelilewy"/>
            </w:pPr>
            <w:r w:rsidRPr="00795F17">
              <w:t>art. 318 ust. 1 pkt 6 </w:t>
            </w:r>
            <w:r w:rsidR="00805195" w:rsidRPr="00795F17">
              <w:t>pr.w.</w:t>
            </w:r>
          </w:p>
        </w:tc>
      </w:tr>
      <w:tr w:rsidR="00DD1FDE" w:rsidRPr="00795F17" w14:paraId="73441537" w14:textId="77777777" w:rsidTr="00544256">
        <w:trPr>
          <w:trHeight w:val="454"/>
        </w:trPr>
        <w:tc>
          <w:tcPr>
            <w:tcW w:w="349" w:type="pct"/>
            <w:vAlign w:val="center"/>
            <w:hideMark/>
          </w:tcPr>
          <w:p w14:paraId="2091F042" w14:textId="24A520CE" w:rsidR="00DD1FDE" w:rsidRPr="00795F17" w:rsidRDefault="00DD1FDE" w:rsidP="00BE0D33">
            <w:pPr>
              <w:pStyle w:val="Teksttabelisrodek"/>
            </w:pPr>
            <w:r w:rsidRPr="00795F17">
              <w:t>8</w:t>
            </w:r>
            <w:r w:rsidR="00CF0336" w:rsidRPr="00795F17">
              <w:t>.</w:t>
            </w:r>
          </w:p>
        </w:tc>
        <w:tc>
          <w:tcPr>
            <w:tcW w:w="1238" w:type="pct"/>
            <w:vAlign w:val="center"/>
          </w:tcPr>
          <w:p w14:paraId="19BAE6A0" w14:textId="6B690903" w:rsidR="00DD1FDE" w:rsidRPr="00795F17" w:rsidRDefault="00DD1FDE" w:rsidP="005842B5">
            <w:pPr>
              <w:pStyle w:val="Teksttabelilewy"/>
            </w:pPr>
            <w:r w:rsidRPr="00795F17">
              <w:t>Rozdział 12</w:t>
            </w:r>
          </w:p>
        </w:tc>
        <w:tc>
          <w:tcPr>
            <w:tcW w:w="1948" w:type="pct"/>
            <w:vAlign w:val="center"/>
            <w:hideMark/>
          </w:tcPr>
          <w:p w14:paraId="322E4904" w14:textId="0B368F99" w:rsidR="00DD1FDE" w:rsidRPr="00795F17" w:rsidRDefault="00DD1FDE" w:rsidP="005842B5">
            <w:pPr>
              <w:pStyle w:val="Teksttabelilewy"/>
            </w:pPr>
            <w:r w:rsidRPr="00795F17">
              <w:t>§2 ust. 1 pkt 12 </w:t>
            </w:r>
            <w:r w:rsidR="00E67AA8" w:rsidRPr="00795F17">
              <w:t>r.p.g.w.</w:t>
            </w:r>
          </w:p>
        </w:tc>
        <w:tc>
          <w:tcPr>
            <w:tcW w:w="1465" w:type="pct"/>
            <w:vAlign w:val="center"/>
            <w:hideMark/>
          </w:tcPr>
          <w:p w14:paraId="34B3DD78" w14:textId="7831094A" w:rsidR="00DD1FDE" w:rsidRPr="00795F17" w:rsidRDefault="00DD1FDE" w:rsidP="005842B5">
            <w:pPr>
              <w:pStyle w:val="Teksttabelilewy"/>
            </w:pPr>
            <w:r w:rsidRPr="00795F17">
              <w:t>art. 318 ust. 1 pkt 7 </w:t>
            </w:r>
            <w:r w:rsidR="00805195" w:rsidRPr="00795F17">
              <w:t>pr.w.</w:t>
            </w:r>
          </w:p>
        </w:tc>
      </w:tr>
      <w:tr w:rsidR="00DD1FDE" w:rsidRPr="00795F17" w14:paraId="3261D07B" w14:textId="77777777" w:rsidTr="00544256">
        <w:trPr>
          <w:trHeight w:val="454"/>
        </w:trPr>
        <w:tc>
          <w:tcPr>
            <w:tcW w:w="349" w:type="pct"/>
            <w:vAlign w:val="center"/>
            <w:hideMark/>
          </w:tcPr>
          <w:p w14:paraId="15EEC9E8" w14:textId="6DE83768" w:rsidR="00DD1FDE" w:rsidRPr="00795F17" w:rsidRDefault="00DD1FDE" w:rsidP="00BE0D33">
            <w:pPr>
              <w:pStyle w:val="Teksttabelisrodek"/>
            </w:pPr>
            <w:r w:rsidRPr="00795F17">
              <w:t>9</w:t>
            </w:r>
            <w:r w:rsidR="00CF0336" w:rsidRPr="00795F17">
              <w:t>.</w:t>
            </w:r>
          </w:p>
        </w:tc>
        <w:tc>
          <w:tcPr>
            <w:tcW w:w="1238" w:type="pct"/>
            <w:vAlign w:val="center"/>
          </w:tcPr>
          <w:p w14:paraId="04C4848E" w14:textId="378B9C7F" w:rsidR="00DD1FDE" w:rsidRPr="00795F17" w:rsidRDefault="00DD1FDE" w:rsidP="005842B5">
            <w:pPr>
              <w:pStyle w:val="Teksttabelilewy"/>
            </w:pPr>
            <w:r w:rsidRPr="00795F17">
              <w:t>Rozdział 13.1</w:t>
            </w:r>
          </w:p>
        </w:tc>
        <w:tc>
          <w:tcPr>
            <w:tcW w:w="1948" w:type="pct"/>
            <w:vAlign w:val="center"/>
            <w:hideMark/>
          </w:tcPr>
          <w:p w14:paraId="021DE2B4" w14:textId="05F404C6" w:rsidR="00DD1FDE" w:rsidRPr="00795F17" w:rsidRDefault="00DD1FDE" w:rsidP="005842B5">
            <w:pPr>
              <w:pStyle w:val="Teksttabelilewy"/>
            </w:pPr>
            <w:r w:rsidRPr="00795F17">
              <w:t>§2 ust. 1 pkt 14 </w:t>
            </w:r>
            <w:r w:rsidR="00E67AA8" w:rsidRPr="00795F17">
              <w:t>r.p.g.w.</w:t>
            </w:r>
          </w:p>
        </w:tc>
        <w:tc>
          <w:tcPr>
            <w:tcW w:w="1465" w:type="pct"/>
            <w:vAlign w:val="center"/>
            <w:hideMark/>
          </w:tcPr>
          <w:p w14:paraId="4F8EBFD3" w14:textId="50457F64" w:rsidR="00DD1FDE" w:rsidRPr="00795F17" w:rsidRDefault="00DD1FDE" w:rsidP="005842B5">
            <w:pPr>
              <w:pStyle w:val="Teksttabelilewy"/>
            </w:pPr>
            <w:r w:rsidRPr="00795F17">
              <w:t>art. 318 ust. 1 pkt 8 </w:t>
            </w:r>
            <w:r w:rsidR="00805195" w:rsidRPr="00795F17">
              <w:t>pr.w.</w:t>
            </w:r>
          </w:p>
        </w:tc>
      </w:tr>
      <w:tr w:rsidR="00DD1FDE" w:rsidRPr="00795F17" w14:paraId="5B38F594" w14:textId="77777777" w:rsidTr="00544256">
        <w:trPr>
          <w:trHeight w:val="454"/>
        </w:trPr>
        <w:tc>
          <w:tcPr>
            <w:tcW w:w="349" w:type="pct"/>
            <w:vAlign w:val="center"/>
            <w:hideMark/>
          </w:tcPr>
          <w:p w14:paraId="6D87CC75" w14:textId="00A26FF2" w:rsidR="00DD1FDE" w:rsidRPr="00795F17" w:rsidRDefault="00DD1FDE" w:rsidP="00BE0D33">
            <w:pPr>
              <w:pStyle w:val="Teksttabelisrodek"/>
            </w:pPr>
            <w:r w:rsidRPr="00795F17">
              <w:t>10</w:t>
            </w:r>
            <w:r w:rsidR="00CF0336" w:rsidRPr="00795F17">
              <w:t>.</w:t>
            </w:r>
          </w:p>
        </w:tc>
        <w:tc>
          <w:tcPr>
            <w:tcW w:w="1238" w:type="pct"/>
            <w:vAlign w:val="center"/>
          </w:tcPr>
          <w:p w14:paraId="0DBB932D" w14:textId="01FF76E7" w:rsidR="00DD1FDE" w:rsidRPr="00795F17" w:rsidRDefault="00DD1FDE" w:rsidP="005842B5">
            <w:pPr>
              <w:pStyle w:val="Teksttabelilewy"/>
            </w:pPr>
            <w:r w:rsidRPr="00795F17">
              <w:t>Rozdział 13.2</w:t>
            </w:r>
          </w:p>
        </w:tc>
        <w:tc>
          <w:tcPr>
            <w:tcW w:w="1948" w:type="pct"/>
            <w:vAlign w:val="center"/>
            <w:hideMark/>
          </w:tcPr>
          <w:p w14:paraId="7009E3C3" w14:textId="61DAE161" w:rsidR="00DD1FDE" w:rsidRPr="00795F17" w:rsidRDefault="00DD1FDE" w:rsidP="005842B5">
            <w:pPr>
              <w:pStyle w:val="Teksttabelilewy"/>
            </w:pPr>
            <w:r w:rsidRPr="00795F17">
              <w:t>§2 ust. 1 pkt </w:t>
            </w:r>
            <w:r w:rsidR="008E285D" w:rsidRPr="008E285D">
              <w:t>15b</w:t>
            </w:r>
            <w:r w:rsidR="008E285D">
              <w:t xml:space="preserve">, </w:t>
            </w:r>
            <w:r w:rsidRPr="00795F17">
              <w:t>15</w:t>
            </w:r>
            <w:r w:rsidR="00D44061" w:rsidRPr="00795F17">
              <w:t> c</w:t>
            </w:r>
            <w:r w:rsidRPr="00795F17">
              <w:t> </w:t>
            </w:r>
            <w:r w:rsidR="00E67AA8" w:rsidRPr="00795F17">
              <w:t>r.p.g.w.</w:t>
            </w:r>
          </w:p>
        </w:tc>
        <w:tc>
          <w:tcPr>
            <w:tcW w:w="1465" w:type="pct"/>
            <w:vAlign w:val="center"/>
            <w:hideMark/>
          </w:tcPr>
          <w:p w14:paraId="46739571" w14:textId="2F97B225" w:rsidR="00DD1FDE" w:rsidRPr="00795F17" w:rsidRDefault="00DD1FDE" w:rsidP="005842B5">
            <w:pPr>
              <w:pStyle w:val="Teksttabelilewy"/>
            </w:pPr>
            <w:r w:rsidRPr="00795F17">
              <w:t>art. 318 ust. 1 pkt 9 </w:t>
            </w:r>
            <w:r w:rsidR="00805195" w:rsidRPr="00795F17">
              <w:t>pr.w.</w:t>
            </w:r>
          </w:p>
        </w:tc>
      </w:tr>
      <w:tr w:rsidR="00DD1FDE" w:rsidRPr="00795F17" w14:paraId="1818B27E" w14:textId="77777777" w:rsidTr="00544256">
        <w:trPr>
          <w:trHeight w:val="454"/>
        </w:trPr>
        <w:tc>
          <w:tcPr>
            <w:tcW w:w="349" w:type="pct"/>
            <w:vAlign w:val="center"/>
            <w:hideMark/>
          </w:tcPr>
          <w:p w14:paraId="33320D54" w14:textId="72AD3E66" w:rsidR="00DD1FDE" w:rsidRPr="00795F17" w:rsidRDefault="00DD1FDE" w:rsidP="00BE0D33">
            <w:pPr>
              <w:pStyle w:val="Teksttabelisrodek"/>
            </w:pPr>
            <w:r w:rsidRPr="00795F17">
              <w:t>11</w:t>
            </w:r>
            <w:r w:rsidR="00CF0336" w:rsidRPr="00795F17">
              <w:t>.</w:t>
            </w:r>
          </w:p>
        </w:tc>
        <w:tc>
          <w:tcPr>
            <w:tcW w:w="1238" w:type="pct"/>
            <w:vAlign w:val="center"/>
          </w:tcPr>
          <w:p w14:paraId="22360BD6" w14:textId="40812953" w:rsidR="00DD1FDE" w:rsidRPr="00795F17" w:rsidRDefault="00DD1FDE" w:rsidP="005842B5">
            <w:pPr>
              <w:pStyle w:val="Teksttabelilewy"/>
            </w:pPr>
            <w:r w:rsidRPr="00795F17">
              <w:t>Rozdział 13.3</w:t>
            </w:r>
          </w:p>
        </w:tc>
        <w:tc>
          <w:tcPr>
            <w:tcW w:w="1948" w:type="pct"/>
            <w:vAlign w:val="center"/>
            <w:hideMark/>
          </w:tcPr>
          <w:p w14:paraId="0E70CCB0" w14:textId="6E024B15" w:rsidR="00DD1FDE" w:rsidRPr="00795F17" w:rsidRDefault="00DD1FDE" w:rsidP="005842B5">
            <w:pPr>
              <w:pStyle w:val="Teksttabelilewy"/>
            </w:pPr>
            <w:r w:rsidRPr="00795F17">
              <w:t>§2 ust. 1 pkt 16 </w:t>
            </w:r>
            <w:r w:rsidR="00E67AA8" w:rsidRPr="00795F17">
              <w:t>r.p.g.w.</w:t>
            </w:r>
          </w:p>
        </w:tc>
        <w:tc>
          <w:tcPr>
            <w:tcW w:w="1465" w:type="pct"/>
            <w:vAlign w:val="center"/>
            <w:hideMark/>
          </w:tcPr>
          <w:p w14:paraId="18693B68" w14:textId="52411D41" w:rsidR="00DD1FDE" w:rsidRPr="00795F17" w:rsidRDefault="00DD1FDE" w:rsidP="005842B5">
            <w:pPr>
              <w:pStyle w:val="Teksttabelilewy"/>
            </w:pPr>
            <w:r w:rsidRPr="00795F17">
              <w:t>art. 318 ust. 1 pkt 10 </w:t>
            </w:r>
            <w:r w:rsidR="00805195" w:rsidRPr="00795F17">
              <w:t>pr.w.</w:t>
            </w:r>
          </w:p>
        </w:tc>
      </w:tr>
      <w:tr w:rsidR="00DD1FDE" w:rsidRPr="00795F17" w14:paraId="0BA8E250" w14:textId="77777777" w:rsidTr="00544256">
        <w:trPr>
          <w:trHeight w:val="454"/>
        </w:trPr>
        <w:tc>
          <w:tcPr>
            <w:tcW w:w="349" w:type="pct"/>
            <w:vAlign w:val="center"/>
            <w:hideMark/>
          </w:tcPr>
          <w:p w14:paraId="0684379C" w14:textId="7B3FC4B1" w:rsidR="00DD1FDE" w:rsidRPr="00795F17" w:rsidRDefault="00DD1FDE" w:rsidP="00BE0D33">
            <w:pPr>
              <w:pStyle w:val="Teksttabelisrodek"/>
            </w:pPr>
            <w:r w:rsidRPr="00795F17">
              <w:t>12</w:t>
            </w:r>
            <w:r w:rsidR="00CF0336" w:rsidRPr="00795F17">
              <w:t>.</w:t>
            </w:r>
          </w:p>
        </w:tc>
        <w:tc>
          <w:tcPr>
            <w:tcW w:w="1238" w:type="pct"/>
            <w:vAlign w:val="center"/>
          </w:tcPr>
          <w:p w14:paraId="1956191E" w14:textId="361B31D8" w:rsidR="00DD1FDE" w:rsidRPr="00795F17" w:rsidRDefault="00DD1FDE" w:rsidP="005842B5">
            <w:pPr>
              <w:pStyle w:val="Teksttabelilewy"/>
            </w:pPr>
            <w:r w:rsidRPr="00795F17">
              <w:t>Rozdział 13.4</w:t>
            </w:r>
          </w:p>
        </w:tc>
        <w:tc>
          <w:tcPr>
            <w:tcW w:w="1948" w:type="pct"/>
            <w:vAlign w:val="center"/>
            <w:hideMark/>
          </w:tcPr>
          <w:p w14:paraId="170E4547" w14:textId="56EB8838" w:rsidR="00DD1FDE" w:rsidRPr="00795F17" w:rsidRDefault="00DD1FDE" w:rsidP="005842B5">
            <w:pPr>
              <w:pStyle w:val="Teksttabelilewy"/>
            </w:pPr>
            <w:r w:rsidRPr="00795F17">
              <w:t>§2 ust. 1 pkt 17 </w:t>
            </w:r>
            <w:r w:rsidR="00E67AA8" w:rsidRPr="00795F17">
              <w:t>r.p.g.w.</w:t>
            </w:r>
          </w:p>
        </w:tc>
        <w:tc>
          <w:tcPr>
            <w:tcW w:w="1465" w:type="pct"/>
            <w:vAlign w:val="center"/>
            <w:hideMark/>
          </w:tcPr>
          <w:p w14:paraId="1984832C" w14:textId="1A734F37" w:rsidR="00DD1FDE" w:rsidRPr="00795F17" w:rsidRDefault="00DD1FDE" w:rsidP="005842B5">
            <w:pPr>
              <w:pStyle w:val="Teksttabelilewy"/>
            </w:pPr>
            <w:r w:rsidRPr="00795F17">
              <w:t>art. 318 ust. 1 pkt 11 </w:t>
            </w:r>
            <w:r w:rsidR="00805195" w:rsidRPr="00795F17">
              <w:t>pr.w.</w:t>
            </w:r>
          </w:p>
        </w:tc>
      </w:tr>
      <w:tr w:rsidR="00DD1FDE" w:rsidRPr="00795F17" w14:paraId="006BBE70" w14:textId="77777777" w:rsidTr="00544256">
        <w:trPr>
          <w:trHeight w:val="454"/>
        </w:trPr>
        <w:tc>
          <w:tcPr>
            <w:tcW w:w="349" w:type="pct"/>
            <w:vAlign w:val="center"/>
            <w:hideMark/>
          </w:tcPr>
          <w:p w14:paraId="68FEDACC" w14:textId="5869A66C" w:rsidR="00DD1FDE" w:rsidRPr="00795F17" w:rsidRDefault="00DD1FDE" w:rsidP="00BE0D33">
            <w:pPr>
              <w:pStyle w:val="Teksttabelisrodek"/>
            </w:pPr>
            <w:r w:rsidRPr="00795F17">
              <w:t>13</w:t>
            </w:r>
            <w:r w:rsidR="00CF0336" w:rsidRPr="00795F17">
              <w:t>.</w:t>
            </w:r>
          </w:p>
        </w:tc>
        <w:tc>
          <w:tcPr>
            <w:tcW w:w="1238" w:type="pct"/>
            <w:vAlign w:val="center"/>
          </w:tcPr>
          <w:p w14:paraId="141CA5BE" w14:textId="4C53EA09" w:rsidR="00DD1FDE" w:rsidRPr="00795F17" w:rsidRDefault="00DD1FDE" w:rsidP="005842B5">
            <w:pPr>
              <w:pStyle w:val="Teksttabelilewy"/>
            </w:pPr>
            <w:r w:rsidRPr="00795F17">
              <w:t>Rozdział 13.5</w:t>
            </w:r>
          </w:p>
        </w:tc>
        <w:tc>
          <w:tcPr>
            <w:tcW w:w="1948" w:type="pct"/>
            <w:vAlign w:val="center"/>
            <w:hideMark/>
          </w:tcPr>
          <w:p w14:paraId="2A0F3780" w14:textId="32F08F46" w:rsidR="00DD1FDE" w:rsidRPr="00795F17" w:rsidRDefault="00DD1FDE" w:rsidP="005842B5">
            <w:pPr>
              <w:pStyle w:val="Teksttabelilewy"/>
            </w:pPr>
            <w:r w:rsidRPr="00795F17">
              <w:t>§2 ust. 1 pkt 18 </w:t>
            </w:r>
            <w:r w:rsidR="00E67AA8" w:rsidRPr="00795F17">
              <w:t>r.p.g.w.</w:t>
            </w:r>
          </w:p>
        </w:tc>
        <w:tc>
          <w:tcPr>
            <w:tcW w:w="1465" w:type="pct"/>
            <w:vAlign w:val="center"/>
            <w:hideMark/>
          </w:tcPr>
          <w:p w14:paraId="24D0FC4C" w14:textId="67BD273F" w:rsidR="00DD1FDE" w:rsidRPr="00795F17" w:rsidRDefault="00DD1FDE" w:rsidP="005842B5">
            <w:pPr>
              <w:pStyle w:val="Teksttabelilewy"/>
            </w:pPr>
            <w:r w:rsidRPr="00795F17">
              <w:t>art. 318 ust. 1 pkt 12 </w:t>
            </w:r>
            <w:r w:rsidR="00805195" w:rsidRPr="00795F17">
              <w:t>pr.w.</w:t>
            </w:r>
          </w:p>
        </w:tc>
      </w:tr>
      <w:tr w:rsidR="00DD1FDE" w:rsidRPr="00795F17" w14:paraId="5DA2863C" w14:textId="77777777" w:rsidTr="00544256">
        <w:trPr>
          <w:trHeight w:val="454"/>
        </w:trPr>
        <w:tc>
          <w:tcPr>
            <w:tcW w:w="349" w:type="pct"/>
            <w:vAlign w:val="center"/>
            <w:hideMark/>
          </w:tcPr>
          <w:p w14:paraId="40758576" w14:textId="68225B44" w:rsidR="00DD1FDE" w:rsidRPr="00795F17" w:rsidRDefault="00DD1FDE" w:rsidP="00BE0D33">
            <w:pPr>
              <w:pStyle w:val="Teksttabelisrodek"/>
            </w:pPr>
            <w:r w:rsidRPr="00795F17">
              <w:t>14</w:t>
            </w:r>
            <w:r w:rsidR="00CF0336" w:rsidRPr="00795F17">
              <w:t>.</w:t>
            </w:r>
          </w:p>
        </w:tc>
        <w:tc>
          <w:tcPr>
            <w:tcW w:w="1238" w:type="pct"/>
            <w:vAlign w:val="center"/>
          </w:tcPr>
          <w:p w14:paraId="778DD13D" w14:textId="4A462872" w:rsidR="00DD1FDE" w:rsidRPr="00795F17" w:rsidRDefault="00DD1FDE" w:rsidP="005842B5">
            <w:pPr>
              <w:pStyle w:val="Teksttabelilewy"/>
            </w:pPr>
            <w:r w:rsidRPr="00795F17">
              <w:t>Rozdział 13.6</w:t>
            </w:r>
          </w:p>
        </w:tc>
        <w:tc>
          <w:tcPr>
            <w:tcW w:w="1948" w:type="pct"/>
            <w:vAlign w:val="center"/>
            <w:hideMark/>
          </w:tcPr>
          <w:p w14:paraId="16A10082" w14:textId="317C3B6C" w:rsidR="00DD1FDE" w:rsidRPr="00795F17" w:rsidRDefault="00DD1FDE" w:rsidP="005842B5">
            <w:pPr>
              <w:pStyle w:val="Teksttabelilewy"/>
            </w:pPr>
            <w:r w:rsidRPr="00795F17">
              <w:t>§2 ust. 1 pkt 19 </w:t>
            </w:r>
            <w:r w:rsidR="00E67AA8" w:rsidRPr="00795F17">
              <w:t>r.p.g.w.</w:t>
            </w:r>
          </w:p>
        </w:tc>
        <w:tc>
          <w:tcPr>
            <w:tcW w:w="1465" w:type="pct"/>
            <w:vAlign w:val="center"/>
            <w:hideMark/>
          </w:tcPr>
          <w:p w14:paraId="399D2BB5" w14:textId="774F26EA" w:rsidR="00DD1FDE" w:rsidRPr="00795F17" w:rsidRDefault="00DD1FDE" w:rsidP="005842B5">
            <w:pPr>
              <w:pStyle w:val="Teksttabelilewy"/>
            </w:pPr>
            <w:r w:rsidRPr="00795F17">
              <w:t>art. 318 ust. 1 pkt 13 </w:t>
            </w:r>
            <w:r w:rsidR="00805195" w:rsidRPr="00795F17">
              <w:t>pr.w.</w:t>
            </w:r>
          </w:p>
        </w:tc>
      </w:tr>
      <w:tr w:rsidR="00DD1FDE" w:rsidRPr="00795F17" w14:paraId="7A64D1CB" w14:textId="77777777" w:rsidTr="00544256">
        <w:trPr>
          <w:trHeight w:val="454"/>
        </w:trPr>
        <w:tc>
          <w:tcPr>
            <w:tcW w:w="349" w:type="pct"/>
            <w:vAlign w:val="center"/>
            <w:hideMark/>
          </w:tcPr>
          <w:p w14:paraId="3F049093" w14:textId="09143E56" w:rsidR="00DD1FDE" w:rsidRPr="00795F17" w:rsidRDefault="00DD1FDE" w:rsidP="00BE0D33">
            <w:pPr>
              <w:pStyle w:val="Teksttabelisrodek"/>
            </w:pPr>
            <w:r w:rsidRPr="00795F17">
              <w:t>15</w:t>
            </w:r>
            <w:r w:rsidR="00CF0336" w:rsidRPr="00795F17">
              <w:t>.</w:t>
            </w:r>
          </w:p>
        </w:tc>
        <w:tc>
          <w:tcPr>
            <w:tcW w:w="1238" w:type="pct"/>
            <w:vAlign w:val="center"/>
          </w:tcPr>
          <w:p w14:paraId="2D2B3D02" w14:textId="008A7AB4" w:rsidR="00DD1FDE" w:rsidRPr="00795F17" w:rsidRDefault="00DD1FDE" w:rsidP="005842B5">
            <w:pPr>
              <w:pStyle w:val="Teksttabelilewy"/>
            </w:pPr>
            <w:r w:rsidRPr="00795F17">
              <w:t>Rozdział 13.7</w:t>
            </w:r>
          </w:p>
        </w:tc>
        <w:tc>
          <w:tcPr>
            <w:tcW w:w="1948" w:type="pct"/>
            <w:vAlign w:val="center"/>
            <w:hideMark/>
          </w:tcPr>
          <w:p w14:paraId="6ED034E3" w14:textId="5A282CCA" w:rsidR="00DD1FDE" w:rsidRPr="00795F17" w:rsidRDefault="00DD1FDE" w:rsidP="005842B5">
            <w:pPr>
              <w:pStyle w:val="Teksttabelilewy"/>
            </w:pPr>
            <w:r w:rsidRPr="00795F17">
              <w:t>§2 ust. 1 pkt 20 </w:t>
            </w:r>
            <w:r w:rsidR="00E67AA8" w:rsidRPr="00795F17">
              <w:t>r.p.g.w.</w:t>
            </w:r>
          </w:p>
        </w:tc>
        <w:tc>
          <w:tcPr>
            <w:tcW w:w="1465" w:type="pct"/>
            <w:vAlign w:val="center"/>
            <w:hideMark/>
          </w:tcPr>
          <w:p w14:paraId="4489ED63" w14:textId="1446CC2A" w:rsidR="00DD1FDE" w:rsidRPr="00795F17" w:rsidRDefault="00DD1FDE" w:rsidP="005842B5">
            <w:pPr>
              <w:pStyle w:val="Teksttabelilewy"/>
            </w:pPr>
            <w:r w:rsidRPr="00795F17">
              <w:t>art. 318 ust. 1 pkt 14 </w:t>
            </w:r>
            <w:r w:rsidR="00805195" w:rsidRPr="00795F17">
              <w:t>pr.w.</w:t>
            </w:r>
          </w:p>
        </w:tc>
      </w:tr>
      <w:tr w:rsidR="00DD1FDE" w:rsidRPr="00795F17" w14:paraId="70AD20E4" w14:textId="77777777" w:rsidTr="00544256">
        <w:trPr>
          <w:trHeight w:val="454"/>
        </w:trPr>
        <w:tc>
          <w:tcPr>
            <w:tcW w:w="349" w:type="pct"/>
            <w:vAlign w:val="center"/>
            <w:hideMark/>
          </w:tcPr>
          <w:p w14:paraId="08D148FE" w14:textId="68A81BAB" w:rsidR="00DD1FDE" w:rsidRPr="00795F17" w:rsidRDefault="00DD1FDE" w:rsidP="00BE0D33">
            <w:pPr>
              <w:pStyle w:val="Teksttabelisrodek"/>
            </w:pPr>
            <w:r w:rsidRPr="00795F17">
              <w:t>16</w:t>
            </w:r>
            <w:r w:rsidR="00CF0336" w:rsidRPr="00795F17">
              <w:t>.</w:t>
            </w:r>
          </w:p>
        </w:tc>
        <w:tc>
          <w:tcPr>
            <w:tcW w:w="1238" w:type="pct"/>
            <w:vAlign w:val="center"/>
          </w:tcPr>
          <w:p w14:paraId="5FE9EFA5" w14:textId="5B920456" w:rsidR="00DD1FDE" w:rsidRPr="00795F17" w:rsidRDefault="00DD1FDE" w:rsidP="005842B5">
            <w:pPr>
              <w:pStyle w:val="Teksttabelilewy"/>
            </w:pPr>
            <w:r w:rsidRPr="00795F17">
              <w:t>Rozdział 13.8</w:t>
            </w:r>
          </w:p>
        </w:tc>
        <w:tc>
          <w:tcPr>
            <w:tcW w:w="1948" w:type="pct"/>
            <w:vAlign w:val="center"/>
            <w:hideMark/>
          </w:tcPr>
          <w:p w14:paraId="2C9B6FB3" w14:textId="291AABF4" w:rsidR="00DD1FDE" w:rsidRPr="00795F17" w:rsidRDefault="00DD1FDE" w:rsidP="005842B5">
            <w:pPr>
              <w:pStyle w:val="Teksttabelilewy"/>
            </w:pPr>
            <w:r w:rsidRPr="00795F17">
              <w:t>§2 ust. 1 pkt 21 </w:t>
            </w:r>
            <w:r w:rsidR="00E67AA8" w:rsidRPr="00795F17">
              <w:t>r.p.g.w.</w:t>
            </w:r>
          </w:p>
        </w:tc>
        <w:tc>
          <w:tcPr>
            <w:tcW w:w="1465" w:type="pct"/>
            <w:vAlign w:val="center"/>
            <w:hideMark/>
          </w:tcPr>
          <w:p w14:paraId="6218E8F0" w14:textId="264617DC" w:rsidR="00DD1FDE" w:rsidRPr="00795F17" w:rsidRDefault="00DD1FDE" w:rsidP="005842B5">
            <w:pPr>
              <w:pStyle w:val="Teksttabelilewy"/>
            </w:pPr>
            <w:r w:rsidRPr="00795F17">
              <w:t>art. 318 ust. 1 pkt 15 </w:t>
            </w:r>
            <w:r w:rsidR="00805195" w:rsidRPr="00795F17">
              <w:t>pr.w.</w:t>
            </w:r>
          </w:p>
        </w:tc>
      </w:tr>
      <w:tr w:rsidR="00DD1FDE" w:rsidRPr="00795F17" w14:paraId="4AFD05DD" w14:textId="77777777" w:rsidTr="00544256">
        <w:trPr>
          <w:trHeight w:val="454"/>
        </w:trPr>
        <w:tc>
          <w:tcPr>
            <w:tcW w:w="349" w:type="pct"/>
            <w:vAlign w:val="center"/>
            <w:hideMark/>
          </w:tcPr>
          <w:p w14:paraId="3CD3C5A3" w14:textId="143A5254" w:rsidR="00DD1FDE" w:rsidRPr="00795F17" w:rsidRDefault="00DD1FDE" w:rsidP="00BE0D33">
            <w:pPr>
              <w:pStyle w:val="Teksttabelisrodek"/>
            </w:pPr>
            <w:r w:rsidRPr="00795F17">
              <w:t>17</w:t>
            </w:r>
            <w:r w:rsidR="00CF0336" w:rsidRPr="00795F17">
              <w:t>.</w:t>
            </w:r>
          </w:p>
        </w:tc>
        <w:tc>
          <w:tcPr>
            <w:tcW w:w="1238" w:type="pct"/>
            <w:vAlign w:val="center"/>
          </w:tcPr>
          <w:p w14:paraId="2351CCF7" w14:textId="0BBD32E2" w:rsidR="00DD1FDE" w:rsidRPr="00795F17" w:rsidRDefault="00DD1FDE" w:rsidP="005842B5">
            <w:pPr>
              <w:pStyle w:val="Teksttabelilewy"/>
            </w:pPr>
            <w:r w:rsidRPr="00795F17">
              <w:t>Rozdział 13.9</w:t>
            </w:r>
          </w:p>
        </w:tc>
        <w:tc>
          <w:tcPr>
            <w:tcW w:w="1948" w:type="pct"/>
            <w:vAlign w:val="center"/>
            <w:hideMark/>
          </w:tcPr>
          <w:p w14:paraId="1430F5E7" w14:textId="2139B572" w:rsidR="00DD1FDE" w:rsidRPr="00795F17" w:rsidRDefault="00DD1FDE" w:rsidP="005842B5">
            <w:pPr>
              <w:pStyle w:val="Teksttabelilewy"/>
            </w:pPr>
            <w:r w:rsidRPr="00795F17">
              <w:t>§2 ust. 1 pkt 15</w:t>
            </w:r>
            <w:r w:rsidR="00D44061" w:rsidRPr="00795F17">
              <w:t> a</w:t>
            </w:r>
            <w:r w:rsidRPr="00795F17">
              <w:t> </w:t>
            </w:r>
            <w:r w:rsidR="00E67AA8" w:rsidRPr="00795F17">
              <w:t>r.p.g.w.</w:t>
            </w:r>
          </w:p>
        </w:tc>
        <w:tc>
          <w:tcPr>
            <w:tcW w:w="1465" w:type="pct"/>
            <w:vAlign w:val="center"/>
            <w:hideMark/>
          </w:tcPr>
          <w:p w14:paraId="35564E0D" w14:textId="3A3764C6" w:rsidR="00DD1FDE" w:rsidRPr="00795F17" w:rsidRDefault="00DD1FDE" w:rsidP="005842B5">
            <w:pPr>
              <w:pStyle w:val="Teksttabelilewy"/>
            </w:pPr>
            <w:r w:rsidRPr="00795F17">
              <w:t>art. 318 ust. 1 pkt 16 </w:t>
            </w:r>
            <w:r w:rsidR="00805195" w:rsidRPr="00795F17">
              <w:t>pr.w.</w:t>
            </w:r>
          </w:p>
        </w:tc>
      </w:tr>
      <w:tr w:rsidR="00DD1FDE" w:rsidRPr="00795F17" w14:paraId="6BF89B26" w14:textId="77777777" w:rsidTr="00544256">
        <w:trPr>
          <w:trHeight w:val="454"/>
        </w:trPr>
        <w:tc>
          <w:tcPr>
            <w:tcW w:w="349" w:type="pct"/>
            <w:vAlign w:val="center"/>
            <w:hideMark/>
          </w:tcPr>
          <w:p w14:paraId="67D6D184" w14:textId="1C7526E0" w:rsidR="00DD1FDE" w:rsidRPr="00795F17" w:rsidRDefault="00DD1FDE" w:rsidP="00BE0D33">
            <w:pPr>
              <w:pStyle w:val="Teksttabelisrodek"/>
            </w:pPr>
            <w:r w:rsidRPr="00795F17">
              <w:t>18</w:t>
            </w:r>
            <w:r w:rsidR="00CF0336" w:rsidRPr="00795F17">
              <w:t>.</w:t>
            </w:r>
          </w:p>
        </w:tc>
        <w:tc>
          <w:tcPr>
            <w:tcW w:w="1238" w:type="pct"/>
            <w:vAlign w:val="center"/>
          </w:tcPr>
          <w:p w14:paraId="373093D0" w14:textId="7455CCA8" w:rsidR="00DD1FDE" w:rsidRPr="00795F17" w:rsidRDefault="00DD1FDE" w:rsidP="005842B5">
            <w:pPr>
              <w:pStyle w:val="Teksttabelilewy"/>
            </w:pPr>
            <w:r w:rsidRPr="00795F17">
              <w:t>Rozdział 13.10</w:t>
            </w:r>
          </w:p>
        </w:tc>
        <w:tc>
          <w:tcPr>
            <w:tcW w:w="1948" w:type="pct"/>
            <w:vAlign w:val="center"/>
            <w:hideMark/>
          </w:tcPr>
          <w:p w14:paraId="5DA36AC0" w14:textId="67B466E8" w:rsidR="00DD1FDE" w:rsidRPr="00795F17" w:rsidRDefault="00DD1FDE" w:rsidP="005842B5">
            <w:pPr>
              <w:pStyle w:val="Teksttabelilewy"/>
            </w:pPr>
            <w:r w:rsidRPr="00795F17">
              <w:t>§2 ust. 1 pkt 22, 25, 26 </w:t>
            </w:r>
            <w:r w:rsidR="00E67AA8" w:rsidRPr="00795F17">
              <w:t>r.p.g.w.</w:t>
            </w:r>
          </w:p>
        </w:tc>
        <w:tc>
          <w:tcPr>
            <w:tcW w:w="1465" w:type="pct"/>
            <w:vAlign w:val="center"/>
            <w:hideMark/>
          </w:tcPr>
          <w:p w14:paraId="61433FEF" w14:textId="006423F7" w:rsidR="00DD1FDE" w:rsidRPr="00795F17" w:rsidRDefault="00DD1FDE" w:rsidP="005842B5">
            <w:pPr>
              <w:pStyle w:val="Teksttabelilewy"/>
            </w:pPr>
            <w:r w:rsidRPr="00795F17">
              <w:t>art. 318 ust. 1 pkt 17 </w:t>
            </w:r>
            <w:r w:rsidR="00805195" w:rsidRPr="00795F17">
              <w:t>pr.w.</w:t>
            </w:r>
          </w:p>
        </w:tc>
      </w:tr>
      <w:tr w:rsidR="00DD1FDE" w:rsidRPr="00795F17" w14:paraId="3C8B9EF4" w14:textId="77777777" w:rsidTr="00544256">
        <w:trPr>
          <w:trHeight w:val="454"/>
        </w:trPr>
        <w:tc>
          <w:tcPr>
            <w:tcW w:w="349" w:type="pct"/>
            <w:vAlign w:val="center"/>
            <w:hideMark/>
          </w:tcPr>
          <w:p w14:paraId="3B64ED27" w14:textId="5561285B" w:rsidR="00DD1FDE" w:rsidRPr="00795F17" w:rsidRDefault="00DD1FDE" w:rsidP="00BE0D33">
            <w:pPr>
              <w:pStyle w:val="Teksttabelisrodek"/>
            </w:pPr>
            <w:r w:rsidRPr="00795F17">
              <w:t>19</w:t>
            </w:r>
            <w:r w:rsidR="00CF0336" w:rsidRPr="00795F17">
              <w:t>.</w:t>
            </w:r>
          </w:p>
        </w:tc>
        <w:tc>
          <w:tcPr>
            <w:tcW w:w="1238" w:type="pct"/>
            <w:vAlign w:val="center"/>
          </w:tcPr>
          <w:p w14:paraId="29EABDD2" w14:textId="1A9950F4" w:rsidR="00DD1FDE" w:rsidRPr="00795F17" w:rsidRDefault="00DD1FDE" w:rsidP="005842B5">
            <w:pPr>
              <w:pStyle w:val="Teksttabelilewy"/>
            </w:pPr>
            <w:r w:rsidRPr="00795F17">
              <w:t>Rozdział 19</w:t>
            </w:r>
          </w:p>
        </w:tc>
        <w:tc>
          <w:tcPr>
            <w:tcW w:w="1948" w:type="pct"/>
            <w:vAlign w:val="center"/>
            <w:hideMark/>
          </w:tcPr>
          <w:p w14:paraId="2D80F429" w14:textId="482D7499" w:rsidR="00DD1FDE" w:rsidRPr="00795F17" w:rsidRDefault="00DD1FDE" w:rsidP="005842B5">
            <w:pPr>
              <w:pStyle w:val="Teksttabelilewy"/>
            </w:pPr>
            <w:r w:rsidRPr="00795F17">
              <w:t>§2 ust. 1 pkt 27 </w:t>
            </w:r>
            <w:r w:rsidR="00E67AA8" w:rsidRPr="00795F17">
              <w:t>r.p.g.w.</w:t>
            </w:r>
          </w:p>
        </w:tc>
        <w:tc>
          <w:tcPr>
            <w:tcW w:w="1465" w:type="pct"/>
            <w:vAlign w:val="center"/>
            <w:hideMark/>
          </w:tcPr>
          <w:p w14:paraId="47239EB0" w14:textId="3771312B" w:rsidR="00DD1FDE" w:rsidRPr="00795F17" w:rsidRDefault="00DD1FDE" w:rsidP="005842B5">
            <w:pPr>
              <w:pStyle w:val="Teksttabelilewy"/>
            </w:pPr>
            <w:r w:rsidRPr="00795F17">
              <w:t>art. 318 ust. 1 pkt 18 </w:t>
            </w:r>
            <w:r w:rsidR="00805195" w:rsidRPr="00795F17">
              <w:t>pr.w.</w:t>
            </w:r>
          </w:p>
        </w:tc>
      </w:tr>
      <w:tr w:rsidR="00DD1FDE" w:rsidRPr="00795F17" w14:paraId="77D22443" w14:textId="77777777" w:rsidTr="00544256">
        <w:trPr>
          <w:trHeight w:val="454"/>
        </w:trPr>
        <w:tc>
          <w:tcPr>
            <w:tcW w:w="349" w:type="pct"/>
            <w:vAlign w:val="center"/>
            <w:hideMark/>
          </w:tcPr>
          <w:p w14:paraId="535DC863" w14:textId="0B5601C1" w:rsidR="00DD1FDE" w:rsidRPr="00795F17" w:rsidRDefault="00DD1FDE" w:rsidP="00BE0D33">
            <w:pPr>
              <w:pStyle w:val="Teksttabelisrodek"/>
            </w:pPr>
            <w:r w:rsidRPr="00795F17">
              <w:t>20</w:t>
            </w:r>
            <w:r w:rsidR="00CF0336" w:rsidRPr="00795F17">
              <w:t>.</w:t>
            </w:r>
          </w:p>
        </w:tc>
        <w:tc>
          <w:tcPr>
            <w:tcW w:w="1238" w:type="pct"/>
            <w:vAlign w:val="center"/>
          </w:tcPr>
          <w:p w14:paraId="4FDD5E52" w14:textId="06C3674D" w:rsidR="00DD1FDE" w:rsidRPr="00795F17" w:rsidRDefault="00DD1FDE" w:rsidP="005842B5">
            <w:pPr>
              <w:pStyle w:val="Teksttabelilewy"/>
            </w:pPr>
            <w:r w:rsidRPr="00795F17">
              <w:t>Rozdział 20</w:t>
            </w:r>
          </w:p>
        </w:tc>
        <w:tc>
          <w:tcPr>
            <w:tcW w:w="1948" w:type="pct"/>
            <w:vAlign w:val="center"/>
            <w:hideMark/>
          </w:tcPr>
          <w:p w14:paraId="7A786041" w14:textId="0E30D1F1" w:rsidR="00DD1FDE" w:rsidRPr="00795F17" w:rsidRDefault="00DD1FDE" w:rsidP="005842B5">
            <w:pPr>
              <w:pStyle w:val="Teksttabelilewy"/>
            </w:pPr>
            <w:r w:rsidRPr="00795F17">
              <w:t>§2 ust. 1 pkt 28 </w:t>
            </w:r>
            <w:r w:rsidR="00E67AA8" w:rsidRPr="00795F17">
              <w:t>r.p.g.w.</w:t>
            </w:r>
          </w:p>
        </w:tc>
        <w:tc>
          <w:tcPr>
            <w:tcW w:w="1465" w:type="pct"/>
            <w:vAlign w:val="center"/>
            <w:hideMark/>
          </w:tcPr>
          <w:p w14:paraId="7711901A" w14:textId="75D67DF8" w:rsidR="00DD1FDE" w:rsidRPr="00795F17" w:rsidRDefault="00DD1FDE" w:rsidP="005842B5">
            <w:pPr>
              <w:pStyle w:val="Teksttabelilewy"/>
            </w:pPr>
            <w:r w:rsidRPr="00795F17">
              <w:t>art. 318 ust. 1 pkt 19 </w:t>
            </w:r>
            <w:r w:rsidR="00805195" w:rsidRPr="00795F17">
              <w:t>pr.w.</w:t>
            </w:r>
          </w:p>
        </w:tc>
      </w:tr>
      <w:tr w:rsidR="00DD1FDE" w:rsidRPr="00795F17" w14:paraId="3477CCB4" w14:textId="77777777" w:rsidTr="00544256">
        <w:trPr>
          <w:trHeight w:val="454"/>
        </w:trPr>
        <w:tc>
          <w:tcPr>
            <w:tcW w:w="349" w:type="pct"/>
            <w:vAlign w:val="center"/>
            <w:hideMark/>
          </w:tcPr>
          <w:p w14:paraId="53C6110E" w14:textId="7D8E02A8" w:rsidR="00DD1FDE" w:rsidRPr="00795F17" w:rsidRDefault="00DD1FDE" w:rsidP="00BE0D33">
            <w:pPr>
              <w:pStyle w:val="Teksttabelisrodek"/>
            </w:pPr>
            <w:r w:rsidRPr="00795F17">
              <w:t>21</w:t>
            </w:r>
            <w:r w:rsidR="00CF0336" w:rsidRPr="00795F17">
              <w:t>.</w:t>
            </w:r>
          </w:p>
        </w:tc>
        <w:tc>
          <w:tcPr>
            <w:tcW w:w="1238" w:type="pct"/>
            <w:vAlign w:val="center"/>
          </w:tcPr>
          <w:p w14:paraId="70892385" w14:textId="115EB377" w:rsidR="00DD1FDE" w:rsidRPr="00795F17" w:rsidRDefault="00DD1FDE" w:rsidP="005842B5">
            <w:pPr>
              <w:pStyle w:val="Teksttabelilewy"/>
            </w:pPr>
            <w:r w:rsidRPr="00795F17">
              <w:t>Rozdział 21</w:t>
            </w:r>
          </w:p>
        </w:tc>
        <w:tc>
          <w:tcPr>
            <w:tcW w:w="1948" w:type="pct"/>
            <w:vAlign w:val="center"/>
            <w:hideMark/>
          </w:tcPr>
          <w:p w14:paraId="58249290" w14:textId="5AAA0A9B" w:rsidR="00DD1FDE" w:rsidRPr="00795F17" w:rsidRDefault="00DD1FDE" w:rsidP="005842B5">
            <w:pPr>
              <w:pStyle w:val="Teksttabelilewy"/>
            </w:pPr>
            <w:r w:rsidRPr="00795F17">
              <w:t>§2 ust. 1 pkt 29 </w:t>
            </w:r>
            <w:r w:rsidR="00E67AA8" w:rsidRPr="00795F17">
              <w:t>r.p.g.w.</w:t>
            </w:r>
          </w:p>
        </w:tc>
        <w:tc>
          <w:tcPr>
            <w:tcW w:w="1465" w:type="pct"/>
            <w:vAlign w:val="center"/>
            <w:hideMark/>
          </w:tcPr>
          <w:p w14:paraId="0E1771DC" w14:textId="0E5EBD78" w:rsidR="00DD1FDE" w:rsidRPr="00795F17" w:rsidRDefault="00DD1FDE" w:rsidP="005842B5">
            <w:pPr>
              <w:pStyle w:val="Teksttabelilewy"/>
            </w:pPr>
            <w:r w:rsidRPr="00795F17">
              <w:t>art. 318 ust. 1 pkt 20 </w:t>
            </w:r>
            <w:r w:rsidR="00805195" w:rsidRPr="00795F17">
              <w:t>pr.w.</w:t>
            </w:r>
          </w:p>
        </w:tc>
      </w:tr>
      <w:tr w:rsidR="00DD1FDE" w:rsidRPr="00795F17" w14:paraId="3B316715" w14:textId="77777777" w:rsidTr="00544256">
        <w:trPr>
          <w:trHeight w:val="454"/>
        </w:trPr>
        <w:tc>
          <w:tcPr>
            <w:tcW w:w="349" w:type="pct"/>
            <w:vAlign w:val="center"/>
            <w:hideMark/>
          </w:tcPr>
          <w:p w14:paraId="72F4EFAD" w14:textId="4C08D40D" w:rsidR="00DD1FDE" w:rsidRPr="00795F17" w:rsidRDefault="00DD1FDE" w:rsidP="00BE0D33">
            <w:pPr>
              <w:pStyle w:val="Teksttabelisrodek"/>
            </w:pPr>
            <w:r w:rsidRPr="00795F17">
              <w:t>22</w:t>
            </w:r>
            <w:r w:rsidR="00CF0336" w:rsidRPr="00795F17">
              <w:t>.</w:t>
            </w:r>
          </w:p>
        </w:tc>
        <w:tc>
          <w:tcPr>
            <w:tcW w:w="1238" w:type="pct"/>
            <w:vAlign w:val="center"/>
          </w:tcPr>
          <w:p w14:paraId="399BBB55" w14:textId="7917A26F" w:rsidR="00DD1FDE" w:rsidRPr="00795F17" w:rsidRDefault="00DD1FDE" w:rsidP="005842B5">
            <w:pPr>
              <w:pStyle w:val="Teksttabelilewy"/>
            </w:pPr>
            <w:r w:rsidRPr="00795F17">
              <w:t>Rozdział 23</w:t>
            </w:r>
          </w:p>
        </w:tc>
        <w:tc>
          <w:tcPr>
            <w:tcW w:w="1948" w:type="pct"/>
            <w:vAlign w:val="center"/>
            <w:hideMark/>
          </w:tcPr>
          <w:p w14:paraId="266E6C8B" w14:textId="052B88E4" w:rsidR="00DD1FDE" w:rsidRPr="00795F17" w:rsidRDefault="00DD1FDE" w:rsidP="005842B5">
            <w:pPr>
              <w:pStyle w:val="Teksttabelilewy"/>
            </w:pPr>
            <w:r w:rsidRPr="00795F17">
              <w:t>§2 ust. 1 pkt 30 </w:t>
            </w:r>
            <w:r w:rsidR="00E67AA8" w:rsidRPr="00795F17">
              <w:t>r.p.g.w.</w:t>
            </w:r>
          </w:p>
        </w:tc>
        <w:tc>
          <w:tcPr>
            <w:tcW w:w="1465" w:type="pct"/>
            <w:vAlign w:val="center"/>
            <w:hideMark/>
          </w:tcPr>
          <w:p w14:paraId="7546E0F7" w14:textId="3E34B211" w:rsidR="00DD1FDE" w:rsidRPr="00795F17" w:rsidRDefault="00DD1FDE" w:rsidP="005842B5">
            <w:pPr>
              <w:pStyle w:val="Teksttabelilewy"/>
            </w:pPr>
            <w:r w:rsidRPr="00795F17">
              <w:t>art. 318 ust. 1 pkt 21 </w:t>
            </w:r>
            <w:r w:rsidR="00805195" w:rsidRPr="00795F17">
              <w:t>pr.w.</w:t>
            </w:r>
          </w:p>
        </w:tc>
      </w:tr>
      <w:tr w:rsidR="00DD1FDE" w:rsidRPr="00795F17" w14:paraId="7252CEB4" w14:textId="77777777" w:rsidTr="00544256">
        <w:trPr>
          <w:trHeight w:val="454"/>
        </w:trPr>
        <w:tc>
          <w:tcPr>
            <w:tcW w:w="349" w:type="pct"/>
            <w:vAlign w:val="center"/>
            <w:hideMark/>
          </w:tcPr>
          <w:p w14:paraId="714C5423" w14:textId="09BBDBA8" w:rsidR="00DD1FDE" w:rsidRPr="00795F17" w:rsidRDefault="00DD1FDE" w:rsidP="00BE0D33">
            <w:pPr>
              <w:pStyle w:val="Teksttabelisrodek"/>
            </w:pPr>
            <w:r w:rsidRPr="00795F17">
              <w:t>23</w:t>
            </w:r>
            <w:r w:rsidR="00CF0336" w:rsidRPr="00795F17">
              <w:t>.</w:t>
            </w:r>
          </w:p>
        </w:tc>
        <w:tc>
          <w:tcPr>
            <w:tcW w:w="1238" w:type="pct"/>
            <w:vAlign w:val="center"/>
          </w:tcPr>
          <w:p w14:paraId="1844B5CF" w14:textId="1ABF8419" w:rsidR="00DD1FDE" w:rsidRPr="00795F17" w:rsidRDefault="00DD1FDE" w:rsidP="005842B5">
            <w:pPr>
              <w:pStyle w:val="Teksttabelilewy"/>
            </w:pPr>
            <w:r w:rsidRPr="00795F17">
              <w:t>Rozdział 16</w:t>
            </w:r>
          </w:p>
        </w:tc>
        <w:tc>
          <w:tcPr>
            <w:tcW w:w="1948" w:type="pct"/>
            <w:vAlign w:val="center"/>
            <w:hideMark/>
          </w:tcPr>
          <w:p w14:paraId="1EFF79AD" w14:textId="1BEDC166" w:rsidR="00DD1FDE" w:rsidRPr="00795F17" w:rsidRDefault="00DD1FDE" w:rsidP="005842B5">
            <w:pPr>
              <w:pStyle w:val="Teksttabelilewy"/>
            </w:pPr>
            <w:r w:rsidRPr="00795F17">
              <w:t>§2 ust. 1 pkt 31 </w:t>
            </w:r>
            <w:r w:rsidR="00E67AA8" w:rsidRPr="00795F17">
              <w:t>r.p.g.w.</w:t>
            </w:r>
          </w:p>
        </w:tc>
        <w:tc>
          <w:tcPr>
            <w:tcW w:w="1465" w:type="pct"/>
            <w:vAlign w:val="center"/>
            <w:hideMark/>
          </w:tcPr>
          <w:p w14:paraId="49EBB385" w14:textId="466511AF" w:rsidR="00DD1FDE" w:rsidRPr="00795F17" w:rsidRDefault="00DD1FDE" w:rsidP="005842B5">
            <w:pPr>
              <w:pStyle w:val="Teksttabelilewy"/>
            </w:pPr>
            <w:r w:rsidRPr="00795F17">
              <w:t>art. 318 ust. 1 pkt 22 </w:t>
            </w:r>
            <w:r w:rsidR="00805195" w:rsidRPr="00795F17">
              <w:t>pr.w.</w:t>
            </w:r>
          </w:p>
        </w:tc>
      </w:tr>
      <w:tr w:rsidR="00DD1FDE" w:rsidRPr="00795F17" w14:paraId="353AD55C" w14:textId="77777777" w:rsidTr="00544256">
        <w:trPr>
          <w:trHeight w:val="454"/>
        </w:trPr>
        <w:tc>
          <w:tcPr>
            <w:tcW w:w="349" w:type="pct"/>
            <w:vAlign w:val="center"/>
            <w:hideMark/>
          </w:tcPr>
          <w:p w14:paraId="6DD0C3FA" w14:textId="06E662D9" w:rsidR="00DD1FDE" w:rsidRPr="00795F17" w:rsidRDefault="00DD1FDE" w:rsidP="00BE0D33">
            <w:pPr>
              <w:pStyle w:val="Teksttabelisrodek"/>
            </w:pPr>
            <w:r w:rsidRPr="00795F17">
              <w:t>24</w:t>
            </w:r>
            <w:r w:rsidR="00CF0336" w:rsidRPr="00795F17">
              <w:t>.</w:t>
            </w:r>
          </w:p>
        </w:tc>
        <w:tc>
          <w:tcPr>
            <w:tcW w:w="1238" w:type="pct"/>
            <w:vAlign w:val="center"/>
          </w:tcPr>
          <w:p w14:paraId="7CFB3FEF" w14:textId="403B6BA7" w:rsidR="00DD1FDE" w:rsidRPr="00795F17" w:rsidRDefault="00DD1FDE" w:rsidP="005842B5">
            <w:pPr>
              <w:pStyle w:val="Teksttabelilewy"/>
            </w:pPr>
            <w:r w:rsidRPr="00795F17">
              <w:t>Rozdział 14</w:t>
            </w:r>
          </w:p>
        </w:tc>
        <w:tc>
          <w:tcPr>
            <w:tcW w:w="1948" w:type="pct"/>
            <w:vAlign w:val="center"/>
            <w:hideMark/>
          </w:tcPr>
          <w:p w14:paraId="4DD0A63D" w14:textId="0F02D1E9" w:rsidR="00DD1FDE" w:rsidRPr="00795F17" w:rsidRDefault="00DD1FDE" w:rsidP="005842B5">
            <w:pPr>
              <w:pStyle w:val="Teksttabelilewy"/>
            </w:pPr>
            <w:r w:rsidRPr="00795F17">
              <w:t>§2 ust. 1 pkt 23 </w:t>
            </w:r>
            <w:r w:rsidR="00E67AA8" w:rsidRPr="00795F17">
              <w:t>r.p.g.w.</w:t>
            </w:r>
          </w:p>
        </w:tc>
        <w:tc>
          <w:tcPr>
            <w:tcW w:w="1465" w:type="pct"/>
            <w:vAlign w:val="center"/>
            <w:hideMark/>
          </w:tcPr>
          <w:p w14:paraId="58865A16" w14:textId="57DF8A7B" w:rsidR="00DD1FDE" w:rsidRPr="00795F17" w:rsidRDefault="00DD1FDE" w:rsidP="005842B5">
            <w:pPr>
              <w:pStyle w:val="Teksttabelilewy"/>
            </w:pPr>
            <w:r w:rsidRPr="00795F17">
              <w:t>art. 318 ust. 1 pkt 23 </w:t>
            </w:r>
            <w:r w:rsidR="00805195" w:rsidRPr="00795F17">
              <w:t>pr.w.</w:t>
            </w:r>
          </w:p>
        </w:tc>
      </w:tr>
      <w:tr w:rsidR="00DD1FDE" w:rsidRPr="00795F17" w14:paraId="4DED9148" w14:textId="77777777" w:rsidTr="00544256">
        <w:trPr>
          <w:trHeight w:val="454"/>
        </w:trPr>
        <w:tc>
          <w:tcPr>
            <w:tcW w:w="349" w:type="pct"/>
            <w:vAlign w:val="center"/>
            <w:hideMark/>
          </w:tcPr>
          <w:p w14:paraId="2D17FC52" w14:textId="4F6AD5C1" w:rsidR="00DD1FDE" w:rsidRPr="00795F17" w:rsidRDefault="00DD1FDE" w:rsidP="00BE0D33">
            <w:pPr>
              <w:pStyle w:val="Teksttabelisrodek"/>
            </w:pPr>
            <w:r w:rsidRPr="00795F17">
              <w:t>25</w:t>
            </w:r>
            <w:r w:rsidR="00CF0336" w:rsidRPr="00795F17">
              <w:t>.</w:t>
            </w:r>
          </w:p>
        </w:tc>
        <w:tc>
          <w:tcPr>
            <w:tcW w:w="1238" w:type="pct"/>
            <w:vAlign w:val="center"/>
          </w:tcPr>
          <w:p w14:paraId="0C379DB9" w14:textId="429DC4D4" w:rsidR="00DD1FDE" w:rsidRPr="00795F17" w:rsidRDefault="00DD1FDE" w:rsidP="005842B5">
            <w:pPr>
              <w:pStyle w:val="Teksttabelilewy"/>
            </w:pPr>
            <w:r w:rsidRPr="00795F17">
              <w:t>Rozdział 15</w:t>
            </w:r>
          </w:p>
        </w:tc>
        <w:tc>
          <w:tcPr>
            <w:tcW w:w="1948" w:type="pct"/>
            <w:vAlign w:val="center"/>
            <w:hideMark/>
          </w:tcPr>
          <w:p w14:paraId="4CAA8412" w14:textId="5A352BD8" w:rsidR="00DD1FDE" w:rsidRPr="00795F17" w:rsidRDefault="00DD1FDE" w:rsidP="005842B5">
            <w:pPr>
              <w:pStyle w:val="Teksttabelilewy"/>
            </w:pPr>
            <w:r w:rsidRPr="00795F17">
              <w:t>§2 ust. 1 pkt 24 </w:t>
            </w:r>
            <w:r w:rsidR="00E67AA8" w:rsidRPr="00795F17">
              <w:t>r.p.g.w.</w:t>
            </w:r>
          </w:p>
        </w:tc>
        <w:tc>
          <w:tcPr>
            <w:tcW w:w="1465" w:type="pct"/>
            <w:vAlign w:val="center"/>
            <w:hideMark/>
          </w:tcPr>
          <w:p w14:paraId="4499736A" w14:textId="172ECCE1" w:rsidR="00DD1FDE" w:rsidRPr="00795F17" w:rsidRDefault="00DD1FDE" w:rsidP="005842B5">
            <w:pPr>
              <w:pStyle w:val="Teksttabelilewy"/>
            </w:pPr>
            <w:r w:rsidRPr="00795F17">
              <w:t>art. 318 ust. 1 pkt 24 </w:t>
            </w:r>
            <w:r w:rsidR="00805195" w:rsidRPr="00795F17">
              <w:t>pr.w.</w:t>
            </w:r>
          </w:p>
        </w:tc>
      </w:tr>
      <w:tr w:rsidR="00DD1FDE" w:rsidRPr="00795F17" w14:paraId="687E86FF" w14:textId="77777777" w:rsidTr="00544256">
        <w:trPr>
          <w:trHeight w:val="454"/>
        </w:trPr>
        <w:tc>
          <w:tcPr>
            <w:tcW w:w="349" w:type="pct"/>
            <w:vAlign w:val="center"/>
            <w:hideMark/>
          </w:tcPr>
          <w:p w14:paraId="2DEB66F3" w14:textId="50972C6C" w:rsidR="00DD1FDE" w:rsidRPr="00795F17" w:rsidRDefault="00DD1FDE" w:rsidP="00BE0D33">
            <w:pPr>
              <w:pStyle w:val="Teksttabelisrodek"/>
            </w:pPr>
            <w:r w:rsidRPr="00795F17">
              <w:t>26</w:t>
            </w:r>
            <w:r w:rsidR="00CF0336" w:rsidRPr="00795F17">
              <w:t>.</w:t>
            </w:r>
          </w:p>
        </w:tc>
        <w:tc>
          <w:tcPr>
            <w:tcW w:w="1238" w:type="pct"/>
            <w:vAlign w:val="center"/>
          </w:tcPr>
          <w:p w14:paraId="3AD9526B" w14:textId="3994C6B8" w:rsidR="00DD1FDE" w:rsidRPr="00795F17" w:rsidRDefault="00DD1FDE" w:rsidP="005842B5">
            <w:pPr>
              <w:pStyle w:val="Teksttabelilewy"/>
            </w:pPr>
            <w:r w:rsidRPr="00795F17">
              <w:t>Rozdział 17</w:t>
            </w:r>
          </w:p>
        </w:tc>
        <w:tc>
          <w:tcPr>
            <w:tcW w:w="1948" w:type="pct"/>
            <w:vAlign w:val="center"/>
            <w:hideMark/>
          </w:tcPr>
          <w:p w14:paraId="3E3B9A0E" w14:textId="5DD49B05" w:rsidR="00DD1FDE" w:rsidRPr="00795F17" w:rsidRDefault="00DD1FDE" w:rsidP="005842B5">
            <w:pPr>
              <w:pStyle w:val="Teksttabelilewy"/>
            </w:pPr>
            <w:r w:rsidRPr="00795F17">
              <w:t>§2 ust. 1 pkt 32 </w:t>
            </w:r>
            <w:r w:rsidR="00E67AA8" w:rsidRPr="00795F17">
              <w:t>r.p.g.w.</w:t>
            </w:r>
          </w:p>
        </w:tc>
        <w:tc>
          <w:tcPr>
            <w:tcW w:w="1465" w:type="pct"/>
            <w:vAlign w:val="center"/>
            <w:hideMark/>
          </w:tcPr>
          <w:p w14:paraId="0F91D3FF" w14:textId="577B091F" w:rsidR="00DD1FDE" w:rsidRPr="00795F17" w:rsidRDefault="00DD1FDE" w:rsidP="005842B5">
            <w:pPr>
              <w:pStyle w:val="Teksttabelilewy"/>
            </w:pPr>
            <w:r w:rsidRPr="00795F17">
              <w:t>art. 318 ust. 2 pkt 1 </w:t>
            </w:r>
            <w:r w:rsidR="00805195" w:rsidRPr="00795F17">
              <w:t>pr.w.</w:t>
            </w:r>
          </w:p>
        </w:tc>
      </w:tr>
      <w:tr w:rsidR="00DD1FDE" w:rsidRPr="00795F17" w14:paraId="5DE25C05" w14:textId="77777777" w:rsidTr="00544256">
        <w:trPr>
          <w:trHeight w:val="454"/>
        </w:trPr>
        <w:tc>
          <w:tcPr>
            <w:tcW w:w="349" w:type="pct"/>
            <w:vAlign w:val="center"/>
            <w:hideMark/>
          </w:tcPr>
          <w:p w14:paraId="590DC8AA" w14:textId="529006DF" w:rsidR="00DD1FDE" w:rsidRPr="00795F17" w:rsidRDefault="00DD1FDE" w:rsidP="00BE0D33">
            <w:pPr>
              <w:pStyle w:val="Teksttabelisrodek"/>
            </w:pPr>
            <w:r w:rsidRPr="00795F17">
              <w:t>27</w:t>
            </w:r>
            <w:r w:rsidR="00CF0336" w:rsidRPr="00795F17">
              <w:t>.</w:t>
            </w:r>
          </w:p>
        </w:tc>
        <w:tc>
          <w:tcPr>
            <w:tcW w:w="1238" w:type="pct"/>
            <w:vAlign w:val="center"/>
          </w:tcPr>
          <w:p w14:paraId="00D80E68" w14:textId="1B98422F" w:rsidR="00DD1FDE" w:rsidRPr="00795F17" w:rsidRDefault="00DD1FDE" w:rsidP="005842B5">
            <w:pPr>
              <w:pStyle w:val="Teksttabelilewy"/>
            </w:pPr>
            <w:r w:rsidRPr="00795F17">
              <w:t>Rozdział 18</w:t>
            </w:r>
          </w:p>
        </w:tc>
        <w:tc>
          <w:tcPr>
            <w:tcW w:w="1948" w:type="pct"/>
            <w:vAlign w:val="center"/>
            <w:hideMark/>
          </w:tcPr>
          <w:p w14:paraId="7BAD6DCA" w14:textId="3DE0E768" w:rsidR="00DD1FDE" w:rsidRPr="00795F17" w:rsidRDefault="00DD1FDE" w:rsidP="005842B5">
            <w:pPr>
              <w:pStyle w:val="Teksttabelilewy"/>
            </w:pPr>
            <w:r w:rsidRPr="00795F17">
              <w:t>§2 ust. 1 pkt 33 </w:t>
            </w:r>
            <w:r w:rsidR="00E67AA8" w:rsidRPr="00795F17">
              <w:t>r.p.g.w.</w:t>
            </w:r>
          </w:p>
        </w:tc>
        <w:tc>
          <w:tcPr>
            <w:tcW w:w="1465" w:type="pct"/>
            <w:vAlign w:val="center"/>
            <w:hideMark/>
          </w:tcPr>
          <w:p w14:paraId="4759DF8F" w14:textId="44A4B534" w:rsidR="00DD1FDE" w:rsidRPr="00795F17" w:rsidRDefault="00DD1FDE" w:rsidP="005842B5">
            <w:pPr>
              <w:pStyle w:val="Teksttabelilewy"/>
            </w:pPr>
            <w:r w:rsidRPr="00795F17">
              <w:t>art. 318 ust. 2 pkt 2 </w:t>
            </w:r>
            <w:r w:rsidR="00805195" w:rsidRPr="00795F17">
              <w:t>pr.w.</w:t>
            </w:r>
          </w:p>
        </w:tc>
      </w:tr>
      <w:tr w:rsidR="00DD1FDE" w:rsidRPr="00795F17" w14:paraId="21F9663D" w14:textId="77777777" w:rsidTr="00544256">
        <w:trPr>
          <w:trHeight w:val="454"/>
        </w:trPr>
        <w:tc>
          <w:tcPr>
            <w:tcW w:w="349" w:type="pct"/>
            <w:vAlign w:val="center"/>
            <w:hideMark/>
          </w:tcPr>
          <w:p w14:paraId="4FF11B4F" w14:textId="7A647878" w:rsidR="00DD1FDE" w:rsidRPr="00795F17" w:rsidRDefault="00DD1FDE" w:rsidP="00BE0D33">
            <w:pPr>
              <w:pStyle w:val="Teksttabelisrodek"/>
            </w:pPr>
            <w:r w:rsidRPr="00795F17">
              <w:t>28</w:t>
            </w:r>
            <w:r w:rsidR="00CF0336" w:rsidRPr="00795F17">
              <w:t>.</w:t>
            </w:r>
          </w:p>
        </w:tc>
        <w:tc>
          <w:tcPr>
            <w:tcW w:w="1238" w:type="pct"/>
            <w:vAlign w:val="center"/>
          </w:tcPr>
          <w:p w14:paraId="6FB18A53" w14:textId="3B2FC789" w:rsidR="00DD1FDE" w:rsidRPr="00795F17" w:rsidRDefault="00DD1FDE" w:rsidP="005842B5">
            <w:pPr>
              <w:pStyle w:val="Teksttabelilewy"/>
            </w:pPr>
            <w:r w:rsidRPr="00795F17">
              <w:t>Rozdział 23</w:t>
            </w:r>
          </w:p>
        </w:tc>
        <w:tc>
          <w:tcPr>
            <w:tcW w:w="1948" w:type="pct"/>
            <w:vAlign w:val="center"/>
            <w:hideMark/>
          </w:tcPr>
          <w:p w14:paraId="0914902F" w14:textId="2607D7F4" w:rsidR="00DD1FDE" w:rsidRPr="00795F17" w:rsidRDefault="00DD1FDE" w:rsidP="005842B5">
            <w:pPr>
              <w:pStyle w:val="Teksttabelilewy"/>
            </w:pPr>
            <w:r w:rsidRPr="00795F17">
              <w:t>§2 ust. 1 pkt 34 </w:t>
            </w:r>
            <w:r w:rsidR="00E67AA8" w:rsidRPr="00795F17">
              <w:t>r.p.g.w.</w:t>
            </w:r>
          </w:p>
        </w:tc>
        <w:tc>
          <w:tcPr>
            <w:tcW w:w="1465" w:type="pct"/>
            <w:vAlign w:val="center"/>
            <w:hideMark/>
          </w:tcPr>
          <w:p w14:paraId="74EC22A1" w14:textId="0E0FF04C" w:rsidR="00DD1FDE" w:rsidRPr="00795F17" w:rsidRDefault="00DD1FDE" w:rsidP="005842B5">
            <w:pPr>
              <w:pStyle w:val="Teksttabelilewy"/>
            </w:pPr>
            <w:r w:rsidRPr="00795F17">
              <w:t>art. 318 ust. 6 pkt 1 </w:t>
            </w:r>
            <w:r w:rsidR="00805195" w:rsidRPr="00795F17">
              <w:t>pr.w.</w:t>
            </w:r>
          </w:p>
        </w:tc>
      </w:tr>
      <w:tr w:rsidR="00DD1FDE" w:rsidRPr="00795F17" w14:paraId="117BAFEF" w14:textId="77777777" w:rsidTr="00544256">
        <w:trPr>
          <w:trHeight w:val="454"/>
        </w:trPr>
        <w:tc>
          <w:tcPr>
            <w:tcW w:w="349" w:type="pct"/>
            <w:vAlign w:val="center"/>
            <w:hideMark/>
          </w:tcPr>
          <w:p w14:paraId="77D3ED6D" w14:textId="7B6E7D2A" w:rsidR="00DD1FDE" w:rsidRPr="00795F17" w:rsidRDefault="00DD1FDE" w:rsidP="00BE0D33">
            <w:pPr>
              <w:pStyle w:val="Teksttabelisrodek"/>
            </w:pPr>
            <w:r w:rsidRPr="00795F17">
              <w:t>29</w:t>
            </w:r>
            <w:r w:rsidR="00CF0336" w:rsidRPr="00795F17">
              <w:t>.</w:t>
            </w:r>
          </w:p>
        </w:tc>
        <w:tc>
          <w:tcPr>
            <w:tcW w:w="1238" w:type="pct"/>
            <w:vAlign w:val="center"/>
          </w:tcPr>
          <w:p w14:paraId="18486271" w14:textId="3306B108" w:rsidR="00DD1FDE" w:rsidRPr="00795F17" w:rsidRDefault="00DD1FDE" w:rsidP="005842B5">
            <w:pPr>
              <w:pStyle w:val="Teksttabelilewy"/>
            </w:pPr>
            <w:r w:rsidRPr="00795F17">
              <w:t>Rozdział 9</w:t>
            </w:r>
          </w:p>
        </w:tc>
        <w:tc>
          <w:tcPr>
            <w:tcW w:w="1948" w:type="pct"/>
            <w:vAlign w:val="center"/>
            <w:hideMark/>
          </w:tcPr>
          <w:p w14:paraId="2BF535A2" w14:textId="5D5EB7A2" w:rsidR="00DD1FDE" w:rsidRPr="00795F17" w:rsidRDefault="00DD1FDE" w:rsidP="005842B5">
            <w:pPr>
              <w:pStyle w:val="Teksttabelilewy"/>
            </w:pPr>
            <w:r w:rsidRPr="00795F17">
              <w:t>§2 ust. 1 pkt 35 </w:t>
            </w:r>
            <w:r w:rsidR="00E67AA8" w:rsidRPr="00795F17">
              <w:t>r.p.g.w.</w:t>
            </w:r>
          </w:p>
        </w:tc>
        <w:tc>
          <w:tcPr>
            <w:tcW w:w="1465" w:type="pct"/>
            <w:vAlign w:val="center"/>
            <w:hideMark/>
          </w:tcPr>
          <w:p w14:paraId="7917649C" w14:textId="63C2F61D" w:rsidR="00DD1FDE" w:rsidRPr="00795F17" w:rsidRDefault="00DD1FDE" w:rsidP="005842B5">
            <w:pPr>
              <w:pStyle w:val="Teksttabelilewy"/>
            </w:pPr>
            <w:r w:rsidRPr="00795F17">
              <w:t>art. 318 ust. 6 pkt 2 </w:t>
            </w:r>
            <w:r w:rsidR="00805195" w:rsidRPr="00795F17">
              <w:t>pr.w.</w:t>
            </w:r>
          </w:p>
        </w:tc>
      </w:tr>
      <w:tr w:rsidR="00DD1FDE" w:rsidRPr="00795F17" w14:paraId="123A8014" w14:textId="77777777" w:rsidTr="00544256">
        <w:trPr>
          <w:trHeight w:val="454"/>
        </w:trPr>
        <w:tc>
          <w:tcPr>
            <w:tcW w:w="349" w:type="pct"/>
            <w:vAlign w:val="center"/>
            <w:hideMark/>
          </w:tcPr>
          <w:p w14:paraId="51190FA8" w14:textId="58C4B1E9" w:rsidR="00DD1FDE" w:rsidRPr="00795F17" w:rsidRDefault="00DD1FDE" w:rsidP="00BE0D33">
            <w:pPr>
              <w:pStyle w:val="Teksttabelisrodek"/>
            </w:pPr>
            <w:r w:rsidRPr="00795F17">
              <w:t>30</w:t>
            </w:r>
            <w:r w:rsidR="00CF0336" w:rsidRPr="00795F17">
              <w:t>.</w:t>
            </w:r>
          </w:p>
        </w:tc>
        <w:tc>
          <w:tcPr>
            <w:tcW w:w="1238" w:type="pct"/>
            <w:vAlign w:val="center"/>
          </w:tcPr>
          <w:p w14:paraId="497A83D6" w14:textId="22C246B7" w:rsidR="00DD1FDE" w:rsidRPr="00795F17" w:rsidRDefault="00DD1FDE" w:rsidP="005842B5">
            <w:pPr>
              <w:pStyle w:val="Teksttabelilewy"/>
            </w:pPr>
            <w:r w:rsidRPr="00795F17">
              <w:t>Rozdział 10.1</w:t>
            </w:r>
          </w:p>
        </w:tc>
        <w:tc>
          <w:tcPr>
            <w:tcW w:w="1948" w:type="pct"/>
            <w:vAlign w:val="center"/>
            <w:hideMark/>
          </w:tcPr>
          <w:p w14:paraId="7C20807B" w14:textId="446032FC" w:rsidR="00DD1FDE" w:rsidRPr="00795F17" w:rsidRDefault="00DD1FDE" w:rsidP="005842B5">
            <w:pPr>
              <w:pStyle w:val="Teksttabelilewy"/>
            </w:pPr>
            <w:r w:rsidRPr="00795F17">
              <w:t>§2 ust. 1 pkt 38 </w:t>
            </w:r>
            <w:r w:rsidR="00E67AA8" w:rsidRPr="00795F17">
              <w:t>r.p.g.w.</w:t>
            </w:r>
          </w:p>
        </w:tc>
        <w:tc>
          <w:tcPr>
            <w:tcW w:w="1465" w:type="pct"/>
            <w:vAlign w:val="center"/>
            <w:hideMark/>
          </w:tcPr>
          <w:p w14:paraId="05EDE36D" w14:textId="4C6339F1" w:rsidR="00DD1FDE" w:rsidRPr="00795F17" w:rsidRDefault="00DD1FDE" w:rsidP="005842B5">
            <w:pPr>
              <w:pStyle w:val="Teksttabelilewy"/>
            </w:pPr>
            <w:r w:rsidRPr="00795F17">
              <w:t>art. 318 ust. 6 pkt 3 </w:t>
            </w:r>
            <w:r w:rsidR="00805195" w:rsidRPr="00795F17">
              <w:t>pr.w.</w:t>
            </w:r>
          </w:p>
        </w:tc>
      </w:tr>
      <w:tr w:rsidR="00DD1FDE" w:rsidRPr="00795F17" w14:paraId="137C7A99" w14:textId="77777777" w:rsidTr="00544256">
        <w:trPr>
          <w:trHeight w:val="454"/>
        </w:trPr>
        <w:tc>
          <w:tcPr>
            <w:tcW w:w="349" w:type="pct"/>
            <w:vAlign w:val="center"/>
            <w:hideMark/>
          </w:tcPr>
          <w:p w14:paraId="69502A92" w14:textId="0CEA2904" w:rsidR="00DD1FDE" w:rsidRPr="00795F17" w:rsidRDefault="00DD1FDE" w:rsidP="00BE0D33">
            <w:pPr>
              <w:pStyle w:val="Teksttabelisrodek"/>
            </w:pPr>
            <w:r w:rsidRPr="00795F17">
              <w:t>31</w:t>
            </w:r>
            <w:r w:rsidR="00CF0336" w:rsidRPr="00795F17">
              <w:t>.</w:t>
            </w:r>
          </w:p>
        </w:tc>
        <w:tc>
          <w:tcPr>
            <w:tcW w:w="1238" w:type="pct"/>
            <w:vAlign w:val="center"/>
          </w:tcPr>
          <w:p w14:paraId="437E22CB" w14:textId="121FA6E9" w:rsidR="00DD1FDE" w:rsidRPr="00795F17" w:rsidRDefault="00DD1FDE" w:rsidP="005842B5">
            <w:pPr>
              <w:pStyle w:val="Teksttabelilewy"/>
            </w:pPr>
            <w:r w:rsidRPr="00795F17">
              <w:t>Rozdział 10.2</w:t>
            </w:r>
          </w:p>
        </w:tc>
        <w:tc>
          <w:tcPr>
            <w:tcW w:w="1948" w:type="pct"/>
            <w:vAlign w:val="center"/>
            <w:hideMark/>
          </w:tcPr>
          <w:p w14:paraId="590993F8" w14:textId="011E7F93" w:rsidR="00DD1FDE" w:rsidRPr="00795F17" w:rsidRDefault="00DD1FDE" w:rsidP="005842B5">
            <w:pPr>
              <w:pStyle w:val="Teksttabelilewy"/>
            </w:pPr>
            <w:r w:rsidRPr="00795F17">
              <w:t>§2 ust. 1 pkt 36 </w:t>
            </w:r>
            <w:r w:rsidR="00E67AA8" w:rsidRPr="00795F17">
              <w:t>r.p.g.w.</w:t>
            </w:r>
          </w:p>
        </w:tc>
        <w:tc>
          <w:tcPr>
            <w:tcW w:w="1465" w:type="pct"/>
            <w:vAlign w:val="center"/>
            <w:hideMark/>
          </w:tcPr>
          <w:p w14:paraId="5F7E8335" w14:textId="0394BE1B" w:rsidR="00DD1FDE" w:rsidRPr="00795F17" w:rsidRDefault="00DD1FDE" w:rsidP="005842B5">
            <w:pPr>
              <w:pStyle w:val="Teksttabelilewy"/>
            </w:pPr>
            <w:r w:rsidRPr="00795F17">
              <w:t>art. 318 ust. 6 pkt 3 </w:t>
            </w:r>
            <w:r w:rsidR="00805195" w:rsidRPr="00795F17">
              <w:t>pr.w.</w:t>
            </w:r>
          </w:p>
        </w:tc>
      </w:tr>
      <w:tr w:rsidR="00DD1FDE" w:rsidRPr="00795F17" w14:paraId="7E7EBB7F" w14:textId="77777777" w:rsidTr="00544256">
        <w:trPr>
          <w:trHeight w:val="454"/>
        </w:trPr>
        <w:tc>
          <w:tcPr>
            <w:tcW w:w="349" w:type="pct"/>
            <w:vAlign w:val="center"/>
            <w:hideMark/>
          </w:tcPr>
          <w:p w14:paraId="2977FA1A" w14:textId="0E342B1D" w:rsidR="00DD1FDE" w:rsidRPr="00795F17" w:rsidRDefault="00DD1FDE" w:rsidP="00BE0D33">
            <w:pPr>
              <w:pStyle w:val="Teksttabelisrodek"/>
            </w:pPr>
            <w:r w:rsidRPr="00795F17">
              <w:t>32</w:t>
            </w:r>
            <w:r w:rsidR="00CF0336" w:rsidRPr="00795F17">
              <w:t>.</w:t>
            </w:r>
          </w:p>
        </w:tc>
        <w:tc>
          <w:tcPr>
            <w:tcW w:w="1238" w:type="pct"/>
            <w:vAlign w:val="center"/>
          </w:tcPr>
          <w:p w14:paraId="7AC28BF6" w14:textId="6352F69C" w:rsidR="00DD1FDE" w:rsidRPr="00795F17" w:rsidRDefault="00DD1FDE" w:rsidP="005842B5">
            <w:pPr>
              <w:pStyle w:val="Teksttabelilewy"/>
            </w:pPr>
            <w:r w:rsidRPr="00795F17">
              <w:t>Rozdział 10.3</w:t>
            </w:r>
          </w:p>
        </w:tc>
        <w:tc>
          <w:tcPr>
            <w:tcW w:w="1948" w:type="pct"/>
            <w:vAlign w:val="center"/>
            <w:hideMark/>
          </w:tcPr>
          <w:p w14:paraId="14805860" w14:textId="42902442" w:rsidR="00DD1FDE" w:rsidRPr="00795F17" w:rsidRDefault="00DD1FDE" w:rsidP="005842B5">
            <w:pPr>
              <w:pStyle w:val="Teksttabelilewy"/>
            </w:pPr>
            <w:r w:rsidRPr="00795F17">
              <w:t>§2 ust. 1 pkt 37 </w:t>
            </w:r>
            <w:r w:rsidR="00E67AA8" w:rsidRPr="00795F17">
              <w:t>r.p.g.w.</w:t>
            </w:r>
          </w:p>
        </w:tc>
        <w:tc>
          <w:tcPr>
            <w:tcW w:w="1465" w:type="pct"/>
            <w:vAlign w:val="center"/>
            <w:hideMark/>
          </w:tcPr>
          <w:p w14:paraId="1ACB2608" w14:textId="4F318C35" w:rsidR="00DD1FDE" w:rsidRPr="00795F17" w:rsidRDefault="00DD1FDE" w:rsidP="005842B5">
            <w:pPr>
              <w:pStyle w:val="Teksttabelilewy"/>
            </w:pPr>
            <w:r w:rsidRPr="00795F17">
              <w:t>art. 318 ust. 6 pkt 3 </w:t>
            </w:r>
            <w:r w:rsidR="00805195" w:rsidRPr="00795F17">
              <w:t>pr.w.</w:t>
            </w:r>
          </w:p>
        </w:tc>
      </w:tr>
      <w:tr w:rsidR="00DD1FDE" w:rsidRPr="00795F17" w14:paraId="62FC100B" w14:textId="77777777" w:rsidTr="00544256">
        <w:trPr>
          <w:trHeight w:val="454"/>
        </w:trPr>
        <w:tc>
          <w:tcPr>
            <w:tcW w:w="349" w:type="pct"/>
            <w:vAlign w:val="center"/>
            <w:hideMark/>
          </w:tcPr>
          <w:p w14:paraId="5EEBF8FC" w14:textId="0266B4E8" w:rsidR="00DD1FDE" w:rsidRPr="00795F17" w:rsidRDefault="00DD1FDE" w:rsidP="00BE0D33">
            <w:pPr>
              <w:pStyle w:val="Teksttabelisrodek"/>
            </w:pPr>
            <w:r w:rsidRPr="00795F17">
              <w:t>33</w:t>
            </w:r>
            <w:r w:rsidR="00CF0336" w:rsidRPr="00795F17">
              <w:t>.</w:t>
            </w:r>
          </w:p>
        </w:tc>
        <w:tc>
          <w:tcPr>
            <w:tcW w:w="1238" w:type="pct"/>
            <w:vAlign w:val="center"/>
          </w:tcPr>
          <w:p w14:paraId="1DBBD382" w14:textId="00CBA0D5" w:rsidR="00DD1FDE" w:rsidRPr="00795F17" w:rsidRDefault="00DD1FDE" w:rsidP="005842B5">
            <w:pPr>
              <w:pStyle w:val="Teksttabelilewy"/>
            </w:pPr>
            <w:r w:rsidRPr="00795F17">
              <w:t>Rozdział 6</w:t>
            </w:r>
          </w:p>
        </w:tc>
        <w:tc>
          <w:tcPr>
            <w:tcW w:w="1948" w:type="pct"/>
            <w:vAlign w:val="center"/>
            <w:hideMark/>
          </w:tcPr>
          <w:p w14:paraId="49ADF4A6" w14:textId="56B1E307" w:rsidR="00DD1FDE" w:rsidRPr="00795F17" w:rsidRDefault="00DD1FDE" w:rsidP="005842B5">
            <w:pPr>
              <w:pStyle w:val="Teksttabelilewy"/>
            </w:pPr>
            <w:r w:rsidRPr="00795F17">
              <w:t>-</w:t>
            </w:r>
          </w:p>
        </w:tc>
        <w:tc>
          <w:tcPr>
            <w:tcW w:w="1465" w:type="pct"/>
            <w:vAlign w:val="center"/>
            <w:hideMark/>
          </w:tcPr>
          <w:p w14:paraId="318F56A7" w14:textId="0B40CD7E" w:rsidR="00DD1FDE" w:rsidRPr="00795F17" w:rsidRDefault="00DD1FDE" w:rsidP="005842B5">
            <w:pPr>
              <w:pStyle w:val="Teksttabelilewy"/>
            </w:pPr>
            <w:r w:rsidRPr="00795F17">
              <w:t>art. 114 </w:t>
            </w:r>
            <w:r w:rsidR="00805195" w:rsidRPr="00795F17">
              <w:t>pr.w.</w:t>
            </w:r>
            <w:r w:rsidR="001F6C20" w:rsidRPr="00795F17">
              <w:t xml:space="preserve"> oraz art. 317 ust. 1 pkt 8 pr.w.</w:t>
            </w:r>
          </w:p>
        </w:tc>
      </w:tr>
      <w:tr w:rsidR="00DD1FDE" w:rsidRPr="00795F17" w14:paraId="506F3A90" w14:textId="77777777" w:rsidTr="00544256">
        <w:trPr>
          <w:trHeight w:val="454"/>
        </w:trPr>
        <w:tc>
          <w:tcPr>
            <w:tcW w:w="349" w:type="pct"/>
            <w:vAlign w:val="center"/>
            <w:hideMark/>
          </w:tcPr>
          <w:p w14:paraId="7B006BDB" w14:textId="3936D2B1" w:rsidR="00DD1FDE" w:rsidRPr="00795F17" w:rsidRDefault="00DD1FDE" w:rsidP="00BE0D33">
            <w:pPr>
              <w:pStyle w:val="Teksttabelisrodek"/>
            </w:pPr>
            <w:r w:rsidRPr="00795F17">
              <w:t>34</w:t>
            </w:r>
            <w:r w:rsidR="00CF0336" w:rsidRPr="00795F17">
              <w:t>.</w:t>
            </w:r>
          </w:p>
        </w:tc>
        <w:tc>
          <w:tcPr>
            <w:tcW w:w="1238" w:type="pct"/>
            <w:vAlign w:val="center"/>
          </w:tcPr>
          <w:p w14:paraId="5A36A60B" w14:textId="1EE5BCE9" w:rsidR="00DD1FDE" w:rsidRPr="00795F17" w:rsidRDefault="00DD1FDE" w:rsidP="005842B5">
            <w:pPr>
              <w:pStyle w:val="Teksttabelilewy"/>
            </w:pPr>
            <w:r w:rsidRPr="00795F17">
              <w:t>Rozdział 4</w:t>
            </w:r>
          </w:p>
        </w:tc>
        <w:tc>
          <w:tcPr>
            <w:tcW w:w="1948" w:type="pct"/>
            <w:vAlign w:val="center"/>
            <w:hideMark/>
          </w:tcPr>
          <w:p w14:paraId="7D8CED00" w14:textId="5CE25933" w:rsidR="00DD1FDE" w:rsidRPr="00795F17" w:rsidRDefault="00DD1FDE" w:rsidP="005842B5">
            <w:pPr>
              <w:pStyle w:val="Teksttabelilewy"/>
            </w:pPr>
            <w:r w:rsidRPr="00795F17">
              <w:t>§2 ust. 1 pkt 13 </w:t>
            </w:r>
            <w:r w:rsidR="00E67AA8" w:rsidRPr="00795F17">
              <w:t>r.p.g.w.</w:t>
            </w:r>
          </w:p>
        </w:tc>
        <w:tc>
          <w:tcPr>
            <w:tcW w:w="1465" w:type="pct"/>
            <w:vAlign w:val="center"/>
            <w:hideMark/>
          </w:tcPr>
          <w:p w14:paraId="226D269E" w14:textId="7B78812A" w:rsidR="00DD1FDE" w:rsidRPr="00795F17" w:rsidRDefault="00DD1FDE" w:rsidP="005842B5">
            <w:pPr>
              <w:pStyle w:val="Teksttabelilewy"/>
            </w:pPr>
            <w:r w:rsidRPr="00795F17">
              <w:t>-</w:t>
            </w:r>
          </w:p>
        </w:tc>
      </w:tr>
    </w:tbl>
    <w:bookmarkEnd w:id="22"/>
    <w:p w14:paraId="5659F56A" w14:textId="0A097C48" w:rsidR="00CA7A3B" w:rsidRPr="00795F17" w:rsidRDefault="00CA7A3B" w:rsidP="0044393D">
      <w:pPr>
        <w:pStyle w:val="rdo"/>
      </w:pPr>
      <w:r w:rsidRPr="00795F17">
        <w:t xml:space="preserve">Źródło: </w:t>
      </w:r>
      <w:r w:rsidR="00FD7248" w:rsidRPr="00795F17">
        <w:t>opracowanie własne</w:t>
      </w:r>
    </w:p>
    <w:p w14:paraId="562684DF" w14:textId="3BD4616C" w:rsidR="00DD1FDE" w:rsidRPr="00795F17" w:rsidRDefault="00DD1FDE" w:rsidP="0044393D">
      <w:pPr>
        <w:rPr>
          <w:lang w:eastAsia="pl-PL"/>
        </w:rPr>
      </w:pPr>
      <w:r w:rsidRPr="00795F17">
        <w:rPr>
          <w:lang w:eastAsia="pl-PL"/>
        </w:rPr>
        <w:t xml:space="preserve">Dla zachowania czytelności dokumentu zastosowano następującą strukturę: </w:t>
      </w:r>
    </w:p>
    <w:p w14:paraId="1EC441B2" w14:textId="1DF9F26A" w:rsidR="00DD1FDE" w:rsidRPr="00795F17" w:rsidRDefault="00DD1FDE" w:rsidP="00117E86">
      <w:pPr>
        <w:pStyle w:val="Listapunktowana2"/>
      </w:pPr>
      <w:r w:rsidRPr="00795F17">
        <w:t xml:space="preserve">część główna dokumentu </w:t>
      </w:r>
      <w:r w:rsidR="0079397E">
        <w:t>–</w:t>
      </w:r>
      <w:r w:rsidRPr="00795F17">
        <w:t xml:space="preserve"> prezentująca w sposób opisowy zagadnienia na</w:t>
      </w:r>
      <w:r w:rsidR="0067278A" w:rsidRPr="00795F17">
        <w:t> </w:t>
      </w:r>
      <w:r w:rsidRPr="00795F17">
        <w:t>poziomie obszaru dorzecza oraz poszczególnych regionów wodnych. Wszelkie zestawienia tabelaryczne oraz</w:t>
      </w:r>
      <w:r w:rsidR="00016AC4">
        <w:t> </w:t>
      </w:r>
      <w:r w:rsidRPr="00795F17">
        <w:t>zobrazowania mapowe znajdują się w załącznikach;</w:t>
      </w:r>
    </w:p>
    <w:p w14:paraId="6A19059B" w14:textId="570D8F12" w:rsidR="00DD1FDE" w:rsidRPr="00795F17" w:rsidRDefault="00DD1FDE" w:rsidP="00117E86">
      <w:pPr>
        <w:pStyle w:val="Listapunktowana2"/>
      </w:pPr>
      <w:r w:rsidRPr="00795F17">
        <w:t xml:space="preserve">załączniki IIaPGW </w:t>
      </w:r>
      <w:r w:rsidR="0079397E">
        <w:t>–</w:t>
      </w:r>
      <w:r w:rsidRPr="00795F17">
        <w:t xml:space="preserve"> stanowiące integralną część IIaPGW, prezentujące w sposób szczegółowy zagadnienia zaprezentowane w części głównej, w tym załącznik nr 1</w:t>
      </w:r>
      <w:r w:rsidR="00554457" w:rsidRPr="00795F17">
        <w:t xml:space="preserve"> (Zestawienie główne)</w:t>
      </w:r>
      <w:r w:rsidRPr="00795F17">
        <w:t xml:space="preserve"> zawierając</w:t>
      </w:r>
      <w:r w:rsidR="00F31E1D" w:rsidRPr="00795F17">
        <w:t>y</w:t>
      </w:r>
      <w:r w:rsidRPr="00795F17">
        <w:t xml:space="preserve"> zbiorcze zestawienie danych charakteryzujących każdą jcw obszaru dorzecza w</w:t>
      </w:r>
      <w:r w:rsidR="00016AC4">
        <w:t> </w:t>
      </w:r>
      <w:r w:rsidRPr="00795F17">
        <w:t>zakresie zagadnień objętych planem gospodarowania wodami;</w:t>
      </w:r>
    </w:p>
    <w:p w14:paraId="55479FC9" w14:textId="4CEC7076" w:rsidR="00DD1FDE" w:rsidRPr="00795F17" w:rsidRDefault="00DD1FDE" w:rsidP="00117E86">
      <w:pPr>
        <w:pStyle w:val="Listapunktowana2"/>
      </w:pPr>
      <w:r w:rsidRPr="00795F17">
        <w:t>załączniki graficzne prezentujące zobrazowania mapowe zagadnień przedstawi</w:t>
      </w:r>
      <w:r w:rsidR="00EF7D73">
        <w:t>o</w:t>
      </w:r>
      <w:r w:rsidRPr="00795F17">
        <w:t>nych w</w:t>
      </w:r>
      <w:r w:rsidR="00EF7D73">
        <w:t> </w:t>
      </w:r>
      <w:r w:rsidRPr="00795F17">
        <w:t>części głównej IIaPGW.</w:t>
      </w:r>
    </w:p>
    <w:p w14:paraId="37C9B437" w14:textId="77777777" w:rsidR="00DD1FDE" w:rsidRPr="00795F17" w:rsidRDefault="00DD1FDE" w:rsidP="005842B5">
      <w:pPr>
        <w:jc w:val="center"/>
        <w:rPr>
          <w:rFonts w:cs="Calibri"/>
          <w:color w:val="000000"/>
          <w:lang w:eastAsia="pl-PL"/>
        </w:rPr>
      </w:pPr>
      <w:r w:rsidRPr="00795F17">
        <w:rPr>
          <w:noProof/>
          <w:lang w:eastAsia="pl-PL"/>
        </w:rPr>
        <w:drawing>
          <wp:inline distT="0" distB="0" distL="0" distR="0" wp14:anchorId="3C0661AC" wp14:editId="731D470D">
            <wp:extent cx="3612239" cy="3132000"/>
            <wp:effectExtent l="0" t="0" r="762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pic:nvPicPr>
                  <pic:blipFill>
                    <a:blip r:embed="rId19">
                      <a:extLst>
                        <a:ext uri="{28A0092B-C50C-407E-A947-70E740481C1C}">
                          <a14:useLocalDpi xmlns:a14="http://schemas.microsoft.com/office/drawing/2010/main" val="0"/>
                        </a:ext>
                      </a:extLst>
                    </a:blip>
                    <a:stretch>
                      <a:fillRect/>
                    </a:stretch>
                  </pic:blipFill>
                  <pic:spPr>
                    <a:xfrm>
                      <a:off x="0" y="0"/>
                      <a:ext cx="3612239" cy="3132000"/>
                    </a:xfrm>
                    <a:prstGeom prst="rect">
                      <a:avLst/>
                    </a:prstGeom>
                  </pic:spPr>
                </pic:pic>
              </a:graphicData>
            </a:graphic>
          </wp:inline>
        </w:drawing>
      </w:r>
    </w:p>
    <w:p w14:paraId="501385C9" w14:textId="44756D6F" w:rsidR="00DD1FDE" w:rsidRPr="00795F17" w:rsidRDefault="00B27F1A" w:rsidP="004D7705">
      <w:pPr>
        <w:pStyle w:val="Rysunek"/>
        <w:rPr>
          <w:rFonts w:cs="Calibri"/>
          <w:color w:val="000000"/>
          <w:lang w:eastAsia="pl-PL"/>
        </w:rPr>
      </w:pPr>
      <w:bookmarkStart w:id="23" w:name="_Toc66273032"/>
      <w:bookmarkStart w:id="24" w:name="_Toc105512930"/>
      <w:r w:rsidRPr="00795F17">
        <w:t xml:space="preserve">Rysunek </w:t>
      </w:r>
      <w:r>
        <w:fldChar w:fldCharType="begin"/>
      </w:r>
      <w:r>
        <w:instrText>STYLEREF 1 \s</w:instrText>
      </w:r>
      <w:r>
        <w:fldChar w:fldCharType="separate"/>
      </w:r>
      <w:r w:rsidR="001F774D">
        <w:rPr>
          <w:noProof/>
        </w:rPr>
        <w:t>2</w:t>
      </w:r>
      <w:r>
        <w:fldChar w:fldCharType="end"/>
      </w:r>
      <w:r w:rsidR="00881BAC">
        <w:noBreakHyphen/>
      </w:r>
      <w:fldSimple w:instr=" SEQ Rysunek \* ARABIC \s 1 ">
        <w:r w:rsidR="001F774D">
          <w:rPr>
            <w:noProof/>
          </w:rPr>
          <w:t>1</w:t>
        </w:r>
      </w:fldSimple>
      <w:r w:rsidR="00342921">
        <w:rPr>
          <w:noProof/>
        </w:rPr>
        <w:t>.</w:t>
      </w:r>
      <w:r w:rsidRPr="00795F17">
        <w:tab/>
        <w:t>Struktura dokumentu IIaPGW</w:t>
      </w:r>
      <w:bookmarkEnd w:id="23"/>
      <w:bookmarkEnd w:id="24"/>
    </w:p>
    <w:p w14:paraId="01145FC1" w14:textId="28F18A15" w:rsidR="00D316B1" w:rsidRPr="00795F17" w:rsidRDefault="00D316B1" w:rsidP="0044393D">
      <w:pPr>
        <w:pStyle w:val="rdo"/>
      </w:pPr>
      <w:r w:rsidRPr="00795F17">
        <w:rPr>
          <w:rStyle w:val="rdoZnak"/>
          <w:i/>
        </w:rPr>
        <w:t>Źródło</w:t>
      </w:r>
      <w:r w:rsidRPr="00795F17">
        <w:t xml:space="preserve">: </w:t>
      </w:r>
      <w:r w:rsidR="00FD7248" w:rsidRPr="00795F17">
        <w:t>opracowanie własne</w:t>
      </w:r>
    </w:p>
    <w:p w14:paraId="5DCDD237" w14:textId="25A331AA" w:rsidR="00DD1FDE" w:rsidRPr="00795F17" w:rsidRDefault="00DD1FDE" w:rsidP="0044393D">
      <w:r w:rsidRPr="00795F17">
        <w:t>Kolejne rozdziały prowadzą przez poszczególne elementy IIaPGW wraz z podsumowaniem wszelkich zmian dokonanych w okresie objętym aPGW (2016</w:t>
      </w:r>
      <w:r w:rsidR="0079397E">
        <w:t>–</w:t>
      </w:r>
      <w:r w:rsidRPr="00795F17">
        <w:t>2021).</w:t>
      </w:r>
    </w:p>
    <w:p w14:paraId="61FD2EF5" w14:textId="77777777" w:rsidR="00D20527" w:rsidRPr="00795F17" w:rsidRDefault="00D20527" w:rsidP="0044393D">
      <w:r w:rsidRPr="00795F17">
        <w:br w:type="page"/>
      </w:r>
    </w:p>
    <w:p w14:paraId="2EFDB97A" w14:textId="43AFEB80" w:rsidR="00A279FD" w:rsidRPr="00795F17" w:rsidRDefault="0019470B" w:rsidP="00BA6B41">
      <w:pPr>
        <w:pStyle w:val="Nagwek1"/>
      </w:pPr>
      <w:bookmarkStart w:id="25" w:name="_Toc66272263"/>
      <w:bookmarkStart w:id="26" w:name="_Toc66347790"/>
      <w:bookmarkStart w:id="27" w:name="_Toc105512627"/>
      <w:r w:rsidRPr="00795F17">
        <w:t>Ogólny opis cech charakterystycznych obszaru dorzecza</w:t>
      </w:r>
      <w:r w:rsidR="00AF6038" w:rsidRPr="00795F17">
        <w:t xml:space="preserve"> wraz</w:t>
      </w:r>
      <w:r w:rsidR="00CF0336" w:rsidRPr="00795F17">
        <w:t xml:space="preserve"> </w:t>
      </w:r>
      <w:r w:rsidR="00AF6038" w:rsidRPr="00795F17">
        <w:t>z</w:t>
      </w:r>
      <w:r w:rsidR="00CF0336" w:rsidRPr="00795F17">
        <w:t> </w:t>
      </w:r>
      <w:r w:rsidR="00AF6038" w:rsidRPr="00795F17">
        <w:t>wykazem obszarów chronionych</w:t>
      </w:r>
      <w:bookmarkEnd w:id="25"/>
      <w:bookmarkEnd w:id="26"/>
      <w:bookmarkEnd w:id="27"/>
    </w:p>
    <w:p w14:paraId="2EBEDC9D" w14:textId="0D5FBD0E" w:rsidR="006F0E34" w:rsidRPr="00795F17" w:rsidRDefault="006F0E34" w:rsidP="000C0D25">
      <w:bookmarkStart w:id="28" w:name="_Hlk64976846"/>
      <w:r w:rsidRPr="00795F17">
        <w:t xml:space="preserve">Obszar dorzecza Odry jest jednym z dziewięciu obszarów dorzeczy w granicach Polski i drugim </w:t>
      </w:r>
      <w:r w:rsidR="00D33D75" w:rsidRPr="00795F17">
        <w:br/>
      </w:r>
      <w:r w:rsidRPr="00795F17">
        <w:t xml:space="preserve">co do wielkości. Zajmuje zachodnią </w:t>
      </w:r>
      <w:r w:rsidRPr="00795F17">
        <w:rPr>
          <w:color w:val="000000" w:themeColor="text1"/>
        </w:rPr>
        <w:t>część</w:t>
      </w:r>
      <w:bookmarkEnd w:id="28"/>
      <w:r w:rsidRPr="00795F17">
        <w:rPr>
          <w:color w:val="000000" w:themeColor="text1"/>
        </w:rPr>
        <w:t xml:space="preserve"> </w:t>
      </w:r>
      <w:r w:rsidRPr="00795F17">
        <w:t>kraju, a jego powierzchnia wynosi około 118</w:t>
      </w:r>
      <w:r w:rsidR="0002015B" w:rsidRPr="00795F17">
        <w:t> </w:t>
      </w:r>
      <w:r w:rsidRPr="00795F17">
        <w:t>tys.</w:t>
      </w:r>
      <w:r w:rsidR="0002015B" w:rsidRPr="00795F17">
        <w:t> </w:t>
      </w:r>
      <w:r w:rsidRPr="00795F17">
        <w:t>km</w:t>
      </w:r>
      <w:r w:rsidRPr="00795F17">
        <w:rPr>
          <w:position w:val="3"/>
          <w:vertAlign w:val="superscript"/>
        </w:rPr>
        <w:t>2</w:t>
      </w:r>
      <w:r w:rsidRPr="00795F17">
        <w:t>, co</w:t>
      </w:r>
      <w:r w:rsidR="00D33D75" w:rsidRPr="00795F17">
        <w:t> </w:t>
      </w:r>
      <w:r w:rsidRPr="00795F17">
        <w:t xml:space="preserve">stanowi około 38% powierzchni kraju. </w:t>
      </w:r>
    </w:p>
    <w:p w14:paraId="45D6CE95" w14:textId="00B51596" w:rsidR="00F50010" w:rsidRPr="002D6624" w:rsidRDefault="006F0E34" w:rsidP="00F50010">
      <w:pPr>
        <w:widowControl w:val="0"/>
        <w:autoSpaceDE w:val="0"/>
        <w:autoSpaceDN w:val="0"/>
        <w:adjustRightInd w:val="0"/>
        <w:ind w:right="54"/>
        <w:rPr>
          <w:rFonts w:asciiTheme="minorHAnsi" w:eastAsiaTheme="minorHAnsi" w:hAnsiTheme="minorHAnsi" w:cstheme="minorHAnsi"/>
          <w:color w:val="000000"/>
        </w:rPr>
      </w:pPr>
      <w:r w:rsidRPr="00795F17">
        <w:t>Pod względem administracyjnym obszar dorzecza Odry leży w województwach: śląskim, opolskim, dolnośląskim, łódzkim, kujawsko-pomorskim, wielkopolskim, lubuskim, zachodniopomorskim i</w:t>
      </w:r>
      <w:r w:rsidR="000B4E3E" w:rsidRPr="00795F17">
        <w:t> </w:t>
      </w:r>
      <w:r w:rsidRPr="00795F17">
        <w:t xml:space="preserve">pomorskim. </w:t>
      </w:r>
      <w:r w:rsidR="00F74420">
        <w:t xml:space="preserve">Podzielony jest na </w:t>
      </w:r>
      <w:r w:rsidR="00F50010">
        <w:rPr>
          <w:rFonts w:asciiTheme="minorHAnsi" w:eastAsiaTheme="minorHAnsi" w:hAnsiTheme="minorHAnsi" w:cstheme="minorHAnsi"/>
          <w:color w:val="000000"/>
        </w:rPr>
        <w:t xml:space="preserve">pięć </w:t>
      </w:r>
      <w:r w:rsidR="00F50010" w:rsidRPr="002D6624">
        <w:rPr>
          <w:rFonts w:asciiTheme="minorHAnsi" w:eastAsiaTheme="minorHAnsi" w:hAnsiTheme="minorHAnsi" w:cstheme="minorHAnsi"/>
          <w:color w:val="000000"/>
        </w:rPr>
        <w:t>regionów wodnych:</w:t>
      </w:r>
    </w:p>
    <w:p w14:paraId="543A8AF2" w14:textId="26B18393" w:rsidR="00F50010" w:rsidRPr="00BA6B41" w:rsidRDefault="00F50010" w:rsidP="005635FD">
      <w:pPr>
        <w:pStyle w:val="Listapunktowana2"/>
        <w:numPr>
          <w:ilvl w:val="0"/>
          <w:numId w:val="98"/>
        </w:numPr>
      </w:pPr>
      <w:bookmarkStart w:id="29" w:name="_Hlk67209779"/>
      <w:r w:rsidRPr="00BA6B41">
        <w:t xml:space="preserve">region wodny Górnej Odry (RZGW </w:t>
      </w:r>
      <w:r w:rsidR="0033124B" w:rsidRPr="00BA6B41">
        <w:t>Gliwice),</w:t>
      </w:r>
    </w:p>
    <w:p w14:paraId="64F1363C" w14:textId="49635CF1" w:rsidR="00F50010" w:rsidRDefault="00F50010" w:rsidP="005635FD">
      <w:pPr>
        <w:pStyle w:val="Listapunktowana2"/>
        <w:numPr>
          <w:ilvl w:val="0"/>
          <w:numId w:val="98"/>
        </w:numPr>
      </w:pPr>
      <w:r w:rsidRPr="00BA6B41">
        <w:t>region wodny Środkowej Odry</w:t>
      </w:r>
      <w:r w:rsidR="0033124B" w:rsidRPr="00BA6B41">
        <w:t xml:space="preserve"> (RZGW Wrocław),</w:t>
      </w:r>
    </w:p>
    <w:p w14:paraId="03F16D96" w14:textId="5BAEC659" w:rsidR="00BA6B41" w:rsidRPr="00BA6B41" w:rsidRDefault="00BA6B41" w:rsidP="005635FD">
      <w:pPr>
        <w:pStyle w:val="Listapunktowana2"/>
        <w:numPr>
          <w:ilvl w:val="0"/>
          <w:numId w:val="98"/>
        </w:numPr>
      </w:pPr>
      <w:r w:rsidRPr="00BA6B41">
        <w:t>region wodny Dolnej Odry i Przymorza Zachodniego (RZGW Szczecin</w:t>
      </w:r>
      <w:r>
        <w:t>),</w:t>
      </w:r>
    </w:p>
    <w:p w14:paraId="556D0630" w14:textId="550616DF" w:rsidR="0033124B" w:rsidRPr="00BA6B41" w:rsidRDefault="0033124B" w:rsidP="005635FD">
      <w:pPr>
        <w:pStyle w:val="Listapunktowana2"/>
        <w:numPr>
          <w:ilvl w:val="0"/>
          <w:numId w:val="98"/>
        </w:numPr>
      </w:pPr>
      <w:r w:rsidRPr="00BA6B41">
        <w:t>region wodny Warty (RZGW Poznań),</w:t>
      </w:r>
    </w:p>
    <w:p w14:paraId="14BA9136" w14:textId="5A02DB1D" w:rsidR="00F50010" w:rsidRPr="00BA6B41" w:rsidRDefault="0033124B" w:rsidP="005635FD">
      <w:pPr>
        <w:pStyle w:val="Listapunktowana2"/>
        <w:numPr>
          <w:ilvl w:val="0"/>
          <w:numId w:val="98"/>
        </w:numPr>
      </w:pPr>
      <w:r w:rsidRPr="00BA6B41">
        <w:t xml:space="preserve">region wodny Noteci (RZGW </w:t>
      </w:r>
      <w:r w:rsidR="002F36F6" w:rsidRPr="00BA6B41">
        <w:t>Byd</w:t>
      </w:r>
      <w:r w:rsidR="00B33E8F">
        <w:t>g</w:t>
      </w:r>
      <w:r w:rsidR="002F36F6" w:rsidRPr="00BA6B41">
        <w:t>oszcz</w:t>
      </w:r>
      <w:r w:rsidR="002F36F6" w:rsidRPr="005B0BBB">
        <w:t>)</w:t>
      </w:r>
      <w:r w:rsidR="00BA6B41">
        <w:t>.</w:t>
      </w:r>
    </w:p>
    <w:bookmarkEnd w:id="29"/>
    <w:p w14:paraId="1D5F2563" w14:textId="3E09D244" w:rsidR="006F0E34" w:rsidRPr="00795F17" w:rsidRDefault="006F0E34" w:rsidP="0044393D">
      <w:r w:rsidRPr="00795F17">
        <w:t xml:space="preserve">Główną rzeką obszaru dorzecza jest Odra o długości </w:t>
      </w:r>
      <w:r w:rsidR="00AC6D57" w:rsidRPr="00795F17">
        <w:t>ok</w:t>
      </w:r>
      <w:r w:rsidR="007F11E3">
        <w:t>oło</w:t>
      </w:r>
      <w:r w:rsidR="00AC6D57" w:rsidRPr="00795F17">
        <w:t xml:space="preserve"> 7</w:t>
      </w:r>
      <w:r w:rsidR="00566BDD" w:rsidRPr="00795F17">
        <w:t>42</w:t>
      </w:r>
      <w:r w:rsidR="00AC6D57" w:rsidRPr="00795F17">
        <w:t xml:space="preserve"> </w:t>
      </w:r>
      <w:r w:rsidRPr="00795F17">
        <w:t>km</w:t>
      </w:r>
      <w:r w:rsidR="00F750C9" w:rsidRPr="00795F17">
        <w:t xml:space="preserve"> (</w:t>
      </w:r>
      <w:r w:rsidRPr="00795F17">
        <w:t>w granicach Polski</w:t>
      </w:r>
      <w:r w:rsidR="00F750C9" w:rsidRPr="00795F17">
        <w:t>)</w:t>
      </w:r>
      <w:r w:rsidRPr="00795F17">
        <w:t>. Źródła rzeki Odry znajdują się na terytorium Republiki Czeskiej w Górach Odrzańskich, w południowo-wschodniej części środkowego pasma Sudetów. Odra uchodzi do Zalewu Szczecińskiego.</w:t>
      </w:r>
    </w:p>
    <w:p w14:paraId="59F68529" w14:textId="47AC8071" w:rsidR="00C34143" w:rsidRPr="00795F17" w:rsidRDefault="00C34143" w:rsidP="0044393D">
      <w:r w:rsidRPr="00795F17">
        <w:t>Obszar dorzecza Odry obejmuje, oprócz dorzecza Odry znajdującego się na terytorium Rzeczypospolitej Polskiej, także dorzecza Regi, Parsęty, Wieprzy, Ücker oraz rzek uchodzących bezpośrednio do Morza Bałtyckiego na zachód od ujścia Słupi, a także wpadających do</w:t>
      </w:r>
      <w:r w:rsidR="00BD5C4E" w:rsidRPr="00795F17">
        <w:t> </w:t>
      </w:r>
      <w:r w:rsidRPr="00795F17">
        <w:t>Zalewu Szczecińskiego.</w:t>
      </w:r>
    </w:p>
    <w:p w14:paraId="092BEFBA" w14:textId="26188B04" w:rsidR="00475192" w:rsidRPr="00795F17" w:rsidRDefault="006F0E34" w:rsidP="0044393D">
      <w:r w:rsidRPr="00795F17">
        <w:t xml:space="preserve">Najważniejsze lewostronne dopływy Odry to: Opawa, Nysa Kłodzka, Oława, Bystrzyca, Kaczawa, Bóbr i Nysa Łużycka (cieki II rzędu). </w:t>
      </w:r>
      <w:r w:rsidR="00F835C7">
        <w:t>N</w:t>
      </w:r>
      <w:r w:rsidRPr="00795F17">
        <w:t>ajważniejsz</w:t>
      </w:r>
      <w:r w:rsidR="00F835C7">
        <w:t xml:space="preserve">e </w:t>
      </w:r>
      <w:r w:rsidRPr="00795F17">
        <w:t>dopływ</w:t>
      </w:r>
      <w:r w:rsidR="00F835C7">
        <w:t xml:space="preserve">y </w:t>
      </w:r>
      <w:r w:rsidRPr="00795F17">
        <w:t>prawostronn</w:t>
      </w:r>
      <w:r w:rsidR="00F835C7">
        <w:t>e to</w:t>
      </w:r>
      <w:r w:rsidRPr="00795F17">
        <w:t>: Ostrawic</w:t>
      </w:r>
      <w:r w:rsidR="00F835C7">
        <w:t>a</w:t>
      </w:r>
      <w:r w:rsidRPr="00795F17">
        <w:t>, Olz</w:t>
      </w:r>
      <w:r w:rsidR="00F835C7">
        <w:t>a</w:t>
      </w:r>
      <w:r w:rsidRPr="00795F17">
        <w:t>, Kłodnic</w:t>
      </w:r>
      <w:r w:rsidR="00F835C7">
        <w:t>a</w:t>
      </w:r>
      <w:r w:rsidRPr="00795F17">
        <w:t>, Mał</w:t>
      </w:r>
      <w:r w:rsidR="00F835C7">
        <w:t>a</w:t>
      </w:r>
      <w:r w:rsidRPr="00795F17">
        <w:t xml:space="preserve"> Panew, Stobraw</w:t>
      </w:r>
      <w:r w:rsidR="00F835C7">
        <w:t>a</w:t>
      </w:r>
      <w:r w:rsidRPr="00795F17">
        <w:t>, Widaw</w:t>
      </w:r>
      <w:r w:rsidR="00F835C7">
        <w:t>a</w:t>
      </w:r>
      <w:r w:rsidRPr="00795F17">
        <w:t>, Barycz, Wart</w:t>
      </w:r>
      <w:r w:rsidR="00F835C7">
        <w:t>a</w:t>
      </w:r>
      <w:r w:rsidRPr="00795F17">
        <w:t>, Myśl</w:t>
      </w:r>
      <w:r w:rsidR="00F835C7">
        <w:t>a</w:t>
      </w:r>
      <w:r w:rsidRPr="00795F17">
        <w:t xml:space="preserve"> i In</w:t>
      </w:r>
      <w:r w:rsidR="00F835C7">
        <w:t>a</w:t>
      </w:r>
      <w:r w:rsidRPr="00795F17">
        <w:t xml:space="preserve"> (cieki II rzędu).</w:t>
      </w:r>
    </w:p>
    <w:p w14:paraId="661EC5E4" w14:textId="28619668" w:rsidR="00275FA6" w:rsidRPr="00795F17" w:rsidRDefault="006F0E34" w:rsidP="0044393D">
      <w:r w:rsidRPr="00795F17">
        <w:t>Zbiorniki zaporowe z</w:t>
      </w:r>
      <w:r w:rsidR="00743B84">
        <w:t xml:space="preserve">najdujące się </w:t>
      </w:r>
      <w:r w:rsidRPr="00795F17">
        <w:t xml:space="preserve">na obszarze dorzecza to: Otmuchów, Nysa, Bukówka, Pilchowice, Sosnówka, Mietków, Słup, Leśna, Złotniki, Jeziorsko, Turawa, Dzierżno Duże, Topola, Kozielno, Poraj, Pławniowice, Dzierżno Małe, Rybnicki oraz Dobromierz. </w:t>
      </w:r>
    </w:p>
    <w:p w14:paraId="662A042E" w14:textId="545320D5" w:rsidR="006F0E34" w:rsidRDefault="006F0E34" w:rsidP="0044393D">
      <w:r w:rsidRPr="00795F17">
        <w:t>Odra ma górski charakter w odcinku źródłowym, natomiast w niższym biegu zmienia się w rzekę nizinną. Odra jest rzeką żeglowną od Kędzierzyna-Koźla w dół biegu. Od Kędzierzyna do Brzegu Dolnego Odra jest rzeką skanalizowaną, a</w:t>
      </w:r>
      <w:r w:rsidR="00275FA6" w:rsidRPr="00795F17">
        <w:t xml:space="preserve"> </w:t>
      </w:r>
      <w:r w:rsidRPr="00795F17">
        <w:t>na odcinku o długości 187 km z</w:t>
      </w:r>
      <w:r w:rsidR="0052678D">
        <w:t xml:space="preserve">najdują się </w:t>
      </w:r>
      <w:r w:rsidRPr="00795F17">
        <w:t>24 stopnie wodne. Poniżej Brzegu Dolnego nurt Odry jest uregulowany za pomocą ostróg. Rzeka poprzez system kanałów ma połączenie żeglugowe ze Szprewą i Hawelą.</w:t>
      </w:r>
    </w:p>
    <w:p w14:paraId="56938C8E" w14:textId="28CC3658" w:rsidR="00AD0976" w:rsidRPr="00AD0976" w:rsidRDefault="00AD0976" w:rsidP="00AD0976">
      <w:r>
        <w:t>Obszar d</w:t>
      </w:r>
      <w:r w:rsidRPr="00AD0976">
        <w:t>orzecz</w:t>
      </w:r>
      <w:r>
        <w:t>a</w:t>
      </w:r>
      <w:r w:rsidRPr="00AD0976">
        <w:t xml:space="preserve"> Odry oraz wody przybrzeżne są istotne z punktu widzenia transportu śródlądowego. Znajdują się tu liczne drogi wodne będące rzekami, rzekami uregulowanymi, rzekami skanalizowanymi bądź kanałami. Infrastrukturę żeglugową stanowią tu także stopnie wodne, zbiorniki retencyjne wyrównujące poziom wód dróg wodnych oraz porty i zimowiska.</w:t>
      </w:r>
    </w:p>
    <w:p w14:paraId="24B7834D" w14:textId="7583FF98" w:rsidR="00AD0976" w:rsidRPr="00795F17" w:rsidRDefault="00AD0976" w:rsidP="00AD0976">
      <w:r w:rsidRPr="009B0457">
        <w:t>Na obszarze dorzecza Odry, szczególnie w rejonie Dolnej Odry, trwa intensywny rozwój turystyki, której dedykowanych jest wiele programów regionalnych, typu „Zielona Odra</w:t>
      </w:r>
      <w:r>
        <w:t>”</w:t>
      </w:r>
    </w:p>
    <w:p w14:paraId="74EF41E8" w14:textId="0E6938C6" w:rsidR="006F0E34" w:rsidRPr="00795F17" w:rsidRDefault="006F0E34" w:rsidP="0044393D">
      <w:r w:rsidRPr="00795F17">
        <w:t xml:space="preserve">Graficzne odwzorowanie obszaru dorzecza Odry zostało przedstawione na rysunku </w:t>
      </w:r>
      <w:r w:rsidR="00F44F86" w:rsidRPr="00795F17">
        <w:t>3-</w:t>
      </w:r>
      <w:r w:rsidRPr="00795F17">
        <w:t>1, a</w:t>
      </w:r>
      <w:r w:rsidR="00D33D75" w:rsidRPr="00795F17">
        <w:t> </w:t>
      </w:r>
      <w:r w:rsidRPr="00795F17">
        <w:t xml:space="preserve">ogólny opis obszaru dorzecza Odry zawarto w tabeli </w:t>
      </w:r>
      <w:r w:rsidR="00F44F86" w:rsidRPr="00795F17">
        <w:t>3-</w:t>
      </w:r>
      <w:r w:rsidRPr="00795F17">
        <w:t>1.</w:t>
      </w:r>
    </w:p>
    <w:p w14:paraId="0A736CC0" w14:textId="307E6278" w:rsidR="00DA541A" w:rsidRPr="00795F17" w:rsidRDefault="00997279" w:rsidP="005842B5">
      <w:pPr>
        <w:jc w:val="center"/>
      </w:pPr>
      <w:r w:rsidRPr="00771DF6">
        <w:rPr>
          <w:noProof/>
        </w:rPr>
        <w:drawing>
          <wp:inline distT="0" distB="0" distL="0" distR="0" wp14:anchorId="7B945C66" wp14:editId="52F7E8F5">
            <wp:extent cx="4990148" cy="7481922"/>
            <wp:effectExtent l="0" t="0" r="1270" b="5080"/>
            <wp:docPr id="1069510217" name="Obraz 106951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510217" name="Obraz 1069510217"/>
                    <pic:cNvPicPr/>
                  </pic:nvPicPr>
                  <pic:blipFill>
                    <a:blip r:embed="rId20"/>
                    <a:stretch>
                      <a:fillRect/>
                    </a:stretch>
                  </pic:blipFill>
                  <pic:spPr>
                    <a:xfrm>
                      <a:off x="0" y="0"/>
                      <a:ext cx="4990148" cy="7481922"/>
                    </a:xfrm>
                    <a:prstGeom prst="rect">
                      <a:avLst/>
                    </a:prstGeom>
                  </pic:spPr>
                </pic:pic>
              </a:graphicData>
            </a:graphic>
          </wp:inline>
        </w:drawing>
      </w:r>
    </w:p>
    <w:p w14:paraId="048B223F" w14:textId="67F40B32" w:rsidR="006F0E34" w:rsidRPr="00795F17" w:rsidRDefault="006F0E34" w:rsidP="004D7705">
      <w:pPr>
        <w:pStyle w:val="Rysunek"/>
        <w:rPr>
          <w:i/>
        </w:rPr>
      </w:pPr>
      <w:bookmarkStart w:id="30" w:name="_Toc66273033"/>
      <w:bookmarkStart w:id="31" w:name="_Toc105512931"/>
      <w:r w:rsidRPr="00795F17">
        <w:t xml:space="preserve">Rysunek </w:t>
      </w:r>
      <w:r>
        <w:fldChar w:fldCharType="begin"/>
      </w:r>
      <w:r>
        <w:instrText>STYLEREF 1 \s</w:instrText>
      </w:r>
      <w:r>
        <w:fldChar w:fldCharType="separate"/>
      </w:r>
      <w:r w:rsidR="001F774D">
        <w:rPr>
          <w:noProof/>
        </w:rPr>
        <w:t>3</w:t>
      </w:r>
      <w:r>
        <w:fldChar w:fldCharType="end"/>
      </w:r>
      <w:r w:rsidR="00881BAC">
        <w:noBreakHyphen/>
      </w:r>
      <w:fldSimple w:instr=" SEQ Rysunek \* ARABIC \s 1 ">
        <w:r w:rsidR="001F774D">
          <w:rPr>
            <w:noProof/>
          </w:rPr>
          <w:t>1</w:t>
        </w:r>
      </w:fldSimple>
      <w:r w:rsidR="00342921">
        <w:rPr>
          <w:noProof/>
        </w:rPr>
        <w:t>.</w:t>
      </w:r>
      <w:r w:rsidRPr="00795F17">
        <w:tab/>
        <w:t>Graficzne odwzorowanie obszaru dorzecza Odry</w:t>
      </w:r>
      <w:bookmarkEnd w:id="30"/>
      <w:bookmarkEnd w:id="31"/>
    </w:p>
    <w:p w14:paraId="68AD79CA" w14:textId="554B1CBF" w:rsidR="006F0E34" w:rsidRPr="00795F17" w:rsidRDefault="006F0E34" w:rsidP="0044393D">
      <w:pPr>
        <w:pStyle w:val="rdo"/>
        <w:rPr>
          <w:sz w:val="20"/>
          <w:szCs w:val="20"/>
          <w:lang w:eastAsia="zh-CN"/>
        </w:rPr>
        <w:sectPr w:rsidR="006F0E34" w:rsidRPr="00795F17" w:rsidSect="003E2D19">
          <w:headerReference w:type="even" r:id="rId21"/>
          <w:headerReference w:type="default" r:id="rId22"/>
          <w:headerReference w:type="first" r:id="rId23"/>
          <w:pgSz w:w="11906" w:h="16838"/>
          <w:pgMar w:top="1440" w:right="1440" w:bottom="1440" w:left="1440" w:header="708" w:footer="708" w:gutter="0"/>
          <w:cols w:space="708"/>
          <w:docGrid w:linePitch="360"/>
        </w:sectPr>
      </w:pPr>
      <w:r w:rsidRPr="00795F17">
        <w:rPr>
          <w:lang w:eastAsia="zh-CN"/>
        </w:rPr>
        <w:t xml:space="preserve">Źródło: </w:t>
      </w:r>
      <w:r w:rsidR="00FD7248" w:rsidRPr="00795F17">
        <w:rPr>
          <w:lang w:eastAsia="zh-CN"/>
        </w:rPr>
        <w:t>opracowanie własne</w:t>
      </w:r>
      <w:r w:rsidRPr="00795F17">
        <w:rPr>
          <w:lang w:eastAsia="zh-CN"/>
        </w:rPr>
        <w:t xml:space="preserve"> </w:t>
      </w:r>
    </w:p>
    <w:p w14:paraId="1EA9659A" w14:textId="58C035A1" w:rsidR="006A5EB5" w:rsidRPr="00795F17" w:rsidRDefault="006A5EB5" w:rsidP="004D7705">
      <w:pPr>
        <w:pStyle w:val="Tabela"/>
      </w:pPr>
      <w:bookmarkStart w:id="32" w:name="_Toc66341843"/>
      <w:bookmarkStart w:id="33" w:name="_Toc105512751"/>
      <w:r w:rsidRPr="00795F17">
        <w:t xml:space="preserve">Tabela </w:t>
      </w:r>
      <w:fldSimple w:instr=" STYLEREF 1 \s ">
        <w:r w:rsidR="001F774D">
          <w:rPr>
            <w:noProof/>
          </w:rPr>
          <w:t>3</w:t>
        </w:r>
      </w:fldSimple>
      <w:r w:rsidR="00BB3B21" w:rsidRPr="00795F17">
        <w:noBreakHyphen/>
      </w:r>
      <w:fldSimple w:instr=" SEQ Tabela \* ARABIC \s 1 ">
        <w:r w:rsidR="001F774D">
          <w:rPr>
            <w:noProof/>
          </w:rPr>
          <w:t>1</w:t>
        </w:r>
      </w:fldSimple>
      <w:r w:rsidR="00BA11D4">
        <w:rPr>
          <w:noProof/>
        </w:rPr>
        <w:t>.</w:t>
      </w:r>
      <w:r w:rsidRPr="00795F17">
        <w:tab/>
        <w:t>Ogólny opis obszaru dorzecza Odry</w:t>
      </w:r>
      <w:bookmarkEnd w:id="32"/>
      <w:bookmarkEnd w:id="33"/>
    </w:p>
    <w:tbl>
      <w:tblPr>
        <w:tblStyle w:val="Tabela-Siatka"/>
        <w:tblW w:w="5000" w:type="pct"/>
        <w:tblLook w:val="04A0" w:firstRow="1" w:lastRow="0" w:firstColumn="1" w:lastColumn="0" w:noHBand="0" w:noVBand="1"/>
      </w:tblPr>
      <w:tblGrid>
        <w:gridCol w:w="3130"/>
        <w:gridCol w:w="5932"/>
      </w:tblGrid>
      <w:tr w:rsidR="006C22FD" w:rsidRPr="005842B5" w14:paraId="019C9232" w14:textId="77777777" w:rsidTr="00C75BCB">
        <w:trPr>
          <w:cnfStyle w:val="100000000000" w:firstRow="1" w:lastRow="0" w:firstColumn="0" w:lastColumn="0" w:oddVBand="0" w:evenVBand="0" w:oddHBand="0" w:evenHBand="0" w:firstRowFirstColumn="0" w:firstRowLastColumn="0" w:lastRowFirstColumn="0" w:lastRowLastColumn="0"/>
          <w:trHeight w:val="454"/>
        </w:trPr>
        <w:tc>
          <w:tcPr>
            <w:tcW w:w="1727" w:type="pct"/>
          </w:tcPr>
          <w:p w14:paraId="6DF3318F" w14:textId="77777777" w:rsidR="006F0E34" w:rsidRPr="005842B5" w:rsidRDefault="006F0E34" w:rsidP="005842B5">
            <w:pPr>
              <w:pStyle w:val="Teksttabelilewybold"/>
              <w:rPr>
                <w:b/>
              </w:rPr>
            </w:pPr>
            <w:r w:rsidRPr="005842B5">
              <w:rPr>
                <w:b/>
              </w:rPr>
              <w:t>Nazwa obszaru dorzecza</w:t>
            </w:r>
          </w:p>
        </w:tc>
        <w:tc>
          <w:tcPr>
            <w:tcW w:w="3273" w:type="pct"/>
            <w:shd w:val="clear" w:color="auto" w:fill="auto"/>
          </w:tcPr>
          <w:p w14:paraId="25C13F0D" w14:textId="77777777" w:rsidR="006F0E34" w:rsidRPr="005842B5" w:rsidRDefault="006F0E34" w:rsidP="005842B5">
            <w:pPr>
              <w:pStyle w:val="Teksttabelilewybold"/>
              <w:rPr>
                <w:b/>
              </w:rPr>
            </w:pPr>
            <w:r w:rsidRPr="005842B5">
              <w:rPr>
                <w:b/>
              </w:rPr>
              <w:t>Obszar dorzecza Odry</w:t>
            </w:r>
          </w:p>
        </w:tc>
      </w:tr>
      <w:tr w:rsidR="006F0E34" w:rsidRPr="00795F17" w14:paraId="2E3A658B" w14:textId="77777777" w:rsidTr="0002015B">
        <w:trPr>
          <w:trHeight w:val="454"/>
        </w:trPr>
        <w:tc>
          <w:tcPr>
            <w:tcW w:w="1727" w:type="pct"/>
            <w:shd w:val="clear" w:color="auto" w:fill="BFBFBF" w:themeFill="background1" w:themeFillShade="BF"/>
          </w:tcPr>
          <w:p w14:paraId="6EA12BAD" w14:textId="20A59813" w:rsidR="006F0E34" w:rsidRPr="005842B5" w:rsidRDefault="006F0E34" w:rsidP="005842B5">
            <w:pPr>
              <w:pStyle w:val="Teksttabelilewybold"/>
            </w:pPr>
            <w:r w:rsidRPr="005842B5">
              <w:t>Powierzchnia obszaru dorzecza</w:t>
            </w:r>
          </w:p>
        </w:tc>
        <w:tc>
          <w:tcPr>
            <w:tcW w:w="3273" w:type="pct"/>
            <w:shd w:val="clear" w:color="auto" w:fill="auto"/>
          </w:tcPr>
          <w:p w14:paraId="38158FCC" w14:textId="591B402E" w:rsidR="006F0E34" w:rsidRPr="00795F17" w:rsidRDefault="006F0E34" w:rsidP="009175D2">
            <w:pPr>
              <w:pStyle w:val="Teksttabelilewy"/>
            </w:pPr>
            <w:r w:rsidRPr="00795F17">
              <w:t xml:space="preserve">118 </w:t>
            </w:r>
            <w:r w:rsidR="00956ABB" w:rsidRPr="00795F17">
              <w:t>030</w:t>
            </w:r>
            <w:r w:rsidRPr="00795F17">
              <w:t xml:space="preserve"> km</w:t>
            </w:r>
            <w:r w:rsidRPr="00795F17">
              <w:rPr>
                <w:vertAlign w:val="superscript"/>
              </w:rPr>
              <w:t>2</w:t>
            </w:r>
          </w:p>
        </w:tc>
      </w:tr>
      <w:tr w:rsidR="006F0E34" w:rsidRPr="00795F17" w14:paraId="20038031" w14:textId="77777777" w:rsidTr="0002015B">
        <w:trPr>
          <w:trHeight w:val="454"/>
        </w:trPr>
        <w:tc>
          <w:tcPr>
            <w:tcW w:w="1727" w:type="pct"/>
            <w:shd w:val="clear" w:color="auto" w:fill="BFBFBF" w:themeFill="background1" w:themeFillShade="BF"/>
          </w:tcPr>
          <w:p w14:paraId="11565692" w14:textId="77777777" w:rsidR="006F0E34" w:rsidRPr="005842B5" w:rsidRDefault="006F0E34" w:rsidP="005842B5">
            <w:pPr>
              <w:pStyle w:val="Teksttabelilewybold"/>
            </w:pPr>
            <w:r w:rsidRPr="005842B5">
              <w:t>Długość cieku głównego</w:t>
            </w:r>
          </w:p>
        </w:tc>
        <w:tc>
          <w:tcPr>
            <w:tcW w:w="3273" w:type="pct"/>
            <w:shd w:val="clear" w:color="auto" w:fill="auto"/>
          </w:tcPr>
          <w:p w14:paraId="3843E70C" w14:textId="30D85D9A" w:rsidR="006F0E34" w:rsidRPr="00795F17" w:rsidRDefault="00F750C9" w:rsidP="009175D2">
            <w:pPr>
              <w:pStyle w:val="Teksttabelilewy"/>
            </w:pPr>
            <w:r w:rsidRPr="00795F17">
              <w:t>7</w:t>
            </w:r>
            <w:r w:rsidR="00566BDD" w:rsidRPr="00795F17">
              <w:t>42</w:t>
            </w:r>
            <w:r w:rsidR="006F0E34" w:rsidRPr="00795F17">
              <w:t xml:space="preserve"> km (Odra</w:t>
            </w:r>
            <w:r w:rsidRPr="00795F17">
              <w:t>)</w:t>
            </w:r>
            <w:r w:rsidR="006F0E34" w:rsidRPr="00795F17">
              <w:t xml:space="preserve"> na terytorium Polski</w:t>
            </w:r>
          </w:p>
        </w:tc>
      </w:tr>
      <w:tr w:rsidR="006F0E34" w:rsidRPr="00795F17" w14:paraId="640CCB91" w14:textId="77777777" w:rsidTr="0002015B">
        <w:trPr>
          <w:trHeight w:val="454"/>
        </w:trPr>
        <w:tc>
          <w:tcPr>
            <w:tcW w:w="1727" w:type="pct"/>
            <w:shd w:val="clear" w:color="auto" w:fill="BFBFBF" w:themeFill="background1" w:themeFillShade="BF"/>
          </w:tcPr>
          <w:p w14:paraId="4159A08E" w14:textId="64D7FC6D" w:rsidR="006F0E34" w:rsidRPr="005842B5" w:rsidRDefault="006F0E34" w:rsidP="005842B5">
            <w:pPr>
              <w:pStyle w:val="Teksttabelilewybold"/>
            </w:pPr>
            <w:r w:rsidRPr="005842B5">
              <w:t xml:space="preserve">Długość cieków istotnych (ciek lub kilka cieków, dla którego lub których wyznaczono </w:t>
            </w:r>
            <w:r w:rsidR="00DF005E">
              <w:t>JCWP</w:t>
            </w:r>
            <w:r w:rsidRPr="005842B5">
              <w:t>)</w:t>
            </w:r>
          </w:p>
        </w:tc>
        <w:tc>
          <w:tcPr>
            <w:tcW w:w="3273" w:type="pct"/>
            <w:shd w:val="clear" w:color="auto" w:fill="auto"/>
          </w:tcPr>
          <w:p w14:paraId="26714FBD" w14:textId="1F3AA2CA" w:rsidR="006F0E34" w:rsidRPr="00795F17" w:rsidRDefault="006F0E34" w:rsidP="009175D2">
            <w:pPr>
              <w:pStyle w:val="Teksttabelilewy"/>
            </w:pPr>
            <w:r w:rsidRPr="00795F17">
              <w:t>41 564,7 km</w:t>
            </w:r>
          </w:p>
        </w:tc>
      </w:tr>
      <w:tr w:rsidR="006F0E34" w:rsidRPr="00795F17" w14:paraId="209D32AA" w14:textId="77777777" w:rsidTr="0002015B">
        <w:trPr>
          <w:trHeight w:val="454"/>
        </w:trPr>
        <w:tc>
          <w:tcPr>
            <w:tcW w:w="1727" w:type="pct"/>
            <w:shd w:val="clear" w:color="auto" w:fill="BFBFBF" w:themeFill="background1" w:themeFillShade="BF"/>
          </w:tcPr>
          <w:p w14:paraId="59EA6592" w14:textId="77777777" w:rsidR="006F0E34" w:rsidRPr="005842B5" w:rsidRDefault="006F0E34" w:rsidP="005842B5">
            <w:pPr>
              <w:pStyle w:val="Teksttabelilewybold"/>
            </w:pPr>
            <w:r w:rsidRPr="005842B5">
              <w:t>Główne dopływy</w:t>
            </w:r>
          </w:p>
        </w:tc>
        <w:tc>
          <w:tcPr>
            <w:tcW w:w="3273" w:type="pct"/>
          </w:tcPr>
          <w:p w14:paraId="223E432B" w14:textId="19E5B10F" w:rsidR="006F0E34" w:rsidRPr="00795F17" w:rsidRDefault="006F0E34" w:rsidP="009175D2">
            <w:pPr>
              <w:pStyle w:val="Teksttabelilewy"/>
            </w:pPr>
            <w:r w:rsidRPr="00795F17">
              <w:rPr>
                <w:b/>
                <w:bCs/>
              </w:rPr>
              <w:t>Lewostronne:</w:t>
            </w:r>
            <w:r w:rsidRPr="00795F17">
              <w:t xml:space="preserve"> </w:t>
            </w:r>
            <w:r w:rsidR="00391EE1" w:rsidRPr="00795F17">
              <w:br/>
            </w:r>
            <w:r w:rsidRPr="00795F17">
              <w:t>Opawa, Nysa Kłodzka, Bystrzyca, Bóbr, Nysa Łużycka, Kaczawa</w:t>
            </w:r>
          </w:p>
          <w:p w14:paraId="20275965" w14:textId="1BC643D3" w:rsidR="006F0E34" w:rsidRPr="00795F17" w:rsidRDefault="006F0E34" w:rsidP="009175D2">
            <w:pPr>
              <w:pStyle w:val="Teksttabelilewy"/>
            </w:pPr>
            <w:r w:rsidRPr="00795F17">
              <w:rPr>
                <w:b/>
                <w:bCs/>
              </w:rPr>
              <w:t>Prawostronne:</w:t>
            </w:r>
            <w:r w:rsidRPr="00795F17">
              <w:t xml:space="preserve"> </w:t>
            </w:r>
            <w:r w:rsidR="00391EE1" w:rsidRPr="00795F17">
              <w:br/>
            </w:r>
            <w:r w:rsidRPr="00795F17">
              <w:t>Mała Panew, Widawa, Barycz, Obrzyca, Warta, Myśla, Ina</w:t>
            </w:r>
          </w:p>
        </w:tc>
      </w:tr>
      <w:tr w:rsidR="006F0E34" w:rsidRPr="00795F17" w14:paraId="488BF640" w14:textId="77777777" w:rsidTr="0002015B">
        <w:trPr>
          <w:trHeight w:val="454"/>
        </w:trPr>
        <w:tc>
          <w:tcPr>
            <w:tcW w:w="1727" w:type="pct"/>
            <w:shd w:val="clear" w:color="auto" w:fill="BFBFBF" w:themeFill="background1" w:themeFillShade="BF"/>
          </w:tcPr>
          <w:p w14:paraId="49AD555C" w14:textId="77777777" w:rsidR="006F0E34" w:rsidRPr="005842B5" w:rsidRDefault="006F0E34" w:rsidP="005842B5">
            <w:pPr>
              <w:pStyle w:val="Teksttabelilewybold"/>
            </w:pPr>
            <w:r w:rsidRPr="005842B5">
              <w:t>Regiony wodne</w:t>
            </w:r>
          </w:p>
        </w:tc>
        <w:tc>
          <w:tcPr>
            <w:tcW w:w="3273" w:type="pct"/>
          </w:tcPr>
          <w:p w14:paraId="19B08DB4" w14:textId="77777777" w:rsidR="006F0E34" w:rsidRPr="00795F17" w:rsidRDefault="006F0E34" w:rsidP="009175D2">
            <w:pPr>
              <w:pStyle w:val="Teksttabelilewy"/>
            </w:pPr>
            <w:r w:rsidRPr="00795F17">
              <w:t xml:space="preserve">5 regionów wodnych: </w:t>
            </w:r>
          </w:p>
          <w:p w14:paraId="2538FFB8" w14:textId="5E2515BC" w:rsidR="006F0E34" w:rsidRPr="00795F17" w:rsidRDefault="006F0E34" w:rsidP="005842B5">
            <w:pPr>
              <w:pStyle w:val="Teksttabelipunkty"/>
            </w:pPr>
            <w:r w:rsidRPr="00795F17">
              <w:t>region wodny Górnej Odry</w:t>
            </w:r>
          </w:p>
          <w:p w14:paraId="16B6FAB5" w14:textId="50D158F2" w:rsidR="006F0E34" w:rsidRDefault="006F0E34" w:rsidP="005842B5">
            <w:pPr>
              <w:pStyle w:val="Teksttabelipunkty"/>
            </w:pPr>
            <w:r w:rsidRPr="00795F17">
              <w:t>region wodny Środkowej Odry</w:t>
            </w:r>
          </w:p>
          <w:p w14:paraId="0A4E2EA2" w14:textId="7A98A4F3" w:rsidR="00BA6B41" w:rsidRDefault="00BA6B41" w:rsidP="005842B5">
            <w:pPr>
              <w:pStyle w:val="Teksttabelipunkty"/>
            </w:pPr>
            <w:r w:rsidRPr="00795F17">
              <w:t>region wodny Dolnej Odry i Przymorza Zachodniego</w:t>
            </w:r>
          </w:p>
          <w:p w14:paraId="3CAF907E" w14:textId="77777777" w:rsidR="0033124B" w:rsidRPr="00795F17" w:rsidRDefault="0033124B" w:rsidP="005842B5">
            <w:pPr>
              <w:pStyle w:val="Teksttabelipunkty"/>
            </w:pPr>
            <w:r w:rsidRPr="00795F17">
              <w:t>region wodny Warty</w:t>
            </w:r>
          </w:p>
          <w:p w14:paraId="51C6893E" w14:textId="79E1651E" w:rsidR="006F0E34" w:rsidRPr="00795F17" w:rsidRDefault="0033124B" w:rsidP="005842B5">
            <w:pPr>
              <w:pStyle w:val="Teksttabelipunkty"/>
            </w:pPr>
            <w:r w:rsidRPr="00795F17">
              <w:t>region wodny Noteci</w:t>
            </w:r>
          </w:p>
        </w:tc>
      </w:tr>
      <w:tr w:rsidR="006F0E34" w:rsidRPr="00795F17" w14:paraId="60FAB56A" w14:textId="77777777" w:rsidTr="0002015B">
        <w:trPr>
          <w:trHeight w:val="454"/>
        </w:trPr>
        <w:tc>
          <w:tcPr>
            <w:tcW w:w="1727" w:type="pct"/>
            <w:shd w:val="clear" w:color="auto" w:fill="BFBFBF" w:themeFill="background1" w:themeFillShade="BF"/>
          </w:tcPr>
          <w:p w14:paraId="3C72D037" w14:textId="77777777" w:rsidR="006F0E34" w:rsidRPr="005842B5" w:rsidRDefault="006F0E34" w:rsidP="005842B5">
            <w:pPr>
              <w:pStyle w:val="Teksttabelilewybold"/>
            </w:pPr>
            <w:r w:rsidRPr="005842B5">
              <w:t>Liczba jcw</w:t>
            </w:r>
          </w:p>
        </w:tc>
        <w:tc>
          <w:tcPr>
            <w:tcW w:w="3273" w:type="pct"/>
          </w:tcPr>
          <w:p w14:paraId="1BAA9517" w14:textId="72916F7E" w:rsidR="006F0E34" w:rsidRPr="00795F17" w:rsidRDefault="00DF005E" w:rsidP="009175D2">
            <w:pPr>
              <w:pStyle w:val="Teksttabelilewy"/>
            </w:pPr>
            <w:r>
              <w:rPr>
                <w:b/>
                <w:bCs/>
              </w:rPr>
              <w:t>JCWP</w:t>
            </w:r>
            <w:r w:rsidR="006F0E34" w:rsidRPr="00795F17">
              <w:rPr>
                <w:b/>
                <w:bCs/>
              </w:rPr>
              <w:t xml:space="preserve"> RW:</w:t>
            </w:r>
            <w:r w:rsidR="006F0E34" w:rsidRPr="00795F17">
              <w:tab/>
              <w:t>1</w:t>
            </w:r>
            <w:r w:rsidR="004A1B81" w:rsidRPr="00795F17">
              <w:t> </w:t>
            </w:r>
            <w:r w:rsidR="006F0E34" w:rsidRPr="00795F17">
              <w:t>272</w:t>
            </w:r>
          </w:p>
          <w:p w14:paraId="7A26554A" w14:textId="52760D6A" w:rsidR="006F0E34" w:rsidRPr="00795F17" w:rsidRDefault="00DF005E" w:rsidP="009175D2">
            <w:pPr>
              <w:pStyle w:val="Teksttabelilewy"/>
            </w:pPr>
            <w:r>
              <w:rPr>
                <w:b/>
                <w:bCs/>
              </w:rPr>
              <w:t>JCWP</w:t>
            </w:r>
            <w:r w:rsidR="006F0E34" w:rsidRPr="00795F17">
              <w:rPr>
                <w:b/>
                <w:bCs/>
              </w:rPr>
              <w:t xml:space="preserve"> RWr:</w:t>
            </w:r>
            <w:r w:rsidR="006F0E34" w:rsidRPr="00795F17">
              <w:tab/>
              <w:t>19</w:t>
            </w:r>
          </w:p>
          <w:p w14:paraId="2BA2F218" w14:textId="54596ADF" w:rsidR="006F0E34" w:rsidRPr="00795F17" w:rsidRDefault="00DF005E" w:rsidP="009175D2">
            <w:pPr>
              <w:pStyle w:val="Teksttabelilewy"/>
            </w:pPr>
            <w:r>
              <w:rPr>
                <w:b/>
                <w:bCs/>
              </w:rPr>
              <w:t>JCWP</w:t>
            </w:r>
            <w:r w:rsidR="006F0E34" w:rsidRPr="00795F17">
              <w:rPr>
                <w:b/>
                <w:bCs/>
              </w:rPr>
              <w:t xml:space="preserve"> LW:</w:t>
            </w:r>
            <w:r w:rsidR="006F0E34" w:rsidRPr="00795F17">
              <w:tab/>
              <w:t>427</w:t>
            </w:r>
          </w:p>
          <w:p w14:paraId="252E4016" w14:textId="2C4E0D96" w:rsidR="006F0E34" w:rsidRPr="00795F17" w:rsidRDefault="00DF005E" w:rsidP="009175D2">
            <w:pPr>
              <w:pStyle w:val="Teksttabelilewy"/>
            </w:pPr>
            <w:r>
              <w:rPr>
                <w:b/>
                <w:bCs/>
              </w:rPr>
              <w:t>JCWP</w:t>
            </w:r>
            <w:r w:rsidR="006F0E34" w:rsidRPr="00795F17">
              <w:rPr>
                <w:b/>
                <w:bCs/>
              </w:rPr>
              <w:t xml:space="preserve"> TW:</w:t>
            </w:r>
            <w:r w:rsidR="006F0E34" w:rsidRPr="00795F17">
              <w:tab/>
              <w:t>2</w:t>
            </w:r>
          </w:p>
          <w:p w14:paraId="7A5D5CC3" w14:textId="4CEFD999" w:rsidR="006F0E34" w:rsidRPr="00795F17" w:rsidRDefault="00DF005E" w:rsidP="009175D2">
            <w:pPr>
              <w:pStyle w:val="Teksttabelilewy"/>
            </w:pPr>
            <w:r>
              <w:rPr>
                <w:b/>
                <w:bCs/>
              </w:rPr>
              <w:t>JCWP</w:t>
            </w:r>
            <w:r w:rsidR="006F0E34" w:rsidRPr="00795F17">
              <w:rPr>
                <w:b/>
                <w:bCs/>
              </w:rPr>
              <w:t xml:space="preserve"> CW:</w:t>
            </w:r>
            <w:r w:rsidR="006F0E34" w:rsidRPr="00795F17">
              <w:tab/>
              <w:t>2</w:t>
            </w:r>
          </w:p>
          <w:p w14:paraId="6ABC9DB2" w14:textId="2C65A7CB" w:rsidR="006F0E34" w:rsidRPr="00795F17" w:rsidRDefault="00DF005E" w:rsidP="009175D2">
            <w:pPr>
              <w:pStyle w:val="Teksttabelilewy"/>
            </w:pPr>
            <w:r>
              <w:rPr>
                <w:b/>
                <w:bCs/>
              </w:rPr>
              <w:t>JCWP</w:t>
            </w:r>
            <w:r w:rsidR="006F0E34" w:rsidRPr="00795F17">
              <w:rPr>
                <w:b/>
                <w:bCs/>
              </w:rPr>
              <w:t>d:</w:t>
            </w:r>
            <w:r w:rsidR="006F0E34" w:rsidRPr="00795F17">
              <w:tab/>
              <w:t>66</w:t>
            </w:r>
          </w:p>
        </w:tc>
      </w:tr>
      <w:tr w:rsidR="006F0E34" w:rsidRPr="00795F17" w14:paraId="2CE8A27B" w14:textId="77777777" w:rsidTr="0002015B">
        <w:trPr>
          <w:trHeight w:val="454"/>
        </w:trPr>
        <w:tc>
          <w:tcPr>
            <w:tcW w:w="1727" w:type="pct"/>
            <w:shd w:val="clear" w:color="auto" w:fill="BFBFBF" w:themeFill="background1" w:themeFillShade="BF"/>
          </w:tcPr>
          <w:p w14:paraId="0D0E981A" w14:textId="77777777" w:rsidR="006F0E34" w:rsidRPr="005842B5" w:rsidRDefault="006F0E34" w:rsidP="005842B5">
            <w:pPr>
              <w:pStyle w:val="Teksttabelilewybold"/>
            </w:pPr>
            <w:r w:rsidRPr="005842B5">
              <w:t>Liczba obszarów chronionych</w:t>
            </w:r>
          </w:p>
        </w:tc>
        <w:tc>
          <w:tcPr>
            <w:tcW w:w="3273" w:type="pct"/>
          </w:tcPr>
          <w:p w14:paraId="03EDC2D7" w14:textId="2E6B93E3" w:rsidR="006F0E34" w:rsidRPr="00795F17" w:rsidRDefault="006F0E34" w:rsidP="009175D2">
            <w:pPr>
              <w:pStyle w:val="Teksttabelilewy"/>
            </w:pPr>
            <w:r w:rsidRPr="00795F17">
              <w:t>Obszary chronione w rozumieniu art. 16 pkt 32 pr.w.:</w:t>
            </w:r>
          </w:p>
          <w:p w14:paraId="535857B8" w14:textId="78A96EAE" w:rsidR="006F0E34" w:rsidRPr="00795F17" w:rsidRDefault="006F0E34" w:rsidP="005842B5">
            <w:pPr>
              <w:pStyle w:val="Teksttabelipunkty"/>
            </w:pPr>
            <w:r w:rsidRPr="00795F17">
              <w:t>jcw przeznaczone do poboru wody na potrzeby zaopatrzenia ludności w wodę przeznaczoną do spożycia przez ludzi</w:t>
            </w:r>
            <w:r w:rsidR="00EE2868">
              <w:t xml:space="preserve">, </w:t>
            </w:r>
            <w:r w:rsidRPr="00795F17">
              <w:t xml:space="preserve">dalej </w:t>
            </w:r>
            <w:r w:rsidR="00781A45">
              <w:t xml:space="preserve">jako </w:t>
            </w:r>
            <w:r w:rsidR="00081CD6">
              <w:t>„</w:t>
            </w:r>
            <w:r w:rsidRPr="00795F17">
              <w:rPr>
                <w:b/>
                <w:bCs/>
              </w:rPr>
              <w:t>ZL</w:t>
            </w:r>
            <w:r w:rsidR="00081CD6">
              <w:rPr>
                <w:b/>
                <w:bCs/>
              </w:rPr>
              <w:t>”</w:t>
            </w:r>
            <w:r w:rsidRPr="00795F17">
              <w:t>;</w:t>
            </w:r>
          </w:p>
          <w:p w14:paraId="7F2A0EB9" w14:textId="2A3B7ACF" w:rsidR="006F0E34" w:rsidRPr="00795F17" w:rsidRDefault="006F0E34" w:rsidP="005842B5">
            <w:pPr>
              <w:pStyle w:val="Teksttabelipunkty"/>
            </w:pPr>
            <w:r w:rsidRPr="00795F17">
              <w:t>jcw przeznaczone do celów rekreacyjnych, w tym kąpieliskowych</w:t>
            </w:r>
            <w:r w:rsidR="00EE2868">
              <w:t xml:space="preserve">, </w:t>
            </w:r>
            <w:r w:rsidRPr="00795F17">
              <w:t xml:space="preserve">dalej </w:t>
            </w:r>
            <w:r w:rsidR="00081CD6">
              <w:t>„</w:t>
            </w:r>
            <w:r w:rsidRPr="00795F17">
              <w:rPr>
                <w:b/>
                <w:bCs/>
              </w:rPr>
              <w:t>RK</w:t>
            </w:r>
            <w:r w:rsidR="00081CD6">
              <w:rPr>
                <w:b/>
                <w:bCs/>
              </w:rPr>
              <w:t>”</w:t>
            </w:r>
            <w:r w:rsidRPr="00795F17">
              <w:t>;</w:t>
            </w:r>
          </w:p>
          <w:p w14:paraId="0B83CA18" w14:textId="2FAFDC03" w:rsidR="006F0E34" w:rsidRPr="00795F17" w:rsidRDefault="001B1956" w:rsidP="005842B5">
            <w:pPr>
              <w:pStyle w:val="Teksttabelipunkty"/>
            </w:pPr>
            <w:r>
              <w:t>o</w:t>
            </w:r>
            <w:r w:rsidRPr="00795F17">
              <w:t>bszary wrażliwe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r w:rsidR="00EE2868">
              <w:t xml:space="preserve">, </w:t>
            </w:r>
            <w:r w:rsidR="006F0E34" w:rsidRPr="00795F17">
              <w:t xml:space="preserve">dalej </w:t>
            </w:r>
            <w:r w:rsidR="00081CD6">
              <w:t>„</w:t>
            </w:r>
            <w:r w:rsidR="006F0E34" w:rsidRPr="00795F17">
              <w:rPr>
                <w:b/>
                <w:bCs/>
              </w:rPr>
              <w:t>EUT</w:t>
            </w:r>
            <w:r w:rsidR="00081CD6">
              <w:rPr>
                <w:b/>
                <w:bCs/>
              </w:rPr>
              <w:t>”</w:t>
            </w:r>
            <w:r w:rsidR="006F0E34" w:rsidRPr="00795F17">
              <w:t>;</w:t>
            </w:r>
          </w:p>
          <w:p w14:paraId="59ECA9FF" w14:textId="6AD2B1F3" w:rsidR="006F0E34" w:rsidRPr="00795F17" w:rsidRDefault="006F0E34" w:rsidP="005842B5">
            <w:pPr>
              <w:pStyle w:val="Teksttabelipunkty"/>
            </w:pPr>
            <w:r w:rsidRPr="00795F17">
              <w:t>obszary przeznaczone do ochrony siedlisk lub gatunków, o których mowa w przepisach </w:t>
            </w:r>
            <w:r w:rsidR="00CF3C06">
              <w:t>u.o.p</w:t>
            </w:r>
            <w:r w:rsidRPr="00795F17">
              <w:t>, dla których utrzymanie lub poprawa stanu wód jest ważnym czynnikiem w ich ochronie</w:t>
            </w:r>
            <w:r w:rsidR="00EE2868">
              <w:t xml:space="preserve">, </w:t>
            </w:r>
            <w:r w:rsidRPr="00795F17">
              <w:t xml:space="preserve">dalej </w:t>
            </w:r>
            <w:r w:rsidR="00081CD6">
              <w:t>„</w:t>
            </w:r>
            <w:r w:rsidRPr="00795F17">
              <w:rPr>
                <w:b/>
                <w:bCs/>
              </w:rPr>
              <w:t>SiG</w:t>
            </w:r>
            <w:r w:rsidR="00081CD6">
              <w:rPr>
                <w:b/>
                <w:bCs/>
              </w:rPr>
              <w:t>”</w:t>
            </w:r>
            <w:r w:rsidRPr="00795F17">
              <w:t>;</w:t>
            </w:r>
          </w:p>
          <w:p w14:paraId="67428D13" w14:textId="2DBF2D87" w:rsidR="006F0E34" w:rsidRPr="00795F17" w:rsidRDefault="00BD70A7" w:rsidP="005842B5">
            <w:pPr>
              <w:pStyle w:val="Teksttabelipunkty"/>
            </w:pPr>
            <w:r w:rsidRPr="00795F17">
              <w:t>obszary przeznaczone do ochrony gatunków zwierząt wodnych o znaczeniu gospodarczym</w:t>
            </w:r>
            <w:r w:rsidR="00081CD6">
              <w:t xml:space="preserve">, </w:t>
            </w:r>
            <w:r w:rsidR="009670FC">
              <w:t xml:space="preserve">dalej </w:t>
            </w:r>
            <w:r w:rsidR="00081CD6">
              <w:t>„</w:t>
            </w:r>
            <w:r w:rsidR="009670FC" w:rsidRPr="00D90B78">
              <w:rPr>
                <w:b/>
                <w:bCs/>
              </w:rPr>
              <w:t>GZWod</w:t>
            </w:r>
            <w:r w:rsidR="00081CD6">
              <w:rPr>
                <w:b/>
                <w:bCs/>
              </w:rPr>
              <w:t>”</w:t>
            </w:r>
            <w:r w:rsidR="006F0E34" w:rsidRPr="00795F17">
              <w:t>.</w:t>
            </w:r>
          </w:p>
          <w:p w14:paraId="7F2B1240" w14:textId="06B81724" w:rsidR="006F0E34" w:rsidRPr="00795F17" w:rsidRDefault="006F0E34" w:rsidP="008827E6">
            <w:pPr>
              <w:pStyle w:val="Teksttabelilewy"/>
              <w:ind w:left="162"/>
            </w:pPr>
            <w:r w:rsidRPr="00795F17">
              <w:rPr>
                <w:b/>
                <w:bCs/>
              </w:rPr>
              <w:t>ZL:</w:t>
            </w:r>
            <w:r w:rsidRPr="00795F17">
              <w:t xml:space="preserve"> </w:t>
            </w:r>
            <w:r w:rsidRPr="00795F17">
              <w:tab/>
              <w:t xml:space="preserve">53 </w:t>
            </w:r>
            <w:r w:rsidR="00DF005E">
              <w:t>JCWP</w:t>
            </w:r>
            <w:r w:rsidRPr="00795F17">
              <w:t xml:space="preserve">, 66 </w:t>
            </w:r>
            <w:r w:rsidR="00DF005E">
              <w:t>JCWP</w:t>
            </w:r>
            <w:r w:rsidRPr="00795F17">
              <w:t>d</w:t>
            </w:r>
          </w:p>
          <w:p w14:paraId="32682739" w14:textId="79EC3331" w:rsidR="006F0E34" w:rsidRPr="00795F17" w:rsidRDefault="006F0E34" w:rsidP="008827E6">
            <w:pPr>
              <w:pStyle w:val="Teksttabelilewy"/>
              <w:ind w:left="162"/>
            </w:pPr>
            <w:r w:rsidRPr="00795F17">
              <w:rPr>
                <w:b/>
                <w:bCs/>
              </w:rPr>
              <w:t>RK:</w:t>
            </w:r>
            <w:r w:rsidRPr="00795F17">
              <w:t xml:space="preserve"> </w:t>
            </w:r>
            <w:r w:rsidRPr="00795F17">
              <w:tab/>
              <w:t>25</w:t>
            </w:r>
            <w:r w:rsidR="00225712">
              <w:t>2</w:t>
            </w:r>
            <w:r w:rsidRPr="00795F17">
              <w:t xml:space="preserve"> </w:t>
            </w:r>
            <w:r w:rsidR="00DF005E">
              <w:t>JCWP</w:t>
            </w:r>
          </w:p>
          <w:p w14:paraId="60B586DA" w14:textId="20681201" w:rsidR="006F0E34" w:rsidRPr="00795F17" w:rsidRDefault="006F0E34" w:rsidP="00544256">
            <w:pPr>
              <w:pStyle w:val="Teksttabelilewy"/>
              <w:ind w:left="164"/>
            </w:pPr>
            <w:r w:rsidRPr="00795F17">
              <w:rPr>
                <w:b/>
                <w:bCs/>
              </w:rPr>
              <w:t>SiG:</w:t>
            </w:r>
            <w:r w:rsidRPr="00795F17">
              <w:t xml:space="preserve"> </w:t>
            </w:r>
            <w:r w:rsidRPr="00795F17">
              <w:tab/>
            </w:r>
            <w:r w:rsidR="00675C4C" w:rsidRPr="00795F17">
              <w:t>1 487</w:t>
            </w:r>
            <w:r w:rsidRPr="00795F17">
              <w:t xml:space="preserve"> </w:t>
            </w:r>
            <w:r w:rsidR="00DF005E">
              <w:t>JCWP</w:t>
            </w:r>
          </w:p>
          <w:p w14:paraId="3B88CAD9" w14:textId="103B50AC" w:rsidR="006F0E34" w:rsidRDefault="006F0E34">
            <w:pPr>
              <w:pStyle w:val="Teksttabelilewy"/>
              <w:ind w:left="164"/>
            </w:pPr>
            <w:r w:rsidRPr="00795F17">
              <w:rPr>
                <w:b/>
                <w:bCs/>
              </w:rPr>
              <w:t>EUT:</w:t>
            </w:r>
            <w:r w:rsidRPr="00795F17">
              <w:tab/>
            </w:r>
            <w:r w:rsidR="006B2554" w:rsidRPr="00795F17">
              <w:t>1 722</w:t>
            </w:r>
            <w:r w:rsidRPr="00795F17">
              <w:t xml:space="preserve"> </w:t>
            </w:r>
            <w:r w:rsidR="00DF005E">
              <w:t>JCWP</w:t>
            </w:r>
          </w:p>
          <w:p w14:paraId="2F034E89" w14:textId="40797643" w:rsidR="006F0E34" w:rsidRPr="00795F17" w:rsidRDefault="00DC0B54" w:rsidP="00544256">
            <w:pPr>
              <w:pStyle w:val="Teksttabelilewy"/>
              <w:ind w:left="164"/>
            </w:pPr>
            <w:r>
              <w:rPr>
                <w:rFonts w:eastAsiaTheme="minorHAnsi" w:cstheme="minorHAnsi"/>
                <w:b/>
                <w:color w:val="000000"/>
                <w:szCs w:val="20"/>
              </w:rPr>
              <w:t>GZWod</w:t>
            </w:r>
            <w:r w:rsidRPr="003A10A2">
              <w:rPr>
                <w:rFonts w:eastAsiaTheme="minorHAnsi" w:cstheme="minorHAnsi"/>
                <w:b/>
                <w:color w:val="000000"/>
                <w:szCs w:val="20"/>
              </w:rPr>
              <w:t>:</w:t>
            </w:r>
            <w:r w:rsidRPr="003A10A2">
              <w:rPr>
                <w:rFonts w:eastAsiaTheme="minorHAnsi" w:cstheme="minorHAnsi"/>
                <w:b/>
                <w:color w:val="000000"/>
                <w:szCs w:val="20"/>
              </w:rPr>
              <w:tab/>
            </w:r>
            <w:r w:rsidR="00C77DDE">
              <w:rPr>
                <w:rFonts w:eastAsiaTheme="minorHAnsi" w:cstheme="minorHAnsi"/>
                <w:bCs/>
                <w:color w:val="000000"/>
                <w:szCs w:val="20"/>
              </w:rPr>
              <w:t>9</w:t>
            </w:r>
            <w:r>
              <w:rPr>
                <w:rFonts w:eastAsiaTheme="minorHAnsi" w:cstheme="minorHAnsi"/>
                <w:bCs/>
                <w:color w:val="000000"/>
                <w:szCs w:val="20"/>
              </w:rPr>
              <w:t>4</w:t>
            </w:r>
            <w:r w:rsidRPr="00B661B7">
              <w:rPr>
                <w:rFonts w:eastAsiaTheme="minorHAnsi" w:cstheme="minorHAnsi"/>
                <w:bCs/>
                <w:color w:val="000000"/>
                <w:szCs w:val="20"/>
              </w:rPr>
              <w:t xml:space="preserve"> obszar</w:t>
            </w:r>
            <w:r>
              <w:rPr>
                <w:rFonts w:eastAsiaTheme="minorHAnsi" w:cstheme="minorHAnsi"/>
                <w:bCs/>
                <w:color w:val="000000"/>
                <w:szCs w:val="20"/>
              </w:rPr>
              <w:t>y</w:t>
            </w:r>
            <w:r w:rsidRPr="00B661B7">
              <w:rPr>
                <w:rFonts w:eastAsiaTheme="minorHAnsi" w:cstheme="minorHAnsi"/>
                <w:bCs/>
                <w:color w:val="000000"/>
                <w:szCs w:val="20"/>
              </w:rPr>
              <w:t xml:space="preserve"> w obrębie</w:t>
            </w:r>
            <w:r>
              <w:rPr>
                <w:rFonts w:eastAsiaTheme="minorHAnsi" w:cstheme="minorHAnsi"/>
                <w:b/>
                <w:color w:val="000000"/>
                <w:szCs w:val="20"/>
              </w:rPr>
              <w:t xml:space="preserve"> </w:t>
            </w:r>
            <w:r w:rsidR="00DF005E">
              <w:rPr>
                <w:rFonts w:eastAsiaTheme="minorHAnsi" w:cstheme="minorHAnsi"/>
                <w:color w:val="000000"/>
                <w:szCs w:val="20"/>
              </w:rPr>
              <w:t>JCWP</w:t>
            </w:r>
            <w:r>
              <w:rPr>
                <w:rFonts w:eastAsiaTheme="minorHAnsi" w:cstheme="minorHAnsi"/>
                <w:color w:val="000000"/>
                <w:szCs w:val="20"/>
              </w:rPr>
              <w:t xml:space="preserve"> 1</w:t>
            </w:r>
            <w:r w:rsidR="00654DCC">
              <w:rPr>
                <w:rFonts w:eastAsiaTheme="minorHAnsi" w:cstheme="minorHAnsi"/>
                <w:color w:val="000000"/>
                <w:szCs w:val="20"/>
              </w:rPr>
              <w:t>7</w:t>
            </w:r>
            <w:r>
              <w:rPr>
                <w:rFonts w:eastAsiaTheme="minorHAnsi" w:cstheme="minorHAnsi"/>
                <w:color w:val="000000"/>
                <w:szCs w:val="20"/>
              </w:rPr>
              <w:t xml:space="preserve">4 </w:t>
            </w:r>
            <w:r w:rsidR="00DF005E">
              <w:rPr>
                <w:rFonts w:eastAsiaTheme="minorHAnsi" w:cstheme="minorHAnsi"/>
                <w:color w:val="000000"/>
                <w:szCs w:val="20"/>
              </w:rPr>
              <w:t>JCWP</w:t>
            </w:r>
            <w:r>
              <w:rPr>
                <w:rFonts w:eastAsiaTheme="minorHAnsi" w:cstheme="minorHAnsi"/>
                <w:color w:val="000000"/>
                <w:szCs w:val="20"/>
              </w:rPr>
              <w:t xml:space="preserve"> RW, </w:t>
            </w:r>
            <w:r w:rsidR="00F920E9">
              <w:rPr>
                <w:rFonts w:eastAsiaTheme="minorHAnsi" w:cstheme="minorHAnsi"/>
                <w:color w:val="000000"/>
                <w:szCs w:val="20"/>
              </w:rPr>
              <w:t>4</w:t>
            </w:r>
            <w:r>
              <w:rPr>
                <w:rFonts w:eastAsiaTheme="minorHAnsi" w:cstheme="minorHAnsi"/>
                <w:color w:val="000000"/>
                <w:szCs w:val="20"/>
              </w:rPr>
              <w:t xml:space="preserve"> </w:t>
            </w:r>
            <w:r w:rsidR="00DF005E">
              <w:rPr>
                <w:rFonts w:eastAsiaTheme="minorHAnsi" w:cstheme="minorHAnsi"/>
                <w:color w:val="000000"/>
                <w:szCs w:val="20"/>
              </w:rPr>
              <w:t>JCWP</w:t>
            </w:r>
            <w:r>
              <w:rPr>
                <w:rFonts w:eastAsiaTheme="minorHAnsi" w:cstheme="minorHAnsi"/>
                <w:color w:val="000000"/>
                <w:szCs w:val="20"/>
              </w:rPr>
              <w:t xml:space="preserve"> RWr, </w:t>
            </w:r>
            <w:r w:rsidR="006F0260">
              <w:rPr>
                <w:rFonts w:eastAsiaTheme="minorHAnsi" w:cstheme="minorHAnsi"/>
                <w:color w:val="000000"/>
                <w:szCs w:val="20"/>
              </w:rPr>
              <w:t>73</w:t>
            </w:r>
            <w:r>
              <w:rPr>
                <w:rFonts w:eastAsiaTheme="minorHAnsi" w:cstheme="minorHAnsi"/>
                <w:color w:val="000000"/>
                <w:szCs w:val="20"/>
              </w:rPr>
              <w:t xml:space="preserve"> </w:t>
            </w:r>
            <w:r w:rsidR="00DF005E">
              <w:rPr>
                <w:rFonts w:eastAsiaTheme="minorHAnsi" w:cstheme="minorHAnsi"/>
                <w:color w:val="000000"/>
                <w:szCs w:val="20"/>
              </w:rPr>
              <w:t>JCWP</w:t>
            </w:r>
            <w:r>
              <w:rPr>
                <w:rFonts w:eastAsiaTheme="minorHAnsi" w:cstheme="minorHAnsi"/>
                <w:color w:val="000000"/>
                <w:szCs w:val="20"/>
              </w:rPr>
              <w:t xml:space="preserve"> LW</w:t>
            </w:r>
            <w:r w:rsidR="006F0260">
              <w:rPr>
                <w:rFonts w:eastAsiaTheme="minorHAnsi" w:cstheme="minorHAnsi"/>
                <w:color w:val="000000"/>
                <w:szCs w:val="20"/>
              </w:rPr>
              <w:t xml:space="preserve">, 2 </w:t>
            </w:r>
            <w:r w:rsidR="00DF005E">
              <w:rPr>
                <w:rFonts w:eastAsiaTheme="minorHAnsi" w:cstheme="minorHAnsi"/>
                <w:color w:val="000000"/>
                <w:szCs w:val="20"/>
              </w:rPr>
              <w:t>JCWP</w:t>
            </w:r>
            <w:r w:rsidR="006F0260">
              <w:rPr>
                <w:rFonts w:eastAsiaTheme="minorHAnsi" w:cstheme="minorHAnsi"/>
                <w:color w:val="000000"/>
                <w:szCs w:val="20"/>
              </w:rPr>
              <w:t xml:space="preserve"> TW.</w:t>
            </w:r>
          </w:p>
        </w:tc>
      </w:tr>
      <w:tr w:rsidR="006F0E34" w:rsidRPr="00795F17" w14:paraId="3AFD60C7" w14:textId="77777777" w:rsidTr="0002015B">
        <w:trPr>
          <w:trHeight w:val="454"/>
        </w:trPr>
        <w:tc>
          <w:tcPr>
            <w:tcW w:w="1727" w:type="pct"/>
            <w:shd w:val="clear" w:color="auto" w:fill="BFBFBF" w:themeFill="background1" w:themeFillShade="BF"/>
          </w:tcPr>
          <w:p w14:paraId="73AE11D0" w14:textId="77777777" w:rsidR="006F0E34" w:rsidRPr="005842B5" w:rsidRDefault="006F0E34" w:rsidP="005842B5">
            <w:pPr>
              <w:pStyle w:val="Teksttabelilewybold"/>
            </w:pPr>
            <w:r w:rsidRPr="005842B5">
              <w:t>Liczba jcw zagrożonych nieosiągnięciem celów środowiskowych</w:t>
            </w:r>
          </w:p>
        </w:tc>
        <w:tc>
          <w:tcPr>
            <w:tcW w:w="3273" w:type="pct"/>
          </w:tcPr>
          <w:p w14:paraId="77EE3D30" w14:textId="0D4493AA" w:rsidR="006F0E34" w:rsidRPr="00795F17" w:rsidRDefault="00DF005E" w:rsidP="009175D2">
            <w:pPr>
              <w:pStyle w:val="Teksttabelilewy"/>
            </w:pPr>
            <w:r>
              <w:rPr>
                <w:b/>
                <w:bCs/>
              </w:rPr>
              <w:t>JCWP</w:t>
            </w:r>
            <w:r w:rsidR="006F0E34" w:rsidRPr="00795F17">
              <w:rPr>
                <w:b/>
                <w:bCs/>
              </w:rPr>
              <w:t xml:space="preserve"> RW:</w:t>
            </w:r>
            <w:r w:rsidR="006F0E34" w:rsidRPr="00795F17">
              <w:tab/>
              <w:t>1</w:t>
            </w:r>
            <w:r w:rsidR="004A1B81" w:rsidRPr="00795F17">
              <w:t> </w:t>
            </w:r>
            <w:r w:rsidR="006F0E34" w:rsidRPr="00795F17">
              <w:t>2</w:t>
            </w:r>
            <w:r w:rsidR="00C77570">
              <w:t>05</w:t>
            </w:r>
            <w:r w:rsidR="006F0E34" w:rsidRPr="00795F17">
              <w:t xml:space="preserve"> </w:t>
            </w:r>
            <w:r>
              <w:t>JCWP</w:t>
            </w:r>
            <w:r w:rsidR="006F0E34" w:rsidRPr="00795F17">
              <w:t xml:space="preserve"> RW, tj. 95% </w:t>
            </w:r>
            <w:r w:rsidR="004A6EC9">
              <w:t>na</w:t>
            </w:r>
            <w:r w:rsidR="006F0E34" w:rsidRPr="00795F17">
              <w:t xml:space="preserve"> obszarze dorzecza Odry</w:t>
            </w:r>
          </w:p>
          <w:p w14:paraId="09AE588C" w14:textId="0B52D842" w:rsidR="006F0E34" w:rsidRPr="00795F17" w:rsidRDefault="00DF005E" w:rsidP="009175D2">
            <w:pPr>
              <w:pStyle w:val="Teksttabelilewy"/>
            </w:pPr>
            <w:r>
              <w:rPr>
                <w:b/>
                <w:bCs/>
              </w:rPr>
              <w:t>JCWP</w:t>
            </w:r>
            <w:r w:rsidR="006F0E34" w:rsidRPr="00795F17">
              <w:rPr>
                <w:b/>
                <w:bCs/>
              </w:rPr>
              <w:t xml:space="preserve"> RWr:</w:t>
            </w:r>
            <w:r w:rsidR="006F0E34" w:rsidRPr="00795F17">
              <w:tab/>
            </w:r>
            <w:r w:rsidR="00855E9E" w:rsidRPr="00795F17">
              <w:t>1</w:t>
            </w:r>
            <w:r w:rsidR="00B03D5C">
              <w:t>9</w:t>
            </w:r>
            <w:r w:rsidR="00855E9E" w:rsidRPr="00795F17">
              <w:t xml:space="preserve"> </w:t>
            </w:r>
            <w:r>
              <w:t>JCWP</w:t>
            </w:r>
            <w:r w:rsidR="006F0E34" w:rsidRPr="00795F17">
              <w:t xml:space="preserve"> RWr, tj. </w:t>
            </w:r>
            <w:r w:rsidR="00B03D5C">
              <w:t>100</w:t>
            </w:r>
            <w:r w:rsidR="006F0E34" w:rsidRPr="00795F17">
              <w:t xml:space="preserve">% </w:t>
            </w:r>
            <w:r w:rsidR="008D28A9">
              <w:t xml:space="preserve">na </w:t>
            </w:r>
            <w:r w:rsidR="006F0E34" w:rsidRPr="00795F17">
              <w:t>obszarze dorzecza Odry</w:t>
            </w:r>
          </w:p>
          <w:p w14:paraId="00879AF3" w14:textId="1A4265CB" w:rsidR="006F0E34" w:rsidRPr="00795F17" w:rsidRDefault="00DF005E" w:rsidP="009175D2">
            <w:pPr>
              <w:pStyle w:val="Teksttabelilewy"/>
            </w:pPr>
            <w:r>
              <w:rPr>
                <w:b/>
                <w:bCs/>
              </w:rPr>
              <w:t>JCWP</w:t>
            </w:r>
            <w:r w:rsidR="006F0E34" w:rsidRPr="00795F17">
              <w:rPr>
                <w:b/>
                <w:bCs/>
              </w:rPr>
              <w:t xml:space="preserve"> LW:</w:t>
            </w:r>
            <w:r w:rsidR="006F0E34" w:rsidRPr="00795F17">
              <w:tab/>
            </w:r>
            <w:r w:rsidR="00D60508">
              <w:t>287</w:t>
            </w:r>
            <w:r w:rsidR="00D60508" w:rsidRPr="00795F17">
              <w:t xml:space="preserve"> </w:t>
            </w:r>
            <w:r>
              <w:t>JCWP</w:t>
            </w:r>
            <w:r w:rsidR="006F0E34" w:rsidRPr="00795F17">
              <w:t xml:space="preserve"> LW, tj. </w:t>
            </w:r>
            <w:r w:rsidR="00D60508">
              <w:t>67</w:t>
            </w:r>
            <w:r w:rsidR="006F0E34" w:rsidRPr="00795F17">
              <w:t xml:space="preserve">% </w:t>
            </w:r>
            <w:r w:rsidR="008D28A9">
              <w:t xml:space="preserve">na </w:t>
            </w:r>
            <w:r w:rsidR="006F0E34" w:rsidRPr="00795F17">
              <w:t>obszarze dorzecza Odry</w:t>
            </w:r>
          </w:p>
          <w:p w14:paraId="6D501692" w14:textId="0047D6BF" w:rsidR="006F0E34" w:rsidRPr="00795F17" w:rsidRDefault="00DF005E" w:rsidP="009175D2">
            <w:pPr>
              <w:pStyle w:val="Teksttabelilewy"/>
            </w:pPr>
            <w:r>
              <w:rPr>
                <w:b/>
                <w:bCs/>
              </w:rPr>
              <w:t>JCWP</w:t>
            </w:r>
            <w:r w:rsidR="006F0E34" w:rsidRPr="00795F17">
              <w:rPr>
                <w:b/>
                <w:bCs/>
              </w:rPr>
              <w:t xml:space="preserve"> TW:</w:t>
            </w:r>
            <w:r w:rsidR="006F0E34" w:rsidRPr="00795F17">
              <w:tab/>
              <w:t xml:space="preserve">2 </w:t>
            </w:r>
            <w:r>
              <w:t>JCWP</w:t>
            </w:r>
            <w:r w:rsidR="006F0E34" w:rsidRPr="00795F17">
              <w:t xml:space="preserve">, tj. 100% </w:t>
            </w:r>
            <w:r w:rsidR="008D28A9">
              <w:t xml:space="preserve">na </w:t>
            </w:r>
            <w:r w:rsidR="006F0E34" w:rsidRPr="00795F17">
              <w:t>obszarze dorzecza Odry</w:t>
            </w:r>
          </w:p>
          <w:p w14:paraId="347EC505" w14:textId="0766F4D8" w:rsidR="006F0E34" w:rsidRPr="00795F17" w:rsidRDefault="00DF005E" w:rsidP="009175D2">
            <w:pPr>
              <w:pStyle w:val="Teksttabelilewy"/>
            </w:pPr>
            <w:r>
              <w:rPr>
                <w:b/>
                <w:bCs/>
              </w:rPr>
              <w:t>JCWP</w:t>
            </w:r>
            <w:r w:rsidR="006F0E34" w:rsidRPr="00795F17">
              <w:rPr>
                <w:b/>
                <w:bCs/>
              </w:rPr>
              <w:t xml:space="preserve"> CW:</w:t>
            </w:r>
            <w:r w:rsidR="006F0E34" w:rsidRPr="00795F17">
              <w:tab/>
              <w:t xml:space="preserve">2 </w:t>
            </w:r>
            <w:r>
              <w:t>JCWP</w:t>
            </w:r>
            <w:r w:rsidR="006F0E34" w:rsidRPr="00795F17">
              <w:t xml:space="preserve">, tj. 100% </w:t>
            </w:r>
            <w:r w:rsidR="008D28A9">
              <w:t xml:space="preserve">na </w:t>
            </w:r>
            <w:r w:rsidR="006F0E34" w:rsidRPr="00795F17">
              <w:t>obszarze dorzecza Odry</w:t>
            </w:r>
          </w:p>
          <w:p w14:paraId="7E591812" w14:textId="21FD40FF" w:rsidR="006F0E34" w:rsidRPr="00795F17" w:rsidRDefault="00DF005E" w:rsidP="009175D2">
            <w:pPr>
              <w:pStyle w:val="Teksttabelilewy"/>
            </w:pPr>
            <w:r>
              <w:rPr>
                <w:b/>
                <w:bCs/>
              </w:rPr>
              <w:t>JCWP</w:t>
            </w:r>
            <w:r w:rsidR="006F0E34" w:rsidRPr="00795F17">
              <w:rPr>
                <w:b/>
                <w:bCs/>
              </w:rPr>
              <w:t>d:</w:t>
            </w:r>
            <w:r w:rsidR="006F0E34" w:rsidRPr="00795F17">
              <w:tab/>
              <w:t>2</w:t>
            </w:r>
            <w:r w:rsidR="00ED7BEE">
              <w:t>1</w:t>
            </w:r>
            <w:r w:rsidR="006F0E34" w:rsidRPr="00795F17">
              <w:t xml:space="preserve"> </w:t>
            </w:r>
            <w:r>
              <w:t>JCWP</w:t>
            </w:r>
            <w:r w:rsidR="006F0E34" w:rsidRPr="00795F17">
              <w:t xml:space="preserve">d, tj. </w:t>
            </w:r>
            <w:r w:rsidR="004B06E7" w:rsidRPr="00795F17">
              <w:t>3</w:t>
            </w:r>
            <w:r w:rsidR="00ED7BEE">
              <w:t>2</w:t>
            </w:r>
            <w:r w:rsidR="006F0E34" w:rsidRPr="00795F17">
              <w:t xml:space="preserve">% </w:t>
            </w:r>
            <w:r w:rsidR="008D28A9">
              <w:t xml:space="preserve">na </w:t>
            </w:r>
            <w:r w:rsidR="006F0E34" w:rsidRPr="00795F17">
              <w:t>obszarze dorzecza Odry</w:t>
            </w:r>
          </w:p>
        </w:tc>
      </w:tr>
      <w:tr w:rsidR="006F0E34" w:rsidRPr="00795F17" w14:paraId="4D7A75EC" w14:textId="77777777" w:rsidTr="0002015B">
        <w:trPr>
          <w:trHeight w:val="454"/>
        </w:trPr>
        <w:tc>
          <w:tcPr>
            <w:tcW w:w="1727" w:type="pct"/>
            <w:shd w:val="clear" w:color="auto" w:fill="BFBFBF" w:themeFill="background1" w:themeFillShade="BF"/>
          </w:tcPr>
          <w:p w14:paraId="25767E0C" w14:textId="77777777" w:rsidR="006F0E34" w:rsidRPr="005842B5" w:rsidRDefault="006F0E34" w:rsidP="005842B5">
            <w:pPr>
              <w:pStyle w:val="Teksttabelilewybold"/>
            </w:pPr>
            <w:r w:rsidRPr="005842B5">
              <w:t>Główne sposoby użytkowania wód</w:t>
            </w:r>
          </w:p>
        </w:tc>
        <w:tc>
          <w:tcPr>
            <w:tcW w:w="3273" w:type="pct"/>
          </w:tcPr>
          <w:p w14:paraId="4DCE5E56" w14:textId="3E94F24C" w:rsidR="006F0E34" w:rsidRPr="00795F17" w:rsidRDefault="00772066" w:rsidP="005842B5">
            <w:pPr>
              <w:pStyle w:val="Teksttabelipunkty"/>
            </w:pPr>
            <w:r w:rsidRPr="00795F17">
              <w:t>p</w:t>
            </w:r>
            <w:r w:rsidR="006F0E34" w:rsidRPr="00795F17">
              <w:t>obór wody na cele komunalne</w:t>
            </w:r>
          </w:p>
          <w:p w14:paraId="0105EA21" w14:textId="60147997" w:rsidR="006F0E34" w:rsidRPr="00795F17" w:rsidRDefault="006F0E34" w:rsidP="005842B5">
            <w:pPr>
              <w:pStyle w:val="Teksttabelipunkty"/>
            </w:pPr>
            <w:r w:rsidRPr="00795F17">
              <w:t xml:space="preserve">pobór wody na cele przemysłowe </w:t>
            </w:r>
            <w:r w:rsidR="0079397E">
              <w:t>–</w:t>
            </w:r>
            <w:r w:rsidRPr="00795F17">
              <w:t xml:space="preserve"> w tym na cele technologiczne i</w:t>
            </w:r>
            <w:r w:rsidR="00585D34">
              <w:t> </w:t>
            </w:r>
            <w:r w:rsidRPr="00795F17">
              <w:t>chłodnicze</w:t>
            </w:r>
          </w:p>
          <w:p w14:paraId="5AF3A225" w14:textId="328DC459" w:rsidR="006F0E34" w:rsidRPr="00795F17" w:rsidRDefault="006F0E34" w:rsidP="005842B5">
            <w:pPr>
              <w:pStyle w:val="Teksttabelipunkty"/>
            </w:pPr>
            <w:r w:rsidRPr="00795F17">
              <w:t>pobór wody na cele rolnictwa</w:t>
            </w:r>
          </w:p>
          <w:p w14:paraId="4FA03B16" w14:textId="03B25F61" w:rsidR="006F0E34" w:rsidRPr="00795F17" w:rsidRDefault="006F0E34" w:rsidP="005842B5">
            <w:pPr>
              <w:pStyle w:val="Teksttabelipunkty"/>
            </w:pPr>
            <w:r w:rsidRPr="00795F17">
              <w:t>rybactwo i wędkarstwo</w:t>
            </w:r>
          </w:p>
          <w:p w14:paraId="51079189" w14:textId="6D01C5EE" w:rsidR="006F0E34" w:rsidRPr="00795F17" w:rsidRDefault="006F0E34" w:rsidP="005842B5">
            <w:pPr>
              <w:pStyle w:val="Teksttabelipunkty"/>
            </w:pPr>
            <w:r w:rsidRPr="00795F17">
              <w:t>żegluga śródlądowa</w:t>
            </w:r>
          </w:p>
          <w:p w14:paraId="2A6706BE" w14:textId="7813366A" w:rsidR="006F0E34" w:rsidRPr="00795F17" w:rsidRDefault="006F0E34" w:rsidP="005842B5">
            <w:pPr>
              <w:pStyle w:val="Teksttabelipunkty"/>
            </w:pPr>
            <w:r w:rsidRPr="00795F17">
              <w:t>turystyka, rekreacja wodna</w:t>
            </w:r>
          </w:p>
        </w:tc>
      </w:tr>
      <w:tr w:rsidR="006F0E34" w:rsidRPr="00795F17" w14:paraId="0DF12B22" w14:textId="77777777" w:rsidTr="0002015B">
        <w:trPr>
          <w:trHeight w:val="454"/>
        </w:trPr>
        <w:tc>
          <w:tcPr>
            <w:tcW w:w="1727" w:type="pct"/>
            <w:shd w:val="clear" w:color="auto" w:fill="BFBFBF" w:themeFill="background1" w:themeFillShade="BF"/>
          </w:tcPr>
          <w:p w14:paraId="6E0AC2D6" w14:textId="77777777" w:rsidR="006F0E34" w:rsidRPr="005842B5" w:rsidRDefault="006F0E34" w:rsidP="005842B5">
            <w:pPr>
              <w:pStyle w:val="Teksttabelilewybold"/>
            </w:pPr>
            <w:r w:rsidRPr="005842B5">
              <w:t>Zidentyfikowane presje znaczące</w:t>
            </w:r>
          </w:p>
        </w:tc>
        <w:tc>
          <w:tcPr>
            <w:tcW w:w="3273" w:type="pct"/>
          </w:tcPr>
          <w:p w14:paraId="2DE17F5C" w14:textId="141B838F" w:rsidR="006F0E34" w:rsidRPr="00795F17" w:rsidRDefault="00772066" w:rsidP="005842B5">
            <w:pPr>
              <w:pStyle w:val="Teksttabelipunkty"/>
            </w:pPr>
            <w:r w:rsidRPr="00795F17">
              <w:t>z</w:t>
            </w:r>
            <w:r w:rsidR="006F0E34" w:rsidRPr="00795F17">
              <w:t>rzuty ścieków komunalnych i przemysłowych (presje fizykochemiczne, chemiczne)</w:t>
            </w:r>
          </w:p>
          <w:p w14:paraId="3EDFAA63" w14:textId="4D310F7D" w:rsidR="006F0E34" w:rsidRPr="00795F17" w:rsidRDefault="006F0E34" w:rsidP="005842B5">
            <w:pPr>
              <w:pStyle w:val="Teksttabelipunkty"/>
            </w:pPr>
            <w:r w:rsidRPr="00795F17">
              <w:t>zanieczyszczenia obszarowe (presje fizykochemiczne</w:t>
            </w:r>
            <w:r w:rsidR="00692FC2">
              <w:t>, chemiczne</w:t>
            </w:r>
            <w:r w:rsidRPr="00795F17">
              <w:t>)</w:t>
            </w:r>
          </w:p>
          <w:p w14:paraId="25987A1F" w14:textId="7E92D2F2" w:rsidR="006F0E34" w:rsidRPr="00795F17" w:rsidRDefault="006F0E34" w:rsidP="005842B5">
            <w:pPr>
              <w:pStyle w:val="Teksttabelipunkty"/>
            </w:pPr>
            <w:r w:rsidRPr="00795F17">
              <w:t>odwadnianie kopalń (presje fizykochemiczne)</w:t>
            </w:r>
          </w:p>
          <w:p w14:paraId="6591CF27" w14:textId="2D8B8233" w:rsidR="006F0E34" w:rsidRPr="00795F17" w:rsidRDefault="006F0E34" w:rsidP="005842B5">
            <w:pPr>
              <w:pStyle w:val="Teksttabelipunkty"/>
            </w:pPr>
            <w:r w:rsidRPr="00795F17">
              <w:t>zaburzenie reżimu hydrologicznego, zmiany morfologiczne i</w:t>
            </w:r>
            <w:r w:rsidR="00641289" w:rsidRPr="00795F17">
              <w:t> </w:t>
            </w:r>
            <w:r w:rsidRPr="00795F17">
              <w:t xml:space="preserve">hydrologiczne, takie jak regulacja rzek, obwałowania, przerzuty międzyzlewniowe (presje na elementy biologiczne </w:t>
            </w:r>
            <w:r w:rsidR="00641289" w:rsidRPr="00795F17">
              <w:t>i </w:t>
            </w:r>
            <w:r w:rsidRPr="00795F17">
              <w:t>hydromorfologiczne)</w:t>
            </w:r>
          </w:p>
          <w:p w14:paraId="25C4E77B" w14:textId="309EF61E" w:rsidR="006F0E34" w:rsidRPr="00795F17" w:rsidRDefault="006F0E34" w:rsidP="005842B5">
            <w:pPr>
              <w:pStyle w:val="Teksttabelipunkty"/>
            </w:pPr>
            <w:r w:rsidRPr="00795F17">
              <w:t>zanieczyszczenia związane z turystyk</w:t>
            </w:r>
            <w:r w:rsidR="00585D34">
              <w:t>ą</w:t>
            </w:r>
            <w:r w:rsidRPr="00795F17">
              <w:t xml:space="preserve"> i rekreacj</w:t>
            </w:r>
            <w:r w:rsidR="00585D34">
              <w:t>ą</w:t>
            </w:r>
          </w:p>
        </w:tc>
      </w:tr>
    </w:tbl>
    <w:p w14:paraId="78107BD5" w14:textId="16B956F3" w:rsidR="006F0E34" w:rsidRPr="00795F17" w:rsidRDefault="006F0E34" w:rsidP="0044393D">
      <w:pPr>
        <w:pStyle w:val="rdo"/>
      </w:pPr>
      <w:r w:rsidRPr="00795F17">
        <w:rPr>
          <w:lang w:eastAsia="zh-CN"/>
        </w:rPr>
        <w:t xml:space="preserve">Źródło: </w:t>
      </w:r>
      <w:r w:rsidR="00A62769" w:rsidRPr="00795F17">
        <w:rPr>
          <w:lang w:eastAsia="zh-CN"/>
        </w:rPr>
        <w:t>opracowanie własne</w:t>
      </w:r>
    </w:p>
    <w:p w14:paraId="5A32D695" w14:textId="3D99E8F8" w:rsidR="006F0E34" w:rsidRPr="00795F17" w:rsidRDefault="006E67F2" w:rsidP="000C0D25">
      <w:pPr>
        <w:rPr>
          <w:rFonts w:cstheme="minorHAnsi"/>
          <w:color w:val="000000"/>
        </w:rPr>
      </w:pPr>
      <w:r>
        <w:rPr>
          <w:rFonts w:eastAsiaTheme="minorEastAsia" w:cstheme="minorBidi"/>
        </w:rPr>
        <w:t xml:space="preserve">Poszczególne regiony wodne obszaru </w:t>
      </w:r>
      <w:r w:rsidR="006F0E34" w:rsidRPr="00795F17">
        <w:t xml:space="preserve">dorzecza Odry </w:t>
      </w:r>
      <w:r>
        <w:t>obejmują</w:t>
      </w:r>
      <w:r w:rsidR="0084423F">
        <w:t xml:space="preserve"> następujące zlewnie</w:t>
      </w:r>
      <w:r w:rsidR="006F0E34" w:rsidRPr="00795F17">
        <w:rPr>
          <w:rStyle w:val="Odwoanieprzypisudolnego"/>
          <w:rFonts w:asciiTheme="minorHAnsi" w:eastAsiaTheme="minorEastAsia" w:hAnsiTheme="minorHAnsi" w:cstheme="minorBidi"/>
          <w:color w:val="000000" w:themeColor="text1"/>
        </w:rPr>
        <w:footnoteReference w:id="2"/>
      </w:r>
      <w:r w:rsidR="006F0E34" w:rsidRPr="00795F17">
        <w:rPr>
          <w:rFonts w:eastAsiaTheme="minorEastAsia" w:cstheme="minorBidi"/>
        </w:rPr>
        <w:t>:</w:t>
      </w:r>
    </w:p>
    <w:p w14:paraId="6B5EEFA3" w14:textId="5F060120" w:rsidR="006F0E34" w:rsidRPr="00795F17" w:rsidRDefault="006E67F2" w:rsidP="00117E86">
      <w:pPr>
        <w:pStyle w:val="Listapunktowana2"/>
      </w:pPr>
      <w:r>
        <w:t xml:space="preserve">region wodny </w:t>
      </w:r>
      <w:r w:rsidR="006F0E34" w:rsidRPr="00795F17">
        <w:t xml:space="preserve">Górnej Odry </w:t>
      </w:r>
      <w:r w:rsidR="0084423F">
        <w:t>-</w:t>
      </w:r>
      <w:r w:rsidR="006F0E34" w:rsidRPr="00795F17">
        <w:t xml:space="preserve"> </w:t>
      </w:r>
      <w:r w:rsidR="0084423F" w:rsidRPr="00795F17">
        <w:t>zlewni</w:t>
      </w:r>
      <w:r w:rsidR="0084423F">
        <w:t>a</w:t>
      </w:r>
      <w:r w:rsidR="0084423F" w:rsidRPr="00795F17">
        <w:t xml:space="preserve"> </w:t>
      </w:r>
      <w:r w:rsidR="006F0E34" w:rsidRPr="00795F17">
        <w:t xml:space="preserve">Odry od granicy </w:t>
      </w:r>
      <w:r w:rsidR="00232D8F">
        <w:t>p</w:t>
      </w:r>
      <w:r w:rsidR="006F0E34" w:rsidRPr="00795F17">
        <w:t>aństwa po ujście Nysy Kłodzkiej,</w:t>
      </w:r>
    </w:p>
    <w:p w14:paraId="341C346E" w14:textId="4205D88C" w:rsidR="006F0E34" w:rsidRDefault="0084423F" w:rsidP="00117E86">
      <w:pPr>
        <w:pStyle w:val="Listapunktowana2"/>
      </w:pPr>
      <w:r>
        <w:t xml:space="preserve">region wodny </w:t>
      </w:r>
      <w:r w:rsidR="006F0E34" w:rsidRPr="00795F17">
        <w:t xml:space="preserve">Środkowej Odry </w:t>
      </w:r>
      <w:r>
        <w:t>-</w:t>
      </w:r>
      <w:r w:rsidRPr="00795F17">
        <w:t xml:space="preserve"> zlewni</w:t>
      </w:r>
      <w:r>
        <w:t>a</w:t>
      </w:r>
      <w:r w:rsidRPr="00795F17">
        <w:t xml:space="preserve"> </w:t>
      </w:r>
      <w:r w:rsidR="006F0E34" w:rsidRPr="00795F17">
        <w:t xml:space="preserve">Odry od ujścia Nysy Kłodzkiej do ujścia </w:t>
      </w:r>
      <w:r w:rsidR="00464223" w:rsidRPr="00795F17">
        <w:t>Warty</w:t>
      </w:r>
      <w:r w:rsidR="006F0E34" w:rsidRPr="00795F17">
        <w:t>,</w:t>
      </w:r>
    </w:p>
    <w:p w14:paraId="6CC9DEF6" w14:textId="3DBD7335" w:rsidR="000B5247" w:rsidRPr="00795F17" w:rsidRDefault="0084423F" w:rsidP="00117E86">
      <w:pPr>
        <w:pStyle w:val="Listapunktowana2"/>
      </w:pPr>
      <w:r>
        <w:t xml:space="preserve">region wodny </w:t>
      </w:r>
      <w:r w:rsidR="000B5247" w:rsidRPr="00795F17">
        <w:t xml:space="preserve">Warty </w:t>
      </w:r>
      <w:r>
        <w:t>-</w:t>
      </w:r>
      <w:r w:rsidRPr="00795F17">
        <w:t xml:space="preserve"> zlewni</w:t>
      </w:r>
      <w:r>
        <w:t>a</w:t>
      </w:r>
      <w:r w:rsidR="000B5247" w:rsidRPr="00795F17">
        <w:t xml:space="preserve"> Warty od źródła </w:t>
      </w:r>
      <w:r w:rsidR="001D6E59">
        <w:t xml:space="preserve">do </w:t>
      </w:r>
      <w:r w:rsidR="000B5247" w:rsidRPr="00795F17">
        <w:t>ujści</w:t>
      </w:r>
      <w:r w:rsidR="001D6E59">
        <w:t>a</w:t>
      </w:r>
      <w:r w:rsidR="000B5247" w:rsidRPr="00795F17">
        <w:t xml:space="preserve"> do Odry,</w:t>
      </w:r>
    </w:p>
    <w:p w14:paraId="177B6633" w14:textId="6E9E7B4D" w:rsidR="000B5247" w:rsidRPr="00795F17" w:rsidRDefault="0084423F" w:rsidP="00117E86">
      <w:pPr>
        <w:pStyle w:val="Listapunktowana2"/>
      </w:pPr>
      <w:r>
        <w:t xml:space="preserve">region wodny </w:t>
      </w:r>
      <w:r w:rsidR="000B5247" w:rsidRPr="00795F17">
        <w:t xml:space="preserve">Noteci </w:t>
      </w:r>
      <w:r>
        <w:t>-</w:t>
      </w:r>
      <w:r w:rsidRPr="00795F17">
        <w:t xml:space="preserve"> zlewni</w:t>
      </w:r>
      <w:r>
        <w:t>a</w:t>
      </w:r>
      <w:r w:rsidRPr="00795F17">
        <w:t xml:space="preserve"> </w:t>
      </w:r>
      <w:r w:rsidR="000B5247" w:rsidRPr="00795F17">
        <w:t xml:space="preserve">Noteci od źródła </w:t>
      </w:r>
      <w:r w:rsidR="00AB0429">
        <w:t xml:space="preserve">do </w:t>
      </w:r>
      <w:r w:rsidR="000B5247" w:rsidRPr="00795F17">
        <w:t>ujści</w:t>
      </w:r>
      <w:r w:rsidR="00AB0429">
        <w:t>a</w:t>
      </w:r>
      <w:r w:rsidR="000B5247" w:rsidRPr="00795F17">
        <w:t xml:space="preserve"> do Warty,</w:t>
      </w:r>
    </w:p>
    <w:p w14:paraId="7E0AC570" w14:textId="69AD9812" w:rsidR="003C71E3" w:rsidRPr="00795F17" w:rsidRDefault="0084423F" w:rsidP="00117E86">
      <w:pPr>
        <w:pStyle w:val="Listapunktowana2"/>
      </w:pPr>
      <w:r>
        <w:t xml:space="preserve">region wodny </w:t>
      </w:r>
      <w:r w:rsidR="003C71E3" w:rsidRPr="00795F17">
        <w:t xml:space="preserve">Dolnej Odry i Przymorza Zachodniego </w:t>
      </w:r>
      <w:r>
        <w:t>-</w:t>
      </w:r>
      <w:r w:rsidRPr="00795F17">
        <w:t xml:space="preserve"> zlewni</w:t>
      </w:r>
      <w:r>
        <w:t>a</w:t>
      </w:r>
      <w:r w:rsidRPr="00795F17">
        <w:t xml:space="preserve"> </w:t>
      </w:r>
      <w:r w:rsidR="003C71E3" w:rsidRPr="00795F17">
        <w:t>Odry od ujścia Warty do ujścia Odry do Roztoki Odrzańskiej.</w:t>
      </w:r>
    </w:p>
    <w:p w14:paraId="32F5A838" w14:textId="281B8189" w:rsidR="006F0E34" w:rsidRPr="00795F17" w:rsidRDefault="006F0E34" w:rsidP="0044393D">
      <w:r w:rsidRPr="00795F17">
        <w:t>Udział powierzchni poszczególnych regionów wodnych w powierzchni obszaru dorzecza Odry przedstawia poniższy wykres</w:t>
      </w:r>
      <w:r w:rsidR="00F44F86" w:rsidRPr="00795F17">
        <w:t xml:space="preserve"> 3-1</w:t>
      </w:r>
      <w:r w:rsidRPr="00795F17">
        <w:t>.</w:t>
      </w:r>
    </w:p>
    <w:p w14:paraId="5151FD6D" w14:textId="77777777" w:rsidR="00363CC8" w:rsidRPr="00795F17" w:rsidRDefault="008B08F4" w:rsidP="005842B5">
      <w:pPr>
        <w:jc w:val="center"/>
      </w:pPr>
      <w:r w:rsidRPr="00795F17">
        <w:rPr>
          <w:noProof/>
          <w:lang w:eastAsia="pl-PL"/>
        </w:rPr>
        <w:drawing>
          <wp:inline distT="0" distB="0" distL="0" distR="0" wp14:anchorId="3B644307" wp14:editId="0BACE946">
            <wp:extent cx="4320000" cy="2340000"/>
            <wp:effectExtent l="0" t="0" r="4445" b="3175"/>
            <wp:docPr id="14" name="Wykres 14">
              <a:extLst xmlns:a="http://schemas.openxmlformats.org/drawingml/2006/main">
                <a:ext uri="{FF2B5EF4-FFF2-40B4-BE49-F238E27FC236}">
                  <a16:creationId xmlns:a16="http://schemas.microsoft.com/office/drawing/2014/main" id="{B22F0597-9180-46A3-983C-31E9C7671312}"/>
                </a:ext>
              </a:extLst>
            </wp:docPr>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0B680F5" w14:textId="71292638" w:rsidR="00024125" w:rsidRPr="00795F17" w:rsidRDefault="00363CC8" w:rsidP="00B479EE">
      <w:pPr>
        <w:pStyle w:val="Wykres"/>
      </w:pPr>
      <w:bookmarkStart w:id="34" w:name="_Toc105512938"/>
      <w:r w:rsidRPr="00795F17">
        <w:t xml:space="preserve">Wykres </w:t>
      </w:r>
      <w:fldSimple w:instr=" STYLEREF 1 \s ">
        <w:r w:rsidR="001F774D">
          <w:rPr>
            <w:noProof/>
          </w:rPr>
          <w:t>3</w:t>
        </w:r>
      </w:fldSimple>
      <w:r w:rsidR="00FF20D3">
        <w:noBreakHyphen/>
      </w:r>
      <w:fldSimple w:instr=" SEQ Wykres \* ARABIC \s 1 ">
        <w:r w:rsidR="001F774D">
          <w:rPr>
            <w:noProof/>
          </w:rPr>
          <w:t>1</w:t>
        </w:r>
      </w:fldSimple>
      <w:r w:rsidR="00D40C59">
        <w:rPr>
          <w:noProof/>
        </w:rPr>
        <w:t>.</w:t>
      </w:r>
      <w:r w:rsidRPr="00795F17">
        <w:tab/>
        <w:t>Udział powierzchni poszczególnych regionów wodnych w powierzchni obszaru dorzecza Odry</w:t>
      </w:r>
      <w:bookmarkEnd w:id="34"/>
    </w:p>
    <w:p w14:paraId="41EB27A4" w14:textId="13EDDD79" w:rsidR="006F0E34" w:rsidRPr="00795F17" w:rsidRDefault="006F0E34" w:rsidP="0044393D">
      <w:pPr>
        <w:pStyle w:val="rdo"/>
      </w:pPr>
      <w:r w:rsidRPr="00795F17">
        <w:rPr>
          <w:lang w:eastAsia="zh-CN"/>
        </w:rPr>
        <w:t xml:space="preserve">Źródło: </w:t>
      </w:r>
      <w:r w:rsidR="00A62769" w:rsidRPr="00795F17">
        <w:rPr>
          <w:lang w:eastAsia="zh-CN"/>
        </w:rPr>
        <w:t>opracowanie własne</w:t>
      </w:r>
    </w:p>
    <w:p w14:paraId="22681578" w14:textId="018FA24F" w:rsidR="001E0777" w:rsidRPr="00795F17" w:rsidRDefault="001E0777" w:rsidP="0044393D">
      <w:pPr>
        <w:rPr>
          <w:bCs/>
        </w:rPr>
      </w:pPr>
      <w:r w:rsidRPr="00795F17">
        <w:t xml:space="preserve">Ekoregiony oraz typy </w:t>
      </w:r>
      <w:r w:rsidR="00DF005E">
        <w:t>JCWP</w:t>
      </w:r>
      <w:r w:rsidRPr="00795F17">
        <w:t xml:space="preserve"> RW, LW</w:t>
      </w:r>
      <w:r w:rsidR="004E1DA2" w:rsidRPr="00795F17">
        <w:t xml:space="preserve">, </w:t>
      </w:r>
      <w:r w:rsidRPr="00795F17">
        <w:t>T</w:t>
      </w:r>
      <w:r w:rsidR="00C75B1E">
        <w:t>W</w:t>
      </w:r>
      <w:r w:rsidRPr="00795F17">
        <w:t xml:space="preserve"> i CW znajdujące się na </w:t>
      </w:r>
      <w:r w:rsidR="004E1DA2" w:rsidRPr="00795F17">
        <w:t xml:space="preserve">obszarze </w:t>
      </w:r>
      <w:r w:rsidRPr="00795F17">
        <w:t xml:space="preserve">dorzecza Odry </w:t>
      </w:r>
      <w:r w:rsidR="004E1DA2" w:rsidRPr="00795F17">
        <w:t>przedstawiono</w:t>
      </w:r>
      <w:r w:rsidR="0002015B" w:rsidRPr="00795F17">
        <w:t xml:space="preserve"> </w:t>
      </w:r>
      <w:r w:rsidRPr="00795F17">
        <w:t>w załącznik</w:t>
      </w:r>
      <w:r w:rsidR="00AE2827">
        <w:t>ach</w:t>
      </w:r>
      <w:r w:rsidRPr="00795F17">
        <w:t xml:space="preserve"> graficzny</w:t>
      </w:r>
      <w:r w:rsidR="00AE2827">
        <w:t>ch</w:t>
      </w:r>
      <w:r w:rsidRPr="00795F17">
        <w:t xml:space="preserve"> nr </w:t>
      </w:r>
      <w:r w:rsidR="00AE2827">
        <w:t>2</w:t>
      </w:r>
      <w:r w:rsidR="00C75B1E">
        <w:t xml:space="preserve"> – </w:t>
      </w:r>
      <w:r w:rsidR="00AE2827">
        <w:t>4</w:t>
      </w:r>
      <w:r w:rsidRPr="00795F17">
        <w:t xml:space="preserve"> do </w:t>
      </w:r>
      <w:r w:rsidR="00705704" w:rsidRPr="00795F17">
        <w:t>IIaPGW</w:t>
      </w:r>
      <w:r w:rsidRPr="00795F17">
        <w:t>.</w:t>
      </w:r>
    </w:p>
    <w:p w14:paraId="7CFF6AA7" w14:textId="1977C25C" w:rsidR="006F0E34" w:rsidRPr="00795F17" w:rsidRDefault="00024125" w:rsidP="0044393D">
      <w:pPr>
        <w:pStyle w:val="Nagwek5"/>
      </w:pPr>
      <w:r w:rsidRPr="00795F17">
        <w:t>Region wodny Górnej Odry</w:t>
      </w:r>
    </w:p>
    <w:p w14:paraId="74DD4673" w14:textId="54C19284" w:rsidR="009D7083" w:rsidRPr="00795F17" w:rsidRDefault="006F0E34" w:rsidP="0044393D">
      <w:r w:rsidRPr="00795F17">
        <w:t>Region wodny Górnej Odry zajmuje powierzchnię około 9</w:t>
      </w:r>
      <w:r w:rsidR="0002015B" w:rsidRPr="00795F17">
        <w:t> </w:t>
      </w:r>
      <w:r w:rsidRPr="00795F17">
        <w:t>425</w:t>
      </w:r>
      <w:r w:rsidR="0002015B" w:rsidRPr="00795F17">
        <w:t> </w:t>
      </w:r>
      <w:r w:rsidRPr="00795F17">
        <w:t>km</w:t>
      </w:r>
      <w:r w:rsidRPr="00795F17">
        <w:rPr>
          <w:position w:val="3"/>
          <w:vertAlign w:val="superscript"/>
        </w:rPr>
        <w:t>2</w:t>
      </w:r>
      <w:r w:rsidRPr="00795F17">
        <w:t xml:space="preserve">. Obejmuje górną część obszaru dorzecza Odry od granic państwa do ujścia </w:t>
      </w:r>
      <w:r w:rsidR="00F8105A" w:rsidRPr="00795F17">
        <w:t>Nysy Kłodzkiej</w:t>
      </w:r>
      <w:r w:rsidRPr="00795F17">
        <w:t>. Według podziału fizycznogeograficznego region wodny obejmuje</w:t>
      </w:r>
      <w:r w:rsidR="00875C94" w:rsidRPr="00795F17">
        <w:t>:</w:t>
      </w:r>
      <w:r w:rsidRPr="00795F17">
        <w:t xml:space="preserve"> Sudety Wschodnie i Nizinę Śląską od zachodu, Wyżynę Śląską od wschodu, od</w:t>
      </w:r>
      <w:r w:rsidR="00F8105A" w:rsidRPr="00795F17">
        <w:t> </w:t>
      </w:r>
      <w:r w:rsidRPr="00795F17">
        <w:t xml:space="preserve">południa Kotlinę Ostrawską, Pogórze Zachodniobeskidzkie oraz Beskidy Zachodnie. </w:t>
      </w:r>
    </w:p>
    <w:p w14:paraId="577D0287" w14:textId="43AFD16A" w:rsidR="00BC43A6" w:rsidRPr="00795F17" w:rsidRDefault="006F0E34" w:rsidP="0044393D">
      <w:r w:rsidRPr="00795F17">
        <w:t>Do najważniejszych prawobrzeżnych dopływów Odry w regionie wodnym Górnej Odry należą</w:t>
      </w:r>
      <w:r w:rsidR="00EF4DE3" w:rsidRPr="00795F17">
        <w:t>:</w:t>
      </w:r>
      <w:r w:rsidRPr="00795F17">
        <w:t xml:space="preserve"> Olza, Ruda, Bierawka</w:t>
      </w:r>
      <w:r w:rsidR="003F35C5" w:rsidRPr="00795F17">
        <w:t>,</w:t>
      </w:r>
      <w:r w:rsidRPr="00795F17">
        <w:t xml:space="preserve"> Kłodnica</w:t>
      </w:r>
      <w:r w:rsidR="003F35C5" w:rsidRPr="00795F17">
        <w:t xml:space="preserve"> i</w:t>
      </w:r>
      <w:r w:rsidRPr="00795F17">
        <w:t xml:space="preserve"> </w:t>
      </w:r>
      <w:r w:rsidR="003F35C5" w:rsidRPr="00795F17">
        <w:t xml:space="preserve">Mała Panew </w:t>
      </w:r>
      <w:r w:rsidRPr="00795F17">
        <w:t>natomiast najważniejszym</w:t>
      </w:r>
      <w:r w:rsidR="004375C6" w:rsidRPr="00795F17">
        <w:t>i</w:t>
      </w:r>
      <w:r w:rsidRPr="00795F17">
        <w:t xml:space="preserve"> lewobrzeżnym</w:t>
      </w:r>
      <w:r w:rsidR="004375C6" w:rsidRPr="00795F17">
        <w:t>i</w:t>
      </w:r>
      <w:r w:rsidRPr="00795F17">
        <w:t xml:space="preserve"> dopływ</w:t>
      </w:r>
      <w:r w:rsidR="004375C6" w:rsidRPr="00795F17">
        <w:t>a</w:t>
      </w:r>
      <w:r w:rsidRPr="00795F17">
        <w:t>m</w:t>
      </w:r>
      <w:r w:rsidR="004375C6" w:rsidRPr="00795F17">
        <w:t>i są:</w:t>
      </w:r>
      <w:r w:rsidRPr="00795F17">
        <w:t xml:space="preserve"> Psina</w:t>
      </w:r>
      <w:r w:rsidR="003F35C5" w:rsidRPr="00795F17">
        <w:t xml:space="preserve"> i Osobłoga </w:t>
      </w:r>
      <w:r w:rsidRPr="00795F17">
        <w:t>(cieki II rzędu). Całkowita długość sieci hydrograficznej zlewni Górnej Odry wynosi około 2</w:t>
      </w:r>
      <w:r w:rsidR="003730E6" w:rsidRPr="00795F17">
        <w:t> </w:t>
      </w:r>
      <w:r w:rsidRPr="00795F17">
        <w:t>125 km. Największe zbiorniki zaporowe w regionie to: Dzierżno Duże (o funkcjach przeciwpowodziowej, przyrodniczej i</w:t>
      </w:r>
      <w:r w:rsidR="002668EF" w:rsidRPr="00795F17">
        <w:t xml:space="preserve"> </w:t>
      </w:r>
      <w:r w:rsidRPr="00795F17">
        <w:t>krajobrazowej), Rybnicki (o funkcji hydroenergetycznej</w:t>
      </w:r>
      <w:r w:rsidR="001038E7" w:rsidRPr="00795F17">
        <w:t xml:space="preserve"> oraz</w:t>
      </w:r>
      <w:r w:rsidR="00016AC4">
        <w:t> </w:t>
      </w:r>
      <w:r w:rsidR="001038E7" w:rsidRPr="00795F17">
        <w:t>rekreacyjnej</w:t>
      </w:r>
      <w:r w:rsidRPr="00795F17">
        <w:t>), Pławniowice (o funkcji rekreacyjnej), Dzierżno Małe (pełniący funkcj</w:t>
      </w:r>
      <w:r w:rsidR="001038E7" w:rsidRPr="00795F17">
        <w:t>ę</w:t>
      </w:r>
      <w:r w:rsidRPr="00795F17">
        <w:t xml:space="preserve"> </w:t>
      </w:r>
      <w:r w:rsidR="001038E7" w:rsidRPr="00795F17">
        <w:t>rekreacyjno-wypoczynkową, wykorzystywany również wędkarsko, w celu poprawy warunków żeglugowych na</w:t>
      </w:r>
      <w:r w:rsidR="0002015B" w:rsidRPr="00795F17">
        <w:t> </w:t>
      </w:r>
      <w:r w:rsidR="001038E7" w:rsidRPr="00795F17">
        <w:t xml:space="preserve">Kanale Gliwickim, spełnia również zadania </w:t>
      </w:r>
      <w:r w:rsidRPr="00795F17">
        <w:t>przeciwpowodziow</w:t>
      </w:r>
      <w:r w:rsidR="001038E7" w:rsidRPr="00795F17">
        <w:t>e oraz służy utrzymaniu przepływu nienaruszalnego</w:t>
      </w:r>
      <w:r w:rsidRPr="00795F17">
        <w:t>)</w:t>
      </w:r>
      <w:r w:rsidR="001038E7" w:rsidRPr="00795F17">
        <w:t>, Turawa (pełniący funkcję regulacyjną oraz rekreacyjno-wypoczynkową, w tym w</w:t>
      </w:r>
      <w:r w:rsidR="0002015B" w:rsidRPr="00795F17">
        <w:t> </w:t>
      </w:r>
      <w:r w:rsidR="001038E7" w:rsidRPr="00795F17">
        <w:t>zakresie żeglarstwa oraz wędkarstwa)</w:t>
      </w:r>
      <w:r w:rsidR="00000AD7" w:rsidRPr="00795F17">
        <w:t>, Racibórz Dolny (suchy zbiornik przeciwpowodziowy (polder))</w:t>
      </w:r>
      <w:r w:rsidRPr="00795F17">
        <w:t xml:space="preserve">. </w:t>
      </w:r>
    </w:p>
    <w:p w14:paraId="6572CA01" w14:textId="04661B1F" w:rsidR="006F0E34" w:rsidRPr="00795F17" w:rsidRDefault="006F0E34" w:rsidP="0044393D">
      <w:r w:rsidRPr="00795F17">
        <w:t xml:space="preserve">Na przeważającej części regionu wodnego </w:t>
      </w:r>
      <w:r w:rsidR="009707D8">
        <w:rPr>
          <w:rFonts w:asciiTheme="minorHAnsi" w:eastAsiaTheme="minorEastAsia" w:hAnsiTheme="minorHAnsi" w:cstheme="minorBidi"/>
          <w:color w:val="000000"/>
        </w:rPr>
        <w:t>zasilanie cieków powierzchniowych następuje w połowie ze spływów powierzchniowych oraz w połowie z zasilania wodami podziemnymi.</w:t>
      </w:r>
      <w:r w:rsidRPr="00795F17">
        <w:t xml:space="preserve"> Jedynie w</w:t>
      </w:r>
      <w:r w:rsidR="00FD7F19" w:rsidRPr="00795F17">
        <w:t> </w:t>
      </w:r>
      <w:r w:rsidRPr="00795F17">
        <w:t>północno-wschodniej części regionu wodnego Górnej Odry w odpływie całkowitym przeważa zasilanie podziemne.</w:t>
      </w:r>
    </w:p>
    <w:p w14:paraId="7FBC6665" w14:textId="5543CEE8" w:rsidR="006F0E34" w:rsidRPr="00795F17" w:rsidRDefault="006F0E34" w:rsidP="0044393D">
      <w:r w:rsidRPr="00795F17">
        <w:t>Region wodny Górnej Odry znajduje się w obrębie dwóch ekoregionów</w:t>
      </w:r>
      <w:r w:rsidR="00E165D1" w:rsidRPr="00795F17">
        <w:t xml:space="preserve"> (wykres 3-2)</w:t>
      </w:r>
      <w:r w:rsidRPr="00795F17">
        <w:t>. Są to: Równiny Wschodnie (8</w:t>
      </w:r>
      <w:r w:rsidR="00E4591E" w:rsidRPr="00795F17">
        <w:t>3</w:t>
      </w:r>
      <w:r w:rsidRPr="00795F17">
        <w:t>% powierzchni regionu) i Karpaty (17% powierzchni regionu).</w:t>
      </w:r>
    </w:p>
    <w:p w14:paraId="79B12F51" w14:textId="4A74BE29" w:rsidR="006F0E34" w:rsidRPr="00795F17" w:rsidRDefault="003F6782" w:rsidP="005842B5">
      <w:pPr>
        <w:jc w:val="center"/>
        <w:rPr>
          <w:rFonts w:cs="Calibri"/>
          <w:color w:val="000000"/>
        </w:rPr>
      </w:pPr>
      <w:r w:rsidRPr="00795F17">
        <w:rPr>
          <w:noProof/>
          <w:lang w:eastAsia="pl-PL"/>
        </w:rPr>
        <w:drawing>
          <wp:inline distT="0" distB="0" distL="0" distR="0" wp14:anchorId="56DD4260" wp14:editId="381A2FB8">
            <wp:extent cx="4320000" cy="2340000"/>
            <wp:effectExtent l="0" t="0" r="4445" b="3175"/>
            <wp:docPr id="1" name="Wykres 1">
              <a:extLst xmlns:a="http://schemas.openxmlformats.org/drawingml/2006/main">
                <a:ext uri="{FF2B5EF4-FFF2-40B4-BE49-F238E27FC236}">
                  <a16:creationId xmlns:a16="http://schemas.microsoft.com/office/drawing/2014/main" id="{6665F8FC-4F14-47CF-9701-E0A390A9FE24}"/>
                </a:ext>
              </a:extLst>
            </wp:docPr>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D7135BB" w14:textId="52AC36D1" w:rsidR="006F0E34" w:rsidRPr="00795F17" w:rsidRDefault="006F0E34" w:rsidP="00B479EE">
      <w:pPr>
        <w:pStyle w:val="Wykres"/>
      </w:pPr>
      <w:bookmarkStart w:id="35" w:name="_Toc66272980"/>
      <w:bookmarkStart w:id="36" w:name="_Toc105512939"/>
      <w:r w:rsidRPr="00795F17">
        <w:t xml:space="preserve">Wykres </w:t>
      </w:r>
      <w:fldSimple w:instr=" STYLEREF 1 \s ">
        <w:r w:rsidR="001F774D">
          <w:rPr>
            <w:noProof/>
          </w:rPr>
          <w:t>3</w:t>
        </w:r>
      </w:fldSimple>
      <w:r w:rsidR="00FF20D3">
        <w:noBreakHyphen/>
      </w:r>
      <w:fldSimple w:instr=" SEQ Wykres \* ARABIC \s 1 ">
        <w:r w:rsidR="001F774D">
          <w:rPr>
            <w:noProof/>
          </w:rPr>
          <w:t>2</w:t>
        </w:r>
      </w:fldSimple>
      <w:r w:rsidR="00D40C59">
        <w:rPr>
          <w:noProof/>
        </w:rPr>
        <w:t>.</w:t>
      </w:r>
      <w:r w:rsidRPr="00795F17">
        <w:tab/>
        <w:t>Udział powierzchni poszczególnych ekoregionów w obrębie regionu wodnego Górnej Odry</w:t>
      </w:r>
      <w:bookmarkEnd w:id="35"/>
      <w:bookmarkEnd w:id="36"/>
      <w:r w:rsidRPr="00795F17">
        <w:t xml:space="preserve"> </w:t>
      </w:r>
    </w:p>
    <w:p w14:paraId="1B2711CA" w14:textId="2C5EEB12" w:rsidR="006F0E34" w:rsidRPr="00795F17" w:rsidRDefault="006F0E34" w:rsidP="0044393D">
      <w:pPr>
        <w:pStyle w:val="rdo"/>
      </w:pPr>
      <w:r w:rsidRPr="00795F17">
        <w:rPr>
          <w:lang w:eastAsia="zh-CN"/>
        </w:rPr>
        <w:t xml:space="preserve">Źródło: </w:t>
      </w:r>
      <w:r w:rsidR="00A62769" w:rsidRPr="00795F17">
        <w:rPr>
          <w:lang w:eastAsia="zh-CN"/>
        </w:rPr>
        <w:t>opracowanie własne</w:t>
      </w:r>
    </w:p>
    <w:p w14:paraId="44E23777" w14:textId="1FD95CC7" w:rsidR="006F0E34" w:rsidRPr="00795F17" w:rsidRDefault="006F0E34" w:rsidP="0044393D">
      <w:r w:rsidRPr="00795F17">
        <w:t>Na podstawie danych Corine Land Cover</w:t>
      </w:r>
      <w:r w:rsidRPr="00795F17">
        <w:rPr>
          <w:rStyle w:val="Odwoanieprzypisudolnego"/>
          <w:rFonts w:asciiTheme="minorHAnsi" w:eastAsiaTheme="minorEastAsia" w:hAnsiTheme="minorHAnsi" w:cstheme="minorBidi"/>
          <w:color w:val="000000"/>
        </w:rPr>
        <w:footnoteReference w:id="3"/>
      </w:r>
      <w:r w:rsidRPr="00795F17">
        <w:t xml:space="preserve"> można stwierdzić, że największy udział w powierzchni regionu </w:t>
      </w:r>
      <w:r w:rsidR="00BC43A6" w:rsidRPr="00795F17">
        <w:t xml:space="preserve">wodnego </w:t>
      </w:r>
      <w:r w:rsidRPr="00795F17">
        <w:t xml:space="preserve">mają użytki rolne </w:t>
      </w:r>
      <w:r w:rsidR="006B5BAA">
        <w:t>–</w:t>
      </w:r>
      <w:r w:rsidRPr="00795F17">
        <w:t xml:space="preserve"> około 58,9%, dalej lasy </w:t>
      </w:r>
      <w:r w:rsidR="006B5BAA">
        <w:t>–</w:t>
      </w:r>
      <w:r w:rsidRPr="00795F17">
        <w:t xml:space="preserve"> około 26,4%, a tereny przekształcone antropogenicznie </w:t>
      </w:r>
      <w:r w:rsidR="00AF5D5A">
        <w:t>–</w:t>
      </w:r>
      <w:r w:rsidRPr="00795F17">
        <w:t xml:space="preserve"> około 11,9%. </w:t>
      </w:r>
      <w:r w:rsidRPr="00795F17">
        <w:rPr>
          <w:rFonts w:eastAsiaTheme="minorHAnsi" w:cstheme="minorHAnsi"/>
        </w:rPr>
        <w:t>Tereny pozostałe zajmują około 2,8%</w:t>
      </w:r>
      <w:r w:rsidR="00E165D1" w:rsidRPr="00795F17">
        <w:rPr>
          <w:rFonts w:eastAsiaTheme="minorHAnsi" w:cstheme="minorHAnsi"/>
        </w:rPr>
        <w:t xml:space="preserve"> (wykres 3-3)</w:t>
      </w:r>
      <w:r w:rsidR="005A44C0" w:rsidRPr="00795F17">
        <w:rPr>
          <w:rFonts w:eastAsiaTheme="minorHAnsi" w:cstheme="minorHAnsi"/>
        </w:rPr>
        <w:t>.</w:t>
      </w:r>
    </w:p>
    <w:p w14:paraId="3576BC34" w14:textId="26908781" w:rsidR="006F0E34" w:rsidRPr="00795F17" w:rsidRDefault="00A11AE4" w:rsidP="005842B5">
      <w:pPr>
        <w:jc w:val="center"/>
        <w:rPr>
          <w:rFonts w:asciiTheme="minorHAnsi" w:eastAsiaTheme="minorHAnsi" w:hAnsiTheme="minorHAnsi" w:cstheme="minorHAnsi"/>
          <w:color w:val="000000"/>
        </w:rPr>
      </w:pPr>
      <w:r w:rsidRPr="00795F17">
        <w:rPr>
          <w:noProof/>
          <w:lang w:eastAsia="pl-PL"/>
        </w:rPr>
        <w:drawing>
          <wp:inline distT="0" distB="0" distL="0" distR="0" wp14:anchorId="11AB1C69" wp14:editId="23AA95A2">
            <wp:extent cx="4330700" cy="2339975"/>
            <wp:effectExtent l="0" t="0" r="12700" b="3175"/>
            <wp:docPr id="237" name="Wykres 237">
              <a:extLst xmlns:a="http://schemas.openxmlformats.org/drawingml/2006/main">
                <a:ext uri="{FF2B5EF4-FFF2-40B4-BE49-F238E27FC236}">
                  <a16:creationId xmlns:a16="http://schemas.microsoft.com/office/drawing/2014/main" id="{00000000-0008-0000-02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71EE6EA" w14:textId="33BFCF29" w:rsidR="006F0E34" w:rsidRPr="00795F17" w:rsidRDefault="006F0E34" w:rsidP="00B479EE">
      <w:pPr>
        <w:pStyle w:val="Wykres"/>
      </w:pPr>
      <w:bookmarkStart w:id="37" w:name="_Toc66272981"/>
      <w:bookmarkStart w:id="38" w:name="_Toc105512940"/>
      <w:r w:rsidRPr="00795F17">
        <w:t xml:space="preserve">Wykres </w:t>
      </w:r>
      <w:fldSimple w:instr=" STYLEREF 1 \s ">
        <w:r w:rsidR="001F774D">
          <w:rPr>
            <w:noProof/>
          </w:rPr>
          <w:t>3</w:t>
        </w:r>
      </w:fldSimple>
      <w:r w:rsidR="00FF20D3">
        <w:noBreakHyphen/>
      </w:r>
      <w:fldSimple w:instr=" SEQ Wykres \* ARABIC \s 1 ">
        <w:r w:rsidR="001F774D">
          <w:rPr>
            <w:noProof/>
          </w:rPr>
          <w:t>3</w:t>
        </w:r>
      </w:fldSimple>
      <w:r w:rsidR="00D40C59">
        <w:rPr>
          <w:noProof/>
        </w:rPr>
        <w:t>.</w:t>
      </w:r>
      <w:r w:rsidRPr="00795F17">
        <w:tab/>
        <w:t>Udział poszczególnych form zagospodarowania terenu regionu wodnego Górnej Odry</w:t>
      </w:r>
      <w:bookmarkEnd w:id="37"/>
      <w:bookmarkEnd w:id="38"/>
      <w:r w:rsidRPr="00795F17">
        <w:t xml:space="preserve"> </w:t>
      </w:r>
    </w:p>
    <w:p w14:paraId="678D788C" w14:textId="5C0EAEC6" w:rsidR="006F0E34" w:rsidRPr="00795F17" w:rsidRDefault="006F0E34" w:rsidP="0044393D">
      <w:pPr>
        <w:pStyle w:val="rdo"/>
      </w:pPr>
      <w:r w:rsidRPr="00795F17">
        <w:rPr>
          <w:lang w:eastAsia="zh-CN"/>
        </w:rPr>
        <w:t xml:space="preserve">Źródło: </w:t>
      </w:r>
      <w:r w:rsidR="00724997" w:rsidRPr="00795F17">
        <w:rPr>
          <w:lang w:eastAsia="zh-CN"/>
        </w:rPr>
        <w:t>opracowanie własne</w:t>
      </w:r>
      <w:r w:rsidRPr="00795F17">
        <w:rPr>
          <w:lang w:eastAsia="zh-CN"/>
        </w:rPr>
        <w:t xml:space="preserve"> na podstawie danych CLC</w:t>
      </w:r>
      <w:r w:rsidRPr="00795F17">
        <w:t xml:space="preserve"> 2018</w:t>
      </w:r>
    </w:p>
    <w:p w14:paraId="39566F06" w14:textId="5C2B24BD" w:rsidR="006F0E34" w:rsidRPr="00795F17" w:rsidRDefault="006F0E34" w:rsidP="0044393D">
      <w:r w:rsidRPr="00795F17">
        <w:t xml:space="preserve">Do największych miast w regionie wodnym należą: Opole, Gliwice, Rybnik, Racibórz i Kędzierzyn-Koźle. </w:t>
      </w:r>
      <w:r w:rsidR="00BA5988">
        <w:t>W r</w:t>
      </w:r>
      <w:r w:rsidRPr="00795F17">
        <w:t>egion</w:t>
      </w:r>
      <w:r w:rsidR="00BA5988">
        <w:t>ie</w:t>
      </w:r>
      <w:r w:rsidRPr="00795F17">
        <w:t xml:space="preserve"> wodny</w:t>
      </w:r>
      <w:r w:rsidR="00BA5988">
        <w:t>m</w:t>
      </w:r>
      <w:r w:rsidRPr="00795F17">
        <w:t xml:space="preserve"> Górnej Odry </w:t>
      </w:r>
      <w:r w:rsidR="00BA5988">
        <w:t xml:space="preserve">są </w:t>
      </w:r>
      <w:r w:rsidRPr="00795F17">
        <w:t>położon</w:t>
      </w:r>
      <w:r w:rsidR="00BA5988">
        <w:t>e</w:t>
      </w:r>
      <w:r w:rsidR="00885CB0">
        <w:t>:</w:t>
      </w:r>
      <w:r w:rsidR="00BA5988">
        <w:t xml:space="preserve"> </w:t>
      </w:r>
      <w:r w:rsidRPr="00795F17">
        <w:t>Górnośląski Okręg Przemysłow</w:t>
      </w:r>
      <w:r w:rsidR="00885CB0">
        <w:t>y</w:t>
      </w:r>
      <w:r w:rsidRPr="00795F17">
        <w:t xml:space="preserve"> (GOP) oraz Rybnicki Okręg Węglow</w:t>
      </w:r>
      <w:r w:rsidR="00885CB0">
        <w:t>y</w:t>
      </w:r>
      <w:r w:rsidRPr="00795F17">
        <w:t xml:space="preserve">. GOP </w:t>
      </w:r>
      <w:r w:rsidR="00885CB0">
        <w:t>znajaduje się</w:t>
      </w:r>
      <w:r w:rsidRPr="00795F17">
        <w:t xml:space="preserve"> również w regionie wodnym Małej Wisły (leżącym na obszarze dorzecza Wisły, więc nieobjętym niniejszym planem). Leżący na granicy dwóch obszarów dorzeczy GOP funkcjonuje jako jeden twór powiązany infrastrukturą techniczną, wodociągową i kanalizacyjną. W</w:t>
      </w:r>
      <w:r w:rsidR="00016AC4">
        <w:t> </w:t>
      </w:r>
      <w:r w:rsidRPr="00795F17">
        <w:t>GOP dominuje przemysł górniczy, hutniczy, transportowy, energetyczny, maszynowy i chemiczny, mający znaczący wpływ na wody powierzchniowe i</w:t>
      </w:r>
      <w:r w:rsidR="00FD7F19" w:rsidRPr="00795F17">
        <w:t> </w:t>
      </w:r>
      <w:r w:rsidRPr="00795F17">
        <w:t>podziemne.</w:t>
      </w:r>
    </w:p>
    <w:p w14:paraId="1C03DF08" w14:textId="72919A47" w:rsidR="006F0E34" w:rsidRPr="00795F17" w:rsidRDefault="00740B86" w:rsidP="0044393D">
      <w:pPr>
        <w:pStyle w:val="Nagwek5"/>
      </w:pPr>
      <w:r w:rsidRPr="00795F17">
        <w:t>Region wodny Środkowej Odry</w:t>
      </w:r>
    </w:p>
    <w:p w14:paraId="0334FACD" w14:textId="13AE8101" w:rsidR="00BA79E1" w:rsidRPr="00795F17" w:rsidRDefault="006F0E34" w:rsidP="0044393D">
      <w:r w:rsidRPr="00795F17">
        <w:t>Region wodny Środkowej Odry zajmuje powierzchnię około 33</w:t>
      </w:r>
      <w:r w:rsidR="0002015B" w:rsidRPr="00795F17">
        <w:t> </w:t>
      </w:r>
      <w:r w:rsidRPr="00795F17">
        <w:t>703</w:t>
      </w:r>
      <w:r w:rsidR="0002015B" w:rsidRPr="00795F17">
        <w:t> </w:t>
      </w:r>
      <w:r w:rsidRPr="00795F17">
        <w:t>km</w:t>
      </w:r>
      <w:r w:rsidRPr="00795F17">
        <w:rPr>
          <w:position w:val="3"/>
          <w:vertAlign w:val="superscript"/>
        </w:rPr>
        <w:t>2</w:t>
      </w:r>
      <w:r w:rsidRPr="00795F17">
        <w:t xml:space="preserve">. Obejmuje odcinek Odry rozpoczynający się </w:t>
      </w:r>
      <w:r w:rsidR="00DC700F" w:rsidRPr="00795F17">
        <w:t>od</w:t>
      </w:r>
      <w:r w:rsidRPr="00795F17">
        <w:t xml:space="preserve"> ujścia </w:t>
      </w:r>
      <w:r w:rsidR="00DC700F" w:rsidRPr="00795F17">
        <w:t>Nysy Kłodzkiej</w:t>
      </w:r>
      <w:r w:rsidRPr="00795F17">
        <w:t xml:space="preserve"> po ujście </w:t>
      </w:r>
      <w:r w:rsidR="00464223" w:rsidRPr="00795F17">
        <w:t>Warty</w:t>
      </w:r>
      <w:r w:rsidRPr="00795F17">
        <w:t>. Według podziału fizycznogeograficznego region wodny obejmuje tereny</w:t>
      </w:r>
      <w:r w:rsidR="00875C94" w:rsidRPr="00795F17">
        <w:t>:</w:t>
      </w:r>
      <w:r w:rsidRPr="00795F17">
        <w:t xml:space="preserve"> Niziny Śląskiej, Wyżyny Śląskiej, Wyżyny Woźnicko-Wieluńskiej, Przedgórza Sudeckiego, Sudetów Wschodnich, Sudetów Środkowych, Sudetów Zachodnich, Pogórza Zachodniosudeckiego, Niziny Śląsko-Łużyckiej, Wału Trzebnickiego, Obniżenia Milicko-Głogowskiego, Wzniesień Łużyckich, Obniżenia Łużyckiego, Wzniesień Zielonogórskich, Niziny Południowowielkopolskiej, Pojezierza Leszczyńskiego, Pradoliny Warciańsko-Odrzańskiej oraz</w:t>
      </w:r>
      <w:r w:rsidR="00016AC4">
        <w:t> </w:t>
      </w:r>
      <w:r w:rsidRPr="00795F17">
        <w:t xml:space="preserve">Pojezierza Lubuskiego. </w:t>
      </w:r>
    </w:p>
    <w:p w14:paraId="6390F869" w14:textId="7E1462D4" w:rsidR="00D92A8B" w:rsidRPr="00795F17" w:rsidRDefault="006F0E34" w:rsidP="0044393D">
      <w:r w:rsidRPr="00795F17">
        <w:t xml:space="preserve">Do najważniejszych prawobrzeżnych dopływów Odry w regionie wodnym Środkowej Odry należą: </w:t>
      </w:r>
      <w:r w:rsidR="009D4D7F" w:rsidRPr="00795F17">
        <w:t>Obrzyca</w:t>
      </w:r>
      <w:r w:rsidRPr="00795F17">
        <w:t xml:space="preserve">, </w:t>
      </w:r>
      <w:r w:rsidR="009D4D7F" w:rsidRPr="00795F17">
        <w:t>Barycz, Widawa</w:t>
      </w:r>
      <w:r w:rsidRPr="00795F17">
        <w:t xml:space="preserve"> (cieki II rzędu). Ważniejsze lewostronne dopływy to: Nysa Kłodzka, Oława, Ślęza, Bystrzyca, Kaczawa, Bóbr oraz Nysa Łużycka (cieki II rzędu).</w:t>
      </w:r>
      <w:r w:rsidR="00BA79E1" w:rsidRPr="00795F17">
        <w:t xml:space="preserve"> </w:t>
      </w:r>
      <w:r w:rsidRPr="00795F17">
        <w:t>Całkowita długość sieci hydrograficznej zlewni Środkowej Odry wynosi około 22</w:t>
      </w:r>
      <w:r w:rsidR="003730E6" w:rsidRPr="00795F17">
        <w:t> </w:t>
      </w:r>
      <w:r w:rsidRPr="00795F17">
        <w:t>042 km. Największe zbiorniki zaporowe w</w:t>
      </w:r>
      <w:r w:rsidR="00C75BCB">
        <w:t> </w:t>
      </w:r>
      <w:r w:rsidRPr="00795F17">
        <w:t>regionie to: Leśna (o funkcjach retencyjnej i hydroenergetycznej), Bukówka (o</w:t>
      </w:r>
      <w:r w:rsidR="0002015B" w:rsidRPr="00795F17">
        <w:t xml:space="preserve"> </w:t>
      </w:r>
      <w:r w:rsidRPr="00795F17">
        <w:t>funkcjach retencyjnej i zbiornika wody pitnej), Słup (pełniący funkcję retencyjną), Nysa (o funkcjach retencyjnej i</w:t>
      </w:r>
      <w:r w:rsidR="0002015B" w:rsidRPr="00795F17">
        <w:t> </w:t>
      </w:r>
      <w:r w:rsidRPr="00795F17">
        <w:t>hydroenergetycznej), Kozielno (o funkcjach retencyjnej, rekreacyjnej i</w:t>
      </w:r>
      <w:r w:rsidR="008665C7" w:rsidRPr="00795F17">
        <w:t> </w:t>
      </w:r>
      <w:r w:rsidRPr="00795F17">
        <w:t xml:space="preserve">hydroenergetycznej). </w:t>
      </w:r>
    </w:p>
    <w:p w14:paraId="3AF92646" w14:textId="72EB2241" w:rsidR="006F0E34" w:rsidRPr="00795F17" w:rsidRDefault="006F0E34" w:rsidP="0044393D">
      <w:r w:rsidRPr="00795F17">
        <w:t xml:space="preserve">W regionie wodnym przeważają obszary, na których </w:t>
      </w:r>
      <w:r w:rsidR="00194DD2">
        <w:rPr>
          <w:rFonts w:asciiTheme="minorHAnsi" w:eastAsiaTheme="minorEastAsia" w:hAnsiTheme="minorHAnsi" w:cstheme="minorBidi"/>
          <w:color w:val="000000"/>
        </w:rPr>
        <w:t>zasilanie cieków powierzchniowych następuje w około 45-55</w:t>
      </w:r>
      <w:r w:rsidR="00194DD2" w:rsidRPr="00F6538A">
        <w:rPr>
          <w:rFonts w:asciiTheme="minorHAnsi" w:eastAsiaTheme="minorEastAsia" w:hAnsiTheme="minorHAnsi" w:cstheme="minorBidi"/>
          <w:color w:val="000000"/>
        </w:rPr>
        <w:t>%</w:t>
      </w:r>
      <w:r w:rsidR="00194DD2">
        <w:rPr>
          <w:rFonts w:asciiTheme="minorHAnsi" w:eastAsiaTheme="minorEastAsia" w:hAnsiTheme="minorHAnsi" w:cstheme="minorBidi"/>
          <w:color w:val="000000"/>
        </w:rPr>
        <w:t xml:space="preserve"> ze spływów powierzchniowych oraz w 45-55</w:t>
      </w:r>
      <w:r w:rsidR="00194DD2" w:rsidRPr="00F6538A">
        <w:rPr>
          <w:rFonts w:asciiTheme="minorHAnsi" w:eastAsiaTheme="minorEastAsia" w:hAnsiTheme="minorHAnsi" w:cstheme="minorBidi"/>
          <w:color w:val="000000"/>
        </w:rPr>
        <w:t>%</w:t>
      </w:r>
      <w:r w:rsidR="00194DD2">
        <w:rPr>
          <w:rFonts w:asciiTheme="minorHAnsi" w:eastAsiaTheme="minorEastAsia" w:hAnsiTheme="minorHAnsi" w:cstheme="minorBidi"/>
          <w:color w:val="000000"/>
        </w:rPr>
        <w:t xml:space="preserve"> z zasilania wodami podziemnymi. </w:t>
      </w:r>
      <w:r w:rsidRPr="00795F17">
        <w:t>Na</w:t>
      </w:r>
      <w:r w:rsidR="003730E6" w:rsidRPr="00795F17">
        <w:t> </w:t>
      </w:r>
      <w:r w:rsidRPr="00795F17">
        <w:t xml:space="preserve">niewielkim obszarze w północnej części regionu wodnego występuje </w:t>
      </w:r>
      <w:r w:rsidR="00FF5AFE">
        <w:t>niewielka</w:t>
      </w:r>
      <w:r w:rsidRPr="00795F17">
        <w:t xml:space="preserve"> przewaga zasilania podziemnego. W obrębie Sudetów </w:t>
      </w:r>
      <w:r w:rsidR="005A1395">
        <w:t xml:space="preserve">zasilanie ze spływów powierzchniowych wynosi </w:t>
      </w:r>
      <w:r w:rsidR="005A1395" w:rsidRPr="00B27DD5">
        <w:t>55-65% odpływu całkowitego</w:t>
      </w:r>
      <w:r w:rsidR="005A1395">
        <w:t xml:space="preserve"> rzek,</w:t>
      </w:r>
      <w:r w:rsidRPr="00795F17">
        <w:t xml:space="preserve"> natomiast w południowo-zachodniej części regionu wodnego </w:t>
      </w:r>
      <w:r w:rsidR="00EF155E">
        <w:t xml:space="preserve">ta przewaga zasilania powierzchniowego wzrasta osiągając </w:t>
      </w:r>
      <w:r w:rsidRPr="00795F17">
        <w:t>ponad 65% odpływu całkowitego</w:t>
      </w:r>
      <w:r w:rsidR="00EF155E">
        <w:t xml:space="preserve"> </w:t>
      </w:r>
      <w:r w:rsidR="003360BF">
        <w:t>rzek i cieków</w:t>
      </w:r>
      <w:r w:rsidRPr="00795F17">
        <w:t>).</w:t>
      </w:r>
    </w:p>
    <w:p w14:paraId="28941FAC" w14:textId="189414CA" w:rsidR="00874D9E" w:rsidRPr="00795F17" w:rsidRDefault="006F0E34" w:rsidP="0044393D">
      <w:r w:rsidRPr="00795F17">
        <w:t>Region wodny Środkowej Odry znajduje się w obrębie dwóch ekoregionów</w:t>
      </w:r>
      <w:r w:rsidR="00C5075C" w:rsidRPr="00795F17">
        <w:t xml:space="preserve"> (wykres 3-4)</w:t>
      </w:r>
      <w:r w:rsidRPr="00795F17">
        <w:t xml:space="preserve">. </w:t>
      </w:r>
      <w:r w:rsidR="0002015B" w:rsidRPr="00795F17">
        <w:br/>
      </w:r>
      <w:r w:rsidRPr="00795F17">
        <w:t>Są to: Równiny Centralne (90% powierzchni regionu) i Wyżyny Centralne (</w:t>
      </w:r>
      <w:r w:rsidR="003730E6" w:rsidRPr="00795F17">
        <w:t>10</w:t>
      </w:r>
      <w:r w:rsidRPr="00795F17">
        <w:t>% powierzchni regionu).</w:t>
      </w:r>
    </w:p>
    <w:p w14:paraId="02175A85" w14:textId="25B29FE4" w:rsidR="006F0E34" w:rsidRPr="00795F17" w:rsidRDefault="000B2849" w:rsidP="005842B5">
      <w:pPr>
        <w:jc w:val="center"/>
        <w:rPr>
          <w:rFonts w:cs="Calibri"/>
          <w:color w:val="000000"/>
        </w:rPr>
      </w:pPr>
      <w:r w:rsidRPr="00795F17">
        <w:rPr>
          <w:noProof/>
          <w:lang w:eastAsia="pl-PL"/>
        </w:rPr>
        <w:drawing>
          <wp:inline distT="0" distB="0" distL="0" distR="0" wp14:anchorId="50ACBC5A" wp14:editId="135D171E">
            <wp:extent cx="4011430" cy="2340000"/>
            <wp:effectExtent l="0" t="0" r="8255" b="3175"/>
            <wp:docPr id="4" name="Wykres 4">
              <a:extLst xmlns:a="http://schemas.openxmlformats.org/drawingml/2006/main">
                <a:ext uri="{FF2B5EF4-FFF2-40B4-BE49-F238E27FC236}">
                  <a16:creationId xmlns:a16="http://schemas.microsoft.com/office/drawing/2014/main" id="{321D65DF-5A0E-48C4-8D5D-CB9A527F83B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4F845B5" w14:textId="607B2C90" w:rsidR="006F0E34" w:rsidRPr="00795F17" w:rsidRDefault="006F0E34" w:rsidP="00B479EE">
      <w:pPr>
        <w:pStyle w:val="Wykres"/>
      </w:pPr>
      <w:bookmarkStart w:id="39" w:name="_Toc66272982"/>
      <w:bookmarkStart w:id="40" w:name="_Toc105512941"/>
      <w:r w:rsidRPr="00795F17">
        <w:t xml:space="preserve">Wykres </w:t>
      </w:r>
      <w:fldSimple w:instr=" STYLEREF 1 \s ">
        <w:r w:rsidR="001F774D">
          <w:rPr>
            <w:noProof/>
          </w:rPr>
          <w:t>3</w:t>
        </w:r>
      </w:fldSimple>
      <w:r w:rsidR="00FF20D3">
        <w:noBreakHyphen/>
      </w:r>
      <w:fldSimple w:instr=" SEQ Wykres \* ARABIC \s 1 ">
        <w:r w:rsidR="001F774D">
          <w:rPr>
            <w:noProof/>
          </w:rPr>
          <w:t>4</w:t>
        </w:r>
      </w:fldSimple>
      <w:r w:rsidR="00D40C59">
        <w:rPr>
          <w:noProof/>
        </w:rPr>
        <w:t>.</w:t>
      </w:r>
      <w:r w:rsidRPr="00795F17">
        <w:tab/>
        <w:t>Udział powierzchni poszczególnych ekoregionów w obrębie regionu wodnego Środkowej Odry</w:t>
      </w:r>
      <w:bookmarkEnd w:id="39"/>
      <w:bookmarkEnd w:id="40"/>
      <w:r w:rsidRPr="00795F17">
        <w:t xml:space="preserve"> </w:t>
      </w:r>
    </w:p>
    <w:p w14:paraId="539713BB" w14:textId="78C63100" w:rsidR="006F0E34" w:rsidRPr="00795F17" w:rsidRDefault="006F0E34" w:rsidP="0044393D">
      <w:pPr>
        <w:pStyle w:val="rdo"/>
      </w:pPr>
      <w:r w:rsidRPr="00795F17">
        <w:rPr>
          <w:lang w:eastAsia="zh-CN"/>
        </w:rPr>
        <w:t xml:space="preserve">Źródło: </w:t>
      </w:r>
      <w:r w:rsidR="00A62769" w:rsidRPr="00795F17">
        <w:rPr>
          <w:lang w:eastAsia="zh-CN"/>
        </w:rPr>
        <w:t>opracowanie własne</w:t>
      </w:r>
    </w:p>
    <w:p w14:paraId="604F9C48" w14:textId="0D727E40" w:rsidR="006F0E34" w:rsidRPr="00795F17" w:rsidRDefault="006F0E34" w:rsidP="0044393D">
      <w:r w:rsidRPr="00795F17">
        <w:t xml:space="preserve">Największy udział w powierzchni regionu mają użytki rolne </w:t>
      </w:r>
      <w:r w:rsidR="006B5BAA">
        <w:t>–</w:t>
      </w:r>
      <w:r w:rsidRPr="00795F17">
        <w:t xml:space="preserve"> około 55,6%, dalej lasy </w:t>
      </w:r>
      <w:r w:rsidR="006B5BAA">
        <w:t>–</w:t>
      </w:r>
      <w:r w:rsidRPr="00795F17">
        <w:t xml:space="preserve"> około 33,9%, a</w:t>
      </w:r>
      <w:r w:rsidR="00AE68D4" w:rsidRPr="00795F17">
        <w:t> </w:t>
      </w:r>
      <w:r w:rsidRPr="00795F17">
        <w:t>powierzchnia terenów przekształconych antropogenicznie wynosi około 7,1%. Tereny pozostałe zajmują około 3,3%</w:t>
      </w:r>
      <w:r w:rsidR="00C5075C" w:rsidRPr="00795F17">
        <w:t xml:space="preserve"> (wykres 3-5)</w:t>
      </w:r>
      <w:r w:rsidR="00F15DD4" w:rsidRPr="00795F17">
        <w:rPr>
          <w:rStyle w:val="Odwoanieprzypisudolnego"/>
          <w:rFonts w:asciiTheme="minorHAnsi" w:eastAsiaTheme="minorHAnsi" w:hAnsiTheme="minorHAnsi" w:cstheme="minorHAnsi"/>
          <w:color w:val="000000"/>
        </w:rPr>
        <w:footnoteReference w:id="4"/>
      </w:r>
      <w:r w:rsidR="006B5BAA">
        <w:t>.</w:t>
      </w:r>
    </w:p>
    <w:p w14:paraId="42856350" w14:textId="6F6F75D4" w:rsidR="006F0E34" w:rsidRPr="00795F17" w:rsidRDefault="003F6CB0" w:rsidP="005842B5">
      <w:pPr>
        <w:jc w:val="center"/>
        <w:rPr>
          <w:rFonts w:asciiTheme="minorHAnsi" w:hAnsiTheme="minorHAnsi" w:cstheme="minorHAnsi"/>
          <w:color w:val="003399"/>
          <w:lang w:eastAsia="zh-CN"/>
        </w:rPr>
      </w:pPr>
      <w:r w:rsidRPr="00795F17">
        <w:rPr>
          <w:noProof/>
          <w:lang w:eastAsia="pl-PL"/>
        </w:rPr>
        <w:drawing>
          <wp:inline distT="0" distB="0" distL="0" distR="0" wp14:anchorId="22084326" wp14:editId="404EC291">
            <wp:extent cx="4011430" cy="2340000"/>
            <wp:effectExtent l="0" t="0" r="8255" b="3175"/>
            <wp:docPr id="238" name="Wykres 238">
              <a:extLst xmlns:a="http://schemas.openxmlformats.org/drawingml/2006/main">
                <a:ext uri="{FF2B5EF4-FFF2-40B4-BE49-F238E27FC236}">
                  <a16:creationId xmlns:a16="http://schemas.microsoft.com/office/drawing/2014/main" id="{00000000-0008-0000-02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23FB9C0" w14:textId="706973E4" w:rsidR="006F0E34" w:rsidRPr="00795F17" w:rsidRDefault="006F0E34" w:rsidP="00B479EE">
      <w:pPr>
        <w:pStyle w:val="Wykres"/>
      </w:pPr>
      <w:bookmarkStart w:id="41" w:name="_Toc66272983"/>
      <w:bookmarkStart w:id="42" w:name="_Toc105512942"/>
      <w:r w:rsidRPr="00795F17">
        <w:t xml:space="preserve">Wykres </w:t>
      </w:r>
      <w:fldSimple w:instr=" STYLEREF 1 \s ">
        <w:r w:rsidR="001F774D">
          <w:rPr>
            <w:noProof/>
          </w:rPr>
          <w:t>3</w:t>
        </w:r>
      </w:fldSimple>
      <w:r w:rsidR="00FF20D3">
        <w:noBreakHyphen/>
      </w:r>
      <w:fldSimple w:instr=" SEQ Wykres \* ARABIC \s 1 ">
        <w:r w:rsidR="001F774D">
          <w:rPr>
            <w:noProof/>
          </w:rPr>
          <w:t>5</w:t>
        </w:r>
      </w:fldSimple>
      <w:r w:rsidR="00D40C59">
        <w:rPr>
          <w:noProof/>
        </w:rPr>
        <w:t>.</w:t>
      </w:r>
      <w:r w:rsidRPr="00795F17">
        <w:tab/>
        <w:t>Udział poszczególnych form zagospodarowania terenu regionu wodnego Środkowej Odry</w:t>
      </w:r>
      <w:bookmarkEnd w:id="41"/>
      <w:bookmarkEnd w:id="42"/>
    </w:p>
    <w:p w14:paraId="31C5AB61" w14:textId="25EAC5D3" w:rsidR="006F0E34" w:rsidRPr="00795F17" w:rsidRDefault="006F0E34" w:rsidP="0044393D">
      <w:pPr>
        <w:pStyle w:val="rdo"/>
      </w:pPr>
      <w:r w:rsidRPr="00795F17">
        <w:t xml:space="preserve">Źródło: </w:t>
      </w:r>
      <w:r w:rsidR="00A62769" w:rsidRPr="00795F17">
        <w:t>opracowanie własne na</w:t>
      </w:r>
      <w:r w:rsidRPr="00795F17">
        <w:t xml:space="preserve"> podstawie danych CLC 2018</w:t>
      </w:r>
    </w:p>
    <w:p w14:paraId="074C7DA9" w14:textId="2D311A58" w:rsidR="006F0E34" w:rsidRPr="00795F17" w:rsidRDefault="006F0E34" w:rsidP="0044393D">
      <w:r w:rsidRPr="00795F17">
        <w:t>Do największych miast w regionie wodnym należą: Wrocław, Wałbrzych, Legnica, Zielona Góra, Jelenia Góra i Głogów. Region wodny Środkowej Odry jest położony w obrębie Legnicko-Głogowskiego Okręgu Miedziowego (LGOM), na którego obszarze, o powierzchni ponad 400 km</w:t>
      </w:r>
      <w:r w:rsidRPr="00795F17">
        <w:rPr>
          <w:vertAlign w:val="superscript"/>
        </w:rPr>
        <w:t>2</w:t>
      </w:r>
      <w:r w:rsidRPr="00795F17">
        <w:t>, w trzech zakładach górniczych (Lubin, Rudna oraz Polkowice-Sieroszowice) prowadzona jest podziemna eksploatacja rud miedzi. Przy</w:t>
      </w:r>
      <w:r w:rsidR="002668EF" w:rsidRPr="00795F17">
        <w:t> </w:t>
      </w:r>
      <w:r w:rsidRPr="00795F17">
        <w:t>wydobyciu miedzi dokonywane są również zrzuty wód kopalnianych do wód powierzchniowych. Dodatkowym obciążeniem dla środowiska wodnego są huty metali nieżelaznych</w:t>
      </w:r>
      <w:r w:rsidR="00AE3AB6">
        <w:t>.</w:t>
      </w:r>
    </w:p>
    <w:p w14:paraId="13A10B08" w14:textId="780428B4" w:rsidR="006F0E34" w:rsidRPr="00795F17" w:rsidRDefault="006F0E34" w:rsidP="0044393D">
      <w:r w:rsidRPr="00795F17">
        <w:t>W granicach regionu wodnego Środkowej Odry znajdują są również pokłady węgla brunatnego na</w:t>
      </w:r>
      <w:r w:rsidR="00AE68D4" w:rsidRPr="00795F17">
        <w:t> </w:t>
      </w:r>
      <w:r w:rsidRPr="00795F17">
        <w:t xml:space="preserve">obszarze tak zwanego Worka Turoszowskiego. </w:t>
      </w:r>
      <w:r w:rsidR="00B234EB">
        <w:t>W</w:t>
      </w:r>
      <w:r w:rsidRPr="00795F17">
        <w:t>ydobycie surowców mineralnych, takich jak wapienie i margle, ma znaczny wpływ na ilość wód podziemnych. Woda z odwodnienia tego typu kopalni jest wypompowywana głównie do wód powierzchniowych. Niewielka ilość wód pochodzących z odwodnienia kopalni jest wykorzystywana na</w:t>
      </w:r>
      <w:r w:rsidR="00AE68D4" w:rsidRPr="00795F17">
        <w:t> </w:t>
      </w:r>
      <w:r w:rsidRPr="00795F17">
        <w:t xml:space="preserve">cele komunalne i przemysłowe. </w:t>
      </w:r>
    </w:p>
    <w:p w14:paraId="038EEA42" w14:textId="418E041C" w:rsidR="006F0E34" w:rsidRPr="00795F17" w:rsidRDefault="006F0E34" w:rsidP="0044393D">
      <w:r w:rsidRPr="00795F17">
        <w:t xml:space="preserve">Ponadto w obrębie regionu wodnego Środkowej Odry </w:t>
      </w:r>
      <w:r w:rsidR="00066063">
        <w:t xml:space="preserve">znajduje się </w:t>
      </w:r>
      <w:r w:rsidRPr="00795F17">
        <w:t>Wrocławski Okręg Przemysłowy z</w:t>
      </w:r>
      <w:r w:rsidR="008665C7" w:rsidRPr="00795F17">
        <w:t> </w:t>
      </w:r>
      <w:r w:rsidRPr="00795F17">
        <w:t xml:space="preserve">przemysłem maszynowo-metalowym, środków transportu, spożywczym, elektronicznym, metalowym, odzieżowym i chemicznym. </w:t>
      </w:r>
    </w:p>
    <w:p w14:paraId="1CBDA60B" w14:textId="606FF35D" w:rsidR="006F0E34" w:rsidRPr="00795F17" w:rsidRDefault="00EF1C89" w:rsidP="0044393D">
      <w:pPr>
        <w:pStyle w:val="Nagwek5"/>
      </w:pPr>
      <w:r w:rsidRPr="00795F17">
        <w:t>Region wodny Dolnej Odry i Przymorza Zachodniego</w:t>
      </w:r>
    </w:p>
    <w:p w14:paraId="11C98BF8" w14:textId="0040809D" w:rsidR="00A02759" w:rsidRPr="00795F17" w:rsidRDefault="006F0E34" w:rsidP="0044393D">
      <w:r w:rsidRPr="00795F17">
        <w:t xml:space="preserve">Region wodny Dolnej Odry i Przymorza Zachodniego zajmuje powierzchnię około </w:t>
      </w:r>
      <w:r w:rsidR="00CC34A6" w:rsidRPr="00CC34A6">
        <w:t>19</w:t>
      </w:r>
      <w:r w:rsidR="00CC34A6">
        <w:t> </w:t>
      </w:r>
      <w:r w:rsidR="00CC34A6" w:rsidRPr="00CC34A6">
        <w:t>265</w:t>
      </w:r>
      <w:r w:rsidR="00CC34A6">
        <w:t xml:space="preserve"> </w:t>
      </w:r>
      <w:r w:rsidRPr="00795F17">
        <w:t>km</w:t>
      </w:r>
      <w:r w:rsidRPr="00795F17">
        <w:rPr>
          <w:position w:val="3"/>
          <w:vertAlign w:val="superscript"/>
        </w:rPr>
        <w:t>2</w:t>
      </w:r>
      <w:r w:rsidRPr="00795F17">
        <w:t xml:space="preserve">. Obejmuje odcinek Odry, który rozpoczyna się od ujścia </w:t>
      </w:r>
      <w:r w:rsidR="00464223" w:rsidRPr="00795F17">
        <w:t>Warty</w:t>
      </w:r>
      <w:r w:rsidRPr="00795F17">
        <w:t>, natomiast kończy się ujściem Odry do</w:t>
      </w:r>
      <w:r w:rsidR="00DB2292" w:rsidRPr="00795F17">
        <w:t> </w:t>
      </w:r>
      <w:r w:rsidRPr="00795F17">
        <w:t>Roztoki Odrzańskiej</w:t>
      </w:r>
      <w:r w:rsidR="008472FE">
        <w:t xml:space="preserve"> wraz z obszarem dorzecza </w:t>
      </w:r>
      <w:r w:rsidR="008472FE" w:rsidRPr="008472FE">
        <w:t>Ücker</w:t>
      </w:r>
      <w:r w:rsidR="008472FE">
        <w:t xml:space="preserve"> włączonym do re</w:t>
      </w:r>
      <w:r w:rsidR="006E5B0D">
        <w:t>gionu wodnego Dolnej Odry i Przymorza Zachodniego pr.w.</w:t>
      </w:r>
      <w:r w:rsidRPr="00795F17">
        <w:t xml:space="preserve"> Według podziału fizycznogeograficznego region wodny obejmuje w</w:t>
      </w:r>
      <w:r w:rsidR="00AE68D4" w:rsidRPr="00795F17">
        <w:t> </w:t>
      </w:r>
      <w:r w:rsidRPr="00795F17">
        <w:t xml:space="preserve">całości makroregion Pobrzeża Szczecińskiego oraz fragmentarycznie następujące makroregiony: Pobrzeże Koszalińskie, Pojezierze Zachodniopomorskie, Pojezierze Południowopomorskie, Pradolina Toruńsko-Eberswaldzka, Pojezierze Lubuskie i Pradolina Warciańsko-Odrzańska. </w:t>
      </w:r>
    </w:p>
    <w:p w14:paraId="00BE2A96" w14:textId="2C6B1D37" w:rsidR="006F0E34" w:rsidRPr="00795F17" w:rsidRDefault="006F0E34" w:rsidP="0044393D">
      <w:r w:rsidRPr="00795F17">
        <w:t>Do największych dopływów Odry w regionie wodnym należą rzeki: Myśla, Kurzyca, Słubia, Rurzyca, Tywa, Płonia, Ina oraz Gunica (cieki II rzędu). Region wodny Dolnej Odry i Przymorza Zachodniego obejmuje także zlewisko Bałtyku. Najistotniejszymi ciekami Przymorza są rzeki: Rega, Parsęta wraz</w:t>
      </w:r>
      <w:r w:rsidR="00016AC4">
        <w:t> </w:t>
      </w:r>
      <w:r w:rsidRPr="00795F17">
        <w:t>z</w:t>
      </w:r>
      <w:r w:rsidR="00ED7BEE">
        <w:t> </w:t>
      </w:r>
      <w:r w:rsidRPr="00795F17">
        <w:t>Radwią, Czerwona oraz Wieprza wraz z największym dopływem Grabową (cieki I rzędu).</w:t>
      </w:r>
      <w:r w:rsidR="00BA79E1" w:rsidRPr="00795F17">
        <w:t xml:space="preserve"> </w:t>
      </w:r>
      <w:r w:rsidRPr="00795F17">
        <w:t>Całkowita długość sieci hydrograficznej zlewni Dolnej Odry i Przymorza Zachodniego wynosi około 7</w:t>
      </w:r>
      <w:r w:rsidR="00ED7BEE">
        <w:t> </w:t>
      </w:r>
      <w:r w:rsidRPr="00795F17">
        <w:t>528 km. Ponadto w regionie wodnym Dolnej Odry i Przymorza Zachodniego znajduje się ponad tysiąc jezior, z</w:t>
      </w:r>
      <w:r w:rsidR="00ED7BEE">
        <w:t> </w:t>
      </w:r>
      <w:r w:rsidRPr="00795F17">
        <w:t>czego największe to jeziora Dąbie, Miedwie, Jamno i Bukowo. Na terenie pojezierzy występują liczne obszary bezodpływowe. Z</w:t>
      </w:r>
      <w:r w:rsidR="001C0081">
        <w:t xml:space="preserve">najduje się tu </w:t>
      </w:r>
      <w:r w:rsidRPr="00795F17">
        <w:t xml:space="preserve">także Zalew Szczeciński, którego znaczna część </w:t>
      </w:r>
      <w:r w:rsidR="001C0081">
        <w:t xml:space="preserve">położona jest </w:t>
      </w:r>
      <w:r w:rsidRPr="00795F17">
        <w:t>w granicach Polski (410 km</w:t>
      </w:r>
      <w:r w:rsidRPr="00795F17">
        <w:rPr>
          <w:vertAlign w:val="superscript"/>
        </w:rPr>
        <w:t>2</w:t>
      </w:r>
      <w:r w:rsidRPr="00795F17">
        <w:t xml:space="preserve"> z całkowitej powierzchni równej 687 km</w:t>
      </w:r>
      <w:r w:rsidRPr="00795F17">
        <w:rPr>
          <w:vertAlign w:val="superscript"/>
        </w:rPr>
        <w:t>2</w:t>
      </w:r>
      <w:r w:rsidRPr="00795F17">
        <w:t>)</w:t>
      </w:r>
      <w:r w:rsidR="00486692">
        <w:t xml:space="preserve"> oraz Zalew Kamieński</w:t>
      </w:r>
      <w:r w:rsidRPr="00795F17">
        <w:t>.</w:t>
      </w:r>
    </w:p>
    <w:p w14:paraId="1A747CEF" w14:textId="77777777" w:rsidR="006F0E34" w:rsidRPr="00795F17" w:rsidRDefault="006F0E34" w:rsidP="0044393D">
      <w:r w:rsidRPr="00795F17">
        <w:t>Największe zbiorniki zaporowe w regionie to: Rosnowo (pełniący funkcje przeciwpowodziową, hydroenergetyczną i rekreacyjną), Hajka (zbiornik wyrównawczy dla zbiornika Rosnowo, pełniący funkcję hydroenergetyczną), Likowo (zbiornik zaporowy pełniący funkcję hydroenergetyczną), Rejowice (zbiornik retencyjny pełniący funkcję hydroenergetyczną), Żurawie (o funkcji retencyjnej) oraz zbiornik Połczyn Zdrój (pełniący funkcje przeciwpowodziową i hydroenergetyczną).</w:t>
      </w:r>
    </w:p>
    <w:p w14:paraId="01E99866" w14:textId="77777777" w:rsidR="006F0E34" w:rsidRPr="00795F17" w:rsidRDefault="006F0E34" w:rsidP="0044393D">
      <w:r w:rsidRPr="00795F17">
        <w:t xml:space="preserve">Region wodny Dolnej Odry i Przymorza Zachodniego znajduje się całkowicie w obrębie jednego ekoregionu. Są nim Równiny Centralne (100% powierzchni regionu). </w:t>
      </w:r>
    </w:p>
    <w:p w14:paraId="7988292D" w14:textId="5E98AAB8" w:rsidR="006F0E34" w:rsidRPr="00795F17" w:rsidRDefault="006F0E34" w:rsidP="0044393D">
      <w:r w:rsidRPr="00795F17">
        <w:t>Na podstawie danych Corine Land Cover</w:t>
      </w:r>
      <w:r w:rsidRPr="00795F17">
        <w:rPr>
          <w:rStyle w:val="Odwoanieprzypisudolnego"/>
          <w:rFonts w:asciiTheme="minorHAnsi" w:eastAsiaTheme="minorEastAsia" w:hAnsiTheme="minorHAnsi" w:cstheme="minorBidi"/>
          <w:color w:val="000000"/>
        </w:rPr>
        <w:footnoteReference w:id="5"/>
      </w:r>
      <w:r w:rsidRPr="00795F17">
        <w:t xml:space="preserve"> można stwierdzić, że największy udział w powierzchni regionu mają użytki rolne </w:t>
      </w:r>
      <w:r w:rsidR="0079397E">
        <w:t>–</w:t>
      </w:r>
      <w:r w:rsidRPr="00795F17">
        <w:t xml:space="preserve"> około 58,4%, dalej lasy </w:t>
      </w:r>
      <w:r w:rsidR="0079397E">
        <w:t>–</w:t>
      </w:r>
      <w:r w:rsidRPr="00795F17">
        <w:t xml:space="preserve"> około 32,5%, a tereny przekształcone antropogenicznie </w:t>
      </w:r>
      <w:r w:rsidR="0079397E">
        <w:t>–</w:t>
      </w:r>
      <w:r w:rsidRPr="00795F17">
        <w:t xml:space="preserve"> około 4,6%. </w:t>
      </w:r>
      <w:r w:rsidRPr="00795F17">
        <w:rPr>
          <w:rFonts w:eastAsiaTheme="minorHAnsi" w:cstheme="minorHAnsi"/>
        </w:rPr>
        <w:t>Tereny pozostałe zajmują około 4,5%</w:t>
      </w:r>
      <w:r w:rsidR="00C5075C" w:rsidRPr="00795F17">
        <w:rPr>
          <w:rFonts w:eastAsiaTheme="minorHAnsi" w:cstheme="minorHAnsi"/>
        </w:rPr>
        <w:t xml:space="preserve"> (wykres 3-6)</w:t>
      </w:r>
      <w:r w:rsidRPr="00795F17">
        <w:rPr>
          <w:rFonts w:eastAsiaTheme="minorHAnsi" w:cstheme="minorHAnsi"/>
        </w:rPr>
        <w:t>.</w:t>
      </w:r>
    </w:p>
    <w:p w14:paraId="685345FA" w14:textId="51814EF9" w:rsidR="00EF1C89" w:rsidRPr="00795F17" w:rsidRDefault="003F6CB0" w:rsidP="005842B5">
      <w:pPr>
        <w:jc w:val="center"/>
      </w:pPr>
      <w:r w:rsidRPr="00795F17">
        <w:rPr>
          <w:noProof/>
          <w:lang w:eastAsia="pl-PL"/>
        </w:rPr>
        <w:drawing>
          <wp:inline distT="0" distB="0" distL="0" distR="0" wp14:anchorId="68BF83D1" wp14:editId="61D12001">
            <wp:extent cx="4320000" cy="2340000"/>
            <wp:effectExtent l="0" t="0" r="4445" b="3175"/>
            <wp:docPr id="239" name="Wykres 239">
              <a:extLst xmlns:a="http://schemas.openxmlformats.org/drawingml/2006/main">
                <a:ext uri="{FF2B5EF4-FFF2-40B4-BE49-F238E27FC236}">
                  <a16:creationId xmlns:a16="http://schemas.microsoft.com/office/drawing/2014/main" id="{00000000-0008-0000-02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7A09AAC" w14:textId="188FDB08" w:rsidR="006F0E34" w:rsidRPr="00795F17" w:rsidRDefault="00EF1C89" w:rsidP="00B479EE">
      <w:pPr>
        <w:pStyle w:val="Wykres"/>
      </w:pPr>
      <w:bookmarkStart w:id="43" w:name="_Toc66272984"/>
      <w:bookmarkStart w:id="44" w:name="_Toc105512943"/>
      <w:r w:rsidRPr="00795F17">
        <w:t xml:space="preserve">Wykres </w:t>
      </w:r>
      <w:fldSimple w:instr=" STYLEREF 1 \s ">
        <w:r w:rsidR="001F774D">
          <w:rPr>
            <w:noProof/>
          </w:rPr>
          <w:t>3</w:t>
        </w:r>
      </w:fldSimple>
      <w:r w:rsidR="00FF20D3">
        <w:noBreakHyphen/>
      </w:r>
      <w:fldSimple w:instr=" SEQ Wykres \* ARABIC \s 1 ">
        <w:r w:rsidR="001F774D">
          <w:rPr>
            <w:noProof/>
          </w:rPr>
          <w:t>6</w:t>
        </w:r>
      </w:fldSimple>
      <w:r w:rsidR="00D40C59">
        <w:rPr>
          <w:noProof/>
        </w:rPr>
        <w:t>.</w:t>
      </w:r>
      <w:r w:rsidRPr="00795F17">
        <w:tab/>
        <w:t>Udział poszczególnych form zagospodarowania terenu regionu wodnego Dolnej Odry i</w:t>
      </w:r>
      <w:r w:rsidR="00703397" w:rsidRPr="00795F17">
        <w:t> </w:t>
      </w:r>
      <w:r w:rsidRPr="00795F17">
        <w:t>Przymorza Zachodniego</w:t>
      </w:r>
      <w:bookmarkEnd w:id="43"/>
      <w:bookmarkEnd w:id="44"/>
    </w:p>
    <w:p w14:paraId="1AC2F3D9" w14:textId="25C9305F" w:rsidR="006F0E34" w:rsidRPr="00795F17" w:rsidRDefault="006F0E34" w:rsidP="0044393D">
      <w:pPr>
        <w:pStyle w:val="rdo"/>
      </w:pPr>
      <w:r w:rsidRPr="00795F17">
        <w:t xml:space="preserve">Źródło: </w:t>
      </w:r>
      <w:r w:rsidR="00A62769" w:rsidRPr="00795F17">
        <w:t>opracowanie własne na</w:t>
      </w:r>
      <w:r w:rsidRPr="00795F17">
        <w:t xml:space="preserve"> podstawie danych CLC 2018</w:t>
      </w:r>
    </w:p>
    <w:p w14:paraId="44118693" w14:textId="77A98212" w:rsidR="006F0E34" w:rsidRPr="00795F17" w:rsidRDefault="006F0E34" w:rsidP="0044393D">
      <w:r w:rsidRPr="00795F17">
        <w:t xml:space="preserve">Do największych miast w regionie wodnym należą: Szczecin, Koszalin, Świnoujście i Stargard. Region wodny Dolnej Odry i Przymorza Zachodniego jest mocno zróżnicowany. Zlokalizowane </w:t>
      </w:r>
      <w:r w:rsidR="00DB2292" w:rsidRPr="00795F17">
        <w:br/>
      </w:r>
      <w:r w:rsidRPr="00795F17">
        <w:t>są tu jednocześnie duże aglomeracje oraz tereny bardzo słabo zaludnione. Północno-zachodnia część regionu jest bardziej uprzemysłowiona od części wschodniej. Ma to związek z silnie rozwiniętą w tym regionie gospodarką morską oraz przebiegającą na Odrze granicą państwową z Niemcami.</w:t>
      </w:r>
    </w:p>
    <w:p w14:paraId="6F649ED3" w14:textId="5283878B" w:rsidR="006F0E34" w:rsidRPr="00795F17" w:rsidRDefault="006F0E34" w:rsidP="0044393D">
      <w:r w:rsidRPr="00795F17">
        <w:t>W obrębie Szczecińskiego Okręgu Przemysłowego wyróżnia się następujące główne ośrodki: Szczecin, Police, Skolwin, Gryfino i Goleniów. Ze względu na bliskość morza dominuje przemysł stoczniowy oraz</w:t>
      </w:r>
      <w:r w:rsidR="008513F0">
        <w:t> </w:t>
      </w:r>
      <w:r w:rsidRPr="00795F17">
        <w:t xml:space="preserve">maszynowy, pozostałe gałęzie dotyczą przemysłu chemicznego (Grupa Azoty Zakłady Chemiczne), spożywczego i energetycznego (elektrownia Dolna Odra w Nowym Czarnowie). Głównym czynnikiem powstania Szczecińskiego Okręgu Przemysłowego jest bliskość i dostęp do Morza Bałtyckiego. </w:t>
      </w:r>
      <w:r w:rsidR="00C7083C" w:rsidRPr="00795F17">
        <w:t>Ww.</w:t>
      </w:r>
      <w:r w:rsidR="00DB2292" w:rsidRPr="00795F17">
        <w:t> </w:t>
      </w:r>
      <w:r w:rsidR="00C7083C" w:rsidRPr="00795F17">
        <w:t>o</w:t>
      </w:r>
      <w:r w:rsidRPr="00795F17">
        <w:t xml:space="preserve">środki </w:t>
      </w:r>
      <w:r w:rsidR="00C7083C" w:rsidRPr="00795F17">
        <w:t xml:space="preserve">przemysłowe </w:t>
      </w:r>
      <w:r w:rsidRPr="00795F17">
        <w:t xml:space="preserve">znajdują się </w:t>
      </w:r>
      <w:r w:rsidR="00B15524">
        <w:t xml:space="preserve">na </w:t>
      </w:r>
      <w:r w:rsidRPr="00795F17">
        <w:t>Pojezierz</w:t>
      </w:r>
      <w:r w:rsidR="00B15524">
        <w:t>u</w:t>
      </w:r>
      <w:r w:rsidRPr="00795F17">
        <w:t xml:space="preserve"> Szczeciński</w:t>
      </w:r>
      <w:r w:rsidR="00B72EF7">
        <w:t>m</w:t>
      </w:r>
      <w:r w:rsidRPr="00795F17">
        <w:t>.</w:t>
      </w:r>
    </w:p>
    <w:p w14:paraId="022DF44D" w14:textId="4144AC08" w:rsidR="006F0E34" w:rsidRPr="00795F17" w:rsidRDefault="00524EA5" w:rsidP="0044393D">
      <w:pPr>
        <w:pStyle w:val="Nagwek5"/>
      </w:pPr>
      <w:r w:rsidRPr="00795F17">
        <w:t>Region wodny Warty</w:t>
      </w:r>
      <w:r w:rsidR="006F0E34" w:rsidRPr="00795F17">
        <w:rPr>
          <w:vertAlign w:val="superscript"/>
        </w:rPr>
        <w:footnoteReference w:id="6"/>
      </w:r>
    </w:p>
    <w:p w14:paraId="3801D3F6" w14:textId="775378FA" w:rsidR="006F0E34" w:rsidRPr="00795F17" w:rsidRDefault="006F0E34" w:rsidP="0044393D">
      <w:r w:rsidRPr="00795F17">
        <w:t>Region wodny Warty zajmuje powierzchnię około 37</w:t>
      </w:r>
      <w:r w:rsidR="00DB2292" w:rsidRPr="00795F17">
        <w:t> </w:t>
      </w:r>
      <w:r w:rsidRPr="00795F17">
        <w:t>173</w:t>
      </w:r>
      <w:r w:rsidR="00DB2292" w:rsidRPr="00795F17">
        <w:t> </w:t>
      </w:r>
      <w:r w:rsidRPr="00795F17">
        <w:t>km</w:t>
      </w:r>
      <w:r w:rsidRPr="00795F17">
        <w:rPr>
          <w:position w:val="3"/>
          <w:vertAlign w:val="superscript"/>
        </w:rPr>
        <w:t>2</w:t>
      </w:r>
      <w:r w:rsidRPr="00795F17">
        <w:t>. Obejmuje zlewnię Warty od źródeł po</w:t>
      </w:r>
      <w:r w:rsidR="00AE68D4" w:rsidRPr="00795F17">
        <w:t> </w:t>
      </w:r>
      <w:r w:rsidRPr="00795F17">
        <w:t xml:space="preserve">ujście do Odry w okolicach Kostrzyna. Warta jest najdłuższym dopływem Odry o długości </w:t>
      </w:r>
      <w:r w:rsidR="00B62368">
        <w:t>808</w:t>
      </w:r>
      <w:r w:rsidR="004D0CC7">
        <w:t>,2</w:t>
      </w:r>
      <w:r w:rsidRPr="00795F17">
        <w:t xml:space="preserve"> km. </w:t>
      </w:r>
    </w:p>
    <w:p w14:paraId="392D61BB" w14:textId="5544536B" w:rsidR="006F0E34" w:rsidRPr="00795F17" w:rsidRDefault="006F0E34" w:rsidP="0044393D">
      <w:r w:rsidRPr="00795F17">
        <w:t>Najistotniejszymi ciekami regionu wodnego Warty są rzeki: Warta,</w:t>
      </w:r>
      <w:r w:rsidR="009D4D7F" w:rsidRPr="00795F17">
        <w:t xml:space="preserve"> </w:t>
      </w:r>
      <w:r w:rsidR="00D26B1A" w:rsidRPr="00795F17">
        <w:t>Obra, Prosna, Ner, Wełna, Widawka, Liswarta.</w:t>
      </w:r>
    </w:p>
    <w:p w14:paraId="1D0B19DA" w14:textId="77777777" w:rsidR="006F0E34" w:rsidRPr="00795F17" w:rsidRDefault="006F0E34" w:rsidP="0044393D">
      <w:r w:rsidRPr="00795F17">
        <w:t xml:space="preserve">W regionie wodnym zlokalizowane są dwa sztuczne zbiorniki wodne: Jeziorsko (o funkcjach retencyjnej i hydroenergetycznej) oraz Poraj (o funkcji retencyjnej). </w:t>
      </w:r>
    </w:p>
    <w:p w14:paraId="4DEB8EA5" w14:textId="2A6B955C" w:rsidR="006F0E34" w:rsidRPr="00795F17" w:rsidRDefault="006F0E34" w:rsidP="0044393D">
      <w:r w:rsidRPr="00795F17">
        <w:t xml:space="preserve">Na </w:t>
      </w:r>
      <w:r w:rsidR="00550814" w:rsidRPr="00795F17">
        <w:t xml:space="preserve">obszarze </w:t>
      </w:r>
      <w:r w:rsidRPr="00795F17">
        <w:t xml:space="preserve">regionu wodnego Warty </w:t>
      </w:r>
      <w:r w:rsidR="00850FEF">
        <w:rPr>
          <w:rFonts w:asciiTheme="minorHAnsi" w:eastAsiaTheme="minorEastAsia" w:hAnsiTheme="minorHAnsi" w:cstheme="minorBidi"/>
          <w:color w:val="000000"/>
        </w:rPr>
        <w:t xml:space="preserve">zasilanie cieków powierzchniowych następuje w około </w:t>
      </w:r>
      <w:r w:rsidR="00850FEF" w:rsidRPr="00F6538A">
        <w:rPr>
          <w:rFonts w:asciiTheme="minorHAnsi" w:eastAsiaTheme="minorEastAsia" w:hAnsiTheme="minorHAnsi" w:cstheme="minorBidi"/>
          <w:color w:val="000000"/>
        </w:rPr>
        <w:t>45-55%</w:t>
      </w:r>
      <w:r w:rsidR="00850FEF">
        <w:rPr>
          <w:rFonts w:asciiTheme="minorHAnsi" w:eastAsiaTheme="minorEastAsia" w:hAnsiTheme="minorHAnsi" w:cstheme="minorBidi"/>
          <w:color w:val="000000"/>
        </w:rPr>
        <w:t xml:space="preserve"> ze spływów powierzchniowych oraz w 45-55% z zasilania wodami podziemnymi. </w:t>
      </w:r>
      <w:r w:rsidRPr="00795F17">
        <w:t xml:space="preserve">Udział zasilania podziemnego w całkowitym odpływie rocznym waha się od </w:t>
      </w:r>
      <w:r w:rsidR="00EF4C96" w:rsidRPr="00795F17">
        <w:t xml:space="preserve">50% na Nizinach Środkowopolskich do </w:t>
      </w:r>
      <w:r w:rsidRPr="00795F17">
        <w:t>55-65%</w:t>
      </w:r>
      <w:r w:rsidR="00EF4C96" w:rsidRPr="00795F17">
        <w:t xml:space="preserve"> </w:t>
      </w:r>
      <w:r w:rsidRPr="00795F17">
        <w:t xml:space="preserve">na Pojezierzu Wielkopolskim i w górnej części regionu, aż do powyżej 65% m.in. </w:t>
      </w:r>
      <w:r w:rsidR="00771439">
        <w:t>na</w:t>
      </w:r>
      <w:r w:rsidRPr="00795F17">
        <w:t xml:space="preserve"> obszarze </w:t>
      </w:r>
      <w:r w:rsidR="00304135" w:rsidRPr="00795F17">
        <w:t xml:space="preserve">środkowej </w:t>
      </w:r>
      <w:r w:rsidRPr="00795F17">
        <w:t>Warty.</w:t>
      </w:r>
    </w:p>
    <w:p w14:paraId="60CC3099" w14:textId="77777777" w:rsidR="006F0E34" w:rsidRPr="00795F17" w:rsidRDefault="006F0E34" w:rsidP="0044393D">
      <w:r w:rsidRPr="00795F17">
        <w:t xml:space="preserve">Region wodny Warty znajduje się całkowicie w obrębie jednego ekoregionu. Są nim Równiny Centralne (100% powierzchni regionu). </w:t>
      </w:r>
    </w:p>
    <w:p w14:paraId="14714390" w14:textId="1C2E132F" w:rsidR="006F0E34" w:rsidRPr="00795F17" w:rsidRDefault="006F0E34" w:rsidP="0044393D">
      <w:r w:rsidRPr="00795F17">
        <w:t>Na podstawie danych Corine Land Cover</w:t>
      </w:r>
      <w:r w:rsidRPr="00795F17">
        <w:rPr>
          <w:rStyle w:val="Odwoanieprzypisudolnego"/>
          <w:rFonts w:asciiTheme="minorHAnsi" w:eastAsiaTheme="minorEastAsia" w:hAnsiTheme="minorHAnsi" w:cstheme="minorBidi"/>
          <w:color w:val="000000"/>
        </w:rPr>
        <w:footnoteReference w:id="7"/>
      </w:r>
      <w:r w:rsidRPr="00795F17">
        <w:t xml:space="preserve"> można stwierdzić, że największy udział w powierzchni regionu mają użytki rolne </w:t>
      </w:r>
      <w:r w:rsidR="0079397E">
        <w:t>–</w:t>
      </w:r>
      <w:r w:rsidRPr="00795F17">
        <w:t xml:space="preserve"> około 65%, dalej lasy </w:t>
      </w:r>
      <w:r w:rsidR="0079397E">
        <w:t>–</w:t>
      </w:r>
      <w:r w:rsidRPr="00795F17">
        <w:t xml:space="preserve"> około 26%, a tereny przekształcone antropogenicznie </w:t>
      </w:r>
      <w:r w:rsidR="0079397E">
        <w:t>–</w:t>
      </w:r>
      <w:r w:rsidRPr="00795F17">
        <w:t xml:space="preserve"> około 6%. </w:t>
      </w:r>
      <w:r w:rsidRPr="00795F17">
        <w:rPr>
          <w:rFonts w:eastAsiaTheme="minorHAnsi" w:cstheme="minorHAnsi"/>
        </w:rPr>
        <w:t xml:space="preserve">Tereny pozostałe zajmują około </w:t>
      </w:r>
      <w:r w:rsidR="0057326B">
        <w:rPr>
          <w:rFonts w:eastAsiaTheme="minorHAnsi" w:cstheme="minorHAnsi"/>
        </w:rPr>
        <w:t>3</w:t>
      </w:r>
      <w:r w:rsidRPr="00795F17">
        <w:rPr>
          <w:rFonts w:eastAsiaTheme="minorHAnsi" w:cstheme="minorHAnsi"/>
        </w:rPr>
        <w:t>%</w:t>
      </w:r>
      <w:r w:rsidR="00C5075C" w:rsidRPr="00795F17">
        <w:rPr>
          <w:rFonts w:eastAsiaTheme="minorHAnsi" w:cstheme="minorHAnsi"/>
        </w:rPr>
        <w:t xml:space="preserve"> (wykres 3-7)</w:t>
      </w:r>
      <w:r w:rsidRPr="00795F17">
        <w:rPr>
          <w:rFonts w:eastAsiaTheme="minorHAnsi" w:cstheme="minorHAnsi"/>
        </w:rPr>
        <w:t>.</w:t>
      </w:r>
    </w:p>
    <w:p w14:paraId="7FD45374" w14:textId="3F8299E8" w:rsidR="00524EA5" w:rsidRPr="00795F17" w:rsidRDefault="003F6CB0" w:rsidP="005842B5">
      <w:pPr>
        <w:jc w:val="center"/>
      </w:pPr>
      <w:r w:rsidRPr="00795F17">
        <w:rPr>
          <w:noProof/>
          <w:lang w:eastAsia="pl-PL"/>
        </w:rPr>
        <w:drawing>
          <wp:inline distT="0" distB="0" distL="0" distR="0" wp14:anchorId="10572E41" wp14:editId="40FCB234">
            <wp:extent cx="4320000" cy="2340000"/>
            <wp:effectExtent l="0" t="0" r="4445" b="3175"/>
            <wp:docPr id="245" name="Wykres 245">
              <a:extLst xmlns:a="http://schemas.openxmlformats.org/drawingml/2006/main">
                <a:ext uri="{FF2B5EF4-FFF2-40B4-BE49-F238E27FC236}">
                  <a16:creationId xmlns:a16="http://schemas.microsoft.com/office/drawing/2014/main" id="{00000000-0008-0000-0200-000008000000}"/>
                </a:ext>
              </a:extLst>
            </wp:docPr>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839A6F4" w14:textId="61D27648" w:rsidR="006F0E34" w:rsidRPr="00795F17" w:rsidRDefault="00524EA5" w:rsidP="00B479EE">
      <w:pPr>
        <w:pStyle w:val="Wykres"/>
      </w:pPr>
      <w:bookmarkStart w:id="45" w:name="_Toc66272985"/>
      <w:bookmarkStart w:id="46" w:name="_Toc105512944"/>
      <w:r w:rsidRPr="00795F17">
        <w:t xml:space="preserve">Wykres </w:t>
      </w:r>
      <w:fldSimple w:instr=" STYLEREF 1 \s ">
        <w:r w:rsidR="001F774D">
          <w:rPr>
            <w:noProof/>
          </w:rPr>
          <w:t>3</w:t>
        </w:r>
      </w:fldSimple>
      <w:r w:rsidR="00FF20D3">
        <w:noBreakHyphen/>
      </w:r>
      <w:fldSimple w:instr=" SEQ Wykres \* ARABIC \s 1 ">
        <w:r w:rsidR="001F774D">
          <w:rPr>
            <w:noProof/>
          </w:rPr>
          <w:t>7</w:t>
        </w:r>
      </w:fldSimple>
      <w:r w:rsidR="00D40C59">
        <w:rPr>
          <w:noProof/>
        </w:rPr>
        <w:t>.</w:t>
      </w:r>
      <w:r w:rsidRPr="00795F17">
        <w:tab/>
        <w:t>Udział poszczególnych form zagospodarowania terenu regionu wodnego Warty</w:t>
      </w:r>
      <w:bookmarkEnd w:id="45"/>
      <w:bookmarkEnd w:id="46"/>
    </w:p>
    <w:p w14:paraId="03FE7190" w14:textId="7BCFE58C" w:rsidR="006F0E34" w:rsidRPr="00795F17" w:rsidRDefault="006F0E34" w:rsidP="0044393D">
      <w:pPr>
        <w:pStyle w:val="rdo"/>
        <w:rPr>
          <w:lang w:eastAsia="zh-CN"/>
        </w:rPr>
      </w:pPr>
      <w:r w:rsidRPr="00795F17">
        <w:rPr>
          <w:lang w:eastAsia="zh-CN"/>
        </w:rPr>
        <w:t xml:space="preserve">Źródło: </w:t>
      </w:r>
      <w:r w:rsidR="00A62769" w:rsidRPr="00795F17">
        <w:rPr>
          <w:lang w:eastAsia="zh-CN"/>
        </w:rPr>
        <w:t>opracowanie własne na</w:t>
      </w:r>
      <w:r w:rsidRPr="00795F17">
        <w:rPr>
          <w:lang w:eastAsia="zh-CN"/>
        </w:rPr>
        <w:t xml:space="preserve"> podstawie danych CLC 2018</w:t>
      </w:r>
    </w:p>
    <w:p w14:paraId="53574BA5" w14:textId="2D2FAD6F" w:rsidR="006F0E34" w:rsidRPr="00795F17" w:rsidRDefault="006F0E34" w:rsidP="0044393D">
      <w:r w:rsidRPr="00795F17">
        <w:t>Do największych miast w regionie wodnym należą: Poznań, Łódź, Gorzów Wielkopolski, Konin, Koło, Kalisz oraz Częstochowa. Na obszarze regionu wodnego Warty przemysł koncentruje się</w:t>
      </w:r>
      <w:r w:rsidR="00DF5F6A">
        <w:t xml:space="preserve"> </w:t>
      </w:r>
      <w:r w:rsidRPr="00795F17">
        <w:t>w</w:t>
      </w:r>
      <w:r w:rsidR="008A24D4">
        <w:t> </w:t>
      </w:r>
      <w:r w:rsidRPr="00795F17">
        <w:t>piotrkowsko-bełchatowskim okręgu surowcowo-przemysłowym, gdzie m.in. eksploatuje się</w:t>
      </w:r>
      <w:r w:rsidR="00DB2292" w:rsidRPr="00795F17">
        <w:t> </w:t>
      </w:r>
      <w:r w:rsidRPr="00795F17">
        <w:t>złoża węgla brunatnego i funkcjonuje Elektrownia Bełchatów (największa elektrownia w Polsce spalająca węgiel brunatny)</w:t>
      </w:r>
      <w:r w:rsidR="00304135" w:rsidRPr="00795F17">
        <w:t>;</w:t>
      </w:r>
      <w:r w:rsidRPr="00795F17">
        <w:t xml:space="preserve"> w konińskim zagłębiu górniczo-energetycznym, gdzie wydobycie węgla brunatnego trwa od połowy XX w., a także w Poznańskim Okręgu Przemysłowym, gdzie funkcjonują zakłady przemysłu elektromaszynowego.</w:t>
      </w:r>
    </w:p>
    <w:p w14:paraId="56FDEAD5" w14:textId="719401AA" w:rsidR="006F0E34" w:rsidRPr="00795F17" w:rsidRDefault="00524EA5" w:rsidP="0044393D">
      <w:pPr>
        <w:pStyle w:val="Nagwek5"/>
      </w:pPr>
      <w:r w:rsidRPr="00795F17">
        <w:t>Region wodny Noteci</w:t>
      </w:r>
      <w:r w:rsidR="006F0E34" w:rsidRPr="00795F17">
        <w:rPr>
          <w:rStyle w:val="Odwoanieprzypisudolnego"/>
          <w:rFonts w:asciiTheme="minorHAnsi" w:eastAsiaTheme="minorHAnsi" w:hAnsiTheme="minorHAnsi" w:cs="Verdana"/>
          <w:color w:val="000000"/>
        </w:rPr>
        <w:footnoteReference w:id="8"/>
      </w:r>
      <w:r w:rsidR="006F0E34" w:rsidRPr="00795F17">
        <w:t xml:space="preserve"> </w:t>
      </w:r>
    </w:p>
    <w:p w14:paraId="6626CAD0" w14:textId="72E5273C" w:rsidR="006F0E34" w:rsidRPr="00795F17" w:rsidRDefault="006F0E34" w:rsidP="0044393D">
      <w:r w:rsidRPr="00795F17">
        <w:t>Region wodny Noteci zajmuje powierzchnię około 17</w:t>
      </w:r>
      <w:r w:rsidR="006C64D0" w:rsidRPr="00795F17">
        <w:t> </w:t>
      </w:r>
      <w:r w:rsidRPr="00795F17">
        <w:t>306 km</w:t>
      </w:r>
      <w:r w:rsidRPr="00795F17">
        <w:rPr>
          <w:position w:val="3"/>
          <w:vertAlign w:val="superscript"/>
        </w:rPr>
        <w:t>2</w:t>
      </w:r>
      <w:r w:rsidRPr="00795F17">
        <w:t>. Obejmuje zlewnię Noteci od źródeł po</w:t>
      </w:r>
      <w:r w:rsidR="00AE68D4" w:rsidRPr="00795F17">
        <w:t> </w:t>
      </w:r>
      <w:r w:rsidRPr="00795F17">
        <w:t xml:space="preserve">ujście do Warty w okolicach Santoka. Noteć jest najdłuższym dopływem Warty o długości 391 km. </w:t>
      </w:r>
    </w:p>
    <w:p w14:paraId="793F7ACE" w14:textId="77777777" w:rsidR="006F0E34" w:rsidRPr="00795F17" w:rsidRDefault="006F0E34" w:rsidP="0044393D">
      <w:r w:rsidRPr="00795F17">
        <w:t>Najistotniejszymi ciekami regionu wodnego Noteci są: Noteć, Drawa i Gwda.</w:t>
      </w:r>
    </w:p>
    <w:p w14:paraId="214FBD00" w14:textId="77777777" w:rsidR="006F0E34" w:rsidRPr="00795F17" w:rsidRDefault="006F0E34" w:rsidP="0044393D">
      <w:r w:rsidRPr="00795F17">
        <w:t xml:space="preserve">Region wodny Noteci znajduje się całkowicie w obrębie jednego ekoregionu. Są to Równiny Centralne (100% powierzchni regionu). </w:t>
      </w:r>
    </w:p>
    <w:p w14:paraId="0B127940" w14:textId="520DBC3D" w:rsidR="006F0E34" w:rsidRPr="00795F17" w:rsidRDefault="006F0E34" w:rsidP="0044393D">
      <w:r w:rsidRPr="00795F17">
        <w:t>Na podstawie danych Corine Land Cover</w:t>
      </w:r>
      <w:r w:rsidRPr="00795F17">
        <w:rPr>
          <w:rStyle w:val="Odwoanieprzypisudolnego"/>
          <w:rFonts w:asciiTheme="minorHAnsi" w:eastAsiaTheme="minorEastAsia" w:hAnsiTheme="minorHAnsi" w:cstheme="minorBidi"/>
          <w:color w:val="000000"/>
        </w:rPr>
        <w:footnoteReference w:id="9"/>
      </w:r>
      <w:r w:rsidRPr="00795F17">
        <w:t xml:space="preserve"> można stwierdzić, że największy udział w powierzchni regionu mają użytki rolne </w:t>
      </w:r>
      <w:r w:rsidR="0079397E">
        <w:t>–</w:t>
      </w:r>
      <w:r w:rsidR="00D54229" w:rsidRPr="00795F17">
        <w:t xml:space="preserve"> około 52,1</w:t>
      </w:r>
      <w:r w:rsidRPr="00795F17">
        <w:t xml:space="preserve">%, dalej lasy </w:t>
      </w:r>
      <w:r w:rsidR="0079397E">
        <w:t>–</w:t>
      </w:r>
      <w:r w:rsidRPr="00795F17">
        <w:t xml:space="preserve"> około 40,6%, a tereny przekształcone antropogenicznie </w:t>
      </w:r>
      <w:r w:rsidR="0079397E">
        <w:t>–</w:t>
      </w:r>
      <w:r w:rsidRPr="00795F17">
        <w:t xml:space="preserve"> około 2,5%. </w:t>
      </w:r>
      <w:r w:rsidRPr="00795F17">
        <w:rPr>
          <w:rFonts w:eastAsiaTheme="minorHAnsi" w:cstheme="minorHAnsi"/>
        </w:rPr>
        <w:t>Tereny pozostałe zajmują około 4,8%</w:t>
      </w:r>
      <w:r w:rsidR="00C5075C" w:rsidRPr="00795F17">
        <w:rPr>
          <w:rFonts w:eastAsiaTheme="minorHAnsi" w:cstheme="minorHAnsi"/>
        </w:rPr>
        <w:t xml:space="preserve"> (wykres 3-8)</w:t>
      </w:r>
      <w:r w:rsidRPr="00795F17">
        <w:rPr>
          <w:rFonts w:eastAsiaTheme="minorHAnsi" w:cstheme="minorHAnsi"/>
        </w:rPr>
        <w:t>.</w:t>
      </w:r>
    </w:p>
    <w:p w14:paraId="49BB5EA4" w14:textId="42533170" w:rsidR="00524EA5" w:rsidRPr="00795F17" w:rsidRDefault="003936A7" w:rsidP="005842B5">
      <w:pPr>
        <w:jc w:val="center"/>
      </w:pPr>
      <w:r w:rsidRPr="00795F17">
        <w:rPr>
          <w:noProof/>
          <w:lang w:eastAsia="pl-PL"/>
        </w:rPr>
        <w:drawing>
          <wp:inline distT="0" distB="0" distL="0" distR="0" wp14:anchorId="0C9C75AD" wp14:editId="12BC902A">
            <wp:extent cx="4320000" cy="2340000"/>
            <wp:effectExtent l="0" t="0" r="4445" b="3175"/>
            <wp:docPr id="52" name="Wykres 52">
              <a:extLst xmlns:a="http://schemas.openxmlformats.org/drawingml/2006/main">
                <a:ext uri="{FF2B5EF4-FFF2-40B4-BE49-F238E27FC236}">
                  <a16:creationId xmlns:a16="http://schemas.microsoft.com/office/drawing/2014/main" id="{383B55A1-B18C-4DC9-B8A1-6F3C4BF58B2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EC25454" w14:textId="621080B8" w:rsidR="006F0E34" w:rsidRPr="00795F17" w:rsidRDefault="00524EA5" w:rsidP="00B479EE">
      <w:pPr>
        <w:pStyle w:val="Wykres"/>
        <w:rPr>
          <w:rFonts w:eastAsiaTheme="minorHAnsi"/>
          <w:color w:val="000000"/>
        </w:rPr>
      </w:pPr>
      <w:bookmarkStart w:id="47" w:name="_Toc66272986"/>
      <w:bookmarkStart w:id="48" w:name="_Toc105512945"/>
      <w:r w:rsidRPr="00795F17">
        <w:t xml:space="preserve">Wykres </w:t>
      </w:r>
      <w:fldSimple w:instr=" STYLEREF 1 \s ">
        <w:r w:rsidR="001F774D">
          <w:rPr>
            <w:noProof/>
          </w:rPr>
          <w:t>3</w:t>
        </w:r>
      </w:fldSimple>
      <w:r w:rsidR="00FF20D3">
        <w:noBreakHyphen/>
      </w:r>
      <w:fldSimple w:instr=" SEQ Wykres \* ARABIC \s 1 ">
        <w:r w:rsidR="001F774D">
          <w:rPr>
            <w:noProof/>
          </w:rPr>
          <w:t>8</w:t>
        </w:r>
      </w:fldSimple>
      <w:r w:rsidR="00D40C59">
        <w:rPr>
          <w:noProof/>
        </w:rPr>
        <w:t>.</w:t>
      </w:r>
      <w:r w:rsidRPr="00795F17">
        <w:tab/>
        <w:t>Udział poszczególnych form zagospodarowania terenu regionu wodnego Noteci</w:t>
      </w:r>
      <w:bookmarkEnd w:id="47"/>
      <w:bookmarkEnd w:id="48"/>
    </w:p>
    <w:p w14:paraId="48CEA7D8" w14:textId="0CBEED1D" w:rsidR="006F0E34" w:rsidRPr="00795F17" w:rsidRDefault="006F0E34" w:rsidP="0044393D">
      <w:pPr>
        <w:pStyle w:val="rdo"/>
      </w:pPr>
      <w:r w:rsidRPr="00795F17">
        <w:t xml:space="preserve">Źródło: </w:t>
      </w:r>
      <w:r w:rsidR="00A62769" w:rsidRPr="00795F17">
        <w:t>opracowanie własne na</w:t>
      </w:r>
      <w:r w:rsidRPr="00795F17">
        <w:t xml:space="preserve"> podstawie danych CLC 2018</w:t>
      </w:r>
    </w:p>
    <w:p w14:paraId="07958607" w14:textId="3C078AEF" w:rsidR="006F0E34" w:rsidRPr="00795F17" w:rsidRDefault="006F0E34" w:rsidP="00A22ED2">
      <w:pPr>
        <w:pStyle w:val="Nagwek2"/>
      </w:pPr>
      <w:bookmarkStart w:id="49" w:name="_Toc66272264"/>
      <w:bookmarkStart w:id="50" w:name="_Toc66347791"/>
      <w:bookmarkStart w:id="51" w:name="_Toc105512628"/>
      <w:r w:rsidRPr="00795F17">
        <w:t xml:space="preserve">Wykaz </w:t>
      </w:r>
      <w:r w:rsidR="00DF005E">
        <w:t>JCWP</w:t>
      </w:r>
      <w:r w:rsidRPr="00795F17">
        <w:t xml:space="preserve"> wraz z podaniem ich typów i ustalonych warunków referencyjnych oraz statusu</w:t>
      </w:r>
      <w:bookmarkEnd w:id="49"/>
      <w:bookmarkEnd w:id="50"/>
      <w:bookmarkEnd w:id="51"/>
    </w:p>
    <w:p w14:paraId="0E436B79" w14:textId="7C4DA3AA" w:rsidR="006F0E34" w:rsidRPr="00795F17" w:rsidRDefault="006F0E34" w:rsidP="0044393D">
      <w:r w:rsidRPr="00795F17">
        <w:t xml:space="preserve">Plany gospodarowania wodami zgodnie z art. 318 ust. 1 pkt 1 </w:t>
      </w:r>
      <w:r w:rsidR="003F6CB0" w:rsidRPr="00795F17">
        <w:t xml:space="preserve">lit. a </w:t>
      </w:r>
      <w:r w:rsidRPr="00795F17">
        <w:t xml:space="preserve">pr.w. zawierają wykaz </w:t>
      </w:r>
      <w:r w:rsidR="00DF005E">
        <w:t>JCWP</w:t>
      </w:r>
      <w:r w:rsidRPr="00795F17">
        <w:t xml:space="preserve"> wraz z podaniem ich typów i ustalonych warunków referencyjnych oraz statusu. W obszarze dorzecza Odry wykaz </w:t>
      </w:r>
      <w:r w:rsidR="00DF005E">
        <w:t>JCWP</w:t>
      </w:r>
      <w:r w:rsidRPr="00795F17">
        <w:t xml:space="preserve"> obejmuje wszystkie kategorie </w:t>
      </w:r>
      <w:r w:rsidR="00DF005E">
        <w:t>JCWP</w:t>
      </w:r>
      <w:r w:rsidRPr="00795F17">
        <w:t>, tj. RW</w:t>
      </w:r>
      <w:r w:rsidR="00156CA2" w:rsidRPr="00795F17">
        <w:t xml:space="preserve"> (rzeczne)</w:t>
      </w:r>
      <w:r w:rsidRPr="00795F17">
        <w:t>, LW</w:t>
      </w:r>
      <w:r w:rsidR="00156CA2" w:rsidRPr="00795F17">
        <w:t xml:space="preserve"> (jeziorne)</w:t>
      </w:r>
      <w:r w:rsidRPr="00795F17">
        <w:t>, RWr</w:t>
      </w:r>
      <w:r w:rsidR="00156CA2" w:rsidRPr="00795F17">
        <w:t xml:space="preserve"> (zbiornikowe)</w:t>
      </w:r>
      <w:r w:rsidRPr="00795F17">
        <w:t xml:space="preserve">, TW </w:t>
      </w:r>
      <w:r w:rsidR="00156CA2" w:rsidRPr="00795F17">
        <w:t xml:space="preserve">(przejściowe) </w:t>
      </w:r>
      <w:r w:rsidRPr="00795F17">
        <w:t>oraz CW</w:t>
      </w:r>
      <w:r w:rsidR="00156CA2" w:rsidRPr="00795F17">
        <w:t xml:space="preserve"> (przybrzeżne)</w:t>
      </w:r>
      <w:r w:rsidRPr="00795F17">
        <w:t xml:space="preserve">. </w:t>
      </w:r>
    </w:p>
    <w:p w14:paraId="4B7ECBE3" w14:textId="5EC69D96" w:rsidR="006F0E34" w:rsidRPr="00795F17" w:rsidRDefault="006F0E34" w:rsidP="0044393D">
      <w:r w:rsidRPr="00795F17">
        <w:t>W związku z dokonanymi w III cyklu planistycznym (2016</w:t>
      </w:r>
      <w:r w:rsidR="006F4AAB">
        <w:t>–</w:t>
      </w:r>
      <w:r w:rsidRPr="00795F17">
        <w:t xml:space="preserve">2021) zmianami dotyczącymi gospodarowania wodami modyfikacjom uległy również wykazy </w:t>
      </w:r>
      <w:r w:rsidR="00DF005E">
        <w:t>JCWP</w:t>
      </w:r>
      <w:r w:rsidRPr="00795F17">
        <w:rPr>
          <w:rStyle w:val="Odwoanieprzypisudolnego"/>
          <w:rFonts w:asciiTheme="minorHAnsi" w:eastAsiaTheme="minorHAnsi" w:hAnsiTheme="minorHAnsi"/>
          <w:color w:val="000000"/>
        </w:rPr>
        <w:footnoteReference w:id="10"/>
      </w:r>
      <w:r w:rsidRPr="00795F17">
        <w:t>. Wprowadzone w tym obszarze zmiany dotyczyły:</w:t>
      </w:r>
    </w:p>
    <w:p w14:paraId="5A608F84" w14:textId="641079BF" w:rsidR="006F0E34" w:rsidRPr="003E158D" w:rsidRDefault="006F0E34" w:rsidP="00117E86">
      <w:pPr>
        <w:pStyle w:val="Listapunktowana2"/>
      </w:pPr>
      <w:r w:rsidRPr="00795F17">
        <w:t xml:space="preserve">weryfikacji i aktualizacji jednostek planistycznych </w:t>
      </w:r>
      <w:r w:rsidR="0079397E">
        <w:t>–</w:t>
      </w:r>
      <w:r w:rsidRPr="00795F17">
        <w:t xml:space="preserve"> zmiany dokonane w wyniku realizacji projektów: </w:t>
      </w:r>
      <w:r w:rsidRPr="001D6E59">
        <w:t xml:space="preserve">Aktualizacja wykazu </w:t>
      </w:r>
      <w:r w:rsidR="00DF005E">
        <w:t>JCWP</w:t>
      </w:r>
      <w:r w:rsidR="00015078" w:rsidRPr="001D6E59">
        <w:t xml:space="preserve"> </w:t>
      </w:r>
      <w:r w:rsidRPr="001D6E59">
        <w:t>i SCWP dla potrzeb kolejnej aktualizacji planów w latach 2015</w:t>
      </w:r>
      <w:r w:rsidR="0079397E" w:rsidRPr="001D6E59">
        <w:t>–</w:t>
      </w:r>
      <w:r w:rsidRPr="001D6E59">
        <w:t>2021 wraz z weryfikacją typów wód części wód</w:t>
      </w:r>
      <w:r w:rsidRPr="00414A24">
        <w:t xml:space="preserve"> </w:t>
      </w:r>
      <w:r w:rsidRPr="00F618CE">
        <w:t>(2015</w:t>
      </w:r>
      <w:r w:rsidR="00EB4AA8">
        <w:t xml:space="preserve"> r.</w:t>
      </w:r>
      <w:r w:rsidRPr="00F618CE">
        <w:t>)</w:t>
      </w:r>
      <w:r w:rsidR="00C03E60">
        <w:rPr>
          <w:rStyle w:val="Odwoanieprzypisudolnego"/>
        </w:rPr>
        <w:footnoteReference w:id="11"/>
      </w:r>
      <w:r w:rsidRPr="00F618CE">
        <w:t>,</w:t>
      </w:r>
      <w:r w:rsidRPr="00795F17">
        <w:t xml:space="preserve"> </w:t>
      </w:r>
      <w:r w:rsidRPr="001D6E59">
        <w:t xml:space="preserve">Analiza i aktualizacja jednostek do planowania z uwzględnieniem MPHP10 </w:t>
      </w:r>
      <w:r w:rsidRPr="00F618CE">
        <w:t>(2017</w:t>
      </w:r>
      <w:r w:rsidR="00EB4AA8">
        <w:t xml:space="preserve"> r.</w:t>
      </w:r>
      <w:r w:rsidRPr="00F618CE">
        <w:t>)</w:t>
      </w:r>
      <w:r w:rsidR="00C03E60">
        <w:rPr>
          <w:rStyle w:val="Odwoanieprzypisudolnego"/>
        </w:rPr>
        <w:footnoteReference w:id="12"/>
      </w:r>
      <w:r w:rsidRPr="00F618CE">
        <w:t>;</w:t>
      </w:r>
    </w:p>
    <w:p w14:paraId="456EA2CE" w14:textId="0600A445" w:rsidR="006F0E34" w:rsidRPr="00795F17" w:rsidRDefault="005D7101" w:rsidP="00117E86">
      <w:pPr>
        <w:pStyle w:val="Listapunktowana2"/>
      </w:pPr>
      <w:r>
        <w:rPr>
          <w:iCs/>
        </w:rPr>
        <w:t>p</w:t>
      </w:r>
      <w:r w:rsidR="006F0E34" w:rsidRPr="00795F17">
        <w:t>rzeglądu i weryfikacji metodyk wyznaczania silnie zmienionych i sztucznych części wód powierzchniowych wraz ze wstępnym i ostatecznym wyznaczeniem (2019);</w:t>
      </w:r>
    </w:p>
    <w:p w14:paraId="4068893C" w14:textId="498CA845" w:rsidR="006F0E34" w:rsidRPr="00795F17" w:rsidRDefault="006F0E34" w:rsidP="00117E86">
      <w:pPr>
        <w:pStyle w:val="Listapunktowana2"/>
      </w:pPr>
      <w:r w:rsidRPr="00795F17">
        <w:t>zmiany</w:t>
      </w:r>
      <w:r w:rsidRPr="00795F17" w:rsidDel="00C379FE">
        <w:t xml:space="preserve"> </w:t>
      </w:r>
      <w:r w:rsidRPr="00795F17">
        <w:t xml:space="preserve">rejestru obszarów chronionych </w:t>
      </w:r>
      <w:r w:rsidR="0079397E">
        <w:t>–</w:t>
      </w:r>
      <w:r w:rsidRPr="00795F17">
        <w:t xml:space="preserve"> zmiana wprowadzona pr.w.</w:t>
      </w:r>
    </w:p>
    <w:p w14:paraId="056598D2" w14:textId="3E3B9B17" w:rsidR="006F0E34" w:rsidRPr="00795F17" w:rsidRDefault="006F0E34" w:rsidP="0044393D">
      <w:pPr>
        <w:rPr>
          <w:color w:val="000000"/>
        </w:rPr>
      </w:pPr>
      <w:r w:rsidRPr="00795F17">
        <w:t>W wyniku dokonanych zmian w Polsce zostało wyznaczonych łącznie 3</w:t>
      </w:r>
      <w:r w:rsidR="00BD42BD" w:rsidRPr="00795F17">
        <w:t> </w:t>
      </w:r>
      <w:r w:rsidRPr="00795F17">
        <w:t xml:space="preserve">116 </w:t>
      </w:r>
      <w:r w:rsidR="00DF005E">
        <w:t>JCWP</w:t>
      </w:r>
      <w:r w:rsidRPr="00795F17">
        <w:t xml:space="preserve"> RW, 1</w:t>
      </w:r>
      <w:r w:rsidR="005924BF" w:rsidRPr="00795F17">
        <w:t> </w:t>
      </w:r>
      <w:r w:rsidRPr="00795F17">
        <w:t xml:space="preserve">068 </w:t>
      </w:r>
      <w:r w:rsidR="00DF005E">
        <w:t>JCWP</w:t>
      </w:r>
      <w:r w:rsidRPr="00795F17">
        <w:t xml:space="preserve"> LW, 4</w:t>
      </w:r>
      <w:r w:rsidR="00AE68D4" w:rsidRPr="00795F17">
        <w:t> </w:t>
      </w:r>
      <w:r w:rsidR="00DF005E">
        <w:t>JCWP</w:t>
      </w:r>
      <w:r w:rsidRPr="00795F17">
        <w:t xml:space="preserve"> CW, 7 </w:t>
      </w:r>
      <w:r w:rsidR="00DF005E">
        <w:t>JCWP</w:t>
      </w:r>
      <w:r w:rsidRPr="00795F17">
        <w:t xml:space="preserve"> TW oraz 45 </w:t>
      </w:r>
      <w:r w:rsidR="00DF005E">
        <w:t>JCWP</w:t>
      </w:r>
      <w:r w:rsidRPr="00795F17">
        <w:t xml:space="preserve"> RWr. Zgodnie z aPGW w okresie 2016</w:t>
      </w:r>
      <w:r w:rsidR="006F4AAB">
        <w:t>–</w:t>
      </w:r>
      <w:r w:rsidRPr="00795F17">
        <w:t>2021 wyznaczonych było 4</w:t>
      </w:r>
      <w:r w:rsidR="005924BF" w:rsidRPr="00795F17">
        <w:t> </w:t>
      </w:r>
      <w:r w:rsidRPr="00795F17">
        <w:t xml:space="preserve">586 </w:t>
      </w:r>
      <w:r w:rsidR="00DF005E">
        <w:t>JCWP</w:t>
      </w:r>
      <w:r w:rsidRPr="00795F17">
        <w:t xml:space="preserve"> RW (uwzględniających </w:t>
      </w:r>
      <w:r w:rsidR="00DF005E">
        <w:t>JCWP</w:t>
      </w:r>
      <w:r w:rsidRPr="00795F17">
        <w:t xml:space="preserve"> RWr), 1</w:t>
      </w:r>
      <w:r w:rsidR="005924BF" w:rsidRPr="00795F17">
        <w:t> </w:t>
      </w:r>
      <w:r w:rsidRPr="00795F17">
        <w:t xml:space="preserve">044 </w:t>
      </w:r>
      <w:r w:rsidR="00DF005E">
        <w:t>JCWP</w:t>
      </w:r>
      <w:r w:rsidRPr="00795F17">
        <w:t xml:space="preserve"> LW, 10 </w:t>
      </w:r>
      <w:r w:rsidR="00DF005E">
        <w:t>JCWP</w:t>
      </w:r>
      <w:r w:rsidRPr="00795F17">
        <w:t xml:space="preserve"> CW i 9 </w:t>
      </w:r>
      <w:r w:rsidR="00DF005E">
        <w:t>JCWP</w:t>
      </w:r>
      <w:r w:rsidRPr="00795F17">
        <w:t xml:space="preserve"> TW.</w:t>
      </w:r>
    </w:p>
    <w:p w14:paraId="25A4517C" w14:textId="68425393" w:rsidR="006F0E34" w:rsidRPr="00795F17" w:rsidRDefault="006F0E34" w:rsidP="0044393D">
      <w:r w:rsidRPr="00795F17">
        <w:t xml:space="preserve">Wykaz </w:t>
      </w:r>
      <w:r w:rsidR="00DF005E">
        <w:t>JCWP</w:t>
      </w:r>
      <w:r w:rsidRPr="00795F17">
        <w:t xml:space="preserve"> występujących na obszarze dorzecza Odry przedstawiono w załączniku nr 1</w:t>
      </w:r>
      <w:r w:rsidR="006C3183" w:rsidRPr="00795F17">
        <w:t xml:space="preserve"> (Zestawienie główne)</w:t>
      </w:r>
      <w:r w:rsidRPr="00795F17">
        <w:t xml:space="preserve">, który prezentuje szczegółowe informacje o poszczególnych jcw. Położenie i granice </w:t>
      </w:r>
      <w:r w:rsidR="00DF005E">
        <w:t>JCWP</w:t>
      </w:r>
      <w:r w:rsidRPr="00795F17">
        <w:t xml:space="preserve"> w</w:t>
      </w:r>
      <w:r w:rsidR="00AE68D4" w:rsidRPr="00795F17">
        <w:t> </w:t>
      </w:r>
      <w:r w:rsidRPr="00795F17">
        <w:t xml:space="preserve">obszarze dorzecza Odry prezentują mapy stanowiące załącznik graficzny nr 1 do </w:t>
      </w:r>
      <w:r w:rsidR="005924BF" w:rsidRPr="00795F17">
        <w:t>IIaPGW</w:t>
      </w:r>
      <w:r w:rsidRPr="00795F17">
        <w:t>.</w:t>
      </w:r>
    </w:p>
    <w:p w14:paraId="2BD6C76F" w14:textId="060E5683" w:rsidR="006F0E34" w:rsidRPr="00795F17" w:rsidRDefault="006F0E34" w:rsidP="0044393D">
      <w:r w:rsidRPr="00795F17">
        <w:t xml:space="preserve">Liczbę </w:t>
      </w:r>
      <w:r w:rsidR="00DF005E">
        <w:t>JCWP</w:t>
      </w:r>
      <w:r w:rsidRPr="00795F17">
        <w:t xml:space="preserve"> w poszczególnych regionach wodnych oraz liczbę </w:t>
      </w:r>
      <w:r w:rsidR="00DF005E">
        <w:t>JCWP</w:t>
      </w:r>
      <w:r w:rsidRPr="00795F17">
        <w:t xml:space="preserve"> prezentuje poniższa tabela</w:t>
      </w:r>
      <w:r w:rsidR="00C5075C" w:rsidRPr="00795F17">
        <w:t xml:space="preserve"> </w:t>
      </w:r>
      <w:r w:rsidR="00E87EE5" w:rsidRPr="00795F17">
        <w:t xml:space="preserve">(tabela </w:t>
      </w:r>
      <w:r w:rsidR="00C5075C" w:rsidRPr="00795F17">
        <w:t>3-2</w:t>
      </w:r>
      <w:r w:rsidR="00E87EE5" w:rsidRPr="00795F17">
        <w:t>)</w:t>
      </w:r>
      <w:r w:rsidRPr="00795F17">
        <w:t>.</w:t>
      </w:r>
    </w:p>
    <w:p w14:paraId="32D77C36" w14:textId="60D64E35" w:rsidR="001A2655" w:rsidRPr="00795F17" w:rsidRDefault="001A2655" w:rsidP="004D7705">
      <w:pPr>
        <w:pStyle w:val="Tabela"/>
      </w:pPr>
      <w:bookmarkStart w:id="52" w:name="_Toc66341844"/>
      <w:bookmarkStart w:id="53" w:name="_Toc105512752"/>
      <w:r w:rsidRPr="00795F17">
        <w:t xml:space="preserve">Tabela </w:t>
      </w:r>
      <w:fldSimple w:instr=" STYLEREF 1 \s ">
        <w:r w:rsidR="001F774D">
          <w:rPr>
            <w:noProof/>
          </w:rPr>
          <w:t>3</w:t>
        </w:r>
      </w:fldSimple>
      <w:r w:rsidR="00BB3B21" w:rsidRPr="00795F17">
        <w:noBreakHyphen/>
      </w:r>
      <w:fldSimple w:instr=" SEQ Tabela \* ARABIC \s 1 ">
        <w:r w:rsidR="001F774D">
          <w:rPr>
            <w:noProof/>
          </w:rPr>
          <w:t>2</w:t>
        </w:r>
      </w:fldSimple>
      <w:r w:rsidR="00BA11D4">
        <w:rPr>
          <w:noProof/>
        </w:rPr>
        <w:t>.</w:t>
      </w:r>
      <w:r w:rsidRPr="00795F17">
        <w:tab/>
        <w:t xml:space="preserve">Zestawienie </w:t>
      </w:r>
      <w:r w:rsidR="00DF005E">
        <w:t>JCWP</w:t>
      </w:r>
      <w:r w:rsidRPr="00795F17">
        <w:t xml:space="preserve"> </w:t>
      </w:r>
      <w:r w:rsidR="00B33B2D">
        <w:t>na</w:t>
      </w:r>
      <w:r w:rsidR="00B33B2D" w:rsidRPr="00795F17">
        <w:t xml:space="preserve"> </w:t>
      </w:r>
      <w:r w:rsidRPr="00795F17">
        <w:t>obszarze dorzecza Odry</w:t>
      </w:r>
      <w:bookmarkEnd w:id="52"/>
      <w:bookmarkEnd w:id="53"/>
    </w:p>
    <w:tbl>
      <w:tblPr>
        <w:tblStyle w:val="aPGW"/>
        <w:tblW w:w="5000" w:type="pct"/>
        <w:tblLook w:val="04A0" w:firstRow="1" w:lastRow="0" w:firstColumn="1" w:lastColumn="0" w:noHBand="0" w:noVBand="1"/>
      </w:tblPr>
      <w:tblGrid>
        <w:gridCol w:w="3006"/>
        <w:gridCol w:w="1211"/>
        <w:gridCol w:w="1211"/>
        <w:gridCol w:w="1211"/>
        <w:gridCol w:w="1211"/>
        <w:gridCol w:w="1212"/>
      </w:tblGrid>
      <w:tr w:rsidR="006F0E34" w:rsidRPr="00795F17" w14:paraId="01907C4A" w14:textId="77777777" w:rsidTr="00E51484">
        <w:trPr>
          <w:cnfStyle w:val="100000000000" w:firstRow="1" w:lastRow="0" w:firstColumn="0" w:lastColumn="0" w:oddVBand="0" w:evenVBand="0" w:oddHBand="0" w:evenHBand="0" w:firstRowFirstColumn="0" w:firstRowLastColumn="0" w:lastRowFirstColumn="0" w:lastRowLastColumn="0"/>
          <w:trHeight w:val="454"/>
        </w:trPr>
        <w:tc>
          <w:tcPr>
            <w:tcW w:w="1659" w:type="pct"/>
            <w:vMerge w:val="restart"/>
          </w:tcPr>
          <w:p w14:paraId="4623DCF4" w14:textId="77777777" w:rsidR="006F0E34" w:rsidRPr="00795F17" w:rsidRDefault="006F0E34" w:rsidP="0044393D">
            <w:pPr>
              <w:pStyle w:val="Teksttabelinaglowek"/>
              <w:rPr>
                <w:rFonts w:eastAsiaTheme="minorHAnsi"/>
                <w:b/>
              </w:rPr>
            </w:pPr>
            <w:r w:rsidRPr="00795F17">
              <w:rPr>
                <w:b/>
              </w:rPr>
              <w:t>Region wodny</w:t>
            </w:r>
          </w:p>
        </w:tc>
        <w:tc>
          <w:tcPr>
            <w:tcW w:w="3341" w:type="pct"/>
            <w:gridSpan w:val="5"/>
          </w:tcPr>
          <w:p w14:paraId="68E057AD" w14:textId="3E3F4EBD" w:rsidR="006F0E34" w:rsidRPr="00795F17" w:rsidRDefault="006F0E34" w:rsidP="0044393D">
            <w:pPr>
              <w:pStyle w:val="Teksttabelinaglowek"/>
              <w:rPr>
                <w:rFonts w:eastAsiaTheme="minorHAnsi"/>
                <w:b/>
                <w:color w:val="FFFFFF" w:themeColor="background1"/>
              </w:rPr>
            </w:pPr>
            <w:r w:rsidRPr="00795F17">
              <w:rPr>
                <w:b/>
              </w:rPr>
              <w:t xml:space="preserve">Liczba </w:t>
            </w:r>
            <w:r w:rsidR="00DF005E">
              <w:rPr>
                <w:b/>
              </w:rPr>
              <w:t>JCWP</w:t>
            </w:r>
          </w:p>
        </w:tc>
      </w:tr>
      <w:tr w:rsidR="006F0E34" w:rsidRPr="00795F17" w14:paraId="64796413" w14:textId="77777777" w:rsidTr="00E51484">
        <w:trPr>
          <w:trHeight w:val="454"/>
        </w:trPr>
        <w:tc>
          <w:tcPr>
            <w:tcW w:w="1659" w:type="pct"/>
            <w:vMerge/>
          </w:tcPr>
          <w:p w14:paraId="1EFCE0B3" w14:textId="77777777" w:rsidR="006F0E34" w:rsidRPr="00795F17" w:rsidRDefault="006F0E34" w:rsidP="0044393D">
            <w:pPr>
              <w:pStyle w:val="Teksttabelinaglowek"/>
            </w:pPr>
          </w:p>
        </w:tc>
        <w:tc>
          <w:tcPr>
            <w:tcW w:w="668" w:type="pct"/>
            <w:shd w:val="clear" w:color="auto" w:fill="BFBFBF" w:themeFill="background1" w:themeFillShade="BF"/>
          </w:tcPr>
          <w:p w14:paraId="6645073F" w14:textId="77777777" w:rsidR="006F0E34" w:rsidRPr="00795F17" w:rsidRDefault="006F0E34" w:rsidP="00364244">
            <w:pPr>
              <w:pStyle w:val="Teksttabelinaglowek"/>
              <w:rPr>
                <w:rFonts w:eastAsiaTheme="minorHAnsi"/>
              </w:rPr>
            </w:pPr>
            <w:r w:rsidRPr="00795F17">
              <w:t>RW</w:t>
            </w:r>
          </w:p>
        </w:tc>
        <w:tc>
          <w:tcPr>
            <w:tcW w:w="668" w:type="pct"/>
            <w:shd w:val="clear" w:color="auto" w:fill="BFBFBF" w:themeFill="background1" w:themeFillShade="BF"/>
          </w:tcPr>
          <w:p w14:paraId="0133E786" w14:textId="77777777" w:rsidR="006F0E34" w:rsidRPr="00795F17" w:rsidRDefault="006F0E34" w:rsidP="00364244">
            <w:pPr>
              <w:pStyle w:val="Teksttabelinaglowek"/>
              <w:rPr>
                <w:rFonts w:eastAsiaTheme="minorHAnsi"/>
              </w:rPr>
            </w:pPr>
            <w:r w:rsidRPr="00795F17">
              <w:t>RWr</w:t>
            </w:r>
          </w:p>
        </w:tc>
        <w:tc>
          <w:tcPr>
            <w:tcW w:w="668" w:type="pct"/>
            <w:shd w:val="clear" w:color="auto" w:fill="BFBFBF" w:themeFill="background1" w:themeFillShade="BF"/>
          </w:tcPr>
          <w:p w14:paraId="3F45C391" w14:textId="77777777" w:rsidR="006F0E34" w:rsidRPr="00795F17" w:rsidRDefault="006F0E34" w:rsidP="00364244">
            <w:pPr>
              <w:pStyle w:val="Teksttabelinaglowek"/>
              <w:rPr>
                <w:rFonts w:eastAsiaTheme="minorHAnsi"/>
              </w:rPr>
            </w:pPr>
            <w:r w:rsidRPr="00795F17">
              <w:t>LW</w:t>
            </w:r>
          </w:p>
        </w:tc>
        <w:tc>
          <w:tcPr>
            <w:tcW w:w="668" w:type="pct"/>
            <w:shd w:val="clear" w:color="auto" w:fill="BFBFBF" w:themeFill="background1" w:themeFillShade="BF"/>
          </w:tcPr>
          <w:p w14:paraId="726C5AE1" w14:textId="77777777" w:rsidR="006F0E34" w:rsidRPr="00795F17" w:rsidRDefault="006F0E34" w:rsidP="00364244">
            <w:pPr>
              <w:pStyle w:val="Teksttabelinaglowek"/>
              <w:rPr>
                <w:rFonts w:eastAsiaTheme="minorHAnsi"/>
              </w:rPr>
            </w:pPr>
            <w:r w:rsidRPr="00795F17">
              <w:t>TW</w:t>
            </w:r>
          </w:p>
        </w:tc>
        <w:tc>
          <w:tcPr>
            <w:tcW w:w="669" w:type="pct"/>
            <w:shd w:val="clear" w:color="auto" w:fill="BFBFBF" w:themeFill="background1" w:themeFillShade="BF"/>
          </w:tcPr>
          <w:p w14:paraId="41E760CD" w14:textId="77777777" w:rsidR="006F0E34" w:rsidRPr="00795F17" w:rsidRDefault="006F0E34" w:rsidP="00364244">
            <w:pPr>
              <w:pStyle w:val="Teksttabelinaglowek"/>
              <w:rPr>
                <w:rFonts w:eastAsiaTheme="minorHAnsi"/>
              </w:rPr>
            </w:pPr>
            <w:r w:rsidRPr="00795F17">
              <w:t>CW</w:t>
            </w:r>
          </w:p>
        </w:tc>
      </w:tr>
      <w:tr w:rsidR="006F0E34" w:rsidRPr="00795F17" w14:paraId="548AE694" w14:textId="77777777" w:rsidTr="00E51484">
        <w:trPr>
          <w:trHeight w:val="454"/>
        </w:trPr>
        <w:tc>
          <w:tcPr>
            <w:tcW w:w="1659" w:type="pct"/>
            <w:shd w:val="clear" w:color="auto" w:fill="auto"/>
          </w:tcPr>
          <w:p w14:paraId="2001114F" w14:textId="77777777" w:rsidR="006F0E34" w:rsidRPr="00795F17" w:rsidRDefault="006F0E34" w:rsidP="0044393D">
            <w:pPr>
              <w:pStyle w:val="Teksttabelilewy"/>
              <w:rPr>
                <w:rFonts w:eastAsiaTheme="minorHAnsi"/>
              </w:rPr>
            </w:pPr>
            <w:r w:rsidRPr="00795F17">
              <w:t>Górnej Odry</w:t>
            </w:r>
          </w:p>
        </w:tc>
        <w:tc>
          <w:tcPr>
            <w:tcW w:w="668" w:type="pct"/>
          </w:tcPr>
          <w:p w14:paraId="6401C675" w14:textId="77777777" w:rsidR="006F0E34" w:rsidRPr="00795F17" w:rsidRDefault="006F0E34" w:rsidP="0065243A">
            <w:pPr>
              <w:pStyle w:val="Teksttabelisrodek"/>
              <w:rPr>
                <w:color w:val="000000"/>
              </w:rPr>
            </w:pPr>
            <w:r w:rsidRPr="00795F17">
              <w:t>142</w:t>
            </w:r>
          </w:p>
        </w:tc>
        <w:tc>
          <w:tcPr>
            <w:tcW w:w="668" w:type="pct"/>
          </w:tcPr>
          <w:p w14:paraId="332770A3" w14:textId="77777777" w:rsidR="006F0E34" w:rsidRPr="00795F17" w:rsidRDefault="006F0E34" w:rsidP="0065243A">
            <w:pPr>
              <w:pStyle w:val="Teksttabelisrodek"/>
              <w:rPr>
                <w:rFonts w:eastAsiaTheme="minorHAnsi"/>
              </w:rPr>
            </w:pPr>
            <w:r w:rsidRPr="00795F17">
              <w:t>5</w:t>
            </w:r>
          </w:p>
        </w:tc>
        <w:tc>
          <w:tcPr>
            <w:tcW w:w="668" w:type="pct"/>
          </w:tcPr>
          <w:p w14:paraId="0B18F9E8" w14:textId="77777777" w:rsidR="006F0E34" w:rsidRPr="00795F17" w:rsidRDefault="006F0E34" w:rsidP="0065243A">
            <w:pPr>
              <w:pStyle w:val="Teksttabelisrodek"/>
              <w:rPr>
                <w:rFonts w:eastAsiaTheme="minorHAnsi"/>
              </w:rPr>
            </w:pPr>
            <w:r w:rsidRPr="00795F17">
              <w:t>1</w:t>
            </w:r>
          </w:p>
        </w:tc>
        <w:tc>
          <w:tcPr>
            <w:tcW w:w="668" w:type="pct"/>
          </w:tcPr>
          <w:p w14:paraId="5837E0D8" w14:textId="77777777" w:rsidR="006F0E34" w:rsidRPr="00795F17" w:rsidRDefault="006F0E34" w:rsidP="0065243A">
            <w:pPr>
              <w:pStyle w:val="Teksttabelisrodek"/>
              <w:rPr>
                <w:rFonts w:eastAsiaTheme="minorHAnsi"/>
              </w:rPr>
            </w:pPr>
            <w:r w:rsidRPr="00795F17">
              <w:t>-</w:t>
            </w:r>
          </w:p>
        </w:tc>
        <w:tc>
          <w:tcPr>
            <w:tcW w:w="669" w:type="pct"/>
          </w:tcPr>
          <w:p w14:paraId="72B994B5" w14:textId="77777777" w:rsidR="006F0E34" w:rsidRPr="00795F17" w:rsidRDefault="006F0E34" w:rsidP="0065243A">
            <w:pPr>
              <w:pStyle w:val="Teksttabelisrodek"/>
              <w:rPr>
                <w:rFonts w:eastAsiaTheme="minorHAnsi"/>
              </w:rPr>
            </w:pPr>
            <w:r w:rsidRPr="00795F17">
              <w:t>-</w:t>
            </w:r>
          </w:p>
        </w:tc>
      </w:tr>
      <w:tr w:rsidR="006F0E34" w:rsidRPr="00795F17" w14:paraId="23BD4EDC" w14:textId="77777777" w:rsidTr="00E51484">
        <w:trPr>
          <w:trHeight w:val="454"/>
        </w:trPr>
        <w:tc>
          <w:tcPr>
            <w:tcW w:w="1659" w:type="pct"/>
            <w:shd w:val="clear" w:color="auto" w:fill="auto"/>
          </w:tcPr>
          <w:p w14:paraId="6FBC9B4C" w14:textId="77777777" w:rsidR="006F0E34" w:rsidRPr="00795F17" w:rsidRDefault="006F0E34" w:rsidP="0044393D">
            <w:pPr>
              <w:pStyle w:val="Teksttabelilewy"/>
              <w:rPr>
                <w:rFonts w:eastAsiaTheme="minorHAnsi"/>
              </w:rPr>
            </w:pPr>
            <w:r w:rsidRPr="00795F17">
              <w:t>Środkowej Odry</w:t>
            </w:r>
          </w:p>
        </w:tc>
        <w:tc>
          <w:tcPr>
            <w:tcW w:w="668" w:type="pct"/>
          </w:tcPr>
          <w:p w14:paraId="319EA327" w14:textId="77777777" w:rsidR="006F0E34" w:rsidRPr="00795F17" w:rsidRDefault="006F0E34" w:rsidP="0065243A">
            <w:pPr>
              <w:pStyle w:val="Teksttabelisrodek"/>
              <w:rPr>
                <w:color w:val="000000"/>
              </w:rPr>
            </w:pPr>
            <w:r w:rsidRPr="00795F17">
              <w:t>446</w:t>
            </w:r>
          </w:p>
        </w:tc>
        <w:tc>
          <w:tcPr>
            <w:tcW w:w="668" w:type="pct"/>
          </w:tcPr>
          <w:p w14:paraId="2DE5E26A" w14:textId="77777777" w:rsidR="006F0E34" w:rsidRPr="00795F17" w:rsidRDefault="006F0E34" w:rsidP="0065243A">
            <w:pPr>
              <w:pStyle w:val="Teksttabelisrodek"/>
              <w:rPr>
                <w:rFonts w:eastAsiaTheme="minorHAnsi"/>
              </w:rPr>
            </w:pPr>
            <w:r w:rsidRPr="00795F17">
              <w:t>12</w:t>
            </w:r>
          </w:p>
        </w:tc>
        <w:tc>
          <w:tcPr>
            <w:tcW w:w="668" w:type="pct"/>
          </w:tcPr>
          <w:p w14:paraId="672BCEC7" w14:textId="77777777" w:rsidR="006F0E34" w:rsidRPr="00795F17" w:rsidRDefault="006F0E34" w:rsidP="0065243A">
            <w:pPr>
              <w:pStyle w:val="Teksttabelisrodek"/>
              <w:rPr>
                <w:rFonts w:eastAsiaTheme="minorHAnsi"/>
              </w:rPr>
            </w:pPr>
            <w:r w:rsidRPr="00795F17">
              <w:t>27</w:t>
            </w:r>
          </w:p>
        </w:tc>
        <w:tc>
          <w:tcPr>
            <w:tcW w:w="668" w:type="pct"/>
          </w:tcPr>
          <w:p w14:paraId="16A89312" w14:textId="77777777" w:rsidR="006F0E34" w:rsidRPr="00795F17" w:rsidRDefault="006F0E34" w:rsidP="0065243A">
            <w:pPr>
              <w:pStyle w:val="Teksttabelisrodek"/>
              <w:rPr>
                <w:rFonts w:eastAsiaTheme="minorHAnsi"/>
              </w:rPr>
            </w:pPr>
            <w:r w:rsidRPr="00795F17">
              <w:t>-</w:t>
            </w:r>
          </w:p>
        </w:tc>
        <w:tc>
          <w:tcPr>
            <w:tcW w:w="669" w:type="pct"/>
          </w:tcPr>
          <w:p w14:paraId="5C1EC6CB" w14:textId="77777777" w:rsidR="006F0E34" w:rsidRPr="00795F17" w:rsidRDefault="006F0E34" w:rsidP="0065243A">
            <w:pPr>
              <w:pStyle w:val="Teksttabelisrodek"/>
              <w:rPr>
                <w:rFonts w:eastAsiaTheme="minorHAnsi"/>
              </w:rPr>
            </w:pPr>
            <w:r w:rsidRPr="00795F17">
              <w:t>-</w:t>
            </w:r>
          </w:p>
        </w:tc>
      </w:tr>
      <w:tr w:rsidR="006F0E34" w:rsidRPr="00795F17" w14:paraId="36AA92CC" w14:textId="77777777" w:rsidTr="00E51484">
        <w:trPr>
          <w:trHeight w:val="454"/>
        </w:trPr>
        <w:tc>
          <w:tcPr>
            <w:tcW w:w="1659" w:type="pct"/>
            <w:shd w:val="clear" w:color="auto" w:fill="auto"/>
          </w:tcPr>
          <w:p w14:paraId="30872417" w14:textId="77777777" w:rsidR="006F0E34" w:rsidRPr="00795F17" w:rsidRDefault="006F0E34" w:rsidP="0044393D">
            <w:pPr>
              <w:pStyle w:val="Teksttabelilewy"/>
              <w:rPr>
                <w:rFonts w:eastAsiaTheme="minorHAnsi"/>
              </w:rPr>
            </w:pPr>
            <w:r w:rsidRPr="00795F17">
              <w:t>Dolnej Odry i Przymorza Zachodniego</w:t>
            </w:r>
          </w:p>
        </w:tc>
        <w:tc>
          <w:tcPr>
            <w:tcW w:w="668" w:type="pct"/>
          </w:tcPr>
          <w:p w14:paraId="4B805BD9" w14:textId="77777777" w:rsidR="006F0E34" w:rsidRPr="00795F17" w:rsidRDefault="006F0E34" w:rsidP="0065243A">
            <w:pPr>
              <w:pStyle w:val="Teksttabelisrodek"/>
            </w:pPr>
            <w:r w:rsidRPr="00795F17">
              <w:t>270</w:t>
            </w:r>
          </w:p>
        </w:tc>
        <w:tc>
          <w:tcPr>
            <w:tcW w:w="668" w:type="pct"/>
          </w:tcPr>
          <w:p w14:paraId="16507757" w14:textId="77777777" w:rsidR="006F0E34" w:rsidRPr="00795F17" w:rsidRDefault="006F0E34" w:rsidP="0065243A">
            <w:pPr>
              <w:pStyle w:val="Teksttabelisrodek"/>
              <w:rPr>
                <w:rFonts w:eastAsiaTheme="minorHAnsi"/>
              </w:rPr>
            </w:pPr>
            <w:r w:rsidRPr="00795F17">
              <w:t>-</w:t>
            </w:r>
          </w:p>
        </w:tc>
        <w:tc>
          <w:tcPr>
            <w:tcW w:w="668" w:type="pct"/>
          </w:tcPr>
          <w:p w14:paraId="27FF007A" w14:textId="77777777" w:rsidR="006F0E34" w:rsidRPr="00795F17" w:rsidRDefault="006F0E34" w:rsidP="0065243A">
            <w:pPr>
              <w:pStyle w:val="Teksttabelisrodek"/>
              <w:rPr>
                <w:rFonts w:eastAsiaTheme="minorHAnsi"/>
              </w:rPr>
            </w:pPr>
            <w:r w:rsidRPr="00795F17">
              <w:t>109</w:t>
            </w:r>
          </w:p>
        </w:tc>
        <w:tc>
          <w:tcPr>
            <w:tcW w:w="668" w:type="pct"/>
          </w:tcPr>
          <w:p w14:paraId="7CC200D0" w14:textId="77777777" w:rsidR="006F0E34" w:rsidRPr="00795F17" w:rsidRDefault="006F0E34" w:rsidP="0065243A">
            <w:pPr>
              <w:pStyle w:val="Teksttabelisrodek"/>
              <w:rPr>
                <w:rFonts w:eastAsiaTheme="minorHAnsi"/>
              </w:rPr>
            </w:pPr>
            <w:r w:rsidRPr="00795F17">
              <w:t>2</w:t>
            </w:r>
          </w:p>
        </w:tc>
        <w:tc>
          <w:tcPr>
            <w:tcW w:w="669" w:type="pct"/>
          </w:tcPr>
          <w:p w14:paraId="39A62A1E" w14:textId="77777777" w:rsidR="006F0E34" w:rsidRPr="00795F17" w:rsidRDefault="006F0E34" w:rsidP="0065243A">
            <w:pPr>
              <w:pStyle w:val="Teksttabelisrodek"/>
              <w:rPr>
                <w:rFonts w:eastAsiaTheme="minorHAnsi"/>
              </w:rPr>
            </w:pPr>
            <w:r w:rsidRPr="00795F17">
              <w:t>2</w:t>
            </w:r>
          </w:p>
        </w:tc>
      </w:tr>
      <w:tr w:rsidR="006F0E34" w:rsidRPr="00795F17" w14:paraId="0AB19824" w14:textId="77777777" w:rsidTr="00E51484">
        <w:trPr>
          <w:trHeight w:val="454"/>
        </w:trPr>
        <w:tc>
          <w:tcPr>
            <w:tcW w:w="1659" w:type="pct"/>
            <w:shd w:val="clear" w:color="auto" w:fill="auto"/>
          </w:tcPr>
          <w:p w14:paraId="48CE640A" w14:textId="77777777" w:rsidR="006F0E34" w:rsidRPr="00795F17" w:rsidRDefault="006F0E34" w:rsidP="0044393D">
            <w:pPr>
              <w:pStyle w:val="Teksttabelilewy"/>
              <w:rPr>
                <w:rFonts w:eastAsiaTheme="minorHAnsi"/>
              </w:rPr>
            </w:pPr>
            <w:r w:rsidRPr="00795F17">
              <w:t>Warty</w:t>
            </w:r>
          </w:p>
        </w:tc>
        <w:tc>
          <w:tcPr>
            <w:tcW w:w="668" w:type="pct"/>
          </w:tcPr>
          <w:p w14:paraId="30E0BBDC" w14:textId="77777777" w:rsidR="006F0E34" w:rsidRPr="00795F17" w:rsidRDefault="006F0E34" w:rsidP="0065243A">
            <w:pPr>
              <w:pStyle w:val="Teksttabelisrodek"/>
            </w:pPr>
            <w:r w:rsidRPr="00795F17">
              <w:t>279</w:t>
            </w:r>
          </w:p>
        </w:tc>
        <w:tc>
          <w:tcPr>
            <w:tcW w:w="668" w:type="pct"/>
          </w:tcPr>
          <w:p w14:paraId="3893B3CD" w14:textId="77777777" w:rsidR="006F0E34" w:rsidRPr="00795F17" w:rsidRDefault="006F0E34" w:rsidP="0065243A">
            <w:pPr>
              <w:pStyle w:val="Teksttabelisrodek"/>
              <w:rPr>
                <w:rFonts w:eastAsiaTheme="minorHAnsi"/>
              </w:rPr>
            </w:pPr>
            <w:r w:rsidRPr="00795F17">
              <w:t>2</w:t>
            </w:r>
          </w:p>
        </w:tc>
        <w:tc>
          <w:tcPr>
            <w:tcW w:w="668" w:type="pct"/>
          </w:tcPr>
          <w:p w14:paraId="156580E3" w14:textId="77777777" w:rsidR="006F0E34" w:rsidRPr="00795F17" w:rsidRDefault="006F0E34" w:rsidP="0065243A">
            <w:pPr>
              <w:pStyle w:val="Teksttabelisrodek"/>
              <w:rPr>
                <w:rFonts w:eastAsiaTheme="minorHAnsi"/>
              </w:rPr>
            </w:pPr>
            <w:r w:rsidRPr="00795F17">
              <w:t>124</w:t>
            </w:r>
          </w:p>
        </w:tc>
        <w:tc>
          <w:tcPr>
            <w:tcW w:w="668" w:type="pct"/>
          </w:tcPr>
          <w:p w14:paraId="720E4DE4" w14:textId="77777777" w:rsidR="006F0E34" w:rsidRPr="00795F17" w:rsidRDefault="006F0E34" w:rsidP="0065243A">
            <w:pPr>
              <w:pStyle w:val="Teksttabelisrodek"/>
              <w:rPr>
                <w:rFonts w:eastAsiaTheme="minorHAnsi"/>
              </w:rPr>
            </w:pPr>
            <w:r w:rsidRPr="00795F17">
              <w:t>-</w:t>
            </w:r>
          </w:p>
        </w:tc>
        <w:tc>
          <w:tcPr>
            <w:tcW w:w="669" w:type="pct"/>
          </w:tcPr>
          <w:p w14:paraId="29CF2455" w14:textId="77777777" w:rsidR="006F0E34" w:rsidRPr="00795F17" w:rsidRDefault="006F0E34" w:rsidP="0065243A">
            <w:pPr>
              <w:pStyle w:val="Teksttabelisrodek"/>
              <w:rPr>
                <w:rFonts w:eastAsiaTheme="minorHAnsi"/>
              </w:rPr>
            </w:pPr>
            <w:r w:rsidRPr="00795F17">
              <w:t>-</w:t>
            </w:r>
          </w:p>
        </w:tc>
      </w:tr>
      <w:tr w:rsidR="006F0E34" w:rsidRPr="00795F17" w14:paraId="1948DB77" w14:textId="77777777" w:rsidTr="00E51484">
        <w:trPr>
          <w:trHeight w:val="454"/>
        </w:trPr>
        <w:tc>
          <w:tcPr>
            <w:tcW w:w="1659" w:type="pct"/>
            <w:shd w:val="clear" w:color="auto" w:fill="auto"/>
          </w:tcPr>
          <w:p w14:paraId="5A264696" w14:textId="77777777" w:rsidR="006F0E34" w:rsidRPr="00795F17" w:rsidRDefault="006F0E34" w:rsidP="0044393D">
            <w:pPr>
              <w:pStyle w:val="Teksttabelilewy"/>
              <w:rPr>
                <w:rFonts w:eastAsiaTheme="minorHAnsi"/>
              </w:rPr>
            </w:pPr>
            <w:r w:rsidRPr="00795F17">
              <w:t>Noteci</w:t>
            </w:r>
          </w:p>
        </w:tc>
        <w:tc>
          <w:tcPr>
            <w:tcW w:w="668" w:type="pct"/>
          </w:tcPr>
          <w:p w14:paraId="096EDA76" w14:textId="77777777" w:rsidR="006F0E34" w:rsidRPr="00795F17" w:rsidRDefault="006F0E34" w:rsidP="0065243A">
            <w:pPr>
              <w:pStyle w:val="Teksttabelisrodek"/>
            </w:pPr>
            <w:r w:rsidRPr="00795F17">
              <w:t>135</w:t>
            </w:r>
          </w:p>
        </w:tc>
        <w:tc>
          <w:tcPr>
            <w:tcW w:w="668" w:type="pct"/>
          </w:tcPr>
          <w:p w14:paraId="7CBF9EE8" w14:textId="77777777" w:rsidR="006F0E34" w:rsidRPr="00795F17" w:rsidRDefault="006F0E34" w:rsidP="0065243A">
            <w:pPr>
              <w:pStyle w:val="Teksttabelisrodek"/>
              <w:rPr>
                <w:rFonts w:eastAsiaTheme="minorHAnsi"/>
              </w:rPr>
            </w:pPr>
            <w:r w:rsidRPr="00795F17">
              <w:t>-</w:t>
            </w:r>
          </w:p>
        </w:tc>
        <w:tc>
          <w:tcPr>
            <w:tcW w:w="668" w:type="pct"/>
          </w:tcPr>
          <w:p w14:paraId="5E401367" w14:textId="77777777" w:rsidR="006F0E34" w:rsidRPr="00795F17" w:rsidRDefault="006F0E34" w:rsidP="0065243A">
            <w:pPr>
              <w:pStyle w:val="Teksttabelisrodek"/>
              <w:rPr>
                <w:rFonts w:eastAsiaTheme="minorHAnsi"/>
              </w:rPr>
            </w:pPr>
            <w:r w:rsidRPr="00795F17">
              <w:t>166</w:t>
            </w:r>
          </w:p>
        </w:tc>
        <w:tc>
          <w:tcPr>
            <w:tcW w:w="668" w:type="pct"/>
          </w:tcPr>
          <w:p w14:paraId="5B3550A0" w14:textId="77777777" w:rsidR="006F0E34" w:rsidRPr="00795F17" w:rsidRDefault="006F0E34" w:rsidP="0065243A">
            <w:pPr>
              <w:pStyle w:val="Teksttabelisrodek"/>
              <w:rPr>
                <w:rFonts w:eastAsiaTheme="minorHAnsi"/>
              </w:rPr>
            </w:pPr>
            <w:r w:rsidRPr="00795F17">
              <w:t>-</w:t>
            </w:r>
          </w:p>
        </w:tc>
        <w:tc>
          <w:tcPr>
            <w:tcW w:w="669" w:type="pct"/>
          </w:tcPr>
          <w:p w14:paraId="2762EDC8" w14:textId="77777777" w:rsidR="006F0E34" w:rsidRPr="00795F17" w:rsidRDefault="006F0E34" w:rsidP="0065243A">
            <w:pPr>
              <w:pStyle w:val="Teksttabelisrodek"/>
              <w:rPr>
                <w:rFonts w:eastAsiaTheme="minorHAnsi"/>
              </w:rPr>
            </w:pPr>
            <w:r w:rsidRPr="00795F17">
              <w:t>-</w:t>
            </w:r>
          </w:p>
        </w:tc>
      </w:tr>
      <w:tr w:rsidR="006F0E34" w:rsidRPr="00795F17" w14:paraId="44FD2248" w14:textId="77777777" w:rsidTr="00E51484">
        <w:trPr>
          <w:trHeight w:val="454"/>
        </w:trPr>
        <w:tc>
          <w:tcPr>
            <w:tcW w:w="1659" w:type="pct"/>
            <w:shd w:val="clear" w:color="auto" w:fill="BFBFBF" w:themeFill="background1" w:themeFillShade="BF"/>
          </w:tcPr>
          <w:p w14:paraId="1B18147D" w14:textId="77777777" w:rsidR="006F0E34" w:rsidRPr="00795F17" w:rsidRDefault="006F0E34" w:rsidP="0044393D">
            <w:pPr>
              <w:pStyle w:val="Teksttabelinaglowek"/>
              <w:rPr>
                <w:rFonts w:eastAsiaTheme="minorHAnsi"/>
              </w:rPr>
            </w:pPr>
            <w:r w:rsidRPr="00795F17">
              <w:t>Łącznie w obszarze dorzecza</w:t>
            </w:r>
          </w:p>
        </w:tc>
        <w:tc>
          <w:tcPr>
            <w:tcW w:w="668" w:type="pct"/>
            <w:shd w:val="clear" w:color="auto" w:fill="BFBFBF" w:themeFill="background1" w:themeFillShade="BF"/>
          </w:tcPr>
          <w:p w14:paraId="05D6B1FE" w14:textId="5A7874FF" w:rsidR="006F0E34" w:rsidRPr="00795F17" w:rsidRDefault="006F0E34" w:rsidP="00364244">
            <w:pPr>
              <w:pStyle w:val="Teksttabelinaglowek"/>
            </w:pPr>
            <w:r w:rsidRPr="00795F17">
              <w:t>1</w:t>
            </w:r>
            <w:r w:rsidR="00B1060C" w:rsidRPr="00795F17">
              <w:t> </w:t>
            </w:r>
            <w:r w:rsidRPr="00795F17">
              <w:t>272</w:t>
            </w:r>
          </w:p>
        </w:tc>
        <w:tc>
          <w:tcPr>
            <w:tcW w:w="668" w:type="pct"/>
            <w:shd w:val="clear" w:color="auto" w:fill="BFBFBF" w:themeFill="background1" w:themeFillShade="BF"/>
          </w:tcPr>
          <w:p w14:paraId="187701B1" w14:textId="77777777" w:rsidR="006F0E34" w:rsidRPr="00795F17" w:rsidRDefault="006F0E34" w:rsidP="00364244">
            <w:pPr>
              <w:pStyle w:val="Teksttabelinaglowek"/>
              <w:rPr>
                <w:rFonts w:eastAsiaTheme="minorHAnsi"/>
              </w:rPr>
            </w:pPr>
            <w:r w:rsidRPr="00795F17">
              <w:t>19</w:t>
            </w:r>
          </w:p>
        </w:tc>
        <w:tc>
          <w:tcPr>
            <w:tcW w:w="668" w:type="pct"/>
            <w:shd w:val="clear" w:color="auto" w:fill="BFBFBF" w:themeFill="background1" w:themeFillShade="BF"/>
          </w:tcPr>
          <w:p w14:paraId="2888A16B" w14:textId="77777777" w:rsidR="006F0E34" w:rsidRPr="00795F17" w:rsidRDefault="006F0E34" w:rsidP="00364244">
            <w:pPr>
              <w:pStyle w:val="Teksttabelinaglowek"/>
              <w:rPr>
                <w:rFonts w:eastAsiaTheme="minorEastAsia"/>
              </w:rPr>
            </w:pPr>
            <w:r w:rsidRPr="00795F17">
              <w:t>427</w:t>
            </w:r>
          </w:p>
        </w:tc>
        <w:tc>
          <w:tcPr>
            <w:tcW w:w="668" w:type="pct"/>
            <w:shd w:val="clear" w:color="auto" w:fill="BFBFBF" w:themeFill="background1" w:themeFillShade="BF"/>
          </w:tcPr>
          <w:p w14:paraId="1CA54F9A" w14:textId="77777777" w:rsidR="006F0E34" w:rsidRPr="00795F17" w:rsidRDefault="006F0E34" w:rsidP="00364244">
            <w:pPr>
              <w:pStyle w:val="Teksttabelinaglowek"/>
              <w:rPr>
                <w:rFonts w:eastAsiaTheme="minorHAnsi"/>
              </w:rPr>
            </w:pPr>
            <w:r w:rsidRPr="00795F17">
              <w:t>2</w:t>
            </w:r>
          </w:p>
        </w:tc>
        <w:tc>
          <w:tcPr>
            <w:tcW w:w="669" w:type="pct"/>
            <w:shd w:val="clear" w:color="auto" w:fill="BFBFBF" w:themeFill="background1" w:themeFillShade="BF"/>
          </w:tcPr>
          <w:p w14:paraId="0CEB9699" w14:textId="77777777" w:rsidR="006F0E34" w:rsidRPr="00795F17" w:rsidRDefault="006F0E34" w:rsidP="00364244">
            <w:pPr>
              <w:pStyle w:val="Teksttabelinaglowek"/>
              <w:rPr>
                <w:rFonts w:eastAsiaTheme="minorHAnsi"/>
              </w:rPr>
            </w:pPr>
            <w:r w:rsidRPr="00795F17">
              <w:t>2</w:t>
            </w:r>
          </w:p>
        </w:tc>
      </w:tr>
    </w:tbl>
    <w:p w14:paraId="3E18EE8F" w14:textId="68000F08" w:rsidR="006F0E34" w:rsidRPr="00795F17" w:rsidRDefault="006F0E34" w:rsidP="0044393D">
      <w:pPr>
        <w:pStyle w:val="rdo"/>
      </w:pPr>
      <w:r w:rsidRPr="00795F17">
        <w:t xml:space="preserve">Źródło: </w:t>
      </w:r>
      <w:r w:rsidR="00FD7248" w:rsidRPr="00795F17">
        <w:t>opracowanie własne</w:t>
      </w:r>
    </w:p>
    <w:p w14:paraId="4A91079D" w14:textId="1D63DA57" w:rsidR="006F0E34" w:rsidRPr="00795F17" w:rsidRDefault="006F0E34" w:rsidP="0044393D">
      <w:r w:rsidRPr="00795F17">
        <w:t xml:space="preserve">Obszar dorzecza Odry charakteryzuje się występowaniem w każdym z regionów wodnych zarówno </w:t>
      </w:r>
      <w:r w:rsidR="00DF005E">
        <w:t>JCWP</w:t>
      </w:r>
      <w:r w:rsidRPr="00795F17">
        <w:t xml:space="preserve"> RW, jak i </w:t>
      </w:r>
      <w:r w:rsidR="00DF005E">
        <w:t>JCWP</w:t>
      </w:r>
      <w:r w:rsidRPr="00795F17">
        <w:t xml:space="preserve"> LW. </w:t>
      </w:r>
      <w:r w:rsidR="00DF005E">
        <w:t>JCWP</w:t>
      </w:r>
      <w:r w:rsidRPr="00795F17">
        <w:t xml:space="preserve"> RWr występują w trzech z pięciu regionów wodnych (Górnej Odry, Środkowej Odry i Warty). </w:t>
      </w:r>
      <w:r w:rsidR="00DF005E">
        <w:t>JCWP</w:t>
      </w:r>
      <w:r w:rsidRPr="00795F17">
        <w:t xml:space="preserve"> TW i CW występują w regionie wodnym Dolnej Odry i Przymorza Zachodniego.</w:t>
      </w:r>
    </w:p>
    <w:p w14:paraId="47F7C519" w14:textId="4BC386FE" w:rsidR="00DB2292" w:rsidRPr="00795F17" w:rsidRDefault="006F0E34" w:rsidP="0044393D">
      <w:r w:rsidRPr="00795F17">
        <w:t xml:space="preserve">Udział </w:t>
      </w:r>
      <w:r w:rsidR="00DF005E">
        <w:t>JCWP</w:t>
      </w:r>
      <w:r w:rsidRPr="00795F17">
        <w:t xml:space="preserve"> </w:t>
      </w:r>
      <w:r w:rsidR="00DB2292" w:rsidRPr="00795F17">
        <w:t xml:space="preserve">RW, RWr oraz LW </w:t>
      </w:r>
      <w:r w:rsidRPr="00795F17">
        <w:t xml:space="preserve">poszczególnych regionów wodnych w ogólnej liczbie </w:t>
      </w:r>
      <w:r w:rsidR="00DF005E">
        <w:t>JCWP</w:t>
      </w:r>
      <w:r w:rsidRPr="00795F17">
        <w:t xml:space="preserve"> obszaru dorzecza Odry w danej kategorii wód prezentują poniższe wykresy</w:t>
      </w:r>
      <w:r w:rsidR="00890AB5" w:rsidRPr="00795F17">
        <w:t xml:space="preserve"> </w:t>
      </w:r>
      <w:r w:rsidR="00703397" w:rsidRPr="00795F17">
        <w:t xml:space="preserve">(wykres </w:t>
      </w:r>
      <w:r w:rsidR="00890AB5" w:rsidRPr="00795F17">
        <w:t>3-9</w:t>
      </w:r>
      <w:r w:rsidR="00703397" w:rsidRPr="00795F17">
        <w:t>,</w:t>
      </w:r>
      <w:r w:rsidR="00890AB5" w:rsidRPr="00795F17">
        <w:t xml:space="preserve"> 3-10 i 3-11</w:t>
      </w:r>
      <w:r w:rsidR="00703397" w:rsidRPr="00795F17">
        <w:t>)</w:t>
      </w:r>
      <w:r w:rsidRPr="00795F17">
        <w:t>.</w:t>
      </w:r>
    </w:p>
    <w:p w14:paraId="75A8E34A" w14:textId="63DD2364" w:rsidR="00F905E1" w:rsidRPr="00795F17" w:rsidRDefault="00117E0B" w:rsidP="005842B5">
      <w:pPr>
        <w:jc w:val="center"/>
      </w:pPr>
      <w:r w:rsidRPr="00795F17">
        <w:rPr>
          <w:noProof/>
          <w:lang w:eastAsia="pl-PL"/>
        </w:rPr>
        <w:drawing>
          <wp:inline distT="0" distB="0" distL="0" distR="0" wp14:anchorId="7ACF9B5A" wp14:editId="60EFE07A">
            <wp:extent cx="4184725" cy="2440833"/>
            <wp:effectExtent l="0" t="0" r="6350" b="17145"/>
            <wp:docPr id="36" name="Wykres 36">
              <a:extLst xmlns:a="http://schemas.openxmlformats.org/drawingml/2006/main">
                <a:ext uri="{FF2B5EF4-FFF2-40B4-BE49-F238E27FC236}">
                  <a16:creationId xmlns:a16="http://schemas.microsoft.com/office/drawing/2014/main" id="{7A571A08-368F-4DBA-A2C4-0E1B742F6F25}"/>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2DFF6DF" w14:textId="2E270782" w:rsidR="006F0E34" w:rsidRPr="00795F17" w:rsidRDefault="00F905E1" w:rsidP="00B479EE">
      <w:pPr>
        <w:pStyle w:val="Wykres"/>
        <w:rPr>
          <w:rFonts w:eastAsiaTheme="minorHAnsi"/>
          <w:color w:val="000000"/>
        </w:rPr>
      </w:pPr>
      <w:bookmarkStart w:id="54" w:name="_Toc66272987"/>
      <w:bookmarkStart w:id="55" w:name="_Toc105512946"/>
      <w:r w:rsidRPr="00795F17">
        <w:t xml:space="preserve">Wykres </w:t>
      </w:r>
      <w:fldSimple w:instr=" STYLEREF 1 \s ">
        <w:r w:rsidR="001F774D">
          <w:rPr>
            <w:noProof/>
          </w:rPr>
          <w:t>3</w:t>
        </w:r>
      </w:fldSimple>
      <w:r w:rsidR="00FF20D3">
        <w:noBreakHyphen/>
      </w:r>
      <w:fldSimple w:instr=" SEQ Wykres \* ARABIC \s 1 ">
        <w:r w:rsidR="001F774D">
          <w:rPr>
            <w:noProof/>
          </w:rPr>
          <w:t>9</w:t>
        </w:r>
      </w:fldSimple>
      <w:r w:rsidR="00D40C59">
        <w:rPr>
          <w:noProof/>
        </w:rPr>
        <w:t>.</w:t>
      </w:r>
      <w:r w:rsidRPr="00795F17">
        <w:tab/>
        <w:t xml:space="preserve">Udział </w:t>
      </w:r>
      <w:r w:rsidR="00DF005E">
        <w:t>JCWP</w:t>
      </w:r>
      <w:r w:rsidRPr="00795F17">
        <w:t xml:space="preserve"> RW poszczególnych regionów wodnych w ogólnej liczbie </w:t>
      </w:r>
      <w:r w:rsidR="00DF005E">
        <w:t>JCWP</w:t>
      </w:r>
      <w:r w:rsidRPr="00795F17">
        <w:t xml:space="preserve"> </w:t>
      </w:r>
      <w:r w:rsidR="00405C98" w:rsidRPr="00795F17">
        <w:t xml:space="preserve">RW </w:t>
      </w:r>
      <w:r w:rsidRPr="00795F17">
        <w:t>obszaru dorzecza Odry</w:t>
      </w:r>
      <w:bookmarkEnd w:id="54"/>
      <w:bookmarkEnd w:id="55"/>
    </w:p>
    <w:p w14:paraId="296B6655" w14:textId="5557B59B"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4B67BEE1" w14:textId="35A3AFEF" w:rsidR="00F905E1" w:rsidRPr="00795F17" w:rsidRDefault="0030177B" w:rsidP="005842B5">
      <w:pPr>
        <w:jc w:val="center"/>
      </w:pPr>
      <w:r w:rsidRPr="00795F17">
        <w:rPr>
          <w:noProof/>
          <w:lang w:eastAsia="pl-PL"/>
        </w:rPr>
        <w:drawing>
          <wp:inline distT="0" distB="0" distL="0" distR="0" wp14:anchorId="6AF89E06" wp14:editId="4B773BD9">
            <wp:extent cx="4120179" cy="2403185"/>
            <wp:effectExtent l="0" t="0" r="13970" b="16510"/>
            <wp:docPr id="37" name="Wykres 37">
              <a:extLst xmlns:a="http://schemas.openxmlformats.org/drawingml/2006/main">
                <a:ext uri="{FF2B5EF4-FFF2-40B4-BE49-F238E27FC236}">
                  <a16:creationId xmlns:a16="http://schemas.microsoft.com/office/drawing/2014/main" id="{91CF3E88-225D-4CE9-9512-AAC9BB0F029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8418E2B" w14:textId="2A57D8F3" w:rsidR="006F0E34" w:rsidRPr="00795F17" w:rsidRDefault="00F905E1" w:rsidP="00B479EE">
      <w:pPr>
        <w:pStyle w:val="Wykres"/>
      </w:pPr>
      <w:bookmarkStart w:id="56" w:name="_Toc66272988"/>
      <w:bookmarkStart w:id="57" w:name="_Toc105512947"/>
      <w:r w:rsidRPr="00795F17">
        <w:t xml:space="preserve">Wykres </w:t>
      </w:r>
      <w:fldSimple w:instr=" STYLEREF 1 \s ">
        <w:r w:rsidR="001F774D">
          <w:rPr>
            <w:noProof/>
          </w:rPr>
          <w:t>3</w:t>
        </w:r>
      </w:fldSimple>
      <w:r w:rsidR="00FF20D3">
        <w:noBreakHyphen/>
      </w:r>
      <w:fldSimple w:instr=" SEQ Wykres \* ARABIC \s 1 ">
        <w:r w:rsidR="001F774D">
          <w:rPr>
            <w:noProof/>
          </w:rPr>
          <w:t>10</w:t>
        </w:r>
      </w:fldSimple>
      <w:r w:rsidR="00D40C59">
        <w:rPr>
          <w:noProof/>
        </w:rPr>
        <w:t>.</w:t>
      </w:r>
      <w:r w:rsidRPr="00795F17">
        <w:tab/>
        <w:t xml:space="preserve">Udział </w:t>
      </w:r>
      <w:r w:rsidR="00DF005E">
        <w:t>JCWP</w:t>
      </w:r>
      <w:r w:rsidRPr="00795F17">
        <w:t xml:space="preserve"> RWr poszczególnych regionów wodnych w ogólnej liczbie </w:t>
      </w:r>
      <w:r w:rsidR="00DF005E">
        <w:t>JCWP</w:t>
      </w:r>
      <w:r w:rsidRPr="00795F17">
        <w:t xml:space="preserve"> </w:t>
      </w:r>
      <w:r w:rsidR="00405C98" w:rsidRPr="00795F17">
        <w:t xml:space="preserve">RWr </w:t>
      </w:r>
      <w:r w:rsidRPr="00795F17">
        <w:t>obszaru dorzecza Odry</w:t>
      </w:r>
      <w:bookmarkEnd w:id="56"/>
      <w:bookmarkEnd w:id="57"/>
    </w:p>
    <w:p w14:paraId="2C783841" w14:textId="47B6279A"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3EFD3935" w14:textId="63A14049" w:rsidR="00F905E1" w:rsidRPr="00795F17" w:rsidRDefault="00BE2631" w:rsidP="005842B5">
      <w:pPr>
        <w:jc w:val="center"/>
      </w:pPr>
      <w:r w:rsidRPr="00795F17">
        <w:rPr>
          <w:noProof/>
          <w:lang w:eastAsia="pl-PL"/>
        </w:rPr>
        <w:drawing>
          <wp:inline distT="0" distB="0" distL="0" distR="0" wp14:anchorId="46F374AE" wp14:editId="30EB93B4">
            <wp:extent cx="4057240" cy="2366084"/>
            <wp:effectExtent l="0" t="0" r="635" b="15240"/>
            <wp:docPr id="38" name="Wykres 38">
              <a:extLst xmlns:a="http://schemas.openxmlformats.org/drawingml/2006/main">
                <a:ext uri="{FF2B5EF4-FFF2-40B4-BE49-F238E27FC236}">
                  <a16:creationId xmlns:a16="http://schemas.microsoft.com/office/drawing/2014/main" id="{8C993246-71F2-48F8-92D4-B22FFF68B7A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B12E62A" w14:textId="072AAA23" w:rsidR="006F0E34" w:rsidRPr="00795F17" w:rsidRDefault="00F905E1" w:rsidP="00B479EE">
      <w:pPr>
        <w:pStyle w:val="Wykres"/>
      </w:pPr>
      <w:bookmarkStart w:id="58" w:name="_Toc66272989"/>
      <w:bookmarkStart w:id="59" w:name="_Toc105512948"/>
      <w:r w:rsidRPr="00795F17">
        <w:t xml:space="preserve">Wykres </w:t>
      </w:r>
      <w:fldSimple w:instr=" STYLEREF 1 \s ">
        <w:r w:rsidR="001F774D">
          <w:rPr>
            <w:noProof/>
          </w:rPr>
          <w:t>3</w:t>
        </w:r>
      </w:fldSimple>
      <w:r w:rsidR="00FF20D3">
        <w:noBreakHyphen/>
      </w:r>
      <w:fldSimple w:instr=" SEQ Wykres \* ARABIC \s 1 ">
        <w:r w:rsidR="001F774D">
          <w:rPr>
            <w:noProof/>
          </w:rPr>
          <w:t>11</w:t>
        </w:r>
      </w:fldSimple>
      <w:r w:rsidR="00D40C59">
        <w:rPr>
          <w:noProof/>
        </w:rPr>
        <w:t>.</w:t>
      </w:r>
      <w:r w:rsidRPr="00795F17">
        <w:tab/>
        <w:t xml:space="preserve">Udział </w:t>
      </w:r>
      <w:r w:rsidR="00DF005E">
        <w:t>JCWP</w:t>
      </w:r>
      <w:r w:rsidRPr="00795F17">
        <w:t xml:space="preserve"> LW poszczególnych regionów wodnych w ogólnej liczbie </w:t>
      </w:r>
      <w:r w:rsidR="00DF005E">
        <w:t>JCWP</w:t>
      </w:r>
      <w:r w:rsidRPr="00795F17">
        <w:t xml:space="preserve"> </w:t>
      </w:r>
      <w:r w:rsidR="00405C98" w:rsidRPr="00795F17">
        <w:t xml:space="preserve">LW </w:t>
      </w:r>
      <w:r w:rsidRPr="00795F17">
        <w:t>obszaru dorzecza Odry</w:t>
      </w:r>
      <w:bookmarkEnd w:id="58"/>
      <w:bookmarkEnd w:id="59"/>
    </w:p>
    <w:p w14:paraId="13EBE883" w14:textId="2DFF0B26"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68288BDD" w14:textId="53D3E108" w:rsidR="005C7311" w:rsidRPr="00795F17" w:rsidRDefault="00DF005E" w:rsidP="0044393D">
      <w:pPr>
        <w:rPr>
          <w:lang w:eastAsia="zh-CN"/>
        </w:rPr>
      </w:pPr>
      <w:r>
        <w:t>JCWP</w:t>
      </w:r>
      <w:r w:rsidR="005C7311" w:rsidRPr="00795F17">
        <w:t xml:space="preserve"> TW i CW nie zostały </w:t>
      </w:r>
      <w:r w:rsidR="00847763">
        <w:t>za</w:t>
      </w:r>
      <w:r w:rsidR="005C7311" w:rsidRPr="00795F17">
        <w:t>prezentowane na wykresie z uwagi na to, że występują na obszarze wyłącznie jednego regionu wodnego.</w:t>
      </w:r>
    </w:p>
    <w:p w14:paraId="5C43AFB9" w14:textId="20F4E809" w:rsidR="006F0E34" w:rsidRPr="00795F17" w:rsidRDefault="006F0E34" w:rsidP="00A22ED2">
      <w:pPr>
        <w:pStyle w:val="Nagwek3"/>
      </w:pPr>
      <w:bookmarkStart w:id="60" w:name="_Toc105512629"/>
      <w:r w:rsidRPr="00795F17">
        <w:t xml:space="preserve">Typologia </w:t>
      </w:r>
      <w:r w:rsidR="00DF005E">
        <w:t>JCWP</w:t>
      </w:r>
      <w:bookmarkEnd w:id="60"/>
    </w:p>
    <w:p w14:paraId="2BB926A6" w14:textId="07F5F93C" w:rsidR="006F0E34" w:rsidRPr="00795F17" w:rsidRDefault="006F0E34" w:rsidP="0044393D">
      <w:r w:rsidRPr="00795F17">
        <w:t xml:space="preserve">Typologia abiotyczna </w:t>
      </w:r>
      <w:r w:rsidR="00DF005E">
        <w:t>JCWP</w:t>
      </w:r>
      <w:r w:rsidRPr="00795F17">
        <w:t xml:space="preserve"> stanowi system klasyfikacji wód powierzchniowych opracowany zgodnie z</w:t>
      </w:r>
      <w:r w:rsidR="005B624B" w:rsidRPr="00795F17">
        <w:t> </w:t>
      </w:r>
      <w:r w:rsidRPr="00795F17">
        <w:t xml:space="preserve">załącznikiem II RDW i jest podstawowym krokiem na drodze do ustalenia oceny oraz klasyfikacji stanu ekologicznego wód. </w:t>
      </w:r>
    </w:p>
    <w:p w14:paraId="790C6AFE" w14:textId="06807ABD" w:rsidR="006F0E34" w:rsidRPr="00795F17" w:rsidRDefault="006F0E34" w:rsidP="0044393D">
      <w:r w:rsidRPr="00795F17">
        <w:t>Ze względu na różnorodność naturalnych warunków środowiskowych, które mają wpływ na</w:t>
      </w:r>
      <w:r w:rsidR="00FB7DD2" w:rsidRPr="00795F17">
        <w:t> </w:t>
      </w:r>
      <w:r w:rsidRPr="00795F17">
        <w:t>występowanie organizmów wodnych, konieczne jest wydzielenie różnych typów wód, które w</w:t>
      </w:r>
      <w:r w:rsidR="00BB3155" w:rsidRPr="00795F17">
        <w:t> </w:t>
      </w:r>
      <w:r w:rsidRPr="00795F17">
        <w:t xml:space="preserve">warunkach niezakłóconych działalnością człowieka charakteryzują się odrębnymi cechami biologicznymi i będą stanowić wzorzec do określenia stopnia odchylenia przy </w:t>
      </w:r>
      <w:r w:rsidR="00C12087">
        <w:t>klasyfikacji stanu ekologicznego</w:t>
      </w:r>
      <w:r w:rsidRPr="00795F17">
        <w:t xml:space="preserve"> wód. Warunki środowiskowe wynikają z takich czynników, jak m.in.: położenie geograficzne, wysokość bezwzględna, geologia i hydromorfologia terenu.</w:t>
      </w:r>
    </w:p>
    <w:p w14:paraId="6C71976B" w14:textId="3E37A0E1" w:rsidR="006F0E34" w:rsidRPr="00795F17" w:rsidRDefault="006F0E34" w:rsidP="0044393D">
      <w:r w:rsidRPr="00795F17">
        <w:t xml:space="preserve">Pierwsza typologia abiotyczna dla </w:t>
      </w:r>
      <w:r w:rsidR="00DF005E">
        <w:t>JCWP</w:t>
      </w:r>
      <w:r w:rsidRPr="00795F17">
        <w:t xml:space="preserve"> w Polsce została określona w ramach pracy pn. </w:t>
      </w:r>
      <w:r w:rsidRPr="00544256">
        <w:rPr>
          <w:i/>
        </w:rPr>
        <w:t>Typologia wód powierzchniowych i wyznaczenie części wód powierzchniowych i podziemnych zgodnie z wymogami Ramowej Dyrektywy Wodnej 2000/60/WE</w:t>
      </w:r>
      <w:r w:rsidRPr="00795F17">
        <w:rPr>
          <w:rStyle w:val="Odwoanieprzypisudolnego"/>
          <w:rFonts w:asciiTheme="minorHAnsi" w:eastAsiaTheme="minorHAnsi" w:hAnsiTheme="minorHAnsi"/>
          <w:color w:val="000000"/>
        </w:rPr>
        <w:footnoteReference w:id="13"/>
      </w:r>
      <w:r w:rsidRPr="00795F17">
        <w:t>. Zgodnie z tym opracowaniem w Polsce wyznaczono 26</w:t>
      </w:r>
      <w:r w:rsidR="001632BF" w:rsidRPr="00795F17">
        <w:t> </w:t>
      </w:r>
      <w:r w:rsidRPr="00795F17">
        <w:t xml:space="preserve">typów </w:t>
      </w:r>
      <w:r w:rsidR="00DF005E">
        <w:t>JCWP</w:t>
      </w:r>
      <w:r w:rsidRPr="00795F17">
        <w:t xml:space="preserve"> RW (oraz typ nieokreślony </w:t>
      </w:r>
      <w:r w:rsidR="0079397E">
        <w:t>–</w:t>
      </w:r>
      <w:r w:rsidRPr="00795F17">
        <w:t xml:space="preserve"> „0”), 13 typów </w:t>
      </w:r>
      <w:r w:rsidR="00DF005E">
        <w:t>JCWP</w:t>
      </w:r>
      <w:r w:rsidRPr="00795F17">
        <w:t xml:space="preserve"> LW, 5 typów </w:t>
      </w:r>
      <w:r w:rsidR="00DF005E">
        <w:t>JCWP</w:t>
      </w:r>
      <w:r w:rsidRPr="00795F17">
        <w:t xml:space="preserve"> TW oraz 3 typy </w:t>
      </w:r>
      <w:r w:rsidR="00DF005E">
        <w:t>JCWP</w:t>
      </w:r>
      <w:r w:rsidRPr="00795F17">
        <w:t xml:space="preserve"> CW. Wymieniona typologia została przyjęta w ramach rozporządzeń w sprawie planów gospodarowania wodami na obszarach dorzeczy w Polsce. </w:t>
      </w:r>
    </w:p>
    <w:p w14:paraId="4B00BA84" w14:textId="52303CC5" w:rsidR="00FA42F2" w:rsidRPr="00795F17" w:rsidRDefault="006F0E34" w:rsidP="00CE237D">
      <w:r w:rsidRPr="00795F17">
        <w:t xml:space="preserve">W ramach </w:t>
      </w:r>
      <w:r w:rsidRPr="00544256">
        <w:rPr>
          <w:i/>
        </w:rPr>
        <w:t xml:space="preserve">Aktualizacji wykazu </w:t>
      </w:r>
      <w:r w:rsidR="00DF005E">
        <w:rPr>
          <w:i/>
        </w:rPr>
        <w:t>JCWP</w:t>
      </w:r>
      <w:r w:rsidRPr="00544256">
        <w:rPr>
          <w:i/>
        </w:rPr>
        <w:t xml:space="preserve"> i SCWP</w:t>
      </w:r>
      <w:r w:rsidRPr="00795F17">
        <w:t xml:space="preserve"> dla potrzeb kolejnej aktualizacji planów w latach 2015</w:t>
      </w:r>
      <w:r w:rsidR="006B5BAA">
        <w:t xml:space="preserve">– </w:t>
      </w:r>
      <w:r w:rsidRPr="00795F17">
        <w:t>2021 wraz z weryfikacją typów wód części wód</w:t>
      </w:r>
      <w:r w:rsidRPr="00795F17">
        <w:rPr>
          <w:rStyle w:val="Odwoanieprzypisudolnego"/>
          <w:rFonts w:asciiTheme="minorHAnsi" w:eastAsiaTheme="minorEastAsia" w:hAnsiTheme="minorHAnsi"/>
          <w:color w:val="000000"/>
        </w:rPr>
        <w:footnoteReference w:id="14"/>
      </w:r>
      <w:r w:rsidRPr="00795F17">
        <w:t xml:space="preserve"> przeprowadzono weryfikację granic </w:t>
      </w:r>
      <w:r w:rsidR="00DF005E">
        <w:t>JCWP</w:t>
      </w:r>
      <w:r w:rsidRPr="00795F17">
        <w:t xml:space="preserve"> oraz typów wód powierzchniowych. W wyniku realizacji pracy wydzielono w Polsce</w:t>
      </w:r>
      <w:r w:rsidR="00EF4C96" w:rsidRPr="00795F17">
        <w:t>:</w:t>
      </w:r>
      <w:r w:rsidRPr="00795F17">
        <w:t xml:space="preserve"> </w:t>
      </w:r>
      <w:r w:rsidR="0032700D" w:rsidRPr="00795F17">
        <w:t>2</w:t>
      </w:r>
      <w:r w:rsidR="0032700D">
        <w:t>0</w:t>
      </w:r>
      <w:r w:rsidR="0032700D" w:rsidRPr="00795F17">
        <w:t xml:space="preserve"> </w:t>
      </w:r>
      <w:r w:rsidRPr="00795F17">
        <w:t xml:space="preserve">typów </w:t>
      </w:r>
      <w:r w:rsidR="00DF005E">
        <w:t>JCWP</w:t>
      </w:r>
      <w:r w:rsidRPr="00795F17">
        <w:t xml:space="preserve"> RW, </w:t>
      </w:r>
      <w:r w:rsidR="00305361" w:rsidRPr="00305361">
        <w:t xml:space="preserve">7 typów </w:t>
      </w:r>
      <w:r w:rsidR="00DF005E">
        <w:t>JCWP</w:t>
      </w:r>
      <w:r w:rsidR="00305361" w:rsidRPr="00305361">
        <w:t xml:space="preserve"> LW, 2 typy </w:t>
      </w:r>
      <w:r w:rsidR="00DF005E">
        <w:t>JCWP</w:t>
      </w:r>
      <w:r w:rsidR="00305361" w:rsidRPr="00305361">
        <w:t xml:space="preserve"> CW i 5 typów </w:t>
      </w:r>
      <w:r w:rsidR="00DF005E">
        <w:t>JCWP</w:t>
      </w:r>
      <w:r w:rsidR="00305361" w:rsidRPr="00305361">
        <w:t xml:space="preserve"> TW. Aktualna typologia jcw stanowi załącznik nr 6 </w:t>
      </w:r>
      <w:r w:rsidR="00DF005E">
        <w:t>r.kl.jcwp</w:t>
      </w:r>
      <w:r w:rsidRPr="00795F17">
        <w:t>.</w:t>
      </w:r>
    </w:p>
    <w:p w14:paraId="45418CC2" w14:textId="1EC35F33" w:rsidR="00B12D32" w:rsidRPr="00795F17" w:rsidRDefault="003126BA" w:rsidP="0044393D">
      <w:r w:rsidRPr="00795F17">
        <w:t xml:space="preserve">W tabelach poniżej w odniesieniu do poszczególnych </w:t>
      </w:r>
      <w:r w:rsidR="00DF005E">
        <w:t>JCWP</w:t>
      </w:r>
      <w:r w:rsidRPr="00795F17">
        <w:t xml:space="preserve"> wskazano t</w:t>
      </w:r>
      <w:r w:rsidR="006F0E34" w:rsidRPr="00795F17">
        <w:t xml:space="preserve">ypy dla </w:t>
      </w:r>
      <w:r w:rsidR="00DF005E">
        <w:t>JCWP</w:t>
      </w:r>
      <w:r w:rsidRPr="00795F17">
        <w:t>. Tam gdzie było to</w:t>
      </w:r>
      <w:r w:rsidR="00D93638" w:rsidRPr="00795F17">
        <w:t> </w:t>
      </w:r>
      <w:r w:rsidRPr="00795F17">
        <w:t xml:space="preserve">zasadne (wyróżniany więcej niż jeden typ </w:t>
      </w:r>
      <w:r w:rsidR="00DF005E">
        <w:t>JCWP</w:t>
      </w:r>
      <w:r w:rsidRPr="00795F17">
        <w:t xml:space="preserve">) zamieszczono również wykresy obrazujące </w:t>
      </w:r>
      <w:r w:rsidR="006F0E34" w:rsidRPr="00795F17">
        <w:t>procentowy</w:t>
      </w:r>
      <w:r w:rsidRPr="00795F17">
        <w:t xml:space="preserve"> </w:t>
      </w:r>
      <w:r w:rsidR="006F0E34" w:rsidRPr="00795F17">
        <w:t xml:space="preserve">udział poszczególnych typów </w:t>
      </w:r>
      <w:r w:rsidR="00DF005E">
        <w:t>JCWP</w:t>
      </w:r>
      <w:r w:rsidR="006F0E34" w:rsidRPr="00795F17">
        <w:t xml:space="preserve"> w ogólnej liczbie </w:t>
      </w:r>
      <w:r w:rsidR="00DF005E">
        <w:t>JCWP</w:t>
      </w:r>
      <w:r w:rsidR="006F0E34" w:rsidRPr="00795F17">
        <w:t xml:space="preserve"> danej kategorii. </w:t>
      </w:r>
    </w:p>
    <w:p w14:paraId="6D54CD64" w14:textId="3ECCA739" w:rsidR="006F0E34" w:rsidRPr="00795F17" w:rsidRDefault="006F0E34" w:rsidP="0044393D">
      <w:r w:rsidRPr="00795F17">
        <w:t xml:space="preserve">Ekoregiony na obszarze dorzecza Odry wraz z typami poszczególnych kategorii </w:t>
      </w:r>
      <w:r w:rsidR="00DF005E">
        <w:t>JCWP</w:t>
      </w:r>
      <w:r w:rsidRPr="00795F17">
        <w:t xml:space="preserve"> przedstawiano w</w:t>
      </w:r>
      <w:r w:rsidR="00B12D32" w:rsidRPr="00795F17">
        <w:t> </w:t>
      </w:r>
      <w:r w:rsidRPr="00795F17">
        <w:t>załącznik</w:t>
      </w:r>
      <w:r w:rsidR="00512BC9">
        <w:t>ach</w:t>
      </w:r>
      <w:r w:rsidRPr="00795F17">
        <w:t xml:space="preserve"> graficzny</w:t>
      </w:r>
      <w:r w:rsidR="00512BC9">
        <w:t>ch</w:t>
      </w:r>
      <w:r w:rsidRPr="00795F17">
        <w:t xml:space="preserve"> nr</w:t>
      </w:r>
      <w:r w:rsidR="000308F2" w:rsidRPr="00795F17">
        <w:t> </w:t>
      </w:r>
      <w:r w:rsidR="00512BC9">
        <w:t>2</w:t>
      </w:r>
      <w:r w:rsidR="00C75B1E">
        <w:t xml:space="preserve"> – </w:t>
      </w:r>
      <w:r w:rsidR="00512BC9">
        <w:t>4</w:t>
      </w:r>
      <w:r w:rsidR="00AC1A4A" w:rsidRPr="00795F17">
        <w:t xml:space="preserve"> do IIaPGW</w:t>
      </w:r>
      <w:r w:rsidRPr="00795F17">
        <w:t>.</w:t>
      </w:r>
    </w:p>
    <w:p w14:paraId="698117C1" w14:textId="1B355C81" w:rsidR="005C7311" w:rsidRPr="00795F17" w:rsidRDefault="00DF005E" w:rsidP="0044393D">
      <w:pPr>
        <w:pStyle w:val="Nagwek5"/>
      </w:pPr>
      <w:r>
        <w:t>JCWP</w:t>
      </w:r>
      <w:r w:rsidR="005C7311" w:rsidRPr="00795F17">
        <w:t xml:space="preserve"> RW</w:t>
      </w:r>
    </w:p>
    <w:p w14:paraId="6CFB87C3" w14:textId="1883369A" w:rsidR="003E2D19" w:rsidRPr="00795F17" w:rsidRDefault="003E2D19" w:rsidP="004D7705">
      <w:pPr>
        <w:pStyle w:val="Tabela"/>
      </w:pPr>
      <w:bookmarkStart w:id="61" w:name="_Toc66341845"/>
      <w:bookmarkStart w:id="62" w:name="_Toc105512753"/>
      <w:r w:rsidRPr="00795F17">
        <w:t xml:space="preserve">Tabela </w:t>
      </w:r>
      <w:fldSimple w:instr=" STYLEREF 1 \s ">
        <w:r w:rsidR="001F774D">
          <w:rPr>
            <w:noProof/>
          </w:rPr>
          <w:t>3</w:t>
        </w:r>
      </w:fldSimple>
      <w:r w:rsidR="00BB3B21" w:rsidRPr="00795F17">
        <w:noBreakHyphen/>
      </w:r>
      <w:fldSimple w:instr=" SEQ Tabela \* ARABIC \s 1 ">
        <w:r w:rsidR="001F774D">
          <w:rPr>
            <w:noProof/>
          </w:rPr>
          <w:t>3</w:t>
        </w:r>
      </w:fldSimple>
      <w:r w:rsidR="00BA11D4">
        <w:rPr>
          <w:noProof/>
        </w:rPr>
        <w:t>.</w:t>
      </w:r>
      <w:r w:rsidRPr="00795F17">
        <w:tab/>
        <w:t xml:space="preserve">Typy </w:t>
      </w:r>
      <w:r w:rsidR="00DF005E">
        <w:t>JCWP</w:t>
      </w:r>
      <w:r w:rsidRPr="00795F17">
        <w:t xml:space="preserve"> RW na obszarze dorzecza Odry</w:t>
      </w:r>
      <w:bookmarkEnd w:id="61"/>
      <w:bookmarkEnd w:id="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3"/>
        <w:gridCol w:w="5808"/>
        <w:gridCol w:w="1521"/>
      </w:tblGrid>
      <w:tr w:rsidR="006F0E34" w:rsidRPr="00795F17" w14:paraId="30002F24" w14:textId="77777777" w:rsidTr="005842B5">
        <w:trPr>
          <w:trHeight w:val="454"/>
          <w:tblHeader/>
        </w:trPr>
        <w:tc>
          <w:tcPr>
            <w:tcW w:w="918" w:type="pct"/>
            <w:shd w:val="clear" w:color="auto" w:fill="BFBFBF" w:themeFill="background1" w:themeFillShade="BF"/>
            <w:noWrap/>
            <w:vAlign w:val="center"/>
            <w:hideMark/>
          </w:tcPr>
          <w:p w14:paraId="7E463ABE" w14:textId="6DF19885" w:rsidR="006F0E34" w:rsidRPr="00795F17" w:rsidRDefault="006F0E34" w:rsidP="0044393D">
            <w:pPr>
              <w:pStyle w:val="Teksttabelinaglowek"/>
            </w:pPr>
            <w:r w:rsidRPr="00795F17">
              <w:t xml:space="preserve">Kod typu </w:t>
            </w:r>
            <w:r w:rsidR="00DF005E">
              <w:t>JCWP</w:t>
            </w:r>
            <w:r w:rsidRPr="00795F17">
              <w:t xml:space="preserve"> RW</w:t>
            </w:r>
          </w:p>
        </w:tc>
        <w:tc>
          <w:tcPr>
            <w:tcW w:w="3224" w:type="pct"/>
            <w:shd w:val="clear" w:color="auto" w:fill="BFBFBF" w:themeFill="background1" w:themeFillShade="BF"/>
            <w:vAlign w:val="center"/>
            <w:hideMark/>
          </w:tcPr>
          <w:p w14:paraId="67488F58" w14:textId="77777777" w:rsidR="006F0E34" w:rsidRPr="00795F17" w:rsidRDefault="006F0E34" w:rsidP="0044393D">
            <w:pPr>
              <w:pStyle w:val="Teksttabelinaglowek"/>
            </w:pPr>
            <w:r w:rsidRPr="00795F17">
              <w:t>Nazwa typu</w:t>
            </w:r>
          </w:p>
        </w:tc>
        <w:tc>
          <w:tcPr>
            <w:tcW w:w="858" w:type="pct"/>
            <w:shd w:val="clear" w:color="auto" w:fill="BFBFBF" w:themeFill="background1" w:themeFillShade="BF"/>
            <w:vAlign w:val="center"/>
            <w:hideMark/>
          </w:tcPr>
          <w:p w14:paraId="65B01AC7" w14:textId="70763818" w:rsidR="006F0E34" w:rsidRPr="00795F17" w:rsidRDefault="006F0E34" w:rsidP="0044393D">
            <w:pPr>
              <w:pStyle w:val="Teksttabelinaglowek"/>
            </w:pPr>
            <w:r w:rsidRPr="00795F17">
              <w:t xml:space="preserve">Liczba </w:t>
            </w:r>
            <w:r w:rsidR="00DF005E">
              <w:t>JCWP</w:t>
            </w:r>
            <w:r w:rsidRPr="00795F17">
              <w:t xml:space="preserve"> danego typu</w:t>
            </w:r>
          </w:p>
        </w:tc>
      </w:tr>
      <w:tr w:rsidR="006F0E34" w:rsidRPr="00795F17" w14:paraId="426B8F38" w14:textId="77777777" w:rsidTr="005842B5">
        <w:trPr>
          <w:trHeight w:val="454"/>
        </w:trPr>
        <w:tc>
          <w:tcPr>
            <w:tcW w:w="918" w:type="pct"/>
            <w:shd w:val="clear" w:color="auto" w:fill="BFBFBF" w:themeFill="background1" w:themeFillShade="BF"/>
            <w:noWrap/>
            <w:vAlign w:val="center"/>
            <w:hideMark/>
          </w:tcPr>
          <w:p w14:paraId="121D52AB" w14:textId="77777777" w:rsidR="006F0E34" w:rsidRPr="00795F17" w:rsidRDefault="006F0E34" w:rsidP="0044393D">
            <w:pPr>
              <w:pStyle w:val="Teksttabelinaglowek"/>
              <w:rPr>
                <w:bCs/>
              </w:rPr>
            </w:pPr>
            <w:r w:rsidRPr="00795F17">
              <w:t>PGS</w:t>
            </w:r>
          </w:p>
        </w:tc>
        <w:tc>
          <w:tcPr>
            <w:tcW w:w="3224" w:type="pct"/>
            <w:shd w:val="clear" w:color="auto" w:fill="auto"/>
            <w:vAlign w:val="center"/>
            <w:hideMark/>
          </w:tcPr>
          <w:p w14:paraId="09F934C1" w14:textId="77777777" w:rsidR="006F0E34" w:rsidRPr="00795F17" w:rsidRDefault="006F0E34" w:rsidP="0044393D">
            <w:pPr>
              <w:pStyle w:val="Teksttabelilewy"/>
            </w:pPr>
            <w:r w:rsidRPr="00795F17">
              <w:t>potok sudecki</w:t>
            </w:r>
          </w:p>
        </w:tc>
        <w:tc>
          <w:tcPr>
            <w:tcW w:w="858" w:type="pct"/>
            <w:shd w:val="clear" w:color="auto" w:fill="auto"/>
            <w:noWrap/>
            <w:vAlign w:val="center"/>
            <w:hideMark/>
          </w:tcPr>
          <w:p w14:paraId="3869804B" w14:textId="77777777" w:rsidR="006F0E34" w:rsidRPr="00795F17" w:rsidRDefault="006F0E34" w:rsidP="0065243A">
            <w:pPr>
              <w:pStyle w:val="Teksttabelisrodek"/>
            </w:pPr>
            <w:r w:rsidRPr="00795F17">
              <w:t>8</w:t>
            </w:r>
          </w:p>
        </w:tc>
      </w:tr>
      <w:tr w:rsidR="006F0E34" w:rsidRPr="00795F17" w14:paraId="69BC2BE9" w14:textId="77777777" w:rsidTr="005842B5">
        <w:trPr>
          <w:trHeight w:val="454"/>
        </w:trPr>
        <w:tc>
          <w:tcPr>
            <w:tcW w:w="918" w:type="pct"/>
            <w:shd w:val="clear" w:color="auto" w:fill="BFBFBF" w:themeFill="background1" w:themeFillShade="BF"/>
            <w:noWrap/>
            <w:vAlign w:val="center"/>
            <w:hideMark/>
          </w:tcPr>
          <w:p w14:paraId="3362263F" w14:textId="77777777" w:rsidR="006F0E34" w:rsidRPr="00795F17" w:rsidRDefault="006F0E34" w:rsidP="0044393D">
            <w:pPr>
              <w:pStyle w:val="Teksttabelinaglowek"/>
              <w:rPr>
                <w:bCs/>
              </w:rPr>
            </w:pPr>
            <w:r w:rsidRPr="00795F17">
              <w:t>RW_krz</w:t>
            </w:r>
          </w:p>
        </w:tc>
        <w:tc>
          <w:tcPr>
            <w:tcW w:w="3224" w:type="pct"/>
            <w:shd w:val="clear" w:color="auto" w:fill="auto"/>
            <w:vAlign w:val="center"/>
            <w:hideMark/>
          </w:tcPr>
          <w:p w14:paraId="5761FCA0" w14:textId="77777777" w:rsidR="006F0E34" w:rsidRPr="00795F17" w:rsidRDefault="006F0E34" w:rsidP="0044393D">
            <w:pPr>
              <w:pStyle w:val="Teksttabelilewy"/>
            </w:pPr>
            <w:r w:rsidRPr="00795F17">
              <w:t xml:space="preserve">potok lub mała rzeka wyżynna na podłożu krzemianowym </w:t>
            </w:r>
          </w:p>
        </w:tc>
        <w:tc>
          <w:tcPr>
            <w:tcW w:w="858" w:type="pct"/>
            <w:shd w:val="clear" w:color="auto" w:fill="auto"/>
            <w:noWrap/>
            <w:vAlign w:val="center"/>
            <w:hideMark/>
          </w:tcPr>
          <w:p w14:paraId="652579BD" w14:textId="77777777" w:rsidR="006F0E34" w:rsidRPr="00795F17" w:rsidRDefault="006F0E34" w:rsidP="0065243A">
            <w:pPr>
              <w:pStyle w:val="Teksttabelisrodek"/>
            </w:pPr>
            <w:r w:rsidRPr="00795F17">
              <w:t>66</w:t>
            </w:r>
          </w:p>
        </w:tc>
      </w:tr>
      <w:tr w:rsidR="006F0E34" w:rsidRPr="00795F17" w14:paraId="2DBB187D" w14:textId="77777777" w:rsidTr="005842B5">
        <w:trPr>
          <w:trHeight w:val="454"/>
        </w:trPr>
        <w:tc>
          <w:tcPr>
            <w:tcW w:w="918" w:type="pct"/>
            <w:shd w:val="clear" w:color="auto" w:fill="BFBFBF" w:themeFill="background1" w:themeFillShade="BF"/>
            <w:noWrap/>
            <w:vAlign w:val="center"/>
            <w:hideMark/>
          </w:tcPr>
          <w:p w14:paraId="72ED8B31" w14:textId="597ABB5F" w:rsidR="006F0E34" w:rsidRPr="00795F17" w:rsidRDefault="006F0E34" w:rsidP="0044393D">
            <w:pPr>
              <w:pStyle w:val="Teksttabelinaglowek"/>
              <w:rPr>
                <w:bCs/>
              </w:rPr>
            </w:pPr>
            <w:r w:rsidRPr="00795F17">
              <w:t>RW_wap</w:t>
            </w:r>
          </w:p>
        </w:tc>
        <w:tc>
          <w:tcPr>
            <w:tcW w:w="3224" w:type="pct"/>
            <w:shd w:val="clear" w:color="auto" w:fill="auto"/>
            <w:vAlign w:val="center"/>
            <w:hideMark/>
          </w:tcPr>
          <w:p w14:paraId="1E01D92E" w14:textId="77777777" w:rsidR="006F0E34" w:rsidRPr="00795F17" w:rsidRDefault="006F0E34" w:rsidP="0044393D">
            <w:pPr>
              <w:pStyle w:val="Teksttabelilewy"/>
            </w:pPr>
            <w:r w:rsidRPr="00795F17">
              <w:t>potok lub mała rzeka wyżynna na podłożu węglanowym</w:t>
            </w:r>
          </w:p>
        </w:tc>
        <w:tc>
          <w:tcPr>
            <w:tcW w:w="858" w:type="pct"/>
            <w:shd w:val="clear" w:color="auto" w:fill="auto"/>
            <w:noWrap/>
            <w:vAlign w:val="center"/>
            <w:hideMark/>
          </w:tcPr>
          <w:p w14:paraId="47F56F49" w14:textId="77777777" w:rsidR="006F0E34" w:rsidRPr="00795F17" w:rsidRDefault="006F0E34" w:rsidP="0065243A">
            <w:pPr>
              <w:pStyle w:val="Teksttabelisrodek"/>
            </w:pPr>
            <w:r w:rsidRPr="00795F17">
              <w:t>48</w:t>
            </w:r>
          </w:p>
        </w:tc>
      </w:tr>
      <w:tr w:rsidR="006F0E34" w:rsidRPr="00795F17" w14:paraId="09909BD3" w14:textId="77777777" w:rsidTr="005842B5">
        <w:trPr>
          <w:trHeight w:val="454"/>
        </w:trPr>
        <w:tc>
          <w:tcPr>
            <w:tcW w:w="918" w:type="pct"/>
            <w:shd w:val="clear" w:color="auto" w:fill="BFBFBF" w:themeFill="background1" w:themeFillShade="BF"/>
            <w:noWrap/>
            <w:vAlign w:val="center"/>
            <w:hideMark/>
          </w:tcPr>
          <w:p w14:paraId="7DA74C7F" w14:textId="77777777" w:rsidR="006F0E34" w:rsidRPr="00795F17" w:rsidRDefault="006F0E34" w:rsidP="0044393D">
            <w:pPr>
              <w:pStyle w:val="Teksttabelinaglowek"/>
              <w:rPr>
                <w:bCs/>
              </w:rPr>
            </w:pPr>
            <w:r w:rsidRPr="00795F17">
              <w:t>RWf_krz</w:t>
            </w:r>
          </w:p>
        </w:tc>
        <w:tc>
          <w:tcPr>
            <w:tcW w:w="3224" w:type="pct"/>
            <w:shd w:val="clear" w:color="auto" w:fill="auto"/>
            <w:vAlign w:val="center"/>
            <w:hideMark/>
          </w:tcPr>
          <w:p w14:paraId="162EA338" w14:textId="77777777" w:rsidR="006F0E34" w:rsidRPr="00795F17" w:rsidRDefault="006F0E34" w:rsidP="0044393D">
            <w:pPr>
              <w:pStyle w:val="Teksttabelilewy"/>
            </w:pPr>
            <w:r w:rsidRPr="00795F17">
              <w:t>potok lub mała rzeka fliszowa o charakterze krzemianowym</w:t>
            </w:r>
          </w:p>
        </w:tc>
        <w:tc>
          <w:tcPr>
            <w:tcW w:w="858" w:type="pct"/>
            <w:shd w:val="clear" w:color="auto" w:fill="auto"/>
            <w:noWrap/>
            <w:vAlign w:val="center"/>
            <w:hideMark/>
          </w:tcPr>
          <w:p w14:paraId="16385138" w14:textId="77777777" w:rsidR="006F0E34" w:rsidRPr="00795F17" w:rsidRDefault="006F0E34" w:rsidP="0065243A">
            <w:pPr>
              <w:pStyle w:val="Teksttabelisrodek"/>
            </w:pPr>
            <w:r w:rsidRPr="00795F17">
              <w:t>2</w:t>
            </w:r>
          </w:p>
        </w:tc>
      </w:tr>
      <w:tr w:rsidR="006F0E34" w:rsidRPr="00795F17" w14:paraId="3AE38280" w14:textId="77777777" w:rsidTr="005842B5">
        <w:trPr>
          <w:trHeight w:val="454"/>
        </w:trPr>
        <w:tc>
          <w:tcPr>
            <w:tcW w:w="918" w:type="pct"/>
            <w:shd w:val="clear" w:color="auto" w:fill="BFBFBF" w:themeFill="background1" w:themeFillShade="BF"/>
            <w:noWrap/>
            <w:vAlign w:val="center"/>
            <w:hideMark/>
          </w:tcPr>
          <w:p w14:paraId="0BB6B643" w14:textId="77777777" w:rsidR="006F0E34" w:rsidRPr="00795F17" w:rsidRDefault="006F0E34" w:rsidP="0044393D">
            <w:pPr>
              <w:pStyle w:val="Teksttabelinaglowek"/>
              <w:rPr>
                <w:bCs/>
              </w:rPr>
            </w:pPr>
            <w:r w:rsidRPr="00795F17">
              <w:t>RWf_wap</w:t>
            </w:r>
          </w:p>
        </w:tc>
        <w:tc>
          <w:tcPr>
            <w:tcW w:w="3224" w:type="pct"/>
            <w:shd w:val="clear" w:color="auto" w:fill="auto"/>
            <w:vAlign w:val="center"/>
            <w:hideMark/>
          </w:tcPr>
          <w:p w14:paraId="7B7ADC30" w14:textId="7FDCBB54" w:rsidR="006F0E34" w:rsidRPr="00795F17" w:rsidRDefault="006F0E34" w:rsidP="0044393D">
            <w:pPr>
              <w:pStyle w:val="Teksttabelilewy"/>
            </w:pPr>
            <w:r w:rsidRPr="00795F17">
              <w:t>potok lub mała rzeka fliszowa o charakterze węglanowym</w:t>
            </w:r>
          </w:p>
        </w:tc>
        <w:tc>
          <w:tcPr>
            <w:tcW w:w="858" w:type="pct"/>
            <w:shd w:val="clear" w:color="auto" w:fill="auto"/>
            <w:noWrap/>
            <w:vAlign w:val="center"/>
            <w:hideMark/>
          </w:tcPr>
          <w:p w14:paraId="335E11F4" w14:textId="77777777" w:rsidR="006F0E34" w:rsidRPr="00795F17" w:rsidRDefault="006F0E34" w:rsidP="0065243A">
            <w:pPr>
              <w:pStyle w:val="Teksttabelisrodek"/>
            </w:pPr>
            <w:r w:rsidRPr="00795F17">
              <w:t>1</w:t>
            </w:r>
          </w:p>
        </w:tc>
      </w:tr>
      <w:tr w:rsidR="006F0E34" w:rsidRPr="00795F17" w14:paraId="3B09E7CC" w14:textId="77777777" w:rsidTr="005842B5">
        <w:trPr>
          <w:trHeight w:val="454"/>
        </w:trPr>
        <w:tc>
          <w:tcPr>
            <w:tcW w:w="918" w:type="pct"/>
            <w:shd w:val="clear" w:color="auto" w:fill="BFBFBF" w:themeFill="background1" w:themeFillShade="BF"/>
            <w:noWrap/>
            <w:vAlign w:val="center"/>
            <w:hideMark/>
          </w:tcPr>
          <w:p w14:paraId="45123F91" w14:textId="77777777" w:rsidR="006F0E34" w:rsidRPr="00795F17" w:rsidRDefault="006F0E34" w:rsidP="0044393D">
            <w:pPr>
              <w:pStyle w:val="Teksttabelinaglowek"/>
              <w:rPr>
                <w:bCs/>
              </w:rPr>
            </w:pPr>
            <w:r w:rsidRPr="00795F17">
              <w:t>RsW_krz</w:t>
            </w:r>
          </w:p>
        </w:tc>
        <w:tc>
          <w:tcPr>
            <w:tcW w:w="3224" w:type="pct"/>
            <w:shd w:val="clear" w:color="auto" w:fill="auto"/>
            <w:noWrap/>
            <w:vAlign w:val="center"/>
            <w:hideMark/>
          </w:tcPr>
          <w:p w14:paraId="681D7A0F" w14:textId="34202E1E" w:rsidR="006F0E34" w:rsidRPr="00795F17" w:rsidRDefault="00C53D54" w:rsidP="0044393D">
            <w:pPr>
              <w:pStyle w:val="Teksttabelilewy"/>
            </w:pPr>
            <w:r>
              <w:t xml:space="preserve">średnia rzeka na podłożu </w:t>
            </w:r>
            <w:r w:rsidR="006F0E34" w:rsidRPr="00795F17">
              <w:t>krzemianowym</w:t>
            </w:r>
          </w:p>
        </w:tc>
        <w:tc>
          <w:tcPr>
            <w:tcW w:w="858" w:type="pct"/>
            <w:shd w:val="clear" w:color="auto" w:fill="auto"/>
            <w:noWrap/>
            <w:vAlign w:val="center"/>
            <w:hideMark/>
          </w:tcPr>
          <w:p w14:paraId="4DE0903A" w14:textId="77777777" w:rsidR="006F0E34" w:rsidRPr="00795F17" w:rsidRDefault="006F0E34" w:rsidP="0065243A">
            <w:pPr>
              <w:pStyle w:val="Teksttabelisrodek"/>
            </w:pPr>
            <w:r w:rsidRPr="00795F17">
              <w:t>2</w:t>
            </w:r>
          </w:p>
        </w:tc>
      </w:tr>
      <w:tr w:rsidR="006F0E34" w:rsidRPr="00795F17" w14:paraId="68247963" w14:textId="77777777" w:rsidTr="005842B5">
        <w:trPr>
          <w:trHeight w:val="454"/>
        </w:trPr>
        <w:tc>
          <w:tcPr>
            <w:tcW w:w="918" w:type="pct"/>
            <w:shd w:val="clear" w:color="auto" w:fill="BFBFBF" w:themeFill="background1" w:themeFillShade="BF"/>
            <w:noWrap/>
            <w:vAlign w:val="center"/>
            <w:hideMark/>
          </w:tcPr>
          <w:p w14:paraId="060E5814" w14:textId="77777777" w:rsidR="006F0E34" w:rsidRPr="00795F17" w:rsidRDefault="006F0E34" w:rsidP="0044393D">
            <w:pPr>
              <w:pStyle w:val="Teksttabelinaglowek"/>
              <w:rPr>
                <w:bCs/>
              </w:rPr>
            </w:pPr>
            <w:r w:rsidRPr="00795F17">
              <w:t>PN</w:t>
            </w:r>
          </w:p>
        </w:tc>
        <w:tc>
          <w:tcPr>
            <w:tcW w:w="3224" w:type="pct"/>
            <w:shd w:val="clear" w:color="auto" w:fill="auto"/>
            <w:vAlign w:val="center"/>
            <w:hideMark/>
          </w:tcPr>
          <w:p w14:paraId="6F559802" w14:textId="77777777" w:rsidR="006F0E34" w:rsidRPr="00795F17" w:rsidRDefault="006F0E34" w:rsidP="0044393D">
            <w:pPr>
              <w:pStyle w:val="Teksttabelilewy"/>
            </w:pPr>
            <w:r w:rsidRPr="00795F17">
              <w:t>potok lub strumień nizinny</w:t>
            </w:r>
          </w:p>
        </w:tc>
        <w:tc>
          <w:tcPr>
            <w:tcW w:w="858" w:type="pct"/>
            <w:shd w:val="clear" w:color="auto" w:fill="auto"/>
            <w:noWrap/>
            <w:vAlign w:val="center"/>
            <w:hideMark/>
          </w:tcPr>
          <w:p w14:paraId="41B56D07" w14:textId="77777777" w:rsidR="006F0E34" w:rsidRPr="00795F17" w:rsidRDefault="006F0E34" w:rsidP="0065243A">
            <w:pPr>
              <w:pStyle w:val="Teksttabelisrodek"/>
            </w:pPr>
            <w:r w:rsidRPr="00795F17">
              <w:t>249</w:t>
            </w:r>
          </w:p>
        </w:tc>
      </w:tr>
      <w:tr w:rsidR="006F0E34" w:rsidRPr="00795F17" w14:paraId="105D6E30" w14:textId="77777777" w:rsidTr="005842B5">
        <w:trPr>
          <w:trHeight w:val="454"/>
        </w:trPr>
        <w:tc>
          <w:tcPr>
            <w:tcW w:w="918" w:type="pct"/>
            <w:shd w:val="clear" w:color="auto" w:fill="BFBFBF" w:themeFill="background1" w:themeFillShade="BF"/>
            <w:noWrap/>
            <w:vAlign w:val="center"/>
            <w:hideMark/>
          </w:tcPr>
          <w:p w14:paraId="5A51AE9E" w14:textId="77777777" w:rsidR="006F0E34" w:rsidRPr="00795F17" w:rsidRDefault="006F0E34" w:rsidP="0044393D">
            <w:pPr>
              <w:pStyle w:val="Teksttabelinaglowek"/>
              <w:rPr>
                <w:bCs/>
              </w:rPr>
            </w:pPr>
            <w:r w:rsidRPr="00795F17">
              <w:t>PNp</w:t>
            </w:r>
          </w:p>
        </w:tc>
        <w:tc>
          <w:tcPr>
            <w:tcW w:w="3224" w:type="pct"/>
            <w:shd w:val="clear" w:color="auto" w:fill="auto"/>
            <w:vAlign w:val="center"/>
            <w:hideMark/>
          </w:tcPr>
          <w:p w14:paraId="0AA4D392" w14:textId="77777777" w:rsidR="006F0E34" w:rsidRPr="00795F17" w:rsidRDefault="006F0E34" w:rsidP="0044393D">
            <w:pPr>
              <w:pStyle w:val="Teksttabelilewy"/>
            </w:pPr>
            <w:r w:rsidRPr="00795F17">
              <w:t xml:space="preserve">potok lub strumień nizinny piaszczysty </w:t>
            </w:r>
          </w:p>
        </w:tc>
        <w:tc>
          <w:tcPr>
            <w:tcW w:w="858" w:type="pct"/>
            <w:shd w:val="clear" w:color="auto" w:fill="auto"/>
            <w:noWrap/>
            <w:vAlign w:val="center"/>
            <w:hideMark/>
          </w:tcPr>
          <w:p w14:paraId="7055384A" w14:textId="77777777" w:rsidR="006F0E34" w:rsidRPr="00795F17" w:rsidRDefault="006F0E34" w:rsidP="0065243A">
            <w:pPr>
              <w:pStyle w:val="Teksttabelisrodek"/>
            </w:pPr>
            <w:r w:rsidRPr="00795F17">
              <w:t>516</w:t>
            </w:r>
          </w:p>
        </w:tc>
      </w:tr>
      <w:tr w:rsidR="006F0E34" w:rsidRPr="00795F17" w14:paraId="45D5D12D" w14:textId="77777777" w:rsidTr="005842B5">
        <w:trPr>
          <w:trHeight w:val="454"/>
        </w:trPr>
        <w:tc>
          <w:tcPr>
            <w:tcW w:w="918" w:type="pct"/>
            <w:shd w:val="clear" w:color="auto" w:fill="BFBFBF" w:themeFill="background1" w:themeFillShade="BF"/>
            <w:noWrap/>
            <w:vAlign w:val="center"/>
            <w:hideMark/>
          </w:tcPr>
          <w:p w14:paraId="6B58F24A" w14:textId="77777777" w:rsidR="006F0E34" w:rsidRPr="00795F17" w:rsidRDefault="006F0E34" w:rsidP="0044393D">
            <w:pPr>
              <w:pStyle w:val="Teksttabelinaglowek"/>
              <w:rPr>
                <w:bCs/>
              </w:rPr>
            </w:pPr>
            <w:r w:rsidRPr="00795F17">
              <w:t>RzN</w:t>
            </w:r>
          </w:p>
        </w:tc>
        <w:tc>
          <w:tcPr>
            <w:tcW w:w="3224" w:type="pct"/>
            <w:shd w:val="clear" w:color="auto" w:fill="auto"/>
            <w:vAlign w:val="center"/>
            <w:hideMark/>
          </w:tcPr>
          <w:p w14:paraId="4E53EC54" w14:textId="77777777" w:rsidR="006F0E34" w:rsidRPr="00795F17" w:rsidRDefault="006F0E34" w:rsidP="0044393D">
            <w:pPr>
              <w:pStyle w:val="Teksttabelilewy"/>
            </w:pPr>
            <w:r w:rsidRPr="00795F17">
              <w:t>rzeka nizinna</w:t>
            </w:r>
          </w:p>
        </w:tc>
        <w:tc>
          <w:tcPr>
            <w:tcW w:w="858" w:type="pct"/>
            <w:shd w:val="clear" w:color="auto" w:fill="auto"/>
            <w:noWrap/>
            <w:vAlign w:val="center"/>
            <w:hideMark/>
          </w:tcPr>
          <w:p w14:paraId="049E3EA4" w14:textId="77777777" w:rsidR="006F0E34" w:rsidRPr="00795F17" w:rsidRDefault="006F0E34" w:rsidP="0065243A">
            <w:pPr>
              <w:pStyle w:val="Teksttabelisrodek"/>
            </w:pPr>
            <w:r w:rsidRPr="00795F17">
              <w:t>155</w:t>
            </w:r>
          </w:p>
        </w:tc>
      </w:tr>
      <w:tr w:rsidR="006F0E34" w:rsidRPr="00795F17" w14:paraId="0EAF9E80" w14:textId="77777777" w:rsidTr="005842B5">
        <w:trPr>
          <w:trHeight w:val="454"/>
        </w:trPr>
        <w:tc>
          <w:tcPr>
            <w:tcW w:w="918" w:type="pct"/>
            <w:shd w:val="clear" w:color="auto" w:fill="BFBFBF" w:themeFill="background1" w:themeFillShade="BF"/>
            <w:noWrap/>
            <w:vAlign w:val="center"/>
            <w:hideMark/>
          </w:tcPr>
          <w:p w14:paraId="36C67CA5" w14:textId="77777777" w:rsidR="006F0E34" w:rsidRPr="00795F17" w:rsidRDefault="006F0E34" w:rsidP="0044393D">
            <w:pPr>
              <w:pStyle w:val="Teksttabelinaglowek"/>
              <w:rPr>
                <w:bCs/>
              </w:rPr>
            </w:pPr>
            <w:r w:rsidRPr="00795F17">
              <w:t>RwN</w:t>
            </w:r>
          </w:p>
        </w:tc>
        <w:tc>
          <w:tcPr>
            <w:tcW w:w="3224" w:type="pct"/>
            <w:shd w:val="clear" w:color="auto" w:fill="auto"/>
            <w:vAlign w:val="center"/>
            <w:hideMark/>
          </w:tcPr>
          <w:p w14:paraId="77A8A2D9" w14:textId="77777777" w:rsidR="006F0E34" w:rsidRPr="00795F17" w:rsidRDefault="006F0E34" w:rsidP="0044393D">
            <w:pPr>
              <w:pStyle w:val="Teksttabelilewy"/>
            </w:pPr>
            <w:r w:rsidRPr="00795F17">
              <w:t>wielka rzeka nizinna</w:t>
            </w:r>
          </w:p>
        </w:tc>
        <w:tc>
          <w:tcPr>
            <w:tcW w:w="858" w:type="pct"/>
            <w:shd w:val="clear" w:color="auto" w:fill="auto"/>
            <w:noWrap/>
            <w:vAlign w:val="center"/>
            <w:hideMark/>
          </w:tcPr>
          <w:p w14:paraId="1B7C6807" w14:textId="77777777" w:rsidR="006F0E34" w:rsidRPr="00795F17" w:rsidRDefault="006F0E34" w:rsidP="0065243A">
            <w:pPr>
              <w:pStyle w:val="Teksttabelisrodek"/>
            </w:pPr>
            <w:r w:rsidRPr="00795F17">
              <w:t>26</w:t>
            </w:r>
          </w:p>
        </w:tc>
      </w:tr>
      <w:tr w:rsidR="006F0E34" w:rsidRPr="00795F17" w14:paraId="7CF8D77A" w14:textId="77777777" w:rsidTr="005842B5">
        <w:trPr>
          <w:trHeight w:val="454"/>
        </w:trPr>
        <w:tc>
          <w:tcPr>
            <w:tcW w:w="918" w:type="pct"/>
            <w:shd w:val="clear" w:color="auto" w:fill="BFBFBF" w:themeFill="background1" w:themeFillShade="BF"/>
            <w:noWrap/>
            <w:vAlign w:val="center"/>
            <w:hideMark/>
          </w:tcPr>
          <w:p w14:paraId="026052B2" w14:textId="77777777" w:rsidR="006F0E34" w:rsidRPr="00795F17" w:rsidRDefault="006F0E34" w:rsidP="0044393D">
            <w:pPr>
              <w:pStyle w:val="Teksttabelinaglowek"/>
              <w:rPr>
                <w:bCs/>
              </w:rPr>
            </w:pPr>
            <w:r w:rsidRPr="00795F17">
              <w:t>PN_uj</w:t>
            </w:r>
          </w:p>
        </w:tc>
        <w:tc>
          <w:tcPr>
            <w:tcW w:w="3224" w:type="pct"/>
            <w:shd w:val="clear" w:color="auto" w:fill="auto"/>
            <w:vAlign w:val="center"/>
            <w:hideMark/>
          </w:tcPr>
          <w:p w14:paraId="44512100" w14:textId="77777777" w:rsidR="006F0E34" w:rsidRPr="00795F17" w:rsidRDefault="006F0E34" w:rsidP="0044393D">
            <w:pPr>
              <w:pStyle w:val="Teksttabelilewy"/>
            </w:pPr>
            <w:r w:rsidRPr="00795F17">
              <w:t>potok lub strumień przyujściowy pod wpływem wód słonych</w:t>
            </w:r>
          </w:p>
        </w:tc>
        <w:tc>
          <w:tcPr>
            <w:tcW w:w="858" w:type="pct"/>
            <w:shd w:val="clear" w:color="auto" w:fill="auto"/>
            <w:noWrap/>
            <w:vAlign w:val="center"/>
            <w:hideMark/>
          </w:tcPr>
          <w:p w14:paraId="776BC887" w14:textId="77777777" w:rsidR="006F0E34" w:rsidRPr="00795F17" w:rsidRDefault="006F0E34" w:rsidP="0065243A">
            <w:pPr>
              <w:pStyle w:val="Teksttabelisrodek"/>
            </w:pPr>
            <w:r w:rsidRPr="00795F17">
              <w:t>1</w:t>
            </w:r>
          </w:p>
        </w:tc>
      </w:tr>
      <w:tr w:rsidR="006F0E34" w:rsidRPr="00795F17" w14:paraId="1E92035E" w14:textId="77777777" w:rsidTr="005842B5">
        <w:trPr>
          <w:trHeight w:val="454"/>
        </w:trPr>
        <w:tc>
          <w:tcPr>
            <w:tcW w:w="918" w:type="pct"/>
            <w:shd w:val="clear" w:color="auto" w:fill="BFBFBF" w:themeFill="background1" w:themeFillShade="BF"/>
            <w:noWrap/>
            <w:vAlign w:val="center"/>
            <w:hideMark/>
          </w:tcPr>
          <w:p w14:paraId="716F6E03" w14:textId="77777777" w:rsidR="006F0E34" w:rsidRPr="00795F17" w:rsidRDefault="006F0E34" w:rsidP="0044393D">
            <w:pPr>
              <w:pStyle w:val="Teksttabelinaglowek"/>
              <w:rPr>
                <w:bCs/>
              </w:rPr>
            </w:pPr>
            <w:r w:rsidRPr="00795F17">
              <w:t>RzN_uj</w:t>
            </w:r>
          </w:p>
        </w:tc>
        <w:tc>
          <w:tcPr>
            <w:tcW w:w="3224" w:type="pct"/>
            <w:shd w:val="clear" w:color="auto" w:fill="auto"/>
            <w:vAlign w:val="center"/>
            <w:hideMark/>
          </w:tcPr>
          <w:p w14:paraId="5ADC4B52" w14:textId="77777777" w:rsidR="006F0E34" w:rsidRPr="00795F17" w:rsidRDefault="006F0E34" w:rsidP="0044393D">
            <w:pPr>
              <w:pStyle w:val="Teksttabelilewy"/>
            </w:pPr>
            <w:r w:rsidRPr="00795F17">
              <w:t>rzeka przyujściowa pod wpływem wód słonych</w:t>
            </w:r>
          </w:p>
        </w:tc>
        <w:tc>
          <w:tcPr>
            <w:tcW w:w="858" w:type="pct"/>
            <w:shd w:val="clear" w:color="auto" w:fill="auto"/>
            <w:noWrap/>
            <w:vAlign w:val="center"/>
            <w:hideMark/>
          </w:tcPr>
          <w:p w14:paraId="504267B9" w14:textId="77777777" w:rsidR="006F0E34" w:rsidRPr="00795F17" w:rsidRDefault="006F0E34" w:rsidP="0065243A">
            <w:pPr>
              <w:pStyle w:val="Teksttabelisrodek"/>
            </w:pPr>
            <w:r w:rsidRPr="00795F17">
              <w:t>9</w:t>
            </w:r>
          </w:p>
        </w:tc>
      </w:tr>
      <w:tr w:rsidR="006F0E34" w:rsidRPr="00795F17" w14:paraId="10D745C6" w14:textId="77777777" w:rsidTr="005842B5">
        <w:trPr>
          <w:trHeight w:val="454"/>
        </w:trPr>
        <w:tc>
          <w:tcPr>
            <w:tcW w:w="918" w:type="pct"/>
            <w:shd w:val="clear" w:color="auto" w:fill="BFBFBF" w:themeFill="background1" w:themeFillShade="BF"/>
            <w:noWrap/>
            <w:vAlign w:val="center"/>
            <w:hideMark/>
          </w:tcPr>
          <w:p w14:paraId="6297FAD9" w14:textId="77777777" w:rsidR="006F0E34" w:rsidRPr="00795F17" w:rsidRDefault="006F0E34" w:rsidP="0044393D">
            <w:pPr>
              <w:pStyle w:val="Teksttabelinaglowek"/>
              <w:rPr>
                <w:bCs/>
              </w:rPr>
            </w:pPr>
            <w:r w:rsidRPr="00795F17">
              <w:t>P_org</w:t>
            </w:r>
          </w:p>
        </w:tc>
        <w:tc>
          <w:tcPr>
            <w:tcW w:w="3224" w:type="pct"/>
            <w:shd w:val="clear" w:color="auto" w:fill="auto"/>
            <w:vAlign w:val="center"/>
            <w:hideMark/>
          </w:tcPr>
          <w:p w14:paraId="7B7F3E88" w14:textId="77777777" w:rsidR="006F0E34" w:rsidRPr="00795F17" w:rsidRDefault="006F0E34" w:rsidP="0044393D">
            <w:pPr>
              <w:pStyle w:val="Teksttabelilewy"/>
            </w:pPr>
            <w:r w:rsidRPr="00795F17">
              <w:t xml:space="preserve">potok lub struga w dolinie o dużym udziale torfowisk </w:t>
            </w:r>
          </w:p>
        </w:tc>
        <w:tc>
          <w:tcPr>
            <w:tcW w:w="858" w:type="pct"/>
            <w:shd w:val="clear" w:color="auto" w:fill="auto"/>
            <w:noWrap/>
            <w:vAlign w:val="center"/>
            <w:hideMark/>
          </w:tcPr>
          <w:p w14:paraId="5B8ED03B" w14:textId="77777777" w:rsidR="006F0E34" w:rsidRPr="00795F17" w:rsidRDefault="006F0E34" w:rsidP="0065243A">
            <w:pPr>
              <w:pStyle w:val="Teksttabelisrodek"/>
            </w:pPr>
            <w:r w:rsidRPr="00795F17">
              <w:t>91</w:t>
            </w:r>
          </w:p>
        </w:tc>
      </w:tr>
      <w:tr w:rsidR="006F0E34" w:rsidRPr="00795F17" w14:paraId="64C63CFC" w14:textId="77777777" w:rsidTr="005842B5">
        <w:trPr>
          <w:trHeight w:val="454"/>
        </w:trPr>
        <w:tc>
          <w:tcPr>
            <w:tcW w:w="918" w:type="pct"/>
            <w:shd w:val="clear" w:color="auto" w:fill="BFBFBF" w:themeFill="background1" w:themeFillShade="BF"/>
            <w:noWrap/>
            <w:vAlign w:val="center"/>
            <w:hideMark/>
          </w:tcPr>
          <w:p w14:paraId="2D9C6458" w14:textId="77777777" w:rsidR="006F0E34" w:rsidRPr="00795F17" w:rsidRDefault="006F0E34" w:rsidP="0044393D">
            <w:pPr>
              <w:pStyle w:val="Teksttabelinaglowek"/>
              <w:rPr>
                <w:bCs/>
              </w:rPr>
            </w:pPr>
            <w:r w:rsidRPr="00795F17">
              <w:t>Rz_org</w:t>
            </w:r>
          </w:p>
        </w:tc>
        <w:tc>
          <w:tcPr>
            <w:tcW w:w="3224" w:type="pct"/>
            <w:shd w:val="clear" w:color="auto" w:fill="auto"/>
            <w:vAlign w:val="center"/>
            <w:hideMark/>
          </w:tcPr>
          <w:p w14:paraId="63C24C46" w14:textId="77777777" w:rsidR="006F0E34" w:rsidRPr="00795F17" w:rsidRDefault="006F0E34" w:rsidP="0044393D">
            <w:pPr>
              <w:pStyle w:val="Teksttabelilewy"/>
            </w:pPr>
            <w:r w:rsidRPr="00795F17">
              <w:t>rzeka w dolinie o dużym udziale torfowisk</w:t>
            </w:r>
          </w:p>
        </w:tc>
        <w:tc>
          <w:tcPr>
            <w:tcW w:w="858" w:type="pct"/>
            <w:shd w:val="clear" w:color="auto" w:fill="auto"/>
            <w:noWrap/>
            <w:vAlign w:val="center"/>
            <w:hideMark/>
          </w:tcPr>
          <w:p w14:paraId="2FF4FE22" w14:textId="77777777" w:rsidR="006F0E34" w:rsidRPr="00795F17" w:rsidRDefault="006F0E34" w:rsidP="0065243A">
            <w:pPr>
              <w:pStyle w:val="Teksttabelisrodek"/>
            </w:pPr>
            <w:r w:rsidRPr="00795F17">
              <w:t>42</w:t>
            </w:r>
          </w:p>
        </w:tc>
      </w:tr>
      <w:tr w:rsidR="006F0E34" w:rsidRPr="00795F17" w14:paraId="0599BD52" w14:textId="77777777" w:rsidTr="005842B5">
        <w:trPr>
          <w:trHeight w:val="454"/>
        </w:trPr>
        <w:tc>
          <w:tcPr>
            <w:tcW w:w="918" w:type="pct"/>
            <w:shd w:val="clear" w:color="auto" w:fill="BFBFBF" w:themeFill="background1" w:themeFillShade="BF"/>
            <w:noWrap/>
            <w:vAlign w:val="center"/>
            <w:hideMark/>
          </w:tcPr>
          <w:p w14:paraId="241E7933" w14:textId="77777777" w:rsidR="006F0E34" w:rsidRPr="00795F17" w:rsidRDefault="006F0E34" w:rsidP="0044393D">
            <w:pPr>
              <w:pStyle w:val="Teksttabelinaglowek"/>
              <w:rPr>
                <w:bCs/>
              </w:rPr>
            </w:pPr>
            <w:r w:rsidRPr="00795F17">
              <w:t>P_poj</w:t>
            </w:r>
          </w:p>
        </w:tc>
        <w:tc>
          <w:tcPr>
            <w:tcW w:w="3224" w:type="pct"/>
            <w:shd w:val="clear" w:color="auto" w:fill="auto"/>
            <w:vAlign w:val="center"/>
            <w:hideMark/>
          </w:tcPr>
          <w:p w14:paraId="401C5159" w14:textId="77777777" w:rsidR="006F0E34" w:rsidRPr="00795F17" w:rsidRDefault="006F0E34" w:rsidP="0044393D">
            <w:pPr>
              <w:pStyle w:val="Teksttabelilewy"/>
            </w:pPr>
            <w:r w:rsidRPr="00795F17">
              <w:t>potok w systemie rzeczno-jeziorowym pojezierzy</w:t>
            </w:r>
          </w:p>
        </w:tc>
        <w:tc>
          <w:tcPr>
            <w:tcW w:w="858" w:type="pct"/>
            <w:shd w:val="clear" w:color="auto" w:fill="auto"/>
            <w:noWrap/>
            <w:vAlign w:val="center"/>
            <w:hideMark/>
          </w:tcPr>
          <w:p w14:paraId="1969A989" w14:textId="77777777" w:rsidR="006F0E34" w:rsidRPr="00795F17" w:rsidRDefault="006F0E34" w:rsidP="0065243A">
            <w:pPr>
              <w:pStyle w:val="Teksttabelisrodek"/>
            </w:pPr>
            <w:r w:rsidRPr="00795F17">
              <w:t>3</w:t>
            </w:r>
          </w:p>
        </w:tc>
      </w:tr>
      <w:tr w:rsidR="006F0E34" w:rsidRPr="00795F17" w14:paraId="1D62C62D" w14:textId="77777777" w:rsidTr="005842B5">
        <w:trPr>
          <w:trHeight w:val="454"/>
        </w:trPr>
        <w:tc>
          <w:tcPr>
            <w:tcW w:w="918" w:type="pct"/>
            <w:shd w:val="clear" w:color="auto" w:fill="BFBFBF" w:themeFill="background1" w:themeFillShade="BF"/>
            <w:noWrap/>
            <w:vAlign w:val="center"/>
            <w:hideMark/>
          </w:tcPr>
          <w:p w14:paraId="7600B061" w14:textId="77777777" w:rsidR="006F0E34" w:rsidRPr="00795F17" w:rsidRDefault="006F0E34" w:rsidP="0044393D">
            <w:pPr>
              <w:pStyle w:val="Teksttabelinaglowek"/>
              <w:rPr>
                <w:bCs/>
              </w:rPr>
            </w:pPr>
            <w:r w:rsidRPr="00795F17">
              <w:t>Pl_poj</w:t>
            </w:r>
          </w:p>
        </w:tc>
        <w:tc>
          <w:tcPr>
            <w:tcW w:w="3224" w:type="pct"/>
            <w:shd w:val="clear" w:color="auto" w:fill="auto"/>
            <w:vAlign w:val="center"/>
            <w:hideMark/>
          </w:tcPr>
          <w:p w14:paraId="137B5EEB" w14:textId="77777777" w:rsidR="006F0E34" w:rsidRPr="00795F17" w:rsidRDefault="006F0E34" w:rsidP="0044393D">
            <w:pPr>
              <w:pStyle w:val="Teksttabelilewy"/>
            </w:pPr>
            <w:r w:rsidRPr="00795F17">
              <w:t>potok w systemie rzeczno-jeziorowym pojezierzy, łososiowy</w:t>
            </w:r>
          </w:p>
        </w:tc>
        <w:tc>
          <w:tcPr>
            <w:tcW w:w="858" w:type="pct"/>
            <w:shd w:val="clear" w:color="auto" w:fill="auto"/>
            <w:noWrap/>
            <w:vAlign w:val="center"/>
            <w:hideMark/>
          </w:tcPr>
          <w:p w14:paraId="7EF52393" w14:textId="77777777" w:rsidR="006F0E34" w:rsidRPr="00795F17" w:rsidRDefault="006F0E34" w:rsidP="0065243A">
            <w:pPr>
              <w:pStyle w:val="Teksttabelisrodek"/>
            </w:pPr>
            <w:r w:rsidRPr="00795F17">
              <w:t>6</w:t>
            </w:r>
          </w:p>
        </w:tc>
      </w:tr>
      <w:tr w:rsidR="006F0E34" w:rsidRPr="00795F17" w14:paraId="1EFD0041" w14:textId="77777777" w:rsidTr="005842B5">
        <w:trPr>
          <w:trHeight w:val="454"/>
        </w:trPr>
        <w:tc>
          <w:tcPr>
            <w:tcW w:w="918" w:type="pct"/>
            <w:shd w:val="clear" w:color="auto" w:fill="BFBFBF" w:themeFill="background1" w:themeFillShade="BF"/>
            <w:noWrap/>
            <w:vAlign w:val="center"/>
            <w:hideMark/>
          </w:tcPr>
          <w:p w14:paraId="715964EA" w14:textId="77777777" w:rsidR="006F0E34" w:rsidRPr="00795F17" w:rsidRDefault="006F0E34" w:rsidP="0044393D">
            <w:pPr>
              <w:pStyle w:val="Teksttabelinaglowek"/>
              <w:rPr>
                <w:bCs/>
              </w:rPr>
            </w:pPr>
            <w:r w:rsidRPr="00795F17">
              <w:t>R_poj</w:t>
            </w:r>
          </w:p>
        </w:tc>
        <w:tc>
          <w:tcPr>
            <w:tcW w:w="3224" w:type="pct"/>
            <w:shd w:val="clear" w:color="auto" w:fill="auto"/>
            <w:vAlign w:val="center"/>
            <w:hideMark/>
          </w:tcPr>
          <w:p w14:paraId="0D816A89" w14:textId="77777777" w:rsidR="006F0E34" w:rsidRPr="00795F17" w:rsidRDefault="006F0E34" w:rsidP="0044393D">
            <w:pPr>
              <w:pStyle w:val="Teksttabelilewy"/>
            </w:pPr>
            <w:r w:rsidRPr="00795F17">
              <w:t>rzeka w systemie rzeczno-jeziorowym pojezierzy</w:t>
            </w:r>
          </w:p>
        </w:tc>
        <w:tc>
          <w:tcPr>
            <w:tcW w:w="858" w:type="pct"/>
            <w:shd w:val="clear" w:color="auto" w:fill="auto"/>
            <w:noWrap/>
            <w:vAlign w:val="center"/>
            <w:hideMark/>
          </w:tcPr>
          <w:p w14:paraId="38E0B142" w14:textId="77777777" w:rsidR="006F0E34" w:rsidRPr="00795F17" w:rsidRDefault="006F0E34" w:rsidP="0065243A">
            <w:pPr>
              <w:pStyle w:val="Teksttabelisrodek"/>
            </w:pPr>
            <w:r w:rsidRPr="00795F17">
              <w:t>39</w:t>
            </w:r>
          </w:p>
        </w:tc>
      </w:tr>
      <w:tr w:rsidR="006F0E34" w:rsidRPr="00795F17" w14:paraId="704D9B4C" w14:textId="77777777" w:rsidTr="005842B5">
        <w:trPr>
          <w:trHeight w:val="454"/>
        </w:trPr>
        <w:tc>
          <w:tcPr>
            <w:tcW w:w="918" w:type="pct"/>
            <w:shd w:val="clear" w:color="auto" w:fill="BFBFBF" w:themeFill="background1" w:themeFillShade="BF"/>
            <w:noWrap/>
            <w:vAlign w:val="center"/>
            <w:hideMark/>
          </w:tcPr>
          <w:p w14:paraId="6AFF77D5" w14:textId="77777777" w:rsidR="006F0E34" w:rsidRPr="00795F17" w:rsidRDefault="006F0E34" w:rsidP="0044393D">
            <w:pPr>
              <w:pStyle w:val="Teksttabelinaglowek"/>
              <w:rPr>
                <w:bCs/>
              </w:rPr>
            </w:pPr>
            <w:r w:rsidRPr="00795F17">
              <w:t>Rl_poj</w:t>
            </w:r>
          </w:p>
        </w:tc>
        <w:tc>
          <w:tcPr>
            <w:tcW w:w="3224" w:type="pct"/>
            <w:shd w:val="clear" w:color="auto" w:fill="auto"/>
            <w:vAlign w:val="center"/>
            <w:hideMark/>
          </w:tcPr>
          <w:p w14:paraId="65A50563" w14:textId="77777777" w:rsidR="006F0E34" w:rsidRPr="00795F17" w:rsidRDefault="006F0E34" w:rsidP="0044393D">
            <w:pPr>
              <w:pStyle w:val="Teksttabelilewy"/>
            </w:pPr>
            <w:r w:rsidRPr="00795F17">
              <w:t>rzeka w systemie rzeczno-jeziorowym pojezierzy, łososiowa</w:t>
            </w:r>
          </w:p>
        </w:tc>
        <w:tc>
          <w:tcPr>
            <w:tcW w:w="858" w:type="pct"/>
            <w:shd w:val="clear" w:color="auto" w:fill="auto"/>
            <w:noWrap/>
            <w:vAlign w:val="center"/>
            <w:hideMark/>
          </w:tcPr>
          <w:p w14:paraId="06CC8D19" w14:textId="77777777" w:rsidR="006F0E34" w:rsidRPr="00795F17" w:rsidRDefault="006F0E34" w:rsidP="0065243A">
            <w:pPr>
              <w:pStyle w:val="Teksttabelisrodek"/>
            </w:pPr>
            <w:r w:rsidRPr="00795F17">
              <w:t>4</w:t>
            </w:r>
          </w:p>
        </w:tc>
      </w:tr>
      <w:tr w:rsidR="006F0E34" w:rsidRPr="00795F17" w14:paraId="04E93158" w14:textId="77777777" w:rsidTr="005842B5">
        <w:trPr>
          <w:trHeight w:val="454"/>
        </w:trPr>
        <w:tc>
          <w:tcPr>
            <w:tcW w:w="4142" w:type="pct"/>
            <w:gridSpan w:val="2"/>
            <w:shd w:val="clear" w:color="auto" w:fill="BFBFBF" w:themeFill="background1" w:themeFillShade="BF"/>
            <w:noWrap/>
            <w:vAlign w:val="center"/>
            <w:hideMark/>
          </w:tcPr>
          <w:p w14:paraId="6C4B9AAF" w14:textId="014EF1AA" w:rsidR="006F0E34" w:rsidRPr="00795F17" w:rsidRDefault="006F0E34" w:rsidP="004807CD">
            <w:pPr>
              <w:pStyle w:val="Teksttabelinaglowek"/>
              <w:jc w:val="left"/>
              <w:rPr>
                <w:color w:val="000000"/>
              </w:rPr>
            </w:pPr>
            <w:r w:rsidRPr="00795F17">
              <w:t>Typu nie określa się</w:t>
            </w:r>
          </w:p>
        </w:tc>
        <w:tc>
          <w:tcPr>
            <w:tcW w:w="858" w:type="pct"/>
            <w:shd w:val="clear" w:color="auto" w:fill="auto"/>
            <w:noWrap/>
            <w:vAlign w:val="center"/>
            <w:hideMark/>
          </w:tcPr>
          <w:p w14:paraId="2B7A10F4" w14:textId="77777777" w:rsidR="006F0E34" w:rsidRPr="00795F17" w:rsidRDefault="006F0E34" w:rsidP="0065243A">
            <w:pPr>
              <w:pStyle w:val="Teksttabelisrodek"/>
            </w:pPr>
            <w:r w:rsidRPr="00795F17">
              <w:t>4</w:t>
            </w:r>
          </w:p>
        </w:tc>
      </w:tr>
    </w:tbl>
    <w:p w14:paraId="0116A223" w14:textId="4D9FD490" w:rsidR="006F0E34" w:rsidRPr="00795F17" w:rsidRDefault="006F0E34" w:rsidP="00D12CC4">
      <w:pPr>
        <w:pStyle w:val="rdo"/>
        <w:spacing w:before="0" w:after="0"/>
        <w:rPr>
          <w:lang w:eastAsia="zh-CN"/>
        </w:rPr>
      </w:pPr>
      <w:r w:rsidRPr="00795F17">
        <w:rPr>
          <w:lang w:eastAsia="zh-CN"/>
        </w:rPr>
        <w:t xml:space="preserve">Źródło: </w:t>
      </w:r>
      <w:r w:rsidR="00FD7248" w:rsidRPr="00795F17">
        <w:rPr>
          <w:lang w:eastAsia="zh-CN"/>
        </w:rPr>
        <w:t>opracowanie własne</w:t>
      </w:r>
    </w:p>
    <w:p w14:paraId="59B7EABF" w14:textId="4D4BE258" w:rsidR="003E2D19" w:rsidRPr="00795F17" w:rsidRDefault="00D114D4" w:rsidP="005842B5">
      <w:pPr>
        <w:jc w:val="center"/>
      </w:pPr>
      <w:r w:rsidRPr="00795F17">
        <w:rPr>
          <w:noProof/>
          <w:lang w:eastAsia="pl-PL"/>
        </w:rPr>
        <w:drawing>
          <wp:inline distT="0" distB="0" distL="0" distR="0" wp14:anchorId="22FFB2B6" wp14:editId="6E498C4E">
            <wp:extent cx="5039995" cy="3603812"/>
            <wp:effectExtent l="0" t="0" r="8255" b="15875"/>
            <wp:docPr id="39" name="Wykres 39">
              <a:extLst xmlns:a="http://schemas.openxmlformats.org/drawingml/2006/main">
                <a:ext uri="{FF2B5EF4-FFF2-40B4-BE49-F238E27FC236}">
                  <a16:creationId xmlns:a16="http://schemas.microsoft.com/office/drawing/2014/main" id="{B5230080-57D0-4A51-B554-0AD2F6821E26}"/>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C56CFC9" w14:textId="0ACDBB9D" w:rsidR="006F0E34" w:rsidRPr="00795F17" w:rsidRDefault="003E2D19" w:rsidP="00D12CC4">
      <w:pPr>
        <w:pStyle w:val="Wykres"/>
        <w:spacing w:before="0" w:after="0"/>
      </w:pPr>
      <w:bookmarkStart w:id="63" w:name="_Toc66272990"/>
      <w:bookmarkStart w:id="64" w:name="_Toc105512949"/>
      <w:r w:rsidRPr="00795F17">
        <w:t xml:space="preserve">Wykres </w:t>
      </w:r>
      <w:fldSimple w:instr=" STYLEREF 1 \s ">
        <w:r w:rsidR="001F774D">
          <w:rPr>
            <w:noProof/>
          </w:rPr>
          <w:t>3</w:t>
        </w:r>
      </w:fldSimple>
      <w:r w:rsidR="00FF20D3">
        <w:noBreakHyphen/>
      </w:r>
      <w:fldSimple w:instr=" SEQ Wykres \* ARABIC \s 1 ">
        <w:r w:rsidR="001F774D">
          <w:rPr>
            <w:noProof/>
          </w:rPr>
          <w:t>12</w:t>
        </w:r>
      </w:fldSimple>
      <w:r w:rsidR="00D40C59">
        <w:rPr>
          <w:noProof/>
        </w:rPr>
        <w:t>.</w:t>
      </w:r>
      <w:r w:rsidRPr="00795F17">
        <w:tab/>
        <w:t xml:space="preserve">Udział </w:t>
      </w:r>
      <w:r w:rsidR="00DF005E">
        <w:t>JCWP</w:t>
      </w:r>
      <w:r w:rsidRPr="00795F17">
        <w:t xml:space="preserve"> RW danego typu w ogólnej liczbie </w:t>
      </w:r>
      <w:r w:rsidR="00DF005E">
        <w:t>JCWP</w:t>
      </w:r>
      <w:r w:rsidRPr="00795F17">
        <w:t xml:space="preserve"> RW obszaru dorzecza Odry</w:t>
      </w:r>
      <w:bookmarkEnd w:id="63"/>
      <w:bookmarkEnd w:id="64"/>
    </w:p>
    <w:p w14:paraId="657DF28F" w14:textId="30041E30" w:rsidR="006F0E34" w:rsidRPr="00795F17" w:rsidRDefault="006F0E34" w:rsidP="00D12CC4">
      <w:pPr>
        <w:pStyle w:val="rdo"/>
        <w:spacing w:before="0" w:after="0"/>
        <w:rPr>
          <w:lang w:eastAsia="zh-CN"/>
        </w:rPr>
      </w:pPr>
      <w:r w:rsidRPr="00795F17">
        <w:rPr>
          <w:lang w:eastAsia="zh-CN"/>
        </w:rPr>
        <w:t xml:space="preserve">Źródło: </w:t>
      </w:r>
      <w:r w:rsidR="00FD7248" w:rsidRPr="00795F17">
        <w:rPr>
          <w:lang w:eastAsia="zh-CN"/>
        </w:rPr>
        <w:t>opracowanie własne</w:t>
      </w:r>
    </w:p>
    <w:p w14:paraId="08B8984B" w14:textId="640F2D9D" w:rsidR="005C7311" w:rsidRPr="00795F17" w:rsidRDefault="00DF005E" w:rsidP="0044393D">
      <w:pPr>
        <w:pStyle w:val="Nagwek5"/>
      </w:pPr>
      <w:r>
        <w:t>JCWP</w:t>
      </w:r>
      <w:r w:rsidR="005C7311" w:rsidRPr="00795F17">
        <w:t xml:space="preserve"> RWr</w:t>
      </w:r>
    </w:p>
    <w:p w14:paraId="4C831A74" w14:textId="376EF987" w:rsidR="005C7311" w:rsidRPr="00795F17" w:rsidRDefault="005C7311" w:rsidP="0044393D">
      <w:r w:rsidRPr="00795F17">
        <w:t xml:space="preserve">W przypadku </w:t>
      </w:r>
      <w:r w:rsidR="00DF005E">
        <w:t>JCWP</w:t>
      </w:r>
      <w:r w:rsidRPr="00795F17">
        <w:t xml:space="preserve"> RWr typ nie jest określany.</w:t>
      </w:r>
    </w:p>
    <w:p w14:paraId="449EC24B" w14:textId="180ACCD5" w:rsidR="005C7311" w:rsidRPr="00795F17" w:rsidRDefault="00DF005E" w:rsidP="0044393D">
      <w:pPr>
        <w:pStyle w:val="Nagwek5"/>
      </w:pPr>
      <w:r>
        <w:t>JCWP</w:t>
      </w:r>
      <w:r w:rsidR="005C7311" w:rsidRPr="00795F17">
        <w:t xml:space="preserve"> LW</w:t>
      </w:r>
    </w:p>
    <w:p w14:paraId="72C88DF8" w14:textId="7CD26245" w:rsidR="003E2D19" w:rsidRPr="00795F17" w:rsidRDefault="003E2D19" w:rsidP="004D7705">
      <w:pPr>
        <w:pStyle w:val="Tabela"/>
      </w:pPr>
      <w:bookmarkStart w:id="65" w:name="_Toc66341846"/>
      <w:bookmarkStart w:id="66" w:name="_Toc105512754"/>
      <w:r w:rsidRPr="00795F17">
        <w:t xml:space="preserve">Tabela </w:t>
      </w:r>
      <w:fldSimple w:instr=" STYLEREF 1 \s ">
        <w:r w:rsidR="001F774D">
          <w:rPr>
            <w:noProof/>
          </w:rPr>
          <w:t>3</w:t>
        </w:r>
      </w:fldSimple>
      <w:r w:rsidR="00BB3B21" w:rsidRPr="00795F17">
        <w:noBreakHyphen/>
      </w:r>
      <w:fldSimple w:instr=" SEQ Tabela \* ARABIC \s 1 ">
        <w:r w:rsidR="001F774D">
          <w:rPr>
            <w:noProof/>
          </w:rPr>
          <w:t>4</w:t>
        </w:r>
      </w:fldSimple>
      <w:r w:rsidR="00BA11D4">
        <w:rPr>
          <w:noProof/>
        </w:rPr>
        <w:t>.</w:t>
      </w:r>
      <w:r w:rsidRPr="00795F17">
        <w:tab/>
        <w:t xml:space="preserve">Typy </w:t>
      </w:r>
      <w:r w:rsidR="00DF005E">
        <w:t>JCWP</w:t>
      </w:r>
      <w:r w:rsidRPr="00795F17">
        <w:t xml:space="preserve"> LW na obszarze dorzecza Odry</w:t>
      </w:r>
      <w:bookmarkEnd w:id="65"/>
      <w:bookmarkEnd w:id="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0"/>
        <w:gridCol w:w="5963"/>
        <w:gridCol w:w="1379"/>
      </w:tblGrid>
      <w:tr w:rsidR="006F0E34" w:rsidRPr="00795F17" w14:paraId="49C5752B" w14:textId="77777777" w:rsidTr="00185DD0">
        <w:trPr>
          <w:trHeight w:val="454"/>
          <w:tblHeader/>
        </w:trPr>
        <w:tc>
          <w:tcPr>
            <w:tcW w:w="949" w:type="pct"/>
            <w:shd w:val="clear" w:color="auto" w:fill="BFBFBF" w:themeFill="background1" w:themeFillShade="BF"/>
            <w:noWrap/>
            <w:vAlign w:val="center"/>
            <w:hideMark/>
          </w:tcPr>
          <w:p w14:paraId="5DC174E6" w14:textId="18265FC2" w:rsidR="006F0E34" w:rsidRPr="00795F17" w:rsidRDefault="006F0E34" w:rsidP="0044393D">
            <w:pPr>
              <w:pStyle w:val="Teksttabelinaglowek"/>
            </w:pPr>
            <w:r w:rsidRPr="00795F17">
              <w:t xml:space="preserve">Kod typu </w:t>
            </w:r>
            <w:r w:rsidR="00DF005E">
              <w:t>JCWP</w:t>
            </w:r>
            <w:r w:rsidRPr="00795F17">
              <w:t xml:space="preserve"> LW</w:t>
            </w:r>
          </w:p>
        </w:tc>
        <w:tc>
          <w:tcPr>
            <w:tcW w:w="3290" w:type="pct"/>
            <w:shd w:val="clear" w:color="auto" w:fill="BFBFBF" w:themeFill="background1" w:themeFillShade="BF"/>
            <w:vAlign w:val="center"/>
            <w:hideMark/>
          </w:tcPr>
          <w:p w14:paraId="61AE87E6" w14:textId="77777777" w:rsidR="006F0E34" w:rsidRPr="00795F17" w:rsidRDefault="006F0E34" w:rsidP="0044393D">
            <w:pPr>
              <w:pStyle w:val="Teksttabelinaglowek"/>
            </w:pPr>
            <w:r w:rsidRPr="00795F17">
              <w:t>Nazwa typu</w:t>
            </w:r>
          </w:p>
        </w:tc>
        <w:tc>
          <w:tcPr>
            <w:tcW w:w="761" w:type="pct"/>
            <w:shd w:val="clear" w:color="auto" w:fill="BFBFBF" w:themeFill="background1" w:themeFillShade="BF"/>
            <w:vAlign w:val="center"/>
            <w:hideMark/>
          </w:tcPr>
          <w:p w14:paraId="7FA0756B" w14:textId="574A1109" w:rsidR="006F0E34" w:rsidRPr="00795F17" w:rsidRDefault="006F0E34" w:rsidP="0044393D">
            <w:pPr>
              <w:pStyle w:val="Teksttabelinaglowek"/>
            </w:pPr>
            <w:r w:rsidRPr="00795F17">
              <w:t xml:space="preserve">Liczba </w:t>
            </w:r>
            <w:r w:rsidR="00DF005E">
              <w:t>JCWP</w:t>
            </w:r>
            <w:r w:rsidRPr="00795F17">
              <w:t xml:space="preserve"> danego typu</w:t>
            </w:r>
          </w:p>
        </w:tc>
      </w:tr>
      <w:tr w:rsidR="006F0E34" w:rsidRPr="00795F17" w14:paraId="2FBCF543" w14:textId="77777777" w:rsidTr="00185DD0">
        <w:trPr>
          <w:trHeight w:val="454"/>
        </w:trPr>
        <w:tc>
          <w:tcPr>
            <w:tcW w:w="949" w:type="pct"/>
            <w:shd w:val="clear" w:color="auto" w:fill="BFBFBF" w:themeFill="background1" w:themeFillShade="BF"/>
            <w:noWrap/>
            <w:vAlign w:val="center"/>
            <w:hideMark/>
          </w:tcPr>
          <w:p w14:paraId="372CD0A8" w14:textId="77777777" w:rsidR="006F0E34" w:rsidRPr="00795F17" w:rsidRDefault="006F0E34" w:rsidP="0044393D">
            <w:pPr>
              <w:pStyle w:val="Teksttabelinaglowek"/>
            </w:pPr>
            <w:r w:rsidRPr="00795F17">
              <w:t>K_a</w:t>
            </w:r>
          </w:p>
        </w:tc>
        <w:tc>
          <w:tcPr>
            <w:tcW w:w="3290" w:type="pct"/>
            <w:shd w:val="clear" w:color="auto" w:fill="auto"/>
            <w:vAlign w:val="center"/>
            <w:hideMark/>
          </w:tcPr>
          <w:p w14:paraId="4D4D954C" w14:textId="77777777" w:rsidR="006F0E34" w:rsidRPr="00795F17" w:rsidRDefault="006F0E34" w:rsidP="0044393D">
            <w:pPr>
              <w:pStyle w:val="Teksttabelilewy"/>
              <w:rPr>
                <w:color w:val="000000"/>
              </w:rPr>
            </w:pPr>
            <w:r w:rsidRPr="00795F17">
              <w:t>jezioro na podłożu krzemionkowym, niskozasadowe (tak zwane lobeliowe), stratyfikowane</w:t>
            </w:r>
          </w:p>
        </w:tc>
        <w:tc>
          <w:tcPr>
            <w:tcW w:w="761" w:type="pct"/>
            <w:shd w:val="clear" w:color="auto" w:fill="auto"/>
            <w:noWrap/>
            <w:vAlign w:val="center"/>
            <w:hideMark/>
          </w:tcPr>
          <w:p w14:paraId="34655D67" w14:textId="77777777" w:rsidR="006F0E34" w:rsidRPr="00795F17" w:rsidRDefault="006F0E34" w:rsidP="0065243A">
            <w:pPr>
              <w:pStyle w:val="Teksttabelisrodek"/>
            </w:pPr>
            <w:r w:rsidRPr="00795F17">
              <w:t>10</w:t>
            </w:r>
          </w:p>
        </w:tc>
      </w:tr>
      <w:tr w:rsidR="006F0E34" w:rsidRPr="00795F17" w14:paraId="4028F085" w14:textId="77777777" w:rsidTr="00185DD0">
        <w:trPr>
          <w:trHeight w:val="454"/>
        </w:trPr>
        <w:tc>
          <w:tcPr>
            <w:tcW w:w="949" w:type="pct"/>
            <w:shd w:val="clear" w:color="auto" w:fill="BFBFBF" w:themeFill="background1" w:themeFillShade="BF"/>
            <w:noWrap/>
            <w:vAlign w:val="center"/>
            <w:hideMark/>
          </w:tcPr>
          <w:p w14:paraId="7F19D1B2" w14:textId="77777777" w:rsidR="006F0E34" w:rsidRPr="00795F17" w:rsidRDefault="006F0E34" w:rsidP="0044393D">
            <w:pPr>
              <w:pStyle w:val="Teksttabelinaglowek"/>
            </w:pPr>
            <w:r w:rsidRPr="00795F17">
              <w:t>K_b</w:t>
            </w:r>
          </w:p>
        </w:tc>
        <w:tc>
          <w:tcPr>
            <w:tcW w:w="3290" w:type="pct"/>
            <w:shd w:val="clear" w:color="auto" w:fill="auto"/>
            <w:vAlign w:val="center"/>
            <w:hideMark/>
          </w:tcPr>
          <w:p w14:paraId="1C8E8903" w14:textId="77777777" w:rsidR="006F0E34" w:rsidRPr="00795F17" w:rsidRDefault="006F0E34" w:rsidP="0044393D">
            <w:pPr>
              <w:pStyle w:val="Teksttabelilewy"/>
            </w:pPr>
            <w:r w:rsidRPr="00795F17">
              <w:t>jezioro na podłożu krzemionkowym, niskozasadowe (tak zwane lobeliowe), polimiktyczne</w:t>
            </w:r>
          </w:p>
        </w:tc>
        <w:tc>
          <w:tcPr>
            <w:tcW w:w="761" w:type="pct"/>
            <w:shd w:val="clear" w:color="auto" w:fill="auto"/>
            <w:noWrap/>
            <w:vAlign w:val="center"/>
            <w:hideMark/>
          </w:tcPr>
          <w:p w14:paraId="232AE892" w14:textId="77777777" w:rsidR="006F0E34" w:rsidRPr="00795F17" w:rsidRDefault="006F0E34" w:rsidP="0065243A">
            <w:pPr>
              <w:pStyle w:val="Teksttabelisrodek"/>
            </w:pPr>
            <w:r w:rsidRPr="00795F17">
              <w:t>2</w:t>
            </w:r>
          </w:p>
        </w:tc>
      </w:tr>
      <w:tr w:rsidR="006F0E34" w:rsidRPr="00795F17" w14:paraId="0EAA1210" w14:textId="77777777" w:rsidTr="00185DD0">
        <w:trPr>
          <w:trHeight w:val="454"/>
        </w:trPr>
        <w:tc>
          <w:tcPr>
            <w:tcW w:w="949" w:type="pct"/>
            <w:shd w:val="clear" w:color="auto" w:fill="BFBFBF" w:themeFill="background1" w:themeFillShade="BF"/>
            <w:noWrap/>
            <w:vAlign w:val="center"/>
            <w:hideMark/>
          </w:tcPr>
          <w:p w14:paraId="7DA00317" w14:textId="77777777" w:rsidR="006F0E34" w:rsidRPr="00795F17" w:rsidRDefault="006F0E34" w:rsidP="0044393D">
            <w:pPr>
              <w:pStyle w:val="Teksttabelinaglowek"/>
            </w:pPr>
            <w:r w:rsidRPr="00795F17">
              <w:t>WSm_a</w:t>
            </w:r>
          </w:p>
        </w:tc>
        <w:tc>
          <w:tcPr>
            <w:tcW w:w="3290" w:type="pct"/>
            <w:shd w:val="clear" w:color="auto" w:fill="auto"/>
            <w:vAlign w:val="center"/>
            <w:hideMark/>
          </w:tcPr>
          <w:p w14:paraId="7EA39551" w14:textId="77777777" w:rsidR="006F0E34" w:rsidRPr="00795F17" w:rsidRDefault="006F0E34" w:rsidP="0044393D">
            <w:pPr>
              <w:pStyle w:val="Teksttabelilewy"/>
            </w:pPr>
            <w:r w:rsidRPr="00795F17">
              <w:t>jezioro na podłożu wapiennym o małej wartości współczynnika Schindlera, stratyfikowane</w:t>
            </w:r>
          </w:p>
        </w:tc>
        <w:tc>
          <w:tcPr>
            <w:tcW w:w="761" w:type="pct"/>
            <w:shd w:val="clear" w:color="auto" w:fill="auto"/>
            <w:noWrap/>
            <w:vAlign w:val="center"/>
            <w:hideMark/>
          </w:tcPr>
          <w:p w14:paraId="64A45051" w14:textId="34BFF3F6" w:rsidR="006F0E34" w:rsidRPr="00795F17" w:rsidRDefault="006F0E34" w:rsidP="0065243A">
            <w:pPr>
              <w:pStyle w:val="Teksttabelisrodek"/>
            </w:pPr>
            <w:r w:rsidRPr="00795F17">
              <w:t>7</w:t>
            </w:r>
            <w:r w:rsidR="00A41426" w:rsidRPr="00795F17">
              <w:t>3</w:t>
            </w:r>
          </w:p>
        </w:tc>
      </w:tr>
      <w:tr w:rsidR="006F0E34" w:rsidRPr="00795F17" w14:paraId="573556D4" w14:textId="77777777" w:rsidTr="00185DD0">
        <w:trPr>
          <w:trHeight w:val="454"/>
        </w:trPr>
        <w:tc>
          <w:tcPr>
            <w:tcW w:w="949" w:type="pct"/>
            <w:shd w:val="clear" w:color="auto" w:fill="BFBFBF" w:themeFill="background1" w:themeFillShade="BF"/>
            <w:noWrap/>
            <w:vAlign w:val="center"/>
            <w:hideMark/>
          </w:tcPr>
          <w:p w14:paraId="2D83B319" w14:textId="77777777" w:rsidR="006F0E34" w:rsidRPr="00795F17" w:rsidRDefault="006F0E34" w:rsidP="0044393D">
            <w:pPr>
              <w:pStyle w:val="Teksttabelinaglowek"/>
              <w:rPr>
                <w:color w:val="000000"/>
              </w:rPr>
            </w:pPr>
            <w:r w:rsidRPr="00795F17">
              <w:t>WSm_b</w:t>
            </w:r>
          </w:p>
        </w:tc>
        <w:tc>
          <w:tcPr>
            <w:tcW w:w="3290" w:type="pct"/>
            <w:shd w:val="clear" w:color="auto" w:fill="auto"/>
            <w:vAlign w:val="center"/>
            <w:hideMark/>
          </w:tcPr>
          <w:p w14:paraId="307AA445" w14:textId="77777777" w:rsidR="006F0E34" w:rsidRPr="00795F17" w:rsidRDefault="006F0E34" w:rsidP="0044393D">
            <w:pPr>
              <w:pStyle w:val="Teksttabelilewy"/>
            </w:pPr>
            <w:r w:rsidRPr="00795F17">
              <w:t xml:space="preserve">jezioro na podłożu wapiennym o małej wartości współczynnika Schindlera, polimiktyczne </w:t>
            </w:r>
          </w:p>
        </w:tc>
        <w:tc>
          <w:tcPr>
            <w:tcW w:w="761" w:type="pct"/>
            <w:shd w:val="clear" w:color="auto" w:fill="auto"/>
            <w:noWrap/>
            <w:vAlign w:val="center"/>
            <w:hideMark/>
          </w:tcPr>
          <w:p w14:paraId="6BFCAAE7" w14:textId="48E71DF4" w:rsidR="006F0E34" w:rsidRPr="00795F17" w:rsidRDefault="00A41426" w:rsidP="0065243A">
            <w:pPr>
              <w:pStyle w:val="Teksttabelisrodek"/>
            </w:pPr>
            <w:r w:rsidRPr="00795F17">
              <w:t>15</w:t>
            </w:r>
          </w:p>
        </w:tc>
      </w:tr>
      <w:tr w:rsidR="006F0E34" w:rsidRPr="00795F17" w14:paraId="15583F75" w14:textId="77777777" w:rsidTr="00185DD0">
        <w:trPr>
          <w:trHeight w:val="454"/>
        </w:trPr>
        <w:tc>
          <w:tcPr>
            <w:tcW w:w="949" w:type="pct"/>
            <w:shd w:val="clear" w:color="auto" w:fill="BFBFBF" w:themeFill="background1" w:themeFillShade="BF"/>
            <w:noWrap/>
            <w:vAlign w:val="center"/>
            <w:hideMark/>
          </w:tcPr>
          <w:p w14:paraId="3450E70C" w14:textId="77777777" w:rsidR="006F0E34" w:rsidRPr="00795F17" w:rsidRDefault="006F0E34" w:rsidP="0044393D">
            <w:pPr>
              <w:pStyle w:val="Teksttabelinaglowek"/>
            </w:pPr>
            <w:r w:rsidRPr="00795F17">
              <w:t>WSd_a</w:t>
            </w:r>
          </w:p>
        </w:tc>
        <w:tc>
          <w:tcPr>
            <w:tcW w:w="3290" w:type="pct"/>
            <w:shd w:val="clear" w:color="auto" w:fill="auto"/>
            <w:vAlign w:val="center"/>
            <w:hideMark/>
          </w:tcPr>
          <w:p w14:paraId="1EBC7DA5" w14:textId="77777777" w:rsidR="006F0E34" w:rsidRPr="00795F17" w:rsidRDefault="006F0E34" w:rsidP="0044393D">
            <w:pPr>
              <w:pStyle w:val="Teksttabelilewy"/>
            </w:pPr>
            <w:r w:rsidRPr="00795F17">
              <w:t>jezioro na podłożu wapiennym o dużej wartości współczynnika Schindlera, stratyfikowane</w:t>
            </w:r>
          </w:p>
        </w:tc>
        <w:tc>
          <w:tcPr>
            <w:tcW w:w="761" w:type="pct"/>
            <w:shd w:val="clear" w:color="auto" w:fill="auto"/>
            <w:noWrap/>
            <w:vAlign w:val="center"/>
            <w:hideMark/>
          </w:tcPr>
          <w:p w14:paraId="402CE4F4" w14:textId="25986CBD" w:rsidR="006F0E34" w:rsidRPr="00795F17" w:rsidRDefault="006F0E34" w:rsidP="0065243A">
            <w:pPr>
              <w:pStyle w:val="Teksttabelisrodek"/>
            </w:pPr>
            <w:r w:rsidRPr="00795F17">
              <w:t>1</w:t>
            </w:r>
            <w:r w:rsidR="00A41426" w:rsidRPr="00795F17">
              <w:t>45</w:t>
            </w:r>
          </w:p>
        </w:tc>
      </w:tr>
      <w:tr w:rsidR="006F0E34" w:rsidRPr="00795F17" w14:paraId="79937DA7" w14:textId="77777777" w:rsidTr="00185DD0">
        <w:trPr>
          <w:trHeight w:val="454"/>
        </w:trPr>
        <w:tc>
          <w:tcPr>
            <w:tcW w:w="949" w:type="pct"/>
            <w:shd w:val="clear" w:color="auto" w:fill="BFBFBF" w:themeFill="background1" w:themeFillShade="BF"/>
            <w:noWrap/>
            <w:vAlign w:val="center"/>
            <w:hideMark/>
          </w:tcPr>
          <w:p w14:paraId="758724AC" w14:textId="77777777" w:rsidR="006F0E34" w:rsidRPr="00795F17" w:rsidRDefault="006F0E34" w:rsidP="0044393D">
            <w:pPr>
              <w:pStyle w:val="Teksttabelinaglowek"/>
            </w:pPr>
            <w:r w:rsidRPr="00795F17">
              <w:t>WSd_b</w:t>
            </w:r>
          </w:p>
        </w:tc>
        <w:tc>
          <w:tcPr>
            <w:tcW w:w="3290" w:type="pct"/>
            <w:shd w:val="clear" w:color="auto" w:fill="auto"/>
            <w:vAlign w:val="center"/>
            <w:hideMark/>
          </w:tcPr>
          <w:p w14:paraId="5C96CB06" w14:textId="77777777" w:rsidR="006F0E34" w:rsidRPr="00795F17" w:rsidRDefault="006F0E34" w:rsidP="0044393D">
            <w:pPr>
              <w:pStyle w:val="Teksttabelilewy"/>
            </w:pPr>
            <w:r w:rsidRPr="00795F17">
              <w:t>jezioro na podłożu wapiennym o dużej wartości współczynnika Schindlera, polimiktyczne</w:t>
            </w:r>
          </w:p>
        </w:tc>
        <w:tc>
          <w:tcPr>
            <w:tcW w:w="761" w:type="pct"/>
            <w:shd w:val="clear" w:color="auto" w:fill="auto"/>
            <w:noWrap/>
            <w:vAlign w:val="center"/>
            <w:hideMark/>
          </w:tcPr>
          <w:p w14:paraId="1FF79ECA" w14:textId="34B5DE5C" w:rsidR="006F0E34" w:rsidRPr="00795F17" w:rsidRDefault="00A41426" w:rsidP="0065243A">
            <w:pPr>
              <w:pStyle w:val="Teksttabelisrodek"/>
            </w:pPr>
            <w:r w:rsidRPr="00795F17">
              <w:t>175</w:t>
            </w:r>
          </w:p>
        </w:tc>
      </w:tr>
      <w:tr w:rsidR="006F0E34" w:rsidRPr="00795F17" w14:paraId="28CF72DB" w14:textId="77777777" w:rsidTr="00185DD0">
        <w:trPr>
          <w:trHeight w:val="454"/>
        </w:trPr>
        <w:tc>
          <w:tcPr>
            <w:tcW w:w="949" w:type="pct"/>
            <w:shd w:val="clear" w:color="auto" w:fill="BFBFBF" w:themeFill="background1" w:themeFillShade="BF"/>
            <w:noWrap/>
            <w:vAlign w:val="center"/>
            <w:hideMark/>
          </w:tcPr>
          <w:p w14:paraId="2A485A71" w14:textId="77777777" w:rsidR="006F0E34" w:rsidRPr="00795F17" w:rsidRDefault="006F0E34" w:rsidP="0044393D">
            <w:pPr>
              <w:pStyle w:val="Teksttabelinaglowek"/>
            </w:pPr>
            <w:r w:rsidRPr="00795F17">
              <w:t>Kond</w:t>
            </w:r>
          </w:p>
        </w:tc>
        <w:tc>
          <w:tcPr>
            <w:tcW w:w="3290" w:type="pct"/>
            <w:shd w:val="clear" w:color="auto" w:fill="auto"/>
            <w:vAlign w:val="center"/>
            <w:hideMark/>
          </w:tcPr>
          <w:p w14:paraId="34C274BF" w14:textId="77777777" w:rsidR="006F0E34" w:rsidRPr="00795F17" w:rsidRDefault="006F0E34" w:rsidP="0044393D">
            <w:pPr>
              <w:pStyle w:val="Teksttabelilewy"/>
              <w:rPr>
                <w:color w:val="333333"/>
              </w:rPr>
            </w:pPr>
            <w:r w:rsidRPr="00795F17">
              <w:t xml:space="preserve">jezioro przymorskie podlegające wpływom wód morskich o naturalnie podwyższonej </w:t>
            </w:r>
            <w:r w:rsidRPr="00795F17">
              <w:rPr>
                <w:rFonts w:ascii="Segoe UI" w:eastAsia="Segoe UI" w:hAnsi="Segoe UI" w:cs="Segoe UI"/>
              </w:rPr>
              <w:t>przewodności elektrolitycznej, polimiktyczne</w:t>
            </w:r>
          </w:p>
        </w:tc>
        <w:tc>
          <w:tcPr>
            <w:tcW w:w="761" w:type="pct"/>
            <w:shd w:val="clear" w:color="auto" w:fill="auto"/>
            <w:noWrap/>
            <w:vAlign w:val="center"/>
            <w:hideMark/>
          </w:tcPr>
          <w:p w14:paraId="2305991B" w14:textId="2F7F79D8" w:rsidR="006F0E34" w:rsidRPr="00795F17" w:rsidRDefault="00A41426" w:rsidP="0065243A">
            <w:pPr>
              <w:pStyle w:val="Teksttabelisrodek"/>
            </w:pPr>
            <w:r w:rsidRPr="00795F17">
              <w:t>7</w:t>
            </w:r>
          </w:p>
        </w:tc>
      </w:tr>
    </w:tbl>
    <w:p w14:paraId="3976116D" w14:textId="23852862" w:rsidR="006F0E34" w:rsidRPr="00795F17" w:rsidRDefault="006F0E34" w:rsidP="004E056A">
      <w:pPr>
        <w:pStyle w:val="rdo"/>
        <w:rPr>
          <w:lang w:eastAsia="zh-CN"/>
        </w:rPr>
      </w:pPr>
      <w:r w:rsidRPr="00795F17">
        <w:rPr>
          <w:lang w:eastAsia="zh-CN"/>
        </w:rPr>
        <w:t xml:space="preserve">Źródło: </w:t>
      </w:r>
      <w:r w:rsidR="00FD7248" w:rsidRPr="00795F17">
        <w:rPr>
          <w:lang w:eastAsia="zh-CN"/>
        </w:rPr>
        <w:t>opracowanie własn</w:t>
      </w:r>
      <w:r w:rsidR="0033525E">
        <w:rPr>
          <w:lang w:eastAsia="zh-CN"/>
        </w:rPr>
        <w:t>e</w:t>
      </w:r>
    </w:p>
    <w:p w14:paraId="5540B1A8" w14:textId="3229858B" w:rsidR="003E2D19" w:rsidRPr="00795F17" w:rsidRDefault="00A41426" w:rsidP="005842B5">
      <w:pPr>
        <w:jc w:val="center"/>
      </w:pPr>
      <w:r w:rsidRPr="00795F17">
        <w:rPr>
          <w:noProof/>
          <w:lang w:eastAsia="pl-PL"/>
        </w:rPr>
        <w:drawing>
          <wp:inline distT="0" distB="0" distL="0" distR="0" wp14:anchorId="7DF4F9F0" wp14:editId="3E7F1D4D">
            <wp:extent cx="5039995" cy="3108960"/>
            <wp:effectExtent l="0" t="0" r="8255" b="15240"/>
            <wp:docPr id="235" name="Wykres 235">
              <a:extLst xmlns:a="http://schemas.openxmlformats.org/drawingml/2006/main">
                <a:ext uri="{FF2B5EF4-FFF2-40B4-BE49-F238E27FC236}">
                  <a16:creationId xmlns:a16="http://schemas.microsoft.com/office/drawing/2014/main" id="{50F49123-C898-4F35-831E-89758A0EC4E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1DDBBC1" w14:textId="5BED8B43" w:rsidR="006F0E34" w:rsidRPr="00795F17" w:rsidRDefault="003E2D19" w:rsidP="00B479EE">
      <w:pPr>
        <w:pStyle w:val="Wykres"/>
      </w:pPr>
      <w:bookmarkStart w:id="67" w:name="_Toc66272991"/>
      <w:bookmarkStart w:id="68" w:name="_Toc105512950"/>
      <w:r w:rsidRPr="00795F17">
        <w:t xml:space="preserve">Wykres </w:t>
      </w:r>
      <w:fldSimple w:instr=" STYLEREF 1 \s ">
        <w:r w:rsidR="001F774D">
          <w:rPr>
            <w:noProof/>
          </w:rPr>
          <w:t>3</w:t>
        </w:r>
      </w:fldSimple>
      <w:r w:rsidR="00FF20D3">
        <w:noBreakHyphen/>
      </w:r>
      <w:fldSimple w:instr=" SEQ Wykres \* ARABIC \s 1 ">
        <w:r w:rsidR="001F774D">
          <w:rPr>
            <w:noProof/>
          </w:rPr>
          <w:t>13</w:t>
        </w:r>
      </w:fldSimple>
      <w:r w:rsidR="00BA11D4">
        <w:rPr>
          <w:noProof/>
        </w:rPr>
        <w:t>.</w:t>
      </w:r>
      <w:r w:rsidRPr="00795F17">
        <w:tab/>
        <w:t xml:space="preserve">Udział </w:t>
      </w:r>
      <w:r w:rsidR="00DF005E">
        <w:t>JCWP</w:t>
      </w:r>
      <w:r w:rsidRPr="00795F17">
        <w:t xml:space="preserve"> LW danego typu w ogólnej liczbie </w:t>
      </w:r>
      <w:r w:rsidR="00DF005E">
        <w:t>JCWP</w:t>
      </w:r>
      <w:r w:rsidRPr="00795F17">
        <w:t xml:space="preserve"> LW obszaru dorzecza Odry</w:t>
      </w:r>
      <w:bookmarkEnd w:id="67"/>
      <w:bookmarkEnd w:id="68"/>
    </w:p>
    <w:p w14:paraId="1CCB45E2" w14:textId="6485E404"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732A926F" w14:textId="4F04DE0B" w:rsidR="003126BA" w:rsidRPr="00795F17" w:rsidRDefault="00DF005E" w:rsidP="0044393D">
      <w:pPr>
        <w:pStyle w:val="Nagwek5"/>
      </w:pPr>
      <w:r>
        <w:t>JCWP</w:t>
      </w:r>
      <w:r w:rsidR="003126BA" w:rsidRPr="00795F17">
        <w:t xml:space="preserve"> TW</w:t>
      </w:r>
      <w:r w:rsidR="00D93638" w:rsidRPr="00795F17">
        <w:t xml:space="preserve"> i CW</w:t>
      </w:r>
    </w:p>
    <w:p w14:paraId="5A0DC4D3" w14:textId="2E10F757" w:rsidR="003E2D19" w:rsidRPr="00795F17" w:rsidRDefault="003E2D19" w:rsidP="004D7705">
      <w:pPr>
        <w:pStyle w:val="Tabela"/>
      </w:pPr>
      <w:bookmarkStart w:id="69" w:name="_Toc66341847"/>
      <w:bookmarkStart w:id="70" w:name="_Toc105512755"/>
      <w:r w:rsidRPr="00795F17">
        <w:t xml:space="preserve">Tabela </w:t>
      </w:r>
      <w:fldSimple w:instr=" STYLEREF 1 \s ">
        <w:r w:rsidR="001F774D">
          <w:rPr>
            <w:noProof/>
          </w:rPr>
          <w:t>3</w:t>
        </w:r>
      </w:fldSimple>
      <w:r w:rsidR="00BB3B21" w:rsidRPr="00795F17">
        <w:noBreakHyphen/>
      </w:r>
      <w:fldSimple w:instr=" SEQ Tabela \* ARABIC \s 1 ">
        <w:r w:rsidR="001F774D">
          <w:rPr>
            <w:noProof/>
          </w:rPr>
          <w:t>5</w:t>
        </w:r>
      </w:fldSimple>
      <w:r w:rsidR="00BA11D4">
        <w:rPr>
          <w:noProof/>
        </w:rPr>
        <w:t>.</w:t>
      </w:r>
      <w:r w:rsidRPr="00795F17">
        <w:tab/>
        <w:t xml:space="preserve">Typy </w:t>
      </w:r>
      <w:r w:rsidR="00DF005E">
        <w:t>JCWP</w:t>
      </w:r>
      <w:r w:rsidRPr="00795F17">
        <w:t xml:space="preserve"> TW na obszarze dorzecza Odry</w:t>
      </w:r>
      <w:bookmarkEnd w:id="69"/>
      <w:bookmarkEnd w:id="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0"/>
        <w:gridCol w:w="5963"/>
        <w:gridCol w:w="1379"/>
      </w:tblGrid>
      <w:tr w:rsidR="006F0E34" w:rsidRPr="00795F17" w14:paraId="5D1D90F5" w14:textId="77777777" w:rsidTr="00185DD0">
        <w:trPr>
          <w:trHeight w:val="454"/>
          <w:tblHeader/>
        </w:trPr>
        <w:tc>
          <w:tcPr>
            <w:tcW w:w="949" w:type="pct"/>
            <w:shd w:val="clear" w:color="auto" w:fill="BFBFBF" w:themeFill="background1" w:themeFillShade="BF"/>
            <w:noWrap/>
            <w:vAlign w:val="center"/>
            <w:hideMark/>
          </w:tcPr>
          <w:p w14:paraId="66DDF4C3" w14:textId="7833DAF6" w:rsidR="006F0E34" w:rsidRPr="00795F17" w:rsidRDefault="006F0E34" w:rsidP="0044393D">
            <w:pPr>
              <w:pStyle w:val="Teksttabelinaglowek"/>
            </w:pPr>
            <w:r w:rsidRPr="00795F17">
              <w:t xml:space="preserve">Kod typu </w:t>
            </w:r>
            <w:r w:rsidR="00DF005E">
              <w:t>JCWP</w:t>
            </w:r>
            <w:r w:rsidRPr="00795F17">
              <w:t xml:space="preserve"> TW</w:t>
            </w:r>
          </w:p>
        </w:tc>
        <w:tc>
          <w:tcPr>
            <w:tcW w:w="3290" w:type="pct"/>
            <w:shd w:val="clear" w:color="auto" w:fill="BFBFBF" w:themeFill="background1" w:themeFillShade="BF"/>
            <w:vAlign w:val="center"/>
            <w:hideMark/>
          </w:tcPr>
          <w:p w14:paraId="6C03BDF2" w14:textId="77777777" w:rsidR="006F0E34" w:rsidRPr="00795F17" w:rsidRDefault="006F0E34" w:rsidP="0044393D">
            <w:pPr>
              <w:pStyle w:val="Teksttabelinaglowek"/>
            </w:pPr>
            <w:r w:rsidRPr="00795F17">
              <w:t>Nazwa typu</w:t>
            </w:r>
          </w:p>
        </w:tc>
        <w:tc>
          <w:tcPr>
            <w:tcW w:w="761" w:type="pct"/>
            <w:shd w:val="clear" w:color="auto" w:fill="BFBFBF" w:themeFill="background1" w:themeFillShade="BF"/>
            <w:vAlign w:val="center"/>
            <w:hideMark/>
          </w:tcPr>
          <w:p w14:paraId="669AD656" w14:textId="31DE63FA" w:rsidR="006F0E34" w:rsidRPr="00795F17" w:rsidRDefault="006F0E34" w:rsidP="0044393D">
            <w:pPr>
              <w:pStyle w:val="Teksttabelinaglowek"/>
            </w:pPr>
            <w:r w:rsidRPr="00795F17">
              <w:t xml:space="preserve">Liczba </w:t>
            </w:r>
            <w:r w:rsidR="00DF005E">
              <w:t>JCWP</w:t>
            </w:r>
            <w:r w:rsidRPr="00795F17">
              <w:t xml:space="preserve"> danego typu</w:t>
            </w:r>
          </w:p>
        </w:tc>
      </w:tr>
      <w:tr w:rsidR="006F0E34" w:rsidRPr="00795F17" w14:paraId="7680E596" w14:textId="77777777" w:rsidTr="00185DD0">
        <w:trPr>
          <w:trHeight w:val="454"/>
        </w:trPr>
        <w:tc>
          <w:tcPr>
            <w:tcW w:w="949" w:type="pct"/>
            <w:shd w:val="clear" w:color="auto" w:fill="BFBFBF" w:themeFill="background1" w:themeFillShade="BF"/>
            <w:noWrap/>
            <w:vAlign w:val="center"/>
            <w:hideMark/>
          </w:tcPr>
          <w:p w14:paraId="524F0089" w14:textId="77777777" w:rsidR="006F0E34" w:rsidRPr="00795F17" w:rsidRDefault="006F0E34" w:rsidP="0044393D">
            <w:pPr>
              <w:pStyle w:val="Teksttabelinaglowek"/>
            </w:pPr>
            <w:r w:rsidRPr="00795F17">
              <w:t>ZatI</w:t>
            </w:r>
          </w:p>
        </w:tc>
        <w:tc>
          <w:tcPr>
            <w:tcW w:w="3290" w:type="pct"/>
            <w:shd w:val="clear" w:color="auto" w:fill="auto"/>
            <w:vAlign w:val="center"/>
            <w:hideMark/>
          </w:tcPr>
          <w:p w14:paraId="3BD47970" w14:textId="77777777" w:rsidR="006F0E34" w:rsidRPr="00795F17" w:rsidRDefault="006F0E34" w:rsidP="00EF4C96">
            <w:pPr>
              <w:pStyle w:val="Teksttabelisrodek"/>
              <w:jc w:val="left"/>
            </w:pPr>
            <w:r w:rsidRPr="00795F17">
              <w:t>zatokowy I z substratem ilasto-mulistym</w:t>
            </w:r>
          </w:p>
        </w:tc>
        <w:tc>
          <w:tcPr>
            <w:tcW w:w="761" w:type="pct"/>
            <w:shd w:val="clear" w:color="auto" w:fill="auto"/>
            <w:noWrap/>
            <w:vAlign w:val="center"/>
            <w:hideMark/>
          </w:tcPr>
          <w:p w14:paraId="61438637" w14:textId="77777777" w:rsidR="006F0E34" w:rsidRPr="00795F17" w:rsidRDefault="006F0E34" w:rsidP="0065243A">
            <w:pPr>
              <w:pStyle w:val="Teksttabelisrodek"/>
            </w:pPr>
            <w:r w:rsidRPr="00795F17">
              <w:t>2</w:t>
            </w:r>
          </w:p>
        </w:tc>
      </w:tr>
    </w:tbl>
    <w:p w14:paraId="49F4A420" w14:textId="7F895E97"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7F77DD31" w14:textId="43046E32" w:rsidR="003E2D19" w:rsidRPr="00795F17" w:rsidRDefault="003E2D19" w:rsidP="004D7705">
      <w:pPr>
        <w:pStyle w:val="Tabela"/>
      </w:pPr>
      <w:bookmarkStart w:id="71" w:name="_Toc66341848"/>
      <w:bookmarkStart w:id="72" w:name="_Toc105512756"/>
      <w:r w:rsidRPr="00795F17">
        <w:t xml:space="preserve">Tabela </w:t>
      </w:r>
      <w:fldSimple w:instr=" STYLEREF 1 \s ">
        <w:r w:rsidR="001F774D">
          <w:rPr>
            <w:noProof/>
          </w:rPr>
          <w:t>3</w:t>
        </w:r>
      </w:fldSimple>
      <w:r w:rsidR="00BB3B21" w:rsidRPr="00795F17">
        <w:noBreakHyphen/>
      </w:r>
      <w:fldSimple w:instr=" SEQ Tabela \* ARABIC \s 1 ">
        <w:r w:rsidR="001F774D">
          <w:rPr>
            <w:noProof/>
          </w:rPr>
          <w:t>6</w:t>
        </w:r>
      </w:fldSimple>
      <w:r w:rsidR="00BA11D4">
        <w:rPr>
          <w:noProof/>
        </w:rPr>
        <w:t>.</w:t>
      </w:r>
      <w:r w:rsidRPr="00795F17">
        <w:tab/>
        <w:t xml:space="preserve">Typy </w:t>
      </w:r>
      <w:r w:rsidR="00DF005E">
        <w:t>JCWP</w:t>
      </w:r>
      <w:r w:rsidRPr="00795F17">
        <w:t xml:space="preserve"> CW na obszarze dorzecza Odry</w:t>
      </w:r>
      <w:bookmarkEnd w:id="71"/>
      <w:bookmarkEnd w:id="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6"/>
        <w:gridCol w:w="5960"/>
        <w:gridCol w:w="1376"/>
      </w:tblGrid>
      <w:tr w:rsidR="006F0E34" w:rsidRPr="00795F17" w14:paraId="711D282C" w14:textId="77777777" w:rsidTr="00185DD0">
        <w:trPr>
          <w:trHeight w:val="454"/>
        </w:trPr>
        <w:tc>
          <w:tcPr>
            <w:tcW w:w="949" w:type="pct"/>
            <w:shd w:val="clear" w:color="auto" w:fill="BFBFBF" w:themeFill="background1" w:themeFillShade="BF"/>
            <w:noWrap/>
            <w:vAlign w:val="center"/>
            <w:hideMark/>
          </w:tcPr>
          <w:p w14:paraId="1FF87816" w14:textId="5A7C83F8" w:rsidR="006F0E34" w:rsidRPr="00795F17" w:rsidRDefault="006F0E34" w:rsidP="0044393D">
            <w:pPr>
              <w:pStyle w:val="Teksttabelinaglowek"/>
            </w:pPr>
            <w:r w:rsidRPr="00795F17">
              <w:t xml:space="preserve">Kod typu </w:t>
            </w:r>
            <w:r w:rsidR="00DF005E">
              <w:t>JCWP</w:t>
            </w:r>
            <w:r w:rsidRPr="00795F17">
              <w:t xml:space="preserve"> CW</w:t>
            </w:r>
          </w:p>
        </w:tc>
        <w:tc>
          <w:tcPr>
            <w:tcW w:w="3290" w:type="pct"/>
            <w:shd w:val="clear" w:color="auto" w:fill="BFBFBF" w:themeFill="background1" w:themeFillShade="BF"/>
            <w:vAlign w:val="center"/>
            <w:hideMark/>
          </w:tcPr>
          <w:p w14:paraId="1A239FA3" w14:textId="77777777" w:rsidR="006F0E34" w:rsidRPr="00795F17" w:rsidRDefault="006F0E34" w:rsidP="0044393D">
            <w:pPr>
              <w:pStyle w:val="Teksttabelinaglowek"/>
            </w:pPr>
            <w:r w:rsidRPr="00795F17">
              <w:t>Nazwa typu</w:t>
            </w:r>
          </w:p>
        </w:tc>
        <w:tc>
          <w:tcPr>
            <w:tcW w:w="761" w:type="pct"/>
            <w:shd w:val="clear" w:color="auto" w:fill="BFBFBF" w:themeFill="background1" w:themeFillShade="BF"/>
            <w:vAlign w:val="center"/>
            <w:hideMark/>
          </w:tcPr>
          <w:p w14:paraId="63AFFA2B" w14:textId="1E83F1C8" w:rsidR="006F0E34" w:rsidRPr="00795F17" w:rsidRDefault="006F0E34" w:rsidP="0044393D">
            <w:pPr>
              <w:pStyle w:val="Teksttabelinaglowek"/>
            </w:pPr>
            <w:r w:rsidRPr="00795F17">
              <w:t xml:space="preserve">Liczba </w:t>
            </w:r>
            <w:r w:rsidR="00DF005E">
              <w:t>JCWP</w:t>
            </w:r>
            <w:r w:rsidRPr="00795F17">
              <w:t xml:space="preserve"> danego typu</w:t>
            </w:r>
          </w:p>
        </w:tc>
      </w:tr>
      <w:tr w:rsidR="006F0E34" w:rsidRPr="00795F17" w14:paraId="44814928" w14:textId="77777777" w:rsidTr="00185DD0">
        <w:trPr>
          <w:trHeight w:val="454"/>
        </w:trPr>
        <w:tc>
          <w:tcPr>
            <w:tcW w:w="949" w:type="pct"/>
            <w:shd w:val="clear" w:color="auto" w:fill="BFBFBF" w:themeFill="background1" w:themeFillShade="BF"/>
            <w:noWrap/>
            <w:vAlign w:val="center"/>
            <w:hideMark/>
          </w:tcPr>
          <w:p w14:paraId="67929325" w14:textId="77777777" w:rsidR="006F0E34" w:rsidRPr="00795F17" w:rsidRDefault="006F0E34" w:rsidP="0044393D">
            <w:pPr>
              <w:pStyle w:val="Teksttabelinaglowek"/>
            </w:pPr>
            <w:r w:rsidRPr="00795F17">
              <w:t>PbO</w:t>
            </w:r>
          </w:p>
        </w:tc>
        <w:tc>
          <w:tcPr>
            <w:tcW w:w="3290" w:type="pct"/>
            <w:shd w:val="clear" w:color="auto" w:fill="auto"/>
            <w:vAlign w:val="center"/>
            <w:hideMark/>
          </w:tcPr>
          <w:p w14:paraId="7D23D618" w14:textId="77777777" w:rsidR="006F0E34" w:rsidRPr="00795F17" w:rsidRDefault="006F0E34" w:rsidP="0044393D">
            <w:pPr>
              <w:pStyle w:val="Teksttabelilewy"/>
            </w:pPr>
            <w:r w:rsidRPr="00795F17">
              <w:t>otwarte wybrzeże</w:t>
            </w:r>
          </w:p>
        </w:tc>
        <w:tc>
          <w:tcPr>
            <w:tcW w:w="761" w:type="pct"/>
            <w:shd w:val="clear" w:color="auto" w:fill="auto"/>
            <w:noWrap/>
            <w:vAlign w:val="center"/>
            <w:hideMark/>
          </w:tcPr>
          <w:p w14:paraId="62D946E2" w14:textId="77777777" w:rsidR="006F0E34" w:rsidRPr="00795F17" w:rsidRDefault="006F0E34" w:rsidP="0065243A">
            <w:pPr>
              <w:pStyle w:val="Teksttabelisrodek"/>
            </w:pPr>
            <w:r w:rsidRPr="00795F17">
              <w:t>2</w:t>
            </w:r>
          </w:p>
        </w:tc>
      </w:tr>
    </w:tbl>
    <w:p w14:paraId="2EE06371" w14:textId="53FED1B2"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075BA6E4" w14:textId="00D86E67" w:rsidR="006F0E34" w:rsidRPr="00795F17" w:rsidRDefault="006F0E34" w:rsidP="00A22ED2">
      <w:pPr>
        <w:pStyle w:val="Nagwek3"/>
      </w:pPr>
      <w:bookmarkStart w:id="73" w:name="_Toc105512630"/>
      <w:r w:rsidRPr="00795F17">
        <w:t xml:space="preserve">Status </w:t>
      </w:r>
      <w:r w:rsidR="00DF005E">
        <w:t>JCWP</w:t>
      </w:r>
      <w:bookmarkEnd w:id="73"/>
    </w:p>
    <w:p w14:paraId="3942D797" w14:textId="787DEDB5" w:rsidR="006F0E34" w:rsidRPr="00795F17" w:rsidRDefault="006F0E34" w:rsidP="0044393D">
      <w:r w:rsidRPr="00795F17">
        <w:t>Artykuł 5 RDW zobowiązuje państwa członkowskie do określenia części wód powierzchniowych, które będą używane do oceny postępów w realizacji i osiągnięcia celów środowiskowych RDW. Zgodnie z</w:t>
      </w:r>
      <w:r w:rsidR="008E2331" w:rsidRPr="00795F17">
        <w:t> </w:t>
      </w:r>
      <w:r w:rsidRPr="00795F17">
        <w:t>warunkami art. 4</w:t>
      </w:r>
      <w:r w:rsidR="006B5BAA">
        <w:t xml:space="preserve"> ust. </w:t>
      </w:r>
      <w:r w:rsidRPr="00795F17">
        <w:t xml:space="preserve">3 RDW umożliwia państwom członkowskim wyznaczenie sztucznych i silnie zmienionych części wód. W efekcie dokonanego wyznaczenia </w:t>
      </w:r>
      <w:r w:rsidR="00DF005E">
        <w:t>JCWP</w:t>
      </w:r>
      <w:r w:rsidRPr="00795F17">
        <w:t xml:space="preserve"> występują z określonym statusem jako: NAT </w:t>
      </w:r>
      <w:r w:rsidR="0079397E">
        <w:t>–</w:t>
      </w:r>
      <w:r w:rsidRPr="00795F17">
        <w:t xml:space="preserve"> naturalna część wód, SCW </w:t>
      </w:r>
      <w:r w:rsidR="0079397E">
        <w:t>–</w:t>
      </w:r>
      <w:r w:rsidRPr="00795F17">
        <w:t xml:space="preserve"> sztuczna część wód, albo SZCW </w:t>
      </w:r>
      <w:r w:rsidR="0079397E">
        <w:t>–</w:t>
      </w:r>
      <w:r w:rsidRPr="00795F17">
        <w:t xml:space="preserve"> silnie zmieniona część wód</w:t>
      </w:r>
      <w:r w:rsidR="009B0F2C" w:rsidRPr="00795F17">
        <w:t xml:space="preserve">, co zostało przedstawione w załączniku graficznym nr </w:t>
      </w:r>
      <w:r w:rsidR="00AE2827">
        <w:t>5</w:t>
      </w:r>
      <w:r w:rsidR="009B0F2C" w:rsidRPr="00795F17">
        <w:t xml:space="preserve"> do </w:t>
      </w:r>
      <w:r w:rsidR="00284DE2" w:rsidRPr="00795F17">
        <w:rPr>
          <w:rFonts w:eastAsiaTheme="minorHAnsi"/>
          <w:color w:val="000000"/>
        </w:rPr>
        <w:t>IIaPGW</w:t>
      </w:r>
      <w:r w:rsidR="009B0F2C" w:rsidRPr="00795F17">
        <w:rPr>
          <w:rFonts w:eastAsiaTheme="minorHAnsi"/>
          <w:color w:val="000000"/>
        </w:rPr>
        <w:t>.</w:t>
      </w:r>
      <w:r w:rsidRPr="00795F17">
        <w:rPr>
          <w:rFonts w:eastAsiaTheme="minorHAnsi"/>
          <w:color w:val="000000"/>
        </w:rPr>
        <w:t xml:space="preserve"> </w:t>
      </w:r>
      <w:r w:rsidRPr="00795F17">
        <w:t xml:space="preserve">Wyznaczenie </w:t>
      </w:r>
      <w:r w:rsidR="00DF005E">
        <w:t>JCWP</w:t>
      </w:r>
      <w:r w:rsidRPr="00795F17">
        <w:t xml:space="preserve"> jako SZCW czy</w:t>
      </w:r>
      <w:r w:rsidR="008513F0">
        <w:t> </w:t>
      </w:r>
      <w:r w:rsidRPr="00795F17">
        <w:t>SCW wynika ze zmian charakterystyk hydromorfologicznych tych</w:t>
      </w:r>
      <w:r w:rsidR="00820D9F" w:rsidRPr="00795F17">
        <w:t xml:space="preserve"> jednolitych części wód</w:t>
      </w:r>
      <w:r w:rsidRPr="00795F17">
        <w:t xml:space="preserve"> spowodowanych przez sposób ich użytkowania</w:t>
      </w:r>
      <w:r w:rsidR="00820D9F" w:rsidRPr="00795F17">
        <w:t xml:space="preserve"> i wymaga uzasadnienia, że</w:t>
      </w:r>
      <w:r w:rsidR="00284DE2" w:rsidRPr="00795F17">
        <w:t xml:space="preserve"> </w:t>
      </w:r>
      <w:r w:rsidR="00820D9F" w:rsidRPr="00795F17">
        <w:t>istnieją przesłanki do</w:t>
      </w:r>
      <w:r w:rsidR="00284DE2" w:rsidRPr="00795F17">
        <w:t> </w:t>
      </w:r>
      <w:r w:rsidR="00820D9F" w:rsidRPr="00795F17">
        <w:t xml:space="preserve">wyznaczenia </w:t>
      </w:r>
      <w:r w:rsidR="00DF005E">
        <w:t>JCWP</w:t>
      </w:r>
      <w:r w:rsidR="00820D9F" w:rsidRPr="00795F17">
        <w:t xml:space="preserve"> jako SZCW lub SCW</w:t>
      </w:r>
      <w:r w:rsidR="00820D9F" w:rsidRPr="00795F17">
        <w:rPr>
          <w:rStyle w:val="Odwoanieprzypisudolnego"/>
          <w:rFonts w:asciiTheme="minorHAnsi" w:hAnsiTheme="minorHAnsi" w:cstheme="minorHAnsi"/>
        </w:rPr>
        <w:footnoteReference w:id="15"/>
      </w:r>
      <w:r w:rsidR="00820D9F" w:rsidRPr="00795F17">
        <w:t>.</w:t>
      </w:r>
      <w:r w:rsidRPr="00795F17">
        <w:t xml:space="preserve"> </w:t>
      </w:r>
    </w:p>
    <w:p w14:paraId="625969BB" w14:textId="161A4D25" w:rsidR="00175B01" w:rsidRPr="00795F17" w:rsidRDefault="00175B01" w:rsidP="005842B5">
      <w:r w:rsidRPr="00795F17">
        <w:t>Wyznaczanie SZCW i SCW to procedura towarzysząca każdej aktualizacji planów gospodarowania wodami. Zgodnie z art. 4 ust. 3 RDW kraj członkowski ma prawo wyznaczyć SZCW i SCW, dla których RDW wymaga osiągnięcia dobrego potencjału ekologicznego. Potencjał ten charakteryzuje się</w:t>
      </w:r>
      <w:r w:rsidR="00650849" w:rsidRPr="00795F17">
        <w:t> </w:t>
      </w:r>
      <w:r w:rsidRPr="00795F17">
        <w:t>złagodzonymi normami środowiskowymi w stosunku do dobrego stanu, wymaganego dla</w:t>
      </w:r>
      <w:r w:rsidR="00650849" w:rsidRPr="00795F17">
        <w:t> </w:t>
      </w:r>
      <w:r w:rsidRPr="00795F17">
        <w:t>naturalnych części wód. Możliwość wyznaczenia części wód jako silnie zmienionych lub sztucznych dotyczy tych z nich, dla których</w:t>
      </w:r>
      <w:r w:rsidR="00475D19">
        <w:t xml:space="preserve"> </w:t>
      </w:r>
      <w:r w:rsidRPr="00795F17">
        <w:t>działania restytucyjne</w:t>
      </w:r>
      <w:r w:rsidR="00475D19">
        <w:t xml:space="preserve"> </w:t>
      </w:r>
      <w:r w:rsidRPr="00795F17">
        <w:t>konieczne do osiągnięcia dobrego stanu wód mogłyby oddziaływać znacząco niekorzystnie na środowisko w szerszym znaczeniu lub na cele którym służą obecne przekształcenia (żegluga</w:t>
      </w:r>
      <w:r w:rsidR="003C6F43">
        <w:t xml:space="preserve"> śródlądowa</w:t>
      </w:r>
      <w:r w:rsidRPr="00795F17">
        <w:t>, zaopatrzenie w wodę, ochrona przeciwpowodziowa etc.) a cele te nie mogą być racjonalnie osiągnięte za pomocą innych, korzystniejszych dla środowiska, środków.</w:t>
      </w:r>
      <w:r w:rsidR="002A13B9" w:rsidRPr="00795F17">
        <w:t xml:space="preserve"> </w:t>
      </w:r>
    </w:p>
    <w:p w14:paraId="1B3A2286" w14:textId="71E71E3A" w:rsidR="00175B01" w:rsidRPr="00795F17" w:rsidRDefault="00175B01" w:rsidP="005842B5">
      <w:r w:rsidRPr="00795F17">
        <w:t xml:space="preserve">W ramach pracy </w:t>
      </w:r>
      <w:r w:rsidRPr="00795F17">
        <w:rPr>
          <w:i/>
          <w:iCs/>
        </w:rPr>
        <w:t>Przegląd i weryfikacja metodyk wyznaczania silnie zmienionych i</w:t>
      </w:r>
      <w:r w:rsidR="00650849" w:rsidRPr="00795F17">
        <w:rPr>
          <w:i/>
          <w:iCs/>
        </w:rPr>
        <w:t> </w:t>
      </w:r>
      <w:r w:rsidRPr="00795F17">
        <w:rPr>
          <w:i/>
          <w:iCs/>
        </w:rPr>
        <w:t>sztucznych części wód powierzchniowych wraz ze wstępnym i ostatecznym wyznaczeniem</w:t>
      </w:r>
      <w:r w:rsidRPr="00795F17">
        <w:t>uwzględnione zostały</w:t>
      </w:r>
      <w:r w:rsidR="002A13B9" w:rsidRPr="00795F17">
        <w:t xml:space="preserve"> </w:t>
      </w:r>
      <w:r w:rsidRPr="00795F17">
        <w:t>wytyczne</w:t>
      </w:r>
      <w:r w:rsidR="00312E97">
        <w:t xml:space="preserve"> </w:t>
      </w:r>
      <w:r w:rsidRPr="00795F17">
        <w:t>wspólnej strategii wdrażania (CIS) wprowadzając do procesu wyznaczania SZCW i SCW etap screeningu, oparty o oceny stanu biologicznego. Poszczególne etapy procesu wyznaczania SZCW i SCW przedstawia poniższy schemat.</w:t>
      </w:r>
    </w:p>
    <w:p w14:paraId="79648C17" w14:textId="77777777" w:rsidR="00650849" w:rsidRPr="00795F17" w:rsidRDefault="00175B01" w:rsidP="005842B5">
      <w:pPr>
        <w:jc w:val="center"/>
      </w:pPr>
      <w:r w:rsidRPr="00795F17">
        <w:rPr>
          <w:noProof/>
          <w:lang w:eastAsia="pl-PL"/>
        </w:rPr>
        <w:drawing>
          <wp:inline distT="0" distB="0" distL="0" distR="0" wp14:anchorId="00C72667" wp14:editId="38F990B2">
            <wp:extent cx="4232474" cy="248400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32474" cy="2484000"/>
                    </a:xfrm>
                    <a:prstGeom prst="rect">
                      <a:avLst/>
                    </a:prstGeom>
                    <a:noFill/>
                  </pic:spPr>
                </pic:pic>
              </a:graphicData>
            </a:graphic>
          </wp:inline>
        </w:drawing>
      </w:r>
    </w:p>
    <w:p w14:paraId="204B1E43" w14:textId="185E6F22" w:rsidR="00175B01" w:rsidRPr="00795F17" w:rsidRDefault="00650849" w:rsidP="004D7705">
      <w:pPr>
        <w:pStyle w:val="Rysunek"/>
        <w:rPr>
          <w:sz w:val="22"/>
          <w:szCs w:val="22"/>
        </w:rPr>
      </w:pPr>
      <w:bookmarkStart w:id="74" w:name="_Toc105512932"/>
      <w:r w:rsidRPr="00795F17">
        <w:t xml:space="preserve">Rysunek </w:t>
      </w:r>
      <w:r>
        <w:fldChar w:fldCharType="begin"/>
      </w:r>
      <w:r>
        <w:instrText>STYLEREF 1 \s</w:instrText>
      </w:r>
      <w:r>
        <w:fldChar w:fldCharType="separate"/>
      </w:r>
      <w:r w:rsidR="001F774D">
        <w:rPr>
          <w:noProof/>
        </w:rPr>
        <w:t>3</w:t>
      </w:r>
      <w:r>
        <w:fldChar w:fldCharType="end"/>
      </w:r>
      <w:r w:rsidR="00881BAC">
        <w:noBreakHyphen/>
      </w:r>
      <w:fldSimple w:instr=" SEQ Rysunek \* ARABIC \s 1 ">
        <w:r w:rsidR="001F774D">
          <w:rPr>
            <w:noProof/>
          </w:rPr>
          <w:t>2</w:t>
        </w:r>
      </w:fldSimple>
      <w:r w:rsidR="00342921">
        <w:rPr>
          <w:noProof/>
        </w:rPr>
        <w:t>.</w:t>
      </w:r>
      <w:r w:rsidRPr="00795F17">
        <w:tab/>
        <w:t>Etapy procesu wyznaczania silnie zmienionych i sztucznych części wód</w:t>
      </w:r>
      <w:bookmarkEnd w:id="74"/>
    </w:p>
    <w:p w14:paraId="069463F8" w14:textId="4A7F849D" w:rsidR="00175B01" w:rsidRPr="00795F17" w:rsidRDefault="00175B01" w:rsidP="00650849">
      <w:pPr>
        <w:pStyle w:val="rdo"/>
      </w:pPr>
      <w:r w:rsidRPr="00795F17">
        <w:t>Źródło: Ostateczna metodyka wyznaczania silnie zmienionych i sztucznych części wód powierzchniowych wraz z koncepcją określania potencjału ekologicznego (2019)</w:t>
      </w:r>
    </w:p>
    <w:p w14:paraId="05CBDBEB" w14:textId="54C2FEF3" w:rsidR="00175B01" w:rsidRPr="00795F17" w:rsidRDefault="00175B01" w:rsidP="00650849">
      <w:r w:rsidRPr="00795F17">
        <w:t>Zgodnie</w:t>
      </w:r>
      <w:r w:rsidR="00650849" w:rsidRPr="00795F17">
        <w:t xml:space="preserve"> </w:t>
      </w:r>
      <w:r w:rsidRPr="00795F17">
        <w:t>z</w:t>
      </w:r>
      <w:r w:rsidR="00650849" w:rsidRPr="00795F17">
        <w:t xml:space="preserve"> </w:t>
      </w:r>
      <w:r w:rsidRPr="00795F17">
        <w:t>metodyk</w:t>
      </w:r>
      <w:r w:rsidR="00650849" w:rsidRPr="00795F17">
        <w:t xml:space="preserve">ą </w:t>
      </w:r>
      <w:r w:rsidRPr="00795F17">
        <w:t>wyznaczania</w:t>
      </w:r>
      <w:r w:rsidR="00650849" w:rsidRPr="00795F17">
        <w:t xml:space="preserve"> </w:t>
      </w:r>
      <w:r w:rsidRPr="00795F17">
        <w:t>SZCW</w:t>
      </w:r>
      <w:r w:rsidR="00650849" w:rsidRPr="00795F17">
        <w:t xml:space="preserve"> </w:t>
      </w:r>
      <w:r w:rsidRPr="00795F17">
        <w:t>i</w:t>
      </w:r>
      <w:r w:rsidR="00650849" w:rsidRPr="00795F17">
        <w:t xml:space="preserve"> </w:t>
      </w:r>
      <w:r w:rsidRPr="00795F17">
        <w:t>SCW,</w:t>
      </w:r>
      <w:r w:rsidR="00650849" w:rsidRPr="00795F17">
        <w:t xml:space="preserve"> </w:t>
      </w:r>
      <w:r w:rsidRPr="00795F17">
        <w:t>etap</w:t>
      </w:r>
      <w:r w:rsidR="00650849" w:rsidRPr="00795F17">
        <w:t xml:space="preserve"> </w:t>
      </w:r>
      <w:r w:rsidRPr="00795F17">
        <w:t>wstępnego</w:t>
      </w:r>
      <w:r w:rsidR="00650849" w:rsidRPr="00795F17">
        <w:t xml:space="preserve"> </w:t>
      </w:r>
      <w:r w:rsidRPr="00795F17">
        <w:t>wyznaczania</w:t>
      </w:r>
      <w:r w:rsidR="00650849" w:rsidRPr="00795F17">
        <w:t xml:space="preserve"> </w:t>
      </w:r>
      <w:r w:rsidRPr="00795F17">
        <w:t>opierał</w:t>
      </w:r>
      <w:r w:rsidR="00650849" w:rsidRPr="00795F17">
        <w:t xml:space="preserve"> </w:t>
      </w:r>
      <w:r w:rsidRPr="00795F17">
        <w:t>się</w:t>
      </w:r>
      <w:r w:rsidR="00650849" w:rsidRPr="00795F17">
        <w:t xml:space="preserve"> </w:t>
      </w:r>
      <w:r w:rsidRPr="00795F17">
        <w:t>o</w:t>
      </w:r>
      <w:r w:rsidR="00650849" w:rsidRPr="00795F17">
        <w:t xml:space="preserve"> </w:t>
      </w:r>
      <w:r w:rsidRPr="00795F17">
        <w:t>analizy</w:t>
      </w:r>
      <w:r w:rsidR="00650849" w:rsidRPr="00795F17">
        <w:t xml:space="preserve"> </w:t>
      </w:r>
      <w:r w:rsidRPr="00795F17">
        <w:t>wskaźnikowe.</w:t>
      </w:r>
      <w:r w:rsidR="00650849" w:rsidRPr="00795F17">
        <w:t xml:space="preserve"> </w:t>
      </w:r>
      <w:r w:rsidRPr="00795F17">
        <w:t>Dla</w:t>
      </w:r>
      <w:r w:rsidR="00650849" w:rsidRPr="00795F17">
        <w:t xml:space="preserve"> </w:t>
      </w:r>
      <w:r w:rsidR="00DF005E">
        <w:t>JCWP</w:t>
      </w:r>
      <w:r w:rsidR="00650849" w:rsidRPr="00795F17">
        <w:t xml:space="preserve"> </w:t>
      </w:r>
      <w:r w:rsidRPr="00795F17">
        <w:t>RW</w:t>
      </w:r>
      <w:r w:rsidR="00650849" w:rsidRPr="00795F17">
        <w:t xml:space="preserve"> </w:t>
      </w:r>
      <w:r w:rsidRPr="00795F17">
        <w:t>podstawę</w:t>
      </w:r>
      <w:r w:rsidR="00650849" w:rsidRPr="00795F17">
        <w:t xml:space="preserve"> </w:t>
      </w:r>
      <w:r w:rsidRPr="00795F17">
        <w:t>wstępnego</w:t>
      </w:r>
      <w:r w:rsidR="00650849" w:rsidRPr="00795F17">
        <w:t xml:space="preserve"> </w:t>
      </w:r>
      <w:r w:rsidRPr="00795F17">
        <w:t>wyznaczenia</w:t>
      </w:r>
      <w:r w:rsidR="00650849" w:rsidRPr="00795F17">
        <w:t xml:space="preserve"> </w:t>
      </w:r>
      <w:r w:rsidRPr="00795F17">
        <w:t>stanowił</w:t>
      </w:r>
      <w:r w:rsidR="00650849" w:rsidRPr="00795F17">
        <w:t xml:space="preserve"> </w:t>
      </w:r>
      <w:r w:rsidRPr="00795F17">
        <w:t>HIR,</w:t>
      </w:r>
      <w:r w:rsidR="00650849" w:rsidRPr="00795F17">
        <w:t xml:space="preserve"> </w:t>
      </w:r>
      <w:r w:rsidRPr="00795F17">
        <w:t>wzorowany</w:t>
      </w:r>
      <w:r w:rsidR="00650849" w:rsidRPr="00795F17">
        <w:t xml:space="preserve"> </w:t>
      </w:r>
      <w:r w:rsidRPr="00795F17">
        <w:t>na</w:t>
      </w:r>
      <w:r w:rsidR="00650849" w:rsidRPr="00795F17">
        <w:t xml:space="preserve"> </w:t>
      </w:r>
      <w:r w:rsidRPr="00795F17">
        <w:t>River</w:t>
      </w:r>
      <w:r w:rsidR="00650849" w:rsidRPr="00795F17">
        <w:t xml:space="preserve"> </w:t>
      </w:r>
      <w:r w:rsidRPr="00795F17">
        <w:t>Habitat</w:t>
      </w:r>
      <w:r w:rsidR="00650849" w:rsidRPr="00795F17">
        <w:t xml:space="preserve"> </w:t>
      </w:r>
      <w:r w:rsidRPr="00795F17">
        <w:t>Survey.</w:t>
      </w:r>
      <w:r w:rsidR="00650849" w:rsidRPr="00795F17">
        <w:t xml:space="preserve"> </w:t>
      </w:r>
      <w:r w:rsidRPr="00795F17">
        <w:t>W</w:t>
      </w:r>
      <w:r w:rsidR="00650849" w:rsidRPr="00795F17">
        <w:t xml:space="preserve"> </w:t>
      </w:r>
      <w:r w:rsidRPr="00795F17">
        <w:t>przyjętym</w:t>
      </w:r>
      <w:r w:rsidR="00650849" w:rsidRPr="00795F17">
        <w:t xml:space="preserve"> </w:t>
      </w:r>
      <w:r w:rsidRPr="00795F17">
        <w:t>rozwiązaniu</w:t>
      </w:r>
      <w:r w:rsidR="00650849" w:rsidRPr="00795F17">
        <w:t xml:space="preserve"> </w:t>
      </w:r>
      <w:r w:rsidRPr="00795F17">
        <w:t>wykorzystana</w:t>
      </w:r>
      <w:r w:rsidR="00650849" w:rsidRPr="00795F17">
        <w:t xml:space="preserve"> </w:t>
      </w:r>
      <w:r w:rsidRPr="00795F17">
        <w:t>została</w:t>
      </w:r>
      <w:r w:rsidR="00650849" w:rsidRPr="00795F17">
        <w:t xml:space="preserve"> </w:t>
      </w:r>
      <w:r w:rsidRPr="00795F17">
        <w:t>zmodyfikowana</w:t>
      </w:r>
      <w:r w:rsidR="00650849" w:rsidRPr="00795F17">
        <w:t xml:space="preserve"> </w:t>
      </w:r>
      <w:r w:rsidRPr="00795F17">
        <w:t>metoda</w:t>
      </w:r>
      <w:r w:rsidR="00650849" w:rsidRPr="00795F17">
        <w:t xml:space="preserve"> </w:t>
      </w:r>
      <w:r w:rsidRPr="00795F17">
        <w:t>oceny</w:t>
      </w:r>
      <w:r w:rsidR="00650849" w:rsidRPr="00795F17">
        <w:t xml:space="preserve"> </w:t>
      </w:r>
      <w:r w:rsidRPr="00795F17">
        <w:t>kameralnej</w:t>
      </w:r>
      <w:r w:rsidR="00650849" w:rsidRPr="00795F17">
        <w:t xml:space="preserve"> </w:t>
      </w:r>
      <w:r w:rsidRPr="00795F17">
        <w:t>HIR.</w:t>
      </w:r>
      <w:r w:rsidR="00650849" w:rsidRPr="00795F17">
        <w:t xml:space="preserve"> </w:t>
      </w:r>
      <w:r w:rsidRPr="00795F17">
        <w:t>W</w:t>
      </w:r>
      <w:r w:rsidR="00650849" w:rsidRPr="00795F17">
        <w:t xml:space="preserve"> </w:t>
      </w:r>
      <w:r w:rsidRPr="00795F17">
        <w:t>procesie</w:t>
      </w:r>
      <w:r w:rsidR="00650849" w:rsidRPr="00795F17">
        <w:t xml:space="preserve"> </w:t>
      </w:r>
      <w:r w:rsidRPr="00795F17">
        <w:t>wstępnego</w:t>
      </w:r>
      <w:r w:rsidR="00650849" w:rsidRPr="00795F17">
        <w:t xml:space="preserve"> </w:t>
      </w:r>
      <w:r w:rsidRPr="00795F17">
        <w:t>wyznaczania</w:t>
      </w:r>
      <w:r w:rsidR="00650849" w:rsidRPr="00795F17">
        <w:t xml:space="preserve"> </w:t>
      </w:r>
      <w:r w:rsidRPr="00795F17">
        <w:t>wykorzystano</w:t>
      </w:r>
      <w:r w:rsidR="00650849" w:rsidRPr="00795F17">
        <w:t xml:space="preserve"> </w:t>
      </w:r>
      <w:r w:rsidRPr="00795F17">
        <w:t>również</w:t>
      </w:r>
      <w:r w:rsidR="00650849" w:rsidRPr="00795F17">
        <w:t xml:space="preserve"> </w:t>
      </w:r>
      <w:r w:rsidRPr="00795F17">
        <w:t>część</w:t>
      </w:r>
      <w:r w:rsidR="00650849" w:rsidRPr="00795F17">
        <w:t xml:space="preserve"> </w:t>
      </w:r>
      <w:r w:rsidRPr="00795F17">
        <w:t>wskaźników,</w:t>
      </w:r>
      <w:r w:rsidR="00650849" w:rsidRPr="00795F17">
        <w:t xml:space="preserve"> </w:t>
      </w:r>
      <w:r w:rsidRPr="00795F17">
        <w:t>głównie</w:t>
      </w:r>
      <w:r w:rsidR="00650849" w:rsidRPr="00795F17">
        <w:t xml:space="preserve"> </w:t>
      </w:r>
      <w:r w:rsidRPr="00795F17">
        <w:t>hydrologicznych</w:t>
      </w:r>
      <w:r w:rsidR="00650849" w:rsidRPr="00795F17">
        <w:t xml:space="preserve"> </w:t>
      </w:r>
      <w:r w:rsidRPr="00795F17">
        <w:t>oraz</w:t>
      </w:r>
      <w:r w:rsidR="00650849" w:rsidRPr="00795F17">
        <w:t xml:space="preserve"> </w:t>
      </w:r>
      <w:r w:rsidRPr="00795F17">
        <w:t>statusy</w:t>
      </w:r>
      <w:r w:rsidR="00650849" w:rsidRPr="00795F17">
        <w:t xml:space="preserve"> </w:t>
      </w:r>
      <w:r w:rsidRPr="00795F17">
        <w:t>jcw</w:t>
      </w:r>
      <w:r w:rsidR="00650849" w:rsidRPr="00795F17">
        <w:t xml:space="preserve"> </w:t>
      </w:r>
      <w:r w:rsidRPr="00795F17">
        <w:t>z</w:t>
      </w:r>
      <w:r w:rsidR="00650849" w:rsidRPr="00795F17">
        <w:t xml:space="preserve"> </w:t>
      </w:r>
      <w:r w:rsidRPr="00795F17">
        <w:t>II</w:t>
      </w:r>
      <w:r w:rsidR="00650849" w:rsidRPr="00795F17">
        <w:t xml:space="preserve"> </w:t>
      </w:r>
      <w:r w:rsidRPr="00795F17">
        <w:t>cyklu</w:t>
      </w:r>
      <w:r w:rsidR="00650849" w:rsidRPr="00795F17">
        <w:t xml:space="preserve"> </w:t>
      </w:r>
      <w:r w:rsidRPr="00795F17">
        <w:t>planistycznego</w:t>
      </w:r>
      <w:r w:rsidR="00650849" w:rsidRPr="00795F17">
        <w:t xml:space="preserve"> </w:t>
      </w:r>
      <w:r w:rsidRPr="00795F17">
        <w:t>(2010</w:t>
      </w:r>
      <w:r w:rsidR="0079397E">
        <w:t>–</w:t>
      </w:r>
      <w:r w:rsidRPr="00795F17">
        <w:t>2015).</w:t>
      </w:r>
      <w:r w:rsidR="00650849" w:rsidRPr="00795F17">
        <w:t xml:space="preserve"> </w:t>
      </w:r>
      <w:r w:rsidRPr="00795F17">
        <w:t>Przy</w:t>
      </w:r>
      <w:r w:rsidR="00650849" w:rsidRPr="00795F17">
        <w:t xml:space="preserve"> </w:t>
      </w:r>
      <w:r w:rsidRPr="00795F17">
        <w:t>ocenie</w:t>
      </w:r>
      <w:r w:rsidR="00650849" w:rsidRPr="00795F17">
        <w:t xml:space="preserve"> </w:t>
      </w:r>
      <w:r w:rsidRPr="00795F17">
        <w:t>i</w:t>
      </w:r>
      <w:r w:rsidR="002A13B9" w:rsidRPr="00795F17">
        <w:t xml:space="preserve"> </w:t>
      </w:r>
      <w:r w:rsidRPr="00795F17">
        <w:t>kwalifikacji</w:t>
      </w:r>
      <w:r w:rsidR="00650849" w:rsidRPr="00795F17">
        <w:t xml:space="preserve"> </w:t>
      </w:r>
      <w:r w:rsidR="00DF005E">
        <w:t>JCWP</w:t>
      </w:r>
      <w:r w:rsidR="00650849" w:rsidRPr="00795F17">
        <w:t xml:space="preserve"> </w:t>
      </w:r>
      <w:r w:rsidRPr="00795F17">
        <w:t>LW</w:t>
      </w:r>
      <w:r w:rsidR="00650849" w:rsidRPr="00795F17">
        <w:t xml:space="preserve"> </w:t>
      </w:r>
      <w:r w:rsidRPr="00795F17">
        <w:t>również</w:t>
      </w:r>
      <w:r w:rsidR="00650849" w:rsidRPr="00795F17">
        <w:t xml:space="preserve"> </w:t>
      </w:r>
      <w:r w:rsidRPr="00795F17">
        <w:t>wykorzystano</w:t>
      </w:r>
      <w:r w:rsidR="00650849" w:rsidRPr="00795F17">
        <w:t xml:space="preserve"> </w:t>
      </w:r>
      <w:r w:rsidRPr="00795F17">
        <w:t>wskaźniki</w:t>
      </w:r>
      <w:r w:rsidR="00650849" w:rsidRPr="00795F17">
        <w:t xml:space="preserve"> </w:t>
      </w:r>
      <w:r w:rsidRPr="00795F17">
        <w:t>zmian</w:t>
      </w:r>
      <w:r w:rsidR="00650849" w:rsidRPr="00795F17">
        <w:t xml:space="preserve"> </w:t>
      </w:r>
      <w:r w:rsidRPr="00795F17">
        <w:t>morfologicznych</w:t>
      </w:r>
      <w:r w:rsidR="00650849" w:rsidRPr="00795F17">
        <w:t xml:space="preserve"> </w:t>
      </w:r>
      <w:r w:rsidRPr="00795F17">
        <w:t>i hydrologicznych</w:t>
      </w:r>
      <w:r w:rsidR="00650849" w:rsidRPr="00795F17">
        <w:t xml:space="preserve"> </w:t>
      </w:r>
      <w:r w:rsidRPr="00795F17">
        <w:t>podzielone</w:t>
      </w:r>
      <w:r w:rsidR="00650849" w:rsidRPr="00795F17">
        <w:t xml:space="preserve"> </w:t>
      </w:r>
      <w:r w:rsidRPr="00795F17">
        <w:t>na</w:t>
      </w:r>
      <w:r w:rsidR="00650849" w:rsidRPr="00795F17">
        <w:t xml:space="preserve"> </w:t>
      </w:r>
      <w:r w:rsidRPr="00795F17">
        <w:t>wskaźniki</w:t>
      </w:r>
      <w:r w:rsidR="00650849" w:rsidRPr="00795F17">
        <w:t xml:space="preserve"> </w:t>
      </w:r>
      <w:r w:rsidRPr="00795F17">
        <w:t>podstawowe</w:t>
      </w:r>
      <w:r w:rsidR="00650849" w:rsidRPr="00795F17">
        <w:t xml:space="preserve"> </w:t>
      </w:r>
      <w:r w:rsidRPr="00795F17">
        <w:t>i</w:t>
      </w:r>
      <w:r w:rsidR="00650849" w:rsidRPr="00795F17">
        <w:t xml:space="preserve"> </w:t>
      </w:r>
      <w:r w:rsidRPr="00795F17">
        <w:t>uzupełniające,</w:t>
      </w:r>
      <w:r w:rsidR="00650849" w:rsidRPr="00795F17">
        <w:t xml:space="preserve"> </w:t>
      </w:r>
      <w:r w:rsidRPr="00795F17">
        <w:t>pomocniczo</w:t>
      </w:r>
      <w:r w:rsidR="00650849" w:rsidRPr="00795F17">
        <w:t xml:space="preserve"> </w:t>
      </w:r>
      <w:r w:rsidRPr="00795F17">
        <w:t>wskaźniki</w:t>
      </w:r>
      <w:r w:rsidR="00650849" w:rsidRPr="00795F17">
        <w:t xml:space="preserve"> </w:t>
      </w:r>
      <w:r w:rsidRPr="00795F17">
        <w:t>biologiczne.</w:t>
      </w:r>
      <w:r w:rsidR="00650849" w:rsidRPr="00795F17">
        <w:t xml:space="preserve"> </w:t>
      </w:r>
    </w:p>
    <w:p w14:paraId="78C06A09" w14:textId="0CE1E23A" w:rsidR="00175B01" w:rsidRPr="00795F17" w:rsidRDefault="00175B01" w:rsidP="00650849">
      <w:r w:rsidRPr="00795F17">
        <w:t>Wstępna</w:t>
      </w:r>
      <w:r w:rsidR="00650849" w:rsidRPr="00795F17">
        <w:t xml:space="preserve"> </w:t>
      </w:r>
      <w:r w:rsidRPr="00795F17">
        <w:t>kwalifikacja</w:t>
      </w:r>
      <w:r w:rsidR="00650849" w:rsidRPr="00795F17">
        <w:t xml:space="preserve"> </w:t>
      </w:r>
      <w:r w:rsidR="00DF005E">
        <w:t>JCWP</w:t>
      </w:r>
      <w:r w:rsidR="00650849" w:rsidRPr="00795F17">
        <w:t xml:space="preserve"> </w:t>
      </w:r>
      <w:r w:rsidRPr="00795F17">
        <w:t>jako</w:t>
      </w:r>
      <w:r w:rsidR="00650849" w:rsidRPr="00795F17">
        <w:t xml:space="preserve"> </w:t>
      </w:r>
      <w:r w:rsidRPr="00795F17">
        <w:t>silnie</w:t>
      </w:r>
      <w:r w:rsidR="00650849" w:rsidRPr="00795F17">
        <w:t xml:space="preserve"> </w:t>
      </w:r>
      <w:r w:rsidRPr="00795F17">
        <w:t>zmienionych</w:t>
      </w:r>
      <w:r w:rsidR="00650849" w:rsidRPr="00795F17">
        <w:t xml:space="preserve"> </w:t>
      </w:r>
      <w:r w:rsidRPr="00795F17">
        <w:t>opiera</w:t>
      </w:r>
      <w:r w:rsidR="00650849" w:rsidRPr="00795F17">
        <w:t xml:space="preserve"> </w:t>
      </w:r>
      <w:r w:rsidRPr="00795F17">
        <w:t>się</w:t>
      </w:r>
      <w:r w:rsidR="00650849" w:rsidRPr="00795F17">
        <w:t xml:space="preserve"> </w:t>
      </w:r>
      <w:r w:rsidRPr="00795F17">
        <w:t>na</w:t>
      </w:r>
      <w:r w:rsidR="00650849" w:rsidRPr="00795F17">
        <w:t xml:space="preserve"> </w:t>
      </w:r>
      <w:r w:rsidRPr="00795F17">
        <w:t>ocenie</w:t>
      </w:r>
      <w:r w:rsidR="00650849" w:rsidRPr="00795F17">
        <w:t xml:space="preserve"> </w:t>
      </w:r>
      <w:r w:rsidRPr="00795F17">
        <w:t>zbiorczej</w:t>
      </w:r>
      <w:r w:rsidR="00650849" w:rsidRPr="00795F17">
        <w:t xml:space="preserve"> </w:t>
      </w:r>
      <w:r w:rsidRPr="00795F17">
        <w:t>opartej</w:t>
      </w:r>
      <w:r w:rsidR="00650849" w:rsidRPr="00795F17">
        <w:t xml:space="preserve"> </w:t>
      </w:r>
      <w:r w:rsidRPr="00795F17">
        <w:t>o</w:t>
      </w:r>
      <w:r w:rsidR="00650849" w:rsidRPr="00795F17">
        <w:t xml:space="preserve"> </w:t>
      </w:r>
      <w:r w:rsidRPr="00795F17">
        <w:t>grupy</w:t>
      </w:r>
      <w:r w:rsidR="00650849" w:rsidRPr="00795F17">
        <w:t xml:space="preserve"> </w:t>
      </w:r>
      <w:r w:rsidRPr="00795F17">
        <w:t>wskaźników.</w:t>
      </w:r>
      <w:r w:rsidR="00650849" w:rsidRPr="00795F17">
        <w:t xml:space="preserve"> </w:t>
      </w:r>
      <w:r w:rsidR="00DF005E">
        <w:t>JCWP</w:t>
      </w:r>
      <w:r w:rsidR="00650849" w:rsidRPr="00795F17">
        <w:t xml:space="preserve"> </w:t>
      </w:r>
      <w:r w:rsidRPr="00795F17">
        <w:t>TW</w:t>
      </w:r>
      <w:r w:rsidR="00650849" w:rsidRPr="00795F17">
        <w:t xml:space="preserve"> </w:t>
      </w:r>
      <w:r w:rsidRPr="00795F17">
        <w:t>i</w:t>
      </w:r>
      <w:r w:rsidR="00650849" w:rsidRPr="00795F17">
        <w:t xml:space="preserve"> </w:t>
      </w:r>
      <w:r w:rsidRPr="00795F17">
        <w:t>CW</w:t>
      </w:r>
      <w:r w:rsidR="00650849" w:rsidRPr="00795F17">
        <w:t xml:space="preserve"> </w:t>
      </w:r>
      <w:r w:rsidRPr="00795F17">
        <w:t>ocenione</w:t>
      </w:r>
      <w:r w:rsidR="00650849" w:rsidRPr="00795F17">
        <w:t xml:space="preserve"> </w:t>
      </w:r>
      <w:r w:rsidRPr="00795F17">
        <w:t>zostały</w:t>
      </w:r>
      <w:r w:rsidR="00650849" w:rsidRPr="00795F17">
        <w:t xml:space="preserve"> </w:t>
      </w:r>
      <w:r w:rsidRPr="00795F17">
        <w:t>na</w:t>
      </w:r>
      <w:r w:rsidR="00650849" w:rsidRPr="00795F17">
        <w:t xml:space="preserve"> </w:t>
      </w:r>
      <w:r w:rsidRPr="00795F17">
        <w:t>podstawie</w:t>
      </w:r>
      <w:r w:rsidR="00650849" w:rsidRPr="00795F17">
        <w:t xml:space="preserve"> </w:t>
      </w:r>
      <w:r w:rsidRPr="00795F17">
        <w:t>zdiagnozowanych</w:t>
      </w:r>
      <w:r w:rsidR="00650849" w:rsidRPr="00795F17">
        <w:t xml:space="preserve"> </w:t>
      </w:r>
      <w:r w:rsidRPr="00795F17">
        <w:t>w</w:t>
      </w:r>
      <w:r w:rsidR="00650849" w:rsidRPr="00795F17">
        <w:t xml:space="preserve"> </w:t>
      </w:r>
      <w:r w:rsidRPr="00795F17">
        <w:t>nich</w:t>
      </w:r>
      <w:r w:rsidR="00650849" w:rsidRPr="00795F17">
        <w:t xml:space="preserve"> </w:t>
      </w:r>
      <w:r w:rsidRPr="00795F17">
        <w:t>przekształceń</w:t>
      </w:r>
      <w:r w:rsidR="00650849" w:rsidRPr="00795F17">
        <w:t xml:space="preserve"> </w:t>
      </w:r>
      <w:r w:rsidRPr="00795F17">
        <w:t>morfologicznych</w:t>
      </w:r>
      <w:r w:rsidR="00650849" w:rsidRPr="00795F17">
        <w:t xml:space="preserve"> </w:t>
      </w:r>
      <w:r w:rsidRPr="00795F17">
        <w:t>w</w:t>
      </w:r>
      <w:r w:rsidR="00650849" w:rsidRPr="00795F17">
        <w:t xml:space="preserve"> </w:t>
      </w:r>
      <w:r w:rsidRPr="00795F17">
        <w:t>oparciu</w:t>
      </w:r>
      <w:r w:rsidR="00650849" w:rsidRPr="00795F17">
        <w:t xml:space="preserve"> </w:t>
      </w:r>
      <w:r w:rsidRPr="00795F17">
        <w:t>o</w:t>
      </w:r>
      <w:r w:rsidR="00650849" w:rsidRPr="00795F17">
        <w:t xml:space="preserve"> </w:t>
      </w:r>
      <w:r w:rsidRPr="00795F17">
        <w:t>zbiorczy</w:t>
      </w:r>
      <w:r w:rsidR="00650849" w:rsidRPr="00795F17">
        <w:t xml:space="preserve"> </w:t>
      </w:r>
      <w:r w:rsidRPr="00795F17">
        <w:t>wskaźnik</w:t>
      </w:r>
      <w:r w:rsidR="00650849" w:rsidRPr="00795F17">
        <w:t xml:space="preserve"> </w:t>
      </w:r>
      <w:r w:rsidRPr="00795F17">
        <w:t>zmian.</w:t>
      </w:r>
      <w:r w:rsidR="002A13B9" w:rsidRPr="00795F17">
        <w:t xml:space="preserve"> </w:t>
      </w:r>
    </w:p>
    <w:p w14:paraId="4697B8A7" w14:textId="7C54E966" w:rsidR="00175B01" w:rsidRPr="00795F17" w:rsidRDefault="00175B01" w:rsidP="00650849">
      <w:r w:rsidRPr="00795F17">
        <w:t>Etap</w:t>
      </w:r>
      <w:r w:rsidR="00650849" w:rsidRPr="00795F17">
        <w:t xml:space="preserve"> </w:t>
      </w:r>
      <w:r w:rsidRPr="00795F17">
        <w:t>ostatecznego</w:t>
      </w:r>
      <w:r w:rsidR="00650849" w:rsidRPr="00795F17">
        <w:t xml:space="preserve"> </w:t>
      </w:r>
      <w:r w:rsidRPr="00795F17">
        <w:t>wyznaczenia</w:t>
      </w:r>
      <w:r w:rsidR="00650849" w:rsidRPr="00795F17">
        <w:t xml:space="preserve"> </w:t>
      </w:r>
      <w:r w:rsidRPr="00795F17">
        <w:t>silnie</w:t>
      </w:r>
      <w:r w:rsidR="00650849" w:rsidRPr="00795F17">
        <w:t xml:space="preserve"> </w:t>
      </w:r>
      <w:r w:rsidRPr="00795F17">
        <w:t>zmienionych</w:t>
      </w:r>
      <w:r w:rsidR="00650849" w:rsidRPr="00795F17">
        <w:t xml:space="preserve"> </w:t>
      </w:r>
      <w:r w:rsidRPr="00795F17">
        <w:t>i</w:t>
      </w:r>
      <w:r w:rsidR="00650849" w:rsidRPr="00795F17">
        <w:t xml:space="preserve"> </w:t>
      </w:r>
      <w:r w:rsidRPr="00795F17">
        <w:t>sztucznych</w:t>
      </w:r>
      <w:r w:rsidR="00650849" w:rsidRPr="00795F17">
        <w:t xml:space="preserve"> </w:t>
      </w:r>
      <w:r w:rsidRPr="00795F17">
        <w:t>części</w:t>
      </w:r>
      <w:r w:rsidR="00650849" w:rsidRPr="00795F17">
        <w:t xml:space="preserve"> </w:t>
      </w:r>
      <w:r w:rsidRPr="00795F17">
        <w:t>wód</w:t>
      </w:r>
      <w:r w:rsidR="00650849" w:rsidRPr="00795F17">
        <w:t xml:space="preserve"> </w:t>
      </w:r>
      <w:r w:rsidRPr="00795F17">
        <w:t>powierzchniowych</w:t>
      </w:r>
      <w:r w:rsidR="00650849" w:rsidRPr="00795F17">
        <w:t xml:space="preserve"> </w:t>
      </w:r>
      <w:r w:rsidRPr="00795F17">
        <w:t>opierał</w:t>
      </w:r>
      <w:r w:rsidR="00650849" w:rsidRPr="00795F17">
        <w:t xml:space="preserve"> </w:t>
      </w:r>
      <w:r w:rsidRPr="00795F17">
        <w:t>się,</w:t>
      </w:r>
      <w:r w:rsidR="00650849" w:rsidRPr="00795F17">
        <w:t xml:space="preserve"> </w:t>
      </w:r>
      <w:r w:rsidRPr="00795F17">
        <w:t>zgodnie</w:t>
      </w:r>
      <w:r w:rsidR="00650849" w:rsidRPr="00795F17">
        <w:t xml:space="preserve"> </w:t>
      </w:r>
      <w:r w:rsidRPr="00795F17">
        <w:t>z</w:t>
      </w:r>
      <w:r w:rsidR="00650849" w:rsidRPr="00795F17">
        <w:t xml:space="preserve"> </w:t>
      </w:r>
      <w:r w:rsidRPr="00795F17">
        <w:t>CIS,</w:t>
      </w:r>
      <w:r w:rsidR="00650849" w:rsidRPr="00795F17">
        <w:t xml:space="preserve"> </w:t>
      </w:r>
      <w:r w:rsidRPr="00795F17">
        <w:t>na</w:t>
      </w:r>
      <w:r w:rsidR="00650849" w:rsidRPr="00795F17">
        <w:t xml:space="preserve"> </w:t>
      </w:r>
      <w:r w:rsidRPr="00795F17">
        <w:t>testach</w:t>
      </w:r>
      <w:r w:rsidR="00650849" w:rsidRPr="00795F17">
        <w:t xml:space="preserve"> </w:t>
      </w:r>
      <w:r w:rsidRPr="00795F17">
        <w:t>restytucji</w:t>
      </w:r>
      <w:r w:rsidR="00650849" w:rsidRPr="00795F17">
        <w:t xml:space="preserve"> </w:t>
      </w:r>
      <w:r w:rsidRPr="00795F17">
        <w:t>i</w:t>
      </w:r>
      <w:r w:rsidR="00650849" w:rsidRPr="00795F17">
        <w:t xml:space="preserve"> </w:t>
      </w:r>
      <w:r w:rsidRPr="00795F17">
        <w:t>testach</w:t>
      </w:r>
      <w:r w:rsidR="00650849" w:rsidRPr="00795F17">
        <w:t xml:space="preserve"> </w:t>
      </w:r>
      <w:r w:rsidRPr="00795F17">
        <w:t>alternatyw</w:t>
      </w:r>
      <w:r w:rsidR="00650849" w:rsidRPr="00795F17">
        <w:t xml:space="preserve"> </w:t>
      </w:r>
      <w:r w:rsidRPr="00795F17">
        <w:t>funkcjonalnych</w:t>
      </w:r>
      <w:r w:rsidR="00650849" w:rsidRPr="00795F17">
        <w:t xml:space="preserve"> </w:t>
      </w:r>
      <w:r w:rsidRPr="00795F17">
        <w:t>opartych</w:t>
      </w:r>
      <w:r w:rsidR="00650849" w:rsidRPr="00795F17">
        <w:t xml:space="preserve"> </w:t>
      </w:r>
      <w:r w:rsidRPr="00795F17">
        <w:t>o</w:t>
      </w:r>
      <w:r w:rsidR="00650849" w:rsidRPr="00795F17">
        <w:t xml:space="preserve"> </w:t>
      </w:r>
      <w:r w:rsidRPr="00795F17">
        <w:t>katalogi</w:t>
      </w:r>
      <w:r w:rsidR="00650849" w:rsidRPr="00795F17">
        <w:t xml:space="preserve"> </w:t>
      </w:r>
      <w:r w:rsidRPr="00795F17">
        <w:t>działań</w:t>
      </w:r>
      <w:r w:rsidR="00650849" w:rsidRPr="00795F17">
        <w:t xml:space="preserve"> </w:t>
      </w:r>
      <w:r w:rsidRPr="00795F17">
        <w:t>renaturyzacyjnych</w:t>
      </w:r>
      <w:r w:rsidR="00650849" w:rsidRPr="00795F17">
        <w:t xml:space="preserve"> </w:t>
      </w:r>
      <w:r w:rsidRPr="00795F17">
        <w:t>i</w:t>
      </w:r>
      <w:r w:rsidR="00650849" w:rsidRPr="00795F17">
        <w:t xml:space="preserve"> </w:t>
      </w:r>
      <w:r w:rsidRPr="00795F17">
        <w:t>alternatywnych</w:t>
      </w:r>
      <w:r w:rsidR="00650849" w:rsidRPr="00795F17">
        <w:t xml:space="preserve"> </w:t>
      </w:r>
      <w:r w:rsidRPr="00795F17">
        <w:t>sposobów</w:t>
      </w:r>
      <w:r w:rsidR="00650849" w:rsidRPr="00795F17">
        <w:t xml:space="preserve"> </w:t>
      </w:r>
      <w:r w:rsidRPr="00795F17">
        <w:t>(opcji)</w:t>
      </w:r>
      <w:r w:rsidR="00650849" w:rsidRPr="00795F17">
        <w:t xml:space="preserve"> </w:t>
      </w:r>
      <w:r w:rsidRPr="00795F17">
        <w:t>osiągniecia</w:t>
      </w:r>
      <w:r w:rsidR="00650849" w:rsidRPr="00795F17">
        <w:t xml:space="preserve"> </w:t>
      </w:r>
      <w:r w:rsidRPr="00795F17">
        <w:t>celów</w:t>
      </w:r>
      <w:r w:rsidR="00650849" w:rsidRPr="00795F17">
        <w:t xml:space="preserve"> </w:t>
      </w:r>
      <w:r w:rsidRPr="00795F17">
        <w:t>będących</w:t>
      </w:r>
      <w:r w:rsidR="00650849" w:rsidRPr="00795F17">
        <w:t xml:space="preserve"> </w:t>
      </w:r>
      <w:r w:rsidRPr="00795F17">
        <w:t>przyczyną</w:t>
      </w:r>
      <w:r w:rsidR="00650849" w:rsidRPr="00795F17">
        <w:t xml:space="preserve"> </w:t>
      </w:r>
      <w:r w:rsidRPr="00795F17">
        <w:t>przekształceń</w:t>
      </w:r>
      <w:r w:rsidR="00650849" w:rsidRPr="00795F17">
        <w:t xml:space="preserve"> </w:t>
      </w:r>
      <w:r w:rsidRPr="00795F17">
        <w:t>w</w:t>
      </w:r>
      <w:r w:rsidR="00650849" w:rsidRPr="00795F17">
        <w:t xml:space="preserve"> </w:t>
      </w:r>
      <w:r w:rsidR="00DF005E">
        <w:t>JCWP</w:t>
      </w:r>
      <w:r w:rsidRPr="00795F17">
        <w:t>.</w:t>
      </w:r>
      <w:r w:rsidR="00650849" w:rsidRPr="00795F17">
        <w:t xml:space="preserve"> </w:t>
      </w:r>
      <w:r w:rsidRPr="00795F17">
        <w:t>W</w:t>
      </w:r>
      <w:r w:rsidR="00650849" w:rsidRPr="00795F17">
        <w:t xml:space="preserve"> </w:t>
      </w:r>
      <w:r w:rsidRPr="00795F17">
        <w:t>przypadku</w:t>
      </w:r>
      <w:r w:rsidR="00650849" w:rsidRPr="00795F17">
        <w:t xml:space="preserve"> </w:t>
      </w:r>
      <w:r w:rsidR="00DF005E">
        <w:t>JCWP</w:t>
      </w:r>
      <w:r w:rsidR="00650849" w:rsidRPr="00795F17">
        <w:t xml:space="preserve"> </w:t>
      </w:r>
      <w:r w:rsidRPr="00795F17">
        <w:t>RW</w:t>
      </w:r>
      <w:r w:rsidR="00650849" w:rsidRPr="00795F17">
        <w:t xml:space="preserve"> </w:t>
      </w:r>
      <w:r w:rsidRPr="00795F17">
        <w:t>warianty</w:t>
      </w:r>
      <w:r w:rsidR="00650849" w:rsidRPr="00795F17">
        <w:t xml:space="preserve"> </w:t>
      </w:r>
      <w:r w:rsidRPr="00795F17">
        <w:t>restytucji</w:t>
      </w:r>
      <w:r w:rsidR="00650849" w:rsidRPr="00795F17">
        <w:t xml:space="preserve"> </w:t>
      </w:r>
      <w:r w:rsidRPr="00795F17">
        <w:t>buduje</w:t>
      </w:r>
      <w:r w:rsidR="00650849" w:rsidRPr="00795F17">
        <w:t xml:space="preserve"> </w:t>
      </w:r>
      <w:r w:rsidRPr="00795F17">
        <w:t>się</w:t>
      </w:r>
      <w:r w:rsidR="00650849" w:rsidRPr="00795F17">
        <w:t xml:space="preserve"> </w:t>
      </w:r>
      <w:r w:rsidRPr="00795F17">
        <w:t>w</w:t>
      </w:r>
      <w:r w:rsidR="00650849" w:rsidRPr="00795F17">
        <w:t xml:space="preserve"> </w:t>
      </w:r>
      <w:r w:rsidRPr="00795F17">
        <w:t>oparciu</w:t>
      </w:r>
      <w:r w:rsidR="00650849" w:rsidRPr="00795F17">
        <w:t xml:space="preserve"> </w:t>
      </w:r>
      <w:r w:rsidRPr="00795F17">
        <w:t>o symulacje</w:t>
      </w:r>
      <w:r w:rsidR="00650849" w:rsidRPr="00795F17">
        <w:t xml:space="preserve"> </w:t>
      </w:r>
      <w:r w:rsidRPr="00795F17">
        <w:t>możliwości</w:t>
      </w:r>
      <w:r w:rsidR="00650849" w:rsidRPr="00795F17">
        <w:t xml:space="preserve"> </w:t>
      </w:r>
      <w:r w:rsidRPr="00795F17">
        <w:t>poprawy</w:t>
      </w:r>
      <w:r w:rsidR="00650849" w:rsidRPr="00795F17">
        <w:t xml:space="preserve"> </w:t>
      </w:r>
      <w:r w:rsidRPr="00795F17">
        <w:t>wskaźnika</w:t>
      </w:r>
      <w:r w:rsidR="00650849" w:rsidRPr="00795F17">
        <w:t xml:space="preserve"> </w:t>
      </w:r>
      <w:r w:rsidRPr="00795F17">
        <w:t>HIR.</w:t>
      </w:r>
      <w:r w:rsidR="00650849" w:rsidRPr="00795F17">
        <w:t xml:space="preserve"> </w:t>
      </w:r>
      <w:r w:rsidRPr="00795F17">
        <w:t>Warianty</w:t>
      </w:r>
      <w:r w:rsidR="00650849" w:rsidRPr="00795F17">
        <w:t xml:space="preserve"> </w:t>
      </w:r>
      <w:r w:rsidRPr="00795F17">
        <w:t>rozwiązań</w:t>
      </w:r>
      <w:r w:rsidR="00650849" w:rsidRPr="00795F17">
        <w:t xml:space="preserve"> </w:t>
      </w:r>
      <w:r w:rsidRPr="00795F17">
        <w:t>w</w:t>
      </w:r>
      <w:r w:rsidR="00650849" w:rsidRPr="00795F17">
        <w:t xml:space="preserve"> </w:t>
      </w:r>
      <w:r w:rsidRPr="00795F17">
        <w:t>obu</w:t>
      </w:r>
      <w:r w:rsidR="00650849" w:rsidRPr="00795F17">
        <w:t xml:space="preserve"> </w:t>
      </w:r>
      <w:r w:rsidRPr="00795F17">
        <w:t>testach</w:t>
      </w:r>
      <w:r w:rsidR="00650849" w:rsidRPr="00795F17">
        <w:t xml:space="preserve"> </w:t>
      </w:r>
      <w:r w:rsidRPr="00795F17">
        <w:t>analizowane</w:t>
      </w:r>
      <w:r w:rsidR="00650849" w:rsidRPr="00795F17">
        <w:t xml:space="preserve"> </w:t>
      </w:r>
      <w:r w:rsidRPr="00795F17">
        <w:t>są</w:t>
      </w:r>
      <w:r w:rsidR="00650849" w:rsidRPr="00795F17">
        <w:t xml:space="preserve"> </w:t>
      </w:r>
      <w:r w:rsidRPr="00795F17">
        <w:t>w oparciu</w:t>
      </w:r>
      <w:r w:rsidR="00650849" w:rsidRPr="00795F17">
        <w:t xml:space="preserve"> </w:t>
      </w:r>
      <w:r w:rsidRPr="00795F17">
        <w:t>o</w:t>
      </w:r>
      <w:r w:rsidR="002A13B9" w:rsidRPr="00795F17">
        <w:t> </w:t>
      </w:r>
      <w:r w:rsidRPr="00795F17">
        <w:t>ocenę</w:t>
      </w:r>
      <w:r w:rsidR="00650849" w:rsidRPr="00795F17">
        <w:t xml:space="preserve"> </w:t>
      </w:r>
      <w:r w:rsidRPr="00795F17">
        <w:t>wielokryterialną.</w:t>
      </w:r>
      <w:r w:rsidR="00650849" w:rsidRPr="00795F17">
        <w:t xml:space="preserve"> </w:t>
      </w:r>
      <w:r w:rsidRPr="00795F17">
        <w:t>Szczegółowe</w:t>
      </w:r>
      <w:r w:rsidR="00650849" w:rsidRPr="00795F17">
        <w:t xml:space="preserve"> </w:t>
      </w:r>
      <w:r w:rsidRPr="00795F17">
        <w:t>informacje</w:t>
      </w:r>
      <w:r w:rsidR="00650849" w:rsidRPr="00795F17">
        <w:t xml:space="preserve"> </w:t>
      </w:r>
      <w:r w:rsidRPr="00795F17">
        <w:t>dotyczące</w:t>
      </w:r>
      <w:r w:rsidR="00650849" w:rsidRPr="00795F17">
        <w:t xml:space="preserve"> </w:t>
      </w:r>
      <w:r w:rsidRPr="00795F17">
        <w:t>rozwiązań</w:t>
      </w:r>
      <w:r w:rsidR="00650849" w:rsidRPr="00795F17">
        <w:t xml:space="preserve"> </w:t>
      </w:r>
      <w:r w:rsidRPr="00795F17">
        <w:t>metodycznych</w:t>
      </w:r>
      <w:r w:rsidR="00650849" w:rsidRPr="00795F17">
        <w:t xml:space="preserve"> </w:t>
      </w:r>
      <w:r w:rsidRPr="00795F17">
        <w:t>wyznaczenia</w:t>
      </w:r>
      <w:r w:rsidR="00650849" w:rsidRPr="00795F17">
        <w:t xml:space="preserve"> </w:t>
      </w:r>
      <w:r w:rsidRPr="00795F17">
        <w:t>SZCW</w:t>
      </w:r>
      <w:r w:rsidR="00650849" w:rsidRPr="00795F17">
        <w:t xml:space="preserve"> </w:t>
      </w:r>
      <w:r w:rsidRPr="00795F17">
        <w:t>i</w:t>
      </w:r>
      <w:r w:rsidR="00650849" w:rsidRPr="00795F17">
        <w:t xml:space="preserve"> </w:t>
      </w:r>
      <w:r w:rsidRPr="00795F17">
        <w:t>SCW</w:t>
      </w:r>
      <w:r w:rsidR="00650849" w:rsidRPr="00795F17">
        <w:t xml:space="preserve"> </w:t>
      </w:r>
      <w:r w:rsidRPr="00795F17">
        <w:t>przedstawia</w:t>
      </w:r>
      <w:r w:rsidR="00650849" w:rsidRPr="00795F17">
        <w:t xml:space="preserve"> </w:t>
      </w:r>
      <w:r w:rsidRPr="00795F17">
        <w:t>dokument</w:t>
      </w:r>
      <w:r w:rsidR="00650849" w:rsidRPr="00795F17">
        <w:t xml:space="preserve"> </w:t>
      </w:r>
      <w:r w:rsidRPr="00795F17">
        <w:rPr>
          <w:i/>
          <w:iCs/>
        </w:rPr>
        <w:t>Ostateczna</w:t>
      </w:r>
      <w:r w:rsidR="00650849" w:rsidRPr="00795F17">
        <w:rPr>
          <w:i/>
          <w:iCs/>
        </w:rPr>
        <w:t xml:space="preserve"> </w:t>
      </w:r>
      <w:r w:rsidRPr="00795F17">
        <w:rPr>
          <w:i/>
          <w:iCs/>
        </w:rPr>
        <w:t>metodyka</w:t>
      </w:r>
      <w:r w:rsidR="00650849" w:rsidRPr="00795F17">
        <w:rPr>
          <w:i/>
          <w:iCs/>
        </w:rPr>
        <w:t xml:space="preserve"> </w:t>
      </w:r>
      <w:r w:rsidRPr="00795F17">
        <w:rPr>
          <w:i/>
          <w:iCs/>
        </w:rPr>
        <w:t>wyznaczania</w:t>
      </w:r>
      <w:r w:rsidR="00650849" w:rsidRPr="00795F17">
        <w:rPr>
          <w:i/>
          <w:iCs/>
        </w:rPr>
        <w:t xml:space="preserve"> </w:t>
      </w:r>
      <w:r w:rsidRPr="00795F17">
        <w:rPr>
          <w:i/>
          <w:iCs/>
        </w:rPr>
        <w:t>silnie</w:t>
      </w:r>
      <w:r w:rsidR="00650849" w:rsidRPr="00795F17">
        <w:rPr>
          <w:i/>
          <w:iCs/>
        </w:rPr>
        <w:t xml:space="preserve"> </w:t>
      </w:r>
      <w:r w:rsidRPr="00795F17">
        <w:rPr>
          <w:i/>
          <w:iCs/>
        </w:rPr>
        <w:t>zmienionych</w:t>
      </w:r>
      <w:r w:rsidR="00650849" w:rsidRPr="00795F17">
        <w:rPr>
          <w:i/>
          <w:iCs/>
        </w:rPr>
        <w:t xml:space="preserve"> </w:t>
      </w:r>
      <w:r w:rsidRPr="00795F17">
        <w:rPr>
          <w:i/>
          <w:iCs/>
        </w:rPr>
        <w:t>i</w:t>
      </w:r>
      <w:r w:rsidR="00650849" w:rsidRPr="00795F17">
        <w:rPr>
          <w:i/>
          <w:iCs/>
        </w:rPr>
        <w:t xml:space="preserve"> </w:t>
      </w:r>
      <w:r w:rsidRPr="00795F17">
        <w:rPr>
          <w:i/>
          <w:iCs/>
        </w:rPr>
        <w:t>sztucznych</w:t>
      </w:r>
      <w:r w:rsidR="00650849" w:rsidRPr="00795F17">
        <w:rPr>
          <w:i/>
          <w:iCs/>
        </w:rPr>
        <w:t xml:space="preserve"> </w:t>
      </w:r>
      <w:r w:rsidRPr="00795F17">
        <w:rPr>
          <w:i/>
          <w:iCs/>
        </w:rPr>
        <w:t>części</w:t>
      </w:r>
      <w:r w:rsidR="00650849" w:rsidRPr="00795F17">
        <w:rPr>
          <w:i/>
          <w:iCs/>
        </w:rPr>
        <w:t xml:space="preserve"> </w:t>
      </w:r>
      <w:r w:rsidRPr="00795F17">
        <w:rPr>
          <w:i/>
          <w:iCs/>
        </w:rPr>
        <w:t>wód</w:t>
      </w:r>
      <w:r w:rsidR="00650849" w:rsidRPr="00795F17">
        <w:rPr>
          <w:i/>
          <w:iCs/>
        </w:rPr>
        <w:t xml:space="preserve"> </w:t>
      </w:r>
      <w:r w:rsidRPr="00795F17">
        <w:rPr>
          <w:i/>
          <w:iCs/>
        </w:rPr>
        <w:t>powierzchniowych</w:t>
      </w:r>
      <w:r w:rsidR="00650849" w:rsidRPr="00795F17">
        <w:rPr>
          <w:i/>
          <w:iCs/>
        </w:rPr>
        <w:t xml:space="preserve"> </w:t>
      </w:r>
      <w:r w:rsidRPr="00795F17">
        <w:rPr>
          <w:i/>
          <w:iCs/>
        </w:rPr>
        <w:t>wraz</w:t>
      </w:r>
      <w:r w:rsidR="00650849" w:rsidRPr="00795F17">
        <w:rPr>
          <w:i/>
          <w:iCs/>
        </w:rPr>
        <w:t xml:space="preserve"> </w:t>
      </w:r>
      <w:r w:rsidRPr="00795F17">
        <w:rPr>
          <w:i/>
          <w:iCs/>
        </w:rPr>
        <w:t>z</w:t>
      </w:r>
      <w:r w:rsidR="00650849" w:rsidRPr="00795F17">
        <w:rPr>
          <w:i/>
          <w:iCs/>
        </w:rPr>
        <w:t xml:space="preserve"> </w:t>
      </w:r>
      <w:r w:rsidRPr="00795F17">
        <w:rPr>
          <w:i/>
          <w:iCs/>
        </w:rPr>
        <w:t>koncepcją</w:t>
      </w:r>
      <w:r w:rsidR="00650849" w:rsidRPr="00795F17">
        <w:rPr>
          <w:i/>
          <w:iCs/>
        </w:rPr>
        <w:t xml:space="preserve"> </w:t>
      </w:r>
      <w:r w:rsidRPr="00795F17">
        <w:rPr>
          <w:i/>
          <w:iCs/>
        </w:rPr>
        <w:t>określania</w:t>
      </w:r>
      <w:r w:rsidR="00650849" w:rsidRPr="00795F17">
        <w:rPr>
          <w:i/>
          <w:iCs/>
        </w:rPr>
        <w:t xml:space="preserve"> </w:t>
      </w:r>
      <w:r w:rsidRPr="00795F17">
        <w:rPr>
          <w:i/>
          <w:iCs/>
        </w:rPr>
        <w:t>potencjału</w:t>
      </w:r>
      <w:r w:rsidR="00650849" w:rsidRPr="00795F17">
        <w:rPr>
          <w:i/>
          <w:iCs/>
        </w:rPr>
        <w:t xml:space="preserve"> </w:t>
      </w:r>
      <w:r w:rsidRPr="00795F17">
        <w:rPr>
          <w:i/>
          <w:iCs/>
        </w:rPr>
        <w:t>ekologicznego.</w:t>
      </w:r>
    </w:p>
    <w:p w14:paraId="3A23832E" w14:textId="4ED47546" w:rsidR="006F0E34" w:rsidRPr="00795F17" w:rsidRDefault="006F0E34" w:rsidP="0044393D">
      <w:r w:rsidRPr="00795F17">
        <w:t>Wykaz SCW i SZCW wraz z uzasadnieniem ich wyznaczenia zawiera załącznik nr 1</w:t>
      </w:r>
      <w:r w:rsidR="004D0E15" w:rsidRPr="00795F17">
        <w:t xml:space="preserve"> (Zestawienie główne)</w:t>
      </w:r>
      <w:r w:rsidRPr="00795F17">
        <w:t>, który prezentuje szczegółowe informacje o</w:t>
      </w:r>
      <w:r w:rsidR="00ED5C4A" w:rsidRPr="00795F17">
        <w:t xml:space="preserve"> statusie </w:t>
      </w:r>
      <w:r w:rsidRPr="00795F17">
        <w:t xml:space="preserve">poszczególnych jcw. Położenie i granice </w:t>
      </w:r>
      <w:r w:rsidR="00DF005E">
        <w:t>JCWP</w:t>
      </w:r>
      <w:r w:rsidRPr="00795F17">
        <w:t xml:space="preserve"> w</w:t>
      </w:r>
      <w:r w:rsidR="00641289" w:rsidRPr="00795F17">
        <w:t> </w:t>
      </w:r>
      <w:r w:rsidRPr="00795F17">
        <w:t>obszarze dorzecza Odry przedstawiono na mapach stanowiących załącznik graficzny nr 1 do</w:t>
      </w:r>
      <w:r w:rsidR="00ED5C4A" w:rsidRPr="00795F17">
        <w:t> IIaPGW</w:t>
      </w:r>
      <w:r w:rsidRPr="00795F17">
        <w:t>.</w:t>
      </w:r>
    </w:p>
    <w:p w14:paraId="7F6C607C" w14:textId="75FFA5F7" w:rsidR="006F0E34" w:rsidRPr="00795F17" w:rsidRDefault="006F0E34" w:rsidP="0044393D">
      <w:r w:rsidRPr="00795F17">
        <w:t xml:space="preserve">Liczbę </w:t>
      </w:r>
      <w:r w:rsidR="00DF005E">
        <w:t>JCWP</w:t>
      </w:r>
      <w:r w:rsidRPr="00795F17">
        <w:t xml:space="preserve"> z określonym statusem w poszczególnych regionach wodnych obszaru dorzecza Odry prezentuje poniższa tabela</w:t>
      </w:r>
      <w:r w:rsidR="00890AB5" w:rsidRPr="00795F17">
        <w:t xml:space="preserve"> 3-7</w:t>
      </w:r>
      <w:r w:rsidRPr="00795F17">
        <w:t>.</w:t>
      </w:r>
    </w:p>
    <w:p w14:paraId="0DD4987F" w14:textId="1C043A60" w:rsidR="003E2D19" w:rsidRPr="00795F17" w:rsidRDefault="003E2D19" w:rsidP="004D7705">
      <w:pPr>
        <w:pStyle w:val="Tabela"/>
      </w:pPr>
      <w:bookmarkStart w:id="75" w:name="_Toc66341849"/>
      <w:bookmarkStart w:id="76" w:name="_Toc105512757"/>
      <w:r w:rsidRPr="00795F17">
        <w:t xml:space="preserve">Tabela </w:t>
      </w:r>
      <w:fldSimple w:instr=" STYLEREF 1 \s ">
        <w:r w:rsidR="001F774D">
          <w:rPr>
            <w:noProof/>
          </w:rPr>
          <w:t>3</w:t>
        </w:r>
      </w:fldSimple>
      <w:r w:rsidR="00BB3B21" w:rsidRPr="00795F17">
        <w:noBreakHyphen/>
      </w:r>
      <w:fldSimple w:instr=" SEQ Tabela \* ARABIC \s 1 ">
        <w:r w:rsidR="001F774D">
          <w:rPr>
            <w:noProof/>
          </w:rPr>
          <w:t>7</w:t>
        </w:r>
      </w:fldSimple>
      <w:r w:rsidR="00BA11D4">
        <w:rPr>
          <w:noProof/>
        </w:rPr>
        <w:t>.</w:t>
      </w:r>
      <w:r w:rsidRPr="00795F17">
        <w:tab/>
        <w:t xml:space="preserve">Zestawienie </w:t>
      </w:r>
      <w:r w:rsidR="00DF005E">
        <w:t>JCWP</w:t>
      </w:r>
      <w:r w:rsidRPr="00795F17">
        <w:t xml:space="preserve"> z określonym statusem w poszczególnych regionach wodnych obszaru dorzecza Odry</w:t>
      </w:r>
      <w:bookmarkEnd w:id="75"/>
      <w:bookmarkEnd w:id="76"/>
    </w:p>
    <w:tbl>
      <w:tblPr>
        <w:tblStyle w:val="Tabela-Siatka"/>
        <w:tblW w:w="5000" w:type="pct"/>
        <w:tblLayout w:type="fixed"/>
        <w:tblLook w:val="04A0" w:firstRow="1" w:lastRow="0" w:firstColumn="1" w:lastColumn="0" w:noHBand="0" w:noVBand="1"/>
      </w:tblPr>
      <w:tblGrid>
        <w:gridCol w:w="2402"/>
        <w:gridCol w:w="850"/>
        <w:gridCol w:w="707"/>
        <w:gridCol w:w="851"/>
        <w:gridCol w:w="850"/>
        <w:gridCol w:w="851"/>
        <w:gridCol w:w="850"/>
        <w:gridCol w:w="851"/>
        <w:gridCol w:w="850"/>
      </w:tblGrid>
      <w:tr w:rsidR="006F0E34" w:rsidRPr="00795F17" w14:paraId="360F958E" w14:textId="77777777" w:rsidTr="00CD356D">
        <w:trPr>
          <w:cnfStyle w:val="100000000000" w:firstRow="1" w:lastRow="0" w:firstColumn="0" w:lastColumn="0" w:oddVBand="0" w:evenVBand="0" w:oddHBand="0" w:evenHBand="0" w:firstRowFirstColumn="0" w:firstRowLastColumn="0" w:lastRowFirstColumn="0" w:lastRowLastColumn="0"/>
          <w:trHeight w:val="454"/>
        </w:trPr>
        <w:tc>
          <w:tcPr>
            <w:tcW w:w="2402" w:type="dxa"/>
            <w:vMerge w:val="restart"/>
          </w:tcPr>
          <w:p w14:paraId="5668359E" w14:textId="77777777" w:rsidR="006F0E34" w:rsidRPr="00795F17" w:rsidRDefault="006F0E34" w:rsidP="0044393D">
            <w:pPr>
              <w:pStyle w:val="Teksttabelinaglowek"/>
              <w:rPr>
                <w:b/>
              </w:rPr>
            </w:pPr>
            <w:r w:rsidRPr="00795F17">
              <w:rPr>
                <w:b/>
              </w:rPr>
              <w:t>Region wodny</w:t>
            </w:r>
          </w:p>
        </w:tc>
        <w:tc>
          <w:tcPr>
            <w:tcW w:w="6660" w:type="dxa"/>
            <w:gridSpan w:val="8"/>
          </w:tcPr>
          <w:p w14:paraId="76DDCD08" w14:textId="4F4913A8" w:rsidR="006F0E34" w:rsidRPr="00795F17" w:rsidRDefault="006F0E34" w:rsidP="0044393D">
            <w:pPr>
              <w:pStyle w:val="Teksttabelinaglowek"/>
              <w:rPr>
                <w:rFonts w:eastAsiaTheme="minorHAnsi"/>
                <w:b/>
                <w:color w:val="FFFFFF" w:themeColor="background1"/>
              </w:rPr>
            </w:pPr>
            <w:r w:rsidRPr="00795F17">
              <w:rPr>
                <w:b/>
              </w:rPr>
              <w:t xml:space="preserve">Liczba </w:t>
            </w:r>
            <w:r w:rsidR="00DF005E">
              <w:rPr>
                <w:b/>
              </w:rPr>
              <w:t>JCWP</w:t>
            </w:r>
            <w:r w:rsidRPr="00795F17">
              <w:rPr>
                <w:b/>
              </w:rPr>
              <w:t xml:space="preserve"> z określonym statusem</w:t>
            </w:r>
          </w:p>
        </w:tc>
      </w:tr>
      <w:tr w:rsidR="006F0E34" w:rsidRPr="00795F17" w14:paraId="5E13FE1A" w14:textId="77777777" w:rsidTr="00CD356D">
        <w:trPr>
          <w:trHeight w:val="454"/>
        </w:trPr>
        <w:tc>
          <w:tcPr>
            <w:tcW w:w="2402" w:type="dxa"/>
            <w:vMerge/>
            <w:shd w:val="clear" w:color="auto" w:fill="BFBFBF" w:themeFill="background1" w:themeFillShade="BF"/>
          </w:tcPr>
          <w:p w14:paraId="0EE946ED" w14:textId="77777777" w:rsidR="006F0E34" w:rsidRPr="00795F17" w:rsidRDefault="006F0E34" w:rsidP="0044393D">
            <w:pPr>
              <w:pStyle w:val="Teksttabelinaglowek"/>
            </w:pPr>
          </w:p>
        </w:tc>
        <w:tc>
          <w:tcPr>
            <w:tcW w:w="2408" w:type="dxa"/>
            <w:gridSpan w:val="3"/>
            <w:tcBorders>
              <w:right w:val="double" w:sz="4" w:space="0" w:color="auto"/>
            </w:tcBorders>
            <w:shd w:val="clear" w:color="auto" w:fill="BFBFBF" w:themeFill="background1" w:themeFillShade="BF"/>
          </w:tcPr>
          <w:p w14:paraId="26529983" w14:textId="77777777" w:rsidR="006F0E34" w:rsidRPr="00795F17" w:rsidRDefault="006F0E34" w:rsidP="00364244">
            <w:pPr>
              <w:pStyle w:val="Teksttabelinaglowek"/>
            </w:pPr>
            <w:r w:rsidRPr="00795F17">
              <w:t>RW</w:t>
            </w:r>
          </w:p>
        </w:tc>
        <w:tc>
          <w:tcPr>
            <w:tcW w:w="850" w:type="dxa"/>
            <w:tcBorders>
              <w:left w:val="double" w:sz="4" w:space="0" w:color="auto"/>
              <w:right w:val="double" w:sz="4" w:space="0" w:color="auto"/>
            </w:tcBorders>
            <w:shd w:val="clear" w:color="auto" w:fill="BFBFBF" w:themeFill="background1" w:themeFillShade="BF"/>
          </w:tcPr>
          <w:p w14:paraId="49D7FEE5" w14:textId="77777777" w:rsidR="006F0E34" w:rsidRPr="00795F17" w:rsidRDefault="006F0E34" w:rsidP="00364244">
            <w:pPr>
              <w:pStyle w:val="Teksttabelinaglowek"/>
            </w:pPr>
            <w:r w:rsidRPr="00795F17">
              <w:t>RWr</w:t>
            </w:r>
          </w:p>
        </w:tc>
        <w:tc>
          <w:tcPr>
            <w:tcW w:w="1701" w:type="dxa"/>
            <w:gridSpan w:val="2"/>
            <w:tcBorders>
              <w:left w:val="double" w:sz="4" w:space="0" w:color="auto"/>
              <w:right w:val="double" w:sz="4" w:space="0" w:color="auto"/>
            </w:tcBorders>
            <w:shd w:val="clear" w:color="auto" w:fill="BFBFBF" w:themeFill="background1" w:themeFillShade="BF"/>
          </w:tcPr>
          <w:p w14:paraId="7E5A7BE4" w14:textId="77777777" w:rsidR="006F0E34" w:rsidRPr="00795F17" w:rsidRDefault="006F0E34" w:rsidP="00364244">
            <w:pPr>
              <w:pStyle w:val="Teksttabelinaglowek"/>
            </w:pPr>
            <w:r w:rsidRPr="00795F17">
              <w:t>LW</w:t>
            </w:r>
          </w:p>
        </w:tc>
        <w:tc>
          <w:tcPr>
            <w:tcW w:w="851" w:type="dxa"/>
            <w:tcBorders>
              <w:left w:val="double" w:sz="4" w:space="0" w:color="auto"/>
              <w:right w:val="double" w:sz="4" w:space="0" w:color="auto"/>
            </w:tcBorders>
            <w:shd w:val="clear" w:color="auto" w:fill="BFBFBF" w:themeFill="background1" w:themeFillShade="BF"/>
          </w:tcPr>
          <w:p w14:paraId="704FDED3" w14:textId="77777777" w:rsidR="006F0E34" w:rsidRPr="00795F17" w:rsidRDefault="006F0E34" w:rsidP="00364244">
            <w:pPr>
              <w:pStyle w:val="Teksttabelinaglowek"/>
            </w:pPr>
            <w:r w:rsidRPr="00795F17">
              <w:t>TW</w:t>
            </w:r>
          </w:p>
        </w:tc>
        <w:tc>
          <w:tcPr>
            <w:tcW w:w="850" w:type="dxa"/>
            <w:tcBorders>
              <w:left w:val="double" w:sz="4" w:space="0" w:color="auto"/>
            </w:tcBorders>
            <w:shd w:val="clear" w:color="auto" w:fill="BFBFBF" w:themeFill="background1" w:themeFillShade="BF"/>
          </w:tcPr>
          <w:p w14:paraId="43242E60" w14:textId="77777777" w:rsidR="006F0E34" w:rsidRPr="00795F17" w:rsidRDefault="006F0E34" w:rsidP="00364244">
            <w:pPr>
              <w:pStyle w:val="Teksttabelinaglowek"/>
            </w:pPr>
            <w:r w:rsidRPr="00795F17">
              <w:t>CW</w:t>
            </w:r>
          </w:p>
        </w:tc>
      </w:tr>
      <w:tr w:rsidR="004E24D2" w:rsidRPr="00795F17" w14:paraId="165D45C7" w14:textId="77777777" w:rsidTr="00CD356D">
        <w:trPr>
          <w:trHeight w:val="454"/>
        </w:trPr>
        <w:tc>
          <w:tcPr>
            <w:tcW w:w="2402" w:type="dxa"/>
            <w:vMerge/>
          </w:tcPr>
          <w:p w14:paraId="4008147F" w14:textId="77777777" w:rsidR="006F0E34" w:rsidRPr="00795F17" w:rsidRDefault="006F0E34" w:rsidP="0044393D">
            <w:pPr>
              <w:pStyle w:val="Teksttabelinaglowek"/>
            </w:pPr>
          </w:p>
        </w:tc>
        <w:tc>
          <w:tcPr>
            <w:tcW w:w="850" w:type="dxa"/>
            <w:shd w:val="clear" w:color="auto" w:fill="9BBB59" w:themeFill="accent3"/>
          </w:tcPr>
          <w:p w14:paraId="110718F1" w14:textId="77777777" w:rsidR="006F0E34" w:rsidRPr="00795F17" w:rsidRDefault="006F0E34" w:rsidP="0065243A">
            <w:pPr>
              <w:pStyle w:val="Teksttabelisrodek"/>
            </w:pPr>
            <w:r w:rsidRPr="00795F17">
              <w:t>NAT</w:t>
            </w:r>
          </w:p>
        </w:tc>
        <w:tc>
          <w:tcPr>
            <w:tcW w:w="707" w:type="dxa"/>
            <w:shd w:val="clear" w:color="auto" w:fill="D9D9D9" w:themeFill="background1" w:themeFillShade="D9"/>
          </w:tcPr>
          <w:p w14:paraId="58548FFE" w14:textId="77777777" w:rsidR="006F0E34" w:rsidRPr="00795F17" w:rsidRDefault="006F0E34" w:rsidP="0065243A">
            <w:pPr>
              <w:pStyle w:val="Teksttabelisrodek"/>
            </w:pPr>
            <w:r w:rsidRPr="00795F17">
              <w:t>SCW</w:t>
            </w:r>
          </w:p>
        </w:tc>
        <w:tc>
          <w:tcPr>
            <w:tcW w:w="851" w:type="dxa"/>
            <w:tcBorders>
              <w:right w:val="double" w:sz="4" w:space="0" w:color="auto"/>
            </w:tcBorders>
            <w:shd w:val="clear" w:color="auto" w:fill="000000" w:themeFill="text1"/>
          </w:tcPr>
          <w:p w14:paraId="3F24F730" w14:textId="77777777" w:rsidR="006F0E34" w:rsidRPr="00795F17" w:rsidRDefault="006F0E34" w:rsidP="0065243A">
            <w:pPr>
              <w:pStyle w:val="Teksttabelisrodek"/>
            </w:pPr>
            <w:r w:rsidRPr="00795F17">
              <w:t>SZCW</w:t>
            </w:r>
          </w:p>
        </w:tc>
        <w:tc>
          <w:tcPr>
            <w:tcW w:w="850" w:type="dxa"/>
            <w:tcBorders>
              <w:left w:val="double" w:sz="4" w:space="0" w:color="auto"/>
              <w:right w:val="double" w:sz="4" w:space="0" w:color="auto"/>
            </w:tcBorders>
            <w:shd w:val="clear" w:color="auto" w:fill="000000" w:themeFill="text1"/>
          </w:tcPr>
          <w:p w14:paraId="082BC635" w14:textId="77777777" w:rsidR="006F0E34" w:rsidRPr="00795F17" w:rsidRDefault="006F0E34" w:rsidP="0065243A">
            <w:pPr>
              <w:pStyle w:val="Teksttabelisrodek"/>
            </w:pPr>
            <w:r w:rsidRPr="00795F17">
              <w:t>SZCW</w:t>
            </w:r>
          </w:p>
        </w:tc>
        <w:tc>
          <w:tcPr>
            <w:tcW w:w="851" w:type="dxa"/>
            <w:tcBorders>
              <w:left w:val="double" w:sz="4" w:space="0" w:color="auto"/>
            </w:tcBorders>
            <w:shd w:val="clear" w:color="auto" w:fill="9BBB59" w:themeFill="accent3"/>
          </w:tcPr>
          <w:p w14:paraId="125F8399" w14:textId="77777777" w:rsidR="006F0E34" w:rsidRPr="00795F17" w:rsidRDefault="006F0E34" w:rsidP="0065243A">
            <w:pPr>
              <w:pStyle w:val="Teksttabelisrodek"/>
            </w:pPr>
            <w:r w:rsidRPr="00795F17">
              <w:t>NAT</w:t>
            </w:r>
          </w:p>
        </w:tc>
        <w:tc>
          <w:tcPr>
            <w:tcW w:w="850" w:type="dxa"/>
            <w:tcBorders>
              <w:right w:val="double" w:sz="4" w:space="0" w:color="auto"/>
            </w:tcBorders>
            <w:shd w:val="clear" w:color="auto" w:fill="000000" w:themeFill="text1"/>
          </w:tcPr>
          <w:p w14:paraId="75483BBA" w14:textId="77777777" w:rsidR="006F0E34" w:rsidRPr="00795F17" w:rsidRDefault="006F0E34" w:rsidP="0065243A">
            <w:pPr>
              <w:pStyle w:val="Teksttabelisrodek"/>
            </w:pPr>
            <w:r w:rsidRPr="00795F17">
              <w:t>SZCW</w:t>
            </w:r>
          </w:p>
        </w:tc>
        <w:tc>
          <w:tcPr>
            <w:tcW w:w="851" w:type="dxa"/>
            <w:tcBorders>
              <w:left w:val="double" w:sz="4" w:space="0" w:color="auto"/>
              <w:right w:val="double" w:sz="4" w:space="0" w:color="auto"/>
            </w:tcBorders>
            <w:shd w:val="clear" w:color="auto" w:fill="9BBB59" w:themeFill="accent3"/>
          </w:tcPr>
          <w:p w14:paraId="6F2842C8" w14:textId="77777777" w:rsidR="006F0E34" w:rsidRPr="00795F17" w:rsidRDefault="006F0E34" w:rsidP="0065243A">
            <w:pPr>
              <w:pStyle w:val="Teksttabelisrodek"/>
            </w:pPr>
            <w:r w:rsidRPr="00795F17">
              <w:t>NAT</w:t>
            </w:r>
          </w:p>
        </w:tc>
        <w:tc>
          <w:tcPr>
            <w:tcW w:w="850" w:type="dxa"/>
            <w:tcBorders>
              <w:left w:val="double" w:sz="4" w:space="0" w:color="auto"/>
            </w:tcBorders>
            <w:shd w:val="clear" w:color="auto" w:fill="9BBB59" w:themeFill="accent3"/>
          </w:tcPr>
          <w:p w14:paraId="7696E85E" w14:textId="77777777" w:rsidR="006F0E34" w:rsidRPr="00795F17" w:rsidRDefault="006F0E34" w:rsidP="0065243A">
            <w:pPr>
              <w:pStyle w:val="Teksttabelisrodek"/>
            </w:pPr>
            <w:r w:rsidRPr="00795F17">
              <w:t>NAT</w:t>
            </w:r>
          </w:p>
        </w:tc>
      </w:tr>
      <w:tr w:rsidR="00CD356D" w:rsidRPr="00795F17" w14:paraId="6F002E36" w14:textId="77777777" w:rsidTr="00CD356D">
        <w:trPr>
          <w:trHeight w:val="454"/>
        </w:trPr>
        <w:tc>
          <w:tcPr>
            <w:tcW w:w="2402" w:type="dxa"/>
            <w:shd w:val="clear" w:color="auto" w:fill="auto"/>
          </w:tcPr>
          <w:p w14:paraId="134A9EDD" w14:textId="77777777" w:rsidR="00CD356D" w:rsidRPr="00795F17" w:rsidRDefault="00CD356D" w:rsidP="00CD356D">
            <w:pPr>
              <w:pStyle w:val="Teksttabelilewy"/>
              <w:rPr>
                <w:rFonts w:eastAsiaTheme="minorHAnsi"/>
              </w:rPr>
            </w:pPr>
            <w:r w:rsidRPr="00795F17">
              <w:t>Górnej O</w:t>
            </w:r>
            <w:r w:rsidRPr="00795F17">
              <w:rPr>
                <w:rFonts w:eastAsiaTheme="minorHAnsi"/>
              </w:rPr>
              <w:t>dry</w:t>
            </w:r>
          </w:p>
        </w:tc>
        <w:tc>
          <w:tcPr>
            <w:tcW w:w="850" w:type="dxa"/>
          </w:tcPr>
          <w:p w14:paraId="30BD4746" w14:textId="0042E0C7" w:rsidR="00CD356D" w:rsidRPr="00795F17" w:rsidRDefault="00CD356D" w:rsidP="00CD356D">
            <w:pPr>
              <w:pStyle w:val="Teksttabelisrodek"/>
              <w:rPr>
                <w:rFonts w:eastAsiaTheme="minorEastAsia"/>
              </w:rPr>
            </w:pPr>
            <w:r>
              <w:rPr>
                <w:rFonts w:ascii="Calibri" w:hAnsi="Calibri" w:cs="Calibri"/>
                <w:color w:val="000000"/>
                <w:szCs w:val="20"/>
              </w:rPr>
              <w:t>102</w:t>
            </w:r>
          </w:p>
        </w:tc>
        <w:tc>
          <w:tcPr>
            <w:tcW w:w="707" w:type="dxa"/>
          </w:tcPr>
          <w:p w14:paraId="68640ABD" w14:textId="7D8744E0" w:rsidR="00CD356D" w:rsidRPr="00795F17" w:rsidRDefault="00CD356D" w:rsidP="00CD356D">
            <w:pPr>
              <w:pStyle w:val="Teksttabelisrodek"/>
              <w:rPr>
                <w:rFonts w:eastAsiaTheme="minorEastAsia"/>
              </w:rPr>
            </w:pPr>
            <w:r>
              <w:rPr>
                <w:rFonts w:ascii="Calibri" w:hAnsi="Calibri" w:cs="Calibri"/>
                <w:color w:val="000000"/>
                <w:szCs w:val="20"/>
              </w:rPr>
              <w:t>5</w:t>
            </w:r>
          </w:p>
        </w:tc>
        <w:tc>
          <w:tcPr>
            <w:tcW w:w="851" w:type="dxa"/>
            <w:tcBorders>
              <w:right w:val="double" w:sz="4" w:space="0" w:color="auto"/>
            </w:tcBorders>
          </w:tcPr>
          <w:p w14:paraId="60FCEB58" w14:textId="0A83ACF8" w:rsidR="00CD356D" w:rsidRPr="00795F17" w:rsidRDefault="00CD356D" w:rsidP="00CD356D">
            <w:pPr>
              <w:pStyle w:val="Teksttabelisrodek"/>
              <w:rPr>
                <w:rFonts w:eastAsiaTheme="minorEastAsia"/>
              </w:rPr>
            </w:pPr>
            <w:r>
              <w:rPr>
                <w:rFonts w:ascii="Calibri" w:hAnsi="Calibri" w:cs="Calibri"/>
                <w:color w:val="000000"/>
                <w:szCs w:val="20"/>
              </w:rPr>
              <w:t>35</w:t>
            </w:r>
          </w:p>
        </w:tc>
        <w:tc>
          <w:tcPr>
            <w:tcW w:w="850" w:type="dxa"/>
            <w:tcBorders>
              <w:left w:val="double" w:sz="4" w:space="0" w:color="auto"/>
              <w:right w:val="double" w:sz="4" w:space="0" w:color="auto"/>
            </w:tcBorders>
          </w:tcPr>
          <w:p w14:paraId="61DD8461" w14:textId="77777777" w:rsidR="00CD356D" w:rsidRPr="00795F17" w:rsidRDefault="00CD356D" w:rsidP="00CD356D">
            <w:pPr>
              <w:pStyle w:val="Teksttabelisrodek"/>
            </w:pPr>
            <w:r w:rsidRPr="00795F17">
              <w:t>5</w:t>
            </w:r>
          </w:p>
        </w:tc>
        <w:tc>
          <w:tcPr>
            <w:tcW w:w="851" w:type="dxa"/>
            <w:tcBorders>
              <w:left w:val="double" w:sz="4" w:space="0" w:color="auto"/>
            </w:tcBorders>
          </w:tcPr>
          <w:p w14:paraId="0A2C6F48" w14:textId="77777777" w:rsidR="00CD356D" w:rsidRPr="00795F17" w:rsidRDefault="00CD356D" w:rsidP="00CD356D">
            <w:pPr>
              <w:pStyle w:val="Teksttabelisrodek"/>
            </w:pPr>
            <w:r w:rsidRPr="00795F17">
              <w:t>-</w:t>
            </w:r>
          </w:p>
        </w:tc>
        <w:tc>
          <w:tcPr>
            <w:tcW w:w="850" w:type="dxa"/>
            <w:tcBorders>
              <w:right w:val="double" w:sz="4" w:space="0" w:color="auto"/>
            </w:tcBorders>
          </w:tcPr>
          <w:p w14:paraId="65B5E22A" w14:textId="77777777" w:rsidR="00CD356D" w:rsidRPr="00795F17" w:rsidRDefault="00CD356D" w:rsidP="00CD356D">
            <w:pPr>
              <w:pStyle w:val="Teksttabelisrodek"/>
            </w:pPr>
            <w:r w:rsidRPr="00795F17">
              <w:t>1</w:t>
            </w:r>
          </w:p>
        </w:tc>
        <w:tc>
          <w:tcPr>
            <w:tcW w:w="851" w:type="dxa"/>
            <w:tcBorders>
              <w:left w:val="double" w:sz="4" w:space="0" w:color="auto"/>
              <w:right w:val="double" w:sz="4" w:space="0" w:color="auto"/>
            </w:tcBorders>
          </w:tcPr>
          <w:p w14:paraId="0DB24A44" w14:textId="77777777" w:rsidR="00CD356D" w:rsidRPr="00795F17" w:rsidRDefault="00CD356D" w:rsidP="00CD356D">
            <w:pPr>
              <w:pStyle w:val="Teksttabelisrodek"/>
            </w:pPr>
            <w:r w:rsidRPr="00795F17">
              <w:t>-</w:t>
            </w:r>
          </w:p>
        </w:tc>
        <w:tc>
          <w:tcPr>
            <w:tcW w:w="850" w:type="dxa"/>
            <w:tcBorders>
              <w:left w:val="double" w:sz="4" w:space="0" w:color="auto"/>
            </w:tcBorders>
          </w:tcPr>
          <w:p w14:paraId="0BD7C07D" w14:textId="77777777" w:rsidR="00CD356D" w:rsidRPr="00795F17" w:rsidRDefault="00CD356D" w:rsidP="00CD356D">
            <w:pPr>
              <w:pStyle w:val="Teksttabelisrodek"/>
            </w:pPr>
            <w:r w:rsidRPr="00795F17">
              <w:t>-</w:t>
            </w:r>
          </w:p>
        </w:tc>
      </w:tr>
      <w:tr w:rsidR="00CD356D" w:rsidRPr="00795F17" w14:paraId="2E9E709C" w14:textId="77777777" w:rsidTr="00CD356D">
        <w:trPr>
          <w:trHeight w:val="454"/>
        </w:trPr>
        <w:tc>
          <w:tcPr>
            <w:tcW w:w="2402" w:type="dxa"/>
            <w:shd w:val="clear" w:color="auto" w:fill="auto"/>
          </w:tcPr>
          <w:p w14:paraId="74F9AD4C" w14:textId="77777777" w:rsidR="00CD356D" w:rsidRPr="00795F17" w:rsidRDefault="00CD356D" w:rsidP="00CD356D">
            <w:pPr>
              <w:pStyle w:val="Teksttabelilewy"/>
            </w:pPr>
            <w:r w:rsidRPr="00795F17">
              <w:t>Środkowej Odry</w:t>
            </w:r>
          </w:p>
        </w:tc>
        <w:tc>
          <w:tcPr>
            <w:tcW w:w="850" w:type="dxa"/>
          </w:tcPr>
          <w:p w14:paraId="297A3B2A" w14:textId="2D49B4C6" w:rsidR="00CD356D" w:rsidRPr="00795F17" w:rsidRDefault="00CD356D" w:rsidP="00CD356D">
            <w:pPr>
              <w:pStyle w:val="Teksttabelisrodek"/>
            </w:pPr>
            <w:r>
              <w:rPr>
                <w:rFonts w:ascii="Calibri" w:hAnsi="Calibri" w:cs="Calibri"/>
                <w:color w:val="000000"/>
                <w:szCs w:val="20"/>
              </w:rPr>
              <w:t>318</w:t>
            </w:r>
          </w:p>
        </w:tc>
        <w:tc>
          <w:tcPr>
            <w:tcW w:w="707" w:type="dxa"/>
          </w:tcPr>
          <w:p w14:paraId="513C8C27" w14:textId="0D3146D9" w:rsidR="00CD356D" w:rsidRPr="00795F17" w:rsidRDefault="00CD356D" w:rsidP="00CD356D">
            <w:pPr>
              <w:pStyle w:val="Teksttabelisrodek"/>
            </w:pPr>
            <w:r>
              <w:rPr>
                <w:rFonts w:ascii="Calibri" w:hAnsi="Calibri" w:cs="Calibri"/>
                <w:color w:val="000000"/>
                <w:szCs w:val="20"/>
              </w:rPr>
              <w:t>9</w:t>
            </w:r>
          </w:p>
        </w:tc>
        <w:tc>
          <w:tcPr>
            <w:tcW w:w="851" w:type="dxa"/>
            <w:tcBorders>
              <w:right w:val="double" w:sz="4" w:space="0" w:color="auto"/>
            </w:tcBorders>
          </w:tcPr>
          <w:p w14:paraId="1AD9A277" w14:textId="260903D3" w:rsidR="00CD356D" w:rsidRPr="00795F17" w:rsidRDefault="00CD356D" w:rsidP="00CD356D">
            <w:pPr>
              <w:pStyle w:val="Teksttabelisrodek"/>
            </w:pPr>
            <w:r>
              <w:rPr>
                <w:rFonts w:ascii="Calibri" w:hAnsi="Calibri" w:cs="Calibri"/>
                <w:color w:val="000000"/>
                <w:szCs w:val="20"/>
              </w:rPr>
              <w:t>119</w:t>
            </w:r>
          </w:p>
        </w:tc>
        <w:tc>
          <w:tcPr>
            <w:tcW w:w="850" w:type="dxa"/>
            <w:tcBorders>
              <w:left w:val="double" w:sz="4" w:space="0" w:color="auto"/>
              <w:right w:val="double" w:sz="4" w:space="0" w:color="auto"/>
            </w:tcBorders>
          </w:tcPr>
          <w:p w14:paraId="2A3A7118" w14:textId="77777777" w:rsidR="00CD356D" w:rsidRPr="00795F17" w:rsidRDefault="00CD356D" w:rsidP="00CD356D">
            <w:pPr>
              <w:pStyle w:val="Teksttabelisrodek"/>
            </w:pPr>
            <w:r w:rsidRPr="00795F17">
              <w:t>12</w:t>
            </w:r>
          </w:p>
        </w:tc>
        <w:tc>
          <w:tcPr>
            <w:tcW w:w="851" w:type="dxa"/>
            <w:tcBorders>
              <w:left w:val="double" w:sz="4" w:space="0" w:color="auto"/>
            </w:tcBorders>
          </w:tcPr>
          <w:p w14:paraId="1F117299" w14:textId="77777777" w:rsidR="00CD356D" w:rsidRPr="00795F17" w:rsidRDefault="00CD356D" w:rsidP="00CD356D">
            <w:pPr>
              <w:pStyle w:val="Teksttabelisrodek"/>
            </w:pPr>
            <w:r w:rsidRPr="00795F17">
              <w:t>24</w:t>
            </w:r>
          </w:p>
        </w:tc>
        <w:tc>
          <w:tcPr>
            <w:tcW w:w="850" w:type="dxa"/>
            <w:tcBorders>
              <w:right w:val="double" w:sz="4" w:space="0" w:color="auto"/>
            </w:tcBorders>
          </w:tcPr>
          <w:p w14:paraId="7B6618FE" w14:textId="77777777" w:rsidR="00CD356D" w:rsidRPr="00795F17" w:rsidRDefault="00CD356D" w:rsidP="00CD356D">
            <w:pPr>
              <w:pStyle w:val="Teksttabelisrodek"/>
            </w:pPr>
            <w:r w:rsidRPr="00795F17">
              <w:t>3</w:t>
            </w:r>
          </w:p>
        </w:tc>
        <w:tc>
          <w:tcPr>
            <w:tcW w:w="851" w:type="dxa"/>
            <w:tcBorders>
              <w:left w:val="double" w:sz="4" w:space="0" w:color="auto"/>
              <w:right w:val="double" w:sz="4" w:space="0" w:color="auto"/>
            </w:tcBorders>
          </w:tcPr>
          <w:p w14:paraId="16D9B812" w14:textId="77777777" w:rsidR="00CD356D" w:rsidRPr="00795F17" w:rsidRDefault="00CD356D" w:rsidP="00CD356D">
            <w:pPr>
              <w:pStyle w:val="Teksttabelisrodek"/>
            </w:pPr>
            <w:r w:rsidRPr="00795F17">
              <w:t>-</w:t>
            </w:r>
          </w:p>
        </w:tc>
        <w:tc>
          <w:tcPr>
            <w:tcW w:w="850" w:type="dxa"/>
            <w:tcBorders>
              <w:left w:val="double" w:sz="4" w:space="0" w:color="auto"/>
            </w:tcBorders>
          </w:tcPr>
          <w:p w14:paraId="39773E51" w14:textId="77777777" w:rsidR="00CD356D" w:rsidRPr="00795F17" w:rsidRDefault="00CD356D" w:rsidP="00CD356D">
            <w:pPr>
              <w:pStyle w:val="Teksttabelisrodek"/>
            </w:pPr>
            <w:r w:rsidRPr="00795F17">
              <w:t>-</w:t>
            </w:r>
          </w:p>
        </w:tc>
      </w:tr>
      <w:tr w:rsidR="00CD356D" w:rsidRPr="00795F17" w14:paraId="6951DA4A" w14:textId="77777777" w:rsidTr="00CD356D">
        <w:trPr>
          <w:trHeight w:val="454"/>
        </w:trPr>
        <w:tc>
          <w:tcPr>
            <w:tcW w:w="2402" w:type="dxa"/>
            <w:shd w:val="clear" w:color="auto" w:fill="auto"/>
          </w:tcPr>
          <w:p w14:paraId="0F52D995" w14:textId="77777777" w:rsidR="00CD356D" w:rsidRPr="00795F17" w:rsidRDefault="00CD356D" w:rsidP="00CD356D">
            <w:pPr>
              <w:pStyle w:val="Teksttabelilewy"/>
              <w:rPr>
                <w:rFonts w:eastAsiaTheme="minorHAnsi"/>
              </w:rPr>
            </w:pPr>
            <w:r w:rsidRPr="00795F17">
              <w:t>Dolnej Odry i Przymorza Zachodniego</w:t>
            </w:r>
          </w:p>
        </w:tc>
        <w:tc>
          <w:tcPr>
            <w:tcW w:w="850" w:type="dxa"/>
          </w:tcPr>
          <w:p w14:paraId="7871D27C" w14:textId="508D9E0E" w:rsidR="00CD356D" w:rsidRPr="00795F17" w:rsidRDefault="00CD356D" w:rsidP="00CD356D">
            <w:pPr>
              <w:pStyle w:val="Teksttabelisrodek"/>
            </w:pPr>
            <w:r>
              <w:rPr>
                <w:rFonts w:ascii="Calibri" w:hAnsi="Calibri" w:cs="Calibri"/>
                <w:color w:val="000000"/>
                <w:szCs w:val="20"/>
              </w:rPr>
              <w:t>218</w:t>
            </w:r>
          </w:p>
        </w:tc>
        <w:tc>
          <w:tcPr>
            <w:tcW w:w="707" w:type="dxa"/>
          </w:tcPr>
          <w:p w14:paraId="41A4E971" w14:textId="5769C1DF" w:rsidR="00CD356D" w:rsidRPr="00795F17" w:rsidRDefault="00CD356D" w:rsidP="00CD356D">
            <w:pPr>
              <w:pStyle w:val="Teksttabelisrodek"/>
            </w:pPr>
            <w:r>
              <w:rPr>
                <w:rFonts w:ascii="Calibri" w:hAnsi="Calibri" w:cs="Calibri"/>
                <w:color w:val="000000"/>
                <w:szCs w:val="20"/>
              </w:rPr>
              <w:t>16</w:t>
            </w:r>
          </w:p>
        </w:tc>
        <w:tc>
          <w:tcPr>
            <w:tcW w:w="851" w:type="dxa"/>
            <w:tcBorders>
              <w:right w:val="double" w:sz="4" w:space="0" w:color="auto"/>
            </w:tcBorders>
          </w:tcPr>
          <w:p w14:paraId="6E9C5A68" w14:textId="0E34F2E3" w:rsidR="00CD356D" w:rsidRPr="00795F17" w:rsidRDefault="00CD356D" w:rsidP="00CD356D">
            <w:pPr>
              <w:pStyle w:val="Teksttabelisrodek"/>
            </w:pPr>
            <w:r>
              <w:rPr>
                <w:rFonts w:ascii="Calibri" w:hAnsi="Calibri" w:cs="Calibri"/>
                <w:color w:val="000000"/>
                <w:szCs w:val="20"/>
              </w:rPr>
              <w:t>36</w:t>
            </w:r>
          </w:p>
        </w:tc>
        <w:tc>
          <w:tcPr>
            <w:tcW w:w="850" w:type="dxa"/>
            <w:tcBorders>
              <w:left w:val="double" w:sz="4" w:space="0" w:color="auto"/>
              <w:right w:val="double" w:sz="4" w:space="0" w:color="auto"/>
            </w:tcBorders>
          </w:tcPr>
          <w:p w14:paraId="7F45371F" w14:textId="77777777" w:rsidR="00CD356D" w:rsidRPr="00795F17" w:rsidRDefault="00CD356D" w:rsidP="00CD356D">
            <w:pPr>
              <w:pStyle w:val="Teksttabelisrodek"/>
            </w:pPr>
            <w:r w:rsidRPr="00795F17">
              <w:t>-</w:t>
            </w:r>
          </w:p>
        </w:tc>
        <w:tc>
          <w:tcPr>
            <w:tcW w:w="851" w:type="dxa"/>
            <w:tcBorders>
              <w:left w:val="double" w:sz="4" w:space="0" w:color="auto"/>
            </w:tcBorders>
          </w:tcPr>
          <w:p w14:paraId="1D609D78" w14:textId="77777777" w:rsidR="00CD356D" w:rsidRPr="00795F17" w:rsidRDefault="00CD356D" w:rsidP="00CD356D">
            <w:pPr>
              <w:pStyle w:val="Teksttabelisrodek"/>
            </w:pPr>
            <w:r w:rsidRPr="00795F17">
              <w:t>91</w:t>
            </w:r>
          </w:p>
        </w:tc>
        <w:tc>
          <w:tcPr>
            <w:tcW w:w="850" w:type="dxa"/>
            <w:tcBorders>
              <w:right w:val="double" w:sz="4" w:space="0" w:color="auto"/>
            </w:tcBorders>
          </w:tcPr>
          <w:p w14:paraId="1E85CC27" w14:textId="77777777" w:rsidR="00CD356D" w:rsidRPr="00795F17" w:rsidRDefault="00CD356D" w:rsidP="00CD356D">
            <w:pPr>
              <w:pStyle w:val="Teksttabelisrodek"/>
            </w:pPr>
            <w:r w:rsidRPr="00795F17">
              <w:t>18</w:t>
            </w:r>
          </w:p>
        </w:tc>
        <w:tc>
          <w:tcPr>
            <w:tcW w:w="851" w:type="dxa"/>
            <w:tcBorders>
              <w:left w:val="double" w:sz="4" w:space="0" w:color="auto"/>
              <w:right w:val="double" w:sz="4" w:space="0" w:color="auto"/>
            </w:tcBorders>
          </w:tcPr>
          <w:p w14:paraId="0DF5B98E" w14:textId="77777777" w:rsidR="00CD356D" w:rsidRPr="00795F17" w:rsidRDefault="00CD356D" w:rsidP="00CD356D">
            <w:pPr>
              <w:pStyle w:val="Teksttabelisrodek"/>
            </w:pPr>
            <w:r w:rsidRPr="00795F17">
              <w:t>2</w:t>
            </w:r>
          </w:p>
        </w:tc>
        <w:tc>
          <w:tcPr>
            <w:tcW w:w="850" w:type="dxa"/>
            <w:tcBorders>
              <w:left w:val="double" w:sz="4" w:space="0" w:color="auto"/>
            </w:tcBorders>
          </w:tcPr>
          <w:p w14:paraId="26DC37B5" w14:textId="77777777" w:rsidR="00CD356D" w:rsidRPr="00795F17" w:rsidRDefault="00CD356D" w:rsidP="00CD356D">
            <w:pPr>
              <w:pStyle w:val="Teksttabelisrodek"/>
            </w:pPr>
            <w:r w:rsidRPr="00795F17">
              <w:t>2</w:t>
            </w:r>
          </w:p>
        </w:tc>
      </w:tr>
      <w:tr w:rsidR="00CD356D" w:rsidRPr="00795F17" w14:paraId="6B8C5160" w14:textId="77777777" w:rsidTr="00CD356D">
        <w:trPr>
          <w:trHeight w:val="454"/>
        </w:trPr>
        <w:tc>
          <w:tcPr>
            <w:tcW w:w="2402" w:type="dxa"/>
            <w:shd w:val="clear" w:color="auto" w:fill="auto"/>
          </w:tcPr>
          <w:p w14:paraId="04304A4A" w14:textId="77777777" w:rsidR="00CD356D" w:rsidRPr="00795F17" w:rsidRDefault="00CD356D" w:rsidP="00CD356D">
            <w:pPr>
              <w:pStyle w:val="Teksttabelilewy"/>
              <w:rPr>
                <w:rFonts w:eastAsiaTheme="minorHAnsi"/>
              </w:rPr>
            </w:pPr>
            <w:r w:rsidRPr="00795F17">
              <w:t>Warty</w:t>
            </w:r>
          </w:p>
        </w:tc>
        <w:tc>
          <w:tcPr>
            <w:tcW w:w="850" w:type="dxa"/>
          </w:tcPr>
          <w:p w14:paraId="4B9EA098" w14:textId="37A35FCF" w:rsidR="00CD356D" w:rsidRPr="00795F17" w:rsidRDefault="00CD356D" w:rsidP="00CD356D">
            <w:pPr>
              <w:pStyle w:val="Teksttabelisrodek"/>
            </w:pPr>
            <w:r>
              <w:rPr>
                <w:rFonts w:ascii="Calibri" w:hAnsi="Calibri" w:cs="Calibri"/>
                <w:color w:val="000000"/>
                <w:szCs w:val="20"/>
              </w:rPr>
              <w:t>165</w:t>
            </w:r>
          </w:p>
        </w:tc>
        <w:tc>
          <w:tcPr>
            <w:tcW w:w="707" w:type="dxa"/>
          </w:tcPr>
          <w:p w14:paraId="1F83CB66" w14:textId="28A3C0C6" w:rsidR="00CD356D" w:rsidRPr="00795F17" w:rsidRDefault="00CD356D" w:rsidP="00CD356D">
            <w:pPr>
              <w:pStyle w:val="Teksttabelisrodek"/>
            </w:pPr>
            <w:r>
              <w:rPr>
                <w:rFonts w:ascii="Calibri" w:hAnsi="Calibri" w:cs="Calibri"/>
                <w:color w:val="000000"/>
                <w:szCs w:val="20"/>
              </w:rPr>
              <w:t>5</w:t>
            </w:r>
          </w:p>
        </w:tc>
        <w:tc>
          <w:tcPr>
            <w:tcW w:w="851" w:type="dxa"/>
            <w:tcBorders>
              <w:right w:val="double" w:sz="4" w:space="0" w:color="auto"/>
            </w:tcBorders>
          </w:tcPr>
          <w:p w14:paraId="1E1EDC47" w14:textId="55A3F423" w:rsidR="00CD356D" w:rsidRPr="00795F17" w:rsidRDefault="00CD356D" w:rsidP="00CD356D">
            <w:pPr>
              <w:pStyle w:val="Teksttabelisrodek"/>
            </w:pPr>
            <w:r>
              <w:rPr>
                <w:rFonts w:ascii="Calibri" w:hAnsi="Calibri" w:cs="Calibri"/>
                <w:color w:val="000000"/>
                <w:szCs w:val="20"/>
              </w:rPr>
              <w:t>109</w:t>
            </w:r>
          </w:p>
        </w:tc>
        <w:tc>
          <w:tcPr>
            <w:tcW w:w="850" w:type="dxa"/>
            <w:tcBorders>
              <w:left w:val="double" w:sz="4" w:space="0" w:color="auto"/>
              <w:right w:val="double" w:sz="4" w:space="0" w:color="auto"/>
            </w:tcBorders>
          </w:tcPr>
          <w:p w14:paraId="20F54991" w14:textId="77777777" w:rsidR="00CD356D" w:rsidRPr="00795F17" w:rsidRDefault="00CD356D" w:rsidP="00CD356D">
            <w:pPr>
              <w:pStyle w:val="Teksttabelisrodek"/>
            </w:pPr>
            <w:r w:rsidRPr="00795F17">
              <w:t>2</w:t>
            </w:r>
          </w:p>
        </w:tc>
        <w:tc>
          <w:tcPr>
            <w:tcW w:w="851" w:type="dxa"/>
            <w:tcBorders>
              <w:left w:val="double" w:sz="4" w:space="0" w:color="auto"/>
            </w:tcBorders>
          </w:tcPr>
          <w:p w14:paraId="7D13F4DF" w14:textId="77777777" w:rsidR="00CD356D" w:rsidRPr="00795F17" w:rsidRDefault="00CD356D" w:rsidP="00CD356D">
            <w:pPr>
              <w:pStyle w:val="Teksttabelisrodek"/>
            </w:pPr>
            <w:r w:rsidRPr="00795F17">
              <w:t>93</w:t>
            </w:r>
          </w:p>
        </w:tc>
        <w:tc>
          <w:tcPr>
            <w:tcW w:w="850" w:type="dxa"/>
            <w:tcBorders>
              <w:right w:val="double" w:sz="4" w:space="0" w:color="auto"/>
            </w:tcBorders>
          </w:tcPr>
          <w:p w14:paraId="01A60DDF" w14:textId="77777777" w:rsidR="00CD356D" w:rsidRPr="00795F17" w:rsidRDefault="00CD356D" w:rsidP="00CD356D">
            <w:pPr>
              <w:pStyle w:val="Teksttabelisrodek"/>
            </w:pPr>
            <w:r w:rsidRPr="00795F17">
              <w:t>31</w:t>
            </w:r>
          </w:p>
        </w:tc>
        <w:tc>
          <w:tcPr>
            <w:tcW w:w="851" w:type="dxa"/>
            <w:tcBorders>
              <w:left w:val="double" w:sz="4" w:space="0" w:color="auto"/>
              <w:right w:val="double" w:sz="4" w:space="0" w:color="auto"/>
            </w:tcBorders>
          </w:tcPr>
          <w:p w14:paraId="5A6EC50E" w14:textId="77777777" w:rsidR="00CD356D" w:rsidRPr="00795F17" w:rsidRDefault="00CD356D" w:rsidP="00CD356D">
            <w:pPr>
              <w:pStyle w:val="Teksttabelisrodek"/>
            </w:pPr>
            <w:r w:rsidRPr="00795F17">
              <w:t>-</w:t>
            </w:r>
          </w:p>
        </w:tc>
        <w:tc>
          <w:tcPr>
            <w:tcW w:w="850" w:type="dxa"/>
            <w:tcBorders>
              <w:left w:val="double" w:sz="4" w:space="0" w:color="auto"/>
            </w:tcBorders>
          </w:tcPr>
          <w:p w14:paraId="668A87E5" w14:textId="77777777" w:rsidR="00CD356D" w:rsidRPr="00795F17" w:rsidRDefault="00CD356D" w:rsidP="00CD356D">
            <w:pPr>
              <w:pStyle w:val="Teksttabelisrodek"/>
            </w:pPr>
            <w:r w:rsidRPr="00795F17">
              <w:t>-</w:t>
            </w:r>
          </w:p>
        </w:tc>
      </w:tr>
      <w:tr w:rsidR="00CD356D" w:rsidRPr="00795F17" w14:paraId="643D70F1" w14:textId="77777777" w:rsidTr="00CD356D">
        <w:trPr>
          <w:trHeight w:val="454"/>
        </w:trPr>
        <w:tc>
          <w:tcPr>
            <w:tcW w:w="2402" w:type="dxa"/>
            <w:shd w:val="clear" w:color="auto" w:fill="auto"/>
          </w:tcPr>
          <w:p w14:paraId="011AD361" w14:textId="77777777" w:rsidR="00CD356D" w:rsidRPr="00795F17" w:rsidRDefault="00CD356D" w:rsidP="00CD356D">
            <w:pPr>
              <w:pStyle w:val="Teksttabelilewy"/>
              <w:rPr>
                <w:rFonts w:eastAsiaTheme="minorHAnsi"/>
              </w:rPr>
            </w:pPr>
            <w:r w:rsidRPr="00795F17">
              <w:t>Notec</w:t>
            </w:r>
            <w:r w:rsidRPr="00795F17">
              <w:rPr>
                <w:rFonts w:eastAsiaTheme="minorHAnsi"/>
              </w:rPr>
              <w:t>i</w:t>
            </w:r>
          </w:p>
        </w:tc>
        <w:tc>
          <w:tcPr>
            <w:tcW w:w="850" w:type="dxa"/>
          </w:tcPr>
          <w:p w14:paraId="7D2BDB52" w14:textId="7465ADCA" w:rsidR="00CD356D" w:rsidRPr="00795F17" w:rsidRDefault="00CD356D" w:rsidP="00CD356D">
            <w:pPr>
              <w:pStyle w:val="Teksttabelisrodek"/>
            </w:pPr>
            <w:r>
              <w:rPr>
                <w:rFonts w:ascii="Calibri" w:hAnsi="Calibri" w:cs="Calibri"/>
                <w:color w:val="000000"/>
                <w:szCs w:val="20"/>
              </w:rPr>
              <w:t>107</w:t>
            </w:r>
          </w:p>
        </w:tc>
        <w:tc>
          <w:tcPr>
            <w:tcW w:w="707" w:type="dxa"/>
          </w:tcPr>
          <w:p w14:paraId="1689C3A4" w14:textId="6E1A2D10" w:rsidR="00CD356D" w:rsidRPr="00795F17" w:rsidRDefault="00CD356D" w:rsidP="00CD356D">
            <w:pPr>
              <w:pStyle w:val="Teksttabelisrodek"/>
            </w:pPr>
            <w:r>
              <w:rPr>
                <w:rFonts w:ascii="Calibri" w:hAnsi="Calibri" w:cs="Calibri"/>
                <w:color w:val="000000"/>
                <w:szCs w:val="20"/>
              </w:rPr>
              <w:t>5</w:t>
            </w:r>
          </w:p>
        </w:tc>
        <w:tc>
          <w:tcPr>
            <w:tcW w:w="851" w:type="dxa"/>
            <w:tcBorders>
              <w:right w:val="double" w:sz="4" w:space="0" w:color="auto"/>
            </w:tcBorders>
          </w:tcPr>
          <w:p w14:paraId="3E232A58" w14:textId="10D7D67B" w:rsidR="00CD356D" w:rsidRPr="00795F17" w:rsidRDefault="00CD356D" w:rsidP="00CD356D">
            <w:pPr>
              <w:pStyle w:val="Teksttabelisrodek"/>
            </w:pPr>
            <w:r>
              <w:rPr>
                <w:rFonts w:ascii="Calibri" w:hAnsi="Calibri" w:cs="Calibri"/>
                <w:color w:val="000000"/>
                <w:szCs w:val="20"/>
              </w:rPr>
              <w:t>23</w:t>
            </w:r>
          </w:p>
        </w:tc>
        <w:tc>
          <w:tcPr>
            <w:tcW w:w="850" w:type="dxa"/>
            <w:tcBorders>
              <w:left w:val="double" w:sz="4" w:space="0" w:color="auto"/>
              <w:right w:val="double" w:sz="4" w:space="0" w:color="auto"/>
            </w:tcBorders>
          </w:tcPr>
          <w:p w14:paraId="661C3B8C" w14:textId="77777777" w:rsidR="00CD356D" w:rsidRPr="00795F17" w:rsidRDefault="00CD356D" w:rsidP="00CD356D">
            <w:pPr>
              <w:pStyle w:val="Teksttabelisrodek"/>
            </w:pPr>
            <w:r w:rsidRPr="00795F17">
              <w:t>-</w:t>
            </w:r>
          </w:p>
        </w:tc>
        <w:tc>
          <w:tcPr>
            <w:tcW w:w="851" w:type="dxa"/>
            <w:tcBorders>
              <w:left w:val="double" w:sz="4" w:space="0" w:color="auto"/>
            </w:tcBorders>
          </w:tcPr>
          <w:p w14:paraId="642551EF" w14:textId="77777777" w:rsidR="00CD356D" w:rsidRPr="00795F17" w:rsidRDefault="00CD356D" w:rsidP="00CD356D">
            <w:pPr>
              <w:pStyle w:val="Teksttabelisrodek"/>
            </w:pPr>
            <w:r w:rsidRPr="00795F17">
              <w:t>134</w:t>
            </w:r>
          </w:p>
        </w:tc>
        <w:tc>
          <w:tcPr>
            <w:tcW w:w="850" w:type="dxa"/>
            <w:tcBorders>
              <w:right w:val="double" w:sz="4" w:space="0" w:color="auto"/>
            </w:tcBorders>
          </w:tcPr>
          <w:p w14:paraId="06C52322" w14:textId="77777777" w:rsidR="00CD356D" w:rsidRPr="00795F17" w:rsidRDefault="00CD356D" w:rsidP="00CD356D">
            <w:pPr>
              <w:pStyle w:val="Teksttabelisrodek"/>
            </w:pPr>
            <w:r w:rsidRPr="00795F17">
              <w:t>32</w:t>
            </w:r>
          </w:p>
        </w:tc>
        <w:tc>
          <w:tcPr>
            <w:tcW w:w="851" w:type="dxa"/>
            <w:tcBorders>
              <w:left w:val="double" w:sz="4" w:space="0" w:color="auto"/>
              <w:right w:val="double" w:sz="4" w:space="0" w:color="auto"/>
            </w:tcBorders>
          </w:tcPr>
          <w:p w14:paraId="53E172A4" w14:textId="77777777" w:rsidR="00CD356D" w:rsidRPr="00795F17" w:rsidRDefault="00CD356D" w:rsidP="00CD356D">
            <w:pPr>
              <w:pStyle w:val="Teksttabelisrodek"/>
            </w:pPr>
            <w:r w:rsidRPr="00795F17">
              <w:t>-</w:t>
            </w:r>
          </w:p>
        </w:tc>
        <w:tc>
          <w:tcPr>
            <w:tcW w:w="850" w:type="dxa"/>
            <w:tcBorders>
              <w:left w:val="double" w:sz="4" w:space="0" w:color="auto"/>
            </w:tcBorders>
          </w:tcPr>
          <w:p w14:paraId="0AF7ECA0" w14:textId="77777777" w:rsidR="00CD356D" w:rsidRPr="00795F17" w:rsidRDefault="00CD356D" w:rsidP="00CD356D">
            <w:pPr>
              <w:pStyle w:val="Teksttabelisrodek"/>
            </w:pPr>
            <w:r w:rsidRPr="00795F17">
              <w:t>-</w:t>
            </w:r>
          </w:p>
        </w:tc>
      </w:tr>
      <w:tr w:rsidR="004E24D2" w:rsidRPr="00795F17" w14:paraId="1028DB9B" w14:textId="77777777" w:rsidTr="00CD356D">
        <w:trPr>
          <w:trHeight w:val="454"/>
        </w:trPr>
        <w:tc>
          <w:tcPr>
            <w:tcW w:w="2402" w:type="dxa"/>
            <w:shd w:val="clear" w:color="auto" w:fill="BFBFBF" w:themeFill="background1" w:themeFillShade="BF"/>
          </w:tcPr>
          <w:p w14:paraId="2422BDF2" w14:textId="4473B753" w:rsidR="00CD356D" w:rsidRPr="00795F17" w:rsidRDefault="00CD356D" w:rsidP="00544256">
            <w:pPr>
              <w:pStyle w:val="Teksttabelinaglowek"/>
              <w:jc w:val="left"/>
              <w:rPr>
                <w:rFonts w:eastAsiaTheme="minorHAnsi"/>
              </w:rPr>
            </w:pPr>
            <w:r w:rsidRPr="00795F17">
              <w:t xml:space="preserve">Łącznie </w:t>
            </w:r>
            <w:r w:rsidR="00D971E8">
              <w:t xml:space="preserve">na </w:t>
            </w:r>
            <w:r w:rsidRPr="00795F17">
              <w:t>obszarze dorzecza</w:t>
            </w:r>
          </w:p>
        </w:tc>
        <w:tc>
          <w:tcPr>
            <w:tcW w:w="850" w:type="dxa"/>
            <w:shd w:val="clear" w:color="auto" w:fill="BFBFBF" w:themeFill="background1" w:themeFillShade="BF"/>
          </w:tcPr>
          <w:p w14:paraId="63DDB212" w14:textId="51285376" w:rsidR="00CD356D" w:rsidRPr="00CD356D" w:rsidRDefault="00CD356D" w:rsidP="00CD356D">
            <w:pPr>
              <w:pStyle w:val="Teksttabelinaglowek"/>
            </w:pPr>
            <w:r w:rsidRPr="00CD356D">
              <w:rPr>
                <w:rFonts w:ascii="Calibri" w:hAnsi="Calibri" w:cs="Calibri"/>
                <w:color w:val="000000"/>
                <w:szCs w:val="20"/>
              </w:rPr>
              <w:t>910</w:t>
            </w:r>
          </w:p>
        </w:tc>
        <w:tc>
          <w:tcPr>
            <w:tcW w:w="707" w:type="dxa"/>
            <w:shd w:val="clear" w:color="auto" w:fill="BFBFBF" w:themeFill="background1" w:themeFillShade="BF"/>
          </w:tcPr>
          <w:p w14:paraId="4B054F7B" w14:textId="6ABB2944" w:rsidR="00CD356D" w:rsidRPr="00CD356D" w:rsidRDefault="00CD356D" w:rsidP="00CD356D">
            <w:pPr>
              <w:pStyle w:val="Teksttabelinaglowek"/>
            </w:pPr>
            <w:r w:rsidRPr="00CD356D">
              <w:rPr>
                <w:rFonts w:ascii="Calibri" w:hAnsi="Calibri" w:cs="Calibri"/>
                <w:color w:val="000000"/>
                <w:szCs w:val="20"/>
              </w:rPr>
              <w:t>40</w:t>
            </w:r>
          </w:p>
        </w:tc>
        <w:tc>
          <w:tcPr>
            <w:tcW w:w="851" w:type="dxa"/>
            <w:tcBorders>
              <w:right w:val="double" w:sz="4" w:space="0" w:color="auto"/>
            </w:tcBorders>
            <w:shd w:val="clear" w:color="auto" w:fill="BFBFBF" w:themeFill="background1" w:themeFillShade="BF"/>
          </w:tcPr>
          <w:p w14:paraId="25C6ED96" w14:textId="71ACDCB7" w:rsidR="00CD356D" w:rsidRPr="00CD356D" w:rsidRDefault="00CD356D" w:rsidP="00CD356D">
            <w:pPr>
              <w:pStyle w:val="Teksttabelinaglowek"/>
            </w:pPr>
            <w:r w:rsidRPr="00CD356D">
              <w:rPr>
                <w:rFonts w:ascii="Calibri" w:hAnsi="Calibri" w:cs="Calibri"/>
                <w:color w:val="000000"/>
                <w:szCs w:val="20"/>
              </w:rPr>
              <w:t>322</w:t>
            </w:r>
          </w:p>
        </w:tc>
        <w:tc>
          <w:tcPr>
            <w:tcW w:w="850" w:type="dxa"/>
            <w:tcBorders>
              <w:left w:val="double" w:sz="4" w:space="0" w:color="auto"/>
              <w:right w:val="double" w:sz="4" w:space="0" w:color="auto"/>
            </w:tcBorders>
            <w:shd w:val="clear" w:color="auto" w:fill="BFBFBF" w:themeFill="background1" w:themeFillShade="BF"/>
          </w:tcPr>
          <w:p w14:paraId="5B956D68" w14:textId="77777777" w:rsidR="00CD356D" w:rsidRPr="00795F17" w:rsidRDefault="00CD356D" w:rsidP="00CD356D">
            <w:pPr>
              <w:pStyle w:val="Teksttabelinaglowek"/>
            </w:pPr>
            <w:r w:rsidRPr="00795F17">
              <w:t>19</w:t>
            </w:r>
          </w:p>
        </w:tc>
        <w:tc>
          <w:tcPr>
            <w:tcW w:w="851" w:type="dxa"/>
            <w:tcBorders>
              <w:left w:val="double" w:sz="4" w:space="0" w:color="auto"/>
            </w:tcBorders>
            <w:shd w:val="clear" w:color="auto" w:fill="BFBFBF" w:themeFill="background1" w:themeFillShade="BF"/>
          </w:tcPr>
          <w:p w14:paraId="0E93076D" w14:textId="77777777" w:rsidR="00CD356D" w:rsidRPr="00795F17" w:rsidRDefault="00CD356D" w:rsidP="00CD356D">
            <w:pPr>
              <w:pStyle w:val="Teksttabelinaglowek"/>
            </w:pPr>
            <w:r w:rsidRPr="00795F17">
              <w:t>342</w:t>
            </w:r>
          </w:p>
        </w:tc>
        <w:tc>
          <w:tcPr>
            <w:tcW w:w="850" w:type="dxa"/>
            <w:tcBorders>
              <w:right w:val="double" w:sz="4" w:space="0" w:color="auto"/>
            </w:tcBorders>
            <w:shd w:val="clear" w:color="auto" w:fill="BFBFBF" w:themeFill="background1" w:themeFillShade="BF"/>
          </w:tcPr>
          <w:p w14:paraId="39908F81" w14:textId="77777777" w:rsidR="00CD356D" w:rsidRPr="00795F17" w:rsidRDefault="00CD356D" w:rsidP="00CD356D">
            <w:pPr>
              <w:pStyle w:val="Teksttabelinaglowek"/>
            </w:pPr>
            <w:r w:rsidRPr="00795F17">
              <w:t>85</w:t>
            </w:r>
          </w:p>
        </w:tc>
        <w:tc>
          <w:tcPr>
            <w:tcW w:w="851" w:type="dxa"/>
            <w:tcBorders>
              <w:left w:val="double" w:sz="4" w:space="0" w:color="auto"/>
              <w:right w:val="double" w:sz="4" w:space="0" w:color="auto"/>
            </w:tcBorders>
            <w:shd w:val="clear" w:color="auto" w:fill="BFBFBF" w:themeFill="background1" w:themeFillShade="BF"/>
          </w:tcPr>
          <w:p w14:paraId="79DE1676" w14:textId="77777777" w:rsidR="00CD356D" w:rsidRPr="00795F17" w:rsidRDefault="00CD356D" w:rsidP="00CD356D">
            <w:pPr>
              <w:pStyle w:val="Teksttabelinaglowek"/>
            </w:pPr>
            <w:r w:rsidRPr="00795F17">
              <w:t>2</w:t>
            </w:r>
          </w:p>
        </w:tc>
        <w:tc>
          <w:tcPr>
            <w:tcW w:w="850" w:type="dxa"/>
            <w:tcBorders>
              <w:left w:val="double" w:sz="4" w:space="0" w:color="auto"/>
            </w:tcBorders>
            <w:shd w:val="clear" w:color="auto" w:fill="BFBFBF" w:themeFill="background1" w:themeFillShade="BF"/>
          </w:tcPr>
          <w:p w14:paraId="58109B76" w14:textId="77777777" w:rsidR="00CD356D" w:rsidRPr="00795F17" w:rsidRDefault="00CD356D" w:rsidP="00CD356D">
            <w:pPr>
              <w:pStyle w:val="Teksttabelinaglowek"/>
            </w:pPr>
            <w:r w:rsidRPr="00795F17">
              <w:t>2</w:t>
            </w:r>
          </w:p>
        </w:tc>
      </w:tr>
    </w:tbl>
    <w:p w14:paraId="74D2BDE3" w14:textId="300194CA" w:rsidR="009E13C4" w:rsidRDefault="002574C4" w:rsidP="00223E4E">
      <w:pPr>
        <w:pStyle w:val="Tabela-wyjasnieniapod"/>
      </w:pPr>
      <w:r>
        <w:t>Objaśnienia</w:t>
      </w:r>
      <w:r w:rsidR="009E13C4" w:rsidRPr="0083620D">
        <w:t>:</w:t>
      </w:r>
    </w:p>
    <w:p w14:paraId="0A7D85B4" w14:textId="387ED589" w:rsidR="006F0E34" w:rsidRPr="00795F17" w:rsidRDefault="006F0E34" w:rsidP="00223E4E">
      <w:pPr>
        <w:pStyle w:val="Tabela-wyjasnieniapod"/>
      </w:pPr>
      <w:r w:rsidRPr="00795F17">
        <w:t xml:space="preserve">NAT </w:t>
      </w:r>
      <w:r w:rsidR="006B5BAA">
        <w:t>–</w:t>
      </w:r>
      <w:r w:rsidRPr="00795F17">
        <w:t xml:space="preserve"> naturalna część wód; SCW </w:t>
      </w:r>
      <w:r w:rsidR="006B5BAA">
        <w:t>–</w:t>
      </w:r>
      <w:r w:rsidRPr="00795F17">
        <w:t xml:space="preserve"> sztuczna część wód; SZCW </w:t>
      </w:r>
      <w:r w:rsidR="00024125" w:rsidRPr="00795F17">
        <w:t>-</w:t>
      </w:r>
      <w:r w:rsidRPr="00795F17">
        <w:t xml:space="preserve"> silnie zmieniona część wód</w:t>
      </w:r>
    </w:p>
    <w:p w14:paraId="0C7F0D4E" w14:textId="4F0DCBAC"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012E24AF" w14:textId="7314EDFA" w:rsidR="006F0E34" w:rsidRPr="00795F17" w:rsidRDefault="00D971E8" w:rsidP="0044393D">
      <w:r>
        <w:t>Na</w:t>
      </w:r>
      <w:r w:rsidR="006F0E34" w:rsidRPr="00795F17">
        <w:t xml:space="preserve"> obszarze dorzecza Odry przeważają naturalne części wód. </w:t>
      </w:r>
    </w:p>
    <w:p w14:paraId="6241FBA7" w14:textId="2FB5CB60" w:rsidR="006F0E34" w:rsidRPr="00795F17" w:rsidRDefault="006F0E34" w:rsidP="0044393D">
      <w:r w:rsidRPr="00795F17">
        <w:t>Poniższe wykresy</w:t>
      </w:r>
      <w:r w:rsidR="00AD50EE" w:rsidRPr="00795F17">
        <w:t xml:space="preserve"> 3-1</w:t>
      </w:r>
      <w:r w:rsidR="00CC5CE4" w:rsidRPr="00795F17">
        <w:t>4</w:t>
      </w:r>
      <w:r w:rsidR="00AD50EE" w:rsidRPr="00795F17">
        <w:t xml:space="preserve"> i 3-1</w:t>
      </w:r>
      <w:r w:rsidR="00CC5CE4" w:rsidRPr="00795F17">
        <w:t>5</w:t>
      </w:r>
      <w:r w:rsidRPr="00795F17">
        <w:t xml:space="preserve"> prezentują udział </w:t>
      </w:r>
      <w:r w:rsidR="00DF005E">
        <w:t>JCWP</w:t>
      </w:r>
      <w:r w:rsidRPr="00795F17">
        <w:t xml:space="preserve"> z określonym statusem w ogólnej liczbie </w:t>
      </w:r>
      <w:r w:rsidR="00DF005E">
        <w:t>JCWP</w:t>
      </w:r>
      <w:r w:rsidRPr="00795F17">
        <w:t xml:space="preserve"> danej kategorii </w:t>
      </w:r>
      <w:r w:rsidR="00397B60">
        <w:t xml:space="preserve">na </w:t>
      </w:r>
      <w:r w:rsidRPr="00795F17">
        <w:t>obszarze dorzecza Odry.</w:t>
      </w:r>
    </w:p>
    <w:p w14:paraId="18602AB6" w14:textId="448C1865" w:rsidR="006F0E34" w:rsidRPr="00795F17" w:rsidRDefault="00A73BCF" w:rsidP="005842B5">
      <w:pPr>
        <w:jc w:val="center"/>
        <w:rPr>
          <w:rFonts w:asciiTheme="minorHAnsi" w:eastAsiaTheme="minorHAnsi" w:hAnsiTheme="minorHAnsi"/>
          <w:color w:val="000000"/>
        </w:rPr>
      </w:pPr>
      <w:r>
        <w:rPr>
          <w:noProof/>
        </w:rPr>
        <w:drawing>
          <wp:inline distT="0" distB="0" distL="0" distR="0" wp14:anchorId="4D90B7E7" wp14:editId="5A968F29">
            <wp:extent cx="4320000" cy="2520000"/>
            <wp:effectExtent l="0" t="0" r="4445" b="13970"/>
            <wp:docPr id="227" name="Wykres 227">
              <a:extLst xmlns:a="http://schemas.openxmlformats.org/drawingml/2006/main">
                <a:ext uri="{FF2B5EF4-FFF2-40B4-BE49-F238E27FC236}">
                  <a16:creationId xmlns:a16="http://schemas.microsoft.com/office/drawing/2014/main" id="{00000000-0008-0000-01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C533C6B" w14:textId="11A320AC" w:rsidR="006F0E34" w:rsidRPr="00795F17" w:rsidRDefault="006F0E34" w:rsidP="00B479EE">
      <w:pPr>
        <w:pStyle w:val="Wykres"/>
      </w:pPr>
      <w:bookmarkStart w:id="77" w:name="_Toc66272993"/>
      <w:bookmarkStart w:id="78" w:name="_Toc105512951"/>
      <w:r w:rsidRPr="00795F17">
        <w:t xml:space="preserve">Wykres </w:t>
      </w:r>
      <w:fldSimple w:instr=" STYLEREF 1 \s ">
        <w:r w:rsidR="001F774D">
          <w:rPr>
            <w:noProof/>
          </w:rPr>
          <w:t>3</w:t>
        </w:r>
      </w:fldSimple>
      <w:r w:rsidR="00FF20D3">
        <w:noBreakHyphen/>
      </w:r>
      <w:fldSimple w:instr=" SEQ Wykres \* ARABIC \s 1 ">
        <w:r w:rsidR="001F774D">
          <w:rPr>
            <w:noProof/>
          </w:rPr>
          <w:t>14</w:t>
        </w:r>
      </w:fldSimple>
      <w:r w:rsidR="00D40C59">
        <w:rPr>
          <w:noProof/>
        </w:rPr>
        <w:t>.</w:t>
      </w:r>
      <w:r w:rsidRPr="00795F17">
        <w:tab/>
        <w:t xml:space="preserve">Udział </w:t>
      </w:r>
      <w:r w:rsidR="00DF005E">
        <w:t>JCWP</w:t>
      </w:r>
      <w:r w:rsidRPr="00795F17">
        <w:t xml:space="preserve"> RW z określonym statusem w ogólnej liczbie </w:t>
      </w:r>
      <w:r w:rsidR="00DF005E">
        <w:t>JCWP</w:t>
      </w:r>
      <w:r w:rsidRPr="00795F17">
        <w:t xml:space="preserve"> RW na obszarze dorzecza Odry</w:t>
      </w:r>
      <w:bookmarkEnd w:id="77"/>
      <w:bookmarkEnd w:id="78"/>
      <w:r w:rsidRPr="00795F17">
        <w:t xml:space="preserve"> </w:t>
      </w:r>
    </w:p>
    <w:p w14:paraId="519C1C04" w14:textId="22511C33"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1CB390BE" w14:textId="77777777" w:rsidR="00E4591E" w:rsidRPr="00795F17" w:rsidRDefault="00E4591E" w:rsidP="00E4591E">
      <w:pPr>
        <w:rPr>
          <w:lang w:eastAsia="zh-CN"/>
        </w:rPr>
      </w:pPr>
    </w:p>
    <w:p w14:paraId="6CEB97CC" w14:textId="39047E67" w:rsidR="006F0E34" w:rsidRPr="00795F17" w:rsidRDefault="002E28A6" w:rsidP="005842B5">
      <w:pPr>
        <w:jc w:val="center"/>
        <w:rPr>
          <w:rFonts w:asciiTheme="minorHAnsi" w:eastAsiaTheme="minorHAnsi" w:hAnsiTheme="minorHAnsi"/>
          <w:color w:val="000000"/>
        </w:rPr>
      </w:pPr>
      <w:r w:rsidRPr="00795F17">
        <w:rPr>
          <w:noProof/>
          <w:lang w:eastAsia="pl-PL"/>
        </w:rPr>
        <w:drawing>
          <wp:inline distT="0" distB="0" distL="0" distR="0" wp14:anchorId="52EBAB48" wp14:editId="5CFEF2C8">
            <wp:extent cx="4320000" cy="2520000"/>
            <wp:effectExtent l="0" t="0" r="4445" b="13970"/>
            <wp:docPr id="41" name="Wykres 41">
              <a:extLst xmlns:a="http://schemas.openxmlformats.org/drawingml/2006/main">
                <a:ext uri="{FF2B5EF4-FFF2-40B4-BE49-F238E27FC236}">
                  <a16:creationId xmlns:a16="http://schemas.microsoft.com/office/drawing/2014/main" id="{0CC1C988-A5C9-40C0-819E-1F81B38403A6}"/>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52B5EDA" w14:textId="3A292786" w:rsidR="006F0E34" w:rsidRPr="00795F17" w:rsidRDefault="006F0E34" w:rsidP="00B479EE">
      <w:pPr>
        <w:pStyle w:val="Wykres"/>
      </w:pPr>
      <w:bookmarkStart w:id="79" w:name="_Toc66272994"/>
      <w:bookmarkStart w:id="80" w:name="_Toc105512952"/>
      <w:r w:rsidRPr="00795F17">
        <w:t xml:space="preserve">Wykres </w:t>
      </w:r>
      <w:fldSimple w:instr=" STYLEREF 1 \s ">
        <w:r w:rsidR="001F774D">
          <w:rPr>
            <w:noProof/>
          </w:rPr>
          <w:t>3</w:t>
        </w:r>
      </w:fldSimple>
      <w:r w:rsidR="00FF20D3">
        <w:noBreakHyphen/>
      </w:r>
      <w:fldSimple w:instr=" SEQ Wykres \* ARABIC \s 1 ">
        <w:r w:rsidR="001F774D">
          <w:rPr>
            <w:noProof/>
          </w:rPr>
          <w:t>15</w:t>
        </w:r>
      </w:fldSimple>
      <w:r w:rsidR="00D40C59">
        <w:rPr>
          <w:noProof/>
        </w:rPr>
        <w:t>.</w:t>
      </w:r>
      <w:r w:rsidRPr="00795F17">
        <w:tab/>
        <w:t xml:space="preserve">Udział </w:t>
      </w:r>
      <w:r w:rsidR="00DF005E">
        <w:t>JCWP</w:t>
      </w:r>
      <w:r w:rsidRPr="00795F17">
        <w:t xml:space="preserve"> LW z określonym statusem w ogólnej liczbie </w:t>
      </w:r>
      <w:r w:rsidR="00DF005E">
        <w:t>JCWP</w:t>
      </w:r>
      <w:r w:rsidRPr="00795F17">
        <w:t xml:space="preserve"> LW na obszarze dorzecza Odry</w:t>
      </w:r>
      <w:bookmarkEnd w:id="79"/>
      <w:bookmarkEnd w:id="80"/>
    </w:p>
    <w:p w14:paraId="0BE2A0D9" w14:textId="07106782"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78702CC1" w14:textId="7CF2F5EC" w:rsidR="003F5E32" w:rsidRPr="00795F17" w:rsidRDefault="003F5E32" w:rsidP="0044393D">
      <w:pPr>
        <w:rPr>
          <w:lang w:eastAsia="zh-CN"/>
        </w:rPr>
      </w:pPr>
      <w:r w:rsidRPr="00795F17">
        <w:t>W przypadku TW i CW zgodnie z</w:t>
      </w:r>
      <w:r w:rsidR="00BE447C" w:rsidRPr="00795F17">
        <w:t xml:space="preserve"> </w:t>
      </w:r>
      <w:r w:rsidRPr="00795F17">
        <w:t xml:space="preserve">dokonanym wyznaczeniem wszystkie </w:t>
      </w:r>
      <w:r w:rsidR="00DF005E">
        <w:t>JCWP</w:t>
      </w:r>
      <w:r w:rsidRPr="00795F17">
        <w:t xml:space="preserve"> tych kategorii mają status naturalnej części wód,</w:t>
      </w:r>
      <w:r w:rsidRPr="00795F17" w:rsidDel="00742D7A">
        <w:t xml:space="preserve"> </w:t>
      </w:r>
      <w:r w:rsidRPr="00795F17">
        <w:t xml:space="preserve">natomiast wszystkie </w:t>
      </w:r>
      <w:r w:rsidR="00DF005E">
        <w:t>JCWP</w:t>
      </w:r>
      <w:r w:rsidRPr="00795F17">
        <w:t xml:space="preserve"> RWr stanowią SZCW.</w:t>
      </w:r>
    </w:p>
    <w:p w14:paraId="4B19FF33" w14:textId="6C5C8424" w:rsidR="006F0E34" w:rsidRPr="00795F17" w:rsidRDefault="006F0E34" w:rsidP="00A22ED2">
      <w:pPr>
        <w:pStyle w:val="Nagwek2"/>
      </w:pPr>
      <w:bookmarkStart w:id="81" w:name="_Toc66272265"/>
      <w:bookmarkStart w:id="82" w:name="_Toc66347792"/>
      <w:bookmarkStart w:id="83" w:name="_Toc105512631"/>
      <w:r w:rsidRPr="00795F17">
        <w:t xml:space="preserve">Wykaz </w:t>
      </w:r>
      <w:r w:rsidR="00DF005E">
        <w:t>JCWP</w:t>
      </w:r>
      <w:r w:rsidRPr="00795F17">
        <w:t>d</w:t>
      </w:r>
      <w:bookmarkEnd w:id="81"/>
      <w:bookmarkEnd w:id="82"/>
      <w:bookmarkEnd w:id="83"/>
    </w:p>
    <w:p w14:paraId="3F6025DD" w14:textId="3689A78B" w:rsidR="006F0E34" w:rsidRPr="00795F17" w:rsidRDefault="004A2DD7" w:rsidP="0044393D">
      <w:r w:rsidRPr="00795F17">
        <w:t>Na obszarze</w:t>
      </w:r>
      <w:r w:rsidR="006F0E34" w:rsidRPr="00795F17">
        <w:t xml:space="preserve"> dorzecza Odry znajduje się 66 </w:t>
      </w:r>
      <w:r w:rsidR="00DF005E">
        <w:t>JCWP</w:t>
      </w:r>
      <w:r w:rsidR="006F0E34" w:rsidRPr="00795F17">
        <w:t>d</w:t>
      </w:r>
      <w:r w:rsidR="006F0E34" w:rsidRPr="00795F17">
        <w:rPr>
          <w:rStyle w:val="Odwoanieprzypisudolnego"/>
          <w:rFonts w:asciiTheme="minorHAnsi" w:hAnsiTheme="minorHAnsi"/>
        </w:rPr>
        <w:footnoteReference w:id="16"/>
      </w:r>
      <w:r w:rsidR="006F0E34" w:rsidRPr="00795F17">
        <w:t xml:space="preserve">. Wykaz </w:t>
      </w:r>
      <w:r w:rsidR="00DF005E">
        <w:t>JCWP</w:t>
      </w:r>
      <w:r w:rsidR="006F0E34" w:rsidRPr="00795F17">
        <w:t>d zawiera załącznik nr 1</w:t>
      </w:r>
      <w:r w:rsidR="004D0E15" w:rsidRPr="00795F17">
        <w:t xml:space="preserve"> (Zestawienie główne)</w:t>
      </w:r>
      <w:r w:rsidR="006F0E34" w:rsidRPr="00795F17">
        <w:t xml:space="preserve">, który prezentuje szczegółowe informacje o poszczególnych jcw. Położenie i granice </w:t>
      </w:r>
      <w:r w:rsidR="00DF005E">
        <w:t>JCWP</w:t>
      </w:r>
      <w:r w:rsidR="006F0E34" w:rsidRPr="00795F17">
        <w:t xml:space="preserve">d </w:t>
      </w:r>
      <w:r w:rsidR="00A31547">
        <w:t>na</w:t>
      </w:r>
      <w:r w:rsidR="00A8339B" w:rsidRPr="00795F17">
        <w:t> </w:t>
      </w:r>
      <w:r w:rsidR="006F0E34" w:rsidRPr="00795F17">
        <w:t xml:space="preserve">obszarze dorzecza Odry przedstawiono na mapie stanowiącej załącznik graficzny nr </w:t>
      </w:r>
      <w:r w:rsidR="00D806E0">
        <w:t>6</w:t>
      </w:r>
      <w:r w:rsidR="006F0E34" w:rsidRPr="00795F17">
        <w:t xml:space="preserve"> do </w:t>
      </w:r>
      <w:r w:rsidR="005435AA" w:rsidRPr="00795F17">
        <w:t>IIaPGW</w:t>
      </w:r>
      <w:r w:rsidR="006F0E34" w:rsidRPr="00795F17">
        <w:t xml:space="preserve">. </w:t>
      </w:r>
      <w:r w:rsidR="00DF005E">
        <w:t>JCWP</w:t>
      </w:r>
      <w:r w:rsidR="006F0E34" w:rsidRPr="00795F17">
        <w:t>d z uwagi na swoją powierzchnię mogą obejmować obszar więcej niż jednego regionu wodnego</w:t>
      </w:r>
      <w:r w:rsidR="00CC5CE4" w:rsidRPr="00795F17">
        <w:t>, co zostało przedstawione w poniższej tabeli</w:t>
      </w:r>
      <w:r w:rsidR="005E341C" w:rsidRPr="00795F17">
        <w:t xml:space="preserve"> (tabela 3-8)</w:t>
      </w:r>
      <w:r w:rsidR="006F0E34" w:rsidRPr="00795F17">
        <w:t>.</w:t>
      </w:r>
    </w:p>
    <w:p w14:paraId="2BD131F4" w14:textId="69402FEB" w:rsidR="003E2D19" w:rsidRPr="00795F17" w:rsidRDefault="003E2D19" w:rsidP="004D7705">
      <w:pPr>
        <w:pStyle w:val="Tabela"/>
      </w:pPr>
      <w:bookmarkStart w:id="84" w:name="_Toc66341850"/>
      <w:bookmarkStart w:id="85" w:name="_Toc105512758"/>
      <w:bookmarkStart w:id="86" w:name="_Hlk67172925"/>
      <w:r w:rsidRPr="00795F17">
        <w:t xml:space="preserve">Tabela </w:t>
      </w:r>
      <w:fldSimple w:instr=" STYLEREF 1 \s ">
        <w:r w:rsidR="001F774D">
          <w:rPr>
            <w:noProof/>
          </w:rPr>
          <w:t>3</w:t>
        </w:r>
      </w:fldSimple>
      <w:r w:rsidR="00BB3B21" w:rsidRPr="00795F17">
        <w:noBreakHyphen/>
      </w:r>
      <w:fldSimple w:instr=" SEQ Tabela \* ARABIC \s 1 ">
        <w:r w:rsidR="001F774D">
          <w:rPr>
            <w:noProof/>
          </w:rPr>
          <w:t>8</w:t>
        </w:r>
      </w:fldSimple>
      <w:r w:rsidR="00BA11D4">
        <w:rPr>
          <w:noProof/>
        </w:rPr>
        <w:t>.</w:t>
      </w:r>
      <w:r w:rsidRPr="00795F17">
        <w:tab/>
      </w:r>
      <w:r w:rsidRPr="00795F17">
        <w:rPr>
          <w:rFonts w:asciiTheme="minorHAnsi" w:hAnsiTheme="minorHAnsi"/>
          <w:szCs w:val="20"/>
        </w:rPr>
        <w:t xml:space="preserve">Zestawienie </w:t>
      </w:r>
      <w:r w:rsidR="00DF005E">
        <w:rPr>
          <w:rFonts w:asciiTheme="minorHAnsi" w:hAnsiTheme="minorHAnsi"/>
          <w:szCs w:val="20"/>
        </w:rPr>
        <w:t>JCWP</w:t>
      </w:r>
      <w:r w:rsidRPr="00795F17">
        <w:rPr>
          <w:rFonts w:asciiTheme="minorHAnsi" w:hAnsiTheme="minorHAnsi"/>
          <w:szCs w:val="20"/>
        </w:rPr>
        <w:t>d w obszarze dorzecza Odry</w:t>
      </w:r>
      <w:bookmarkEnd w:id="84"/>
      <w:bookmarkEnd w:id="85"/>
    </w:p>
    <w:tbl>
      <w:tblPr>
        <w:tblW w:w="5000" w:type="pct"/>
        <w:jc w:val="center"/>
        <w:tblCellMar>
          <w:left w:w="70" w:type="dxa"/>
          <w:right w:w="70" w:type="dxa"/>
        </w:tblCellMar>
        <w:tblLook w:val="04A0" w:firstRow="1" w:lastRow="0" w:firstColumn="1" w:lastColumn="0" w:noHBand="0" w:noVBand="1"/>
      </w:tblPr>
      <w:tblGrid>
        <w:gridCol w:w="3256"/>
        <w:gridCol w:w="2690"/>
        <w:gridCol w:w="3116"/>
      </w:tblGrid>
      <w:tr w:rsidR="006F0E34" w:rsidRPr="00795F17" w14:paraId="25B78F6B" w14:textId="77777777" w:rsidTr="005A5DDF">
        <w:trPr>
          <w:trHeight w:val="397"/>
          <w:jc w:val="center"/>
        </w:trPr>
        <w:tc>
          <w:tcPr>
            <w:tcW w:w="179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493F71F" w14:textId="77777777" w:rsidR="006F0E34" w:rsidRPr="00795F17" w:rsidRDefault="006F0E34" w:rsidP="0044393D">
            <w:pPr>
              <w:pStyle w:val="Teksttabelinaglowek"/>
            </w:pPr>
            <w:r w:rsidRPr="00795F17">
              <w:t>Region wodny</w:t>
            </w:r>
          </w:p>
        </w:tc>
        <w:tc>
          <w:tcPr>
            <w:tcW w:w="1484"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B7C1E9A" w14:textId="276FCCA9" w:rsidR="006F0E34" w:rsidRPr="00795F17" w:rsidRDefault="006F0E34" w:rsidP="0044393D">
            <w:pPr>
              <w:pStyle w:val="Teksttabelinaglowek"/>
              <w:rPr>
                <w:color w:val="000000"/>
              </w:rPr>
            </w:pPr>
            <w:r w:rsidRPr="00795F17">
              <w:t xml:space="preserve">Liczba </w:t>
            </w:r>
            <w:r w:rsidR="00DF005E">
              <w:t>JCWP</w:t>
            </w:r>
            <w:r w:rsidRPr="00795F17">
              <w:t>d</w:t>
            </w:r>
            <w:r w:rsidR="00621FFA">
              <w:t>*</w:t>
            </w:r>
          </w:p>
        </w:tc>
        <w:tc>
          <w:tcPr>
            <w:tcW w:w="1719"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3AED894" w14:textId="79E7DABA" w:rsidR="006F0E34" w:rsidRPr="00795F17" w:rsidRDefault="006F0E34" w:rsidP="0044393D">
            <w:pPr>
              <w:pStyle w:val="Teksttabelinaglowek"/>
              <w:rPr>
                <w:color w:val="000000"/>
              </w:rPr>
            </w:pPr>
            <w:r w:rsidRPr="00795F17">
              <w:t xml:space="preserve">Liczba </w:t>
            </w:r>
            <w:r w:rsidR="00DF005E">
              <w:t>JCWP</w:t>
            </w:r>
            <w:r w:rsidRPr="00795F17">
              <w:t>d obejmujących obszar więcej niż 1 regionu wodnego</w:t>
            </w:r>
            <w:r w:rsidR="00734389" w:rsidRPr="00795F17">
              <w:t xml:space="preserve"> w</w:t>
            </w:r>
            <w:r w:rsidR="006B35CA">
              <w:t> </w:t>
            </w:r>
            <w:r w:rsidR="00734389" w:rsidRPr="00795F17">
              <w:t xml:space="preserve">ogólnej liczbie </w:t>
            </w:r>
            <w:r w:rsidR="00DF005E">
              <w:t>JCWP</w:t>
            </w:r>
            <w:r w:rsidR="00734389" w:rsidRPr="00795F17">
              <w:t>d danego regionu wodnego</w:t>
            </w:r>
          </w:p>
        </w:tc>
      </w:tr>
      <w:tr w:rsidR="006F0E34" w:rsidRPr="00795F17" w14:paraId="7EEC5C18" w14:textId="77777777" w:rsidTr="005A5DDF">
        <w:trPr>
          <w:trHeight w:val="397"/>
          <w:jc w:val="center"/>
        </w:trPr>
        <w:tc>
          <w:tcPr>
            <w:tcW w:w="1797" w:type="pct"/>
            <w:tcBorders>
              <w:top w:val="nil"/>
              <w:left w:val="single" w:sz="4" w:space="0" w:color="auto"/>
              <w:bottom w:val="single" w:sz="4" w:space="0" w:color="auto"/>
              <w:right w:val="single" w:sz="4" w:space="0" w:color="auto"/>
            </w:tcBorders>
            <w:shd w:val="clear" w:color="auto" w:fill="auto"/>
            <w:vAlign w:val="center"/>
            <w:hideMark/>
          </w:tcPr>
          <w:p w14:paraId="0E05B3B2" w14:textId="77777777" w:rsidR="006F0E34" w:rsidRPr="00795F17" w:rsidRDefault="006F0E34" w:rsidP="00364244">
            <w:pPr>
              <w:pStyle w:val="Teksttabelilewy"/>
            </w:pPr>
            <w:r w:rsidRPr="00795F17">
              <w:t>Górnej Odry</w:t>
            </w:r>
          </w:p>
        </w:tc>
        <w:tc>
          <w:tcPr>
            <w:tcW w:w="1484" w:type="pct"/>
            <w:tcBorders>
              <w:top w:val="nil"/>
              <w:left w:val="nil"/>
              <w:bottom w:val="single" w:sz="4" w:space="0" w:color="auto"/>
              <w:right w:val="single" w:sz="4" w:space="0" w:color="auto"/>
            </w:tcBorders>
            <w:shd w:val="clear" w:color="auto" w:fill="FFFFFF" w:themeFill="background1"/>
            <w:vAlign w:val="center"/>
            <w:hideMark/>
          </w:tcPr>
          <w:p w14:paraId="0BCB7382" w14:textId="25E7D371" w:rsidR="006F0E34" w:rsidRPr="00795F17" w:rsidRDefault="00674FAC" w:rsidP="0065243A">
            <w:pPr>
              <w:pStyle w:val="Teksttabelisrodek"/>
            </w:pPr>
            <w:r w:rsidRPr="00795F17">
              <w:t>13</w:t>
            </w:r>
          </w:p>
        </w:tc>
        <w:tc>
          <w:tcPr>
            <w:tcW w:w="1719" w:type="pct"/>
            <w:tcBorders>
              <w:top w:val="nil"/>
              <w:left w:val="nil"/>
              <w:bottom w:val="single" w:sz="4" w:space="0" w:color="auto"/>
              <w:right w:val="single" w:sz="4" w:space="0" w:color="auto"/>
            </w:tcBorders>
            <w:shd w:val="clear" w:color="auto" w:fill="FFFFFF" w:themeFill="background1"/>
            <w:vAlign w:val="center"/>
            <w:hideMark/>
          </w:tcPr>
          <w:p w14:paraId="171AEC6A" w14:textId="23337CB3" w:rsidR="006F0E34" w:rsidRPr="00795F17" w:rsidRDefault="006F0E34" w:rsidP="0065243A">
            <w:pPr>
              <w:pStyle w:val="Teksttabelisrodek"/>
            </w:pPr>
            <w:r w:rsidRPr="00795F17">
              <w:t>-</w:t>
            </w:r>
          </w:p>
        </w:tc>
      </w:tr>
      <w:tr w:rsidR="006F0E34" w:rsidRPr="00795F17" w14:paraId="1ED79E24" w14:textId="77777777" w:rsidTr="005A5DDF">
        <w:trPr>
          <w:trHeight w:val="397"/>
          <w:jc w:val="center"/>
        </w:trPr>
        <w:tc>
          <w:tcPr>
            <w:tcW w:w="1797" w:type="pct"/>
            <w:tcBorders>
              <w:top w:val="nil"/>
              <w:left w:val="single" w:sz="4" w:space="0" w:color="auto"/>
              <w:bottom w:val="single" w:sz="4" w:space="0" w:color="auto"/>
              <w:right w:val="single" w:sz="4" w:space="0" w:color="auto"/>
            </w:tcBorders>
            <w:shd w:val="clear" w:color="auto" w:fill="auto"/>
            <w:vAlign w:val="center"/>
            <w:hideMark/>
          </w:tcPr>
          <w:p w14:paraId="4C9610C2" w14:textId="77777777" w:rsidR="006F0E34" w:rsidRPr="00795F17" w:rsidRDefault="006F0E34" w:rsidP="00364244">
            <w:pPr>
              <w:pStyle w:val="Teksttabelilewy"/>
            </w:pPr>
            <w:r w:rsidRPr="00795F17">
              <w:t>Środkowej Odry</w:t>
            </w:r>
          </w:p>
        </w:tc>
        <w:tc>
          <w:tcPr>
            <w:tcW w:w="1484" w:type="pct"/>
            <w:tcBorders>
              <w:top w:val="nil"/>
              <w:left w:val="nil"/>
              <w:bottom w:val="single" w:sz="4" w:space="0" w:color="auto"/>
              <w:right w:val="single" w:sz="4" w:space="0" w:color="auto"/>
            </w:tcBorders>
            <w:shd w:val="clear" w:color="auto" w:fill="FFFFFF" w:themeFill="background1"/>
            <w:vAlign w:val="center"/>
            <w:hideMark/>
          </w:tcPr>
          <w:p w14:paraId="340DCF0C" w14:textId="387EED01" w:rsidR="006F0E34" w:rsidRPr="00795F17" w:rsidRDefault="007E5A65" w:rsidP="0065243A">
            <w:pPr>
              <w:pStyle w:val="Teksttabelisrodek"/>
            </w:pPr>
            <w:r w:rsidRPr="00795F17">
              <w:t>2</w:t>
            </w:r>
            <w:r w:rsidR="003C71E3" w:rsidRPr="00795F17">
              <w:t>1</w:t>
            </w:r>
          </w:p>
        </w:tc>
        <w:tc>
          <w:tcPr>
            <w:tcW w:w="1719" w:type="pct"/>
            <w:tcBorders>
              <w:top w:val="nil"/>
              <w:left w:val="nil"/>
              <w:bottom w:val="single" w:sz="4" w:space="0" w:color="auto"/>
              <w:right w:val="single" w:sz="4" w:space="0" w:color="auto"/>
            </w:tcBorders>
            <w:shd w:val="clear" w:color="auto" w:fill="FFFFFF" w:themeFill="background1"/>
            <w:vAlign w:val="center"/>
            <w:hideMark/>
          </w:tcPr>
          <w:p w14:paraId="10CCE0C5" w14:textId="6561CD95" w:rsidR="006F0E34" w:rsidRPr="00795F17" w:rsidRDefault="00734389" w:rsidP="0065243A">
            <w:pPr>
              <w:pStyle w:val="Teksttabelisrodek"/>
            </w:pPr>
            <w:r w:rsidRPr="00795F17">
              <w:t>1</w:t>
            </w:r>
          </w:p>
        </w:tc>
      </w:tr>
      <w:tr w:rsidR="006F0E34" w:rsidRPr="00795F17" w14:paraId="7E84E2C4" w14:textId="77777777" w:rsidTr="005A5DDF">
        <w:trPr>
          <w:trHeight w:val="397"/>
          <w:jc w:val="center"/>
        </w:trPr>
        <w:tc>
          <w:tcPr>
            <w:tcW w:w="1797" w:type="pct"/>
            <w:tcBorders>
              <w:top w:val="nil"/>
              <w:left w:val="single" w:sz="4" w:space="0" w:color="auto"/>
              <w:bottom w:val="single" w:sz="4" w:space="0" w:color="auto"/>
              <w:right w:val="single" w:sz="4" w:space="0" w:color="auto"/>
            </w:tcBorders>
            <w:shd w:val="clear" w:color="auto" w:fill="auto"/>
            <w:vAlign w:val="center"/>
            <w:hideMark/>
          </w:tcPr>
          <w:p w14:paraId="50DA83E0" w14:textId="77777777" w:rsidR="006F0E34" w:rsidRPr="00795F17" w:rsidRDefault="006F0E34" w:rsidP="00364244">
            <w:pPr>
              <w:pStyle w:val="Teksttabelilewy"/>
            </w:pPr>
            <w:r w:rsidRPr="00795F17">
              <w:t>Dolnej Odry i Przymorza Zachodniego</w:t>
            </w:r>
          </w:p>
        </w:tc>
        <w:tc>
          <w:tcPr>
            <w:tcW w:w="1484" w:type="pct"/>
            <w:tcBorders>
              <w:top w:val="nil"/>
              <w:left w:val="nil"/>
              <w:bottom w:val="single" w:sz="4" w:space="0" w:color="auto"/>
              <w:right w:val="single" w:sz="4" w:space="0" w:color="auto"/>
            </w:tcBorders>
            <w:shd w:val="clear" w:color="auto" w:fill="FFFFFF" w:themeFill="background1"/>
            <w:vAlign w:val="center"/>
            <w:hideMark/>
          </w:tcPr>
          <w:p w14:paraId="6A01F613" w14:textId="2FD81EA9" w:rsidR="006F0E34" w:rsidRPr="00795F17" w:rsidRDefault="00674FAC" w:rsidP="0065243A">
            <w:pPr>
              <w:pStyle w:val="Teksttabelisrodek"/>
            </w:pPr>
            <w:r w:rsidRPr="00795F17">
              <w:t>12</w:t>
            </w:r>
          </w:p>
        </w:tc>
        <w:tc>
          <w:tcPr>
            <w:tcW w:w="1719" w:type="pct"/>
            <w:tcBorders>
              <w:top w:val="nil"/>
              <w:left w:val="nil"/>
              <w:bottom w:val="single" w:sz="4" w:space="0" w:color="auto"/>
              <w:right w:val="single" w:sz="4" w:space="0" w:color="auto"/>
            </w:tcBorders>
            <w:shd w:val="clear" w:color="auto" w:fill="FFFFFF" w:themeFill="background1"/>
            <w:vAlign w:val="center"/>
            <w:hideMark/>
          </w:tcPr>
          <w:p w14:paraId="684A1E9A" w14:textId="77777777" w:rsidR="006F0E34" w:rsidRPr="00795F17" w:rsidRDefault="006F0E34" w:rsidP="0065243A">
            <w:pPr>
              <w:pStyle w:val="Teksttabelisrodek"/>
            </w:pPr>
            <w:r w:rsidRPr="00795F17">
              <w:t>-</w:t>
            </w:r>
          </w:p>
        </w:tc>
      </w:tr>
      <w:tr w:rsidR="006F0E34" w:rsidRPr="00795F17" w14:paraId="1BD02A61" w14:textId="77777777" w:rsidTr="005A5DDF">
        <w:trPr>
          <w:trHeight w:val="397"/>
          <w:jc w:val="center"/>
        </w:trPr>
        <w:tc>
          <w:tcPr>
            <w:tcW w:w="1797" w:type="pct"/>
            <w:tcBorders>
              <w:top w:val="nil"/>
              <w:left w:val="single" w:sz="4" w:space="0" w:color="auto"/>
              <w:bottom w:val="single" w:sz="4" w:space="0" w:color="auto"/>
              <w:right w:val="single" w:sz="4" w:space="0" w:color="auto"/>
            </w:tcBorders>
            <w:shd w:val="clear" w:color="auto" w:fill="auto"/>
            <w:vAlign w:val="center"/>
            <w:hideMark/>
          </w:tcPr>
          <w:p w14:paraId="4AFC7DD3" w14:textId="77777777" w:rsidR="006F0E34" w:rsidRPr="00795F17" w:rsidRDefault="006F0E34" w:rsidP="00364244">
            <w:pPr>
              <w:pStyle w:val="Teksttabelilewy"/>
            </w:pPr>
            <w:r w:rsidRPr="00795F17">
              <w:t>Warty</w:t>
            </w:r>
          </w:p>
        </w:tc>
        <w:tc>
          <w:tcPr>
            <w:tcW w:w="1484" w:type="pct"/>
            <w:tcBorders>
              <w:top w:val="nil"/>
              <w:left w:val="nil"/>
              <w:bottom w:val="single" w:sz="4" w:space="0" w:color="auto"/>
              <w:right w:val="single" w:sz="4" w:space="0" w:color="auto"/>
            </w:tcBorders>
            <w:shd w:val="clear" w:color="auto" w:fill="FFFFFF" w:themeFill="background1"/>
            <w:vAlign w:val="center"/>
            <w:hideMark/>
          </w:tcPr>
          <w:p w14:paraId="5373F4F9" w14:textId="44B07A32" w:rsidR="006F0E34" w:rsidRPr="00795F17" w:rsidRDefault="006F0E34" w:rsidP="0065243A">
            <w:pPr>
              <w:pStyle w:val="Teksttabelisrodek"/>
            </w:pPr>
            <w:r w:rsidRPr="00795F17">
              <w:t>1</w:t>
            </w:r>
            <w:r w:rsidR="00734389" w:rsidRPr="00795F17">
              <w:t>6</w:t>
            </w:r>
          </w:p>
        </w:tc>
        <w:tc>
          <w:tcPr>
            <w:tcW w:w="1719" w:type="pct"/>
            <w:tcBorders>
              <w:top w:val="nil"/>
              <w:left w:val="nil"/>
              <w:bottom w:val="single" w:sz="4" w:space="0" w:color="auto"/>
              <w:right w:val="single" w:sz="4" w:space="0" w:color="auto"/>
            </w:tcBorders>
            <w:shd w:val="clear" w:color="auto" w:fill="FFFFFF" w:themeFill="background1"/>
            <w:vAlign w:val="center"/>
            <w:hideMark/>
          </w:tcPr>
          <w:p w14:paraId="2289CED3" w14:textId="4220BE09" w:rsidR="006F0E34" w:rsidRPr="00795F17" w:rsidRDefault="003C71E3" w:rsidP="0065243A">
            <w:pPr>
              <w:pStyle w:val="Teksttabelisrodek"/>
            </w:pPr>
            <w:r w:rsidRPr="00795F17">
              <w:t>2</w:t>
            </w:r>
          </w:p>
        </w:tc>
      </w:tr>
      <w:tr w:rsidR="006F0E34" w:rsidRPr="00795F17" w14:paraId="08E395B6" w14:textId="77777777" w:rsidTr="005A5DDF">
        <w:trPr>
          <w:trHeight w:val="397"/>
          <w:jc w:val="center"/>
        </w:trPr>
        <w:tc>
          <w:tcPr>
            <w:tcW w:w="1797" w:type="pct"/>
            <w:tcBorders>
              <w:top w:val="nil"/>
              <w:left w:val="single" w:sz="4" w:space="0" w:color="auto"/>
              <w:bottom w:val="single" w:sz="4" w:space="0" w:color="auto"/>
              <w:right w:val="single" w:sz="4" w:space="0" w:color="auto"/>
            </w:tcBorders>
            <w:shd w:val="clear" w:color="auto" w:fill="auto"/>
            <w:vAlign w:val="center"/>
            <w:hideMark/>
          </w:tcPr>
          <w:p w14:paraId="1BF687C8" w14:textId="77777777" w:rsidR="006F0E34" w:rsidRPr="00795F17" w:rsidRDefault="006F0E34" w:rsidP="00364244">
            <w:pPr>
              <w:pStyle w:val="Teksttabelilewy"/>
            </w:pPr>
            <w:r w:rsidRPr="00795F17">
              <w:t>Noteci</w:t>
            </w:r>
          </w:p>
        </w:tc>
        <w:tc>
          <w:tcPr>
            <w:tcW w:w="1484" w:type="pct"/>
            <w:tcBorders>
              <w:top w:val="nil"/>
              <w:left w:val="nil"/>
              <w:bottom w:val="single" w:sz="4" w:space="0" w:color="auto"/>
              <w:right w:val="single" w:sz="4" w:space="0" w:color="auto"/>
            </w:tcBorders>
            <w:shd w:val="clear" w:color="auto" w:fill="FFFFFF" w:themeFill="background1"/>
            <w:vAlign w:val="center"/>
            <w:hideMark/>
          </w:tcPr>
          <w:p w14:paraId="5BC3D481" w14:textId="2EC3A2D6" w:rsidR="006F0E34" w:rsidRPr="00795F17" w:rsidRDefault="00734389" w:rsidP="0065243A">
            <w:pPr>
              <w:pStyle w:val="Teksttabelisrodek"/>
            </w:pPr>
            <w:r w:rsidRPr="00795F17">
              <w:t>6</w:t>
            </w:r>
          </w:p>
        </w:tc>
        <w:tc>
          <w:tcPr>
            <w:tcW w:w="1719" w:type="pct"/>
            <w:tcBorders>
              <w:top w:val="nil"/>
              <w:left w:val="nil"/>
              <w:bottom w:val="single" w:sz="4" w:space="0" w:color="auto"/>
              <w:right w:val="single" w:sz="4" w:space="0" w:color="auto"/>
            </w:tcBorders>
            <w:shd w:val="clear" w:color="auto" w:fill="FFFFFF" w:themeFill="background1"/>
            <w:vAlign w:val="center"/>
            <w:hideMark/>
          </w:tcPr>
          <w:p w14:paraId="02BC3255" w14:textId="326CF761" w:rsidR="006F0E34" w:rsidRPr="00795F17" w:rsidRDefault="006F0E34" w:rsidP="0065243A">
            <w:pPr>
              <w:pStyle w:val="Teksttabelisrodek"/>
            </w:pPr>
            <w:r w:rsidRPr="00795F17">
              <w:t>1</w:t>
            </w:r>
          </w:p>
        </w:tc>
      </w:tr>
    </w:tbl>
    <w:p w14:paraId="1C3B40FD" w14:textId="33CD93DE" w:rsidR="00DA7FB3" w:rsidRPr="00795F17" w:rsidRDefault="002574C4" w:rsidP="002A13B9">
      <w:pPr>
        <w:pStyle w:val="Tabela-wyjasnieniapod"/>
      </w:pPr>
      <w:r>
        <w:t>Objaśnienia:</w:t>
      </w:r>
      <w:r>
        <w:br/>
      </w:r>
      <w:r w:rsidR="00DA7FB3" w:rsidRPr="00795F17">
        <w:t xml:space="preserve">*Z uwagi na to, że </w:t>
      </w:r>
      <w:r w:rsidR="00DF005E">
        <w:t>JCWP</w:t>
      </w:r>
      <w:r w:rsidR="00DA7FB3" w:rsidRPr="00795F17">
        <w:t>d</w:t>
      </w:r>
      <w:r w:rsidR="007302DC" w:rsidRPr="00795F17">
        <w:t xml:space="preserve"> nr 40 i 62</w:t>
      </w:r>
      <w:r w:rsidR="00DA7FB3" w:rsidRPr="00795F17">
        <w:t xml:space="preserve"> są położone na obszarze dwóch regionów wodnych, suma </w:t>
      </w:r>
      <w:r w:rsidR="00DF005E">
        <w:t>JCWP</w:t>
      </w:r>
      <w:r w:rsidR="00DA7FB3" w:rsidRPr="00795F17">
        <w:t xml:space="preserve">d w kolumnie „Liczba </w:t>
      </w:r>
      <w:r w:rsidR="00DF005E">
        <w:t>JCWP</w:t>
      </w:r>
      <w:r w:rsidR="00DA7FB3" w:rsidRPr="00795F17">
        <w:t xml:space="preserve">d” jest wyższa od ogólnej liczby </w:t>
      </w:r>
      <w:r w:rsidR="00DF005E">
        <w:t>JCWP</w:t>
      </w:r>
      <w:r w:rsidR="00DA7FB3" w:rsidRPr="00795F17">
        <w:t>d na obszarze dorzecza Odry wynoszącej 66.</w:t>
      </w:r>
    </w:p>
    <w:p w14:paraId="1DF32EC1" w14:textId="476C2E5B"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bookmarkEnd w:id="86"/>
    <w:p w14:paraId="0701A4FE" w14:textId="68D3446C" w:rsidR="00623329" w:rsidRPr="00795F17" w:rsidRDefault="00623329" w:rsidP="0044393D">
      <w:pPr>
        <w:rPr>
          <w:lang w:eastAsia="zh-CN"/>
        </w:rPr>
      </w:pPr>
      <w:r w:rsidRPr="00795F17">
        <w:rPr>
          <w:lang w:eastAsia="zh-CN"/>
        </w:rPr>
        <w:t xml:space="preserve">Wykres poniżej (wykres 3-16) przedstawia udział procentowy liczby </w:t>
      </w:r>
      <w:r w:rsidR="00DF005E">
        <w:rPr>
          <w:lang w:eastAsia="zh-CN"/>
        </w:rPr>
        <w:t>JCWP</w:t>
      </w:r>
      <w:r w:rsidRPr="00795F17">
        <w:rPr>
          <w:lang w:eastAsia="zh-CN"/>
        </w:rPr>
        <w:t xml:space="preserve">d poszczególnych regionów wodnych w ogólnej liczbie </w:t>
      </w:r>
      <w:r w:rsidR="00DF005E">
        <w:rPr>
          <w:lang w:eastAsia="zh-CN"/>
        </w:rPr>
        <w:t>JCWP</w:t>
      </w:r>
      <w:r w:rsidRPr="00795F17">
        <w:rPr>
          <w:lang w:eastAsia="zh-CN"/>
        </w:rPr>
        <w:t>d obszaru dorzecza Odry.</w:t>
      </w:r>
    </w:p>
    <w:p w14:paraId="006AC06F" w14:textId="39567A36" w:rsidR="00DA7FB3" w:rsidRPr="00795F17" w:rsidRDefault="00DA7FB3" w:rsidP="005842B5">
      <w:pPr>
        <w:jc w:val="center"/>
        <w:rPr>
          <w:lang w:eastAsia="zh-CN"/>
        </w:rPr>
      </w:pPr>
      <w:r w:rsidRPr="00795F17">
        <w:rPr>
          <w:noProof/>
          <w:lang w:eastAsia="pl-PL"/>
        </w:rPr>
        <w:drawing>
          <wp:inline distT="0" distB="0" distL="0" distR="0" wp14:anchorId="459B37E1" wp14:editId="3756BEDD">
            <wp:extent cx="4320000" cy="2520000"/>
            <wp:effectExtent l="0" t="0" r="4445" b="13970"/>
            <wp:docPr id="55" name="Wykres 55">
              <a:extLst xmlns:a="http://schemas.openxmlformats.org/drawingml/2006/main">
                <a:ext uri="{FF2B5EF4-FFF2-40B4-BE49-F238E27FC236}">
                  <a16:creationId xmlns:a16="http://schemas.microsoft.com/office/drawing/2014/main" id="{CA583F0F-9424-4D20-8653-A33203DC923E}"/>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72E0722" w14:textId="57DE0CA1" w:rsidR="006F0E34" w:rsidRPr="00795F17" w:rsidRDefault="006F0E34" w:rsidP="00B479EE">
      <w:pPr>
        <w:pStyle w:val="Wykres"/>
      </w:pPr>
      <w:bookmarkStart w:id="87" w:name="_Toc66272995"/>
      <w:bookmarkStart w:id="88" w:name="_Toc105512953"/>
      <w:r w:rsidRPr="00795F17">
        <w:t xml:space="preserve">Wykres </w:t>
      </w:r>
      <w:fldSimple w:instr=" STYLEREF 1 \s ">
        <w:r w:rsidR="001F774D">
          <w:rPr>
            <w:noProof/>
          </w:rPr>
          <w:t>3</w:t>
        </w:r>
      </w:fldSimple>
      <w:r w:rsidR="00FF20D3">
        <w:noBreakHyphen/>
      </w:r>
      <w:fldSimple w:instr=" SEQ Wykres \* ARABIC \s 1 ">
        <w:r w:rsidR="001F774D">
          <w:rPr>
            <w:noProof/>
          </w:rPr>
          <w:t>16</w:t>
        </w:r>
      </w:fldSimple>
      <w:r w:rsidR="00D40C59">
        <w:rPr>
          <w:noProof/>
        </w:rPr>
        <w:t>.</w:t>
      </w:r>
      <w:r w:rsidRPr="00795F17">
        <w:tab/>
        <w:t xml:space="preserve">Udział </w:t>
      </w:r>
      <w:r w:rsidR="00542A32" w:rsidRPr="00795F17">
        <w:t xml:space="preserve">liczby </w:t>
      </w:r>
      <w:r w:rsidR="00DF005E">
        <w:t>JCWP</w:t>
      </w:r>
      <w:r w:rsidRPr="00795F17">
        <w:t xml:space="preserve">d </w:t>
      </w:r>
      <w:r w:rsidR="00542A32" w:rsidRPr="00795F17">
        <w:t xml:space="preserve">w </w:t>
      </w:r>
      <w:r w:rsidRPr="00795F17">
        <w:t>poszczególnych region</w:t>
      </w:r>
      <w:r w:rsidR="00542A32" w:rsidRPr="00795F17">
        <w:t>ach</w:t>
      </w:r>
      <w:r w:rsidRPr="00795F17">
        <w:t xml:space="preserve"> wodnych w ogólnej liczbie </w:t>
      </w:r>
      <w:r w:rsidR="00DF005E">
        <w:t>JCWP</w:t>
      </w:r>
      <w:r w:rsidRPr="00795F17">
        <w:t>d obszaru dorzecza Odry</w:t>
      </w:r>
      <w:bookmarkEnd w:id="87"/>
      <w:bookmarkEnd w:id="88"/>
      <w:r w:rsidRPr="00795F17">
        <w:t xml:space="preserve"> </w:t>
      </w:r>
    </w:p>
    <w:p w14:paraId="0BD4524C" w14:textId="7CF02DDF"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6B65EC82" w14:textId="6F3CB6DE" w:rsidR="006F0E34" w:rsidRPr="00795F17" w:rsidRDefault="006F0E34" w:rsidP="0044393D">
      <w:r w:rsidRPr="00795F17">
        <w:t xml:space="preserve">Powierzchnie poszczególnych </w:t>
      </w:r>
      <w:r w:rsidR="00DF005E">
        <w:t>JCWP</w:t>
      </w:r>
      <w:r w:rsidRPr="00795F17">
        <w:t xml:space="preserve">d </w:t>
      </w:r>
      <w:r w:rsidR="00E31D81">
        <w:t>na</w:t>
      </w:r>
      <w:r w:rsidRPr="00795F17">
        <w:t xml:space="preserve"> ob</w:t>
      </w:r>
      <w:r w:rsidR="004A2DD7" w:rsidRPr="00795F17">
        <w:t>szarze</w:t>
      </w:r>
      <w:r w:rsidRPr="00795F17">
        <w:t xml:space="preserve"> dorzecza Odry są mocno zróżnicowane i wynoszą od</w:t>
      </w:r>
      <w:r w:rsidR="00A8339B" w:rsidRPr="00795F17">
        <w:t> </w:t>
      </w:r>
      <w:r w:rsidRPr="00795F17">
        <w:t>23,8</w:t>
      </w:r>
      <w:r w:rsidR="00BE447C" w:rsidRPr="00795F17">
        <w:t> </w:t>
      </w:r>
      <w:r w:rsidRPr="00795F17">
        <w:t>km</w:t>
      </w:r>
      <w:r w:rsidRPr="00795F17">
        <w:rPr>
          <w:vertAlign w:val="superscript"/>
        </w:rPr>
        <w:t>2</w:t>
      </w:r>
      <w:r w:rsidRPr="00795F17">
        <w:t xml:space="preserve"> dla </w:t>
      </w:r>
      <w:r w:rsidR="00DF005E">
        <w:t>JCWP</w:t>
      </w:r>
      <w:r w:rsidRPr="00795F17">
        <w:t>d nr 139, położonej w regionie wodnym Górnej Odry, do 4</w:t>
      </w:r>
      <w:r w:rsidR="003E743B" w:rsidRPr="00795F17">
        <w:t> </w:t>
      </w:r>
      <w:r w:rsidRPr="00795F17">
        <w:t>958,9</w:t>
      </w:r>
      <w:r w:rsidR="00BE447C" w:rsidRPr="00795F17">
        <w:t> </w:t>
      </w:r>
      <w:r w:rsidRPr="00795F17">
        <w:t>km</w:t>
      </w:r>
      <w:r w:rsidRPr="00795F17">
        <w:rPr>
          <w:vertAlign w:val="superscript"/>
        </w:rPr>
        <w:t>2</w:t>
      </w:r>
      <w:r w:rsidRPr="00795F17">
        <w:t xml:space="preserve"> dla </w:t>
      </w:r>
      <w:r w:rsidR="00DF005E">
        <w:t>JCWP</w:t>
      </w:r>
      <w:r w:rsidRPr="00795F17">
        <w:t>d nr</w:t>
      </w:r>
      <w:r w:rsidR="00A8339B" w:rsidRPr="00795F17">
        <w:t> </w:t>
      </w:r>
      <w:r w:rsidRPr="00795F17">
        <w:t>26, położonej w regionie wodnym Noteci.</w:t>
      </w:r>
    </w:p>
    <w:p w14:paraId="402F36F1" w14:textId="04487CFB" w:rsidR="006F0E34" w:rsidRPr="00795F17" w:rsidRDefault="006F0E34" w:rsidP="0044393D">
      <w:r w:rsidRPr="00795F17">
        <w:t>Specyfiką obszaru dorzecza Odry jest fakt, że na blisko 80% jego powierzchni występują plejstoceńskie użytkowe poziomy wodonośne z zasobami wód o wysokiej jakości. Wody te mogą służyć do</w:t>
      </w:r>
      <w:r w:rsidR="00A8339B" w:rsidRPr="00795F17">
        <w:t> </w:t>
      </w:r>
      <w:r w:rsidRPr="00795F17">
        <w:t>zaopatrzenia ludności w wodę do spożycia, przemysłu wymagającego wody o wysokiej jakości oraz</w:t>
      </w:r>
      <w:r w:rsidR="008513F0">
        <w:t> </w:t>
      </w:r>
      <w:r w:rsidRPr="00795F17">
        <w:t>rolnictwa. Blisko 75% zasobów wód podziemnych znajduje się w czwartorzędowych warstwach wodonośnych (tzw. czwartorzędowe piętro wodonośne), wykształconych w ośrodkach skalnych porowych. Znajdują się one na głębokości od kilku do</w:t>
      </w:r>
      <w:r w:rsidRPr="00795F17" w:rsidDel="008A43DE">
        <w:t xml:space="preserve"> </w:t>
      </w:r>
      <w:r w:rsidRPr="00795F17">
        <w:t>blisko 200 metrów poniżej powierzchni terenu, a lokalnie nawet na większych głębokościach. Te poziomy wodonośne, w zależności od głębokości występowania, są drenowane przez mniejsze lub większe rzeki oraz jeziora. Są głównym źródłem zasilania w wodę ekosystemów wód śródlądowych.</w:t>
      </w:r>
    </w:p>
    <w:p w14:paraId="4B1FE7C2" w14:textId="083338F9" w:rsidR="006F0E34" w:rsidRPr="00795F17" w:rsidRDefault="00D647A0" w:rsidP="0044393D">
      <w:r>
        <w:t>Na</w:t>
      </w:r>
      <w:r w:rsidR="006F0E34" w:rsidRPr="00795F17">
        <w:t xml:space="preserve"> ob</w:t>
      </w:r>
      <w:r w:rsidR="004A2DD7" w:rsidRPr="00795F17">
        <w:t>szarze</w:t>
      </w:r>
      <w:r w:rsidR="006F0E34" w:rsidRPr="00795F17">
        <w:t xml:space="preserve"> dorzecza Odry w całości lub we fragmencie znajduje się 76 GZWP</w:t>
      </w:r>
      <w:r w:rsidR="00B0576D">
        <w:t xml:space="preserve"> (tabela 3-9)</w:t>
      </w:r>
      <w:r w:rsidR="006F0E34" w:rsidRPr="00795F17">
        <w:t>, w tym 5 o randze zbiorników lokalnych. W przypadku 56 GZWP charakter ośrodka wodonośnego jest porowy, w</w:t>
      </w:r>
      <w:r>
        <w:t> </w:t>
      </w:r>
      <w:r w:rsidR="006F0E34" w:rsidRPr="00795F17">
        <w:t>12</w:t>
      </w:r>
      <w:r>
        <w:t> </w:t>
      </w:r>
      <w:r w:rsidR="006F0E34" w:rsidRPr="00795F17">
        <w:t xml:space="preserve">przypadkach porowo-szczelinowy, w 6 krasowo-szczelinowy, a 2 zbiorniki mają szczelinowy charakter ośrodka. Ogólnie powierzchnia </w:t>
      </w:r>
      <w:r w:rsidR="003E743B" w:rsidRPr="00795F17">
        <w:t xml:space="preserve">obszaru </w:t>
      </w:r>
      <w:r w:rsidR="006F0E34" w:rsidRPr="00795F17">
        <w:t>dorzecza Odry zajęta przez GZWP wynosi 39</w:t>
      </w:r>
      <w:r w:rsidR="003E743B" w:rsidRPr="00795F17">
        <w:t> </w:t>
      </w:r>
      <w:r w:rsidR="006F0E34" w:rsidRPr="00795F17">
        <w:t>039,6</w:t>
      </w:r>
      <w:r w:rsidR="000351CE" w:rsidRPr="00795F17">
        <w:t> </w:t>
      </w:r>
      <w:r w:rsidR="006F0E34" w:rsidRPr="00795F17">
        <w:t>km</w:t>
      </w:r>
      <w:r w:rsidR="006F0E34" w:rsidRPr="00795F17">
        <w:rPr>
          <w:vertAlign w:val="superscript"/>
        </w:rPr>
        <w:t>2</w:t>
      </w:r>
      <w:r w:rsidR="006F0E34" w:rsidRPr="00795F17">
        <w:t>, co stanowi 33% powierzchni w granicach Polski</w:t>
      </w:r>
      <w:r w:rsidR="00D62D88" w:rsidRPr="00795F17">
        <w:rPr>
          <w:rStyle w:val="Odwoanieprzypisudolnego"/>
        </w:rPr>
        <w:footnoteReference w:id="17"/>
      </w:r>
      <w:r w:rsidR="006B5BAA">
        <w:t>.</w:t>
      </w:r>
    </w:p>
    <w:p w14:paraId="2F832DBB" w14:textId="5E7B294E" w:rsidR="009263D8" w:rsidRDefault="009263D8" w:rsidP="004D7705">
      <w:pPr>
        <w:pStyle w:val="Tabela"/>
      </w:pPr>
      <w:bookmarkStart w:id="89" w:name="_Toc105512759"/>
      <w:r>
        <w:t xml:space="preserve">Tabela </w:t>
      </w:r>
      <w:fldSimple w:instr=" STYLEREF 1 \s ">
        <w:r w:rsidR="001F774D">
          <w:rPr>
            <w:noProof/>
          </w:rPr>
          <w:t>3</w:t>
        </w:r>
      </w:fldSimple>
      <w:r>
        <w:noBreakHyphen/>
      </w:r>
      <w:fldSimple w:instr=" SEQ Tabela \* ARABIC \s 1 ">
        <w:r w:rsidR="001F774D">
          <w:rPr>
            <w:noProof/>
          </w:rPr>
          <w:t>9</w:t>
        </w:r>
      </w:fldSimple>
      <w:r w:rsidR="00BA11D4">
        <w:rPr>
          <w:noProof/>
        </w:rPr>
        <w:t>.</w:t>
      </w:r>
      <w:r>
        <w:tab/>
        <w:t xml:space="preserve">GZWP występujące w obrębie </w:t>
      </w:r>
      <w:r w:rsidR="00C608F1">
        <w:t xml:space="preserve">obszaru </w:t>
      </w:r>
      <w:r>
        <w:t>dorzecza Odry</w:t>
      </w:r>
      <w:bookmarkEnd w:id="89"/>
    </w:p>
    <w:tbl>
      <w:tblPr>
        <w:tblStyle w:val="Siatkatabelijasn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
        <w:gridCol w:w="3331"/>
        <w:gridCol w:w="3402"/>
        <w:gridCol w:w="1554"/>
      </w:tblGrid>
      <w:tr w:rsidR="00E51484" w:rsidRPr="00E51484" w14:paraId="3E84497D" w14:textId="77777777" w:rsidTr="00E51484">
        <w:trPr>
          <w:cantSplit/>
          <w:trHeight w:val="454"/>
          <w:tblHeader/>
        </w:trPr>
        <w:tc>
          <w:tcPr>
            <w:tcW w:w="775" w:type="dxa"/>
            <w:shd w:val="clear" w:color="auto" w:fill="BFBFBF" w:themeFill="background1" w:themeFillShade="BF"/>
            <w:tcMar>
              <w:left w:w="28" w:type="dxa"/>
              <w:right w:w="28" w:type="dxa"/>
            </w:tcMar>
            <w:vAlign w:val="center"/>
          </w:tcPr>
          <w:p w14:paraId="365E7217" w14:textId="751C8A22" w:rsidR="00E51484" w:rsidRPr="00E51484" w:rsidRDefault="00E51484" w:rsidP="00E51484">
            <w:pPr>
              <w:pStyle w:val="Teksttabelinaglowek"/>
              <w:rPr>
                <w:b w:val="0"/>
                <w:bCs/>
              </w:rPr>
            </w:pPr>
            <w:r w:rsidRPr="00E51484">
              <w:t>Nr GZWP</w:t>
            </w:r>
          </w:p>
        </w:tc>
        <w:tc>
          <w:tcPr>
            <w:tcW w:w="3331" w:type="dxa"/>
            <w:shd w:val="clear" w:color="auto" w:fill="BFBFBF" w:themeFill="background1" w:themeFillShade="BF"/>
            <w:tcMar>
              <w:left w:w="28" w:type="dxa"/>
              <w:right w:w="28" w:type="dxa"/>
            </w:tcMar>
            <w:vAlign w:val="center"/>
          </w:tcPr>
          <w:p w14:paraId="604B9E24" w14:textId="29ED0B72" w:rsidR="00E51484" w:rsidRPr="00E51484" w:rsidRDefault="00E51484" w:rsidP="00E51484">
            <w:pPr>
              <w:pStyle w:val="Teksttabelinaglowek"/>
              <w:rPr>
                <w:b w:val="0"/>
                <w:bCs/>
              </w:rPr>
            </w:pPr>
            <w:r w:rsidRPr="00E51484">
              <w:t>Nazwa GZWP zgodna z dokumentacją hydrogeologiczna</w:t>
            </w:r>
          </w:p>
        </w:tc>
        <w:tc>
          <w:tcPr>
            <w:tcW w:w="3402" w:type="dxa"/>
            <w:shd w:val="clear" w:color="auto" w:fill="BFBFBF" w:themeFill="background1" w:themeFillShade="BF"/>
            <w:tcMar>
              <w:left w:w="28" w:type="dxa"/>
              <w:right w:w="28" w:type="dxa"/>
            </w:tcMar>
            <w:vAlign w:val="center"/>
          </w:tcPr>
          <w:p w14:paraId="4FFEB759" w14:textId="3D9321F6" w:rsidR="00E51484" w:rsidRPr="00E51484" w:rsidRDefault="00E51484" w:rsidP="00E51484">
            <w:pPr>
              <w:pStyle w:val="Teksttabelinaglowek"/>
              <w:rPr>
                <w:b w:val="0"/>
                <w:bCs/>
              </w:rPr>
            </w:pPr>
            <w:r w:rsidRPr="00E51484">
              <w:t>Nazwa GZWP wg Rozporządzenia Rady Ministrów z dnia 27 czerwca 2006 r. w sprawie przebiegu granic obszarów dorzeczy i regionów wodnych</w:t>
            </w:r>
          </w:p>
        </w:tc>
        <w:tc>
          <w:tcPr>
            <w:tcW w:w="1554" w:type="dxa"/>
            <w:shd w:val="clear" w:color="auto" w:fill="BFBFBF" w:themeFill="background1" w:themeFillShade="BF"/>
            <w:tcMar>
              <w:left w:w="28" w:type="dxa"/>
              <w:right w:w="28" w:type="dxa"/>
            </w:tcMar>
            <w:vAlign w:val="center"/>
          </w:tcPr>
          <w:p w14:paraId="79CCBD3A" w14:textId="0F8C247A" w:rsidR="00E51484" w:rsidRPr="00E51484" w:rsidRDefault="00E51484" w:rsidP="00E51484">
            <w:pPr>
              <w:pStyle w:val="Teksttabelinaglowek"/>
              <w:rPr>
                <w:b w:val="0"/>
                <w:bCs/>
              </w:rPr>
            </w:pPr>
            <w:r w:rsidRPr="00E51484">
              <w:t>Ranga Zbiornika</w:t>
            </w:r>
          </w:p>
        </w:tc>
      </w:tr>
      <w:tr w:rsidR="009263D8" w:rsidRPr="00F60446" w14:paraId="7931D5A0" w14:textId="77777777" w:rsidTr="00E51484">
        <w:trPr>
          <w:trHeight w:val="454"/>
        </w:trPr>
        <w:tc>
          <w:tcPr>
            <w:tcW w:w="775" w:type="dxa"/>
            <w:vAlign w:val="center"/>
          </w:tcPr>
          <w:p w14:paraId="30619FE6" w14:textId="77777777" w:rsidR="009263D8" w:rsidRPr="00F60446" w:rsidRDefault="009263D8" w:rsidP="00FB3C63">
            <w:pPr>
              <w:pStyle w:val="Teksttabelisrodek"/>
            </w:pPr>
            <w:r w:rsidRPr="00F60446">
              <w:t>102</w:t>
            </w:r>
          </w:p>
        </w:tc>
        <w:tc>
          <w:tcPr>
            <w:tcW w:w="3331" w:type="dxa"/>
            <w:vAlign w:val="center"/>
          </w:tcPr>
          <w:p w14:paraId="2C3FF560" w14:textId="77777777" w:rsidR="009263D8" w:rsidRPr="00F60446" w:rsidRDefault="009263D8" w:rsidP="00FB3C63">
            <w:pPr>
              <w:pStyle w:val="Teksttabelisrodek"/>
            </w:pPr>
            <w:r w:rsidRPr="00F60446">
              <w:t>Wyspa Wolin</w:t>
            </w:r>
          </w:p>
        </w:tc>
        <w:tc>
          <w:tcPr>
            <w:tcW w:w="3402" w:type="dxa"/>
            <w:vAlign w:val="center"/>
          </w:tcPr>
          <w:p w14:paraId="2CB52DE8" w14:textId="77777777" w:rsidR="009263D8" w:rsidRPr="00F60446" w:rsidRDefault="009263D8" w:rsidP="00FB3C63">
            <w:pPr>
              <w:pStyle w:val="Teksttabelisrodek"/>
            </w:pPr>
            <w:r w:rsidRPr="00F60446">
              <w:t>Zbiornik wyspy Wolin</w:t>
            </w:r>
          </w:p>
        </w:tc>
        <w:tc>
          <w:tcPr>
            <w:tcW w:w="1554" w:type="dxa"/>
            <w:vAlign w:val="center"/>
          </w:tcPr>
          <w:p w14:paraId="3DAEE271" w14:textId="77777777" w:rsidR="009263D8" w:rsidRPr="00F60446" w:rsidRDefault="009263D8" w:rsidP="00FB3C63">
            <w:pPr>
              <w:pStyle w:val="Teksttabelisrodek"/>
            </w:pPr>
            <w:r w:rsidRPr="00F60446">
              <w:t>główny - GZWP</w:t>
            </w:r>
          </w:p>
        </w:tc>
      </w:tr>
      <w:tr w:rsidR="009263D8" w:rsidRPr="00F60446" w14:paraId="42BA7FD8" w14:textId="77777777" w:rsidTr="00E51484">
        <w:trPr>
          <w:trHeight w:val="454"/>
        </w:trPr>
        <w:tc>
          <w:tcPr>
            <w:tcW w:w="775" w:type="dxa"/>
            <w:vAlign w:val="center"/>
          </w:tcPr>
          <w:p w14:paraId="07DD4D65" w14:textId="77777777" w:rsidR="009263D8" w:rsidRPr="00F60446" w:rsidRDefault="009263D8" w:rsidP="00FB3C63">
            <w:pPr>
              <w:pStyle w:val="Teksttabelisrodek"/>
            </w:pPr>
            <w:r w:rsidRPr="00F60446">
              <w:t>118</w:t>
            </w:r>
          </w:p>
        </w:tc>
        <w:tc>
          <w:tcPr>
            <w:tcW w:w="3331" w:type="dxa"/>
            <w:vAlign w:val="center"/>
          </w:tcPr>
          <w:p w14:paraId="4FEECF51" w14:textId="77777777" w:rsidR="009263D8" w:rsidRPr="00F60446" w:rsidRDefault="009263D8" w:rsidP="00FB3C63">
            <w:pPr>
              <w:pStyle w:val="Teksttabelisrodek"/>
            </w:pPr>
            <w:r w:rsidRPr="00F60446">
              <w:t>Zbiornik międzymorenowy Polanów</w:t>
            </w:r>
          </w:p>
        </w:tc>
        <w:tc>
          <w:tcPr>
            <w:tcW w:w="3402" w:type="dxa"/>
            <w:vAlign w:val="center"/>
          </w:tcPr>
          <w:p w14:paraId="17943609" w14:textId="77777777" w:rsidR="009263D8" w:rsidRPr="00F60446" w:rsidRDefault="009263D8" w:rsidP="00FB3C63">
            <w:pPr>
              <w:pStyle w:val="Teksttabelisrodek"/>
            </w:pPr>
            <w:r w:rsidRPr="00F60446">
              <w:t>Zbiornik międzymorenowy Polanów</w:t>
            </w:r>
          </w:p>
        </w:tc>
        <w:tc>
          <w:tcPr>
            <w:tcW w:w="1554" w:type="dxa"/>
            <w:vAlign w:val="center"/>
          </w:tcPr>
          <w:p w14:paraId="2BE9C86B" w14:textId="77777777" w:rsidR="009263D8" w:rsidRPr="00F60446" w:rsidRDefault="009263D8" w:rsidP="00FB3C63">
            <w:pPr>
              <w:pStyle w:val="Teksttabelisrodek"/>
            </w:pPr>
            <w:r w:rsidRPr="00F60446">
              <w:t>główny - GZWP</w:t>
            </w:r>
          </w:p>
        </w:tc>
      </w:tr>
      <w:tr w:rsidR="009263D8" w:rsidRPr="00F60446" w14:paraId="1DB42211" w14:textId="77777777" w:rsidTr="00E51484">
        <w:trPr>
          <w:trHeight w:val="454"/>
        </w:trPr>
        <w:tc>
          <w:tcPr>
            <w:tcW w:w="775" w:type="dxa"/>
            <w:vAlign w:val="center"/>
          </w:tcPr>
          <w:p w14:paraId="07C76C8C" w14:textId="77777777" w:rsidR="009263D8" w:rsidRPr="00F60446" w:rsidRDefault="009263D8" w:rsidP="00FB3C63">
            <w:pPr>
              <w:pStyle w:val="Teksttabelisrodek"/>
            </w:pPr>
            <w:r w:rsidRPr="00F60446">
              <w:t>120</w:t>
            </w:r>
          </w:p>
        </w:tc>
        <w:tc>
          <w:tcPr>
            <w:tcW w:w="3331" w:type="dxa"/>
            <w:vAlign w:val="center"/>
          </w:tcPr>
          <w:p w14:paraId="089BD9A1" w14:textId="77777777" w:rsidR="009263D8" w:rsidRPr="00F60446" w:rsidRDefault="009263D8" w:rsidP="00FB3C63">
            <w:pPr>
              <w:pStyle w:val="Teksttabelisrodek"/>
            </w:pPr>
            <w:r w:rsidRPr="00F60446">
              <w:t>Zbiornik międzymorenowy Bobolice</w:t>
            </w:r>
          </w:p>
        </w:tc>
        <w:tc>
          <w:tcPr>
            <w:tcW w:w="3402" w:type="dxa"/>
            <w:vAlign w:val="center"/>
          </w:tcPr>
          <w:p w14:paraId="5DF8B3C1" w14:textId="77777777" w:rsidR="009263D8" w:rsidRPr="00F60446" w:rsidRDefault="009263D8" w:rsidP="00FB3C63">
            <w:pPr>
              <w:pStyle w:val="Teksttabelisrodek"/>
            </w:pPr>
            <w:r w:rsidRPr="00F60446">
              <w:t>Zbiornik międzymorenowy Bobolice</w:t>
            </w:r>
          </w:p>
        </w:tc>
        <w:tc>
          <w:tcPr>
            <w:tcW w:w="1554" w:type="dxa"/>
            <w:vAlign w:val="center"/>
          </w:tcPr>
          <w:p w14:paraId="2914CAC8" w14:textId="77777777" w:rsidR="009263D8" w:rsidRPr="00F60446" w:rsidRDefault="009263D8" w:rsidP="00FB3C63">
            <w:pPr>
              <w:pStyle w:val="Teksttabelisrodek"/>
            </w:pPr>
            <w:r w:rsidRPr="00F60446">
              <w:t>główny - GZWP</w:t>
            </w:r>
          </w:p>
        </w:tc>
      </w:tr>
      <w:tr w:rsidR="009263D8" w:rsidRPr="00F60446" w14:paraId="0ECB8799" w14:textId="77777777" w:rsidTr="00E51484">
        <w:trPr>
          <w:trHeight w:val="454"/>
        </w:trPr>
        <w:tc>
          <w:tcPr>
            <w:tcW w:w="775" w:type="dxa"/>
            <w:vAlign w:val="center"/>
          </w:tcPr>
          <w:p w14:paraId="228B9DA0" w14:textId="77777777" w:rsidR="009263D8" w:rsidRPr="00F60446" w:rsidRDefault="009263D8" w:rsidP="00FB3C63">
            <w:pPr>
              <w:pStyle w:val="Teksttabelisrodek"/>
            </w:pPr>
            <w:r w:rsidRPr="00F60446">
              <w:t>122</w:t>
            </w:r>
          </w:p>
        </w:tc>
        <w:tc>
          <w:tcPr>
            <w:tcW w:w="3331" w:type="dxa"/>
            <w:vAlign w:val="center"/>
          </w:tcPr>
          <w:p w14:paraId="612AC67C" w14:textId="77777777" w:rsidR="009263D8" w:rsidRPr="00F60446" w:rsidRDefault="009263D8" w:rsidP="00FB3C63">
            <w:pPr>
              <w:pStyle w:val="Teksttabelisrodek"/>
            </w:pPr>
            <w:r w:rsidRPr="00F60446">
              <w:t>Dolina Kopalna Szczecin</w:t>
            </w:r>
          </w:p>
        </w:tc>
        <w:tc>
          <w:tcPr>
            <w:tcW w:w="3402" w:type="dxa"/>
            <w:vAlign w:val="center"/>
          </w:tcPr>
          <w:p w14:paraId="410D6833" w14:textId="77777777" w:rsidR="009263D8" w:rsidRPr="00F60446" w:rsidRDefault="009263D8" w:rsidP="00FB3C63">
            <w:pPr>
              <w:pStyle w:val="Teksttabelisrodek"/>
            </w:pPr>
            <w:r w:rsidRPr="00F60446">
              <w:t>Dolina kopalna Szczecin</w:t>
            </w:r>
          </w:p>
        </w:tc>
        <w:tc>
          <w:tcPr>
            <w:tcW w:w="1554" w:type="dxa"/>
            <w:vAlign w:val="center"/>
          </w:tcPr>
          <w:p w14:paraId="3A634E9C" w14:textId="77777777" w:rsidR="009263D8" w:rsidRPr="00F60446" w:rsidRDefault="009263D8" w:rsidP="00FB3C63">
            <w:pPr>
              <w:pStyle w:val="Teksttabelisrodek"/>
            </w:pPr>
            <w:r w:rsidRPr="00F60446">
              <w:t>główny - GZWP</w:t>
            </w:r>
          </w:p>
        </w:tc>
      </w:tr>
      <w:tr w:rsidR="009263D8" w:rsidRPr="00F60446" w14:paraId="6271D86A" w14:textId="77777777" w:rsidTr="00E51484">
        <w:trPr>
          <w:trHeight w:val="454"/>
        </w:trPr>
        <w:tc>
          <w:tcPr>
            <w:tcW w:w="775" w:type="dxa"/>
            <w:vAlign w:val="center"/>
          </w:tcPr>
          <w:p w14:paraId="311DB2A7" w14:textId="77777777" w:rsidR="009263D8" w:rsidRPr="00F60446" w:rsidRDefault="009263D8" w:rsidP="00FB3C63">
            <w:pPr>
              <w:pStyle w:val="Teksttabelisrodek"/>
            </w:pPr>
            <w:r w:rsidRPr="00F60446">
              <w:t>123</w:t>
            </w:r>
          </w:p>
        </w:tc>
        <w:tc>
          <w:tcPr>
            <w:tcW w:w="3331" w:type="dxa"/>
            <w:vAlign w:val="center"/>
          </w:tcPr>
          <w:p w14:paraId="5B5B81BD" w14:textId="77777777" w:rsidR="009263D8" w:rsidRPr="00F60446" w:rsidRDefault="009263D8" w:rsidP="00FB3C63">
            <w:pPr>
              <w:pStyle w:val="Teksttabelisrodek"/>
            </w:pPr>
            <w:r w:rsidRPr="00F60446">
              <w:t>Zbiornik międzymorenowy Stargard-Goleniów</w:t>
            </w:r>
          </w:p>
        </w:tc>
        <w:tc>
          <w:tcPr>
            <w:tcW w:w="3402" w:type="dxa"/>
            <w:vAlign w:val="center"/>
          </w:tcPr>
          <w:p w14:paraId="608D1E07" w14:textId="77777777" w:rsidR="009263D8" w:rsidRPr="00F60446" w:rsidRDefault="009263D8" w:rsidP="00FB3C63">
            <w:pPr>
              <w:pStyle w:val="Teksttabelisrodek"/>
            </w:pPr>
            <w:r w:rsidRPr="00F60446">
              <w:t>Zbiornik międzymorenowy Stargard-Goleniów</w:t>
            </w:r>
          </w:p>
        </w:tc>
        <w:tc>
          <w:tcPr>
            <w:tcW w:w="1554" w:type="dxa"/>
            <w:vAlign w:val="center"/>
          </w:tcPr>
          <w:p w14:paraId="20C5E1BD" w14:textId="77777777" w:rsidR="009263D8" w:rsidRPr="00F60446" w:rsidRDefault="009263D8" w:rsidP="00FB3C63">
            <w:pPr>
              <w:pStyle w:val="Teksttabelisrodek"/>
            </w:pPr>
            <w:r w:rsidRPr="00F60446">
              <w:t>główny - GZWP</w:t>
            </w:r>
          </w:p>
        </w:tc>
      </w:tr>
      <w:tr w:rsidR="009263D8" w:rsidRPr="00F60446" w14:paraId="623789D6" w14:textId="77777777" w:rsidTr="00E51484">
        <w:trPr>
          <w:trHeight w:val="454"/>
        </w:trPr>
        <w:tc>
          <w:tcPr>
            <w:tcW w:w="775" w:type="dxa"/>
            <w:vAlign w:val="center"/>
          </w:tcPr>
          <w:p w14:paraId="448842A8" w14:textId="77777777" w:rsidR="009263D8" w:rsidRPr="00F60446" w:rsidRDefault="009263D8" w:rsidP="00FB3C63">
            <w:pPr>
              <w:pStyle w:val="Teksttabelisrodek"/>
            </w:pPr>
            <w:r w:rsidRPr="00F60446">
              <w:t>125</w:t>
            </w:r>
          </w:p>
        </w:tc>
        <w:tc>
          <w:tcPr>
            <w:tcW w:w="3331" w:type="dxa"/>
            <w:vAlign w:val="center"/>
          </w:tcPr>
          <w:p w14:paraId="3A72134E" w14:textId="77777777" w:rsidR="009263D8" w:rsidRPr="00F60446" w:rsidRDefault="009263D8" w:rsidP="00FB3C63">
            <w:pPr>
              <w:pStyle w:val="Teksttabelisrodek"/>
            </w:pPr>
            <w:r w:rsidRPr="00F60446">
              <w:t>Wałcz – Piła</w:t>
            </w:r>
          </w:p>
        </w:tc>
        <w:tc>
          <w:tcPr>
            <w:tcW w:w="3402" w:type="dxa"/>
            <w:vAlign w:val="center"/>
          </w:tcPr>
          <w:p w14:paraId="455B5CDF" w14:textId="77777777" w:rsidR="009263D8" w:rsidRPr="00F60446" w:rsidRDefault="009263D8" w:rsidP="00FB3C63">
            <w:pPr>
              <w:pStyle w:val="Teksttabelisrodek"/>
            </w:pPr>
            <w:r w:rsidRPr="00F60446">
              <w:t>Zbiornik międzymorenowy Wałcz-Piła</w:t>
            </w:r>
          </w:p>
        </w:tc>
        <w:tc>
          <w:tcPr>
            <w:tcW w:w="1554" w:type="dxa"/>
            <w:vAlign w:val="center"/>
          </w:tcPr>
          <w:p w14:paraId="5D06A011" w14:textId="77777777" w:rsidR="009263D8" w:rsidRPr="00F60446" w:rsidRDefault="009263D8" w:rsidP="00FB3C63">
            <w:pPr>
              <w:pStyle w:val="Teksttabelisrodek"/>
            </w:pPr>
            <w:r w:rsidRPr="00F60446">
              <w:t>główny - GZWP</w:t>
            </w:r>
          </w:p>
        </w:tc>
      </w:tr>
      <w:tr w:rsidR="009263D8" w:rsidRPr="00F60446" w14:paraId="18482AE2" w14:textId="77777777" w:rsidTr="00E51484">
        <w:trPr>
          <w:trHeight w:val="454"/>
        </w:trPr>
        <w:tc>
          <w:tcPr>
            <w:tcW w:w="775" w:type="dxa"/>
            <w:vAlign w:val="center"/>
          </w:tcPr>
          <w:p w14:paraId="07AFB288" w14:textId="77777777" w:rsidR="009263D8" w:rsidRPr="00F60446" w:rsidRDefault="009263D8" w:rsidP="00FB3C63">
            <w:pPr>
              <w:pStyle w:val="Teksttabelisrodek"/>
            </w:pPr>
            <w:r w:rsidRPr="00F60446">
              <w:t>126</w:t>
            </w:r>
          </w:p>
        </w:tc>
        <w:tc>
          <w:tcPr>
            <w:tcW w:w="3331" w:type="dxa"/>
            <w:vAlign w:val="center"/>
          </w:tcPr>
          <w:p w14:paraId="7A60D26F" w14:textId="77777777" w:rsidR="009263D8" w:rsidRPr="00F60446" w:rsidRDefault="009263D8" w:rsidP="00FB3C63">
            <w:pPr>
              <w:pStyle w:val="Teksttabelisrodek"/>
            </w:pPr>
            <w:r w:rsidRPr="00F60446">
              <w:t>Zbiornik Szczecinek</w:t>
            </w:r>
          </w:p>
        </w:tc>
        <w:tc>
          <w:tcPr>
            <w:tcW w:w="3402" w:type="dxa"/>
            <w:vAlign w:val="center"/>
          </w:tcPr>
          <w:p w14:paraId="6F75F404" w14:textId="77777777" w:rsidR="009263D8" w:rsidRPr="00F60446" w:rsidRDefault="009263D8" w:rsidP="00FB3C63">
            <w:pPr>
              <w:pStyle w:val="Teksttabelisrodek"/>
            </w:pPr>
            <w:r w:rsidRPr="00F60446">
              <w:t>Zbiornik Szczecinek</w:t>
            </w:r>
          </w:p>
        </w:tc>
        <w:tc>
          <w:tcPr>
            <w:tcW w:w="1554" w:type="dxa"/>
            <w:vAlign w:val="center"/>
          </w:tcPr>
          <w:p w14:paraId="1B1F3BDC" w14:textId="77777777" w:rsidR="009263D8" w:rsidRPr="00F60446" w:rsidRDefault="009263D8" w:rsidP="00FB3C63">
            <w:pPr>
              <w:pStyle w:val="Teksttabelisrodek"/>
            </w:pPr>
            <w:r w:rsidRPr="00F60446">
              <w:t>główny - GZWP</w:t>
            </w:r>
          </w:p>
        </w:tc>
      </w:tr>
      <w:tr w:rsidR="009263D8" w:rsidRPr="00F60446" w14:paraId="5AB4CCDA" w14:textId="77777777" w:rsidTr="00E51484">
        <w:trPr>
          <w:trHeight w:val="454"/>
        </w:trPr>
        <w:tc>
          <w:tcPr>
            <w:tcW w:w="775" w:type="dxa"/>
            <w:vAlign w:val="center"/>
          </w:tcPr>
          <w:p w14:paraId="23A1F047" w14:textId="77777777" w:rsidR="009263D8" w:rsidRPr="00F60446" w:rsidRDefault="009263D8" w:rsidP="00FB3C63">
            <w:pPr>
              <w:pStyle w:val="Teksttabelisrodek"/>
            </w:pPr>
            <w:r w:rsidRPr="00F60446">
              <w:t>127</w:t>
            </w:r>
          </w:p>
        </w:tc>
        <w:tc>
          <w:tcPr>
            <w:tcW w:w="3331" w:type="dxa"/>
            <w:vAlign w:val="center"/>
          </w:tcPr>
          <w:p w14:paraId="168B94E9" w14:textId="77777777" w:rsidR="009263D8" w:rsidRPr="00F60446" w:rsidRDefault="009263D8" w:rsidP="00FB3C63">
            <w:pPr>
              <w:pStyle w:val="Teksttabelisrodek"/>
            </w:pPr>
            <w:r w:rsidRPr="00F60446">
              <w:t>Subzbiornik Złotów-Piła-Strzelce Krajeńskie</w:t>
            </w:r>
          </w:p>
        </w:tc>
        <w:tc>
          <w:tcPr>
            <w:tcW w:w="3402" w:type="dxa"/>
            <w:vAlign w:val="center"/>
          </w:tcPr>
          <w:p w14:paraId="03DC5C34" w14:textId="77777777" w:rsidR="009263D8" w:rsidRPr="00F60446" w:rsidRDefault="009263D8" w:rsidP="00FB3C63">
            <w:pPr>
              <w:pStyle w:val="Teksttabelisrodek"/>
            </w:pPr>
            <w:r w:rsidRPr="00F60446">
              <w:t>Subzbiornik Złotów-Piła-Strzelce Krajeńskie</w:t>
            </w:r>
          </w:p>
        </w:tc>
        <w:tc>
          <w:tcPr>
            <w:tcW w:w="1554" w:type="dxa"/>
            <w:vAlign w:val="center"/>
          </w:tcPr>
          <w:p w14:paraId="37C9FB27" w14:textId="77777777" w:rsidR="009263D8" w:rsidRPr="00F60446" w:rsidRDefault="009263D8" w:rsidP="00FB3C63">
            <w:pPr>
              <w:pStyle w:val="Teksttabelisrodek"/>
            </w:pPr>
            <w:r w:rsidRPr="00F60446">
              <w:t>główny - GZWP</w:t>
            </w:r>
          </w:p>
        </w:tc>
      </w:tr>
      <w:tr w:rsidR="009263D8" w:rsidRPr="00F60446" w14:paraId="09F56E07" w14:textId="77777777" w:rsidTr="00E51484">
        <w:trPr>
          <w:trHeight w:val="454"/>
        </w:trPr>
        <w:tc>
          <w:tcPr>
            <w:tcW w:w="775" w:type="dxa"/>
            <w:vAlign w:val="center"/>
          </w:tcPr>
          <w:p w14:paraId="65239E2F" w14:textId="77777777" w:rsidR="009263D8" w:rsidRPr="00F60446" w:rsidRDefault="009263D8" w:rsidP="00FB3C63">
            <w:pPr>
              <w:pStyle w:val="Teksttabelisrodek"/>
            </w:pPr>
            <w:r w:rsidRPr="00F60446">
              <w:t>132</w:t>
            </w:r>
          </w:p>
        </w:tc>
        <w:tc>
          <w:tcPr>
            <w:tcW w:w="3331" w:type="dxa"/>
            <w:vAlign w:val="center"/>
          </w:tcPr>
          <w:p w14:paraId="22786CDC" w14:textId="77777777" w:rsidR="009263D8" w:rsidRPr="00F60446" w:rsidRDefault="009263D8" w:rsidP="00FB3C63">
            <w:pPr>
              <w:pStyle w:val="Teksttabelisrodek"/>
            </w:pPr>
            <w:r w:rsidRPr="00F60446">
              <w:t>Zbiornik międzymorenowy Byszewo</w:t>
            </w:r>
          </w:p>
        </w:tc>
        <w:tc>
          <w:tcPr>
            <w:tcW w:w="3402" w:type="dxa"/>
            <w:vAlign w:val="center"/>
          </w:tcPr>
          <w:p w14:paraId="00F4EA19" w14:textId="77777777" w:rsidR="009263D8" w:rsidRPr="00F60446" w:rsidRDefault="009263D8" w:rsidP="00FB3C63">
            <w:pPr>
              <w:pStyle w:val="Teksttabelisrodek"/>
            </w:pPr>
            <w:r w:rsidRPr="00F60446">
              <w:t>Zbiornik międzymorenowy Byszewo</w:t>
            </w:r>
          </w:p>
        </w:tc>
        <w:tc>
          <w:tcPr>
            <w:tcW w:w="1554" w:type="dxa"/>
            <w:vAlign w:val="center"/>
          </w:tcPr>
          <w:p w14:paraId="4EC58112" w14:textId="77777777" w:rsidR="009263D8" w:rsidRPr="00F60446" w:rsidRDefault="009263D8" w:rsidP="00FB3C63">
            <w:pPr>
              <w:pStyle w:val="Teksttabelisrodek"/>
            </w:pPr>
            <w:r w:rsidRPr="00F60446">
              <w:t>główny - GZWP</w:t>
            </w:r>
          </w:p>
        </w:tc>
      </w:tr>
      <w:tr w:rsidR="009263D8" w:rsidRPr="00F60446" w14:paraId="0EC4AB77" w14:textId="77777777" w:rsidTr="00E51484">
        <w:trPr>
          <w:trHeight w:val="454"/>
        </w:trPr>
        <w:tc>
          <w:tcPr>
            <w:tcW w:w="775" w:type="dxa"/>
            <w:vAlign w:val="center"/>
          </w:tcPr>
          <w:p w14:paraId="278AC35C" w14:textId="77777777" w:rsidR="009263D8" w:rsidRPr="00F60446" w:rsidRDefault="009263D8" w:rsidP="00FB3C63">
            <w:pPr>
              <w:pStyle w:val="Teksttabelisrodek"/>
            </w:pPr>
            <w:r w:rsidRPr="00F60446">
              <w:t>133</w:t>
            </w:r>
          </w:p>
        </w:tc>
        <w:tc>
          <w:tcPr>
            <w:tcW w:w="3331" w:type="dxa"/>
            <w:vAlign w:val="center"/>
          </w:tcPr>
          <w:p w14:paraId="11755879" w14:textId="77777777" w:rsidR="009263D8" w:rsidRPr="00F60446" w:rsidRDefault="009263D8" w:rsidP="00FB3C63">
            <w:pPr>
              <w:pStyle w:val="Teksttabelisrodek"/>
            </w:pPr>
            <w:r w:rsidRPr="00F60446">
              <w:t>Zbiornik międzymorenowy Młotkowo</w:t>
            </w:r>
          </w:p>
        </w:tc>
        <w:tc>
          <w:tcPr>
            <w:tcW w:w="3402" w:type="dxa"/>
            <w:vAlign w:val="center"/>
          </w:tcPr>
          <w:p w14:paraId="5DCFC856" w14:textId="77777777" w:rsidR="009263D8" w:rsidRPr="00F60446" w:rsidRDefault="009263D8" w:rsidP="00FB3C63">
            <w:pPr>
              <w:pStyle w:val="Teksttabelisrodek"/>
            </w:pPr>
            <w:r w:rsidRPr="00F60446">
              <w:t>Zbiornik międzymorenowy Młotkowo</w:t>
            </w:r>
          </w:p>
        </w:tc>
        <w:tc>
          <w:tcPr>
            <w:tcW w:w="1554" w:type="dxa"/>
            <w:vAlign w:val="center"/>
          </w:tcPr>
          <w:p w14:paraId="074575CB" w14:textId="77777777" w:rsidR="009263D8" w:rsidRPr="00F60446" w:rsidRDefault="009263D8" w:rsidP="00FB3C63">
            <w:pPr>
              <w:pStyle w:val="Teksttabelisrodek"/>
            </w:pPr>
            <w:r w:rsidRPr="00F60446">
              <w:t>główny - GZWP</w:t>
            </w:r>
          </w:p>
        </w:tc>
      </w:tr>
      <w:tr w:rsidR="009263D8" w:rsidRPr="00F60446" w14:paraId="3AB759BE" w14:textId="77777777" w:rsidTr="00E51484">
        <w:trPr>
          <w:trHeight w:val="454"/>
        </w:trPr>
        <w:tc>
          <w:tcPr>
            <w:tcW w:w="775" w:type="dxa"/>
            <w:vAlign w:val="center"/>
          </w:tcPr>
          <w:p w14:paraId="29F2A8FB" w14:textId="77777777" w:rsidR="009263D8" w:rsidRPr="00F60446" w:rsidRDefault="009263D8" w:rsidP="00FB3C63">
            <w:pPr>
              <w:pStyle w:val="Teksttabelisrodek"/>
            </w:pPr>
            <w:r w:rsidRPr="00F60446">
              <w:t>134</w:t>
            </w:r>
          </w:p>
        </w:tc>
        <w:tc>
          <w:tcPr>
            <w:tcW w:w="3331" w:type="dxa"/>
            <w:vAlign w:val="center"/>
          </w:tcPr>
          <w:p w14:paraId="5D497A3A" w14:textId="77777777" w:rsidR="009263D8" w:rsidRPr="00F60446" w:rsidRDefault="009263D8" w:rsidP="00FB3C63">
            <w:pPr>
              <w:pStyle w:val="Teksttabelisrodek"/>
            </w:pPr>
            <w:r w:rsidRPr="00F60446">
              <w:t>Dębno</w:t>
            </w:r>
          </w:p>
        </w:tc>
        <w:tc>
          <w:tcPr>
            <w:tcW w:w="3402" w:type="dxa"/>
            <w:vAlign w:val="center"/>
          </w:tcPr>
          <w:p w14:paraId="66E2E320" w14:textId="77777777" w:rsidR="009263D8" w:rsidRPr="00F60446" w:rsidRDefault="009263D8" w:rsidP="00FB3C63">
            <w:pPr>
              <w:pStyle w:val="Teksttabelisrodek"/>
            </w:pPr>
            <w:r w:rsidRPr="00F60446">
              <w:t>Zbiornik Dębno</w:t>
            </w:r>
          </w:p>
        </w:tc>
        <w:tc>
          <w:tcPr>
            <w:tcW w:w="1554" w:type="dxa"/>
            <w:vAlign w:val="center"/>
          </w:tcPr>
          <w:p w14:paraId="29303D96" w14:textId="77777777" w:rsidR="009263D8" w:rsidRPr="00F60446" w:rsidRDefault="009263D8" w:rsidP="00FB3C63">
            <w:pPr>
              <w:pStyle w:val="Teksttabelisrodek"/>
            </w:pPr>
            <w:r w:rsidRPr="00F60446">
              <w:t>główny - GZWP</w:t>
            </w:r>
          </w:p>
        </w:tc>
      </w:tr>
      <w:tr w:rsidR="009263D8" w:rsidRPr="00F60446" w14:paraId="68502402" w14:textId="77777777" w:rsidTr="00E51484">
        <w:trPr>
          <w:trHeight w:val="454"/>
        </w:trPr>
        <w:tc>
          <w:tcPr>
            <w:tcW w:w="775" w:type="dxa"/>
            <w:vAlign w:val="center"/>
          </w:tcPr>
          <w:p w14:paraId="26FA94FB" w14:textId="77777777" w:rsidR="009263D8" w:rsidRPr="00F60446" w:rsidRDefault="009263D8" w:rsidP="00FB3C63">
            <w:pPr>
              <w:pStyle w:val="Teksttabelisrodek"/>
            </w:pPr>
            <w:r w:rsidRPr="00F60446">
              <w:t>135</w:t>
            </w:r>
          </w:p>
        </w:tc>
        <w:tc>
          <w:tcPr>
            <w:tcW w:w="3331" w:type="dxa"/>
            <w:vAlign w:val="center"/>
          </w:tcPr>
          <w:p w14:paraId="76323B8B" w14:textId="3C0EF6F9" w:rsidR="009263D8" w:rsidRPr="00F60446" w:rsidRDefault="009263D8" w:rsidP="00FB3C63">
            <w:pPr>
              <w:pStyle w:val="Teksttabelisrodek"/>
            </w:pPr>
            <w:r w:rsidRPr="00F60446">
              <w:t>Zbiornik Barlinek</w:t>
            </w:r>
          </w:p>
        </w:tc>
        <w:tc>
          <w:tcPr>
            <w:tcW w:w="3402" w:type="dxa"/>
            <w:vAlign w:val="center"/>
          </w:tcPr>
          <w:p w14:paraId="002345F3" w14:textId="77777777" w:rsidR="009263D8" w:rsidRPr="00F60446" w:rsidRDefault="009263D8" w:rsidP="00FB3C63">
            <w:pPr>
              <w:pStyle w:val="Teksttabelisrodek"/>
            </w:pPr>
            <w:r w:rsidRPr="00F60446">
              <w:t>Zbiornik Barlinek</w:t>
            </w:r>
          </w:p>
        </w:tc>
        <w:tc>
          <w:tcPr>
            <w:tcW w:w="1554" w:type="dxa"/>
            <w:vAlign w:val="center"/>
          </w:tcPr>
          <w:p w14:paraId="643F37E4" w14:textId="77777777" w:rsidR="009263D8" w:rsidRPr="00F60446" w:rsidRDefault="009263D8" w:rsidP="00FB3C63">
            <w:pPr>
              <w:pStyle w:val="Teksttabelisrodek"/>
            </w:pPr>
            <w:r w:rsidRPr="00F60446">
              <w:t>główny - GZWP</w:t>
            </w:r>
          </w:p>
        </w:tc>
      </w:tr>
      <w:tr w:rsidR="009263D8" w:rsidRPr="00F60446" w14:paraId="02C582CA" w14:textId="77777777" w:rsidTr="00E51484">
        <w:trPr>
          <w:trHeight w:val="454"/>
        </w:trPr>
        <w:tc>
          <w:tcPr>
            <w:tcW w:w="775" w:type="dxa"/>
            <w:vAlign w:val="center"/>
          </w:tcPr>
          <w:p w14:paraId="65824474" w14:textId="77777777" w:rsidR="009263D8" w:rsidRPr="00F60446" w:rsidRDefault="009263D8" w:rsidP="00FB3C63">
            <w:pPr>
              <w:pStyle w:val="Teksttabelisrodek"/>
            </w:pPr>
            <w:r w:rsidRPr="00F60446">
              <w:t>136</w:t>
            </w:r>
          </w:p>
        </w:tc>
        <w:tc>
          <w:tcPr>
            <w:tcW w:w="3331" w:type="dxa"/>
            <w:vAlign w:val="center"/>
          </w:tcPr>
          <w:p w14:paraId="51890D47" w14:textId="77777777" w:rsidR="009263D8" w:rsidRPr="00F60446" w:rsidRDefault="009263D8" w:rsidP="00FB3C63">
            <w:pPr>
              <w:pStyle w:val="Teksttabelisrodek"/>
            </w:pPr>
            <w:r w:rsidRPr="00F60446">
              <w:t>Zbiornik międzymorenowy Dobiegniewo (Dobiegniew)</w:t>
            </w:r>
          </w:p>
        </w:tc>
        <w:tc>
          <w:tcPr>
            <w:tcW w:w="3402" w:type="dxa"/>
            <w:vAlign w:val="center"/>
          </w:tcPr>
          <w:p w14:paraId="11CF2F4B" w14:textId="77777777" w:rsidR="009263D8" w:rsidRPr="00F60446" w:rsidRDefault="009263D8" w:rsidP="00FB3C63">
            <w:pPr>
              <w:pStyle w:val="Teksttabelisrodek"/>
            </w:pPr>
            <w:r w:rsidRPr="00F60446">
              <w:t>Zbiornik międzymorenowy Dobiegniewo</w:t>
            </w:r>
          </w:p>
        </w:tc>
        <w:tc>
          <w:tcPr>
            <w:tcW w:w="1554" w:type="dxa"/>
            <w:vAlign w:val="center"/>
          </w:tcPr>
          <w:p w14:paraId="54560332" w14:textId="77777777" w:rsidR="009263D8" w:rsidRPr="00F60446" w:rsidRDefault="009263D8" w:rsidP="00FB3C63">
            <w:pPr>
              <w:pStyle w:val="Teksttabelisrodek"/>
            </w:pPr>
            <w:r w:rsidRPr="00F60446">
              <w:t>główny - GZWP</w:t>
            </w:r>
          </w:p>
        </w:tc>
      </w:tr>
      <w:tr w:rsidR="009263D8" w:rsidRPr="00F60446" w14:paraId="073C70AB" w14:textId="77777777" w:rsidTr="00E51484">
        <w:trPr>
          <w:trHeight w:val="454"/>
        </w:trPr>
        <w:tc>
          <w:tcPr>
            <w:tcW w:w="775" w:type="dxa"/>
            <w:vAlign w:val="center"/>
          </w:tcPr>
          <w:p w14:paraId="6E3728E4" w14:textId="77777777" w:rsidR="009263D8" w:rsidRPr="00F60446" w:rsidRDefault="009263D8" w:rsidP="00FB3C63">
            <w:pPr>
              <w:pStyle w:val="Teksttabelisrodek"/>
            </w:pPr>
            <w:r w:rsidRPr="00F60446">
              <w:t>138</w:t>
            </w:r>
          </w:p>
        </w:tc>
        <w:tc>
          <w:tcPr>
            <w:tcW w:w="3331" w:type="dxa"/>
            <w:vAlign w:val="center"/>
          </w:tcPr>
          <w:p w14:paraId="5528A4CC" w14:textId="77777777" w:rsidR="009263D8" w:rsidRPr="00F60446" w:rsidRDefault="009263D8" w:rsidP="00FB3C63">
            <w:pPr>
              <w:pStyle w:val="Teksttabelisrodek"/>
            </w:pPr>
            <w:r w:rsidRPr="00F60446">
              <w:t>Pradolina Toruń – Eberswalde</w:t>
            </w:r>
          </w:p>
        </w:tc>
        <w:tc>
          <w:tcPr>
            <w:tcW w:w="3402" w:type="dxa"/>
            <w:vAlign w:val="center"/>
          </w:tcPr>
          <w:p w14:paraId="1346FB28" w14:textId="77777777" w:rsidR="009263D8" w:rsidRPr="00F60446" w:rsidRDefault="009263D8" w:rsidP="00FB3C63">
            <w:pPr>
              <w:pStyle w:val="Teksttabelisrodek"/>
            </w:pPr>
            <w:r w:rsidRPr="00F60446">
              <w:t>Pradolina Toruń-Eberswalde (Noteć)</w:t>
            </w:r>
          </w:p>
        </w:tc>
        <w:tc>
          <w:tcPr>
            <w:tcW w:w="1554" w:type="dxa"/>
            <w:vAlign w:val="center"/>
          </w:tcPr>
          <w:p w14:paraId="251DE73A" w14:textId="77777777" w:rsidR="009263D8" w:rsidRPr="00F60446" w:rsidRDefault="009263D8" w:rsidP="00FB3C63">
            <w:pPr>
              <w:pStyle w:val="Teksttabelisrodek"/>
            </w:pPr>
            <w:r w:rsidRPr="00F60446">
              <w:t>główny - GZWP</w:t>
            </w:r>
          </w:p>
        </w:tc>
      </w:tr>
      <w:tr w:rsidR="009263D8" w:rsidRPr="00F60446" w14:paraId="7853EE42" w14:textId="77777777" w:rsidTr="00E51484">
        <w:trPr>
          <w:trHeight w:val="454"/>
        </w:trPr>
        <w:tc>
          <w:tcPr>
            <w:tcW w:w="775" w:type="dxa"/>
            <w:vAlign w:val="center"/>
          </w:tcPr>
          <w:p w14:paraId="34BB065F" w14:textId="77777777" w:rsidR="009263D8" w:rsidRPr="00F60446" w:rsidRDefault="009263D8" w:rsidP="00FB3C63">
            <w:pPr>
              <w:pStyle w:val="Teksttabelisrodek"/>
            </w:pPr>
            <w:r w:rsidRPr="00F60446">
              <w:t>139</w:t>
            </w:r>
          </w:p>
        </w:tc>
        <w:tc>
          <w:tcPr>
            <w:tcW w:w="3331" w:type="dxa"/>
            <w:vAlign w:val="center"/>
          </w:tcPr>
          <w:p w14:paraId="05F03179" w14:textId="77777777" w:rsidR="009263D8" w:rsidRPr="00F60446" w:rsidRDefault="009263D8" w:rsidP="00FB3C63">
            <w:pPr>
              <w:pStyle w:val="Teksttabelisrodek"/>
            </w:pPr>
            <w:r w:rsidRPr="00F60446">
              <w:t>Dolina kopalna Smogulec – Margonin</w:t>
            </w:r>
          </w:p>
        </w:tc>
        <w:tc>
          <w:tcPr>
            <w:tcW w:w="3402" w:type="dxa"/>
            <w:vAlign w:val="center"/>
          </w:tcPr>
          <w:p w14:paraId="6AA6A2F4" w14:textId="77777777" w:rsidR="009263D8" w:rsidRPr="00F60446" w:rsidRDefault="009263D8" w:rsidP="00FB3C63">
            <w:pPr>
              <w:pStyle w:val="Teksttabelisrodek"/>
            </w:pPr>
            <w:r w:rsidRPr="00F60446">
              <w:t>Dolina kopalna Smogulec-Margonin</w:t>
            </w:r>
          </w:p>
        </w:tc>
        <w:tc>
          <w:tcPr>
            <w:tcW w:w="1554" w:type="dxa"/>
            <w:vAlign w:val="center"/>
          </w:tcPr>
          <w:p w14:paraId="15C66D18" w14:textId="77777777" w:rsidR="009263D8" w:rsidRPr="00F60446" w:rsidRDefault="009263D8" w:rsidP="00FB3C63">
            <w:pPr>
              <w:pStyle w:val="Teksttabelisrodek"/>
            </w:pPr>
            <w:r w:rsidRPr="00F60446">
              <w:t>główny - GZWP</w:t>
            </w:r>
          </w:p>
        </w:tc>
      </w:tr>
      <w:tr w:rsidR="009263D8" w:rsidRPr="00F60446" w14:paraId="14F5CC2E" w14:textId="77777777" w:rsidTr="00E51484">
        <w:trPr>
          <w:trHeight w:val="454"/>
        </w:trPr>
        <w:tc>
          <w:tcPr>
            <w:tcW w:w="775" w:type="dxa"/>
            <w:vAlign w:val="center"/>
          </w:tcPr>
          <w:p w14:paraId="46E85130" w14:textId="77777777" w:rsidR="009263D8" w:rsidRPr="00F60446" w:rsidRDefault="009263D8" w:rsidP="00FB3C63">
            <w:pPr>
              <w:pStyle w:val="Teksttabelisrodek"/>
            </w:pPr>
            <w:r w:rsidRPr="00F60446">
              <w:t>140</w:t>
            </w:r>
          </w:p>
        </w:tc>
        <w:tc>
          <w:tcPr>
            <w:tcW w:w="3331" w:type="dxa"/>
            <w:vAlign w:val="center"/>
          </w:tcPr>
          <w:p w14:paraId="597F77FA" w14:textId="77777777" w:rsidR="009263D8" w:rsidRPr="00F60446" w:rsidRDefault="009263D8" w:rsidP="00FB3C63">
            <w:pPr>
              <w:pStyle w:val="Teksttabelisrodek"/>
            </w:pPr>
            <w:r w:rsidRPr="00F60446">
              <w:t>Subzbiornik Bydgoszcz</w:t>
            </w:r>
          </w:p>
        </w:tc>
        <w:tc>
          <w:tcPr>
            <w:tcW w:w="3402" w:type="dxa"/>
            <w:vAlign w:val="center"/>
          </w:tcPr>
          <w:p w14:paraId="0A2A8DFC" w14:textId="77777777" w:rsidR="009263D8" w:rsidRPr="00F60446" w:rsidRDefault="009263D8" w:rsidP="00FB3C63">
            <w:pPr>
              <w:pStyle w:val="Teksttabelisrodek"/>
            </w:pPr>
            <w:r w:rsidRPr="00F60446">
              <w:t>Subzbiornik Bydgoszcz</w:t>
            </w:r>
          </w:p>
        </w:tc>
        <w:tc>
          <w:tcPr>
            <w:tcW w:w="1554" w:type="dxa"/>
            <w:vAlign w:val="center"/>
          </w:tcPr>
          <w:p w14:paraId="1D95C00F" w14:textId="77777777" w:rsidR="009263D8" w:rsidRPr="00F60446" w:rsidRDefault="009263D8" w:rsidP="00FB3C63">
            <w:pPr>
              <w:pStyle w:val="Teksttabelisrodek"/>
            </w:pPr>
            <w:r w:rsidRPr="00F60446">
              <w:t>główny - GZWP</w:t>
            </w:r>
          </w:p>
        </w:tc>
      </w:tr>
      <w:tr w:rsidR="009263D8" w:rsidRPr="00F60446" w14:paraId="4CEF99C1" w14:textId="77777777" w:rsidTr="00E51484">
        <w:trPr>
          <w:trHeight w:val="454"/>
        </w:trPr>
        <w:tc>
          <w:tcPr>
            <w:tcW w:w="775" w:type="dxa"/>
            <w:vAlign w:val="center"/>
          </w:tcPr>
          <w:p w14:paraId="34A6B430" w14:textId="77777777" w:rsidR="009263D8" w:rsidRPr="00F60446" w:rsidRDefault="009263D8" w:rsidP="00FB3C63">
            <w:pPr>
              <w:pStyle w:val="Teksttabelisrodek"/>
            </w:pPr>
            <w:r w:rsidRPr="00F60446">
              <w:t>142</w:t>
            </w:r>
          </w:p>
        </w:tc>
        <w:tc>
          <w:tcPr>
            <w:tcW w:w="3331" w:type="dxa"/>
            <w:vAlign w:val="center"/>
          </w:tcPr>
          <w:p w14:paraId="7A5B671B" w14:textId="77777777" w:rsidR="009263D8" w:rsidRPr="00F60446" w:rsidRDefault="009263D8" w:rsidP="00FB3C63">
            <w:pPr>
              <w:pStyle w:val="Teksttabelisrodek"/>
            </w:pPr>
            <w:r w:rsidRPr="00F60446">
              <w:t>Inowrocław-Dąbrowa</w:t>
            </w:r>
          </w:p>
        </w:tc>
        <w:tc>
          <w:tcPr>
            <w:tcW w:w="3402" w:type="dxa"/>
            <w:vAlign w:val="center"/>
          </w:tcPr>
          <w:p w14:paraId="1F8F7690" w14:textId="77777777" w:rsidR="009263D8" w:rsidRPr="00F60446" w:rsidRDefault="009263D8" w:rsidP="00FB3C63">
            <w:pPr>
              <w:pStyle w:val="Teksttabelisrodek"/>
            </w:pPr>
            <w:r w:rsidRPr="00F60446">
              <w:t>Zbiornik międzymorenowy Inowrocław-Dąbrowa</w:t>
            </w:r>
          </w:p>
        </w:tc>
        <w:tc>
          <w:tcPr>
            <w:tcW w:w="1554" w:type="dxa"/>
            <w:vAlign w:val="center"/>
          </w:tcPr>
          <w:p w14:paraId="5DC4409C" w14:textId="77777777" w:rsidR="009263D8" w:rsidRPr="00F60446" w:rsidRDefault="009263D8" w:rsidP="00FB3C63">
            <w:pPr>
              <w:pStyle w:val="Teksttabelisrodek"/>
            </w:pPr>
            <w:r w:rsidRPr="00F60446">
              <w:t>główny - GZWP</w:t>
            </w:r>
          </w:p>
        </w:tc>
      </w:tr>
      <w:tr w:rsidR="009263D8" w:rsidRPr="00F60446" w14:paraId="6BA59044" w14:textId="77777777" w:rsidTr="00E51484">
        <w:trPr>
          <w:trHeight w:val="454"/>
        </w:trPr>
        <w:tc>
          <w:tcPr>
            <w:tcW w:w="775" w:type="dxa"/>
            <w:vAlign w:val="center"/>
          </w:tcPr>
          <w:p w14:paraId="1EEA6F56" w14:textId="77777777" w:rsidR="009263D8" w:rsidRPr="00F60446" w:rsidRDefault="009263D8" w:rsidP="00FB3C63">
            <w:pPr>
              <w:pStyle w:val="Teksttabelisrodek"/>
            </w:pPr>
            <w:r w:rsidRPr="00F60446">
              <w:t>143</w:t>
            </w:r>
          </w:p>
        </w:tc>
        <w:tc>
          <w:tcPr>
            <w:tcW w:w="3331" w:type="dxa"/>
            <w:vAlign w:val="center"/>
          </w:tcPr>
          <w:p w14:paraId="22BDF123" w14:textId="77777777" w:rsidR="009263D8" w:rsidRPr="00F60446" w:rsidRDefault="009263D8" w:rsidP="00FB3C63">
            <w:pPr>
              <w:pStyle w:val="Teksttabelisrodek"/>
            </w:pPr>
            <w:r w:rsidRPr="00F60446">
              <w:t>Subzbiornik Inowrocław - Gniezno</w:t>
            </w:r>
          </w:p>
        </w:tc>
        <w:tc>
          <w:tcPr>
            <w:tcW w:w="3402" w:type="dxa"/>
            <w:vAlign w:val="center"/>
          </w:tcPr>
          <w:p w14:paraId="6BD89CB6" w14:textId="77777777" w:rsidR="009263D8" w:rsidRPr="00F60446" w:rsidRDefault="009263D8" w:rsidP="00FB3C63">
            <w:pPr>
              <w:pStyle w:val="Teksttabelisrodek"/>
            </w:pPr>
            <w:r w:rsidRPr="00F60446">
              <w:t>Subzbiornik Inowrocław-Gniezno</w:t>
            </w:r>
          </w:p>
        </w:tc>
        <w:tc>
          <w:tcPr>
            <w:tcW w:w="1554" w:type="dxa"/>
            <w:vAlign w:val="center"/>
          </w:tcPr>
          <w:p w14:paraId="7000D984" w14:textId="77777777" w:rsidR="009263D8" w:rsidRPr="00F60446" w:rsidRDefault="009263D8" w:rsidP="00FB3C63">
            <w:pPr>
              <w:pStyle w:val="Teksttabelisrodek"/>
            </w:pPr>
            <w:r w:rsidRPr="00F60446">
              <w:t>główny - GZWP</w:t>
            </w:r>
          </w:p>
        </w:tc>
      </w:tr>
      <w:tr w:rsidR="009263D8" w:rsidRPr="00F60446" w14:paraId="038006C7" w14:textId="77777777" w:rsidTr="00E51484">
        <w:trPr>
          <w:trHeight w:val="454"/>
        </w:trPr>
        <w:tc>
          <w:tcPr>
            <w:tcW w:w="775" w:type="dxa"/>
            <w:vAlign w:val="center"/>
          </w:tcPr>
          <w:p w14:paraId="499C6F86" w14:textId="77777777" w:rsidR="009263D8" w:rsidRPr="00F60446" w:rsidRDefault="009263D8" w:rsidP="00FB3C63">
            <w:pPr>
              <w:pStyle w:val="Teksttabelisrodek"/>
            </w:pPr>
            <w:r w:rsidRPr="00F60446">
              <w:t>144</w:t>
            </w:r>
          </w:p>
        </w:tc>
        <w:tc>
          <w:tcPr>
            <w:tcW w:w="3331" w:type="dxa"/>
            <w:vAlign w:val="center"/>
          </w:tcPr>
          <w:p w14:paraId="116F3409" w14:textId="77777777" w:rsidR="009263D8" w:rsidRPr="00F60446" w:rsidRDefault="009263D8" w:rsidP="00FB3C63">
            <w:pPr>
              <w:pStyle w:val="Teksttabelisrodek"/>
            </w:pPr>
            <w:r w:rsidRPr="00F60446">
              <w:t>Dolina Kopalna Wielkopolska</w:t>
            </w:r>
          </w:p>
        </w:tc>
        <w:tc>
          <w:tcPr>
            <w:tcW w:w="3402" w:type="dxa"/>
            <w:vAlign w:val="center"/>
          </w:tcPr>
          <w:p w14:paraId="722BF444" w14:textId="77777777" w:rsidR="009263D8" w:rsidRPr="00F60446" w:rsidRDefault="009263D8" w:rsidP="00FB3C63">
            <w:pPr>
              <w:pStyle w:val="Teksttabelisrodek"/>
            </w:pPr>
            <w:r w:rsidRPr="00F60446">
              <w:t>Dolina kopalna Wielkopolska</w:t>
            </w:r>
          </w:p>
        </w:tc>
        <w:tc>
          <w:tcPr>
            <w:tcW w:w="1554" w:type="dxa"/>
            <w:vAlign w:val="center"/>
          </w:tcPr>
          <w:p w14:paraId="1B46BAFC" w14:textId="77777777" w:rsidR="009263D8" w:rsidRPr="00F60446" w:rsidRDefault="009263D8" w:rsidP="00FB3C63">
            <w:pPr>
              <w:pStyle w:val="Teksttabelisrodek"/>
            </w:pPr>
            <w:r w:rsidRPr="00F60446">
              <w:t>główny - GZWP</w:t>
            </w:r>
          </w:p>
        </w:tc>
      </w:tr>
      <w:tr w:rsidR="009263D8" w:rsidRPr="00F60446" w14:paraId="4D9CE05E" w14:textId="77777777" w:rsidTr="00E51484">
        <w:trPr>
          <w:trHeight w:val="454"/>
        </w:trPr>
        <w:tc>
          <w:tcPr>
            <w:tcW w:w="775" w:type="dxa"/>
            <w:vAlign w:val="center"/>
          </w:tcPr>
          <w:p w14:paraId="6190C0BB" w14:textId="77777777" w:rsidR="009263D8" w:rsidRPr="00F60446" w:rsidRDefault="009263D8" w:rsidP="00FB3C63">
            <w:pPr>
              <w:pStyle w:val="Teksttabelisrodek"/>
            </w:pPr>
            <w:r w:rsidRPr="00F60446">
              <w:t>145</w:t>
            </w:r>
          </w:p>
        </w:tc>
        <w:tc>
          <w:tcPr>
            <w:tcW w:w="3331" w:type="dxa"/>
            <w:vAlign w:val="center"/>
          </w:tcPr>
          <w:p w14:paraId="093EA7DE" w14:textId="77777777" w:rsidR="009263D8" w:rsidRPr="00F60446" w:rsidRDefault="009263D8" w:rsidP="00FB3C63">
            <w:pPr>
              <w:pStyle w:val="Teksttabelisrodek"/>
            </w:pPr>
            <w:r w:rsidRPr="00F60446">
              <w:t>Szamotuły - Duszniki</w:t>
            </w:r>
          </w:p>
        </w:tc>
        <w:tc>
          <w:tcPr>
            <w:tcW w:w="3402" w:type="dxa"/>
            <w:vAlign w:val="center"/>
          </w:tcPr>
          <w:p w14:paraId="43BAB2A2" w14:textId="77777777" w:rsidR="009263D8" w:rsidRPr="00F60446" w:rsidRDefault="009263D8" w:rsidP="00FB3C63">
            <w:pPr>
              <w:pStyle w:val="Teksttabelisrodek"/>
            </w:pPr>
            <w:r w:rsidRPr="00F60446">
              <w:t>Dolina kopalna Szamotuły-Duszniki</w:t>
            </w:r>
          </w:p>
        </w:tc>
        <w:tc>
          <w:tcPr>
            <w:tcW w:w="1554" w:type="dxa"/>
            <w:vAlign w:val="center"/>
          </w:tcPr>
          <w:p w14:paraId="6C63D986" w14:textId="77777777" w:rsidR="009263D8" w:rsidRPr="00F60446" w:rsidRDefault="009263D8" w:rsidP="00FB3C63">
            <w:pPr>
              <w:pStyle w:val="Teksttabelisrodek"/>
            </w:pPr>
            <w:r w:rsidRPr="00F60446">
              <w:t>główny - GZWP</w:t>
            </w:r>
          </w:p>
        </w:tc>
      </w:tr>
      <w:tr w:rsidR="009263D8" w:rsidRPr="00F60446" w14:paraId="6243421D" w14:textId="77777777" w:rsidTr="00E51484">
        <w:trPr>
          <w:trHeight w:val="454"/>
        </w:trPr>
        <w:tc>
          <w:tcPr>
            <w:tcW w:w="775" w:type="dxa"/>
            <w:vAlign w:val="center"/>
          </w:tcPr>
          <w:p w14:paraId="16584533" w14:textId="77777777" w:rsidR="009263D8" w:rsidRPr="00F60446" w:rsidRDefault="009263D8" w:rsidP="00FB3C63">
            <w:pPr>
              <w:pStyle w:val="Teksttabelisrodek"/>
            </w:pPr>
            <w:r w:rsidRPr="00F60446">
              <w:t>146</w:t>
            </w:r>
          </w:p>
        </w:tc>
        <w:tc>
          <w:tcPr>
            <w:tcW w:w="3331" w:type="dxa"/>
            <w:vAlign w:val="center"/>
          </w:tcPr>
          <w:p w14:paraId="53638134" w14:textId="77777777" w:rsidR="009263D8" w:rsidRPr="00F60446" w:rsidRDefault="009263D8" w:rsidP="00FB3C63">
            <w:pPr>
              <w:pStyle w:val="Teksttabelisrodek"/>
            </w:pPr>
            <w:r w:rsidRPr="00F60446">
              <w:t>Subzbiornik Jezioro Bytyńskie - Wronki - Trzciel</w:t>
            </w:r>
          </w:p>
        </w:tc>
        <w:tc>
          <w:tcPr>
            <w:tcW w:w="3402" w:type="dxa"/>
            <w:vAlign w:val="center"/>
          </w:tcPr>
          <w:p w14:paraId="2B609344" w14:textId="77777777" w:rsidR="009263D8" w:rsidRPr="00F60446" w:rsidRDefault="009263D8" w:rsidP="00FB3C63">
            <w:pPr>
              <w:pStyle w:val="Teksttabelisrodek"/>
            </w:pPr>
            <w:r w:rsidRPr="00F60446">
              <w:t>Subzbiornik Jezioro Bytyńskie-Wronki-Trzciel</w:t>
            </w:r>
          </w:p>
        </w:tc>
        <w:tc>
          <w:tcPr>
            <w:tcW w:w="1554" w:type="dxa"/>
            <w:vAlign w:val="center"/>
          </w:tcPr>
          <w:p w14:paraId="32FE5658" w14:textId="77777777" w:rsidR="009263D8" w:rsidRPr="00F60446" w:rsidRDefault="009263D8" w:rsidP="00FB3C63">
            <w:pPr>
              <w:pStyle w:val="Teksttabelisrodek"/>
            </w:pPr>
            <w:r w:rsidRPr="00F60446">
              <w:t>główny - GZWP</w:t>
            </w:r>
          </w:p>
        </w:tc>
      </w:tr>
      <w:tr w:rsidR="009263D8" w:rsidRPr="00F60446" w14:paraId="1DB796C1" w14:textId="77777777" w:rsidTr="00E51484">
        <w:trPr>
          <w:trHeight w:val="454"/>
        </w:trPr>
        <w:tc>
          <w:tcPr>
            <w:tcW w:w="775" w:type="dxa"/>
            <w:vAlign w:val="center"/>
          </w:tcPr>
          <w:p w14:paraId="494C2BB3" w14:textId="77777777" w:rsidR="009263D8" w:rsidRPr="00F60446" w:rsidRDefault="009263D8" w:rsidP="00FB3C63">
            <w:pPr>
              <w:pStyle w:val="Teksttabelisrodek"/>
            </w:pPr>
            <w:r w:rsidRPr="00F60446">
              <w:t>147</w:t>
            </w:r>
          </w:p>
        </w:tc>
        <w:tc>
          <w:tcPr>
            <w:tcW w:w="3331" w:type="dxa"/>
            <w:vAlign w:val="center"/>
          </w:tcPr>
          <w:p w14:paraId="0A3551B7" w14:textId="77777777" w:rsidR="009263D8" w:rsidRPr="00F60446" w:rsidRDefault="009263D8" w:rsidP="00FB3C63">
            <w:pPr>
              <w:pStyle w:val="Teksttabelisrodek"/>
            </w:pPr>
            <w:r w:rsidRPr="00F60446">
              <w:t>Dolina rzeki Warta</w:t>
            </w:r>
          </w:p>
        </w:tc>
        <w:tc>
          <w:tcPr>
            <w:tcW w:w="3402" w:type="dxa"/>
            <w:vAlign w:val="center"/>
          </w:tcPr>
          <w:p w14:paraId="3A8C8B3C" w14:textId="77777777" w:rsidR="009263D8" w:rsidRPr="00F60446" w:rsidRDefault="009263D8" w:rsidP="00FB3C63">
            <w:pPr>
              <w:pStyle w:val="Teksttabelisrodek"/>
            </w:pPr>
            <w:r w:rsidRPr="00F60446">
              <w:t>Dolina rzeki Warta (Sieraków-Międzychód)</w:t>
            </w:r>
          </w:p>
        </w:tc>
        <w:tc>
          <w:tcPr>
            <w:tcW w:w="1554" w:type="dxa"/>
            <w:vAlign w:val="center"/>
          </w:tcPr>
          <w:p w14:paraId="3CC647A7" w14:textId="77777777" w:rsidR="009263D8" w:rsidRPr="00F60446" w:rsidRDefault="009263D8" w:rsidP="00FB3C63">
            <w:pPr>
              <w:pStyle w:val="Teksttabelisrodek"/>
            </w:pPr>
            <w:r w:rsidRPr="00F60446">
              <w:t>główny - GZWP</w:t>
            </w:r>
          </w:p>
        </w:tc>
      </w:tr>
      <w:tr w:rsidR="009263D8" w:rsidRPr="00F60446" w14:paraId="0011AF26" w14:textId="77777777" w:rsidTr="00E51484">
        <w:trPr>
          <w:trHeight w:val="454"/>
        </w:trPr>
        <w:tc>
          <w:tcPr>
            <w:tcW w:w="775" w:type="dxa"/>
            <w:vAlign w:val="center"/>
          </w:tcPr>
          <w:p w14:paraId="271F2FB9" w14:textId="77777777" w:rsidR="009263D8" w:rsidRPr="00F60446" w:rsidRDefault="009263D8" w:rsidP="00FB3C63">
            <w:pPr>
              <w:pStyle w:val="Teksttabelisrodek"/>
            </w:pPr>
            <w:r w:rsidRPr="00F60446">
              <w:t>148</w:t>
            </w:r>
          </w:p>
        </w:tc>
        <w:tc>
          <w:tcPr>
            <w:tcW w:w="3331" w:type="dxa"/>
            <w:vAlign w:val="center"/>
          </w:tcPr>
          <w:p w14:paraId="72769C3A" w14:textId="77777777" w:rsidR="009263D8" w:rsidRPr="00F60446" w:rsidRDefault="009263D8" w:rsidP="00FB3C63">
            <w:pPr>
              <w:pStyle w:val="Teksttabelisrodek"/>
            </w:pPr>
            <w:r w:rsidRPr="00F60446">
              <w:t>Sandr rzeki Pliszka</w:t>
            </w:r>
          </w:p>
        </w:tc>
        <w:tc>
          <w:tcPr>
            <w:tcW w:w="3402" w:type="dxa"/>
            <w:vAlign w:val="center"/>
          </w:tcPr>
          <w:p w14:paraId="4B545CF9" w14:textId="77777777" w:rsidR="009263D8" w:rsidRPr="00F60446" w:rsidRDefault="009263D8" w:rsidP="00FB3C63">
            <w:pPr>
              <w:pStyle w:val="Teksttabelisrodek"/>
            </w:pPr>
            <w:r w:rsidRPr="00F60446">
              <w:t>Sandr rzeki Pliszka</w:t>
            </w:r>
          </w:p>
        </w:tc>
        <w:tc>
          <w:tcPr>
            <w:tcW w:w="1554" w:type="dxa"/>
            <w:vAlign w:val="center"/>
          </w:tcPr>
          <w:p w14:paraId="7E7F98B1" w14:textId="77777777" w:rsidR="009263D8" w:rsidRPr="00F60446" w:rsidRDefault="009263D8" w:rsidP="00FB3C63">
            <w:pPr>
              <w:pStyle w:val="Teksttabelisrodek"/>
            </w:pPr>
            <w:r w:rsidRPr="00F60446">
              <w:t>główny - GZWP</w:t>
            </w:r>
          </w:p>
        </w:tc>
      </w:tr>
      <w:tr w:rsidR="009263D8" w:rsidRPr="00F60446" w14:paraId="2BCB719A" w14:textId="77777777" w:rsidTr="00E51484">
        <w:trPr>
          <w:trHeight w:val="454"/>
        </w:trPr>
        <w:tc>
          <w:tcPr>
            <w:tcW w:w="775" w:type="dxa"/>
            <w:vAlign w:val="center"/>
          </w:tcPr>
          <w:p w14:paraId="4178E732" w14:textId="77777777" w:rsidR="009263D8" w:rsidRPr="00F60446" w:rsidRDefault="009263D8" w:rsidP="00FB3C63">
            <w:pPr>
              <w:pStyle w:val="Teksttabelisrodek"/>
            </w:pPr>
            <w:r w:rsidRPr="00F60446">
              <w:t>149</w:t>
            </w:r>
          </w:p>
        </w:tc>
        <w:tc>
          <w:tcPr>
            <w:tcW w:w="3331" w:type="dxa"/>
            <w:vAlign w:val="center"/>
          </w:tcPr>
          <w:p w14:paraId="564A5151" w14:textId="77777777" w:rsidR="009263D8" w:rsidRPr="00F60446" w:rsidRDefault="009263D8" w:rsidP="00FB3C63">
            <w:pPr>
              <w:pStyle w:val="Teksttabelisrodek"/>
            </w:pPr>
            <w:r w:rsidRPr="00F60446">
              <w:t>Sandr Krosno – Gubin</w:t>
            </w:r>
          </w:p>
        </w:tc>
        <w:tc>
          <w:tcPr>
            <w:tcW w:w="3402" w:type="dxa"/>
            <w:vAlign w:val="center"/>
          </w:tcPr>
          <w:p w14:paraId="7C1E63F8" w14:textId="77777777" w:rsidR="009263D8" w:rsidRPr="00F60446" w:rsidRDefault="009263D8" w:rsidP="00FB3C63">
            <w:pPr>
              <w:pStyle w:val="Teksttabelisrodek"/>
            </w:pPr>
            <w:r w:rsidRPr="00F60446">
              <w:t>Sandr Krosno-Gubin</w:t>
            </w:r>
          </w:p>
        </w:tc>
        <w:tc>
          <w:tcPr>
            <w:tcW w:w="1554" w:type="dxa"/>
            <w:vAlign w:val="center"/>
          </w:tcPr>
          <w:p w14:paraId="34EE0F3D" w14:textId="77777777" w:rsidR="009263D8" w:rsidRPr="00F60446" w:rsidRDefault="009263D8" w:rsidP="00FB3C63">
            <w:pPr>
              <w:pStyle w:val="Teksttabelisrodek"/>
            </w:pPr>
            <w:r w:rsidRPr="00F60446">
              <w:t>główny - GZWP</w:t>
            </w:r>
          </w:p>
        </w:tc>
      </w:tr>
      <w:tr w:rsidR="009263D8" w:rsidRPr="00F60446" w14:paraId="60E1A941" w14:textId="77777777" w:rsidTr="00E51484">
        <w:trPr>
          <w:trHeight w:val="454"/>
        </w:trPr>
        <w:tc>
          <w:tcPr>
            <w:tcW w:w="775" w:type="dxa"/>
            <w:vAlign w:val="center"/>
          </w:tcPr>
          <w:p w14:paraId="36D1DDA3" w14:textId="77777777" w:rsidR="009263D8" w:rsidRPr="00F60446" w:rsidRDefault="009263D8" w:rsidP="00FB3C63">
            <w:pPr>
              <w:pStyle w:val="Teksttabelisrodek"/>
            </w:pPr>
            <w:r w:rsidRPr="00F60446">
              <w:t>150</w:t>
            </w:r>
          </w:p>
        </w:tc>
        <w:tc>
          <w:tcPr>
            <w:tcW w:w="3331" w:type="dxa"/>
            <w:vAlign w:val="center"/>
          </w:tcPr>
          <w:p w14:paraId="2C309500" w14:textId="77777777" w:rsidR="009263D8" w:rsidRPr="00F60446" w:rsidRDefault="009263D8" w:rsidP="00FB3C63">
            <w:pPr>
              <w:pStyle w:val="Teksttabelisrodek"/>
            </w:pPr>
            <w:r w:rsidRPr="00F60446">
              <w:t>Pradolina Warszawa – Berlin</w:t>
            </w:r>
          </w:p>
        </w:tc>
        <w:tc>
          <w:tcPr>
            <w:tcW w:w="3402" w:type="dxa"/>
            <w:vAlign w:val="center"/>
          </w:tcPr>
          <w:p w14:paraId="5ED0F239" w14:textId="77777777" w:rsidR="009263D8" w:rsidRPr="00F60446" w:rsidRDefault="009263D8" w:rsidP="00FB3C63">
            <w:pPr>
              <w:pStyle w:val="Teksttabelisrodek"/>
            </w:pPr>
            <w:r w:rsidRPr="00F60446">
              <w:t>Pradolina Warszawa-Berlin (Koło-Odra)</w:t>
            </w:r>
          </w:p>
        </w:tc>
        <w:tc>
          <w:tcPr>
            <w:tcW w:w="1554" w:type="dxa"/>
            <w:vAlign w:val="center"/>
          </w:tcPr>
          <w:p w14:paraId="10E94AA7" w14:textId="77777777" w:rsidR="009263D8" w:rsidRPr="00F60446" w:rsidRDefault="009263D8" w:rsidP="00FB3C63">
            <w:pPr>
              <w:pStyle w:val="Teksttabelisrodek"/>
            </w:pPr>
            <w:r w:rsidRPr="00F60446">
              <w:t>główny - GZWP</w:t>
            </w:r>
          </w:p>
        </w:tc>
      </w:tr>
      <w:tr w:rsidR="009263D8" w:rsidRPr="00F60446" w14:paraId="40F26BE3" w14:textId="77777777" w:rsidTr="00E51484">
        <w:trPr>
          <w:trHeight w:val="454"/>
        </w:trPr>
        <w:tc>
          <w:tcPr>
            <w:tcW w:w="775" w:type="dxa"/>
            <w:vAlign w:val="center"/>
          </w:tcPr>
          <w:p w14:paraId="4C27127B" w14:textId="77777777" w:rsidR="009263D8" w:rsidRPr="00F60446" w:rsidRDefault="009263D8" w:rsidP="00FB3C63">
            <w:pPr>
              <w:pStyle w:val="Teksttabelisrodek"/>
            </w:pPr>
            <w:r w:rsidRPr="00F60446">
              <w:t>151</w:t>
            </w:r>
          </w:p>
        </w:tc>
        <w:tc>
          <w:tcPr>
            <w:tcW w:w="3331" w:type="dxa"/>
            <w:vAlign w:val="center"/>
          </w:tcPr>
          <w:p w14:paraId="11FCD9CB" w14:textId="77777777" w:rsidR="009263D8" w:rsidRPr="00F60446" w:rsidRDefault="009263D8" w:rsidP="00FB3C63">
            <w:pPr>
              <w:pStyle w:val="Teksttabelisrodek"/>
            </w:pPr>
            <w:r w:rsidRPr="00F60446">
              <w:t>Zbiornik Turek – Konin – Koło</w:t>
            </w:r>
          </w:p>
        </w:tc>
        <w:tc>
          <w:tcPr>
            <w:tcW w:w="3402" w:type="dxa"/>
            <w:vAlign w:val="center"/>
          </w:tcPr>
          <w:p w14:paraId="2C3C03CF" w14:textId="77777777" w:rsidR="009263D8" w:rsidRPr="00F60446" w:rsidRDefault="009263D8" w:rsidP="00FB3C63">
            <w:pPr>
              <w:pStyle w:val="Teksttabelisrodek"/>
            </w:pPr>
            <w:r w:rsidRPr="00F60446">
              <w:t>Zbiornik Turek-Konin-Koło</w:t>
            </w:r>
          </w:p>
        </w:tc>
        <w:tc>
          <w:tcPr>
            <w:tcW w:w="1554" w:type="dxa"/>
            <w:vAlign w:val="center"/>
          </w:tcPr>
          <w:p w14:paraId="156AE57B" w14:textId="77777777" w:rsidR="009263D8" w:rsidRPr="00F60446" w:rsidRDefault="009263D8" w:rsidP="00FB3C63">
            <w:pPr>
              <w:pStyle w:val="Teksttabelisrodek"/>
            </w:pPr>
            <w:r w:rsidRPr="00F60446">
              <w:t>główny - GZWP</w:t>
            </w:r>
          </w:p>
        </w:tc>
      </w:tr>
      <w:tr w:rsidR="009263D8" w:rsidRPr="00F60446" w14:paraId="35754D17" w14:textId="77777777" w:rsidTr="00E51484">
        <w:trPr>
          <w:trHeight w:val="454"/>
        </w:trPr>
        <w:tc>
          <w:tcPr>
            <w:tcW w:w="775" w:type="dxa"/>
            <w:vAlign w:val="center"/>
          </w:tcPr>
          <w:p w14:paraId="2F21B2E4" w14:textId="77777777" w:rsidR="009263D8" w:rsidRPr="00F60446" w:rsidRDefault="009263D8" w:rsidP="00FB3C63">
            <w:pPr>
              <w:pStyle w:val="Teksttabelisrodek"/>
            </w:pPr>
            <w:r w:rsidRPr="00F60446">
              <w:t>226</w:t>
            </w:r>
          </w:p>
        </w:tc>
        <w:tc>
          <w:tcPr>
            <w:tcW w:w="3331" w:type="dxa"/>
            <w:vAlign w:val="center"/>
          </w:tcPr>
          <w:p w14:paraId="3AD89CFC" w14:textId="77777777" w:rsidR="009263D8" w:rsidRPr="00F60446" w:rsidRDefault="009263D8" w:rsidP="00FB3C63">
            <w:pPr>
              <w:pStyle w:val="Teksttabelisrodek"/>
            </w:pPr>
            <w:r w:rsidRPr="00F60446">
              <w:t>Krośniewice – Kutno</w:t>
            </w:r>
          </w:p>
        </w:tc>
        <w:tc>
          <w:tcPr>
            <w:tcW w:w="3402" w:type="dxa"/>
            <w:vAlign w:val="center"/>
          </w:tcPr>
          <w:p w14:paraId="230B4651" w14:textId="77777777" w:rsidR="009263D8" w:rsidRPr="00F60446" w:rsidRDefault="009263D8" w:rsidP="00FB3C63">
            <w:pPr>
              <w:pStyle w:val="Teksttabelisrodek"/>
            </w:pPr>
            <w:r w:rsidRPr="00F60446">
              <w:t>Zbiornik Krośniewice-Kutno</w:t>
            </w:r>
          </w:p>
        </w:tc>
        <w:tc>
          <w:tcPr>
            <w:tcW w:w="1554" w:type="dxa"/>
            <w:vAlign w:val="center"/>
          </w:tcPr>
          <w:p w14:paraId="029551F1" w14:textId="77777777" w:rsidR="009263D8" w:rsidRPr="00F60446" w:rsidRDefault="009263D8" w:rsidP="00FB3C63">
            <w:pPr>
              <w:pStyle w:val="Teksttabelisrodek"/>
            </w:pPr>
            <w:r w:rsidRPr="00F60446">
              <w:t>główny - GZWP</w:t>
            </w:r>
          </w:p>
        </w:tc>
      </w:tr>
      <w:tr w:rsidR="009263D8" w:rsidRPr="00F60446" w14:paraId="1F4AA5D2" w14:textId="77777777" w:rsidTr="00E51484">
        <w:trPr>
          <w:trHeight w:val="454"/>
        </w:trPr>
        <w:tc>
          <w:tcPr>
            <w:tcW w:w="775" w:type="dxa"/>
            <w:vAlign w:val="center"/>
          </w:tcPr>
          <w:p w14:paraId="701B2A38" w14:textId="77777777" w:rsidR="009263D8" w:rsidRPr="00F60446" w:rsidRDefault="009263D8" w:rsidP="00FB3C63">
            <w:pPr>
              <w:pStyle w:val="Teksttabelisrodek"/>
            </w:pPr>
            <w:r w:rsidRPr="00F60446">
              <w:t>301</w:t>
            </w:r>
          </w:p>
        </w:tc>
        <w:tc>
          <w:tcPr>
            <w:tcW w:w="3331" w:type="dxa"/>
            <w:vAlign w:val="center"/>
          </w:tcPr>
          <w:p w14:paraId="5D2FA665" w14:textId="77777777" w:rsidR="009263D8" w:rsidRPr="00F60446" w:rsidRDefault="009263D8" w:rsidP="00FB3C63">
            <w:pPr>
              <w:pStyle w:val="Teksttabelisrodek"/>
            </w:pPr>
            <w:r w:rsidRPr="00F60446">
              <w:t>Pradolina Zasieki – Nowa Sól</w:t>
            </w:r>
          </w:p>
        </w:tc>
        <w:tc>
          <w:tcPr>
            <w:tcW w:w="3402" w:type="dxa"/>
            <w:vAlign w:val="center"/>
          </w:tcPr>
          <w:p w14:paraId="080F5ADE" w14:textId="77777777" w:rsidR="009263D8" w:rsidRPr="00F60446" w:rsidRDefault="009263D8" w:rsidP="00FB3C63">
            <w:pPr>
              <w:pStyle w:val="Teksttabelisrodek"/>
            </w:pPr>
            <w:r w:rsidRPr="00F60446">
              <w:t>Pradolina Zasiek-Nowa Sól</w:t>
            </w:r>
          </w:p>
        </w:tc>
        <w:tc>
          <w:tcPr>
            <w:tcW w:w="1554" w:type="dxa"/>
            <w:vAlign w:val="center"/>
          </w:tcPr>
          <w:p w14:paraId="501DB8E2" w14:textId="77777777" w:rsidR="009263D8" w:rsidRPr="00F60446" w:rsidRDefault="009263D8" w:rsidP="00FB3C63">
            <w:pPr>
              <w:pStyle w:val="Teksttabelisrodek"/>
            </w:pPr>
            <w:r w:rsidRPr="00F60446">
              <w:t>główny - GZWP</w:t>
            </w:r>
          </w:p>
        </w:tc>
      </w:tr>
      <w:tr w:rsidR="009263D8" w:rsidRPr="00F60446" w14:paraId="328A83CD" w14:textId="77777777" w:rsidTr="00E51484">
        <w:trPr>
          <w:trHeight w:val="454"/>
        </w:trPr>
        <w:tc>
          <w:tcPr>
            <w:tcW w:w="775" w:type="dxa"/>
            <w:vAlign w:val="center"/>
          </w:tcPr>
          <w:p w14:paraId="0DC83C76" w14:textId="77777777" w:rsidR="009263D8" w:rsidRPr="00F60446" w:rsidRDefault="009263D8" w:rsidP="00FB3C63">
            <w:pPr>
              <w:pStyle w:val="Teksttabelisrodek"/>
            </w:pPr>
            <w:r w:rsidRPr="00F60446">
              <w:t>302</w:t>
            </w:r>
          </w:p>
        </w:tc>
        <w:tc>
          <w:tcPr>
            <w:tcW w:w="3331" w:type="dxa"/>
            <w:vAlign w:val="center"/>
          </w:tcPr>
          <w:p w14:paraId="55C4462B" w14:textId="77777777" w:rsidR="009263D8" w:rsidRPr="00F60446" w:rsidRDefault="009263D8" w:rsidP="00FB3C63">
            <w:pPr>
              <w:pStyle w:val="Teksttabelisrodek"/>
            </w:pPr>
            <w:r w:rsidRPr="00F60446">
              <w:t>Pradolina Barycz – Głogów (W)</w:t>
            </w:r>
          </w:p>
        </w:tc>
        <w:tc>
          <w:tcPr>
            <w:tcW w:w="3402" w:type="dxa"/>
            <w:vAlign w:val="center"/>
          </w:tcPr>
          <w:p w14:paraId="65C4CE83" w14:textId="77777777" w:rsidR="009263D8" w:rsidRPr="00F60446" w:rsidRDefault="009263D8" w:rsidP="00FB3C63">
            <w:pPr>
              <w:pStyle w:val="Teksttabelisrodek"/>
            </w:pPr>
            <w:r w:rsidRPr="00F60446">
              <w:t>Pradolina Barycz-Głogów (W)</w:t>
            </w:r>
          </w:p>
        </w:tc>
        <w:tc>
          <w:tcPr>
            <w:tcW w:w="1554" w:type="dxa"/>
            <w:vAlign w:val="center"/>
          </w:tcPr>
          <w:p w14:paraId="4A337133" w14:textId="77777777" w:rsidR="009263D8" w:rsidRPr="00F60446" w:rsidRDefault="009263D8" w:rsidP="00FB3C63">
            <w:pPr>
              <w:pStyle w:val="Teksttabelisrodek"/>
            </w:pPr>
            <w:r w:rsidRPr="00F60446">
              <w:t>główny - GZWP</w:t>
            </w:r>
          </w:p>
        </w:tc>
      </w:tr>
      <w:tr w:rsidR="009263D8" w:rsidRPr="00F60446" w14:paraId="6D839D7A" w14:textId="77777777" w:rsidTr="00E51484">
        <w:trPr>
          <w:trHeight w:val="454"/>
        </w:trPr>
        <w:tc>
          <w:tcPr>
            <w:tcW w:w="775" w:type="dxa"/>
            <w:vAlign w:val="center"/>
          </w:tcPr>
          <w:p w14:paraId="06EF13E3" w14:textId="77777777" w:rsidR="009263D8" w:rsidRPr="00F60446" w:rsidRDefault="009263D8" w:rsidP="00FB3C63">
            <w:pPr>
              <w:pStyle w:val="Teksttabelisrodek"/>
            </w:pPr>
            <w:r w:rsidRPr="00F60446">
              <w:t>303</w:t>
            </w:r>
          </w:p>
        </w:tc>
        <w:tc>
          <w:tcPr>
            <w:tcW w:w="3331" w:type="dxa"/>
            <w:vAlign w:val="center"/>
          </w:tcPr>
          <w:p w14:paraId="1CDA98B9" w14:textId="77777777" w:rsidR="009263D8" w:rsidRPr="00F60446" w:rsidRDefault="009263D8" w:rsidP="00FB3C63">
            <w:pPr>
              <w:pStyle w:val="Teksttabelisrodek"/>
            </w:pPr>
            <w:r w:rsidRPr="00F60446">
              <w:t>Pradolina Barycz – Głogów (E)</w:t>
            </w:r>
          </w:p>
        </w:tc>
        <w:tc>
          <w:tcPr>
            <w:tcW w:w="3402" w:type="dxa"/>
            <w:vAlign w:val="center"/>
          </w:tcPr>
          <w:p w14:paraId="0921BFF6" w14:textId="77777777" w:rsidR="009263D8" w:rsidRPr="00F60446" w:rsidRDefault="009263D8" w:rsidP="00FB3C63">
            <w:pPr>
              <w:pStyle w:val="Teksttabelisrodek"/>
            </w:pPr>
            <w:r w:rsidRPr="00F60446">
              <w:t>Pradolina Barycz-Głogów (E)</w:t>
            </w:r>
          </w:p>
        </w:tc>
        <w:tc>
          <w:tcPr>
            <w:tcW w:w="1554" w:type="dxa"/>
            <w:vAlign w:val="center"/>
          </w:tcPr>
          <w:p w14:paraId="6ECDF02B" w14:textId="77777777" w:rsidR="009263D8" w:rsidRPr="00F60446" w:rsidRDefault="009263D8" w:rsidP="00FB3C63">
            <w:pPr>
              <w:pStyle w:val="Teksttabelisrodek"/>
            </w:pPr>
            <w:r w:rsidRPr="00F60446">
              <w:t>główny - GZWP</w:t>
            </w:r>
          </w:p>
        </w:tc>
      </w:tr>
      <w:tr w:rsidR="009263D8" w:rsidRPr="00F60446" w14:paraId="0C82223D" w14:textId="77777777" w:rsidTr="00E51484">
        <w:trPr>
          <w:trHeight w:val="454"/>
        </w:trPr>
        <w:tc>
          <w:tcPr>
            <w:tcW w:w="775" w:type="dxa"/>
            <w:vAlign w:val="center"/>
          </w:tcPr>
          <w:p w14:paraId="6D3D34E6" w14:textId="77777777" w:rsidR="009263D8" w:rsidRPr="00F60446" w:rsidRDefault="009263D8" w:rsidP="00FB3C63">
            <w:pPr>
              <w:pStyle w:val="Teksttabelisrodek"/>
            </w:pPr>
            <w:r w:rsidRPr="00F60446">
              <w:t>304</w:t>
            </w:r>
          </w:p>
        </w:tc>
        <w:tc>
          <w:tcPr>
            <w:tcW w:w="3331" w:type="dxa"/>
            <w:vAlign w:val="center"/>
          </w:tcPr>
          <w:p w14:paraId="602344D4" w14:textId="77777777" w:rsidR="009263D8" w:rsidRPr="00F60446" w:rsidRDefault="009263D8" w:rsidP="00FB3C63">
            <w:pPr>
              <w:pStyle w:val="Teksttabelisrodek"/>
            </w:pPr>
            <w:r w:rsidRPr="00F60446">
              <w:t>Zbiornik międzymorenowy Przemęt (dawny Zbąszyń)</w:t>
            </w:r>
          </w:p>
        </w:tc>
        <w:tc>
          <w:tcPr>
            <w:tcW w:w="3402" w:type="dxa"/>
            <w:vAlign w:val="center"/>
          </w:tcPr>
          <w:p w14:paraId="44145ACC" w14:textId="77777777" w:rsidR="009263D8" w:rsidRPr="00F60446" w:rsidRDefault="009263D8" w:rsidP="00FB3C63">
            <w:pPr>
              <w:pStyle w:val="Teksttabelisrodek"/>
            </w:pPr>
            <w:r w:rsidRPr="00F60446">
              <w:t>Zbiornik międzymorenowy Zbąszyń</w:t>
            </w:r>
          </w:p>
        </w:tc>
        <w:tc>
          <w:tcPr>
            <w:tcW w:w="1554" w:type="dxa"/>
            <w:vAlign w:val="center"/>
          </w:tcPr>
          <w:p w14:paraId="5BEC1F85" w14:textId="77777777" w:rsidR="009263D8" w:rsidRPr="00F60446" w:rsidRDefault="009263D8" w:rsidP="00FB3C63">
            <w:pPr>
              <w:pStyle w:val="Teksttabelisrodek"/>
            </w:pPr>
            <w:r w:rsidRPr="00F60446">
              <w:t>główny - GZWP</w:t>
            </w:r>
          </w:p>
        </w:tc>
      </w:tr>
      <w:tr w:rsidR="009263D8" w:rsidRPr="00F60446" w14:paraId="387371FB" w14:textId="77777777" w:rsidTr="00E51484">
        <w:trPr>
          <w:trHeight w:val="454"/>
        </w:trPr>
        <w:tc>
          <w:tcPr>
            <w:tcW w:w="775" w:type="dxa"/>
            <w:vAlign w:val="center"/>
          </w:tcPr>
          <w:p w14:paraId="7768275E" w14:textId="77777777" w:rsidR="009263D8" w:rsidRPr="00F60446" w:rsidRDefault="009263D8" w:rsidP="00FB3C63">
            <w:pPr>
              <w:pStyle w:val="Teksttabelisrodek"/>
            </w:pPr>
            <w:r w:rsidRPr="00F60446">
              <w:t>305</w:t>
            </w:r>
          </w:p>
        </w:tc>
        <w:tc>
          <w:tcPr>
            <w:tcW w:w="3331" w:type="dxa"/>
            <w:vAlign w:val="center"/>
          </w:tcPr>
          <w:p w14:paraId="71BB3D9A" w14:textId="77777777" w:rsidR="009263D8" w:rsidRPr="00F60446" w:rsidRDefault="009263D8" w:rsidP="00FB3C63">
            <w:pPr>
              <w:pStyle w:val="Teksttabelisrodek"/>
            </w:pPr>
            <w:r w:rsidRPr="00F60446">
              <w:t>Zbiornik międzymorenowy Leszno</w:t>
            </w:r>
          </w:p>
        </w:tc>
        <w:tc>
          <w:tcPr>
            <w:tcW w:w="3402" w:type="dxa"/>
            <w:vAlign w:val="center"/>
          </w:tcPr>
          <w:p w14:paraId="373731E9" w14:textId="77777777" w:rsidR="009263D8" w:rsidRPr="00F60446" w:rsidRDefault="009263D8" w:rsidP="00FB3C63">
            <w:pPr>
              <w:pStyle w:val="Teksttabelisrodek"/>
            </w:pPr>
            <w:r w:rsidRPr="00F60446">
              <w:t>Zbiornik międzymorenowy Leszno</w:t>
            </w:r>
          </w:p>
        </w:tc>
        <w:tc>
          <w:tcPr>
            <w:tcW w:w="1554" w:type="dxa"/>
            <w:vAlign w:val="center"/>
          </w:tcPr>
          <w:p w14:paraId="5B827FF3" w14:textId="77777777" w:rsidR="009263D8" w:rsidRPr="00F60446" w:rsidRDefault="009263D8" w:rsidP="00FB3C63">
            <w:pPr>
              <w:pStyle w:val="Teksttabelisrodek"/>
            </w:pPr>
            <w:r w:rsidRPr="00F60446">
              <w:t>główny - GZWP</w:t>
            </w:r>
          </w:p>
        </w:tc>
      </w:tr>
      <w:tr w:rsidR="009263D8" w:rsidRPr="00F60446" w14:paraId="163C5937" w14:textId="77777777" w:rsidTr="00E51484">
        <w:trPr>
          <w:trHeight w:val="454"/>
        </w:trPr>
        <w:tc>
          <w:tcPr>
            <w:tcW w:w="775" w:type="dxa"/>
            <w:vAlign w:val="center"/>
          </w:tcPr>
          <w:p w14:paraId="3FE888D1" w14:textId="77777777" w:rsidR="009263D8" w:rsidRPr="00F60446" w:rsidRDefault="009263D8" w:rsidP="00FB3C63">
            <w:pPr>
              <w:pStyle w:val="Teksttabelisrodek"/>
            </w:pPr>
            <w:r w:rsidRPr="00F60446">
              <w:t>306</w:t>
            </w:r>
          </w:p>
        </w:tc>
        <w:tc>
          <w:tcPr>
            <w:tcW w:w="3331" w:type="dxa"/>
            <w:vAlign w:val="center"/>
          </w:tcPr>
          <w:p w14:paraId="56D5A393" w14:textId="77777777" w:rsidR="009263D8" w:rsidRPr="00F60446" w:rsidRDefault="009263D8" w:rsidP="00FB3C63">
            <w:pPr>
              <w:pStyle w:val="Teksttabelisrodek"/>
            </w:pPr>
            <w:r w:rsidRPr="00F60446">
              <w:t>Wschowa</w:t>
            </w:r>
          </w:p>
        </w:tc>
        <w:tc>
          <w:tcPr>
            <w:tcW w:w="3402" w:type="dxa"/>
            <w:vAlign w:val="center"/>
          </w:tcPr>
          <w:p w14:paraId="5CF11C96" w14:textId="77777777" w:rsidR="009263D8" w:rsidRPr="00F60446" w:rsidRDefault="009263D8" w:rsidP="00FB3C63">
            <w:pPr>
              <w:pStyle w:val="Teksttabelisrodek"/>
            </w:pPr>
            <w:r w:rsidRPr="00F60446">
              <w:t>Zbiornik Wschowa</w:t>
            </w:r>
          </w:p>
        </w:tc>
        <w:tc>
          <w:tcPr>
            <w:tcW w:w="1554" w:type="dxa"/>
            <w:vAlign w:val="center"/>
          </w:tcPr>
          <w:p w14:paraId="28E28CB2" w14:textId="77777777" w:rsidR="009263D8" w:rsidRPr="00F60446" w:rsidRDefault="009263D8" w:rsidP="00FB3C63">
            <w:pPr>
              <w:pStyle w:val="Teksttabelisrodek"/>
            </w:pPr>
            <w:r w:rsidRPr="00F60446">
              <w:t>główny - GZWP</w:t>
            </w:r>
          </w:p>
        </w:tc>
      </w:tr>
      <w:tr w:rsidR="009263D8" w:rsidRPr="00F60446" w14:paraId="6EBF7A07" w14:textId="77777777" w:rsidTr="00E51484">
        <w:trPr>
          <w:trHeight w:val="454"/>
        </w:trPr>
        <w:tc>
          <w:tcPr>
            <w:tcW w:w="775" w:type="dxa"/>
            <w:vAlign w:val="center"/>
          </w:tcPr>
          <w:p w14:paraId="24375093" w14:textId="77777777" w:rsidR="009263D8" w:rsidRPr="00F60446" w:rsidRDefault="009263D8" w:rsidP="00FB3C63">
            <w:pPr>
              <w:pStyle w:val="Teksttabelisrodek"/>
            </w:pPr>
            <w:r w:rsidRPr="00F60446">
              <w:t>307</w:t>
            </w:r>
          </w:p>
        </w:tc>
        <w:tc>
          <w:tcPr>
            <w:tcW w:w="3331" w:type="dxa"/>
            <w:vAlign w:val="center"/>
          </w:tcPr>
          <w:p w14:paraId="791AD6B7" w14:textId="77777777" w:rsidR="009263D8" w:rsidRPr="00F60446" w:rsidRDefault="009263D8" w:rsidP="00FB3C63">
            <w:pPr>
              <w:pStyle w:val="Teksttabelisrodek"/>
            </w:pPr>
            <w:r w:rsidRPr="00F60446">
              <w:t>Sandr Leszno</w:t>
            </w:r>
          </w:p>
        </w:tc>
        <w:tc>
          <w:tcPr>
            <w:tcW w:w="3402" w:type="dxa"/>
            <w:vAlign w:val="center"/>
          </w:tcPr>
          <w:p w14:paraId="15AC16FB" w14:textId="77777777" w:rsidR="009263D8" w:rsidRPr="00F60446" w:rsidRDefault="009263D8" w:rsidP="00FB3C63">
            <w:pPr>
              <w:pStyle w:val="Teksttabelisrodek"/>
            </w:pPr>
            <w:r w:rsidRPr="00F60446">
              <w:t>Sandr Leszno</w:t>
            </w:r>
          </w:p>
        </w:tc>
        <w:tc>
          <w:tcPr>
            <w:tcW w:w="1554" w:type="dxa"/>
            <w:vAlign w:val="center"/>
          </w:tcPr>
          <w:p w14:paraId="05FA4F43" w14:textId="77777777" w:rsidR="009263D8" w:rsidRPr="00F60446" w:rsidRDefault="009263D8" w:rsidP="00FB3C63">
            <w:pPr>
              <w:pStyle w:val="Teksttabelisrodek"/>
            </w:pPr>
            <w:r w:rsidRPr="00F60446">
              <w:t>główny - GZWP</w:t>
            </w:r>
          </w:p>
        </w:tc>
      </w:tr>
      <w:tr w:rsidR="009263D8" w:rsidRPr="00F60446" w14:paraId="06ED5844" w14:textId="77777777" w:rsidTr="00E51484">
        <w:trPr>
          <w:trHeight w:val="454"/>
        </w:trPr>
        <w:tc>
          <w:tcPr>
            <w:tcW w:w="775" w:type="dxa"/>
            <w:vAlign w:val="center"/>
          </w:tcPr>
          <w:p w14:paraId="42B963B1" w14:textId="77777777" w:rsidR="009263D8" w:rsidRPr="00F60446" w:rsidRDefault="009263D8" w:rsidP="00FB3C63">
            <w:pPr>
              <w:pStyle w:val="Teksttabelisrodek"/>
            </w:pPr>
            <w:r w:rsidRPr="00F60446">
              <w:t>308</w:t>
            </w:r>
          </w:p>
        </w:tc>
        <w:tc>
          <w:tcPr>
            <w:tcW w:w="3331" w:type="dxa"/>
            <w:vAlign w:val="center"/>
          </w:tcPr>
          <w:p w14:paraId="5D324E99" w14:textId="77777777" w:rsidR="009263D8" w:rsidRPr="00F60446" w:rsidRDefault="009263D8" w:rsidP="00FB3C63">
            <w:pPr>
              <w:pStyle w:val="Teksttabelisrodek"/>
            </w:pPr>
            <w:r w:rsidRPr="00F60446">
              <w:t>Zbiornik międzymorenowy rzeki Kani</w:t>
            </w:r>
          </w:p>
        </w:tc>
        <w:tc>
          <w:tcPr>
            <w:tcW w:w="3402" w:type="dxa"/>
            <w:vAlign w:val="center"/>
          </w:tcPr>
          <w:p w14:paraId="6DFE207E" w14:textId="77777777" w:rsidR="009263D8" w:rsidRPr="00F60446" w:rsidRDefault="009263D8" w:rsidP="00FB3C63">
            <w:pPr>
              <w:pStyle w:val="Teksttabelisrodek"/>
            </w:pPr>
            <w:r w:rsidRPr="00F60446">
              <w:t>Zbiornik międzymorenowy rzeki Kania</w:t>
            </w:r>
          </w:p>
        </w:tc>
        <w:tc>
          <w:tcPr>
            <w:tcW w:w="1554" w:type="dxa"/>
            <w:vAlign w:val="center"/>
          </w:tcPr>
          <w:p w14:paraId="4931649B" w14:textId="77777777" w:rsidR="009263D8" w:rsidRPr="00F60446" w:rsidRDefault="009263D8" w:rsidP="00FB3C63">
            <w:pPr>
              <w:pStyle w:val="Teksttabelisrodek"/>
            </w:pPr>
            <w:r w:rsidRPr="00F60446">
              <w:t>główny - GZWP</w:t>
            </w:r>
          </w:p>
        </w:tc>
      </w:tr>
      <w:tr w:rsidR="009263D8" w:rsidRPr="00F60446" w14:paraId="1AC5E006" w14:textId="77777777" w:rsidTr="00E51484">
        <w:trPr>
          <w:trHeight w:val="454"/>
        </w:trPr>
        <w:tc>
          <w:tcPr>
            <w:tcW w:w="775" w:type="dxa"/>
            <w:vAlign w:val="center"/>
          </w:tcPr>
          <w:p w14:paraId="5A5FE6E4" w14:textId="77777777" w:rsidR="009263D8" w:rsidRPr="00F60446" w:rsidRDefault="009263D8" w:rsidP="00FB3C63">
            <w:pPr>
              <w:pStyle w:val="Teksttabelisrodek"/>
            </w:pPr>
            <w:r w:rsidRPr="00F60446">
              <w:t>309</w:t>
            </w:r>
          </w:p>
        </w:tc>
        <w:tc>
          <w:tcPr>
            <w:tcW w:w="3331" w:type="dxa"/>
            <w:vAlign w:val="center"/>
          </w:tcPr>
          <w:p w14:paraId="2C29AFE4" w14:textId="77777777" w:rsidR="009263D8" w:rsidRPr="00F60446" w:rsidRDefault="009263D8" w:rsidP="00FB3C63">
            <w:pPr>
              <w:pStyle w:val="Teksttabelisrodek"/>
            </w:pPr>
            <w:r w:rsidRPr="00F60446">
              <w:t>Zbiornik miedzymorenowy Smoszew – Chwaliszew – Sulmierzyce</w:t>
            </w:r>
          </w:p>
        </w:tc>
        <w:tc>
          <w:tcPr>
            <w:tcW w:w="3402" w:type="dxa"/>
            <w:vAlign w:val="center"/>
          </w:tcPr>
          <w:p w14:paraId="564D895B" w14:textId="77777777" w:rsidR="009263D8" w:rsidRPr="00F60446" w:rsidRDefault="009263D8" w:rsidP="00FB3C63">
            <w:pPr>
              <w:pStyle w:val="Teksttabelisrodek"/>
            </w:pPr>
            <w:r w:rsidRPr="00F60446">
              <w:t>Zbiornik międzymorenowy Smoszew-Chwaliszew-Sulmierzyce</w:t>
            </w:r>
          </w:p>
        </w:tc>
        <w:tc>
          <w:tcPr>
            <w:tcW w:w="1554" w:type="dxa"/>
            <w:vAlign w:val="center"/>
          </w:tcPr>
          <w:p w14:paraId="779B457E" w14:textId="77777777" w:rsidR="009263D8" w:rsidRPr="00F60446" w:rsidRDefault="009263D8" w:rsidP="00FB3C63">
            <w:pPr>
              <w:pStyle w:val="Teksttabelisrodek"/>
            </w:pPr>
            <w:r w:rsidRPr="00F60446">
              <w:t>główny - GZWP</w:t>
            </w:r>
          </w:p>
        </w:tc>
      </w:tr>
      <w:tr w:rsidR="009263D8" w:rsidRPr="00F60446" w14:paraId="252B0DDC" w14:textId="77777777" w:rsidTr="00E51484">
        <w:trPr>
          <w:trHeight w:val="454"/>
        </w:trPr>
        <w:tc>
          <w:tcPr>
            <w:tcW w:w="775" w:type="dxa"/>
            <w:vAlign w:val="center"/>
          </w:tcPr>
          <w:p w14:paraId="342FF35D" w14:textId="77777777" w:rsidR="009263D8" w:rsidRPr="00F60446" w:rsidRDefault="009263D8" w:rsidP="00FB3C63">
            <w:pPr>
              <w:pStyle w:val="Teksttabelisrodek"/>
            </w:pPr>
            <w:r w:rsidRPr="00F60446">
              <w:t>310</w:t>
            </w:r>
          </w:p>
        </w:tc>
        <w:tc>
          <w:tcPr>
            <w:tcW w:w="3331" w:type="dxa"/>
            <w:vAlign w:val="center"/>
          </w:tcPr>
          <w:p w14:paraId="2E97FE91" w14:textId="77777777" w:rsidR="009263D8" w:rsidRPr="00F60446" w:rsidRDefault="009263D8" w:rsidP="00FB3C63">
            <w:pPr>
              <w:pStyle w:val="Teksttabelisrodek"/>
            </w:pPr>
            <w:r w:rsidRPr="00F60446">
              <w:t>Dolina kopalna rzeki Ołobok</w:t>
            </w:r>
          </w:p>
        </w:tc>
        <w:tc>
          <w:tcPr>
            <w:tcW w:w="3402" w:type="dxa"/>
            <w:vAlign w:val="center"/>
          </w:tcPr>
          <w:p w14:paraId="180DDAF8" w14:textId="77777777" w:rsidR="009263D8" w:rsidRPr="00F60446" w:rsidRDefault="009263D8" w:rsidP="00FB3C63">
            <w:pPr>
              <w:pStyle w:val="Teksttabelisrodek"/>
            </w:pPr>
            <w:r w:rsidRPr="00F60446">
              <w:t>Dolina kopalna rzeki Ołobok</w:t>
            </w:r>
          </w:p>
        </w:tc>
        <w:tc>
          <w:tcPr>
            <w:tcW w:w="1554" w:type="dxa"/>
            <w:vAlign w:val="center"/>
          </w:tcPr>
          <w:p w14:paraId="66960AD9" w14:textId="77777777" w:rsidR="009263D8" w:rsidRPr="00F60446" w:rsidRDefault="009263D8" w:rsidP="00FB3C63">
            <w:pPr>
              <w:pStyle w:val="Teksttabelisrodek"/>
            </w:pPr>
            <w:r w:rsidRPr="00F60446">
              <w:t>główny - GZWP</w:t>
            </w:r>
          </w:p>
        </w:tc>
      </w:tr>
      <w:tr w:rsidR="009263D8" w:rsidRPr="00F60446" w14:paraId="30292D89" w14:textId="77777777" w:rsidTr="00E51484">
        <w:trPr>
          <w:trHeight w:val="454"/>
        </w:trPr>
        <w:tc>
          <w:tcPr>
            <w:tcW w:w="775" w:type="dxa"/>
            <w:vAlign w:val="center"/>
          </w:tcPr>
          <w:p w14:paraId="7FBF8164" w14:textId="77777777" w:rsidR="009263D8" w:rsidRPr="00F60446" w:rsidRDefault="009263D8" w:rsidP="00FB3C63">
            <w:pPr>
              <w:pStyle w:val="Teksttabelisrodek"/>
            </w:pPr>
            <w:r w:rsidRPr="00F60446">
              <w:t>311</w:t>
            </w:r>
          </w:p>
        </w:tc>
        <w:tc>
          <w:tcPr>
            <w:tcW w:w="3331" w:type="dxa"/>
            <w:vAlign w:val="center"/>
          </w:tcPr>
          <w:p w14:paraId="70D3DCAD" w14:textId="77777777" w:rsidR="009263D8" w:rsidRPr="00F60446" w:rsidRDefault="009263D8" w:rsidP="00FB3C63">
            <w:pPr>
              <w:pStyle w:val="Teksttabelisrodek"/>
            </w:pPr>
            <w:r w:rsidRPr="00F60446">
              <w:t>Zbiornik rzeki Prosna</w:t>
            </w:r>
          </w:p>
        </w:tc>
        <w:tc>
          <w:tcPr>
            <w:tcW w:w="3402" w:type="dxa"/>
            <w:vAlign w:val="center"/>
          </w:tcPr>
          <w:p w14:paraId="0AC5C2BA" w14:textId="77777777" w:rsidR="009263D8" w:rsidRPr="00F60446" w:rsidRDefault="009263D8" w:rsidP="00FB3C63">
            <w:pPr>
              <w:pStyle w:val="Teksttabelisrodek"/>
            </w:pPr>
            <w:r w:rsidRPr="00F60446">
              <w:t>Zbiornik rzeki Prosna</w:t>
            </w:r>
          </w:p>
        </w:tc>
        <w:tc>
          <w:tcPr>
            <w:tcW w:w="1554" w:type="dxa"/>
            <w:vAlign w:val="center"/>
          </w:tcPr>
          <w:p w14:paraId="5FCC0002" w14:textId="77777777" w:rsidR="009263D8" w:rsidRPr="00F60446" w:rsidRDefault="009263D8" w:rsidP="00FB3C63">
            <w:pPr>
              <w:pStyle w:val="Teksttabelisrodek"/>
            </w:pPr>
            <w:r w:rsidRPr="00F60446">
              <w:t>główny - GZWP</w:t>
            </w:r>
          </w:p>
        </w:tc>
      </w:tr>
      <w:tr w:rsidR="009263D8" w:rsidRPr="00F60446" w14:paraId="007B738C" w14:textId="77777777" w:rsidTr="00E51484">
        <w:trPr>
          <w:trHeight w:val="454"/>
        </w:trPr>
        <w:tc>
          <w:tcPr>
            <w:tcW w:w="775" w:type="dxa"/>
            <w:vAlign w:val="center"/>
          </w:tcPr>
          <w:p w14:paraId="36C4AE52" w14:textId="77777777" w:rsidR="009263D8" w:rsidRPr="00F60446" w:rsidRDefault="009263D8" w:rsidP="00FB3C63">
            <w:pPr>
              <w:pStyle w:val="Teksttabelisrodek"/>
            </w:pPr>
            <w:r w:rsidRPr="00F60446">
              <w:t>312</w:t>
            </w:r>
          </w:p>
        </w:tc>
        <w:tc>
          <w:tcPr>
            <w:tcW w:w="3331" w:type="dxa"/>
            <w:vAlign w:val="center"/>
          </w:tcPr>
          <w:p w14:paraId="3260598E" w14:textId="77777777" w:rsidR="009263D8" w:rsidRPr="00F60446" w:rsidRDefault="009263D8" w:rsidP="00FB3C63">
            <w:pPr>
              <w:pStyle w:val="Teksttabelisrodek"/>
            </w:pPr>
            <w:r w:rsidRPr="00F60446">
              <w:t>Zbiornik Sieradz</w:t>
            </w:r>
          </w:p>
        </w:tc>
        <w:tc>
          <w:tcPr>
            <w:tcW w:w="3402" w:type="dxa"/>
            <w:vAlign w:val="center"/>
          </w:tcPr>
          <w:p w14:paraId="3558674A" w14:textId="77777777" w:rsidR="009263D8" w:rsidRPr="00F60446" w:rsidRDefault="009263D8" w:rsidP="00FB3C63">
            <w:pPr>
              <w:pStyle w:val="Teksttabelisrodek"/>
            </w:pPr>
            <w:r w:rsidRPr="00F60446">
              <w:t>Zbiornik Sieradz</w:t>
            </w:r>
          </w:p>
        </w:tc>
        <w:tc>
          <w:tcPr>
            <w:tcW w:w="1554" w:type="dxa"/>
            <w:vAlign w:val="center"/>
          </w:tcPr>
          <w:p w14:paraId="1B7F5F65" w14:textId="77777777" w:rsidR="009263D8" w:rsidRPr="00F60446" w:rsidRDefault="009263D8" w:rsidP="00FB3C63">
            <w:pPr>
              <w:pStyle w:val="Teksttabelisrodek"/>
            </w:pPr>
            <w:r w:rsidRPr="00F60446">
              <w:t>główny - GZWP</w:t>
            </w:r>
          </w:p>
        </w:tc>
      </w:tr>
      <w:tr w:rsidR="009263D8" w:rsidRPr="00F60446" w14:paraId="1716232A" w14:textId="77777777" w:rsidTr="00E51484">
        <w:trPr>
          <w:trHeight w:val="454"/>
        </w:trPr>
        <w:tc>
          <w:tcPr>
            <w:tcW w:w="775" w:type="dxa"/>
            <w:vAlign w:val="center"/>
          </w:tcPr>
          <w:p w14:paraId="1B0C6AC6" w14:textId="77777777" w:rsidR="009263D8" w:rsidRPr="00F60446" w:rsidRDefault="009263D8" w:rsidP="00FB3C63">
            <w:pPr>
              <w:pStyle w:val="Teksttabelisrodek"/>
            </w:pPr>
            <w:r w:rsidRPr="00F60446">
              <w:t>314</w:t>
            </w:r>
          </w:p>
        </w:tc>
        <w:tc>
          <w:tcPr>
            <w:tcW w:w="3331" w:type="dxa"/>
            <w:vAlign w:val="center"/>
          </w:tcPr>
          <w:p w14:paraId="4668E826" w14:textId="77777777" w:rsidR="009263D8" w:rsidRPr="00F60446" w:rsidRDefault="009263D8" w:rsidP="00FB3C63">
            <w:pPr>
              <w:pStyle w:val="Teksttabelisrodek"/>
            </w:pPr>
            <w:r w:rsidRPr="00F60446">
              <w:t>Pradolina rzeki Odra (Głogów)</w:t>
            </w:r>
          </w:p>
        </w:tc>
        <w:tc>
          <w:tcPr>
            <w:tcW w:w="3402" w:type="dxa"/>
            <w:vAlign w:val="center"/>
          </w:tcPr>
          <w:p w14:paraId="419EE451" w14:textId="77777777" w:rsidR="009263D8" w:rsidRPr="00F60446" w:rsidRDefault="009263D8" w:rsidP="00FB3C63">
            <w:pPr>
              <w:pStyle w:val="Teksttabelisrodek"/>
            </w:pPr>
            <w:r w:rsidRPr="00F60446">
              <w:t>Pradolina rzeki Odra (Głogów)</w:t>
            </w:r>
          </w:p>
        </w:tc>
        <w:tc>
          <w:tcPr>
            <w:tcW w:w="1554" w:type="dxa"/>
            <w:vAlign w:val="center"/>
          </w:tcPr>
          <w:p w14:paraId="07A9C5CE" w14:textId="77777777" w:rsidR="009263D8" w:rsidRPr="00F60446" w:rsidRDefault="009263D8" w:rsidP="00FB3C63">
            <w:pPr>
              <w:pStyle w:val="Teksttabelisrodek"/>
            </w:pPr>
            <w:r w:rsidRPr="00F60446">
              <w:t>główny - GZWP</w:t>
            </w:r>
          </w:p>
        </w:tc>
      </w:tr>
      <w:tr w:rsidR="009263D8" w:rsidRPr="00F60446" w14:paraId="3E5CE041" w14:textId="77777777" w:rsidTr="00E51484">
        <w:trPr>
          <w:trHeight w:val="454"/>
        </w:trPr>
        <w:tc>
          <w:tcPr>
            <w:tcW w:w="775" w:type="dxa"/>
            <w:vAlign w:val="center"/>
          </w:tcPr>
          <w:p w14:paraId="474FC5FE" w14:textId="77777777" w:rsidR="009263D8" w:rsidRPr="00F60446" w:rsidRDefault="009263D8" w:rsidP="00FB3C63">
            <w:pPr>
              <w:pStyle w:val="Teksttabelisrodek"/>
            </w:pPr>
            <w:r w:rsidRPr="00F60446">
              <w:t>315</w:t>
            </w:r>
          </w:p>
        </w:tc>
        <w:tc>
          <w:tcPr>
            <w:tcW w:w="3331" w:type="dxa"/>
            <w:vAlign w:val="center"/>
          </w:tcPr>
          <w:p w14:paraId="5A6B82E7" w14:textId="77777777" w:rsidR="009263D8" w:rsidRPr="00F60446" w:rsidRDefault="009263D8" w:rsidP="00FB3C63">
            <w:pPr>
              <w:pStyle w:val="Teksttabelisrodek"/>
            </w:pPr>
            <w:r w:rsidRPr="00F60446">
              <w:t>Zbiornik Chocianów – Gozdnica</w:t>
            </w:r>
          </w:p>
        </w:tc>
        <w:tc>
          <w:tcPr>
            <w:tcW w:w="3402" w:type="dxa"/>
            <w:vAlign w:val="center"/>
          </w:tcPr>
          <w:p w14:paraId="6989CBC1" w14:textId="77777777" w:rsidR="009263D8" w:rsidRPr="00F60446" w:rsidRDefault="009263D8" w:rsidP="00FB3C63">
            <w:pPr>
              <w:pStyle w:val="Teksttabelisrodek"/>
            </w:pPr>
            <w:r w:rsidRPr="00F60446">
              <w:t>Zbiornik Chocianów-Gozdnica</w:t>
            </w:r>
          </w:p>
        </w:tc>
        <w:tc>
          <w:tcPr>
            <w:tcW w:w="1554" w:type="dxa"/>
            <w:vAlign w:val="center"/>
          </w:tcPr>
          <w:p w14:paraId="665AA445" w14:textId="77777777" w:rsidR="009263D8" w:rsidRPr="00F60446" w:rsidRDefault="009263D8" w:rsidP="00FB3C63">
            <w:pPr>
              <w:pStyle w:val="Teksttabelisrodek"/>
            </w:pPr>
            <w:r w:rsidRPr="00F60446">
              <w:t>główny - GZWP</w:t>
            </w:r>
          </w:p>
        </w:tc>
      </w:tr>
      <w:tr w:rsidR="009263D8" w:rsidRPr="00F60446" w14:paraId="3158E482" w14:textId="77777777" w:rsidTr="00E51484">
        <w:trPr>
          <w:trHeight w:val="454"/>
        </w:trPr>
        <w:tc>
          <w:tcPr>
            <w:tcW w:w="775" w:type="dxa"/>
            <w:vAlign w:val="center"/>
          </w:tcPr>
          <w:p w14:paraId="0C13FAC1" w14:textId="77777777" w:rsidR="009263D8" w:rsidRPr="00F60446" w:rsidRDefault="009263D8" w:rsidP="00FB3C63">
            <w:pPr>
              <w:pStyle w:val="Teksttabelisrodek"/>
            </w:pPr>
            <w:r w:rsidRPr="00F60446">
              <w:t>316</w:t>
            </w:r>
          </w:p>
        </w:tc>
        <w:tc>
          <w:tcPr>
            <w:tcW w:w="3331" w:type="dxa"/>
            <w:vAlign w:val="center"/>
          </w:tcPr>
          <w:p w14:paraId="7587691F" w14:textId="77777777" w:rsidR="009263D8" w:rsidRPr="00F60446" w:rsidRDefault="009263D8" w:rsidP="00FB3C63">
            <w:pPr>
              <w:pStyle w:val="Teksttabelisrodek"/>
            </w:pPr>
            <w:r w:rsidRPr="00F60446">
              <w:t>Lubin</w:t>
            </w:r>
          </w:p>
        </w:tc>
        <w:tc>
          <w:tcPr>
            <w:tcW w:w="3402" w:type="dxa"/>
            <w:vAlign w:val="center"/>
          </w:tcPr>
          <w:p w14:paraId="66D8AE24" w14:textId="77777777" w:rsidR="009263D8" w:rsidRPr="00F60446" w:rsidRDefault="009263D8" w:rsidP="00FB3C63">
            <w:pPr>
              <w:pStyle w:val="Teksttabelisrodek"/>
            </w:pPr>
            <w:r w:rsidRPr="00F60446">
              <w:t>Subzbiornik Lubin</w:t>
            </w:r>
          </w:p>
        </w:tc>
        <w:tc>
          <w:tcPr>
            <w:tcW w:w="1554" w:type="dxa"/>
            <w:vAlign w:val="center"/>
          </w:tcPr>
          <w:p w14:paraId="219D79DD" w14:textId="77777777" w:rsidR="009263D8" w:rsidRPr="00F60446" w:rsidRDefault="009263D8" w:rsidP="00FB3C63">
            <w:pPr>
              <w:pStyle w:val="Teksttabelisrodek"/>
            </w:pPr>
            <w:r w:rsidRPr="00F60446">
              <w:t>lokalny - LZWP</w:t>
            </w:r>
          </w:p>
        </w:tc>
      </w:tr>
      <w:tr w:rsidR="009263D8" w:rsidRPr="00F60446" w14:paraId="20A2ED64" w14:textId="77777777" w:rsidTr="00E51484">
        <w:trPr>
          <w:trHeight w:val="454"/>
        </w:trPr>
        <w:tc>
          <w:tcPr>
            <w:tcW w:w="775" w:type="dxa"/>
            <w:vAlign w:val="center"/>
          </w:tcPr>
          <w:p w14:paraId="3A43252C" w14:textId="77777777" w:rsidR="009263D8" w:rsidRPr="00F60446" w:rsidRDefault="009263D8" w:rsidP="00FB3C63">
            <w:pPr>
              <w:pStyle w:val="Teksttabelisrodek"/>
            </w:pPr>
            <w:r w:rsidRPr="00F60446">
              <w:t>317</w:t>
            </w:r>
          </w:p>
        </w:tc>
        <w:tc>
          <w:tcPr>
            <w:tcW w:w="3331" w:type="dxa"/>
            <w:vAlign w:val="center"/>
          </w:tcPr>
          <w:p w14:paraId="3CF5C993" w14:textId="77777777" w:rsidR="009263D8" w:rsidRPr="00F60446" w:rsidRDefault="009263D8" w:rsidP="00FB3C63">
            <w:pPr>
              <w:pStyle w:val="Teksttabelisrodek"/>
            </w:pPr>
            <w:r w:rsidRPr="00F60446">
              <w:t>Niecka zewnętrzna sudecka Bolesławiec (Niecka zewnętrznosudecka Bolesławiec)</w:t>
            </w:r>
          </w:p>
        </w:tc>
        <w:tc>
          <w:tcPr>
            <w:tcW w:w="3402" w:type="dxa"/>
            <w:vAlign w:val="center"/>
          </w:tcPr>
          <w:p w14:paraId="3C42D5E8" w14:textId="77777777" w:rsidR="009263D8" w:rsidRPr="00F60446" w:rsidRDefault="009263D8" w:rsidP="00FB3C63">
            <w:pPr>
              <w:pStyle w:val="Teksttabelisrodek"/>
            </w:pPr>
            <w:r w:rsidRPr="00F60446">
              <w:t>Niecka zewnętrznosudecka Bolesławiec</w:t>
            </w:r>
          </w:p>
        </w:tc>
        <w:tc>
          <w:tcPr>
            <w:tcW w:w="1554" w:type="dxa"/>
            <w:vAlign w:val="center"/>
          </w:tcPr>
          <w:p w14:paraId="6B150663" w14:textId="77777777" w:rsidR="009263D8" w:rsidRPr="00F60446" w:rsidRDefault="009263D8" w:rsidP="00FB3C63">
            <w:pPr>
              <w:pStyle w:val="Teksttabelisrodek"/>
            </w:pPr>
            <w:r w:rsidRPr="00F60446">
              <w:t>główny - GZWP</w:t>
            </w:r>
          </w:p>
        </w:tc>
      </w:tr>
      <w:tr w:rsidR="009263D8" w:rsidRPr="00F60446" w14:paraId="18C1C8A1" w14:textId="77777777" w:rsidTr="00E51484">
        <w:trPr>
          <w:trHeight w:val="454"/>
        </w:trPr>
        <w:tc>
          <w:tcPr>
            <w:tcW w:w="775" w:type="dxa"/>
            <w:vAlign w:val="center"/>
          </w:tcPr>
          <w:p w14:paraId="2579DEAF" w14:textId="77777777" w:rsidR="009263D8" w:rsidRPr="00F60446" w:rsidRDefault="009263D8" w:rsidP="00FB3C63">
            <w:pPr>
              <w:pStyle w:val="Teksttabelisrodek"/>
            </w:pPr>
            <w:r w:rsidRPr="00F60446">
              <w:t>318</w:t>
            </w:r>
          </w:p>
        </w:tc>
        <w:tc>
          <w:tcPr>
            <w:tcW w:w="3331" w:type="dxa"/>
            <w:vAlign w:val="center"/>
          </w:tcPr>
          <w:p w14:paraId="4F60B2BE" w14:textId="77777777" w:rsidR="009263D8" w:rsidRPr="00F60446" w:rsidRDefault="009263D8" w:rsidP="00FB3C63">
            <w:pPr>
              <w:pStyle w:val="Teksttabelisrodek"/>
            </w:pPr>
            <w:r w:rsidRPr="00F60446">
              <w:t>Zbiornik Słup – Legnica</w:t>
            </w:r>
          </w:p>
        </w:tc>
        <w:tc>
          <w:tcPr>
            <w:tcW w:w="3402" w:type="dxa"/>
            <w:vAlign w:val="center"/>
          </w:tcPr>
          <w:p w14:paraId="4BB614B0" w14:textId="77777777" w:rsidR="009263D8" w:rsidRPr="00F60446" w:rsidRDefault="009263D8" w:rsidP="00FB3C63">
            <w:pPr>
              <w:pStyle w:val="Teksttabelisrodek"/>
            </w:pPr>
            <w:r w:rsidRPr="00F60446">
              <w:t>Zbiornik Słup-Legnica</w:t>
            </w:r>
          </w:p>
        </w:tc>
        <w:tc>
          <w:tcPr>
            <w:tcW w:w="1554" w:type="dxa"/>
            <w:vAlign w:val="center"/>
          </w:tcPr>
          <w:p w14:paraId="234492D5" w14:textId="77777777" w:rsidR="009263D8" w:rsidRPr="00F60446" w:rsidRDefault="009263D8" w:rsidP="00FB3C63">
            <w:pPr>
              <w:pStyle w:val="Teksttabelisrodek"/>
            </w:pPr>
            <w:r w:rsidRPr="00F60446">
              <w:t>lokalny - LZWP</w:t>
            </w:r>
          </w:p>
        </w:tc>
      </w:tr>
      <w:tr w:rsidR="009263D8" w:rsidRPr="00F60446" w14:paraId="49DEEC15" w14:textId="77777777" w:rsidTr="00E51484">
        <w:trPr>
          <w:trHeight w:val="454"/>
        </w:trPr>
        <w:tc>
          <w:tcPr>
            <w:tcW w:w="775" w:type="dxa"/>
            <w:vAlign w:val="center"/>
          </w:tcPr>
          <w:p w14:paraId="5D3A7465" w14:textId="77777777" w:rsidR="009263D8" w:rsidRPr="00F60446" w:rsidRDefault="009263D8" w:rsidP="00FB3C63">
            <w:pPr>
              <w:pStyle w:val="Teksttabelisrodek"/>
            </w:pPr>
            <w:r w:rsidRPr="00F60446">
              <w:t>319</w:t>
            </w:r>
          </w:p>
        </w:tc>
        <w:tc>
          <w:tcPr>
            <w:tcW w:w="3331" w:type="dxa"/>
            <w:vAlign w:val="center"/>
          </w:tcPr>
          <w:p w14:paraId="26903177" w14:textId="77777777" w:rsidR="009263D8" w:rsidRPr="00F60446" w:rsidRDefault="009263D8" w:rsidP="00FB3C63">
            <w:pPr>
              <w:pStyle w:val="Teksttabelisrodek"/>
            </w:pPr>
            <w:r w:rsidRPr="00F60446">
              <w:t>Prochowice – Środa Śląska</w:t>
            </w:r>
          </w:p>
        </w:tc>
        <w:tc>
          <w:tcPr>
            <w:tcW w:w="3402" w:type="dxa"/>
            <w:vAlign w:val="center"/>
          </w:tcPr>
          <w:p w14:paraId="04C675DB" w14:textId="77777777" w:rsidR="009263D8" w:rsidRPr="00F60446" w:rsidRDefault="009263D8" w:rsidP="00FB3C63">
            <w:pPr>
              <w:pStyle w:val="Teksttabelisrodek"/>
            </w:pPr>
            <w:r w:rsidRPr="00F60446">
              <w:t>Subzbiornik Prochowice-Środa Śląska</w:t>
            </w:r>
          </w:p>
        </w:tc>
        <w:tc>
          <w:tcPr>
            <w:tcW w:w="1554" w:type="dxa"/>
            <w:vAlign w:val="center"/>
          </w:tcPr>
          <w:p w14:paraId="4CA3FAF2" w14:textId="77777777" w:rsidR="009263D8" w:rsidRPr="00F60446" w:rsidRDefault="009263D8" w:rsidP="00FB3C63">
            <w:pPr>
              <w:pStyle w:val="Teksttabelisrodek"/>
            </w:pPr>
            <w:r w:rsidRPr="00F60446">
              <w:t>główny - GZWP</w:t>
            </w:r>
          </w:p>
        </w:tc>
      </w:tr>
      <w:tr w:rsidR="009263D8" w:rsidRPr="00F60446" w14:paraId="136FB837" w14:textId="77777777" w:rsidTr="00E51484">
        <w:trPr>
          <w:trHeight w:val="454"/>
        </w:trPr>
        <w:tc>
          <w:tcPr>
            <w:tcW w:w="775" w:type="dxa"/>
            <w:vAlign w:val="center"/>
          </w:tcPr>
          <w:p w14:paraId="0813B720" w14:textId="77777777" w:rsidR="009263D8" w:rsidRPr="00F60446" w:rsidRDefault="009263D8" w:rsidP="00FB3C63">
            <w:pPr>
              <w:pStyle w:val="Teksttabelisrodek"/>
            </w:pPr>
            <w:r w:rsidRPr="00F60446">
              <w:t>320</w:t>
            </w:r>
          </w:p>
        </w:tc>
        <w:tc>
          <w:tcPr>
            <w:tcW w:w="3331" w:type="dxa"/>
            <w:vAlign w:val="center"/>
          </w:tcPr>
          <w:p w14:paraId="776503C3" w14:textId="77777777" w:rsidR="009263D8" w:rsidRPr="00F60446" w:rsidRDefault="009263D8" w:rsidP="00FB3C63">
            <w:pPr>
              <w:pStyle w:val="Teksttabelisrodek"/>
            </w:pPr>
            <w:r w:rsidRPr="00F60446">
              <w:t>Pradolina rzeki Odra (S Wrocław)</w:t>
            </w:r>
          </w:p>
        </w:tc>
        <w:tc>
          <w:tcPr>
            <w:tcW w:w="3402" w:type="dxa"/>
            <w:vAlign w:val="center"/>
          </w:tcPr>
          <w:p w14:paraId="794E586E" w14:textId="77777777" w:rsidR="009263D8" w:rsidRPr="00F60446" w:rsidRDefault="009263D8" w:rsidP="00FB3C63">
            <w:pPr>
              <w:pStyle w:val="Teksttabelisrodek"/>
            </w:pPr>
            <w:r w:rsidRPr="00F60446">
              <w:t>Pradolina rzeki Odra (S Wrocław)</w:t>
            </w:r>
          </w:p>
        </w:tc>
        <w:tc>
          <w:tcPr>
            <w:tcW w:w="1554" w:type="dxa"/>
            <w:vAlign w:val="center"/>
          </w:tcPr>
          <w:p w14:paraId="4DA37942" w14:textId="77777777" w:rsidR="009263D8" w:rsidRPr="00F60446" w:rsidRDefault="009263D8" w:rsidP="00FB3C63">
            <w:pPr>
              <w:pStyle w:val="Teksttabelisrodek"/>
            </w:pPr>
            <w:r w:rsidRPr="00F60446">
              <w:t>główny - GZWP</w:t>
            </w:r>
          </w:p>
        </w:tc>
      </w:tr>
      <w:tr w:rsidR="009263D8" w:rsidRPr="00F60446" w14:paraId="5AE6CDC1" w14:textId="77777777" w:rsidTr="00E51484">
        <w:trPr>
          <w:trHeight w:val="454"/>
        </w:trPr>
        <w:tc>
          <w:tcPr>
            <w:tcW w:w="775" w:type="dxa"/>
            <w:vAlign w:val="center"/>
          </w:tcPr>
          <w:p w14:paraId="3FFAC449" w14:textId="77777777" w:rsidR="009263D8" w:rsidRPr="00F60446" w:rsidRDefault="009263D8" w:rsidP="00FB3C63">
            <w:pPr>
              <w:pStyle w:val="Teksttabelisrodek"/>
            </w:pPr>
            <w:r w:rsidRPr="00F60446">
              <w:t>322</w:t>
            </w:r>
          </w:p>
        </w:tc>
        <w:tc>
          <w:tcPr>
            <w:tcW w:w="3331" w:type="dxa"/>
            <w:vAlign w:val="center"/>
          </w:tcPr>
          <w:p w14:paraId="1249081A" w14:textId="77777777" w:rsidR="009263D8" w:rsidRPr="00F60446" w:rsidRDefault="009263D8" w:rsidP="00FB3C63">
            <w:pPr>
              <w:pStyle w:val="Teksttabelisrodek"/>
            </w:pPr>
            <w:r w:rsidRPr="00F60446">
              <w:t>Zbiornik Oleśnica</w:t>
            </w:r>
          </w:p>
        </w:tc>
        <w:tc>
          <w:tcPr>
            <w:tcW w:w="3402" w:type="dxa"/>
            <w:vAlign w:val="center"/>
          </w:tcPr>
          <w:p w14:paraId="16C89049" w14:textId="77777777" w:rsidR="009263D8" w:rsidRPr="00F60446" w:rsidRDefault="009263D8" w:rsidP="00FB3C63">
            <w:pPr>
              <w:pStyle w:val="Teksttabelisrodek"/>
            </w:pPr>
            <w:r w:rsidRPr="00F60446">
              <w:t>Zbiornik Oleśnica</w:t>
            </w:r>
          </w:p>
        </w:tc>
        <w:tc>
          <w:tcPr>
            <w:tcW w:w="1554" w:type="dxa"/>
            <w:vAlign w:val="center"/>
          </w:tcPr>
          <w:p w14:paraId="2753F4E5" w14:textId="77777777" w:rsidR="009263D8" w:rsidRPr="00F60446" w:rsidRDefault="009263D8" w:rsidP="00FB3C63">
            <w:pPr>
              <w:pStyle w:val="Teksttabelisrodek"/>
            </w:pPr>
            <w:r w:rsidRPr="00F60446">
              <w:t>główny - GZWP</w:t>
            </w:r>
          </w:p>
        </w:tc>
      </w:tr>
      <w:tr w:rsidR="009263D8" w:rsidRPr="00F60446" w14:paraId="75B90E00" w14:textId="77777777" w:rsidTr="00E51484">
        <w:trPr>
          <w:trHeight w:val="454"/>
        </w:trPr>
        <w:tc>
          <w:tcPr>
            <w:tcW w:w="775" w:type="dxa"/>
            <w:vAlign w:val="center"/>
          </w:tcPr>
          <w:p w14:paraId="637059C6" w14:textId="77777777" w:rsidR="009263D8" w:rsidRPr="00F60446" w:rsidRDefault="009263D8" w:rsidP="00FB3C63">
            <w:pPr>
              <w:pStyle w:val="Teksttabelisrodek"/>
            </w:pPr>
            <w:r w:rsidRPr="00F60446">
              <w:t>323</w:t>
            </w:r>
          </w:p>
        </w:tc>
        <w:tc>
          <w:tcPr>
            <w:tcW w:w="3331" w:type="dxa"/>
            <w:vAlign w:val="center"/>
          </w:tcPr>
          <w:p w14:paraId="6830FA03" w14:textId="77777777" w:rsidR="009263D8" w:rsidRPr="00F60446" w:rsidRDefault="009263D8" w:rsidP="00FB3C63">
            <w:pPr>
              <w:pStyle w:val="Teksttabelisrodek"/>
            </w:pPr>
            <w:r w:rsidRPr="00F60446">
              <w:t>Subzbiornik rzeki Stobrawa</w:t>
            </w:r>
          </w:p>
        </w:tc>
        <w:tc>
          <w:tcPr>
            <w:tcW w:w="3402" w:type="dxa"/>
            <w:vAlign w:val="center"/>
          </w:tcPr>
          <w:p w14:paraId="39F4334F" w14:textId="77777777" w:rsidR="009263D8" w:rsidRPr="00F60446" w:rsidRDefault="009263D8" w:rsidP="00FB3C63">
            <w:pPr>
              <w:pStyle w:val="Teksttabelisrodek"/>
            </w:pPr>
            <w:r w:rsidRPr="00F60446">
              <w:t>Subzbiornik rzeki Stobrawa</w:t>
            </w:r>
          </w:p>
        </w:tc>
        <w:tc>
          <w:tcPr>
            <w:tcW w:w="1554" w:type="dxa"/>
            <w:vAlign w:val="center"/>
          </w:tcPr>
          <w:p w14:paraId="68613EF4" w14:textId="77777777" w:rsidR="009263D8" w:rsidRPr="00F60446" w:rsidRDefault="009263D8" w:rsidP="00FB3C63">
            <w:pPr>
              <w:pStyle w:val="Teksttabelisrodek"/>
            </w:pPr>
            <w:r w:rsidRPr="00F60446">
              <w:t>główny - GZWP</w:t>
            </w:r>
          </w:p>
        </w:tc>
      </w:tr>
      <w:tr w:rsidR="009263D8" w:rsidRPr="00F60446" w14:paraId="4629E403" w14:textId="77777777" w:rsidTr="00E51484">
        <w:trPr>
          <w:trHeight w:val="454"/>
        </w:trPr>
        <w:tc>
          <w:tcPr>
            <w:tcW w:w="775" w:type="dxa"/>
            <w:vAlign w:val="center"/>
          </w:tcPr>
          <w:p w14:paraId="575AFD66" w14:textId="77777777" w:rsidR="009263D8" w:rsidRPr="00F60446" w:rsidRDefault="009263D8" w:rsidP="00FB3C63">
            <w:pPr>
              <w:pStyle w:val="Teksttabelisrodek"/>
            </w:pPr>
            <w:r w:rsidRPr="00F60446">
              <w:t>324</w:t>
            </w:r>
          </w:p>
        </w:tc>
        <w:tc>
          <w:tcPr>
            <w:tcW w:w="3331" w:type="dxa"/>
            <w:vAlign w:val="center"/>
          </w:tcPr>
          <w:p w14:paraId="58B8255E" w14:textId="77777777" w:rsidR="009263D8" w:rsidRPr="00F60446" w:rsidRDefault="009263D8" w:rsidP="00FB3C63">
            <w:pPr>
              <w:pStyle w:val="Teksttabelisrodek"/>
            </w:pPr>
            <w:r w:rsidRPr="00F60446">
              <w:t>Dolina kopalna Kluczbork</w:t>
            </w:r>
          </w:p>
        </w:tc>
        <w:tc>
          <w:tcPr>
            <w:tcW w:w="3402" w:type="dxa"/>
            <w:vAlign w:val="center"/>
          </w:tcPr>
          <w:p w14:paraId="2B7E75E5" w14:textId="77777777" w:rsidR="009263D8" w:rsidRPr="00F60446" w:rsidRDefault="009263D8" w:rsidP="00FB3C63">
            <w:pPr>
              <w:pStyle w:val="Teksttabelisrodek"/>
            </w:pPr>
            <w:r w:rsidRPr="00F60446">
              <w:t>Dolina kopalna Kluczbork</w:t>
            </w:r>
          </w:p>
        </w:tc>
        <w:tc>
          <w:tcPr>
            <w:tcW w:w="1554" w:type="dxa"/>
            <w:vAlign w:val="center"/>
          </w:tcPr>
          <w:p w14:paraId="2D7D9780" w14:textId="77777777" w:rsidR="009263D8" w:rsidRPr="00F60446" w:rsidRDefault="009263D8" w:rsidP="00FB3C63">
            <w:pPr>
              <w:pStyle w:val="Teksttabelisrodek"/>
            </w:pPr>
            <w:r w:rsidRPr="00F60446">
              <w:t>główny - GZWP</w:t>
            </w:r>
          </w:p>
        </w:tc>
      </w:tr>
      <w:tr w:rsidR="009263D8" w:rsidRPr="00F60446" w14:paraId="3CD1AAB5" w14:textId="77777777" w:rsidTr="00E51484">
        <w:trPr>
          <w:trHeight w:val="454"/>
        </w:trPr>
        <w:tc>
          <w:tcPr>
            <w:tcW w:w="775" w:type="dxa"/>
            <w:vAlign w:val="center"/>
          </w:tcPr>
          <w:p w14:paraId="501D311D" w14:textId="77777777" w:rsidR="009263D8" w:rsidRPr="00F60446" w:rsidRDefault="009263D8" w:rsidP="00FB3C63">
            <w:pPr>
              <w:pStyle w:val="Teksttabelisrodek"/>
            </w:pPr>
            <w:r w:rsidRPr="00F60446">
              <w:t>325</w:t>
            </w:r>
          </w:p>
        </w:tc>
        <w:tc>
          <w:tcPr>
            <w:tcW w:w="3331" w:type="dxa"/>
            <w:vAlign w:val="center"/>
          </w:tcPr>
          <w:p w14:paraId="0AF20034" w14:textId="77777777" w:rsidR="009263D8" w:rsidRPr="00F60446" w:rsidRDefault="009263D8" w:rsidP="00FB3C63">
            <w:pPr>
              <w:pStyle w:val="Teksttabelisrodek"/>
            </w:pPr>
            <w:r w:rsidRPr="00F60446">
              <w:t>Zbiornik Częstochowa (W)</w:t>
            </w:r>
          </w:p>
        </w:tc>
        <w:tc>
          <w:tcPr>
            <w:tcW w:w="3402" w:type="dxa"/>
            <w:vAlign w:val="center"/>
          </w:tcPr>
          <w:p w14:paraId="00FE7621" w14:textId="77777777" w:rsidR="009263D8" w:rsidRPr="00F60446" w:rsidRDefault="009263D8" w:rsidP="00FB3C63">
            <w:pPr>
              <w:pStyle w:val="Teksttabelisrodek"/>
            </w:pPr>
            <w:r w:rsidRPr="00F60446">
              <w:t>Zbiornik Częstochowa (W)</w:t>
            </w:r>
          </w:p>
        </w:tc>
        <w:tc>
          <w:tcPr>
            <w:tcW w:w="1554" w:type="dxa"/>
            <w:vAlign w:val="center"/>
          </w:tcPr>
          <w:p w14:paraId="3D067C0C" w14:textId="77777777" w:rsidR="009263D8" w:rsidRPr="00F60446" w:rsidRDefault="009263D8" w:rsidP="00FB3C63">
            <w:pPr>
              <w:pStyle w:val="Teksttabelisrodek"/>
            </w:pPr>
            <w:r w:rsidRPr="00F60446">
              <w:t>główny - GZWP</w:t>
            </w:r>
          </w:p>
        </w:tc>
      </w:tr>
      <w:tr w:rsidR="009263D8" w:rsidRPr="00F60446" w14:paraId="6A33F708" w14:textId="77777777" w:rsidTr="00E51484">
        <w:trPr>
          <w:trHeight w:val="454"/>
        </w:trPr>
        <w:tc>
          <w:tcPr>
            <w:tcW w:w="775" w:type="dxa"/>
            <w:vAlign w:val="center"/>
          </w:tcPr>
          <w:p w14:paraId="528EB898" w14:textId="77777777" w:rsidR="009263D8" w:rsidRPr="00F60446" w:rsidRDefault="009263D8" w:rsidP="00FB3C63">
            <w:pPr>
              <w:pStyle w:val="Teksttabelisrodek"/>
            </w:pPr>
            <w:r w:rsidRPr="00F60446">
              <w:t>326</w:t>
            </w:r>
          </w:p>
        </w:tc>
        <w:tc>
          <w:tcPr>
            <w:tcW w:w="3331" w:type="dxa"/>
            <w:vAlign w:val="center"/>
          </w:tcPr>
          <w:p w14:paraId="484C8D10" w14:textId="77777777" w:rsidR="009263D8" w:rsidRPr="00F60446" w:rsidRDefault="009263D8" w:rsidP="00FB3C63">
            <w:pPr>
              <w:pStyle w:val="Teksttabelisrodek"/>
            </w:pPr>
            <w:r w:rsidRPr="00F60446">
              <w:t>Zbiornik Częstochowa (E)</w:t>
            </w:r>
          </w:p>
        </w:tc>
        <w:tc>
          <w:tcPr>
            <w:tcW w:w="3402" w:type="dxa"/>
            <w:vAlign w:val="center"/>
          </w:tcPr>
          <w:p w14:paraId="3BCC8397" w14:textId="77777777" w:rsidR="009263D8" w:rsidRPr="00F60446" w:rsidRDefault="009263D8" w:rsidP="00FB3C63">
            <w:pPr>
              <w:pStyle w:val="Teksttabelisrodek"/>
            </w:pPr>
            <w:r w:rsidRPr="00F60446">
              <w:t>Zbiornik Częstochowa (E)</w:t>
            </w:r>
          </w:p>
        </w:tc>
        <w:tc>
          <w:tcPr>
            <w:tcW w:w="1554" w:type="dxa"/>
            <w:vAlign w:val="center"/>
          </w:tcPr>
          <w:p w14:paraId="2FE11D76" w14:textId="77777777" w:rsidR="009263D8" w:rsidRPr="00F60446" w:rsidRDefault="009263D8" w:rsidP="00FB3C63">
            <w:pPr>
              <w:pStyle w:val="Teksttabelisrodek"/>
            </w:pPr>
            <w:r w:rsidRPr="00F60446">
              <w:t>główny - GZWP</w:t>
            </w:r>
          </w:p>
        </w:tc>
      </w:tr>
      <w:tr w:rsidR="009263D8" w:rsidRPr="00F60446" w14:paraId="3C623AE1" w14:textId="77777777" w:rsidTr="00E51484">
        <w:trPr>
          <w:trHeight w:val="454"/>
        </w:trPr>
        <w:tc>
          <w:tcPr>
            <w:tcW w:w="775" w:type="dxa"/>
            <w:vAlign w:val="center"/>
          </w:tcPr>
          <w:p w14:paraId="6698CC77" w14:textId="77777777" w:rsidR="009263D8" w:rsidRPr="00F60446" w:rsidRDefault="009263D8" w:rsidP="00FB3C63">
            <w:pPr>
              <w:pStyle w:val="Teksttabelisrodek"/>
            </w:pPr>
            <w:r w:rsidRPr="00F60446">
              <w:t>327</w:t>
            </w:r>
          </w:p>
        </w:tc>
        <w:tc>
          <w:tcPr>
            <w:tcW w:w="3331" w:type="dxa"/>
            <w:vAlign w:val="center"/>
          </w:tcPr>
          <w:p w14:paraId="0EE8D3EA" w14:textId="77777777" w:rsidR="009263D8" w:rsidRPr="00F60446" w:rsidRDefault="009263D8" w:rsidP="00FB3C63">
            <w:pPr>
              <w:pStyle w:val="Teksttabelisrodek"/>
            </w:pPr>
            <w:r w:rsidRPr="00F60446">
              <w:t>Zbiornik Lub</w:t>
            </w:r>
            <w:r>
              <w:t>l</w:t>
            </w:r>
            <w:r w:rsidRPr="00F60446">
              <w:t>iniec – Myszków</w:t>
            </w:r>
          </w:p>
        </w:tc>
        <w:tc>
          <w:tcPr>
            <w:tcW w:w="3402" w:type="dxa"/>
            <w:vAlign w:val="center"/>
          </w:tcPr>
          <w:p w14:paraId="151673F4" w14:textId="77777777" w:rsidR="009263D8" w:rsidRPr="00F60446" w:rsidRDefault="009263D8" w:rsidP="00FB3C63">
            <w:pPr>
              <w:pStyle w:val="Teksttabelisrodek"/>
            </w:pPr>
            <w:r w:rsidRPr="00F60446">
              <w:t>Zbiornik Lubliniec-Myszków</w:t>
            </w:r>
          </w:p>
        </w:tc>
        <w:tc>
          <w:tcPr>
            <w:tcW w:w="1554" w:type="dxa"/>
            <w:vAlign w:val="center"/>
          </w:tcPr>
          <w:p w14:paraId="196B171C" w14:textId="77777777" w:rsidR="009263D8" w:rsidRPr="00F60446" w:rsidRDefault="009263D8" w:rsidP="00FB3C63">
            <w:pPr>
              <w:pStyle w:val="Teksttabelisrodek"/>
            </w:pPr>
            <w:r w:rsidRPr="00F60446">
              <w:t>główny - GZWP</w:t>
            </w:r>
          </w:p>
        </w:tc>
      </w:tr>
      <w:tr w:rsidR="009263D8" w:rsidRPr="00F60446" w14:paraId="3BDD96E4" w14:textId="77777777" w:rsidTr="00E51484">
        <w:trPr>
          <w:trHeight w:val="454"/>
        </w:trPr>
        <w:tc>
          <w:tcPr>
            <w:tcW w:w="775" w:type="dxa"/>
            <w:vAlign w:val="center"/>
          </w:tcPr>
          <w:p w14:paraId="1F799BF0" w14:textId="77777777" w:rsidR="009263D8" w:rsidRPr="00F60446" w:rsidRDefault="009263D8" w:rsidP="00FB3C63">
            <w:pPr>
              <w:pStyle w:val="Teksttabelisrodek"/>
            </w:pPr>
            <w:r w:rsidRPr="00F60446">
              <w:t>328</w:t>
            </w:r>
          </w:p>
        </w:tc>
        <w:tc>
          <w:tcPr>
            <w:tcW w:w="3331" w:type="dxa"/>
            <w:vAlign w:val="center"/>
          </w:tcPr>
          <w:p w14:paraId="176003A2" w14:textId="77777777" w:rsidR="009263D8" w:rsidRPr="00F60446" w:rsidRDefault="009263D8" w:rsidP="00FB3C63">
            <w:pPr>
              <w:pStyle w:val="Teksttabelisrodek"/>
            </w:pPr>
            <w:r w:rsidRPr="00F60446">
              <w:t>Dolina Kopalna rzeki Mała Panew</w:t>
            </w:r>
          </w:p>
        </w:tc>
        <w:tc>
          <w:tcPr>
            <w:tcW w:w="3402" w:type="dxa"/>
            <w:vAlign w:val="center"/>
          </w:tcPr>
          <w:p w14:paraId="59780F3A" w14:textId="77777777" w:rsidR="009263D8" w:rsidRPr="00F60446" w:rsidRDefault="009263D8" w:rsidP="00FB3C63">
            <w:pPr>
              <w:pStyle w:val="Teksttabelisrodek"/>
            </w:pPr>
            <w:r w:rsidRPr="00F60446">
              <w:t>Dolina kopalna rzeki Mała Panew</w:t>
            </w:r>
          </w:p>
        </w:tc>
        <w:tc>
          <w:tcPr>
            <w:tcW w:w="1554" w:type="dxa"/>
            <w:vAlign w:val="center"/>
          </w:tcPr>
          <w:p w14:paraId="6DED18CE" w14:textId="77777777" w:rsidR="009263D8" w:rsidRPr="00F60446" w:rsidRDefault="009263D8" w:rsidP="00FB3C63">
            <w:pPr>
              <w:pStyle w:val="Teksttabelisrodek"/>
            </w:pPr>
            <w:r w:rsidRPr="00F60446">
              <w:t>główny - GZWP</w:t>
            </w:r>
          </w:p>
        </w:tc>
      </w:tr>
      <w:tr w:rsidR="009263D8" w:rsidRPr="00F60446" w14:paraId="2D0F52C4" w14:textId="77777777" w:rsidTr="00E51484">
        <w:trPr>
          <w:trHeight w:val="454"/>
        </w:trPr>
        <w:tc>
          <w:tcPr>
            <w:tcW w:w="775" w:type="dxa"/>
            <w:vAlign w:val="center"/>
          </w:tcPr>
          <w:p w14:paraId="3EF26CA3" w14:textId="77777777" w:rsidR="009263D8" w:rsidRPr="00F60446" w:rsidRDefault="009263D8" w:rsidP="00FB3C63">
            <w:pPr>
              <w:pStyle w:val="Teksttabelisrodek"/>
            </w:pPr>
            <w:r w:rsidRPr="00F60446">
              <w:t>329</w:t>
            </w:r>
          </w:p>
        </w:tc>
        <w:tc>
          <w:tcPr>
            <w:tcW w:w="3331" w:type="dxa"/>
            <w:vAlign w:val="center"/>
          </w:tcPr>
          <w:p w14:paraId="753E91D0" w14:textId="77777777" w:rsidR="009263D8" w:rsidRPr="00F60446" w:rsidRDefault="009263D8" w:rsidP="00FB3C63">
            <w:pPr>
              <w:pStyle w:val="Teksttabelisrodek"/>
            </w:pPr>
            <w:r w:rsidRPr="00F60446">
              <w:t>Zbiornik Bytom</w:t>
            </w:r>
          </w:p>
        </w:tc>
        <w:tc>
          <w:tcPr>
            <w:tcW w:w="3402" w:type="dxa"/>
            <w:vAlign w:val="center"/>
          </w:tcPr>
          <w:p w14:paraId="7C6CC847" w14:textId="77777777" w:rsidR="009263D8" w:rsidRPr="00F60446" w:rsidRDefault="009263D8" w:rsidP="00FB3C63">
            <w:pPr>
              <w:pStyle w:val="Teksttabelisrodek"/>
            </w:pPr>
            <w:r w:rsidRPr="00F60446">
              <w:t>Zbiornik Bytom</w:t>
            </w:r>
          </w:p>
        </w:tc>
        <w:tc>
          <w:tcPr>
            <w:tcW w:w="1554" w:type="dxa"/>
            <w:vAlign w:val="center"/>
          </w:tcPr>
          <w:p w14:paraId="744C4566" w14:textId="77777777" w:rsidR="009263D8" w:rsidRPr="00F60446" w:rsidRDefault="009263D8" w:rsidP="00FB3C63">
            <w:pPr>
              <w:pStyle w:val="Teksttabelisrodek"/>
            </w:pPr>
            <w:r w:rsidRPr="00F60446">
              <w:t>główny - GZWP</w:t>
            </w:r>
          </w:p>
        </w:tc>
      </w:tr>
      <w:tr w:rsidR="009263D8" w:rsidRPr="00F60446" w14:paraId="3465B0D5" w14:textId="77777777" w:rsidTr="00E51484">
        <w:trPr>
          <w:trHeight w:val="454"/>
        </w:trPr>
        <w:tc>
          <w:tcPr>
            <w:tcW w:w="775" w:type="dxa"/>
            <w:vAlign w:val="center"/>
          </w:tcPr>
          <w:p w14:paraId="3FE6F4A8" w14:textId="77777777" w:rsidR="009263D8" w:rsidRPr="00F60446" w:rsidRDefault="009263D8" w:rsidP="00FB3C63">
            <w:pPr>
              <w:pStyle w:val="Teksttabelisrodek"/>
            </w:pPr>
            <w:r w:rsidRPr="00F60446">
              <w:t>330</w:t>
            </w:r>
          </w:p>
        </w:tc>
        <w:tc>
          <w:tcPr>
            <w:tcW w:w="3331" w:type="dxa"/>
            <w:vAlign w:val="center"/>
          </w:tcPr>
          <w:p w14:paraId="1A44A780" w14:textId="77777777" w:rsidR="009263D8" w:rsidRPr="00F60446" w:rsidRDefault="009263D8" w:rsidP="00FB3C63">
            <w:pPr>
              <w:pStyle w:val="Teksttabelisrodek"/>
            </w:pPr>
            <w:r w:rsidRPr="00F60446">
              <w:t>Zbiornik Gliwice</w:t>
            </w:r>
          </w:p>
        </w:tc>
        <w:tc>
          <w:tcPr>
            <w:tcW w:w="3402" w:type="dxa"/>
            <w:vAlign w:val="center"/>
          </w:tcPr>
          <w:p w14:paraId="56DAA481" w14:textId="77777777" w:rsidR="009263D8" w:rsidRPr="00F60446" w:rsidRDefault="009263D8" w:rsidP="00FB3C63">
            <w:pPr>
              <w:pStyle w:val="Teksttabelisrodek"/>
            </w:pPr>
            <w:r w:rsidRPr="00F60446">
              <w:t>Zbiornik Gliwice</w:t>
            </w:r>
          </w:p>
        </w:tc>
        <w:tc>
          <w:tcPr>
            <w:tcW w:w="1554" w:type="dxa"/>
            <w:vAlign w:val="center"/>
          </w:tcPr>
          <w:p w14:paraId="1CE5BBE3" w14:textId="77777777" w:rsidR="009263D8" w:rsidRPr="00F60446" w:rsidRDefault="009263D8" w:rsidP="00FB3C63">
            <w:pPr>
              <w:pStyle w:val="Teksttabelisrodek"/>
            </w:pPr>
            <w:r w:rsidRPr="00F60446">
              <w:t>główny - GZWP</w:t>
            </w:r>
          </w:p>
        </w:tc>
      </w:tr>
      <w:tr w:rsidR="009263D8" w:rsidRPr="00F60446" w14:paraId="0398FDC6" w14:textId="77777777" w:rsidTr="00E51484">
        <w:trPr>
          <w:trHeight w:val="454"/>
        </w:trPr>
        <w:tc>
          <w:tcPr>
            <w:tcW w:w="775" w:type="dxa"/>
            <w:vAlign w:val="center"/>
          </w:tcPr>
          <w:p w14:paraId="3C3DAC27" w14:textId="77777777" w:rsidR="009263D8" w:rsidRPr="00F60446" w:rsidRDefault="009263D8" w:rsidP="00FB3C63">
            <w:pPr>
              <w:pStyle w:val="Teksttabelisrodek"/>
            </w:pPr>
            <w:r w:rsidRPr="00F60446">
              <w:t>331</w:t>
            </w:r>
          </w:p>
        </w:tc>
        <w:tc>
          <w:tcPr>
            <w:tcW w:w="3331" w:type="dxa"/>
            <w:vAlign w:val="center"/>
          </w:tcPr>
          <w:p w14:paraId="250226AA" w14:textId="77777777" w:rsidR="009263D8" w:rsidRPr="00F60446" w:rsidRDefault="009263D8" w:rsidP="00FB3C63">
            <w:pPr>
              <w:pStyle w:val="Teksttabelisrodek"/>
            </w:pPr>
            <w:r w:rsidRPr="00F60446">
              <w:t>Dolina Kopalna rzeki Górna Kłodnica</w:t>
            </w:r>
          </w:p>
        </w:tc>
        <w:tc>
          <w:tcPr>
            <w:tcW w:w="3402" w:type="dxa"/>
            <w:vAlign w:val="center"/>
          </w:tcPr>
          <w:p w14:paraId="5E922112" w14:textId="77777777" w:rsidR="009263D8" w:rsidRPr="00F60446" w:rsidRDefault="009263D8" w:rsidP="00FB3C63">
            <w:pPr>
              <w:pStyle w:val="Teksttabelisrodek"/>
            </w:pPr>
            <w:r w:rsidRPr="00F60446">
              <w:t>Dolina Kopalna rzeki Górna Kłodnica</w:t>
            </w:r>
          </w:p>
        </w:tc>
        <w:tc>
          <w:tcPr>
            <w:tcW w:w="1554" w:type="dxa"/>
            <w:vAlign w:val="center"/>
          </w:tcPr>
          <w:p w14:paraId="270B9D29" w14:textId="77777777" w:rsidR="009263D8" w:rsidRPr="00F60446" w:rsidRDefault="009263D8" w:rsidP="00FB3C63">
            <w:pPr>
              <w:pStyle w:val="Teksttabelisrodek"/>
            </w:pPr>
            <w:r w:rsidRPr="00F60446">
              <w:t>główny - GZWP</w:t>
            </w:r>
          </w:p>
        </w:tc>
      </w:tr>
      <w:tr w:rsidR="009263D8" w:rsidRPr="00F60446" w14:paraId="745D6BA4" w14:textId="77777777" w:rsidTr="00E51484">
        <w:trPr>
          <w:trHeight w:val="454"/>
        </w:trPr>
        <w:tc>
          <w:tcPr>
            <w:tcW w:w="775" w:type="dxa"/>
            <w:vAlign w:val="center"/>
          </w:tcPr>
          <w:p w14:paraId="1F4C3A2C" w14:textId="77777777" w:rsidR="009263D8" w:rsidRPr="00F60446" w:rsidRDefault="009263D8" w:rsidP="00FB3C63">
            <w:pPr>
              <w:pStyle w:val="Teksttabelisrodek"/>
            </w:pPr>
            <w:r w:rsidRPr="00F60446">
              <w:t>332</w:t>
            </w:r>
          </w:p>
        </w:tc>
        <w:tc>
          <w:tcPr>
            <w:tcW w:w="3331" w:type="dxa"/>
            <w:vAlign w:val="center"/>
          </w:tcPr>
          <w:p w14:paraId="4A606806" w14:textId="77777777" w:rsidR="009263D8" w:rsidRPr="00F60446" w:rsidRDefault="009263D8" w:rsidP="00FB3C63">
            <w:pPr>
              <w:pStyle w:val="Teksttabelisrodek"/>
            </w:pPr>
            <w:r w:rsidRPr="00F60446">
              <w:t>Subniecka kędzierzyńsko-głubczycka</w:t>
            </w:r>
          </w:p>
        </w:tc>
        <w:tc>
          <w:tcPr>
            <w:tcW w:w="3402" w:type="dxa"/>
            <w:vAlign w:val="center"/>
          </w:tcPr>
          <w:p w14:paraId="6F83974D" w14:textId="77777777" w:rsidR="009263D8" w:rsidRPr="00F60446" w:rsidRDefault="009263D8" w:rsidP="00FB3C63">
            <w:pPr>
              <w:pStyle w:val="Teksttabelisrodek"/>
            </w:pPr>
            <w:r w:rsidRPr="00F60446">
              <w:t>Subniecka kędzierzyńsko-głubczycka</w:t>
            </w:r>
          </w:p>
        </w:tc>
        <w:tc>
          <w:tcPr>
            <w:tcW w:w="1554" w:type="dxa"/>
            <w:vAlign w:val="center"/>
          </w:tcPr>
          <w:p w14:paraId="26505F1C" w14:textId="77777777" w:rsidR="009263D8" w:rsidRPr="00F60446" w:rsidRDefault="009263D8" w:rsidP="00FB3C63">
            <w:pPr>
              <w:pStyle w:val="Teksttabelisrodek"/>
            </w:pPr>
            <w:r w:rsidRPr="00F60446">
              <w:t>główny - GZWP</w:t>
            </w:r>
          </w:p>
        </w:tc>
      </w:tr>
      <w:tr w:rsidR="009263D8" w:rsidRPr="00F60446" w14:paraId="4E16D359" w14:textId="77777777" w:rsidTr="00E51484">
        <w:trPr>
          <w:trHeight w:val="454"/>
        </w:trPr>
        <w:tc>
          <w:tcPr>
            <w:tcW w:w="775" w:type="dxa"/>
            <w:vAlign w:val="center"/>
          </w:tcPr>
          <w:p w14:paraId="3EF774CE" w14:textId="77777777" w:rsidR="009263D8" w:rsidRPr="00F60446" w:rsidRDefault="009263D8" w:rsidP="00FB3C63">
            <w:pPr>
              <w:pStyle w:val="Teksttabelisrodek"/>
            </w:pPr>
            <w:r w:rsidRPr="00F60446">
              <w:t>333</w:t>
            </w:r>
          </w:p>
        </w:tc>
        <w:tc>
          <w:tcPr>
            <w:tcW w:w="3331" w:type="dxa"/>
            <w:vAlign w:val="center"/>
          </w:tcPr>
          <w:p w14:paraId="3648D0FD" w14:textId="77777777" w:rsidR="009263D8" w:rsidRPr="00F60446" w:rsidRDefault="009263D8" w:rsidP="00FB3C63">
            <w:pPr>
              <w:pStyle w:val="Teksttabelisrodek"/>
            </w:pPr>
            <w:r w:rsidRPr="00F60446">
              <w:t>Zbiornik Opole – Zawadzkie</w:t>
            </w:r>
          </w:p>
        </w:tc>
        <w:tc>
          <w:tcPr>
            <w:tcW w:w="3402" w:type="dxa"/>
            <w:vAlign w:val="center"/>
          </w:tcPr>
          <w:p w14:paraId="22863EB2" w14:textId="77777777" w:rsidR="009263D8" w:rsidRPr="00F60446" w:rsidRDefault="009263D8" w:rsidP="00FB3C63">
            <w:pPr>
              <w:pStyle w:val="Teksttabelisrodek"/>
            </w:pPr>
            <w:r w:rsidRPr="00F60446">
              <w:t>Zbiornik Opole-Zawadzkie</w:t>
            </w:r>
          </w:p>
        </w:tc>
        <w:tc>
          <w:tcPr>
            <w:tcW w:w="1554" w:type="dxa"/>
            <w:vAlign w:val="center"/>
          </w:tcPr>
          <w:p w14:paraId="132002C4" w14:textId="77777777" w:rsidR="009263D8" w:rsidRPr="00F60446" w:rsidRDefault="009263D8" w:rsidP="00FB3C63">
            <w:pPr>
              <w:pStyle w:val="Teksttabelisrodek"/>
            </w:pPr>
            <w:r w:rsidRPr="00F60446">
              <w:t>główny - GZWP</w:t>
            </w:r>
          </w:p>
        </w:tc>
      </w:tr>
      <w:tr w:rsidR="009263D8" w:rsidRPr="00F60446" w14:paraId="5E9B5CA2" w14:textId="77777777" w:rsidTr="00E51484">
        <w:trPr>
          <w:trHeight w:val="454"/>
        </w:trPr>
        <w:tc>
          <w:tcPr>
            <w:tcW w:w="775" w:type="dxa"/>
            <w:vAlign w:val="center"/>
          </w:tcPr>
          <w:p w14:paraId="5CB6D55F" w14:textId="77777777" w:rsidR="009263D8" w:rsidRPr="00F60446" w:rsidRDefault="009263D8" w:rsidP="00FB3C63">
            <w:pPr>
              <w:pStyle w:val="Teksttabelisrodek"/>
            </w:pPr>
            <w:r w:rsidRPr="00F60446">
              <w:t>334</w:t>
            </w:r>
          </w:p>
        </w:tc>
        <w:tc>
          <w:tcPr>
            <w:tcW w:w="3331" w:type="dxa"/>
            <w:vAlign w:val="center"/>
          </w:tcPr>
          <w:p w14:paraId="6D2487C2" w14:textId="77777777" w:rsidR="009263D8" w:rsidRPr="00F60446" w:rsidRDefault="009263D8" w:rsidP="00FB3C63">
            <w:pPr>
              <w:pStyle w:val="Teksttabelisrodek"/>
            </w:pPr>
            <w:r w:rsidRPr="00F60446">
              <w:t>Dolina Kopalna rzeki Mała Panew (W)</w:t>
            </w:r>
          </w:p>
        </w:tc>
        <w:tc>
          <w:tcPr>
            <w:tcW w:w="3402" w:type="dxa"/>
            <w:vAlign w:val="center"/>
          </w:tcPr>
          <w:p w14:paraId="2D790D0C" w14:textId="77777777" w:rsidR="009263D8" w:rsidRPr="00F60446" w:rsidRDefault="009263D8" w:rsidP="00FB3C63">
            <w:pPr>
              <w:pStyle w:val="Teksttabelisrodek"/>
            </w:pPr>
            <w:r w:rsidRPr="00F60446">
              <w:t>Dolina kopalna rzeki Mała Panew</w:t>
            </w:r>
          </w:p>
        </w:tc>
        <w:tc>
          <w:tcPr>
            <w:tcW w:w="1554" w:type="dxa"/>
            <w:vAlign w:val="center"/>
          </w:tcPr>
          <w:p w14:paraId="17F64AAC" w14:textId="77777777" w:rsidR="009263D8" w:rsidRPr="00F60446" w:rsidRDefault="009263D8" w:rsidP="00FB3C63">
            <w:pPr>
              <w:pStyle w:val="Teksttabelisrodek"/>
            </w:pPr>
            <w:r w:rsidRPr="00F60446">
              <w:t>główny - GZWP</w:t>
            </w:r>
          </w:p>
        </w:tc>
      </w:tr>
      <w:tr w:rsidR="009263D8" w:rsidRPr="00F60446" w14:paraId="0D8519E9" w14:textId="77777777" w:rsidTr="00E51484">
        <w:trPr>
          <w:trHeight w:val="454"/>
        </w:trPr>
        <w:tc>
          <w:tcPr>
            <w:tcW w:w="775" w:type="dxa"/>
            <w:vAlign w:val="center"/>
          </w:tcPr>
          <w:p w14:paraId="093D9CE1" w14:textId="77777777" w:rsidR="009263D8" w:rsidRPr="00F60446" w:rsidRDefault="009263D8" w:rsidP="00FB3C63">
            <w:pPr>
              <w:pStyle w:val="Teksttabelisrodek"/>
            </w:pPr>
            <w:r w:rsidRPr="00F60446">
              <w:t>335</w:t>
            </w:r>
          </w:p>
        </w:tc>
        <w:tc>
          <w:tcPr>
            <w:tcW w:w="3331" w:type="dxa"/>
            <w:vAlign w:val="center"/>
          </w:tcPr>
          <w:p w14:paraId="1BB8180A" w14:textId="77777777" w:rsidR="009263D8" w:rsidRPr="00F60446" w:rsidRDefault="009263D8" w:rsidP="00FB3C63">
            <w:pPr>
              <w:pStyle w:val="Teksttabelisrodek"/>
            </w:pPr>
            <w:r w:rsidRPr="00F60446">
              <w:t>Zbiornik Krapkowice – Strzelce Opolskie</w:t>
            </w:r>
          </w:p>
        </w:tc>
        <w:tc>
          <w:tcPr>
            <w:tcW w:w="3402" w:type="dxa"/>
            <w:vAlign w:val="center"/>
          </w:tcPr>
          <w:p w14:paraId="007F093C" w14:textId="77777777" w:rsidR="009263D8" w:rsidRPr="00F60446" w:rsidRDefault="009263D8" w:rsidP="00FB3C63">
            <w:pPr>
              <w:pStyle w:val="Teksttabelisrodek"/>
            </w:pPr>
            <w:r w:rsidRPr="00F60446">
              <w:t>Zbiornik Krapkowice-Strzelce Opolskie</w:t>
            </w:r>
          </w:p>
        </w:tc>
        <w:tc>
          <w:tcPr>
            <w:tcW w:w="1554" w:type="dxa"/>
            <w:vAlign w:val="center"/>
          </w:tcPr>
          <w:p w14:paraId="2491EEDB" w14:textId="77777777" w:rsidR="009263D8" w:rsidRPr="00F60446" w:rsidRDefault="009263D8" w:rsidP="00FB3C63">
            <w:pPr>
              <w:pStyle w:val="Teksttabelisrodek"/>
            </w:pPr>
            <w:r w:rsidRPr="00F60446">
              <w:t>główny - GZWP</w:t>
            </w:r>
          </w:p>
        </w:tc>
      </w:tr>
      <w:tr w:rsidR="009263D8" w:rsidRPr="00F60446" w14:paraId="2818FDE1" w14:textId="77777777" w:rsidTr="00E51484">
        <w:trPr>
          <w:trHeight w:val="454"/>
        </w:trPr>
        <w:tc>
          <w:tcPr>
            <w:tcW w:w="775" w:type="dxa"/>
            <w:vAlign w:val="center"/>
          </w:tcPr>
          <w:p w14:paraId="463FB029" w14:textId="77777777" w:rsidR="009263D8" w:rsidRPr="00F60446" w:rsidRDefault="009263D8" w:rsidP="00FB3C63">
            <w:pPr>
              <w:pStyle w:val="Teksttabelisrodek"/>
            </w:pPr>
            <w:r w:rsidRPr="00F60446">
              <w:t>336</w:t>
            </w:r>
          </w:p>
        </w:tc>
        <w:tc>
          <w:tcPr>
            <w:tcW w:w="3331" w:type="dxa"/>
            <w:vAlign w:val="center"/>
          </w:tcPr>
          <w:p w14:paraId="1455F30C" w14:textId="77777777" w:rsidR="009263D8" w:rsidRPr="00F60446" w:rsidRDefault="009263D8" w:rsidP="00FB3C63">
            <w:pPr>
              <w:pStyle w:val="Teksttabelisrodek"/>
            </w:pPr>
            <w:r w:rsidRPr="00F60446">
              <w:t>Niecka Opolska</w:t>
            </w:r>
          </w:p>
        </w:tc>
        <w:tc>
          <w:tcPr>
            <w:tcW w:w="3402" w:type="dxa"/>
            <w:vAlign w:val="center"/>
          </w:tcPr>
          <w:p w14:paraId="4059BC92" w14:textId="77777777" w:rsidR="009263D8" w:rsidRPr="00F60446" w:rsidRDefault="009263D8" w:rsidP="00FB3C63">
            <w:pPr>
              <w:pStyle w:val="Teksttabelisrodek"/>
            </w:pPr>
            <w:r w:rsidRPr="00F60446">
              <w:t>Niecka opolska</w:t>
            </w:r>
          </w:p>
        </w:tc>
        <w:tc>
          <w:tcPr>
            <w:tcW w:w="1554" w:type="dxa"/>
            <w:vAlign w:val="center"/>
          </w:tcPr>
          <w:p w14:paraId="4DA40322" w14:textId="77777777" w:rsidR="009263D8" w:rsidRPr="00F60446" w:rsidRDefault="009263D8" w:rsidP="00FB3C63">
            <w:pPr>
              <w:pStyle w:val="Teksttabelisrodek"/>
            </w:pPr>
            <w:r w:rsidRPr="00F60446">
              <w:t>główny - GZWP</w:t>
            </w:r>
          </w:p>
        </w:tc>
      </w:tr>
      <w:tr w:rsidR="009263D8" w:rsidRPr="00F60446" w14:paraId="5B45FC7E" w14:textId="77777777" w:rsidTr="00E51484">
        <w:trPr>
          <w:trHeight w:val="454"/>
        </w:trPr>
        <w:tc>
          <w:tcPr>
            <w:tcW w:w="775" w:type="dxa"/>
            <w:vAlign w:val="center"/>
          </w:tcPr>
          <w:p w14:paraId="61D06200" w14:textId="77777777" w:rsidR="009263D8" w:rsidRPr="00F60446" w:rsidRDefault="009263D8" w:rsidP="00FB3C63">
            <w:pPr>
              <w:pStyle w:val="Teksttabelisrodek"/>
            </w:pPr>
            <w:r w:rsidRPr="00F60446">
              <w:t>337</w:t>
            </w:r>
          </w:p>
        </w:tc>
        <w:tc>
          <w:tcPr>
            <w:tcW w:w="3331" w:type="dxa"/>
            <w:vAlign w:val="center"/>
          </w:tcPr>
          <w:p w14:paraId="124C7BDC" w14:textId="77777777" w:rsidR="009263D8" w:rsidRPr="00F60446" w:rsidRDefault="009263D8" w:rsidP="00FB3C63">
            <w:pPr>
              <w:pStyle w:val="Teksttabelisrodek"/>
            </w:pPr>
            <w:r w:rsidRPr="00F60446">
              <w:t>Lasy Niemodlińskie</w:t>
            </w:r>
          </w:p>
        </w:tc>
        <w:tc>
          <w:tcPr>
            <w:tcW w:w="3402" w:type="dxa"/>
            <w:vAlign w:val="center"/>
          </w:tcPr>
          <w:p w14:paraId="1B3862F1" w14:textId="77777777" w:rsidR="009263D8" w:rsidRPr="00F60446" w:rsidRDefault="009263D8" w:rsidP="00FB3C63">
            <w:pPr>
              <w:pStyle w:val="Teksttabelisrodek"/>
            </w:pPr>
            <w:r w:rsidRPr="00F60446">
              <w:t>Dolina kopalna Lasy Niemodlińskie</w:t>
            </w:r>
          </w:p>
        </w:tc>
        <w:tc>
          <w:tcPr>
            <w:tcW w:w="1554" w:type="dxa"/>
            <w:vAlign w:val="center"/>
          </w:tcPr>
          <w:p w14:paraId="5D387DFB" w14:textId="77777777" w:rsidR="009263D8" w:rsidRPr="00F60446" w:rsidRDefault="009263D8" w:rsidP="00FB3C63">
            <w:pPr>
              <w:pStyle w:val="Teksttabelisrodek"/>
            </w:pPr>
            <w:r w:rsidRPr="00F60446">
              <w:t>główny - GZWP</w:t>
            </w:r>
          </w:p>
        </w:tc>
      </w:tr>
      <w:tr w:rsidR="009263D8" w:rsidRPr="00F60446" w14:paraId="6F701301" w14:textId="77777777" w:rsidTr="00E51484">
        <w:trPr>
          <w:trHeight w:val="454"/>
        </w:trPr>
        <w:tc>
          <w:tcPr>
            <w:tcW w:w="775" w:type="dxa"/>
            <w:vAlign w:val="center"/>
          </w:tcPr>
          <w:p w14:paraId="26F466B6" w14:textId="77777777" w:rsidR="009263D8" w:rsidRPr="00F60446" w:rsidRDefault="009263D8" w:rsidP="00FB3C63">
            <w:pPr>
              <w:pStyle w:val="Teksttabelisrodek"/>
            </w:pPr>
            <w:r w:rsidRPr="00F60446">
              <w:t>338</w:t>
            </w:r>
          </w:p>
        </w:tc>
        <w:tc>
          <w:tcPr>
            <w:tcW w:w="3331" w:type="dxa"/>
            <w:vAlign w:val="center"/>
          </w:tcPr>
          <w:p w14:paraId="09150E0A" w14:textId="77777777" w:rsidR="009263D8" w:rsidRPr="00F60446" w:rsidRDefault="009263D8" w:rsidP="00FB3C63">
            <w:pPr>
              <w:pStyle w:val="Teksttabelisrodek"/>
            </w:pPr>
            <w:r w:rsidRPr="00F60446">
              <w:t>Subzbiornik Paczków - Niemodlin</w:t>
            </w:r>
          </w:p>
        </w:tc>
        <w:tc>
          <w:tcPr>
            <w:tcW w:w="3402" w:type="dxa"/>
            <w:vAlign w:val="center"/>
          </w:tcPr>
          <w:p w14:paraId="07C858C6" w14:textId="77777777" w:rsidR="009263D8" w:rsidRPr="00F60446" w:rsidRDefault="009263D8" w:rsidP="00FB3C63">
            <w:pPr>
              <w:pStyle w:val="Teksttabelisrodek"/>
            </w:pPr>
            <w:r w:rsidRPr="00F60446">
              <w:t>Subzbiornik Paczków-Niemodlin</w:t>
            </w:r>
          </w:p>
        </w:tc>
        <w:tc>
          <w:tcPr>
            <w:tcW w:w="1554" w:type="dxa"/>
            <w:vAlign w:val="center"/>
          </w:tcPr>
          <w:p w14:paraId="2C024DD1" w14:textId="77777777" w:rsidR="009263D8" w:rsidRPr="00F60446" w:rsidRDefault="009263D8" w:rsidP="00FB3C63">
            <w:pPr>
              <w:pStyle w:val="Teksttabelisrodek"/>
            </w:pPr>
            <w:r w:rsidRPr="00F60446">
              <w:t>główny - GZWP</w:t>
            </w:r>
          </w:p>
        </w:tc>
      </w:tr>
      <w:tr w:rsidR="009263D8" w:rsidRPr="00F60446" w14:paraId="21064DD6" w14:textId="77777777" w:rsidTr="00E51484">
        <w:trPr>
          <w:trHeight w:val="454"/>
        </w:trPr>
        <w:tc>
          <w:tcPr>
            <w:tcW w:w="775" w:type="dxa"/>
            <w:vAlign w:val="center"/>
          </w:tcPr>
          <w:p w14:paraId="39960387" w14:textId="77777777" w:rsidR="009263D8" w:rsidRPr="00F60446" w:rsidRDefault="009263D8" w:rsidP="00FB3C63">
            <w:pPr>
              <w:pStyle w:val="Teksttabelisrodek"/>
            </w:pPr>
            <w:r w:rsidRPr="00F60446">
              <w:t>339</w:t>
            </w:r>
          </w:p>
        </w:tc>
        <w:tc>
          <w:tcPr>
            <w:tcW w:w="3331" w:type="dxa"/>
            <w:vAlign w:val="center"/>
          </w:tcPr>
          <w:p w14:paraId="4B1216C0" w14:textId="77777777" w:rsidR="009263D8" w:rsidRPr="00F60446" w:rsidRDefault="009263D8" w:rsidP="00FB3C63">
            <w:pPr>
              <w:pStyle w:val="Teksttabelisrodek"/>
            </w:pPr>
            <w:r w:rsidRPr="00F60446">
              <w:t>Śnieżnik - Góry Bialskie</w:t>
            </w:r>
          </w:p>
        </w:tc>
        <w:tc>
          <w:tcPr>
            <w:tcW w:w="3402" w:type="dxa"/>
            <w:vAlign w:val="center"/>
          </w:tcPr>
          <w:p w14:paraId="0FFFB33F" w14:textId="77777777" w:rsidR="009263D8" w:rsidRPr="00F60446" w:rsidRDefault="009263D8" w:rsidP="00FB3C63">
            <w:pPr>
              <w:pStyle w:val="Teksttabelisrodek"/>
            </w:pPr>
            <w:r w:rsidRPr="00F60446">
              <w:t>Zbiornik Śnieżnik Góry Bialskie</w:t>
            </w:r>
          </w:p>
        </w:tc>
        <w:tc>
          <w:tcPr>
            <w:tcW w:w="1554" w:type="dxa"/>
            <w:vAlign w:val="center"/>
          </w:tcPr>
          <w:p w14:paraId="5F8C3627" w14:textId="77777777" w:rsidR="009263D8" w:rsidRPr="00F60446" w:rsidRDefault="009263D8" w:rsidP="00FB3C63">
            <w:pPr>
              <w:pStyle w:val="Teksttabelisrodek"/>
            </w:pPr>
            <w:r w:rsidRPr="00F60446">
              <w:t>lokalny - LZWP</w:t>
            </w:r>
          </w:p>
        </w:tc>
      </w:tr>
      <w:tr w:rsidR="009263D8" w:rsidRPr="00F60446" w14:paraId="42BBEA92" w14:textId="77777777" w:rsidTr="00E51484">
        <w:trPr>
          <w:trHeight w:val="454"/>
        </w:trPr>
        <w:tc>
          <w:tcPr>
            <w:tcW w:w="775" w:type="dxa"/>
            <w:vAlign w:val="center"/>
          </w:tcPr>
          <w:p w14:paraId="09E4D227" w14:textId="77777777" w:rsidR="009263D8" w:rsidRPr="00F60446" w:rsidRDefault="009263D8" w:rsidP="00FB3C63">
            <w:pPr>
              <w:pStyle w:val="Teksttabelisrodek"/>
            </w:pPr>
            <w:r w:rsidRPr="00F60446">
              <w:t>340</w:t>
            </w:r>
          </w:p>
        </w:tc>
        <w:tc>
          <w:tcPr>
            <w:tcW w:w="3331" w:type="dxa"/>
            <w:vAlign w:val="center"/>
          </w:tcPr>
          <w:p w14:paraId="2A5ED99E" w14:textId="77777777" w:rsidR="009263D8" w:rsidRPr="00F60446" w:rsidRDefault="009263D8" w:rsidP="00FB3C63">
            <w:pPr>
              <w:pStyle w:val="Teksttabelisrodek"/>
            </w:pPr>
            <w:r w:rsidRPr="00F60446">
              <w:t>Dolina kopalna rzeki Nysa Kłodzka</w:t>
            </w:r>
          </w:p>
        </w:tc>
        <w:tc>
          <w:tcPr>
            <w:tcW w:w="3402" w:type="dxa"/>
            <w:vAlign w:val="center"/>
          </w:tcPr>
          <w:p w14:paraId="13CF45C3" w14:textId="77777777" w:rsidR="009263D8" w:rsidRPr="00F60446" w:rsidRDefault="009263D8" w:rsidP="00FB3C63">
            <w:pPr>
              <w:pStyle w:val="Teksttabelisrodek"/>
            </w:pPr>
            <w:r w:rsidRPr="00F60446">
              <w:t>Dolina kopalna rzeki Nysa Kłodzka</w:t>
            </w:r>
          </w:p>
        </w:tc>
        <w:tc>
          <w:tcPr>
            <w:tcW w:w="1554" w:type="dxa"/>
            <w:vAlign w:val="center"/>
          </w:tcPr>
          <w:p w14:paraId="11B408A2" w14:textId="77777777" w:rsidR="009263D8" w:rsidRPr="00F60446" w:rsidRDefault="009263D8" w:rsidP="00FB3C63">
            <w:pPr>
              <w:pStyle w:val="Teksttabelisrodek"/>
            </w:pPr>
            <w:r w:rsidRPr="00F60446">
              <w:t>główny - GZWP</w:t>
            </w:r>
          </w:p>
        </w:tc>
      </w:tr>
      <w:tr w:rsidR="009263D8" w:rsidRPr="00F60446" w14:paraId="648AEC7A" w14:textId="77777777" w:rsidTr="00E51484">
        <w:trPr>
          <w:trHeight w:val="454"/>
        </w:trPr>
        <w:tc>
          <w:tcPr>
            <w:tcW w:w="775" w:type="dxa"/>
            <w:vAlign w:val="center"/>
          </w:tcPr>
          <w:p w14:paraId="3E22B3F6" w14:textId="77777777" w:rsidR="009263D8" w:rsidRPr="00F60446" w:rsidRDefault="009263D8" w:rsidP="00FB3C63">
            <w:pPr>
              <w:pStyle w:val="Teksttabelisrodek"/>
            </w:pPr>
            <w:r w:rsidRPr="00F60446">
              <w:t>341</w:t>
            </w:r>
          </w:p>
        </w:tc>
        <w:tc>
          <w:tcPr>
            <w:tcW w:w="3331" w:type="dxa"/>
            <w:vAlign w:val="center"/>
          </w:tcPr>
          <w:p w14:paraId="545EC4CD" w14:textId="77777777" w:rsidR="009263D8" w:rsidRPr="00F60446" w:rsidRDefault="009263D8" w:rsidP="00FB3C63">
            <w:pPr>
              <w:pStyle w:val="Teksttabelisrodek"/>
            </w:pPr>
            <w:r w:rsidRPr="00F60446">
              <w:t>Niecka wewnątrzsudecka Kudowa-Zdrój – Bystrzyca Kłodzka</w:t>
            </w:r>
          </w:p>
        </w:tc>
        <w:tc>
          <w:tcPr>
            <w:tcW w:w="3402" w:type="dxa"/>
            <w:vAlign w:val="center"/>
          </w:tcPr>
          <w:p w14:paraId="52B0BD8B" w14:textId="77777777" w:rsidR="009263D8" w:rsidRPr="00F60446" w:rsidRDefault="009263D8" w:rsidP="00FB3C63">
            <w:pPr>
              <w:pStyle w:val="Teksttabelisrodek"/>
            </w:pPr>
            <w:r w:rsidRPr="00F60446">
              <w:t>Zbiornik Niecka wewnątrznosudecka Kudowa Zdrój-Bystrzyca Kłodzka</w:t>
            </w:r>
          </w:p>
        </w:tc>
        <w:tc>
          <w:tcPr>
            <w:tcW w:w="1554" w:type="dxa"/>
            <w:vAlign w:val="center"/>
          </w:tcPr>
          <w:p w14:paraId="61646BDD" w14:textId="77777777" w:rsidR="009263D8" w:rsidRPr="00F60446" w:rsidRDefault="009263D8" w:rsidP="00FB3C63">
            <w:pPr>
              <w:pStyle w:val="Teksttabelisrodek"/>
            </w:pPr>
            <w:r w:rsidRPr="00F60446">
              <w:t>główny - GZWP</w:t>
            </w:r>
          </w:p>
        </w:tc>
      </w:tr>
      <w:tr w:rsidR="009263D8" w:rsidRPr="00F60446" w14:paraId="597919F7" w14:textId="77777777" w:rsidTr="00E51484">
        <w:trPr>
          <w:trHeight w:val="454"/>
        </w:trPr>
        <w:tc>
          <w:tcPr>
            <w:tcW w:w="775" w:type="dxa"/>
            <w:vAlign w:val="center"/>
          </w:tcPr>
          <w:p w14:paraId="409EF370" w14:textId="77777777" w:rsidR="009263D8" w:rsidRPr="00F60446" w:rsidRDefault="009263D8" w:rsidP="00FB3C63">
            <w:pPr>
              <w:pStyle w:val="Teksttabelisrodek"/>
            </w:pPr>
            <w:r w:rsidRPr="00F60446">
              <w:t>342</w:t>
            </w:r>
          </w:p>
        </w:tc>
        <w:tc>
          <w:tcPr>
            <w:tcW w:w="3331" w:type="dxa"/>
            <w:vAlign w:val="center"/>
          </w:tcPr>
          <w:p w14:paraId="2CEDF7D7" w14:textId="77777777" w:rsidR="009263D8" w:rsidRPr="00F60446" w:rsidRDefault="009263D8" w:rsidP="00FB3C63">
            <w:pPr>
              <w:pStyle w:val="Teksttabelisrodek"/>
            </w:pPr>
            <w:r w:rsidRPr="00F60446">
              <w:t>Niecka wewnątrzsudecka Krzeszów</w:t>
            </w:r>
          </w:p>
        </w:tc>
        <w:tc>
          <w:tcPr>
            <w:tcW w:w="3402" w:type="dxa"/>
            <w:vAlign w:val="center"/>
          </w:tcPr>
          <w:p w14:paraId="4049B904" w14:textId="77777777" w:rsidR="009263D8" w:rsidRPr="00F60446" w:rsidRDefault="009263D8" w:rsidP="00FB3C63">
            <w:pPr>
              <w:pStyle w:val="Teksttabelisrodek"/>
            </w:pPr>
            <w:r w:rsidRPr="00F60446">
              <w:t>Zbiornik Niecka wewnątrznosudecka Krzeszów</w:t>
            </w:r>
          </w:p>
        </w:tc>
        <w:tc>
          <w:tcPr>
            <w:tcW w:w="1554" w:type="dxa"/>
            <w:vAlign w:val="center"/>
          </w:tcPr>
          <w:p w14:paraId="674B93FC" w14:textId="77777777" w:rsidR="009263D8" w:rsidRPr="00F60446" w:rsidRDefault="009263D8" w:rsidP="00FB3C63">
            <w:pPr>
              <w:pStyle w:val="Teksttabelisrodek"/>
            </w:pPr>
            <w:r w:rsidRPr="00F60446">
              <w:t>główny - GZWP</w:t>
            </w:r>
          </w:p>
        </w:tc>
      </w:tr>
      <w:tr w:rsidR="009263D8" w:rsidRPr="00F60446" w14:paraId="22F2FDB7" w14:textId="77777777" w:rsidTr="00E51484">
        <w:trPr>
          <w:trHeight w:val="454"/>
        </w:trPr>
        <w:tc>
          <w:tcPr>
            <w:tcW w:w="775" w:type="dxa"/>
            <w:vAlign w:val="center"/>
          </w:tcPr>
          <w:p w14:paraId="15E5F665" w14:textId="77777777" w:rsidR="009263D8" w:rsidRPr="00F60446" w:rsidRDefault="009263D8" w:rsidP="00FB3C63">
            <w:pPr>
              <w:pStyle w:val="Teksttabelisrodek"/>
            </w:pPr>
            <w:r w:rsidRPr="00F60446">
              <w:t>343</w:t>
            </w:r>
          </w:p>
        </w:tc>
        <w:tc>
          <w:tcPr>
            <w:tcW w:w="3331" w:type="dxa"/>
            <w:vAlign w:val="center"/>
          </w:tcPr>
          <w:p w14:paraId="322A361E" w14:textId="77777777" w:rsidR="009263D8" w:rsidRPr="00F60446" w:rsidRDefault="009263D8" w:rsidP="00FB3C63">
            <w:pPr>
              <w:pStyle w:val="Teksttabelisrodek"/>
            </w:pPr>
            <w:r w:rsidRPr="00F60446">
              <w:t>Dolina rzeki Bóbr (Marciszów)</w:t>
            </w:r>
          </w:p>
        </w:tc>
        <w:tc>
          <w:tcPr>
            <w:tcW w:w="3402" w:type="dxa"/>
            <w:vAlign w:val="center"/>
          </w:tcPr>
          <w:p w14:paraId="186AE3EF" w14:textId="77777777" w:rsidR="009263D8" w:rsidRPr="00F60446" w:rsidRDefault="009263D8" w:rsidP="00FB3C63">
            <w:pPr>
              <w:pStyle w:val="Teksttabelisrodek"/>
            </w:pPr>
            <w:r w:rsidRPr="00F60446">
              <w:t>Dolina rzeki Bóbr (Marciszów)</w:t>
            </w:r>
          </w:p>
        </w:tc>
        <w:tc>
          <w:tcPr>
            <w:tcW w:w="1554" w:type="dxa"/>
            <w:vAlign w:val="center"/>
          </w:tcPr>
          <w:p w14:paraId="57B702CB" w14:textId="77777777" w:rsidR="009263D8" w:rsidRPr="00F60446" w:rsidRDefault="009263D8" w:rsidP="00FB3C63">
            <w:pPr>
              <w:pStyle w:val="Teksttabelisrodek"/>
            </w:pPr>
            <w:r w:rsidRPr="00F60446">
              <w:t>główny - GZWP</w:t>
            </w:r>
          </w:p>
        </w:tc>
      </w:tr>
      <w:tr w:rsidR="009263D8" w:rsidRPr="00F60446" w14:paraId="67FC3235" w14:textId="77777777" w:rsidTr="00E51484">
        <w:trPr>
          <w:trHeight w:val="454"/>
        </w:trPr>
        <w:tc>
          <w:tcPr>
            <w:tcW w:w="775" w:type="dxa"/>
            <w:vAlign w:val="center"/>
          </w:tcPr>
          <w:p w14:paraId="5EFC1265" w14:textId="77777777" w:rsidR="009263D8" w:rsidRPr="00F60446" w:rsidRDefault="009263D8" w:rsidP="00FB3C63">
            <w:pPr>
              <w:pStyle w:val="Teksttabelisrodek"/>
            </w:pPr>
            <w:r w:rsidRPr="00F60446">
              <w:t>345</w:t>
            </w:r>
          </w:p>
        </w:tc>
        <w:tc>
          <w:tcPr>
            <w:tcW w:w="3331" w:type="dxa"/>
            <w:vAlign w:val="center"/>
          </w:tcPr>
          <w:p w14:paraId="075AA062" w14:textId="77777777" w:rsidR="009263D8" w:rsidRPr="00F60446" w:rsidRDefault="009263D8" w:rsidP="00FB3C63">
            <w:pPr>
              <w:pStyle w:val="Teksttabelisrodek"/>
            </w:pPr>
            <w:r w:rsidRPr="00F60446">
              <w:t>Rybnik</w:t>
            </w:r>
          </w:p>
        </w:tc>
        <w:tc>
          <w:tcPr>
            <w:tcW w:w="3402" w:type="dxa"/>
            <w:vAlign w:val="center"/>
          </w:tcPr>
          <w:p w14:paraId="3AC79476" w14:textId="77777777" w:rsidR="009263D8" w:rsidRPr="00F60446" w:rsidRDefault="009263D8" w:rsidP="00FB3C63">
            <w:pPr>
              <w:pStyle w:val="Teksttabelisrodek"/>
            </w:pPr>
            <w:r w:rsidRPr="00F60446">
              <w:t>Zbiornik Rybnik</w:t>
            </w:r>
          </w:p>
        </w:tc>
        <w:tc>
          <w:tcPr>
            <w:tcW w:w="1554" w:type="dxa"/>
            <w:vAlign w:val="center"/>
          </w:tcPr>
          <w:p w14:paraId="159749F0" w14:textId="77777777" w:rsidR="009263D8" w:rsidRPr="00F60446" w:rsidRDefault="009263D8" w:rsidP="00FB3C63">
            <w:pPr>
              <w:pStyle w:val="Teksttabelisrodek"/>
            </w:pPr>
            <w:r w:rsidRPr="00F60446">
              <w:t>lokalny - LZWP</w:t>
            </w:r>
          </w:p>
        </w:tc>
      </w:tr>
      <w:tr w:rsidR="009263D8" w:rsidRPr="00F60446" w14:paraId="01F5D036" w14:textId="77777777" w:rsidTr="00E51484">
        <w:trPr>
          <w:trHeight w:val="454"/>
        </w:trPr>
        <w:tc>
          <w:tcPr>
            <w:tcW w:w="775" w:type="dxa"/>
            <w:vAlign w:val="center"/>
          </w:tcPr>
          <w:p w14:paraId="511F1A08" w14:textId="77777777" w:rsidR="009263D8" w:rsidRPr="00F60446" w:rsidRDefault="009263D8" w:rsidP="00FB3C63">
            <w:pPr>
              <w:pStyle w:val="Teksttabelisrodek"/>
            </w:pPr>
            <w:r w:rsidRPr="00F60446">
              <w:t>346</w:t>
            </w:r>
          </w:p>
        </w:tc>
        <w:tc>
          <w:tcPr>
            <w:tcW w:w="3331" w:type="dxa"/>
            <w:vAlign w:val="center"/>
          </w:tcPr>
          <w:p w14:paraId="31368BA2" w14:textId="77777777" w:rsidR="009263D8" w:rsidRPr="00F60446" w:rsidRDefault="009263D8" w:rsidP="00FB3C63">
            <w:pPr>
              <w:pStyle w:val="Teksttabelisrodek"/>
            </w:pPr>
            <w:r w:rsidRPr="00F60446">
              <w:t>Pszczyna</w:t>
            </w:r>
          </w:p>
        </w:tc>
        <w:tc>
          <w:tcPr>
            <w:tcW w:w="3402" w:type="dxa"/>
            <w:vAlign w:val="center"/>
          </w:tcPr>
          <w:p w14:paraId="1497A0D1" w14:textId="77777777" w:rsidR="009263D8" w:rsidRPr="00F60446" w:rsidRDefault="009263D8" w:rsidP="00FB3C63">
            <w:pPr>
              <w:pStyle w:val="Teksttabelisrodek"/>
            </w:pPr>
            <w:r w:rsidRPr="00F60446">
              <w:t>Zbiornik Pszczyna-Żory</w:t>
            </w:r>
          </w:p>
        </w:tc>
        <w:tc>
          <w:tcPr>
            <w:tcW w:w="1554" w:type="dxa"/>
            <w:vAlign w:val="center"/>
          </w:tcPr>
          <w:p w14:paraId="18013909" w14:textId="77777777" w:rsidR="009263D8" w:rsidRPr="00F60446" w:rsidRDefault="009263D8" w:rsidP="00FB3C63">
            <w:pPr>
              <w:pStyle w:val="Teksttabelisrodek"/>
            </w:pPr>
            <w:r w:rsidRPr="00F60446">
              <w:t>główny - GZWP</w:t>
            </w:r>
          </w:p>
        </w:tc>
      </w:tr>
      <w:tr w:rsidR="009263D8" w:rsidRPr="00F60446" w14:paraId="2A840435" w14:textId="77777777" w:rsidTr="00E51484">
        <w:trPr>
          <w:trHeight w:val="454"/>
        </w:trPr>
        <w:tc>
          <w:tcPr>
            <w:tcW w:w="775" w:type="dxa"/>
            <w:vAlign w:val="center"/>
          </w:tcPr>
          <w:p w14:paraId="4E415519" w14:textId="77777777" w:rsidR="009263D8" w:rsidRPr="00F60446" w:rsidRDefault="009263D8" w:rsidP="00FB3C63">
            <w:pPr>
              <w:pStyle w:val="Teksttabelisrodek"/>
            </w:pPr>
            <w:r w:rsidRPr="00F60446">
              <w:t>348</w:t>
            </w:r>
          </w:p>
        </w:tc>
        <w:tc>
          <w:tcPr>
            <w:tcW w:w="3331" w:type="dxa"/>
            <w:vAlign w:val="center"/>
          </w:tcPr>
          <w:p w14:paraId="3B6A83BD" w14:textId="77777777" w:rsidR="009263D8" w:rsidRPr="00F60446" w:rsidRDefault="009263D8" w:rsidP="00FB3C63">
            <w:pPr>
              <w:pStyle w:val="Teksttabelisrodek"/>
            </w:pPr>
            <w:r w:rsidRPr="00F60446">
              <w:t>Zbiornik warstw Godula (Beskid Śląski)</w:t>
            </w:r>
          </w:p>
        </w:tc>
        <w:tc>
          <w:tcPr>
            <w:tcW w:w="3402" w:type="dxa"/>
            <w:vAlign w:val="center"/>
          </w:tcPr>
          <w:p w14:paraId="004CCA79" w14:textId="77777777" w:rsidR="009263D8" w:rsidRPr="00F60446" w:rsidRDefault="009263D8" w:rsidP="00FB3C63">
            <w:pPr>
              <w:pStyle w:val="Teksttabelisrodek"/>
            </w:pPr>
            <w:r w:rsidRPr="00F60446">
              <w:t>Zbiornik warstw Godula (Beskid Śląski)</w:t>
            </w:r>
          </w:p>
        </w:tc>
        <w:tc>
          <w:tcPr>
            <w:tcW w:w="1554" w:type="dxa"/>
            <w:vAlign w:val="center"/>
          </w:tcPr>
          <w:p w14:paraId="1D002B26" w14:textId="77777777" w:rsidR="009263D8" w:rsidRPr="00F60446" w:rsidRDefault="009263D8" w:rsidP="00FB3C63">
            <w:pPr>
              <w:pStyle w:val="Teksttabelisrodek"/>
            </w:pPr>
            <w:r w:rsidRPr="00F60446">
              <w:t>lokalny - LZWP</w:t>
            </w:r>
          </w:p>
        </w:tc>
      </w:tr>
      <w:tr w:rsidR="009263D8" w:rsidRPr="00F60446" w14:paraId="0DE40F9B" w14:textId="77777777" w:rsidTr="00E51484">
        <w:trPr>
          <w:trHeight w:val="454"/>
        </w:trPr>
        <w:tc>
          <w:tcPr>
            <w:tcW w:w="775" w:type="dxa"/>
            <w:vAlign w:val="center"/>
          </w:tcPr>
          <w:p w14:paraId="25A23E58" w14:textId="77777777" w:rsidR="009263D8" w:rsidRPr="00F60446" w:rsidRDefault="009263D8" w:rsidP="00FB3C63">
            <w:pPr>
              <w:pStyle w:val="Teksttabelisrodek"/>
            </w:pPr>
            <w:r w:rsidRPr="00F60446">
              <w:t>401</w:t>
            </w:r>
          </w:p>
        </w:tc>
        <w:tc>
          <w:tcPr>
            <w:tcW w:w="3331" w:type="dxa"/>
            <w:vAlign w:val="center"/>
          </w:tcPr>
          <w:p w14:paraId="5C3E8EAF" w14:textId="77777777" w:rsidR="009263D8" w:rsidRPr="00F60446" w:rsidRDefault="009263D8" w:rsidP="00FB3C63">
            <w:pPr>
              <w:pStyle w:val="Teksttabelisrodek"/>
            </w:pPr>
            <w:r w:rsidRPr="00F60446">
              <w:t>Niecka Łódzka</w:t>
            </w:r>
          </w:p>
        </w:tc>
        <w:tc>
          <w:tcPr>
            <w:tcW w:w="3402" w:type="dxa"/>
            <w:vAlign w:val="center"/>
          </w:tcPr>
          <w:p w14:paraId="66F4ABCF" w14:textId="77777777" w:rsidR="009263D8" w:rsidRPr="00F60446" w:rsidRDefault="009263D8" w:rsidP="00FB3C63">
            <w:pPr>
              <w:pStyle w:val="Teksttabelisrodek"/>
            </w:pPr>
            <w:r w:rsidRPr="00F60446">
              <w:t>Niecka łódzka</w:t>
            </w:r>
          </w:p>
        </w:tc>
        <w:tc>
          <w:tcPr>
            <w:tcW w:w="1554" w:type="dxa"/>
            <w:vAlign w:val="center"/>
          </w:tcPr>
          <w:p w14:paraId="5370150A" w14:textId="77777777" w:rsidR="009263D8" w:rsidRPr="00F60446" w:rsidRDefault="009263D8" w:rsidP="00FB3C63">
            <w:pPr>
              <w:pStyle w:val="Teksttabelisrodek"/>
            </w:pPr>
            <w:r w:rsidRPr="00F60446">
              <w:t>główny - GZWP</w:t>
            </w:r>
          </w:p>
        </w:tc>
      </w:tr>
      <w:tr w:rsidR="009263D8" w:rsidRPr="00F60446" w14:paraId="5EF73300" w14:textId="77777777" w:rsidTr="00E51484">
        <w:trPr>
          <w:trHeight w:val="454"/>
        </w:trPr>
        <w:tc>
          <w:tcPr>
            <w:tcW w:w="775" w:type="dxa"/>
            <w:vAlign w:val="center"/>
          </w:tcPr>
          <w:p w14:paraId="0137612A" w14:textId="77777777" w:rsidR="009263D8" w:rsidRPr="00F60446" w:rsidRDefault="009263D8" w:rsidP="00FB3C63">
            <w:pPr>
              <w:pStyle w:val="Teksttabelisrodek"/>
            </w:pPr>
            <w:r w:rsidRPr="00F60446">
              <w:t>403</w:t>
            </w:r>
          </w:p>
        </w:tc>
        <w:tc>
          <w:tcPr>
            <w:tcW w:w="3331" w:type="dxa"/>
            <w:vAlign w:val="center"/>
          </w:tcPr>
          <w:p w14:paraId="4497300B" w14:textId="77777777" w:rsidR="009263D8" w:rsidRPr="00F60446" w:rsidRDefault="009263D8" w:rsidP="00FB3C63">
            <w:pPr>
              <w:pStyle w:val="Teksttabelisrodek"/>
            </w:pPr>
            <w:r w:rsidRPr="00F60446">
              <w:t>Zbiornik międzymorenowy Brzeziny - Lipce Reymontowskie</w:t>
            </w:r>
          </w:p>
        </w:tc>
        <w:tc>
          <w:tcPr>
            <w:tcW w:w="3402" w:type="dxa"/>
            <w:vAlign w:val="center"/>
          </w:tcPr>
          <w:p w14:paraId="771B0124" w14:textId="77777777" w:rsidR="009263D8" w:rsidRPr="00F60446" w:rsidRDefault="009263D8" w:rsidP="00FB3C63">
            <w:pPr>
              <w:pStyle w:val="Teksttabelisrodek"/>
            </w:pPr>
            <w:r w:rsidRPr="00F60446">
              <w:t>Zbiornik międzymorenowy Brzeziny-Lipce Reymontowskie</w:t>
            </w:r>
          </w:p>
        </w:tc>
        <w:tc>
          <w:tcPr>
            <w:tcW w:w="1554" w:type="dxa"/>
            <w:vAlign w:val="center"/>
          </w:tcPr>
          <w:p w14:paraId="6207C401" w14:textId="77777777" w:rsidR="009263D8" w:rsidRPr="00F60446" w:rsidRDefault="009263D8" w:rsidP="00FB3C63">
            <w:pPr>
              <w:pStyle w:val="Teksttabelisrodek"/>
            </w:pPr>
            <w:r w:rsidRPr="00F60446">
              <w:t>główny - GZWP</w:t>
            </w:r>
          </w:p>
        </w:tc>
      </w:tr>
      <w:tr w:rsidR="009263D8" w:rsidRPr="00F60446" w14:paraId="7B814AA4" w14:textId="77777777" w:rsidTr="00E51484">
        <w:trPr>
          <w:trHeight w:val="454"/>
        </w:trPr>
        <w:tc>
          <w:tcPr>
            <w:tcW w:w="775" w:type="dxa"/>
            <w:vAlign w:val="center"/>
          </w:tcPr>
          <w:p w14:paraId="4C6C82A2" w14:textId="77777777" w:rsidR="009263D8" w:rsidRPr="00F60446" w:rsidRDefault="009263D8" w:rsidP="00FB3C63">
            <w:pPr>
              <w:pStyle w:val="Teksttabelisrodek"/>
            </w:pPr>
            <w:r w:rsidRPr="00F60446">
              <w:t>404</w:t>
            </w:r>
          </w:p>
        </w:tc>
        <w:tc>
          <w:tcPr>
            <w:tcW w:w="3331" w:type="dxa"/>
            <w:vAlign w:val="center"/>
          </w:tcPr>
          <w:p w14:paraId="79DC4F73" w14:textId="77777777" w:rsidR="009263D8" w:rsidRPr="00F60446" w:rsidRDefault="009263D8" w:rsidP="00FB3C63">
            <w:pPr>
              <w:pStyle w:val="Teksttabelisrodek"/>
            </w:pPr>
            <w:r w:rsidRPr="00F60446">
              <w:t>Zbiornik Koluszki - Tomaszów</w:t>
            </w:r>
          </w:p>
        </w:tc>
        <w:tc>
          <w:tcPr>
            <w:tcW w:w="3402" w:type="dxa"/>
            <w:vAlign w:val="center"/>
          </w:tcPr>
          <w:p w14:paraId="13E0DD60" w14:textId="77777777" w:rsidR="009263D8" w:rsidRPr="00F60446" w:rsidRDefault="009263D8" w:rsidP="00FB3C63">
            <w:pPr>
              <w:pStyle w:val="Teksttabelisrodek"/>
            </w:pPr>
            <w:r w:rsidRPr="00F60446">
              <w:t>Zbiornik Koluszki-Tomaszów</w:t>
            </w:r>
          </w:p>
        </w:tc>
        <w:tc>
          <w:tcPr>
            <w:tcW w:w="1554" w:type="dxa"/>
            <w:vAlign w:val="center"/>
          </w:tcPr>
          <w:p w14:paraId="3499633F" w14:textId="77777777" w:rsidR="009263D8" w:rsidRPr="00F60446" w:rsidRDefault="009263D8" w:rsidP="00FB3C63">
            <w:pPr>
              <w:pStyle w:val="Teksttabelisrodek"/>
            </w:pPr>
            <w:r w:rsidRPr="00F60446">
              <w:t>główny - GZWP</w:t>
            </w:r>
          </w:p>
        </w:tc>
      </w:tr>
      <w:tr w:rsidR="009263D8" w:rsidRPr="00F60446" w14:paraId="318BD045" w14:textId="77777777" w:rsidTr="00E51484">
        <w:trPr>
          <w:trHeight w:val="454"/>
        </w:trPr>
        <w:tc>
          <w:tcPr>
            <w:tcW w:w="775" w:type="dxa"/>
            <w:vAlign w:val="center"/>
          </w:tcPr>
          <w:p w14:paraId="2A195EDB" w14:textId="77777777" w:rsidR="009263D8" w:rsidRPr="00F60446" w:rsidRDefault="009263D8" w:rsidP="00FB3C63">
            <w:pPr>
              <w:pStyle w:val="Teksttabelisrodek"/>
            </w:pPr>
            <w:r w:rsidRPr="00F60446">
              <w:t>408</w:t>
            </w:r>
          </w:p>
        </w:tc>
        <w:tc>
          <w:tcPr>
            <w:tcW w:w="3331" w:type="dxa"/>
            <w:vAlign w:val="center"/>
          </w:tcPr>
          <w:p w14:paraId="2A58B2FA" w14:textId="77777777" w:rsidR="009263D8" w:rsidRPr="00F60446" w:rsidRDefault="009263D8" w:rsidP="00FB3C63">
            <w:pPr>
              <w:pStyle w:val="Teksttabelisrodek"/>
            </w:pPr>
            <w:r w:rsidRPr="00F60446">
              <w:t>Niecka Miechowska (część NW)</w:t>
            </w:r>
          </w:p>
        </w:tc>
        <w:tc>
          <w:tcPr>
            <w:tcW w:w="3402" w:type="dxa"/>
            <w:vAlign w:val="center"/>
          </w:tcPr>
          <w:p w14:paraId="27D6FC3C" w14:textId="77777777" w:rsidR="009263D8" w:rsidRPr="00F60446" w:rsidRDefault="009263D8" w:rsidP="00FB3C63">
            <w:pPr>
              <w:pStyle w:val="Teksttabelisrodek"/>
            </w:pPr>
            <w:r w:rsidRPr="00F60446">
              <w:t>Niecka miechowska (NW)</w:t>
            </w:r>
          </w:p>
        </w:tc>
        <w:tc>
          <w:tcPr>
            <w:tcW w:w="1554" w:type="dxa"/>
            <w:vAlign w:val="center"/>
          </w:tcPr>
          <w:p w14:paraId="7D975459" w14:textId="77777777" w:rsidR="009263D8" w:rsidRPr="00F60446" w:rsidRDefault="009263D8" w:rsidP="00FB3C63">
            <w:pPr>
              <w:pStyle w:val="Teksttabelisrodek"/>
            </w:pPr>
            <w:r w:rsidRPr="00F60446">
              <w:t>główny - GZWP</w:t>
            </w:r>
          </w:p>
        </w:tc>
      </w:tr>
      <w:tr w:rsidR="009263D8" w:rsidRPr="00F60446" w14:paraId="10F7C265" w14:textId="77777777" w:rsidTr="00E51484">
        <w:trPr>
          <w:trHeight w:val="454"/>
        </w:trPr>
        <w:tc>
          <w:tcPr>
            <w:tcW w:w="775" w:type="dxa"/>
            <w:vAlign w:val="center"/>
          </w:tcPr>
          <w:p w14:paraId="5BC1BD4F" w14:textId="77777777" w:rsidR="009263D8" w:rsidRPr="00F60446" w:rsidRDefault="009263D8" w:rsidP="00FB3C63">
            <w:pPr>
              <w:pStyle w:val="Teksttabelisrodek"/>
            </w:pPr>
            <w:r w:rsidRPr="00F60446">
              <w:t>454</w:t>
            </w:r>
          </w:p>
        </w:tc>
        <w:tc>
          <w:tcPr>
            <w:tcW w:w="3331" w:type="dxa"/>
            <w:vAlign w:val="center"/>
          </w:tcPr>
          <w:p w14:paraId="32885C29" w14:textId="77777777" w:rsidR="009263D8" w:rsidRPr="00F60446" w:rsidRDefault="009263D8" w:rsidP="00FB3C63">
            <w:pPr>
              <w:pStyle w:val="Teksttabelisrodek"/>
            </w:pPr>
            <w:r w:rsidRPr="00F60446">
              <w:t>Zbiornik Olkusz – Zawiercie</w:t>
            </w:r>
          </w:p>
        </w:tc>
        <w:tc>
          <w:tcPr>
            <w:tcW w:w="3402" w:type="dxa"/>
            <w:vAlign w:val="center"/>
          </w:tcPr>
          <w:p w14:paraId="34447047" w14:textId="77777777" w:rsidR="009263D8" w:rsidRPr="00F60446" w:rsidRDefault="009263D8" w:rsidP="00FB3C63">
            <w:pPr>
              <w:pStyle w:val="Teksttabelisrodek"/>
            </w:pPr>
            <w:r w:rsidRPr="00F60446">
              <w:t>Zbiornik Olkusz-Zawiercie</w:t>
            </w:r>
          </w:p>
        </w:tc>
        <w:tc>
          <w:tcPr>
            <w:tcW w:w="1554" w:type="dxa"/>
            <w:vAlign w:val="center"/>
          </w:tcPr>
          <w:p w14:paraId="40943666" w14:textId="77777777" w:rsidR="009263D8" w:rsidRPr="00F60446" w:rsidRDefault="009263D8" w:rsidP="00FB3C63">
            <w:pPr>
              <w:pStyle w:val="Teksttabelisrodek"/>
            </w:pPr>
            <w:r w:rsidRPr="00F60446">
              <w:t>główny - GZWP</w:t>
            </w:r>
          </w:p>
        </w:tc>
      </w:tr>
    </w:tbl>
    <w:p w14:paraId="1DA18FED" w14:textId="13A2607A" w:rsidR="000A6AAF" w:rsidRDefault="00A71086" w:rsidP="00544256">
      <w:pPr>
        <w:pStyle w:val="rdo"/>
      </w:pPr>
      <w:r>
        <w:t>Źródło: opracowanie własne</w:t>
      </w:r>
    </w:p>
    <w:p w14:paraId="575BEEC0" w14:textId="77777777" w:rsidR="00E51484" w:rsidRPr="00E51484" w:rsidRDefault="00E51484" w:rsidP="00E51484"/>
    <w:p w14:paraId="220AD66B" w14:textId="2D0BB5C3" w:rsidR="006F0E34" w:rsidRPr="00795F17" w:rsidRDefault="006F0E34" w:rsidP="00A22ED2">
      <w:pPr>
        <w:pStyle w:val="Nagwek2"/>
      </w:pPr>
      <w:bookmarkStart w:id="90" w:name="_Toc66272266"/>
      <w:bookmarkStart w:id="91" w:name="_Toc66347793"/>
      <w:bookmarkStart w:id="92" w:name="_Toc105512632"/>
      <w:r w:rsidRPr="00795F17">
        <w:t xml:space="preserve">Wykaz obszarów chronionych, o których mowa w art. 317 ust. 4 </w:t>
      </w:r>
      <w:r w:rsidR="00FE6BB2" w:rsidRPr="00795F17">
        <w:br/>
      </w:r>
      <w:r w:rsidRPr="00795F17">
        <w:t>ustawy</w:t>
      </w:r>
      <w:bookmarkEnd w:id="90"/>
      <w:bookmarkEnd w:id="91"/>
      <w:r w:rsidR="0071068B" w:rsidRPr="00795F17">
        <w:t xml:space="preserve"> </w:t>
      </w:r>
      <w:r w:rsidR="006B5BAA">
        <w:t xml:space="preserve">– </w:t>
      </w:r>
      <w:r w:rsidR="0071068B" w:rsidRPr="00795F17">
        <w:t>Prawo wodne</w:t>
      </w:r>
      <w:bookmarkEnd w:id="92"/>
    </w:p>
    <w:p w14:paraId="14D091A7" w14:textId="25257843" w:rsidR="006F0E34" w:rsidRPr="00795F17" w:rsidRDefault="006F0E34" w:rsidP="0044393D">
      <w:r w:rsidRPr="00795F17">
        <w:t>Zgodnie z art. 317 ust. 1 pkt 5 pr.w. jedną z dokumentacji planistycznych opracowywanych na</w:t>
      </w:r>
      <w:r w:rsidR="00A8339B" w:rsidRPr="00795F17">
        <w:t> </w:t>
      </w:r>
      <w:r w:rsidRPr="00795F17">
        <w:t>potrzeby planów gospodarowania wodami jest rejestr wykazów obszarów chronionych. Artykuł ten</w:t>
      </w:r>
      <w:r w:rsidR="00BE447C" w:rsidRPr="00795F17">
        <w:t> </w:t>
      </w:r>
      <w:r w:rsidRPr="00795F17">
        <w:t>obliguje do utworzenia rejestru wykazów obszarów chronionych zawierających wykazy:</w:t>
      </w:r>
    </w:p>
    <w:p w14:paraId="207071C9" w14:textId="298378F5" w:rsidR="006F0E34" w:rsidRPr="00795F17" w:rsidRDefault="00DE3DAF" w:rsidP="00117E86">
      <w:pPr>
        <w:pStyle w:val="Listapunktowana2"/>
      </w:pPr>
      <w:r>
        <w:t xml:space="preserve">jcw </w:t>
      </w:r>
      <w:r w:rsidR="006F0E34" w:rsidRPr="00795F17">
        <w:t>przeznaczonych do poboru wody na potrzeby zaopatrzenia ludności w</w:t>
      </w:r>
      <w:r w:rsidR="004D3AAA" w:rsidRPr="00795F17">
        <w:t> </w:t>
      </w:r>
      <w:r w:rsidR="006F0E34" w:rsidRPr="00795F17">
        <w:t xml:space="preserve">wodę przeznaczoną do spożycia przez ludzi, o których mowa w art. 71 pr.w.; </w:t>
      </w:r>
    </w:p>
    <w:p w14:paraId="14C9F5C0" w14:textId="63C36DE4" w:rsidR="006F0E34" w:rsidRPr="00795F17" w:rsidRDefault="00DE3DAF" w:rsidP="00117E86">
      <w:pPr>
        <w:pStyle w:val="Listapunktowana2"/>
      </w:pPr>
      <w:r>
        <w:t xml:space="preserve">jcw </w:t>
      </w:r>
      <w:r w:rsidR="006F0E34" w:rsidRPr="00795F17">
        <w:t xml:space="preserve">przeznaczonych do celów rekreacyjnych, w tym kąpieliskowych; </w:t>
      </w:r>
    </w:p>
    <w:p w14:paraId="22E59667" w14:textId="43831BE4" w:rsidR="006F0E34" w:rsidRPr="00795F17" w:rsidRDefault="006F0E34" w:rsidP="00117E86">
      <w:pPr>
        <w:pStyle w:val="Listapunktowana2"/>
      </w:pPr>
      <w:r w:rsidRPr="00795F17">
        <w:t>obszarów wrażliwych na eutrofizację wywołaną zanieczyszczeniami pochodzącymi ze źródeł komunalnych, rozumianą jako wzbogacanie wód biogenami, w szczególności związkami azotu lub fosforu, powodującymi przyspieszony wzrost glonów oraz wyższych form życia roślinnego, w</w:t>
      </w:r>
      <w:r w:rsidR="00D24395" w:rsidRPr="00795F17">
        <w:t> </w:t>
      </w:r>
      <w:r w:rsidRPr="00795F17">
        <w:t xml:space="preserve">wyniku którego następują niepożądane zakłócenia biologicznych stosunków w środowisku wodnym oraz pogorszenie jakości tych wód; </w:t>
      </w:r>
    </w:p>
    <w:p w14:paraId="5CC7A41D" w14:textId="24E9DB20" w:rsidR="006F0E34" w:rsidRPr="00795F17" w:rsidRDefault="006F0E34" w:rsidP="00117E86">
      <w:pPr>
        <w:pStyle w:val="Listapunktowana2"/>
      </w:pPr>
      <w:r w:rsidRPr="00795F17">
        <w:t xml:space="preserve">obszarów przeznaczonych do ochrony siedlisk lub gatunków, </w:t>
      </w:r>
      <w:r w:rsidR="004D3AAA" w:rsidRPr="00795F17">
        <w:t>wskazanych</w:t>
      </w:r>
      <w:r w:rsidRPr="00795F17">
        <w:t xml:space="preserve"> w przepisach ustawy </w:t>
      </w:r>
      <w:r w:rsidR="00CF3C06">
        <w:t>u.o.p</w:t>
      </w:r>
      <w:r w:rsidRPr="00795F17">
        <w:t xml:space="preserve">, dla których utrzymanie lub poprawa stanu wód jest ważnym czynnikiem w ich ochronie; </w:t>
      </w:r>
    </w:p>
    <w:p w14:paraId="71EFDD4D" w14:textId="77777777" w:rsidR="006F0E34" w:rsidRPr="00795F17" w:rsidRDefault="006F0E34" w:rsidP="00117E86">
      <w:pPr>
        <w:pStyle w:val="Listapunktowana2"/>
      </w:pPr>
      <w:r w:rsidRPr="00795F17">
        <w:t xml:space="preserve">obszarów przeznaczonych do ochrony gatunków zwierząt wodnych o znaczeniu gospodarczym. </w:t>
      </w:r>
    </w:p>
    <w:p w14:paraId="1A09BAFA" w14:textId="5EA06586" w:rsidR="006F0E34" w:rsidRPr="00795F17" w:rsidRDefault="006F0E34" w:rsidP="0044393D">
      <w:r w:rsidRPr="00795F17">
        <w:t>W Polsce pierwszy rejestr wykazów obszarów chronionych został sporządzony w 2003 r. Od tego czasu jest on poddawany przeglądowi i uaktualniany. Jego ostatnia aktualizacja miała miejsce w 2020 r.</w:t>
      </w:r>
      <w:r w:rsidRPr="00795F17">
        <w:rPr>
          <w:rStyle w:val="Odwoanieprzypisudolnego"/>
          <w:rFonts w:asciiTheme="minorHAnsi" w:eastAsiaTheme="minorHAnsi" w:hAnsiTheme="minorHAnsi" w:cs="Arial"/>
          <w:color w:val="000000"/>
        </w:rPr>
        <w:footnoteReference w:id="18"/>
      </w:r>
      <w:r w:rsidR="00BD3E23">
        <w:t>.</w:t>
      </w:r>
    </w:p>
    <w:p w14:paraId="0256C0CC" w14:textId="218F1A02" w:rsidR="006F0E34" w:rsidRPr="00795F17" w:rsidRDefault="006F0E34" w:rsidP="00A22ED2">
      <w:pPr>
        <w:pStyle w:val="Nagwek3"/>
      </w:pPr>
      <w:bookmarkStart w:id="93" w:name="_Toc105512633"/>
      <w:r w:rsidRPr="00795F17">
        <w:t xml:space="preserve">Jednolite części wód przeznaczone do poboru wody na potrzeby zaopatrzenia ludności w wodę przeznaczoną do spożycia przez ludzi, o których mowa w art. 71 </w:t>
      </w:r>
      <w:r w:rsidR="0071068B" w:rsidRPr="00795F17">
        <w:t xml:space="preserve">ustawy </w:t>
      </w:r>
      <w:r w:rsidR="0079397E">
        <w:t xml:space="preserve">– </w:t>
      </w:r>
      <w:r w:rsidR="0071068B" w:rsidRPr="00795F17">
        <w:t>Prawo wodne</w:t>
      </w:r>
      <w:bookmarkEnd w:id="93"/>
    </w:p>
    <w:p w14:paraId="552EF985" w14:textId="20FC59DC" w:rsidR="006F0E34" w:rsidRPr="00795F17" w:rsidRDefault="006F0E34" w:rsidP="0044393D">
      <w:r w:rsidRPr="00795F17">
        <w:t>Wykaz obszarów chronionych przeznaczonych do poboru wody na potrzeby zaopatrzenia ludności w</w:t>
      </w:r>
      <w:r w:rsidR="00907928" w:rsidRPr="00795F17">
        <w:t> </w:t>
      </w:r>
      <w:r w:rsidRPr="00795F17">
        <w:t xml:space="preserve">wodę przeznaczoną do spożycia przez ludzi w skali kraju zawiera łącznie 178 </w:t>
      </w:r>
      <w:r w:rsidR="00DF005E">
        <w:t>JCWP</w:t>
      </w:r>
      <w:r w:rsidRPr="00795F17">
        <w:t xml:space="preserve">, z czego 1 to </w:t>
      </w:r>
      <w:r w:rsidR="00DF005E">
        <w:t>JCWP</w:t>
      </w:r>
      <w:r w:rsidRPr="00795F17">
        <w:t xml:space="preserve"> LW, a pozostałych 177 to </w:t>
      </w:r>
      <w:r w:rsidR="00DF005E">
        <w:t>JCWP</w:t>
      </w:r>
      <w:r w:rsidRPr="00795F17">
        <w:t xml:space="preserve"> RW, w tym 18 </w:t>
      </w:r>
      <w:r w:rsidR="00DF005E">
        <w:t>JCWP</w:t>
      </w:r>
      <w:r w:rsidRPr="00795F17">
        <w:t xml:space="preserve"> RWr. Wszystkie </w:t>
      </w:r>
      <w:r w:rsidR="00DF005E">
        <w:t>JCWP</w:t>
      </w:r>
      <w:r w:rsidRPr="00795F17">
        <w:t>d w Polsce wskazane są jako przeznaczone do poboru wody na potrzeby zaopatrzenia ludności w wodę przeznaczoną do spożycia przez ludzi.</w:t>
      </w:r>
    </w:p>
    <w:p w14:paraId="062751FE" w14:textId="33C427F2" w:rsidR="006F0E34" w:rsidRPr="00795F17" w:rsidRDefault="006F0E34" w:rsidP="0044393D">
      <w:pPr>
        <w:rPr>
          <w:b/>
          <w:bCs/>
          <w:caps/>
        </w:rPr>
      </w:pPr>
      <w:r w:rsidRPr="00795F17">
        <w:t xml:space="preserve">W skali </w:t>
      </w:r>
      <w:r w:rsidR="004A2DD7" w:rsidRPr="00795F17">
        <w:t xml:space="preserve">obszaru </w:t>
      </w:r>
      <w:r w:rsidRPr="00795F17">
        <w:t>dorzecza Odry jcw uwzględnione w wykazie obszarów chronionych jako jcw przeznaczone do</w:t>
      </w:r>
      <w:r w:rsidR="007E2B51" w:rsidRPr="00795F17">
        <w:t> </w:t>
      </w:r>
      <w:r w:rsidRPr="00795F17">
        <w:t xml:space="preserve">poboru wody na potrzeby zaopatrzenia ludności w wodę przeznaczoną do spożycia przez ludzi, o których mowa w art. 71 pr.w., stanowią około 4% ogólnej liczby </w:t>
      </w:r>
      <w:r w:rsidR="00DF005E">
        <w:t>JCWP</w:t>
      </w:r>
      <w:r w:rsidRPr="00795F17">
        <w:t xml:space="preserve"> </w:t>
      </w:r>
      <w:r w:rsidR="004A2DD7" w:rsidRPr="00795F17">
        <w:t xml:space="preserve">obszaru </w:t>
      </w:r>
      <w:r w:rsidRPr="00795F17">
        <w:t xml:space="preserve">dorzecza Odry oraz 100% </w:t>
      </w:r>
      <w:r w:rsidR="00DF005E">
        <w:t>JCWP</w:t>
      </w:r>
      <w:r w:rsidRPr="00795F17">
        <w:t>d.</w:t>
      </w:r>
    </w:p>
    <w:p w14:paraId="2D812C41" w14:textId="52DB1FC7" w:rsidR="006F0E34" w:rsidRPr="00795F17" w:rsidRDefault="006F0E34" w:rsidP="0044393D">
      <w:r w:rsidRPr="00795F17">
        <w:t>Wykaz jcw przeznaczonych do poboru wody na potrzeby zaopatrzenia ludności w wodę przeznaczoną do spożycia przez ludzi, o których mowa w art. 71 pr.w., zawiera załącznik nr 1</w:t>
      </w:r>
      <w:r w:rsidR="004D0E15" w:rsidRPr="00795F17">
        <w:t xml:space="preserve"> (Zestawienie główne)</w:t>
      </w:r>
      <w:r w:rsidRPr="00795F17">
        <w:t>,</w:t>
      </w:r>
      <w:r w:rsidRPr="00795F17" w:rsidDel="008A43DE">
        <w:t xml:space="preserve"> </w:t>
      </w:r>
      <w:r w:rsidRPr="00795F17">
        <w:t xml:space="preserve">prezentujący szczegółowe informacje o poszczególnych jcw. </w:t>
      </w:r>
    </w:p>
    <w:p w14:paraId="4F8B8F2E" w14:textId="7D824E42" w:rsidR="006F0E34" w:rsidRPr="00795F17" w:rsidRDefault="006F0E34" w:rsidP="0044393D">
      <w:pPr>
        <w:rPr>
          <w:b/>
          <w:bCs/>
        </w:rPr>
      </w:pPr>
      <w:r w:rsidRPr="00795F17">
        <w:t xml:space="preserve">Lokalizację jcw przeznaczonych do poboru wody na potrzeby zaopatrzenia ludności w wodę przeznaczoną do spożycia przez ludzi na obszarze dorzecza Odry przedstawiono na mapie stanowiącej załącznik graficzny nr </w:t>
      </w:r>
      <w:r w:rsidR="00124F4B">
        <w:t>7</w:t>
      </w:r>
      <w:r w:rsidRPr="00795F17">
        <w:t xml:space="preserve"> do </w:t>
      </w:r>
      <w:r w:rsidR="007E2B51" w:rsidRPr="00795F17">
        <w:t>IIaPGW</w:t>
      </w:r>
      <w:r w:rsidRPr="00795F17">
        <w:t>.</w:t>
      </w:r>
    </w:p>
    <w:p w14:paraId="3800C22F" w14:textId="79B00DDA" w:rsidR="006F0E34" w:rsidRPr="00795F17" w:rsidRDefault="006F0E34" w:rsidP="00A22ED2">
      <w:pPr>
        <w:pStyle w:val="Nagwek3"/>
      </w:pPr>
      <w:bookmarkStart w:id="94" w:name="_Toc105512634"/>
      <w:r w:rsidRPr="00795F17">
        <w:t>Jednolite części wód przeznaczone do celów rekreacyjnych, w tym kąpieliskowych</w:t>
      </w:r>
      <w:bookmarkEnd w:id="94"/>
    </w:p>
    <w:p w14:paraId="10266330" w14:textId="475E769D" w:rsidR="006F0E34" w:rsidRPr="00795F17" w:rsidRDefault="006F0E34" w:rsidP="0044393D">
      <w:r w:rsidRPr="00795F17">
        <w:t>Wykaz obszarów chronionych przeznaczonych do celów rekreacyjnych</w:t>
      </w:r>
      <w:r w:rsidRPr="00795F17" w:rsidDel="008A43DE">
        <w:t xml:space="preserve"> </w:t>
      </w:r>
      <w:r w:rsidRPr="00795F17">
        <w:t xml:space="preserve">w skali kraju zawiera łącznie </w:t>
      </w:r>
      <w:r w:rsidR="00DF005E" w:rsidRPr="00795F17">
        <w:t>41</w:t>
      </w:r>
      <w:r w:rsidR="00DF005E">
        <w:t>1</w:t>
      </w:r>
      <w:r w:rsidR="00DF005E" w:rsidRPr="00795F17">
        <w:t xml:space="preserve"> </w:t>
      </w:r>
      <w:r w:rsidR="00DF005E">
        <w:t>JCWP</w:t>
      </w:r>
      <w:r w:rsidRPr="00795F17">
        <w:t>, w obrębie których w 2020</w:t>
      </w:r>
      <w:r w:rsidR="00BE447C" w:rsidRPr="00795F17">
        <w:t> </w:t>
      </w:r>
      <w:r w:rsidRPr="00795F17">
        <w:t xml:space="preserve">r. zostało zarejestrowanych </w:t>
      </w:r>
      <w:r w:rsidR="00DF005E">
        <w:t>602</w:t>
      </w:r>
      <w:r w:rsidR="00DF005E" w:rsidRPr="00795F17">
        <w:t xml:space="preserve"> </w:t>
      </w:r>
      <w:r w:rsidRPr="00795F17">
        <w:t>kąpielisk</w:t>
      </w:r>
      <w:r w:rsidR="00DF005E">
        <w:t>a</w:t>
      </w:r>
      <w:r w:rsidRPr="00795F17">
        <w:t>.</w:t>
      </w:r>
    </w:p>
    <w:p w14:paraId="2BB7E14F" w14:textId="7AD37E8D" w:rsidR="006F0E34" w:rsidRPr="00795F17" w:rsidRDefault="006F0E34" w:rsidP="0044393D">
      <w:r w:rsidRPr="00795F17">
        <w:t xml:space="preserve">Spośród wszystkich </w:t>
      </w:r>
      <w:r w:rsidR="00DF005E">
        <w:t>JCWP</w:t>
      </w:r>
      <w:r w:rsidRPr="00795F17">
        <w:t xml:space="preserve"> przeznaczonych na cele rekreacyjne, w tym kąpieliskowe, na obszarze dorzecza Odry występuje około 61% z nich.</w:t>
      </w:r>
    </w:p>
    <w:p w14:paraId="5D810E2A" w14:textId="1C4A6CDC" w:rsidR="00613B2D" w:rsidRDefault="006F0E34" w:rsidP="0044393D">
      <w:r w:rsidRPr="00795F17">
        <w:t>Wykaz jcw przeznaczonych do celów rekreacyjnych, w tym kąpieliskowych, zawiera załącznik nr 1</w:t>
      </w:r>
      <w:r w:rsidR="004D0E15" w:rsidRPr="00795F17">
        <w:t xml:space="preserve"> (Zestawienie główne)</w:t>
      </w:r>
      <w:r w:rsidRPr="00795F17">
        <w:t>, który prezentuje szczegółowe informacje o poszczególnych jcw. Lokalizację jcw przeznaczonych do celów rekreacyjnych, w tym kąpieliskowych, na obszarze dorzecza Odry przedstawiono na mapie</w:t>
      </w:r>
      <w:r w:rsidRPr="00795F17" w:rsidDel="008A43DE">
        <w:t xml:space="preserve"> </w:t>
      </w:r>
      <w:r w:rsidRPr="00795F17">
        <w:t xml:space="preserve">stanowiącej załącznik graficzny nr </w:t>
      </w:r>
      <w:r w:rsidR="00124F4B">
        <w:t>8</w:t>
      </w:r>
      <w:r w:rsidRPr="00795F17">
        <w:t xml:space="preserve"> do </w:t>
      </w:r>
      <w:r w:rsidR="00F01F15" w:rsidRPr="00795F17">
        <w:t>IIaPGW</w:t>
      </w:r>
      <w:r w:rsidRPr="00795F17">
        <w:t>.</w:t>
      </w:r>
    </w:p>
    <w:p w14:paraId="33046262" w14:textId="4D1533F9" w:rsidR="00E51484" w:rsidRDefault="00E51484">
      <w:pPr>
        <w:suppressAutoHyphens w:val="0"/>
        <w:spacing w:before="0" w:after="0"/>
        <w:jc w:val="left"/>
      </w:pPr>
      <w:r>
        <w:br w:type="page"/>
      </w:r>
    </w:p>
    <w:p w14:paraId="0FEFC1BB" w14:textId="44389E6E" w:rsidR="006F0E34" w:rsidRPr="00795F17" w:rsidRDefault="006F0E34" w:rsidP="00A22ED2">
      <w:pPr>
        <w:pStyle w:val="Nagwek3"/>
      </w:pPr>
      <w:bookmarkStart w:id="95" w:name="_Toc105512635"/>
      <w:r w:rsidRPr="00795F17">
        <w:t>Obszary wrażliwe na eutrofizację wywołaną zanieczyszczeniami pochodzącymi ze</w:t>
      </w:r>
      <w:r w:rsidR="00A8339B" w:rsidRPr="00795F17">
        <w:t> </w:t>
      </w:r>
      <w:r w:rsidRPr="00795F17">
        <w:t>źródeł komunalnych, rozumianą jako wzbogacanie wód biogenami, w</w:t>
      </w:r>
      <w:r w:rsidR="00A8339B" w:rsidRPr="00795F17">
        <w:t> </w:t>
      </w:r>
      <w:r w:rsidRPr="00795F17">
        <w:t>szczególności związkami azotu lub fosforu, powodującymi przyspieszony wzrost glonów oraz wyższych form życia roślinnego, w wyniku którego następują niepożądane zakłócenia biologicznych stosunków w środowisku wodnym oraz pogorszenie jakości tych wód</w:t>
      </w:r>
      <w:bookmarkEnd w:id="95"/>
    </w:p>
    <w:p w14:paraId="08770CD8" w14:textId="7CE3B70A" w:rsidR="0002015B" w:rsidRPr="00795F17" w:rsidRDefault="0002015B" w:rsidP="0044393D">
      <w:r w:rsidRPr="00795F17">
        <w:t xml:space="preserve">Wszystkie </w:t>
      </w:r>
      <w:r w:rsidR="00DF005E">
        <w:t>JCWP</w:t>
      </w:r>
      <w:r w:rsidRPr="00795F17">
        <w:t xml:space="preserve"> w Polsce (4</w:t>
      </w:r>
      <w:r w:rsidR="00DB2292" w:rsidRPr="00795F17">
        <w:t> </w:t>
      </w:r>
      <w:r w:rsidRPr="00795F17">
        <w:t xml:space="preserve">240 </w:t>
      </w:r>
      <w:r w:rsidR="00DF005E">
        <w:t>JCWP</w:t>
      </w:r>
      <w:r w:rsidRPr="00795F17">
        <w:t xml:space="preserve">) </w:t>
      </w:r>
      <w:r w:rsidR="00DB2292" w:rsidRPr="00795F17">
        <w:t xml:space="preserve">są </w:t>
      </w:r>
      <w:r w:rsidRPr="00795F17">
        <w:t>uznane za obszary chronione wrażliwe na eutrofizację ze</w:t>
      </w:r>
      <w:r w:rsidR="00DB2292" w:rsidRPr="00795F17">
        <w:t> </w:t>
      </w:r>
      <w:r w:rsidRPr="00795F17">
        <w:t>źródeł komunalnych</w:t>
      </w:r>
      <w:r w:rsidR="00BF599E">
        <w:t xml:space="preserve"> </w:t>
      </w:r>
      <w:r w:rsidR="00742730" w:rsidRPr="00C75B1E">
        <w:t>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r w:rsidR="00DB2292" w:rsidRPr="00795F17">
        <w:t>.</w:t>
      </w:r>
    </w:p>
    <w:p w14:paraId="0A66914F" w14:textId="2F8384D9" w:rsidR="006F0E34" w:rsidRPr="00795F17" w:rsidRDefault="006F0E34" w:rsidP="00A22ED2">
      <w:pPr>
        <w:pStyle w:val="Nagwek3"/>
      </w:pPr>
      <w:bookmarkStart w:id="96" w:name="_Toc105512636"/>
      <w:r w:rsidRPr="00795F17">
        <w:t>Obszary przeznaczone do ochrony siedlisk lub gatunków, o których mowa w</w:t>
      </w:r>
      <w:r w:rsidR="00A8339B" w:rsidRPr="00795F17">
        <w:t> </w:t>
      </w:r>
      <w:r w:rsidRPr="00795F17">
        <w:t>przepisach ustawy z dnia 16 kwietnia 2004 r. o ochronie przyrody, dla których utrzymanie lub poprawa stanu wód jest ważnym czynnikiem w ich ochronie</w:t>
      </w:r>
      <w:bookmarkEnd w:id="96"/>
    </w:p>
    <w:p w14:paraId="1BE135FB" w14:textId="0DF94219" w:rsidR="006F0E34" w:rsidRPr="00795F17" w:rsidRDefault="006F0E34" w:rsidP="0044393D">
      <w:r w:rsidRPr="00795F17">
        <w:t>Obszary chronione przeznaczone do ochrony siedlisk lub gatunków, włączone do wykazu obszarów, o</w:t>
      </w:r>
      <w:r w:rsidR="00A8339B" w:rsidRPr="00795F17">
        <w:t> </w:t>
      </w:r>
      <w:r w:rsidRPr="00795F17">
        <w:t xml:space="preserve">których mowa w art. 317 pr.w., stanowią wyłącznie obszary przeznaczone do ochrony siedlisk lub gatunków silnie związanych z wodami. Tereny te objęte są różną formą ochrony według u.o.p. Spośród tych obszarów wyróżnia się: należące do sieci Natura 2000, parki narodowe, rezerwaty przyrody, parki krajobrazowe oraz obszary chronionego krajobrazu. </w:t>
      </w:r>
    </w:p>
    <w:p w14:paraId="29E08D17" w14:textId="2E69837D" w:rsidR="006F0E34" w:rsidRPr="00795F17" w:rsidRDefault="006F0E34" w:rsidP="0044393D">
      <w:r w:rsidRPr="00795F17">
        <w:t xml:space="preserve">Łącznie na obszarze dorzecza Odry występuje </w:t>
      </w:r>
      <w:r w:rsidR="00E4591E" w:rsidRPr="00795F17">
        <w:t>2 </w:t>
      </w:r>
      <w:r w:rsidR="0052599D">
        <w:t>84</w:t>
      </w:r>
      <w:r w:rsidR="00E4591E" w:rsidRPr="00795F17">
        <w:t>0</w:t>
      </w:r>
      <w:r w:rsidRPr="00795F17">
        <w:t xml:space="preserve"> obszarów chronionych włączonych do</w:t>
      </w:r>
      <w:r w:rsidR="00A8339B" w:rsidRPr="00795F17">
        <w:t> </w:t>
      </w:r>
      <w:r w:rsidRPr="00795F17">
        <w:t>wykazu obszarów</w:t>
      </w:r>
      <w:r w:rsidR="005E2E8B">
        <w:t>,</w:t>
      </w:r>
      <w:r w:rsidRPr="00795F17">
        <w:t xml:space="preserve"> o którym mowa w art. 317 pr.w., w tym: parki narodowe </w:t>
      </w:r>
      <w:r w:rsidR="000F21F2">
        <w:t>–</w:t>
      </w:r>
      <w:r w:rsidRPr="00795F17">
        <w:t xml:space="preserve"> 6, parki krajobrazowe </w:t>
      </w:r>
      <w:r w:rsidR="000F21F2">
        <w:t>–</w:t>
      </w:r>
      <w:r w:rsidRPr="00795F17">
        <w:t xml:space="preserve"> 4</w:t>
      </w:r>
      <w:r w:rsidR="0066506F">
        <w:t>6</w:t>
      </w:r>
      <w:r w:rsidRPr="00795F17">
        <w:t xml:space="preserve">, obszary chronionego krajobrazu </w:t>
      </w:r>
      <w:r w:rsidR="000F21F2">
        <w:t>–</w:t>
      </w:r>
      <w:r w:rsidRPr="00795F17">
        <w:t xml:space="preserve"> 1</w:t>
      </w:r>
      <w:r w:rsidR="005005D6">
        <w:t>4</w:t>
      </w:r>
      <w:r w:rsidR="006606A1" w:rsidRPr="00795F17">
        <w:t>2</w:t>
      </w:r>
      <w:r w:rsidRPr="00795F17">
        <w:t xml:space="preserve">, rezerwaty przyrody </w:t>
      </w:r>
      <w:r w:rsidR="000F21F2">
        <w:t>–</w:t>
      </w:r>
      <w:r w:rsidRPr="00795F17">
        <w:t xml:space="preserve"> </w:t>
      </w:r>
      <w:r w:rsidR="006606A1" w:rsidRPr="00795F17">
        <w:t>29</w:t>
      </w:r>
      <w:r w:rsidR="005005D6">
        <w:t>2</w:t>
      </w:r>
      <w:r w:rsidRPr="00795F17">
        <w:t xml:space="preserve">, zespoły przyrodniczo-krajobrazowe </w:t>
      </w:r>
      <w:r w:rsidR="000F21F2">
        <w:t>–</w:t>
      </w:r>
      <w:r w:rsidRPr="00795F17">
        <w:t xml:space="preserve"> </w:t>
      </w:r>
      <w:r w:rsidR="005005D6">
        <w:t>94</w:t>
      </w:r>
      <w:r w:rsidRPr="00795F17">
        <w:t xml:space="preserve">, Natura 2000 </w:t>
      </w:r>
      <w:r w:rsidR="000F21F2">
        <w:t>–</w:t>
      </w:r>
      <w:r w:rsidRPr="00795F17">
        <w:t xml:space="preserve"> </w:t>
      </w:r>
      <w:r w:rsidR="0081307F">
        <w:t>294</w:t>
      </w:r>
      <w:r w:rsidRPr="00795F17">
        <w:t>, użytki ekologiczne</w:t>
      </w:r>
      <w:r w:rsidR="00E4591E" w:rsidRPr="00795F17">
        <w:t xml:space="preserve"> </w:t>
      </w:r>
      <w:r w:rsidR="000F21F2">
        <w:t>–</w:t>
      </w:r>
      <w:r w:rsidRPr="00795F17">
        <w:t xml:space="preserve"> </w:t>
      </w:r>
      <w:r w:rsidR="006606A1" w:rsidRPr="00795F17">
        <w:t>1 9</w:t>
      </w:r>
      <w:r w:rsidR="008975CD">
        <w:t>33</w:t>
      </w:r>
      <w:r w:rsidRPr="00795F17">
        <w:t xml:space="preserve">, </w:t>
      </w:r>
      <w:r w:rsidR="00CD40F1" w:rsidRPr="00795F17">
        <w:t xml:space="preserve">pomniki przyrody </w:t>
      </w:r>
      <w:r w:rsidR="000F21F2">
        <w:t>–</w:t>
      </w:r>
      <w:r w:rsidR="00CD40F1" w:rsidRPr="00795F17">
        <w:t xml:space="preserve"> 29, </w:t>
      </w:r>
      <w:r w:rsidRPr="00795F17">
        <w:t xml:space="preserve">stanowiska dokumentacyjne przyrody nieożywionej </w:t>
      </w:r>
      <w:r w:rsidR="000F21F2">
        <w:t>–</w:t>
      </w:r>
      <w:r w:rsidRPr="00795F17">
        <w:t xml:space="preserve"> </w:t>
      </w:r>
      <w:r w:rsidR="003F3EB5" w:rsidRPr="00795F17">
        <w:t>4</w:t>
      </w:r>
      <w:r w:rsidRPr="00795F17">
        <w:t>.</w:t>
      </w:r>
    </w:p>
    <w:p w14:paraId="5D2EDB0F" w14:textId="4CEB8D02" w:rsidR="00CE4132" w:rsidRPr="00795F17" w:rsidRDefault="00CE4132" w:rsidP="00CE4132">
      <w:pPr>
        <w:widowControl w:val="0"/>
        <w:autoSpaceDE w:val="0"/>
        <w:autoSpaceDN w:val="0"/>
        <w:adjustRightInd w:val="0"/>
        <w:ind w:right="57"/>
        <w:rPr>
          <w:rFonts w:asciiTheme="minorHAnsi" w:eastAsiaTheme="minorHAnsi" w:hAnsiTheme="minorHAnsi" w:cs="Arial"/>
          <w:color w:val="000000"/>
        </w:rPr>
      </w:pPr>
      <w:r w:rsidRPr="007E4F20">
        <w:rPr>
          <w:rFonts w:asciiTheme="minorHAnsi" w:eastAsiaTheme="minorHAnsi" w:hAnsiTheme="minorHAnsi" w:cs="Arial"/>
          <w:color w:val="000000"/>
        </w:rPr>
        <w:t xml:space="preserve">Liczba </w:t>
      </w:r>
      <w:r w:rsidR="00DF005E">
        <w:rPr>
          <w:rFonts w:asciiTheme="minorHAnsi" w:eastAsiaTheme="minorHAnsi" w:hAnsiTheme="minorHAnsi" w:cs="Arial"/>
          <w:color w:val="000000"/>
        </w:rPr>
        <w:t>JCWP</w:t>
      </w:r>
      <w:r w:rsidR="00E71727" w:rsidRPr="007E4F20">
        <w:rPr>
          <w:rFonts w:asciiTheme="minorHAnsi" w:eastAsiaTheme="minorHAnsi" w:hAnsiTheme="minorHAnsi" w:cs="Arial"/>
          <w:color w:val="000000"/>
        </w:rPr>
        <w:t>,</w:t>
      </w:r>
      <w:r w:rsidRPr="007E4F20">
        <w:rPr>
          <w:rFonts w:asciiTheme="minorHAnsi" w:eastAsiaTheme="minorHAnsi" w:hAnsiTheme="minorHAnsi" w:cs="Arial"/>
          <w:color w:val="000000"/>
        </w:rPr>
        <w:t xml:space="preserve"> w obrębie których występują obszary chronione na obszarze dorzecza Odry wynosi: </w:t>
      </w:r>
      <w:r w:rsidR="00675C4C" w:rsidRPr="007E4F20">
        <w:rPr>
          <w:rFonts w:asciiTheme="minorHAnsi" w:eastAsiaTheme="minorHAnsi" w:hAnsiTheme="minorHAnsi" w:cs="Arial"/>
          <w:color w:val="000000"/>
        </w:rPr>
        <w:t>1 487.</w:t>
      </w:r>
    </w:p>
    <w:p w14:paraId="269179F5" w14:textId="3A881345" w:rsidR="006F0E34" w:rsidRPr="00795F17" w:rsidRDefault="006F0E34" w:rsidP="0044393D">
      <w:r w:rsidRPr="00795F17">
        <w:t xml:space="preserve">Wykaz obszarów chronionych do ochrony siedlisk lub gatunków, o których mowa w przepisach </w:t>
      </w:r>
      <w:r w:rsidR="00D250A4">
        <w:t>u.o.p.</w:t>
      </w:r>
      <w:r w:rsidRPr="00795F17">
        <w:t>, dla których utrzymanie lub poprawa stanu wód jest ważnym czynnikiem w ich ochronie,</w:t>
      </w:r>
      <w:r w:rsidRPr="00795F17">
        <w:rPr>
          <w:b/>
          <w:bCs/>
        </w:rPr>
        <w:t xml:space="preserve"> </w:t>
      </w:r>
      <w:r w:rsidR="00064AE0">
        <w:t>prezentuje załącznik</w:t>
      </w:r>
      <w:r w:rsidRPr="00795F17">
        <w:t xml:space="preserve"> nr </w:t>
      </w:r>
      <w:r w:rsidR="001E3BDE">
        <w:t>2</w:t>
      </w:r>
      <w:r w:rsidRPr="00795F17">
        <w:t xml:space="preserve"> </w:t>
      </w:r>
      <w:r w:rsidR="00374717" w:rsidRPr="00795F17">
        <w:t>(Wykaz o</w:t>
      </w:r>
      <w:r w:rsidR="00CC7945" w:rsidRPr="00795F17">
        <w:t>bszarów chronionych</w:t>
      </w:r>
      <w:r w:rsidR="00396CF7" w:rsidRPr="00795F17">
        <w:t xml:space="preserve"> SiG</w:t>
      </w:r>
      <w:r w:rsidR="00CC7945" w:rsidRPr="00795F17">
        <w:t>)</w:t>
      </w:r>
      <w:r w:rsidRPr="00795F17">
        <w:t xml:space="preserve"> do</w:t>
      </w:r>
      <w:r w:rsidR="00C02E30" w:rsidRPr="00795F17">
        <w:t> IIaPGW</w:t>
      </w:r>
      <w:r w:rsidRPr="00795F17">
        <w:t>.</w:t>
      </w:r>
    </w:p>
    <w:p w14:paraId="3600743C" w14:textId="7617FF49" w:rsidR="006F0E34" w:rsidRPr="00795F17" w:rsidRDefault="006F0E34" w:rsidP="0044393D">
      <w:r w:rsidRPr="00795F17">
        <w:rPr>
          <w:rFonts w:cs="Arial"/>
        </w:rPr>
        <w:t xml:space="preserve">Wskazania występowania obszarów dokonano również w </w:t>
      </w:r>
      <w:r w:rsidRPr="00795F17">
        <w:t>załączniku nr 1</w:t>
      </w:r>
      <w:r w:rsidR="00561CA6" w:rsidRPr="00795F17">
        <w:t xml:space="preserve"> (Zestawienie główne)</w:t>
      </w:r>
      <w:r w:rsidRPr="00795F17">
        <w:t xml:space="preserve">, który prezentuje szczegółowe informacje o poszczególnych jcw. </w:t>
      </w:r>
    </w:p>
    <w:p w14:paraId="4A77FF88" w14:textId="296D05E5" w:rsidR="006F0E34" w:rsidRPr="00795F17" w:rsidRDefault="006F0E34" w:rsidP="0044393D">
      <w:pPr>
        <w:rPr>
          <w:b/>
          <w:bCs/>
        </w:rPr>
      </w:pPr>
      <w:r w:rsidRPr="00795F17">
        <w:t>Położeni</w:t>
      </w:r>
      <w:r w:rsidR="00951ACF">
        <w:t>e</w:t>
      </w:r>
      <w:r w:rsidRPr="00795F17">
        <w:t xml:space="preserve"> i </w:t>
      </w:r>
      <w:r w:rsidR="00951ACF">
        <w:t>przebieg</w:t>
      </w:r>
      <w:r w:rsidRPr="00795F17">
        <w:t xml:space="preserve"> granic obszarów chronionych przedstawiono na mapie stanowiącej załącznik graficzny nr </w:t>
      </w:r>
      <w:r w:rsidR="00147A62">
        <w:t>9</w:t>
      </w:r>
      <w:r w:rsidRPr="00795F17">
        <w:t xml:space="preserve"> do </w:t>
      </w:r>
      <w:r w:rsidR="00E62C12" w:rsidRPr="00795F17">
        <w:t>IIaPGW</w:t>
      </w:r>
      <w:r w:rsidRPr="00795F17">
        <w:t>.</w:t>
      </w:r>
    </w:p>
    <w:p w14:paraId="7892E729" w14:textId="207F8845" w:rsidR="006F0E34" w:rsidRPr="00795F17" w:rsidRDefault="006F0E34" w:rsidP="00A22ED2">
      <w:pPr>
        <w:pStyle w:val="Nagwek3"/>
      </w:pPr>
      <w:bookmarkStart w:id="97" w:name="_Toc105512637"/>
      <w:r w:rsidRPr="00795F17">
        <w:t>Obszary przeznaczone do ochrony gatunków zwierząt wodnych o znaczeniu gospodarczym</w:t>
      </w:r>
      <w:bookmarkEnd w:id="97"/>
    </w:p>
    <w:p w14:paraId="74A0F85E" w14:textId="3A20F071" w:rsidR="00E8611F" w:rsidRDefault="00462FDC" w:rsidP="00E8611F">
      <w:r>
        <w:t>R.g.z.w.</w:t>
      </w:r>
      <w:r w:rsidR="00E8611F">
        <w:t xml:space="preserve"> określiło jako gatunki zwierząt wodnych o znaczeniu gospodarczym:</w:t>
      </w:r>
    </w:p>
    <w:p w14:paraId="5E652A01" w14:textId="592F53BA" w:rsidR="00E8611F" w:rsidRPr="001237C6" w:rsidRDefault="00E8611F" w:rsidP="005635FD">
      <w:pPr>
        <w:pStyle w:val="Listapunktowana2"/>
        <w:numPr>
          <w:ilvl w:val="0"/>
          <w:numId w:val="122"/>
        </w:numPr>
      </w:pPr>
      <w:r>
        <w:t>troć wędrowną (</w:t>
      </w:r>
      <w:r w:rsidRPr="005842B5">
        <w:rPr>
          <w:rStyle w:val="Wyrnieniedelikatne"/>
        </w:rPr>
        <w:t>Salmo trutta m. trutta</w:t>
      </w:r>
      <w:r w:rsidRPr="00982555">
        <w:t>)</w:t>
      </w:r>
      <w:r w:rsidR="00982555">
        <w:t>,</w:t>
      </w:r>
    </w:p>
    <w:p w14:paraId="6A094BF1" w14:textId="77777777" w:rsidR="00E8611F" w:rsidRDefault="00E8611F" w:rsidP="005635FD">
      <w:pPr>
        <w:pStyle w:val="Listapunktowana2"/>
        <w:numPr>
          <w:ilvl w:val="0"/>
          <w:numId w:val="122"/>
        </w:numPr>
      </w:pPr>
      <w:r>
        <w:t xml:space="preserve">węgorza </w:t>
      </w:r>
      <w:r w:rsidRPr="001237C6">
        <w:t>europejski</w:t>
      </w:r>
      <w:r>
        <w:t>ego</w:t>
      </w:r>
      <w:r w:rsidRPr="001237C6">
        <w:t xml:space="preserve"> (</w:t>
      </w:r>
      <w:r w:rsidRPr="005842B5">
        <w:rPr>
          <w:rStyle w:val="Wyrnieniedelikatne"/>
        </w:rPr>
        <w:t>Anguilla anguilla</w:t>
      </w:r>
      <w:r w:rsidRPr="001237C6">
        <w:t>)</w:t>
      </w:r>
    </w:p>
    <w:p w14:paraId="5587B17D" w14:textId="3F3FE02E" w:rsidR="00E8611F" w:rsidRPr="00982555" w:rsidRDefault="00E8611F" w:rsidP="00982555">
      <w:r>
        <w:t>określając jednocześnie ci</w:t>
      </w:r>
      <w:r w:rsidRPr="001237C6">
        <w:t xml:space="preserve">ek lub jego odcinek przeznaczony do ochrony </w:t>
      </w:r>
      <w:r>
        <w:t>danego gatunku, obejmujący jeziora w biegu cieku. W przypadku obszarów przeznaczonych do ochrony troci wędrownej wyłączone z obszarów zostały zbiorniki i jeziora kończące dany obszar oraz jeziora źródliskowe. W przypadku węgorza europejskiego, z uwagi na cykl rozwojowy węgorza, do obszarów przeznaczonych do ochrony tego gatunku włączane są również zbiorniki i jeziora rozpoczynające dany obszar.</w:t>
      </w:r>
    </w:p>
    <w:p w14:paraId="51B0E0FA" w14:textId="67F92601" w:rsidR="00E8611F" w:rsidRPr="00DA53C5" w:rsidRDefault="00E8611F" w:rsidP="00E8611F">
      <w:r w:rsidRPr="00795F17">
        <w:t xml:space="preserve">Wykaz obszarów chronionych przeznaczonych do </w:t>
      </w:r>
      <w:r>
        <w:t xml:space="preserve">ochrony gatunków zwierząt wodnych o znaczeniu gospodarczym w skali </w:t>
      </w:r>
      <w:r w:rsidRPr="00DA53C5">
        <w:t xml:space="preserve">obszaru dorzecza </w:t>
      </w:r>
      <w:r w:rsidR="0006115A">
        <w:t>Odry</w:t>
      </w:r>
      <w:r w:rsidR="0006115A" w:rsidRPr="00DA53C5">
        <w:t xml:space="preserve"> </w:t>
      </w:r>
      <w:r w:rsidRPr="00DA53C5">
        <w:t>zawiera łącznie:</w:t>
      </w:r>
    </w:p>
    <w:p w14:paraId="3E2AB55D" w14:textId="182F92E9" w:rsidR="005C6E8F" w:rsidRPr="00982555" w:rsidRDefault="005C6E8F" w:rsidP="005635FD">
      <w:pPr>
        <w:pStyle w:val="Listapunktowana2"/>
        <w:numPr>
          <w:ilvl w:val="0"/>
          <w:numId w:val="123"/>
        </w:numPr>
      </w:pPr>
      <w:r w:rsidRPr="00982555">
        <w:t>77 obszarów przeznaczonych do ochrony troci wędrownej obejmujących 12</w:t>
      </w:r>
      <w:r w:rsidR="007E7A2B" w:rsidRPr="00982555">
        <w:t>0</w:t>
      </w:r>
      <w:r w:rsidRPr="00982555">
        <w:t xml:space="preserve"> jeziora i </w:t>
      </w:r>
      <w:r w:rsidR="00462FDC">
        <w:t> </w:t>
      </w:r>
      <w:r w:rsidRPr="00982555">
        <w:t>zbiorniki (znajdujące się na ciekach</w:t>
      </w:r>
      <w:bookmarkStart w:id="98" w:name="_Hlk83604072"/>
      <w:r w:rsidRPr="005842B5">
        <w:rPr>
          <w:rStyle w:val="Odwoanieprzypisudolnego"/>
        </w:rPr>
        <w:footnoteReference w:id="19"/>
      </w:r>
      <w:bookmarkEnd w:id="98"/>
      <w:r w:rsidRPr="00982555">
        <w:t xml:space="preserve">). Obszary występują w obrębie: 150 </w:t>
      </w:r>
      <w:r w:rsidR="00DF005E">
        <w:t>JCWP</w:t>
      </w:r>
      <w:r w:rsidRPr="00982555">
        <w:t xml:space="preserve"> RW i 2 TW, 32 </w:t>
      </w:r>
      <w:r w:rsidR="00DF005E">
        <w:t>JCWP</w:t>
      </w:r>
      <w:r w:rsidRPr="00982555">
        <w:t xml:space="preserve"> LW oraz 4 </w:t>
      </w:r>
      <w:r w:rsidR="00DF005E">
        <w:t>JCWP</w:t>
      </w:r>
      <w:r w:rsidRPr="00982555">
        <w:t xml:space="preserve"> RWr,</w:t>
      </w:r>
    </w:p>
    <w:p w14:paraId="077C7D11" w14:textId="43E3C78A" w:rsidR="005C6E8F" w:rsidRPr="00982555" w:rsidRDefault="005C6E8F" w:rsidP="005635FD">
      <w:pPr>
        <w:pStyle w:val="Listapunktowana2"/>
        <w:numPr>
          <w:ilvl w:val="0"/>
          <w:numId w:val="123"/>
        </w:numPr>
      </w:pPr>
      <w:r w:rsidRPr="00982555">
        <w:t xml:space="preserve">17 obszarów przeznaczonych do ochrony węgorza europejskiego obejmujących 80 jezior i </w:t>
      </w:r>
      <w:r w:rsidR="00982555">
        <w:t> </w:t>
      </w:r>
      <w:r w:rsidRPr="00982555">
        <w:t>zbiorników (znajdujących się na ciekach</w:t>
      </w:r>
      <w:bookmarkStart w:id="99" w:name="_Hlk83604089"/>
      <w:r w:rsidRPr="005842B5">
        <w:rPr>
          <w:rStyle w:val="Odwoanieprzypisudolnego"/>
        </w:rPr>
        <w:footnoteReference w:id="20"/>
      </w:r>
      <w:bookmarkEnd w:id="99"/>
      <w:r w:rsidRPr="005842B5">
        <w:rPr>
          <w:vertAlign w:val="superscript"/>
        </w:rPr>
        <w:t>)</w:t>
      </w:r>
      <w:r w:rsidRPr="00982555">
        <w:t xml:space="preserve">. Obszary występują w obrębie 50 </w:t>
      </w:r>
      <w:r w:rsidR="00DF005E">
        <w:t>JCWP</w:t>
      </w:r>
      <w:r w:rsidRPr="00982555">
        <w:t xml:space="preserve"> RW, 2 </w:t>
      </w:r>
      <w:r w:rsidR="00DF005E">
        <w:t>JCWP</w:t>
      </w:r>
      <w:r w:rsidRPr="00982555">
        <w:t xml:space="preserve"> TW oraz 41 </w:t>
      </w:r>
      <w:r w:rsidR="00DF005E">
        <w:t>JCWP</w:t>
      </w:r>
      <w:r w:rsidRPr="00982555">
        <w:t xml:space="preserve"> LW.</w:t>
      </w:r>
    </w:p>
    <w:p w14:paraId="20834FD7" w14:textId="50EB95B6" w:rsidR="00E8611F" w:rsidRPr="00795F17" w:rsidRDefault="00E8611F" w:rsidP="00E8611F">
      <w:r w:rsidRPr="00795F17">
        <w:t xml:space="preserve">Wykaz obszarów chronionych przeznaczonych do </w:t>
      </w:r>
      <w:r>
        <w:t>ochrony gatunków zwierząt wodnych o znaczeniu gospodarczym</w:t>
      </w:r>
      <w:r w:rsidRPr="00795F17">
        <w:t xml:space="preserve">, o których mowa </w:t>
      </w:r>
      <w:r>
        <w:t xml:space="preserve">w </w:t>
      </w:r>
      <w:r>
        <w:rPr>
          <w:lang w:eastAsia="pl-PL"/>
        </w:rPr>
        <w:t>r.g.z.w.</w:t>
      </w:r>
      <w:r w:rsidRPr="00726F25">
        <w:rPr>
          <w:b/>
          <w:bCs/>
        </w:rPr>
        <w:t xml:space="preserve"> </w:t>
      </w:r>
      <w:r w:rsidR="00064AE0">
        <w:t>prezentuje załącznik</w:t>
      </w:r>
      <w:r w:rsidRPr="00795F17">
        <w:t xml:space="preserve"> nr </w:t>
      </w:r>
      <w:r w:rsidR="008F5CDF">
        <w:t>3</w:t>
      </w:r>
      <w:r>
        <w:t xml:space="preserve"> do IIaPGW</w:t>
      </w:r>
      <w:r w:rsidRPr="00795F17">
        <w:t>.</w:t>
      </w:r>
      <w:r>
        <w:t xml:space="preserve"> </w:t>
      </w:r>
    </w:p>
    <w:p w14:paraId="689AA5EC" w14:textId="77777777" w:rsidR="00E8611F" w:rsidRPr="00795F17" w:rsidRDefault="00E8611F" w:rsidP="00E8611F">
      <w:r w:rsidRPr="00726F25">
        <w:rPr>
          <w:rFonts w:cs="Arial"/>
        </w:rPr>
        <w:t xml:space="preserve">Wskazania występowania obszarów dokonane zostały również w </w:t>
      </w:r>
      <w:r w:rsidRPr="00795F17">
        <w:t xml:space="preserve">załączniku nr 1 </w:t>
      </w:r>
      <w:r>
        <w:t xml:space="preserve">IIaPGW </w:t>
      </w:r>
      <w:r w:rsidRPr="00795F17">
        <w:t xml:space="preserve">(Zestawienie główne), który prezentuje szczegółowe informacje o poszczególnych jcw. </w:t>
      </w:r>
    </w:p>
    <w:p w14:paraId="5139BD13" w14:textId="0016BFC7" w:rsidR="006F0E34" w:rsidRPr="00795F17" w:rsidRDefault="00E8611F" w:rsidP="0044393D">
      <w:r>
        <w:t xml:space="preserve">Zobrazowanie przestrzenne obszarów przeznaczonych do ochrony gatunków zwierząt wodnych o </w:t>
      </w:r>
      <w:r w:rsidR="00982555">
        <w:t> </w:t>
      </w:r>
      <w:r>
        <w:t xml:space="preserve">znaczeniu gospodarczym prezentuje załącznik </w:t>
      </w:r>
      <w:r w:rsidRPr="00C56B5A">
        <w:t>graficzny nr</w:t>
      </w:r>
      <w:r>
        <w:t xml:space="preserve"> </w:t>
      </w:r>
      <w:r w:rsidR="00147A62">
        <w:t>10</w:t>
      </w:r>
      <w:r>
        <w:t>.</w:t>
      </w:r>
    </w:p>
    <w:p w14:paraId="1D1B6C77" w14:textId="23105D79" w:rsidR="0028798B" w:rsidRPr="00795F17" w:rsidRDefault="0028798B" w:rsidP="0044393D">
      <w:r w:rsidRPr="00795F17">
        <w:br w:type="page"/>
      </w:r>
    </w:p>
    <w:p w14:paraId="64769242" w14:textId="37436C45" w:rsidR="005B46BB" w:rsidRPr="00795F17" w:rsidRDefault="005B46BB" w:rsidP="00BA6B41">
      <w:pPr>
        <w:pStyle w:val="Nagwek1"/>
      </w:pPr>
      <w:bookmarkStart w:id="100" w:name="_Toc51050198"/>
      <w:bookmarkStart w:id="101" w:name="_Toc66272267"/>
      <w:bookmarkStart w:id="102" w:name="_Toc66347794"/>
      <w:bookmarkStart w:id="103" w:name="_Toc105512638"/>
      <w:r w:rsidRPr="00795F17">
        <w:t>Informacje dotyczące prognozowanych zmian klimatu</w:t>
      </w:r>
      <w:bookmarkEnd w:id="100"/>
      <w:bookmarkEnd w:id="101"/>
      <w:bookmarkEnd w:id="102"/>
      <w:bookmarkEnd w:id="103"/>
    </w:p>
    <w:p w14:paraId="6EABDE2C" w14:textId="58D3DE08" w:rsidR="00421F1B" w:rsidRPr="00795F17" w:rsidRDefault="00421F1B" w:rsidP="0044393D">
      <w:r w:rsidRPr="00795F17">
        <w:t>Zasadniczo prognozy zmian klimatu dla Polski w ujęciu regionalnym Europy Środkowej wskazują następujące zbieżne przestrzennie tendencje zmian krótkoterminowych (na najbliższe 10 lat, do 2030 r.) oraz długoterminowych (do końca wiek</w:t>
      </w:r>
      <w:r w:rsidR="0072616D">
        <w:t>u)</w:t>
      </w:r>
      <w:r w:rsidR="00E62C12" w:rsidRPr="00795F17">
        <w:rPr>
          <w:rStyle w:val="Odwoanieprzypisudolnego"/>
          <w:rFonts w:asciiTheme="minorHAnsi" w:hAnsiTheme="minorHAnsi"/>
        </w:rPr>
        <w:footnoteReference w:id="21"/>
      </w:r>
      <w:r w:rsidRPr="00795F17">
        <w:t>:</w:t>
      </w:r>
    </w:p>
    <w:p w14:paraId="527742AE" w14:textId="6975673B" w:rsidR="00421F1B" w:rsidRPr="00795F17" w:rsidRDefault="00421F1B" w:rsidP="001F565A">
      <w:pPr>
        <w:pStyle w:val="Numerowanie"/>
      </w:pPr>
      <w:r w:rsidRPr="00795F17">
        <w:t>W stosunku do okresu 1970</w:t>
      </w:r>
      <w:r w:rsidR="000F21F2">
        <w:t>–</w:t>
      </w:r>
      <w:r w:rsidRPr="00795F17">
        <w:t>2000 obserwowane są niekorzystne zmiany klimatu, ale</w:t>
      </w:r>
      <w:r w:rsidR="00317AA7">
        <w:t> </w:t>
      </w:r>
      <w:r w:rsidRPr="00795F17">
        <w:t>ich</w:t>
      </w:r>
      <w:r w:rsidR="00317AA7">
        <w:t> </w:t>
      </w:r>
      <w:r w:rsidRPr="00795F17">
        <w:t>zaawansowanie (częstość, częstotliwość oraz przyrost wartości w stosunku do danych bazowych) nie ma obecnie charakteru znacząco odmiennego od występującego w okresie 2016</w:t>
      </w:r>
      <w:r w:rsidR="000F21F2">
        <w:t>–</w:t>
      </w:r>
      <w:r w:rsidRPr="00795F17">
        <w:t>2021. Istotne odczuwalne różnice prognozowane są od połowy XXI w.</w:t>
      </w:r>
    </w:p>
    <w:p w14:paraId="4446016D" w14:textId="580636F2" w:rsidR="00421F1B" w:rsidRPr="00795F17" w:rsidRDefault="00421F1B" w:rsidP="0044393D">
      <w:pPr>
        <w:pStyle w:val="Numerowanie"/>
      </w:pPr>
      <w:r w:rsidRPr="00795F17">
        <w:t>Następuje powolny przyrost średniej rocznej temperatury powietrza, ale w najbliższym dziesięcioleciu zmiana ta nie będzie istotnie wyższa od obserwowanej w okresie 2016</w:t>
      </w:r>
      <w:r w:rsidR="000F21F2">
        <w:t>–</w:t>
      </w:r>
      <w:r w:rsidRPr="00795F17">
        <w:t>2021.</w:t>
      </w:r>
    </w:p>
    <w:p w14:paraId="4CB181DF" w14:textId="77777777" w:rsidR="00421F1B" w:rsidRPr="00795F17" w:rsidRDefault="00421F1B" w:rsidP="0044393D">
      <w:pPr>
        <w:pStyle w:val="Numerowanie"/>
      </w:pPr>
      <w:r w:rsidRPr="00795F17">
        <w:t>Prognozowany jest wzrost liczby dni z temperaturą powyżej 25°C.</w:t>
      </w:r>
    </w:p>
    <w:p w14:paraId="50D02898" w14:textId="0176CD11" w:rsidR="00421F1B" w:rsidRPr="00795F17" w:rsidRDefault="00421F1B" w:rsidP="0044393D">
      <w:pPr>
        <w:pStyle w:val="Numerowanie"/>
      </w:pPr>
      <w:r w:rsidRPr="00795F17">
        <w:t xml:space="preserve">Prognozowany jest spadek liczby dni z temperaturą poniżej 0°C; tu zmiany są relatywnie najszybsze </w:t>
      </w:r>
      <w:r w:rsidR="000F21F2">
        <w:t>–</w:t>
      </w:r>
      <w:r w:rsidRPr="00795F17">
        <w:t xml:space="preserve"> ocieplanie się sezonu chłodnego jest już zauważalne.</w:t>
      </w:r>
    </w:p>
    <w:p w14:paraId="5CB22E3A" w14:textId="77777777" w:rsidR="00421F1B" w:rsidRPr="00795F17" w:rsidRDefault="00421F1B" w:rsidP="0044393D">
      <w:pPr>
        <w:pStyle w:val="Numerowanie"/>
      </w:pPr>
      <w:r w:rsidRPr="00795F17">
        <w:t>Prognozowane jest stopniowe wydłużanie się czasu trwania okresu wegetacyjnego.</w:t>
      </w:r>
    </w:p>
    <w:p w14:paraId="3AA44D33" w14:textId="77777777" w:rsidR="00421F1B" w:rsidRPr="00795F17" w:rsidRDefault="00421F1B" w:rsidP="0044393D">
      <w:pPr>
        <w:pStyle w:val="Numerowanie"/>
      </w:pPr>
      <w:r w:rsidRPr="00795F17">
        <w:t>Prognozowany jest wzrost częstości występowania wiatru o dużych prędkościach (trąby powietrzne, porywiste wiatry towarzyszące gwałtownym opadom atmosferycznym o charakterze konwekcyjnym).</w:t>
      </w:r>
    </w:p>
    <w:p w14:paraId="4C32671B" w14:textId="00340128" w:rsidR="00421F1B" w:rsidRPr="00795F17" w:rsidRDefault="00421F1B" w:rsidP="0044393D">
      <w:pPr>
        <w:pStyle w:val="Numerowanie"/>
      </w:pPr>
      <w:r w:rsidRPr="00795F17">
        <w:t>Sumy roczne opadów nie będą znacząco odmienne od warunków historycznych okresu 1970</w:t>
      </w:r>
      <w:r w:rsidR="000F21F2">
        <w:t>–</w:t>
      </w:r>
      <w:r w:rsidRPr="00795F17">
        <w:t>2000 (przewidywany jest wzrost nie przekraczający 5% dotychczasowej średniej sumy rocznej), ale prognozowany jest przyrost letniej sumy opadów przy zmniejszaniu się opadów zimowych.</w:t>
      </w:r>
    </w:p>
    <w:p w14:paraId="44AA5EE2" w14:textId="77777777" w:rsidR="00421F1B" w:rsidRPr="00795F17" w:rsidRDefault="00421F1B" w:rsidP="0044393D">
      <w:pPr>
        <w:pStyle w:val="Numerowanie"/>
      </w:pPr>
      <w:r w:rsidRPr="00795F17">
        <w:t>W konsekwencji przyrostu średniej temperatury powietrza okresu chłodnego spodziewany jest spadek liczby dni z opadami śniegu oraz czasu utrzymywania się pokrywy śnieżnej.</w:t>
      </w:r>
    </w:p>
    <w:p w14:paraId="5706E967" w14:textId="661D18AC" w:rsidR="00421F1B" w:rsidRPr="00795F17" w:rsidRDefault="00421F1B" w:rsidP="0044393D">
      <w:pPr>
        <w:pStyle w:val="Numerowanie"/>
      </w:pPr>
      <w:r w:rsidRPr="00795F17">
        <w:t xml:space="preserve">Prognozowana jest zmiana charakteru opadów </w:t>
      </w:r>
      <w:r w:rsidR="000F21F2">
        <w:t>–</w:t>
      </w:r>
      <w:r w:rsidRPr="00795F17">
        <w:t xml:space="preserve"> wzrost częstości występowania krótkotrwałych intensywnych opadów (opady konwekcyjne), powyżej 10 mm na dobę. Jednocześnie prognozy wskazują na tendencję przyrostu czasu trwania okresu wilgotnego (opady &gt;1 mm/doba).</w:t>
      </w:r>
    </w:p>
    <w:p w14:paraId="3F350470" w14:textId="054860B9" w:rsidR="00421F1B" w:rsidRPr="00795F17" w:rsidRDefault="00421F1B" w:rsidP="0044393D">
      <w:pPr>
        <w:pStyle w:val="Numerowanie"/>
      </w:pPr>
      <w:r w:rsidRPr="00795F17">
        <w:t xml:space="preserve">Zmiana rozkładu i charakteru opadów w czasie </w:t>
      </w:r>
      <w:r w:rsidR="000F21F2">
        <w:t>–</w:t>
      </w:r>
      <w:r w:rsidRPr="00795F17">
        <w:t xml:space="preserve"> wzrost częstości występowania suszy atmosferycznej, a w konsekwencji prawdopodobny wzrost częstości występowania oraz przyrost czasu trwania suszy glebowej (deficyt wody w glebie), </w:t>
      </w:r>
      <w:bookmarkStart w:id="104" w:name="_Hlk61360284"/>
      <w:r w:rsidRPr="00795F17">
        <w:t>przy czym ważne jest zastrzeżenie, że prognozowana liczba dni z opadem równym i większym niż 1 mm na dobę ma tendencję do wydłużania się. Wynika z tego, że opady o niskiej dobowej sumie niezaspokajające potrzeb wodnych środowiska nie będą mieć istotnego wpływu na bilans zasobów wód</w:t>
      </w:r>
      <w:bookmarkEnd w:id="104"/>
      <w:r w:rsidRPr="00795F17">
        <w:t>.</w:t>
      </w:r>
    </w:p>
    <w:p w14:paraId="6FF8055E" w14:textId="6ABFA495" w:rsidR="00421F1B" w:rsidRPr="00795F17" w:rsidRDefault="00421F1B" w:rsidP="0044393D">
      <w:pPr>
        <w:pStyle w:val="Numerowanie"/>
      </w:pPr>
      <w:r w:rsidRPr="00795F17">
        <w:t>Z przeprowadzonych badań PIG-PIB wynika, że zasoby wód podziemnych nie reagują deficytem na wahania warunków klimatycznych i generalną tendencję zmian klimatu</w:t>
      </w:r>
      <w:r w:rsidRPr="00795F17">
        <w:rPr>
          <w:rStyle w:val="Odwoanieprzypisudolnego"/>
          <w:rFonts w:cstheme="minorBidi"/>
        </w:rPr>
        <w:footnoteReference w:id="22"/>
      </w:r>
      <w:r w:rsidRPr="00795F17">
        <w:t>. W</w:t>
      </w:r>
      <w:r w:rsidR="00764C6F">
        <w:t> </w:t>
      </w:r>
      <w:r w:rsidRPr="00795F17">
        <w:t>najbliższym cyklu planistycznym nie należy oczekiwać zmian zasobów dyspozycyjnych.</w:t>
      </w:r>
    </w:p>
    <w:p w14:paraId="18F2C855" w14:textId="3F500634" w:rsidR="00421F1B" w:rsidRPr="00795F17" w:rsidRDefault="00421F1B" w:rsidP="0044393D">
      <w:r w:rsidRPr="00795F17">
        <w:t>W prognozach średnio- i długoterminowych warunków klimatycznych w projektach KLIMADA 2.0 oraz CHASE-PL 2017 ujawniają się typowe dla warunków historycznych oraz współczesnych krótkookresowe 4</w:t>
      </w:r>
      <w:r w:rsidR="00764C6F">
        <w:t> </w:t>
      </w:r>
      <w:r w:rsidRPr="00795F17">
        <w:t>-</w:t>
      </w:r>
      <w:r w:rsidR="00764C6F">
        <w:t> </w:t>
      </w:r>
      <w:r w:rsidRPr="00795F17">
        <w:t>6-letnie cykle wahań parametrów klimatu (m.in. temperatury powietrza i sumy opadów). W</w:t>
      </w:r>
      <w:r w:rsidR="00FB7DD2" w:rsidRPr="00795F17">
        <w:t> </w:t>
      </w:r>
      <w:r w:rsidRPr="00795F17">
        <w:t>przyszłości należy się spodziewać dużego zróżnicowania warunków pogodowych i</w:t>
      </w:r>
      <w:r w:rsidR="00D24395" w:rsidRPr="00795F17">
        <w:t xml:space="preserve"> </w:t>
      </w:r>
      <w:r w:rsidRPr="00795F17">
        <w:t>klimatycznych rok do roku. W odróżnieniu od warunków okresu 1970</w:t>
      </w:r>
      <w:r w:rsidR="000F21F2">
        <w:t>–</w:t>
      </w:r>
      <w:r w:rsidRPr="00795F17">
        <w:t>2000, prognozowana przyszłość wyraźnie wskazuje wzrost częstości warunków pogody skrajnej. Oznacza to duże zróżnicowanie warunków funkcjonowania ekosystemów wodnych i od wód zależnych, w zależności od</w:t>
      </w:r>
      <w:r w:rsidR="00D24395" w:rsidRPr="00795F17">
        <w:t xml:space="preserve"> </w:t>
      </w:r>
      <w:r w:rsidRPr="00795F17">
        <w:t>dostępnych na bieżąco zasobów wód powierzchniowych.</w:t>
      </w:r>
    </w:p>
    <w:p w14:paraId="34FC2EFC" w14:textId="5689E802" w:rsidR="00421F1B" w:rsidRPr="00795F17" w:rsidRDefault="00421F1B" w:rsidP="0044393D">
      <w:r w:rsidRPr="00795F17">
        <w:t>Z punktu widzenia procesów biologicznych przebiegających w wodach powierzchniowych, prognozowany przyrost średniej rocznej temperatury powietrza oraz postępujące wydłużanie okresu wegetacyjnego będzie z dużym prawdopodobieństwem mieć znaczący wpływ na procesy składowe eutrofizacji. Należy oczekiwać, że przyrost temperatury wód powierzchniowych jako konsekwencja wzrostu temperatury powietrza oraz zmiany np. w zlodzeniu (w tym zanik zlodzenia) będą wpływać na</w:t>
      </w:r>
      <w:r w:rsidR="00FB7DD2" w:rsidRPr="00795F17">
        <w:t> </w:t>
      </w:r>
      <w:r w:rsidRPr="00795F17">
        <w:t>zwiększenie masy organizmów wodnych. Z kolei wysoce prawdopodobne zwiększenie parowania z wód otwartych będzie skutkować przyrostem stężeń substancji chemicznych i fizykochemicznych w wodach, w tym substancji aktywnie wpływających na przyspieszenie procesu eutrofizacji.</w:t>
      </w:r>
    </w:p>
    <w:p w14:paraId="49A345AC" w14:textId="1C1BBBCC" w:rsidR="00421F1B" w:rsidRPr="00795F17" w:rsidRDefault="00421F1B" w:rsidP="0044393D">
      <w:r w:rsidRPr="00795F17">
        <w:t>Prognozy zasobów wód powierzchniowych dla obszaru dorzecza Odry, wykonane w ramach modelowania CHASE-PL 2017, wskazują na co najmniej brak różnicy w zasobach wód powierzchniowych per saldo dla wielolecia modelowania 2024</w:t>
      </w:r>
      <w:r w:rsidR="000F21F2">
        <w:t>–</w:t>
      </w:r>
      <w:r w:rsidRPr="00795F17">
        <w:t>2050, tj. bliskiej przyszłości, oraz 2074</w:t>
      </w:r>
      <w:r w:rsidR="000F21F2">
        <w:t>–</w:t>
      </w:r>
      <w:r w:rsidRPr="00795F17">
        <w:t>2100, tj. dalekiej przyszłości. Wskazywana jest natomiast tendencja do przyrostu wartości przepływów średnich, co będzie wynikiem zmiany natężenia opadów. Prognozowane występowanie w</w:t>
      </w:r>
      <w:r w:rsidR="00BE447C" w:rsidRPr="00795F17">
        <w:t> </w:t>
      </w:r>
      <w:r w:rsidRPr="00795F17">
        <w:t>przyszłości krótkich, ale intensywnych opadów będzie skutkować przyrostem liczby wezbrań, co</w:t>
      </w:r>
      <w:r w:rsidR="00FB7DD2" w:rsidRPr="00795F17">
        <w:t> </w:t>
      </w:r>
      <w:r w:rsidRPr="00795F17">
        <w:t xml:space="preserve">statystycznie będzie powodować przyrost przepływu średniego. W zakresie zasobów wód podziemnych wyniki analiz wieloletniej zmienności stanów wód podziemnych w zakresie płytkiego oraz użytkowego </w:t>
      </w:r>
      <w:r w:rsidR="00034177" w:rsidRPr="00795F17">
        <w:t>poziomu</w:t>
      </w:r>
      <w:r w:rsidRPr="00795F17">
        <w:t xml:space="preserve"> wodonośnego prowadzonych przez PIG-PIB wskazują, że aktualnie zmiany klimatu nie wpływają zauważalnie na wody podziemne w bilansie zasobów dyspozycyjnych. Zmiany zasobów są</w:t>
      </w:r>
      <w:r w:rsidR="008D2AF0" w:rsidRPr="00795F17">
        <w:t xml:space="preserve"> </w:t>
      </w:r>
      <w:r w:rsidRPr="00795F17">
        <w:t>wynikiem długookresowych fluktuacji oraz ich eksploatacji na cele gospodarcze. Stwierdzone naturalne fluktuacje zasobów nie wpływają na dostępność wód podziemnych dla</w:t>
      </w:r>
      <w:r w:rsidR="0002451C" w:rsidRPr="00795F17">
        <w:t> </w:t>
      </w:r>
      <w:r w:rsidRPr="00795F17">
        <w:t>użytkowników.</w:t>
      </w:r>
    </w:p>
    <w:p w14:paraId="17B4C64E" w14:textId="77FF18FB" w:rsidR="00421F1B" w:rsidRPr="00795F17" w:rsidRDefault="00421F1B" w:rsidP="0044393D">
      <w:r w:rsidRPr="00795F17">
        <w:t xml:space="preserve">Dla obszaru dorzecza Odry typowe jest duże zróżnicowanie warunków przyrodniczych </w:t>
      </w:r>
      <w:r w:rsidR="00B26B86">
        <w:t xml:space="preserve">wpływających na </w:t>
      </w:r>
      <w:r w:rsidRPr="00795F17">
        <w:t>kształtowani</w:t>
      </w:r>
      <w:r w:rsidR="00B26B86">
        <w:t>e</w:t>
      </w:r>
      <w:r w:rsidRPr="00795F17">
        <w:t xml:space="preserve"> lokalnej zmienności i natężenia zmian klimatu. Położony w</w:t>
      </w:r>
      <w:r w:rsidR="000A2AAF">
        <w:t> </w:t>
      </w:r>
      <w:r w:rsidRPr="00795F17">
        <w:t>zachodniej części kraju obszar dorzecza jest eksponowany na napływ mas powietrza atlantyckiego, a cechy klimatu mają charakter bliższy morskiemu/oceanicznemu niż przejściowemu</w:t>
      </w:r>
      <w:r w:rsidRPr="00795F17">
        <w:rPr>
          <w:vertAlign w:val="superscript"/>
        </w:rPr>
        <w:footnoteReference w:id="23"/>
      </w:r>
      <w:r w:rsidRPr="00795F17">
        <w:t>. Pod względem warunków obiegu wody oraz cech klimatu jako odrębne należy wyróżnić: (1) obszar gór i przedgórza Sudetów, (2) obszar nizinno-pojezierny środkowej Polski oraz (3) Pobrzeża Południowobałtyckie. Podział ten koresponduje z podziałem na regiony wodne.</w:t>
      </w:r>
    </w:p>
    <w:p w14:paraId="0D286A9E" w14:textId="106E42E2" w:rsidR="00421F1B" w:rsidRPr="00795F17" w:rsidRDefault="00421F1B" w:rsidP="0044393D">
      <w:r w:rsidRPr="00795F17">
        <w:t xml:space="preserve">Charakterystykę zmian klimatu na poziomie przestrzennym regionów wodnych przeprowadzono na podstawie dostępnych wyników najnowszego modelowania zmian klimatu w projekcie KLIMADA 2.0, wspierająco </w:t>
      </w:r>
      <w:r w:rsidR="000F21F2">
        <w:t>–</w:t>
      </w:r>
      <w:r w:rsidRPr="00795F17">
        <w:t xml:space="preserve"> dla obszarów zurbanizowanych - wykorzystano dane na temat prognozowanych zmian klimatu dla obszarów miejskich, dostępne w ramach opracowania Ministerstwa Środowiska </w:t>
      </w:r>
      <w:r w:rsidRPr="00795F17">
        <w:rPr>
          <w:i/>
          <w:iCs/>
        </w:rPr>
        <w:t>Miejskie plany adaptacji do zmian klimatu</w:t>
      </w:r>
      <w:r w:rsidRPr="00795F17">
        <w:t xml:space="preserve"> (2018).</w:t>
      </w:r>
    </w:p>
    <w:p w14:paraId="628EDF6D" w14:textId="6F6C839C" w:rsidR="00421F1B" w:rsidRPr="00795F17" w:rsidRDefault="00421F1B" w:rsidP="0044393D">
      <w:r w:rsidRPr="00795F17">
        <w:t>Narażenie na czynniki klimatyczne</w:t>
      </w:r>
      <w:r w:rsidRPr="00795F17">
        <w:rPr>
          <w:rStyle w:val="Odwoanieprzypisudolnego"/>
          <w:rFonts w:asciiTheme="minorHAnsi" w:hAnsiTheme="minorHAnsi" w:cstheme="minorBidi"/>
        </w:rPr>
        <w:footnoteReference w:id="24"/>
      </w:r>
      <w:r w:rsidRPr="00795F17">
        <w:rPr>
          <w:rFonts w:eastAsiaTheme="minorEastAsia"/>
        </w:rPr>
        <w:t xml:space="preserve"> </w:t>
      </w:r>
      <w:r w:rsidRPr="00795F17">
        <w:t xml:space="preserve">jest dla obszaru dorzecza Odry w zasadzie jednorodne </w:t>
      </w:r>
      <w:r w:rsidR="006F4AAB">
        <w:t>–</w:t>
      </w:r>
      <w:r w:rsidRPr="00795F17">
        <w:t xml:space="preserve"> można zauważyć przyrost liczby dni z ekstremalnie wysoką temperaturą oraz przyrost liczby dni opadów o ekstremalnym natężeniu. W porównaniu do wschodniej części kraju spodziewany jest mniejszy wpływ zmian klimatu na gospodarkę wodną </w:t>
      </w:r>
      <w:r w:rsidR="000F21F2">
        <w:t>–</w:t>
      </w:r>
      <w:r w:rsidRPr="00795F17">
        <w:t xml:space="preserve"> różnica między warunkami współczesnymi a prognozowanymi nie będzie tak istotnie różna na koniec wieku.</w:t>
      </w:r>
    </w:p>
    <w:p w14:paraId="1E1E4300" w14:textId="77777777" w:rsidR="00421F1B" w:rsidRPr="00795F17" w:rsidRDefault="00421F1B" w:rsidP="0044393D">
      <w:pPr>
        <w:pStyle w:val="Nagwek5"/>
      </w:pPr>
      <w:r w:rsidRPr="00795F17">
        <w:t>Region wodny Górnej Odry</w:t>
      </w:r>
    </w:p>
    <w:p w14:paraId="09FD07C8" w14:textId="3101DC9A" w:rsidR="00421F1B" w:rsidRPr="00795F17" w:rsidRDefault="00421F1B" w:rsidP="0044393D">
      <w:r w:rsidRPr="00795F17">
        <w:t xml:space="preserve">Region jest relatywnie niewielki powierzchniowo </w:t>
      </w:r>
      <w:r w:rsidR="000F21F2">
        <w:t>–</w:t>
      </w:r>
      <w:r w:rsidRPr="00795F17">
        <w:t xml:space="preserve"> obejmuje źródłowe odcinki bezpośrednich dopływów Odry niskiego rzędu w strukturze hydrograficznej. Z punktu widzenia zmian klimatu najważniejsze cechy zestawiono w tabeli </w:t>
      </w:r>
      <w:r w:rsidR="003C4376" w:rsidRPr="00795F17">
        <w:t>4-1</w:t>
      </w:r>
      <w:r w:rsidRPr="00795F17">
        <w:t>. Obszar wyróżnia się specyficznymi warunkami klimatycznymi oraz obiegiem wody generowanym przez ukształtowanie powierzchni zawierającej się między pasmem Sudetów na zachodzie, a pasmem Karpat na wschodzie. Czas trwania okresów wilgotnych i suchych zgodnie z prognozami pozostaje bardzo zbliżony do aktualnego. Jest</w:t>
      </w:r>
      <w:r w:rsidR="00FB7DD2" w:rsidRPr="00795F17">
        <w:t> </w:t>
      </w:r>
      <w:r w:rsidRPr="00795F17">
        <w:t xml:space="preserve">to najchłodniejszy region na obszarze dorzecza, </w:t>
      </w:r>
      <w:bookmarkStart w:id="105" w:name="_Hlk61457341"/>
      <w:r w:rsidRPr="00795F17">
        <w:t>ale w krótkim horyzoncie prognoz przewiduje się stabilne warunki termiczne</w:t>
      </w:r>
      <w:bookmarkEnd w:id="105"/>
      <w:r w:rsidRPr="00795F17">
        <w:t xml:space="preserve">. </w:t>
      </w:r>
      <w:bookmarkStart w:id="106" w:name="_Hlk61457311"/>
      <w:r w:rsidRPr="00795F17">
        <w:t>Warunki termiczne skrajnie chłodne również nie będą wykazywały znaczącej zmiany w przyszłości. Stwierdza się jednak tendencję do zwiększenia się liczby dni gorących. Przyrost średniej temperatury powietrza chłodnej pory roku spowoduje skrócenie okresu występowania pokrywy śnieżnej, przesunięcie w czasie (wydłużenie) możliwości występowania opadów deszczu oraz prawdopodobnie wcześniejsze występowanie typowego dla regionu wezbrania roztopowego. Dla okresu ciepłego charakterystyczne będą przyrost liczby dni z wyższą temperaturą powietrza oraz spadek amplitudy temperatury powietrza okresu ciepłego.</w:t>
      </w:r>
    </w:p>
    <w:p w14:paraId="4B2040A6" w14:textId="2F78CD33" w:rsidR="00421F1B" w:rsidRPr="00795F17" w:rsidRDefault="00421F1B" w:rsidP="0044393D">
      <w:r w:rsidRPr="00795F17">
        <w:t>Ekspozycja regionalna decyduje o dwóch przyczynach szybko wzbudzanych wezbrań na lokalnych ciekach: (1) doliny śródgórskie wymuszają wstępującą cyrkulację powietrza, co przy prognozowanych wyższych temperaturach powietrza w okresie ciepłym będzie sprzyjać tworzeniu (proces jest</w:t>
      </w:r>
      <w:r w:rsidR="007B2488">
        <w:t> </w:t>
      </w:r>
      <w:r w:rsidRPr="00795F17">
        <w:t xml:space="preserve">zauważalny) warunków do formowania opadów letnich typu konwekcyjnego; (2) równie typowe są opady o charakterze rozlewnym, obejmujące swoim zasięgiem cały region </w:t>
      </w:r>
      <w:r w:rsidR="000F21F2">
        <w:t>–</w:t>
      </w:r>
      <w:r w:rsidRPr="00795F17">
        <w:t xml:space="preserve"> nie bez znaczenia dla gospodarki wodnej jest tu położenie górnego odcinka Odry na obszarze Czech, o cechach ukształtowania terenu sprzyjającym formowaniu wezbrań opadowych. Z dużym prawdopodobieństwem będzie to stwarzało lokalne zagrożenie występowania błyskawicznych powodzi górskich, a z uwagi na niską retencyjność podłoża formujące się w tych warunkach wezbrania regionalne będą sięgać aż na obszar przedgórza.</w:t>
      </w:r>
    </w:p>
    <w:p w14:paraId="2F5CF49A" w14:textId="77777777" w:rsidR="00421F1B" w:rsidRPr="00795F17" w:rsidRDefault="00421F1B" w:rsidP="0044393D">
      <w:r w:rsidRPr="00795F17">
        <w:t>Dodatkowym elementem modyfikującym niekorzystnie warunki obiegu wody jest wysoki stopień zurbanizowania i uprzemysłowienia regionu, szczególnie w jego wschodniej części. Występują tu skumulowane konsekwencje silnego przekształcenia środowiska, kształtujące parametry cech meteorologicznych i klimatycznych typowe dla tzw. miejskiej wyspy ciepła. Następuje wówczas przede wszystkim wyostrzenie ekstremalnych warunków klimatu w zakresie:</w:t>
      </w:r>
    </w:p>
    <w:p w14:paraId="1C2078B0" w14:textId="4864DB6B" w:rsidR="00421F1B" w:rsidRPr="00795F17" w:rsidRDefault="00421F1B" w:rsidP="005635FD">
      <w:pPr>
        <w:pStyle w:val="Listapunktowana2"/>
        <w:numPr>
          <w:ilvl w:val="0"/>
          <w:numId w:val="121"/>
        </w:numPr>
      </w:pPr>
      <w:r w:rsidRPr="00795F17">
        <w:t xml:space="preserve">czasu trwania maksymalnej temperatury powietrza </w:t>
      </w:r>
      <w:r w:rsidR="000F21F2">
        <w:t>–</w:t>
      </w:r>
      <w:r w:rsidRPr="00795F17">
        <w:t xml:space="preserve"> wydłużenie nawet o kilka dni w</w:t>
      </w:r>
      <w:r w:rsidR="005F75B4" w:rsidRPr="00795F17">
        <w:t> </w:t>
      </w:r>
      <w:r w:rsidRPr="00795F17">
        <w:t>porównaniu do obszaru niezurbanizowanego;</w:t>
      </w:r>
    </w:p>
    <w:p w14:paraId="24C2A904" w14:textId="77777777" w:rsidR="00421F1B" w:rsidRPr="00795F17" w:rsidRDefault="00421F1B" w:rsidP="005635FD">
      <w:pPr>
        <w:pStyle w:val="Listapunktowana2"/>
        <w:numPr>
          <w:ilvl w:val="0"/>
          <w:numId w:val="121"/>
        </w:numPr>
      </w:pPr>
      <w:r w:rsidRPr="00795F17">
        <w:t>występowania, częstości i sum opadów: większa częstość, wyższa nawet do 10% suma opadów, rzadsze i krótsze okresy bezopadowe;</w:t>
      </w:r>
    </w:p>
    <w:p w14:paraId="5ADAD751" w14:textId="77777777" w:rsidR="00421F1B" w:rsidRPr="00795F17" w:rsidRDefault="00421F1B" w:rsidP="005635FD">
      <w:pPr>
        <w:pStyle w:val="Listapunktowana2"/>
        <w:numPr>
          <w:ilvl w:val="0"/>
          <w:numId w:val="121"/>
        </w:numPr>
      </w:pPr>
      <w:r w:rsidRPr="00795F17">
        <w:t>wyższego zachmurzenia oraz częstszego występowania mgieł i zamglenia, w szczególności o charakterze smogu;</w:t>
      </w:r>
    </w:p>
    <w:p w14:paraId="1883289A" w14:textId="36DDFA83" w:rsidR="00421F1B" w:rsidRPr="00795F17" w:rsidRDefault="00421F1B" w:rsidP="005635FD">
      <w:pPr>
        <w:pStyle w:val="Listapunktowana2"/>
        <w:numPr>
          <w:ilvl w:val="0"/>
          <w:numId w:val="121"/>
        </w:numPr>
      </w:pPr>
      <w:r w:rsidRPr="00795F17">
        <w:t>wyższej średniej temperatury powietrza, wyraźnie cieplejszej chłodnej pory roku, wydłużonego nawet do 3</w:t>
      </w:r>
      <w:r w:rsidR="00CD41A5">
        <w:t xml:space="preserve"> </w:t>
      </w:r>
      <w:r w:rsidRPr="00795F17">
        <w:t>-</w:t>
      </w:r>
      <w:r w:rsidR="00CD41A5">
        <w:t xml:space="preserve"> </w:t>
      </w:r>
      <w:r w:rsidRPr="00795F17">
        <w:t>5 dni okresu wegetacyjnego.</w:t>
      </w:r>
    </w:p>
    <w:p w14:paraId="7AB95E2E" w14:textId="35EC747F" w:rsidR="00421F1B" w:rsidRPr="00795F17" w:rsidRDefault="00421F1B" w:rsidP="004D7705">
      <w:pPr>
        <w:pStyle w:val="Tabela"/>
      </w:pPr>
      <w:bookmarkStart w:id="107" w:name="_Toc66341851"/>
      <w:bookmarkStart w:id="108" w:name="_Toc105512760"/>
      <w:bookmarkEnd w:id="106"/>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1F774D">
        <w:rPr>
          <w:bCs/>
          <w:noProof/>
        </w:rPr>
        <w:t>4</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1F774D">
        <w:rPr>
          <w:bCs/>
          <w:noProof/>
        </w:rPr>
        <w:t>1</w:t>
      </w:r>
      <w:r w:rsidR="00BB3B21" w:rsidRPr="00795F17">
        <w:rPr>
          <w:bCs/>
        </w:rPr>
        <w:fldChar w:fldCharType="end"/>
      </w:r>
      <w:r w:rsidR="00BA11D4">
        <w:rPr>
          <w:bCs/>
        </w:rPr>
        <w:t>.</w:t>
      </w:r>
      <w:r w:rsidRPr="00795F17">
        <w:rPr>
          <w:bCs/>
        </w:rPr>
        <w:tab/>
      </w:r>
      <w:r w:rsidRPr="00795F17">
        <w:t xml:space="preserve">Charakterystyka klimatyczna </w:t>
      </w:r>
      <w:r w:rsidR="000F21F2">
        <w:t>–</w:t>
      </w:r>
      <w:r w:rsidR="000F21F2" w:rsidRPr="00795F17">
        <w:t xml:space="preserve"> </w:t>
      </w:r>
      <w:r w:rsidRPr="00795F17">
        <w:t xml:space="preserve">obszar dorzecza Odry </w:t>
      </w:r>
      <w:r w:rsidR="000F21F2">
        <w:t>–</w:t>
      </w:r>
      <w:r w:rsidRPr="00795F17">
        <w:t xml:space="preserve"> region wodny Górnej Odry</w:t>
      </w:r>
      <w:bookmarkEnd w:id="107"/>
      <w:bookmarkEnd w:id="108"/>
    </w:p>
    <w:tbl>
      <w:tblPr>
        <w:tblW w:w="5056" w:type="pct"/>
        <w:tblLayout w:type="fixed"/>
        <w:tblCellMar>
          <w:left w:w="70" w:type="dxa"/>
          <w:right w:w="70" w:type="dxa"/>
        </w:tblCellMar>
        <w:tblLook w:val="04A0" w:firstRow="1" w:lastRow="0" w:firstColumn="1" w:lastColumn="0" w:noHBand="0" w:noVBand="1"/>
      </w:tblPr>
      <w:tblGrid>
        <w:gridCol w:w="1846"/>
        <w:gridCol w:w="1569"/>
        <w:gridCol w:w="836"/>
        <w:gridCol w:w="1585"/>
        <w:gridCol w:w="821"/>
        <w:gridCol w:w="1560"/>
        <w:gridCol w:w="946"/>
      </w:tblGrid>
      <w:tr w:rsidR="00421F1B" w:rsidRPr="00795F17" w14:paraId="62B66DAC" w14:textId="77777777" w:rsidTr="00BD6510">
        <w:trPr>
          <w:cantSplit/>
          <w:trHeight w:val="1837"/>
          <w:tblHeader/>
        </w:trPr>
        <w:tc>
          <w:tcPr>
            <w:tcW w:w="100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45EFA6E" w14:textId="77777777" w:rsidR="00421F1B" w:rsidRPr="00795F17" w:rsidRDefault="00421F1B" w:rsidP="0044393D">
            <w:pPr>
              <w:pStyle w:val="Teksttabelinaglowek"/>
            </w:pPr>
            <w:r w:rsidRPr="00795F17">
              <w:t>Czynnik</w:t>
            </w:r>
          </w:p>
        </w:tc>
        <w:tc>
          <w:tcPr>
            <w:tcW w:w="85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3ABA2135" w14:textId="4B8C00B4" w:rsidR="00421F1B" w:rsidRPr="00795F17" w:rsidRDefault="00421F1B" w:rsidP="00195E00">
            <w:pPr>
              <w:pStyle w:val="Teksttabelinaglowek"/>
              <w:ind w:left="57"/>
              <w:jc w:val="left"/>
            </w:pPr>
            <w:r w:rsidRPr="00795F17">
              <w:t>Skala zjawiska w</w:t>
            </w:r>
            <w:r w:rsidR="00C6225B">
              <w:t> </w:t>
            </w:r>
            <w:r w:rsidRPr="00795F17">
              <w:t xml:space="preserve">bieżącym cyklu planistycznym </w:t>
            </w:r>
          </w:p>
        </w:tc>
        <w:tc>
          <w:tcPr>
            <w:tcW w:w="456"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1198C087" w14:textId="77777777" w:rsidR="00421F1B" w:rsidRPr="00795F17" w:rsidRDefault="00421F1B" w:rsidP="00195E00">
            <w:pPr>
              <w:pStyle w:val="Teksttabelinaglowek"/>
              <w:ind w:left="57"/>
              <w:jc w:val="left"/>
            </w:pPr>
            <w:r w:rsidRPr="00795F17">
              <w:t>Dotychczasowe narażenie</w:t>
            </w:r>
          </w:p>
        </w:tc>
        <w:tc>
          <w:tcPr>
            <w:tcW w:w="865"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2C1EBF74" w14:textId="77777777" w:rsidR="00421F1B" w:rsidRPr="00795F17" w:rsidRDefault="00421F1B" w:rsidP="00195E00">
            <w:pPr>
              <w:pStyle w:val="Teksttabelinaglowek"/>
              <w:ind w:left="57"/>
              <w:jc w:val="left"/>
            </w:pPr>
            <w:r w:rsidRPr="00795F17">
              <w:t>Zmiany klimatu do 2030 r.</w:t>
            </w:r>
          </w:p>
        </w:tc>
        <w:tc>
          <w:tcPr>
            <w:tcW w:w="448"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32A398C3" w14:textId="77777777" w:rsidR="00421F1B" w:rsidRPr="00795F17" w:rsidRDefault="00421F1B" w:rsidP="00195E00">
            <w:pPr>
              <w:pStyle w:val="Teksttabelinaglowek"/>
              <w:ind w:left="57"/>
              <w:jc w:val="left"/>
            </w:pPr>
            <w:r w:rsidRPr="00795F17">
              <w:t xml:space="preserve">Przyszłe narażenie </w:t>
            </w:r>
            <w:r w:rsidRPr="00795F17">
              <w:br/>
              <w:t>(do 2030 r.)</w:t>
            </w:r>
          </w:p>
        </w:tc>
        <w:tc>
          <w:tcPr>
            <w:tcW w:w="85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49283F97" w14:textId="77777777" w:rsidR="00421F1B" w:rsidRPr="00795F17" w:rsidRDefault="00421F1B" w:rsidP="00195E00">
            <w:pPr>
              <w:pStyle w:val="Teksttabelinaglowek"/>
              <w:ind w:left="57"/>
              <w:jc w:val="left"/>
            </w:pPr>
            <w:r w:rsidRPr="00795F17">
              <w:t>Zmiany klimatu do 2100 r.</w:t>
            </w:r>
          </w:p>
        </w:tc>
        <w:tc>
          <w:tcPr>
            <w:tcW w:w="516"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281C5A06" w14:textId="77777777" w:rsidR="00421F1B" w:rsidRPr="00795F17" w:rsidRDefault="00421F1B" w:rsidP="00195E00">
            <w:pPr>
              <w:pStyle w:val="Teksttabelinaglowek"/>
              <w:ind w:left="57"/>
              <w:jc w:val="left"/>
            </w:pPr>
            <w:r w:rsidRPr="00795F17">
              <w:t xml:space="preserve">Przyszłe narażenie </w:t>
            </w:r>
            <w:r w:rsidRPr="00795F17">
              <w:br/>
              <w:t>(do 2100 r.)</w:t>
            </w:r>
          </w:p>
        </w:tc>
      </w:tr>
      <w:tr w:rsidR="00421F1B" w:rsidRPr="00795F17" w14:paraId="2CADA14C" w14:textId="77777777" w:rsidTr="00195E00">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0B9A42FE" w14:textId="77777777" w:rsidR="00421F1B" w:rsidRPr="00795F17" w:rsidRDefault="00421F1B" w:rsidP="0044393D">
            <w:pPr>
              <w:pStyle w:val="Teksttabelilewy"/>
            </w:pPr>
            <w:r w:rsidRPr="00795F17">
              <w:t>Średnia temperatura powietrza</w:t>
            </w:r>
          </w:p>
        </w:tc>
        <w:tc>
          <w:tcPr>
            <w:tcW w:w="856" w:type="pct"/>
            <w:tcBorders>
              <w:top w:val="nil"/>
              <w:left w:val="nil"/>
              <w:bottom w:val="single" w:sz="4" w:space="0" w:color="auto"/>
              <w:right w:val="single" w:sz="4" w:space="0" w:color="auto"/>
            </w:tcBorders>
            <w:shd w:val="clear" w:color="auto" w:fill="auto"/>
            <w:noWrap/>
            <w:vAlign w:val="center"/>
            <w:hideMark/>
          </w:tcPr>
          <w:p w14:paraId="3808C624" w14:textId="197E29DE" w:rsidR="00421F1B" w:rsidRPr="00795F17" w:rsidRDefault="00421F1B" w:rsidP="0065243A">
            <w:pPr>
              <w:pStyle w:val="Teksttabelisrodek"/>
            </w:pPr>
            <w:r w:rsidRPr="00795F17">
              <w:t>8,7</w:t>
            </w:r>
            <w:r w:rsidR="00C6225B">
              <w:t xml:space="preserve"> </w:t>
            </w:r>
            <w:r w:rsidRPr="00795F17">
              <w:t>-</w:t>
            </w:r>
            <w:r w:rsidR="00C6225B">
              <w:t xml:space="preserve"> </w:t>
            </w:r>
            <w:r w:rsidRPr="00795F17">
              <w:t>9,1°C</w:t>
            </w:r>
          </w:p>
        </w:tc>
        <w:tc>
          <w:tcPr>
            <w:tcW w:w="456" w:type="pct"/>
            <w:tcBorders>
              <w:top w:val="nil"/>
              <w:left w:val="nil"/>
              <w:bottom w:val="single" w:sz="4" w:space="0" w:color="auto"/>
              <w:right w:val="single" w:sz="4" w:space="0" w:color="auto"/>
            </w:tcBorders>
            <w:shd w:val="clear" w:color="auto" w:fill="92D050"/>
            <w:noWrap/>
            <w:vAlign w:val="center"/>
            <w:hideMark/>
          </w:tcPr>
          <w:p w14:paraId="43A631F0" w14:textId="77777777" w:rsidR="00421F1B" w:rsidRPr="00795F17" w:rsidRDefault="00421F1B" w:rsidP="00195E00">
            <w:pPr>
              <w:pStyle w:val="Teksttabelisrodek"/>
              <w:jc w:val="left"/>
            </w:pPr>
            <w:r w:rsidRPr="00795F17">
              <w:t>niskie</w:t>
            </w:r>
          </w:p>
        </w:tc>
        <w:tc>
          <w:tcPr>
            <w:tcW w:w="865" w:type="pct"/>
            <w:tcBorders>
              <w:top w:val="nil"/>
              <w:left w:val="nil"/>
              <w:bottom w:val="single" w:sz="4" w:space="0" w:color="auto"/>
              <w:right w:val="single" w:sz="4" w:space="0" w:color="auto"/>
            </w:tcBorders>
            <w:shd w:val="clear" w:color="auto" w:fill="auto"/>
            <w:noWrap/>
            <w:vAlign w:val="center"/>
            <w:hideMark/>
          </w:tcPr>
          <w:p w14:paraId="59D69C60" w14:textId="77777777" w:rsidR="00421F1B" w:rsidRPr="00795F17" w:rsidRDefault="00421F1B" w:rsidP="0065243A">
            <w:pPr>
              <w:pStyle w:val="Teksttabelisrodek"/>
            </w:pPr>
            <w:r w:rsidRPr="00795F17">
              <w:t>brak znaczącej różnicy</w:t>
            </w:r>
          </w:p>
        </w:tc>
        <w:tc>
          <w:tcPr>
            <w:tcW w:w="448" w:type="pct"/>
            <w:tcBorders>
              <w:top w:val="nil"/>
              <w:left w:val="nil"/>
              <w:bottom w:val="single" w:sz="4" w:space="0" w:color="auto"/>
              <w:right w:val="single" w:sz="4" w:space="0" w:color="auto"/>
            </w:tcBorders>
            <w:shd w:val="clear" w:color="auto" w:fill="92D050"/>
            <w:vAlign w:val="center"/>
            <w:hideMark/>
          </w:tcPr>
          <w:p w14:paraId="193A0710" w14:textId="77777777" w:rsidR="00421F1B" w:rsidRPr="00795F17" w:rsidRDefault="00421F1B" w:rsidP="0065243A">
            <w:pPr>
              <w:pStyle w:val="Teksttabelisrodek"/>
            </w:pPr>
            <w:r w:rsidRPr="00795F17">
              <w:t>niskie</w:t>
            </w:r>
          </w:p>
        </w:tc>
        <w:tc>
          <w:tcPr>
            <w:tcW w:w="851" w:type="pct"/>
            <w:tcBorders>
              <w:top w:val="nil"/>
              <w:left w:val="nil"/>
              <w:bottom w:val="single" w:sz="4" w:space="0" w:color="auto"/>
              <w:right w:val="single" w:sz="4" w:space="0" w:color="auto"/>
            </w:tcBorders>
            <w:shd w:val="clear" w:color="auto" w:fill="auto"/>
            <w:vAlign w:val="center"/>
            <w:hideMark/>
          </w:tcPr>
          <w:p w14:paraId="622DB1C6" w14:textId="77777777" w:rsidR="00421F1B" w:rsidRPr="00795F17" w:rsidRDefault="00421F1B" w:rsidP="0065243A">
            <w:pPr>
              <w:pStyle w:val="Teksttabelisrodek"/>
            </w:pPr>
            <w:r w:rsidRPr="00795F17">
              <w:t>wzrost o 1,4°C</w:t>
            </w:r>
          </w:p>
        </w:tc>
        <w:tc>
          <w:tcPr>
            <w:tcW w:w="516" w:type="pct"/>
            <w:tcBorders>
              <w:top w:val="nil"/>
              <w:left w:val="nil"/>
              <w:bottom w:val="single" w:sz="4" w:space="0" w:color="auto"/>
              <w:right w:val="single" w:sz="4" w:space="0" w:color="auto"/>
            </w:tcBorders>
            <w:shd w:val="clear" w:color="auto" w:fill="92D050"/>
            <w:noWrap/>
            <w:vAlign w:val="center"/>
            <w:hideMark/>
          </w:tcPr>
          <w:p w14:paraId="0E09E548" w14:textId="77777777" w:rsidR="00421F1B" w:rsidRPr="00795F17" w:rsidRDefault="00421F1B" w:rsidP="0065243A">
            <w:pPr>
              <w:pStyle w:val="Teksttabelisrodek"/>
            </w:pPr>
            <w:r w:rsidRPr="00795F17">
              <w:t>niskie</w:t>
            </w:r>
          </w:p>
        </w:tc>
      </w:tr>
      <w:tr w:rsidR="00421F1B" w:rsidRPr="00795F17" w14:paraId="039A2F09" w14:textId="77777777" w:rsidTr="00195E00">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1C11A58C" w14:textId="77777777" w:rsidR="00421F1B" w:rsidRPr="00795F17" w:rsidRDefault="00421F1B" w:rsidP="0044393D">
            <w:pPr>
              <w:pStyle w:val="Teksttabelilewy"/>
            </w:pPr>
            <w:r w:rsidRPr="00795F17">
              <w:t xml:space="preserve">Roczna amplituda temperatury powietrza okresu ciepłego </w:t>
            </w:r>
          </w:p>
        </w:tc>
        <w:tc>
          <w:tcPr>
            <w:tcW w:w="856" w:type="pct"/>
            <w:tcBorders>
              <w:top w:val="nil"/>
              <w:left w:val="nil"/>
              <w:bottom w:val="single" w:sz="4" w:space="0" w:color="auto"/>
              <w:right w:val="single" w:sz="4" w:space="0" w:color="auto"/>
            </w:tcBorders>
            <w:shd w:val="clear" w:color="auto" w:fill="auto"/>
            <w:noWrap/>
            <w:vAlign w:val="center"/>
            <w:hideMark/>
          </w:tcPr>
          <w:p w14:paraId="6C08A387" w14:textId="10184192" w:rsidR="00421F1B" w:rsidRPr="00795F17" w:rsidRDefault="00421F1B" w:rsidP="0065243A">
            <w:pPr>
              <w:pStyle w:val="Teksttabelisrodek"/>
            </w:pPr>
            <w:r w:rsidRPr="00795F17">
              <w:t>7</w:t>
            </w:r>
            <w:r w:rsidR="00C6225B">
              <w:t xml:space="preserve"> </w:t>
            </w:r>
            <w:r w:rsidRPr="00795F17">
              <w:t>-</w:t>
            </w:r>
            <w:r w:rsidR="00C6225B">
              <w:t xml:space="preserve"> </w:t>
            </w:r>
            <w:r w:rsidRPr="00795F17">
              <w:t>9°C</w:t>
            </w:r>
          </w:p>
        </w:tc>
        <w:tc>
          <w:tcPr>
            <w:tcW w:w="456" w:type="pct"/>
            <w:tcBorders>
              <w:top w:val="nil"/>
              <w:left w:val="nil"/>
              <w:bottom w:val="single" w:sz="4" w:space="0" w:color="auto"/>
              <w:right w:val="single" w:sz="4" w:space="0" w:color="auto"/>
            </w:tcBorders>
            <w:shd w:val="clear" w:color="auto" w:fill="FFFF00"/>
            <w:noWrap/>
            <w:vAlign w:val="center"/>
            <w:hideMark/>
          </w:tcPr>
          <w:p w14:paraId="227670AD" w14:textId="77777777" w:rsidR="00421F1B" w:rsidRPr="00795F17" w:rsidRDefault="00421F1B" w:rsidP="00195E00">
            <w:pPr>
              <w:pStyle w:val="Teksttabelisrodek"/>
              <w:jc w:val="left"/>
            </w:pPr>
            <w:r w:rsidRPr="00795F17">
              <w:t xml:space="preserve">średnie </w:t>
            </w:r>
          </w:p>
        </w:tc>
        <w:tc>
          <w:tcPr>
            <w:tcW w:w="865" w:type="pct"/>
            <w:tcBorders>
              <w:top w:val="nil"/>
              <w:left w:val="nil"/>
              <w:bottom w:val="single" w:sz="4" w:space="0" w:color="auto"/>
              <w:right w:val="single" w:sz="4" w:space="0" w:color="auto"/>
            </w:tcBorders>
            <w:shd w:val="clear" w:color="auto" w:fill="auto"/>
            <w:noWrap/>
            <w:vAlign w:val="center"/>
            <w:hideMark/>
          </w:tcPr>
          <w:p w14:paraId="34CD4F6D" w14:textId="77777777" w:rsidR="00421F1B" w:rsidRPr="00795F17" w:rsidRDefault="00421F1B" w:rsidP="0065243A">
            <w:pPr>
              <w:pStyle w:val="Teksttabelisrodek"/>
            </w:pPr>
            <w:r w:rsidRPr="00795F17">
              <w:t>spadek nieznaczny, różnica nie większa niż o 1°C</w:t>
            </w:r>
          </w:p>
        </w:tc>
        <w:tc>
          <w:tcPr>
            <w:tcW w:w="448" w:type="pct"/>
            <w:tcBorders>
              <w:top w:val="nil"/>
              <w:left w:val="nil"/>
              <w:bottom w:val="single" w:sz="4" w:space="0" w:color="auto"/>
              <w:right w:val="single" w:sz="4" w:space="0" w:color="auto"/>
            </w:tcBorders>
            <w:shd w:val="clear" w:color="auto" w:fill="92D050"/>
            <w:vAlign w:val="center"/>
            <w:hideMark/>
          </w:tcPr>
          <w:p w14:paraId="436CD360" w14:textId="77777777" w:rsidR="00421F1B" w:rsidRPr="00795F17" w:rsidRDefault="00421F1B" w:rsidP="0065243A">
            <w:pPr>
              <w:pStyle w:val="Teksttabelisrodek"/>
            </w:pPr>
            <w:r w:rsidRPr="00795F17">
              <w:t>niskie</w:t>
            </w:r>
          </w:p>
        </w:tc>
        <w:tc>
          <w:tcPr>
            <w:tcW w:w="851" w:type="pct"/>
            <w:tcBorders>
              <w:top w:val="nil"/>
              <w:left w:val="nil"/>
              <w:bottom w:val="single" w:sz="4" w:space="0" w:color="auto"/>
              <w:right w:val="single" w:sz="4" w:space="0" w:color="auto"/>
            </w:tcBorders>
            <w:shd w:val="clear" w:color="auto" w:fill="auto"/>
            <w:vAlign w:val="center"/>
            <w:hideMark/>
          </w:tcPr>
          <w:p w14:paraId="40F5EE5B" w14:textId="77777777" w:rsidR="00421F1B" w:rsidRPr="00795F17" w:rsidRDefault="00421F1B" w:rsidP="0065243A">
            <w:pPr>
              <w:pStyle w:val="Teksttabelisrodek"/>
            </w:pPr>
            <w:r w:rsidRPr="00795F17">
              <w:t>przyrost o 1,5°C</w:t>
            </w:r>
          </w:p>
        </w:tc>
        <w:tc>
          <w:tcPr>
            <w:tcW w:w="516" w:type="pct"/>
            <w:tcBorders>
              <w:top w:val="nil"/>
              <w:left w:val="nil"/>
              <w:bottom w:val="single" w:sz="4" w:space="0" w:color="auto"/>
              <w:right w:val="single" w:sz="4" w:space="0" w:color="auto"/>
            </w:tcBorders>
            <w:shd w:val="clear" w:color="auto" w:fill="92D050"/>
            <w:noWrap/>
            <w:vAlign w:val="center"/>
            <w:hideMark/>
          </w:tcPr>
          <w:p w14:paraId="35C5E2CA" w14:textId="12BB5634" w:rsidR="00421F1B" w:rsidRPr="00795F17" w:rsidRDefault="00421F1B" w:rsidP="0065243A">
            <w:pPr>
              <w:pStyle w:val="Teksttabelisrodek"/>
            </w:pPr>
            <w:r w:rsidRPr="00795F17">
              <w:t>niskie</w:t>
            </w:r>
          </w:p>
        </w:tc>
      </w:tr>
      <w:tr w:rsidR="00421F1B" w:rsidRPr="00795F17" w14:paraId="301414F9" w14:textId="77777777" w:rsidTr="00195E00">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4D0B22F7" w14:textId="77777777" w:rsidR="00421F1B" w:rsidRPr="00795F17" w:rsidRDefault="00421F1B" w:rsidP="0044393D">
            <w:pPr>
              <w:pStyle w:val="Teksttabelilewy"/>
            </w:pPr>
            <w:r w:rsidRPr="00795F17">
              <w:t>Roczna amplituda temperatury powietrza okresu chłodnego</w:t>
            </w:r>
          </w:p>
        </w:tc>
        <w:tc>
          <w:tcPr>
            <w:tcW w:w="856" w:type="pct"/>
            <w:tcBorders>
              <w:top w:val="nil"/>
              <w:left w:val="nil"/>
              <w:bottom w:val="single" w:sz="4" w:space="0" w:color="auto"/>
              <w:right w:val="single" w:sz="4" w:space="0" w:color="auto"/>
            </w:tcBorders>
            <w:shd w:val="clear" w:color="auto" w:fill="auto"/>
            <w:noWrap/>
            <w:vAlign w:val="center"/>
            <w:hideMark/>
          </w:tcPr>
          <w:p w14:paraId="3F494E7F" w14:textId="77777777" w:rsidR="00421F1B" w:rsidRPr="00795F17" w:rsidRDefault="00421F1B" w:rsidP="0065243A">
            <w:pPr>
              <w:pStyle w:val="Teksttabelisrodek"/>
            </w:pPr>
            <w:r w:rsidRPr="00795F17">
              <w:t>4,5°C</w:t>
            </w:r>
          </w:p>
        </w:tc>
        <w:tc>
          <w:tcPr>
            <w:tcW w:w="456" w:type="pct"/>
            <w:tcBorders>
              <w:top w:val="nil"/>
              <w:left w:val="nil"/>
              <w:bottom w:val="single" w:sz="4" w:space="0" w:color="auto"/>
              <w:right w:val="single" w:sz="4" w:space="0" w:color="auto"/>
            </w:tcBorders>
            <w:shd w:val="clear" w:color="auto" w:fill="92D050"/>
            <w:noWrap/>
            <w:vAlign w:val="center"/>
            <w:hideMark/>
          </w:tcPr>
          <w:p w14:paraId="7A554622" w14:textId="77777777" w:rsidR="00421F1B" w:rsidRPr="00795F17" w:rsidRDefault="00421F1B" w:rsidP="00195E00">
            <w:pPr>
              <w:pStyle w:val="Teksttabelisrodek"/>
              <w:jc w:val="left"/>
            </w:pPr>
            <w:r w:rsidRPr="00795F17">
              <w:t xml:space="preserve">niskie </w:t>
            </w:r>
          </w:p>
        </w:tc>
        <w:tc>
          <w:tcPr>
            <w:tcW w:w="865" w:type="pct"/>
            <w:tcBorders>
              <w:top w:val="nil"/>
              <w:left w:val="nil"/>
              <w:bottom w:val="single" w:sz="4" w:space="0" w:color="auto"/>
              <w:right w:val="single" w:sz="4" w:space="0" w:color="auto"/>
            </w:tcBorders>
            <w:shd w:val="clear" w:color="auto" w:fill="auto"/>
            <w:noWrap/>
            <w:vAlign w:val="center"/>
            <w:hideMark/>
          </w:tcPr>
          <w:p w14:paraId="34708B0D" w14:textId="77777777" w:rsidR="00421F1B" w:rsidRPr="00795F17" w:rsidRDefault="00421F1B" w:rsidP="0065243A">
            <w:pPr>
              <w:pStyle w:val="Teksttabelisrodek"/>
            </w:pPr>
            <w:r w:rsidRPr="00795F17">
              <w:t>brak znaczącej różnicy</w:t>
            </w:r>
          </w:p>
        </w:tc>
        <w:tc>
          <w:tcPr>
            <w:tcW w:w="448" w:type="pct"/>
            <w:tcBorders>
              <w:top w:val="nil"/>
              <w:left w:val="nil"/>
              <w:bottom w:val="single" w:sz="4" w:space="0" w:color="auto"/>
              <w:right w:val="single" w:sz="4" w:space="0" w:color="auto"/>
            </w:tcBorders>
            <w:shd w:val="clear" w:color="auto" w:fill="92D050"/>
            <w:vAlign w:val="center"/>
            <w:hideMark/>
          </w:tcPr>
          <w:p w14:paraId="5C933F92" w14:textId="77777777" w:rsidR="00421F1B" w:rsidRPr="00795F17" w:rsidRDefault="00421F1B" w:rsidP="0065243A">
            <w:pPr>
              <w:pStyle w:val="Teksttabelisrodek"/>
            </w:pPr>
            <w:r w:rsidRPr="00795F17">
              <w:t xml:space="preserve">niskie </w:t>
            </w:r>
          </w:p>
        </w:tc>
        <w:tc>
          <w:tcPr>
            <w:tcW w:w="851" w:type="pct"/>
            <w:tcBorders>
              <w:top w:val="nil"/>
              <w:left w:val="nil"/>
              <w:bottom w:val="single" w:sz="4" w:space="0" w:color="auto"/>
              <w:right w:val="single" w:sz="4" w:space="0" w:color="auto"/>
            </w:tcBorders>
            <w:shd w:val="clear" w:color="auto" w:fill="auto"/>
            <w:vAlign w:val="center"/>
            <w:hideMark/>
          </w:tcPr>
          <w:p w14:paraId="17FAB9AE" w14:textId="77777777" w:rsidR="00421F1B" w:rsidRPr="00795F17" w:rsidRDefault="00421F1B" w:rsidP="0065243A">
            <w:pPr>
              <w:pStyle w:val="Teksttabelisrodek"/>
            </w:pPr>
            <w:r w:rsidRPr="00795F17">
              <w:t>przyrost o 1,5°C</w:t>
            </w:r>
          </w:p>
        </w:tc>
        <w:tc>
          <w:tcPr>
            <w:tcW w:w="516" w:type="pct"/>
            <w:tcBorders>
              <w:top w:val="nil"/>
              <w:left w:val="nil"/>
              <w:bottom w:val="single" w:sz="4" w:space="0" w:color="auto"/>
              <w:right w:val="single" w:sz="4" w:space="0" w:color="auto"/>
            </w:tcBorders>
            <w:shd w:val="clear" w:color="auto" w:fill="92D050"/>
            <w:noWrap/>
            <w:vAlign w:val="center"/>
            <w:hideMark/>
          </w:tcPr>
          <w:p w14:paraId="08B2026F" w14:textId="37E6BB2B" w:rsidR="00421F1B" w:rsidRPr="00795F17" w:rsidRDefault="00421F1B" w:rsidP="0065243A">
            <w:pPr>
              <w:pStyle w:val="Teksttabelisrodek"/>
            </w:pPr>
            <w:r w:rsidRPr="00795F17">
              <w:t>niskie</w:t>
            </w:r>
          </w:p>
        </w:tc>
      </w:tr>
      <w:tr w:rsidR="00421F1B" w:rsidRPr="00795F17" w14:paraId="7A4C9C66" w14:textId="77777777" w:rsidTr="00195E00">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0D755439" w14:textId="77777777" w:rsidR="00421F1B" w:rsidRPr="00795F17" w:rsidRDefault="00421F1B" w:rsidP="0044393D">
            <w:pPr>
              <w:pStyle w:val="Teksttabelilewy"/>
            </w:pPr>
            <w:r w:rsidRPr="00795F17">
              <w:t>Roczna suma opadów</w:t>
            </w:r>
          </w:p>
        </w:tc>
        <w:tc>
          <w:tcPr>
            <w:tcW w:w="856" w:type="pct"/>
            <w:tcBorders>
              <w:top w:val="nil"/>
              <w:left w:val="nil"/>
              <w:bottom w:val="single" w:sz="4" w:space="0" w:color="auto"/>
              <w:right w:val="single" w:sz="4" w:space="0" w:color="auto"/>
            </w:tcBorders>
            <w:shd w:val="clear" w:color="auto" w:fill="auto"/>
            <w:noWrap/>
            <w:vAlign w:val="center"/>
            <w:hideMark/>
          </w:tcPr>
          <w:p w14:paraId="692CD849" w14:textId="5503D600" w:rsidR="00421F1B" w:rsidRPr="00795F17" w:rsidRDefault="00421F1B" w:rsidP="0065243A">
            <w:pPr>
              <w:pStyle w:val="Teksttabelisrodek"/>
            </w:pPr>
            <w:r w:rsidRPr="00795F17">
              <w:t>780</w:t>
            </w:r>
            <w:r w:rsidR="00C6225B">
              <w:t xml:space="preserve"> – </w:t>
            </w:r>
            <w:r w:rsidRPr="00795F17">
              <w:t>1</w:t>
            </w:r>
            <w:r w:rsidR="00C6225B">
              <w:t> </w:t>
            </w:r>
            <w:r w:rsidRPr="00795F17">
              <w:t>100 mm/rok</w:t>
            </w:r>
          </w:p>
        </w:tc>
        <w:tc>
          <w:tcPr>
            <w:tcW w:w="456" w:type="pct"/>
            <w:tcBorders>
              <w:top w:val="nil"/>
              <w:left w:val="nil"/>
              <w:bottom w:val="single" w:sz="4" w:space="0" w:color="auto"/>
              <w:right w:val="single" w:sz="4" w:space="0" w:color="auto"/>
            </w:tcBorders>
            <w:shd w:val="clear" w:color="auto" w:fill="92D050"/>
            <w:noWrap/>
            <w:vAlign w:val="center"/>
            <w:hideMark/>
          </w:tcPr>
          <w:p w14:paraId="78725098" w14:textId="77777777" w:rsidR="00421F1B" w:rsidRPr="00795F17" w:rsidRDefault="00421F1B" w:rsidP="00195E00">
            <w:pPr>
              <w:pStyle w:val="Teksttabelisrodek"/>
              <w:jc w:val="left"/>
            </w:pPr>
            <w:r w:rsidRPr="00795F17">
              <w:t>niskie</w:t>
            </w:r>
          </w:p>
        </w:tc>
        <w:tc>
          <w:tcPr>
            <w:tcW w:w="865" w:type="pct"/>
            <w:tcBorders>
              <w:top w:val="nil"/>
              <w:left w:val="nil"/>
              <w:bottom w:val="single" w:sz="4" w:space="0" w:color="auto"/>
              <w:right w:val="single" w:sz="4" w:space="0" w:color="auto"/>
            </w:tcBorders>
            <w:shd w:val="clear" w:color="auto" w:fill="auto"/>
            <w:noWrap/>
            <w:vAlign w:val="center"/>
            <w:hideMark/>
          </w:tcPr>
          <w:p w14:paraId="548ABC85" w14:textId="18FA4328" w:rsidR="00421F1B" w:rsidRPr="00795F17" w:rsidRDefault="00421F1B" w:rsidP="0065243A">
            <w:pPr>
              <w:pStyle w:val="Teksttabelisrodek"/>
            </w:pPr>
            <w:r w:rsidRPr="00795F17">
              <w:t xml:space="preserve">spadek </w:t>
            </w:r>
            <w:r w:rsidR="00EA2FD2">
              <w:br/>
            </w:r>
            <w:r w:rsidRPr="00795F17">
              <w:t>o 7</w:t>
            </w:r>
            <w:r w:rsidR="00325B9B">
              <w:t xml:space="preserve"> – </w:t>
            </w:r>
            <w:r w:rsidRPr="00795F17">
              <w:t>10</w:t>
            </w:r>
            <w:r w:rsidR="00325B9B">
              <w:t> </w:t>
            </w:r>
            <w:r w:rsidRPr="00795F17">
              <w:t xml:space="preserve">mm </w:t>
            </w:r>
            <w:r w:rsidR="00EA2FD2">
              <w:br/>
            </w:r>
            <w:r w:rsidRPr="00795F17">
              <w:t>na rok</w:t>
            </w:r>
          </w:p>
        </w:tc>
        <w:tc>
          <w:tcPr>
            <w:tcW w:w="448" w:type="pct"/>
            <w:tcBorders>
              <w:top w:val="nil"/>
              <w:left w:val="nil"/>
              <w:bottom w:val="single" w:sz="4" w:space="0" w:color="auto"/>
              <w:right w:val="single" w:sz="4" w:space="0" w:color="auto"/>
            </w:tcBorders>
            <w:shd w:val="clear" w:color="auto" w:fill="92D050"/>
            <w:vAlign w:val="center"/>
            <w:hideMark/>
          </w:tcPr>
          <w:p w14:paraId="696F2A55" w14:textId="77777777" w:rsidR="00421F1B" w:rsidRPr="00795F17" w:rsidRDefault="00421F1B" w:rsidP="0065243A">
            <w:pPr>
              <w:pStyle w:val="Teksttabelisrodek"/>
            </w:pPr>
            <w:r w:rsidRPr="00795F17">
              <w:t>niskie</w:t>
            </w:r>
          </w:p>
        </w:tc>
        <w:tc>
          <w:tcPr>
            <w:tcW w:w="851" w:type="pct"/>
            <w:tcBorders>
              <w:top w:val="nil"/>
              <w:left w:val="nil"/>
              <w:bottom w:val="single" w:sz="4" w:space="0" w:color="auto"/>
              <w:right w:val="single" w:sz="4" w:space="0" w:color="auto"/>
            </w:tcBorders>
            <w:shd w:val="clear" w:color="auto" w:fill="auto"/>
            <w:vAlign w:val="center"/>
            <w:hideMark/>
          </w:tcPr>
          <w:p w14:paraId="68B7EDEC" w14:textId="3DFA0EFA" w:rsidR="00421F1B" w:rsidRPr="00795F17" w:rsidRDefault="00421F1B" w:rsidP="0065243A">
            <w:pPr>
              <w:pStyle w:val="Teksttabelisrodek"/>
            </w:pPr>
            <w:r w:rsidRPr="00795F17">
              <w:t xml:space="preserve">wzrost </w:t>
            </w:r>
            <w:r w:rsidR="00EA2FD2">
              <w:br/>
            </w:r>
            <w:r w:rsidRPr="00795F17">
              <w:t>o 47</w:t>
            </w:r>
            <w:r w:rsidR="00EA2FD2">
              <w:t xml:space="preserve"> </w:t>
            </w:r>
            <w:r w:rsidRPr="00795F17">
              <w:t>-</w:t>
            </w:r>
            <w:r w:rsidR="00EA2FD2">
              <w:t xml:space="preserve"> </w:t>
            </w:r>
            <w:r w:rsidRPr="00795F17">
              <w:t xml:space="preserve">55 mm </w:t>
            </w:r>
            <w:r w:rsidR="00EA2FD2">
              <w:br/>
            </w:r>
            <w:r w:rsidRPr="00795F17">
              <w:t>na rok</w:t>
            </w:r>
          </w:p>
        </w:tc>
        <w:tc>
          <w:tcPr>
            <w:tcW w:w="516" w:type="pct"/>
            <w:tcBorders>
              <w:top w:val="nil"/>
              <w:left w:val="nil"/>
              <w:bottom w:val="single" w:sz="4" w:space="0" w:color="auto"/>
              <w:right w:val="single" w:sz="4" w:space="0" w:color="auto"/>
            </w:tcBorders>
            <w:shd w:val="clear" w:color="auto" w:fill="92D050"/>
            <w:noWrap/>
            <w:vAlign w:val="center"/>
            <w:hideMark/>
          </w:tcPr>
          <w:p w14:paraId="732F57EA" w14:textId="77777777" w:rsidR="00421F1B" w:rsidRPr="00795F17" w:rsidRDefault="00421F1B" w:rsidP="0065243A">
            <w:pPr>
              <w:pStyle w:val="Teksttabelisrodek"/>
            </w:pPr>
            <w:r w:rsidRPr="00795F17">
              <w:t>niskie</w:t>
            </w:r>
          </w:p>
        </w:tc>
      </w:tr>
      <w:tr w:rsidR="00421F1B" w:rsidRPr="00795F17" w14:paraId="58DCDB24" w14:textId="77777777" w:rsidTr="00195E00">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6818E093" w14:textId="77777777" w:rsidR="00421F1B" w:rsidRPr="00795F17" w:rsidRDefault="00421F1B" w:rsidP="0044393D">
            <w:pPr>
              <w:pStyle w:val="Teksttabelilewy"/>
            </w:pPr>
            <w:r w:rsidRPr="00795F17">
              <w:t>Średnia prędkość wiatru</w:t>
            </w:r>
          </w:p>
        </w:tc>
        <w:tc>
          <w:tcPr>
            <w:tcW w:w="856" w:type="pct"/>
            <w:tcBorders>
              <w:top w:val="nil"/>
              <w:left w:val="nil"/>
              <w:bottom w:val="single" w:sz="4" w:space="0" w:color="auto"/>
              <w:right w:val="single" w:sz="4" w:space="0" w:color="auto"/>
            </w:tcBorders>
            <w:shd w:val="clear" w:color="auto" w:fill="auto"/>
            <w:noWrap/>
            <w:vAlign w:val="center"/>
            <w:hideMark/>
          </w:tcPr>
          <w:p w14:paraId="1D6C5A6B" w14:textId="00B4FA95" w:rsidR="00421F1B" w:rsidRPr="00795F17" w:rsidRDefault="00421F1B" w:rsidP="0065243A">
            <w:pPr>
              <w:pStyle w:val="Teksttabelisrodek"/>
            </w:pPr>
            <w:r w:rsidRPr="00795F17">
              <w:t>2,9</w:t>
            </w:r>
            <w:r w:rsidR="00C6225B">
              <w:t xml:space="preserve"> </w:t>
            </w:r>
            <w:r w:rsidRPr="00795F17">
              <w:t>-</w:t>
            </w:r>
            <w:r w:rsidR="00C6225B">
              <w:t xml:space="preserve"> </w:t>
            </w:r>
            <w:r w:rsidRPr="00795F17">
              <w:t>3,0 m/s</w:t>
            </w:r>
          </w:p>
        </w:tc>
        <w:tc>
          <w:tcPr>
            <w:tcW w:w="456" w:type="pct"/>
            <w:tcBorders>
              <w:top w:val="nil"/>
              <w:left w:val="nil"/>
              <w:bottom w:val="single" w:sz="4" w:space="0" w:color="auto"/>
              <w:right w:val="single" w:sz="4" w:space="0" w:color="auto"/>
            </w:tcBorders>
            <w:shd w:val="clear" w:color="auto" w:fill="92D050"/>
            <w:noWrap/>
            <w:vAlign w:val="center"/>
            <w:hideMark/>
          </w:tcPr>
          <w:p w14:paraId="60D58DBD" w14:textId="77777777" w:rsidR="00421F1B" w:rsidRPr="00795F17" w:rsidRDefault="00421F1B" w:rsidP="00195E00">
            <w:pPr>
              <w:pStyle w:val="Teksttabelisrodek"/>
              <w:jc w:val="left"/>
            </w:pPr>
            <w:r w:rsidRPr="00795F17">
              <w:t>niskie</w:t>
            </w:r>
          </w:p>
        </w:tc>
        <w:tc>
          <w:tcPr>
            <w:tcW w:w="865" w:type="pct"/>
            <w:tcBorders>
              <w:top w:val="nil"/>
              <w:left w:val="nil"/>
              <w:bottom w:val="single" w:sz="4" w:space="0" w:color="auto"/>
              <w:right w:val="single" w:sz="4" w:space="0" w:color="auto"/>
            </w:tcBorders>
            <w:shd w:val="clear" w:color="auto" w:fill="auto"/>
            <w:noWrap/>
            <w:vAlign w:val="center"/>
            <w:hideMark/>
          </w:tcPr>
          <w:p w14:paraId="7BAB87D0" w14:textId="77777777" w:rsidR="00421F1B" w:rsidRPr="00795F17" w:rsidRDefault="00421F1B" w:rsidP="0065243A">
            <w:pPr>
              <w:pStyle w:val="Teksttabelisrodek"/>
            </w:pPr>
            <w:r w:rsidRPr="00795F17">
              <w:t>brak zmian</w:t>
            </w:r>
          </w:p>
        </w:tc>
        <w:tc>
          <w:tcPr>
            <w:tcW w:w="448" w:type="pct"/>
            <w:tcBorders>
              <w:top w:val="nil"/>
              <w:left w:val="nil"/>
              <w:bottom w:val="single" w:sz="4" w:space="0" w:color="auto"/>
              <w:right w:val="single" w:sz="4" w:space="0" w:color="auto"/>
            </w:tcBorders>
            <w:shd w:val="clear" w:color="auto" w:fill="92D050"/>
            <w:vAlign w:val="center"/>
            <w:hideMark/>
          </w:tcPr>
          <w:p w14:paraId="7E8635F0" w14:textId="77777777" w:rsidR="00421F1B" w:rsidRPr="00795F17" w:rsidRDefault="00421F1B" w:rsidP="0065243A">
            <w:pPr>
              <w:pStyle w:val="Teksttabelisrodek"/>
            </w:pPr>
            <w:r w:rsidRPr="00795F17">
              <w:t>niskie</w:t>
            </w:r>
          </w:p>
        </w:tc>
        <w:tc>
          <w:tcPr>
            <w:tcW w:w="851" w:type="pct"/>
            <w:tcBorders>
              <w:top w:val="nil"/>
              <w:left w:val="nil"/>
              <w:bottom w:val="single" w:sz="4" w:space="0" w:color="auto"/>
              <w:right w:val="single" w:sz="4" w:space="0" w:color="auto"/>
            </w:tcBorders>
            <w:shd w:val="clear" w:color="auto" w:fill="auto"/>
            <w:vAlign w:val="center"/>
            <w:hideMark/>
          </w:tcPr>
          <w:p w14:paraId="7DD0304B" w14:textId="77777777" w:rsidR="00421F1B" w:rsidRPr="00795F17" w:rsidRDefault="00421F1B" w:rsidP="0065243A">
            <w:pPr>
              <w:pStyle w:val="Teksttabelisrodek"/>
            </w:pPr>
            <w:r w:rsidRPr="00795F17">
              <w:t>brak zmian</w:t>
            </w:r>
          </w:p>
        </w:tc>
        <w:tc>
          <w:tcPr>
            <w:tcW w:w="516" w:type="pct"/>
            <w:tcBorders>
              <w:top w:val="nil"/>
              <w:left w:val="nil"/>
              <w:bottom w:val="single" w:sz="4" w:space="0" w:color="auto"/>
              <w:right w:val="single" w:sz="4" w:space="0" w:color="auto"/>
            </w:tcBorders>
            <w:shd w:val="clear" w:color="auto" w:fill="92D050"/>
            <w:noWrap/>
            <w:vAlign w:val="center"/>
            <w:hideMark/>
          </w:tcPr>
          <w:p w14:paraId="36D9B40B" w14:textId="77777777" w:rsidR="00421F1B" w:rsidRPr="00795F17" w:rsidRDefault="00421F1B" w:rsidP="0065243A">
            <w:pPr>
              <w:pStyle w:val="Teksttabelisrodek"/>
            </w:pPr>
            <w:r w:rsidRPr="00795F17">
              <w:t>niskie</w:t>
            </w:r>
          </w:p>
        </w:tc>
      </w:tr>
      <w:tr w:rsidR="00421F1B" w:rsidRPr="00795F17" w14:paraId="4B849A07" w14:textId="77777777" w:rsidTr="00195E00">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2BCFE96B" w14:textId="77777777" w:rsidR="00421F1B" w:rsidRPr="00795F17" w:rsidRDefault="00421F1B" w:rsidP="0044393D">
            <w:pPr>
              <w:pStyle w:val="Teksttabelilewy"/>
            </w:pPr>
            <w:r w:rsidRPr="00795F17">
              <w:t>Sezon wegetacyjny, temperatura powyżej 5°C</w:t>
            </w:r>
          </w:p>
        </w:tc>
        <w:tc>
          <w:tcPr>
            <w:tcW w:w="856" w:type="pct"/>
            <w:tcBorders>
              <w:top w:val="nil"/>
              <w:left w:val="nil"/>
              <w:bottom w:val="single" w:sz="4" w:space="0" w:color="auto"/>
              <w:right w:val="single" w:sz="4" w:space="0" w:color="auto"/>
            </w:tcBorders>
            <w:shd w:val="clear" w:color="auto" w:fill="auto"/>
            <w:noWrap/>
            <w:vAlign w:val="center"/>
            <w:hideMark/>
          </w:tcPr>
          <w:p w14:paraId="623A7294" w14:textId="53EF0B41" w:rsidR="00421F1B" w:rsidRPr="00795F17" w:rsidRDefault="00421F1B" w:rsidP="0065243A">
            <w:pPr>
              <w:pStyle w:val="Teksttabelisrodek"/>
            </w:pPr>
            <w:r w:rsidRPr="00795F17">
              <w:t>od 190 do 230</w:t>
            </w:r>
            <w:r w:rsidR="00C6225B">
              <w:t> </w:t>
            </w:r>
            <w:r w:rsidRPr="00795F17">
              <w:t>dni w roku</w:t>
            </w:r>
          </w:p>
        </w:tc>
        <w:tc>
          <w:tcPr>
            <w:tcW w:w="456" w:type="pct"/>
            <w:tcBorders>
              <w:top w:val="nil"/>
              <w:left w:val="nil"/>
              <w:bottom w:val="single" w:sz="4" w:space="0" w:color="auto"/>
              <w:right w:val="single" w:sz="4" w:space="0" w:color="auto"/>
            </w:tcBorders>
            <w:shd w:val="clear" w:color="auto" w:fill="92D050"/>
            <w:noWrap/>
            <w:vAlign w:val="center"/>
            <w:hideMark/>
          </w:tcPr>
          <w:p w14:paraId="774A8742" w14:textId="77777777" w:rsidR="00421F1B" w:rsidRPr="00795F17" w:rsidRDefault="00421F1B" w:rsidP="00195E00">
            <w:pPr>
              <w:pStyle w:val="Teksttabelisrodek"/>
              <w:jc w:val="left"/>
            </w:pPr>
            <w:r w:rsidRPr="00795F17">
              <w:t>niskie</w:t>
            </w:r>
          </w:p>
        </w:tc>
        <w:tc>
          <w:tcPr>
            <w:tcW w:w="865" w:type="pct"/>
            <w:tcBorders>
              <w:top w:val="nil"/>
              <w:left w:val="nil"/>
              <w:bottom w:val="single" w:sz="4" w:space="0" w:color="auto"/>
              <w:right w:val="single" w:sz="4" w:space="0" w:color="auto"/>
            </w:tcBorders>
            <w:shd w:val="clear" w:color="auto" w:fill="auto"/>
            <w:noWrap/>
            <w:vAlign w:val="center"/>
            <w:hideMark/>
          </w:tcPr>
          <w:p w14:paraId="0133D39C" w14:textId="64E78229" w:rsidR="00421F1B" w:rsidRPr="00795F17" w:rsidRDefault="00421F1B" w:rsidP="0065243A">
            <w:pPr>
              <w:pStyle w:val="Teksttabelisrodek"/>
            </w:pPr>
            <w:r w:rsidRPr="00795F17">
              <w:t>wydłużenie o</w:t>
            </w:r>
            <w:r w:rsidR="00325B9B">
              <w:t> </w:t>
            </w:r>
            <w:r w:rsidRPr="00795F17">
              <w:t>1,5</w:t>
            </w:r>
            <w:r w:rsidR="00325B9B">
              <w:t> </w:t>
            </w:r>
            <w:r w:rsidRPr="00795F17">
              <w:t>-</w:t>
            </w:r>
            <w:r w:rsidR="00325B9B">
              <w:t> </w:t>
            </w:r>
            <w:r w:rsidRPr="00795F17">
              <w:t>3,0 dni w</w:t>
            </w:r>
            <w:r w:rsidR="00325B9B">
              <w:t> </w:t>
            </w:r>
            <w:r w:rsidRPr="00795F17">
              <w:t>roku</w:t>
            </w:r>
          </w:p>
        </w:tc>
        <w:tc>
          <w:tcPr>
            <w:tcW w:w="448" w:type="pct"/>
            <w:tcBorders>
              <w:top w:val="nil"/>
              <w:left w:val="nil"/>
              <w:bottom w:val="single" w:sz="4" w:space="0" w:color="auto"/>
              <w:right w:val="single" w:sz="4" w:space="0" w:color="auto"/>
            </w:tcBorders>
            <w:shd w:val="clear" w:color="auto" w:fill="92D050"/>
            <w:vAlign w:val="center"/>
            <w:hideMark/>
          </w:tcPr>
          <w:p w14:paraId="3C49B90D" w14:textId="77777777" w:rsidR="00421F1B" w:rsidRPr="00795F17" w:rsidRDefault="00421F1B" w:rsidP="0065243A">
            <w:pPr>
              <w:pStyle w:val="Teksttabelisrodek"/>
            </w:pPr>
            <w:r w:rsidRPr="00795F17">
              <w:t>niskie</w:t>
            </w:r>
          </w:p>
        </w:tc>
        <w:tc>
          <w:tcPr>
            <w:tcW w:w="851" w:type="pct"/>
            <w:tcBorders>
              <w:top w:val="nil"/>
              <w:left w:val="nil"/>
              <w:bottom w:val="single" w:sz="4" w:space="0" w:color="auto"/>
              <w:right w:val="single" w:sz="4" w:space="0" w:color="auto"/>
            </w:tcBorders>
            <w:shd w:val="clear" w:color="auto" w:fill="auto"/>
            <w:vAlign w:val="center"/>
            <w:hideMark/>
          </w:tcPr>
          <w:p w14:paraId="734CF619" w14:textId="33A9CE2D" w:rsidR="00421F1B" w:rsidRPr="00795F17" w:rsidRDefault="00421F1B" w:rsidP="0065243A">
            <w:pPr>
              <w:pStyle w:val="Teksttabelisrodek"/>
            </w:pPr>
            <w:r w:rsidRPr="00795F17">
              <w:t>wydłużenie o</w:t>
            </w:r>
            <w:r w:rsidR="00EA2FD2">
              <w:t> </w:t>
            </w:r>
            <w:r w:rsidRPr="00795F17">
              <w:t>25 dni w roku</w:t>
            </w:r>
          </w:p>
        </w:tc>
        <w:tc>
          <w:tcPr>
            <w:tcW w:w="516" w:type="pct"/>
            <w:tcBorders>
              <w:top w:val="nil"/>
              <w:left w:val="nil"/>
              <w:bottom w:val="single" w:sz="4" w:space="0" w:color="auto"/>
              <w:right w:val="single" w:sz="4" w:space="0" w:color="auto"/>
            </w:tcBorders>
            <w:shd w:val="clear" w:color="auto" w:fill="92D050"/>
            <w:noWrap/>
            <w:vAlign w:val="center"/>
            <w:hideMark/>
          </w:tcPr>
          <w:p w14:paraId="6A8A023C" w14:textId="77777777" w:rsidR="00421F1B" w:rsidRPr="00795F17" w:rsidRDefault="00421F1B" w:rsidP="0065243A">
            <w:pPr>
              <w:pStyle w:val="Teksttabelisrodek"/>
            </w:pPr>
            <w:r w:rsidRPr="00795F17">
              <w:t>niskie</w:t>
            </w:r>
          </w:p>
        </w:tc>
      </w:tr>
      <w:tr w:rsidR="00421F1B" w:rsidRPr="00795F17" w14:paraId="036AD84E" w14:textId="77777777" w:rsidTr="00195E00">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3915DD67" w14:textId="77777777" w:rsidR="00421F1B" w:rsidRPr="00795F17" w:rsidRDefault="00421F1B" w:rsidP="0044393D">
            <w:pPr>
              <w:pStyle w:val="Teksttabelilewy"/>
            </w:pPr>
            <w:r w:rsidRPr="00795F17">
              <w:t>Ekstremalna temperatura dodatnia</w:t>
            </w:r>
          </w:p>
        </w:tc>
        <w:tc>
          <w:tcPr>
            <w:tcW w:w="856" w:type="pct"/>
            <w:tcBorders>
              <w:top w:val="nil"/>
              <w:left w:val="nil"/>
              <w:bottom w:val="single" w:sz="4" w:space="0" w:color="auto"/>
              <w:right w:val="single" w:sz="4" w:space="0" w:color="auto"/>
            </w:tcBorders>
            <w:shd w:val="clear" w:color="auto" w:fill="auto"/>
            <w:noWrap/>
            <w:vAlign w:val="center"/>
            <w:hideMark/>
          </w:tcPr>
          <w:p w14:paraId="16DB909D" w14:textId="00E1BAC8" w:rsidR="00421F1B" w:rsidRPr="00795F17" w:rsidRDefault="00421F1B" w:rsidP="0065243A">
            <w:pPr>
              <w:pStyle w:val="Teksttabelisrodek"/>
            </w:pPr>
            <w:r w:rsidRPr="00795F17">
              <w:t>powyżej 25°C, ok</w:t>
            </w:r>
            <w:r w:rsidR="00C6225B">
              <w:t>oło</w:t>
            </w:r>
            <w:r w:rsidRPr="00795F17">
              <w:t xml:space="preserve"> 35</w:t>
            </w:r>
            <w:r w:rsidR="00C6225B">
              <w:t xml:space="preserve"> </w:t>
            </w:r>
            <w:r w:rsidRPr="00795F17">
              <w:t>-</w:t>
            </w:r>
            <w:r w:rsidR="00C6225B">
              <w:t xml:space="preserve"> </w:t>
            </w:r>
            <w:r w:rsidRPr="00795F17">
              <w:t>45 dni w roku</w:t>
            </w:r>
          </w:p>
        </w:tc>
        <w:tc>
          <w:tcPr>
            <w:tcW w:w="456" w:type="pct"/>
            <w:tcBorders>
              <w:top w:val="nil"/>
              <w:left w:val="nil"/>
              <w:bottom w:val="single" w:sz="4" w:space="0" w:color="auto"/>
              <w:right w:val="single" w:sz="4" w:space="0" w:color="auto"/>
            </w:tcBorders>
            <w:shd w:val="clear" w:color="auto" w:fill="FFFF00"/>
            <w:noWrap/>
            <w:vAlign w:val="center"/>
            <w:hideMark/>
          </w:tcPr>
          <w:p w14:paraId="0047827F" w14:textId="77777777" w:rsidR="00421F1B" w:rsidRPr="00795F17" w:rsidRDefault="00421F1B" w:rsidP="005777B4">
            <w:pPr>
              <w:pStyle w:val="Teksttabelisrodek"/>
              <w:jc w:val="left"/>
            </w:pPr>
            <w:r w:rsidRPr="00795F17">
              <w:t>średnie</w:t>
            </w:r>
          </w:p>
        </w:tc>
        <w:tc>
          <w:tcPr>
            <w:tcW w:w="865" w:type="pct"/>
            <w:tcBorders>
              <w:top w:val="nil"/>
              <w:left w:val="nil"/>
              <w:bottom w:val="single" w:sz="4" w:space="0" w:color="auto"/>
              <w:right w:val="single" w:sz="4" w:space="0" w:color="auto"/>
            </w:tcBorders>
            <w:shd w:val="clear" w:color="auto" w:fill="auto"/>
            <w:noWrap/>
            <w:vAlign w:val="center"/>
            <w:hideMark/>
          </w:tcPr>
          <w:p w14:paraId="52660319" w14:textId="77777777" w:rsidR="00421F1B" w:rsidRPr="00795F17" w:rsidRDefault="00421F1B" w:rsidP="0065243A">
            <w:pPr>
              <w:pStyle w:val="Teksttabelisrodek"/>
            </w:pPr>
            <w:r w:rsidRPr="00795F17">
              <w:t>brak istotnej zmiany</w:t>
            </w:r>
          </w:p>
        </w:tc>
        <w:tc>
          <w:tcPr>
            <w:tcW w:w="448" w:type="pct"/>
            <w:tcBorders>
              <w:top w:val="nil"/>
              <w:left w:val="nil"/>
              <w:bottom w:val="single" w:sz="4" w:space="0" w:color="auto"/>
              <w:right w:val="single" w:sz="4" w:space="0" w:color="auto"/>
            </w:tcBorders>
            <w:shd w:val="clear" w:color="auto" w:fill="FFFF00"/>
            <w:vAlign w:val="center"/>
            <w:hideMark/>
          </w:tcPr>
          <w:p w14:paraId="2E91C26E" w14:textId="77777777" w:rsidR="00421F1B" w:rsidRPr="00795F17" w:rsidRDefault="00421F1B" w:rsidP="0065243A">
            <w:pPr>
              <w:pStyle w:val="Teksttabelisrodek"/>
            </w:pPr>
            <w:r w:rsidRPr="00795F17">
              <w:t>średnie</w:t>
            </w:r>
          </w:p>
        </w:tc>
        <w:tc>
          <w:tcPr>
            <w:tcW w:w="851" w:type="pct"/>
            <w:tcBorders>
              <w:top w:val="nil"/>
              <w:left w:val="nil"/>
              <w:bottom w:val="single" w:sz="4" w:space="0" w:color="auto"/>
              <w:right w:val="single" w:sz="4" w:space="0" w:color="auto"/>
            </w:tcBorders>
            <w:shd w:val="clear" w:color="auto" w:fill="auto"/>
            <w:vAlign w:val="center"/>
            <w:hideMark/>
          </w:tcPr>
          <w:p w14:paraId="28DCD0DA" w14:textId="6EC72840" w:rsidR="00421F1B" w:rsidRPr="00795F17" w:rsidRDefault="00421F1B" w:rsidP="0065243A">
            <w:pPr>
              <w:pStyle w:val="Teksttabelisrodek"/>
            </w:pPr>
            <w:r w:rsidRPr="00795F17">
              <w:t>wydłużenie o</w:t>
            </w:r>
            <w:r w:rsidR="00EA2FD2">
              <w:t> </w:t>
            </w:r>
            <w:r w:rsidRPr="00795F17">
              <w:t>11</w:t>
            </w:r>
            <w:r w:rsidR="00EA2FD2">
              <w:t xml:space="preserve"> </w:t>
            </w:r>
            <w:r w:rsidRPr="00795F17">
              <w:t>-</w:t>
            </w:r>
            <w:r w:rsidR="00EA2FD2">
              <w:t xml:space="preserve"> </w:t>
            </w:r>
            <w:r w:rsidRPr="00795F17">
              <w:t>12 dni/rok</w:t>
            </w:r>
          </w:p>
        </w:tc>
        <w:tc>
          <w:tcPr>
            <w:tcW w:w="516" w:type="pct"/>
            <w:tcBorders>
              <w:top w:val="nil"/>
              <w:left w:val="nil"/>
              <w:bottom w:val="single" w:sz="4" w:space="0" w:color="auto"/>
              <w:right w:val="single" w:sz="4" w:space="0" w:color="auto"/>
            </w:tcBorders>
            <w:shd w:val="clear" w:color="auto" w:fill="FF0000"/>
            <w:noWrap/>
            <w:vAlign w:val="center"/>
            <w:hideMark/>
          </w:tcPr>
          <w:p w14:paraId="3A44FB56" w14:textId="77777777" w:rsidR="00421F1B" w:rsidRPr="00795F17" w:rsidRDefault="00421F1B" w:rsidP="0065243A">
            <w:pPr>
              <w:pStyle w:val="Teksttabelisrodek"/>
            </w:pPr>
            <w:r w:rsidRPr="00795F17">
              <w:t>wysokie</w:t>
            </w:r>
          </w:p>
        </w:tc>
      </w:tr>
      <w:tr w:rsidR="00421F1B" w:rsidRPr="00795F17" w14:paraId="49FAFB01" w14:textId="77777777" w:rsidTr="00195E00">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34F8D572" w14:textId="77777777" w:rsidR="00421F1B" w:rsidRPr="00795F17" w:rsidRDefault="00421F1B" w:rsidP="0044393D">
            <w:pPr>
              <w:pStyle w:val="Teksttabelilewy"/>
            </w:pPr>
            <w:r w:rsidRPr="00795F17">
              <w:t>Temperatura ujemna</w:t>
            </w:r>
          </w:p>
        </w:tc>
        <w:tc>
          <w:tcPr>
            <w:tcW w:w="856" w:type="pct"/>
            <w:tcBorders>
              <w:top w:val="nil"/>
              <w:left w:val="nil"/>
              <w:bottom w:val="single" w:sz="4" w:space="0" w:color="auto"/>
              <w:right w:val="single" w:sz="4" w:space="0" w:color="auto"/>
            </w:tcBorders>
            <w:shd w:val="clear" w:color="auto" w:fill="auto"/>
            <w:noWrap/>
            <w:vAlign w:val="center"/>
            <w:hideMark/>
          </w:tcPr>
          <w:p w14:paraId="4921373A" w14:textId="560F3DDF" w:rsidR="00421F1B" w:rsidRPr="00795F17" w:rsidRDefault="00421F1B" w:rsidP="0065243A">
            <w:pPr>
              <w:pStyle w:val="Teksttabelisrodek"/>
            </w:pPr>
            <w:r w:rsidRPr="00795F17">
              <w:t>poniżej 0°C, 81</w:t>
            </w:r>
            <w:r w:rsidR="00C6225B">
              <w:t xml:space="preserve"> </w:t>
            </w:r>
            <w:r w:rsidRPr="00795F17">
              <w:t>-</w:t>
            </w:r>
            <w:r w:rsidR="00C6225B">
              <w:t xml:space="preserve"> </w:t>
            </w:r>
            <w:r w:rsidRPr="00795F17">
              <w:t>100 dni w roku</w:t>
            </w:r>
          </w:p>
        </w:tc>
        <w:tc>
          <w:tcPr>
            <w:tcW w:w="456" w:type="pct"/>
            <w:tcBorders>
              <w:top w:val="nil"/>
              <w:left w:val="nil"/>
              <w:bottom w:val="single" w:sz="4" w:space="0" w:color="auto"/>
              <w:right w:val="single" w:sz="4" w:space="0" w:color="auto"/>
            </w:tcBorders>
            <w:shd w:val="clear" w:color="auto" w:fill="FFFF00"/>
            <w:noWrap/>
            <w:vAlign w:val="center"/>
            <w:hideMark/>
          </w:tcPr>
          <w:p w14:paraId="1A508A7C" w14:textId="77777777" w:rsidR="00421F1B" w:rsidRPr="00795F17" w:rsidRDefault="00421F1B" w:rsidP="005777B4">
            <w:pPr>
              <w:pStyle w:val="Teksttabelisrodek"/>
              <w:jc w:val="left"/>
            </w:pPr>
            <w:r w:rsidRPr="00795F17">
              <w:t>średnie</w:t>
            </w:r>
          </w:p>
        </w:tc>
        <w:tc>
          <w:tcPr>
            <w:tcW w:w="865" w:type="pct"/>
            <w:tcBorders>
              <w:top w:val="nil"/>
              <w:left w:val="nil"/>
              <w:bottom w:val="single" w:sz="4" w:space="0" w:color="auto"/>
              <w:right w:val="single" w:sz="4" w:space="0" w:color="auto"/>
            </w:tcBorders>
            <w:shd w:val="clear" w:color="auto" w:fill="auto"/>
            <w:noWrap/>
            <w:vAlign w:val="center"/>
            <w:hideMark/>
          </w:tcPr>
          <w:p w14:paraId="1EDD656E" w14:textId="35513324" w:rsidR="00421F1B" w:rsidRPr="00795F17" w:rsidRDefault="00421F1B" w:rsidP="0065243A">
            <w:pPr>
              <w:pStyle w:val="Teksttabelisrodek"/>
            </w:pPr>
            <w:r w:rsidRPr="00795F17">
              <w:t xml:space="preserve">spadek </w:t>
            </w:r>
            <w:r w:rsidR="00EA2FD2">
              <w:br/>
            </w:r>
            <w:r w:rsidRPr="00795F17">
              <w:t>o</w:t>
            </w:r>
            <w:r w:rsidR="00325B9B">
              <w:t> </w:t>
            </w:r>
            <w:r w:rsidRPr="00795F17">
              <w:t>1</w:t>
            </w:r>
            <w:r w:rsidR="00325B9B">
              <w:t> – </w:t>
            </w:r>
            <w:r w:rsidRPr="00795F17">
              <w:t>2</w:t>
            </w:r>
            <w:r w:rsidR="00325B9B">
              <w:t> </w:t>
            </w:r>
            <w:r w:rsidRPr="00795F17">
              <w:t>dni/rok</w:t>
            </w:r>
          </w:p>
        </w:tc>
        <w:tc>
          <w:tcPr>
            <w:tcW w:w="448" w:type="pct"/>
            <w:tcBorders>
              <w:top w:val="nil"/>
              <w:left w:val="nil"/>
              <w:bottom w:val="single" w:sz="4" w:space="0" w:color="auto"/>
              <w:right w:val="single" w:sz="4" w:space="0" w:color="auto"/>
            </w:tcBorders>
            <w:shd w:val="clear" w:color="auto" w:fill="92D050"/>
            <w:vAlign w:val="center"/>
            <w:hideMark/>
          </w:tcPr>
          <w:p w14:paraId="2E88F126" w14:textId="77777777" w:rsidR="00421F1B" w:rsidRPr="00795F17" w:rsidRDefault="00421F1B" w:rsidP="0065243A">
            <w:pPr>
              <w:pStyle w:val="Teksttabelisrodek"/>
            </w:pPr>
            <w:r w:rsidRPr="00795F17">
              <w:t>niskie</w:t>
            </w:r>
          </w:p>
        </w:tc>
        <w:tc>
          <w:tcPr>
            <w:tcW w:w="851" w:type="pct"/>
            <w:tcBorders>
              <w:top w:val="nil"/>
              <w:left w:val="nil"/>
              <w:bottom w:val="single" w:sz="4" w:space="0" w:color="auto"/>
              <w:right w:val="single" w:sz="4" w:space="0" w:color="auto"/>
            </w:tcBorders>
            <w:shd w:val="clear" w:color="auto" w:fill="auto"/>
            <w:vAlign w:val="center"/>
            <w:hideMark/>
          </w:tcPr>
          <w:p w14:paraId="5697FD85" w14:textId="0723C1E0" w:rsidR="00421F1B" w:rsidRPr="00795F17" w:rsidRDefault="00421F1B" w:rsidP="0065243A">
            <w:pPr>
              <w:pStyle w:val="Teksttabelisrodek"/>
            </w:pPr>
            <w:r w:rsidRPr="00795F17">
              <w:t xml:space="preserve">spadek </w:t>
            </w:r>
            <w:r w:rsidR="00EA2FD2">
              <w:br/>
            </w:r>
            <w:r w:rsidRPr="00795F17">
              <w:t>o</w:t>
            </w:r>
            <w:r w:rsidR="00EA2FD2">
              <w:t> </w:t>
            </w:r>
            <w:r w:rsidRPr="00795F17">
              <w:t>24</w:t>
            </w:r>
            <w:r w:rsidR="00EA2FD2">
              <w:t xml:space="preserve"> </w:t>
            </w:r>
            <w:r w:rsidRPr="00795F17">
              <w:t>-</w:t>
            </w:r>
            <w:r w:rsidR="00EA2FD2">
              <w:t xml:space="preserve"> </w:t>
            </w:r>
            <w:r w:rsidRPr="00795F17">
              <w:t>25 dni/rok</w:t>
            </w:r>
          </w:p>
        </w:tc>
        <w:tc>
          <w:tcPr>
            <w:tcW w:w="516" w:type="pct"/>
            <w:tcBorders>
              <w:top w:val="nil"/>
              <w:left w:val="nil"/>
              <w:bottom w:val="single" w:sz="4" w:space="0" w:color="auto"/>
              <w:right w:val="single" w:sz="4" w:space="0" w:color="auto"/>
            </w:tcBorders>
            <w:shd w:val="clear" w:color="auto" w:fill="92D050"/>
            <w:noWrap/>
            <w:vAlign w:val="center"/>
            <w:hideMark/>
          </w:tcPr>
          <w:p w14:paraId="1FE5B26E" w14:textId="77777777" w:rsidR="00421F1B" w:rsidRPr="00795F17" w:rsidRDefault="00421F1B" w:rsidP="0065243A">
            <w:pPr>
              <w:pStyle w:val="Teksttabelisrodek"/>
            </w:pPr>
            <w:r w:rsidRPr="00795F17">
              <w:t>niskie</w:t>
            </w:r>
          </w:p>
        </w:tc>
      </w:tr>
      <w:tr w:rsidR="00421F1B" w:rsidRPr="00795F17" w14:paraId="585BC341" w14:textId="77777777" w:rsidTr="00195E00">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tcPr>
          <w:p w14:paraId="3C7C356C" w14:textId="77777777" w:rsidR="00421F1B" w:rsidRPr="00795F17" w:rsidRDefault="00421F1B" w:rsidP="0044393D">
            <w:pPr>
              <w:pStyle w:val="Teksttabelilewy"/>
            </w:pPr>
            <w:r w:rsidRPr="00795F17">
              <w:t>Średni opad</w:t>
            </w:r>
          </w:p>
        </w:tc>
        <w:tc>
          <w:tcPr>
            <w:tcW w:w="856" w:type="pct"/>
            <w:tcBorders>
              <w:top w:val="nil"/>
              <w:left w:val="nil"/>
              <w:bottom w:val="single" w:sz="4" w:space="0" w:color="auto"/>
              <w:right w:val="single" w:sz="4" w:space="0" w:color="auto"/>
            </w:tcBorders>
            <w:shd w:val="clear" w:color="auto" w:fill="auto"/>
            <w:noWrap/>
            <w:vAlign w:val="center"/>
          </w:tcPr>
          <w:p w14:paraId="041A44D5" w14:textId="58841B4A" w:rsidR="00421F1B" w:rsidRPr="00795F17" w:rsidRDefault="00421F1B" w:rsidP="0065243A">
            <w:pPr>
              <w:pStyle w:val="Teksttabelisrodek"/>
            </w:pPr>
            <w:r w:rsidRPr="00795F17">
              <w:t>ok</w:t>
            </w:r>
            <w:r w:rsidR="00C6225B">
              <w:t>oło</w:t>
            </w:r>
            <w:r w:rsidRPr="00795F17">
              <w:t xml:space="preserve"> 2,14</w:t>
            </w:r>
            <w:r w:rsidR="00C6225B">
              <w:t xml:space="preserve"> </w:t>
            </w:r>
            <w:r w:rsidRPr="00795F17">
              <w:t>-</w:t>
            </w:r>
            <w:r w:rsidR="00C6225B">
              <w:t xml:space="preserve"> </w:t>
            </w:r>
            <w:r w:rsidRPr="00795F17">
              <w:t>3,0</w:t>
            </w:r>
            <w:r w:rsidR="00C6225B">
              <w:t> </w:t>
            </w:r>
            <w:r w:rsidRPr="00795F17">
              <w:t>mm na dobę</w:t>
            </w:r>
          </w:p>
        </w:tc>
        <w:tc>
          <w:tcPr>
            <w:tcW w:w="456" w:type="pct"/>
            <w:tcBorders>
              <w:top w:val="nil"/>
              <w:left w:val="nil"/>
              <w:bottom w:val="single" w:sz="4" w:space="0" w:color="auto"/>
              <w:right w:val="single" w:sz="4" w:space="0" w:color="auto"/>
            </w:tcBorders>
            <w:shd w:val="clear" w:color="auto" w:fill="92D050"/>
            <w:noWrap/>
            <w:vAlign w:val="center"/>
          </w:tcPr>
          <w:p w14:paraId="7ECF55A0" w14:textId="77777777" w:rsidR="00421F1B" w:rsidRPr="00795F17" w:rsidRDefault="00421F1B" w:rsidP="005777B4">
            <w:pPr>
              <w:pStyle w:val="Teksttabelisrodek"/>
              <w:jc w:val="left"/>
            </w:pPr>
            <w:r w:rsidRPr="00795F17">
              <w:t xml:space="preserve">niskie </w:t>
            </w:r>
          </w:p>
        </w:tc>
        <w:tc>
          <w:tcPr>
            <w:tcW w:w="865" w:type="pct"/>
            <w:tcBorders>
              <w:top w:val="nil"/>
              <w:left w:val="nil"/>
              <w:bottom w:val="single" w:sz="4" w:space="0" w:color="auto"/>
              <w:right w:val="single" w:sz="4" w:space="0" w:color="auto"/>
            </w:tcBorders>
            <w:shd w:val="clear" w:color="auto" w:fill="auto"/>
            <w:noWrap/>
            <w:vAlign w:val="center"/>
          </w:tcPr>
          <w:p w14:paraId="7314C871" w14:textId="77777777" w:rsidR="00421F1B" w:rsidRPr="00795F17" w:rsidRDefault="00421F1B" w:rsidP="0065243A">
            <w:pPr>
              <w:pStyle w:val="Teksttabelisrodek"/>
            </w:pPr>
            <w:r w:rsidRPr="00795F17">
              <w:t>zbliżone natężenie opadu średniego</w:t>
            </w:r>
          </w:p>
        </w:tc>
        <w:tc>
          <w:tcPr>
            <w:tcW w:w="448" w:type="pct"/>
            <w:tcBorders>
              <w:top w:val="nil"/>
              <w:left w:val="nil"/>
              <w:bottom w:val="single" w:sz="4" w:space="0" w:color="auto"/>
              <w:right w:val="single" w:sz="4" w:space="0" w:color="auto"/>
            </w:tcBorders>
            <w:shd w:val="clear" w:color="auto" w:fill="92D050"/>
            <w:vAlign w:val="center"/>
          </w:tcPr>
          <w:p w14:paraId="7F5A97D9" w14:textId="77777777" w:rsidR="00421F1B" w:rsidRPr="00795F17" w:rsidRDefault="00421F1B" w:rsidP="0065243A">
            <w:pPr>
              <w:pStyle w:val="Teksttabelisrodek"/>
            </w:pPr>
            <w:r w:rsidRPr="00795F17">
              <w:t>niskie</w:t>
            </w:r>
          </w:p>
        </w:tc>
        <w:tc>
          <w:tcPr>
            <w:tcW w:w="851" w:type="pct"/>
            <w:tcBorders>
              <w:top w:val="nil"/>
              <w:left w:val="nil"/>
              <w:bottom w:val="single" w:sz="4" w:space="0" w:color="auto"/>
              <w:right w:val="single" w:sz="4" w:space="0" w:color="auto"/>
            </w:tcBorders>
            <w:shd w:val="clear" w:color="auto" w:fill="auto"/>
            <w:vAlign w:val="center"/>
          </w:tcPr>
          <w:p w14:paraId="51806953" w14:textId="0CD12F44" w:rsidR="00421F1B" w:rsidRPr="00795F17" w:rsidRDefault="00421F1B" w:rsidP="0065243A">
            <w:pPr>
              <w:pStyle w:val="Teksttabelisrodek"/>
            </w:pPr>
            <w:r w:rsidRPr="00795F17">
              <w:t>2,3</w:t>
            </w:r>
            <w:r w:rsidR="00EA2FD2">
              <w:t xml:space="preserve"> </w:t>
            </w:r>
            <w:r w:rsidRPr="00795F17">
              <w:t>-</w:t>
            </w:r>
            <w:r w:rsidR="00EA2FD2">
              <w:t xml:space="preserve"> </w:t>
            </w:r>
            <w:r w:rsidRPr="00795F17">
              <w:t>4,1 mm na dobę</w:t>
            </w:r>
          </w:p>
        </w:tc>
        <w:tc>
          <w:tcPr>
            <w:tcW w:w="516" w:type="pct"/>
            <w:tcBorders>
              <w:top w:val="nil"/>
              <w:left w:val="nil"/>
              <w:bottom w:val="single" w:sz="4" w:space="0" w:color="auto"/>
              <w:right w:val="single" w:sz="4" w:space="0" w:color="auto"/>
            </w:tcBorders>
            <w:shd w:val="clear" w:color="auto" w:fill="92D050"/>
            <w:noWrap/>
            <w:vAlign w:val="center"/>
          </w:tcPr>
          <w:p w14:paraId="46557AFB" w14:textId="77777777" w:rsidR="00421F1B" w:rsidRPr="00795F17" w:rsidRDefault="00421F1B" w:rsidP="0065243A">
            <w:pPr>
              <w:pStyle w:val="Teksttabelisrodek"/>
            </w:pPr>
            <w:r w:rsidRPr="00795F17">
              <w:t>niskie</w:t>
            </w:r>
          </w:p>
        </w:tc>
      </w:tr>
      <w:tr w:rsidR="00421F1B" w:rsidRPr="00795F17" w14:paraId="3A8622C4" w14:textId="77777777" w:rsidTr="00195E00">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535E66CF" w14:textId="77777777" w:rsidR="00421F1B" w:rsidRPr="00795F17" w:rsidRDefault="00421F1B" w:rsidP="0044393D">
            <w:pPr>
              <w:pStyle w:val="Teksttabelilewy"/>
            </w:pPr>
            <w:r w:rsidRPr="00795F17">
              <w:t>Liczba dni z opadem w roku</w:t>
            </w:r>
          </w:p>
        </w:tc>
        <w:tc>
          <w:tcPr>
            <w:tcW w:w="856" w:type="pct"/>
            <w:tcBorders>
              <w:top w:val="nil"/>
              <w:left w:val="nil"/>
              <w:bottom w:val="single" w:sz="4" w:space="0" w:color="auto"/>
              <w:right w:val="single" w:sz="4" w:space="0" w:color="auto"/>
            </w:tcBorders>
            <w:shd w:val="clear" w:color="auto" w:fill="auto"/>
            <w:noWrap/>
            <w:vAlign w:val="center"/>
            <w:hideMark/>
          </w:tcPr>
          <w:p w14:paraId="679AF700" w14:textId="7839AD46" w:rsidR="00421F1B" w:rsidRPr="00795F17" w:rsidRDefault="00421F1B" w:rsidP="0065243A">
            <w:pPr>
              <w:pStyle w:val="Teksttabelisrodek"/>
            </w:pPr>
            <w:r w:rsidRPr="00795F17">
              <w:t>ok</w:t>
            </w:r>
            <w:r w:rsidR="00C6225B">
              <w:t>oło</w:t>
            </w:r>
            <w:r w:rsidRPr="00795F17">
              <w:t xml:space="preserve"> 129</w:t>
            </w:r>
            <w:r w:rsidR="00C6225B">
              <w:t xml:space="preserve"> – </w:t>
            </w:r>
            <w:r w:rsidRPr="00795F17">
              <w:t>155</w:t>
            </w:r>
            <w:r w:rsidR="00C6225B">
              <w:t> </w:t>
            </w:r>
            <w:r w:rsidRPr="00795F17">
              <w:t>dni w roku</w:t>
            </w:r>
          </w:p>
        </w:tc>
        <w:tc>
          <w:tcPr>
            <w:tcW w:w="456" w:type="pct"/>
            <w:tcBorders>
              <w:top w:val="nil"/>
              <w:left w:val="nil"/>
              <w:bottom w:val="single" w:sz="4" w:space="0" w:color="auto"/>
              <w:right w:val="single" w:sz="4" w:space="0" w:color="auto"/>
            </w:tcBorders>
            <w:shd w:val="clear" w:color="auto" w:fill="FFFF00"/>
            <w:noWrap/>
            <w:vAlign w:val="center"/>
            <w:hideMark/>
          </w:tcPr>
          <w:p w14:paraId="3F02B91B" w14:textId="77777777" w:rsidR="00421F1B" w:rsidRPr="00795F17" w:rsidRDefault="00421F1B" w:rsidP="000A6056">
            <w:pPr>
              <w:pStyle w:val="Teksttabelisrodek"/>
              <w:jc w:val="left"/>
            </w:pPr>
            <w:r w:rsidRPr="00795F17">
              <w:t xml:space="preserve">średnie </w:t>
            </w:r>
          </w:p>
        </w:tc>
        <w:tc>
          <w:tcPr>
            <w:tcW w:w="865" w:type="pct"/>
            <w:tcBorders>
              <w:top w:val="nil"/>
              <w:left w:val="nil"/>
              <w:bottom w:val="single" w:sz="4" w:space="0" w:color="auto"/>
              <w:right w:val="single" w:sz="4" w:space="0" w:color="auto"/>
            </w:tcBorders>
            <w:shd w:val="clear" w:color="auto" w:fill="auto"/>
            <w:noWrap/>
            <w:vAlign w:val="center"/>
            <w:hideMark/>
          </w:tcPr>
          <w:p w14:paraId="66840F2E" w14:textId="57B94818" w:rsidR="00421F1B" w:rsidRPr="00795F17" w:rsidRDefault="00421F1B" w:rsidP="0065243A">
            <w:pPr>
              <w:pStyle w:val="Teksttabelisrodek"/>
            </w:pPr>
            <w:r w:rsidRPr="00795F17">
              <w:t>bez istotnej tendencji, spadek o 1</w:t>
            </w:r>
            <w:r w:rsidR="00325B9B">
              <w:t xml:space="preserve"> </w:t>
            </w:r>
            <w:r w:rsidRPr="00795F17">
              <w:t>-</w:t>
            </w:r>
            <w:r w:rsidR="00325B9B">
              <w:t xml:space="preserve"> </w:t>
            </w:r>
            <w:r w:rsidRPr="00795F17">
              <w:t>2 dni/rok</w:t>
            </w:r>
          </w:p>
        </w:tc>
        <w:tc>
          <w:tcPr>
            <w:tcW w:w="448" w:type="pct"/>
            <w:tcBorders>
              <w:top w:val="nil"/>
              <w:left w:val="nil"/>
              <w:bottom w:val="single" w:sz="4" w:space="0" w:color="auto"/>
              <w:right w:val="single" w:sz="4" w:space="0" w:color="auto"/>
            </w:tcBorders>
            <w:shd w:val="clear" w:color="auto" w:fill="FFFF00"/>
            <w:vAlign w:val="center"/>
            <w:hideMark/>
          </w:tcPr>
          <w:p w14:paraId="734757C3" w14:textId="551E4EAE" w:rsidR="00421F1B" w:rsidRPr="00795F17" w:rsidRDefault="00421F1B" w:rsidP="0065243A">
            <w:pPr>
              <w:pStyle w:val="Teksttabelisrodek"/>
            </w:pPr>
            <w:r w:rsidRPr="00795F17">
              <w:t>średnie</w:t>
            </w:r>
          </w:p>
        </w:tc>
        <w:tc>
          <w:tcPr>
            <w:tcW w:w="851" w:type="pct"/>
            <w:tcBorders>
              <w:top w:val="nil"/>
              <w:left w:val="nil"/>
              <w:bottom w:val="single" w:sz="4" w:space="0" w:color="auto"/>
              <w:right w:val="single" w:sz="4" w:space="0" w:color="auto"/>
            </w:tcBorders>
            <w:shd w:val="clear" w:color="auto" w:fill="auto"/>
            <w:vAlign w:val="center"/>
            <w:hideMark/>
          </w:tcPr>
          <w:p w14:paraId="12FEBDF1" w14:textId="141203DF" w:rsidR="00421F1B" w:rsidRPr="00795F17" w:rsidRDefault="00421F1B" w:rsidP="0065243A">
            <w:pPr>
              <w:pStyle w:val="Teksttabelisrodek"/>
            </w:pPr>
            <w:r w:rsidRPr="00795F17">
              <w:t>brak wyraźnej tendencji</w:t>
            </w:r>
            <w:r w:rsidR="00E64AD0" w:rsidRPr="00795F17">
              <w:t xml:space="preserve"> - brak istotnych zmian</w:t>
            </w:r>
          </w:p>
        </w:tc>
        <w:tc>
          <w:tcPr>
            <w:tcW w:w="516" w:type="pct"/>
            <w:tcBorders>
              <w:top w:val="nil"/>
              <w:left w:val="nil"/>
              <w:bottom w:val="single" w:sz="4" w:space="0" w:color="auto"/>
              <w:right w:val="single" w:sz="4" w:space="0" w:color="auto"/>
            </w:tcBorders>
            <w:shd w:val="clear" w:color="auto" w:fill="FFFF00"/>
            <w:noWrap/>
            <w:vAlign w:val="center"/>
            <w:hideMark/>
          </w:tcPr>
          <w:p w14:paraId="51C981D1" w14:textId="29A735E4" w:rsidR="00421F1B" w:rsidRPr="00795F17" w:rsidRDefault="00421F1B" w:rsidP="0065243A">
            <w:pPr>
              <w:pStyle w:val="Teksttabelisrodek"/>
            </w:pPr>
            <w:r w:rsidRPr="00795F17">
              <w:t>średnie</w:t>
            </w:r>
          </w:p>
        </w:tc>
      </w:tr>
      <w:tr w:rsidR="00421F1B" w:rsidRPr="00795F17" w14:paraId="21CB238A" w14:textId="77777777" w:rsidTr="00EA2FD2">
        <w:trPr>
          <w:trHeight w:val="530"/>
        </w:trPr>
        <w:tc>
          <w:tcPr>
            <w:tcW w:w="100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F08C00" w14:textId="77777777" w:rsidR="00421F1B" w:rsidRPr="00795F17" w:rsidRDefault="00421F1B" w:rsidP="0044393D">
            <w:pPr>
              <w:pStyle w:val="Teksttabelilewy"/>
            </w:pPr>
            <w:r w:rsidRPr="00795F17">
              <w:t>Opady nawalne</w:t>
            </w:r>
          </w:p>
        </w:tc>
        <w:tc>
          <w:tcPr>
            <w:tcW w:w="856" w:type="pct"/>
            <w:tcBorders>
              <w:top w:val="nil"/>
              <w:left w:val="nil"/>
              <w:bottom w:val="single" w:sz="4" w:space="0" w:color="auto"/>
              <w:right w:val="single" w:sz="4" w:space="0" w:color="auto"/>
            </w:tcBorders>
            <w:shd w:val="clear" w:color="auto" w:fill="auto"/>
            <w:vAlign w:val="center"/>
            <w:hideMark/>
          </w:tcPr>
          <w:p w14:paraId="1537AAD4" w14:textId="46D3CD27" w:rsidR="00421F1B" w:rsidRPr="00795F17" w:rsidRDefault="00421F1B" w:rsidP="0065243A">
            <w:pPr>
              <w:pStyle w:val="Teksttabelisrodek"/>
            </w:pPr>
            <w:r w:rsidRPr="00795F17">
              <w:t>powyżej 10 mm na dobę: 18</w:t>
            </w:r>
            <w:r w:rsidR="00C6225B">
              <w:t xml:space="preserve"> – </w:t>
            </w:r>
            <w:r w:rsidRPr="00795F17">
              <w:t>30</w:t>
            </w:r>
            <w:r w:rsidR="00C6225B">
              <w:t> </w:t>
            </w:r>
            <w:r w:rsidRPr="00795F17">
              <w:t>dni w roku</w:t>
            </w:r>
          </w:p>
        </w:tc>
        <w:tc>
          <w:tcPr>
            <w:tcW w:w="456" w:type="pct"/>
            <w:tcBorders>
              <w:top w:val="nil"/>
              <w:left w:val="nil"/>
              <w:bottom w:val="single" w:sz="4" w:space="0" w:color="auto"/>
              <w:right w:val="single" w:sz="4" w:space="0" w:color="auto"/>
            </w:tcBorders>
            <w:shd w:val="clear" w:color="auto" w:fill="FFFF00"/>
            <w:noWrap/>
            <w:vAlign w:val="center"/>
            <w:hideMark/>
          </w:tcPr>
          <w:p w14:paraId="13A13DCB" w14:textId="77777777" w:rsidR="00421F1B" w:rsidRPr="00795F17" w:rsidRDefault="00421F1B" w:rsidP="000A6056">
            <w:pPr>
              <w:pStyle w:val="Teksttabelisrodek"/>
              <w:jc w:val="left"/>
            </w:pPr>
            <w:r w:rsidRPr="00795F17">
              <w:t>średnie</w:t>
            </w:r>
          </w:p>
        </w:tc>
        <w:tc>
          <w:tcPr>
            <w:tcW w:w="865" w:type="pct"/>
            <w:tcBorders>
              <w:top w:val="nil"/>
              <w:left w:val="nil"/>
              <w:bottom w:val="single" w:sz="4" w:space="0" w:color="auto"/>
              <w:right w:val="single" w:sz="4" w:space="0" w:color="auto"/>
            </w:tcBorders>
            <w:shd w:val="clear" w:color="auto" w:fill="auto"/>
            <w:vAlign w:val="center"/>
            <w:hideMark/>
          </w:tcPr>
          <w:p w14:paraId="2BCC3FC2" w14:textId="23285193" w:rsidR="00421F1B" w:rsidRPr="00795F17" w:rsidRDefault="00421F1B" w:rsidP="0065243A">
            <w:pPr>
              <w:pStyle w:val="Teksttabelisrodek"/>
            </w:pPr>
            <w:r w:rsidRPr="00795F17">
              <w:t xml:space="preserve">niewielka tendencja spadkowa, spadek </w:t>
            </w:r>
            <w:r w:rsidR="00EA2FD2">
              <w:br/>
            </w:r>
            <w:r w:rsidRPr="00795F17">
              <w:t>o</w:t>
            </w:r>
            <w:r w:rsidR="00EA2FD2">
              <w:t> </w:t>
            </w:r>
            <w:r w:rsidRPr="00795F17">
              <w:t>0,6</w:t>
            </w:r>
            <w:r w:rsidR="00325B9B">
              <w:t xml:space="preserve"> </w:t>
            </w:r>
            <w:r w:rsidRPr="00795F17">
              <w:t>-</w:t>
            </w:r>
            <w:r w:rsidR="00325B9B">
              <w:t xml:space="preserve"> </w:t>
            </w:r>
            <w:r w:rsidRPr="00795F17">
              <w:t>1,0</w:t>
            </w:r>
            <w:r w:rsidR="00325B9B">
              <w:t> </w:t>
            </w:r>
            <w:r w:rsidRPr="00795F17">
              <w:t>dzień na rok</w:t>
            </w:r>
          </w:p>
        </w:tc>
        <w:tc>
          <w:tcPr>
            <w:tcW w:w="448" w:type="pct"/>
            <w:tcBorders>
              <w:top w:val="nil"/>
              <w:left w:val="nil"/>
              <w:bottom w:val="single" w:sz="4" w:space="0" w:color="auto"/>
              <w:right w:val="single" w:sz="4" w:space="0" w:color="auto"/>
            </w:tcBorders>
            <w:shd w:val="clear" w:color="auto" w:fill="FFFF00"/>
            <w:vAlign w:val="center"/>
            <w:hideMark/>
          </w:tcPr>
          <w:p w14:paraId="55B6B2FE" w14:textId="77777777" w:rsidR="00421F1B" w:rsidRPr="00795F17" w:rsidRDefault="00421F1B" w:rsidP="0065243A">
            <w:pPr>
              <w:pStyle w:val="Teksttabelisrodek"/>
            </w:pPr>
            <w:r w:rsidRPr="00795F17">
              <w:t>średnie</w:t>
            </w:r>
          </w:p>
        </w:tc>
        <w:tc>
          <w:tcPr>
            <w:tcW w:w="851" w:type="pct"/>
            <w:tcBorders>
              <w:top w:val="nil"/>
              <w:left w:val="nil"/>
              <w:bottom w:val="single" w:sz="4" w:space="0" w:color="auto"/>
              <w:right w:val="single" w:sz="4" w:space="0" w:color="auto"/>
            </w:tcBorders>
            <w:shd w:val="clear" w:color="auto" w:fill="auto"/>
            <w:vAlign w:val="center"/>
            <w:hideMark/>
          </w:tcPr>
          <w:p w14:paraId="5CFD98FB" w14:textId="1D1129C3" w:rsidR="00421F1B" w:rsidRPr="00795F17" w:rsidRDefault="00421F1B" w:rsidP="0065243A">
            <w:pPr>
              <w:pStyle w:val="Teksttabelisrodek"/>
            </w:pPr>
            <w:r w:rsidRPr="00795F17">
              <w:t xml:space="preserve">przyrost </w:t>
            </w:r>
            <w:r w:rsidR="00EA2FD2">
              <w:br/>
            </w:r>
            <w:r w:rsidRPr="00795F17">
              <w:t>o 1,6</w:t>
            </w:r>
            <w:r w:rsidR="00EA2FD2">
              <w:t xml:space="preserve"> </w:t>
            </w:r>
            <w:r w:rsidRPr="00795F17">
              <w:t>-</w:t>
            </w:r>
            <w:r w:rsidR="00EA2FD2">
              <w:t xml:space="preserve"> </w:t>
            </w:r>
            <w:r w:rsidRPr="00795F17">
              <w:t>2,0 dni na rok</w:t>
            </w:r>
          </w:p>
        </w:tc>
        <w:tc>
          <w:tcPr>
            <w:tcW w:w="516" w:type="pct"/>
            <w:tcBorders>
              <w:top w:val="nil"/>
              <w:left w:val="nil"/>
              <w:bottom w:val="single" w:sz="4" w:space="0" w:color="auto"/>
              <w:right w:val="single" w:sz="4" w:space="0" w:color="auto"/>
            </w:tcBorders>
            <w:shd w:val="clear" w:color="auto" w:fill="FFFF00"/>
            <w:noWrap/>
            <w:vAlign w:val="center"/>
            <w:hideMark/>
          </w:tcPr>
          <w:p w14:paraId="07E2C5CE" w14:textId="77777777" w:rsidR="00421F1B" w:rsidRPr="00795F17" w:rsidRDefault="00421F1B" w:rsidP="0065243A">
            <w:pPr>
              <w:pStyle w:val="Teksttabelisrodek"/>
            </w:pPr>
            <w:r w:rsidRPr="00795F17">
              <w:t>średnie</w:t>
            </w:r>
          </w:p>
        </w:tc>
      </w:tr>
      <w:tr w:rsidR="00421F1B" w:rsidRPr="00795F17" w14:paraId="547E2B21" w14:textId="77777777" w:rsidTr="00EA2FD2">
        <w:trPr>
          <w:trHeight w:val="717"/>
        </w:trPr>
        <w:tc>
          <w:tcPr>
            <w:tcW w:w="1007" w:type="pct"/>
            <w:vMerge/>
            <w:tcBorders>
              <w:top w:val="nil"/>
              <w:left w:val="single" w:sz="4" w:space="0" w:color="auto"/>
              <w:bottom w:val="single" w:sz="4" w:space="0" w:color="auto"/>
              <w:right w:val="single" w:sz="4" w:space="0" w:color="auto"/>
            </w:tcBorders>
            <w:shd w:val="clear" w:color="auto" w:fill="auto"/>
            <w:vAlign w:val="center"/>
            <w:hideMark/>
          </w:tcPr>
          <w:p w14:paraId="091F255A" w14:textId="77777777" w:rsidR="00421F1B" w:rsidRPr="00795F17" w:rsidRDefault="00421F1B" w:rsidP="0044393D">
            <w:pPr>
              <w:pStyle w:val="Teksttabelilewy"/>
            </w:pPr>
          </w:p>
        </w:tc>
        <w:tc>
          <w:tcPr>
            <w:tcW w:w="856" w:type="pct"/>
            <w:tcBorders>
              <w:top w:val="single" w:sz="4" w:space="0" w:color="auto"/>
              <w:left w:val="nil"/>
              <w:bottom w:val="single" w:sz="4" w:space="0" w:color="auto"/>
              <w:right w:val="single" w:sz="4" w:space="0" w:color="auto"/>
            </w:tcBorders>
            <w:shd w:val="clear" w:color="auto" w:fill="auto"/>
            <w:vAlign w:val="center"/>
            <w:hideMark/>
          </w:tcPr>
          <w:p w14:paraId="0AE8945D" w14:textId="54C26582" w:rsidR="00421F1B" w:rsidRPr="00795F17" w:rsidRDefault="00421F1B" w:rsidP="0065243A">
            <w:pPr>
              <w:pStyle w:val="Teksttabelisrodek"/>
            </w:pPr>
            <w:r w:rsidRPr="00795F17">
              <w:t>powyżej 20 mm na dobę: 4,2</w:t>
            </w:r>
            <w:r w:rsidR="00C6225B">
              <w:t xml:space="preserve"> </w:t>
            </w:r>
            <w:r w:rsidRPr="00795F17">
              <w:t>-</w:t>
            </w:r>
            <w:r w:rsidR="00C6225B">
              <w:t xml:space="preserve"> </w:t>
            </w:r>
            <w:r w:rsidRPr="00795F17">
              <w:t>7,5 dnia w roku</w:t>
            </w:r>
          </w:p>
        </w:tc>
        <w:tc>
          <w:tcPr>
            <w:tcW w:w="456" w:type="pct"/>
            <w:tcBorders>
              <w:top w:val="single" w:sz="4" w:space="0" w:color="auto"/>
              <w:left w:val="nil"/>
              <w:bottom w:val="single" w:sz="4" w:space="0" w:color="auto"/>
              <w:right w:val="single" w:sz="4" w:space="0" w:color="auto"/>
            </w:tcBorders>
            <w:shd w:val="clear" w:color="auto" w:fill="FFFF00"/>
            <w:noWrap/>
            <w:vAlign w:val="center"/>
            <w:hideMark/>
          </w:tcPr>
          <w:p w14:paraId="17905CC6" w14:textId="77777777" w:rsidR="00421F1B" w:rsidRPr="00795F17" w:rsidRDefault="00421F1B" w:rsidP="000A6056">
            <w:pPr>
              <w:pStyle w:val="Teksttabelisrodek"/>
              <w:jc w:val="left"/>
            </w:pPr>
            <w:r w:rsidRPr="00795F17">
              <w:t>średnie</w:t>
            </w:r>
          </w:p>
        </w:tc>
        <w:tc>
          <w:tcPr>
            <w:tcW w:w="865" w:type="pct"/>
            <w:tcBorders>
              <w:top w:val="single" w:sz="4" w:space="0" w:color="auto"/>
              <w:left w:val="nil"/>
              <w:bottom w:val="single" w:sz="4" w:space="0" w:color="auto"/>
              <w:right w:val="single" w:sz="4" w:space="0" w:color="auto"/>
            </w:tcBorders>
            <w:shd w:val="clear" w:color="auto" w:fill="auto"/>
            <w:vAlign w:val="center"/>
            <w:hideMark/>
          </w:tcPr>
          <w:p w14:paraId="1843D91F" w14:textId="77777777" w:rsidR="00421F1B" w:rsidRPr="00795F17" w:rsidRDefault="00421F1B" w:rsidP="0065243A">
            <w:pPr>
              <w:pStyle w:val="Teksttabelisrodek"/>
            </w:pPr>
            <w:r w:rsidRPr="00795F17">
              <w:t>brak znaczącego przyrostu</w:t>
            </w:r>
          </w:p>
        </w:tc>
        <w:tc>
          <w:tcPr>
            <w:tcW w:w="448" w:type="pct"/>
            <w:tcBorders>
              <w:top w:val="single" w:sz="4" w:space="0" w:color="auto"/>
              <w:left w:val="nil"/>
              <w:bottom w:val="single" w:sz="4" w:space="0" w:color="auto"/>
              <w:right w:val="single" w:sz="4" w:space="0" w:color="auto"/>
            </w:tcBorders>
            <w:shd w:val="clear" w:color="auto" w:fill="FFFF00"/>
            <w:vAlign w:val="center"/>
            <w:hideMark/>
          </w:tcPr>
          <w:p w14:paraId="7DED2EC8" w14:textId="77777777" w:rsidR="00421F1B" w:rsidRPr="00795F17" w:rsidRDefault="00421F1B" w:rsidP="0065243A">
            <w:pPr>
              <w:pStyle w:val="Teksttabelisrodek"/>
            </w:pPr>
            <w:r w:rsidRPr="00795F17">
              <w:t>średnie</w:t>
            </w:r>
          </w:p>
        </w:tc>
        <w:tc>
          <w:tcPr>
            <w:tcW w:w="851" w:type="pct"/>
            <w:tcBorders>
              <w:top w:val="single" w:sz="4" w:space="0" w:color="auto"/>
              <w:left w:val="nil"/>
              <w:bottom w:val="single" w:sz="4" w:space="0" w:color="auto"/>
              <w:right w:val="single" w:sz="4" w:space="0" w:color="auto"/>
            </w:tcBorders>
            <w:shd w:val="clear" w:color="auto" w:fill="auto"/>
            <w:vAlign w:val="center"/>
            <w:hideMark/>
          </w:tcPr>
          <w:p w14:paraId="0F28BB86" w14:textId="46C57842" w:rsidR="00421F1B" w:rsidRPr="00795F17" w:rsidRDefault="00421F1B" w:rsidP="0065243A">
            <w:pPr>
              <w:pStyle w:val="Teksttabelisrodek"/>
            </w:pPr>
            <w:r w:rsidRPr="00795F17">
              <w:t xml:space="preserve">przyrost </w:t>
            </w:r>
            <w:r w:rsidR="00EA2FD2">
              <w:br/>
            </w:r>
            <w:r w:rsidRPr="00795F17">
              <w:t>o 1,2</w:t>
            </w:r>
            <w:r w:rsidR="00EA2FD2">
              <w:t xml:space="preserve"> </w:t>
            </w:r>
            <w:r w:rsidRPr="00795F17">
              <w:t>-</w:t>
            </w:r>
            <w:r w:rsidR="00EA2FD2">
              <w:t xml:space="preserve"> </w:t>
            </w:r>
            <w:r w:rsidRPr="00795F17">
              <w:t>2,1 dnia na rok</w:t>
            </w:r>
          </w:p>
        </w:tc>
        <w:tc>
          <w:tcPr>
            <w:tcW w:w="516" w:type="pct"/>
            <w:tcBorders>
              <w:top w:val="single" w:sz="4" w:space="0" w:color="auto"/>
              <w:left w:val="nil"/>
              <w:bottom w:val="single" w:sz="4" w:space="0" w:color="auto"/>
              <w:right w:val="single" w:sz="4" w:space="0" w:color="auto"/>
            </w:tcBorders>
            <w:shd w:val="clear" w:color="auto" w:fill="FFFF00"/>
            <w:noWrap/>
            <w:vAlign w:val="center"/>
            <w:hideMark/>
          </w:tcPr>
          <w:p w14:paraId="28AEC9BD" w14:textId="77777777" w:rsidR="00421F1B" w:rsidRPr="00795F17" w:rsidRDefault="00421F1B" w:rsidP="0065243A">
            <w:pPr>
              <w:pStyle w:val="Teksttabelisrodek"/>
            </w:pPr>
            <w:r w:rsidRPr="00795F17">
              <w:t>średnie</w:t>
            </w:r>
          </w:p>
        </w:tc>
      </w:tr>
      <w:tr w:rsidR="00421F1B" w:rsidRPr="00795F17" w14:paraId="29D3991C" w14:textId="77777777" w:rsidTr="000A6056">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0749782B" w14:textId="77777777" w:rsidR="00421F1B" w:rsidRPr="00795F17" w:rsidRDefault="00421F1B" w:rsidP="0044393D">
            <w:pPr>
              <w:pStyle w:val="Teksttabelilewy"/>
            </w:pPr>
            <w:r w:rsidRPr="00795F17">
              <w:t>Opady i zaleganie śniegu</w:t>
            </w:r>
          </w:p>
        </w:tc>
        <w:tc>
          <w:tcPr>
            <w:tcW w:w="856" w:type="pct"/>
            <w:tcBorders>
              <w:top w:val="nil"/>
              <w:left w:val="nil"/>
              <w:bottom w:val="single" w:sz="4" w:space="0" w:color="auto"/>
              <w:right w:val="single" w:sz="4" w:space="0" w:color="auto"/>
            </w:tcBorders>
            <w:shd w:val="clear" w:color="auto" w:fill="auto"/>
            <w:vAlign w:val="center"/>
            <w:hideMark/>
          </w:tcPr>
          <w:p w14:paraId="2893C1AB" w14:textId="5CCE4480" w:rsidR="00421F1B" w:rsidRPr="00795F17" w:rsidRDefault="00421F1B" w:rsidP="0065243A">
            <w:pPr>
              <w:pStyle w:val="Teksttabelisrodek"/>
            </w:pPr>
            <w:r w:rsidRPr="00795F17">
              <w:t>do 90</w:t>
            </w:r>
            <w:r w:rsidR="00C6225B">
              <w:t xml:space="preserve"> </w:t>
            </w:r>
            <w:r w:rsidRPr="00795F17">
              <w:t>-</w:t>
            </w:r>
            <w:r w:rsidR="00C6225B">
              <w:t xml:space="preserve"> </w:t>
            </w:r>
            <w:r w:rsidRPr="00795F17">
              <w:t>150 dni rocznie z</w:t>
            </w:r>
            <w:r w:rsidR="00C6225B">
              <w:t> </w:t>
            </w:r>
            <w:r w:rsidRPr="00795F17">
              <w:t>zaleganiem śniegu</w:t>
            </w:r>
          </w:p>
        </w:tc>
        <w:tc>
          <w:tcPr>
            <w:tcW w:w="456" w:type="pct"/>
            <w:tcBorders>
              <w:top w:val="nil"/>
              <w:left w:val="nil"/>
              <w:bottom w:val="single" w:sz="4" w:space="0" w:color="auto"/>
              <w:right w:val="single" w:sz="4" w:space="0" w:color="auto"/>
            </w:tcBorders>
            <w:shd w:val="clear" w:color="auto" w:fill="FFFF00"/>
            <w:noWrap/>
            <w:vAlign w:val="center"/>
            <w:hideMark/>
          </w:tcPr>
          <w:p w14:paraId="477991DD" w14:textId="77777777" w:rsidR="00421F1B" w:rsidRPr="00795F17" w:rsidRDefault="00421F1B" w:rsidP="000A6056">
            <w:pPr>
              <w:pStyle w:val="Teksttabelisrodek"/>
              <w:jc w:val="left"/>
            </w:pPr>
            <w:r w:rsidRPr="00795F17">
              <w:t>średnie</w:t>
            </w:r>
          </w:p>
        </w:tc>
        <w:tc>
          <w:tcPr>
            <w:tcW w:w="865" w:type="pct"/>
            <w:tcBorders>
              <w:top w:val="nil"/>
              <w:left w:val="nil"/>
              <w:bottom w:val="single" w:sz="4" w:space="0" w:color="auto"/>
              <w:right w:val="single" w:sz="4" w:space="0" w:color="auto"/>
            </w:tcBorders>
            <w:shd w:val="clear" w:color="auto" w:fill="auto"/>
            <w:vAlign w:val="center"/>
            <w:hideMark/>
          </w:tcPr>
          <w:p w14:paraId="1DDDB5D6" w14:textId="77777777" w:rsidR="00421F1B" w:rsidRPr="00795F17" w:rsidRDefault="00421F1B" w:rsidP="0065243A">
            <w:pPr>
              <w:pStyle w:val="Teksttabelisrodek"/>
            </w:pPr>
            <w:r w:rsidRPr="00795F17">
              <w:t>spadek liczby dni zalegania śniegu</w:t>
            </w:r>
          </w:p>
        </w:tc>
        <w:tc>
          <w:tcPr>
            <w:tcW w:w="448" w:type="pct"/>
            <w:tcBorders>
              <w:top w:val="nil"/>
              <w:left w:val="nil"/>
              <w:bottom w:val="single" w:sz="4" w:space="0" w:color="auto"/>
              <w:right w:val="single" w:sz="4" w:space="0" w:color="auto"/>
            </w:tcBorders>
            <w:shd w:val="clear" w:color="auto" w:fill="92D050"/>
            <w:vAlign w:val="center"/>
            <w:hideMark/>
          </w:tcPr>
          <w:p w14:paraId="5D959175" w14:textId="77777777" w:rsidR="00421F1B" w:rsidRPr="00795F17" w:rsidRDefault="00421F1B" w:rsidP="0065243A">
            <w:pPr>
              <w:pStyle w:val="Teksttabelisrodek"/>
            </w:pPr>
            <w:r w:rsidRPr="00795F17">
              <w:t>niskie</w:t>
            </w:r>
          </w:p>
        </w:tc>
        <w:tc>
          <w:tcPr>
            <w:tcW w:w="851" w:type="pct"/>
            <w:tcBorders>
              <w:top w:val="nil"/>
              <w:left w:val="nil"/>
              <w:bottom w:val="single" w:sz="4" w:space="0" w:color="auto"/>
              <w:right w:val="single" w:sz="4" w:space="0" w:color="auto"/>
            </w:tcBorders>
            <w:shd w:val="clear" w:color="auto" w:fill="auto"/>
            <w:vAlign w:val="center"/>
            <w:hideMark/>
          </w:tcPr>
          <w:p w14:paraId="4DFA109E" w14:textId="77777777" w:rsidR="00421F1B" w:rsidRPr="00795F17" w:rsidRDefault="00421F1B" w:rsidP="0065243A">
            <w:pPr>
              <w:pStyle w:val="Teksttabelisrodek"/>
            </w:pPr>
            <w:r w:rsidRPr="00795F17">
              <w:t>spadek liczby dni zalegania śniegu, możliwy brak pokrywy śnieżnej</w:t>
            </w:r>
          </w:p>
        </w:tc>
        <w:tc>
          <w:tcPr>
            <w:tcW w:w="516" w:type="pct"/>
            <w:tcBorders>
              <w:top w:val="nil"/>
              <w:left w:val="nil"/>
              <w:bottom w:val="single" w:sz="4" w:space="0" w:color="auto"/>
              <w:right w:val="single" w:sz="4" w:space="0" w:color="auto"/>
            </w:tcBorders>
            <w:shd w:val="clear" w:color="auto" w:fill="92D050"/>
            <w:noWrap/>
            <w:vAlign w:val="center"/>
            <w:hideMark/>
          </w:tcPr>
          <w:p w14:paraId="0D5C5272" w14:textId="77777777" w:rsidR="00421F1B" w:rsidRPr="00795F17" w:rsidRDefault="00421F1B" w:rsidP="0065243A">
            <w:pPr>
              <w:pStyle w:val="Teksttabelisrodek"/>
            </w:pPr>
            <w:r w:rsidRPr="00795F17">
              <w:t>niskie</w:t>
            </w:r>
          </w:p>
        </w:tc>
      </w:tr>
      <w:tr w:rsidR="00421F1B" w:rsidRPr="00795F17" w14:paraId="536D0709" w14:textId="77777777" w:rsidTr="000A6056">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35A59BC4" w14:textId="77777777" w:rsidR="00421F1B" w:rsidRPr="00795F17" w:rsidRDefault="00421F1B" w:rsidP="0044393D">
            <w:pPr>
              <w:pStyle w:val="Teksttabelilewy"/>
            </w:pPr>
            <w:r w:rsidRPr="00795F17">
              <w:t>Susza</w:t>
            </w:r>
          </w:p>
        </w:tc>
        <w:tc>
          <w:tcPr>
            <w:tcW w:w="856" w:type="pct"/>
            <w:tcBorders>
              <w:top w:val="nil"/>
              <w:left w:val="nil"/>
              <w:bottom w:val="single" w:sz="4" w:space="0" w:color="auto"/>
              <w:right w:val="single" w:sz="4" w:space="0" w:color="auto"/>
            </w:tcBorders>
            <w:shd w:val="clear" w:color="auto" w:fill="auto"/>
            <w:vAlign w:val="center"/>
            <w:hideMark/>
          </w:tcPr>
          <w:p w14:paraId="2D558AD1" w14:textId="7026C301" w:rsidR="00421F1B" w:rsidRPr="00795F17" w:rsidRDefault="00421F1B" w:rsidP="0065243A">
            <w:pPr>
              <w:pStyle w:val="Teksttabelisrodek"/>
            </w:pPr>
            <w:r w:rsidRPr="00795F17">
              <w:t>okresy suche: 210</w:t>
            </w:r>
            <w:r w:rsidR="00C6225B">
              <w:t xml:space="preserve"> </w:t>
            </w:r>
            <w:r w:rsidRPr="00795F17">
              <w:t>-</w:t>
            </w:r>
            <w:r w:rsidR="00C6225B">
              <w:t xml:space="preserve"> </w:t>
            </w:r>
            <w:r w:rsidRPr="00795F17">
              <w:t>232 dni w</w:t>
            </w:r>
            <w:r w:rsidR="00C6225B">
              <w:t> </w:t>
            </w:r>
            <w:r w:rsidRPr="00795F17">
              <w:t>roku</w:t>
            </w:r>
          </w:p>
        </w:tc>
        <w:tc>
          <w:tcPr>
            <w:tcW w:w="456" w:type="pct"/>
            <w:tcBorders>
              <w:top w:val="nil"/>
              <w:left w:val="nil"/>
              <w:bottom w:val="single" w:sz="4" w:space="0" w:color="auto"/>
              <w:right w:val="single" w:sz="4" w:space="0" w:color="auto"/>
            </w:tcBorders>
            <w:shd w:val="clear" w:color="auto" w:fill="FFFF00"/>
            <w:noWrap/>
            <w:vAlign w:val="center"/>
            <w:hideMark/>
          </w:tcPr>
          <w:p w14:paraId="45BB3AE2" w14:textId="77777777" w:rsidR="00421F1B" w:rsidRPr="00795F17" w:rsidRDefault="00421F1B" w:rsidP="000A6056">
            <w:pPr>
              <w:pStyle w:val="Teksttabelisrodek"/>
              <w:jc w:val="left"/>
            </w:pPr>
            <w:r w:rsidRPr="00795F17">
              <w:t>średnie</w:t>
            </w:r>
          </w:p>
        </w:tc>
        <w:tc>
          <w:tcPr>
            <w:tcW w:w="865" w:type="pct"/>
            <w:tcBorders>
              <w:top w:val="nil"/>
              <w:left w:val="nil"/>
              <w:bottom w:val="single" w:sz="4" w:space="0" w:color="auto"/>
              <w:right w:val="single" w:sz="4" w:space="0" w:color="auto"/>
            </w:tcBorders>
            <w:shd w:val="clear" w:color="auto" w:fill="auto"/>
            <w:noWrap/>
            <w:vAlign w:val="center"/>
            <w:hideMark/>
          </w:tcPr>
          <w:p w14:paraId="3ACECA77" w14:textId="1BE3E33C" w:rsidR="00421F1B" w:rsidRPr="00795F17" w:rsidRDefault="00421F1B" w:rsidP="0065243A">
            <w:pPr>
              <w:pStyle w:val="Teksttabelisrodek"/>
            </w:pPr>
            <w:r w:rsidRPr="00795F17">
              <w:t xml:space="preserve">prawdopodobny przyrost liczby dni, duża niepewność wyniku, </w:t>
            </w:r>
            <w:r w:rsidR="00EA2FD2">
              <w:br/>
            </w:r>
            <w:r w:rsidRPr="00795F17">
              <w:t>0,9</w:t>
            </w:r>
            <w:r w:rsidR="00325B9B">
              <w:t xml:space="preserve"> </w:t>
            </w:r>
            <w:r w:rsidRPr="00795F17">
              <w:t>-</w:t>
            </w:r>
            <w:r w:rsidR="00325B9B">
              <w:t xml:space="preserve"> </w:t>
            </w:r>
            <w:r w:rsidRPr="00795F17">
              <w:t>1,7 dnia na rok</w:t>
            </w:r>
          </w:p>
        </w:tc>
        <w:tc>
          <w:tcPr>
            <w:tcW w:w="448" w:type="pct"/>
            <w:tcBorders>
              <w:top w:val="nil"/>
              <w:left w:val="nil"/>
              <w:bottom w:val="single" w:sz="4" w:space="0" w:color="auto"/>
              <w:right w:val="single" w:sz="4" w:space="0" w:color="auto"/>
            </w:tcBorders>
            <w:shd w:val="clear" w:color="auto" w:fill="FFFF00"/>
            <w:vAlign w:val="center"/>
            <w:hideMark/>
          </w:tcPr>
          <w:p w14:paraId="2A3A1352" w14:textId="77777777" w:rsidR="00421F1B" w:rsidRPr="00795F17" w:rsidRDefault="00421F1B" w:rsidP="0065243A">
            <w:pPr>
              <w:pStyle w:val="Teksttabelisrodek"/>
            </w:pPr>
            <w:r w:rsidRPr="00795F17">
              <w:t>średnie</w:t>
            </w:r>
          </w:p>
        </w:tc>
        <w:tc>
          <w:tcPr>
            <w:tcW w:w="851" w:type="pct"/>
            <w:tcBorders>
              <w:top w:val="nil"/>
              <w:left w:val="nil"/>
              <w:bottom w:val="single" w:sz="4" w:space="0" w:color="auto"/>
              <w:right w:val="single" w:sz="4" w:space="0" w:color="auto"/>
            </w:tcBorders>
            <w:shd w:val="clear" w:color="auto" w:fill="auto"/>
            <w:vAlign w:val="center"/>
            <w:hideMark/>
          </w:tcPr>
          <w:p w14:paraId="1103ED56" w14:textId="77777777" w:rsidR="00421F1B" w:rsidRPr="00795F17" w:rsidRDefault="00421F1B" w:rsidP="0065243A">
            <w:pPr>
              <w:pStyle w:val="Teksttabelisrodek"/>
            </w:pPr>
            <w:r w:rsidRPr="00795F17">
              <w:t>prawdopodobny przyrost liczby dni, duża niepewność wyniku, brak tendencji</w:t>
            </w:r>
          </w:p>
        </w:tc>
        <w:tc>
          <w:tcPr>
            <w:tcW w:w="516" w:type="pct"/>
            <w:tcBorders>
              <w:top w:val="nil"/>
              <w:left w:val="nil"/>
              <w:bottom w:val="single" w:sz="4" w:space="0" w:color="auto"/>
              <w:right w:val="single" w:sz="4" w:space="0" w:color="auto"/>
            </w:tcBorders>
            <w:shd w:val="clear" w:color="auto" w:fill="FFFF00"/>
            <w:noWrap/>
            <w:vAlign w:val="center"/>
            <w:hideMark/>
          </w:tcPr>
          <w:p w14:paraId="5EB4A6BA" w14:textId="77777777" w:rsidR="00421F1B" w:rsidRPr="00795F17" w:rsidRDefault="00421F1B" w:rsidP="0065243A">
            <w:pPr>
              <w:pStyle w:val="Teksttabelisrodek"/>
            </w:pPr>
            <w:r w:rsidRPr="00795F17">
              <w:t>średnie</w:t>
            </w:r>
          </w:p>
        </w:tc>
      </w:tr>
    </w:tbl>
    <w:p w14:paraId="18B3B977" w14:textId="4E24818D" w:rsidR="00421F1B" w:rsidRPr="00795F17" w:rsidRDefault="00421F1B" w:rsidP="0044393D">
      <w:pPr>
        <w:pStyle w:val="rdo"/>
      </w:pPr>
      <w:r w:rsidRPr="00795F17">
        <w:t xml:space="preserve">Źródło: </w:t>
      </w:r>
      <w:r w:rsidR="00FD7248" w:rsidRPr="00795F17">
        <w:t>opracowanie własne</w:t>
      </w:r>
    </w:p>
    <w:p w14:paraId="41DED1DD" w14:textId="77777777" w:rsidR="00421F1B" w:rsidRPr="00795F17" w:rsidRDefault="00421F1B" w:rsidP="0044393D">
      <w:pPr>
        <w:pStyle w:val="Nagwek5"/>
      </w:pPr>
      <w:r w:rsidRPr="00795F17">
        <w:t>Region wodny Środkowej Odry</w:t>
      </w:r>
    </w:p>
    <w:p w14:paraId="1C25D7A4" w14:textId="1A13FBC5" w:rsidR="00421F1B" w:rsidRPr="00795F17" w:rsidRDefault="00421F1B" w:rsidP="0044393D">
      <w:r w:rsidRPr="00795F17">
        <w:t xml:space="preserve">Region jest rozległy powierzchniowo </w:t>
      </w:r>
      <w:r w:rsidR="000F21F2">
        <w:t>–</w:t>
      </w:r>
      <w:r w:rsidRPr="00795F17">
        <w:t xml:space="preserve"> obejmuje źródłowe odcinki bezpośrednich dopływów Odry odwadniających pasmo sudeckie. Obszar Sudetów i ich przedgórza wyróżnia się specyficznymi warunkami klimatycznymi oraz obiegiem wody generowanym przez ukształtowanie powierzchni. Czas trwania okresów wilgotnych i suchych zgodnie z prognozami pozostaje bardzo zbliżony do aktualnego. Jest to dość chłodny region na obszarze dorzecza, z już zaznaczającym się na zachodzie wpływem powietrza atlantyckiego na kształtowanie termiki. Jednak w krótkim horyzoncie prognoz przewiduje się na tym obszarze stabilne warunki termiczne. Warunki termiczne skrajnie chłodne również nie będą wykazywały znaczącej zmiany w przyszłości. Stwierdza się jednak tendencję do zwiększania się liczby dni gorących. Przyrost średniej temperatury powietrza chłodnej pory roku będzie powodował skrócenie okresu występowania pokrywy śnieżnej, przesunięcie w czasie (wydłużenie) możliwości występowania opadów deszczu oraz prawdopodobnie wcześniejsze występowanie typowego dla</w:t>
      </w:r>
      <w:r w:rsidR="006A6588" w:rsidRPr="00795F17">
        <w:t> </w:t>
      </w:r>
      <w:r w:rsidRPr="00795F17">
        <w:t>regionu wezbrania roztopowego. Dla okresu ciepłego charakterystyczne będą przyrost liczby dni z wyższą temperaturą powietrza oraz spadek amplitudy temperatury powietrza okresu ciepłego.</w:t>
      </w:r>
    </w:p>
    <w:p w14:paraId="72CE6593" w14:textId="77777777" w:rsidR="00421F1B" w:rsidRPr="00795F17" w:rsidRDefault="00421F1B" w:rsidP="0044393D">
      <w:r w:rsidRPr="00795F17">
        <w:t>Ekspozycja pasma górskiego oraz regionalna cyrkulacja atmosferyczna decydują o dwóch przyczynach szybko wzbudzanych wezbrań na lokalnych ciekach: (1) doliny śródgórskie wymuszają wstępującą cyrkulację powietrza, co przy prognozowanych wyższych temperaturach powietrza w okresie ciepłym będzie sprzyjać tworzeniu (proces jest już zauważalny) warunków do formowania opadów letnich typu konwekcyjnego; (2) równie typowe są opady o charakterze rozlewnym, obejmujące swoim zasięgiem cały region. Z dużym prawdopodobieństwem będzie to stwarzało lokalne zagrożenie występowania błyskawicznych powodzi górskich, a z uwagi na niską retencyjność podłoża formujące się w tych warunkach wezbrania regionalne będą sięgać aż na obszar przedgórza.</w:t>
      </w:r>
    </w:p>
    <w:p w14:paraId="731B9EAD" w14:textId="77777777" w:rsidR="00421F1B" w:rsidRPr="00795F17" w:rsidRDefault="00421F1B" w:rsidP="0044393D">
      <w:r w:rsidRPr="00795F17">
        <w:t>Dodatkowym elementem modyfikującym niekorzystnie warunki obiegu wody jest wyspowo występujący wysoki stopień zurbanizowania i uprzemysłowienia regionu, w szczególności Opolszczyzna i aglomeracja Wrocławia. W obszarach aglomeracyjnych oraz o wysokim uprzemysłowieniu wykształciły się warunki typowe dla tzw. miejskiej wyspy ciepła. Następuje wówczas przede wszystkim wyostrzenie ekstremalnych warunków klimatu w zakresie:</w:t>
      </w:r>
    </w:p>
    <w:p w14:paraId="05A350CE" w14:textId="0BAE7888" w:rsidR="00421F1B" w:rsidRPr="00795F17" w:rsidRDefault="00421F1B" w:rsidP="005635FD">
      <w:pPr>
        <w:pStyle w:val="Listapunktowana2"/>
        <w:numPr>
          <w:ilvl w:val="0"/>
          <w:numId w:val="120"/>
        </w:numPr>
      </w:pPr>
      <w:r w:rsidRPr="00795F17">
        <w:t xml:space="preserve">czasu trwania maksymalnej temperatury powietrza </w:t>
      </w:r>
      <w:r w:rsidR="000F21F2">
        <w:t>–</w:t>
      </w:r>
      <w:r w:rsidRPr="00795F17">
        <w:t xml:space="preserve"> wydłużenie nawet o kilka dni w porównaniu do obszaru niezurbanizowanego;</w:t>
      </w:r>
    </w:p>
    <w:p w14:paraId="655FAF59" w14:textId="77777777" w:rsidR="00421F1B" w:rsidRPr="00795F17" w:rsidRDefault="00421F1B" w:rsidP="005635FD">
      <w:pPr>
        <w:pStyle w:val="Listapunktowana2"/>
        <w:numPr>
          <w:ilvl w:val="0"/>
          <w:numId w:val="120"/>
        </w:numPr>
      </w:pPr>
      <w:r w:rsidRPr="00795F17">
        <w:t>występowania, częstości i sum opadów: większa częstość, wyższa nawet do 10% suma opadów, rzadsze i krótsze okresy bezopadowe;</w:t>
      </w:r>
    </w:p>
    <w:p w14:paraId="22D6D23C" w14:textId="77777777" w:rsidR="00421F1B" w:rsidRPr="00795F17" w:rsidRDefault="00421F1B" w:rsidP="005635FD">
      <w:pPr>
        <w:pStyle w:val="Listapunktowana2"/>
        <w:numPr>
          <w:ilvl w:val="0"/>
          <w:numId w:val="120"/>
        </w:numPr>
      </w:pPr>
      <w:r w:rsidRPr="00795F17">
        <w:t>wyższego zachmurzenia oraz częstszego występowania mgieł i zamglenia, w szczególności o charakterze smogu;</w:t>
      </w:r>
    </w:p>
    <w:p w14:paraId="264C06AA" w14:textId="582D7D83" w:rsidR="00421F1B" w:rsidRPr="00795F17" w:rsidRDefault="00421F1B" w:rsidP="005635FD">
      <w:pPr>
        <w:pStyle w:val="Listapunktowana2"/>
        <w:numPr>
          <w:ilvl w:val="0"/>
          <w:numId w:val="120"/>
        </w:numPr>
      </w:pPr>
      <w:r w:rsidRPr="00795F17">
        <w:t>wyższej średniej temperatury powietrza, wyraźnie cieplejszej chłodnej pory roku, wydłużonego nawet do 3</w:t>
      </w:r>
      <w:r w:rsidR="00BC2A33">
        <w:t xml:space="preserve"> </w:t>
      </w:r>
      <w:r w:rsidRPr="00795F17">
        <w:t>-</w:t>
      </w:r>
      <w:r w:rsidR="00BC2A33">
        <w:t xml:space="preserve"> </w:t>
      </w:r>
      <w:r w:rsidRPr="00795F17">
        <w:t>5 dni okresu wegetacyjnego.</w:t>
      </w:r>
    </w:p>
    <w:p w14:paraId="4DA86A72" w14:textId="12F740B0" w:rsidR="00421F1B" w:rsidRPr="00795F17" w:rsidRDefault="00421F1B" w:rsidP="0044393D">
      <w:r w:rsidRPr="00795F17">
        <w:t>Charakterystykę zmian warunków klimatycznych w regionie zestawiono w tabeli</w:t>
      </w:r>
      <w:r w:rsidR="003C4376" w:rsidRPr="00795F17">
        <w:t xml:space="preserve"> 4-2</w:t>
      </w:r>
      <w:r w:rsidRPr="00795F17">
        <w:t>. Należy zwrócić szczególnie uwagę na relatywną stabilność i podobieństwo warunków klimatycznych przypadających na najbliższy cykl klimatyczny. W skali regionu wodnego presja wynikająca z postępującej zmiany klimatu będzie się w głównej mierze koncentrować w obrębie pasma sudeckiego. Pozostały obszar regionu wodnego charakteryzuje prognoza długoterminowa, która nie wskazuje ekstremalnego przyspieszenia zmian.</w:t>
      </w:r>
    </w:p>
    <w:p w14:paraId="51086437" w14:textId="4B3DF9D6" w:rsidR="00421F1B" w:rsidRPr="00795F17" w:rsidRDefault="00421F1B" w:rsidP="004D7705">
      <w:pPr>
        <w:pStyle w:val="Tabela"/>
        <w:rPr>
          <w:i/>
        </w:rPr>
      </w:pPr>
      <w:bookmarkStart w:id="109" w:name="_Toc66341852"/>
      <w:bookmarkStart w:id="110" w:name="_Toc105512761"/>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1F774D">
        <w:rPr>
          <w:bCs/>
          <w:noProof/>
        </w:rPr>
        <w:t>4</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1F774D">
        <w:rPr>
          <w:bCs/>
          <w:noProof/>
        </w:rPr>
        <w:t>2</w:t>
      </w:r>
      <w:r w:rsidR="00BB3B21" w:rsidRPr="00795F17">
        <w:rPr>
          <w:bCs/>
        </w:rPr>
        <w:fldChar w:fldCharType="end"/>
      </w:r>
      <w:r w:rsidR="00BA11D4">
        <w:rPr>
          <w:bCs/>
        </w:rPr>
        <w:t>.</w:t>
      </w:r>
      <w:r w:rsidRPr="00795F17">
        <w:rPr>
          <w:bCs/>
        </w:rPr>
        <w:tab/>
      </w:r>
      <w:r w:rsidRPr="00795F17">
        <w:t xml:space="preserve">Charakterystyka klimatyczna </w:t>
      </w:r>
      <w:r w:rsidR="000F21F2">
        <w:t>–</w:t>
      </w:r>
      <w:r w:rsidRPr="00795F17">
        <w:t xml:space="preserve"> obszar dorzecza Odry </w:t>
      </w:r>
      <w:r w:rsidR="000F21F2">
        <w:t>–</w:t>
      </w:r>
      <w:r w:rsidRPr="00795F17">
        <w:t xml:space="preserve"> region wodny Środkowej Odry</w:t>
      </w:r>
      <w:bookmarkEnd w:id="109"/>
      <w:bookmarkEnd w:id="110"/>
    </w:p>
    <w:tbl>
      <w:tblPr>
        <w:tblW w:w="5000" w:type="pct"/>
        <w:tblLayout w:type="fixed"/>
        <w:tblCellMar>
          <w:left w:w="70" w:type="dxa"/>
          <w:right w:w="70" w:type="dxa"/>
        </w:tblCellMar>
        <w:tblLook w:val="04A0" w:firstRow="1" w:lastRow="0" w:firstColumn="1" w:lastColumn="0" w:noHBand="0" w:noVBand="1"/>
      </w:tblPr>
      <w:tblGrid>
        <w:gridCol w:w="1843"/>
        <w:gridCol w:w="1414"/>
        <w:gridCol w:w="848"/>
        <w:gridCol w:w="1731"/>
        <w:gridCol w:w="821"/>
        <w:gridCol w:w="1602"/>
        <w:gridCol w:w="803"/>
      </w:tblGrid>
      <w:tr w:rsidR="00421F1B" w:rsidRPr="00795F17" w14:paraId="27E1D3CF" w14:textId="77777777" w:rsidTr="009109BF">
        <w:trPr>
          <w:cantSplit/>
          <w:trHeight w:val="1794"/>
          <w:tblHeader/>
        </w:trPr>
        <w:tc>
          <w:tcPr>
            <w:tcW w:w="101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9F972CA" w14:textId="77777777" w:rsidR="00421F1B" w:rsidRPr="00795F17" w:rsidRDefault="00421F1B" w:rsidP="0044393D">
            <w:pPr>
              <w:pStyle w:val="Teksttabelinaglowek"/>
            </w:pPr>
            <w:r w:rsidRPr="00795F17">
              <w:t>Czynnik</w:t>
            </w:r>
          </w:p>
        </w:tc>
        <w:tc>
          <w:tcPr>
            <w:tcW w:w="780"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01B57CF0" w14:textId="1BF3232C" w:rsidR="00421F1B" w:rsidRPr="00795F17" w:rsidRDefault="00421F1B" w:rsidP="000A6056">
            <w:pPr>
              <w:pStyle w:val="Teksttabelinaglowek"/>
              <w:ind w:left="57"/>
              <w:jc w:val="left"/>
            </w:pPr>
            <w:r w:rsidRPr="00795F17">
              <w:t>Skala zjawiska w</w:t>
            </w:r>
            <w:r w:rsidR="00D041AB">
              <w:t> </w:t>
            </w:r>
            <w:r w:rsidRPr="00795F17">
              <w:t xml:space="preserve">bieżącym cyklu planistycznym </w:t>
            </w:r>
          </w:p>
        </w:tc>
        <w:tc>
          <w:tcPr>
            <w:tcW w:w="468"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2A86B697" w14:textId="77777777" w:rsidR="00421F1B" w:rsidRPr="00795F17" w:rsidRDefault="00421F1B" w:rsidP="000A6056">
            <w:pPr>
              <w:pStyle w:val="Teksttabelinaglowek"/>
              <w:ind w:left="57"/>
              <w:jc w:val="left"/>
            </w:pPr>
            <w:r w:rsidRPr="00795F17">
              <w:t>Dotychczasowe narażenie</w:t>
            </w:r>
          </w:p>
        </w:tc>
        <w:tc>
          <w:tcPr>
            <w:tcW w:w="955"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0D178991" w14:textId="5999206E" w:rsidR="00421F1B" w:rsidRPr="00795F17" w:rsidRDefault="00421F1B" w:rsidP="000A6056">
            <w:pPr>
              <w:pStyle w:val="Teksttabelinaglowek"/>
              <w:ind w:left="57"/>
              <w:jc w:val="left"/>
            </w:pPr>
            <w:r w:rsidRPr="00795F17">
              <w:t>Zmiany klimatu do</w:t>
            </w:r>
            <w:r w:rsidR="00D041AB">
              <w:t> </w:t>
            </w:r>
            <w:r w:rsidRPr="00795F17">
              <w:t>2030 r.</w:t>
            </w:r>
          </w:p>
        </w:tc>
        <w:tc>
          <w:tcPr>
            <w:tcW w:w="453"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5B052776" w14:textId="77777777" w:rsidR="00421F1B" w:rsidRPr="00795F17" w:rsidRDefault="00421F1B" w:rsidP="000A6056">
            <w:pPr>
              <w:pStyle w:val="Teksttabelinaglowek"/>
              <w:ind w:left="57"/>
              <w:jc w:val="left"/>
            </w:pPr>
            <w:r w:rsidRPr="00795F17">
              <w:t xml:space="preserve">Przyszłe narażenie </w:t>
            </w:r>
            <w:r w:rsidRPr="00795F17">
              <w:br/>
              <w:t>(do 2030 r.)</w:t>
            </w:r>
          </w:p>
        </w:tc>
        <w:tc>
          <w:tcPr>
            <w:tcW w:w="884"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6FC7C503" w14:textId="627E06CF" w:rsidR="00421F1B" w:rsidRPr="00795F17" w:rsidRDefault="00421F1B" w:rsidP="000A6056">
            <w:pPr>
              <w:pStyle w:val="Teksttabelinaglowek"/>
              <w:ind w:left="57"/>
              <w:jc w:val="left"/>
            </w:pPr>
            <w:r w:rsidRPr="00795F17">
              <w:t>Zmiany klimatu do</w:t>
            </w:r>
            <w:r w:rsidR="00D84BAD">
              <w:t> </w:t>
            </w:r>
            <w:r w:rsidRPr="00795F17">
              <w:t>2100 r.</w:t>
            </w:r>
          </w:p>
        </w:tc>
        <w:tc>
          <w:tcPr>
            <w:tcW w:w="443"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5DDDFA8D" w14:textId="77777777" w:rsidR="00421F1B" w:rsidRPr="00795F17" w:rsidRDefault="00421F1B" w:rsidP="000A6056">
            <w:pPr>
              <w:pStyle w:val="Teksttabelinaglowek"/>
              <w:ind w:left="57"/>
              <w:jc w:val="left"/>
            </w:pPr>
            <w:r w:rsidRPr="00795F17">
              <w:t xml:space="preserve">Przyszłe narażenie </w:t>
            </w:r>
            <w:r w:rsidRPr="00795F17">
              <w:br/>
              <w:t>(do 2100 r.)</w:t>
            </w:r>
          </w:p>
        </w:tc>
      </w:tr>
      <w:tr w:rsidR="00421F1B" w:rsidRPr="00795F17" w14:paraId="63D90FD8" w14:textId="77777777" w:rsidTr="009109BF">
        <w:trPr>
          <w:trHeight w:val="275"/>
        </w:trPr>
        <w:tc>
          <w:tcPr>
            <w:tcW w:w="1017" w:type="pct"/>
            <w:tcBorders>
              <w:top w:val="nil"/>
              <w:left w:val="single" w:sz="4" w:space="0" w:color="auto"/>
              <w:bottom w:val="single" w:sz="4" w:space="0" w:color="auto"/>
              <w:right w:val="single" w:sz="4" w:space="0" w:color="auto"/>
            </w:tcBorders>
            <w:shd w:val="clear" w:color="auto" w:fill="auto"/>
            <w:noWrap/>
            <w:vAlign w:val="center"/>
            <w:hideMark/>
          </w:tcPr>
          <w:p w14:paraId="1D8764D9" w14:textId="77777777" w:rsidR="00421F1B" w:rsidRPr="00795F17" w:rsidRDefault="00421F1B" w:rsidP="0044393D">
            <w:pPr>
              <w:pStyle w:val="Teksttabelilewy"/>
            </w:pPr>
            <w:r w:rsidRPr="00795F17">
              <w:t>Średnia temperatura powietrza</w:t>
            </w:r>
          </w:p>
        </w:tc>
        <w:tc>
          <w:tcPr>
            <w:tcW w:w="780" w:type="pct"/>
            <w:tcBorders>
              <w:top w:val="nil"/>
              <w:left w:val="nil"/>
              <w:bottom w:val="single" w:sz="4" w:space="0" w:color="auto"/>
              <w:right w:val="single" w:sz="4" w:space="0" w:color="auto"/>
            </w:tcBorders>
            <w:shd w:val="clear" w:color="auto" w:fill="auto"/>
            <w:noWrap/>
            <w:vAlign w:val="center"/>
            <w:hideMark/>
          </w:tcPr>
          <w:p w14:paraId="6E349898" w14:textId="6D1B2386" w:rsidR="00421F1B" w:rsidRPr="00795F17" w:rsidRDefault="00421F1B" w:rsidP="0065243A">
            <w:pPr>
              <w:pStyle w:val="Teksttabelisrodek"/>
            </w:pPr>
            <w:r w:rsidRPr="00795F17">
              <w:t>7,5</w:t>
            </w:r>
            <w:r w:rsidR="00D84BAD">
              <w:t xml:space="preserve"> </w:t>
            </w:r>
            <w:r w:rsidRPr="00795F17">
              <w:t>-</w:t>
            </w:r>
            <w:r w:rsidR="00D84BAD">
              <w:t xml:space="preserve"> </w:t>
            </w:r>
            <w:r w:rsidRPr="00795F17">
              <w:t>10,0°C</w:t>
            </w:r>
          </w:p>
        </w:tc>
        <w:tc>
          <w:tcPr>
            <w:tcW w:w="468" w:type="pct"/>
            <w:tcBorders>
              <w:top w:val="nil"/>
              <w:left w:val="nil"/>
              <w:bottom w:val="single" w:sz="4" w:space="0" w:color="auto"/>
              <w:right w:val="single" w:sz="4" w:space="0" w:color="auto"/>
            </w:tcBorders>
            <w:shd w:val="clear" w:color="auto" w:fill="92D050"/>
            <w:noWrap/>
            <w:vAlign w:val="center"/>
            <w:hideMark/>
          </w:tcPr>
          <w:p w14:paraId="72CEEF29" w14:textId="77777777" w:rsidR="00421F1B" w:rsidRPr="00795F17" w:rsidRDefault="00421F1B" w:rsidP="0065243A">
            <w:pPr>
              <w:pStyle w:val="Teksttabelisrodek"/>
            </w:pPr>
            <w:r w:rsidRPr="00795F17">
              <w:t>niskie</w:t>
            </w:r>
          </w:p>
        </w:tc>
        <w:tc>
          <w:tcPr>
            <w:tcW w:w="955" w:type="pct"/>
            <w:tcBorders>
              <w:top w:val="nil"/>
              <w:left w:val="nil"/>
              <w:bottom w:val="single" w:sz="4" w:space="0" w:color="auto"/>
              <w:right w:val="single" w:sz="4" w:space="0" w:color="auto"/>
            </w:tcBorders>
            <w:shd w:val="clear" w:color="auto" w:fill="auto"/>
            <w:noWrap/>
            <w:vAlign w:val="center"/>
            <w:hideMark/>
          </w:tcPr>
          <w:p w14:paraId="07B9E020" w14:textId="77777777" w:rsidR="00421F1B" w:rsidRPr="00795F17" w:rsidRDefault="00421F1B" w:rsidP="0065243A">
            <w:pPr>
              <w:pStyle w:val="Teksttabelisrodek"/>
            </w:pPr>
            <w:r w:rsidRPr="00795F17">
              <w:t>brak znaczącej różnicy, przyrost w zakresie 0,1°C</w:t>
            </w:r>
          </w:p>
        </w:tc>
        <w:tc>
          <w:tcPr>
            <w:tcW w:w="453" w:type="pct"/>
            <w:tcBorders>
              <w:top w:val="nil"/>
              <w:left w:val="nil"/>
              <w:bottom w:val="single" w:sz="4" w:space="0" w:color="auto"/>
              <w:right w:val="single" w:sz="4" w:space="0" w:color="auto"/>
            </w:tcBorders>
            <w:shd w:val="clear" w:color="auto" w:fill="92D050"/>
            <w:vAlign w:val="center"/>
            <w:hideMark/>
          </w:tcPr>
          <w:p w14:paraId="00D7D238" w14:textId="77777777" w:rsidR="00421F1B" w:rsidRPr="00795F17" w:rsidRDefault="00421F1B" w:rsidP="0065243A">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72A8505C" w14:textId="0C440919" w:rsidR="00421F1B" w:rsidRPr="00795F17" w:rsidRDefault="00421F1B" w:rsidP="0065243A">
            <w:pPr>
              <w:pStyle w:val="Teksttabelisrodek"/>
            </w:pPr>
            <w:r w:rsidRPr="00795F17">
              <w:t>przyrost o 1,4</w:t>
            </w:r>
            <w:r w:rsidR="00545379">
              <w:t xml:space="preserve"> </w:t>
            </w:r>
            <w:r w:rsidRPr="00795F17">
              <w:t>-</w:t>
            </w:r>
            <w:r w:rsidR="00545379">
              <w:t xml:space="preserve"> </w:t>
            </w:r>
            <w:r w:rsidRPr="00795F17">
              <w:t>1,6°C</w:t>
            </w:r>
          </w:p>
        </w:tc>
        <w:tc>
          <w:tcPr>
            <w:tcW w:w="443" w:type="pct"/>
            <w:tcBorders>
              <w:top w:val="nil"/>
              <w:left w:val="nil"/>
              <w:bottom w:val="single" w:sz="4" w:space="0" w:color="auto"/>
              <w:right w:val="single" w:sz="4" w:space="0" w:color="auto"/>
            </w:tcBorders>
            <w:shd w:val="clear" w:color="auto" w:fill="92D050"/>
            <w:noWrap/>
            <w:vAlign w:val="center"/>
            <w:hideMark/>
          </w:tcPr>
          <w:p w14:paraId="3E1FC518" w14:textId="77777777" w:rsidR="00421F1B" w:rsidRPr="00795F17" w:rsidRDefault="00421F1B" w:rsidP="0065243A">
            <w:pPr>
              <w:pStyle w:val="Teksttabelisrodek"/>
            </w:pPr>
            <w:r w:rsidRPr="00795F17">
              <w:t>niskie</w:t>
            </w:r>
          </w:p>
        </w:tc>
      </w:tr>
      <w:tr w:rsidR="00421F1B" w:rsidRPr="00795F17" w14:paraId="7DC0E033" w14:textId="77777777" w:rsidTr="009109BF">
        <w:trPr>
          <w:trHeight w:val="275"/>
        </w:trPr>
        <w:tc>
          <w:tcPr>
            <w:tcW w:w="1017" w:type="pct"/>
            <w:tcBorders>
              <w:top w:val="nil"/>
              <w:left w:val="single" w:sz="4" w:space="0" w:color="auto"/>
              <w:bottom w:val="single" w:sz="4" w:space="0" w:color="auto"/>
              <w:right w:val="single" w:sz="4" w:space="0" w:color="auto"/>
            </w:tcBorders>
            <w:shd w:val="clear" w:color="auto" w:fill="auto"/>
            <w:noWrap/>
            <w:vAlign w:val="center"/>
            <w:hideMark/>
          </w:tcPr>
          <w:p w14:paraId="1941C16A" w14:textId="77777777" w:rsidR="00421F1B" w:rsidRPr="00795F17" w:rsidRDefault="00421F1B" w:rsidP="0044393D">
            <w:pPr>
              <w:pStyle w:val="Teksttabelilewy"/>
            </w:pPr>
            <w:r w:rsidRPr="00795F17">
              <w:t>Roczna amplituda temperatury powietrza okresu ciepłego</w:t>
            </w:r>
          </w:p>
        </w:tc>
        <w:tc>
          <w:tcPr>
            <w:tcW w:w="780" w:type="pct"/>
            <w:tcBorders>
              <w:top w:val="nil"/>
              <w:left w:val="nil"/>
              <w:bottom w:val="single" w:sz="4" w:space="0" w:color="auto"/>
              <w:right w:val="single" w:sz="4" w:space="0" w:color="auto"/>
            </w:tcBorders>
            <w:shd w:val="clear" w:color="auto" w:fill="auto"/>
            <w:noWrap/>
            <w:vAlign w:val="center"/>
            <w:hideMark/>
          </w:tcPr>
          <w:p w14:paraId="0AA5C139" w14:textId="11E44299" w:rsidR="00421F1B" w:rsidRPr="00795F17" w:rsidRDefault="00421F1B" w:rsidP="0065243A">
            <w:pPr>
              <w:pStyle w:val="Teksttabelisrodek"/>
            </w:pPr>
            <w:r w:rsidRPr="00795F17">
              <w:t>4,5</w:t>
            </w:r>
            <w:r w:rsidR="00D84BAD">
              <w:t xml:space="preserve"> </w:t>
            </w:r>
            <w:r w:rsidRPr="00795F17">
              <w:t>-</w:t>
            </w:r>
            <w:r w:rsidR="00D84BAD">
              <w:t xml:space="preserve"> </w:t>
            </w:r>
            <w:r w:rsidRPr="00795F17">
              <w:t>5,0°C</w:t>
            </w:r>
          </w:p>
        </w:tc>
        <w:tc>
          <w:tcPr>
            <w:tcW w:w="468" w:type="pct"/>
            <w:tcBorders>
              <w:top w:val="nil"/>
              <w:left w:val="nil"/>
              <w:bottom w:val="single" w:sz="4" w:space="0" w:color="auto"/>
              <w:right w:val="single" w:sz="4" w:space="0" w:color="auto"/>
            </w:tcBorders>
            <w:shd w:val="clear" w:color="auto" w:fill="FFFF00"/>
            <w:noWrap/>
            <w:vAlign w:val="center"/>
            <w:hideMark/>
          </w:tcPr>
          <w:p w14:paraId="13F266A6" w14:textId="0538F4D6" w:rsidR="00421F1B" w:rsidRPr="00795F17" w:rsidRDefault="00421F1B" w:rsidP="0065243A">
            <w:pPr>
              <w:pStyle w:val="Teksttabelisrodek"/>
            </w:pPr>
            <w:r w:rsidRPr="00795F17">
              <w:t>średnie</w:t>
            </w:r>
          </w:p>
        </w:tc>
        <w:tc>
          <w:tcPr>
            <w:tcW w:w="955" w:type="pct"/>
            <w:tcBorders>
              <w:top w:val="nil"/>
              <w:left w:val="nil"/>
              <w:bottom w:val="single" w:sz="4" w:space="0" w:color="auto"/>
              <w:right w:val="single" w:sz="4" w:space="0" w:color="auto"/>
            </w:tcBorders>
            <w:shd w:val="clear" w:color="auto" w:fill="auto"/>
            <w:noWrap/>
            <w:vAlign w:val="center"/>
            <w:hideMark/>
          </w:tcPr>
          <w:p w14:paraId="5558B7F5" w14:textId="77777777" w:rsidR="00421F1B" w:rsidRPr="00795F17" w:rsidRDefault="00421F1B" w:rsidP="0065243A">
            <w:pPr>
              <w:pStyle w:val="Teksttabelisrodek"/>
            </w:pPr>
            <w:r w:rsidRPr="00795F17">
              <w:t>spadek nieznaczny, różnica nie większa niż o 1°C</w:t>
            </w:r>
          </w:p>
        </w:tc>
        <w:tc>
          <w:tcPr>
            <w:tcW w:w="453" w:type="pct"/>
            <w:tcBorders>
              <w:top w:val="nil"/>
              <w:left w:val="nil"/>
              <w:bottom w:val="single" w:sz="4" w:space="0" w:color="auto"/>
              <w:right w:val="single" w:sz="4" w:space="0" w:color="auto"/>
            </w:tcBorders>
            <w:shd w:val="clear" w:color="auto" w:fill="92D050"/>
            <w:vAlign w:val="center"/>
            <w:hideMark/>
          </w:tcPr>
          <w:p w14:paraId="4796210C" w14:textId="77777777" w:rsidR="00421F1B" w:rsidRPr="00795F17" w:rsidRDefault="00421F1B" w:rsidP="0065243A">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657EAA8A" w14:textId="1BDB264E" w:rsidR="00421F1B" w:rsidRPr="00795F17" w:rsidRDefault="00421F1B" w:rsidP="0065243A">
            <w:pPr>
              <w:pStyle w:val="Teksttabelisrodek"/>
            </w:pPr>
            <w:r w:rsidRPr="00795F17">
              <w:t>spadek o 1,3</w:t>
            </w:r>
            <w:r w:rsidR="00545379">
              <w:t xml:space="preserve"> </w:t>
            </w:r>
            <w:r w:rsidRPr="00795F17">
              <w:t>-</w:t>
            </w:r>
            <w:r w:rsidR="00545379">
              <w:t xml:space="preserve"> </w:t>
            </w:r>
            <w:r w:rsidRPr="00795F17">
              <w:t>1,4°C</w:t>
            </w:r>
          </w:p>
        </w:tc>
        <w:tc>
          <w:tcPr>
            <w:tcW w:w="443" w:type="pct"/>
            <w:tcBorders>
              <w:top w:val="nil"/>
              <w:left w:val="nil"/>
              <w:bottom w:val="single" w:sz="4" w:space="0" w:color="auto"/>
              <w:right w:val="single" w:sz="4" w:space="0" w:color="auto"/>
            </w:tcBorders>
            <w:shd w:val="clear" w:color="auto" w:fill="92D050"/>
            <w:noWrap/>
            <w:vAlign w:val="center"/>
            <w:hideMark/>
          </w:tcPr>
          <w:p w14:paraId="47616086" w14:textId="77777777" w:rsidR="00421F1B" w:rsidRPr="00795F17" w:rsidRDefault="00421F1B" w:rsidP="0065243A">
            <w:pPr>
              <w:pStyle w:val="Teksttabelisrodek"/>
            </w:pPr>
            <w:r w:rsidRPr="00795F17">
              <w:t xml:space="preserve">niskie </w:t>
            </w:r>
          </w:p>
        </w:tc>
      </w:tr>
      <w:tr w:rsidR="00421F1B" w:rsidRPr="00795F17" w14:paraId="4DFD7992" w14:textId="77777777" w:rsidTr="009109BF">
        <w:trPr>
          <w:trHeight w:val="275"/>
        </w:trPr>
        <w:tc>
          <w:tcPr>
            <w:tcW w:w="1017" w:type="pct"/>
            <w:tcBorders>
              <w:top w:val="nil"/>
              <w:left w:val="single" w:sz="4" w:space="0" w:color="auto"/>
              <w:bottom w:val="single" w:sz="4" w:space="0" w:color="auto"/>
              <w:right w:val="single" w:sz="4" w:space="0" w:color="auto"/>
            </w:tcBorders>
            <w:shd w:val="clear" w:color="auto" w:fill="auto"/>
            <w:noWrap/>
            <w:vAlign w:val="center"/>
            <w:hideMark/>
          </w:tcPr>
          <w:p w14:paraId="6B65F777" w14:textId="77777777" w:rsidR="00421F1B" w:rsidRPr="00795F17" w:rsidRDefault="00421F1B" w:rsidP="0044393D">
            <w:pPr>
              <w:pStyle w:val="Teksttabelilewy"/>
            </w:pPr>
            <w:r w:rsidRPr="00795F17">
              <w:t>Roczna amplituda temperatury powietrza okresu chłodnego</w:t>
            </w:r>
          </w:p>
        </w:tc>
        <w:tc>
          <w:tcPr>
            <w:tcW w:w="780" w:type="pct"/>
            <w:tcBorders>
              <w:top w:val="nil"/>
              <w:left w:val="nil"/>
              <w:bottom w:val="single" w:sz="4" w:space="0" w:color="auto"/>
              <w:right w:val="single" w:sz="4" w:space="0" w:color="auto"/>
            </w:tcBorders>
            <w:shd w:val="clear" w:color="auto" w:fill="auto"/>
            <w:noWrap/>
            <w:vAlign w:val="center"/>
            <w:hideMark/>
          </w:tcPr>
          <w:p w14:paraId="41D382A5" w14:textId="7E6AB056" w:rsidR="00421F1B" w:rsidRPr="00795F17" w:rsidRDefault="00421F1B" w:rsidP="0065243A">
            <w:pPr>
              <w:pStyle w:val="Teksttabelisrodek"/>
            </w:pPr>
            <w:r w:rsidRPr="00795F17">
              <w:t>4,5°C</w:t>
            </w:r>
          </w:p>
        </w:tc>
        <w:tc>
          <w:tcPr>
            <w:tcW w:w="468" w:type="pct"/>
            <w:tcBorders>
              <w:top w:val="nil"/>
              <w:left w:val="nil"/>
              <w:bottom w:val="single" w:sz="4" w:space="0" w:color="auto"/>
              <w:right w:val="single" w:sz="4" w:space="0" w:color="auto"/>
            </w:tcBorders>
            <w:shd w:val="clear" w:color="auto" w:fill="92D050"/>
            <w:noWrap/>
            <w:vAlign w:val="center"/>
            <w:hideMark/>
          </w:tcPr>
          <w:p w14:paraId="6A47DBDD" w14:textId="751565C5" w:rsidR="00421F1B" w:rsidRPr="00795F17" w:rsidRDefault="00421F1B" w:rsidP="0065243A">
            <w:pPr>
              <w:pStyle w:val="Teksttabelisrodek"/>
            </w:pPr>
            <w:r w:rsidRPr="00795F17">
              <w:t>niskie</w:t>
            </w:r>
          </w:p>
        </w:tc>
        <w:tc>
          <w:tcPr>
            <w:tcW w:w="955" w:type="pct"/>
            <w:tcBorders>
              <w:top w:val="nil"/>
              <w:left w:val="nil"/>
              <w:bottom w:val="single" w:sz="4" w:space="0" w:color="auto"/>
              <w:right w:val="single" w:sz="4" w:space="0" w:color="auto"/>
            </w:tcBorders>
            <w:shd w:val="clear" w:color="auto" w:fill="auto"/>
            <w:noWrap/>
            <w:vAlign w:val="center"/>
            <w:hideMark/>
          </w:tcPr>
          <w:p w14:paraId="61CAAB03" w14:textId="77777777" w:rsidR="00421F1B" w:rsidRPr="00795F17" w:rsidRDefault="00421F1B" w:rsidP="0065243A">
            <w:pPr>
              <w:pStyle w:val="Teksttabelisrodek"/>
            </w:pPr>
            <w:r w:rsidRPr="00795F17">
              <w:t>brak znaczącej różnicy</w:t>
            </w:r>
          </w:p>
        </w:tc>
        <w:tc>
          <w:tcPr>
            <w:tcW w:w="453" w:type="pct"/>
            <w:tcBorders>
              <w:top w:val="nil"/>
              <w:left w:val="nil"/>
              <w:bottom w:val="single" w:sz="4" w:space="0" w:color="auto"/>
              <w:right w:val="single" w:sz="4" w:space="0" w:color="auto"/>
            </w:tcBorders>
            <w:shd w:val="clear" w:color="auto" w:fill="92D050"/>
            <w:vAlign w:val="center"/>
            <w:hideMark/>
          </w:tcPr>
          <w:p w14:paraId="370F8A5A" w14:textId="77777777" w:rsidR="00421F1B" w:rsidRPr="00795F17" w:rsidRDefault="00421F1B" w:rsidP="0065243A">
            <w:pPr>
              <w:pStyle w:val="Teksttabelisrodek"/>
            </w:pPr>
            <w:r w:rsidRPr="00795F17">
              <w:t xml:space="preserve">niskie </w:t>
            </w:r>
          </w:p>
        </w:tc>
        <w:tc>
          <w:tcPr>
            <w:tcW w:w="884" w:type="pct"/>
            <w:tcBorders>
              <w:top w:val="nil"/>
              <w:left w:val="nil"/>
              <w:bottom w:val="single" w:sz="4" w:space="0" w:color="auto"/>
              <w:right w:val="single" w:sz="4" w:space="0" w:color="auto"/>
            </w:tcBorders>
            <w:shd w:val="clear" w:color="auto" w:fill="auto"/>
            <w:vAlign w:val="center"/>
            <w:hideMark/>
          </w:tcPr>
          <w:p w14:paraId="6A3B66A0" w14:textId="5C6CFDAF" w:rsidR="00421F1B" w:rsidRPr="00795F17" w:rsidRDefault="00421F1B" w:rsidP="0065243A">
            <w:pPr>
              <w:pStyle w:val="Teksttabelisrodek"/>
            </w:pPr>
            <w:r w:rsidRPr="00795F17">
              <w:t>spadek o 1,4</w:t>
            </w:r>
            <w:r w:rsidR="00545379">
              <w:t xml:space="preserve"> </w:t>
            </w:r>
            <w:r w:rsidRPr="00795F17">
              <w:t>-</w:t>
            </w:r>
            <w:r w:rsidR="00545379">
              <w:t xml:space="preserve"> </w:t>
            </w:r>
            <w:r w:rsidRPr="00795F17">
              <w:t>1,5°C</w:t>
            </w:r>
          </w:p>
        </w:tc>
        <w:tc>
          <w:tcPr>
            <w:tcW w:w="443" w:type="pct"/>
            <w:tcBorders>
              <w:top w:val="nil"/>
              <w:left w:val="nil"/>
              <w:bottom w:val="single" w:sz="4" w:space="0" w:color="auto"/>
              <w:right w:val="single" w:sz="4" w:space="0" w:color="auto"/>
            </w:tcBorders>
            <w:shd w:val="clear" w:color="auto" w:fill="92D050"/>
            <w:noWrap/>
            <w:vAlign w:val="center"/>
            <w:hideMark/>
          </w:tcPr>
          <w:p w14:paraId="03DCF05B" w14:textId="77777777" w:rsidR="00421F1B" w:rsidRPr="00795F17" w:rsidRDefault="00421F1B" w:rsidP="0065243A">
            <w:pPr>
              <w:pStyle w:val="Teksttabelisrodek"/>
            </w:pPr>
            <w:r w:rsidRPr="00795F17">
              <w:t xml:space="preserve">niskie </w:t>
            </w:r>
          </w:p>
        </w:tc>
      </w:tr>
      <w:tr w:rsidR="00421F1B" w:rsidRPr="00795F17" w14:paraId="31EEF6D5" w14:textId="77777777" w:rsidTr="009109BF">
        <w:trPr>
          <w:trHeight w:val="275"/>
        </w:trPr>
        <w:tc>
          <w:tcPr>
            <w:tcW w:w="1017" w:type="pct"/>
            <w:tcBorders>
              <w:top w:val="nil"/>
              <w:left w:val="single" w:sz="4" w:space="0" w:color="auto"/>
              <w:bottom w:val="single" w:sz="4" w:space="0" w:color="auto"/>
              <w:right w:val="single" w:sz="4" w:space="0" w:color="auto"/>
            </w:tcBorders>
            <w:shd w:val="clear" w:color="auto" w:fill="auto"/>
            <w:noWrap/>
            <w:vAlign w:val="center"/>
            <w:hideMark/>
          </w:tcPr>
          <w:p w14:paraId="102DBDD1" w14:textId="77777777" w:rsidR="00421F1B" w:rsidRPr="00795F17" w:rsidRDefault="00421F1B" w:rsidP="0044393D">
            <w:pPr>
              <w:pStyle w:val="Teksttabelilewy"/>
            </w:pPr>
            <w:r w:rsidRPr="00795F17">
              <w:t>Roczna suma opadów</w:t>
            </w:r>
          </w:p>
        </w:tc>
        <w:tc>
          <w:tcPr>
            <w:tcW w:w="780" w:type="pct"/>
            <w:tcBorders>
              <w:top w:val="nil"/>
              <w:left w:val="nil"/>
              <w:bottom w:val="single" w:sz="4" w:space="0" w:color="auto"/>
              <w:right w:val="single" w:sz="4" w:space="0" w:color="auto"/>
            </w:tcBorders>
            <w:shd w:val="clear" w:color="auto" w:fill="auto"/>
            <w:noWrap/>
            <w:vAlign w:val="center"/>
            <w:hideMark/>
          </w:tcPr>
          <w:p w14:paraId="45D7C45B" w14:textId="17D80DCA" w:rsidR="00421F1B" w:rsidRPr="00795F17" w:rsidRDefault="00421F1B" w:rsidP="0065243A">
            <w:pPr>
              <w:pStyle w:val="Teksttabelisrodek"/>
            </w:pPr>
            <w:r w:rsidRPr="00795F17">
              <w:t>650</w:t>
            </w:r>
            <w:r w:rsidR="00D84BAD">
              <w:t xml:space="preserve"> – </w:t>
            </w:r>
            <w:r w:rsidRPr="00795F17">
              <w:t>1</w:t>
            </w:r>
            <w:r w:rsidR="00D84BAD">
              <w:t> </w:t>
            </w:r>
            <w:r w:rsidRPr="00795F17">
              <w:t>600 mm/rok</w:t>
            </w:r>
          </w:p>
        </w:tc>
        <w:tc>
          <w:tcPr>
            <w:tcW w:w="468" w:type="pct"/>
            <w:tcBorders>
              <w:top w:val="nil"/>
              <w:left w:val="nil"/>
              <w:bottom w:val="single" w:sz="4" w:space="0" w:color="auto"/>
              <w:right w:val="single" w:sz="4" w:space="0" w:color="auto"/>
            </w:tcBorders>
            <w:shd w:val="clear" w:color="auto" w:fill="92D050"/>
            <w:noWrap/>
            <w:vAlign w:val="center"/>
            <w:hideMark/>
          </w:tcPr>
          <w:p w14:paraId="0194B134" w14:textId="77777777" w:rsidR="00421F1B" w:rsidRPr="00795F17" w:rsidRDefault="00421F1B" w:rsidP="0065243A">
            <w:pPr>
              <w:pStyle w:val="Teksttabelisrodek"/>
            </w:pPr>
            <w:r w:rsidRPr="00795F17">
              <w:t>niskie</w:t>
            </w:r>
          </w:p>
        </w:tc>
        <w:tc>
          <w:tcPr>
            <w:tcW w:w="955" w:type="pct"/>
            <w:tcBorders>
              <w:top w:val="nil"/>
              <w:left w:val="nil"/>
              <w:bottom w:val="single" w:sz="4" w:space="0" w:color="auto"/>
              <w:right w:val="single" w:sz="4" w:space="0" w:color="auto"/>
            </w:tcBorders>
            <w:shd w:val="clear" w:color="auto" w:fill="auto"/>
            <w:noWrap/>
            <w:vAlign w:val="center"/>
            <w:hideMark/>
          </w:tcPr>
          <w:p w14:paraId="405EB8B6" w14:textId="4B4D4EA2" w:rsidR="00421F1B" w:rsidRPr="00795F17" w:rsidRDefault="00421F1B" w:rsidP="0065243A">
            <w:pPr>
              <w:pStyle w:val="Teksttabelisrodek"/>
            </w:pPr>
            <w:r w:rsidRPr="00795F17">
              <w:t>spadek o 4</w:t>
            </w:r>
            <w:r w:rsidR="00D84BAD">
              <w:t xml:space="preserve"> – </w:t>
            </w:r>
            <w:r w:rsidRPr="00795F17">
              <w:t>16</w:t>
            </w:r>
            <w:r w:rsidR="00D84BAD">
              <w:t> </w:t>
            </w:r>
            <w:r w:rsidRPr="00795F17">
              <w:t>mm na rok</w:t>
            </w:r>
          </w:p>
        </w:tc>
        <w:tc>
          <w:tcPr>
            <w:tcW w:w="453" w:type="pct"/>
            <w:tcBorders>
              <w:top w:val="nil"/>
              <w:left w:val="nil"/>
              <w:bottom w:val="single" w:sz="4" w:space="0" w:color="auto"/>
              <w:right w:val="single" w:sz="4" w:space="0" w:color="auto"/>
            </w:tcBorders>
            <w:shd w:val="clear" w:color="auto" w:fill="FFFF00"/>
            <w:vAlign w:val="center"/>
            <w:hideMark/>
          </w:tcPr>
          <w:p w14:paraId="0CE0E707" w14:textId="77777777" w:rsidR="00421F1B" w:rsidRPr="00795F17" w:rsidRDefault="00421F1B" w:rsidP="0065243A">
            <w:pPr>
              <w:pStyle w:val="Teksttabelisrodek"/>
            </w:pPr>
            <w:r w:rsidRPr="00795F17">
              <w:t>średnie</w:t>
            </w:r>
          </w:p>
        </w:tc>
        <w:tc>
          <w:tcPr>
            <w:tcW w:w="884" w:type="pct"/>
            <w:tcBorders>
              <w:top w:val="nil"/>
              <w:left w:val="nil"/>
              <w:bottom w:val="single" w:sz="4" w:space="0" w:color="auto"/>
              <w:right w:val="single" w:sz="4" w:space="0" w:color="auto"/>
            </w:tcBorders>
            <w:shd w:val="clear" w:color="auto" w:fill="auto"/>
            <w:vAlign w:val="center"/>
            <w:hideMark/>
          </w:tcPr>
          <w:p w14:paraId="2B0BAC5E" w14:textId="5D7E638D" w:rsidR="00421F1B" w:rsidRPr="00795F17" w:rsidRDefault="00421F1B" w:rsidP="0065243A">
            <w:pPr>
              <w:pStyle w:val="Teksttabelisrodek"/>
            </w:pPr>
            <w:r w:rsidRPr="00795F17">
              <w:t>wzrost o 27</w:t>
            </w:r>
            <w:r w:rsidR="00545379">
              <w:t xml:space="preserve"> – </w:t>
            </w:r>
            <w:r w:rsidRPr="00795F17">
              <w:t>49</w:t>
            </w:r>
            <w:r w:rsidR="00545379">
              <w:t> </w:t>
            </w:r>
            <w:r w:rsidRPr="00795F17">
              <w:t>mm na rok</w:t>
            </w:r>
          </w:p>
        </w:tc>
        <w:tc>
          <w:tcPr>
            <w:tcW w:w="443" w:type="pct"/>
            <w:tcBorders>
              <w:top w:val="nil"/>
              <w:left w:val="nil"/>
              <w:bottom w:val="single" w:sz="4" w:space="0" w:color="auto"/>
              <w:right w:val="single" w:sz="4" w:space="0" w:color="auto"/>
            </w:tcBorders>
            <w:shd w:val="clear" w:color="auto" w:fill="FFFF00"/>
            <w:noWrap/>
            <w:vAlign w:val="center"/>
            <w:hideMark/>
          </w:tcPr>
          <w:p w14:paraId="79E06E28" w14:textId="77777777" w:rsidR="00421F1B" w:rsidRPr="00795F17" w:rsidRDefault="00421F1B" w:rsidP="0065243A">
            <w:pPr>
              <w:pStyle w:val="Teksttabelisrodek"/>
            </w:pPr>
            <w:r w:rsidRPr="00795F17">
              <w:t>średnie</w:t>
            </w:r>
          </w:p>
        </w:tc>
      </w:tr>
      <w:tr w:rsidR="00421F1B" w:rsidRPr="00795F17" w14:paraId="42661DEC" w14:textId="77777777" w:rsidTr="009109BF">
        <w:trPr>
          <w:trHeight w:val="275"/>
        </w:trPr>
        <w:tc>
          <w:tcPr>
            <w:tcW w:w="1017" w:type="pct"/>
            <w:tcBorders>
              <w:top w:val="nil"/>
              <w:left w:val="single" w:sz="4" w:space="0" w:color="auto"/>
              <w:bottom w:val="single" w:sz="4" w:space="0" w:color="auto"/>
              <w:right w:val="single" w:sz="4" w:space="0" w:color="auto"/>
            </w:tcBorders>
            <w:shd w:val="clear" w:color="auto" w:fill="auto"/>
            <w:noWrap/>
            <w:vAlign w:val="center"/>
            <w:hideMark/>
          </w:tcPr>
          <w:p w14:paraId="37801E6C" w14:textId="77777777" w:rsidR="00421F1B" w:rsidRPr="00795F17" w:rsidRDefault="00421F1B" w:rsidP="0044393D">
            <w:pPr>
              <w:pStyle w:val="Teksttabelilewy"/>
            </w:pPr>
            <w:r w:rsidRPr="00795F17">
              <w:t>Średnia prędkość wiatru</w:t>
            </w:r>
          </w:p>
        </w:tc>
        <w:tc>
          <w:tcPr>
            <w:tcW w:w="780" w:type="pct"/>
            <w:tcBorders>
              <w:top w:val="nil"/>
              <w:left w:val="nil"/>
              <w:bottom w:val="single" w:sz="4" w:space="0" w:color="auto"/>
              <w:right w:val="single" w:sz="4" w:space="0" w:color="auto"/>
            </w:tcBorders>
            <w:shd w:val="clear" w:color="auto" w:fill="auto"/>
            <w:noWrap/>
            <w:vAlign w:val="center"/>
            <w:hideMark/>
          </w:tcPr>
          <w:p w14:paraId="491BF54B" w14:textId="5CA76DA4" w:rsidR="00421F1B" w:rsidRPr="00795F17" w:rsidRDefault="00421F1B" w:rsidP="0065243A">
            <w:pPr>
              <w:pStyle w:val="Teksttabelisrodek"/>
            </w:pPr>
            <w:r w:rsidRPr="00795F17">
              <w:t>2,8</w:t>
            </w:r>
            <w:r w:rsidR="00D84BAD">
              <w:t xml:space="preserve"> </w:t>
            </w:r>
            <w:r w:rsidRPr="00795F17">
              <w:t>-</w:t>
            </w:r>
            <w:r w:rsidR="00D84BAD">
              <w:t xml:space="preserve"> </w:t>
            </w:r>
            <w:r w:rsidRPr="00795F17">
              <w:t>10,0 m/s</w:t>
            </w:r>
          </w:p>
        </w:tc>
        <w:tc>
          <w:tcPr>
            <w:tcW w:w="468" w:type="pct"/>
            <w:tcBorders>
              <w:top w:val="nil"/>
              <w:left w:val="nil"/>
              <w:bottom w:val="single" w:sz="4" w:space="0" w:color="auto"/>
              <w:right w:val="single" w:sz="4" w:space="0" w:color="auto"/>
            </w:tcBorders>
            <w:shd w:val="clear" w:color="auto" w:fill="92D050"/>
            <w:noWrap/>
            <w:vAlign w:val="center"/>
            <w:hideMark/>
          </w:tcPr>
          <w:p w14:paraId="509E12D7" w14:textId="77777777" w:rsidR="00421F1B" w:rsidRPr="00795F17" w:rsidRDefault="00421F1B" w:rsidP="0065243A">
            <w:pPr>
              <w:pStyle w:val="Teksttabelisrodek"/>
            </w:pPr>
            <w:r w:rsidRPr="00795F17">
              <w:t>niskie</w:t>
            </w:r>
          </w:p>
        </w:tc>
        <w:tc>
          <w:tcPr>
            <w:tcW w:w="955" w:type="pct"/>
            <w:tcBorders>
              <w:top w:val="nil"/>
              <w:left w:val="nil"/>
              <w:bottom w:val="single" w:sz="4" w:space="0" w:color="auto"/>
              <w:right w:val="single" w:sz="4" w:space="0" w:color="auto"/>
            </w:tcBorders>
            <w:shd w:val="clear" w:color="auto" w:fill="auto"/>
            <w:noWrap/>
            <w:vAlign w:val="center"/>
            <w:hideMark/>
          </w:tcPr>
          <w:p w14:paraId="5B459EB7" w14:textId="77777777" w:rsidR="00421F1B" w:rsidRPr="00795F17" w:rsidRDefault="00421F1B" w:rsidP="0065243A">
            <w:pPr>
              <w:pStyle w:val="Teksttabelisrodek"/>
            </w:pPr>
            <w:r w:rsidRPr="00795F17">
              <w:t>brak zmian</w:t>
            </w:r>
          </w:p>
        </w:tc>
        <w:tc>
          <w:tcPr>
            <w:tcW w:w="453" w:type="pct"/>
            <w:tcBorders>
              <w:top w:val="nil"/>
              <w:left w:val="nil"/>
              <w:bottom w:val="single" w:sz="4" w:space="0" w:color="auto"/>
              <w:right w:val="single" w:sz="4" w:space="0" w:color="auto"/>
            </w:tcBorders>
            <w:shd w:val="clear" w:color="auto" w:fill="92D050"/>
            <w:vAlign w:val="center"/>
            <w:hideMark/>
          </w:tcPr>
          <w:p w14:paraId="18E6BFCE" w14:textId="77777777" w:rsidR="00421F1B" w:rsidRPr="00795F17" w:rsidRDefault="00421F1B" w:rsidP="0065243A">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6758F5D6" w14:textId="77777777" w:rsidR="00421F1B" w:rsidRPr="00795F17" w:rsidRDefault="00421F1B" w:rsidP="0065243A">
            <w:pPr>
              <w:pStyle w:val="Teksttabelisrodek"/>
            </w:pPr>
            <w:r w:rsidRPr="00795F17">
              <w:t>brak zmian</w:t>
            </w:r>
          </w:p>
        </w:tc>
        <w:tc>
          <w:tcPr>
            <w:tcW w:w="443" w:type="pct"/>
            <w:tcBorders>
              <w:top w:val="nil"/>
              <w:left w:val="nil"/>
              <w:bottom w:val="single" w:sz="4" w:space="0" w:color="auto"/>
              <w:right w:val="single" w:sz="4" w:space="0" w:color="auto"/>
            </w:tcBorders>
            <w:shd w:val="clear" w:color="auto" w:fill="92D050"/>
            <w:noWrap/>
            <w:vAlign w:val="center"/>
            <w:hideMark/>
          </w:tcPr>
          <w:p w14:paraId="5ADBEED4" w14:textId="77777777" w:rsidR="00421F1B" w:rsidRPr="00795F17" w:rsidRDefault="00421F1B" w:rsidP="0065243A">
            <w:pPr>
              <w:pStyle w:val="Teksttabelisrodek"/>
            </w:pPr>
            <w:r w:rsidRPr="00795F17">
              <w:t>niskie</w:t>
            </w:r>
          </w:p>
        </w:tc>
      </w:tr>
      <w:tr w:rsidR="00421F1B" w:rsidRPr="00795F17" w14:paraId="1AE247B2" w14:textId="77777777" w:rsidTr="009109BF">
        <w:trPr>
          <w:trHeight w:val="275"/>
        </w:trPr>
        <w:tc>
          <w:tcPr>
            <w:tcW w:w="1017" w:type="pct"/>
            <w:tcBorders>
              <w:top w:val="nil"/>
              <w:left w:val="single" w:sz="4" w:space="0" w:color="auto"/>
              <w:bottom w:val="single" w:sz="4" w:space="0" w:color="auto"/>
              <w:right w:val="single" w:sz="4" w:space="0" w:color="auto"/>
            </w:tcBorders>
            <w:shd w:val="clear" w:color="auto" w:fill="auto"/>
            <w:noWrap/>
            <w:vAlign w:val="center"/>
            <w:hideMark/>
          </w:tcPr>
          <w:p w14:paraId="6296B795" w14:textId="77777777" w:rsidR="00421F1B" w:rsidRPr="00795F17" w:rsidRDefault="00421F1B" w:rsidP="0044393D">
            <w:pPr>
              <w:pStyle w:val="Teksttabelilewy"/>
            </w:pPr>
            <w:r w:rsidRPr="00795F17">
              <w:t>Sezon wegetacyjny, temperatura powyżej 5°C</w:t>
            </w:r>
          </w:p>
        </w:tc>
        <w:tc>
          <w:tcPr>
            <w:tcW w:w="780" w:type="pct"/>
            <w:tcBorders>
              <w:top w:val="nil"/>
              <w:left w:val="nil"/>
              <w:bottom w:val="single" w:sz="4" w:space="0" w:color="auto"/>
              <w:right w:val="single" w:sz="4" w:space="0" w:color="auto"/>
            </w:tcBorders>
            <w:shd w:val="clear" w:color="auto" w:fill="auto"/>
            <w:noWrap/>
            <w:vAlign w:val="center"/>
            <w:hideMark/>
          </w:tcPr>
          <w:p w14:paraId="4B0DA898" w14:textId="77777777" w:rsidR="00421F1B" w:rsidRPr="00795F17" w:rsidRDefault="00421F1B" w:rsidP="0065243A">
            <w:pPr>
              <w:pStyle w:val="Teksttabelisrodek"/>
            </w:pPr>
            <w:r w:rsidRPr="00795F17">
              <w:t>od 190 do 235 dni w roku</w:t>
            </w:r>
          </w:p>
        </w:tc>
        <w:tc>
          <w:tcPr>
            <w:tcW w:w="468" w:type="pct"/>
            <w:tcBorders>
              <w:top w:val="nil"/>
              <w:left w:val="nil"/>
              <w:bottom w:val="single" w:sz="4" w:space="0" w:color="auto"/>
              <w:right w:val="single" w:sz="4" w:space="0" w:color="auto"/>
            </w:tcBorders>
            <w:shd w:val="clear" w:color="auto" w:fill="92D050"/>
            <w:noWrap/>
            <w:vAlign w:val="center"/>
            <w:hideMark/>
          </w:tcPr>
          <w:p w14:paraId="6609A469" w14:textId="77777777" w:rsidR="00421F1B" w:rsidRPr="00795F17" w:rsidRDefault="00421F1B" w:rsidP="0065243A">
            <w:pPr>
              <w:pStyle w:val="Teksttabelisrodek"/>
            </w:pPr>
            <w:r w:rsidRPr="00795F17">
              <w:t>niskie</w:t>
            </w:r>
          </w:p>
        </w:tc>
        <w:tc>
          <w:tcPr>
            <w:tcW w:w="955" w:type="pct"/>
            <w:tcBorders>
              <w:top w:val="nil"/>
              <w:left w:val="nil"/>
              <w:bottom w:val="single" w:sz="4" w:space="0" w:color="auto"/>
              <w:right w:val="single" w:sz="4" w:space="0" w:color="auto"/>
            </w:tcBorders>
            <w:shd w:val="clear" w:color="auto" w:fill="auto"/>
            <w:noWrap/>
            <w:vAlign w:val="center"/>
            <w:hideMark/>
          </w:tcPr>
          <w:p w14:paraId="1AF53E24" w14:textId="2B519C86" w:rsidR="00421F1B" w:rsidRPr="00795F17" w:rsidRDefault="00421F1B" w:rsidP="0065243A">
            <w:pPr>
              <w:pStyle w:val="Teksttabelisrodek"/>
            </w:pPr>
            <w:r w:rsidRPr="00795F17">
              <w:t>wydłużenie o 2</w:t>
            </w:r>
            <w:r w:rsidR="00D84BAD">
              <w:t xml:space="preserve"> </w:t>
            </w:r>
            <w:r w:rsidRPr="00795F17">
              <w:t>-</w:t>
            </w:r>
            <w:r w:rsidR="00D84BAD">
              <w:t xml:space="preserve"> </w:t>
            </w:r>
            <w:r w:rsidRPr="00795F17">
              <w:t>4 dni w roku</w:t>
            </w:r>
          </w:p>
        </w:tc>
        <w:tc>
          <w:tcPr>
            <w:tcW w:w="453" w:type="pct"/>
            <w:tcBorders>
              <w:top w:val="nil"/>
              <w:left w:val="nil"/>
              <w:bottom w:val="single" w:sz="4" w:space="0" w:color="auto"/>
              <w:right w:val="single" w:sz="4" w:space="0" w:color="auto"/>
            </w:tcBorders>
            <w:shd w:val="clear" w:color="auto" w:fill="92D050"/>
            <w:vAlign w:val="center"/>
            <w:hideMark/>
          </w:tcPr>
          <w:p w14:paraId="4D5DB76E" w14:textId="77777777" w:rsidR="00421F1B" w:rsidRPr="00795F17" w:rsidRDefault="00421F1B" w:rsidP="0065243A">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1F52D453" w14:textId="52212C9F" w:rsidR="00421F1B" w:rsidRPr="00795F17" w:rsidRDefault="00421F1B" w:rsidP="0065243A">
            <w:pPr>
              <w:pStyle w:val="Teksttabelisrodek"/>
            </w:pPr>
            <w:r w:rsidRPr="00795F17">
              <w:t>wydłużenie o 22</w:t>
            </w:r>
            <w:r w:rsidR="00545379">
              <w:t xml:space="preserve"> </w:t>
            </w:r>
            <w:r w:rsidRPr="00795F17">
              <w:t>-</w:t>
            </w:r>
            <w:r w:rsidR="00545379">
              <w:t xml:space="preserve"> </w:t>
            </w:r>
            <w:r w:rsidRPr="00795F17">
              <w:t>26 dni w roku</w:t>
            </w:r>
          </w:p>
        </w:tc>
        <w:tc>
          <w:tcPr>
            <w:tcW w:w="443" w:type="pct"/>
            <w:tcBorders>
              <w:top w:val="nil"/>
              <w:left w:val="nil"/>
              <w:bottom w:val="single" w:sz="4" w:space="0" w:color="auto"/>
              <w:right w:val="single" w:sz="4" w:space="0" w:color="auto"/>
            </w:tcBorders>
            <w:shd w:val="clear" w:color="auto" w:fill="92D050"/>
            <w:noWrap/>
            <w:vAlign w:val="center"/>
            <w:hideMark/>
          </w:tcPr>
          <w:p w14:paraId="47A83411" w14:textId="77777777" w:rsidR="00421F1B" w:rsidRPr="00795F17" w:rsidRDefault="00421F1B" w:rsidP="0065243A">
            <w:pPr>
              <w:pStyle w:val="Teksttabelisrodek"/>
            </w:pPr>
            <w:r w:rsidRPr="00795F17">
              <w:t>niskie</w:t>
            </w:r>
          </w:p>
        </w:tc>
      </w:tr>
      <w:tr w:rsidR="00421F1B" w:rsidRPr="00795F17" w14:paraId="11F2F47C" w14:textId="77777777" w:rsidTr="009109BF">
        <w:trPr>
          <w:trHeight w:val="275"/>
        </w:trPr>
        <w:tc>
          <w:tcPr>
            <w:tcW w:w="1017" w:type="pct"/>
            <w:tcBorders>
              <w:top w:val="nil"/>
              <w:left w:val="single" w:sz="4" w:space="0" w:color="auto"/>
              <w:bottom w:val="single" w:sz="4" w:space="0" w:color="auto"/>
              <w:right w:val="single" w:sz="4" w:space="0" w:color="auto"/>
            </w:tcBorders>
            <w:shd w:val="clear" w:color="auto" w:fill="auto"/>
            <w:noWrap/>
            <w:vAlign w:val="center"/>
            <w:hideMark/>
          </w:tcPr>
          <w:p w14:paraId="75E53122" w14:textId="77777777" w:rsidR="00421F1B" w:rsidRPr="00795F17" w:rsidRDefault="00421F1B" w:rsidP="0044393D">
            <w:pPr>
              <w:pStyle w:val="Teksttabelilewy"/>
            </w:pPr>
            <w:r w:rsidRPr="00795F17">
              <w:t>Ekstremalna temperatura dodatnia</w:t>
            </w:r>
          </w:p>
        </w:tc>
        <w:tc>
          <w:tcPr>
            <w:tcW w:w="780" w:type="pct"/>
            <w:tcBorders>
              <w:top w:val="nil"/>
              <w:left w:val="nil"/>
              <w:bottom w:val="single" w:sz="4" w:space="0" w:color="auto"/>
              <w:right w:val="single" w:sz="4" w:space="0" w:color="auto"/>
            </w:tcBorders>
            <w:shd w:val="clear" w:color="auto" w:fill="auto"/>
            <w:noWrap/>
            <w:vAlign w:val="center"/>
            <w:hideMark/>
          </w:tcPr>
          <w:p w14:paraId="749ACB67" w14:textId="54BDFC67" w:rsidR="00421F1B" w:rsidRPr="00795F17" w:rsidRDefault="00421F1B" w:rsidP="0065243A">
            <w:pPr>
              <w:pStyle w:val="Teksttabelisrodek"/>
            </w:pPr>
            <w:r w:rsidRPr="00795F17">
              <w:t>powyżej 25°C, ok</w:t>
            </w:r>
            <w:r w:rsidR="00D84BAD">
              <w:t>oło</w:t>
            </w:r>
            <w:r w:rsidRPr="00795F17">
              <w:t xml:space="preserve"> 21</w:t>
            </w:r>
            <w:r w:rsidR="00D84BAD">
              <w:t xml:space="preserve"> </w:t>
            </w:r>
            <w:r w:rsidRPr="00795F17">
              <w:t>-</w:t>
            </w:r>
            <w:r w:rsidR="00D84BAD">
              <w:t xml:space="preserve"> </w:t>
            </w:r>
            <w:r w:rsidRPr="00795F17">
              <w:t>48 dni w roku</w:t>
            </w:r>
          </w:p>
        </w:tc>
        <w:tc>
          <w:tcPr>
            <w:tcW w:w="468" w:type="pct"/>
            <w:tcBorders>
              <w:top w:val="nil"/>
              <w:left w:val="nil"/>
              <w:bottom w:val="single" w:sz="4" w:space="0" w:color="auto"/>
              <w:right w:val="single" w:sz="4" w:space="0" w:color="auto"/>
            </w:tcBorders>
            <w:shd w:val="clear" w:color="auto" w:fill="FFFF00"/>
            <w:noWrap/>
            <w:vAlign w:val="center"/>
            <w:hideMark/>
          </w:tcPr>
          <w:p w14:paraId="717A178A" w14:textId="77777777" w:rsidR="00421F1B" w:rsidRPr="00795F17" w:rsidRDefault="00421F1B" w:rsidP="0065243A">
            <w:pPr>
              <w:pStyle w:val="Teksttabelisrodek"/>
            </w:pPr>
            <w:r w:rsidRPr="00795F17">
              <w:t>średnie</w:t>
            </w:r>
          </w:p>
        </w:tc>
        <w:tc>
          <w:tcPr>
            <w:tcW w:w="955" w:type="pct"/>
            <w:tcBorders>
              <w:top w:val="nil"/>
              <w:left w:val="nil"/>
              <w:bottom w:val="single" w:sz="4" w:space="0" w:color="auto"/>
              <w:right w:val="single" w:sz="4" w:space="0" w:color="auto"/>
            </w:tcBorders>
            <w:shd w:val="clear" w:color="auto" w:fill="auto"/>
            <w:noWrap/>
            <w:vAlign w:val="center"/>
            <w:hideMark/>
          </w:tcPr>
          <w:p w14:paraId="73E60357" w14:textId="1788CFA4" w:rsidR="00421F1B" w:rsidRPr="00795F17" w:rsidRDefault="00421F1B" w:rsidP="0065243A">
            <w:pPr>
              <w:pStyle w:val="Teksttabelisrodek"/>
            </w:pPr>
            <w:r w:rsidRPr="00795F17">
              <w:t>brak istotnej zmiany, z</w:t>
            </w:r>
            <w:r w:rsidR="00D84BAD">
              <w:t> </w:t>
            </w:r>
            <w:r w:rsidRPr="00795F17">
              <w:t>tendencją do skracania się okresu gorącego w zachodniej części regionu</w:t>
            </w:r>
          </w:p>
        </w:tc>
        <w:tc>
          <w:tcPr>
            <w:tcW w:w="453" w:type="pct"/>
            <w:tcBorders>
              <w:top w:val="nil"/>
              <w:left w:val="nil"/>
              <w:bottom w:val="single" w:sz="4" w:space="0" w:color="auto"/>
              <w:right w:val="single" w:sz="4" w:space="0" w:color="auto"/>
            </w:tcBorders>
            <w:shd w:val="clear" w:color="auto" w:fill="FFFF00"/>
            <w:vAlign w:val="center"/>
            <w:hideMark/>
          </w:tcPr>
          <w:p w14:paraId="5A1B0455" w14:textId="77777777" w:rsidR="00421F1B" w:rsidRPr="00795F17" w:rsidRDefault="00421F1B" w:rsidP="0065243A">
            <w:pPr>
              <w:pStyle w:val="Teksttabelisrodek"/>
            </w:pPr>
            <w:r w:rsidRPr="00795F17">
              <w:t>średnie</w:t>
            </w:r>
          </w:p>
        </w:tc>
        <w:tc>
          <w:tcPr>
            <w:tcW w:w="884" w:type="pct"/>
            <w:tcBorders>
              <w:top w:val="nil"/>
              <w:left w:val="nil"/>
              <w:bottom w:val="single" w:sz="4" w:space="0" w:color="auto"/>
              <w:right w:val="single" w:sz="4" w:space="0" w:color="auto"/>
            </w:tcBorders>
            <w:shd w:val="clear" w:color="auto" w:fill="auto"/>
            <w:vAlign w:val="center"/>
            <w:hideMark/>
          </w:tcPr>
          <w:p w14:paraId="59822817" w14:textId="351F9C77" w:rsidR="00421F1B" w:rsidRPr="00795F17" w:rsidRDefault="00421F1B" w:rsidP="0065243A">
            <w:pPr>
              <w:pStyle w:val="Teksttabelisrodek"/>
            </w:pPr>
            <w:r w:rsidRPr="00795F17">
              <w:t>wydłużenie o 6</w:t>
            </w:r>
            <w:r w:rsidR="00545379">
              <w:t xml:space="preserve"> </w:t>
            </w:r>
            <w:r w:rsidRPr="00795F17">
              <w:t>-</w:t>
            </w:r>
            <w:r w:rsidR="00545379">
              <w:t xml:space="preserve"> </w:t>
            </w:r>
            <w:r w:rsidRPr="00795F17">
              <w:t>12 dni w roku</w:t>
            </w:r>
          </w:p>
        </w:tc>
        <w:tc>
          <w:tcPr>
            <w:tcW w:w="443" w:type="pct"/>
            <w:tcBorders>
              <w:top w:val="nil"/>
              <w:left w:val="nil"/>
              <w:bottom w:val="single" w:sz="4" w:space="0" w:color="auto"/>
              <w:right w:val="single" w:sz="4" w:space="0" w:color="auto"/>
            </w:tcBorders>
            <w:shd w:val="clear" w:color="auto" w:fill="FF0000"/>
            <w:noWrap/>
            <w:vAlign w:val="center"/>
            <w:hideMark/>
          </w:tcPr>
          <w:p w14:paraId="7148D3D1" w14:textId="77777777" w:rsidR="00421F1B" w:rsidRPr="00795F17" w:rsidRDefault="00421F1B" w:rsidP="0065243A">
            <w:pPr>
              <w:pStyle w:val="Teksttabelisrodek"/>
            </w:pPr>
            <w:r w:rsidRPr="00795F17">
              <w:t>wysokie</w:t>
            </w:r>
          </w:p>
        </w:tc>
      </w:tr>
      <w:tr w:rsidR="00421F1B" w:rsidRPr="00795F17" w14:paraId="3A164FA3" w14:textId="77777777" w:rsidTr="009109BF">
        <w:trPr>
          <w:trHeight w:val="275"/>
        </w:trPr>
        <w:tc>
          <w:tcPr>
            <w:tcW w:w="1017" w:type="pct"/>
            <w:tcBorders>
              <w:top w:val="nil"/>
              <w:left w:val="single" w:sz="4" w:space="0" w:color="auto"/>
              <w:bottom w:val="single" w:sz="4" w:space="0" w:color="auto"/>
              <w:right w:val="single" w:sz="4" w:space="0" w:color="auto"/>
            </w:tcBorders>
            <w:shd w:val="clear" w:color="auto" w:fill="auto"/>
            <w:noWrap/>
            <w:vAlign w:val="center"/>
            <w:hideMark/>
          </w:tcPr>
          <w:p w14:paraId="309A00C1" w14:textId="77777777" w:rsidR="00421F1B" w:rsidRPr="00795F17" w:rsidRDefault="00421F1B" w:rsidP="0044393D">
            <w:pPr>
              <w:pStyle w:val="Teksttabelilewy"/>
            </w:pPr>
            <w:r w:rsidRPr="00795F17">
              <w:t>Temperatura ujemna</w:t>
            </w:r>
          </w:p>
        </w:tc>
        <w:tc>
          <w:tcPr>
            <w:tcW w:w="780" w:type="pct"/>
            <w:tcBorders>
              <w:top w:val="nil"/>
              <w:left w:val="nil"/>
              <w:bottom w:val="single" w:sz="4" w:space="0" w:color="auto"/>
              <w:right w:val="single" w:sz="4" w:space="0" w:color="auto"/>
            </w:tcBorders>
            <w:shd w:val="clear" w:color="auto" w:fill="auto"/>
            <w:noWrap/>
            <w:vAlign w:val="center"/>
            <w:hideMark/>
          </w:tcPr>
          <w:p w14:paraId="1F1BBF70" w14:textId="5E090D8D" w:rsidR="00421F1B" w:rsidRPr="00795F17" w:rsidRDefault="00421F1B" w:rsidP="0065243A">
            <w:pPr>
              <w:pStyle w:val="Teksttabelisrodek"/>
            </w:pPr>
            <w:r w:rsidRPr="00795F17">
              <w:t>poniżej 0°C, 81</w:t>
            </w:r>
            <w:r w:rsidR="00D84BAD">
              <w:t xml:space="preserve"> </w:t>
            </w:r>
            <w:r w:rsidRPr="00795F17">
              <w:t>-</w:t>
            </w:r>
            <w:r w:rsidR="00D84BAD">
              <w:t xml:space="preserve"> </w:t>
            </w:r>
            <w:r w:rsidRPr="00795F17">
              <w:t>100 dni w roku</w:t>
            </w:r>
          </w:p>
        </w:tc>
        <w:tc>
          <w:tcPr>
            <w:tcW w:w="468" w:type="pct"/>
            <w:tcBorders>
              <w:top w:val="nil"/>
              <w:left w:val="nil"/>
              <w:bottom w:val="single" w:sz="4" w:space="0" w:color="auto"/>
              <w:right w:val="single" w:sz="4" w:space="0" w:color="auto"/>
            </w:tcBorders>
            <w:shd w:val="clear" w:color="auto" w:fill="FFFF00"/>
            <w:noWrap/>
            <w:vAlign w:val="center"/>
            <w:hideMark/>
          </w:tcPr>
          <w:p w14:paraId="068BDE91" w14:textId="77777777" w:rsidR="00421F1B" w:rsidRPr="00795F17" w:rsidRDefault="00421F1B" w:rsidP="0065243A">
            <w:pPr>
              <w:pStyle w:val="Teksttabelisrodek"/>
            </w:pPr>
            <w:r w:rsidRPr="00795F17">
              <w:t>średnie</w:t>
            </w:r>
          </w:p>
        </w:tc>
        <w:tc>
          <w:tcPr>
            <w:tcW w:w="955" w:type="pct"/>
            <w:tcBorders>
              <w:top w:val="nil"/>
              <w:left w:val="nil"/>
              <w:bottom w:val="single" w:sz="4" w:space="0" w:color="auto"/>
              <w:right w:val="single" w:sz="4" w:space="0" w:color="auto"/>
            </w:tcBorders>
            <w:shd w:val="clear" w:color="auto" w:fill="auto"/>
            <w:noWrap/>
            <w:vAlign w:val="center"/>
            <w:hideMark/>
          </w:tcPr>
          <w:p w14:paraId="3EE620F7" w14:textId="79A82618" w:rsidR="00421F1B" w:rsidRPr="00795F17" w:rsidRDefault="00421F1B" w:rsidP="0065243A">
            <w:pPr>
              <w:pStyle w:val="Teksttabelisrodek"/>
            </w:pPr>
            <w:r w:rsidRPr="00795F17">
              <w:t>spadek o 1,0</w:t>
            </w:r>
            <w:r w:rsidR="00D84BAD">
              <w:t xml:space="preserve"> </w:t>
            </w:r>
            <w:r w:rsidRPr="00795F17">
              <w:t>-</w:t>
            </w:r>
            <w:r w:rsidR="00D84BAD">
              <w:t xml:space="preserve"> </w:t>
            </w:r>
            <w:r w:rsidRPr="00795F17">
              <w:t>2,5 dnia w roku</w:t>
            </w:r>
          </w:p>
        </w:tc>
        <w:tc>
          <w:tcPr>
            <w:tcW w:w="453" w:type="pct"/>
            <w:tcBorders>
              <w:top w:val="nil"/>
              <w:left w:val="nil"/>
              <w:bottom w:val="single" w:sz="4" w:space="0" w:color="auto"/>
              <w:right w:val="single" w:sz="4" w:space="0" w:color="auto"/>
            </w:tcBorders>
            <w:shd w:val="clear" w:color="auto" w:fill="92D050"/>
            <w:vAlign w:val="center"/>
            <w:hideMark/>
          </w:tcPr>
          <w:p w14:paraId="1D8B77BA" w14:textId="77777777" w:rsidR="00421F1B" w:rsidRPr="00795F17" w:rsidRDefault="00421F1B" w:rsidP="0065243A">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0A7CE5CD" w14:textId="72189FA0" w:rsidR="00421F1B" w:rsidRPr="00795F17" w:rsidRDefault="00421F1B" w:rsidP="0065243A">
            <w:pPr>
              <w:pStyle w:val="Teksttabelisrodek"/>
            </w:pPr>
            <w:r w:rsidRPr="00795F17">
              <w:t>spadek o 21</w:t>
            </w:r>
            <w:r w:rsidR="00545379">
              <w:t xml:space="preserve"> </w:t>
            </w:r>
            <w:r w:rsidRPr="00795F17">
              <w:t>-</w:t>
            </w:r>
            <w:r w:rsidR="00545379">
              <w:t xml:space="preserve"> </w:t>
            </w:r>
            <w:r w:rsidRPr="00795F17">
              <w:t>30 dni w roku</w:t>
            </w:r>
          </w:p>
        </w:tc>
        <w:tc>
          <w:tcPr>
            <w:tcW w:w="443" w:type="pct"/>
            <w:tcBorders>
              <w:top w:val="nil"/>
              <w:left w:val="nil"/>
              <w:bottom w:val="single" w:sz="4" w:space="0" w:color="auto"/>
              <w:right w:val="single" w:sz="4" w:space="0" w:color="auto"/>
            </w:tcBorders>
            <w:shd w:val="clear" w:color="auto" w:fill="92D050"/>
            <w:noWrap/>
            <w:vAlign w:val="center"/>
            <w:hideMark/>
          </w:tcPr>
          <w:p w14:paraId="7488AB08" w14:textId="77777777" w:rsidR="00421F1B" w:rsidRPr="00795F17" w:rsidRDefault="00421F1B" w:rsidP="0065243A">
            <w:pPr>
              <w:pStyle w:val="Teksttabelisrodek"/>
            </w:pPr>
            <w:r w:rsidRPr="00795F17">
              <w:t>niskie</w:t>
            </w:r>
          </w:p>
        </w:tc>
      </w:tr>
      <w:tr w:rsidR="00421F1B" w:rsidRPr="00795F17" w14:paraId="2D3DC28E" w14:textId="77777777" w:rsidTr="009109BF">
        <w:trPr>
          <w:trHeight w:val="275"/>
        </w:trPr>
        <w:tc>
          <w:tcPr>
            <w:tcW w:w="1017" w:type="pct"/>
            <w:tcBorders>
              <w:top w:val="nil"/>
              <w:left w:val="single" w:sz="4" w:space="0" w:color="auto"/>
              <w:bottom w:val="single" w:sz="4" w:space="0" w:color="auto"/>
              <w:right w:val="single" w:sz="4" w:space="0" w:color="auto"/>
            </w:tcBorders>
            <w:shd w:val="clear" w:color="auto" w:fill="auto"/>
            <w:noWrap/>
            <w:vAlign w:val="center"/>
            <w:hideMark/>
          </w:tcPr>
          <w:p w14:paraId="04F9F244" w14:textId="77777777" w:rsidR="00421F1B" w:rsidRPr="00795F17" w:rsidRDefault="00421F1B" w:rsidP="0044393D">
            <w:pPr>
              <w:pStyle w:val="Teksttabelilewy"/>
            </w:pPr>
            <w:r w:rsidRPr="00795F17">
              <w:t>Liczba dni z opadem w roku</w:t>
            </w:r>
          </w:p>
        </w:tc>
        <w:tc>
          <w:tcPr>
            <w:tcW w:w="780" w:type="pct"/>
            <w:tcBorders>
              <w:top w:val="nil"/>
              <w:left w:val="nil"/>
              <w:bottom w:val="single" w:sz="4" w:space="0" w:color="auto"/>
              <w:right w:val="single" w:sz="4" w:space="0" w:color="auto"/>
            </w:tcBorders>
            <w:shd w:val="clear" w:color="auto" w:fill="auto"/>
            <w:noWrap/>
            <w:vAlign w:val="center"/>
            <w:hideMark/>
          </w:tcPr>
          <w:p w14:paraId="03CFCA36" w14:textId="76928058" w:rsidR="00421F1B" w:rsidRPr="00795F17" w:rsidRDefault="00421F1B" w:rsidP="0065243A">
            <w:pPr>
              <w:pStyle w:val="Teksttabelisrodek"/>
            </w:pPr>
            <w:r w:rsidRPr="00795F17">
              <w:t>ok</w:t>
            </w:r>
            <w:r w:rsidR="00D84BAD">
              <w:t>oło</w:t>
            </w:r>
            <w:r w:rsidRPr="00795F17">
              <w:t xml:space="preserve"> 124</w:t>
            </w:r>
            <w:r w:rsidR="00D84BAD">
              <w:t xml:space="preserve"> </w:t>
            </w:r>
            <w:r w:rsidRPr="00795F17">
              <w:t>-</w:t>
            </w:r>
            <w:r w:rsidR="00D84BAD">
              <w:t xml:space="preserve"> </w:t>
            </w:r>
            <w:r w:rsidRPr="00795F17">
              <w:t>160 dni w roku</w:t>
            </w:r>
          </w:p>
        </w:tc>
        <w:tc>
          <w:tcPr>
            <w:tcW w:w="468" w:type="pct"/>
            <w:tcBorders>
              <w:top w:val="nil"/>
              <w:left w:val="nil"/>
              <w:bottom w:val="single" w:sz="4" w:space="0" w:color="auto"/>
              <w:right w:val="single" w:sz="4" w:space="0" w:color="auto"/>
            </w:tcBorders>
            <w:shd w:val="clear" w:color="auto" w:fill="FFFF00"/>
            <w:noWrap/>
            <w:vAlign w:val="center"/>
            <w:hideMark/>
          </w:tcPr>
          <w:p w14:paraId="558D333C" w14:textId="50EE20F7" w:rsidR="00421F1B" w:rsidRPr="00795F17" w:rsidRDefault="00421F1B" w:rsidP="0065243A">
            <w:pPr>
              <w:pStyle w:val="Teksttabelisrodek"/>
            </w:pPr>
            <w:r w:rsidRPr="00795F17">
              <w:t>średnie</w:t>
            </w:r>
          </w:p>
        </w:tc>
        <w:tc>
          <w:tcPr>
            <w:tcW w:w="955" w:type="pct"/>
            <w:tcBorders>
              <w:top w:val="nil"/>
              <w:left w:val="nil"/>
              <w:bottom w:val="single" w:sz="4" w:space="0" w:color="auto"/>
              <w:right w:val="single" w:sz="4" w:space="0" w:color="auto"/>
            </w:tcBorders>
            <w:shd w:val="clear" w:color="auto" w:fill="auto"/>
            <w:noWrap/>
            <w:vAlign w:val="center"/>
            <w:hideMark/>
          </w:tcPr>
          <w:p w14:paraId="24F378CA" w14:textId="187F76D6" w:rsidR="00421F1B" w:rsidRPr="00795F17" w:rsidRDefault="00421F1B" w:rsidP="0065243A">
            <w:pPr>
              <w:pStyle w:val="Teksttabelisrodek"/>
            </w:pPr>
            <w:r w:rsidRPr="00795F17">
              <w:t>bez istotnej tendencji, spadek o 1</w:t>
            </w:r>
            <w:r w:rsidR="00D84BAD">
              <w:t xml:space="preserve"> </w:t>
            </w:r>
            <w:r w:rsidRPr="00795F17">
              <w:t>-</w:t>
            </w:r>
            <w:r w:rsidR="00D84BAD">
              <w:t xml:space="preserve"> </w:t>
            </w:r>
            <w:r w:rsidRPr="00795F17">
              <w:t>2 dni w</w:t>
            </w:r>
            <w:r w:rsidR="00D84BAD">
              <w:t> </w:t>
            </w:r>
            <w:r w:rsidRPr="00795F17">
              <w:t>roku</w:t>
            </w:r>
          </w:p>
        </w:tc>
        <w:tc>
          <w:tcPr>
            <w:tcW w:w="453" w:type="pct"/>
            <w:tcBorders>
              <w:top w:val="nil"/>
              <w:left w:val="nil"/>
              <w:bottom w:val="single" w:sz="4" w:space="0" w:color="auto"/>
              <w:right w:val="single" w:sz="4" w:space="0" w:color="auto"/>
            </w:tcBorders>
            <w:shd w:val="clear" w:color="auto" w:fill="FFFF00"/>
            <w:vAlign w:val="center"/>
            <w:hideMark/>
          </w:tcPr>
          <w:p w14:paraId="2B6D97C1" w14:textId="77777777" w:rsidR="00421F1B" w:rsidRPr="00795F17" w:rsidRDefault="00421F1B" w:rsidP="0065243A">
            <w:pPr>
              <w:pStyle w:val="Teksttabelisrodek"/>
            </w:pPr>
            <w:r w:rsidRPr="00795F17">
              <w:t xml:space="preserve">średnie </w:t>
            </w:r>
          </w:p>
        </w:tc>
        <w:tc>
          <w:tcPr>
            <w:tcW w:w="884" w:type="pct"/>
            <w:tcBorders>
              <w:top w:val="nil"/>
              <w:left w:val="nil"/>
              <w:bottom w:val="single" w:sz="4" w:space="0" w:color="auto"/>
              <w:right w:val="single" w:sz="4" w:space="0" w:color="auto"/>
            </w:tcBorders>
            <w:shd w:val="clear" w:color="auto" w:fill="auto"/>
            <w:vAlign w:val="center"/>
            <w:hideMark/>
          </w:tcPr>
          <w:p w14:paraId="26638DB3" w14:textId="6CFE9EB8" w:rsidR="00421F1B" w:rsidRPr="00795F17" w:rsidRDefault="00421F1B" w:rsidP="0065243A">
            <w:pPr>
              <w:pStyle w:val="Teksttabelisrodek"/>
            </w:pPr>
            <w:r w:rsidRPr="00795F17">
              <w:t>zróżnicowanie przestrzenne tendencji, w</w:t>
            </w:r>
            <w:r w:rsidR="00545379">
              <w:t> </w:t>
            </w:r>
            <w:r w:rsidRPr="00795F17">
              <w:t>górach przyrost o 2,5 dnia na rok</w:t>
            </w:r>
          </w:p>
        </w:tc>
        <w:tc>
          <w:tcPr>
            <w:tcW w:w="443" w:type="pct"/>
            <w:tcBorders>
              <w:top w:val="nil"/>
              <w:left w:val="nil"/>
              <w:bottom w:val="single" w:sz="4" w:space="0" w:color="auto"/>
              <w:right w:val="single" w:sz="4" w:space="0" w:color="auto"/>
            </w:tcBorders>
            <w:shd w:val="clear" w:color="auto" w:fill="FFFF00"/>
            <w:noWrap/>
            <w:vAlign w:val="center"/>
            <w:hideMark/>
          </w:tcPr>
          <w:p w14:paraId="543FC38C" w14:textId="77777777" w:rsidR="00421F1B" w:rsidRPr="00795F17" w:rsidRDefault="00421F1B" w:rsidP="0065243A">
            <w:pPr>
              <w:pStyle w:val="Teksttabelisrodek"/>
            </w:pPr>
            <w:r w:rsidRPr="00795F17">
              <w:t xml:space="preserve">średnie </w:t>
            </w:r>
          </w:p>
        </w:tc>
      </w:tr>
      <w:tr w:rsidR="00421F1B" w:rsidRPr="00795F17" w14:paraId="4FA15014" w14:textId="77777777" w:rsidTr="009109BF">
        <w:trPr>
          <w:trHeight w:val="275"/>
        </w:trPr>
        <w:tc>
          <w:tcPr>
            <w:tcW w:w="1017" w:type="pct"/>
            <w:tcBorders>
              <w:top w:val="nil"/>
              <w:left w:val="single" w:sz="4" w:space="0" w:color="auto"/>
              <w:bottom w:val="single" w:sz="4" w:space="0" w:color="auto"/>
              <w:right w:val="single" w:sz="4" w:space="0" w:color="auto"/>
            </w:tcBorders>
            <w:shd w:val="clear" w:color="auto" w:fill="auto"/>
            <w:noWrap/>
            <w:vAlign w:val="center"/>
          </w:tcPr>
          <w:p w14:paraId="355D7C41" w14:textId="77777777" w:rsidR="00421F1B" w:rsidRPr="00795F17" w:rsidRDefault="00421F1B" w:rsidP="0044393D">
            <w:pPr>
              <w:pStyle w:val="Teksttabelilewy"/>
            </w:pPr>
            <w:r w:rsidRPr="00795F17">
              <w:t>Średni opad dobowy</w:t>
            </w:r>
          </w:p>
        </w:tc>
        <w:tc>
          <w:tcPr>
            <w:tcW w:w="780" w:type="pct"/>
            <w:tcBorders>
              <w:top w:val="nil"/>
              <w:left w:val="nil"/>
              <w:bottom w:val="single" w:sz="4" w:space="0" w:color="auto"/>
              <w:right w:val="single" w:sz="4" w:space="0" w:color="auto"/>
            </w:tcBorders>
            <w:shd w:val="clear" w:color="auto" w:fill="auto"/>
            <w:noWrap/>
            <w:vAlign w:val="center"/>
          </w:tcPr>
          <w:p w14:paraId="5E74AC11" w14:textId="6E8A3A8D" w:rsidR="00421F1B" w:rsidRPr="00795F17" w:rsidRDefault="00421F1B" w:rsidP="0065243A">
            <w:pPr>
              <w:pStyle w:val="Teksttabelisrodek"/>
            </w:pPr>
            <w:r w:rsidRPr="00795F17">
              <w:t>ok</w:t>
            </w:r>
            <w:r w:rsidR="00D84BAD">
              <w:t>oło</w:t>
            </w:r>
            <w:r w:rsidRPr="00795F17">
              <w:t xml:space="preserve"> 1,8</w:t>
            </w:r>
            <w:r w:rsidR="00D84BAD">
              <w:t xml:space="preserve"> </w:t>
            </w:r>
            <w:r w:rsidRPr="00795F17">
              <w:t>-</w:t>
            </w:r>
            <w:r w:rsidR="00D84BAD">
              <w:t xml:space="preserve"> </w:t>
            </w:r>
            <w:r w:rsidRPr="00795F17">
              <w:t>4,4</w:t>
            </w:r>
            <w:r w:rsidR="00D84BAD">
              <w:t> </w:t>
            </w:r>
            <w:r w:rsidRPr="00795F17">
              <w:t>mm na dobę</w:t>
            </w:r>
          </w:p>
        </w:tc>
        <w:tc>
          <w:tcPr>
            <w:tcW w:w="468" w:type="pct"/>
            <w:tcBorders>
              <w:top w:val="nil"/>
              <w:left w:val="nil"/>
              <w:bottom w:val="single" w:sz="4" w:space="0" w:color="auto"/>
              <w:right w:val="single" w:sz="4" w:space="0" w:color="auto"/>
            </w:tcBorders>
            <w:shd w:val="clear" w:color="auto" w:fill="92D050"/>
            <w:noWrap/>
            <w:vAlign w:val="center"/>
          </w:tcPr>
          <w:p w14:paraId="3CF9FBF1" w14:textId="5A737ADF" w:rsidR="00421F1B" w:rsidRPr="00795F17" w:rsidRDefault="00421F1B" w:rsidP="0065243A">
            <w:pPr>
              <w:pStyle w:val="Teksttabelisrodek"/>
            </w:pPr>
            <w:r w:rsidRPr="00795F17">
              <w:t>niskie</w:t>
            </w:r>
          </w:p>
        </w:tc>
        <w:tc>
          <w:tcPr>
            <w:tcW w:w="955" w:type="pct"/>
            <w:tcBorders>
              <w:top w:val="nil"/>
              <w:left w:val="nil"/>
              <w:bottom w:val="single" w:sz="4" w:space="0" w:color="auto"/>
              <w:right w:val="single" w:sz="4" w:space="0" w:color="auto"/>
            </w:tcBorders>
            <w:shd w:val="clear" w:color="auto" w:fill="auto"/>
            <w:noWrap/>
            <w:vAlign w:val="center"/>
          </w:tcPr>
          <w:p w14:paraId="5D431860" w14:textId="21C05102" w:rsidR="00421F1B" w:rsidRPr="00795F17" w:rsidRDefault="00421F1B" w:rsidP="0065243A">
            <w:pPr>
              <w:pStyle w:val="Teksttabelisrodek"/>
            </w:pPr>
            <w:r w:rsidRPr="00795F17">
              <w:t>ok</w:t>
            </w:r>
            <w:r w:rsidR="00D84BAD">
              <w:t>oło</w:t>
            </w:r>
            <w:r w:rsidRPr="00795F17">
              <w:t xml:space="preserve"> 1,8</w:t>
            </w:r>
            <w:r w:rsidR="00D84BAD">
              <w:t xml:space="preserve"> </w:t>
            </w:r>
            <w:r w:rsidRPr="00795F17">
              <w:t>-</w:t>
            </w:r>
            <w:r w:rsidR="00D84BAD">
              <w:t xml:space="preserve"> </w:t>
            </w:r>
            <w:r w:rsidRPr="00795F17">
              <w:t>4,4</w:t>
            </w:r>
            <w:r w:rsidR="00D84BAD">
              <w:t> </w:t>
            </w:r>
            <w:r w:rsidRPr="00795F17">
              <w:t>mm na dobę</w:t>
            </w:r>
          </w:p>
        </w:tc>
        <w:tc>
          <w:tcPr>
            <w:tcW w:w="453" w:type="pct"/>
            <w:tcBorders>
              <w:top w:val="nil"/>
              <w:left w:val="nil"/>
              <w:bottom w:val="single" w:sz="4" w:space="0" w:color="auto"/>
              <w:right w:val="single" w:sz="4" w:space="0" w:color="auto"/>
            </w:tcBorders>
            <w:shd w:val="clear" w:color="auto" w:fill="92D050"/>
            <w:vAlign w:val="center"/>
          </w:tcPr>
          <w:p w14:paraId="720B142E" w14:textId="77777777" w:rsidR="00421F1B" w:rsidRPr="00795F17" w:rsidRDefault="00421F1B" w:rsidP="0065243A">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tcPr>
          <w:p w14:paraId="2E122BD6" w14:textId="4454CF8B" w:rsidR="00421F1B" w:rsidRPr="00795F17" w:rsidRDefault="00421F1B" w:rsidP="0065243A">
            <w:pPr>
              <w:pStyle w:val="Teksttabelisrodek"/>
            </w:pPr>
            <w:r w:rsidRPr="00795F17">
              <w:t>1,9</w:t>
            </w:r>
            <w:r w:rsidR="00545379">
              <w:t xml:space="preserve"> </w:t>
            </w:r>
            <w:r w:rsidRPr="00795F17">
              <w:t>-</w:t>
            </w:r>
            <w:r w:rsidR="00545379">
              <w:t xml:space="preserve"> </w:t>
            </w:r>
            <w:r w:rsidRPr="00795F17">
              <w:t>4,5 mm na dobę</w:t>
            </w:r>
          </w:p>
        </w:tc>
        <w:tc>
          <w:tcPr>
            <w:tcW w:w="443" w:type="pct"/>
            <w:tcBorders>
              <w:top w:val="nil"/>
              <w:left w:val="nil"/>
              <w:bottom w:val="single" w:sz="4" w:space="0" w:color="auto"/>
              <w:right w:val="single" w:sz="4" w:space="0" w:color="auto"/>
            </w:tcBorders>
            <w:shd w:val="clear" w:color="auto" w:fill="92D050"/>
            <w:noWrap/>
            <w:vAlign w:val="center"/>
          </w:tcPr>
          <w:p w14:paraId="0A2885CA" w14:textId="77777777" w:rsidR="00421F1B" w:rsidRPr="00795F17" w:rsidRDefault="00421F1B" w:rsidP="0065243A">
            <w:pPr>
              <w:pStyle w:val="Teksttabelisrodek"/>
            </w:pPr>
            <w:r w:rsidRPr="00795F17">
              <w:t>niskie</w:t>
            </w:r>
          </w:p>
        </w:tc>
      </w:tr>
      <w:tr w:rsidR="00421F1B" w:rsidRPr="00795F17" w14:paraId="3EACC2E5" w14:textId="77777777" w:rsidTr="009109BF">
        <w:trPr>
          <w:trHeight w:val="530"/>
        </w:trPr>
        <w:tc>
          <w:tcPr>
            <w:tcW w:w="101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A89E3DB" w14:textId="77777777" w:rsidR="00421F1B" w:rsidRPr="00795F17" w:rsidRDefault="00421F1B" w:rsidP="0044393D">
            <w:pPr>
              <w:pStyle w:val="Teksttabelilewy"/>
            </w:pPr>
            <w:r w:rsidRPr="00795F17">
              <w:t>Opady nawalne</w:t>
            </w:r>
          </w:p>
        </w:tc>
        <w:tc>
          <w:tcPr>
            <w:tcW w:w="780" w:type="pct"/>
            <w:tcBorders>
              <w:top w:val="nil"/>
              <w:left w:val="nil"/>
              <w:bottom w:val="single" w:sz="4" w:space="0" w:color="auto"/>
              <w:right w:val="single" w:sz="4" w:space="0" w:color="auto"/>
            </w:tcBorders>
            <w:shd w:val="clear" w:color="auto" w:fill="auto"/>
            <w:vAlign w:val="center"/>
            <w:hideMark/>
          </w:tcPr>
          <w:p w14:paraId="16F74B89" w14:textId="36D00AE3" w:rsidR="00421F1B" w:rsidRPr="00795F17" w:rsidRDefault="00421F1B" w:rsidP="0065243A">
            <w:pPr>
              <w:pStyle w:val="Teksttabelisrodek"/>
            </w:pPr>
            <w:r w:rsidRPr="00795F17">
              <w:t>powyżej 10 mm na dobę: 12,7</w:t>
            </w:r>
            <w:r w:rsidR="00D84BAD">
              <w:t xml:space="preserve"> </w:t>
            </w:r>
            <w:r w:rsidRPr="00795F17">
              <w:t>-</w:t>
            </w:r>
            <w:r w:rsidR="00D84BAD">
              <w:t xml:space="preserve"> </w:t>
            </w:r>
            <w:r w:rsidRPr="00795F17">
              <w:t>40 dni w roku</w:t>
            </w:r>
          </w:p>
        </w:tc>
        <w:tc>
          <w:tcPr>
            <w:tcW w:w="468" w:type="pct"/>
            <w:tcBorders>
              <w:top w:val="nil"/>
              <w:left w:val="nil"/>
              <w:bottom w:val="single" w:sz="4" w:space="0" w:color="auto"/>
              <w:right w:val="single" w:sz="4" w:space="0" w:color="auto"/>
            </w:tcBorders>
            <w:shd w:val="clear" w:color="auto" w:fill="FFFF00"/>
            <w:noWrap/>
            <w:vAlign w:val="center"/>
            <w:hideMark/>
          </w:tcPr>
          <w:p w14:paraId="28198DBA" w14:textId="77777777" w:rsidR="00421F1B" w:rsidRPr="00795F17" w:rsidRDefault="00421F1B" w:rsidP="0065243A">
            <w:pPr>
              <w:pStyle w:val="Teksttabelisrodek"/>
            </w:pPr>
            <w:r w:rsidRPr="00795F17">
              <w:t>średnie</w:t>
            </w:r>
          </w:p>
        </w:tc>
        <w:tc>
          <w:tcPr>
            <w:tcW w:w="955" w:type="pct"/>
            <w:tcBorders>
              <w:top w:val="nil"/>
              <w:left w:val="nil"/>
              <w:bottom w:val="single" w:sz="4" w:space="0" w:color="auto"/>
              <w:right w:val="single" w:sz="4" w:space="0" w:color="auto"/>
            </w:tcBorders>
            <w:shd w:val="clear" w:color="auto" w:fill="auto"/>
            <w:vAlign w:val="center"/>
            <w:hideMark/>
          </w:tcPr>
          <w:p w14:paraId="775EF2EE" w14:textId="77777777" w:rsidR="00421F1B" w:rsidRPr="00795F17" w:rsidRDefault="00421F1B" w:rsidP="0065243A">
            <w:pPr>
              <w:pStyle w:val="Teksttabelisrodek"/>
            </w:pPr>
            <w:r w:rsidRPr="00795F17">
              <w:t>zróżnicowanie przestrzenne bez istotnej tendencji</w:t>
            </w:r>
          </w:p>
        </w:tc>
        <w:tc>
          <w:tcPr>
            <w:tcW w:w="453" w:type="pct"/>
            <w:tcBorders>
              <w:top w:val="nil"/>
              <w:left w:val="nil"/>
              <w:bottom w:val="single" w:sz="4" w:space="0" w:color="auto"/>
              <w:right w:val="single" w:sz="4" w:space="0" w:color="auto"/>
            </w:tcBorders>
            <w:shd w:val="clear" w:color="auto" w:fill="FFFF00"/>
            <w:vAlign w:val="center"/>
            <w:hideMark/>
          </w:tcPr>
          <w:p w14:paraId="109A96EA" w14:textId="77777777" w:rsidR="00421F1B" w:rsidRPr="00795F17" w:rsidRDefault="00421F1B" w:rsidP="0065243A">
            <w:pPr>
              <w:pStyle w:val="Teksttabelisrodek"/>
            </w:pPr>
            <w:r w:rsidRPr="00795F17">
              <w:t>średnie</w:t>
            </w:r>
          </w:p>
        </w:tc>
        <w:tc>
          <w:tcPr>
            <w:tcW w:w="884" w:type="pct"/>
            <w:tcBorders>
              <w:top w:val="nil"/>
              <w:left w:val="nil"/>
              <w:bottom w:val="single" w:sz="4" w:space="0" w:color="auto"/>
              <w:right w:val="single" w:sz="4" w:space="0" w:color="auto"/>
            </w:tcBorders>
            <w:shd w:val="clear" w:color="auto" w:fill="auto"/>
            <w:vAlign w:val="center"/>
            <w:hideMark/>
          </w:tcPr>
          <w:p w14:paraId="159C4BA1" w14:textId="27BC32A3" w:rsidR="00421F1B" w:rsidRPr="00795F17" w:rsidRDefault="00421F1B" w:rsidP="0065243A">
            <w:pPr>
              <w:pStyle w:val="Teksttabelisrodek"/>
            </w:pPr>
            <w:r w:rsidRPr="00795F17">
              <w:t>przyrost o 0,6</w:t>
            </w:r>
            <w:r w:rsidR="00545379">
              <w:t xml:space="preserve"> </w:t>
            </w:r>
            <w:r w:rsidRPr="00795F17">
              <w:t>-</w:t>
            </w:r>
            <w:r w:rsidR="00545379">
              <w:t xml:space="preserve"> </w:t>
            </w:r>
            <w:r w:rsidRPr="00795F17">
              <w:t>2,5 dnia na rok</w:t>
            </w:r>
          </w:p>
        </w:tc>
        <w:tc>
          <w:tcPr>
            <w:tcW w:w="443" w:type="pct"/>
            <w:tcBorders>
              <w:top w:val="nil"/>
              <w:left w:val="nil"/>
              <w:bottom w:val="single" w:sz="4" w:space="0" w:color="auto"/>
              <w:right w:val="single" w:sz="4" w:space="0" w:color="auto"/>
            </w:tcBorders>
            <w:shd w:val="clear" w:color="auto" w:fill="FFFF00"/>
            <w:noWrap/>
            <w:vAlign w:val="center"/>
            <w:hideMark/>
          </w:tcPr>
          <w:p w14:paraId="280E10F1" w14:textId="77777777" w:rsidR="00421F1B" w:rsidRPr="00795F17" w:rsidRDefault="00421F1B" w:rsidP="0065243A">
            <w:pPr>
              <w:pStyle w:val="Teksttabelisrodek"/>
            </w:pPr>
            <w:r w:rsidRPr="00795F17">
              <w:t>średnie</w:t>
            </w:r>
          </w:p>
        </w:tc>
      </w:tr>
      <w:tr w:rsidR="00421F1B" w:rsidRPr="00795F17" w14:paraId="58EEAE72" w14:textId="77777777" w:rsidTr="009109BF">
        <w:trPr>
          <w:trHeight w:val="717"/>
        </w:trPr>
        <w:tc>
          <w:tcPr>
            <w:tcW w:w="1017" w:type="pct"/>
            <w:vMerge/>
            <w:tcBorders>
              <w:top w:val="nil"/>
              <w:left w:val="single" w:sz="4" w:space="0" w:color="auto"/>
              <w:bottom w:val="single" w:sz="4" w:space="0" w:color="auto"/>
              <w:right w:val="single" w:sz="4" w:space="0" w:color="auto"/>
            </w:tcBorders>
            <w:shd w:val="clear" w:color="auto" w:fill="auto"/>
            <w:vAlign w:val="center"/>
            <w:hideMark/>
          </w:tcPr>
          <w:p w14:paraId="04BDA0C3" w14:textId="77777777" w:rsidR="00421F1B" w:rsidRPr="00795F17" w:rsidRDefault="00421F1B" w:rsidP="0044393D">
            <w:pPr>
              <w:pStyle w:val="Teksttabelilewy"/>
            </w:pPr>
          </w:p>
        </w:tc>
        <w:tc>
          <w:tcPr>
            <w:tcW w:w="780" w:type="pct"/>
            <w:tcBorders>
              <w:top w:val="single" w:sz="4" w:space="0" w:color="auto"/>
              <w:left w:val="nil"/>
              <w:bottom w:val="single" w:sz="4" w:space="0" w:color="auto"/>
              <w:right w:val="single" w:sz="4" w:space="0" w:color="auto"/>
            </w:tcBorders>
            <w:shd w:val="clear" w:color="auto" w:fill="auto"/>
            <w:vAlign w:val="center"/>
            <w:hideMark/>
          </w:tcPr>
          <w:p w14:paraId="79CD1CF2" w14:textId="067C85A2" w:rsidR="00421F1B" w:rsidRPr="00795F17" w:rsidRDefault="00421F1B" w:rsidP="0065243A">
            <w:pPr>
              <w:pStyle w:val="Teksttabelisrodek"/>
            </w:pPr>
            <w:r w:rsidRPr="00795F17">
              <w:t>powyżej 20 mm na dobę: 4,2</w:t>
            </w:r>
            <w:r w:rsidR="00D84BAD">
              <w:t xml:space="preserve"> </w:t>
            </w:r>
            <w:r w:rsidRPr="00795F17">
              <w:t>-</w:t>
            </w:r>
            <w:r w:rsidR="00D84BAD">
              <w:t xml:space="preserve"> </w:t>
            </w:r>
            <w:r w:rsidRPr="00795F17">
              <w:t>7,5 dnia w roku</w:t>
            </w:r>
          </w:p>
        </w:tc>
        <w:tc>
          <w:tcPr>
            <w:tcW w:w="468" w:type="pct"/>
            <w:tcBorders>
              <w:top w:val="single" w:sz="4" w:space="0" w:color="auto"/>
              <w:left w:val="nil"/>
              <w:bottom w:val="single" w:sz="4" w:space="0" w:color="auto"/>
              <w:right w:val="single" w:sz="4" w:space="0" w:color="auto"/>
            </w:tcBorders>
            <w:shd w:val="clear" w:color="auto" w:fill="FFFF00"/>
            <w:noWrap/>
            <w:vAlign w:val="center"/>
            <w:hideMark/>
          </w:tcPr>
          <w:p w14:paraId="4CDC7463" w14:textId="77777777" w:rsidR="00421F1B" w:rsidRPr="00795F17" w:rsidRDefault="00421F1B" w:rsidP="0065243A">
            <w:pPr>
              <w:pStyle w:val="Teksttabelisrodek"/>
            </w:pPr>
            <w:r w:rsidRPr="00795F17">
              <w:t>średnie</w:t>
            </w:r>
          </w:p>
        </w:tc>
        <w:tc>
          <w:tcPr>
            <w:tcW w:w="955" w:type="pct"/>
            <w:tcBorders>
              <w:top w:val="single" w:sz="4" w:space="0" w:color="auto"/>
              <w:left w:val="nil"/>
              <w:bottom w:val="single" w:sz="4" w:space="0" w:color="auto"/>
              <w:right w:val="single" w:sz="4" w:space="0" w:color="auto"/>
            </w:tcBorders>
            <w:shd w:val="clear" w:color="auto" w:fill="auto"/>
            <w:vAlign w:val="center"/>
            <w:hideMark/>
          </w:tcPr>
          <w:p w14:paraId="4069D933" w14:textId="77777777" w:rsidR="00421F1B" w:rsidRPr="00795F17" w:rsidRDefault="00421F1B" w:rsidP="0065243A">
            <w:pPr>
              <w:pStyle w:val="Teksttabelisrodek"/>
            </w:pPr>
            <w:r w:rsidRPr="00795F17">
              <w:t>zróżnicowanie regionalne bez istotnej tendencji, przyrost poniżej 0,2 dnia na rok</w:t>
            </w:r>
          </w:p>
        </w:tc>
        <w:tc>
          <w:tcPr>
            <w:tcW w:w="453" w:type="pct"/>
            <w:tcBorders>
              <w:top w:val="single" w:sz="4" w:space="0" w:color="auto"/>
              <w:left w:val="nil"/>
              <w:bottom w:val="single" w:sz="4" w:space="0" w:color="auto"/>
              <w:right w:val="single" w:sz="4" w:space="0" w:color="auto"/>
            </w:tcBorders>
            <w:shd w:val="clear" w:color="auto" w:fill="FFFF00"/>
            <w:vAlign w:val="center"/>
            <w:hideMark/>
          </w:tcPr>
          <w:p w14:paraId="37BE4E32" w14:textId="77777777" w:rsidR="00421F1B" w:rsidRPr="00795F17" w:rsidRDefault="00421F1B" w:rsidP="0065243A">
            <w:pPr>
              <w:pStyle w:val="Teksttabelisrodek"/>
            </w:pPr>
            <w:r w:rsidRPr="00795F17">
              <w:t>średnie</w:t>
            </w:r>
          </w:p>
        </w:tc>
        <w:tc>
          <w:tcPr>
            <w:tcW w:w="884" w:type="pct"/>
            <w:tcBorders>
              <w:top w:val="single" w:sz="4" w:space="0" w:color="auto"/>
              <w:left w:val="nil"/>
              <w:bottom w:val="single" w:sz="4" w:space="0" w:color="auto"/>
              <w:right w:val="single" w:sz="4" w:space="0" w:color="auto"/>
            </w:tcBorders>
            <w:shd w:val="clear" w:color="auto" w:fill="auto"/>
            <w:vAlign w:val="center"/>
            <w:hideMark/>
          </w:tcPr>
          <w:p w14:paraId="1ACAB7BF" w14:textId="1E707A3E" w:rsidR="00421F1B" w:rsidRPr="00795F17" w:rsidRDefault="00421F1B" w:rsidP="0065243A">
            <w:pPr>
              <w:pStyle w:val="Teksttabelisrodek"/>
            </w:pPr>
            <w:r w:rsidRPr="00795F17">
              <w:t>przyrost o 0,5</w:t>
            </w:r>
            <w:r w:rsidR="00545379">
              <w:t xml:space="preserve"> </w:t>
            </w:r>
            <w:r w:rsidRPr="00795F17">
              <w:t>-</w:t>
            </w:r>
            <w:r w:rsidR="00545379">
              <w:t xml:space="preserve"> </w:t>
            </w:r>
            <w:r w:rsidRPr="00795F17">
              <w:t>1,8 dnia na rok</w:t>
            </w:r>
          </w:p>
        </w:tc>
        <w:tc>
          <w:tcPr>
            <w:tcW w:w="443" w:type="pct"/>
            <w:tcBorders>
              <w:top w:val="single" w:sz="4" w:space="0" w:color="auto"/>
              <w:left w:val="nil"/>
              <w:bottom w:val="single" w:sz="4" w:space="0" w:color="auto"/>
              <w:right w:val="single" w:sz="4" w:space="0" w:color="auto"/>
            </w:tcBorders>
            <w:shd w:val="clear" w:color="auto" w:fill="FFFF00"/>
            <w:noWrap/>
            <w:vAlign w:val="center"/>
            <w:hideMark/>
          </w:tcPr>
          <w:p w14:paraId="6DF7DD38" w14:textId="77777777" w:rsidR="00421F1B" w:rsidRPr="00795F17" w:rsidRDefault="00421F1B" w:rsidP="0065243A">
            <w:pPr>
              <w:pStyle w:val="Teksttabelisrodek"/>
            </w:pPr>
            <w:r w:rsidRPr="00795F17">
              <w:t>średnie</w:t>
            </w:r>
          </w:p>
        </w:tc>
      </w:tr>
      <w:tr w:rsidR="00421F1B" w:rsidRPr="00795F17" w14:paraId="77AA7BF7" w14:textId="77777777" w:rsidTr="009109BF">
        <w:trPr>
          <w:trHeight w:val="275"/>
        </w:trPr>
        <w:tc>
          <w:tcPr>
            <w:tcW w:w="1017" w:type="pct"/>
            <w:tcBorders>
              <w:top w:val="nil"/>
              <w:left w:val="single" w:sz="4" w:space="0" w:color="auto"/>
              <w:bottom w:val="single" w:sz="4" w:space="0" w:color="auto"/>
              <w:right w:val="single" w:sz="4" w:space="0" w:color="auto"/>
            </w:tcBorders>
            <w:shd w:val="clear" w:color="auto" w:fill="auto"/>
            <w:noWrap/>
            <w:vAlign w:val="center"/>
            <w:hideMark/>
          </w:tcPr>
          <w:p w14:paraId="57A7240E" w14:textId="77777777" w:rsidR="00421F1B" w:rsidRPr="00795F17" w:rsidRDefault="00421F1B" w:rsidP="0044393D">
            <w:pPr>
              <w:pStyle w:val="Teksttabelilewy"/>
            </w:pPr>
            <w:bookmarkStart w:id="111" w:name="_Hlk61461549"/>
            <w:r w:rsidRPr="00795F17">
              <w:t>Opady i zaleganie śniegu</w:t>
            </w:r>
          </w:p>
        </w:tc>
        <w:tc>
          <w:tcPr>
            <w:tcW w:w="780" w:type="pct"/>
            <w:tcBorders>
              <w:top w:val="nil"/>
              <w:left w:val="nil"/>
              <w:bottom w:val="single" w:sz="4" w:space="0" w:color="auto"/>
              <w:right w:val="single" w:sz="4" w:space="0" w:color="auto"/>
            </w:tcBorders>
            <w:shd w:val="clear" w:color="auto" w:fill="auto"/>
            <w:vAlign w:val="center"/>
            <w:hideMark/>
          </w:tcPr>
          <w:p w14:paraId="421F025B" w14:textId="69F06BA0" w:rsidR="00421F1B" w:rsidRPr="00795F17" w:rsidRDefault="00421F1B" w:rsidP="0065243A">
            <w:pPr>
              <w:pStyle w:val="Teksttabelisrodek"/>
            </w:pPr>
            <w:r w:rsidRPr="00795F17">
              <w:t>do 20</w:t>
            </w:r>
            <w:r w:rsidR="00D84BAD">
              <w:t xml:space="preserve"> </w:t>
            </w:r>
            <w:r w:rsidRPr="00795F17">
              <w:t>-</w:t>
            </w:r>
            <w:r w:rsidR="00D84BAD">
              <w:t xml:space="preserve"> </w:t>
            </w:r>
            <w:r w:rsidRPr="00795F17">
              <w:t>160 dni rocznie z</w:t>
            </w:r>
            <w:r w:rsidR="00D84BAD">
              <w:t> </w:t>
            </w:r>
            <w:r w:rsidRPr="00795F17">
              <w:t>zaleganiem śniegu</w:t>
            </w:r>
          </w:p>
        </w:tc>
        <w:tc>
          <w:tcPr>
            <w:tcW w:w="468" w:type="pct"/>
            <w:tcBorders>
              <w:top w:val="nil"/>
              <w:left w:val="nil"/>
              <w:bottom w:val="single" w:sz="4" w:space="0" w:color="auto"/>
              <w:right w:val="single" w:sz="4" w:space="0" w:color="auto"/>
            </w:tcBorders>
            <w:shd w:val="clear" w:color="auto" w:fill="FFFF00"/>
            <w:noWrap/>
            <w:vAlign w:val="center"/>
            <w:hideMark/>
          </w:tcPr>
          <w:p w14:paraId="3AAA2BA9" w14:textId="77777777" w:rsidR="00421F1B" w:rsidRPr="00795F17" w:rsidRDefault="00421F1B" w:rsidP="0065243A">
            <w:pPr>
              <w:pStyle w:val="Teksttabelisrodek"/>
            </w:pPr>
            <w:r w:rsidRPr="00795F17">
              <w:t>średnie</w:t>
            </w:r>
          </w:p>
        </w:tc>
        <w:tc>
          <w:tcPr>
            <w:tcW w:w="955" w:type="pct"/>
            <w:tcBorders>
              <w:top w:val="nil"/>
              <w:left w:val="nil"/>
              <w:bottom w:val="single" w:sz="4" w:space="0" w:color="auto"/>
              <w:right w:val="single" w:sz="4" w:space="0" w:color="auto"/>
            </w:tcBorders>
            <w:shd w:val="clear" w:color="auto" w:fill="auto"/>
            <w:vAlign w:val="center"/>
            <w:hideMark/>
          </w:tcPr>
          <w:p w14:paraId="2D59BAA0" w14:textId="77777777" w:rsidR="00421F1B" w:rsidRPr="00795F17" w:rsidRDefault="00421F1B" w:rsidP="0065243A">
            <w:pPr>
              <w:pStyle w:val="Teksttabelisrodek"/>
            </w:pPr>
            <w:r w:rsidRPr="00795F17">
              <w:t>spadek liczby dni zalegania śniegu</w:t>
            </w:r>
          </w:p>
        </w:tc>
        <w:tc>
          <w:tcPr>
            <w:tcW w:w="453" w:type="pct"/>
            <w:tcBorders>
              <w:top w:val="nil"/>
              <w:left w:val="nil"/>
              <w:bottom w:val="single" w:sz="4" w:space="0" w:color="auto"/>
              <w:right w:val="single" w:sz="4" w:space="0" w:color="auto"/>
            </w:tcBorders>
            <w:shd w:val="clear" w:color="auto" w:fill="92D050"/>
            <w:vAlign w:val="center"/>
            <w:hideMark/>
          </w:tcPr>
          <w:p w14:paraId="665969DC" w14:textId="77777777" w:rsidR="00421F1B" w:rsidRPr="00795F17" w:rsidRDefault="00421F1B" w:rsidP="0065243A">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0F3EFFAE" w14:textId="77777777" w:rsidR="00421F1B" w:rsidRPr="00795F17" w:rsidRDefault="00421F1B" w:rsidP="0065243A">
            <w:pPr>
              <w:pStyle w:val="Teksttabelisrodek"/>
            </w:pPr>
            <w:r w:rsidRPr="00795F17">
              <w:t>spadek liczby dni zalegania śniegu, możliwy brak pokrywy śnieżnej</w:t>
            </w:r>
          </w:p>
        </w:tc>
        <w:tc>
          <w:tcPr>
            <w:tcW w:w="443" w:type="pct"/>
            <w:tcBorders>
              <w:top w:val="nil"/>
              <w:left w:val="nil"/>
              <w:bottom w:val="single" w:sz="4" w:space="0" w:color="auto"/>
              <w:right w:val="single" w:sz="4" w:space="0" w:color="auto"/>
            </w:tcBorders>
            <w:shd w:val="clear" w:color="auto" w:fill="92D050"/>
            <w:noWrap/>
            <w:vAlign w:val="center"/>
            <w:hideMark/>
          </w:tcPr>
          <w:p w14:paraId="7EE3791E" w14:textId="77777777" w:rsidR="00421F1B" w:rsidRPr="00795F17" w:rsidRDefault="00421F1B" w:rsidP="0065243A">
            <w:pPr>
              <w:pStyle w:val="Teksttabelisrodek"/>
            </w:pPr>
            <w:r w:rsidRPr="00795F17">
              <w:t>niskie</w:t>
            </w:r>
          </w:p>
        </w:tc>
      </w:tr>
      <w:bookmarkEnd w:id="111"/>
      <w:tr w:rsidR="00421F1B" w:rsidRPr="00795F17" w14:paraId="0BAE6872" w14:textId="77777777" w:rsidTr="009109BF">
        <w:trPr>
          <w:trHeight w:val="275"/>
        </w:trPr>
        <w:tc>
          <w:tcPr>
            <w:tcW w:w="1017" w:type="pct"/>
            <w:tcBorders>
              <w:top w:val="nil"/>
              <w:left w:val="single" w:sz="4" w:space="0" w:color="auto"/>
              <w:bottom w:val="single" w:sz="4" w:space="0" w:color="auto"/>
              <w:right w:val="single" w:sz="4" w:space="0" w:color="auto"/>
            </w:tcBorders>
            <w:shd w:val="clear" w:color="auto" w:fill="auto"/>
            <w:noWrap/>
            <w:vAlign w:val="center"/>
            <w:hideMark/>
          </w:tcPr>
          <w:p w14:paraId="6262AD89" w14:textId="77777777" w:rsidR="00421F1B" w:rsidRPr="00795F17" w:rsidRDefault="00421F1B" w:rsidP="0044393D">
            <w:pPr>
              <w:pStyle w:val="Teksttabelilewy"/>
            </w:pPr>
            <w:r w:rsidRPr="00795F17">
              <w:t>Susza</w:t>
            </w:r>
          </w:p>
        </w:tc>
        <w:tc>
          <w:tcPr>
            <w:tcW w:w="780" w:type="pct"/>
            <w:tcBorders>
              <w:top w:val="nil"/>
              <w:left w:val="nil"/>
              <w:bottom w:val="single" w:sz="4" w:space="0" w:color="auto"/>
              <w:right w:val="single" w:sz="4" w:space="0" w:color="auto"/>
            </w:tcBorders>
            <w:shd w:val="clear" w:color="auto" w:fill="auto"/>
            <w:vAlign w:val="center"/>
            <w:hideMark/>
          </w:tcPr>
          <w:p w14:paraId="7EA855E1" w14:textId="475DD847" w:rsidR="00421F1B" w:rsidRPr="00795F17" w:rsidRDefault="00421F1B" w:rsidP="0065243A">
            <w:pPr>
              <w:pStyle w:val="Teksttabelisrodek"/>
            </w:pPr>
            <w:r w:rsidRPr="00795F17">
              <w:t>okresy suche: 204</w:t>
            </w:r>
            <w:r w:rsidR="00D84BAD">
              <w:t xml:space="preserve"> </w:t>
            </w:r>
            <w:r w:rsidRPr="00795F17">
              <w:t>-</w:t>
            </w:r>
            <w:r w:rsidR="00D84BAD">
              <w:t xml:space="preserve"> </w:t>
            </w:r>
            <w:r w:rsidRPr="00795F17">
              <w:t>240 dni w</w:t>
            </w:r>
            <w:r w:rsidR="00D84BAD">
              <w:t> </w:t>
            </w:r>
            <w:r w:rsidRPr="00795F17">
              <w:t>roku</w:t>
            </w:r>
          </w:p>
        </w:tc>
        <w:tc>
          <w:tcPr>
            <w:tcW w:w="468" w:type="pct"/>
            <w:tcBorders>
              <w:top w:val="nil"/>
              <w:left w:val="nil"/>
              <w:bottom w:val="single" w:sz="4" w:space="0" w:color="auto"/>
              <w:right w:val="single" w:sz="4" w:space="0" w:color="auto"/>
            </w:tcBorders>
            <w:shd w:val="clear" w:color="auto" w:fill="FFFF00"/>
            <w:noWrap/>
            <w:vAlign w:val="center"/>
            <w:hideMark/>
          </w:tcPr>
          <w:p w14:paraId="1AF39546" w14:textId="77777777" w:rsidR="00421F1B" w:rsidRPr="00795F17" w:rsidRDefault="00421F1B" w:rsidP="0065243A">
            <w:pPr>
              <w:pStyle w:val="Teksttabelisrodek"/>
            </w:pPr>
            <w:r w:rsidRPr="00795F17">
              <w:t>średnie</w:t>
            </w:r>
          </w:p>
        </w:tc>
        <w:tc>
          <w:tcPr>
            <w:tcW w:w="955" w:type="pct"/>
            <w:tcBorders>
              <w:top w:val="nil"/>
              <w:left w:val="nil"/>
              <w:bottom w:val="single" w:sz="4" w:space="0" w:color="auto"/>
              <w:right w:val="single" w:sz="4" w:space="0" w:color="auto"/>
            </w:tcBorders>
            <w:shd w:val="clear" w:color="auto" w:fill="auto"/>
            <w:noWrap/>
            <w:vAlign w:val="center"/>
            <w:hideMark/>
          </w:tcPr>
          <w:p w14:paraId="0DB24DB6" w14:textId="763EFEFF" w:rsidR="00421F1B" w:rsidRPr="00795F17" w:rsidRDefault="00421F1B" w:rsidP="0065243A">
            <w:pPr>
              <w:pStyle w:val="Teksttabelisrodek"/>
            </w:pPr>
            <w:r w:rsidRPr="00795F17">
              <w:t>zróżnicowanie regionalne: na nizinach przyrost o 1,2</w:t>
            </w:r>
            <w:r w:rsidR="00D84BAD">
              <w:t xml:space="preserve"> </w:t>
            </w:r>
            <w:r w:rsidRPr="00795F17">
              <w:t>-</w:t>
            </w:r>
            <w:r w:rsidR="00D84BAD">
              <w:t xml:space="preserve"> </w:t>
            </w:r>
            <w:r w:rsidRPr="00795F17">
              <w:t>2,3 dnia na rok, w górach i</w:t>
            </w:r>
            <w:r w:rsidR="00D84BAD">
              <w:t> </w:t>
            </w:r>
            <w:r w:rsidR="00545379">
              <w:t>na </w:t>
            </w:r>
            <w:r w:rsidRPr="00795F17">
              <w:t>pogórzu niepewność wyniku</w:t>
            </w:r>
          </w:p>
        </w:tc>
        <w:tc>
          <w:tcPr>
            <w:tcW w:w="453" w:type="pct"/>
            <w:tcBorders>
              <w:top w:val="nil"/>
              <w:left w:val="nil"/>
              <w:bottom w:val="single" w:sz="4" w:space="0" w:color="auto"/>
              <w:right w:val="single" w:sz="4" w:space="0" w:color="auto"/>
            </w:tcBorders>
            <w:shd w:val="clear" w:color="auto" w:fill="FFFF00"/>
            <w:vAlign w:val="center"/>
            <w:hideMark/>
          </w:tcPr>
          <w:p w14:paraId="0C5C0A33" w14:textId="77777777" w:rsidR="00421F1B" w:rsidRPr="00795F17" w:rsidRDefault="00421F1B" w:rsidP="0065243A">
            <w:pPr>
              <w:pStyle w:val="Teksttabelisrodek"/>
            </w:pPr>
            <w:r w:rsidRPr="00795F17">
              <w:t>średnie</w:t>
            </w:r>
          </w:p>
        </w:tc>
        <w:tc>
          <w:tcPr>
            <w:tcW w:w="884" w:type="pct"/>
            <w:tcBorders>
              <w:top w:val="nil"/>
              <w:left w:val="nil"/>
              <w:bottom w:val="single" w:sz="4" w:space="0" w:color="auto"/>
              <w:right w:val="single" w:sz="4" w:space="0" w:color="auto"/>
            </w:tcBorders>
            <w:shd w:val="clear" w:color="auto" w:fill="auto"/>
            <w:vAlign w:val="center"/>
            <w:hideMark/>
          </w:tcPr>
          <w:p w14:paraId="41FFFA27" w14:textId="77777777" w:rsidR="00421F1B" w:rsidRPr="00795F17" w:rsidRDefault="00421F1B" w:rsidP="0065243A">
            <w:pPr>
              <w:pStyle w:val="Teksttabelisrodek"/>
            </w:pPr>
            <w:r w:rsidRPr="00795F17">
              <w:t>zróżnicowanie regionalne: na zachodzie spadek liczby dni suchych od 1 do 2,2 dnia na rok, na wschodzie oscylacja wokół 0,0 z tendencją do niewielkiego przyrostu liczby dni suchych</w:t>
            </w:r>
          </w:p>
        </w:tc>
        <w:tc>
          <w:tcPr>
            <w:tcW w:w="443" w:type="pct"/>
            <w:tcBorders>
              <w:top w:val="nil"/>
              <w:left w:val="nil"/>
              <w:bottom w:val="single" w:sz="4" w:space="0" w:color="auto"/>
              <w:right w:val="single" w:sz="4" w:space="0" w:color="auto"/>
            </w:tcBorders>
            <w:shd w:val="clear" w:color="auto" w:fill="FFFF00"/>
            <w:noWrap/>
            <w:vAlign w:val="center"/>
            <w:hideMark/>
          </w:tcPr>
          <w:p w14:paraId="142C89C8" w14:textId="77777777" w:rsidR="00421F1B" w:rsidRPr="00795F17" w:rsidRDefault="00421F1B" w:rsidP="0065243A">
            <w:pPr>
              <w:pStyle w:val="Teksttabelisrodek"/>
            </w:pPr>
            <w:r w:rsidRPr="00795F17">
              <w:t>średnie</w:t>
            </w:r>
          </w:p>
        </w:tc>
      </w:tr>
    </w:tbl>
    <w:p w14:paraId="3CE98607" w14:textId="698ACDDF" w:rsidR="00421F1B" w:rsidRPr="00795F17" w:rsidRDefault="00421F1B" w:rsidP="0044393D">
      <w:pPr>
        <w:pStyle w:val="rdo"/>
      </w:pPr>
      <w:r w:rsidRPr="00795F17">
        <w:t xml:space="preserve">Źródło: </w:t>
      </w:r>
      <w:r w:rsidR="00FD7248" w:rsidRPr="00795F17">
        <w:t>opracowanie własne</w:t>
      </w:r>
    </w:p>
    <w:p w14:paraId="13A2A0B6" w14:textId="77777777" w:rsidR="00613B2D" w:rsidRPr="00795F17" w:rsidRDefault="00613B2D" w:rsidP="00613B2D">
      <w:pPr>
        <w:pStyle w:val="Nagwek5"/>
      </w:pPr>
      <w:r w:rsidRPr="00795F17">
        <w:t>Region wodny Dolnej Odry i Przymorza Zachodniego</w:t>
      </w:r>
    </w:p>
    <w:p w14:paraId="60FC2A27" w14:textId="25420DC7" w:rsidR="00613B2D" w:rsidRPr="00795F17" w:rsidRDefault="00613B2D" w:rsidP="00613B2D">
      <w:r w:rsidRPr="00795F17">
        <w:t xml:space="preserve">Region wchodzi w znacznej części w skład Pobrzeża Południowobałtyckiego. Pod względem warunków klimatycznych znajduje się w strefie lokalnego, łagodzącego ekstremalne warunki termiczne oddziaływania Morza Bałtyckiego. Podsumowanie prognozowanych zmian klimatu zestawiono w tabeli 4-3. Prognozowany jest powolny przyrost średniej temperatury powietrza, który będzie zauważalny istotnie dopiero od połowy XXI w. </w:t>
      </w:r>
      <w:bookmarkStart w:id="112" w:name="_Hlk61461866"/>
      <w:r w:rsidRPr="00795F17">
        <w:t>Ogólnie prognozowany jest wzrost sum opadów, w tym przyrost występowania opadów ekstremalnych, ale nie są to znaczące zmiany.</w:t>
      </w:r>
      <w:bookmarkEnd w:id="112"/>
      <w:r w:rsidRPr="00795F17">
        <w:t xml:space="preserve"> W układzie przestrzennym typowy jest rozdział na dynamikę opadów odmienną w zachodniej i wschodniej części regionu wodnego. Część wschodnia najprawdopodobniej będzie w przyszłości bardziej wilgotna. Przyrost liczby dni z temperaturą maksymalną jest jednym z najniższych w obszarze dorzecza, co wynika z łagodzącego wpływu Bałtyku. Zasadniczo im dalej na południe od Bałtyku, tym wyższa jest liczba dni w roku z temperaturą maksymalną. Wzrost temperatury powietrza oraz wydłużanie się okresu wegetacyjnego mogą w perspektywie końca wieku niekorzystnie oddziaływać na temperaturę wód powierzchniowych oraz przyrost parowania, co zwłaszcza w przypadku jezior może oznaczać zakłócenie ilościowego i jakościowego bilansu wód, w tym przyspieszenie procesów eutrofizacji regulowanych wzrostem żyzności wód.</w:t>
      </w:r>
    </w:p>
    <w:p w14:paraId="44E9F14F" w14:textId="69C9695B" w:rsidR="00613B2D" w:rsidRPr="00795F17" w:rsidRDefault="00613B2D" w:rsidP="00613B2D">
      <w:r w:rsidRPr="00795F17">
        <w:t>Globalne zmiany klimatu będą skutkowały w przyszłości podniesieniem się stanu wód oceanicznych i morskich; proces przyrostu stanu wody w Bałtyku powinien następować powolnie i początkowo w niewielkim zakresie (prognozuje się przyrost o 5 cm do 2030 r., niemniej prognozy należy traktować z dużą ostrożnością, ze względu na przyrost zawierający się w granicach błędu pomiarowego</w:t>
      </w:r>
      <w:r w:rsidRPr="00795F17">
        <w:rPr>
          <w:rStyle w:val="Odwoanieprzypisudolnego"/>
          <w:rFonts w:asciiTheme="minorHAnsi" w:hAnsiTheme="minorHAnsi" w:cstheme="minorHAnsi"/>
        </w:rPr>
        <w:footnoteReference w:id="25"/>
      </w:r>
      <w:r w:rsidRPr="00795F17">
        <w:t>)</w:t>
      </w:r>
      <w:r w:rsidRPr="00795F17">
        <w:rPr>
          <w:rStyle w:val="Odwoanieprzypisudolnego"/>
          <w:rFonts w:asciiTheme="minorHAnsi" w:hAnsiTheme="minorHAnsi"/>
        </w:rPr>
        <w:footnoteReference w:id="26"/>
      </w:r>
      <w:r w:rsidRPr="00795F17">
        <w:t xml:space="preserve">. Prognozowane powolne podnoszenie się stanów wód w brzegowej części Bałtyku będzie niekorzystne szczególnie w obrębie wybrzeża o charakterze klifowym </w:t>
      </w:r>
      <w:r w:rsidR="000F21F2">
        <w:t>–</w:t>
      </w:r>
      <w:r w:rsidRPr="00795F17">
        <w:t xml:space="preserve"> należy się spodziewać korespondującego z Bałtykiem wzrostu erozyjności w strefie brzegowej morza. W odcinku ujściowym Odry w długiej perspektywie podniesienia bazy erozyjnej możliwe jest zwiększone akumulowanie materiału mineralnego i organicznego w Zalewie Szczecińskim, który będzie pełnił rolę stabilizatora relacji dla</w:t>
      </w:r>
      <w:r w:rsidR="007B2488">
        <w:t> </w:t>
      </w:r>
      <w:r w:rsidRPr="00795F17">
        <w:t>stanów wody Bałtyku i odpływu z obszaru dorzecza Odry.</w:t>
      </w:r>
    </w:p>
    <w:p w14:paraId="5DDB470D" w14:textId="49B8A31E" w:rsidR="00613B2D" w:rsidRPr="00795F17" w:rsidRDefault="00613B2D" w:rsidP="00613B2D">
      <w:r w:rsidRPr="00795F17">
        <w:t>W obrębie obszaru dorzecza Odry usytuowane są znaczącej wielkości ośrodki miejskie o dynamicznym rozwoju przestrzennym (m.in. Szczecin, Kołobrzeg</w:t>
      </w:r>
      <w:r w:rsidR="00625958">
        <w:t>, Koszalin</w:t>
      </w:r>
      <w:r w:rsidRPr="00795F17">
        <w:t>). Udział obszarów zurbanizowanych jest wystarczający do wykształcenia warunków typowych dla tzw. miejskiej wyspy ciepła, co sprawia, że trzeba uwzględnić dodatkową zmienną w warunkach kształtujących klimat w przyszłości. Istotne jest tu przede wszystkim wyostrzenie ekstremalnych warunków klimatu w zakresie:</w:t>
      </w:r>
    </w:p>
    <w:p w14:paraId="4041B861" w14:textId="6EDBB779" w:rsidR="00613B2D" w:rsidRPr="00795F17" w:rsidRDefault="00613B2D" w:rsidP="005635FD">
      <w:pPr>
        <w:pStyle w:val="Listapunktowana2"/>
        <w:numPr>
          <w:ilvl w:val="0"/>
          <w:numId w:val="119"/>
        </w:numPr>
      </w:pPr>
      <w:r w:rsidRPr="00795F17">
        <w:t xml:space="preserve">czasu trwania maksymalnej temperatury powietrza </w:t>
      </w:r>
      <w:r w:rsidR="000F21F2">
        <w:t>–</w:t>
      </w:r>
      <w:r w:rsidRPr="00795F17">
        <w:t xml:space="preserve"> wydłużenie nawet o kilka dni w porównaniu do obszaru niezurbanizowanego;</w:t>
      </w:r>
    </w:p>
    <w:p w14:paraId="344B4857" w14:textId="77777777" w:rsidR="00613B2D" w:rsidRPr="00795F17" w:rsidRDefault="00613B2D" w:rsidP="005635FD">
      <w:pPr>
        <w:pStyle w:val="Listapunktowana2"/>
        <w:numPr>
          <w:ilvl w:val="0"/>
          <w:numId w:val="119"/>
        </w:numPr>
      </w:pPr>
      <w:r w:rsidRPr="00795F17">
        <w:t>występowania, częstości i sum opadów: większa częstość, wyższa nawet do 10% suma opadów, rzadsze i krótsze okresy bezopadowe;</w:t>
      </w:r>
    </w:p>
    <w:p w14:paraId="4723090C" w14:textId="77777777" w:rsidR="00613B2D" w:rsidRPr="00795F17" w:rsidRDefault="00613B2D" w:rsidP="005635FD">
      <w:pPr>
        <w:pStyle w:val="Listapunktowana2"/>
        <w:numPr>
          <w:ilvl w:val="0"/>
          <w:numId w:val="119"/>
        </w:numPr>
      </w:pPr>
      <w:r w:rsidRPr="00795F17">
        <w:t>wyższego zachmurzenia oraz częstszego występowania mgieł i zamglenia, w szczególności o charakterze smogu;</w:t>
      </w:r>
    </w:p>
    <w:p w14:paraId="261EEA3A" w14:textId="3461CE4A" w:rsidR="00613B2D" w:rsidRPr="00795F17" w:rsidRDefault="00613B2D" w:rsidP="005635FD">
      <w:pPr>
        <w:pStyle w:val="Listapunktowana2"/>
        <w:numPr>
          <w:ilvl w:val="0"/>
          <w:numId w:val="119"/>
        </w:numPr>
      </w:pPr>
      <w:r w:rsidRPr="00795F17">
        <w:t>wyższej średniej temperatury powietrza, wyraźnie cieplejszej chłodnej pory roku, wydłużonego nawet do 3</w:t>
      </w:r>
      <w:r w:rsidR="00A344E2">
        <w:t xml:space="preserve"> </w:t>
      </w:r>
      <w:r w:rsidRPr="00795F17">
        <w:t>-</w:t>
      </w:r>
      <w:r w:rsidR="00A344E2">
        <w:t xml:space="preserve"> </w:t>
      </w:r>
      <w:r w:rsidRPr="00795F17">
        <w:t>5 dni okresu wegetacyjnego.</w:t>
      </w:r>
    </w:p>
    <w:p w14:paraId="0B0C76E2" w14:textId="7E1AA0FA" w:rsidR="00613B2D" w:rsidRPr="00795F17" w:rsidRDefault="00613B2D" w:rsidP="00613B2D">
      <w:r w:rsidRPr="00795F17">
        <w:t xml:space="preserve">Parametry te wskazane są w dokumentacji modelowania zmian klimatu w ramach projektu Ministerstwa Środowiska </w:t>
      </w:r>
      <w:r w:rsidR="000F21F2">
        <w:t>–</w:t>
      </w:r>
      <w:r w:rsidRPr="00795F17">
        <w:t xml:space="preserve"> </w:t>
      </w:r>
      <w:r w:rsidRPr="000A6056">
        <w:rPr>
          <w:i/>
        </w:rPr>
        <w:t>Miejskie plany adaptacji do zmian klimatu</w:t>
      </w:r>
      <w:r w:rsidRPr="00795F17">
        <w:t xml:space="preserve"> (2018). Niemniej należy podkreślić, że łagodzący wpływ Bałtyku oraz oceanicznych mas powietrza pełni tu również rolę stabilizującą parametry klimatu lokalnego.</w:t>
      </w:r>
    </w:p>
    <w:p w14:paraId="78397E56" w14:textId="23A66E72" w:rsidR="00613B2D" w:rsidRPr="00795F17" w:rsidRDefault="00613B2D" w:rsidP="004D7705">
      <w:pPr>
        <w:pStyle w:val="Tabela"/>
        <w:rPr>
          <w:i/>
        </w:rPr>
      </w:pPr>
      <w:bookmarkStart w:id="113" w:name="_Toc66341855"/>
      <w:bookmarkStart w:id="114" w:name="_Toc105512762"/>
      <w:r w:rsidRPr="00795F17">
        <w:rPr>
          <w:bCs/>
        </w:rPr>
        <w:t xml:space="preserve">Tabela </w:t>
      </w:r>
      <w:r w:rsidRPr="00795F17">
        <w:rPr>
          <w:bCs/>
        </w:rPr>
        <w:fldChar w:fldCharType="begin"/>
      </w:r>
      <w:r w:rsidRPr="00795F17">
        <w:rPr>
          <w:bCs/>
        </w:rPr>
        <w:instrText xml:space="preserve"> STYLEREF 1 \s </w:instrText>
      </w:r>
      <w:r w:rsidRPr="00795F17">
        <w:rPr>
          <w:bCs/>
        </w:rPr>
        <w:fldChar w:fldCharType="separate"/>
      </w:r>
      <w:r w:rsidR="001F774D">
        <w:rPr>
          <w:bCs/>
          <w:noProof/>
        </w:rPr>
        <w:t>4</w:t>
      </w:r>
      <w:r w:rsidRPr="00795F17">
        <w:rPr>
          <w:bCs/>
        </w:rPr>
        <w:fldChar w:fldCharType="end"/>
      </w:r>
      <w:r w:rsidRPr="00795F17">
        <w:rPr>
          <w:bCs/>
        </w:rPr>
        <w:noBreakHyphen/>
      </w:r>
      <w:r w:rsidRPr="00795F17">
        <w:rPr>
          <w:bCs/>
        </w:rPr>
        <w:fldChar w:fldCharType="begin"/>
      </w:r>
      <w:r w:rsidRPr="00795F17">
        <w:rPr>
          <w:bCs/>
        </w:rPr>
        <w:instrText xml:space="preserve"> SEQ Tabela \* ARABIC \s 1 </w:instrText>
      </w:r>
      <w:r w:rsidRPr="00795F17">
        <w:rPr>
          <w:bCs/>
        </w:rPr>
        <w:fldChar w:fldCharType="separate"/>
      </w:r>
      <w:r w:rsidR="001F774D">
        <w:rPr>
          <w:bCs/>
          <w:noProof/>
        </w:rPr>
        <w:t>3</w:t>
      </w:r>
      <w:r w:rsidRPr="00795F17">
        <w:rPr>
          <w:bCs/>
        </w:rPr>
        <w:fldChar w:fldCharType="end"/>
      </w:r>
      <w:r w:rsidR="00BA11D4">
        <w:rPr>
          <w:bCs/>
        </w:rPr>
        <w:t>.</w:t>
      </w:r>
      <w:r w:rsidRPr="00795F17">
        <w:rPr>
          <w:bCs/>
        </w:rPr>
        <w:tab/>
      </w:r>
      <w:r w:rsidRPr="00795F17">
        <w:t xml:space="preserve">Charakterystyka klimatyczna </w:t>
      </w:r>
      <w:r w:rsidR="000F21F2">
        <w:t>–</w:t>
      </w:r>
      <w:r w:rsidRPr="00795F17">
        <w:t xml:space="preserve"> obszar dorzecza Odry </w:t>
      </w:r>
      <w:r w:rsidR="000F21F2">
        <w:t>–</w:t>
      </w:r>
      <w:r w:rsidRPr="00795F17">
        <w:t xml:space="preserve"> region wodny Dolnej Odry i Przymorza Zachodniego</w:t>
      </w:r>
      <w:bookmarkEnd w:id="113"/>
      <w:bookmarkEnd w:id="114"/>
    </w:p>
    <w:tbl>
      <w:tblPr>
        <w:tblW w:w="5000" w:type="pct"/>
        <w:tblLayout w:type="fixed"/>
        <w:tblCellMar>
          <w:left w:w="70" w:type="dxa"/>
          <w:right w:w="70" w:type="dxa"/>
        </w:tblCellMar>
        <w:tblLook w:val="04A0" w:firstRow="1" w:lastRow="0" w:firstColumn="1" w:lastColumn="0" w:noHBand="0" w:noVBand="1"/>
      </w:tblPr>
      <w:tblGrid>
        <w:gridCol w:w="1844"/>
        <w:gridCol w:w="1570"/>
        <w:gridCol w:w="836"/>
        <w:gridCol w:w="1586"/>
        <w:gridCol w:w="821"/>
        <w:gridCol w:w="1602"/>
        <w:gridCol w:w="803"/>
      </w:tblGrid>
      <w:tr w:rsidR="00613B2D" w:rsidRPr="00795F17" w14:paraId="74A0B707" w14:textId="77777777" w:rsidTr="00BD6510">
        <w:trPr>
          <w:cantSplit/>
          <w:trHeight w:val="1825"/>
          <w:tblHeader/>
        </w:trPr>
        <w:tc>
          <w:tcPr>
            <w:tcW w:w="101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0B098F6" w14:textId="77777777" w:rsidR="00613B2D" w:rsidRPr="00795F17" w:rsidRDefault="00613B2D" w:rsidP="00613B2D">
            <w:pPr>
              <w:pStyle w:val="Teksttabelinaglowek"/>
            </w:pPr>
            <w:r w:rsidRPr="00795F17">
              <w:t>Czynnik</w:t>
            </w:r>
          </w:p>
        </w:tc>
        <w:tc>
          <w:tcPr>
            <w:tcW w:w="86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21E8E89D" w14:textId="40CDEF10" w:rsidR="00613B2D" w:rsidRPr="00795F17" w:rsidRDefault="00613B2D" w:rsidP="000A6056">
            <w:pPr>
              <w:pStyle w:val="Teksttabelinaglowek"/>
              <w:ind w:left="57"/>
              <w:jc w:val="left"/>
            </w:pPr>
            <w:r w:rsidRPr="00795F17">
              <w:t>Skala zjawiska w</w:t>
            </w:r>
            <w:r w:rsidR="009342AE">
              <w:t> </w:t>
            </w:r>
            <w:r w:rsidRPr="00795F17">
              <w:t>bieżącym cyklu planistycznym</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7F30A14E" w14:textId="77777777" w:rsidR="00613B2D" w:rsidRPr="00795F17" w:rsidRDefault="00613B2D" w:rsidP="000A6056">
            <w:pPr>
              <w:pStyle w:val="Teksttabelinaglowek"/>
              <w:ind w:left="57"/>
              <w:jc w:val="left"/>
            </w:pPr>
            <w:r w:rsidRPr="00795F17">
              <w:t>Dotychczasowe narażenie</w:t>
            </w:r>
          </w:p>
        </w:tc>
        <w:tc>
          <w:tcPr>
            <w:tcW w:w="875"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07A9181D" w14:textId="375914E6" w:rsidR="00613B2D" w:rsidRPr="00795F17" w:rsidRDefault="00613B2D" w:rsidP="000A6056">
            <w:pPr>
              <w:pStyle w:val="Teksttabelinaglowek"/>
              <w:ind w:left="57"/>
              <w:jc w:val="left"/>
            </w:pPr>
            <w:r w:rsidRPr="00795F17">
              <w:t>Zmiany klimatu do</w:t>
            </w:r>
            <w:r w:rsidR="009342AE">
              <w:t> </w:t>
            </w:r>
            <w:r w:rsidRPr="00795F17">
              <w:t>2030 r.</w:t>
            </w:r>
          </w:p>
        </w:tc>
        <w:tc>
          <w:tcPr>
            <w:tcW w:w="453"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7D0EBDDD" w14:textId="77777777" w:rsidR="00613B2D" w:rsidRPr="00795F17" w:rsidRDefault="00613B2D" w:rsidP="000A6056">
            <w:pPr>
              <w:pStyle w:val="Teksttabelinaglowek"/>
              <w:ind w:left="57"/>
              <w:jc w:val="left"/>
            </w:pPr>
            <w:r w:rsidRPr="00795F17">
              <w:t xml:space="preserve">Przyszłe narażenie </w:t>
            </w:r>
            <w:r w:rsidRPr="00795F17">
              <w:br/>
              <w:t>(do 2030 r.)</w:t>
            </w:r>
          </w:p>
        </w:tc>
        <w:tc>
          <w:tcPr>
            <w:tcW w:w="884"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3996C35E" w14:textId="6F839E75" w:rsidR="00613B2D" w:rsidRPr="00795F17" w:rsidRDefault="00613B2D" w:rsidP="000A6056">
            <w:pPr>
              <w:pStyle w:val="Teksttabelinaglowek"/>
              <w:ind w:left="57"/>
              <w:jc w:val="left"/>
            </w:pPr>
            <w:r w:rsidRPr="00795F17">
              <w:t>Zmiany klimatu do</w:t>
            </w:r>
            <w:r w:rsidR="009342AE">
              <w:t> </w:t>
            </w:r>
            <w:r w:rsidRPr="00795F17">
              <w:t>2100 r.</w:t>
            </w:r>
          </w:p>
        </w:tc>
        <w:tc>
          <w:tcPr>
            <w:tcW w:w="443"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67D1BF31" w14:textId="77777777" w:rsidR="00613B2D" w:rsidRPr="00795F17" w:rsidRDefault="00613B2D" w:rsidP="000A6056">
            <w:pPr>
              <w:pStyle w:val="Teksttabelinaglowek"/>
              <w:ind w:left="57"/>
              <w:jc w:val="left"/>
            </w:pPr>
            <w:r w:rsidRPr="00795F17">
              <w:t>Przyszłe narażenie (do 2100 r.)</w:t>
            </w:r>
          </w:p>
        </w:tc>
      </w:tr>
      <w:tr w:rsidR="00613B2D" w:rsidRPr="00795F17" w14:paraId="771B64EB"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549A8DE3" w14:textId="77777777" w:rsidR="00613B2D" w:rsidRPr="00795F17" w:rsidRDefault="00613B2D" w:rsidP="00613B2D">
            <w:pPr>
              <w:pStyle w:val="Teksttabelilewy"/>
            </w:pPr>
            <w:r w:rsidRPr="00795F17">
              <w:t>Średnia temperatura powietrza</w:t>
            </w:r>
          </w:p>
        </w:tc>
        <w:tc>
          <w:tcPr>
            <w:tcW w:w="866" w:type="pct"/>
            <w:tcBorders>
              <w:top w:val="nil"/>
              <w:left w:val="nil"/>
              <w:bottom w:val="single" w:sz="4" w:space="0" w:color="auto"/>
              <w:right w:val="single" w:sz="4" w:space="0" w:color="auto"/>
            </w:tcBorders>
            <w:shd w:val="clear" w:color="auto" w:fill="auto"/>
            <w:noWrap/>
            <w:vAlign w:val="center"/>
            <w:hideMark/>
          </w:tcPr>
          <w:p w14:paraId="48423187" w14:textId="17C6AA61" w:rsidR="00613B2D" w:rsidRPr="00795F17" w:rsidRDefault="00613B2D" w:rsidP="00613B2D">
            <w:pPr>
              <w:pStyle w:val="Teksttabelisrodek"/>
            </w:pPr>
            <w:r w:rsidRPr="00795F17">
              <w:t>9,0</w:t>
            </w:r>
            <w:r w:rsidR="009342AE">
              <w:t xml:space="preserve"> </w:t>
            </w:r>
            <w:r w:rsidRPr="00795F17">
              <w:t>-</w:t>
            </w:r>
            <w:r w:rsidR="009342AE">
              <w:t xml:space="preserve"> </w:t>
            </w:r>
            <w:r w:rsidRPr="00795F17">
              <w:t>9,4°C</w:t>
            </w:r>
          </w:p>
        </w:tc>
        <w:tc>
          <w:tcPr>
            <w:tcW w:w="461" w:type="pct"/>
            <w:tcBorders>
              <w:top w:val="nil"/>
              <w:left w:val="nil"/>
              <w:bottom w:val="single" w:sz="4" w:space="0" w:color="auto"/>
              <w:right w:val="single" w:sz="4" w:space="0" w:color="auto"/>
            </w:tcBorders>
            <w:shd w:val="clear" w:color="auto" w:fill="92D050"/>
            <w:noWrap/>
            <w:vAlign w:val="center"/>
            <w:hideMark/>
          </w:tcPr>
          <w:p w14:paraId="2E72EFBF" w14:textId="77777777" w:rsidR="00613B2D" w:rsidRPr="00795F17" w:rsidRDefault="00613B2D" w:rsidP="00613B2D">
            <w:pPr>
              <w:pStyle w:val="Teksttabelisrodek"/>
            </w:pPr>
            <w:r w:rsidRPr="00795F17">
              <w:t>niskie</w:t>
            </w:r>
          </w:p>
        </w:tc>
        <w:tc>
          <w:tcPr>
            <w:tcW w:w="875" w:type="pct"/>
            <w:tcBorders>
              <w:top w:val="nil"/>
              <w:left w:val="nil"/>
              <w:bottom w:val="single" w:sz="4" w:space="0" w:color="auto"/>
              <w:right w:val="single" w:sz="4" w:space="0" w:color="auto"/>
            </w:tcBorders>
            <w:shd w:val="clear" w:color="auto" w:fill="auto"/>
            <w:noWrap/>
            <w:vAlign w:val="center"/>
            <w:hideMark/>
          </w:tcPr>
          <w:p w14:paraId="0A6434DA" w14:textId="295E60AB" w:rsidR="00613B2D" w:rsidRPr="00795F17" w:rsidRDefault="00613B2D" w:rsidP="00613B2D">
            <w:pPr>
              <w:pStyle w:val="Teksttabelisrodek"/>
            </w:pPr>
            <w:r w:rsidRPr="00795F17">
              <w:t>wzrost o 0,1</w:t>
            </w:r>
            <w:r w:rsidR="00740E21">
              <w:t xml:space="preserve"> </w:t>
            </w:r>
            <w:r w:rsidRPr="00795F17">
              <w:t>°C</w:t>
            </w:r>
          </w:p>
        </w:tc>
        <w:tc>
          <w:tcPr>
            <w:tcW w:w="453" w:type="pct"/>
            <w:tcBorders>
              <w:top w:val="nil"/>
              <w:left w:val="nil"/>
              <w:bottom w:val="single" w:sz="4" w:space="0" w:color="auto"/>
              <w:right w:val="single" w:sz="4" w:space="0" w:color="auto"/>
            </w:tcBorders>
            <w:shd w:val="clear" w:color="auto" w:fill="92D050"/>
            <w:vAlign w:val="center"/>
            <w:hideMark/>
          </w:tcPr>
          <w:p w14:paraId="414C4718" w14:textId="77777777" w:rsidR="00613B2D" w:rsidRPr="00795F17" w:rsidRDefault="00613B2D" w:rsidP="00613B2D">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26502A87" w14:textId="4231704F" w:rsidR="00613B2D" w:rsidRPr="00795F17" w:rsidRDefault="00613B2D" w:rsidP="00613B2D">
            <w:pPr>
              <w:pStyle w:val="Teksttabelisrodek"/>
            </w:pPr>
            <w:r w:rsidRPr="00795F17">
              <w:t>wzrost o 1,5°C</w:t>
            </w:r>
          </w:p>
        </w:tc>
        <w:tc>
          <w:tcPr>
            <w:tcW w:w="443" w:type="pct"/>
            <w:tcBorders>
              <w:top w:val="nil"/>
              <w:left w:val="nil"/>
              <w:bottom w:val="single" w:sz="4" w:space="0" w:color="auto"/>
              <w:right w:val="single" w:sz="4" w:space="0" w:color="auto"/>
            </w:tcBorders>
            <w:shd w:val="clear" w:color="auto" w:fill="92D050"/>
            <w:noWrap/>
            <w:vAlign w:val="center"/>
            <w:hideMark/>
          </w:tcPr>
          <w:p w14:paraId="6C7C4978" w14:textId="77777777" w:rsidR="00613B2D" w:rsidRPr="00795F17" w:rsidRDefault="00613B2D" w:rsidP="00613B2D">
            <w:pPr>
              <w:pStyle w:val="Teksttabelisrodek"/>
            </w:pPr>
            <w:r w:rsidRPr="00795F17">
              <w:t>niskie</w:t>
            </w:r>
          </w:p>
        </w:tc>
      </w:tr>
      <w:tr w:rsidR="00613B2D" w:rsidRPr="00795F17" w14:paraId="728D7BB6"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70FB93F6" w14:textId="77777777" w:rsidR="00613B2D" w:rsidRPr="00795F17" w:rsidRDefault="00613B2D" w:rsidP="00613B2D">
            <w:pPr>
              <w:pStyle w:val="Teksttabelilewy"/>
            </w:pPr>
            <w:r w:rsidRPr="00795F17">
              <w:t>Roczna amplituda temperatury powietrza okresu ciepłego</w:t>
            </w:r>
          </w:p>
        </w:tc>
        <w:tc>
          <w:tcPr>
            <w:tcW w:w="866" w:type="pct"/>
            <w:tcBorders>
              <w:top w:val="nil"/>
              <w:left w:val="nil"/>
              <w:bottom w:val="single" w:sz="4" w:space="0" w:color="auto"/>
              <w:right w:val="single" w:sz="4" w:space="0" w:color="auto"/>
            </w:tcBorders>
            <w:shd w:val="clear" w:color="auto" w:fill="auto"/>
            <w:noWrap/>
            <w:vAlign w:val="center"/>
            <w:hideMark/>
          </w:tcPr>
          <w:p w14:paraId="7E6849A9" w14:textId="77777777" w:rsidR="00613B2D" w:rsidRPr="00795F17" w:rsidRDefault="00613B2D" w:rsidP="00613B2D">
            <w:pPr>
              <w:pStyle w:val="Teksttabelisrodek"/>
            </w:pPr>
            <w:r w:rsidRPr="00795F17">
              <w:t>12°C</w:t>
            </w:r>
          </w:p>
        </w:tc>
        <w:tc>
          <w:tcPr>
            <w:tcW w:w="461" w:type="pct"/>
            <w:tcBorders>
              <w:top w:val="nil"/>
              <w:left w:val="nil"/>
              <w:bottom w:val="single" w:sz="4" w:space="0" w:color="auto"/>
              <w:right w:val="single" w:sz="4" w:space="0" w:color="auto"/>
            </w:tcBorders>
            <w:shd w:val="clear" w:color="auto" w:fill="FFFF00"/>
            <w:noWrap/>
            <w:vAlign w:val="center"/>
            <w:hideMark/>
          </w:tcPr>
          <w:p w14:paraId="01DEDDFF" w14:textId="77777777" w:rsidR="00613B2D" w:rsidRPr="00795F17" w:rsidRDefault="00613B2D" w:rsidP="00613B2D">
            <w:pPr>
              <w:pStyle w:val="Teksttabelisrodek"/>
            </w:pPr>
            <w:r w:rsidRPr="00795F17">
              <w:t xml:space="preserve">średnie </w:t>
            </w:r>
          </w:p>
        </w:tc>
        <w:tc>
          <w:tcPr>
            <w:tcW w:w="875" w:type="pct"/>
            <w:tcBorders>
              <w:top w:val="nil"/>
              <w:left w:val="nil"/>
              <w:bottom w:val="single" w:sz="4" w:space="0" w:color="auto"/>
              <w:right w:val="single" w:sz="4" w:space="0" w:color="auto"/>
            </w:tcBorders>
            <w:shd w:val="clear" w:color="auto" w:fill="auto"/>
            <w:noWrap/>
            <w:vAlign w:val="center"/>
            <w:hideMark/>
          </w:tcPr>
          <w:p w14:paraId="5DF72E04" w14:textId="080EEBA3" w:rsidR="00613B2D" w:rsidRPr="00795F17" w:rsidRDefault="00613B2D" w:rsidP="00613B2D">
            <w:pPr>
              <w:pStyle w:val="Teksttabelisrodek"/>
            </w:pPr>
            <w:r w:rsidRPr="00795F17">
              <w:t>spadek o 0,5°C</w:t>
            </w:r>
          </w:p>
        </w:tc>
        <w:tc>
          <w:tcPr>
            <w:tcW w:w="453" w:type="pct"/>
            <w:tcBorders>
              <w:top w:val="nil"/>
              <w:left w:val="nil"/>
              <w:bottom w:val="single" w:sz="4" w:space="0" w:color="auto"/>
              <w:right w:val="single" w:sz="4" w:space="0" w:color="auto"/>
            </w:tcBorders>
            <w:shd w:val="clear" w:color="auto" w:fill="92D050"/>
            <w:vAlign w:val="center"/>
            <w:hideMark/>
          </w:tcPr>
          <w:p w14:paraId="6EAD3A00" w14:textId="77777777" w:rsidR="00613B2D" w:rsidRPr="00795F17" w:rsidRDefault="00613B2D" w:rsidP="00613B2D">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06970E16" w14:textId="2F144816" w:rsidR="00613B2D" w:rsidRPr="00795F17" w:rsidRDefault="00613B2D" w:rsidP="00613B2D">
            <w:pPr>
              <w:pStyle w:val="Teksttabelisrodek"/>
            </w:pPr>
            <w:r w:rsidRPr="00795F17">
              <w:t>spadek o ok</w:t>
            </w:r>
            <w:r w:rsidR="00740E21">
              <w:t>oło</w:t>
            </w:r>
            <w:r w:rsidRPr="00795F17">
              <w:t xml:space="preserve"> 1,5°C</w:t>
            </w:r>
          </w:p>
        </w:tc>
        <w:tc>
          <w:tcPr>
            <w:tcW w:w="443" w:type="pct"/>
            <w:tcBorders>
              <w:top w:val="nil"/>
              <w:left w:val="nil"/>
              <w:bottom w:val="single" w:sz="4" w:space="0" w:color="auto"/>
              <w:right w:val="single" w:sz="4" w:space="0" w:color="auto"/>
            </w:tcBorders>
            <w:shd w:val="clear" w:color="auto" w:fill="92D050"/>
            <w:noWrap/>
            <w:vAlign w:val="center"/>
            <w:hideMark/>
          </w:tcPr>
          <w:p w14:paraId="6C040DAC" w14:textId="77777777" w:rsidR="00613B2D" w:rsidRPr="00795F17" w:rsidRDefault="00613B2D" w:rsidP="00613B2D">
            <w:pPr>
              <w:pStyle w:val="Teksttabelisrodek"/>
            </w:pPr>
            <w:r w:rsidRPr="00795F17">
              <w:t xml:space="preserve">niskie </w:t>
            </w:r>
          </w:p>
        </w:tc>
      </w:tr>
      <w:tr w:rsidR="00613B2D" w:rsidRPr="00795F17" w14:paraId="16ED18D5"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38CFFB9D" w14:textId="77777777" w:rsidR="00613B2D" w:rsidRPr="00795F17" w:rsidRDefault="00613B2D" w:rsidP="00613B2D">
            <w:pPr>
              <w:pStyle w:val="Teksttabelilewy"/>
            </w:pPr>
            <w:r w:rsidRPr="00795F17">
              <w:t>Roczna amplituda temperatury powietrza okresu chłodnego</w:t>
            </w:r>
          </w:p>
        </w:tc>
        <w:tc>
          <w:tcPr>
            <w:tcW w:w="866" w:type="pct"/>
            <w:tcBorders>
              <w:top w:val="nil"/>
              <w:left w:val="nil"/>
              <w:bottom w:val="single" w:sz="4" w:space="0" w:color="auto"/>
              <w:right w:val="single" w:sz="4" w:space="0" w:color="auto"/>
            </w:tcBorders>
            <w:shd w:val="clear" w:color="auto" w:fill="auto"/>
            <w:noWrap/>
            <w:vAlign w:val="center"/>
            <w:hideMark/>
          </w:tcPr>
          <w:p w14:paraId="1DF491AD" w14:textId="294A1138" w:rsidR="00613B2D" w:rsidRPr="00795F17" w:rsidRDefault="00613B2D" w:rsidP="00613B2D">
            <w:pPr>
              <w:pStyle w:val="Teksttabelisrodek"/>
            </w:pPr>
            <w:r w:rsidRPr="00795F17">
              <w:t>5°C</w:t>
            </w:r>
          </w:p>
        </w:tc>
        <w:tc>
          <w:tcPr>
            <w:tcW w:w="461" w:type="pct"/>
            <w:tcBorders>
              <w:top w:val="nil"/>
              <w:left w:val="nil"/>
              <w:bottom w:val="single" w:sz="4" w:space="0" w:color="auto"/>
              <w:right w:val="single" w:sz="4" w:space="0" w:color="auto"/>
            </w:tcBorders>
            <w:shd w:val="clear" w:color="auto" w:fill="92D050"/>
            <w:noWrap/>
            <w:vAlign w:val="center"/>
            <w:hideMark/>
          </w:tcPr>
          <w:p w14:paraId="4A8552F1" w14:textId="77777777" w:rsidR="00613B2D" w:rsidRPr="00795F17" w:rsidRDefault="00613B2D" w:rsidP="00613B2D">
            <w:pPr>
              <w:pStyle w:val="Teksttabelisrodek"/>
            </w:pPr>
            <w:r w:rsidRPr="00795F17">
              <w:t xml:space="preserve">niskie </w:t>
            </w:r>
          </w:p>
        </w:tc>
        <w:tc>
          <w:tcPr>
            <w:tcW w:w="875" w:type="pct"/>
            <w:tcBorders>
              <w:top w:val="nil"/>
              <w:left w:val="nil"/>
              <w:bottom w:val="single" w:sz="4" w:space="0" w:color="auto"/>
              <w:right w:val="single" w:sz="4" w:space="0" w:color="auto"/>
            </w:tcBorders>
            <w:shd w:val="clear" w:color="auto" w:fill="auto"/>
            <w:noWrap/>
            <w:vAlign w:val="center"/>
            <w:hideMark/>
          </w:tcPr>
          <w:p w14:paraId="77CBD11F" w14:textId="689D4EAC" w:rsidR="00613B2D" w:rsidRPr="00795F17" w:rsidRDefault="00613B2D" w:rsidP="00613B2D">
            <w:pPr>
              <w:pStyle w:val="Teksttabelisrodek"/>
            </w:pPr>
            <w:r w:rsidRPr="00795F17">
              <w:t>spadek o 1°C</w:t>
            </w:r>
          </w:p>
        </w:tc>
        <w:tc>
          <w:tcPr>
            <w:tcW w:w="453" w:type="pct"/>
            <w:tcBorders>
              <w:top w:val="nil"/>
              <w:left w:val="nil"/>
              <w:bottom w:val="single" w:sz="4" w:space="0" w:color="auto"/>
              <w:right w:val="single" w:sz="4" w:space="0" w:color="auto"/>
            </w:tcBorders>
            <w:shd w:val="clear" w:color="auto" w:fill="92D050"/>
            <w:vAlign w:val="center"/>
            <w:hideMark/>
          </w:tcPr>
          <w:p w14:paraId="61228FD7" w14:textId="77777777" w:rsidR="00613B2D" w:rsidRPr="00795F17" w:rsidRDefault="00613B2D" w:rsidP="00613B2D">
            <w:pPr>
              <w:pStyle w:val="Teksttabelisrodek"/>
            </w:pPr>
            <w:r w:rsidRPr="00795F17">
              <w:t xml:space="preserve">niskie </w:t>
            </w:r>
          </w:p>
        </w:tc>
        <w:tc>
          <w:tcPr>
            <w:tcW w:w="884" w:type="pct"/>
            <w:tcBorders>
              <w:top w:val="nil"/>
              <w:left w:val="nil"/>
              <w:bottom w:val="single" w:sz="4" w:space="0" w:color="auto"/>
              <w:right w:val="single" w:sz="4" w:space="0" w:color="auto"/>
            </w:tcBorders>
            <w:shd w:val="clear" w:color="auto" w:fill="auto"/>
            <w:vAlign w:val="center"/>
            <w:hideMark/>
          </w:tcPr>
          <w:p w14:paraId="05F5156F" w14:textId="6517639A" w:rsidR="00613B2D" w:rsidRPr="00795F17" w:rsidRDefault="00613B2D" w:rsidP="00613B2D">
            <w:pPr>
              <w:pStyle w:val="Teksttabelisrodek"/>
            </w:pPr>
            <w:r w:rsidRPr="00795F17">
              <w:t>spadek o 2,0</w:t>
            </w:r>
            <w:r w:rsidR="006316DC">
              <w:t xml:space="preserve"> </w:t>
            </w:r>
            <w:r w:rsidRPr="00795F17">
              <w:t>-2,5°C</w:t>
            </w:r>
          </w:p>
        </w:tc>
        <w:tc>
          <w:tcPr>
            <w:tcW w:w="443" w:type="pct"/>
            <w:tcBorders>
              <w:top w:val="nil"/>
              <w:left w:val="nil"/>
              <w:bottom w:val="single" w:sz="4" w:space="0" w:color="auto"/>
              <w:right w:val="single" w:sz="4" w:space="0" w:color="auto"/>
            </w:tcBorders>
            <w:shd w:val="clear" w:color="auto" w:fill="92D050"/>
            <w:noWrap/>
            <w:vAlign w:val="center"/>
            <w:hideMark/>
          </w:tcPr>
          <w:p w14:paraId="2643ED23" w14:textId="77777777" w:rsidR="00613B2D" w:rsidRPr="00795F17" w:rsidRDefault="00613B2D" w:rsidP="00613B2D">
            <w:pPr>
              <w:pStyle w:val="Teksttabelisrodek"/>
            </w:pPr>
            <w:r w:rsidRPr="00795F17">
              <w:t xml:space="preserve">niskie </w:t>
            </w:r>
          </w:p>
        </w:tc>
      </w:tr>
      <w:tr w:rsidR="00613B2D" w:rsidRPr="00795F17" w14:paraId="7FA48571"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20DE50F0" w14:textId="77777777" w:rsidR="00613B2D" w:rsidRPr="00795F17" w:rsidRDefault="00613B2D" w:rsidP="00613B2D">
            <w:pPr>
              <w:pStyle w:val="Teksttabelilewy"/>
            </w:pPr>
            <w:r w:rsidRPr="00795F17">
              <w:t>Roczna suma opadów</w:t>
            </w:r>
          </w:p>
        </w:tc>
        <w:tc>
          <w:tcPr>
            <w:tcW w:w="866" w:type="pct"/>
            <w:tcBorders>
              <w:top w:val="nil"/>
              <w:left w:val="nil"/>
              <w:bottom w:val="single" w:sz="4" w:space="0" w:color="auto"/>
              <w:right w:val="single" w:sz="4" w:space="0" w:color="auto"/>
            </w:tcBorders>
            <w:shd w:val="clear" w:color="auto" w:fill="auto"/>
            <w:noWrap/>
            <w:vAlign w:val="center"/>
            <w:hideMark/>
          </w:tcPr>
          <w:p w14:paraId="0BD3CB73" w14:textId="63F39DE1" w:rsidR="00613B2D" w:rsidRPr="00795F17" w:rsidRDefault="00613B2D" w:rsidP="00613B2D">
            <w:pPr>
              <w:pStyle w:val="Teksttabelisrodek"/>
            </w:pPr>
            <w:r w:rsidRPr="00795F17">
              <w:t>690</w:t>
            </w:r>
            <w:r w:rsidR="00E266B6">
              <w:t xml:space="preserve"> </w:t>
            </w:r>
            <w:r w:rsidRPr="00795F17">
              <w:t>-</w:t>
            </w:r>
            <w:r w:rsidR="00E266B6">
              <w:t xml:space="preserve"> </w:t>
            </w:r>
            <w:r w:rsidRPr="00795F17">
              <w:t>840 mm/rok</w:t>
            </w:r>
          </w:p>
        </w:tc>
        <w:tc>
          <w:tcPr>
            <w:tcW w:w="461" w:type="pct"/>
            <w:tcBorders>
              <w:top w:val="nil"/>
              <w:left w:val="nil"/>
              <w:bottom w:val="single" w:sz="4" w:space="0" w:color="auto"/>
              <w:right w:val="single" w:sz="4" w:space="0" w:color="auto"/>
            </w:tcBorders>
            <w:shd w:val="clear" w:color="auto" w:fill="92D050"/>
            <w:noWrap/>
            <w:vAlign w:val="center"/>
            <w:hideMark/>
          </w:tcPr>
          <w:p w14:paraId="5730C076" w14:textId="77777777" w:rsidR="00613B2D" w:rsidRPr="00795F17" w:rsidRDefault="00613B2D" w:rsidP="00613B2D">
            <w:pPr>
              <w:pStyle w:val="Teksttabelisrodek"/>
            </w:pPr>
            <w:r w:rsidRPr="00795F17">
              <w:t>niskie</w:t>
            </w:r>
          </w:p>
        </w:tc>
        <w:tc>
          <w:tcPr>
            <w:tcW w:w="875" w:type="pct"/>
            <w:tcBorders>
              <w:top w:val="nil"/>
              <w:left w:val="nil"/>
              <w:bottom w:val="single" w:sz="4" w:space="0" w:color="auto"/>
              <w:right w:val="single" w:sz="4" w:space="0" w:color="auto"/>
            </w:tcBorders>
            <w:shd w:val="clear" w:color="auto" w:fill="auto"/>
            <w:noWrap/>
            <w:vAlign w:val="center"/>
            <w:hideMark/>
          </w:tcPr>
          <w:p w14:paraId="045445DD" w14:textId="7279438D" w:rsidR="00613B2D" w:rsidRPr="00795F17" w:rsidRDefault="00613B2D" w:rsidP="00613B2D">
            <w:pPr>
              <w:pStyle w:val="Teksttabelisrodek"/>
            </w:pPr>
            <w:r w:rsidRPr="00795F17">
              <w:t>wzrost o 2</w:t>
            </w:r>
            <w:r w:rsidR="006316DC">
              <w:t xml:space="preserve"> – </w:t>
            </w:r>
            <w:r w:rsidRPr="00795F17">
              <w:t>10</w:t>
            </w:r>
            <w:r w:rsidR="006316DC">
              <w:t> </w:t>
            </w:r>
            <w:r w:rsidRPr="00795F17">
              <w:t>mm na rok w</w:t>
            </w:r>
            <w:r w:rsidR="006316DC">
              <w:t> </w:t>
            </w:r>
            <w:r w:rsidRPr="00795F17">
              <w:t>północno-wschodniej części, spadek o</w:t>
            </w:r>
            <w:r w:rsidR="006316DC">
              <w:t> </w:t>
            </w:r>
            <w:r w:rsidRPr="00795F17">
              <w:t>2</w:t>
            </w:r>
            <w:r w:rsidR="006316DC">
              <w:t> </w:t>
            </w:r>
            <w:r w:rsidRPr="00795F17">
              <w:t>mm na rok w części wschodniej</w:t>
            </w:r>
          </w:p>
        </w:tc>
        <w:tc>
          <w:tcPr>
            <w:tcW w:w="453" w:type="pct"/>
            <w:tcBorders>
              <w:top w:val="nil"/>
              <w:left w:val="nil"/>
              <w:bottom w:val="single" w:sz="4" w:space="0" w:color="auto"/>
              <w:right w:val="single" w:sz="4" w:space="0" w:color="auto"/>
            </w:tcBorders>
            <w:shd w:val="clear" w:color="auto" w:fill="92D050"/>
            <w:vAlign w:val="center"/>
            <w:hideMark/>
          </w:tcPr>
          <w:p w14:paraId="3008DE57" w14:textId="77777777" w:rsidR="00613B2D" w:rsidRPr="00795F17" w:rsidRDefault="00613B2D" w:rsidP="00613B2D">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5F468C24" w14:textId="6CDEF64A" w:rsidR="00613B2D" w:rsidRPr="00795F17" w:rsidRDefault="00613B2D" w:rsidP="00613B2D">
            <w:pPr>
              <w:pStyle w:val="Teksttabelisrodek"/>
            </w:pPr>
            <w:r w:rsidRPr="00795F17">
              <w:t>wzrost o 20</w:t>
            </w:r>
            <w:r w:rsidR="006316DC">
              <w:t xml:space="preserve"> – </w:t>
            </w:r>
            <w:r w:rsidRPr="00795F17">
              <w:t>50</w:t>
            </w:r>
            <w:r w:rsidR="006316DC">
              <w:t> </w:t>
            </w:r>
            <w:r w:rsidRPr="00795F17">
              <w:t>mm na rok</w:t>
            </w:r>
          </w:p>
        </w:tc>
        <w:tc>
          <w:tcPr>
            <w:tcW w:w="443" w:type="pct"/>
            <w:tcBorders>
              <w:top w:val="nil"/>
              <w:left w:val="nil"/>
              <w:bottom w:val="single" w:sz="4" w:space="0" w:color="auto"/>
              <w:right w:val="single" w:sz="4" w:space="0" w:color="auto"/>
            </w:tcBorders>
            <w:shd w:val="clear" w:color="auto" w:fill="92D050"/>
            <w:noWrap/>
            <w:vAlign w:val="center"/>
            <w:hideMark/>
          </w:tcPr>
          <w:p w14:paraId="307B276E" w14:textId="77777777" w:rsidR="00613B2D" w:rsidRPr="00795F17" w:rsidRDefault="00613B2D" w:rsidP="00613B2D">
            <w:pPr>
              <w:pStyle w:val="Teksttabelisrodek"/>
            </w:pPr>
            <w:r w:rsidRPr="00795F17">
              <w:t>niskie</w:t>
            </w:r>
          </w:p>
        </w:tc>
      </w:tr>
      <w:tr w:rsidR="00613B2D" w:rsidRPr="00795F17" w14:paraId="01F444B1"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65A04220" w14:textId="77777777" w:rsidR="00613B2D" w:rsidRPr="00795F17" w:rsidRDefault="00613B2D" w:rsidP="00613B2D">
            <w:pPr>
              <w:pStyle w:val="Teksttabelilewy"/>
            </w:pPr>
            <w:r w:rsidRPr="00795F17">
              <w:t>Średnia prędkość wiatru</w:t>
            </w:r>
          </w:p>
        </w:tc>
        <w:tc>
          <w:tcPr>
            <w:tcW w:w="866" w:type="pct"/>
            <w:tcBorders>
              <w:top w:val="nil"/>
              <w:left w:val="nil"/>
              <w:bottom w:val="single" w:sz="4" w:space="0" w:color="auto"/>
              <w:right w:val="single" w:sz="4" w:space="0" w:color="auto"/>
            </w:tcBorders>
            <w:shd w:val="clear" w:color="auto" w:fill="auto"/>
            <w:noWrap/>
            <w:vAlign w:val="center"/>
            <w:hideMark/>
          </w:tcPr>
          <w:p w14:paraId="5015AC0D" w14:textId="602FA9FE" w:rsidR="00613B2D" w:rsidRPr="00795F17" w:rsidRDefault="00613B2D" w:rsidP="00613B2D">
            <w:pPr>
              <w:pStyle w:val="Teksttabelisrodek"/>
            </w:pPr>
            <w:r w:rsidRPr="00795F17">
              <w:t>2,9</w:t>
            </w:r>
            <w:r w:rsidR="00E266B6">
              <w:t xml:space="preserve"> </w:t>
            </w:r>
            <w:r w:rsidRPr="00795F17">
              <w:t>-</w:t>
            </w:r>
            <w:r w:rsidR="00E266B6">
              <w:t xml:space="preserve"> </w:t>
            </w:r>
            <w:r w:rsidRPr="00795F17">
              <w:t>3,4 m/s</w:t>
            </w:r>
          </w:p>
        </w:tc>
        <w:tc>
          <w:tcPr>
            <w:tcW w:w="461" w:type="pct"/>
            <w:tcBorders>
              <w:top w:val="nil"/>
              <w:left w:val="nil"/>
              <w:bottom w:val="single" w:sz="4" w:space="0" w:color="auto"/>
              <w:right w:val="single" w:sz="4" w:space="0" w:color="auto"/>
            </w:tcBorders>
            <w:shd w:val="clear" w:color="auto" w:fill="92D050"/>
            <w:noWrap/>
            <w:vAlign w:val="center"/>
            <w:hideMark/>
          </w:tcPr>
          <w:p w14:paraId="6A76542C" w14:textId="77777777" w:rsidR="00613B2D" w:rsidRPr="00795F17" w:rsidRDefault="00613B2D" w:rsidP="00613B2D">
            <w:pPr>
              <w:pStyle w:val="Teksttabelisrodek"/>
            </w:pPr>
            <w:r w:rsidRPr="00795F17">
              <w:t>niskie</w:t>
            </w:r>
          </w:p>
        </w:tc>
        <w:tc>
          <w:tcPr>
            <w:tcW w:w="875" w:type="pct"/>
            <w:tcBorders>
              <w:top w:val="nil"/>
              <w:left w:val="nil"/>
              <w:bottom w:val="single" w:sz="4" w:space="0" w:color="auto"/>
              <w:right w:val="single" w:sz="4" w:space="0" w:color="auto"/>
            </w:tcBorders>
            <w:shd w:val="clear" w:color="auto" w:fill="auto"/>
            <w:noWrap/>
            <w:vAlign w:val="center"/>
            <w:hideMark/>
          </w:tcPr>
          <w:p w14:paraId="588819F0" w14:textId="77777777" w:rsidR="00613B2D" w:rsidRPr="00795F17" w:rsidRDefault="00613B2D" w:rsidP="00613B2D">
            <w:pPr>
              <w:pStyle w:val="Teksttabelisrodek"/>
            </w:pPr>
            <w:r w:rsidRPr="00795F17">
              <w:t>brak zmiany, niepewna tendencja</w:t>
            </w:r>
          </w:p>
        </w:tc>
        <w:tc>
          <w:tcPr>
            <w:tcW w:w="453" w:type="pct"/>
            <w:tcBorders>
              <w:top w:val="nil"/>
              <w:left w:val="nil"/>
              <w:bottom w:val="single" w:sz="4" w:space="0" w:color="auto"/>
              <w:right w:val="single" w:sz="4" w:space="0" w:color="auto"/>
            </w:tcBorders>
            <w:shd w:val="clear" w:color="auto" w:fill="92D050"/>
            <w:vAlign w:val="center"/>
            <w:hideMark/>
          </w:tcPr>
          <w:p w14:paraId="7857F2FC" w14:textId="77777777" w:rsidR="00613B2D" w:rsidRPr="00795F17" w:rsidRDefault="00613B2D" w:rsidP="00613B2D">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6111B5D7" w14:textId="77777777" w:rsidR="00613B2D" w:rsidRPr="00795F17" w:rsidRDefault="00613B2D" w:rsidP="00613B2D">
            <w:pPr>
              <w:pStyle w:val="Teksttabelisrodek"/>
            </w:pPr>
            <w:r w:rsidRPr="00795F17">
              <w:t>brak zmiany, niepewna tendencja</w:t>
            </w:r>
          </w:p>
        </w:tc>
        <w:tc>
          <w:tcPr>
            <w:tcW w:w="443" w:type="pct"/>
            <w:tcBorders>
              <w:top w:val="nil"/>
              <w:left w:val="nil"/>
              <w:bottom w:val="single" w:sz="4" w:space="0" w:color="auto"/>
              <w:right w:val="single" w:sz="4" w:space="0" w:color="auto"/>
            </w:tcBorders>
            <w:shd w:val="clear" w:color="auto" w:fill="92D050"/>
            <w:noWrap/>
            <w:vAlign w:val="center"/>
            <w:hideMark/>
          </w:tcPr>
          <w:p w14:paraId="7F79E287" w14:textId="77777777" w:rsidR="00613B2D" w:rsidRPr="00795F17" w:rsidRDefault="00613B2D" w:rsidP="00613B2D">
            <w:pPr>
              <w:pStyle w:val="Teksttabelisrodek"/>
            </w:pPr>
            <w:r w:rsidRPr="00795F17">
              <w:t>niskie</w:t>
            </w:r>
          </w:p>
        </w:tc>
      </w:tr>
      <w:tr w:rsidR="00613B2D" w:rsidRPr="00795F17" w14:paraId="78640E0C"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12FBE04B" w14:textId="77777777" w:rsidR="00613B2D" w:rsidRPr="00795F17" w:rsidRDefault="00613B2D" w:rsidP="00613B2D">
            <w:pPr>
              <w:pStyle w:val="Teksttabelilewy"/>
            </w:pPr>
            <w:r w:rsidRPr="00795F17">
              <w:t>Sezon wegetacyjny, temperatura powyżej 5°C</w:t>
            </w:r>
          </w:p>
        </w:tc>
        <w:tc>
          <w:tcPr>
            <w:tcW w:w="866" w:type="pct"/>
            <w:tcBorders>
              <w:top w:val="nil"/>
              <w:left w:val="nil"/>
              <w:bottom w:val="single" w:sz="4" w:space="0" w:color="auto"/>
              <w:right w:val="single" w:sz="4" w:space="0" w:color="auto"/>
            </w:tcBorders>
            <w:shd w:val="clear" w:color="auto" w:fill="auto"/>
            <w:noWrap/>
            <w:vAlign w:val="center"/>
            <w:hideMark/>
          </w:tcPr>
          <w:p w14:paraId="63D8543E" w14:textId="409B67AC" w:rsidR="00613B2D" w:rsidRPr="00795F17" w:rsidRDefault="00613B2D" w:rsidP="00613B2D">
            <w:pPr>
              <w:pStyle w:val="Teksttabelisrodek"/>
            </w:pPr>
            <w:r w:rsidRPr="00795F17">
              <w:t>200</w:t>
            </w:r>
            <w:r w:rsidR="00E266B6">
              <w:t xml:space="preserve"> </w:t>
            </w:r>
            <w:r w:rsidRPr="00795F17">
              <w:t>-</w:t>
            </w:r>
            <w:r w:rsidR="00E266B6">
              <w:t xml:space="preserve"> </w:t>
            </w:r>
            <w:r w:rsidRPr="00795F17">
              <w:t>220 dni w</w:t>
            </w:r>
            <w:r w:rsidR="00E266B6">
              <w:t> </w:t>
            </w:r>
            <w:r w:rsidRPr="00795F17">
              <w:t>roku</w:t>
            </w:r>
          </w:p>
        </w:tc>
        <w:tc>
          <w:tcPr>
            <w:tcW w:w="461" w:type="pct"/>
            <w:tcBorders>
              <w:top w:val="nil"/>
              <w:left w:val="nil"/>
              <w:bottom w:val="single" w:sz="4" w:space="0" w:color="auto"/>
              <w:right w:val="single" w:sz="4" w:space="0" w:color="auto"/>
            </w:tcBorders>
            <w:shd w:val="clear" w:color="auto" w:fill="92D050"/>
            <w:noWrap/>
            <w:vAlign w:val="center"/>
            <w:hideMark/>
          </w:tcPr>
          <w:p w14:paraId="7D24CBCD" w14:textId="77777777" w:rsidR="00613B2D" w:rsidRPr="00795F17" w:rsidRDefault="00613B2D" w:rsidP="00613B2D">
            <w:pPr>
              <w:pStyle w:val="Teksttabelisrodek"/>
            </w:pPr>
            <w:r w:rsidRPr="00795F17">
              <w:t>niskie</w:t>
            </w:r>
          </w:p>
        </w:tc>
        <w:tc>
          <w:tcPr>
            <w:tcW w:w="875" w:type="pct"/>
            <w:tcBorders>
              <w:top w:val="nil"/>
              <w:left w:val="nil"/>
              <w:bottom w:val="single" w:sz="4" w:space="0" w:color="auto"/>
              <w:right w:val="single" w:sz="4" w:space="0" w:color="auto"/>
            </w:tcBorders>
            <w:shd w:val="clear" w:color="auto" w:fill="auto"/>
            <w:noWrap/>
            <w:vAlign w:val="center"/>
            <w:hideMark/>
          </w:tcPr>
          <w:p w14:paraId="07AB6C4A" w14:textId="24E515D1" w:rsidR="00613B2D" w:rsidRPr="00795F17" w:rsidRDefault="00613B2D" w:rsidP="00613B2D">
            <w:pPr>
              <w:pStyle w:val="Teksttabelisrodek"/>
            </w:pPr>
            <w:r w:rsidRPr="00795F17">
              <w:t>wydłużenie o</w:t>
            </w:r>
            <w:r w:rsidR="006316DC">
              <w:t> </w:t>
            </w:r>
            <w:r w:rsidRPr="00795F17">
              <w:t>5,0</w:t>
            </w:r>
            <w:r w:rsidR="006316DC">
              <w:t xml:space="preserve"> </w:t>
            </w:r>
            <w:r w:rsidRPr="00795F17">
              <w:t>-</w:t>
            </w:r>
            <w:r w:rsidR="006316DC">
              <w:t xml:space="preserve"> </w:t>
            </w:r>
            <w:r w:rsidRPr="00795F17">
              <w:t>5,7 dnia na rok</w:t>
            </w:r>
          </w:p>
        </w:tc>
        <w:tc>
          <w:tcPr>
            <w:tcW w:w="453" w:type="pct"/>
            <w:tcBorders>
              <w:top w:val="nil"/>
              <w:left w:val="nil"/>
              <w:bottom w:val="single" w:sz="4" w:space="0" w:color="auto"/>
              <w:right w:val="single" w:sz="4" w:space="0" w:color="auto"/>
            </w:tcBorders>
            <w:shd w:val="clear" w:color="auto" w:fill="92D050"/>
            <w:vAlign w:val="center"/>
            <w:hideMark/>
          </w:tcPr>
          <w:p w14:paraId="56660D40" w14:textId="77777777" w:rsidR="00613B2D" w:rsidRPr="00795F17" w:rsidRDefault="00613B2D" w:rsidP="00613B2D">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24173D33" w14:textId="6615DAB4" w:rsidR="00613B2D" w:rsidRPr="00795F17" w:rsidRDefault="00613B2D" w:rsidP="00613B2D">
            <w:pPr>
              <w:pStyle w:val="Teksttabelisrodek"/>
            </w:pPr>
            <w:r w:rsidRPr="00795F17">
              <w:t>wydłużenie o 27</w:t>
            </w:r>
            <w:r w:rsidR="006316DC">
              <w:t xml:space="preserve"> </w:t>
            </w:r>
            <w:r w:rsidRPr="00795F17">
              <w:t>-</w:t>
            </w:r>
            <w:r w:rsidR="006316DC">
              <w:t xml:space="preserve"> </w:t>
            </w:r>
            <w:r w:rsidRPr="00795F17">
              <w:t>29 dni w roku (40</w:t>
            </w:r>
            <w:r w:rsidR="006316DC">
              <w:t> </w:t>
            </w:r>
            <w:r w:rsidRPr="00795F17">
              <w:t>% w roku)</w:t>
            </w:r>
          </w:p>
        </w:tc>
        <w:tc>
          <w:tcPr>
            <w:tcW w:w="443" w:type="pct"/>
            <w:tcBorders>
              <w:top w:val="nil"/>
              <w:left w:val="nil"/>
              <w:bottom w:val="single" w:sz="4" w:space="0" w:color="auto"/>
              <w:right w:val="single" w:sz="4" w:space="0" w:color="auto"/>
            </w:tcBorders>
            <w:shd w:val="clear" w:color="auto" w:fill="92D050"/>
            <w:noWrap/>
            <w:vAlign w:val="center"/>
            <w:hideMark/>
          </w:tcPr>
          <w:p w14:paraId="2A93850D" w14:textId="77777777" w:rsidR="00613B2D" w:rsidRPr="00795F17" w:rsidRDefault="00613B2D" w:rsidP="00613B2D">
            <w:pPr>
              <w:pStyle w:val="Teksttabelisrodek"/>
            </w:pPr>
            <w:r w:rsidRPr="00795F17">
              <w:t>niskie</w:t>
            </w:r>
          </w:p>
        </w:tc>
      </w:tr>
      <w:tr w:rsidR="00613B2D" w:rsidRPr="00795F17" w14:paraId="2A3E5A9A"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317BE9C2" w14:textId="77777777" w:rsidR="00613B2D" w:rsidRPr="00795F17" w:rsidRDefault="00613B2D" w:rsidP="00613B2D">
            <w:pPr>
              <w:pStyle w:val="Teksttabelilewy"/>
            </w:pPr>
            <w:r w:rsidRPr="00795F17">
              <w:t>Ekstremalna temperatura dodatnia</w:t>
            </w:r>
          </w:p>
        </w:tc>
        <w:tc>
          <w:tcPr>
            <w:tcW w:w="866" w:type="pct"/>
            <w:tcBorders>
              <w:top w:val="nil"/>
              <w:left w:val="nil"/>
              <w:bottom w:val="single" w:sz="4" w:space="0" w:color="auto"/>
              <w:right w:val="single" w:sz="4" w:space="0" w:color="auto"/>
            </w:tcBorders>
            <w:shd w:val="clear" w:color="auto" w:fill="auto"/>
            <w:noWrap/>
            <w:vAlign w:val="center"/>
            <w:hideMark/>
          </w:tcPr>
          <w:p w14:paraId="79C373A4" w14:textId="6F742872" w:rsidR="00613B2D" w:rsidRPr="00795F17" w:rsidRDefault="00613B2D" w:rsidP="00613B2D">
            <w:pPr>
              <w:pStyle w:val="Teksttabelisrodek"/>
            </w:pPr>
            <w:r w:rsidRPr="00795F17">
              <w:t>powyżej 25°C, ok</w:t>
            </w:r>
            <w:r w:rsidR="00E266B6">
              <w:t>oło</w:t>
            </w:r>
            <w:r w:rsidRPr="00795F17">
              <w:t xml:space="preserve"> 36</w:t>
            </w:r>
            <w:r w:rsidR="00E266B6">
              <w:t xml:space="preserve"> </w:t>
            </w:r>
            <w:r w:rsidRPr="00795F17">
              <w:t>-</w:t>
            </w:r>
            <w:r w:rsidR="00E266B6">
              <w:t xml:space="preserve"> </w:t>
            </w:r>
            <w:r w:rsidRPr="00795F17">
              <w:t>40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5A38554F" w14:textId="77777777" w:rsidR="00613B2D" w:rsidRPr="00795F17" w:rsidRDefault="00613B2D" w:rsidP="00613B2D">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noWrap/>
            <w:vAlign w:val="center"/>
            <w:hideMark/>
          </w:tcPr>
          <w:p w14:paraId="3E2DA5EB" w14:textId="56407D52" w:rsidR="00613B2D" w:rsidRPr="00795F17" w:rsidRDefault="00613B2D" w:rsidP="00613B2D">
            <w:pPr>
              <w:pStyle w:val="Teksttabelisrodek"/>
            </w:pPr>
            <w:r w:rsidRPr="00795F17">
              <w:t>brak istotnej zmiany, na zachodzie możliwość skrócenia liczby dni gorących i</w:t>
            </w:r>
            <w:r w:rsidR="006316DC">
              <w:t> </w:t>
            </w:r>
            <w:r w:rsidRPr="00795F17">
              <w:t>wydłużenia na wschodzie</w:t>
            </w:r>
          </w:p>
        </w:tc>
        <w:tc>
          <w:tcPr>
            <w:tcW w:w="453" w:type="pct"/>
            <w:tcBorders>
              <w:top w:val="nil"/>
              <w:left w:val="nil"/>
              <w:bottom w:val="single" w:sz="4" w:space="0" w:color="auto"/>
              <w:right w:val="single" w:sz="4" w:space="0" w:color="auto"/>
            </w:tcBorders>
            <w:shd w:val="clear" w:color="auto" w:fill="FFFF00"/>
            <w:vAlign w:val="center"/>
            <w:hideMark/>
          </w:tcPr>
          <w:p w14:paraId="784309A0" w14:textId="77777777" w:rsidR="00613B2D" w:rsidRPr="00795F17" w:rsidRDefault="00613B2D" w:rsidP="00613B2D">
            <w:pPr>
              <w:pStyle w:val="Teksttabelisrodek"/>
            </w:pPr>
            <w:r w:rsidRPr="00795F17">
              <w:t>średnie</w:t>
            </w:r>
          </w:p>
        </w:tc>
        <w:tc>
          <w:tcPr>
            <w:tcW w:w="884" w:type="pct"/>
            <w:tcBorders>
              <w:top w:val="nil"/>
              <w:left w:val="nil"/>
              <w:bottom w:val="single" w:sz="4" w:space="0" w:color="auto"/>
              <w:right w:val="single" w:sz="4" w:space="0" w:color="auto"/>
            </w:tcBorders>
            <w:shd w:val="clear" w:color="auto" w:fill="auto"/>
            <w:vAlign w:val="center"/>
            <w:hideMark/>
          </w:tcPr>
          <w:p w14:paraId="3ED5367C" w14:textId="4943AD0D" w:rsidR="00613B2D" w:rsidRPr="00795F17" w:rsidRDefault="00613B2D" w:rsidP="00613B2D">
            <w:pPr>
              <w:pStyle w:val="Teksttabelisrodek"/>
            </w:pPr>
            <w:r w:rsidRPr="00795F17">
              <w:t>wzrost o 9</w:t>
            </w:r>
            <w:r w:rsidR="006316DC">
              <w:t xml:space="preserve"> – </w:t>
            </w:r>
            <w:r w:rsidRPr="00795F17">
              <w:t>11</w:t>
            </w:r>
            <w:r w:rsidR="006316DC">
              <w:t> </w:t>
            </w:r>
            <w:r w:rsidRPr="00795F17">
              <w:t>dni w roku</w:t>
            </w:r>
          </w:p>
        </w:tc>
        <w:tc>
          <w:tcPr>
            <w:tcW w:w="443" w:type="pct"/>
            <w:tcBorders>
              <w:top w:val="nil"/>
              <w:left w:val="nil"/>
              <w:bottom w:val="single" w:sz="4" w:space="0" w:color="auto"/>
              <w:right w:val="single" w:sz="4" w:space="0" w:color="auto"/>
            </w:tcBorders>
            <w:shd w:val="clear" w:color="auto" w:fill="FF0000"/>
            <w:noWrap/>
            <w:vAlign w:val="center"/>
            <w:hideMark/>
          </w:tcPr>
          <w:p w14:paraId="14981A87" w14:textId="77777777" w:rsidR="00613B2D" w:rsidRPr="00795F17" w:rsidRDefault="00613B2D" w:rsidP="00613B2D">
            <w:pPr>
              <w:pStyle w:val="Teksttabelisrodek"/>
            </w:pPr>
            <w:r w:rsidRPr="00795F17">
              <w:t>wysokie</w:t>
            </w:r>
          </w:p>
        </w:tc>
      </w:tr>
      <w:tr w:rsidR="00613B2D" w:rsidRPr="00795F17" w14:paraId="338E2FEF"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35268A35" w14:textId="77777777" w:rsidR="00613B2D" w:rsidRPr="00795F17" w:rsidRDefault="00613B2D" w:rsidP="00613B2D">
            <w:pPr>
              <w:pStyle w:val="Teksttabelilewy"/>
            </w:pPr>
            <w:r w:rsidRPr="00795F17">
              <w:t>Temperatura ujemna</w:t>
            </w:r>
          </w:p>
        </w:tc>
        <w:tc>
          <w:tcPr>
            <w:tcW w:w="866" w:type="pct"/>
            <w:tcBorders>
              <w:top w:val="nil"/>
              <w:left w:val="nil"/>
              <w:bottom w:val="single" w:sz="4" w:space="0" w:color="auto"/>
              <w:right w:val="single" w:sz="4" w:space="0" w:color="auto"/>
            </w:tcBorders>
            <w:shd w:val="clear" w:color="auto" w:fill="auto"/>
            <w:noWrap/>
            <w:vAlign w:val="center"/>
            <w:hideMark/>
          </w:tcPr>
          <w:p w14:paraId="2290D8F0" w14:textId="6F528DF3" w:rsidR="00613B2D" w:rsidRPr="00795F17" w:rsidRDefault="00613B2D" w:rsidP="00613B2D">
            <w:pPr>
              <w:pStyle w:val="Teksttabelisrodek"/>
            </w:pPr>
            <w:r w:rsidRPr="00795F17">
              <w:t>poniżej 0°C, 68</w:t>
            </w:r>
            <w:r w:rsidR="00E266B6">
              <w:t xml:space="preserve"> </w:t>
            </w:r>
            <w:r w:rsidRPr="00795F17">
              <w:t>-</w:t>
            </w:r>
            <w:r w:rsidR="00E266B6">
              <w:t xml:space="preserve"> </w:t>
            </w:r>
            <w:r w:rsidRPr="00795F17">
              <w:t>80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29DF462E" w14:textId="77777777" w:rsidR="00613B2D" w:rsidRPr="00795F17" w:rsidRDefault="00613B2D" w:rsidP="00613B2D">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noWrap/>
            <w:vAlign w:val="center"/>
            <w:hideMark/>
          </w:tcPr>
          <w:p w14:paraId="75942820" w14:textId="4452B84C" w:rsidR="00613B2D" w:rsidRPr="00795F17" w:rsidRDefault="00613B2D" w:rsidP="00613B2D">
            <w:pPr>
              <w:pStyle w:val="Teksttabelisrodek"/>
            </w:pPr>
            <w:r w:rsidRPr="00795F17">
              <w:t>spadek o</w:t>
            </w:r>
            <w:r w:rsidR="006316DC">
              <w:t> </w:t>
            </w:r>
            <w:r w:rsidRPr="00795F17">
              <w:t>4,2</w:t>
            </w:r>
            <w:r w:rsidR="006316DC">
              <w:t xml:space="preserve"> </w:t>
            </w:r>
            <w:r w:rsidRPr="00795F17">
              <w:t>-</w:t>
            </w:r>
            <w:r w:rsidR="006316DC">
              <w:t xml:space="preserve"> </w:t>
            </w:r>
            <w:r w:rsidRPr="00795F17">
              <w:t>4,6 dnia na rok</w:t>
            </w:r>
          </w:p>
        </w:tc>
        <w:tc>
          <w:tcPr>
            <w:tcW w:w="453" w:type="pct"/>
            <w:tcBorders>
              <w:top w:val="nil"/>
              <w:left w:val="nil"/>
              <w:bottom w:val="single" w:sz="4" w:space="0" w:color="auto"/>
              <w:right w:val="single" w:sz="4" w:space="0" w:color="auto"/>
            </w:tcBorders>
            <w:shd w:val="clear" w:color="auto" w:fill="92D050"/>
            <w:vAlign w:val="center"/>
            <w:hideMark/>
          </w:tcPr>
          <w:p w14:paraId="4FD45686" w14:textId="77777777" w:rsidR="00613B2D" w:rsidRPr="00795F17" w:rsidRDefault="00613B2D" w:rsidP="00613B2D">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2008391C" w14:textId="43A3076C" w:rsidR="00613B2D" w:rsidRPr="00795F17" w:rsidRDefault="00613B2D" w:rsidP="00613B2D">
            <w:pPr>
              <w:pStyle w:val="Teksttabelisrodek"/>
            </w:pPr>
            <w:r w:rsidRPr="00795F17">
              <w:t>spadek o 25</w:t>
            </w:r>
            <w:r w:rsidR="006316DC">
              <w:t xml:space="preserve"> </w:t>
            </w:r>
            <w:r w:rsidRPr="00795F17">
              <w:t>-</w:t>
            </w:r>
            <w:r w:rsidR="006316DC">
              <w:t xml:space="preserve"> </w:t>
            </w:r>
            <w:r w:rsidRPr="00795F17">
              <w:t>27 dni w roku</w:t>
            </w:r>
          </w:p>
        </w:tc>
        <w:tc>
          <w:tcPr>
            <w:tcW w:w="443" w:type="pct"/>
            <w:tcBorders>
              <w:top w:val="nil"/>
              <w:left w:val="nil"/>
              <w:bottom w:val="single" w:sz="4" w:space="0" w:color="auto"/>
              <w:right w:val="single" w:sz="4" w:space="0" w:color="auto"/>
            </w:tcBorders>
            <w:shd w:val="clear" w:color="auto" w:fill="92D050"/>
            <w:noWrap/>
            <w:vAlign w:val="center"/>
            <w:hideMark/>
          </w:tcPr>
          <w:p w14:paraId="7683A642" w14:textId="77777777" w:rsidR="00613B2D" w:rsidRPr="00795F17" w:rsidRDefault="00613B2D" w:rsidP="00613B2D">
            <w:pPr>
              <w:pStyle w:val="Teksttabelisrodek"/>
            </w:pPr>
            <w:r w:rsidRPr="00795F17">
              <w:t>niskie</w:t>
            </w:r>
          </w:p>
        </w:tc>
      </w:tr>
      <w:tr w:rsidR="00613B2D" w:rsidRPr="00795F17" w14:paraId="4F9282BF"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70D1A456" w14:textId="77777777" w:rsidR="00613B2D" w:rsidRPr="00795F17" w:rsidRDefault="00613B2D" w:rsidP="00613B2D">
            <w:pPr>
              <w:pStyle w:val="Teksttabelilewy"/>
            </w:pPr>
            <w:r w:rsidRPr="00795F17">
              <w:t>Liczba dni z opadem w roku</w:t>
            </w:r>
          </w:p>
        </w:tc>
        <w:tc>
          <w:tcPr>
            <w:tcW w:w="866" w:type="pct"/>
            <w:tcBorders>
              <w:top w:val="nil"/>
              <w:left w:val="nil"/>
              <w:bottom w:val="single" w:sz="4" w:space="0" w:color="auto"/>
              <w:right w:val="single" w:sz="4" w:space="0" w:color="auto"/>
            </w:tcBorders>
            <w:shd w:val="clear" w:color="auto" w:fill="auto"/>
            <w:noWrap/>
            <w:vAlign w:val="center"/>
            <w:hideMark/>
          </w:tcPr>
          <w:p w14:paraId="359A6025" w14:textId="34750DA8" w:rsidR="00613B2D" w:rsidRPr="00795F17" w:rsidRDefault="00613B2D" w:rsidP="00613B2D">
            <w:pPr>
              <w:pStyle w:val="Teksttabelisrodek"/>
            </w:pPr>
            <w:r w:rsidRPr="00795F17">
              <w:t>ok</w:t>
            </w:r>
            <w:r w:rsidR="00E266B6">
              <w:t>oło</w:t>
            </w:r>
            <w:r w:rsidRPr="00795F17">
              <w:t xml:space="preserve"> 132</w:t>
            </w:r>
            <w:r w:rsidR="00E266B6">
              <w:t xml:space="preserve"> </w:t>
            </w:r>
            <w:r w:rsidRPr="00795F17">
              <w:t>-</w:t>
            </w:r>
            <w:r w:rsidR="00E266B6">
              <w:t xml:space="preserve"> </w:t>
            </w:r>
            <w:r w:rsidRPr="00795F17">
              <w:t>159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7E672A4E" w14:textId="77777777" w:rsidR="00613B2D" w:rsidRPr="00795F17" w:rsidRDefault="00613B2D" w:rsidP="00613B2D">
            <w:pPr>
              <w:pStyle w:val="Teksttabelisrodek"/>
            </w:pPr>
            <w:r w:rsidRPr="00795F17">
              <w:t xml:space="preserve">średnie </w:t>
            </w:r>
          </w:p>
        </w:tc>
        <w:tc>
          <w:tcPr>
            <w:tcW w:w="875" w:type="pct"/>
            <w:tcBorders>
              <w:top w:val="nil"/>
              <w:left w:val="nil"/>
              <w:bottom w:val="single" w:sz="4" w:space="0" w:color="auto"/>
              <w:right w:val="single" w:sz="4" w:space="0" w:color="auto"/>
            </w:tcBorders>
            <w:shd w:val="clear" w:color="auto" w:fill="auto"/>
            <w:noWrap/>
            <w:vAlign w:val="center"/>
            <w:hideMark/>
          </w:tcPr>
          <w:p w14:paraId="56CEDB62" w14:textId="0999BBE7" w:rsidR="00613B2D" w:rsidRPr="00795F17" w:rsidRDefault="00613B2D" w:rsidP="00613B2D">
            <w:pPr>
              <w:pStyle w:val="Teksttabelisrodek"/>
            </w:pPr>
            <w:r w:rsidRPr="00795F17">
              <w:t>wzrost o 0,9</w:t>
            </w:r>
            <w:r w:rsidR="006316DC">
              <w:t xml:space="preserve"> </w:t>
            </w:r>
            <w:r w:rsidRPr="00795F17">
              <w:t>-</w:t>
            </w:r>
            <w:r w:rsidR="006316DC">
              <w:t xml:space="preserve"> </w:t>
            </w:r>
            <w:r w:rsidRPr="00795F17">
              <w:t>3,0</w:t>
            </w:r>
            <w:r w:rsidR="006316DC">
              <w:t> </w:t>
            </w:r>
            <w:r w:rsidRPr="00795F17">
              <w:t>dni w roku</w:t>
            </w:r>
          </w:p>
        </w:tc>
        <w:tc>
          <w:tcPr>
            <w:tcW w:w="453" w:type="pct"/>
            <w:tcBorders>
              <w:top w:val="nil"/>
              <w:left w:val="nil"/>
              <w:bottom w:val="single" w:sz="4" w:space="0" w:color="auto"/>
              <w:right w:val="single" w:sz="4" w:space="0" w:color="auto"/>
            </w:tcBorders>
            <w:shd w:val="clear" w:color="auto" w:fill="FFFF00"/>
            <w:vAlign w:val="center"/>
            <w:hideMark/>
          </w:tcPr>
          <w:p w14:paraId="58C331EA" w14:textId="77777777" w:rsidR="00613B2D" w:rsidRPr="00795F17" w:rsidRDefault="00613B2D" w:rsidP="00613B2D">
            <w:pPr>
              <w:pStyle w:val="Teksttabelisrodek"/>
            </w:pPr>
            <w:r w:rsidRPr="00795F17">
              <w:t xml:space="preserve">średnie </w:t>
            </w:r>
          </w:p>
        </w:tc>
        <w:tc>
          <w:tcPr>
            <w:tcW w:w="884" w:type="pct"/>
            <w:tcBorders>
              <w:top w:val="nil"/>
              <w:left w:val="nil"/>
              <w:bottom w:val="single" w:sz="4" w:space="0" w:color="auto"/>
              <w:right w:val="single" w:sz="4" w:space="0" w:color="auto"/>
            </w:tcBorders>
            <w:shd w:val="clear" w:color="auto" w:fill="auto"/>
            <w:vAlign w:val="center"/>
            <w:hideMark/>
          </w:tcPr>
          <w:p w14:paraId="535ECCC0" w14:textId="69CA4689" w:rsidR="00613B2D" w:rsidRPr="00795F17" w:rsidRDefault="00613B2D" w:rsidP="00613B2D">
            <w:pPr>
              <w:pStyle w:val="Teksttabelisrodek"/>
            </w:pPr>
            <w:r w:rsidRPr="00795F17">
              <w:t>wzrost o 0,4</w:t>
            </w:r>
            <w:r w:rsidR="006316DC">
              <w:t xml:space="preserve"> </w:t>
            </w:r>
            <w:r w:rsidRPr="00795F17">
              <w:t>-</w:t>
            </w:r>
            <w:r w:rsidR="006316DC">
              <w:t xml:space="preserve"> </w:t>
            </w:r>
            <w:r w:rsidRPr="00795F17">
              <w:t>1,3 dnia na rok, ale tylko w</w:t>
            </w:r>
            <w:r w:rsidR="006316DC">
              <w:t> </w:t>
            </w:r>
            <w:r w:rsidRPr="00795F17">
              <w:t>zachodniej części</w:t>
            </w:r>
          </w:p>
        </w:tc>
        <w:tc>
          <w:tcPr>
            <w:tcW w:w="443" w:type="pct"/>
            <w:tcBorders>
              <w:top w:val="nil"/>
              <w:left w:val="nil"/>
              <w:bottom w:val="single" w:sz="4" w:space="0" w:color="auto"/>
              <w:right w:val="single" w:sz="4" w:space="0" w:color="auto"/>
            </w:tcBorders>
            <w:shd w:val="clear" w:color="auto" w:fill="FFFF00"/>
            <w:noWrap/>
            <w:vAlign w:val="center"/>
            <w:hideMark/>
          </w:tcPr>
          <w:p w14:paraId="76E1CD6B" w14:textId="77777777" w:rsidR="00613B2D" w:rsidRPr="00795F17" w:rsidRDefault="00613B2D" w:rsidP="00613B2D">
            <w:pPr>
              <w:pStyle w:val="Teksttabelisrodek"/>
            </w:pPr>
            <w:r w:rsidRPr="00795F17">
              <w:t xml:space="preserve">średnie </w:t>
            </w:r>
          </w:p>
        </w:tc>
      </w:tr>
      <w:tr w:rsidR="00613B2D" w:rsidRPr="00795F17" w14:paraId="77CDAE8D"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42AEC369" w14:textId="77777777" w:rsidR="00613B2D" w:rsidRPr="00795F17" w:rsidRDefault="00613B2D" w:rsidP="00613B2D">
            <w:pPr>
              <w:pStyle w:val="Teksttabelilewy"/>
            </w:pPr>
            <w:r w:rsidRPr="00795F17">
              <w:t>Średni opad dobowy</w:t>
            </w:r>
          </w:p>
        </w:tc>
        <w:tc>
          <w:tcPr>
            <w:tcW w:w="866" w:type="pct"/>
            <w:tcBorders>
              <w:top w:val="nil"/>
              <w:left w:val="nil"/>
              <w:bottom w:val="single" w:sz="4" w:space="0" w:color="auto"/>
              <w:right w:val="single" w:sz="4" w:space="0" w:color="auto"/>
            </w:tcBorders>
            <w:shd w:val="clear" w:color="auto" w:fill="auto"/>
            <w:noWrap/>
            <w:vAlign w:val="center"/>
            <w:hideMark/>
          </w:tcPr>
          <w:p w14:paraId="458B6DCF" w14:textId="0E149836" w:rsidR="00613B2D" w:rsidRPr="00795F17" w:rsidRDefault="00613B2D" w:rsidP="00613B2D">
            <w:pPr>
              <w:pStyle w:val="Teksttabelisrodek"/>
            </w:pPr>
            <w:r w:rsidRPr="00795F17">
              <w:t>ok</w:t>
            </w:r>
            <w:r w:rsidR="00E266B6">
              <w:t>oło</w:t>
            </w:r>
            <w:r w:rsidRPr="00795F17">
              <w:t xml:space="preserve"> 1,9</w:t>
            </w:r>
            <w:r w:rsidR="00E266B6">
              <w:t xml:space="preserve"> </w:t>
            </w:r>
            <w:r w:rsidRPr="00795F17">
              <w:t>-</w:t>
            </w:r>
            <w:r w:rsidR="00E266B6">
              <w:t xml:space="preserve"> </w:t>
            </w:r>
            <w:r w:rsidRPr="00795F17">
              <w:t>2,3</w:t>
            </w:r>
            <w:r w:rsidR="00E266B6">
              <w:t> </w:t>
            </w:r>
            <w:r w:rsidRPr="00795F17">
              <w:t>mm na dobę</w:t>
            </w:r>
          </w:p>
        </w:tc>
        <w:tc>
          <w:tcPr>
            <w:tcW w:w="461" w:type="pct"/>
            <w:tcBorders>
              <w:top w:val="nil"/>
              <w:left w:val="nil"/>
              <w:bottom w:val="single" w:sz="4" w:space="0" w:color="auto"/>
              <w:right w:val="single" w:sz="4" w:space="0" w:color="auto"/>
            </w:tcBorders>
            <w:shd w:val="clear" w:color="auto" w:fill="92D050"/>
            <w:noWrap/>
            <w:vAlign w:val="center"/>
            <w:hideMark/>
          </w:tcPr>
          <w:p w14:paraId="11006FCD" w14:textId="77777777" w:rsidR="00613B2D" w:rsidRPr="00795F17" w:rsidRDefault="00613B2D" w:rsidP="00613B2D">
            <w:pPr>
              <w:pStyle w:val="Teksttabelisrodek"/>
            </w:pPr>
            <w:r w:rsidRPr="00795F17">
              <w:t xml:space="preserve">niskie </w:t>
            </w:r>
          </w:p>
        </w:tc>
        <w:tc>
          <w:tcPr>
            <w:tcW w:w="875" w:type="pct"/>
            <w:tcBorders>
              <w:top w:val="nil"/>
              <w:left w:val="nil"/>
              <w:bottom w:val="single" w:sz="4" w:space="0" w:color="auto"/>
              <w:right w:val="single" w:sz="4" w:space="0" w:color="auto"/>
            </w:tcBorders>
            <w:shd w:val="clear" w:color="auto" w:fill="auto"/>
            <w:noWrap/>
            <w:vAlign w:val="center"/>
            <w:hideMark/>
          </w:tcPr>
          <w:p w14:paraId="58CDB788" w14:textId="1E66633A" w:rsidR="00613B2D" w:rsidRPr="00795F17" w:rsidRDefault="00613B2D" w:rsidP="00613B2D">
            <w:pPr>
              <w:pStyle w:val="Teksttabelisrodek"/>
            </w:pPr>
            <w:r w:rsidRPr="00795F17">
              <w:t>1,9</w:t>
            </w:r>
            <w:r w:rsidR="006316DC">
              <w:t xml:space="preserve"> </w:t>
            </w:r>
            <w:r w:rsidRPr="00795F17">
              <w:t>-</w:t>
            </w:r>
            <w:r w:rsidR="006316DC">
              <w:t xml:space="preserve"> </w:t>
            </w:r>
            <w:r w:rsidRPr="00795F17">
              <w:t>2,2 mm na dobę</w:t>
            </w:r>
          </w:p>
        </w:tc>
        <w:tc>
          <w:tcPr>
            <w:tcW w:w="453" w:type="pct"/>
            <w:tcBorders>
              <w:top w:val="nil"/>
              <w:left w:val="nil"/>
              <w:bottom w:val="single" w:sz="4" w:space="0" w:color="auto"/>
              <w:right w:val="single" w:sz="4" w:space="0" w:color="auto"/>
            </w:tcBorders>
            <w:shd w:val="clear" w:color="auto" w:fill="92D050"/>
            <w:vAlign w:val="center"/>
            <w:hideMark/>
          </w:tcPr>
          <w:p w14:paraId="6706AEC0" w14:textId="77777777" w:rsidR="00613B2D" w:rsidRPr="00795F17" w:rsidRDefault="00613B2D" w:rsidP="00613B2D">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066AED7F" w14:textId="09EB43B5" w:rsidR="00613B2D" w:rsidRPr="00795F17" w:rsidRDefault="00613B2D" w:rsidP="00613B2D">
            <w:pPr>
              <w:pStyle w:val="Teksttabelisrodek"/>
            </w:pPr>
            <w:r w:rsidRPr="00795F17">
              <w:t>2,0</w:t>
            </w:r>
            <w:r w:rsidR="006316DC">
              <w:t xml:space="preserve"> </w:t>
            </w:r>
            <w:r w:rsidRPr="00795F17">
              <w:t>-</w:t>
            </w:r>
            <w:r w:rsidR="006316DC">
              <w:t xml:space="preserve"> </w:t>
            </w:r>
            <w:r w:rsidRPr="00795F17">
              <w:t>2,4 mm na dobę</w:t>
            </w:r>
          </w:p>
        </w:tc>
        <w:tc>
          <w:tcPr>
            <w:tcW w:w="443" w:type="pct"/>
            <w:tcBorders>
              <w:top w:val="nil"/>
              <w:left w:val="nil"/>
              <w:bottom w:val="single" w:sz="4" w:space="0" w:color="auto"/>
              <w:right w:val="single" w:sz="4" w:space="0" w:color="auto"/>
            </w:tcBorders>
            <w:shd w:val="clear" w:color="auto" w:fill="92D050"/>
            <w:noWrap/>
            <w:vAlign w:val="center"/>
            <w:hideMark/>
          </w:tcPr>
          <w:p w14:paraId="4F25CA46" w14:textId="77777777" w:rsidR="00613B2D" w:rsidRPr="00795F17" w:rsidRDefault="00613B2D" w:rsidP="00613B2D">
            <w:pPr>
              <w:pStyle w:val="Teksttabelisrodek"/>
            </w:pPr>
            <w:r w:rsidRPr="00795F17">
              <w:t>niskie</w:t>
            </w:r>
          </w:p>
        </w:tc>
      </w:tr>
      <w:tr w:rsidR="00613B2D" w:rsidRPr="00795F17" w14:paraId="01383417" w14:textId="77777777" w:rsidTr="00613B2D">
        <w:trPr>
          <w:trHeight w:val="530"/>
        </w:trPr>
        <w:tc>
          <w:tcPr>
            <w:tcW w:w="101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8AE503C" w14:textId="77777777" w:rsidR="00613B2D" w:rsidRPr="00795F17" w:rsidRDefault="00613B2D" w:rsidP="00613B2D">
            <w:pPr>
              <w:pStyle w:val="Teksttabelilewy"/>
            </w:pPr>
            <w:r w:rsidRPr="00795F17">
              <w:t>Opady nawalne</w:t>
            </w:r>
          </w:p>
        </w:tc>
        <w:tc>
          <w:tcPr>
            <w:tcW w:w="866" w:type="pct"/>
            <w:tcBorders>
              <w:top w:val="nil"/>
              <w:left w:val="nil"/>
              <w:bottom w:val="single" w:sz="4" w:space="0" w:color="auto"/>
              <w:right w:val="single" w:sz="4" w:space="0" w:color="auto"/>
            </w:tcBorders>
            <w:shd w:val="clear" w:color="auto" w:fill="auto"/>
            <w:vAlign w:val="center"/>
            <w:hideMark/>
          </w:tcPr>
          <w:p w14:paraId="4248CEC3" w14:textId="3500806A" w:rsidR="00613B2D" w:rsidRPr="00795F17" w:rsidRDefault="00613B2D" w:rsidP="00613B2D">
            <w:pPr>
              <w:pStyle w:val="Teksttabelisrodek"/>
            </w:pPr>
            <w:r w:rsidRPr="00795F17">
              <w:t>powyżej 10 mm na dobę: 13</w:t>
            </w:r>
            <w:r w:rsidR="00E266B6">
              <w:t xml:space="preserve"> – </w:t>
            </w:r>
            <w:r w:rsidRPr="00795F17">
              <w:t>19</w:t>
            </w:r>
            <w:r w:rsidR="00E266B6">
              <w:t> </w:t>
            </w:r>
            <w:r w:rsidRPr="00795F17">
              <w:t>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7E30D4D2" w14:textId="77777777" w:rsidR="00613B2D" w:rsidRPr="00795F17" w:rsidRDefault="00613B2D" w:rsidP="00613B2D">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vAlign w:val="center"/>
            <w:hideMark/>
          </w:tcPr>
          <w:p w14:paraId="32616F28" w14:textId="77777777" w:rsidR="00613B2D" w:rsidRPr="00795F17" w:rsidRDefault="00613B2D" w:rsidP="00613B2D">
            <w:pPr>
              <w:pStyle w:val="Teksttabelisrodek"/>
            </w:pPr>
            <w:r w:rsidRPr="00795F17">
              <w:t>brak istotnej tendencji, sugerowany spadek liczby dni na zachodzie</w:t>
            </w:r>
          </w:p>
        </w:tc>
        <w:tc>
          <w:tcPr>
            <w:tcW w:w="453" w:type="pct"/>
            <w:tcBorders>
              <w:top w:val="nil"/>
              <w:left w:val="nil"/>
              <w:bottom w:val="single" w:sz="4" w:space="0" w:color="auto"/>
              <w:right w:val="single" w:sz="4" w:space="0" w:color="auto"/>
            </w:tcBorders>
            <w:shd w:val="clear" w:color="auto" w:fill="FFFF00"/>
            <w:vAlign w:val="center"/>
            <w:hideMark/>
          </w:tcPr>
          <w:p w14:paraId="5EF2168A" w14:textId="77777777" w:rsidR="00613B2D" w:rsidRPr="00795F17" w:rsidRDefault="00613B2D" w:rsidP="00613B2D">
            <w:pPr>
              <w:pStyle w:val="Teksttabelisrodek"/>
            </w:pPr>
            <w:r w:rsidRPr="00795F17">
              <w:t>średnie</w:t>
            </w:r>
          </w:p>
        </w:tc>
        <w:tc>
          <w:tcPr>
            <w:tcW w:w="884" w:type="pct"/>
            <w:tcBorders>
              <w:top w:val="nil"/>
              <w:left w:val="nil"/>
              <w:bottom w:val="single" w:sz="4" w:space="0" w:color="auto"/>
              <w:right w:val="single" w:sz="4" w:space="0" w:color="auto"/>
            </w:tcBorders>
            <w:shd w:val="clear" w:color="auto" w:fill="auto"/>
            <w:vAlign w:val="center"/>
            <w:hideMark/>
          </w:tcPr>
          <w:p w14:paraId="08579124" w14:textId="574A9F69" w:rsidR="00613B2D" w:rsidRPr="00795F17" w:rsidRDefault="00613B2D" w:rsidP="00613B2D">
            <w:pPr>
              <w:pStyle w:val="Teksttabelisrodek"/>
            </w:pPr>
            <w:r w:rsidRPr="00795F17">
              <w:t>przyrost o 1,0</w:t>
            </w:r>
            <w:r w:rsidR="006316DC">
              <w:t xml:space="preserve"> </w:t>
            </w:r>
            <w:r w:rsidRPr="00795F17">
              <w:t>-</w:t>
            </w:r>
            <w:r w:rsidR="006316DC">
              <w:t xml:space="preserve"> </w:t>
            </w:r>
            <w:r w:rsidRPr="00795F17">
              <w:t>2,3 dnia na rok</w:t>
            </w:r>
          </w:p>
        </w:tc>
        <w:tc>
          <w:tcPr>
            <w:tcW w:w="443" w:type="pct"/>
            <w:tcBorders>
              <w:top w:val="nil"/>
              <w:left w:val="nil"/>
              <w:bottom w:val="single" w:sz="4" w:space="0" w:color="auto"/>
              <w:right w:val="single" w:sz="4" w:space="0" w:color="auto"/>
            </w:tcBorders>
            <w:shd w:val="clear" w:color="auto" w:fill="FFFF00"/>
            <w:noWrap/>
            <w:vAlign w:val="center"/>
            <w:hideMark/>
          </w:tcPr>
          <w:p w14:paraId="2267BFDD" w14:textId="77777777" w:rsidR="00613B2D" w:rsidRPr="00795F17" w:rsidRDefault="00613B2D" w:rsidP="00613B2D">
            <w:pPr>
              <w:pStyle w:val="Teksttabelisrodek"/>
            </w:pPr>
            <w:r w:rsidRPr="00795F17">
              <w:t>średnie</w:t>
            </w:r>
          </w:p>
        </w:tc>
      </w:tr>
      <w:tr w:rsidR="00613B2D" w:rsidRPr="00795F17" w14:paraId="7D8D6F07" w14:textId="77777777" w:rsidTr="00613B2D">
        <w:trPr>
          <w:trHeight w:val="717"/>
        </w:trPr>
        <w:tc>
          <w:tcPr>
            <w:tcW w:w="1018" w:type="pct"/>
            <w:vMerge/>
            <w:tcBorders>
              <w:top w:val="nil"/>
              <w:left w:val="single" w:sz="4" w:space="0" w:color="auto"/>
              <w:bottom w:val="single" w:sz="4" w:space="0" w:color="auto"/>
              <w:right w:val="single" w:sz="4" w:space="0" w:color="auto"/>
            </w:tcBorders>
            <w:shd w:val="clear" w:color="auto" w:fill="auto"/>
            <w:vAlign w:val="center"/>
            <w:hideMark/>
          </w:tcPr>
          <w:p w14:paraId="64330FAC" w14:textId="77777777" w:rsidR="00613B2D" w:rsidRPr="00795F17" w:rsidRDefault="00613B2D" w:rsidP="00613B2D">
            <w:pPr>
              <w:pStyle w:val="Teksttabelilewy"/>
            </w:pPr>
          </w:p>
        </w:tc>
        <w:tc>
          <w:tcPr>
            <w:tcW w:w="866" w:type="pct"/>
            <w:tcBorders>
              <w:top w:val="single" w:sz="4" w:space="0" w:color="auto"/>
              <w:left w:val="nil"/>
              <w:bottom w:val="single" w:sz="4" w:space="0" w:color="auto"/>
              <w:right w:val="single" w:sz="4" w:space="0" w:color="auto"/>
            </w:tcBorders>
            <w:shd w:val="clear" w:color="auto" w:fill="auto"/>
            <w:vAlign w:val="center"/>
            <w:hideMark/>
          </w:tcPr>
          <w:p w14:paraId="15ED37F8" w14:textId="6F4B2CD6" w:rsidR="00613B2D" w:rsidRPr="00795F17" w:rsidRDefault="00613B2D" w:rsidP="00613B2D">
            <w:pPr>
              <w:pStyle w:val="Teksttabelisrodek"/>
            </w:pPr>
            <w:r w:rsidRPr="00795F17">
              <w:t>powyżej 20 mm na dobę: 2,7</w:t>
            </w:r>
            <w:r w:rsidR="00E266B6">
              <w:t xml:space="preserve"> </w:t>
            </w:r>
            <w:r w:rsidRPr="00795F17">
              <w:t>-</w:t>
            </w:r>
            <w:r w:rsidR="00E266B6">
              <w:t xml:space="preserve"> </w:t>
            </w:r>
            <w:r w:rsidRPr="00795F17">
              <w:t>3,7</w:t>
            </w:r>
            <w:r w:rsidR="00E266B6">
              <w:t> </w:t>
            </w:r>
            <w:r w:rsidRPr="00795F17">
              <w:t>dnia w roku</w:t>
            </w:r>
          </w:p>
        </w:tc>
        <w:tc>
          <w:tcPr>
            <w:tcW w:w="461" w:type="pct"/>
            <w:tcBorders>
              <w:top w:val="single" w:sz="4" w:space="0" w:color="auto"/>
              <w:left w:val="nil"/>
              <w:bottom w:val="single" w:sz="4" w:space="0" w:color="auto"/>
              <w:right w:val="single" w:sz="4" w:space="0" w:color="auto"/>
            </w:tcBorders>
            <w:shd w:val="clear" w:color="auto" w:fill="FFFF00"/>
            <w:noWrap/>
            <w:vAlign w:val="center"/>
            <w:hideMark/>
          </w:tcPr>
          <w:p w14:paraId="4888D50C" w14:textId="77777777" w:rsidR="00613B2D" w:rsidRPr="00795F17" w:rsidRDefault="00613B2D" w:rsidP="00613B2D">
            <w:pPr>
              <w:pStyle w:val="Teksttabelisrodek"/>
            </w:pPr>
            <w:r w:rsidRPr="00795F17">
              <w:t xml:space="preserve">średnie </w:t>
            </w:r>
          </w:p>
        </w:tc>
        <w:tc>
          <w:tcPr>
            <w:tcW w:w="875" w:type="pct"/>
            <w:tcBorders>
              <w:top w:val="single" w:sz="4" w:space="0" w:color="auto"/>
              <w:left w:val="nil"/>
              <w:bottom w:val="single" w:sz="4" w:space="0" w:color="auto"/>
              <w:right w:val="single" w:sz="4" w:space="0" w:color="auto"/>
            </w:tcBorders>
            <w:shd w:val="clear" w:color="auto" w:fill="auto"/>
            <w:vAlign w:val="center"/>
            <w:hideMark/>
          </w:tcPr>
          <w:p w14:paraId="446210CA" w14:textId="77777777" w:rsidR="00613B2D" w:rsidRPr="00795F17" w:rsidRDefault="00613B2D" w:rsidP="00613B2D">
            <w:pPr>
              <w:pStyle w:val="Teksttabelisrodek"/>
            </w:pPr>
            <w:r w:rsidRPr="00795F17">
              <w:t>brak istotnej tendencji, sugerowany spadek liczby dni na zachodzie</w:t>
            </w:r>
          </w:p>
        </w:tc>
        <w:tc>
          <w:tcPr>
            <w:tcW w:w="453" w:type="pct"/>
            <w:tcBorders>
              <w:top w:val="single" w:sz="4" w:space="0" w:color="auto"/>
              <w:left w:val="nil"/>
              <w:bottom w:val="single" w:sz="4" w:space="0" w:color="auto"/>
              <w:right w:val="single" w:sz="4" w:space="0" w:color="auto"/>
            </w:tcBorders>
            <w:shd w:val="clear" w:color="auto" w:fill="FFFF00"/>
            <w:vAlign w:val="center"/>
            <w:hideMark/>
          </w:tcPr>
          <w:p w14:paraId="012AF0A6" w14:textId="77777777" w:rsidR="00613B2D" w:rsidRPr="00795F17" w:rsidRDefault="00613B2D" w:rsidP="00613B2D">
            <w:pPr>
              <w:pStyle w:val="Teksttabelisrodek"/>
            </w:pPr>
            <w:r w:rsidRPr="00795F17">
              <w:t>średnie</w:t>
            </w:r>
          </w:p>
        </w:tc>
        <w:tc>
          <w:tcPr>
            <w:tcW w:w="884" w:type="pct"/>
            <w:tcBorders>
              <w:top w:val="single" w:sz="4" w:space="0" w:color="auto"/>
              <w:left w:val="nil"/>
              <w:bottom w:val="single" w:sz="4" w:space="0" w:color="auto"/>
              <w:right w:val="single" w:sz="4" w:space="0" w:color="auto"/>
            </w:tcBorders>
            <w:shd w:val="clear" w:color="auto" w:fill="auto"/>
            <w:vAlign w:val="center"/>
            <w:hideMark/>
          </w:tcPr>
          <w:p w14:paraId="675ECCEB" w14:textId="1A863C07" w:rsidR="00613B2D" w:rsidRPr="00795F17" w:rsidRDefault="00613B2D" w:rsidP="00613B2D">
            <w:pPr>
              <w:pStyle w:val="Teksttabelisrodek"/>
            </w:pPr>
            <w:r w:rsidRPr="00795F17">
              <w:t>przyrost o 0,2</w:t>
            </w:r>
            <w:r w:rsidR="006316DC">
              <w:t xml:space="preserve"> </w:t>
            </w:r>
            <w:r w:rsidRPr="00795F17">
              <w:t>-</w:t>
            </w:r>
            <w:r w:rsidR="006316DC">
              <w:t xml:space="preserve"> </w:t>
            </w:r>
            <w:r w:rsidRPr="00795F17">
              <w:t>0,8 dnia na rok</w:t>
            </w:r>
          </w:p>
        </w:tc>
        <w:tc>
          <w:tcPr>
            <w:tcW w:w="443" w:type="pct"/>
            <w:tcBorders>
              <w:top w:val="single" w:sz="4" w:space="0" w:color="auto"/>
              <w:left w:val="nil"/>
              <w:bottom w:val="single" w:sz="4" w:space="0" w:color="auto"/>
              <w:right w:val="single" w:sz="4" w:space="0" w:color="auto"/>
            </w:tcBorders>
            <w:shd w:val="clear" w:color="auto" w:fill="FFFF00"/>
            <w:noWrap/>
            <w:vAlign w:val="center"/>
            <w:hideMark/>
          </w:tcPr>
          <w:p w14:paraId="3AE8518D" w14:textId="77777777" w:rsidR="00613B2D" w:rsidRPr="00795F17" w:rsidRDefault="00613B2D" w:rsidP="00613B2D">
            <w:pPr>
              <w:pStyle w:val="Teksttabelisrodek"/>
            </w:pPr>
            <w:r w:rsidRPr="00795F17">
              <w:t>średnie</w:t>
            </w:r>
          </w:p>
        </w:tc>
      </w:tr>
      <w:tr w:rsidR="00613B2D" w:rsidRPr="00795F17" w14:paraId="2977420B"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35E95375" w14:textId="77777777" w:rsidR="00613B2D" w:rsidRPr="00795F17" w:rsidRDefault="00613B2D" w:rsidP="00613B2D">
            <w:pPr>
              <w:pStyle w:val="Teksttabelilewy"/>
            </w:pPr>
            <w:r w:rsidRPr="00795F17">
              <w:t>Opady i zaleganie śniegu</w:t>
            </w:r>
          </w:p>
        </w:tc>
        <w:tc>
          <w:tcPr>
            <w:tcW w:w="866" w:type="pct"/>
            <w:tcBorders>
              <w:top w:val="nil"/>
              <w:left w:val="nil"/>
              <w:bottom w:val="single" w:sz="4" w:space="0" w:color="auto"/>
              <w:right w:val="single" w:sz="4" w:space="0" w:color="auto"/>
            </w:tcBorders>
            <w:shd w:val="clear" w:color="auto" w:fill="auto"/>
            <w:vAlign w:val="center"/>
            <w:hideMark/>
          </w:tcPr>
          <w:p w14:paraId="53338958" w14:textId="3203EEC7" w:rsidR="00613B2D" w:rsidRPr="00795F17" w:rsidRDefault="00613B2D" w:rsidP="00613B2D">
            <w:pPr>
              <w:pStyle w:val="Teksttabelisrodek"/>
            </w:pPr>
            <w:r w:rsidRPr="00795F17">
              <w:t>od 30 do 45 dni rocznie z</w:t>
            </w:r>
            <w:r w:rsidR="006316DC">
              <w:t> </w:t>
            </w:r>
            <w:r w:rsidRPr="00795F17">
              <w:t>zaleganiem śniegu</w:t>
            </w:r>
          </w:p>
        </w:tc>
        <w:tc>
          <w:tcPr>
            <w:tcW w:w="461" w:type="pct"/>
            <w:tcBorders>
              <w:top w:val="nil"/>
              <w:left w:val="nil"/>
              <w:bottom w:val="single" w:sz="4" w:space="0" w:color="auto"/>
              <w:right w:val="single" w:sz="4" w:space="0" w:color="auto"/>
            </w:tcBorders>
            <w:shd w:val="clear" w:color="auto" w:fill="FFFF00"/>
            <w:noWrap/>
            <w:vAlign w:val="center"/>
            <w:hideMark/>
          </w:tcPr>
          <w:p w14:paraId="7B28C6A3" w14:textId="77777777" w:rsidR="00613B2D" w:rsidRPr="00795F17" w:rsidRDefault="00613B2D" w:rsidP="00613B2D">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vAlign w:val="center"/>
            <w:hideMark/>
          </w:tcPr>
          <w:p w14:paraId="66595AF7" w14:textId="77777777" w:rsidR="00613B2D" w:rsidRPr="00795F17" w:rsidRDefault="00613B2D" w:rsidP="00613B2D">
            <w:pPr>
              <w:pStyle w:val="Teksttabelisrodek"/>
            </w:pPr>
            <w:r w:rsidRPr="00795F17">
              <w:t>spadek liczby dni zalegania śniegu</w:t>
            </w:r>
          </w:p>
        </w:tc>
        <w:tc>
          <w:tcPr>
            <w:tcW w:w="453" w:type="pct"/>
            <w:tcBorders>
              <w:top w:val="nil"/>
              <w:left w:val="nil"/>
              <w:bottom w:val="single" w:sz="4" w:space="0" w:color="auto"/>
              <w:right w:val="single" w:sz="4" w:space="0" w:color="auto"/>
            </w:tcBorders>
            <w:shd w:val="clear" w:color="auto" w:fill="92D050"/>
            <w:vAlign w:val="center"/>
            <w:hideMark/>
          </w:tcPr>
          <w:p w14:paraId="0D03AA66" w14:textId="77777777" w:rsidR="00613B2D" w:rsidRPr="00795F17" w:rsidRDefault="00613B2D" w:rsidP="00613B2D">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60ACB769" w14:textId="77777777" w:rsidR="00613B2D" w:rsidRPr="00795F17" w:rsidRDefault="00613B2D" w:rsidP="00613B2D">
            <w:pPr>
              <w:pStyle w:val="Teksttabelisrodek"/>
            </w:pPr>
            <w:r w:rsidRPr="00795F17">
              <w:t>spadek liczby dni zalegania śniegu, możliwy brak pokrywy śnieżnej, możliwy zanik pokrywy śnieżnej</w:t>
            </w:r>
          </w:p>
        </w:tc>
        <w:tc>
          <w:tcPr>
            <w:tcW w:w="443" w:type="pct"/>
            <w:tcBorders>
              <w:top w:val="nil"/>
              <w:left w:val="nil"/>
              <w:bottom w:val="single" w:sz="4" w:space="0" w:color="auto"/>
              <w:right w:val="single" w:sz="4" w:space="0" w:color="auto"/>
            </w:tcBorders>
            <w:shd w:val="clear" w:color="auto" w:fill="92D050"/>
            <w:noWrap/>
            <w:vAlign w:val="center"/>
            <w:hideMark/>
          </w:tcPr>
          <w:p w14:paraId="5D05255D" w14:textId="77777777" w:rsidR="00613B2D" w:rsidRPr="00795F17" w:rsidRDefault="00613B2D" w:rsidP="00613B2D">
            <w:pPr>
              <w:pStyle w:val="Teksttabelisrodek"/>
            </w:pPr>
            <w:r w:rsidRPr="00795F17">
              <w:t>niskie</w:t>
            </w:r>
          </w:p>
        </w:tc>
      </w:tr>
      <w:tr w:rsidR="00613B2D" w:rsidRPr="00795F17" w14:paraId="4FAB5867"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5F2D70FE" w14:textId="77777777" w:rsidR="00613B2D" w:rsidRPr="00795F17" w:rsidRDefault="00613B2D" w:rsidP="00613B2D">
            <w:pPr>
              <w:pStyle w:val="Teksttabelilewy"/>
            </w:pPr>
            <w:r w:rsidRPr="00795F17">
              <w:t>Susza</w:t>
            </w:r>
          </w:p>
        </w:tc>
        <w:tc>
          <w:tcPr>
            <w:tcW w:w="866" w:type="pct"/>
            <w:tcBorders>
              <w:top w:val="nil"/>
              <w:left w:val="nil"/>
              <w:bottom w:val="single" w:sz="4" w:space="0" w:color="auto"/>
              <w:right w:val="single" w:sz="4" w:space="0" w:color="auto"/>
            </w:tcBorders>
            <w:shd w:val="clear" w:color="auto" w:fill="auto"/>
            <w:vAlign w:val="center"/>
            <w:hideMark/>
          </w:tcPr>
          <w:p w14:paraId="6D54A7AC" w14:textId="5BEC0476" w:rsidR="00613B2D" w:rsidRPr="00795F17" w:rsidRDefault="00613B2D" w:rsidP="00613B2D">
            <w:pPr>
              <w:pStyle w:val="Teksttabelisrodek"/>
            </w:pPr>
            <w:r w:rsidRPr="00795F17">
              <w:t>240</w:t>
            </w:r>
            <w:r w:rsidR="006316DC">
              <w:t xml:space="preserve"> </w:t>
            </w:r>
            <w:r w:rsidRPr="00795F17">
              <w:t>-</w:t>
            </w:r>
            <w:r w:rsidR="006316DC">
              <w:t xml:space="preserve"> </w:t>
            </w:r>
            <w:r w:rsidRPr="00795F17">
              <w:t>242 dni w</w:t>
            </w:r>
            <w:r w:rsidR="006316DC">
              <w:t> </w:t>
            </w:r>
            <w:r w:rsidRPr="00795F17">
              <w:t>roku</w:t>
            </w:r>
          </w:p>
        </w:tc>
        <w:tc>
          <w:tcPr>
            <w:tcW w:w="461" w:type="pct"/>
            <w:tcBorders>
              <w:top w:val="nil"/>
              <w:left w:val="nil"/>
              <w:bottom w:val="single" w:sz="4" w:space="0" w:color="auto"/>
              <w:right w:val="single" w:sz="4" w:space="0" w:color="auto"/>
            </w:tcBorders>
            <w:shd w:val="clear" w:color="auto" w:fill="FFFF00"/>
            <w:noWrap/>
            <w:vAlign w:val="center"/>
            <w:hideMark/>
          </w:tcPr>
          <w:p w14:paraId="63B164CC" w14:textId="77777777" w:rsidR="00613B2D" w:rsidRPr="00795F17" w:rsidRDefault="00613B2D" w:rsidP="00613B2D">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noWrap/>
            <w:vAlign w:val="center"/>
            <w:hideMark/>
          </w:tcPr>
          <w:p w14:paraId="2774D4EE" w14:textId="77777777" w:rsidR="00613B2D" w:rsidRPr="00795F17" w:rsidRDefault="00613B2D" w:rsidP="00613B2D">
            <w:pPr>
              <w:pStyle w:val="Teksttabelisrodek"/>
            </w:pPr>
            <w:r w:rsidRPr="00795F17">
              <w:t>prawdopodobny przyrost liczby dni, duża niepewność wyniku</w:t>
            </w:r>
          </w:p>
        </w:tc>
        <w:tc>
          <w:tcPr>
            <w:tcW w:w="453" w:type="pct"/>
            <w:tcBorders>
              <w:top w:val="nil"/>
              <w:left w:val="nil"/>
              <w:bottom w:val="single" w:sz="4" w:space="0" w:color="auto"/>
              <w:right w:val="single" w:sz="4" w:space="0" w:color="auto"/>
            </w:tcBorders>
            <w:shd w:val="clear" w:color="auto" w:fill="FFFF00"/>
            <w:vAlign w:val="center"/>
            <w:hideMark/>
          </w:tcPr>
          <w:p w14:paraId="48197ABD" w14:textId="77777777" w:rsidR="00613B2D" w:rsidRPr="00795F17" w:rsidRDefault="00613B2D" w:rsidP="00613B2D">
            <w:pPr>
              <w:pStyle w:val="Teksttabelisrodek"/>
            </w:pPr>
            <w:r w:rsidRPr="00795F17">
              <w:t>średnie</w:t>
            </w:r>
          </w:p>
        </w:tc>
        <w:tc>
          <w:tcPr>
            <w:tcW w:w="884" w:type="pct"/>
            <w:tcBorders>
              <w:top w:val="nil"/>
              <w:left w:val="nil"/>
              <w:bottom w:val="single" w:sz="4" w:space="0" w:color="auto"/>
              <w:right w:val="single" w:sz="4" w:space="0" w:color="auto"/>
            </w:tcBorders>
            <w:shd w:val="clear" w:color="auto" w:fill="auto"/>
            <w:vAlign w:val="center"/>
            <w:hideMark/>
          </w:tcPr>
          <w:p w14:paraId="14867B0E" w14:textId="0873F73D" w:rsidR="00613B2D" w:rsidRPr="00795F17" w:rsidRDefault="00613B2D" w:rsidP="00613B2D">
            <w:pPr>
              <w:pStyle w:val="Teksttabelisrodek"/>
            </w:pPr>
            <w:r w:rsidRPr="00795F17">
              <w:t>spadek o 0,4</w:t>
            </w:r>
            <w:r w:rsidR="006316DC">
              <w:t xml:space="preserve"> </w:t>
            </w:r>
            <w:r w:rsidRPr="00795F17">
              <w:t>-</w:t>
            </w:r>
            <w:r w:rsidR="006316DC">
              <w:t xml:space="preserve"> </w:t>
            </w:r>
            <w:r w:rsidRPr="00795F17">
              <w:t>1,7</w:t>
            </w:r>
            <w:r w:rsidR="006316DC">
              <w:t> </w:t>
            </w:r>
            <w:r w:rsidRPr="00795F17">
              <w:t>dnia na rok</w:t>
            </w:r>
          </w:p>
        </w:tc>
        <w:tc>
          <w:tcPr>
            <w:tcW w:w="443" w:type="pct"/>
            <w:tcBorders>
              <w:top w:val="nil"/>
              <w:left w:val="nil"/>
              <w:bottom w:val="single" w:sz="4" w:space="0" w:color="auto"/>
              <w:right w:val="single" w:sz="4" w:space="0" w:color="auto"/>
            </w:tcBorders>
            <w:shd w:val="clear" w:color="auto" w:fill="FFFF00"/>
            <w:noWrap/>
            <w:vAlign w:val="center"/>
            <w:hideMark/>
          </w:tcPr>
          <w:p w14:paraId="062B8C20" w14:textId="77777777" w:rsidR="00613B2D" w:rsidRPr="00795F17" w:rsidRDefault="00613B2D" w:rsidP="00613B2D">
            <w:pPr>
              <w:pStyle w:val="Teksttabelisrodek"/>
            </w:pPr>
            <w:r w:rsidRPr="00795F17">
              <w:t>średnie</w:t>
            </w:r>
          </w:p>
        </w:tc>
      </w:tr>
    </w:tbl>
    <w:p w14:paraId="4B338C85" w14:textId="7B6B4AC5" w:rsidR="00613B2D" w:rsidRPr="00795F17" w:rsidRDefault="00613B2D" w:rsidP="00613B2D">
      <w:pPr>
        <w:pStyle w:val="rdo"/>
      </w:pPr>
      <w:r w:rsidRPr="00795F17">
        <w:t>Źródło: opracowanie własne</w:t>
      </w:r>
    </w:p>
    <w:p w14:paraId="65C77F40" w14:textId="765F9066" w:rsidR="00421F1B" w:rsidRPr="00795F17" w:rsidRDefault="00421F1B" w:rsidP="0044393D">
      <w:pPr>
        <w:pStyle w:val="Nagwek5"/>
      </w:pPr>
      <w:r w:rsidRPr="00795F17">
        <w:t>Region wodny Warty</w:t>
      </w:r>
    </w:p>
    <w:p w14:paraId="3169A9BF" w14:textId="631C72C3" w:rsidR="00421F1B" w:rsidRPr="00795F17" w:rsidRDefault="00421F1B" w:rsidP="0044393D">
      <w:r w:rsidRPr="00795F17">
        <w:t xml:space="preserve">Prognozowane zmiany klimatu w tym regionie są silnie powiązane z lokalnymi warunkami przyrodniczymi: wyżynna część południowa regionu sprzyja szybkiemu odpływowi powierzchniowemu wody, zaś północna </w:t>
      </w:r>
      <w:r w:rsidR="000F21F2">
        <w:t>–</w:t>
      </w:r>
      <w:r w:rsidRPr="00795F17">
        <w:t xml:space="preserve"> typowo nizinna </w:t>
      </w:r>
      <w:r w:rsidR="000F21F2">
        <w:t>–</w:t>
      </w:r>
      <w:r w:rsidRPr="00795F17">
        <w:t xml:space="preserve"> charakteryzuje się odmienną strukturą obiegu wody. Zróżnicowane jest również zagospodarowanie terenu. Południowa część regionu wodnego jest silnie zurbanizowana i znajduje się pod wpływem presji przemysłowej. W środkowej części regionu usytuowana jest aglomeracja Poznania. Wymienione obszary charakteryzuje wytworzenie warunków typowych dla tzw. miejskiej wyspy ciepła, co istotnie różnicuje warunki kształtowania klimatu lokalnego przy postępującej zmianie klimatu w kraju. Konsekwencje pogodowe i klimatyczne dla</w:t>
      </w:r>
      <w:r w:rsidR="00E4591E" w:rsidRPr="00795F17">
        <w:t> </w:t>
      </w:r>
      <w:r w:rsidRPr="00795F17">
        <w:t xml:space="preserve">miejskiej wyspy ciepła już zaznaczają się w aglomeracji Poznania </w:t>
      </w:r>
      <w:r w:rsidR="00712118">
        <w:t xml:space="preserve">oraz </w:t>
      </w:r>
      <w:r w:rsidRPr="00795F17">
        <w:t>Częstochowskim Okręgu Przemysłowym. Wpływ zmian klimatu będzie miał swoje odzwierciedlenie w tego rodzaju obszarach jako następujące składowe ekstremalnych warunków klimatu w zakresie:</w:t>
      </w:r>
    </w:p>
    <w:p w14:paraId="3DA1C2A7" w14:textId="58CDE6E6" w:rsidR="00421F1B" w:rsidRPr="00795F17" w:rsidRDefault="00421F1B" w:rsidP="005635FD">
      <w:pPr>
        <w:pStyle w:val="M1"/>
        <w:numPr>
          <w:ilvl w:val="0"/>
          <w:numId w:val="118"/>
        </w:numPr>
      </w:pPr>
      <w:r w:rsidRPr="00795F17">
        <w:t xml:space="preserve">czasu trwania maksymalnej temperatury powietrza </w:t>
      </w:r>
      <w:r w:rsidR="000F21F2">
        <w:t>–</w:t>
      </w:r>
      <w:r w:rsidRPr="00795F17">
        <w:t xml:space="preserve"> wydłużenie nawet o kilka dni w</w:t>
      </w:r>
      <w:r w:rsidR="002B3E14" w:rsidRPr="00795F17">
        <w:t> </w:t>
      </w:r>
      <w:r w:rsidRPr="00795F17">
        <w:t>porównaniu do obszaru niezurbanizowanego;</w:t>
      </w:r>
    </w:p>
    <w:p w14:paraId="01B55857" w14:textId="33941F38" w:rsidR="00421F1B" w:rsidRPr="00795F17" w:rsidRDefault="00421F1B" w:rsidP="005635FD">
      <w:pPr>
        <w:pStyle w:val="M1"/>
        <w:numPr>
          <w:ilvl w:val="0"/>
          <w:numId w:val="118"/>
        </w:numPr>
      </w:pPr>
      <w:r w:rsidRPr="00795F17">
        <w:t>występowania, częstości i sum opadów: większa częstość, wyższa nawet do 10</w:t>
      </w:r>
      <w:r w:rsidR="008F295B">
        <w:t xml:space="preserve"> </w:t>
      </w:r>
      <w:r w:rsidRPr="00795F17">
        <w:t>% suma opadów, rzadsze i krótsze okresy bezopadowe;</w:t>
      </w:r>
    </w:p>
    <w:p w14:paraId="250AA2A7" w14:textId="77777777" w:rsidR="00421F1B" w:rsidRPr="00795F17" w:rsidRDefault="00421F1B" w:rsidP="005635FD">
      <w:pPr>
        <w:pStyle w:val="M1"/>
        <w:numPr>
          <w:ilvl w:val="0"/>
          <w:numId w:val="118"/>
        </w:numPr>
      </w:pPr>
      <w:r w:rsidRPr="00795F17">
        <w:t>wyższego zachmurzenia oraz częstszego występowania mgieł i zamglenia, w szczególności o charakterze smogu;</w:t>
      </w:r>
    </w:p>
    <w:p w14:paraId="240E981F" w14:textId="1348C418" w:rsidR="00421F1B" w:rsidRPr="00795F17" w:rsidRDefault="00421F1B" w:rsidP="005635FD">
      <w:pPr>
        <w:pStyle w:val="M1"/>
        <w:numPr>
          <w:ilvl w:val="0"/>
          <w:numId w:val="118"/>
        </w:numPr>
      </w:pPr>
      <w:r w:rsidRPr="00795F17">
        <w:t>wyższej średniej temperatury powietrza, wyraźnie cieplejszej chłodnej pory roku, wydłużonego nawet do 3</w:t>
      </w:r>
      <w:r w:rsidR="008F295B">
        <w:t xml:space="preserve"> </w:t>
      </w:r>
      <w:r w:rsidRPr="00795F17">
        <w:t>-</w:t>
      </w:r>
      <w:r w:rsidR="008F295B">
        <w:t xml:space="preserve"> </w:t>
      </w:r>
      <w:r w:rsidRPr="00795F17">
        <w:t>5 dni okresu wegetacyjnego.</w:t>
      </w:r>
    </w:p>
    <w:p w14:paraId="5EEE9143" w14:textId="5C283085" w:rsidR="00421F1B" w:rsidRPr="00795F17" w:rsidRDefault="00421F1B" w:rsidP="0044393D">
      <w:bookmarkStart w:id="115" w:name="_Hlk61461693"/>
      <w:r w:rsidRPr="00795F17">
        <w:t>Dla obszaru niezurbanizowanego prognozowany jest postępujący przyrost średniej temperatury powietrza oraz szybkie ocieplanie się chłodnej pory roku, co będzie skutkować przede wszystkim skróceniem czasu występowania oraz zanikaniem pokrywy śnieżnej</w:t>
      </w:r>
      <w:bookmarkEnd w:id="115"/>
      <w:r w:rsidRPr="00795F17">
        <w:t xml:space="preserve">. W konsekwencji dojdzie do modyfikacji struktury opadów </w:t>
      </w:r>
      <w:r w:rsidR="000F21F2">
        <w:t>–</w:t>
      </w:r>
      <w:r w:rsidRPr="00795F17">
        <w:t xml:space="preserve"> wydłużenia opadów deszczu oraz drastycznego skrócenia liczby dni z opadem śniegu w ciągu roku. Z hydrologicznego punktu widzenia spowoduje to prawdopodobnie postępującą zmianę ustroju hydrologicznego Warty. W regionach Środkowej Odry </w:t>
      </w:r>
      <w:r w:rsidR="00E90461">
        <w:t>oraz</w:t>
      </w:r>
      <w:r w:rsidRPr="00795F17">
        <w:t xml:space="preserve"> Warty będą utrzymane bardzo zbliżone tendencje zmian klimatu, w formie nieco chłodniejszej w północnej części regionu. Jedną z najistotniejszych różnic jest spadek sumy opadu w północnej części i ogólna tendencja do przyrostu liczby dni bezopadowych.</w:t>
      </w:r>
    </w:p>
    <w:p w14:paraId="0147936E" w14:textId="05958647" w:rsidR="00421F1B" w:rsidRPr="00795F17" w:rsidRDefault="00421F1B" w:rsidP="0044393D">
      <w:r w:rsidRPr="00795F17">
        <w:t>Charakterystykę zmian warunków klimatycznych w regionie zestawiono w tabeli</w:t>
      </w:r>
      <w:r w:rsidR="003C4376" w:rsidRPr="00795F17">
        <w:t xml:space="preserve"> 4-</w:t>
      </w:r>
      <w:r w:rsidR="00613B2D" w:rsidRPr="00795F17">
        <w:t>4</w:t>
      </w:r>
      <w:r w:rsidRPr="00795F17">
        <w:t>. Uwagę zwraca relatywna stabilność warunków klimatycznych przypadających na najbliższy cykl klimatyczny. W skali regionu wodnego narastająca presja wynikająca z postępującej zmiany klimatu będzie się w</w:t>
      </w:r>
      <w:r w:rsidR="002B3E14" w:rsidRPr="00795F17">
        <w:t xml:space="preserve"> </w:t>
      </w:r>
      <w:r w:rsidRPr="00795F17">
        <w:t>głównej mierze koncentrować w obrębie południowej części regionu. Obszar nizinny charakteryzuje prognoza długoterminowa, która nie wskazuje ekstremalnego przyspieszenia zmian.</w:t>
      </w:r>
    </w:p>
    <w:p w14:paraId="31EF9F81" w14:textId="42E7CDE0" w:rsidR="00421F1B" w:rsidRPr="00795F17" w:rsidRDefault="00421F1B" w:rsidP="004D7705">
      <w:pPr>
        <w:pStyle w:val="Tabela"/>
        <w:rPr>
          <w:i/>
        </w:rPr>
      </w:pPr>
      <w:bookmarkStart w:id="116" w:name="_Toc66341853"/>
      <w:bookmarkStart w:id="117" w:name="_Toc105512763"/>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1F774D">
        <w:rPr>
          <w:bCs/>
          <w:noProof/>
        </w:rPr>
        <w:t>4</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1F774D">
        <w:rPr>
          <w:bCs/>
          <w:noProof/>
        </w:rPr>
        <w:t>4</w:t>
      </w:r>
      <w:r w:rsidR="00BB3B21" w:rsidRPr="00795F17">
        <w:rPr>
          <w:bCs/>
        </w:rPr>
        <w:fldChar w:fldCharType="end"/>
      </w:r>
      <w:r w:rsidR="00BA11D4">
        <w:rPr>
          <w:bCs/>
        </w:rPr>
        <w:t>.</w:t>
      </w:r>
      <w:r w:rsidRPr="00795F17">
        <w:rPr>
          <w:bCs/>
        </w:rPr>
        <w:tab/>
      </w:r>
      <w:r w:rsidRPr="00795F17">
        <w:t xml:space="preserve">Charakterystyka klimatyczna </w:t>
      </w:r>
      <w:r w:rsidR="00F618CE">
        <w:t>–</w:t>
      </w:r>
      <w:r w:rsidRPr="00795F17">
        <w:t xml:space="preserve"> obszar dorzecza Odry </w:t>
      </w:r>
      <w:r w:rsidR="00B21FC5">
        <w:t>–</w:t>
      </w:r>
      <w:r w:rsidRPr="00795F17">
        <w:t xml:space="preserve"> region wodny Warty</w:t>
      </w:r>
      <w:bookmarkEnd w:id="116"/>
      <w:bookmarkEnd w:id="117"/>
    </w:p>
    <w:tbl>
      <w:tblPr>
        <w:tblW w:w="5000" w:type="pct"/>
        <w:tblLayout w:type="fixed"/>
        <w:tblCellMar>
          <w:left w:w="70" w:type="dxa"/>
          <w:right w:w="70" w:type="dxa"/>
        </w:tblCellMar>
        <w:tblLook w:val="04A0" w:firstRow="1" w:lastRow="0" w:firstColumn="1" w:lastColumn="0" w:noHBand="0" w:noVBand="1"/>
      </w:tblPr>
      <w:tblGrid>
        <w:gridCol w:w="1846"/>
        <w:gridCol w:w="1425"/>
        <w:gridCol w:w="981"/>
        <w:gridCol w:w="1443"/>
        <w:gridCol w:w="962"/>
        <w:gridCol w:w="1459"/>
        <w:gridCol w:w="946"/>
      </w:tblGrid>
      <w:tr w:rsidR="00421F1B" w:rsidRPr="00795F17" w14:paraId="06407488" w14:textId="77777777" w:rsidTr="00BD6510">
        <w:trPr>
          <w:cantSplit/>
          <w:trHeight w:val="1776"/>
          <w:tblHeader/>
        </w:trPr>
        <w:tc>
          <w:tcPr>
            <w:tcW w:w="101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0C6E8B6" w14:textId="77777777" w:rsidR="00421F1B" w:rsidRPr="00795F17" w:rsidRDefault="00421F1B" w:rsidP="0044393D">
            <w:pPr>
              <w:pStyle w:val="Teksttabelinaglowek"/>
            </w:pPr>
            <w:r w:rsidRPr="00795F17">
              <w:t>Czynnik</w:t>
            </w:r>
          </w:p>
        </w:tc>
        <w:tc>
          <w:tcPr>
            <w:tcW w:w="78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79DA7314" w14:textId="5B380388" w:rsidR="00421F1B" w:rsidRPr="00795F17" w:rsidRDefault="00421F1B" w:rsidP="002941D2">
            <w:pPr>
              <w:pStyle w:val="Teksttabelinaglowek"/>
              <w:ind w:left="57"/>
              <w:jc w:val="left"/>
              <w:rPr>
                <w:rFonts w:cstheme="minorHAnsi"/>
              </w:rPr>
            </w:pPr>
            <w:r w:rsidRPr="00795F17">
              <w:t>Skala zjawiska w</w:t>
            </w:r>
            <w:r w:rsidR="007F08A4">
              <w:t> </w:t>
            </w:r>
            <w:r w:rsidRPr="00795F17">
              <w:t>bieżącym cyklu planistycznym</w:t>
            </w:r>
          </w:p>
        </w:tc>
        <w:tc>
          <w:tcPr>
            <w:tcW w:w="54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4C7DD06F" w14:textId="77777777" w:rsidR="00421F1B" w:rsidRPr="00795F17" w:rsidRDefault="00421F1B" w:rsidP="002941D2">
            <w:pPr>
              <w:pStyle w:val="Teksttabelinaglowek"/>
              <w:ind w:left="57"/>
              <w:jc w:val="left"/>
              <w:rPr>
                <w:rFonts w:cstheme="minorHAnsi"/>
              </w:rPr>
            </w:pPr>
            <w:r w:rsidRPr="00795F17">
              <w:t>Dotychczasowe narażenie</w:t>
            </w:r>
          </w:p>
        </w:tc>
        <w:tc>
          <w:tcPr>
            <w:tcW w:w="79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11B20A12" w14:textId="0EEC6CFF" w:rsidR="00421F1B" w:rsidRPr="00795F17" w:rsidRDefault="00421F1B" w:rsidP="002941D2">
            <w:pPr>
              <w:pStyle w:val="Teksttabelinaglowek"/>
              <w:ind w:left="57"/>
              <w:jc w:val="left"/>
              <w:rPr>
                <w:rFonts w:cstheme="minorHAnsi"/>
              </w:rPr>
            </w:pPr>
            <w:r w:rsidRPr="00795F17">
              <w:t>Zmiany klimatu do</w:t>
            </w:r>
            <w:r w:rsidR="007F08A4">
              <w:t> </w:t>
            </w:r>
            <w:r w:rsidRPr="00795F17">
              <w:t>2030 r.</w:t>
            </w:r>
          </w:p>
        </w:tc>
        <w:tc>
          <w:tcPr>
            <w:tcW w:w="53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7638FC8C" w14:textId="77777777" w:rsidR="00421F1B" w:rsidRPr="00795F17" w:rsidRDefault="00421F1B" w:rsidP="002941D2">
            <w:pPr>
              <w:pStyle w:val="Teksttabelinaglowek"/>
              <w:ind w:left="57"/>
              <w:jc w:val="left"/>
              <w:rPr>
                <w:rFonts w:cstheme="minorHAnsi"/>
              </w:rPr>
            </w:pPr>
            <w:r w:rsidRPr="00795F17">
              <w:t xml:space="preserve">Przyszłe narażenie </w:t>
            </w:r>
            <w:r w:rsidRPr="00795F17">
              <w:br/>
              <w:t>(do 2030 r</w:t>
            </w:r>
            <w:r w:rsidRPr="00795F17">
              <w:rPr>
                <w:rFonts w:cstheme="minorHAnsi"/>
              </w:rPr>
              <w:t>.)</w:t>
            </w:r>
          </w:p>
        </w:tc>
        <w:tc>
          <w:tcPr>
            <w:tcW w:w="805"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033D86EA" w14:textId="1F1E3E64" w:rsidR="00421F1B" w:rsidRPr="00795F17" w:rsidRDefault="00421F1B" w:rsidP="002941D2">
            <w:pPr>
              <w:pStyle w:val="Teksttabelinaglowek"/>
              <w:ind w:left="57"/>
              <w:jc w:val="left"/>
            </w:pPr>
            <w:r w:rsidRPr="00795F17">
              <w:t>Zmiany klimatu do</w:t>
            </w:r>
            <w:r w:rsidR="007F08A4">
              <w:t> </w:t>
            </w:r>
            <w:r w:rsidRPr="00795F17">
              <w:t>2100 r.</w:t>
            </w:r>
          </w:p>
        </w:tc>
        <w:tc>
          <w:tcPr>
            <w:tcW w:w="522"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6A6D82D1" w14:textId="77777777" w:rsidR="00421F1B" w:rsidRPr="00795F17" w:rsidRDefault="00421F1B" w:rsidP="002941D2">
            <w:pPr>
              <w:pStyle w:val="Teksttabelinaglowek"/>
              <w:ind w:left="57"/>
              <w:jc w:val="left"/>
              <w:rPr>
                <w:rFonts w:cstheme="minorHAnsi"/>
              </w:rPr>
            </w:pPr>
            <w:r w:rsidRPr="00795F17">
              <w:t xml:space="preserve">Przyszłe narażenie </w:t>
            </w:r>
            <w:r w:rsidRPr="00795F17">
              <w:br/>
              <w:t>(do 2100 r.)</w:t>
            </w:r>
          </w:p>
        </w:tc>
      </w:tr>
      <w:tr w:rsidR="00421F1B" w:rsidRPr="00795F17" w14:paraId="5B415CE7"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1C33F66" w14:textId="77777777" w:rsidR="00421F1B" w:rsidRPr="00795F17" w:rsidRDefault="00421F1B" w:rsidP="0044393D">
            <w:pPr>
              <w:pStyle w:val="Teksttabelilewy"/>
            </w:pPr>
            <w:r w:rsidRPr="00795F17">
              <w:t>Średnia temperatura powietrza</w:t>
            </w:r>
          </w:p>
        </w:tc>
        <w:tc>
          <w:tcPr>
            <w:tcW w:w="786" w:type="pct"/>
            <w:tcBorders>
              <w:top w:val="nil"/>
              <w:left w:val="nil"/>
              <w:bottom w:val="single" w:sz="4" w:space="0" w:color="auto"/>
              <w:right w:val="single" w:sz="4" w:space="0" w:color="auto"/>
            </w:tcBorders>
            <w:shd w:val="clear" w:color="auto" w:fill="auto"/>
            <w:noWrap/>
            <w:vAlign w:val="center"/>
            <w:hideMark/>
          </w:tcPr>
          <w:p w14:paraId="6A641C85" w14:textId="43CBDB2C" w:rsidR="00421F1B" w:rsidRPr="00795F17" w:rsidRDefault="00421F1B" w:rsidP="0065243A">
            <w:pPr>
              <w:pStyle w:val="Teksttabelisrodek"/>
            </w:pPr>
            <w:r w:rsidRPr="00795F17">
              <w:t>8,7</w:t>
            </w:r>
            <w:r w:rsidR="00E40955">
              <w:t xml:space="preserve"> </w:t>
            </w:r>
            <w:r w:rsidRPr="00795F17">
              <w:t>-</w:t>
            </w:r>
            <w:r w:rsidR="00E40955">
              <w:t xml:space="preserve"> </w:t>
            </w:r>
            <w:r w:rsidRPr="00795F17">
              <w:t>9,6°C</w:t>
            </w:r>
          </w:p>
        </w:tc>
        <w:tc>
          <w:tcPr>
            <w:tcW w:w="541" w:type="pct"/>
            <w:tcBorders>
              <w:top w:val="nil"/>
              <w:left w:val="nil"/>
              <w:bottom w:val="single" w:sz="4" w:space="0" w:color="auto"/>
              <w:right w:val="single" w:sz="4" w:space="0" w:color="auto"/>
            </w:tcBorders>
            <w:shd w:val="clear" w:color="auto" w:fill="92D050"/>
            <w:noWrap/>
            <w:vAlign w:val="center"/>
            <w:hideMark/>
          </w:tcPr>
          <w:p w14:paraId="1DA70CE2" w14:textId="77777777" w:rsidR="00421F1B" w:rsidRPr="00795F17" w:rsidRDefault="00421F1B" w:rsidP="0065243A">
            <w:pPr>
              <w:pStyle w:val="Teksttabelisrodek"/>
            </w:pPr>
            <w:r w:rsidRPr="00795F17">
              <w:t>niskie</w:t>
            </w:r>
          </w:p>
        </w:tc>
        <w:tc>
          <w:tcPr>
            <w:tcW w:w="796" w:type="pct"/>
            <w:tcBorders>
              <w:top w:val="nil"/>
              <w:left w:val="nil"/>
              <w:bottom w:val="single" w:sz="4" w:space="0" w:color="auto"/>
              <w:right w:val="single" w:sz="4" w:space="0" w:color="auto"/>
            </w:tcBorders>
            <w:shd w:val="clear" w:color="auto" w:fill="auto"/>
            <w:noWrap/>
            <w:vAlign w:val="center"/>
            <w:hideMark/>
          </w:tcPr>
          <w:p w14:paraId="2CA60987" w14:textId="7EBBE4FE" w:rsidR="00421F1B" w:rsidRPr="00795F17" w:rsidRDefault="00421F1B" w:rsidP="0065243A">
            <w:pPr>
              <w:pStyle w:val="Teksttabelisrodek"/>
            </w:pPr>
            <w:r w:rsidRPr="00795F17">
              <w:t>wzrost o 0,1°C</w:t>
            </w:r>
          </w:p>
        </w:tc>
        <w:tc>
          <w:tcPr>
            <w:tcW w:w="531" w:type="pct"/>
            <w:tcBorders>
              <w:top w:val="nil"/>
              <w:left w:val="nil"/>
              <w:bottom w:val="single" w:sz="4" w:space="0" w:color="auto"/>
              <w:right w:val="single" w:sz="4" w:space="0" w:color="auto"/>
            </w:tcBorders>
            <w:shd w:val="clear" w:color="auto" w:fill="92D050"/>
            <w:vAlign w:val="center"/>
            <w:hideMark/>
          </w:tcPr>
          <w:p w14:paraId="78C84832"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3686A34C" w14:textId="3ADF8E75" w:rsidR="00421F1B" w:rsidRPr="00795F17" w:rsidRDefault="00421F1B" w:rsidP="0065243A">
            <w:pPr>
              <w:pStyle w:val="Teksttabelisrodek"/>
            </w:pPr>
            <w:r w:rsidRPr="00795F17">
              <w:t>wzrost o 1,4</w:t>
            </w:r>
            <w:r w:rsidR="00763716">
              <w:t xml:space="preserve"> </w:t>
            </w:r>
            <w:r w:rsidRPr="00795F17">
              <w:t>-</w:t>
            </w:r>
            <w:r w:rsidR="00763716">
              <w:t xml:space="preserve"> </w:t>
            </w:r>
            <w:r w:rsidRPr="00795F17">
              <w:t>1,5°C</w:t>
            </w:r>
          </w:p>
        </w:tc>
        <w:tc>
          <w:tcPr>
            <w:tcW w:w="522" w:type="pct"/>
            <w:tcBorders>
              <w:top w:val="nil"/>
              <w:left w:val="nil"/>
              <w:bottom w:val="single" w:sz="4" w:space="0" w:color="auto"/>
              <w:right w:val="single" w:sz="4" w:space="0" w:color="auto"/>
            </w:tcBorders>
            <w:shd w:val="clear" w:color="auto" w:fill="92D050"/>
            <w:noWrap/>
            <w:vAlign w:val="center"/>
            <w:hideMark/>
          </w:tcPr>
          <w:p w14:paraId="66335B45" w14:textId="77777777" w:rsidR="00421F1B" w:rsidRPr="00795F17" w:rsidRDefault="00421F1B" w:rsidP="0065243A">
            <w:pPr>
              <w:pStyle w:val="Teksttabelisrodek"/>
            </w:pPr>
            <w:r w:rsidRPr="00795F17">
              <w:t>niskie</w:t>
            </w:r>
          </w:p>
        </w:tc>
      </w:tr>
      <w:tr w:rsidR="00421F1B" w:rsidRPr="00795F17" w14:paraId="04171918"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595E6E7" w14:textId="77777777" w:rsidR="00421F1B" w:rsidRPr="00795F17" w:rsidRDefault="00421F1B" w:rsidP="0044393D">
            <w:pPr>
              <w:pStyle w:val="Teksttabelilewy"/>
            </w:pPr>
            <w:r w:rsidRPr="00795F17">
              <w:t xml:space="preserve">Roczna amplituda temperatury powietrza okresu ciepłego </w:t>
            </w:r>
          </w:p>
        </w:tc>
        <w:tc>
          <w:tcPr>
            <w:tcW w:w="786" w:type="pct"/>
            <w:tcBorders>
              <w:top w:val="nil"/>
              <w:left w:val="nil"/>
              <w:bottom w:val="single" w:sz="4" w:space="0" w:color="auto"/>
              <w:right w:val="single" w:sz="4" w:space="0" w:color="auto"/>
            </w:tcBorders>
            <w:shd w:val="clear" w:color="auto" w:fill="auto"/>
            <w:noWrap/>
            <w:vAlign w:val="center"/>
            <w:hideMark/>
          </w:tcPr>
          <w:p w14:paraId="12C815B8" w14:textId="664C4E4E" w:rsidR="00421F1B" w:rsidRPr="00795F17" w:rsidRDefault="00421F1B" w:rsidP="0065243A">
            <w:pPr>
              <w:pStyle w:val="Teksttabelisrodek"/>
            </w:pPr>
            <w:r w:rsidRPr="00795F17">
              <w:t>7</w:t>
            </w:r>
            <w:r w:rsidR="00E40955">
              <w:t xml:space="preserve"> – </w:t>
            </w:r>
            <w:r w:rsidRPr="00795F17">
              <w:t>9°C</w:t>
            </w:r>
          </w:p>
        </w:tc>
        <w:tc>
          <w:tcPr>
            <w:tcW w:w="541" w:type="pct"/>
            <w:tcBorders>
              <w:top w:val="nil"/>
              <w:left w:val="nil"/>
              <w:bottom w:val="single" w:sz="4" w:space="0" w:color="auto"/>
              <w:right w:val="single" w:sz="4" w:space="0" w:color="auto"/>
            </w:tcBorders>
            <w:shd w:val="clear" w:color="auto" w:fill="FFFF00"/>
            <w:noWrap/>
            <w:vAlign w:val="center"/>
            <w:hideMark/>
          </w:tcPr>
          <w:p w14:paraId="20F5F99B" w14:textId="77777777" w:rsidR="00421F1B" w:rsidRPr="00795F17" w:rsidRDefault="00421F1B" w:rsidP="0065243A">
            <w:pPr>
              <w:pStyle w:val="Teksttabelisrodek"/>
            </w:pPr>
            <w:r w:rsidRPr="00795F17">
              <w:t xml:space="preserve">średnie </w:t>
            </w:r>
          </w:p>
        </w:tc>
        <w:tc>
          <w:tcPr>
            <w:tcW w:w="796" w:type="pct"/>
            <w:tcBorders>
              <w:top w:val="nil"/>
              <w:left w:val="nil"/>
              <w:bottom w:val="single" w:sz="4" w:space="0" w:color="auto"/>
              <w:right w:val="single" w:sz="4" w:space="0" w:color="auto"/>
            </w:tcBorders>
            <w:shd w:val="clear" w:color="auto" w:fill="auto"/>
            <w:noWrap/>
            <w:vAlign w:val="center"/>
            <w:hideMark/>
          </w:tcPr>
          <w:p w14:paraId="177566E8" w14:textId="798E6B77" w:rsidR="00421F1B" w:rsidRPr="00795F17" w:rsidRDefault="00421F1B" w:rsidP="0065243A">
            <w:pPr>
              <w:pStyle w:val="Teksttabelisrodek"/>
            </w:pPr>
            <w:r w:rsidRPr="00795F17">
              <w:t>spadek o 0,5°C</w:t>
            </w:r>
          </w:p>
        </w:tc>
        <w:tc>
          <w:tcPr>
            <w:tcW w:w="531" w:type="pct"/>
            <w:tcBorders>
              <w:top w:val="nil"/>
              <w:left w:val="nil"/>
              <w:bottom w:val="single" w:sz="4" w:space="0" w:color="auto"/>
              <w:right w:val="single" w:sz="4" w:space="0" w:color="auto"/>
            </w:tcBorders>
            <w:shd w:val="clear" w:color="auto" w:fill="92D050"/>
            <w:vAlign w:val="center"/>
            <w:hideMark/>
          </w:tcPr>
          <w:p w14:paraId="0DF9A395"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3D0541AD" w14:textId="38FDE882" w:rsidR="00421F1B" w:rsidRPr="00795F17" w:rsidRDefault="00421F1B" w:rsidP="0065243A">
            <w:pPr>
              <w:pStyle w:val="Teksttabelisrodek"/>
            </w:pPr>
            <w:r w:rsidRPr="00795F17">
              <w:t>spadek o 2°C</w:t>
            </w:r>
          </w:p>
        </w:tc>
        <w:tc>
          <w:tcPr>
            <w:tcW w:w="522" w:type="pct"/>
            <w:tcBorders>
              <w:top w:val="nil"/>
              <w:left w:val="nil"/>
              <w:bottom w:val="single" w:sz="4" w:space="0" w:color="auto"/>
              <w:right w:val="single" w:sz="4" w:space="0" w:color="auto"/>
            </w:tcBorders>
            <w:shd w:val="clear" w:color="auto" w:fill="92D050"/>
            <w:noWrap/>
            <w:vAlign w:val="center"/>
            <w:hideMark/>
          </w:tcPr>
          <w:p w14:paraId="0DB56CAE" w14:textId="77777777" w:rsidR="00421F1B" w:rsidRPr="00795F17" w:rsidRDefault="00421F1B" w:rsidP="0065243A">
            <w:pPr>
              <w:pStyle w:val="Teksttabelisrodek"/>
            </w:pPr>
            <w:r w:rsidRPr="00795F17">
              <w:t xml:space="preserve">niskie </w:t>
            </w:r>
          </w:p>
        </w:tc>
      </w:tr>
      <w:tr w:rsidR="00421F1B" w:rsidRPr="00795F17" w14:paraId="1E785AAA"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52A64F2" w14:textId="77777777" w:rsidR="00421F1B" w:rsidRPr="00795F17" w:rsidRDefault="00421F1B" w:rsidP="0044393D">
            <w:pPr>
              <w:pStyle w:val="Teksttabelilewy"/>
            </w:pPr>
            <w:r w:rsidRPr="00795F17">
              <w:t>Roczna amplituda temperatury powietrza okresu chłodnego</w:t>
            </w:r>
          </w:p>
        </w:tc>
        <w:tc>
          <w:tcPr>
            <w:tcW w:w="786" w:type="pct"/>
            <w:tcBorders>
              <w:top w:val="nil"/>
              <w:left w:val="nil"/>
              <w:bottom w:val="single" w:sz="4" w:space="0" w:color="auto"/>
              <w:right w:val="single" w:sz="4" w:space="0" w:color="auto"/>
            </w:tcBorders>
            <w:shd w:val="clear" w:color="auto" w:fill="auto"/>
            <w:noWrap/>
            <w:vAlign w:val="center"/>
            <w:hideMark/>
          </w:tcPr>
          <w:p w14:paraId="466F465F" w14:textId="316E77E6" w:rsidR="00421F1B" w:rsidRPr="00795F17" w:rsidRDefault="00421F1B" w:rsidP="0065243A">
            <w:pPr>
              <w:pStyle w:val="Teksttabelisrodek"/>
            </w:pPr>
            <w:r w:rsidRPr="00795F17">
              <w:t>5°C</w:t>
            </w:r>
          </w:p>
        </w:tc>
        <w:tc>
          <w:tcPr>
            <w:tcW w:w="541" w:type="pct"/>
            <w:tcBorders>
              <w:top w:val="nil"/>
              <w:left w:val="nil"/>
              <w:bottom w:val="single" w:sz="4" w:space="0" w:color="auto"/>
              <w:right w:val="single" w:sz="4" w:space="0" w:color="auto"/>
            </w:tcBorders>
            <w:shd w:val="clear" w:color="auto" w:fill="92D050"/>
            <w:noWrap/>
            <w:vAlign w:val="center"/>
            <w:hideMark/>
          </w:tcPr>
          <w:p w14:paraId="35EB75AA" w14:textId="77777777" w:rsidR="00421F1B" w:rsidRPr="00795F17" w:rsidRDefault="00421F1B" w:rsidP="0065243A">
            <w:pPr>
              <w:pStyle w:val="Teksttabelisrodek"/>
            </w:pPr>
            <w:r w:rsidRPr="00795F17">
              <w:t xml:space="preserve">niskie </w:t>
            </w:r>
          </w:p>
        </w:tc>
        <w:tc>
          <w:tcPr>
            <w:tcW w:w="796" w:type="pct"/>
            <w:tcBorders>
              <w:top w:val="nil"/>
              <w:left w:val="nil"/>
              <w:bottom w:val="single" w:sz="4" w:space="0" w:color="auto"/>
              <w:right w:val="single" w:sz="4" w:space="0" w:color="auto"/>
            </w:tcBorders>
            <w:shd w:val="clear" w:color="auto" w:fill="auto"/>
            <w:noWrap/>
            <w:vAlign w:val="center"/>
            <w:hideMark/>
          </w:tcPr>
          <w:p w14:paraId="250DDBB8" w14:textId="23A9C52D" w:rsidR="00421F1B" w:rsidRPr="00795F17" w:rsidRDefault="00421F1B" w:rsidP="0065243A">
            <w:pPr>
              <w:pStyle w:val="Teksttabelisrodek"/>
            </w:pPr>
            <w:r w:rsidRPr="00795F17">
              <w:t>spadek o 1,2</w:t>
            </w:r>
            <w:r w:rsidR="00E40955">
              <w:t xml:space="preserve"> </w:t>
            </w:r>
            <w:r w:rsidRPr="00795F17">
              <w:t>-</w:t>
            </w:r>
            <w:r w:rsidR="00E40955">
              <w:t xml:space="preserve"> </w:t>
            </w:r>
            <w:r w:rsidRPr="00795F17">
              <w:t>2,0°C</w:t>
            </w:r>
          </w:p>
        </w:tc>
        <w:tc>
          <w:tcPr>
            <w:tcW w:w="531" w:type="pct"/>
            <w:tcBorders>
              <w:top w:val="nil"/>
              <w:left w:val="nil"/>
              <w:bottom w:val="single" w:sz="4" w:space="0" w:color="auto"/>
              <w:right w:val="single" w:sz="4" w:space="0" w:color="auto"/>
            </w:tcBorders>
            <w:shd w:val="clear" w:color="auto" w:fill="92D050"/>
            <w:vAlign w:val="center"/>
            <w:hideMark/>
          </w:tcPr>
          <w:p w14:paraId="1FB2D6F8" w14:textId="77777777" w:rsidR="00421F1B" w:rsidRPr="00795F17" w:rsidRDefault="00421F1B" w:rsidP="0065243A">
            <w:pPr>
              <w:pStyle w:val="Teksttabelisrodek"/>
            </w:pPr>
            <w:r w:rsidRPr="00795F17">
              <w:t xml:space="preserve">niskie </w:t>
            </w:r>
          </w:p>
        </w:tc>
        <w:tc>
          <w:tcPr>
            <w:tcW w:w="805" w:type="pct"/>
            <w:tcBorders>
              <w:top w:val="nil"/>
              <w:left w:val="nil"/>
              <w:bottom w:val="single" w:sz="4" w:space="0" w:color="auto"/>
              <w:right w:val="single" w:sz="4" w:space="0" w:color="auto"/>
            </w:tcBorders>
            <w:shd w:val="clear" w:color="auto" w:fill="auto"/>
            <w:vAlign w:val="center"/>
            <w:hideMark/>
          </w:tcPr>
          <w:p w14:paraId="2AEDB99E" w14:textId="511D2C10" w:rsidR="00421F1B" w:rsidRPr="00795F17" w:rsidRDefault="00421F1B" w:rsidP="0065243A">
            <w:pPr>
              <w:pStyle w:val="Teksttabelisrodek"/>
            </w:pPr>
            <w:r w:rsidRPr="00795F17">
              <w:t>spadek o 3°C</w:t>
            </w:r>
          </w:p>
        </w:tc>
        <w:tc>
          <w:tcPr>
            <w:tcW w:w="522" w:type="pct"/>
            <w:tcBorders>
              <w:top w:val="nil"/>
              <w:left w:val="nil"/>
              <w:bottom w:val="single" w:sz="4" w:space="0" w:color="auto"/>
              <w:right w:val="single" w:sz="4" w:space="0" w:color="auto"/>
            </w:tcBorders>
            <w:shd w:val="clear" w:color="auto" w:fill="92D050"/>
            <w:noWrap/>
            <w:vAlign w:val="center"/>
            <w:hideMark/>
          </w:tcPr>
          <w:p w14:paraId="7CF6ADD9" w14:textId="77777777" w:rsidR="00421F1B" w:rsidRPr="00795F17" w:rsidRDefault="00421F1B" w:rsidP="0065243A">
            <w:pPr>
              <w:pStyle w:val="Teksttabelisrodek"/>
            </w:pPr>
            <w:r w:rsidRPr="00795F17">
              <w:t xml:space="preserve">niskie </w:t>
            </w:r>
          </w:p>
        </w:tc>
      </w:tr>
      <w:tr w:rsidR="00421F1B" w:rsidRPr="00795F17" w14:paraId="3D0734C5"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A3AF6EA" w14:textId="77777777" w:rsidR="00421F1B" w:rsidRPr="00795F17" w:rsidRDefault="00421F1B" w:rsidP="0044393D">
            <w:pPr>
              <w:pStyle w:val="Teksttabelilewy"/>
            </w:pPr>
            <w:r w:rsidRPr="00795F17">
              <w:t>Roczna suma opadów</w:t>
            </w:r>
          </w:p>
        </w:tc>
        <w:tc>
          <w:tcPr>
            <w:tcW w:w="786" w:type="pct"/>
            <w:tcBorders>
              <w:top w:val="nil"/>
              <w:left w:val="nil"/>
              <w:bottom w:val="single" w:sz="4" w:space="0" w:color="auto"/>
              <w:right w:val="single" w:sz="4" w:space="0" w:color="auto"/>
            </w:tcBorders>
            <w:shd w:val="clear" w:color="auto" w:fill="auto"/>
            <w:noWrap/>
            <w:vAlign w:val="center"/>
            <w:hideMark/>
          </w:tcPr>
          <w:p w14:paraId="131F299B" w14:textId="53F48869" w:rsidR="00421F1B" w:rsidRPr="00795F17" w:rsidRDefault="00421F1B" w:rsidP="0065243A">
            <w:pPr>
              <w:pStyle w:val="Teksttabelisrodek"/>
            </w:pPr>
            <w:r w:rsidRPr="00795F17">
              <w:t>60</w:t>
            </w:r>
            <w:r w:rsidR="00E40955">
              <w:t xml:space="preserve"> </w:t>
            </w:r>
            <w:r w:rsidRPr="00795F17">
              <w:t>-</w:t>
            </w:r>
            <w:r w:rsidR="00E40955">
              <w:t xml:space="preserve"> </w:t>
            </w:r>
            <w:r w:rsidRPr="00795F17">
              <w:t>780 mm/rok</w:t>
            </w:r>
          </w:p>
        </w:tc>
        <w:tc>
          <w:tcPr>
            <w:tcW w:w="541" w:type="pct"/>
            <w:tcBorders>
              <w:top w:val="nil"/>
              <w:left w:val="nil"/>
              <w:bottom w:val="single" w:sz="4" w:space="0" w:color="auto"/>
              <w:right w:val="single" w:sz="4" w:space="0" w:color="auto"/>
            </w:tcBorders>
            <w:shd w:val="clear" w:color="auto" w:fill="92D050"/>
            <w:noWrap/>
            <w:vAlign w:val="center"/>
            <w:hideMark/>
          </w:tcPr>
          <w:p w14:paraId="2D8BD46F" w14:textId="77777777" w:rsidR="00421F1B" w:rsidRPr="00795F17" w:rsidRDefault="00421F1B" w:rsidP="0065243A">
            <w:pPr>
              <w:pStyle w:val="Teksttabelisrodek"/>
            </w:pPr>
            <w:r w:rsidRPr="00795F17">
              <w:t>niskie</w:t>
            </w:r>
          </w:p>
        </w:tc>
        <w:tc>
          <w:tcPr>
            <w:tcW w:w="796" w:type="pct"/>
            <w:tcBorders>
              <w:top w:val="nil"/>
              <w:left w:val="nil"/>
              <w:bottom w:val="single" w:sz="4" w:space="0" w:color="auto"/>
              <w:right w:val="single" w:sz="4" w:space="0" w:color="auto"/>
            </w:tcBorders>
            <w:shd w:val="clear" w:color="auto" w:fill="auto"/>
            <w:noWrap/>
            <w:vAlign w:val="center"/>
            <w:hideMark/>
          </w:tcPr>
          <w:p w14:paraId="686177D8" w14:textId="770168E4" w:rsidR="00421F1B" w:rsidRPr="00795F17" w:rsidRDefault="00421F1B" w:rsidP="0065243A">
            <w:pPr>
              <w:pStyle w:val="Teksttabelisrodek"/>
            </w:pPr>
            <w:r w:rsidRPr="00795F17">
              <w:t>spadek o 11</w:t>
            </w:r>
            <w:r w:rsidR="00E40955">
              <w:t xml:space="preserve"> </w:t>
            </w:r>
            <w:r w:rsidRPr="00795F17">
              <w:t>-</w:t>
            </w:r>
            <w:r w:rsidR="00E40955">
              <w:t xml:space="preserve"> </w:t>
            </w:r>
            <w:r w:rsidRPr="00795F17">
              <w:t>15 mm na rok na południu i</w:t>
            </w:r>
            <w:r w:rsidR="00E40955">
              <w:t> </w:t>
            </w:r>
            <w:r w:rsidRPr="00795F17">
              <w:t>w</w:t>
            </w:r>
            <w:r w:rsidR="00E40955">
              <w:t> </w:t>
            </w:r>
            <w:r w:rsidRPr="00795F17">
              <w:t>centrum, wzrost o 4</w:t>
            </w:r>
            <w:r w:rsidR="00E40955">
              <w:t xml:space="preserve"> </w:t>
            </w:r>
            <w:r w:rsidRPr="00795F17">
              <w:t>-</w:t>
            </w:r>
            <w:r w:rsidR="00E40955">
              <w:t xml:space="preserve"> </w:t>
            </w:r>
            <w:r w:rsidRPr="00795F17">
              <w:t>6 mm na rok na zachodzie</w:t>
            </w:r>
          </w:p>
        </w:tc>
        <w:tc>
          <w:tcPr>
            <w:tcW w:w="531" w:type="pct"/>
            <w:tcBorders>
              <w:top w:val="nil"/>
              <w:left w:val="nil"/>
              <w:bottom w:val="single" w:sz="4" w:space="0" w:color="auto"/>
              <w:right w:val="single" w:sz="4" w:space="0" w:color="auto"/>
            </w:tcBorders>
            <w:shd w:val="clear" w:color="auto" w:fill="92D050"/>
            <w:vAlign w:val="center"/>
            <w:hideMark/>
          </w:tcPr>
          <w:p w14:paraId="7E3F8B48"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66CF45FC" w14:textId="04CC28C7" w:rsidR="00421F1B" w:rsidRPr="00795F17" w:rsidRDefault="00421F1B" w:rsidP="0065243A">
            <w:pPr>
              <w:pStyle w:val="Teksttabelisrodek"/>
            </w:pPr>
            <w:r w:rsidRPr="00795F17">
              <w:t>przyrost o 21</w:t>
            </w:r>
            <w:r w:rsidR="00763716">
              <w:t xml:space="preserve"> </w:t>
            </w:r>
            <w:r w:rsidRPr="00795F17">
              <w:t>-</w:t>
            </w:r>
            <w:r w:rsidR="00763716">
              <w:t xml:space="preserve"> </w:t>
            </w:r>
            <w:r w:rsidRPr="00795F17">
              <w:t>34 mm na rok na całym obszarze, lokalne zróżnicowanie</w:t>
            </w:r>
          </w:p>
        </w:tc>
        <w:tc>
          <w:tcPr>
            <w:tcW w:w="522" w:type="pct"/>
            <w:tcBorders>
              <w:top w:val="nil"/>
              <w:left w:val="nil"/>
              <w:bottom w:val="single" w:sz="4" w:space="0" w:color="auto"/>
              <w:right w:val="single" w:sz="4" w:space="0" w:color="auto"/>
            </w:tcBorders>
            <w:shd w:val="clear" w:color="auto" w:fill="92D050"/>
            <w:noWrap/>
            <w:vAlign w:val="center"/>
            <w:hideMark/>
          </w:tcPr>
          <w:p w14:paraId="38BCC610" w14:textId="77777777" w:rsidR="00421F1B" w:rsidRPr="00795F17" w:rsidRDefault="00421F1B" w:rsidP="0065243A">
            <w:pPr>
              <w:pStyle w:val="Teksttabelisrodek"/>
            </w:pPr>
            <w:r w:rsidRPr="00795F17">
              <w:t>niskie</w:t>
            </w:r>
          </w:p>
        </w:tc>
      </w:tr>
      <w:tr w:rsidR="00421F1B" w:rsidRPr="00795F17" w14:paraId="6EE4F314"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880450D" w14:textId="77777777" w:rsidR="00421F1B" w:rsidRPr="00795F17" w:rsidRDefault="00421F1B" w:rsidP="0044393D">
            <w:pPr>
              <w:pStyle w:val="Teksttabelilewy"/>
            </w:pPr>
            <w:r w:rsidRPr="00795F17">
              <w:t>Średnia prędkość wiatru</w:t>
            </w:r>
          </w:p>
        </w:tc>
        <w:tc>
          <w:tcPr>
            <w:tcW w:w="786" w:type="pct"/>
            <w:tcBorders>
              <w:top w:val="nil"/>
              <w:left w:val="nil"/>
              <w:bottom w:val="single" w:sz="4" w:space="0" w:color="auto"/>
              <w:right w:val="single" w:sz="4" w:space="0" w:color="auto"/>
            </w:tcBorders>
            <w:shd w:val="clear" w:color="auto" w:fill="auto"/>
            <w:noWrap/>
            <w:vAlign w:val="center"/>
            <w:hideMark/>
          </w:tcPr>
          <w:p w14:paraId="4BE5FB9C" w14:textId="1E7E19B2" w:rsidR="00421F1B" w:rsidRPr="00795F17" w:rsidRDefault="00421F1B" w:rsidP="0065243A">
            <w:pPr>
              <w:pStyle w:val="Teksttabelisrodek"/>
            </w:pPr>
            <w:r w:rsidRPr="00795F17">
              <w:t>2,0</w:t>
            </w:r>
            <w:r w:rsidR="00E40955">
              <w:t xml:space="preserve"> </w:t>
            </w:r>
            <w:r w:rsidRPr="00795F17">
              <w:t>-</w:t>
            </w:r>
            <w:r w:rsidR="00E40955">
              <w:t xml:space="preserve"> </w:t>
            </w:r>
            <w:r w:rsidRPr="00795F17">
              <w:t>2,5 m/s</w:t>
            </w:r>
          </w:p>
        </w:tc>
        <w:tc>
          <w:tcPr>
            <w:tcW w:w="541" w:type="pct"/>
            <w:tcBorders>
              <w:top w:val="nil"/>
              <w:left w:val="nil"/>
              <w:bottom w:val="single" w:sz="4" w:space="0" w:color="auto"/>
              <w:right w:val="single" w:sz="4" w:space="0" w:color="auto"/>
            </w:tcBorders>
            <w:shd w:val="clear" w:color="auto" w:fill="92D050"/>
            <w:noWrap/>
            <w:vAlign w:val="center"/>
            <w:hideMark/>
          </w:tcPr>
          <w:p w14:paraId="50F25B20" w14:textId="77777777" w:rsidR="00421F1B" w:rsidRPr="00795F17" w:rsidRDefault="00421F1B" w:rsidP="0065243A">
            <w:pPr>
              <w:pStyle w:val="Teksttabelisrodek"/>
            </w:pPr>
            <w:r w:rsidRPr="00795F17">
              <w:t>niskie</w:t>
            </w:r>
          </w:p>
        </w:tc>
        <w:tc>
          <w:tcPr>
            <w:tcW w:w="796" w:type="pct"/>
            <w:tcBorders>
              <w:top w:val="nil"/>
              <w:left w:val="nil"/>
              <w:bottom w:val="single" w:sz="4" w:space="0" w:color="auto"/>
              <w:right w:val="single" w:sz="4" w:space="0" w:color="auto"/>
            </w:tcBorders>
            <w:shd w:val="clear" w:color="auto" w:fill="auto"/>
            <w:noWrap/>
            <w:vAlign w:val="center"/>
            <w:hideMark/>
          </w:tcPr>
          <w:p w14:paraId="7C9EB117" w14:textId="77777777" w:rsidR="00421F1B" w:rsidRPr="00795F17" w:rsidRDefault="00421F1B" w:rsidP="0065243A">
            <w:pPr>
              <w:pStyle w:val="Teksttabelisrodek"/>
            </w:pPr>
            <w:r w:rsidRPr="00795F17">
              <w:t>brak istotnych zmian</w:t>
            </w:r>
          </w:p>
        </w:tc>
        <w:tc>
          <w:tcPr>
            <w:tcW w:w="531" w:type="pct"/>
            <w:tcBorders>
              <w:top w:val="nil"/>
              <w:left w:val="nil"/>
              <w:bottom w:val="single" w:sz="4" w:space="0" w:color="auto"/>
              <w:right w:val="single" w:sz="4" w:space="0" w:color="auto"/>
            </w:tcBorders>
            <w:shd w:val="clear" w:color="auto" w:fill="92D050"/>
            <w:vAlign w:val="center"/>
            <w:hideMark/>
          </w:tcPr>
          <w:p w14:paraId="6EFCB0B8"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6F147C4D" w14:textId="77777777" w:rsidR="00421F1B" w:rsidRPr="00795F17" w:rsidRDefault="00421F1B" w:rsidP="0065243A">
            <w:pPr>
              <w:pStyle w:val="Teksttabelisrodek"/>
            </w:pPr>
            <w:r w:rsidRPr="00795F17">
              <w:t>brak istotnych zmian</w:t>
            </w:r>
          </w:p>
        </w:tc>
        <w:tc>
          <w:tcPr>
            <w:tcW w:w="522" w:type="pct"/>
            <w:tcBorders>
              <w:top w:val="nil"/>
              <w:left w:val="nil"/>
              <w:bottom w:val="single" w:sz="4" w:space="0" w:color="auto"/>
              <w:right w:val="single" w:sz="4" w:space="0" w:color="auto"/>
            </w:tcBorders>
            <w:shd w:val="clear" w:color="auto" w:fill="92D050"/>
            <w:noWrap/>
            <w:vAlign w:val="center"/>
            <w:hideMark/>
          </w:tcPr>
          <w:p w14:paraId="7FF180BE" w14:textId="77777777" w:rsidR="00421F1B" w:rsidRPr="00795F17" w:rsidRDefault="00421F1B" w:rsidP="0065243A">
            <w:pPr>
              <w:pStyle w:val="Teksttabelisrodek"/>
            </w:pPr>
            <w:r w:rsidRPr="00795F17">
              <w:t>niskie</w:t>
            </w:r>
          </w:p>
        </w:tc>
      </w:tr>
      <w:tr w:rsidR="00421F1B" w:rsidRPr="00795F17" w14:paraId="01E14390"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04E426C" w14:textId="77777777" w:rsidR="00421F1B" w:rsidRPr="00795F17" w:rsidRDefault="00421F1B" w:rsidP="0044393D">
            <w:pPr>
              <w:pStyle w:val="Teksttabelilewy"/>
            </w:pPr>
            <w:r w:rsidRPr="00795F17">
              <w:t>Sezon wegetacyjny, temperatura powyżej 5°C</w:t>
            </w:r>
          </w:p>
        </w:tc>
        <w:tc>
          <w:tcPr>
            <w:tcW w:w="786" w:type="pct"/>
            <w:tcBorders>
              <w:top w:val="nil"/>
              <w:left w:val="nil"/>
              <w:bottom w:val="single" w:sz="4" w:space="0" w:color="auto"/>
              <w:right w:val="single" w:sz="4" w:space="0" w:color="auto"/>
            </w:tcBorders>
            <w:shd w:val="clear" w:color="auto" w:fill="auto"/>
            <w:noWrap/>
            <w:vAlign w:val="center"/>
            <w:hideMark/>
          </w:tcPr>
          <w:p w14:paraId="35570253" w14:textId="0C21E03A" w:rsidR="00421F1B" w:rsidRPr="00795F17" w:rsidRDefault="00421F1B" w:rsidP="0065243A">
            <w:pPr>
              <w:pStyle w:val="Teksttabelisrodek"/>
            </w:pPr>
            <w:r w:rsidRPr="00795F17">
              <w:t>od 130 dni w</w:t>
            </w:r>
            <w:r w:rsidR="00E40955">
              <w:t> </w:t>
            </w:r>
            <w:r w:rsidRPr="00795F17">
              <w:t>roku</w:t>
            </w:r>
          </w:p>
        </w:tc>
        <w:tc>
          <w:tcPr>
            <w:tcW w:w="541" w:type="pct"/>
            <w:tcBorders>
              <w:top w:val="nil"/>
              <w:left w:val="nil"/>
              <w:bottom w:val="single" w:sz="4" w:space="0" w:color="auto"/>
              <w:right w:val="single" w:sz="4" w:space="0" w:color="auto"/>
            </w:tcBorders>
            <w:shd w:val="clear" w:color="auto" w:fill="92D050"/>
            <w:noWrap/>
            <w:vAlign w:val="center"/>
            <w:hideMark/>
          </w:tcPr>
          <w:p w14:paraId="660102DE" w14:textId="77777777" w:rsidR="00421F1B" w:rsidRPr="00795F17" w:rsidRDefault="00421F1B" w:rsidP="0065243A">
            <w:pPr>
              <w:pStyle w:val="Teksttabelisrodek"/>
            </w:pPr>
            <w:r w:rsidRPr="00795F17">
              <w:t>niskie</w:t>
            </w:r>
          </w:p>
        </w:tc>
        <w:tc>
          <w:tcPr>
            <w:tcW w:w="796" w:type="pct"/>
            <w:tcBorders>
              <w:top w:val="nil"/>
              <w:left w:val="nil"/>
              <w:bottom w:val="single" w:sz="4" w:space="0" w:color="auto"/>
              <w:right w:val="single" w:sz="4" w:space="0" w:color="auto"/>
            </w:tcBorders>
            <w:shd w:val="clear" w:color="auto" w:fill="auto"/>
            <w:noWrap/>
            <w:vAlign w:val="center"/>
            <w:hideMark/>
          </w:tcPr>
          <w:p w14:paraId="4FD7DAE2" w14:textId="7C9BBB99" w:rsidR="00421F1B" w:rsidRPr="00795F17" w:rsidRDefault="00421F1B" w:rsidP="0065243A">
            <w:pPr>
              <w:pStyle w:val="Teksttabelisrodek"/>
            </w:pPr>
            <w:r w:rsidRPr="00795F17">
              <w:t>wydłużenie o 3</w:t>
            </w:r>
            <w:r w:rsidR="00E40955">
              <w:t xml:space="preserve"> </w:t>
            </w:r>
            <w:r w:rsidRPr="00795F17">
              <w:t>-</w:t>
            </w:r>
            <w:r w:rsidR="00E40955">
              <w:t xml:space="preserve"> </w:t>
            </w:r>
            <w:r w:rsidRPr="00795F17">
              <w:t>5 dni w roku</w:t>
            </w:r>
          </w:p>
        </w:tc>
        <w:tc>
          <w:tcPr>
            <w:tcW w:w="531" w:type="pct"/>
            <w:tcBorders>
              <w:top w:val="nil"/>
              <w:left w:val="nil"/>
              <w:bottom w:val="single" w:sz="4" w:space="0" w:color="auto"/>
              <w:right w:val="single" w:sz="4" w:space="0" w:color="auto"/>
            </w:tcBorders>
            <w:shd w:val="clear" w:color="auto" w:fill="92D050"/>
            <w:vAlign w:val="center"/>
            <w:hideMark/>
          </w:tcPr>
          <w:p w14:paraId="26F500F2"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20320C86" w14:textId="0C7A97DE" w:rsidR="00421F1B" w:rsidRPr="00795F17" w:rsidRDefault="00421F1B" w:rsidP="0065243A">
            <w:pPr>
              <w:pStyle w:val="Teksttabelisrodek"/>
            </w:pPr>
            <w:r w:rsidRPr="00795F17">
              <w:t>wydłużenie o</w:t>
            </w:r>
            <w:r w:rsidR="00763716">
              <w:t> </w:t>
            </w:r>
            <w:r w:rsidRPr="00795F17">
              <w:t>15</w:t>
            </w:r>
            <w:r w:rsidR="00763716">
              <w:t xml:space="preserve"> </w:t>
            </w:r>
            <w:r w:rsidRPr="00795F17">
              <w:t>-</w:t>
            </w:r>
            <w:r w:rsidR="00763716">
              <w:t xml:space="preserve"> </w:t>
            </w:r>
            <w:r w:rsidRPr="00795F17">
              <w:t>35 dni w</w:t>
            </w:r>
            <w:r w:rsidR="00763716">
              <w:t> </w:t>
            </w:r>
            <w:r w:rsidRPr="00795F17">
              <w:t>roku (40</w:t>
            </w:r>
            <w:r w:rsidR="00763716">
              <w:t xml:space="preserve"> </w:t>
            </w:r>
            <w:r w:rsidRPr="00795F17">
              <w:t>% w</w:t>
            </w:r>
            <w:r w:rsidR="00763716">
              <w:t> </w:t>
            </w:r>
            <w:r w:rsidRPr="00795F17">
              <w:t xml:space="preserve">roku) </w:t>
            </w:r>
          </w:p>
        </w:tc>
        <w:tc>
          <w:tcPr>
            <w:tcW w:w="522" w:type="pct"/>
            <w:tcBorders>
              <w:top w:val="nil"/>
              <w:left w:val="nil"/>
              <w:bottom w:val="single" w:sz="4" w:space="0" w:color="auto"/>
              <w:right w:val="single" w:sz="4" w:space="0" w:color="auto"/>
            </w:tcBorders>
            <w:shd w:val="clear" w:color="auto" w:fill="92D050"/>
            <w:noWrap/>
            <w:vAlign w:val="center"/>
            <w:hideMark/>
          </w:tcPr>
          <w:p w14:paraId="3B172488" w14:textId="77777777" w:rsidR="00421F1B" w:rsidRPr="00795F17" w:rsidRDefault="00421F1B" w:rsidP="0065243A">
            <w:pPr>
              <w:pStyle w:val="Teksttabelisrodek"/>
            </w:pPr>
            <w:r w:rsidRPr="00795F17">
              <w:t>niskie</w:t>
            </w:r>
          </w:p>
        </w:tc>
      </w:tr>
      <w:tr w:rsidR="00421F1B" w:rsidRPr="00795F17" w14:paraId="5F87F6DC"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9E989BC" w14:textId="77777777" w:rsidR="00421F1B" w:rsidRPr="00795F17" w:rsidRDefault="00421F1B" w:rsidP="0044393D">
            <w:pPr>
              <w:pStyle w:val="Teksttabelilewy"/>
            </w:pPr>
            <w:r w:rsidRPr="00795F17">
              <w:t>Ekstremalna temperatura dodatnia</w:t>
            </w:r>
          </w:p>
        </w:tc>
        <w:tc>
          <w:tcPr>
            <w:tcW w:w="786" w:type="pct"/>
            <w:tcBorders>
              <w:top w:val="nil"/>
              <w:left w:val="nil"/>
              <w:bottom w:val="single" w:sz="4" w:space="0" w:color="auto"/>
              <w:right w:val="single" w:sz="4" w:space="0" w:color="auto"/>
            </w:tcBorders>
            <w:shd w:val="clear" w:color="auto" w:fill="auto"/>
            <w:noWrap/>
            <w:vAlign w:val="center"/>
            <w:hideMark/>
          </w:tcPr>
          <w:p w14:paraId="4F55C166" w14:textId="5620C69C" w:rsidR="00421F1B" w:rsidRPr="00795F17" w:rsidRDefault="00421F1B" w:rsidP="0065243A">
            <w:pPr>
              <w:pStyle w:val="Teksttabelisrodek"/>
            </w:pPr>
            <w:r w:rsidRPr="00795F17">
              <w:t>powyżej 25°C, ok</w:t>
            </w:r>
            <w:r w:rsidR="00E40955">
              <w:t>oło</w:t>
            </w:r>
            <w:r w:rsidRPr="00795F17">
              <w:t xml:space="preserve"> 15</w:t>
            </w:r>
            <w:r w:rsidR="00E40955">
              <w:t xml:space="preserve"> </w:t>
            </w:r>
            <w:r w:rsidRPr="00795F17">
              <w:t>-</w:t>
            </w:r>
            <w:r w:rsidR="00E40955">
              <w:t xml:space="preserve"> </w:t>
            </w:r>
            <w:r w:rsidRPr="00795F17">
              <w:t>36 dni w roku</w:t>
            </w:r>
          </w:p>
        </w:tc>
        <w:tc>
          <w:tcPr>
            <w:tcW w:w="541" w:type="pct"/>
            <w:tcBorders>
              <w:top w:val="nil"/>
              <w:left w:val="nil"/>
              <w:bottom w:val="single" w:sz="4" w:space="0" w:color="auto"/>
              <w:right w:val="single" w:sz="4" w:space="0" w:color="auto"/>
            </w:tcBorders>
            <w:shd w:val="clear" w:color="auto" w:fill="FFFF00"/>
            <w:noWrap/>
            <w:vAlign w:val="center"/>
            <w:hideMark/>
          </w:tcPr>
          <w:p w14:paraId="27E93734" w14:textId="77777777" w:rsidR="00421F1B" w:rsidRPr="00795F17" w:rsidRDefault="00421F1B" w:rsidP="0065243A">
            <w:pPr>
              <w:pStyle w:val="Teksttabelisrodek"/>
            </w:pPr>
            <w:r w:rsidRPr="00795F17">
              <w:t>średnie</w:t>
            </w:r>
          </w:p>
        </w:tc>
        <w:tc>
          <w:tcPr>
            <w:tcW w:w="796" w:type="pct"/>
            <w:tcBorders>
              <w:top w:val="nil"/>
              <w:left w:val="nil"/>
              <w:bottom w:val="single" w:sz="4" w:space="0" w:color="auto"/>
              <w:right w:val="single" w:sz="4" w:space="0" w:color="auto"/>
            </w:tcBorders>
            <w:shd w:val="clear" w:color="auto" w:fill="auto"/>
            <w:noWrap/>
            <w:vAlign w:val="center"/>
            <w:hideMark/>
          </w:tcPr>
          <w:p w14:paraId="38F794DE" w14:textId="6669DD42" w:rsidR="00421F1B" w:rsidRPr="00795F17" w:rsidRDefault="00421F1B" w:rsidP="0065243A">
            <w:pPr>
              <w:pStyle w:val="Teksttabelisrodek"/>
            </w:pPr>
            <w:r w:rsidRPr="00795F17">
              <w:t>Wydłużenie o</w:t>
            </w:r>
            <w:r w:rsidR="00E40955">
              <w:t> </w:t>
            </w:r>
            <w:r w:rsidRPr="00795F17">
              <w:t>10</w:t>
            </w:r>
            <w:r w:rsidR="00E40955">
              <w:t xml:space="preserve"> </w:t>
            </w:r>
            <w:r w:rsidRPr="00795F17">
              <w:t>-</w:t>
            </w:r>
            <w:r w:rsidR="00E40955">
              <w:t xml:space="preserve"> </w:t>
            </w:r>
            <w:r w:rsidRPr="00795F17">
              <w:t>20 dni/rok (10</w:t>
            </w:r>
            <w:r w:rsidR="00E40955">
              <w:t xml:space="preserve"> </w:t>
            </w:r>
            <w:r w:rsidR="00657C99">
              <w:t>–</w:t>
            </w:r>
            <w:r w:rsidR="00E40955">
              <w:t xml:space="preserve"> </w:t>
            </w:r>
            <w:r w:rsidRPr="00795F17">
              <w:t>15</w:t>
            </w:r>
            <w:r w:rsidR="00657C99">
              <w:t> </w:t>
            </w:r>
            <w:r w:rsidRPr="00795F17">
              <w:t>%)</w:t>
            </w:r>
          </w:p>
        </w:tc>
        <w:tc>
          <w:tcPr>
            <w:tcW w:w="531" w:type="pct"/>
            <w:tcBorders>
              <w:top w:val="nil"/>
              <w:left w:val="nil"/>
              <w:bottom w:val="single" w:sz="4" w:space="0" w:color="auto"/>
              <w:right w:val="single" w:sz="4" w:space="0" w:color="auto"/>
            </w:tcBorders>
            <w:shd w:val="clear" w:color="auto" w:fill="FF0000"/>
            <w:vAlign w:val="center"/>
            <w:hideMark/>
          </w:tcPr>
          <w:p w14:paraId="0D16CD5C" w14:textId="77777777" w:rsidR="00421F1B" w:rsidRPr="00795F17" w:rsidRDefault="00421F1B" w:rsidP="0065243A">
            <w:pPr>
              <w:pStyle w:val="Teksttabelisrodek"/>
            </w:pPr>
            <w:r w:rsidRPr="00795F17">
              <w:t>wysokie</w:t>
            </w:r>
          </w:p>
        </w:tc>
        <w:tc>
          <w:tcPr>
            <w:tcW w:w="805" w:type="pct"/>
            <w:tcBorders>
              <w:top w:val="nil"/>
              <w:left w:val="nil"/>
              <w:bottom w:val="single" w:sz="4" w:space="0" w:color="auto"/>
              <w:right w:val="single" w:sz="4" w:space="0" w:color="auto"/>
            </w:tcBorders>
            <w:shd w:val="clear" w:color="auto" w:fill="auto"/>
            <w:vAlign w:val="center"/>
            <w:hideMark/>
          </w:tcPr>
          <w:p w14:paraId="3ED10B8D" w14:textId="065A095E" w:rsidR="00421F1B" w:rsidRPr="00795F17" w:rsidRDefault="00421F1B" w:rsidP="0065243A">
            <w:pPr>
              <w:pStyle w:val="Teksttabelisrodek"/>
            </w:pPr>
            <w:r w:rsidRPr="00795F17">
              <w:t>wydłużenie nawet o 26</w:t>
            </w:r>
            <w:r w:rsidR="00763716">
              <w:t xml:space="preserve"> </w:t>
            </w:r>
            <w:r w:rsidRPr="00795F17">
              <w:t>-</w:t>
            </w:r>
            <w:r w:rsidR="00763716">
              <w:t xml:space="preserve"> </w:t>
            </w:r>
            <w:r w:rsidRPr="00795F17">
              <w:t>55 dni/rok (15</w:t>
            </w:r>
            <w:r w:rsidR="00763716">
              <w:t xml:space="preserve"> – </w:t>
            </w:r>
            <w:r w:rsidRPr="00795F17">
              <w:t>20</w:t>
            </w:r>
            <w:r w:rsidR="00763716">
              <w:t xml:space="preserve"> </w:t>
            </w:r>
            <w:r w:rsidRPr="00795F17">
              <w:t>%)</w:t>
            </w:r>
          </w:p>
        </w:tc>
        <w:tc>
          <w:tcPr>
            <w:tcW w:w="522" w:type="pct"/>
            <w:tcBorders>
              <w:top w:val="nil"/>
              <w:left w:val="nil"/>
              <w:bottom w:val="single" w:sz="4" w:space="0" w:color="auto"/>
              <w:right w:val="single" w:sz="4" w:space="0" w:color="auto"/>
            </w:tcBorders>
            <w:shd w:val="clear" w:color="auto" w:fill="FF0000"/>
            <w:noWrap/>
            <w:vAlign w:val="center"/>
            <w:hideMark/>
          </w:tcPr>
          <w:p w14:paraId="74B504D9" w14:textId="77777777" w:rsidR="00421F1B" w:rsidRPr="00795F17" w:rsidRDefault="00421F1B" w:rsidP="0065243A">
            <w:pPr>
              <w:pStyle w:val="Teksttabelisrodek"/>
            </w:pPr>
            <w:r w:rsidRPr="00795F17">
              <w:t>wysokie</w:t>
            </w:r>
          </w:p>
        </w:tc>
      </w:tr>
      <w:tr w:rsidR="00421F1B" w:rsidRPr="00795F17" w14:paraId="4C34D29B"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E1643D7" w14:textId="77777777" w:rsidR="00421F1B" w:rsidRPr="00795F17" w:rsidRDefault="00421F1B" w:rsidP="0044393D">
            <w:pPr>
              <w:pStyle w:val="Teksttabelilewy"/>
            </w:pPr>
            <w:r w:rsidRPr="00795F17">
              <w:t>Temperatura ujemna</w:t>
            </w:r>
          </w:p>
        </w:tc>
        <w:tc>
          <w:tcPr>
            <w:tcW w:w="786" w:type="pct"/>
            <w:tcBorders>
              <w:top w:val="nil"/>
              <w:left w:val="nil"/>
              <w:bottom w:val="single" w:sz="4" w:space="0" w:color="auto"/>
              <w:right w:val="single" w:sz="4" w:space="0" w:color="auto"/>
            </w:tcBorders>
            <w:shd w:val="clear" w:color="auto" w:fill="auto"/>
            <w:noWrap/>
            <w:vAlign w:val="center"/>
            <w:hideMark/>
          </w:tcPr>
          <w:p w14:paraId="37357ADA" w14:textId="47260D33" w:rsidR="00421F1B" w:rsidRPr="00795F17" w:rsidRDefault="00421F1B" w:rsidP="0065243A">
            <w:pPr>
              <w:pStyle w:val="Teksttabelisrodek"/>
            </w:pPr>
            <w:r w:rsidRPr="00795F17">
              <w:t>poniżej 0°C, 120</w:t>
            </w:r>
            <w:r w:rsidR="00E40955">
              <w:t xml:space="preserve"> </w:t>
            </w:r>
            <w:r w:rsidRPr="00795F17">
              <w:t>-</w:t>
            </w:r>
            <w:r w:rsidR="00E40955">
              <w:t xml:space="preserve"> </w:t>
            </w:r>
            <w:r w:rsidRPr="00795F17">
              <w:t>155 dni w</w:t>
            </w:r>
            <w:r w:rsidR="00E40955">
              <w:t> </w:t>
            </w:r>
            <w:r w:rsidRPr="00795F17">
              <w:t>roku</w:t>
            </w:r>
          </w:p>
        </w:tc>
        <w:tc>
          <w:tcPr>
            <w:tcW w:w="541" w:type="pct"/>
            <w:tcBorders>
              <w:top w:val="nil"/>
              <w:left w:val="nil"/>
              <w:bottom w:val="single" w:sz="4" w:space="0" w:color="auto"/>
              <w:right w:val="single" w:sz="4" w:space="0" w:color="auto"/>
            </w:tcBorders>
            <w:shd w:val="clear" w:color="auto" w:fill="FFFF00"/>
            <w:noWrap/>
            <w:vAlign w:val="center"/>
            <w:hideMark/>
          </w:tcPr>
          <w:p w14:paraId="19B6DED4" w14:textId="77777777" w:rsidR="00421F1B" w:rsidRPr="00795F17" w:rsidRDefault="00421F1B" w:rsidP="0065243A">
            <w:pPr>
              <w:pStyle w:val="Teksttabelisrodek"/>
            </w:pPr>
            <w:r w:rsidRPr="00795F17">
              <w:t>średnie</w:t>
            </w:r>
          </w:p>
        </w:tc>
        <w:tc>
          <w:tcPr>
            <w:tcW w:w="796" w:type="pct"/>
            <w:tcBorders>
              <w:top w:val="nil"/>
              <w:left w:val="nil"/>
              <w:bottom w:val="single" w:sz="4" w:space="0" w:color="auto"/>
              <w:right w:val="single" w:sz="4" w:space="0" w:color="auto"/>
            </w:tcBorders>
            <w:shd w:val="clear" w:color="auto" w:fill="auto"/>
            <w:noWrap/>
            <w:vAlign w:val="center"/>
            <w:hideMark/>
          </w:tcPr>
          <w:p w14:paraId="178F387F" w14:textId="19D54442" w:rsidR="00421F1B" w:rsidRPr="00795F17" w:rsidRDefault="00421F1B" w:rsidP="0065243A">
            <w:pPr>
              <w:pStyle w:val="Teksttabelisrodek"/>
            </w:pPr>
            <w:r w:rsidRPr="00795F17">
              <w:t>spadek do 110</w:t>
            </w:r>
            <w:r w:rsidR="00E40955">
              <w:t xml:space="preserve"> </w:t>
            </w:r>
            <w:r w:rsidRPr="00795F17">
              <w:t>-</w:t>
            </w:r>
            <w:r w:rsidR="00E40955">
              <w:t xml:space="preserve"> </w:t>
            </w:r>
            <w:r w:rsidRPr="00795F17">
              <w:t>150 dni (poniżej 25% dni w</w:t>
            </w:r>
            <w:r w:rsidR="00E40955">
              <w:t> </w:t>
            </w:r>
            <w:r w:rsidRPr="00795F17">
              <w:t>roku)</w:t>
            </w:r>
          </w:p>
        </w:tc>
        <w:tc>
          <w:tcPr>
            <w:tcW w:w="531" w:type="pct"/>
            <w:tcBorders>
              <w:top w:val="nil"/>
              <w:left w:val="nil"/>
              <w:bottom w:val="single" w:sz="4" w:space="0" w:color="auto"/>
              <w:right w:val="single" w:sz="4" w:space="0" w:color="auto"/>
            </w:tcBorders>
            <w:shd w:val="clear" w:color="auto" w:fill="92D050"/>
            <w:vAlign w:val="center"/>
            <w:hideMark/>
          </w:tcPr>
          <w:p w14:paraId="6C770C91"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2E2A0BDD" w14:textId="4E2C1771" w:rsidR="00421F1B" w:rsidRPr="00795F17" w:rsidRDefault="00421F1B" w:rsidP="0065243A">
            <w:pPr>
              <w:pStyle w:val="Teksttabelisrodek"/>
            </w:pPr>
            <w:r w:rsidRPr="00795F17">
              <w:t>spadek do 100</w:t>
            </w:r>
            <w:r w:rsidR="00763716">
              <w:t xml:space="preserve"> </w:t>
            </w:r>
            <w:r w:rsidRPr="00795F17">
              <w:t>-130 dni (poniżej 20</w:t>
            </w:r>
            <w:r w:rsidR="00763716">
              <w:t> </w:t>
            </w:r>
            <w:r w:rsidRPr="00795F17">
              <w:t>% w roku)</w:t>
            </w:r>
          </w:p>
        </w:tc>
        <w:tc>
          <w:tcPr>
            <w:tcW w:w="522" w:type="pct"/>
            <w:tcBorders>
              <w:top w:val="nil"/>
              <w:left w:val="nil"/>
              <w:bottom w:val="single" w:sz="4" w:space="0" w:color="auto"/>
              <w:right w:val="single" w:sz="4" w:space="0" w:color="auto"/>
            </w:tcBorders>
            <w:shd w:val="clear" w:color="auto" w:fill="92D050"/>
            <w:noWrap/>
            <w:vAlign w:val="center"/>
            <w:hideMark/>
          </w:tcPr>
          <w:p w14:paraId="1E15FA6C" w14:textId="77777777" w:rsidR="00421F1B" w:rsidRPr="00795F17" w:rsidRDefault="00421F1B" w:rsidP="0065243A">
            <w:pPr>
              <w:pStyle w:val="Teksttabelisrodek"/>
            </w:pPr>
            <w:r w:rsidRPr="00795F17">
              <w:t>niskie</w:t>
            </w:r>
          </w:p>
        </w:tc>
      </w:tr>
      <w:tr w:rsidR="00421F1B" w:rsidRPr="00795F17" w14:paraId="29BA2438"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1806831" w14:textId="77777777" w:rsidR="00421F1B" w:rsidRPr="00795F17" w:rsidRDefault="00421F1B" w:rsidP="0044393D">
            <w:pPr>
              <w:pStyle w:val="Teksttabelilewy"/>
            </w:pPr>
            <w:r w:rsidRPr="00795F17">
              <w:t>Liczba dni z opadem w roku</w:t>
            </w:r>
          </w:p>
        </w:tc>
        <w:tc>
          <w:tcPr>
            <w:tcW w:w="786" w:type="pct"/>
            <w:tcBorders>
              <w:top w:val="nil"/>
              <w:left w:val="nil"/>
              <w:bottom w:val="single" w:sz="4" w:space="0" w:color="auto"/>
              <w:right w:val="single" w:sz="4" w:space="0" w:color="auto"/>
            </w:tcBorders>
            <w:shd w:val="clear" w:color="auto" w:fill="auto"/>
            <w:noWrap/>
            <w:vAlign w:val="center"/>
            <w:hideMark/>
          </w:tcPr>
          <w:p w14:paraId="5629D825" w14:textId="25A84C94" w:rsidR="00421F1B" w:rsidRPr="00795F17" w:rsidRDefault="00421F1B" w:rsidP="0065243A">
            <w:pPr>
              <w:pStyle w:val="Teksttabelisrodek"/>
            </w:pPr>
            <w:r w:rsidRPr="00795F17">
              <w:t>ok</w:t>
            </w:r>
            <w:r w:rsidR="00E40955">
              <w:t>oło</w:t>
            </w:r>
            <w:r w:rsidRPr="00795F17">
              <w:t xml:space="preserve"> 140</w:t>
            </w:r>
            <w:r w:rsidR="00E40955">
              <w:t xml:space="preserve"> </w:t>
            </w:r>
            <w:r w:rsidRPr="00795F17">
              <w:t>-</w:t>
            </w:r>
            <w:r w:rsidR="00E40955">
              <w:t xml:space="preserve"> </w:t>
            </w:r>
            <w:r w:rsidRPr="00795F17">
              <w:t>170 dni w roku</w:t>
            </w:r>
          </w:p>
        </w:tc>
        <w:tc>
          <w:tcPr>
            <w:tcW w:w="541" w:type="pct"/>
            <w:tcBorders>
              <w:top w:val="nil"/>
              <w:left w:val="nil"/>
              <w:bottom w:val="single" w:sz="4" w:space="0" w:color="auto"/>
              <w:right w:val="single" w:sz="4" w:space="0" w:color="auto"/>
            </w:tcBorders>
            <w:shd w:val="clear" w:color="auto" w:fill="FFFF00"/>
            <w:noWrap/>
            <w:vAlign w:val="center"/>
            <w:hideMark/>
          </w:tcPr>
          <w:p w14:paraId="1E55F410" w14:textId="77777777" w:rsidR="00421F1B" w:rsidRPr="00795F17" w:rsidRDefault="00421F1B" w:rsidP="0065243A">
            <w:pPr>
              <w:pStyle w:val="Teksttabelisrodek"/>
            </w:pPr>
            <w:r w:rsidRPr="00795F17">
              <w:t xml:space="preserve">średnie </w:t>
            </w:r>
          </w:p>
        </w:tc>
        <w:tc>
          <w:tcPr>
            <w:tcW w:w="796" w:type="pct"/>
            <w:tcBorders>
              <w:top w:val="nil"/>
              <w:left w:val="nil"/>
              <w:bottom w:val="single" w:sz="4" w:space="0" w:color="auto"/>
              <w:right w:val="single" w:sz="4" w:space="0" w:color="auto"/>
            </w:tcBorders>
            <w:shd w:val="clear" w:color="auto" w:fill="auto"/>
            <w:noWrap/>
            <w:vAlign w:val="center"/>
            <w:hideMark/>
          </w:tcPr>
          <w:p w14:paraId="6280BD83" w14:textId="40AF541C" w:rsidR="00421F1B" w:rsidRPr="00795F17" w:rsidRDefault="00421F1B" w:rsidP="0065243A">
            <w:pPr>
              <w:pStyle w:val="Teksttabelisrodek"/>
            </w:pPr>
            <w:r w:rsidRPr="00795F17">
              <w:t>140</w:t>
            </w:r>
            <w:r w:rsidR="00E40955">
              <w:t xml:space="preserve"> </w:t>
            </w:r>
            <w:r w:rsidRPr="00795F17">
              <w:t>-</w:t>
            </w:r>
            <w:r w:rsidR="00E40955">
              <w:t xml:space="preserve"> </w:t>
            </w:r>
            <w:r w:rsidRPr="00795F17">
              <w:t>170 dni w</w:t>
            </w:r>
            <w:r w:rsidR="00E40955">
              <w:t> </w:t>
            </w:r>
            <w:r w:rsidRPr="00795F17">
              <w:t>roku</w:t>
            </w:r>
          </w:p>
        </w:tc>
        <w:tc>
          <w:tcPr>
            <w:tcW w:w="531" w:type="pct"/>
            <w:tcBorders>
              <w:top w:val="nil"/>
              <w:left w:val="nil"/>
              <w:bottom w:val="single" w:sz="4" w:space="0" w:color="auto"/>
              <w:right w:val="single" w:sz="4" w:space="0" w:color="auto"/>
            </w:tcBorders>
            <w:shd w:val="clear" w:color="auto" w:fill="FFFF00"/>
            <w:vAlign w:val="center"/>
            <w:hideMark/>
          </w:tcPr>
          <w:p w14:paraId="7FF3312A" w14:textId="77777777" w:rsidR="00421F1B" w:rsidRPr="00795F17" w:rsidRDefault="00421F1B" w:rsidP="0065243A">
            <w:pPr>
              <w:pStyle w:val="Teksttabelisrodek"/>
            </w:pPr>
            <w:r w:rsidRPr="00795F17">
              <w:t xml:space="preserve">średnie </w:t>
            </w:r>
          </w:p>
        </w:tc>
        <w:tc>
          <w:tcPr>
            <w:tcW w:w="805" w:type="pct"/>
            <w:tcBorders>
              <w:top w:val="nil"/>
              <w:left w:val="nil"/>
              <w:bottom w:val="single" w:sz="4" w:space="0" w:color="auto"/>
              <w:right w:val="single" w:sz="4" w:space="0" w:color="auto"/>
            </w:tcBorders>
            <w:shd w:val="clear" w:color="auto" w:fill="auto"/>
            <w:vAlign w:val="center"/>
            <w:hideMark/>
          </w:tcPr>
          <w:p w14:paraId="2FB20BA6" w14:textId="57C5AFF3" w:rsidR="00421F1B" w:rsidRPr="00795F17" w:rsidRDefault="00421F1B" w:rsidP="0065243A">
            <w:pPr>
              <w:pStyle w:val="Teksttabelisrodek"/>
            </w:pPr>
            <w:r w:rsidRPr="00795F17">
              <w:t>spadek do 140</w:t>
            </w:r>
            <w:r w:rsidR="00763716">
              <w:t xml:space="preserve"> </w:t>
            </w:r>
            <w:r w:rsidRPr="00795F17">
              <w:t>-160 dni w roku</w:t>
            </w:r>
          </w:p>
        </w:tc>
        <w:tc>
          <w:tcPr>
            <w:tcW w:w="522" w:type="pct"/>
            <w:tcBorders>
              <w:top w:val="nil"/>
              <w:left w:val="nil"/>
              <w:bottom w:val="single" w:sz="4" w:space="0" w:color="auto"/>
              <w:right w:val="single" w:sz="4" w:space="0" w:color="auto"/>
            </w:tcBorders>
            <w:shd w:val="clear" w:color="auto" w:fill="FFFF00"/>
            <w:noWrap/>
            <w:vAlign w:val="center"/>
            <w:hideMark/>
          </w:tcPr>
          <w:p w14:paraId="5C75AEA7" w14:textId="77777777" w:rsidR="00421F1B" w:rsidRPr="00795F17" w:rsidRDefault="00421F1B" w:rsidP="0065243A">
            <w:pPr>
              <w:pStyle w:val="Teksttabelisrodek"/>
            </w:pPr>
            <w:r w:rsidRPr="00795F17">
              <w:t xml:space="preserve">średnie </w:t>
            </w:r>
          </w:p>
        </w:tc>
      </w:tr>
      <w:tr w:rsidR="00421F1B" w:rsidRPr="00795F17" w14:paraId="2AAAE130"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tcPr>
          <w:p w14:paraId="650C533B" w14:textId="77777777" w:rsidR="00421F1B" w:rsidRPr="00795F17" w:rsidRDefault="00421F1B" w:rsidP="0044393D">
            <w:pPr>
              <w:pStyle w:val="Teksttabelilewy"/>
            </w:pPr>
            <w:r w:rsidRPr="00795F17">
              <w:t>Średni opad dobowy</w:t>
            </w:r>
          </w:p>
        </w:tc>
        <w:tc>
          <w:tcPr>
            <w:tcW w:w="786" w:type="pct"/>
            <w:tcBorders>
              <w:top w:val="nil"/>
              <w:left w:val="nil"/>
              <w:bottom w:val="single" w:sz="4" w:space="0" w:color="auto"/>
              <w:right w:val="single" w:sz="4" w:space="0" w:color="auto"/>
            </w:tcBorders>
            <w:shd w:val="clear" w:color="auto" w:fill="auto"/>
            <w:noWrap/>
            <w:vAlign w:val="center"/>
          </w:tcPr>
          <w:p w14:paraId="24E1E4F0" w14:textId="3BC721C6" w:rsidR="00421F1B" w:rsidRPr="00795F17" w:rsidRDefault="00E40955" w:rsidP="0065243A">
            <w:pPr>
              <w:pStyle w:val="Teksttabelisrodek"/>
            </w:pPr>
            <w:r>
              <w:t>o</w:t>
            </w:r>
            <w:r w:rsidR="00421F1B" w:rsidRPr="00795F17">
              <w:t>k</w:t>
            </w:r>
            <w:r>
              <w:t>oło</w:t>
            </w:r>
            <w:r w:rsidR="00421F1B" w:rsidRPr="00795F17">
              <w:t xml:space="preserve"> 1,6</w:t>
            </w:r>
            <w:r>
              <w:t xml:space="preserve"> </w:t>
            </w:r>
            <w:r w:rsidR="00421F1B" w:rsidRPr="00795F17">
              <w:t>-</w:t>
            </w:r>
            <w:r>
              <w:t xml:space="preserve"> </w:t>
            </w:r>
            <w:r w:rsidR="00421F1B" w:rsidRPr="00795F17">
              <w:t>2,1</w:t>
            </w:r>
            <w:r>
              <w:t> </w:t>
            </w:r>
            <w:r w:rsidR="00421F1B" w:rsidRPr="00795F17">
              <w:t>mm na dobę</w:t>
            </w:r>
          </w:p>
        </w:tc>
        <w:tc>
          <w:tcPr>
            <w:tcW w:w="541" w:type="pct"/>
            <w:tcBorders>
              <w:top w:val="nil"/>
              <w:left w:val="nil"/>
              <w:bottom w:val="single" w:sz="4" w:space="0" w:color="auto"/>
              <w:right w:val="single" w:sz="4" w:space="0" w:color="auto"/>
            </w:tcBorders>
            <w:shd w:val="clear" w:color="auto" w:fill="92D050"/>
            <w:noWrap/>
            <w:vAlign w:val="center"/>
          </w:tcPr>
          <w:p w14:paraId="09189140" w14:textId="77777777" w:rsidR="00421F1B" w:rsidRPr="00795F17" w:rsidRDefault="00421F1B" w:rsidP="0065243A">
            <w:pPr>
              <w:pStyle w:val="Teksttabelisrodek"/>
            </w:pPr>
            <w:r w:rsidRPr="00795F17">
              <w:t xml:space="preserve">niskie </w:t>
            </w:r>
          </w:p>
        </w:tc>
        <w:tc>
          <w:tcPr>
            <w:tcW w:w="796" w:type="pct"/>
            <w:tcBorders>
              <w:top w:val="nil"/>
              <w:left w:val="nil"/>
              <w:bottom w:val="single" w:sz="4" w:space="0" w:color="auto"/>
              <w:right w:val="single" w:sz="4" w:space="0" w:color="auto"/>
            </w:tcBorders>
            <w:shd w:val="clear" w:color="auto" w:fill="auto"/>
            <w:noWrap/>
            <w:vAlign w:val="center"/>
          </w:tcPr>
          <w:p w14:paraId="0E88F15C" w14:textId="616786E3" w:rsidR="00421F1B" w:rsidRPr="00795F17" w:rsidRDefault="00421F1B" w:rsidP="0065243A">
            <w:pPr>
              <w:pStyle w:val="Teksttabelisrodek"/>
            </w:pPr>
            <w:r w:rsidRPr="00795F17">
              <w:t>1,5</w:t>
            </w:r>
            <w:r w:rsidR="00E40955">
              <w:t xml:space="preserve"> </w:t>
            </w:r>
            <w:r w:rsidRPr="00795F17">
              <w:t>-</w:t>
            </w:r>
            <w:r w:rsidR="00E40955">
              <w:t xml:space="preserve"> </w:t>
            </w:r>
            <w:r w:rsidRPr="003A5E98">
              <w:t>2,0</w:t>
            </w:r>
            <w:r w:rsidRPr="00795F17">
              <w:t xml:space="preserve"> mm na dobę</w:t>
            </w:r>
          </w:p>
        </w:tc>
        <w:tc>
          <w:tcPr>
            <w:tcW w:w="531" w:type="pct"/>
            <w:tcBorders>
              <w:top w:val="nil"/>
              <w:left w:val="nil"/>
              <w:bottom w:val="single" w:sz="4" w:space="0" w:color="auto"/>
              <w:right w:val="single" w:sz="4" w:space="0" w:color="auto"/>
            </w:tcBorders>
            <w:shd w:val="clear" w:color="auto" w:fill="92D050"/>
            <w:vAlign w:val="center"/>
          </w:tcPr>
          <w:p w14:paraId="36A0173C"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tcPr>
          <w:p w14:paraId="36A83735" w14:textId="4B594564" w:rsidR="00421F1B" w:rsidRPr="00795F17" w:rsidRDefault="00421F1B" w:rsidP="0065243A">
            <w:pPr>
              <w:pStyle w:val="Teksttabelisrodek"/>
            </w:pPr>
            <w:r w:rsidRPr="00795F17">
              <w:t>1,8</w:t>
            </w:r>
            <w:r w:rsidR="00763716">
              <w:t xml:space="preserve"> </w:t>
            </w:r>
            <w:r w:rsidRPr="00795F17">
              <w:t>-</w:t>
            </w:r>
            <w:r w:rsidR="00763716">
              <w:t xml:space="preserve"> </w:t>
            </w:r>
            <w:r w:rsidRPr="00795F17">
              <w:t>2,2 mm na dobę</w:t>
            </w:r>
          </w:p>
        </w:tc>
        <w:tc>
          <w:tcPr>
            <w:tcW w:w="522" w:type="pct"/>
            <w:tcBorders>
              <w:top w:val="nil"/>
              <w:left w:val="nil"/>
              <w:bottom w:val="single" w:sz="4" w:space="0" w:color="auto"/>
              <w:right w:val="single" w:sz="4" w:space="0" w:color="auto"/>
            </w:tcBorders>
            <w:shd w:val="clear" w:color="auto" w:fill="92D050"/>
            <w:noWrap/>
            <w:vAlign w:val="center"/>
          </w:tcPr>
          <w:p w14:paraId="6E5AC0FF" w14:textId="77777777" w:rsidR="00421F1B" w:rsidRPr="00795F17" w:rsidRDefault="00421F1B" w:rsidP="0065243A">
            <w:pPr>
              <w:pStyle w:val="Teksttabelisrodek"/>
            </w:pPr>
            <w:r w:rsidRPr="00795F17">
              <w:t>niskie</w:t>
            </w:r>
          </w:p>
        </w:tc>
      </w:tr>
      <w:tr w:rsidR="00421F1B" w:rsidRPr="00795F17" w14:paraId="0A4494F8" w14:textId="77777777" w:rsidTr="00CD1161">
        <w:trPr>
          <w:trHeight w:val="530"/>
        </w:trPr>
        <w:tc>
          <w:tcPr>
            <w:tcW w:w="101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88DAD4D" w14:textId="77777777" w:rsidR="00421F1B" w:rsidRPr="00795F17" w:rsidRDefault="00421F1B" w:rsidP="0044393D">
            <w:pPr>
              <w:pStyle w:val="Teksttabelilewy"/>
            </w:pPr>
            <w:r w:rsidRPr="00795F17">
              <w:t>Opady nawalne</w:t>
            </w:r>
          </w:p>
        </w:tc>
        <w:tc>
          <w:tcPr>
            <w:tcW w:w="786" w:type="pct"/>
            <w:tcBorders>
              <w:top w:val="nil"/>
              <w:left w:val="nil"/>
              <w:bottom w:val="single" w:sz="4" w:space="0" w:color="auto"/>
              <w:right w:val="single" w:sz="4" w:space="0" w:color="auto"/>
            </w:tcBorders>
            <w:shd w:val="clear" w:color="auto" w:fill="auto"/>
            <w:vAlign w:val="center"/>
            <w:hideMark/>
          </w:tcPr>
          <w:p w14:paraId="6E3E4C05" w14:textId="3A87CB64" w:rsidR="00421F1B" w:rsidRPr="00795F17" w:rsidRDefault="00421F1B" w:rsidP="0065243A">
            <w:pPr>
              <w:pStyle w:val="Teksttabelisrodek"/>
            </w:pPr>
            <w:r w:rsidRPr="00795F17">
              <w:t>powyżej 10 mm na dobę: 20</w:t>
            </w:r>
            <w:r w:rsidR="00E40955">
              <w:t xml:space="preserve"> </w:t>
            </w:r>
            <w:r w:rsidRPr="00795F17">
              <w:t>-</w:t>
            </w:r>
            <w:r w:rsidR="00E40955">
              <w:t xml:space="preserve"> </w:t>
            </w:r>
            <w:r w:rsidRPr="00795F17">
              <w:t>30 dni w roku</w:t>
            </w:r>
          </w:p>
        </w:tc>
        <w:tc>
          <w:tcPr>
            <w:tcW w:w="541" w:type="pct"/>
            <w:tcBorders>
              <w:top w:val="nil"/>
              <w:left w:val="nil"/>
              <w:bottom w:val="single" w:sz="4" w:space="0" w:color="auto"/>
              <w:right w:val="single" w:sz="4" w:space="0" w:color="auto"/>
            </w:tcBorders>
            <w:shd w:val="clear" w:color="auto" w:fill="FFFF00"/>
            <w:noWrap/>
            <w:vAlign w:val="center"/>
            <w:hideMark/>
          </w:tcPr>
          <w:p w14:paraId="66F74F21" w14:textId="77777777" w:rsidR="00421F1B" w:rsidRPr="00795F17" w:rsidRDefault="00421F1B" w:rsidP="0065243A">
            <w:pPr>
              <w:pStyle w:val="Teksttabelisrodek"/>
            </w:pPr>
            <w:r w:rsidRPr="00795F17">
              <w:t>średnie</w:t>
            </w:r>
          </w:p>
        </w:tc>
        <w:tc>
          <w:tcPr>
            <w:tcW w:w="796" w:type="pct"/>
            <w:tcBorders>
              <w:top w:val="nil"/>
              <w:left w:val="nil"/>
              <w:bottom w:val="single" w:sz="4" w:space="0" w:color="auto"/>
              <w:right w:val="single" w:sz="4" w:space="0" w:color="auto"/>
            </w:tcBorders>
            <w:shd w:val="clear" w:color="auto" w:fill="auto"/>
            <w:vAlign w:val="center"/>
            <w:hideMark/>
          </w:tcPr>
          <w:p w14:paraId="38A393CF" w14:textId="41131B71" w:rsidR="00421F1B" w:rsidRPr="00795F17" w:rsidRDefault="00421F1B" w:rsidP="0065243A">
            <w:pPr>
              <w:pStyle w:val="Teksttabelisrodek"/>
            </w:pPr>
            <w:r w:rsidRPr="00795F17">
              <w:t>przyrost o 2</w:t>
            </w:r>
            <w:r w:rsidR="00763716">
              <w:t xml:space="preserve"> </w:t>
            </w:r>
            <w:r w:rsidRPr="00795F17">
              <w:t>-</w:t>
            </w:r>
            <w:r w:rsidR="00763716">
              <w:t xml:space="preserve"> </w:t>
            </w:r>
            <w:r w:rsidRPr="00795F17">
              <w:t>3 dni na rok</w:t>
            </w:r>
          </w:p>
        </w:tc>
        <w:tc>
          <w:tcPr>
            <w:tcW w:w="531" w:type="pct"/>
            <w:tcBorders>
              <w:top w:val="nil"/>
              <w:left w:val="nil"/>
              <w:bottom w:val="single" w:sz="4" w:space="0" w:color="auto"/>
              <w:right w:val="single" w:sz="4" w:space="0" w:color="auto"/>
            </w:tcBorders>
            <w:shd w:val="clear" w:color="auto" w:fill="FF0000"/>
            <w:vAlign w:val="center"/>
            <w:hideMark/>
          </w:tcPr>
          <w:p w14:paraId="766A3879" w14:textId="77777777" w:rsidR="00421F1B" w:rsidRPr="00795F17" w:rsidRDefault="00421F1B" w:rsidP="0065243A">
            <w:pPr>
              <w:pStyle w:val="Teksttabelisrodek"/>
            </w:pPr>
            <w:r w:rsidRPr="00795F17">
              <w:t>wysokie</w:t>
            </w:r>
          </w:p>
        </w:tc>
        <w:tc>
          <w:tcPr>
            <w:tcW w:w="805" w:type="pct"/>
            <w:tcBorders>
              <w:top w:val="nil"/>
              <w:left w:val="nil"/>
              <w:bottom w:val="single" w:sz="4" w:space="0" w:color="auto"/>
              <w:right w:val="single" w:sz="4" w:space="0" w:color="auto"/>
            </w:tcBorders>
            <w:shd w:val="clear" w:color="auto" w:fill="auto"/>
            <w:vAlign w:val="center"/>
            <w:hideMark/>
          </w:tcPr>
          <w:p w14:paraId="640576B6" w14:textId="3F5CB895" w:rsidR="00421F1B" w:rsidRPr="00795F17" w:rsidRDefault="00421F1B" w:rsidP="0065243A">
            <w:pPr>
              <w:pStyle w:val="Teksttabelisrodek"/>
            </w:pPr>
            <w:r w:rsidRPr="00795F17">
              <w:t>przyrost o 3</w:t>
            </w:r>
            <w:r w:rsidR="00763716">
              <w:t xml:space="preserve"> </w:t>
            </w:r>
            <w:r w:rsidRPr="00795F17">
              <w:t>-</w:t>
            </w:r>
            <w:r w:rsidR="00763716">
              <w:t xml:space="preserve"> </w:t>
            </w:r>
            <w:r w:rsidRPr="00795F17">
              <w:t>5 dni na rok</w:t>
            </w:r>
          </w:p>
        </w:tc>
        <w:tc>
          <w:tcPr>
            <w:tcW w:w="522" w:type="pct"/>
            <w:tcBorders>
              <w:top w:val="nil"/>
              <w:left w:val="nil"/>
              <w:bottom w:val="single" w:sz="4" w:space="0" w:color="auto"/>
              <w:right w:val="single" w:sz="4" w:space="0" w:color="auto"/>
            </w:tcBorders>
            <w:shd w:val="clear" w:color="auto" w:fill="FF0000"/>
            <w:noWrap/>
            <w:vAlign w:val="center"/>
            <w:hideMark/>
          </w:tcPr>
          <w:p w14:paraId="40A80E97" w14:textId="77777777" w:rsidR="00421F1B" w:rsidRPr="00795F17" w:rsidRDefault="00421F1B" w:rsidP="0065243A">
            <w:pPr>
              <w:pStyle w:val="Teksttabelisrodek"/>
            </w:pPr>
            <w:r w:rsidRPr="00795F17">
              <w:t>wysokie</w:t>
            </w:r>
          </w:p>
        </w:tc>
      </w:tr>
      <w:tr w:rsidR="00421F1B" w:rsidRPr="00795F17" w14:paraId="01B95E13" w14:textId="77777777" w:rsidTr="00CD1161">
        <w:trPr>
          <w:trHeight w:val="717"/>
        </w:trPr>
        <w:tc>
          <w:tcPr>
            <w:tcW w:w="1019" w:type="pct"/>
            <w:vMerge/>
            <w:tcBorders>
              <w:top w:val="nil"/>
              <w:left w:val="single" w:sz="4" w:space="0" w:color="auto"/>
              <w:bottom w:val="single" w:sz="4" w:space="0" w:color="auto"/>
              <w:right w:val="single" w:sz="4" w:space="0" w:color="auto"/>
            </w:tcBorders>
            <w:shd w:val="clear" w:color="auto" w:fill="auto"/>
            <w:vAlign w:val="center"/>
            <w:hideMark/>
          </w:tcPr>
          <w:p w14:paraId="0413A6F8" w14:textId="77777777" w:rsidR="00421F1B" w:rsidRPr="00795F17" w:rsidRDefault="00421F1B" w:rsidP="0044393D">
            <w:pPr>
              <w:pStyle w:val="Teksttabelilewy"/>
            </w:pPr>
          </w:p>
        </w:tc>
        <w:tc>
          <w:tcPr>
            <w:tcW w:w="786" w:type="pct"/>
            <w:tcBorders>
              <w:top w:val="single" w:sz="4" w:space="0" w:color="auto"/>
              <w:left w:val="nil"/>
              <w:bottom w:val="single" w:sz="4" w:space="0" w:color="auto"/>
              <w:right w:val="single" w:sz="4" w:space="0" w:color="auto"/>
            </w:tcBorders>
            <w:shd w:val="clear" w:color="auto" w:fill="auto"/>
            <w:vAlign w:val="center"/>
            <w:hideMark/>
          </w:tcPr>
          <w:p w14:paraId="00F92667" w14:textId="001E685D" w:rsidR="00421F1B" w:rsidRPr="00795F17" w:rsidRDefault="00421F1B" w:rsidP="0065243A">
            <w:pPr>
              <w:pStyle w:val="Teksttabelisrodek"/>
            </w:pPr>
            <w:r w:rsidRPr="00795F17">
              <w:t>powyżej 20 mm na dobę: 2</w:t>
            </w:r>
            <w:r w:rsidR="00E40955">
              <w:t xml:space="preserve"> </w:t>
            </w:r>
            <w:r w:rsidRPr="00795F17">
              <w:t>-</w:t>
            </w:r>
            <w:r w:rsidR="00E40955">
              <w:t xml:space="preserve"> </w:t>
            </w:r>
            <w:r w:rsidRPr="00795F17">
              <w:t>3 dni w roku</w:t>
            </w:r>
          </w:p>
        </w:tc>
        <w:tc>
          <w:tcPr>
            <w:tcW w:w="541" w:type="pct"/>
            <w:tcBorders>
              <w:top w:val="single" w:sz="4" w:space="0" w:color="auto"/>
              <w:left w:val="nil"/>
              <w:bottom w:val="single" w:sz="4" w:space="0" w:color="auto"/>
              <w:right w:val="single" w:sz="4" w:space="0" w:color="auto"/>
            </w:tcBorders>
            <w:shd w:val="clear" w:color="auto" w:fill="FFFF00"/>
            <w:noWrap/>
            <w:vAlign w:val="center"/>
            <w:hideMark/>
          </w:tcPr>
          <w:p w14:paraId="7142FAA2" w14:textId="77777777" w:rsidR="00421F1B" w:rsidRPr="00795F17" w:rsidRDefault="00421F1B" w:rsidP="0065243A">
            <w:pPr>
              <w:pStyle w:val="Teksttabelisrodek"/>
            </w:pPr>
            <w:r w:rsidRPr="00795F17">
              <w:t xml:space="preserve">średnie </w:t>
            </w:r>
          </w:p>
        </w:tc>
        <w:tc>
          <w:tcPr>
            <w:tcW w:w="796" w:type="pct"/>
            <w:tcBorders>
              <w:top w:val="single" w:sz="4" w:space="0" w:color="auto"/>
              <w:left w:val="nil"/>
              <w:bottom w:val="single" w:sz="4" w:space="0" w:color="auto"/>
              <w:right w:val="single" w:sz="4" w:space="0" w:color="auto"/>
            </w:tcBorders>
            <w:shd w:val="clear" w:color="auto" w:fill="auto"/>
            <w:vAlign w:val="center"/>
            <w:hideMark/>
          </w:tcPr>
          <w:p w14:paraId="3196020E" w14:textId="124E90FD" w:rsidR="00421F1B" w:rsidRPr="00795F17" w:rsidRDefault="00421F1B" w:rsidP="0065243A">
            <w:pPr>
              <w:pStyle w:val="Teksttabelisrodek"/>
            </w:pPr>
            <w:r w:rsidRPr="00795F17">
              <w:t>przyrost do 1,0</w:t>
            </w:r>
            <w:r w:rsidR="00763716">
              <w:t xml:space="preserve"> </w:t>
            </w:r>
            <w:r w:rsidRPr="00795F17">
              <w:t>-</w:t>
            </w:r>
            <w:r w:rsidR="00763716">
              <w:t xml:space="preserve"> </w:t>
            </w:r>
            <w:r w:rsidRPr="00795F17">
              <w:t>2,5 dnia na rok</w:t>
            </w:r>
          </w:p>
        </w:tc>
        <w:tc>
          <w:tcPr>
            <w:tcW w:w="531" w:type="pct"/>
            <w:tcBorders>
              <w:top w:val="single" w:sz="4" w:space="0" w:color="auto"/>
              <w:left w:val="nil"/>
              <w:bottom w:val="single" w:sz="4" w:space="0" w:color="auto"/>
              <w:right w:val="single" w:sz="4" w:space="0" w:color="auto"/>
            </w:tcBorders>
            <w:shd w:val="clear" w:color="auto" w:fill="FF0000"/>
            <w:vAlign w:val="center"/>
            <w:hideMark/>
          </w:tcPr>
          <w:p w14:paraId="62D992FF" w14:textId="77777777" w:rsidR="00421F1B" w:rsidRPr="00795F17" w:rsidRDefault="00421F1B" w:rsidP="0065243A">
            <w:pPr>
              <w:pStyle w:val="Teksttabelisrodek"/>
            </w:pPr>
            <w:r w:rsidRPr="00795F17">
              <w:t>wysokie</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4FE93E84" w14:textId="6A517B9A" w:rsidR="00421F1B" w:rsidRPr="00795F17" w:rsidRDefault="00421F1B" w:rsidP="0065243A">
            <w:pPr>
              <w:pStyle w:val="Teksttabelisrodek"/>
            </w:pPr>
            <w:r w:rsidRPr="00795F17">
              <w:t>przyrost do 1,2</w:t>
            </w:r>
            <w:r w:rsidR="00763716">
              <w:t xml:space="preserve"> </w:t>
            </w:r>
            <w:r w:rsidRPr="00795F17">
              <w:t>-</w:t>
            </w:r>
            <w:r w:rsidR="00763716">
              <w:t xml:space="preserve"> </w:t>
            </w:r>
            <w:r w:rsidRPr="00795F17">
              <w:t>2,1 dnia na rok</w:t>
            </w:r>
          </w:p>
        </w:tc>
        <w:tc>
          <w:tcPr>
            <w:tcW w:w="522" w:type="pct"/>
            <w:tcBorders>
              <w:top w:val="single" w:sz="4" w:space="0" w:color="auto"/>
              <w:left w:val="nil"/>
              <w:bottom w:val="single" w:sz="4" w:space="0" w:color="auto"/>
              <w:right w:val="single" w:sz="4" w:space="0" w:color="auto"/>
            </w:tcBorders>
            <w:shd w:val="clear" w:color="auto" w:fill="FF0000"/>
            <w:noWrap/>
            <w:vAlign w:val="center"/>
            <w:hideMark/>
          </w:tcPr>
          <w:p w14:paraId="42102DC9" w14:textId="77777777" w:rsidR="00421F1B" w:rsidRPr="00795F17" w:rsidRDefault="00421F1B" w:rsidP="0065243A">
            <w:pPr>
              <w:pStyle w:val="Teksttabelisrodek"/>
            </w:pPr>
            <w:r w:rsidRPr="00795F17">
              <w:t>wysokie</w:t>
            </w:r>
          </w:p>
        </w:tc>
      </w:tr>
      <w:tr w:rsidR="00421F1B" w:rsidRPr="00795F17" w14:paraId="4FED6D1B"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F5AC184" w14:textId="77777777" w:rsidR="00421F1B" w:rsidRPr="00795F17" w:rsidRDefault="00421F1B" w:rsidP="0044393D">
            <w:pPr>
              <w:pStyle w:val="Teksttabelilewy"/>
            </w:pPr>
            <w:r w:rsidRPr="00795F17">
              <w:t>Opady i zaleganie śniegu</w:t>
            </w:r>
          </w:p>
        </w:tc>
        <w:tc>
          <w:tcPr>
            <w:tcW w:w="786" w:type="pct"/>
            <w:tcBorders>
              <w:top w:val="nil"/>
              <w:left w:val="nil"/>
              <w:bottom w:val="single" w:sz="4" w:space="0" w:color="auto"/>
              <w:right w:val="single" w:sz="4" w:space="0" w:color="auto"/>
            </w:tcBorders>
            <w:shd w:val="clear" w:color="auto" w:fill="auto"/>
            <w:vAlign w:val="center"/>
            <w:hideMark/>
          </w:tcPr>
          <w:p w14:paraId="17BEAACB" w14:textId="2544B281" w:rsidR="00421F1B" w:rsidRPr="00795F17" w:rsidRDefault="00421F1B" w:rsidP="0065243A">
            <w:pPr>
              <w:pStyle w:val="Teksttabelisrodek"/>
            </w:pPr>
            <w:r w:rsidRPr="00795F17">
              <w:t>do 30</w:t>
            </w:r>
            <w:r w:rsidR="00E40955">
              <w:t xml:space="preserve"> </w:t>
            </w:r>
            <w:r w:rsidRPr="00795F17">
              <w:t>-</w:t>
            </w:r>
            <w:r w:rsidR="00E40955">
              <w:t xml:space="preserve"> </w:t>
            </w:r>
            <w:r w:rsidRPr="00795F17">
              <w:t>60 dni rocznie z</w:t>
            </w:r>
            <w:r w:rsidR="00E40955">
              <w:t> </w:t>
            </w:r>
            <w:r w:rsidRPr="00795F17">
              <w:t>zaleganiem śniegu</w:t>
            </w:r>
          </w:p>
        </w:tc>
        <w:tc>
          <w:tcPr>
            <w:tcW w:w="541" w:type="pct"/>
            <w:tcBorders>
              <w:top w:val="nil"/>
              <w:left w:val="nil"/>
              <w:bottom w:val="single" w:sz="4" w:space="0" w:color="auto"/>
              <w:right w:val="single" w:sz="4" w:space="0" w:color="auto"/>
            </w:tcBorders>
            <w:shd w:val="clear" w:color="auto" w:fill="FFFF00"/>
            <w:noWrap/>
            <w:vAlign w:val="center"/>
            <w:hideMark/>
          </w:tcPr>
          <w:p w14:paraId="08AADCF4" w14:textId="77777777" w:rsidR="00421F1B" w:rsidRPr="00795F17" w:rsidRDefault="00421F1B" w:rsidP="0065243A">
            <w:pPr>
              <w:pStyle w:val="Teksttabelisrodek"/>
            </w:pPr>
            <w:r w:rsidRPr="00795F17">
              <w:t>średnie</w:t>
            </w:r>
          </w:p>
        </w:tc>
        <w:tc>
          <w:tcPr>
            <w:tcW w:w="796" w:type="pct"/>
            <w:tcBorders>
              <w:top w:val="nil"/>
              <w:left w:val="nil"/>
              <w:bottom w:val="single" w:sz="4" w:space="0" w:color="auto"/>
              <w:right w:val="single" w:sz="4" w:space="0" w:color="auto"/>
            </w:tcBorders>
            <w:shd w:val="clear" w:color="auto" w:fill="auto"/>
            <w:vAlign w:val="center"/>
            <w:hideMark/>
          </w:tcPr>
          <w:p w14:paraId="1DEB40C1" w14:textId="77777777" w:rsidR="00421F1B" w:rsidRPr="00795F17" w:rsidRDefault="00421F1B" w:rsidP="0065243A">
            <w:pPr>
              <w:pStyle w:val="Teksttabelisrodek"/>
            </w:pPr>
            <w:r w:rsidRPr="00795F17">
              <w:t>spadek liczby dni zalegania śniegu, duża niepewność wyników prognozy</w:t>
            </w:r>
          </w:p>
        </w:tc>
        <w:tc>
          <w:tcPr>
            <w:tcW w:w="531" w:type="pct"/>
            <w:tcBorders>
              <w:top w:val="nil"/>
              <w:left w:val="nil"/>
              <w:bottom w:val="single" w:sz="4" w:space="0" w:color="auto"/>
              <w:right w:val="single" w:sz="4" w:space="0" w:color="auto"/>
            </w:tcBorders>
            <w:shd w:val="clear" w:color="auto" w:fill="92D050"/>
            <w:vAlign w:val="center"/>
            <w:hideMark/>
          </w:tcPr>
          <w:p w14:paraId="651FE3DC"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13754E29" w14:textId="77777777" w:rsidR="00421F1B" w:rsidRPr="00795F17" w:rsidRDefault="00421F1B" w:rsidP="0065243A">
            <w:pPr>
              <w:pStyle w:val="Teksttabelisrodek"/>
            </w:pPr>
            <w:r w:rsidRPr="00795F17">
              <w:t>spadek liczby dni zalegania śniegu, możliwy brak pokrywy śnieżnej</w:t>
            </w:r>
          </w:p>
        </w:tc>
        <w:tc>
          <w:tcPr>
            <w:tcW w:w="522" w:type="pct"/>
            <w:tcBorders>
              <w:top w:val="nil"/>
              <w:left w:val="nil"/>
              <w:bottom w:val="single" w:sz="4" w:space="0" w:color="auto"/>
              <w:right w:val="single" w:sz="4" w:space="0" w:color="auto"/>
            </w:tcBorders>
            <w:shd w:val="clear" w:color="auto" w:fill="92D050"/>
            <w:noWrap/>
            <w:vAlign w:val="center"/>
            <w:hideMark/>
          </w:tcPr>
          <w:p w14:paraId="16442934" w14:textId="77777777" w:rsidR="00421F1B" w:rsidRPr="00795F17" w:rsidRDefault="00421F1B" w:rsidP="0065243A">
            <w:pPr>
              <w:pStyle w:val="Teksttabelisrodek"/>
            </w:pPr>
            <w:r w:rsidRPr="00795F17">
              <w:t>niskie</w:t>
            </w:r>
          </w:p>
        </w:tc>
      </w:tr>
      <w:tr w:rsidR="00421F1B" w:rsidRPr="00795F17" w14:paraId="4B084442"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27F8E02" w14:textId="77777777" w:rsidR="00421F1B" w:rsidRPr="00795F17" w:rsidRDefault="00421F1B" w:rsidP="0044393D">
            <w:pPr>
              <w:pStyle w:val="Teksttabelilewy"/>
            </w:pPr>
            <w:r w:rsidRPr="00795F17">
              <w:t>Susza</w:t>
            </w:r>
          </w:p>
        </w:tc>
        <w:tc>
          <w:tcPr>
            <w:tcW w:w="786" w:type="pct"/>
            <w:tcBorders>
              <w:top w:val="nil"/>
              <w:left w:val="nil"/>
              <w:bottom w:val="single" w:sz="4" w:space="0" w:color="auto"/>
              <w:right w:val="single" w:sz="4" w:space="0" w:color="auto"/>
            </w:tcBorders>
            <w:shd w:val="clear" w:color="auto" w:fill="auto"/>
            <w:vAlign w:val="center"/>
            <w:hideMark/>
          </w:tcPr>
          <w:p w14:paraId="5277BD77" w14:textId="5780CD76" w:rsidR="00421F1B" w:rsidRPr="00795F17" w:rsidRDefault="00421F1B" w:rsidP="0065243A">
            <w:pPr>
              <w:pStyle w:val="Teksttabelisrodek"/>
            </w:pPr>
            <w:r w:rsidRPr="00795F17">
              <w:t>ok</w:t>
            </w:r>
            <w:r w:rsidR="00E40955">
              <w:t>oło</w:t>
            </w:r>
            <w:r w:rsidRPr="00795F17">
              <w:t xml:space="preserve"> 235</w:t>
            </w:r>
            <w:r w:rsidR="00E40955">
              <w:t xml:space="preserve"> </w:t>
            </w:r>
            <w:r w:rsidRPr="00795F17">
              <w:t>-</w:t>
            </w:r>
            <w:r w:rsidR="00E40955">
              <w:t xml:space="preserve"> </w:t>
            </w:r>
            <w:r w:rsidRPr="00795F17">
              <w:t>245 dni w roku bez opadu</w:t>
            </w:r>
          </w:p>
        </w:tc>
        <w:tc>
          <w:tcPr>
            <w:tcW w:w="541" w:type="pct"/>
            <w:tcBorders>
              <w:top w:val="nil"/>
              <w:left w:val="nil"/>
              <w:bottom w:val="single" w:sz="4" w:space="0" w:color="auto"/>
              <w:right w:val="single" w:sz="4" w:space="0" w:color="auto"/>
            </w:tcBorders>
            <w:shd w:val="clear" w:color="auto" w:fill="FFFF00"/>
            <w:noWrap/>
            <w:vAlign w:val="center"/>
            <w:hideMark/>
          </w:tcPr>
          <w:p w14:paraId="56AC56CB" w14:textId="77777777" w:rsidR="00421F1B" w:rsidRPr="00795F17" w:rsidRDefault="00421F1B" w:rsidP="0065243A">
            <w:pPr>
              <w:pStyle w:val="Teksttabelisrodek"/>
            </w:pPr>
            <w:r w:rsidRPr="00795F17">
              <w:t>średnie</w:t>
            </w:r>
          </w:p>
        </w:tc>
        <w:tc>
          <w:tcPr>
            <w:tcW w:w="796" w:type="pct"/>
            <w:tcBorders>
              <w:top w:val="nil"/>
              <w:left w:val="nil"/>
              <w:bottom w:val="single" w:sz="4" w:space="0" w:color="auto"/>
              <w:right w:val="single" w:sz="4" w:space="0" w:color="auto"/>
            </w:tcBorders>
            <w:shd w:val="clear" w:color="auto" w:fill="auto"/>
            <w:noWrap/>
            <w:vAlign w:val="center"/>
            <w:hideMark/>
          </w:tcPr>
          <w:p w14:paraId="2C8A9E69" w14:textId="03571677" w:rsidR="00421F1B" w:rsidRPr="00795F17" w:rsidRDefault="00421F1B" w:rsidP="0065243A">
            <w:pPr>
              <w:pStyle w:val="Teksttabelisrodek"/>
            </w:pPr>
            <w:r w:rsidRPr="00795F17">
              <w:t>przyrost liczby dni bez opadu o</w:t>
            </w:r>
            <w:r w:rsidR="00763716">
              <w:t> </w:t>
            </w:r>
            <w:r w:rsidRPr="00795F17">
              <w:t>1,1</w:t>
            </w:r>
            <w:r w:rsidR="00763716">
              <w:t xml:space="preserve"> </w:t>
            </w:r>
            <w:r w:rsidRPr="00795F17">
              <w:t>-</w:t>
            </w:r>
            <w:r w:rsidR="00763716">
              <w:t xml:space="preserve"> </w:t>
            </w:r>
            <w:r w:rsidRPr="00795F17">
              <w:t>2,9 dnia w środkowej części regionu</w:t>
            </w:r>
          </w:p>
        </w:tc>
        <w:tc>
          <w:tcPr>
            <w:tcW w:w="531" w:type="pct"/>
            <w:tcBorders>
              <w:top w:val="nil"/>
              <w:left w:val="nil"/>
              <w:bottom w:val="single" w:sz="4" w:space="0" w:color="auto"/>
              <w:right w:val="single" w:sz="4" w:space="0" w:color="auto"/>
            </w:tcBorders>
            <w:shd w:val="clear" w:color="auto" w:fill="FFFF00"/>
            <w:vAlign w:val="center"/>
            <w:hideMark/>
          </w:tcPr>
          <w:p w14:paraId="5CEBF4DD" w14:textId="77777777" w:rsidR="00421F1B" w:rsidRPr="00795F17" w:rsidRDefault="00421F1B" w:rsidP="0065243A">
            <w:pPr>
              <w:pStyle w:val="Teksttabelisrodek"/>
            </w:pPr>
            <w:r w:rsidRPr="00795F17">
              <w:t>średnie</w:t>
            </w:r>
          </w:p>
        </w:tc>
        <w:tc>
          <w:tcPr>
            <w:tcW w:w="805" w:type="pct"/>
            <w:tcBorders>
              <w:top w:val="nil"/>
              <w:left w:val="nil"/>
              <w:bottom w:val="single" w:sz="4" w:space="0" w:color="auto"/>
              <w:right w:val="single" w:sz="4" w:space="0" w:color="auto"/>
            </w:tcBorders>
            <w:shd w:val="clear" w:color="auto" w:fill="auto"/>
            <w:vAlign w:val="center"/>
            <w:hideMark/>
          </w:tcPr>
          <w:p w14:paraId="631DB081" w14:textId="125AB841" w:rsidR="00421F1B" w:rsidRPr="00795F17" w:rsidRDefault="00421F1B" w:rsidP="0065243A">
            <w:pPr>
              <w:pStyle w:val="Teksttabelisrodek"/>
            </w:pPr>
            <w:r w:rsidRPr="00795F17">
              <w:t>spadek liczby dni bez opadu w zakresie 0,2</w:t>
            </w:r>
            <w:r w:rsidR="00763716">
              <w:t xml:space="preserve"> </w:t>
            </w:r>
            <w:r w:rsidRPr="00795F17">
              <w:t>-</w:t>
            </w:r>
            <w:r w:rsidR="00763716">
              <w:t xml:space="preserve"> </w:t>
            </w:r>
            <w:r w:rsidRPr="00795F17">
              <w:t>0,7 dnia na rok, duża niepewność wyniku</w:t>
            </w:r>
          </w:p>
        </w:tc>
        <w:tc>
          <w:tcPr>
            <w:tcW w:w="522" w:type="pct"/>
            <w:tcBorders>
              <w:top w:val="nil"/>
              <w:left w:val="nil"/>
              <w:bottom w:val="single" w:sz="4" w:space="0" w:color="auto"/>
              <w:right w:val="single" w:sz="4" w:space="0" w:color="auto"/>
            </w:tcBorders>
            <w:shd w:val="clear" w:color="auto" w:fill="FFFF00"/>
            <w:noWrap/>
            <w:vAlign w:val="center"/>
            <w:hideMark/>
          </w:tcPr>
          <w:p w14:paraId="05092620" w14:textId="77777777" w:rsidR="00421F1B" w:rsidRPr="00795F17" w:rsidRDefault="00421F1B" w:rsidP="0065243A">
            <w:pPr>
              <w:pStyle w:val="Teksttabelisrodek"/>
            </w:pPr>
            <w:r w:rsidRPr="00795F17">
              <w:t>średnie</w:t>
            </w:r>
          </w:p>
        </w:tc>
      </w:tr>
    </w:tbl>
    <w:p w14:paraId="172F7F61" w14:textId="0D08C113" w:rsidR="00421F1B" w:rsidRPr="00795F17" w:rsidRDefault="00421F1B" w:rsidP="0044393D">
      <w:pPr>
        <w:pStyle w:val="rdo"/>
      </w:pPr>
      <w:r w:rsidRPr="00795F17">
        <w:t xml:space="preserve">Źródło: </w:t>
      </w:r>
      <w:r w:rsidR="00FD7248" w:rsidRPr="00795F17">
        <w:t>opracowanie własne</w:t>
      </w:r>
    </w:p>
    <w:p w14:paraId="14367931" w14:textId="77777777" w:rsidR="00421F1B" w:rsidRPr="00795F17" w:rsidRDefault="00421F1B" w:rsidP="0044393D">
      <w:pPr>
        <w:pStyle w:val="Nagwek5"/>
      </w:pPr>
      <w:r w:rsidRPr="00795F17">
        <w:t>Region wodny Noteci</w:t>
      </w:r>
    </w:p>
    <w:p w14:paraId="08D4152F" w14:textId="3F058A9A" w:rsidR="00421F1B" w:rsidRPr="00795F17" w:rsidRDefault="00421F1B" w:rsidP="0044393D">
      <w:r w:rsidRPr="00795F17">
        <w:t xml:space="preserve">Zmiany klimatu prognozowane w tym regionie mają charakter typowy dla obszaru nizinnego z przewagą równin. Pod względem hydrologicznym Noteć pełni rolę tranzytową, odwadniając duży system pradoliny. Podsumowanie prognozowanych zmian klimatu zestawiono w tabeli </w:t>
      </w:r>
      <w:r w:rsidR="003C4376" w:rsidRPr="00795F17">
        <w:t>4-</w:t>
      </w:r>
      <w:r w:rsidR="00613B2D" w:rsidRPr="00795F17">
        <w:t>5</w:t>
      </w:r>
      <w:r w:rsidRPr="00795F17">
        <w:t xml:space="preserve">. W porównaniu do regionów sąsiednich Odry oraz sąsiadującego od wschodu </w:t>
      </w:r>
      <w:r w:rsidR="004A2DD7" w:rsidRPr="00795F17">
        <w:t xml:space="preserve">obszaru </w:t>
      </w:r>
      <w:r w:rsidRPr="00795F17">
        <w:t>dorzecza Wisły region Noteci charakteryzują cechy przejściowości między wpływem cech kontynentalnych klimatu i</w:t>
      </w:r>
      <w:r w:rsidR="004A2DD7" w:rsidRPr="00795F17">
        <w:t> </w:t>
      </w:r>
      <w:r w:rsidRPr="00795F17">
        <w:t>kierunku jego zmian w przyszłości a klimatem oceanicznym. W rozkładzie przestrzennym prognozowanej zmiany klimatu zaznacza się ocieplający wpływ Bałtyku i oceanicznych mas powietrza na przyszły klimat oraz jego większa stabilność, co oznacza mniejszą zmianę w stosunku do</w:t>
      </w:r>
      <w:r w:rsidR="004A2DD7" w:rsidRPr="00795F17">
        <w:t> </w:t>
      </w:r>
      <w:r w:rsidRPr="00795F17">
        <w:t xml:space="preserve">współczesności. Jednocześnie wschodnia część regionu jest pod wpływem cech kontynentalnych </w:t>
      </w:r>
      <w:r w:rsidR="000F21F2">
        <w:t>–</w:t>
      </w:r>
      <w:r w:rsidRPr="00795F17">
        <w:t xml:space="preserve"> z intensywnym ociepleniem pór ciepłej i chłodnej, przyrostem sumy i czasu trwania opadów. Ta</w:t>
      </w:r>
      <w:r w:rsidR="004A2DD7" w:rsidRPr="00795F17">
        <w:t> </w:t>
      </w:r>
      <w:r w:rsidRPr="00795F17">
        <w:t>dwoistość będzie się ujawniać również w przyszłości.</w:t>
      </w:r>
    </w:p>
    <w:p w14:paraId="4B3D7162" w14:textId="77777777" w:rsidR="00421F1B" w:rsidRPr="00795F17" w:rsidRDefault="00421F1B" w:rsidP="0044393D">
      <w:r w:rsidRPr="00795F17">
        <w:t>Z punktu widzenia gospodarki wodnej ważne znaczenie ma wydłużanie się okresu wegetacyjnego bez kompensującego zwiększenia sumy opadów, w tym skrócenia okresu występowania pokrywy śnieżnej wraz z możliwością jej zaniku z końcem wieku. Z dużym prawdopodobieństwem będzie to powodować zmianę/modyfikację ustroju hydrologicznego w regionie.</w:t>
      </w:r>
    </w:p>
    <w:p w14:paraId="0F33971E" w14:textId="52A318B3" w:rsidR="00421F1B" w:rsidRPr="00795F17" w:rsidRDefault="00421F1B" w:rsidP="0044393D">
      <w:r w:rsidRPr="00795F17">
        <w:t xml:space="preserve">Cechą korzystną przyszłości klimatycznej jest niska liczba i brak znaczącego przyrostu opadów o wysokim natężeniu. Niekorzystne z punktu widzenia zasobów wód powierzchniowych są przyrost liczby dni bardzo gorących i wydłużenie okresu wegetacyjnego, co może mieć negatywny wpływ na wzrost temperatury wód powierzchniowych, aktywowanie procesów biologicznych w wodach i wzrost stężenia substancji </w:t>
      </w:r>
      <w:r w:rsidR="005F04A6" w:rsidRPr="00795F17">
        <w:t xml:space="preserve">rozpuszczonych </w:t>
      </w:r>
      <w:r w:rsidRPr="00795F17">
        <w:t>w wodach w wyniku intensywnego parowania.</w:t>
      </w:r>
    </w:p>
    <w:p w14:paraId="49391D8F" w14:textId="77777777" w:rsidR="00421F1B" w:rsidRPr="00795F17" w:rsidRDefault="00421F1B" w:rsidP="0044393D">
      <w:r w:rsidRPr="00795F17">
        <w:t>Analizując narażenie na czynniki klimatyczne, należy podkreślić, że w najbliższym cyklu planistycznym nie przewiduje się gwałtownego przyrostu (gwałtownej zmiany) parametrów meteorologicznych. Kontynuowana będzie dotychczasowa tendencja do stopniowego wzrostu średniej temperatury powietrza. Dopiero od drugiej połowy XXI w. należy oczekiwać istotnych dla gospodarki wodnej zmian w wyniku presji klimatycznej.</w:t>
      </w:r>
    </w:p>
    <w:p w14:paraId="2F2FD19D" w14:textId="51D1E8A2" w:rsidR="00421F1B" w:rsidRPr="00795F17" w:rsidRDefault="00421F1B" w:rsidP="004D7705">
      <w:pPr>
        <w:pStyle w:val="Tabela"/>
        <w:rPr>
          <w:i/>
        </w:rPr>
      </w:pPr>
      <w:bookmarkStart w:id="118" w:name="_Toc66341854"/>
      <w:bookmarkStart w:id="119" w:name="_Toc105512764"/>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1F774D">
        <w:rPr>
          <w:bCs/>
          <w:noProof/>
        </w:rPr>
        <w:t>4</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1F774D">
        <w:rPr>
          <w:bCs/>
          <w:noProof/>
        </w:rPr>
        <w:t>5</w:t>
      </w:r>
      <w:r w:rsidR="00BB3B21" w:rsidRPr="00795F17">
        <w:rPr>
          <w:bCs/>
        </w:rPr>
        <w:fldChar w:fldCharType="end"/>
      </w:r>
      <w:r w:rsidR="00BA11D4">
        <w:rPr>
          <w:bCs/>
        </w:rPr>
        <w:t>.</w:t>
      </w:r>
      <w:r w:rsidRPr="00795F17">
        <w:rPr>
          <w:bCs/>
        </w:rPr>
        <w:tab/>
      </w:r>
      <w:r w:rsidRPr="00795F17">
        <w:t xml:space="preserve">Charakterystyka klimatyczna </w:t>
      </w:r>
      <w:r w:rsidR="00D94003">
        <w:t>–</w:t>
      </w:r>
      <w:r w:rsidRPr="00795F17">
        <w:t xml:space="preserve"> obszar dorzecza Odry </w:t>
      </w:r>
      <w:r w:rsidR="00D94003">
        <w:t>–</w:t>
      </w:r>
      <w:r w:rsidRPr="00795F17">
        <w:t xml:space="preserve"> region wodny Noteci</w:t>
      </w:r>
      <w:bookmarkEnd w:id="118"/>
      <w:bookmarkEnd w:id="119"/>
    </w:p>
    <w:tbl>
      <w:tblPr>
        <w:tblW w:w="5000" w:type="pct"/>
        <w:tblLayout w:type="fixed"/>
        <w:tblCellMar>
          <w:left w:w="70" w:type="dxa"/>
          <w:right w:w="70" w:type="dxa"/>
        </w:tblCellMar>
        <w:tblLook w:val="04A0" w:firstRow="1" w:lastRow="0" w:firstColumn="1" w:lastColumn="0" w:noHBand="0" w:noVBand="1"/>
      </w:tblPr>
      <w:tblGrid>
        <w:gridCol w:w="1826"/>
        <w:gridCol w:w="1406"/>
        <w:gridCol w:w="971"/>
        <w:gridCol w:w="1533"/>
        <w:gridCol w:w="953"/>
        <w:gridCol w:w="1441"/>
        <w:gridCol w:w="932"/>
      </w:tblGrid>
      <w:tr w:rsidR="00421F1B" w:rsidRPr="00795F17" w14:paraId="0B7F633E" w14:textId="77777777" w:rsidTr="00965363">
        <w:trPr>
          <w:cantSplit/>
          <w:trHeight w:val="1794"/>
          <w:tblHeader/>
        </w:trPr>
        <w:tc>
          <w:tcPr>
            <w:tcW w:w="100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88945A2" w14:textId="77777777" w:rsidR="00421F1B" w:rsidRPr="00795F17" w:rsidRDefault="00421F1B" w:rsidP="0044393D">
            <w:pPr>
              <w:pStyle w:val="Teksttabelinaglowek"/>
            </w:pPr>
            <w:bookmarkStart w:id="120" w:name="_Hlk61430184"/>
            <w:r w:rsidRPr="00795F17">
              <w:t>Czynnik</w:t>
            </w:r>
          </w:p>
        </w:tc>
        <w:tc>
          <w:tcPr>
            <w:tcW w:w="77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25412A46" w14:textId="6CFBC19D" w:rsidR="00421F1B" w:rsidRPr="00795F17" w:rsidRDefault="00421F1B" w:rsidP="00FD672E">
            <w:pPr>
              <w:pStyle w:val="Teksttabelinaglowek"/>
              <w:ind w:left="57"/>
              <w:jc w:val="left"/>
              <w:rPr>
                <w:rFonts w:cstheme="minorHAnsi"/>
              </w:rPr>
            </w:pPr>
            <w:r w:rsidRPr="00795F17">
              <w:t>Skala zjawiska w</w:t>
            </w:r>
            <w:r w:rsidR="00273D3D">
              <w:t> </w:t>
            </w:r>
            <w:r w:rsidRPr="00795F17">
              <w:t>bieżącym cyklu planistycznym</w:t>
            </w:r>
          </w:p>
        </w:tc>
        <w:tc>
          <w:tcPr>
            <w:tcW w:w="536"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4FFF91C6" w14:textId="77777777" w:rsidR="00421F1B" w:rsidRPr="00795F17" w:rsidRDefault="00421F1B" w:rsidP="00FD672E">
            <w:pPr>
              <w:pStyle w:val="Teksttabelinaglowek"/>
              <w:ind w:left="57"/>
              <w:jc w:val="left"/>
              <w:rPr>
                <w:rFonts w:cstheme="minorHAnsi"/>
              </w:rPr>
            </w:pPr>
            <w:r w:rsidRPr="00795F17">
              <w:t xml:space="preserve">Dotychczasowe </w:t>
            </w:r>
            <w:r w:rsidRPr="00795F17">
              <w:rPr>
                <w:rFonts w:cstheme="minorHAnsi"/>
              </w:rPr>
              <w:t>narażenie</w:t>
            </w:r>
          </w:p>
        </w:tc>
        <w:tc>
          <w:tcPr>
            <w:tcW w:w="84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1A884AAC" w14:textId="113F85AB" w:rsidR="00421F1B" w:rsidRPr="00795F17" w:rsidRDefault="00421F1B" w:rsidP="00FD672E">
            <w:pPr>
              <w:pStyle w:val="Teksttabelinaglowek"/>
              <w:ind w:left="57"/>
              <w:jc w:val="left"/>
              <w:rPr>
                <w:rFonts w:cstheme="minorHAnsi"/>
              </w:rPr>
            </w:pPr>
            <w:r w:rsidRPr="00795F17">
              <w:t>Zmiany klimatu do</w:t>
            </w:r>
            <w:r w:rsidR="00273D3D">
              <w:t> </w:t>
            </w:r>
            <w:r w:rsidRPr="00795F17">
              <w:t>2030 r.</w:t>
            </w:r>
          </w:p>
        </w:tc>
        <w:tc>
          <w:tcPr>
            <w:tcW w:w="526"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79A577FB" w14:textId="77777777" w:rsidR="00421F1B" w:rsidRPr="00795F17" w:rsidRDefault="00421F1B" w:rsidP="00FD672E">
            <w:pPr>
              <w:pStyle w:val="Teksttabelinaglowek"/>
              <w:ind w:left="57"/>
              <w:jc w:val="left"/>
              <w:rPr>
                <w:rFonts w:cstheme="minorHAnsi"/>
              </w:rPr>
            </w:pPr>
            <w:r w:rsidRPr="00795F17">
              <w:t xml:space="preserve">Przyszłe narażenie </w:t>
            </w:r>
            <w:r w:rsidRPr="00795F17">
              <w:br/>
              <w:t>(do 2030 r.)</w:t>
            </w:r>
          </w:p>
        </w:tc>
        <w:tc>
          <w:tcPr>
            <w:tcW w:w="795"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5BF8CDAB" w14:textId="4CF7BEAC" w:rsidR="00421F1B" w:rsidRPr="00795F17" w:rsidRDefault="00421F1B" w:rsidP="00FD672E">
            <w:pPr>
              <w:pStyle w:val="Teksttabelinaglowek"/>
              <w:ind w:left="57"/>
              <w:jc w:val="left"/>
              <w:rPr>
                <w:rFonts w:cstheme="minorHAnsi"/>
              </w:rPr>
            </w:pPr>
            <w:r w:rsidRPr="00795F17">
              <w:t>Zmiany klimatu</w:t>
            </w:r>
            <w:r w:rsidRPr="00795F17">
              <w:rPr>
                <w:rFonts w:cstheme="minorHAnsi"/>
              </w:rPr>
              <w:t xml:space="preserve"> do</w:t>
            </w:r>
            <w:r w:rsidR="00273D3D">
              <w:rPr>
                <w:rFonts w:cstheme="minorHAnsi"/>
              </w:rPr>
              <w:t> </w:t>
            </w:r>
            <w:r w:rsidRPr="00795F17">
              <w:rPr>
                <w:rFonts w:cstheme="minorHAnsi"/>
              </w:rPr>
              <w:t>2100 r.</w:t>
            </w:r>
          </w:p>
        </w:tc>
        <w:tc>
          <w:tcPr>
            <w:tcW w:w="515"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72F71221" w14:textId="77777777" w:rsidR="00421F1B" w:rsidRPr="00795F17" w:rsidRDefault="00421F1B" w:rsidP="00FD672E">
            <w:pPr>
              <w:pStyle w:val="Teksttabelinaglowek"/>
              <w:ind w:left="57"/>
              <w:jc w:val="left"/>
              <w:rPr>
                <w:rFonts w:cstheme="minorHAnsi"/>
              </w:rPr>
            </w:pPr>
            <w:r w:rsidRPr="00795F17">
              <w:t xml:space="preserve">Przyszłe narażenie </w:t>
            </w:r>
            <w:r w:rsidRPr="00795F17">
              <w:br/>
              <w:t>(do 2100 r.)</w:t>
            </w:r>
          </w:p>
        </w:tc>
      </w:tr>
      <w:tr w:rsidR="00421F1B" w:rsidRPr="00795F17" w14:paraId="2999104D" w14:textId="77777777" w:rsidTr="00FD672E">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310F00B0" w14:textId="77777777" w:rsidR="00421F1B" w:rsidRPr="00795F17" w:rsidRDefault="00421F1B" w:rsidP="0044393D">
            <w:pPr>
              <w:pStyle w:val="Teksttabelilewy"/>
            </w:pPr>
            <w:r w:rsidRPr="00795F17">
              <w:t>Średnia temperatura powietrza</w:t>
            </w:r>
          </w:p>
        </w:tc>
        <w:tc>
          <w:tcPr>
            <w:tcW w:w="776" w:type="pct"/>
            <w:tcBorders>
              <w:top w:val="nil"/>
              <w:left w:val="nil"/>
              <w:bottom w:val="single" w:sz="4" w:space="0" w:color="auto"/>
              <w:right w:val="single" w:sz="4" w:space="0" w:color="auto"/>
            </w:tcBorders>
            <w:shd w:val="clear" w:color="auto" w:fill="auto"/>
            <w:noWrap/>
            <w:vAlign w:val="center"/>
            <w:hideMark/>
          </w:tcPr>
          <w:p w14:paraId="279A3E80" w14:textId="269D8C5D" w:rsidR="00421F1B" w:rsidRPr="00795F17" w:rsidRDefault="00421F1B" w:rsidP="0065243A">
            <w:pPr>
              <w:pStyle w:val="Teksttabelisrodek"/>
            </w:pPr>
            <w:r w:rsidRPr="00795F17">
              <w:t>9,0</w:t>
            </w:r>
            <w:r w:rsidR="0002298F">
              <w:t xml:space="preserve"> </w:t>
            </w:r>
            <w:r w:rsidRPr="00795F17">
              <w:t>-</w:t>
            </w:r>
            <w:r w:rsidR="0002298F">
              <w:t xml:space="preserve"> </w:t>
            </w:r>
            <w:r w:rsidRPr="00795F17">
              <w:t>9,4°C</w:t>
            </w:r>
          </w:p>
        </w:tc>
        <w:tc>
          <w:tcPr>
            <w:tcW w:w="536" w:type="pct"/>
            <w:tcBorders>
              <w:top w:val="nil"/>
              <w:left w:val="nil"/>
              <w:bottom w:val="single" w:sz="4" w:space="0" w:color="auto"/>
              <w:right w:val="single" w:sz="4" w:space="0" w:color="auto"/>
            </w:tcBorders>
            <w:shd w:val="clear" w:color="auto" w:fill="92D050"/>
            <w:noWrap/>
            <w:vAlign w:val="center"/>
            <w:hideMark/>
          </w:tcPr>
          <w:p w14:paraId="635C70D1" w14:textId="77777777" w:rsidR="00421F1B" w:rsidRPr="00795F17" w:rsidRDefault="00421F1B" w:rsidP="0065243A">
            <w:pPr>
              <w:pStyle w:val="Teksttabelisrodek"/>
            </w:pPr>
            <w:r w:rsidRPr="00795F17">
              <w:t>niskie</w:t>
            </w:r>
          </w:p>
        </w:tc>
        <w:tc>
          <w:tcPr>
            <w:tcW w:w="846" w:type="pct"/>
            <w:tcBorders>
              <w:top w:val="nil"/>
              <w:left w:val="nil"/>
              <w:bottom w:val="single" w:sz="4" w:space="0" w:color="auto"/>
              <w:right w:val="single" w:sz="4" w:space="0" w:color="auto"/>
            </w:tcBorders>
            <w:shd w:val="clear" w:color="auto" w:fill="auto"/>
            <w:noWrap/>
            <w:vAlign w:val="center"/>
            <w:hideMark/>
          </w:tcPr>
          <w:p w14:paraId="6C60E43B" w14:textId="77777777" w:rsidR="00421F1B" w:rsidRPr="00795F17" w:rsidRDefault="00421F1B" w:rsidP="0065243A">
            <w:pPr>
              <w:pStyle w:val="Teksttabelisrodek"/>
            </w:pPr>
            <w:r w:rsidRPr="00795F17">
              <w:t>wzrost o 0,1°C</w:t>
            </w:r>
          </w:p>
        </w:tc>
        <w:tc>
          <w:tcPr>
            <w:tcW w:w="526" w:type="pct"/>
            <w:tcBorders>
              <w:top w:val="nil"/>
              <w:left w:val="nil"/>
              <w:bottom w:val="single" w:sz="4" w:space="0" w:color="auto"/>
              <w:right w:val="single" w:sz="4" w:space="0" w:color="auto"/>
            </w:tcBorders>
            <w:shd w:val="clear" w:color="auto" w:fill="92D050"/>
            <w:vAlign w:val="center"/>
            <w:hideMark/>
          </w:tcPr>
          <w:p w14:paraId="5C209142" w14:textId="77777777" w:rsidR="00421F1B" w:rsidRPr="00795F17" w:rsidRDefault="00421F1B" w:rsidP="0065243A">
            <w:pPr>
              <w:pStyle w:val="Teksttabelisrodek"/>
            </w:pPr>
            <w:r w:rsidRPr="00795F17">
              <w:t>niskie</w:t>
            </w:r>
          </w:p>
        </w:tc>
        <w:tc>
          <w:tcPr>
            <w:tcW w:w="795" w:type="pct"/>
            <w:tcBorders>
              <w:top w:val="nil"/>
              <w:left w:val="nil"/>
              <w:bottom w:val="single" w:sz="4" w:space="0" w:color="auto"/>
              <w:right w:val="single" w:sz="4" w:space="0" w:color="auto"/>
            </w:tcBorders>
            <w:shd w:val="clear" w:color="auto" w:fill="auto"/>
            <w:vAlign w:val="center"/>
            <w:hideMark/>
          </w:tcPr>
          <w:p w14:paraId="68718B7B" w14:textId="77777777" w:rsidR="00421F1B" w:rsidRPr="00795F17" w:rsidRDefault="00421F1B" w:rsidP="0065243A">
            <w:pPr>
              <w:pStyle w:val="Teksttabelisrodek"/>
            </w:pPr>
            <w:r w:rsidRPr="00795F17">
              <w:t>wzrost o 1,5°C</w:t>
            </w:r>
          </w:p>
        </w:tc>
        <w:tc>
          <w:tcPr>
            <w:tcW w:w="515" w:type="pct"/>
            <w:tcBorders>
              <w:top w:val="nil"/>
              <w:left w:val="nil"/>
              <w:bottom w:val="single" w:sz="4" w:space="0" w:color="auto"/>
              <w:right w:val="single" w:sz="4" w:space="0" w:color="auto"/>
            </w:tcBorders>
            <w:shd w:val="clear" w:color="auto" w:fill="92D050"/>
            <w:noWrap/>
            <w:vAlign w:val="center"/>
            <w:hideMark/>
          </w:tcPr>
          <w:p w14:paraId="6700ED36" w14:textId="77777777" w:rsidR="00421F1B" w:rsidRPr="00795F17" w:rsidRDefault="00421F1B" w:rsidP="0065243A">
            <w:pPr>
              <w:pStyle w:val="Teksttabelisrodek"/>
            </w:pPr>
            <w:r w:rsidRPr="00795F17">
              <w:t>niskie</w:t>
            </w:r>
          </w:p>
        </w:tc>
      </w:tr>
      <w:tr w:rsidR="00421F1B" w:rsidRPr="00795F17" w14:paraId="3A7E5725" w14:textId="77777777" w:rsidTr="00FD672E">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70133216" w14:textId="77777777" w:rsidR="00421F1B" w:rsidRPr="00795F17" w:rsidRDefault="00421F1B" w:rsidP="0044393D">
            <w:pPr>
              <w:pStyle w:val="Teksttabelilewy"/>
            </w:pPr>
            <w:r w:rsidRPr="00795F17">
              <w:t xml:space="preserve">Roczna amplituda temperatury powietrza okresu ciepłego </w:t>
            </w:r>
          </w:p>
        </w:tc>
        <w:tc>
          <w:tcPr>
            <w:tcW w:w="776" w:type="pct"/>
            <w:tcBorders>
              <w:top w:val="nil"/>
              <w:left w:val="nil"/>
              <w:bottom w:val="single" w:sz="4" w:space="0" w:color="auto"/>
              <w:right w:val="single" w:sz="4" w:space="0" w:color="auto"/>
            </w:tcBorders>
            <w:shd w:val="clear" w:color="auto" w:fill="auto"/>
            <w:noWrap/>
            <w:vAlign w:val="center"/>
            <w:hideMark/>
          </w:tcPr>
          <w:p w14:paraId="2B756736" w14:textId="77777777" w:rsidR="00421F1B" w:rsidRPr="00795F17" w:rsidRDefault="00421F1B" w:rsidP="0065243A">
            <w:pPr>
              <w:pStyle w:val="Teksttabelisrodek"/>
            </w:pPr>
            <w:r w:rsidRPr="00795F17">
              <w:t>12°C</w:t>
            </w:r>
          </w:p>
        </w:tc>
        <w:tc>
          <w:tcPr>
            <w:tcW w:w="536" w:type="pct"/>
            <w:tcBorders>
              <w:top w:val="nil"/>
              <w:left w:val="nil"/>
              <w:bottom w:val="single" w:sz="4" w:space="0" w:color="auto"/>
              <w:right w:val="single" w:sz="4" w:space="0" w:color="auto"/>
            </w:tcBorders>
            <w:shd w:val="clear" w:color="auto" w:fill="FFFF00"/>
            <w:noWrap/>
            <w:vAlign w:val="center"/>
            <w:hideMark/>
          </w:tcPr>
          <w:p w14:paraId="520547C6" w14:textId="77777777" w:rsidR="00421F1B" w:rsidRPr="00795F17" w:rsidRDefault="00421F1B" w:rsidP="0065243A">
            <w:pPr>
              <w:pStyle w:val="Teksttabelisrodek"/>
            </w:pPr>
            <w:r w:rsidRPr="00795F17">
              <w:t xml:space="preserve">średnie </w:t>
            </w:r>
          </w:p>
        </w:tc>
        <w:tc>
          <w:tcPr>
            <w:tcW w:w="846" w:type="pct"/>
            <w:tcBorders>
              <w:top w:val="nil"/>
              <w:left w:val="nil"/>
              <w:bottom w:val="single" w:sz="4" w:space="0" w:color="auto"/>
              <w:right w:val="single" w:sz="4" w:space="0" w:color="auto"/>
            </w:tcBorders>
            <w:shd w:val="clear" w:color="auto" w:fill="auto"/>
            <w:noWrap/>
            <w:vAlign w:val="center"/>
            <w:hideMark/>
          </w:tcPr>
          <w:p w14:paraId="2F9F69DF" w14:textId="77777777" w:rsidR="00421F1B" w:rsidRPr="00795F17" w:rsidRDefault="00421F1B" w:rsidP="0065243A">
            <w:pPr>
              <w:pStyle w:val="Teksttabelisrodek"/>
            </w:pPr>
            <w:r w:rsidRPr="00795F17">
              <w:t>spadek o 0,5°C</w:t>
            </w:r>
          </w:p>
        </w:tc>
        <w:tc>
          <w:tcPr>
            <w:tcW w:w="526" w:type="pct"/>
            <w:tcBorders>
              <w:top w:val="nil"/>
              <w:left w:val="nil"/>
              <w:bottom w:val="single" w:sz="4" w:space="0" w:color="auto"/>
              <w:right w:val="single" w:sz="4" w:space="0" w:color="auto"/>
            </w:tcBorders>
            <w:shd w:val="clear" w:color="auto" w:fill="92D050"/>
            <w:vAlign w:val="center"/>
            <w:hideMark/>
          </w:tcPr>
          <w:p w14:paraId="11AD5BEB" w14:textId="77777777" w:rsidR="00421F1B" w:rsidRPr="00795F17" w:rsidRDefault="00421F1B" w:rsidP="0065243A">
            <w:pPr>
              <w:pStyle w:val="Teksttabelisrodek"/>
            </w:pPr>
            <w:r w:rsidRPr="00795F17">
              <w:t>niskie</w:t>
            </w:r>
          </w:p>
        </w:tc>
        <w:tc>
          <w:tcPr>
            <w:tcW w:w="795" w:type="pct"/>
            <w:tcBorders>
              <w:top w:val="nil"/>
              <w:left w:val="nil"/>
              <w:bottom w:val="single" w:sz="4" w:space="0" w:color="auto"/>
              <w:right w:val="single" w:sz="4" w:space="0" w:color="auto"/>
            </w:tcBorders>
            <w:shd w:val="clear" w:color="auto" w:fill="auto"/>
            <w:vAlign w:val="center"/>
            <w:hideMark/>
          </w:tcPr>
          <w:p w14:paraId="42ABF9EC" w14:textId="56706E00" w:rsidR="00421F1B" w:rsidRPr="00795F17" w:rsidRDefault="00421F1B" w:rsidP="0065243A">
            <w:pPr>
              <w:pStyle w:val="Teksttabelisrodek"/>
            </w:pPr>
            <w:r w:rsidRPr="00795F17">
              <w:t>spadek o ok</w:t>
            </w:r>
            <w:r w:rsidR="0002298F">
              <w:t>oło</w:t>
            </w:r>
            <w:r w:rsidRPr="00795F17">
              <w:t xml:space="preserve"> 1,5°C</w:t>
            </w:r>
          </w:p>
        </w:tc>
        <w:tc>
          <w:tcPr>
            <w:tcW w:w="515" w:type="pct"/>
            <w:tcBorders>
              <w:top w:val="nil"/>
              <w:left w:val="nil"/>
              <w:bottom w:val="single" w:sz="4" w:space="0" w:color="auto"/>
              <w:right w:val="single" w:sz="4" w:space="0" w:color="auto"/>
            </w:tcBorders>
            <w:shd w:val="clear" w:color="auto" w:fill="92D050"/>
            <w:noWrap/>
            <w:vAlign w:val="center"/>
            <w:hideMark/>
          </w:tcPr>
          <w:p w14:paraId="5A9FAB60" w14:textId="77777777" w:rsidR="00421F1B" w:rsidRPr="00795F17" w:rsidRDefault="00421F1B" w:rsidP="0065243A">
            <w:pPr>
              <w:pStyle w:val="Teksttabelisrodek"/>
            </w:pPr>
            <w:r w:rsidRPr="00795F17">
              <w:t xml:space="preserve">niskie </w:t>
            </w:r>
          </w:p>
        </w:tc>
      </w:tr>
      <w:tr w:rsidR="00421F1B" w:rsidRPr="00795F17" w14:paraId="126118DA" w14:textId="77777777" w:rsidTr="00FD672E">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1BE1F50B" w14:textId="77777777" w:rsidR="00421F1B" w:rsidRPr="00795F17" w:rsidRDefault="00421F1B" w:rsidP="0044393D">
            <w:pPr>
              <w:pStyle w:val="Teksttabelilewy"/>
            </w:pPr>
            <w:r w:rsidRPr="00795F17">
              <w:t>Roczna amplituda temperatury powietrza okresu chłodnego</w:t>
            </w:r>
          </w:p>
        </w:tc>
        <w:tc>
          <w:tcPr>
            <w:tcW w:w="776" w:type="pct"/>
            <w:tcBorders>
              <w:top w:val="nil"/>
              <w:left w:val="nil"/>
              <w:bottom w:val="single" w:sz="4" w:space="0" w:color="auto"/>
              <w:right w:val="single" w:sz="4" w:space="0" w:color="auto"/>
            </w:tcBorders>
            <w:shd w:val="clear" w:color="auto" w:fill="auto"/>
            <w:noWrap/>
            <w:vAlign w:val="center"/>
            <w:hideMark/>
          </w:tcPr>
          <w:p w14:paraId="46826F3A" w14:textId="77777777" w:rsidR="00421F1B" w:rsidRPr="00795F17" w:rsidRDefault="00421F1B" w:rsidP="0065243A">
            <w:pPr>
              <w:pStyle w:val="Teksttabelisrodek"/>
            </w:pPr>
            <w:r w:rsidRPr="00795F17">
              <w:t>5°C</w:t>
            </w:r>
          </w:p>
        </w:tc>
        <w:tc>
          <w:tcPr>
            <w:tcW w:w="536" w:type="pct"/>
            <w:tcBorders>
              <w:top w:val="nil"/>
              <w:left w:val="nil"/>
              <w:bottom w:val="single" w:sz="4" w:space="0" w:color="auto"/>
              <w:right w:val="single" w:sz="4" w:space="0" w:color="auto"/>
            </w:tcBorders>
            <w:shd w:val="clear" w:color="auto" w:fill="92D050"/>
            <w:noWrap/>
            <w:vAlign w:val="center"/>
            <w:hideMark/>
          </w:tcPr>
          <w:p w14:paraId="14F1E1CF" w14:textId="77777777" w:rsidR="00421F1B" w:rsidRPr="00795F17" w:rsidRDefault="00421F1B" w:rsidP="0065243A">
            <w:pPr>
              <w:pStyle w:val="Teksttabelisrodek"/>
            </w:pPr>
            <w:r w:rsidRPr="00795F17">
              <w:t xml:space="preserve">niskie </w:t>
            </w:r>
          </w:p>
        </w:tc>
        <w:tc>
          <w:tcPr>
            <w:tcW w:w="846" w:type="pct"/>
            <w:tcBorders>
              <w:top w:val="nil"/>
              <w:left w:val="nil"/>
              <w:bottom w:val="single" w:sz="4" w:space="0" w:color="auto"/>
              <w:right w:val="single" w:sz="4" w:space="0" w:color="auto"/>
            </w:tcBorders>
            <w:shd w:val="clear" w:color="auto" w:fill="auto"/>
            <w:noWrap/>
            <w:vAlign w:val="center"/>
            <w:hideMark/>
          </w:tcPr>
          <w:p w14:paraId="1E707E98" w14:textId="77777777" w:rsidR="00421F1B" w:rsidRPr="00795F17" w:rsidRDefault="00421F1B" w:rsidP="0065243A">
            <w:pPr>
              <w:pStyle w:val="Teksttabelisrodek"/>
            </w:pPr>
            <w:r w:rsidRPr="00795F17">
              <w:t>spadek o 1°C</w:t>
            </w:r>
          </w:p>
        </w:tc>
        <w:tc>
          <w:tcPr>
            <w:tcW w:w="526" w:type="pct"/>
            <w:tcBorders>
              <w:top w:val="nil"/>
              <w:left w:val="nil"/>
              <w:bottom w:val="single" w:sz="4" w:space="0" w:color="auto"/>
              <w:right w:val="single" w:sz="4" w:space="0" w:color="auto"/>
            </w:tcBorders>
            <w:shd w:val="clear" w:color="auto" w:fill="92D050"/>
            <w:vAlign w:val="center"/>
            <w:hideMark/>
          </w:tcPr>
          <w:p w14:paraId="5CB55021" w14:textId="77777777" w:rsidR="00421F1B" w:rsidRPr="00795F17" w:rsidRDefault="00421F1B" w:rsidP="0065243A">
            <w:pPr>
              <w:pStyle w:val="Teksttabelisrodek"/>
            </w:pPr>
            <w:r w:rsidRPr="00795F17">
              <w:t xml:space="preserve">niskie </w:t>
            </w:r>
          </w:p>
        </w:tc>
        <w:tc>
          <w:tcPr>
            <w:tcW w:w="795" w:type="pct"/>
            <w:tcBorders>
              <w:top w:val="nil"/>
              <w:left w:val="nil"/>
              <w:bottom w:val="single" w:sz="4" w:space="0" w:color="auto"/>
              <w:right w:val="single" w:sz="4" w:space="0" w:color="auto"/>
            </w:tcBorders>
            <w:shd w:val="clear" w:color="auto" w:fill="auto"/>
            <w:vAlign w:val="center"/>
            <w:hideMark/>
          </w:tcPr>
          <w:p w14:paraId="32CFE3B2" w14:textId="24F3052D" w:rsidR="00421F1B" w:rsidRPr="00795F17" w:rsidRDefault="00421F1B" w:rsidP="0065243A">
            <w:pPr>
              <w:pStyle w:val="Teksttabelisrodek"/>
            </w:pPr>
            <w:r w:rsidRPr="00795F17">
              <w:t>spadek o 2,0</w:t>
            </w:r>
            <w:r w:rsidR="0002298F">
              <w:t xml:space="preserve"> </w:t>
            </w:r>
            <w:r w:rsidRPr="00795F17">
              <w:t>-</w:t>
            </w:r>
            <w:r w:rsidR="0002298F">
              <w:t xml:space="preserve"> </w:t>
            </w:r>
            <w:r w:rsidRPr="00795F17">
              <w:t>2,5°C</w:t>
            </w:r>
          </w:p>
        </w:tc>
        <w:tc>
          <w:tcPr>
            <w:tcW w:w="515" w:type="pct"/>
            <w:tcBorders>
              <w:top w:val="nil"/>
              <w:left w:val="nil"/>
              <w:bottom w:val="single" w:sz="4" w:space="0" w:color="auto"/>
              <w:right w:val="single" w:sz="4" w:space="0" w:color="auto"/>
            </w:tcBorders>
            <w:shd w:val="clear" w:color="auto" w:fill="92D050"/>
            <w:noWrap/>
            <w:vAlign w:val="center"/>
            <w:hideMark/>
          </w:tcPr>
          <w:p w14:paraId="6C5EF81B" w14:textId="77777777" w:rsidR="00421F1B" w:rsidRPr="00795F17" w:rsidRDefault="00421F1B" w:rsidP="0065243A">
            <w:pPr>
              <w:pStyle w:val="Teksttabelisrodek"/>
            </w:pPr>
            <w:r w:rsidRPr="00795F17">
              <w:t xml:space="preserve">niskie </w:t>
            </w:r>
          </w:p>
        </w:tc>
      </w:tr>
      <w:tr w:rsidR="00421F1B" w:rsidRPr="00795F17" w14:paraId="3D9D8C5B" w14:textId="77777777" w:rsidTr="00FD672E">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32030C2F" w14:textId="77777777" w:rsidR="00421F1B" w:rsidRPr="00795F17" w:rsidRDefault="00421F1B" w:rsidP="0044393D">
            <w:pPr>
              <w:pStyle w:val="Teksttabelilewy"/>
            </w:pPr>
            <w:r w:rsidRPr="00795F17">
              <w:t>Roczna suma opadów</w:t>
            </w:r>
          </w:p>
        </w:tc>
        <w:tc>
          <w:tcPr>
            <w:tcW w:w="776" w:type="pct"/>
            <w:tcBorders>
              <w:top w:val="nil"/>
              <w:left w:val="nil"/>
              <w:bottom w:val="single" w:sz="4" w:space="0" w:color="auto"/>
              <w:right w:val="single" w:sz="4" w:space="0" w:color="auto"/>
            </w:tcBorders>
            <w:shd w:val="clear" w:color="auto" w:fill="auto"/>
            <w:noWrap/>
            <w:vAlign w:val="center"/>
            <w:hideMark/>
          </w:tcPr>
          <w:p w14:paraId="39F72843" w14:textId="4DD57B9D" w:rsidR="00421F1B" w:rsidRPr="00795F17" w:rsidRDefault="00421F1B" w:rsidP="0065243A">
            <w:pPr>
              <w:pStyle w:val="Teksttabelisrodek"/>
            </w:pPr>
            <w:r w:rsidRPr="00795F17">
              <w:t>690</w:t>
            </w:r>
            <w:r w:rsidR="0002298F">
              <w:t xml:space="preserve"> </w:t>
            </w:r>
            <w:r w:rsidRPr="00795F17">
              <w:t>-</w:t>
            </w:r>
            <w:r w:rsidR="0002298F">
              <w:t xml:space="preserve"> </w:t>
            </w:r>
            <w:r w:rsidRPr="00795F17">
              <w:t>840 mm/rok</w:t>
            </w:r>
          </w:p>
        </w:tc>
        <w:tc>
          <w:tcPr>
            <w:tcW w:w="536" w:type="pct"/>
            <w:tcBorders>
              <w:top w:val="nil"/>
              <w:left w:val="nil"/>
              <w:bottom w:val="single" w:sz="4" w:space="0" w:color="auto"/>
              <w:right w:val="single" w:sz="4" w:space="0" w:color="auto"/>
            </w:tcBorders>
            <w:shd w:val="clear" w:color="auto" w:fill="92D050"/>
            <w:noWrap/>
            <w:vAlign w:val="center"/>
            <w:hideMark/>
          </w:tcPr>
          <w:p w14:paraId="59D06D3A" w14:textId="77777777" w:rsidR="00421F1B" w:rsidRPr="00795F17" w:rsidRDefault="00421F1B" w:rsidP="0065243A">
            <w:pPr>
              <w:pStyle w:val="Teksttabelisrodek"/>
            </w:pPr>
            <w:r w:rsidRPr="00795F17">
              <w:t>niskie</w:t>
            </w:r>
          </w:p>
        </w:tc>
        <w:tc>
          <w:tcPr>
            <w:tcW w:w="846" w:type="pct"/>
            <w:tcBorders>
              <w:top w:val="nil"/>
              <w:left w:val="nil"/>
              <w:bottom w:val="single" w:sz="4" w:space="0" w:color="auto"/>
              <w:right w:val="single" w:sz="4" w:space="0" w:color="auto"/>
            </w:tcBorders>
            <w:shd w:val="clear" w:color="auto" w:fill="auto"/>
            <w:noWrap/>
            <w:vAlign w:val="center"/>
            <w:hideMark/>
          </w:tcPr>
          <w:p w14:paraId="2BFB3093" w14:textId="2F38FFCC" w:rsidR="00421F1B" w:rsidRPr="00795F17" w:rsidRDefault="00421F1B" w:rsidP="0065243A">
            <w:pPr>
              <w:pStyle w:val="Teksttabelisrodek"/>
            </w:pPr>
            <w:r w:rsidRPr="00795F17">
              <w:t>wzrost o 2</w:t>
            </w:r>
            <w:r w:rsidR="0002298F">
              <w:t xml:space="preserve"> – </w:t>
            </w:r>
            <w:r w:rsidRPr="00795F17">
              <w:t>10 mm na rok w</w:t>
            </w:r>
            <w:r w:rsidR="0002298F">
              <w:t> </w:t>
            </w:r>
            <w:r w:rsidRPr="00795F17">
              <w:t>północno-wschodniej części, spadek o</w:t>
            </w:r>
            <w:r w:rsidR="0002298F">
              <w:t> </w:t>
            </w:r>
            <w:r w:rsidRPr="00795F17">
              <w:t>2 mm na rok w części wschodniej</w:t>
            </w:r>
          </w:p>
        </w:tc>
        <w:tc>
          <w:tcPr>
            <w:tcW w:w="526" w:type="pct"/>
            <w:tcBorders>
              <w:top w:val="nil"/>
              <w:left w:val="nil"/>
              <w:bottom w:val="single" w:sz="4" w:space="0" w:color="auto"/>
              <w:right w:val="single" w:sz="4" w:space="0" w:color="auto"/>
            </w:tcBorders>
            <w:shd w:val="clear" w:color="auto" w:fill="92D050"/>
            <w:vAlign w:val="center"/>
            <w:hideMark/>
          </w:tcPr>
          <w:p w14:paraId="5E833D75" w14:textId="77777777" w:rsidR="00421F1B" w:rsidRPr="00795F17" w:rsidRDefault="00421F1B" w:rsidP="0065243A">
            <w:pPr>
              <w:pStyle w:val="Teksttabelisrodek"/>
            </w:pPr>
            <w:r w:rsidRPr="00795F17">
              <w:t>niskie</w:t>
            </w:r>
          </w:p>
        </w:tc>
        <w:tc>
          <w:tcPr>
            <w:tcW w:w="795" w:type="pct"/>
            <w:tcBorders>
              <w:top w:val="nil"/>
              <w:left w:val="nil"/>
              <w:bottom w:val="single" w:sz="4" w:space="0" w:color="auto"/>
              <w:right w:val="single" w:sz="4" w:space="0" w:color="auto"/>
            </w:tcBorders>
            <w:shd w:val="clear" w:color="auto" w:fill="auto"/>
            <w:vAlign w:val="center"/>
            <w:hideMark/>
          </w:tcPr>
          <w:p w14:paraId="6BD9AB56" w14:textId="37D545A5" w:rsidR="00421F1B" w:rsidRPr="00795F17" w:rsidRDefault="00421F1B" w:rsidP="0065243A">
            <w:pPr>
              <w:pStyle w:val="Teksttabelisrodek"/>
            </w:pPr>
            <w:r w:rsidRPr="00795F17">
              <w:t>wzrost o 20</w:t>
            </w:r>
            <w:r w:rsidR="0002298F">
              <w:t xml:space="preserve"> </w:t>
            </w:r>
            <w:r w:rsidRPr="00795F17">
              <w:t>-</w:t>
            </w:r>
            <w:r w:rsidR="0002298F">
              <w:t xml:space="preserve"> </w:t>
            </w:r>
            <w:r w:rsidRPr="00795F17">
              <w:t>50 mm na rok</w:t>
            </w:r>
          </w:p>
        </w:tc>
        <w:tc>
          <w:tcPr>
            <w:tcW w:w="515" w:type="pct"/>
            <w:tcBorders>
              <w:top w:val="nil"/>
              <w:left w:val="nil"/>
              <w:bottom w:val="single" w:sz="4" w:space="0" w:color="auto"/>
              <w:right w:val="single" w:sz="4" w:space="0" w:color="auto"/>
            </w:tcBorders>
            <w:shd w:val="clear" w:color="auto" w:fill="92D050"/>
            <w:noWrap/>
            <w:vAlign w:val="center"/>
            <w:hideMark/>
          </w:tcPr>
          <w:p w14:paraId="188EE96C" w14:textId="77777777" w:rsidR="00421F1B" w:rsidRPr="00795F17" w:rsidRDefault="00421F1B" w:rsidP="0065243A">
            <w:pPr>
              <w:pStyle w:val="Teksttabelisrodek"/>
            </w:pPr>
            <w:r w:rsidRPr="00795F17">
              <w:t>niskie</w:t>
            </w:r>
          </w:p>
        </w:tc>
      </w:tr>
      <w:tr w:rsidR="00421F1B" w:rsidRPr="00795F17" w14:paraId="3764555A" w14:textId="77777777" w:rsidTr="00FD672E">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601E5AC5" w14:textId="77777777" w:rsidR="00421F1B" w:rsidRPr="00795F17" w:rsidRDefault="00421F1B" w:rsidP="0044393D">
            <w:pPr>
              <w:pStyle w:val="Teksttabelilewy"/>
            </w:pPr>
            <w:r w:rsidRPr="00795F17">
              <w:t>Średnia prędkość wiatru</w:t>
            </w:r>
          </w:p>
        </w:tc>
        <w:tc>
          <w:tcPr>
            <w:tcW w:w="776" w:type="pct"/>
            <w:tcBorders>
              <w:top w:val="nil"/>
              <w:left w:val="nil"/>
              <w:bottom w:val="single" w:sz="4" w:space="0" w:color="auto"/>
              <w:right w:val="single" w:sz="4" w:space="0" w:color="auto"/>
            </w:tcBorders>
            <w:shd w:val="clear" w:color="auto" w:fill="auto"/>
            <w:noWrap/>
            <w:vAlign w:val="center"/>
            <w:hideMark/>
          </w:tcPr>
          <w:p w14:paraId="078D1DFF" w14:textId="3A29A3E5" w:rsidR="00421F1B" w:rsidRPr="00795F17" w:rsidRDefault="00421F1B" w:rsidP="0065243A">
            <w:pPr>
              <w:pStyle w:val="Teksttabelisrodek"/>
            </w:pPr>
            <w:r w:rsidRPr="00795F17">
              <w:t>2,9</w:t>
            </w:r>
            <w:r w:rsidR="0002298F">
              <w:t xml:space="preserve"> </w:t>
            </w:r>
            <w:r w:rsidRPr="00795F17">
              <w:t>-</w:t>
            </w:r>
            <w:r w:rsidR="0002298F">
              <w:t xml:space="preserve"> </w:t>
            </w:r>
            <w:r w:rsidRPr="00795F17">
              <w:t>3,4 m/s</w:t>
            </w:r>
          </w:p>
        </w:tc>
        <w:tc>
          <w:tcPr>
            <w:tcW w:w="536" w:type="pct"/>
            <w:tcBorders>
              <w:top w:val="nil"/>
              <w:left w:val="nil"/>
              <w:bottom w:val="single" w:sz="4" w:space="0" w:color="auto"/>
              <w:right w:val="single" w:sz="4" w:space="0" w:color="auto"/>
            </w:tcBorders>
            <w:shd w:val="clear" w:color="auto" w:fill="92D050"/>
            <w:noWrap/>
            <w:vAlign w:val="center"/>
            <w:hideMark/>
          </w:tcPr>
          <w:p w14:paraId="4BC47EBA" w14:textId="77777777" w:rsidR="00421F1B" w:rsidRPr="00795F17" w:rsidRDefault="00421F1B" w:rsidP="0065243A">
            <w:pPr>
              <w:pStyle w:val="Teksttabelisrodek"/>
            </w:pPr>
            <w:r w:rsidRPr="00795F17">
              <w:t>niskie</w:t>
            </w:r>
          </w:p>
        </w:tc>
        <w:tc>
          <w:tcPr>
            <w:tcW w:w="846" w:type="pct"/>
            <w:tcBorders>
              <w:top w:val="nil"/>
              <w:left w:val="nil"/>
              <w:bottom w:val="single" w:sz="4" w:space="0" w:color="auto"/>
              <w:right w:val="single" w:sz="4" w:space="0" w:color="auto"/>
            </w:tcBorders>
            <w:shd w:val="clear" w:color="auto" w:fill="auto"/>
            <w:noWrap/>
            <w:vAlign w:val="center"/>
            <w:hideMark/>
          </w:tcPr>
          <w:p w14:paraId="4C3E7D29" w14:textId="77777777" w:rsidR="00421F1B" w:rsidRPr="00795F17" w:rsidRDefault="00421F1B" w:rsidP="0065243A">
            <w:pPr>
              <w:pStyle w:val="Teksttabelisrodek"/>
            </w:pPr>
            <w:r w:rsidRPr="00795F17">
              <w:t>brak zmiany, niepewna tendencja</w:t>
            </w:r>
          </w:p>
        </w:tc>
        <w:tc>
          <w:tcPr>
            <w:tcW w:w="526" w:type="pct"/>
            <w:tcBorders>
              <w:top w:val="nil"/>
              <w:left w:val="nil"/>
              <w:bottom w:val="single" w:sz="4" w:space="0" w:color="auto"/>
              <w:right w:val="single" w:sz="4" w:space="0" w:color="auto"/>
            </w:tcBorders>
            <w:shd w:val="clear" w:color="auto" w:fill="92D050"/>
            <w:vAlign w:val="center"/>
            <w:hideMark/>
          </w:tcPr>
          <w:p w14:paraId="145474B3" w14:textId="77777777" w:rsidR="00421F1B" w:rsidRPr="00795F17" w:rsidRDefault="00421F1B" w:rsidP="0065243A">
            <w:pPr>
              <w:pStyle w:val="Teksttabelisrodek"/>
            </w:pPr>
            <w:r w:rsidRPr="00795F17">
              <w:t>niskie</w:t>
            </w:r>
          </w:p>
        </w:tc>
        <w:tc>
          <w:tcPr>
            <w:tcW w:w="795" w:type="pct"/>
            <w:tcBorders>
              <w:top w:val="nil"/>
              <w:left w:val="nil"/>
              <w:bottom w:val="single" w:sz="4" w:space="0" w:color="auto"/>
              <w:right w:val="single" w:sz="4" w:space="0" w:color="auto"/>
            </w:tcBorders>
            <w:shd w:val="clear" w:color="auto" w:fill="auto"/>
            <w:vAlign w:val="center"/>
            <w:hideMark/>
          </w:tcPr>
          <w:p w14:paraId="070DB299" w14:textId="77777777" w:rsidR="00421F1B" w:rsidRPr="00795F17" w:rsidRDefault="00421F1B" w:rsidP="0065243A">
            <w:pPr>
              <w:pStyle w:val="Teksttabelisrodek"/>
            </w:pPr>
            <w:r w:rsidRPr="00795F17">
              <w:t>brak zmiany, niepewna tendencja</w:t>
            </w:r>
          </w:p>
        </w:tc>
        <w:tc>
          <w:tcPr>
            <w:tcW w:w="515" w:type="pct"/>
            <w:tcBorders>
              <w:top w:val="nil"/>
              <w:left w:val="nil"/>
              <w:bottom w:val="single" w:sz="4" w:space="0" w:color="auto"/>
              <w:right w:val="single" w:sz="4" w:space="0" w:color="auto"/>
            </w:tcBorders>
            <w:shd w:val="clear" w:color="auto" w:fill="92D050"/>
            <w:noWrap/>
            <w:vAlign w:val="center"/>
            <w:hideMark/>
          </w:tcPr>
          <w:p w14:paraId="33895A92" w14:textId="77777777" w:rsidR="00421F1B" w:rsidRPr="00795F17" w:rsidRDefault="00421F1B" w:rsidP="0065243A">
            <w:pPr>
              <w:pStyle w:val="Teksttabelisrodek"/>
            </w:pPr>
            <w:r w:rsidRPr="00795F17">
              <w:t>niskie</w:t>
            </w:r>
          </w:p>
        </w:tc>
      </w:tr>
      <w:tr w:rsidR="00421F1B" w:rsidRPr="00795F17" w14:paraId="37583969" w14:textId="77777777" w:rsidTr="00FD672E">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1F2B2E05" w14:textId="77777777" w:rsidR="00421F1B" w:rsidRPr="00795F17" w:rsidRDefault="00421F1B" w:rsidP="0044393D">
            <w:pPr>
              <w:pStyle w:val="Teksttabelilewy"/>
            </w:pPr>
            <w:r w:rsidRPr="00795F17">
              <w:t>Sezon wegetacyjny, temperatura powyżej 5°C</w:t>
            </w:r>
          </w:p>
        </w:tc>
        <w:tc>
          <w:tcPr>
            <w:tcW w:w="776" w:type="pct"/>
            <w:tcBorders>
              <w:top w:val="nil"/>
              <w:left w:val="nil"/>
              <w:bottom w:val="single" w:sz="4" w:space="0" w:color="auto"/>
              <w:right w:val="single" w:sz="4" w:space="0" w:color="auto"/>
            </w:tcBorders>
            <w:shd w:val="clear" w:color="auto" w:fill="auto"/>
            <w:noWrap/>
            <w:vAlign w:val="center"/>
            <w:hideMark/>
          </w:tcPr>
          <w:p w14:paraId="569144DD" w14:textId="38BA0C8D" w:rsidR="00421F1B" w:rsidRPr="00795F17" w:rsidRDefault="00421F1B" w:rsidP="0065243A">
            <w:pPr>
              <w:pStyle w:val="Teksttabelisrodek"/>
            </w:pPr>
            <w:r w:rsidRPr="00795F17">
              <w:t>200</w:t>
            </w:r>
            <w:r w:rsidR="0002298F">
              <w:t xml:space="preserve"> </w:t>
            </w:r>
            <w:r w:rsidRPr="00795F17">
              <w:t>-</w:t>
            </w:r>
            <w:r w:rsidR="0002298F">
              <w:t xml:space="preserve"> </w:t>
            </w:r>
            <w:r w:rsidRPr="00795F17">
              <w:t>220 dni w</w:t>
            </w:r>
            <w:r w:rsidR="0002298F">
              <w:t> </w:t>
            </w:r>
            <w:r w:rsidRPr="00795F17">
              <w:t>roku</w:t>
            </w:r>
          </w:p>
        </w:tc>
        <w:tc>
          <w:tcPr>
            <w:tcW w:w="536" w:type="pct"/>
            <w:tcBorders>
              <w:top w:val="nil"/>
              <w:left w:val="nil"/>
              <w:bottom w:val="single" w:sz="4" w:space="0" w:color="auto"/>
              <w:right w:val="single" w:sz="4" w:space="0" w:color="auto"/>
            </w:tcBorders>
            <w:shd w:val="clear" w:color="auto" w:fill="92D050"/>
            <w:noWrap/>
            <w:vAlign w:val="center"/>
            <w:hideMark/>
          </w:tcPr>
          <w:p w14:paraId="1E0BC454" w14:textId="77777777" w:rsidR="00421F1B" w:rsidRPr="00795F17" w:rsidRDefault="00421F1B" w:rsidP="0065243A">
            <w:pPr>
              <w:pStyle w:val="Teksttabelisrodek"/>
            </w:pPr>
            <w:r w:rsidRPr="00795F17">
              <w:t>niskie</w:t>
            </w:r>
          </w:p>
        </w:tc>
        <w:tc>
          <w:tcPr>
            <w:tcW w:w="846" w:type="pct"/>
            <w:tcBorders>
              <w:top w:val="nil"/>
              <w:left w:val="nil"/>
              <w:bottom w:val="single" w:sz="4" w:space="0" w:color="auto"/>
              <w:right w:val="single" w:sz="4" w:space="0" w:color="auto"/>
            </w:tcBorders>
            <w:shd w:val="clear" w:color="auto" w:fill="auto"/>
            <w:noWrap/>
            <w:vAlign w:val="center"/>
            <w:hideMark/>
          </w:tcPr>
          <w:p w14:paraId="44778F86" w14:textId="556B8179" w:rsidR="00421F1B" w:rsidRPr="00795F17" w:rsidRDefault="00421F1B" w:rsidP="0065243A">
            <w:pPr>
              <w:pStyle w:val="Teksttabelisrodek"/>
            </w:pPr>
            <w:r w:rsidRPr="00795F17">
              <w:t>wydłużenie o 5</w:t>
            </w:r>
            <w:r w:rsidR="0002298F">
              <w:t xml:space="preserve"> </w:t>
            </w:r>
            <w:r w:rsidRPr="00795F17">
              <w:t>-</w:t>
            </w:r>
            <w:r w:rsidR="0002298F">
              <w:t xml:space="preserve"> </w:t>
            </w:r>
            <w:r w:rsidRPr="00795F17">
              <w:t>5,7 dnia w</w:t>
            </w:r>
            <w:r w:rsidR="0002298F">
              <w:t> </w:t>
            </w:r>
            <w:r w:rsidRPr="00795F17">
              <w:t>roku</w:t>
            </w:r>
          </w:p>
        </w:tc>
        <w:tc>
          <w:tcPr>
            <w:tcW w:w="526" w:type="pct"/>
            <w:tcBorders>
              <w:top w:val="nil"/>
              <w:left w:val="nil"/>
              <w:bottom w:val="single" w:sz="4" w:space="0" w:color="auto"/>
              <w:right w:val="single" w:sz="4" w:space="0" w:color="auto"/>
            </w:tcBorders>
            <w:shd w:val="clear" w:color="auto" w:fill="92D050"/>
            <w:vAlign w:val="center"/>
            <w:hideMark/>
          </w:tcPr>
          <w:p w14:paraId="39C9ECAF" w14:textId="77777777" w:rsidR="00421F1B" w:rsidRPr="00795F17" w:rsidRDefault="00421F1B" w:rsidP="0065243A">
            <w:pPr>
              <w:pStyle w:val="Teksttabelisrodek"/>
            </w:pPr>
            <w:r w:rsidRPr="00795F17">
              <w:t>niskie</w:t>
            </w:r>
          </w:p>
        </w:tc>
        <w:tc>
          <w:tcPr>
            <w:tcW w:w="795" w:type="pct"/>
            <w:tcBorders>
              <w:top w:val="nil"/>
              <w:left w:val="nil"/>
              <w:bottom w:val="single" w:sz="4" w:space="0" w:color="auto"/>
              <w:right w:val="single" w:sz="4" w:space="0" w:color="auto"/>
            </w:tcBorders>
            <w:shd w:val="clear" w:color="auto" w:fill="auto"/>
            <w:vAlign w:val="center"/>
            <w:hideMark/>
          </w:tcPr>
          <w:p w14:paraId="1289C9B9" w14:textId="67CAE908" w:rsidR="00421F1B" w:rsidRPr="00795F17" w:rsidRDefault="00421F1B" w:rsidP="0065243A">
            <w:pPr>
              <w:pStyle w:val="Teksttabelisrodek"/>
            </w:pPr>
            <w:r w:rsidRPr="00795F17">
              <w:t>wydłużenie o</w:t>
            </w:r>
            <w:r w:rsidR="0002298F">
              <w:t> </w:t>
            </w:r>
            <w:r w:rsidRPr="00795F17">
              <w:t>27</w:t>
            </w:r>
            <w:r w:rsidR="0002298F">
              <w:t xml:space="preserve"> </w:t>
            </w:r>
            <w:r w:rsidRPr="00795F17">
              <w:t>-</w:t>
            </w:r>
            <w:r w:rsidR="0002298F">
              <w:t xml:space="preserve"> </w:t>
            </w:r>
            <w:r w:rsidRPr="00795F17">
              <w:t>29 dni w</w:t>
            </w:r>
            <w:r w:rsidR="0002298F">
              <w:t> </w:t>
            </w:r>
            <w:r w:rsidRPr="00795F17">
              <w:t>roku (40</w:t>
            </w:r>
            <w:r w:rsidR="0002298F">
              <w:t> </w:t>
            </w:r>
            <w:r w:rsidRPr="00795F17">
              <w:t>% w</w:t>
            </w:r>
            <w:r w:rsidR="0002298F">
              <w:t> </w:t>
            </w:r>
            <w:r w:rsidRPr="00795F17">
              <w:t>roku)</w:t>
            </w:r>
          </w:p>
        </w:tc>
        <w:tc>
          <w:tcPr>
            <w:tcW w:w="515" w:type="pct"/>
            <w:tcBorders>
              <w:top w:val="nil"/>
              <w:left w:val="nil"/>
              <w:bottom w:val="single" w:sz="4" w:space="0" w:color="auto"/>
              <w:right w:val="single" w:sz="4" w:space="0" w:color="auto"/>
            </w:tcBorders>
            <w:shd w:val="clear" w:color="auto" w:fill="92D050"/>
            <w:noWrap/>
            <w:vAlign w:val="center"/>
            <w:hideMark/>
          </w:tcPr>
          <w:p w14:paraId="4B0C7102" w14:textId="77777777" w:rsidR="00421F1B" w:rsidRPr="00795F17" w:rsidRDefault="00421F1B" w:rsidP="0065243A">
            <w:pPr>
              <w:pStyle w:val="Teksttabelisrodek"/>
            </w:pPr>
            <w:r w:rsidRPr="00795F17">
              <w:t>niskie</w:t>
            </w:r>
          </w:p>
        </w:tc>
      </w:tr>
      <w:tr w:rsidR="00421F1B" w:rsidRPr="00795F17" w14:paraId="10BC8ED9" w14:textId="77777777" w:rsidTr="00FD672E">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4E9F4942" w14:textId="77777777" w:rsidR="00421F1B" w:rsidRPr="00795F17" w:rsidRDefault="00421F1B" w:rsidP="0044393D">
            <w:pPr>
              <w:pStyle w:val="Teksttabelilewy"/>
            </w:pPr>
            <w:r w:rsidRPr="00795F17">
              <w:t>Ekstremalna temperatura dodatnia</w:t>
            </w:r>
          </w:p>
        </w:tc>
        <w:tc>
          <w:tcPr>
            <w:tcW w:w="776" w:type="pct"/>
            <w:tcBorders>
              <w:top w:val="nil"/>
              <w:left w:val="nil"/>
              <w:bottom w:val="single" w:sz="4" w:space="0" w:color="auto"/>
              <w:right w:val="single" w:sz="4" w:space="0" w:color="auto"/>
            </w:tcBorders>
            <w:shd w:val="clear" w:color="auto" w:fill="auto"/>
            <w:noWrap/>
            <w:vAlign w:val="center"/>
            <w:hideMark/>
          </w:tcPr>
          <w:p w14:paraId="4FCA5A31" w14:textId="2B8979B8" w:rsidR="00421F1B" w:rsidRPr="00795F17" w:rsidRDefault="00421F1B" w:rsidP="0065243A">
            <w:pPr>
              <w:pStyle w:val="Teksttabelisrodek"/>
            </w:pPr>
            <w:r w:rsidRPr="00795F17">
              <w:t>powyżej 25°C, ok</w:t>
            </w:r>
            <w:r w:rsidR="0002298F">
              <w:t xml:space="preserve">oło </w:t>
            </w:r>
            <w:r w:rsidRPr="00795F17">
              <w:t>36</w:t>
            </w:r>
            <w:r w:rsidR="0002298F">
              <w:t xml:space="preserve"> </w:t>
            </w:r>
            <w:r w:rsidRPr="00795F17">
              <w:t>-</w:t>
            </w:r>
            <w:r w:rsidR="0002298F">
              <w:t xml:space="preserve"> </w:t>
            </w:r>
            <w:r w:rsidRPr="00795F17">
              <w:t>40 dni w roku</w:t>
            </w:r>
          </w:p>
        </w:tc>
        <w:tc>
          <w:tcPr>
            <w:tcW w:w="536" w:type="pct"/>
            <w:tcBorders>
              <w:top w:val="nil"/>
              <w:left w:val="nil"/>
              <w:bottom w:val="single" w:sz="4" w:space="0" w:color="auto"/>
              <w:right w:val="single" w:sz="4" w:space="0" w:color="auto"/>
            </w:tcBorders>
            <w:shd w:val="clear" w:color="auto" w:fill="FFFF00"/>
            <w:noWrap/>
            <w:vAlign w:val="center"/>
            <w:hideMark/>
          </w:tcPr>
          <w:p w14:paraId="20F2F540" w14:textId="77777777" w:rsidR="00421F1B" w:rsidRPr="00795F17" w:rsidRDefault="00421F1B" w:rsidP="0065243A">
            <w:pPr>
              <w:pStyle w:val="Teksttabelisrodek"/>
            </w:pPr>
            <w:r w:rsidRPr="00795F17">
              <w:t>średnie</w:t>
            </w:r>
          </w:p>
        </w:tc>
        <w:tc>
          <w:tcPr>
            <w:tcW w:w="846" w:type="pct"/>
            <w:tcBorders>
              <w:top w:val="nil"/>
              <w:left w:val="nil"/>
              <w:bottom w:val="single" w:sz="4" w:space="0" w:color="auto"/>
              <w:right w:val="single" w:sz="4" w:space="0" w:color="auto"/>
            </w:tcBorders>
            <w:shd w:val="clear" w:color="auto" w:fill="auto"/>
            <w:noWrap/>
            <w:vAlign w:val="center"/>
            <w:hideMark/>
          </w:tcPr>
          <w:p w14:paraId="23B75DDC" w14:textId="77777777" w:rsidR="00421F1B" w:rsidRPr="00795F17" w:rsidRDefault="00421F1B" w:rsidP="0065243A">
            <w:pPr>
              <w:pStyle w:val="Teksttabelisrodek"/>
            </w:pPr>
            <w:r w:rsidRPr="00795F17">
              <w:t>brak istotnej zmiany, na zachodzie możliwość skrócenia liczby dni gorących i wydłużenia na wschodzie</w:t>
            </w:r>
          </w:p>
        </w:tc>
        <w:tc>
          <w:tcPr>
            <w:tcW w:w="526" w:type="pct"/>
            <w:tcBorders>
              <w:top w:val="nil"/>
              <w:left w:val="nil"/>
              <w:bottom w:val="single" w:sz="4" w:space="0" w:color="auto"/>
              <w:right w:val="single" w:sz="4" w:space="0" w:color="auto"/>
            </w:tcBorders>
            <w:shd w:val="clear" w:color="auto" w:fill="FFFF00"/>
            <w:vAlign w:val="center"/>
            <w:hideMark/>
          </w:tcPr>
          <w:p w14:paraId="4C9890F2" w14:textId="77777777" w:rsidR="00421F1B" w:rsidRPr="00795F17" w:rsidRDefault="00421F1B" w:rsidP="0065243A">
            <w:pPr>
              <w:pStyle w:val="Teksttabelisrodek"/>
            </w:pPr>
            <w:r w:rsidRPr="00795F17">
              <w:t>średnie</w:t>
            </w:r>
          </w:p>
        </w:tc>
        <w:tc>
          <w:tcPr>
            <w:tcW w:w="795" w:type="pct"/>
            <w:tcBorders>
              <w:top w:val="nil"/>
              <w:left w:val="nil"/>
              <w:bottom w:val="single" w:sz="4" w:space="0" w:color="auto"/>
              <w:right w:val="single" w:sz="4" w:space="0" w:color="auto"/>
            </w:tcBorders>
            <w:shd w:val="clear" w:color="auto" w:fill="auto"/>
            <w:vAlign w:val="center"/>
            <w:hideMark/>
          </w:tcPr>
          <w:p w14:paraId="13FD6D75" w14:textId="77777777" w:rsidR="00421F1B" w:rsidRPr="00795F17" w:rsidRDefault="00421F1B" w:rsidP="0065243A">
            <w:pPr>
              <w:pStyle w:val="Teksttabelisrodek"/>
            </w:pPr>
            <w:r w:rsidRPr="00795F17">
              <w:t>wzrost o 9-11 dni w roku</w:t>
            </w:r>
          </w:p>
        </w:tc>
        <w:tc>
          <w:tcPr>
            <w:tcW w:w="515" w:type="pct"/>
            <w:tcBorders>
              <w:top w:val="nil"/>
              <w:left w:val="nil"/>
              <w:bottom w:val="single" w:sz="4" w:space="0" w:color="auto"/>
              <w:right w:val="single" w:sz="4" w:space="0" w:color="auto"/>
            </w:tcBorders>
            <w:shd w:val="clear" w:color="auto" w:fill="FF0000"/>
            <w:noWrap/>
            <w:vAlign w:val="center"/>
            <w:hideMark/>
          </w:tcPr>
          <w:p w14:paraId="7C5CD74D" w14:textId="77777777" w:rsidR="00421F1B" w:rsidRPr="00795F17" w:rsidRDefault="00421F1B" w:rsidP="0065243A">
            <w:pPr>
              <w:pStyle w:val="Teksttabelisrodek"/>
            </w:pPr>
            <w:r w:rsidRPr="00795F17">
              <w:t>wysokie</w:t>
            </w:r>
          </w:p>
        </w:tc>
      </w:tr>
      <w:tr w:rsidR="00421F1B" w:rsidRPr="00795F17" w14:paraId="51CB760B" w14:textId="77777777" w:rsidTr="00FD672E">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2CC0E7A3" w14:textId="77777777" w:rsidR="00421F1B" w:rsidRPr="00795F17" w:rsidRDefault="00421F1B" w:rsidP="0044393D">
            <w:pPr>
              <w:pStyle w:val="Teksttabelilewy"/>
            </w:pPr>
            <w:r w:rsidRPr="00795F17">
              <w:t>Temperatura ujemna</w:t>
            </w:r>
          </w:p>
        </w:tc>
        <w:tc>
          <w:tcPr>
            <w:tcW w:w="776" w:type="pct"/>
            <w:tcBorders>
              <w:top w:val="nil"/>
              <w:left w:val="nil"/>
              <w:bottom w:val="single" w:sz="4" w:space="0" w:color="auto"/>
              <w:right w:val="single" w:sz="4" w:space="0" w:color="auto"/>
            </w:tcBorders>
            <w:shd w:val="clear" w:color="auto" w:fill="auto"/>
            <w:noWrap/>
            <w:vAlign w:val="center"/>
            <w:hideMark/>
          </w:tcPr>
          <w:p w14:paraId="7F8312A8" w14:textId="4F113371" w:rsidR="00421F1B" w:rsidRPr="00795F17" w:rsidRDefault="00421F1B" w:rsidP="0065243A">
            <w:pPr>
              <w:pStyle w:val="Teksttabelisrodek"/>
            </w:pPr>
            <w:r w:rsidRPr="00795F17">
              <w:t>poniżej 0°C, 68</w:t>
            </w:r>
            <w:r w:rsidR="0002298F">
              <w:t xml:space="preserve"> </w:t>
            </w:r>
            <w:r w:rsidRPr="00795F17">
              <w:t>-</w:t>
            </w:r>
            <w:r w:rsidR="0002298F">
              <w:t xml:space="preserve"> </w:t>
            </w:r>
            <w:r w:rsidRPr="00795F17">
              <w:t>80 dni w roku</w:t>
            </w:r>
          </w:p>
        </w:tc>
        <w:tc>
          <w:tcPr>
            <w:tcW w:w="536" w:type="pct"/>
            <w:tcBorders>
              <w:top w:val="nil"/>
              <w:left w:val="nil"/>
              <w:bottom w:val="single" w:sz="4" w:space="0" w:color="auto"/>
              <w:right w:val="single" w:sz="4" w:space="0" w:color="auto"/>
            </w:tcBorders>
            <w:shd w:val="clear" w:color="auto" w:fill="FFFF00"/>
            <w:noWrap/>
            <w:vAlign w:val="center"/>
            <w:hideMark/>
          </w:tcPr>
          <w:p w14:paraId="626FAAF2" w14:textId="77777777" w:rsidR="00421F1B" w:rsidRPr="00795F17" w:rsidRDefault="00421F1B" w:rsidP="0065243A">
            <w:pPr>
              <w:pStyle w:val="Teksttabelisrodek"/>
            </w:pPr>
            <w:r w:rsidRPr="00795F17">
              <w:t>średnie</w:t>
            </w:r>
          </w:p>
        </w:tc>
        <w:tc>
          <w:tcPr>
            <w:tcW w:w="846" w:type="pct"/>
            <w:tcBorders>
              <w:top w:val="nil"/>
              <w:left w:val="nil"/>
              <w:bottom w:val="single" w:sz="4" w:space="0" w:color="auto"/>
              <w:right w:val="single" w:sz="4" w:space="0" w:color="auto"/>
            </w:tcBorders>
            <w:shd w:val="clear" w:color="auto" w:fill="auto"/>
            <w:noWrap/>
            <w:vAlign w:val="center"/>
            <w:hideMark/>
          </w:tcPr>
          <w:p w14:paraId="70FDDFC0" w14:textId="43D8045A" w:rsidR="00421F1B" w:rsidRPr="00795F17" w:rsidRDefault="00421F1B" w:rsidP="0065243A">
            <w:pPr>
              <w:pStyle w:val="Teksttabelisrodek"/>
            </w:pPr>
            <w:r w:rsidRPr="00795F17">
              <w:t>spadek o 4,2</w:t>
            </w:r>
            <w:r w:rsidR="0002298F">
              <w:t xml:space="preserve"> </w:t>
            </w:r>
            <w:r w:rsidRPr="00795F17">
              <w:t>-</w:t>
            </w:r>
            <w:r w:rsidR="0002298F">
              <w:t xml:space="preserve"> </w:t>
            </w:r>
            <w:r w:rsidRPr="00795F17">
              <w:t>4,6 dnia w roku</w:t>
            </w:r>
          </w:p>
        </w:tc>
        <w:tc>
          <w:tcPr>
            <w:tcW w:w="526" w:type="pct"/>
            <w:tcBorders>
              <w:top w:val="nil"/>
              <w:left w:val="nil"/>
              <w:bottom w:val="single" w:sz="4" w:space="0" w:color="auto"/>
              <w:right w:val="single" w:sz="4" w:space="0" w:color="auto"/>
            </w:tcBorders>
            <w:shd w:val="clear" w:color="auto" w:fill="92D050"/>
            <w:vAlign w:val="center"/>
            <w:hideMark/>
          </w:tcPr>
          <w:p w14:paraId="567DC0C9" w14:textId="77777777" w:rsidR="00421F1B" w:rsidRPr="00795F17" w:rsidRDefault="00421F1B" w:rsidP="0065243A">
            <w:pPr>
              <w:pStyle w:val="Teksttabelisrodek"/>
            </w:pPr>
            <w:r w:rsidRPr="00795F17">
              <w:t>niskie</w:t>
            </w:r>
          </w:p>
        </w:tc>
        <w:tc>
          <w:tcPr>
            <w:tcW w:w="795" w:type="pct"/>
            <w:tcBorders>
              <w:top w:val="nil"/>
              <w:left w:val="nil"/>
              <w:bottom w:val="single" w:sz="4" w:space="0" w:color="auto"/>
              <w:right w:val="single" w:sz="4" w:space="0" w:color="auto"/>
            </w:tcBorders>
            <w:shd w:val="clear" w:color="auto" w:fill="auto"/>
            <w:vAlign w:val="center"/>
            <w:hideMark/>
          </w:tcPr>
          <w:p w14:paraId="3159B88F" w14:textId="087370FD" w:rsidR="00421F1B" w:rsidRPr="00795F17" w:rsidRDefault="00421F1B" w:rsidP="0065243A">
            <w:pPr>
              <w:pStyle w:val="Teksttabelisrodek"/>
            </w:pPr>
            <w:r w:rsidRPr="00795F17">
              <w:t>spadek o 25</w:t>
            </w:r>
            <w:r w:rsidR="0002298F">
              <w:t xml:space="preserve"> </w:t>
            </w:r>
            <w:r w:rsidRPr="00795F17">
              <w:t>-</w:t>
            </w:r>
            <w:r w:rsidR="0002298F">
              <w:t xml:space="preserve"> </w:t>
            </w:r>
            <w:r w:rsidRPr="00795F17">
              <w:t>27 dni w roku</w:t>
            </w:r>
          </w:p>
        </w:tc>
        <w:tc>
          <w:tcPr>
            <w:tcW w:w="515" w:type="pct"/>
            <w:tcBorders>
              <w:top w:val="nil"/>
              <w:left w:val="nil"/>
              <w:bottom w:val="single" w:sz="4" w:space="0" w:color="auto"/>
              <w:right w:val="single" w:sz="4" w:space="0" w:color="auto"/>
            </w:tcBorders>
            <w:shd w:val="clear" w:color="auto" w:fill="92D050"/>
            <w:noWrap/>
            <w:vAlign w:val="center"/>
            <w:hideMark/>
          </w:tcPr>
          <w:p w14:paraId="5A0A221C" w14:textId="77777777" w:rsidR="00421F1B" w:rsidRPr="00795F17" w:rsidRDefault="00421F1B" w:rsidP="0065243A">
            <w:pPr>
              <w:pStyle w:val="Teksttabelisrodek"/>
            </w:pPr>
            <w:r w:rsidRPr="00795F17">
              <w:t>niskie</w:t>
            </w:r>
          </w:p>
        </w:tc>
      </w:tr>
      <w:tr w:rsidR="00421F1B" w:rsidRPr="00795F17" w14:paraId="2EBB8D0C" w14:textId="77777777" w:rsidTr="00FD672E">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057C7717" w14:textId="77777777" w:rsidR="00421F1B" w:rsidRPr="00795F17" w:rsidRDefault="00421F1B" w:rsidP="0044393D">
            <w:pPr>
              <w:pStyle w:val="Teksttabelilewy"/>
            </w:pPr>
            <w:r w:rsidRPr="00795F17">
              <w:t>Liczba dni z opadem w roku</w:t>
            </w:r>
          </w:p>
        </w:tc>
        <w:tc>
          <w:tcPr>
            <w:tcW w:w="776" w:type="pct"/>
            <w:tcBorders>
              <w:top w:val="nil"/>
              <w:left w:val="nil"/>
              <w:bottom w:val="single" w:sz="4" w:space="0" w:color="auto"/>
              <w:right w:val="single" w:sz="4" w:space="0" w:color="auto"/>
            </w:tcBorders>
            <w:shd w:val="clear" w:color="auto" w:fill="auto"/>
            <w:noWrap/>
            <w:vAlign w:val="center"/>
            <w:hideMark/>
          </w:tcPr>
          <w:p w14:paraId="12F160D6" w14:textId="540F5A30" w:rsidR="00421F1B" w:rsidRPr="00795F17" w:rsidRDefault="00421F1B" w:rsidP="0065243A">
            <w:pPr>
              <w:pStyle w:val="Teksttabelisrodek"/>
            </w:pPr>
            <w:r w:rsidRPr="00795F17">
              <w:t>ok</w:t>
            </w:r>
            <w:r w:rsidR="0002298F">
              <w:t>oło</w:t>
            </w:r>
            <w:r w:rsidRPr="00795F17">
              <w:t xml:space="preserve"> 132</w:t>
            </w:r>
            <w:r w:rsidR="0002298F">
              <w:t xml:space="preserve"> </w:t>
            </w:r>
            <w:r w:rsidRPr="00795F17">
              <w:t>-</w:t>
            </w:r>
            <w:r w:rsidR="0002298F">
              <w:t xml:space="preserve"> </w:t>
            </w:r>
            <w:r w:rsidRPr="00795F17">
              <w:t>159 dni w roku</w:t>
            </w:r>
          </w:p>
        </w:tc>
        <w:tc>
          <w:tcPr>
            <w:tcW w:w="536" w:type="pct"/>
            <w:tcBorders>
              <w:top w:val="nil"/>
              <w:left w:val="nil"/>
              <w:bottom w:val="single" w:sz="4" w:space="0" w:color="auto"/>
              <w:right w:val="single" w:sz="4" w:space="0" w:color="auto"/>
            </w:tcBorders>
            <w:shd w:val="clear" w:color="auto" w:fill="FFFF00"/>
            <w:noWrap/>
            <w:vAlign w:val="center"/>
            <w:hideMark/>
          </w:tcPr>
          <w:p w14:paraId="511C9D0D" w14:textId="77777777" w:rsidR="00421F1B" w:rsidRPr="00795F17" w:rsidRDefault="00421F1B" w:rsidP="0065243A">
            <w:pPr>
              <w:pStyle w:val="Teksttabelisrodek"/>
            </w:pPr>
            <w:r w:rsidRPr="00795F17">
              <w:t xml:space="preserve">średnie </w:t>
            </w:r>
          </w:p>
        </w:tc>
        <w:tc>
          <w:tcPr>
            <w:tcW w:w="846" w:type="pct"/>
            <w:tcBorders>
              <w:top w:val="nil"/>
              <w:left w:val="nil"/>
              <w:bottom w:val="single" w:sz="4" w:space="0" w:color="auto"/>
              <w:right w:val="single" w:sz="4" w:space="0" w:color="auto"/>
            </w:tcBorders>
            <w:shd w:val="clear" w:color="auto" w:fill="auto"/>
            <w:noWrap/>
            <w:vAlign w:val="center"/>
            <w:hideMark/>
          </w:tcPr>
          <w:p w14:paraId="51C1D51D" w14:textId="77777777" w:rsidR="00421F1B" w:rsidRPr="00795F17" w:rsidRDefault="00421F1B" w:rsidP="0065243A">
            <w:pPr>
              <w:pStyle w:val="Teksttabelisrodek"/>
            </w:pPr>
            <w:r w:rsidRPr="00795F17">
              <w:t>wzrost o 0,3 dnia w roku, wysoka niepewność zmiany</w:t>
            </w:r>
          </w:p>
        </w:tc>
        <w:tc>
          <w:tcPr>
            <w:tcW w:w="526" w:type="pct"/>
            <w:tcBorders>
              <w:top w:val="nil"/>
              <w:left w:val="nil"/>
              <w:bottom w:val="single" w:sz="4" w:space="0" w:color="auto"/>
              <w:right w:val="single" w:sz="4" w:space="0" w:color="auto"/>
            </w:tcBorders>
            <w:shd w:val="clear" w:color="auto" w:fill="FFFF00"/>
            <w:vAlign w:val="center"/>
            <w:hideMark/>
          </w:tcPr>
          <w:p w14:paraId="141987C3" w14:textId="77777777" w:rsidR="00421F1B" w:rsidRPr="00795F17" w:rsidRDefault="00421F1B" w:rsidP="0065243A">
            <w:pPr>
              <w:pStyle w:val="Teksttabelisrodek"/>
            </w:pPr>
            <w:r w:rsidRPr="00795F17">
              <w:t xml:space="preserve">średnie </w:t>
            </w:r>
          </w:p>
        </w:tc>
        <w:tc>
          <w:tcPr>
            <w:tcW w:w="795" w:type="pct"/>
            <w:tcBorders>
              <w:top w:val="nil"/>
              <w:left w:val="nil"/>
              <w:bottom w:val="single" w:sz="4" w:space="0" w:color="auto"/>
              <w:right w:val="single" w:sz="4" w:space="0" w:color="auto"/>
            </w:tcBorders>
            <w:shd w:val="clear" w:color="auto" w:fill="auto"/>
            <w:vAlign w:val="center"/>
            <w:hideMark/>
          </w:tcPr>
          <w:p w14:paraId="327A0F98" w14:textId="6C03D52D" w:rsidR="00421F1B" w:rsidRPr="00795F17" w:rsidRDefault="00421F1B" w:rsidP="0065243A">
            <w:pPr>
              <w:pStyle w:val="Teksttabelisrodek"/>
            </w:pPr>
            <w:r w:rsidRPr="00795F17">
              <w:t>wzrost nawet o</w:t>
            </w:r>
            <w:r w:rsidR="0002298F">
              <w:t> </w:t>
            </w:r>
            <w:r w:rsidRPr="00795F17">
              <w:t>2 dni w roku</w:t>
            </w:r>
          </w:p>
        </w:tc>
        <w:tc>
          <w:tcPr>
            <w:tcW w:w="515" w:type="pct"/>
            <w:tcBorders>
              <w:top w:val="nil"/>
              <w:left w:val="nil"/>
              <w:bottom w:val="single" w:sz="4" w:space="0" w:color="auto"/>
              <w:right w:val="single" w:sz="4" w:space="0" w:color="auto"/>
            </w:tcBorders>
            <w:shd w:val="clear" w:color="auto" w:fill="FFFF00"/>
            <w:noWrap/>
            <w:vAlign w:val="center"/>
            <w:hideMark/>
          </w:tcPr>
          <w:p w14:paraId="0FB50633" w14:textId="77777777" w:rsidR="00421F1B" w:rsidRPr="00795F17" w:rsidRDefault="00421F1B" w:rsidP="0065243A">
            <w:pPr>
              <w:pStyle w:val="Teksttabelisrodek"/>
            </w:pPr>
            <w:r w:rsidRPr="00795F17">
              <w:t xml:space="preserve">średnie </w:t>
            </w:r>
          </w:p>
        </w:tc>
      </w:tr>
      <w:tr w:rsidR="00421F1B" w:rsidRPr="00795F17" w14:paraId="084626D4" w14:textId="77777777" w:rsidTr="00FD672E">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6C1ED9E0" w14:textId="77777777" w:rsidR="00421F1B" w:rsidRPr="00795F17" w:rsidRDefault="00421F1B" w:rsidP="0044393D">
            <w:pPr>
              <w:pStyle w:val="Teksttabelilewy"/>
            </w:pPr>
            <w:r w:rsidRPr="00795F17">
              <w:t>Średni opad dobowy</w:t>
            </w:r>
          </w:p>
        </w:tc>
        <w:tc>
          <w:tcPr>
            <w:tcW w:w="776" w:type="pct"/>
            <w:tcBorders>
              <w:top w:val="nil"/>
              <w:left w:val="nil"/>
              <w:bottom w:val="single" w:sz="4" w:space="0" w:color="auto"/>
              <w:right w:val="single" w:sz="4" w:space="0" w:color="auto"/>
            </w:tcBorders>
            <w:shd w:val="clear" w:color="auto" w:fill="auto"/>
            <w:noWrap/>
            <w:vAlign w:val="center"/>
            <w:hideMark/>
          </w:tcPr>
          <w:p w14:paraId="76996261" w14:textId="6A161535" w:rsidR="00421F1B" w:rsidRPr="00795F17" w:rsidRDefault="00421F1B" w:rsidP="0065243A">
            <w:pPr>
              <w:pStyle w:val="Teksttabelisrodek"/>
            </w:pPr>
            <w:r w:rsidRPr="00795F17">
              <w:t>ok</w:t>
            </w:r>
            <w:r w:rsidR="0002298F">
              <w:t>oło</w:t>
            </w:r>
            <w:r w:rsidRPr="00795F17">
              <w:t xml:space="preserve"> 1,4 mm na dobę</w:t>
            </w:r>
          </w:p>
        </w:tc>
        <w:tc>
          <w:tcPr>
            <w:tcW w:w="536" w:type="pct"/>
            <w:tcBorders>
              <w:top w:val="nil"/>
              <w:left w:val="nil"/>
              <w:bottom w:val="single" w:sz="4" w:space="0" w:color="auto"/>
              <w:right w:val="single" w:sz="4" w:space="0" w:color="auto"/>
            </w:tcBorders>
            <w:shd w:val="clear" w:color="auto" w:fill="92D050"/>
            <w:noWrap/>
            <w:vAlign w:val="center"/>
            <w:hideMark/>
          </w:tcPr>
          <w:p w14:paraId="756014C0" w14:textId="77777777" w:rsidR="00421F1B" w:rsidRPr="00795F17" w:rsidRDefault="00421F1B" w:rsidP="0065243A">
            <w:pPr>
              <w:pStyle w:val="Teksttabelisrodek"/>
            </w:pPr>
            <w:r w:rsidRPr="00795F17">
              <w:t xml:space="preserve">niskie </w:t>
            </w:r>
          </w:p>
        </w:tc>
        <w:tc>
          <w:tcPr>
            <w:tcW w:w="846" w:type="pct"/>
            <w:tcBorders>
              <w:top w:val="nil"/>
              <w:left w:val="nil"/>
              <w:bottom w:val="single" w:sz="4" w:space="0" w:color="auto"/>
              <w:right w:val="single" w:sz="4" w:space="0" w:color="auto"/>
            </w:tcBorders>
            <w:shd w:val="clear" w:color="auto" w:fill="auto"/>
            <w:noWrap/>
            <w:vAlign w:val="center"/>
            <w:hideMark/>
          </w:tcPr>
          <w:p w14:paraId="02091126" w14:textId="50FB7C78" w:rsidR="00421F1B" w:rsidRPr="00795F17" w:rsidRDefault="00421F1B" w:rsidP="0065243A">
            <w:pPr>
              <w:pStyle w:val="Teksttabelisrodek"/>
            </w:pPr>
            <w:r w:rsidRPr="00795F17">
              <w:t>1,40</w:t>
            </w:r>
            <w:r w:rsidR="0002298F">
              <w:t xml:space="preserve"> </w:t>
            </w:r>
            <w:r w:rsidRPr="00795F17">
              <w:t>-</w:t>
            </w:r>
            <w:r w:rsidR="0002298F">
              <w:t xml:space="preserve"> </w:t>
            </w:r>
            <w:r w:rsidRPr="00795F17">
              <w:t>1,43 mm na dobę</w:t>
            </w:r>
          </w:p>
        </w:tc>
        <w:tc>
          <w:tcPr>
            <w:tcW w:w="526" w:type="pct"/>
            <w:tcBorders>
              <w:top w:val="nil"/>
              <w:left w:val="nil"/>
              <w:bottom w:val="single" w:sz="4" w:space="0" w:color="auto"/>
              <w:right w:val="single" w:sz="4" w:space="0" w:color="auto"/>
            </w:tcBorders>
            <w:shd w:val="clear" w:color="auto" w:fill="92D050"/>
            <w:vAlign w:val="center"/>
            <w:hideMark/>
          </w:tcPr>
          <w:p w14:paraId="30E39AF9" w14:textId="77777777" w:rsidR="00421F1B" w:rsidRPr="00795F17" w:rsidRDefault="00421F1B" w:rsidP="0065243A">
            <w:pPr>
              <w:pStyle w:val="Teksttabelisrodek"/>
            </w:pPr>
            <w:r w:rsidRPr="00795F17">
              <w:t>niskie</w:t>
            </w:r>
          </w:p>
        </w:tc>
        <w:tc>
          <w:tcPr>
            <w:tcW w:w="795" w:type="pct"/>
            <w:tcBorders>
              <w:top w:val="nil"/>
              <w:left w:val="nil"/>
              <w:bottom w:val="single" w:sz="4" w:space="0" w:color="auto"/>
              <w:right w:val="single" w:sz="4" w:space="0" w:color="auto"/>
            </w:tcBorders>
            <w:shd w:val="clear" w:color="auto" w:fill="auto"/>
            <w:vAlign w:val="center"/>
            <w:hideMark/>
          </w:tcPr>
          <w:p w14:paraId="26BD16D5" w14:textId="77777777" w:rsidR="00421F1B" w:rsidRPr="00795F17" w:rsidRDefault="00421F1B" w:rsidP="0065243A">
            <w:pPr>
              <w:pStyle w:val="Teksttabelisrodek"/>
            </w:pPr>
            <w:r w:rsidRPr="00795F17">
              <w:t>1,5 mm na dobę</w:t>
            </w:r>
          </w:p>
        </w:tc>
        <w:tc>
          <w:tcPr>
            <w:tcW w:w="515" w:type="pct"/>
            <w:tcBorders>
              <w:top w:val="nil"/>
              <w:left w:val="nil"/>
              <w:bottom w:val="single" w:sz="4" w:space="0" w:color="auto"/>
              <w:right w:val="single" w:sz="4" w:space="0" w:color="auto"/>
            </w:tcBorders>
            <w:shd w:val="clear" w:color="auto" w:fill="92D050"/>
            <w:noWrap/>
            <w:vAlign w:val="center"/>
            <w:hideMark/>
          </w:tcPr>
          <w:p w14:paraId="3F21A1BA" w14:textId="77777777" w:rsidR="00421F1B" w:rsidRPr="00795F17" w:rsidRDefault="00421F1B" w:rsidP="0065243A">
            <w:pPr>
              <w:pStyle w:val="Teksttabelisrodek"/>
            </w:pPr>
            <w:r w:rsidRPr="00795F17">
              <w:t>niskie</w:t>
            </w:r>
          </w:p>
        </w:tc>
      </w:tr>
      <w:tr w:rsidR="00421F1B" w:rsidRPr="00795F17" w14:paraId="396E2ECA" w14:textId="77777777" w:rsidTr="0002298F">
        <w:trPr>
          <w:trHeight w:val="530"/>
        </w:trPr>
        <w:tc>
          <w:tcPr>
            <w:tcW w:w="100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64C46B8" w14:textId="77777777" w:rsidR="00421F1B" w:rsidRPr="00795F17" w:rsidRDefault="00421F1B" w:rsidP="0044393D">
            <w:pPr>
              <w:pStyle w:val="Teksttabelilewy"/>
            </w:pPr>
            <w:r w:rsidRPr="00795F17">
              <w:t>Opady nawalne</w:t>
            </w:r>
          </w:p>
        </w:tc>
        <w:tc>
          <w:tcPr>
            <w:tcW w:w="776" w:type="pct"/>
            <w:tcBorders>
              <w:top w:val="nil"/>
              <w:left w:val="nil"/>
              <w:bottom w:val="single" w:sz="4" w:space="0" w:color="auto"/>
              <w:right w:val="single" w:sz="4" w:space="0" w:color="auto"/>
            </w:tcBorders>
            <w:shd w:val="clear" w:color="auto" w:fill="auto"/>
            <w:vAlign w:val="center"/>
            <w:hideMark/>
          </w:tcPr>
          <w:p w14:paraId="3741C10F" w14:textId="77777777" w:rsidR="00421F1B" w:rsidRPr="00795F17" w:rsidRDefault="00421F1B" w:rsidP="0065243A">
            <w:pPr>
              <w:pStyle w:val="Teksttabelisrodek"/>
            </w:pPr>
            <w:r w:rsidRPr="00795F17">
              <w:t>powyżej 10 mm na dobę: 12 dni w roku</w:t>
            </w:r>
          </w:p>
        </w:tc>
        <w:tc>
          <w:tcPr>
            <w:tcW w:w="536" w:type="pct"/>
            <w:tcBorders>
              <w:top w:val="nil"/>
              <w:left w:val="nil"/>
              <w:bottom w:val="single" w:sz="4" w:space="0" w:color="auto"/>
              <w:right w:val="single" w:sz="4" w:space="0" w:color="auto"/>
            </w:tcBorders>
            <w:shd w:val="clear" w:color="auto" w:fill="FFFF00"/>
            <w:noWrap/>
            <w:vAlign w:val="center"/>
            <w:hideMark/>
          </w:tcPr>
          <w:p w14:paraId="70982979" w14:textId="77777777" w:rsidR="00421F1B" w:rsidRPr="00795F17" w:rsidRDefault="00421F1B" w:rsidP="0065243A">
            <w:pPr>
              <w:pStyle w:val="Teksttabelisrodek"/>
            </w:pPr>
            <w:r w:rsidRPr="00795F17">
              <w:t>średnie</w:t>
            </w:r>
          </w:p>
        </w:tc>
        <w:tc>
          <w:tcPr>
            <w:tcW w:w="846" w:type="pct"/>
            <w:tcBorders>
              <w:top w:val="nil"/>
              <w:left w:val="nil"/>
              <w:bottom w:val="single" w:sz="4" w:space="0" w:color="auto"/>
              <w:right w:val="single" w:sz="4" w:space="0" w:color="auto"/>
            </w:tcBorders>
            <w:shd w:val="clear" w:color="auto" w:fill="auto"/>
            <w:vAlign w:val="center"/>
            <w:hideMark/>
          </w:tcPr>
          <w:p w14:paraId="187BFCAC" w14:textId="77777777" w:rsidR="00421F1B" w:rsidRPr="00795F17" w:rsidRDefault="00421F1B" w:rsidP="0065243A">
            <w:pPr>
              <w:pStyle w:val="Teksttabelisrodek"/>
            </w:pPr>
            <w:r w:rsidRPr="00795F17">
              <w:t>brak istotnej tendencji, przyrost w przedziale od -0,2 do 0,2 dnia na rok</w:t>
            </w:r>
          </w:p>
        </w:tc>
        <w:tc>
          <w:tcPr>
            <w:tcW w:w="526" w:type="pct"/>
            <w:tcBorders>
              <w:top w:val="nil"/>
              <w:left w:val="nil"/>
              <w:bottom w:val="single" w:sz="4" w:space="0" w:color="auto"/>
              <w:right w:val="single" w:sz="4" w:space="0" w:color="auto"/>
            </w:tcBorders>
            <w:shd w:val="clear" w:color="auto" w:fill="FFFF00"/>
            <w:vAlign w:val="center"/>
            <w:hideMark/>
          </w:tcPr>
          <w:p w14:paraId="679913BF" w14:textId="77777777" w:rsidR="00421F1B" w:rsidRPr="00795F17" w:rsidRDefault="00421F1B" w:rsidP="0065243A">
            <w:pPr>
              <w:pStyle w:val="Teksttabelisrodek"/>
            </w:pPr>
            <w:r w:rsidRPr="00795F17">
              <w:t>średnie</w:t>
            </w:r>
          </w:p>
        </w:tc>
        <w:tc>
          <w:tcPr>
            <w:tcW w:w="795" w:type="pct"/>
            <w:tcBorders>
              <w:top w:val="nil"/>
              <w:left w:val="nil"/>
              <w:bottom w:val="single" w:sz="4" w:space="0" w:color="auto"/>
              <w:right w:val="single" w:sz="4" w:space="0" w:color="auto"/>
            </w:tcBorders>
            <w:shd w:val="clear" w:color="auto" w:fill="auto"/>
            <w:vAlign w:val="center"/>
            <w:hideMark/>
          </w:tcPr>
          <w:p w14:paraId="7697683D" w14:textId="6D4B1463" w:rsidR="00421F1B" w:rsidRPr="00795F17" w:rsidRDefault="00421F1B" w:rsidP="0065243A">
            <w:pPr>
              <w:pStyle w:val="Teksttabelisrodek"/>
            </w:pPr>
            <w:r w:rsidRPr="00795F17">
              <w:t>przyrost o 0,7</w:t>
            </w:r>
            <w:r w:rsidR="0002298F">
              <w:t xml:space="preserve"> </w:t>
            </w:r>
            <w:r w:rsidRPr="00795F17">
              <w:t>-</w:t>
            </w:r>
            <w:r w:rsidR="0002298F">
              <w:t xml:space="preserve"> </w:t>
            </w:r>
            <w:r w:rsidRPr="00795F17">
              <w:t>1,1 dnia na rok</w:t>
            </w:r>
          </w:p>
        </w:tc>
        <w:tc>
          <w:tcPr>
            <w:tcW w:w="515" w:type="pct"/>
            <w:tcBorders>
              <w:top w:val="nil"/>
              <w:left w:val="nil"/>
              <w:bottom w:val="single" w:sz="4" w:space="0" w:color="auto"/>
              <w:right w:val="single" w:sz="4" w:space="0" w:color="auto"/>
            </w:tcBorders>
            <w:shd w:val="clear" w:color="auto" w:fill="FFFF00"/>
            <w:noWrap/>
            <w:vAlign w:val="center"/>
            <w:hideMark/>
          </w:tcPr>
          <w:p w14:paraId="2986F4E8" w14:textId="77777777" w:rsidR="00421F1B" w:rsidRPr="00795F17" w:rsidRDefault="00421F1B" w:rsidP="0065243A">
            <w:pPr>
              <w:pStyle w:val="Teksttabelisrodek"/>
            </w:pPr>
            <w:r w:rsidRPr="00795F17">
              <w:t>średnie</w:t>
            </w:r>
          </w:p>
        </w:tc>
      </w:tr>
      <w:tr w:rsidR="00421F1B" w:rsidRPr="00795F17" w14:paraId="4453EA15" w14:textId="77777777" w:rsidTr="0002298F">
        <w:trPr>
          <w:trHeight w:val="717"/>
        </w:trPr>
        <w:tc>
          <w:tcPr>
            <w:tcW w:w="1007" w:type="pct"/>
            <w:vMerge/>
            <w:tcBorders>
              <w:top w:val="nil"/>
              <w:left w:val="single" w:sz="4" w:space="0" w:color="auto"/>
              <w:bottom w:val="single" w:sz="4" w:space="0" w:color="auto"/>
              <w:right w:val="single" w:sz="4" w:space="0" w:color="auto"/>
            </w:tcBorders>
            <w:shd w:val="clear" w:color="auto" w:fill="auto"/>
            <w:vAlign w:val="center"/>
            <w:hideMark/>
          </w:tcPr>
          <w:p w14:paraId="5305D24C" w14:textId="77777777" w:rsidR="00421F1B" w:rsidRPr="00795F17" w:rsidRDefault="00421F1B" w:rsidP="0044393D">
            <w:pPr>
              <w:pStyle w:val="Teksttabelilewy"/>
            </w:pPr>
          </w:p>
        </w:tc>
        <w:tc>
          <w:tcPr>
            <w:tcW w:w="776" w:type="pct"/>
            <w:tcBorders>
              <w:top w:val="single" w:sz="4" w:space="0" w:color="auto"/>
              <w:left w:val="nil"/>
              <w:bottom w:val="single" w:sz="4" w:space="0" w:color="auto"/>
              <w:right w:val="single" w:sz="4" w:space="0" w:color="auto"/>
            </w:tcBorders>
            <w:shd w:val="clear" w:color="auto" w:fill="auto"/>
            <w:vAlign w:val="center"/>
            <w:hideMark/>
          </w:tcPr>
          <w:p w14:paraId="2161A26D" w14:textId="26EB170B" w:rsidR="00421F1B" w:rsidRPr="00795F17" w:rsidRDefault="00421F1B" w:rsidP="0065243A">
            <w:pPr>
              <w:pStyle w:val="Teksttabelisrodek"/>
            </w:pPr>
            <w:r w:rsidRPr="00795F17">
              <w:t>powyżej 20 mm na dobę: 2,9</w:t>
            </w:r>
            <w:r w:rsidR="0002298F">
              <w:t xml:space="preserve"> </w:t>
            </w:r>
            <w:r w:rsidRPr="00795F17">
              <w:t>-3,3 dnia w roku</w:t>
            </w:r>
          </w:p>
        </w:tc>
        <w:tc>
          <w:tcPr>
            <w:tcW w:w="536" w:type="pct"/>
            <w:tcBorders>
              <w:top w:val="single" w:sz="4" w:space="0" w:color="auto"/>
              <w:left w:val="nil"/>
              <w:bottom w:val="single" w:sz="4" w:space="0" w:color="auto"/>
              <w:right w:val="single" w:sz="4" w:space="0" w:color="auto"/>
            </w:tcBorders>
            <w:shd w:val="clear" w:color="auto" w:fill="FFFF00"/>
            <w:noWrap/>
            <w:vAlign w:val="center"/>
            <w:hideMark/>
          </w:tcPr>
          <w:p w14:paraId="39A0E9E5" w14:textId="77777777" w:rsidR="00421F1B" w:rsidRPr="00795F17" w:rsidRDefault="00421F1B" w:rsidP="0065243A">
            <w:pPr>
              <w:pStyle w:val="Teksttabelisrodek"/>
            </w:pPr>
            <w:r w:rsidRPr="00795F17">
              <w:t xml:space="preserve">średnie </w:t>
            </w:r>
          </w:p>
        </w:tc>
        <w:tc>
          <w:tcPr>
            <w:tcW w:w="846" w:type="pct"/>
            <w:tcBorders>
              <w:top w:val="single" w:sz="4" w:space="0" w:color="auto"/>
              <w:left w:val="nil"/>
              <w:bottom w:val="single" w:sz="4" w:space="0" w:color="auto"/>
              <w:right w:val="single" w:sz="4" w:space="0" w:color="auto"/>
            </w:tcBorders>
            <w:shd w:val="clear" w:color="auto" w:fill="auto"/>
            <w:vAlign w:val="center"/>
            <w:hideMark/>
          </w:tcPr>
          <w:p w14:paraId="6D39B5CE" w14:textId="318F5C78" w:rsidR="00421F1B" w:rsidRPr="00795F17" w:rsidRDefault="00421F1B" w:rsidP="0065243A">
            <w:pPr>
              <w:pStyle w:val="Teksttabelisrodek"/>
            </w:pPr>
            <w:r w:rsidRPr="00795F17">
              <w:t>brak istotnej tendencji, przyrost o 0,2</w:t>
            </w:r>
            <w:r w:rsidR="00D146C3" w:rsidRPr="00795F17">
              <w:t xml:space="preserve"> </w:t>
            </w:r>
            <w:r w:rsidRPr="00795F17">
              <w:t>dnia na rok</w:t>
            </w:r>
          </w:p>
        </w:tc>
        <w:tc>
          <w:tcPr>
            <w:tcW w:w="526" w:type="pct"/>
            <w:tcBorders>
              <w:top w:val="single" w:sz="4" w:space="0" w:color="auto"/>
              <w:left w:val="nil"/>
              <w:bottom w:val="single" w:sz="4" w:space="0" w:color="auto"/>
              <w:right w:val="single" w:sz="4" w:space="0" w:color="auto"/>
            </w:tcBorders>
            <w:shd w:val="clear" w:color="auto" w:fill="FFFF00"/>
            <w:vAlign w:val="center"/>
            <w:hideMark/>
          </w:tcPr>
          <w:p w14:paraId="5A0081D7" w14:textId="77777777" w:rsidR="00421F1B" w:rsidRPr="00795F17" w:rsidRDefault="00421F1B" w:rsidP="0065243A">
            <w:pPr>
              <w:pStyle w:val="Teksttabelisrodek"/>
            </w:pPr>
            <w:r w:rsidRPr="00795F17">
              <w:t>średnie</w:t>
            </w:r>
          </w:p>
        </w:tc>
        <w:tc>
          <w:tcPr>
            <w:tcW w:w="795" w:type="pct"/>
            <w:tcBorders>
              <w:top w:val="single" w:sz="4" w:space="0" w:color="auto"/>
              <w:left w:val="nil"/>
              <w:bottom w:val="single" w:sz="4" w:space="0" w:color="auto"/>
              <w:right w:val="single" w:sz="4" w:space="0" w:color="auto"/>
            </w:tcBorders>
            <w:shd w:val="clear" w:color="auto" w:fill="auto"/>
            <w:vAlign w:val="center"/>
            <w:hideMark/>
          </w:tcPr>
          <w:p w14:paraId="6082056C" w14:textId="4E7907E1" w:rsidR="00421F1B" w:rsidRPr="00795F17" w:rsidRDefault="00421F1B" w:rsidP="0065243A">
            <w:pPr>
              <w:pStyle w:val="Teksttabelisrodek"/>
            </w:pPr>
            <w:r w:rsidRPr="00795F17">
              <w:t>przyrost o 0,2</w:t>
            </w:r>
            <w:r w:rsidR="0002298F">
              <w:t xml:space="preserve"> </w:t>
            </w:r>
            <w:r w:rsidRPr="00795F17">
              <w:t>-</w:t>
            </w:r>
            <w:r w:rsidR="0002298F">
              <w:t xml:space="preserve"> </w:t>
            </w:r>
            <w:r w:rsidRPr="00795F17">
              <w:t>0,4 dnia na rok</w:t>
            </w:r>
          </w:p>
        </w:tc>
        <w:tc>
          <w:tcPr>
            <w:tcW w:w="515" w:type="pct"/>
            <w:tcBorders>
              <w:top w:val="single" w:sz="4" w:space="0" w:color="auto"/>
              <w:left w:val="nil"/>
              <w:bottom w:val="single" w:sz="4" w:space="0" w:color="auto"/>
              <w:right w:val="single" w:sz="4" w:space="0" w:color="auto"/>
            </w:tcBorders>
            <w:shd w:val="clear" w:color="auto" w:fill="FFFF00"/>
            <w:noWrap/>
            <w:vAlign w:val="center"/>
            <w:hideMark/>
          </w:tcPr>
          <w:p w14:paraId="7716E4C9" w14:textId="77777777" w:rsidR="00421F1B" w:rsidRPr="00795F17" w:rsidRDefault="00421F1B" w:rsidP="0065243A">
            <w:pPr>
              <w:pStyle w:val="Teksttabelisrodek"/>
            </w:pPr>
            <w:r w:rsidRPr="00795F17">
              <w:t>średnie</w:t>
            </w:r>
          </w:p>
        </w:tc>
      </w:tr>
      <w:tr w:rsidR="00421F1B" w:rsidRPr="00795F17" w14:paraId="674AD43A" w14:textId="77777777" w:rsidTr="00ED2E41">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6247F33B" w14:textId="77777777" w:rsidR="00421F1B" w:rsidRPr="00795F17" w:rsidRDefault="00421F1B" w:rsidP="0044393D">
            <w:pPr>
              <w:pStyle w:val="Teksttabelilewy"/>
            </w:pPr>
            <w:r w:rsidRPr="00795F17">
              <w:t>Opady i zaleganie śniegu</w:t>
            </w:r>
          </w:p>
        </w:tc>
        <w:tc>
          <w:tcPr>
            <w:tcW w:w="776" w:type="pct"/>
            <w:tcBorders>
              <w:top w:val="nil"/>
              <w:left w:val="nil"/>
              <w:bottom w:val="single" w:sz="4" w:space="0" w:color="auto"/>
              <w:right w:val="single" w:sz="4" w:space="0" w:color="auto"/>
            </w:tcBorders>
            <w:shd w:val="clear" w:color="auto" w:fill="auto"/>
            <w:vAlign w:val="center"/>
            <w:hideMark/>
          </w:tcPr>
          <w:p w14:paraId="7D4B02D6" w14:textId="08F5F73C" w:rsidR="00421F1B" w:rsidRPr="00795F17" w:rsidRDefault="00421F1B" w:rsidP="0065243A">
            <w:pPr>
              <w:pStyle w:val="Teksttabelisrodek"/>
            </w:pPr>
            <w:r w:rsidRPr="00795F17">
              <w:t>od 30 do 45 dni rocznie z</w:t>
            </w:r>
            <w:r w:rsidR="0002298F">
              <w:t> </w:t>
            </w:r>
            <w:r w:rsidRPr="00795F17">
              <w:t>zaleganiem śniegu</w:t>
            </w:r>
          </w:p>
        </w:tc>
        <w:tc>
          <w:tcPr>
            <w:tcW w:w="536" w:type="pct"/>
            <w:tcBorders>
              <w:top w:val="nil"/>
              <w:left w:val="nil"/>
              <w:bottom w:val="single" w:sz="4" w:space="0" w:color="auto"/>
              <w:right w:val="single" w:sz="4" w:space="0" w:color="auto"/>
            </w:tcBorders>
            <w:shd w:val="clear" w:color="auto" w:fill="FFFF00"/>
            <w:noWrap/>
            <w:vAlign w:val="center"/>
            <w:hideMark/>
          </w:tcPr>
          <w:p w14:paraId="41B8B4DE" w14:textId="77777777" w:rsidR="00421F1B" w:rsidRPr="00795F17" w:rsidRDefault="00421F1B" w:rsidP="0065243A">
            <w:pPr>
              <w:pStyle w:val="Teksttabelisrodek"/>
            </w:pPr>
            <w:r w:rsidRPr="00795F17">
              <w:t>średnie</w:t>
            </w:r>
          </w:p>
        </w:tc>
        <w:tc>
          <w:tcPr>
            <w:tcW w:w="846" w:type="pct"/>
            <w:tcBorders>
              <w:top w:val="nil"/>
              <w:left w:val="nil"/>
              <w:bottom w:val="single" w:sz="4" w:space="0" w:color="auto"/>
              <w:right w:val="single" w:sz="4" w:space="0" w:color="auto"/>
            </w:tcBorders>
            <w:shd w:val="clear" w:color="auto" w:fill="auto"/>
            <w:vAlign w:val="center"/>
            <w:hideMark/>
          </w:tcPr>
          <w:p w14:paraId="65FF7C7E" w14:textId="77777777" w:rsidR="00421F1B" w:rsidRPr="00795F17" w:rsidRDefault="00421F1B" w:rsidP="0065243A">
            <w:pPr>
              <w:pStyle w:val="Teksttabelisrodek"/>
            </w:pPr>
            <w:r w:rsidRPr="00795F17">
              <w:t>spadek liczby dni zalegania śniegu</w:t>
            </w:r>
          </w:p>
        </w:tc>
        <w:tc>
          <w:tcPr>
            <w:tcW w:w="526" w:type="pct"/>
            <w:tcBorders>
              <w:top w:val="nil"/>
              <w:left w:val="nil"/>
              <w:bottom w:val="single" w:sz="4" w:space="0" w:color="auto"/>
              <w:right w:val="single" w:sz="4" w:space="0" w:color="auto"/>
            </w:tcBorders>
            <w:shd w:val="clear" w:color="auto" w:fill="92D050"/>
            <w:vAlign w:val="center"/>
            <w:hideMark/>
          </w:tcPr>
          <w:p w14:paraId="1557D16E" w14:textId="77777777" w:rsidR="00421F1B" w:rsidRPr="00795F17" w:rsidRDefault="00421F1B" w:rsidP="0065243A">
            <w:pPr>
              <w:pStyle w:val="Teksttabelisrodek"/>
            </w:pPr>
            <w:r w:rsidRPr="00795F17">
              <w:t>niskie</w:t>
            </w:r>
          </w:p>
        </w:tc>
        <w:tc>
          <w:tcPr>
            <w:tcW w:w="795" w:type="pct"/>
            <w:tcBorders>
              <w:top w:val="nil"/>
              <w:left w:val="nil"/>
              <w:bottom w:val="single" w:sz="4" w:space="0" w:color="auto"/>
              <w:right w:val="single" w:sz="4" w:space="0" w:color="auto"/>
            </w:tcBorders>
            <w:shd w:val="clear" w:color="auto" w:fill="auto"/>
            <w:vAlign w:val="center"/>
            <w:hideMark/>
          </w:tcPr>
          <w:p w14:paraId="650A32C3" w14:textId="77777777" w:rsidR="00421F1B" w:rsidRPr="00795F17" w:rsidRDefault="00421F1B" w:rsidP="0065243A">
            <w:pPr>
              <w:pStyle w:val="Teksttabelisrodek"/>
            </w:pPr>
            <w:r w:rsidRPr="00795F17">
              <w:t>spadek liczby dni zalegania śniegu, możliwy brak pokrywy śnieżnej</w:t>
            </w:r>
          </w:p>
        </w:tc>
        <w:tc>
          <w:tcPr>
            <w:tcW w:w="515" w:type="pct"/>
            <w:tcBorders>
              <w:top w:val="nil"/>
              <w:left w:val="nil"/>
              <w:bottom w:val="single" w:sz="4" w:space="0" w:color="auto"/>
              <w:right w:val="single" w:sz="4" w:space="0" w:color="auto"/>
            </w:tcBorders>
            <w:shd w:val="clear" w:color="auto" w:fill="92D050"/>
            <w:noWrap/>
            <w:vAlign w:val="center"/>
            <w:hideMark/>
          </w:tcPr>
          <w:p w14:paraId="534A5FD2" w14:textId="77777777" w:rsidR="00421F1B" w:rsidRPr="00795F17" w:rsidRDefault="00421F1B" w:rsidP="0065243A">
            <w:pPr>
              <w:pStyle w:val="Teksttabelisrodek"/>
            </w:pPr>
            <w:r w:rsidRPr="00795F17">
              <w:t>niskie</w:t>
            </w:r>
          </w:p>
        </w:tc>
      </w:tr>
      <w:tr w:rsidR="00421F1B" w:rsidRPr="00795F17" w14:paraId="7B0CE09A" w14:textId="77777777" w:rsidTr="00ED2E41">
        <w:trPr>
          <w:trHeight w:val="275"/>
        </w:trPr>
        <w:tc>
          <w:tcPr>
            <w:tcW w:w="1007" w:type="pct"/>
            <w:tcBorders>
              <w:top w:val="nil"/>
              <w:left w:val="single" w:sz="4" w:space="0" w:color="auto"/>
              <w:bottom w:val="single" w:sz="4" w:space="0" w:color="auto"/>
              <w:right w:val="single" w:sz="4" w:space="0" w:color="auto"/>
            </w:tcBorders>
            <w:shd w:val="clear" w:color="auto" w:fill="auto"/>
            <w:noWrap/>
            <w:vAlign w:val="center"/>
            <w:hideMark/>
          </w:tcPr>
          <w:p w14:paraId="3CBCA636" w14:textId="77777777" w:rsidR="00421F1B" w:rsidRPr="00795F17" w:rsidRDefault="00421F1B" w:rsidP="0044393D">
            <w:pPr>
              <w:pStyle w:val="Teksttabelilewy"/>
            </w:pPr>
            <w:r w:rsidRPr="00795F17">
              <w:t>Susza</w:t>
            </w:r>
          </w:p>
        </w:tc>
        <w:tc>
          <w:tcPr>
            <w:tcW w:w="776" w:type="pct"/>
            <w:tcBorders>
              <w:top w:val="nil"/>
              <w:left w:val="nil"/>
              <w:bottom w:val="single" w:sz="4" w:space="0" w:color="auto"/>
              <w:right w:val="single" w:sz="4" w:space="0" w:color="auto"/>
            </w:tcBorders>
            <w:shd w:val="clear" w:color="auto" w:fill="auto"/>
            <w:vAlign w:val="center"/>
            <w:hideMark/>
          </w:tcPr>
          <w:p w14:paraId="2C414A19" w14:textId="5F1A805A" w:rsidR="00421F1B" w:rsidRPr="00795F17" w:rsidRDefault="00421F1B" w:rsidP="0065243A">
            <w:pPr>
              <w:pStyle w:val="Teksttabelisrodek"/>
            </w:pPr>
            <w:r w:rsidRPr="00795F17">
              <w:t>240</w:t>
            </w:r>
            <w:r w:rsidR="0002298F">
              <w:t xml:space="preserve"> </w:t>
            </w:r>
            <w:r w:rsidRPr="00795F17">
              <w:t>-</w:t>
            </w:r>
            <w:r w:rsidR="0002298F">
              <w:t xml:space="preserve"> </w:t>
            </w:r>
            <w:r w:rsidRPr="00795F17">
              <w:t>242 dni w</w:t>
            </w:r>
            <w:r w:rsidR="0002298F">
              <w:t> </w:t>
            </w:r>
            <w:r w:rsidRPr="00795F17">
              <w:t>roku</w:t>
            </w:r>
          </w:p>
        </w:tc>
        <w:tc>
          <w:tcPr>
            <w:tcW w:w="536" w:type="pct"/>
            <w:tcBorders>
              <w:top w:val="nil"/>
              <w:left w:val="nil"/>
              <w:bottom w:val="single" w:sz="4" w:space="0" w:color="auto"/>
              <w:right w:val="single" w:sz="4" w:space="0" w:color="auto"/>
            </w:tcBorders>
            <w:shd w:val="clear" w:color="auto" w:fill="FFFF00"/>
            <w:noWrap/>
            <w:vAlign w:val="center"/>
            <w:hideMark/>
          </w:tcPr>
          <w:p w14:paraId="5FC46ACF" w14:textId="77777777" w:rsidR="00421F1B" w:rsidRPr="00795F17" w:rsidRDefault="00421F1B" w:rsidP="0065243A">
            <w:pPr>
              <w:pStyle w:val="Teksttabelisrodek"/>
            </w:pPr>
            <w:r w:rsidRPr="00795F17">
              <w:t>średnie</w:t>
            </w:r>
          </w:p>
        </w:tc>
        <w:tc>
          <w:tcPr>
            <w:tcW w:w="846" w:type="pct"/>
            <w:tcBorders>
              <w:top w:val="nil"/>
              <w:left w:val="nil"/>
              <w:bottom w:val="single" w:sz="4" w:space="0" w:color="auto"/>
              <w:right w:val="single" w:sz="4" w:space="0" w:color="auto"/>
            </w:tcBorders>
            <w:shd w:val="clear" w:color="auto" w:fill="auto"/>
            <w:noWrap/>
            <w:vAlign w:val="center"/>
            <w:hideMark/>
          </w:tcPr>
          <w:p w14:paraId="0D427D37" w14:textId="77777777" w:rsidR="00421F1B" w:rsidRPr="00795F17" w:rsidRDefault="00421F1B" w:rsidP="0065243A">
            <w:pPr>
              <w:pStyle w:val="Teksttabelisrodek"/>
            </w:pPr>
            <w:r w:rsidRPr="00795F17">
              <w:t>prawdopodobny przyrost liczby dni, duża niepewność wyniku</w:t>
            </w:r>
          </w:p>
        </w:tc>
        <w:tc>
          <w:tcPr>
            <w:tcW w:w="526" w:type="pct"/>
            <w:tcBorders>
              <w:top w:val="nil"/>
              <w:left w:val="nil"/>
              <w:bottom w:val="single" w:sz="4" w:space="0" w:color="auto"/>
              <w:right w:val="single" w:sz="4" w:space="0" w:color="auto"/>
            </w:tcBorders>
            <w:shd w:val="clear" w:color="auto" w:fill="FFFF00"/>
            <w:vAlign w:val="center"/>
            <w:hideMark/>
          </w:tcPr>
          <w:p w14:paraId="4ACA5DAE" w14:textId="77777777" w:rsidR="00421F1B" w:rsidRPr="00795F17" w:rsidRDefault="00421F1B" w:rsidP="0065243A">
            <w:pPr>
              <w:pStyle w:val="Teksttabelisrodek"/>
            </w:pPr>
            <w:r w:rsidRPr="00795F17">
              <w:t>średnie</w:t>
            </w:r>
          </w:p>
        </w:tc>
        <w:tc>
          <w:tcPr>
            <w:tcW w:w="795" w:type="pct"/>
            <w:tcBorders>
              <w:top w:val="nil"/>
              <w:left w:val="nil"/>
              <w:bottom w:val="single" w:sz="4" w:space="0" w:color="auto"/>
              <w:right w:val="single" w:sz="4" w:space="0" w:color="auto"/>
            </w:tcBorders>
            <w:shd w:val="clear" w:color="auto" w:fill="auto"/>
            <w:vAlign w:val="center"/>
            <w:hideMark/>
          </w:tcPr>
          <w:p w14:paraId="5078A69D" w14:textId="3FBC54AE" w:rsidR="00421F1B" w:rsidRPr="00795F17" w:rsidRDefault="00421F1B" w:rsidP="0065243A">
            <w:pPr>
              <w:pStyle w:val="Teksttabelisrodek"/>
            </w:pPr>
            <w:r w:rsidRPr="00795F17">
              <w:t>spadek o 1,6</w:t>
            </w:r>
            <w:r w:rsidR="0002298F">
              <w:t xml:space="preserve"> </w:t>
            </w:r>
            <w:r w:rsidRPr="00795F17">
              <w:t>-</w:t>
            </w:r>
            <w:r w:rsidR="0002298F">
              <w:t xml:space="preserve"> </w:t>
            </w:r>
            <w:r w:rsidRPr="00795F17">
              <w:t>2 dni</w:t>
            </w:r>
          </w:p>
        </w:tc>
        <w:tc>
          <w:tcPr>
            <w:tcW w:w="515" w:type="pct"/>
            <w:tcBorders>
              <w:top w:val="nil"/>
              <w:left w:val="nil"/>
              <w:bottom w:val="single" w:sz="4" w:space="0" w:color="auto"/>
              <w:right w:val="single" w:sz="4" w:space="0" w:color="auto"/>
            </w:tcBorders>
            <w:shd w:val="clear" w:color="auto" w:fill="FFFF00"/>
            <w:noWrap/>
            <w:vAlign w:val="center"/>
            <w:hideMark/>
          </w:tcPr>
          <w:p w14:paraId="3F9CBD09" w14:textId="77777777" w:rsidR="00421F1B" w:rsidRPr="00795F17" w:rsidRDefault="00421F1B" w:rsidP="0065243A">
            <w:pPr>
              <w:pStyle w:val="Teksttabelisrodek"/>
            </w:pPr>
            <w:r w:rsidRPr="00795F17">
              <w:t>średnie</w:t>
            </w:r>
          </w:p>
        </w:tc>
      </w:tr>
    </w:tbl>
    <w:bookmarkEnd w:id="120"/>
    <w:p w14:paraId="5140F0FF" w14:textId="11549EDF" w:rsidR="00421F1B" w:rsidRPr="00795F17" w:rsidRDefault="00421F1B" w:rsidP="00613B2D">
      <w:pPr>
        <w:pStyle w:val="rdo"/>
      </w:pPr>
      <w:r w:rsidRPr="00795F17">
        <w:t xml:space="preserve">Źródło: </w:t>
      </w:r>
      <w:r w:rsidR="00FD7248" w:rsidRPr="00795F17">
        <w:t>opracowanie własne</w:t>
      </w:r>
    </w:p>
    <w:p w14:paraId="7FAD6958" w14:textId="23A3E323" w:rsidR="00421F1B" w:rsidRPr="00795F17" w:rsidRDefault="00421F1B" w:rsidP="0044393D">
      <w:pPr>
        <w:pStyle w:val="Nagwek5"/>
      </w:pPr>
      <w:r w:rsidRPr="00795F17">
        <w:t>Podsumowanie</w:t>
      </w:r>
    </w:p>
    <w:p w14:paraId="7251D95E" w14:textId="778BB6A2" w:rsidR="005F3138" w:rsidRPr="00795F17" w:rsidRDefault="005F3138" w:rsidP="0044393D">
      <w:r w:rsidRPr="00795F17">
        <w:t>Poniżej przedstawiono wykres 4-1 podsumowujący prognozowane zmiany klimatu i narażenie w horyzoncie czasowym do 2100 r. dla trzech składowych klimatycznych wybranych jako najbardziej reprezentatywne parametry prognozowanych zmian klimatu, które najintensywniej wpływają na stan wód. Należą do nich: ekstremalna temperatura dodatnia, opady nawalne powyżej 10 mm na dobę, susza.</w:t>
      </w:r>
    </w:p>
    <w:p w14:paraId="1A0726A7" w14:textId="4780BA20" w:rsidR="00613B2D" w:rsidRPr="00795F17" w:rsidRDefault="00613B2D" w:rsidP="0050009F">
      <w:pPr>
        <w:jc w:val="center"/>
        <w:rPr>
          <w:rFonts w:asciiTheme="minorHAnsi" w:hAnsiTheme="minorHAnsi" w:cstheme="minorHAnsi"/>
        </w:rPr>
      </w:pPr>
      <w:r w:rsidRPr="00795F17">
        <w:rPr>
          <w:noProof/>
        </w:rPr>
        <w:drawing>
          <wp:inline distT="0" distB="0" distL="0" distR="0" wp14:anchorId="4B39E2B1" wp14:editId="2EFF8B0F">
            <wp:extent cx="5760720" cy="3314700"/>
            <wp:effectExtent l="0" t="0" r="11430" b="0"/>
            <wp:docPr id="1866059336" name="Wykres 1866059336">
              <a:extLst xmlns:a="http://schemas.openxmlformats.org/drawingml/2006/main">
                <a:ext uri="{FF2B5EF4-FFF2-40B4-BE49-F238E27FC236}">
                  <a16:creationId xmlns:a16="http://schemas.microsoft.com/office/drawing/2014/main" id="{BA6E7E11-476A-418D-8AF3-F07B4E258B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EB95883" w14:textId="7C976B3B" w:rsidR="005F3138" w:rsidRPr="00795F17" w:rsidRDefault="005F3138" w:rsidP="00B479EE">
      <w:pPr>
        <w:pStyle w:val="Wykres"/>
        <w:rPr>
          <w:i/>
          <w:iCs/>
        </w:rPr>
      </w:pPr>
      <w:bookmarkStart w:id="121" w:name="_Toc66272996"/>
      <w:bookmarkStart w:id="122" w:name="_Toc105512954"/>
      <w:r w:rsidRPr="00795F17">
        <w:t xml:space="preserve">Wykres </w:t>
      </w:r>
      <w:fldSimple w:instr=" STYLEREF 1 \s ">
        <w:r w:rsidR="001F774D">
          <w:rPr>
            <w:noProof/>
          </w:rPr>
          <w:t>4</w:t>
        </w:r>
      </w:fldSimple>
      <w:r w:rsidR="00FF20D3">
        <w:noBreakHyphen/>
      </w:r>
      <w:fldSimple w:instr=" SEQ Wykres \* ARABIC \s 1 ">
        <w:r w:rsidR="001F774D">
          <w:rPr>
            <w:noProof/>
          </w:rPr>
          <w:t>1</w:t>
        </w:r>
      </w:fldSimple>
      <w:r w:rsidR="00D40C59">
        <w:rPr>
          <w:noProof/>
        </w:rPr>
        <w:t>.</w:t>
      </w:r>
      <w:r w:rsidRPr="00795F17">
        <w:tab/>
        <w:t>Prognozowane tendencje zmian wybranych składowych klimatu</w:t>
      </w:r>
      <w:bookmarkEnd w:id="121"/>
      <w:bookmarkEnd w:id="122"/>
    </w:p>
    <w:p w14:paraId="15D52F24" w14:textId="2C2AB994" w:rsidR="005F3138" w:rsidRPr="00795F17" w:rsidRDefault="005F3138" w:rsidP="0044393D">
      <w:pPr>
        <w:pStyle w:val="rdo"/>
      </w:pPr>
      <w:r w:rsidRPr="00795F17">
        <w:t xml:space="preserve">Źródło: </w:t>
      </w:r>
      <w:r w:rsidR="00FD7248" w:rsidRPr="00795F17">
        <w:t>opracowanie własne</w:t>
      </w:r>
    </w:p>
    <w:p w14:paraId="3AAF4403" w14:textId="0EADA02D" w:rsidR="00421F1B" w:rsidRPr="00795F17" w:rsidRDefault="00421F1B" w:rsidP="0044393D">
      <w:r w:rsidRPr="00795F17">
        <w:t>Prognozowane zmiany klimatu w przedziale najbliższego cyklu planistycznego (lata 2022</w:t>
      </w:r>
      <w:r w:rsidR="000F21F2">
        <w:t>–</w:t>
      </w:r>
      <w:r w:rsidRPr="00795F17">
        <w:t>2027) nie</w:t>
      </w:r>
      <w:r w:rsidR="006A6588" w:rsidRPr="00795F17">
        <w:t> </w:t>
      </w:r>
      <w:r w:rsidRPr="00795F17">
        <w:t xml:space="preserve">będą znacząco odbiegały od warunków współczesnych. Dopiero od około połowy XXI w. prognozowane jest znaczące przyspieszenie procesu zmian klimatycznych. Jako najważniejsze należy wskazać zmiany temperatury powietrza oraz zmiany struktury opadów </w:t>
      </w:r>
      <w:r w:rsidR="000F21F2">
        <w:t>–</w:t>
      </w:r>
      <w:r w:rsidRPr="00795F17">
        <w:t xml:space="preserve"> przejście z opadów śniegu i deszczu do znaczącego ograniczenia lub nawet zaniku występowania opadów śniegu (i pokrywy śnieżnej) z końcem bieżącego stulecia. Zmiany takie będą mieć istotne znaczenie dla warunków kształtujących równowagę hydrologiczną i ekosystemową:</w:t>
      </w:r>
    </w:p>
    <w:p w14:paraId="70D1086B" w14:textId="1C867F6A" w:rsidR="00421F1B" w:rsidRPr="008C1D1B" w:rsidRDefault="00421F1B" w:rsidP="005635FD">
      <w:pPr>
        <w:pStyle w:val="M1"/>
        <w:numPr>
          <w:ilvl w:val="0"/>
          <w:numId w:val="117"/>
        </w:numPr>
        <w:ind w:left="567" w:hanging="567"/>
      </w:pPr>
      <w:r w:rsidRPr="00795F17">
        <w:t xml:space="preserve">za zmianą struktury opadów należy oczekiwać podążenia zmiany ustroju hydrologicznego cieków, przede wszystkim zatarcia się lub zaniku składowej roztopowej wezbrań rzecznych, niejako w zamian </w:t>
      </w:r>
      <w:r w:rsidR="000F21F2">
        <w:t>–</w:t>
      </w:r>
      <w:r w:rsidRPr="00795F17">
        <w:t xml:space="preserve"> wezbrania będą podążały za intensywnymi epizodami opadów deszczu, a</w:t>
      </w:r>
      <w:r w:rsidR="00ED5662" w:rsidRPr="00795F17">
        <w:t> </w:t>
      </w:r>
      <w:r w:rsidRPr="00795F17">
        <w:t xml:space="preserve">te </w:t>
      </w:r>
      <w:r w:rsidR="000F21F2">
        <w:t>–</w:t>
      </w:r>
      <w:r w:rsidRPr="00795F17">
        <w:t xml:space="preserve"> jak wskazują prognozy </w:t>
      </w:r>
      <w:r w:rsidR="000F21F2">
        <w:t>–</w:t>
      </w:r>
      <w:r w:rsidRPr="00795F17">
        <w:t xml:space="preserve"> nie zmienią swojej sumy, ale będą częściej występować w formie epizodów o znaczącym natężeniu, zatem </w:t>
      </w:r>
      <w:r w:rsidRPr="008C1D1B">
        <w:t>z towarzyszeniem:</w:t>
      </w:r>
    </w:p>
    <w:p w14:paraId="1E3CEF34" w14:textId="048FEF7A" w:rsidR="00421F1B" w:rsidRPr="0050009F" w:rsidRDefault="00421F1B" w:rsidP="0050009F">
      <w:pPr>
        <w:pStyle w:val="Listapunktowana3"/>
      </w:pPr>
      <w:r w:rsidRPr="0050009F">
        <w:t>szybkiego spływu powierzchniowego zwiększającego proces erozji gleb, a w konsekwencji ładunek biogenów do cieków,</w:t>
      </w:r>
    </w:p>
    <w:p w14:paraId="22B15AF6" w14:textId="77777777" w:rsidR="00421F1B" w:rsidRPr="0050009F" w:rsidRDefault="00421F1B" w:rsidP="0050009F">
      <w:pPr>
        <w:pStyle w:val="Listapunktowana3"/>
      </w:pPr>
      <w:r w:rsidRPr="0050009F">
        <w:t>zwiększenia ilości ścieków wprowadzonych w ramach zrzutów burzowych,</w:t>
      </w:r>
    </w:p>
    <w:p w14:paraId="08FB4445" w14:textId="77777777" w:rsidR="00421F1B" w:rsidRPr="00795F17" w:rsidRDefault="00421F1B" w:rsidP="0050009F">
      <w:pPr>
        <w:pStyle w:val="Listapunktowana3"/>
      </w:pPr>
      <w:r w:rsidRPr="00795F17">
        <w:t>formowania wezbrania opadowego;</w:t>
      </w:r>
    </w:p>
    <w:p w14:paraId="2A76C7AF" w14:textId="65885445" w:rsidR="00421F1B" w:rsidRPr="00795F17" w:rsidRDefault="00421F1B" w:rsidP="005635FD">
      <w:pPr>
        <w:pStyle w:val="M1"/>
        <w:numPr>
          <w:ilvl w:val="0"/>
          <w:numId w:val="117"/>
        </w:numPr>
        <w:ind w:left="567" w:hanging="567"/>
      </w:pPr>
      <w:r w:rsidRPr="00795F17">
        <w:t>za zmianą ustroju termicznego atmosfery (przyrost średniej temperatury rocznej, prognozowane znaczące ocieplenie okresu chłodnego) należy oczekiwać postępującej zmiany ustroju termicznego wód powierzchniowych, spodziewane skutki można scharakteryzować w</w:t>
      </w:r>
      <w:r w:rsidR="00B81491" w:rsidRPr="00795F17">
        <w:t> </w:t>
      </w:r>
      <w:r w:rsidRPr="00795F17">
        <w:t>następujących obszarach:</w:t>
      </w:r>
    </w:p>
    <w:p w14:paraId="29D75C64" w14:textId="77777777" w:rsidR="00421F1B" w:rsidRPr="00795F17" w:rsidRDefault="00421F1B" w:rsidP="0050009F">
      <w:pPr>
        <w:pStyle w:val="Listapunktowana3"/>
      </w:pPr>
      <w:r w:rsidRPr="00795F17">
        <w:t>przyrost temperatury powietrza i wody będzie skutkować wzrostem parowania prowadząc do strat w bilansie wodnym, w tym w chłodnej porze roku,</w:t>
      </w:r>
    </w:p>
    <w:p w14:paraId="46003DAC" w14:textId="77777777" w:rsidR="00421F1B" w:rsidRPr="00795F17" w:rsidRDefault="00421F1B" w:rsidP="0050009F">
      <w:pPr>
        <w:pStyle w:val="Listapunktowana3"/>
      </w:pPr>
      <w:r w:rsidRPr="00795F17">
        <w:t>straty parowania będą prowadzić w konsekwencji do wzrostu stężenia substancji rozpuszczonych w wodach powierzchniowych, co może skutkować przekroczeniem norm/klas jakości w zakresie wskaźników fizykochemicznych i chemicznych wód,</w:t>
      </w:r>
    </w:p>
    <w:p w14:paraId="124AC50E" w14:textId="320251BB" w:rsidR="00421F1B" w:rsidRPr="00795F17" w:rsidRDefault="00421F1B" w:rsidP="0050009F">
      <w:pPr>
        <w:pStyle w:val="Listapunktowana3"/>
      </w:pPr>
      <w:r w:rsidRPr="00795F17">
        <w:t xml:space="preserve">wydłużenie okresu wegetacyjnego, podążające za przyrostem temperatury powietrza </w:t>
      </w:r>
      <w:r w:rsidR="00EE0B93">
        <w:t>(</w:t>
      </w:r>
      <w:r w:rsidRPr="00795F17">
        <w:t>średniej rocznej oraz okresu chłodnego</w:t>
      </w:r>
      <w:r w:rsidR="00EE0B93">
        <w:t>)</w:t>
      </w:r>
      <w:r w:rsidRPr="00795F17">
        <w:t xml:space="preserve"> należy wiązać również z przyrostem biomasy produkowanej w ekosystemach wodnych, co w połączeniu ze wzrostem stężeń substancji rozpuszczonych w wodzie w konsekwencji może mieć znaczący wpływ na przyspieszenie procesów eutrofizacji, w</w:t>
      </w:r>
      <w:r w:rsidR="008F46DD" w:rsidRPr="00795F17">
        <w:t> </w:t>
      </w:r>
      <w:r w:rsidRPr="00795F17">
        <w:t>tym w szczególności w obrębie zbiorników wodnych,</w:t>
      </w:r>
    </w:p>
    <w:p w14:paraId="59766E32" w14:textId="41CE01CD" w:rsidR="00421F1B" w:rsidRPr="00795F17" w:rsidRDefault="00421F1B" w:rsidP="0050009F">
      <w:pPr>
        <w:pStyle w:val="Listapunktowana3"/>
      </w:pPr>
      <w:r w:rsidRPr="00795F17">
        <w:t>zmiana warunków środowiska fizycznogeograficznego dla wód powierzchniowych (przyrost temperatury wody, zanik zlodzenia, zanik pokrywy śnieżnej) będzie stwarzał nowe warunki ekosystemowe, w konsekwencji należy oczekiwać przebudowy ekosystemów wodnych i</w:t>
      </w:r>
      <w:r w:rsidR="0006099B">
        <w:t> </w:t>
      </w:r>
      <w:r w:rsidRPr="00795F17">
        <w:t xml:space="preserve">wodno-lądowych w zakresie składu gatunkowego </w:t>
      </w:r>
      <w:r w:rsidR="003B2518">
        <w:t>–</w:t>
      </w:r>
      <w:r w:rsidRPr="00795F17">
        <w:t xml:space="preserve"> dotychczasowe gatunki mogą nie</w:t>
      </w:r>
      <w:r w:rsidR="0080467B">
        <w:t> </w:t>
      </w:r>
      <w:r w:rsidRPr="00795F17">
        <w:t>zdołać zbudować tolerancji dla nowych warunków, spodziewane jest sukcesywne narastanie presji wynikającej z</w:t>
      </w:r>
      <w:r w:rsidR="008F46DD" w:rsidRPr="00795F17">
        <w:t> </w:t>
      </w:r>
      <w:r w:rsidRPr="00795F17">
        <w:t>pojawiania się nowych, dotychczas obcych lokalnie gatunków.</w:t>
      </w:r>
    </w:p>
    <w:p w14:paraId="2F6E5246" w14:textId="77777777" w:rsidR="00421F1B" w:rsidRPr="00795F17" w:rsidRDefault="00421F1B" w:rsidP="0044393D">
      <w:r w:rsidRPr="00795F17">
        <w:rPr>
          <w:rFonts w:cstheme="minorBidi"/>
        </w:rPr>
        <w:t xml:space="preserve">Zarysowane warunki wymagają stosowania działań </w:t>
      </w:r>
      <w:r w:rsidRPr="00795F17">
        <w:t xml:space="preserve">adaptacyjnych zwiększających odporność ekosystemów wodnych, w tym: </w:t>
      </w:r>
    </w:p>
    <w:p w14:paraId="365726AA" w14:textId="77777777" w:rsidR="00421F1B" w:rsidRPr="00795F17" w:rsidRDefault="00421F1B" w:rsidP="005635FD">
      <w:pPr>
        <w:pStyle w:val="Listapunktowana2"/>
        <w:numPr>
          <w:ilvl w:val="0"/>
          <w:numId w:val="116"/>
        </w:numPr>
      </w:pPr>
      <w:r w:rsidRPr="00795F17">
        <w:t xml:space="preserve">zwiększania retencji wód; </w:t>
      </w:r>
    </w:p>
    <w:p w14:paraId="48731C6D" w14:textId="77777777" w:rsidR="00421F1B" w:rsidRPr="00795F17" w:rsidRDefault="00421F1B" w:rsidP="005635FD">
      <w:pPr>
        <w:pStyle w:val="Listapunktowana2"/>
        <w:numPr>
          <w:ilvl w:val="0"/>
          <w:numId w:val="116"/>
        </w:numPr>
      </w:pPr>
      <w:r w:rsidRPr="00795F17">
        <w:t xml:space="preserve">renaturyzacji cieków; </w:t>
      </w:r>
    </w:p>
    <w:p w14:paraId="0316652E" w14:textId="77777777" w:rsidR="00421F1B" w:rsidRPr="00795F17" w:rsidRDefault="00421F1B" w:rsidP="009109BF">
      <w:pPr>
        <w:keepNext/>
      </w:pPr>
      <w:r w:rsidRPr="00795F17">
        <w:rPr>
          <w:rFonts w:cstheme="minorHAnsi"/>
        </w:rPr>
        <w:t>oraz działań</w:t>
      </w:r>
      <w:r w:rsidRPr="00795F17">
        <w:t xml:space="preserve"> prewencyjnych w szczególności w zakresie:</w:t>
      </w:r>
    </w:p>
    <w:p w14:paraId="0D34588D" w14:textId="1727FA7B" w:rsidR="00421F1B" w:rsidRPr="00795F17" w:rsidRDefault="00421F1B" w:rsidP="005635FD">
      <w:pPr>
        <w:pStyle w:val="Listapunktowana2"/>
        <w:numPr>
          <w:ilvl w:val="0"/>
          <w:numId w:val="115"/>
        </w:numPr>
      </w:pPr>
      <w:r w:rsidRPr="00795F17">
        <w:t>bieżącej kontroli parametrów fizykochemicznych i chemicznych wód powierzchniowych oraz</w:t>
      </w:r>
      <w:r w:rsidR="006706CD">
        <w:t> </w:t>
      </w:r>
      <w:r w:rsidRPr="00795F17">
        <w:t>działań sukcesywnie ograniczających dopływ zanieczyszczeń ze źródeł antropogenicznych</w:t>
      </w:r>
      <w:r w:rsidR="003B2518">
        <w:t>;</w:t>
      </w:r>
    </w:p>
    <w:p w14:paraId="6FDF9033" w14:textId="2C35CD9A" w:rsidR="00421F1B" w:rsidRPr="00795F17" w:rsidRDefault="00421F1B" w:rsidP="005635FD">
      <w:pPr>
        <w:pStyle w:val="Listapunktowana2"/>
        <w:numPr>
          <w:ilvl w:val="0"/>
          <w:numId w:val="115"/>
        </w:numPr>
      </w:pPr>
      <w:r w:rsidRPr="00795F17">
        <w:t>bieżącego monitoringu składu gatunkowego fauny i flory ekosystemów wodnych i wodno-środowiskowych w celu kontroli stabilności ekosystemów oraz prowadzenia działań zapobiegających inwazyjnemu przejmowaniu ekosystemów przez gatunki regionalnie obce.</w:t>
      </w:r>
    </w:p>
    <w:p w14:paraId="72669875" w14:textId="62519EF0" w:rsidR="009B3B0F" w:rsidRPr="00795F17" w:rsidRDefault="009B3B0F" w:rsidP="0044393D">
      <w:r w:rsidRPr="00795F17">
        <w:t xml:space="preserve">Informacje o prognozowanych zmianach klimatu dla poszczególnych </w:t>
      </w:r>
      <w:r w:rsidR="00DF005E">
        <w:t>JCWP</w:t>
      </w:r>
      <w:r w:rsidRPr="00795F17">
        <w:t xml:space="preserve"> zaprezentowane zostały w załączniku nr 1 (Zestawienie główne).</w:t>
      </w:r>
    </w:p>
    <w:p w14:paraId="433A6A61" w14:textId="266456E7" w:rsidR="0028798B" w:rsidRPr="00795F17" w:rsidRDefault="0028798B" w:rsidP="0044393D">
      <w:r w:rsidRPr="00795F17">
        <w:br w:type="page"/>
      </w:r>
    </w:p>
    <w:p w14:paraId="311DA990" w14:textId="77777777" w:rsidR="00035198" w:rsidRPr="00795F17" w:rsidRDefault="00035198" w:rsidP="00BA6B41">
      <w:pPr>
        <w:pStyle w:val="Nagwek1"/>
      </w:pPr>
      <w:bookmarkStart w:id="123" w:name="_Toc66272268"/>
      <w:bookmarkStart w:id="124" w:name="_Toc66347795"/>
      <w:bookmarkStart w:id="125" w:name="_Toc105512639"/>
      <w:r w:rsidRPr="00795F17">
        <w:t>Monitoring wód</w:t>
      </w:r>
      <w:bookmarkEnd w:id="123"/>
      <w:bookmarkEnd w:id="124"/>
      <w:bookmarkEnd w:id="125"/>
      <w:r w:rsidRPr="00795F17">
        <w:t xml:space="preserve"> </w:t>
      </w:r>
    </w:p>
    <w:p w14:paraId="7499EDE1" w14:textId="2FF3094B" w:rsidR="00462DD4" w:rsidRPr="00795F17" w:rsidRDefault="00462DD4" w:rsidP="0044393D">
      <w:r w:rsidRPr="00795F17">
        <w:t xml:space="preserve">Monitoring wód jest częścią monitoringu środowiska, a zasady jego organizacji i funkcjonowania prezentowane są w wieloletnim strategicznym programie państwowego monitoringu środowiska opracowywanym przez Głównego Inspektora Ochrony Środowiska i zatwierdzanego przez ministra właściwego ds. klimatu. Program ten jest wypełnieniem przepisu art. 4a ust. </w:t>
      </w:r>
      <w:r w:rsidR="008E29FF" w:rsidRPr="00795F17">
        <w:t xml:space="preserve">1 pkt 5 </w:t>
      </w:r>
      <w:r w:rsidR="008E29FF">
        <w:t>i.o.ś.</w:t>
      </w:r>
      <w:r w:rsidR="00AC285E">
        <w:t xml:space="preserve"> </w:t>
      </w:r>
      <w:r w:rsidRPr="00795F17">
        <w:t>Programy PMŚ były uchwalane od 1991 r. na okresy trzyletnie. Ostatni trzyletni program obejmował lata 2013</w:t>
      </w:r>
      <w:r w:rsidR="003B2518">
        <w:t>–</w:t>
      </w:r>
      <w:r w:rsidRPr="00795F17">
        <w:t xml:space="preserve">2015. Aktualny </w:t>
      </w:r>
      <w:r w:rsidR="00601831">
        <w:t>strategiczny</w:t>
      </w:r>
      <w:r w:rsidRPr="00795F17">
        <w:t xml:space="preserve"> program PMŚ obowiązuje na lata 2020</w:t>
      </w:r>
      <w:r w:rsidR="003B2518">
        <w:t>–</w:t>
      </w:r>
      <w:r w:rsidRPr="00795F17">
        <w:t xml:space="preserve">2025 i zastępuje </w:t>
      </w:r>
      <w:r w:rsidR="006A1507">
        <w:t>strategiczny</w:t>
      </w:r>
      <w:r w:rsidRPr="00795F17">
        <w:t xml:space="preserve"> program PMŚ na lata 2016</w:t>
      </w:r>
      <w:r w:rsidR="00D94003">
        <w:t>–</w:t>
      </w:r>
      <w:r w:rsidRPr="00795F17">
        <w:t>2020. Za</w:t>
      </w:r>
      <w:r w:rsidR="009C545E" w:rsidRPr="00795F17">
        <w:t> </w:t>
      </w:r>
      <w:r w:rsidRPr="00795F17">
        <w:t>wdrażanie PMŚ od 1 stycznia 2019 r. jest odpowiedzialny wyłącznie GIOŚ. Do</w:t>
      </w:r>
      <w:r w:rsidR="00FA011F">
        <w:t> </w:t>
      </w:r>
      <w:r w:rsidRPr="00795F17">
        <w:t xml:space="preserve">końca 2018 r. jego działania były wspierane przez WIOŚ. </w:t>
      </w:r>
    </w:p>
    <w:p w14:paraId="5047BCC9" w14:textId="11582432" w:rsidR="00462DD4" w:rsidRPr="00795F17" w:rsidRDefault="00EC076C" w:rsidP="0044393D">
      <w:r>
        <w:t>P</w:t>
      </w:r>
      <w:r w:rsidR="00462DD4" w:rsidRPr="00795F17">
        <w:t>r.w. i rozporządzenia</w:t>
      </w:r>
      <w:r w:rsidR="00462DD4" w:rsidRPr="00795F17">
        <w:rPr>
          <w:rStyle w:val="Odwoanieprzypisudolnego"/>
        </w:rPr>
        <w:footnoteReference w:id="27"/>
      </w:r>
      <w:r w:rsidR="00462DD4" w:rsidRPr="00795F17">
        <w:t xml:space="preserve"> wykonawcze do ustawy zawierają odpowiednie postanowienia dotyczące monitoringu i oceny stanu wód. Przedstawione w niniejszym rozdziale informacje dotyczące zasad projektowania monitoringu i wykonywania oceny stanu wód bazują na stanie prawnym obowiązującym na koniec cyklu planistycznego 2016</w:t>
      </w:r>
      <w:r w:rsidR="003B2518">
        <w:t>–</w:t>
      </w:r>
      <w:r w:rsidR="00462DD4" w:rsidRPr="00795F17">
        <w:t>2021 wraz ze wskazaniem zmian prawnych w</w:t>
      </w:r>
      <w:r w:rsidR="00AC42CF">
        <w:t> </w:t>
      </w:r>
      <w:r w:rsidR="00462DD4" w:rsidRPr="00795F17">
        <w:t>tym okresie. Ponadto rozdział zawiera syntetyczny opis sieci monitoringu na lata 2022</w:t>
      </w:r>
      <w:r w:rsidR="003B2518">
        <w:t>–</w:t>
      </w:r>
      <w:r w:rsidR="00462DD4" w:rsidRPr="00795F17">
        <w:t xml:space="preserve">2027. </w:t>
      </w:r>
    </w:p>
    <w:p w14:paraId="6B224229" w14:textId="19B8441C" w:rsidR="00462DD4" w:rsidRPr="00795F17" w:rsidRDefault="00462DD4" w:rsidP="0044393D">
      <w:r w:rsidRPr="00795F17">
        <w:t>Badania i oceny stanu wód, zgodnie z</w:t>
      </w:r>
      <w:r w:rsidR="00D146C3" w:rsidRPr="00795F17">
        <w:t xml:space="preserve"> </w:t>
      </w:r>
      <w:r w:rsidRPr="00795F17">
        <w:t>art. 349 ust. 3</w:t>
      </w:r>
      <w:r w:rsidR="00182A26" w:rsidRPr="00795F17">
        <w:rPr>
          <w:rFonts w:cstheme="minorHAnsi"/>
        </w:rPr>
        <w:t>-</w:t>
      </w:r>
      <w:r w:rsidRPr="00795F17">
        <w:t>9 pr.w. wykonywane są przez następujące podmioty:</w:t>
      </w:r>
    </w:p>
    <w:p w14:paraId="1C510241" w14:textId="60E0A247" w:rsidR="00462DD4" w:rsidRPr="00795F17" w:rsidRDefault="00462DD4" w:rsidP="005635FD">
      <w:pPr>
        <w:pStyle w:val="Listapunktowana2"/>
        <w:numPr>
          <w:ilvl w:val="0"/>
          <w:numId w:val="114"/>
        </w:numPr>
      </w:pPr>
      <w:r w:rsidRPr="00795F17">
        <w:t>badania wód powierzchniowych w zakresie elementów biologicznych, fizykochemicznych oraz</w:t>
      </w:r>
      <w:r w:rsidR="006706CD">
        <w:t> </w:t>
      </w:r>
      <w:r w:rsidRPr="00795F17">
        <w:t>chemicznych wykonuje właściwy organ Inspekcji Ochrony Środowiska;</w:t>
      </w:r>
    </w:p>
    <w:p w14:paraId="6AD025B1" w14:textId="24BE687F" w:rsidR="00462DD4" w:rsidRPr="00795F17" w:rsidRDefault="00462DD4" w:rsidP="005635FD">
      <w:pPr>
        <w:pStyle w:val="Listapunktowana2"/>
        <w:numPr>
          <w:ilvl w:val="0"/>
          <w:numId w:val="114"/>
        </w:numPr>
      </w:pPr>
      <w:r w:rsidRPr="00795F17">
        <w:t xml:space="preserve">badania wód powierzchniowych w zakresie elementów hydrologicznych i morfologicznych wykonuje państwowa służba hydrologiczno-meteorologiczna i przekazuje wyniki tych badań ministrowi właściwemu do spraw gospodarki wodnej, </w:t>
      </w:r>
      <w:r w:rsidR="0028234C" w:rsidRPr="00795F17">
        <w:t>PGW WP</w:t>
      </w:r>
      <w:r w:rsidRPr="00795F17">
        <w:t>, właściwemu organowi Inspekcji Ochrony Środowiska, właściwym organom ochrony przyrody, a także wszystkim podmiotom wykonującym na zamówienie tych organów i podmiotów prace na potrzeby opracowania oceny stopnia osiągnięcia celów środowiskowych, oceny stanu wód powierzchniowych, oceny stanu wód podziemnych oraz oceny stanu wód obszarów chronionych</w:t>
      </w:r>
      <w:r w:rsidR="003B2518">
        <w:t>;</w:t>
      </w:r>
    </w:p>
    <w:p w14:paraId="4E42EC57" w14:textId="467AF888" w:rsidR="00462DD4" w:rsidRPr="00795F17" w:rsidRDefault="00462DD4" w:rsidP="005635FD">
      <w:pPr>
        <w:pStyle w:val="Listapunktowana2"/>
        <w:numPr>
          <w:ilvl w:val="0"/>
          <w:numId w:val="114"/>
        </w:numPr>
      </w:pPr>
      <w:r w:rsidRPr="00795F17">
        <w:t xml:space="preserve">obserwację elementów hydromorfologicznych na potrzeby </w:t>
      </w:r>
      <w:r w:rsidR="00C12087">
        <w:t>klasyfikacji stanu ekologicznego</w:t>
      </w:r>
      <w:r w:rsidRPr="00795F17">
        <w:t xml:space="preserve"> i</w:t>
      </w:r>
      <w:r w:rsidR="009F671D" w:rsidRPr="00795F17">
        <w:t> </w:t>
      </w:r>
      <w:r w:rsidRPr="00795F17">
        <w:t xml:space="preserve">potencjału ekologicznego prowadzi właściwy organ Inspekcji Ochrony Środowiska; </w:t>
      </w:r>
    </w:p>
    <w:p w14:paraId="787194F4" w14:textId="77777777" w:rsidR="00462DD4" w:rsidRPr="00795F17" w:rsidRDefault="00462DD4" w:rsidP="005635FD">
      <w:pPr>
        <w:pStyle w:val="Listapunktowana2"/>
        <w:numPr>
          <w:ilvl w:val="0"/>
          <w:numId w:val="114"/>
        </w:numPr>
      </w:pPr>
      <w:r w:rsidRPr="00795F17">
        <w:t>badania osadów dennych rzek i jezior na potrzeby klasyfikacji stanu chemicznego wód powierzchniowych wykonuje właściwy organ Inspekcji Ochrony Środowiska;</w:t>
      </w:r>
    </w:p>
    <w:p w14:paraId="386C3C31" w14:textId="77777777" w:rsidR="00462DD4" w:rsidRPr="00795F17" w:rsidRDefault="00462DD4" w:rsidP="005635FD">
      <w:pPr>
        <w:pStyle w:val="Listapunktowana2"/>
        <w:numPr>
          <w:ilvl w:val="0"/>
          <w:numId w:val="114"/>
        </w:numPr>
      </w:pPr>
      <w:r w:rsidRPr="00795F17">
        <w:t>badania bioakumulacji substancji priorytetowych na potrzeby klasyfikacji stanu chemicznego wód powierzchniowych oraz badania stanu ichtiofauny na potrzeby klasyfikacji stanu ekologicznego lub potencjału ekologicznego wykonuje właściwy organ Inspekcji Ochrony Środowiska;</w:t>
      </w:r>
    </w:p>
    <w:p w14:paraId="2B4DFED7" w14:textId="6E4A5204" w:rsidR="00462DD4" w:rsidRPr="00795F17" w:rsidRDefault="00462DD4" w:rsidP="005635FD">
      <w:pPr>
        <w:pStyle w:val="Listapunktowana2"/>
        <w:numPr>
          <w:ilvl w:val="0"/>
          <w:numId w:val="114"/>
        </w:numPr>
      </w:pPr>
      <w:r w:rsidRPr="00795F17">
        <w:t>badania stanu wód podziemnych w zakresie elementów fizykochemicznych i ilościowych są</w:t>
      </w:r>
      <w:r w:rsidR="005B5F37" w:rsidRPr="00795F17">
        <w:t> </w:t>
      </w:r>
      <w:r w:rsidRPr="00795F17">
        <w:t>wykonywane przez PSH (PIG-PIB), zaś w uzasadnionych przypadkach badania uzupełniające wód podziemnych w zakresie elementów fizykochemicznych wykonuje właściwy organ Inspekcji Ochrony Środowiska.</w:t>
      </w:r>
    </w:p>
    <w:p w14:paraId="6A364C2E" w14:textId="1A1695CD" w:rsidR="00462DD4" w:rsidRPr="00795F17" w:rsidRDefault="00462DD4" w:rsidP="00A22ED2">
      <w:pPr>
        <w:pStyle w:val="Nagwek2"/>
      </w:pPr>
      <w:bookmarkStart w:id="126" w:name="_Toc66272269"/>
      <w:bookmarkStart w:id="127" w:name="_Toc66347796"/>
      <w:bookmarkStart w:id="128" w:name="_Toc105512640"/>
      <w:r w:rsidRPr="00795F17">
        <w:t>Wody powierzchniowe</w:t>
      </w:r>
      <w:bookmarkEnd w:id="126"/>
      <w:bookmarkEnd w:id="127"/>
      <w:bookmarkEnd w:id="128"/>
    </w:p>
    <w:p w14:paraId="401564E4" w14:textId="77777777" w:rsidR="00462DD4" w:rsidRPr="00795F17" w:rsidRDefault="00462DD4" w:rsidP="00A22ED2">
      <w:pPr>
        <w:pStyle w:val="Nagwek3"/>
      </w:pPr>
      <w:bookmarkStart w:id="129" w:name="_Toc105512641"/>
      <w:r w:rsidRPr="00795F17">
        <w:t>Monitoring wód powierzchniowych</w:t>
      </w:r>
      <w:bookmarkEnd w:id="129"/>
    </w:p>
    <w:p w14:paraId="0FCC530D" w14:textId="10B8D726" w:rsidR="00462DD4" w:rsidRPr="00795F17" w:rsidRDefault="00462DD4" w:rsidP="0044393D">
      <w:r w:rsidRPr="00795F17">
        <w:t xml:space="preserve">Monitoring </w:t>
      </w:r>
      <w:r w:rsidR="00DF005E">
        <w:t>JCWP</w:t>
      </w:r>
      <w:r w:rsidRPr="00795F17">
        <w:t xml:space="preserve"> prowadzi się w taki sposób, by możliwe było:</w:t>
      </w:r>
    </w:p>
    <w:p w14:paraId="2C9AD37E" w14:textId="2E3289B9" w:rsidR="00462DD4" w:rsidRPr="00795F17" w:rsidRDefault="00462DD4" w:rsidP="002757E9">
      <w:pPr>
        <w:pStyle w:val="Numerowanie"/>
        <w:numPr>
          <w:ilvl w:val="0"/>
          <w:numId w:val="33"/>
        </w:numPr>
      </w:pPr>
      <w:r w:rsidRPr="00795F17">
        <w:t xml:space="preserve">zakwalifikowanie </w:t>
      </w:r>
      <w:r w:rsidR="00DF005E">
        <w:t>JCWP</w:t>
      </w:r>
      <w:r w:rsidRPr="00795F17">
        <w:t xml:space="preserve"> do jednej z pięciu klas jakości wód;</w:t>
      </w:r>
    </w:p>
    <w:p w14:paraId="4AB06456" w14:textId="77777777" w:rsidR="00462DD4" w:rsidRPr="00795F17" w:rsidRDefault="00462DD4" w:rsidP="0044393D">
      <w:pPr>
        <w:pStyle w:val="Numerowanie"/>
      </w:pPr>
      <w:r w:rsidRPr="00795F17">
        <w:t>uzyskanie spójnego i kompletnego obrazu stanu lub potencjału ekologicznego oraz stanu chemicznego w każdym obszarze dorzecza;</w:t>
      </w:r>
    </w:p>
    <w:p w14:paraId="6C060FBB" w14:textId="4A25D965" w:rsidR="00462DD4" w:rsidRPr="00795F17" w:rsidRDefault="00462DD4" w:rsidP="0044393D">
      <w:pPr>
        <w:pStyle w:val="Numerowanie"/>
      </w:pPr>
      <w:r w:rsidRPr="00795F17">
        <w:t xml:space="preserve">ocenienie stanu </w:t>
      </w:r>
      <w:r w:rsidR="00DF005E">
        <w:t>JCWP</w:t>
      </w:r>
      <w:r w:rsidRPr="00795F17">
        <w:t xml:space="preserve"> w każdym obszarze dorzecza;</w:t>
      </w:r>
    </w:p>
    <w:p w14:paraId="3F9666A1" w14:textId="10252ABF" w:rsidR="00462DD4" w:rsidRPr="00795F17" w:rsidRDefault="00462DD4" w:rsidP="0044393D">
      <w:pPr>
        <w:pStyle w:val="Numerowanie"/>
      </w:pPr>
      <w:r w:rsidRPr="00795F17">
        <w:t>ilościowe ujęcie czasowej i przestrzennej zmienności elementów jakości oraz parametrów wskaźnikowych dla elementów biologicznych, hydromorfologicznych, fizykochemicznych i</w:t>
      </w:r>
      <w:r w:rsidR="0002795B" w:rsidRPr="00795F17">
        <w:t> </w:t>
      </w:r>
      <w:r w:rsidRPr="00795F17">
        <w:t>chemicznych.</w:t>
      </w:r>
    </w:p>
    <w:p w14:paraId="07EC0555" w14:textId="77777777" w:rsidR="00462DD4" w:rsidRPr="00795F17" w:rsidRDefault="00462DD4" w:rsidP="0044393D">
      <w:r w:rsidRPr="00795F17">
        <w:t>Powyższe założenia są realizowane poprzez prowadzenie pomiarów poziomu i objętości lub natężenia przepływu wód w zakresie stosownym dla stanu ekologicznego, potencjału ekologicznego lub stanu chemicznego oraz poprzez prowadzenie badań grup wskaźników lub poszczególnych wskaźników jakości wód.</w:t>
      </w:r>
    </w:p>
    <w:p w14:paraId="0495555D" w14:textId="2A5E2E90" w:rsidR="00462DD4" w:rsidRPr="00795F17" w:rsidRDefault="00462DD4" w:rsidP="0044393D">
      <w:r w:rsidRPr="00795F17">
        <w:t xml:space="preserve">Zgodnie z r.m.jcw wyróżnia się następujące rodzaje monitoringu </w:t>
      </w:r>
      <w:r w:rsidR="00DF005E">
        <w:t>JCWP</w:t>
      </w:r>
      <w:r w:rsidRPr="00795F17">
        <w:t>:</w:t>
      </w:r>
    </w:p>
    <w:p w14:paraId="6FF88F33" w14:textId="37BB8D6E" w:rsidR="00462DD4" w:rsidRPr="00795F17" w:rsidRDefault="00462DD4" w:rsidP="002757E9">
      <w:pPr>
        <w:pStyle w:val="Numerowanie"/>
        <w:numPr>
          <w:ilvl w:val="0"/>
          <w:numId w:val="34"/>
        </w:numPr>
      </w:pPr>
      <w:r w:rsidRPr="00795F17">
        <w:t xml:space="preserve">monitoring diagnostyczny </w:t>
      </w:r>
      <w:r w:rsidR="003B2518">
        <w:t>–</w:t>
      </w:r>
      <w:r w:rsidRPr="00795F17">
        <w:t xml:space="preserve"> ustalany na podstawie dokumentacji planistycznych,</w:t>
      </w:r>
    </w:p>
    <w:p w14:paraId="2D9A7D22" w14:textId="312D7EC4" w:rsidR="00462DD4" w:rsidRPr="00795F17" w:rsidRDefault="00462DD4" w:rsidP="0044393D">
      <w:pPr>
        <w:pStyle w:val="Numerowanie"/>
      </w:pPr>
      <w:r w:rsidRPr="00795F17">
        <w:t xml:space="preserve">monitoring operacyjny </w:t>
      </w:r>
      <w:r w:rsidR="003B2518">
        <w:t>–</w:t>
      </w:r>
      <w:r w:rsidRPr="00795F17">
        <w:t xml:space="preserve"> ustalany na podstawie dokumentacji planistycznych lub wyników monitoringu diagnostycznego,</w:t>
      </w:r>
    </w:p>
    <w:p w14:paraId="1ABF4085" w14:textId="77777777" w:rsidR="00462DD4" w:rsidRPr="00795F17" w:rsidRDefault="00462DD4" w:rsidP="0044393D">
      <w:pPr>
        <w:pStyle w:val="Numerowanie"/>
      </w:pPr>
      <w:r w:rsidRPr="00795F17">
        <w:t xml:space="preserve">monitoring badawczy, </w:t>
      </w:r>
    </w:p>
    <w:p w14:paraId="361AE683" w14:textId="77777777" w:rsidR="00462DD4" w:rsidRPr="00795F17" w:rsidRDefault="00462DD4" w:rsidP="0044393D">
      <w:pPr>
        <w:pStyle w:val="Numerowanie"/>
      </w:pPr>
      <w:r w:rsidRPr="00795F17">
        <w:t>monitoring obszarów chronionych.</w:t>
      </w:r>
    </w:p>
    <w:p w14:paraId="410A1245" w14:textId="2D75F725" w:rsidR="00462DD4" w:rsidRPr="00795F17" w:rsidRDefault="00462DD4" w:rsidP="0044393D">
      <w:r w:rsidRPr="00795F17">
        <w:t xml:space="preserve">Badania monitoringowe są prowadzone w punktach ppk. Sieć ppk jest ustalana na podstawie aktualnego wykazu </w:t>
      </w:r>
      <w:r w:rsidR="00DF005E">
        <w:t>JCWP</w:t>
      </w:r>
      <w:r w:rsidRPr="00795F17">
        <w:t xml:space="preserve"> wraz z ich charakterystyką obejmującą: status, typ, cele środowiskowe oraz zagrożenie nieosiągnięciem celów środowiskowych, a także rodzaj presji oddziałującej na </w:t>
      </w:r>
      <w:r w:rsidR="00DF005E">
        <w:t>JCWP</w:t>
      </w:r>
      <w:r w:rsidRPr="00795F17">
        <w:t>. Przy projektowaniu sieci monitoringu wykorzystuje się także aktualne wykazy obszarów chronionych. Nową sieć monitoringu tworzy się poprzez weryfikację sieci istniejącej w</w:t>
      </w:r>
      <w:r w:rsidR="000B542A" w:rsidRPr="00795F17">
        <w:t> </w:t>
      </w:r>
      <w:r w:rsidRPr="00795F17">
        <w:t xml:space="preserve">poprzednim cyklu gospodarowania wodami. Szczegółowe kryteria wyznaczania ppk </w:t>
      </w:r>
      <w:r w:rsidR="004B51B3" w:rsidRPr="00795F17">
        <w:t xml:space="preserve">określa </w:t>
      </w:r>
      <w:r w:rsidRPr="00795F17">
        <w:t>załącznik nr 2 do r.m.jcw.</w:t>
      </w:r>
    </w:p>
    <w:p w14:paraId="3A6BC35F" w14:textId="3DC9BB50" w:rsidR="00462DD4" w:rsidRPr="00795F17" w:rsidRDefault="00292499" w:rsidP="0044393D">
      <w:r w:rsidRPr="00292499">
        <w:t xml:space="preserve">Sieć ppk, na którą składają się reprezentatywne ppk wyznaczone na potrzeby prowadzenia </w:t>
      </w:r>
      <w:r w:rsidR="00B51107">
        <w:t>MD</w:t>
      </w:r>
      <w:r w:rsidRPr="00292499">
        <w:t xml:space="preserve"> i </w:t>
      </w:r>
      <w:r w:rsidR="00B51107">
        <w:t>MO</w:t>
      </w:r>
      <w:r w:rsidRPr="00292499">
        <w:t>, stanowi postawę do przeprowadzenia badań, których wyniki posłużą do wykonania oceny stanu wód</w:t>
      </w:r>
      <w:r>
        <w:t>.</w:t>
      </w:r>
    </w:p>
    <w:p w14:paraId="5332F957" w14:textId="77777777" w:rsidR="00462DD4" w:rsidRPr="00795F17" w:rsidRDefault="00462DD4" w:rsidP="0044393D">
      <w:pPr>
        <w:pStyle w:val="Nagwek4"/>
      </w:pPr>
      <w:r w:rsidRPr="00795F17">
        <w:t>Monitoring diagnostyczny</w:t>
      </w:r>
    </w:p>
    <w:p w14:paraId="659452AC" w14:textId="6D33AE2C" w:rsidR="00462DD4" w:rsidRPr="00795F17" w:rsidRDefault="00462DD4" w:rsidP="0009018D">
      <w:pPr>
        <w:keepNext/>
      </w:pPr>
      <w:r w:rsidRPr="00795F17">
        <w:t xml:space="preserve">Monitoring diagnostyczny </w:t>
      </w:r>
      <w:r w:rsidR="00DF005E">
        <w:t>JCWP</w:t>
      </w:r>
      <w:r w:rsidRPr="00795F17">
        <w:t xml:space="preserve"> prowadzi się w celu: </w:t>
      </w:r>
    </w:p>
    <w:p w14:paraId="0634890C" w14:textId="0EE8EEEA" w:rsidR="00462DD4" w:rsidRPr="00795F17" w:rsidRDefault="00462DD4" w:rsidP="002757E9">
      <w:pPr>
        <w:pStyle w:val="Numerowanie"/>
        <w:numPr>
          <w:ilvl w:val="0"/>
          <w:numId w:val="35"/>
        </w:numPr>
      </w:pPr>
      <w:r w:rsidRPr="00795F17">
        <w:t xml:space="preserve">oceny stanu </w:t>
      </w:r>
      <w:r w:rsidR="00DF005E">
        <w:t>JCWP</w:t>
      </w:r>
      <w:r w:rsidRPr="00795F17">
        <w:t>, tak aby:</w:t>
      </w:r>
    </w:p>
    <w:p w14:paraId="287A4ECD" w14:textId="526C6A3C" w:rsidR="00462DD4" w:rsidRPr="007B2488" w:rsidRDefault="00462DD4" w:rsidP="005635FD">
      <w:pPr>
        <w:pStyle w:val="Listapunktowana2"/>
        <w:numPr>
          <w:ilvl w:val="0"/>
          <w:numId w:val="113"/>
        </w:numPr>
      </w:pPr>
      <w:r w:rsidRPr="007B2488">
        <w:t xml:space="preserve">uzupełnić informacje na temat rodzajów i wielkości znaczących oddziaływań antropogenicznych, na które narażone są </w:t>
      </w:r>
      <w:r w:rsidR="00DF005E">
        <w:t>JCWP</w:t>
      </w:r>
      <w:r w:rsidRPr="007B2488">
        <w:t xml:space="preserve"> na danym obszarze dorzecza,</w:t>
      </w:r>
    </w:p>
    <w:p w14:paraId="772DE636" w14:textId="77777777" w:rsidR="00462DD4" w:rsidRPr="007B2488" w:rsidRDefault="00462DD4" w:rsidP="005635FD">
      <w:pPr>
        <w:pStyle w:val="Listapunktowana2"/>
        <w:numPr>
          <w:ilvl w:val="0"/>
          <w:numId w:val="113"/>
        </w:numPr>
      </w:pPr>
      <w:r w:rsidRPr="007B2488">
        <w:t>potwierdzić ocenę wpływu znaczących oddziaływań, w tym antropogenicznych na stan wód powierzchniowych;</w:t>
      </w:r>
    </w:p>
    <w:p w14:paraId="36E59A5B" w14:textId="77777777" w:rsidR="00462DD4" w:rsidRPr="00795F17" w:rsidRDefault="00462DD4" w:rsidP="0044393D">
      <w:pPr>
        <w:pStyle w:val="Numerowanie"/>
      </w:pPr>
      <w:r w:rsidRPr="00795F17">
        <w:t>zaprojektowania pomiarów lub badań przyszłych programów monitoringu;</w:t>
      </w:r>
    </w:p>
    <w:p w14:paraId="215F6EE6" w14:textId="072056BC" w:rsidR="00462DD4" w:rsidRPr="00795F17" w:rsidRDefault="00462DD4" w:rsidP="0044393D">
      <w:pPr>
        <w:pStyle w:val="Numerowanie"/>
      </w:pPr>
      <w:r w:rsidRPr="00795F17">
        <w:t xml:space="preserve">dokonania oceny długoterminowych zmian stanu </w:t>
      </w:r>
      <w:r w:rsidR="00DF005E">
        <w:t>JCWP</w:t>
      </w:r>
      <w:r w:rsidRPr="00795F17">
        <w:t xml:space="preserve"> w warunkach naturalnych lub</w:t>
      </w:r>
      <w:r w:rsidR="007B2488">
        <w:t> </w:t>
      </w:r>
      <w:r w:rsidRPr="00795F17">
        <w:t>spowodowanych oddziaływaniami antropogenicznymi;</w:t>
      </w:r>
    </w:p>
    <w:p w14:paraId="652E3F39" w14:textId="77777777" w:rsidR="00462DD4" w:rsidRPr="00795F17" w:rsidRDefault="00462DD4" w:rsidP="0044393D">
      <w:pPr>
        <w:pStyle w:val="Numerowanie"/>
      </w:pPr>
      <w:r w:rsidRPr="00795F17">
        <w:t>określenia długoterminowych trendów zmian stężeń substancji priorytetowych i innych zanieczyszczeń w wodzie, faunie wodnej, florze wodnej i osadach dennych;</w:t>
      </w:r>
    </w:p>
    <w:p w14:paraId="3A3C6D76" w14:textId="03C8907A" w:rsidR="00462DD4" w:rsidRPr="00795F17" w:rsidRDefault="00462DD4" w:rsidP="0044393D">
      <w:pPr>
        <w:pStyle w:val="Numerowanie"/>
      </w:pPr>
      <w:r w:rsidRPr="00795F17">
        <w:t>dokonania oceny stopnia eutrofizacji wód powierzchniowych, reprezentatywnej dla</w:t>
      </w:r>
      <w:r w:rsidR="007B2488">
        <w:t> </w:t>
      </w:r>
      <w:r w:rsidRPr="00795F17">
        <w:t>występujących oddziaływań antropogenicznych oraz występujących typów wód powierzchniowych.</w:t>
      </w:r>
    </w:p>
    <w:p w14:paraId="3B401618" w14:textId="17E25DD2" w:rsidR="00462DD4" w:rsidRPr="00795F17" w:rsidRDefault="00462DD4" w:rsidP="0044393D">
      <w:r w:rsidRPr="00795F17">
        <w:t>Rozporządzenie r.m.jcw</w:t>
      </w:r>
      <w:r w:rsidRPr="00795F17" w:rsidDel="00E077D2">
        <w:t xml:space="preserve"> </w:t>
      </w:r>
      <w:r w:rsidRPr="00795F17">
        <w:t xml:space="preserve">określa kryteria wyboru </w:t>
      </w:r>
      <w:r w:rsidR="00DF005E">
        <w:t>JCWP</w:t>
      </w:r>
      <w:r w:rsidRPr="00795F17">
        <w:t xml:space="preserve"> do monitorowania w ramach sieci </w:t>
      </w:r>
      <w:r w:rsidR="00F60B42">
        <w:t>MD</w:t>
      </w:r>
      <w:r w:rsidRPr="00795F17">
        <w:t xml:space="preserve">. Załącznik nr </w:t>
      </w:r>
      <w:r w:rsidR="004B54FD">
        <w:t>1</w:t>
      </w:r>
      <w:r w:rsidRPr="00795F17">
        <w:t xml:space="preserve"> do r.m.jcw przedstawia kryteria stosowane </w:t>
      </w:r>
      <w:r w:rsidR="004B54FD">
        <w:t>od</w:t>
      </w:r>
      <w:r w:rsidRPr="00795F17">
        <w:t xml:space="preserve"> 31 grudnia 2021</w:t>
      </w:r>
      <w:r w:rsidR="00AD50EE" w:rsidRPr="00795F17">
        <w:t> </w:t>
      </w:r>
      <w:r w:rsidRPr="00795F17">
        <w:t xml:space="preserve">r. </w:t>
      </w:r>
      <w:r w:rsidR="00AD50EE" w:rsidRPr="00795F17">
        <w:t>T</w:t>
      </w:r>
      <w:r w:rsidRPr="00795F17">
        <w:t>abela</w:t>
      </w:r>
      <w:r w:rsidR="00B34168" w:rsidRPr="00795F17">
        <w:t xml:space="preserve"> 5-1</w:t>
      </w:r>
      <w:r w:rsidRPr="00795F17">
        <w:t xml:space="preserve"> zawiera zestawienie określonych w r.m.jcw kryteriów. </w:t>
      </w:r>
    </w:p>
    <w:p w14:paraId="249C6279" w14:textId="7CD67C05" w:rsidR="00462DD4" w:rsidRPr="00795F17" w:rsidRDefault="00462DD4" w:rsidP="004D7705">
      <w:pPr>
        <w:pStyle w:val="Tabela"/>
      </w:pPr>
      <w:bookmarkStart w:id="130" w:name="_Toc66341856"/>
      <w:bookmarkStart w:id="131" w:name="_Toc105512765"/>
      <w:r w:rsidRPr="00795F17">
        <w:t xml:space="preserve">Tabela </w:t>
      </w:r>
      <w:fldSimple w:instr=" STYLEREF 1 \s ">
        <w:r w:rsidR="001F774D">
          <w:rPr>
            <w:noProof/>
          </w:rPr>
          <w:t>5</w:t>
        </w:r>
      </w:fldSimple>
      <w:r w:rsidR="00BB3B21" w:rsidRPr="00795F17">
        <w:noBreakHyphen/>
      </w:r>
      <w:fldSimple w:instr=" SEQ Tabela \* ARABIC \s 1 ">
        <w:r w:rsidR="001F774D">
          <w:rPr>
            <w:noProof/>
          </w:rPr>
          <w:t>1</w:t>
        </w:r>
      </w:fldSimple>
      <w:r w:rsidR="00BA11D4">
        <w:rPr>
          <w:noProof/>
        </w:rPr>
        <w:t>.</w:t>
      </w:r>
      <w:r w:rsidRPr="00795F17">
        <w:tab/>
        <w:t xml:space="preserve">Kryteria wyboru </w:t>
      </w:r>
      <w:r w:rsidR="00DF005E">
        <w:t>JCWP</w:t>
      </w:r>
      <w:r w:rsidRPr="00795F17">
        <w:t xml:space="preserve"> do monitorowania w ramach monitoringu diagnostycznego</w:t>
      </w:r>
      <w:bookmarkEnd w:id="130"/>
      <w:bookmarkEnd w:id="131"/>
    </w:p>
    <w:tbl>
      <w:tblPr>
        <w:tblStyle w:val="Tabela-Siatka"/>
        <w:tblW w:w="5000" w:type="pct"/>
        <w:tblLook w:val="04A0" w:firstRow="1" w:lastRow="0" w:firstColumn="1" w:lastColumn="0" w:noHBand="0" w:noVBand="1"/>
      </w:tblPr>
      <w:tblGrid>
        <w:gridCol w:w="571"/>
        <w:gridCol w:w="8491"/>
      </w:tblGrid>
      <w:tr w:rsidR="00462DD4" w:rsidRPr="00795F17" w14:paraId="5DBDBCB4" w14:textId="77777777" w:rsidTr="009A2275">
        <w:trPr>
          <w:cnfStyle w:val="100000000000" w:firstRow="1" w:lastRow="0" w:firstColumn="0" w:lastColumn="0" w:oddVBand="0" w:evenVBand="0" w:oddHBand="0" w:evenHBand="0" w:firstRowFirstColumn="0" w:firstRowLastColumn="0" w:lastRowFirstColumn="0" w:lastRowLastColumn="0"/>
          <w:trHeight w:val="454"/>
        </w:trPr>
        <w:tc>
          <w:tcPr>
            <w:tcW w:w="5000" w:type="pct"/>
            <w:gridSpan w:val="2"/>
          </w:tcPr>
          <w:p w14:paraId="1E7A87F0" w14:textId="39309D5C" w:rsidR="00462DD4" w:rsidRPr="00795F17" w:rsidRDefault="00462DD4" w:rsidP="0044393D">
            <w:pPr>
              <w:pStyle w:val="Teksttabelinaglowek"/>
              <w:rPr>
                <w:b/>
              </w:rPr>
            </w:pPr>
            <w:r w:rsidRPr="00795F17">
              <w:rPr>
                <w:b/>
              </w:rPr>
              <w:t xml:space="preserve">Kryteria wyboru </w:t>
            </w:r>
            <w:r w:rsidR="00DF005E">
              <w:rPr>
                <w:b/>
              </w:rPr>
              <w:t>JCWP</w:t>
            </w:r>
            <w:r w:rsidRPr="00795F17">
              <w:rPr>
                <w:b/>
              </w:rPr>
              <w:t xml:space="preserve"> do monitoringu diagnostycznego zgodnie z r.m.jcw</w:t>
            </w:r>
          </w:p>
        </w:tc>
      </w:tr>
      <w:tr w:rsidR="00462DD4" w:rsidRPr="00795F17" w14:paraId="25788907" w14:textId="77777777" w:rsidTr="009A2275">
        <w:trPr>
          <w:trHeight w:val="454"/>
        </w:trPr>
        <w:tc>
          <w:tcPr>
            <w:tcW w:w="315" w:type="pct"/>
            <w:shd w:val="clear" w:color="auto" w:fill="D9D9D9" w:themeFill="background1" w:themeFillShade="D9"/>
          </w:tcPr>
          <w:p w14:paraId="375E15A5" w14:textId="77777777" w:rsidR="00462DD4" w:rsidRPr="00795F17" w:rsidRDefault="00462DD4" w:rsidP="008C0577">
            <w:pPr>
              <w:pStyle w:val="Teksttabelinaglowek"/>
            </w:pPr>
            <w:r w:rsidRPr="00795F17">
              <w:t>Lp.</w:t>
            </w:r>
          </w:p>
        </w:tc>
        <w:tc>
          <w:tcPr>
            <w:tcW w:w="4685" w:type="pct"/>
            <w:shd w:val="clear" w:color="auto" w:fill="D9D9D9" w:themeFill="background1" w:themeFillShade="D9"/>
          </w:tcPr>
          <w:p w14:paraId="2F7137DB" w14:textId="678BB54D" w:rsidR="00462DD4" w:rsidRPr="00795F17" w:rsidRDefault="00C010E9">
            <w:pPr>
              <w:pStyle w:val="Teksttabelinaglowek"/>
            </w:pPr>
            <w:r>
              <w:t>od</w:t>
            </w:r>
            <w:r w:rsidRPr="00795F17">
              <w:t xml:space="preserve"> </w:t>
            </w:r>
            <w:r w:rsidR="00462DD4" w:rsidRPr="00795F17">
              <w:t>31 grudnia 2021 r. (</w:t>
            </w:r>
            <w:r w:rsidR="00822DC2" w:rsidRPr="00795F17">
              <w:t>z</w:t>
            </w:r>
            <w:r w:rsidR="00462DD4" w:rsidRPr="00795F17">
              <w:t>ałącznik nr 1 do r.m.jcw)</w:t>
            </w:r>
          </w:p>
        </w:tc>
      </w:tr>
      <w:tr w:rsidR="00462DD4" w:rsidRPr="00795F17" w14:paraId="34BF5C1C" w14:textId="77777777" w:rsidTr="009A2275">
        <w:trPr>
          <w:trHeight w:val="454"/>
        </w:trPr>
        <w:tc>
          <w:tcPr>
            <w:tcW w:w="315" w:type="pct"/>
          </w:tcPr>
          <w:p w14:paraId="1C2D9B6D" w14:textId="77777777" w:rsidR="00462DD4" w:rsidRPr="00795F17" w:rsidRDefault="00462DD4" w:rsidP="0065243A">
            <w:pPr>
              <w:pStyle w:val="Teksttabelisrodek"/>
            </w:pPr>
            <w:r w:rsidRPr="00795F17">
              <w:t>1.</w:t>
            </w:r>
          </w:p>
        </w:tc>
        <w:tc>
          <w:tcPr>
            <w:tcW w:w="4685" w:type="pct"/>
          </w:tcPr>
          <w:p w14:paraId="1CB05BD3" w14:textId="6C5E3C35" w:rsidR="00462DD4" w:rsidRPr="00795F17" w:rsidRDefault="00DF005E" w:rsidP="0044393D">
            <w:pPr>
              <w:pStyle w:val="Teksttabelilewy"/>
            </w:pPr>
            <w:r>
              <w:t>JCWP</w:t>
            </w:r>
            <w:r w:rsidR="00462DD4" w:rsidRPr="00795F17">
              <w:t xml:space="preserve"> (w tym </w:t>
            </w:r>
            <w:r>
              <w:t>JCWP</w:t>
            </w:r>
            <w:r w:rsidR="00462DD4" w:rsidRPr="00795F17">
              <w:t xml:space="preserve"> występujące na obszarach chronionych uwzględnionych w wykazach obszarów chronionych) w liczbie wystarczającej do dokonania oceny ogólnego stanu wód powierzchniowych na obszarach dorzeczy lub w wyznaczonych zlewniach, reprezentatywnej dla występujących oddziaływań antropogenicznych oraz występujących typów wód powierzchniowych</w:t>
            </w:r>
          </w:p>
        </w:tc>
      </w:tr>
      <w:tr w:rsidR="00462DD4" w:rsidRPr="00795F17" w14:paraId="1F05EBA9" w14:textId="77777777" w:rsidTr="009A2275">
        <w:trPr>
          <w:trHeight w:val="454"/>
        </w:trPr>
        <w:tc>
          <w:tcPr>
            <w:tcW w:w="315" w:type="pct"/>
          </w:tcPr>
          <w:p w14:paraId="2C3D6954" w14:textId="77777777" w:rsidR="00462DD4" w:rsidRPr="00795F17" w:rsidRDefault="00462DD4" w:rsidP="0065243A">
            <w:pPr>
              <w:pStyle w:val="Teksttabelisrodek"/>
            </w:pPr>
            <w:r w:rsidRPr="00795F17">
              <w:t>2.</w:t>
            </w:r>
          </w:p>
        </w:tc>
        <w:tc>
          <w:tcPr>
            <w:tcW w:w="4685" w:type="pct"/>
          </w:tcPr>
          <w:p w14:paraId="4AFE761C" w14:textId="757934E9" w:rsidR="00462DD4" w:rsidRPr="00795F17" w:rsidRDefault="00DF005E" w:rsidP="0044393D">
            <w:pPr>
              <w:pStyle w:val="Teksttabelilewy"/>
            </w:pPr>
            <w:r>
              <w:t>JCWP</w:t>
            </w:r>
            <w:r w:rsidR="00462DD4" w:rsidRPr="00795F17">
              <w:t xml:space="preserve"> zamykające</w:t>
            </w:r>
            <w:r w:rsidR="004A2DD7" w:rsidRPr="00795F17">
              <w:t xml:space="preserve"> obszar</w:t>
            </w:r>
            <w:r w:rsidR="00462DD4" w:rsidRPr="00795F17">
              <w:t xml:space="preserve"> dorzecza lub regiony wodne</w:t>
            </w:r>
          </w:p>
        </w:tc>
      </w:tr>
      <w:tr w:rsidR="00462DD4" w:rsidRPr="00795F17" w14:paraId="5D250A1E" w14:textId="77777777" w:rsidTr="009A2275">
        <w:trPr>
          <w:trHeight w:val="454"/>
        </w:trPr>
        <w:tc>
          <w:tcPr>
            <w:tcW w:w="315" w:type="pct"/>
          </w:tcPr>
          <w:p w14:paraId="412E83EB" w14:textId="77777777" w:rsidR="00462DD4" w:rsidRPr="00795F17" w:rsidRDefault="00462DD4" w:rsidP="0065243A">
            <w:pPr>
              <w:pStyle w:val="Teksttabelisrodek"/>
            </w:pPr>
            <w:r w:rsidRPr="00795F17">
              <w:t>3.</w:t>
            </w:r>
          </w:p>
        </w:tc>
        <w:tc>
          <w:tcPr>
            <w:tcW w:w="4685" w:type="pct"/>
          </w:tcPr>
          <w:p w14:paraId="308799D3" w14:textId="188C52DD" w:rsidR="00462DD4" w:rsidRPr="00795F17" w:rsidRDefault="00DF005E" w:rsidP="0044393D">
            <w:pPr>
              <w:pStyle w:val="Teksttabelilewy"/>
            </w:pPr>
            <w:r>
              <w:t>JCWP</w:t>
            </w:r>
            <w:r w:rsidR="00462DD4" w:rsidRPr="00795F17">
              <w:t>, których ciekiem głównym jest rzeka lub jej fragment, o powierzchni zlewni większej niż 2</w:t>
            </w:r>
            <w:r w:rsidR="001A51BA" w:rsidRPr="00795F17">
              <w:t> </w:t>
            </w:r>
            <w:r w:rsidR="00462DD4" w:rsidRPr="00795F17">
              <w:t>500</w:t>
            </w:r>
            <w:r w:rsidR="00065BDC">
              <w:t> </w:t>
            </w:r>
            <w:r w:rsidR="00462DD4" w:rsidRPr="00795F17">
              <w:t>km</w:t>
            </w:r>
            <w:r w:rsidR="001A51BA" w:rsidRPr="00795F17">
              <w:rPr>
                <w:vertAlign w:val="superscript"/>
              </w:rPr>
              <w:t>2</w:t>
            </w:r>
            <w:r w:rsidR="00462DD4" w:rsidRPr="00795F17">
              <w:t>, oraz inne cieki wyznaczone jako naturalne, SZCW lub SCW, charakteryzujące się znaczną wielkością przepływu w ramach obszaru dorzecza jako całości</w:t>
            </w:r>
          </w:p>
        </w:tc>
      </w:tr>
      <w:tr w:rsidR="00462DD4" w:rsidRPr="00795F17" w14:paraId="0CE0D5F1" w14:textId="77777777" w:rsidTr="009A2275">
        <w:trPr>
          <w:trHeight w:val="454"/>
        </w:trPr>
        <w:tc>
          <w:tcPr>
            <w:tcW w:w="315" w:type="pct"/>
          </w:tcPr>
          <w:p w14:paraId="71021243" w14:textId="77777777" w:rsidR="00462DD4" w:rsidRPr="00795F17" w:rsidRDefault="00462DD4" w:rsidP="0065243A">
            <w:pPr>
              <w:pStyle w:val="Teksttabelisrodek"/>
            </w:pPr>
            <w:r w:rsidRPr="00795F17">
              <w:t>4.</w:t>
            </w:r>
          </w:p>
        </w:tc>
        <w:tc>
          <w:tcPr>
            <w:tcW w:w="4685" w:type="pct"/>
          </w:tcPr>
          <w:p w14:paraId="77838DB8" w14:textId="545A7BB6" w:rsidR="00462DD4" w:rsidRPr="00795F17" w:rsidRDefault="00462DD4" w:rsidP="0044393D">
            <w:pPr>
              <w:pStyle w:val="Teksttabelilewy"/>
            </w:pPr>
            <w:r w:rsidRPr="00795F17">
              <w:t xml:space="preserve">Jeziora oraz inne zbiorniki wodne wyznaczone jako naturalne </w:t>
            </w:r>
            <w:r w:rsidR="00DF005E">
              <w:t>JCWP</w:t>
            </w:r>
            <w:r w:rsidRPr="00795F17">
              <w:t>, SZCW lub SCW, o powierzchni przekraczającej 50 ha, a także zbiorniki zaporowe wyznaczone jako SZCW, których objętość przekracza 10 mln m</w:t>
            </w:r>
            <w:r w:rsidRPr="00795F17">
              <w:rPr>
                <w:vertAlign w:val="superscript"/>
              </w:rPr>
              <w:t>3</w:t>
            </w:r>
          </w:p>
        </w:tc>
      </w:tr>
      <w:tr w:rsidR="00462DD4" w:rsidRPr="00795F17" w14:paraId="157E5C7E" w14:textId="77777777" w:rsidTr="009A2275">
        <w:trPr>
          <w:trHeight w:val="454"/>
        </w:trPr>
        <w:tc>
          <w:tcPr>
            <w:tcW w:w="315" w:type="pct"/>
          </w:tcPr>
          <w:p w14:paraId="287C2909" w14:textId="77777777" w:rsidR="00462DD4" w:rsidRPr="00795F17" w:rsidRDefault="00462DD4" w:rsidP="0065243A">
            <w:pPr>
              <w:pStyle w:val="Teksttabelisrodek"/>
            </w:pPr>
            <w:r w:rsidRPr="00795F17">
              <w:t>5.</w:t>
            </w:r>
          </w:p>
        </w:tc>
        <w:tc>
          <w:tcPr>
            <w:tcW w:w="4685" w:type="pct"/>
          </w:tcPr>
          <w:p w14:paraId="3E3F17BC" w14:textId="39274AF6" w:rsidR="00462DD4" w:rsidRPr="00795F17" w:rsidRDefault="00462DD4" w:rsidP="0044393D">
            <w:pPr>
              <w:pStyle w:val="Teksttabelilewy"/>
            </w:pPr>
            <w:r w:rsidRPr="00795F17">
              <w:t xml:space="preserve">Znaczące </w:t>
            </w:r>
            <w:r w:rsidR="00DF005E">
              <w:t>JCWP</w:t>
            </w:r>
            <w:r w:rsidRPr="00795F17">
              <w:t xml:space="preserve"> przekraczające granicę państwa lub zlokalizowane na granicy państwa</w:t>
            </w:r>
          </w:p>
        </w:tc>
      </w:tr>
      <w:tr w:rsidR="00462DD4" w:rsidRPr="00795F17" w14:paraId="64E60CB6" w14:textId="77777777" w:rsidTr="009A2275">
        <w:trPr>
          <w:trHeight w:val="454"/>
        </w:trPr>
        <w:tc>
          <w:tcPr>
            <w:tcW w:w="315" w:type="pct"/>
          </w:tcPr>
          <w:p w14:paraId="2BAF1568" w14:textId="77777777" w:rsidR="00462DD4" w:rsidRPr="00795F17" w:rsidRDefault="00462DD4" w:rsidP="0065243A">
            <w:pPr>
              <w:pStyle w:val="Teksttabelisrodek"/>
            </w:pPr>
            <w:r w:rsidRPr="00795F17">
              <w:t>6.</w:t>
            </w:r>
          </w:p>
        </w:tc>
        <w:tc>
          <w:tcPr>
            <w:tcW w:w="4685" w:type="pct"/>
          </w:tcPr>
          <w:p w14:paraId="76D50321" w14:textId="75E5EB1F" w:rsidR="00462DD4" w:rsidRPr="00795F17" w:rsidRDefault="00DF005E" w:rsidP="0044393D">
            <w:pPr>
              <w:pStyle w:val="Teksttabelilewy"/>
            </w:pPr>
            <w:r>
              <w:t>JCWP</w:t>
            </w:r>
            <w:r w:rsidR="00462DD4" w:rsidRPr="00795F17">
              <w:t xml:space="preserve"> odprowadzające zanieczyszczenia poza granicę państwa lub do Morza Bałtyckiego, z których pozyskuje się wyniki pomiarów lub badań na potrzeby oszacowania odprowadzanego ładunku zanieczyszczeń</w:t>
            </w:r>
          </w:p>
        </w:tc>
      </w:tr>
      <w:tr w:rsidR="00462DD4" w:rsidRPr="00795F17" w14:paraId="5CCC3EDE" w14:textId="77777777" w:rsidTr="009A2275">
        <w:trPr>
          <w:trHeight w:val="454"/>
        </w:trPr>
        <w:tc>
          <w:tcPr>
            <w:tcW w:w="315" w:type="pct"/>
          </w:tcPr>
          <w:p w14:paraId="6882888B" w14:textId="77777777" w:rsidR="00462DD4" w:rsidRPr="00795F17" w:rsidRDefault="00462DD4" w:rsidP="0065243A">
            <w:pPr>
              <w:pStyle w:val="Teksttabelisrodek"/>
            </w:pPr>
            <w:r w:rsidRPr="00795F17">
              <w:t>7.</w:t>
            </w:r>
          </w:p>
        </w:tc>
        <w:tc>
          <w:tcPr>
            <w:tcW w:w="4685" w:type="pct"/>
          </w:tcPr>
          <w:p w14:paraId="72BD21F2" w14:textId="3052A5B6" w:rsidR="00462DD4" w:rsidRPr="00795F17" w:rsidRDefault="00DF005E" w:rsidP="0044393D">
            <w:pPr>
              <w:pStyle w:val="Teksttabelilewy"/>
            </w:pPr>
            <w:r>
              <w:t>JCWP</w:t>
            </w:r>
            <w:r w:rsidR="00462DD4" w:rsidRPr="00795F17">
              <w:t>, na których zostały wyznaczone reperowe ppk, w tym punkty wykorzystywane na potrzeby wymiany informacji między państwami członkowskimi Unii Europejskiej</w:t>
            </w:r>
          </w:p>
        </w:tc>
      </w:tr>
    </w:tbl>
    <w:p w14:paraId="2294B187" w14:textId="7E1E309D" w:rsidR="00462DD4" w:rsidRPr="00795F17" w:rsidRDefault="00462DD4" w:rsidP="0044393D">
      <w:pPr>
        <w:pStyle w:val="rdo"/>
      </w:pPr>
      <w:r w:rsidRPr="00795F17">
        <w:t xml:space="preserve">Źródło: </w:t>
      </w:r>
      <w:r w:rsidR="00FD7248" w:rsidRPr="00795F17">
        <w:t>opracowanie własne</w:t>
      </w:r>
      <w:r w:rsidRPr="00795F17">
        <w:t xml:space="preserve"> na podstawie r.m.jcw</w:t>
      </w:r>
    </w:p>
    <w:p w14:paraId="3D6B4A94" w14:textId="7A7596CE" w:rsidR="00462DD4" w:rsidRPr="00795F17" w:rsidRDefault="00462DD4" w:rsidP="0044393D">
      <w:r w:rsidRPr="00795F17">
        <w:t xml:space="preserve">Monitoring diagnostyczny jest prowadzony w reprezentatywnych ppk monitorowania stanu ekologicznego lub potencjału ekologicznego i stanu chemicznego </w:t>
      </w:r>
      <w:r w:rsidR="00DF005E">
        <w:t>JCWP</w:t>
      </w:r>
      <w:r w:rsidRPr="00795F17">
        <w:t xml:space="preserve"> w cyklach rocznych z</w:t>
      </w:r>
      <w:r w:rsidR="000B542A" w:rsidRPr="00795F17">
        <w:t> </w:t>
      </w:r>
      <w:r w:rsidRPr="00795F17">
        <w:t xml:space="preserve">częstotliwością nie mniejszą niż co 6 lat, co najmniej raz w okresie obowiązywania danego planu gospodarowania wodami na obszarze dorzecza. </w:t>
      </w:r>
    </w:p>
    <w:p w14:paraId="5818F4FE" w14:textId="77777777" w:rsidR="00462DD4" w:rsidRPr="00795F17" w:rsidRDefault="00462DD4" w:rsidP="0044393D">
      <w:pPr>
        <w:pStyle w:val="Nagwek4"/>
      </w:pPr>
      <w:r w:rsidRPr="00795F17">
        <w:t>Monitoring operacyjny</w:t>
      </w:r>
    </w:p>
    <w:p w14:paraId="507B9D52" w14:textId="6235FEF4" w:rsidR="00462DD4" w:rsidRPr="00795F17" w:rsidRDefault="003C0931" w:rsidP="0044393D">
      <w:r>
        <w:t>MO</w:t>
      </w:r>
      <w:r w:rsidR="00462DD4" w:rsidRPr="00795F17">
        <w:t xml:space="preserve"> </w:t>
      </w:r>
      <w:r w:rsidR="00DF005E">
        <w:t>JCWP</w:t>
      </w:r>
      <w:r w:rsidR="00462DD4" w:rsidRPr="00795F17">
        <w:t xml:space="preserve"> prowadzi się w celu: </w:t>
      </w:r>
    </w:p>
    <w:p w14:paraId="314F45F4" w14:textId="0A2168B8" w:rsidR="00462DD4" w:rsidRPr="00795F17" w:rsidRDefault="00462DD4" w:rsidP="002757E9">
      <w:pPr>
        <w:pStyle w:val="Numerowanie"/>
        <w:numPr>
          <w:ilvl w:val="0"/>
          <w:numId w:val="36"/>
        </w:numPr>
      </w:pPr>
      <w:r w:rsidRPr="00795F17">
        <w:t xml:space="preserve">ustalenia stanu </w:t>
      </w:r>
      <w:r w:rsidR="00DF005E">
        <w:t>JCWP</w:t>
      </w:r>
      <w:r w:rsidRPr="00795F17">
        <w:t>, które uznano za zagrożone nie</w:t>
      </w:r>
      <w:r w:rsidR="0064673B" w:rsidRPr="00795F17">
        <w:t>osiągnięciem</w:t>
      </w:r>
      <w:r w:rsidRPr="00795F17">
        <w:t xml:space="preserve"> określonych dla nich celów środowiskowych;</w:t>
      </w:r>
    </w:p>
    <w:p w14:paraId="493B8273" w14:textId="0792669E" w:rsidR="00462DD4" w:rsidRPr="00795F17" w:rsidRDefault="00462DD4" w:rsidP="0044393D">
      <w:pPr>
        <w:pStyle w:val="Numerowanie"/>
      </w:pPr>
      <w:r w:rsidRPr="00795F17">
        <w:t xml:space="preserve">dokonania oceny zmian stanu </w:t>
      </w:r>
      <w:r w:rsidR="00DF005E">
        <w:t>JCWP</w:t>
      </w:r>
      <w:r w:rsidRPr="00795F17">
        <w:t xml:space="preserve"> uznanych za zagrożone nie</w:t>
      </w:r>
      <w:r w:rsidR="0064673B" w:rsidRPr="00795F17">
        <w:t xml:space="preserve">osiągnięciem </w:t>
      </w:r>
      <w:r w:rsidRPr="00795F17">
        <w:t xml:space="preserve">celów środowiskowych, wynikających z działań realizowanych w ramach programów mających na celu poprawę jakości </w:t>
      </w:r>
      <w:r w:rsidR="00DF005E">
        <w:t>JCWP</w:t>
      </w:r>
      <w:r w:rsidRPr="00795F17">
        <w:t>;</w:t>
      </w:r>
    </w:p>
    <w:p w14:paraId="0B084355" w14:textId="7C75951B" w:rsidR="00462DD4" w:rsidRPr="00795F17" w:rsidRDefault="00462DD4" w:rsidP="0044393D">
      <w:pPr>
        <w:pStyle w:val="Numerowanie"/>
      </w:pPr>
      <w:r w:rsidRPr="00795F17">
        <w:t xml:space="preserve">dokonania oceny zmian stanu </w:t>
      </w:r>
      <w:r w:rsidR="00DF005E">
        <w:t>JCWP</w:t>
      </w:r>
      <w:r w:rsidRPr="00795F17">
        <w:t xml:space="preserve"> wynikających z działań mających na celu zmniejszenie zanieczyszczenia wód azotanami pochodzącymi ze źródeł rolniczych.</w:t>
      </w:r>
    </w:p>
    <w:p w14:paraId="570BC747" w14:textId="4F8AAFE5" w:rsidR="00462DD4" w:rsidRPr="00795F17" w:rsidRDefault="00462DD4" w:rsidP="0044393D">
      <w:r w:rsidRPr="00795F17">
        <w:t>Rozporządzenie r.m.jcw</w:t>
      </w:r>
      <w:r w:rsidRPr="00795F17" w:rsidDel="00E077D2">
        <w:t xml:space="preserve"> </w:t>
      </w:r>
      <w:r w:rsidRPr="00795F17">
        <w:t xml:space="preserve">określa kryteria wyboru </w:t>
      </w:r>
      <w:r w:rsidR="00DF005E">
        <w:t>JCWP</w:t>
      </w:r>
      <w:r w:rsidRPr="00795F17">
        <w:t xml:space="preserve"> do monitorowania w ramach sieci </w:t>
      </w:r>
      <w:r w:rsidR="00472344">
        <w:t>MO</w:t>
      </w:r>
      <w:r w:rsidRPr="00795F17">
        <w:t xml:space="preserve">. Załącznik nr </w:t>
      </w:r>
      <w:r w:rsidR="009D76C6">
        <w:t>1</w:t>
      </w:r>
      <w:r w:rsidR="009D76C6" w:rsidRPr="00795F17">
        <w:t xml:space="preserve"> </w:t>
      </w:r>
      <w:r w:rsidRPr="00795F17">
        <w:t xml:space="preserve">do r.m.jcw przedstawia kryteria stosowane </w:t>
      </w:r>
      <w:r w:rsidR="00B24252">
        <w:t>od</w:t>
      </w:r>
      <w:r w:rsidRPr="00795F17">
        <w:t xml:space="preserve"> 31 grudnia 2021 r. Poniższa tabela </w:t>
      </w:r>
      <w:r w:rsidR="001168D3" w:rsidRPr="00795F17">
        <w:t>5-2</w:t>
      </w:r>
      <w:r w:rsidRPr="00795F17">
        <w:t xml:space="preserve"> zawiera zestawienie określonych w r.m.jcw kryteriów. </w:t>
      </w:r>
    </w:p>
    <w:p w14:paraId="75E0D86E" w14:textId="4B60BE9B" w:rsidR="00462DD4" w:rsidRPr="00795F17" w:rsidRDefault="00462DD4" w:rsidP="004D7705">
      <w:pPr>
        <w:pStyle w:val="Tabela"/>
      </w:pPr>
      <w:bookmarkStart w:id="132" w:name="_Toc66341857"/>
      <w:bookmarkStart w:id="133" w:name="_Toc105512766"/>
      <w:r w:rsidRPr="00795F17">
        <w:t xml:space="preserve">Tabela </w:t>
      </w:r>
      <w:fldSimple w:instr=" STYLEREF 1 \s ">
        <w:r w:rsidR="001F774D">
          <w:rPr>
            <w:noProof/>
          </w:rPr>
          <w:t>5</w:t>
        </w:r>
      </w:fldSimple>
      <w:r w:rsidR="00BB3B21" w:rsidRPr="00795F17">
        <w:noBreakHyphen/>
      </w:r>
      <w:fldSimple w:instr=" SEQ Tabela \* ARABIC \s 1 ">
        <w:r w:rsidR="001F774D">
          <w:rPr>
            <w:noProof/>
          </w:rPr>
          <w:t>2</w:t>
        </w:r>
      </w:fldSimple>
      <w:r w:rsidR="00BA11D4">
        <w:rPr>
          <w:noProof/>
        </w:rPr>
        <w:t>.</w:t>
      </w:r>
      <w:r w:rsidRPr="00795F17">
        <w:tab/>
        <w:t xml:space="preserve">Kryteria wyboru </w:t>
      </w:r>
      <w:r w:rsidR="00DF005E">
        <w:t>JCWP</w:t>
      </w:r>
      <w:r w:rsidRPr="00795F17">
        <w:t xml:space="preserve"> do monitorowania w ramach monitoringu operacyjnego</w:t>
      </w:r>
      <w:bookmarkEnd w:id="132"/>
      <w:bookmarkEnd w:id="133"/>
      <w:r w:rsidRPr="00795F17">
        <w:t xml:space="preserve"> </w:t>
      </w:r>
    </w:p>
    <w:tbl>
      <w:tblPr>
        <w:tblStyle w:val="Tabela-Siatka"/>
        <w:tblW w:w="5000" w:type="pct"/>
        <w:tblLook w:val="04A0" w:firstRow="1" w:lastRow="0" w:firstColumn="1" w:lastColumn="0" w:noHBand="0" w:noVBand="1"/>
      </w:tblPr>
      <w:tblGrid>
        <w:gridCol w:w="527"/>
        <w:gridCol w:w="8535"/>
      </w:tblGrid>
      <w:tr w:rsidR="00462DD4" w:rsidRPr="00795F17" w14:paraId="0866D5B3" w14:textId="77777777" w:rsidTr="00D13EDA">
        <w:trPr>
          <w:cnfStyle w:val="100000000000" w:firstRow="1" w:lastRow="0" w:firstColumn="0" w:lastColumn="0" w:oddVBand="0" w:evenVBand="0" w:oddHBand="0" w:evenHBand="0" w:firstRowFirstColumn="0" w:firstRowLastColumn="0" w:lastRowFirstColumn="0" w:lastRowLastColumn="0"/>
          <w:trHeight w:val="454"/>
        </w:trPr>
        <w:tc>
          <w:tcPr>
            <w:tcW w:w="5000" w:type="pct"/>
            <w:gridSpan w:val="2"/>
          </w:tcPr>
          <w:p w14:paraId="4DDBE82D" w14:textId="1AEF9EFB" w:rsidR="00462DD4" w:rsidRPr="00795F17" w:rsidRDefault="00462DD4" w:rsidP="0044393D">
            <w:pPr>
              <w:pStyle w:val="Teksttabelinaglowek"/>
              <w:rPr>
                <w:b/>
              </w:rPr>
            </w:pPr>
            <w:r w:rsidRPr="00795F17">
              <w:rPr>
                <w:b/>
              </w:rPr>
              <w:t xml:space="preserve">Kryteria wyboru </w:t>
            </w:r>
            <w:r w:rsidR="00DF005E">
              <w:rPr>
                <w:b/>
              </w:rPr>
              <w:t>JCWP</w:t>
            </w:r>
            <w:r w:rsidRPr="00795F17">
              <w:rPr>
                <w:b/>
              </w:rPr>
              <w:t xml:space="preserve"> do monitoringu operacyjnego zgodnie z r.m.jc</w:t>
            </w:r>
          </w:p>
        </w:tc>
      </w:tr>
      <w:tr w:rsidR="00462DD4" w:rsidRPr="00795F17" w14:paraId="6495A6DA" w14:textId="77777777" w:rsidTr="00D13EDA">
        <w:trPr>
          <w:trHeight w:val="454"/>
        </w:trPr>
        <w:tc>
          <w:tcPr>
            <w:tcW w:w="291" w:type="pct"/>
            <w:shd w:val="clear" w:color="auto" w:fill="D9D9D9" w:themeFill="background1" w:themeFillShade="D9"/>
          </w:tcPr>
          <w:p w14:paraId="02386874" w14:textId="77777777" w:rsidR="00462DD4" w:rsidRPr="00795F17" w:rsidRDefault="00462DD4" w:rsidP="008C0577">
            <w:pPr>
              <w:pStyle w:val="Teksttabelinaglowek"/>
            </w:pPr>
            <w:r w:rsidRPr="00795F17">
              <w:t>Lp.</w:t>
            </w:r>
          </w:p>
        </w:tc>
        <w:tc>
          <w:tcPr>
            <w:tcW w:w="4709" w:type="pct"/>
            <w:shd w:val="clear" w:color="auto" w:fill="D9D9D9" w:themeFill="background1" w:themeFillShade="D9"/>
          </w:tcPr>
          <w:p w14:paraId="490BCBC9" w14:textId="3A76F099" w:rsidR="00462DD4" w:rsidRPr="00795F17" w:rsidRDefault="00C010E9" w:rsidP="008C0577">
            <w:pPr>
              <w:pStyle w:val="Teksttabelinaglowek"/>
            </w:pPr>
            <w:r>
              <w:rPr>
                <w:bCs/>
              </w:rPr>
              <w:t>od</w:t>
            </w:r>
            <w:r w:rsidRPr="00795F17">
              <w:rPr>
                <w:bCs/>
              </w:rPr>
              <w:t xml:space="preserve"> </w:t>
            </w:r>
            <w:r w:rsidR="00462DD4" w:rsidRPr="00795F17">
              <w:rPr>
                <w:bCs/>
              </w:rPr>
              <w:t>31 grudnia 2021 r. (</w:t>
            </w:r>
            <w:r w:rsidR="00822DC2" w:rsidRPr="00795F17">
              <w:rPr>
                <w:bCs/>
              </w:rPr>
              <w:t>z</w:t>
            </w:r>
            <w:r w:rsidR="00462DD4" w:rsidRPr="00795F17">
              <w:rPr>
                <w:bCs/>
              </w:rPr>
              <w:t>ałącznik nr 1 do r.m.jcw)</w:t>
            </w:r>
          </w:p>
        </w:tc>
      </w:tr>
      <w:tr w:rsidR="00462DD4" w:rsidRPr="00795F17" w14:paraId="70D7914D" w14:textId="77777777" w:rsidTr="00D13EDA">
        <w:trPr>
          <w:trHeight w:val="454"/>
        </w:trPr>
        <w:tc>
          <w:tcPr>
            <w:tcW w:w="291" w:type="pct"/>
          </w:tcPr>
          <w:p w14:paraId="5C2ED8F4" w14:textId="77777777" w:rsidR="00462DD4" w:rsidRPr="00795F17" w:rsidRDefault="00462DD4" w:rsidP="0065243A">
            <w:pPr>
              <w:pStyle w:val="Teksttabelisrodek"/>
            </w:pPr>
            <w:r w:rsidRPr="00795F17">
              <w:t>1.</w:t>
            </w:r>
          </w:p>
        </w:tc>
        <w:tc>
          <w:tcPr>
            <w:tcW w:w="4709" w:type="pct"/>
          </w:tcPr>
          <w:p w14:paraId="0C45E7BA" w14:textId="5D887E85" w:rsidR="00462DD4" w:rsidRPr="00795F17" w:rsidRDefault="00DF005E" w:rsidP="0044393D">
            <w:pPr>
              <w:pStyle w:val="Teksttabelilewy"/>
            </w:pPr>
            <w:r>
              <w:t>JCWP</w:t>
            </w:r>
            <w:r w:rsidR="00462DD4" w:rsidRPr="00795F17">
              <w:t xml:space="preserve"> (w tym </w:t>
            </w:r>
            <w:r>
              <w:t>JCWP</w:t>
            </w:r>
            <w:r w:rsidR="00462DD4" w:rsidRPr="00795F17">
              <w:t xml:space="preserve"> występujące na obszarach chronionych uwzględnionych w wykazach obszarów chronionych) została uznana na podstawie oceny wpływu znaczących oddziaływań na stan wód powierzchniowych lub monitoringu diagnostycznego za zagrożoną nie</w:t>
            </w:r>
            <w:r w:rsidR="00FC6F27">
              <w:t>osiągnięcie</w:t>
            </w:r>
            <w:r w:rsidR="00462DD4" w:rsidRPr="00795F17">
              <w:t>m określonych dla niej celów środowiskowych</w:t>
            </w:r>
          </w:p>
        </w:tc>
      </w:tr>
      <w:tr w:rsidR="00462DD4" w:rsidRPr="00795F17" w14:paraId="285F75D1" w14:textId="77777777" w:rsidTr="00D13EDA">
        <w:trPr>
          <w:trHeight w:val="454"/>
        </w:trPr>
        <w:tc>
          <w:tcPr>
            <w:tcW w:w="291" w:type="pct"/>
          </w:tcPr>
          <w:p w14:paraId="18EE22CC" w14:textId="77777777" w:rsidR="00462DD4" w:rsidRPr="00795F17" w:rsidRDefault="00462DD4" w:rsidP="0065243A">
            <w:pPr>
              <w:pStyle w:val="Teksttabelisrodek"/>
            </w:pPr>
            <w:r w:rsidRPr="00795F17">
              <w:t>2.</w:t>
            </w:r>
          </w:p>
        </w:tc>
        <w:tc>
          <w:tcPr>
            <w:tcW w:w="4709" w:type="pct"/>
          </w:tcPr>
          <w:p w14:paraId="02B9AE46" w14:textId="0FD8ACC9" w:rsidR="00462DD4" w:rsidRPr="00795F17" w:rsidRDefault="00DF005E" w:rsidP="0044393D">
            <w:pPr>
              <w:pStyle w:val="Teksttabelilewy"/>
            </w:pPr>
            <w:r>
              <w:t>JCWP</w:t>
            </w:r>
            <w:r w:rsidR="00462DD4" w:rsidRPr="00795F17">
              <w:t xml:space="preserve"> zagrożone znacznym oddziaływaniem ze strony punktowych, liniowych lub obszarowych źródeł zanieczyszczeń, wskazane w dokumentacjach planistycznych</w:t>
            </w:r>
          </w:p>
        </w:tc>
      </w:tr>
      <w:tr w:rsidR="00462DD4" w:rsidRPr="00795F17" w14:paraId="6D6C4EDA" w14:textId="77777777" w:rsidTr="00D13EDA">
        <w:trPr>
          <w:trHeight w:val="454"/>
        </w:trPr>
        <w:tc>
          <w:tcPr>
            <w:tcW w:w="291" w:type="pct"/>
          </w:tcPr>
          <w:p w14:paraId="7137AA38" w14:textId="77777777" w:rsidR="00462DD4" w:rsidRPr="00795F17" w:rsidRDefault="00462DD4" w:rsidP="0065243A">
            <w:pPr>
              <w:pStyle w:val="Teksttabelisrodek"/>
            </w:pPr>
            <w:r w:rsidRPr="00795F17">
              <w:t>3.</w:t>
            </w:r>
          </w:p>
        </w:tc>
        <w:tc>
          <w:tcPr>
            <w:tcW w:w="4709" w:type="pct"/>
          </w:tcPr>
          <w:p w14:paraId="7F8A0845" w14:textId="12A45C6A" w:rsidR="00462DD4" w:rsidRPr="00795F17" w:rsidRDefault="00DF005E" w:rsidP="0044393D">
            <w:pPr>
              <w:pStyle w:val="Teksttabelilewy"/>
            </w:pPr>
            <w:r>
              <w:t>JCWP</w:t>
            </w:r>
            <w:r w:rsidR="00462DD4" w:rsidRPr="00795F17">
              <w:t xml:space="preserve"> zagrożone znacznym oddziaływaniem mogącym mieć wpływ na hydromorfologię, wskazane w</w:t>
            </w:r>
            <w:r w:rsidR="00150F46">
              <w:t> </w:t>
            </w:r>
            <w:r w:rsidR="00462DD4" w:rsidRPr="00795F17">
              <w:t>dokumentacji planistycznej</w:t>
            </w:r>
          </w:p>
        </w:tc>
      </w:tr>
      <w:tr w:rsidR="00462DD4" w:rsidRPr="00795F17" w14:paraId="08E1D3F7" w14:textId="77777777" w:rsidTr="00D13EDA">
        <w:trPr>
          <w:trHeight w:val="454"/>
        </w:trPr>
        <w:tc>
          <w:tcPr>
            <w:tcW w:w="291" w:type="pct"/>
          </w:tcPr>
          <w:p w14:paraId="6F19F0E9" w14:textId="77777777" w:rsidR="00462DD4" w:rsidRPr="00795F17" w:rsidRDefault="00462DD4" w:rsidP="0065243A">
            <w:pPr>
              <w:pStyle w:val="Teksttabelisrodek"/>
            </w:pPr>
            <w:r w:rsidRPr="00795F17">
              <w:t>4.</w:t>
            </w:r>
          </w:p>
        </w:tc>
        <w:tc>
          <w:tcPr>
            <w:tcW w:w="4709" w:type="pct"/>
          </w:tcPr>
          <w:p w14:paraId="513C1441" w14:textId="50F2FA7F" w:rsidR="00462DD4" w:rsidRPr="00795F17" w:rsidRDefault="00462DD4" w:rsidP="0044393D">
            <w:pPr>
              <w:pStyle w:val="Teksttabelilewy"/>
            </w:pPr>
            <w:r w:rsidRPr="00795F17">
              <w:t xml:space="preserve">Do </w:t>
            </w:r>
            <w:r w:rsidR="00DF005E">
              <w:t>JCWP</w:t>
            </w:r>
            <w:r w:rsidRPr="00795F17">
              <w:t xml:space="preserve"> odprowadzane są substancje z listy substancji priorytetowych oraz inne substancje odprowadzane w znacznych ilościach, wskazane w dokumentacji planistycznej</w:t>
            </w:r>
          </w:p>
        </w:tc>
      </w:tr>
      <w:tr w:rsidR="00462DD4" w:rsidRPr="00795F17" w14:paraId="7CD5D096" w14:textId="77777777" w:rsidTr="00D13EDA">
        <w:trPr>
          <w:trHeight w:val="454"/>
        </w:trPr>
        <w:tc>
          <w:tcPr>
            <w:tcW w:w="291" w:type="pct"/>
          </w:tcPr>
          <w:p w14:paraId="5A8D4FBE" w14:textId="77777777" w:rsidR="00462DD4" w:rsidRPr="00795F17" w:rsidRDefault="00462DD4" w:rsidP="0065243A">
            <w:pPr>
              <w:pStyle w:val="Teksttabelisrodek"/>
            </w:pPr>
            <w:r w:rsidRPr="00795F17">
              <w:t>5.</w:t>
            </w:r>
          </w:p>
        </w:tc>
        <w:tc>
          <w:tcPr>
            <w:tcW w:w="4709" w:type="pct"/>
          </w:tcPr>
          <w:p w14:paraId="7A3921E2" w14:textId="3820A58E" w:rsidR="00462DD4" w:rsidRPr="00795F17" w:rsidRDefault="00462DD4" w:rsidP="0044393D">
            <w:pPr>
              <w:pStyle w:val="Teksttabelilewy"/>
            </w:pPr>
            <w:r w:rsidRPr="00795F17">
              <w:t>W zlewniach, w których występują źródła zanieczyszczeń, o których mowa w rozporządzeniu (WE) nr</w:t>
            </w:r>
            <w:r w:rsidR="00977684">
              <w:t> </w:t>
            </w:r>
            <w:r w:rsidRPr="00795F17">
              <w:t>166/2006 Parlamentu Europejskiego i Rady z dnia 18 stycznia 2006 r. w sprawie ustanowienia Europejskiego Rejestru Uwalniania i Transferu Zanieczyszczeń oraz zmieniającym dyrektywę Rady 91/689/EWG i 96/61/WE (Dz.Urz. UE L 33</w:t>
            </w:r>
            <w:r w:rsidR="001666F3">
              <w:t>/1</w:t>
            </w:r>
            <w:r w:rsidRPr="00795F17">
              <w:t xml:space="preserve"> z </w:t>
            </w:r>
            <w:r w:rsidR="001666F3">
              <w:t xml:space="preserve">dnia </w:t>
            </w:r>
            <w:r w:rsidRPr="00795F17">
              <w:t>4 lutego 2006 r. z późn. zm.)</w:t>
            </w:r>
          </w:p>
        </w:tc>
      </w:tr>
    </w:tbl>
    <w:p w14:paraId="31B00381" w14:textId="673BECAC"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r.m.jcw</w:t>
      </w:r>
    </w:p>
    <w:p w14:paraId="48832CD3" w14:textId="35399B07" w:rsidR="00462DD4" w:rsidRPr="00795F17" w:rsidRDefault="00472344" w:rsidP="0044393D">
      <w:r>
        <w:t>MO</w:t>
      </w:r>
      <w:r w:rsidR="002F5BC1" w:rsidRPr="002F5BC1">
        <w:t xml:space="preserve"> jest prowadzony dwa razy w sześcioletnim cyklu wodnym (co 3 lata), z wyjątkiem pomiarów stężeń tych substancji szczególnie szkodliwych, dla których w wyniku </w:t>
      </w:r>
      <w:r>
        <w:t>MD</w:t>
      </w:r>
      <w:r w:rsidR="002F5BC1" w:rsidRPr="002F5BC1">
        <w:t xml:space="preserve"> lub analizy występowan</w:t>
      </w:r>
      <w:r w:rsidR="009A4AA4">
        <w:t>ia</w:t>
      </w:r>
      <w:r w:rsidR="002F5BC1" w:rsidRPr="002F5BC1">
        <w:t xml:space="preserve"> ich zrzutów w zlewni stwierdzono przekroczenie wartości dopuszczalnych (pomiary corocznie, z częstotliwością co miesiąc)</w:t>
      </w:r>
      <w:r w:rsidR="00462DD4" w:rsidRPr="00795F17">
        <w:t xml:space="preserve"> oraz elementów hydromorfologicznych (od jednokrotnego pomiaru w sześcioletnim cyklu wodnym dla określenia warunków morfologicznych, ciągłości strugi, strumienia, potoku, rzeki lub kanału oraz reżimu hydrologicznego dla </w:t>
      </w:r>
      <w:r w:rsidR="00DF005E">
        <w:t>JCWP</w:t>
      </w:r>
      <w:r w:rsidR="00462DD4" w:rsidRPr="00795F17">
        <w:t xml:space="preserve"> TW i CW, poprzez comiesięczne pomiary reżimu hydrologicznego dla </w:t>
      </w:r>
      <w:r w:rsidR="00DF005E">
        <w:t>JCWP</w:t>
      </w:r>
      <w:r w:rsidR="00462DD4" w:rsidRPr="00795F17">
        <w:t xml:space="preserve"> LW, w tym SZCW oraz SCW aż</w:t>
      </w:r>
      <w:r w:rsidR="003C18F3">
        <w:t> </w:t>
      </w:r>
      <w:r w:rsidR="00462DD4" w:rsidRPr="00795F17">
        <w:t>do</w:t>
      </w:r>
      <w:r w:rsidR="00D13EDA" w:rsidRPr="00795F17">
        <w:t xml:space="preserve"> </w:t>
      </w:r>
      <w:r w:rsidR="00462DD4" w:rsidRPr="00795F17">
        <w:t xml:space="preserve">systematycznych pomiarów ciągłych/cyklicznych w sześcioletnim cyklu wodnym dla </w:t>
      </w:r>
      <w:r w:rsidR="00DF005E">
        <w:t>JCWP</w:t>
      </w:r>
      <w:r w:rsidR="00462DD4" w:rsidRPr="00795F17">
        <w:t xml:space="preserve"> RW i</w:t>
      </w:r>
      <w:r w:rsidR="00D13EDA" w:rsidRPr="00795F17">
        <w:t> </w:t>
      </w:r>
      <w:r w:rsidR="00462DD4" w:rsidRPr="00795F17">
        <w:t>RWr, w</w:t>
      </w:r>
      <w:r w:rsidR="006706CD">
        <w:t> </w:t>
      </w:r>
      <w:r w:rsidR="00462DD4" w:rsidRPr="00795F17">
        <w:t>tym SZCW i SCW).</w:t>
      </w:r>
    </w:p>
    <w:p w14:paraId="6B5B86FF" w14:textId="77777777" w:rsidR="00462DD4" w:rsidRPr="00795F17" w:rsidRDefault="00462DD4" w:rsidP="0044393D">
      <w:pPr>
        <w:pStyle w:val="Nagwek4"/>
      </w:pPr>
      <w:r w:rsidRPr="00795F17">
        <w:t>Monitoring badawczy</w:t>
      </w:r>
    </w:p>
    <w:p w14:paraId="3156D781" w14:textId="7DFD33A8" w:rsidR="00462DD4" w:rsidRPr="00795F17" w:rsidRDefault="009A4AA4" w:rsidP="0044393D">
      <w:r>
        <w:t>MB</w:t>
      </w:r>
      <w:r w:rsidR="00462DD4" w:rsidRPr="00795F17">
        <w:t xml:space="preserve"> </w:t>
      </w:r>
      <w:r w:rsidR="00DF005E">
        <w:t>JCWP</w:t>
      </w:r>
      <w:r w:rsidR="00462DD4" w:rsidRPr="00795F17">
        <w:t xml:space="preserve"> prowadzi się w celu: </w:t>
      </w:r>
    </w:p>
    <w:p w14:paraId="6B9634DF" w14:textId="466419A6" w:rsidR="00462DD4" w:rsidRPr="00795F17" w:rsidRDefault="00462DD4" w:rsidP="002757E9">
      <w:pPr>
        <w:pStyle w:val="Numerowanie"/>
        <w:numPr>
          <w:ilvl w:val="0"/>
          <w:numId w:val="37"/>
        </w:numPr>
      </w:pPr>
      <w:r w:rsidRPr="00795F17">
        <w:t xml:space="preserve">wyjaśnienia przyczyn nieosiągnięcia celów środowiskowych określonych dla </w:t>
      </w:r>
      <w:r w:rsidR="00DF005E">
        <w:t>JCWP</w:t>
      </w:r>
      <w:r w:rsidRPr="00795F17">
        <w:t>, jeżeli wyjaśnienie tych przyczyn jest niemożliwe na podstawie danych monitoringu diagnostycznego i</w:t>
      </w:r>
      <w:r w:rsidR="00FA20E4" w:rsidRPr="00795F17">
        <w:t> </w:t>
      </w:r>
      <w:r w:rsidRPr="00795F17">
        <w:t>operacyjnego;</w:t>
      </w:r>
    </w:p>
    <w:p w14:paraId="7C773403" w14:textId="11F6DD40" w:rsidR="00462DD4" w:rsidRPr="00795F17" w:rsidRDefault="00462DD4" w:rsidP="0044393D">
      <w:pPr>
        <w:pStyle w:val="Numerowanie"/>
      </w:pPr>
      <w:r w:rsidRPr="00795F17">
        <w:t>wyjaśnienia przyczyn nie</w:t>
      </w:r>
      <w:r w:rsidR="0064673B" w:rsidRPr="00795F17">
        <w:t>osiągnięcia</w:t>
      </w:r>
      <w:r w:rsidRPr="00795F17">
        <w:t xml:space="preserve"> celów środowiskowych przez daną </w:t>
      </w:r>
      <w:r w:rsidR="00DF005E">
        <w:t>JCWP</w:t>
      </w:r>
      <w:r w:rsidRPr="00795F17">
        <w:t>, jeżeli z</w:t>
      </w:r>
      <w:r w:rsidR="00C0489B" w:rsidRPr="00795F17">
        <w:t xml:space="preserve"> </w:t>
      </w:r>
      <w:r w:rsidRPr="00795F17">
        <w:t xml:space="preserve">monitoringu diagnostycznego wynika, że cele środowiskowe wyznaczone dla danej </w:t>
      </w:r>
      <w:r w:rsidR="00DF005E">
        <w:t>JCWP</w:t>
      </w:r>
      <w:r w:rsidRPr="00795F17">
        <w:t xml:space="preserve"> nie zostaną osiągnięte, i gdy nie rozpoczęto realizacji monitoringu operacyjnego dla tej </w:t>
      </w:r>
      <w:r w:rsidR="00DF005E">
        <w:t>JCWP</w:t>
      </w:r>
      <w:r w:rsidRPr="00795F17">
        <w:t>;</w:t>
      </w:r>
    </w:p>
    <w:p w14:paraId="0413519A" w14:textId="77777777" w:rsidR="00462DD4" w:rsidRPr="00795F17" w:rsidRDefault="00462DD4" w:rsidP="0044393D">
      <w:pPr>
        <w:pStyle w:val="Numerowanie"/>
      </w:pPr>
      <w:r w:rsidRPr="00795F17">
        <w:t>określenia wielkości i wpływów niedającego się przewidzieć zanieczyszczenia;</w:t>
      </w:r>
    </w:p>
    <w:p w14:paraId="742E33D2" w14:textId="0BB21385" w:rsidR="00462DD4" w:rsidRPr="00795F17" w:rsidRDefault="00462DD4" w:rsidP="0044393D">
      <w:pPr>
        <w:pStyle w:val="Numerowanie"/>
      </w:pPr>
      <w:r w:rsidRPr="00795F17">
        <w:t xml:space="preserve">ustalenia przyczyn rozbieżności między wynikami </w:t>
      </w:r>
      <w:r w:rsidR="00C12087">
        <w:t>klasyfikacji stanu ekologicznego</w:t>
      </w:r>
      <w:r w:rsidRPr="00795F17">
        <w:t xml:space="preserve"> lub potencjału ekologicznego na podstawie elementów biologicznych, hydromorfologicznych i</w:t>
      </w:r>
      <w:r w:rsidR="001168D3" w:rsidRPr="00795F17">
        <w:t> </w:t>
      </w:r>
      <w:r w:rsidRPr="00795F17">
        <w:t>fizykochemicznych;</w:t>
      </w:r>
    </w:p>
    <w:p w14:paraId="2B86E5F1" w14:textId="09EA9D9D" w:rsidR="00462DD4" w:rsidRPr="00795F17" w:rsidRDefault="00462DD4" w:rsidP="0044393D">
      <w:pPr>
        <w:pStyle w:val="Numerowanie"/>
      </w:pPr>
      <w:r w:rsidRPr="00795F17">
        <w:t>zebrania dodatkowych informacji o stanie wód w związku z uwarunkowaniami lokalnymi lub</w:t>
      </w:r>
      <w:r w:rsidR="007B2488">
        <w:t> </w:t>
      </w:r>
      <w:r w:rsidRPr="00795F17">
        <w:t>umowami międzynarodowymi.</w:t>
      </w:r>
    </w:p>
    <w:p w14:paraId="713022B1" w14:textId="75B3A53F" w:rsidR="00462DD4" w:rsidRPr="00795F17" w:rsidRDefault="00462DD4" w:rsidP="0044393D">
      <w:r w:rsidRPr="00795F17">
        <w:t xml:space="preserve">Dodatkowo </w:t>
      </w:r>
      <w:r w:rsidR="009A4AA4">
        <w:t>MB</w:t>
      </w:r>
      <w:r w:rsidRPr="00795F17">
        <w:t xml:space="preserve"> może być wykorzystywany do optymalizacji sieci monitoringu, weryfikacji presji oraz ich oddziaływania na jcw, a także na potrzeby działań kontrolnych i inne potrzeby lokalne. </w:t>
      </w:r>
    </w:p>
    <w:p w14:paraId="5EAFDFD4" w14:textId="69C181CB" w:rsidR="00462DD4" w:rsidRPr="00795F17" w:rsidRDefault="00462DD4" w:rsidP="0044393D">
      <w:r w:rsidRPr="00795F17">
        <w:t xml:space="preserve">Do monitorowania w ramach monitoringu badawczego wyznacza się </w:t>
      </w:r>
      <w:r w:rsidR="00DF005E">
        <w:t>JCWP</w:t>
      </w:r>
      <w:r w:rsidRPr="00795F17">
        <w:t xml:space="preserve">, dla których jest konieczne wykonanie dodatkowego monitorowania wykraczającego poza cele </w:t>
      </w:r>
      <w:r w:rsidR="00C82A74">
        <w:t>MD</w:t>
      </w:r>
      <w:r w:rsidRPr="00795F17">
        <w:t xml:space="preserve"> i </w:t>
      </w:r>
      <w:r w:rsidR="00C82A74">
        <w:t>MO</w:t>
      </w:r>
      <w:r w:rsidRPr="00795F17">
        <w:t>, wyjaśniającego przyczyny omówione powyżej.</w:t>
      </w:r>
    </w:p>
    <w:p w14:paraId="1C2AA7DA" w14:textId="3F9D41FB" w:rsidR="00462DD4" w:rsidRPr="00795F17" w:rsidRDefault="00462DD4" w:rsidP="0044393D">
      <w:r w:rsidRPr="00795F17">
        <w:t xml:space="preserve">Zakres oraz częstotliwość pomiarów i badań w monitoringu badawczym </w:t>
      </w:r>
      <w:r w:rsidR="00DF005E">
        <w:t>JCWP</w:t>
      </w:r>
      <w:r w:rsidRPr="00795F17">
        <w:t xml:space="preserve"> w badawczych ppk wynikają z celu prowadzenia </w:t>
      </w:r>
      <w:r w:rsidR="00C82A74">
        <w:t>MB</w:t>
      </w:r>
      <w:r w:rsidRPr="00795F17">
        <w:t xml:space="preserve">. </w:t>
      </w:r>
      <w:r w:rsidR="00ED6D62" w:rsidRPr="00A3348E">
        <w:t>Rozporządzenie r.m.jcw z 20</w:t>
      </w:r>
      <w:r w:rsidR="00ED6D62">
        <w:t>21</w:t>
      </w:r>
      <w:r w:rsidR="00ED6D62" w:rsidRPr="00A3348E">
        <w:t xml:space="preserve"> r.</w:t>
      </w:r>
      <w:r w:rsidR="00ED6D62">
        <w:t>, jak również poprzednie rozporządzenie (</w:t>
      </w:r>
      <w:r w:rsidR="00ED6D62" w:rsidRPr="00A3348E">
        <w:t>s.r.m.jcw z 201</w:t>
      </w:r>
      <w:r w:rsidR="00ED6D62">
        <w:t>9</w:t>
      </w:r>
      <w:r w:rsidR="00ED6D62" w:rsidRPr="00A3348E">
        <w:t xml:space="preserve"> r</w:t>
      </w:r>
      <w:r w:rsidR="00ED6D62">
        <w:t>.)</w:t>
      </w:r>
      <w:r w:rsidR="00ED6D62" w:rsidRPr="00A3348E">
        <w:t xml:space="preserve"> nie precyzuj</w:t>
      </w:r>
      <w:r w:rsidR="00ED6D62">
        <w:t>ą</w:t>
      </w:r>
      <w:r w:rsidR="00ED6D62" w:rsidRPr="00A3348E">
        <w:t xml:space="preserve"> jego częstotliwości, w przeciwieństwie do rozporządzenia s.r.m.jcw z 2016 r., </w:t>
      </w:r>
      <w:r w:rsidRPr="00795F17">
        <w:t>które wskazywało na comiesięczne pomiary w</w:t>
      </w:r>
      <w:r w:rsidR="00073B1E" w:rsidRPr="00795F17">
        <w:t> </w:t>
      </w:r>
      <w:r w:rsidRPr="00795F17">
        <w:t>punktach pomiarowo-kontrolnych intensywnego monitorowania oraz coroczne pomiary we</w:t>
      </w:r>
      <w:r w:rsidR="00073B1E" w:rsidRPr="00795F17">
        <w:t> </w:t>
      </w:r>
      <w:r w:rsidRPr="00795F17">
        <w:t>wszystkich stanowiskach pomiarowych punktu reprezentatywnego dla wód przejściowych i</w:t>
      </w:r>
      <w:r w:rsidR="00073B1E" w:rsidRPr="00795F17">
        <w:t> </w:t>
      </w:r>
      <w:r w:rsidRPr="00795F17">
        <w:t>przybrzeżnych.</w:t>
      </w:r>
    </w:p>
    <w:p w14:paraId="2B7615E3" w14:textId="0EF90FFB" w:rsidR="00462DD4" w:rsidRPr="00795F17" w:rsidRDefault="00462DD4" w:rsidP="0044393D">
      <w:r w:rsidRPr="00795F17">
        <w:t xml:space="preserve">Wyniki </w:t>
      </w:r>
      <w:r w:rsidR="00C82A74">
        <w:t>MB</w:t>
      </w:r>
      <w:r w:rsidRPr="00795F17">
        <w:t xml:space="preserve"> są wykorzystywane do opracowania programu działań naprawczych (zestawy działań) oraz realizowania konkretnych przedsięwzięć koniecznych do usunięcia skutków przypadkowego zanieczyszczenia oraz do wypełnienia zobowiązań międzynarodowych. </w:t>
      </w:r>
    </w:p>
    <w:p w14:paraId="6C326813" w14:textId="77777777" w:rsidR="00462DD4" w:rsidRPr="00795F17" w:rsidRDefault="00462DD4" w:rsidP="0044393D">
      <w:pPr>
        <w:pStyle w:val="Nagwek4"/>
      </w:pPr>
      <w:r w:rsidRPr="00795F17">
        <w:t>Monitoring obszarów chronionych</w:t>
      </w:r>
    </w:p>
    <w:p w14:paraId="64CF8D19" w14:textId="03E6C2D7" w:rsidR="00462DD4" w:rsidRPr="00795F17" w:rsidRDefault="00462DD4" w:rsidP="0044393D">
      <w:r w:rsidRPr="00795F17">
        <w:t xml:space="preserve">Monitoring obszarów chronionych ustala się w celu oceny wypełnienia dodatkowych wymagań ustanowionych dla </w:t>
      </w:r>
      <w:r w:rsidR="0064673B" w:rsidRPr="00795F17">
        <w:t>osiągnięcia</w:t>
      </w:r>
      <w:r w:rsidRPr="00795F17">
        <w:t xml:space="preserve"> celów środowiskowych dla obszarów chronionych uwzględnionych w</w:t>
      </w:r>
      <w:r w:rsidR="001168D3" w:rsidRPr="00795F17">
        <w:t> </w:t>
      </w:r>
      <w:r w:rsidRPr="00795F17">
        <w:t>wykazach obszarów chronionych, o których mowa w art. 317 ust. 4 pkt 1, 2 i 4 pr.w.</w:t>
      </w:r>
    </w:p>
    <w:p w14:paraId="0964DD04" w14:textId="18E667F2" w:rsidR="00462DD4" w:rsidRPr="00795F17" w:rsidRDefault="00462DD4" w:rsidP="0044393D">
      <w:r w:rsidRPr="00795F17">
        <w:t>Rozporządzenie r.m.jcw</w:t>
      </w:r>
      <w:r w:rsidRPr="00795F17" w:rsidDel="00E077D2">
        <w:t xml:space="preserve"> </w:t>
      </w:r>
      <w:r w:rsidRPr="00795F17">
        <w:t xml:space="preserve">określa kryteria wyboru </w:t>
      </w:r>
      <w:r w:rsidR="00DF005E">
        <w:t>JCWP</w:t>
      </w:r>
      <w:r w:rsidRPr="00795F17">
        <w:t xml:space="preserve"> do monitorowania w ramach sieci monitoringu obszarów chronionych. Załącznik nr </w:t>
      </w:r>
      <w:r w:rsidR="00C010E9">
        <w:t>1</w:t>
      </w:r>
      <w:r w:rsidR="00C010E9" w:rsidRPr="00795F17">
        <w:t xml:space="preserve"> </w:t>
      </w:r>
      <w:r w:rsidRPr="00795F17">
        <w:t xml:space="preserve">do r.m.jcw przedstawia kryteria stosowane </w:t>
      </w:r>
      <w:r w:rsidR="00C010E9">
        <w:t>od</w:t>
      </w:r>
      <w:r w:rsidR="00C010E9" w:rsidRPr="00795F17">
        <w:t xml:space="preserve"> </w:t>
      </w:r>
      <w:r w:rsidRPr="00795F17">
        <w:t>dnia 31 grudnia 2021 r</w:t>
      </w:r>
      <w:r w:rsidR="00C010E9">
        <w:t>.</w:t>
      </w:r>
      <w:r w:rsidRPr="00795F17">
        <w:t xml:space="preserve"> </w:t>
      </w:r>
      <w:r w:rsidR="001168D3" w:rsidRPr="00795F17">
        <w:t>T</w:t>
      </w:r>
      <w:r w:rsidRPr="00795F17">
        <w:t>abela</w:t>
      </w:r>
      <w:r w:rsidR="001168D3" w:rsidRPr="00795F17">
        <w:t xml:space="preserve"> 5-3</w:t>
      </w:r>
      <w:r w:rsidRPr="00795F17">
        <w:t xml:space="preserve"> zawiera zestawienie określonych w r.m.jcw kryteriów. </w:t>
      </w:r>
    </w:p>
    <w:p w14:paraId="7D7F8943" w14:textId="597D24A3" w:rsidR="00462DD4" w:rsidRPr="00795F17" w:rsidRDefault="00462DD4" w:rsidP="004D7705">
      <w:pPr>
        <w:pStyle w:val="Tabela"/>
      </w:pPr>
      <w:bookmarkStart w:id="134" w:name="_Toc66341858"/>
      <w:bookmarkStart w:id="135" w:name="_Toc105512767"/>
      <w:r w:rsidRPr="00795F17">
        <w:t xml:space="preserve">Tabela </w:t>
      </w:r>
      <w:fldSimple w:instr=" STYLEREF 1 \s ">
        <w:r w:rsidR="001F774D">
          <w:rPr>
            <w:noProof/>
          </w:rPr>
          <w:t>5</w:t>
        </w:r>
      </w:fldSimple>
      <w:r w:rsidR="00BB3B21" w:rsidRPr="00795F17">
        <w:noBreakHyphen/>
      </w:r>
      <w:fldSimple w:instr=" SEQ Tabela \* ARABIC \s 1 ">
        <w:r w:rsidR="001F774D">
          <w:rPr>
            <w:noProof/>
          </w:rPr>
          <w:t>3</w:t>
        </w:r>
      </w:fldSimple>
      <w:r w:rsidR="00BA11D4">
        <w:rPr>
          <w:noProof/>
        </w:rPr>
        <w:t>.</w:t>
      </w:r>
      <w:r w:rsidRPr="00795F17">
        <w:tab/>
        <w:t xml:space="preserve">Kryteria wyboru </w:t>
      </w:r>
      <w:r w:rsidR="00DF005E">
        <w:t>JCWP</w:t>
      </w:r>
      <w:r w:rsidRPr="00795F17">
        <w:t xml:space="preserve"> do monitorowania w ramach monitoringu obszarów chronionych</w:t>
      </w:r>
      <w:bookmarkEnd w:id="134"/>
      <w:bookmarkEnd w:id="135"/>
    </w:p>
    <w:tbl>
      <w:tblPr>
        <w:tblStyle w:val="Tabela-Siatka"/>
        <w:tblW w:w="5000" w:type="pct"/>
        <w:tblLook w:val="04A0" w:firstRow="1" w:lastRow="0" w:firstColumn="1" w:lastColumn="0" w:noHBand="0" w:noVBand="1"/>
      </w:tblPr>
      <w:tblGrid>
        <w:gridCol w:w="527"/>
        <w:gridCol w:w="8535"/>
      </w:tblGrid>
      <w:tr w:rsidR="00462DD4" w:rsidRPr="00795F17" w14:paraId="46C8134B" w14:textId="77777777" w:rsidTr="00F24872">
        <w:trPr>
          <w:cnfStyle w:val="100000000000" w:firstRow="1" w:lastRow="0" w:firstColumn="0" w:lastColumn="0" w:oddVBand="0" w:evenVBand="0" w:oddHBand="0" w:evenHBand="0" w:firstRowFirstColumn="0" w:firstRowLastColumn="0" w:lastRowFirstColumn="0" w:lastRowLastColumn="0"/>
          <w:trHeight w:val="454"/>
        </w:trPr>
        <w:tc>
          <w:tcPr>
            <w:tcW w:w="5000" w:type="pct"/>
            <w:gridSpan w:val="2"/>
          </w:tcPr>
          <w:p w14:paraId="20C1D2FE" w14:textId="6CBC08D4" w:rsidR="00462DD4" w:rsidRPr="00795F17" w:rsidRDefault="00462DD4" w:rsidP="0044393D">
            <w:pPr>
              <w:pStyle w:val="Teksttabelinaglowek"/>
              <w:rPr>
                <w:b/>
              </w:rPr>
            </w:pPr>
            <w:r w:rsidRPr="00795F17">
              <w:rPr>
                <w:b/>
              </w:rPr>
              <w:t xml:space="preserve">Kryteria wyboru </w:t>
            </w:r>
            <w:r w:rsidR="00DF005E">
              <w:rPr>
                <w:b/>
              </w:rPr>
              <w:t>JCWP</w:t>
            </w:r>
            <w:r w:rsidRPr="00795F17">
              <w:rPr>
                <w:b/>
              </w:rPr>
              <w:t xml:space="preserve"> do monitoringu obszarów chronionych zgodnie z r.m.jcw</w:t>
            </w:r>
          </w:p>
        </w:tc>
      </w:tr>
      <w:tr w:rsidR="00462DD4" w:rsidRPr="00795F17" w14:paraId="69302D9C" w14:textId="77777777" w:rsidTr="00F24872">
        <w:trPr>
          <w:trHeight w:val="454"/>
        </w:trPr>
        <w:tc>
          <w:tcPr>
            <w:tcW w:w="291" w:type="pct"/>
            <w:shd w:val="clear" w:color="auto" w:fill="D9D9D9" w:themeFill="background1" w:themeFillShade="D9"/>
          </w:tcPr>
          <w:p w14:paraId="50682140" w14:textId="77777777" w:rsidR="00462DD4" w:rsidRPr="00795F17" w:rsidRDefault="00462DD4" w:rsidP="008C0577">
            <w:pPr>
              <w:pStyle w:val="Teksttabelinaglowek"/>
            </w:pPr>
            <w:r w:rsidRPr="00795F17">
              <w:t>Lp.</w:t>
            </w:r>
          </w:p>
        </w:tc>
        <w:tc>
          <w:tcPr>
            <w:tcW w:w="4709" w:type="pct"/>
            <w:shd w:val="clear" w:color="auto" w:fill="D9D9D9" w:themeFill="background1" w:themeFillShade="D9"/>
          </w:tcPr>
          <w:p w14:paraId="45D07548" w14:textId="54F4929D" w:rsidR="00462DD4" w:rsidRPr="00795F17" w:rsidRDefault="00C010E9" w:rsidP="008C0577">
            <w:pPr>
              <w:pStyle w:val="Teksttabelinaglowek"/>
            </w:pPr>
            <w:r>
              <w:t>od</w:t>
            </w:r>
            <w:r w:rsidRPr="00795F17">
              <w:t xml:space="preserve"> </w:t>
            </w:r>
            <w:r w:rsidR="00462DD4" w:rsidRPr="00795F17">
              <w:t>31 grudnia 2021 r. (</w:t>
            </w:r>
            <w:r w:rsidR="00822DC2" w:rsidRPr="00795F17">
              <w:t>z</w:t>
            </w:r>
            <w:r w:rsidR="00462DD4" w:rsidRPr="00795F17">
              <w:t>ałącznik nr 1 do r.m.jcw)</w:t>
            </w:r>
          </w:p>
        </w:tc>
      </w:tr>
      <w:tr w:rsidR="00462DD4" w:rsidRPr="00795F17" w14:paraId="6E7A33E5" w14:textId="77777777" w:rsidTr="00F24872">
        <w:trPr>
          <w:trHeight w:val="454"/>
        </w:trPr>
        <w:tc>
          <w:tcPr>
            <w:tcW w:w="291" w:type="pct"/>
          </w:tcPr>
          <w:p w14:paraId="7852AD6F" w14:textId="77777777" w:rsidR="00462DD4" w:rsidRPr="00795F17" w:rsidRDefault="00462DD4" w:rsidP="0065243A">
            <w:pPr>
              <w:pStyle w:val="Teksttabelisrodek"/>
            </w:pPr>
            <w:r w:rsidRPr="00795F17">
              <w:t>1.</w:t>
            </w:r>
          </w:p>
        </w:tc>
        <w:tc>
          <w:tcPr>
            <w:tcW w:w="4709" w:type="pct"/>
          </w:tcPr>
          <w:p w14:paraId="16D46D85" w14:textId="77276718" w:rsidR="00462DD4" w:rsidRPr="00795F17" w:rsidRDefault="00DF005E" w:rsidP="0044393D">
            <w:pPr>
              <w:pStyle w:val="Teksttabelilewy"/>
            </w:pPr>
            <w:r>
              <w:t>JCWP</w:t>
            </w:r>
            <w:r w:rsidR="00462DD4" w:rsidRPr="00795F17">
              <w:t xml:space="preserve"> zaliczona do </w:t>
            </w:r>
            <w:r>
              <w:t>JCWP</w:t>
            </w:r>
            <w:r w:rsidR="00462DD4" w:rsidRPr="00795F17">
              <w:t xml:space="preserve"> przeznaczonych do poboru wody na potrzeby zaopatrzenia ludności w wodę przeznaczoną do spożycia, jeżeli dana </w:t>
            </w:r>
            <w:r>
              <w:t>JCWP</w:t>
            </w:r>
            <w:r w:rsidR="00462DD4" w:rsidRPr="00795F17">
              <w:t xml:space="preserve"> dostarcza średnio powyżej 100 m</w:t>
            </w:r>
            <w:r w:rsidR="00462DD4" w:rsidRPr="00795F17">
              <w:rPr>
                <w:vertAlign w:val="superscript"/>
              </w:rPr>
              <w:t>3</w:t>
            </w:r>
            <w:r w:rsidR="00462DD4" w:rsidRPr="00795F17">
              <w:t xml:space="preserve"> na dobę wody przeznaczonej do spożycia przez ludzi</w:t>
            </w:r>
          </w:p>
        </w:tc>
      </w:tr>
      <w:tr w:rsidR="00462DD4" w:rsidRPr="00795F17" w14:paraId="4668E6A7" w14:textId="77777777" w:rsidTr="00F24872">
        <w:trPr>
          <w:trHeight w:val="454"/>
        </w:trPr>
        <w:tc>
          <w:tcPr>
            <w:tcW w:w="291" w:type="pct"/>
          </w:tcPr>
          <w:p w14:paraId="6125DB50" w14:textId="77777777" w:rsidR="00462DD4" w:rsidRPr="00795F17" w:rsidRDefault="00462DD4" w:rsidP="0065243A">
            <w:pPr>
              <w:pStyle w:val="Teksttabelisrodek"/>
            </w:pPr>
            <w:r w:rsidRPr="00795F17">
              <w:t>2.</w:t>
            </w:r>
          </w:p>
        </w:tc>
        <w:tc>
          <w:tcPr>
            <w:tcW w:w="4709" w:type="pct"/>
          </w:tcPr>
          <w:p w14:paraId="045B8779" w14:textId="654F2011" w:rsidR="00462DD4" w:rsidRPr="00795F17" w:rsidRDefault="00DF005E" w:rsidP="0044393D">
            <w:pPr>
              <w:pStyle w:val="Teksttabelilewy"/>
            </w:pPr>
            <w:r>
              <w:t>JCWP</w:t>
            </w:r>
            <w:r w:rsidR="00462DD4" w:rsidRPr="00795F17">
              <w:t xml:space="preserve"> przeznaczona jest do celów rekreacyjnych, w tym kąpieliskowych</w:t>
            </w:r>
          </w:p>
        </w:tc>
      </w:tr>
      <w:tr w:rsidR="00462DD4" w:rsidRPr="00795F17" w14:paraId="66CB5698" w14:textId="77777777" w:rsidTr="00F24872">
        <w:trPr>
          <w:trHeight w:val="454"/>
        </w:trPr>
        <w:tc>
          <w:tcPr>
            <w:tcW w:w="291" w:type="pct"/>
          </w:tcPr>
          <w:p w14:paraId="41656943" w14:textId="77777777" w:rsidR="00462DD4" w:rsidRPr="00795F17" w:rsidRDefault="00462DD4" w:rsidP="0065243A">
            <w:pPr>
              <w:pStyle w:val="Teksttabelisrodek"/>
            </w:pPr>
            <w:r w:rsidRPr="00795F17">
              <w:t>3.</w:t>
            </w:r>
          </w:p>
        </w:tc>
        <w:tc>
          <w:tcPr>
            <w:tcW w:w="4709" w:type="pct"/>
          </w:tcPr>
          <w:p w14:paraId="6A840BF3" w14:textId="12B40926" w:rsidR="00462DD4" w:rsidRPr="00795F17" w:rsidRDefault="00DF005E" w:rsidP="0044393D">
            <w:pPr>
              <w:pStyle w:val="Teksttabelilewy"/>
            </w:pPr>
            <w:r>
              <w:t>JCWP</w:t>
            </w:r>
            <w:r w:rsidR="00462DD4" w:rsidRPr="00795F17">
              <w:t xml:space="preserve"> jest zlokalizowana na obszarze przeznaczonym do ochrony gatunków zwierząt wodnych o</w:t>
            </w:r>
            <w:r w:rsidR="0075072A">
              <w:t> </w:t>
            </w:r>
            <w:r w:rsidR="00462DD4" w:rsidRPr="00795F17">
              <w:t>znaczeniu gospodarczym</w:t>
            </w:r>
          </w:p>
        </w:tc>
      </w:tr>
    </w:tbl>
    <w:p w14:paraId="21C605F3" w14:textId="00F36339" w:rsidR="00462DD4" w:rsidRPr="00795F17" w:rsidRDefault="00462DD4" w:rsidP="0044393D">
      <w:pPr>
        <w:pStyle w:val="rdo"/>
      </w:pPr>
      <w:r w:rsidRPr="00795F17">
        <w:t xml:space="preserve">Źródło: </w:t>
      </w:r>
      <w:r w:rsidR="00FD7248" w:rsidRPr="00795F17">
        <w:t>opracowanie własne</w:t>
      </w:r>
      <w:r w:rsidRPr="00795F17">
        <w:t xml:space="preserve"> na podstawie r.m.jcw</w:t>
      </w:r>
    </w:p>
    <w:p w14:paraId="37D06FE8" w14:textId="102AFCE7" w:rsidR="00462DD4" w:rsidRPr="00795F17" w:rsidRDefault="00462DD4" w:rsidP="0044393D">
      <w:r w:rsidRPr="00795F17">
        <w:t xml:space="preserve">Zgodnie z r.m.jcw monitoring obszarów </w:t>
      </w:r>
      <w:r w:rsidR="001920A1">
        <w:t>chronionych</w:t>
      </w:r>
      <w:r w:rsidRPr="00795F17">
        <w:t>, w zależności od typu ochrony, prowadzi się</w:t>
      </w:r>
      <w:r w:rsidR="00823FDF" w:rsidRPr="00795F17">
        <w:t> </w:t>
      </w:r>
      <w:r w:rsidRPr="00795F17">
        <w:t>z</w:t>
      </w:r>
      <w:r w:rsidR="00F24872" w:rsidRPr="00795F17">
        <w:t> </w:t>
      </w:r>
      <w:r w:rsidRPr="00795F17">
        <w:t>następującą częstotliwością:</w:t>
      </w:r>
    </w:p>
    <w:p w14:paraId="5261E821" w14:textId="46CD5D7D" w:rsidR="00462DD4" w:rsidRPr="00795F17" w:rsidRDefault="00462DD4" w:rsidP="002757E9">
      <w:pPr>
        <w:pStyle w:val="Numerowanie"/>
        <w:numPr>
          <w:ilvl w:val="0"/>
          <w:numId w:val="38"/>
        </w:numPr>
      </w:pPr>
      <w:r w:rsidRPr="00795F17">
        <w:t>monitoring wód powierzchniowych przeznaczonych do celów rekreacyjnych, w</w:t>
      </w:r>
      <w:r w:rsidR="001920A1">
        <w:t> </w:t>
      </w:r>
      <w:r w:rsidRPr="00795F17">
        <w:t xml:space="preserve">tym kąpieliskowych </w:t>
      </w:r>
      <w:r w:rsidR="003B2518">
        <w:t>–</w:t>
      </w:r>
      <w:r w:rsidRPr="00795F17">
        <w:t xml:space="preserve"> w zakresie i częstotliwości jak dla </w:t>
      </w:r>
      <w:r w:rsidR="00D826AA">
        <w:t>MO</w:t>
      </w:r>
      <w:r w:rsidRPr="00795F17">
        <w:t>, przy czym przyjmuje się, że właściwymi do monitorowania operacyjnego wskaźnikami biologicznymi są:</w:t>
      </w:r>
    </w:p>
    <w:p w14:paraId="11131375" w14:textId="31A3A97F" w:rsidR="00462DD4" w:rsidRPr="007B2488" w:rsidRDefault="00462DD4" w:rsidP="005635FD">
      <w:pPr>
        <w:pStyle w:val="Listapunktowana2"/>
        <w:numPr>
          <w:ilvl w:val="0"/>
          <w:numId w:val="112"/>
        </w:numPr>
      </w:pPr>
      <w:r w:rsidRPr="007B2488">
        <w:t xml:space="preserve">w przypadku rzek </w:t>
      </w:r>
      <w:r w:rsidR="003B2518">
        <w:t>–</w:t>
      </w:r>
      <w:r w:rsidRPr="007B2488">
        <w:t xml:space="preserve"> fitoplankton albo fitobentos,</w:t>
      </w:r>
    </w:p>
    <w:p w14:paraId="23DE1E56" w14:textId="6EAA3750" w:rsidR="00462DD4" w:rsidRPr="007B2488" w:rsidRDefault="00462DD4" w:rsidP="005635FD">
      <w:pPr>
        <w:pStyle w:val="Listapunktowana2"/>
        <w:numPr>
          <w:ilvl w:val="0"/>
          <w:numId w:val="112"/>
        </w:numPr>
      </w:pPr>
      <w:r w:rsidRPr="007B2488">
        <w:t xml:space="preserve">w przypadku jezior i zbiorników zaporowych </w:t>
      </w:r>
      <w:r w:rsidR="003B2518">
        <w:t>–</w:t>
      </w:r>
      <w:r w:rsidRPr="007B2488">
        <w:t xml:space="preserve"> fitoplankton.</w:t>
      </w:r>
    </w:p>
    <w:p w14:paraId="1B3E90E0" w14:textId="77777777" w:rsidR="00462DD4" w:rsidRPr="00795F17" w:rsidRDefault="00462DD4" w:rsidP="003B757F">
      <w:pPr>
        <w:pStyle w:val="Numerowanie"/>
        <w:numPr>
          <w:ilvl w:val="0"/>
          <w:numId w:val="0"/>
        </w:numPr>
        <w:ind w:left="284"/>
      </w:pPr>
      <w:r w:rsidRPr="00795F17">
        <w:t>Monitoring jest prowadzony w co najmniej jednym ppk monitoringu obszarów chronionych, zlokalizowanym powyżej lub wewnątrz badanego obszaru;</w:t>
      </w:r>
    </w:p>
    <w:p w14:paraId="4A48ADBA" w14:textId="3E8EA3AC" w:rsidR="00462DD4" w:rsidRPr="00795F17" w:rsidRDefault="00462DD4" w:rsidP="0044393D">
      <w:pPr>
        <w:pStyle w:val="Numerowanie"/>
      </w:pPr>
      <w:r w:rsidRPr="00795F17">
        <w:t xml:space="preserve">monitoring wód powierzchniowych występujących na obszarach wrażliwych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 </w:t>
      </w:r>
      <w:r w:rsidR="003B2518">
        <w:t>–</w:t>
      </w:r>
      <w:r w:rsidRPr="00795F17">
        <w:t xml:space="preserve"> w zakresie i</w:t>
      </w:r>
      <w:r w:rsidR="00FB6DC8" w:rsidRPr="00795F17">
        <w:t> </w:t>
      </w:r>
      <w:r w:rsidRPr="00795F17">
        <w:t xml:space="preserve">częstotliwości jak dla </w:t>
      </w:r>
      <w:r w:rsidR="00CB31BC">
        <w:t>MD</w:t>
      </w:r>
      <w:r w:rsidRPr="00795F17">
        <w:t xml:space="preserve"> lub </w:t>
      </w:r>
      <w:r w:rsidR="00CB31BC">
        <w:t>MO</w:t>
      </w:r>
      <w:r w:rsidR="00CB31BC" w:rsidRPr="00795F17">
        <w:t xml:space="preserve"> </w:t>
      </w:r>
      <w:r w:rsidRPr="00795F17">
        <w:t xml:space="preserve">w przypadku zagrożenia </w:t>
      </w:r>
      <w:r w:rsidR="00DF005E">
        <w:t>JCWP</w:t>
      </w:r>
      <w:r w:rsidRPr="00795F17">
        <w:t xml:space="preserve"> nie</w:t>
      </w:r>
      <w:r w:rsidR="0064673B" w:rsidRPr="00795F17">
        <w:t>osiągnięciem</w:t>
      </w:r>
      <w:r w:rsidRPr="00795F17">
        <w:t xml:space="preserve"> określonych dla nich celów środowiskowych;</w:t>
      </w:r>
    </w:p>
    <w:p w14:paraId="613D95EE" w14:textId="3B28547E" w:rsidR="00462DD4" w:rsidRDefault="00462DD4" w:rsidP="0044393D">
      <w:pPr>
        <w:pStyle w:val="Numerowanie"/>
      </w:pPr>
      <w:r w:rsidRPr="00795F17">
        <w:t xml:space="preserve">monitoring wód powierzchniowych występujących na obszarach przeznaczonych do ochrony siedlisk lub gatunków </w:t>
      </w:r>
      <w:r w:rsidR="003B2518">
        <w:t>–</w:t>
      </w:r>
      <w:r w:rsidRPr="00795F17">
        <w:t xml:space="preserve"> w zakresie i częstotliwości jak dla </w:t>
      </w:r>
      <w:r w:rsidR="00CB31BC">
        <w:t>MD</w:t>
      </w:r>
      <w:r w:rsidRPr="00795F17">
        <w:t xml:space="preserve"> lub</w:t>
      </w:r>
      <w:r w:rsidR="00823FDF" w:rsidRPr="00795F17">
        <w:t> </w:t>
      </w:r>
      <w:r w:rsidR="00CB31BC">
        <w:t>MO</w:t>
      </w:r>
      <w:r w:rsidR="00CB31BC" w:rsidRPr="00795F17">
        <w:t xml:space="preserve"> </w:t>
      </w:r>
      <w:r w:rsidRPr="00795F17">
        <w:t xml:space="preserve">w przypadku zagrożenia </w:t>
      </w:r>
      <w:r w:rsidR="00DF005E">
        <w:t>JCWP</w:t>
      </w:r>
      <w:r w:rsidRPr="00795F17">
        <w:t xml:space="preserve"> nie</w:t>
      </w:r>
      <w:r w:rsidR="0064673B" w:rsidRPr="00795F17">
        <w:t>osiągnięciem</w:t>
      </w:r>
      <w:r w:rsidRPr="00795F17">
        <w:t xml:space="preserve"> określonych dla nich celów środowiskowych</w:t>
      </w:r>
      <w:r w:rsidR="000515C9">
        <w:t>;</w:t>
      </w:r>
    </w:p>
    <w:p w14:paraId="317DD544" w14:textId="153E320E" w:rsidR="000515C9" w:rsidRPr="008368C5" w:rsidRDefault="000515C9" w:rsidP="000515C9">
      <w:pPr>
        <w:pStyle w:val="Numerowanie"/>
        <w:widowControl w:val="0"/>
        <w:tabs>
          <w:tab w:val="left" w:pos="567"/>
        </w:tabs>
        <w:autoSpaceDE w:val="0"/>
        <w:autoSpaceDN w:val="0"/>
        <w:adjustRightInd w:val="0"/>
        <w:ind w:right="113"/>
        <w:textAlignment w:val="baseline"/>
      </w:pPr>
      <w:r>
        <w:t xml:space="preserve">monitoring wód powierzchniowych wyznaczonych jako obszary przeznaczone do ochrony gatunków zwierząt wodnych o znaczeniu gospodarczym na potrzeby wypełnienia dodatkowych wymagań ustanowionych dla spełnienia celów środowiskowych dla tych obszarów chronionych prowadzi się w zakresie i z częstotliwości </w:t>
      </w:r>
      <w:r w:rsidR="00CB31BC">
        <w:t>MO</w:t>
      </w:r>
      <w:r>
        <w:t>.</w:t>
      </w:r>
    </w:p>
    <w:p w14:paraId="12ADB1BE" w14:textId="46C2121C" w:rsidR="00462DD4" w:rsidRPr="00795F17" w:rsidRDefault="00462DD4" w:rsidP="0044393D">
      <w:r w:rsidRPr="00795F17">
        <w:t xml:space="preserve">R.m.jcw nie precyzuje częstotliwości pomiarów monitoringowych wód powierzchniowych przeznaczonych do poboru wody na potrzeby zaopatrzenia ludności w wodę do spożycia, niemniej </w:t>
      </w:r>
      <w:r w:rsidR="00486BC7" w:rsidRPr="00795F17">
        <w:t xml:space="preserve">jednak </w:t>
      </w:r>
      <w:r w:rsidRPr="00795F17">
        <w:t xml:space="preserve">wielokrotnie przytacza potrzebę monitoringu takich wód. </w:t>
      </w:r>
      <w:r w:rsidR="00DF005E">
        <w:t>JCWP</w:t>
      </w:r>
      <w:r w:rsidRPr="00795F17">
        <w:t xml:space="preserve"> przeznaczone do poboru wody na</w:t>
      </w:r>
      <w:r w:rsidR="00F24872" w:rsidRPr="00795F17">
        <w:t> </w:t>
      </w:r>
      <w:r w:rsidRPr="00795F17">
        <w:t>potrzeby zaopatrzenia ludności w wodę do spożycia są przedmiotem monitorowania w</w:t>
      </w:r>
      <w:r w:rsidR="00F24872" w:rsidRPr="00795F17">
        <w:t> </w:t>
      </w:r>
      <w:r w:rsidRPr="00795F17">
        <w:t xml:space="preserve">reprezentatywnym punkcie monitorowania stanu lub potencjału ekologicznego i stanu chemicznego w ramach </w:t>
      </w:r>
      <w:r w:rsidR="005133B1">
        <w:t>MD</w:t>
      </w:r>
      <w:r w:rsidRPr="00795F17">
        <w:t xml:space="preserve"> i </w:t>
      </w:r>
      <w:r w:rsidR="005133B1">
        <w:t>MO</w:t>
      </w:r>
      <w:r w:rsidRPr="00795F17">
        <w:t>. Przyjmuje się, że właściwymi do</w:t>
      </w:r>
      <w:r w:rsidR="00F24872" w:rsidRPr="00795F17">
        <w:t> </w:t>
      </w:r>
      <w:r w:rsidRPr="00795F17">
        <w:t>monitorowania operacyjnego wskaźnikami biologicznymi są w przypadku rzek fitoplankton albo</w:t>
      </w:r>
      <w:r w:rsidR="00F84F07">
        <w:t> </w:t>
      </w:r>
      <w:r w:rsidRPr="00795F17">
        <w:t xml:space="preserve">fitobentos, a w przypadku jezior i zbiorników zaporowych </w:t>
      </w:r>
      <w:r w:rsidR="003B2518">
        <w:t>–</w:t>
      </w:r>
      <w:r w:rsidRPr="00795F17">
        <w:t xml:space="preserve"> fitoplankton. Zakres monitoringu wód powierzchniowych przeznaczonych do poboru wody na potrzeby zaopatrzenia ludności w wodę do</w:t>
      </w:r>
      <w:r w:rsidR="00F24872" w:rsidRPr="00795F17">
        <w:t> </w:t>
      </w:r>
      <w:r w:rsidRPr="00795F17">
        <w:t xml:space="preserve">spożycia wynika z przepisów wykonawczych wydanych na podstawie art. 74 ust. 1 pr.w., które określają wymagania jakościowe dla tych wód, stanowiące zgodnie z art. 349 ust. 17 pr.w. wymagania dodatkowe dla obszarów chronionych </w:t>
      </w:r>
      <w:r w:rsidR="003B2518">
        <w:t>–</w:t>
      </w:r>
      <w:r w:rsidRPr="00795F17">
        <w:t xml:space="preserve"> wód powierzchniowych przeznaczonych do poboru wody na potrzeby zaopatrzenia ludności w wodę do spożycia.</w:t>
      </w:r>
    </w:p>
    <w:p w14:paraId="2C88772E" w14:textId="77777777" w:rsidR="00462DD4" w:rsidRPr="00795F17" w:rsidRDefault="00462DD4" w:rsidP="00A22ED2">
      <w:pPr>
        <w:pStyle w:val="Nagwek3"/>
      </w:pPr>
      <w:bookmarkStart w:id="136" w:name="_Toc105512642"/>
      <w:r w:rsidRPr="00795F17">
        <w:t>Mapa sieci monitoringu wód powierzchniowych wraz z prezentacją programów monitoringowych</w:t>
      </w:r>
      <w:bookmarkEnd w:id="136"/>
    </w:p>
    <w:p w14:paraId="0A50D92F" w14:textId="0C92E0B1" w:rsidR="00462DD4" w:rsidRPr="00795F17" w:rsidRDefault="00462DD4" w:rsidP="0044393D">
      <w:pPr>
        <w:pStyle w:val="Nagwek4"/>
      </w:pPr>
      <w:r w:rsidRPr="00795F17">
        <w:t>Mapa sieci monitoringu na obszarze dorzecza Odry w cyklu planistycznym 2016</w:t>
      </w:r>
      <w:r w:rsidR="00D94003">
        <w:t>–</w:t>
      </w:r>
      <w:r w:rsidRPr="00795F17">
        <w:t>2021</w:t>
      </w:r>
    </w:p>
    <w:p w14:paraId="5AA89FC3" w14:textId="3A99EF4F" w:rsidR="00462DD4" w:rsidRPr="00795F17" w:rsidRDefault="00462DD4" w:rsidP="0044393D">
      <w:r w:rsidRPr="00795F17">
        <w:t>W cyklu planistycznym trwającym od 2016</w:t>
      </w:r>
      <w:r w:rsidR="00C13791" w:rsidRPr="00795F17">
        <w:t> r.</w:t>
      </w:r>
      <w:r w:rsidRPr="00795F17">
        <w:t xml:space="preserve"> do 2021</w:t>
      </w:r>
      <w:r w:rsidR="00C13791" w:rsidRPr="00795F17">
        <w:t> </w:t>
      </w:r>
      <w:r w:rsidRPr="00795F17">
        <w:t>r. zaplanowano do monitoringu 2</w:t>
      </w:r>
      <w:r w:rsidR="00406F9D" w:rsidRPr="00795F17">
        <w:t> </w:t>
      </w:r>
      <w:r w:rsidRPr="00795F17">
        <w:t xml:space="preserve">903 </w:t>
      </w:r>
      <w:r w:rsidR="00DF005E">
        <w:t>JCWP</w:t>
      </w:r>
      <w:r w:rsidRPr="00795F17">
        <w:t xml:space="preserve"> znajdując</w:t>
      </w:r>
      <w:r w:rsidR="009858A1" w:rsidRPr="00795F17">
        <w:t>e</w:t>
      </w:r>
      <w:r w:rsidRPr="00795F17">
        <w:t xml:space="preserve"> się na obszarze Polski, w układzie planistycznym obowiązującym w tym okresie. Plan monitoringu 2016</w:t>
      </w:r>
      <w:r w:rsidR="003B2518">
        <w:t>–</w:t>
      </w:r>
      <w:r w:rsidRPr="00795F17">
        <w:t xml:space="preserve">2020 przewidywał wzrost liczby przebadanych </w:t>
      </w:r>
      <w:r w:rsidR="00DF005E">
        <w:t>JCWP</w:t>
      </w:r>
      <w:r w:rsidRPr="00795F17">
        <w:t xml:space="preserve"> w stosunku do planu z</w:t>
      </w:r>
      <w:r w:rsidR="001168D3" w:rsidRPr="00795F17">
        <w:t> </w:t>
      </w:r>
      <w:r w:rsidRPr="00795F17">
        <w:t>poprzedniego cyklu (2010</w:t>
      </w:r>
      <w:r w:rsidR="003B2518">
        <w:t>–</w:t>
      </w:r>
      <w:r w:rsidRPr="00795F17">
        <w:t>2015) o 16</w:t>
      </w:r>
      <w:r w:rsidR="00F152C4">
        <w:t xml:space="preserve"> </w:t>
      </w:r>
      <w:r w:rsidRPr="00795F17">
        <w:t>%. Wzrost liczby planowanych do monitoringu części wód dotyczył zarówno jezior (22% wzrostu w stosunku do planu monitoringu na lata 2010</w:t>
      </w:r>
      <w:r w:rsidR="003B2518">
        <w:t>–</w:t>
      </w:r>
      <w:r w:rsidRPr="00795F17">
        <w:t>2015), jak i rzek (</w:t>
      </w:r>
      <w:r w:rsidR="005A147E" w:rsidRPr="00795F17">
        <w:t xml:space="preserve">o </w:t>
      </w:r>
      <w:r w:rsidRPr="00795F17">
        <w:t xml:space="preserve">15%). W przeznaczonych do badań </w:t>
      </w:r>
      <w:r w:rsidR="00DF005E">
        <w:t>JCWP</w:t>
      </w:r>
      <w:r w:rsidRPr="00795F17">
        <w:t xml:space="preserve"> zaplanowano większą niż w ubiegłym sześcioletnim cyklu liczbę realizacji programu </w:t>
      </w:r>
      <w:r w:rsidR="00287DA6">
        <w:t>MD</w:t>
      </w:r>
      <w:r w:rsidRPr="00795F17">
        <w:t xml:space="preserve"> (o 28%), </w:t>
      </w:r>
      <w:r w:rsidR="00287DA6">
        <w:t>MO</w:t>
      </w:r>
      <w:r w:rsidR="00287DA6" w:rsidRPr="00795F17">
        <w:t xml:space="preserve"> </w:t>
      </w:r>
      <w:r w:rsidRPr="00795F17">
        <w:t>(</w:t>
      </w:r>
      <w:r w:rsidR="005A147E" w:rsidRPr="00795F17">
        <w:t xml:space="preserve">o </w:t>
      </w:r>
      <w:r w:rsidRPr="00795F17">
        <w:t>18%) oraz</w:t>
      </w:r>
      <w:r w:rsidR="00F84F07">
        <w:t> </w:t>
      </w:r>
      <w:r w:rsidRPr="00795F17">
        <w:t>monitoringu obszarów chronionych (</w:t>
      </w:r>
      <w:r w:rsidR="005A147E" w:rsidRPr="00795F17">
        <w:t xml:space="preserve">o </w:t>
      </w:r>
      <w:r w:rsidRPr="00795F17">
        <w:t>8%).</w:t>
      </w:r>
    </w:p>
    <w:p w14:paraId="1205E4D1" w14:textId="3E7E6CD6" w:rsidR="00462DD4" w:rsidRPr="00795F17" w:rsidRDefault="00462DD4" w:rsidP="0044393D">
      <w:r w:rsidRPr="00795F17">
        <w:t>W ramach sieci na lata 2016</w:t>
      </w:r>
      <w:r w:rsidR="003B2518">
        <w:t>–</w:t>
      </w:r>
      <w:r w:rsidRPr="00795F17">
        <w:t>2021 w obszarze dorzecza Odry zaplanowano monitoring 896 spośród 1</w:t>
      </w:r>
      <w:r w:rsidR="00B80865" w:rsidRPr="00795F17">
        <w:t> </w:t>
      </w:r>
      <w:r w:rsidRPr="00795F17">
        <w:t xml:space="preserve">735 </w:t>
      </w:r>
      <w:r w:rsidR="00DF005E">
        <w:t>JCWP</w:t>
      </w:r>
      <w:r w:rsidRPr="00795F17">
        <w:t xml:space="preserve"> RW (52% </w:t>
      </w:r>
      <w:r w:rsidR="00DF005E">
        <w:t>JCWP</w:t>
      </w:r>
      <w:r w:rsidRPr="00795F17">
        <w:t xml:space="preserve"> RW objętych planowo przynajmniej jednym rodzajem monitoringu). </w:t>
      </w:r>
      <w:r w:rsidR="00320892">
        <w:t>MD</w:t>
      </w:r>
      <w:r w:rsidRPr="00795F17">
        <w:t xml:space="preserve"> zaplanowano dla 32% </w:t>
      </w:r>
      <w:r w:rsidR="00DF005E">
        <w:t>JCWP</w:t>
      </w:r>
      <w:r w:rsidRPr="00795F17">
        <w:t xml:space="preserve"> RW monitorowanych, zaś monitoring </w:t>
      </w:r>
      <w:r w:rsidR="006C731A">
        <w:t>operacyjny</w:t>
      </w:r>
      <w:r w:rsidR="006C731A" w:rsidRPr="00795F17">
        <w:t xml:space="preserve"> </w:t>
      </w:r>
      <w:r w:rsidRPr="00795F17">
        <w:t xml:space="preserve">objął wszystkie (100%) monitorowane </w:t>
      </w:r>
      <w:r w:rsidR="00DF005E">
        <w:t>JCWP</w:t>
      </w:r>
      <w:r w:rsidRPr="00795F17">
        <w:t xml:space="preserve"> RW. </w:t>
      </w:r>
    </w:p>
    <w:p w14:paraId="0727EBC3" w14:textId="799E7D0A" w:rsidR="00462DD4" w:rsidRPr="00795F17" w:rsidRDefault="00462DD4" w:rsidP="0044393D">
      <w:r w:rsidRPr="00795F17">
        <w:t xml:space="preserve">Na potrzeby monitoringu jezior w obszarze dorzecza Odry przewidziano monitorowanie 240 spośród 422 </w:t>
      </w:r>
      <w:r w:rsidR="00DF005E">
        <w:t>JCWP</w:t>
      </w:r>
      <w:r w:rsidRPr="00795F17">
        <w:t xml:space="preserve"> LW, co stanowi ok</w:t>
      </w:r>
      <w:r w:rsidR="005A4B31">
        <w:t>oło</w:t>
      </w:r>
      <w:r w:rsidRPr="00795F17">
        <w:t xml:space="preserve"> 57% wszystkich </w:t>
      </w:r>
      <w:r w:rsidR="00DF005E">
        <w:t>JCWP</w:t>
      </w:r>
      <w:r w:rsidRPr="00795F17">
        <w:t xml:space="preserve"> LW. Monitoringiem diagnostycznym, podobnie jak</w:t>
      </w:r>
      <w:r w:rsidR="00823FDF" w:rsidRPr="00795F17">
        <w:t> </w:t>
      </w:r>
      <w:r w:rsidRPr="00795F17">
        <w:t xml:space="preserve">monitoringiem </w:t>
      </w:r>
      <w:r w:rsidR="00C20218">
        <w:t>op</w:t>
      </w:r>
      <w:r w:rsidR="00157EE5">
        <w:t>eracyjnym</w:t>
      </w:r>
      <w:r w:rsidR="00C20218" w:rsidRPr="00795F17">
        <w:t xml:space="preserve"> </w:t>
      </w:r>
      <w:r w:rsidRPr="00795F17">
        <w:t xml:space="preserve">objęto po 78% wszystkich monitorowanych </w:t>
      </w:r>
      <w:r w:rsidR="00DF005E">
        <w:t>JCWP</w:t>
      </w:r>
      <w:r w:rsidRPr="00795F17">
        <w:t xml:space="preserve"> LW.</w:t>
      </w:r>
    </w:p>
    <w:p w14:paraId="218C5668" w14:textId="1EE5615B" w:rsidR="00462DD4" w:rsidRPr="00795F17" w:rsidRDefault="00462DD4" w:rsidP="0044393D">
      <w:r w:rsidRPr="00795F17">
        <w:t xml:space="preserve">W przypadku </w:t>
      </w:r>
      <w:r w:rsidR="00DF005E">
        <w:t>JCWP</w:t>
      </w:r>
      <w:r w:rsidRPr="00795F17">
        <w:t xml:space="preserve"> TW i CW objęto monitoringiem wszystkie </w:t>
      </w:r>
      <w:r w:rsidR="00DF005E">
        <w:t>JCWP</w:t>
      </w:r>
      <w:r w:rsidRPr="00795F17">
        <w:t>. Dla każdej z nich</w:t>
      </w:r>
      <w:r w:rsidR="001666F3">
        <w:t>,</w:t>
      </w:r>
      <w:r w:rsidRPr="00795F17">
        <w:t xml:space="preserve"> tj. dla 4 </w:t>
      </w:r>
      <w:r w:rsidR="00DF005E">
        <w:t>JCWP</w:t>
      </w:r>
      <w:r w:rsidRPr="00795F17">
        <w:t xml:space="preserve"> TW oraz 4 </w:t>
      </w:r>
      <w:r w:rsidR="00DF005E">
        <w:t>JCWP</w:t>
      </w:r>
      <w:r w:rsidRPr="00795F17">
        <w:t xml:space="preserve"> CW zaprojektowano zarówno </w:t>
      </w:r>
      <w:r w:rsidR="00171CEA">
        <w:t>MD</w:t>
      </w:r>
      <w:r w:rsidRPr="00795F17">
        <w:t xml:space="preserve">, jak i </w:t>
      </w:r>
      <w:r w:rsidR="00171CEA">
        <w:t>MO</w:t>
      </w:r>
      <w:r w:rsidRPr="00795F17">
        <w:t>.</w:t>
      </w:r>
    </w:p>
    <w:p w14:paraId="1FDBA0F6" w14:textId="3698FC8C" w:rsidR="00462DD4" w:rsidRPr="00795F17" w:rsidRDefault="00462DD4" w:rsidP="0044393D">
      <w:r w:rsidRPr="00795F17">
        <w:t xml:space="preserve">Działania podjęte w zakresie monitoringu </w:t>
      </w:r>
      <w:r w:rsidR="00DF005E">
        <w:t>JCWP</w:t>
      </w:r>
      <w:r w:rsidRPr="00795F17">
        <w:t xml:space="preserve"> zapewniły dostępność danych monitoringowych o</w:t>
      </w:r>
      <w:r w:rsidR="00F24872" w:rsidRPr="00795F17">
        <w:t> </w:t>
      </w:r>
      <w:r w:rsidRPr="00795F17">
        <w:t>zdecydowanie wyższym poziomie kompletności niż w poprzednim cyklu planistycznym, co</w:t>
      </w:r>
      <w:r w:rsidR="00F24872" w:rsidRPr="00795F17">
        <w:t> </w:t>
      </w:r>
      <w:r w:rsidRPr="00795F17">
        <w:t xml:space="preserve">bezpośrednio przełożyło się na wyższy poziom ufności ocen (niższe prawdopodobieństwo błędnej oceny) oraz uzyskanie oceny o odpowiednim poziomie ufności dla większej liczby </w:t>
      </w:r>
      <w:r w:rsidR="00DF005E">
        <w:t>JCWP</w:t>
      </w:r>
      <w:r w:rsidRPr="00795F17">
        <w:t>.</w:t>
      </w:r>
    </w:p>
    <w:p w14:paraId="47BAB44A" w14:textId="4BF63DCC" w:rsidR="00462DD4" w:rsidRPr="00795F17" w:rsidRDefault="00462DD4" w:rsidP="0044393D">
      <w:pPr>
        <w:pStyle w:val="Nagwek4"/>
      </w:pPr>
      <w:r w:rsidRPr="00795F17">
        <w:t>Program sieci monitoringu na obszarze dorzecza Odry w cyklu planistycznym 2022</w:t>
      </w:r>
      <w:r w:rsidR="003B2518">
        <w:t>–</w:t>
      </w:r>
      <w:r w:rsidRPr="00795F17">
        <w:t>2027</w:t>
      </w:r>
    </w:p>
    <w:p w14:paraId="60A35A31" w14:textId="515E15D3" w:rsidR="00462DD4" w:rsidRPr="00795F17" w:rsidRDefault="00462DD4" w:rsidP="0044393D">
      <w:r w:rsidRPr="00795F17">
        <w:t>Program sieci monitoringu na obszarze dorzecza Odry w cyklu planistycznym 2022</w:t>
      </w:r>
      <w:r w:rsidR="003B2518">
        <w:t>–</w:t>
      </w:r>
      <w:r w:rsidRPr="00795F17">
        <w:t xml:space="preserve">2027 uwzględnia zmiany związane z ustaleniem nowego układu jednostek planistycznych </w:t>
      </w:r>
      <w:r w:rsidR="00DF005E">
        <w:t>JCWP</w:t>
      </w:r>
      <w:r w:rsidRPr="00795F17">
        <w:t>, zmiany typologii oraz</w:t>
      </w:r>
      <w:r w:rsidR="00F84F07">
        <w:t> </w:t>
      </w:r>
      <w:r w:rsidRPr="00795F17">
        <w:t>zmiany w statusach części wód.</w:t>
      </w:r>
    </w:p>
    <w:p w14:paraId="75C7E56F" w14:textId="1B1CFE6B" w:rsidR="00462DD4" w:rsidRPr="00795F17" w:rsidRDefault="00462DD4" w:rsidP="0044393D">
      <w:r w:rsidRPr="00795F17">
        <w:t xml:space="preserve">Sieć ppk i typów monitoringu w wodach powierzchniowych została zaplanowana ze wskazaniem SCW i SZCW oraz </w:t>
      </w:r>
      <w:r w:rsidR="00DF005E">
        <w:t>JCWP</w:t>
      </w:r>
      <w:r w:rsidRPr="00795F17">
        <w:t xml:space="preserve"> zagrożonych nieosiągnięciem celów środowiskowych, obejmującym następujące kategorie wód: </w:t>
      </w:r>
    </w:p>
    <w:p w14:paraId="10B9D926" w14:textId="47BB073F" w:rsidR="00462DD4" w:rsidRPr="00795F17" w:rsidRDefault="00DF005E" w:rsidP="005635FD">
      <w:pPr>
        <w:pStyle w:val="Listapunktowana2"/>
        <w:numPr>
          <w:ilvl w:val="0"/>
          <w:numId w:val="111"/>
        </w:numPr>
      </w:pPr>
      <w:r>
        <w:t>JCWP</w:t>
      </w:r>
      <w:r w:rsidR="00462DD4" w:rsidRPr="00795F17">
        <w:t xml:space="preserve"> RW wraz z </w:t>
      </w:r>
      <w:r>
        <w:t>JCWP</w:t>
      </w:r>
      <w:r w:rsidR="00462DD4" w:rsidRPr="00795F17">
        <w:t xml:space="preserve"> RWr,</w:t>
      </w:r>
    </w:p>
    <w:p w14:paraId="44CC4A2A" w14:textId="60918E9F" w:rsidR="00462DD4" w:rsidRPr="00795F17" w:rsidRDefault="00DF005E" w:rsidP="005635FD">
      <w:pPr>
        <w:pStyle w:val="Listapunktowana2"/>
        <w:numPr>
          <w:ilvl w:val="0"/>
          <w:numId w:val="111"/>
        </w:numPr>
      </w:pPr>
      <w:r>
        <w:t>JCWP</w:t>
      </w:r>
      <w:r w:rsidR="00462DD4" w:rsidRPr="00795F17">
        <w:t xml:space="preserve"> LW,</w:t>
      </w:r>
    </w:p>
    <w:p w14:paraId="6C461269" w14:textId="232C3DA7" w:rsidR="00462DD4" w:rsidRPr="00795F17" w:rsidRDefault="00DF005E" w:rsidP="005635FD">
      <w:pPr>
        <w:pStyle w:val="Listapunktowana2"/>
        <w:numPr>
          <w:ilvl w:val="0"/>
          <w:numId w:val="111"/>
        </w:numPr>
      </w:pPr>
      <w:r>
        <w:t>JCWP</w:t>
      </w:r>
      <w:r w:rsidR="00462DD4" w:rsidRPr="00795F17">
        <w:t xml:space="preserve"> TW,</w:t>
      </w:r>
    </w:p>
    <w:p w14:paraId="573D2839" w14:textId="60075BFC" w:rsidR="00462DD4" w:rsidRPr="00795F17" w:rsidRDefault="00DF005E" w:rsidP="005635FD">
      <w:pPr>
        <w:pStyle w:val="Listapunktowana2"/>
        <w:numPr>
          <w:ilvl w:val="0"/>
          <w:numId w:val="111"/>
        </w:numPr>
      </w:pPr>
      <w:r>
        <w:t>JCWP</w:t>
      </w:r>
      <w:r w:rsidR="00462DD4" w:rsidRPr="00795F17">
        <w:t xml:space="preserve"> CW.</w:t>
      </w:r>
    </w:p>
    <w:p w14:paraId="603D0A11" w14:textId="61D7E31C" w:rsidR="00462DD4" w:rsidRPr="00795F17" w:rsidRDefault="00462DD4" w:rsidP="0044393D">
      <w:r w:rsidRPr="00795F17">
        <w:t>Podstawą do przygotowania projektu sieci punktów i programów monitoringu był wykaz, o którym mowa w art. 317 ust. 1 pkt 1 pr.w., i dokumentacja planistyczna określająca identyfikację znaczących oddziaływań antropogenicznych wraz z oceną ich wpływu na stan wód powierzchniowych oraz podziemnych (art. 317 ust. 1 pkt 3 pr.w.), a także rejestr wykazów obszarów chronionych, o których mowa w art. 317 ust. 4 pr.w.</w:t>
      </w:r>
    </w:p>
    <w:p w14:paraId="20B81594" w14:textId="6D61D7A7" w:rsidR="00462DD4" w:rsidRPr="00795F17" w:rsidRDefault="00462DD4" w:rsidP="0044393D">
      <w:pPr>
        <w:pStyle w:val="Nagwek5"/>
      </w:pPr>
      <w:r w:rsidRPr="00795F17">
        <w:t xml:space="preserve">Program monitoringu </w:t>
      </w:r>
      <w:r w:rsidR="00DF005E">
        <w:t>JCWP</w:t>
      </w:r>
      <w:r w:rsidRPr="00795F17">
        <w:t xml:space="preserve"> RW i </w:t>
      </w:r>
      <w:r w:rsidR="00DF005E">
        <w:t>JCWP</w:t>
      </w:r>
      <w:r w:rsidRPr="00795F17">
        <w:t xml:space="preserve"> RWr</w:t>
      </w:r>
    </w:p>
    <w:p w14:paraId="51209BB7" w14:textId="51980910" w:rsidR="00462DD4" w:rsidRPr="00795F17" w:rsidRDefault="00462DD4" w:rsidP="0044393D">
      <w:r w:rsidRPr="00795F17">
        <w:t>W ramach sieci monitoringu na lata 2022</w:t>
      </w:r>
      <w:r w:rsidR="00D94003">
        <w:t>–</w:t>
      </w:r>
      <w:r w:rsidRPr="00795F17">
        <w:t xml:space="preserve">2027 </w:t>
      </w:r>
      <w:r w:rsidR="005A4B31">
        <w:t>na</w:t>
      </w:r>
      <w:r w:rsidRPr="00795F17">
        <w:t xml:space="preserve"> obszarze dorzecza Odry zaplanowano łącznie 1</w:t>
      </w:r>
      <w:r w:rsidR="00A44C2E" w:rsidRPr="00795F17">
        <w:t> </w:t>
      </w:r>
      <w:r w:rsidRPr="00795F17">
        <w:t>267 ppk monitorujących 1</w:t>
      </w:r>
      <w:r w:rsidR="00A44C2E" w:rsidRPr="00795F17">
        <w:t> </w:t>
      </w:r>
      <w:r w:rsidRPr="00795F17">
        <w:t>257 spośród 1</w:t>
      </w:r>
      <w:r w:rsidR="00A44C2E" w:rsidRPr="00795F17">
        <w:t> </w:t>
      </w:r>
      <w:r w:rsidRPr="00795F17">
        <w:t xml:space="preserve">291 </w:t>
      </w:r>
      <w:r w:rsidR="00DF005E">
        <w:t>JCWP</w:t>
      </w:r>
      <w:r w:rsidRPr="00795F17">
        <w:t xml:space="preserve"> RW, w tym </w:t>
      </w:r>
      <w:r w:rsidR="00DF005E">
        <w:t>JCWP</w:t>
      </w:r>
      <w:r w:rsidRPr="00795F17">
        <w:t xml:space="preserve"> RWr, co oznacza, że 97,4% </w:t>
      </w:r>
      <w:r w:rsidR="00DF005E">
        <w:t>JCWP</w:t>
      </w:r>
      <w:r w:rsidRPr="00795F17">
        <w:t xml:space="preserve"> RW i RWr powinno zostać objętych przynajmniej jednym rodzajem monitoringu</w:t>
      </w:r>
      <w:r w:rsidR="0012119D" w:rsidRPr="00795F17">
        <w:t xml:space="preserve"> (wykres 5-1)</w:t>
      </w:r>
      <w:r w:rsidRPr="00795F17">
        <w:t>. Tym samym, w</w:t>
      </w:r>
      <w:r w:rsidR="00633AAC" w:rsidRPr="00795F17">
        <w:t> </w:t>
      </w:r>
      <w:r w:rsidRPr="00795F17">
        <w:t>porównaniu do zaplanowanej na obszarze dorzecza Odry sieci monitoringu w aPGW (cykl</w:t>
      </w:r>
      <w:r w:rsidR="003B263C" w:rsidRPr="00795F17">
        <w:t> </w:t>
      </w:r>
      <w:r w:rsidRPr="00795F17">
        <w:t>planistyczny 2016</w:t>
      </w:r>
      <w:r w:rsidR="003B2518">
        <w:t>–</w:t>
      </w:r>
      <w:r w:rsidRPr="00795F17">
        <w:t xml:space="preserve">2021) nastąpił wzrost liczby </w:t>
      </w:r>
      <w:r w:rsidR="00DF005E">
        <w:t>JCWP</w:t>
      </w:r>
      <w:r w:rsidRPr="00795F17">
        <w:t xml:space="preserve"> planowanych do objęcia monitoringiem (w</w:t>
      </w:r>
      <w:r w:rsidR="00633AAC" w:rsidRPr="00795F17">
        <w:t> </w:t>
      </w:r>
      <w:r w:rsidRPr="00795F17">
        <w:t xml:space="preserve">stosunku do ogólnej liczby </w:t>
      </w:r>
      <w:r w:rsidR="00DF005E">
        <w:t>JCWP</w:t>
      </w:r>
      <w:r w:rsidRPr="00795F17">
        <w:t xml:space="preserve"> RW i RWr) o 45,7%. W skali kraju monitoringiem na lata 2022</w:t>
      </w:r>
      <w:r w:rsidR="003B2518">
        <w:t>–</w:t>
      </w:r>
      <w:r w:rsidRPr="00795F17">
        <w:t xml:space="preserve">2027 będzie objętych 96,9% </w:t>
      </w:r>
      <w:r w:rsidR="00DF005E">
        <w:t>JCWP</w:t>
      </w:r>
      <w:r w:rsidRPr="00795F17">
        <w:t xml:space="preserve"> RW i RWr.</w:t>
      </w:r>
    </w:p>
    <w:p w14:paraId="6B02AA39" w14:textId="22F67DDE" w:rsidR="00462DD4" w:rsidRPr="00795F17" w:rsidRDefault="00462DD4" w:rsidP="0044393D">
      <w:r w:rsidRPr="00795F17">
        <w:t xml:space="preserve">Planowana sieć monitoringu </w:t>
      </w:r>
      <w:r w:rsidR="00DF005E">
        <w:t>JCWP</w:t>
      </w:r>
      <w:r w:rsidRPr="00795F17">
        <w:t xml:space="preserve"> RW i RWr na lata 2022</w:t>
      </w:r>
      <w:r w:rsidR="003B2518">
        <w:t>–</w:t>
      </w:r>
      <w:r w:rsidRPr="00795F17">
        <w:t>2027 przedstawiona została na załącznik</w:t>
      </w:r>
      <w:r w:rsidR="00D73450" w:rsidRPr="00795F17">
        <w:t>ach</w:t>
      </w:r>
      <w:r w:rsidRPr="00795F17">
        <w:t xml:space="preserve"> graficzny</w:t>
      </w:r>
      <w:r w:rsidR="00D73450" w:rsidRPr="00795F17">
        <w:t>ch</w:t>
      </w:r>
      <w:r w:rsidRPr="00795F17">
        <w:t xml:space="preserve"> nr </w:t>
      </w:r>
      <w:r w:rsidR="00C05FF3">
        <w:t>11</w:t>
      </w:r>
      <w:r w:rsidR="00D73450" w:rsidRPr="00795F17">
        <w:t xml:space="preserve"> i </w:t>
      </w:r>
      <w:r w:rsidR="00C05FF3">
        <w:t>12</w:t>
      </w:r>
      <w:r w:rsidRPr="00795F17">
        <w:t xml:space="preserve">. Informacja o odpowiednim dla danej </w:t>
      </w:r>
      <w:r w:rsidR="00DF005E">
        <w:t>JCWP</w:t>
      </w:r>
      <w:r w:rsidRPr="00795F17">
        <w:t xml:space="preserve"> ppk znajduje się w załączniku nr 1 (Zestawienie główne).</w:t>
      </w:r>
    </w:p>
    <w:p w14:paraId="60493861" w14:textId="460B2538" w:rsidR="00462DD4" w:rsidRPr="00795F17" w:rsidRDefault="00462DD4" w:rsidP="0044393D">
      <w:r w:rsidRPr="00795F17">
        <w:t xml:space="preserve">Informacje o </w:t>
      </w:r>
      <w:r w:rsidR="00DF005E">
        <w:t>JCWP</w:t>
      </w:r>
      <w:r w:rsidRPr="00795F17">
        <w:t xml:space="preserve"> RW wraz z </w:t>
      </w:r>
      <w:r w:rsidR="00DF005E">
        <w:t>JCWP</w:t>
      </w:r>
      <w:r w:rsidRPr="00795F17">
        <w:t xml:space="preserve"> RWr planowanych do MD, MO i/lub MB w latach 2022</w:t>
      </w:r>
      <w:r w:rsidR="003B2518">
        <w:t>–</w:t>
      </w:r>
      <w:r w:rsidRPr="00795F17">
        <w:t>2027 w obszarze dorzecza Odry oraz</w:t>
      </w:r>
      <w:r w:rsidR="00F84F07">
        <w:t> </w:t>
      </w:r>
      <w:r w:rsidRPr="00795F17">
        <w:t>w</w:t>
      </w:r>
      <w:r w:rsidR="00F24872" w:rsidRPr="00795F17">
        <w:t> </w:t>
      </w:r>
      <w:r w:rsidRPr="00795F17">
        <w:t xml:space="preserve">poszczególnych regionach wodnych zostały przedstawione w tabelach </w:t>
      </w:r>
      <w:r w:rsidR="001168D3" w:rsidRPr="00795F17">
        <w:t>5-4 i 5-5.</w:t>
      </w:r>
    </w:p>
    <w:p w14:paraId="26796FCA" w14:textId="30F3635F" w:rsidR="00B54ACD" w:rsidRPr="00795F17" w:rsidRDefault="00462DD4" w:rsidP="004D7705">
      <w:pPr>
        <w:pStyle w:val="Tabela"/>
      </w:pPr>
      <w:bookmarkStart w:id="137" w:name="_Toc66341859"/>
      <w:bookmarkStart w:id="138" w:name="_Toc105512768"/>
      <w:r w:rsidRPr="00795F17">
        <w:t xml:space="preserve">Tabela </w:t>
      </w:r>
      <w:fldSimple w:instr=" STYLEREF 1 \s ">
        <w:r w:rsidR="001F774D">
          <w:rPr>
            <w:noProof/>
          </w:rPr>
          <w:t>5</w:t>
        </w:r>
      </w:fldSimple>
      <w:r w:rsidR="00BB3B21" w:rsidRPr="00795F17">
        <w:noBreakHyphen/>
      </w:r>
      <w:fldSimple w:instr=" SEQ Tabela \* ARABIC \s 1 ">
        <w:r w:rsidR="001F774D">
          <w:rPr>
            <w:noProof/>
          </w:rPr>
          <w:t>4</w:t>
        </w:r>
      </w:fldSimple>
      <w:r w:rsidR="00BA11D4">
        <w:rPr>
          <w:noProof/>
        </w:rPr>
        <w:t>.</w:t>
      </w:r>
      <w:r w:rsidRPr="00795F17">
        <w:tab/>
        <w:t xml:space="preserve">Liczba </w:t>
      </w:r>
      <w:r w:rsidR="00DF005E">
        <w:t>JCWP</w:t>
      </w:r>
      <w:r w:rsidRPr="00795F17">
        <w:t xml:space="preserve"> RW i RWr planowanych do monitoringu w stosunku do całkowitej liczby </w:t>
      </w:r>
      <w:r w:rsidR="00DF005E">
        <w:t>JCWP</w:t>
      </w:r>
      <w:r w:rsidRPr="00795F17">
        <w:t xml:space="preserve"> </w:t>
      </w:r>
      <w:r w:rsidR="00877D3F">
        <w:t>na</w:t>
      </w:r>
      <w:r w:rsidR="00B54ACD" w:rsidRPr="00795F17">
        <w:t> </w:t>
      </w:r>
      <w:r w:rsidRPr="00795F17">
        <w:t>obszarze dorzecza Odry (porównanie cyklów planistycznych 2016</w:t>
      </w:r>
      <w:r w:rsidR="00D94003">
        <w:t>–</w:t>
      </w:r>
      <w:r w:rsidRPr="00795F17">
        <w:t>2021 i 2022</w:t>
      </w:r>
      <w:r w:rsidR="00D94003">
        <w:t>–</w:t>
      </w:r>
      <w:r w:rsidRPr="00795F17">
        <w:t>2027)</w:t>
      </w:r>
      <w:bookmarkEnd w:id="137"/>
      <w:bookmarkEnd w:id="1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6"/>
        <w:gridCol w:w="1716"/>
        <w:gridCol w:w="1716"/>
        <w:gridCol w:w="1108"/>
        <w:gridCol w:w="1109"/>
        <w:gridCol w:w="1108"/>
        <w:gridCol w:w="1109"/>
      </w:tblGrid>
      <w:tr w:rsidR="00B54ACD" w:rsidRPr="00795F17" w14:paraId="26D80921" w14:textId="77777777" w:rsidTr="0050009F">
        <w:trPr>
          <w:trHeight w:val="454"/>
        </w:trPr>
        <w:tc>
          <w:tcPr>
            <w:tcW w:w="1186" w:type="dxa"/>
            <w:vMerge w:val="restart"/>
            <w:shd w:val="clear" w:color="auto" w:fill="BFBFBF" w:themeFill="background1" w:themeFillShade="BF"/>
            <w:vAlign w:val="center"/>
            <w:hideMark/>
          </w:tcPr>
          <w:p w14:paraId="1BC24CAF" w14:textId="77777777" w:rsidR="00B54ACD" w:rsidRPr="00795F17" w:rsidRDefault="00B54ACD" w:rsidP="008A302D">
            <w:pPr>
              <w:pStyle w:val="Teksttabelinaglowek"/>
            </w:pPr>
            <w:r w:rsidRPr="00795F17">
              <w:t>Obszar dorzecza</w:t>
            </w:r>
          </w:p>
        </w:tc>
        <w:tc>
          <w:tcPr>
            <w:tcW w:w="3402" w:type="dxa"/>
            <w:gridSpan w:val="2"/>
            <w:shd w:val="clear" w:color="auto" w:fill="BFBFBF" w:themeFill="background1" w:themeFillShade="BF"/>
            <w:vAlign w:val="center"/>
            <w:hideMark/>
          </w:tcPr>
          <w:p w14:paraId="0804A72D" w14:textId="1B35C7F5" w:rsidR="00B54ACD" w:rsidRPr="00795F17" w:rsidRDefault="00B54ACD" w:rsidP="008A302D">
            <w:pPr>
              <w:pStyle w:val="Teksttabelinaglowek"/>
            </w:pPr>
            <w:r w:rsidRPr="00795F17">
              <w:t>Cykl planistyczny 2016</w:t>
            </w:r>
            <w:r w:rsidR="00D94003">
              <w:t>–</w:t>
            </w:r>
            <w:r w:rsidRPr="00795F17">
              <w:t>2021</w:t>
            </w:r>
          </w:p>
        </w:tc>
        <w:tc>
          <w:tcPr>
            <w:tcW w:w="4394" w:type="dxa"/>
            <w:gridSpan w:val="4"/>
            <w:shd w:val="clear" w:color="auto" w:fill="BFBFBF" w:themeFill="background1" w:themeFillShade="BF"/>
            <w:vAlign w:val="center"/>
            <w:hideMark/>
          </w:tcPr>
          <w:p w14:paraId="358E1568" w14:textId="7944C6DD" w:rsidR="00B54ACD" w:rsidRPr="00795F17" w:rsidRDefault="00B54ACD" w:rsidP="008A302D">
            <w:pPr>
              <w:pStyle w:val="Teksttabelinaglowek"/>
            </w:pPr>
            <w:r w:rsidRPr="00795F17">
              <w:t>Cykl planistyczny 2022</w:t>
            </w:r>
            <w:r w:rsidR="00D94003">
              <w:t>–</w:t>
            </w:r>
            <w:r w:rsidRPr="00795F17">
              <w:t>2027</w:t>
            </w:r>
          </w:p>
        </w:tc>
      </w:tr>
      <w:tr w:rsidR="00B54ACD" w:rsidRPr="00795F17" w14:paraId="0A7D706C" w14:textId="77777777" w:rsidTr="0050009F">
        <w:trPr>
          <w:trHeight w:val="454"/>
        </w:trPr>
        <w:tc>
          <w:tcPr>
            <w:tcW w:w="0" w:type="auto"/>
            <w:vMerge/>
            <w:shd w:val="clear" w:color="auto" w:fill="BFBFBF" w:themeFill="background1" w:themeFillShade="BF"/>
            <w:vAlign w:val="center"/>
            <w:hideMark/>
          </w:tcPr>
          <w:p w14:paraId="48E3025E" w14:textId="77777777" w:rsidR="00B54ACD" w:rsidRPr="00795F17" w:rsidRDefault="00B54ACD" w:rsidP="008A302D">
            <w:pPr>
              <w:pStyle w:val="Teksttabelinaglowek"/>
            </w:pPr>
          </w:p>
        </w:tc>
        <w:tc>
          <w:tcPr>
            <w:tcW w:w="1701" w:type="dxa"/>
            <w:shd w:val="clear" w:color="auto" w:fill="BFBFBF" w:themeFill="background1" w:themeFillShade="BF"/>
            <w:vAlign w:val="center"/>
            <w:hideMark/>
          </w:tcPr>
          <w:p w14:paraId="47DE9FA6" w14:textId="667F9C2B" w:rsidR="00B54ACD" w:rsidRPr="00795F17" w:rsidRDefault="00B54ACD" w:rsidP="008A302D">
            <w:pPr>
              <w:pStyle w:val="Teksttabelinaglowek"/>
            </w:pPr>
            <w:r w:rsidRPr="00795F17">
              <w:t xml:space="preserve">Liczba </w:t>
            </w:r>
            <w:r w:rsidR="00DF005E">
              <w:t>JCWP</w:t>
            </w:r>
            <w:r w:rsidRPr="00795F17">
              <w:t xml:space="preserve"> RW i RWr</w:t>
            </w:r>
          </w:p>
        </w:tc>
        <w:tc>
          <w:tcPr>
            <w:tcW w:w="1701" w:type="dxa"/>
            <w:shd w:val="clear" w:color="auto" w:fill="BFBFBF" w:themeFill="background1" w:themeFillShade="BF"/>
            <w:vAlign w:val="center"/>
            <w:hideMark/>
          </w:tcPr>
          <w:p w14:paraId="429F726E" w14:textId="65A298E1" w:rsidR="00B54ACD" w:rsidRPr="00795F17" w:rsidRDefault="00B54ACD" w:rsidP="008A302D">
            <w:pPr>
              <w:pStyle w:val="Teksttabelinaglowek"/>
            </w:pPr>
            <w:r w:rsidRPr="00795F17">
              <w:t xml:space="preserve">Liczba </w:t>
            </w:r>
            <w:r w:rsidR="00DF005E">
              <w:t>JCWP</w:t>
            </w:r>
            <w:r w:rsidRPr="00795F17">
              <w:t xml:space="preserve"> objęta monitoringiem</w:t>
            </w:r>
          </w:p>
        </w:tc>
        <w:tc>
          <w:tcPr>
            <w:tcW w:w="1098" w:type="dxa"/>
            <w:shd w:val="clear" w:color="auto" w:fill="BFBFBF" w:themeFill="background1" w:themeFillShade="BF"/>
            <w:vAlign w:val="center"/>
            <w:hideMark/>
          </w:tcPr>
          <w:p w14:paraId="79F5B89B" w14:textId="249A3740" w:rsidR="00B54ACD" w:rsidRPr="00795F17" w:rsidRDefault="00B54ACD" w:rsidP="008A302D">
            <w:pPr>
              <w:pStyle w:val="Teksttabelinaglowek"/>
            </w:pPr>
            <w:r w:rsidRPr="00795F17">
              <w:t xml:space="preserve">Liczba </w:t>
            </w:r>
            <w:r w:rsidR="00DF005E">
              <w:t>JCWP</w:t>
            </w:r>
            <w:r w:rsidRPr="00795F17">
              <w:t xml:space="preserve"> RW</w:t>
            </w:r>
          </w:p>
        </w:tc>
        <w:tc>
          <w:tcPr>
            <w:tcW w:w="1099" w:type="dxa"/>
            <w:shd w:val="clear" w:color="auto" w:fill="BFBFBF" w:themeFill="background1" w:themeFillShade="BF"/>
            <w:vAlign w:val="center"/>
            <w:hideMark/>
          </w:tcPr>
          <w:p w14:paraId="62B7F98F" w14:textId="621BC02C" w:rsidR="00B54ACD" w:rsidRPr="00795F17" w:rsidRDefault="00B54ACD" w:rsidP="008A302D">
            <w:pPr>
              <w:pStyle w:val="Teksttabelinaglowek"/>
            </w:pPr>
            <w:r w:rsidRPr="00795F17">
              <w:t xml:space="preserve">Liczba </w:t>
            </w:r>
            <w:r w:rsidR="00DF005E">
              <w:t>JCWP</w:t>
            </w:r>
            <w:r w:rsidRPr="00795F17">
              <w:t xml:space="preserve"> RW z ppk</w:t>
            </w:r>
          </w:p>
        </w:tc>
        <w:tc>
          <w:tcPr>
            <w:tcW w:w="1098" w:type="dxa"/>
            <w:shd w:val="clear" w:color="auto" w:fill="BFBFBF" w:themeFill="background1" w:themeFillShade="BF"/>
            <w:vAlign w:val="center"/>
            <w:hideMark/>
          </w:tcPr>
          <w:p w14:paraId="46EDC87A" w14:textId="1A18EB7B" w:rsidR="00B54ACD" w:rsidRPr="00795F17" w:rsidRDefault="00B54ACD" w:rsidP="008A302D">
            <w:pPr>
              <w:pStyle w:val="Teksttabelinaglowek"/>
            </w:pPr>
            <w:r w:rsidRPr="00795F17">
              <w:t xml:space="preserve">Liczba </w:t>
            </w:r>
            <w:r w:rsidR="00DF005E">
              <w:t>JCWP</w:t>
            </w:r>
            <w:r w:rsidRPr="00795F17">
              <w:t xml:space="preserve"> RWr</w:t>
            </w:r>
          </w:p>
        </w:tc>
        <w:tc>
          <w:tcPr>
            <w:tcW w:w="1099" w:type="dxa"/>
            <w:shd w:val="clear" w:color="auto" w:fill="BFBFBF" w:themeFill="background1" w:themeFillShade="BF"/>
            <w:vAlign w:val="center"/>
            <w:hideMark/>
          </w:tcPr>
          <w:p w14:paraId="2B30CEE2" w14:textId="4D6F48B4" w:rsidR="00B54ACD" w:rsidRPr="00795F17" w:rsidRDefault="00B54ACD" w:rsidP="008A302D">
            <w:pPr>
              <w:pStyle w:val="Teksttabelinaglowek"/>
            </w:pPr>
            <w:r w:rsidRPr="00795F17">
              <w:t xml:space="preserve">Liczba </w:t>
            </w:r>
            <w:r w:rsidR="00DF005E">
              <w:t>JCWP</w:t>
            </w:r>
            <w:r w:rsidRPr="00795F17">
              <w:t xml:space="preserve"> RWr z ppk</w:t>
            </w:r>
          </w:p>
        </w:tc>
      </w:tr>
      <w:tr w:rsidR="00B54ACD" w:rsidRPr="00795F17" w14:paraId="7F93B4A5" w14:textId="77777777" w:rsidTr="0050009F">
        <w:trPr>
          <w:trHeight w:val="454"/>
        </w:trPr>
        <w:tc>
          <w:tcPr>
            <w:tcW w:w="1186" w:type="dxa"/>
            <w:vAlign w:val="center"/>
            <w:hideMark/>
          </w:tcPr>
          <w:p w14:paraId="094E9B2E" w14:textId="5E8DFA5A" w:rsidR="00B54ACD" w:rsidRPr="00795F17" w:rsidRDefault="00B54ACD" w:rsidP="008A302D">
            <w:pPr>
              <w:pStyle w:val="Teksttabelisrodek"/>
            </w:pPr>
            <w:r w:rsidRPr="00795F17">
              <w:t>Odr</w:t>
            </w:r>
            <w:r w:rsidR="00076B6A">
              <w:t>a</w:t>
            </w:r>
          </w:p>
        </w:tc>
        <w:tc>
          <w:tcPr>
            <w:tcW w:w="1701" w:type="dxa"/>
            <w:vAlign w:val="center"/>
            <w:hideMark/>
          </w:tcPr>
          <w:p w14:paraId="27A3F32D" w14:textId="032F9E1F" w:rsidR="00B54ACD" w:rsidRPr="00795F17" w:rsidRDefault="00B54ACD" w:rsidP="008A302D">
            <w:pPr>
              <w:pStyle w:val="Teksttabelisrodek"/>
            </w:pPr>
            <w:r w:rsidRPr="00795F17">
              <w:t>1</w:t>
            </w:r>
            <w:r w:rsidR="008A302D" w:rsidRPr="00795F17">
              <w:t> </w:t>
            </w:r>
            <w:r w:rsidRPr="00795F17">
              <w:t>735</w:t>
            </w:r>
          </w:p>
        </w:tc>
        <w:tc>
          <w:tcPr>
            <w:tcW w:w="1701" w:type="dxa"/>
            <w:vAlign w:val="center"/>
            <w:hideMark/>
          </w:tcPr>
          <w:p w14:paraId="57B4D96B" w14:textId="77777777" w:rsidR="00B54ACD" w:rsidRPr="00795F17" w:rsidRDefault="00B54ACD" w:rsidP="008A302D">
            <w:pPr>
              <w:pStyle w:val="Teksttabelisrodek"/>
            </w:pPr>
            <w:r w:rsidRPr="00795F17">
              <w:t>896</w:t>
            </w:r>
          </w:p>
        </w:tc>
        <w:tc>
          <w:tcPr>
            <w:tcW w:w="1098" w:type="dxa"/>
            <w:vAlign w:val="center"/>
            <w:hideMark/>
          </w:tcPr>
          <w:p w14:paraId="5005B011" w14:textId="0B1C8688" w:rsidR="00B54ACD" w:rsidRPr="00795F17" w:rsidRDefault="00B54ACD" w:rsidP="008A302D">
            <w:pPr>
              <w:pStyle w:val="Teksttabelisrodek"/>
            </w:pPr>
            <w:r w:rsidRPr="00795F17">
              <w:t>1</w:t>
            </w:r>
            <w:r w:rsidR="008A302D" w:rsidRPr="00795F17">
              <w:t> </w:t>
            </w:r>
            <w:r w:rsidRPr="00795F17">
              <w:t>272</w:t>
            </w:r>
          </w:p>
        </w:tc>
        <w:tc>
          <w:tcPr>
            <w:tcW w:w="1099" w:type="dxa"/>
            <w:vAlign w:val="center"/>
            <w:hideMark/>
          </w:tcPr>
          <w:p w14:paraId="05405FFC" w14:textId="7147EEB6" w:rsidR="00B54ACD" w:rsidRPr="00795F17" w:rsidRDefault="00B54ACD" w:rsidP="008A302D">
            <w:pPr>
              <w:pStyle w:val="Teksttabelisrodek"/>
            </w:pPr>
            <w:r w:rsidRPr="00795F17">
              <w:t>1</w:t>
            </w:r>
            <w:r w:rsidR="00AF13C9" w:rsidRPr="00795F17">
              <w:t> </w:t>
            </w:r>
            <w:r w:rsidRPr="00795F17">
              <w:t>238</w:t>
            </w:r>
          </w:p>
        </w:tc>
        <w:tc>
          <w:tcPr>
            <w:tcW w:w="1098" w:type="dxa"/>
            <w:vAlign w:val="center"/>
            <w:hideMark/>
          </w:tcPr>
          <w:p w14:paraId="11AEF7EE" w14:textId="77777777" w:rsidR="00B54ACD" w:rsidRPr="00795F17" w:rsidRDefault="00B54ACD" w:rsidP="008A302D">
            <w:pPr>
              <w:pStyle w:val="Teksttabelisrodek"/>
            </w:pPr>
            <w:r w:rsidRPr="00795F17">
              <w:t>19</w:t>
            </w:r>
          </w:p>
        </w:tc>
        <w:tc>
          <w:tcPr>
            <w:tcW w:w="1099" w:type="dxa"/>
            <w:vAlign w:val="center"/>
            <w:hideMark/>
          </w:tcPr>
          <w:p w14:paraId="006A0D7A" w14:textId="77777777" w:rsidR="00B54ACD" w:rsidRPr="00795F17" w:rsidRDefault="00B54ACD" w:rsidP="008A302D">
            <w:pPr>
              <w:pStyle w:val="Teksttabelisrodek"/>
            </w:pPr>
            <w:r w:rsidRPr="00795F17">
              <w:t>19</w:t>
            </w:r>
          </w:p>
        </w:tc>
      </w:tr>
    </w:tbl>
    <w:p w14:paraId="6086080A" w14:textId="07CA4875" w:rsidR="00B54ACD" w:rsidRPr="00795F17" w:rsidRDefault="00B54ACD" w:rsidP="0044393D">
      <w:pPr>
        <w:pStyle w:val="rdo"/>
      </w:pPr>
      <w:r w:rsidRPr="00795F17">
        <w:t>Źródło: opracowanie własne na podstawie danych GIOŚ dot. sieci monitoringu 2022</w:t>
      </w:r>
      <w:r w:rsidR="00D40E78">
        <w:t>–</w:t>
      </w:r>
      <w:r w:rsidRPr="00795F17">
        <w:t>2027</w:t>
      </w:r>
    </w:p>
    <w:p w14:paraId="5874CA75" w14:textId="77777777" w:rsidR="00C92C78" w:rsidRPr="00795F17" w:rsidRDefault="00C92C78" w:rsidP="00C92C78"/>
    <w:p w14:paraId="21E8F12A" w14:textId="77777777" w:rsidR="00462DD4" w:rsidRPr="00795F17" w:rsidRDefault="00462DD4" w:rsidP="0050009F">
      <w:pPr>
        <w:jc w:val="center"/>
        <w:rPr>
          <w:sz w:val="20"/>
          <w:szCs w:val="20"/>
        </w:rPr>
      </w:pPr>
      <w:r w:rsidRPr="00795F17">
        <w:rPr>
          <w:noProof/>
          <w:lang w:eastAsia="pl-PL"/>
        </w:rPr>
        <w:drawing>
          <wp:inline distT="0" distB="0" distL="0" distR="0" wp14:anchorId="17D1422B" wp14:editId="4AA73B11">
            <wp:extent cx="4320000" cy="2520000"/>
            <wp:effectExtent l="0" t="0" r="4445" b="13970"/>
            <wp:docPr id="20" name="Chart 1">
              <a:extLst xmlns:a="http://schemas.openxmlformats.org/drawingml/2006/main">
                <a:ext uri="{FF2B5EF4-FFF2-40B4-BE49-F238E27FC236}">
                  <a16:creationId xmlns:a16="http://schemas.microsoft.com/office/drawing/2014/main" id="{8ADC14A2-F9A7-4FE2-90C6-C67EE2DA4A0A}"/>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0788DC3" w14:textId="40E26744" w:rsidR="00462DD4" w:rsidRPr="00795F17" w:rsidRDefault="00462DD4" w:rsidP="00B479EE">
      <w:pPr>
        <w:pStyle w:val="Wykres"/>
      </w:pPr>
      <w:bookmarkStart w:id="139" w:name="_Toc66272997"/>
      <w:bookmarkStart w:id="140" w:name="_Toc105512955"/>
      <w:r w:rsidRPr="00795F17">
        <w:t xml:space="preserve">Wykres </w:t>
      </w:r>
      <w:fldSimple w:instr=" STYLEREF 1 \s ">
        <w:r w:rsidR="001F774D">
          <w:rPr>
            <w:noProof/>
          </w:rPr>
          <w:t>5</w:t>
        </w:r>
      </w:fldSimple>
      <w:r w:rsidR="00FF20D3">
        <w:noBreakHyphen/>
      </w:r>
      <w:fldSimple w:instr=" SEQ Wykres \* ARABIC \s 1 ">
        <w:r w:rsidR="001F774D">
          <w:rPr>
            <w:noProof/>
          </w:rPr>
          <w:t>1</w:t>
        </w:r>
      </w:fldSimple>
      <w:r w:rsidR="00DD6415">
        <w:rPr>
          <w:noProof/>
        </w:rPr>
        <w:t>.</w:t>
      </w:r>
      <w:r w:rsidRPr="00795F17">
        <w:tab/>
        <w:t xml:space="preserve">Udział </w:t>
      </w:r>
      <w:r w:rsidR="00DF005E">
        <w:t>JCWP</w:t>
      </w:r>
      <w:r w:rsidRPr="00795F17">
        <w:t xml:space="preserve"> RW i RWr planowanych do objęcia monitoringiem w latach 2022</w:t>
      </w:r>
      <w:r w:rsidR="00D94003">
        <w:t>–</w:t>
      </w:r>
      <w:r w:rsidRPr="00795F17">
        <w:t xml:space="preserve">2027 w </w:t>
      </w:r>
      <w:r w:rsidR="00DA62C5">
        <w:t> </w:t>
      </w:r>
      <w:r w:rsidRPr="00795F17">
        <w:t xml:space="preserve">stosunku do ogólnej liczby </w:t>
      </w:r>
      <w:r w:rsidR="00DF005E">
        <w:t>JCWP</w:t>
      </w:r>
      <w:r w:rsidRPr="00795F17">
        <w:t xml:space="preserve"> danej kategorii </w:t>
      </w:r>
      <w:r w:rsidR="00CB4718">
        <w:t>na</w:t>
      </w:r>
      <w:r w:rsidRPr="00795F17">
        <w:t xml:space="preserve"> obszarze dorzecza Odry</w:t>
      </w:r>
      <w:bookmarkEnd w:id="139"/>
      <w:bookmarkEnd w:id="140"/>
    </w:p>
    <w:p w14:paraId="61EDE4AE" w14:textId="3EB384BB" w:rsidR="00440F4C" w:rsidRPr="00795F17" w:rsidRDefault="00462DD4" w:rsidP="0044393D">
      <w:pPr>
        <w:pStyle w:val="rdo"/>
      </w:pPr>
      <w:r w:rsidRPr="00795F17">
        <w:t xml:space="preserve">Źródło: </w:t>
      </w:r>
      <w:r w:rsidR="00FD7248" w:rsidRPr="00795F17">
        <w:t>opracowanie własne</w:t>
      </w:r>
      <w:r w:rsidRPr="00795F17">
        <w:t xml:space="preserve"> na podstawie danych GIOŚ dot. sieci monitoringu 2022</w:t>
      </w:r>
      <w:r w:rsidR="00D94003">
        <w:t>–</w:t>
      </w:r>
      <w:r w:rsidRPr="00795F17">
        <w:t>2027</w:t>
      </w:r>
    </w:p>
    <w:p w14:paraId="5AB3573F" w14:textId="04380B68" w:rsidR="00462DD4" w:rsidRPr="00795F17" w:rsidRDefault="00462DD4" w:rsidP="004D7705">
      <w:pPr>
        <w:pStyle w:val="Tabela"/>
      </w:pPr>
      <w:bookmarkStart w:id="141" w:name="_Toc66341860"/>
      <w:bookmarkStart w:id="142" w:name="_Toc105512769"/>
      <w:r w:rsidRPr="00795F17">
        <w:t xml:space="preserve">Tabela </w:t>
      </w:r>
      <w:fldSimple w:instr=" STYLEREF 1 \s ">
        <w:r w:rsidR="001F774D">
          <w:rPr>
            <w:noProof/>
          </w:rPr>
          <w:t>5</w:t>
        </w:r>
      </w:fldSimple>
      <w:r w:rsidR="00BB3B21" w:rsidRPr="00795F17">
        <w:noBreakHyphen/>
      </w:r>
      <w:fldSimple w:instr=" SEQ Tabela \* ARABIC \s 1 ">
        <w:r w:rsidR="001F774D">
          <w:rPr>
            <w:noProof/>
          </w:rPr>
          <w:t>5</w:t>
        </w:r>
      </w:fldSimple>
      <w:r w:rsidR="00BA11D4">
        <w:rPr>
          <w:noProof/>
        </w:rPr>
        <w:t>.</w:t>
      </w:r>
      <w:r w:rsidRPr="00795F17">
        <w:tab/>
        <w:t xml:space="preserve">Liczba </w:t>
      </w:r>
      <w:r w:rsidR="00DF005E">
        <w:t>JCWP</w:t>
      </w:r>
      <w:r w:rsidRPr="00795F17">
        <w:t xml:space="preserve"> RW i RWr planowanych do MD, MO i/lub MB w latach 2022</w:t>
      </w:r>
      <w:r w:rsidR="00D40E78">
        <w:t>–</w:t>
      </w:r>
      <w:r w:rsidRPr="00795F17">
        <w:t xml:space="preserve">2027 w stosunku do całkowitej liczby </w:t>
      </w:r>
      <w:r w:rsidR="00DF005E">
        <w:t>JCWP</w:t>
      </w:r>
      <w:r w:rsidRPr="00795F17">
        <w:t xml:space="preserve"> danych kategorii w podziale na regiony wodne</w:t>
      </w:r>
      <w:bookmarkEnd w:id="141"/>
      <w:bookmarkEnd w:id="142"/>
    </w:p>
    <w:tbl>
      <w:tblPr>
        <w:tblW w:w="5000" w:type="pct"/>
        <w:tblCellMar>
          <w:left w:w="70" w:type="dxa"/>
          <w:right w:w="70" w:type="dxa"/>
        </w:tblCellMar>
        <w:tblLook w:val="04A0" w:firstRow="1" w:lastRow="0" w:firstColumn="1" w:lastColumn="0" w:noHBand="0" w:noVBand="1"/>
      </w:tblPr>
      <w:tblGrid>
        <w:gridCol w:w="1128"/>
        <w:gridCol w:w="507"/>
        <w:gridCol w:w="507"/>
        <w:gridCol w:w="494"/>
        <w:gridCol w:w="494"/>
        <w:gridCol w:w="494"/>
        <w:gridCol w:w="495"/>
        <w:gridCol w:w="495"/>
        <w:gridCol w:w="495"/>
        <w:gridCol w:w="495"/>
        <w:gridCol w:w="495"/>
        <w:gridCol w:w="495"/>
        <w:gridCol w:w="495"/>
        <w:gridCol w:w="495"/>
        <w:gridCol w:w="495"/>
        <w:gridCol w:w="497"/>
        <w:gridCol w:w="486"/>
      </w:tblGrid>
      <w:tr w:rsidR="00E14135" w:rsidRPr="0050009F" w14:paraId="3D4E3FA8" w14:textId="77777777" w:rsidTr="00936F57">
        <w:trPr>
          <w:trHeight w:val="454"/>
          <w:tblHeader/>
        </w:trPr>
        <w:tc>
          <w:tcPr>
            <w:tcW w:w="623"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04CFC94F" w14:textId="647F011B" w:rsidR="00167863" w:rsidRPr="0050009F" w:rsidRDefault="00167863" w:rsidP="00AF13C9">
            <w:pPr>
              <w:pStyle w:val="Teksttabelinaglowek"/>
              <w:rPr>
                <w:szCs w:val="20"/>
              </w:rPr>
            </w:pPr>
            <w:r w:rsidRPr="0050009F">
              <w:rPr>
                <w:szCs w:val="20"/>
              </w:rPr>
              <w:t xml:space="preserve">Regiony wodne </w:t>
            </w:r>
            <w:r w:rsidR="0010116F" w:rsidRPr="0050009F">
              <w:rPr>
                <w:szCs w:val="20"/>
              </w:rPr>
              <w:t>na </w:t>
            </w:r>
            <w:r w:rsidRPr="0050009F">
              <w:rPr>
                <w:szCs w:val="20"/>
              </w:rPr>
              <w:t>obszarze dorzecza</w:t>
            </w:r>
            <w:r w:rsidR="0010116F" w:rsidRPr="0050009F">
              <w:rPr>
                <w:szCs w:val="20"/>
              </w:rPr>
              <w:t xml:space="preserve"> </w:t>
            </w:r>
            <w:r w:rsidRPr="0050009F">
              <w:rPr>
                <w:szCs w:val="20"/>
              </w:rPr>
              <w:t>Odry</w:t>
            </w:r>
          </w:p>
        </w:tc>
        <w:tc>
          <w:tcPr>
            <w:tcW w:w="4377" w:type="pct"/>
            <w:gridSpan w:val="16"/>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326A9120" w14:textId="775A4425" w:rsidR="00167863" w:rsidRPr="0050009F" w:rsidRDefault="00167863" w:rsidP="00AF13C9">
            <w:pPr>
              <w:pStyle w:val="Teksttabelinaglowek"/>
              <w:rPr>
                <w:szCs w:val="20"/>
              </w:rPr>
            </w:pPr>
            <w:r w:rsidRPr="0050009F">
              <w:rPr>
                <w:szCs w:val="20"/>
              </w:rPr>
              <w:t>Cykl planistyczny 2022</w:t>
            </w:r>
            <w:r w:rsidR="00D40E78" w:rsidRPr="0050009F">
              <w:rPr>
                <w:szCs w:val="20"/>
              </w:rPr>
              <w:t>–</w:t>
            </w:r>
            <w:r w:rsidRPr="0050009F">
              <w:rPr>
                <w:szCs w:val="20"/>
              </w:rPr>
              <w:t>2027</w:t>
            </w:r>
          </w:p>
        </w:tc>
      </w:tr>
      <w:tr w:rsidR="00EC5475" w:rsidRPr="0050009F" w14:paraId="632618F9" w14:textId="77777777" w:rsidTr="00936F57">
        <w:trPr>
          <w:trHeight w:val="454"/>
          <w:tblHeader/>
        </w:trPr>
        <w:tc>
          <w:tcPr>
            <w:tcW w:w="623"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7DECF15C" w14:textId="77777777" w:rsidR="00167863" w:rsidRPr="0050009F" w:rsidRDefault="00167863" w:rsidP="00AF13C9">
            <w:pPr>
              <w:pStyle w:val="Teksttabelinaglowek"/>
              <w:rPr>
                <w:szCs w:val="20"/>
              </w:rPr>
            </w:pPr>
          </w:p>
        </w:tc>
        <w:tc>
          <w:tcPr>
            <w:tcW w:w="2195" w:type="pct"/>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05F454C1" w14:textId="33C906FC" w:rsidR="00167863" w:rsidRPr="0050009F" w:rsidRDefault="00DF005E" w:rsidP="00AF13C9">
            <w:pPr>
              <w:pStyle w:val="Teksttabelinaglowek"/>
              <w:rPr>
                <w:szCs w:val="20"/>
              </w:rPr>
            </w:pPr>
            <w:r>
              <w:rPr>
                <w:szCs w:val="20"/>
              </w:rPr>
              <w:t>JCWP</w:t>
            </w:r>
            <w:r w:rsidR="00167863" w:rsidRPr="0050009F">
              <w:rPr>
                <w:szCs w:val="20"/>
              </w:rPr>
              <w:t xml:space="preserve"> RW</w:t>
            </w:r>
          </w:p>
        </w:tc>
        <w:tc>
          <w:tcPr>
            <w:tcW w:w="2182" w:type="pct"/>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09642D2F" w14:textId="0986C3DE" w:rsidR="00167863" w:rsidRPr="0050009F" w:rsidRDefault="00DF005E" w:rsidP="00AF13C9">
            <w:pPr>
              <w:pStyle w:val="Teksttabelinaglowek"/>
              <w:rPr>
                <w:szCs w:val="20"/>
              </w:rPr>
            </w:pPr>
            <w:r>
              <w:rPr>
                <w:szCs w:val="20"/>
              </w:rPr>
              <w:t>JCWP</w:t>
            </w:r>
            <w:r w:rsidR="00167863" w:rsidRPr="0050009F">
              <w:rPr>
                <w:szCs w:val="20"/>
              </w:rPr>
              <w:t xml:space="preserve"> RWr</w:t>
            </w:r>
          </w:p>
        </w:tc>
      </w:tr>
      <w:tr w:rsidR="00167863" w:rsidRPr="00795F17" w14:paraId="70C8859E" w14:textId="77777777" w:rsidTr="00936F57">
        <w:trPr>
          <w:cantSplit/>
          <w:trHeight w:val="2522"/>
          <w:tblHeader/>
        </w:trPr>
        <w:tc>
          <w:tcPr>
            <w:tcW w:w="623"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4798EB70" w14:textId="77777777" w:rsidR="00167863" w:rsidRPr="00795F17" w:rsidRDefault="00167863" w:rsidP="00AF13C9">
            <w:pPr>
              <w:pStyle w:val="Teksttabelinaglowek"/>
              <w:rPr>
                <w:sz w:val="18"/>
                <w:szCs w:val="20"/>
              </w:rPr>
            </w:pPr>
          </w:p>
        </w:tc>
        <w:tc>
          <w:tcPr>
            <w:tcW w:w="279"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textDirection w:val="btLr"/>
            <w:vAlign w:val="center"/>
            <w:hideMark/>
          </w:tcPr>
          <w:p w14:paraId="508CFF81" w14:textId="44E1BEB5" w:rsidR="00167863" w:rsidRPr="00795F17" w:rsidRDefault="00167863" w:rsidP="00CA512E">
            <w:pPr>
              <w:pStyle w:val="Teksttabelinaglowek"/>
              <w:ind w:left="57"/>
              <w:jc w:val="left"/>
              <w:rPr>
                <w:sz w:val="18"/>
                <w:szCs w:val="20"/>
              </w:rPr>
            </w:pPr>
            <w:r w:rsidRPr="00795F17">
              <w:rPr>
                <w:sz w:val="18"/>
                <w:szCs w:val="20"/>
              </w:rPr>
              <w:t xml:space="preserve">Liczba </w:t>
            </w:r>
            <w:r w:rsidR="00DF005E">
              <w:rPr>
                <w:sz w:val="18"/>
                <w:szCs w:val="20"/>
              </w:rPr>
              <w:t>JCWP</w:t>
            </w:r>
          </w:p>
        </w:tc>
        <w:tc>
          <w:tcPr>
            <w:tcW w:w="28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textDirection w:val="btLr"/>
            <w:vAlign w:val="center"/>
            <w:hideMark/>
          </w:tcPr>
          <w:p w14:paraId="4C32CD35" w14:textId="6A50E2CD" w:rsidR="00167863" w:rsidRPr="00795F17" w:rsidRDefault="00167863" w:rsidP="00CA512E">
            <w:pPr>
              <w:pStyle w:val="Teksttabelinaglowek"/>
              <w:ind w:left="57"/>
              <w:jc w:val="left"/>
              <w:rPr>
                <w:sz w:val="18"/>
                <w:szCs w:val="20"/>
              </w:rPr>
            </w:pPr>
            <w:r w:rsidRPr="00795F17">
              <w:rPr>
                <w:sz w:val="18"/>
                <w:szCs w:val="20"/>
              </w:rPr>
              <w:t xml:space="preserve">Liczba </w:t>
            </w:r>
            <w:r w:rsidR="00DF005E">
              <w:rPr>
                <w:sz w:val="18"/>
                <w:szCs w:val="20"/>
              </w:rPr>
              <w:t>JCWP</w:t>
            </w:r>
            <w:r w:rsidRPr="00795F17">
              <w:rPr>
                <w:sz w:val="18"/>
                <w:szCs w:val="20"/>
              </w:rPr>
              <w:t xml:space="preserve"> z ppk</w:t>
            </w:r>
          </w:p>
        </w:tc>
        <w:tc>
          <w:tcPr>
            <w:tcW w:w="27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textDirection w:val="btLr"/>
            <w:vAlign w:val="center"/>
            <w:hideMark/>
          </w:tcPr>
          <w:p w14:paraId="53F73FD2" w14:textId="40CEC0E8" w:rsidR="00167863" w:rsidRPr="00795F17" w:rsidRDefault="00167863" w:rsidP="00CA512E">
            <w:pPr>
              <w:pStyle w:val="Teksttabelinaglowek"/>
              <w:ind w:left="57"/>
              <w:jc w:val="left"/>
              <w:rPr>
                <w:rFonts w:eastAsia="Times New Roman"/>
                <w:sz w:val="18"/>
                <w:szCs w:val="20"/>
              </w:rPr>
            </w:pPr>
            <w:r w:rsidRPr="00795F17">
              <w:rPr>
                <w:sz w:val="18"/>
                <w:szCs w:val="20"/>
              </w:rPr>
              <w:t xml:space="preserve">Udział </w:t>
            </w:r>
            <w:r w:rsidR="00DF005E">
              <w:rPr>
                <w:sz w:val="18"/>
                <w:szCs w:val="20"/>
              </w:rPr>
              <w:t>JCWP</w:t>
            </w:r>
            <w:r w:rsidRPr="00795F17">
              <w:rPr>
                <w:sz w:val="18"/>
                <w:szCs w:val="20"/>
              </w:rPr>
              <w:t xml:space="preserve"> z MD* (%)</w:t>
            </w:r>
          </w:p>
        </w:tc>
        <w:tc>
          <w:tcPr>
            <w:tcW w:w="27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textDirection w:val="btLr"/>
            <w:vAlign w:val="center"/>
            <w:hideMark/>
          </w:tcPr>
          <w:p w14:paraId="4F5845C3" w14:textId="51E3E892" w:rsidR="00167863" w:rsidRPr="00795F17" w:rsidRDefault="00167863" w:rsidP="00CA512E">
            <w:pPr>
              <w:pStyle w:val="Teksttabelinaglowek"/>
              <w:ind w:left="57"/>
              <w:jc w:val="left"/>
              <w:rPr>
                <w:rFonts w:eastAsia="Times New Roman"/>
                <w:sz w:val="18"/>
                <w:szCs w:val="20"/>
              </w:rPr>
            </w:pPr>
            <w:r w:rsidRPr="00795F17">
              <w:rPr>
                <w:sz w:val="18"/>
                <w:szCs w:val="20"/>
              </w:rPr>
              <w:t xml:space="preserve">Udział </w:t>
            </w:r>
            <w:r w:rsidR="00DF005E">
              <w:rPr>
                <w:sz w:val="18"/>
                <w:szCs w:val="20"/>
              </w:rPr>
              <w:t>JCWP</w:t>
            </w:r>
            <w:r w:rsidRPr="00795F17">
              <w:rPr>
                <w:sz w:val="18"/>
                <w:szCs w:val="20"/>
              </w:rPr>
              <w:t xml:space="preserve"> z MO* (%)</w:t>
            </w:r>
          </w:p>
        </w:tc>
        <w:tc>
          <w:tcPr>
            <w:tcW w:w="27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textDirection w:val="btLr"/>
            <w:vAlign w:val="center"/>
            <w:hideMark/>
          </w:tcPr>
          <w:p w14:paraId="087927F4" w14:textId="486717F5" w:rsidR="00167863" w:rsidRPr="00795F17" w:rsidRDefault="00167863" w:rsidP="00CA512E">
            <w:pPr>
              <w:pStyle w:val="Teksttabelinaglowek"/>
              <w:ind w:left="57"/>
              <w:jc w:val="left"/>
              <w:rPr>
                <w:rFonts w:eastAsia="Times New Roman"/>
                <w:sz w:val="18"/>
                <w:szCs w:val="20"/>
              </w:rPr>
            </w:pPr>
            <w:r w:rsidRPr="00795F17">
              <w:rPr>
                <w:sz w:val="18"/>
                <w:szCs w:val="20"/>
              </w:rPr>
              <w:t xml:space="preserve">Udział </w:t>
            </w:r>
            <w:r w:rsidR="00DF005E">
              <w:rPr>
                <w:sz w:val="18"/>
                <w:szCs w:val="20"/>
              </w:rPr>
              <w:t>JCWP</w:t>
            </w:r>
            <w:r w:rsidRPr="00795F17">
              <w:rPr>
                <w:sz w:val="18"/>
                <w:szCs w:val="20"/>
              </w:rPr>
              <w:t xml:space="preserve"> z MB* (%)</w:t>
            </w:r>
          </w:p>
        </w:tc>
        <w:tc>
          <w:tcPr>
            <w:tcW w:w="27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textDirection w:val="btLr"/>
            <w:vAlign w:val="center"/>
            <w:hideMark/>
          </w:tcPr>
          <w:p w14:paraId="2AFE7483" w14:textId="74DF561F" w:rsidR="00167863" w:rsidRPr="00795F17" w:rsidRDefault="00167863" w:rsidP="00CA512E">
            <w:pPr>
              <w:pStyle w:val="Teksttabelinaglowek"/>
              <w:ind w:left="57"/>
              <w:jc w:val="left"/>
              <w:rPr>
                <w:sz w:val="18"/>
                <w:szCs w:val="20"/>
              </w:rPr>
            </w:pPr>
            <w:r w:rsidRPr="00795F17">
              <w:rPr>
                <w:sz w:val="18"/>
                <w:szCs w:val="20"/>
              </w:rPr>
              <w:t xml:space="preserve">Udział </w:t>
            </w:r>
            <w:r w:rsidR="00DF005E">
              <w:rPr>
                <w:sz w:val="18"/>
                <w:szCs w:val="20"/>
              </w:rPr>
              <w:t>JCWP</w:t>
            </w:r>
            <w:r w:rsidRPr="00795F17">
              <w:rPr>
                <w:sz w:val="18"/>
                <w:szCs w:val="20"/>
              </w:rPr>
              <w:t xml:space="preserve"> z MD+MO* (%)</w:t>
            </w:r>
          </w:p>
        </w:tc>
        <w:tc>
          <w:tcPr>
            <w:tcW w:w="27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textDirection w:val="btLr"/>
            <w:vAlign w:val="center"/>
            <w:hideMark/>
          </w:tcPr>
          <w:p w14:paraId="7EC89A41" w14:textId="5DA7ABF1" w:rsidR="00167863" w:rsidRPr="00795F17" w:rsidRDefault="00167863" w:rsidP="00CA512E">
            <w:pPr>
              <w:pStyle w:val="Teksttabelinaglowek"/>
              <w:ind w:left="57"/>
              <w:jc w:val="left"/>
              <w:rPr>
                <w:sz w:val="18"/>
                <w:szCs w:val="20"/>
              </w:rPr>
            </w:pPr>
            <w:r w:rsidRPr="00795F17">
              <w:rPr>
                <w:sz w:val="18"/>
                <w:szCs w:val="20"/>
              </w:rPr>
              <w:t xml:space="preserve">Udział </w:t>
            </w:r>
            <w:r w:rsidR="00DF005E">
              <w:rPr>
                <w:sz w:val="18"/>
                <w:szCs w:val="20"/>
              </w:rPr>
              <w:t>JCWP</w:t>
            </w:r>
            <w:r w:rsidRPr="00795F17">
              <w:rPr>
                <w:sz w:val="18"/>
                <w:szCs w:val="20"/>
              </w:rPr>
              <w:t xml:space="preserve"> z MO+MB* (%)</w:t>
            </w:r>
          </w:p>
        </w:tc>
        <w:tc>
          <w:tcPr>
            <w:tcW w:w="27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textDirection w:val="btLr"/>
            <w:vAlign w:val="center"/>
            <w:hideMark/>
          </w:tcPr>
          <w:p w14:paraId="70D2B98E" w14:textId="2BE338EB" w:rsidR="00167863" w:rsidRPr="00795F17" w:rsidRDefault="00167863" w:rsidP="00CA512E">
            <w:pPr>
              <w:pStyle w:val="Teksttabelinaglowek"/>
              <w:ind w:left="57"/>
              <w:jc w:val="left"/>
              <w:rPr>
                <w:sz w:val="18"/>
                <w:szCs w:val="20"/>
              </w:rPr>
            </w:pPr>
            <w:r w:rsidRPr="00795F17">
              <w:rPr>
                <w:sz w:val="18"/>
                <w:szCs w:val="20"/>
              </w:rPr>
              <w:t xml:space="preserve">Udział </w:t>
            </w:r>
            <w:r w:rsidR="00DF005E">
              <w:rPr>
                <w:sz w:val="18"/>
                <w:szCs w:val="20"/>
              </w:rPr>
              <w:t>JCWP</w:t>
            </w:r>
            <w:r w:rsidRPr="00795F17">
              <w:rPr>
                <w:sz w:val="18"/>
                <w:szCs w:val="20"/>
              </w:rPr>
              <w:t xml:space="preserve"> z MD+MO+MB* (%)</w:t>
            </w:r>
          </w:p>
        </w:tc>
        <w:tc>
          <w:tcPr>
            <w:tcW w:w="27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textDirection w:val="btLr"/>
            <w:vAlign w:val="center"/>
            <w:hideMark/>
          </w:tcPr>
          <w:p w14:paraId="5F2565DC" w14:textId="19438BA6" w:rsidR="00167863" w:rsidRPr="00795F17" w:rsidRDefault="00167863" w:rsidP="00CA512E">
            <w:pPr>
              <w:pStyle w:val="Teksttabelinaglowek"/>
              <w:ind w:left="57"/>
              <w:jc w:val="left"/>
              <w:rPr>
                <w:rFonts w:cs="Calibri"/>
                <w:sz w:val="18"/>
                <w:szCs w:val="20"/>
              </w:rPr>
            </w:pPr>
            <w:r w:rsidRPr="00795F17">
              <w:rPr>
                <w:sz w:val="18"/>
                <w:szCs w:val="20"/>
              </w:rPr>
              <w:t xml:space="preserve">Liczba </w:t>
            </w:r>
            <w:r w:rsidR="00DF005E">
              <w:rPr>
                <w:sz w:val="18"/>
                <w:szCs w:val="20"/>
              </w:rPr>
              <w:t>JCWP</w:t>
            </w:r>
          </w:p>
        </w:tc>
        <w:tc>
          <w:tcPr>
            <w:tcW w:w="27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textDirection w:val="btLr"/>
            <w:vAlign w:val="center"/>
            <w:hideMark/>
          </w:tcPr>
          <w:p w14:paraId="38C18AB4" w14:textId="766F5BA0" w:rsidR="00167863" w:rsidRPr="00795F17" w:rsidRDefault="00167863" w:rsidP="00CA512E">
            <w:pPr>
              <w:pStyle w:val="Teksttabelinaglowek"/>
              <w:ind w:left="57"/>
              <w:jc w:val="left"/>
              <w:rPr>
                <w:rFonts w:cs="Calibri"/>
                <w:sz w:val="18"/>
                <w:szCs w:val="20"/>
              </w:rPr>
            </w:pPr>
            <w:r w:rsidRPr="00795F17">
              <w:rPr>
                <w:sz w:val="18"/>
                <w:szCs w:val="20"/>
              </w:rPr>
              <w:t xml:space="preserve">Liczba </w:t>
            </w:r>
            <w:r w:rsidR="00DF005E">
              <w:rPr>
                <w:sz w:val="18"/>
                <w:szCs w:val="20"/>
              </w:rPr>
              <w:t>JCWP</w:t>
            </w:r>
            <w:r w:rsidRPr="00795F17">
              <w:rPr>
                <w:sz w:val="18"/>
                <w:szCs w:val="20"/>
              </w:rPr>
              <w:t xml:space="preserve"> z ppk</w:t>
            </w:r>
          </w:p>
        </w:tc>
        <w:tc>
          <w:tcPr>
            <w:tcW w:w="27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textDirection w:val="btLr"/>
            <w:vAlign w:val="center"/>
            <w:hideMark/>
          </w:tcPr>
          <w:p w14:paraId="73F2F6CD" w14:textId="0A36B03D" w:rsidR="00167863" w:rsidRPr="00795F17" w:rsidRDefault="00167863" w:rsidP="00CA512E">
            <w:pPr>
              <w:pStyle w:val="Teksttabelinaglowek"/>
              <w:ind w:left="57"/>
              <w:jc w:val="left"/>
              <w:rPr>
                <w:sz w:val="18"/>
                <w:szCs w:val="20"/>
              </w:rPr>
            </w:pPr>
            <w:r w:rsidRPr="00795F17">
              <w:rPr>
                <w:sz w:val="18"/>
                <w:szCs w:val="20"/>
              </w:rPr>
              <w:t xml:space="preserve">Udział </w:t>
            </w:r>
            <w:r w:rsidR="00DF005E">
              <w:rPr>
                <w:sz w:val="18"/>
                <w:szCs w:val="20"/>
              </w:rPr>
              <w:t>JCWP</w:t>
            </w:r>
            <w:r w:rsidRPr="00795F17">
              <w:rPr>
                <w:sz w:val="18"/>
                <w:szCs w:val="20"/>
              </w:rPr>
              <w:t xml:space="preserve"> z MD* (%)</w:t>
            </w:r>
          </w:p>
        </w:tc>
        <w:tc>
          <w:tcPr>
            <w:tcW w:w="27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textDirection w:val="btLr"/>
            <w:vAlign w:val="center"/>
            <w:hideMark/>
          </w:tcPr>
          <w:p w14:paraId="4AF30764" w14:textId="6571234A" w:rsidR="00167863" w:rsidRPr="00795F17" w:rsidRDefault="00167863" w:rsidP="00CA512E">
            <w:pPr>
              <w:pStyle w:val="Teksttabelinaglowek"/>
              <w:ind w:left="57"/>
              <w:jc w:val="left"/>
              <w:rPr>
                <w:sz w:val="18"/>
                <w:szCs w:val="20"/>
              </w:rPr>
            </w:pPr>
            <w:r w:rsidRPr="00795F17">
              <w:rPr>
                <w:sz w:val="18"/>
                <w:szCs w:val="20"/>
              </w:rPr>
              <w:t xml:space="preserve">Udział </w:t>
            </w:r>
            <w:r w:rsidR="00DF005E">
              <w:rPr>
                <w:sz w:val="18"/>
                <w:szCs w:val="20"/>
              </w:rPr>
              <w:t>JCWP</w:t>
            </w:r>
            <w:r w:rsidRPr="00795F17">
              <w:rPr>
                <w:sz w:val="18"/>
                <w:szCs w:val="20"/>
              </w:rPr>
              <w:t xml:space="preserve"> z MO* (%)</w:t>
            </w:r>
          </w:p>
        </w:tc>
        <w:tc>
          <w:tcPr>
            <w:tcW w:w="27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textDirection w:val="btLr"/>
            <w:vAlign w:val="center"/>
            <w:hideMark/>
          </w:tcPr>
          <w:p w14:paraId="686F56FA" w14:textId="4D1753FF" w:rsidR="00167863" w:rsidRPr="00795F17" w:rsidRDefault="00167863" w:rsidP="00CA512E">
            <w:pPr>
              <w:pStyle w:val="Teksttabelinaglowek"/>
              <w:ind w:left="57"/>
              <w:jc w:val="left"/>
              <w:rPr>
                <w:sz w:val="18"/>
                <w:szCs w:val="20"/>
              </w:rPr>
            </w:pPr>
            <w:r w:rsidRPr="00795F17">
              <w:rPr>
                <w:sz w:val="18"/>
                <w:szCs w:val="20"/>
              </w:rPr>
              <w:t xml:space="preserve">Udział </w:t>
            </w:r>
            <w:r w:rsidR="00DF005E">
              <w:rPr>
                <w:sz w:val="18"/>
                <w:szCs w:val="20"/>
              </w:rPr>
              <w:t>JCWP</w:t>
            </w:r>
            <w:r w:rsidRPr="00795F17">
              <w:rPr>
                <w:sz w:val="18"/>
                <w:szCs w:val="20"/>
              </w:rPr>
              <w:t xml:space="preserve"> z MB* (%)</w:t>
            </w:r>
          </w:p>
        </w:tc>
        <w:tc>
          <w:tcPr>
            <w:tcW w:w="27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textDirection w:val="btLr"/>
            <w:vAlign w:val="center"/>
            <w:hideMark/>
          </w:tcPr>
          <w:p w14:paraId="126891E2" w14:textId="3CBD1F57" w:rsidR="00167863" w:rsidRPr="00795F17" w:rsidRDefault="00167863" w:rsidP="00CA512E">
            <w:pPr>
              <w:pStyle w:val="Teksttabelinaglowek"/>
              <w:ind w:left="57"/>
              <w:jc w:val="left"/>
              <w:rPr>
                <w:sz w:val="18"/>
                <w:szCs w:val="20"/>
              </w:rPr>
            </w:pPr>
            <w:r w:rsidRPr="00795F17">
              <w:rPr>
                <w:sz w:val="18"/>
                <w:szCs w:val="20"/>
              </w:rPr>
              <w:t xml:space="preserve">Udział </w:t>
            </w:r>
            <w:r w:rsidR="00DF005E">
              <w:rPr>
                <w:sz w:val="18"/>
                <w:szCs w:val="20"/>
              </w:rPr>
              <w:t>JCWP</w:t>
            </w:r>
            <w:r w:rsidRPr="00795F17">
              <w:rPr>
                <w:sz w:val="18"/>
                <w:szCs w:val="20"/>
              </w:rPr>
              <w:t xml:space="preserve"> z MD+MO* (%)</w:t>
            </w:r>
          </w:p>
        </w:tc>
        <w:tc>
          <w:tcPr>
            <w:tcW w:w="274"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textDirection w:val="btLr"/>
            <w:vAlign w:val="center"/>
            <w:hideMark/>
          </w:tcPr>
          <w:p w14:paraId="50B15581" w14:textId="3A3090C3" w:rsidR="00167863" w:rsidRPr="00795F17" w:rsidRDefault="00167863" w:rsidP="00CA512E">
            <w:pPr>
              <w:pStyle w:val="Teksttabelinaglowek"/>
              <w:ind w:left="57"/>
              <w:jc w:val="left"/>
              <w:rPr>
                <w:sz w:val="18"/>
                <w:szCs w:val="20"/>
              </w:rPr>
            </w:pPr>
            <w:r w:rsidRPr="00795F17">
              <w:rPr>
                <w:sz w:val="18"/>
                <w:szCs w:val="20"/>
              </w:rPr>
              <w:t xml:space="preserve">Udział </w:t>
            </w:r>
            <w:r w:rsidR="00DF005E">
              <w:rPr>
                <w:sz w:val="18"/>
                <w:szCs w:val="20"/>
              </w:rPr>
              <w:t>JCWP</w:t>
            </w:r>
            <w:r w:rsidRPr="00795F17">
              <w:rPr>
                <w:sz w:val="18"/>
                <w:szCs w:val="20"/>
              </w:rPr>
              <w:t xml:space="preserve"> z MO+MB* (%)</w:t>
            </w:r>
          </w:p>
        </w:tc>
        <w:tc>
          <w:tcPr>
            <w:tcW w:w="27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textDirection w:val="btLr"/>
            <w:vAlign w:val="center"/>
            <w:hideMark/>
          </w:tcPr>
          <w:p w14:paraId="3E2A1DDD" w14:textId="326A0070" w:rsidR="00167863" w:rsidRPr="00795F17" w:rsidRDefault="00167863" w:rsidP="00CA512E">
            <w:pPr>
              <w:pStyle w:val="Teksttabelinaglowek"/>
              <w:ind w:left="57"/>
              <w:jc w:val="left"/>
              <w:rPr>
                <w:sz w:val="18"/>
                <w:szCs w:val="20"/>
              </w:rPr>
            </w:pPr>
            <w:r w:rsidRPr="00795F17">
              <w:rPr>
                <w:sz w:val="18"/>
                <w:szCs w:val="20"/>
              </w:rPr>
              <w:t xml:space="preserve">Udział </w:t>
            </w:r>
            <w:r w:rsidR="00DF005E">
              <w:rPr>
                <w:sz w:val="18"/>
                <w:szCs w:val="20"/>
              </w:rPr>
              <w:t>JCWP</w:t>
            </w:r>
            <w:r w:rsidRPr="00795F17">
              <w:rPr>
                <w:sz w:val="18"/>
                <w:szCs w:val="20"/>
              </w:rPr>
              <w:t xml:space="preserve"> z MD+MO+MB* (%)</w:t>
            </w:r>
          </w:p>
        </w:tc>
      </w:tr>
      <w:tr w:rsidR="00AF13C9" w:rsidRPr="00795F17" w14:paraId="5CBA7217" w14:textId="77777777" w:rsidTr="00936F57">
        <w:trPr>
          <w:trHeight w:val="454"/>
        </w:trPr>
        <w:tc>
          <w:tcPr>
            <w:tcW w:w="62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7BAF289" w14:textId="77777777" w:rsidR="00AF13C9" w:rsidRPr="00795F17" w:rsidRDefault="00AF13C9" w:rsidP="00BC715D">
            <w:pPr>
              <w:pStyle w:val="Teksttabelisrodek"/>
            </w:pPr>
            <w:r w:rsidRPr="00795F17">
              <w:t>Górnej Odry</w:t>
            </w:r>
          </w:p>
        </w:tc>
        <w:tc>
          <w:tcPr>
            <w:tcW w:w="27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9F76097" w14:textId="77777777" w:rsidR="00AF13C9" w:rsidRPr="00795F17" w:rsidRDefault="00AF13C9" w:rsidP="00BC715D">
            <w:pPr>
              <w:pStyle w:val="Teksttabelisrodek"/>
              <w:rPr>
                <w:rFonts w:eastAsia="Times New Roman"/>
              </w:rPr>
            </w:pPr>
            <w:r w:rsidRPr="00795F17">
              <w:t>142</w:t>
            </w:r>
          </w:p>
        </w:tc>
        <w:tc>
          <w:tcPr>
            <w:tcW w:w="28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2414D21" w14:textId="77777777" w:rsidR="00AF13C9" w:rsidRPr="00795F17" w:rsidRDefault="00AF13C9" w:rsidP="00BC715D">
            <w:pPr>
              <w:pStyle w:val="Teksttabelisrodek"/>
              <w:rPr>
                <w:rFonts w:eastAsia="Times New Roman"/>
              </w:rPr>
            </w:pPr>
            <w:r w:rsidRPr="00795F17">
              <w:t>139</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E38E7BE" w14:textId="77777777" w:rsidR="00AF13C9" w:rsidRPr="00795F17" w:rsidRDefault="00AF13C9" w:rsidP="00BC715D">
            <w:pPr>
              <w:pStyle w:val="Teksttabelisrodek"/>
              <w:rPr>
                <w:rFonts w:eastAsia="Times New Roman"/>
              </w:rPr>
            </w:pPr>
            <w:r w:rsidRPr="00795F17">
              <w:t>45,3</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81F4E6B" w14:textId="77777777" w:rsidR="00AF13C9" w:rsidRPr="00795F17" w:rsidRDefault="00AF13C9" w:rsidP="00BC715D">
            <w:pPr>
              <w:pStyle w:val="Teksttabelisrodek"/>
              <w:rPr>
                <w:rFonts w:eastAsia="Times New Roman"/>
              </w:rPr>
            </w:pPr>
            <w:r w:rsidRPr="00795F17">
              <w:t>97,8</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4105C61" w14:textId="77777777" w:rsidR="00AF13C9" w:rsidRPr="00795F17" w:rsidRDefault="00AF13C9" w:rsidP="00BC715D">
            <w:pPr>
              <w:pStyle w:val="Teksttabelisrodek"/>
              <w:rPr>
                <w:rFonts w:eastAsia="Times New Roman"/>
              </w:rPr>
            </w:pPr>
            <w:r w:rsidRPr="00795F17">
              <w:t>3,6</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2B4B23B" w14:textId="77777777" w:rsidR="00AF13C9" w:rsidRPr="00795F17" w:rsidRDefault="00AF13C9" w:rsidP="00BC715D">
            <w:pPr>
              <w:pStyle w:val="Teksttabelisrodek"/>
            </w:pPr>
            <w:r w:rsidRPr="00795F17">
              <w:t>43,9</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92655BA" w14:textId="77777777" w:rsidR="00AF13C9" w:rsidRPr="00795F17" w:rsidRDefault="00AF13C9" w:rsidP="00BC715D">
            <w:pPr>
              <w:pStyle w:val="Teksttabelisrodek"/>
            </w:pPr>
            <w:r w:rsidRPr="00795F17">
              <w:t>2,9</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EB3A7AC" w14:textId="77777777" w:rsidR="00AF13C9" w:rsidRPr="00795F17" w:rsidRDefault="00AF13C9" w:rsidP="00BC715D">
            <w:pPr>
              <w:pStyle w:val="Teksttabelisrodek"/>
            </w:pPr>
            <w:r w:rsidRPr="00795F17">
              <w:t>2,2</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D3448ED" w14:textId="77777777" w:rsidR="00AF13C9" w:rsidRPr="00795F17" w:rsidRDefault="00AF13C9" w:rsidP="00BC715D">
            <w:pPr>
              <w:pStyle w:val="Teksttabelisrodek"/>
            </w:pPr>
            <w:r w:rsidRPr="00795F17">
              <w:t>5</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9DE84F7" w14:textId="77777777" w:rsidR="00AF13C9" w:rsidRPr="00795F17" w:rsidRDefault="00AF13C9" w:rsidP="00BC715D">
            <w:pPr>
              <w:pStyle w:val="Teksttabelisrodek"/>
            </w:pPr>
            <w:r w:rsidRPr="00795F17">
              <w:t>5</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89FBB8B" w14:textId="5CE9DCAA" w:rsidR="00AF13C9" w:rsidRPr="00795F17" w:rsidRDefault="00AF13C9" w:rsidP="00BC715D">
            <w:pPr>
              <w:pStyle w:val="Teksttabelisrodek"/>
            </w:pPr>
            <w:r w:rsidRPr="00795F17">
              <w:t>100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2EA85BC" w14:textId="67937F37" w:rsidR="00AF13C9" w:rsidRPr="00795F17" w:rsidRDefault="00AF13C9" w:rsidP="00BC715D">
            <w:pPr>
              <w:pStyle w:val="Teksttabelisrodek"/>
            </w:pPr>
            <w:r w:rsidRPr="00795F17">
              <w:t>100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A1946A7" w14:textId="77777777" w:rsidR="00AF13C9" w:rsidRPr="00795F17" w:rsidRDefault="00AF13C9" w:rsidP="00BC715D">
            <w:pPr>
              <w:pStyle w:val="Teksttabelisrodek"/>
            </w:pPr>
            <w:r w:rsidRPr="00795F17">
              <w:t>0,0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6B847D7" w14:textId="171782C2" w:rsidR="00AF13C9" w:rsidRPr="00795F17" w:rsidRDefault="00AF13C9" w:rsidP="00BC715D">
            <w:pPr>
              <w:pStyle w:val="Teksttabelisrodek"/>
            </w:pPr>
            <w:r w:rsidRPr="00795F17">
              <w:t>100</w:t>
            </w:r>
          </w:p>
        </w:tc>
        <w:tc>
          <w:tcPr>
            <w:tcW w:w="27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6A8CE69" w14:textId="77777777" w:rsidR="00AF13C9" w:rsidRPr="00795F17" w:rsidRDefault="00AF13C9" w:rsidP="00BC715D">
            <w:pPr>
              <w:pStyle w:val="Teksttabelisrodek"/>
            </w:pPr>
            <w:r w:rsidRPr="00795F17">
              <w:t>0,0</w:t>
            </w:r>
          </w:p>
        </w:tc>
        <w:tc>
          <w:tcPr>
            <w:tcW w:w="27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5035AAD" w14:textId="77777777" w:rsidR="00AF13C9" w:rsidRPr="00795F17" w:rsidRDefault="00AF13C9" w:rsidP="00BC715D">
            <w:pPr>
              <w:pStyle w:val="Teksttabelisrodek"/>
            </w:pPr>
            <w:r w:rsidRPr="00795F17">
              <w:t>0,0</w:t>
            </w:r>
          </w:p>
        </w:tc>
      </w:tr>
      <w:tr w:rsidR="00AF13C9" w:rsidRPr="00795F17" w14:paraId="7CDF209E" w14:textId="77777777" w:rsidTr="00936F57">
        <w:trPr>
          <w:trHeight w:val="454"/>
        </w:trPr>
        <w:tc>
          <w:tcPr>
            <w:tcW w:w="62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7B7D4FD" w14:textId="77777777" w:rsidR="00AF13C9" w:rsidRPr="00795F17" w:rsidRDefault="00AF13C9" w:rsidP="00BC715D">
            <w:pPr>
              <w:pStyle w:val="Teksttabelisrodek"/>
            </w:pPr>
            <w:r w:rsidRPr="00795F17">
              <w:t>Środkowej Odry</w:t>
            </w:r>
          </w:p>
        </w:tc>
        <w:tc>
          <w:tcPr>
            <w:tcW w:w="27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272D8AE" w14:textId="77777777" w:rsidR="00AF13C9" w:rsidRPr="00795F17" w:rsidRDefault="00AF13C9" w:rsidP="00BC715D">
            <w:pPr>
              <w:pStyle w:val="Teksttabelisrodek"/>
              <w:rPr>
                <w:rFonts w:eastAsia="Times New Roman"/>
              </w:rPr>
            </w:pPr>
            <w:r w:rsidRPr="00795F17">
              <w:t>446</w:t>
            </w:r>
          </w:p>
        </w:tc>
        <w:tc>
          <w:tcPr>
            <w:tcW w:w="28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AEF8544" w14:textId="77777777" w:rsidR="00AF13C9" w:rsidRPr="00795F17" w:rsidRDefault="00AF13C9" w:rsidP="00BC715D">
            <w:pPr>
              <w:pStyle w:val="Teksttabelisrodek"/>
              <w:rPr>
                <w:rFonts w:eastAsia="Times New Roman"/>
              </w:rPr>
            </w:pPr>
            <w:r w:rsidRPr="00795F17">
              <w:t>431</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1D87DCA" w14:textId="77777777" w:rsidR="00AF13C9" w:rsidRPr="00795F17" w:rsidRDefault="00AF13C9" w:rsidP="00BC715D">
            <w:pPr>
              <w:pStyle w:val="Teksttabelisrodek"/>
              <w:rPr>
                <w:rFonts w:eastAsia="Times New Roman"/>
              </w:rPr>
            </w:pPr>
            <w:r w:rsidRPr="00795F17">
              <w:t>38,7</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95E5A10" w14:textId="77777777" w:rsidR="00AF13C9" w:rsidRPr="00795F17" w:rsidRDefault="00AF13C9" w:rsidP="00BC715D">
            <w:pPr>
              <w:pStyle w:val="Teksttabelisrodek"/>
              <w:rPr>
                <w:rFonts w:eastAsia="Times New Roman"/>
              </w:rPr>
            </w:pPr>
            <w:r w:rsidRPr="00795F17">
              <w:t>99,8</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3B2140B" w14:textId="77777777" w:rsidR="00AF13C9" w:rsidRPr="00795F17" w:rsidRDefault="00AF13C9" w:rsidP="00BC715D">
            <w:pPr>
              <w:pStyle w:val="Teksttabelisrodek"/>
              <w:rPr>
                <w:rFonts w:eastAsia="Times New Roman"/>
              </w:rPr>
            </w:pPr>
            <w:r w:rsidRPr="00795F17">
              <w:t>2,6</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1B7E0FC" w14:textId="77777777" w:rsidR="00AF13C9" w:rsidRPr="00795F17" w:rsidRDefault="00AF13C9" w:rsidP="00BC715D">
            <w:pPr>
              <w:pStyle w:val="Teksttabelisrodek"/>
            </w:pPr>
            <w:r w:rsidRPr="00795F17">
              <w:t>38,5</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63EE81B" w14:textId="77777777" w:rsidR="00AF13C9" w:rsidRPr="00795F17" w:rsidRDefault="00AF13C9" w:rsidP="00BC715D">
            <w:pPr>
              <w:pStyle w:val="Teksttabelisrodek"/>
            </w:pPr>
            <w:r w:rsidRPr="00795F17">
              <w:t>2,6</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65B355D" w14:textId="77777777" w:rsidR="00AF13C9" w:rsidRPr="00795F17" w:rsidRDefault="00AF13C9" w:rsidP="00BC715D">
            <w:pPr>
              <w:pStyle w:val="Teksttabelisrodek"/>
            </w:pPr>
            <w:r w:rsidRPr="00795F17">
              <w:t>2,1</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41B1DA8" w14:textId="77777777" w:rsidR="00AF13C9" w:rsidRPr="00795F17" w:rsidRDefault="00AF13C9" w:rsidP="00BC715D">
            <w:pPr>
              <w:pStyle w:val="Teksttabelisrodek"/>
            </w:pPr>
            <w:r w:rsidRPr="00795F17">
              <w:t>12</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F4D8D06" w14:textId="77777777" w:rsidR="00AF13C9" w:rsidRPr="00795F17" w:rsidRDefault="00AF13C9" w:rsidP="00BC715D">
            <w:pPr>
              <w:pStyle w:val="Teksttabelisrodek"/>
            </w:pPr>
            <w:r w:rsidRPr="00795F17">
              <w:t>12</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D27F49A" w14:textId="690F4F5F" w:rsidR="00AF13C9" w:rsidRPr="00795F17" w:rsidRDefault="00AF13C9" w:rsidP="00BC715D">
            <w:pPr>
              <w:pStyle w:val="Teksttabelisrodek"/>
            </w:pPr>
            <w:r w:rsidRPr="00795F17">
              <w:t>100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0DF6E1F" w14:textId="0D35CBEE" w:rsidR="00AF13C9" w:rsidRPr="00795F17" w:rsidRDefault="00AF13C9" w:rsidP="00BC715D">
            <w:pPr>
              <w:pStyle w:val="Teksttabelisrodek"/>
            </w:pPr>
            <w:r w:rsidRPr="00795F17">
              <w:t>100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6905B40" w14:textId="77777777" w:rsidR="00AF13C9" w:rsidRPr="00795F17" w:rsidRDefault="00AF13C9" w:rsidP="00BC715D">
            <w:pPr>
              <w:pStyle w:val="Teksttabelisrodek"/>
            </w:pPr>
            <w:r w:rsidRPr="00795F17">
              <w:t>0,0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B0984BC" w14:textId="271964AB" w:rsidR="00AF13C9" w:rsidRPr="00795F17" w:rsidRDefault="00AF13C9" w:rsidP="00BC715D">
            <w:pPr>
              <w:pStyle w:val="Teksttabelisrodek"/>
            </w:pPr>
            <w:r w:rsidRPr="00795F17">
              <w:t>100</w:t>
            </w:r>
          </w:p>
        </w:tc>
        <w:tc>
          <w:tcPr>
            <w:tcW w:w="27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735FC03" w14:textId="77777777" w:rsidR="00AF13C9" w:rsidRPr="00795F17" w:rsidRDefault="00AF13C9" w:rsidP="00BC715D">
            <w:pPr>
              <w:pStyle w:val="Teksttabelisrodek"/>
            </w:pPr>
            <w:r w:rsidRPr="00795F17">
              <w:t>0,0</w:t>
            </w:r>
          </w:p>
        </w:tc>
        <w:tc>
          <w:tcPr>
            <w:tcW w:w="27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D11BF28" w14:textId="77777777" w:rsidR="00AF13C9" w:rsidRPr="00795F17" w:rsidRDefault="00AF13C9" w:rsidP="00BC715D">
            <w:pPr>
              <w:pStyle w:val="Teksttabelisrodek"/>
            </w:pPr>
            <w:r w:rsidRPr="00795F17">
              <w:t>0,0</w:t>
            </w:r>
          </w:p>
        </w:tc>
      </w:tr>
      <w:tr w:rsidR="00167863" w:rsidRPr="00795F17" w14:paraId="5DBC98A9" w14:textId="77777777" w:rsidTr="00936F57">
        <w:trPr>
          <w:trHeight w:val="454"/>
        </w:trPr>
        <w:tc>
          <w:tcPr>
            <w:tcW w:w="62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6F34B5B" w14:textId="77777777" w:rsidR="00167863" w:rsidRPr="00795F17" w:rsidRDefault="00167863" w:rsidP="00BC715D">
            <w:pPr>
              <w:pStyle w:val="Teksttabelisrodek"/>
            </w:pPr>
            <w:r w:rsidRPr="00795F17">
              <w:t>Dolnej Odry i Przymorza Zachodniego</w:t>
            </w:r>
          </w:p>
        </w:tc>
        <w:tc>
          <w:tcPr>
            <w:tcW w:w="27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E9EA293" w14:textId="77777777" w:rsidR="00167863" w:rsidRPr="00795F17" w:rsidRDefault="00167863" w:rsidP="00BC715D">
            <w:pPr>
              <w:pStyle w:val="Teksttabelisrodek"/>
              <w:rPr>
                <w:rFonts w:eastAsia="Times New Roman"/>
              </w:rPr>
            </w:pPr>
            <w:r w:rsidRPr="00795F17">
              <w:t>270</w:t>
            </w:r>
          </w:p>
        </w:tc>
        <w:tc>
          <w:tcPr>
            <w:tcW w:w="28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6CFA3F0" w14:textId="77777777" w:rsidR="00167863" w:rsidRPr="00795F17" w:rsidRDefault="00167863" w:rsidP="00BC715D">
            <w:pPr>
              <w:pStyle w:val="Teksttabelisrodek"/>
              <w:rPr>
                <w:rFonts w:eastAsia="Times New Roman"/>
              </w:rPr>
            </w:pPr>
            <w:r w:rsidRPr="00795F17">
              <w:t>266</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6D1136B" w14:textId="77777777" w:rsidR="00167863" w:rsidRPr="00795F17" w:rsidRDefault="00167863" w:rsidP="00BC715D">
            <w:pPr>
              <w:pStyle w:val="Teksttabelisrodek"/>
              <w:rPr>
                <w:rFonts w:eastAsia="Times New Roman"/>
              </w:rPr>
            </w:pPr>
            <w:r w:rsidRPr="00795F17">
              <w:t>68,4</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DE2B2A1" w14:textId="77777777" w:rsidR="00167863" w:rsidRPr="00795F17" w:rsidRDefault="00167863" w:rsidP="00BC715D">
            <w:pPr>
              <w:pStyle w:val="Teksttabelisrodek"/>
              <w:rPr>
                <w:rFonts w:eastAsia="Times New Roman"/>
              </w:rPr>
            </w:pPr>
            <w:r w:rsidRPr="00795F17">
              <w:t>95,5</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CEBC49F" w14:textId="77777777" w:rsidR="00167863" w:rsidRPr="00795F17" w:rsidRDefault="00167863" w:rsidP="00BC715D">
            <w:pPr>
              <w:pStyle w:val="Teksttabelisrodek"/>
              <w:rPr>
                <w:rFonts w:eastAsia="Times New Roman"/>
              </w:rPr>
            </w:pPr>
            <w:r w:rsidRPr="00795F17">
              <w:t>0,8</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BE2E498" w14:textId="77777777" w:rsidR="00167863" w:rsidRPr="00795F17" w:rsidRDefault="00167863" w:rsidP="00BC715D">
            <w:pPr>
              <w:pStyle w:val="Teksttabelisrodek"/>
            </w:pPr>
            <w:r w:rsidRPr="00795F17">
              <w:t>63,9</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A689D71" w14:textId="77777777" w:rsidR="00167863" w:rsidRPr="00795F17" w:rsidRDefault="00167863" w:rsidP="00BC715D">
            <w:pPr>
              <w:pStyle w:val="Teksttabelisrodek"/>
            </w:pPr>
            <w:r w:rsidRPr="00795F17">
              <w:t>0,8</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A6CEC91" w14:textId="77777777" w:rsidR="00167863" w:rsidRPr="00795F17" w:rsidRDefault="00167863" w:rsidP="00BC715D">
            <w:pPr>
              <w:pStyle w:val="Teksttabelisrodek"/>
            </w:pPr>
            <w:r w:rsidRPr="00795F17">
              <w:t>0,8</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FBC3B89" w14:textId="77777777" w:rsidR="00167863" w:rsidRPr="00795F17" w:rsidRDefault="00167863" w:rsidP="00BC715D">
            <w:pPr>
              <w:pStyle w:val="Teksttabelisrodek"/>
            </w:pPr>
            <w:r w:rsidRPr="00795F17">
              <w:t>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344CDD6" w14:textId="77777777" w:rsidR="00167863" w:rsidRPr="00795F17" w:rsidRDefault="00167863" w:rsidP="00BC715D">
            <w:pPr>
              <w:pStyle w:val="Teksttabelisrodek"/>
            </w:pPr>
            <w:r w:rsidRPr="00795F17">
              <w:t>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1996722" w14:textId="77777777" w:rsidR="00167863" w:rsidRPr="00795F17" w:rsidRDefault="00167863" w:rsidP="00BC715D">
            <w:pPr>
              <w:pStyle w:val="Teksttabelisrodek"/>
            </w:pPr>
            <w:r w:rsidRPr="00795F17">
              <w:t>-</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5163567" w14:textId="77777777" w:rsidR="00167863" w:rsidRPr="00795F17" w:rsidRDefault="00167863" w:rsidP="00BC715D">
            <w:pPr>
              <w:pStyle w:val="Teksttabelisrodek"/>
            </w:pPr>
            <w:r w:rsidRPr="00795F17">
              <w:t>-</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00B9726" w14:textId="77777777" w:rsidR="00167863" w:rsidRPr="00795F17" w:rsidRDefault="00167863" w:rsidP="00BC715D">
            <w:pPr>
              <w:pStyle w:val="Teksttabelisrodek"/>
            </w:pPr>
            <w:r w:rsidRPr="00795F17">
              <w:t>-</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7B24167" w14:textId="77777777" w:rsidR="00167863" w:rsidRPr="00795F17" w:rsidRDefault="00167863" w:rsidP="00BC715D">
            <w:pPr>
              <w:pStyle w:val="Teksttabelisrodek"/>
            </w:pPr>
            <w:r w:rsidRPr="00795F17">
              <w:t>-</w:t>
            </w:r>
          </w:p>
        </w:tc>
        <w:tc>
          <w:tcPr>
            <w:tcW w:w="27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C83F9E3" w14:textId="77777777" w:rsidR="00167863" w:rsidRPr="00795F17" w:rsidRDefault="00167863" w:rsidP="00BC715D">
            <w:pPr>
              <w:pStyle w:val="Teksttabelisrodek"/>
            </w:pPr>
            <w:r w:rsidRPr="00795F17">
              <w:t>-</w:t>
            </w:r>
          </w:p>
        </w:tc>
        <w:tc>
          <w:tcPr>
            <w:tcW w:w="27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E166F68" w14:textId="77777777" w:rsidR="00167863" w:rsidRPr="00795F17" w:rsidRDefault="00167863" w:rsidP="00BC715D">
            <w:pPr>
              <w:pStyle w:val="Teksttabelisrodek"/>
            </w:pPr>
            <w:r w:rsidRPr="00795F17">
              <w:t>-</w:t>
            </w:r>
          </w:p>
        </w:tc>
      </w:tr>
      <w:tr w:rsidR="00167863" w:rsidRPr="00795F17" w14:paraId="76422C84" w14:textId="77777777" w:rsidTr="00936F57">
        <w:trPr>
          <w:trHeight w:val="454"/>
        </w:trPr>
        <w:tc>
          <w:tcPr>
            <w:tcW w:w="62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73967DC" w14:textId="77777777" w:rsidR="00167863" w:rsidRPr="00795F17" w:rsidRDefault="00167863" w:rsidP="00BC715D">
            <w:pPr>
              <w:pStyle w:val="Teksttabelisrodek"/>
            </w:pPr>
            <w:r w:rsidRPr="00795F17">
              <w:t>Warty</w:t>
            </w:r>
          </w:p>
        </w:tc>
        <w:tc>
          <w:tcPr>
            <w:tcW w:w="27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0521BF1" w14:textId="77777777" w:rsidR="00167863" w:rsidRPr="00795F17" w:rsidRDefault="00167863" w:rsidP="00BC715D">
            <w:pPr>
              <w:pStyle w:val="Teksttabelisrodek"/>
              <w:rPr>
                <w:rFonts w:eastAsia="Times New Roman"/>
              </w:rPr>
            </w:pPr>
            <w:r w:rsidRPr="00795F17">
              <w:t>279</w:t>
            </w:r>
          </w:p>
        </w:tc>
        <w:tc>
          <w:tcPr>
            <w:tcW w:w="28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906CF28" w14:textId="77777777" w:rsidR="00167863" w:rsidRPr="00795F17" w:rsidRDefault="00167863" w:rsidP="00BC715D">
            <w:pPr>
              <w:pStyle w:val="Teksttabelisrodek"/>
              <w:rPr>
                <w:rFonts w:eastAsia="Times New Roman"/>
              </w:rPr>
            </w:pPr>
            <w:r w:rsidRPr="00795F17">
              <w:t>275</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5460CDF" w14:textId="77777777" w:rsidR="00167863" w:rsidRPr="00795F17" w:rsidRDefault="00167863" w:rsidP="00BC715D">
            <w:pPr>
              <w:pStyle w:val="Teksttabelisrodek"/>
              <w:rPr>
                <w:rFonts w:eastAsia="Times New Roman"/>
              </w:rPr>
            </w:pPr>
            <w:r w:rsidRPr="00795F17">
              <w:t>58,2</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B688A9A" w14:textId="77777777" w:rsidR="00167863" w:rsidRPr="00795F17" w:rsidRDefault="00167863" w:rsidP="00BC715D">
            <w:pPr>
              <w:pStyle w:val="Teksttabelisrodek"/>
              <w:rPr>
                <w:rFonts w:eastAsia="Times New Roman"/>
              </w:rPr>
            </w:pPr>
            <w:r w:rsidRPr="00795F17">
              <w:t>99,6</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499E347" w14:textId="77777777" w:rsidR="00167863" w:rsidRPr="00795F17" w:rsidRDefault="00167863" w:rsidP="00BC715D">
            <w:pPr>
              <w:pStyle w:val="Teksttabelisrodek"/>
              <w:rPr>
                <w:rFonts w:eastAsia="Times New Roman"/>
              </w:rPr>
            </w:pPr>
            <w:r w:rsidRPr="00795F17">
              <w:t>0,0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EB0F082" w14:textId="77777777" w:rsidR="00167863" w:rsidRPr="00795F17" w:rsidRDefault="00167863" w:rsidP="00BC715D">
            <w:pPr>
              <w:pStyle w:val="Teksttabelisrodek"/>
            </w:pPr>
            <w:r w:rsidRPr="00795F17">
              <w:t>57,8</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507A3A3" w14:textId="77777777" w:rsidR="00167863" w:rsidRPr="00795F17" w:rsidRDefault="00167863" w:rsidP="00BC715D">
            <w:pPr>
              <w:pStyle w:val="Teksttabelisrodek"/>
            </w:pPr>
            <w:r w:rsidRPr="00795F17">
              <w:t>0,0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11D7A15" w14:textId="77777777" w:rsidR="00167863" w:rsidRPr="00795F17" w:rsidRDefault="00167863" w:rsidP="00BC715D">
            <w:pPr>
              <w:pStyle w:val="Teksttabelisrodek"/>
            </w:pPr>
            <w:r w:rsidRPr="00795F17">
              <w:t>0,0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2E1579C" w14:textId="77777777" w:rsidR="00167863" w:rsidRPr="00795F17" w:rsidRDefault="00167863" w:rsidP="00BC715D">
            <w:pPr>
              <w:pStyle w:val="Teksttabelisrodek"/>
            </w:pPr>
            <w:r w:rsidRPr="00795F17">
              <w:t>2</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9EAEFA9" w14:textId="77777777" w:rsidR="00167863" w:rsidRPr="00795F17" w:rsidRDefault="00167863" w:rsidP="00BC715D">
            <w:pPr>
              <w:pStyle w:val="Teksttabelisrodek"/>
            </w:pPr>
            <w:r w:rsidRPr="00795F17">
              <w:t>2</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4F90720" w14:textId="364DBF31" w:rsidR="00167863" w:rsidRPr="00795F17" w:rsidRDefault="00167863" w:rsidP="00BC715D">
            <w:pPr>
              <w:pStyle w:val="Teksttabelisrodek"/>
            </w:pPr>
            <w:r w:rsidRPr="00795F17">
              <w:t>100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0934391" w14:textId="7C2259FC" w:rsidR="00167863" w:rsidRPr="00795F17" w:rsidRDefault="00167863" w:rsidP="00BC715D">
            <w:pPr>
              <w:pStyle w:val="Teksttabelisrodek"/>
            </w:pPr>
            <w:r w:rsidRPr="00795F17">
              <w:t>100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C9415EC" w14:textId="77777777" w:rsidR="00167863" w:rsidRPr="00795F17" w:rsidRDefault="00167863" w:rsidP="00BC715D">
            <w:pPr>
              <w:pStyle w:val="Teksttabelisrodek"/>
            </w:pPr>
            <w:r w:rsidRPr="00795F17">
              <w:t>0,0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819EF81" w14:textId="2F3842A3" w:rsidR="00167863" w:rsidRPr="00795F17" w:rsidRDefault="00167863" w:rsidP="00BC715D">
            <w:pPr>
              <w:pStyle w:val="Teksttabelisrodek"/>
            </w:pPr>
            <w:r w:rsidRPr="00795F17">
              <w:t>100</w:t>
            </w:r>
          </w:p>
        </w:tc>
        <w:tc>
          <w:tcPr>
            <w:tcW w:w="27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605E980" w14:textId="77777777" w:rsidR="00167863" w:rsidRPr="00795F17" w:rsidRDefault="00167863" w:rsidP="00BC715D">
            <w:pPr>
              <w:pStyle w:val="Teksttabelisrodek"/>
            </w:pPr>
            <w:r w:rsidRPr="00795F17">
              <w:t>0,0</w:t>
            </w:r>
          </w:p>
        </w:tc>
        <w:tc>
          <w:tcPr>
            <w:tcW w:w="27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BDBB1D6" w14:textId="77777777" w:rsidR="00167863" w:rsidRPr="00795F17" w:rsidRDefault="00167863" w:rsidP="00BC715D">
            <w:pPr>
              <w:pStyle w:val="Teksttabelisrodek"/>
            </w:pPr>
            <w:r w:rsidRPr="00795F17">
              <w:t>0,0</w:t>
            </w:r>
          </w:p>
        </w:tc>
      </w:tr>
      <w:tr w:rsidR="00167863" w:rsidRPr="00795F17" w14:paraId="7C4A36CE" w14:textId="77777777" w:rsidTr="00936F57">
        <w:trPr>
          <w:trHeight w:val="454"/>
        </w:trPr>
        <w:tc>
          <w:tcPr>
            <w:tcW w:w="62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3B2B29F" w14:textId="77777777" w:rsidR="00167863" w:rsidRPr="00795F17" w:rsidRDefault="00167863" w:rsidP="00BC715D">
            <w:pPr>
              <w:pStyle w:val="Teksttabelisrodek"/>
            </w:pPr>
            <w:r w:rsidRPr="00795F17">
              <w:t>Noteci</w:t>
            </w:r>
          </w:p>
        </w:tc>
        <w:tc>
          <w:tcPr>
            <w:tcW w:w="27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97B628A" w14:textId="77777777" w:rsidR="00167863" w:rsidRPr="00795F17" w:rsidRDefault="00167863" w:rsidP="00BC715D">
            <w:pPr>
              <w:pStyle w:val="Teksttabelisrodek"/>
              <w:rPr>
                <w:rFonts w:eastAsia="Times New Roman"/>
              </w:rPr>
            </w:pPr>
            <w:r w:rsidRPr="00795F17">
              <w:t>135</w:t>
            </w:r>
          </w:p>
        </w:tc>
        <w:tc>
          <w:tcPr>
            <w:tcW w:w="28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D802DBC" w14:textId="77777777" w:rsidR="00167863" w:rsidRPr="00795F17" w:rsidRDefault="00167863" w:rsidP="00BC715D">
            <w:pPr>
              <w:pStyle w:val="Teksttabelisrodek"/>
              <w:rPr>
                <w:rFonts w:eastAsia="Times New Roman"/>
              </w:rPr>
            </w:pPr>
            <w:r w:rsidRPr="00795F17">
              <w:t>127</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9676AD3" w14:textId="77777777" w:rsidR="00167863" w:rsidRPr="00795F17" w:rsidRDefault="00167863" w:rsidP="00BC715D">
            <w:pPr>
              <w:pStyle w:val="Teksttabelisrodek"/>
              <w:rPr>
                <w:rFonts w:eastAsia="Times New Roman"/>
              </w:rPr>
            </w:pPr>
            <w:r w:rsidRPr="00795F17">
              <w:t>63,0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F79FF4A" w14:textId="77777777" w:rsidR="00167863" w:rsidRPr="00795F17" w:rsidRDefault="00167863" w:rsidP="00BC715D">
            <w:pPr>
              <w:pStyle w:val="Teksttabelisrodek"/>
              <w:rPr>
                <w:rFonts w:eastAsia="Times New Roman"/>
              </w:rPr>
            </w:pPr>
            <w:r w:rsidRPr="00795F17">
              <w:t>98,4</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6437D2B" w14:textId="77777777" w:rsidR="00167863" w:rsidRPr="00795F17" w:rsidRDefault="00167863" w:rsidP="00BC715D">
            <w:pPr>
              <w:pStyle w:val="Teksttabelisrodek"/>
              <w:rPr>
                <w:rFonts w:eastAsia="Times New Roman"/>
              </w:rPr>
            </w:pPr>
            <w:r w:rsidRPr="00795F17">
              <w:t>0,0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625B8CF" w14:textId="77777777" w:rsidR="00167863" w:rsidRPr="00795F17" w:rsidRDefault="00167863" w:rsidP="00BC715D">
            <w:pPr>
              <w:pStyle w:val="Teksttabelisrodek"/>
            </w:pPr>
            <w:r w:rsidRPr="00795F17">
              <w:t>61,4</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02F9D0B" w14:textId="77777777" w:rsidR="00167863" w:rsidRPr="00795F17" w:rsidRDefault="00167863" w:rsidP="00BC715D">
            <w:pPr>
              <w:pStyle w:val="Teksttabelisrodek"/>
            </w:pPr>
            <w:r w:rsidRPr="00795F17">
              <w:t>0,0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DA8592F" w14:textId="77777777" w:rsidR="00167863" w:rsidRPr="00795F17" w:rsidRDefault="00167863" w:rsidP="00BC715D">
            <w:pPr>
              <w:pStyle w:val="Teksttabelisrodek"/>
            </w:pPr>
            <w:r w:rsidRPr="00795F17">
              <w:t>0,0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E721DAB" w14:textId="77777777" w:rsidR="00167863" w:rsidRPr="00795F17" w:rsidRDefault="00167863" w:rsidP="00BC715D">
            <w:pPr>
              <w:pStyle w:val="Teksttabelisrodek"/>
            </w:pPr>
            <w:r w:rsidRPr="00795F17">
              <w:t>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AE8E86F" w14:textId="77777777" w:rsidR="00167863" w:rsidRPr="00795F17" w:rsidRDefault="00167863" w:rsidP="00BC715D">
            <w:pPr>
              <w:pStyle w:val="Teksttabelisrodek"/>
            </w:pPr>
            <w:r w:rsidRPr="00795F17">
              <w:t>0</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429D6D2" w14:textId="77777777" w:rsidR="00167863" w:rsidRPr="00795F17" w:rsidRDefault="00167863" w:rsidP="00BC715D">
            <w:pPr>
              <w:pStyle w:val="Teksttabelisrodek"/>
            </w:pPr>
            <w:r w:rsidRPr="00795F17">
              <w:t>-</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42310BB" w14:textId="77777777" w:rsidR="00167863" w:rsidRPr="00795F17" w:rsidRDefault="00167863" w:rsidP="00BC715D">
            <w:pPr>
              <w:pStyle w:val="Teksttabelisrodek"/>
            </w:pPr>
            <w:r w:rsidRPr="00795F17">
              <w:t>-</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04592A0" w14:textId="77777777" w:rsidR="00167863" w:rsidRPr="00795F17" w:rsidRDefault="00167863" w:rsidP="00BC715D">
            <w:pPr>
              <w:pStyle w:val="Teksttabelisrodek"/>
            </w:pPr>
            <w:r w:rsidRPr="00795F17">
              <w:t>-</w:t>
            </w:r>
          </w:p>
        </w:tc>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816E2E9" w14:textId="77777777" w:rsidR="00167863" w:rsidRPr="00795F17" w:rsidRDefault="00167863" w:rsidP="00BC715D">
            <w:pPr>
              <w:pStyle w:val="Teksttabelisrodek"/>
            </w:pPr>
            <w:r w:rsidRPr="00795F17">
              <w:t>-</w:t>
            </w:r>
          </w:p>
        </w:tc>
        <w:tc>
          <w:tcPr>
            <w:tcW w:w="27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10BD5DE" w14:textId="77777777" w:rsidR="00167863" w:rsidRPr="00795F17" w:rsidRDefault="00167863" w:rsidP="00BC715D">
            <w:pPr>
              <w:pStyle w:val="Teksttabelisrodek"/>
            </w:pPr>
            <w:r w:rsidRPr="00795F17">
              <w:t>-</w:t>
            </w:r>
          </w:p>
        </w:tc>
        <w:tc>
          <w:tcPr>
            <w:tcW w:w="27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E187B98" w14:textId="77777777" w:rsidR="00167863" w:rsidRPr="00795F17" w:rsidRDefault="00167863" w:rsidP="00BC715D">
            <w:pPr>
              <w:pStyle w:val="Teksttabelisrodek"/>
            </w:pPr>
            <w:r w:rsidRPr="00795F17">
              <w:t>-</w:t>
            </w:r>
          </w:p>
        </w:tc>
      </w:tr>
      <w:tr w:rsidR="00167863" w:rsidRPr="00BC715D" w14:paraId="047D0527" w14:textId="77777777" w:rsidTr="00936F57">
        <w:trPr>
          <w:trHeight w:val="454"/>
        </w:trPr>
        <w:tc>
          <w:tcPr>
            <w:tcW w:w="623"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46256CB4" w14:textId="647D11A0" w:rsidR="00167863" w:rsidRPr="00BC715D" w:rsidRDefault="00167863" w:rsidP="00BC715D">
            <w:pPr>
              <w:pStyle w:val="Teksttabelinaglowek"/>
            </w:pPr>
            <w:r w:rsidRPr="00BC715D">
              <w:t>Razem</w:t>
            </w:r>
          </w:p>
        </w:tc>
        <w:tc>
          <w:tcPr>
            <w:tcW w:w="279"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24C81693" w14:textId="6F83D4A3" w:rsidR="00167863" w:rsidRPr="00BC715D" w:rsidRDefault="00167863" w:rsidP="00BC715D">
            <w:pPr>
              <w:pStyle w:val="Teksttabelinaglowek"/>
            </w:pPr>
            <w:r w:rsidRPr="00BC715D">
              <w:t>1</w:t>
            </w:r>
            <w:r w:rsidR="00936F57">
              <w:t> </w:t>
            </w:r>
            <w:r w:rsidRPr="00BC715D">
              <w:t>272</w:t>
            </w:r>
          </w:p>
        </w:tc>
        <w:tc>
          <w:tcPr>
            <w:tcW w:w="280"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2B16CF6F" w14:textId="347F6CC7" w:rsidR="00167863" w:rsidRPr="00BC715D" w:rsidRDefault="00167863" w:rsidP="00BC715D">
            <w:pPr>
              <w:pStyle w:val="Teksttabelinaglowek"/>
            </w:pPr>
            <w:r w:rsidRPr="00BC715D">
              <w:t>1</w:t>
            </w:r>
            <w:r w:rsidR="009A2275" w:rsidRPr="00BC715D">
              <w:t> </w:t>
            </w:r>
            <w:r w:rsidRPr="00BC715D">
              <w:t>238</w:t>
            </w:r>
          </w:p>
        </w:tc>
        <w:tc>
          <w:tcPr>
            <w:tcW w:w="273"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25209A7C" w14:textId="77777777" w:rsidR="00167863" w:rsidRPr="00BC715D" w:rsidRDefault="00167863" w:rsidP="00BC715D">
            <w:pPr>
              <w:pStyle w:val="Teksttabelinaglowek"/>
            </w:pPr>
            <w:r w:rsidRPr="00BC715D">
              <w:t>52,7</w:t>
            </w:r>
          </w:p>
        </w:tc>
        <w:tc>
          <w:tcPr>
            <w:tcW w:w="273"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6ED3539F" w14:textId="77777777" w:rsidR="00167863" w:rsidRPr="00BC715D" w:rsidRDefault="00167863" w:rsidP="00BC715D">
            <w:pPr>
              <w:pStyle w:val="Teksttabelinaglowek"/>
            </w:pPr>
            <w:r w:rsidRPr="00BC715D">
              <w:t>98,5</w:t>
            </w:r>
          </w:p>
        </w:tc>
        <w:tc>
          <w:tcPr>
            <w:tcW w:w="273"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3C3BED07" w14:textId="77777777" w:rsidR="00167863" w:rsidRPr="00BC715D" w:rsidRDefault="00167863" w:rsidP="00BC715D">
            <w:pPr>
              <w:pStyle w:val="Teksttabelinaglowek"/>
            </w:pPr>
            <w:r w:rsidRPr="00BC715D">
              <w:t>1,5</w:t>
            </w:r>
          </w:p>
        </w:tc>
        <w:tc>
          <w:tcPr>
            <w:tcW w:w="273"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6200FF88" w14:textId="77777777" w:rsidR="00167863" w:rsidRPr="00BC715D" w:rsidRDefault="00167863" w:rsidP="00BC715D">
            <w:pPr>
              <w:pStyle w:val="Teksttabelinaglowek"/>
            </w:pPr>
            <w:r w:rsidRPr="00BC715D">
              <w:t>51,2</w:t>
            </w:r>
          </w:p>
        </w:tc>
        <w:tc>
          <w:tcPr>
            <w:tcW w:w="273"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5B57E403" w14:textId="77777777" w:rsidR="00167863" w:rsidRPr="00BC715D" w:rsidRDefault="00167863" w:rsidP="00BC715D">
            <w:pPr>
              <w:pStyle w:val="Teksttabelinaglowek"/>
            </w:pPr>
            <w:r w:rsidRPr="00BC715D">
              <w:t>1,4</w:t>
            </w:r>
          </w:p>
        </w:tc>
        <w:tc>
          <w:tcPr>
            <w:tcW w:w="273"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55D33E99" w14:textId="77777777" w:rsidR="00167863" w:rsidRPr="00BC715D" w:rsidRDefault="00167863" w:rsidP="00BC715D">
            <w:pPr>
              <w:pStyle w:val="Teksttabelinaglowek"/>
            </w:pPr>
            <w:r w:rsidRPr="00BC715D">
              <w:t>1,1</w:t>
            </w:r>
          </w:p>
        </w:tc>
        <w:tc>
          <w:tcPr>
            <w:tcW w:w="273"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241568EC" w14:textId="77777777" w:rsidR="00167863" w:rsidRPr="00BC715D" w:rsidRDefault="00167863" w:rsidP="00BC715D">
            <w:pPr>
              <w:pStyle w:val="Teksttabelinaglowek"/>
            </w:pPr>
            <w:r w:rsidRPr="00BC715D">
              <w:t>19</w:t>
            </w:r>
          </w:p>
        </w:tc>
        <w:tc>
          <w:tcPr>
            <w:tcW w:w="273"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6466EA71" w14:textId="77777777" w:rsidR="00167863" w:rsidRPr="00BC715D" w:rsidRDefault="00167863" w:rsidP="00BC715D">
            <w:pPr>
              <w:pStyle w:val="Teksttabelinaglowek"/>
            </w:pPr>
            <w:r w:rsidRPr="00BC715D">
              <w:t>19</w:t>
            </w:r>
          </w:p>
        </w:tc>
        <w:tc>
          <w:tcPr>
            <w:tcW w:w="273"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5B3CE08B" w14:textId="53A11BF2" w:rsidR="00167863" w:rsidRPr="00BC715D" w:rsidRDefault="00167863" w:rsidP="00BC715D">
            <w:pPr>
              <w:pStyle w:val="Teksttabelinaglowek"/>
            </w:pPr>
            <w:r w:rsidRPr="00BC715D">
              <w:t>100</w:t>
            </w:r>
          </w:p>
        </w:tc>
        <w:tc>
          <w:tcPr>
            <w:tcW w:w="273"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497F1920" w14:textId="0276B8A2" w:rsidR="00167863" w:rsidRPr="00BC715D" w:rsidRDefault="00167863" w:rsidP="00BC715D">
            <w:pPr>
              <w:pStyle w:val="Teksttabelinaglowek"/>
            </w:pPr>
            <w:r w:rsidRPr="00BC715D">
              <w:t>100</w:t>
            </w:r>
          </w:p>
        </w:tc>
        <w:tc>
          <w:tcPr>
            <w:tcW w:w="273"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2BF3B84B" w14:textId="77777777" w:rsidR="00167863" w:rsidRPr="00BC715D" w:rsidRDefault="00167863" w:rsidP="00BC715D">
            <w:pPr>
              <w:pStyle w:val="Teksttabelinaglowek"/>
            </w:pPr>
            <w:r w:rsidRPr="00BC715D">
              <w:t>0,0</w:t>
            </w:r>
          </w:p>
        </w:tc>
        <w:tc>
          <w:tcPr>
            <w:tcW w:w="273"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3FF1DCA7" w14:textId="38C04C40" w:rsidR="00167863" w:rsidRPr="00BC715D" w:rsidRDefault="00167863" w:rsidP="00BC715D">
            <w:pPr>
              <w:pStyle w:val="Teksttabelinaglowek"/>
            </w:pPr>
            <w:r w:rsidRPr="00BC715D">
              <w:t>100</w:t>
            </w:r>
          </w:p>
        </w:tc>
        <w:tc>
          <w:tcPr>
            <w:tcW w:w="274"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3CAAD07B" w14:textId="77777777" w:rsidR="00167863" w:rsidRPr="00BC715D" w:rsidRDefault="00167863" w:rsidP="00BC715D">
            <w:pPr>
              <w:pStyle w:val="Teksttabelinaglowek"/>
            </w:pPr>
            <w:r w:rsidRPr="00BC715D">
              <w:t>0,0</w:t>
            </w:r>
          </w:p>
        </w:tc>
        <w:tc>
          <w:tcPr>
            <w:tcW w:w="270"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000CC20C" w14:textId="77777777" w:rsidR="00167863" w:rsidRPr="00BC715D" w:rsidRDefault="00167863" w:rsidP="00BC715D">
            <w:pPr>
              <w:pStyle w:val="Teksttabelinaglowek"/>
            </w:pPr>
            <w:r w:rsidRPr="00BC715D">
              <w:t>0,0</w:t>
            </w:r>
          </w:p>
        </w:tc>
      </w:tr>
    </w:tbl>
    <w:p w14:paraId="4B3B64E3" w14:textId="77777777" w:rsidR="00167863" w:rsidRPr="00795F17" w:rsidRDefault="00167863" w:rsidP="00AF13C9">
      <w:pPr>
        <w:pStyle w:val="Tabela-wyjasnieniapod"/>
        <w:spacing w:after="0"/>
      </w:pPr>
      <w:r w:rsidRPr="00795F17">
        <w:t>*Objaśnienia:</w:t>
      </w:r>
    </w:p>
    <w:p w14:paraId="409A370B" w14:textId="6DA92A59" w:rsidR="00167863" w:rsidRPr="00795F17" w:rsidRDefault="00167863" w:rsidP="00AF13C9">
      <w:pPr>
        <w:pStyle w:val="Tabela-wyjasnieniapod"/>
        <w:spacing w:after="0"/>
      </w:pPr>
      <w:r w:rsidRPr="00795F17">
        <w:rPr>
          <w:b/>
          <w:bCs/>
        </w:rPr>
        <w:t xml:space="preserve">Udział </w:t>
      </w:r>
      <w:r w:rsidR="00DF005E">
        <w:rPr>
          <w:b/>
          <w:bCs/>
        </w:rPr>
        <w:t>JCWP</w:t>
      </w:r>
      <w:r w:rsidRPr="00795F17">
        <w:rPr>
          <w:b/>
          <w:bCs/>
        </w:rPr>
        <w:t xml:space="preserve"> z MD</w:t>
      </w:r>
      <w:r w:rsidRPr="00795F17">
        <w:t xml:space="preserve"> </w:t>
      </w:r>
      <w:r w:rsidR="00D40E78">
        <w:t>–</w:t>
      </w:r>
      <w:r w:rsidRPr="00795F17">
        <w:t xml:space="preserve"> udział </w:t>
      </w:r>
      <w:r w:rsidR="00DF005E">
        <w:t>JCWP</w:t>
      </w:r>
      <w:r w:rsidRPr="00795F17">
        <w:t xml:space="preserve">, dla których zaplanowano </w:t>
      </w:r>
      <w:r w:rsidR="00592FD3">
        <w:t>MD</w:t>
      </w:r>
      <w:r w:rsidRPr="00795F17">
        <w:t xml:space="preserve"> w ogólnej liczbie </w:t>
      </w:r>
      <w:r w:rsidR="00DF005E">
        <w:t>JCWP</w:t>
      </w:r>
      <w:r w:rsidRPr="00795F17">
        <w:t xml:space="preserve"> z ppk</w:t>
      </w:r>
    </w:p>
    <w:p w14:paraId="773E7BCE" w14:textId="0DCA7EB0" w:rsidR="00167863" w:rsidRPr="00795F17" w:rsidRDefault="00167863" w:rsidP="00AF13C9">
      <w:pPr>
        <w:pStyle w:val="Tabela-wyjasnieniapod"/>
        <w:spacing w:after="0"/>
      </w:pPr>
      <w:r w:rsidRPr="00795F17">
        <w:rPr>
          <w:b/>
          <w:bCs/>
        </w:rPr>
        <w:t xml:space="preserve">Udział </w:t>
      </w:r>
      <w:r w:rsidR="00DF005E">
        <w:rPr>
          <w:b/>
          <w:bCs/>
        </w:rPr>
        <w:t>JCWP</w:t>
      </w:r>
      <w:r w:rsidRPr="00795F17">
        <w:rPr>
          <w:b/>
          <w:bCs/>
        </w:rPr>
        <w:t xml:space="preserve"> z MO</w:t>
      </w:r>
      <w:r w:rsidRPr="00795F17">
        <w:t xml:space="preserve"> </w:t>
      </w:r>
      <w:r w:rsidR="00D40E78">
        <w:t>–</w:t>
      </w:r>
      <w:r w:rsidRPr="00795F17">
        <w:t xml:space="preserve"> udział </w:t>
      </w:r>
      <w:r w:rsidR="00DF005E">
        <w:t>JCWP</w:t>
      </w:r>
      <w:r w:rsidRPr="00795F17">
        <w:t xml:space="preserve">, dla których zaplanowano </w:t>
      </w:r>
      <w:r w:rsidR="00592FD3">
        <w:t>MO</w:t>
      </w:r>
      <w:r w:rsidRPr="00795F17">
        <w:t xml:space="preserve"> w ogólnej liczbie </w:t>
      </w:r>
      <w:r w:rsidR="00DF005E">
        <w:t>JCWP</w:t>
      </w:r>
      <w:r w:rsidRPr="00795F17">
        <w:t xml:space="preserve"> z ppk</w:t>
      </w:r>
    </w:p>
    <w:p w14:paraId="332093BC" w14:textId="2C6ADE36" w:rsidR="00167863" w:rsidRPr="00795F17" w:rsidRDefault="00167863" w:rsidP="00AF13C9">
      <w:pPr>
        <w:pStyle w:val="Tabela-wyjasnieniapod"/>
        <w:spacing w:after="0"/>
      </w:pPr>
      <w:r w:rsidRPr="00795F17">
        <w:rPr>
          <w:b/>
          <w:bCs/>
        </w:rPr>
        <w:t xml:space="preserve">Udział </w:t>
      </w:r>
      <w:r w:rsidR="00DF005E">
        <w:rPr>
          <w:b/>
          <w:bCs/>
        </w:rPr>
        <w:t>JCWP</w:t>
      </w:r>
      <w:r w:rsidRPr="00795F17">
        <w:rPr>
          <w:b/>
          <w:bCs/>
        </w:rPr>
        <w:t xml:space="preserve"> z MB</w:t>
      </w:r>
      <w:r w:rsidRPr="00795F17">
        <w:t xml:space="preserve"> </w:t>
      </w:r>
      <w:r w:rsidR="00D40E78">
        <w:t>–</w:t>
      </w:r>
      <w:r w:rsidRPr="00795F17">
        <w:t xml:space="preserve"> udział </w:t>
      </w:r>
      <w:r w:rsidR="00DF005E">
        <w:t>JCWP</w:t>
      </w:r>
      <w:r w:rsidRPr="00795F17">
        <w:t xml:space="preserve">, dla których zaplanowano </w:t>
      </w:r>
      <w:r w:rsidR="00592FD3">
        <w:t>MB</w:t>
      </w:r>
      <w:r w:rsidRPr="00795F17">
        <w:t xml:space="preserve"> w ogólnej liczbie </w:t>
      </w:r>
      <w:r w:rsidR="00DF005E">
        <w:t>JCWP</w:t>
      </w:r>
      <w:r w:rsidRPr="00795F17">
        <w:t xml:space="preserve"> z ppk</w:t>
      </w:r>
    </w:p>
    <w:p w14:paraId="03D05D8E" w14:textId="71ECFC1A" w:rsidR="00167863" w:rsidRPr="00795F17" w:rsidRDefault="00167863" w:rsidP="00AF13C9">
      <w:pPr>
        <w:pStyle w:val="Tabela-wyjasnieniapod"/>
        <w:spacing w:after="0"/>
      </w:pPr>
      <w:r w:rsidRPr="00795F17">
        <w:rPr>
          <w:b/>
          <w:bCs/>
        </w:rPr>
        <w:t xml:space="preserve">Udział </w:t>
      </w:r>
      <w:r w:rsidR="00DF005E">
        <w:rPr>
          <w:b/>
          <w:bCs/>
        </w:rPr>
        <w:t>JCWP</w:t>
      </w:r>
      <w:r w:rsidRPr="00795F17">
        <w:rPr>
          <w:b/>
          <w:bCs/>
        </w:rPr>
        <w:t xml:space="preserve"> z MD+MO</w:t>
      </w:r>
      <w:r w:rsidRPr="00795F17">
        <w:t xml:space="preserve"> </w:t>
      </w:r>
      <w:r w:rsidR="00D40E78">
        <w:t>–</w:t>
      </w:r>
      <w:r w:rsidRPr="00795F17">
        <w:t xml:space="preserve"> udział </w:t>
      </w:r>
      <w:r w:rsidR="00DF005E">
        <w:t>JCWP</w:t>
      </w:r>
      <w:r w:rsidRPr="00795F17">
        <w:t xml:space="preserve">, dla których zaplanowano łącznie </w:t>
      </w:r>
      <w:r w:rsidR="00592FD3">
        <w:t>MD</w:t>
      </w:r>
      <w:r w:rsidRPr="00795F17">
        <w:t xml:space="preserve"> i </w:t>
      </w:r>
      <w:r w:rsidR="00592FD3">
        <w:t>MO</w:t>
      </w:r>
      <w:r w:rsidR="00592FD3" w:rsidRPr="00795F17">
        <w:t xml:space="preserve"> </w:t>
      </w:r>
      <w:r w:rsidRPr="00795F17">
        <w:t xml:space="preserve">w ogólnej liczbie </w:t>
      </w:r>
      <w:r w:rsidR="00DF005E">
        <w:t>JCWP</w:t>
      </w:r>
      <w:r w:rsidRPr="00795F17">
        <w:t xml:space="preserve"> z ppk</w:t>
      </w:r>
    </w:p>
    <w:p w14:paraId="6BA1C449" w14:textId="5B7F4BDA" w:rsidR="00167863" w:rsidRPr="00795F17" w:rsidRDefault="00167863" w:rsidP="00AF13C9">
      <w:pPr>
        <w:pStyle w:val="Tabela-wyjasnieniapod"/>
        <w:spacing w:after="0"/>
      </w:pPr>
      <w:r w:rsidRPr="00795F17">
        <w:rPr>
          <w:b/>
          <w:bCs/>
        </w:rPr>
        <w:t xml:space="preserve">Udział </w:t>
      </w:r>
      <w:r w:rsidR="00DF005E">
        <w:rPr>
          <w:b/>
          <w:bCs/>
        </w:rPr>
        <w:t>JCWP</w:t>
      </w:r>
      <w:r w:rsidRPr="00795F17">
        <w:rPr>
          <w:b/>
          <w:bCs/>
        </w:rPr>
        <w:t xml:space="preserve"> z MO+MB</w:t>
      </w:r>
      <w:r w:rsidRPr="00795F17">
        <w:t xml:space="preserve"> </w:t>
      </w:r>
      <w:r w:rsidR="00D40E78">
        <w:t>–</w:t>
      </w:r>
      <w:r w:rsidRPr="00795F17">
        <w:t xml:space="preserve"> udział </w:t>
      </w:r>
      <w:r w:rsidR="00DF005E">
        <w:t>JCWP</w:t>
      </w:r>
      <w:r w:rsidRPr="00795F17">
        <w:t xml:space="preserve">, dla których zaplanowano łącznie </w:t>
      </w:r>
      <w:r w:rsidR="00592FD3">
        <w:t>MO</w:t>
      </w:r>
      <w:r w:rsidRPr="00795F17">
        <w:t xml:space="preserve"> i </w:t>
      </w:r>
      <w:r w:rsidR="00592FD3">
        <w:t>MB</w:t>
      </w:r>
      <w:r w:rsidR="00592FD3" w:rsidRPr="00795F17">
        <w:t xml:space="preserve"> </w:t>
      </w:r>
      <w:r w:rsidRPr="00795F17">
        <w:t xml:space="preserve">w ogólnej liczbie </w:t>
      </w:r>
      <w:r w:rsidR="00DF005E">
        <w:t>JCWP</w:t>
      </w:r>
      <w:r w:rsidRPr="00795F17">
        <w:t xml:space="preserve"> z ppk</w:t>
      </w:r>
    </w:p>
    <w:p w14:paraId="37F40B19" w14:textId="6AB6F42D" w:rsidR="00167863" w:rsidRPr="00795F17" w:rsidRDefault="00167863" w:rsidP="00AF13C9">
      <w:pPr>
        <w:pStyle w:val="Tabela-wyjasnieniapod"/>
        <w:spacing w:after="0"/>
      </w:pPr>
      <w:r w:rsidRPr="00795F17">
        <w:rPr>
          <w:b/>
          <w:bCs/>
        </w:rPr>
        <w:t xml:space="preserve">Udział </w:t>
      </w:r>
      <w:r w:rsidR="00DF005E">
        <w:rPr>
          <w:b/>
          <w:bCs/>
        </w:rPr>
        <w:t>JCWP</w:t>
      </w:r>
      <w:r w:rsidRPr="00795F17">
        <w:rPr>
          <w:b/>
          <w:bCs/>
        </w:rPr>
        <w:t xml:space="preserve"> z MD+MO+MB</w:t>
      </w:r>
      <w:r w:rsidRPr="00795F17">
        <w:t xml:space="preserve"> </w:t>
      </w:r>
      <w:r w:rsidR="00D40E78">
        <w:t>–</w:t>
      </w:r>
      <w:r w:rsidRPr="00795F17">
        <w:t xml:space="preserve"> udział </w:t>
      </w:r>
      <w:r w:rsidR="00DF005E">
        <w:t>JCWP</w:t>
      </w:r>
      <w:r w:rsidRPr="00795F17">
        <w:t xml:space="preserve">, dla których zaplanowano łącznie </w:t>
      </w:r>
      <w:r w:rsidR="00592FD3">
        <w:t>MD</w:t>
      </w:r>
      <w:r w:rsidRPr="00795F17">
        <w:t xml:space="preserve">, </w:t>
      </w:r>
      <w:r w:rsidR="00592FD3">
        <w:t>MO</w:t>
      </w:r>
      <w:r w:rsidR="00592FD3" w:rsidRPr="00795F17">
        <w:t xml:space="preserve"> </w:t>
      </w:r>
      <w:r w:rsidRPr="00795F17">
        <w:t xml:space="preserve">i </w:t>
      </w:r>
      <w:r w:rsidR="00592FD3">
        <w:t>MB</w:t>
      </w:r>
      <w:r w:rsidR="00592FD3" w:rsidRPr="00795F17">
        <w:t xml:space="preserve"> </w:t>
      </w:r>
      <w:r w:rsidRPr="00795F17">
        <w:t xml:space="preserve">w ogólnej liczbie </w:t>
      </w:r>
      <w:r w:rsidR="00DF005E">
        <w:t>JCWP</w:t>
      </w:r>
      <w:r w:rsidRPr="00795F17">
        <w:t xml:space="preserve"> z ppk</w:t>
      </w:r>
    </w:p>
    <w:p w14:paraId="285A8B2F" w14:textId="55EEE74C" w:rsidR="00167863" w:rsidRPr="00795F17" w:rsidRDefault="00167863" w:rsidP="0044393D">
      <w:pPr>
        <w:pStyle w:val="rdo"/>
      </w:pPr>
      <w:r w:rsidRPr="00795F17">
        <w:t>Źródło: opracowanie własne na podstawie danych GIOŚ dot. sieci monitoringu 2022</w:t>
      </w:r>
      <w:r w:rsidR="00D40E78">
        <w:t>–</w:t>
      </w:r>
      <w:r w:rsidRPr="00795F17">
        <w:t>2027</w:t>
      </w:r>
    </w:p>
    <w:p w14:paraId="35CC41C0" w14:textId="54564EA8" w:rsidR="00462DD4" w:rsidRPr="00795F17" w:rsidRDefault="00462DD4" w:rsidP="0044393D">
      <w:pPr>
        <w:pStyle w:val="Nagwek5"/>
      </w:pPr>
      <w:r w:rsidRPr="00795F17">
        <w:t xml:space="preserve">Program monitoringu </w:t>
      </w:r>
      <w:r w:rsidR="00DF005E">
        <w:t>JCWP</w:t>
      </w:r>
      <w:r w:rsidRPr="00795F17">
        <w:t xml:space="preserve"> LW</w:t>
      </w:r>
    </w:p>
    <w:p w14:paraId="78032057" w14:textId="5D1213A1" w:rsidR="00462DD4" w:rsidRPr="00795F17" w:rsidRDefault="00462DD4" w:rsidP="0044393D">
      <w:r w:rsidRPr="00795F17">
        <w:t xml:space="preserve">Aktualnie </w:t>
      </w:r>
      <w:r w:rsidR="00A746D7">
        <w:t>na</w:t>
      </w:r>
      <w:r w:rsidRPr="00795F17">
        <w:t xml:space="preserve"> obszarze dorzecza Odry wyznaczonych jest 427 </w:t>
      </w:r>
      <w:r w:rsidR="00DF005E">
        <w:t>JCWP</w:t>
      </w:r>
      <w:r w:rsidRPr="00795F17">
        <w:t xml:space="preserve"> LW. W programie monitoringu wód powierzchniowych na lata 2022</w:t>
      </w:r>
      <w:r w:rsidR="00D40E78">
        <w:t>–</w:t>
      </w:r>
      <w:r w:rsidRPr="00795F17">
        <w:t xml:space="preserve">2027 przewidziano monitorowanie 388 z nich, co stanowi 90,9% </w:t>
      </w:r>
      <w:r w:rsidR="00DF005E">
        <w:t>JCWP</w:t>
      </w:r>
      <w:r w:rsidRPr="00795F17">
        <w:t xml:space="preserve"> LW</w:t>
      </w:r>
      <w:r w:rsidR="003F151B" w:rsidRPr="00795F17">
        <w:t xml:space="preserve"> (wykres 5-2)</w:t>
      </w:r>
      <w:r w:rsidRPr="00795F17">
        <w:t>. W skali kraju monitoringiem na lata 2022</w:t>
      </w:r>
      <w:r w:rsidR="00D40E78">
        <w:t>–</w:t>
      </w:r>
      <w:r w:rsidRPr="00795F17">
        <w:t xml:space="preserve">2027 objętych będzie 79,3% </w:t>
      </w:r>
      <w:r w:rsidR="00DF005E">
        <w:t>JCWP</w:t>
      </w:r>
      <w:r w:rsidRPr="00795F17">
        <w:t xml:space="preserve"> LW. W</w:t>
      </w:r>
      <w:r w:rsidR="00F24872" w:rsidRPr="00795F17">
        <w:t> </w:t>
      </w:r>
      <w:r w:rsidRPr="00795F17">
        <w:t>porównaniu do zaplanowanej na obszarze dorzecza Odry sieci monitoringu w aPGW (2016</w:t>
      </w:r>
      <w:r w:rsidR="00D40E78">
        <w:t>–</w:t>
      </w:r>
      <w:r w:rsidRPr="00795F17">
        <w:t xml:space="preserve">2021) nastąpił wzrost liczby </w:t>
      </w:r>
      <w:r w:rsidR="00DF005E">
        <w:t>JCWP</w:t>
      </w:r>
      <w:r w:rsidRPr="00795F17">
        <w:t xml:space="preserve"> planowanych do objęcia monitoringiem (w</w:t>
      </w:r>
      <w:r w:rsidR="00F24872" w:rsidRPr="00795F17">
        <w:t> </w:t>
      </w:r>
      <w:r w:rsidRPr="00795F17">
        <w:t xml:space="preserve">stosunku do ogólnej liczny </w:t>
      </w:r>
      <w:r w:rsidR="00DF005E">
        <w:t>JCWP</w:t>
      </w:r>
      <w:r w:rsidRPr="00795F17">
        <w:t xml:space="preserve"> LW) o 34%.</w:t>
      </w:r>
    </w:p>
    <w:p w14:paraId="2AFC8F49" w14:textId="47628BDC" w:rsidR="00462DD4" w:rsidRPr="00795F17" w:rsidRDefault="00462DD4" w:rsidP="0044393D">
      <w:r w:rsidRPr="00795F17">
        <w:t xml:space="preserve">Programem </w:t>
      </w:r>
      <w:r w:rsidR="00592FD3">
        <w:t>MD</w:t>
      </w:r>
      <w:r w:rsidRPr="00795F17">
        <w:t xml:space="preserve"> zostaną objęte jeziora o wszystkich typach abiotycznych </w:t>
      </w:r>
      <w:r w:rsidR="00D94003">
        <w:t>–</w:t>
      </w:r>
      <w:r w:rsidRPr="00795F17">
        <w:t xml:space="preserve"> zarówno niezagrożone, jak i zagrożone różnymi rodzajami presji, tak by możliwe było opracowanie reprezentatywnej dla obszaru całego kraju oceny stanu polskich jezior. Dlatego też aby utrzymać reprezentatywność uzyskanej oceny, nie ma możliwości objęcia monitoringiem jedynie jezior zagrożonych nieosiągnięciem wskazanych dla nich celów środowiskowych.</w:t>
      </w:r>
    </w:p>
    <w:p w14:paraId="3611A9BA" w14:textId="3460BA35" w:rsidR="00462DD4" w:rsidRPr="00795F17" w:rsidRDefault="00462DD4" w:rsidP="0044393D">
      <w:r w:rsidRPr="00795F17">
        <w:t xml:space="preserve">Planowana sieć monitoringu </w:t>
      </w:r>
      <w:r w:rsidR="00DF005E">
        <w:t>JCWP</w:t>
      </w:r>
      <w:r w:rsidRPr="00795F17">
        <w:t xml:space="preserve"> LW na lata 2022</w:t>
      </w:r>
      <w:r w:rsidR="00D40E78">
        <w:t>–</w:t>
      </w:r>
      <w:r w:rsidRPr="00795F17">
        <w:t xml:space="preserve">2027 przedstawiona została na załączniku graficznym nr </w:t>
      </w:r>
      <w:r w:rsidR="008268E2" w:rsidRPr="00795F17">
        <w:t>1</w:t>
      </w:r>
      <w:r w:rsidR="00363D35">
        <w:t>3</w:t>
      </w:r>
      <w:r w:rsidRPr="00795F17">
        <w:t xml:space="preserve">. Informacja o odpowiednim dla danej </w:t>
      </w:r>
      <w:r w:rsidR="00DF005E">
        <w:t>JCWP</w:t>
      </w:r>
      <w:r w:rsidRPr="00795F17">
        <w:t xml:space="preserve"> ppk znajduje się w załączniku nr 1 (Zestawienie główne).</w:t>
      </w:r>
    </w:p>
    <w:p w14:paraId="5EA925FA" w14:textId="6B5DE57B" w:rsidR="00462DD4" w:rsidRPr="00795F17" w:rsidRDefault="00462DD4" w:rsidP="0044393D">
      <w:r w:rsidRPr="00795F17">
        <w:t xml:space="preserve">Informacje o </w:t>
      </w:r>
      <w:r w:rsidR="00DF005E">
        <w:t>JCWP</w:t>
      </w:r>
      <w:r w:rsidRPr="00795F17">
        <w:t xml:space="preserve"> LW planowanych do </w:t>
      </w:r>
      <w:r w:rsidRPr="00795F17">
        <w:rPr>
          <w:szCs w:val="20"/>
        </w:rPr>
        <w:t xml:space="preserve">MD, MO i/lub MB </w:t>
      </w:r>
      <w:r w:rsidRPr="00795F17">
        <w:t>w latach 2022</w:t>
      </w:r>
      <w:r w:rsidR="00D40E78">
        <w:t>–</w:t>
      </w:r>
      <w:r w:rsidRPr="00795F17">
        <w:t xml:space="preserve">2027 w obszarze dorzecza Odry oraz w poszczególnych regionach wodnych zostały przedstawione w tabelach </w:t>
      </w:r>
      <w:r w:rsidR="001168D3" w:rsidRPr="00795F17">
        <w:t>5-6 i 5-7</w:t>
      </w:r>
      <w:r w:rsidRPr="00795F17">
        <w:t>.</w:t>
      </w:r>
    </w:p>
    <w:p w14:paraId="1A22C6C2" w14:textId="751A4ABA" w:rsidR="00462DD4" w:rsidRPr="00795F17" w:rsidRDefault="00462DD4" w:rsidP="004D7705">
      <w:pPr>
        <w:pStyle w:val="Tabela"/>
      </w:pPr>
      <w:bookmarkStart w:id="143" w:name="_Toc66341861"/>
      <w:bookmarkStart w:id="144" w:name="_Toc105512770"/>
      <w:r w:rsidRPr="00795F17">
        <w:t xml:space="preserve">Tabela </w:t>
      </w:r>
      <w:fldSimple w:instr=" STYLEREF 1 \s ">
        <w:r w:rsidR="001F774D">
          <w:rPr>
            <w:noProof/>
          </w:rPr>
          <w:t>5</w:t>
        </w:r>
      </w:fldSimple>
      <w:r w:rsidR="00BB3B21" w:rsidRPr="00795F17">
        <w:noBreakHyphen/>
      </w:r>
      <w:fldSimple w:instr=" SEQ Tabela \* ARABIC \s 1 ">
        <w:r w:rsidR="001F774D">
          <w:rPr>
            <w:noProof/>
          </w:rPr>
          <w:t>6</w:t>
        </w:r>
      </w:fldSimple>
      <w:r w:rsidR="00BA11D4">
        <w:rPr>
          <w:noProof/>
        </w:rPr>
        <w:t>.</w:t>
      </w:r>
      <w:r w:rsidRPr="00795F17">
        <w:tab/>
        <w:t xml:space="preserve">Liczba </w:t>
      </w:r>
      <w:r w:rsidR="00DF005E">
        <w:t>JCWP</w:t>
      </w:r>
      <w:r w:rsidRPr="00795F17">
        <w:t xml:space="preserve"> LW planowanych do monitoringu w stosunku do całkowitej liczby </w:t>
      </w:r>
      <w:r w:rsidR="00DF005E">
        <w:t>JCWP</w:t>
      </w:r>
      <w:r w:rsidRPr="00795F17">
        <w:t xml:space="preserve"> </w:t>
      </w:r>
      <w:r w:rsidR="002C3274">
        <w:t>na</w:t>
      </w:r>
      <w:r w:rsidRPr="00795F17">
        <w:t xml:space="preserve"> obszarze dorzecza Odry (porównanie cyklów planistycznych 2016</w:t>
      </w:r>
      <w:r w:rsidR="00D40E78">
        <w:t>–</w:t>
      </w:r>
      <w:r w:rsidRPr="00795F17">
        <w:t>2021 i 2022</w:t>
      </w:r>
      <w:r w:rsidR="00D40E78">
        <w:t>–</w:t>
      </w:r>
      <w:r w:rsidRPr="00795F17">
        <w:t>2027)</w:t>
      </w:r>
      <w:bookmarkEnd w:id="143"/>
      <w:bookmarkEnd w:id="1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54"/>
        <w:gridCol w:w="2003"/>
        <w:gridCol w:w="2003"/>
        <w:gridCol w:w="2001"/>
        <w:gridCol w:w="2001"/>
      </w:tblGrid>
      <w:tr w:rsidR="00462DD4" w:rsidRPr="00795F17" w14:paraId="16F89DC4" w14:textId="77777777" w:rsidTr="004A2DD7">
        <w:trPr>
          <w:trHeight w:val="454"/>
        </w:trPr>
        <w:tc>
          <w:tcPr>
            <w:tcW w:w="582" w:type="pct"/>
            <w:vMerge w:val="restart"/>
            <w:shd w:val="clear" w:color="auto" w:fill="BFBFBF" w:themeFill="background1" w:themeFillShade="BF"/>
            <w:vAlign w:val="center"/>
            <w:hideMark/>
          </w:tcPr>
          <w:p w14:paraId="432FB946" w14:textId="77777777" w:rsidR="00462DD4" w:rsidRPr="00795F17" w:rsidRDefault="00462DD4" w:rsidP="0044393D">
            <w:pPr>
              <w:pStyle w:val="Teksttabelinaglowek"/>
              <w:rPr>
                <w:rFonts w:eastAsia="Times New Roman"/>
                <w:color w:val="000000"/>
              </w:rPr>
            </w:pPr>
            <w:r w:rsidRPr="00795F17">
              <w:t>Obszar dorzecza</w:t>
            </w:r>
          </w:p>
        </w:tc>
        <w:tc>
          <w:tcPr>
            <w:tcW w:w="2209" w:type="pct"/>
            <w:gridSpan w:val="2"/>
            <w:shd w:val="clear" w:color="auto" w:fill="BFBFBF" w:themeFill="background1" w:themeFillShade="BF"/>
            <w:vAlign w:val="center"/>
            <w:hideMark/>
          </w:tcPr>
          <w:p w14:paraId="18E38022" w14:textId="15CA42F1" w:rsidR="00462DD4" w:rsidRPr="00795F17" w:rsidRDefault="00462DD4" w:rsidP="0044393D">
            <w:pPr>
              <w:pStyle w:val="Teksttabelinaglowek"/>
              <w:rPr>
                <w:rFonts w:eastAsia="Times New Roman"/>
                <w:color w:val="000000"/>
              </w:rPr>
            </w:pPr>
            <w:r w:rsidRPr="00795F17">
              <w:t>Cykl planistyczny 2016</w:t>
            </w:r>
            <w:r w:rsidR="00D94003">
              <w:t>–</w:t>
            </w:r>
            <w:r w:rsidRPr="00795F17">
              <w:t>2021</w:t>
            </w:r>
          </w:p>
        </w:tc>
        <w:tc>
          <w:tcPr>
            <w:tcW w:w="2209" w:type="pct"/>
            <w:gridSpan w:val="2"/>
            <w:shd w:val="clear" w:color="auto" w:fill="BFBFBF" w:themeFill="background1" w:themeFillShade="BF"/>
            <w:vAlign w:val="center"/>
            <w:hideMark/>
          </w:tcPr>
          <w:p w14:paraId="6AB759B0" w14:textId="2EA51D5C" w:rsidR="00462DD4" w:rsidRPr="00795F17" w:rsidRDefault="00462DD4" w:rsidP="0044393D">
            <w:pPr>
              <w:pStyle w:val="Teksttabelinaglowek"/>
              <w:rPr>
                <w:rFonts w:eastAsia="Times New Roman"/>
                <w:color w:val="000000"/>
              </w:rPr>
            </w:pPr>
            <w:r w:rsidRPr="00795F17">
              <w:t>Cykl planistyczny 2022</w:t>
            </w:r>
            <w:r w:rsidR="00D94003">
              <w:t>–</w:t>
            </w:r>
            <w:r w:rsidRPr="00795F17">
              <w:t>2027</w:t>
            </w:r>
          </w:p>
        </w:tc>
      </w:tr>
      <w:tr w:rsidR="00462DD4" w:rsidRPr="00795F17" w14:paraId="47B3C8B8" w14:textId="77777777" w:rsidTr="004A2DD7">
        <w:trPr>
          <w:trHeight w:val="454"/>
        </w:trPr>
        <w:tc>
          <w:tcPr>
            <w:tcW w:w="582" w:type="pct"/>
            <w:vMerge/>
            <w:shd w:val="clear" w:color="auto" w:fill="BFBFBF" w:themeFill="background1" w:themeFillShade="BF"/>
            <w:vAlign w:val="center"/>
            <w:hideMark/>
          </w:tcPr>
          <w:p w14:paraId="5AC92019" w14:textId="77777777" w:rsidR="00462DD4" w:rsidRPr="00795F17" w:rsidRDefault="00462DD4" w:rsidP="0044393D">
            <w:pPr>
              <w:pStyle w:val="Teksttabelinaglowek"/>
            </w:pPr>
          </w:p>
        </w:tc>
        <w:tc>
          <w:tcPr>
            <w:tcW w:w="1105" w:type="pct"/>
            <w:shd w:val="clear" w:color="auto" w:fill="BFBFBF" w:themeFill="background1" w:themeFillShade="BF"/>
            <w:vAlign w:val="center"/>
            <w:hideMark/>
          </w:tcPr>
          <w:p w14:paraId="70E14C40" w14:textId="3BB98208" w:rsidR="00462DD4" w:rsidRPr="00795F17" w:rsidRDefault="00462DD4" w:rsidP="0044393D">
            <w:pPr>
              <w:pStyle w:val="Teksttabelinaglowek"/>
              <w:rPr>
                <w:rFonts w:eastAsia="Times New Roman"/>
                <w:color w:val="000000"/>
              </w:rPr>
            </w:pPr>
            <w:r w:rsidRPr="00795F17">
              <w:t xml:space="preserve">Liczba </w:t>
            </w:r>
            <w:r w:rsidR="00DF005E">
              <w:t>JCWP</w:t>
            </w:r>
            <w:r w:rsidRPr="00795F17">
              <w:t xml:space="preserve"> </w:t>
            </w:r>
            <w:r w:rsidRPr="00795F17">
              <w:rPr>
                <w:rFonts w:cs="Calibri"/>
                <w:color w:val="000000"/>
              </w:rPr>
              <w:t>LW</w:t>
            </w:r>
          </w:p>
        </w:tc>
        <w:tc>
          <w:tcPr>
            <w:tcW w:w="1105" w:type="pct"/>
            <w:shd w:val="clear" w:color="auto" w:fill="BFBFBF" w:themeFill="background1" w:themeFillShade="BF"/>
            <w:vAlign w:val="center"/>
            <w:hideMark/>
          </w:tcPr>
          <w:p w14:paraId="0E37260B" w14:textId="59F25E7C" w:rsidR="00462DD4" w:rsidRPr="00795F17" w:rsidRDefault="00462DD4" w:rsidP="0044393D">
            <w:pPr>
              <w:pStyle w:val="Teksttabelinaglowek"/>
            </w:pPr>
            <w:r w:rsidRPr="00795F17">
              <w:t xml:space="preserve">Liczba </w:t>
            </w:r>
            <w:r w:rsidR="00DF005E">
              <w:t>JCWP</w:t>
            </w:r>
            <w:r w:rsidRPr="00795F17">
              <w:t xml:space="preserve"> objęta monitoringiem</w:t>
            </w:r>
          </w:p>
        </w:tc>
        <w:tc>
          <w:tcPr>
            <w:tcW w:w="1104" w:type="pct"/>
            <w:shd w:val="clear" w:color="auto" w:fill="BFBFBF" w:themeFill="background1" w:themeFillShade="BF"/>
            <w:vAlign w:val="center"/>
            <w:hideMark/>
          </w:tcPr>
          <w:p w14:paraId="74BB31F5" w14:textId="5126B40F" w:rsidR="00462DD4" w:rsidRPr="00795F17" w:rsidRDefault="00462DD4" w:rsidP="0044393D">
            <w:pPr>
              <w:pStyle w:val="Teksttabelinaglowek"/>
              <w:rPr>
                <w:rFonts w:eastAsia="Times New Roman"/>
                <w:color w:val="000000"/>
              </w:rPr>
            </w:pPr>
            <w:r w:rsidRPr="00795F17">
              <w:t xml:space="preserve">Liczba </w:t>
            </w:r>
            <w:r w:rsidR="00DF005E">
              <w:t>JCWP</w:t>
            </w:r>
            <w:r w:rsidRPr="00795F17">
              <w:t xml:space="preserve"> LW</w:t>
            </w:r>
          </w:p>
        </w:tc>
        <w:tc>
          <w:tcPr>
            <w:tcW w:w="1105" w:type="pct"/>
            <w:shd w:val="clear" w:color="auto" w:fill="BFBFBF" w:themeFill="background1" w:themeFillShade="BF"/>
            <w:vAlign w:val="center"/>
            <w:hideMark/>
          </w:tcPr>
          <w:p w14:paraId="4C788C86" w14:textId="43383590" w:rsidR="00462DD4" w:rsidRPr="00795F17" w:rsidRDefault="00462DD4" w:rsidP="0044393D">
            <w:pPr>
              <w:pStyle w:val="Teksttabelinaglowek"/>
              <w:rPr>
                <w:rFonts w:eastAsia="Times New Roman"/>
                <w:color w:val="000000"/>
              </w:rPr>
            </w:pPr>
            <w:r w:rsidRPr="00795F17">
              <w:t xml:space="preserve">Liczba </w:t>
            </w:r>
            <w:r w:rsidR="00DF005E">
              <w:t>JCWP</w:t>
            </w:r>
            <w:r w:rsidRPr="00795F17">
              <w:t xml:space="preserve"> z ppk</w:t>
            </w:r>
          </w:p>
        </w:tc>
      </w:tr>
      <w:tr w:rsidR="00462DD4" w:rsidRPr="00795F17" w14:paraId="6A14DBAD" w14:textId="77777777" w:rsidTr="004A2DD7">
        <w:trPr>
          <w:trHeight w:val="454"/>
        </w:trPr>
        <w:tc>
          <w:tcPr>
            <w:tcW w:w="582" w:type="pct"/>
            <w:shd w:val="clear" w:color="auto" w:fill="auto"/>
            <w:vAlign w:val="center"/>
            <w:hideMark/>
          </w:tcPr>
          <w:p w14:paraId="57282517" w14:textId="419F782B" w:rsidR="00462DD4" w:rsidRPr="00795F17" w:rsidRDefault="00462DD4" w:rsidP="0065243A">
            <w:pPr>
              <w:pStyle w:val="Teksttabelisrodek"/>
              <w:rPr>
                <w:rFonts w:eastAsia="Times New Roman"/>
                <w:color w:val="000000"/>
              </w:rPr>
            </w:pPr>
            <w:r w:rsidRPr="00795F17">
              <w:t>Odr</w:t>
            </w:r>
            <w:r w:rsidR="00E83CCE" w:rsidRPr="00795F17">
              <w:t>a</w:t>
            </w:r>
          </w:p>
        </w:tc>
        <w:tc>
          <w:tcPr>
            <w:tcW w:w="1105" w:type="pct"/>
            <w:shd w:val="clear" w:color="auto" w:fill="auto"/>
            <w:vAlign w:val="center"/>
            <w:hideMark/>
          </w:tcPr>
          <w:p w14:paraId="3A23D2ED" w14:textId="77777777" w:rsidR="00462DD4" w:rsidRPr="00795F17" w:rsidRDefault="00462DD4" w:rsidP="0065243A">
            <w:pPr>
              <w:pStyle w:val="Teksttabelisrodek"/>
              <w:rPr>
                <w:rFonts w:eastAsia="Times New Roman"/>
                <w:color w:val="000000"/>
              </w:rPr>
            </w:pPr>
            <w:r w:rsidRPr="00795F17">
              <w:t>422</w:t>
            </w:r>
          </w:p>
        </w:tc>
        <w:tc>
          <w:tcPr>
            <w:tcW w:w="1105" w:type="pct"/>
            <w:shd w:val="clear" w:color="auto" w:fill="auto"/>
            <w:vAlign w:val="center"/>
            <w:hideMark/>
          </w:tcPr>
          <w:p w14:paraId="0B5F9356" w14:textId="77777777" w:rsidR="00462DD4" w:rsidRPr="00795F17" w:rsidRDefault="00462DD4" w:rsidP="0065243A">
            <w:pPr>
              <w:pStyle w:val="Teksttabelisrodek"/>
              <w:rPr>
                <w:rFonts w:eastAsia="Times New Roman"/>
                <w:color w:val="000000"/>
              </w:rPr>
            </w:pPr>
            <w:r w:rsidRPr="00795F17">
              <w:t>240</w:t>
            </w:r>
          </w:p>
        </w:tc>
        <w:tc>
          <w:tcPr>
            <w:tcW w:w="1104" w:type="pct"/>
            <w:shd w:val="clear" w:color="auto" w:fill="auto"/>
            <w:vAlign w:val="center"/>
            <w:hideMark/>
          </w:tcPr>
          <w:p w14:paraId="6CA3F76C" w14:textId="77777777" w:rsidR="00462DD4" w:rsidRPr="00795F17" w:rsidRDefault="00462DD4" w:rsidP="0065243A">
            <w:pPr>
              <w:pStyle w:val="Teksttabelisrodek"/>
              <w:rPr>
                <w:rFonts w:eastAsia="Times New Roman"/>
                <w:color w:val="000000"/>
              </w:rPr>
            </w:pPr>
            <w:r w:rsidRPr="00795F17">
              <w:t>427</w:t>
            </w:r>
          </w:p>
        </w:tc>
        <w:tc>
          <w:tcPr>
            <w:tcW w:w="1105" w:type="pct"/>
            <w:shd w:val="clear" w:color="auto" w:fill="auto"/>
            <w:vAlign w:val="center"/>
            <w:hideMark/>
          </w:tcPr>
          <w:p w14:paraId="6957D860" w14:textId="77777777" w:rsidR="00462DD4" w:rsidRPr="00795F17" w:rsidRDefault="00462DD4" w:rsidP="0065243A">
            <w:pPr>
              <w:pStyle w:val="Teksttabelisrodek"/>
              <w:rPr>
                <w:rFonts w:eastAsia="Times New Roman"/>
                <w:color w:val="000000"/>
              </w:rPr>
            </w:pPr>
            <w:r w:rsidRPr="00795F17">
              <w:t>388</w:t>
            </w:r>
          </w:p>
        </w:tc>
      </w:tr>
    </w:tbl>
    <w:p w14:paraId="3D3C5EE7" w14:textId="0F640BBF" w:rsidR="00462DD4" w:rsidRPr="00795F17" w:rsidRDefault="00462DD4" w:rsidP="0044393D">
      <w:pPr>
        <w:pStyle w:val="rdo"/>
      </w:pPr>
      <w:r w:rsidRPr="00795F17">
        <w:t xml:space="preserve">Źródło: </w:t>
      </w:r>
      <w:r w:rsidR="00FD7248" w:rsidRPr="00795F17">
        <w:t>opracowanie własne</w:t>
      </w:r>
      <w:r w:rsidRPr="00795F17">
        <w:t xml:space="preserve"> na podstawie danych GIOŚ dot. sieci monitoringu 2022</w:t>
      </w:r>
      <w:r w:rsidR="00D40E78">
        <w:t>–</w:t>
      </w:r>
      <w:r w:rsidRPr="00795F17">
        <w:t>2027</w:t>
      </w:r>
    </w:p>
    <w:p w14:paraId="0E9940D9" w14:textId="77777777" w:rsidR="00C92C78" w:rsidRPr="00795F17" w:rsidRDefault="00C92C78" w:rsidP="00C92C78"/>
    <w:p w14:paraId="4F9BA49D" w14:textId="77777777" w:rsidR="00462DD4" w:rsidRPr="00795F17" w:rsidRDefault="00462DD4" w:rsidP="00936F57">
      <w:pPr>
        <w:jc w:val="center"/>
        <w:rPr>
          <w:sz w:val="20"/>
          <w:szCs w:val="20"/>
        </w:rPr>
      </w:pPr>
      <w:r w:rsidRPr="00795F17">
        <w:rPr>
          <w:noProof/>
          <w:lang w:eastAsia="pl-PL"/>
        </w:rPr>
        <w:drawing>
          <wp:inline distT="0" distB="0" distL="0" distR="0" wp14:anchorId="3B1BEAA1" wp14:editId="45CADC0F">
            <wp:extent cx="4320000" cy="2520000"/>
            <wp:effectExtent l="0" t="0" r="4445" b="13970"/>
            <wp:docPr id="21" name="Chart 6">
              <a:extLst xmlns:a="http://schemas.openxmlformats.org/drawingml/2006/main">
                <a:ext uri="{FF2B5EF4-FFF2-40B4-BE49-F238E27FC236}">
                  <a16:creationId xmlns:a16="http://schemas.microsoft.com/office/drawing/2014/main" id="{897D2B4A-647C-4ABA-B621-F06470F1BA7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106F0FB" w14:textId="48A06DC0" w:rsidR="00462DD4" w:rsidRPr="00795F17" w:rsidRDefault="00462DD4" w:rsidP="00B479EE">
      <w:pPr>
        <w:pStyle w:val="Wykres"/>
      </w:pPr>
      <w:bookmarkStart w:id="145" w:name="_Toc66272998"/>
      <w:bookmarkStart w:id="146" w:name="_Toc105512956"/>
      <w:r w:rsidRPr="00795F17">
        <w:t xml:space="preserve">Wykres </w:t>
      </w:r>
      <w:fldSimple w:instr=" STYLEREF 1 \s ">
        <w:r w:rsidR="001F774D">
          <w:rPr>
            <w:noProof/>
          </w:rPr>
          <w:t>5</w:t>
        </w:r>
      </w:fldSimple>
      <w:r w:rsidR="00FF20D3">
        <w:noBreakHyphen/>
      </w:r>
      <w:fldSimple w:instr=" SEQ Wykres \* ARABIC \s 1 ">
        <w:r w:rsidR="001F774D">
          <w:rPr>
            <w:noProof/>
          </w:rPr>
          <w:t>2</w:t>
        </w:r>
      </w:fldSimple>
      <w:r w:rsidR="00DD6415">
        <w:rPr>
          <w:noProof/>
        </w:rPr>
        <w:t>.</w:t>
      </w:r>
      <w:r w:rsidRPr="00795F17">
        <w:tab/>
        <w:t xml:space="preserve">Udział </w:t>
      </w:r>
      <w:r w:rsidR="00DF005E">
        <w:t>JCWP</w:t>
      </w:r>
      <w:r w:rsidRPr="00795F17">
        <w:t xml:space="preserve"> LW planowanych do objęcia monitoringiem w latach 2022</w:t>
      </w:r>
      <w:r w:rsidR="00D40E78">
        <w:t>–</w:t>
      </w:r>
      <w:r w:rsidRPr="00795F17">
        <w:t xml:space="preserve">2027 w stosunku do ogólnej liczby </w:t>
      </w:r>
      <w:r w:rsidR="00DF005E">
        <w:t>JCWP</w:t>
      </w:r>
      <w:r w:rsidRPr="00795F17">
        <w:t xml:space="preserve"> danej kategorii </w:t>
      </w:r>
      <w:r w:rsidR="00E748F9">
        <w:t>na</w:t>
      </w:r>
      <w:r w:rsidRPr="00795F17">
        <w:t xml:space="preserve"> obszarze dorzecza Odry</w:t>
      </w:r>
      <w:bookmarkEnd w:id="145"/>
      <w:bookmarkEnd w:id="146"/>
    </w:p>
    <w:p w14:paraId="22578DC6" w14:textId="6D8F78E8" w:rsidR="00462DD4" w:rsidRPr="00795F17" w:rsidRDefault="00462DD4" w:rsidP="0044393D">
      <w:pPr>
        <w:pStyle w:val="rdo"/>
      </w:pPr>
      <w:r w:rsidRPr="00795F17">
        <w:t xml:space="preserve">Źródło: </w:t>
      </w:r>
      <w:r w:rsidR="00FD7248" w:rsidRPr="00795F17">
        <w:t>opracowanie własne</w:t>
      </w:r>
      <w:r w:rsidRPr="00795F17">
        <w:t xml:space="preserve"> na podstawie danych GIOŚ dot. sieci monitoringu 2022</w:t>
      </w:r>
      <w:r w:rsidR="00D40E78">
        <w:t>–</w:t>
      </w:r>
      <w:r w:rsidRPr="00795F17">
        <w:t>2027</w:t>
      </w:r>
    </w:p>
    <w:p w14:paraId="3CBC4331" w14:textId="77777777" w:rsidR="00F05EFB" w:rsidRPr="00795F17" w:rsidRDefault="00F05EFB" w:rsidP="0044393D"/>
    <w:p w14:paraId="13E6AE70" w14:textId="0CB1B962" w:rsidR="00462DD4" w:rsidRPr="00795F17" w:rsidRDefault="00626268" w:rsidP="004D7705">
      <w:pPr>
        <w:pStyle w:val="Tabela"/>
      </w:pPr>
      <w:bookmarkStart w:id="147" w:name="_Toc66341862"/>
      <w:bookmarkStart w:id="148" w:name="_Toc105512771"/>
      <w:r w:rsidRPr="00795F17">
        <w:t>Tabela</w:t>
      </w:r>
      <w:r w:rsidR="00462DD4" w:rsidRPr="00795F17">
        <w:t xml:space="preserve"> </w:t>
      </w:r>
      <w:fldSimple w:instr=" STYLEREF 1 \s ">
        <w:r w:rsidR="001F774D">
          <w:rPr>
            <w:noProof/>
          </w:rPr>
          <w:t>5</w:t>
        </w:r>
      </w:fldSimple>
      <w:r w:rsidR="00BB3B21" w:rsidRPr="00795F17">
        <w:noBreakHyphen/>
      </w:r>
      <w:fldSimple w:instr=" SEQ Tabela \* ARABIC \s 1 ">
        <w:r w:rsidR="001F774D">
          <w:rPr>
            <w:noProof/>
          </w:rPr>
          <w:t>7</w:t>
        </w:r>
      </w:fldSimple>
      <w:r w:rsidR="00BA11D4">
        <w:rPr>
          <w:noProof/>
        </w:rPr>
        <w:t>.</w:t>
      </w:r>
      <w:r w:rsidR="00462DD4" w:rsidRPr="00795F17">
        <w:tab/>
        <w:t xml:space="preserve">Liczba </w:t>
      </w:r>
      <w:r w:rsidR="00DF005E">
        <w:t>JCWP</w:t>
      </w:r>
      <w:r w:rsidR="00462DD4" w:rsidRPr="00795F17">
        <w:t xml:space="preserve"> LW planowanych do MD, MO i/lub MB</w:t>
      </w:r>
      <w:r w:rsidR="00186779">
        <w:t xml:space="preserve"> </w:t>
      </w:r>
      <w:r w:rsidR="00462DD4" w:rsidRPr="00795F17">
        <w:t>w latach 2022</w:t>
      </w:r>
      <w:r w:rsidR="00D40E78">
        <w:t>–</w:t>
      </w:r>
      <w:r w:rsidR="00462DD4" w:rsidRPr="00795F17">
        <w:t xml:space="preserve">2027 w stosunku do całkowitej liczby </w:t>
      </w:r>
      <w:r w:rsidR="00DF005E">
        <w:t>JCWP</w:t>
      </w:r>
      <w:r w:rsidR="00462DD4" w:rsidRPr="00795F17">
        <w:t xml:space="preserve"> danych kategorii w podziale na regiony wodne</w:t>
      </w:r>
      <w:bookmarkEnd w:id="147"/>
      <w:bookmarkEnd w:id="148"/>
      <w:r w:rsidR="00462DD4" w:rsidRPr="00795F17">
        <w:t xml:space="preserve"> </w:t>
      </w:r>
    </w:p>
    <w:tbl>
      <w:tblPr>
        <w:tblW w:w="9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5"/>
        <w:gridCol w:w="820"/>
        <w:gridCol w:w="820"/>
        <w:gridCol w:w="830"/>
        <w:gridCol w:w="835"/>
        <w:gridCol w:w="828"/>
        <w:gridCol w:w="1346"/>
        <w:gridCol w:w="1332"/>
        <w:gridCol w:w="976"/>
      </w:tblGrid>
      <w:tr w:rsidR="00B54ACD" w:rsidRPr="00795F17" w14:paraId="6A34701A" w14:textId="77777777" w:rsidTr="00AF13C9">
        <w:trPr>
          <w:trHeight w:val="454"/>
          <w:tblHeader/>
          <w:jc w:val="center"/>
        </w:trPr>
        <w:tc>
          <w:tcPr>
            <w:tcW w:w="1334" w:type="dxa"/>
            <w:vMerge w:val="restart"/>
            <w:shd w:val="clear" w:color="auto" w:fill="BFBFBF"/>
            <w:vAlign w:val="center"/>
            <w:hideMark/>
          </w:tcPr>
          <w:p w14:paraId="1B2096D7" w14:textId="577CDE81" w:rsidR="00B54ACD" w:rsidRPr="00795F17" w:rsidRDefault="00B54ACD" w:rsidP="00AF13C9">
            <w:pPr>
              <w:pStyle w:val="Teksttabelinaglowek"/>
            </w:pPr>
            <w:bookmarkStart w:id="149" w:name="_Hlk67060516"/>
            <w:r w:rsidRPr="00795F17">
              <w:t xml:space="preserve">Regiony wodne </w:t>
            </w:r>
            <w:r w:rsidR="007C6857">
              <w:t>na</w:t>
            </w:r>
            <w:r w:rsidRPr="00795F17">
              <w:t xml:space="preserve"> obszarze dorzecza Odry</w:t>
            </w:r>
          </w:p>
        </w:tc>
        <w:tc>
          <w:tcPr>
            <w:tcW w:w="7718" w:type="dxa"/>
            <w:gridSpan w:val="8"/>
            <w:shd w:val="clear" w:color="auto" w:fill="BFBFBF"/>
            <w:vAlign w:val="center"/>
            <w:hideMark/>
          </w:tcPr>
          <w:p w14:paraId="4C476682" w14:textId="6C70EA6E" w:rsidR="00B54ACD" w:rsidRPr="00795F17" w:rsidRDefault="00B54ACD" w:rsidP="00AF13C9">
            <w:pPr>
              <w:pStyle w:val="Teksttabelinaglowek"/>
            </w:pPr>
            <w:r w:rsidRPr="00795F17">
              <w:t>Cykl planistyczny 2022</w:t>
            </w:r>
            <w:r w:rsidR="00D40E78">
              <w:t>–</w:t>
            </w:r>
            <w:r w:rsidRPr="00795F17">
              <w:t>2027</w:t>
            </w:r>
          </w:p>
        </w:tc>
      </w:tr>
      <w:tr w:rsidR="00B54ACD" w:rsidRPr="00795F17" w14:paraId="0779F64B" w14:textId="77777777" w:rsidTr="00AF13C9">
        <w:trPr>
          <w:trHeight w:val="454"/>
          <w:tblHeader/>
          <w:jc w:val="center"/>
        </w:trPr>
        <w:tc>
          <w:tcPr>
            <w:tcW w:w="0" w:type="auto"/>
            <w:vMerge/>
            <w:vAlign w:val="center"/>
            <w:hideMark/>
          </w:tcPr>
          <w:p w14:paraId="78BD7E57" w14:textId="77777777" w:rsidR="00B54ACD" w:rsidRPr="00795F17" w:rsidRDefault="00B54ACD" w:rsidP="00AF13C9">
            <w:pPr>
              <w:pStyle w:val="Teksttabelinaglowek"/>
            </w:pPr>
          </w:p>
        </w:tc>
        <w:tc>
          <w:tcPr>
            <w:tcW w:w="7718" w:type="dxa"/>
            <w:gridSpan w:val="8"/>
            <w:shd w:val="clear" w:color="auto" w:fill="BFBFBF"/>
            <w:vAlign w:val="center"/>
            <w:hideMark/>
          </w:tcPr>
          <w:p w14:paraId="18A4DB33" w14:textId="5678580D" w:rsidR="00B54ACD" w:rsidRPr="00795F17" w:rsidRDefault="00DF005E" w:rsidP="00AF13C9">
            <w:pPr>
              <w:pStyle w:val="Teksttabelinaglowek"/>
            </w:pPr>
            <w:r>
              <w:t>JCWP</w:t>
            </w:r>
            <w:r w:rsidR="00B54ACD" w:rsidRPr="00795F17">
              <w:t xml:space="preserve"> LW</w:t>
            </w:r>
          </w:p>
        </w:tc>
      </w:tr>
      <w:tr w:rsidR="00B54ACD" w:rsidRPr="00795F17" w14:paraId="6D3E66AC" w14:textId="77777777" w:rsidTr="00AF13C9">
        <w:trPr>
          <w:trHeight w:val="454"/>
          <w:tblHeader/>
          <w:jc w:val="center"/>
        </w:trPr>
        <w:tc>
          <w:tcPr>
            <w:tcW w:w="0" w:type="auto"/>
            <w:vMerge/>
            <w:vAlign w:val="center"/>
            <w:hideMark/>
          </w:tcPr>
          <w:p w14:paraId="6CEA48A6" w14:textId="77777777" w:rsidR="00B54ACD" w:rsidRPr="00795F17" w:rsidRDefault="00B54ACD" w:rsidP="00AF13C9">
            <w:pPr>
              <w:pStyle w:val="Teksttabelinaglowek"/>
            </w:pPr>
          </w:p>
        </w:tc>
        <w:tc>
          <w:tcPr>
            <w:tcW w:w="960" w:type="dxa"/>
            <w:shd w:val="clear" w:color="auto" w:fill="BFBFBF"/>
            <w:vAlign w:val="center"/>
            <w:hideMark/>
          </w:tcPr>
          <w:p w14:paraId="72F20B5A" w14:textId="0AF14F71" w:rsidR="00B54ACD" w:rsidRPr="00795F17" w:rsidRDefault="00B54ACD" w:rsidP="00AF13C9">
            <w:pPr>
              <w:pStyle w:val="Teksttabelinaglowek"/>
            </w:pPr>
            <w:r w:rsidRPr="00795F17">
              <w:t xml:space="preserve">Liczba </w:t>
            </w:r>
            <w:r w:rsidR="00DF005E">
              <w:t>JCWP</w:t>
            </w:r>
          </w:p>
        </w:tc>
        <w:tc>
          <w:tcPr>
            <w:tcW w:w="960" w:type="dxa"/>
            <w:shd w:val="clear" w:color="auto" w:fill="BFBFBF"/>
            <w:vAlign w:val="center"/>
            <w:hideMark/>
          </w:tcPr>
          <w:p w14:paraId="4AAA700F" w14:textId="08B2A520" w:rsidR="00B54ACD" w:rsidRPr="00795F17" w:rsidRDefault="00B54ACD" w:rsidP="00AF13C9">
            <w:pPr>
              <w:pStyle w:val="Teksttabelinaglowek"/>
            </w:pPr>
            <w:r w:rsidRPr="00795F17">
              <w:t xml:space="preserve">Liczba </w:t>
            </w:r>
            <w:r w:rsidR="00DF005E">
              <w:t>JCWP</w:t>
            </w:r>
            <w:r w:rsidRPr="00795F17">
              <w:t xml:space="preserve"> z ppk</w:t>
            </w:r>
          </w:p>
        </w:tc>
        <w:tc>
          <w:tcPr>
            <w:tcW w:w="960" w:type="dxa"/>
            <w:shd w:val="clear" w:color="auto" w:fill="BFBFBF"/>
            <w:vAlign w:val="center"/>
            <w:hideMark/>
          </w:tcPr>
          <w:p w14:paraId="0799CCBD" w14:textId="5ED5AA89" w:rsidR="00B54ACD" w:rsidRPr="00795F17" w:rsidRDefault="00B54ACD" w:rsidP="00AF13C9">
            <w:pPr>
              <w:pStyle w:val="Teksttabelinaglowek"/>
            </w:pPr>
            <w:r w:rsidRPr="00795F17">
              <w:t xml:space="preserve">Udział </w:t>
            </w:r>
            <w:r w:rsidR="00DF005E">
              <w:t>JCWP</w:t>
            </w:r>
            <w:r w:rsidRPr="00795F17">
              <w:t xml:space="preserve"> z MD*</w:t>
            </w:r>
          </w:p>
          <w:p w14:paraId="3250279B" w14:textId="77777777" w:rsidR="00B54ACD" w:rsidRPr="00795F17" w:rsidRDefault="00B54ACD" w:rsidP="00AF13C9">
            <w:pPr>
              <w:pStyle w:val="Teksttabelinaglowek"/>
              <w:rPr>
                <w:rFonts w:eastAsia="Times New Roman"/>
              </w:rPr>
            </w:pPr>
            <w:r w:rsidRPr="00795F17">
              <w:t>(%)</w:t>
            </w:r>
          </w:p>
        </w:tc>
        <w:tc>
          <w:tcPr>
            <w:tcW w:w="961" w:type="dxa"/>
            <w:shd w:val="clear" w:color="auto" w:fill="BFBFBF"/>
            <w:vAlign w:val="center"/>
            <w:hideMark/>
          </w:tcPr>
          <w:p w14:paraId="480C40F2" w14:textId="765BF8EB" w:rsidR="00B54ACD" w:rsidRPr="00795F17" w:rsidRDefault="00B54ACD" w:rsidP="00AF13C9">
            <w:pPr>
              <w:pStyle w:val="Teksttabelinaglowek"/>
            </w:pPr>
            <w:r w:rsidRPr="00795F17">
              <w:t xml:space="preserve">Udział </w:t>
            </w:r>
            <w:r w:rsidR="00DF005E">
              <w:t>JCWP</w:t>
            </w:r>
            <w:r w:rsidRPr="00795F17">
              <w:t xml:space="preserve"> z MO*</w:t>
            </w:r>
          </w:p>
          <w:p w14:paraId="19246360" w14:textId="77777777" w:rsidR="00B54ACD" w:rsidRPr="00795F17" w:rsidRDefault="00B54ACD" w:rsidP="00AF13C9">
            <w:pPr>
              <w:pStyle w:val="Teksttabelinaglowek"/>
              <w:rPr>
                <w:rFonts w:eastAsia="Times New Roman"/>
              </w:rPr>
            </w:pPr>
            <w:r w:rsidRPr="00795F17">
              <w:t>(%)</w:t>
            </w:r>
          </w:p>
        </w:tc>
        <w:tc>
          <w:tcPr>
            <w:tcW w:w="962" w:type="dxa"/>
            <w:shd w:val="clear" w:color="auto" w:fill="BFBFBF"/>
            <w:vAlign w:val="center"/>
            <w:hideMark/>
          </w:tcPr>
          <w:p w14:paraId="24051D16" w14:textId="7C5B9765" w:rsidR="00B54ACD" w:rsidRPr="00795F17" w:rsidRDefault="00B54ACD" w:rsidP="00AF13C9">
            <w:pPr>
              <w:pStyle w:val="Teksttabelinaglowek"/>
            </w:pPr>
            <w:r w:rsidRPr="00795F17">
              <w:t xml:space="preserve">Udział </w:t>
            </w:r>
            <w:r w:rsidR="00DF005E">
              <w:t>JCWP</w:t>
            </w:r>
            <w:r w:rsidRPr="00795F17">
              <w:t xml:space="preserve"> z MB*</w:t>
            </w:r>
          </w:p>
          <w:p w14:paraId="7339AC35" w14:textId="77777777" w:rsidR="00B54ACD" w:rsidRPr="00795F17" w:rsidRDefault="00B54ACD" w:rsidP="00AF13C9">
            <w:pPr>
              <w:pStyle w:val="Teksttabelinaglowek"/>
              <w:rPr>
                <w:rFonts w:eastAsia="Times New Roman"/>
              </w:rPr>
            </w:pPr>
            <w:r w:rsidRPr="00795F17">
              <w:t xml:space="preserve">(%) </w:t>
            </w:r>
          </w:p>
        </w:tc>
        <w:tc>
          <w:tcPr>
            <w:tcW w:w="982" w:type="dxa"/>
            <w:shd w:val="clear" w:color="auto" w:fill="BFBFBF"/>
            <w:vAlign w:val="center"/>
            <w:hideMark/>
          </w:tcPr>
          <w:p w14:paraId="06905795" w14:textId="0CB2ADB3" w:rsidR="00B54ACD" w:rsidRPr="00795F17" w:rsidRDefault="00B54ACD" w:rsidP="00AF13C9">
            <w:pPr>
              <w:pStyle w:val="Teksttabelinaglowek"/>
            </w:pPr>
            <w:r w:rsidRPr="00795F17">
              <w:t xml:space="preserve">Udział </w:t>
            </w:r>
            <w:r w:rsidR="00DF005E">
              <w:t>JCWP</w:t>
            </w:r>
            <w:r w:rsidRPr="00795F17">
              <w:t xml:space="preserve"> z MD+MO*(%) </w:t>
            </w:r>
          </w:p>
        </w:tc>
        <w:tc>
          <w:tcPr>
            <w:tcW w:w="969" w:type="dxa"/>
            <w:shd w:val="clear" w:color="auto" w:fill="BFBFBF"/>
            <w:vAlign w:val="center"/>
            <w:hideMark/>
          </w:tcPr>
          <w:p w14:paraId="6A7C9903" w14:textId="49EFDA38" w:rsidR="00B54ACD" w:rsidRPr="00795F17" w:rsidRDefault="00B54ACD" w:rsidP="00AF13C9">
            <w:pPr>
              <w:pStyle w:val="Teksttabelinaglowek"/>
            </w:pPr>
            <w:r w:rsidRPr="00795F17">
              <w:t xml:space="preserve">Udział </w:t>
            </w:r>
            <w:r w:rsidR="00DF005E">
              <w:t>JCWP</w:t>
            </w:r>
            <w:r w:rsidRPr="00795F17">
              <w:t xml:space="preserve"> z MO+MB*(%) </w:t>
            </w:r>
          </w:p>
        </w:tc>
        <w:tc>
          <w:tcPr>
            <w:tcW w:w="964" w:type="dxa"/>
            <w:shd w:val="clear" w:color="auto" w:fill="BFBFBF"/>
            <w:vAlign w:val="center"/>
            <w:hideMark/>
          </w:tcPr>
          <w:p w14:paraId="4906F689" w14:textId="5F6076F6" w:rsidR="00B54ACD" w:rsidRPr="00795F17" w:rsidRDefault="00B54ACD" w:rsidP="00AF13C9">
            <w:pPr>
              <w:pStyle w:val="Teksttabelinaglowek"/>
            </w:pPr>
            <w:r w:rsidRPr="00795F17">
              <w:t xml:space="preserve">Udział </w:t>
            </w:r>
            <w:r w:rsidR="00DF005E">
              <w:t>JCWP</w:t>
            </w:r>
            <w:r w:rsidRPr="00795F17">
              <w:t xml:space="preserve"> z MD+MO</w:t>
            </w:r>
          </w:p>
          <w:p w14:paraId="2B2CB592" w14:textId="73C988A2" w:rsidR="00B54ACD" w:rsidRPr="00795F17" w:rsidRDefault="00B54ACD" w:rsidP="00AF13C9">
            <w:pPr>
              <w:pStyle w:val="Teksttabelinaglowek"/>
            </w:pPr>
            <w:r w:rsidRPr="00795F17">
              <w:t>+MB* (%)</w:t>
            </w:r>
          </w:p>
        </w:tc>
      </w:tr>
      <w:tr w:rsidR="00B54ACD" w:rsidRPr="00795F17" w14:paraId="220C2E2F" w14:textId="77777777" w:rsidTr="00AF13C9">
        <w:trPr>
          <w:trHeight w:val="454"/>
          <w:jc w:val="center"/>
        </w:trPr>
        <w:tc>
          <w:tcPr>
            <w:tcW w:w="1334" w:type="dxa"/>
            <w:vAlign w:val="center"/>
            <w:hideMark/>
          </w:tcPr>
          <w:p w14:paraId="0DF5BD03" w14:textId="77777777" w:rsidR="00B54ACD" w:rsidRPr="00795F17" w:rsidRDefault="00B54ACD" w:rsidP="00AF13C9">
            <w:pPr>
              <w:pStyle w:val="Teksttabelilewy"/>
              <w:rPr>
                <w:lang w:eastAsia="pl-PL"/>
              </w:rPr>
            </w:pPr>
            <w:r w:rsidRPr="00795F17">
              <w:rPr>
                <w:lang w:eastAsia="pl-PL"/>
              </w:rPr>
              <w:t>Górnej Odry</w:t>
            </w:r>
          </w:p>
        </w:tc>
        <w:tc>
          <w:tcPr>
            <w:tcW w:w="960" w:type="dxa"/>
            <w:vAlign w:val="center"/>
            <w:hideMark/>
          </w:tcPr>
          <w:p w14:paraId="2760DE8E" w14:textId="77777777" w:rsidR="00B54ACD" w:rsidRPr="00795F17" w:rsidRDefault="00B54ACD" w:rsidP="00AF13C9">
            <w:pPr>
              <w:pStyle w:val="Teksttabelisrodek"/>
              <w:rPr>
                <w:rFonts w:eastAsia="Times New Roman"/>
              </w:rPr>
            </w:pPr>
            <w:r w:rsidRPr="00795F17">
              <w:t>1</w:t>
            </w:r>
          </w:p>
        </w:tc>
        <w:tc>
          <w:tcPr>
            <w:tcW w:w="960" w:type="dxa"/>
            <w:vAlign w:val="center"/>
            <w:hideMark/>
          </w:tcPr>
          <w:p w14:paraId="4A46A57B" w14:textId="77777777" w:rsidR="00B54ACD" w:rsidRPr="00795F17" w:rsidRDefault="00B54ACD" w:rsidP="00AF13C9">
            <w:pPr>
              <w:pStyle w:val="Teksttabelisrodek"/>
              <w:rPr>
                <w:rFonts w:eastAsia="Times New Roman"/>
              </w:rPr>
            </w:pPr>
            <w:r w:rsidRPr="00795F17">
              <w:t>1</w:t>
            </w:r>
          </w:p>
        </w:tc>
        <w:tc>
          <w:tcPr>
            <w:tcW w:w="960" w:type="dxa"/>
            <w:vAlign w:val="center"/>
            <w:hideMark/>
          </w:tcPr>
          <w:p w14:paraId="13474CDB" w14:textId="77777777" w:rsidR="00B54ACD" w:rsidRPr="00795F17" w:rsidRDefault="00B54ACD" w:rsidP="00AF13C9">
            <w:pPr>
              <w:pStyle w:val="Teksttabelisrodek"/>
              <w:rPr>
                <w:rFonts w:eastAsia="Times New Roman"/>
              </w:rPr>
            </w:pPr>
            <w:r w:rsidRPr="00795F17">
              <w:t>100,0</w:t>
            </w:r>
          </w:p>
        </w:tc>
        <w:tc>
          <w:tcPr>
            <w:tcW w:w="961" w:type="dxa"/>
            <w:vAlign w:val="center"/>
            <w:hideMark/>
          </w:tcPr>
          <w:p w14:paraId="315C39FD" w14:textId="77777777" w:rsidR="00B54ACD" w:rsidRPr="00795F17" w:rsidRDefault="00B54ACD" w:rsidP="00AF13C9">
            <w:pPr>
              <w:pStyle w:val="Teksttabelisrodek"/>
              <w:rPr>
                <w:rFonts w:eastAsia="Times New Roman"/>
              </w:rPr>
            </w:pPr>
            <w:r w:rsidRPr="00795F17">
              <w:t>100,0</w:t>
            </w:r>
          </w:p>
        </w:tc>
        <w:tc>
          <w:tcPr>
            <w:tcW w:w="962" w:type="dxa"/>
            <w:vAlign w:val="center"/>
            <w:hideMark/>
          </w:tcPr>
          <w:p w14:paraId="3A295CE0" w14:textId="77777777" w:rsidR="00B54ACD" w:rsidRPr="00795F17" w:rsidRDefault="00B54ACD" w:rsidP="00AF13C9">
            <w:pPr>
              <w:pStyle w:val="Teksttabelisrodek"/>
              <w:rPr>
                <w:rFonts w:eastAsia="Times New Roman"/>
              </w:rPr>
            </w:pPr>
            <w:r w:rsidRPr="00795F17">
              <w:t>0,0</w:t>
            </w:r>
          </w:p>
        </w:tc>
        <w:tc>
          <w:tcPr>
            <w:tcW w:w="982" w:type="dxa"/>
            <w:vAlign w:val="center"/>
            <w:hideMark/>
          </w:tcPr>
          <w:p w14:paraId="5FDCDF88" w14:textId="77777777" w:rsidR="00B54ACD" w:rsidRPr="00795F17" w:rsidRDefault="00B54ACD" w:rsidP="00AF13C9">
            <w:pPr>
              <w:pStyle w:val="Teksttabelisrodek"/>
            </w:pPr>
            <w:r w:rsidRPr="00795F17">
              <w:t>100,0</w:t>
            </w:r>
          </w:p>
        </w:tc>
        <w:tc>
          <w:tcPr>
            <w:tcW w:w="969" w:type="dxa"/>
            <w:vAlign w:val="center"/>
            <w:hideMark/>
          </w:tcPr>
          <w:p w14:paraId="37783C4C" w14:textId="77777777" w:rsidR="00B54ACD" w:rsidRPr="00795F17" w:rsidRDefault="00B54ACD" w:rsidP="00AF13C9">
            <w:pPr>
              <w:pStyle w:val="Teksttabelisrodek"/>
            </w:pPr>
            <w:r w:rsidRPr="00795F17">
              <w:t>0,0</w:t>
            </w:r>
          </w:p>
        </w:tc>
        <w:tc>
          <w:tcPr>
            <w:tcW w:w="964" w:type="dxa"/>
            <w:vAlign w:val="center"/>
            <w:hideMark/>
          </w:tcPr>
          <w:p w14:paraId="1AAE0BEC" w14:textId="77777777" w:rsidR="00B54ACD" w:rsidRPr="00795F17" w:rsidRDefault="00B54ACD" w:rsidP="00AF13C9">
            <w:pPr>
              <w:pStyle w:val="Teksttabelisrodek"/>
            </w:pPr>
            <w:r w:rsidRPr="00795F17">
              <w:t>0,0</w:t>
            </w:r>
          </w:p>
        </w:tc>
      </w:tr>
      <w:tr w:rsidR="00B54ACD" w:rsidRPr="00795F17" w14:paraId="09AA885A" w14:textId="77777777" w:rsidTr="00AF13C9">
        <w:trPr>
          <w:trHeight w:val="454"/>
          <w:jc w:val="center"/>
        </w:trPr>
        <w:tc>
          <w:tcPr>
            <w:tcW w:w="1334" w:type="dxa"/>
            <w:vAlign w:val="center"/>
            <w:hideMark/>
          </w:tcPr>
          <w:p w14:paraId="4854858F" w14:textId="77777777" w:rsidR="00B54ACD" w:rsidRPr="00795F17" w:rsidRDefault="00B54ACD" w:rsidP="00AF13C9">
            <w:pPr>
              <w:pStyle w:val="Teksttabelilewy"/>
              <w:rPr>
                <w:lang w:eastAsia="pl-PL"/>
              </w:rPr>
            </w:pPr>
            <w:r w:rsidRPr="00795F17">
              <w:rPr>
                <w:lang w:eastAsia="pl-PL"/>
              </w:rPr>
              <w:t>Środkowej Odry</w:t>
            </w:r>
          </w:p>
        </w:tc>
        <w:tc>
          <w:tcPr>
            <w:tcW w:w="960" w:type="dxa"/>
            <w:vAlign w:val="center"/>
            <w:hideMark/>
          </w:tcPr>
          <w:p w14:paraId="6D949989" w14:textId="77777777" w:rsidR="00B54ACD" w:rsidRPr="00795F17" w:rsidRDefault="00B54ACD" w:rsidP="00AF13C9">
            <w:pPr>
              <w:pStyle w:val="Teksttabelisrodek"/>
              <w:rPr>
                <w:rFonts w:eastAsia="Times New Roman"/>
              </w:rPr>
            </w:pPr>
            <w:r w:rsidRPr="00795F17">
              <w:t>27</w:t>
            </w:r>
          </w:p>
        </w:tc>
        <w:tc>
          <w:tcPr>
            <w:tcW w:w="960" w:type="dxa"/>
            <w:vAlign w:val="center"/>
            <w:hideMark/>
          </w:tcPr>
          <w:p w14:paraId="78D30DC2" w14:textId="77777777" w:rsidR="00B54ACD" w:rsidRPr="00795F17" w:rsidRDefault="00B54ACD" w:rsidP="00AF13C9">
            <w:pPr>
              <w:pStyle w:val="Teksttabelisrodek"/>
              <w:rPr>
                <w:rFonts w:eastAsia="Times New Roman"/>
              </w:rPr>
            </w:pPr>
            <w:r w:rsidRPr="00795F17">
              <w:t>27</w:t>
            </w:r>
          </w:p>
        </w:tc>
        <w:tc>
          <w:tcPr>
            <w:tcW w:w="960" w:type="dxa"/>
            <w:vAlign w:val="center"/>
            <w:hideMark/>
          </w:tcPr>
          <w:p w14:paraId="53C3C862" w14:textId="77777777" w:rsidR="00B54ACD" w:rsidRPr="00795F17" w:rsidRDefault="00B54ACD" w:rsidP="00AF13C9">
            <w:pPr>
              <w:pStyle w:val="Teksttabelisrodek"/>
              <w:rPr>
                <w:rFonts w:eastAsia="Times New Roman"/>
              </w:rPr>
            </w:pPr>
            <w:r w:rsidRPr="00795F17">
              <w:t>85,2</w:t>
            </w:r>
          </w:p>
        </w:tc>
        <w:tc>
          <w:tcPr>
            <w:tcW w:w="961" w:type="dxa"/>
            <w:vAlign w:val="center"/>
            <w:hideMark/>
          </w:tcPr>
          <w:p w14:paraId="18EB29A7" w14:textId="77777777" w:rsidR="00B54ACD" w:rsidRPr="00795F17" w:rsidRDefault="00B54ACD" w:rsidP="00AF13C9">
            <w:pPr>
              <w:pStyle w:val="Teksttabelisrodek"/>
              <w:rPr>
                <w:rFonts w:eastAsia="Times New Roman"/>
              </w:rPr>
            </w:pPr>
            <w:r w:rsidRPr="00795F17">
              <w:t>92,6</w:t>
            </w:r>
          </w:p>
        </w:tc>
        <w:tc>
          <w:tcPr>
            <w:tcW w:w="962" w:type="dxa"/>
            <w:vAlign w:val="center"/>
            <w:hideMark/>
          </w:tcPr>
          <w:p w14:paraId="10A99B2D" w14:textId="77777777" w:rsidR="00B54ACD" w:rsidRPr="00795F17" w:rsidRDefault="00B54ACD" w:rsidP="00AF13C9">
            <w:pPr>
              <w:pStyle w:val="Teksttabelisrodek"/>
              <w:rPr>
                <w:rFonts w:eastAsia="Times New Roman"/>
              </w:rPr>
            </w:pPr>
            <w:r w:rsidRPr="00795F17">
              <w:t>0,0</w:t>
            </w:r>
          </w:p>
        </w:tc>
        <w:tc>
          <w:tcPr>
            <w:tcW w:w="982" w:type="dxa"/>
            <w:vAlign w:val="center"/>
            <w:hideMark/>
          </w:tcPr>
          <w:p w14:paraId="55B2C6F7" w14:textId="77777777" w:rsidR="00B54ACD" w:rsidRPr="00795F17" w:rsidRDefault="00B54ACD" w:rsidP="00AF13C9">
            <w:pPr>
              <w:pStyle w:val="Teksttabelisrodek"/>
            </w:pPr>
            <w:r w:rsidRPr="00795F17">
              <w:t>77,8</w:t>
            </w:r>
          </w:p>
        </w:tc>
        <w:tc>
          <w:tcPr>
            <w:tcW w:w="969" w:type="dxa"/>
            <w:vAlign w:val="center"/>
            <w:hideMark/>
          </w:tcPr>
          <w:p w14:paraId="4687E5B8" w14:textId="77777777" w:rsidR="00B54ACD" w:rsidRPr="00795F17" w:rsidRDefault="00B54ACD" w:rsidP="00AF13C9">
            <w:pPr>
              <w:pStyle w:val="Teksttabelisrodek"/>
            </w:pPr>
            <w:r w:rsidRPr="00795F17">
              <w:t>0,0</w:t>
            </w:r>
          </w:p>
        </w:tc>
        <w:tc>
          <w:tcPr>
            <w:tcW w:w="964" w:type="dxa"/>
            <w:vAlign w:val="center"/>
            <w:hideMark/>
          </w:tcPr>
          <w:p w14:paraId="6684A493" w14:textId="77777777" w:rsidR="00B54ACD" w:rsidRPr="00795F17" w:rsidRDefault="00B54ACD" w:rsidP="00AF13C9">
            <w:pPr>
              <w:pStyle w:val="Teksttabelisrodek"/>
            </w:pPr>
            <w:r w:rsidRPr="00795F17">
              <w:t>0,0</w:t>
            </w:r>
          </w:p>
        </w:tc>
      </w:tr>
      <w:tr w:rsidR="00B54ACD" w:rsidRPr="00795F17" w14:paraId="1BCCE3D6" w14:textId="77777777" w:rsidTr="00AF13C9">
        <w:trPr>
          <w:trHeight w:val="454"/>
          <w:jc w:val="center"/>
        </w:trPr>
        <w:tc>
          <w:tcPr>
            <w:tcW w:w="1334" w:type="dxa"/>
            <w:vAlign w:val="center"/>
            <w:hideMark/>
          </w:tcPr>
          <w:p w14:paraId="6E3D9C37" w14:textId="77777777" w:rsidR="00B54ACD" w:rsidRPr="00795F17" w:rsidRDefault="00B54ACD" w:rsidP="00AF13C9">
            <w:pPr>
              <w:pStyle w:val="Teksttabelilewy"/>
              <w:rPr>
                <w:lang w:eastAsia="pl-PL"/>
              </w:rPr>
            </w:pPr>
            <w:r w:rsidRPr="00795F17">
              <w:rPr>
                <w:lang w:eastAsia="pl-PL"/>
              </w:rPr>
              <w:t>Dolnej Odry i Przymorza Zachodniego</w:t>
            </w:r>
          </w:p>
        </w:tc>
        <w:tc>
          <w:tcPr>
            <w:tcW w:w="960" w:type="dxa"/>
            <w:vAlign w:val="center"/>
            <w:hideMark/>
          </w:tcPr>
          <w:p w14:paraId="4C9EDAAC" w14:textId="77777777" w:rsidR="00B54ACD" w:rsidRPr="00795F17" w:rsidRDefault="00B54ACD" w:rsidP="00AF13C9">
            <w:pPr>
              <w:pStyle w:val="Teksttabelisrodek"/>
              <w:rPr>
                <w:rFonts w:eastAsia="Times New Roman"/>
              </w:rPr>
            </w:pPr>
            <w:r w:rsidRPr="00795F17">
              <w:t>109</w:t>
            </w:r>
          </w:p>
        </w:tc>
        <w:tc>
          <w:tcPr>
            <w:tcW w:w="960" w:type="dxa"/>
            <w:vAlign w:val="center"/>
            <w:hideMark/>
          </w:tcPr>
          <w:p w14:paraId="0537D985" w14:textId="77777777" w:rsidR="00B54ACD" w:rsidRPr="00795F17" w:rsidRDefault="00B54ACD" w:rsidP="00AF13C9">
            <w:pPr>
              <w:pStyle w:val="Teksttabelisrodek"/>
              <w:rPr>
                <w:rFonts w:eastAsia="Times New Roman"/>
              </w:rPr>
            </w:pPr>
            <w:r w:rsidRPr="00795F17">
              <w:t>96</w:t>
            </w:r>
          </w:p>
        </w:tc>
        <w:tc>
          <w:tcPr>
            <w:tcW w:w="960" w:type="dxa"/>
            <w:vAlign w:val="center"/>
            <w:hideMark/>
          </w:tcPr>
          <w:p w14:paraId="4AA07F69" w14:textId="77777777" w:rsidR="00B54ACD" w:rsidRPr="00795F17" w:rsidRDefault="00B54ACD" w:rsidP="00AF13C9">
            <w:pPr>
              <w:pStyle w:val="Teksttabelisrodek"/>
              <w:rPr>
                <w:rFonts w:eastAsia="Times New Roman"/>
              </w:rPr>
            </w:pPr>
            <w:r w:rsidRPr="00795F17">
              <w:t>87,5</w:t>
            </w:r>
          </w:p>
        </w:tc>
        <w:tc>
          <w:tcPr>
            <w:tcW w:w="961" w:type="dxa"/>
            <w:vAlign w:val="center"/>
            <w:hideMark/>
          </w:tcPr>
          <w:p w14:paraId="0A44AC8D" w14:textId="77777777" w:rsidR="00B54ACD" w:rsidRPr="00795F17" w:rsidRDefault="00B54ACD" w:rsidP="00AF13C9">
            <w:pPr>
              <w:pStyle w:val="Teksttabelisrodek"/>
              <w:rPr>
                <w:rFonts w:eastAsia="Times New Roman"/>
              </w:rPr>
            </w:pPr>
            <w:r w:rsidRPr="00795F17">
              <w:t>60,4</w:t>
            </w:r>
          </w:p>
        </w:tc>
        <w:tc>
          <w:tcPr>
            <w:tcW w:w="962" w:type="dxa"/>
            <w:vAlign w:val="center"/>
            <w:hideMark/>
          </w:tcPr>
          <w:p w14:paraId="079C42B1" w14:textId="77777777" w:rsidR="00B54ACD" w:rsidRPr="00795F17" w:rsidRDefault="00B54ACD" w:rsidP="00AF13C9">
            <w:pPr>
              <w:pStyle w:val="Teksttabelisrodek"/>
              <w:rPr>
                <w:rFonts w:eastAsia="Times New Roman"/>
              </w:rPr>
            </w:pPr>
            <w:r w:rsidRPr="00795F17">
              <w:t>0,0</w:t>
            </w:r>
          </w:p>
        </w:tc>
        <w:tc>
          <w:tcPr>
            <w:tcW w:w="982" w:type="dxa"/>
            <w:vAlign w:val="center"/>
            <w:hideMark/>
          </w:tcPr>
          <w:p w14:paraId="10B72CE3" w14:textId="77777777" w:rsidR="00B54ACD" w:rsidRPr="00795F17" w:rsidRDefault="00B54ACD" w:rsidP="00AF13C9">
            <w:pPr>
              <w:pStyle w:val="Teksttabelisrodek"/>
            </w:pPr>
            <w:r w:rsidRPr="00795F17">
              <w:t>47,9</w:t>
            </w:r>
          </w:p>
        </w:tc>
        <w:tc>
          <w:tcPr>
            <w:tcW w:w="969" w:type="dxa"/>
            <w:vAlign w:val="center"/>
            <w:hideMark/>
          </w:tcPr>
          <w:p w14:paraId="5E41B6DC" w14:textId="77777777" w:rsidR="00B54ACD" w:rsidRPr="00795F17" w:rsidRDefault="00B54ACD" w:rsidP="00AF13C9">
            <w:pPr>
              <w:pStyle w:val="Teksttabelisrodek"/>
            </w:pPr>
            <w:r w:rsidRPr="00795F17">
              <w:t>0,0</w:t>
            </w:r>
          </w:p>
        </w:tc>
        <w:tc>
          <w:tcPr>
            <w:tcW w:w="964" w:type="dxa"/>
            <w:vAlign w:val="center"/>
            <w:hideMark/>
          </w:tcPr>
          <w:p w14:paraId="1A11112E" w14:textId="77777777" w:rsidR="00B54ACD" w:rsidRPr="00795F17" w:rsidRDefault="00B54ACD" w:rsidP="00AF13C9">
            <w:pPr>
              <w:pStyle w:val="Teksttabelisrodek"/>
            </w:pPr>
            <w:r w:rsidRPr="00795F17">
              <w:t>0,0</w:t>
            </w:r>
          </w:p>
        </w:tc>
      </w:tr>
      <w:tr w:rsidR="00B54ACD" w:rsidRPr="00795F17" w14:paraId="2855EF1D" w14:textId="77777777" w:rsidTr="00AF13C9">
        <w:trPr>
          <w:trHeight w:val="454"/>
          <w:jc w:val="center"/>
        </w:trPr>
        <w:tc>
          <w:tcPr>
            <w:tcW w:w="1334" w:type="dxa"/>
            <w:vAlign w:val="center"/>
            <w:hideMark/>
          </w:tcPr>
          <w:p w14:paraId="1E4D3F38" w14:textId="77777777" w:rsidR="00B54ACD" w:rsidRPr="00795F17" w:rsidRDefault="00B54ACD" w:rsidP="00AF13C9">
            <w:pPr>
              <w:pStyle w:val="Teksttabelilewy"/>
              <w:rPr>
                <w:lang w:eastAsia="pl-PL"/>
              </w:rPr>
            </w:pPr>
            <w:r w:rsidRPr="00795F17">
              <w:rPr>
                <w:lang w:eastAsia="pl-PL"/>
              </w:rPr>
              <w:t>Warty</w:t>
            </w:r>
          </w:p>
        </w:tc>
        <w:tc>
          <w:tcPr>
            <w:tcW w:w="960" w:type="dxa"/>
            <w:vAlign w:val="center"/>
            <w:hideMark/>
          </w:tcPr>
          <w:p w14:paraId="147EFCD8" w14:textId="77777777" w:rsidR="00B54ACD" w:rsidRPr="00795F17" w:rsidRDefault="00B54ACD" w:rsidP="00AF13C9">
            <w:pPr>
              <w:pStyle w:val="Teksttabelisrodek"/>
              <w:rPr>
                <w:rFonts w:eastAsia="Times New Roman"/>
              </w:rPr>
            </w:pPr>
            <w:r w:rsidRPr="00795F17">
              <w:t>124</w:t>
            </w:r>
          </w:p>
        </w:tc>
        <w:tc>
          <w:tcPr>
            <w:tcW w:w="960" w:type="dxa"/>
            <w:vAlign w:val="center"/>
            <w:hideMark/>
          </w:tcPr>
          <w:p w14:paraId="66B6B878" w14:textId="77777777" w:rsidR="00B54ACD" w:rsidRPr="00795F17" w:rsidRDefault="00B54ACD" w:rsidP="00AF13C9">
            <w:pPr>
              <w:pStyle w:val="Teksttabelisrodek"/>
              <w:rPr>
                <w:rFonts w:eastAsia="Times New Roman"/>
              </w:rPr>
            </w:pPr>
            <w:r w:rsidRPr="00795F17">
              <w:t>114</w:t>
            </w:r>
          </w:p>
        </w:tc>
        <w:tc>
          <w:tcPr>
            <w:tcW w:w="960" w:type="dxa"/>
            <w:vAlign w:val="center"/>
            <w:hideMark/>
          </w:tcPr>
          <w:p w14:paraId="0ACFB0CF" w14:textId="77777777" w:rsidR="00B54ACD" w:rsidRPr="00795F17" w:rsidRDefault="00B54ACD" w:rsidP="00AF13C9">
            <w:pPr>
              <w:pStyle w:val="Teksttabelisrodek"/>
              <w:rPr>
                <w:rFonts w:eastAsia="Times New Roman"/>
              </w:rPr>
            </w:pPr>
            <w:r w:rsidRPr="00795F17">
              <w:t>66,7</w:t>
            </w:r>
          </w:p>
        </w:tc>
        <w:tc>
          <w:tcPr>
            <w:tcW w:w="961" w:type="dxa"/>
            <w:vAlign w:val="center"/>
            <w:hideMark/>
          </w:tcPr>
          <w:p w14:paraId="5CBEA72D" w14:textId="77777777" w:rsidR="00B54ACD" w:rsidRPr="00795F17" w:rsidRDefault="00B54ACD" w:rsidP="00AF13C9">
            <w:pPr>
              <w:pStyle w:val="Teksttabelisrodek"/>
              <w:rPr>
                <w:rFonts w:eastAsia="Times New Roman"/>
              </w:rPr>
            </w:pPr>
            <w:r w:rsidRPr="00795F17">
              <w:t>95,6</w:t>
            </w:r>
          </w:p>
        </w:tc>
        <w:tc>
          <w:tcPr>
            <w:tcW w:w="962" w:type="dxa"/>
            <w:vAlign w:val="center"/>
            <w:hideMark/>
          </w:tcPr>
          <w:p w14:paraId="1920491C" w14:textId="77777777" w:rsidR="00B54ACD" w:rsidRPr="00795F17" w:rsidRDefault="00B54ACD" w:rsidP="00AF13C9">
            <w:pPr>
              <w:pStyle w:val="Teksttabelisrodek"/>
              <w:rPr>
                <w:rFonts w:eastAsia="Times New Roman"/>
              </w:rPr>
            </w:pPr>
            <w:r w:rsidRPr="00795F17">
              <w:t>0,0</w:t>
            </w:r>
          </w:p>
        </w:tc>
        <w:tc>
          <w:tcPr>
            <w:tcW w:w="982" w:type="dxa"/>
            <w:vAlign w:val="center"/>
            <w:hideMark/>
          </w:tcPr>
          <w:p w14:paraId="06A16FE5" w14:textId="77777777" w:rsidR="00B54ACD" w:rsidRPr="00795F17" w:rsidRDefault="00B54ACD" w:rsidP="00AF13C9">
            <w:pPr>
              <w:pStyle w:val="Teksttabelisrodek"/>
            </w:pPr>
            <w:r w:rsidRPr="00795F17">
              <w:t>62,3</w:t>
            </w:r>
          </w:p>
        </w:tc>
        <w:tc>
          <w:tcPr>
            <w:tcW w:w="969" w:type="dxa"/>
            <w:vAlign w:val="center"/>
            <w:hideMark/>
          </w:tcPr>
          <w:p w14:paraId="7A4E6AEC" w14:textId="77777777" w:rsidR="00B54ACD" w:rsidRPr="00795F17" w:rsidRDefault="00B54ACD" w:rsidP="00AF13C9">
            <w:pPr>
              <w:pStyle w:val="Teksttabelisrodek"/>
            </w:pPr>
            <w:r w:rsidRPr="00795F17">
              <w:t>0,0</w:t>
            </w:r>
          </w:p>
        </w:tc>
        <w:tc>
          <w:tcPr>
            <w:tcW w:w="964" w:type="dxa"/>
            <w:vAlign w:val="center"/>
            <w:hideMark/>
          </w:tcPr>
          <w:p w14:paraId="2D68CB8F" w14:textId="77777777" w:rsidR="00B54ACD" w:rsidRPr="00795F17" w:rsidRDefault="00B54ACD" w:rsidP="00AF13C9">
            <w:pPr>
              <w:pStyle w:val="Teksttabelisrodek"/>
            </w:pPr>
            <w:r w:rsidRPr="00795F17">
              <w:t>0,0</w:t>
            </w:r>
          </w:p>
        </w:tc>
      </w:tr>
      <w:tr w:rsidR="00B54ACD" w:rsidRPr="00795F17" w14:paraId="1E3843F4" w14:textId="77777777" w:rsidTr="00AF13C9">
        <w:trPr>
          <w:trHeight w:val="454"/>
          <w:jc w:val="center"/>
        </w:trPr>
        <w:tc>
          <w:tcPr>
            <w:tcW w:w="1334" w:type="dxa"/>
            <w:vAlign w:val="center"/>
            <w:hideMark/>
          </w:tcPr>
          <w:p w14:paraId="03C2EDED" w14:textId="77777777" w:rsidR="00B54ACD" w:rsidRPr="00795F17" w:rsidRDefault="00B54ACD" w:rsidP="00AF13C9">
            <w:pPr>
              <w:pStyle w:val="Teksttabelilewy"/>
              <w:rPr>
                <w:lang w:eastAsia="pl-PL"/>
              </w:rPr>
            </w:pPr>
            <w:r w:rsidRPr="00795F17">
              <w:rPr>
                <w:lang w:eastAsia="pl-PL"/>
              </w:rPr>
              <w:t>Noteci</w:t>
            </w:r>
          </w:p>
        </w:tc>
        <w:tc>
          <w:tcPr>
            <w:tcW w:w="960" w:type="dxa"/>
            <w:vAlign w:val="center"/>
            <w:hideMark/>
          </w:tcPr>
          <w:p w14:paraId="682E4E06" w14:textId="77777777" w:rsidR="00B54ACD" w:rsidRPr="00795F17" w:rsidRDefault="00B54ACD" w:rsidP="00AF13C9">
            <w:pPr>
              <w:pStyle w:val="Teksttabelisrodek"/>
              <w:rPr>
                <w:rFonts w:eastAsia="Times New Roman"/>
              </w:rPr>
            </w:pPr>
            <w:r w:rsidRPr="00795F17">
              <w:t>166</w:t>
            </w:r>
          </w:p>
        </w:tc>
        <w:tc>
          <w:tcPr>
            <w:tcW w:w="960" w:type="dxa"/>
            <w:vAlign w:val="center"/>
            <w:hideMark/>
          </w:tcPr>
          <w:p w14:paraId="53742D78" w14:textId="77777777" w:rsidR="00B54ACD" w:rsidRPr="00795F17" w:rsidRDefault="00B54ACD" w:rsidP="00AF13C9">
            <w:pPr>
              <w:pStyle w:val="Teksttabelisrodek"/>
              <w:rPr>
                <w:rFonts w:eastAsia="Times New Roman"/>
              </w:rPr>
            </w:pPr>
            <w:r w:rsidRPr="00795F17">
              <w:t>150</w:t>
            </w:r>
          </w:p>
        </w:tc>
        <w:tc>
          <w:tcPr>
            <w:tcW w:w="960" w:type="dxa"/>
            <w:vAlign w:val="center"/>
            <w:hideMark/>
          </w:tcPr>
          <w:p w14:paraId="2B014703" w14:textId="77777777" w:rsidR="00B54ACD" w:rsidRPr="00795F17" w:rsidRDefault="00B54ACD" w:rsidP="00AF13C9">
            <w:pPr>
              <w:pStyle w:val="Teksttabelisrodek"/>
              <w:rPr>
                <w:rFonts w:eastAsia="Times New Roman"/>
              </w:rPr>
            </w:pPr>
            <w:r w:rsidRPr="00795F17">
              <w:t>76,7</w:t>
            </w:r>
          </w:p>
        </w:tc>
        <w:tc>
          <w:tcPr>
            <w:tcW w:w="961" w:type="dxa"/>
            <w:vAlign w:val="center"/>
            <w:hideMark/>
          </w:tcPr>
          <w:p w14:paraId="6B0DFF93" w14:textId="77777777" w:rsidR="00B54ACD" w:rsidRPr="00795F17" w:rsidRDefault="00B54ACD" w:rsidP="00AF13C9">
            <w:pPr>
              <w:pStyle w:val="Teksttabelisrodek"/>
              <w:rPr>
                <w:rFonts w:eastAsia="Times New Roman"/>
              </w:rPr>
            </w:pPr>
            <w:r w:rsidRPr="00795F17">
              <w:t>71,3</w:t>
            </w:r>
          </w:p>
        </w:tc>
        <w:tc>
          <w:tcPr>
            <w:tcW w:w="962" w:type="dxa"/>
            <w:vAlign w:val="center"/>
            <w:hideMark/>
          </w:tcPr>
          <w:p w14:paraId="1312A12B" w14:textId="77777777" w:rsidR="00B54ACD" w:rsidRPr="00795F17" w:rsidRDefault="00B54ACD" w:rsidP="00AF13C9">
            <w:pPr>
              <w:pStyle w:val="Teksttabelisrodek"/>
              <w:rPr>
                <w:rFonts w:eastAsia="Times New Roman"/>
              </w:rPr>
            </w:pPr>
            <w:r w:rsidRPr="00795F17">
              <w:t>0,0</w:t>
            </w:r>
          </w:p>
        </w:tc>
        <w:tc>
          <w:tcPr>
            <w:tcW w:w="982" w:type="dxa"/>
            <w:vAlign w:val="center"/>
            <w:hideMark/>
          </w:tcPr>
          <w:p w14:paraId="4CBD9E5A" w14:textId="77777777" w:rsidR="00B54ACD" w:rsidRPr="00795F17" w:rsidRDefault="00B54ACD" w:rsidP="00AF13C9">
            <w:pPr>
              <w:pStyle w:val="Teksttabelisrodek"/>
            </w:pPr>
            <w:r w:rsidRPr="00795F17">
              <w:t>48,0</w:t>
            </w:r>
          </w:p>
        </w:tc>
        <w:tc>
          <w:tcPr>
            <w:tcW w:w="969" w:type="dxa"/>
            <w:vAlign w:val="center"/>
            <w:hideMark/>
          </w:tcPr>
          <w:p w14:paraId="2170B139" w14:textId="77777777" w:rsidR="00B54ACD" w:rsidRPr="00795F17" w:rsidRDefault="00B54ACD" w:rsidP="00AF13C9">
            <w:pPr>
              <w:pStyle w:val="Teksttabelisrodek"/>
            </w:pPr>
            <w:r w:rsidRPr="00795F17">
              <w:t>0,0</w:t>
            </w:r>
          </w:p>
        </w:tc>
        <w:tc>
          <w:tcPr>
            <w:tcW w:w="964" w:type="dxa"/>
            <w:vAlign w:val="center"/>
            <w:hideMark/>
          </w:tcPr>
          <w:p w14:paraId="7B4B98F7" w14:textId="77777777" w:rsidR="00B54ACD" w:rsidRPr="00795F17" w:rsidRDefault="00B54ACD" w:rsidP="00AF13C9">
            <w:pPr>
              <w:pStyle w:val="Teksttabelisrodek"/>
            </w:pPr>
            <w:r w:rsidRPr="00795F17">
              <w:t>0,0</w:t>
            </w:r>
          </w:p>
        </w:tc>
      </w:tr>
      <w:tr w:rsidR="00B54ACD" w:rsidRPr="00795F17" w14:paraId="40134D5C" w14:textId="77777777" w:rsidTr="00AF13C9">
        <w:trPr>
          <w:trHeight w:val="454"/>
          <w:jc w:val="center"/>
        </w:trPr>
        <w:tc>
          <w:tcPr>
            <w:tcW w:w="1334" w:type="dxa"/>
            <w:shd w:val="clear" w:color="auto" w:fill="BFBFBF"/>
            <w:vAlign w:val="center"/>
            <w:hideMark/>
          </w:tcPr>
          <w:p w14:paraId="6F93A3CE" w14:textId="77777777" w:rsidR="00B54ACD" w:rsidRPr="00795F17" w:rsidRDefault="00B54ACD" w:rsidP="00AF13C9">
            <w:pPr>
              <w:pStyle w:val="Teksttabelinaglowek"/>
            </w:pPr>
            <w:r w:rsidRPr="00795F17">
              <w:t xml:space="preserve">Razem </w:t>
            </w:r>
          </w:p>
        </w:tc>
        <w:tc>
          <w:tcPr>
            <w:tcW w:w="960" w:type="dxa"/>
            <w:shd w:val="clear" w:color="auto" w:fill="BFBFBF"/>
            <w:vAlign w:val="center"/>
            <w:hideMark/>
          </w:tcPr>
          <w:p w14:paraId="0E001092" w14:textId="77777777" w:rsidR="00B54ACD" w:rsidRPr="00795F17" w:rsidRDefault="00B54ACD" w:rsidP="00AF13C9">
            <w:pPr>
              <w:pStyle w:val="Teksttabelinaglowek"/>
              <w:rPr>
                <w:rFonts w:eastAsia="Times New Roman"/>
              </w:rPr>
            </w:pPr>
            <w:r w:rsidRPr="00795F17">
              <w:t>427</w:t>
            </w:r>
          </w:p>
        </w:tc>
        <w:tc>
          <w:tcPr>
            <w:tcW w:w="960" w:type="dxa"/>
            <w:shd w:val="clear" w:color="auto" w:fill="BFBFBF"/>
            <w:vAlign w:val="center"/>
            <w:hideMark/>
          </w:tcPr>
          <w:p w14:paraId="338878E5" w14:textId="77777777" w:rsidR="00B54ACD" w:rsidRPr="00795F17" w:rsidRDefault="00B54ACD" w:rsidP="00AF13C9">
            <w:pPr>
              <w:pStyle w:val="Teksttabelinaglowek"/>
              <w:rPr>
                <w:rFonts w:eastAsia="Times New Roman"/>
              </w:rPr>
            </w:pPr>
            <w:r w:rsidRPr="00795F17">
              <w:t>388</w:t>
            </w:r>
          </w:p>
        </w:tc>
        <w:tc>
          <w:tcPr>
            <w:tcW w:w="960" w:type="dxa"/>
            <w:shd w:val="clear" w:color="auto" w:fill="BFBFBF"/>
            <w:vAlign w:val="center"/>
            <w:hideMark/>
          </w:tcPr>
          <w:p w14:paraId="1592CA74" w14:textId="77777777" w:rsidR="00B54ACD" w:rsidRPr="00795F17" w:rsidRDefault="00B54ACD" w:rsidP="00AF13C9">
            <w:pPr>
              <w:pStyle w:val="Teksttabelinaglowek"/>
              <w:rPr>
                <w:rFonts w:eastAsia="Times New Roman"/>
              </w:rPr>
            </w:pPr>
            <w:r w:rsidRPr="00795F17">
              <w:t>77,1</w:t>
            </w:r>
          </w:p>
        </w:tc>
        <w:tc>
          <w:tcPr>
            <w:tcW w:w="961" w:type="dxa"/>
            <w:shd w:val="clear" w:color="auto" w:fill="BFBFBF"/>
            <w:vAlign w:val="center"/>
            <w:hideMark/>
          </w:tcPr>
          <w:p w14:paraId="3B6D6EC7" w14:textId="77777777" w:rsidR="00B54ACD" w:rsidRPr="00795F17" w:rsidRDefault="00B54ACD" w:rsidP="00AF13C9">
            <w:pPr>
              <w:pStyle w:val="Teksttabelinaglowek"/>
              <w:rPr>
                <w:rFonts w:eastAsia="Times New Roman"/>
              </w:rPr>
            </w:pPr>
            <w:r w:rsidRPr="00795F17">
              <w:t>77,3</w:t>
            </w:r>
          </w:p>
        </w:tc>
        <w:tc>
          <w:tcPr>
            <w:tcW w:w="962" w:type="dxa"/>
            <w:shd w:val="clear" w:color="auto" w:fill="BFBFBF"/>
            <w:vAlign w:val="center"/>
            <w:hideMark/>
          </w:tcPr>
          <w:p w14:paraId="703F8954" w14:textId="77777777" w:rsidR="00B54ACD" w:rsidRPr="00795F17" w:rsidRDefault="00B54ACD" w:rsidP="00AF13C9">
            <w:pPr>
              <w:pStyle w:val="Teksttabelinaglowek"/>
              <w:rPr>
                <w:rFonts w:eastAsia="Times New Roman"/>
              </w:rPr>
            </w:pPr>
            <w:r w:rsidRPr="00795F17">
              <w:t>0,0</w:t>
            </w:r>
          </w:p>
        </w:tc>
        <w:tc>
          <w:tcPr>
            <w:tcW w:w="982" w:type="dxa"/>
            <w:shd w:val="clear" w:color="auto" w:fill="BFBFBF"/>
            <w:vAlign w:val="center"/>
            <w:hideMark/>
          </w:tcPr>
          <w:p w14:paraId="50844ED4" w14:textId="77777777" w:rsidR="00B54ACD" w:rsidRPr="00795F17" w:rsidRDefault="00B54ACD" w:rsidP="00AF13C9">
            <w:pPr>
              <w:pStyle w:val="Teksttabelinaglowek"/>
              <w:rPr>
                <w:rFonts w:eastAsia="Times New Roman"/>
              </w:rPr>
            </w:pPr>
            <w:r w:rsidRPr="00795F17">
              <w:t>54,4</w:t>
            </w:r>
          </w:p>
        </w:tc>
        <w:tc>
          <w:tcPr>
            <w:tcW w:w="969" w:type="dxa"/>
            <w:shd w:val="clear" w:color="auto" w:fill="BFBFBF"/>
            <w:vAlign w:val="center"/>
            <w:hideMark/>
          </w:tcPr>
          <w:p w14:paraId="7ED109D5" w14:textId="77777777" w:rsidR="00B54ACD" w:rsidRPr="00795F17" w:rsidRDefault="00B54ACD" w:rsidP="00AF13C9">
            <w:pPr>
              <w:pStyle w:val="Teksttabelinaglowek"/>
              <w:rPr>
                <w:rFonts w:eastAsia="Times New Roman"/>
              </w:rPr>
            </w:pPr>
            <w:r w:rsidRPr="00795F17">
              <w:t>0,0</w:t>
            </w:r>
          </w:p>
        </w:tc>
        <w:tc>
          <w:tcPr>
            <w:tcW w:w="964" w:type="dxa"/>
            <w:shd w:val="clear" w:color="auto" w:fill="BFBFBF"/>
            <w:vAlign w:val="center"/>
            <w:hideMark/>
          </w:tcPr>
          <w:p w14:paraId="34732305" w14:textId="77777777" w:rsidR="00B54ACD" w:rsidRPr="00795F17" w:rsidRDefault="00B54ACD" w:rsidP="00AF13C9">
            <w:pPr>
              <w:pStyle w:val="Teksttabelinaglowek"/>
              <w:rPr>
                <w:rFonts w:eastAsia="Times New Roman"/>
              </w:rPr>
            </w:pPr>
            <w:r w:rsidRPr="00795F17">
              <w:t>0,0</w:t>
            </w:r>
          </w:p>
        </w:tc>
      </w:tr>
    </w:tbl>
    <w:p w14:paraId="3F8B9465" w14:textId="77777777" w:rsidR="00B54ACD" w:rsidRPr="00795F17" w:rsidRDefault="00B54ACD" w:rsidP="00AF13C9">
      <w:pPr>
        <w:pStyle w:val="Tabela-wyjasnieniapod"/>
        <w:spacing w:after="0"/>
      </w:pPr>
      <w:r w:rsidRPr="00795F17">
        <w:t>*Objaśnienia:</w:t>
      </w:r>
    </w:p>
    <w:p w14:paraId="68C8B597" w14:textId="385C7E7C" w:rsidR="00B54ACD" w:rsidRPr="00795F17" w:rsidRDefault="00B54ACD" w:rsidP="00AF13C9">
      <w:pPr>
        <w:pStyle w:val="Tabela-wyjasnieniapod"/>
        <w:spacing w:after="0"/>
      </w:pPr>
      <w:r w:rsidRPr="00795F17">
        <w:rPr>
          <w:b/>
          <w:bCs/>
        </w:rPr>
        <w:t xml:space="preserve">Udział </w:t>
      </w:r>
      <w:r w:rsidR="00DF005E">
        <w:rPr>
          <w:b/>
          <w:bCs/>
        </w:rPr>
        <w:t>JCWP</w:t>
      </w:r>
      <w:r w:rsidRPr="00795F17">
        <w:rPr>
          <w:b/>
          <w:bCs/>
        </w:rPr>
        <w:t xml:space="preserve"> z MD</w:t>
      </w:r>
      <w:r w:rsidRPr="00795F17">
        <w:t xml:space="preserve"> </w:t>
      </w:r>
      <w:r w:rsidR="00D40E78">
        <w:t>–</w:t>
      </w:r>
      <w:r w:rsidRPr="00795F17">
        <w:t xml:space="preserve"> udział </w:t>
      </w:r>
      <w:r w:rsidR="00DF005E">
        <w:t>JCWP</w:t>
      </w:r>
      <w:r w:rsidRPr="00795F17">
        <w:t xml:space="preserve">, dla których zaplanowano </w:t>
      </w:r>
      <w:r w:rsidR="00186779">
        <w:t>MD</w:t>
      </w:r>
      <w:r w:rsidRPr="00795F17">
        <w:t xml:space="preserve"> w ogólnej liczbie </w:t>
      </w:r>
      <w:r w:rsidR="00DF005E">
        <w:t>JCWP</w:t>
      </w:r>
      <w:r w:rsidRPr="00795F17">
        <w:t xml:space="preserve"> z ppk</w:t>
      </w:r>
    </w:p>
    <w:p w14:paraId="76EB45F5" w14:textId="4F6D1EDB" w:rsidR="00B54ACD" w:rsidRPr="00795F17" w:rsidRDefault="00B54ACD" w:rsidP="00AF13C9">
      <w:pPr>
        <w:pStyle w:val="Tabela-wyjasnieniapod"/>
        <w:spacing w:after="0"/>
      </w:pPr>
      <w:r w:rsidRPr="00795F17">
        <w:rPr>
          <w:b/>
          <w:bCs/>
        </w:rPr>
        <w:t xml:space="preserve">Udział </w:t>
      </w:r>
      <w:r w:rsidR="00DF005E">
        <w:rPr>
          <w:b/>
          <w:bCs/>
        </w:rPr>
        <w:t>JCWP</w:t>
      </w:r>
      <w:r w:rsidRPr="00795F17">
        <w:rPr>
          <w:b/>
          <w:bCs/>
        </w:rPr>
        <w:t xml:space="preserve"> z MO</w:t>
      </w:r>
      <w:r w:rsidRPr="00795F17">
        <w:t xml:space="preserve"> </w:t>
      </w:r>
      <w:r w:rsidR="00D40E78">
        <w:t>–</w:t>
      </w:r>
      <w:r w:rsidRPr="00795F17">
        <w:t xml:space="preserve"> udział </w:t>
      </w:r>
      <w:r w:rsidR="00DF005E">
        <w:t>JCWP</w:t>
      </w:r>
      <w:r w:rsidRPr="00795F17">
        <w:t xml:space="preserve">, dla których zaplanowano </w:t>
      </w:r>
      <w:r w:rsidR="00186779">
        <w:t>MO</w:t>
      </w:r>
      <w:r w:rsidRPr="00795F17">
        <w:t xml:space="preserve"> w ogólnej liczbie </w:t>
      </w:r>
      <w:r w:rsidR="00DF005E">
        <w:t>JCWP</w:t>
      </w:r>
      <w:r w:rsidRPr="00795F17">
        <w:t xml:space="preserve"> z ppk</w:t>
      </w:r>
    </w:p>
    <w:p w14:paraId="3AE7BB9E" w14:textId="121E0E41" w:rsidR="00B54ACD" w:rsidRPr="00795F17" w:rsidRDefault="00B54ACD" w:rsidP="00AF13C9">
      <w:pPr>
        <w:pStyle w:val="Tabela-wyjasnieniapod"/>
        <w:spacing w:after="0"/>
      </w:pPr>
      <w:r w:rsidRPr="00795F17">
        <w:rPr>
          <w:b/>
          <w:bCs/>
        </w:rPr>
        <w:t xml:space="preserve">Udział </w:t>
      </w:r>
      <w:r w:rsidR="00DF005E">
        <w:rPr>
          <w:b/>
          <w:bCs/>
        </w:rPr>
        <w:t>JCWP</w:t>
      </w:r>
      <w:r w:rsidRPr="00795F17">
        <w:rPr>
          <w:b/>
          <w:bCs/>
        </w:rPr>
        <w:t xml:space="preserve"> z MB</w:t>
      </w:r>
      <w:r w:rsidRPr="00795F17">
        <w:t xml:space="preserve"> </w:t>
      </w:r>
      <w:r w:rsidR="00D40E78">
        <w:t>–</w:t>
      </w:r>
      <w:r w:rsidRPr="00795F17">
        <w:t xml:space="preserve"> udział </w:t>
      </w:r>
      <w:r w:rsidR="00DF005E">
        <w:t>JCWP</w:t>
      </w:r>
      <w:r w:rsidRPr="00795F17">
        <w:t xml:space="preserve">, dla których zaplanowano </w:t>
      </w:r>
      <w:r w:rsidR="00186779">
        <w:t>MB</w:t>
      </w:r>
      <w:r w:rsidRPr="00795F17">
        <w:t xml:space="preserve"> w ogólnej liczbie </w:t>
      </w:r>
      <w:r w:rsidR="00DF005E">
        <w:t>JCWP</w:t>
      </w:r>
      <w:r w:rsidRPr="00795F17">
        <w:t xml:space="preserve"> z ppk</w:t>
      </w:r>
    </w:p>
    <w:p w14:paraId="671580BA" w14:textId="21EC7A8A" w:rsidR="00B54ACD" w:rsidRPr="00795F17" w:rsidRDefault="00B54ACD" w:rsidP="00AF13C9">
      <w:pPr>
        <w:pStyle w:val="Tabela-wyjasnieniapod"/>
        <w:spacing w:after="0"/>
      </w:pPr>
      <w:r w:rsidRPr="00795F17">
        <w:rPr>
          <w:b/>
          <w:bCs/>
        </w:rPr>
        <w:t xml:space="preserve">Udział </w:t>
      </w:r>
      <w:r w:rsidR="00DF005E">
        <w:rPr>
          <w:b/>
          <w:bCs/>
        </w:rPr>
        <w:t>JCWP</w:t>
      </w:r>
      <w:r w:rsidRPr="00795F17">
        <w:rPr>
          <w:b/>
          <w:bCs/>
        </w:rPr>
        <w:t xml:space="preserve"> z MD+MO</w:t>
      </w:r>
      <w:r w:rsidRPr="00795F17">
        <w:t xml:space="preserve"> </w:t>
      </w:r>
      <w:r w:rsidR="00D40E78">
        <w:t>–</w:t>
      </w:r>
      <w:r w:rsidRPr="00795F17">
        <w:t xml:space="preserve"> udział </w:t>
      </w:r>
      <w:r w:rsidR="00DF005E">
        <w:t>JCWP</w:t>
      </w:r>
      <w:r w:rsidRPr="00795F17">
        <w:t xml:space="preserve">, dla których zaplanowano łącznie </w:t>
      </w:r>
      <w:r w:rsidR="00186779">
        <w:t>MD</w:t>
      </w:r>
      <w:r w:rsidRPr="00795F17">
        <w:t xml:space="preserve"> i </w:t>
      </w:r>
      <w:r w:rsidR="00186779">
        <w:t>MO</w:t>
      </w:r>
      <w:r w:rsidR="00186779" w:rsidRPr="00795F17">
        <w:t xml:space="preserve"> </w:t>
      </w:r>
      <w:r w:rsidRPr="00795F17">
        <w:t xml:space="preserve">w ogólnej liczbie </w:t>
      </w:r>
      <w:r w:rsidR="00DF005E">
        <w:t>JCWP</w:t>
      </w:r>
      <w:r w:rsidRPr="00795F17">
        <w:t xml:space="preserve"> z ppk</w:t>
      </w:r>
    </w:p>
    <w:p w14:paraId="3EF841BA" w14:textId="29B6F9A3" w:rsidR="00B54ACD" w:rsidRPr="00795F17" w:rsidRDefault="00B54ACD" w:rsidP="00AF13C9">
      <w:pPr>
        <w:pStyle w:val="Tabela-wyjasnieniapod"/>
        <w:spacing w:after="0"/>
      </w:pPr>
      <w:r w:rsidRPr="00795F17">
        <w:t xml:space="preserve">Udział </w:t>
      </w:r>
      <w:r w:rsidR="00DF005E">
        <w:t>JCWP</w:t>
      </w:r>
      <w:r w:rsidRPr="00795F17">
        <w:t xml:space="preserve"> z MO+MB </w:t>
      </w:r>
      <w:r w:rsidR="00D40E78">
        <w:t>–</w:t>
      </w:r>
      <w:r w:rsidRPr="00795F17">
        <w:t xml:space="preserve"> udział </w:t>
      </w:r>
      <w:r w:rsidR="00DF005E">
        <w:t>JCWP</w:t>
      </w:r>
      <w:r w:rsidRPr="00795F17">
        <w:t xml:space="preserve">, dla których zaplanowano łącznie </w:t>
      </w:r>
      <w:r w:rsidR="00186779">
        <w:t>MO</w:t>
      </w:r>
      <w:r w:rsidRPr="00795F17">
        <w:t xml:space="preserve"> i </w:t>
      </w:r>
      <w:r w:rsidR="00186779">
        <w:t>MB</w:t>
      </w:r>
      <w:r w:rsidRPr="00795F17">
        <w:t xml:space="preserve">w ogólnej liczbie </w:t>
      </w:r>
      <w:r w:rsidR="00DF005E">
        <w:t>JCWP</w:t>
      </w:r>
      <w:r w:rsidRPr="00795F17">
        <w:t xml:space="preserve"> z ppk</w:t>
      </w:r>
    </w:p>
    <w:p w14:paraId="54FE5476" w14:textId="40713D23" w:rsidR="00B54ACD" w:rsidRPr="00795F17" w:rsidRDefault="00B54ACD" w:rsidP="00AF13C9">
      <w:pPr>
        <w:pStyle w:val="Tabela-wyjasnieniapod"/>
        <w:spacing w:after="0"/>
      </w:pPr>
      <w:r w:rsidRPr="00795F17">
        <w:rPr>
          <w:b/>
          <w:bCs/>
        </w:rPr>
        <w:t xml:space="preserve">Udział </w:t>
      </w:r>
      <w:r w:rsidR="00DF005E">
        <w:rPr>
          <w:b/>
          <w:bCs/>
        </w:rPr>
        <w:t>JCWP</w:t>
      </w:r>
      <w:r w:rsidRPr="00795F17">
        <w:rPr>
          <w:b/>
          <w:bCs/>
        </w:rPr>
        <w:t xml:space="preserve"> z MD+MO+MB</w:t>
      </w:r>
      <w:r w:rsidRPr="00795F17">
        <w:t xml:space="preserve"> </w:t>
      </w:r>
      <w:r w:rsidR="00D40E78">
        <w:t>–</w:t>
      </w:r>
      <w:r w:rsidRPr="00795F17">
        <w:t xml:space="preserve"> udział </w:t>
      </w:r>
      <w:r w:rsidR="00DF005E">
        <w:t>JCWP</w:t>
      </w:r>
      <w:r w:rsidRPr="00795F17">
        <w:t xml:space="preserve">, dla których zaplanowano łącznie </w:t>
      </w:r>
      <w:r w:rsidR="00186779">
        <w:t>MD</w:t>
      </w:r>
      <w:r w:rsidRPr="00795F17">
        <w:t xml:space="preserve">, </w:t>
      </w:r>
      <w:r w:rsidR="00186779">
        <w:t>MO</w:t>
      </w:r>
      <w:r w:rsidR="00186779" w:rsidRPr="00795F17">
        <w:t xml:space="preserve"> </w:t>
      </w:r>
      <w:r w:rsidRPr="00795F17">
        <w:t xml:space="preserve">i </w:t>
      </w:r>
      <w:r w:rsidR="00186779">
        <w:t>MB</w:t>
      </w:r>
      <w:r w:rsidR="00186779" w:rsidRPr="00795F17">
        <w:t xml:space="preserve"> </w:t>
      </w:r>
      <w:r w:rsidRPr="00795F17">
        <w:t xml:space="preserve">w ogólnej liczbie </w:t>
      </w:r>
      <w:r w:rsidR="00DF005E">
        <w:t>JCWP</w:t>
      </w:r>
      <w:r w:rsidRPr="00795F17">
        <w:t xml:space="preserve"> z ppk</w:t>
      </w:r>
    </w:p>
    <w:p w14:paraId="7531F8D8" w14:textId="692C4179" w:rsidR="00462DD4" w:rsidRPr="00795F17" w:rsidRDefault="00B54ACD" w:rsidP="00AF13C9">
      <w:pPr>
        <w:pStyle w:val="rdo"/>
      </w:pPr>
      <w:r w:rsidRPr="00795F17">
        <w:t>Źródło: opracowanie własne na podstawie danych GIOŚ dot. sieci monitoringu 2022</w:t>
      </w:r>
      <w:r w:rsidR="00D40E78">
        <w:t>–</w:t>
      </w:r>
      <w:r w:rsidRPr="00795F17">
        <w:t>2027</w:t>
      </w:r>
      <w:bookmarkEnd w:id="149"/>
    </w:p>
    <w:p w14:paraId="25E27207" w14:textId="665C597A" w:rsidR="00462DD4" w:rsidRPr="00795F17" w:rsidRDefault="00462DD4" w:rsidP="0044393D">
      <w:pPr>
        <w:pStyle w:val="Nagwek5"/>
      </w:pPr>
      <w:r w:rsidRPr="00795F17">
        <w:t xml:space="preserve">Program monitoringu </w:t>
      </w:r>
      <w:r w:rsidR="00DF005E">
        <w:t>JCWP</w:t>
      </w:r>
      <w:r w:rsidRPr="00795F17">
        <w:t xml:space="preserve"> TW i </w:t>
      </w:r>
      <w:r w:rsidR="00DF005E">
        <w:t>JCWP</w:t>
      </w:r>
      <w:r w:rsidRPr="00795F17">
        <w:t xml:space="preserve"> CW</w:t>
      </w:r>
    </w:p>
    <w:p w14:paraId="7B3D4CDB" w14:textId="0EC23068" w:rsidR="00462DD4" w:rsidRPr="00795F17" w:rsidRDefault="00462DD4" w:rsidP="0044393D">
      <w:r w:rsidRPr="00795F17">
        <w:t xml:space="preserve">Referencyjny wykaz jcw wyróżnia 2 </w:t>
      </w:r>
      <w:r w:rsidR="00DF005E">
        <w:t>JCWP</w:t>
      </w:r>
      <w:r w:rsidRPr="00795F17">
        <w:t xml:space="preserve"> TW i 2 </w:t>
      </w:r>
      <w:r w:rsidR="00DF005E">
        <w:t>JCWP</w:t>
      </w:r>
      <w:r w:rsidRPr="00795F17">
        <w:t xml:space="preserve"> CW. W latach 2022</w:t>
      </w:r>
      <w:r w:rsidR="00D94003">
        <w:t>–</w:t>
      </w:r>
      <w:r w:rsidRPr="00795F17">
        <w:t xml:space="preserve">2027, podobnie jak dla sieci monitoringu w aPGW, zaplanowano objęcie monitoringiem wszystkich </w:t>
      </w:r>
      <w:r w:rsidR="00DF005E">
        <w:t>JCWP</w:t>
      </w:r>
      <w:r w:rsidRPr="00795F17">
        <w:t xml:space="preserve"> TW i CW. Każda z nich zostanie objęta zarówno monitoringiem diagnostycznym (MD), operacyjnym (MO), jak i badawczym (MB). </w:t>
      </w:r>
    </w:p>
    <w:p w14:paraId="79BA7759" w14:textId="177190E6" w:rsidR="00462DD4" w:rsidRPr="00795F17" w:rsidRDefault="00462DD4" w:rsidP="0044393D">
      <w:r w:rsidRPr="00795F17">
        <w:t xml:space="preserve">Planowana sieć monitoringu </w:t>
      </w:r>
      <w:r w:rsidR="00DF005E">
        <w:t>JCWP</w:t>
      </w:r>
      <w:r w:rsidRPr="00795F17">
        <w:t xml:space="preserve"> TW i CW na lata 2022</w:t>
      </w:r>
      <w:r w:rsidR="00D40E78">
        <w:t>–</w:t>
      </w:r>
      <w:r w:rsidRPr="00795F17">
        <w:t xml:space="preserve">2027 przedstawiona została </w:t>
      </w:r>
      <w:r w:rsidR="00C3045F">
        <w:t>w</w:t>
      </w:r>
      <w:r w:rsidRPr="00795F17">
        <w:t xml:space="preserve"> załączniku graficznym nr </w:t>
      </w:r>
      <w:r w:rsidR="00ED56D9" w:rsidRPr="00795F17">
        <w:t>1</w:t>
      </w:r>
      <w:r w:rsidR="00363D35">
        <w:t>4</w:t>
      </w:r>
      <w:r w:rsidRPr="00795F17">
        <w:t xml:space="preserve">. Informacja o odpowiednim dla danej </w:t>
      </w:r>
      <w:r w:rsidR="00DF005E">
        <w:t>JCWP</w:t>
      </w:r>
      <w:r w:rsidRPr="00795F17">
        <w:t xml:space="preserve"> ppk znajduje się w załączniku nr 1 (Zestawienie główne).</w:t>
      </w:r>
    </w:p>
    <w:p w14:paraId="01819309" w14:textId="17B7FEEC" w:rsidR="00462DD4" w:rsidRPr="00795F17" w:rsidRDefault="00462DD4" w:rsidP="0044393D">
      <w:r w:rsidRPr="00795F17">
        <w:t xml:space="preserve">Zbiorcza informacja o </w:t>
      </w:r>
      <w:r w:rsidR="00DF005E">
        <w:t>JCWP</w:t>
      </w:r>
      <w:r w:rsidRPr="00795F17">
        <w:t xml:space="preserve"> TW i CW planowanych do MD, MO i MB w latach 2022</w:t>
      </w:r>
      <w:r w:rsidR="00D40E78">
        <w:t>–</w:t>
      </w:r>
      <w:r w:rsidRPr="00795F17">
        <w:t xml:space="preserve">2027 </w:t>
      </w:r>
      <w:r w:rsidR="0050084F">
        <w:t>na</w:t>
      </w:r>
      <w:r w:rsidRPr="00795F17">
        <w:t xml:space="preserve"> obszarze dorzecza Odry została przedstawiona w tabeli </w:t>
      </w:r>
      <w:r w:rsidR="001168D3" w:rsidRPr="00795F17">
        <w:t>5-8</w:t>
      </w:r>
      <w:r w:rsidRPr="00795F17">
        <w:t xml:space="preserve">. Monitoring </w:t>
      </w:r>
      <w:r w:rsidR="00DF005E">
        <w:t>JCWP</w:t>
      </w:r>
      <w:r w:rsidRPr="00795F17">
        <w:t xml:space="preserve"> TW i CW </w:t>
      </w:r>
      <w:r w:rsidR="0050084F">
        <w:t>na</w:t>
      </w:r>
      <w:r w:rsidRPr="00795F17">
        <w:t xml:space="preserve"> obszarze dorzecza Odry dotyczy wyłącznie regionu wodnego Dolnej Odry i Przymorza Zachodniego, w której z</w:t>
      </w:r>
      <w:r w:rsidR="00CE65CF">
        <w:t xml:space="preserve">najdują się </w:t>
      </w:r>
      <w:r w:rsidRPr="00795F17">
        <w:t xml:space="preserve">wszystkie </w:t>
      </w:r>
      <w:r w:rsidR="00DF005E">
        <w:t>JCWP</w:t>
      </w:r>
      <w:r w:rsidRPr="00795F17">
        <w:t xml:space="preserve"> TW</w:t>
      </w:r>
      <w:r w:rsidR="006C49A9" w:rsidRPr="00795F17">
        <w:t> </w:t>
      </w:r>
      <w:r w:rsidRPr="00795F17">
        <w:t>i</w:t>
      </w:r>
      <w:r w:rsidR="00DF0E64">
        <w:t> </w:t>
      </w:r>
      <w:r w:rsidRPr="00795F17">
        <w:t>CW.</w:t>
      </w:r>
    </w:p>
    <w:p w14:paraId="4AAC3C5B" w14:textId="77777777" w:rsidR="00451B7F" w:rsidRPr="00795F17" w:rsidRDefault="00451B7F" w:rsidP="0044393D"/>
    <w:p w14:paraId="62F283EE" w14:textId="1921A92A" w:rsidR="00462DD4" w:rsidRPr="00795F17" w:rsidRDefault="00462DD4" w:rsidP="004D7705">
      <w:pPr>
        <w:pStyle w:val="Tabela"/>
      </w:pPr>
      <w:bookmarkStart w:id="150" w:name="_Toc66341863"/>
      <w:bookmarkStart w:id="151" w:name="_Toc105512772"/>
      <w:r w:rsidRPr="00795F17">
        <w:t xml:space="preserve">Tabela </w:t>
      </w:r>
      <w:fldSimple w:instr=" STYLEREF 1 \s ">
        <w:r w:rsidR="001F774D">
          <w:rPr>
            <w:noProof/>
          </w:rPr>
          <w:t>5</w:t>
        </w:r>
      </w:fldSimple>
      <w:r w:rsidR="00BB3B21" w:rsidRPr="00795F17">
        <w:noBreakHyphen/>
      </w:r>
      <w:fldSimple w:instr=" SEQ Tabela \* ARABIC \s 1 ">
        <w:r w:rsidR="001F774D">
          <w:rPr>
            <w:noProof/>
          </w:rPr>
          <w:t>8</w:t>
        </w:r>
      </w:fldSimple>
      <w:r w:rsidR="00BA11D4">
        <w:rPr>
          <w:noProof/>
        </w:rPr>
        <w:t>.</w:t>
      </w:r>
      <w:r w:rsidRPr="00795F17">
        <w:tab/>
        <w:t xml:space="preserve">Liczba </w:t>
      </w:r>
      <w:r w:rsidR="00DF005E">
        <w:t>JCWP</w:t>
      </w:r>
      <w:r w:rsidRPr="00795F17">
        <w:t xml:space="preserve"> </w:t>
      </w:r>
      <w:r w:rsidR="001C3A0F" w:rsidRPr="00795F17">
        <w:t>TW i CW</w:t>
      </w:r>
      <w:r w:rsidRPr="00795F17">
        <w:t xml:space="preserve"> planowanych do monitoringu w stosunku do całkowitej liczby </w:t>
      </w:r>
      <w:r w:rsidR="00DF005E">
        <w:t>JCWP</w:t>
      </w:r>
      <w:r w:rsidRPr="00795F17">
        <w:t xml:space="preserve"> </w:t>
      </w:r>
      <w:r w:rsidR="00DF0E64">
        <w:t>na</w:t>
      </w:r>
      <w:r w:rsidR="001D20AC" w:rsidRPr="00795F17">
        <w:t> </w:t>
      </w:r>
      <w:r w:rsidRPr="00795F17">
        <w:t>obszarze dorzecza Odry (porównanie cyklów planistycznych 2016</w:t>
      </w:r>
      <w:r w:rsidR="00D40E78">
        <w:t>–</w:t>
      </w:r>
      <w:r w:rsidRPr="00795F17">
        <w:t>2021 i 2022</w:t>
      </w:r>
      <w:r w:rsidR="00D40E78">
        <w:t>–</w:t>
      </w:r>
      <w:r w:rsidRPr="00795F17">
        <w:t>2027)</w:t>
      </w:r>
      <w:bookmarkEnd w:id="150"/>
      <w:bookmarkEnd w:id="1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11"/>
        <w:gridCol w:w="1312"/>
        <w:gridCol w:w="1457"/>
        <w:gridCol w:w="961"/>
        <w:gridCol w:w="1104"/>
        <w:gridCol w:w="1106"/>
        <w:gridCol w:w="1104"/>
        <w:gridCol w:w="1107"/>
      </w:tblGrid>
      <w:tr w:rsidR="00462DD4" w:rsidRPr="00795F17" w14:paraId="3401A79B" w14:textId="77777777" w:rsidTr="00A42C28">
        <w:trPr>
          <w:trHeight w:val="567"/>
        </w:trPr>
        <w:tc>
          <w:tcPr>
            <w:tcW w:w="503" w:type="pct"/>
            <w:vMerge w:val="restart"/>
            <w:shd w:val="clear" w:color="000000" w:fill="BFBFBF"/>
            <w:vAlign w:val="center"/>
            <w:hideMark/>
          </w:tcPr>
          <w:p w14:paraId="0CBC1C21" w14:textId="77777777" w:rsidR="00462DD4" w:rsidRPr="00795F17" w:rsidRDefault="00462DD4" w:rsidP="009109BF">
            <w:pPr>
              <w:pStyle w:val="Teksttabelinaglowek"/>
              <w:keepNext/>
              <w:rPr>
                <w:rFonts w:eastAsia="Times New Roman"/>
                <w:color w:val="000000"/>
              </w:rPr>
            </w:pPr>
            <w:r w:rsidRPr="00795F17">
              <w:t>Obszar dorzecza</w:t>
            </w:r>
          </w:p>
        </w:tc>
        <w:tc>
          <w:tcPr>
            <w:tcW w:w="1528" w:type="pct"/>
            <w:gridSpan w:val="2"/>
            <w:shd w:val="clear" w:color="000000" w:fill="BFBFBF"/>
            <w:vAlign w:val="center"/>
            <w:hideMark/>
          </w:tcPr>
          <w:p w14:paraId="278FD4B0" w14:textId="33784EC2" w:rsidR="00462DD4" w:rsidRPr="00795F17" w:rsidRDefault="00462DD4" w:rsidP="009109BF">
            <w:pPr>
              <w:pStyle w:val="Teksttabelinaglowek"/>
              <w:keepNext/>
              <w:rPr>
                <w:rFonts w:eastAsia="Times New Roman"/>
                <w:color w:val="000000"/>
              </w:rPr>
            </w:pPr>
            <w:r w:rsidRPr="00795F17">
              <w:t>Cykl planistyczny 2016</w:t>
            </w:r>
            <w:r w:rsidR="00D40E78">
              <w:t>–</w:t>
            </w:r>
            <w:r w:rsidRPr="00795F17">
              <w:t>2021</w:t>
            </w:r>
          </w:p>
        </w:tc>
        <w:tc>
          <w:tcPr>
            <w:tcW w:w="2969" w:type="pct"/>
            <w:gridSpan w:val="5"/>
            <w:shd w:val="clear" w:color="000000" w:fill="BFBFBF"/>
            <w:vAlign w:val="center"/>
            <w:hideMark/>
          </w:tcPr>
          <w:p w14:paraId="53DF2E57" w14:textId="29722E3D" w:rsidR="00462DD4" w:rsidRPr="00795F17" w:rsidRDefault="00462DD4" w:rsidP="009109BF">
            <w:pPr>
              <w:pStyle w:val="Teksttabelinaglowek"/>
              <w:keepNext/>
              <w:rPr>
                <w:rFonts w:eastAsia="Times New Roman"/>
                <w:color w:val="000000"/>
              </w:rPr>
            </w:pPr>
            <w:r w:rsidRPr="00795F17">
              <w:t>Cykl planistyczny 2022</w:t>
            </w:r>
            <w:r w:rsidR="00D40E78">
              <w:t>–</w:t>
            </w:r>
            <w:r w:rsidRPr="00795F17">
              <w:t>2027</w:t>
            </w:r>
          </w:p>
        </w:tc>
      </w:tr>
      <w:tr w:rsidR="00462DD4" w:rsidRPr="00795F17" w14:paraId="57142A19" w14:textId="77777777" w:rsidTr="00A42C28">
        <w:trPr>
          <w:trHeight w:val="567"/>
        </w:trPr>
        <w:tc>
          <w:tcPr>
            <w:tcW w:w="503" w:type="pct"/>
            <w:vMerge/>
            <w:vAlign w:val="center"/>
            <w:hideMark/>
          </w:tcPr>
          <w:p w14:paraId="3E87C3A5" w14:textId="77777777" w:rsidR="00462DD4" w:rsidRPr="00795F17" w:rsidRDefault="00462DD4" w:rsidP="0044393D">
            <w:pPr>
              <w:pStyle w:val="Teksttabelinaglowek"/>
            </w:pPr>
          </w:p>
        </w:tc>
        <w:tc>
          <w:tcPr>
            <w:tcW w:w="724" w:type="pct"/>
            <w:shd w:val="clear" w:color="000000" w:fill="BFBFBF"/>
            <w:vAlign w:val="center"/>
            <w:hideMark/>
          </w:tcPr>
          <w:p w14:paraId="79695EB7" w14:textId="64F78A22" w:rsidR="00462DD4" w:rsidRPr="00795F17" w:rsidRDefault="00462DD4" w:rsidP="0044393D">
            <w:pPr>
              <w:pStyle w:val="Teksttabelinaglowek"/>
              <w:rPr>
                <w:rFonts w:eastAsia="Times New Roman"/>
                <w:color w:val="000000"/>
              </w:rPr>
            </w:pPr>
            <w:r w:rsidRPr="00795F17">
              <w:t xml:space="preserve">Liczba </w:t>
            </w:r>
            <w:r w:rsidR="00DF005E">
              <w:t>JCWP</w:t>
            </w:r>
            <w:r w:rsidRPr="00795F17">
              <w:t xml:space="preserve"> </w:t>
            </w:r>
            <w:r w:rsidR="001C3A0F" w:rsidRPr="00795F17">
              <w:t>TW i CW</w:t>
            </w:r>
          </w:p>
        </w:tc>
        <w:tc>
          <w:tcPr>
            <w:tcW w:w="804" w:type="pct"/>
            <w:shd w:val="clear" w:color="000000" w:fill="BFBFBF"/>
            <w:vAlign w:val="center"/>
            <w:hideMark/>
          </w:tcPr>
          <w:p w14:paraId="5A638126" w14:textId="19E494E7" w:rsidR="00462DD4" w:rsidRPr="00795F17" w:rsidRDefault="00462DD4" w:rsidP="0044393D">
            <w:pPr>
              <w:pStyle w:val="Teksttabelinaglowek"/>
            </w:pPr>
            <w:r w:rsidRPr="00795F17">
              <w:t xml:space="preserve">Liczba </w:t>
            </w:r>
            <w:r w:rsidR="00DF005E">
              <w:t>JCWP</w:t>
            </w:r>
            <w:r w:rsidRPr="00795F17">
              <w:t xml:space="preserve"> objęta monitoringiem</w:t>
            </w:r>
          </w:p>
        </w:tc>
        <w:tc>
          <w:tcPr>
            <w:tcW w:w="530" w:type="pct"/>
            <w:shd w:val="clear" w:color="000000" w:fill="BFBFBF"/>
            <w:vAlign w:val="center"/>
            <w:hideMark/>
          </w:tcPr>
          <w:p w14:paraId="365E7396" w14:textId="06616F16" w:rsidR="00462DD4" w:rsidRPr="00795F17" w:rsidRDefault="00462DD4" w:rsidP="0044393D">
            <w:pPr>
              <w:pStyle w:val="Teksttabelinaglowek"/>
              <w:rPr>
                <w:rFonts w:eastAsia="Times New Roman"/>
              </w:rPr>
            </w:pPr>
            <w:r w:rsidRPr="00795F17">
              <w:t xml:space="preserve">Liczba </w:t>
            </w:r>
            <w:r w:rsidR="00DF005E">
              <w:t>JCWP</w:t>
            </w:r>
            <w:r w:rsidRPr="00795F17">
              <w:t xml:space="preserve"> </w:t>
            </w:r>
            <w:r w:rsidR="001C3A0F" w:rsidRPr="00795F17">
              <w:t>TW</w:t>
            </w:r>
            <w:r w:rsidR="00994994">
              <w:t> </w:t>
            </w:r>
            <w:r w:rsidR="001C3A0F" w:rsidRPr="00795F17">
              <w:t>i</w:t>
            </w:r>
            <w:r w:rsidR="00994994">
              <w:t> </w:t>
            </w:r>
            <w:r w:rsidR="001C3A0F" w:rsidRPr="00795F17">
              <w:t>CW</w:t>
            </w:r>
          </w:p>
        </w:tc>
        <w:tc>
          <w:tcPr>
            <w:tcW w:w="609" w:type="pct"/>
            <w:shd w:val="clear" w:color="000000" w:fill="BFBFBF"/>
            <w:vAlign w:val="center"/>
            <w:hideMark/>
          </w:tcPr>
          <w:p w14:paraId="608500BB" w14:textId="135B0A56" w:rsidR="00462DD4" w:rsidRPr="00795F17" w:rsidRDefault="00462DD4" w:rsidP="0044393D">
            <w:pPr>
              <w:pStyle w:val="Teksttabelinaglowek"/>
              <w:rPr>
                <w:rFonts w:eastAsia="Times New Roman"/>
                <w:color w:val="000000"/>
              </w:rPr>
            </w:pPr>
            <w:r w:rsidRPr="00795F17">
              <w:t xml:space="preserve">Liczba </w:t>
            </w:r>
            <w:r w:rsidR="00DF005E">
              <w:t>JCWP</w:t>
            </w:r>
            <w:r w:rsidRPr="00795F17">
              <w:t xml:space="preserve"> z ppk</w:t>
            </w:r>
          </w:p>
        </w:tc>
        <w:tc>
          <w:tcPr>
            <w:tcW w:w="610" w:type="pct"/>
            <w:shd w:val="clear" w:color="000000" w:fill="BFBFBF"/>
            <w:vAlign w:val="center"/>
          </w:tcPr>
          <w:p w14:paraId="021CE4C0" w14:textId="02FD90BF" w:rsidR="00462DD4" w:rsidRPr="00795F17" w:rsidRDefault="00462DD4" w:rsidP="0044393D">
            <w:pPr>
              <w:pStyle w:val="Teksttabelinaglowek"/>
            </w:pPr>
            <w:r w:rsidRPr="00795F17">
              <w:t xml:space="preserve">Udział </w:t>
            </w:r>
            <w:r w:rsidR="00DF005E">
              <w:t>JCWP</w:t>
            </w:r>
            <w:r w:rsidRPr="00795F17">
              <w:t xml:space="preserve"> z MD w</w:t>
            </w:r>
            <w:r w:rsidR="00994994">
              <w:t> </w:t>
            </w:r>
            <w:r w:rsidRPr="00795F17">
              <w:t xml:space="preserve">ogólnej liczbie </w:t>
            </w:r>
            <w:r w:rsidR="00DF005E">
              <w:t>JCWP</w:t>
            </w:r>
            <w:r w:rsidRPr="00795F17">
              <w:t xml:space="preserve"> z ppk</w:t>
            </w:r>
          </w:p>
          <w:p w14:paraId="6979EB76" w14:textId="42043525" w:rsidR="00865390" w:rsidRPr="00795F17" w:rsidRDefault="00EA4FF5" w:rsidP="0044393D">
            <w:pPr>
              <w:pStyle w:val="Teksttabelinaglowek"/>
            </w:pPr>
            <w:r w:rsidRPr="00795F17">
              <w:t>(%)</w:t>
            </w:r>
          </w:p>
        </w:tc>
        <w:tc>
          <w:tcPr>
            <w:tcW w:w="609" w:type="pct"/>
            <w:shd w:val="clear" w:color="000000" w:fill="BFBFBF"/>
            <w:vAlign w:val="center"/>
          </w:tcPr>
          <w:p w14:paraId="1B3F9CA8" w14:textId="3867311C" w:rsidR="00462DD4" w:rsidRPr="00795F17" w:rsidRDefault="00462DD4" w:rsidP="0044393D">
            <w:pPr>
              <w:pStyle w:val="Teksttabelinaglowek"/>
            </w:pPr>
            <w:r w:rsidRPr="00795F17">
              <w:t xml:space="preserve">Udział </w:t>
            </w:r>
            <w:r w:rsidR="00DF005E">
              <w:t>JCWP</w:t>
            </w:r>
            <w:r w:rsidRPr="00795F17">
              <w:t xml:space="preserve"> z MO w</w:t>
            </w:r>
            <w:r w:rsidR="00994994">
              <w:t> </w:t>
            </w:r>
            <w:r w:rsidRPr="00795F17">
              <w:t xml:space="preserve">ogólnej liczbie </w:t>
            </w:r>
            <w:r w:rsidR="00DF005E">
              <w:t>JCWP</w:t>
            </w:r>
            <w:r w:rsidRPr="00795F17">
              <w:t xml:space="preserve"> z ppk</w:t>
            </w:r>
          </w:p>
          <w:p w14:paraId="054AEC6E" w14:textId="28A2D947" w:rsidR="00865390" w:rsidRPr="00795F17" w:rsidRDefault="00EA4FF5" w:rsidP="0044393D">
            <w:pPr>
              <w:pStyle w:val="Teksttabelinaglowek"/>
            </w:pPr>
            <w:r w:rsidRPr="00795F17">
              <w:t>(%)</w:t>
            </w:r>
          </w:p>
        </w:tc>
        <w:tc>
          <w:tcPr>
            <w:tcW w:w="611" w:type="pct"/>
            <w:shd w:val="clear" w:color="000000" w:fill="BFBFBF"/>
            <w:vAlign w:val="center"/>
          </w:tcPr>
          <w:p w14:paraId="4553EA21" w14:textId="5614F059" w:rsidR="00462DD4" w:rsidRPr="00795F17" w:rsidRDefault="00462DD4" w:rsidP="0044393D">
            <w:pPr>
              <w:pStyle w:val="Teksttabelinaglowek"/>
            </w:pPr>
            <w:r w:rsidRPr="00795F17">
              <w:t xml:space="preserve">Udział </w:t>
            </w:r>
            <w:r w:rsidR="00DF005E">
              <w:t>JCWP</w:t>
            </w:r>
            <w:r w:rsidRPr="00795F17">
              <w:t xml:space="preserve"> z MB w</w:t>
            </w:r>
            <w:r w:rsidR="00994994">
              <w:t> </w:t>
            </w:r>
            <w:r w:rsidRPr="00795F17">
              <w:t xml:space="preserve">ogólnej liczbie </w:t>
            </w:r>
            <w:r w:rsidR="00DF005E">
              <w:t>JCWP</w:t>
            </w:r>
            <w:r w:rsidRPr="00795F17">
              <w:t xml:space="preserve"> z ppk</w:t>
            </w:r>
          </w:p>
          <w:p w14:paraId="265CF448" w14:textId="73EBD4F5" w:rsidR="00865390" w:rsidRPr="00795F17" w:rsidRDefault="00EA4FF5" w:rsidP="0044393D">
            <w:pPr>
              <w:pStyle w:val="Teksttabelinaglowek"/>
            </w:pPr>
            <w:r w:rsidRPr="00795F17">
              <w:t>(%)</w:t>
            </w:r>
          </w:p>
        </w:tc>
      </w:tr>
      <w:tr w:rsidR="00462DD4" w:rsidRPr="00795F17" w14:paraId="76CF8DAF" w14:textId="77777777" w:rsidTr="00A42C28">
        <w:trPr>
          <w:trHeight w:val="567"/>
        </w:trPr>
        <w:tc>
          <w:tcPr>
            <w:tcW w:w="503" w:type="pct"/>
            <w:shd w:val="clear" w:color="auto" w:fill="auto"/>
            <w:vAlign w:val="center"/>
            <w:hideMark/>
          </w:tcPr>
          <w:p w14:paraId="3B9FE6E9" w14:textId="1A68BC83" w:rsidR="00462DD4" w:rsidRPr="00795F17" w:rsidRDefault="00462DD4" w:rsidP="0065243A">
            <w:pPr>
              <w:pStyle w:val="Teksttabelisrodek"/>
              <w:rPr>
                <w:rFonts w:eastAsia="Times New Roman"/>
                <w:color w:val="000000"/>
              </w:rPr>
            </w:pPr>
            <w:r w:rsidRPr="00795F17">
              <w:t>Odr</w:t>
            </w:r>
            <w:r w:rsidR="00E83CCE" w:rsidRPr="00795F17">
              <w:t>a</w:t>
            </w:r>
          </w:p>
        </w:tc>
        <w:tc>
          <w:tcPr>
            <w:tcW w:w="724" w:type="pct"/>
            <w:shd w:val="clear" w:color="auto" w:fill="auto"/>
            <w:vAlign w:val="center"/>
            <w:hideMark/>
          </w:tcPr>
          <w:p w14:paraId="006A4CB8" w14:textId="169A634E" w:rsidR="00462DD4" w:rsidRPr="00795F17" w:rsidRDefault="004E4EF6" w:rsidP="0065243A">
            <w:pPr>
              <w:pStyle w:val="Teksttabelisrodek"/>
              <w:rPr>
                <w:rFonts w:eastAsia="Times New Roman"/>
                <w:color w:val="000000"/>
              </w:rPr>
            </w:pPr>
            <w:r w:rsidRPr="00795F17">
              <w:t>8</w:t>
            </w:r>
          </w:p>
        </w:tc>
        <w:tc>
          <w:tcPr>
            <w:tcW w:w="804" w:type="pct"/>
            <w:shd w:val="clear" w:color="auto" w:fill="auto"/>
            <w:vAlign w:val="center"/>
            <w:hideMark/>
          </w:tcPr>
          <w:p w14:paraId="090DDAAE" w14:textId="29B80759" w:rsidR="00462DD4" w:rsidRPr="00795F17" w:rsidRDefault="004E4EF6" w:rsidP="0065243A">
            <w:pPr>
              <w:pStyle w:val="Teksttabelisrodek"/>
              <w:rPr>
                <w:rFonts w:eastAsia="Times New Roman"/>
                <w:color w:val="000000"/>
              </w:rPr>
            </w:pPr>
            <w:r w:rsidRPr="00795F17">
              <w:t>8</w:t>
            </w:r>
          </w:p>
        </w:tc>
        <w:tc>
          <w:tcPr>
            <w:tcW w:w="530" w:type="pct"/>
            <w:shd w:val="clear" w:color="auto" w:fill="auto"/>
            <w:vAlign w:val="center"/>
            <w:hideMark/>
          </w:tcPr>
          <w:p w14:paraId="738B02A7" w14:textId="77777777" w:rsidR="00462DD4" w:rsidRPr="00795F17" w:rsidRDefault="00462DD4" w:rsidP="0065243A">
            <w:pPr>
              <w:pStyle w:val="Teksttabelisrodek"/>
              <w:rPr>
                <w:rFonts w:eastAsia="Times New Roman"/>
                <w:color w:val="000000"/>
              </w:rPr>
            </w:pPr>
            <w:r w:rsidRPr="00795F17">
              <w:t>4</w:t>
            </w:r>
          </w:p>
        </w:tc>
        <w:tc>
          <w:tcPr>
            <w:tcW w:w="609" w:type="pct"/>
            <w:shd w:val="clear" w:color="auto" w:fill="auto"/>
            <w:vAlign w:val="center"/>
            <w:hideMark/>
          </w:tcPr>
          <w:p w14:paraId="36F1A3E9" w14:textId="77777777" w:rsidR="00462DD4" w:rsidRPr="00795F17" w:rsidRDefault="00462DD4" w:rsidP="0065243A">
            <w:pPr>
              <w:pStyle w:val="Teksttabelisrodek"/>
              <w:rPr>
                <w:rFonts w:eastAsia="Times New Roman"/>
                <w:color w:val="000000"/>
              </w:rPr>
            </w:pPr>
            <w:r w:rsidRPr="00795F17">
              <w:t>4</w:t>
            </w:r>
          </w:p>
        </w:tc>
        <w:tc>
          <w:tcPr>
            <w:tcW w:w="610" w:type="pct"/>
            <w:vAlign w:val="center"/>
          </w:tcPr>
          <w:p w14:paraId="6F29FEC7" w14:textId="0FFD0D43" w:rsidR="00462DD4" w:rsidRPr="00795F17" w:rsidRDefault="00462DD4" w:rsidP="0065243A">
            <w:pPr>
              <w:pStyle w:val="Teksttabelisrodek"/>
              <w:rPr>
                <w:rFonts w:cs="Calibri"/>
                <w:color w:val="000000"/>
              </w:rPr>
            </w:pPr>
            <w:r w:rsidRPr="00795F17">
              <w:t>100</w:t>
            </w:r>
          </w:p>
        </w:tc>
        <w:tc>
          <w:tcPr>
            <w:tcW w:w="609" w:type="pct"/>
            <w:vAlign w:val="center"/>
          </w:tcPr>
          <w:p w14:paraId="39201007" w14:textId="79F26B33" w:rsidR="00462DD4" w:rsidRPr="00795F17" w:rsidRDefault="00462DD4" w:rsidP="0065243A">
            <w:pPr>
              <w:pStyle w:val="Teksttabelisrodek"/>
              <w:rPr>
                <w:rFonts w:cs="Calibri"/>
                <w:color w:val="000000"/>
              </w:rPr>
            </w:pPr>
            <w:r w:rsidRPr="00795F17">
              <w:t>100</w:t>
            </w:r>
          </w:p>
        </w:tc>
        <w:tc>
          <w:tcPr>
            <w:tcW w:w="611" w:type="pct"/>
            <w:vAlign w:val="center"/>
          </w:tcPr>
          <w:p w14:paraId="1E13C093" w14:textId="640775A4" w:rsidR="00462DD4" w:rsidRPr="00795F17" w:rsidRDefault="00462DD4" w:rsidP="0065243A">
            <w:pPr>
              <w:pStyle w:val="Teksttabelisrodek"/>
              <w:rPr>
                <w:rFonts w:cs="Calibri"/>
                <w:color w:val="000000"/>
              </w:rPr>
            </w:pPr>
            <w:r w:rsidRPr="00795F17">
              <w:t>100</w:t>
            </w:r>
          </w:p>
        </w:tc>
      </w:tr>
    </w:tbl>
    <w:p w14:paraId="7E5CF729" w14:textId="343928C3" w:rsidR="00462DD4" w:rsidRPr="00795F17" w:rsidRDefault="00462DD4" w:rsidP="0044393D">
      <w:pPr>
        <w:pStyle w:val="rdo"/>
      </w:pPr>
      <w:r w:rsidRPr="00795F17">
        <w:t xml:space="preserve">Źródło: </w:t>
      </w:r>
      <w:r w:rsidR="00FD7248" w:rsidRPr="00795F17">
        <w:t>opracowanie własne</w:t>
      </w:r>
      <w:r w:rsidRPr="00795F17">
        <w:t xml:space="preserve"> na podstawie danych GIOŚ dot. sieci monitoringu 2022</w:t>
      </w:r>
      <w:r w:rsidR="00D40E78">
        <w:t>–</w:t>
      </w:r>
      <w:r w:rsidRPr="00795F17">
        <w:t>2027</w:t>
      </w:r>
    </w:p>
    <w:p w14:paraId="6CC1BAE5" w14:textId="77777777" w:rsidR="00462DD4" w:rsidRPr="00795F17" w:rsidRDefault="00462DD4" w:rsidP="00A22ED2">
      <w:pPr>
        <w:pStyle w:val="Nagwek3"/>
      </w:pPr>
      <w:bookmarkStart w:id="152" w:name="_Toc105512643"/>
      <w:r w:rsidRPr="00795F17">
        <w:t>Wyniki państwowego monitoringu środowiska w zakresie wód powierzchniowych</w:t>
      </w:r>
      <w:bookmarkEnd w:id="152"/>
    </w:p>
    <w:p w14:paraId="5F2BDD06" w14:textId="71F86DEC" w:rsidR="00462DD4" w:rsidRPr="00795F17" w:rsidRDefault="00462DD4" w:rsidP="0044393D">
      <w:pPr>
        <w:pStyle w:val="Nagwek4"/>
      </w:pPr>
      <w:r w:rsidRPr="00795F17">
        <w:t xml:space="preserve">Sposób klasyfikacji i interpretacji stanu </w:t>
      </w:r>
      <w:r w:rsidR="00DF005E">
        <w:t>JCWP</w:t>
      </w:r>
    </w:p>
    <w:p w14:paraId="30CB1682" w14:textId="7D715BBD" w:rsidR="00462DD4" w:rsidRPr="00795F17" w:rsidRDefault="00462DD4" w:rsidP="0044393D">
      <w:bookmarkStart w:id="153" w:name="_Hlk65214831"/>
      <w:r w:rsidRPr="00795F17">
        <w:t>W pr.w. zawarto przepisy dotyczące oceny stanu wód oraz upoważnienie do</w:t>
      </w:r>
      <w:r w:rsidR="001D20AC" w:rsidRPr="00795F17">
        <w:t> </w:t>
      </w:r>
      <w:r w:rsidRPr="00795F17">
        <w:t>wydania przez ministra właściwego do spraw gospodarki wodnej w porozumieniu z ministrem właściwym do spraw klimatu oraz ministrem właściwym do spraw środowiska rozporządzeń wykonawczych (art. 53 ust. 4 pr.w.) w tym zakresie. Na koniec cyklu planistycznego 2016</w:t>
      </w:r>
      <w:r w:rsidR="00F84F4A">
        <w:t xml:space="preserve"> </w:t>
      </w:r>
      <w:r w:rsidR="00D40E78">
        <w:t xml:space="preserve">– </w:t>
      </w:r>
      <w:r w:rsidRPr="00795F17">
        <w:t xml:space="preserve">2021 obowiązywało rozporządzenie klasyfikacyjne z </w:t>
      </w:r>
      <w:r w:rsidR="00890D3A">
        <w:t>2021</w:t>
      </w:r>
      <w:r w:rsidR="00890D3A" w:rsidRPr="00795F17">
        <w:t> </w:t>
      </w:r>
      <w:r w:rsidRPr="00795F17">
        <w:t>r</w:t>
      </w:r>
      <w:r w:rsidR="00D94003">
        <w:t>.</w:t>
      </w:r>
      <w:r w:rsidRPr="00795F17">
        <w:t xml:space="preserve"> (</w:t>
      </w:r>
      <w:r w:rsidR="00DF005E">
        <w:t>r.kl.jcwp</w:t>
      </w:r>
      <w:r w:rsidRPr="00795F17">
        <w:t xml:space="preserve">) wprowadzające zweryfikowane metody oceny stanu </w:t>
      </w:r>
      <w:r w:rsidR="00DF005E">
        <w:t>JCWP</w:t>
      </w:r>
      <w:r w:rsidRPr="00795F17">
        <w:t>.</w:t>
      </w:r>
    </w:p>
    <w:p w14:paraId="7A2B3F35" w14:textId="04C41267" w:rsidR="00462DD4" w:rsidRPr="00795F17" w:rsidRDefault="00462DD4" w:rsidP="0044393D">
      <w:r w:rsidRPr="00795F17">
        <w:t>Odpowiednia interpretacja i prezentacja wyników PMŚ za lata 2014</w:t>
      </w:r>
      <w:r w:rsidR="00D40E78">
        <w:t>–</w:t>
      </w:r>
      <w:r w:rsidRPr="00795F17">
        <w:t>2019 wymagała uwzględnienia dokonanych zmian w tym obszarze w porównaniu do aPGW:</w:t>
      </w:r>
    </w:p>
    <w:p w14:paraId="6824C71E" w14:textId="29A074D4" w:rsidR="00462DD4" w:rsidRPr="00795F17" w:rsidRDefault="00462DD4" w:rsidP="002757E9">
      <w:pPr>
        <w:pStyle w:val="Numerowanie"/>
        <w:numPr>
          <w:ilvl w:val="0"/>
          <w:numId w:val="39"/>
        </w:numPr>
      </w:pPr>
      <w:bookmarkStart w:id="154" w:name="_Hlk53911854"/>
      <w:r w:rsidRPr="00795F17">
        <w:t xml:space="preserve">Aktualizacja jednostek planistycznych (wyznaczenie nowych granic </w:t>
      </w:r>
      <w:r w:rsidR="00DF005E">
        <w:t>JCWP</w:t>
      </w:r>
      <w:r w:rsidRPr="00795F17">
        <w:t>).</w:t>
      </w:r>
    </w:p>
    <w:bookmarkEnd w:id="154"/>
    <w:p w14:paraId="00BBBD29" w14:textId="16BFDE27" w:rsidR="00DF4CFB" w:rsidRPr="00795F17" w:rsidRDefault="00462DD4" w:rsidP="008C0577">
      <w:pPr>
        <w:ind w:left="360"/>
      </w:pPr>
      <w:r w:rsidRPr="00795F17">
        <w:t>W IIaPGW prezentowane są dane sprawozdawcze z III cyklu planistycznego ze wskazaniem danych i informacji odpowiednich dla obowiązującego wówczas układu jednostek planistycznych (dane</w:t>
      </w:r>
      <w:r w:rsidR="003B263C" w:rsidRPr="00795F17">
        <w:t> </w:t>
      </w:r>
      <w:r w:rsidRPr="00795F17">
        <w:t>bazowe) oraz jednocześnie dane i informacje bazowe przeniesione na nowy układ planistyczny. Taki sposób prezentacji danych umożliwia przedstawienie wyników osiągniętych na</w:t>
      </w:r>
      <w:r w:rsidR="003B263C" w:rsidRPr="00795F17">
        <w:t> </w:t>
      </w:r>
      <w:r w:rsidRPr="00795F17">
        <w:t>koniec III cyklu planistycznego, zgodnie z obowiązującymi w tym czasie warunkami, które w</w:t>
      </w:r>
      <w:r w:rsidR="003B263C" w:rsidRPr="00795F17">
        <w:t> </w:t>
      </w:r>
      <w:r w:rsidRPr="00795F17">
        <w:t>ramach IIaPGW uległy zmianie wpływając na prawidłową interpretację wyników. W cyklu planistycznym 2016</w:t>
      </w:r>
      <w:r w:rsidR="00D94003">
        <w:t>–</w:t>
      </w:r>
      <w:r w:rsidRPr="00795F17">
        <w:t xml:space="preserve">2021 </w:t>
      </w:r>
      <w:r w:rsidR="004B5942">
        <w:t xml:space="preserve">ocena stanu dokonana </w:t>
      </w:r>
      <w:r w:rsidR="004B5942" w:rsidRPr="00795F17">
        <w:t>został</w:t>
      </w:r>
      <w:r w:rsidR="004B5942">
        <w:t>a</w:t>
      </w:r>
      <w:r w:rsidR="004B5942" w:rsidRPr="00795F17">
        <w:t xml:space="preserve"> </w:t>
      </w:r>
      <w:r w:rsidRPr="00795F17">
        <w:t xml:space="preserve">prawie </w:t>
      </w:r>
      <w:r w:rsidR="004B5942">
        <w:t xml:space="preserve">dla </w:t>
      </w:r>
      <w:r w:rsidRPr="00795F17">
        <w:t>100% jcw przy wykorzystaniu oceny z</w:t>
      </w:r>
      <w:r w:rsidR="003B263C" w:rsidRPr="00795F17">
        <w:t> </w:t>
      </w:r>
      <w:r w:rsidRPr="00795F17">
        <w:t xml:space="preserve">przeniesienia. </w:t>
      </w:r>
    </w:p>
    <w:p w14:paraId="65F7B545" w14:textId="4A9B7B8D" w:rsidR="00462DD4" w:rsidRPr="00795F17" w:rsidRDefault="00462DD4" w:rsidP="008C0577">
      <w:pPr>
        <w:ind w:left="360"/>
      </w:pPr>
      <w:r w:rsidRPr="00795F17">
        <w:t>W</w:t>
      </w:r>
      <w:r w:rsidR="006C49A9" w:rsidRPr="00795F17">
        <w:t> </w:t>
      </w:r>
      <w:r w:rsidRPr="00795F17">
        <w:t xml:space="preserve">wyniku przeniesienia na nowy układ planistyczny, nie wszystkim </w:t>
      </w:r>
      <w:r w:rsidR="00DF005E">
        <w:t>JCWP</w:t>
      </w:r>
      <w:r w:rsidRPr="00795F17">
        <w:t xml:space="preserve"> możliwe było przypisanie </w:t>
      </w:r>
      <w:r w:rsidR="00754C43">
        <w:t>dokonanej</w:t>
      </w:r>
      <w:r w:rsidR="00754C43" w:rsidRPr="00795F17">
        <w:t xml:space="preserve"> </w:t>
      </w:r>
      <w:r w:rsidRPr="00795F17">
        <w:t>oceny stanu 2014</w:t>
      </w:r>
      <w:r w:rsidR="00D40E78">
        <w:t>–</w:t>
      </w:r>
      <w:r w:rsidRPr="00795F17">
        <w:t xml:space="preserve">2019. Szczegółowe zestawienia danych wskazane </w:t>
      </w:r>
      <w:r w:rsidR="00407346" w:rsidRPr="00795F17">
        <w:t>zostały</w:t>
      </w:r>
      <w:r w:rsidRPr="00795F17">
        <w:t xml:space="preserve"> w</w:t>
      </w:r>
      <w:r w:rsidR="00407346" w:rsidRPr="00795F17">
        <w:t> </w:t>
      </w:r>
      <w:r w:rsidRPr="00795F17">
        <w:t xml:space="preserve">podrozdziałach </w:t>
      </w:r>
      <w:r w:rsidR="00407346" w:rsidRPr="00795F17">
        <w:t xml:space="preserve">dedykowanych poszczególnym </w:t>
      </w:r>
      <w:r w:rsidRPr="00795F17">
        <w:t>kategori</w:t>
      </w:r>
      <w:r w:rsidR="00407346" w:rsidRPr="00795F17">
        <w:t>om</w:t>
      </w:r>
      <w:r w:rsidRPr="00795F17">
        <w:t xml:space="preserve"> wód.</w:t>
      </w:r>
    </w:p>
    <w:p w14:paraId="6AF1FD11" w14:textId="7F483442" w:rsidR="00462DD4" w:rsidRPr="00795F17" w:rsidRDefault="00462DD4" w:rsidP="0044393D">
      <w:pPr>
        <w:pStyle w:val="Numerowanie"/>
      </w:pPr>
      <w:r w:rsidRPr="00795F17">
        <w:t xml:space="preserve">Zmiany warunków </w:t>
      </w:r>
      <w:r w:rsidR="009E3334">
        <w:t>klasyfikacji</w:t>
      </w:r>
      <w:r w:rsidR="009E3334" w:rsidRPr="00795F17">
        <w:t xml:space="preserve"> </w:t>
      </w:r>
      <w:r w:rsidRPr="00795F17">
        <w:t xml:space="preserve">stanu i potencjału ekologicznego wód wprowadzone </w:t>
      </w:r>
      <w:r w:rsidR="00DF005E">
        <w:t>r.kl.jcwp</w:t>
      </w:r>
      <w:r w:rsidRPr="00795F17">
        <w:t xml:space="preserve">. Zmianie uległy: </w:t>
      </w:r>
    </w:p>
    <w:p w14:paraId="60866FAF" w14:textId="77777777" w:rsidR="00462DD4" w:rsidRPr="00795F17" w:rsidRDefault="00462DD4" w:rsidP="005635FD">
      <w:pPr>
        <w:pStyle w:val="Listapunktowana2"/>
        <w:numPr>
          <w:ilvl w:val="0"/>
          <w:numId w:val="110"/>
        </w:numPr>
      </w:pPr>
      <w:r w:rsidRPr="00795F17">
        <w:t>zakres elementów biologicznych ocenianych w poszczególnych kategoriach i typach wód;</w:t>
      </w:r>
    </w:p>
    <w:p w14:paraId="207765D1" w14:textId="77777777" w:rsidR="00462DD4" w:rsidRPr="00795F17" w:rsidRDefault="00462DD4" w:rsidP="005635FD">
      <w:pPr>
        <w:pStyle w:val="Listapunktowana2"/>
        <w:numPr>
          <w:ilvl w:val="0"/>
          <w:numId w:val="110"/>
        </w:numPr>
      </w:pPr>
      <w:r w:rsidRPr="00795F17">
        <w:t>przedziały granic klas dla stanu ekologicznego poszczególnych elementów biologicznych;</w:t>
      </w:r>
    </w:p>
    <w:p w14:paraId="1F89C337" w14:textId="77777777" w:rsidR="00462DD4" w:rsidRPr="00795F17" w:rsidRDefault="00462DD4" w:rsidP="005635FD">
      <w:pPr>
        <w:pStyle w:val="Listapunktowana2"/>
        <w:numPr>
          <w:ilvl w:val="0"/>
          <w:numId w:val="110"/>
        </w:numPr>
      </w:pPr>
      <w:r w:rsidRPr="00795F17">
        <w:t>liczba ocenianych elementów fizykochemicznych i chemicznych oraz granice klas dla części z nich;</w:t>
      </w:r>
    </w:p>
    <w:p w14:paraId="0312E8FB" w14:textId="3E4A9389" w:rsidR="00462DD4" w:rsidRPr="00795F17" w:rsidRDefault="00462DD4" w:rsidP="005635FD">
      <w:pPr>
        <w:pStyle w:val="Listapunktowana2"/>
        <w:numPr>
          <w:ilvl w:val="0"/>
          <w:numId w:val="110"/>
        </w:numPr>
      </w:pPr>
      <w:r w:rsidRPr="00795F17">
        <w:t xml:space="preserve">sposób </w:t>
      </w:r>
      <w:r w:rsidR="00C12087">
        <w:t>klasyfikacji potencjału ekologicznego</w:t>
      </w:r>
      <w:r w:rsidRPr="00795F17">
        <w:t xml:space="preserve"> </w:t>
      </w:r>
      <w:r w:rsidR="00DF005E">
        <w:t>JCWP</w:t>
      </w:r>
      <w:r w:rsidRPr="00795F17">
        <w:t xml:space="preserve"> wyznaczonych jako SZCW i SCW (indywidualne granice klas wyznaczone w ramach aktualizacji PGW). </w:t>
      </w:r>
    </w:p>
    <w:bookmarkEnd w:id="153"/>
    <w:p w14:paraId="07808A0D" w14:textId="63DDAA01" w:rsidR="00462DD4" w:rsidRPr="00795F17" w:rsidRDefault="00462DD4" w:rsidP="0044393D">
      <w:r w:rsidRPr="00795F17">
        <w:t>Podstawowe zmiany dotyczące zasad i zakresu monitoringu stanu lub potencjału ekologicznego wód wprowadzone w ostatnim cyklu planistycznym (2016</w:t>
      </w:r>
      <w:r w:rsidR="00D40E78">
        <w:t>–</w:t>
      </w:r>
      <w:r w:rsidRPr="00795F17">
        <w:t xml:space="preserve">2021) są związane z przyjęciem zaktualizowanej typologii wód, uwzględniającej wymagania grup organizmów stanowiących biologiczne elementy oceny stanu lub potencjału ekologicznego wód: fitoplanktonu i fitobentosu, makrofitów, makrobezkręgowców oraz ichtiofauny. Nowa typologia została wprowadzona </w:t>
      </w:r>
      <w:r w:rsidR="00DF005E">
        <w:t>r.kl.jcwp</w:t>
      </w:r>
      <w:r w:rsidRPr="00795F17">
        <w:t xml:space="preserve">. W IV cyklu planistycznym zgodnie z załącznikiem nr 6 do </w:t>
      </w:r>
      <w:r w:rsidR="00DF005E">
        <w:t>r.kl.jcwp</w:t>
      </w:r>
      <w:r w:rsidR="00D87D1A" w:rsidRPr="00795F17">
        <w:t xml:space="preserve"> </w:t>
      </w:r>
      <w:r w:rsidRPr="00795F17">
        <w:t>obowiąz</w:t>
      </w:r>
      <w:r w:rsidR="005E4DBE">
        <w:t>uje</w:t>
      </w:r>
      <w:r w:rsidRPr="00795F17">
        <w:t xml:space="preserve"> podział na: 20</w:t>
      </w:r>
      <w:r w:rsidR="006C49A9" w:rsidRPr="00795F17">
        <w:t> </w:t>
      </w:r>
      <w:r w:rsidRPr="00795F17">
        <w:t xml:space="preserve">typów </w:t>
      </w:r>
      <w:r w:rsidR="00DF005E">
        <w:t>JCWP</w:t>
      </w:r>
      <w:r w:rsidRPr="00795F17">
        <w:t xml:space="preserve"> dla kategorii wód rzecznych, 7 typów </w:t>
      </w:r>
      <w:r w:rsidR="00DF005E">
        <w:t>JCWP</w:t>
      </w:r>
      <w:r w:rsidRPr="00795F17">
        <w:t xml:space="preserve"> </w:t>
      </w:r>
      <w:r w:rsidR="00D40E78">
        <w:t>–</w:t>
      </w:r>
      <w:r w:rsidRPr="00795F17">
        <w:t xml:space="preserve"> dla wód jeziornych, 5 typów </w:t>
      </w:r>
      <w:r w:rsidR="00DF005E">
        <w:t>JCWP</w:t>
      </w:r>
      <w:r w:rsidRPr="00795F17">
        <w:t xml:space="preserve"> </w:t>
      </w:r>
      <w:r w:rsidR="00D40E78">
        <w:t>–</w:t>
      </w:r>
      <w:r w:rsidRPr="00795F17">
        <w:t xml:space="preserve"> dla wód przejściowych i 2 typy </w:t>
      </w:r>
      <w:r w:rsidR="00DF005E">
        <w:t>JCWP</w:t>
      </w:r>
      <w:r w:rsidRPr="00795F17">
        <w:t xml:space="preserve"> dla wód przybrzeżnych. </w:t>
      </w:r>
    </w:p>
    <w:p w14:paraId="693CD649" w14:textId="6C631D2C" w:rsidR="00462DD4" w:rsidRPr="00795F17" w:rsidRDefault="00462DD4" w:rsidP="0044393D">
      <w:r w:rsidRPr="00795F17">
        <w:t xml:space="preserve">Weryfikacja metod </w:t>
      </w:r>
      <w:r w:rsidR="009E3334">
        <w:t>klasyfikacji</w:t>
      </w:r>
      <w:r w:rsidR="009E3334" w:rsidRPr="00795F17">
        <w:t xml:space="preserve"> </w:t>
      </w:r>
      <w:r w:rsidRPr="00795F17">
        <w:t xml:space="preserve">stanu ekologicznego </w:t>
      </w:r>
      <w:r w:rsidR="00DF005E">
        <w:t>JCWP</w:t>
      </w:r>
      <w:r w:rsidRPr="00795F17">
        <w:t xml:space="preserve"> wyznaczonych jako naturalne części wód oraz wartości granicznych dla klas stanu ekologicznego została wprowadzona w dwóch etapach </w:t>
      </w:r>
      <w:r w:rsidR="008132B4">
        <w:t>–</w:t>
      </w:r>
      <w:r w:rsidRPr="00795F17">
        <w:t xml:space="preserve"> część weszła w życie wraz z ogłoszeniem </w:t>
      </w:r>
      <w:r w:rsidR="00DF005E">
        <w:t>r.kl.jcwp</w:t>
      </w:r>
      <w:r w:rsidRPr="00795F17">
        <w:t>, natomiast kolejne zmiany weszły w życie z dniem 1</w:t>
      </w:r>
      <w:r w:rsidR="006C49A9" w:rsidRPr="00795F17">
        <w:t> </w:t>
      </w:r>
      <w:r w:rsidRPr="00795F17">
        <w:t>stycznia 2022 r. i</w:t>
      </w:r>
      <w:r w:rsidRPr="00795F17" w:rsidDel="00607FE8">
        <w:t xml:space="preserve"> </w:t>
      </w:r>
      <w:r w:rsidRPr="00795F17">
        <w:t>obowiąz</w:t>
      </w:r>
      <w:r w:rsidR="00607FE8">
        <w:t xml:space="preserve">ują </w:t>
      </w:r>
      <w:r w:rsidR="00224FF0" w:rsidRPr="00795F17">
        <w:t xml:space="preserve">w </w:t>
      </w:r>
      <w:r w:rsidRPr="00795F17">
        <w:t>IV cyklu planistycznym. Zmiany te obejmują zarówno zakres elementów biologicznych ocenianych w poszczególnych kategoriach i typach wód, jak i</w:t>
      </w:r>
      <w:r w:rsidR="00DB006E">
        <w:t> </w:t>
      </w:r>
      <w:r w:rsidRPr="00795F17">
        <w:t>przedziały granic klas dla</w:t>
      </w:r>
      <w:r w:rsidR="008E1729" w:rsidRPr="00795F17">
        <w:t xml:space="preserve"> </w:t>
      </w:r>
      <w:r w:rsidRPr="00795F17">
        <w:t>stanu ekologicznego poszczególnych elementów biologicznych. Zmi</w:t>
      </w:r>
      <w:r w:rsidR="00DB006E">
        <w:t xml:space="preserve">eniono </w:t>
      </w:r>
      <w:r w:rsidRPr="00795F17">
        <w:t>także liczb</w:t>
      </w:r>
      <w:r w:rsidR="00DB006E">
        <w:t>ę</w:t>
      </w:r>
      <w:r w:rsidRPr="00795F17">
        <w:t xml:space="preserve"> ocenianych elementów fizykochemicznych i</w:t>
      </w:r>
      <w:r w:rsidR="008E1729" w:rsidRPr="00795F17">
        <w:t xml:space="preserve"> </w:t>
      </w:r>
      <w:r w:rsidRPr="00795F17">
        <w:t>chemicznych oraz granice klas.</w:t>
      </w:r>
    </w:p>
    <w:p w14:paraId="5DF59CE1" w14:textId="10FE7751" w:rsidR="00462DD4" w:rsidRPr="00795F17" w:rsidRDefault="00462DD4" w:rsidP="0044393D">
      <w:r w:rsidRPr="00795F17">
        <w:t xml:space="preserve">Cytowane wyżej rozporządzenie określiło również nowy sposób </w:t>
      </w:r>
      <w:r w:rsidR="00C914D6">
        <w:t xml:space="preserve">klasyfikacji </w:t>
      </w:r>
      <w:r w:rsidRPr="00795F17">
        <w:t xml:space="preserve">potencjału ekologicznego </w:t>
      </w:r>
      <w:r w:rsidR="00DF005E">
        <w:t>JCWP</w:t>
      </w:r>
      <w:r w:rsidRPr="00795F17">
        <w:t xml:space="preserve"> wyznaczonych jako SZCW i SCW.</w:t>
      </w:r>
    </w:p>
    <w:p w14:paraId="329043A6" w14:textId="413F7428" w:rsidR="00462DD4" w:rsidRPr="00795F17" w:rsidRDefault="00462DD4" w:rsidP="0044393D">
      <w:r w:rsidRPr="00795F17">
        <w:t>Od 1 stycznia 2022</w:t>
      </w:r>
      <w:r w:rsidR="008E1729" w:rsidRPr="00795F17">
        <w:t> </w:t>
      </w:r>
      <w:r w:rsidRPr="00795F17">
        <w:t>r. obowiązują nowe zasady wyznaczania przedziałów granic potencjału ekologicznego. W obecnym cyklu planistycznym, w</w:t>
      </w:r>
      <w:r w:rsidR="008E1729" w:rsidRPr="00795F17">
        <w:t xml:space="preserve"> </w:t>
      </w:r>
      <w:r w:rsidRPr="00795F17">
        <w:t xml:space="preserve">ramach </w:t>
      </w:r>
      <w:r w:rsidR="00E66322">
        <w:t xml:space="preserve">opracowania </w:t>
      </w:r>
      <w:r w:rsidRPr="00795F17">
        <w:t>IIaPGW po raz pierwszy określone zostały, zgodnie z</w:t>
      </w:r>
      <w:r w:rsidRPr="00795F17" w:rsidDel="004C11B8">
        <w:t xml:space="preserve"> </w:t>
      </w:r>
      <w:r w:rsidRPr="00795F17">
        <w:t xml:space="preserve">załącznikami nr 7-10 do </w:t>
      </w:r>
      <w:r w:rsidR="00DF005E">
        <w:t>r.kl.jcwp</w:t>
      </w:r>
      <w:r w:rsidRPr="00795F17">
        <w:t xml:space="preserve">, wartości graniczne dla klas jakości wód powierzchniowych wskaźników jakości wód powierzchniowych, będące podstawą klasyfikacji potencjału ekologicznego </w:t>
      </w:r>
      <w:r w:rsidR="00DF005E">
        <w:t>JCWP</w:t>
      </w:r>
      <w:r w:rsidRPr="00795F17">
        <w:t>, odnoszące się do</w:t>
      </w:r>
      <w:r w:rsidR="008E1729" w:rsidRPr="00795F17">
        <w:t xml:space="preserve"> </w:t>
      </w:r>
      <w:r w:rsidR="00DF005E">
        <w:t>JCWP</w:t>
      </w:r>
      <w:r w:rsidRPr="00795F17">
        <w:t xml:space="preserve"> w ciekach naturalnych, kanałach lub zbiornikach zaporowych wyznaczonych jako sztuczne bądź silnie zmienione </w:t>
      </w:r>
      <w:r w:rsidR="00DF005E">
        <w:t>JCWP</w:t>
      </w:r>
      <w:r w:rsidRPr="00795F17">
        <w:t xml:space="preserve">. </w:t>
      </w:r>
    </w:p>
    <w:p w14:paraId="637FFDF6" w14:textId="6A160213" w:rsidR="00462DD4" w:rsidRPr="00795F17" w:rsidRDefault="00462DD4" w:rsidP="0044393D">
      <w:r w:rsidRPr="00795F17">
        <w:t xml:space="preserve">Ideą wprowadzonych rozporządzeniem zmian było, by </w:t>
      </w:r>
      <w:r w:rsidR="00C914D6">
        <w:t>klasyfikacja</w:t>
      </w:r>
      <w:r w:rsidR="00C914D6" w:rsidRPr="00795F17">
        <w:t xml:space="preserve"> </w:t>
      </w:r>
      <w:r w:rsidRPr="00795F17">
        <w:t>potencjału ekologicznego dla</w:t>
      </w:r>
      <w:r w:rsidR="00F73DFF" w:rsidRPr="00795F17">
        <w:t> </w:t>
      </w:r>
      <w:r w:rsidRPr="00795F17">
        <w:t>wyznaczonych SZCW i SCW odbywała się w powiązaniu z konkretnymi rodzajami presji decydujący</w:t>
      </w:r>
      <w:r w:rsidR="008E1729" w:rsidRPr="00795F17">
        <w:t>mi</w:t>
      </w:r>
      <w:r w:rsidRPr="00795F17">
        <w:t xml:space="preserve"> o wyznaczeniu części wód jako silnie zmienione lub sztuczne. Dla elementów biologicznych granice klas potencjału ekologicznego zostały zatem określone na niższym poziomie niż stosowane dla stanu ekologicznego, a stopień złagodzenia wymogów środowiskowych odpowiada nasileniu konkretnych presji hydromorfologicznych w danej </w:t>
      </w:r>
      <w:r w:rsidR="00DF005E">
        <w:t>JCWP</w:t>
      </w:r>
      <w:r w:rsidRPr="00795F17">
        <w:t xml:space="preserve">. </w:t>
      </w:r>
    </w:p>
    <w:p w14:paraId="403EAB39" w14:textId="77777777" w:rsidR="00462DD4" w:rsidRPr="00795F17" w:rsidRDefault="00462DD4" w:rsidP="0044393D">
      <w:r w:rsidRPr="00795F17">
        <w:t>Jako podstawowe założenie przyjęto, że:</w:t>
      </w:r>
    </w:p>
    <w:p w14:paraId="3F3B6FEA" w14:textId="2494D41F" w:rsidR="00462DD4" w:rsidRPr="00795F17" w:rsidRDefault="00462DD4" w:rsidP="005635FD">
      <w:pPr>
        <w:pStyle w:val="Listapunktowana2"/>
        <w:numPr>
          <w:ilvl w:val="0"/>
          <w:numId w:val="109"/>
        </w:numPr>
      </w:pPr>
      <w:r w:rsidRPr="00795F17">
        <w:t xml:space="preserve">dolna wartość graniczna maksymalnego PE zostanie określona na poziomie dolnej granicy dobrego SE dla danego typu abiotycznego rzek lub jezior, zakładając, że w praktyce odpowiada </w:t>
      </w:r>
      <w:r w:rsidR="007E71E7">
        <w:t xml:space="preserve">to </w:t>
      </w:r>
      <w:r w:rsidRPr="00795F17">
        <w:t xml:space="preserve">stanowi jaki można osiągnąć stosując wszystkie uzasadnione działania restytucyjne (osiągnięcie tego progu oznacza wejście SZCW lub SCW w dobry </w:t>
      </w:r>
      <w:r w:rsidR="00E57977" w:rsidRPr="00795F17">
        <w:t>SE</w:t>
      </w:r>
      <w:r w:rsidRPr="00795F17">
        <w:t>, określony dla naturalnych części wód);</w:t>
      </w:r>
    </w:p>
    <w:p w14:paraId="6641456A" w14:textId="43F8C9D2" w:rsidR="00462DD4" w:rsidRPr="00795F17" w:rsidRDefault="00462DD4" w:rsidP="005635FD">
      <w:pPr>
        <w:pStyle w:val="Listapunktowana2"/>
        <w:numPr>
          <w:ilvl w:val="0"/>
          <w:numId w:val="109"/>
        </w:numPr>
      </w:pPr>
      <w:r w:rsidRPr="00795F17">
        <w:t xml:space="preserve">wartości graniczne dla dobrego PE mieszczą się w przedziale klasy III (umiarkowanego) SE oraz zostaną wyznaczone indywidualnie dla każdej </w:t>
      </w:r>
      <w:r w:rsidR="00E57977" w:rsidRPr="00795F17">
        <w:t>SZCW</w:t>
      </w:r>
      <w:r w:rsidRPr="00795F17">
        <w:t xml:space="preserve"> lub </w:t>
      </w:r>
      <w:r w:rsidR="00E57977" w:rsidRPr="00795F17">
        <w:t>SCW</w:t>
      </w:r>
      <w:r w:rsidRPr="00795F17">
        <w:t xml:space="preserve"> wód rzek i</w:t>
      </w:r>
      <w:r w:rsidR="007D0549" w:rsidRPr="00795F17">
        <w:t> </w:t>
      </w:r>
      <w:r w:rsidRPr="00795F17">
        <w:t>jezior w zależności od</w:t>
      </w:r>
      <w:r w:rsidR="00823FDF" w:rsidRPr="00795F17">
        <w:t> </w:t>
      </w:r>
      <w:r w:rsidRPr="00795F17">
        <w:t>stopnia jej przekształcenia, którego nie można ograniczyć przez racjonalne działania naprawcze;</w:t>
      </w:r>
    </w:p>
    <w:p w14:paraId="7110D270" w14:textId="77777777" w:rsidR="00462DD4" w:rsidRPr="00795F17" w:rsidRDefault="00462DD4" w:rsidP="005635FD">
      <w:pPr>
        <w:pStyle w:val="Listapunktowana2"/>
        <w:numPr>
          <w:ilvl w:val="0"/>
          <w:numId w:val="109"/>
        </w:numPr>
      </w:pPr>
      <w:r w:rsidRPr="00795F17">
        <w:t>dolne granice dla umiarkowanego i słabego PE zostaną zmienione stosując ten sam procent obniżenia wartości granicznej zastosowany dla dobrego PE proporcjonalnie do szerokości przedziałów kolejnych klas SE.</w:t>
      </w:r>
    </w:p>
    <w:p w14:paraId="2D661836" w14:textId="4EAE33D0" w:rsidR="00462DD4" w:rsidRPr="00795F17" w:rsidRDefault="009511B3" w:rsidP="0044393D">
      <w:r w:rsidRPr="00795F17">
        <w:t xml:space="preserve">W celu określenia stopnia przekształcenia silnie zmienionej lub sztucznej części wód dla rzek wykorzystano wyniki </w:t>
      </w:r>
      <w:r>
        <w:t>obserwacji hydromorfologicznych, wyrażonych za pomocą Hydromorfologicznego Indeksu Rzecznego</w:t>
      </w:r>
      <w:r w:rsidRPr="00795F17">
        <w:t xml:space="preserve"> (HIR)</w:t>
      </w:r>
      <w:r w:rsidR="00462DD4" w:rsidRPr="00795F17">
        <w:t xml:space="preserve"> dla stanu aktualnego oraz po</w:t>
      </w:r>
      <w:r w:rsidR="006C49A9" w:rsidRPr="00795F17">
        <w:t> </w:t>
      </w:r>
      <w:r w:rsidR="00462DD4" w:rsidRPr="00795F17">
        <w:t xml:space="preserve">zasymulowaniu możliwych działań łagodzących, restytucyjnych, w powiązaniu z oceną ekspercką istotności oddziaływań zidentyfikowanych presji na poszczególne biologiczne elementy </w:t>
      </w:r>
      <w:r w:rsidR="00C12087">
        <w:t>klasyfikacji potencjału ekologicznego</w:t>
      </w:r>
      <w:r w:rsidR="00462DD4" w:rsidRPr="00795F17">
        <w:t xml:space="preserve"> wód. Natomiast dla </w:t>
      </w:r>
      <w:r w:rsidR="00DF005E">
        <w:t>JCWP</w:t>
      </w:r>
      <w:r w:rsidR="00462DD4" w:rsidRPr="00795F17">
        <w:t xml:space="preserve"> LW wyznaczonych jako SZCW wykorzystane zostały metody eksperckiej redukcji granic klas PE w stosunku do stosowanych dla SE, w oparciu o</w:t>
      </w:r>
      <w:r w:rsidR="006C49A9" w:rsidRPr="00795F17">
        <w:t> </w:t>
      </w:r>
      <w:r w:rsidR="00462DD4" w:rsidRPr="00795F17">
        <w:t>wskaźnikową ocenę stopnia przekształcenia morfologicznego i hydrologicznego poszczególnych jezior. Podstawowe założenia tych ocen eksperckich były analogiczne jak dla rzek. Szczegółowy sposób określenia granic dobrego potencjału ekologicznego jest opisany w rozdziale 8 IIaPGW.</w:t>
      </w:r>
    </w:p>
    <w:p w14:paraId="6737F2D0" w14:textId="5A65D21C" w:rsidR="00096112" w:rsidRPr="00795F17" w:rsidRDefault="00DF005E" w:rsidP="00096112">
      <w:r>
        <w:t>R.kl.jcwp</w:t>
      </w:r>
      <w:r w:rsidR="00462DD4" w:rsidRPr="00795F17">
        <w:t xml:space="preserve"> wprowadzono również zmiany w zakresie wskaźników fizykochemicznych jakie będą klasyfikowane w ramach elementów wspierających. Najwięcej zmian dotyczy </w:t>
      </w:r>
      <w:r>
        <w:t>JCWP</w:t>
      </w:r>
      <w:r w:rsidR="00462DD4" w:rsidRPr="00795F17">
        <w:t xml:space="preserve"> RW, w przypadku których istotnie zredukowano ilość klasyfikowanych wskaźników, pozostawiając takie parametry jak</w:t>
      </w:r>
      <w:r w:rsidR="00F73DFF" w:rsidRPr="00795F17">
        <w:t> </w:t>
      </w:r>
      <w:r w:rsidR="00462DD4" w:rsidRPr="00795F17">
        <w:t>tlen rozpuszczony, BZT</w:t>
      </w:r>
      <w:r w:rsidR="00462DD4" w:rsidRPr="00795F17">
        <w:rPr>
          <w:vertAlign w:val="subscript"/>
        </w:rPr>
        <w:t>5</w:t>
      </w:r>
      <w:r w:rsidR="00462DD4" w:rsidRPr="00795F17">
        <w:t xml:space="preserve">, ogólny węgiel organiczny, przewodność </w:t>
      </w:r>
      <w:r w:rsidR="00085378" w:rsidRPr="00795F17">
        <w:t xml:space="preserve">w </w:t>
      </w:r>
      <w:r w:rsidR="00462DD4" w:rsidRPr="00795F17">
        <w:t xml:space="preserve">20°C oraz parametry charakteryzujące zawartość biogenów </w:t>
      </w:r>
      <w:r w:rsidR="00182A26" w:rsidRPr="00795F17">
        <w:t>-</w:t>
      </w:r>
      <w:r w:rsidR="00462DD4" w:rsidRPr="00795F17">
        <w:t xml:space="preserve"> azot ogólny i jego dwie formy: azot amonowy i azotanowy oraz ortofosforany i fosfor ogólny. Zrezygnowano m.in. z</w:t>
      </w:r>
      <w:r w:rsidR="00364456" w:rsidRPr="00795F17">
        <w:t xml:space="preserve"> </w:t>
      </w:r>
      <w:r w:rsidR="00462DD4" w:rsidRPr="00795F17">
        <w:t xml:space="preserve">klasyfikowania temperatury (wskaźnik niestabilny, zależny od warunków środowiskowych), chemicznego zapotrzebowania na tlen (parametru umownie obrazującego zawartość związków organicznych i nieorganicznych) oraz kilku wskaźników związanych z zasoleniem, pozostawiając jeden ogólny parametr przewodności w 20°C. </w:t>
      </w:r>
    </w:p>
    <w:p w14:paraId="0EAB6218" w14:textId="49CFC69F" w:rsidR="00096112" w:rsidRPr="00795F17" w:rsidRDefault="00462DD4" w:rsidP="00096112">
      <w:r w:rsidRPr="00795F17">
        <w:t>Wśród parametrów odnoszących się do substancji biogennych zrezygnowano z klasyfikowania azotu</w:t>
      </w:r>
      <w:r w:rsidR="00096112">
        <w:t> </w:t>
      </w:r>
      <w:r w:rsidRPr="00795F17">
        <w:t>Kjeldahla (wskaźnika obrazującego zawartość azotu organicznego i amonowego) oraz azotu</w:t>
      </w:r>
      <w:r w:rsidR="00096112">
        <w:t> </w:t>
      </w:r>
      <w:r w:rsidRPr="00795F17">
        <w:t>azotynowego (nietrwałej formy przejściowej). Mniej zmian zaszło w zakresie wskaźników dla jezior, wód przybrzeżnych i przejściowych. W jeziorach zrezygnowano z klasyfikowania zawartości tlenu, natomiast dla jezior lobeliowych (będących siedliskami chronionymi) dodano dwa wskaźniki</w:t>
      </w:r>
      <w:r w:rsidR="00096112">
        <w:t xml:space="preserve">: </w:t>
      </w:r>
      <w:r w:rsidR="00096112" w:rsidRPr="00795F17">
        <w:t>barwę i odczyn. W przypadku wód przejściowych i przybrzeżnych odstąpiono od klasyfikowania zasolenia.</w:t>
      </w:r>
    </w:p>
    <w:p w14:paraId="5FDEF853" w14:textId="77777777" w:rsidR="00096112" w:rsidRPr="00795F17" w:rsidRDefault="00096112" w:rsidP="00096112">
      <w:r w:rsidRPr="00795F17">
        <w:t xml:space="preserve">W zakresie zestawu wskaźników odnoszących się do specyficznych zanieczyszczeń syntetycznych </w:t>
      </w:r>
      <w:r>
        <w:br/>
      </w:r>
      <w:r w:rsidRPr="00795F17">
        <w:t xml:space="preserve">i niesyntetycznych wprowadzono istotną redukcję ilości parametrów. Spośród związków organicznych utrzymano węglowodory ropopochodne </w:t>
      </w:r>
      <w:r>
        <w:t>–</w:t>
      </w:r>
      <w:r w:rsidRPr="00795F17">
        <w:t xml:space="preserve"> indeks oleju mineralnego, rezygnując z klasyfikowania aldehydu mrówkowego i lotnych fenoli. Z 16 metali i półmetali (arsen, bar, bor, chrom, cynk, miedź, glin, molibden, selen, srebro, tal, tytan, wanad, antymon beryl</w:t>
      </w:r>
      <w:r>
        <w:t xml:space="preserve"> i</w:t>
      </w:r>
      <w:r w:rsidRPr="00795F17">
        <w:t xml:space="preserve"> kobalt) dotychczas klasyfikowanych utrzymano tylko 4 </w:t>
      </w:r>
      <w:r>
        <w:t>–</w:t>
      </w:r>
      <w:r w:rsidRPr="00795F17">
        <w:t xml:space="preserve"> arsen, chrom (VI), cynk i miedź</w:t>
      </w:r>
      <w:r>
        <w:t>.</w:t>
      </w:r>
      <w:r w:rsidRPr="00795F17">
        <w:t xml:space="preserve"> </w:t>
      </w:r>
      <w:r>
        <w:t>Z</w:t>
      </w:r>
      <w:r w:rsidRPr="00795F17">
        <w:t xml:space="preserve">rezygnowano </w:t>
      </w:r>
      <w:r>
        <w:t xml:space="preserve">także </w:t>
      </w:r>
      <w:r w:rsidRPr="00795F17">
        <w:t>z takich wskaźników jak cyjanki i fluorki. Poza aldehydem mrówkowym i glinem wszystkie związki, które usunięto z listy wskaźników klasyfikowanych nadal są wymieniane w innych aktach prawnych jako substancje szczególnie szkodliwe dla środowiska wodnego</w:t>
      </w:r>
      <w:r w:rsidRPr="00795F17">
        <w:rPr>
          <w:vertAlign w:val="superscript"/>
        </w:rPr>
        <w:footnoteReference w:id="28"/>
      </w:r>
      <w:r w:rsidRPr="00795F17">
        <w:rPr>
          <w:vertAlign w:val="superscript"/>
        </w:rPr>
        <w:t xml:space="preserve"> </w:t>
      </w:r>
      <w:r w:rsidRPr="00795F17">
        <w:t>lub składniki niebezpieczne odpadów</w:t>
      </w:r>
      <w:r w:rsidRPr="00795F17">
        <w:rPr>
          <w:vertAlign w:val="superscript"/>
        </w:rPr>
        <w:footnoteReference w:id="29"/>
      </w:r>
      <w:r w:rsidRPr="00795F17">
        <w:t>.</w:t>
      </w:r>
    </w:p>
    <w:p w14:paraId="4DF7D284" w14:textId="49FC6699" w:rsidR="00462DD4" w:rsidRPr="00795F17" w:rsidRDefault="00096112" w:rsidP="0044393D">
      <w:r w:rsidRPr="00795F17">
        <w:t>Środowiskowe normy jakości dla substancji priorytetowych oraz innych zanieczyszczeń nie uległy zmianie w nowym rozporządzeniu klasyfikacyjnym ani pod względem zakresu badanych parametrów (53 parametry), ani ich wartości granicznych. Wśród substancji priorytetowych, dla których określone są środowiskowe normy jakości znajdują się związki chemiczne wycofane z produkcji i użytku lub których limity zużycia zostały wyraźnie ograniczone, ale monitorowanie ich zawartości w wodach jest nadal konieczne z uwagi na ich trwałość i zdolność do bioakumulacji.</w:t>
      </w:r>
      <w:r w:rsidR="00462DD4" w:rsidRPr="00795F17">
        <w:t>Wprowadzone rozporządzeniem klasyfikacyjnym zmiany uwarunkowań prawnych PMŚ wymagały</w:t>
      </w:r>
      <w:r w:rsidR="0039160A" w:rsidRPr="00795F17">
        <w:t xml:space="preserve"> </w:t>
      </w:r>
      <w:r w:rsidR="00462DD4" w:rsidRPr="00795F17">
        <w:t>przygotowania danych z monitoringu elementów biologicznych GIOŚ</w:t>
      </w:r>
      <w:r w:rsidR="0039160A" w:rsidRPr="00795F17">
        <w:t xml:space="preserve"> </w:t>
      </w:r>
      <w:r w:rsidR="00462DD4" w:rsidRPr="00795F17">
        <w:t>tak, aby umożliwić</w:t>
      </w:r>
      <w:r w:rsidR="0039160A" w:rsidRPr="00795F17">
        <w:t xml:space="preserve"> </w:t>
      </w:r>
      <w:r w:rsidR="00462DD4" w:rsidRPr="00795F17">
        <w:t>osiągnięcie</w:t>
      </w:r>
      <w:r w:rsidR="0039160A" w:rsidRPr="00795F17">
        <w:t xml:space="preserve"> </w:t>
      </w:r>
      <w:r w:rsidR="00462DD4" w:rsidRPr="00795F17">
        <w:t>ich</w:t>
      </w:r>
      <w:r w:rsidR="0039160A" w:rsidRPr="00795F17">
        <w:t xml:space="preserve"> </w:t>
      </w:r>
      <w:r w:rsidR="00462DD4" w:rsidRPr="00795F17">
        <w:t>zgodności z granicami klas i zasadami oceny wynikających z rozporządzenia klasyfikacyjnego w zakresie</w:t>
      </w:r>
      <w:r w:rsidR="00462DD4" w:rsidRPr="00795F17" w:rsidDel="008132B4">
        <w:t xml:space="preserve"> </w:t>
      </w:r>
      <w:r w:rsidR="00462DD4" w:rsidRPr="00795F17">
        <w:t>obowiązującym od 2022</w:t>
      </w:r>
      <w:r w:rsidR="0039160A" w:rsidRPr="00795F17">
        <w:t> </w:t>
      </w:r>
      <w:r w:rsidR="00462DD4" w:rsidRPr="00795F17">
        <w:t>r.</w:t>
      </w:r>
      <w:r w:rsidR="0039160A" w:rsidRPr="00795F17">
        <w:t xml:space="preserve"> </w:t>
      </w:r>
      <w:r w:rsidR="00462DD4" w:rsidRPr="00795F17">
        <w:t xml:space="preserve">Na potrzeby </w:t>
      </w:r>
      <w:r w:rsidR="0073598D">
        <w:t>opracowania</w:t>
      </w:r>
      <w:r w:rsidR="00462DD4" w:rsidRPr="00795F17">
        <w:t xml:space="preserve"> IIaPGW uwzględniane związki hydromorfologicznych i</w:t>
      </w:r>
      <w:r w:rsidR="0039160A" w:rsidRPr="00795F17">
        <w:t> </w:t>
      </w:r>
      <w:r w:rsidR="00462DD4" w:rsidRPr="00795F17">
        <w:t>fizykochemicznych elementów jakości z elementami biologicznymi stanowią aspekt pozwalający na</w:t>
      </w:r>
      <w:r w:rsidR="0039160A" w:rsidRPr="00795F17">
        <w:t> </w:t>
      </w:r>
      <w:r w:rsidR="00462DD4" w:rsidRPr="00795F17">
        <w:t xml:space="preserve">dokonanie analizy oceny elementów biologicznych z uwzględnieniem elementów hydromorfologicznych i fizykochemicznych, przy uwzględnieniu wrażliwości poszczególnych elementów biologicznych na określone kategorie presji. </w:t>
      </w:r>
    </w:p>
    <w:p w14:paraId="3753FF0D" w14:textId="4B366BF2" w:rsidR="00462DD4" w:rsidRPr="00795F17" w:rsidRDefault="00462DD4" w:rsidP="0044393D">
      <w:r w:rsidRPr="00795F17">
        <w:t xml:space="preserve">Wyznaczone wartości graniczne dla klas jakości wód powierzchniowych wskaźników jakości wód powierzchniowych, będące podstawą klasyfikacji potencjału ekologicznego </w:t>
      </w:r>
      <w:r w:rsidR="00DF005E">
        <w:t>JCWP</w:t>
      </w:r>
      <w:r w:rsidRPr="00795F17">
        <w:t>, odnoszące się</w:t>
      </w:r>
      <w:r w:rsidR="005110CE">
        <w:t xml:space="preserve"> </w:t>
      </w:r>
      <w:r w:rsidRPr="00795F17">
        <w:t>do </w:t>
      </w:r>
      <w:r w:rsidR="00DF005E">
        <w:t>JCWP</w:t>
      </w:r>
      <w:r w:rsidRPr="00795F17">
        <w:t xml:space="preserve"> w ciekach naturalnych, kanałach lub zbiornikach zaporowych oraz jeziorach i innych zbiornik</w:t>
      </w:r>
      <w:r w:rsidR="0039160A" w:rsidRPr="00795F17">
        <w:t>ach</w:t>
      </w:r>
      <w:r w:rsidRPr="00795F17">
        <w:t xml:space="preserve"> wodnych wyznaczonych jako sztuczne lub silnie zmienione </w:t>
      </w:r>
      <w:r w:rsidR="00DF005E">
        <w:t>JCWP</w:t>
      </w:r>
      <w:r w:rsidRPr="00795F17">
        <w:t xml:space="preserve">, o których mowa w ust. 1 załącznika nr 7, 8, 9, 10 </w:t>
      </w:r>
      <w:r w:rsidR="00DF005E">
        <w:t>r.kl.jcwp</w:t>
      </w:r>
      <w:r w:rsidRPr="00795F17">
        <w:t xml:space="preserve">, zawiera załącznik nr </w:t>
      </w:r>
      <w:r w:rsidR="00AE27DD">
        <w:t>4</w:t>
      </w:r>
      <w:r w:rsidR="002C4BD6">
        <w:t xml:space="preserve"> </w:t>
      </w:r>
      <w:r w:rsidRPr="00795F17">
        <w:t xml:space="preserve">do </w:t>
      </w:r>
      <w:r w:rsidR="002F42CC" w:rsidRPr="00795F17">
        <w:t>IIaPGW</w:t>
      </w:r>
      <w:r w:rsidRPr="00795F17">
        <w:t>.</w:t>
      </w:r>
    </w:p>
    <w:p w14:paraId="2C6C66A6" w14:textId="73557CAB" w:rsidR="00462DD4" w:rsidRPr="00795F17" w:rsidRDefault="00462DD4" w:rsidP="0044393D">
      <w:r w:rsidRPr="00795F17">
        <w:t xml:space="preserve">Stan lub potencjał ekologiczny </w:t>
      </w:r>
      <w:r w:rsidR="00DF005E">
        <w:t>JCWP</w:t>
      </w:r>
      <w:r w:rsidRPr="00795F17">
        <w:t xml:space="preserve"> klasyfikuje się na podstawie danych uzyskanych w wyniku realizacji badań monitoringowych w reprezentatywnym ppk.</w:t>
      </w:r>
    </w:p>
    <w:p w14:paraId="55AAA860" w14:textId="5EF9A706" w:rsidR="00462DD4" w:rsidRPr="00795F17" w:rsidRDefault="00462DD4" w:rsidP="0044393D">
      <w:r w:rsidRPr="00795F17">
        <w:t xml:space="preserve">Stan ekologiczny określa się dla </w:t>
      </w:r>
      <w:r w:rsidR="00DF005E">
        <w:t>JCWP</w:t>
      </w:r>
      <w:r w:rsidRPr="00795F17">
        <w:t xml:space="preserve"> o statusie NAT, natomiast potencjał ekologiczny określa się dla </w:t>
      </w:r>
      <w:r w:rsidRPr="00795F17" w:rsidDel="00DB5EEF">
        <w:t xml:space="preserve">SCW </w:t>
      </w:r>
      <w:r w:rsidRPr="00795F17">
        <w:t xml:space="preserve">i </w:t>
      </w:r>
      <w:r w:rsidRPr="00795F17" w:rsidDel="00DB5EEF">
        <w:t>SZCW</w:t>
      </w:r>
      <w:r w:rsidRPr="00795F17">
        <w:t xml:space="preserve">. </w:t>
      </w:r>
    </w:p>
    <w:p w14:paraId="0F0A3BF3" w14:textId="76C13AA1" w:rsidR="00462DD4" w:rsidRPr="00795F17" w:rsidRDefault="00462DD4" w:rsidP="0044393D">
      <w:r w:rsidRPr="00795F17">
        <w:t>Przy</w:t>
      </w:r>
      <w:r w:rsidRPr="00795F17" w:rsidDel="00A14530">
        <w:t xml:space="preserve"> </w:t>
      </w:r>
      <w:r w:rsidR="00A14530">
        <w:t>klasyfikacji</w:t>
      </w:r>
      <w:r w:rsidR="00A14530" w:rsidRPr="00795F17">
        <w:t xml:space="preserve"> </w:t>
      </w:r>
      <w:r w:rsidRPr="00795F17">
        <w:t xml:space="preserve">stanu ekologicznego </w:t>
      </w:r>
      <w:r w:rsidR="00DF005E">
        <w:t>JCWP</w:t>
      </w:r>
      <w:r w:rsidRPr="00795F17">
        <w:t xml:space="preserve"> ocenie poddaje się następujące elementy jakości:</w:t>
      </w:r>
    </w:p>
    <w:p w14:paraId="16AAA149" w14:textId="7DC6130E" w:rsidR="00462DD4" w:rsidRPr="00795F17" w:rsidRDefault="00462DD4" w:rsidP="002757E9">
      <w:pPr>
        <w:pStyle w:val="Numerowanie"/>
        <w:numPr>
          <w:ilvl w:val="0"/>
          <w:numId w:val="40"/>
        </w:numPr>
      </w:pPr>
      <w:r w:rsidRPr="00795F17">
        <w:t>elementy biologiczne (skład, liczebność i biomasa fitoplanktonu, skład i obfitość flory wodnej, w</w:t>
      </w:r>
      <w:r w:rsidR="007F3D56" w:rsidRPr="00795F17">
        <w:t> </w:t>
      </w:r>
      <w:r w:rsidRPr="00795F17">
        <w:t xml:space="preserve">tym makrofitów i fitobentosu, makroglonów, roślin okrytozalążkowych, skład i liczebność makrobezkręgowców bentosowych, skład, liczebność i struktura wiekowa ichtiofauny); </w:t>
      </w:r>
    </w:p>
    <w:p w14:paraId="2AFA365A" w14:textId="77777777" w:rsidR="00462DD4" w:rsidRPr="00795F17" w:rsidRDefault="00462DD4" w:rsidP="0044393D">
      <w:pPr>
        <w:pStyle w:val="Numerowanie"/>
      </w:pPr>
      <w:r w:rsidRPr="00795F17">
        <w:t xml:space="preserve">elementy hydromorfologiczne (reżim hydrologiczny, warunki hydromorfologiczne i inne); </w:t>
      </w:r>
    </w:p>
    <w:p w14:paraId="5C03E373" w14:textId="1CFE4E74" w:rsidR="00462DD4" w:rsidRPr="00795F17" w:rsidRDefault="00462DD4" w:rsidP="0044393D">
      <w:pPr>
        <w:pStyle w:val="Numerowanie"/>
      </w:pPr>
      <w:r w:rsidRPr="00795F17">
        <w:t>elementy fizykochemiczne (warunki ogólne oraz specyficzne zanieczyszczenia syntetyczne i</w:t>
      </w:r>
      <w:r w:rsidR="00F84F4A">
        <w:t> </w:t>
      </w:r>
      <w:r w:rsidRPr="00795F17">
        <w:t>niesyntetyczne).</w:t>
      </w:r>
    </w:p>
    <w:p w14:paraId="1C86D2B3" w14:textId="24F82D1E" w:rsidR="00993C4F" w:rsidRDefault="000F5134" w:rsidP="0044393D">
      <w:r w:rsidRPr="00795F17">
        <w:t>Szczegółowy zakres ocenianych elementów jakości dla klasyfikacji stanu ekologicznego różni się</w:t>
      </w:r>
      <w:r>
        <w:t xml:space="preserve"> </w:t>
      </w:r>
      <w:r w:rsidRPr="00795F17">
        <w:t xml:space="preserve">w zależności od kategorii </w:t>
      </w:r>
      <w:r>
        <w:t xml:space="preserve">i typologii </w:t>
      </w:r>
      <w:r w:rsidR="00DF005E">
        <w:t>JCWP</w:t>
      </w:r>
      <w:r w:rsidRPr="00795F17">
        <w:t>.</w:t>
      </w:r>
    </w:p>
    <w:p w14:paraId="423F9C0C" w14:textId="53A39379" w:rsidR="00462DD4" w:rsidRPr="00795F17" w:rsidRDefault="00462DD4" w:rsidP="0044393D">
      <w:r w:rsidRPr="00795F17">
        <w:t xml:space="preserve">Podstawę oceny </w:t>
      </w:r>
      <w:r w:rsidR="00163A6B">
        <w:t xml:space="preserve">stanu/potencjału ekologicznego </w:t>
      </w:r>
      <w:r w:rsidRPr="00795F17">
        <w:t xml:space="preserve">każdej </w:t>
      </w:r>
      <w:r w:rsidR="00DF005E">
        <w:t>JCWP</w:t>
      </w:r>
      <w:r w:rsidRPr="00795F17">
        <w:t xml:space="preserve"> stanowią zawsze elementy biologiczne, zaś elementy fizykochemiczne i hydromorfologiczne pełnią </w:t>
      </w:r>
      <w:r w:rsidR="000C5277">
        <w:t xml:space="preserve">jedynie </w:t>
      </w:r>
      <w:r w:rsidRPr="00795F17">
        <w:t>rolę wspomagającą w dokonywanej ocenie stanu.W przypadku braku danych z pomiarów fizycznych dopuszcza się wykonanie klasyfikacji stanu ekologicznego i potencjału ekologicznego na podstawie:</w:t>
      </w:r>
    </w:p>
    <w:p w14:paraId="1D52416B" w14:textId="6F634DAD" w:rsidR="00462DD4" w:rsidRPr="00795F17" w:rsidRDefault="00462DD4" w:rsidP="002757E9">
      <w:pPr>
        <w:pStyle w:val="Numerowanie"/>
        <w:numPr>
          <w:ilvl w:val="0"/>
          <w:numId w:val="41"/>
        </w:numPr>
      </w:pPr>
      <w:r w:rsidRPr="00795F17">
        <w:t xml:space="preserve">danych uzyskanych dla innej </w:t>
      </w:r>
      <w:r w:rsidR="00DF005E">
        <w:t>JCWP</w:t>
      </w:r>
      <w:r w:rsidRPr="00795F17">
        <w:t xml:space="preserve">, charakteryzującej się taką samą kategorią oraz typem wód, stopniem i rodzajem presji zewnętrznej oraz lokalizacją w tej samej zlewni; w przypadku braku tożsamych </w:t>
      </w:r>
      <w:r w:rsidR="00DF005E">
        <w:t>JCWP</w:t>
      </w:r>
      <w:r w:rsidRPr="00795F17">
        <w:t xml:space="preserve"> w tej samej zlewni akceptuje się także ekstrapolowanie danych z</w:t>
      </w:r>
      <w:r w:rsidR="007F3D56" w:rsidRPr="00795F17">
        <w:t xml:space="preserve"> </w:t>
      </w:r>
      <w:r w:rsidRPr="00795F17">
        <w:t>innych jcw;</w:t>
      </w:r>
    </w:p>
    <w:p w14:paraId="77A45D2A" w14:textId="77777777" w:rsidR="00462DD4" w:rsidRPr="00795F17" w:rsidRDefault="00462DD4" w:rsidP="0044393D">
      <w:pPr>
        <w:pStyle w:val="Numerowanie"/>
      </w:pPr>
      <w:r w:rsidRPr="00795F17">
        <w:t>wyników modelowania matematycznego;</w:t>
      </w:r>
    </w:p>
    <w:p w14:paraId="77971668" w14:textId="77777777" w:rsidR="00462DD4" w:rsidRPr="00795F17" w:rsidRDefault="00462DD4" w:rsidP="0044393D">
      <w:pPr>
        <w:pStyle w:val="Numerowanie"/>
      </w:pPr>
      <w:r w:rsidRPr="00795F17">
        <w:t>oceny eksperckiej.</w:t>
      </w:r>
    </w:p>
    <w:p w14:paraId="7A438140" w14:textId="53D20343" w:rsidR="00462DD4" w:rsidRPr="00795F17" w:rsidRDefault="00462DD4" w:rsidP="0044393D">
      <w:r w:rsidRPr="00795F17">
        <w:t xml:space="preserve">Na podstawie oceny </w:t>
      </w:r>
      <w:r w:rsidR="00DF69F0">
        <w:t xml:space="preserve">badanych w danej </w:t>
      </w:r>
      <w:r w:rsidR="00DF005E">
        <w:t>JCWP</w:t>
      </w:r>
      <w:r w:rsidR="00DF69F0" w:rsidRPr="00795F17">
        <w:t xml:space="preserve"> </w:t>
      </w:r>
      <w:r w:rsidRPr="00795F17">
        <w:t>elementów jakości zalicza się ją do jednej z</w:t>
      </w:r>
      <w:r w:rsidR="00E441F2" w:rsidRPr="00795F17">
        <w:t> </w:t>
      </w:r>
      <w:r w:rsidRPr="00795F17">
        <w:t xml:space="preserve">pięciu klas, odpowiadających konkretnemu stanowi ekologicznemu. Wartości graniczne wskaźników jakości wód dla poszczególnych klas oraz procedurę prowadzenia oceny (zarówno stanu, jak i potencjału), której wyniki zaprezentowano w niniejszym rozdziale, określa </w:t>
      </w:r>
      <w:r w:rsidR="00DF005E">
        <w:t>r.kl.jcwp</w:t>
      </w:r>
      <w:r w:rsidRPr="00795F17">
        <w:t xml:space="preserve">. Sposób klasyfikacji stanu ekologicznego </w:t>
      </w:r>
      <w:r w:rsidR="00DF005E">
        <w:t>JCWP</w:t>
      </w:r>
      <w:r w:rsidRPr="00795F17">
        <w:t xml:space="preserve"> przedstawiono w tabeli </w:t>
      </w:r>
      <w:r w:rsidR="001168D3" w:rsidRPr="00795F17">
        <w:t>5-9</w:t>
      </w:r>
      <w:r w:rsidRPr="00795F17">
        <w:t>.</w:t>
      </w:r>
    </w:p>
    <w:p w14:paraId="0AC25CA1" w14:textId="3B636B74" w:rsidR="00462DD4" w:rsidRPr="00795F17" w:rsidRDefault="00462DD4" w:rsidP="004D7705">
      <w:pPr>
        <w:pStyle w:val="Tabela"/>
      </w:pPr>
      <w:bookmarkStart w:id="155" w:name="_Toc66341864"/>
      <w:bookmarkStart w:id="156" w:name="_Toc105512773"/>
      <w:r w:rsidRPr="00795F17">
        <w:t xml:space="preserve">Tabela </w:t>
      </w:r>
      <w:fldSimple w:instr=" STYLEREF 1 \s ">
        <w:r w:rsidR="001F774D">
          <w:rPr>
            <w:noProof/>
          </w:rPr>
          <w:t>5</w:t>
        </w:r>
      </w:fldSimple>
      <w:r w:rsidR="00BB3B21" w:rsidRPr="00795F17">
        <w:noBreakHyphen/>
      </w:r>
      <w:fldSimple w:instr=" SEQ Tabela \* ARABIC \s 1 ">
        <w:r w:rsidR="001F774D">
          <w:rPr>
            <w:noProof/>
          </w:rPr>
          <w:t>9</w:t>
        </w:r>
      </w:fldSimple>
      <w:r w:rsidR="00BA11D4">
        <w:rPr>
          <w:noProof/>
        </w:rPr>
        <w:t>.</w:t>
      </w:r>
      <w:r w:rsidRPr="00795F17">
        <w:tab/>
        <w:t xml:space="preserve">Klasyfikacja stanu ekologicznego </w:t>
      </w:r>
      <w:r w:rsidR="00DF005E">
        <w:t>JCWP</w:t>
      </w:r>
      <w:bookmarkEnd w:id="155"/>
      <w:bookmarkEnd w:id="156"/>
    </w:p>
    <w:tbl>
      <w:tblPr>
        <w:tblStyle w:val="Tabela-Siatka"/>
        <w:tblW w:w="2500" w:type="pct"/>
        <w:jc w:val="center"/>
        <w:tblLook w:val="04A0" w:firstRow="1" w:lastRow="0" w:firstColumn="1" w:lastColumn="0" w:noHBand="0" w:noVBand="1"/>
      </w:tblPr>
      <w:tblGrid>
        <w:gridCol w:w="2290"/>
        <w:gridCol w:w="2241"/>
      </w:tblGrid>
      <w:tr w:rsidR="00462DD4" w:rsidRPr="00795F17" w14:paraId="380AEB47" w14:textId="77777777" w:rsidTr="00913851">
        <w:trPr>
          <w:cnfStyle w:val="100000000000" w:firstRow="1" w:lastRow="0" w:firstColumn="0" w:lastColumn="0" w:oddVBand="0" w:evenVBand="0" w:oddHBand="0" w:evenHBand="0" w:firstRowFirstColumn="0" w:firstRowLastColumn="0" w:lastRowFirstColumn="0" w:lastRowLastColumn="0"/>
          <w:cantSplit/>
          <w:trHeight w:val="454"/>
          <w:jc w:val="center"/>
        </w:trPr>
        <w:tc>
          <w:tcPr>
            <w:tcW w:w="0" w:type="pct"/>
          </w:tcPr>
          <w:p w14:paraId="5D684103" w14:textId="77777777" w:rsidR="00462DD4" w:rsidRPr="00795F17" w:rsidRDefault="00462DD4" w:rsidP="0044393D">
            <w:pPr>
              <w:pStyle w:val="Teksttabelinaglowek"/>
              <w:rPr>
                <w:b/>
              </w:rPr>
            </w:pPr>
            <w:r w:rsidRPr="00795F17">
              <w:rPr>
                <w:b/>
              </w:rPr>
              <w:t>Klasa stanu ekologicznego</w:t>
            </w:r>
          </w:p>
        </w:tc>
        <w:tc>
          <w:tcPr>
            <w:tcW w:w="0" w:type="pct"/>
          </w:tcPr>
          <w:p w14:paraId="0392F699" w14:textId="77777777" w:rsidR="00462DD4" w:rsidRPr="00795F17" w:rsidRDefault="00462DD4" w:rsidP="0044393D">
            <w:pPr>
              <w:pStyle w:val="Teksttabelinaglowek"/>
              <w:rPr>
                <w:b/>
              </w:rPr>
            </w:pPr>
            <w:r w:rsidRPr="00795F17">
              <w:rPr>
                <w:b/>
              </w:rPr>
              <w:t>Stan ekologiczny</w:t>
            </w:r>
          </w:p>
        </w:tc>
      </w:tr>
      <w:tr w:rsidR="00462DD4" w:rsidRPr="00795F17" w14:paraId="0C52395E" w14:textId="77777777" w:rsidTr="00913851">
        <w:trPr>
          <w:cantSplit/>
          <w:trHeight w:val="454"/>
          <w:jc w:val="center"/>
        </w:trPr>
        <w:tc>
          <w:tcPr>
            <w:tcW w:w="0" w:type="pct"/>
          </w:tcPr>
          <w:p w14:paraId="15F0D644" w14:textId="77777777" w:rsidR="00462DD4" w:rsidRPr="00795F17" w:rsidRDefault="00462DD4" w:rsidP="0065243A">
            <w:pPr>
              <w:pStyle w:val="Teksttabelisrodek"/>
            </w:pPr>
            <w:r w:rsidRPr="00795F17">
              <w:t>I</w:t>
            </w:r>
          </w:p>
        </w:tc>
        <w:tc>
          <w:tcPr>
            <w:tcW w:w="0" w:type="pct"/>
          </w:tcPr>
          <w:p w14:paraId="5358AF84" w14:textId="7FC626D3" w:rsidR="00462DD4" w:rsidRPr="00795F17" w:rsidRDefault="00740E2E" w:rsidP="0065243A">
            <w:pPr>
              <w:pStyle w:val="Teksttabelisrodek"/>
            </w:pPr>
            <w:r>
              <w:t>B</w:t>
            </w:r>
            <w:r w:rsidR="00462DD4" w:rsidRPr="00795F17">
              <w:t>ardzo dobry</w:t>
            </w:r>
          </w:p>
        </w:tc>
      </w:tr>
      <w:tr w:rsidR="00462DD4" w:rsidRPr="00795F17" w14:paraId="1D86F7F0" w14:textId="77777777" w:rsidTr="00913851">
        <w:trPr>
          <w:cantSplit/>
          <w:trHeight w:val="454"/>
          <w:jc w:val="center"/>
        </w:trPr>
        <w:tc>
          <w:tcPr>
            <w:tcW w:w="0" w:type="pct"/>
          </w:tcPr>
          <w:p w14:paraId="496F7987" w14:textId="77777777" w:rsidR="00462DD4" w:rsidRPr="00795F17" w:rsidRDefault="00462DD4" w:rsidP="0065243A">
            <w:pPr>
              <w:pStyle w:val="Teksttabelisrodek"/>
            </w:pPr>
            <w:r w:rsidRPr="00795F17">
              <w:t>II</w:t>
            </w:r>
          </w:p>
        </w:tc>
        <w:tc>
          <w:tcPr>
            <w:tcW w:w="0" w:type="pct"/>
          </w:tcPr>
          <w:p w14:paraId="54961A97" w14:textId="58E5E2CA" w:rsidR="00462DD4" w:rsidRPr="00795F17" w:rsidRDefault="00D40E78" w:rsidP="0065243A">
            <w:pPr>
              <w:pStyle w:val="Teksttabelisrodek"/>
            </w:pPr>
            <w:r w:rsidRPr="00795F17">
              <w:t>D</w:t>
            </w:r>
            <w:r w:rsidR="00462DD4" w:rsidRPr="00795F17">
              <w:t>obry</w:t>
            </w:r>
          </w:p>
        </w:tc>
      </w:tr>
      <w:tr w:rsidR="00462DD4" w:rsidRPr="00795F17" w14:paraId="3027E97E" w14:textId="77777777" w:rsidTr="00913851">
        <w:trPr>
          <w:cantSplit/>
          <w:trHeight w:val="454"/>
          <w:jc w:val="center"/>
        </w:trPr>
        <w:tc>
          <w:tcPr>
            <w:tcW w:w="0" w:type="pct"/>
          </w:tcPr>
          <w:p w14:paraId="5DE266EF" w14:textId="77777777" w:rsidR="00462DD4" w:rsidRPr="00795F17" w:rsidRDefault="00462DD4" w:rsidP="0065243A">
            <w:pPr>
              <w:pStyle w:val="Teksttabelisrodek"/>
            </w:pPr>
            <w:r w:rsidRPr="00795F17">
              <w:t>III</w:t>
            </w:r>
          </w:p>
        </w:tc>
        <w:tc>
          <w:tcPr>
            <w:tcW w:w="0" w:type="pct"/>
          </w:tcPr>
          <w:p w14:paraId="5193DA3B" w14:textId="01CC1BBB" w:rsidR="00462DD4" w:rsidRPr="00795F17" w:rsidRDefault="00D40E78" w:rsidP="0065243A">
            <w:pPr>
              <w:pStyle w:val="Teksttabelisrodek"/>
            </w:pPr>
            <w:r w:rsidRPr="00795F17">
              <w:t>U</w:t>
            </w:r>
            <w:r w:rsidR="00462DD4" w:rsidRPr="00795F17">
              <w:t>miarkowany</w:t>
            </w:r>
          </w:p>
        </w:tc>
      </w:tr>
      <w:tr w:rsidR="00462DD4" w:rsidRPr="00795F17" w14:paraId="1CF35CCD" w14:textId="77777777" w:rsidTr="00913851">
        <w:trPr>
          <w:cantSplit/>
          <w:trHeight w:val="454"/>
          <w:jc w:val="center"/>
        </w:trPr>
        <w:tc>
          <w:tcPr>
            <w:tcW w:w="0" w:type="pct"/>
          </w:tcPr>
          <w:p w14:paraId="06355B5F" w14:textId="77777777" w:rsidR="00462DD4" w:rsidRPr="00795F17" w:rsidRDefault="00462DD4" w:rsidP="0065243A">
            <w:pPr>
              <w:pStyle w:val="Teksttabelisrodek"/>
            </w:pPr>
            <w:r w:rsidRPr="00795F17">
              <w:t>IV</w:t>
            </w:r>
          </w:p>
        </w:tc>
        <w:tc>
          <w:tcPr>
            <w:tcW w:w="0" w:type="pct"/>
          </w:tcPr>
          <w:p w14:paraId="47FF01C2" w14:textId="4026D17F" w:rsidR="00462DD4" w:rsidRPr="00795F17" w:rsidRDefault="00D40E78" w:rsidP="0065243A">
            <w:pPr>
              <w:pStyle w:val="Teksttabelisrodek"/>
            </w:pPr>
            <w:r w:rsidRPr="00795F17">
              <w:t>S</w:t>
            </w:r>
            <w:r w:rsidR="00462DD4" w:rsidRPr="00795F17">
              <w:t>łaby</w:t>
            </w:r>
          </w:p>
        </w:tc>
      </w:tr>
      <w:tr w:rsidR="00462DD4" w:rsidRPr="00795F17" w14:paraId="0B7966E8" w14:textId="77777777" w:rsidTr="00913851">
        <w:trPr>
          <w:cantSplit/>
          <w:trHeight w:val="454"/>
          <w:jc w:val="center"/>
        </w:trPr>
        <w:tc>
          <w:tcPr>
            <w:tcW w:w="0" w:type="pct"/>
          </w:tcPr>
          <w:p w14:paraId="3F3BD879" w14:textId="77777777" w:rsidR="00462DD4" w:rsidRPr="00795F17" w:rsidRDefault="00462DD4" w:rsidP="0065243A">
            <w:pPr>
              <w:pStyle w:val="Teksttabelisrodek"/>
            </w:pPr>
            <w:r w:rsidRPr="00795F17">
              <w:t>V</w:t>
            </w:r>
          </w:p>
        </w:tc>
        <w:tc>
          <w:tcPr>
            <w:tcW w:w="0" w:type="pct"/>
          </w:tcPr>
          <w:p w14:paraId="75EC760A" w14:textId="24845A8F" w:rsidR="00462DD4" w:rsidRPr="00795F17" w:rsidRDefault="00D40E78" w:rsidP="0065243A">
            <w:pPr>
              <w:pStyle w:val="Teksttabelisrodek"/>
            </w:pPr>
            <w:r w:rsidRPr="00795F17">
              <w:t>Z</w:t>
            </w:r>
            <w:r w:rsidR="00462DD4" w:rsidRPr="00795F17">
              <w:t>ły</w:t>
            </w:r>
          </w:p>
        </w:tc>
      </w:tr>
    </w:tbl>
    <w:p w14:paraId="4B6D7CC4" w14:textId="7235526D"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w:t>
      </w:r>
      <w:r w:rsidR="00DF005E">
        <w:t>r.kl.jcwp</w:t>
      </w:r>
    </w:p>
    <w:p w14:paraId="425844AB" w14:textId="77777777" w:rsidR="00462DD4" w:rsidRPr="00795F17" w:rsidRDefault="00462DD4" w:rsidP="0044393D">
      <w:r w:rsidRPr="00795F17">
        <w:t>Potencjał ekologiczny klasyfikuje się na podstawie elementów biologicznych, fizykochemicznych i hydromorfologicznych, stosowanych w klasyfikacji stanu ekologicznego tej kategorii naturalnych wód powierzchniowych, która najbardziej przypomina odpowiednią SZCW lub SCW.</w:t>
      </w:r>
    </w:p>
    <w:p w14:paraId="4F4F2950" w14:textId="6FCC6B0E" w:rsidR="00462DD4" w:rsidRPr="00795F17" w:rsidRDefault="00462DD4" w:rsidP="0044393D">
      <w:r w:rsidRPr="00795F17">
        <w:t>Na podstawie oceny elementów biologicznych jakości wód badanej SZCW lub SCW przypisuje się jedną z pięciu klas potencjału ekologicznego. Elementy fizykochemiczne i hydromorfologiczne pełnią rolę wspomagającą w trakcie oceny.</w:t>
      </w:r>
    </w:p>
    <w:p w14:paraId="2AF0D00F" w14:textId="2FBA3292" w:rsidR="00462DD4" w:rsidRPr="00795F17" w:rsidRDefault="00462DD4" w:rsidP="0044393D">
      <w:r w:rsidRPr="00795F17">
        <w:t xml:space="preserve">Przy prezentacji wyników klasyfikacji potencjału ekologicznego przyjmuje się następujące określenia: maksymalny, dobry, umiarkowany, słaby i zły potencjał ekologiczny. Sposób klasyfikacji potencjału ekologicznego przedstawiono w tabeli </w:t>
      </w:r>
      <w:r w:rsidR="001168D3" w:rsidRPr="00795F17">
        <w:t>5-10.</w:t>
      </w:r>
    </w:p>
    <w:p w14:paraId="736A9BCC" w14:textId="701E07A5" w:rsidR="00462DD4" w:rsidRPr="00795F17" w:rsidRDefault="00462DD4" w:rsidP="004D7705">
      <w:pPr>
        <w:pStyle w:val="Tabela"/>
      </w:pPr>
      <w:bookmarkStart w:id="157" w:name="_Toc66341865"/>
      <w:bookmarkStart w:id="158" w:name="_Toc105512774"/>
      <w:r w:rsidRPr="00795F17">
        <w:t xml:space="preserve">Tabela </w:t>
      </w:r>
      <w:fldSimple w:instr=" STYLEREF 1 \s ">
        <w:r w:rsidR="001F774D">
          <w:rPr>
            <w:noProof/>
          </w:rPr>
          <w:t>5</w:t>
        </w:r>
      </w:fldSimple>
      <w:r w:rsidR="00BB3B21" w:rsidRPr="00795F17">
        <w:noBreakHyphen/>
      </w:r>
      <w:fldSimple w:instr=" SEQ Tabela \* ARABIC \s 1 ">
        <w:r w:rsidR="001F774D">
          <w:rPr>
            <w:noProof/>
          </w:rPr>
          <w:t>10</w:t>
        </w:r>
      </w:fldSimple>
      <w:r w:rsidR="00BA11D4">
        <w:rPr>
          <w:noProof/>
        </w:rPr>
        <w:t>.</w:t>
      </w:r>
      <w:r w:rsidRPr="00795F17">
        <w:tab/>
        <w:t xml:space="preserve">Klasyfikacja potencjału ekologicznego </w:t>
      </w:r>
      <w:r w:rsidR="00DF005E">
        <w:t>JCWP</w:t>
      </w:r>
      <w:bookmarkEnd w:id="157"/>
      <w:bookmarkEnd w:id="158"/>
    </w:p>
    <w:tbl>
      <w:tblPr>
        <w:tblStyle w:val="Tabela-Siatka"/>
        <w:tblW w:w="2500" w:type="pct"/>
        <w:jc w:val="center"/>
        <w:tblLook w:val="04A0" w:firstRow="1" w:lastRow="0" w:firstColumn="1" w:lastColumn="0" w:noHBand="0" w:noVBand="1"/>
      </w:tblPr>
      <w:tblGrid>
        <w:gridCol w:w="2483"/>
        <w:gridCol w:w="2048"/>
      </w:tblGrid>
      <w:tr w:rsidR="00462DD4" w:rsidRPr="00795F17" w14:paraId="19DFB54B" w14:textId="77777777" w:rsidTr="00A74F20">
        <w:trPr>
          <w:cnfStyle w:val="100000000000" w:firstRow="1" w:lastRow="0" w:firstColumn="0" w:lastColumn="0" w:oddVBand="0" w:evenVBand="0" w:oddHBand="0" w:evenHBand="0" w:firstRowFirstColumn="0" w:firstRowLastColumn="0" w:lastRowFirstColumn="0" w:lastRowLastColumn="0"/>
          <w:trHeight w:val="454"/>
          <w:jc w:val="center"/>
        </w:trPr>
        <w:tc>
          <w:tcPr>
            <w:tcW w:w="2740" w:type="pct"/>
          </w:tcPr>
          <w:p w14:paraId="5BE7E4D5" w14:textId="2E40560C" w:rsidR="00462DD4" w:rsidRPr="00795F17" w:rsidRDefault="00462DD4" w:rsidP="0044393D">
            <w:pPr>
              <w:pStyle w:val="Teksttabelinaglowek"/>
              <w:rPr>
                <w:b/>
              </w:rPr>
            </w:pPr>
            <w:r w:rsidRPr="00795F17">
              <w:rPr>
                <w:b/>
              </w:rPr>
              <w:t>Klasa potencjału</w:t>
            </w:r>
            <w:r w:rsidRPr="00795F17">
              <w:rPr>
                <w:b/>
              </w:rPr>
              <w:br/>
              <w:t>ekologicznego</w:t>
            </w:r>
          </w:p>
        </w:tc>
        <w:tc>
          <w:tcPr>
            <w:tcW w:w="2260" w:type="pct"/>
          </w:tcPr>
          <w:p w14:paraId="6A42A5CE" w14:textId="7531CF97" w:rsidR="00462DD4" w:rsidRPr="00795F17" w:rsidRDefault="00462DD4" w:rsidP="0044393D">
            <w:pPr>
              <w:pStyle w:val="Teksttabelinaglowek"/>
              <w:rPr>
                <w:b/>
              </w:rPr>
            </w:pPr>
            <w:r w:rsidRPr="00795F17">
              <w:rPr>
                <w:b/>
              </w:rPr>
              <w:t>Potencjał</w:t>
            </w:r>
            <w:r w:rsidRPr="00795F17">
              <w:rPr>
                <w:b/>
              </w:rPr>
              <w:br/>
              <w:t>ekologiczny</w:t>
            </w:r>
          </w:p>
        </w:tc>
      </w:tr>
      <w:tr w:rsidR="00462DD4" w:rsidRPr="00795F17" w14:paraId="08E64369" w14:textId="77777777" w:rsidTr="00A74F20">
        <w:trPr>
          <w:trHeight w:val="454"/>
          <w:jc w:val="center"/>
        </w:trPr>
        <w:tc>
          <w:tcPr>
            <w:tcW w:w="2740" w:type="pct"/>
          </w:tcPr>
          <w:p w14:paraId="363AAF7A" w14:textId="77777777" w:rsidR="00462DD4" w:rsidRPr="00795F17" w:rsidRDefault="00462DD4" w:rsidP="0065243A">
            <w:pPr>
              <w:pStyle w:val="Teksttabelisrodek"/>
            </w:pPr>
            <w:r w:rsidRPr="00795F17">
              <w:t>I</w:t>
            </w:r>
          </w:p>
        </w:tc>
        <w:tc>
          <w:tcPr>
            <w:tcW w:w="2260" w:type="pct"/>
          </w:tcPr>
          <w:p w14:paraId="046A9BC3" w14:textId="117D9A7C" w:rsidR="00462DD4" w:rsidRPr="00795F17" w:rsidRDefault="00D40E78" w:rsidP="0065243A">
            <w:pPr>
              <w:pStyle w:val="Teksttabelisrodek"/>
            </w:pPr>
            <w:r w:rsidRPr="00795F17">
              <w:t>M</w:t>
            </w:r>
            <w:r w:rsidR="00462DD4" w:rsidRPr="00795F17">
              <w:t>aksymalny</w:t>
            </w:r>
          </w:p>
        </w:tc>
      </w:tr>
      <w:tr w:rsidR="00462DD4" w:rsidRPr="00795F17" w14:paraId="74F88214" w14:textId="77777777" w:rsidTr="00A74F20">
        <w:trPr>
          <w:trHeight w:val="454"/>
          <w:jc w:val="center"/>
        </w:trPr>
        <w:tc>
          <w:tcPr>
            <w:tcW w:w="2740" w:type="pct"/>
          </w:tcPr>
          <w:p w14:paraId="04B4D622" w14:textId="77777777" w:rsidR="00462DD4" w:rsidRPr="00795F17" w:rsidRDefault="00462DD4" w:rsidP="0065243A">
            <w:pPr>
              <w:pStyle w:val="Teksttabelisrodek"/>
            </w:pPr>
            <w:r w:rsidRPr="00795F17">
              <w:t>II</w:t>
            </w:r>
          </w:p>
        </w:tc>
        <w:tc>
          <w:tcPr>
            <w:tcW w:w="2260" w:type="pct"/>
          </w:tcPr>
          <w:p w14:paraId="288798AA" w14:textId="79AB73C0" w:rsidR="00462DD4" w:rsidRPr="00795F17" w:rsidRDefault="00D40E78" w:rsidP="0065243A">
            <w:pPr>
              <w:pStyle w:val="Teksttabelisrodek"/>
            </w:pPr>
            <w:r w:rsidRPr="00795F17">
              <w:t>D</w:t>
            </w:r>
            <w:r w:rsidR="00462DD4" w:rsidRPr="00795F17">
              <w:t>obry</w:t>
            </w:r>
          </w:p>
        </w:tc>
      </w:tr>
      <w:tr w:rsidR="00462DD4" w:rsidRPr="00795F17" w14:paraId="645993C8" w14:textId="77777777" w:rsidTr="00A74F20">
        <w:trPr>
          <w:trHeight w:val="454"/>
          <w:jc w:val="center"/>
        </w:trPr>
        <w:tc>
          <w:tcPr>
            <w:tcW w:w="2740" w:type="pct"/>
          </w:tcPr>
          <w:p w14:paraId="7CA32EAD" w14:textId="77777777" w:rsidR="00462DD4" w:rsidRPr="00795F17" w:rsidRDefault="00462DD4" w:rsidP="0065243A">
            <w:pPr>
              <w:pStyle w:val="Teksttabelisrodek"/>
            </w:pPr>
            <w:r w:rsidRPr="00795F17">
              <w:t>III</w:t>
            </w:r>
          </w:p>
        </w:tc>
        <w:tc>
          <w:tcPr>
            <w:tcW w:w="2260" w:type="pct"/>
          </w:tcPr>
          <w:p w14:paraId="1B4294F7" w14:textId="12C1B99A" w:rsidR="00462DD4" w:rsidRPr="00795F17" w:rsidRDefault="00D40E78" w:rsidP="0065243A">
            <w:pPr>
              <w:pStyle w:val="Teksttabelisrodek"/>
            </w:pPr>
            <w:r w:rsidRPr="00795F17">
              <w:t>U</w:t>
            </w:r>
            <w:r w:rsidR="00462DD4" w:rsidRPr="00795F17">
              <w:t>miarkowany</w:t>
            </w:r>
          </w:p>
        </w:tc>
      </w:tr>
      <w:tr w:rsidR="00462DD4" w:rsidRPr="00795F17" w14:paraId="76A3CE24" w14:textId="77777777" w:rsidTr="00A74F20">
        <w:trPr>
          <w:trHeight w:val="454"/>
          <w:jc w:val="center"/>
        </w:trPr>
        <w:tc>
          <w:tcPr>
            <w:tcW w:w="2740" w:type="pct"/>
          </w:tcPr>
          <w:p w14:paraId="5B874781" w14:textId="77777777" w:rsidR="00462DD4" w:rsidRPr="00795F17" w:rsidRDefault="00462DD4" w:rsidP="0065243A">
            <w:pPr>
              <w:pStyle w:val="Teksttabelisrodek"/>
            </w:pPr>
            <w:r w:rsidRPr="00795F17">
              <w:t>IV</w:t>
            </w:r>
          </w:p>
        </w:tc>
        <w:tc>
          <w:tcPr>
            <w:tcW w:w="2260" w:type="pct"/>
          </w:tcPr>
          <w:p w14:paraId="6FCF169F" w14:textId="11188196" w:rsidR="00462DD4" w:rsidRPr="00795F17" w:rsidRDefault="00D40E78" w:rsidP="0065243A">
            <w:pPr>
              <w:pStyle w:val="Teksttabelisrodek"/>
            </w:pPr>
            <w:r w:rsidRPr="00795F17">
              <w:t>S</w:t>
            </w:r>
            <w:r w:rsidR="00462DD4" w:rsidRPr="00795F17">
              <w:t>łaby</w:t>
            </w:r>
          </w:p>
        </w:tc>
      </w:tr>
      <w:tr w:rsidR="00462DD4" w:rsidRPr="00795F17" w14:paraId="1DCD32F5" w14:textId="77777777" w:rsidTr="00A74F20">
        <w:trPr>
          <w:trHeight w:val="454"/>
          <w:jc w:val="center"/>
        </w:trPr>
        <w:tc>
          <w:tcPr>
            <w:tcW w:w="2740" w:type="pct"/>
          </w:tcPr>
          <w:p w14:paraId="05282900" w14:textId="77777777" w:rsidR="00462DD4" w:rsidRPr="00795F17" w:rsidRDefault="00462DD4" w:rsidP="0065243A">
            <w:pPr>
              <w:pStyle w:val="Teksttabelisrodek"/>
            </w:pPr>
            <w:r w:rsidRPr="00795F17">
              <w:t>V</w:t>
            </w:r>
          </w:p>
        </w:tc>
        <w:tc>
          <w:tcPr>
            <w:tcW w:w="2260" w:type="pct"/>
          </w:tcPr>
          <w:p w14:paraId="70B9AA75" w14:textId="72247DA2" w:rsidR="00462DD4" w:rsidRPr="00795F17" w:rsidRDefault="00D40E78" w:rsidP="0065243A">
            <w:pPr>
              <w:pStyle w:val="Teksttabelisrodek"/>
            </w:pPr>
            <w:r w:rsidRPr="00795F17">
              <w:t>Z</w:t>
            </w:r>
            <w:r w:rsidR="00462DD4" w:rsidRPr="00795F17">
              <w:t>ły</w:t>
            </w:r>
          </w:p>
        </w:tc>
      </w:tr>
    </w:tbl>
    <w:p w14:paraId="64289C92" w14:textId="03DC2FA0"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w:t>
      </w:r>
      <w:r w:rsidR="00DF005E">
        <w:t>r.kl.jcwp</w:t>
      </w:r>
    </w:p>
    <w:p w14:paraId="050B7664" w14:textId="0F402D8E" w:rsidR="00462DD4" w:rsidRPr="00795F17" w:rsidRDefault="00462DD4" w:rsidP="0044393D">
      <w:r w:rsidRPr="00795F17">
        <w:t xml:space="preserve">Stan chemiczny </w:t>
      </w:r>
      <w:r w:rsidR="00DF005E">
        <w:t>JCWP</w:t>
      </w:r>
      <w:r w:rsidRPr="00795F17">
        <w:t xml:space="preserve"> jest oceniany na podstawie wielkości stężeń substancji priorytetowych oraz</w:t>
      </w:r>
      <w:r w:rsidR="00F84F07">
        <w:t> </w:t>
      </w:r>
      <w:r w:rsidRPr="00795F17">
        <w:t xml:space="preserve">innych zanieczyszczeń, dla których zostały określone środowiskowe normy jakości (EQS). EQS jest definiowany jako takie stężenie substancji lub grupy substancji zanieczyszczających w wodzie, faunie, florze wodnej, osadach dennych, które nie powinno być przekroczone z uwagi na ochronę zdrowia ludzkiego i środowiska zgodnie z </w:t>
      </w:r>
      <w:r w:rsidR="00DF005E">
        <w:t>r.kl.jcwp</w:t>
      </w:r>
      <w:r w:rsidRPr="00795F17">
        <w:t>.</w:t>
      </w:r>
    </w:p>
    <w:p w14:paraId="23C99CA4" w14:textId="7F5AD33F" w:rsidR="00462DD4" w:rsidRPr="00795F17" w:rsidRDefault="00462DD4" w:rsidP="0044393D">
      <w:r w:rsidRPr="00795F17">
        <w:t xml:space="preserve">Do grupy wskaźników determinujących stan chemiczny jednolitych części wód powierzchniowych zaliczamy następujące substancje (wykaz substancji został rozszerzony zgodnie z wytycznymi dyrektywy </w:t>
      </w:r>
      <w:r w:rsidR="00842866" w:rsidRPr="00CE447F">
        <w:t>Parlamentu Europejskiego i Rady 2013/39/UE z dnia 12 sierpnia 2013 r. zmieniającej dyrektywę 2000/60/WE i 2008/105/WE w zakresie substancji priorytetowych w dziedzinie polityki wodnej (Dz. Urz. UE L 226 z 24.08.2013, str. 1), dalej jako</w:t>
      </w:r>
      <w:r w:rsidR="00842866">
        <w:t xml:space="preserve"> „</w:t>
      </w:r>
      <w:r w:rsidR="00842866" w:rsidRPr="00795F17">
        <w:t>dyrektyw</w:t>
      </w:r>
      <w:r w:rsidR="00842866">
        <w:t xml:space="preserve">a </w:t>
      </w:r>
      <w:r w:rsidR="00842866" w:rsidRPr="00795F17">
        <w:t>2013/39/UE</w:t>
      </w:r>
      <w:r w:rsidR="00842866">
        <w:t>”</w:t>
      </w:r>
      <w:r w:rsidR="00842866" w:rsidRPr="00795F17">
        <w:t>:</w:t>
      </w:r>
    </w:p>
    <w:p w14:paraId="088B0FE8" w14:textId="77777777" w:rsidR="00462DD4" w:rsidRPr="00795F17" w:rsidRDefault="00462DD4" w:rsidP="002757E9">
      <w:pPr>
        <w:pStyle w:val="Numerowanie"/>
        <w:numPr>
          <w:ilvl w:val="0"/>
          <w:numId w:val="42"/>
        </w:numPr>
      </w:pPr>
      <w:r w:rsidRPr="00795F17">
        <w:t xml:space="preserve">substancje priorytetowe w dziedzinie polityki wodnej: alachlor, antracen, atrazyna, benzen, bromowane difenyloetery (PBDE), kadm i jego związki, C10-13-chloroalkany, chlorfenwinfos, chloropyrifos (chloropyrifos etylowy), 1,2-dichloroetan (EDC), dichlorometan, ftalan di-(2-etyloheksylu) (DEHP), diuron, endosulfan, fluoranten, heksachlorobenzen (HCB), heksachlorobutadien (HCBD), heksachlorocykloheksan (HCH), izoproturon, ołów i jego związki, rtęć i jej związki, naftalen, nikiel i jego związki, nonylofenole (4-nonylofenol), oktylofenole (4-(1,1′,3,3′-tetra-metylobutylo)fenol), pentachlorobenzen, pentachlorofenol (PCP), wielopierścieniowe węglowodory aromatyczne (WWA, w tym: benzo(a)piren, benzo(b)fluoranten, benzo(k)fluoranten, benzo(ghi)perylen, indeno(1,2,3-cd)piren), symazyna, związki tributylocyny (kation tributylocyny), trichlorobenzeny (TCB), trichlorometan (chloroform), trifluralina, dikofol, kwas perfluorooktanosulfonowy i jego pochodne (PFOS), chinoksyfen, dioksyny i związki dioksynopodobne, aklonifen, bifenoks, cybutryna, cypermetryna, dichlorfos, heksabromocyklododekan (HBCDD), heptachlor i epoksyd heptachloru, terbutryna; </w:t>
      </w:r>
    </w:p>
    <w:p w14:paraId="59EDDFF7" w14:textId="77777777" w:rsidR="00462DD4" w:rsidRPr="00795F17" w:rsidRDefault="00462DD4" w:rsidP="0044393D">
      <w:pPr>
        <w:pStyle w:val="Numerowanie"/>
      </w:pPr>
      <w:r w:rsidRPr="00795F17">
        <w:t>wskaźniki innych substancji zanieczyszczających: tetrachlorometan, aldryna, dieldryna, endryna, izodryna, para-para DDT, DDT całkowity, trichloroetylen (TRI), tetrachloroetylen (PER).</w:t>
      </w:r>
    </w:p>
    <w:p w14:paraId="15B5F8C6" w14:textId="60AFE55A" w:rsidR="00462DD4" w:rsidRPr="00795F17" w:rsidRDefault="00C12087" w:rsidP="0044393D">
      <w:r>
        <w:t>Klasyfikacji</w:t>
      </w:r>
      <w:r w:rsidR="00462DD4" w:rsidRPr="00795F17">
        <w:t xml:space="preserve"> stanu chemicznego </w:t>
      </w:r>
      <w:r w:rsidR="00DF005E">
        <w:t>JCWP</w:t>
      </w:r>
      <w:r w:rsidR="00462DD4" w:rsidRPr="00795F17">
        <w:t xml:space="preserve"> </w:t>
      </w:r>
      <w:r>
        <w:t>dokonuje</w:t>
      </w:r>
      <w:r w:rsidR="00462DD4" w:rsidRPr="00795F17">
        <w:t xml:space="preserve"> się przez nadanie odpowiedniej klasy stanu chemicznego, zgodnie z poniższą tabelą</w:t>
      </w:r>
      <w:r w:rsidR="00B14FD9" w:rsidRPr="00795F17">
        <w:t xml:space="preserve"> 5-</w:t>
      </w:r>
      <w:r w:rsidR="00C11B15" w:rsidRPr="00795F17">
        <w:t>11</w:t>
      </w:r>
      <w:r w:rsidR="00462DD4" w:rsidRPr="00795F17">
        <w:t>.</w:t>
      </w:r>
    </w:p>
    <w:p w14:paraId="011588F1" w14:textId="4B184239" w:rsidR="00462DD4" w:rsidRPr="00795F17" w:rsidRDefault="00462DD4" w:rsidP="004D7705">
      <w:pPr>
        <w:pStyle w:val="Tabela"/>
      </w:pPr>
      <w:bookmarkStart w:id="159" w:name="_Toc66341866"/>
      <w:bookmarkStart w:id="160" w:name="_Toc105512775"/>
      <w:r w:rsidRPr="00795F17">
        <w:t xml:space="preserve">Tabela </w:t>
      </w:r>
      <w:fldSimple w:instr=" STYLEREF 1 \s ">
        <w:r w:rsidR="001F774D">
          <w:rPr>
            <w:noProof/>
          </w:rPr>
          <w:t>5</w:t>
        </w:r>
      </w:fldSimple>
      <w:r w:rsidR="00BB3B21" w:rsidRPr="00795F17">
        <w:noBreakHyphen/>
      </w:r>
      <w:fldSimple w:instr=" SEQ Tabela \* ARABIC \s 1 ">
        <w:r w:rsidR="001F774D">
          <w:rPr>
            <w:noProof/>
          </w:rPr>
          <w:t>11</w:t>
        </w:r>
      </w:fldSimple>
      <w:r w:rsidR="00BA11D4">
        <w:rPr>
          <w:noProof/>
        </w:rPr>
        <w:t>.</w:t>
      </w:r>
      <w:r w:rsidRPr="00795F17">
        <w:tab/>
        <w:t xml:space="preserve">Klasyfikacja stanu chemicznego </w:t>
      </w:r>
      <w:r w:rsidR="00DF005E">
        <w:t>JCWP</w:t>
      </w:r>
      <w:bookmarkEnd w:id="159"/>
      <w:bookmarkEnd w:id="160"/>
    </w:p>
    <w:tbl>
      <w:tblPr>
        <w:tblStyle w:val="Tabela-Siatka"/>
        <w:tblW w:w="2500" w:type="pct"/>
        <w:jc w:val="center"/>
        <w:tblLook w:val="04A0" w:firstRow="1" w:lastRow="0" w:firstColumn="1" w:lastColumn="0" w:noHBand="0" w:noVBand="1"/>
      </w:tblPr>
      <w:tblGrid>
        <w:gridCol w:w="2719"/>
        <w:gridCol w:w="1812"/>
      </w:tblGrid>
      <w:tr w:rsidR="00462DD4" w:rsidRPr="00795F17" w14:paraId="6F5B2B94" w14:textId="77777777" w:rsidTr="008E5000">
        <w:trPr>
          <w:cnfStyle w:val="100000000000" w:firstRow="1" w:lastRow="0" w:firstColumn="0" w:lastColumn="0" w:oddVBand="0" w:evenVBand="0" w:oddHBand="0" w:evenHBand="0" w:firstRowFirstColumn="0" w:firstRowLastColumn="0" w:lastRowFirstColumn="0" w:lastRowLastColumn="0"/>
          <w:cantSplit/>
          <w:trHeight w:val="454"/>
          <w:jc w:val="center"/>
        </w:trPr>
        <w:tc>
          <w:tcPr>
            <w:tcW w:w="3000" w:type="pct"/>
          </w:tcPr>
          <w:p w14:paraId="32334431" w14:textId="77777777" w:rsidR="00462DD4" w:rsidRPr="00795F17" w:rsidRDefault="00462DD4" w:rsidP="0044393D">
            <w:pPr>
              <w:pStyle w:val="Teksttabelinaglowek"/>
              <w:rPr>
                <w:b/>
              </w:rPr>
            </w:pPr>
            <w:r w:rsidRPr="00795F17">
              <w:rPr>
                <w:b/>
              </w:rPr>
              <w:t>Klasa stanu chemicznego</w:t>
            </w:r>
          </w:p>
        </w:tc>
        <w:tc>
          <w:tcPr>
            <w:tcW w:w="2000" w:type="pct"/>
          </w:tcPr>
          <w:p w14:paraId="73CBDFF2" w14:textId="77777777" w:rsidR="00462DD4" w:rsidRPr="00795F17" w:rsidRDefault="00462DD4" w:rsidP="0044393D">
            <w:pPr>
              <w:pStyle w:val="Teksttabelinaglowek"/>
              <w:rPr>
                <w:b/>
              </w:rPr>
            </w:pPr>
            <w:r w:rsidRPr="00795F17">
              <w:rPr>
                <w:b/>
              </w:rPr>
              <w:t>Stan chemiczny</w:t>
            </w:r>
          </w:p>
        </w:tc>
      </w:tr>
      <w:tr w:rsidR="00462DD4" w:rsidRPr="00795F17" w14:paraId="1358017D" w14:textId="77777777" w:rsidTr="008E5000">
        <w:trPr>
          <w:cantSplit/>
          <w:trHeight w:val="454"/>
          <w:jc w:val="center"/>
        </w:trPr>
        <w:tc>
          <w:tcPr>
            <w:tcW w:w="3000" w:type="pct"/>
          </w:tcPr>
          <w:p w14:paraId="17A3BB23" w14:textId="77777777" w:rsidR="00462DD4" w:rsidRPr="00795F17" w:rsidRDefault="00462DD4" w:rsidP="0065243A">
            <w:pPr>
              <w:pStyle w:val="Teksttabelisrodek"/>
            </w:pPr>
            <w:r w:rsidRPr="00795F17">
              <w:t>I</w:t>
            </w:r>
          </w:p>
        </w:tc>
        <w:tc>
          <w:tcPr>
            <w:tcW w:w="2000" w:type="pct"/>
          </w:tcPr>
          <w:p w14:paraId="7F4EF69E" w14:textId="51666297" w:rsidR="00462DD4" w:rsidRPr="00795F17" w:rsidRDefault="00D40E78" w:rsidP="0065243A">
            <w:pPr>
              <w:pStyle w:val="Teksttabelisrodek"/>
            </w:pPr>
            <w:r w:rsidRPr="00795F17">
              <w:t>D</w:t>
            </w:r>
            <w:r w:rsidR="00462DD4" w:rsidRPr="00795F17">
              <w:t>obry</w:t>
            </w:r>
          </w:p>
        </w:tc>
      </w:tr>
      <w:tr w:rsidR="00462DD4" w:rsidRPr="00795F17" w14:paraId="0AA57A3D" w14:textId="77777777" w:rsidTr="008E5000">
        <w:trPr>
          <w:cantSplit/>
          <w:trHeight w:val="454"/>
          <w:jc w:val="center"/>
        </w:trPr>
        <w:tc>
          <w:tcPr>
            <w:tcW w:w="3000" w:type="pct"/>
          </w:tcPr>
          <w:p w14:paraId="323DD614" w14:textId="77777777" w:rsidR="00462DD4" w:rsidRPr="00795F17" w:rsidRDefault="00462DD4" w:rsidP="0065243A">
            <w:pPr>
              <w:pStyle w:val="Teksttabelisrodek"/>
            </w:pPr>
            <w:r w:rsidRPr="00795F17">
              <w:t>II</w:t>
            </w:r>
          </w:p>
        </w:tc>
        <w:tc>
          <w:tcPr>
            <w:tcW w:w="2000" w:type="pct"/>
          </w:tcPr>
          <w:p w14:paraId="094A838D" w14:textId="1405E416" w:rsidR="00462DD4" w:rsidRPr="00795F17" w:rsidRDefault="006741C9" w:rsidP="0065243A">
            <w:pPr>
              <w:pStyle w:val="Teksttabelisrodek"/>
            </w:pPr>
            <w:r>
              <w:t>P</w:t>
            </w:r>
            <w:r w:rsidR="00462DD4" w:rsidRPr="00795F17">
              <w:t>oniżej dobrego</w:t>
            </w:r>
          </w:p>
        </w:tc>
      </w:tr>
    </w:tbl>
    <w:p w14:paraId="094F2A9D" w14:textId="71B9CF39"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w:t>
      </w:r>
      <w:r w:rsidR="00DF005E">
        <w:t>r.kl.jcwp</w:t>
      </w:r>
    </w:p>
    <w:p w14:paraId="3D228235" w14:textId="4FF9F254" w:rsidR="00462DD4" w:rsidRPr="00795F17" w:rsidRDefault="00462DD4" w:rsidP="0044393D">
      <w:r w:rsidRPr="00795F17">
        <w:t>Klasyfikacji dokonuje się na podstawie zagregowanych danych pomiarowych uzyskanych w wyniku realizacji badań w ramach PMŚ (</w:t>
      </w:r>
      <w:r w:rsidR="00842866">
        <w:t>MD</w:t>
      </w:r>
      <w:r w:rsidR="002452DC">
        <w:t xml:space="preserve"> </w:t>
      </w:r>
      <w:r w:rsidR="00842866">
        <w:t>i MO</w:t>
      </w:r>
      <w:r w:rsidRPr="00795F17">
        <w:t>) przeprowadzonego w</w:t>
      </w:r>
      <w:r w:rsidR="006C49A9" w:rsidRPr="00795F17">
        <w:t> </w:t>
      </w:r>
      <w:r w:rsidRPr="00795F17">
        <w:t xml:space="preserve">reprezentatywnych punktach pomiarowo-kontrolnych (ppk). Liczba wyników wskaźników jakości </w:t>
      </w:r>
      <w:r w:rsidR="00DF005E">
        <w:t>JCWP</w:t>
      </w:r>
      <w:r w:rsidRPr="00795F17">
        <w:t xml:space="preserve"> uzyskanych poprzez agregację do obliczeń wartości średniej rocznej nie może być mniejsza niż: 12 wyników dla wskaźnika badanego w wodzie albo 1 wynik dla wskaźnika badanego w biocie. W</w:t>
      </w:r>
      <w:r w:rsidR="006C49A9" w:rsidRPr="00795F17">
        <w:t> </w:t>
      </w:r>
      <w:r w:rsidRPr="00795F17">
        <w:t>przypadku braku danych z pomiarów fizycznych dopuszcza się wykonanie klasyfikacji stanu chemicznego na podstawie:</w:t>
      </w:r>
    </w:p>
    <w:p w14:paraId="6FE9F56E" w14:textId="3843593A" w:rsidR="00462DD4" w:rsidRPr="00795F17" w:rsidRDefault="00462DD4" w:rsidP="002757E9">
      <w:pPr>
        <w:pStyle w:val="Numerowanie"/>
        <w:numPr>
          <w:ilvl w:val="0"/>
          <w:numId w:val="43"/>
        </w:numPr>
      </w:pPr>
      <w:r w:rsidRPr="00795F17">
        <w:t xml:space="preserve">danych uzyskanych dla innej </w:t>
      </w:r>
      <w:r w:rsidR="00DF005E">
        <w:t>JCWP</w:t>
      </w:r>
      <w:r w:rsidRPr="00795F17">
        <w:t xml:space="preserve">, charakteryzującej się taką samą kategorią oraz typem wód, stopniem i rodzajem presji zewnętrznej oraz lokalizacją w tej samej zlewni; w przypadku braku tożsamych </w:t>
      </w:r>
      <w:r w:rsidR="00DF005E">
        <w:t>JCWP</w:t>
      </w:r>
      <w:r w:rsidRPr="00795F17">
        <w:t xml:space="preserve"> w tej samej zlewni akceptuje się także ekstrapolowanie danych z innych jcw;</w:t>
      </w:r>
    </w:p>
    <w:p w14:paraId="7D79766B" w14:textId="77777777" w:rsidR="00462DD4" w:rsidRPr="00795F17" w:rsidRDefault="00462DD4" w:rsidP="0044393D">
      <w:pPr>
        <w:pStyle w:val="Numerowanie"/>
      </w:pPr>
      <w:r w:rsidRPr="00795F17">
        <w:t>wyników modelowania matematycznego;</w:t>
      </w:r>
    </w:p>
    <w:p w14:paraId="37C0D1A5" w14:textId="77777777" w:rsidR="00462DD4" w:rsidRPr="00795F17" w:rsidRDefault="00462DD4" w:rsidP="0044393D">
      <w:pPr>
        <w:pStyle w:val="Numerowanie"/>
      </w:pPr>
      <w:r w:rsidRPr="00795F17">
        <w:t>oceny eksperckiej.</w:t>
      </w:r>
    </w:p>
    <w:p w14:paraId="7B377AA2" w14:textId="2EBF1988" w:rsidR="00462DD4" w:rsidRPr="00795F17" w:rsidRDefault="00462DD4" w:rsidP="0044393D">
      <w:r w:rsidRPr="00795F17">
        <w:t>Po uzyskaniu wiarygodnychdanych (zgodnie z r.kl.jcw</w:t>
      </w:r>
      <w:r w:rsidRPr="00795F17">
        <w:rPr>
          <w:iCs/>
        </w:rPr>
        <w:t>)</w:t>
      </w:r>
      <w:r w:rsidRPr="00795F17">
        <w:t xml:space="preserve"> </w:t>
      </w:r>
      <w:r w:rsidR="00C12087">
        <w:t>klasyfikacji stanu chemicznego</w:t>
      </w:r>
      <w:r w:rsidRPr="00795F17">
        <w:t xml:space="preserve"> dokonuje się poprzez porównanie wartości średniej rocznej lub maksymalnej z pomiarów względem wartości granicznych wskaźników z uwzględnieniem kategorii wód powierzchniowych i reguły „najgorszy decyduje” („</w:t>
      </w:r>
      <w:r w:rsidRPr="004232B5">
        <w:rPr>
          <w:i/>
        </w:rPr>
        <w:t>one</w:t>
      </w:r>
      <w:r w:rsidR="006C49A9" w:rsidRPr="004232B5">
        <w:rPr>
          <w:i/>
        </w:rPr>
        <w:t> </w:t>
      </w:r>
      <w:r w:rsidRPr="004232B5">
        <w:rPr>
          <w:i/>
        </w:rPr>
        <w:t xml:space="preserve">out </w:t>
      </w:r>
      <w:r w:rsidR="00182A26" w:rsidRPr="004232B5">
        <w:rPr>
          <w:i/>
        </w:rPr>
        <w:t>-</w:t>
      </w:r>
      <w:r w:rsidRPr="004232B5">
        <w:rPr>
          <w:i/>
        </w:rPr>
        <w:t xml:space="preserve"> all out</w:t>
      </w:r>
      <w:r w:rsidRPr="00795F17">
        <w:t xml:space="preserve">”). Przyjmuje się, że </w:t>
      </w:r>
      <w:r w:rsidR="00DF005E">
        <w:t>JCWP</w:t>
      </w:r>
      <w:r w:rsidRPr="00795F17">
        <w:t xml:space="preserve"> osiąga dobry stan chemiczny, jeżeli stężenie wszystkich wskaźników determinujących stan chemiczny </w:t>
      </w:r>
      <w:r w:rsidR="00D40E78">
        <w:t>–</w:t>
      </w:r>
      <w:r w:rsidRPr="00795F17">
        <w:t xml:space="preserve"> zarówno w biocie, jak i wodzie </w:t>
      </w:r>
      <w:r w:rsidR="00D40E78">
        <w:t>–</w:t>
      </w:r>
      <w:r w:rsidRPr="00795F17">
        <w:t xml:space="preserve"> nie przekroczyło środowiskowych norm jakości. Oznacza to, że przekroczenie wartości granicznej przynajmniej jednej substancji determinuje klasyfikację stanu chemicznego </w:t>
      </w:r>
      <w:r w:rsidR="00DF005E">
        <w:t>JCWP</w:t>
      </w:r>
      <w:r w:rsidRPr="00795F17">
        <w:t xml:space="preserve"> jako „poniżej dobrego”. </w:t>
      </w:r>
    </w:p>
    <w:p w14:paraId="1A6894EF" w14:textId="72585272" w:rsidR="00EF70F7" w:rsidRDefault="00462DD4" w:rsidP="0044393D">
      <w:r w:rsidRPr="00795F17">
        <w:t xml:space="preserve">Ocena ogólnego stanu </w:t>
      </w:r>
      <w:r w:rsidR="00DF005E">
        <w:t>JCWP</w:t>
      </w:r>
      <w:r w:rsidRPr="00795F17">
        <w:t xml:space="preserve"> jest dokonywana na podstawie analizy wyników oceny stanu lub</w:t>
      </w:r>
      <w:r w:rsidR="00DC4CCC">
        <w:t> </w:t>
      </w:r>
      <w:r w:rsidRPr="00795F17">
        <w:t xml:space="preserve">potencjału ekologicznego oraz stanu chemicznego danej </w:t>
      </w:r>
      <w:r w:rsidR="00DF005E">
        <w:t>JCWP</w:t>
      </w:r>
      <w:r w:rsidRPr="00795F17">
        <w:t xml:space="preserve">. Uzyskanie dobrego stanu ogólnego </w:t>
      </w:r>
      <w:r w:rsidR="00DF005E">
        <w:t>JCWP</w:t>
      </w:r>
      <w:r w:rsidRPr="00795F17">
        <w:t xml:space="preserve"> jest możliwe jedynie w przypadku dobrego stanu chemicznego i jednocześnie co najmniej dobrego stanu bądź potencjału ekologicznego danej </w:t>
      </w:r>
      <w:r w:rsidR="00DF005E">
        <w:t>JCWP</w:t>
      </w:r>
      <w:r w:rsidRPr="00795F17">
        <w:t xml:space="preserve">. Sposób oceny stanu ogólnego </w:t>
      </w:r>
      <w:r w:rsidR="00DF005E">
        <w:t>JCWP</w:t>
      </w:r>
      <w:r w:rsidRPr="00795F17">
        <w:t xml:space="preserve"> przedstawiono w</w:t>
      </w:r>
      <w:r w:rsidR="006C49A9" w:rsidRPr="00795F17">
        <w:t> </w:t>
      </w:r>
      <w:r w:rsidRPr="00795F17">
        <w:t xml:space="preserve">tabeli </w:t>
      </w:r>
      <w:r w:rsidR="00B14FD9" w:rsidRPr="00795F17">
        <w:t>5-12.</w:t>
      </w:r>
    </w:p>
    <w:p w14:paraId="5EEDF7EE" w14:textId="77777777" w:rsidR="00EF70F7" w:rsidRDefault="00EF70F7">
      <w:pPr>
        <w:suppressAutoHyphens w:val="0"/>
        <w:spacing w:before="0" w:after="0"/>
        <w:jc w:val="left"/>
      </w:pPr>
      <w:r>
        <w:br w:type="page"/>
      </w:r>
    </w:p>
    <w:p w14:paraId="392666DF" w14:textId="7CB15327" w:rsidR="00462DD4" w:rsidRPr="00795F17" w:rsidRDefault="00462DD4" w:rsidP="004D7705">
      <w:pPr>
        <w:pStyle w:val="Tabela"/>
      </w:pPr>
      <w:bookmarkStart w:id="161" w:name="_Toc66341867"/>
      <w:bookmarkStart w:id="162" w:name="_Toc105512776"/>
      <w:r w:rsidRPr="00795F17">
        <w:t xml:space="preserve">Tabela </w:t>
      </w:r>
      <w:fldSimple w:instr=" STYLEREF 1 \s ">
        <w:r w:rsidR="001F774D">
          <w:rPr>
            <w:noProof/>
          </w:rPr>
          <w:t>5</w:t>
        </w:r>
      </w:fldSimple>
      <w:r w:rsidR="00BB3B21" w:rsidRPr="00795F17">
        <w:noBreakHyphen/>
      </w:r>
      <w:fldSimple w:instr=" SEQ Tabela \* ARABIC \s 1 ">
        <w:r w:rsidR="001F774D">
          <w:rPr>
            <w:noProof/>
          </w:rPr>
          <w:t>12</w:t>
        </w:r>
      </w:fldSimple>
      <w:r w:rsidR="00BA11D4">
        <w:rPr>
          <w:noProof/>
        </w:rPr>
        <w:t>.</w:t>
      </w:r>
      <w:r w:rsidRPr="00795F17">
        <w:tab/>
      </w:r>
      <w:r w:rsidRPr="00795F17">
        <w:rPr>
          <w:bCs/>
        </w:rPr>
        <w:t xml:space="preserve">Sposób oceny stanu ogólnego </w:t>
      </w:r>
      <w:r w:rsidR="00DF005E">
        <w:rPr>
          <w:bCs/>
        </w:rPr>
        <w:t>JCWP</w:t>
      </w:r>
      <w:bookmarkEnd w:id="161"/>
      <w:bookmarkEnd w:id="162"/>
    </w:p>
    <w:tbl>
      <w:tblPr>
        <w:tblStyle w:val="Tabela-Siatka"/>
        <w:tblW w:w="5000" w:type="pct"/>
        <w:tblLook w:val="04A0" w:firstRow="1" w:lastRow="0" w:firstColumn="1" w:lastColumn="0" w:noHBand="0" w:noVBand="1"/>
      </w:tblPr>
      <w:tblGrid>
        <w:gridCol w:w="1387"/>
        <w:gridCol w:w="4145"/>
        <w:gridCol w:w="1839"/>
        <w:gridCol w:w="1696"/>
      </w:tblGrid>
      <w:tr w:rsidR="00462DD4" w:rsidRPr="00795F17" w14:paraId="517F9FD5" w14:textId="77777777" w:rsidTr="006C49A9">
        <w:trPr>
          <w:cnfStyle w:val="100000000000" w:firstRow="1" w:lastRow="0" w:firstColumn="0" w:lastColumn="0" w:oddVBand="0" w:evenVBand="0" w:oddHBand="0" w:evenHBand="0" w:firstRowFirstColumn="0" w:firstRowLastColumn="0" w:lastRowFirstColumn="0" w:lastRowLastColumn="0"/>
          <w:trHeight w:val="454"/>
        </w:trPr>
        <w:tc>
          <w:tcPr>
            <w:tcW w:w="3051" w:type="pct"/>
            <w:gridSpan w:val="2"/>
            <w:vMerge w:val="restart"/>
            <w:tcBorders>
              <w:top w:val="nil"/>
              <w:left w:val="nil"/>
              <w:bottom w:val="single" w:sz="4" w:space="0" w:color="auto"/>
              <w:right w:val="single" w:sz="4" w:space="0" w:color="auto"/>
            </w:tcBorders>
            <w:shd w:val="clear" w:color="auto" w:fill="auto"/>
          </w:tcPr>
          <w:p w14:paraId="11454EE2" w14:textId="77777777" w:rsidR="00462DD4" w:rsidRPr="00795F17" w:rsidRDefault="00462DD4" w:rsidP="0044393D">
            <w:pPr>
              <w:pStyle w:val="Teksttabeliprawy"/>
            </w:pPr>
          </w:p>
        </w:tc>
        <w:tc>
          <w:tcPr>
            <w:tcW w:w="1949" w:type="pct"/>
            <w:gridSpan w:val="2"/>
            <w:tcBorders>
              <w:left w:val="single" w:sz="4" w:space="0" w:color="auto"/>
            </w:tcBorders>
            <w:shd w:val="clear" w:color="auto" w:fill="BFBFBF"/>
          </w:tcPr>
          <w:p w14:paraId="2AEFEDB9" w14:textId="77777777" w:rsidR="00462DD4" w:rsidRPr="00795F17" w:rsidRDefault="00462DD4" w:rsidP="0044393D">
            <w:pPr>
              <w:pStyle w:val="Teksttabelinaglowek"/>
              <w:rPr>
                <w:b/>
              </w:rPr>
            </w:pPr>
            <w:r w:rsidRPr="00795F17">
              <w:rPr>
                <w:b/>
              </w:rPr>
              <w:t>Stan chemiczny</w:t>
            </w:r>
          </w:p>
        </w:tc>
      </w:tr>
      <w:tr w:rsidR="00462DD4" w:rsidRPr="00795F17" w14:paraId="76DF776C" w14:textId="77777777" w:rsidTr="00E83CCE">
        <w:trPr>
          <w:trHeight w:val="454"/>
        </w:trPr>
        <w:tc>
          <w:tcPr>
            <w:tcW w:w="3051" w:type="pct"/>
            <w:gridSpan w:val="2"/>
            <w:vMerge/>
            <w:tcBorders>
              <w:top w:val="nil"/>
              <w:left w:val="nil"/>
              <w:bottom w:val="single" w:sz="4" w:space="0" w:color="auto"/>
              <w:right w:val="single" w:sz="4" w:space="0" w:color="auto"/>
            </w:tcBorders>
            <w:shd w:val="clear" w:color="auto" w:fill="auto"/>
          </w:tcPr>
          <w:p w14:paraId="28238F1D" w14:textId="77777777" w:rsidR="00462DD4" w:rsidRPr="00795F17" w:rsidRDefault="00462DD4" w:rsidP="0044393D">
            <w:pPr>
              <w:pStyle w:val="Teksttabeliprawy"/>
            </w:pPr>
          </w:p>
        </w:tc>
        <w:tc>
          <w:tcPr>
            <w:tcW w:w="1014" w:type="pct"/>
            <w:tcBorders>
              <w:left w:val="single" w:sz="4" w:space="0" w:color="auto"/>
            </w:tcBorders>
            <w:shd w:val="clear" w:color="auto" w:fill="BFBFBF" w:themeFill="background1" w:themeFillShade="BF"/>
          </w:tcPr>
          <w:p w14:paraId="7736121D" w14:textId="77777777" w:rsidR="00462DD4" w:rsidRPr="00795F17" w:rsidRDefault="00462DD4" w:rsidP="0044393D">
            <w:pPr>
              <w:pStyle w:val="Teksttabelinaglowek"/>
            </w:pPr>
            <w:r w:rsidRPr="00795F17">
              <w:t>dobry</w:t>
            </w:r>
          </w:p>
        </w:tc>
        <w:tc>
          <w:tcPr>
            <w:tcW w:w="935" w:type="pct"/>
            <w:shd w:val="clear" w:color="auto" w:fill="BFBFBF" w:themeFill="background1" w:themeFillShade="BF"/>
          </w:tcPr>
          <w:p w14:paraId="7061E6C8" w14:textId="77777777" w:rsidR="00462DD4" w:rsidRPr="00795F17" w:rsidRDefault="00462DD4" w:rsidP="0044393D">
            <w:pPr>
              <w:pStyle w:val="Teksttabelinaglowek"/>
            </w:pPr>
            <w:r w:rsidRPr="00795F17">
              <w:t>poniżej dobrego</w:t>
            </w:r>
          </w:p>
        </w:tc>
      </w:tr>
      <w:tr w:rsidR="00462DD4" w:rsidRPr="00795F17" w14:paraId="4CC71969" w14:textId="77777777" w:rsidTr="006C49A9">
        <w:trPr>
          <w:trHeight w:val="454"/>
        </w:trPr>
        <w:tc>
          <w:tcPr>
            <w:tcW w:w="765" w:type="pct"/>
            <w:vMerge w:val="restart"/>
            <w:tcBorders>
              <w:top w:val="single" w:sz="4" w:space="0" w:color="auto"/>
            </w:tcBorders>
            <w:shd w:val="clear" w:color="auto" w:fill="BFBFBF"/>
          </w:tcPr>
          <w:p w14:paraId="75F5524F" w14:textId="77777777" w:rsidR="00462DD4" w:rsidRPr="00795F17" w:rsidRDefault="00462DD4" w:rsidP="0044393D">
            <w:pPr>
              <w:pStyle w:val="Teksttabelinaglowek"/>
            </w:pPr>
            <w:r w:rsidRPr="00795F17">
              <w:t xml:space="preserve">Stan </w:t>
            </w:r>
            <w:r w:rsidRPr="00795F17">
              <w:br/>
              <w:t>ekologiczny/</w:t>
            </w:r>
            <w:r w:rsidRPr="00795F17">
              <w:br/>
              <w:t>potencjał ekologiczny</w:t>
            </w:r>
          </w:p>
        </w:tc>
        <w:tc>
          <w:tcPr>
            <w:tcW w:w="2285" w:type="pct"/>
            <w:tcBorders>
              <w:top w:val="single" w:sz="4" w:space="0" w:color="auto"/>
            </w:tcBorders>
            <w:shd w:val="clear" w:color="auto" w:fill="auto"/>
          </w:tcPr>
          <w:p w14:paraId="5F638613" w14:textId="77777777" w:rsidR="00462DD4" w:rsidRPr="00795F17" w:rsidRDefault="00462DD4" w:rsidP="008C0577">
            <w:pPr>
              <w:pStyle w:val="Teksttabelilewy"/>
            </w:pPr>
            <w:r w:rsidRPr="00795F17">
              <w:t>bardzo dobry stan ekologiczny/maksymalny potencjał ekologiczny</w:t>
            </w:r>
          </w:p>
        </w:tc>
        <w:tc>
          <w:tcPr>
            <w:tcW w:w="1014" w:type="pct"/>
            <w:shd w:val="clear" w:color="auto" w:fill="00B0F0"/>
          </w:tcPr>
          <w:p w14:paraId="081B7DF8" w14:textId="77777777" w:rsidR="00462DD4" w:rsidRPr="00795F17" w:rsidRDefault="00462DD4" w:rsidP="0065243A">
            <w:pPr>
              <w:pStyle w:val="Teksttabelisrodek"/>
            </w:pPr>
            <w:r w:rsidRPr="00795F17">
              <w:t>dobry stan wód</w:t>
            </w:r>
          </w:p>
        </w:tc>
        <w:tc>
          <w:tcPr>
            <w:tcW w:w="935" w:type="pct"/>
            <w:shd w:val="clear" w:color="auto" w:fill="FF0000"/>
          </w:tcPr>
          <w:p w14:paraId="21BC3843" w14:textId="77777777" w:rsidR="00462DD4" w:rsidRPr="00795F17" w:rsidRDefault="00462DD4" w:rsidP="0065243A">
            <w:pPr>
              <w:pStyle w:val="Teksttabelisrodek"/>
            </w:pPr>
            <w:r w:rsidRPr="00795F17">
              <w:t>zły stan wód</w:t>
            </w:r>
          </w:p>
        </w:tc>
      </w:tr>
      <w:tr w:rsidR="00462DD4" w:rsidRPr="00795F17" w14:paraId="1DEB2F01" w14:textId="77777777" w:rsidTr="006C49A9">
        <w:trPr>
          <w:trHeight w:val="454"/>
        </w:trPr>
        <w:tc>
          <w:tcPr>
            <w:tcW w:w="765" w:type="pct"/>
            <w:vMerge/>
            <w:shd w:val="clear" w:color="auto" w:fill="BFBFBF"/>
          </w:tcPr>
          <w:p w14:paraId="0D26BE65" w14:textId="77777777" w:rsidR="00462DD4" w:rsidRPr="00795F17" w:rsidRDefault="00462DD4" w:rsidP="0044393D">
            <w:pPr>
              <w:pStyle w:val="Teksttabeliprawy"/>
            </w:pPr>
          </w:p>
        </w:tc>
        <w:tc>
          <w:tcPr>
            <w:tcW w:w="2285" w:type="pct"/>
            <w:shd w:val="clear" w:color="auto" w:fill="auto"/>
          </w:tcPr>
          <w:p w14:paraId="2262D5BA" w14:textId="64B5DF2A" w:rsidR="00462DD4" w:rsidRPr="00795F17" w:rsidRDefault="00462DD4" w:rsidP="008C0577">
            <w:pPr>
              <w:pStyle w:val="Teksttabelilewy"/>
            </w:pPr>
            <w:r w:rsidRPr="00795F17">
              <w:t>dobry stan ekologiczny/</w:t>
            </w:r>
            <w:r w:rsidR="00EB625F">
              <w:t xml:space="preserve">dobry </w:t>
            </w:r>
            <w:r w:rsidRPr="00795F17">
              <w:t>potencjał ekologiczny</w:t>
            </w:r>
          </w:p>
        </w:tc>
        <w:tc>
          <w:tcPr>
            <w:tcW w:w="1014" w:type="pct"/>
            <w:shd w:val="clear" w:color="auto" w:fill="00B0F0"/>
          </w:tcPr>
          <w:p w14:paraId="44ADFA6A" w14:textId="77777777" w:rsidR="00462DD4" w:rsidRPr="00795F17" w:rsidRDefault="00462DD4" w:rsidP="0065243A">
            <w:pPr>
              <w:pStyle w:val="Teksttabelisrodek"/>
            </w:pPr>
            <w:r w:rsidRPr="00795F17">
              <w:t>dobry stan wód</w:t>
            </w:r>
          </w:p>
        </w:tc>
        <w:tc>
          <w:tcPr>
            <w:tcW w:w="935" w:type="pct"/>
            <w:shd w:val="clear" w:color="auto" w:fill="FF0000"/>
          </w:tcPr>
          <w:p w14:paraId="616C9709" w14:textId="77777777" w:rsidR="00462DD4" w:rsidRPr="00795F17" w:rsidRDefault="00462DD4" w:rsidP="0065243A">
            <w:pPr>
              <w:pStyle w:val="Teksttabelisrodek"/>
            </w:pPr>
            <w:r w:rsidRPr="00795F17">
              <w:t>zły stan wód</w:t>
            </w:r>
          </w:p>
        </w:tc>
      </w:tr>
      <w:tr w:rsidR="00462DD4" w:rsidRPr="00795F17" w14:paraId="08B950DC" w14:textId="77777777" w:rsidTr="006C49A9">
        <w:trPr>
          <w:trHeight w:val="454"/>
        </w:trPr>
        <w:tc>
          <w:tcPr>
            <w:tcW w:w="765" w:type="pct"/>
            <w:vMerge/>
            <w:shd w:val="clear" w:color="auto" w:fill="BFBFBF"/>
          </w:tcPr>
          <w:p w14:paraId="62770111" w14:textId="77777777" w:rsidR="00462DD4" w:rsidRPr="00795F17" w:rsidRDefault="00462DD4" w:rsidP="0044393D">
            <w:pPr>
              <w:pStyle w:val="Teksttabeliprawy"/>
            </w:pPr>
          </w:p>
        </w:tc>
        <w:tc>
          <w:tcPr>
            <w:tcW w:w="2285" w:type="pct"/>
            <w:shd w:val="clear" w:color="auto" w:fill="auto"/>
          </w:tcPr>
          <w:p w14:paraId="0A70E2DD" w14:textId="77777777" w:rsidR="00462DD4" w:rsidRPr="00795F17" w:rsidRDefault="00462DD4" w:rsidP="008C0577">
            <w:pPr>
              <w:pStyle w:val="Teksttabelilewy"/>
            </w:pPr>
            <w:r w:rsidRPr="00795F17">
              <w:t>umiarkowany stan ekologiczny/umiarkowany potencjał ekologiczny</w:t>
            </w:r>
          </w:p>
        </w:tc>
        <w:tc>
          <w:tcPr>
            <w:tcW w:w="1014" w:type="pct"/>
            <w:shd w:val="clear" w:color="auto" w:fill="FF0000"/>
          </w:tcPr>
          <w:p w14:paraId="27BBEB2A" w14:textId="77777777" w:rsidR="00462DD4" w:rsidRPr="00795F17" w:rsidRDefault="00462DD4" w:rsidP="0065243A">
            <w:pPr>
              <w:pStyle w:val="Teksttabelisrodek"/>
            </w:pPr>
            <w:r w:rsidRPr="00795F17">
              <w:t>zły stan wód</w:t>
            </w:r>
          </w:p>
        </w:tc>
        <w:tc>
          <w:tcPr>
            <w:tcW w:w="935" w:type="pct"/>
            <w:shd w:val="clear" w:color="auto" w:fill="FF0000"/>
          </w:tcPr>
          <w:p w14:paraId="6F396A8B" w14:textId="77777777" w:rsidR="00462DD4" w:rsidRPr="00795F17" w:rsidRDefault="00462DD4" w:rsidP="0065243A">
            <w:pPr>
              <w:pStyle w:val="Teksttabelisrodek"/>
            </w:pPr>
            <w:r w:rsidRPr="00795F17">
              <w:t>zły stan wód</w:t>
            </w:r>
          </w:p>
        </w:tc>
      </w:tr>
      <w:tr w:rsidR="00462DD4" w:rsidRPr="00795F17" w14:paraId="64BF2162" w14:textId="77777777" w:rsidTr="006C49A9">
        <w:trPr>
          <w:trHeight w:val="454"/>
        </w:trPr>
        <w:tc>
          <w:tcPr>
            <w:tcW w:w="765" w:type="pct"/>
            <w:vMerge/>
            <w:shd w:val="clear" w:color="auto" w:fill="BFBFBF"/>
          </w:tcPr>
          <w:p w14:paraId="485FACDD" w14:textId="77777777" w:rsidR="00462DD4" w:rsidRPr="00795F17" w:rsidRDefault="00462DD4" w:rsidP="0044393D">
            <w:pPr>
              <w:pStyle w:val="Teksttabeliprawy"/>
            </w:pPr>
          </w:p>
        </w:tc>
        <w:tc>
          <w:tcPr>
            <w:tcW w:w="2285" w:type="pct"/>
            <w:shd w:val="clear" w:color="auto" w:fill="auto"/>
          </w:tcPr>
          <w:p w14:paraId="197762D2" w14:textId="77777777" w:rsidR="00462DD4" w:rsidRPr="00795F17" w:rsidRDefault="00462DD4" w:rsidP="008C0577">
            <w:pPr>
              <w:pStyle w:val="Teksttabelilewy"/>
            </w:pPr>
            <w:r w:rsidRPr="00795F17">
              <w:t>słaby stan ekologiczny/słaby potencjał ekologiczny</w:t>
            </w:r>
          </w:p>
        </w:tc>
        <w:tc>
          <w:tcPr>
            <w:tcW w:w="1014" w:type="pct"/>
            <w:shd w:val="clear" w:color="auto" w:fill="FF0000"/>
          </w:tcPr>
          <w:p w14:paraId="1416BF2D" w14:textId="77777777" w:rsidR="00462DD4" w:rsidRPr="00795F17" w:rsidRDefault="00462DD4" w:rsidP="0065243A">
            <w:pPr>
              <w:pStyle w:val="Teksttabelisrodek"/>
            </w:pPr>
            <w:r w:rsidRPr="00795F17">
              <w:t>zły stan wód</w:t>
            </w:r>
          </w:p>
        </w:tc>
        <w:tc>
          <w:tcPr>
            <w:tcW w:w="935" w:type="pct"/>
            <w:shd w:val="clear" w:color="auto" w:fill="FF0000"/>
          </w:tcPr>
          <w:p w14:paraId="47B0CD41" w14:textId="77777777" w:rsidR="00462DD4" w:rsidRPr="00795F17" w:rsidRDefault="00462DD4" w:rsidP="0065243A">
            <w:pPr>
              <w:pStyle w:val="Teksttabelisrodek"/>
            </w:pPr>
            <w:r w:rsidRPr="00795F17">
              <w:t>zły stan wód</w:t>
            </w:r>
          </w:p>
        </w:tc>
      </w:tr>
      <w:tr w:rsidR="00462DD4" w:rsidRPr="00795F17" w14:paraId="7F727152" w14:textId="77777777" w:rsidTr="006C49A9">
        <w:trPr>
          <w:trHeight w:val="454"/>
        </w:trPr>
        <w:tc>
          <w:tcPr>
            <w:tcW w:w="765" w:type="pct"/>
            <w:vMerge/>
            <w:shd w:val="clear" w:color="auto" w:fill="BFBFBF"/>
          </w:tcPr>
          <w:p w14:paraId="1370A696" w14:textId="77777777" w:rsidR="00462DD4" w:rsidRPr="00795F17" w:rsidRDefault="00462DD4" w:rsidP="0044393D">
            <w:pPr>
              <w:pStyle w:val="Teksttabeliprawy"/>
            </w:pPr>
          </w:p>
        </w:tc>
        <w:tc>
          <w:tcPr>
            <w:tcW w:w="2285" w:type="pct"/>
            <w:shd w:val="clear" w:color="auto" w:fill="auto"/>
          </w:tcPr>
          <w:p w14:paraId="63B3973D" w14:textId="77777777" w:rsidR="00462DD4" w:rsidRPr="00795F17" w:rsidRDefault="00462DD4" w:rsidP="008C0577">
            <w:pPr>
              <w:pStyle w:val="Teksttabelilewy"/>
            </w:pPr>
            <w:r w:rsidRPr="00795F17">
              <w:t>zły stan ekologiczny/zły potencjał ekologiczny</w:t>
            </w:r>
          </w:p>
        </w:tc>
        <w:tc>
          <w:tcPr>
            <w:tcW w:w="1014" w:type="pct"/>
            <w:shd w:val="clear" w:color="auto" w:fill="FF0000"/>
          </w:tcPr>
          <w:p w14:paraId="7BBDFBB0" w14:textId="77777777" w:rsidR="00462DD4" w:rsidRPr="00795F17" w:rsidRDefault="00462DD4" w:rsidP="0065243A">
            <w:pPr>
              <w:pStyle w:val="Teksttabelisrodek"/>
            </w:pPr>
            <w:r w:rsidRPr="00795F17">
              <w:t>zły stan wód</w:t>
            </w:r>
          </w:p>
        </w:tc>
        <w:tc>
          <w:tcPr>
            <w:tcW w:w="935" w:type="pct"/>
            <w:shd w:val="clear" w:color="auto" w:fill="FF0000"/>
          </w:tcPr>
          <w:p w14:paraId="426D8ACB" w14:textId="77777777" w:rsidR="00462DD4" w:rsidRPr="00795F17" w:rsidRDefault="00462DD4" w:rsidP="0065243A">
            <w:pPr>
              <w:pStyle w:val="Teksttabelisrodek"/>
            </w:pPr>
            <w:r w:rsidRPr="00795F17">
              <w:t>zły stan wód</w:t>
            </w:r>
          </w:p>
        </w:tc>
      </w:tr>
    </w:tbl>
    <w:p w14:paraId="6472665A" w14:textId="0E4DD442" w:rsidR="00462DD4" w:rsidRPr="00795F17" w:rsidRDefault="00462DD4" w:rsidP="0044393D">
      <w:pPr>
        <w:pStyle w:val="rdo"/>
      </w:pPr>
      <w:r w:rsidRPr="00795F17">
        <w:t xml:space="preserve">Źródło: </w:t>
      </w:r>
      <w:r w:rsidR="00FD7248" w:rsidRPr="00795F17">
        <w:t>opracowanie własne</w:t>
      </w:r>
      <w:r w:rsidRPr="00795F17">
        <w:t xml:space="preserve"> na podstawie </w:t>
      </w:r>
      <w:r w:rsidR="00DF005E">
        <w:t>r.kl.jcwp</w:t>
      </w:r>
    </w:p>
    <w:p w14:paraId="313196C2" w14:textId="19AD9492" w:rsidR="00EF70F7" w:rsidRDefault="00462DD4" w:rsidP="0044393D">
      <w:r w:rsidRPr="00795F17">
        <w:t xml:space="preserve">W celu określenia stanu </w:t>
      </w:r>
      <w:r w:rsidR="00DF005E">
        <w:t>JCWP</w:t>
      </w:r>
      <w:r w:rsidRPr="00795F17">
        <w:t xml:space="preserve"> monitorowanych w danym cyklu planistycznym uwzględnia się</w:t>
      </w:r>
      <w:r w:rsidR="00EA05B7">
        <w:t xml:space="preserve"> </w:t>
      </w:r>
      <w:r w:rsidRPr="00795F17">
        <w:t>tzw.</w:t>
      </w:r>
      <w:r w:rsidR="003B263C" w:rsidRPr="00795F17">
        <w:t> </w:t>
      </w:r>
      <w:r w:rsidRPr="00795F17">
        <w:t xml:space="preserve">zasadę dziedziczenia. W myśl tej zasady dziedziczona jest klasyfikacja wskaźników determinujących stan </w:t>
      </w:r>
      <w:r w:rsidR="00DF005E">
        <w:t>JCWP</w:t>
      </w:r>
      <w:r w:rsidRPr="00795F17">
        <w:t xml:space="preserve"> z zastrzeżeniem wykorzystania najnowszych rocznych wyników badań oraz</w:t>
      </w:r>
      <w:r w:rsidR="00F84F07">
        <w:t> </w:t>
      </w:r>
      <w:r w:rsidRPr="00795F17">
        <w:t xml:space="preserve">przy zachowaniu ważności wyniku. W przypadku </w:t>
      </w:r>
      <w:r w:rsidR="003714A5">
        <w:t>MD</w:t>
      </w:r>
      <w:r w:rsidRPr="00795F17">
        <w:t xml:space="preserve"> przyjmuje się, że</w:t>
      </w:r>
      <w:r w:rsidR="003B263C" w:rsidRPr="00795F17">
        <w:t> </w:t>
      </w:r>
      <w:r w:rsidRPr="00795F17">
        <w:t>dziedziczone mogą być wyniki nie starsze niż 6 lat. Okres ten nie ma zastosowania w stosunku do</w:t>
      </w:r>
      <w:r w:rsidR="00F73DFF" w:rsidRPr="00795F17">
        <w:t> </w:t>
      </w:r>
      <w:r w:rsidR="00DF005E">
        <w:t>JCWP</w:t>
      </w:r>
      <w:r w:rsidRPr="00795F17">
        <w:t xml:space="preserve"> objętych, z powodu uznania za zagrożone nie</w:t>
      </w:r>
      <w:r w:rsidR="0064673B" w:rsidRPr="00795F17">
        <w:t>osiągnięciem</w:t>
      </w:r>
      <w:r w:rsidRPr="00795F17">
        <w:t xml:space="preserve"> celów środowiskowych lub z innych przyczyn, monitoringiem operacyjnym. </w:t>
      </w:r>
      <w:r w:rsidR="00CF2E7E" w:rsidRPr="00731CCA">
        <w:t xml:space="preserve">W takim przypadku okres ważności danych biologicznych i fizykochemicznych (w każdym przypadku w zakresie wskaźników wybranych do </w:t>
      </w:r>
      <w:r w:rsidR="003714A5">
        <w:t xml:space="preserve">MO) </w:t>
      </w:r>
      <w:r w:rsidR="00CF2E7E" w:rsidRPr="00731CCA">
        <w:t>wynosi 3 lata, a danych hydromorfologicznych 6 lat, zaś dane dla wskaźników chemicznych wybranych do tego monitorowania w ogóle nie mogą być dziedziczone, gdyż są badane corocznie w monitoringu operacyjnym.</w:t>
      </w:r>
    </w:p>
    <w:p w14:paraId="49B92BE4" w14:textId="2763FAD8" w:rsidR="00462DD4" w:rsidRPr="00795F17" w:rsidRDefault="00462DD4" w:rsidP="0044393D">
      <w:r w:rsidRPr="00795F17">
        <w:t xml:space="preserve">Pomimo zwiększenia liczby </w:t>
      </w:r>
      <w:r w:rsidR="00DF005E">
        <w:t>JCWP</w:t>
      </w:r>
      <w:r w:rsidRPr="00795F17">
        <w:t xml:space="preserve"> objętych PMŚ część z nich wciąż nie jest monitorowana. Biorąc pod uwagę dokonane zmiany układu jednostek planistycznych (IIaPGW), nie było możliwości przeniesienia stanu ogólnego </w:t>
      </w:r>
      <w:r w:rsidR="00DF005E">
        <w:t>JCWP</w:t>
      </w:r>
      <w:r w:rsidRPr="00795F17">
        <w:t xml:space="preserve"> ze zlewni monitorowanych na niemonitorowane ze względu na brak szczegółowych analiz podobieństwa zlewni w nowym układzie planistycznym. W takich przypadkach ocena stanu </w:t>
      </w:r>
      <w:r w:rsidR="00DF005E">
        <w:t>JCWP</w:t>
      </w:r>
      <w:r w:rsidRPr="00795F17">
        <w:t xml:space="preserve"> została dokonana metodą ekspercką, wykorzystującą wyniki przeprowadzonej </w:t>
      </w:r>
      <w:r w:rsidRPr="00795F17">
        <w:rPr>
          <w:i/>
          <w:iCs/>
        </w:rPr>
        <w:t xml:space="preserve">Analizy znaczących oddziaływań </w:t>
      </w:r>
      <w:r w:rsidR="00D40E78">
        <w:rPr>
          <w:i/>
          <w:iCs/>
        </w:rPr>
        <w:t>–</w:t>
      </w:r>
      <w:r w:rsidRPr="00795F17">
        <w:rPr>
          <w:i/>
          <w:iCs/>
        </w:rPr>
        <w:t xml:space="preserve"> </w:t>
      </w:r>
      <w:r w:rsidR="00DF005E">
        <w:rPr>
          <w:i/>
          <w:iCs/>
        </w:rPr>
        <w:t>JCWP</w:t>
      </w:r>
      <w:r w:rsidRPr="00795F17">
        <w:rPr>
          <w:i/>
          <w:iCs/>
        </w:rPr>
        <w:t xml:space="preserve"> (…)</w:t>
      </w:r>
      <w:r w:rsidR="00A46D83">
        <w:rPr>
          <w:rStyle w:val="Odwoanieprzypisudolnego"/>
          <w:i/>
          <w:iCs/>
        </w:rPr>
        <w:footnoteReference w:id="30"/>
      </w:r>
      <w:r w:rsidRPr="00795F17">
        <w:t xml:space="preserve">, w ramach której wyznaczono jedynie prawdopodobny stan bądź potencjał ekologiczny oraz stan chemiczny </w:t>
      </w:r>
      <w:r w:rsidR="00DF005E">
        <w:t>JCWP</w:t>
      </w:r>
      <w:r w:rsidRPr="00795F17">
        <w:t>, bazując na wartościach wyliczonych w</w:t>
      </w:r>
      <w:r w:rsidR="00DC2106">
        <w:t> </w:t>
      </w:r>
      <w:r w:rsidRPr="00795F17">
        <w:t xml:space="preserve">ramach analiz. Ocena ta, wykonana dla </w:t>
      </w:r>
      <w:r w:rsidR="00DF005E">
        <w:t>JCWP</w:t>
      </w:r>
      <w:r w:rsidRPr="00795F17">
        <w:t xml:space="preserve"> niemonitorowanych, dla których nie dokonano oceny stanu 2014</w:t>
      </w:r>
      <w:r w:rsidR="00D40E78">
        <w:t>–</w:t>
      </w:r>
      <w:r w:rsidRPr="00795F17">
        <w:t>2019 (PMŚ), jest traktowana jako poglądowa.</w:t>
      </w:r>
    </w:p>
    <w:p w14:paraId="5FD59820" w14:textId="36E35F82" w:rsidR="00462DD4" w:rsidRPr="00795F17" w:rsidRDefault="00462DD4" w:rsidP="0044393D">
      <w:r w:rsidRPr="00795F17">
        <w:t>PMŚ stanowi podstawę informacji o aktualnym stanie wód. Najaktualniejsze dane monitoringowe są</w:t>
      </w:r>
      <w:r w:rsidR="00F73DFF" w:rsidRPr="00795F17">
        <w:t> </w:t>
      </w:r>
      <w:r w:rsidRPr="00795F17">
        <w:t>prezentowane przez GIOŚ w formie ogólnodostępnych raportów. Wszelkie analizy opisujące</w:t>
      </w:r>
      <w:r w:rsidR="00286FB8" w:rsidRPr="00795F17">
        <w:t xml:space="preserve"> </w:t>
      </w:r>
      <w:r w:rsidRPr="00795F17">
        <w:t>stanu wód powinny</w:t>
      </w:r>
      <w:r w:rsidR="00286FB8" w:rsidRPr="00795F17">
        <w:t xml:space="preserve"> </w:t>
      </w:r>
      <w:r w:rsidRPr="00795F17">
        <w:t>uwzględnić</w:t>
      </w:r>
      <w:r w:rsidR="00286FB8" w:rsidRPr="00795F17">
        <w:t xml:space="preserve"> </w:t>
      </w:r>
      <w:r w:rsidRPr="00795F17">
        <w:t>najaktualniejsze</w:t>
      </w:r>
      <w:r w:rsidR="00286FB8" w:rsidRPr="00795F17">
        <w:t xml:space="preserve"> </w:t>
      </w:r>
      <w:r w:rsidRPr="00795F17">
        <w:t>dostępne</w:t>
      </w:r>
      <w:r w:rsidR="00286FB8" w:rsidRPr="00795F17">
        <w:t xml:space="preserve"> </w:t>
      </w:r>
      <w:r w:rsidRPr="00795F17">
        <w:t>dane</w:t>
      </w:r>
      <w:r w:rsidR="00286FB8" w:rsidRPr="00795F17">
        <w:t xml:space="preserve"> </w:t>
      </w:r>
      <w:r w:rsidRPr="00795F17">
        <w:t xml:space="preserve">w czasie całego 6-letniego cyklu planistycznego. </w:t>
      </w:r>
    </w:p>
    <w:p w14:paraId="2039FCB6" w14:textId="2A50E630" w:rsidR="00462DD4" w:rsidRPr="00795F17" w:rsidRDefault="00462DD4" w:rsidP="0044393D">
      <w:r w:rsidRPr="00795F17">
        <w:t xml:space="preserve">Prezentowane w planie gospodarowania wodami informacje o stanie </w:t>
      </w:r>
      <w:r w:rsidR="00DF005E">
        <w:t>JCWP</w:t>
      </w:r>
      <w:r w:rsidRPr="00795F17">
        <w:t xml:space="preserve"> zostały przygotowane na</w:t>
      </w:r>
      <w:r w:rsidR="00761DD9" w:rsidRPr="00795F17">
        <w:t> </w:t>
      </w:r>
      <w:r w:rsidRPr="00795F17">
        <w:t>podstawie danych z okresu 2014</w:t>
      </w:r>
      <w:r w:rsidR="00D40E78">
        <w:t>–</w:t>
      </w:r>
      <w:r w:rsidRPr="00795F17">
        <w:t xml:space="preserve">2019. Z uwagi na zmieniony sposób klasyfikacji </w:t>
      </w:r>
      <w:r w:rsidR="003B5152" w:rsidRPr="00795F17">
        <w:t xml:space="preserve">od 2022 roku </w:t>
      </w:r>
      <w:r w:rsidRPr="00795F17">
        <w:t xml:space="preserve">(zgodnie z </w:t>
      </w:r>
      <w:r w:rsidR="00DF005E">
        <w:t>r.kl.jcwp</w:t>
      </w:r>
      <w:r w:rsidRPr="00795F17">
        <w:t>) prezentowane w IIaPGW dane dot</w:t>
      </w:r>
      <w:r w:rsidR="00B75F4F">
        <w:t xml:space="preserve">yczące </w:t>
      </w:r>
      <w:r w:rsidRPr="00795F17">
        <w:t>oceny stanu przygotowane zostały w</w:t>
      </w:r>
      <w:r w:rsidR="00F84F07">
        <w:t> </w:t>
      </w:r>
      <w:r w:rsidRPr="00795F17">
        <w:t>obydwu sposobach klasyfikacji</w:t>
      </w:r>
      <w:r w:rsidR="00761DD9" w:rsidRPr="00795F17">
        <w:t>,</w:t>
      </w:r>
      <w:r w:rsidRPr="00795F17">
        <w:t xml:space="preserve"> tj.:</w:t>
      </w:r>
    </w:p>
    <w:p w14:paraId="6BA099F9" w14:textId="77F80E9A" w:rsidR="00462DD4" w:rsidRPr="00795F17" w:rsidRDefault="00462DD4" w:rsidP="005635FD">
      <w:pPr>
        <w:pStyle w:val="Listapunktowana2"/>
        <w:numPr>
          <w:ilvl w:val="0"/>
          <w:numId w:val="108"/>
        </w:numPr>
      </w:pPr>
      <w:r w:rsidRPr="00795F17">
        <w:t xml:space="preserve">ocena stanu zgodnie z klasyfikacją </w:t>
      </w:r>
      <w:r w:rsidR="00DF005E">
        <w:t>r.kl.jcwp</w:t>
      </w:r>
      <w:r w:rsidRPr="00795F17">
        <w:t xml:space="preserve"> obowiązującą do roku 2022 (ocena na podstawie oceny stanu GIOŚ 2014</w:t>
      </w:r>
      <w:r w:rsidR="00D40E78">
        <w:t>–</w:t>
      </w:r>
      <w:r w:rsidRPr="00795F17">
        <w:t>2019 przeniesiona na nowy układ planistyczny);</w:t>
      </w:r>
    </w:p>
    <w:p w14:paraId="0B3FC6B8" w14:textId="1B51C408" w:rsidR="00462DD4" w:rsidRPr="00795F17" w:rsidRDefault="00462DD4" w:rsidP="005635FD">
      <w:pPr>
        <w:pStyle w:val="Listapunktowana2"/>
        <w:numPr>
          <w:ilvl w:val="0"/>
          <w:numId w:val="108"/>
        </w:numPr>
      </w:pPr>
      <w:r w:rsidRPr="00795F17">
        <w:t xml:space="preserve">ocena stanu zgodnie z klasyfikacją </w:t>
      </w:r>
      <w:r w:rsidR="00DF005E">
        <w:t>r.kl.jcwp</w:t>
      </w:r>
      <w:r w:rsidRPr="00795F17">
        <w:t xml:space="preserve"> obowiązującą od roku 2022 (ocena na podstawie danych monitoringowych PMŚ przeliczona zgodnie z </w:t>
      </w:r>
      <w:r w:rsidR="00DF005E">
        <w:t>r.kl.jcwp</w:t>
      </w:r>
      <w:r w:rsidRPr="00795F17">
        <w:t xml:space="preserve">, dla </w:t>
      </w:r>
      <w:r w:rsidR="00DF005E">
        <w:t>JCWP</w:t>
      </w:r>
      <w:r w:rsidRPr="00795F17">
        <w:t xml:space="preserve"> niemonitorowanych </w:t>
      </w:r>
      <w:r w:rsidR="00D40E78">
        <w:t>–</w:t>
      </w:r>
      <w:r w:rsidRPr="00795F17">
        <w:t xml:space="preserve"> ocena wykonana metodą ekspercką oraz dla SZCW i SCW przy uwzględnieniu wartości granicznych przestawionych w załączniku nr </w:t>
      </w:r>
      <w:r w:rsidR="00AE27DD">
        <w:t>4</w:t>
      </w:r>
      <w:r w:rsidRPr="00795F17">
        <w:t xml:space="preserve"> </w:t>
      </w:r>
      <w:r w:rsidR="003B61C1" w:rsidRPr="00795F17">
        <w:t>(W</w:t>
      </w:r>
      <w:r w:rsidR="00C47A2B" w:rsidRPr="00795F17">
        <w:t>artości graniczne SCW, SZCW</w:t>
      </w:r>
      <w:r w:rsidR="003978FF" w:rsidRPr="00795F17">
        <w:t>)</w:t>
      </w:r>
      <w:r w:rsidRPr="00795F17">
        <w:t xml:space="preserve"> będących podstawą klasyfikacji potencjału ekologicznego).</w:t>
      </w:r>
    </w:p>
    <w:p w14:paraId="28B72BA1" w14:textId="2D078853" w:rsidR="00462DD4" w:rsidRPr="00795F17" w:rsidRDefault="00462DD4" w:rsidP="0044393D">
      <w:pPr>
        <w:pStyle w:val="Nagwek4"/>
      </w:pPr>
      <w:r w:rsidRPr="00795F17">
        <w:t xml:space="preserve">Podsumowanie oceny stanu </w:t>
      </w:r>
      <w:r w:rsidR="00DF005E">
        <w:t>JCWP</w:t>
      </w:r>
      <w:r w:rsidRPr="00795F17">
        <w:t xml:space="preserve"> na obszarze dorzecza Odry dla cyklu planistycznego </w:t>
      </w:r>
      <w:r w:rsidR="006C49A9" w:rsidRPr="00795F17">
        <w:br/>
      </w:r>
      <w:r w:rsidRPr="00795F17">
        <w:t>2016</w:t>
      </w:r>
      <w:r w:rsidR="00D40E78">
        <w:t>–</w:t>
      </w:r>
      <w:r w:rsidRPr="00795F17">
        <w:t>2021</w:t>
      </w:r>
    </w:p>
    <w:p w14:paraId="16118E77" w14:textId="693FDFD8" w:rsidR="00462DD4" w:rsidRPr="00795F17" w:rsidRDefault="00462DD4" w:rsidP="0044393D">
      <w:r w:rsidRPr="00795F17">
        <w:t xml:space="preserve">Podsumowanie oceny stanu </w:t>
      </w:r>
      <w:r w:rsidR="00DF005E">
        <w:t>JCWP</w:t>
      </w:r>
      <w:r w:rsidRPr="00795F17">
        <w:t xml:space="preserve"> na obszarze dorzecza Odry, dokonanej na podstawie oceny stanu 2014</w:t>
      </w:r>
      <w:r w:rsidR="00D40E78">
        <w:t>–</w:t>
      </w:r>
      <w:r w:rsidRPr="00795F17">
        <w:t>2019 (GIOŚ), wyników monitoringu oraz wartości pozyskanych metodą ekspercką uzyskanych w</w:t>
      </w:r>
      <w:r w:rsidR="006C49A9" w:rsidRPr="00795F17">
        <w:t> </w:t>
      </w:r>
      <w:r w:rsidRPr="00795F17">
        <w:t>latach 2014</w:t>
      </w:r>
      <w:r w:rsidR="00D40E78">
        <w:t>–</w:t>
      </w:r>
      <w:r w:rsidRPr="00795F17">
        <w:t xml:space="preserve">2019, przedstawiono poniżej w podziale na kategorie </w:t>
      </w:r>
      <w:r w:rsidR="00DF005E">
        <w:t>JCWP</w:t>
      </w:r>
      <w:r w:rsidRPr="00795F17">
        <w:t>.</w:t>
      </w:r>
    </w:p>
    <w:p w14:paraId="3A932FF1" w14:textId="60AFA88E" w:rsidR="00462DD4" w:rsidRPr="00795F17" w:rsidRDefault="00DF005E" w:rsidP="0044393D">
      <w:pPr>
        <w:pStyle w:val="Nagwek5"/>
      </w:pPr>
      <w:r>
        <w:t>JCWP</w:t>
      </w:r>
      <w:r w:rsidR="00462DD4" w:rsidRPr="00795F17">
        <w:t xml:space="preserve"> RW</w:t>
      </w:r>
    </w:p>
    <w:p w14:paraId="3BA2F9AE" w14:textId="79962DB7" w:rsidR="00462DD4" w:rsidRPr="00795F17" w:rsidRDefault="00462DD4" w:rsidP="0044393D">
      <w:bookmarkStart w:id="163" w:name="_Hlk66011487"/>
      <w:r w:rsidRPr="00795F17">
        <w:t>Na podstawie oceny stanu 2014</w:t>
      </w:r>
      <w:r w:rsidR="00D40E78">
        <w:t>–</w:t>
      </w:r>
      <w:r w:rsidRPr="00795F17">
        <w:t xml:space="preserve">2019 (GIOŚ) dla </w:t>
      </w:r>
      <w:r w:rsidR="00DF005E">
        <w:t>JCWP</w:t>
      </w:r>
      <w:r w:rsidRPr="00795F17">
        <w:t xml:space="preserve"> RW w układzie planistycznym obowiązującym dla cyklu planistycznego aPGW (2016</w:t>
      </w:r>
      <w:r w:rsidR="00D40E78">
        <w:t>–</w:t>
      </w:r>
      <w:r w:rsidRPr="00795F17">
        <w:t>2021) oceny stanu dokonano dla 1</w:t>
      </w:r>
      <w:r w:rsidR="00761DD9" w:rsidRPr="00795F17">
        <w:t> </w:t>
      </w:r>
      <w:r w:rsidRPr="00795F17">
        <w:t xml:space="preserve">718 </w:t>
      </w:r>
      <w:r w:rsidR="00DF005E">
        <w:t>JCWP</w:t>
      </w:r>
      <w:r w:rsidRPr="00795F17">
        <w:t xml:space="preserve"> RW (99,9% ogólnej liczby </w:t>
      </w:r>
      <w:r w:rsidR="00DF005E">
        <w:t>JCWP</w:t>
      </w:r>
      <w:r w:rsidRPr="00795F17">
        <w:t xml:space="preserve"> RW), w tym dla 570 </w:t>
      </w:r>
      <w:r w:rsidR="00DF005E">
        <w:t>JCWP</w:t>
      </w:r>
      <w:r w:rsidRPr="00795F17">
        <w:t xml:space="preserve"> RW była to ocena z przeniesienia</w:t>
      </w:r>
      <w:r w:rsidRPr="00795F17">
        <w:rPr>
          <w:rStyle w:val="Odwoanieprzypisudolnego"/>
        </w:rPr>
        <w:footnoteReference w:id="31"/>
      </w:r>
      <w:r w:rsidRPr="00795F17">
        <w:t xml:space="preserve">. </w:t>
      </w:r>
    </w:p>
    <w:p w14:paraId="76516CD6" w14:textId="5F7B1F6B" w:rsidR="00462DD4" w:rsidRPr="00795F17" w:rsidRDefault="00462DD4" w:rsidP="0044393D">
      <w:bookmarkStart w:id="164" w:name="_Hlk66011390"/>
      <w:r w:rsidRPr="00795F17">
        <w:t xml:space="preserve">Z uwagi na dokonane zmiany granic </w:t>
      </w:r>
      <w:r w:rsidR="00DF005E">
        <w:t>JCWP</w:t>
      </w:r>
      <w:r w:rsidRPr="00795F17">
        <w:t xml:space="preserve">, prezentowane poniżej dane dotyczące aktualnie obowiązującego układu jednostek planistycznych, w przypadku wskazywania liczby </w:t>
      </w:r>
      <w:r w:rsidR="00DF005E">
        <w:t>JCWP</w:t>
      </w:r>
      <w:r w:rsidRPr="00795F17">
        <w:t xml:space="preserve"> bez oceny stanu, interpretowane powinny być, jako </w:t>
      </w:r>
      <w:r w:rsidR="00DF005E">
        <w:t>JCWP</w:t>
      </w:r>
      <w:r w:rsidRPr="00795F17">
        <w:t xml:space="preserve"> bez oceny stanu przeniesionej na nowy układ planistyczny.</w:t>
      </w:r>
    </w:p>
    <w:bookmarkEnd w:id="163"/>
    <w:bookmarkEnd w:id="164"/>
    <w:p w14:paraId="2CC94BC6" w14:textId="73E10646" w:rsidR="00462DD4" w:rsidRPr="00795F17" w:rsidRDefault="00462DD4" w:rsidP="0044393D">
      <w:r w:rsidRPr="00795F17">
        <w:t xml:space="preserve">Informacje o aktualnej ocenie stanu danej </w:t>
      </w:r>
      <w:r w:rsidR="00DF005E">
        <w:t>JCWP</w:t>
      </w:r>
      <w:r w:rsidRPr="00795F17">
        <w:t xml:space="preserve"> zaprezentowane są w załączniku nr 1 (Zestawienie główne), zobrazowania mapowe ocen stanu przedstawione zostały w załącznik</w:t>
      </w:r>
      <w:r w:rsidR="00F507C9" w:rsidRPr="00795F17">
        <w:t>u</w:t>
      </w:r>
      <w:r w:rsidRPr="00795F17">
        <w:t xml:space="preserve"> graficzny</w:t>
      </w:r>
      <w:r w:rsidR="00F507C9" w:rsidRPr="00795F17">
        <w:t>m</w:t>
      </w:r>
      <w:r w:rsidR="00B147B0" w:rsidRPr="00795F17">
        <w:t xml:space="preserve"> </w:t>
      </w:r>
      <w:r w:rsidR="00F834CF">
        <w:t xml:space="preserve">nr </w:t>
      </w:r>
      <w:r w:rsidR="007253A9">
        <w:t>16</w:t>
      </w:r>
      <w:r w:rsidRPr="00795F17">
        <w:t>.</w:t>
      </w:r>
    </w:p>
    <w:p w14:paraId="19A894D9" w14:textId="0D69654F" w:rsidR="0078755C" w:rsidRPr="00795F17" w:rsidRDefault="00462DD4" w:rsidP="0044393D">
      <w:r w:rsidRPr="00795F17">
        <w:t xml:space="preserve">Podsumowanie liczby </w:t>
      </w:r>
      <w:r w:rsidR="00DF005E">
        <w:t>JCWP</w:t>
      </w:r>
      <w:r w:rsidRPr="00795F17">
        <w:t xml:space="preserve"> RW z uzyskaną oceną stanu w odniesieniu do poszczególnych regionów wodnych obszaru dorzecza Odry prezentuje poniższa tabela</w:t>
      </w:r>
      <w:r w:rsidR="00B14FD9" w:rsidRPr="00795F17">
        <w:t xml:space="preserve"> 5-13</w:t>
      </w:r>
      <w:r w:rsidRPr="00795F17">
        <w:t>. W tabeli uwzględnione zostały zarówno wyniki oceny stanu 2014</w:t>
      </w:r>
      <w:r w:rsidR="001F5AA9">
        <w:t>–</w:t>
      </w:r>
      <w:r w:rsidRPr="00795F17">
        <w:t>2019 w</w:t>
      </w:r>
      <w:r w:rsidR="00FE1344">
        <w:t>edłu</w:t>
      </w:r>
      <w:r w:rsidRPr="00795F17">
        <w:t xml:space="preserve">g klasyfikacji obowiązującej do roku 2022, jak również poglądowo zmiany w ocenie stanu przy zastosowaniu sposobu klasyfikacji </w:t>
      </w:r>
      <w:r w:rsidR="00442820">
        <w:t>według</w:t>
      </w:r>
      <w:r w:rsidRPr="00795F17">
        <w:t xml:space="preserve"> </w:t>
      </w:r>
      <w:r w:rsidR="00DF005E">
        <w:t>r.kl.jcwp</w:t>
      </w:r>
      <w:r w:rsidRPr="00795F17">
        <w:t xml:space="preserve"> obowiązującego od roku 2022 oraz wartości PE dla SZCW przedstawionych w zał</w:t>
      </w:r>
      <w:r w:rsidR="00F03D23" w:rsidRPr="00795F17">
        <w:t>ączniku</w:t>
      </w:r>
      <w:r w:rsidRPr="00795F17">
        <w:t xml:space="preserve"> </w:t>
      </w:r>
      <w:r w:rsidR="00F834CF">
        <w:t xml:space="preserve">nr </w:t>
      </w:r>
      <w:r w:rsidR="00AE27DD">
        <w:t>4</w:t>
      </w:r>
      <w:r w:rsidRPr="00795F17">
        <w:t xml:space="preserve"> </w:t>
      </w:r>
      <w:r w:rsidR="00F03D23" w:rsidRPr="00795F17">
        <w:t>(Wartości graniczne SCW i</w:t>
      </w:r>
      <w:r w:rsidR="00966FAF" w:rsidRPr="00795F17">
        <w:t> </w:t>
      </w:r>
      <w:r w:rsidR="00F03D23" w:rsidRPr="00795F17">
        <w:t xml:space="preserve">SZCW) </w:t>
      </w:r>
      <w:r w:rsidR="00966FAF" w:rsidRPr="00795F17">
        <w:t xml:space="preserve">do </w:t>
      </w:r>
      <w:r w:rsidRPr="00795F17">
        <w:t>IIaPGW.</w:t>
      </w:r>
      <w:r w:rsidR="00283950" w:rsidRPr="00795F17">
        <w:t xml:space="preserve"> </w:t>
      </w:r>
    </w:p>
    <w:p w14:paraId="416CB27D" w14:textId="26EDBAAD" w:rsidR="00462DD4" w:rsidRPr="00795F17" w:rsidRDefault="00A24A37" w:rsidP="0044393D">
      <w:r w:rsidRPr="00795F17">
        <w:t xml:space="preserve">Udział procentowy </w:t>
      </w:r>
      <w:r w:rsidR="00DF005E">
        <w:t>JCWP</w:t>
      </w:r>
      <w:r w:rsidRPr="00795F17">
        <w:t xml:space="preserve"> bez wykonanej oceny w</w:t>
      </w:r>
      <w:r w:rsidR="00FE1344">
        <w:t>edłu</w:t>
      </w:r>
      <w:r w:rsidRPr="00795F17">
        <w:t>g obydwu klasyfikacji przedstawiają wykresy 5-3 i</w:t>
      </w:r>
      <w:r w:rsidR="00FE1344">
        <w:t> </w:t>
      </w:r>
      <w:r w:rsidRPr="00795F17">
        <w:t>5-4.</w:t>
      </w:r>
    </w:p>
    <w:p w14:paraId="02082ACC" w14:textId="39D00631" w:rsidR="00462DD4" w:rsidRPr="00795F17" w:rsidRDefault="00462DD4" w:rsidP="004D7705">
      <w:pPr>
        <w:pStyle w:val="Tabela"/>
      </w:pPr>
      <w:bookmarkStart w:id="165" w:name="_Toc66341868"/>
      <w:bookmarkStart w:id="166" w:name="_Toc105512777"/>
      <w:r w:rsidRPr="00795F17">
        <w:t xml:space="preserve">Tabela </w:t>
      </w:r>
      <w:fldSimple w:instr=" STYLEREF 1 \s ">
        <w:r w:rsidR="001F774D">
          <w:rPr>
            <w:noProof/>
          </w:rPr>
          <w:t>5</w:t>
        </w:r>
      </w:fldSimple>
      <w:r w:rsidR="00BB3B21" w:rsidRPr="00795F17">
        <w:noBreakHyphen/>
      </w:r>
      <w:fldSimple w:instr=" SEQ Tabela \* ARABIC \s 1 ">
        <w:r w:rsidR="001F774D">
          <w:rPr>
            <w:noProof/>
          </w:rPr>
          <w:t>13</w:t>
        </w:r>
      </w:fldSimple>
      <w:r w:rsidR="00BA11D4">
        <w:rPr>
          <w:noProof/>
        </w:rPr>
        <w:t>.</w:t>
      </w:r>
      <w:r w:rsidRPr="00795F17">
        <w:tab/>
        <w:t xml:space="preserve">Liczba </w:t>
      </w:r>
      <w:r w:rsidR="00DF005E">
        <w:t>JCWP</w:t>
      </w:r>
      <w:r w:rsidRPr="00795F17">
        <w:t xml:space="preserve"> RW zagrożonych nieosiągnięciem celów środowiskowych wraz ze wskazaniem liczby </w:t>
      </w:r>
      <w:r w:rsidR="00DF005E">
        <w:t>JCWP</w:t>
      </w:r>
      <w:r w:rsidRPr="00795F17">
        <w:t xml:space="preserve"> RW z określoną oceną stanu w podziale na regiony wodne obszaru dorzecza Odry</w:t>
      </w:r>
      <w:bookmarkEnd w:id="165"/>
      <w:bookmarkEnd w:id="166"/>
    </w:p>
    <w:tbl>
      <w:tblPr>
        <w:tblW w:w="5000" w:type="pct"/>
        <w:tblLayout w:type="fixed"/>
        <w:tblCellMar>
          <w:left w:w="70" w:type="dxa"/>
          <w:right w:w="70" w:type="dxa"/>
        </w:tblCellMar>
        <w:tblLook w:val="04A0" w:firstRow="1" w:lastRow="0" w:firstColumn="1" w:lastColumn="0" w:noHBand="0" w:noVBand="1"/>
      </w:tblPr>
      <w:tblGrid>
        <w:gridCol w:w="1602"/>
        <w:gridCol w:w="703"/>
        <w:gridCol w:w="1266"/>
        <w:gridCol w:w="1266"/>
        <w:gridCol w:w="1056"/>
        <w:gridCol w:w="1057"/>
        <w:gridCol w:w="1128"/>
        <w:gridCol w:w="984"/>
      </w:tblGrid>
      <w:tr w:rsidR="00462DD4" w:rsidRPr="00795F17" w14:paraId="459365D2" w14:textId="77777777" w:rsidTr="00AA0761">
        <w:trPr>
          <w:trHeight w:val="340"/>
          <w:tblHeader/>
        </w:trPr>
        <w:tc>
          <w:tcPr>
            <w:tcW w:w="1602"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E5E8F3B" w14:textId="77777777" w:rsidR="00462DD4" w:rsidRPr="00795F17" w:rsidRDefault="00462DD4" w:rsidP="0044393D">
            <w:pPr>
              <w:pStyle w:val="Teksttabelinaglowek"/>
            </w:pPr>
            <w:r w:rsidRPr="00795F17">
              <w:t>Region wodny obszaru dorzecza Odry</w:t>
            </w:r>
          </w:p>
        </w:tc>
        <w:tc>
          <w:tcPr>
            <w:tcW w:w="703"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CA989F9" w14:textId="12C5886F" w:rsidR="00462DD4" w:rsidRPr="00795F17" w:rsidRDefault="00462DD4" w:rsidP="0044393D">
            <w:pPr>
              <w:pStyle w:val="Teksttabelinaglowek"/>
              <w:rPr>
                <w:rFonts w:eastAsia="Times New Roman"/>
                <w:color w:val="000000"/>
              </w:rPr>
            </w:pPr>
            <w:r w:rsidRPr="00795F17">
              <w:t xml:space="preserve">Liczba </w:t>
            </w:r>
            <w:r w:rsidR="00DF005E">
              <w:t>JCWP</w:t>
            </w:r>
            <w:r w:rsidRPr="00795F17">
              <w:t xml:space="preserve"> RW</w:t>
            </w:r>
          </w:p>
        </w:tc>
        <w:tc>
          <w:tcPr>
            <w:tcW w:w="126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1F077F" w14:textId="592DBBF0" w:rsidR="00462DD4" w:rsidRPr="00795F17" w:rsidRDefault="00462DD4" w:rsidP="0044393D">
            <w:pPr>
              <w:pStyle w:val="Teksttabelinaglowek"/>
              <w:rPr>
                <w:rFonts w:eastAsia="Times New Roman"/>
                <w:color w:val="000000"/>
                <w:vertAlign w:val="superscript"/>
              </w:rPr>
            </w:pPr>
            <w:r w:rsidRPr="00795F17">
              <w:t>Liczba</w:t>
            </w:r>
            <w:r w:rsidR="00FE1344">
              <w:br/>
            </w:r>
            <w:r w:rsidR="00DF005E">
              <w:t>JCWP</w:t>
            </w:r>
            <w:r w:rsidRPr="00795F17">
              <w:t xml:space="preserve"> RW zagrożonych</w:t>
            </w:r>
            <w:r w:rsidRPr="00795F17">
              <w:rPr>
                <w:rFonts w:eastAsia="Times New Roman"/>
                <w:color w:val="000000"/>
                <w:vertAlign w:val="superscript"/>
              </w:rPr>
              <w:t>1</w:t>
            </w:r>
          </w:p>
        </w:tc>
        <w:tc>
          <w:tcPr>
            <w:tcW w:w="126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575521" w14:textId="0975CAD2" w:rsidR="00462DD4" w:rsidRPr="00795F17" w:rsidRDefault="00462DD4" w:rsidP="0044393D">
            <w:pPr>
              <w:pStyle w:val="Teksttabelinaglowek"/>
              <w:rPr>
                <w:rFonts w:eastAsia="Times New Roman"/>
                <w:color w:val="000000"/>
                <w:vertAlign w:val="superscript"/>
              </w:rPr>
            </w:pPr>
            <w:r w:rsidRPr="00795F17">
              <w:t>Udział</w:t>
            </w:r>
            <w:r w:rsidR="00055982" w:rsidRPr="00795F17">
              <w:t xml:space="preserve"> </w:t>
            </w:r>
            <w:r w:rsidR="00DF005E">
              <w:t>JCWP</w:t>
            </w:r>
            <w:r w:rsidRPr="00795F17">
              <w:t xml:space="preserve"> RW zagrożonych</w:t>
            </w:r>
            <w:r w:rsidRPr="00795F17">
              <w:rPr>
                <w:rFonts w:eastAsia="Times New Roman"/>
                <w:color w:val="000000"/>
                <w:vertAlign w:val="superscript"/>
              </w:rPr>
              <w:t>1</w:t>
            </w:r>
          </w:p>
          <w:p w14:paraId="146F7E83" w14:textId="284F39C3" w:rsidR="00865390" w:rsidRPr="00795F17" w:rsidRDefault="00EA4FF5" w:rsidP="0044393D">
            <w:pPr>
              <w:pStyle w:val="Teksttabelinaglowek"/>
            </w:pPr>
            <w:r w:rsidRPr="00795F17">
              <w:t>(%)</w:t>
            </w:r>
          </w:p>
        </w:tc>
        <w:tc>
          <w:tcPr>
            <w:tcW w:w="2113"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4F43EA34" w14:textId="4C04256A" w:rsidR="002508E0" w:rsidRDefault="00462DD4" w:rsidP="0044393D">
            <w:pPr>
              <w:pStyle w:val="Teksttabelinaglowek"/>
              <w:rPr>
                <w:rFonts w:eastAsia="Times New Roman"/>
                <w:color w:val="000000"/>
              </w:rPr>
            </w:pPr>
            <w:r w:rsidRPr="00795F17">
              <w:t xml:space="preserve">Liczba </w:t>
            </w:r>
            <w:r w:rsidR="00DF005E">
              <w:t>JCWP</w:t>
            </w:r>
            <w:r w:rsidRPr="00795F17">
              <w:t xml:space="preserve"> RW z oceną stanu</w:t>
            </w:r>
            <w:r w:rsidRPr="00795F17">
              <w:rPr>
                <w:rFonts w:eastAsia="Times New Roman"/>
                <w:color w:val="000000"/>
              </w:rPr>
              <w:t xml:space="preserve"> </w:t>
            </w:r>
            <w:r w:rsidR="00DF005E">
              <w:rPr>
                <w:rFonts w:eastAsia="Times New Roman"/>
                <w:color w:val="000000"/>
              </w:rPr>
              <w:t>r.kl.jcwp</w:t>
            </w:r>
            <w:r w:rsidRPr="00795F17">
              <w:rPr>
                <w:rFonts w:eastAsia="Times New Roman"/>
                <w:color w:val="000000"/>
              </w:rPr>
              <w:t xml:space="preserve"> </w:t>
            </w:r>
          </w:p>
          <w:p w14:paraId="1455264F" w14:textId="4DFF1E8D" w:rsidR="00462DD4" w:rsidRPr="00795F17" w:rsidRDefault="00462DD4" w:rsidP="0044393D">
            <w:pPr>
              <w:pStyle w:val="Teksttabelinaglowek"/>
              <w:rPr>
                <w:rFonts w:eastAsia="Times New Roman"/>
                <w:color w:val="000000"/>
              </w:rPr>
            </w:pPr>
            <w:r w:rsidRPr="00795F17">
              <w:rPr>
                <w:rFonts w:eastAsia="Times New Roman"/>
                <w:color w:val="000000"/>
              </w:rPr>
              <w:t>do 2022</w:t>
            </w:r>
            <w:r w:rsidR="002508E0">
              <w:rPr>
                <w:rFonts w:eastAsia="Times New Roman"/>
                <w:color w:val="000000"/>
              </w:rPr>
              <w:t xml:space="preserve"> r.</w:t>
            </w:r>
          </w:p>
        </w:tc>
        <w:tc>
          <w:tcPr>
            <w:tcW w:w="2112"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10603D2B" w14:textId="106693A1" w:rsidR="002508E0" w:rsidRDefault="00462DD4" w:rsidP="0044393D">
            <w:pPr>
              <w:pStyle w:val="Teksttabelinaglowek"/>
              <w:rPr>
                <w:rFonts w:eastAsia="Times New Roman"/>
                <w:color w:val="000000"/>
              </w:rPr>
            </w:pPr>
            <w:r w:rsidRPr="00795F17">
              <w:t xml:space="preserve">Liczba </w:t>
            </w:r>
            <w:r w:rsidR="00DF005E">
              <w:t>JCWP</w:t>
            </w:r>
            <w:r w:rsidRPr="00795F17">
              <w:t xml:space="preserve"> RW z oceną stanu</w:t>
            </w:r>
            <w:r w:rsidRPr="00795F17">
              <w:rPr>
                <w:rFonts w:eastAsia="Times New Roman"/>
                <w:color w:val="000000"/>
              </w:rPr>
              <w:t xml:space="preserve"> </w:t>
            </w:r>
            <w:r w:rsidR="00DF005E">
              <w:rPr>
                <w:rFonts w:eastAsia="Times New Roman"/>
                <w:color w:val="000000"/>
              </w:rPr>
              <w:t>r.kl.jcwp</w:t>
            </w:r>
            <w:r w:rsidRPr="00795F17">
              <w:rPr>
                <w:rFonts w:eastAsia="Times New Roman"/>
                <w:color w:val="000000"/>
              </w:rPr>
              <w:t xml:space="preserve"> </w:t>
            </w:r>
          </w:p>
          <w:p w14:paraId="21AB5973" w14:textId="78F5FFB8" w:rsidR="00462DD4" w:rsidRPr="00795F17" w:rsidRDefault="00462DD4" w:rsidP="0044393D">
            <w:pPr>
              <w:pStyle w:val="Teksttabelinaglowek"/>
              <w:rPr>
                <w:rFonts w:eastAsia="Times New Roman"/>
                <w:color w:val="000000"/>
              </w:rPr>
            </w:pPr>
            <w:r w:rsidRPr="00795F17">
              <w:rPr>
                <w:rFonts w:eastAsia="Times New Roman"/>
                <w:color w:val="000000"/>
              </w:rPr>
              <w:t>od 2022</w:t>
            </w:r>
            <w:r w:rsidR="002508E0">
              <w:rPr>
                <w:rFonts w:eastAsia="Times New Roman"/>
                <w:color w:val="000000"/>
              </w:rPr>
              <w:t xml:space="preserve"> r.</w:t>
            </w:r>
          </w:p>
        </w:tc>
      </w:tr>
      <w:tr w:rsidR="00962FC1" w:rsidRPr="00795F17" w14:paraId="70BE1565" w14:textId="77777777" w:rsidTr="00AA0761">
        <w:trPr>
          <w:trHeight w:val="340"/>
          <w:tblHeader/>
        </w:trPr>
        <w:tc>
          <w:tcPr>
            <w:tcW w:w="1602"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B60959" w14:textId="77777777" w:rsidR="00462DD4" w:rsidRPr="00795F17" w:rsidRDefault="00462DD4" w:rsidP="0044393D">
            <w:pPr>
              <w:pStyle w:val="Teksttabelinaglowek"/>
            </w:pPr>
          </w:p>
        </w:tc>
        <w:tc>
          <w:tcPr>
            <w:tcW w:w="703"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916FED" w14:textId="77777777" w:rsidR="00462DD4" w:rsidRPr="00795F17" w:rsidRDefault="00462DD4" w:rsidP="0044393D">
            <w:pPr>
              <w:pStyle w:val="Teksttabelinaglowek"/>
            </w:pPr>
          </w:p>
        </w:tc>
        <w:tc>
          <w:tcPr>
            <w:tcW w:w="126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27FB3B5" w14:textId="77777777" w:rsidR="00462DD4" w:rsidRPr="00795F17" w:rsidRDefault="00462DD4" w:rsidP="0044393D">
            <w:pPr>
              <w:pStyle w:val="Teksttabelinaglowek"/>
            </w:pPr>
          </w:p>
        </w:tc>
        <w:tc>
          <w:tcPr>
            <w:tcW w:w="126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1E1414" w14:textId="77777777" w:rsidR="00462DD4" w:rsidRPr="00795F17" w:rsidRDefault="00462DD4" w:rsidP="0044393D">
            <w:pPr>
              <w:pStyle w:val="Teksttabelinaglowek"/>
            </w:pPr>
          </w:p>
        </w:tc>
        <w:tc>
          <w:tcPr>
            <w:tcW w:w="1056"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04F4F745" w14:textId="77777777" w:rsidR="00462DD4" w:rsidRPr="00795F17" w:rsidRDefault="00462DD4" w:rsidP="0044393D">
            <w:pPr>
              <w:pStyle w:val="Teksttabelinaglowek"/>
              <w:rPr>
                <w:rFonts w:eastAsia="Times New Roman"/>
                <w:color w:val="000000"/>
              </w:rPr>
            </w:pPr>
            <w:r w:rsidRPr="00795F17">
              <w:t>ocena stanu (PMŚ)</w:t>
            </w:r>
            <w:r w:rsidRPr="00795F17">
              <w:rPr>
                <w:rFonts w:eastAsia="Times New Roman"/>
                <w:color w:val="000000"/>
                <w:vertAlign w:val="superscript"/>
              </w:rPr>
              <w:t>2</w:t>
            </w:r>
          </w:p>
        </w:tc>
        <w:tc>
          <w:tcPr>
            <w:tcW w:w="1057" w:type="dxa"/>
            <w:tcBorders>
              <w:top w:val="nil"/>
              <w:left w:val="single" w:sz="4" w:space="0" w:color="auto"/>
              <w:bottom w:val="single" w:sz="4" w:space="0" w:color="auto"/>
              <w:right w:val="single" w:sz="4" w:space="0" w:color="auto"/>
            </w:tcBorders>
            <w:shd w:val="clear" w:color="auto" w:fill="BFBFBF" w:themeFill="background1" w:themeFillShade="BF"/>
            <w:vAlign w:val="center"/>
          </w:tcPr>
          <w:p w14:paraId="4830F294" w14:textId="1C7C18B7" w:rsidR="00462DD4" w:rsidRPr="00795F17" w:rsidRDefault="00462DD4" w:rsidP="0044393D">
            <w:pPr>
              <w:pStyle w:val="Teksttabelinaglowek"/>
              <w:rPr>
                <w:vertAlign w:val="superscript"/>
              </w:rPr>
            </w:pPr>
            <w:r w:rsidRPr="00795F17">
              <w:t xml:space="preserve">udział </w:t>
            </w:r>
            <w:r w:rsidR="00DF005E">
              <w:t>JCWP</w:t>
            </w:r>
            <w:r w:rsidRPr="00795F17">
              <w:t xml:space="preserve"> bez oceny stanu</w:t>
            </w:r>
            <w:r w:rsidRPr="00795F17">
              <w:rPr>
                <w:vertAlign w:val="superscript"/>
              </w:rPr>
              <w:t>2</w:t>
            </w:r>
          </w:p>
          <w:p w14:paraId="44BEC7CA" w14:textId="602DE95C" w:rsidR="00865390" w:rsidRPr="00795F17" w:rsidRDefault="00EA4FF5" w:rsidP="0044393D">
            <w:pPr>
              <w:pStyle w:val="Teksttabelinaglowek"/>
            </w:pPr>
            <w:r w:rsidRPr="00795F17">
              <w:t>(%)</w:t>
            </w:r>
          </w:p>
        </w:tc>
        <w:tc>
          <w:tcPr>
            <w:tcW w:w="1128"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66037349" w14:textId="77777777" w:rsidR="00462DD4" w:rsidRPr="00795F17" w:rsidRDefault="00462DD4" w:rsidP="0044393D">
            <w:pPr>
              <w:pStyle w:val="Teksttabelinaglowek"/>
              <w:rPr>
                <w:rFonts w:eastAsia="Times New Roman"/>
                <w:color w:val="000000"/>
              </w:rPr>
            </w:pPr>
            <w:r w:rsidRPr="00795F17">
              <w:t>ocena stanu (PMŚ</w:t>
            </w:r>
            <w:r w:rsidRPr="00795F17">
              <w:rPr>
                <w:rFonts w:eastAsia="Times New Roman"/>
                <w:color w:val="000000"/>
              </w:rPr>
              <w:t>+EKS)</w:t>
            </w:r>
            <w:r w:rsidRPr="00795F17">
              <w:rPr>
                <w:rFonts w:eastAsia="Times New Roman"/>
                <w:color w:val="000000"/>
                <w:vertAlign w:val="superscript"/>
              </w:rPr>
              <w:t>3</w:t>
            </w:r>
          </w:p>
        </w:tc>
        <w:tc>
          <w:tcPr>
            <w:tcW w:w="984" w:type="dxa"/>
            <w:tcBorders>
              <w:top w:val="nil"/>
              <w:left w:val="nil"/>
              <w:bottom w:val="single" w:sz="4" w:space="0" w:color="auto"/>
              <w:right w:val="single" w:sz="4" w:space="0" w:color="auto"/>
            </w:tcBorders>
            <w:shd w:val="clear" w:color="auto" w:fill="BFBFBF" w:themeFill="background1" w:themeFillShade="BF"/>
            <w:vAlign w:val="center"/>
            <w:hideMark/>
          </w:tcPr>
          <w:p w14:paraId="46378052" w14:textId="55036FF2" w:rsidR="00462DD4" w:rsidRPr="00795F17" w:rsidRDefault="00462DD4" w:rsidP="0044393D">
            <w:pPr>
              <w:pStyle w:val="Teksttabelinaglowek"/>
              <w:rPr>
                <w:rFonts w:eastAsia="Times New Roman"/>
                <w:color w:val="000000"/>
                <w:vertAlign w:val="superscript"/>
              </w:rPr>
            </w:pPr>
            <w:r w:rsidRPr="00795F17">
              <w:t xml:space="preserve">udział </w:t>
            </w:r>
            <w:r w:rsidR="00DF005E">
              <w:t>JCWP</w:t>
            </w:r>
            <w:r w:rsidRPr="00795F17">
              <w:t xml:space="preserve"> bez oceny stanu</w:t>
            </w:r>
            <w:r w:rsidRPr="00795F17">
              <w:rPr>
                <w:rFonts w:eastAsia="Times New Roman"/>
                <w:color w:val="000000"/>
                <w:vertAlign w:val="superscript"/>
              </w:rPr>
              <w:t>3</w:t>
            </w:r>
          </w:p>
          <w:p w14:paraId="2D6AAEBB" w14:textId="28E4710F" w:rsidR="00865390" w:rsidRPr="00795F17" w:rsidRDefault="00EA4FF5" w:rsidP="0044393D">
            <w:pPr>
              <w:pStyle w:val="Teksttabelinaglowek"/>
            </w:pPr>
            <w:r w:rsidRPr="00795F17">
              <w:t>(%)</w:t>
            </w:r>
          </w:p>
        </w:tc>
      </w:tr>
      <w:tr w:rsidR="00962FC1" w:rsidRPr="00795F17" w14:paraId="0B5B011E" w14:textId="77777777" w:rsidTr="00AA0761">
        <w:trPr>
          <w:trHeight w:val="340"/>
        </w:trPr>
        <w:tc>
          <w:tcPr>
            <w:tcW w:w="1602" w:type="dxa"/>
            <w:tcBorders>
              <w:top w:val="nil"/>
              <w:left w:val="single" w:sz="4" w:space="0" w:color="auto"/>
              <w:bottom w:val="single" w:sz="4" w:space="0" w:color="auto"/>
              <w:right w:val="single" w:sz="4" w:space="0" w:color="auto"/>
            </w:tcBorders>
            <w:shd w:val="clear" w:color="auto" w:fill="auto"/>
            <w:noWrap/>
            <w:vAlign w:val="center"/>
            <w:hideMark/>
          </w:tcPr>
          <w:p w14:paraId="4747BF3F" w14:textId="77777777" w:rsidR="00462DD4" w:rsidRPr="00795F17" w:rsidRDefault="00462DD4" w:rsidP="00BD239C">
            <w:pPr>
              <w:pStyle w:val="Teksttabelilewy"/>
              <w:rPr>
                <w:rFonts w:eastAsia="Times New Roman"/>
                <w:color w:val="000000"/>
              </w:rPr>
            </w:pPr>
            <w:r w:rsidRPr="00795F17">
              <w:t>Górnej Odry</w:t>
            </w:r>
          </w:p>
        </w:tc>
        <w:tc>
          <w:tcPr>
            <w:tcW w:w="703" w:type="dxa"/>
            <w:tcBorders>
              <w:top w:val="nil"/>
              <w:left w:val="nil"/>
              <w:bottom w:val="single" w:sz="4" w:space="0" w:color="2F75B5"/>
              <w:right w:val="single" w:sz="4" w:space="0" w:color="2F75B5"/>
            </w:tcBorders>
            <w:shd w:val="clear" w:color="auto" w:fill="auto"/>
            <w:noWrap/>
            <w:vAlign w:val="center"/>
            <w:hideMark/>
          </w:tcPr>
          <w:p w14:paraId="2680C1F5" w14:textId="77777777" w:rsidR="00462DD4" w:rsidRPr="00795F17" w:rsidRDefault="00462DD4" w:rsidP="0065243A">
            <w:pPr>
              <w:pStyle w:val="Teksttabelisrodek"/>
              <w:rPr>
                <w:rFonts w:eastAsia="Times New Roman"/>
                <w:color w:val="000000"/>
              </w:rPr>
            </w:pPr>
            <w:r w:rsidRPr="00795F17">
              <w:t>142</w:t>
            </w:r>
          </w:p>
        </w:tc>
        <w:tc>
          <w:tcPr>
            <w:tcW w:w="1266" w:type="dxa"/>
            <w:tcBorders>
              <w:top w:val="nil"/>
              <w:left w:val="single" w:sz="4" w:space="0" w:color="auto"/>
              <w:bottom w:val="single" w:sz="4" w:space="0" w:color="auto"/>
              <w:right w:val="single" w:sz="4" w:space="0" w:color="auto"/>
            </w:tcBorders>
            <w:shd w:val="clear" w:color="auto" w:fill="auto"/>
            <w:noWrap/>
            <w:vAlign w:val="center"/>
          </w:tcPr>
          <w:p w14:paraId="349DA753" w14:textId="77777777" w:rsidR="00462DD4" w:rsidRPr="00795F17" w:rsidRDefault="00462DD4" w:rsidP="0065243A">
            <w:pPr>
              <w:pStyle w:val="Teksttabelisrodek"/>
              <w:rPr>
                <w:rFonts w:eastAsia="Times New Roman"/>
                <w:color w:val="000000"/>
              </w:rPr>
            </w:pPr>
            <w:r w:rsidRPr="00795F17">
              <w:t>133</w:t>
            </w:r>
          </w:p>
        </w:tc>
        <w:tc>
          <w:tcPr>
            <w:tcW w:w="1266" w:type="dxa"/>
            <w:tcBorders>
              <w:top w:val="nil"/>
              <w:left w:val="nil"/>
              <w:bottom w:val="single" w:sz="4" w:space="0" w:color="auto"/>
              <w:right w:val="single" w:sz="4" w:space="0" w:color="auto"/>
            </w:tcBorders>
            <w:shd w:val="clear" w:color="auto" w:fill="auto"/>
            <w:noWrap/>
            <w:vAlign w:val="center"/>
            <w:hideMark/>
          </w:tcPr>
          <w:p w14:paraId="1F28F465" w14:textId="4489EDD4" w:rsidR="00462DD4" w:rsidRPr="00795F17" w:rsidRDefault="00462DD4" w:rsidP="0065243A">
            <w:pPr>
              <w:pStyle w:val="Teksttabelisrodek"/>
              <w:rPr>
                <w:rFonts w:eastAsia="Times New Roman"/>
                <w:color w:val="000000"/>
              </w:rPr>
            </w:pPr>
            <w:r w:rsidRPr="00795F17">
              <w:t>94</w:t>
            </w:r>
          </w:p>
        </w:tc>
        <w:tc>
          <w:tcPr>
            <w:tcW w:w="1056" w:type="dxa"/>
            <w:tcBorders>
              <w:top w:val="single" w:sz="4" w:space="0" w:color="auto"/>
              <w:left w:val="nil"/>
              <w:bottom w:val="single" w:sz="4" w:space="0" w:color="auto"/>
              <w:right w:val="single" w:sz="4" w:space="0" w:color="auto"/>
            </w:tcBorders>
            <w:shd w:val="clear" w:color="auto" w:fill="FFFFFF" w:themeFill="background1"/>
            <w:vAlign w:val="center"/>
          </w:tcPr>
          <w:p w14:paraId="013486FC" w14:textId="511C7CA9" w:rsidR="00462DD4" w:rsidRPr="00795F17" w:rsidRDefault="00286275" w:rsidP="0065243A">
            <w:pPr>
              <w:pStyle w:val="Teksttabelisrodek"/>
              <w:rPr>
                <w:rFonts w:eastAsia="Times New Roman" w:cs="Calibri"/>
                <w:color w:val="000000"/>
              </w:rPr>
            </w:pPr>
            <w:r>
              <w:t>95</w:t>
            </w:r>
          </w:p>
        </w:tc>
        <w:tc>
          <w:tcPr>
            <w:tcW w:w="1057" w:type="dxa"/>
            <w:tcBorders>
              <w:top w:val="nil"/>
              <w:left w:val="single" w:sz="4" w:space="0" w:color="auto"/>
              <w:bottom w:val="single" w:sz="4" w:space="0" w:color="auto"/>
              <w:right w:val="single" w:sz="4" w:space="0" w:color="auto"/>
            </w:tcBorders>
            <w:shd w:val="clear" w:color="auto" w:fill="FFFFFF" w:themeFill="background1"/>
            <w:vAlign w:val="center"/>
          </w:tcPr>
          <w:p w14:paraId="572B1F2D" w14:textId="51E0D4A7" w:rsidR="00462DD4" w:rsidRPr="00795F17" w:rsidRDefault="00156075" w:rsidP="0065243A">
            <w:pPr>
              <w:pStyle w:val="Teksttabelisrodek"/>
              <w:rPr>
                <w:rFonts w:eastAsia="Times New Roman" w:cs="Calibri"/>
                <w:color w:val="000000"/>
              </w:rPr>
            </w:pPr>
            <w:r>
              <w:t>33,1</w:t>
            </w:r>
          </w:p>
        </w:tc>
        <w:tc>
          <w:tcPr>
            <w:tcW w:w="1128" w:type="dxa"/>
            <w:tcBorders>
              <w:top w:val="nil"/>
              <w:left w:val="single" w:sz="4" w:space="0" w:color="auto"/>
              <w:bottom w:val="single" w:sz="4" w:space="0" w:color="auto"/>
              <w:right w:val="single" w:sz="4" w:space="0" w:color="auto"/>
            </w:tcBorders>
            <w:shd w:val="clear" w:color="auto" w:fill="auto"/>
            <w:noWrap/>
            <w:vAlign w:val="center"/>
            <w:hideMark/>
          </w:tcPr>
          <w:p w14:paraId="2C57F2F1" w14:textId="394AE88E" w:rsidR="00462DD4" w:rsidRPr="00795F17" w:rsidRDefault="00DC72BC" w:rsidP="0065243A">
            <w:pPr>
              <w:pStyle w:val="Teksttabelisrodek"/>
              <w:rPr>
                <w:rFonts w:eastAsia="Times New Roman" w:cs="Calibri"/>
                <w:color w:val="000000"/>
              </w:rPr>
            </w:pPr>
            <w:r>
              <w:t>96</w:t>
            </w:r>
          </w:p>
        </w:tc>
        <w:tc>
          <w:tcPr>
            <w:tcW w:w="984" w:type="dxa"/>
            <w:tcBorders>
              <w:top w:val="nil"/>
              <w:left w:val="nil"/>
              <w:bottom w:val="single" w:sz="4" w:space="0" w:color="auto"/>
              <w:right w:val="single" w:sz="4" w:space="0" w:color="auto"/>
            </w:tcBorders>
            <w:shd w:val="clear" w:color="auto" w:fill="auto"/>
            <w:vAlign w:val="center"/>
            <w:hideMark/>
          </w:tcPr>
          <w:p w14:paraId="450FD494" w14:textId="09C859EB" w:rsidR="00462DD4" w:rsidRPr="00795F17" w:rsidRDefault="00156075" w:rsidP="0065243A">
            <w:pPr>
              <w:pStyle w:val="Teksttabelisrodek"/>
              <w:rPr>
                <w:rFonts w:eastAsia="Times New Roman"/>
                <w:color w:val="000000"/>
              </w:rPr>
            </w:pPr>
            <w:r>
              <w:t>32,4</w:t>
            </w:r>
          </w:p>
        </w:tc>
      </w:tr>
      <w:tr w:rsidR="00962FC1" w:rsidRPr="00795F17" w14:paraId="632C34E0" w14:textId="77777777" w:rsidTr="00AA0761">
        <w:trPr>
          <w:trHeight w:val="340"/>
        </w:trPr>
        <w:tc>
          <w:tcPr>
            <w:tcW w:w="1602" w:type="dxa"/>
            <w:tcBorders>
              <w:top w:val="nil"/>
              <w:left w:val="single" w:sz="4" w:space="0" w:color="auto"/>
              <w:bottom w:val="single" w:sz="4" w:space="0" w:color="auto"/>
              <w:right w:val="single" w:sz="4" w:space="0" w:color="auto"/>
            </w:tcBorders>
            <w:shd w:val="clear" w:color="auto" w:fill="auto"/>
            <w:noWrap/>
            <w:vAlign w:val="center"/>
            <w:hideMark/>
          </w:tcPr>
          <w:p w14:paraId="3D469D16" w14:textId="77777777" w:rsidR="00462DD4" w:rsidRPr="00795F17" w:rsidRDefault="00462DD4" w:rsidP="00BD239C">
            <w:pPr>
              <w:pStyle w:val="Teksttabelilewy"/>
              <w:rPr>
                <w:rFonts w:eastAsia="Times New Roman"/>
                <w:color w:val="000000"/>
              </w:rPr>
            </w:pPr>
            <w:r w:rsidRPr="00795F17">
              <w:t>Środkowej Odry</w:t>
            </w:r>
          </w:p>
        </w:tc>
        <w:tc>
          <w:tcPr>
            <w:tcW w:w="703" w:type="dxa"/>
            <w:tcBorders>
              <w:top w:val="nil"/>
              <w:left w:val="nil"/>
              <w:bottom w:val="single" w:sz="4" w:space="0" w:color="2F75B5"/>
              <w:right w:val="single" w:sz="4" w:space="0" w:color="2F75B5"/>
            </w:tcBorders>
            <w:shd w:val="clear" w:color="auto" w:fill="auto"/>
            <w:noWrap/>
            <w:vAlign w:val="center"/>
            <w:hideMark/>
          </w:tcPr>
          <w:p w14:paraId="59052FE1" w14:textId="77777777" w:rsidR="00462DD4" w:rsidRPr="00795F17" w:rsidRDefault="00462DD4" w:rsidP="0065243A">
            <w:pPr>
              <w:pStyle w:val="Teksttabelisrodek"/>
              <w:rPr>
                <w:rFonts w:eastAsia="Times New Roman"/>
                <w:color w:val="000000"/>
              </w:rPr>
            </w:pPr>
            <w:r w:rsidRPr="00795F17">
              <w:t>446</w:t>
            </w:r>
          </w:p>
        </w:tc>
        <w:tc>
          <w:tcPr>
            <w:tcW w:w="1266" w:type="dxa"/>
            <w:tcBorders>
              <w:top w:val="nil"/>
              <w:left w:val="single" w:sz="4" w:space="0" w:color="auto"/>
              <w:bottom w:val="single" w:sz="4" w:space="0" w:color="auto"/>
              <w:right w:val="single" w:sz="4" w:space="0" w:color="auto"/>
            </w:tcBorders>
            <w:shd w:val="clear" w:color="auto" w:fill="auto"/>
            <w:noWrap/>
            <w:vAlign w:val="center"/>
          </w:tcPr>
          <w:p w14:paraId="370AB13E" w14:textId="7D3B509F" w:rsidR="00462DD4" w:rsidRPr="00795F17" w:rsidRDefault="00462DD4" w:rsidP="0065243A">
            <w:pPr>
              <w:pStyle w:val="Teksttabelisrodek"/>
              <w:rPr>
                <w:rFonts w:eastAsia="Times New Roman"/>
                <w:color w:val="000000"/>
              </w:rPr>
            </w:pPr>
            <w:r w:rsidRPr="00795F17">
              <w:t>43</w:t>
            </w:r>
            <w:r w:rsidR="005A3B6A">
              <w:t>2</w:t>
            </w:r>
          </w:p>
        </w:tc>
        <w:tc>
          <w:tcPr>
            <w:tcW w:w="1266" w:type="dxa"/>
            <w:tcBorders>
              <w:top w:val="nil"/>
              <w:left w:val="nil"/>
              <w:bottom w:val="single" w:sz="4" w:space="0" w:color="auto"/>
              <w:right w:val="single" w:sz="4" w:space="0" w:color="auto"/>
            </w:tcBorders>
            <w:shd w:val="clear" w:color="auto" w:fill="auto"/>
            <w:noWrap/>
            <w:vAlign w:val="center"/>
            <w:hideMark/>
          </w:tcPr>
          <w:p w14:paraId="303E5D95" w14:textId="7A75AD83" w:rsidR="00462DD4" w:rsidRPr="00795F17" w:rsidRDefault="00462DD4" w:rsidP="0065243A">
            <w:pPr>
              <w:pStyle w:val="Teksttabelisrodek"/>
              <w:rPr>
                <w:rFonts w:eastAsia="Times New Roman"/>
                <w:color w:val="000000"/>
              </w:rPr>
            </w:pPr>
            <w:r w:rsidRPr="00795F17">
              <w:t>97</w:t>
            </w:r>
          </w:p>
        </w:tc>
        <w:tc>
          <w:tcPr>
            <w:tcW w:w="1056" w:type="dxa"/>
            <w:tcBorders>
              <w:top w:val="single" w:sz="4" w:space="0" w:color="auto"/>
              <w:left w:val="nil"/>
              <w:bottom w:val="single" w:sz="4" w:space="0" w:color="auto"/>
              <w:right w:val="single" w:sz="4" w:space="0" w:color="auto"/>
            </w:tcBorders>
            <w:shd w:val="clear" w:color="auto" w:fill="FFFFFF" w:themeFill="background1"/>
            <w:vAlign w:val="center"/>
          </w:tcPr>
          <w:p w14:paraId="6398F099" w14:textId="662E470A" w:rsidR="00462DD4" w:rsidRPr="00795F17" w:rsidRDefault="0062767B" w:rsidP="0065243A">
            <w:pPr>
              <w:pStyle w:val="Teksttabelisrodek"/>
              <w:rPr>
                <w:rFonts w:eastAsia="Times New Roman" w:cs="Calibri"/>
                <w:color w:val="000000"/>
              </w:rPr>
            </w:pPr>
            <w:r>
              <w:t>291</w:t>
            </w:r>
          </w:p>
        </w:tc>
        <w:tc>
          <w:tcPr>
            <w:tcW w:w="1057" w:type="dxa"/>
            <w:tcBorders>
              <w:top w:val="nil"/>
              <w:left w:val="single" w:sz="4" w:space="0" w:color="auto"/>
              <w:bottom w:val="single" w:sz="4" w:space="0" w:color="auto"/>
              <w:right w:val="single" w:sz="4" w:space="0" w:color="auto"/>
            </w:tcBorders>
            <w:shd w:val="clear" w:color="auto" w:fill="FFFFFF" w:themeFill="background1"/>
            <w:vAlign w:val="center"/>
          </w:tcPr>
          <w:p w14:paraId="7D5304C1" w14:textId="18682D17" w:rsidR="00462DD4" w:rsidRPr="00795F17" w:rsidRDefault="00087BD5" w:rsidP="0065243A">
            <w:pPr>
              <w:pStyle w:val="Teksttabelisrodek"/>
              <w:rPr>
                <w:rFonts w:eastAsia="Times New Roman" w:cs="Calibri"/>
                <w:color w:val="000000"/>
              </w:rPr>
            </w:pPr>
            <w:r>
              <w:t>34,8</w:t>
            </w:r>
          </w:p>
        </w:tc>
        <w:tc>
          <w:tcPr>
            <w:tcW w:w="1128" w:type="dxa"/>
            <w:tcBorders>
              <w:top w:val="nil"/>
              <w:left w:val="single" w:sz="4" w:space="0" w:color="auto"/>
              <w:bottom w:val="single" w:sz="4" w:space="0" w:color="auto"/>
              <w:right w:val="single" w:sz="4" w:space="0" w:color="auto"/>
            </w:tcBorders>
            <w:shd w:val="clear" w:color="auto" w:fill="auto"/>
            <w:noWrap/>
            <w:vAlign w:val="center"/>
            <w:hideMark/>
          </w:tcPr>
          <w:p w14:paraId="74EA64E2" w14:textId="7F6F164D" w:rsidR="00462DD4" w:rsidRPr="00795F17" w:rsidRDefault="00087BD5" w:rsidP="0065243A">
            <w:pPr>
              <w:pStyle w:val="Teksttabelisrodek"/>
              <w:rPr>
                <w:rFonts w:eastAsia="Times New Roman"/>
                <w:color w:val="000000"/>
              </w:rPr>
            </w:pPr>
            <w:r>
              <w:t>318</w:t>
            </w:r>
          </w:p>
        </w:tc>
        <w:tc>
          <w:tcPr>
            <w:tcW w:w="984" w:type="dxa"/>
            <w:tcBorders>
              <w:top w:val="nil"/>
              <w:left w:val="nil"/>
              <w:bottom w:val="single" w:sz="4" w:space="0" w:color="auto"/>
              <w:right w:val="single" w:sz="4" w:space="0" w:color="auto"/>
            </w:tcBorders>
            <w:shd w:val="clear" w:color="auto" w:fill="auto"/>
            <w:vAlign w:val="center"/>
            <w:hideMark/>
          </w:tcPr>
          <w:p w14:paraId="5F2D2D35" w14:textId="63B78148" w:rsidR="00462DD4" w:rsidRPr="00795F17" w:rsidRDefault="00087BD5" w:rsidP="0065243A">
            <w:pPr>
              <w:pStyle w:val="Teksttabelisrodek"/>
              <w:rPr>
                <w:rFonts w:eastAsia="Times New Roman"/>
                <w:color w:val="000000"/>
              </w:rPr>
            </w:pPr>
            <w:r>
              <w:t>28,7</w:t>
            </w:r>
          </w:p>
        </w:tc>
      </w:tr>
      <w:tr w:rsidR="00962FC1" w:rsidRPr="00795F17" w14:paraId="2E0DBF4B" w14:textId="77777777" w:rsidTr="00AA0761">
        <w:trPr>
          <w:trHeight w:val="340"/>
        </w:trPr>
        <w:tc>
          <w:tcPr>
            <w:tcW w:w="1602" w:type="dxa"/>
            <w:tcBorders>
              <w:top w:val="nil"/>
              <w:left w:val="single" w:sz="4" w:space="0" w:color="auto"/>
              <w:bottom w:val="single" w:sz="4" w:space="0" w:color="auto"/>
              <w:right w:val="single" w:sz="4" w:space="0" w:color="auto"/>
            </w:tcBorders>
            <w:shd w:val="clear" w:color="auto" w:fill="auto"/>
            <w:noWrap/>
            <w:vAlign w:val="center"/>
            <w:hideMark/>
          </w:tcPr>
          <w:p w14:paraId="31F5616C" w14:textId="11E783FF" w:rsidR="00462DD4" w:rsidRPr="00795F17" w:rsidRDefault="00462DD4" w:rsidP="00BD239C">
            <w:pPr>
              <w:pStyle w:val="Teksttabelilewy"/>
              <w:rPr>
                <w:rFonts w:eastAsia="Times New Roman"/>
                <w:color w:val="000000"/>
              </w:rPr>
            </w:pPr>
            <w:r w:rsidRPr="00795F17">
              <w:t>Dolnej Odry i</w:t>
            </w:r>
            <w:r w:rsidR="00FE1344">
              <w:t> </w:t>
            </w:r>
            <w:r w:rsidRPr="00795F17">
              <w:t>Przymorza Zachodniego</w:t>
            </w:r>
          </w:p>
        </w:tc>
        <w:tc>
          <w:tcPr>
            <w:tcW w:w="703" w:type="dxa"/>
            <w:tcBorders>
              <w:top w:val="nil"/>
              <w:left w:val="nil"/>
              <w:bottom w:val="single" w:sz="4" w:space="0" w:color="2F75B5"/>
              <w:right w:val="single" w:sz="4" w:space="0" w:color="2F75B5"/>
            </w:tcBorders>
            <w:shd w:val="clear" w:color="auto" w:fill="auto"/>
            <w:noWrap/>
            <w:vAlign w:val="center"/>
            <w:hideMark/>
          </w:tcPr>
          <w:p w14:paraId="2DA7433A" w14:textId="77777777" w:rsidR="00462DD4" w:rsidRPr="00795F17" w:rsidRDefault="00462DD4" w:rsidP="0065243A">
            <w:pPr>
              <w:pStyle w:val="Teksttabelisrodek"/>
              <w:rPr>
                <w:rFonts w:eastAsia="Times New Roman"/>
                <w:color w:val="000000"/>
              </w:rPr>
            </w:pPr>
            <w:r w:rsidRPr="00795F17">
              <w:t>270</w:t>
            </w:r>
          </w:p>
        </w:tc>
        <w:tc>
          <w:tcPr>
            <w:tcW w:w="1266" w:type="dxa"/>
            <w:tcBorders>
              <w:top w:val="nil"/>
              <w:left w:val="single" w:sz="4" w:space="0" w:color="auto"/>
              <w:bottom w:val="single" w:sz="4" w:space="0" w:color="auto"/>
              <w:right w:val="single" w:sz="4" w:space="0" w:color="auto"/>
            </w:tcBorders>
            <w:shd w:val="clear" w:color="auto" w:fill="auto"/>
            <w:noWrap/>
            <w:vAlign w:val="center"/>
          </w:tcPr>
          <w:p w14:paraId="04CADD7E" w14:textId="101414F8" w:rsidR="00462DD4" w:rsidRPr="00795F17" w:rsidRDefault="0011360A" w:rsidP="0065243A">
            <w:pPr>
              <w:pStyle w:val="Teksttabelisrodek"/>
              <w:rPr>
                <w:rFonts w:eastAsia="Times New Roman"/>
                <w:color w:val="000000"/>
              </w:rPr>
            </w:pPr>
            <w:r>
              <w:t>247</w:t>
            </w:r>
          </w:p>
        </w:tc>
        <w:tc>
          <w:tcPr>
            <w:tcW w:w="1266" w:type="dxa"/>
            <w:tcBorders>
              <w:top w:val="nil"/>
              <w:left w:val="nil"/>
              <w:bottom w:val="single" w:sz="4" w:space="0" w:color="auto"/>
              <w:right w:val="single" w:sz="4" w:space="0" w:color="auto"/>
            </w:tcBorders>
            <w:shd w:val="clear" w:color="auto" w:fill="auto"/>
            <w:noWrap/>
            <w:vAlign w:val="center"/>
            <w:hideMark/>
          </w:tcPr>
          <w:p w14:paraId="759FE0F2" w14:textId="765A38D3" w:rsidR="00462DD4" w:rsidRPr="00795F17" w:rsidRDefault="00462DD4" w:rsidP="0065243A">
            <w:pPr>
              <w:pStyle w:val="Teksttabelisrodek"/>
              <w:rPr>
                <w:rFonts w:eastAsia="Times New Roman"/>
                <w:color w:val="000000"/>
              </w:rPr>
            </w:pPr>
            <w:r w:rsidRPr="00795F17">
              <w:t>9</w:t>
            </w:r>
            <w:r w:rsidR="0088686C">
              <w:t>1</w:t>
            </w:r>
          </w:p>
        </w:tc>
        <w:tc>
          <w:tcPr>
            <w:tcW w:w="1056" w:type="dxa"/>
            <w:tcBorders>
              <w:top w:val="single" w:sz="4" w:space="0" w:color="auto"/>
              <w:left w:val="nil"/>
              <w:bottom w:val="single" w:sz="4" w:space="0" w:color="auto"/>
              <w:right w:val="single" w:sz="4" w:space="0" w:color="auto"/>
            </w:tcBorders>
            <w:shd w:val="clear" w:color="auto" w:fill="FFFFFF" w:themeFill="background1"/>
            <w:vAlign w:val="center"/>
          </w:tcPr>
          <w:p w14:paraId="11858A45" w14:textId="79BF8322" w:rsidR="00462DD4" w:rsidRPr="00795F17" w:rsidRDefault="00087BD5" w:rsidP="0065243A">
            <w:pPr>
              <w:pStyle w:val="Teksttabelisrodek"/>
              <w:rPr>
                <w:rFonts w:eastAsia="Times New Roman" w:cs="Calibri"/>
                <w:color w:val="000000"/>
              </w:rPr>
            </w:pPr>
            <w:r w:rsidRPr="00795F17">
              <w:t>1</w:t>
            </w:r>
            <w:r>
              <w:t>16</w:t>
            </w:r>
          </w:p>
        </w:tc>
        <w:tc>
          <w:tcPr>
            <w:tcW w:w="1057" w:type="dxa"/>
            <w:tcBorders>
              <w:top w:val="nil"/>
              <w:left w:val="single" w:sz="4" w:space="0" w:color="auto"/>
              <w:bottom w:val="single" w:sz="4" w:space="0" w:color="auto"/>
              <w:right w:val="single" w:sz="4" w:space="0" w:color="auto"/>
            </w:tcBorders>
            <w:shd w:val="clear" w:color="auto" w:fill="FFFFFF" w:themeFill="background1"/>
            <w:vAlign w:val="center"/>
          </w:tcPr>
          <w:p w14:paraId="4B163156" w14:textId="4316A3B7" w:rsidR="00462DD4" w:rsidRPr="00795F17" w:rsidRDefault="00067A9D" w:rsidP="0065243A">
            <w:pPr>
              <w:pStyle w:val="Teksttabelisrodek"/>
              <w:rPr>
                <w:rFonts w:eastAsia="Times New Roman" w:cs="Calibri"/>
                <w:color w:val="000000"/>
              </w:rPr>
            </w:pPr>
            <w:r>
              <w:t>57,0</w:t>
            </w:r>
          </w:p>
        </w:tc>
        <w:tc>
          <w:tcPr>
            <w:tcW w:w="1128" w:type="dxa"/>
            <w:tcBorders>
              <w:top w:val="nil"/>
              <w:left w:val="single" w:sz="4" w:space="0" w:color="auto"/>
              <w:bottom w:val="single" w:sz="4" w:space="0" w:color="auto"/>
              <w:right w:val="single" w:sz="4" w:space="0" w:color="auto"/>
            </w:tcBorders>
            <w:shd w:val="clear" w:color="auto" w:fill="auto"/>
            <w:noWrap/>
            <w:vAlign w:val="center"/>
            <w:hideMark/>
          </w:tcPr>
          <w:p w14:paraId="2D6F99E4" w14:textId="569380C4" w:rsidR="00462DD4" w:rsidRPr="00795F17" w:rsidRDefault="00067A9D" w:rsidP="0065243A">
            <w:pPr>
              <w:pStyle w:val="Teksttabelisrodek"/>
              <w:rPr>
                <w:rFonts w:eastAsia="Times New Roman"/>
                <w:color w:val="000000"/>
              </w:rPr>
            </w:pPr>
            <w:r w:rsidRPr="00795F17">
              <w:t>1</w:t>
            </w:r>
            <w:r>
              <w:t>34</w:t>
            </w:r>
          </w:p>
        </w:tc>
        <w:tc>
          <w:tcPr>
            <w:tcW w:w="984" w:type="dxa"/>
            <w:tcBorders>
              <w:top w:val="nil"/>
              <w:left w:val="nil"/>
              <w:bottom w:val="single" w:sz="4" w:space="0" w:color="auto"/>
              <w:right w:val="single" w:sz="4" w:space="0" w:color="auto"/>
            </w:tcBorders>
            <w:shd w:val="clear" w:color="auto" w:fill="auto"/>
            <w:vAlign w:val="center"/>
            <w:hideMark/>
          </w:tcPr>
          <w:p w14:paraId="2D6F9E04" w14:textId="73BFBE82" w:rsidR="00462DD4" w:rsidRPr="00795F17" w:rsidRDefault="00067A9D" w:rsidP="0065243A">
            <w:pPr>
              <w:pStyle w:val="Teksttabelisrodek"/>
              <w:rPr>
                <w:rFonts w:eastAsia="Times New Roman"/>
                <w:color w:val="000000"/>
              </w:rPr>
            </w:pPr>
            <w:r>
              <w:t>50,4</w:t>
            </w:r>
          </w:p>
        </w:tc>
      </w:tr>
      <w:tr w:rsidR="00962FC1" w:rsidRPr="00795F17" w14:paraId="4A70CD54" w14:textId="77777777" w:rsidTr="00AA0761">
        <w:trPr>
          <w:trHeight w:val="340"/>
        </w:trPr>
        <w:tc>
          <w:tcPr>
            <w:tcW w:w="1602" w:type="dxa"/>
            <w:tcBorders>
              <w:top w:val="nil"/>
              <w:left w:val="single" w:sz="4" w:space="0" w:color="auto"/>
              <w:bottom w:val="single" w:sz="4" w:space="0" w:color="auto"/>
              <w:right w:val="single" w:sz="4" w:space="0" w:color="auto"/>
            </w:tcBorders>
            <w:shd w:val="clear" w:color="auto" w:fill="auto"/>
            <w:noWrap/>
            <w:vAlign w:val="center"/>
            <w:hideMark/>
          </w:tcPr>
          <w:p w14:paraId="607070CB" w14:textId="77777777" w:rsidR="00462DD4" w:rsidRPr="00795F17" w:rsidRDefault="00462DD4" w:rsidP="00BD239C">
            <w:pPr>
              <w:pStyle w:val="Teksttabelilewy"/>
              <w:rPr>
                <w:rFonts w:eastAsia="Times New Roman"/>
                <w:color w:val="000000"/>
              </w:rPr>
            </w:pPr>
            <w:r w:rsidRPr="00795F17">
              <w:t>Warty</w:t>
            </w:r>
          </w:p>
        </w:tc>
        <w:tc>
          <w:tcPr>
            <w:tcW w:w="703" w:type="dxa"/>
            <w:tcBorders>
              <w:top w:val="nil"/>
              <w:left w:val="nil"/>
              <w:bottom w:val="single" w:sz="4" w:space="0" w:color="2F75B5"/>
              <w:right w:val="single" w:sz="4" w:space="0" w:color="2F75B5"/>
            </w:tcBorders>
            <w:shd w:val="clear" w:color="auto" w:fill="auto"/>
            <w:noWrap/>
            <w:vAlign w:val="center"/>
            <w:hideMark/>
          </w:tcPr>
          <w:p w14:paraId="54A3FFB3" w14:textId="77777777" w:rsidR="00462DD4" w:rsidRPr="00795F17" w:rsidRDefault="00462DD4" w:rsidP="0065243A">
            <w:pPr>
              <w:pStyle w:val="Teksttabelisrodek"/>
              <w:rPr>
                <w:rFonts w:eastAsia="Times New Roman"/>
                <w:color w:val="000000"/>
              </w:rPr>
            </w:pPr>
            <w:r w:rsidRPr="00795F17">
              <w:t>279</w:t>
            </w:r>
          </w:p>
        </w:tc>
        <w:tc>
          <w:tcPr>
            <w:tcW w:w="1266" w:type="dxa"/>
            <w:tcBorders>
              <w:top w:val="nil"/>
              <w:left w:val="single" w:sz="4" w:space="0" w:color="auto"/>
              <w:bottom w:val="single" w:sz="4" w:space="0" w:color="auto"/>
              <w:right w:val="single" w:sz="4" w:space="0" w:color="auto"/>
            </w:tcBorders>
            <w:shd w:val="clear" w:color="auto" w:fill="auto"/>
            <w:noWrap/>
            <w:vAlign w:val="center"/>
          </w:tcPr>
          <w:p w14:paraId="32955BB5" w14:textId="3C1BF156" w:rsidR="00462DD4" w:rsidRPr="00795F17" w:rsidRDefault="00462DD4" w:rsidP="0065243A">
            <w:pPr>
              <w:pStyle w:val="Teksttabelisrodek"/>
              <w:rPr>
                <w:rFonts w:eastAsia="Times New Roman"/>
                <w:color w:val="000000"/>
              </w:rPr>
            </w:pPr>
            <w:r w:rsidRPr="00795F17">
              <w:t>27</w:t>
            </w:r>
            <w:r w:rsidR="005A3B6A">
              <w:t>1</w:t>
            </w:r>
          </w:p>
        </w:tc>
        <w:tc>
          <w:tcPr>
            <w:tcW w:w="1266" w:type="dxa"/>
            <w:tcBorders>
              <w:top w:val="nil"/>
              <w:left w:val="nil"/>
              <w:bottom w:val="single" w:sz="4" w:space="0" w:color="auto"/>
              <w:right w:val="single" w:sz="4" w:space="0" w:color="auto"/>
            </w:tcBorders>
            <w:shd w:val="clear" w:color="auto" w:fill="auto"/>
            <w:noWrap/>
            <w:vAlign w:val="center"/>
            <w:hideMark/>
          </w:tcPr>
          <w:p w14:paraId="26EBF4E3" w14:textId="666E81E9" w:rsidR="00462DD4" w:rsidRPr="00795F17" w:rsidRDefault="00462DD4" w:rsidP="0065243A">
            <w:pPr>
              <w:pStyle w:val="Teksttabelisrodek"/>
              <w:rPr>
                <w:rFonts w:eastAsia="Times New Roman"/>
                <w:color w:val="000000"/>
              </w:rPr>
            </w:pPr>
            <w:r w:rsidRPr="00795F17">
              <w:t>97</w:t>
            </w:r>
          </w:p>
        </w:tc>
        <w:tc>
          <w:tcPr>
            <w:tcW w:w="1056" w:type="dxa"/>
            <w:tcBorders>
              <w:top w:val="single" w:sz="4" w:space="0" w:color="auto"/>
              <w:left w:val="nil"/>
              <w:bottom w:val="single" w:sz="4" w:space="0" w:color="auto"/>
              <w:right w:val="single" w:sz="4" w:space="0" w:color="auto"/>
            </w:tcBorders>
            <w:shd w:val="clear" w:color="auto" w:fill="FFFFFF" w:themeFill="background1"/>
            <w:vAlign w:val="center"/>
          </w:tcPr>
          <w:p w14:paraId="451E82E7" w14:textId="1DFC833B" w:rsidR="00462DD4" w:rsidRPr="00795F17" w:rsidRDefault="00F22A8B" w:rsidP="0065243A">
            <w:pPr>
              <w:pStyle w:val="Teksttabelisrodek"/>
              <w:rPr>
                <w:rFonts w:eastAsia="Times New Roman" w:cs="Calibri"/>
                <w:color w:val="000000"/>
              </w:rPr>
            </w:pPr>
            <w:r w:rsidRPr="00795F17">
              <w:t>2</w:t>
            </w:r>
            <w:r>
              <w:t>49</w:t>
            </w:r>
          </w:p>
        </w:tc>
        <w:tc>
          <w:tcPr>
            <w:tcW w:w="1057" w:type="dxa"/>
            <w:tcBorders>
              <w:top w:val="nil"/>
              <w:left w:val="single" w:sz="4" w:space="0" w:color="auto"/>
              <w:bottom w:val="single" w:sz="4" w:space="0" w:color="auto"/>
              <w:right w:val="single" w:sz="4" w:space="0" w:color="auto"/>
            </w:tcBorders>
            <w:shd w:val="clear" w:color="auto" w:fill="FFFFFF" w:themeFill="background1"/>
            <w:vAlign w:val="center"/>
          </w:tcPr>
          <w:p w14:paraId="3E90BAF9" w14:textId="7B43279A" w:rsidR="00462DD4" w:rsidRPr="00795F17" w:rsidRDefault="00F22A8B" w:rsidP="0065243A">
            <w:pPr>
              <w:pStyle w:val="Teksttabelisrodek"/>
              <w:rPr>
                <w:rFonts w:eastAsia="Times New Roman" w:cs="Calibri"/>
                <w:color w:val="000000"/>
              </w:rPr>
            </w:pPr>
            <w:r>
              <w:t>10,8</w:t>
            </w:r>
          </w:p>
        </w:tc>
        <w:tc>
          <w:tcPr>
            <w:tcW w:w="1128" w:type="dxa"/>
            <w:tcBorders>
              <w:top w:val="nil"/>
              <w:left w:val="single" w:sz="4" w:space="0" w:color="auto"/>
              <w:bottom w:val="single" w:sz="4" w:space="0" w:color="auto"/>
              <w:right w:val="single" w:sz="4" w:space="0" w:color="auto"/>
            </w:tcBorders>
            <w:shd w:val="clear" w:color="auto" w:fill="auto"/>
            <w:noWrap/>
            <w:vAlign w:val="center"/>
            <w:hideMark/>
          </w:tcPr>
          <w:p w14:paraId="5161C13E" w14:textId="5A532F7D" w:rsidR="00462DD4" w:rsidRPr="00795F17" w:rsidRDefault="00F22A8B" w:rsidP="0065243A">
            <w:pPr>
              <w:pStyle w:val="Teksttabelisrodek"/>
              <w:rPr>
                <w:rFonts w:eastAsia="Times New Roman"/>
                <w:color w:val="000000"/>
              </w:rPr>
            </w:pPr>
            <w:r w:rsidRPr="00795F17">
              <w:t>2</w:t>
            </w:r>
            <w:r>
              <w:t>59</w:t>
            </w:r>
          </w:p>
        </w:tc>
        <w:tc>
          <w:tcPr>
            <w:tcW w:w="984" w:type="dxa"/>
            <w:tcBorders>
              <w:top w:val="nil"/>
              <w:left w:val="nil"/>
              <w:bottom w:val="single" w:sz="4" w:space="0" w:color="auto"/>
              <w:right w:val="single" w:sz="4" w:space="0" w:color="auto"/>
            </w:tcBorders>
            <w:shd w:val="clear" w:color="auto" w:fill="auto"/>
            <w:vAlign w:val="center"/>
            <w:hideMark/>
          </w:tcPr>
          <w:p w14:paraId="2E3F38BF" w14:textId="4451A1A8" w:rsidR="00462DD4" w:rsidRPr="00795F17" w:rsidRDefault="00F22A8B" w:rsidP="0065243A">
            <w:pPr>
              <w:pStyle w:val="Teksttabelisrodek"/>
              <w:rPr>
                <w:rFonts w:eastAsia="Times New Roman"/>
                <w:color w:val="000000"/>
              </w:rPr>
            </w:pPr>
            <w:r>
              <w:t>7,2</w:t>
            </w:r>
          </w:p>
        </w:tc>
      </w:tr>
      <w:tr w:rsidR="00962FC1" w:rsidRPr="00795F17" w14:paraId="14683CA6" w14:textId="77777777" w:rsidTr="00AA0761">
        <w:trPr>
          <w:trHeight w:val="340"/>
        </w:trPr>
        <w:tc>
          <w:tcPr>
            <w:tcW w:w="1602" w:type="dxa"/>
            <w:tcBorders>
              <w:top w:val="nil"/>
              <w:left w:val="single" w:sz="4" w:space="0" w:color="auto"/>
              <w:bottom w:val="single" w:sz="4" w:space="0" w:color="auto"/>
              <w:right w:val="single" w:sz="4" w:space="0" w:color="auto"/>
            </w:tcBorders>
            <w:shd w:val="clear" w:color="auto" w:fill="auto"/>
            <w:noWrap/>
            <w:vAlign w:val="center"/>
            <w:hideMark/>
          </w:tcPr>
          <w:p w14:paraId="6481F677" w14:textId="77777777" w:rsidR="00462DD4" w:rsidRPr="00795F17" w:rsidRDefault="00462DD4" w:rsidP="00BD239C">
            <w:pPr>
              <w:pStyle w:val="Teksttabelilewy"/>
              <w:rPr>
                <w:rFonts w:eastAsia="Times New Roman"/>
                <w:color w:val="000000"/>
              </w:rPr>
            </w:pPr>
            <w:r w:rsidRPr="00795F17">
              <w:t>Noteci</w:t>
            </w:r>
          </w:p>
        </w:tc>
        <w:tc>
          <w:tcPr>
            <w:tcW w:w="703" w:type="dxa"/>
            <w:tcBorders>
              <w:top w:val="single" w:sz="4" w:space="0" w:color="2F75B5"/>
              <w:left w:val="nil"/>
              <w:bottom w:val="single" w:sz="4" w:space="0" w:color="2F75B5"/>
              <w:right w:val="single" w:sz="4" w:space="0" w:color="2F75B5"/>
            </w:tcBorders>
            <w:shd w:val="clear" w:color="auto" w:fill="auto"/>
            <w:noWrap/>
            <w:vAlign w:val="center"/>
            <w:hideMark/>
          </w:tcPr>
          <w:p w14:paraId="68D92319" w14:textId="77777777" w:rsidR="00462DD4" w:rsidRPr="00795F17" w:rsidRDefault="00462DD4" w:rsidP="0065243A">
            <w:pPr>
              <w:pStyle w:val="Teksttabelisrodek"/>
              <w:rPr>
                <w:rFonts w:eastAsia="Times New Roman"/>
                <w:color w:val="000000"/>
              </w:rPr>
            </w:pPr>
            <w:r w:rsidRPr="00795F17">
              <w:t>135</w:t>
            </w:r>
          </w:p>
        </w:tc>
        <w:tc>
          <w:tcPr>
            <w:tcW w:w="1266" w:type="dxa"/>
            <w:tcBorders>
              <w:top w:val="nil"/>
              <w:left w:val="single" w:sz="4" w:space="0" w:color="auto"/>
              <w:bottom w:val="single" w:sz="4" w:space="0" w:color="auto"/>
              <w:right w:val="single" w:sz="4" w:space="0" w:color="auto"/>
            </w:tcBorders>
            <w:shd w:val="clear" w:color="auto" w:fill="auto"/>
            <w:noWrap/>
            <w:vAlign w:val="center"/>
          </w:tcPr>
          <w:p w14:paraId="6D245730" w14:textId="65BFCBE5" w:rsidR="00462DD4" w:rsidRPr="00795F17" w:rsidRDefault="00462DD4" w:rsidP="0065243A">
            <w:pPr>
              <w:pStyle w:val="Teksttabelisrodek"/>
              <w:rPr>
                <w:rFonts w:eastAsia="Times New Roman"/>
                <w:color w:val="000000"/>
              </w:rPr>
            </w:pPr>
            <w:r w:rsidRPr="00795F17">
              <w:t>12</w:t>
            </w:r>
            <w:r w:rsidR="008B53F4">
              <w:t>2</w:t>
            </w:r>
          </w:p>
        </w:tc>
        <w:tc>
          <w:tcPr>
            <w:tcW w:w="1266" w:type="dxa"/>
            <w:tcBorders>
              <w:top w:val="nil"/>
              <w:left w:val="nil"/>
              <w:bottom w:val="single" w:sz="4" w:space="0" w:color="auto"/>
              <w:right w:val="single" w:sz="4" w:space="0" w:color="auto"/>
            </w:tcBorders>
            <w:shd w:val="clear" w:color="auto" w:fill="auto"/>
            <w:noWrap/>
            <w:vAlign w:val="center"/>
            <w:hideMark/>
          </w:tcPr>
          <w:p w14:paraId="2631B5DD" w14:textId="4B5585CC" w:rsidR="00462DD4" w:rsidRPr="00795F17" w:rsidRDefault="00462DD4" w:rsidP="0065243A">
            <w:pPr>
              <w:pStyle w:val="Teksttabelisrodek"/>
              <w:rPr>
                <w:rFonts w:eastAsia="Times New Roman"/>
                <w:color w:val="000000"/>
              </w:rPr>
            </w:pPr>
            <w:r w:rsidRPr="00795F17">
              <w:t>9</w:t>
            </w:r>
            <w:r w:rsidR="00B53E91">
              <w:t>0</w:t>
            </w:r>
          </w:p>
        </w:tc>
        <w:tc>
          <w:tcPr>
            <w:tcW w:w="1056" w:type="dxa"/>
            <w:tcBorders>
              <w:top w:val="single" w:sz="4" w:space="0" w:color="auto"/>
              <w:left w:val="nil"/>
              <w:bottom w:val="single" w:sz="4" w:space="0" w:color="auto"/>
              <w:right w:val="single" w:sz="4" w:space="0" w:color="auto"/>
            </w:tcBorders>
            <w:shd w:val="clear" w:color="auto" w:fill="FFFFFF" w:themeFill="background1"/>
            <w:vAlign w:val="center"/>
          </w:tcPr>
          <w:p w14:paraId="5C1AA8A3" w14:textId="0AB37C4E" w:rsidR="00462DD4" w:rsidRPr="00795F17" w:rsidRDefault="00462DD4" w:rsidP="0065243A">
            <w:pPr>
              <w:pStyle w:val="Teksttabelisrodek"/>
              <w:rPr>
                <w:rFonts w:eastAsia="Times New Roman" w:cs="Calibri"/>
                <w:color w:val="000000"/>
              </w:rPr>
            </w:pPr>
            <w:r w:rsidRPr="00795F17">
              <w:t>9</w:t>
            </w:r>
            <w:r w:rsidR="0004240F">
              <w:t>3</w:t>
            </w:r>
          </w:p>
        </w:tc>
        <w:tc>
          <w:tcPr>
            <w:tcW w:w="1057" w:type="dxa"/>
            <w:tcBorders>
              <w:top w:val="nil"/>
              <w:left w:val="single" w:sz="4" w:space="0" w:color="auto"/>
              <w:bottom w:val="single" w:sz="4" w:space="0" w:color="auto"/>
              <w:right w:val="single" w:sz="4" w:space="0" w:color="auto"/>
            </w:tcBorders>
            <w:shd w:val="clear" w:color="auto" w:fill="FFFFFF" w:themeFill="background1"/>
            <w:vAlign w:val="center"/>
          </w:tcPr>
          <w:p w14:paraId="05C46EC1" w14:textId="22B480BF" w:rsidR="00462DD4" w:rsidRPr="00795F17" w:rsidRDefault="0004240F" w:rsidP="0065243A">
            <w:pPr>
              <w:pStyle w:val="Teksttabelisrodek"/>
              <w:rPr>
                <w:rFonts w:eastAsia="Times New Roman" w:cs="Calibri"/>
                <w:color w:val="000000"/>
              </w:rPr>
            </w:pPr>
            <w:r>
              <w:t>31</w:t>
            </w:r>
            <w:r w:rsidR="00462DD4" w:rsidRPr="00795F17">
              <w:t>,</w:t>
            </w:r>
            <w:r w:rsidR="00055982" w:rsidRPr="00795F17">
              <w:t>1</w:t>
            </w:r>
          </w:p>
        </w:tc>
        <w:tc>
          <w:tcPr>
            <w:tcW w:w="1128" w:type="dxa"/>
            <w:tcBorders>
              <w:top w:val="nil"/>
              <w:left w:val="single" w:sz="4" w:space="0" w:color="auto"/>
              <w:bottom w:val="single" w:sz="4" w:space="0" w:color="auto"/>
              <w:right w:val="single" w:sz="4" w:space="0" w:color="auto"/>
            </w:tcBorders>
            <w:shd w:val="clear" w:color="auto" w:fill="auto"/>
            <w:noWrap/>
            <w:vAlign w:val="center"/>
            <w:hideMark/>
          </w:tcPr>
          <w:p w14:paraId="5BD9870D" w14:textId="01BBF303" w:rsidR="00462DD4" w:rsidRPr="00795F17" w:rsidRDefault="0004240F" w:rsidP="0065243A">
            <w:pPr>
              <w:pStyle w:val="Teksttabelisrodek"/>
              <w:rPr>
                <w:rFonts w:eastAsia="Times New Roman"/>
                <w:color w:val="000000"/>
              </w:rPr>
            </w:pPr>
            <w:r>
              <w:t>98</w:t>
            </w:r>
          </w:p>
        </w:tc>
        <w:tc>
          <w:tcPr>
            <w:tcW w:w="984" w:type="dxa"/>
            <w:tcBorders>
              <w:top w:val="nil"/>
              <w:left w:val="nil"/>
              <w:bottom w:val="single" w:sz="4" w:space="0" w:color="auto"/>
              <w:right w:val="single" w:sz="4" w:space="0" w:color="auto"/>
            </w:tcBorders>
            <w:shd w:val="clear" w:color="auto" w:fill="auto"/>
            <w:vAlign w:val="center"/>
            <w:hideMark/>
          </w:tcPr>
          <w:p w14:paraId="431EEC9E" w14:textId="2266627A" w:rsidR="00462DD4" w:rsidRPr="00795F17" w:rsidRDefault="0004240F" w:rsidP="0065243A">
            <w:pPr>
              <w:pStyle w:val="Teksttabelisrodek"/>
              <w:rPr>
                <w:rFonts w:eastAsia="Times New Roman"/>
                <w:color w:val="000000"/>
              </w:rPr>
            </w:pPr>
            <w:r>
              <w:t>27,4</w:t>
            </w:r>
          </w:p>
        </w:tc>
      </w:tr>
      <w:tr w:rsidR="00962FC1" w:rsidRPr="00795F17" w14:paraId="1AD8D7C8" w14:textId="77777777" w:rsidTr="00AA0761">
        <w:trPr>
          <w:trHeight w:val="340"/>
        </w:trPr>
        <w:tc>
          <w:tcPr>
            <w:tcW w:w="1602" w:type="dxa"/>
            <w:tcBorders>
              <w:top w:val="single" w:sz="4" w:space="0" w:color="auto"/>
              <w:left w:val="single" w:sz="4" w:space="0" w:color="auto"/>
              <w:bottom w:val="single" w:sz="4" w:space="0" w:color="auto"/>
              <w:right w:val="single" w:sz="4" w:space="0" w:color="auto"/>
            </w:tcBorders>
            <w:shd w:val="clear" w:color="auto" w:fill="BFBFBF"/>
            <w:noWrap/>
            <w:vAlign w:val="center"/>
          </w:tcPr>
          <w:p w14:paraId="7DEB5836" w14:textId="77777777" w:rsidR="00462DD4" w:rsidRPr="00795F17" w:rsidRDefault="00462DD4" w:rsidP="0044393D">
            <w:pPr>
              <w:pStyle w:val="Teksttabelinaglowek"/>
              <w:rPr>
                <w:rFonts w:eastAsia="Times New Roman"/>
                <w:color w:val="000000"/>
              </w:rPr>
            </w:pPr>
            <w:r w:rsidRPr="00795F17">
              <w:t>Razem</w:t>
            </w:r>
          </w:p>
        </w:tc>
        <w:tc>
          <w:tcPr>
            <w:tcW w:w="703" w:type="dxa"/>
            <w:tcBorders>
              <w:top w:val="single" w:sz="4" w:space="0" w:color="auto"/>
              <w:left w:val="nil"/>
              <w:bottom w:val="single" w:sz="4" w:space="0" w:color="auto"/>
              <w:right w:val="single" w:sz="4" w:space="0" w:color="2F75B5"/>
            </w:tcBorders>
            <w:shd w:val="clear" w:color="auto" w:fill="BFBFBF"/>
            <w:noWrap/>
            <w:vAlign w:val="center"/>
          </w:tcPr>
          <w:p w14:paraId="48A3FA64" w14:textId="3A15EDAA" w:rsidR="00462DD4" w:rsidRPr="00795F17" w:rsidRDefault="00462DD4" w:rsidP="0044393D">
            <w:pPr>
              <w:pStyle w:val="Teksttabelinaglowek"/>
              <w:rPr>
                <w:rFonts w:eastAsia="Times New Roman"/>
                <w:color w:val="000000"/>
              </w:rPr>
            </w:pPr>
            <w:r w:rsidRPr="00795F17">
              <w:t>1</w:t>
            </w:r>
            <w:r w:rsidR="00055982" w:rsidRPr="00795F17">
              <w:t> </w:t>
            </w:r>
            <w:r w:rsidRPr="00795F17">
              <w:t>272</w:t>
            </w:r>
          </w:p>
        </w:tc>
        <w:tc>
          <w:tcPr>
            <w:tcW w:w="1266" w:type="dxa"/>
            <w:tcBorders>
              <w:top w:val="single" w:sz="4" w:space="0" w:color="auto"/>
              <w:left w:val="single" w:sz="4" w:space="0" w:color="auto"/>
              <w:bottom w:val="single" w:sz="4" w:space="0" w:color="auto"/>
              <w:right w:val="single" w:sz="4" w:space="0" w:color="auto"/>
            </w:tcBorders>
            <w:shd w:val="clear" w:color="auto" w:fill="BFBFBF"/>
            <w:noWrap/>
            <w:vAlign w:val="center"/>
          </w:tcPr>
          <w:p w14:paraId="55C9A206" w14:textId="61D042AA" w:rsidR="00462DD4" w:rsidRPr="00795F17" w:rsidRDefault="00462DD4" w:rsidP="0044393D">
            <w:pPr>
              <w:pStyle w:val="Teksttabelinaglowek"/>
              <w:rPr>
                <w:rFonts w:eastAsia="Times New Roman"/>
                <w:color w:val="000000"/>
              </w:rPr>
            </w:pPr>
            <w:r w:rsidRPr="00795F17">
              <w:t>1</w:t>
            </w:r>
            <w:r w:rsidR="00055982" w:rsidRPr="00795F17">
              <w:t> </w:t>
            </w:r>
            <w:r w:rsidRPr="00795F17">
              <w:t>2</w:t>
            </w:r>
            <w:r w:rsidR="0088686C">
              <w:t>05</w:t>
            </w:r>
          </w:p>
        </w:tc>
        <w:tc>
          <w:tcPr>
            <w:tcW w:w="1266" w:type="dxa"/>
            <w:tcBorders>
              <w:top w:val="single" w:sz="4" w:space="0" w:color="auto"/>
              <w:left w:val="nil"/>
              <w:bottom w:val="single" w:sz="4" w:space="0" w:color="auto"/>
              <w:right w:val="single" w:sz="4" w:space="0" w:color="auto"/>
            </w:tcBorders>
            <w:shd w:val="clear" w:color="auto" w:fill="BFBFBF"/>
            <w:noWrap/>
            <w:vAlign w:val="center"/>
          </w:tcPr>
          <w:p w14:paraId="335995E6" w14:textId="55946C92" w:rsidR="00462DD4" w:rsidRPr="00795F17" w:rsidRDefault="00462DD4" w:rsidP="0044393D">
            <w:pPr>
              <w:pStyle w:val="Teksttabelinaglowek"/>
              <w:rPr>
                <w:rFonts w:eastAsia="Times New Roman"/>
                <w:color w:val="000000"/>
              </w:rPr>
            </w:pPr>
            <w:r w:rsidRPr="00795F17">
              <w:t>95</w:t>
            </w:r>
          </w:p>
        </w:tc>
        <w:tc>
          <w:tcPr>
            <w:tcW w:w="1056" w:type="dxa"/>
            <w:tcBorders>
              <w:top w:val="single" w:sz="4" w:space="0" w:color="auto"/>
              <w:left w:val="nil"/>
              <w:bottom w:val="single" w:sz="4" w:space="0" w:color="auto"/>
              <w:right w:val="single" w:sz="4" w:space="0" w:color="auto"/>
            </w:tcBorders>
            <w:shd w:val="clear" w:color="auto" w:fill="BFBFBF"/>
            <w:vAlign w:val="center"/>
          </w:tcPr>
          <w:p w14:paraId="0ED86A9B" w14:textId="4CDCB87D" w:rsidR="00462DD4" w:rsidRPr="00795F17" w:rsidRDefault="0004240F" w:rsidP="0044393D">
            <w:pPr>
              <w:pStyle w:val="Teksttabelinaglowek"/>
              <w:rPr>
                <w:rFonts w:eastAsia="Times New Roman"/>
                <w:color w:val="000000"/>
              </w:rPr>
            </w:pPr>
            <w:r>
              <w:t>844</w:t>
            </w:r>
          </w:p>
        </w:tc>
        <w:tc>
          <w:tcPr>
            <w:tcW w:w="1057" w:type="dxa"/>
            <w:tcBorders>
              <w:top w:val="single" w:sz="4" w:space="0" w:color="auto"/>
              <w:left w:val="single" w:sz="4" w:space="0" w:color="auto"/>
              <w:bottom w:val="single" w:sz="4" w:space="0" w:color="auto"/>
              <w:right w:val="single" w:sz="4" w:space="0" w:color="auto"/>
            </w:tcBorders>
            <w:shd w:val="clear" w:color="auto" w:fill="BFBFBF"/>
            <w:vAlign w:val="center"/>
          </w:tcPr>
          <w:p w14:paraId="1F7E6BD1" w14:textId="4A9E7FE8" w:rsidR="00462DD4" w:rsidRPr="00795F17" w:rsidRDefault="0004240F" w:rsidP="0044393D">
            <w:pPr>
              <w:pStyle w:val="Teksttabelinaglowek"/>
              <w:rPr>
                <w:rFonts w:eastAsia="Times New Roman"/>
                <w:color w:val="000000"/>
              </w:rPr>
            </w:pPr>
            <w:r>
              <w:t>33,6</w:t>
            </w:r>
          </w:p>
        </w:tc>
        <w:tc>
          <w:tcPr>
            <w:tcW w:w="1128" w:type="dxa"/>
            <w:tcBorders>
              <w:top w:val="single" w:sz="4" w:space="0" w:color="auto"/>
              <w:left w:val="single" w:sz="4" w:space="0" w:color="auto"/>
              <w:bottom w:val="single" w:sz="4" w:space="0" w:color="auto"/>
              <w:right w:val="single" w:sz="4" w:space="0" w:color="auto"/>
            </w:tcBorders>
            <w:shd w:val="clear" w:color="auto" w:fill="BFBFBF"/>
            <w:noWrap/>
            <w:vAlign w:val="center"/>
          </w:tcPr>
          <w:p w14:paraId="4FFAEA8C" w14:textId="3D9DC1B8" w:rsidR="00462DD4" w:rsidRPr="00795F17" w:rsidRDefault="0004240F" w:rsidP="0044393D">
            <w:pPr>
              <w:pStyle w:val="Teksttabelinaglowek"/>
              <w:rPr>
                <w:rFonts w:eastAsia="Times New Roman"/>
                <w:color w:val="000000"/>
              </w:rPr>
            </w:pPr>
            <w:r>
              <w:t>905</w:t>
            </w:r>
          </w:p>
        </w:tc>
        <w:tc>
          <w:tcPr>
            <w:tcW w:w="984" w:type="dxa"/>
            <w:tcBorders>
              <w:top w:val="single" w:sz="4" w:space="0" w:color="auto"/>
              <w:left w:val="nil"/>
              <w:bottom w:val="single" w:sz="4" w:space="0" w:color="auto"/>
              <w:right w:val="single" w:sz="4" w:space="0" w:color="auto"/>
            </w:tcBorders>
            <w:shd w:val="clear" w:color="auto" w:fill="BFBFBF"/>
            <w:vAlign w:val="center"/>
          </w:tcPr>
          <w:p w14:paraId="6804CA7C" w14:textId="51996057" w:rsidR="00462DD4" w:rsidRPr="00795F17" w:rsidRDefault="0004240F" w:rsidP="0044393D">
            <w:pPr>
              <w:pStyle w:val="Teksttabelinaglowek"/>
              <w:rPr>
                <w:rFonts w:eastAsia="Times New Roman"/>
                <w:color w:val="000000"/>
              </w:rPr>
            </w:pPr>
            <w:r>
              <w:t>28,9</w:t>
            </w:r>
          </w:p>
        </w:tc>
      </w:tr>
    </w:tbl>
    <w:p w14:paraId="378885E7" w14:textId="19AFF976" w:rsidR="00AA0761" w:rsidRPr="009F7F19" w:rsidRDefault="00AA0761" w:rsidP="0078755C">
      <w:pPr>
        <w:pStyle w:val="Tabela-wyjasnieniapod"/>
      </w:pPr>
      <w:r w:rsidRPr="000D33FE">
        <w:t>Objaśnienia:</w:t>
      </w:r>
    </w:p>
    <w:p w14:paraId="0BDADA3E" w14:textId="19E65966" w:rsidR="00462DD4" w:rsidRPr="00795F17" w:rsidRDefault="00462DD4" w:rsidP="0078755C">
      <w:pPr>
        <w:pStyle w:val="Tabela-wyjasnieniapod"/>
      </w:pPr>
      <w:r w:rsidRPr="00795F17">
        <w:rPr>
          <w:vertAlign w:val="superscript"/>
        </w:rPr>
        <w:t>1)</w:t>
      </w:r>
      <w:r w:rsidR="00080745" w:rsidRPr="00795F17">
        <w:rPr>
          <w:vertAlign w:val="superscript"/>
        </w:rPr>
        <w:t xml:space="preserve"> </w:t>
      </w:r>
      <w:r w:rsidR="00DF005E">
        <w:t>JCWP</w:t>
      </w:r>
      <w:r w:rsidRPr="00795F17">
        <w:t xml:space="preserve"> zagrożone </w:t>
      </w:r>
      <w:r w:rsidR="001F5AA9">
        <w:t>–</w:t>
      </w:r>
      <w:r w:rsidRPr="00795F17">
        <w:t xml:space="preserve"> </w:t>
      </w:r>
      <w:r w:rsidR="00DF005E">
        <w:t>JCWP</w:t>
      </w:r>
      <w:r w:rsidRPr="00795F17">
        <w:t xml:space="preserve"> zagrożone nieosiągnięciem celów środowiskowych</w:t>
      </w:r>
      <w:r w:rsidR="00C5422E">
        <w:t>.</w:t>
      </w:r>
    </w:p>
    <w:p w14:paraId="65F3340B" w14:textId="39958924" w:rsidR="00462DD4" w:rsidRPr="00795F17" w:rsidRDefault="00462DD4" w:rsidP="0078755C">
      <w:pPr>
        <w:pStyle w:val="Tabela-wyjasnieniapod"/>
      </w:pPr>
      <w:r w:rsidRPr="00795F17">
        <w:rPr>
          <w:vertAlign w:val="superscript"/>
        </w:rPr>
        <w:t>2)</w:t>
      </w:r>
      <w:r w:rsidRPr="00795F17">
        <w:t xml:space="preserve"> Ocena stanu na podstawie oceny 2014</w:t>
      </w:r>
      <w:r w:rsidR="001F5AA9">
        <w:t>–</w:t>
      </w:r>
      <w:r w:rsidRPr="00795F17">
        <w:t xml:space="preserve">2019 (GIOŚ) zgodnie z </w:t>
      </w:r>
      <w:r w:rsidR="00DF005E">
        <w:t>r.kl.jcwp</w:t>
      </w:r>
      <w:r w:rsidRPr="00795F17">
        <w:t xml:space="preserve"> </w:t>
      </w:r>
      <w:r w:rsidR="00442820">
        <w:t>według</w:t>
      </w:r>
      <w:r w:rsidRPr="00795F17">
        <w:t xml:space="preserve"> klasyfikacji obowiązującej do </w:t>
      </w:r>
      <w:r w:rsidR="00FE1344">
        <w:t xml:space="preserve">1 stycznia </w:t>
      </w:r>
      <w:r w:rsidRPr="00795F17">
        <w:t>2022</w:t>
      </w:r>
      <w:r w:rsidR="00717116" w:rsidRPr="00795F17">
        <w:t> </w:t>
      </w:r>
      <w:r w:rsidRPr="00795F17">
        <w:t xml:space="preserve">r. przeniesiona na nowy układ planistyczny. Wartość wskazuje liczbę </w:t>
      </w:r>
      <w:r w:rsidR="00DF005E">
        <w:t>JCWP</w:t>
      </w:r>
      <w:r w:rsidRPr="00795F17">
        <w:t xml:space="preserve"> RW (spośród sklasyfikowanych w układzie planistycznym aPGW), dla których możliwe było przeniesienie oceny na aktualny układ planistyczny IIaPGW</w:t>
      </w:r>
      <w:r w:rsidR="00C5422E">
        <w:t>.</w:t>
      </w:r>
    </w:p>
    <w:p w14:paraId="3E207AB0" w14:textId="78B7A9DE" w:rsidR="00462DD4" w:rsidRPr="00795F17" w:rsidRDefault="00462DD4" w:rsidP="0078755C">
      <w:pPr>
        <w:pStyle w:val="Tabela-wyjasnieniapod"/>
      </w:pPr>
      <w:r w:rsidRPr="00795F17">
        <w:rPr>
          <w:vertAlign w:val="superscript"/>
        </w:rPr>
        <w:t>3)</w:t>
      </w:r>
      <w:r w:rsidR="003278AB">
        <w:rPr>
          <w:vertAlign w:val="superscript"/>
        </w:rPr>
        <w:t xml:space="preserve"> </w:t>
      </w:r>
      <w:r w:rsidRPr="00795F17">
        <w:t>Ocena stanu na podstawie oceny 2014</w:t>
      </w:r>
      <w:r w:rsidR="001F5AA9">
        <w:t>–</w:t>
      </w:r>
      <w:r w:rsidRPr="00795F17">
        <w:t xml:space="preserve">2019 (GIOŚ) przeliczona zgodnie z </w:t>
      </w:r>
      <w:r w:rsidR="00DF005E">
        <w:t>r.kl.jcwp</w:t>
      </w:r>
      <w:r w:rsidRPr="00795F17">
        <w:t xml:space="preserve"> </w:t>
      </w:r>
      <w:r w:rsidR="00442820">
        <w:t>według</w:t>
      </w:r>
      <w:r w:rsidRPr="00795F17">
        <w:t xml:space="preserve"> klasyfikacji obowiązującej od</w:t>
      </w:r>
      <w:r w:rsidR="00717116" w:rsidRPr="00795F17">
        <w:t> </w:t>
      </w:r>
      <w:r w:rsidR="003278AB">
        <w:t xml:space="preserve">1 stycznia </w:t>
      </w:r>
      <w:r w:rsidRPr="00795F17">
        <w:t>2022</w:t>
      </w:r>
      <w:r w:rsidR="00717116" w:rsidRPr="00795F17">
        <w:t> </w:t>
      </w:r>
      <w:r w:rsidRPr="00795F17">
        <w:t xml:space="preserve">r. oraz przy wykorzystaniu wyników Analizy znaczących oddziaływań </w:t>
      </w:r>
      <w:r w:rsidR="001F5AA9">
        <w:t>–</w:t>
      </w:r>
      <w:r w:rsidRPr="00795F17">
        <w:t xml:space="preserve"> </w:t>
      </w:r>
      <w:r w:rsidR="00DF005E">
        <w:t>JCWP</w:t>
      </w:r>
      <w:r w:rsidRPr="00795F17">
        <w:t xml:space="preserve"> (…) dla </w:t>
      </w:r>
      <w:r w:rsidR="00DF005E">
        <w:t>JCWP</w:t>
      </w:r>
      <w:r w:rsidRPr="00795F17">
        <w:t xml:space="preserve"> niemonitorowanych, dla</w:t>
      </w:r>
      <w:r w:rsidR="00717116" w:rsidRPr="00795F17">
        <w:t> </w:t>
      </w:r>
      <w:r w:rsidRPr="00795F17">
        <w:t>których nie dokonano oceny stanu 2014</w:t>
      </w:r>
      <w:r w:rsidR="001F5AA9">
        <w:t>–</w:t>
      </w:r>
      <w:r w:rsidRPr="00795F17">
        <w:t>2019 (PMŚ), jest traktowana jako poglądowa, podlegająca weryfikacji w oparciu o nowe badania stanu wód, zrealizowane zgodnie z</w:t>
      </w:r>
      <w:r w:rsidR="00080745" w:rsidRPr="00795F17">
        <w:t> </w:t>
      </w:r>
      <w:r w:rsidRPr="00795F17">
        <w:t>metodykami PMŚ, normami oraz przepisami w</w:t>
      </w:r>
      <w:r w:rsidR="003278AB">
        <w:t> </w:t>
      </w:r>
      <w:r w:rsidRPr="00795F17">
        <w:t>trakcie obowiązywania IIaPGW i akceptacji organu odpowiedzialnego za prowadzenie PMŚ.</w:t>
      </w:r>
    </w:p>
    <w:p w14:paraId="7F0F92F7" w14:textId="6730BBDE"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w:t>
      </w:r>
      <w:r w:rsidR="00FD7248" w:rsidRPr="00795F17">
        <w:t xml:space="preserve"> </w:t>
      </w:r>
      <w:r w:rsidRPr="00795F17">
        <w:br/>
        <w:t xml:space="preserve"> Analizy znaczących oddziaływań </w:t>
      </w:r>
      <w:r w:rsidR="001F5AA9">
        <w:t>–</w:t>
      </w:r>
      <w:r w:rsidRPr="00795F17">
        <w:t xml:space="preserve"> </w:t>
      </w:r>
      <w:r w:rsidR="00DF005E">
        <w:t>JCWP</w:t>
      </w:r>
      <w:r w:rsidRPr="00795F17">
        <w:t xml:space="preserve"> (…)</w:t>
      </w:r>
    </w:p>
    <w:p w14:paraId="1A1BECC7" w14:textId="4DA992F9" w:rsidR="00462DD4" w:rsidRPr="00795F17" w:rsidRDefault="00462DD4" w:rsidP="005842B5">
      <w:pPr>
        <w:rPr>
          <w:noProof/>
        </w:rPr>
      </w:pPr>
    </w:p>
    <w:p w14:paraId="4397EF57" w14:textId="74444D8E" w:rsidR="00A55FB9" w:rsidRPr="00795F17" w:rsidRDefault="00A55FB9" w:rsidP="008E5000">
      <w:pPr>
        <w:jc w:val="center"/>
        <w:rPr>
          <w:noProof/>
        </w:rPr>
      </w:pPr>
      <w:r>
        <w:rPr>
          <w:noProof/>
        </w:rPr>
        <w:drawing>
          <wp:inline distT="0" distB="0" distL="0" distR="0" wp14:anchorId="7B602669" wp14:editId="58A81441">
            <wp:extent cx="4343400" cy="2857500"/>
            <wp:effectExtent l="0" t="0" r="0" b="0"/>
            <wp:docPr id="71" name="Chart 71">
              <a:extLst xmlns:a="http://schemas.openxmlformats.org/drawingml/2006/main">
                <a:ext uri="{FF2B5EF4-FFF2-40B4-BE49-F238E27FC236}">
                  <a16:creationId xmlns:a16="http://schemas.microsoft.com/office/drawing/2014/main" id="{7FEBE353-55AC-4E99-9A3E-A12C633989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C5741B2" w14:textId="4D9F349E" w:rsidR="00462DD4" w:rsidRPr="00795F17" w:rsidRDefault="00462DD4" w:rsidP="00B479EE">
      <w:pPr>
        <w:pStyle w:val="Wykres"/>
      </w:pPr>
      <w:bookmarkStart w:id="167" w:name="_Toc66272999"/>
      <w:bookmarkStart w:id="168" w:name="_Toc105512957"/>
      <w:r w:rsidRPr="00795F17">
        <w:t xml:space="preserve">Wykres </w:t>
      </w:r>
      <w:fldSimple w:instr=" STYLEREF 1 \s ">
        <w:r w:rsidR="001F774D">
          <w:rPr>
            <w:noProof/>
          </w:rPr>
          <w:t>5</w:t>
        </w:r>
      </w:fldSimple>
      <w:r w:rsidR="00FF20D3">
        <w:noBreakHyphen/>
      </w:r>
      <w:fldSimple w:instr=" SEQ Wykres \* ARABIC \s 1 ">
        <w:r w:rsidR="001F774D">
          <w:rPr>
            <w:noProof/>
          </w:rPr>
          <w:t>3</w:t>
        </w:r>
      </w:fldSimple>
      <w:r w:rsidR="00DD6415">
        <w:rPr>
          <w:noProof/>
        </w:rPr>
        <w:t>.</w:t>
      </w:r>
      <w:r w:rsidRPr="00795F17">
        <w:tab/>
        <w:t xml:space="preserve">Udział </w:t>
      </w:r>
      <w:r w:rsidR="00DF005E">
        <w:t>JCWP</w:t>
      </w:r>
      <w:r w:rsidRPr="00795F17">
        <w:t xml:space="preserve"> RW z oceną stanu w ogólnej liczbie </w:t>
      </w:r>
      <w:r w:rsidR="00DF005E">
        <w:t>JCWP</w:t>
      </w:r>
      <w:r w:rsidRPr="00795F17">
        <w:t xml:space="preserve"> RW na obszarze dorzecza Odry </w:t>
      </w:r>
      <w:r w:rsidR="001F5AA9">
        <w:t>–</w:t>
      </w:r>
      <w:r w:rsidRPr="00795F17">
        <w:t xml:space="preserve"> ocena stanu zgodnie z </w:t>
      </w:r>
      <w:r w:rsidR="00DF005E">
        <w:t>r.kl.jcwp</w:t>
      </w:r>
      <w:r w:rsidRPr="00795F17">
        <w:t xml:space="preserve"> do 2022 r.</w:t>
      </w:r>
      <w:bookmarkEnd w:id="167"/>
      <w:bookmarkEnd w:id="168"/>
    </w:p>
    <w:p w14:paraId="7A80145D" w14:textId="2FB7D5B0"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w:t>
      </w:r>
    </w:p>
    <w:p w14:paraId="70289FBA" w14:textId="05C62CF1" w:rsidR="0078755C" w:rsidRPr="00795F17" w:rsidRDefault="0078755C" w:rsidP="005842B5">
      <w:bookmarkStart w:id="169" w:name="_Toc66273000"/>
    </w:p>
    <w:p w14:paraId="6D924AA0" w14:textId="7841E48C" w:rsidR="00A55FB9" w:rsidRPr="00795F17" w:rsidRDefault="00F836DA" w:rsidP="008E5000">
      <w:pPr>
        <w:jc w:val="center"/>
      </w:pPr>
      <w:r>
        <w:rPr>
          <w:noProof/>
        </w:rPr>
        <w:drawing>
          <wp:inline distT="0" distB="0" distL="0" distR="0" wp14:anchorId="12E9C300" wp14:editId="66EA343A">
            <wp:extent cx="4343400" cy="2857500"/>
            <wp:effectExtent l="0" t="0" r="0" b="0"/>
            <wp:docPr id="74" name="Chart 74">
              <a:extLst xmlns:a="http://schemas.openxmlformats.org/drawingml/2006/main">
                <a:ext uri="{FF2B5EF4-FFF2-40B4-BE49-F238E27FC236}">
                  <a16:creationId xmlns:a16="http://schemas.microsoft.com/office/drawing/2014/main" id="{09D43C56-2379-47F1-BC1C-DFD6C1D93B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D561C3F" w14:textId="7C8A4590" w:rsidR="00462DD4" w:rsidRPr="00795F17" w:rsidRDefault="00462DD4" w:rsidP="00B479EE">
      <w:pPr>
        <w:pStyle w:val="Wykres"/>
      </w:pPr>
      <w:bookmarkStart w:id="170" w:name="_Toc105512958"/>
      <w:r w:rsidRPr="00795F17">
        <w:t xml:space="preserve">Wykres </w:t>
      </w:r>
      <w:fldSimple w:instr=" STYLEREF 1 \s ">
        <w:r w:rsidR="001F774D">
          <w:rPr>
            <w:noProof/>
          </w:rPr>
          <w:t>5</w:t>
        </w:r>
      </w:fldSimple>
      <w:r w:rsidR="00FF20D3">
        <w:noBreakHyphen/>
      </w:r>
      <w:fldSimple w:instr=" SEQ Wykres \* ARABIC \s 1 ">
        <w:r w:rsidR="001F774D">
          <w:rPr>
            <w:noProof/>
          </w:rPr>
          <w:t>4</w:t>
        </w:r>
      </w:fldSimple>
      <w:r w:rsidR="00BA11D4">
        <w:rPr>
          <w:noProof/>
        </w:rPr>
        <w:t>.</w:t>
      </w:r>
      <w:r w:rsidRPr="00795F17">
        <w:tab/>
        <w:t xml:space="preserve">Udział </w:t>
      </w:r>
      <w:r w:rsidR="00DF005E">
        <w:t>JCWP</w:t>
      </w:r>
      <w:r w:rsidRPr="00795F17">
        <w:t xml:space="preserve"> RW z oceną stanu w ogólnej liczbie </w:t>
      </w:r>
      <w:r w:rsidR="00DF005E">
        <w:t>JCWP</w:t>
      </w:r>
      <w:r w:rsidRPr="00795F17">
        <w:t xml:space="preserve"> RW na obszarze dorzecza Odry </w:t>
      </w:r>
      <w:r w:rsidR="001F5AA9">
        <w:t>–</w:t>
      </w:r>
      <w:r w:rsidRPr="00795F17">
        <w:t xml:space="preserve"> ocena stanu zgodnie z </w:t>
      </w:r>
      <w:r w:rsidR="00DF005E">
        <w:t>r.kl.jcwp</w:t>
      </w:r>
      <w:r w:rsidRPr="00795F17">
        <w:t xml:space="preserve"> od 2022 r.</w:t>
      </w:r>
      <w:bookmarkEnd w:id="169"/>
      <w:bookmarkEnd w:id="170"/>
    </w:p>
    <w:p w14:paraId="0B866C2A" w14:textId="20668781"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 </w:t>
      </w:r>
      <w:r w:rsidRPr="00795F17">
        <w:br/>
        <w:t xml:space="preserve">Analizy znaczących oddziaływań </w:t>
      </w:r>
      <w:r w:rsidR="001F5AA9">
        <w:t>–</w:t>
      </w:r>
      <w:r w:rsidRPr="00795F17">
        <w:t xml:space="preserve"> </w:t>
      </w:r>
      <w:r w:rsidR="00DF005E">
        <w:t>JCWP</w:t>
      </w:r>
      <w:r w:rsidRPr="00795F17">
        <w:t xml:space="preserve"> (…)</w:t>
      </w:r>
    </w:p>
    <w:p w14:paraId="3EF0417A" w14:textId="3ED53FBC" w:rsidR="00462DD4" w:rsidRPr="00795F17" w:rsidRDefault="00462DD4" w:rsidP="0044393D">
      <w:r w:rsidRPr="00795F17">
        <w:t xml:space="preserve">Z uwagi na przyjęty sposób prezentacji danych dotyczących oceny stanu </w:t>
      </w:r>
      <w:r w:rsidR="00DF005E">
        <w:t>JCWP</w:t>
      </w:r>
      <w:r w:rsidRPr="00795F17">
        <w:t xml:space="preserve"> ze wskazaniem również ocen stanu uzyskanych przy uwzględnieniu </w:t>
      </w:r>
      <w:r w:rsidR="008C5E88">
        <w:t>postanowień</w:t>
      </w:r>
      <w:r w:rsidRPr="00795F17">
        <w:t xml:space="preserve"> </w:t>
      </w:r>
      <w:r w:rsidR="00DF005E">
        <w:t>r.kl.jcwp</w:t>
      </w:r>
      <w:r w:rsidRPr="00795F17">
        <w:t xml:space="preserve"> obowiązujących od 2022 roku, poniżej </w:t>
      </w:r>
      <w:r w:rsidR="00B14FD9" w:rsidRPr="00795F17">
        <w:t xml:space="preserve">(tabela 5-14) </w:t>
      </w:r>
      <w:r w:rsidRPr="00795F17">
        <w:t>zaprezentowane zostały podsumowania dotyczące ocen stanu bądź potencjału ekologicznego, ocen stanu chemicznego</w:t>
      </w:r>
      <w:r w:rsidR="00080745" w:rsidRPr="00795F17">
        <w:t>,</w:t>
      </w:r>
      <w:r w:rsidRPr="00795F17">
        <w:t xml:space="preserve"> a w efekcie ocen stanu </w:t>
      </w:r>
      <w:r w:rsidR="00DF005E">
        <w:t>JCWP</w:t>
      </w:r>
      <w:r w:rsidRPr="00795F17">
        <w:t xml:space="preserve"> również przy wyróżnieniu dwóch okresów wskazanych w </w:t>
      </w:r>
      <w:r w:rsidR="00DF005E">
        <w:t>r.kl.jcwp</w:t>
      </w:r>
      <w:r w:rsidRPr="00795F17">
        <w:t xml:space="preserve">. Wartości wskazane jako ocena zgodnie z </w:t>
      </w:r>
      <w:r w:rsidR="00DF005E">
        <w:t>r.kl.jcwp</w:t>
      </w:r>
      <w:r w:rsidRPr="00795F17">
        <w:t xml:space="preserve"> od</w:t>
      </w:r>
      <w:r w:rsidR="00625948" w:rsidRPr="00795F17">
        <w:t> </w:t>
      </w:r>
      <w:r w:rsidRPr="00795F17">
        <w:t>2022</w:t>
      </w:r>
      <w:r w:rsidR="003440FC" w:rsidRPr="00795F17">
        <w:t> </w:t>
      </w:r>
      <w:r w:rsidRPr="00795F17">
        <w:t>r.</w:t>
      </w:r>
      <w:r w:rsidR="00625948" w:rsidRPr="00795F17">
        <w:t> </w:t>
      </w:r>
      <w:r w:rsidRPr="00795F17">
        <w:t>traktowana jest poglądowo, dla zapewnienia możliwości odniesienia się do klasyfikacji stosowanej w</w:t>
      </w:r>
      <w:r w:rsidR="00B14FD9" w:rsidRPr="00795F17">
        <w:t> </w:t>
      </w:r>
      <w:r w:rsidRPr="00795F17">
        <w:t>cyklu planistycznym IIaPGW.</w:t>
      </w:r>
      <w:r w:rsidR="0006165A" w:rsidRPr="00795F17">
        <w:t xml:space="preserve"> Wyniki oceny eksperckiej oceny stanu/potencjału ekologicznego dla </w:t>
      </w:r>
      <w:r w:rsidR="00DF005E">
        <w:t>JCWP</w:t>
      </w:r>
      <w:r w:rsidR="0006165A" w:rsidRPr="00795F17">
        <w:t xml:space="preserve"> RW od roku 2022 przedstawiono w załączniku graficznym </w:t>
      </w:r>
      <w:r w:rsidR="00F834CF">
        <w:t xml:space="preserve">nr </w:t>
      </w:r>
      <w:r w:rsidR="0023694E">
        <w:t>20</w:t>
      </w:r>
      <w:r w:rsidR="0006165A" w:rsidRPr="00795F17">
        <w:t>.</w:t>
      </w:r>
    </w:p>
    <w:p w14:paraId="220CC455" w14:textId="45D36544" w:rsidR="00462DD4" w:rsidRPr="00795F17" w:rsidRDefault="00462DD4" w:rsidP="0044393D">
      <w:r w:rsidRPr="00795F17">
        <w:t xml:space="preserve">Spośród wszystkich </w:t>
      </w:r>
      <w:r w:rsidR="00DF005E">
        <w:t>JCWP</w:t>
      </w:r>
      <w:r w:rsidRPr="00795F17">
        <w:t xml:space="preserve"> RW obszaru dorzecza Odry ocenę stanu bądź potencjału ekologicznego przeniesiono na nowy układ planistyczny dla 6</w:t>
      </w:r>
      <w:r w:rsidR="007F78BA">
        <w:t>8</w:t>
      </w:r>
      <w:r w:rsidRPr="00795F17">
        <w:t xml:space="preserve">% </w:t>
      </w:r>
      <w:r w:rsidR="00DF005E">
        <w:t>JCWP</w:t>
      </w:r>
      <w:r w:rsidRPr="00795F17">
        <w:t xml:space="preserve"> RW (ocena stanu 2014</w:t>
      </w:r>
      <w:r w:rsidR="001F5AA9">
        <w:t>–</w:t>
      </w:r>
      <w:r w:rsidRPr="00795F17">
        <w:t xml:space="preserve">2019 GIOŚ </w:t>
      </w:r>
      <w:r w:rsidR="00442820">
        <w:t>według</w:t>
      </w:r>
      <w:r w:rsidR="003440FC" w:rsidRPr="00795F17">
        <w:t> </w:t>
      </w:r>
      <w:r w:rsidR="00DF005E">
        <w:t>r.kl.jcwp</w:t>
      </w:r>
      <w:r w:rsidRPr="00795F17">
        <w:t xml:space="preserve"> do 2022 r.), natomiast przy uwzględnieniu klasyfikacji zgodnie z </w:t>
      </w:r>
      <w:r w:rsidR="00DF005E">
        <w:t>r.kl.jcwp</w:t>
      </w:r>
      <w:r w:rsidRPr="00795F17">
        <w:t xml:space="preserve"> od 2022 roku oraz wyników analiz eksperckich liczba </w:t>
      </w:r>
      <w:r w:rsidR="00DF005E">
        <w:t>JCWP</w:t>
      </w:r>
      <w:r w:rsidRPr="00795F17">
        <w:t xml:space="preserve"> z uzyskaną poglądową oceną stanu bądź potencjału ekologicznego wynosi ok</w:t>
      </w:r>
      <w:r w:rsidR="001A1F73">
        <w:t>oło</w:t>
      </w:r>
      <w:r w:rsidRPr="00795F17">
        <w:t xml:space="preserve"> </w:t>
      </w:r>
      <w:r w:rsidR="000B3D7D">
        <w:t>66</w:t>
      </w:r>
      <w:r w:rsidRPr="00795F17">
        <w:t xml:space="preserve">% </w:t>
      </w:r>
      <w:r w:rsidR="00DF005E">
        <w:t>JCWP</w:t>
      </w:r>
      <w:r w:rsidRPr="00795F17">
        <w:t xml:space="preserve"> RW </w:t>
      </w:r>
      <w:r w:rsidR="00AF2F56">
        <w:t>na</w:t>
      </w:r>
      <w:r w:rsidRPr="00795F17">
        <w:t xml:space="preserve"> obszarze dorzecza Odry.</w:t>
      </w:r>
    </w:p>
    <w:p w14:paraId="5ED4B0A4" w14:textId="77D72909" w:rsidR="00462DD4" w:rsidRPr="001D33CA" w:rsidRDefault="00462DD4" w:rsidP="005842B5">
      <w:r w:rsidRPr="001D33CA">
        <w:t xml:space="preserve">W przypadku stanu chemicznego, spośród wszystkich </w:t>
      </w:r>
      <w:r w:rsidR="00DF005E">
        <w:t>JCWP</w:t>
      </w:r>
      <w:r w:rsidRPr="001D33CA">
        <w:t xml:space="preserve"> RW obszaru dorzecza Odry ocena stanu chemicznego wykonana została dla o</w:t>
      </w:r>
      <w:r w:rsidR="000B3D7D" w:rsidRPr="001D33CA">
        <w:t>k</w:t>
      </w:r>
      <w:r w:rsidR="00AF2F56" w:rsidRPr="001D33CA">
        <w:t>oło</w:t>
      </w:r>
      <w:r w:rsidRPr="001D33CA">
        <w:t xml:space="preserve"> 4</w:t>
      </w:r>
      <w:r w:rsidR="000B3D7D" w:rsidRPr="001D33CA">
        <w:t>3</w:t>
      </w:r>
      <w:r w:rsidRPr="001D33CA">
        <w:t xml:space="preserve">% </w:t>
      </w:r>
      <w:r w:rsidR="00DF005E">
        <w:t>JCWP</w:t>
      </w:r>
      <w:r w:rsidRPr="001D33CA">
        <w:t xml:space="preserve"> RW (ocena stanu 2014</w:t>
      </w:r>
      <w:r w:rsidR="001F5AA9" w:rsidRPr="001D33CA">
        <w:t>–</w:t>
      </w:r>
      <w:r w:rsidRPr="001D33CA">
        <w:t xml:space="preserve">2019 GIOŚ </w:t>
      </w:r>
      <w:r w:rsidR="00442820" w:rsidRPr="001D33CA">
        <w:t>według</w:t>
      </w:r>
      <w:r w:rsidRPr="001D33CA">
        <w:t xml:space="preserve"> </w:t>
      </w:r>
      <w:r w:rsidR="00DF005E">
        <w:t>r.kl.jcwp</w:t>
      </w:r>
      <w:r w:rsidRPr="001D33CA">
        <w:t xml:space="preserve"> do</w:t>
      </w:r>
      <w:r w:rsidR="003440FC" w:rsidRPr="001D33CA">
        <w:t> </w:t>
      </w:r>
      <w:r w:rsidRPr="001D33CA">
        <w:t xml:space="preserve">2022 r.), natomiast przy uwzględnieniu klasyfikacji zgodnie z </w:t>
      </w:r>
      <w:r w:rsidR="00DF005E">
        <w:t>r.kl.jcwp</w:t>
      </w:r>
      <w:r w:rsidRPr="001D33CA">
        <w:t xml:space="preserve"> od 2022 roku oraz wyników analiz eksperckich liczba </w:t>
      </w:r>
      <w:r w:rsidR="00DF005E">
        <w:t>JCWP</w:t>
      </w:r>
      <w:r w:rsidRPr="001D33CA">
        <w:t xml:space="preserve"> z uzyskaną poglądową </w:t>
      </w:r>
      <w:r w:rsidR="00C12087">
        <w:t>klasyfikacją stanu chemicznego</w:t>
      </w:r>
      <w:r w:rsidRPr="001D33CA">
        <w:t xml:space="preserve"> wynosi ok</w:t>
      </w:r>
      <w:r w:rsidR="00AF2F56" w:rsidRPr="001D33CA">
        <w:t>oło</w:t>
      </w:r>
      <w:r w:rsidRPr="001D33CA">
        <w:t xml:space="preserve"> </w:t>
      </w:r>
      <w:r w:rsidR="00164933" w:rsidRPr="001D33CA">
        <w:t>65</w:t>
      </w:r>
      <w:r w:rsidRPr="001D33CA">
        <w:t xml:space="preserve">% </w:t>
      </w:r>
      <w:r w:rsidR="00DF005E">
        <w:t>JCWP</w:t>
      </w:r>
      <w:r w:rsidRPr="001D33CA">
        <w:t xml:space="preserve"> RW w obszarze dorzecza Odry. </w:t>
      </w:r>
      <w:r w:rsidR="00975518" w:rsidRPr="001D33CA">
        <w:t xml:space="preserve">Wyniki oceny eksperckiej </w:t>
      </w:r>
      <w:r w:rsidR="00C12087">
        <w:t>klasyfikacji stanu chemicznego</w:t>
      </w:r>
      <w:r w:rsidR="00975518" w:rsidRPr="001D33CA">
        <w:t xml:space="preserve"> dla </w:t>
      </w:r>
      <w:r w:rsidR="00DF005E">
        <w:t>JCWP</w:t>
      </w:r>
      <w:r w:rsidR="00975518" w:rsidRPr="001D33CA">
        <w:t xml:space="preserve"> RW d</w:t>
      </w:r>
      <w:r w:rsidR="00894CC6" w:rsidRPr="001D33CA">
        <w:t>o</w:t>
      </w:r>
      <w:r w:rsidR="003440FC" w:rsidRPr="001D33CA">
        <w:t> </w:t>
      </w:r>
      <w:r w:rsidR="00975518" w:rsidRPr="001D33CA">
        <w:t xml:space="preserve">roku 2022 przedstawiono w załączniku graficznym </w:t>
      </w:r>
      <w:r w:rsidR="0075020A" w:rsidRPr="001D33CA">
        <w:t xml:space="preserve">nr </w:t>
      </w:r>
      <w:r w:rsidR="000D31C7">
        <w:t>24</w:t>
      </w:r>
      <w:r w:rsidR="00975518" w:rsidRPr="001D33CA">
        <w:t xml:space="preserve">, a od roku 2022 w załączniku graficznym </w:t>
      </w:r>
      <w:r w:rsidR="0075020A" w:rsidRPr="001D33CA">
        <w:t xml:space="preserve">nr </w:t>
      </w:r>
      <w:r w:rsidR="00372473">
        <w:t>28</w:t>
      </w:r>
      <w:r w:rsidR="00975518" w:rsidRPr="001D33CA">
        <w:t>.</w:t>
      </w:r>
    </w:p>
    <w:p w14:paraId="20897386" w14:textId="37E65264" w:rsidR="00462DD4" w:rsidRPr="001D33CA" w:rsidRDefault="00462DD4" w:rsidP="005842B5">
      <w:r w:rsidRPr="001D33CA">
        <w:t xml:space="preserve">Ocenę stanu wód przeniesiono na nowy układ planistyczny dla </w:t>
      </w:r>
      <w:r w:rsidR="00164933" w:rsidRPr="001D33CA">
        <w:t xml:space="preserve">ponad </w:t>
      </w:r>
      <w:r w:rsidRPr="001D33CA">
        <w:t>6</w:t>
      </w:r>
      <w:r w:rsidR="00164933" w:rsidRPr="001D33CA">
        <w:t>6</w:t>
      </w:r>
      <w:r w:rsidRPr="001D33CA">
        <w:t xml:space="preserve">% </w:t>
      </w:r>
      <w:r w:rsidR="00DF005E">
        <w:t>JCWP</w:t>
      </w:r>
      <w:r w:rsidRPr="001D33CA">
        <w:t xml:space="preserve"> RW spośród wszystkich </w:t>
      </w:r>
      <w:r w:rsidR="00DF005E">
        <w:t>JCWP</w:t>
      </w:r>
      <w:r w:rsidRPr="001D33CA">
        <w:t xml:space="preserve"> RW obszaru dorzecza Odry (ocena stanu 2014</w:t>
      </w:r>
      <w:r w:rsidR="001F5AA9" w:rsidRPr="001D33CA">
        <w:t>–</w:t>
      </w:r>
      <w:r w:rsidRPr="001D33CA">
        <w:t xml:space="preserve">2019 GIOŚ </w:t>
      </w:r>
      <w:r w:rsidR="00442820" w:rsidRPr="001D33CA">
        <w:t>według</w:t>
      </w:r>
      <w:r w:rsidRPr="001D33CA">
        <w:t xml:space="preserve"> </w:t>
      </w:r>
      <w:r w:rsidR="00DF005E">
        <w:t>r.kl.jcwp</w:t>
      </w:r>
      <w:r w:rsidRPr="001D33CA">
        <w:t xml:space="preserve"> do 2022 r.), natomiast przy uwzględnieniu klasyfikacji zgodnie z </w:t>
      </w:r>
      <w:r w:rsidR="00DF005E">
        <w:t>r.kl.jcwp</w:t>
      </w:r>
      <w:r w:rsidRPr="001D33CA">
        <w:t xml:space="preserve"> od 2022 roku oraz wyników analiz eksperckich liczba </w:t>
      </w:r>
      <w:r w:rsidR="00DF005E">
        <w:t>JCWP</w:t>
      </w:r>
      <w:r w:rsidRPr="001D33CA">
        <w:t xml:space="preserve"> z uzyskaną poglądową oceną stanu wynosi ok</w:t>
      </w:r>
      <w:r w:rsidR="00AF2F56" w:rsidRPr="001D33CA">
        <w:t>oło</w:t>
      </w:r>
      <w:r w:rsidRPr="001D33CA">
        <w:t xml:space="preserve"> </w:t>
      </w:r>
      <w:r w:rsidR="00FE3DD0" w:rsidRPr="001D33CA">
        <w:t>71</w:t>
      </w:r>
      <w:r w:rsidRPr="001D33CA">
        <w:t xml:space="preserve">% </w:t>
      </w:r>
      <w:r w:rsidR="00DF005E">
        <w:t>JCWP</w:t>
      </w:r>
      <w:r w:rsidRPr="001D33CA">
        <w:t xml:space="preserve"> RW </w:t>
      </w:r>
      <w:r w:rsidR="00AF2F56" w:rsidRPr="001D33CA">
        <w:t>na</w:t>
      </w:r>
      <w:r w:rsidRPr="001D33CA">
        <w:t xml:space="preserve"> obszarze dorzecza Odry.</w:t>
      </w:r>
    </w:p>
    <w:p w14:paraId="4EAD4892" w14:textId="208F49BB" w:rsidR="009619D4" w:rsidRPr="001D33CA" w:rsidRDefault="00780C35" w:rsidP="001D33CA">
      <w:r w:rsidRPr="001D33CA">
        <w:t xml:space="preserve">Ocenę stanu wód dla </w:t>
      </w:r>
      <w:r w:rsidR="00DF005E">
        <w:t>JCWP</w:t>
      </w:r>
      <w:r w:rsidRPr="001D33CA">
        <w:t xml:space="preserve"> RW d</w:t>
      </w:r>
      <w:r w:rsidR="00894CC6" w:rsidRPr="001D33CA">
        <w:t>o</w:t>
      </w:r>
      <w:r w:rsidRPr="001D33CA">
        <w:t xml:space="preserve"> roku 2022 przedstawiono w załączniku graficznym </w:t>
      </w:r>
      <w:r w:rsidR="0075020A" w:rsidRPr="001D33CA">
        <w:t xml:space="preserve">nr </w:t>
      </w:r>
      <w:r w:rsidR="00DD250E">
        <w:t>32</w:t>
      </w:r>
      <w:r w:rsidRPr="001D33CA">
        <w:t xml:space="preserve">, a od roku 2022 w załączniku graficznym </w:t>
      </w:r>
      <w:r w:rsidR="0075020A" w:rsidRPr="001D33CA">
        <w:t xml:space="preserve">nr </w:t>
      </w:r>
      <w:r w:rsidR="005D2531">
        <w:t>36</w:t>
      </w:r>
      <w:r w:rsidRPr="001D33CA">
        <w:t>.</w:t>
      </w:r>
    </w:p>
    <w:p w14:paraId="54219D64" w14:textId="5F9B9541" w:rsidR="00462DD4" w:rsidRPr="00795F17" w:rsidRDefault="00462DD4" w:rsidP="004D7705">
      <w:pPr>
        <w:pStyle w:val="Tabela"/>
      </w:pPr>
      <w:bookmarkStart w:id="171" w:name="_Toc66341869"/>
      <w:bookmarkStart w:id="172" w:name="_Toc105512778"/>
      <w:r w:rsidRPr="00795F17">
        <w:t xml:space="preserve">Tabela </w:t>
      </w:r>
      <w:fldSimple w:instr=" STYLEREF 1 \s ">
        <w:r w:rsidR="001F774D">
          <w:rPr>
            <w:noProof/>
          </w:rPr>
          <w:t>5</w:t>
        </w:r>
      </w:fldSimple>
      <w:r w:rsidR="00BB3B21" w:rsidRPr="00795F17">
        <w:noBreakHyphen/>
      </w:r>
      <w:fldSimple w:instr=" SEQ Tabela \* ARABIC \s 1 ">
        <w:r w:rsidR="001F774D">
          <w:rPr>
            <w:noProof/>
          </w:rPr>
          <w:t>14</w:t>
        </w:r>
      </w:fldSimple>
      <w:r w:rsidR="00BA11D4">
        <w:rPr>
          <w:noProof/>
        </w:rPr>
        <w:t>.</w:t>
      </w:r>
      <w:r w:rsidRPr="00795F17">
        <w:tab/>
        <w:t xml:space="preserve">Podsumowanie oceny stanu </w:t>
      </w:r>
      <w:r w:rsidR="00DF005E">
        <w:t>JCWP</w:t>
      </w:r>
      <w:r w:rsidRPr="00795F17">
        <w:t xml:space="preserve"> RW </w:t>
      </w:r>
      <w:r w:rsidR="001F5AA9">
        <w:t>–</w:t>
      </w:r>
      <w:r w:rsidRPr="00795F17">
        <w:t xml:space="preserve"> obszar dorzecza Odry</w:t>
      </w:r>
      <w:bookmarkEnd w:id="171"/>
      <w:bookmarkEnd w:id="172"/>
    </w:p>
    <w:tbl>
      <w:tblPr>
        <w:tblStyle w:val="Tabela-Siatka"/>
        <w:tblW w:w="0" w:type="auto"/>
        <w:tblLook w:val="04A0" w:firstRow="1" w:lastRow="0" w:firstColumn="1" w:lastColumn="0" w:noHBand="0" w:noVBand="1"/>
      </w:tblPr>
      <w:tblGrid>
        <w:gridCol w:w="3261"/>
        <w:gridCol w:w="1417"/>
        <w:gridCol w:w="1418"/>
        <w:gridCol w:w="1417"/>
        <w:gridCol w:w="1554"/>
      </w:tblGrid>
      <w:tr w:rsidR="00462DD4" w:rsidRPr="00795F17" w14:paraId="74B31E76" w14:textId="77777777" w:rsidTr="003440FC">
        <w:trPr>
          <w:cnfStyle w:val="100000000000" w:firstRow="1" w:lastRow="0" w:firstColumn="0" w:lastColumn="0" w:oddVBand="0" w:evenVBand="0" w:oddHBand="0" w:evenHBand="0" w:firstRowFirstColumn="0" w:firstRowLastColumn="0" w:lastRowFirstColumn="0" w:lastRowLastColumn="0"/>
          <w:trHeight w:val="454"/>
        </w:trPr>
        <w:tc>
          <w:tcPr>
            <w:tcW w:w="3261" w:type="dxa"/>
            <w:vMerge w:val="restart"/>
            <w:tcBorders>
              <w:top w:val="nil"/>
              <w:left w:val="nil"/>
            </w:tcBorders>
            <w:shd w:val="clear" w:color="auto" w:fill="auto"/>
          </w:tcPr>
          <w:p w14:paraId="289FEAA2" w14:textId="77777777" w:rsidR="00462DD4" w:rsidRPr="00795F17" w:rsidRDefault="00462DD4" w:rsidP="0044393D">
            <w:pPr>
              <w:pStyle w:val="Teksttabeliprawy"/>
            </w:pPr>
          </w:p>
        </w:tc>
        <w:tc>
          <w:tcPr>
            <w:tcW w:w="1417" w:type="dxa"/>
          </w:tcPr>
          <w:p w14:paraId="19F91282" w14:textId="2F326760" w:rsidR="00462DD4" w:rsidRPr="00795F17" w:rsidRDefault="00DF005E" w:rsidP="0044393D">
            <w:pPr>
              <w:pStyle w:val="Teksttabelinaglowek"/>
              <w:rPr>
                <w:b/>
              </w:rPr>
            </w:pPr>
            <w:r>
              <w:rPr>
                <w:b/>
              </w:rPr>
              <w:t>R.kl.jcwp</w:t>
            </w:r>
            <w:r w:rsidR="00462DD4" w:rsidRPr="00795F17">
              <w:rPr>
                <w:b/>
              </w:rPr>
              <w:t xml:space="preserve"> </w:t>
            </w:r>
            <w:r w:rsidR="00462DD4" w:rsidRPr="00795F17">
              <w:rPr>
                <w:b/>
              </w:rPr>
              <w:br/>
              <w:t>do 2022 r.</w:t>
            </w:r>
          </w:p>
        </w:tc>
        <w:tc>
          <w:tcPr>
            <w:tcW w:w="4389" w:type="dxa"/>
            <w:gridSpan w:val="3"/>
          </w:tcPr>
          <w:p w14:paraId="0347CDE9" w14:textId="1C568BDF" w:rsidR="00462DD4" w:rsidRPr="00795F17" w:rsidRDefault="00DF005E" w:rsidP="0044393D">
            <w:pPr>
              <w:pStyle w:val="Teksttabelinaglowek"/>
              <w:rPr>
                <w:b/>
              </w:rPr>
            </w:pPr>
            <w:r>
              <w:rPr>
                <w:b/>
              </w:rPr>
              <w:t>R.kl.jcwp</w:t>
            </w:r>
            <w:r w:rsidR="00462DD4" w:rsidRPr="00795F17">
              <w:rPr>
                <w:b/>
              </w:rPr>
              <w:t xml:space="preserve"> od 2022</w:t>
            </w:r>
            <w:r w:rsidR="00C605CD" w:rsidRPr="00795F17">
              <w:rPr>
                <w:b/>
              </w:rPr>
              <w:t xml:space="preserve"> r.</w:t>
            </w:r>
          </w:p>
        </w:tc>
      </w:tr>
      <w:tr w:rsidR="00462DD4" w:rsidRPr="00795F17" w14:paraId="62A9270F" w14:textId="77777777" w:rsidTr="003440FC">
        <w:trPr>
          <w:trHeight w:val="454"/>
        </w:trPr>
        <w:tc>
          <w:tcPr>
            <w:tcW w:w="3261" w:type="dxa"/>
            <w:vMerge/>
            <w:tcBorders>
              <w:left w:val="nil"/>
            </w:tcBorders>
            <w:shd w:val="clear" w:color="auto" w:fill="auto"/>
          </w:tcPr>
          <w:p w14:paraId="16A48544" w14:textId="77777777" w:rsidR="00462DD4" w:rsidRPr="00795F17" w:rsidRDefault="00462DD4" w:rsidP="0044393D">
            <w:pPr>
              <w:pStyle w:val="Teksttabeliprawy"/>
            </w:pPr>
          </w:p>
        </w:tc>
        <w:tc>
          <w:tcPr>
            <w:tcW w:w="1417" w:type="dxa"/>
            <w:shd w:val="clear" w:color="auto" w:fill="BFBFBF" w:themeFill="background1" w:themeFillShade="BF"/>
          </w:tcPr>
          <w:p w14:paraId="40993794" w14:textId="6A3FABB3" w:rsidR="00462DD4" w:rsidRPr="00795F17" w:rsidRDefault="00462DD4" w:rsidP="0044393D">
            <w:pPr>
              <w:pStyle w:val="Teksttabelinaglowek"/>
            </w:pPr>
            <w:r w:rsidRPr="00795F17">
              <w:t xml:space="preserve">Liczba </w:t>
            </w:r>
            <w:r w:rsidR="00DF005E">
              <w:t>JCWP</w:t>
            </w:r>
            <w:r w:rsidR="00AF2F56">
              <w:br/>
            </w:r>
            <w:r w:rsidRPr="00795F17">
              <w:t>z oceną stanu (PMŚ)</w:t>
            </w:r>
            <w:r w:rsidRPr="00795F17">
              <w:rPr>
                <w:vertAlign w:val="superscript"/>
              </w:rPr>
              <w:t>1</w:t>
            </w:r>
          </w:p>
        </w:tc>
        <w:tc>
          <w:tcPr>
            <w:tcW w:w="1418" w:type="dxa"/>
            <w:shd w:val="clear" w:color="auto" w:fill="BFBFBF" w:themeFill="background1" w:themeFillShade="BF"/>
          </w:tcPr>
          <w:p w14:paraId="50F5F33E" w14:textId="5F9AE6F7" w:rsidR="00462DD4" w:rsidRPr="00795F17" w:rsidRDefault="00462DD4" w:rsidP="0044393D">
            <w:pPr>
              <w:pStyle w:val="Teksttabelinaglowek"/>
            </w:pPr>
            <w:r w:rsidRPr="00795F17">
              <w:t xml:space="preserve">Liczba </w:t>
            </w:r>
            <w:r w:rsidR="00DF005E">
              <w:t>JCWP</w:t>
            </w:r>
            <w:r w:rsidRPr="00795F17">
              <w:t xml:space="preserve"> </w:t>
            </w:r>
            <w:r w:rsidR="00AF2F56">
              <w:br/>
            </w:r>
            <w:r w:rsidRPr="00795F17">
              <w:t xml:space="preserve">z </w:t>
            </w:r>
            <w:r w:rsidRPr="00795F17">
              <w:rPr>
                <w:rFonts w:eastAsia="Times New Roman"/>
                <w:color w:val="000000"/>
              </w:rPr>
              <w:t xml:space="preserve">oceną </w:t>
            </w:r>
            <w:r w:rsidRPr="00795F17">
              <w:t>stanu ogółem</w:t>
            </w:r>
          </w:p>
        </w:tc>
        <w:tc>
          <w:tcPr>
            <w:tcW w:w="1417" w:type="dxa"/>
            <w:shd w:val="clear" w:color="auto" w:fill="BFBFBF" w:themeFill="background1" w:themeFillShade="BF"/>
          </w:tcPr>
          <w:p w14:paraId="0681807F" w14:textId="69D96D71" w:rsidR="00462DD4" w:rsidRPr="00795F17" w:rsidRDefault="00462DD4" w:rsidP="0044393D">
            <w:pPr>
              <w:pStyle w:val="Teksttabelinaglowek"/>
              <w:rPr>
                <w:vertAlign w:val="superscript"/>
              </w:rPr>
            </w:pPr>
            <w:r w:rsidRPr="00795F17">
              <w:t xml:space="preserve">Liczba </w:t>
            </w:r>
            <w:r w:rsidR="00DF005E">
              <w:t>JCWP</w:t>
            </w:r>
            <w:r w:rsidRPr="00795F17">
              <w:t xml:space="preserve"> </w:t>
            </w:r>
            <w:r w:rsidR="00AF2F56">
              <w:br/>
            </w:r>
            <w:r w:rsidRPr="00795F17">
              <w:t>z oceną stanu (PMŚ)</w:t>
            </w:r>
            <w:r w:rsidRPr="00795F17">
              <w:rPr>
                <w:vertAlign w:val="superscript"/>
              </w:rPr>
              <w:t>2</w:t>
            </w:r>
          </w:p>
        </w:tc>
        <w:tc>
          <w:tcPr>
            <w:tcW w:w="1554" w:type="dxa"/>
            <w:shd w:val="clear" w:color="auto" w:fill="BFBFBF" w:themeFill="background1" w:themeFillShade="BF"/>
          </w:tcPr>
          <w:p w14:paraId="312B3BFD" w14:textId="576CBC24" w:rsidR="00462DD4" w:rsidRPr="00795F17" w:rsidRDefault="00462DD4" w:rsidP="0044393D">
            <w:pPr>
              <w:pStyle w:val="Teksttabelinaglowek"/>
              <w:rPr>
                <w:vertAlign w:val="superscript"/>
              </w:rPr>
            </w:pPr>
            <w:r w:rsidRPr="00795F17">
              <w:t xml:space="preserve">Liczba </w:t>
            </w:r>
            <w:r w:rsidR="00DF005E">
              <w:t>JCWP</w:t>
            </w:r>
            <w:r w:rsidRPr="00795F17">
              <w:t xml:space="preserve"> </w:t>
            </w:r>
            <w:r w:rsidR="00AF2F56">
              <w:br/>
            </w:r>
            <w:r w:rsidRPr="00795F17">
              <w:t>z oceną stanu (EKSP)</w:t>
            </w:r>
            <w:r w:rsidRPr="00795F17">
              <w:rPr>
                <w:vertAlign w:val="superscript"/>
              </w:rPr>
              <w:t>3</w:t>
            </w:r>
          </w:p>
        </w:tc>
      </w:tr>
      <w:tr w:rsidR="00462DD4" w:rsidRPr="00795F17" w14:paraId="24AFE50D" w14:textId="77777777" w:rsidTr="00F97814">
        <w:trPr>
          <w:trHeight w:val="454"/>
        </w:trPr>
        <w:tc>
          <w:tcPr>
            <w:tcW w:w="3261" w:type="dxa"/>
            <w:shd w:val="clear" w:color="auto" w:fill="D9D9D9" w:themeFill="background1" w:themeFillShade="D9"/>
          </w:tcPr>
          <w:p w14:paraId="0E4C559A" w14:textId="77777777" w:rsidR="00462DD4" w:rsidRPr="00795F17" w:rsidRDefault="00462DD4" w:rsidP="008C0577">
            <w:pPr>
              <w:pStyle w:val="Teksttabelilewy"/>
              <w:rPr>
                <w:b/>
              </w:rPr>
            </w:pPr>
            <w:r w:rsidRPr="00795F17">
              <w:rPr>
                <w:b/>
                <w:bCs/>
              </w:rPr>
              <w:t>Stan/potencjał ekologiczny</w:t>
            </w:r>
          </w:p>
        </w:tc>
        <w:tc>
          <w:tcPr>
            <w:tcW w:w="1417" w:type="dxa"/>
            <w:shd w:val="clear" w:color="auto" w:fill="D9D9D9" w:themeFill="background1" w:themeFillShade="D9"/>
          </w:tcPr>
          <w:p w14:paraId="217C9EAF" w14:textId="3563C026" w:rsidR="00462DD4" w:rsidRPr="00795F17" w:rsidRDefault="009D3478" w:rsidP="008C0577">
            <w:pPr>
              <w:pStyle w:val="Teksttabelinaglowek"/>
            </w:pPr>
            <w:r w:rsidRPr="00795F17">
              <w:t>8</w:t>
            </w:r>
            <w:r>
              <w:t>65</w:t>
            </w:r>
          </w:p>
        </w:tc>
        <w:tc>
          <w:tcPr>
            <w:tcW w:w="1418" w:type="dxa"/>
            <w:shd w:val="clear" w:color="auto" w:fill="D9D9D9" w:themeFill="background1" w:themeFillShade="D9"/>
          </w:tcPr>
          <w:p w14:paraId="44E059B8" w14:textId="4ECF3B9C" w:rsidR="00462DD4" w:rsidRPr="00795F17" w:rsidRDefault="00D64D8A" w:rsidP="008C0577">
            <w:pPr>
              <w:pStyle w:val="Teksttabelinaglowek"/>
            </w:pPr>
            <w:r>
              <w:t>845</w:t>
            </w:r>
          </w:p>
        </w:tc>
        <w:tc>
          <w:tcPr>
            <w:tcW w:w="1417" w:type="dxa"/>
            <w:shd w:val="clear" w:color="auto" w:fill="D9D9D9" w:themeFill="background1" w:themeFillShade="D9"/>
          </w:tcPr>
          <w:p w14:paraId="6DDEBFE2" w14:textId="7F2EA649" w:rsidR="00462DD4" w:rsidRPr="00795F17" w:rsidRDefault="00D64D8A" w:rsidP="008C0577">
            <w:pPr>
              <w:pStyle w:val="Teksttabelinaglowek"/>
            </w:pPr>
            <w:r>
              <w:t>845</w:t>
            </w:r>
          </w:p>
        </w:tc>
        <w:tc>
          <w:tcPr>
            <w:tcW w:w="1554" w:type="dxa"/>
            <w:shd w:val="clear" w:color="auto" w:fill="D9D9D9" w:themeFill="background1" w:themeFillShade="D9"/>
          </w:tcPr>
          <w:p w14:paraId="15742B5A" w14:textId="77777777" w:rsidR="00462DD4" w:rsidRPr="00795F17" w:rsidRDefault="00462DD4" w:rsidP="008C0577">
            <w:pPr>
              <w:pStyle w:val="Teksttabelinaglowek"/>
            </w:pPr>
            <w:r w:rsidRPr="00795F17">
              <w:t>0</w:t>
            </w:r>
          </w:p>
        </w:tc>
      </w:tr>
      <w:tr w:rsidR="00462DD4" w:rsidRPr="00795F17" w14:paraId="2EDC1097" w14:textId="77777777" w:rsidTr="00F97814">
        <w:trPr>
          <w:trHeight w:val="454"/>
        </w:trPr>
        <w:tc>
          <w:tcPr>
            <w:tcW w:w="3261" w:type="dxa"/>
          </w:tcPr>
          <w:p w14:paraId="0AF2F6E6" w14:textId="77777777" w:rsidR="00462DD4" w:rsidRPr="00795F17" w:rsidRDefault="00462DD4" w:rsidP="0044393D">
            <w:pPr>
              <w:pStyle w:val="Teksttabelilewy"/>
            </w:pPr>
            <w:r w:rsidRPr="00795F17">
              <w:t xml:space="preserve">Bardzo dobry stan ekologiczny/ maksymalny potencjał </w:t>
            </w:r>
            <w:r w:rsidRPr="00795F17">
              <w:rPr>
                <w:shd w:val="clear" w:color="auto" w:fill="FFFFFF" w:themeFill="background1"/>
              </w:rPr>
              <w:t>ekologiczny</w:t>
            </w:r>
          </w:p>
        </w:tc>
        <w:tc>
          <w:tcPr>
            <w:tcW w:w="1417" w:type="dxa"/>
            <w:shd w:val="clear" w:color="auto" w:fill="F2F2F2" w:themeFill="background1" w:themeFillShade="F2"/>
          </w:tcPr>
          <w:p w14:paraId="25F67A7F" w14:textId="77777777" w:rsidR="00462DD4" w:rsidRPr="00795F17" w:rsidRDefault="00462DD4" w:rsidP="0065243A">
            <w:pPr>
              <w:pStyle w:val="Teksttabelisrodek"/>
            </w:pPr>
            <w:r w:rsidRPr="00795F17">
              <w:t>3</w:t>
            </w:r>
          </w:p>
        </w:tc>
        <w:tc>
          <w:tcPr>
            <w:tcW w:w="1418" w:type="dxa"/>
          </w:tcPr>
          <w:p w14:paraId="7BC622AA" w14:textId="3BAE3DD3" w:rsidR="00462DD4" w:rsidRPr="00795F17" w:rsidRDefault="00962ABB" w:rsidP="0065243A">
            <w:pPr>
              <w:pStyle w:val="Teksttabelisrodek"/>
            </w:pPr>
            <w:r>
              <w:t>0</w:t>
            </w:r>
          </w:p>
        </w:tc>
        <w:tc>
          <w:tcPr>
            <w:tcW w:w="1417" w:type="dxa"/>
          </w:tcPr>
          <w:p w14:paraId="7B2CCD5D" w14:textId="26869282" w:rsidR="00462DD4" w:rsidRPr="00795F17" w:rsidRDefault="00962ABB" w:rsidP="0065243A">
            <w:pPr>
              <w:pStyle w:val="Teksttabelisrodek"/>
            </w:pPr>
            <w:r>
              <w:t>0</w:t>
            </w:r>
          </w:p>
        </w:tc>
        <w:tc>
          <w:tcPr>
            <w:tcW w:w="1554" w:type="dxa"/>
          </w:tcPr>
          <w:p w14:paraId="00CF6180" w14:textId="77777777" w:rsidR="00462DD4" w:rsidRPr="00795F17" w:rsidRDefault="00462DD4" w:rsidP="0065243A">
            <w:pPr>
              <w:pStyle w:val="Teksttabelisrodek"/>
            </w:pPr>
            <w:r w:rsidRPr="00795F17">
              <w:t>0</w:t>
            </w:r>
          </w:p>
        </w:tc>
      </w:tr>
      <w:tr w:rsidR="00462DD4" w:rsidRPr="00795F17" w14:paraId="53E667B6" w14:textId="77777777" w:rsidTr="00F97814">
        <w:trPr>
          <w:trHeight w:val="454"/>
        </w:trPr>
        <w:tc>
          <w:tcPr>
            <w:tcW w:w="3261" w:type="dxa"/>
          </w:tcPr>
          <w:p w14:paraId="4B754753" w14:textId="77777777" w:rsidR="00462DD4" w:rsidRPr="00795F17" w:rsidRDefault="00462DD4" w:rsidP="0044393D">
            <w:pPr>
              <w:pStyle w:val="Teksttabelilewy"/>
            </w:pPr>
            <w:r w:rsidRPr="00795F17">
              <w:t xml:space="preserve">Dobry stan ekologiczny/ potencjał </w:t>
            </w:r>
            <w:r w:rsidRPr="00795F17">
              <w:rPr>
                <w:shd w:val="clear" w:color="auto" w:fill="FFFFFF" w:themeFill="background1"/>
              </w:rPr>
              <w:t>ekologiczny</w:t>
            </w:r>
          </w:p>
        </w:tc>
        <w:tc>
          <w:tcPr>
            <w:tcW w:w="1417" w:type="dxa"/>
            <w:shd w:val="clear" w:color="auto" w:fill="F2F2F2" w:themeFill="background1" w:themeFillShade="F2"/>
          </w:tcPr>
          <w:p w14:paraId="6D3E11A8" w14:textId="13AF4A50" w:rsidR="00462DD4" w:rsidRPr="00795F17" w:rsidRDefault="00F836DA" w:rsidP="0065243A">
            <w:pPr>
              <w:pStyle w:val="Teksttabelisrodek"/>
            </w:pPr>
            <w:r w:rsidRPr="00795F17">
              <w:t>5</w:t>
            </w:r>
            <w:r>
              <w:t>8</w:t>
            </w:r>
          </w:p>
        </w:tc>
        <w:tc>
          <w:tcPr>
            <w:tcW w:w="1418" w:type="dxa"/>
          </w:tcPr>
          <w:p w14:paraId="01383BBE" w14:textId="46C2A4AC" w:rsidR="00462DD4" w:rsidRPr="00795F17" w:rsidRDefault="00962ABB" w:rsidP="0065243A">
            <w:pPr>
              <w:pStyle w:val="Teksttabelisrodek"/>
            </w:pPr>
            <w:r>
              <w:t>69</w:t>
            </w:r>
          </w:p>
        </w:tc>
        <w:tc>
          <w:tcPr>
            <w:tcW w:w="1417" w:type="dxa"/>
          </w:tcPr>
          <w:p w14:paraId="6558961A" w14:textId="34342A82" w:rsidR="00462DD4" w:rsidRPr="00795F17" w:rsidRDefault="00962ABB" w:rsidP="0065243A">
            <w:pPr>
              <w:pStyle w:val="Teksttabelisrodek"/>
            </w:pPr>
            <w:r>
              <w:t>69</w:t>
            </w:r>
          </w:p>
        </w:tc>
        <w:tc>
          <w:tcPr>
            <w:tcW w:w="1554" w:type="dxa"/>
          </w:tcPr>
          <w:p w14:paraId="1283587D" w14:textId="77777777" w:rsidR="00462DD4" w:rsidRPr="00795F17" w:rsidRDefault="00462DD4" w:rsidP="0065243A">
            <w:pPr>
              <w:pStyle w:val="Teksttabelisrodek"/>
            </w:pPr>
            <w:r w:rsidRPr="00795F17">
              <w:t>0</w:t>
            </w:r>
          </w:p>
        </w:tc>
      </w:tr>
      <w:tr w:rsidR="00462DD4" w:rsidRPr="00795F17" w14:paraId="32BEC61D" w14:textId="77777777" w:rsidTr="00F97814">
        <w:trPr>
          <w:trHeight w:val="454"/>
        </w:trPr>
        <w:tc>
          <w:tcPr>
            <w:tcW w:w="3261" w:type="dxa"/>
          </w:tcPr>
          <w:p w14:paraId="492582B7" w14:textId="77777777" w:rsidR="00462DD4" w:rsidRPr="00795F17" w:rsidRDefault="00462DD4" w:rsidP="0044393D">
            <w:pPr>
              <w:pStyle w:val="Teksttabelilewy"/>
            </w:pPr>
            <w:r w:rsidRPr="00795F17">
              <w:t>Umiarkowany stan ekologiczny/ umiarkowany potencjał ekologiczny</w:t>
            </w:r>
          </w:p>
        </w:tc>
        <w:tc>
          <w:tcPr>
            <w:tcW w:w="1417" w:type="dxa"/>
            <w:shd w:val="clear" w:color="auto" w:fill="F2F2F2" w:themeFill="background1" w:themeFillShade="F2"/>
          </w:tcPr>
          <w:p w14:paraId="3F1478E7" w14:textId="504F96C4" w:rsidR="00462DD4" w:rsidRPr="00795F17" w:rsidRDefault="00D45080" w:rsidP="0065243A">
            <w:pPr>
              <w:pStyle w:val="Teksttabelisrodek"/>
            </w:pPr>
            <w:r>
              <w:t>471</w:t>
            </w:r>
          </w:p>
        </w:tc>
        <w:tc>
          <w:tcPr>
            <w:tcW w:w="1418" w:type="dxa"/>
          </w:tcPr>
          <w:p w14:paraId="0F6F0844" w14:textId="1857B95E" w:rsidR="00462DD4" w:rsidRPr="00795F17" w:rsidRDefault="00962ABB" w:rsidP="0065243A">
            <w:pPr>
              <w:pStyle w:val="Teksttabelisrodek"/>
            </w:pPr>
            <w:r>
              <w:t>498</w:t>
            </w:r>
          </w:p>
        </w:tc>
        <w:tc>
          <w:tcPr>
            <w:tcW w:w="1417" w:type="dxa"/>
          </w:tcPr>
          <w:p w14:paraId="319CE415" w14:textId="786F0EA8" w:rsidR="00462DD4" w:rsidRPr="00795F17" w:rsidRDefault="00962ABB" w:rsidP="0065243A">
            <w:pPr>
              <w:pStyle w:val="Teksttabelisrodek"/>
            </w:pPr>
            <w:r>
              <w:t>498</w:t>
            </w:r>
          </w:p>
        </w:tc>
        <w:tc>
          <w:tcPr>
            <w:tcW w:w="1554" w:type="dxa"/>
          </w:tcPr>
          <w:p w14:paraId="6AE6C920" w14:textId="77777777" w:rsidR="00462DD4" w:rsidRPr="00795F17" w:rsidRDefault="00462DD4" w:rsidP="0065243A">
            <w:pPr>
              <w:pStyle w:val="Teksttabelisrodek"/>
            </w:pPr>
            <w:r w:rsidRPr="00795F17">
              <w:t>0</w:t>
            </w:r>
          </w:p>
        </w:tc>
      </w:tr>
      <w:tr w:rsidR="00462DD4" w:rsidRPr="00795F17" w14:paraId="57AE56DC" w14:textId="77777777" w:rsidTr="00F97814">
        <w:trPr>
          <w:trHeight w:val="454"/>
        </w:trPr>
        <w:tc>
          <w:tcPr>
            <w:tcW w:w="3261" w:type="dxa"/>
          </w:tcPr>
          <w:p w14:paraId="5BC3192E" w14:textId="77777777" w:rsidR="00462DD4" w:rsidRPr="00795F17" w:rsidRDefault="00462DD4" w:rsidP="0044393D">
            <w:pPr>
              <w:pStyle w:val="Teksttabelilewy"/>
            </w:pPr>
            <w:r w:rsidRPr="00795F17">
              <w:t xml:space="preserve">Słaby stan ekologiczny/ słaby potencjał </w:t>
            </w:r>
            <w:r w:rsidRPr="00795F17">
              <w:rPr>
                <w:shd w:val="clear" w:color="auto" w:fill="FFFFFF" w:themeFill="background1"/>
              </w:rPr>
              <w:t>ekologiczny</w:t>
            </w:r>
          </w:p>
        </w:tc>
        <w:tc>
          <w:tcPr>
            <w:tcW w:w="1417" w:type="dxa"/>
            <w:shd w:val="clear" w:color="auto" w:fill="F2F2F2" w:themeFill="background1" w:themeFillShade="F2"/>
          </w:tcPr>
          <w:p w14:paraId="66A9E0F6" w14:textId="5792361F" w:rsidR="00462DD4" w:rsidRPr="00795F17" w:rsidRDefault="009D3478" w:rsidP="0065243A">
            <w:pPr>
              <w:pStyle w:val="Teksttabelisrodek"/>
            </w:pPr>
            <w:r>
              <w:t>228</w:t>
            </w:r>
          </w:p>
        </w:tc>
        <w:tc>
          <w:tcPr>
            <w:tcW w:w="1418" w:type="dxa"/>
          </w:tcPr>
          <w:p w14:paraId="1E2822BF" w14:textId="1F331D1A" w:rsidR="00462DD4" w:rsidRPr="00795F17" w:rsidRDefault="00462DD4" w:rsidP="0065243A">
            <w:pPr>
              <w:pStyle w:val="Teksttabelisrodek"/>
            </w:pPr>
            <w:r w:rsidRPr="00795F17">
              <w:t>2</w:t>
            </w:r>
            <w:r w:rsidR="00962ABB">
              <w:t>01</w:t>
            </w:r>
          </w:p>
        </w:tc>
        <w:tc>
          <w:tcPr>
            <w:tcW w:w="1417" w:type="dxa"/>
          </w:tcPr>
          <w:p w14:paraId="04C9CA03" w14:textId="06F0401F" w:rsidR="00462DD4" w:rsidRPr="00795F17" w:rsidRDefault="00462DD4" w:rsidP="0065243A">
            <w:pPr>
              <w:pStyle w:val="Teksttabelisrodek"/>
            </w:pPr>
            <w:r w:rsidRPr="00795F17">
              <w:t>2</w:t>
            </w:r>
            <w:r w:rsidR="00962ABB">
              <w:t>0</w:t>
            </w:r>
            <w:r w:rsidRPr="00795F17">
              <w:t>1</w:t>
            </w:r>
          </w:p>
        </w:tc>
        <w:tc>
          <w:tcPr>
            <w:tcW w:w="1554" w:type="dxa"/>
          </w:tcPr>
          <w:p w14:paraId="4C5799A6" w14:textId="77777777" w:rsidR="00462DD4" w:rsidRPr="00795F17" w:rsidRDefault="00462DD4" w:rsidP="0065243A">
            <w:pPr>
              <w:pStyle w:val="Teksttabelisrodek"/>
            </w:pPr>
            <w:r w:rsidRPr="00795F17">
              <w:t>0</w:t>
            </w:r>
          </w:p>
        </w:tc>
      </w:tr>
      <w:tr w:rsidR="00462DD4" w:rsidRPr="00795F17" w14:paraId="7F2B3F33" w14:textId="77777777" w:rsidTr="00F97814">
        <w:trPr>
          <w:trHeight w:val="454"/>
        </w:trPr>
        <w:tc>
          <w:tcPr>
            <w:tcW w:w="3261" w:type="dxa"/>
          </w:tcPr>
          <w:p w14:paraId="564722CB" w14:textId="77777777" w:rsidR="00462DD4" w:rsidRPr="00795F17" w:rsidRDefault="00462DD4" w:rsidP="0044393D">
            <w:pPr>
              <w:pStyle w:val="Teksttabelilewy"/>
            </w:pPr>
            <w:r w:rsidRPr="00795F17">
              <w:t>Zły stan ekologiczny/ zły potencjał ekologiczny</w:t>
            </w:r>
          </w:p>
        </w:tc>
        <w:tc>
          <w:tcPr>
            <w:tcW w:w="1417" w:type="dxa"/>
            <w:shd w:val="clear" w:color="auto" w:fill="F2F2F2" w:themeFill="background1" w:themeFillShade="F2"/>
          </w:tcPr>
          <w:p w14:paraId="020E9CAB" w14:textId="49D8984A" w:rsidR="00462DD4" w:rsidRPr="00795F17" w:rsidRDefault="00462DD4" w:rsidP="0065243A">
            <w:pPr>
              <w:pStyle w:val="Teksttabelisrodek"/>
            </w:pPr>
            <w:r w:rsidRPr="00795F17">
              <w:t>10</w:t>
            </w:r>
            <w:r w:rsidR="009D3478">
              <w:t>5</w:t>
            </w:r>
          </w:p>
        </w:tc>
        <w:tc>
          <w:tcPr>
            <w:tcW w:w="1418" w:type="dxa"/>
          </w:tcPr>
          <w:p w14:paraId="059CF436" w14:textId="15571D1C" w:rsidR="00462DD4" w:rsidRPr="00795F17" w:rsidRDefault="00962ABB" w:rsidP="0065243A">
            <w:pPr>
              <w:pStyle w:val="Teksttabelisrodek"/>
            </w:pPr>
            <w:r>
              <w:t>77</w:t>
            </w:r>
          </w:p>
        </w:tc>
        <w:tc>
          <w:tcPr>
            <w:tcW w:w="1417" w:type="dxa"/>
          </w:tcPr>
          <w:p w14:paraId="715175E9" w14:textId="4A0486ED" w:rsidR="00462DD4" w:rsidRPr="00795F17" w:rsidRDefault="00962ABB" w:rsidP="0065243A">
            <w:pPr>
              <w:pStyle w:val="Teksttabelisrodek"/>
            </w:pPr>
            <w:r>
              <w:t>77</w:t>
            </w:r>
          </w:p>
        </w:tc>
        <w:tc>
          <w:tcPr>
            <w:tcW w:w="1554" w:type="dxa"/>
          </w:tcPr>
          <w:p w14:paraId="5D25689D" w14:textId="77777777" w:rsidR="00462DD4" w:rsidRPr="00795F17" w:rsidRDefault="00462DD4" w:rsidP="0065243A">
            <w:pPr>
              <w:pStyle w:val="Teksttabelisrodek"/>
            </w:pPr>
            <w:r w:rsidRPr="00795F17">
              <w:t>0</w:t>
            </w:r>
          </w:p>
        </w:tc>
      </w:tr>
      <w:tr w:rsidR="00462DD4" w:rsidRPr="00795F17" w14:paraId="2AC7B427" w14:textId="77777777" w:rsidTr="00F97814">
        <w:trPr>
          <w:trHeight w:val="454"/>
        </w:trPr>
        <w:tc>
          <w:tcPr>
            <w:tcW w:w="3261" w:type="dxa"/>
            <w:shd w:val="clear" w:color="auto" w:fill="D9D9D9" w:themeFill="background1" w:themeFillShade="D9"/>
          </w:tcPr>
          <w:p w14:paraId="39248482" w14:textId="77777777" w:rsidR="00462DD4" w:rsidRPr="00795F17" w:rsidRDefault="00462DD4" w:rsidP="008C0577">
            <w:pPr>
              <w:pStyle w:val="Teksttabelilewy"/>
              <w:rPr>
                <w:b/>
              </w:rPr>
            </w:pPr>
            <w:r w:rsidRPr="00795F17">
              <w:rPr>
                <w:b/>
                <w:bCs/>
              </w:rPr>
              <w:t>Stan chemiczny</w:t>
            </w:r>
          </w:p>
        </w:tc>
        <w:tc>
          <w:tcPr>
            <w:tcW w:w="1417" w:type="dxa"/>
            <w:shd w:val="clear" w:color="auto" w:fill="D9D9D9" w:themeFill="background1" w:themeFillShade="D9"/>
          </w:tcPr>
          <w:p w14:paraId="48FC482B" w14:textId="2AB8FE14" w:rsidR="00462DD4" w:rsidRPr="00795F17" w:rsidRDefault="008A330F" w:rsidP="008C0577">
            <w:pPr>
              <w:pStyle w:val="Teksttabelinaglowek"/>
            </w:pPr>
            <w:r>
              <w:t>543</w:t>
            </w:r>
          </w:p>
        </w:tc>
        <w:tc>
          <w:tcPr>
            <w:tcW w:w="1418" w:type="dxa"/>
            <w:shd w:val="clear" w:color="auto" w:fill="D9D9D9" w:themeFill="background1" w:themeFillShade="D9"/>
          </w:tcPr>
          <w:p w14:paraId="11696467" w14:textId="15F7FFCA" w:rsidR="00462DD4" w:rsidRPr="00795F17" w:rsidRDefault="0081468E" w:rsidP="008C0577">
            <w:pPr>
              <w:pStyle w:val="Teksttabelinaglowek"/>
            </w:pPr>
            <w:r w:rsidRPr="00795F17">
              <w:t>8</w:t>
            </w:r>
            <w:r>
              <w:t>32</w:t>
            </w:r>
          </w:p>
        </w:tc>
        <w:tc>
          <w:tcPr>
            <w:tcW w:w="1417" w:type="dxa"/>
            <w:shd w:val="clear" w:color="auto" w:fill="D9D9D9" w:themeFill="background1" w:themeFillShade="D9"/>
          </w:tcPr>
          <w:p w14:paraId="133D8189" w14:textId="661C9689" w:rsidR="00462DD4" w:rsidRPr="00795F17" w:rsidRDefault="006B42BD" w:rsidP="008C0577">
            <w:pPr>
              <w:pStyle w:val="Teksttabelinaglowek"/>
            </w:pPr>
            <w:r>
              <w:t>552</w:t>
            </w:r>
          </w:p>
        </w:tc>
        <w:tc>
          <w:tcPr>
            <w:tcW w:w="1554" w:type="dxa"/>
            <w:shd w:val="clear" w:color="auto" w:fill="D9D9D9" w:themeFill="background1" w:themeFillShade="D9"/>
          </w:tcPr>
          <w:p w14:paraId="399F2E80" w14:textId="71C801C6" w:rsidR="00462DD4" w:rsidRPr="00795F17" w:rsidRDefault="0081468E" w:rsidP="008C0577">
            <w:pPr>
              <w:pStyle w:val="Teksttabelinaglowek"/>
            </w:pPr>
            <w:r w:rsidRPr="00795F17">
              <w:t>2</w:t>
            </w:r>
            <w:r>
              <w:t>80</w:t>
            </w:r>
          </w:p>
        </w:tc>
      </w:tr>
      <w:tr w:rsidR="00462DD4" w:rsidRPr="00795F17" w14:paraId="782B199A" w14:textId="77777777" w:rsidTr="00F97814">
        <w:trPr>
          <w:trHeight w:val="454"/>
        </w:trPr>
        <w:tc>
          <w:tcPr>
            <w:tcW w:w="3261" w:type="dxa"/>
          </w:tcPr>
          <w:p w14:paraId="4A56F2DE" w14:textId="77777777" w:rsidR="00462DD4" w:rsidRPr="00795F17" w:rsidRDefault="00462DD4" w:rsidP="0044393D">
            <w:pPr>
              <w:pStyle w:val="Teksttabelilewy"/>
            </w:pPr>
            <w:r w:rsidRPr="00795F17">
              <w:t>Dobry stan chemiczny</w:t>
            </w:r>
          </w:p>
        </w:tc>
        <w:tc>
          <w:tcPr>
            <w:tcW w:w="1417" w:type="dxa"/>
            <w:shd w:val="clear" w:color="auto" w:fill="F2F2F2" w:themeFill="background1" w:themeFillShade="F2"/>
          </w:tcPr>
          <w:p w14:paraId="04AFF90E" w14:textId="20F8FA60" w:rsidR="00462DD4" w:rsidRPr="00795F17" w:rsidRDefault="00462DD4" w:rsidP="0065243A">
            <w:pPr>
              <w:pStyle w:val="Teksttabelisrodek"/>
            </w:pPr>
            <w:r w:rsidRPr="00795F17">
              <w:t>3</w:t>
            </w:r>
            <w:r w:rsidR="009D3478">
              <w:t>9</w:t>
            </w:r>
          </w:p>
        </w:tc>
        <w:tc>
          <w:tcPr>
            <w:tcW w:w="1418" w:type="dxa"/>
          </w:tcPr>
          <w:p w14:paraId="6DF24FB8" w14:textId="06CB7E49" w:rsidR="00462DD4" w:rsidRPr="00795F17" w:rsidRDefault="008A7931" w:rsidP="0065243A">
            <w:pPr>
              <w:pStyle w:val="Teksttabelisrodek"/>
            </w:pPr>
            <w:r>
              <w:t>268</w:t>
            </w:r>
          </w:p>
        </w:tc>
        <w:tc>
          <w:tcPr>
            <w:tcW w:w="1417" w:type="dxa"/>
          </w:tcPr>
          <w:p w14:paraId="03E94A8C" w14:textId="47B85ADC" w:rsidR="00462DD4" w:rsidRPr="00795F17" w:rsidRDefault="008A7931" w:rsidP="0065243A">
            <w:pPr>
              <w:pStyle w:val="Teksttabelisrodek"/>
              <w:rPr>
                <w:rFonts w:cs="Calibri"/>
                <w:color w:val="000000"/>
              </w:rPr>
            </w:pPr>
            <w:r>
              <w:t>3</w:t>
            </w:r>
            <w:r w:rsidR="00462DD4" w:rsidRPr="00795F17">
              <w:t>9</w:t>
            </w:r>
          </w:p>
        </w:tc>
        <w:tc>
          <w:tcPr>
            <w:tcW w:w="1554" w:type="dxa"/>
          </w:tcPr>
          <w:p w14:paraId="27DD8459" w14:textId="06828770" w:rsidR="00462DD4" w:rsidRPr="00795F17" w:rsidRDefault="00462DD4" w:rsidP="0065243A">
            <w:pPr>
              <w:pStyle w:val="Teksttabelisrodek"/>
            </w:pPr>
            <w:r w:rsidRPr="00795F17">
              <w:t>2</w:t>
            </w:r>
            <w:r w:rsidR="00E4535C">
              <w:t>29</w:t>
            </w:r>
          </w:p>
        </w:tc>
      </w:tr>
      <w:tr w:rsidR="00462DD4" w:rsidRPr="00795F17" w14:paraId="0C7F3202" w14:textId="77777777" w:rsidTr="00F97814">
        <w:trPr>
          <w:trHeight w:val="454"/>
        </w:trPr>
        <w:tc>
          <w:tcPr>
            <w:tcW w:w="3261" w:type="dxa"/>
          </w:tcPr>
          <w:p w14:paraId="28822FE5" w14:textId="77777777" w:rsidR="00462DD4" w:rsidRPr="00795F17" w:rsidRDefault="00462DD4" w:rsidP="0044393D">
            <w:pPr>
              <w:pStyle w:val="Teksttabelilewy"/>
            </w:pPr>
            <w:r w:rsidRPr="00795F17">
              <w:t>Stan chemiczny poniżej dobrego</w:t>
            </w:r>
          </w:p>
        </w:tc>
        <w:tc>
          <w:tcPr>
            <w:tcW w:w="1417" w:type="dxa"/>
            <w:shd w:val="clear" w:color="auto" w:fill="F2F2F2" w:themeFill="background1" w:themeFillShade="F2"/>
          </w:tcPr>
          <w:p w14:paraId="25741CEA" w14:textId="58927B2C" w:rsidR="00462DD4" w:rsidRPr="00795F17" w:rsidRDefault="009D3478" w:rsidP="0065243A">
            <w:pPr>
              <w:pStyle w:val="Teksttabelisrodek"/>
            </w:pPr>
            <w:r>
              <w:t>504</w:t>
            </w:r>
          </w:p>
        </w:tc>
        <w:tc>
          <w:tcPr>
            <w:tcW w:w="1418" w:type="dxa"/>
          </w:tcPr>
          <w:p w14:paraId="728603BD" w14:textId="068C3CA0" w:rsidR="00462DD4" w:rsidRPr="00795F17" w:rsidRDefault="007E23BD" w:rsidP="0065243A">
            <w:pPr>
              <w:pStyle w:val="Teksttabelisrodek"/>
            </w:pPr>
            <w:r>
              <w:t>564</w:t>
            </w:r>
          </w:p>
        </w:tc>
        <w:tc>
          <w:tcPr>
            <w:tcW w:w="1417" w:type="dxa"/>
          </w:tcPr>
          <w:p w14:paraId="1A4A557C" w14:textId="4CFE8058" w:rsidR="00462DD4" w:rsidRPr="00795F17" w:rsidRDefault="007E23BD" w:rsidP="0065243A">
            <w:pPr>
              <w:pStyle w:val="Teksttabelisrodek"/>
            </w:pPr>
            <w:r w:rsidRPr="00795F17">
              <w:t>5</w:t>
            </w:r>
            <w:r>
              <w:t>13</w:t>
            </w:r>
          </w:p>
        </w:tc>
        <w:tc>
          <w:tcPr>
            <w:tcW w:w="1554" w:type="dxa"/>
          </w:tcPr>
          <w:p w14:paraId="30BE3836" w14:textId="5A8E8EFA" w:rsidR="00462DD4" w:rsidRPr="00795F17" w:rsidRDefault="00E53E1E" w:rsidP="0065243A">
            <w:pPr>
              <w:pStyle w:val="Teksttabelisrodek"/>
            </w:pPr>
            <w:r>
              <w:t>5</w:t>
            </w:r>
            <w:r w:rsidR="00462DD4" w:rsidRPr="00795F17">
              <w:t>1</w:t>
            </w:r>
          </w:p>
        </w:tc>
      </w:tr>
      <w:tr w:rsidR="00462DD4" w:rsidRPr="00795F17" w14:paraId="395A5454" w14:textId="77777777" w:rsidTr="00F97814">
        <w:trPr>
          <w:trHeight w:val="454"/>
        </w:trPr>
        <w:tc>
          <w:tcPr>
            <w:tcW w:w="3261" w:type="dxa"/>
            <w:shd w:val="clear" w:color="auto" w:fill="D9D9D9" w:themeFill="background1" w:themeFillShade="D9"/>
          </w:tcPr>
          <w:p w14:paraId="06AE27A9" w14:textId="77777777" w:rsidR="00462DD4" w:rsidRPr="00795F17" w:rsidRDefault="00462DD4" w:rsidP="008A330F">
            <w:pPr>
              <w:pStyle w:val="Teksttabelilewy"/>
              <w:rPr>
                <w:b/>
              </w:rPr>
            </w:pPr>
            <w:r w:rsidRPr="00795F17">
              <w:rPr>
                <w:b/>
                <w:bCs/>
              </w:rPr>
              <w:t>Stan wód</w:t>
            </w:r>
          </w:p>
        </w:tc>
        <w:tc>
          <w:tcPr>
            <w:tcW w:w="1417" w:type="dxa"/>
            <w:shd w:val="clear" w:color="auto" w:fill="D9D9D9" w:themeFill="background1" w:themeFillShade="D9"/>
          </w:tcPr>
          <w:p w14:paraId="623422F5" w14:textId="2A0FF2F3" w:rsidR="00462DD4" w:rsidRPr="00795F17" w:rsidRDefault="008A330F" w:rsidP="008C0577">
            <w:pPr>
              <w:pStyle w:val="Teksttabelinaglowek"/>
            </w:pPr>
            <w:r w:rsidRPr="00795F17">
              <w:t>8</w:t>
            </w:r>
            <w:r>
              <w:t>44</w:t>
            </w:r>
          </w:p>
        </w:tc>
        <w:tc>
          <w:tcPr>
            <w:tcW w:w="1418" w:type="dxa"/>
            <w:shd w:val="clear" w:color="auto" w:fill="D9D9D9" w:themeFill="background1" w:themeFillShade="D9"/>
          </w:tcPr>
          <w:p w14:paraId="052E036C" w14:textId="40E81DDB" w:rsidR="00462DD4" w:rsidRPr="00795F17" w:rsidRDefault="00EB4AC9" w:rsidP="008C0577">
            <w:pPr>
              <w:pStyle w:val="Teksttabelinaglowek"/>
            </w:pPr>
            <w:r w:rsidRPr="00795F17">
              <w:t>9</w:t>
            </w:r>
            <w:r>
              <w:t>05</w:t>
            </w:r>
          </w:p>
        </w:tc>
        <w:tc>
          <w:tcPr>
            <w:tcW w:w="1417" w:type="dxa"/>
            <w:shd w:val="clear" w:color="auto" w:fill="D9D9D9" w:themeFill="background1" w:themeFillShade="D9"/>
          </w:tcPr>
          <w:p w14:paraId="514607B9" w14:textId="23CE42A3" w:rsidR="00462DD4" w:rsidRPr="00795F17" w:rsidRDefault="0081468E" w:rsidP="008C0577">
            <w:pPr>
              <w:pStyle w:val="Teksttabelinaglowek"/>
            </w:pPr>
            <w:r>
              <w:t>-</w:t>
            </w:r>
          </w:p>
        </w:tc>
        <w:tc>
          <w:tcPr>
            <w:tcW w:w="1554" w:type="dxa"/>
            <w:shd w:val="clear" w:color="auto" w:fill="D9D9D9" w:themeFill="background1" w:themeFillShade="D9"/>
          </w:tcPr>
          <w:p w14:paraId="06A3149C" w14:textId="3ADF2628" w:rsidR="00462DD4" w:rsidRPr="00795F17" w:rsidRDefault="0081468E" w:rsidP="008C0577">
            <w:pPr>
              <w:pStyle w:val="Teksttabelinaglowek"/>
            </w:pPr>
            <w:r>
              <w:t>-</w:t>
            </w:r>
          </w:p>
        </w:tc>
      </w:tr>
      <w:tr w:rsidR="00462DD4" w:rsidRPr="00795F17" w14:paraId="3BE03C14" w14:textId="77777777" w:rsidTr="003440FC">
        <w:trPr>
          <w:trHeight w:val="454"/>
        </w:trPr>
        <w:tc>
          <w:tcPr>
            <w:tcW w:w="3261" w:type="dxa"/>
            <w:tcBorders>
              <w:bottom w:val="single" w:sz="4" w:space="0" w:color="auto"/>
            </w:tcBorders>
          </w:tcPr>
          <w:p w14:paraId="5961E212" w14:textId="77777777" w:rsidR="00462DD4" w:rsidRPr="00795F17" w:rsidRDefault="00462DD4" w:rsidP="0044393D">
            <w:pPr>
              <w:pStyle w:val="Teksttabelilewy"/>
            </w:pPr>
            <w:r w:rsidRPr="00795F17">
              <w:t>Dobry stan wód</w:t>
            </w:r>
          </w:p>
        </w:tc>
        <w:tc>
          <w:tcPr>
            <w:tcW w:w="1417" w:type="dxa"/>
            <w:tcBorders>
              <w:bottom w:val="single" w:sz="4" w:space="0" w:color="auto"/>
            </w:tcBorders>
            <w:shd w:val="clear" w:color="auto" w:fill="F2F2F2" w:themeFill="background1" w:themeFillShade="F2"/>
          </w:tcPr>
          <w:p w14:paraId="1B2AB84A" w14:textId="77777777" w:rsidR="00462DD4" w:rsidRPr="00795F17" w:rsidRDefault="00462DD4" w:rsidP="0065243A">
            <w:pPr>
              <w:pStyle w:val="Teksttabelisrodek"/>
            </w:pPr>
            <w:r w:rsidRPr="00795F17">
              <w:t>1</w:t>
            </w:r>
          </w:p>
        </w:tc>
        <w:tc>
          <w:tcPr>
            <w:tcW w:w="1418" w:type="dxa"/>
            <w:tcBorders>
              <w:bottom w:val="single" w:sz="4" w:space="0" w:color="auto"/>
            </w:tcBorders>
          </w:tcPr>
          <w:p w14:paraId="50ECAA00" w14:textId="1DC79630" w:rsidR="00462DD4" w:rsidRPr="00795F17" w:rsidRDefault="00462DD4" w:rsidP="0065243A">
            <w:pPr>
              <w:pStyle w:val="Teksttabelisrodek"/>
            </w:pPr>
            <w:r w:rsidRPr="00795F17">
              <w:t>4</w:t>
            </w:r>
          </w:p>
        </w:tc>
        <w:tc>
          <w:tcPr>
            <w:tcW w:w="1417" w:type="dxa"/>
            <w:tcBorders>
              <w:bottom w:val="single" w:sz="4" w:space="0" w:color="auto"/>
            </w:tcBorders>
          </w:tcPr>
          <w:p w14:paraId="2242A7E8" w14:textId="0CD9781F" w:rsidR="00462DD4" w:rsidRPr="00795F17" w:rsidRDefault="0081468E" w:rsidP="0065243A">
            <w:pPr>
              <w:pStyle w:val="Teksttabelisrodek"/>
            </w:pPr>
            <w:r>
              <w:t>-</w:t>
            </w:r>
          </w:p>
        </w:tc>
        <w:tc>
          <w:tcPr>
            <w:tcW w:w="1554" w:type="dxa"/>
            <w:tcBorders>
              <w:bottom w:val="single" w:sz="4" w:space="0" w:color="auto"/>
            </w:tcBorders>
          </w:tcPr>
          <w:p w14:paraId="723023F4" w14:textId="0DE1F815" w:rsidR="00462DD4" w:rsidRPr="00795F17" w:rsidRDefault="0081468E" w:rsidP="0065243A">
            <w:pPr>
              <w:pStyle w:val="Teksttabelisrodek"/>
            </w:pPr>
            <w:r>
              <w:t>-</w:t>
            </w:r>
          </w:p>
        </w:tc>
      </w:tr>
      <w:tr w:rsidR="00462DD4" w:rsidRPr="00795F17" w14:paraId="476439E7" w14:textId="77777777" w:rsidTr="003440FC">
        <w:trPr>
          <w:trHeight w:val="454"/>
        </w:trPr>
        <w:tc>
          <w:tcPr>
            <w:tcW w:w="3261" w:type="dxa"/>
            <w:tcBorders>
              <w:bottom w:val="single" w:sz="4" w:space="0" w:color="auto"/>
            </w:tcBorders>
          </w:tcPr>
          <w:p w14:paraId="246DAF99" w14:textId="77777777" w:rsidR="00462DD4" w:rsidRPr="00795F17" w:rsidRDefault="00462DD4" w:rsidP="0044393D">
            <w:pPr>
              <w:pStyle w:val="Teksttabelilewy"/>
            </w:pPr>
            <w:r w:rsidRPr="00795F17">
              <w:t>Zły stan wód</w:t>
            </w:r>
          </w:p>
        </w:tc>
        <w:tc>
          <w:tcPr>
            <w:tcW w:w="1417" w:type="dxa"/>
            <w:tcBorders>
              <w:bottom w:val="single" w:sz="4" w:space="0" w:color="auto"/>
            </w:tcBorders>
            <w:shd w:val="clear" w:color="auto" w:fill="F2F2F2" w:themeFill="background1" w:themeFillShade="F2"/>
          </w:tcPr>
          <w:p w14:paraId="1EF63C61" w14:textId="30F707A9" w:rsidR="00462DD4" w:rsidRPr="00795F17" w:rsidRDefault="008A330F" w:rsidP="0065243A">
            <w:pPr>
              <w:pStyle w:val="Teksttabelisrodek"/>
            </w:pPr>
            <w:r>
              <w:t>843</w:t>
            </w:r>
          </w:p>
        </w:tc>
        <w:tc>
          <w:tcPr>
            <w:tcW w:w="1418" w:type="dxa"/>
            <w:tcBorders>
              <w:bottom w:val="single" w:sz="4" w:space="0" w:color="auto"/>
            </w:tcBorders>
          </w:tcPr>
          <w:p w14:paraId="677706C4" w14:textId="0FEDA38E" w:rsidR="00462DD4" w:rsidRPr="00795F17" w:rsidRDefault="00C8218F" w:rsidP="0065243A">
            <w:pPr>
              <w:pStyle w:val="Teksttabelisrodek"/>
            </w:pPr>
            <w:r w:rsidRPr="00795F17">
              <w:t>9</w:t>
            </w:r>
            <w:r>
              <w:t>01</w:t>
            </w:r>
          </w:p>
        </w:tc>
        <w:tc>
          <w:tcPr>
            <w:tcW w:w="1417" w:type="dxa"/>
            <w:tcBorders>
              <w:bottom w:val="single" w:sz="4" w:space="0" w:color="auto"/>
            </w:tcBorders>
          </w:tcPr>
          <w:p w14:paraId="5C4B6983" w14:textId="2AA84B2A" w:rsidR="00462DD4" w:rsidRPr="00795F17" w:rsidRDefault="0081468E" w:rsidP="0065243A">
            <w:pPr>
              <w:pStyle w:val="Teksttabelisrodek"/>
            </w:pPr>
            <w:r>
              <w:t>-</w:t>
            </w:r>
          </w:p>
        </w:tc>
        <w:tc>
          <w:tcPr>
            <w:tcW w:w="1554" w:type="dxa"/>
            <w:tcBorders>
              <w:bottom w:val="single" w:sz="4" w:space="0" w:color="auto"/>
            </w:tcBorders>
          </w:tcPr>
          <w:p w14:paraId="541BBE66" w14:textId="1558562A" w:rsidR="00462DD4" w:rsidRPr="00795F17" w:rsidRDefault="0081468E" w:rsidP="0065243A">
            <w:pPr>
              <w:pStyle w:val="Teksttabelisrodek"/>
            </w:pPr>
            <w:r>
              <w:t>-</w:t>
            </w:r>
          </w:p>
        </w:tc>
      </w:tr>
    </w:tbl>
    <w:p w14:paraId="5F77F663" w14:textId="6946AB87" w:rsidR="00B30640" w:rsidRPr="009F7F19" w:rsidRDefault="00B30640" w:rsidP="0078755C">
      <w:pPr>
        <w:pStyle w:val="Tabela-wyjasnieniapod"/>
      </w:pPr>
      <w:r w:rsidRPr="000D33FE">
        <w:t>Objaśnienia:</w:t>
      </w:r>
    </w:p>
    <w:p w14:paraId="6B0E2D81" w14:textId="2E4DE5EB" w:rsidR="00462DD4" w:rsidRPr="00795F17" w:rsidRDefault="00462DD4" w:rsidP="0078755C">
      <w:pPr>
        <w:pStyle w:val="Tabela-wyjasnieniapod"/>
      </w:pPr>
      <w:r w:rsidRPr="00795F17">
        <w:rPr>
          <w:vertAlign w:val="superscript"/>
        </w:rPr>
        <w:t>1</w:t>
      </w:r>
      <w:r w:rsidR="00AF2F56">
        <w:rPr>
          <w:vertAlign w:val="superscript"/>
        </w:rPr>
        <w:t xml:space="preserve"> </w:t>
      </w:r>
      <w:r w:rsidRPr="00795F17">
        <w:t>Ocena stanu na podstawie oceny 2014</w:t>
      </w:r>
      <w:r w:rsidR="001F5AA9">
        <w:t>–</w:t>
      </w:r>
      <w:r w:rsidRPr="00795F17">
        <w:t xml:space="preserve">2019 (GIOŚ) zgodnie z </w:t>
      </w:r>
      <w:r w:rsidR="00DF005E">
        <w:t>r.kl.jcwp</w:t>
      </w:r>
      <w:r w:rsidRPr="00795F17">
        <w:t xml:space="preserve"> </w:t>
      </w:r>
      <w:r w:rsidR="00442820">
        <w:t>według</w:t>
      </w:r>
      <w:r w:rsidRPr="00795F17">
        <w:t xml:space="preserve"> klasyfikacji obowiązującej do </w:t>
      </w:r>
      <w:r w:rsidR="00AF2F56">
        <w:t xml:space="preserve">1 stycznia </w:t>
      </w:r>
      <w:r w:rsidRPr="00795F17">
        <w:t>2022</w:t>
      </w:r>
      <w:r w:rsidR="00AF2F56">
        <w:t> </w:t>
      </w:r>
      <w:r w:rsidRPr="00795F17">
        <w:t>r. przeniesiona na nowy układ planistyczny</w:t>
      </w:r>
      <w:r w:rsidR="00EC4A0D">
        <w:t>.</w:t>
      </w:r>
    </w:p>
    <w:p w14:paraId="19F49EDC" w14:textId="53C42063" w:rsidR="00462DD4" w:rsidRPr="00795F17" w:rsidRDefault="00462DD4" w:rsidP="0078755C">
      <w:pPr>
        <w:pStyle w:val="Tabela-wyjasnieniapod"/>
      </w:pPr>
      <w:r w:rsidRPr="00795F17">
        <w:rPr>
          <w:vertAlign w:val="superscript"/>
        </w:rPr>
        <w:t>2</w:t>
      </w:r>
      <w:r w:rsidR="00AF2F56">
        <w:rPr>
          <w:vertAlign w:val="superscript"/>
        </w:rPr>
        <w:t xml:space="preserve"> </w:t>
      </w:r>
      <w:r w:rsidRPr="00795F17">
        <w:t>Ocena stanu na podstawie oceny 2014</w:t>
      </w:r>
      <w:r w:rsidR="001F5AA9">
        <w:t>–</w:t>
      </w:r>
      <w:r w:rsidRPr="00795F17">
        <w:t xml:space="preserve">2019 (GIOŚ) przeliczona zgodnie z </w:t>
      </w:r>
      <w:r w:rsidR="00DF005E">
        <w:t>r.kl.jcwp</w:t>
      </w:r>
      <w:r w:rsidRPr="00795F17">
        <w:t xml:space="preserve"> </w:t>
      </w:r>
      <w:r w:rsidR="00442820">
        <w:t>według</w:t>
      </w:r>
      <w:r w:rsidRPr="00795F17">
        <w:t xml:space="preserve"> klasyfikacji obowiązującej od</w:t>
      </w:r>
      <w:r w:rsidR="00AF2F56">
        <w:t> 1 stycznia</w:t>
      </w:r>
      <w:r w:rsidRPr="00795F17">
        <w:t xml:space="preserve"> 2022</w:t>
      </w:r>
      <w:r w:rsidR="0078755C" w:rsidRPr="00795F17">
        <w:t> </w:t>
      </w:r>
      <w:r w:rsidRPr="00795F17">
        <w:t>r.</w:t>
      </w:r>
    </w:p>
    <w:p w14:paraId="587F0E19" w14:textId="7268962A" w:rsidR="00462DD4" w:rsidRPr="00795F17" w:rsidRDefault="00462DD4" w:rsidP="0078755C">
      <w:pPr>
        <w:pStyle w:val="Tabela-wyjasnieniapod"/>
      </w:pPr>
      <w:r w:rsidRPr="00795F17">
        <w:rPr>
          <w:vertAlign w:val="superscript"/>
        </w:rPr>
        <w:t>3</w:t>
      </w:r>
      <w:r w:rsidR="009904A5">
        <w:rPr>
          <w:vertAlign w:val="superscript"/>
        </w:rPr>
        <w:t xml:space="preserve"> </w:t>
      </w:r>
      <w:r w:rsidRPr="00795F17">
        <w:t xml:space="preserve">Ocena wykonana przy wykorzystaniu wyników Analizy znaczących oddziaływań </w:t>
      </w:r>
      <w:r w:rsidR="001F5AA9">
        <w:t>–</w:t>
      </w:r>
      <w:r w:rsidRPr="00795F17">
        <w:t xml:space="preserve"> </w:t>
      </w:r>
      <w:r w:rsidR="00DF005E">
        <w:t>JCWP</w:t>
      </w:r>
      <w:r w:rsidRPr="00795F17">
        <w:t xml:space="preserve"> (…) dla </w:t>
      </w:r>
      <w:r w:rsidR="00DF005E">
        <w:t>JCWP</w:t>
      </w:r>
      <w:r w:rsidRPr="00795F17">
        <w:t xml:space="preserve"> niemonitorowanych, dla</w:t>
      </w:r>
      <w:r w:rsidR="00C605CD" w:rsidRPr="00795F17">
        <w:t> </w:t>
      </w:r>
      <w:r w:rsidRPr="00795F17">
        <w:t>których nie dokonano oceny stanu 2014</w:t>
      </w:r>
      <w:r w:rsidR="001F5AA9">
        <w:t>–</w:t>
      </w:r>
      <w:r w:rsidRPr="00795F17">
        <w:t>2019 (PMŚ), jest traktowana jako poglądowa, podlegająca weryfikacji w oparciu o</w:t>
      </w:r>
      <w:r w:rsidR="0078755C" w:rsidRPr="00795F17">
        <w:t> </w:t>
      </w:r>
      <w:r w:rsidRPr="00795F17">
        <w:t>nowe badania stanu wód, zrealizowane zgodnie z metodykami PMŚ, normami oraz przepisami w trakcie obowiązywania IIaPGW i akceptacji organu odpowiedzialnego za prowadzenie PMŚ.</w:t>
      </w:r>
    </w:p>
    <w:p w14:paraId="1D4CCD6B" w14:textId="3F1973EA"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w:t>
      </w:r>
      <w:r w:rsidRPr="00795F17">
        <w:br/>
        <w:t xml:space="preserve"> Analizy znaczących oddziaływań </w:t>
      </w:r>
      <w:r w:rsidR="001F5AA9">
        <w:t>–</w:t>
      </w:r>
      <w:r w:rsidRPr="00795F17">
        <w:t xml:space="preserve"> </w:t>
      </w:r>
      <w:r w:rsidR="00DF005E">
        <w:t>JCWP</w:t>
      </w:r>
      <w:r w:rsidRPr="00795F17">
        <w:t xml:space="preserve"> (…)</w:t>
      </w:r>
    </w:p>
    <w:p w14:paraId="267150C6" w14:textId="380E9C35" w:rsidR="00462DD4" w:rsidRPr="00795F17" w:rsidRDefault="00DF005E" w:rsidP="0044393D">
      <w:pPr>
        <w:pStyle w:val="Nagwek5"/>
      </w:pPr>
      <w:r>
        <w:t>JCWP</w:t>
      </w:r>
      <w:r w:rsidR="00462DD4" w:rsidRPr="00795F17">
        <w:t xml:space="preserve"> RWr</w:t>
      </w:r>
    </w:p>
    <w:p w14:paraId="643479AB" w14:textId="034E0BC6" w:rsidR="00462DD4" w:rsidRPr="00795F17" w:rsidRDefault="00462DD4" w:rsidP="0044393D">
      <w:r w:rsidRPr="00795F17">
        <w:t xml:space="preserve">Podsumowanie oceny stanu </w:t>
      </w:r>
      <w:r w:rsidR="00DF005E">
        <w:t>JCWP</w:t>
      </w:r>
      <w:r w:rsidRPr="00795F17">
        <w:t xml:space="preserve"> RWr na obszarze dorzecza Odry, dokonanej na podstawie wyników monitoringu (ocena stanu GIOŚ 2014</w:t>
      </w:r>
      <w:r w:rsidR="001F5AA9">
        <w:t>–</w:t>
      </w:r>
      <w:r w:rsidRPr="00795F17">
        <w:t xml:space="preserve">2019), a w przypadku </w:t>
      </w:r>
      <w:r w:rsidR="00DF005E">
        <w:t>JCWP</w:t>
      </w:r>
      <w:r w:rsidRPr="00795F17">
        <w:t xml:space="preserve"> niemonitorowanych </w:t>
      </w:r>
      <w:r w:rsidR="004F5439">
        <w:t>–</w:t>
      </w:r>
      <w:r w:rsidRPr="00795F17">
        <w:t xml:space="preserve"> wyników analizy eksperckiej dla okresu od </w:t>
      </w:r>
      <w:r w:rsidR="008F4805">
        <w:t xml:space="preserve">1 stycznia </w:t>
      </w:r>
      <w:r w:rsidRPr="00795F17">
        <w:t>2022 r., przedstawiono poniżej.</w:t>
      </w:r>
    </w:p>
    <w:p w14:paraId="4C2C88BC" w14:textId="2440D55E" w:rsidR="00462DD4" w:rsidRPr="00795F17" w:rsidRDefault="00462DD4" w:rsidP="0044393D">
      <w:r w:rsidRPr="00795F17">
        <w:t>Na podstawie oceny stanu 2014</w:t>
      </w:r>
      <w:r w:rsidR="001F5AA9">
        <w:t>–</w:t>
      </w:r>
      <w:r w:rsidRPr="00795F17">
        <w:t xml:space="preserve">2019 (GIOŚ) dla </w:t>
      </w:r>
      <w:r w:rsidR="00DF005E">
        <w:t>JCWP</w:t>
      </w:r>
      <w:r w:rsidRPr="00795F17">
        <w:t xml:space="preserve"> RWr w układzie planistycznym obowiązującym dla cyklu planistycznego aPGW (2016</w:t>
      </w:r>
      <w:r w:rsidR="001F5AA9">
        <w:t>–</w:t>
      </w:r>
      <w:r w:rsidRPr="00795F17">
        <w:t>2021) oceny stanu dokonano dla 16</w:t>
      </w:r>
      <w:r w:rsidR="001C64BD" w:rsidRPr="00795F17">
        <w:t xml:space="preserve"> </w:t>
      </w:r>
      <w:r w:rsidR="00DF005E">
        <w:t>JCWP</w:t>
      </w:r>
      <w:r w:rsidRPr="00795F17">
        <w:t xml:space="preserve"> RWr (100% ogólnej liczby </w:t>
      </w:r>
      <w:r w:rsidR="00DF005E">
        <w:t>JCWP</w:t>
      </w:r>
      <w:r w:rsidRPr="00795F17">
        <w:t xml:space="preserve"> RW</w:t>
      </w:r>
      <w:r w:rsidR="005A147E" w:rsidRPr="00795F17">
        <w:t>r</w:t>
      </w:r>
      <w:r w:rsidRPr="00795F17">
        <w:t xml:space="preserve">). </w:t>
      </w:r>
    </w:p>
    <w:p w14:paraId="6386788D" w14:textId="05D9762D" w:rsidR="00462DD4" w:rsidRPr="00795F17" w:rsidRDefault="00462DD4" w:rsidP="0044393D">
      <w:r w:rsidRPr="00795F17">
        <w:t xml:space="preserve">Z uwagi na dokonane zmiany granic </w:t>
      </w:r>
      <w:r w:rsidR="00DF005E">
        <w:t>JCWP</w:t>
      </w:r>
      <w:r w:rsidRPr="00795F17">
        <w:t xml:space="preserve">, prezentowane poniżej dane dotyczące aktualnie obowiązującego układu jednostek planistycznych, w przypadku wskazywania liczby </w:t>
      </w:r>
      <w:r w:rsidR="00DF005E">
        <w:t>JCWP</w:t>
      </w:r>
      <w:r w:rsidRPr="00795F17">
        <w:t xml:space="preserve"> bez oceny stanu, interpretowane powinny być, jako </w:t>
      </w:r>
      <w:r w:rsidR="00DF005E">
        <w:t>JCWP</w:t>
      </w:r>
      <w:r w:rsidRPr="00795F17">
        <w:t xml:space="preserve"> bez oceny stanu przeniesionej na nowy układ planistyczny.</w:t>
      </w:r>
    </w:p>
    <w:p w14:paraId="38CB9469" w14:textId="02905B4F" w:rsidR="00462DD4" w:rsidRPr="00795F17" w:rsidRDefault="00462DD4" w:rsidP="0044393D">
      <w:r w:rsidRPr="00795F17">
        <w:t xml:space="preserve">Informacje o aktualnej ocenie stanu danej </w:t>
      </w:r>
      <w:r w:rsidR="00DF005E">
        <w:t>JCWP</w:t>
      </w:r>
      <w:r w:rsidRPr="00795F17">
        <w:t xml:space="preserve"> zaprezentowane są w załączniku nr 1 (Zestawienie główne), zobrazowania mapowe ocen stanu przedstawione zostały w załącznik</w:t>
      </w:r>
      <w:r w:rsidR="00B25386" w:rsidRPr="00795F17">
        <w:t>u</w:t>
      </w:r>
      <w:r w:rsidRPr="00795F17">
        <w:t xml:space="preserve"> graficzny</w:t>
      </w:r>
      <w:r w:rsidR="00B25386" w:rsidRPr="00795F17">
        <w:t>m</w:t>
      </w:r>
      <w:r w:rsidR="00287F07" w:rsidRPr="00795F17">
        <w:t xml:space="preserve"> </w:t>
      </w:r>
      <w:r w:rsidR="0075020A">
        <w:t xml:space="preserve">nr </w:t>
      </w:r>
      <w:r w:rsidR="0023694E">
        <w:t>18</w:t>
      </w:r>
      <w:r w:rsidRPr="00795F17">
        <w:t>.</w:t>
      </w:r>
    </w:p>
    <w:p w14:paraId="75095C27" w14:textId="01BD18E8" w:rsidR="00462DD4" w:rsidRPr="00795F17" w:rsidRDefault="00462DD4" w:rsidP="0044393D">
      <w:r w:rsidRPr="00795F17">
        <w:t xml:space="preserve">Podsumowanie liczby </w:t>
      </w:r>
      <w:r w:rsidR="00DF005E">
        <w:t>JCWP</w:t>
      </w:r>
      <w:r w:rsidRPr="00795F17">
        <w:t xml:space="preserve"> RWr z uzyskaną oceną stanu w odniesieniu do poszczególnych regionów wodnych obszaru dorzecza Odry prezentuje poniższa tabela. W tabeli</w:t>
      </w:r>
      <w:r w:rsidR="00B14FD9" w:rsidRPr="00795F17">
        <w:t xml:space="preserve"> 5-15</w:t>
      </w:r>
      <w:r w:rsidRPr="00795F17">
        <w:t xml:space="preserve"> uwzględnione zostały zarówno wyniki oceny stanu 2014</w:t>
      </w:r>
      <w:r w:rsidR="001F5AA9">
        <w:t>–</w:t>
      </w:r>
      <w:r w:rsidRPr="00795F17">
        <w:t>2019 w</w:t>
      </w:r>
      <w:r w:rsidR="008F4805">
        <w:t>edłu</w:t>
      </w:r>
      <w:r w:rsidRPr="00795F17">
        <w:t>g klasyfikacji obowiązującej do roku 2022, jak również poglądowo zmiany w ocenie stanu przy zastosowaniu sposobu klasyfikacji w</w:t>
      </w:r>
      <w:r w:rsidR="008F4805">
        <w:t>edłu</w:t>
      </w:r>
      <w:r w:rsidRPr="00795F17">
        <w:t xml:space="preserve">g </w:t>
      </w:r>
      <w:r w:rsidR="00DF005E">
        <w:t>r.kl.jcwp</w:t>
      </w:r>
      <w:r w:rsidRPr="00795F17">
        <w:t xml:space="preserve"> obowiązującego od roku 2022.</w:t>
      </w:r>
      <w:r w:rsidR="002F1AD2" w:rsidRPr="00795F17">
        <w:t xml:space="preserve"> Udział procentowy </w:t>
      </w:r>
      <w:r w:rsidR="00DF005E">
        <w:t>JCWP</w:t>
      </w:r>
      <w:r w:rsidR="002F1AD2" w:rsidRPr="00795F17">
        <w:t xml:space="preserve"> bez wykonanej oceny w</w:t>
      </w:r>
      <w:r w:rsidR="008F4805">
        <w:t>edłu</w:t>
      </w:r>
      <w:r w:rsidR="002F1AD2" w:rsidRPr="00795F17">
        <w:t>g obydwu klasyfikacji przedstawiają wykresy 5-5 i 5-6.</w:t>
      </w:r>
    </w:p>
    <w:p w14:paraId="03214679" w14:textId="6EB9C6D6" w:rsidR="00462DD4" w:rsidRPr="00795F17" w:rsidRDefault="00462DD4" w:rsidP="004D7705">
      <w:pPr>
        <w:pStyle w:val="Tabela"/>
      </w:pPr>
      <w:bookmarkStart w:id="173" w:name="_Toc66341870"/>
      <w:bookmarkStart w:id="174" w:name="_Toc105512779"/>
      <w:r w:rsidRPr="00795F17">
        <w:t xml:space="preserve">Tabela </w:t>
      </w:r>
      <w:fldSimple w:instr=" STYLEREF 1 \s ">
        <w:r w:rsidR="001F774D">
          <w:rPr>
            <w:noProof/>
          </w:rPr>
          <w:t>5</w:t>
        </w:r>
      </w:fldSimple>
      <w:r w:rsidR="00BB3B21" w:rsidRPr="00795F17">
        <w:noBreakHyphen/>
      </w:r>
      <w:fldSimple w:instr=" SEQ Tabela \* ARABIC \s 1 ">
        <w:r w:rsidR="001F774D">
          <w:rPr>
            <w:noProof/>
          </w:rPr>
          <w:t>15</w:t>
        </w:r>
      </w:fldSimple>
      <w:r w:rsidR="00BA11D4">
        <w:rPr>
          <w:noProof/>
        </w:rPr>
        <w:t>.</w:t>
      </w:r>
      <w:r w:rsidRPr="00795F17">
        <w:tab/>
        <w:t xml:space="preserve">Liczba </w:t>
      </w:r>
      <w:r w:rsidR="00DF005E">
        <w:t>JCWP</w:t>
      </w:r>
      <w:r w:rsidRPr="00795F17">
        <w:t xml:space="preserve"> RWr zagrożonych nieosiągnięciem celów środowiskowych wraz ze wskazaniem liczby </w:t>
      </w:r>
      <w:r w:rsidR="00DF005E">
        <w:t>JCWP</w:t>
      </w:r>
      <w:r w:rsidRPr="00795F17">
        <w:t xml:space="preserve"> RWr z oceną stanu w podziale na regiony wodne obszaru dorzecza Odry</w:t>
      </w:r>
      <w:bookmarkEnd w:id="173"/>
      <w:bookmarkEnd w:id="174"/>
    </w:p>
    <w:tbl>
      <w:tblPr>
        <w:tblW w:w="9134" w:type="dxa"/>
        <w:tblInd w:w="75" w:type="dxa"/>
        <w:tblLayout w:type="fixed"/>
        <w:tblCellMar>
          <w:left w:w="70" w:type="dxa"/>
          <w:right w:w="70" w:type="dxa"/>
        </w:tblCellMar>
        <w:tblLook w:val="04A0" w:firstRow="1" w:lastRow="0" w:firstColumn="1" w:lastColumn="0" w:noHBand="0" w:noVBand="1"/>
      </w:tblPr>
      <w:tblGrid>
        <w:gridCol w:w="1616"/>
        <w:gridCol w:w="708"/>
        <w:gridCol w:w="1276"/>
        <w:gridCol w:w="1276"/>
        <w:gridCol w:w="1064"/>
        <w:gridCol w:w="1065"/>
        <w:gridCol w:w="1137"/>
        <w:gridCol w:w="992"/>
      </w:tblGrid>
      <w:tr w:rsidR="00462DD4" w:rsidRPr="00795F17" w14:paraId="583B5451" w14:textId="77777777" w:rsidTr="00DC4CCC">
        <w:trPr>
          <w:trHeight w:val="340"/>
          <w:tblHeader/>
        </w:trPr>
        <w:tc>
          <w:tcPr>
            <w:tcW w:w="161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E993EA4" w14:textId="77777777" w:rsidR="00462DD4" w:rsidRPr="00795F17" w:rsidRDefault="00462DD4" w:rsidP="0044393D">
            <w:pPr>
              <w:pStyle w:val="Teksttabelinaglowek"/>
            </w:pPr>
            <w:r w:rsidRPr="00795F17">
              <w:t>Region wodny obszaru dorzecza Odry</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804D346" w14:textId="022A4373" w:rsidR="00462DD4" w:rsidRPr="00795F17" w:rsidRDefault="00462DD4" w:rsidP="0044393D">
            <w:pPr>
              <w:pStyle w:val="Teksttabelinaglowek"/>
              <w:rPr>
                <w:rFonts w:eastAsia="Times New Roman"/>
                <w:color w:val="000000"/>
              </w:rPr>
            </w:pPr>
            <w:r w:rsidRPr="00795F17">
              <w:t xml:space="preserve">Liczba </w:t>
            </w:r>
            <w:r w:rsidR="00DF005E">
              <w:t>JCWP</w:t>
            </w:r>
            <w:r w:rsidRPr="00795F17">
              <w:t xml:space="preserve"> RW</w:t>
            </w:r>
            <w:r w:rsidRPr="00795F17">
              <w:rPr>
                <w:rFonts w:eastAsia="Times New Roman"/>
                <w:color w:val="000000"/>
              </w:rPr>
              <w:t>r</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C2A1006" w14:textId="47D44E47" w:rsidR="00462DD4" w:rsidRPr="00795F17" w:rsidRDefault="00462DD4" w:rsidP="0044393D">
            <w:pPr>
              <w:pStyle w:val="Teksttabelinaglowek"/>
              <w:rPr>
                <w:vertAlign w:val="superscript"/>
              </w:rPr>
            </w:pPr>
            <w:r w:rsidRPr="00795F17">
              <w:t xml:space="preserve">Liczba </w:t>
            </w:r>
            <w:r w:rsidR="00DF005E">
              <w:t>JCWP</w:t>
            </w:r>
            <w:r w:rsidRPr="00795F17">
              <w:t xml:space="preserve"> RWr zagrożonych</w:t>
            </w:r>
            <w:r w:rsidRPr="00795F17">
              <w:rPr>
                <w:vertAlign w:val="superscript"/>
              </w:rPr>
              <w:t>1</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4B5B016" w14:textId="455775F4" w:rsidR="00462DD4" w:rsidRPr="00795F17" w:rsidRDefault="00462DD4" w:rsidP="0044393D">
            <w:pPr>
              <w:pStyle w:val="Teksttabelinaglowek"/>
              <w:rPr>
                <w:vertAlign w:val="superscript"/>
              </w:rPr>
            </w:pPr>
            <w:r w:rsidRPr="00795F17">
              <w:t xml:space="preserve">Udział </w:t>
            </w:r>
            <w:r w:rsidR="003A2D9B" w:rsidRPr="00795F17">
              <w:t xml:space="preserve">% </w:t>
            </w:r>
            <w:r w:rsidR="00DF005E">
              <w:t>JCWP</w:t>
            </w:r>
            <w:r w:rsidRPr="00795F17">
              <w:t xml:space="preserve"> RWr zagrożonych</w:t>
            </w:r>
            <w:r w:rsidRPr="00795F17">
              <w:rPr>
                <w:vertAlign w:val="superscript"/>
              </w:rPr>
              <w:t>1</w:t>
            </w:r>
          </w:p>
        </w:tc>
        <w:tc>
          <w:tcPr>
            <w:tcW w:w="2129"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79312A35" w14:textId="684A6B40" w:rsidR="00462DD4" w:rsidRPr="00795F17" w:rsidRDefault="00462DD4" w:rsidP="0044393D">
            <w:pPr>
              <w:pStyle w:val="Teksttabelinaglowek"/>
              <w:rPr>
                <w:rFonts w:eastAsia="Times New Roman"/>
                <w:color w:val="000000"/>
              </w:rPr>
            </w:pPr>
            <w:r w:rsidRPr="00795F17">
              <w:t xml:space="preserve">Liczba </w:t>
            </w:r>
            <w:r w:rsidR="00DF005E">
              <w:t>JCWP</w:t>
            </w:r>
            <w:r w:rsidRPr="00795F17">
              <w:t xml:space="preserve"> RW</w:t>
            </w:r>
            <w:r w:rsidR="008C3122" w:rsidRPr="00795F17">
              <w:t>r</w:t>
            </w:r>
            <w:r w:rsidRPr="00795F17">
              <w:t xml:space="preserve"> z</w:t>
            </w:r>
            <w:r w:rsidR="008F4805">
              <w:t> </w:t>
            </w:r>
            <w:r w:rsidRPr="00795F17">
              <w:t>oceną stanu</w:t>
            </w:r>
            <w:r w:rsidRPr="00795F17">
              <w:rPr>
                <w:rFonts w:eastAsia="Times New Roman"/>
                <w:color w:val="000000"/>
              </w:rPr>
              <w:t xml:space="preserve"> </w:t>
            </w:r>
            <w:r w:rsidR="00DF005E">
              <w:rPr>
                <w:rFonts w:eastAsia="Times New Roman"/>
                <w:color w:val="000000"/>
              </w:rPr>
              <w:t>r.kl.jcwp</w:t>
            </w:r>
            <w:r w:rsidRPr="00795F17">
              <w:rPr>
                <w:rFonts w:eastAsia="Times New Roman"/>
                <w:color w:val="000000"/>
              </w:rPr>
              <w:t xml:space="preserve"> do 2022</w:t>
            </w:r>
            <w:r w:rsidR="00B87AB9">
              <w:rPr>
                <w:rFonts w:eastAsia="Times New Roman"/>
                <w:color w:val="000000"/>
              </w:rPr>
              <w:t xml:space="preserve"> r.</w:t>
            </w:r>
          </w:p>
        </w:tc>
        <w:tc>
          <w:tcPr>
            <w:tcW w:w="2129"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6E2D3AF2" w14:textId="73780556" w:rsidR="00462DD4" w:rsidRPr="00795F17" w:rsidRDefault="00462DD4" w:rsidP="0044393D">
            <w:pPr>
              <w:pStyle w:val="Teksttabelinaglowek"/>
              <w:rPr>
                <w:rFonts w:eastAsia="Times New Roman"/>
                <w:color w:val="000000"/>
              </w:rPr>
            </w:pPr>
            <w:r w:rsidRPr="00795F17">
              <w:t xml:space="preserve">Liczba </w:t>
            </w:r>
            <w:r w:rsidR="00DF005E">
              <w:t>JCWP</w:t>
            </w:r>
            <w:r w:rsidRPr="00795F17">
              <w:t xml:space="preserve"> RW</w:t>
            </w:r>
            <w:r w:rsidR="008C3122" w:rsidRPr="00795F17">
              <w:t>r</w:t>
            </w:r>
            <w:r w:rsidRPr="00795F17">
              <w:t xml:space="preserve"> z</w:t>
            </w:r>
            <w:r w:rsidR="008F4805">
              <w:t> </w:t>
            </w:r>
            <w:r w:rsidRPr="00795F17">
              <w:t>oceną stanu</w:t>
            </w:r>
            <w:r w:rsidRPr="00795F17">
              <w:rPr>
                <w:rFonts w:eastAsia="Times New Roman"/>
                <w:color w:val="000000"/>
              </w:rPr>
              <w:t xml:space="preserve"> </w:t>
            </w:r>
            <w:r w:rsidR="00DF005E">
              <w:rPr>
                <w:rFonts w:eastAsia="Times New Roman"/>
                <w:color w:val="000000"/>
              </w:rPr>
              <w:t>r.kl.jcwp</w:t>
            </w:r>
            <w:r w:rsidRPr="00795F17">
              <w:rPr>
                <w:rFonts w:eastAsia="Times New Roman"/>
                <w:color w:val="000000"/>
              </w:rPr>
              <w:t xml:space="preserve"> od 2022</w:t>
            </w:r>
            <w:r w:rsidR="00B87AB9">
              <w:rPr>
                <w:rFonts w:eastAsia="Times New Roman"/>
                <w:color w:val="000000"/>
              </w:rPr>
              <w:t xml:space="preserve"> r</w:t>
            </w:r>
            <w:r w:rsidR="008F4805">
              <w:rPr>
                <w:rFonts w:eastAsia="Times New Roman"/>
                <w:color w:val="000000"/>
              </w:rPr>
              <w:t>.</w:t>
            </w:r>
          </w:p>
        </w:tc>
      </w:tr>
      <w:tr w:rsidR="00462DD4" w:rsidRPr="00795F17" w14:paraId="76F5864B" w14:textId="77777777" w:rsidTr="00DC4CCC">
        <w:trPr>
          <w:trHeight w:val="340"/>
          <w:tblHeader/>
        </w:trPr>
        <w:tc>
          <w:tcPr>
            <w:tcW w:w="161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1E91BF" w14:textId="77777777" w:rsidR="00462DD4" w:rsidRPr="00795F17" w:rsidRDefault="00462DD4" w:rsidP="0044393D">
            <w:pPr>
              <w:pStyle w:val="Teksttabelilewy"/>
            </w:pPr>
          </w:p>
        </w:tc>
        <w:tc>
          <w:tcPr>
            <w:tcW w:w="708"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CA42EC" w14:textId="77777777" w:rsidR="00462DD4" w:rsidRPr="00795F17" w:rsidRDefault="00462DD4" w:rsidP="0044393D">
            <w:pPr>
              <w:pStyle w:val="Teksttabelilewy"/>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763F5C" w14:textId="77777777" w:rsidR="00462DD4" w:rsidRPr="00795F17" w:rsidRDefault="00462DD4" w:rsidP="0044393D">
            <w:pPr>
              <w:pStyle w:val="Teksttabelilewy"/>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698E5B" w14:textId="77777777" w:rsidR="00462DD4" w:rsidRPr="00795F17" w:rsidRDefault="00462DD4" w:rsidP="0044393D">
            <w:pPr>
              <w:pStyle w:val="Teksttabelilewy"/>
            </w:pPr>
          </w:p>
        </w:tc>
        <w:tc>
          <w:tcPr>
            <w:tcW w:w="1064"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5F86FC1E" w14:textId="77777777" w:rsidR="00462DD4" w:rsidRPr="00795F17" w:rsidRDefault="00462DD4" w:rsidP="0044393D">
            <w:pPr>
              <w:pStyle w:val="Teksttabelinaglowek"/>
              <w:rPr>
                <w:rFonts w:eastAsia="Times New Roman"/>
                <w:color w:val="000000"/>
              </w:rPr>
            </w:pPr>
            <w:r w:rsidRPr="00795F17">
              <w:t>ocena stanu (PMŚ)</w:t>
            </w:r>
            <w:r w:rsidRPr="00795F17">
              <w:rPr>
                <w:rFonts w:eastAsia="Times New Roman"/>
                <w:color w:val="000000"/>
                <w:vertAlign w:val="superscript"/>
              </w:rPr>
              <w:t>2</w:t>
            </w:r>
          </w:p>
        </w:tc>
        <w:tc>
          <w:tcPr>
            <w:tcW w:w="1065" w:type="dxa"/>
            <w:tcBorders>
              <w:top w:val="nil"/>
              <w:left w:val="single" w:sz="4" w:space="0" w:color="auto"/>
              <w:bottom w:val="single" w:sz="4" w:space="0" w:color="auto"/>
              <w:right w:val="single" w:sz="4" w:space="0" w:color="auto"/>
            </w:tcBorders>
            <w:shd w:val="clear" w:color="auto" w:fill="BFBFBF" w:themeFill="background1" w:themeFillShade="BF"/>
            <w:vAlign w:val="center"/>
          </w:tcPr>
          <w:p w14:paraId="5882FA8A" w14:textId="591B513E" w:rsidR="00462DD4" w:rsidRPr="00795F17" w:rsidRDefault="003B4649" w:rsidP="0044393D">
            <w:pPr>
              <w:pStyle w:val="Teksttabelinaglowek"/>
              <w:rPr>
                <w:rFonts w:eastAsia="Times New Roman"/>
                <w:color w:val="000000"/>
                <w:vertAlign w:val="superscript"/>
              </w:rPr>
            </w:pPr>
            <w:r w:rsidRPr="00795F17">
              <w:t>u</w:t>
            </w:r>
            <w:r w:rsidR="00462DD4" w:rsidRPr="00795F17">
              <w:t>dział</w:t>
            </w:r>
            <w:r w:rsidR="003A2D9B" w:rsidRPr="00795F17">
              <w:t xml:space="preserve"> %</w:t>
            </w:r>
            <w:r w:rsidR="00462DD4" w:rsidRPr="00795F17">
              <w:t xml:space="preserve"> </w:t>
            </w:r>
            <w:r w:rsidR="00DF005E">
              <w:t>JCWP</w:t>
            </w:r>
            <w:r w:rsidR="00462DD4" w:rsidRPr="00795F17">
              <w:t xml:space="preserve"> bez oceny stanu</w:t>
            </w:r>
            <w:r w:rsidR="00462DD4" w:rsidRPr="00795F17">
              <w:rPr>
                <w:rFonts w:eastAsia="Times New Roman"/>
                <w:color w:val="000000"/>
                <w:vertAlign w:val="superscript"/>
              </w:rPr>
              <w:t>2</w:t>
            </w:r>
          </w:p>
        </w:tc>
        <w:tc>
          <w:tcPr>
            <w:tcW w:w="1137"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33D272B3" w14:textId="77777777" w:rsidR="00462DD4" w:rsidRPr="00795F17" w:rsidRDefault="00462DD4" w:rsidP="0044393D">
            <w:pPr>
              <w:pStyle w:val="Teksttabelinaglowek"/>
              <w:rPr>
                <w:rFonts w:eastAsia="Times New Roman"/>
                <w:color w:val="000000"/>
              </w:rPr>
            </w:pPr>
            <w:r w:rsidRPr="00795F17">
              <w:t>ocena stanu (PMŚ</w:t>
            </w:r>
            <w:r w:rsidRPr="00795F17">
              <w:rPr>
                <w:rFonts w:eastAsia="Times New Roman"/>
                <w:color w:val="000000"/>
              </w:rPr>
              <w:t>+EKS)</w:t>
            </w:r>
            <w:r w:rsidRPr="00795F17">
              <w:rPr>
                <w:rFonts w:eastAsia="Times New Roman"/>
                <w:color w:val="000000"/>
                <w:vertAlign w:val="superscript"/>
              </w:rPr>
              <w:t>3</w:t>
            </w:r>
          </w:p>
        </w:tc>
        <w:tc>
          <w:tcPr>
            <w:tcW w:w="992" w:type="dxa"/>
            <w:tcBorders>
              <w:top w:val="nil"/>
              <w:left w:val="nil"/>
              <w:bottom w:val="single" w:sz="4" w:space="0" w:color="auto"/>
              <w:right w:val="single" w:sz="4" w:space="0" w:color="auto"/>
            </w:tcBorders>
            <w:shd w:val="clear" w:color="auto" w:fill="BFBFBF" w:themeFill="background1" w:themeFillShade="BF"/>
            <w:vAlign w:val="center"/>
            <w:hideMark/>
          </w:tcPr>
          <w:p w14:paraId="2B870C74" w14:textId="4C58A779" w:rsidR="00462DD4" w:rsidRPr="00795F17" w:rsidRDefault="00462DD4" w:rsidP="0044393D">
            <w:pPr>
              <w:pStyle w:val="Teksttabelinaglowek"/>
              <w:rPr>
                <w:rFonts w:eastAsia="Times New Roman"/>
                <w:color w:val="000000"/>
              </w:rPr>
            </w:pPr>
            <w:r w:rsidRPr="00795F17">
              <w:t xml:space="preserve">udział </w:t>
            </w:r>
            <w:r w:rsidR="003A2D9B" w:rsidRPr="00795F17">
              <w:t xml:space="preserve">% </w:t>
            </w:r>
            <w:r w:rsidR="00DF005E">
              <w:t>JCWP</w:t>
            </w:r>
            <w:r w:rsidRPr="00795F17">
              <w:t xml:space="preserve"> bez oceny stanu</w:t>
            </w:r>
            <w:r w:rsidRPr="00795F17">
              <w:rPr>
                <w:rFonts w:eastAsia="Times New Roman"/>
                <w:color w:val="000000"/>
                <w:vertAlign w:val="superscript"/>
              </w:rPr>
              <w:t>3</w:t>
            </w:r>
          </w:p>
        </w:tc>
      </w:tr>
      <w:tr w:rsidR="00462DD4" w:rsidRPr="00795F17" w14:paraId="04CE6BF6" w14:textId="77777777" w:rsidTr="00DC4CCC">
        <w:trPr>
          <w:trHeight w:val="340"/>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442DE860" w14:textId="77777777" w:rsidR="00462DD4" w:rsidRPr="00795F17" w:rsidRDefault="00462DD4" w:rsidP="0044393D">
            <w:pPr>
              <w:pStyle w:val="Teksttabelilewy"/>
              <w:rPr>
                <w:rFonts w:eastAsia="Times New Roman"/>
                <w:color w:val="000000"/>
              </w:rPr>
            </w:pPr>
            <w:r w:rsidRPr="00795F17">
              <w:t>Górnej Odry</w:t>
            </w:r>
          </w:p>
        </w:tc>
        <w:tc>
          <w:tcPr>
            <w:tcW w:w="708" w:type="dxa"/>
            <w:tcBorders>
              <w:top w:val="nil"/>
              <w:left w:val="nil"/>
              <w:bottom w:val="single" w:sz="4" w:space="0" w:color="2F75B5"/>
              <w:right w:val="single" w:sz="4" w:space="0" w:color="2F75B5"/>
            </w:tcBorders>
            <w:shd w:val="clear" w:color="auto" w:fill="auto"/>
            <w:noWrap/>
            <w:vAlign w:val="center"/>
            <w:hideMark/>
          </w:tcPr>
          <w:p w14:paraId="303891E7" w14:textId="77777777" w:rsidR="00462DD4" w:rsidRPr="00795F17" w:rsidRDefault="00462DD4" w:rsidP="0065243A">
            <w:pPr>
              <w:pStyle w:val="Teksttabelisrodek"/>
              <w:rPr>
                <w:rFonts w:eastAsia="Times New Roman"/>
                <w:color w:val="000000"/>
              </w:rPr>
            </w:pPr>
            <w:r w:rsidRPr="00795F17">
              <w:t>5</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05421B65" w14:textId="74B39BD6" w:rsidR="00462DD4" w:rsidRPr="00795F17" w:rsidRDefault="001D3A01" w:rsidP="0065243A">
            <w:pPr>
              <w:pStyle w:val="Teksttabelisrodek"/>
              <w:rPr>
                <w:rFonts w:eastAsia="Times New Roman"/>
                <w:color w:val="000000"/>
              </w:rPr>
            </w:pPr>
            <w:r>
              <w:t>5</w:t>
            </w:r>
          </w:p>
        </w:tc>
        <w:tc>
          <w:tcPr>
            <w:tcW w:w="1276" w:type="dxa"/>
            <w:tcBorders>
              <w:top w:val="nil"/>
              <w:left w:val="nil"/>
              <w:bottom w:val="single" w:sz="4" w:space="0" w:color="auto"/>
              <w:right w:val="single" w:sz="4" w:space="0" w:color="auto"/>
            </w:tcBorders>
            <w:shd w:val="clear" w:color="auto" w:fill="auto"/>
            <w:noWrap/>
            <w:vAlign w:val="center"/>
            <w:hideMark/>
          </w:tcPr>
          <w:p w14:paraId="5421A850" w14:textId="33E17D05" w:rsidR="00462DD4" w:rsidRPr="00795F17" w:rsidRDefault="001D3A01" w:rsidP="0065243A">
            <w:pPr>
              <w:pStyle w:val="Teksttabelisrodek"/>
              <w:rPr>
                <w:rFonts w:eastAsia="Times New Roman"/>
                <w:color w:val="000000"/>
              </w:rPr>
            </w:pPr>
            <w:r>
              <w:t>100</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2A42EEDD" w14:textId="77777777" w:rsidR="00462DD4" w:rsidRPr="00795F17" w:rsidRDefault="00462DD4" w:rsidP="0065243A">
            <w:pPr>
              <w:pStyle w:val="Teksttabelisrodek"/>
              <w:rPr>
                <w:rFonts w:eastAsia="Times New Roman"/>
                <w:color w:val="000000"/>
              </w:rPr>
            </w:pPr>
            <w:r w:rsidRPr="00795F17">
              <w:t>5</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64D25A0B" w14:textId="78E7AD65" w:rsidR="00462DD4" w:rsidRPr="00795F17" w:rsidRDefault="00462DD4" w:rsidP="0065243A">
            <w:pPr>
              <w:pStyle w:val="Teksttabelisrodek"/>
              <w:rPr>
                <w:rFonts w:eastAsia="Times New Roman"/>
                <w:color w:val="000000"/>
              </w:rPr>
            </w:pPr>
            <w:r w:rsidRPr="00795F17">
              <w:t>0</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74D535F4" w14:textId="77777777" w:rsidR="00462DD4" w:rsidRPr="00795F17" w:rsidRDefault="00462DD4" w:rsidP="0065243A">
            <w:pPr>
              <w:pStyle w:val="Teksttabelisrodek"/>
              <w:rPr>
                <w:rFonts w:eastAsia="Times New Roman"/>
                <w:color w:val="000000"/>
              </w:rPr>
            </w:pPr>
            <w:r w:rsidRPr="00795F17">
              <w:t>4</w:t>
            </w:r>
          </w:p>
        </w:tc>
        <w:tc>
          <w:tcPr>
            <w:tcW w:w="992" w:type="dxa"/>
            <w:tcBorders>
              <w:top w:val="nil"/>
              <w:left w:val="nil"/>
              <w:bottom w:val="single" w:sz="4" w:space="0" w:color="auto"/>
              <w:right w:val="single" w:sz="4" w:space="0" w:color="auto"/>
            </w:tcBorders>
            <w:shd w:val="clear" w:color="auto" w:fill="auto"/>
            <w:vAlign w:val="center"/>
            <w:hideMark/>
          </w:tcPr>
          <w:p w14:paraId="3283C94D" w14:textId="761ADD7F" w:rsidR="00462DD4" w:rsidRPr="00795F17" w:rsidRDefault="00462DD4" w:rsidP="0065243A">
            <w:pPr>
              <w:pStyle w:val="Teksttabelisrodek"/>
              <w:rPr>
                <w:rFonts w:eastAsia="Times New Roman"/>
                <w:color w:val="000000"/>
              </w:rPr>
            </w:pPr>
            <w:r w:rsidRPr="00795F17">
              <w:t>20</w:t>
            </w:r>
          </w:p>
        </w:tc>
      </w:tr>
      <w:tr w:rsidR="00462DD4" w:rsidRPr="00795F17" w14:paraId="5F374E5C" w14:textId="77777777" w:rsidTr="00DC4CCC">
        <w:trPr>
          <w:trHeight w:val="340"/>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7E107FCD" w14:textId="77777777" w:rsidR="00462DD4" w:rsidRPr="00795F17" w:rsidRDefault="00462DD4" w:rsidP="0044393D">
            <w:pPr>
              <w:pStyle w:val="Teksttabelilewy"/>
              <w:rPr>
                <w:rFonts w:eastAsia="Times New Roman"/>
                <w:color w:val="000000"/>
              </w:rPr>
            </w:pPr>
            <w:r w:rsidRPr="00795F17">
              <w:t>Środkowej Odry</w:t>
            </w:r>
          </w:p>
        </w:tc>
        <w:tc>
          <w:tcPr>
            <w:tcW w:w="708" w:type="dxa"/>
            <w:tcBorders>
              <w:top w:val="nil"/>
              <w:left w:val="nil"/>
              <w:bottom w:val="single" w:sz="4" w:space="0" w:color="2F75B5"/>
              <w:right w:val="single" w:sz="4" w:space="0" w:color="2F75B5"/>
            </w:tcBorders>
            <w:shd w:val="clear" w:color="auto" w:fill="auto"/>
            <w:noWrap/>
            <w:vAlign w:val="center"/>
            <w:hideMark/>
          </w:tcPr>
          <w:p w14:paraId="5A03C798" w14:textId="77777777" w:rsidR="00462DD4" w:rsidRPr="00795F17" w:rsidRDefault="00462DD4" w:rsidP="0065243A">
            <w:pPr>
              <w:pStyle w:val="Teksttabelisrodek"/>
              <w:rPr>
                <w:rFonts w:eastAsia="Times New Roman"/>
                <w:color w:val="000000"/>
              </w:rPr>
            </w:pPr>
            <w:r w:rsidRPr="00795F17">
              <w:t>12</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E0CF041" w14:textId="77777777" w:rsidR="00462DD4" w:rsidRPr="00795F17" w:rsidRDefault="00462DD4" w:rsidP="0065243A">
            <w:pPr>
              <w:pStyle w:val="Teksttabelisrodek"/>
              <w:rPr>
                <w:rFonts w:eastAsia="Times New Roman"/>
                <w:color w:val="000000"/>
              </w:rPr>
            </w:pPr>
            <w:r w:rsidRPr="00795F17">
              <w:t>12</w:t>
            </w:r>
          </w:p>
        </w:tc>
        <w:tc>
          <w:tcPr>
            <w:tcW w:w="1276" w:type="dxa"/>
            <w:tcBorders>
              <w:top w:val="nil"/>
              <w:left w:val="nil"/>
              <w:bottom w:val="single" w:sz="4" w:space="0" w:color="auto"/>
              <w:right w:val="single" w:sz="4" w:space="0" w:color="auto"/>
            </w:tcBorders>
            <w:shd w:val="clear" w:color="auto" w:fill="auto"/>
            <w:noWrap/>
            <w:vAlign w:val="center"/>
            <w:hideMark/>
          </w:tcPr>
          <w:p w14:paraId="3169C5E1" w14:textId="1C55127B" w:rsidR="00462DD4" w:rsidRPr="00795F17" w:rsidRDefault="00462DD4" w:rsidP="0065243A">
            <w:pPr>
              <w:pStyle w:val="Teksttabelisrodek"/>
              <w:rPr>
                <w:rFonts w:eastAsia="Times New Roman"/>
                <w:color w:val="000000"/>
              </w:rPr>
            </w:pPr>
            <w:r w:rsidRPr="00795F17">
              <w:t>100</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41D92187" w14:textId="77777777" w:rsidR="00462DD4" w:rsidRPr="00795F17" w:rsidRDefault="00462DD4" w:rsidP="0065243A">
            <w:pPr>
              <w:pStyle w:val="Teksttabelisrodek"/>
              <w:rPr>
                <w:rFonts w:eastAsia="Times New Roman"/>
                <w:color w:val="000000"/>
              </w:rPr>
            </w:pPr>
            <w:r w:rsidRPr="00795F17">
              <w:t>12</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41E81B40" w14:textId="6AF3FD9D" w:rsidR="00462DD4" w:rsidRPr="00795F17" w:rsidRDefault="00462DD4" w:rsidP="0065243A">
            <w:pPr>
              <w:pStyle w:val="Teksttabelisrodek"/>
              <w:rPr>
                <w:rFonts w:eastAsia="Times New Roman"/>
                <w:color w:val="000000"/>
              </w:rPr>
            </w:pPr>
            <w:r w:rsidRPr="00795F17">
              <w:t>0</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006A2C9D" w14:textId="77777777" w:rsidR="00462DD4" w:rsidRPr="00795F17" w:rsidRDefault="00462DD4" w:rsidP="0065243A">
            <w:pPr>
              <w:pStyle w:val="Teksttabelisrodek"/>
              <w:rPr>
                <w:rFonts w:eastAsia="Times New Roman"/>
                <w:color w:val="000000"/>
              </w:rPr>
            </w:pPr>
            <w:r w:rsidRPr="00795F17">
              <w:t>12</w:t>
            </w:r>
          </w:p>
        </w:tc>
        <w:tc>
          <w:tcPr>
            <w:tcW w:w="992" w:type="dxa"/>
            <w:tcBorders>
              <w:top w:val="nil"/>
              <w:left w:val="nil"/>
              <w:bottom w:val="single" w:sz="4" w:space="0" w:color="auto"/>
              <w:right w:val="single" w:sz="4" w:space="0" w:color="auto"/>
            </w:tcBorders>
            <w:shd w:val="clear" w:color="auto" w:fill="auto"/>
            <w:vAlign w:val="center"/>
            <w:hideMark/>
          </w:tcPr>
          <w:p w14:paraId="043E25A8" w14:textId="7FB0529C" w:rsidR="00462DD4" w:rsidRPr="00795F17" w:rsidRDefault="00462DD4" w:rsidP="0065243A">
            <w:pPr>
              <w:pStyle w:val="Teksttabelisrodek"/>
              <w:rPr>
                <w:rFonts w:eastAsia="Times New Roman"/>
                <w:color w:val="000000"/>
              </w:rPr>
            </w:pPr>
            <w:r w:rsidRPr="00795F17">
              <w:t>0</w:t>
            </w:r>
          </w:p>
        </w:tc>
      </w:tr>
      <w:tr w:rsidR="00462DD4" w:rsidRPr="00795F17" w14:paraId="1E7610B9" w14:textId="77777777" w:rsidTr="00DC4CCC">
        <w:trPr>
          <w:trHeight w:val="340"/>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67C60AD3" w14:textId="47D815D1" w:rsidR="00462DD4" w:rsidRPr="00795F17" w:rsidRDefault="00462DD4" w:rsidP="0044393D">
            <w:pPr>
              <w:pStyle w:val="Teksttabelilewy"/>
              <w:rPr>
                <w:rFonts w:eastAsia="Times New Roman"/>
                <w:color w:val="000000"/>
              </w:rPr>
            </w:pPr>
            <w:r w:rsidRPr="00795F17">
              <w:t>Dolnej Odry i</w:t>
            </w:r>
            <w:r w:rsidR="008F4805">
              <w:t> </w:t>
            </w:r>
            <w:r w:rsidRPr="00795F17">
              <w:t>Przymorza Zachodniego</w:t>
            </w:r>
          </w:p>
        </w:tc>
        <w:tc>
          <w:tcPr>
            <w:tcW w:w="708" w:type="dxa"/>
            <w:tcBorders>
              <w:top w:val="nil"/>
              <w:left w:val="nil"/>
              <w:bottom w:val="single" w:sz="4" w:space="0" w:color="2F75B5"/>
              <w:right w:val="single" w:sz="4" w:space="0" w:color="2F75B5"/>
            </w:tcBorders>
            <w:shd w:val="clear" w:color="auto" w:fill="auto"/>
            <w:noWrap/>
            <w:vAlign w:val="center"/>
            <w:hideMark/>
          </w:tcPr>
          <w:p w14:paraId="339A34B8" w14:textId="77777777" w:rsidR="00462DD4" w:rsidRPr="00795F17" w:rsidRDefault="00462DD4" w:rsidP="0065243A">
            <w:pPr>
              <w:pStyle w:val="Teksttabelisrodek"/>
              <w:rPr>
                <w:rFonts w:eastAsia="Times New Roman"/>
                <w:color w:val="000000"/>
              </w:rPr>
            </w:pPr>
            <w:r w:rsidRPr="00795F17">
              <w:t>-</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DE5382F" w14:textId="77777777" w:rsidR="00462DD4" w:rsidRPr="00795F17" w:rsidRDefault="00462DD4" w:rsidP="0065243A">
            <w:pPr>
              <w:pStyle w:val="Teksttabelisrodek"/>
              <w:rPr>
                <w:rFonts w:eastAsia="Times New Roman"/>
                <w:color w:val="000000"/>
              </w:rPr>
            </w:pPr>
            <w:r w:rsidRPr="00795F17">
              <w:t>-</w:t>
            </w:r>
          </w:p>
        </w:tc>
        <w:tc>
          <w:tcPr>
            <w:tcW w:w="1276" w:type="dxa"/>
            <w:tcBorders>
              <w:top w:val="nil"/>
              <w:left w:val="nil"/>
              <w:bottom w:val="single" w:sz="4" w:space="0" w:color="auto"/>
              <w:right w:val="single" w:sz="4" w:space="0" w:color="auto"/>
            </w:tcBorders>
            <w:shd w:val="clear" w:color="auto" w:fill="auto"/>
            <w:noWrap/>
            <w:vAlign w:val="center"/>
            <w:hideMark/>
          </w:tcPr>
          <w:p w14:paraId="1DA9258A" w14:textId="77777777" w:rsidR="00462DD4" w:rsidRPr="00795F17" w:rsidRDefault="00462DD4" w:rsidP="0065243A">
            <w:pPr>
              <w:pStyle w:val="Teksttabelisrodek"/>
              <w:rPr>
                <w:rFonts w:eastAsia="Times New Roman"/>
                <w:color w:val="000000"/>
              </w:rPr>
            </w:pPr>
            <w:r w:rsidRPr="00795F17">
              <w:t>-</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7D11D707" w14:textId="77777777" w:rsidR="00462DD4" w:rsidRPr="00795F17" w:rsidRDefault="00462DD4" w:rsidP="0065243A">
            <w:pPr>
              <w:pStyle w:val="Teksttabelisrodek"/>
              <w:rPr>
                <w:rFonts w:eastAsia="Times New Roman"/>
                <w:color w:val="000000"/>
              </w:rPr>
            </w:pPr>
            <w:r w:rsidRPr="00795F17">
              <w:t>-</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307314B7" w14:textId="77777777" w:rsidR="00462DD4" w:rsidRPr="00795F17" w:rsidRDefault="00462DD4" w:rsidP="0065243A">
            <w:pPr>
              <w:pStyle w:val="Teksttabelisrodek"/>
              <w:rPr>
                <w:rFonts w:eastAsia="Times New Roman"/>
                <w:color w:val="000000"/>
              </w:rPr>
            </w:pPr>
            <w:r w:rsidRPr="00795F17">
              <w:t>-</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49EE7CFB" w14:textId="77777777" w:rsidR="00462DD4" w:rsidRPr="00795F17" w:rsidRDefault="00462DD4" w:rsidP="0065243A">
            <w:pPr>
              <w:pStyle w:val="Teksttabelisrodek"/>
              <w:rPr>
                <w:rFonts w:eastAsia="Times New Roman"/>
                <w:color w:val="000000"/>
              </w:rPr>
            </w:pPr>
            <w:r w:rsidRPr="00795F17">
              <w:t>-</w:t>
            </w:r>
          </w:p>
        </w:tc>
        <w:tc>
          <w:tcPr>
            <w:tcW w:w="992" w:type="dxa"/>
            <w:tcBorders>
              <w:top w:val="nil"/>
              <w:left w:val="nil"/>
              <w:bottom w:val="single" w:sz="4" w:space="0" w:color="auto"/>
              <w:right w:val="single" w:sz="4" w:space="0" w:color="auto"/>
            </w:tcBorders>
            <w:shd w:val="clear" w:color="auto" w:fill="auto"/>
            <w:vAlign w:val="center"/>
            <w:hideMark/>
          </w:tcPr>
          <w:p w14:paraId="5D3D947B" w14:textId="77777777" w:rsidR="00462DD4" w:rsidRPr="00795F17" w:rsidRDefault="00462DD4" w:rsidP="0065243A">
            <w:pPr>
              <w:pStyle w:val="Teksttabelisrodek"/>
              <w:rPr>
                <w:rFonts w:eastAsia="Times New Roman"/>
                <w:color w:val="000000"/>
              </w:rPr>
            </w:pPr>
            <w:r w:rsidRPr="00795F17">
              <w:t>-</w:t>
            </w:r>
          </w:p>
        </w:tc>
      </w:tr>
      <w:tr w:rsidR="00462DD4" w:rsidRPr="00795F17" w14:paraId="48299419" w14:textId="77777777" w:rsidTr="00DC4CCC">
        <w:trPr>
          <w:trHeight w:val="340"/>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326C3B1C" w14:textId="77777777" w:rsidR="00462DD4" w:rsidRPr="00795F17" w:rsidRDefault="00462DD4" w:rsidP="0044393D">
            <w:pPr>
              <w:pStyle w:val="Teksttabelilewy"/>
              <w:rPr>
                <w:rFonts w:eastAsia="Times New Roman"/>
                <w:color w:val="000000"/>
              </w:rPr>
            </w:pPr>
            <w:r w:rsidRPr="00795F17">
              <w:t>Warty</w:t>
            </w:r>
          </w:p>
        </w:tc>
        <w:tc>
          <w:tcPr>
            <w:tcW w:w="708" w:type="dxa"/>
            <w:tcBorders>
              <w:top w:val="nil"/>
              <w:left w:val="nil"/>
              <w:bottom w:val="single" w:sz="4" w:space="0" w:color="2F75B5"/>
              <w:right w:val="single" w:sz="4" w:space="0" w:color="2F75B5"/>
            </w:tcBorders>
            <w:shd w:val="clear" w:color="auto" w:fill="auto"/>
            <w:noWrap/>
            <w:vAlign w:val="center"/>
            <w:hideMark/>
          </w:tcPr>
          <w:p w14:paraId="7D2479F5" w14:textId="77777777" w:rsidR="00462DD4" w:rsidRPr="00795F17" w:rsidRDefault="00462DD4" w:rsidP="0065243A">
            <w:pPr>
              <w:pStyle w:val="Teksttabelisrodek"/>
              <w:rPr>
                <w:rFonts w:eastAsia="Times New Roman"/>
                <w:color w:val="000000"/>
              </w:rPr>
            </w:pPr>
            <w:r w:rsidRPr="00795F17">
              <w:t>2</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B67B592" w14:textId="77777777" w:rsidR="00462DD4" w:rsidRPr="00795F17" w:rsidRDefault="00462DD4" w:rsidP="0065243A">
            <w:pPr>
              <w:pStyle w:val="Teksttabelisrodek"/>
              <w:rPr>
                <w:rFonts w:eastAsia="Times New Roman"/>
                <w:color w:val="000000"/>
              </w:rPr>
            </w:pPr>
            <w:r w:rsidRPr="00795F17">
              <w:t>2</w:t>
            </w:r>
          </w:p>
        </w:tc>
        <w:tc>
          <w:tcPr>
            <w:tcW w:w="1276" w:type="dxa"/>
            <w:tcBorders>
              <w:top w:val="nil"/>
              <w:left w:val="nil"/>
              <w:bottom w:val="single" w:sz="4" w:space="0" w:color="auto"/>
              <w:right w:val="single" w:sz="4" w:space="0" w:color="auto"/>
            </w:tcBorders>
            <w:shd w:val="clear" w:color="auto" w:fill="auto"/>
            <w:noWrap/>
            <w:vAlign w:val="center"/>
            <w:hideMark/>
          </w:tcPr>
          <w:p w14:paraId="54AD8EC2" w14:textId="06B2A711" w:rsidR="00462DD4" w:rsidRPr="00795F17" w:rsidRDefault="00462DD4" w:rsidP="0065243A">
            <w:pPr>
              <w:pStyle w:val="Teksttabelisrodek"/>
              <w:rPr>
                <w:rFonts w:eastAsia="Times New Roman"/>
                <w:color w:val="000000"/>
              </w:rPr>
            </w:pPr>
            <w:r w:rsidRPr="00795F17">
              <w:t>100</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214A97E6" w14:textId="77777777" w:rsidR="00462DD4" w:rsidRPr="00795F17" w:rsidRDefault="00462DD4" w:rsidP="0065243A">
            <w:pPr>
              <w:pStyle w:val="Teksttabelisrodek"/>
              <w:rPr>
                <w:rFonts w:eastAsia="Times New Roman"/>
                <w:color w:val="000000"/>
              </w:rPr>
            </w:pPr>
            <w:r w:rsidRPr="00795F17">
              <w:t>2</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45B209DA" w14:textId="2D556F0A" w:rsidR="00462DD4" w:rsidRPr="00795F17" w:rsidRDefault="00462DD4" w:rsidP="0065243A">
            <w:pPr>
              <w:pStyle w:val="Teksttabelisrodek"/>
              <w:rPr>
                <w:rFonts w:eastAsia="Times New Roman"/>
                <w:color w:val="000000"/>
              </w:rPr>
            </w:pPr>
            <w:r w:rsidRPr="00795F17">
              <w:t>0</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5A30CBFB" w14:textId="77777777" w:rsidR="00462DD4" w:rsidRPr="00795F17" w:rsidRDefault="00462DD4" w:rsidP="0065243A">
            <w:pPr>
              <w:pStyle w:val="Teksttabelisrodek"/>
              <w:rPr>
                <w:rFonts w:eastAsia="Times New Roman"/>
                <w:color w:val="000000"/>
              </w:rPr>
            </w:pPr>
            <w:r w:rsidRPr="00795F17">
              <w:t>2</w:t>
            </w:r>
          </w:p>
        </w:tc>
        <w:tc>
          <w:tcPr>
            <w:tcW w:w="992" w:type="dxa"/>
            <w:tcBorders>
              <w:top w:val="nil"/>
              <w:left w:val="nil"/>
              <w:bottom w:val="single" w:sz="4" w:space="0" w:color="auto"/>
              <w:right w:val="single" w:sz="4" w:space="0" w:color="auto"/>
            </w:tcBorders>
            <w:shd w:val="clear" w:color="auto" w:fill="auto"/>
            <w:vAlign w:val="center"/>
            <w:hideMark/>
          </w:tcPr>
          <w:p w14:paraId="1D0E4995" w14:textId="2A5E2615" w:rsidR="00462DD4" w:rsidRPr="00795F17" w:rsidRDefault="00462DD4" w:rsidP="0065243A">
            <w:pPr>
              <w:pStyle w:val="Teksttabelisrodek"/>
              <w:rPr>
                <w:rFonts w:eastAsia="Times New Roman"/>
                <w:color w:val="000000"/>
              </w:rPr>
            </w:pPr>
            <w:r w:rsidRPr="00795F17">
              <w:t>0</w:t>
            </w:r>
          </w:p>
        </w:tc>
      </w:tr>
      <w:tr w:rsidR="00462DD4" w:rsidRPr="00795F17" w14:paraId="14BDA40F" w14:textId="77777777" w:rsidTr="00DC4CCC">
        <w:trPr>
          <w:trHeight w:val="340"/>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7E235B0B" w14:textId="77777777" w:rsidR="00462DD4" w:rsidRPr="00795F17" w:rsidRDefault="00462DD4" w:rsidP="0044393D">
            <w:pPr>
              <w:pStyle w:val="Teksttabelilewy"/>
              <w:rPr>
                <w:rFonts w:eastAsia="Times New Roman"/>
                <w:color w:val="000000"/>
              </w:rPr>
            </w:pPr>
            <w:r w:rsidRPr="00795F17">
              <w:t>Noteci</w:t>
            </w:r>
          </w:p>
        </w:tc>
        <w:tc>
          <w:tcPr>
            <w:tcW w:w="708" w:type="dxa"/>
            <w:tcBorders>
              <w:top w:val="single" w:sz="4" w:space="0" w:color="2F75B5"/>
              <w:left w:val="nil"/>
              <w:bottom w:val="single" w:sz="4" w:space="0" w:color="2F75B5"/>
              <w:right w:val="single" w:sz="4" w:space="0" w:color="2F75B5"/>
            </w:tcBorders>
            <w:shd w:val="clear" w:color="auto" w:fill="auto"/>
            <w:noWrap/>
            <w:vAlign w:val="center"/>
            <w:hideMark/>
          </w:tcPr>
          <w:p w14:paraId="2D68BEA4" w14:textId="77777777" w:rsidR="00462DD4" w:rsidRPr="00795F17" w:rsidRDefault="00462DD4" w:rsidP="0065243A">
            <w:pPr>
              <w:pStyle w:val="Teksttabelisrodek"/>
              <w:rPr>
                <w:rFonts w:eastAsia="Times New Roman"/>
                <w:color w:val="000000"/>
              </w:rPr>
            </w:pPr>
            <w:r w:rsidRPr="00795F17">
              <w:t>-</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66666FB" w14:textId="77777777" w:rsidR="00462DD4" w:rsidRPr="00795F17" w:rsidRDefault="00462DD4" w:rsidP="0065243A">
            <w:pPr>
              <w:pStyle w:val="Teksttabelisrodek"/>
              <w:rPr>
                <w:rFonts w:eastAsia="Times New Roman"/>
                <w:color w:val="000000"/>
              </w:rPr>
            </w:pPr>
            <w:r w:rsidRPr="00795F17">
              <w:t>-</w:t>
            </w:r>
          </w:p>
        </w:tc>
        <w:tc>
          <w:tcPr>
            <w:tcW w:w="1276" w:type="dxa"/>
            <w:tcBorders>
              <w:top w:val="nil"/>
              <w:left w:val="nil"/>
              <w:bottom w:val="single" w:sz="4" w:space="0" w:color="auto"/>
              <w:right w:val="single" w:sz="4" w:space="0" w:color="auto"/>
            </w:tcBorders>
            <w:shd w:val="clear" w:color="auto" w:fill="auto"/>
            <w:noWrap/>
            <w:vAlign w:val="center"/>
            <w:hideMark/>
          </w:tcPr>
          <w:p w14:paraId="41897703" w14:textId="77777777" w:rsidR="00462DD4" w:rsidRPr="00795F17" w:rsidRDefault="00462DD4" w:rsidP="0065243A">
            <w:pPr>
              <w:pStyle w:val="Teksttabelisrodek"/>
              <w:rPr>
                <w:rFonts w:eastAsia="Times New Roman"/>
                <w:color w:val="000000"/>
              </w:rPr>
            </w:pPr>
            <w:r w:rsidRPr="00795F17">
              <w:t>-</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51A78109" w14:textId="77777777" w:rsidR="00462DD4" w:rsidRPr="00795F17" w:rsidRDefault="00462DD4" w:rsidP="0065243A">
            <w:pPr>
              <w:pStyle w:val="Teksttabelisrodek"/>
              <w:rPr>
                <w:rFonts w:eastAsia="Times New Roman"/>
                <w:color w:val="000000"/>
              </w:rPr>
            </w:pPr>
            <w:r w:rsidRPr="00795F17">
              <w:t>-</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220E1308" w14:textId="77777777" w:rsidR="00462DD4" w:rsidRPr="00795F17" w:rsidRDefault="00462DD4" w:rsidP="0065243A">
            <w:pPr>
              <w:pStyle w:val="Teksttabelisrodek"/>
              <w:rPr>
                <w:rFonts w:eastAsia="Times New Roman"/>
                <w:color w:val="000000"/>
              </w:rPr>
            </w:pPr>
            <w:r w:rsidRPr="00795F17">
              <w:t>-</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10FCEECE" w14:textId="77777777" w:rsidR="00462DD4" w:rsidRPr="00795F17" w:rsidRDefault="00462DD4" w:rsidP="0065243A">
            <w:pPr>
              <w:pStyle w:val="Teksttabelisrodek"/>
              <w:rPr>
                <w:rFonts w:eastAsia="Times New Roman"/>
                <w:color w:val="000000"/>
              </w:rPr>
            </w:pPr>
            <w:r w:rsidRPr="00795F17">
              <w:t>-</w:t>
            </w:r>
          </w:p>
        </w:tc>
        <w:tc>
          <w:tcPr>
            <w:tcW w:w="992" w:type="dxa"/>
            <w:tcBorders>
              <w:top w:val="nil"/>
              <w:left w:val="nil"/>
              <w:bottom w:val="single" w:sz="4" w:space="0" w:color="auto"/>
              <w:right w:val="single" w:sz="4" w:space="0" w:color="auto"/>
            </w:tcBorders>
            <w:shd w:val="clear" w:color="auto" w:fill="auto"/>
            <w:vAlign w:val="center"/>
            <w:hideMark/>
          </w:tcPr>
          <w:p w14:paraId="52620098" w14:textId="77777777" w:rsidR="00462DD4" w:rsidRPr="00795F17" w:rsidRDefault="00462DD4" w:rsidP="0065243A">
            <w:pPr>
              <w:pStyle w:val="Teksttabelisrodek"/>
              <w:rPr>
                <w:rFonts w:eastAsia="Times New Roman"/>
                <w:color w:val="000000"/>
              </w:rPr>
            </w:pPr>
            <w:r w:rsidRPr="00795F17">
              <w:t>-</w:t>
            </w:r>
          </w:p>
        </w:tc>
      </w:tr>
      <w:tr w:rsidR="00462DD4" w:rsidRPr="00795F17" w14:paraId="152C746D" w14:textId="77777777" w:rsidTr="00DC4CCC">
        <w:trPr>
          <w:trHeight w:val="340"/>
        </w:trPr>
        <w:tc>
          <w:tcPr>
            <w:tcW w:w="1616"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4A4B88F3" w14:textId="77777777" w:rsidR="00462DD4" w:rsidRPr="00795F17" w:rsidRDefault="00462DD4" w:rsidP="0044393D">
            <w:pPr>
              <w:pStyle w:val="Teksttabelinaglowek"/>
              <w:rPr>
                <w:rFonts w:eastAsia="Times New Roman"/>
                <w:color w:val="000000"/>
              </w:rPr>
            </w:pPr>
            <w:r w:rsidRPr="00795F17">
              <w:t>Razem</w:t>
            </w:r>
          </w:p>
        </w:tc>
        <w:tc>
          <w:tcPr>
            <w:tcW w:w="708" w:type="dxa"/>
            <w:tcBorders>
              <w:top w:val="single" w:sz="4" w:space="0" w:color="auto"/>
              <w:left w:val="nil"/>
              <w:bottom w:val="single" w:sz="4" w:space="0" w:color="auto"/>
              <w:right w:val="single" w:sz="4" w:space="0" w:color="2F75B5"/>
            </w:tcBorders>
            <w:shd w:val="clear" w:color="auto" w:fill="A6A6A6" w:themeFill="background1" w:themeFillShade="A6"/>
            <w:noWrap/>
            <w:vAlign w:val="center"/>
          </w:tcPr>
          <w:p w14:paraId="4ED1A047" w14:textId="77777777" w:rsidR="00462DD4" w:rsidRPr="00795F17" w:rsidRDefault="00462DD4" w:rsidP="0044393D">
            <w:pPr>
              <w:pStyle w:val="Teksttabelinaglowek"/>
              <w:rPr>
                <w:rFonts w:eastAsia="Times New Roman"/>
                <w:color w:val="000000"/>
              </w:rPr>
            </w:pPr>
            <w:r w:rsidRPr="00795F17">
              <w:t>19</w:t>
            </w:r>
          </w:p>
        </w:tc>
        <w:tc>
          <w:tcPr>
            <w:tcW w:w="1276"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5AFEA101" w14:textId="12C5F646" w:rsidR="00462DD4" w:rsidRPr="00795F17" w:rsidRDefault="00EB0A36" w:rsidP="0044393D">
            <w:pPr>
              <w:pStyle w:val="Teksttabelinaglowek"/>
              <w:rPr>
                <w:rFonts w:eastAsia="Times New Roman"/>
                <w:color w:val="000000"/>
              </w:rPr>
            </w:pPr>
            <w:r>
              <w:t>1</w:t>
            </w:r>
            <w:r w:rsidR="001D3A01">
              <w:t>9</w:t>
            </w:r>
          </w:p>
        </w:tc>
        <w:tc>
          <w:tcPr>
            <w:tcW w:w="1276" w:type="dxa"/>
            <w:tcBorders>
              <w:top w:val="single" w:sz="4" w:space="0" w:color="auto"/>
              <w:left w:val="nil"/>
              <w:bottom w:val="single" w:sz="4" w:space="0" w:color="auto"/>
              <w:right w:val="single" w:sz="4" w:space="0" w:color="auto"/>
            </w:tcBorders>
            <w:shd w:val="clear" w:color="auto" w:fill="A6A6A6" w:themeFill="background1" w:themeFillShade="A6"/>
            <w:noWrap/>
            <w:vAlign w:val="center"/>
          </w:tcPr>
          <w:p w14:paraId="75737BB3" w14:textId="4D2F2A6E" w:rsidR="00462DD4" w:rsidRPr="00795F17" w:rsidRDefault="001D3A01" w:rsidP="0044393D">
            <w:pPr>
              <w:pStyle w:val="Teksttabelinaglowek"/>
              <w:rPr>
                <w:rFonts w:eastAsia="Times New Roman"/>
                <w:color w:val="000000"/>
              </w:rPr>
            </w:pPr>
            <w:r>
              <w:t>100</w:t>
            </w:r>
          </w:p>
        </w:tc>
        <w:tc>
          <w:tcPr>
            <w:tcW w:w="1064"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6A5D8826" w14:textId="77777777" w:rsidR="00462DD4" w:rsidRPr="00795F17" w:rsidRDefault="00462DD4" w:rsidP="0044393D">
            <w:pPr>
              <w:pStyle w:val="Teksttabelinaglowek"/>
              <w:rPr>
                <w:rFonts w:eastAsia="Times New Roman"/>
                <w:color w:val="000000"/>
              </w:rPr>
            </w:pPr>
            <w:r w:rsidRPr="00795F17">
              <w:t>19</w:t>
            </w:r>
          </w:p>
        </w:tc>
        <w:tc>
          <w:tcPr>
            <w:tcW w:w="106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13CF90A" w14:textId="6A452683" w:rsidR="00462DD4" w:rsidRPr="00795F17" w:rsidRDefault="00462DD4" w:rsidP="0044393D">
            <w:pPr>
              <w:pStyle w:val="Teksttabelinaglowek"/>
              <w:rPr>
                <w:rFonts w:eastAsia="Times New Roman"/>
                <w:color w:val="000000"/>
              </w:rPr>
            </w:pPr>
            <w:r w:rsidRPr="00795F17">
              <w:t>0</w:t>
            </w:r>
          </w:p>
        </w:tc>
        <w:tc>
          <w:tcPr>
            <w:tcW w:w="1137"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3B2AC94D" w14:textId="77777777" w:rsidR="00462DD4" w:rsidRPr="00795F17" w:rsidRDefault="00462DD4" w:rsidP="0044393D">
            <w:pPr>
              <w:pStyle w:val="Teksttabelinaglowek"/>
              <w:rPr>
                <w:rFonts w:eastAsia="Times New Roman"/>
                <w:color w:val="000000"/>
              </w:rPr>
            </w:pPr>
            <w:r w:rsidRPr="00795F17">
              <w:t>18</w:t>
            </w:r>
          </w:p>
        </w:tc>
        <w:tc>
          <w:tcPr>
            <w:tcW w:w="992"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7379728D" w14:textId="0BE5F764" w:rsidR="00462DD4" w:rsidRPr="00795F17" w:rsidRDefault="00462DD4" w:rsidP="0044393D">
            <w:pPr>
              <w:pStyle w:val="Teksttabelinaglowek"/>
              <w:rPr>
                <w:rFonts w:eastAsia="Times New Roman"/>
                <w:color w:val="000000"/>
              </w:rPr>
            </w:pPr>
            <w:r w:rsidRPr="00795F17">
              <w:t>5,3</w:t>
            </w:r>
          </w:p>
        </w:tc>
      </w:tr>
    </w:tbl>
    <w:p w14:paraId="7F600CC9" w14:textId="1229B52C" w:rsidR="008C48AE" w:rsidRPr="009F7F19" w:rsidRDefault="008C48AE" w:rsidP="00C812D8">
      <w:pPr>
        <w:pStyle w:val="Tabela-wyjasnieniapod"/>
      </w:pPr>
      <w:r w:rsidRPr="000D33FE">
        <w:t>Objaśnienia:</w:t>
      </w:r>
    </w:p>
    <w:p w14:paraId="657B2DF8" w14:textId="47D2FF6B" w:rsidR="00462DD4" w:rsidRPr="00795F17" w:rsidRDefault="00462DD4" w:rsidP="00C812D8">
      <w:pPr>
        <w:pStyle w:val="Tabela-wyjasnieniapod"/>
      </w:pPr>
      <w:r w:rsidRPr="00795F17">
        <w:rPr>
          <w:vertAlign w:val="superscript"/>
        </w:rPr>
        <w:t>1)</w:t>
      </w:r>
      <w:r w:rsidR="008F4805">
        <w:rPr>
          <w:vertAlign w:val="superscript"/>
        </w:rPr>
        <w:t xml:space="preserve"> </w:t>
      </w:r>
      <w:r w:rsidR="00DF005E">
        <w:t>JCWP</w:t>
      </w:r>
      <w:r w:rsidRPr="00795F17">
        <w:t xml:space="preserve"> zagrożone </w:t>
      </w:r>
      <w:r w:rsidR="001F5AA9">
        <w:t>–</w:t>
      </w:r>
      <w:r w:rsidRPr="00795F17">
        <w:t xml:space="preserve"> </w:t>
      </w:r>
      <w:r w:rsidR="00DF005E">
        <w:t>JCWP</w:t>
      </w:r>
      <w:r w:rsidRPr="00795F17">
        <w:t xml:space="preserve"> zagrożone nieosiągnięciem celów środowiskowych</w:t>
      </w:r>
      <w:r w:rsidR="001F5AA9">
        <w:t>.</w:t>
      </w:r>
    </w:p>
    <w:p w14:paraId="419F8206" w14:textId="4C57DD66" w:rsidR="00462DD4" w:rsidRPr="00795F17" w:rsidRDefault="00462DD4" w:rsidP="00C812D8">
      <w:pPr>
        <w:pStyle w:val="Tabela-wyjasnieniapod"/>
      </w:pPr>
      <w:r w:rsidRPr="00795F17">
        <w:rPr>
          <w:vertAlign w:val="superscript"/>
        </w:rPr>
        <w:t>2)</w:t>
      </w:r>
      <w:r w:rsidR="00670A3B">
        <w:rPr>
          <w:vertAlign w:val="superscript"/>
        </w:rPr>
        <w:t xml:space="preserve"> </w:t>
      </w:r>
      <w:r w:rsidRPr="00795F17">
        <w:t>Ocena stanu na podstawie oceny 2014</w:t>
      </w:r>
      <w:r w:rsidR="001F5AA9">
        <w:t>–</w:t>
      </w:r>
      <w:r w:rsidRPr="00795F17">
        <w:t xml:space="preserve">2019 (GIOŚ) zgodnie z </w:t>
      </w:r>
      <w:r w:rsidR="00DF005E">
        <w:t>r.kl.jcwp</w:t>
      </w:r>
      <w:r w:rsidRPr="00795F17">
        <w:t xml:space="preserve"> </w:t>
      </w:r>
      <w:r w:rsidR="00442820">
        <w:t>według</w:t>
      </w:r>
      <w:r w:rsidRPr="00795F17">
        <w:t xml:space="preserve"> klasyfikacji obowiązującej do 1</w:t>
      </w:r>
      <w:r w:rsidR="00223A8B">
        <w:t xml:space="preserve"> stycznia </w:t>
      </w:r>
      <w:r w:rsidRPr="00795F17">
        <w:t>2022</w:t>
      </w:r>
      <w:r w:rsidR="00C605CD" w:rsidRPr="00795F17">
        <w:t> </w:t>
      </w:r>
      <w:r w:rsidRPr="00795F17">
        <w:t xml:space="preserve">r. przeniesiona na nowy układ planistyczny. Wartość wskazuje liczbę </w:t>
      </w:r>
      <w:r w:rsidR="00DF005E">
        <w:t>JCWP</w:t>
      </w:r>
      <w:r w:rsidRPr="00795F17">
        <w:t xml:space="preserve"> RW</w:t>
      </w:r>
      <w:r w:rsidR="00E26C20">
        <w:t>r</w:t>
      </w:r>
      <w:r w:rsidRPr="00795F17">
        <w:t xml:space="preserve"> (spośród sklasyfikowanych w układzie planistycznym aPGW), dla których możliwe było przeniesienie oceny na aktualny układ planistyczny IIaPGW</w:t>
      </w:r>
      <w:r w:rsidR="001F5AA9">
        <w:t>.</w:t>
      </w:r>
    </w:p>
    <w:p w14:paraId="1F4BEE7B" w14:textId="52C72B4E" w:rsidR="00462DD4" w:rsidRPr="00795F17" w:rsidRDefault="00462DD4" w:rsidP="00C812D8">
      <w:pPr>
        <w:pStyle w:val="Tabela-wyjasnieniapod"/>
      </w:pPr>
      <w:r w:rsidRPr="00795F17">
        <w:rPr>
          <w:vertAlign w:val="superscript"/>
        </w:rPr>
        <w:t>3)</w:t>
      </w:r>
      <w:r w:rsidR="00223A8B">
        <w:rPr>
          <w:vertAlign w:val="superscript"/>
        </w:rPr>
        <w:t xml:space="preserve"> </w:t>
      </w:r>
      <w:r w:rsidRPr="00795F17">
        <w:t>Ocena stanu na podstawie oceny 2014</w:t>
      </w:r>
      <w:r w:rsidR="001F5AA9">
        <w:t>–</w:t>
      </w:r>
      <w:r w:rsidRPr="00795F17">
        <w:t xml:space="preserve">2019 (GIOŚ) przeliczona zgodnie z </w:t>
      </w:r>
      <w:r w:rsidR="00DF005E">
        <w:t>r.kl.jcwp</w:t>
      </w:r>
      <w:r w:rsidRPr="00795F17">
        <w:t xml:space="preserve"> </w:t>
      </w:r>
      <w:r w:rsidR="00442820">
        <w:t>według</w:t>
      </w:r>
      <w:r w:rsidRPr="00795F17">
        <w:t xml:space="preserve"> klasyfikacji obowiązującej od</w:t>
      </w:r>
      <w:r w:rsidR="00C812D8" w:rsidRPr="00795F17">
        <w:t> </w:t>
      </w:r>
      <w:r w:rsidR="00223A8B">
        <w:t xml:space="preserve">1 stycznia </w:t>
      </w:r>
      <w:r w:rsidRPr="00795F17">
        <w:t>2022</w:t>
      </w:r>
      <w:r w:rsidR="00C812D8" w:rsidRPr="00795F17">
        <w:t> </w:t>
      </w:r>
      <w:r w:rsidRPr="00795F17">
        <w:t xml:space="preserve">r. oraz przy wykorzystaniu wyników Analizy znaczących oddziaływań </w:t>
      </w:r>
      <w:r w:rsidR="001F5AA9">
        <w:t>–</w:t>
      </w:r>
      <w:r w:rsidRPr="00795F17">
        <w:t xml:space="preserve"> </w:t>
      </w:r>
      <w:r w:rsidR="00DF005E">
        <w:t>JCWP</w:t>
      </w:r>
      <w:r w:rsidRPr="00795F17">
        <w:t xml:space="preserve"> (…) dla </w:t>
      </w:r>
      <w:r w:rsidR="00DF005E">
        <w:t>JCWP</w:t>
      </w:r>
      <w:r w:rsidRPr="00795F17">
        <w:t xml:space="preserve"> niemonitorowanych, dla</w:t>
      </w:r>
      <w:r w:rsidR="00C605CD" w:rsidRPr="00795F17">
        <w:t> </w:t>
      </w:r>
      <w:r w:rsidRPr="00795F17">
        <w:t>których nie dokonano oceny stanu 2014</w:t>
      </w:r>
      <w:r w:rsidR="001F5AA9">
        <w:t>–</w:t>
      </w:r>
      <w:r w:rsidRPr="00795F17">
        <w:t>2019 (PMŚ), jest traktowana jako poglądowa, podlegająca weryfikacji w oparciu o</w:t>
      </w:r>
      <w:r w:rsidR="00C812D8" w:rsidRPr="00795F17">
        <w:t> </w:t>
      </w:r>
      <w:r w:rsidRPr="00795F17">
        <w:t>nowe badania stanu wód, zrealizowane zgodnie z</w:t>
      </w:r>
      <w:r w:rsidR="0055601C" w:rsidRPr="00795F17">
        <w:t> </w:t>
      </w:r>
      <w:r w:rsidRPr="00795F17">
        <w:t>metodykami PMŚ, normami oraz przepisami w</w:t>
      </w:r>
      <w:r w:rsidR="003B2796">
        <w:t> </w:t>
      </w:r>
      <w:r w:rsidRPr="00795F17">
        <w:t>trakcie obowiązywania IIaPGW i akceptacji organu odpowiedzialnego za prowadzenie PMŚ.</w:t>
      </w:r>
    </w:p>
    <w:p w14:paraId="3F08B768" w14:textId="3F5A8CD0"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w:t>
      </w:r>
      <w:r w:rsidR="002C5B8B" w:rsidRPr="00795F17">
        <w:t xml:space="preserve"> </w:t>
      </w:r>
      <w:r w:rsidRPr="00795F17">
        <w:br/>
        <w:t xml:space="preserve"> Analizy znaczących oddziaływań </w:t>
      </w:r>
      <w:r w:rsidR="001F5AA9">
        <w:t>–</w:t>
      </w:r>
      <w:r w:rsidRPr="00795F17">
        <w:t xml:space="preserve"> </w:t>
      </w:r>
      <w:r w:rsidR="00DF005E">
        <w:t>JCWP</w:t>
      </w:r>
      <w:r w:rsidRPr="00795F17">
        <w:t xml:space="preserve"> (…)</w:t>
      </w:r>
    </w:p>
    <w:p w14:paraId="55F07D54" w14:textId="77777777" w:rsidR="00A929FD" w:rsidRPr="00795F17" w:rsidRDefault="00462DD4" w:rsidP="008E5000">
      <w:pPr>
        <w:jc w:val="center"/>
      </w:pPr>
      <w:r w:rsidRPr="00795F17">
        <w:rPr>
          <w:noProof/>
          <w:lang w:eastAsia="pl-PL"/>
        </w:rPr>
        <w:drawing>
          <wp:inline distT="0" distB="0" distL="0" distR="0" wp14:anchorId="42383F01" wp14:editId="0927038F">
            <wp:extent cx="4320000" cy="2520000"/>
            <wp:effectExtent l="0" t="0" r="4445" b="13970"/>
            <wp:docPr id="49" name="Chart 49">
              <a:extLst xmlns:a="http://schemas.openxmlformats.org/drawingml/2006/main">
                <a:ext uri="{FF2B5EF4-FFF2-40B4-BE49-F238E27FC236}">
                  <a16:creationId xmlns:a16="http://schemas.microsoft.com/office/drawing/2014/main" id="{361F52AD-BC97-4298-9CA4-DD7B586CABE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92FD80B" w14:textId="6FB27161" w:rsidR="00462DD4" w:rsidRPr="00795F17" w:rsidRDefault="00462DD4" w:rsidP="00B479EE">
      <w:pPr>
        <w:pStyle w:val="Wykres"/>
      </w:pPr>
      <w:bookmarkStart w:id="175" w:name="_Toc66273001"/>
      <w:bookmarkStart w:id="176" w:name="_Toc105512959"/>
      <w:r w:rsidRPr="00795F17">
        <w:t xml:space="preserve">Wykres </w:t>
      </w:r>
      <w:fldSimple w:instr=" STYLEREF 1 \s ">
        <w:r w:rsidR="001F774D">
          <w:rPr>
            <w:noProof/>
          </w:rPr>
          <w:t>5</w:t>
        </w:r>
      </w:fldSimple>
      <w:r w:rsidR="00FF20D3">
        <w:noBreakHyphen/>
      </w:r>
      <w:fldSimple w:instr=" SEQ Wykres \* ARABIC \s 1 ">
        <w:r w:rsidR="001F774D">
          <w:rPr>
            <w:noProof/>
          </w:rPr>
          <w:t>5</w:t>
        </w:r>
      </w:fldSimple>
      <w:r w:rsidR="00DD6415">
        <w:rPr>
          <w:noProof/>
        </w:rPr>
        <w:t>.</w:t>
      </w:r>
      <w:r w:rsidRPr="00795F17">
        <w:tab/>
        <w:t xml:space="preserve">Udział </w:t>
      </w:r>
      <w:r w:rsidR="00DF005E">
        <w:t>JCWP</w:t>
      </w:r>
      <w:r w:rsidRPr="00795F17">
        <w:t xml:space="preserve"> RWr z oceną stanu w ogólnej liczbie </w:t>
      </w:r>
      <w:r w:rsidR="00DF005E">
        <w:t>JCWP</w:t>
      </w:r>
      <w:r w:rsidRPr="00795F17">
        <w:t xml:space="preserve"> RWr na obszarze dorzecza Odry </w:t>
      </w:r>
      <w:r w:rsidR="00182A26" w:rsidRPr="00795F17">
        <w:t>-</w:t>
      </w:r>
      <w:r w:rsidRPr="00795F17">
        <w:t xml:space="preserve"> ocena stanu zgodnie z </w:t>
      </w:r>
      <w:r w:rsidR="00DF005E">
        <w:t>r.kl.jcwp</w:t>
      </w:r>
      <w:r w:rsidRPr="00795F17">
        <w:t xml:space="preserve"> do 2022 r.</w:t>
      </w:r>
      <w:bookmarkEnd w:id="175"/>
      <w:bookmarkEnd w:id="176"/>
    </w:p>
    <w:p w14:paraId="4B7FEAF2" w14:textId="1FE6FCA4" w:rsidR="00462DD4" w:rsidRPr="00795F17" w:rsidRDefault="00462DD4" w:rsidP="0044393D">
      <w:pPr>
        <w:pStyle w:val="rdo"/>
      </w:pPr>
      <w:r w:rsidRPr="00795F17">
        <w:t xml:space="preserve">Źródło: </w:t>
      </w:r>
      <w:r w:rsidR="00FD7248" w:rsidRPr="00795F17">
        <w:t>opracowanie własne</w:t>
      </w:r>
      <w:r w:rsidRPr="00795F17">
        <w:t xml:space="preserve"> na podstawie danych GIOŚ</w:t>
      </w:r>
    </w:p>
    <w:p w14:paraId="056534A9" w14:textId="77777777" w:rsidR="00462DD4" w:rsidRPr="008E5000" w:rsidRDefault="00462DD4" w:rsidP="008E5000">
      <w:pPr>
        <w:jc w:val="center"/>
      </w:pPr>
      <w:r w:rsidRPr="008E5000">
        <w:rPr>
          <w:noProof/>
        </w:rPr>
        <w:drawing>
          <wp:inline distT="0" distB="0" distL="0" distR="0" wp14:anchorId="61D91ACE" wp14:editId="38C03B59">
            <wp:extent cx="4320000" cy="2520000"/>
            <wp:effectExtent l="0" t="0" r="4445" b="13970"/>
            <wp:docPr id="23" name="Chart 8">
              <a:extLst xmlns:a="http://schemas.openxmlformats.org/drawingml/2006/main">
                <a:ext uri="{FF2B5EF4-FFF2-40B4-BE49-F238E27FC236}">
                  <a16:creationId xmlns:a16="http://schemas.microsoft.com/office/drawing/2014/main" id="{0AF71D04-605C-4B7E-9E5C-C0ADF1025D6B}"/>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6A1FCB5" w14:textId="680DF2FB" w:rsidR="00462DD4" w:rsidRPr="00795F17" w:rsidRDefault="00462DD4" w:rsidP="00B479EE">
      <w:pPr>
        <w:pStyle w:val="Wykres"/>
      </w:pPr>
      <w:bookmarkStart w:id="177" w:name="_Toc66273002"/>
      <w:bookmarkStart w:id="178" w:name="_Toc105512960"/>
      <w:r w:rsidRPr="00795F17">
        <w:t xml:space="preserve">Wykres </w:t>
      </w:r>
      <w:fldSimple w:instr=" STYLEREF 1 \s ">
        <w:r w:rsidR="001F774D">
          <w:rPr>
            <w:noProof/>
          </w:rPr>
          <w:t>5</w:t>
        </w:r>
      </w:fldSimple>
      <w:r w:rsidR="00FF20D3">
        <w:noBreakHyphen/>
      </w:r>
      <w:fldSimple w:instr=" SEQ Wykres \* ARABIC \s 1 ">
        <w:r w:rsidR="001F774D">
          <w:rPr>
            <w:noProof/>
          </w:rPr>
          <w:t>6</w:t>
        </w:r>
      </w:fldSimple>
      <w:r w:rsidR="00BA11D4">
        <w:rPr>
          <w:noProof/>
        </w:rPr>
        <w:t>.</w:t>
      </w:r>
      <w:r w:rsidRPr="00795F17">
        <w:tab/>
        <w:t xml:space="preserve">Udział </w:t>
      </w:r>
      <w:r w:rsidR="00DF005E">
        <w:t>JCWP</w:t>
      </w:r>
      <w:r w:rsidRPr="00795F17">
        <w:t xml:space="preserve"> RWr z oceną stanu w ogólnej liczbie </w:t>
      </w:r>
      <w:r w:rsidR="00DF005E">
        <w:t>JCWP</w:t>
      </w:r>
      <w:r w:rsidRPr="00795F17">
        <w:t xml:space="preserve"> RWr na obszarze dorzecza Odry </w:t>
      </w:r>
      <w:r w:rsidR="001F5AA9">
        <w:t>–</w:t>
      </w:r>
      <w:r w:rsidRPr="00795F17">
        <w:t xml:space="preserve"> ocena stanu zgodnie z </w:t>
      </w:r>
      <w:r w:rsidR="00DF005E">
        <w:t>r.kl.jcwp</w:t>
      </w:r>
      <w:r w:rsidRPr="00795F17">
        <w:t xml:space="preserve"> od 2022 r.</w:t>
      </w:r>
      <w:bookmarkEnd w:id="177"/>
      <w:bookmarkEnd w:id="178"/>
    </w:p>
    <w:p w14:paraId="5F685FE7" w14:textId="0DBC00A0"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 </w:t>
      </w:r>
      <w:r w:rsidRPr="00795F17">
        <w:br/>
        <w:t xml:space="preserve">Analizy znaczących oddziaływań </w:t>
      </w:r>
      <w:r w:rsidR="001F5AA9">
        <w:t>–</w:t>
      </w:r>
      <w:r w:rsidRPr="00795F17">
        <w:t xml:space="preserve"> </w:t>
      </w:r>
      <w:r w:rsidR="00DF005E">
        <w:t>JCWP</w:t>
      </w:r>
      <w:r w:rsidRPr="00795F17">
        <w:t xml:space="preserve"> (…)</w:t>
      </w:r>
    </w:p>
    <w:p w14:paraId="42340AF1" w14:textId="2B525691" w:rsidR="00462DD4" w:rsidRPr="00795F17" w:rsidRDefault="00462DD4" w:rsidP="0044393D">
      <w:r w:rsidRPr="00795F17">
        <w:t xml:space="preserve">Z uwagi na przyjęty sposób prezentacji danych dotyczących oceny stanu </w:t>
      </w:r>
      <w:r w:rsidR="00DF005E">
        <w:t>JCWP</w:t>
      </w:r>
      <w:r w:rsidRPr="00795F17">
        <w:t xml:space="preserve"> ze wskazaniem również ocen stanu uzyskanych przy uwzględnieniu </w:t>
      </w:r>
      <w:r w:rsidR="008C5E88">
        <w:t>postanowień</w:t>
      </w:r>
      <w:r w:rsidRPr="00795F17">
        <w:t xml:space="preserve"> </w:t>
      </w:r>
      <w:r w:rsidR="00DF005E">
        <w:t>r.kl.jcwp</w:t>
      </w:r>
      <w:r w:rsidRPr="00795F17">
        <w:t xml:space="preserve"> obowiązujących od 2022 roku, poniżej zaprezentowane zostały podsumowania </w:t>
      </w:r>
      <w:r w:rsidR="00B14FD9" w:rsidRPr="00795F17">
        <w:t>(tabela 5-16)</w:t>
      </w:r>
      <w:r w:rsidRPr="00795F17">
        <w:t xml:space="preserve"> dotyczące ocen stanu bądź potencjału ekologicznego, ocen stanu chemicznego</w:t>
      </w:r>
      <w:r w:rsidR="00656D87" w:rsidRPr="00795F17">
        <w:t>,</w:t>
      </w:r>
      <w:r w:rsidRPr="00795F17">
        <w:t xml:space="preserve"> a w efekcie ocen stanu </w:t>
      </w:r>
      <w:r w:rsidR="00DF005E">
        <w:t>JCWP</w:t>
      </w:r>
      <w:r w:rsidRPr="00795F17">
        <w:t xml:space="preserve"> również przy wyróżnieniu dwóch okresów wskazanych w </w:t>
      </w:r>
      <w:r w:rsidR="00DF005E">
        <w:t>r.kl.jcwp</w:t>
      </w:r>
      <w:r w:rsidRPr="00795F17">
        <w:t xml:space="preserve">. Wartości wskazane jako ocena zgodnie z </w:t>
      </w:r>
      <w:r w:rsidR="00DF005E">
        <w:t>r.kl.jcwp</w:t>
      </w:r>
      <w:r w:rsidRPr="00795F17">
        <w:t xml:space="preserve"> od 2022</w:t>
      </w:r>
      <w:r w:rsidR="00C605CD" w:rsidRPr="00795F17">
        <w:t> </w:t>
      </w:r>
      <w:r w:rsidRPr="00795F17">
        <w:t>r. traktowana jest poglądowo, dla zapewnienia możliwości odniesienia się do klasyfikacji stosowanej w</w:t>
      </w:r>
      <w:r w:rsidR="0055601C" w:rsidRPr="00795F17">
        <w:t> </w:t>
      </w:r>
      <w:r w:rsidRPr="00795F17">
        <w:t>cyklu planistycznym IIaPGW.</w:t>
      </w:r>
      <w:r w:rsidR="00A3597B" w:rsidRPr="00795F17">
        <w:t xml:space="preserve"> Wyniki oceny eksperckiej oceny stanu/potencjału ekologicznego dla</w:t>
      </w:r>
      <w:r w:rsidR="00BD239C" w:rsidRPr="00795F17">
        <w:t> </w:t>
      </w:r>
      <w:r w:rsidR="00DF005E">
        <w:t>JCWP</w:t>
      </w:r>
      <w:r w:rsidR="00A3597B" w:rsidRPr="00795F17">
        <w:t xml:space="preserve"> RWr od roku 2022 przedstawiono w załączniku graficznym </w:t>
      </w:r>
      <w:r w:rsidR="0075020A">
        <w:t xml:space="preserve">nr </w:t>
      </w:r>
      <w:r w:rsidR="000F1CA7">
        <w:t>21</w:t>
      </w:r>
      <w:r w:rsidR="00A3597B" w:rsidRPr="00795F17">
        <w:t>.</w:t>
      </w:r>
    </w:p>
    <w:p w14:paraId="61949A36" w14:textId="16A3AE6E" w:rsidR="00462DD4" w:rsidRPr="00795F17" w:rsidRDefault="00462DD4" w:rsidP="0044393D">
      <w:r w:rsidRPr="00795F17">
        <w:t xml:space="preserve">Spośród wszystkich </w:t>
      </w:r>
      <w:r w:rsidR="00DF005E">
        <w:t>JCWP</w:t>
      </w:r>
      <w:r w:rsidRPr="00795F17">
        <w:t xml:space="preserve"> RWr obszaru dorzecza Odry ocenę stanu bądź potencjału ekologicznego przeniesiono na nowy układ planistyczny dla 100% </w:t>
      </w:r>
      <w:r w:rsidR="00DF005E">
        <w:t>JCWP</w:t>
      </w:r>
      <w:r w:rsidRPr="00795F17">
        <w:t xml:space="preserve"> RWr (ocena stanu 2014</w:t>
      </w:r>
      <w:r w:rsidR="001F5AA9">
        <w:t>–</w:t>
      </w:r>
      <w:r w:rsidRPr="00795F17">
        <w:t xml:space="preserve">2019 GIOŚ </w:t>
      </w:r>
      <w:r w:rsidR="00442820">
        <w:t>według</w:t>
      </w:r>
      <w:r w:rsidR="00656D87" w:rsidRPr="00795F17">
        <w:t> </w:t>
      </w:r>
      <w:r w:rsidR="00DF005E">
        <w:t>r.kl.jcwp</w:t>
      </w:r>
      <w:r w:rsidRPr="00795F17">
        <w:t xml:space="preserve"> do 2022 r.), natomiast przy uwzględnieniu klasyfikacji zgodnie z </w:t>
      </w:r>
      <w:r w:rsidR="00DF005E">
        <w:t>r.kl.jcwp</w:t>
      </w:r>
      <w:r w:rsidRPr="00795F17">
        <w:t xml:space="preserve"> od 2022 roku oraz wyników analiz eksperckich liczba </w:t>
      </w:r>
      <w:r w:rsidR="00DF005E">
        <w:t>JCWP</w:t>
      </w:r>
      <w:r w:rsidRPr="00795F17">
        <w:t xml:space="preserve"> z uzyskaną poglądową oceną stanu bądź potencjału ekologicznego wynosi </w:t>
      </w:r>
      <w:r w:rsidR="00682082">
        <w:t>blisko 90</w:t>
      </w:r>
      <w:r w:rsidRPr="00795F17">
        <w:t xml:space="preserve">% </w:t>
      </w:r>
      <w:r w:rsidR="00DF005E">
        <w:t>JCWP</w:t>
      </w:r>
      <w:r w:rsidRPr="00795F17">
        <w:t xml:space="preserve"> RWr w obszarze dorzecza Odry.</w:t>
      </w:r>
    </w:p>
    <w:p w14:paraId="1CED0194" w14:textId="062C6501" w:rsidR="00462DD4" w:rsidRPr="001D33CA" w:rsidRDefault="00462DD4" w:rsidP="005842B5">
      <w:r w:rsidRPr="001D33CA">
        <w:t xml:space="preserve">W przypadku stanu chemicznego, spośród wszystkich </w:t>
      </w:r>
      <w:r w:rsidR="00DF005E">
        <w:t>JCWP</w:t>
      </w:r>
      <w:r w:rsidRPr="001D33CA">
        <w:t xml:space="preserve"> RWr obszaru dorzecza Odry ocena stanu chemicznego wykonana została dla 100% </w:t>
      </w:r>
      <w:r w:rsidR="00DF005E">
        <w:t>JCWP</w:t>
      </w:r>
      <w:r w:rsidRPr="001D33CA">
        <w:t xml:space="preserve"> RWr (ocena stanu 2014</w:t>
      </w:r>
      <w:r w:rsidR="001F5AA9" w:rsidRPr="001D33CA">
        <w:t>–</w:t>
      </w:r>
      <w:r w:rsidRPr="001D33CA">
        <w:t xml:space="preserve">2019 GIOŚ </w:t>
      </w:r>
      <w:r w:rsidR="00442820" w:rsidRPr="001D33CA">
        <w:t>według</w:t>
      </w:r>
      <w:r w:rsidRPr="001D33CA">
        <w:t xml:space="preserve"> </w:t>
      </w:r>
      <w:r w:rsidR="00DF005E">
        <w:t>r.kl.jcwp</w:t>
      </w:r>
      <w:r w:rsidRPr="001D33CA">
        <w:t xml:space="preserve"> do</w:t>
      </w:r>
      <w:r w:rsidR="00656D87" w:rsidRPr="001D33CA">
        <w:t> </w:t>
      </w:r>
      <w:r w:rsidRPr="001D33CA">
        <w:t xml:space="preserve">2022 r.), przy uwzględnieniu klasyfikacji zgodnie z </w:t>
      </w:r>
      <w:r w:rsidR="00DF005E">
        <w:t>r.kl.jcwp</w:t>
      </w:r>
      <w:r w:rsidRPr="001D33CA">
        <w:t xml:space="preserve"> od 2022 roku oraz wyników analiz eksperckich liczba </w:t>
      </w:r>
      <w:r w:rsidR="00DF005E">
        <w:t>JCWP</w:t>
      </w:r>
      <w:r w:rsidRPr="001D33CA">
        <w:t xml:space="preserve"> z uzyskaną poglądową </w:t>
      </w:r>
      <w:r w:rsidR="00C12087">
        <w:t>klasyfikacją stanu chemicznego</w:t>
      </w:r>
      <w:r w:rsidRPr="001D33CA">
        <w:t xml:space="preserve"> wynosi również 100% </w:t>
      </w:r>
      <w:r w:rsidR="00DF005E">
        <w:t>JCWP</w:t>
      </w:r>
      <w:r w:rsidRPr="001D33CA">
        <w:t xml:space="preserve"> RWr w obszarze dorzecza Odry. </w:t>
      </w:r>
      <w:r w:rsidR="00CB6774" w:rsidRPr="001D33CA">
        <w:t xml:space="preserve">Wyniki oceny eksperckiej </w:t>
      </w:r>
      <w:r w:rsidR="00C12087">
        <w:t>klasyfikacji stanu chemicznego</w:t>
      </w:r>
      <w:r w:rsidR="00CB6774" w:rsidRPr="001D33CA">
        <w:t xml:space="preserve"> dla </w:t>
      </w:r>
      <w:r w:rsidR="00DF005E">
        <w:t>JCWP</w:t>
      </w:r>
      <w:r w:rsidR="00CB6774" w:rsidRPr="001D33CA">
        <w:t xml:space="preserve"> RWr d</w:t>
      </w:r>
      <w:r w:rsidR="00894CC6" w:rsidRPr="001D33CA">
        <w:t>o</w:t>
      </w:r>
      <w:r w:rsidR="0055601C" w:rsidRPr="001D33CA">
        <w:t> </w:t>
      </w:r>
      <w:r w:rsidR="00CB6774" w:rsidRPr="001D33CA">
        <w:t xml:space="preserve">roku 2022 przedstawiono w załączniku graficznym </w:t>
      </w:r>
      <w:r w:rsidR="0075020A" w:rsidRPr="001D33CA">
        <w:t xml:space="preserve">nr </w:t>
      </w:r>
      <w:r w:rsidR="000D31C7">
        <w:t>25</w:t>
      </w:r>
      <w:r w:rsidR="00CB6774" w:rsidRPr="001D33CA">
        <w:t xml:space="preserve">, a od roku 2022 w załączniku graficznym </w:t>
      </w:r>
      <w:r w:rsidR="0075020A" w:rsidRPr="001D33CA">
        <w:t xml:space="preserve">nr </w:t>
      </w:r>
      <w:r w:rsidR="00C16F09">
        <w:t>29</w:t>
      </w:r>
      <w:r w:rsidR="00CB6774" w:rsidRPr="001D33CA">
        <w:t>.</w:t>
      </w:r>
    </w:p>
    <w:p w14:paraId="4B625D30" w14:textId="42DB9502" w:rsidR="00462DD4" w:rsidRPr="001D33CA" w:rsidRDefault="00462DD4" w:rsidP="005842B5">
      <w:r w:rsidRPr="001D33CA">
        <w:t xml:space="preserve">Ocenę stanu wód przeniesiono na nowy układ planistyczny dla 100% </w:t>
      </w:r>
      <w:r w:rsidR="00DF005E">
        <w:t>JCWP</w:t>
      </w:r>
      <w:r w:rsidRPr="001D33CA">
        <w:t xml:space="preserve"> RWr spośród wszystkich </w:t>
      </w:r>
      <w:r w:rsidR="00DF005E">
        <w:t>JCWP</w:t>
      </w:r>
      <w:r w:rsidRPr="001D33CA">
        <w:t xml:space="preserve"> RWr obszaru dorzecza Odry (ocena stanu 2014</w:t>
      </w:r>
      <w:r w:rsidR="001F5AA9" w:rsidRPr="001D33CA">
        <w:t>–</w:t>
      </w:r>
      <w:r w:rsidRPr="001D33CA">
        <w:t xml:space="preserve">2019 GIOŚ </w:t>
      </w:r>
      <w:r w:rsidR="00442820" w:rsidRPr="001D33CA">
        <w:t>według</w:t>
      </w:r>
      <w:r w:rsidRPr="001D33CA">
        <w:t xml:space="preserve"> </w:t>
      </w:r>
      <w:r w:rsidR="00DF005E">
        <w:t>r.kl.jcwp</w:t>
      </w:r>
      <w:r w:rsidRPr="001D33CA">
        <w:t xml:space="preserve"> do 2022 r.), natomiast przy uwzględnieniu klasyfikacji zgodnie z </w:t>
      </w:r>
      <w:r w:rsidR="00DF005E">
        <w:t>r.kl.jcwp</w:t>
      </w:r>
      <w:r w:rsidRPr="001D33CA">
        <w:t xml:space="preserve"> od 2022 roku oraz wyników analiz eksperckich liczba </w:t>
      </w:r>
      <w:r w:rsidR="00DF005E">
        <w:t>JCWP</w:t>
      </w:r>
      <w:r w:rsidRPr="001D33CA">
        <w:t xml:space="preserve"> z uzyskaną poglądową oceną stanu wynosi ok</w:t>
      </w:r>
      <w:r w:rsidR="007C7F10" w:rsidRPr="001D33CA">
        <w:t>oło</w:t>
      </w:r>
      <w:r w:rsidRPr="001D33CA">
        <w:t xml:space="preserve"> 95% </w:t>
      </w:r>
      <w:r w:rsidR="00DF005E">
        <w:t>JCWP</w:t>
      </w:r>
      <w:r w:rsidRPr="001D33CA">
        <w:t xml:space="preserve"> RWr </w:t>
      </w:r>
      <w:r w:rsidR="00C015B6" w:rsidRPr="001D33CA">
        <w:t>na</w:t>
      </w:r>
      <w:r w:rsidRPr="001D33CA">
        <w:t xml:space="preserve"> obszarze dorzecza Odry.</w:t>
      </w:r>
    </w:p>
    <w:p w14:paraId="0FDCE450" w14:textId="073B1728" w:rsidR="00F52AA8" w:rsidRPr="001D33CA" w:rsidRDefault="00F52AA8" w:rsidP="005842B5">
      <w:r w:rsidRPr="001D33CA">
        <w:t xml:space="preserve">Ocenę stanu wód dla </w:t>
      </w:r>
      <w:r w:rsidR="00DF005E">
        <w:t>JCWP</w:t>
      </w:r>
      <w:r w:rsidRPr="001D33CA">
        <w:t xml:space="preserve"> RWr d</w:t>
      </w:r>
      <w:r w:rsidR="00894CC6" w:rsidRPr="001D33CA">
        <w:t>o</w:t>
      </w:r>
      <w:r w:rsidRPr="001D33CA">
        <w:t xml:space="preserve"> roku 2022 przedstawiono w załączniku graficznym </w:t>
      </w:r>
      <w:r w:rsidR="0075020A" w:rsidRPr="001D33CA">
        <w:t xml:space="preserve">nr </w:t>
      </w:r>
      <w:r w:rsidR="00D92B5A">
        <w:t>33</w:t>
      </w:r>
      <w:r w:rsidRPr="001D33CA">
        <w:t xml:space="preserve">, a od roku 2022 w załączniku graficznym </w:t>
      </w:r>
      <w:r w:rsidR="0075020A" w:rsidRPr="001D33CA">
        <w:t xml:space="preserve">nr </w:t>
      </w:r>
      <w:r w:rsidR="00D43B2D">
        <w:t>37</w:t>
      </w:r>
      <w:r w:rsidRPr="001D33CA">
        <w:t>.</w:t>
      </w:r>
    </w:p>
    <w:p w14:paraId="179DCCC9" w14:textId="7A2F6F1B" w:rsidR="00462DD4" w:rsidRPr="00795F17" w:rsidRDefault="00462DD4" w:rsidP="004D7705">
      <w:pPr>
        <w:pStyle w:val="Tabela"/>
      </w:pPr>
      <w:bookmarkStart w:id="179" w:name="_Toc66341871"/>
      <w:bookmarkStart w:id="180" w:name="_Toc105512780"/>
      <w:r w:rsidRPr="00795F17">
        <w:t xml:space="preserve">Tabela </w:t>
      </w:r>
      <w:fldSimple w:instr=" STYLEREF 1 \s ">
        <w:r w:rsidR="001F774D">
          <w:rPr>
            <w:noProof/>
          </w:rPr>
          <w:t>5</w:t>
        </w:r>
      </w:fldSimple>
      <w:r w:rsidR="00BB3B21" w:rsidRPr="00795F17">
        <w:noBreakHyphen/>
      </w:r>
      <w:fldSimple w:instr=" SEQ Tabela \* ARABIC \s 1 ">
        <w:r w:rsidR="001F774D">
          <w:rPr>
            <w:noProof/>
          </w:rPr>
          <w:t>16</w:t>
        </w:r>
      </w:fldSimple>
      <w:r w:rsidR="00BA11D4">
        <w:rPr>
          <w:noProof/>
        </w:rPr>
        <w:t>.</w:t>
      </w:r>
      <w:r w:rsidRPr="00795F17">
        <w:tab/>
        <w:t xml:space="preserve">Podsumowanie oceny stanu </w:t>
      </w:r>
      <w:r w:rsidR="00DF005E">
        <w:t>JCWP</w:t>
      </w:r>
      <w:r w:rsidRPr="00795F17">
        <w:t xml:space="preserve"> RWr </w:t>
      </w:r>
      <w:r w:rsidR="00EC4A0D">
        <w:t>–</w:t>
      </w:r>
      <w:r w:rsidRPr="00795F17">
        <w:t xml:space="preserve"> obszar dorzecza Odry</w:t>
      </w:r>
      <w:bookmarkEnd w:id="179"/>
      <w:bookmarkEnd w:id="180"/>
    </w:p>
    <w:tbl>
      <w:tblPr>
        <w:tblStyle w:val="Tabela-Siatka"/>
        <w:tblW w:w="5000" w:type="pct"/>
        <w:jc w:val="center"/>
        <w:tblLook w:val="04A0" w:firstRow="1" w:lastRow="0" w:firstColumn="1" w:lastColumn="0" w:noHBand="0" w:noVBand="1"/>
      </w:tblPr>
      <w:tblGrid>
        <w:gridCol w:w="3261"/>
        <w:gridCol w:w="1416"/>
        <w:gridCol w:w="1420"/>
        <w:gridCol w:w="1416"/>
        <w:gridCol w:w="1554"/>
      </w:tblGrid>
      <w:tr w:rsidR="00462DD4" w:rsidRPr="00795F17" w14:paraId="26230CC4" w14:textId="77777777" w:rsidTr="0055601C">
        <w:trPr>
          <w:cnfStyle w:val="100000000000" w:firstRow="1" w:lastRow="0" w:firstColumn="0" w:lastColumn="0" w:oddVBand="0" w:evenVBand="0" w:oddHBand="0" w:evenHBand="0" w:firstRowFirstColumn="0" w:firstRowLastColumn="0" w:lastRowFirstColumn="0" w:lastRowLastColumn="0"/>
          <w:trHeight w:val="454"/>
          <w:jc w:val="center"/>
        </w:trPr>
        <w:tc>
          <w:tcPr>
            <w:tcW w:w="1798" w:type="pct"/>
            <w:vMerge w:val="restart"/>
            <w:tcBorders>
              <w:top w:val="nil"/>
              <w:left w:val="nil"/>
            </w:tcBorders>
            <w:shd w:val="clear" w:color="auto" w:fill="auto"/>
          </w:tcPr>
          <w:p w14:paraId="1BC60666" w14:textId="77777777" w:rsidR="00462DD4" w:rsidRPr="00795F17" w:rsidRDefault="00462DD4" w:rsidP="0044393D">
            <w:pPr>
              <w:pStyle w:val="Teksttabelinaglowek"/>
            </w:pPr>
          </w:p>
        </w:tc>
        <w:tc>
          <w:tcPr>
            <w:tcW w:w="781" w:type="pct"/>
          </w:tcPr>
          <w:p w14:paraId="16F0468E" w14:textId="26E56F25" w:rsidR="00462DD4" w:rsidRPr="00795F17" w:rsidRDefault="00DF005E" w:rsidP="0044393D">
            <w:pPr>
              <w:pStyle w:val="Teksttabelinaglowek"/>
              <w:rPr>
                <w:b/>
              </w:rPr>
            </w:pPr>
            <w:r>
              <w:rPr>
                <w:b/>
              </w:rPr>
              <w:t>R.kl.jcwp</w:t>
            </w:r>
            <w:r w:rsidR="00462DD4" w:rsidRPr="00795F17">
              <w:rPr>
                <w:b/>
              </w:rPr>
              <w:t xml:space="preserve"> </w:t>
            </w:r>
            <w:r w:rsidR="00462DD4" w:rsidRPr="00795F17">
              <w:rPr>
                <w:b/>
              </w:rPr>
              <w:br/>
              <w:t>do 2022 r.</w:t>
            </w:r>
          </w:p>
        </w:tc>
        <w:tc>
          <w:tcPr>
            <w:tcW w:w="2420" w:type="pct"/>
            <w:gridSpan w:val="3"/>
          </w:tcPr>
          <w:p w14:paraId="1ACF84B6" w14:textId="687703DD" w:rsidR="00462DD4" w:rsidRPr="00795F17" w:rsidRDefault="00DF005E" w:rsidP="0044393D">
            <w:pPr>
              <w:pStyle w:val="Teksttabelinaglowek"/>
              <w:rPr>
                <w:b/>
              </w:rPr>
            </w:pPr>
            <w:r>
              <w:rPr>
                <w:b/>
              </w:rPr>
              <w:t>R.kl.jcwp</w:t>
            </w:r>
            <w:r w:rsidR="00462DD4" w:rsidRPr="00795F17">
              <w:rPr>
                <w:b/>
              </w:rPr>
              <w:t xml:space="preserve"> od 2022</w:t>
            </w:r>
            <w:r w:rsidR="00C605CD" w:rsidRPr="00795F17">
              <w:rPr>
                <w:b/>
              </w:rPr>
              <w:t> r.</w:t>
            </w:r>
          </w:p>
        </w:tc>
      </w:tr>
      <w:tr w:rsidR="00462DD4" w:rsidRPr="00795F17" w14:paraId="57F7FC58" w14:textId="77777777" w:rsidTr="00E44A84">
        <w:trPr>
          <w:trHeight w:val="454"/>
          <w:jc w:val="center"/>
        </w:trPr>
        <w:tc>
          <w:tcPr>
            <w:tcW w:w="1798" w:type="pct"/>
            <w:vMerge/>
            <w:tcBorders>
              <w:left w:val="nil"/>
            </w:tcBorders>
            <w:shd w:val="clear" w:color="auto" w:fill="auto"/>
          </w:tcPr>
          <w:p w14:paraId="29AD7C18" w14:textId="77777777" w:rsidR="00462DD4" w:rsidRPr="00795F17" w:rsidRDefault="00462DD4" w:rsidP="0044393D">
            <w:pPr>
              <w:pStyle w:val="Teksttabelinaglowek"/>
            </w:pPr>
          </w:p>
        </w:tc>
        <w:tc>
          <w:tcPr>
            <w:tcW w:w="781" w:type="pct"/>
            <w:shd w:val="clear" w:color="auto" w:fill="BFBFBF" w:themeFill="background1" w:themeFillShade="BF"/>
          </w:tcPr>
          <w:p w14:paraId="7F7E63BB" w14:textId="4D2D877A" w:rsidR="00462DD4" w:rsidRPr="00795F17" w:rsidRDefault="00462DD4" w:rsidP="0044393D">
            <w:pPr>
              <w:pStyle w:val="Teksttabelinaglowek"/>
            </w:pPr>
            <w:r w:rsidRPr="00795F17">
              <w:t xml:space="preserve">Liczba </w:t>
            </w:r>
            <w:r w:rsidR="00DF005E">
              <w:t>JCWP</w:t>
            </w:r>
            <w:r w:rsidR="00C015B6">
              <w:br/>
            </w:r>
            <w:r w:rsidRPr="00795F17">
              <w:t>z oceną stanu (PMŚ)</w:t>
            </w:r>
            <w:r w:rsidRPr="00795F17">
              <w:rPr>
                <w:vertAlign w:val="superscript"/>
              </w:rPr>
              <w:t>1</w:t>
            </w:r>
          </w:p>
        </w:tc>
        <w:tc>
          <w:tcPr>
            <w:tcW w:w="783" w:type="pct"/>
            <w:shd w:val="clear" w:color="auto" w:fill="BFBFBF" w:themeFill="background1" w:themeFillShade="BF"/>
          </w:tcPr>
          <w:p w14:paraId="2EC4F3EC" w14:textId="031D4C77" w:rsidR="00462DD4" w:rsidRPr="00795F17" w:rsidRDefault="00462DD4" w:rsidP="0044393D">
            <w:pPr>
              <w:pStyle w:val="Teksttabelinaglowek"/>
            </w:pPr>
            <w:r w:rsidRPr="00795F17">
              <w:t xml:space="preserve">Liczba </w:t>
            </w:r>
            <w:r w:rsidR="00DF005E">
              <w:t>JCWP</w:t>
            </w:r>
            <w:r w:rsidR="00C015B6">
              <w:br/>
            </w:r>
            <w:r w:rsidRPr="00795F17">
              <w:t xml:space="preserve">z </w:t>
            </w:r>
            <w:r w:rsidRPr="00795F17">
              <w:rPr>
                <w:rFonts w:eastAsia="Times New Roman"/>
                <w:color w:val="000000"/>
              </w:rPr>
              <w:t xml:space="preserve">oceną </w:t>
            </w:r>
            <w:r w:rsidRPr="00795F17">
              <w:t>stanu ogółem</w:t>
            </w:r>
          </w:p>
        </w:tc>
        <w:tc>
          <w:tcPr>
            <w:tcW w:w="781" w:type="pct"/>
            <w:shd w:val="clear" w:color="auto" w:fill="BFBFBF" w:themeFill="background1" w:themeFillShade="BF"/>
          </w:tcPr>
          <w:p w14:paraId="54CE694B" w14:textId="46E7AA45" w:rsidR="00462DD4" w:rsidRPr="00795F17" w:rsidRDefault="00462DD4" w:rsidP="0044393D">
            <w:pPr>
              <w:pStyle w:val="Teksttabelinaglowek"/>
              <w:rPr>
                <w:vertAlign w:val="superscript"/>
              </w:rPr>
            </w:pPr>
            <w:r w:rsidRPr="00795F17">
              <w:t xml:space="preserve">Liczba </w:t>
            </w:r>
            <w:r w:rsidR="00DF005E">
              <w:t>JCWP</w:t>
            </w:r>
            <w:r w:rsidR="00C015B6">
              <w:br/>
            </w:r>
            <w:r w:rsidRPr="00795F17">
              <w:t xml:space="preserve"> z oceną stanu (PMŚ)</w:t>
            </w:r>
            <w:r w:rsidRPr="00795F17">
              <w:rPr>
                <w:rFonts w:eastAsia="Times New Roman"/>
                <w:color w:val="000000"/>
                <w:vertAlign w:val="superscript"/>
              </w:rPr>
              <w:t>2</w:t>
            </w:r>
          </w:p>
        </w:tc>
        <w:tc>
          <w:tcPr>
            <w:tcW w:w="857" w:type="pct"/>
            <w:shd w:val="clear" w:color="auto" w:fill="BFBFBF" w:themeFill="background1" w:themeFillShade="BF"/>
          </w:tcPr>
          <w:p w14:paraId="0DAA43CE" w14:textId="6E4D9E03" w:rsidR="00462DD4" w:rsidRPr="00795F17" w:rsidRDefault="00462DD4" w:rsidP="0044393D">
            <w:pPr>
              <w:pStyle w:val="Teksttabelinaglowek"/>
              <w:rPr>
                <w:vertAlign w:val="superscript"/>
              </w:rPr>
            </w:pPr>
            <w:r w:rsidRPr="00795F17">
              <w:t xml:space="preserve">Liczba </w:t>
            </w:r>
            <w:r w:rsidR="00DF005E">
              <w:t>JCWP</w:t>
            </w:r>
            <w:r w:rsidR="00C015B6">
              <w:br/>
            </w:r>
            <w:r w:rsidRPr="00795F17">
              <w:t xml:space="preserve"> z oceną stanu (EKSP)</w:t>
            </w:r>
            <w:r w:rsidRPr="00795F17">
              <w:rPr>
                <w:rFonts w:eastAsia="Times New Roman"/>
                <w:color w:val="000000"/>
                <w:vertAlign w:val="superscript"/>
              </w:rPr>
              <w:t>3</w:t>
            </w:r>
          </w:p>
        </w:tc>
      </w:tr>
      <w:tr w:rsidR="00462DD4" w:rsidRPr="00795F17" w14:paraId="224D4C13" w14:textId="77777777" w:rsidTr="009F7F19">
        <w:trPr>
          <w:trHeight w:val="262"/>
          <w:jc w:val="center"/>
        </w:trPr>
        <w:tc>
          <w:tcPr>
            <w:tcW w:w="0" w:type="pct"/>
            <w:shd w:val="clear" w:color="auto" w:fill="D9D9D9" w:themeFill="background1" w:themeFillShade="D9"/>
          </w:tcPr>
          <w:p w14:paraId="5F9892E2" w14:textId="77777777" w:rsidR="00462DD4" w:rsidRPr="00795F17" w:rsidRDefault="00462DD4" w:rsidP="008C0577">
            <w:pPr>
              <w:pStyle w:val="Teksttabelilewy"/>
              <w:rPr>
                <w:b/>
              </w:rPr>
            </w:pPr>
            <w:r w:rsidRPr="00795F17">
              <w:rPr>
                <w:b/>
                <w:bCs/>
              </w:rPr>
              <w:t>Stan/potencjał ekologiczny</w:t>
            </w:r>
          </w:p>
        </w:tc>
        <w:tc>
          <w:tcPr>
            <w:tcW w:w="0" w:type="pct"/>
            <w:shd w:val="clear" w:color="auto" w:fill="D9D9D9" w:themeFill="background1" w:themeFillShade="D9"/>
          </w:tcPr>
          <w:p w14:paraId="7B47DCE9" w14:textId="77777777" w:rsidR="00462DD4" w:rsidRPr="00795F17" w:rsidRDefault="00462DD4" w:rsidP="008C0577">
            <w:pPr>
              <w:pStyle w:val="Teksttabelinaglowek"/>
            </w:pPr>
            <w:r w:rsidRPr="00795F17">
              <w:t>19</w:t>
            </w:r>
          </w:p>
        </w:tc>
        <w:tc>
          <w:tcPr>
            <w:tcW w:w="0" w:type="pct"/>
            <w:shd w:val="clear" w:color="auto" w:fill="D9D9D9" w:themeFill="background1" w:themeFillShade="D9"/>
          </w:tcPr>
          <w:p w14:paraId="0EF2DDAB" w14:textId="77777777" w:rsidR="00462DD4" w:rsidRPr="00795F17" w:rsidRDefault="00462DD4" w:rsidP="008C0577">
            <w:pPr>
              <w:pStyle w:val="Teksttabelinaglowek"/>
            </w:pPr>
            <w:r w:rsidRPr="00795F17">
              <w:t>17</w:t>
            </w:r>
          </w:p>
        </w:tc>
        <w:tc>
          <w:tcPr>
            <w:tcW w:w="0" w:type="pct"/>
            <w:shd w:val="clear" w:color="auto" w:fill="D9D9D9" w:themeFill="background1" w:themeFillShade="D9"/>
          </w:tcPr>
          <w:p w14:paraId="162EA8E3" w14:textId="77777777" w:rsidR="00462DD4" w:rsidRPr="00795F17" w:rsidRDefault="00462DD4" w:rsidP="008C0577">
            <w:pPr>
              <w:pStyle w:val="Teksttabelinaglowek"/>
            </w:pPr>
            <w:r w:rsidRPr="00795F17">
              <w:t>17</w:t>
            </w:r>
          </w:p>
        </w:tc>
        <w:tc>
          <w:tcPr>
            <w:tcW w:w="0" w:type="pct"/>
            <w:shd w:val="clear" w:color="auto" w:fill="D9D9D9" w:themeFill="background1" w:themeFillShade="D9"/>
          </w:tcPr>
          <w:p w14:paraId="1711D60C" w14:textId="77777777" w:rsidR="00462DD4" w:rsidRPr="00795F17" w:rsidRDefault="00462DD4" w:rsidP="008C0577">
            <w:pPr>
              <w:pStyle w:val="Teksttabelinaglowek"/>
            </w:pPr>
            <w:r w:rsidRPr="00795F17">
              <w:t>0</w:t>
            </w:r>
          </w:p>
        </w:tc>
      </w:tr>
      <w:tr w:rsidR="00462DD4" w:rsidRPr="00795F17" w14:paraId="25BD6346" w14:textId="77777777" w:rsidTr="00E44A84">
        <w:trPr>
          <w:trHeight w:val="454"/>
          <w:jc w:val="center"/>
        </w:trPr>
        <w:tc>
          <w:tcPr>
            <w:tcW w:w="1798" w:type="pct"/>
          </w:tcPr>
          <w:p w14:paraId="0A6C33D9" w14:textId="77777777" w:rsidR="00462DD4" w:rsidRPr="00795F17" w:rsidRDefault="00462DD4" w:rsidP="0044393D">
            <w:pPr>
              <w:pStyle w:val="Teksttabelilewy"/>
            </w:pPr>
            <w:r w:rsidRPr="00795F17">
              <w:t xml:space="preserve">Bardzo dobry stan ekologiczny/ maksymalny potencjał </w:t>
            </w:r>
            <w:r w:rsidRPr="00795F17">
              <w:rPr>
                <w:shd w:val="clear" w:color="auto" w:fill="FFFFFF" w:themeFill="background1"/>
              </w:rPr>
              <w:t>ekologiczny</w:t>
            </w:r>
          </w:p>
        </w:tc>
        <w:tc>
          <w:tcPr>
            <w:tcW w:w="781" w:type="pct"/>
            <w:shd w:val="clear" w:color="auto" w:fill="F2F2F2" w:themeFill="background1" w:themeFillShade="F2"/>
          </w:tcPr>
          <w:p w14:paraId="740DAF1F" w14:textId="77777777" w:rsidR="00462DD4" w:rsidRPr="00795F17" w:rsidRDefault="00462DD4" w:rsidP="0065243A">
            <w:pPr>
              <w:pStyle w:val="Teksttabelisrodek"/>
            </w:pPr>
            <w:r w:rsidRPr="00795F17">
              <w:t>0</w:t>
            </w:r>
          </w:p>
        </w:tc>
        <w:tc>
          <w:tcPr>
            <w:tcW w:w="783" w:type="pct"/>
          </w:tcPr>
          <w:p w14:paraId="4C04274E" w14:textId="77777777" w:rsidR="00462DD4" w:rsidRPr="00795F17" w:rsidRDefault="00462DD4" w:rsidP="0065243A">
            <w:pPr>
              <w:pStyle w:val="Teksttabelisrodek"/>
            </w:pPr>
            <w:r w:rsidRPr="00795F17">
              <w:t>1</w:t>
            </w:r>
          </w:p>
        </w:tc>
        <w:tc>
          <w:tcPr>
            <w:tcW w:w="781" w:type="pct"/>
          </w:tcPr>
          <w:p w14:paraId="5664BCAB" w14:textId="77777777" w:rsidR="00462DD4" w:rsidRPr="00795F17" w:rsidRDefault="00462DD4" w:rsidP="0065243A">
            <w:pPr>
              <w:pStyle w:val="Teksttabelisrodek"/>
            </w:pPr>
            <w:r w:rsidRPr="00795F17">
              <w:t>1</w:t>
            </w:r>
          </w:p>
        </w:tc>
        <w:tc>
          <w:tcPr>
            <w:tcW w:w="857" w:type="pct"/>
          </w:tcPr>
          <w:p w14:paraId="71A6C416" w14:textId="77777777" w:rsidR="00462DD4" w:rsidRPr="00795F17" w:rsidRDefault="00462DD4" w:rsidP="0065243A">
            <w:pPr>
              <w:pStyle w:val="Teksttabelisrodek"/>
            </w:pPr>
            <w:r w:rsidRPr="00795F17">
              <w:t>0</w:t>
            </w:r>
          </w:p>
        </w:tc>
      </w:tr>
      <w:tr w:rsidR="00462DD4" w:rsidRPr="00795F17" w14:paraId="7893B46A" w14:textId="77777777" w:rsidTr="00E44A84">
        <w:trPr>
          <w:trHeight w:val="454"/>
          <w:jc w:val="center"/>
        </w:trPr>
        <w:tc>
          <w:tcPr>
            <w:tcW w:w="1798" w:type="pct"/>
          </w:tcPr>
          <w:p w14:paraId="6D9641D4" w14:textId="77777777" w:rsidR="00462DD4" w:rsidRPr="00795F17" w:rsidRDefault="00462DD4" w:rsidP="0044393D">
            <w:pPr>
              <w:pStyle w:val="Teksttabelilewy"/>
            </w:pPr>
            <w:r w:rsidRPr="00795F17">
              <w:t xml:space="preserve">Dobry stan ekologiczny/ potencjał </w:t>
            </w:r>
            <w:r w:rsidRPr="00795F17">
              <w:rPr>
                <w:shd w:val="clear" w:color="auto" w:fill="FFFFFF" w:themeFill="background1"/>
              </w:rPr>
              <w:t>ekologiczny</w:t>
            </w:r>
          </w:p>
        </w:tc>
        <w:tc>
          <w:tcPr>
            <w:tcW w:w="781" w:type="pct"/>
            <w:shd w:val="clear" w:color="auto" w:fill="F2F2F2" w:themeFill="background1" w:themeFillShade="F2"/>
          </w:tcPr>
          <w:p w14:paraId="38685435" w14:textId="77777777" w:rsidR="00462DD4" w:rsidRPr="00795F17" w:rsidRDefault="00462DD4" w:rsidP="0065243A">
            <w:pPr>
              <w:pStyle w:val="Teksttabelisrodek"/>
            </w:pPr>
            <w:r w:rsidRPr="00795F17">
              <w:t>2</w:t>
            </w:r>
          </w:p>
        </w:tc>
        <w:tc>
          <w:tcPr>
            <w:tcW w:w="783" w:type="pct"/>
          </w:tcPr>
          <w:p w14:paraId="15734834" w14:textId="09064F55" w:rsidR="00462DD4" w:rsidRPr="00795F17" w:rsidRDefault="00833780" w:rsidP="0065243A">
            <w:pPr>
              <w:pStyle w:val="Teksttabelisrodek"/>
            </w:pPr>
            <w:r>
              <w:t>6</w:t>
            </w:r>
          </w:p>
        </w:tc>
        <w:tc>
          <w:tcPr>
            <w:tcW w:w="781" w:type="pct"/>
          </w:tcPr>
          <w:p w14:paraId="02A5A94B" w14:textId="521E3723" w:rsidR="00462DD4" w:rsidRPr="00795F17" w:rsidRDefault="00186B9C" w:rsidP="0065243A">
            <w:pPr>
              <w:pStyle w:val="Teksttabelisrodek"/>
            </w:pPr>
            <w:r>
              <w:t>6</w:t>
            </w:r>
          </w:p>
        </w:tc>
        <w:tc>
          <w:tcPr>
            <w:tcW w:w="857" w:type="pct"/>
          </w:tcPr>
          <w:p w14:paraId="285C50C7" w14:textId="77777777" w:rsidR="00462DD4" w:rsidRPr="00795F17" w:rsidRDefault="00462DD4" w:rsidP="0065243A">
            <w:pPr>
              <w:pStyle w:val="Teksttabelisrodek"/>
            </w:pPr>
            <w:r w:rsidRPr="00795F17">
              <w:t>0</w:t>
            </w:r>
          </w:p>
        </w:tc>
      </w:tr>
      <w:tr w:rsidR="00462DD4" w:rsidRPr="00795F17" w14:paraId="2B50A2AC" w14:textId="77777777" w:rsidTr="00E44A84">
        <w:trPr>
          <w:trHeight w:val="454"/>
          <w:jc w:val="center"/>
        </w:trPr>
        <w:tc>
          <w:tcPr>
            <w:tcW w:w="1798" w:type="pct"/>
          </w:tcPr>
          <w:p w14:paraId="557D3A59" w14:textId="77777777" w:rsidR="00462DD4" w:rsidRPr="00795F17" w:rsidRDefault="00462DD4" w:rsidP="0044393D">
            <w:pPr>
              <w:pStyle w:val="Teksttabelilewy"/>
            </w:pPr>
            <w:r w:rsidRPr="00795F17">
              <w:t>Umiarkowany stan ekologiczny/ umiarkowany potencjał ekologiczny</w:t>
            </w:r>
          </w:p>
        </w:tc>
        <w:tc>
          <w:tcPr>
            <w:tcW w:w="781" w:type="pct"/>
            <w:shd w:val="clear" w:color="auto" w:fill="F2F2F2" w:themeFill="background1" w:themeFillShade="F2"/>
          </w:tcPr>
          <w:p w14:paraId="40343B47" w14:textId="77777777" w:rsidR="00462DD4" w:rsidRPr="00795F17" w:rsidRDefault="00462DD4" w:rsidP="0065243A">
            <w:pPr>
              <w:pStyle w:val="Teksttabelisrodek"/>
            </w:pPr>
            <w:r w:rsidRPr="00795F17">
              <w:t>11</w:t>
            </w:r>
          </w:p>
        </w:tc>
        <w:tc>
          <w:tcPr>
            <w:tcW w:w="783" w:type="pct"/>
          </w:tcPr>
          <w:p w14:paraId="2ED2EF8E" w14:textId="6C360996" w:rsidR="00462DD4" w:rsidRPr="00795F17" w:rsidRDefault="00186B9C" w:rsidP="0065243A">
            <w:pPr>
              <w:pStyle w:val="Teksttabelisrodek"/>
            </w:pPr>
            <w:r>
              <w:t>7</w:t>
            </w:r>
          </w:p>
        </w:tc>
        <w:tc>
          <w:tcPr>
            <w:tcW w:w="781" w:type="pct"/>
          </w:tcPr>
          <w:p w14:paraId="6D3CEF7A" w14:textId="701AB175" w:rsidR="00462DD4" w:rsidRPr="00795F17" w:rsidRDefault="00186B9C" w:rsidP="0065243A">
            <w:pPr>
              <w:pStyle w:val="Teksttabelisrodek"/>
            </w:pPr>
            <w:r>
              <w:t>7</w:t>
            </w:r>
          </w:p>
        </w:tc>
        <w:tc>
          <w:tcPr>
            <w:tcW w:w="857" w:type="pct"/>
          </w:tcPr>
          <w:p w14:paraId="55BC13CE" w14:textId="77777777" w:rsidR="00462DD4" w:rsidRPr="00795F17" w:rsidRDefault="00462DD4" w:rsidP="0065243A">
            <w:pPr>
              <w:pStyle w:val="Teksttabelisrodek"/>
            </w:pPr>
            <w:r w:rsidRPr="00795F17">
              <w:t>0</w:t>
            </w:r>
          </w:p>
        </w:tc>
      </w:tr>
      <w:tr w:rsidR="00462DD4" w:rsidRPr="00795F17" w14:paraId="748E3677" w14:textId="77777777" w:rsidTr="00E44A84">
        <w:trPr>
          <w:trHeight w:val="454"/>
          <w:jc w:val="center"/>
        </w:trPr>
        <w:tc>
          <w:tcPr>
            <w:tcW w:w="1798" w:type="pct"/>
          </w:tcPr>
          <w:p w14:paraId="4F7D7C59" w14:textId="77777777" w:rsidR="00462DD4" w:rsidRPr="00795F17" w:rsidRDefault="00462DD4" w:rsidP="0044393D">
            <w:pPr>
              <w:pStyle w:val="Teksttabelilewy"/>
            </w:pPr>
            <w:r w:rsidRPr="00795F17">
              <w:t xml:space="preserve">Słaby stan ekologiczny/ słaby potencjał </w:t>
            </w:r>
            <w:r w:rsidRPr="00795F17">
              <w:rPr>
                <w:shd w:val="clear" w:color="auto" w:fill="FFFFFF" w:themeFill="background1"/>
              </w:rPr>
              <w:t>ekologiczny</w:t>
            </w:r>
          </w:p>
        </w:tc>
        <w:tc>
          <w:tcPr>
            <w:tcW w:w="781" w:type="pct"/>
            <w:shd w:val="clear" w:color="auto" w:fill="F2F2F2" w:themeFill="background1" w:themeFillShade="F2"/>
          </w:tcPr>
          <w:p w14:paraId="1C183056" w14:textId="77777777" w:rsidR="00462DD4" w:rsidRPr="00795F17" w:rsidRDefault="00462DD4" w:rsidP="0065243A">
            <w:pPr>
              <w:pStyle w:val="Teksttabelisrodek"/>
            </w:pPr>
            <w:r w:rsidRPr="00795F17">
              <w:t>6</w:t>
            </w:r>
          </w:p>
        </w:tc>
        <w:tc>
          <w:tcPr>
            <w:tcW w:w="783" w:type="pct"/>
          </w:tcPr>
          <w:p w14:paraId="67030A16" w14:textId="77777777" w:rsidR="00462DD4" w:rsidRPr="00795F17" w:rsidRDefault="00462DD4" w:rsidP="0065243A">
            <w:pPr>
              <w:pStyle w:val="Teksttabelisrodek"/>
            </w:pPr>
            <w:r w:rsidRPr="00795F17">
              <w:t>3</w:t>
            </w:r>
          </w:p>
        </w:tc>
        <w:tc>
          <w:tcPr>
            <w:tcW w:w="781" w:type="pct"/>
          </w:tcPr>
          <w:p w14:paraId="7AA6ECB1" w14:textId="77777777" w:rsidR="00462DD4" w:rsidRPr="00795F17" w:rsidRDefault="00462DD4" w:rsidP="0065243A">
            <w:pPr>
              <w:pStyle w:val="Teksttabelisrodek"/>
            </w:pPr>
            <w:r w:rsidRPr="00795F17">
              <w:t>3</w:t>
            </w:r>
          </w:p>
        </w:tc>
        <w:tc>
          <w:tcPr>
            <w:tcW w:w="857" w:type="pct"/>
          </w:tcPr>
          <w:p w14:paraId="70D3486B" w14:textId="77777777" w:rsidR="00462DD4" w:rsidRPr="00795F17" w:rsidRDefault="00462DD4" w:rsidP="0065243A">
            <w:pPr>
              <w:pStyle w:val="Teksttabelisrodek"/>
            </w:pPr>
            <w:r w:rsidRPr="00795F17">
              <w:t>0</w:t>
            </w:r>
          </w:p>
        </w:tc>
      </w:tr>
      <w:tr w:rsidR="00462DD4" w:rsidRPr="00795F17" w14:paraId="25516880" w14:textId="77777777" w:rsidTr="00E44A84">
        <w:trPr>
          <w:trHeight w:val="454"/>
          <w:jc w:val="center"/>
        </w:trPr>
        <w:tc>
          <w:tcPr>
            <w:tcW w:w="1798" w:type="pct"/>
          </w:tcPr>
          <w:p w14:paraId="0ECC6E57" w14:textId="77777777" w:rsidR="00462DD4" w:rsidRPr="00795F17" w:rsidRDefault="00462DD4" w:rsidP="0044393D">
            <w:pPr>
              <w:pStyle w:val="Teksttabelilewy"/>
            </w:pPr>
            <w:r w:rsidRPr="00795F17">
              <w:t>Zły stan ekologiczny/ zły potencjał ekologiczny</w:t>
            </w:r>
          </w:p>
        </w:tc>
        <w:tc>
          <w:tcPr>
            <w:tcW w:w="781" w:type="pct"/>
            <w:shd w:val="clear" w:color="auto" w:fill="F2F2F2" w:themeFill="background1" w:themeFillShade="F2"/>
          </w:tcPr>
          <w:p w14:paraId="53B1C3DD" w14:textId="77777777" w:rsidR="00462DD4" w:rsidRPr="00795F17" w:rsidRDefault="00462DD4" w:rsidP="0065243A">
            <w:pPr>
              <w:pStyle w:val="Teksttabelisrodek"/>
            </w:pPr>
            <w:r w:rsidRPr="00795F17">
              <w:t>0</w:t>
            </w:r>
          </w:p>
        </w:tc>
        <w:tc>
          <w:tcPr>
            <w:tcW w:w="783" w:type="pct"/>
          </w:tcPr>
          <w:p w14:paraId="65B3E154" w14:textId="77777777" w:rsidR="00462DD4" w:rsidRPr="00795F17" w:rsidRDefault="00462DD4" w:rsidP="0065243A">
            <w:pPr>
              <w:pStyle w:val="Teksttabelisrodek"/>
            </w:pPr>
            <w:r w:rsidRPr="00795F17">
              <w:t>0</w:t>
            </w:r>
          </w:p>
        </w:tc>
        <w:tc>
          <w:tcPr>
            <w:tcW w:w="781" w:type="pct"/>
          </w:tcPr>
          <w:p w14:paraId="40D850DF" w14:textId="77777777" w:rsidR="00462DD4" w:rsidRPr="00795F17" w:rsidRDefault="00462DD4" w:rsidP="0065243A">
            <w:pPr>
              <w:pStyle w:val="Teksttabelisrodek"/>
            </w:pPr>
            <w:r w:rsidRPr="00795F17">
              <w:t>0</w:t>
            </w:r>
          </w:p>
        </w:tc>
        <w:tc>
          <w:tcPr>
            <w:tcW w:w="857" w:type="pct"/>
          </w:tcPr>
          <w:p w14:paraId="45A3506E" w14:textId="77777777" w:rsidR="00462DD4" w:rsidRPr="00795F17" w:rsidRDefault="00462DD4" w:rsidP="0065243A">
            <w:pPr>
              <w:pStyle w:val="Teksttabelisrodek"/>
            </w:pPr>
            <w:r w:rsidRPr="00795F17">
              <w:t>0</w:t>
            </w:r>
          </w:p>
        </w:tc>
      </w:tr>
      <w:tr w:rsidR="00462DD4" w:rsidRPr="00795F17" w14:paraId="01E88ED4" w14:textId="77777777" w:rsidTr="009F7F19">
        <w:trPr>
          <w:trHeight w:val="310"/>
          <w:jc w:val="center"/>
        </w:trPr>
        <w:tc>
          <w:tcPr>
            <w:tcW w:w="0" w:type="pct"/>
            <w:shd w:val="clear" w:color="auto" w:fill="D9D9D9" w:themeFill="background1" w:themeFillShade="D9"/>
          </w:tcPr>
          <w:p w14:paraId="3F22B67D" w14:textId="77777777" w:rsidR="00462DD4" w:rsidRPr="00795F17" w:rsidRDefault="00462DD4" w:rsidP="005862B8">
            <w:pPr>
              <w:pStyle w:val="Teksttabelilewy"/>
              <w:rPr>
                <w:b/>
                <w:bCs/>
              </w:rPr>
            </w:pPr>
            <w:r w:rsidRPr="00795F17">
              <w:rPr>
                <w:b/>
                <w:bCs/>
              </w:rPr>
              <w:t>Stan chemiczny</w:t>
            </w:r>
          </w:p>
        </w:tc>
        <w:tc>
          <w:tcPr>
            <w:tcW w:w="0" w:type="pct"/>
            <w:shd w:val="clear" w:color="auto" w:fill="D9D9D9" w:themeFill="background1" w:themeFillShade="D9"/>
          </w:tcPr>
          <w:p w14:paraId="31BFB7E5" w14:textId="77777777" w:rsidR="00462DD4" w:rsidRPr="00795F17" w:rsidRDefault="00462DD4" w:rsidP="008C0577">
            <w:pPr>
              <w:pStyle w:val="Teksttabelinaglowek"/>
            </w:pPr>
            <w:r w:rsidRPr="00795F17">
              <w:t>19</w:t>
            </w:r>
          </w:p>
        </w:tc>
        <w:tc>
          <w:tcPr>
            <w:tcW w:w="0" w:type="pct"/>
            <w:shd w:val="clear" w:color="auto" w:fill="D9D9D9" w:themeFill="background1" w:themeFillShade="D9"/>
          </w:tcPr>
          <w:p w14:paraId="22FEA7E8" w14:textId="77777777" w:rsidR="00462DD4" w:rsidRPr="00795F17" w:rsidRDefault="00462DD4" w:rsidP="008C0577">
            <w:pPr>
              <w:pStyle w:val="Teksttabelinaglowek"/>
            </w:pPr>
            <w:r w:rsidRPr="00795F17">
              <w:t>19</w:t>
            </w:r>
          </w:p>
        </w:tc>
        <w:tc>
          <w:tcPr>
            <w:tcW w:w="0" w:type="pct"/>
            <w:shd w:val="clear" w:color="auto" w:fill="D9D9D9" w:themeFill="background1" w:themeFillShade="D9"/>
          </w:tcPr>
          <w:p w14:paraId="1E7C2F59" w14:textId="4B16B9FB" w:rsidR="00462DD4" w:rsidRPr="00795F17" w:rsidRDefault="009D4441" w:rsidP="008C0577">
            <w:pPr>
              <w:pStyle w:val="Teksttabelinaglowek"/>
            </w:pPr>
            <w:r w:rsidRPr="00795F17">
              <w:t>1</w:t>
            </w:r>
            <w:r>
              <w:t>6</w:t>
            </w:r>
          </w:p>
        </w:tc>
        <w:tc>
          <w:tcPr>
            <w:tcW w:w="0" w:type="pct"/>
            <w:shd w:val="clear" w:color="auto" w:fill="D9D9D9" w:themeFill="background1" w:themeFillShade="D9"/>
          </w:tcPr>
          <w:p w14:paraId="1D31286D" w14:textId="41E9C25A" w:rsidR="00462DD4" w:rsidRPr="00795F17" w:rsidRDefault="009D4441" w:rsidP="008C0577">
            <w:pPr>
              <w:pStyle w:val="Teksttabelinaglowek"/>
            </w:pPr>
            <w:r>
              <w:t>3</w:t>
            </w:r>
          </w:p>
        </w:tc>
      </w:tr>
      <w:tr w:rsidR="00462DD4" w:rsidRPr="00795F17" w14:paraId="5C5D4CCA" w14:textId="77777777" w:rsidTr="00E44A84">
        <w:trPr>
          <w:trHeight w:val="454"/>
          <w:jc w:val="center"/>
        </w:trPr>
        <w:tc>
          <w:tcPr>
            <w:tcW w:w="1798" w:type="pct"/>
          </w:tcPr>
          <w:p w14:paraId="51BC1B74" w14:textId="77777777" w:rsidR="00462DD4" w:rsidRPr="00795F17" w:rsidRDefault="00462DD4" w:rsidP="0044393D">
            <w:pPr>
              <w:pStyle w:val="Teksttabelilewy"/>
            </w:pPr>
            <w:r w:rsidRPr="00795F17">
              <w:t>Dobry stan chemiczny</w:t>
            </w:r>
          </w:p>
        </w:tc>
        <w:tc>
          <w:tcPr>
            <w:tcW w:w="781" w:type="pct"/>
            <w:shd w:val="clear" w:color="auto" w:fill="F2F2F2" w:themeFill="background1" w:themeFillShade="F2"/>
          </w:tcPr>
          <w:p w14:paraId="38761313" w14:textId="77777777" w:rsidR="00462DD4" w:rsidRPr="00795F17" w:rsidRDefault="00462DD4" w:rsidP="0065243A">
            <w:pPr>
              <w:pStyle w:val="Teksttabelisrodek"/>
            </w:pPr>
            <w:r w:rsidRPr="00795F17">
              <w:t>1</w:t>
            </w:r>
          </w:p>
        </w:tc>
        <w:tc>
          <w:tcPr>
            <w:tcW w:w="783" w:type="pct"/>
          </w:tcPr>
          <w:p w14:paraId="24C699E5" w14:textId="3FD1CD50" w:rsidR="00462DD4" w:rsidRPr="00795F17" w:rsidRDefault="00186B9C" w:rsidP="0065243A">
            <w:pPr>
              <w:pStyle w:val="Teksttabelisrodek"/>
            </w:pPr>
            <w:r>
              <w:t>4</w:t>
            </w:r>
          </w:p>
        </w:tc>
        <w:tc>
          <w:tcPr>
            <w:tcW w:w="781" w:type="pct"/>
          </w:tcPr>
          <w:p w14:paraId="720A9F6F" w14:textId="77777777" w:rsidR="00462DD4" w:rsidRPr="00795F17" w:rsidRDefault="00462DD4" w:rsidP="0065243A">
            <w:pPr>
              <w:pStyle w:val="Teksttabelisrodek"/>
              <w:rPr>
                <w:color w:val="000000"/>
              </w:rPr>
            </w:pPr>
            <w:r w:rsidRPr="00795F17">
              <w:t>1</w:t>
            </w:r>
          </w:p>
        </w:tc>
        <w:tc>
          <w:tcPr>
            <w:tcW w:w="857" w:type="pct"/>
          </w:tcPr>
          <w:p w14:paraId="1C935CD6" w14:textId="6EBE4F00" w:rsidR="00462DD4" w:rsidRPr="00795F17" w:rsidRDefault="00186B9C" w:rsidP="0065243A">
            <w:pPr>
              <w:pStyle w:val="Teksttabelisrodek"/>
            </w:pPr>
            <w:r>
              <w:t>3</w:t>
            </w:r>
          </w:p>
        </w:tc>
      </w:tr>
      <w:tr w:rsidR="00462DD4" w:rsidRPr="00795F17" w14:paraId="358DF5E1" w14:textId="77777777" w:rsidTr="00E44A84">
        <w:trPr>
          <w:trHeight w:val="454"/>
          <w:jc w:val="center"/>
        </w:trPr>
        <w:tc>
          <w:tcPr>
            <w:tcW w:w="1798" w:type="pct"/>
          </w:tcPr>
          <w:p w14:paraId="0257D36E" w14:textId="77777777" w:rsidR="00462DD4" w:rsidRPr="00795F17" w:rsidRDefault="00462DD4" w:rsidP="0044393D">
            <w:pPr>
              <w:pStyle w:val="Teksttabelilewy"/>
            </w:pPr>
            <w:r w:rsidRPr="00795F17">
              <w:t>Stan chemiczny poniżej dobrego</w:t>
            </w:r>
          </w:p>
        </w:tc>
        <w:tc>
          <w:tcPr>
            <w:tcW w:w="781" w:type="pct"/>
            <w:shd w:val="clear" w:color="auto" w:fill="F2F2F2" w:themeFill="background1" w:themeFillShade="F2"/>
          </w:tcPr>
          <w:p w14:paraId="7E56C19A" w14:textId="77777777" w:rsidR="00462DD4" w:rsidRPr="00795F17" w:rsidRDefault="00462DD4" w:rsidP="0065243A">
            <w:pPr>
              <w:pStyle w:val="Teksttabelisrodek"/>
            </w:pPr>
            <w:r w:rsidRPr="00795F17">
              <w:t>18</w:t>
            </w:r>
          </w:p>
        </w:tc>
        <w:tc>
          <w:tcPr>
            <w:tcW w:w="783" w:type="pct"/>
          </w:tcPr>
          <w:p w14:paraId="614E3C50" w14:textId="15E9A425" w:rsidR="00462DD4" w:rsidRPr="00795F17" w:rsidRDefault="009D4441" w:rsidP="0065243A">
            <w:pPr>
              <w:pStyle w:val="Teksttabelisrodek"/>
            </w:pPr>
            <w:r w:rsidRPr="00795F17">
              <w:t>1</w:t>
            </w:r>
            <w:r>
              <w:t>5</w:t>
            </w:r>
          </w:p>
        </w:tc>
        <w:tc>
          <w:tcPr>
            <w:tcW w:w="781" w:type="pct"/>
          </w:tcPr>
          <w:p w14:paraId="116CB44A" w14:textId="06898011" w:rsidR="00462DD4" w:rsidRPr="00795F17" w:rsidRDefault="009D4441" w:rsidP="0065243A">
            <w:pPr>
              <w:pStyle w:val="Teksttabelisrodek"/>
              <w:rPr>
                <w:color w:val="000000"/>
              </w:rPr>
            </w:pPr>
            <w:r w:rsidRPr="00795F17">
              <w:t>1</w:t>
            </w:r>
            <w:r>
              <w:t>5</w:t>
            </w:r>
          </w:p>
        </w:tc>
        <w:tc>
          <w:tcPr>
            <w:tcW w:w="857" w:type="pct"/>
          </w:tcPr>
          <w:p w14:paraId="124D2B97" w14:textId="77777777" w:rsidR="00462DD4" w:rsidRPr="00795F17" w:rsidRDefault="00462DD4" w:rsidP="0065243A">
            <w:pPr>
              <w:pStyle w:val="Teksttabelisrodek"/>
            </w:pPr>
            <w:r w:rsidRPr="00795F17">
              <w:t>0</w:t>
            </w:r>
          </w:p>
        </w:tc>
      </w:tr>
      <w:tr w:rsidR="00462DD4" w:rsidRPr="00795F17" w14:paraId="3C4F60CC" w14:textId="77777777" w:rsidTr="009F7F19">
        <w:trPr>
          <w:trHeight w:val="344"/>
          <w:jc w:val="center"/>
        </w:trPr>
        <w:tc>
          <w:tcPr>
            <w:tcW w:w="0" w:type="pct"/>
            <w:shd w:val="clear" w:color="auto" w:fill="D9D9D9" w:themeFill="background1" w:themeFillShade="D9"/>
          </w:tcPr>
          <w:p w14:paraId="221E9128" w14:textId="77777777" w:rsidR="00462DD4" w:rsidRPr="00795F17" w:rsidRDefault="00462DD4" w:rsidP="005862B8">
            <w:pPr>
              <w:pStyle w:val="Teksttabelilewy"/>
              <w:rPr>
                <w:b/>
                <w:bCs/>
              </w:rPr>
            </w:pPr>
            <w:r w:rsidRPr="00795F17">
              <w:rPr>
                <w:b/>
                <w:bCs/>
              </w:rPr>
              <w:t>Stan wód</w:t>
            </w:r>
          </w:p>
        </w:tc>
        <w:tc>
          <w:tcPr>
            <w:tcW w:w="0" w:type="pct"/>
            <w:shd w:val="clear" w:color="auto" w:fill="D9D9D9" w:themeFill="background1" w:themeFillShade="D9"/>
          </w:tcPr>
          <w:p w14:paraId="09B36BE6" w14:textId="77777777" w:rsidR="00462DD4" w:rsidRPr="00795F17" w:rsidRDefault="00462DD4" w:rsidP="008C0577">
            <w:pPr>
              <w:pStyle w:val="Teksttabelinaglowek"/>
            </w:pPr>
            <w:r w:rsidRPr="00795F17">
              <w:t>19</w:t>
            </w:r>
          </w:p>
        </w:tc>
        <w:tc>
          <w:tcPr>
            <w:tcW w:w="0" w:type="pct"/>
            <w:shd w:val="clear" w:color="auto" w:fill="D9D9D9" w:themeFill="background1" w:themeFillShade="D9"/>
          </w:tcPr>
          <w:p w14:paraId="433F0B28" w14:textId="77777777" w:rsidR="00462DD4" w:rsidRPr="00795F17" w:rsidRDefault="00462DD4" w:rsidP="008C0577">
            <w:pPr>
              <w:pStyle w:val="Teksttabelinaglowek"/>
            </w:pPr>
            <w:r w:rsidRPr="00795F17">
              <w:t>18</w:t>
            </w:r>
          </w:p>
        </w:tc>
        <w:tc>
          <w:tcPr>
            <w:tcW w:w="0" w:type="pct"/>
            <w:shd w:val="clear" w:color="auto" w:fill="D9D9D9" w:themeFill="background1" w:themeFillShade="D9"/>
          </w:tcPr>
          <w:p w14:paraId="649BC4A3" w14:textId="6402BB61" w:rsidR="00462DD4" w:rsidRPr="00795F17" w:rsidRDefault="009D4441" w:rsidP="008C0577">
            <w:pPr>
              <w:pStyle w:val="Teksttabelinaglowek"/>
            </w:pPr>
            <w:r>
              <w:t>-</w:t>
            </w:r>
          </w:p>
        </w:tc>
        <w:tc>
          <w:tcPr>
            <w:tcW w:w="0" w:type="pct"/>
            <w:shd w:val="clear" w:color="auto" w:fill="D9D9D9" w:themeFill="background1" w:themeFillShade="D9"/>
          </w:tcPr>
          <w:p w14:paraId="46D38984" w14:textId="57DB62B6" w:rsidR="00462DD4" w:rsidRPr="00795F17" w:rsidRDefault="009D4441" w:rsidP="008C0577">
            <w:pPr>
              <w:pStyle w:val="Teksttabelinaglowek"/>
            </w:pPr>
            <w:r>
              <w:t>-</w:t>
            </w:r>
          </w:p>
        </w:tc>
      </w:tr>
      <w:tr w:rsidR="00462DD4" w:rsidRPr="00795F17" w14:paraId="49CBC1ED" w14:textId="77777777" w:rsidTr="00E44A84">
        <w:trPr>
          <w:trHeight w:val="454"/>
          <w:jc w:val="center"/>
        </w:trPr>
        <w:tc>
          <w:tcPr>
            <w:tcW w:w="1798" w:type="pct"/>
          </w:tcPr>
          <w:p w14:paraId="4C4155C3" w14:textId="77777777" w:rsidR="00462DD4" w:rsidRPr="00795F17" w:rsidRDefault="00462DD4" w:rsidP="0044393D">
            <w:pPr>
              <w:pStyle w:val="Teksttabelilewy"/>
            </w:pPr>
            <w:r w:rsidRPr="00795F17">
              <w:t>Dobry stan wód</w:t>
            </w:r>
          </w:p>
        </w:tc>
        <w:tc>
          <w:tcPr>
            <w:tcW w:w="781" w:type="pct"/>
            <w:shd w:val="clear" w:color="auto" w:fill="F2F2F2" w:themeFill="background1" w:themeFillShade="F2"/>
          </w:tcPr>
          <w:p w14:paraId="01840A03" w14:textId="77777777" w:rsidR="00462DD4" w:rsidRPr="00795F17" w:rsidRDefault="00462DD4" w:rsidP="0065243A">
            <w:pPr>
              <w:pStyle w:val="Teksttabelisrodek"/>
            </w:pPr>
            <w:r w:rsidRPr="00795F17">
              <w:t>0</w:t>
            </w:r>
          </w:p>
        </w:tc>
        <w:tc>
          <w:tcPr>
            <w:tcW w:w="783" w:type="pct"/>
          </w:tcPr>
          <w:p w14:paraId="4180C558" w14:textId="77777777" w:rsidR="00462DD4" w:rsidRPr="00795F17" w:rsidRDefault="00462DD4" w:rsidP="0065243A">
            <w:pPr>
              <w:pStyle w:val="Teksttabelisrodek"/>
            </w:pPr>
            <w:r w:rsidRPr="00795F17">
              <w:t>0</w:t>
            </w:r>
          </w:p>
        </w:tc>
        <w:tc>
          <w:tcPr>
            <w:tcW w:w="781" w:type="pct"/>
          </w:tcPr>
          <w:p w14:paraId="041F99EA" w14:textId="1666BE3B" w:rsidR="00462DD4" w:rsidRPr="00795F17" w:rsidRDefault="009D4441" w:rsidP="0065243A">
            <w:pPr>
              <w:pStyle w:val="Teksttabelisrodek"/>
            </w:pPr>
            <w:r>
              <w:t>-</w:t>
            </w:r>
          </w:p>
        </w:tc>
        <w:tc>
          <w:tcPr>
            <w:tcW w:w="857" w:type="pct"/>
          </w:tcPr>
          <w:p w14:paraId="4B6055E3" w14:textId="7E9C964D" w:rsidR="00462DD4" w:rsidRPr="00795F17" w:rsidRDefault="009D4441" w:rsidP="0065243A">
            <w:pPr>
              <w:pStyle w:val="Teksttabelisrodek"/>
            </w:pPr>
            <w:r>
              <w:t>-</w:t>
            </w:r>
          </w:p>
        </w:tc>
      </w:tr>
      <w:tr w:rsidR="00462DD4" w:rsidRPr="00795F17" w14:paraId="4B845C45" w14:textId="77777777" w:rsidTr="00E44A84">
        <w:trPr>
          <w:trHeight w:val="454"/>
          <w:jc w:val="center"/>
        </w:trPr>
        <w:tc>
          <w:tcPr>
            <w:tcW w:w="1798" w:type="pct"/>
          </w:tcPr>
          <w:p w14:paraId="28DB807C" w14:textId="77777777" w:rsidR="00462DD4" w:rsidRPr="00795F17" w:rsidRDefault="00462DD4" w:rsidP="0044393D">
            <w:pPr>
              <w:pStyle w:val="Teksttabelilewy"/>
            </w:pPr>
            <w:r w:rsidRPr="00795F17">
              <w:t>Zły stan wód</w:t>
            </w:r>
          </w:p>
        </w:tc>
        <w:tc>
          <w:tcPr>
            <w:tcW w:w="781" w:type="pct"/>
            <w:shd w:val="clear" w:color="auto" w:fill="F2F2F2" w:themeFill="background1" w:themeFillShade="F2"/>
          </w:tcPr>
          <w:p w14:paraId="07DCD14B" w14:textId="77777777" w:rsidR="00462DD4" w:rsidRPr="00795F17" w:rsidRDefault="00462DD4" w:rsidP="0065243A">
            <w:pPr>
              <w:pStyle w:val="Teksttabelisrodek"/>
            </w:pPr>
            <w:r w:rsidRPr="00795F17">
              <w:t>19</w:t>
            </w:r>
          </w:p>
        </w:tc>
        <w:tc>
          <w:tcPr>
            <w:tcW w:w="783" w:type="pct"/>
          </w:tcPr>
          <w:p w14:paraId="3D55DF39" w14:textId="77777777" w:rsidR="00462DD4" w:rsidRPr="00795F17" w:rsidRDefault="00462DD4" w:rsidP="0065243A">
            <w:pPr>
              <w:pStyle w:val="Teksttabelisrodek"/>
            </w:pPr>
            <w:r w:rsidRPr="00795F17">
              <w:t>18</w:t>
            </w:r>
          </w:p>
        </w:tc>
        <w:tc>
          <w:tcPr>
            <w:tcW w:w="781" w:type="pct"/>
          </w:tcPr>
          <w:p w14:paraId="2261514B" w14:textId="583F0301" w:rsidR="00462DD4" w:rsidRPr="00795F17" w:rsidRDefault="009D4441" w:rsidP="0065243A">
            <w:pPr>
              <w:pStyle w:val="Teksttabelisrodek"/>
            </w:pPr>
            <w:r>
              <w:t>-</w:t>
            </w:r>
          </w:p>
        </w:tc>
        <w:tc>
          <w:tcPr>
            <w:tcW w:w="857" w:type="pct"/>
          </w:tcPr>
          <w:p w14:paraId="0A787DF2" w14:textId="04632119" w:rsidR="00462DD4" w:rsidRPr="00795F17" w:rsidRDefault="009D4441" w:rsidP="0065243A">
            <w:pPr>
              <w:pStyle w:val="Teksttabelisrodek"/>
            </w:pPr>
            <w:r>
              <w:t>-</w:t>
            </w:r>
          </w:p>
        </w:tc>
      </w:tr>
    </w:tbl>
    <w:p w14:paraId="19160FDF" w14:textId="3EADA834" w:rsidR="00E44A84" w:rsidRPr="009F7F19" w:rsidRDefault="00E44A84" w:rsidP="00C812D8">
      <w:pPr>
        <w:pStyle w:val="Tabela-wyjasnieniapod"/>
      </w:pPr>
      <w:r w:rsidRPr="000D33FE">
        <w:t>Objaśnienia:</w:t>
      </w:r>
    </w:p>
    <w:p w14:paraId="2FD4951D" w14:textId="6F033BDC" w:rsidR="00462DD4" w:rsidRPr="00795F17" w:rsidRDefault="00462DD4" w:rsidP="00C812D8">
      <w:pPr>
        <w:pStyle w:val="Tabela-wyjasnieniapod"/>
      </w:pPr>
      <w:r w:rsidRPr="00795F17">
        <w:rPr>
          <w:vertAlign w:val="superscript"/>
        </w:rPr>
        <w:t>1)</w:t>
      </w:r>
      <w:r w:rsidR="00C015B6">
        <w:rPr>
          <w:vertAlign w:val="superscript"/>
        </w:rPr>
        <w:t xml:space="preserve"> </w:t>
      </w:r>
      <w:r w:rsidRPr="00795F17">
        <w:t>Ocena stanu na podstawie oceny 2014</w:t>
      </w:r>
      <w:r w:rsidR="001F5AA9">
        <w:t>–</w:t>
      </w:r>
      <w:r w:rsidRPr="00795F17">
        <w:t xml:space="preserve">2019 (GIOŚ) zgodnie z </w:t>
      </w:r>
      <w:r w:rsidR="00DF005E">
        <w:t>r.kl.jcwp</w:t>
      </w:r>
      <w:r w:rsidRPr="00795F17">
        <w:t xml:space="preserve"> w</w:t>
      </w:r>
      <w:r w:rsidR="00C015B6">
        <w:t>edłu</w:t>
      </w:r>
      <w:r w:rsidRPr="00795F17">
        <w:t xml:space="preserve">g klasyfikacji obowiązującej do </w:t>
      </w:r>
      <w:r w:rsidR="00C015B6">
        <w:t xml:space="preserve">1 stycznia </w:t>
      </w:r>
      <w:r w:rsidRPr="00795F17">
        <w:t>2022</w:t>
      </w:r>
      <w:r w:rsidR="00C605CD" w:rsidRPr="00795F17">
        <w:t> </w:t>
      </w:r>
      <w:r w:rsidRPr="00795F17">
        <w:t>r. przeniesiona na nowy układ planistyczny</w:t>
      </w:r>
      <w:r w:rsidR="001F5AA9">
        <w:t>.</w:t>
      </w:r>
    </w:p>
    <w:p w14:paraId="09694F68" w14:textId="5EC40756" w:rsidR="00462DD4" w:rsidRPr="00795F17" w:rsidRDefault="00462DD4" w:rsidP="00C812D8">
      <w:pPr>
        <w:pStyle w:val="Tabela-wyjasnieniapod"/>
      </w:pPr>
      <w:r w:rsidRPr="00795F17">
        <w:rPr>
          <w:vertAlign w:val="superscript"/>
        </w:rPr>
        <w:t>2)</w:t>
      </w:r>
      <w:r w:rsidR="00C015B6">
        <w:rPr>
          <w:vertAlign w:val="superscript"/>
        </w:rPr>
        <w:t xml:space="preserve"> </w:t>
      </w:r>
      <w:r w:rsidRPr="00795F17">
        <w:t>Ocena stanu na podstawie oceny 2014</w:t>
      </w:r>
      <w:r w:rsidR="001F5AA9">
        <w:t>–</w:t>
      </w:r>
      <w:r w:rsidRPr="00795F17">
        <w:t xml:space="preserve">2019 (GIOŚ) przeliczona zgodnie z </w:t>
      </w:r>
      <w:r w:rsidR="00DF005E">
        <w:t>r.kl.jcwp</w:t>
      </w:r>
      <w:r w:rsidRPr="00795F17">
        <w:t xml:space="preserve"> w</w:t>
      </w:r>
      <w:r w:rsidR="00C015B6">
        <w:t>edłu</w:t>
      </w:r>
      <w:r w:rsidRPr="00795F17">
        <w:t>g klasyfikacji obowiązującej od</w:t>
      </w:r>
      <w:r w:rsidR="006D242F" w:rsidRPr="00795F17">
        <w:t> </w:t>
      </w:r>
      <w:r w:rsidR="00C015B6">
        <w:t xml:space="preserve">1 stycznia </w:t>
      </w:r>
      <w:r w:rsidRPr="00795F17">
        <w:t>2022</w:t>
      </w:r>
      <w:r w:rsidR="006D242F" w:rsidRPr="00795F17">
        <w:t> </w:t>
      </w:r>
      <w:r w:rsidRPr="00795F17">
        <w:t>r.</w:t>
      </w:r>
    </w:p>
    <w:p w14:paraId="28180267" w14:textId="22B98AF6" w:rsidR="00462DD4" w:rsidRPr="00795F17" w:rsidRDefault="00462DD4" w:rsidP="00C812D8">
      <w:pPr>
        <w:pStyle w:val="Tabela-wyjasnieniapod"/>
      </w:pPr>
      <w:r w:rsidRPr="00795F17">
        <w:rPr>
          <w:vertAlign w:val="superscript"/>
        </w:rPr>
        <w:t>3)</w:t>
      </w:r>
      <w:r w:rsidR="00C015B6">
        <w:t xml:space="preserve"> </w:t>
      </w:r>
      <w:r w:rsidRPr="00795F17">
        <w:t xml:space="preserve">Ocena wykonana przy wykorzystaniu wyników Analizy znaczących oddziaływań </w:t>
      </w:r>
      <w:r w:rsidR="001F5AA9">
        <w:t>–</w:t>
      </w:r>
      <w:r w:rsidRPr="00795F17">
        <w:t xml:space="preserve"> </w:t>
      </w:r>
      <w:r w:rsidR="00DF005E">
        <w:t>JCWP</w:t>
      </w:r>
      <w:r w:rsidRPr="00795F17">
        <w:t xml:space="preserve"> (…) dla </w:t>
      </w:r>
      <w:r w:rsidR="00DF005E">
        <w:t>JCWP</w:t>
      </w:r>
      <w:r w:rsidRPr="00795F17">
        <w:t xml:space="preserve"> niemonitorowanych, dla</w:t>
      </w:r>
      <w:r w:rsidR="006D242F" w:rsidRPr="00795F17">
        <w:t> </w:t>
      </w:r>
      <w:r w:rsidRPr="00795F17">
        <w:t>których nie dokonano oceny stanu 2014</w:t>
      </w:r>
      <w:r w:rsidR="001F5AA9">
        <w:t>–</w:t>
      </w:r>
      <w:r w:rsidRPr="00795F17">
        <w:t>2019 (PMŚ), jest traktowana jako poglądowa, podlegająca weryfikacji w oparciu o nowe badania stanu wód, zrealizowane zgodnie z metodykami PMŚ, normami oraz przepisami w trakcie obowiązywania IIaPGW i akceptacji organu odpowiedzialnego za prowadzenie PMŚ.</w:t>
      </w:r>
    </w:p>
    <w:p w14:paraId="3C20F70B" w14:textId="0ED57AD9"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w:t>
      </w:r>
      <w:r w:rsidRPr="00795F17">
        <w:br/>
        <w:t xml:space="preserve"> Analizy znaczących oddziaływań </w:t>
      </w:r>
      <w:r w:rsidR="001F5AA9">
        <w:t>–</w:t>
      </w:r>
      <w:r w:rsidRPr="00795F17">
        <w:t xml:space="preserve"> </w:t>
      </w:r>
      <w:r w:rsidR="00DF005E">
        <w:t>JCWP</w:t>
      </w:r>
      <w:r w:rsidRPr="00795F17">
        <w:t xml:space="preserve"> (…)</w:t>
      </w:r>
    </w:p>
    <w:p w14:paraId="57B241BA" w14:textId="77794AE3" w:rsidR="00462DD4" w:rsidRPr="00795F17" w:rsidRDefault="00DF005E" w:rsidP="0044393D">
      <w:pPr>
        <w:pStyle w:val="Nagwek5"/>
      </w:pPr>
      <w:r>
        <w:t>JCWP</w:t>
      </w:r>
      <w:r w:rsidR="00462DD4" w:rsidRPr="00795F17">
        <w:t xml:space="preserve"> LW</w:t>
      </w:r>
    </w:p>
    <w:p w14:paraId="6C906983" w14:textId="24EB7968" w:rsidR="00462DD4" w:rsidRPr="00795F17" w:rsidRDefault="00462DD4" w:rsidP="0044393D">
      <w:r w:rsidRPr="00795F17">
        <w:t xml:space="preserve">Podsumowanie oceny stanu </w:t>
      </w:r>
      <w:r w:rsidR="00DF005E">
        <w:t>JCWP</w:t>
      </w:r>
      <w:r w:rsidRPr="00795F17">
        <w:t xml:space="preserve"> LW na obszarze dorzecza Odry, dokonanej na podstawie wyników monitoringu (ocena stanu GIOŚ 2014</w:t>
      </w:r>
      <w:r w:rsidR="001F5AA9">
        <w:t>–</w:t>
      </w:r>
      <w:r w:rsidRPr="00795F17">
        <w:t xml:space="preserve">2019), a w przypadku </w:t>
      </w:r>
      <w:r w:rsidR="00DF005E">
        <w:t>JCWP</w:t>
      </w:r>
      <w:r w:rsidRPr="00795F17">
        <w:t xml:space="preserve"> niemonitorowanych </w:t>
      </w:r>
      <w:r w:rsidR="001F5AA9">
        <w:t>–</w:t>
      </w:r>
      <w:r w:rsidRPr="00795F17">
        <w:t xml:space="preserve"> wyników analizy eksperckiej dla okresu od </w:t>
      </w:r>
      <w:r w:rsidR="00442820">
        <w:t xml:space="preserve">1 stycznia </w:t>
      </w:r>
      <w:r w:rsidRPr="00795F17">
        <w:t>2022 r., przedstawiono poniżej.</w:t>
      </w:r>
    </w:p>
    <w:p w14:paraId="7B2CCAD6" w14:textId="7FCE8A84" w:rsidR="00462DD4" w:rsidRPr="00795F17" w:rsidRDefault="00462DD4" w:rsidP="0044393D">
      <w:r w:rsidRPr="00795F17">
        <w:t>Na podstawie oceny stanu 2014</w:t>
      </w:r>
      <w:r w:rsidR="00EC4A0D">
        <w:t>–</w:t>
      </w:r>
      <w:r w:rsidRPr="00795F17">
        <w:t xml:space="preserve">2019 (GIOŚ) dla </w:t>
      </w:r>
      <w:r w:rsidR="00DF005E">
        <w:t>JCWP</w:t>
      </w:r>
      <w:r w:rsidRPr="00795F17">
        <w:t xml:space="preserve"> LW w układzie planistycznym obowiązującym dla cyklu planistycznego aPGW (2016</w:t>
      </w:r>
      <w:r w:rsidR="001F5AA9">
        <w:t>–</w:t>
      </w:r>
      <w:r w:rsidRPr="00795F17">
        <w:t xml:space="preserve">2021) oceny stanu dokonano dla 409 </w:t>
      </w:r>
      <w:r w:rsidR="00DF005E">
        <w:t>JCWP</w:t>
      </w:r>
      <w:r w:rsidRPr="00795F17">
        <w:t xml:space="preserve"> LW (96,9% ogólnej liczby </w:t>
      </w:r>
      <w:r w:rsidR="00DF005E">
        <w:t>JCWP</w:t>
      </w:r>
      <w:r w:rsidRPr="00795F17">
        <w:t xml:space="preserve"> LW), w tym dla 115 </w:t>
      </w:r>
      <w:r w:rsidR="00DF005E">
        <w:t>JCWP</w:t>
      </w:r>
      <w:r w:rsidRPr="00795F17">
        <w:t xml:space="preserve"> LW była to ocena z przeniesienia</w:t>
      </w:r>
      <w:r w:rsidRPr="00795F17">
        <w:rPr>
          <w:rStyle w:val="Odwoanieprzypisudolnego"/>
        </w:rPr>
        <w:footnoteReference w:id="32"/>
      </w:r>
      <w:r w:rsidRPr="00795F17">
        <w:t xml:space="preserve">. </w:t>
      </w:r>
    </w:p>
    <w:p w14:paraId="006E6483" w14:textId="2595EDA1" w:rsidR="00462DD4" w:rsidRPr="00795F17" w:rsidRDefault="00462DD4" w:rsidP="0044393D">
      <w:r w:rsidRPr="00795F17">
        <w:t xml:space="preserve">Z uwagi na dokonane zmiany granic </w:t>
      </w:r>
      <w:r w:rsidR="00DF005E">
        <w:t>JCWP</w:t>
      </w:r>
      <w:r w:rsidRPr="00795F17">
        <w:t xml:space="preserve">, prezentowane poniżej dane dotyczące aktualnie obowiązującego układu jednostek planistycznych, w przypadku wskazywania liczby </w:t>
      </w:r>
      <w:r w:rsidR="00DF005E">
        <w:t>JCWP</w:t>
      </w:r>
      <w:r w:rsidRPr="00795F17">
        <w:t xml:space="preserve"> bez oceny stanu, interpretowane powinny być, jako </w:t>
      </w:r>
      <w:r w:rsidR="00DF005E">
        <w:t>JCWP</w:t>
      </w:r>
      <w:r w:rsidRPr="00795F17">
        <w:t xml:space="preserve"> bez oceny stanu przeniesionej na nowy układ planistyczny.</w:t>
      </w:r>
    </w:p>
    <w:p w14:paraId="2612B74E" w14:textId="74EDAD64" w:rsidR="00462DD4" w:rsidRPr="00795F17" w:rsidRDefault="00462DD4" w:rsidP="0044393D">
      <w:r w:rsidRPr="00795F17">
        <w:t xml:space="preserve">Informacje o aktualnej ocenie stanu danej </w:t>
      </w:r>
      <w:r w:rsidR="00DF005E">
        <w:t>JCWP</w:t>
      </w:r>
      <w:r w:rsidRPr="00795F17">
        <w:t xml:space="preserve"> zaprezentowane są w załączniku nr 1</w:t>
      </w:r>
      <w:r w:rsidR="00D146C3" w:rsidRPr="00795F17">
        <w:t xml:space="preserve"> </w:t>
      </w:r>
      <w:r w:rsidRPr="00795F17">
        <w:t>(Zestawienie główne), zobrazowania mapowe ocen stanu przedstawione zostały w załącznik</w:t>
      </w:r>
      <w:r w:rsidR="00B25386" w:rsidRPr="00795F17">
        <w:t>u</w:t>
      </w:r>
      <w:r w:rsidRPr="00795F17">
        <w:t xml:space="preserve"> graficzny</w:t>
      </w:r>
      <w:r w:rsidR="00B25386" w:rsidRPr="00795F17">
        <w:t>m</w:t>
      </w:r>
      <w:r w:rsidRPr="00795F17">
        <w:t xml:space="preserve"> </w:t>
      </w:r>
      <w:r w:rsidR="0075020A">
        <w:t xml:space="preserve">nr </w:t>
      </w:r>
      <w:r w:rsidR="00061CD8">
        <w:t>17</w:t>
      </w:r>
      <w:r w:rsidRPr="00795F17">
        <w:t>.</w:t>
      </w:r>
    </w:p>
    <w:p w14:paraId="370EEA47" w14:textId="21552ABD" w:rsidR="00462DD4" w:rsidRPr="00795F17" w:rsidRDefault="00462DD4" w:rsidP="0044393D">
      <w:r w:rsidRPr="00795F17">
        <w:t xml:space="preserve">Podsumowanie liczby </w:t>
      </w:r>
      <w:r w:rsidR="00DF005E">
        <w:t>JCWP</w:t>
      </w:r>
      <w:r w:rsidRPr="00795F17">
        <w:t xml:space="preserve"> LW z uzyskaną oceną stanu w odniesieniu do poszczególnych regionów wodnych obszaru dorzecza Odry prezentuje poniższa tabela. W tabeli</w:t>
      </w:r>
      <w:r w:rsidR="00B14FD9" w:rsidRPr="00795F17">
        <w:t xml:space="preserve"> 5-17</w:t>
      </w:r>
      <w:r w:rsidRPr="00795F17">
        <w:t xml:space="preserve"> uwzględnione zostały zarówno wyniki oceny stanu 2014</w:t>
      </w:r>
      <w:r w:rsidR="001F5AA9">
        <w:t>–</w:t>
      </w:r>
      <w:r w:rsidRPr="00795F17">
        <w:t>2019 w</w:t>
      </w:r>
      <w:r w:rsidR="00442820">
        <w:t>edłu</w:t>
      </w:r>
      <w:r w:rsidRPr="00795F17">
        <w:t>g klasyfikacji obowiązującej do roku 2022, jak również poglądowo zmiany w ocenie stanu przy zastosowaniu sposobu klasyfikacji w</w:t>
      </w:r>
      <w:r w:rsidR="00442820">
        <w:t>edłu</w:t>
      </w:r>
      <w:r w:rsidRPr="00795F17">
        <w:t xml:space="preserve">g </w:t>
      </w:r>
      <w:r w:rsidR="00DF005E">
        <w:t>r.kl.jcwp</w:t>
      </w:r>
      <w:r w:rsidRPr="00795F17">
        <w:t xml:space="preserve"> obowiązującego od roku 2022 oraz wartości PE dla SZCW przedstawionych w zał</w:t>
      </w:r>
      <w:r w:rsidR="00F03D23" w:rsidRPr="00795F17">
        <w:t xml:space="preserve">ączniku </w:t>
      </w:r>
      <w:r w:rsidR="0075020A">
        <w:t xml:space="preserve">nr </w:t>
      </w:r>
      <w:r w:rsidR="00AE27DD">
        <w:t>4</w:t>
      </w:r>
      <w:r w:rsidRPr="00795F17">
        <w:t xml:space="preserve"> </w:t>
      </w:r>
      <w:r w:rsidR="00F03D23" w:rsidRPr="00795F17">
        <w:t xml:space="preserve">(Wartości graniczne SCW i SZCW) dla </w:t>
      </w:r>
      <w:r w:rsidRPr="00795F17">
        <w:t>IIaPGW.</w:t>
      </w:r>
      <w:r w:rsidR="00A04E79" w:rsidRPr="00795F17">
        <w:t xml:space="preserve"> Udział procentowy </w:t>
      </w:r>
      <w:r w:rsidR="00DF005E">
        <w:t>JCWP</w:t>
      </w:r>
      <w:r w:rsidR="00A04E79" w:rsidRPr="00795F17">
        <w:t xml:space="preserve"> bez wykonanej oceny w</w:t>
      </w:r>
      <w:r w:rsidR="00442820">
        <w:t>edłu</w:t>
      </w:r>
      <w:r w:rsidR="00A04E79" w:rsidRPr="00795F17">
        <w:t>g obydwu klasyfikacji przedstawiają wykresy 5-7 i 5-8.</w:t>
      </w:r>
    </w:p>
    <w:p w14:paraId="523E7AF3" w14:textId="08C65C8B" w:rsidR="00462DD4" w:rsidRPr="00795F17" w:rsidRDefault="00462DD4" w:rsidP="004D7705">
      <w:pPr>
        <w:pStyle w:val="Tabela"/>
      </w:pPr>
      <w:bookmarkStart w:id="181" w:name="_Toc66341872"/>
      <w:bookmarkStart w:id="182" w:name="_Toc105512781"/>
      <w:r w:rsidRPr="00795F17">
        <w:t xml:space="preserve">Tabela </w:t>
      </w:r>
      <w:fldSimple w:instr=" STYLEREF 1 \s ">
        <w:r w:rsidR="001F774D">
          <w:rPr>
            <w:noProof/>
          </w:rPr>
          <w:t>5</w:t>
        </w:r>
      </w:fldSimple>
      <w:r w:rsidR="00BB3B21" w:rsidRPr="00795F17">
        <w:noBreakHyphen/>
      </w:r>
      <w:fldSimple w:instr=" SEQ Tabela \* ARABIC \s 1 ">
        <w:r w:rsidR="001F774D">
          <w:rPr>
            <w:noProof/>
          </w:rPr>
          <w:t>17</w:t>
        </w:r>
      </w:fldSimple>
      <w:r w:rsidR="00BA11D4">
        <w:rPr>
          <w:noProof/>
        </w:rPr>
        <w:t>.</w:t>
      </w:r>
      <w:r w:rsidRPr="00795F17">
        <w:tab/>
        <w:t xml:space="preserve">Liczba </w:t>
      </w:r>
      <w:r w:rsidR="00DF005E">
        <w:t>JCWP</w:t>
      </w:r>
      <w:r w:rsidRPr="00795F17">
        <w:t xml:space="preserve"> LW zagrożonych nieosiągnięciem celów środowiskowych wraz z określeniem liczby </w:t>
      </w:r>
      <w:r w:rsidR="00DF005E">
        <w:t>JCWP</w:t>
      </w:r>
      <w:r w:rsidRPr="00795F17">
        <w:t xml:space="preserve"> LW z oceną stanu w podziale na regiony wodne obszaru dorzecza Odry</w:t>
      </w:r>
      <w:bookmarkEnd w:id="181"/>
      <w:bookmarkEnd w:id="182"/>
    </w:p>
    <w:tbl>
      <w:tblPr>
        <w:tblW w:w="9134" w:type="dxa"/>
        <w:tblInd w:w="75" w:type="dxa"/>
        <w:tblLayout w:type="fixed"/>
        <w:tblCellMar>
          <w:left w:w="70" w:type="dxa"/>
          <w:right w:w="70" w:type="dxa"/>
        </w:tblCellMar>
        <w:tblLook w:val="04A0" w:firstRow="1" w:lastRow="0" w:firstColumn="1" w:lastColumn="0" w:noHBand="0" w:noVBand="1"/>
      </w:tblPr>
      <w:tblGrid>
        <w:gridCol w:w="1616"/>
        <w:gridCol w:w="708"/>
        <w:gridCol w:w="1276"/>
        <w:gridCol w:w="1276"/>
        <w:gridCol w:w="1064"/>
        <w:gridCol w:w="1065"/>
        <w:gridCol w:w="1137"/>
        <w:gridCol w:w="992"/>
      </w:tblGrid>
      <w:tr w:rsidR="00462DD4" w:rsidRPr="00795F17" w14:paraId="4FAA4C14" w14:textId="77777777" w:rsidTr="00DC4CCC">
        <w:trPr>
          <w:trHeight w:val="454"/>
          <w:tblHeader/>
        </w:trPr>
        <w:tc>
          <w:tcPr>
            <w:tcW w:w="161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1FF93A5" w14:textId="77777777" w:rsidR="00462DD4" w:rsidRPr="00795F17" w:rsidRDefault="00462DD4" w:rsidP="0044393D">
            <w:pPr>
              <w:pStyle w:val="Teksttabelinaglowek"/>
            </w:pPr>
            <w:r w:rsidRPr="00795F17">
              <w:t>Region wodny obszaru dorzecza Odry</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4CFF2D8" w14:textId="49437BB0" w:rsidR="00462DD4" w:rsidRPr="00795F17" w:rsidRDefault="00462DD4" w:rsidP="0044393D">
            <w:pPr>
              <w:pStyle w:val="Teksttabelinaglowek"/>
            </w:pPr>
            <w:r w:rsidRPr="00795F17">
              <w:t xml:space="preserve">Liczba </w:t>
            </w:r>
            <w:r w:rsidR="00DF005E">
              <w:t>JCWP</w:t>
            </w:r>
            <w:r w:rsidRPr="00795F17">
              <w:t xml:space="preserve"> </w:t>
            </w:r>
            <w:r w:rsidR="008C3122" w:rsidRPr="00795F17">
              <w:t>LW</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A3EA0A" w14:textId="69CFF343" w:rsidR="00462DD4" w:rsidRPr="00795F17" w:rsidRDefault="00462DD4" w:rsidP="0044393D">
            <w:pPr>
              <w:pStyle w:val="Teksttabelinaglowek"/>
            </w:pPr>
            <w:r w:rsidRPr="00795F17">
              <w:t xml:space="preserve">Liczba </w:t>
            </w:r>
            <w:r w:rsidR="00DF005E">
              <w:t>JCWP</w:t>
            </w:r>
            <w:r w:rsidRPr="00795F17">
              <w:t xml:space="preserve"> </w:t>
            </w:r>
            <w:r w:rsidR="008C3122" w:rsidRPr="00795F17">
              <w:t xml:space="preserve">LW </w:t>
            </w:r>
            <w:r w:rsidRPr="00795F17">
              <w:t>zagrożonych</w:t>
            </w:r>
            <w:r w:rsidRPr="00795F17">
              <w:rPr>
                <w:vertAlign w:val="superscript"/>
              </w:rPr>
              <w:t>1</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3564380" w14:textId="429E1637" w:rsidR="00462DD4" w:rsidRPr="00795F17" w:rsidRDefault="00462DD4" w:rsidP="0044393D">
            <w:pPr>
              <w:pStyle w:val="Teksttabelinaglowek"/>
            </w:pPr>
            <w:r w:rsidRPr="00795F17">
              <w:t xml:space="preserve">Udział </w:t>
            </w:r>
            <w:r w:rsidR="008C3122" w:rsidRPr="00795F17">
              <w:t xml:space="preserve">% </w:t>
            </w:r>
            <w:r w:rsidR="00DF005E">
              <w:t>JCWP</w:t>
            </w:r>
            <w:r w:rsidRPr="00795F17">
              <w:t xml:space="preserve"> </w:t>
            </w:r>
            <w:r w:rsidR="008C3122" w:rsidRPr="00795F17">
              <w:t xml:space="preserve">LW </w:t>
            </w:r>
            <w:r w:rsidRPr="00795F17">
              <w:t>zagrożonych</w:t>
            </w:r>
            <w:r w:rsidRPr="00795F17">
              <w:rPr>
                <w:vertAlign w:val="superscript"/>
              </w:rPr>
              <w:t>1</w:t>
            </w:r>
          </w:p>
        </w:tc>
        <w:tc>
          <w:tcPr>
            <w:tcW w:w="2129"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1F682C04" w14:textId="76F5DC3F" w:rsidR="00462DD4" w:rsidRPr="00795F17" w:rsidRDefault="00462DD4" w:rsidP="0044393D">
            <w:pPr>
              <w:pStyle w:val="Teksttabelinaglowek"/>
            </w:pPr>
            <w:r w:rsidRPr="00795F17">
              <w:t xml:space="preserve">Liczba </w:t>
            </w:r>
            <w:r w:rsidR="00DF005E">
              <w:t>JCWP</w:t>
            </w:r>
            <w:r w:rsidRPr="00795F17">
              <w:t xml:space="preserve"> </w:t>
            </w:r>
            <w:r w:rsidR="008C3122" w:rsidRPr="00795F17">
              <w:t>LW</w:t>
            </w:r>
            <w:r w:rsidRPr="00795F17">
              <w:t xml:space="preserve"> z oceną stanu </w:t>
            </w:r>
            <w:r w:rsidR="00DF005E">
              <w:t>r.kl.jcwp</w:t>
            </w:r>
            <w:r w:rsidR="00BC32D5">
              <w:br/>
            </w:r>
            <w:r w:rsidRPr="00795F17">
              <w:t xml:space="preserve"> do 2022</w:t>
            </w:r>
            <w:r w:rsidR="00494D1A">
              <w:t xml:space="preserve"> r.</w:t>
            </w:r>
          </w:p>
        </w:tc>
        <w:tc>
          <w:tcPr>
            <w:tcW w:w="2129"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7A6D56DD" w14:textId="55A9AAB8" w:rsidR="00462DD4" w:rsidRPr="00795F17" w:rsidRDefault="00462DD4" w:rsidP="0044393D">
            <w:pPr>
              <w:pStyle w:val="Teksttabelinaglowek"/>
            </w:pPr>
            <w:r w:rsidRPr="00795F17">
              <w:t xml:space="preserve">Liczba </w:t>
            </w:r>
            <w:r w:rsidR="00DF005E">
              <w:t>JCWP</w:t>
            </w:r>
            <w:r w:rsidRPr="00795F17">
              <w:t xml:space="preserve"> </w:t>
            </w:r>
            <w:r w:rsidR="008C3122" w:rsidRPr="00795F17">
              <w:t>L</w:t>
            </w:r>
            <w:r w:rsidRPr="00795F17">
              <w:t xml:space="preserve">W z oceną stanu </w:t>
            </w:r>
            <w:r w:rsidR="00DF005E">
              <w:t>r.kl.jcwp</w:t>
            </w:r>
            <w:r w:rsidRPr="00795F17">
              <w:t xml:space="preserve"> </w:t>
            </w:r>
            <w:r w:rsidR="00BC32D5">
              <w:br/>
            </w:r>
            <w:r w:rsidRPr="00795F17">
              <w:t>od 2022</w:t>
            </w:r>
            <w:r w:rsidR="00494D1A">
              <w:t xml:space="preserve"> r.</w:t>
            </w:r>
          </w:p>
        </w:tc>
      </w:tr>
      <w:tr w:rsidR="00462DD4" w:rsidRPr="00795F17" w14:paraId="3A4EC999" w14:textId="77777777" w:rsidTr="00DC4CCC">
        <w:trPr>
          <w:trHeight w:val="454"/>
          <w:tblHeader/>
        </w:trPr>
        <w:tc>
          <w:tcPr>
            <w:tcW w:w="161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357567" w14:textId="77777777" w:rsidR="00462DD4" w:rsidRPr="00795F17" w:rsidRDefault="00462DD4" w:rsidP="0044393D">
            <w:pPr>
              <w:pStyle w:val="Teksttabelinaglowek"/>
            </w:pPr>
          </w:p>
        </w:tc>
        <w:tc>
          <w:tcPr>
            <w:tcW w:w="708"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4E5DDF7" w14:textId="77777777" w:rsidR="00462DD4" w:rsidRPr="00795F17" w:rsidRDefault="00462DD4" w:rsidP="0044393D">
            <w:pPr>
              <w:pStyle w:val="Teksttabelinaglowek"/>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18115A3" w14:textId="77777777" w:rsidR="00462DD4" w:rsidRPr="00795F17" w:rsidRDefault="00462DD4" w:rsidP="0044393D">
            <w:pPr>
              <w:pStyle w:val="Teksttabelinaglowek"/>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27DDF1" w14:textId="77777777" w:rsidR="00462DD4" w:rsidRPr="00795F17" w:rsidRDefault="00462DD4" w:rsidP="0044393D">
            <w:pPr>
              <w:pStyle w:val="Teksttabelinaglowek"/>
            </w:pPr>
          </w:p>
        </w:tc>
        <w:tc>
          <w:tcPr>
            <w:tcW w:w="1064"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647A2437" w14:textId="77777777" w:rsidR="00462DD4" w:rsidRPr="00795F17" w:rsidRDefault="00462DD4" w:rsidP="0044393D">
            <w:pPr>
              <w:pStyle w:val="Teksttabelinaglowek"/>
            </w:pPr>
            <w:r w:rsidRPr="00795F17">
              <w:t>ocena stanu (PMŚ)</w:t>
            </w:r>
            <w:r w:rsidRPr="00795F17">
              <w:rPr>
                <w:vertAlign w:val="superscript"/>
              </w:rPr>
              <w:t>2</w:t>
            </w:r>
          </w:p>
        </w:tc>
        <w:tc>
          <w:tcPr>
            <w:tcW w:w="1065" w:type="dxa"/>
            <w:tcBorders>
              <w:top w:val="nil"/>
              <w:left w:val="single" w:sz="4" w:space="0" w:color="auto"/>
              <w:bottom w:val="single" w:sz="4" w:space="0" w:color="auto"/>
              <w:right w:val="single" w:sz="4" w:space="0" w:color="auto"/>
            </w:tcBorders>
            <w:shd w:val="clear" w:color="auto" w:fill="BFBFBF" w:themeFill="background1" w:themeFillShade="BF"/>
            <w:vAlign w:val="center"/>
          </w:tcPr>
          <w:p w14:paraId="3CCC3EA1" w14:textId="7C3AA4CF" w:rsidR="00462DD4" w:rsidRPr="00795F17" w:rsidRDefault="00462DD4" w:rsidP="0044393D">
            <w:pPr>
              <w:pStyle w:val="Teksttabelinaglowek"/>
            </w:pPr>
            <w:r w:rsidRPr="00795F17">
              <w:t>udział</w:t>
            </w:r>
            <w:r w:rsidR="008C3122" w:rsidRPr="00795F17">
              <w:t xml:space="preserve"> </w:t>
            </w:r>
            <w:r w:rsidR="00DF005E">
              <w:t>JCWP</w:t>
            </w:r>
            <w:r w:rsidRPr="00795F17">
              <w:t xml:space="preserve"> bez oceny stanu</w:t>
            </w:r>
            <w:r w:rsidRPr="00795F17">
              <w:rPr>
                <w:vertAlign w:val="superscript"/>
              </w:rPr>
              <w:t>2</w:t>
            </w:r>
            <w:r w:rsidR="003B4649" w:rsidRPr="00795F17">
              <w:rPr>
                <w:vertAlign w:val="superscript"/>
              </w:rPr>
              <w:t xml:space="preserve"> </w:t>
            </w:r>
            <w:r w:rsidR="003B4649" w:rsidRPr="00795F17">
              <w:t>(%)</w:t>
            </w:r>
          </w:p>
        </w:tc>
        <w:tc>
          <w:tcPr>
            <w:tcW w:w="1137"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028B6881" w14:textId="77777777" w:rsidR="00462DD4" w:rsidRPr="00795F17" w:rsidRDefault="00462DD4" w:rsidP="0044393D">
            <w:pPr>
              <w:pStyle w:val="Teksttabelinaglowek"/>
            </w:pPr>
            <w:r w:rsidRPr="00795F17">
              <w:t>ocena stanu (PMŚ+EKS)</w:t>
            </w:r>
            <w:r w:rsidRPr="00795F17">
              <w:rPr>
                <w:vertAlign w:val="superscript"/>
              </w:rPr>
              <w:t>3</w:t>
            </w:r>
          </w:p>
        </w:tc>
        <w:tc>
          <w:tcPr>
            <w:tcW w:w="992" w:type="dxa"/>
            <w:tcBorders>
              <w:top w:val="nil"/>
              <w:left w:val="nil"/>
              <w:bottom w:val="single" w:sz="4" w:space="0" w:color="auto"/>
              <w:right w:val="single" w:sz="4" w:space="0" w:color="auto"/>
            </w:tcBorders>
            <w:shd w:val="clear" w:color="auto" w:fill="BFBFBF" w:themeFill="background1" w:themeFillShade="BF"/>
            <w:vAlign w:val="center"/>
            <w:hideMark/>
          </w:tcPr>
          <w:p w14:paraId="3934D150" w14:textId="34BD2D2B" w:rsidR="00462DD4" w:rsidRPr="00795F17" w:rsidRDefault="00462DD4" w:rsidP="0044393D">
            <w:pPr>
              <w:pStyle w:val="Teksttabelinaglowek"/>
            </w:pPr>
            <w:r w:rsidRPr="00795F17">
              <w:t>udział</w:t>
            </w:r>
            <w:r w:rsidR="008C3122" w:rsidRPr="00795F17">
              <w:t xml:space="preserve"> </w:t>
            </w:r>
            <w:r w:rsidR="00DF005E">
              <w:t>JCWP</w:t>
            </w:r>
            <w:r w:rsidRPr="00795F17">
              <w:t xml:space="preserve"> bez oceny stanu</w:t>
            </w:r>
            <w:r w:rsidRPr="00795F17">
              <w:rPr>
                <w:vertAlign w:val="superscript"/>
              </w:rPr>
              <w:t>3</w:t>
            </w:r>
            <w:r w:rsidR="003B4649" w:rsidRPr="00795F17">
              <w:rPr>
                <w:vertAlign w:val="superscript"/>
              </w:rPr>
              <w:t xml:space="preserve"> </w:t>
            </w:r>
            <w:r w:rsidR="003B4649" w:rsidRPr="00795F17">
              <w:t>(%)</w:t>
            </w:r>
          </w:p>
        </w:tc>
      </w:tr>
      <w:tr w:rsidR="00462DD4" w:rsidRPr="00795F17" w14:paraId="004D26A2" w14:textId="77777777" w:rsidTr="00DC4CCC">
        <w:trPr>
          <w:trHeight w:val="454"/>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7B98D3C3" w14:textId="77777777" w:rsidR="00462DD4" w:rsidRPr="00795F17" w:rsidRDefault="00462DD4" w:rsidP="0044393D">
            <w:pPr>
              <w:pStyle w:val="Teksttabelilewy"/>
            </w:pPr>
            <w:r w:rsidRPr="00795F17">
              <w:t>Górnej Odry</w:t>
            </w:r>
          </w:p>
        </w:tc>
        <w:tc>
          <w:tcPr>
            <w:tcW w:w="708" w:type="dxa"/>
            <w:tcBorders>
              <w:top w:val="nil"/>
              <w:left w:val="nil"/>
              <w:bottom w:val="single" w:sz="4" w:space="0" w:color="2F75B5"/>
              <w:right w:val="single" w:sz="4" w:space="0" w:color="2F75B5"/>
            </w:tcBorders>
            <w:shd w:val="clear" w:color="auto" w:fill="auto"/>
            <w:noWrap/>
            <w:vAlign w:val="center"/>
            <w:hideMark/>
          </w:tcPr>
          <w:p w14:paraId="3100D03C" w14:textId="77777777" w:rsidR="00462DD4" w:rsidRPr="00795F17" w:rsidRDefault="00462DD4" w:rsidP="0065243A">
            <w:pPr>
              <w:pStyle w:val="Teksttabelisrodek"/>
            </w:pPr>
            <w:r w:rsidRPr="00795F17">
              <w:t>1</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074152F6" w14:textId="77777777" w:rsidR="00462DD4" w:rsidRPr="00795F17" w:rsidRDefault="00462DD4" w:rsidP="0065243A">
            <w:pPr>
              <w:pStyle w:val="Teksttabelisrodek"/>
            </w:pPr>
            <w:r w:rsidRPr="00795F17">
              <w:t>1</w:t>
            </w:r>
          </w:p>
        </w:tc>
        <w:tc>
          <w:tcPr>
            <w:tcW w:w="1276" w:type="dxa"/>
            <w:tcBorders>
              <w:top w:val="nil"/>
              <w:left w:val="nil"/>
              <w:bottom w:val="single" w:sz="4" w:space="0" w:color="auto"/>
              <w:right w:val="single" w:sz="4" w:space="0" w:color="auto"/>
            </w:tcBorders>
            <w:shd w:val="clear" w:color="auto" w:fill="auto"/>
            <w:noWrap/>
            <w:vAlign w:val="center"/>
            <w:hideMark/>
          </w:tcPr>
          <w:p w14:paraId="70184D94" w14:textId="68F89F74" w:rsidR="00462DD4" w:rsidRPr="00795F17" w:rsidRDefault="00462DD4" w:rsidP="0065243A">
            <w:pPr>
              <w:pStyle w:val="Teksttabelisrodek"/>
            </w:pPr>
            <w:r w:rsidRPr="00795F17">
              <w:t>100</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6F651907" w14:textId="77777777" w:rsidR="00462DD4" w:rsidRPr="00795F17" w:rsidRDefault="00462DD4" w:rsidP="0065243A">
            <w:pPr>
              <w:pStyle w:val="Teksttabelisrodek"/>
            </w:pPr>
            <w:r w:rsidRPr="00795F17">
              <w:t>0</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147E21E6" w14:textId="31A49DFB" w:rsidR="00462DD4" w:rsidRPr="00795F17" w:rsidRDefault="00462DD4" w:rsidP="0065243A">
            <w:pPr>
              <w:pStyle w:val="Teksttabelisrodek"/>
            </w:pPr>
            <w:r w:rsidRPr="00795F17">
              <w:t>100</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45E72DE0" w14:textId="77777777" w:rsidR="00462DD4" w:rsidRPr="00795F17" w:rsidRDefault="00462DD4" w:rsidP="0065243A">
            <w:pPr>
              <w:pStyle w:val="Teksttabelisrodek"/>
            </w:pPr>
            <w:r w:rsidRPr="00795F17">
              <w:t>0</w:t>
            </w:r>
          </w:p>
        </w:tc>
        <w:tc>
          <w:tcPr>
            <w:tcW w:w="992" w:type="dxa"/>
            <w:tcBorders>
              <w:top w:val="nil"/>
              <w:left w:val="nil"/>
              <w:bottom w:val="single" w:sz="4" w:space="0" w:color="auto"/>
              <w:right w:val="single" w:sz="4" w:space="0" w:color="auto"/>
            </w:tcBorders>
            <w:shd w:val="clear" w:color="auto" w:fill="auto"/>
            <w:vAlign w:val="center"/>
            <w:hideMark/>
          </w:tcPr>
          <w:p w14:paraId="50D7C27D" w14:textId="2DDD8AE8" w:rsidR="00462DD4" w:rsidRPr="00795F17" w:rsidRDefault="00462DD4" w:rsidP="0065243A">
            <w:pPr>
              <w:pStyle w:val="Teksttabelisrodek"/>
            </w:pPr>
            <w:r w:rsidRPr="00795F17">
              <w:t>100</w:t>
            </w:r>
          </w:p>
        </w:tc>
      </w:tr>
      <w:tr w:rsidR="00462DD4" w:rsidRPr="00795F17" w14:paraId="7696B963" w14:textId="77777777" w:rsidTr="00DC4CCC">
        <w:trPr>
          <w:trHeight w:val="454"/>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2ACFB393" w14:textId="77777777" w:rsidR="00462DD4" w:rsidRPr="00795F17" w:rsidRDefault="00462DD4" w:rsidP="0044393D">
            <w:pPr>
              <w:pStyle w:val="Teksttabelilewy"/>
            </w:pPr>
            <w:r w:rsidRPr="00795F17">
              <w:t>Środkowej Odry</w:t>
            </w:r>
          </w:p>
        </w:tc>
        <w:tc>
          <w:tcPr>
            <w:tcW w:w="708" w:type="dxa"/>
            <w:tcBorders>
              <w:top w:val="nil"/>
              <w:left w:val="nil"/>
              <w:bottom w:val="single" w:sz="4" w:space="0" w:color="2F75B5"/>
              <w:right w:val="single" w:sz="4" w:space="0" w:color="2F75B5"/>
            </w:tcBorders>
            <w:shd w:val="clear" w:color="auto" w:fill="auto"/>
            <w:noWrap/>
            <w:vAlign w:val="center"/>
            <w:hideMark/>
          </w:tcPr>
          <w:p w14:paraId="7D28D402" w14:textId="77777777" w:rsidR="00462DD4" w:rsidRPr="00795F17" w:rsidRDefault="00462DD4" w:rsidP="0065243A">
            <w:pPr>
              <w:pStyle w:val="Teksttabelisrodek"/>
            </w:pPr>
            <w:r w:rsidRPr="00795F17">
              <w:t>27</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25A5580" w14:textId="1A39DB9B" w:rsidR="00462DD4" w:rsidRPr="00795F17" w:rsidRDefault="00CC2650" w:rsidP="0065243A">
            <w:pPr>
              <w:pStyle w:val="Teksttabelisrodek"/>
            </w:pPr>
            <w:r>
              <w:t>21</w:t>
            </w:r>
          </w:p>
        </w:tc>
        <w:tc>
          <w:tcPr>
            <w:tcW w:w="1276" w:type="dxa"/>
            <w:tcBorders>
              <w:top w:val="nil"/>
              <w:left w:val="nil"/>
              <w:bottom w:val="single" w:sz="4" w:space="0" w:color="auto"/>
              <w:right w:val="single" w:sz="4" w:space="0" w:color="auto"/>
            </w:tcBorders>
            <w:shd w:val="clear" w:color="auto" w:fill="auto"/>
            <w:noWrap/>
            <w:vAlign w:val="center"/>
            <w:hideMark/>
          </w:tcPr>
          <w:p w14:paraId="7E8EE43E" w14:textId="5FCAA5D2" w:rsidR="00462DD4" w:rsidRPr="00795F17" w:rsidRDefault="00F871BF" w:rsidP="0065243A">
            <w:pPr>
              <w:pStyle w:val="Teksttabelisrodek"/>
            </w:pPr>
            <w:r>
              <w:t>78</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4AD70912" w14:textId="77777777" w:rsidR="00462DD4" w:rsidRPr="00795F17" w:rsidRDefault="00462DD4" w:rsidP="0065243A">
            <w:pPr>
              <w:pStyle w:val="Teksttabelisrodek"/>
            </w:pPr>
            <w:r w:rsidRPr="00795F17">
              <w:t>22</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3683DCC5" w14:textId="134D78AF" w:rsidR="00462DD4" w:rsidRPr="00795F17" w:rsidRDefault="00462DD4" w:rsidP="0065243A">
            <w:pPr>
              <w:pStyle w:val="Teksttabelisrodek"/>
            </w:pPr>
            <w:r w:rsidRPr="00795F17">
              <w:t>18,5</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7BB93440" w14:textId="7C485C14" w:rsidR="00462DD4" w:rsidRPr="00795F17" w:rsidRDefault="00462DD4" w:rsidP="0065243A">
            <w:pPr>
              <w:pStyle w:val="Teksttabelisrodek"/>
            </w:pPr>
            <w:r w:rsidRPr="00795F17">
              <w:t>2</w:t>
            </w:r>
            <w:r w:rsidR="00EB5984">
              <w:t>4</w:t>
            </w:r>
          </w:p>
        </w:tc>
        <w:tc>
          <w:tcPr>
            <w:tcW w:w="992" w:type="dxa"/>
            <w:tcBorders>
              <w:top w:val="nil"/>
              <w:left w:val="nil"/>
              <w:bottom w:val="single" w:sz="4" w:space="0" w:color="auto"/>
              <w:right w:val="single" w:sz="4" w:space="0" w:color="auto"/>
            </w:tcBorders>
            <w:shd w:val="clear" w:color="auto" w:fill="auto"/>
            <w:vAlign w:val="center"/>
            <w:hideMark/>
          </w:tcPr>
          <w:p w14:paraId="0B166E6B" w14:textId="7F016698" w:rsidR="00462DD4" w:rsidRPr="00795F17" w:rsidRDefault="006D1291" w:rsidP="0065243A">
            <w:pPr>
              <w:pStyle w:val="Teksttabelisrodek"/>
            </w:pPr>
            <w:r>
              <w:t>11,1</w:t>
            </w:r>
          </w:p>
        </w:tc>
      </w:tr>
      <w:tr w:rsidR="00962FC1" w:rsidRPr="00795F17" w14:paraId="08ACDCA3" w14:textId="77777777" w:rsidTr="009F7F19">
        <w:trPr>
          <w:trHeight w:val="616"/>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0F5305DA" w14:textId="73C9D4D2" w:rsidR="00462DD4" w:rsidRPr="00795F17" w:rsidRDefault="00462DD4" w:rsidP="0044393D">
            <w:pPr>
              <w:pStyle w:val="Teksttabelilewy"/>
            </w:pPr>
            <w:r w:rsidRPr="00795F17">
              <w:t>Dolnej Odry i</w:t>
            </w:r>
            <w:r w:rsidR="00BC32D5">
              <w:t> </w:t>
            </w:r>
            <w:r w:rsidRPr="00795F17">
              <w:t>Przymorza Zachodniego</w:t>
            </w:r>
          </w:p>
        </w:tc>
        <w:tc>
          <w:tcPr>
            <w:tcW w:w="708" w:type="dxa"/>
            <w:tcBorders>
              <w:top w:val="nil"/>
              <w:left w:val="nil"/>
              <w:bottom w:val="single" w:sz="4" w:space="0" w:color="2F75B5"/>
              <w:right w:val="single" w:sz="4" w:space="0" w:color="2F75B5"/>
            </w:tcBorders>
            <w:shd w:val="clear" w:color="auto" w:fill="auto"/>
            <w:noWrap/>
            <w:vAlign w:val="center"/>
            <w:hideMark/>
          </w:tcPr>
          <w:p w14:paraId="7F142B79" w14:textId="77777777" w:rsidR="00462DD4" w:rsidRPr="00795F17" w:rsidRDefault="00462DD4" w:rsidP="0065243A">
            <w:pPr>
              <w:pStyle w:val="Teksttabelisrodek"/>
            </w:pPr>
            <w:r w:rsidRPr="00795F17">
              <w:t>109</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3D4B266" w14:textId="20F66305" w:rsidR="00462DD4" w:rsidRPr="00795F17" w:rsidRDefault="00CC2650" w:rsidP="0065243A">
            <w:pPr>
              <w:pStyle w:val="Teksttabelisrodek"/>
            </w:pPr>
            <w:r>
              <w:t>55</w:t>
            </w:r>
          </w:p>
        </w:tc>
        <w:tc>
          <w:tcPr>
            <w:tcW w:w="1276" w:type="dxa"/>
            <w:tcBorders>
              <w:top w:val="nil"/>
              <w:left w:val="nil"/>
              <w:bottom w:val="single" w:sz="4" w:space="0" w:color="auto"/>
              <w:right w:val="single" w:sz="4" w:space="0" w:color="auto"/>
            </w:tcBorders>
            <w:shd w:val="clear" w:color="auto" w:fill="auto"/>
            <w:noWrap/>
            <w:vAlign w:val="center"/>
            <w:hideMark/>
          </w:tcPr>
          <w:p w14:paraId="51CCCD31" w14:textId="0A14EA50" w:rsidR="00462DD4" w:rsidRPr="00795F17" w:rsidRDefault="00F871BF" w:rsidP="0065243A">
            <w:pPr>
              <w:pStyle w:val="Teksttabelisrodek"/>
            </w:pPr>
            <w:r>
              <w:t>50</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38E8BE59" w14:textId="77777777" w:rsidR="00462DD4" w:rsidRPr="00795F17" w:rsidRDefault="00462DD4" w:rsidP="0065243A">
            <w:pPr>
              <w:pStyle w:val="Teksttabelisrodek"/>
            </w:pPr>
            <w:r w:rsidRPr="00795F17">
              <w:t>49</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53DB253D" w14:textId="4C70B7D9" w:rsidR="00462DD4" w:rsidRPr="00795F17" w:rsidRDefault="00462DD4" w:rsidP="0065243A">
            <w:pPr>
              <w:pStyle w:val="Teksttabelisrodek"/>
            </w:pPr>
            <w:r w:rsidRPr="00795F17">
              <w:t>55</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193064E3" w14:textId="5F6DB8D5" w:rsidR="00462DD4" w:rsidRPr="00795F17" w:rsidRDefault="0040236E" w:rsidP="0065243A">
            <w:pPr>
              <w:pStyle w:val="Teksttabelisrodek"/>
            </w:pPr>
            <w:r>
              <w:t>51</w:t>
            </w:r>
          </w:p>
        </w:tc>
        <w:tc>
          <w:tcPr>
            <w:tcW w:w="992" w:type="dxa"/>
            <w:tcBorders>
              <w:top w:val="nil"/>
              <w:left w:val="nil"/>
              <w:bottom w:val="single" w:sz="4" w:space="0" w:color="auto"/>
              <w:right w:val="single" w:sz="4" w:space="0" w:color="auto"/>
            </w:tcBorders>
            <w:shd w:val="clear" w:color="auto" w:fill="auto"/>
            <w:vAlign w:val="center"/>
            <w:hideMark/>
          </w:tcPr>
          <w:p w14:paraId="709B1621" w14:textId="0F589EF2" w:rsidR="00462DD4" w:rsidRPr="00795F17" w:rsidRDefault="0040236E" w:rsidP="0065243A">
            <w:pPr>
              <w:pStyle w:val="Teksttabelisrodek"/>
            </w:pPr>
            <w:r>
              <w:t>53,2</w:t>
            </w:r>
          </w:p>
        </w:tc>
      </w:tr>
      <w:tr w:rsidR="00462DD4" w:rsidRPr="00795F17" w14:paraId="1AACE7FD" w14:textId="77777777" w:rsidTr="00DC4CCC">
        <w:trPr>
          <w:trHeight w:val="454"/>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6A991B60" w14:textId="77777777" w:rsidR="00462DD4" w:rsidRPr="00795F17" w:rsidRDefault="00462DD4" w:rsidP="0044393D">
            <w:pPr>
              <w:pStyle w:val="Teksttabelilewy"/>
            </w:pPr>
            <w:r w:rsidRPr="00795F17">
              <w:t>Warty</w:t>
            </w:r>
          </w:p>
        </w:tc>
        <w:tc>
          <w:tcPr>
            <w:tcW w:w="708" w:type="dxa"/>
            <w:tcBorders>
              <w:top w:val="nil"/>
              <w:left w:val="nil"/>
              <w:bottom w:val="single" w:sz="4" w:space="0" w:color="2F75B5"/>
              <w:right w:val="single" w:sz="4" w:space="0" w:color="2F75B5"/>
            </w:tcBorders>
            <w:shd w:val="clear" w:color="auto" w:fill="auto"/>
            <w:noWrap/>
            <w:vAlign w:val="center"/>
            <w:hideMark/>
          </w:tcPr>
          <w:p w14:paraId="0EBC1AA1" w14:textId="77777777" w:rsidR="00462DD4" w:rsidRPr="00795F17" w:rsidRDefault="00462DD4" w:rsidP="0065243A">
            <w:pPr>
              <w:pStyle w:val="Teksttabelisrodek"/>
            </w:pPr>
            <w:r w:rsidRPr="00795F17">
              <w:t>124</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156436A" w14:textId="1B95D955" w:rsidR="00462DD4" w:rsidRPr="00795F17" w:rsidRDefault="00CC2650" w:rsidP="0065243A">
            <w:pPr>
              <w:pStyle w:val="Teksttabelisrodek"/>
            </w:pPr>
            <w:r>
              <w:t>104</w:t>
            </w:r>
          </w:p>
        </w:tc>
        <w:tc>
          <w:tcPr>
            <w:tcW w:w="1276" w:type="dxa"/>
            <w:tcBorders>
              <w:top w:val="nil"/>
              <w:left w:val="nil"/>
              <w:bottom w:val="single" w:sz="4" w:space="0" w:color="auto"/>
              <w:right w:val="single" w:sz="4" w:space="0" w:color="auto"/>
            </w:tcBorders>
            <w:shd w:val="clear" w:color="auto" w:fill="auto"/>
            <w:noWrap/>
            <w:vAlign w:val="center"/>
            <w:hideMark/>
          </w:tcPr>
          <w:p w14:paraId="45652ACD" w14:textId="5EBF425B" w:rsidR="00462DD4" w:rsidRPr="00795F17" w:rsidRDefault="00F871BF" w:rsidP="0065243A">
            <w:pPr>
              <w:pStyle w:val="Teksttabelisrodek"/>
            </w:pPr>
            <w:r>
              <w:t>83</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5527C686" w14:textId="77777777" w:rsidR="00462DD4" w:rsidRPr="00795F17" w:rsidRDefault="00462DD4" w:rsidP="0065243A">
            <w:pPr>
              <w:pStyle w:val="Teksttabelisrodek"/>
            </w:pPr>
            <w:r w:rsidRPr="00795F17">
              <w:t>107</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71F7EA87" w14:textId="1B49CB70" w:rsidR="00462DD4" w:rsidRPr="00795F17" w:rsidRDefault="00462DD4" w:rsidP="0065243A">
            <w:pPr>
              <w:pStyle w:val="Teksttabelisrodek"/>
            </w:pPr>
            <w:r w:rsidRPr="00795F17">
              <w:t>13,7</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4EED33CE" w14:textId="6A618AE7" w:rsidR="00462DD4" w:rsidRPr="00795F17" w:rsidRDefault="003905C1" w:rsidP="0065243A">
            <w:pPr>
              <w:pStyle w:val="Teksttabelisrodek"/>
            </w:pPr>
            <w:r>
              <w:t>108</w:t>
            </w:r>
          </w:p>
        </w:tc>
        <w:tc>
          <w:tcPr>
            <w:tcW w:w="992" w:type="dxa"/>
            <w:tcBorders>
              <w:top w:val="nil"/>
              <w:left w:val="nil"/>
              <w:bottom w:val="single" w:sz="4" w:space="0" w:color="auto"/>
              <w:right w:val="single" w:sz="4" w:space="0" w:color="auto"/>
            </w:tcBorders>
            <w:shd w:val="clear" w:color="auto" w:fill="auto"/>
            <w:vAlign w:val="center"/>
            <w:hideMark/>
          </w:tcPr>
          <w:p w14:paraId="7CE93BED" w14:textId="3B1AA4B2" w:rsidR="00462DD4" w:rsidRPr="00795F17" w:rsidRDefault="00B64FC0" w:rsidP="0065243A">
            <w:pPr>
              <w:pStyle w:val="Teksttabelisrodek"/>
            </w:pPr>
            <w:r>
              <w:t>12,9</w:t>
            </w:r>
          </w:p>
        </w:tc>
      </w:tr>
      <w:tr w:rsidR="00462DD4" w:rsidRPr="00795F17" w14:paraId="100000B5" w14:textId="77777777" w:rsidTr="00DC4CCC">
        <w:trPr>
          <w:trHeight w:val="454"/>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764C962B" w14:textId="77777777" w:rsidR="00462DD4" w:rsidRPr="00795F17" w:rsidRDefault="00462DD4" w:rsidP="0044393D">
            <w:pPr>
              <w:pStyle w:val="Teksttabelilewy"/>
            </w:pPr>
            <w:r w:rsidRPr="00795F17">
              <w:t>Noteci</w:t>
            </w:r>
          </w:p>
        </w:tc>
        <w:tc>
          <w:tcPr>
            <w:tcW w:w="708" w:type="dxa"/>
            <w:tcBorders>
              <w:top w:val="single" w:sz="4" w:space="0" w:color="2F75B5"/>
              <w:left w:val="nil"/>
              <w:bottom w:val="single" w:sz="4" w:space="0" w:color="2F75B5"/>
              <w:right w:val="single" w:sz="4" w:space="0" w:color="2F75B5"/>
            </w:tcBorders>
            <w:shd w:val="clear" w:color="auto" w:fill="auto"/>
            <w:noWrap/>
            <w:vAlign w:val="center"/>
            <w:hideMark/>
          </w:tcPr>
          <w:p w14:paraId="7329F7D7" w14:textId="77777777" w:rsidR="00462DD4" w:rsidRPr="00795F17" w:rsidRDefault="00462DD4" w:rsidP="0065243A">
            <w:pPr>
              <w:pStyle w:val="Teksttabelisrodek"/>
            </w:pPr>
            <w:r w:rsidRPr="00795F17">
              <w:t>166</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C15D5A3" w14:textId="4721E43B" w:rsidR="00462DD4" w:rsidRPr="00795F17" w:rsidRDefault="00CC2650" w:rsidP="0065243A">
            <w:pPr>
              <w:pStyle w:val="Teksttabelisrodek"/>
            </w:pPr>
            <w:r>
              <w:t>106</w:t>
            </w:r>
          </w:p>
        </w:tc>
        <w:tc>
          <w:tcPr>
            <w:tcW w:w="1276" w:type="dxa"/>
            <w:tcBorders>
              <w:top w:val="nil"/>
              <w:left w:val="nil"/>
              <w:bottom w:val="single" w:sz="4" w:space="0" w:color="auto"/>
              <w:right w:val="single" w:sz="4" w:space="0" w:color="auto"/>
            </w:tcBorders>
            <w:shd w:val="clear" w:color="auto" w:fill="auto"/>
            <w:noWrap/>
            <w:vAlign w:val="center"/>
            <w:hideMark/>
          </w:tcPr>
          <w:p w14:paraId="5CB1A2A8" w14:textId="2C14EE06" w:rsidR="00462DD4" w:rsidRPr="00795F17" w:rsidRDefault="00F871BF" w:rsidP="0065243A">
            <w:pPr>
              <w:pStyle w:val="Teksttabelisrodek"/>
            </w:pPr>
            <w:r>
              <w:t>64</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25B9FC12" w14:textId="77777777" w:rsidR="00462DD4" w:rsidRPr="00795F17" w:rsidRDefault="00462DD4" w:rsidP="0065243A">
            <w:pPr>
              <w:pStyle w:val="Teksttabelisrodek"/>
            </w:pPr>
            <w:r w:rsidRPr="00795F17">
              <w:t>116</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6B080DBC" w14:textId="790E45BA" w:rsidR="00462DD4" w:rsidRPr="00795F17" w:rsidRDefault="00462DD4" w:rsidP="0065243A">
            <w:pPr>
              <w:pStyle w:val="Teksttabelisrodek"/>
            </w:pPr>
            <w:r w:rsidRPr="00795F17">
              <w:t>30,1</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2F03E547" w14:textId="39FC229D" w:rsidR="00462DD4" w:rsidRPr="00795F17" w:rsidRDefault="00A1228C" w:rsidP="0065243A">
            <w:pPr>
              <w:pStyle w:val="Teksttabelisrodek"/>
            </w:pPr>
            <w:r>
              <w:t>109</w:t>
            </w:r>
          </w:p>
        </w:tc>
        <w:tc>
          <w:tcPr>
            <w:tcW w:w="992" w:type="dxa"/>
            <w:tcBorders>
              <w:top w:val="nil"/>
              <w:left w:val="nil"/>
              <w:bottom w:val="single" w:sz="4" w:space="0" w:color="auto"/>
              <w:right w:val="single" w:sz="4" w:space="0" w:color="auto"/>
            </w:tcBorders>
            <w:shd w:val="clear" w:color="auto" w:fill="auto"/>
            <w:vAlign w:val="center"/>
            <w:hideMark/>
          </w:tcPr>
          <w:p w14:paraId="437F918F" w14:textId="18C8B0FD" w:rsidR="00462DD4" w:rsidRPr="00795F17" w:rsidRDefault="007A145F" w:rsidP="0065243A">
            <w:pPr>
              <w:pStyle w:val="Teksttabelisrodek"/>
            </w:pPr>
            <w:r>
              <w:t>34,3</w:t>
            </w:r>
          </w:p>
        </w:tc>
      </w:tr>
      <w:tr w:rsidR="00462DD4" w:rsidRPr="00795F17" w14:paraId="1B890DCF" w14:textId="77777777" w:rsidTr="00DC4CCC">
        <w:trPr>
          <w:trHeight w:val="454"/>
        </w:trPr>
        <w:tc>
          <w:tcPr>
            <w:tcW w:w="1616" w:type="dxa"/>
            <w:tcBorders>
              <w:top w:val="single" w:sz="4" w:space="0" w:color="auto"/>
              <w:left w:val="single" w:sz="4" w:space="0" w:color="auto"/>
              <w:bottom w:val="single" w:sz="4" w:space="0" w:color="auto"/>
              <w:right w:val="single" w:sz="4" w:space="0" w:color="auto"/>
            </w:tcBorders>
            <w:shd w:val="clear" w:color="auto" w:fill="BFBFBF"/>
            <w:noWrap/>
            <w:vAlign w:val="center"/>
          </w:tcPr>
          <w:p w14:paraId="6B27C67D" w14:textId="77777777" w:rsidR="00462DD4" w:rsidRPr="00795F17" w:rsidRDefault="00462DD4" w:rsidP="0044393D">
            <w:pPr>
              <w:pStyle w:val="Teksttabelinaglowek"/>
            </w:pPr>
            <w:r w:rsidRPr="00795F17">
              <w:t>Razem</w:t>
            </w:r>
          </w:p>
        </w:tc>
        <w:tc>
          <w:tcPr>
            <w:tcW w:w="708" w:type="dxa"/>
            <w:tcBorders>
              <w:top w:val="single" w:sz="4" w:space="0" w:color="auto"/>
              <w:left w:val="nil"/>
              <w:bottom w:val="single" w:sz="4" w:space="0" w:color="auto"/>
              <w:right w:val="single" w:sz="4" w:space="0" w:color="2F75B5"/>
            </w:tcBorders>
            <w:shd w:val="clear" w:color="auto" w:fill="BFBFBF"/>
            <w:noWrap/>
            <w:vAlign w:val="center"/>
          </w:tcPr>
          <w:p w14:paraId="6FF6A617" w14:textId="77777777" w:rsidR="00462DD4" w:rsidRPr="00795F17" w:rsidRDefault="00462DD4" w:rsidP="0044393D">
            <w:pPr>
              <w:pStyle w:val="Teksttabelinaglowek"/>
            </w:pPr>
            <w:r w:rsidRPr="00795F17">
              <w:t>427</w:t>
            </w:r>
          </w:p>
        </w:tc>
        <w:tc>
          <w:tcPr>
            <w:tcW w:w="1276" w:type="dxa"/>
            <w:tcBorders>
              <w:top w:val="single" w:sz="4" w:space="0" w:color="auto"/>
              <w:left w:val="single" w:sz="4" w:space="0" w:color="auto"/>
              <w:bottom w:val="single" w:sz="4" w:space="0" w:color="auto"/>
              <w:right w:val="single" w:sz="4" w:space="0" w:color="auto"/>
            </w:tcBorders>
            <w:shd w:val="clear" w:color="auto" w:fill="BFBFBF"/>
            <w:noWrap/>
            <w:vAlign w:val="center"/>
          </w:tcPr>
          <w:p w14:paraId="644EA3C9" w14:textId="663A861E" w:rsidR="00462DD4" w:rsidRPr="00795F17" w:rsidRDefault="00CC2650" w:rsidP="0044393D">
            <w:pPr>
              <w:pStyle w:val="Teksttabelinaglowek"/>
            </w:pPr>
            <w:r>
              <w:t>287</w:t>
            </w:r>
          </w:p>
        </w:tc>
        <w:tc>
          <w:tcPr>
            <w:tcW w:w="1276" w:type="dxa"/>
            <w:tcBorders>
              <w:top w:val="single" w:sz="4" w:space="0" w:color="auto"/>
              <w:left w:val="nil"/>
              <w:bottom w:val="single" w:sz="4" w:space="0" w:color="auto"/>
              <w:right w:val="single" w:sz="4" w:space="0" w:color="auto"/>
            </w:tcBorders>
            <w:shd w:val="clear" w:color="auto" w:fill="BFBFBF"/>
            <w:noWrap/>
            <w:vAlign w:val="center"/>
          </w:tcPr>
          <w:p w14:paraId="37EE315C" w14:textId="775E8735" w:rsidR="00462DD4" w:rsidRPr="00795F17" w:rsidRDefault="00F871BF" w:rsidP="0044393D">
            <w:pPr>
              <w:pStyle w:val="Teksttabelinaglowek"/>
            </w:pPr>
            <w:r>
              <w:t>67</w:t>
            </w:r>
          </w:p>
        </w:tc>
        <w:tc>
          <w:tcPr>
            <w:tcW w:w="1064" w:type="dxa"/>
            <w:tcBorders>
              <w:top w:val="single" w:sz="4" w:space="0" w:color="auto"/>
              <w:left w:val="nil"/>
              <w:bottom w:val="single" w:sz="4" w:space="0" w:color="auto"/>
              <w:right w:val="single" w:sz="4" w:space="0" w:color="auto"/>
            </w:tcBorders>
            <w:shd w:val="clear" w:color="auto" w:fill="BFBFBF"/>
            <w:vAlign w:val="center"/>
          </w:tcPr>
          <w:p w14:paraId="47E85A02" w14:textId="77777777" w:rsidR="00462DD4" w:rsidRPr="00795F17" w:rsidRDefault="00462DD4" w:rsidP="0044393D">
            <w:pPr>
              <w:pStyle w:val="Teksttabelinaglowek"/>
            </w:pPr>
            <w:r w:rsidRPr="00795F17">
              <w:t>294</w:t>
            </w:r>
          </w:p>
        </w:tc>
        <w:tc>
          <w:tcPr>
            <w:tcW w:w="1065" w:type="dxa"/>
            <w:tcBorders>
              <w:top w:val="single" w:sz="4" w:space="0" w:color="auto"/>
              <w:left w:val="single" w:sz="4" w:space="0" w:color="auto"/>
              <w:bottom w:val="single" w:sz="4" w:space="0" w:color="auto"/>
              <w:right w:val="single" w:sz="4" w:space="0" w:color="auto"/>
            </w:tcBorders>
            <w:shd w:val="clear" w:color="auto" w:fill="BFBFBF"/>
            <w:vAlign w:val="center"/>
          </w:tcPr>
          <w:p w14:paraId="37D1D26C" w14:textId="3395D9B2" w:rsidR="00462DD4" w:rsidRPr="00795F17" w:rsidRDefault="00462DD4" w:rsidP="0044393D">
            <w:pPr>
              <w:pStyle w:val="Teksttabelinaglowek"/>
            </w:pPr>
            <w:r w:rsidRPr="00795F17">
              <w:t>31,1</w:t>
            </w:r>
          </w:p>
        </w:tc>
        <w:tc>
          <w:tcPr>
            <w:tcW w:w="1137" w:type="dxa"/>
            <w:tcBorders>
              <w:top w:val="single" w:sz="4" w:space="0" w:color="auto"/>
              <w:left w:val="single" w:sz="4" w:space="0" w:color="auto"/>
              <w:bottom w:val="single" w:sz="4" w:space="0" w:color="auto"/>
              <w:right w:val="single" w:sz="4" w:space="0" w:color="auto"/>
            </w:tcBorders>
            <w:shd w:val="clear" w:color="auto" w:fill="BFBFBF"/>
            <w:noWrap/>
            <w:vAlign w:val="center"/>
          </w:tcPr>
          <w:p w14:paraId="07824EF5" w14:textId="0075F2DF" w:rsidR="00462DD4" w:rsidRPr="00795F17" w:rsidRDefault="007A145F" w:rsidP="0044393D">
            <w:pPr>
              <w:pStyle w:val="Teksttabelinaglowek"/>
            </w:pPr>
            <w:r>
              <w:t>292</w:t>
            </w:r>
          </w:p>
        </w:tc>
        <w:tc>
          <w:tcPr>
            <w:tcW w:w="992" w:type="dxa"/>
            <w:tcBorders>
              <w:top w:val="single" w:sz="4" w:space="0" w:color="auto"/>
              <w:left w:val="nil"/>
              <w:bottom w:val="single" w:sz="4" w:space="0" w:color="auto"/>
              <w:right w:val="single" w:sz="4" w:space="0" w:color="auto"/>
            </w:tcBorders>
            <w:shd w:val="clear" w:color="auto" w:fill="BFBFBF"/>
            <w:vAlign w:val="center"/>
          </w:tcPr>
          <w:p w14:paraId="2D1BB8B0" w14:textId="47F2F6CE" w:rsidR="00462DD4" w:rsidRPr="00795F17" w:rsidRDefault="007A145F" w:rsidP="0044393D">
            <w:pPr>
              <w:pStyle w:val="Teksttabelinaglowek"/>
            </w:pPr>
            <w:r>
              <w:t>31,6</w:t>
            </w:r>
          </w:p>
        </w:tc>
      </w:tr>
    </w:tbl>
    <w:p w14:paraId="15986FEA" w14:textId="58D42B72" w:rsidR="0040389F" w:rsidRPr="009F7F19" w:rsidRDefault="0040389F" w:rsidP="004E056A">
      <w:pPr>
        <w:pStyle w:val="Tabela-wyjasnieniapod"/>
      </w:pPr>
      <w:r w:rsidRPr="000D33FE">
        <w:t>Objaśnienia:</w:t>
      </w:r>
    </w:p>
    <w:p w14:paraId="73E377D1" w14:textId="2DECF62F" w:rsidR="00462DD4" w:rsidRPr="00795F17" w:rsidRDefault="00462DD4" w:rsidP="004E056A">
      <w:pPr>
        <w:pStyle w:val="Tabela-wyjasnieniapod"/>
      </w:pPr>
      <w:r w:rsidRPr="00795F17">
        <w:rPr>
          <w:vertAlign w:val="superscript"/>
        </w:rPr>
        <w:t>1)</w:t>
      </w:r>
      <w:r w:rsidR="00BC32D5">
        <w:rPr>
          <w:vertAlign w:val="superscript"/>
        </w:rPr>
        <w:t xml:space="preserve"> </w:t>
      </w:r>
      <w:r w:rsidR="00DF005E">
        <w:t>JCWP</w:t>
      </w:r>
      <w:r w:rsidRPr="00795F17">
        <w:t xml:space="preserve"> zagrożone </w:t>
      </w:r>
      <w:r w:rsidR="00EC4A0D">
        <w:t>–</w:t>
      </w:r>
      <w:r w:rsidRPr="00795F17">
        <w:t xml:space="preserve"> </w:t>
      </w:r>
      <w:r w:rsidR="00DF005E">
        <w:t>JCWP</w:t>
      </w:r>
      <w:r w:rsidRPr="00795F17">
        <w:t xml:space="preserve"> zagrożone nieosiągnięciem celów środowiskowych</w:t>
      </w:r>
      <w:r w:rsidR="001F5AA9">
        <w:t>.</w:t>
      </w:r>
    </w:p>
    <w:p w14:paraId="787880E9" w14:textId="555FCCAF" w:rsidR="00462DD4" w:rsidRPr="00795F17" w:rsidRDefault="00462DD4" w:rsidP="004E056A">
      <w:pPr>
        <w:pStyle w:val="Tabela-wyjasnieniapod"/>
      </w:pPr>
      <w:r w:rsidRPr="00795F17">
        <w:rPr>
          <w:vertAlign w:val="superscript"/>
        </w:rPr>
        <w:t>2)</w:t>
      </w:r>
      <w:r w:rsidR="00BC32D5">
        <w:rPr>
          <w:vertAlign w:val="superscript"/>
        </w:rPr>
        <w:t xml:space="preserve"> </w:t>
      </w:r>
      <w:r w:rsidRPr="00795F17">
        <w:t>Ocena stanu na podstawie oceny 2014</w:t>
      </w:r>
      <w:r w:rsidR="001F5AA9">
        <w:t>–</w:t>
      </w:r>
      <w:r w:rsidRPr="00795F17">
        <w:t xml:space="preserve">2019 (GIOŚ) zgodnie z </w:t>
      </w:r>
      <w:r w:rsidR="00DF005E">
        <w:t>r.kl.jcwp</w:t>
      </w:r>
      <w:r w:rsidRPr="00795F17">
        <w:t xml:space="preserve"> </w:t>
      </w:r>
      <w:r w:rsidR="00442820">
        <w:t>według</w:t>
      </w:r>
      <w:r w:rsidRPr="00795F17">
        <w:t xml:space="preserve"> klasyfikacji obowiązującej do </w:t>
      </w:r>
      <w:r w:rsidR="00BC32D5">
        <w:t xml:space="preserve">1 stycznia </w:t>
      </w:r>
      <w:r w:rsidRPr="00795F17">
        <w:t>2022</w:t>
      </w:r>
      <w:r w:rsidR="00C605CD" w:rsidRPr="00795F17">
        <w:t> </w:t>
      </w:r>
      <w:r w:rsidRPr="00795F17">
        <w:t>r. przeniesiona na nowy układ planistyczny</w:t>
      </w:r>
      <w:r w:rsidR="001F5AA9">
        <w:t>.</w:t>
      </w:r>
    </w:p>
    <w:p w14:paraId="41F671BE" w14:textId="3A6CAD42" w:rsidR="00462DD4" w:rsidRPr="00795F17" w:rsidRDefault="00462DD4" w:rsidP="004E056A">
      <w:pPr>
        <w:pStyle w:val="Tabela-wyjasnieniapod"/>
      </w:pPr>
      <w:r w:rsidRPr="00795F17">
        <w:rPr>
          <w:vertAlign w:val="superscript"/>
        </w:rPr>
        <w:t>3)</w:t>
      </w:r>
      <w:r w:rsidR="001D27D5">
        <w:rPr>
          <w:vertAlign w:val="superscript"/>
        </w:rPr>
        <w:t xml:space="preserve"> </w:t>
      </w:r>
      <w:r w:rsidRPr="00795F17">
        <w:t>Ocena stanu na podstawie oceny 2014</w:t>
      </w:r>
      <w:r w:rsidR="001F5AA9">
        <w:t>–</w:t>
      </w:r>
      <w:r w:rsidRPr="00795F17">
        <w:t xml:space="preserve">2019 (GIOŚ) przeliczona zgodnie z </w:t>
      </w:r>
      <w:r w:rsidR="00DF005E">
        <w:t>r.kl.jcwp</w:t>
      </w:r>
      <w:r w:rsidRPr="00795F17">
        <w:t xml:space="preserve"> </w:t>
      </w:r>
      <w:r w:rsidR="00442820">
        <w:t>według</w:t>
      </w:r>
      <w:r w:rsidRPr="00795F17">
        <w:t xml:space="preserve"> klasyfikacji obowiązującej od</w:t>
      </w:r>
      <w:r w:rsidR="00C605CD" w:rsidRPr="00795F17">
        <w:t> </w:t>
      </w:r>
      <w:r w:rsidRPr="00795F17">
        <w:t>01.2022</w:t>
      </w:r>
      <w:r w:rsidR="00C605CD" w:rsidRPr="00795F17">
        <w:t> </w:t>
      </w:r>
      <w:r w:rsidRPr="00795F17">
        <w:t xml:space="preserve">r. oraz przy wykorzystaniu wyników Analizy znaczących oddziaływań </w:t>
      </w:r>
      <w:r w:rsidR="001F5AA9">
        <w:t>–</w:t>
      </w:r>
      <w:r w:rsidRPr="00795F17">
        <w:t xml:space="preserve"> </w:t>
      </w:r>
      <w:r w:rsidR="00DF005E">
        <w:t>JCWP</w:t>
      </w:r>
      <w:r w:rsidRPr="00795F17">
        <w:t xml:space="preserve"> (…) dla </w:t>
      </w:r>
      <w:r w:rsidR="00DF005E">
        <w:t>JCWP</w:t>
      </w:r>
      <w:r w:rsidRPr="00795F17">
        <w:t xml:space="preserve"> niemonitorowanych, dla</w:t>
      </w:r>
      <w:r w:rsidR="00C605CD" w:rsidRPr="00795F17">
        <w:t> </w:t>
      </w:r>
      <w:r w:rsidRPr="00795F17">
        <w:t>których nie dokonano oceny stanu 2014</w:t>
      </w:r>
      <w:r w:rsidR="00EC4A0D">
        <w:t>–</w:t>
      </w:r>
      <w:r w:rsidRPr="00795F17">
        <w:t>2019 (PMŚ), jest traktowana jako poglądowa, podlegająca weryfikacji w oparciu o nowe badania stanu wód, zrealizowane zgodnie z</w:t>
      </w:r>
      <w:r w:rsidR="008C3122" w:rsidRPr="00795F17">
        <w:t> </w:t>
      </w:r>
      <w:r w:rsidRPr="00795F17">
        <w:t>metodykami PMŚ, normami oraz przepisami w trakcie obowiązywania IIaPGW i akceptacji organu odpowiedzialnego za prowadzenie PMŚ.</w:t>
      </w:r>
    </w:p>
    <w:p w14:paraId="26764CAF" w14:textId="4E063303"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w:t>
      </w:r>
      <w:r w:rsidRPr="00795F17">
        <w:br/>
        <w:t xml:space="preserve"> Analizy znaczących oddziaływań </w:t>
      </w:r>
      <w:r w:rsidR="001F5AA9">
        <w:t>–</w:t>
      </w:r>
      <w:r w:rsidRPr="00795F17">
        <w:t xml:space="preserve"> </w:t>
      </w:r>
      <w:r w:rsidR="00DF005E">
        <w:t>JCWP</w:t>
      </w:r>
      <w:r w:rsidRPr="00795F17">
        <w:t xml:space="preserve"> (…)</w:t>
      </w:r>
    </w:p>
    <w:p w14:paraId="23689411" w14:textId="77777777" w:rsidR="00462DD4" w:rsidRPr="00795F17" w:rsidRDefault="00462DD4" w:rsidP="008E5000">
      <w:pPr>
        <w:jc w:val="center"/>
      </w:pPr>
      <w:r w:rsidRPr="00795F17">
        <w:rPr>
          <w:noProof/>
          <w:lang w:eastAsia="pl-PL"/>
        </w:rPr>
        <w:drawing>
          <wp:inline distT="0" distB="0" distL="0" distR="0" wp14:anchorId="7905D743" wp14:editId="41B19A3A">
            <wp:extent cx="4320000" cy="2520000"/>
            <wp:effectExtent l="0" t="0" r="4445" b="13970"/>
            <wp:docPr id="57" name="Chart 57">
              <a:extLst xmlns:a="http://schemas.openxmlformats.org/drawingml/2006/main">
                <a:ext uri="{FF2B5EF4-FFF2-40B4-BE49-F238E27FC236}">
                  <a16:creationId xmlns:a16="http://schemas.microsoft.com/office/drawing/2014/main" id="{20E37C87-29B1-4296-9CDA-663FE65FE2C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E051661" w14:textId="2BB48A3B" w:rsidR="00462DD4" w:rsidRPr="00795F17" w:rsidRDefault="00462DD4" w:rsidP="00B479EE">
      <w:pPr>
        <w:pStyle w:val="Wykres"/>
      </w:pPr>
      <w:bookmarkStart w:id="183" w:name="_Toc66273003"/>
      <w:bookmarkStart w:id="184" w:name="_Toc105512961"/>
      <w:r w:rsidRPr="00795F17">
        <w:t xml:space="preserve">Wykres </w:t>
      </w:r>
      <w:fldSimple w:instr=" STYLEREF 1 \s ">
        <w:r w:rsidR="001F774D">
          <w:rPr>
            <w:noProof/>
          </w:rPr>
          <w:t>5</w:t>
        </w:r>
      </w:fldSimple>
      <w:r w:rsidR="00FF20D3">
        <w:noBreakHyphen/>
      </w:r>
      <w:fldSimple w:instr=" SEQ Wykres \* ARABIC \s 1 ">
        <w:r w:rsidR="001F774D">
          <w:rPr>
            <w:noProof/>
          </w:rPr>
          <w:t>7</w:t>
        </w:r>
      </w:fldSimple>
      <w:r w:rsidR="00DD6415">
        <w:rPr>
          <w:noProof/>
        </w:rPr>
        <w:t>.</w:t>
      </w:r>
      <w:r w:rsidRPr="00795F17">
        <w:tab/>
        <w:t xml:space="preserve">Udział </w:t>
      </w:r>
      <w:r w:rsidR="00DF005E">
        <w:t>JCWP</w:t>
      </w:r>
      <w:r w:rsidRPr="00795F17">
        <w:t xml:space="preserve"> LW z oceną stanu w ogólnej liczbie </w:t>
      </w:r>
      <w:r w:rsidR="00DF005E">
        <w:t>JCWP</w:t>
      </w:r>
      <w:r w:rsidRPr="00795F17">
        <w:t xml:space="preserve"> LW na obszarze dorzecza Odry </w:t>
      </w:r>
      <w:r w:rsidR="001F5AA9">
        <w:t>–</w:t>
      </w:r>
      <w:r w:rsidRPr="00795F17">
        <w:t xml:space="preserve"> ocena stanu zgodnie z </w:t>
      </w:r>
      <w:r w:rsidR="00DF005E">
        <w:t>r.kl.jcwp</w:t>
      </w:r>
      <w:r w:rsidRPr="00795F17">
        <w:t xml:space="preserve"> do 2022 r.</w:t>
      </w:r>
      <w:bookmarkEnd w:id="183"/>
      <w:bookmarkEnd w:id="184"/>
    </w:p>
    <w:p w14:paraId="24388F03" w14:textId="18F8A592"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w:t>
      </w:r>
    </w:p>
    <w:p w14:paraId="464C188E" w14:textId="4CE3A4F6" w:rsidR="00462DD4" w:rsidRPr="00795F17" w:rsidRDefault="00462DD4" w:rsidP="005842B5">
      <w:pPr>
        <w:rPr>
          <w:noProof/>
        </w:rPr>
      </w:pPr>
    </w:p>
    <w:p w14:paraId="5A9FFA6B" w14:textId="76691661" w:rsidR="00B3566D" w:rsidRPr="00795F17" w:rsidRDefault="00B3566D" w:rsidP="008E5000">
      <w:pPr>
        <w:jc w:val="center"/>
        <w:rPr>
          <w:noProof/>
        </w:rPr>
      </w:pPr>
      <w:r>
        <w:rPr>
          <w:noProof/>
        </w:rPr>
        <w:drawing>
          <wp:inline distT="0" distB="0" distL="0" distR="0" wp14:anchorId="388C8A24" wp14:editId="1F0F572F">
            <wp:extent cx="4545330" cy="2857500"/>
            <wp:effectExtent l="0" t="0" r="7620" b="0"/>
            <wp:docPr id="75" name="Chart 75">
              <a:extLst xmlns:a="http://schemas.openxmlformats.org/drawingml/2006/main">
                <a:ext uri="{FF2B5EF4-FFF2-40B4-BE49-F238E27FC236}">
                  <a16:creationId xmlns:a16="http://schemas.microsoft.com/office/drawing/2014/main" id="{09D43C56-2379-47F1-BC1C-DFD6C1D93B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056CD49" w14:textId="4827B3CD" w:rsidR="00462DD4" w:rsidRPr="00795F17" w:rsidRDefault="00462DD4" w:rsidP="00B479EE">
      <w:pPr>
        <w:pStyle w:val="Wykres"/>
      </w:pPr>
      <w:bookmarkStart w:id="185" w:name="_Toc66273004"/>
      <w:bookmarkStart w:id="186" w:name="_Toc105512962"/>
      <w:r w:rsidRPr="00795F17">
        <w:t xml:space="preserve">Wykres </w:t>
      </w:r>
      <w:fldSimple w:instr=" STYLEREF 1 \s ">
        <w:r w:rsidR="001F774D">
          <w:rPr>
            <w:noProof/>
          </w:rPr>
          <w:t>5</w:t>
        </w:r>
      </w:fldSimple>
      <w:r w:rsidR="00FF20D3">
        <w:noBreakHyphen/>
      </w:r>
      <w:fldSimple w:instr=" SEQ Wykres \* ARABIC \s 1 ">
        <w:r w:rsidR="001F774D">
          <w:rPr>
            <w:noProof/>
          </w:rPr>
          <w:t>8</w:t>
        </w:r>
      </w:fldSimple>
      <w:r w:rsidR="00DD6415">
        <w:rPr>
          <w:noProof/>
        </w:rPr>
        <w:t>.</w:t>
      </w:r>
      <w:r w:rsidRPr="00795F17">
        <w:tab/>
        <w:t xml:space="preserve">Udział </w:t>
      </w:r>
      <w:r w:rsidR="00DF005E">
        <w:t>JCWP</w:t>
      </w:r>
      <w:r w:rsidRPr="00795F17">
        <w:t xml:space="preserve"> LW z oceną stanu w ogólnej liczbie </w:t>
      </w:r>
      <w:r w:rsidR="00DF005E">
        <w:t>JCWP</w:t>
      </w:r>
      <w:r w:rsidRPr="00795F17">
        <w:t xml:space="preserve"> LW na obszarze dorzecza Odry </w:t>
      </w:r>
      <w:r w:rsidR="001F5AA9">
        <w:t>–</w:t>
      </w:r>
      <w:r w:rsidRPr="00795F17">
        <w:t xml:space="preserve"> ocena stanu zgodnie z </w:t>
      </w:r>
      <w:r w:rsidR="00DF005E">
        <w:t>r.kl.jcwp</w:t>
      </w:r>
      <w:r w:rsidRPr="00795F17">
        <w:t xml:space="preserve"> od 2022 r.</w:t>
      </w:r>
      <w:bookmarkEnd w:id="185"/>
      <w:bookmarkEnd w:id="186"/>
    </w:p>
    <w:p w14:paraId="4D0E5138" w14:textId="386F33C5"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 </w:t>
      </w:r>
      <w:r w:rsidRPr="00795F17">
        <w:br/>
        <w:t xml:space="preserve">Analizy znaczących oddziaływań </w:t>
      </w:r>
      <w:r w:rsidR="001F5AA9">
        <w:t>–</w:t>
      </w:r>
      <w:r w:rsidRPr="00795F17">
        <w:t xml:space="preserve"> </w:t>
      </w:r>
      <w:r w:rsidR="00DF005E">
        <w:t>JCWP</w:t>
      </w:r>
      <w:r w:rsidRPr="00795F17">
        <w:t xml:space="preserve"> (…)</w:t>
      </w:r>
    </w:p>
    <w:p w14:paraId="394EBA2B" w14:textId="052E15E3" w:rsidR="00462DD4" w:rsidRPr="00795F17" w:rsidRDefault="00462DD4" w:rsidP="0044393D">
      <w:r w:rsidRPr="00795F17">
        <w:t xml:space="preserve">Z uwagi na przyjęty sposób prezentacji danych dotyczących oceny stanu </w:t>
      </w:r>
      <w:r w:rsidR="00DF005E">
        <w:t>JCWP</w:t>
      </w:r>
      <w:r w:rsidRPr="00795F17">
        <w:t xml:space="preserve"> ze wskazaniem również ocen stanu uzyskanych przy uwzględnieniu </w:t>
      </w:r>
      <w:r w:rsidR="008C5E88">
        <w:t>postanowień</w:t>
      </w:r>
      <w:r w:rsidRPr="00795F17">
        <w:t xml:space="preserve"> </w:t>
      </w:r>
      <w:r w:rsidR="00DF005E">
        <w:t>r.kl.jcwp</w:t>
      </w:r>
      <w:r w:rsidRPr="00795F17">
        <w:t xml:space="preserve"> obowiązujących od 2022 roku, poniżej zaprezentowane zostały podsumowania </w:t>
      </w:r>
      <w:r w:rsidR="00026FA9" w:rsidRPr="00795F17">
        <w:t xml:space="preserve">(tabela 5-18) </w:t>
      </w:r>
      <w:r w:rsidRPr="00795F17">
        <w:t>dotyczące ocen stanu bądź potencjału ekologicznego, ocen stanu chemicznego</w:t>
      </w:r>
      <w:r w:rsidR="001D27D5">
        <w:t>,</w:t>
      </w:r>
      <w:r w:rsidRPr="00795F17">
        <w:t xml:space="preserve"> a w efekcie ocen stanu </w:t>
      </w:r>
      <w:r w:rsidR="00DF005E">
        <w:t>JCWP</w:t>
      </w:r>
      <w:r w:rsidRPr="00795F17">
        <w:t xml:space="preserve"> również przy wyróżnieniu dwóch okresów wskazanych w </w:t>
      </w:r>
      <w:r w:rsidR="00DF005E">
        <w:t>r.kl.jcwp</w:t>
      </w:r>
      <w:r w:rsidRPr="00795F17">
        <w:t xml:space="preserve">. Wartości wskazane jako ocena zgodnie z </w:t>
      </w:r>
      <w:r w:rsidR="00DF005E">
        <w:t>r.kl.jcwp</w:t>
      </w:r>
      <w:r w:rsidRPr="00795F17">
        <w:t xml:space="preserve"> od 2022</w:t>
      </w:r>
      <w:r w:rsidR="0055601C" w:rsidRPr="00795F17">
        <w:t> </w:t>
      </w:r>
      <w:r w:rsidRPr="00795F17">
        <w:t>r. traktowana jest poglądowo, dla zapewnienia możliwości odniesienia się do klasyfikacji stosowanej w</w:t>
      </w:r>
      <w:r w:rsidR="0055601C" w:rsidRPr="00795F17">
        <w:t> </w:t>
      </w:r>
      <w:r w:rsidRPr="00795F17">
        <w:t>cyklu planistycznym IIaPGW.</w:t>
      </w:r>
      <w:r w:rsidR="002F293C" w:rsidRPr="00795F17">
        <w:t xml:space="preserve"> Wyniki oceny eksperckiej oceny stanu/potencjału ekologicznego dla</w:t>
      </w:r>
      <w:r w:rsidR="00DC4CCC">
        <w:t> </w:t>
      </w:r>
      <w:r w:rsidR="00DF005E">
        <w:t>JCWP</w:t>
      </w:r>
      <w:r w:rsidR="002F293C" w:rsidRPr="00795F17">
        <w:t xml:space="preserve"> LW od roku 2022 przedstawiono w załączniku graficznym </w:t>
      </w:r>
      <w:r w:rsidR="0075020A">
        <w:t xml:space="preserve">nr </w:t>
      </w:r>
      <w:r w:rsidR="00425EA2">
        <w:t>22</w:t>
      </w:r>
      <w:r w:rsidR="002F293C" w:rsidRPr="00795F17">
        <w:t>.</w:t>
      </w:r>
    </w:p>
    <w:p w14:paraId="1C48E1E2" w14:textId="712E7D0B" w:rsidR="00462DD4" w:rsidRPr="00795F17" w:rsidRDefault="00462DD4" w:rsidP="0044393D">
      <w:r w:rsidRPr="00795F17">
        <w:t xml:space="preserve">Spośród wszystkich </w:t>
      </w:r>
      <w:r w:rsidR="00DF005E">
        <w:t>JCWP</w:t>
      </w:r>
      <w:r w:rsidRPr="00795F17">
        <w:t xml:space="preserve"> LW obszaru dorzecza Odry oceny stanu bądź potencjału ekologicznego </w:t>
      </w:r>
      <w:r w:rsidRPr="00795F17">
        <w:rPr>
          <w:shd w:val="clear" w:color="auto" w:fill="FFFFFF" w:themeFill="background1"/>
        </w:rPr>
        <w:t xml:space="preserve">dokonano dla </w:t>
      </w:r>
      <w:r w:rsidRPr="00795F17">
        <w:t>ok</w:t>
      </w:r>
      <w:r w:rsidR="001D27D5">
        <w:t>oło</w:t>
      </w:r>
      <w:r w:rsidRPr="00795F17">
        <w:t xml:space="preserve"> 65% </w:t>
      </w:r>
      <w:r w:rsidR="00DF005E">
        <w:t>JCWP</w:t>
      </w:r>
      <w:r w:rsidRPr="00795F17">
        <w:rPr>
          <w:shd w:val="clear" w:color="auto" w:fill="FFFFFF" w:themeFill="background1"/>
        </w:rPr>
        <w:t xml:space="preserve"> LW (ocena stanu 2014</w:t>
      </w:r>
      <w:r w:rsidR="00EC4A0D">
        <w:rPr>
          <w:shd w:val="clear" w:color="auto" w:fill="FFFFFF" w:themeFill="background1"/>
        </w:rPr>
        <w:t>–</w:t>
      </w:r>
      <w:r w:rsidRPr="00795F17">
        <w:rPr>
          <w:shd w:val="clear" w:color="auto" w:fill="FFFFFF" w:themeFill="background1"/>
        </w:rPr>
        <w:t xml:space="preserve">2019 GIOŚ </w:t>
      </w:r>
      <w:r w:rsidR="00442820">
        <w:rPr>
          <w:shd w:val="clear" w:color="auto" w:fill="FFFFFF" w:themeFill="background1"/>
        </w:rPr>
        <w:t>według</w:t>
      </w:r>
      <w:r w:rsidRPr="00795F17">
        <w:rPr>
          <w:shd w:val="clear" w:color="auto" w:fill="FFFFFF" w:themeFill="background1"/>
        </w:rPr>
        <w:t xml:space="preserve"> </w:t>
      </w:r>
      <w:r w:rsidR="00DF005E">
        <w:rPr>
          <w:shd w:val="clear" w:color="auto" w:fill="FFFFFF" w:themeFill="background1"/>
        </w:rPr>
        <w:t>r.kl.jcwp</w:t>
      </w:r>
      <w:r w:rsidRPr="00795F17">
        <w:rPr>
          <w:shd w:val="clear" w:color="auto" w:fill="FFFFFF" w:themeFill="background1"/>
        </w:rPr>
        <w:t xml:space="preserve"> do 2022</w:t>
      </w:r>
      <w:r w:rsidR="00471392" w:rsidRPr="00795F17">
        <w:rPr>
          <w:shd w:val="clear" w:color="auto" w:fill="FFFFFF" w:themeFill="background1"/>
        </w:rPr>
        <w:t> </w:t>
      </w:r>
      <w:r w:rsidRPr="00795F17">
        <w:rPr>
          <w:shd w:val="clear" w:color="auto" w:fill="FFFFFF" w:themeFill="background1"/>
        </w:rPr>
        <w:t>r.),</w:t>
      </w:r>
      <w:r w:rsidRPr="00795F17">
        <w:t xml:space="preserve"> przy</w:t>
      </w:r>
      <w:r w:rsidR="00DC4CCC">
        <w:t> </w:t>
      </w:r>
      <w:r w:rsidRPr="00795F17">
        <w:t xml:space="preserve">uwzględnieniu klasyfikacji zgodnie z </w:t>
      </w:r>
      <w:r w:rsidR="00DF005E">
        <w:t>r.kl.jcwp</w:t>
      </w:r>
      <w:r w:rsidRPr="00795F17">
        <w:t xml:space="preserve"> od 2022 roku oraz wynikami analiz eksperckich liczba </w:t>
      </w:r>
      <w:r w:rsidR="00DF005E">
        <w:t>JCWP</w:t>
      </w:r>
      <w:r w:rsidRPr="00795F17">
        <w:t xml:space="preserve"> z uzyskaną oceną stanu bądź potencjału ekologicznego wynosi ok</w:t>
      </w:r>
      <w:r w:rsidR="001D27D5">
        <w:t>oło</w:t>
      </w:r>
      <w:r w:rsidRPr="00795F17">
        <w:t xml:space="preserve"> 55% </w:t>
      </w:r>
      <w:r w:rsidR="00DF005E">
        <w:t>JCWP</w:t>
      </w:r>
      <w:r w:rsidRPr="00795F17">
        <w:t xml:space="preserve"> LW w obszarze dorzecza Odry.</w:t>
      </w:r>
    </w:p>
    <w:p w14:paraId="330E61E9" w14:textId="26EAAC7B" w:rsidR="00462DD4" w:rsidRPr="001D33CA" w:rsidRDefault="00462DD4" w:rsidP="005842B5">
      <w:r w:rsidRPr="001D33CA">
        <w:t xml:space="preserve">W przypadku stanu chemicznego, spośród wszystkich </w:t>
      </w:r>
      <w:r w:rsidR="00DF005E">
        <w:t>JCWP</w:t>
      </w:r>
      <w:r w:rsidRPr="001D33CA">
        <w:t xml:space="preserve"> LW obszaru dorzecza Odry ocena stanu chemicznego wykonana została </w:t>
      </w:r>
      <w:r w:rsidRPr="005842B5">
        <w:t xml:space="preserve">dla </w:t>
      </w:r>
      <w:r w:rsidRPr="001D33CA">
        <w:t>ok</w:t>
      </w:r>
      <w:r w:rsidR="0098003E" w:rsidRPr="001D33CA">
        <w:t>oło</w:t>
      </w:r>
      <w:r w:rsidRPr="001D33CA">
        <w:t xml:space="preserve"> 56% </w:t>
      </w:r>
      <w:r w:rsidR="00DF005E">
        <w:t>JCWP</w:t>
      </w:r>
      <w:r w:rsidRPr="001D33CA">
        <w:t xml:space="preserve"> LW (ocena stanu 2014</w:t>
      </w:r>
      <w:r w:rsidR="001F5AA9" w:rsidRPr="001D33CA">
        <w:t>–</w:t>
      </w:r>
      <w:r w:rsidRPr="001D33CA">
        <w:t xml:space="preserve">2019 GIOŚ </w:t>
      </w:r>
      <w:r w:rsidR="00442820" w:rsidRPr="001D33CA">
        <w:t>według</w:t>
      </w:r>
      <w:r w:rsidRPr="001D33CA">
        <w:t xml:space="preserve"> </w:t>
      </w:r>
      <w:r w:rsidR="00DF005E">
        <w:t>r.kl.jcwp</w:t>
      </w:r>
      <w:r w:rsidRPr="001D33CA">
        <w:t xml:space="preserve"> do</w:t>
      </w:r>
      <w:r w:rsidR="00DC4CCC" w:rsidRPr="001D33CA">
        <w:t> </w:t>
      </w:r>
      <w:r w:rsidRPr="001D33CA">
        <w:t>2022</w:t>
      </w:r>
      <w:r w:rsidR="00DC4CCC" w:rsidRPr="001D33CA">
        <w:t> </w:t>
      </w:r>
      <w:r w:rsidRPr="001D33CA">
        <w:t xml:space="preserve">r.), przy uwzględnieniu klasyfikacji zgodnie z </w:t>
      </w:r>
      <w:r w:rsidR="00DF005E">
        <w:t>r.kl.jcwp</w:t>
      </w:r>
      <w:r w:rsidRPr="001D33CA">
        <w:t xml:space="preserve"> od 2022 roku oraz wynikami analiz eksperckich liczba </w:t>
      </w:r>
      <w:r w:rsidR="00DF005E">
        <w:t>JCWP</w:t>
      </w:r>
      <w:r w:rsidRPr="001D33CA">
        <w:t xml:space="preserve"> z uzyskaną </w:t>
      </w:r>
      <w:r w:rsidR="00C12087">
        <w:t>klasyfikacją stanu chemicznego</w:t>
      </w:r>
      <w:r w:rsidRPr="001D33CA">
        <w:t xml:space="preserve"> wynosi ok</w:t>
      </w:r>
      <w:r w:rsidR="0098003E" w:rsidRPr="001D33CA">
        <w:t>oło</w:t>
      </w:r>
      <w:r w:rsidRPr="001D33CA">
        <w:t xml:space="preserve"> 100% </w:t>
      </w:r>
      <w:r w:rsidR="00DF005E">
        <w:t>JCWP</w:t>
      </w:r>
      <w:r w:rsidRPr="001D33CA">
        <w:t xml:space="preserve"> LW </w:t>
      </w:r>
      <w:r w:rsidR="0098003E" w:rsidRPr="001D33CA">
        <w:t>na </w:t>
      </w:r>
      <w:r w:rsidRPr="001D33CA">
        <w:t xml:space="preserve">obszarze dorzecza Odry. </w:t>
      </w:r>
      <w:r w:rsidR="00590F37" w:rsidRPr="001D33CA">
        <w:t xml:space="preserve">Wyniki oceny eksperckiej </w:t>
      </w:r>
      <w:r w:rsidR="00C12087">
        <w:t>klasyfikacji stanu chemicznego</w:t>
      </w:r>
      <w:r w:rsidR="00590F37" w:rsidRPr="001D33CA">
        <w:t xml:space="preserve"> dla </w:t>
      </w:r>
      <w:r w:rsidR="00DF005E">
        <w:t>JCWP</w:t>
      </w:r>
      <w:r w:rsidR="00590F37" w:rsidRPr="001D33CA">
        <w:t xml:space="preserve"> LW d</w:t>
      </w:r>
      <w:r w:rsidR="00894CC6" w:rsidRPr="001D33CA">
        <w:t>o</w:t>
      </w:r>
      <w:r w:rsidR="00590F37" w:rsidRPr="001D33CA">
        <w:t xml:space="preserve"> roku 2022 przedstawiono w</w:t>
      </w:r>
      <w:r w:rsidR="0055601C" w:rsidRPr="001D33CA">
        <w:t> </w:t>
      </w:r>
      <w:r w:rsidR="00590F37" w:rsidRPr="001D33CA">
        <w:t xml:space="preserve">załączniku graficznym </w:t>
      </w:r>
      <w:r w:rsidR="0075020A" w:rsidRPr="001D33CA">
        <w:t xml:space="preserve">nr </w:t>
      </w:r>
      <w:r w:rsidR="000D31C7">
        <w:t>26</w:t>
      </w:r>
      <w:r w:rsidR="00590F37" w:rsidRPr="001D33CA">
        <w:t xml:space="preserve">, a od roku 2022 w załączniku graficznym </w:t>
      </w:r>
      <w:r w:rsidR="0075020A" w:rsidRPr="001D33CA">
        <w:t xml:space="preserve">nr </w:t>
      </w:r>
      <w:r w:rsidR="00C16F09">
        <w:t>30</w:t>
      </w:r>
      <w:r w:rsidR="00590F37" w:rsidRPr="001D33CA">
        <w:t>.</w:t>
      </w:r>
    </w:p>
    <w:p w14:paraId="49CEF412" w14:textId="2B5D940B" w:rsidR="00462DD4" w:rsidRPr="001D33CA" w:rsidRDefault="00462DD4" w:rsidP="005842B5">
      <w:r w:rsidRPr="001D33CA">
        <w:t xml:space="preserve">Oceny stanu wód dokonano dla 69% </w:t>
      </w:r>
      <w:r w:rsidR="00DF005E">
        <w:t>JCWP</w:t>
      </w:r>
      <w:r w:rsidRPr="001D33CA">
        <w:t xml:space="preserve"> LW spośród wszystkich </w:t>
      </w:r>
      <w:r w:rsidR="00DF005E">
        <w:t>JCWP</w:t>
      </w:r>
      <w:r w:rsidRPr="001D33CA">
        <w:t xml:space="preserve"> LW obszaru dorzecza Odry (ocena stanu 2014</w:t>
      </w:r>
      <w:r w:rsidR="001F5AA9" w:rsidRPr="001D33CA">
        <w:t>–</w:t>
      </w:r>
      <w:r w:rsidRPr="001D33CA">
        <w:t xml:space="preserve">2019 GIOŚ </w:t>
      </w:r>
      <w:r w:rsidR="00442820" w:rsidRPr="001D33CA">
        <w:t>według</w:t>
      </w:r>
      <w:r w:rsidRPr="001D33CA">
        <w:t xml:space="preserve"> </w:t>
      </w:r>
      <w:r w:rsidR="00DF005E">
        <w:t>r.kl.jcwp</w:t>
      </w:r>
      <w:r w:rsidRPr="001D33CA">
        <w:t xml:space="preserve"> do 2022 r.), przy uwzględnieniu klasyfikacji zgodnie z</w:t>
      </w:r>
      <w:r w:rsidR="0055601C" w:rsidRPr="001D33CA">
        <w:t> </w:t>
      </w:r>
      <w:r w:rsidR="00DF005E">
        <w:t>r.kl.jcwp</w:t>
      </w:r>
      <w:r w:rsidRPr="001D33CA">
        <w:t xml:space="preserve"> od 2022 roku oraz wynikami analiz eksperckich liczba </w:t>
      </w:r>
      <w:r w:rsidR="00DF005E">
        <w:t>JCWP</w:t>
      </w:r>
      <w:r w:rsidRPr="001D33CA">
        <w:t xml:space="preserve"> z uzyskaną oceną stanu wynosi ok</w:t>
      </w:r>
      <w:r w:rsidR="0098003E" w:rsidRPr="001D33CA">
        <w:t>oło</w:t>
      </w:r>
      <w:r w:rsidRPr="001D33CA">
        <w:t xml:space="preserve"> </w:t>
      </w:r>
      <w:r w:rsidR="001B17BE" w:rsidRPr="001D33CA">
        <w:t>68</w:t>
      </w:r>
      <w:r w:rsidRPr="001D33CA">
        <w:t xml:space="preserve">% </w:t>
      </w:r>
      <w:r w:rsidR="00DF005E">
        <w:t>JCWP</w:t>
      </w:r>
      <w:r w:rsidRPr="001D33CA">
        <w:t xml:space="preserve"> LW </w:t>
      </w:r>
      <w:r w:rsidR="0098003E" w:rsidRPr="001D33CA">
        <w:t>na</w:t>
      </w:r>
      <w:r w:rsidRPr="001D33CA">
        <w:t xml:space="preserve"> obszarze dorzecza Odry.</w:t>
      </w:r>
    </w:p>
    <w:p w14:paraId="4458EB53" w14:textId="06CDC183" w:rsidR="00E22E37" w:rsidRPr="001D33CA" w:rsidRDefault="00E22E37" w:rsidP="005842B5">
      <w:r w:rsidRPr="001D33CA">
        <w:t xml:space="preserve">Ocenę stanu wód dla </w:t>
      </w:r>
      <w:r w:rsidR="00DF005E">
        <w:t>JCWP</w:t>
      </w:r>
      <w:r w:rsidRPr="001D33CA">
        <w:t xml:space="preserve"> LW d</w:t>
      </w:r>
      <w:r w:rsidR="00894CC6" w:rsidRPr="001D33CA">
        <w:t>o</w:t>
      </w:r>
      <w:r w:rsidRPr="001D33CA">
        <w:t xml:space="preserve"> roku 2022 przedstawiono w załączniku graficznym </w:t>
      </w:r>
      <w:r w:rsidR="0075020A" w:rsidRPr="001D33CA">
        <w:t xml:space="preserve">nr </w:t>
      </w:r>
      <w:r w:rsidR="00D92B5A">
        <w:t>34</w:t>
      </w:r>
      <w:r w:rsidRPr="001D33CA">
        <w:t xml:space="preserve">, a od roku 2022 w załączniku graficznym </w:t>
      </w:r>
      <w:r w:rsidR="0075020A" w:rsidRPr="001D33CA">
        <w:t xml:space="preserve">nr </w:t>
      </w:r>
      <w:r w:rsidR="00D43B2D">
        <w:t>38</w:t>
      </w:r>
      <w:r w:rsidRPr="001D33CA">
        <w:t>.</w:t>
      </w:r>
    </w:p>
    <w:p w14:paraId="23763ADF" w14:textId="3CD8EC2E" w:rsidR="00462DD4" w:rsidRPr="00795F17" w:rsidRDefault="00462DD4" w:rsidP="004D7705">
      <w:pPr>
        <w:pStyle w:val="Tabela"/>
      </w:pPr>
      <w:bookmarkStart w:id="187" w:name="_Toc66341873"/>
      <w:bookmarkStart w:id="188" w:name="_Toc105512782"/>
      <w:r w:rsidRPr="00795F17">
        <w:t xml:space="preserve">Tabela </w:t>
      </w:r>
      <w:fldSimple w:instr=" STYLEREF 1 \s ">
        <w:r w:rsidR="001F774D">
          <w:rPr>
            <w:noProof/>
          </w:rPr>
          <w:t>5</w:t>
        </w:r>
      </w:fldSimple>
      <w:r w:rsidR="00BB3B21" w:rsidRPr="00795F17">
        <w:noBreakHyphen/>
      </w:r>
      <w:fldSimple w:instr=" SEQ Tabela \* ARABIC \s 1 ">
        <w:r w:rsidR="001F774D">
          <w:rPr>
            <w:noProof/>
          </w:rPr>
          <w:t>18</w:t>
        </w:r>
      </w:fldSimple>
      <w:r w:rsidR="00BA11D4">
        <w:rPr>
          <w:noProof/>
        </w:rPr>
        <w:t>.</w:t>
      </w:r>
      <w:r w:rsidRPr="00795F17">
        <w:tab/>
        <w:t xml:space="preserve">Podsumowanie oceny stanu </w:t>
      </w:r>
      <w:r w:rsidR="00DF005E">
        <w:t>JCWP</w:t>
      </w:r>
      <w:r w:rsidRPr="00795F17">
        <w:t xml:space="preserve"> LW </w:t>
      </w:r>
      <w:r w:rsidR="001F5AA9">
        <w:t>–</w:t>
      </w:r>
      <w:r w:rsidRPr="00795F17">
        <w:t xml:space="preserve"> obszar dorzecza Odry</w:t>
      </w:r>
      <w:bookmarkEnd w:id="187"/>
      <w:bookmarkEnd w:id="188"/>
    </w:p>
    <w:tbl>
      <w:tblPr>
        <w:tblStyle w:val="Tabela-Siatka"/>
        <w:tblW w:w="0" w:type="auto"/>
        <w:tblLook w:val="04A0" w:firstRow="1" w:lastRow="0" w:firstColumn="1" w:lastColumn="0" w:noHBand="0" w:noVBand="1"/>
      </w:tblPr>
      <w:tblGrid>
        <w:gridCol w:w="3261"/>
        <w:gridCol w:w="1417"/>
        <w:gridCol w:w="1418"/>
        <w:gridCol w:w="1417"/>
        <w:gridCol w:w="1554"/>
      </w:tblGrid>
      <w:tr w:rsidR="00462DD4" w:rsidRPr="00795F17" w14:paraId="15DE9C8D" w14:textId="77777777" w:rsidTr="00E83CCE">
        <w:trPr>
          <w:cnfStyle w:val="100000000000" w:firstRow="1" w:lastRow="0" w:firstColumn="0" w:lastColumn="0" w:oddVBand="0" w:evenVBand="0" w:oddHBand="0" w:evenHBand="0" w:firstRowFirstColumn="0" w:firstRowLastColumn="0" w:lastRowFirstColumn="0" w:lastRowLastColumn="0"/>
          <w:trHeight w:val="454"/>
        </w:trPr>
        <w:tc>
          <w:tcPr>
            <w:tcW w:w="3261" w:type="dxa"/>
            <w:vMerge w:val="restart"/>
            <w:tcBorders>
              <w:top w:val="nil"/>
              <w:left w:val="nil"/>
            </w:tcBorders>
            <w:shd w:val="clear" w:color="auto" w:fill="auto"/>
          </w:tcPr>
          <w:p w14:paraId="09BD38CF" w14:textId="77777777" w:rsidR="00462DD4" w:rsidRPr="00795F17" w:rsidRDefault="00462DD4" w:rsidP="0044393D"/>
        </w:tc>
        <w:tc>
          <w:tcPr>
            <w:tcW w:w="1417" w:type="dxa"/>
          </w:tcPr>
          <w:p w14:paraId="3B390EBA" w14:textId="23EBA738" w:rsidR="00462DD4" w:rsidRPr="00795F17" w:rsidRDefault="00DF005E" w:rsidP="0044393D">
            <w:pPr>
              <w:pStyle w:val="Teksttabelinaglowek"/>
              <w:rPr>
                <w:b/>
              </w:rPr>
            </w:pPr>
            <w:r>
              <w:rPr>
                <w:b/>
              </w:rPr>
              <w:t>R.kl.jcwp</w:t>
            </w:r>
            <w:r w:rsidR="00462DD4" w:rsidRPr="00795F17">
              <w:rPr>
                <w:b/>
              </w:rPr>
              <w:t xml:space="preserve"> </w:t>
            </w:r>
            <w:r w:rsidR="00462DD4" w:rsidRPr="00795F17">
              <w:rPr>
                <w:b/>
              </w:rPr>
              <w:br/>
              <w:t>do 2022 r.</w:t>
            </w:r>
          </w:p>
        </w:tc>
        <w:tc>
          <w:tcPr>
            <w:tcW w:w="4389" w:type="dxa"/>
            <w:gridSpan w:val="3"/>
          </w:tcPr>
          <w:p w14:paraId="16F6D1E3" w14:textId="5E25BAB4" w:rsidR="00462DD4" w:rsidRPr="00795F17" w:rsidRDefault="00DF005E" w:rsidP="0044393D">
            <w:pPr>
              <w:pStyle w:val="Teksttabelinaglowek"/>
              <w:rPr>
                <w:b/>
              </w:rPr>
            </w:pPr>
            <w:r>
              <w:rPr>
                <w:b/>
              </w:rPr>
              <w:t>R.kl.jcwp</w:t>
            </w:r>
            <w:r w:rsidR="00462DD4" w:rsidRPr="00795F17">
              <w:rPr>
                <w:b/>
              </w:rPr>
              <w:t xml:space="preserve"> od 2022</w:t>
            </w:r>
            <w:r w:rsidR="00C605CD" w:rsidRPr="00795F17">
              <w:rPr>
                <w:b/>
              </w:rPr>
              <w:t xml:space="preserve"> r.</w:t>
            </w:r>
          </w:p>
        </w:tc>
      </w:tr>
      <w:tr w:rsidR="00462DD4" w:rsidRPr="00795F17" w14:paraId="18B5EDF3" w14:textId="77777777" w:rsidTr="00E83CCE">
        <w:trPr>
          <w:trHeight w:val="454"/>
        </w:trPr>
        <w:tc>
          <w:tcPr>
            <w:tcW w:w="3261" w:type="dxa"/>
            <w:vMerge/>
            <w:tcBorders>
              <w:left w:val="nil"/>
            </w:tcBorders>
            <w:shd w:val="clear" w:color="auto" w:fill="auto"/>
          </w:tcPr>
          <w:p w14:paraId="182891B6" w14:textId="77777777" w:rsidR="00462DD4" w:rsidRPr="00795F17" w:rsidRDefault="00462DD4" w:rsidP="0044393D"/>
        </w:tc>
        <w:tc>
          <w:tcPr>
            <w:tcW w:w="1417" w:type="dxa"/>
            <w:shd w:val="clear" w:color="auto" w:fill="BFBFBF" w:themeFill="background1" w:themeFillShade="BF"/>
          </w:tcPr>
          <w:p w14:paraId="676AA757" w14:textId="047BED75" w:rsidR="00462DD4" w:rsidRPr="00795F17" w:rsidRDefault="00462DD4" w:rsidP="0044393D">
            <w:pPr>
              <w:pStyle w:val="Teksttabelinaglowek"/>
            </w:pPr>
            <w:r w:rsidRPr="00795F17">
              <w:t xml:space="preserve">Liczba </w:t>
            </w:r>
            <w:r w:rsidR="00DF005E">
              <w:t>JCWP</w:t>
            </w:r>
            <w:r w:rsidRPr="00795F17">
              <w:t xml:space="preserve"> </w:t>
            </w:r>
            <w:r w:rsidR="0098003E">
              <w:br/>
            </w:r>
            <w:r w:rsidRPr="00795F17">
              <w:t>z oceną stanu (PMŚ)</w:t>
            </w:r>
            <w:r w:rsidRPr="00795F17">
              <w:rPr>
                <w:vertAlign w:val="superscript"/>
              </w:rPr>
              <w:t>1</w:t>
            </w:r>
          </w:p>
        </w:tc>
        <w:tc>
          <w:tcPr>
            <w:tcW w:w="1418" w:type="dxa"/>
            <w:shd w:val="clear" w:color="auto" w:fill="BFBFBF" w:themeFill="background1" w:themeFillShade="BF"/>
          </w:tcPr>
          <w:p w14:paraId="01A2A59A" w14:textId="454A947B" w:rsidR="00462DD4" w:rsidRPr="00795F17" w:rsidRDefault="00462DD4" w:rsidP="0044393D">
            <w:pPr>
              <w:pStyle w:val="Teksttabelinaglowek"/>
            </w:pPr>
            <w:r w:rsidRPr="00795F17">
              <w:t xml:space="preserve">Liczba </w:t>
            </w:r>
            <w:r w:rsidR="00DF005E">
              <w:t>JCWP</w:t>
            </w:r>
            <w:r w:rsidR="0098003E">
              <w:br/>
            </w:r>
            <w:r w:rsidRPr="00795F17">
              <w:t xml:space="preserve"> z oceną stanu ogółem</w:t>
            </w:r>
          </w:p>
        </w:tc>
        <w:tc>
          <w:tcPr>
            <w:tcW w:w="1417" w:type="dxa"/>
            <w:shd w:val="clear" w:color="auto" w:fill="BFBFBF" w:themeFill="background1" w:themeFillShade="BF"/>
          </w:tcPr>
          <w:p w14:paraId="57B7B520" w14:textId="7C8787C8" w:rsidR="00462DD4" w:rsidRPr="00795F17" w:rsidRDefault="00462DD4" w:rsidP="0044393D">
            <w:pPr>
              <w:pStyle w:val="Teksttabelinaglowek"/>
            </w:pPr>
            <w:r w:rsidRPr="00795F17">
              <w:t xml:space="preserve">Liczba </w:t>
            </w:r>
            <w:r w:rsidR="00DF005E">
              <w:t>JCWP</w:t>
            </w:r>
            <w:r w:rsidRPr="00795F17">
              <w:t xml:space="preserve"> </w:t>
            </w:r>
            <w:r w:rsidR="0098003E">
              <w:br/>
            </w:r>
            <w:r w:rsidRPr="00795F17">
              <w:t>z oceną stanu (PMŚ)</w:t>
            </w:r>
            <w:r w:rsidRPr="00795F17">
              <w:rPr>
                <w:vertAlign w:val="superscript"/>
              </w:rPr>
              <w:t>2</w:t>
            </w:r>
          </w:p>
        </w:tc>
        <w:tc>
          <w:tcPr>
            <w:tcW w:w="1554" w:type="dxa"/>
            <w:shd w:val="clear" w:color="auto" w:fill="BFBFBF" w:themeFill="background1" w:themeFillShade="BF"/>
          </w:tcPr>
          <w:p w14:paraId="3DAC5E99" w14:textId="65CE01C6" w:rsidR="00462DD4" w:rsidRPr="00795F17" w:rsidRDefault="00462DD4" w:rsidP="0044393D">
            <w:pPr>
              <w:pStyle w:val="Teksttabelinaglowek"/>
            </w:pPr>
            <w:r w:rsidRPr="00795F17">
              <w:t xml:space="preserve">Liczba </w:t>
            </w:r>
            <w:r w:rsidR="00DF005E">
              <w:t>JCWP</w:t>
            </w:r>
            <w:r w:rsidRPr="00795F17">
              <w:t xml:space="preserve"> </w:t>
            </w:r>
            <w:r w:rsidR="0098003E">
              <w:br/>
            </w:r>
            <w:r w:rsidRPr="00795F17">
              <w:t>z oceną stanu (EKSP)</w:t>
            </w:r>
            <w:r w:rsidRPr="00795F17">
              <w:rPr>
                <w:vertAlign w:val="superscript"/>
              </w:rPr>
              <w:t>3</w:t>
            </w:r>
          </w:p>
        </w:tc>
      </w:tr>
      <w:tr w:rsidR="00462DD4" w:rsidRPr="00795F17" w14:paraId="2D2C38E0" w14:textId="77777777" w:rsidTr="00F97814">
        <w:trPr>
          <w:trHeight w:val="454"/>
        </w:trPr>
        <w:tc>
          <w:tcPr>
            <w:tcW w:w="3261" w:type="dxa"/>
            <w:shd w:val="clear" w:color="auto" w:fill="D9D9D9" w:themeFill="background1" w:themeFillShade="D9"/>
          </w:tcPr>
          <w:p w14:paraId="16763901" w14:textId="77777777" w:rsidR="00462DD4" w:rsidRPr="00795F17" w:rsidRDefault="00462DD4" w:rsidP="008C0577">
            <w:pPr>
              <w:pStyle w:val="Teksttabelilewy"/>
              <w:rPr>
                <w:b/>
              </w:rPr>
            </w:pPr>
            <w:r w:rsidRPr="00795F17">
              <w:rPr>
                <w:b/>
                <w:bCs/>
              </w:rPr>
              <w:t>Stan/potencjał ekologiczny</w:t>
            </w:r>
          </w:p>
        </w:tc>
        <w:tc>
          <w:tcPr>
            <w:tcW w:w="1417" w:type="dxa"/>
            <w:shd w:val="clear" w:color="auto" w:fill="D9D9D9" w:themeFill="background1" w:themeFillShade="D9"/>
          </w:tcPr>
          <w:p w14:paraId="507597E8" w14:textId="77777777" w:rsidR="00462DD4" w:rsidRPr="00795F17" w:rsidRDefault="00462DD4" w:rsidP="008C0577">
            <w:pPr>
              <w:pStyle w:val="Teksttabelinaglowek"/>
            </w:pPr>
            <w:r w:rsidRPr="00795F17">
              <w:t>276</w:t>
            </w:r>
          </w:p>
        </w:tc>
        <w:tc>
          <w:tcPr>
            <w:tcW w:w="1418" w:type="dxa"/>
            <w:shd w:val="clear" w:color="auto" w:fill="D9D9D9" w:themeFill="background1" w:themeFillShade="D9"/>
          </w:tcPr>
          <w:p w14:paraId="4A517021" w14:textId="77777777" w:rsidR="00462DD4" w:rsidRPr="00795F17" w:rsidRDefault="00462DD4" w:rsidP="008C0577">
            <w:pPr>
              <w:pStyle w:val="Teksttabelinaglowek"/>
            </w:pPr>
            <w:r w:rsidRPr="00795F17">
              <w:t>234</w:t>
            </w:r>
          </w:p>
        </w:tc>
        <w:tc>
          <w:tcPr>
            <w:tcW w:w="1417" w:type="dxa"/>
            <w:shd w:val="clear" w:color="auto" w:fill="D9D9D9" w:themeFill="background1" w:themeFillShade="D9"/>
          </w:tcPr>
          <w:p w14:paraId="31477B74" w14:textId="77777777" w:rsidR="00462DD4" w:rsidRPr="00795F17" w:rsidRDefault="00462DD4" w:rsidP="008C0577">
            <w:pPr>
              <w:pStyle w:val="Teksttabelinaglowek"/>
            </w:pPr>
            <w:r w:rsidRPr="00795F17">
              <w:t>234</w:t>
            </w:r>
          </w:p>
        </w:tc>
        <w:tc>
          <w:tcPr>
            <w:tcW w:w="1554" w:type="dxa"/>
            <w:shd w:val="clear" w:color="auto" w:fill="D9D9D9" w:themeFill="background1" w:themeFillShade="D9"/>
          </w:tcPr>
          <w:p w14:paraId="1E57E656" w14:textId="77777777" w:rsidR="00462DD4" w:rsidRPr="00795F17" w:rsidRDefault="00462DD4" w:rsidP="008C0577">
            <w:pPr>
              <w:pStyle w:val="Teksttabelinaglowek"/>
            </w:pPr>
            <w:r w:rsidRPr="00795F17">
              <w:t>0</w:t>
            </w:r>
          </w:p>
        </w:tc>
      </w:tr>
      <w:tr w:rsidR="00462DD4" w:rsidRPr="00795F17" w14:paraId="7B5E07D6" w14:textId="77777777" w:rsidTr="00F97814">
        <w:trPr>
          <w:trHeight w:val="454"/>
        </w:trPr>
        <w:tc>
          <w:tcPr>
            <w:tcW w:w="3261" w:type="dxa"/>
          </w:tcPr>
          <w:p w14:paraId="148EB5BB" w14:textId="77777777" w:rsidR="00462DD4" w:rsidRPr="00795F17" w:rsidRDefault="00462DD4" w:rsidP="0044393D">
            <w:pPr>
              <w:pStyle w:val="Teksttabelilewy"/>
            </w:pPr>
            <w:r w:rsidRPr="00795F17">
              <w:t>Bardzo dobry stan ekologiczny/ maksymalny potencjał ekologiczny</w:t>
            </w:r>
          </w:p>
        </w:tc>
        <w:tc>
          <w:tcPr>
            <w:tcW w:w="1417" w:type="dxa"/>
            <w:shd w:val="clear" w:color="auto" w:fill="F2F2F2" w:themeFill="background1" w:themeFillShade="F2"/>
          </w:tcPr>
          <w:p w14:paraId="41DE7DEE" w14:textId="77777777" w:rsidR="00462DD4" w:rsidRPr="00795F17" w:rsidRDefault="00462DD4" w:rsidP="0065243A">
            <w:pPr>
              <w:pStyle w:val="Teksttabelisrodek"/>
            </w:pPr>
            <w:r w:rsidRPr="00795F17">
              <w:t>3</w:t>
            </w:r>
          </w:p>
        </w:tc>
        <w:tc>
          <w:tcPr>
            <w:tcW w:w="1418" w:type="dxa"/>
          </w:tcPr>
          <w:p w14:paraId="0F91F9BE" w14:textId="77777777" w:rsidR="00462DD4" w:rsidRPr="00795F17" w:rsidRDefault="00462DD4" w:rsidP="0065243A">
            <w:pPr>
              <w:pStyle w:val="Teksttabelisrodek"/>
            </w:pPr>
            <w:r w:rsidRPr="00795F17">
              <w:t>0</w:t>
            </w:r>
          </w:p>
        </w:tc>
        <w:tc>
          <w:tcPr>
            <w:tcW w:w="1417" w:type="dxa"/>
          </w:tcPr>
          <w:p w14:paraId="6E269F2D" w14:textId="77777777" w:rsidR="00462DD4" w:rsidRPr="00795F17" w:rsidRDefault="00462DD4" w:rsidP="0065243A">
            <w:pPr>
              <w:pStyle w:val="Teksttabelisrodek"/>
            </w:pPr>
            <w:r w:rsidRPr="00795F17">
              <w:t>0</w:t>
            </w:r>
          </w:p>
        </w:tc>
        <w:tc>
          <w:tcPr>
            <w:tcW w:w="1554" w:type="dxa"/>
          </w:tcPr>
          <w:p w14:paraId="5AB5612E" w14:textId="77777777" w:rsidR="00462DD4" w:rsidRPr="00795F17" w:rsidRDefault="00462DD4" w:rsidP="0065243A">
            <w:pPr>
              <w:pStyle w:val="Teksttabelisrodek"/>
            </w:pPr>
            <w:r w:rsidRPr="00795F17">
              <w:t>0</w:t>
            </w:r>
          </w:p>
        </w:tc>
      </w:tr>
      <w:tr w:rsidR="00462DD4" w:rsidRPr="00795F17" w14:paraId="0730F116" w14:textId="77777777" w:rsidTr="00F97814">
        <w:trPr>
          <w:trHeight w:val="454"/>
        </w:trPr>
        <w:tc>
          <w:tcPr>
            <w:tcW w:w="3261" w:type="dxa"/>
          </w:tcPr>
          <w:p w14:paraId="615F8CAF" w14:textId="77777777" w:rsidR="00462DD4" w:rsidRPr="00795F17" w:rsidRDefault="00462DD4" w:rsidP="0044393D">
            <w:pPr>
              <w:pStyle w:val="Teksttabelilewy"/>
            </w:pPr>
            <w:r w:rsidRPr="00795F17">
              <w:t>Dobry stan ekologiczny/ potencjał ekologiczny</w:t>
            </w:r>
          </w:p>
        </w:tc>
        <w:tc>
          <w:tcPr>
            <w:tcW w:w="1417" w:type="dxa"/>
            <w:shd w:val="clear" w:color="auto" w:fill="F2F2F2" w:themeFill="background1" w:themeFillShade="F2"/>
          </w:tcPr>
          <w:p w14:paraId="29A4FDCD" w14:textId="77777777" w:rsidR="00462DD4" w:rsidRPr="00795F17" w:rsidRDefault="00462DD4" w:rsidP="0065243A">
            <w:pPr>
              <w:pStyle w:val="Teksttabelisrodek"/>
            </w:pPr>
            <w:r w:rsidRPr="00795F17">
              <w:t>61</w:t>
            </w:r>
          </w:p>
        </w:tc>
        <w:tc>
          <w:tcPr>
            <w:tcW w:w="1418" w:type="dxa"/>
          </w:tcPr>
          <w:p w14:paraId="39A96E5A" w14:textId="77777777" w:rsidR="00462DD4" w:rsidRPr="00795F17" w:rsidRDefault="00462DD4" w:rsidP="0065243A">
            <w:pPr>
              <w:pStyle w:val="Teksttabelisrodek"/>
            </w:pPr>
            <w:r w:rsidRPr="00795F17">
              <w:t>33</w:t>
            </w:r>
          </w:p>
        </w:tc>
        <w:tc>
          <w:tcPr>
            <w:tcW w:w="1417" w:type="dxa"/>
          </w:tcPr>
          <w:p w14:paraId="33FB341C" w14:textId="77777777" w:rsidR="00462DD4" w:rsidRPr="00795F17" w:rsidRDefault="00462DD4" w:rsidP="0065243A">
            <w:pPr>
              <w:pStyle w:val="Teksttabelisrodek"/>
            </w:pPr>
            <w:r w:rsidRPr="00795F17">
              <w:t>33</w:t>
            </w:r>
          </w:p>
        </w:tc>
        <w:tc>
          <w:tcPr>
            <w:tcW w:w="1554" w:type="dxa"/>
          </w:tcPr>
          <w:p w14:paraId="470ADF9A" w14:textId="77777777" w:rsidR="00462DD4" w:rsidRPr="00795F17" w:rsidRDefault="00462DD4" w:rsidP="0065243A">
            <w:pPr>
              <w:pStyle w:val="Teksttabelisrodek"/>
            </w:pPr>
            <w:r w:rsidRPr="00795F17">
              <w:t>0</w:t>
            </w:r>
          </w:p>
        </w:tc>
      </w:tr>
      <w:tr w:rsidR="00462DD4" w:rsidRPr="00795F17" w14:paraId="574A2CB2" w14:textId="77777777" w:rsidTr="00F97814">
        <w:trPr>
          <w:trHeight w:val="454"/>
        </w:trPr>
        <w:tc>
          <w:tcPr>
            <w:tcW w:w="3261" w:type="dxa"/>
          </w:tcPr>
          <w:p w14:paraId="7B9DA02C" w14:textId="77777777" w:rsidR="00462DD4" w:rsidRPr="00795F17" w:rsidRDefault="00462DD4" w:rsidP="0044393D">
            <w:pPr>
              <w:pStyle w:val="Teksttabelilewy"/>
            </w:pPr>
            <w:r w:rsidRPr="00795F17">
              <w:t>Umiarkowany stan ekologiczny/ umiarkowany potencjał ekologiczny</w:t>
            </w:r>
          </w:p>
        </w:tc>
        <w:tc>
          <w:tcPr>
            <w:tcW w:w="1417" w:type="dxa"/>
            <w:shd w:val="clear" w:color="auto" w:fill="F2F2F2" w:themeFill="background1" w:themeFillShade="F2"/>
          </w:tcPr>
          <w:p w14:paraId="6916A740" w14:textId="77777777" w:rsidR="00462DD4" w:rsidRPr="00795F17" w:rsidRDefault="00462DD4" w:rsidP="0065243A">
            <w:pPr>
              <w:pStyle w:val="Teksttabelisrodek"/>
            </w:pPr>
            <w:r w:rsidRPr="00795F17">
              <w:t>89</w:t>
            </w:r>
          </w:p>
        </w:tc>
        <w:tc>
          <w:tcPr>
            <w:tcW w:w="1418" w:type="dxa"/>
          </w:tcPr>
          <w:p w14:paraId="251B386A" w14:textId="77777777" w:rsidR="00462DD4" w:rsidRPr="00795F17" w:rsidRDefault="00462DD4" w:rsidP="0065243A">
            <w:pPr>
              <w:pStyle w:val="Teksttabelisrodek"/>
            </w:pPr>
            <w:r w:rsidRPr="00795F17">
              <w:t>64</w:t>
            </w:r>
          </w:p>
        </w:tc>
        <w:tc>
          <w:tcPr>
            <w:tcW w:w="1417" w:type="dxa"/>
          </w:tcPr>
          <w:p w14:paraId="204FFF25" w14:textId="77777777" w:rsidR="00462DD4" w:rsidRPr="00795F17" w:rsidRDefault="00462DD4" w:rsidP="0065243A">
            <w:pPr>
              <w:pStyle w:val="Teksttabelisrodek"/>
            </w:pPr>
            <w:r w:rsidRPr="00795F17">
              <w:t>64</w:t>
            </w:r>
          </w:p>
        </w:tc>
        <w:tc>
          <w:tcPr>
            <w:tcW w:w="1554" w:type="dxa"/>
          </w:tcPr>
          <w:p w14:paraId="37FBF09B" w14:textId="77777777" w:rsidR="00462DD4" w:rsidRPr="00795F17" w:rsidRDefault="00462DD4" w:rsidP="0065243A">
            <w:pPr>
              <w:pStyle w:val="Teksttabelisrodek"/>
            </w:pPr>
            <w:r w:rsidRPr="00795F17">
              <w:t>0</w:t>
            </w:r>
          </w:p>
        </w:tc>
      </w:tr>
      <w:tr w:rsidR="00462DD4" w:rsidRPr="00795F17" w14:paraId="2B1AE960" w14:textId="77777777" w:rsidTr="00F97814">
        <w:trPr>
          <w:trHeight w:val="454"/>
        </w:trPr>
        <w:tc>
          <w:tcPr>
            <w:tcW w:w="3261" w:type="dxa"/>
          </w:tcPr>
          <w:p w14:paraId="53A17FF4" w14:textId="77777777" w:rsidR="00462DD4" w:rsidRPr="00795F17" w:rsidRDefault="00462DD4" w:rsidP="0044393D">
            <w:pPr>
              <w:pStyle w:val="Teksttabelilewy"/>
            </w:pPr>
            <w:r w:rsidRPr="00795F17">
              <w:t>Słaby stan ekologiczny/ słaby potencjał ekologiczny</w:t>
            </w:r>
          </w:p>
        </w:tc>
        <w:tc>
          <w:tcPr>
            <w:tcW w:w="1417" w:type="dxa"/>
            <w:shd w:val="clear" w:color="auto" w:fill="F2F2F2" w:themeFill="background1" w:themeFillShade="F2"/>
          </w:tcPr>
          <w:p w14:paraId="75B6A4EE" w14:textId="77777777" w:rsidR="00462DD4" w:rsidRPr="00795F17" w:rsidRDefault="00462DD4" w:rsidP="0065243A">
            <w:pPr>
              <w:pStyle w:val="Teksttabelisrodek"/>
            </w:pPr>
            <w:r w:rsidRPr="00795F17">
              <w:t>66</w:t>
            </w:r>
          </w:p>
        </w:tc>
        <w:tc>
          <w:tcPr>
            <w:tcW w:w="1418" w:type="dxa"/>
          </w:tcPr>
          <w:p w14:paraId="7AE230E0" w14:textId="77777777" w:rsidR="00462DD4" w:rsidRPr="00795F17" w:rsidRDefault="00462DD4" w:rsidP="0065243A">
            <w:pPr>
              <w:pStyle w:val="Teksttabelisrodek"/>
            </w:pPr>
            <w:r w:rsidRPr="00795F17">
              <w:t>3</w:t>
            </w:r>
          </w:p>
        </w:tc>
        <w:tc>
          <w:tcPr>
            <w:tcW w:w="1417" w:type="dxa"/>
          </w:tcPr>
          <w:p w14:paraId="5279E94D" w14:textId="77777777" w:rsidR="00462DD4" w:rsidRPr="00795F17" w:rsidRDefault="00462DD4" w:rsidP="0065243A">
            <w:pPr>
              <w:pStyle w:val="Teksttabelisrodek"/>
            </w:pPr>
            <w:r w:rsidRPr="00795F17">
              <w:t>3</w:t>
            </w:r>
          </w:p>
        </w:tc>
        <w:tc>
          <w:tcPr>
            <w:tcW w:w="1554" w:type="dxa"/>
          </w:tcPr>
          <w:p w14:paraId="29F8066A" w14:textId="77777777" w:rsidR="00462DD4" w:rsidRPr="00795F17" w:rsidRDefault="00462DD4" w:rsidP="0065243A">
            <w:pPr>
              <w:pStyle w:val="Teksttabelisrodek"/>
            </w:pPr>
            <w:r w:rsidRPr="00795F17">
              <w:t>0</w:t>
            </w:r>
          </w:p>
        </w:tc>
      </w:tr>
      <w:tr w:rsidR="00462DD4" w:rsidRPr="00795F17" w14:paraId="2C0B78EE" w14:textId="77777777" w:rsidTr="00F97814">
        <w:trPr>
          <w:trHeight w:val="454"/>
        </w:trPr>
        <w:tc>
          <w:tcPr>
            <w:tcW w:w="3261" w:type="dxa"/>
          </w:tcPr>
          <w:p w14:paraId="4277CBAF" w14:textId="77777777" w:rsidR="00462DD4" w:rsidRPr="00795F17" w:rsidRDefault="00462DD4" w:rsidP="0044393D">
            <w:pPr>
              <w:pStyle w:val="Teksttabelilewy"/>
            </w:pPr>
            <w:r w:rsidRPr="00795F17">
              <w:t>Zły stan ekologiczny/ zły potencjał ekologiczny</w:t>
            </w:r>
          </w:p>
        </w:tc>
        <w:tc>
          <w:tcPr>
            <w:tcW w:w="1417" w:type="dxa"/>
            <w:shd w:val="clear" w:color="auto" w:fill="F2F2F2" w:themeFill="background1" w:themeFillShade="F2"/>
          </w:tcPr>
          <w:p w14:paraId="08CDE12E" w14:textId="77777777" w:rsidR="00462DD4" w:rsidRPr="00795F17" w:rsidRDefault="00462DD4" w:rsidP="0065243A">
            <w:pPr>
              <w:pStyle w:val="Teksttabelisrodek"/>
            </w:pPr>
            <w:r w:rsidRPr="00795F17">
              <w:t>57</w:t>
            </w:r>
          </w:p>
        </w:tc>
        <w:tc>
          <w:tcPr>
            <w:tcW w:w="1418" w:type="dxa"/>
          </w:tcPr>
          <w:p w14:paraId="5D4444B3" w14:textId="77777777" w:rsidR="00462DD4" w:rsidRPr="00795F17" w:rsidRDefault="00462DD4" w:rsidP="0065243A">
            <w:pPr>
              <w:pStyle w:val="Teksttabelisrodek"/>
            </w:pPr>
            <w:r w:rsidRPr="00795F17">
              <w:t>134</w:t>
            </w:r>
          </w:p>
        </w:tc>
        <w:tc>
          <w:tcPr>
            <w:tcW w:w="1417" w:type="dxa"/>
          </w:tcPr>
          <w:p w14:paraId="1F0C8090" w14:textId="77777777" w:rsidR="00462DD4" w:rsidRPr="00795F17" w:rsidRDefault="00462DD4" w:rsidP="0065243A">
            <w:pPr>
              <w:pStyle w:val="Teksttabelisrodek"/>
            </w:pPr>
            <w:r w:rsidRPr="00795F17">
              <w:t>134</w:t>
            </w:r>
          </w:p>
        </w:tc>
        <w:tc>
          <w:tcPr>
            <w:tcW w:w="1554" w:type="dxa"/>
          </w:tcPr>
          <w:p w14:paraId="3DACDF9E" w14:textId="77777777" w:rsidR="00462DD4" w:rsidRPr="00795F17" w:rsidRDefault="00462DD4" w:rsidP="0065243A">
            <w:pPr>
              <w:pStyle w:val="Teksttabelisrodek"/>
            </w:pPr>
            <w:r w:rsidRPr="00795F17">
              <w:t>0</w:t>
            </w:r>
          </w:p>
        </w:tc>
      </w:tr>
      <w:tr w:rsidR="00462DD4" w:rsidRPr="00795F17" w14:paraId="373CB486" w14:textId="77777777" w:rsidTr="00F97814">
        <w:trPr>
          <w:trHeight w:val="454"/>
        </w:trPr>
        <w:tc>
          <w:tcPr>
            <w:tcW w:w="3261" w:type="dxa"/>
            <w:shd w:val="clear" w:color="auto" w:fill="D9D9D9" w:themeFill="background1" w:themeFillShade="D9"/>
          </w:tcPr>
          <w:p w14:paraId="4F2B15B5" w14:textId="77777777" w:rsidR="00462DD4" w:rsidRPr="00795F17" w:rsidRDefault="00462DD4" w:rsidP="00CA7C1B">
            <w:pPr>
              <w:pStyle w:val="Teksttabelilewy"/>
              <w:rPr>
                <w:b/>
              </w:rPr>
            </w:pPr>
            <w:r w:rsidRPr="00795F17">
              <w:rPr>
                <w:b/>
                <w:bCs/>
              </w:rPr>
              <w:t>Stan chemiczny</w:t>
            </w:r>
          </w:p>
        </w:tc>
        <w:tc>
          <w:tcPr>
            <w:tcW w:w="1417" w:type="dxa"/>
            <w:shd w:val="clear" w:color="auto" w:fill="D9D9D9" w:themeFill="background1" w:themeFillShade="D9"/>
          </w:tcPr>
          <w:p w14:paraId="42EC9306" w14:textId="77777777" w:rsidR="00462DD4" w:rsidRPr="00795F17" w:rsidRDefault="00462DD4" w:rsidP="008C0577">
            <w:pPr>
              <w:pStyle w:val="Teksttabelinaglowek"/>
            </w:pPr>
            <w:r w:rsidRPr="00795F17">
              <w:t>237</w:t>
            </w:r>
          </w:p>
        </w:tc>
        <w:tc>
          <w:tcPr>
            <w:tcW w:w="1418" w:type="dxa"/>
            <w:shd w:val="clear" w:color="auto" w:fill="D9D9D9" w:themeFill="background1" w:themeFillShade="D9"/>
          </w:tcPr>
          <w:p w14:paraId="08D137F5" w14:textId="640C1EBD" w:rsidR="00462DD4" w:rsidRPr="00795F17" w:rsidRDefault="00462DD4" w:rsidP="008C0577">
            <w:pPr>
              <w:pStyle w:val="Teksttabelinaglowek"/>
            </w:pPr>
            <w:r w:rsidRPr="00795F17">
              <w:t>42</w:t>
            </w:r>
            <w:r w:rsidR="00D1531F">
              <w:t>6</w:t>
            </w:r>
          </w:p>
        </w:tc>
        <w:tc>
          <w:tcPr>
            <w:tcW w:w="1417" w:type="dxa"/>
            <w:shd w:val="clear" w:color="auto" w:fill="D9D9D9" w:themeFill="background1" w:themeFillShade="D9"/>
          </w:tcPr>
          <w:p w14:paraId="5D5C5F42" w14:textId="40042741" w:rsidR="00462DD4" w:rsidRPr="00795F17" w:rsidRDefault="00D1531F" w:rsidP="008C0577">
            <w:pPr>
              <w:pStyle w:val="Teksttabelinaglowek"/>
            </w:pPr>
            <w:r>
              <w:t>237</w:t>
            </w:r>
          </w:p>
        </w:tc>
        <w:tc>
          <w:tcPr>
            <w:tcW w:w="1554" w:type="dxa"/>
            <w:shd w:val="clear" w:color="auto" w:fill="D9D9D9" w:themeFill="background1" w:themeFillShade="D9"/>
          </w:tcPr>
          <w:p w14:paraId="3BBF5C17" w14:textId="7A62C658" w:rsidR="00462DD4" w:rsidRPr="00795F17" w:rsidRDefault="00D1531F" w:rsidP="008C0577">
            <w:pPr>
              <w:pStyle w:val="Teksttabelinaglowek"/>
            </w:pPr>
            <w:r>
              <w:t>189</w:t>
            </w:r>
          </w:p>
        </w:tc>
      </w:tr>
      <w:tr w:rsidR="00462DD4" w:rsidRPr="00795F17" w14:paraId="616ADD8F" w14:textId="77777777" w:rsidTr="00F97814">
        <w:trPr>
          <w:trHeight w:val="454"/>
        </w:trPr>
        <w:tc>
          <w:tcPr>
            <w:tcW w:w="3261" w:type="dxa"/>
          </w:tcPr>
          <w:p w14:paraId="2EE64E2D" w14:textId="77777777" w:rsidR="00462DD4" w:rsidRPr="00795F17" w:rsidRDefault="00462DD4" w:rsidP="0044393D">
            <w:pPr>
              <w:pStyle w:val="Teksttabelilewy"/>
            </w:pPr>
            <w:r w:rsidRPr="00795F17">
              <w:t>Dobry stan chemiczny</w:t>
            </w:r>
          </w:p>
        </w:tc>
        <w:tc>
          <w:tcPr>
            <w:tcW w:w="1417" w:type="dxa"/>
            <w:shd w:val="clear" w:color="auto" w:fill="F2F2F2" w:themeFill="background1" w:themeFillShade="F2"/>
          </w:tcPr>
          <w:p w14:paraId="5451D17D" w14:textId="77777777" w:rsidR="00462DD4" w:rsidRPr="00795F17" w:rsidRDefault="00462DD4" w:rsidP="0065243A">
            <w:pPr>
              <w:pStyle w:val="Teksttabelisrodek"/>
            </w:pPr>
            <w:r w:rsidRPr="00795F17">
              <w:t>63</w:t>
            </w:r>
          </w:p>
        </w:tc>
        <w:tc>
          <w:tcPr>
            <w:tcW w:w="1418" w:type="dxa"/>
          </w:tcPr>
          <w:p w14:paraId="61DE8AA4" w14:textId="3A602717" w:rsidR="00462DD4" w:rsidRPr="00795F17" w:rsidRDefault="00096C0A" w:rsidP="0065243A">
            <w:pPr>
              <w:pStyle w:val="Teksttabelisrodek"/>
            </w:pPr>
            <w:r>
              <w:t>210</w:t>
            </w:r>
          </w:p>
        </w:tc>
        <w:tc>
          <w:tcPr>
            <w:tcW w:w="1417" w:type="dxa"/>
          </w:tcPr>
          <w:p w14:paraId="31799470" w14:textId="15C8606B" w:rsidR="00462DD4" w:rsidRPr="00795F17" w:rsidRDefault="00750AB8" w:rsidP="0065243A">
            <w:pPr>
              <w:pStyle w:val="Teksttabelisrodek"/>
            </w:pPr>
            <w:r>
              <w:t>63</w:t>
            </w:r>
          </w:p>
        </w:tc>
        <w:tc>
          <w:tcPr>
            <w:tcW w:w="1554" w:type="dxa"/>
          </w:tcPr>
          <w:p w14:paraId="204064E1" w14:textId="4327B227" w:rsidR="00462DD4" w:rsidRPr="00795F17" w:rsidRDefault="00750AB8" w:rsidP="0065243A">
            <w:pPr>
              <w:pStyle w:val="Teksttabelisrodek"/>
            </w:pPr>
            <w:r>
              <w:t>147</w:t>
            </w:r>
          </w:p>
        </w:tc>
      </w:tr>
      <w:tr w:rsidR="00462DD4" w:rsidRPr="00795F17" w14:paraId="4E03632C" w14:textId="77777777" w:rsidTr="00F97814">
        <w:trPr>
          <w:trHeight w:val="454"/>
        </w:trPr>
        <w:tc>
          <w:tcPr>
            <w:tcW w:w="3261" w:type="dxa"/>
          </w:tcPr>
          <w:p w14:paraId="5BC29E46" w14:textId="77777777" w:rsidR="00462DD4" w:rsidRPr="00795F17" w:rsidRDefault="00462DD4" w:rsidP="0044393D">
            <w:pPr>
              <w:pStyle w:val="Teksttabelilewy"/>
            </w:pPr>
            <w:r w:rsidRPr="00795F17">
              <w:t>Stan chemiczny poniżej dobrego</w:t>
            </w:r>
          </w:p>
        </w:tc>
        <w:tc>
          <w:tcPr>
            <w:tcW w:w="1417" w:type="dxa"/>
            <w:shd w:val="clear" w:color="auto" w:fill="F2F2F2" w:themeFill="background1" w:themeFillShade="F2"/>
          </w:tcPr>
          <w:p w14:paraId="543ECFC6" w14:textId="77777777" w:rsidR="00462DD4" w:rsidRPr="00795F17" w:rsidRDefault="00462DD4" w:rsidP="0065243A">
            <w:pPr>
              <w:pStyle w:val="Teksttabelisrodek"/>
            </w:pPr>
            <w:r w:rsidRPr="00795F17">
              <w:t>174</w:t>
            </w:r>
          </w:p>
        </w:tc>
        <w:tc>
          <w:tcPr>
            <w:tcW w:w="1418" w:type="dxa"/>
          </w:tcPr>
          <w:p w14:paraId="08B5D1CC" w14:textId="64EA4E5E" w:rsidR="00462DD4" w:rsidRPr="00795F17" w:rsidRDefault="00AF71A8" w:rsidP="0065243A">
            <w:pPr>
              <w:pStyle w:val="Teksttabelisrodek"/>
            </w:pPr>
            <w:r w:rsidRPr="00795F17">
              <w:t>2</w:t>
            </w:r>
            <w:r>
              <w:t>16</w:t>
            </w:r>
          </w:p>
        </w:tc>
        <w:tc>
          <w:tcPr>
            <w:tcW w:w="1417" w:type="dxa"/>
          </w:tcPr>
          <w:p w14:paraId="423E440B" w14:textId="0BCD61F0" w:rsidR="00462DD4" w:rsidRPr="00795F17" w:rsidRDefault="00AF71A8" w:rsidP="0065243A">
            <w:pPr>
              <w:pStyle w:val="Teksttabelisrodek"/>
            </w:pPr>
            <w:r>
              <w:t>174</w:t>
            </w:r>
          </w:p>
        </w:tc>
        <w:tc>
          <w:tcPr>
            <w:tcW w:w="1554" w:type="dxa"/>
          </w:tcPr>
          <w:p w14:paraId="69C53807" w14:textId="6132FC57" w:rsidR="00462DD4" w:rsidRPr="00795F17" w:rsidRDefault="00D1531F" w:rsidP="0065243A">
            <w:pPr>
              <w:pStyle w:val="Teksttabelisrodek"/>
            </w:pPr>
            <w:r>
              <w:t>42</w:t>
            </w:r>
          </w:p>
        </w:tc>
      </w:tr>
      <w:tr w:rsidR="00462DD4" w:rsidRPr="00795F17" w14:paraId="6CD0B58B" w14:textId="77777777" w:rsidTr="00F97814">
        <w:trPr>
          <w:trHeight w:val="454"/>
        </w:trPr>
        <w:tc>
          <w:tcPr>
            <w:tcW w:w="3261" w:type="dxa"/>
            <w:shd w:val="clear" w:color="auto" w:fill="D9D9D9" w:themeFill="background1" w:themeFillShade="D9"/>
          </w:tcPr>
          <w:p w14:paraId="730067C6" w14:textId="77777777" w:rsidR="00462DD4" w:rsidRPr="00795F17" w:rsidRDefault="00462DD4" w:rsidP="008C0577">
            <w:pPr>
              <w:pStyle w:val="Teksttabelilewy"/>
              <w:rPr>
                <w:b/>
              </w:rPr>
            </w:pPr>
            <w:r w:rsidRPr="00795F17">
              <w:rPr>
                <w:b/>
                <w:bCs/>
              </w:rPr>
              <w:t>Stan wód</w:t>
            </w:r>
          </w:p>
        </w:tc>
        <w:tc>
          <w:tcPr>
            <w:tcW w:w="1417" w:type="dxa"/>
            <w:shd w:val="clear" w:color="auto" w:fill="D9D9D9" w:themeFill="background1" w:themeFillShade="D9"/>
          </w:tcPr>
          <w:p w14:paraId="7199FA22" w14:textId="77777777" w:rsidR="00462DD4" w:rsidRPr="00795F17" w:rsidRDefault="00462DD4" w:rsidP="008C0577">
            <w:pPr>
              <w:pStyle w:val="Teksttabelinaglowek"/>
            </w:pPr>
            <w:r w:rsidRPr="00795F17">
              <w:t>294</w:t>
            </w:r>
          </w:p>
        </w:tc>
        <w:tc>
          <w:tcPr>
            <w:tcW w:w="1418" w:type="dxa"/>
            <w:shd w:val="clear" w:color="auto" w:fill="D9D9D9" w:themeFill="background1" w:themeFillShade="D9"/>
          </w:tcPr>
          <w:p w14:paraId="3B1DD713" w14:textId="7C0792BB" w:rsidR="00462DD4" w:rsidRPr="00795F17" w:rsidRDefault="00CA7C1B" w:rsidP="008C0577">
            <w:pPr>
              <w:pStyle w:val="Teksttabelinaglowek"/>
            </w:pPr>
            <w:r>
              <w:t>292</w:t>
            </w:r>
          </w:p>
        </w:tc>
        <w:tc>
          <w:tcPr>
            <w:tcW w:w="1417" w:type="dxa"/>
            <w:shd w:val="clear" w:color="auto" w:fill="D9D9D9" w:themeFill="background1" w:themeFillShade="D9"/>
          </w:tcPr>
          <w:p w14:paraId="02D0BCF6" w14:textId="49951D2C" w:rsidR="00462DD4" w:rsidRPr="00795F17" w:rsidRDefault="00D1531F" w:rsidP="008C0577">
            <w:pPr>
              <w:pStyle w:val="Teksttabelinaglowek"/>
            </w:pPr>
            <w:r>
              <w:t>-</w:t>
            </w:r>
          </w:p>
        </w:tc>
        <w:tc>
          <w:tcPr>
            <w:tcW w:w="1554" w:type="dxa"/>
            <w:shd w:val="clear" w:color="auto" w:fill="D9D9D9" w:themeFill="background1" w:themeFillShade="D9"/>
          </w:tcPr>
          <w:p w14:paraId="1CEDE0AB" w14:textId="788D09F5" w:rsidR="00462DD4" w:rsidRPr="00795F17" w:rsidRDefault="00D1531F" w:rsidP="008C0577">
            <w:pPr>
              <w:pStyle w:val="Teksttabelinaglowek"/>
            </w:pPr>
            <w:r>
              <w:t>-</w:t>
            </w:r>
          </w:p>
        </w:tc>
      </w:tr>
      <w:tr w:rsidR="00462DD4" w:rsidRPr="00795F17" w14:paraId="71FC79D9" w14:textId="77777777" w:rsidTr="00F97814">
        <w:trPr>
          <w:trHeight w:val="454"/>
        </w:trPr>
        <w:tc>
          <w:tcPr>
            <w:tcW w:w="3261" w:type="dxa"/>
          </w:tcPr>
          <w:p w14:paraId="1DD199E6" w14:textId="77777777" w:rsidR="00462DD4" w:rsidRPr="00795F17" w:rsidRDefault="00462DD4" w:rsidP="0044393D">
            <w:pPr>
              <w:pStyle w:val="Teksttabelilewy"/>
            </w:pPr>
            <w:r w:rsidRPr="00795F17">
              <w:t>Dobry stan wód</w:t>
            </w:r>
          </w:p>
        </w:tc>
        <w:tc>
          <w:tcPr>
            <w:tcW w:w="1417" w:type="dxa"/>
            <w:shd w:val="clear" w:color="auto" w:fill="F2F2F2" w:themeFill="background1" w:themeFillShade="F2"/>
          </w:tcPr>
          <w:p w14:paraId="0D09BE89" w14:textId="77777777" w:rsidR="00462DD4" w:rsidRPr="00795F17" w:rsidRDefault="00462DD4" w:rsidP="0065243A">
            <w:pPr>
              <w:pStyle w:val="Teksttabelisrodek"/>
            </w:pPr>
            <w:r w:rsidRPr="00795F17">
              <w:t>24</w:t>
            </w:r>
          </w:p>
        </w:tc>
        <w:tc>
          <w:tcPr>
            <w:tcW w:w="1418" w:type="dxa"/>
          </w:tcPr>
          <w:p w14:paraId="49DF472A" w14:textId="55C3E833" w:rsidR="00462DD4" w:rsidRPr="00795F17" w:rsidRDefault="00DE3EFD" w:rsidP="0065243A">
            <w:pPr>
              <w:pStyle w:val="Teksttabelisrodek"/>
            </w:pPr>
            <w:r>
              <w:t>5</w:t>
            </w:r>
          </w:p>
        </w:tc>
        <w:tc>
          <w:tcPr>
            <w:tcW w:w="1417" w:type="dxa"/>
          </w:tcPr>
          <w:p w14:paraId="15B9F558" w14:textId="57AFD174" w:rsidR="00462DD4" w:rsidRPr="00795F17" w:rsidRDefault="00D1531F" w:rsidP="0065243A">
            <w:pPr>
              <w:pStyle w:val="Teksttabelisrodek"/>
            </w:pPr>
            <w:r>
              <w:t>-</w:t>
            </w:r>
          </w:p>
        </w:tc>
        <w:tc>
          <w:tcPr>
            <w:tcW w:w="1554" w:type="dxa"/>
          </w:tcPr>
          <w:p w14:paraId="1A05F7B4" w14:textId="0F0342AF" w:rsidR="00462DD4" w:rsidRPr="00795F17" w:rsidRDefault="00D1531F" w:rsidP="0065243A">
            <w:pPr>
              <w:pStyle w:val="Teksttabelisrodek"/>
            </w:pPr>
            <w:r>
              <w:t>-</w:t>
            </w:r>
          </w:p>
        </w:tc>
      </w:tr>
      <w:tr w:rsidR="00462DD4" w:rsidRPr="00795F17" w14:paraId="3435B0F0" w14:textId="77777777" w:rsidTr="00F97814">
        <w:trPr>
          <w:trHeight w:val="454"/>
        </w:trPr>
        <w:tc>
          <w:tcPr>
            <w:tcW w:w="3261" w:type="dxa"/>
          </w:tcPr>
          <w:p w14:paraId="7DDB6247" w14:textId="77777777" w:rsidR="00462DD4" w:rsidRPr="00795F17" w:rsidRDefault="00462DD4" w:rsidP="0044393D">
            <w:pPr>
              <w:pStyle w:val="Teksttabelilewy"/>
            </w:pPr>
            <w:r w:rsidRPr="00795F17">
              <w:t>Zły stan wód</w:t>
            </w:r>
          </w:p>
        </w:tc>
        <w:tc>
          <w:tcPr>
            <w:tcW w:w="1417" w:type="dxa"/>
            <w:shd w:val="clear" w:color="auto" w:fill="F2F2F2" w:themeFill="background1" w:themeFillShade="F2"/>
          </w:tcPr>
          <w:p w14:paraId="64564616" w14:textId="77777777" w:rsidR="00462DD4" w:rsidRPr="00795F17" w:rsidRDefault="00462DD4" w:rsidP="0065243A">
            <w:pPr>
              <w:pStyle w:val="Teksttabelisrodek"/>
            </w:pPr>
            <w:r w:rsidRPr="00795F17">
              <w:t>270</w:t>
            </w:r>
          </w:p>
        </w:tc>
        <w:tc>
          <w:tcPr>
            <w:tcW w:w="1418" w:type="dxa"/>
          </w:tcPr>
          <w:p w14:paraId="5CCBA36A" w14:textId="0B21EA80" w:rsidR="00462DD4" w:rsidRPr="00795F17" w:rsidRDefault="00DE3EFD" w:rsidP="0065243A">
            <w:pPr>
              <w:pStyle w:val="Teksttabelisrodek"/>
            </w:pPr>
            <w:r>
              <w:t>287</w:t>
            </w:r>
          </w:p>
        </w:tc>
        <w:tc>
          <w:tcPr>
            <w:tcW w:w="1417" w:type="dxa"/>
          </w:tcPr>
          <w:p w14:paraId="0B490928" w14:textId="2F2DE972" w:rsidR="00462DD4" w:rsidRPr="00795F17" w:rsidRDefault="00D1531F" w:rsidP="0065243A">
            <w:pPr>
              <w:pStyle w:val="Teksttabelisrodek"/>
            </w:pPr>
            <w:r>
              <w:t>-</w:t>
            </w:r>
          </w:p>
        </w:tc>
        <w:tc>
          <w:tcPr>
            <w:tcW w:w="1554" w:type="dxa"/>
          </w:tcPr>
          <w:p w14:paraId="0BF0E960" w14:textId="58AF6AF0" w:rsidR="00462DD4" w:rsidRPr="00795F17" w:rsidRDefault="00D1531F" w:rsidP="0065243A">
            <w:pPr>
              <w:pStyle w:val="Teksttabelisrodek"/>
            </w:pPr>
            <w:r>
              <w:t>-</w:t>
            </w:r>
          </w:p>
        </w:tc>
      </w:tr>
    </w:tbl>
    <w:p w14:paraId="555EA3DA" w14:textId="58CC54F1" w:rsidR="001F2539" w:rsidRPr="009F7F19" w:rsidRDefault="001F2539" w:rsidP="0078755C">
      <w:pPr>
        <w:pStyle w:val="Tabela-wyjasnieniapod"/>
      </w:pPr>
      <w:r w:rsidRPr="000D33FE">
        <w:t>Objaśnienia:</w:t>
      </w:r>
    </w:p>
    <w:p w14:paraId="0AD1AF59" w14:textId="71F50A62" w:rsidR="00462DD4" w:rsidRPr="00795F17" w:rsidRDefault="00462DD4" w:rsidP="0078755C">
      <w:pPr>
        <w:pStyle w:val="Tabela-wyjasnieniapod"/>
      </w:pPr>
      <w:r w:rsidRPr="00795F17">
        <w:rPr>
          <w:vertAlign w:val="superscript"/>
        </w:rPr>
        <w:t>1)</w:t>
      </w:r>
      <w:r w:rsidR="0098003E">
        <w:rPr>
          <w:vertAlign w:val="superscript"/>
        </w:rPr>
        <w:t xml:space="preserve"> </w:t>
      </w:r>
      <w:r w:rsidRPr="00795F17">
        <w:t>Ocena stanu na podstawie oceny 2014</w:t>
      </w:r>
      <w:r w:rsidR="001F5AA9">
        <w:t>–</w:t>
      </w:r>
      <w:r w:rsidRPr="00795F17">
        <w:t xml:space="preserve">2019 (GIOŚ) zgodnie z </w:t>
      </w:r>
      <w:r w:rsidR="00DF005E">
        <w:t>r.kl.jcwp</w:t>
      </w:r>
      <w:r w:rsidRPr="00795F17">
        <w:t xml:space="preserve"> </w:t>
      </w:r>
      <w:r w:rsidR="00442820">
        <w:t>według</w:t>
      </w:r>
      <w:r w:rsidRPr="00795F17">
        <w:t xml:space="preserve"> klasyfikacji obowiązującej do </w:t>
      </w:r>
      <w:r w:rsidR="0098003E">
        <w:t xml:space="preserve">1 stycznia </w:t>
      </w:r>
      <w:r w:rsidRPr="00795F17">
        <w:t>2022</w:t>
      </w:r>
      <w:r w:rsidR="004427DF">
        <w:t> </w:t>
      </w:r>
      <w:r w:rsidRPr="00795F17">
        <w:t xml:space="preserve"> r. przeniesiona na nowy układ planistyczny</w:t>
      </w:r>
      <w:r w:rsidR="001F5AA9">
        <w:t>.</w:t>
      </w:r>
    </w:p>
    <w:p w14:paraId="294099BD" w14:textId="643DE8B9" w:rsidR="00462DD4" w:rsidRPr="00795F17" w:rsidRDefault="00462DD4" w:rsidP="0078755C">
      <w:pPr>
        <w:pStyle w:val="Tabela-wyjasnieniapod"/>
      </w:pPr>
      <w:r w:rsidRPr="00795F17">
        <w:rPr>
          <w:vertAlign w:val="superscript"/>
        </w:rPr>
        <w:t>2)</w:t>
      </w:r>
      <w:r w:rsidR="0098003E">
        <w:rPr>
          <w:vertAlign w:val="superscript"/>
        </w:rPr>
        <w:t xml:space="preserve"> </w:t>
      </w:r>
      <w:r w:rsidRPr="00795F17">
        <w:t>Ocena stanu na podstawie oceny 2014</w:t>
      </w:r>
      <w:r w:rsidR="001F5AA9">
        <w:t>–</w:t>
      </w:r>
      <w:r w:rsidRPr="00795F17">
        <w:t xml:space="preserve">2019 (GIOŚ) przeliczona zgodnie z </w:t>
      </w:r>
      <w:r w:rsidR="00DF005E">
        <w:t>r.kl.jcwp</w:t>
      </w:r>
      <w:r w:rsidRPr="00795F17">
        <w:t xml:space="preserve"> </w:t>
      </w:r>
      <w:r w:rsidR="00442820">
        <w:t>według</w:t>
      </w:r>
      <w:r w:rsidRPr="00795F17">
        <w:t xml:space="preserve"> klasyfikacji obowiązującej od</w:t>
      </w:r>
      <w:r w:rsidR="0078755C" w:rsidRPr="00795F17">
        <w:t> </w:t>
      </w:r>
      <w:r w:rsidR="0098003E">
        <w:t xml:space="preserve">1 stycznia </w:t>
      </w:r>
      <w:r w:rsidRPr="00795F17">
        <w:t>2022</w:t>
      </w:r>
      <w:r w:rsidR="0078755C" w:rsidRPr="00795F17">
        <w:t> </w:t>
      </w:r>
      <w:r w:rsidRPr="00795F17">
        <w:t>r.</w:t>
      </w:r>
    </w:p>
    <w:p w14:paraId="2E56A82D" w14:textId="30ABF01D" w:rsidR="00462DD4" w:rsidRPr="00795F17" w:rsidRDefault="00462DD4" w:rsidP="0078755C">
      <w:pPr>
        <w:pStyle w:val="Tabela-wyjasnieniapod"/>
      </w:pPr>
      <w:r w:rsidRPr="00795F17">
        <w:rPr>
          <w:vertAlign w:val="superscript"/>
        </w:rPr>
        <w:t>3)</w:t>
      </w:r>
      <w:r w:rsidR="0098003E">
        <w:rPr>
          <w:vertAlign w:val="superscript"/>
        </w:rPr>
        <w:t xml:space="preserve"> </w:t>
      </w:r>
      <w:r w:rsidRPr="00795F17">
        <w:t xml:space="preserve">Ocena wykonana przy wykorzystaniu wyników Analizy znaczących oddziaływań </w:t>
      </w:r>
      <w:r w:rsidR="001F5AA9">
        <w:t>–</w:t>
      </w:r>
      <w:r w:rsidRPr="00795F17">
        <w:t xml:space="preserve"> </w:t>
      </w:r>
      <w:r w:rsidR="00DF005E">
        <w:t>JCWP</w:t>
      </w:r>
      <w:r w:rsidRPr="00795F17">
        <w:t xml:space="preserve"> (…) dla </w:t>
      </w:r>
      <w:r w:rsidR="00DF005E">
        <w:t>JCWP</w:t>
      </w:r>
      <w:r w:rsidRPr="00795F17">
        <w:t xml:space="preserve"> niemonitorowanych, dla</w:t>
      </w:r>
      <w:r w:rsidR="0078755C" w:rsidRPr="00795F17">
        <w:t> </w:t>
      </w:r>
      <w:r w:rsidRPr="00795F17">
        <w:t>których nie dokonano oceny stanu 2014</w:t>
      </w:r>
      <w:r w:rsidR="001F5AA9">
        <w:t>–</w:t>
      </w:r>
      <w:r w:rsidRPr="00795F17">
        <w:t>2019 (PMŚ), jest traktowana jako poglądowa, podlegająca weryfikacji w oparciu o nowe badania stanu wód, zrealizowane zgodnie z metodykami PMŚ, normami oraz przepisami w trakcie obowiązywania IIaPGW i akceptacji organu odpowiedzialnego za prowadzenie PMŚ</w:t>
      </w:r>
      <w:r w:rsidR="001F5AA9">
        <w:t>.</w:t>
      </w:r>
    </w:p>
    <w:p w14:paraId="4D7E88E2" w14:textId="3551CA69"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w:t>
      </w:r>
      <w:r w:rsidRPr="00795F17">
        <w:br/>
        <w:t xml:space="preserve"> Analizy znaczących oddziaływań </w:t>
      </w:r>
      <w:r w:rsidR="001F5AA9">
        <w:t>–</w:t>
      </w:r>
      <w:r w:rsidRPr="00795F17">
        <w:t xml:space="preserve"> </w:t>
      </w:r>
      <w:r w:rsidR="00DF005E">
        <w:t>JCWP</w:t>
      </w:r>
      <w:r w:rsidRPr="00795F17">
        <w:t xml:space="preserve"> (…)</w:t>
      </w:r>
    </w:p>
    <w:p w14:paraId="0A562B55" w14:textId="25772DF7" w:rsidR="00462DD4" w:rsidRPr="00795F17" w:rsidRDefault="00DF005E" w:rsidP="0044393D">
      <w:pPr>
        <w:pStyle w:val="Nagwek5"/>
      </w:pPr>
      <w:r>
        <w:t>JCWP</w:t>
      </w:r>
      <w:r w:rsidR="00462DD4" w:rsidRPr="00795F17">
        <w:t xml:space="preserve"> TW i CW </w:t>
      </w:r>
    </w:p>
    <w:p w14:paraId="26C91E91" w14:textId="717C7CD1" w:rsidR="00462DD4" w:rsidRPr="00795F17" w:rsidRDefault="00462DD4" w:rsidP="0044393D">
      <w:r w:rsidRPr="00795F17">
        <w:t xml:space="preserve">Podsumowanie oceny stanu </w:t>
      </w:r>
      <w:r w:rsidR="00DF005E">
        <w:t>JCWP</w:t>
      </w:r>
      <w:r w:rsidRPr="00795F17">
        <w:t xml:space="preserve"> TW i CW na obszarze dorzecza Odry, dokonanej na podstawie wyników monitoringu (ocena stanu GIOŚ 2014</w:t>
      </w:r>
      <w:r w:rsidR="001F5AA9">
        <w:t>–</w:t>
      </w:r>
      <w:r w:rsidRPr="00795F17">
        <w:t xml:space="preserve">2019), przedstawiono poniżej. W przypadku </w:t>
      </w:r>
      <w:r w:rsidR="00DF005E">
        <w:t>JCWP</w:t>
      </w:r>
      <w:r w:rsidRPr="00795F17">
        <w:t xml:space="preserve"> TW</w:t>
      </w:r>
      <w:r w:rsidR="0019042A">
        <w:t> </w:t>
      </w:r>
      <w:r w:rsidRPr="00795F17">
        <w:t>i</w:t>
      </w:r>
      <w:r w:rsidR="0019042A">
        <w:t> </w:t>
      </w:r>
      <w:r w:rsidRPr="00795F17">
        <w:t xml:space="preserve">CW wszystkie są objęte monitoringiem. </w:t>
      </w:r>
    </w:p>
    <w:p w14:paraId="0CA66D7B" w14:textId="2814E72C" w:rsidR="00462DD4" w:rsidRPr="00795F17" w:rsidRDefault="00462DD4" w:rsidP="0044393D">
      <w:r w:rsidRPr="00795F17">
        <w:t>Na podstawie oceny stanu 2014</w:t>
      </w:r>
      <w:r w:rsidR="00093895">
        <w:t>–</w:t>
      </w:r>
      <w:r w:rsidRPr="00795F17">
        <w:t xml:space="preserve">2019 (GIOŚ) dla </w:t>
      </w:r>
      <w:r w:rsidR="00DF005E">
        <w:t>JCWP</w:t>
      </w:r>
      <w:r w:rsidRPr="00795F17">
        <w:t xml:space="preserve"> TW i CW w układzie planistycznym obowiązującym dla cyklu planistycznego aPGW (2016</w:t>
      </w:r>
      <w:r w:rsidR="001F5AA9">
        <w:t>–</w:t>
      </w:r>
      <w:r w:rsidRPr="00795F17">
        <w:t xml:space="preserve">2021) oceny stanu dokonano dla 8 </w:t>
      </w:r>
      <w:r w:rsidR="00DF005E">
        <w:t>JCWP</w:t>
      </w:r>
      <w:r w:rsidRPr="00795F17">
        <w:t xml:space="preserve"> TW</w:t>
      </w:r>
      <w:r w:rsidR="0019042A">
        <w:t> </w:t>
      </w:r>
      <w:r w:rsidRPr="00795F17">
        <w:t>i</w:t>
      </w:r>
      <w:r w:rsidR="0019042A">
        <w:t> </w:t>
      </w:r>
      <w:r w:rsidRPr="00795F17">
        <w:t xml:space="preserve">CW (100% ogólnej liczby </w:t>
      </w:r>
      <w:r w:rsidR="00DF005E">
        <w:t>JCWP</w:t>
      </w:r>
      <w:r w:rsidRPr="00795F17">
        <w:t xml:space="preserve"> TW i CW)</w:t>
      </w:r>
      <w:r w:rsidRPr="00795F17">
        <w:rPr>
          <w:rStyle w:val="Odwoanieprzypisudolnego"/>
        </w:rPr>
        <w:footnoteReference w:id="33"/>
      </w:r>
      <w:r w:rsidRPr="00795F17">
        <w:t>.</w:t>
      </w:r>
    </w:p>
    <w:p w14:paraId="67C2C220" w14:textId="7BA38A82" w:rsidR="00462DD4" w:rsidRPr="00795F17" w:rsidRDefault="00462DD4" w:rsidP="0044393D">
      <w:r w:rsidRPr="00795F17">
        <w:t xml:space="preserve">Z uwagi na dokonane zmiany granic </w:t>
      </w:r>
      <w:r w:rsidR="00DF005E">
        <w:t>JCWP</w:t>
      </w:r>
      <w:r w:rsidRPr="00795F17">
        <w:t xml:space="preserve">, prezentowane poniżej </w:t>
      </w:r>
      <w:r w:rsidR="00B25386" w:rsidRPr="00795F17">
        <w:t xml:space="preserve">(tabela 5-19) </w:t>
      </w:r>
      <w:r w:rsidRPr="00795F17">
        <w:t xml:space="preserve">dane dotyczące aktualnie obowiązującego układu jednostek planistycznych, w przypadku wskazywania liczby </w:t>
      </w:r>
      <w:r w:rsidR="00DF005E">
        <w:t>JCWP</w:t>
      </w:r>
      <w:r w:rsidRPr="00795F17">
        <w:t xml:space="preserve"> bez oceny stanu, interpretowane powinny być, jako </w:t>
      </w:r>
      <w:r w:rsidR="00DF005E">
        <w:t>JCWP</w:t>
      </w:r>
      <w:r w:rsidRPr="00795F17">
        <w:t xml:space="preserve"> bez oceny stanu przeniesionej na nowy układ planistyczny.</w:t>
      </w:r>
    </w:p>
    <w:p w14:paraId="359E398A" w14:textId="0EC01359" w:rsidR="00462DD4" w:rsidRPr="00795F17" w:rsidRDefault="00462DD4" w:rsidP="0044393D">
      <w:r w:rsidRPr="00795F17">
        <w:t xml:space="preserve">Informacje o aktualnej ocenie stanu danej </w:t>
      </w:r>
      <w:r w:rsidR="00DF005E">
        <w:t>JCWP</w:t>
      </w:r>
      <w:r w:rsidRPr="00795F17">
        <w:t xml:space="preserve"> zaprezentowane są w załączniku nr 1</w:t>
      </w:r>
      <w:r w:rsidR="00D146C3" w:rsidRPr="00795F17">
        <w:t xml:space="preserve"> </w:t>
      </w:r>
      <w:r w:rsidRPr="00795F17">
        <w:t>(Zestawienie główne), zobrazowania mapowe ocen stanu przedstawione zostały w załącznik</w:t>
      </w:r>
      <w:r w:rsidR="00B25386" w:rsidRPr="00795F17">
        <w:t>u</w:t>
      </w:r>
      <w:r w:rsidRPr="00795F17">
        <w:t xml:space="preserve"> graficzny</w:t>
      </w:r>
      <w:r w:rsidR="00B25386" w:rsidRPr="00795F17">
        <w:t>m</w:t>
      </w:r>
      <w:r w:rsidRPr="00795F17">
        <w:t xml:space="preserve"> </w:t>
      </w:r>
      <w:r w:rsidR="003F1582">
        <w:t xml:space="preserve">nr </w:t>
      </w:r>
      <w:r w:rsidR="0023694E">
        <w:t>19</w:t>
      </w:r>
      <w:r w:rsidRPr="00795F17">
        <w:t>.</w:t>
      </w:r>
    </w:p>
    <w:p w14:paraId="12123CE6" w14:textId="003644E3" w:rsidR="00462DD4" w:rsidRPr="00795F17" w:rsidRDefault="00462DD4" w:rsidP="0044393D">
      <w:r w:rsidRPr="00795F17">
        <w:rPr>
          <w:bCs/>
          <w:iCs/>
        </w:rPr>
        <w:t xml:space="preserve">Podsumowanie liczby </w:t>
      </w:r>
      <w:r w:rsidR="00DF005E">
        <w:rPr>
          <w:bCs/>
          <w:iCs/>
        </w:rPr>
        <w:t>JCWP</w:t>
      </w:r>
      <w:r w:rsidRPr="00795F17">
        <w:rPr>
          <w:bCs/>
          <w:iCs/>
        </w:rPr>
        <w:t xml:space="preserve"> </w:t>
      </w:r>
      <w:r w:rsidR="001637B7">
        <w:rPr>
          <w:bCs/>
          <w:iCs/>
        </w:rPr>
        <w:t>TW i CW</w:t>
      </w:r>
      <w:r w:rsidRPr="00795F17">
        <w:rPr>
          <w:bCs/>
          <w:iCs/>
        </w:rPr>
        <w:t xml:space="preserve"> z uzyskaną oceną stanu w obszarze dorzecza Odry przedstawia </w:t>
      </w:r>
      <w:r w:rsidRPr="00795F17">
        <w:t xml:space="preserve">tabela </w:t>
      </w:r>
      <w:r w:rsidR="00B14FD9" w:rsidRPr="00795F17">
        <w:t>5-19</w:t>
      </w:r>
      <w:r w:rsidRPr="00795F17">
        <w:rPr>
          <w:bCs/>
          <w:iCs/>
        </w:rPr>
        <w:t xml:space="preserve"> Uwzględniono w niej zarówno </w:t>
      </w:r>
      <w:r w:rsidRPr="00795F17">
        <w:t>wyniki oceny stanu 2014</w:t>
      </w:r>
      <w:r w:rsidR="001F5AA9">
        <w:t>–</w:t>
      </w:r>
      <w:r w:rsidRPr="00795F17">
        <w:t xml:space="preserve">2019 </w:t>
      </w:r>
      <w:r w:rsidR="00442820">
        <w:t>według</w:t>
      </w:r>
      <w:r w:rsidRPr="00795F17">
        <w:t xml:space="preserve"> klasyfikacji obowiązującej do</w:t>
      </w:r>
      <w:r w:rsidR="005B1E05" w:rsidRPr="00795F17">
        <w:t> </w:t>
      </w:r>
      <w:r w:rsidRPr="00795F17">
        <w:t xml:space="preserve">roku 2022, jak również poglądowo zmiany w ocenie stanu przy zastosowaniu sposobu klasyfikacji </w:t>
      </w:r>
      <w:r w:rsidR="00442820">
        <w:t>według</w:t>
      </w:r>
      <w:r w:rsidRPr="00795F17">
        <w:t xml:space="preserve"> </w:t>
      </w:r>
      <w:r w:rsidR="00DF005E">
        <w:t>r.kl.jcwp</w:t>
      </w:r>
      <w:r w:rsidRPr="00795F17">
        <w:t xml:space="preserve"> obowiązującegood roku 2022. Wszystkie </w:t>
      </w:r>
      <w:r w:rsidR="00DF005E">
        <w:t>JCWP</w:t>
      </w:r>
      <w:r w:rsidRPr="00795F17">
        <w:t xml:space="preserve"> TW i CW obszaru dorzecza Odry występują w regionie wodnym Dolnej Odry i Przymorza Zachodniego. </w:t>
      </w:r>
    </w:p>
    <w:p w14:paraId="60B70E42" w14:textId="68E97694" w:rsidR="00462DD4" w:rsidRPr="00795F17" w:rsidRDefault="00462DD4" w:rsidP="004D7705">
      <w:pPr>
        <w:pStyle w:val="Tabela"/>
      </w:pPr>
      <w:bookmarkStart w:id="189" w:name="_Toc66341874"/>
      <w:bookmarkStart w:id="190" w:name="_Toc105512783"/>
      <w:r w:rsidRPr="00795F17">
        <w:t xml:space="preserve">Tabela </w:t>
      </w:r>
      <w:fldSimple w:instr=" STYLEREF 1 \s ">
        <w:r w:rsidR="001F774D">
          <w:rPr>
            <w:noProof/>
          </w:rPr>
          <w:t>5</w:t>
        </w:r>
      </w:fldSimple>
      <w:r w:rsidR="00BB3B21" w:rsidRPr="00795F17">
        <w:noBreakHyphen/>
      </w:r>
      <w:fldSimple w:instr=" SEQ Tabela \* ARABIC \s 1 ">
        <w:r w:rsidR="001F774D">
          <w:rPr>
            <w:noProof/>
          </w:rPr>
          <w:t>19</w:t>
        </w:r>
      </w:fldSimple>
      <w:r w:rsidR="00BA11D4">
        <w:rPr>
          <w:noProof/>
        </w:rPr>
        <w:t>.</w:t>
      </w:r>
      <w:r w:rsidRPr="00795F17">
        <w:tab/>
        <w:t xml:space="preserve">Liczba </w:t>
      </w:r>
      <w:r w:rsidR="00DF005E">
        <w:t>JCWP</w:t>
      </w:r>
      <w:r w:rsidRPr="00795F17">
        <w:t xml:space="preserve"> TW i CW zagrożonych nieosiągnięciem celów środowiskowych wraz z określeniem liczby </w:t>
      </w:r>
      <w:r w:rsidR="00DF005E">
        <w:t>JCWP</w:t>
      </w:r>
      <w:r w:rsidRPr="00795F17">
        <w:t xml:space="preserve"> TW i CW z oceną stanu na obszarze dorzecza Odry</w:t>
      </w:r>
      <w:bookmarkEnd w:id="189"/>
      <w:bookmarkEnd w:id="19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89"/>
        <w:gridCol w:w="1374"/>
        <w:gridCol w:w="1417"/>
        <w:gridCol w:w="1276"/>
        <w:gridCol w:w="1026"/>
        <w:gridCol w:w="959"/>
        <w:gridCol w:w="1135"/>
        <w:gridCol w:w="986"/>
      </w:tblGrid>
      <w:tr w:rsidR="00462DD4" w:rsidRPr="00795F17" w14:paraId="70294F39" w14:textId="77777777" w:rsidTr="00715D1B">
        <w:trPr>
          <w:trHeight w:val="454"/>
          <w:tblHeader/>
          <w:jc w:val="center"/>
        </w:trPr>
        <w:tc>
          <w:tcPr>
            <w:tcW w:w="491" w:type="pct"/>
            <w:vMerge w:val="restart"/>
            <w:shd w:val="clear" w:color="auto" w:fill="BFBFBF" w:themeFill="background1" w:themeFillShade="BF"/>
            <w:noWrap/>
            <w:vAlign w:val="center"/>
            <w:hideMark/>
          </w:tcPr>
          <w:p w14:paraId="69AAD77C" w14:textId="26FD61AF" w:rsidR="00462DD4" w:rsidRPr="00795F17" w:rsidRDefault="0080582C" w:rsidP="0044393D">
            <w:pPr>
              <w:pStyle w:val="Teksttabelinaglowek"/>
            </w:pPr>
            <w:r w:rsidRPr="00795F17">
              <w:t>Obszar d</w:t>
            </w:r>
            <w:r w:rsidR="00462DD4" w:rsidRPr="00795F17">
              <w:t>orzecz</w:t>
            </w:r>
            <w:r w:rsidRPr="00795F17">
              <w:t>a</w:t>
            </w:r>
          </w:p>
        </w:tc>
        <w:tc>
          <w:tcPr>
            <w:tcW w:w="758" w:type="pct"/>
            <w:vMerge w:val="restart"/>
            <w:shd w:val="clear" w:color="auto" w:fill="BFBFBF" w:themeFill="background1" w:themeFillShade="BF"/>
            <w:noWrap/>
            <w:vAlign w:val="center"/>
            <w:hideMark/>
          </w:tcPr>
          <w:p w14:paraId="5A19A442" w14:textId="58BC51CB" w:rsidR="00462DD4" w:rsidRPr="00795F17" w:rsidRDefault="00462DD4" w:rsidP="0044393D">
            <w:pPr>
              <w:pStyle w:val="Teksttabelinaglowek"/>
            </w:pPr>
            <w:r w:rsidRPr="00795F17">
              <w:t xml:space="preserve">Liczba </w:t>
            </w:r>
            <w:r w:rsidR="00DF005E">
              <w:t>JCWP</w:t>
            </w:r>
            <w:r w:rsidRPr="00795F17">
              <w:t xml:space="preserve"> </w:t>
            </w:r>
            <w:r w:rsidR="008C3122" w:rsidRPr="00795F17">
              <w:t>TW i CW</w:t>
            </w:r>
          </w:p>
        </w:tc>
        <w:tc>
          <w:tcPr>
            <w:tcW w:w="782" w:type="pct"/>
            <w:vMerge w:val="restart"/>
            <w:shd w:val="clear" w:color="auto" w:fill="BFBFBF" w:themeFill="background1" w:themeFillShade="BF"/>
            <w:vAlign w:val="center"/>
            <w:hideMark/>
          </w:tcPr>
          <w:p w14:paraId="24BF6D9E" w14:textId="0C934A32" w:rsidR="00462DD4" w:rsidRPr="00795F17" w:rsidRDefault="00462DD4" w:rsidP="0044393D">
            <w:pPr>
              <w:pStyle w:val="Teksttabelinaglowek"/>
            </w:pPr>
            <w:r w:rsidRPr="00795F17">
              <w:t xml:space="preserve">Liczba </w:t>
            </w:r>
            <w:r w:rsidR="00DF005E">
              <w:t>JCWP</w:t>
            </w:r>
            <w:r w:rsidR="00F5282E">
              <w:br/>
            </w:r>
            <w:r w:rsidRPr="00795F17">
              <w:t xml:space="preserve"> </w:t>
            </w:r>
            <w:r w:rsidR="008C3122" w:rsidRPr="00795F17">
              <w:t>TW i CW</w:t>
            </w:r>
            <w:r w:rsidRPr="00795F17">
              <w:t xml:space="preserve"> zagrożonych</w:t>
            </w:r>
            <w:r w:rsidRPr="00795F17">
              <w:rPr>
                <w:vertAlign w:val="superscript"/>
              </w:rPr>
              <w:t>1</w:t>
            </w:r>
          </w:p>
        </w:tc>
        <w:tc>
          <w:tcPr>
            <w:tcW w:w="704" w:type="pct"/>
            <w:vMerge w:val="restart"/>
            <w:shd w:val="clear" w:color="auto" w:fill="BFBFBF" w:themeFill="background1" w:themeFillShade="BF"/>
            <w:vAlign w:val="center"/>
            <w:hideMark/>
          </w:tcPr>
          <w:p w14:paraId="5EDD009E" w14:textId="46B46D78" w:rsidR="00462DD4" w:rsidRPr="00795F17" w:rsidRDefault="00462DD4" w:rsidP="0044393D">
            <w:pPr>
              <w:pStyle w:val="Teksttabelinaglowek"/>
            </w:pPr>
            <w:r w:rsidRPr="00795F17">
              <w:t>Udział</w:t>
            </w:r>
            <w:r w:rsidR="008C3122" w:rsidRPr="00795F17">
              <w:t xml:space="preserve"> %</w:t>
            </w:r>
            <w:r w:rsidRPr="00795F17">
              <w:t xml:space="preserve"> </w:t>
            </w:r>
            <w:r w:rsidR="00DF005E">
              <w:t>JCWP</w:t>
            </w:r>
            <w:r w:rsidRPr="00795F17">
              <w:t xml:space="preserve"> </w:t>
            </w:r>
            <w:r w:rsidR="00F5282E">
              <w:br/>
            </w:r>
            <w:r w:rsidR="008C3122" w:rsidRPr="00795F17">
              <w:t xml:space="preserve">TW i CW </w:t>
            </w:r>
            <w:r w:rsidRPr="00795F17">
              <w:t>zagrożonych</w:t>
            </w:r>
            <w:r w:rsidRPr="00795F17">
              <w:rPr>
                <w:vertAlign w:val="superscript"/>
              </w:rPr>
              <w:t>1</w:t>
            </w:r>
          </w:p>
        </w:tc>
        <w:tc>
          <w:tcPr>
            <w:tcW w:w="1095" w:type="pct"/>
            <w:gridSpan w:val="2"/>
            <w:shd w:val="clear" w:color="auto" w:fill="BFBFBF" w:themeFill="background1" w:themeFillShade="BF"/>
            <w:vAlign w:val="center"/>
          </w:tcPr>
          <w:p w14:paraId="5F6D8C68" w14:textId="62679F9C" w:rsidR="00462DD4" w:rsidRPr="00795F17" w:rsidRDefault="00462DD4" w:rsidP="0044393D">
            <w:pPr>
              <w:pStyle w:val="Teksttabelinaglowek"/>
            </w:pPr>
            <w:r w:rsidRPr="00795F17">
              <w:t xml:space="preserve">Liczba </w:t>
            </w:r>
            <w:r w:rsidR="00DF005E">
              <w:t>JCWP</w:t>
            </w:r>
            <w:r w:rsidRPr="00795F17">
              <w:t xml:space="preserve"> </w:t>
            </w:r>
            <w:r w:rsidR="008C3122" w:rsidRPr="00795F17">
              <w:t>TW i CW</w:t>
            </w:r>
            <w:r w:rsidRPr="00795F17">
              <w:t xml:space="preserve"> z</w:t>
            </w:r>
            <w:r w:rsidR="00F5282E">
              <w:t> </w:t>
            </w:r>
            <w:r w:rsidRPr="00795F17">
              <w:t xml:space="preserve">oceną stanu </w:t>
            </w:r>
            <w:r w:rsidR="00DF005E">
              <w:t>r.kl.jcwp</w:t>
            </w:r>
            <w:r w:rsidRPr="00795F17">
              <w:t xml:space="preserve"> do 2022</w:t>
            </w:r>
            <w:r w:rsidR="00C605CD" w:rsidRPr="00795F17">
              <w:t xml:space="preserve"> r.</w:t>
            </w:r>
          </w:p>
        </w:tc>
        <w:tc>
          <w:tcPr>
            <w:tcW w:w="1170" w:type="pct"/>
            <w:gridSpan w:val="2"/>
            <w:shd w:val="clear" w:color="auto" w:fill="BFBFBF" w:themeFill="background1" w:themeFillShade="BF"/>
            <w:vAlign w:val="center"/>
          </w:tcPr>
          <w:p w14:paraId="08B057EA" w14:textId="3DEEED64" w:rsidR="00462DD4" w:rsidRPr="00795F17" w:rsidRDefault="00462DD4" w:rsidP="0044393D">
            <w:pPr>
              <w:pStyle w:val="Teksttabelinaglowek"/>
            </w:pPr>
            <w:r w:rsidRPr="00795F17">
              <w:t xml:space="preserve">Liczba </w:t>
            </w:r>
            <w:r w:rsidR="00DF005E">
              <w:t>JCWP</w:t>
            </w:r>
            <w:r w:rsidRPr="00795F17">
              <w:t xml:space="preserve"> </w:t>
            </w:r>
            <w:r w:rsidR="008C3122" w:rsidRPr="00795F17">
              <w:t>TW i CW</w:t>
            </w:r>
            <w:r w:rsidRPr="00795F17">
              <w:t xml:space="preserve"> z</w:t>
            </w:r>
            <w:r w:rsidR="00F5282E">
              <w:t> </w:t>
            </w:r>
            <w:r w:rsidRPr="00795F17">
              <w:t xml:space="preserve">oceną stanu </w:t>
            </w:r>
            <w:r w:rsidR="00DF005E">
              <w:t>r.kl.jcwp</w:t>
            </w:r>
            <w:r w:rsidRPr="00795F17">
              <w:t xml:space="preserve"> od 2022</w:t>
            </w:r>
            <w:r w:rsidR="00C605CD" w:rsidRPr="00795F17">
              <w:t xml:space="preserve"> r.</w:t>
            </w:r>
          </w:p>
        </w:tc>
      </w:tr>
      <w:tr w:rsidR="00462DD4" w:rsidRPr="00795F17" w14:paraId="3A77FE57" w14:textId="77777777" w:rsidTr="00251ED8">
        <w:trPr>
          <w:trHeight w:val="454"/>
          <w:tblHeader/>
          <w:jc w:val="center"/>
        </w:trPr>
        <w:tc>
          <w:tcPr>
            <w:tcW w:w="491" w:type="pct"/>
            <w:vMerge/>
            <w:shd w:val="clear" w:color="auto" w:fill="BFBFBF" w:themeFill="background1" w:themeFillShade="BF"/>
            <w:vAlign w:val="center"/>
            <w:hideMark/>
          </w:tcPr>
          <w:p w14:paraId="7BD125C7" w14:textId="77777777" w:rsidR="00462DD4" w:rsidRPr="00795F17" w:rsidRDefault="00462DD4" w:rsidP="0044393D">
            <w:pPr>
              <w:pStyle w:val="Teksttabelinaglowek"/>
            </w:pPr>
          </w:p>
        </w:tc>
        <w:tc>
          <w:tcPr>
            <w:tcW w:w="758" w:type="pct"/>
            <w:vMerge/>
            <w:shd w:val="clear" w:color="auto" w:fill="BFBFBF" w:themeFill="background1" w:themeFillShade="BF"/>
            <w:vAlign w:val="center"/>
            <w:hideMark/>
          </w:tcPr>
          <w:p w14:paraId="21A34F09" w14:textId="77777777" w:rsidR="00462DD4" w:rsidRPr="00795F17" w:rsidRDefault="00462DD4" w:rsidP="0044393D">
            <w:pPr>
              <w:pStyle w:val="Teksttabelinaglowek"/>
            </w:pPr>
          </w:p>
        </w:tc>
        <w:tc>
          <w:tcPr>
            <w:tcW w:w="782" w:type="pct"/>
            <w:vMerge/>
            <w:shd w:val="clear" w:color="auto" w:fill="BFBFBF" w:themeFill="background1" w:themeFillShade="BF"/>
            <w:vAlign w:val="center"/>
            <w:hideMark/>
          </w:tcPr>
          <w:p w14:paraId="111BDCF8" w14:textId="77777777" w:rsidR="00462DD4" w:rsidRPr="00795F17" w:rsidRDefault="00462DD4" w:rsidP="0044393D">
            <w:pPr>
              <w:pStyle w:val="Teksttabelinaglowek"/>
            </w:pPr>
          </w:p>
        </w:tc>
        <w:tc>
          <w:tcPr>
            <w:tcW w:w="704" w:type="pct"/>
            <w:vMerge/>
            <w:shd w:val="clear" w:color="auto" w:fill="BFBFBF" w:themeFill="background1" w:themeFillShade="BF"/>
            <w:vAlign w:val="center"/>
            <w:hideMark/>
          </w:tcPr>
          <w:p w14:paraId="74F8E19E" w14:textId="77777777" w:rsidR="00462DD4" w:rsidRPr="00795F17" w:rsidRDefault="00462DD4" w:rsidP="0044393D">
            <w:pPr>
              <w:pStyle w:val="Teksttabelinaglowek"/>
            </w:pPr>
          </w:p>
        </w:tc>
        <w:tc>
          <w:tcPr>
            <w:tcW w:w="566" w:type="pct"/>
            <w:shd w:val="clear" w:color="auto" w:fill="BFBFBF" w:themeFill="background1" w:themeFillShade="BF"/>
            <w:vAlign w:val="center"/>
          </w:tcPr>
          <w:p w14:paraId="0AF46E33" w14:textId="77777777" w:rsidR="00462DD4" w:rsidRPr="00795F17" w:rsidRDefault="00462DD4" w:rsidP="0044393D">
            <w:pPr>
              <w:pStyle w:val="Teksttabelinaglowek"/>
            </w:pPr>
            <w:r w:rsidRPr="00795F17">
              <w:t>ocena stanu (PMŚ)</w:t>
            </w:r>
            <w:r w:rsidRPr="00795F17">
              <w:rPr>
                <w:vertAlign w:val="superscript"/>
              </w:rPr>
              <w:t>2</w:t>
            </w:r>
          </w:p>
        </w:tc>
        <w:tc>
          <w:tcPr>
            <w:tcW w:w="529" w:type="pct"/>
            <w:shd w:val="clear" w:color="auto" w:fill="BFBFBF" w:themeFill="background1" w:themeFillShade="BF"/>
            <w:vAlign w:val="center"/>
          </w:tcPr>
          <w:p w14:paraId="5E34617C" w14:textId="6DD7AF90" w:rsidR="00462DD4" w:rsidRPr="00795F17" w:rsidRDefault="008C3122" w:rsidP="0044393D">
            <w:pPr>
              <w:pStyle w:val="Teksttabelinaglowek"/>
            </w:pPr>
            <w:r w:rsidRPr="00795F17">
              <w:t>u</w:t>
            </w:r>
            <w:r w:rsidR="00462DD4" w:rsidRPr="00795F17">
              <w:t xml:space="preserve">dział </w:t>
            </w:r>
            <w:r w:rsidR="00DF005E">
              <w:t>JCWP</w:t>
            </w:r>
            <w:r w:rsidR="00462DD4" w:rsidRPr="00795F17">
              <w:t xml:space="preserve"> bez oceny stanu</w:t>
            </w:r>
            <w:r w:rsidR="00462DD4" w:rsidRPr="00795F17">
              <w:rPr>
                <w:vertAlign w:val="superscript"/>
              </w:rPr>
              <w:t>2</w:t>
            </w:r>
            <w:r w:rsidR="003B4649" w:rsidRPr="00795F17">
              <w:rPr>
                <w:vertAlign w:val="superscript"/>
              </w:rPr>
              <w:t xml:space="preserve"> </w:t>
            </w:r>
            <w:r w:rsidR="003B4649" w:rsidRPr="00795F17">
              <w:t>(%)</w:t>
            </w:r>
          </w:p>
        </w:tc>
        <w:tc>
          <w:tcPr>
            <w:tcW w:w="626" w:type="pct"/>
            <w:shd w:val="clear" w:color="auto" w:fill="BFBFBF" w:themeFill="background1" w:themeFillShade="BF"/>
            <w:vAlign w:val="center"/>
            <w:hideMark/>
          </w:tcPr>
          <w:p w14:paraId="1A8CAC6A" w14:textId="77777777" w:rsidR="00462DD4" w:rsidRPr="00795F17" w:rsidRDefault="00462DD4" w:rsidP="0044393D">
            <w:pPr>
              <w:pStyle w:val="Teksttabelinaglowek"/>
            </w:pPr>
            <w:r w:rsidRPr="00795F17">
              <w:t>ocena stanu (PMŚ+EKS)</w:t>
            </w:r>
            <w:r w:rsidRPr="00795F17">
              <w:rPr>
                <w:vertAlign w:val="superscript"/>
              </w:rPr>
              <w:t>3</w:t>
            </w:r>
          </w:p>
        </w:tc>
        <w:tc>
          <w:tcPr>
            <w:tcW w:w="544" w:type="pct"/>
            <w:shd w:val="clear" w:color="auto" w:fill="BFBFBF" w:themeFill="background1" w:themeFillShade="BF"/>
            <w:vAlign w:val="center"/>
            <w:hideMark/>
          </w:tcPr>
          <w:p w14:paraId="21BF143C" w14:textId="202EB300" w:rsidR="00462DD4" w:rsidRPr="00795F17" w:rsidRDefault="008C3122" w:rsidP="0044393D">
            <w:pPr>
              <w:pStyle w:val="Teksttabelinaglowek"/>
            </w:pPr>
            <w:r w:rsidRPr="00795F17">
              <w:t>u</w:t>
            </w:r>
            <w:r w:rsidR="00462DD4" w:rsidRPr="00795F17">
              <w:t xml:space="preserve">dział </w:t>
            </w:r>
            <w:r w:rsidR="00DF005E">
              <w:t>JCWP</w:t>
            </w:r>
            <w:r w:rsidR="00462DD4" w:rsidRPr="00795F17">
              <w:t xml:space="preserve"> bez oceny stanu</w:t>
            </w:r>
            <w:r w:rsidR="00462DD4" w:rsidRPr="00795F17">
              <w:rPr>
                <w:vertAlign w:val="superscript"/>
              </w:rPr>
              <w:t>3</w:t>
            </w:r>
            <w:r w:rsidR="003B4649" w:rsidRPr="00795F17">
              <w:rPr>
                <w:vertAlign w:val="superscript"/>
              </w:rPr>
              <w:t xml:space="preserve"> </w:t>
            </w:r>
            <w:r w:rsidR="003B4649" w:rsidRPr="00795F17">
              <w:t>(%)</w:t>
            </w:r>
          </w:p>
        </w:tc>
      </w:tr>
      <w:tr w:rsidR="00462DD4" w:rsidRPr="00795F17" w14:paraId="7BB84D60" w14:textId="77777777" w:rsidTr="00251ED8">
        <w:trPr>
          <w:trHeight w:val="454"/>
          <w:jc w:val="center"/>
        </w:trPr>
        <w:tc>
          <w:tcPr>
            <w:tcW w:w="491" w:type="pct"/>
            <w:shd w:val="clear" w:color="auto" w:fill="auto"/>
            <w:noWrap/>
            <w:vAlign w:val="center"/>
            <w:hideMark/>
          </w:tcPr>
          <w:p w14:paraId="28652074" w14:textId="5E2951F1" w:rsidR="00462DD4" w:rsidRPr="00795F17" w:rsidRDefault="00462DD4" w:rsidP="0065243A">
            <w:pPr>
              <w:pStyle w:val="Teksttabelisrodek"/>
            </w:pPr>
            <w:r w:rsidRPr="00795F17">
              <w:t>Odr</w:t>
            </w:r>
            <w:r w:rsidR="00E83CCE" w:rsidRPr="00795F17">
              <w:t>a</w:t>
            </w:r>
          </w:p>
        </w:tc>
        <w:tc>
          <w:tcPr>
            <w:tcW w:w="758" w:type="pct"/>
            <w:shd w:val="clear" w:color="auto" w:fill="auto"/>
            <w:noWrap/>
            <w:vAlign w:val="center"/>
          </w:tcPr>
          <w:p w14:paraId="4A9ADB9B" w14:textId="77777777" w:rsidR="00462DD4" w:rsidRPr="00795F17" w:rsidRDefault="00462DD4" w:rsidP="0065243A">
            <w:pPr>
              <w:pStyle w:val="Teksttabelisrodek"/>
            </w:pPr>
            <w:r w:rsidRPr="00795F17">
              <w:t>4</w:t>
            </w:r>
          </w:p>
        </w:tc>
        <w:tc>
          <w:tcPr>
            <w:tcW w:w="782" w:type="pct"/>
            <w:shd w:val="clear" w:color="auto" w:fill="auto"/>
            <w:noWrap/>
            <w:vAlign w:val="center"/>
          </w:tcPr>
          <w:p w14:paraId="31E79E81" w14:textId="77777777" w:rsidR="00462DD4" w:rsidRPr="00795F17" w:rsidRDefault="00462DD4" w:rsidP="0065243A">
            <w:pPr>
              <w:pStyle w:val="Teksttabelisrodek"/>
            </w:pPr>
            <w:r w:rsidRPr="00795F17">
              <w:t>4</w:t>
            </w:r>
          </w:p>
        </w:tc>
        <w:tc>
          <w:tcPr>
            <w:tcW w:w="704" w:type="pct"/>
            <w:shd w:val="clear" w:color="auto" w:fill="auto"/>
            <w:noWrap/>
            <w:vAlign w:val="center"/>
          </w:tcPr>
          <w:p w14:paraId="1DB8827F" w14:textId="15D48F9D" w:rsidR="00462DD4" w:rsidRPr="00795F17" w:rsidRDefault="00462DD4" w:rsidP="0065243A">
            <w:pPr>
              <w:pStyle w:val="Teksttabelisrodek"/>
            </w:pPr>
            <w:r w:rsidRPr="00795F17">
              <w:t>100</w:t>
            </w:r>
          </w:p>
        </w:tc>
        <w:tc>
          <w:tcPr>
            <w:tcW w:w="566" w:type="pct"/>
            <w:shd w:val="clear" w:color="auto" w:fill="FFFFFF" w:themeFill="background1"/>
            <w:vAlign w:val="center"/>
          </w:tcPr>
          <w:p w14:paraId="4A730E7D" w14:textId="77777777" w:rsidR="00462DD4" w:rsidRPr="00795F17" w:rsidRDefault="00462DD4" w:rsidP="0065243A">
            <w:pPr>
              <w:pStyle w:val="Teksttabelisrodek"/>
            </w:pPr>
            <w:r w:rsidRPr="00795F17">
              <w:t>4</w:t>
            </w:r>
          </w:p>
        </w:tc>
        <w:tc>
          <w:tcPr>
            <w:tcW w:w="529" w:type="pct"/>
            <w:shd w:val="clear" w:color="auto" w:fill="FFFFFF" w:themeFill="background1"/>
            <w:vAlign w:val="center"/>
          </w:tcPr>
          <w:p w14:paraId="3AFFAEC5" w14:textId="7B648213" w:rsidR="00462DD4" w:rsidRPr="00795F17" w:rsidRDefault="00462DD4" w:rsidP="0065243A">
            <w:pPr>
              <w:pStyle w:val="Teksttabelisrodek"/>
            </w:pPr>
            <w:r w:rsidRPr="00795F17">
              <w:t>0</w:t>
            </w:r>
          </w:p>
        </w:tc>
        <w:tc>
          <w:tcPr>
            <w:tcW w:w="626" w:type="pct"/>
            <w:shd w:val="clear" w:color="auto" w:fill="auto"/>
            <w:noWrap/>
            <w:vAlign w:val="center"/>
          </w:tcPr>
          <w:p w14:paraId="7DE0A1D7" w14:textId="77777777" w:rsidR="00462DD4" w:rsidRPr="00795F17" w:rsidRDefault="00462DD4" w:rsidP="0065243A">
            <w:pPr>
              <w:pStyle w:val="Teksttabelisrodek"/>
            </w:pPr>
            <w:r w:rsidRPr="00795F17">
              <w:t>4</w:t>
            </w:r>
          </w:p>
        </w:tc>
        <w:tc>
          <w:tcPr>
            <w:tcW w:w="544" w:type="pct"/>
            <w:shd w:val="clear" w:color="auto" w:fill="auto"/>
            <w:vAlign w:val="center"/>
          </w:tcPr>
          <w:p w14:paraId="2DADB2FD" w14:textId="2DBF44A3" w:rsidR="00462DD4" w:rsidRPr="00795F17" w:rsidRDefault="00462DD4" w:rsidP="0065243A">
            <w:pPr>
              <w:pStyle w:val="Teksttabelisrodek"/>
            </w:pPr>
            <w:r w:rsidRPr="00795F17">
              <w:t>0</w:t>
            </w:r>
          </w:p>
        </w:tc>
      </w:tr>
    </w:tbl>
    <w:p w14:paraId="00CA8871" w14:textId="56A39875" w:rsidR="001F2539" w:rsidRPr="009F7F19" w:rsidRDefault="001F2539" w:rsidP="008E5000">
      <w:pPr>
        <w:pStyle w:val="Tabela-wyjasnieniapod"/>
      </w:pPr>
      <w:r w:rsidRPr="000D33FE">
        <w:t>Objaśnienia:</w:t>
      </w:r>
    </w:p>
    <w:p w14:paraId="687D684A" w14:textId="0207C113" w:rsidR="00462DD4" w:rsidRPr="00773C87" w:rsidRDefault="00462DD4" w:rsidP="008E5000">
      <w:pPr>
        <w:pStyle w:val="Tabela-wyjasnieniapod"/>
      </w:pPr>
      <w:r w:rsidRPr="00773C87">
        <w:rPr>
          <w:vertAlign w:val="superscript"/>
        </w:rPr>
        <w:t>1)</w:t>
      </w:r>
      <w:r w:rsidR="00F5282E">
        <w:rPr>
          <w:vertAlign w:val="superscript"/>
        </w:rPr>
        <w:t xml:space="preserve"> </w:t>
      </w:r>
      <w:r w:rsidR="00DF005E">
        <w:t>JCWP</w:t>
      </w:r>
      <w:r w:rsidRPr="00773C87">
        <w:t xml:space="preserve"> zagrożone </w:t>
      </w:r>
      <w:r w:rsidR="001F5AA9" w:rsidRPr="00773C87">
        <w:t>–</w:t>
      </w:r>
      <w:r w:rsidRPr="00773C87">
        <w:t xml:space="preserve"> </w:t>
      </w:r>
      <w:r w:rsidR="00DF005E">
        <w:t>JCWP</w:t>
      </w:r>
      <w:r w:rsidRPr="00773C87">
        <w:t xml:space="preserve"> zagrożone nieosiągnięciem celów środowiskowych</w:t>
      </w:r>
      <w:r w:rsidR="001666F3">
        <w:t>.</w:t>
      </w:r>
    </w:p>
    <w:p w14:paraId="2E16C802" w14:textId="6C6B8E79" w:rsidR="00462DD4" w:rsidRPr="00773C87" w:rsidRDefault="00462DD4" w:rsidP="008E5000">
      <w:pPr>
        <w:pStyle w:val="Tabela-wyjasnieniapod"/>
      </w:pPr>
      <w:r w:rsidRPr="00773C87">
        <w:rPr>
          <w:vertAlign w:val="superscript"/>
        </w:rPr>
        <w:t>2)</w:t>
      </w:r>
      <w:r w:rsidRPr="00773C87">
        <w:t xml:space="preserve"> Ocena stanu na podstawie oceny 2014</w:t>
      </w:r>
      <w:r w:rsidR="001F5AA9" w:rsidRPr="00773C87">
        <w:t>–</w:t>
      </w:r>
      <w:r w:rsidRPr="00773C87">
        <w:t xml:space="preserve">2019 (GIOŚ) zgodnie z </w:t>
      </w:r>
      <w:r w:rsidR="00DF005E">
        <w:t>r.kl.jcwp</w:t>
      </w:r>
      <w:r w:rsidRPr="00773C87">
        <w:t xml:space="preserve"> </w:t>
      </w:r>
      <w:r w:rsidR="00442820">
        <w:t>według</w:t>
      </w:r>
      <w:r w:rsidRPr="00773C87">
        <w:t xml:space="preserve"> klasyfikacji obowiązującej do </w:t>
      </w:r>
      <w:r w:rsidR="00F5282E">
        <w:t xml:space="preserve">1 stycznia </w:t>
      </w:r>
      <w:r w:rsidRPr="00773C87">
        <w:t xml:space="preserve">2022 r. przeniesiona na nowy układ planistyczny. Wartość wskazuje liczbę </w:t>
      </w:r>
      <w:r w:rsidR="00DF005E">
        <w:t>JCWP</w:t>
      </w:r>
      <w:r w:rsidRPr="00773C87">
        <w:t xml:space="preserve"> </w:t>
      </w:r>
      <w:r w:rsidR="00134C00">
        <w:t>TW i CW</w:t>
      </w:r>
      <w:r w:rsidRPr="00773C87">
        <w:t xml:space="preserve"> (spośród sklasyfikowanych w układzie planistycznym aPGW), dla których możliwe było przeniesienie oceny na</w:t>
      </w:r>
      <w:r w:rsidR="00C605CD" w:rsidRPr="00773C87">
        <w:t> </w:t>
      </w:r>
      <w:r w:rsidRPr="00773C87">
        <w:t>aktualny układ planistyczny IIaPGW</w:t>
      </w:r>
      <w:r w:rsidR="001F5AA9" w:rsidRPr="00773C87">
        <w:t>.</w:t>
      </w:r>
    </w:p>
    <w:p w14:paraId="3B03C87F" w14:textId="0F26E9AD" w:rsidR="00462DD4" w:rsidRDefault="00462DD4" w:rsidP="008E5000">
      <w:pPr>
        <w:pStyle w:val="Tabela-wyjasnieniapod"/>
      </w:pPr>
      <w:r w:rsidRPr="00773C87">
        <w:rPr>
          <w:vertAlign w:val="superscript"/>
        </w:rPr>
        <w:t>3)</w:t>
      </w:r>
      <w:r w:rsidR="00F5282E">
        <w:rPr>
          <w:vertAlign w:val="superscript"/>
        </w:rPr>
        <w:t xml:space="preserve"> </w:t>
      </w:r>
      <w:r w:rsidRPr="00773C87">
        <w:t>Ocena stanu na podstawie oceny 2014</w:t>
      </w:r>
      <w:r w:rsidR="001F5AA9" w:rsidRPr="00773C87">
        <w:t>–</w:t>
      </w:r>
      <w:r w:rsidRPr="00773C87">
        <w:t xml:space="preserve">2019 (GIOŚ) przeliczona zgodnie z </w:t>
      </w:r>
      <w:r w:rsidR="00DF005E">
        <w:t>r.kl.jcwp</w:t>
      </w:r>
      <w:r w:rsidRPr="00773C87">
        <w:t xml:space="preserve"> </w:t>
      </w:r>
      <w:r w:rsidR="00442820">
        <w:t>według</w:t>
      </w:r>
      <w:r w:rsidRPr="00773C87">
        <w:t xml:space="preserve"> klasyfikacji obowiązującej od </w:t>
      </w:r>
      <w:r w:rsidR="00F5282E">
        <w:t xml:space="preserve">1 stycznia </w:t>
      </w:r>
      <w:r w:rsidRPr="00773C87">
        <w:t xml:space="preserve">2022 r. oraz przy wykorzystaniu wyników Analizy znaczących oddziaływań </w:t>
      </w:r>
      <w:r w:rsidR="001F5AA9" w:rsidRPr="00773C87">
        <w:t>–</w:t>
      </w:r>
      <w:r w:rsidRPr="00773C87">
        <w:t xml:space="preserve"> </w:t>
      </w:r>
      <w:r w:rsidR="00DF005E">
        <w:t>JCWP</w:t>
      </w:r>
      <w:r w:rsidRPr="00773C87">
        <w:t xml:space="preserve"> (…)</w:t>
      </w:r>
      <w:r w:rsidRPr="00C02413">
        <w:t xml:space="preserve"> dla </w:t>
      </w:r>
      <w:r w:rsidR="00DF005E">
        <w:t>JCWP</w:t>
      </w:r>
      <w:r w:rsidRPr="00C02413">
        <w:t xml:space="preserve"> niemonitorowanych, dla których nie dokonano oceny stanu 2014</w:t>
      </w:r>
      <w:r w:rsidR="001F5AA9" w:rsidRPr="00C02413">
        <w:t>–</w:t>
      </w:r>
      <w:r w:rsidRPr="00C02413">
        <w:t>2019 (PMŚ), jest traktowana jako poglądowa, podlegająca weryfikacji w oparciu o nowe badania stanu wód, zrealizowane zgodnie z</w:t>
      </w:r>
      <w:r w:rsidR="005B1E05" w:rsidRPr="00C02413">
        <w:t> </w:t>
      </w:r>
      <w:r w:rsidRPr="00C02413">
        <w:t>metodykami PMŚ, normami oraz przepisami w</w:t>
      </w:r>
      <w:r w:rsidR="00F5282E">
        <w:t> </w:t>
      </w:r>
      <w:r w:rsidRPr="00C02413">
        <w:t>trakcie obowiązywania IIaPGW i akceptacji organu odpowiedzialnego za prowadzenie PMŚ.</w:t>
      </w:r>
    </w:p>
    <w:p w14:paraId="151A2647" w14:textId="4F1B3F60" w:rsidR="0039694B" w:rsidRPr="00795F17" w:rsidRDefault="0039694B" w:rsidP="0039694B">
      <w:pPr>
        <w:pStyle w:val="rdo"/>
        <w:rPr>
          <w:color w:val="000099"/>
          <w:sz w:val="20"/>
          <w:szCs w:val="20"/>
        </w:rPr>
      </w:pPr>
      <w:r w:rsidRPr="00795F17">
        <w:t>Źródło: opracowanie własne na podstawie danych GIOŚ oraz wyników</w:t>
      </w:r>
      <w:r w:rsidRPr="00795F17">
        <w:br/>
        <w:t xml:space="preserve"> Analizy znaczących oddziaływań </w:t>
      </w:r>
      <w:r>
        <w:t>–</w:t>
      </w:r>
      <w:r w:rsidRPr="00795F17">
        <w:t xml:space="preserve"> </w:t>
      </w:r>
      <w:r w:rsidR="00DF005E">
        <w:t>JCWP</w:t>
      </w:r>
      <w:r w:rsidRPr="00795F17">
        <w:t xml:space="preserve"> (…)</w:t>
      </w:r>
    </w:p>
    <w:p w14:paraId="76789697" w14:textId="4FF00AFC" w:rsidR="0034544C" w:rsidRPr="00795F17" w:rsidRDefault="00462DD4" w:rsidP="0044393D">
      <w:r w:rsidRPr="00795F17">
        <w:t xml:space="preserve">Z uwagi na przyjęty sposób prezentacji danych dotyczących oceny stanu </w:t>
      </w:r>
      <w:r w:rsidR="00DF005E">
        <w:t>JCWP</w:t>
      </w:r>
      <w:r w:rsidRPr="00795F17">
        <w:t xml:space="preserve"> ze wskazaniem również ocen stanu uzyskanych przy uwzględnieniu </w:t>
      </w:r>
      <w:r w:rsidR="008C5E88">
        <w:t>postanowień</w:t>
      </w:r>
      <w:r w:rsidRPr="00795F17">
        <w:t xml:space="preserve"> </w:t>
      </w:r>
      <w:r w:rsidR="00DF005E">
        <w:t>r.kl.jcwp</w:t>
      </w:r>
      <w:r w:rsidRPr="00795F17">
        <w:t xml:space="preserve"> obowiązujących od 2022</w:t>
      </w:r>
      <w:r w:rsidR="0080582C" w:rsidRPr="00795F17">
        <w:t> </w:t>
      </w:r>
      <w:r w:rsidRPr="00795F17">
        <w:t>r</w:t>
      </w:r>
      <w:r w:rsidR="0080582C" w:rsidRPr="00795F17">
        <w:t>.</w:t>
      </w:r>
      <w:r w:rsidRPr="00795F17">
        <w:t xml:space="preserve">, poniżej zaprezentowane zostały podsumowania </w:t>
      </w:r>
      <w:r w:rsidR="00B14FD9" w:rsidRPr="00795F17">
        <w:t>(tabela 5-20)</w:t>
      </w:r>
      <w:r w:rsidRPr="00795F17">
        <w:t xml:space="preserve"> dotyczące ocen stanu bądź potencjału ekologicznego, ocen stanu chemicznego</w:t>
      </w:r>
      <w:r w:rsidR="005C3901" w:rsidRPr="00795F17">
        <w:t>,</w:t>
      </w:r>
      <w:r w:rsidRPr="00795F17">
        <w:t xml:space="preserve"> a w efekcie ocen stanu </w:t>
      </w:r>
      <w:r w:rsidR="00DF005E">
        <w:t>JCWP</w:t>
      </w:r>
      <w:r w:rsidRPr="00795F17">
        <w:t xml:space="preserve"> również przy wyróżnieniu dwóch okresów wskazanych w </w:t>
      </w:r>
      <w:r w:rsidR="00DF005E">
        <w:t>r.kl.jcwp</w:t>
      </w:r>
      <w:r w:rsidRPr="00795F17">
        <w:t xml:space="preserve">. Wartości wskazane jako ocena zgodnie z </w:t>
      </w:r>
      <w:r w:rsidR="00DF005E">
        <w:t>r.kl.jcwp</w:t>
      </w:r>
      <w:r w:rsidRPr="00795F17">
        <w:t xml:space="preserve"> od 2022</w:t>
      </w:r>
      <w:r w:rsidR="005B1E05" w:rsidRPr="00795F17">
        <w:t> </w:t>
      </w:r>
      <w:r w:rsidRPr="00795F17">
        <w:t>r. traktowana jest poglądowo, dla zapewnienia możliwości odniesienia się do klasyfikacji stosowanej w</w:t>
      </w:r>
      <w:r w:rsidR="005B1E05" w:rsidRPr="00795F17">
        <w:t> </w:t>
      </w:r>
      <w:r w:rsidRPr="00795F17">
        <w:t>cyklu planistycznym IIaPGW.</w:t>
      </w:r>
      <w:r w:rsidR="0034544C" w:rsidRPr="00795F17">
        <w:t xml:space="preserve"> Wyniki oceny eksperckiej oceny stanu/potencjału ekologicznego dla</w:t>
      </w:r>
      <w:r w:rsidR="006D242F" w:rsidRPr="00795F17">
        <w:t> </w:t>
      </w:r>
      <w:r w:rsidR="00DF005E">
        <w:t>JCWP</w:t>
      </w:r>
      <w:r w:rsidR="0034544C" w:rsidRPr="00795F17">
        <w:t xml:space="preserve"> TW</w:t>
      </w:r>
      <w:r w:rsidR="001E5FBF">
        <w:t xml:space="preserve"> i </w:t>
      </w:r>
      <w:r w:rsidR="0034544C" w:rsidRPr="00795F17">
        <w:t xml:space="preserve">CW od roku 2022 przedstawiono w załączniku graficznym </w:t>
      </w:r>
      <w:r w:rsidR="003F1582">
        <w:t xml:space="preserve">nr </w:t>
      </w:r>
      <w:r w:rsidR="00425EA2">
        <w:t>23</w:t>
      </w:r>
      <w:r w:rsidR="0034544C" w:rsidRPr="00795F17">
        <w:t>.</w:t>
      </w:r>
    </w:p>
    <w:p w14:paraId="78FF2C01" w14:textId="44D52E9E" w:rsidR="00462DD4" w:rsidRPr="00795F17" w:rsidRDefault="00F233A5" w:rsidP="0044393D">
      <w:r>
        <w:t>Dla</w:t>
      </w:r>
      <w:r w:rsidR="00462DD4" w:rsidRPr="00795F17">
        <w:t xml:space="preserve"> wszystkich </w:t>
      </w:r>
      <w:r w:rsidR="00DF005E">
        <w:t>JCWP</w:t>
      </w:r>
      <w:r w:rsidR="00462DD4" w:rsidRPr="00795F17">
        <w:t xml:space="preserve"> TW i CW obszaru dorzecza Odry ocenę stanu bądź potencjału ekologicznego</w:t>
      </w:r>
      <w:r w:rsidR="00C85A64">
        <w:t>, stanu chemicznego</w:t>
      </w:r>
      <w:r w:rsidR="00E22B69">
        <w:t xml:space="preserve"> oraz ocenę stanu wód</w:t>
      </w:r>
      <w:r w:rsidR="00462DD4" w:rsidRPr="00795F17">
        <w:t xml:space="preserve"> przeniesiono na nowy układ planistyczny </w:t>
      </w:r>
      <w:r w:rsidR="00E22B69">
        <w:t>(</w:t>
      </w:r>
      <w:r w:rsidR="00462DD4" w:rsidRPr="00795F17">
        <w:t xml:space="preserve"> 100% </w:t>
      </w:r>
      <w:r w:rsidR="00DF005E">
        <w:t>JCWP</w:t>
      </w:r>
      <w:r w:rsidR="00462DD4" w:rsidRPr="00795F17">
        <w:t xml:space="preserve"> TW i CW</w:t>
      </w:r>
      <w:r w:rsidR="00E22B69">
        <w:t>) zarówno</w:t>
      </w:r>
      <w:r w:rsidR="00462DD4" w:rsidRPr="00795F17">
        <w:t xml:space="preserve"> </w:t>
      </w:r>
      <w:r w:rsidR="00151E33">
        <w:t>dla</w:t>
      </w:r>
      <w:r w:rsidR="00462DD4" w:rsidRPr="00795F17">
        <w:t xml:space="preserve"> stanu 2014</w:t>
      </w:r>
      <w:r w:rsidR="001F5AA9">
        <w:t>–</w:t>
      </w:r>
      <w:r w:rsidR="00462DD4" w:rsidRPr="00795F17">
        <w:t xml:space="preserve">2019 GIOŚ </w:t>
      </w:r>
      <w:r w:rsidR="00442820">
        <w:t>według</w:t>
      </w:r>
      <w:r w:rsidR="005B1E05" w:rsidRPr="00795F17">
        <w:t> </w:t>
      </w:r>
      <w:r w:rsidR="00DF005E">
        <w:t>r.kl.jcwp</w:t>
      </w:r>
      <w:r w:rsidR="00462DD4" w:rsidRPr="00795F17">
        <w:t xml:space="preserve"> do 2022 r., </w:t>
      </w:r>
      <w:r w:rsidR="00D92339">
        <w:t xml:space="preserve">jak i </w:t>
      </w:r>
      <w:r w:rsidR="00462DD4" w:rsidRPr="00795F17">
        <w:t xml:space="preserve">przy uwzględnieniu klasyfikacji zgodnie z </w:t>
      </w:r>
      <w:r w:rsidR="00DF005E">
        <w:t>r.kl.jcwp</w:t>
      </w:r>
      <w:r w:rsidR="00462DD4" w:rsidRPr="00795F17">
        <w:t xml:space="preserve"> od 2022 roku oraz</w:t>
      </w:r>
      <w:r w:rsidR="005C577B">
        <w:t> </w:t>
      </w:r>
      <w:r w:rsidR="00462DD4" w:rsidRPr="00795F17">
        <w:t>wyników analiz eksperckich .</w:t>
      </w:r>
    </w:p>
    <w:p w14:paraId="7048252F" w14:textId="2FB82EEB" w:rsidR="00462DD4" w:rsidRPr="001D33CA" w:rsidRDefault="008D37D6" w:rsidP="005842B5">
      <w:r w:rsidRPr="001D33CA">
        <w:t xml:space="preserve">Wyniki eksperckiej </w:t>
      </w:r>
      <w:r w:rsidR="00C12087">
        <w:t>klasyfikacji stanu chemicznego</w:t>
      </w:r>
      <w:r w:rsidRPr="001D33CA">
        <w:t xml:space="preserve"> dla </w:t>
      </w:r>
      <w:r w:rsidR="00DF005E">
        <w:t>JCWP</w:t>
      </w:r>
      <w:r w:rsidRPr="001D33CA">
        <w:t xml:space="preserve"> TW</w:t>
      </w:r>
      <w:r w:rsidR="004349CA" w:rsidRPr="001D33CA">
        <w:t xml:space="preserve"> i </w:t>
      </w:r>
      <w:r w:rsidRPr="001D33CA">
        <w:t>CW d</w:t>
      </w:r>
      <w:r w:rsidR="00894CC6" w:rsidRPr="001D33CA">
        <w:t>o</w:t>
      </w:r>
      <w:r w:rsidRPr="001D33CA">
        <w:t xml:space="preserve"> roku 2022 przedstawiono w załączniku graficznym </w:t>
      </w:r>
      <w:r w:rsidR="003F1582" w:rsidRPr="001D33CA">
        <w:t xml:space="preserve">nr </w:t>
      </w:r>
      <w:r w:rsidR="000D31C7">
        <w:t>27</w:t>
      </w:r>
      <w:r w:rsidRPr="001D33CA">
        <w:t xml:space="preserve">, a od roku 2022 w załączniku graficznym </w:t>
      </w:r>
      <w:r w:rsidR="003F1582" w:rsidRPr="001D33CA">
        <w:t xml:space="preserve">nr </w:t>
      </w:r>
      <w:r w:rsidR="00EA04DE">
        <w:t>31</w:t>
      </w:r>
      <w:r w:rsidRPr="001D33CA">
        <w:t>.</w:t>
      </w:r>
    </w:p>
    <w:p w14:paraId="1AC781F9" w14:textId="5F616E48" w:rsidR="00462DD4" w:rsidRPr="001D33CA" w:rsidRDefault="00A6596A" w:rsidP="005842B5">
      <w:r w:rsidRPr="001D33CA">
        <w:t xml:space="preserve">Ocenę stanu wód dla </w:t>
      </w:r>
      <w:r w:rsidR="00DF005E">
        <w:t>JCWP</w:t>
      </w:r>
      <w:r w:rsidRPr="001D33CA">
        <w:t xml:space="preserve"> TW</w:t>
      </w:r>
      <w:r w:rsidR="001E5FBF" w:rsidRPr="001D33CA">
        <w:t xml:space="preserve"> i </w:t>
      </w:r>
      <w:r w:rsidRPr="001D33CA">
        <w:t>CW d</w:t>
      </w:r>
      <w:r w:rsidR="00894CC6" w:rsidRPr="001D33CA">
        <w:t>o</w:t>
      </w:r>
      <w:r w:rsidRPr="001D33CA">
        <w:t xml:space="preserve"> roku 2022 przedstawiono w załączniku graficznym </w:t>
      </w:r>
      <w:r w:rsidR="003F1582" w:rsidRPr="001D33CA">
        <w:t xml:space="preserve">nr </w:t>
      </w:r>
      <w:r w:rsidR="00D92B5A">
        <w:t>35</w:t>
      </w:r>
      <w:r w:rsidRPr="001D33CA">
        <w:t>, a</w:t>
      </w:r>
      <w:r w:rsidR="005C3901" w:rsidRPr="001D33CA">
        <w:t> </w:t>
      </w:r>
      <w:r w:rsidRPr="001D33CA">
        <w:t xml:space="preserve">od roku 2022 w załączniku graficznym </w:t>
      </w:r>
      <w:r w:rsidR="003F1582" w:rsidRPr="001D33CA">
        <w:t xml:space="preserve">nr </w:t>
      </w:r>
      <w:r w:rsidR="00D43B2D">
        <w:t>39</w:t>
      </w:r>
      <w:r w:rsidRPr="001D33CA">
        <w:t>.</w:t>
      </w:r>
    </w:p>
    <w:p w14:paraId="72D1F7B5" w14:textId="5F76EBBF" w:rsidR="00462DD4" w:rsidRPr="00795F17" w:rsidRDefault="00462DD4" w:rsidP="004D7705">
      <w:pPr>
        <w:pStyle w:val="Tabela"/>
      </w:pPr>
      <w:bookmarkStart w:id="191" w:name="_Toc66341875"/>
      <w:bookmarkStart w:id="192" w:name="_Toc105512784"/>
      <w:r w:rsidRPr="00795F17">
        <w:t xml:space="preserve">Tabela </w:t>
      </w:r>
      <w:fldSimple w:instr=" STYLEREF 1 \s ">
        <w:r w:rsidR="001F774D">
          <w:rPr>
            <w:noProof/>
          </w:rPr>
          <w:t>5</w:t>
        </w:r>
      </w:fldSimple>
      <w:r w:rsidR="00BB3B21" w:rsidRPr="00795F17">
        <w:noBreakHyphen/>
      </w:r>
      <w:fldSimple w:instr=" SEQ Tabela \* ARABIC \s 1 ">
        <w:r w:rsidR="001F774D">
          <w:rPr>
            <w:noProof/>
          </w:rPr>
          <w:t>20</w:t>
        </w:r>
      </w:fldSimple>
      <w:r w:rsidR="00BA11D4">
        <w:rPr>
          <w:noProof/>
        </w:rPr>
        <w:t>.</w:t>
      </w:r>
      <w:r w:rsidRPr="00795F17">
        <w:tab/>
        <w:t xml:space="preserve">Podsumowanie oceny stanu </w:t>
      </w:r>
      <w:r w:rsidR="00DF005E">
        <w:t>JCWP</w:t>
      </w:r>
      <w:r w:rsidRPr="00795F17">
        <w:t xml:space="preserve"> TW i CW </w:t>
      </w:r>
      <w:r w:rsidR="001F5AA9">
        <w:t>–</w:t>
      </w:r>
      <w:r w:rsidRPr="00795F17">
        <w:t xml:space="preserve"> obszar dorzecza Odry</w:t>
      </w:r>
      <w:bookmarkEnd w:id="191"/>
      <w:bookmarkEnd w:id="192"/>
    </w:p>
    <w:tbl>
      <w:tblPr>
        <w:tblStyle w:val="Tabela-Siatka"/>
        <w:tblW w:w="0" w:type="auto"/>
        <w:tblLook w:val="04A0" w:firstRow="1" w:lastRow="0" w:firstColumn="1" w:lastColumn="0" w:noHBand="0" w:noVBand="1"/>
      </w:tblPr>
      <w:tblGrid>
        <w:gridCol w:w="3261"/>
        <w:gridCol w:w="1417"/>
        <w:gridCol w:w="1418"/>
        <w:gridCol w:w="1417"/>
        <w:gridCol w:w="1554"/>
      </w:tblGrid>
      <w:tr w:rsidR="00462DD4" w:rsidRPr="00795F17" w14:paraId="081C8EA6" w14:textId="77777777" w:rsidTr="005B1E05">
        <w:trPr>
          <w:cnfStyle w:val="100000000000" w:firstRow="1" w:lastRow="0" w:firstColumn="0" w:lastColumn="0" w:oddVBand="0" w:evenVBand="0" w:oddHBand="0" w:evenHBand="0" w:firstRowFirstColumn="0" w:firstRowLastColumn="0" w:lastRowFirstColumn="0" w:lastRowLastColumn="0"/>
          <w:trHeight w:val="454"/>
        </w:trPr>
        <w:tc>
          <w:tcPr>
            <w:tcW w:w="3261" w:type="dxa"/>
            <w:vMerge w:val="restart"/>
            <w:tcBorders>
              <w:top w:val="nil"/>
              <w:left w:val="nil"/>
            </w:tcBorders>
            <w:shd w:val="clear" w:color="auto" w:fill="auto"/>
          </w:tcPr>
          <w:p w14:paraId="7C18DB2D" w14:textId="77777777" w:rsidR="00462DD4" w:rsidRPr="00795F17" w:rsidRDefault="00462DD4" w:rsidP="0044393D"/>
        </w:tc>
        <w:tc>
          <w:tcPr>
            <w:tcW w:w="1417" w:type="dxa"/>
          </w:tcPr>
          <w:p w14:paraId="609D5A70" w14:textId="250C7B2B" w:rsidR="00462DD4" w:rsidRPr="00795F17" w:rsidRDefault="00DF005E" w:rsidP="0044393D">
            <w:pPr>
              <w:pStyle w:val="Teksttabelinaglowek"/>
              <w:rPr>
                <w:b/>
              </w:rPr>
            </w:pPr>
            <w:r>
              <w:rPr>
                <w:b/>
              </w:rPr>
              <w:t>R.kl.jcwp</w:t>
            </w:r>
            <w:r w:rsidR="00462DD4" w:rsidRPr="00795F17">
              <w:rPr>
                <w:b/>
              </w:rPr>
              <w:t xml:space="preserve"> </w:t>
            </w:r>
            <w:r w:rsidR="00462DD4" w:rsidRPr="00795F17">
              <w:rPr>
                <w:b/>
              </w:rPr>
              <w:br/>
              <w:t>do 2022 r.</w:t>
            </w:r>
          </w:p>
        </w:tc>
        <w:tc>
          <w:tcPr>
            <w:tcW w:w="4389" w:type="dxa"/>
            <w:gridSpan w:val="3"/>
          </w:tcPr>
          <w:p w14:paraId="0FA355BB" w14:textId="5C5506C9" w:rsidR="00462DD4" w:rsidRPr="00795F17" w:rsidRDefault="00DF005E" w:rsidP="0044393D">
            <w:pPr>
              <w:pStyle w:val="Teksttabelinaglowek"/>
              <w:rPr>
                <w:b/>
              </w:rPr>
            </w:pPr>
            <w:r>
              <w:rPr>
                <w:b/>
              </w:rPr>
              <w:t>R.kl.jcwp</w:t>
            </w:r>
            <w:r w:rsidR="00462DD4" w:rsidRPr="00795F17">
              <w:rPr>
                <w:b/>
              </w:rPr>
              <w:t xml:space="preserve"> od 2022</w:t>
            </w:r>
            <w:r w:rsidR="00335CF9">
              <w:rPr>
                <w:b/>
              </w:rPr>
              <w:t xml:space="preserve"> r.</w:t>
            </w:r>
          </w:p>
        </w:tc>
      </w:tr>
      <w:tr w:rsidR="00462DD4" w:rsidRPr="00795F17" w14:paraId="0B2D1523" w14:textId="77777777" w:rsidTr="005B1E05">
        <w:trPr>
          <w:trHeight w:val="454"/>
        </w:trPr>
        <w:tc>
          <w:tcPr>
            <w:tcW w:w="3261" w:type="dxa"/>
            <w:vMerge/>
            <w:tcBorders>
              <w:left w:val="nil"/>
            </w:tcBorders>
            <w:shd w:val="clear" w:color="auto" w:fill="auto"/>
          </w:tcPr>
          <w:p w14:paraId="4A99341F" w14:textId="77777777" w:rsidR="00462DD4" w:rsidRPr="00795F17" w:rsidRDefault="00462DD4" w:rsidP="0044393D"/>
        </w:tc>
        <w:tc>
          <w:tcPr>
            <w:tcW w:w="1417" w:type="dxa"/>
            <w:shd w:val="clear" w:color="auto" w:fill="BFBFBF" w:themeFill="background1" w:themeFillShade="BF"/>
          </w:tcPr>
          <w:p w14:paraId="72715D7A" w14:textId="2538290A" w:rsidR="00462DD4" w:rsidRPr="00795F17" w:rsidRDefault="00462DD4" w:rsidP="0044393D">
            <w:pPr>
              <w:pStyle w:val="Teksttabelinaglowek"/>
            </w:pPr>
            <w:r w:rsidRPr="00795F17">
              <w:t xml:space="preserve">Liczba </w:t>
            </w:r>
            <w:r w:rsidR="00DF005E">
              <w:t>JCWP</w:t>
            </w:r>
            <w:r w:rsidRPr="00795F17">
              <w:t xml:space="preserve"> z</w:t>
            </w:r>
            <w:r w:rsidR="00771624">
              <w:t> </w:t>
            </w:r>
            <w:r w:rsidRPr="00795F17">
              <w:t>oceną stanu (PMŚ)</w:t>
            </w:r>
            <w:r w:rsidRPr="00795F17">
              <w:rPr>
                <w:vertAlign w:val="superscript"/>
              </w:rPr>
              <w:t>1</w:t>
            </w:r>
          </w:p>
        </w:tc>
        <w:tc>
          <w:tcPr>
            <w:tcW w:w="1418" w:type="dxa"/>
            <w:shd w:val="clear" w:color="auto" w:fill="BFBFBF" w:themeFill="background1" w:themeFillShade="BF"/>
          </w:tcPr>
          <w:p w14:paraId="021C17D2" w14:textId="53760155" w:rsidR="00462DD4" w:rsidRPr="00795F17" w:rsidRDefault="00462DD4" w:rsidP="0044393D">
            <w:pPr>
              <w:pStyle w:val="Teksttabelinaglowek"/>
            </w:pPr>
            <w:r w:rsidRPr="00795F17">
              <w:t xml:space="preserve">Liczba </w:t>
            </w:r>
            <w:r w:rsidR="00DF005E">
              <w:t>JCWP</w:t>
            </w:r>
            <w:r w:rsidRPr="00795F17">
              <w:t xml:space="preserve"> z</w:t>
            </w:r>
            <w:r w:rsidR="00CD247D">
              <w:t> </w:t>
            </w:r>
            <w:r w:rsidRPr="00795F17">
              <w:t>oceną stanu ogółem</w:t>
            </w:r>
          </w:p>
        </w:tc>
        <w:tc>
          <w:tcPr>
            <w:tcW w:w="1417" w:type="dxa"/>
            <w:shd w:val="clear" w:color="auto" w:fill="BFBFBF" w:themeFill="background1" w:themeFillShade="BF"/>
          </w:tcPr>
          <w:p w14:paraId="0ACA8891" w14:textId="24EDAD96" w:rsidR="00462DD4" w:rsidRPr="00795F17" w:rsidRDefault="00462DD4" w:rsidP="0044393D">
            <w:pPr>
              <w:pStyle w:val="Teksttabelinaglowek"/>
            </w:pPr>
            <w:r w:rsidRPr="00795F17">
              <w:t xml:space="preserve">Liczba </w:t>
            </w:r>
            <w:r w:rsidR="00DF005E">
              <w:t>JCWP</w:t>
            </w:r>
            <w:r w:rsidRPr="00795F17">
              <w:t xml:space="preserve"> z</w:t>
            </w:r>
            <w:r w:rsidR="00CD247D">
              <w:t> </w:t>
            </w:r>
            <w:r w:rsidRPr="00795F17">
              <w:t>oceną stanu (PMŚ)</w:t>
            </w:r>
            <w:r w:rsidRPr="00795F17">
              <w:rPr>
                <w:vertAlign w:val="superscript"/>
              </w:rPr>
              <w:t>2</w:t>
            </w:r>
          </w:p>
        </w:tc>
        <w:tc>
          <w:tcPr>
            <w:tcW w:w="1554" w:type="dxa"/>
            <w:shd w:val="clear" w:color="auto" w:fill="BFBFBF" w:themeFill="background1" w:themeFillShade="BF"/>
          </w:tcPr>
          <w:p w14:paraId="16E5DBC7" w14:textId="3E137AB1" w:rsidR="00462DD4" w:rsidRPr="00795F17" w:rsidRDefault="00462DD4" w:rsidP="0044393D">
            <w:pPr>
              <w:pStyle w:val="Teksttabelinaglowek"/>
            </w:pPr>
            <w:r w:rsidRPr="00795F17">
              <w:t xml:space="preserve">Liczba </w:t>
            </w:r>
            <w:r w:rsidR="00DF005E">
              <w:t>JCWP</w:t>
            </w:r>
            <w:r w:rsidRPr="00795F17">
              <w:t xml:space="preserve"> z</w:t>
            </w:r>
            <w:r w:rsidR="00CD247D">
              <w:t> </w:t>
            </w:r>
            <w:r w:rsidRPr="00795F17">
              <w:t>oceną stanu (EKSP)</w:t>
            </w:r>
            <w:r w:rsidRPr="00795F17">
              <w:rPr>
                <w:vertAlign w:val="superscript"/>
              </w:rPr>
              <w:t>3</w:t>
            </w:r>
          </w:p>
        </w:tc>
      </w:tr>
      <w:tr w:rsidR="00462DD4" w:rsidRPr="00795F17" w14:paraId="2D2E1893" w14:textId="77777777" w:rsidTr="00F97814">
        <w:trPr>
          <w:trHeight w:val="454"/>
        </w:trPr>
        <w:tc>
          <w:tcPr>
            <w:tcW w:w="3261" w:type="dxa"/>
            <w:shd w:val="clear" w:color="auto" w:fill="D9D9D9" w:themeFill="background1" w:themeFillShade="D9"/>
          </w:tcPr>
          <w:p w14:paraId="5B909E9E" w14:textId="77777777" w:rsidR="00462DD4" w:rsidRPr="00795F17" w:rsidRDefault="00462DD4" w:rsidP="008C0577">
            <w:pPr>
              <w:pStyle w:val="Teksttabelilewy"/>
              <w:rPr>
                <w:b/>
              </w:rPr>
            </w:pPr>
            <w:r w:rsidRPr="00795F17">
              <w:rPr>
                <w:b/>
                <w:bCs/>
              </w:rPr>
              <w:t>Stan/potencjał ekologiczny</w:t>
            </w:r>
          </w:p>
        </w:tc>
        <w:tc>
          <w:tcPr>
            <w:tcW w:w="1417" w:type="dxa"/>
            <w:shd w:val="clear" w:color="auto" w:fill="D9D9D9" w:themeFill="background1" w:themeFillShade="D9"/>
          </w:tcPr>
          <w:p w14:paraId="5621ECC0" w14:textId="77777777" w:rsidR="00462DD4" w:rsidRPr="00795F17" w:rsidRDefault="00462DD4" w:rsidP="008C0577">
            <w:pPr>
              <w:pStyle w:val="Teksttabelinaglowek"/>
            </w:pPr>
            <w:r w:rsidRPr="00795F17">
              <w:t>4</w:t>
            </w:r>
          </w:p>
        </w:tc>
        <w:tc>
          <w:tcPr>
            <w:tcW w:w="1418" w:type="dxa"/>
            <w:shd w:val="clear" w:color="auto" w:fill="D9D9D9" w:themeFill="background1" w:themeFillShade="D9"/>
          </w:tcPr>
          <w:p w14:paraId="6E845FB5" w14:textId="77777777" w:rsidR="00462DD4" w:rsidRPr="00795F17" w:rsidRDefault="00462DD4" w:rsidP="008C0577">
            <w:pPr>
              <w:pStyle w:val="Teksttabelinaglowek"/>
            </w:pPr>
            <w:r w:rsidRPr="00795F17">
              <w:t>4</w:t>
            </w:r>
          </w:p>
        </w:tc>
        <w:tc>
          <w:tcPr>
            <w:tcW w:w="1417" w:type="dxa"/>
            <w:shd w:val="clear" w:color="auto" w:fill="D9D9D9" w:themeFill="background1" w:themeFillShade="D9"/>
          </w:tcPr>
          <w:p w14:paraId="67589A6A" w14:textId="77777777" w:rsidR="00462DD4" w:rsidRPr="00795F17" w:rsidRDefault="00462DD4" w:rsidP="008C0577">
            <w:pPr>
              <w:pStyle w:val="Teksttabelinaglowek"/>
            </w:pPr>
            <w:r w:rsidRPr="00795F17">
              <w:t>4</w:t>
            </w:r>
          </w:p>
        </w:tc>
        <w:tc>
          <w:tcPr>
            <w:tcW w:w="1554" w:type="dxa"/>
            <w:shd w:val="clear" w:color="auto" w:fill="D9D9D9" w:themeFill="background1" w:themeFillShade="D9"/>
          </w:tcPr>
          <w:p w14:paraId="4D28B17E" w14:textId="77777777" w:rsidR="00462DD4" w:rsidRPr="00795F17" w:rsidRDefault="00462DD4" w:rsidP="008C0577">
            <w:pPr>
              <w:pStyle w:val="Teksttabelinaglowek"/>
            </w:pPr>
            <w:r w:rsidRPr="00795F17">
              <w:t>0</w:t>
            </w:r>
          </w:p>
        </w:tc>
      </w:tr>
      <w:tr w:rsidR="00462DD4" w:rsidRPr="00795F17" w14:paraId="7A265079" w14:textId="77777777" w:rsidTr="00F97814">
        <w:trPr>
          <w:trHeight w:val="454"/>
        </w:trPr>
        <w:tc>
          <w:tcPr>
            <w:tcW w:w="3261" w:type="dxa"/>
          </w:tcPr>
          <w:p w14:paraId="5C718529" w14:textId="77777777" w:rsidR="00462DD4" w:rsidRPr="00795F17" w:rsidRDefault="00462DD4" w:rsidP="0044393D">
            <w:pPr>
              <w:pStyle w:val="Teksttabelilewy"/>
            </w:pPr>
            <w:r w:rsidRPr="00795F17">
              <w:t>Bardzo dobry stan ekologiczny/ maksymalny potencjał ekologiczny</w:t>
            </w:r>
          </w:p>
        </w:tc>
        <w:tc>
          <w:tcPr>
            <w:tcW w:w="1417" w:type="dxa"/>
            <w:shd w:val="clear" w:color="auto" w:fill="F2F2F2" w:themeFill="background1" w:themeFillShade="F2"/>
          </w:tcPr>
          <w:p w14:paraId="0A0E53DC" w14:textId="77777777" w:rsidR="00462DD4" w:rsidRPr="00795F17" w:rsidRDefault="00462DD4" w:rsidP="0065243A">
            <w:pPr>
              <w:pStyle w:val="Teksttabelisrodek"/>
            </w:pPr>
            <w:r w:rsidRPr="00795F17">
              <w:t>0</w:t>
            </w:r>
          </w:p>
        </w:tc>
        <w:tc>
          <w:tcPr>
            <w:tcW w:w="1418" w:type="dxa"/>
          </w:tcPr>
          <w:p w14:paraId="62B3C9DB" w14:textId="77777777" w:rsidR="00462DD4" w:rsidRPr="00795F17" w:rsidRDefault="00462DD4" w:rsidP="0065243A">
            <w:pPr>
              <w:pStyle w:val="Teksttabelisrodek"/>
            </w:pPr>
            <w:r w:rsidRPr="00795F17">
              <w:t>0</w:t>
            </w:r>
          </w:p>
        </w:tc>
        <w:tc>
          <w:tcPr>
            <w:tcW w:w="1417" w:type="dxa"/>
          </w:tcPr>
          <w:p w14:paraId="2653B379" w14:textId="77777777" w:rsidR="00462DD4" w:rsidRPr="00795F17" w:rsidRDefault="00462DD4" w:rsidP="0065243A">
            <w:pPr>
              <w:pStyle w:val="Teksttabelisrodek"/>
            </w:pPr>
            <w:r w:rsidRPr="00795F17">
              <w:t>0</w:t>
            </w:r>
          </w:p>
        </w:tc>
        <w:tc>
          <w:tcPr>
            <w:tcW w:w="1554" w:type="dxa"/>
          </w:tcPr>
          <w:p w14:paraId="7418E56C" w14:textId="77777777" w:rsidR="00462DD4" w:rsidRPr="00795F17" w:rsidRDefault="00462DD4" w:rsidP="0065243A">
            <w:pPr>
              <w:pStyle w:val="Teksttabelisrodek"/>
            </w:pPr>
            <w:r w:rsidRPr="00795F17">
              <w:t>0</w:t>
            </w:r>
          </w:p>
        </w:tc>
      </w:tr>
      <w:tr w:rsidR="00462DD4" w:rsidRPr="00795F17" w14:paraId="2DD3C340" w14:textId="77777777" w:rsidTr="00F97814">
        <w:trPr>
          <w:trHeight w:val="454"/>
        </w:trPr>
        <w:tc>
          <w:tcPr>
            <w:tcW w:w="3261" w:type="dxa"/>
          </w:tcPr>
          <w:p w14:paraId="2AEA360F" w14:textId="77777777" w:rsidR="00462DD4" w:rsidRPr="00795F17" w:rsidRDefault="00462DD4" w:rsidP="0044393D">
            <w:pPr>
              <w:pStyle w:val="Teksttabelilewy"/>
            </w:pPr>
            <w:r w:rsidRPr="00795F17">
              <w:t>Dobry stan ekologiczny/ potencjał ekologiczny</w:t>
            </w:r>
          </w:p>
        </w:tc>
        <w:tc>
          <w:tcPr>
            <w:tcW w:w="1417" w:type="dxa"/>
            <w:shd w:val="clear" w:color="auto" w:fill="F2F2F2" w:themeFill="background1" w:themeFillShade="F2"/>
          </w:tcPr>
          <w:p w14:paraId="762899EA" w14:textId="77777777" w:rsidR="00462DD4" w:rsidRPr="00795F17" w:rsidRDefault="00462DD4" w:rsidP="0065243A">
            <w:pPr>
              <w:pStyle w:val="Teksttabelisrodek"/>
            </w:pPr>
            <w:r w:rsidRPr="00795F17">
              <w:t>0</w:t>
            </w:r>
          </w:p>
        </w:tc>
        <w:tc>
          <w:tcPr>
            <w:tcW w:w="1418" w:type="dxa"/>
          </w:tcPr>
          <w:p w14:paraId="0EA59641" w14:textId="77777777" w:rsidR="00462DD4" w:rsidRPr="00795F17" w:rsidRDefault="00462DD4" w:rsidP="0065243A">
            <w:pPr>
              <w:pStyle w:val="Teksttabelisrodek"/>
            </w:pPr>
            <w:r w:rsidRPr="00795F17">
              <w:t>0</w:t>
            </w:r>
          </w:p>
        </w:tc>
        <w:tc>
          <w:tcPr>
            <w:tcW w:w="1417" w:type="dxa"/>
          </w:tcPr>
          <w:p w14:paraId="0181F2FD" w14:textId="77777777" w:rsidR="00462DD4" w:rsidRPr="00795F17" w:rsidRDefault="00462DD4" w:rsidP="0065243A">
            <w:pPr>
              <w:pStyle w:val="Teksttabelisrodek"/>
            </w:pPr>
            <w:r w:rsidRPr="00795F17">
              <w:t>0</w:t>
            </w:r>
          </w:p>
        </w:tc>
        <w:tc>
          <w:tcPr>
            <w:tcW w:w="1554" w:type="dxa"/>
          </w:tcPr>
          <w:p w14:paraId="7153904D" w14:textId="77777777" w:rsidR="00462DD4" w:rsidRPr="00795F17" w:rsidRDefault="00462DD4" w:rsidP="0065243A">
            <w:pPr>
              <w:pStyle w:val="Teksttabelisrodek"/>
            </w:pPr>
            <w:r w:rsidRPr="00795F17">
              <w:t>0</w:t>
            </w:r>
          </w:p>
        </w:tc>
      </w:tr>
      <w:tr w:rsidR="00462DD4" w:rsidRPr="00795F17" w14:paraId="3345C856" w14:textId="77777777" w:rsidTr="00F97814">
        <w:trPr>
          <w:trHeight w:val="454"/>
        </w:trPr>
        <w:tc>
          <w:tcPr>
            <w:tcW w:w="3261" w:type="dxa"/>
          </w:tcPr>
          <w:p w14:paraId="2FF63535" w14:textId="77777777" w:rsidR="00462DD4" w:rsidRPr="00795F17" w:rsidRDefault="00462DD4" w:rsidP="0044393D">
            <w:pPr>
              <w:pStyle w:val="Teksttabelilewy"/>
            </w:pPr>
            <w:r w:rsidRPr="00795F17">
              <w:t>Umiarkowany stan ekologiczny/ umiarkowany potencjał ekologiczny</w:t>
            </w:r>
          </w:p>
        </w:tc>
        <w:tc>
          <w:tcPr>
            <w:tcW w:w="1417" w:type="dxa"/>
            <w:shd w:val="clear" w:color="auto" w:fill="F2F2F2" w:themeFill="background1" w:themeFillShade="F2"/>
          </w:tcPr>
          <w:p w14:paraId="13640C9F" w14:textId="77777777" w:rsidR="00462DD4" w:rsidRPr="00795F17" w:rsidRDefault="00462DD4" w:rsidP="0065243A">
            <w:pPr>
              <w:pStyle w:val="Teksttabelisrodek"/>
            </w:pPr>
            <w:r w:rsidRPr="00795F17">
              <w:t>1</w:t>
            </w:r>
          </w:p>
        </w:tc>
        <w:tc>
          <w:tcPr>
            <w:tcW w:w="1418" w:type="dxa"/>
          </w:tcPr>
          <w:p w14:paraId="0044E57D" w14:textId="77777777" w:rsidR="00462DD4" w:rsidRPr="00795F17" w:rsidRDefault="00462DD4" w:rsidP="0065243A">
            <w:pPr>
              <w:pStyle w:val="Teksttabelisrodek"/>
            </w:pPr>
            <w:r w:rsidRPr="00795F17">
              <w:t>1</w:t>
            </w:r>
          </w:p>
        </w:tc>
        <w:tc>
          <w:tcPr>
            <w:tcW w:w="1417" w:type="dxa"/>
          </w:tcPr>
          <w:p w14:paraId="6E24A8F3" w14:textId="77777777" w:rsidR="00462DD4" w:rsidRPr="00795F17" w:rsidRDefault="00462DD4" w:rsidP="0065243A">
            <w:pPr>
              <w:pStyle w:val="Teksttabelisrodek"/>
            </w:pPr>
            <w:r w:rsidRPr="00795F17">
              <w:t>1</w:t>
            </w:r>
          </w:p>
        </w:tc>
        <w:tc>
          <w:tcPr>
            <w:tcW w:w="1554" w:type="dxa"/>
          </w:tcPr>
          <w:p w14:paraId="0F72697E" w14:textId="77777777" w:rsidR="00462DD4" w:rsidRPr="00795F17" w:rsidRDefault="00462DD4" w:rsidP="0065243A">
            <w:pPr>
              <w:pStyle w:val="Teksttabelisrodek"/>
            </w:pPr>
            <w:r w:rsidRPr="00795F17">
              <w:t>0</w:t>
            </w:r>
          </w:p>
        </w:tc>
      </w:tr>
      <w:tr w:rsidR="00462DD4" w:rsidRPr="00795F17" w14:paraId="7B735588" w14:textId="77777777" w:rsidTr="00F97814">
        <w:trPr>
          <w:trHeight w:val="454"/>
        </w:trPr>
        <w:tc>
          <w:tcPr>
            <w:tcW w:w="3261" w:type="dxa"/>
          </w:tcPr>
          <w:p w14:paraId="1723629D" w14:textId="77777777" w:rsidR="00462DD4" w:rsidRPr="00795F17" w:rsidRDefault="00462DD4" w:rsidP="0044393D">
            <w:pPr>
              <w:pStyle w:val="Teksttabelilewy"/>
            </w:pPr>
            <w:r w:rsidRPr="00795F17">
              <w:t>Słaby stan ekologiczny/ słaby potencjał ekologiczny</w:t>
            </w:r>
          </w:p>
        </w:tc>
        <w:tc>
          <w:tcPr>
            <w:tcW w:w="1417" w:type="dxa"/>
            <w:shd w:val="clear" w:color="auto" w:fill="F2F2F2" w:themeFill="background1" w:themeFillShade="F2"/>
          </w:tcPr>
          <w:p w14:paraId="438ACC92" w14:textId="77777777" w:rsidR="00462DD4" w:rsidRPr="00795F17" w:rsidRDefault="00462DD4" w:rsidP="0065243A">
            <w:pPr>
              <w:pStyle w:val="Teksttabelisrodek"/>
            </w:pPr>
            <w:r w:rsidRPr="00795F17">
              <w:t>3</w:t>
            </w:r>
          </w:p>
        </w:tc>
        <w:tc>
          <w:tcPr>
            <w:tcW w:w="1418" w:type="dxa"/>
          </w:tcPr>
          <w:p w14:paraId="3ED6C4F8" w14:textId="77777777" w:rsidR="00462DD4" w:rsidRPr="00795F17" w:rsidRDefault="00462DD4" w:rsidP="0065243A">
            <w:pPr>
              <w:pStyle w:val="Teksttabelisrodek"/>
            </w:pPr>
            <w:r w:rsidRPr="00795F17">
              <w:t>3</w:t>
            </w:r>
          </w:p>
        </w:tc>
        <w:tc>
          <w:tcPr>
            <w:tcW w:w="1417" w:type="dxa"/>
          </w:tcPr>
          <w:p w14:paraId="504F4651" w14:textId="77777777" w:rsidR="00462DD4" w:rsidRPr="00795F17" w:rsidRDefault="00462DD4" w:rsidP="0065243A">
            <w:pPr>
              <w:pStyle w:val="Teksttabelisrodek"/>
            </w:pPr>
            <w:r w:rsidRPr="00795F17">
              <w:t>3</w:t>
            </w:r>
          </w:p>
        </w:tc>
        <w:tc>
          <w:tcPr>
            <w:tcW w:w="1554" w:type="dxa"/>
          </w:tcPr>
          <w:p w14:paraId="0C4984AB" w14:textId="77777777" w:rsidR="00462DD4" w:rsidRPr="00795F17" w:rsidRDefault="00462DD4" w:rsidP="0065243A">
            <w:pPr>
              <w:pStyle w:val="Teksttabelisrodek"/>
            </w:pPr>
            <w:r w:rsidRPr="00795F17">
              <w:t>0</w:t>
            </w:r>
          </w:p>
        </w:tc>
      </w:tr>
      <w:tr w:rsidR="00462DD4" w:rsidRPr="00795F17" w14:paraId="6FD1F2EA" w14:textId="77777777" w:rsidTr="00F97814">
        <w:trPr>
          <w:trHeight w:val="454"/>
        </w:trPr>
        <w:tc>
          <w:tcPr>
            <w:tcW w:w="3261" w:type="dxa"/>
          </w:tcPr>
          <w:p w14:paraId="12A53234" w14:textId="77777777" w:rsidR="00462DD4" w:rsidRPr="00795F17" w:rsidRDefault="00462DD4" w:rsidP="0044393D">
            <w:pPr>
              <w:pStyle w:val="Teksttabelilewy"/>
            </w:pPr>
            <w:r w:rsidRPr="00795F17">
              <w:t>Zły stan ekologiczny/ zły potencjał ekologiczny</w:t>
            </w:r>
          </w:p>
        </w:tc>
        <w:tc>
          <w:tcPr>
            <w:tcW w:w="1417" w:type="dxa"/>
            <w:shd w:val="clear" w:color="auto" w:fill="F2F2F2" w:themeFill="background1" w:themeFillShade="F2"/>
          </w:tcPr>
          <w:p w14:paraId="6683A8AA" w14:textId="77777777" w:rsidR="00462DD4" w:rsidRPr="00795F17" w:rsidRDefault="00462DD4" w:rsidP="0065243A">
            <w:pPr>
              <w:pStyle w:val="Teksttabelisrodek"/>
            </w:pPr>
            <w:r w:rsidRPr="00795F17">
              <w:t>0</w:t>
            </w:r>
          </w:p>
        </w:tc>
        <w:tc>
          <w:tcPr>
            <w:tcW w:w="1418" w:type="dxa"/>
          </w:tcPr>
          <w:p w14:paraId="63EA6F4D" w14:textId="77777777" w:rsidR="00462DD4" w:rsidRPr="00795F17" w:rsidRDefault="00462DD4" w:rsidP="0065243A">
            <w:pPr>
              <w:pStyle w:val="Teksttabelisrodek"/>
            </w:pPr>
            <w:r w:rsidRPr="00795F17">
              <w:t>0</w:t>
            </w:r>
          </w:p>
        </w:tc>
        <w:tc>
          <w:tcPr>
            <w:tcW w:w="1417" w:type="dxa"/>
          </w:tcPr>
          <w:p w14:paraId="33BCCC3E" w14:textId="77777777" w:rsidR="00462DD4" w:rsidRPr="00795F17" w:rsidRDefault="00462DD4" w:rsidP="0065243A">
            <w:pPr>
              <w:pStyle w:val="Teksttabelisrodek"/>
            </w:pPr>
            <w:r w:rsidRPr="00795F17">
              <w:t>0</w:t>
            </w:r>
          </w:p>
        </w:tc>
        <w:tc>
          <w:tcPr>
            <w:tcW w:w="1554" w:type="dxa"/>
          </w:tcPr>
          <w:p w14:paraId="6CF4363F" w14:textId="77777777" w:rsidR="00462DD4" w:rsidRPr="00795F17" w:rsidRDefault="00462DD4" w:rsidP="0065243A">
            <w:pPr>
              <w:pStyle w:val="Teksttabelisrodek"/>
            </w:pPr>
            <w:r w:rsidRPr="00795F17">
              <w:t>0</w:t>
            </w:r>
          </w:p>
        </w:tc>
      </w:tr>
      <w:tr w:rsidR="00462DD4" w:rsidRPr="00795F17" w14:paraId="53A5E579" w14:textId="77777777" w:rsidTr="00F97814">
        <w:trPr>
          <w:trHeight w:val="454"/>
        </w:trPr>
        <w:tc>
          <w:tcPr>
            <w:tcW w:w="3261" w:type="dxa"/>
            <w:shd w:val="clear" w:color="auto" w:fill="D9D9D9" w:themeFill="background1" w:themeFillShade="D9"/>
          </w:tcPr>
          <w:p w14:paraId="6460E7BA" w14:textId="77777777" w:rsidR="00462DD4" w:rsidRPr="00795F17" w:rsidRDefault="00462DD4" w:rsidP="008C0577">
            <w:pPr>
              <w:pStyle w:val="Teksttabelilewy"/>
              <w:rPr>
                <w:b/>
              </w:rPr>
            </w:pPr>
            <w:r w:rsidRPr="00795F17">
              <w:rPr>
                <w:b/>
                <w:bCs/>
              </w:rPr>
              <w:t>Stan chemiczny</w:t>
            </w:r>
          </w:p>
        </w:tc>
        <w:tc>
          <w:tcPr>
            <w:tcW w:w="1417" w:type="dxa"/>
            <w:shd w:val="clear" w:color="auto" w:fill="D9D9D9" w:themeFill="background1" w:themeFillShade="D9"/>
          </w:tcPr>
          <w:p w14:paraId="74A6B9FC" w14:textId="77777777" w:rsidR="00462DD4" w:rsidRPr="00795F17" w:rsidRDefault="00462DD4" w:rsidP="008C0577">
            <w:pPr>
              <w:pStyle w:val="Teksttabelinaglowek"/>
            </w:pPr>
            <w:r w:rsidRPr="00795F17">
              <w:t>4</w:t>
            </w:r>
          </w:p>
        </w:tc>
        <w:tc>
          <w:tcPr>
            <w:tcW w:w="1418" w:type="dxa"/>
            <w:shd w:val="clear" w:color="auto" w:fill="D9D9D9" w:themeFill="background1" w:themeFillShade="D9"/>
          </w:tcPr>
          <w:p w14:paraId="3B39FC92" w14:textId="77777777" w:rsidR="00462DD4" w:rsidRPr="00795F17" w:rsidRDefault="00462DD4" w:rsidP="008C0577">
            <w:pPr>
              <w:pStyle w:val="Teksttabelinaglowek"/>
            </w:pPr>
            <w:r w:rsidRPr="00795F17">
              <w:t>4</w:t>
            </w:r>
          </w:p>
        </w:tc>
        <w:tc>
          <w:tcPr>
            <w:tcW w:w="1417" w:type="dxa"/>
            <w:shd w:val="clear" w:color="auto" w:fill="D9D9D9" w:themeFill="background1" w:themeFillShade="D9"/>
          </w:tcPr>
          <w:p w14:paraId="3A9B48FA" w14:textId="77777777" w:rsidR="00462DD4" w:rsidRPr="00795F17" w:rsidRDefault="00462DD4" w:rsidP="008C0577">
            <w:pPr>
              <w:pStyle w:val="Teksttabelinaglowek"/>
            </w:pPr>
            <w:r w:rsidRPr="00795F17">
              <w:t>4</w:t>
            </w:r>
          </w:p>
        </w:tc>
        <w:tc>
          <w:tcPr>
            <w:tcW w:w="1554" w:type="dxa"/>
            <w:shd w:val="clear" w:color="auto" w:fill="D9D9D9" w:themeFill="background1" w:themeFillShade="D9"/>
          </w:tcPr>
          <w:p w14:paraId="724B73C9" w14:textId="77777777" w:rsidR="00462DD4" w:rsidRPr="00795F17" w:rsidRDefault="00462DD4" w:rsidP="008C0577">
            <w:pPr>
              <w:pStyle w:val="Teksttabelinaglowek"/>
            </w:pPr>
            <w:r w:rsidRPr="00795F17">
              <w:t>0</w:t>
            </w:r>
          </w:p>
        </w:tc>
      </w:tr>
      <w:tr w:rsidR="00462DD4" w:rsidRPr="00795F17" w14:paraId="2348952D" w14:textId="77777777" w:rsidTr="00F97814">
        <w:trPr>
          <w:trHeight w:val="454"/>
        </w:trPr>
        <w:tc>
          <w:tcPr>
            <w:tcW w:w="3261" w:type="dxa"/>
          </w:tcPr>
          <w:p w14:paraId="1E612BC0" w14:textId="77777777" w:rsidR="00462DD4" w:rsidRPr="00795F17" w:rsidRDefault="00462DD4" w:rsidP="0044393D">
            <w:pPr>
              <w:pStyle w:val="Teksttabelilewy"/>
            </w:pPr>
            <w:r w:rsidRPr="00795F17">
              <w:t>Dobry stan chemiczny</w:t>
            </w:r>
          </w:p>
        </w:tc>
        <w:tc>
          <w:tcPr>
            <w:tcW w:w="1417" w:type="dxa"/>
            <w:shd w:val="clear" w:color="auto" w:fill="F2F2F2" w:themeFill="background1" w:themeFillShade="F2"/>
          </w:tcPr>
          <w:p w14:paraId="10D82198" w14:textId="77777777" w:rsidR="00462DD4" w:rsidRPr="00795F17" w:rsidRDefault="00462DD4" w:rsidP="0065243A">
            <w:pPr>
              <w:pStyle w:val="Teksttabelisrodek"/>
            </w:pPr>
            <w:r w:rsidRPr="00795F17">
              <w:t>0</w:t>
            </w:r>
          </w:p>
        </w:tc>
        <w:tc>
          <w:tcPr>
            <w:tcW w:w="1418" w:type="dxa"/>
          </w:tcPr>
          <w:p w14:paraId="4E8D8A93" w14:textId="77777777" w:rsidR="00462DD4" w:rsidRPr="00795F17" w:rsidRDefault="00462DD4" w:rsidP="0065243A">
            <w:pPr>
              <w:pStyle w:val="Teksttabelisrodek"/>
            </w:pPr>
            <w:r w:rsidRPr="00795F17">
              <w:t>0</w:t>
            </w:r>
          </w:p>
        </w:tc>
        <w:tc>
          <w:tcPr>
            <w:tcW w:w="1417" w:type="dxa"/>
          </w:tcPr>
          <w:p w14:paraId="270A18BF" w14:textId="77777777" w:rsidR="00462DD4" w:rsidRPr="00795F17" w:rsidRDefault="00462DD4" w:rsidP="0065243A">
            <w:pPr>
              <w:pStyle w:val="Teksttabelisrodek"/>
            </w:pPr>
            <w:r w:rsidRPr="00795F17">
              <w:t>0</w:t>
            </w:r>
          </w:p>
        </w:tc>
        <w:tc>
          <w:tcPr>
            <w:tcW w:w="1554" w:type="dxa"/>
          </w:tcPr>
          <w:p w14:paraId="49642E14" w14:textId="77777777" w:rsidR="00462DD4" w:rsidRPr="00795F17" w:rsidRDefault="00462DD4" w:rsidP="0065243A">
            <w:pPr>
              <w:pStyle w:val="Teksttabelisrodek"/>
            </w:pPr>
            <w:r w:rsidRPr="00795F17">
              <w:t>0</w:t>
            </w:r>
          </w:p>
        </w:tc>
      </w:tr>
      <w:tr w:rsidR="00462DD4" w:rsidRPr="00795F17" w14:paraId="60C6BE64" w14:textId="77777777" w:rsidTr="00F97814">
        <w:trPr>
          <w:trHeight w:val="454"/>
        </w:trPr>
        <w:tc>
          <w:tcPr>
            <w:tcW w:w="3261" w:type="dxa"/>
          </w:tcPr>
          <w:p w14:paraId="328FA602" w14:textId="77777777" w:rsidR="00462DD4" w:rsidRPr="00795F17" w:rsidRDefault="00462DD4" w:rsidP="0044393D">
            <w:pPr>
              <w:pStyle w:val="Teksttabelilewy"/>
            </w:pPr>
            <w:r w:rsidRPr="00795F17">
              <w:t>Stan chemiczny poniżej dobrego</w:t>
            </w:r>
          </w:p>
        </w:tc>
        <w:tc>
          <w:tcPr>
            <w:tcW w:w="1417" w:type="dxa"/>
            <w:shd w:val="clear" w:color="auto" w:fill="F2F2F2" w:themeFill="background1" w:themeFillShade="F2"/>
          </w:tcPr>
          <w:p w14:paraId="4BE05937" w14:textId="77777777" w:rsidR="00462DD4" w:rsidRPr="00795F17" w:rsidRDefault="00462DD4" w:rsidP="0065243A">
            <w:pPr>
              <w:pStyle w:val="Teksttabelisrodek"/>
            </w:pPr>
            <w:r w:rsidRPr="00795F17">
              <w:t>4</w:t>
            </w:r>
          </w:p>
        </w:tc>
        <w:tc>
          <w:tcPr>
            <w:tcW w:w="1418" w:type="dxa"/>
          </w:tcPr>
          <w:p w14:paraId="78CB7F8C" w14:textId="77777777" w:rsidR="00462DD4" w:rsidRPr="00795F17" w:rsidRDefault="00462DD4" w:rsidP="0065243A">
            <w:pPr>
              <w:pStyle w:val="Teksttabelisrodek"/>
            </w:pPr>
            <w:r w:rsidRPr="00795F17">
              <w:t>4</w:t>
            </w:r>
          </w:p>
        </w:tc>
        <w:tc>
          <w:tcPr>
            <w:tcW w:w="1417" w:type="dxa"/>
          </w:tcPr>
          <w:p w14:paraId="31E925A1" w14:textId="77777777" w:rsidR="00462DD4" w:rsidRPr="00795F17" w:rsidRDefault="00462DD4" w:rsidP="0065243A">
            <w:pPr>
              <w:pStyle w:val="Teksttabelisrodek"/>
            </w:pPr>
            <w:r w:rsidRPr="00795F17">
              <w:t>4</w:t>
            </w:r>
          </w:p>
        </w:tc>
        <w:tc>
          <w:tcPr>
            <w:tcW w:w="1554" w:type="dxa"/>
          </w:tcPr>
          <w:p w14:paraId="5855706C" w14:textId="77777777" w:rsidR="00462DD4" w:rsidRPr="00795F17" w:rsidRDefault="00462DD4" w:rsidP="0065243A">
            <w:pPr>
              <w:pStyle w:val="Teksttabelisrodek"/>
            </w:pPr>
            <w:r w:rsidRPr="00795F17">
              <w:t>0</w:t>
            </w:r>
          </w:p>
        </w:tc>
      </w:tr>
      <w:tr w:rsidR="00462DD4" w:rsidRPr="00795F17" w14:paraId="033AD612" w14:textId="77777777" w:rsidTr="00F97814">
        <w:trPr>
          <w:trHeight w:val="454"/>
        </w:trPr>
        <w:tc>
          <w:tcPr>
            <w:tcW w:w="3261" w:type="dxa"/>
            <w:shd w:val="clear" w:color="auto" w:fill="D9D9D9" w:themeFill="background1" w:themeFillShade="D9"/>
          </w:tcPr>
          <w:p w14:paraId="4382F664" w14:textId="77777777" w:rsidR="00462DD4" w:rsidRPr="00795F17" w:rsidRDefault="00462DD4" w:rsidP="008C0577">
            <w:pPr>
              <w:pStyle w:val="Teksttabelilewy"/>
              <w:rPr>
                <w:b/>
              </w:rPr>
            </w:pPr>
            <w:r w:rsidRPr="00795F17">
              <w:rPr>
                <w:b/>
                <w:bCs/>
              </w:rPr>
              <w:t>Stan wód</w:t>
            </w:r>
          </w:p>
        </w:tc>
        <w:tc>
          <w:tcPr>
            <w:tcW w:w="1417" w:type="dxa"/>
            <w:shd w:val="clear" w:color="auto" w:fill="D9D9D9" w:themeFill="background1" w:themeFillShade="D9"/>
          </w:tcPr>
          <w:p w14:paraId="12334208" w14:textId="77777777" w:rsidR="00462DD4" w:rsidRPr="00795F17" w:rsidRDefault="00462DD4" w:rsidP="008C0577">
            <w:pPr>
              <w:pStyle w:val="Teksttabelinaglowek"/>
            </w:pPr>
            <w:r w:rsidRPr="00795F17">
              <w:t>4</w:t>
            </w:r>
          </w:p>
        </w:tc>
        <w:tc>
          <w:tcPr>
            <w:tcW w:w="1418" w:type="dxa"/>
            <w:shd w:val="clear" w:color="auto" w:fill="D9D9D9" w:themeFill="background1" w:themeFillShade="D9"/>
          </w:tcPr>
          <w:p w14:paraId="5378EF5E" w14:textId="77777777" w:rsidR="00462DD4" w:rsidRPr="00795F17" w:rsidRDefault="00462DD4" w:rsidP="008C0577">
            <w:pPr>
              <w:pStyle w:val="Teksttabelinaglowek"/>
            </w:pPr>
            <w:r w:rsidRPr="00795F17">
              <w:t>4</w:t>
            </w:r>
          </w:p>
        </w:tc>
        <w:tc>
          <w:tcPr>
            <w:tcW w:w="1417" w:type="dxa"/>
            <w:shd w:val="clear" w:color="auto" w:fill="D9D9D9" w:themeFill="background1" w:themeFillShade="D9"/>
          </w:tcPr>
          <w:p w14:paraId="6183C768" w14:textId="61887C96" w:rsidR="00462DD4" w:rsidRPr="00795F17" w:rsidRDefault="008E2D5C" w:rsidP="008C0577">
            <w:pPr>
              <w:pStyle w:val="Teksttabelinaglowek"/>
            </w:pPr>
            <w:r>
              <w:t>-</w:t>
            </w:r>
          </w:p>
        </w:tc>
        <w:tc>
          <w:tcPr>
            <w:tcW w:w="1554" w:type="dxa"/>
            <w:shd w:val="clear" w:color="auto" w:fill="D9D9D9" w:themeFill="background1" w:themeFillShade="D9"/>
          </w:tcPr>
          <w:p w14:paraId="1785CDF4" w14:textId="4C208306" w:rsidR="00462DD4" w:rsidRPr="00795F17" w:rsidRDefault="008E2D5C" w:rsidP="008C0577">
            <w:pPr>
              <w:pStyle w:val="Teksttabelinaglowek"/>
            </w:pPr>
            <w:r>
              <w:t>-</w:t>
            </w:r>
          </w:p>
        </w:tc>
      </w:tr>
      <w:tr w:rsidR="00462DD4" w:rsidRPr="00795F17" w14:paraId="706E08FD" w14:textId="77777777" w:rsidTr="00F97814">
        <w:trPr>
          <w:trHeight w:val="454"/>
        </w:trPr>
        <w:tc>
          <w:tcPr>
            <w:tcW w:w="3261" w:type="dxa"/>
          </w:tcPr>
          <w:p w14:paraId="03332E82" w14:textId="77777777" w:rsidR="00462DD4" w:rsidRPr="00795F17" w:rsidRDefault="00462DD4" w:rsidP="0044393D">
            <w:pPr>
              <w:pStyle w:val="Teksttabelilewy"/>
            </w:pPr>
            <w:r w:rsidRPr="00795F17">
              <w:t>Dobry stan wód</w:t>
            </w:r>
          </w:p>
        </w:tc>
        <w:tc>
          <w:tcPr>
            <w:tcW w:w="1417" w:type="dxa"/>
            <w:shd w:val="clear" w:color="auto" w:fill="F2F2F2" w:themeFill="background1" w:themeFillShade="F2"/>
          </w:tcPr>
          <w:p w14:paraId="5D8BED05" w14:textId="77777777" w:rsidR="00462DD4" w:rsidRPr="00795F17" w:rsidRDefault="00462DD4" w:rsidP="0065243A">
            <w:pPr>
              <w:pStyle w:val="Teksttabelisrodek"/>
            </w:pPr>
            <w:r w:rsidRPr="00795F17">
              <w:t>0</w:t>
            </w:r>
          </w:p>
        </w:tc>
        <w:tc>
          <w:tcPr>
            <w:tcW w:w="1418" w:type="dxa"/>
          </w:tcPr>
          <w:p w14:paraId="5C10C7B4" w14:textId="77777777" w:rsidR="00462DD4" w:rsidRPr="00795F17" w:rsidRDefault="00462DD4" w:rsidP="0065243A">
            <w:pPr>
              <w:pStyle w:val="Teksttabelisrodek"/>
            </w:pPr>
            <w:r w:rsidRPr="00795F17">
              <w:t>0</w:t>
            </w:r>
          </w:p>
        </w:tc>
        <w:tc>
          <w:tcPr>
            <w:tcW w:w="1417" w:type="dxa"/>
          </w:tcPr>
          <w:p w14:paraId="0ACA365C" w14:textId="164F52AD" w:rsidR="00462DD4" w:rsidRPr="00795F17" w:rsidRDefault="008E2D5C" w:rsidP="0065243A">
            <w:pPr>
              <w:pStyle w:val="Teksttabelisrodek"/>
            </w:pPr>
            <w:r>
              <w:t>-</w:t>
            </w:r>
          </w:p>
        </w:tc>
        <w:tc>
          <w:tcPr>
            <w:tcW w:w="1554" w:type="dxa"/>
          </w:tcPr>
          <w:p w14:paraId="0A942577" w14:textId="7C2373FC" w:rsidR="00462DD4" w:rsidRPr="00795F17" w:rsidRDefault="00BA5CC2" w:rsidP="0065243A">
            <w:pPr>
              <w:pStyle w:val="Teksttabelisrodek"/>
            </w:pPr>
            <w:r>
              <w:t>-</w:t>
            </w:r>
          </w:p>
        </w:tc>
      </w:tr>
      <w:tr w:rsidR="00462DD4" w:rsidRPr="00795F17" w14:paraId="1A47492C" w14:textId="77777777" w:rsidTr="00F97814">
        <w:trPr>
          <w:trHeight w:val="454"/>
        </w:trPr>
        <w:tc>
          <w:tcPr>
            <w:tcW w:w="3261" w:type="dxa"/>
          </w:tcPr>
          <w:p w14:paraId="485BCC0B" w14:textId="77777777" w:rsidR="00462DD4" w:rsidRPr="00795F17" w:rsidRDefault="00462DD4" w:rsidP="008C0577">
            <w:pPr>
              <w:pStyle w:val="Teksttabelilewy"/>
            </w:pPr>
            <w:r w:rsidRPr="00795F17">
              <w:t>Zły stan wód</w:t>
            </w:r>
          </w:p>
        </w:tc>
        <w:tc>
          <w:tcPr>
            <w:tcW w:w="1417" w:type="dxa"/>
            <w:shd w:val="clear" w:color="auto" w:fill="F2F2F2" w:themeFill="background1" w:themeFillShade="F2"/>
          </w:tcPr>
          <w:p w14:paraId="04AF9ED6" w14:textId="77777777" w:rsidR="00462DD4" w:rsidRPr="00795F17" w:rsidRDefault="00462DD4" w:rsidP="0065243A">
            <w:pPr>
              <w:pStyle w:val="Teksttabelisrodek"/>
            </w:pPr>
            <w:r w:rsidRPr="00795F17">
              <w:t>4</w:t>
            </w:r>
          </w:p>
        </w:tc>
        <w:tc>
          <w:tcPr>
            <w:tcW w:w="1418" w:type="dxa"/>
          </w:tcPr>
          <w:p w14:paraId="606D2D3D" w14:textId="77777777" w:rsidR="00462DD4" w:rsidRPr="00795F17" w:rsidRDefault="00462DD4" w:rsidP="0065243A">
            <w:pPr>
              <w:pStyle w:val="Teksttabelisrodek"/>
            </w:pPr>
            <w:r w:rsidRPr="00795F17">
              <w:t>4</w:t>
            </w:r>
          </w:p>
        </w:tc>
        <w:tc>
          <w:tcPr>
            <w:tcW w:w="1417" w:type="dxa"/>
          </w:tcPr>
          <w:p w14:paraId="576D7186" w14:textId="77259323" w:rsidR="00462DD4" w:rsidRPr="00795F17" w:rsidRDefault="008E2D5C" w:rsidP="0065243A">
            <w:pPr>
              <w:pStyle w:val="Teksttabelisrodek"/>
            </w:pPr>
            <w:r>
              <w:t>-</w:t>
            </w:r>
          </w:p>
        </w:tc>
        <w:tc>
          <w:tcPr>
            <w:tcW w:w="1554" w:type="dxa"/>
          </w:tcPr>
          <w:p w14:paraId="1CA8FEE5" w14:textId="778AAB02" w:rsidR="00462DD4" w:rsidRPr="00795F17" w:rsidRDefault="00BA5CC2" w:rsidP="0065243A">
            <w:pPr>
              <w:pStyle w:val="Teksttabelisrodek"/>
            </w:pPr>
            <w:r>
              <w:t>-</w:t>
            </w:r>
          </w:p>
        </w:tc>
      </w:tr>
    </w:tbl>
    <w:p w14:paraId="29E658C9" w14:textId="1B395B89" w:rsidR="001346F1" w:rsidRPr="009F7F19" w:rsidRDefault="001346F1" w:rsidP="004E056A">
      <w:pPr>
        <w:pStyle w:val="Tabela-wyjasnieniapod"/>
      </w:pPr>
      <w:r w:rsidRPr="000D33FE">
        <w:t>Objaśnienia:</w:t>
      </w:r>
    </w:p>
    <w:p w14:paraId="3BCED661" w14:textId="1B087DBB" w:rsidR="00462DD4" w:rsidRPr="00795F17" w:rsidRDefault="00462DD4" w:rsidP="004E056A">
      <w:pPr>
        <w:pStyle w:val="Tabela-wyjasnieniapod"/>
      </w:pPr>
      <w:r w:rsidRPr="00795F17">
        <w:rPr>
          <w:vertAlign w:val="superscript"/>
        </w:rPr>
        <w:t>1)</w:t>
      </w:r>
      <w:r w:rsidR="00CD247D">
        <w:rPr>
          <w:vertAlign w:val="superscript"/>
        </w:rPr>
        <w:t xml:space="preserve"> </w:t>
      </w:r>
      <w:r w:rsidRPr="00795F17">
        <w:t>Ocena stanu na podstawie oceny 2014</w:t>
      </w:r>
      <w:r w:rsidR="001F5AA9">
        <w:t>–</w:t>
      </w:r>
      <w:r w:rsidRPr="00795F17">
        <w:t xml:space="preserve">2019 (GIOŚ) zgodnie z </w:t>
      </w:r>
      <w:r w:rsidR="00DF005E">
        <w:t>r.kl.jcwp</w:t>
      </w:r>
      <w:r w:rsidRPr="00795F17">
        <w:t xml:space="preserve"> </w:t>
      </w:r>
      <w:r w:rsidR="00442820">
        <w:t>według</w:t>
      </w:r>
      <w:r w:rsidRPr="00795F17">
        <w:t xml:space="preserve"> klasyfikacji obowiązującej do </w:t>
      </w:r>
      <w:r w:rsidR="00CD247D">
        <w:t xml:space="preserve">1 stycznia </w:t>
      </w:r>
      <w:r w:rsidRPr="00795F17">
        <w:t>2022</w:t>
      </w:r>
      <w:r w:rsidR="0047690A">
        <w:t> </w:t>
      </w:r>
      <w:r w:rsidRPr="00795F17">
        <w:t xml:space="preserve"> r. przeniesiona na nowy układ planistyczny</w:t>
      </w:r>
      <w:r w:rsidR="001F5AA9">
        <w:t>.</w:t>
      </w:r>
    </w:p>
    <w:p w14:paraId="09032653" w14:textId="48368673" w:rsidR="00462DD4" w:rsidRPr="00795F17" w:rsidRDefault="00462DD4" w:rsidP="004E056A">
      <w:pPr>
        <w:pStyle w:val="Tabela-wyjasnieniapod"/>
      </w:pPr>
      <w:r w:rsidRPr="00795F17">
        <w:rPr>
          <w:vertAlign w:val="superscript"/>
        </w:rPr>
        <w:t>2)</w:t>
      </w:r>
      <w:r w:rsidR="00B41201">
        <w:rPr>
          <w:vertAlign w:val="superscript"/>
        </w:rPr>
        <w:t xml:space="preserve"> </w:t>
      </w:r>
      <w:r w:rsidRPr="00795F17">
        <w:t>Ocena stanu na podstawie oceny 2014</w:t>
      </w:r>
      <w:r w:rsidR="001F5AA9">
        <w:t>–</w:t>
      </w:r>
      <w:r w:rsidRPr="00795F17">
        <w:t xml:space="preserve">2019 (GIOŚ) przeliczona zgodnie z </w:t>
      </w:r>
      <w:r w:rsidR="00DF005E">
        <w:t>r.kl.jcwp</w:t>
      </w:r>
      <w:r w:rsidRPr="00795F17">
        <w:t xml:space="preserve"> </w:t>
      </w:r>
      <w:r w:rsidR="00442820">
        <w:t>według</w:t>
      </w:r>
      <w:r w:rsidRPr="00795F17">
        <w:t xml:space="preserve"> klasyfikacji obowiązującej od</w:t>
      </w:r>
      <w:r w:rsidR="006D242F" w:rsidRPr="00795F17">
        <w:t> </w:t>
      </w:r>
      <w:r w:rsidR="00B41201">
        <w:t xml:space="preserve">1 stycznia </w:t>
      </w:r>
      <w:r w:rsidRPr="00795F17">
        <w:t>2022</w:t>
      </w:r>
      <w:r w:rsidR="006D242F" w:rsidRPr="00795F17">
        <w:t> </w:t>
      </w:r>
      <w:r w:rsidRPr="00795F17">
        <w:t>r.</w:t>
      </w:r>
    </w:p>
    <w:p w14:paraId="58E204E2" w14:textId="7919902F" w:rsidR="00462DD4" w:rsidRPr="00795F17" w:rsidRDefault="00462DD4" w:rsidP="004E056A">
      <w:pPr>
        <w:pStyle w:val="Tabela-wyjasnieniapod"/>
      </w:pPr>
      <w:r w:rsidRPr="00795F17">
        <w:rPr>
          <w:vertAlign w:val="superscript"/>
        </w:rPr>
        <w:t>3)</w:t>
      </w:r>
      <w:r w:rsidR="00B41201">
        <w:rPr>
          <w:vertAlign w:val="superscript"/>
        </w:rPr>
        <w:t xml:space="preserve"> </w:t>
      </w:r>
      <w:r w:rsidRPr="00795F17">
        <w:t xml:space="preserve">Ocena wykonana przy wykorzystaniu wyników Analizy znaczących oddziaływań </w:t>
      </w:r>
      <w:r w:rsidR="001F5AA9">
        <w:t>–</w:t>
      </w:r>
      <w:r w:rsidRPr="00795F17">
        <w:t xml:space="preserve"> </w:t>
      </w:r>
      <w:r w:rsidR="00DF005E">
        <w:t>JCWP</w:t>
      </w:r>
      <w:r w:rsidRPr="00795F17">
        <w:t xml:space="preserve"> (…) dla </w:t>
      </w:r>
      <w:r w:rsidR="00DF005E">
        <w:t>JCWP</w:t>
      </w:r>
      <w:r w:rsidRPr="00795F17">
        <w:t xml:space="preserve"> niemonitorowanych, dla</w:t>
      </w:r>
      <w:r w:rsidR="006D242F" w:rsidRPr="00795F17">
        <w:t> </w:t>
      </w:r>
      <w:r w:rsidRPr="00795F17">
        <w:t>których nie dokonano oceny stanu 2014</w:t>
      </w:r>
      <w:r w:rsidR="00EC4A0D">
        <w:t>–</w:t>
      </w:r>
      <w:r w:rsidRPr="00795F17">
        <w:t>2019 (PMŚ), jest traktowana jako poglądowa, podlegająca weryfikacji w oparciu o nowe badania stanu wód, zrealizowane zgodnie z metodykami PMŚ, normami oraz przepisami w trakcie obowiązywania IIaPGW i akceptacji organu odpowiedzialnego za prowadzenie PMŚ</w:t>
      </w:r>
      <w:r w:rsidR="001F5AA9">
        <w:t>.</w:t>
      </w:r>
    </w:p>
    <w:p w14:paraId="71E23DEC" w14:textId="500D1CFC" w:rsidR="00462DD4" w:rsidRPr="00795F17" w:rsidRDefault="00462DD4" w:rsidP="0044393D">
      <w:pPr>
        <w:pStyle w:val="rdo"/>
      </w:pPr>
      <w:r w:rsidRPr="00795F17">
        <w:t xml:space="preserve">Źródło: </w:t>
      </w:r>
      <w:r w:rsidR="00FD7248" w:rsidRPr="00795F17">
        <w:t>opracowanie własne</w:t>
      </w:r>
      <w:r w:rsidRPr="00795F17">
        <w:t xml:space="preserve"> na podstawie danych GIOŚ oraz wyników</w:t>
      </w:r>
      <w:r w:rsidRPr="00795F17">
        <w:br/>
        <w:t xml:space="preserve"> Analizy znaczących oddziaływań </w:t>
      </w:r>
      <w:r w:rsidR="001F5AA9">
        <w:t>–</w:t>
      </w:r>
      <w:r w:rsidRPr="00795F17">
        <w:t xml:space="preserve"> </w:t>
      </w:r>
      <w:r w:rsidR="00DF005E">
        <w:t>JCWP</w:t>
      </w:r>
      <w:r w:rsidRPr="00795F17">
        <w:t xml:space="preserve"> (…)</w:t>
      </w:r>
    </w:p>
    <w:p w14:paraId="498CB569" w14:textId="6BD7CBBB" w:rsidR="00EE5F17" w:rsidRPr="00795F17" w:rsidRDefault="00EE5F17" w:rsidP="00EE5F17">
      <w:pPr>
        <w:pStyle w:val="Nagwek4"/>
      </w:pPr>
      <w:r w:rsidRPr="00795F17">
        <w:t xml:space="preserve">Syntetyczny raport dotyczący klasyfikacji i oceny stanu </w:t>
      </w:r>
      <w:r w:rsidR="00DF005E">
        <w:t>JCWP</w:t>
      </w:r>
      <w:r w:rsidRPr="00795F17">
        <w:t xml:space="preserve"> </w:t>
      </w:r>
      <w:r w:rsidR="001F5AA9">
        <w:t>–</w:t>
      </w:r>
      <w:r w:rsidRPr="00795F17">
        <w:t xml:space="preserve"> podsumowanie</w:t>
      </w:r>
    </w:p>
    <w:p w14:paraId="59329F5B" w14:textId="5B7FC3F7" w:rsidR="00083143" w:rsidRPr="00795F17" w:rsidRDefault="00083143" w:rsidP="00083143">
      <w:r w:rsidRPr="00795F17">
        <w:t xml:space="preserve">Przedstawione w rozdziale informacje stanowią podsumowanie syntetycznego raportu dotyczącego klasyfikacji i oceny stanu </w:t>
      </w:r>
      <w:r w:rsidR="00DF005E">
        <w:t>JCWP</w:t>
      </w:r>
      <w:r w:rsidRPr="00795F17">
        <w:t xml:space="preserve"> przygotowanego przez GIOŚ</w:t>
      </w:r>
      <w:r w:rsidRPr="00795F17">
        <w:rPr>
          <w:rStyle w:val="Odwoanieprzypisudolnego"/>
        </w:rPr>
        <w:footnoteReference w:id="34"/>
      </w:r>
      <w:r w:rsidRPr="00795F17">
        <w:t xml:space="preserve">. Dokonane analizy zostały opracowane zgodnie z </w:t>
      </w:r>
      <w:r w:rsidR="00DF005E">
        <w:t>r.kl.jcwp</w:t>
      </w:r>
      <w:r w:rsidRPr="00795F17">
        <w:t xml:space="preserve"> obowiązującym do 2022 roku z uwzględnieniem układu planistycznego aPGW. </w:t>
      </w:r>
    </w:p>
    <w:p w14:paraId="061857BB" w14:textId="0A1019D1" w:rsidR="00083143" w:rsidRPr="00795F17" w:rsidRDefault="00083143" w:rsidP="00083143">
      <w:r w:rsidRPr="00795F17">
        <w:t xml:space="preserve">Zgodnie z </w:t>
      </w:r>
      <w:r w:rsidR="00DF005E">
        <w:rPr>
          <w:rFonts w:eastAsia="Times New Roman" w:cs="Calibri"/>
          <w:color w:val="000000"/>
          <w:lang w:eastAsia="pl-PL"/>
        </w:rPr>
        <w:t>r.kl.jcwp</w:t>
      </w:r>
      <w:r w:rsidRPr="00795F17">
        <w:rPr>
          <w:rFonts w:eastAsia="Times New Roman" w:cs="Calibri"/>
          <w:color w:val="000000"/>
          <w:lang w:eastAsia="pl-PL"/>
        </w:rPr>
        <w:t xml:space="preserve"> dokonano klasyfikacji i oceny stanu jednolitych części wód powierzchniowych za</w:t>
      </w:r>
      <w:r w:rsidR="009A2275" w:rsidRPr="00795F17">
        <w:rPr>
          <w:rFonts w:eastAsia="Times New Roman" w:cs="Calibri"/>
          <w:color w:val="000000"/>
          <w:lang w:eastAsia="pl-PL"/>
        </w:rPr>
        <w:t> </w:t>
      </w:r>
      <w:r w:rsidRPr="00795F17">
        <w:rPr>
          <w:rFonts w:eastAsia="Times New Roman" w:cs="Calibri"/>
          <w:color w:val="000000"/>
          <w:lang w:eastAsia="pl-PL"/>
        </w:rPr>
        <w:t>rok 2019 w oparciu o:</w:t>
      </w:r>
    </w:p>
    <w:p w14:paraId="6EEA4319" w14:textId="5F8BDFAD" w:rsidR="00083143" w:rsidRPr="00795F17" w:rsidRDefault="00093895" w:rsidP="005635FD">
      <w:pPr>
        <w:pStyle w:val="Listapunktowana2"/>
        <w:numPr>
          <w:ilvl w:val="0"/>
          <w:numId w:val="107"/>
        </w:numPr>
      </w:pPr>
      <w:r>
        <w:t>d</w:t>
      </w:r>
      <w:r w:rsidR="00083143" w:rsidRPr="00795F17">
        <w:t>ane uzyskane w ramach PMŚ z okresu 2014</w:t>
      </w:r>
      <w:r w:rsidR="001F5AA9">
        <w:t>–</w:t>
      </w:r>
      <w:r w:rsidR="00083143" w:rsidRPr="00795F17">
        <w:t>2019;</w:t>
      </w:r>
    </w:p>
    <w:p w14:paraId="2C1D0FB1" w14:textId="76324D95" w:rsidR="00083143" w:rsidRPr="00795F17" w:rsidRDefault="00093895" w:rsidP="005635FD">
      <w:pPr>
        <w:pStyle w:val="Listapunktowana2"/>
        <w:numPr>
          <w:ilvl w:val="0"/>
          <w:numId w:val="107"/>
        </w:numPr>
      </w:pPr>
      <w:r>
        <w:t>z</w:t>
      </w:r>
      <w:r w:rsidR="00083143" w:rsidRPr="00795F17">
        <w:t xml:space="preserve">asadę dziedziczenia, o której mowa w §15 </w:t>
      </w:r>
      <w:r w:rsidR="00DF005E">
        <w:rPr>
          <w:rFonts w:eastAsia="Times New Roman" w:cs="Calibri"/>
          <w:color w:val="000000"/>
          <w:lang w:eastAsia="pl-PL"/>
        </w:rPr>
        <w:t>r.kl.jcwp</w:t>
      </w:r>
      <w:r w:rsidR="00083143" w:rsidRPr="00795F17">
        <w:rPr>
          <w:rFonts w:eastAsia="Times New Roman" w:cs="Calibri"/>
          <w:color w:val="000000"/>
          <w:lang w:eastAsia="pl-PL"/>
        </w:rPr>
        <w:t>.</w:t>
      </w:r>
    </w:p>
    <w:p w14:paraId="71EFCBA5" w14:textId="5ED2A8A7" w:rsidR="00083143" w:rsidRPr="00795F17" w:rsidRDefault="00083143" w:rsidP="00083143">
      <w:r w:rsidRPr="00795F17">
        <w:t xml:space="preserve">W ramach prac łącznie przeanalizowano 4 849 </w:t>
      </w:r>
      <w:r w:rsidR="00DF005E">
        <w:t>JCWP</w:t>
      </w:r>
      <w:r w:rsidRPr="00795F17">
        <w:t xml:space="preserve"> RW, 1 066 </w:t>
      </w:r>
      <w:r w:rsidR="00DF005E">
        <w:t>JCWP</w:t>
      </w:r>
      <w:r w:rsidRPr="00795F17">
        <w:t xml:space="preserve"> LW oraz 19 </w:t>
      </w:r>
      <w:r w:rsidR="00DF005E">
        <w:t>JCWP</w:t>
      </w:r>
      <w:r w:rsidRPr="00795F17">
        <w:t xml:space="preserve"> </w:t>
      </w:r>
      <w:r w:rsidR="001C3A0F" w:rsidRPr="00795F17">
        <w:t>TW i CW</w:t>
      </w:r>
      <w:r w:rsidRPr="00795F17">
        <w:t xml:space="preserve"> stanowiących zarówno </w:t>
      </w:r>
      <w:r w:rsidR="00DF005E">
        <w:t>JCWP</w:t>
      </w:r>
      <w:r w:rsidRPr="00795F17">
        <w:t xml:space="preserve"> podlegające monitoringowi jak również </w:t>
      </w:r>
      <w:r w:rsidR="00DF005E">
        <w:t>JCWP</w:t>
      </w:r>
      <w:r w:rsidRPr="00795F17">
        <w:t xml:space="preserve"> niemonitorowane </w:t>
      </w:r>
      <w:r w:rsidR="009A2275" w:rsidRPr="00795F17">
        <w:br/>
      </w:r>
      <w:r w:rsidRPr="00795F17">
        <w:t>(tabela</w:t>
      </w:r>
      <w:r w:rsidR="005C577B">
        <w:t> </w:t>
      </w:r>
      <w:r w:rsidRPr="00795F17">
        <w:t xml:space="preserve">5-21). Ponadto analizy przeprowadzone w stosunku do </w:t>
      </w:r>
      <w:r w:rsidR="00DF005E">
        <w:t>JCWP</w:t>
      </w:r>
      <w:r w:rsidRPr="00795F17">
        <w:t xml:space="preserve"> RW dotyczą zarówno części rzecznych jak i</w:t>
      </w:r>
      <w:r w:rsidR="005C577B">
        <w:t> </w:t>
      </w:r>
      <w:r w:rsidRPr="00795F17">
        <w:t xml:space="preserve">zbiornikowych wód powierzchniowych. W odniesieniu do 111 </w:t>
      </w:r>
      <w:r w:rsidR="00DF005E">
        <w:t>JCWP</w:t>
      </w:r>
      <w:r w:rsidRPr="00795F17">
        <w:t xml:space="preserve"> wykazano brak możliwości przeprowadzenia badań w pełnym zakresie (w ramach PMŚ) ze względu na brak lub niedostateczną ilość wody w punkcie pomiarowo-kontrolnym.</w:t>
      </w:r>
    </w:p>
    <w:p w14:paraId="481C5C19" w14:textId="703EF260" w:rsidR="00083143" w:rsidRPr="00795F17" w:rsidRDefault="00083143" w:rsidP="004D7705">
      <w:pPr>
        <w:pStyle w:val="Tabela"/>
      </w:pPr>
      <w:bookmarkStart w:id="193" w:name="_Toc105512785"/>
      <w:r w:rsidRPr="00795F17">
        <w:t xml:space="preserve">Tabela </w:t>
      </w:r>
      <w:fldSimple w:instr=" STYLEREF 1 \s ">
        <w:r w:rsidR="001F774D">
          <w:rPr>
            <w:noProof/>
          </w:rPr>
          <w:t>5</w:t>
        </w:r>
      </w:fldSimple>
      <w:r w:rsidR="00BB3B21" w:rsidRPr="00795F17">
        <w:noBreakHyphen/>
      </w:r>
      <w:fldSimple w:instr=" SEQ Tabela \* ARABIC \s 1 ">
        <w:r w:rsidR="001F774D">
          <w:rPr>
            <w:noProof/>
          </w:rPr>
          <w:t>21</w:t>
        </w:r>
      </w:fldSimple>
      <w:r w:rsidR="00BA11D4">
        <w:rPr>
          <w:noProof/>
        </w:rPr>
        <w:t>.</w:t>
      </w:r>
      <w:r w:rsidRPr="00795F17">
        <w:tab/>
        <w:t xml:space="preserve">Liczba </w:t>
      </w:r>
      <w:r w:rsidR="00DF005E">
        <w:t>JCWP</w:t>
      </w:r>
      <w:r w:rsidRPr="00795F17">
        <w:t xml:space="preserve"> monitorowanych i niemonitorowanych przeanalizowanych pod kątem klasyfikacji i oceny w podziale na kategorie wód</w:t>
      </w:r>
      <w:bookmarkEnd w:id="193"/>
    </w:p>
    <w:tbl>
      <w:tblPr>
        <w:tblW w:w="5000" w:type="pct"/>
        <w:tblCellMar>
          <w:left w:w="10" w:type="dxa"/>
          <w:right w:w="10" w:type="dxa"/>
        </w:tblCellMar>
        <w:tblLook w:val="0000" w:firstRow="0" w:lastRow="0" w:firstColumn="0" w:lastColumn="0" w:noHBand="0" w:noVBand="0"/>
      </w:tblPr>
      <w:tblGrid>
        <w:gridCol w:w="2274"/>
        <w:gridCol w:w="2266"/>
        <w:gridCol w:w="2266"/>
        <w:gridCol w:w="2256"/>
      </w:tblGrid>
      <w:tr w:rsidR="00083143" w:rsidRPr="00795F17" w14:paraId="3F4BDDF9" w14:textId="77777777" w:rsidTr="00083143">
        <w:trPr>
          <w:trHeight w:val="454"/>
        </w:trPr>
        <w:tc>
          <w:tcPr>
            <w:tcW w:w="1255" w:type="pct"/>
            <w:vMerge w:val="restar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tcPr>
          <w:p w14:paraId="025D8B3A" w14:textId="49CD62E2" w:rsidR="00083143" w:rsidRPr="00795F17" w:rsidRDefault="00083143" w:rsidP="00083143">
            <w:pPr>
              <w:pStyle w:val="Teksttabelinaglowek"/>
            </w:pPr>
            <w:r w:rsidRPr="00795F17">
              <w:t xml:space="preserve">Status </w:t>
            </w:r>
            <w:r w:rsidR="00DF005E">
              <w:t>JCWP</w:t>
            </w:r>
          </w:p>
        </w:tc>
        <w:tc>
          <w:tcPr>
            <w:tcW w:w="3745" w:type="pct"/>
            <w:gridSpan w:val="3"/>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tcPr>
          <w:p w14:paraId="59B2E6C4" w14:textId="197418CE" w:rsidR="00083143" w:rsidRPr="00795F17" w:rsidRDefault="00083143" w:rsidP="00083143">
            <w:pPr>
              <w:pStyle w:val="Teksttabelinaglowek"/>
            </w:pPr>
            <w:r w:rsidRPr="00795F17">
              <w:t xml:space="preserve">Liczba </w:t>
            </w:r>
            <w:r w:rsidR="00DF005E">
              <w:t>JCWP</w:t>
            </w:r>
          </w:p>
        </w:tc>
      </w:tr>
      <w:tr w:rsidR="00083143" w:rsidRPr="00795F17" w14:paraId="2E478DD8" w14:textId="77777777" w:rsidTr="00083143">
        <w:trPr>
          <w:trHeight w:val="454"/>
        </w:trPr>
        <w:tc>
          <w:tcPr>
            <w:tcW w:w="1255" w:type="pct"/>
            <w:vMerge/>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tcPr>
          <w:p w14:paraId="5C8F7219" w14:textId="77777777" w:rsidR="00083143" w:rsidRPr="00795F17" w:rsidRDefault="00083143" w:rsidP="00083143">
            <w:pPr>
              <w:pStyle w:val="Teksttabelinaglowek"/>
              <w:jc w:val="left"/>
            </w:pPr>
          </w:p>
        </w:tc>
        <w:tc>
          <w:tcPr>
            <w:tcW w:w="125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tcPr>
          <w:p w14:paraId="0618FE5B" w14:textId="0FA7E080" w:rsidR="00083143" w:rsidRPr="00795F17" w:rsidRDefault="00DF005E" w:rsidP="00083143">
            <w:pPr>
              <w:pStyle w:val="Teksttabelinaglowek"/>
            </w:pPr>
            <w:r>
              <w:t>JCWP</w:t>
            </w:r>
            <w:r w:rsidR="00083143" w:rsidRPr="00795F17">
              <w:t xml:space="preserve"> RW</w:t>
            </w:r>
          </w:p>
        </w:tc>
        <w:tc>
          <w:tcPr>
            <w:tcW w:w="125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tcPr>
          <w:p w14:paraId="07E2914D" w14:textId="0BE60ACC" w:rsidR="00083143" w:rsidRPr="00795F17" w:rsidRDefault="00DF005E" w:rsidP="00083143">
            <w:pPr>
              <w:pStyle w:val="Teksttabelinaglowek"/>
            </w:pPr>
            <w:r>
              <w:t>JCWP</w:t>
            </w:r>
            <w:r w:rsidR="00083143" w:rsidRPr="00795F17">
              <w:t xml:space="preserve"> LW </w:t>
            </w:r>
          </w:p>
        </w:tc>
        <w:tc>
          <w:tcPr>
            <w:tcW w:w="12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tcPr>
          <w:p w14:paraId="19ECD8D8" w14:textId="0B5AFD2C" w:rsidR="00083143" w:rsidRPr="00795F17" w:rsidRDefault="00DF005E" w:rsidP="00083143">
            <w:pPr>
              <w:pStyle w:val="Teksttabelinaglowek"/>
            </w:pPr>
            <w:r>
              <w:t>JCWP</w:t>
            </w:r>
            <w:r w:rsidR="00083143" w:rsidRPr="00795F17">
              <w:t xml:space="preserve"> </w:t>
            </w:r>
            <w:r w:rsidR="001C3A0F" w:rsidRPr="00795F17">
              <w:t>TW i CW</w:t>
            </w:r>
          </w:p>
        </w:tc>
      </w:tr>
      <w:tr w:rsidR="00083143" w:rsidRPr="00795F17" w14:paraId="2825F92E" w14:textId="77777777" w:rsidTr="00083143">
        <w:trPr>
          <w:trHeight w:val="454"/>
        </w:trPr>
        <w:tc>
          <w:tcPr>
            <w:tcW w:w="1255"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A1953DD" w14:textId="2F4A5EB3" w:rsidR="00083143" w:rsidRPr="00795F17" w:rsidRDefault="003944BA" w:rsidP="00083143">
            <w:pPr>
              <w:pStyle w:val="Teksttabelisrodek"/>
              <w:jc w:val="left"/>
            </w:pPr>
            <w:r>
              <w:t>m</w:t>
            </w:r>
            <w:r w:rsidR="00083143" w:rsidRPr="00795F17">
              <w:t>onitorowane</w:t>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8B30833" w14:textId="418F6DCC" w:rsidR="00083143" w:rsidRPr="00795F17" w:rsidRDefault="00083143" w:rsidP="00083143">
            <w:pPr>
              <w:pStyle w:val="Teksttabelisrodek"/>
            </w:pPr>
            <w:r w:rsidRPr="00795F17">
              <w:t>3 315</w:t>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74E47DF" w14:textId="77777777" w:rsidR="00083143" w:rsidRPr="00795F17" w:rsidRDefault="00083143" w:rsidP="00083143">
            <w:pPr>
              <w:pStyle w:val="Teksttabelisrodek"/>
            </w:pPr>
            <w:r w:rsidRPr="00795F17">
              <w:t>713</w:t>
            </w:r>
          </w:p>
        </w:tc>
        <w:tc>
          <w:tcPr>
            <w:tcW w:w="1245"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1280A74" w14:textId="77777777" w:rsidR="00083143" w:rsidRPr="00795F17" w:rsidRDefault="00083143" w:rsidP="00083143">
            <w:pPr>
              <w:pStyle w:val="Teksttabelisrodek"/>
            </w:pPr>
            <w:r w:rsidRPr="00795F17">
              <w:t>19</w:t>
            </w:r>
          </w:p>
        </w:tc>
      </w:tr>
      <w:tr w:rsidR="00083143" w:rsidRPr="00795F17" w14:paraId="294B5827" w14:textId="77777777" w:rsidTr="00083143">
        <w:trPr>
          <w:trHeight w:val="454"/>
        </w:trPr>
        <w:tc>
          <w:tcPr>
            <w:tcW w:w="1255"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3D5290F" w14:textId="531FC920" w:rsidR="00083143" w:rsidRPr="00795F17" w:rsidRDefault="003944BA" w:rsidP="00083143">
            <w:pPr>
              <w:pStyle w:val="Teksttabelisrodek"/>
              <w:jc w:val="left"/>
            </w:pPr>
            <w:r>
              <w:t>n</w:t>
            </w:r>
            <w:r w:rsidR="00083143" w:rsidRPr="00795F17">
              <w:t>iemonitorowane</w:t>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3950C00" w14:textId="3673FEBB" w:rsidR="00083143" w:rsidRPr="00795F17" w:rsidRDefault="00083143" w:rsidP="00083143">
            <w:pPr>
              <w:pStyle w:val="Teksttabelisrodek"/>
            </w:pPr>
            <w:r w:rsidRPr="00795F17">
              <w:t>1 534</w:t>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7FA36E3" w14:textId="77777777" w:rsidR="00083143" w:rsidRPr="00795F17" w:rsidRDefault="00083143" w:rsidP="00083143">
            <w:pPr>
              <w:pStyle w:val="Teksttabelisrodek"/>
            </w:pPr>
            <w:r w:rsidRPr="00795F17">
              <w:t>353</w:t>
            </w:r>
          </w:p>
        </w:tc>
        <w:tc>
          <w:tcPr>
            <w:tcW w:w="1245"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51888F7" w14:textId="77777777" w:rsidR="00083143" w:rsidRPr="00795F17" w:rsidRDefault="00083143" w:rsidP="00083143">
            <w:pPr>
              <w:pStyle w:val="Teksttabelisrodek"/>
            </w:pPr>
            <w:r w:rsidRPr="00795F17">
              <w:t>-</w:t>
            </w:r>
          </w:p>
        </w:tc>
      </w:tr>
      <w:tr w:rsidR="00083143" w:rsidRPr="00795F17" w14:paraId="5D6F65F7" w14:textId="77777777" w:rsidTr="00083143">
        <w:trPr>
          <w:trHeight w:val="454"/>
        </w:trPr>
        <w:tc>
          <w:tcPr>
            <w:tcW w:w="1255" w:type="pct"/>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4A81A3A3" w14:textId="204992BF" w:rsidR="00083143" w:rsidRPr="00795F17" w:rsidRDefault="00083143" w:rsidP="00083143">
            <w:pPr>
              <w:pStyle w:val="Teksttabelisrodek"/>
              <w:rPr>
                <w:b/>
                <w:bCs w:val="0"/>
              </w:rPr>
            </w:pPr>
            <w:r w:rsidRPr="00795F17">
              <w:rPr>
                <w:b/>
              </w:rPr>
              <w:t>Suma</w:t>
            </w:r>
          </w:p>
        </w:tc>
        <w:tc>
          <w:tcPr>
            <w:tcW w:w="1250" w:type="pct"/>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6A6F8B64" w14:textId="6AE12166" w:rsidR="00083143" w:rsidRPr="00795F17" w:rsidRDefault="00083143" w:rsidP="00083143">
            <w:pPr>
              <w:pStyle w:val="Teksttabelisrodek"/>
              <w:rPr>
                <w:b/>
                <w:bCs w:val="0"/>
              </w:rPr>
            </w:pPr>
            <w:r w:rsidRPr="00795F17">
              <w:rPr>
                <w:b/>
              </w:rPr>
              <w:t>4</w:t>
            </w:r>
            <w:r w:rsidR="009A2275" w:rsidRPr="00795F17">
              <w:rPr>
                <w:b/>
              </w:rPr>
              <w:t xml:space="preserve"> </w:t>
            </w:r>
            <w:r w:rsidRPr="00795F17">
              <w:rPr>
                <w:b/>
              </w:rPr>
              <w:t>849</w:t>
            </w:r>
          </w:p>
        </w:tc>
        <w:tc>
          <w:tcPr>
            <w:tcW w:w="1250" w:type="pct"/>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544359BD" w14:textId="59CB2909" w:rsidR="00083143" w:rsidRPr="00795F17" w:rsidRDefault="00083143" w:rsidP="00083143">
            <w:pPr>
              <w:pStyle w:val="Teksttabelisrodek"/>
              <w:rPr>
                <w:b/>
                <w:bCs w:val="0"/>
              </w:rPr>
            </w:pPr>
            <w:r w:rsidRPr="00795F17">
              <w:rPr>
                <w:b/>
              </w:rPr>
              <w:t>1</w:t>
            </w:r>
            <w:r w:rsidR="009A2275" w:rsidRPr="00795F17">
              <w:rPr>
                <w:b/>
              </w:rPr>
              <w:t xml:space="preserve"> </w:t>
            </w:r>
            <w:r w:rsidRPr="00795F17">
              <w:rPr>
                <w:b/>
              </w:rPr>
              <w:t>066</w:t>
            </w:r>
          </w:p>
        </w:tc>
        <w:tc>
          <w:tcPr>
            <w:tcW w:w="1245" w:type="pct"/>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36D67C68" w14:textId="77777777" w:rsidR="00083143" w:rsidRPr="00795F17" w:rsidRDefault="00083143" w:rsidP="00083143">
            <w:pPr>
              <w:pStyle w:val="Teksttabelisrodek"/>
              <w:rPr>
                <w:b/>
                <w:bCs w:val="0"/>
              </w:rPr>
            </w:pPr>
            <w:r w:rsidRPr="00795F17">
              <w:rPr>
                <w:b/>
              </w:rPr>
              <w:t>19</w:t>
            </w:r>
          </w:p>
        </w:tc>
      </w:tr>
    </w:tbl>
    <w:p w14:paraId="15A799D0" w14:textId="58706C35" w:rsidR="00083143" w:rsidRPr="00795F17" w:rsidRDefault="00083143" w:rsidP="00083143">
      <w:pPr>
        <w:pStyle w:val="rdo"/>
      </w:pPr>
      <w:r w:rsidRPr="00795F17">
        <w:t xml:space="preserve"> Źródło: opracowanie własne</w:t>
      </w:r>
      <w:r w:rsidR="00BA6B41">
        <w:t xml:space="preserve"> </w:t>
      </w:r>
      <w:r w:rsidRPr="00795F17">
        <w:t>na podstawie danych GIOŚ</w:t>
      </w:r>
    </w:p>
    <w:p w14:paraId="59C47550" w14:textId="2AC3EA4A" w:rsidR="00083143" w:rsidRPr="00795F17" w:rsidRDefault="00895459" w:rsidP="00083143">
      <w:r>
        <w:t>W</w:t>
      </w:r>
      <w:r w:rsidR="00083143" w:rsidRPr="00795F17">
        <w:t xml:space="preserve"> 2020 r. dokonano klasyfikacji </w:t>
      </w:r>
      <w:r w:rsidR="00DF005E">
        <w:t>JCWP</w:t>
      </w:r>
      <w:r w:rsidR="00083143" w:rsidRPr="00795F17">
        <w:t xml:space="preserve"> z podziałem na kategorie wód oraz z</w:t>
      </w:r>
      <w:r w:rsidR="00366A95">
        <w:t> </w:t>
      </w:r>
      <w:r w:rsidR="00083143" w:rsidRPr="00795F17">
        <w:t>uwzględnieniem:</w:t>
      </w:r>
    </w:p>
    <w:p w14:paraId="60D5531B" w14:textId="77777777" w:rsidR="00083143" w:rsidRPr="00795F17" w:rsidRDefault="00083143" w:rsidP="005635FD">
      <w:pPr>
        <w:pStyle w:val="Listapunktowana2"/>
        <w:numPr>
          <w:ilvl w:val="0"/>
          <w:numId w:val="106"/>
        </w:numPr>
        <w:rPr>
          <w:lang w:eastAsia="pl-PL"/>
        </w:rPr>
      </w:pPr>
      <w:r w:rsidRPr="00795F17">
        <w:rPr>
          <w:lang w:eastAsia="pl-PL"/>
        </w:rPr>
        <w:t>stanu ekologicznego,</w:t>
      </w:r>
    </w:p>
    <w:p w14:paraId="72E212DD" w14:textId="77777777" w:rsidR="00083143" w:rsidRPr="00795F17" w:rsidRDefault="00083143" w:rsidP="005635FD">
      <w:pPr>
        <w:pStyle w:val="Listapunktowana2"/>
        <w:numPr>
          <w:ilvl w:val="0"/>
          <w:numId w:val="106"/>
        </w:numPr>
        <w:rPr>
          <w:lang w:eastAsia="pl-PL"/>
        </w:rPr>
      </w:pPr>
      <w:r w:rsidRPr="00795F17">
        <w:rPr>
          <w:lang w:eastAsia="pl-PL"/>
        </w:rPr>
        <w:t xml:space="preserve">potencjału ekologicznego, </w:t>
      </w:r>
    </w:p>
    <w:p w14:paraId="65FAA33E" w14:textId="77777777" w:rsidR="00083143" w:rsidRPr="00795F17" w:rsidRDefault="00083143" w:rsidP="005635FD">
      <w:pPr>
        <w:pStyle w:val="Listapunktowana2"/>
        <w:numPr>
          <w:ilvl w:val="0"/>
          <w:numId w:val="106"/>
        </w:numPr>
        <w:rPr>
          <w:lang w:eastAsia="pl-PL"/>
        </w:rPr>
      </w:pPr>
      <w:r w:rsidRPr="00795F17">
        <w:rPr>
          <w:lang w:eastAsia="pl-PL"/>
        </w:rPr>
        <w:t xml:space="preserve">stanu chemicznego, </w:t>
      </w:r>
    </w:p>
    <w:p w14:paraId="5B555E35" w14:textId="77777777" w:rsidR="00083143" w:rsidRPr="00795F17" w:rsidRDefault="00083143" w:rsidP="005635FD">
      <w:pPr>
        <w:pStyle w:val="Listapunktowana2"/>
        <w:numPr>
          <w:ilvl w:val="0"/>
          <w:numId w:val="106"/>
        </w:numPr>
        <w:rPr>
          <w:lang w:eastAsia="pl-PL"/>
        </w:rPr>
      </w:pPr>
      <w:r w:rsidRPr="00795F17">
        <w:rPr>
          <w:lang w:eastAsia="pl-PL"/>
        </w:rPr>
        <w:t>oceny stanu ogólnego.</w:t>
      </w:r>
    </w:p>
    <w:p w14:paraId="750C0B8A" w14:textId="742905CF" w:rsidR="00083143" w:rsidRPr="00795F17" w:rsidRDefault="00083143" w:rsidP="00083143">
      <w:pPr>
        <w:rPr>
          <w:lang w:eastAsia="pl-PL"/>
        </w:rPr>
      </w:pPr>
      <w:r w:rsidRPr="00795F17">
        <w:rPr>
          <w:lang w:eastAsia="pl-PL"/>
        </w:rPr>
        <w:t xml:space="preserve">Przeprowadzone analizy bazujące na danych monitoringowych oraz zasadzie dziedziczenia dały pełny obraz liczby </w:t>
      </w:r>
      <w:r w:rsidR="00DF005E">
        <w:rPr>
          <w:lang w:eastAsia="pl-PL"/>
        </w:rPr>
        <w:t>JCWP</w:t>
      </w:r>
      <w:r w:rsidRPr="00795F17">
        <w:rPr>
          <w:lang w:eastAsia="pl-PL"/>
        </w:rPr>
        <w:t xml:space="preserve"> RW, </w:t>
      </w:r>
      <w:r w:rsidR="00DF005E">
        <w:rPr>
          <w:lang w:eastAsia="pl-PL"/>
        </w:rPr>
        <w:t>JCWP</w:t>
      </w:r>
      <w:r w:rsidRPr="00795F17">
        <w:rPr>
          <w:lang w:eastAsia="pl-PL"/>
        </w:rPr>
        <w:t xml:space="preserve"> LW, </w:t>
      </w:r>
      <w:r w:rsidR="00DF005E">
        <w:rPr>
          <w:lang w:eastAsia="pl-PL"/>
        </w:rPr>
        <w:t>JCWP</w:t>
      </w:r>
      <w:r w:rsidRPr="00795F17">
        <w:rPr>
          <w:lang w:eastAsia="pl-PL"/>
        </w:rPr>
        <w:t xml:space="preserve"> </w:t>
      </w:r>
      <w:r w:rsidR="001C3A0F" w:rsidRPr="00795F17">
        <w:rPr>
          <w:lang w:eastAsia="pl-PL"/>
        </w:rPr>
        <w:t>TW i CW</w:t>
      </w:r>
      <w:r w:rsidRPr="00795F17">
        <w:rPr>
          <w:lang w:eastAsia="pl-PL"/>
        </w:rPr>
        <w:t xml:space="preserve">, dla których możliwe było wyznaczenie stanu wód (tabela 5-22). Liczba niesklasyfikowanych </w:t>
      </w:r>
      <w:r w:rsidR="00DF005E">
        <w:rPr>
          <w:lang w:eastAsia="pl-PL"/>
        </w:rPr>
        <w:t>JCWP</w:t>
      </w:r>
      <w:r w:rsidRPr="00795F17">
        <w:rPr>
          <w:lang w:eastAsia="pl-PL"/>
        </w:rPr>
        <w:t xml:space="preserve"> oznacza liczbę </w:t>
      </w:r>
      <w:r w:rsidR="00DF005E">
        <w:rPr>
          <w:lang w:eastAsia="pl-PL"/>
        </w:rPr>
        <w:t>JCWP</w:t>
      </w:r>
      <w:r w:rsidRPr="00795F17">
        <w:rPr>
          <w:lang w:eastAsia="pl-PL"/>
        </w:rPr>
        <w:t>, dla których badania przeprowadzone w ramach PMŚ nie były wystarczające do przeprowadzenia klasyfikacji stanu/potencjału ekologicznego lub stanu chemicznego oraz dla których pomimo tego możliwa była ocena.</w:t>
      </w:r>
    </w:p>
    <w:p w14:paraId="17BA945B" w14:textId="39E52D9C" w:rsidR="00BB3B21" w:rsidRPr="00795F17" w:rsidRDefault="00BB3B21" w:rsidP="004D7705">
      <w:pPr>
        <w:pStyle w:val="Tabela"/>
      </w:pPr>
      <w:bookmarkStart w:id="194" w:name="_Toc105512786"/>
      <w:r w:rsidRPr="00795F17">
        <w:t xml:space="preserve">Tabela </w:t>
      </w:r>
      <w:fldSimple w:instr=" STYLEREF 1 \s ">
        <w:r w:rsidR="001F774D">
          <w:rPr>
            <w:noProof/>
          </w:rPr>
          <w:t>5</w:t>
        </w:r>
      </w:fldSimple>
      <w:r w:rsidRPr="00795F17">
        <w:noBreakHyphen/>
      </w:r>
      <w:fldSimple w:instr=" SEQ Tabela \* ARABIC \s 1 ">
        <w:r w:rsidR="001F774D">
          <w:rPr>
            <w:noProof/>
          </w:rPr>
          <w:t>22</w:t>
        </w:r>
      </w:fldSimple>
      <w:r w:rsidR="00BA11D4">
        <w:rPr>
          <w:noProof/>
        </w:rPr>
        <w:t>.</w:t>
      </w:r>
      <w:r w:rsidRPr="00795F17">
        <w:tab/>
        <w:t xml:space="preserve">Podsumowanie statystyczne klasyfikacji i oceny </w:t>
      </w:r>
      <w:r w:rsidR="00DF005E">
        <w:t>JCWP</w:t>
      </w:r>
      <w:r w:rsidRPr="00795F17">
        <w:t xml:space="preserve"> (</w:t>
      </w:r>
      <w:r w:rsidR="00DF005E">
        <w:t>JCWP</w:t>
      </w:r>
      <w:r w:rsidRPr="00795F17">
        <w:t xml:space="preserve"> monitorowane i</w:t>
      </w:r>
      <w:r w:rsidR="00701570">
        <w:t> </w:t>
      </w:r>
      <w:r w:rsidRPr="00795F17">
        <w:t>niemonitorowane)</w:t>
      </w:r>
      <w:bookmarkEnd w:id="194"/>
    </w:p>
    <w:tbl>
      <w:tblPr>
        <w:tblW w:w="5000" w:type="pct"/>
        <w:tblCellMar>
          <w:left w:w="10" w:type="dxa"/>
          <w:right w:w="10" w:type="dxa"/>
        </w:tblCellMar>
        <w:tblLook w:val="0000" w:firstRow="0" w:lastRow="0" w:firstColumn="0" w:lastColumn="0" w:noHBand="0" w:noVBand="0"/>
      </w:tblPr>
      <w:tblGrid>
        <w:gridCol w:w="1111"/>
        <w:gridCol w:w="2304"/>
        <w:gridCol w:w="1680"/>
        <w:gridCol w:w="1988"/>
        <w:gridCol w:w="1979"/>
      </w:tblGrid>
      <w:tr w:rsidR="00083143" w:rsidRPr="00795F17" w14:paraId="7E242E96" w14:textId="77777777" w:rsidTr="00083143">
        <w:trPr>
          <w:trHeight w:val="454"/>
        </w:trPr>
        <w:tc>
          <w:tcPr>
            <w:tcW w:w="3415" w:type="dxa"/>
            <w:gridSpan w:val="2"/>
            <w:vMerge w:val="restart"/>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75339432" w14:textId="17ABBAAA" w:rsidR="00083143" w:rsidRPr="00795F17" w:rsidRDefault="00083143" w:rsidP="00083143">
            <w:pPr>
              <w:pStyle w:val="Teksttabelinaglowek"/>
            </w:pPr>
            <w:r w:rsidRPr="00795F17">
              <w:t xml:space="preserve">Ocena </w:t>
            </w:r>
            <w:r w:rsidR="00DF005E">
              <w:t>JCWP</w:t>
            </w:r>
          </w:p>
        </w:tc>
        <w:tc>
          <w:tcPr>
            <w:tcW w:w="5647" w:type="dxa"/>
            <w:gridSpan w:val="3"/>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56C92884" w14:textId="47504C64" w:rsidR="00083143" w:rsidRPr="00795F17" w:rsidRDefault="00083143" w:rsidP="00083143">
            <w:pPr>
              <w:pStyle w:val="Teksttabelinaglowek"/>
            </w:pPr>
            <w:r w:rsidRPr="00795F17">
              <w:t xml:space="preserve">Liczba </w:t>
            </w:r>
            <w:r w:rsidR="00DF005E">
              <w:t>JCWP</w:t>
            </w:r>
          </w:p>
        </w:tc>
      </w:tr>
      <w:tr w:rsidR="00083143" w:rsidRPr="00795F17" w14:paraId="46AB145B" w14:textId="77777777" w:rsidTr="00083143">
        <w:trPr>
          <w:trHeight w:val="454"/>
        </w:trPr>
        <w:tc>
          <w:tcPr>
            <w:tcW w:w="3415" w:type="dxa"/>
            <w:gridSpan w:val="2"/>
            <w:vMerge/>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4D1C1A24" w14:textId="77777777" w:rsidR="00083143" w:rsidRPr="00795F17" w:rsidRDefault="00083143" w:rsidP="00083143">
            <w:pPr>
              <w:pStyle w:val="Teksttabelinaglowek"/>
              <w:jc w:val="left"/>
            </w:pPr>
          </w:p>
        </w:tc>
        <w:tc>
          <w:tcPr>
            <w:tcW w:w="1680"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4A23B56A" w14:textId="0FC2914E" w:rsidR="00083143" w:rsidRPr="00795F17" w:rsidRDefault="00DF005E" w:rsidP="00083143">
            <w:pPr>
              <w:pStyle w:val="Teksttabelinaglowek"/>
            </w:pPr>
            <w:r>
              <w:t>JCWP</w:t>
            </w:r>
            <w:r w:rsidR="00083143" w:rsidRPr="00795F17">
              <w:t xml:space="preserve"> RW</w:t>
            </w:r>
          </w:p>
        </w:tc>
        <w:tc>
          <w:tcPr>
            <w:tcW w:w="1988"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56F37148" w14:textId="47623806" w:rsidR="00083143" w:rsidRPr="00795F17" w:rsidRDefault="00DF005E" w:rsidP="00083143">
            <w:pPr>
              <w:pStyle w:val="Teksttabelinaglowek"/>
            </w:pPr>
            <w:r>
              <w:t>JCWP</w:t>
            </w:r>
            <w:r w:rsidR="00083143" w:rsidRPr="00795F17">
              <w:t xml:space="preserve"> LW</w:t>
            </w:r>
          </w:p>
        </w:tc>
        <w:tc>
          <w:tcPr>
            <w:tcW w:w="1979"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544DC5D3" w14:textId="532470EA" w:rsidR="00083143" w:rsidRPr="00795F17" w:rsidRDefault="00DF005E" w:rsidP="00083143">
            <w:pPr>
              <w:pStyle w:val="Teksttabelinaglowek"/>
            </w:pPr>
            <w:r>
              <w:t>JCWP</w:t>
            </w:r>
            <w:r w:rsidR="00083143" w:rsidRPr="00795F17">
              <w:t xml:space="preserve"> </w:t>
            </w:r>
            <w:r w:rsidR="001C3A0F" w:rsidRPr="00795F17">
              <w:t>TW i CW</w:t>
            </w:r>
          </w:p>
        </w:tc>
      </w:tr>
      <w:tr w:rsidR="00083143" w:rsidRPr="00795F17" w14:paraId="17742BF3" w14:textId="77777777" w:rsidTr="00083143">
        <w:trPr>
          <w:trHeight w:val="454"/>
        </w:trPr>
        <w:tc>
          <w:tcPr>
            <w:tcW w:w="1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C38C5B2" w14:textId="77777777" w:rsidR="00083143" w:rsidRPr="00795F17" w:rsidRDefault="00083143" w:rsidP="00083143">
            <w:pPr>
              <w:pStyle w:val="Teksttabelisrodek"/>
              <w:jc w:val="left"/>
              <w:rPr>
                <w:b/>
                <w:bCs w:val="0"/>
              </w:rPr>
            </w:pPr>
            <w:r w:rsidRPr="00795F17">
              <w:rPr>
                <w:b/>
              </w:rPr>
              <w:t>stan ekologiczny</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90500F4" w14:textId="59F02239" w:rsidR="00083143" w:rsidRPr="00795F17" w:rsidRDefault="00083143" w:rsidP="00083143">
            <w:pPr>
              <w:pStyle w:val="Teksttabelisrodek"/>
              <w:jc w:val="left"/>
            </w:pPr>
            <w:r w:rsidRPr="00795F17">
              <w:t xml:space="preserve">naturalne </w:t>
            </w:r>
            <w:r w:rsidR="00DF005E">
              <w:t>JCWP</w:t>
            </w:r>
            <w:r w:rsidRPr="00795F17">
              <w:t xml:space="preserve"> 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0024876" w14:textId="16876E2F" w:rsidR="00083143" w:rsidRPr="00795F17" w:rsidRDefault="00083143" w:rsidP="00083143">
            <w:pPr>
              <w:pStyle w:val="Teksttabelisrodek"/>
            </w:pPr>
            <w:r w:rsidRPr="00795F17">
              <w:t>3 365</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2A2BD12" w14:textId="77777777" w:rsidR="00083143" w:rsidRPr="00795F17" w:rsidRDefault="00083143" w:rsidP="00083143">
            <w:pPr>
              <w:pStyle w:val="Teksttabelisrodek"/>
            </w:pPr>
            <w:r w:rsidRPr="00795F17">
              <w:t>866</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83C2C16" w14:textId="77777777" w:rsidR="00083143" w:rsidRPr="00795F17" w:rsidRDefault="00083143" w:rsidP="00083143">
            <w:pPr>
              <w:pStyle w:val="Teksttabelisrodek"/>
            </w:pPr>
            <w:r w:rsidRPr="00795F17">
              <w:t>9</w:t>
            </w:r>
          </w:p>
        </w:tc>
      </w:tr>
      <w:tr w:rsidR="00083143" w:rsidRPr="00795F17" w14:paraId="0941BAE7" w14:textId="77777777" w:rsidTr="00083143">
        <w:trPr>
          <w:trHeight w:val="454"/>
        </w:trPr>
        <w:tc>
          <w:tcPr>
            <w:tcW w:w="1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EC6C897" w14:textId="77777777" w:rsidR="00083143" w:rsidRPr="00795F17" w:rsidRDefault="00083143" w:rsidP="00083143">
            <w:pPr>
              <w:pStyle w:val="Teksttabelisrodek"/>
              <w:jc w:val="left"/>
              <w:rPr>
                <w:b/>
                <w:bCs w:val="0"/>
              </w:rPr>
            </w:pP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B0A355B" w14:textId="647D85DB" w:rsidR="00083143" w:rsidRPr="00795F17" w:rsidRDefault="00083143" w:rsidP="00083143">
            <w:pPr>
              <w:pStyle w:val="Teksttabelisrodek"/>
              <w:jc w:val="left"/>
            </w:pPr>
            <w:r w:rsidRPr="00795F17">
              <w:t xml:space="preserve">naturalne </w:t>
            </w:r>
            <w:r w:rsidR="00DF005E">
              <w:t>JCWP</w:t>
            </w:r>
            <w:r w:rsidRPr="00795F17">
              <w:t xml:space="preserve"> niesklasyfikowane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1AD9823" w14:textId="77777777" w:rsidR="00083143" w:rsidRPr="00795F17" w:rsidRDefault="00083143" w:rsidP="00083143">
            <w:pPr>
              <w:pStyle w:val="Teksttabelisrodek"/>
            </w:pPr>
            <w:r w:rsidRPr="00795F17">
              <w:t>24</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BB23369" w14:textId="77777777" w:rsidR="00083143" w:rsidRPr="00795F17" w:rsidRDefault="00083143" w:rsidP="00083143">
            <w:pPr>
              <w:pStyle w:val="Teksttabelisrodek"/>
            </w:pPr>
            <w:r w:rsidRPr="00795F17">
              <w:t>28</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E6AFB91" w14:textId="77777777" w:rsidR="00083143" w:rsidRPr="00795F17" w:rsidRDefault="00083143" w:rsidP="00083143">
            <w:pPr>
              <w:pStyle w:val="Teksttabelisrodek"/>
            </w:pPr>
            <w:r w:rsidRPr="00795F17">
              <w:t>-</w:t>
            </w:r>
          </w:p>
        </w:tc>
      </w:tr>
      <w:tr w:rsidR="00083143" w:rsidRPr="00795F17" w14:paraId="7B5C0E5F" w14:textId="77777777" w:rsidTr="00083143">
        <w:trPr>
          <w:trHeight w:val="454"/>
        </w:trPr>
        <w:tc>
          <w:tcPr>
            <w:tcW w:w="1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9ABDF80" w14:textId="77777777" w:rsidR="00083143" w:rsidRPr="00795F17" w:rsidRDefault="00083143" w:rsidP="00083143">
            <w:pPr>
              <w:pStyle w:val="Teksttabelisrodek"/>
              <w:jc w:val="left"/>
              <w:rPr>
                <w:b/>
                <w:bCs w:val="0"/>
              </w:rPr>
            </w:pPr>
            <w:r w:rsidRPr="00795F17">
              <w:rPr>
                <w:b/>
              </w:rPr>
              <w:t>potencjał ekologiczny</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1A9F217" w14:textId="117A0835" w:rsidR="00083143" w:rsidRPr="00795F17" w:rsidRDefault="00083143" w:rsidP="00083143">
            <w:pPr>
              <w:pStyle w:val="Teksttabelisrodek"/>
              <w:jc w:val="left"/>
            </w:pPr>
            <w:r w:rsidRPr="00795F17">
              <w:t xml:space="preserve">silnie zmienione/sztuczne </w:t>
            </w:r>
            <w:r w:rsidR="00DF005E">
              <w:t>JCWP</w:t>
            </w:r>
            <w:r w:rsidRPr="00795F17">
              <w:t xml:space="preserve"> 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FB925DC" w14:textId="649AC15C" w:rsidR="00083143" w:rsidRPr="00795F17" w:rsidRDefault="00083143" w:rsidP="00083143">
            <w:pPr>
              <w:pStyle w:val="Teksttabelisrodek"/>
            </w:pPr>
            <w:r w:rsidRPr="00795F17">
              <w:t>1 156</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CEE4A08" w14:textId="77777777" w:rsidR="00083143" w:rsidRPr="00795F17" w:rsidRDefault="00083143" w:rsidP="00083143">
            <w:pPr>
              <w:pStyle w:val="Teksttabelisrodek"/>
            </w:pPr>
            <w:r w:rsidRPr="00795F17">
              <w:t>120</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C9AD7F8" w14:textId="77777777" w:rsidR="00083143" w:rsidRPr="00795F17" w:rsidRDefault="00083143" w:rsidP="00083143">
            <w:pPr>
              <w:pStyle w:val="Teksttabelisrodek"/>
            </w:pPr>
            <w:r w:rsidRPr="00795F17">
              <w:t>1</w:t>
            </w:r>
          </w:p>
        </w:tc>
      </w:tr>
      <w:tr w:rsidR="00083143" w:rsidRPr="00795F17" w14:paraId="5CD632D1" w14:textId="77777777" w:rsidTr="00083143">
        <w:trPr>
          <w:trHeight w:val="454"/>
        </w:trPr>
        <w:tc>
          <w:tcPr>
            <w:tcW w:w="1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5A04514" w14:textId="77777777" w:rsidR="00083143" w:rsidRPr="00795F17" w:rsidRDefault="00083143" w:rsidP="00083143">
            <w:pPr>
              <w:pStyle w:val="Teksttabelisrodek"/>
              <w:jc w:val="left"/>
              <w:rPr>
                <w:b/>
                <w:bCs w:val="0"/>
              </w:rPr>
            </w:pP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086DFC4" w14:textId="4E61C972" w:rsidR="00083143" w:rsidRPr="00795F17" w:rsidRDefault="00083143" w:rsidP="00083143">
            <w:pPr>
              <w:pStyle w:val="Teksttabelisrodek"/>
              <w:jc w:val="left"/>
            </w:pPr>
            <w:r w:rsidRPr="00795F17">
              <w:t xml:space="preserve">silnie zmienione/sztuczne </w:t>
            </w:r>
            <w:r w:rsidR="00DF005E">
              <w:t>JCWP</w:t>
            </w:r>
            <w:r w:rsidRPr="00795F17">
              <w:t xml:space="preserve"> niesklasyfikowane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1433155" w14:textId="77777777" w:rsidR="00083143" w:rsidRPr="00795F17" w:rsidRDefault="00083143" w:rsidP="00083143">
            <w:pPr>
              <w:pStyle w:val="Teksttabelisrodek"/>
            </w:pPr>
            <w:r w:rsidRPr="00795F17">
              <w:t>13</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9C83629" w14:textId="77777777" w:rsidR="00083143" w:rsidRPr="00795F17" w:rsidRDefault="00083143" w:rsidP="00083143">
            <w:pPr>
              <w:pStyle w:val="Teksttabelisrodek"/>
            </w:pPr>
            <w:r w:rsidRPr="00795F17">
              <w:t>0</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0D2AA25" w14:textId="77777777" w:rsidR="00083143" w:rsidRPr="00795F17" w:rsidRDefault="00083143" w:rsidP="00083143">
            <w:pPr>
              <w:pStyle w:val="Teksttabelisrodek"/>
            </w:pPr>
            <w:r w:rsidRPr="00795F17">
              <w:t>-</w:t>
            </w:r>
          </w:p>
        </w:tc>
      </w:tr>
      <w:tr w:rsidR="00083143" w:rsidRPr="00795F17" w14:paraId="57F138F8" w14:textId="77777777" w:rsidTr="00083143">
        <w:trPr>
          <w:trHeight w:val="454"/>
        </w:trPr>
        <w:tc>
          <w:tcPr>
            <w:tcW w:w="1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06872FD" w14:textId="77777777" w:rsidR="00083143" w:rsidRPr="00795F17" w:rsidRDefault="00083143" w:rsidP="00083143">
            <w:pPr>
              <w:pStyle w:val="Teksttabelisrodek"/>
              <w:jc w:val="left"/>
              <w:rPr>
                <w:b/>
                <w:bCs w:val="0"/>
              </w:rPr>
            </w:pPr>
            <w:r w:rsidRPr="00795F17">
              <w:rPr>
                <w:b/>
              </w:rPr>
              <w:t>stan chemiczny</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2101F70" w14:textId="196E355B" w:rsidR="00083143" w:rsidRPr="00795F17" w:rsidRDefault="00DF005E" w:rsidP="00083143">
            <w:pPr>
              <w:pStyle w:val="Teksttabelisrodek"/>
              <w:jc w:val="left"/>
            </w:pPr>
            <w:r>
              <w:t>JCWP</w:t>
            </w:r>
            <w:r w:rsidR="00083143" w:rsidRPr="00795F17">
              <w:t xml:space="preserve"> 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F92E920" w14:textId="1FF8E0C8" w:rsidR="00083143" w:rsidRPr="00795F17" w:rsidRDefault="00083143" w:rsidP="00083143">
            <w:pPr>
              <w:pStyle w:val="Teksttabelisrodek"/>
            </w:pPr>
            <w:r w:rsidRPr="00795F17">
              <w:t>3 114</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2063781" w14:textId="77777777" w:rsidR="00083143" w:rsidRPr="00795F17" w:rsidRDefault="00083143" w:rsidP="00083143">
            <w:pPr>
              <w:pStyle w:val="Teksttabelisrodek"/>
            </w:pPr>
            <w:r w:rsidRPr="00795F17">
              <w:t>937</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38C49A0" w14:textId="77777777" w:rsidR="00083143" w:rsidRPr="00795F17" w:rsidRDefault="00083143" w:rsidP="00083143">
            <w:pPr>
              <w:pStyle w:val="Teksttabelisrodek"/>
            </w:pPr>
            <w:r w:rsidRPr="00795F17">
              <w:t>10</w:t>
            </w:r>
          </w:p>
        </w:tc>
      </w:tr>
      <w:tr w:rsidR="00083143" w:rsidRPr="00795F17" w14:paraId="1B63FD6B" w14:textId="77777777" w:rsidTr="00083143">
        <w:trPr>
          <w:trHeight w:val="454"/>
        </w:trPr>
        <w:tc>
          <w:tcPr>
            <w:tcW w:w="1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C2364A0" w14:textId="77777777" w:rsidR="00083143" w:rsidRPr="00795F17" w:rsidRDefault="00083143" w:rsidP="00083143">
            <w:pPr>
              <w:pStyle w:val="Teksttabelisrodek"/>
              <w:jc w:val="left"/>
              <w:rPr>
                <w:b/>
                <w:bCs w:val="0"/>
              </w:rPr>
            </w:pP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4D8227E" w14:textId="402FC5A0" w:rsidR="00083143" w:rsidRPr="00795F17" w:rsidRDefault="00DF005E" w:rsidP="00083143">
            <w:pPr>
              <w:pStyle w:val="Teksttabelisrodek"/>
              <w:jc w:val="left"/>
            </w:pPr>
            <w:r>
              <w:t>JCWP</w:t>
            </w:r>
            <w:r w:rsidR="00083143" w:rsidRPr="00795F17">
              <w:t xml:space="preserve"> niesklasyfikowane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2B029D9" w14:textId="77777777" w:rsidR="00083143" w:rsidRPr="00795F17" w:rsidRDefault="00083143" w:rsidP="00083143">
            <w:pPr>
              <w:pStyle w:val="Teksttabelisrodek"/>
            </w:pPr>
            <w:r w:rsidRPr="00795F17">
              <w:t>17</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B4216CA" w14:textId="77777777" w:rsidR="00083143" w:rsidRPr="00795F17" w:rsidRDefault="00083143" w:rsidP="00083143">
            <w:pPr>
              <w:pStyle w:val="Teksttabelisrodek"/>
            </w:pPr>
            <w:r w:rsidRPr="00795F17">
              <w:t>1</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1711C9F" w14:textId="77777777" w:rsidR="00083143" w:rsidRPr="00795F17" w:rsidRDefault="00083143" w:rsidP="00083143">
            <w:pPr>
              <w:pStyle w:val="Teksttabelisrodek"/>
            </w:pPr>
            <w:r w:rsidRPr="00795F17">
              <w:t>-</w:t>
            </w:r>
          </w:p>
        </w:tc>
      </w:tr>
      <w:tr w:rsidR="00083143" w:rsidRPr="00795F17" w14:paraId="57877518" w14:textId="77777777" w:rsidTr="00083143">
        <w:trPr>
          <w:trHeight w:val="454"/>
        </w:trPr>
        <w:tc>
          <w:tcPr>
            <w:tcW w:w="1111"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5FDBCDF" w14:textId="77777777" w:rsidR="00083143" w:rsidRPr="00795F17" w:rsidRDefault="00083143" w:rsidP="00083143">
            <w:pPr>
              <w:pStyle w:val="Teksttabelisrodek"/>
              <w:jc w:val="left"/>
              <w:rPr>
                <w:b/>
                <w:bCs w:val="0"/>
              </w:rPr>
            </w:pPr>
            <w:r w:rsidRPr="00795F17">
              <w:rPr>
                <w:b/>
              </w:rPr>
              <w:t>ocena stanu</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243B065" w14:textId="146CA2AE" w:rsidR="00083143" w:rsidRPr="00795F17" w:rsidRDefault="00083143" w:rsidP="00083143">
            <w:pPr>
              <w:pStyle w:val="Teksttabelisrodek"/>
              <w:jc w:val="left"/>
            </w:pPr>
            <w:r w:rsidRPr="00795F17">
              <w:t xml:space="preserve">ocenione </w:t>
            </w:r>
            <w:r w:rsidR="00DF005E">
              <w:t>JCWP</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9D2F66D" w14:textId="29D423E3" w:rsidR="00083143" w:rsidRPr="00795F17" w:rsidRDefault="00083143" w:rsidP="00083143">
            <w:pPr>
              <w:pStyle w:val="Teksttabelisrodek"/>
            </w:pPr>
            <w:r w:rsidRPr="00795F17">
              <w:t>4 585</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D445E01" w14:textId="4A717D07" w:rsidR="00083143" w:rsidRPr="00795F17" w:rsidRDefault="00083143" w:rsidP="00083143">
            <w:pPr>
              <w:pStyle w:val="Teksttabelisrodek"/>
            </w:pPr>
            <w:r w:rsidRPr="00795F17">
              <w:t>1 044</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2D74539" w14:textId="77777777" w:rsidR="00083143" w:rsidRPr="00795F17" w:rsidRDefault="00083143" w:rsidP="00083143">
            <w:pPr>
              <w:pStyle w:val="Teksttabelisrodek"/>
            </w:pPr>
            <w:r w:rsidRPr="00795F17">
              <w:t>10</w:t>
            </w:r>
          </w:p>
        </w:tc>
      </w:tr>
    </w:tbl>
    <w:p w14:paraId="02A40E50" w14:textId="77777777" w:rsidR="00083143" w:rsidRPr="00795F17" w:rsidRDefault="00083143" w:rsidP="00083143">
      <w:pPr>
        <w:pStyle w:val="rdo"/>
      </w:pPr>
      <w:r w:rsidRPr="00795F17">
        <w:t>Źródło: opracowanie własne na podstawie danych GIOŚ</w:t>
      </w:r>
    </w:p>
    <w:p w14:paraId="6AC5B873" w14:textId="56D676F8" w:rsidR="00083143" w:rsidRPr="00795F17" w:rsidRDefault="00DF005E" w:rsidP="00083143">
      <w:pPr>
        <w:pStyle w:val="Nagwek5"/>
        <w:spacing w:before="120" w:after="120"/>
        <w:rPr>
          <w:b w:val="0"/>
          <w:bCs/>
          <w:color w:val="000000"/>
          <w:lang w:eastAsia="pl-PL"/>
        </w:rPr>
      </w:pPr>
      <w:r>
        <w:rPr>
          <w:bCs/>
          <w:color w:val="000000"/>
          <w:lang w:eastAsia="pl-PL"/>
        </w:rPr>
        <w:t>JCWP</w:t>
      </w:r>
      <w:r w:rsidR="00083143" w:rsidRPr="00795F17">
        <w:rPr>
          <w:bCs/>
          <w:color w:val="000000"/>
          <w:lang w:eastAsia="pl-PL"/>
        </w:rPr>
        <w:t xml:space="preserve"> RW</w:t>
      </w:r>
    </w:p>
    <w:p w14:paraId="3E42061F" w14:textId="543631BB" w:rsidR="00083143" w:rsidRPr="00795F17" w:rsidRDefault="00083143" w:rsidP="00083143">
      <w:r w:rsidRPr="00795F17">
        <w:rPr>
          <w:rFonts w:eastAsia="Times New Roman" w:cs="Calibri"/>
          <w:color w:val="000000"/>
          <w:lang w:eastAsia="pl-PL"/>
        </w:rPr>
        <w:t xml:space="preserve">W </w:t>
      </w:r>
      <w:r w:rsidRPr="00795F17">
        <w:t xml:space="preserve">stosunku do </w:t>
      </w:r>
      <w:r w:rsidR="00DF005E">
        <w:t>JCWP</w:t>
      </w:r>
      <w:r w:rsidRPr="00795F17">
        <w:t xml:space="preserve"> RW w wyniku wykonanej oceny, stwierdzono zły stan dla 91,5% </w:t>
      </w:r>
      <w:r w:rsidR="00DF005E">
        <w:t>JCWP</w:t>
      </w:r>
      <w:r w:rsidRPr="00795F17">
        <w:t xml:space="preserve">, co przede wszystkim związane było z odnotowaniem stanu chemicznego poniżej dobrego oraz stanu/potencjału ekologicznego umiarkowanego albo gorszego (83,4%). Stan chemiczny poniżej dobrego został odnotowany w 87,1% analizowanych </w:t>
      </w:r>
      <w:r w:rsidR="00DF005E">
        <w:t>JCWP</w:t>
      </w:r>
      <w:r w:rsidRPr="00795F17">
        <w:t xml:space="preserve">, co głównie było wynikiem przekroczenia </w:t>
      </w:r>
      <w:r w:rsidRPr="00472FD2">
        <w:t xml:space="preserve">wartości EQS w wodzie </w:t>
      </w:r>
      <w:r w:rsidR="005E254C" w:rsidRPr="00F86241">
        <w:t xml:space="preserve">- </w:t>
      </w:r>
      <w:r w:rsidRPr="00472FD2">
        <w:t xml:space="preserve">benzo(a)pirenu (28,9%) oraz </w:t>
      </w:r>
      <w:r w:rsidR="00225114" w:rsidRPr="00F86241">
        <w:t xml:space="preserve">w </w:t>
      </w:r>
      <w:r w:rsidRPr="00472FD2">
        <w:t xml:space="preserve">biocie </w:t>
      </w:r>
      <w:r w:rsidR="00225114" w:rsidRPr="00F86241">
        <w:t xml:space="preserve">- </w:t>
      </w:r>
      <w:r w:rsidRPr="00472FD2">
        <w:t>difenyloeterów bromowanych (21,3%).</w:t>
      </w:r>
      <w:r w:rsidRPr="00795F17">
        <w:t xml:space="preserve"> Z kolei stan/potencjał ekologiczny w </w:t>
      </w:r>
      <w:r w:rsidR="00DF005E">
        <w:t>JCWP</w:t>
      </w:r>
      <w:r w:rsidRPr="00795F17">
        <w:t xml:space="preserve"> RW był przede wszystkim determinowany przez umiarkowany stan/potencjał ekologiczny (54,9%). Do elementów decydujących o ocenie stanu/potencjału ekologicznego poniżej dobrego przede wszystkim można zaliczyć:</w:t>
      </w:r>
    </w:p>
    <w:p w14:paraId="05F1A4DD" w14:textId="77777777" w:rsidR="00083143" w:rsidRPr="00DC4CCC" w:rsidRDefault="00083143" w:rsidP="005635FD">
      <w:pPr>
        <w:pStyle w:val="Listapunktowana2"/>
        <w:numPr>
          <w:ilvl w:val="0"/>
          <w:numId w:val="105"/>
        </w:numPr>
      </w:pPr>
      <w:r w:rsidRPr="00DC4CCC">
        <w:t>elementy biologiczne: makrobezkręgowce (30,2%), ichtiofauna (28,5%) oraz fitobentos (23,3%);</w:t>
      </w:r>
    </w:p>
    <w:p w14:paraId="224E5E58" w14:textId="61271B85" w:rsidR="00083143" w:rsidRPr="00DC4CCC" w:rsidRDefault="00083143" w:rsidP="005635FD">
      <w:pPr>
        <w:pStyle w:val="Listapunktowana2"/>
        <w:numPr>
          <w:ilvl w:val="0"/>
          <w:numId w:val="105"/>
        </w:numPr>
      </w:pPr>
      <w:r w:rsidRPr="00DC4CCC">
        <w:t>elementy fizykochemiczne (grupa 3.1</w:t>
      </w:r>
      <w:r w:rsidR="00F67BE1">
        <w:t xml:space="preserve"> </w:t>
      </w:r>
      <w:r w:rsidRPr="00DC4CCC">
        <w:t>-</w:t>
      </w:r>
      <w:r w:rsidR="00F67BE1">
        <w:t xml:space="preserve"> </w:t>
      </w:r>
      <w:r w:rsidRPr="00DC4CCC">
        <w:t>3.5): zasolenie (37,7%) oraz substancje biogenne (35,6%);</w:t>
      </w:r>
    </w:p>
    <w:p w14:paraId="33862851" w14:textId="18484546" w:rsidR="00083143" w:rsidRPr="00DC4CCC" w:rsidRDefault="00083143" w:rsidP="005635FD">
      <w:pPr>
        <w:pStyle w:val="Listapunktowana2"/>
        <w:numPr>
          <w:ilvl w:val="0"/>
          <w:numId w:val="105"/>
        </w:numPr>
      </w:pPr>
      <w:r w:rsidRPr="00DC4CCC">
        <w:t>elementy fizykochemiczne (</w:t>
      </w:r>
      <w:r w:rsidR="00093895">
        <w:t xml:space="preserve">grupa </w:t>
      </w:r>
      <w:r w:rsidRPr="00DC4CCC">
        <w:t xml:space="preserve">3.6): aldehyd mrówkowy (59,8%) oraz węglowodory ropopochodne </w:t>
      </w:r>
      <w:r w:rsidR="00EC4A0D">
        <w:t>–</w:t>
      </w:r>
      <w:r w:rsidRPr="00DC4CCC">
        <w:t xml:space="preserve"> indeks olejowy (14,2%).</w:t>
      </w:r>
    </w:p>
    <w:p w14:paraId="3CC576CE" w14:textId="38C02626" w:rsidR="00083143" w:rsidRPr="00795F17" w:rsidRDefault="00DF005E" w:rsidP="00083143">
      <w:pPr>
        <w:pStyle w:val="Nagwek5"/>
        <w:spacing w:before="120" w:after="120"/>
        <w:rPr>
          <w:b w:val="0"/>
          <w:bCs/>
          <w:color w:val="000000"/>
          <w:lang w:eastAsia="pl-PL"/>
        </w:rPr>
      </w:pPr>
      <w:r>
        <w:rPr>
          <w:bCs/>
          <w:color w:val="000000"/>
          <w:lang w:eastAsia="pl-PL"/>
        </w:rPr>
        <w:t>JCWP</w:t>
      </w:r>
      <w:r w:rsidR="00083143" w:rsidRPr="00795F17">
        <w:rPr>
          <w:bCs/>
          <w:color w:val="000000"/>
          <w:lang w:eastAsia="pl-PL"/>
        </w:rPr>
        <w:t xml:space="preserve"> LW</w:t>
      </w:r>
    </w:p>
    <w:p w14:paraId="7E6B8C55" w14:textId="47A975FB" w:rsidR="00083143" w:rsidRPr="00795F17" w:rsidRDefault="00083143" w:rsidP="00083143">
      <w:r w:rsidRPr="00795F17">
        <w:rPr>
          <w:rFonts w:eastAsia="Times New Roman" w:cs="Calibri"/>
          <w:color w:val="000000"/>
          <w:lang w:eastAsia="pl-PL"/>
        </w:rPr>
        <w:t xml:space="preserve">W odniesieniu do </w:t>
      </w:r>
      <w:r w:rsidR="00DF005E">
        <w:rPr>
          <w:rFonts w:eastAsia="Times New Roman" w:cs="Calibri"/>
          <w:color w:val="000000"/>
          <w:lang w:eastAsia="pl-PL"/>
        </w:rPr>
        <w:t>JCWP</w:t>
      </w:r>
      <w:r w:rsidRPr="00795F17">
        <w:rPr>
          <w:rFonts w:eastAsia="Times New Roman" w:cs="Calibri"/>
          <w:color w:val="000000"/>
          <w:lang w:eastAsia="pl-PL"/>
        </w:rPr>
        <w:t xml:space="preserve"> LW w wyniku wykonanej oceny, stwierdzono zły stan dla 88,1% </w:t>
      </w:r>
      <w:r w:rsidR="00DF005E">
        <w:rPr>
          <w:rFonts w:eastAsia="Times New Roman" w:cs="Calibri"/>
          <w:color w:val="000000"/>
          <w:lang w:eastAsia="pl-PL"/>
        </w:rPr>
        <w:t>JCWP</w:t>
      </w:r>
      <w:r w:rsidRPr="00795F17">
        <w:rPr>
          <w:rFonts w:eastAsia="Times New Roman" w:cs="Calibri"/>
          <w:color w:val="000000"/>
          <w:lang w:eastAsia="pl-PL"/>
        </w:rPr>
        <w:t xml:space="preserve">, co przede wszystkim związane było z odnotowaniem stanu chemicznego poniżej dobrego oraz stanu/potencjału ekologicznego umiarkowanego albo gorszego (51,3%). Stan chemiczny poniżej dobrego został odnotowany w stosunku do 69,4% analizowanych </w:t>
      </w:r>
      <w:r w:rsidR="00DF005E">
        <w:rPr>
          <w:rFonts w:eastAsia="Times New Roman" w:cs="Calibri"/>
          <w:color w:val="000000"/>
          <w:lang w:eastAsia="pl-PL"/>
        </w:rPr>
        <w:t>JCWP</w:t>
      </w:r>
      <w:r w:rsidRPr="00795F17">
        <w:rPr>
          <w:rFonts w:eastAsia="Times New Roman" w:cs="Calibri"/>
          <w:color w:val="000000"/>
          <w:lang w:eastAsia="pl-PL"/>
        </w:rPr>
        <w:t xml:space="preserve">, co głównie było wynikiem przekroczenia wartości EQS w biocie substancji takich jak: difenyloetery bromowane (33,5%) oraz heptachlor (22,9%). Z kolei stan/potencjał ekologiczny w </w:t>
      </w:r>
      <w:r w:rsidR="00DF005E">
        <w:rPr>
          <w:rFonts w:eastAsia="Times New Roman" w:cs="Calibri"/>
          <w:color w:val="000000"/>
          <w:lang w:eastAsia="pl-PL"/>
        </w:rPr>
        <w:t>JCWP</w:t>
      </w:r>
      <w:r w:rsidRPr="00795F17">
        <w:rPr>
          <w:rFonts w:eastAsia="Times New Roman" w:cs="Calibri"/>
          <w:color w:val="000000"/>
          <w:lang w:eastAsia="pl-PL"/>
        </w:rPr>
        <w:t xml:space="preserve"> LW był przede wszystkim determinowany przez umiarkowany stan/potencjał ekologiczny (36,3%). Do elementów decydujących o ocenie stanu/potencjału ekologicznego poniżej dobrego przede wszystkim można zaliczyć:</w:t>
      </w:r>
    </w:p>
    <w:p w14:paraId="7EF38E5D" w14:textId="77777777" w:rsidR="00083143" w:rsidRPr="00DC4CCC" w:rsidRDefault="00083143" w:rsidP="00117E86">
      <w:pPr>
        <w:pStyle w:val="Listapunktowana2"/>
      </w:pPr>
      <w:r w:rsidRPr="00DC4CCC">
        <w:t>elementy biologiczne: fitoplankton (57,7%), makrofity (17,1%);</w:t>
      </w:r>
    </w:p>
    <w:p w14:paraId="60A97ECB" w14:textId="77777777" w:rsidR="00083143" w:rsidRPr="00DC4CCC" w:rsidRDefault="00083143" w:rsidP="00117E86">
      <w:pPr>
        <w:pStyle w:val="Listapunktowana2"/>
      </w:pPr>
      <w:r w:rsidRPr="00DC4CCC">
        <w:t>elementy fizykochemiczne (grupa 3.1-3.5): przezroczystość (33,2%), azot ogólny (22,1%);</w:t>
      </w:r>
    </w:p>
    <w:p w14:paraId="61721912" w14:textId="799D24F3" w:rsidR="00083143" w:rsidRPr="00DC4CCC" w:rsidRDefault="00083143" w:rsidP="00117E86">
      <w:pPr>
        <w:pStyle w:val="Listapunktowana2"/>
      </w:pPr>
      <w:r w:rsidRPr="00DC4CCC">
        <w:t>elementy fizykochemiczne (</w:t>
      </w:r>
      <w:r w:rsidR="00093895">
        <w:t xml:space="preserve">grupa </w:t>
      </w:r>
      <w:r w:rsidRPr="00DC4CCC">
        <w:t>3.6): aldehyd mrówkowy (81,5%).</w:t>
      </w:r>
    </w:p>
    <w:p w14:paraId="7138B3E2" w14:textId="21D18E81" w:rsidR="00083143" w:rsidRPr="00795F17" w:rsidRDefault="00DF005E" w:rsidP="00083143">
      <w:pPr>
        <w:pStyle w:val="Nagwek5"/>
        <w:spacing w:before="120" w:after="120"/>
        <w:rPr>
          <w:b w:val="0"/>
          <w:bCs/>
          <w:color w:val="000000"/>
          <w:lang w:eastAsia="pl-PL"/>
        </w:rPr>
      </w:pPr>
      <w:r>
        <w:rPr>
          <w:bCs/>
          <w:color w:val="000000"/>
          <w:lang w:eastAsia="pl-PL"/>
        </w:rPr>
        <w:t>JCWP</w:t>
      </w:r>
      <w:r w:rsidR="00083143" w:rsidRPr="00795F17">
        <w:rPr>
          <w:bCs/>
          <w:color w:val="000000"/>
          <w:lang w:eastAsia="pl-PL"/>
        </w:rPr>
        <w:t xml:space="preserve"> </w:t>
      </w:r>
      <w:r w:rsidR="001C3A0F" w:rsidRPr="00795F17">
        <w:rPr>
          <w:bCs/>
          <w:color w:val="000000"/>
          <w:lang w:eastAsia="pl-PL"/>
        </w:rPr>
        <w:t>TW i CW</w:t>
      </w:r>
    </w:p>
    <w:p w14:paraId="2759D7F8" w14:textId="7783E9AD" w:rsidR="00083143" w:rsidRPr="00795F17" w:rsidRDefault="00083143" w:rsidP="00083143">
      <w:r w:rsidRPr="00795F17">
        <w:rPr>
          <w:rFonts w:eastAsia="Times New Roman" w:cs="Calibri"/>
          <w:color w:val="000000"/>
          <w:lang w:eastAsia="pl-PL"/>
        </w:rPr>
        <w:t xml:space="preserve">W przypadku wszystkich </w:t>
      </w:r>
      <w:r w:rsidR="00DF005E">
        <w:rPr>
          <w:rFonts w:eastAsia="Times New Roman" w:cs="Calibri"/>
          <w:color w:val="000000"/>
          <w:lang w:eastAsia="pl-PL"/>
        </w:rPr>
        <w:t>JCWP</w:t>
      </w:r>
      <w:r w:rsidRPr="00795F17">
        <w:rPr>
          <w:rFonts w:eastAsia="Times New Roman" w:cs="Calibri"/>
          <w:color w:val="000000"/>
          <w:lang w:eastAsia="pl-PL"/>
        </w:rPr>
        <w:t xml:space="preserve"> </w:t>
      </w:r>
      <w:r w:rsidR="001C3A0F" w:rsidRPr="00795F17">
        <w:rPr>
          <w:rFonts w:eastAsia="Times New Roman" w:cs="Calibri"/>
          <w:color w:val="000000"/>
          <w:lang w:eastAsia="pl-PL"/>
        </w:rPr>
        <w:t>TW i CW</w:t>
      </w:r>
      <w:r w:rsidRPr="00795F17">
        <w:rPr>
          <w:rFonts w:eastAsia="Times New Roman" w:cs="Calibri"/>
          <w:color w:val="000000"/>
          <w:lang w:eastAsia="pl-PL"/>
        </w:rPr>
        <w:t xml:space="preserve"> wykazano zły stan wód, co związane było z odnotowaniem stanu chemicznego poniżej dobrego oraz stanu/potencjału ekologicznego umiarkowanego albo</w:t>
      </w:r>
      <w:r w:rsidR="009A2275" w:rsidRPr="00795F17">
        <w:rPr>
          <w:rFonts w:eastAsia="Times New Roman" w:cs="Calibri"/>
          <w:color w:val="000000"/>
          <w:lang w:eastAsia="pl-PL"/>
        </w:rPr>
        <w:t> </w:t>
      </w:r>
      <w:r w:rsidRPr="00795F17">
        <w:rPr>
          <w:rFonts w:eastAsia="Times New Roman" w:cs="Calibri"/>
          <w:color w:val="000000"/>
          <w:lang w:eastAsia="pl-PL"/>
        </w:rPr>
        <w:t xml:space="preserve">gorszego (100%). Stan chemiczny poniżej dobrego głównie spowodowany był przez przekroczenie wartości EQS w biocie następujących substancji: difenyloetery bromowane (27,7%), rtęć i jej związki (24,1%) oraz heptachlor (22,1%). Z kolei stan/potencjał ekologiczny w </w:t>
      </w:r>
      <w:r w:rsidR="00DF005E">
        <w:rPr>
          <w:rFonts w:eastAsia="Times New Roman" w:cs="Calibri"/>
          <w:color w:val="000000"/>
          <w:lang w:eastAsia="pl-PL"/>
        </w:rPr>
        <w:t>JCWP</w:t>
      </w:r>
      <w:r w:rsidRPr="00795F17">
        <w:rPr>
          <w:rFonts w:eastAsia="Times New Roman" w:cs="Calibri"/>
          <w:color w:val="000000"/>
          <w:lang w:eastAsia="pl-PL"/>
        </w:rPr>
        <w:t xml:space="preserve"> </w:t>
      </w:r>
      <w:r w:rsidR="001C3A0F" w:rsidRPr="00795F17">
        <w:rPr>
          <w:rFonts w:eastAsia="Times New Roman" w:cs="Calibri"/>
          <w:color w:val="000000"/>
          <w:lang w:eastAsia="pl-PL"/>
        </w:rPr>
        <w:t>TW i CW</w:t>
      </w:r>
      <w:r w:rsidRPr="00795F17">
        <w:rPr>
          <w:rFonts w:eastAsia="Times New Roman" w:cs="Calibri"/>
          <w:color w:val="000000"/>
          <w:lang w:eastAsia="pl-PL"/>
        </w:rPr>
        <w:t xml:space="preserve"> był przede wszystkim wynikiem złego stanu/potencjału ekologicznego (47,4%). Do elementów decydujących o</w:t>
      </w:r>
      <w:r w:rsidR="001B7F16" w:rsidRPr="00795F17">
        <w:rPr>
          <w:rFonts w:eastAsia="Times New Roman" w:cs="Calibri"/>
          <w:color w:val="000000"/>
          <w:lang w:eastAsia="pl-PL"/>
        </w:rPr>
        <w:t> </w:t>
      </w:r>
      <w:r w:rsidRPr="00795F17">
        <w:rPr>
          <w:rFonts w:eastAsia="Times New Roman" w:cs="Calibri"/>
          <w:color w:val="000000"/>
          <w:lang w:eastAsia="pl-PL"/>
        </w:rPr>
        <w:t>ocenie stanu/potencjału ekologicznego poniżej dobrego przede wszystkim można zaliczyć:</w:t>
      </w:r>
    </w:p>
    <w:p w14:paraId="3CBF0A1A" w14:textId="72B044D4" w:rsidR="00083143" w:rsidRPr="00DC4CCC" w:rsidRDefault="00083143" w:rsidP="005635FD">
      <w:pPr>
        <w:pStyle w:val="Listapunktowana2"/>
        <w:numPr>
          <w:ilvl w:val="0"/>
          <w:numId w:val="104"/>
        </w:numPr>
      </w:pPr>
      <w:r w:rsidRPr="00DC4CCC">
        <w:t>elementy biologiczne: fitoplankton (48%), makrobezkręgowce bentosowe (44%);</w:t>
      </w:r>
    </w:p>
    <w:p w14:paraId="07F36C74" w14:textId="2838A07A" w:rsidR="00083143" w:rsidRPr="00DC4CCC" w:rsidRDefault="00083143" w:rsidP="005635FD">
      <w:pPr>
        <w:pStyle w:val="Listapunktowana2"/>
        <w:numPr>
          <w:ilvl w:val="0"/>
          <w:numId w:val="104"/>
        </w:numPr>
      </w:pPr>
      <w:r w:rsidRPr="00DC4CCC">
        <w:t>elementy fizykochemiczne (grupa 3.1-3.5): substancje biogenne</w:t>
      </w:r>
      <w:r w:rsidR="00F67BE1">
        <w:t>,</w:t>
      </w:r>
      <w:r w:rsidRPr="00DC4CCC">
        <w:t xml:space="preserve"> w tym: azot ogólny (22%), azot azotanowy (16,9%), fosfor ogólny (14,3%), azot mineralny (14,3%);</w:t>
      </w:r>
    </w:p>
    <w:p w14:paraId="190D7341" w14:textId="2F0DCD2D" w:rsidR="00EE5F17" w:rsidRPr="00DC4CCC" w:rsidRDefault="00083143" w:rsidP="005635FD">
      <w:pPr>
        <w:pStyle w:val="Listapunktowana2"/>
        <w:numPr>
          <w:ilvl w:val="0"/>
          <w:numId w:val="104"/>
        </w:numPr>
      </w:pPr>
      <w:r w:rsidRPr="00DC4CCC">
        <w:t>elementy fizykochemiczne (</w:t>
      </w:r>
      <w:r w:rsidR="00093895">
        <w:t xml:space="preserve">grupa </w:t>
      </w:r>
      <w:r w:rsidRPr="00DC4CCC">
        <w:t>3.6): aldehyd mrówkowy (50%), selen (50%).</w:t>
      </w:r>
    </w:p>
    <w:p w14:paraId="1AAC4002" w14:textId="37C924CF" w:rsidR="00462DD4" w:rsidRPr="00795F17" w:rsidRDefault="00462DD4" w:rsidP="00A22ED2">
      <w:pPr>
        <w:pStyle w:val="Nagwek2"/>
      </w:pPr>
      <w:bookmarkStart w:id="195" w:name="_Toc66272270"/>
      <w:bookmarkStart w:id="196" w:name="_Toc66347797"/>
      <w:bookmarkStart w:id="197" w:name="_Toc105512644"/>
      <w:r w:rsidRPr="00795F17">
        <w:t>Wody podziemne</w:t>
      </w:r>
      <w:bookmarkEnd w:id="195"/>
      <w:bookmarkEnd w:id="196"/>
      <w:bookmarkEnd w:id="197"/>
    </w:p>
    <w:p w14:paraId="5D204FB6" w14:textId="77777777" w:rsidR="00462DD4" w:rsidRPr="00795F17" w:rsidRDefault="00462DD4" w:rsidP="00A22ED2">
      <w:pPr>
        <w:pStyle w:val="Nagwek3"/>
      </w:pPr>
      <w:bookmarkStart w:id="198" w:name="_Toc105512645"/>
      <w:r w:rsidRPr="00795F17">
        <w:t>Monitoring wód podziemnych</w:t>
      </w:r>
      <w:bookmarkEnd w:id="198"/>
    </w:p>
    <w:p w14:paraId="3B9EE1CB" w14:textId="4E29035E" w:rsidR="00462DD4" w:rsidRPr="00795F17" w:rsidRDefault="00462DD4" w:rsidP="0044393D">
      <w:r w:rsidRPr="00795F17">
        <w:t xml:space="preserve">Zgodnie z </w:t>
      </w:r>
      <w:r w:rsidR="008C5E88">
        <w:t>postanowieniami</w:t>
      </w:r>
      <w:r w:rsidRPr="00795F17">
        <w:t xml:space="preserve"> </w:t>
      </w:r>
      <w:r w:rsidRPr="00795F17">
        <w:rPr>
          <w:lang w:eastAsia="pl-PL"/>
        </w:rPr>
        <w:t xml:space="preserve">r.m.jcw </w:t>
      </w:r>
      <w:r w:rsidRPr="00795F17">
        <w:t xml:space="preserve">monitoring </w:t>
      </w:r>
      <w:r w:rsidR="00DF005E">
        <w:t>JCWP</w:t>
      </w:r>
      <w:r w:rsidRPr="00795F17">
        <w:t>d prowadzi się w</w:t>
      </w:r>
      <w:r w:rsidR="005C3901" w:rsidRPr="00795F17">
        <w:t xml:space="preserve"> </w:t>
      </w:r>
      <w:r w:rsidRPr="00795F17">
        <w:t>sposób umożliwiający:</w:t>
      </w:r>
    </w:p>
    <w:p w14:paraId="5948F911" w14:textId="77777777" w:rsidR="00462DD4" w:rsidRPr="00795F17" w:rsidRDefault="00462DD4" w:rsidP="002757E9">
      <w:pPr>
        <w:pStyle w:val="Numerowanie"/>
        <w:numPr>
          <w:ilvl w:val="0"/>
          <w:numId w:val="44"/>
        </w:numPr>
      </w:pPr>
      <w:r w:rsidRPr="00795F17">
        <w:t>dokonywanie oceny stanu jednolitych części wód podziemnych;</w:t>
      </w:r>
    </w:p>
    <w:p w14:paraId="5F87F696" w14:textId="5BD3B2C5" w:rsidR="00462DD4" w:rsidRPr="00795F17" w:rsidRDefault="00462DD4" w:rsidP="0044393D">
      <w:pPr>
        <w:pStyle w:val="Numerowanie"/>
      </w:pPr>
      <w:r w:rsidRPr="00795F17">
        <w:t>wykrycie znaczących i</w:t>
      </w:r>
      <w:r w:rsidR="0063281F" w:rsidRPr="00795F17">
        <w:t xml:space="preserve"> </w:t>
      </w:r>
      <w:r w:rsidRPr="00795F17">
        <w:t>utrzymujących się trendów wzrostu stężeń zanieczyszczeń spowodowanych oddziaływaniami antropogenicznymi;</w:t>
      </w:r>
    </w:p>
    <w:p w14:paraId="7E0BCA88" w14:textId="56FB91AE" w:rsidR="00462DD4" w:rsidRPr="00795F17" w:rsidRDefault="00462DD4" w:rsidP="0044393D">
      <w:pPr>
        <w:pStyle w:val="Numerowanie"/>
      </w:pPr>
      <w:r w:rsidRPr="00795F17">
        <w:t>ustalenie wpływu stanu jednolitych części wód podziemnych na obszary chronione uwzględnione w wykazach obszarów chronionych, o</w:t>
      </w:r>
      <w:r w:rsidR="0063281F" w:rsidRPr="00795F17">
        <w:t xml:space="preserve"> </w:t>
      </w:r>
      <w:r w:rsidRPr="00795F17">
        <w:t>których mowa w art. 317 ust. 4 pkt 1 i </w:t>
      </w:r>
      <w:r w:rsidR="00EF0A65">
        <w:t xml:space="preserve">pkt </w:t>
      </w:r>
      <w:r w:rsidRPr="00795F17">
        <w:t xml:space="preserve">4 </w:t>
      </w:r>
      <w:r w:rsidR="008C5E88">
        <w:t>pr.w</w:t>
      </w:r>
      <w:r w:rsidRPr="00795F17">
        <w:t>.</w:t>
      </w:r>
    </w:p>
    <w:p w14:paraId="2565AEC8" w14:textId="53D7A0FD" w:rsidR="00462DD4" w:rsidRPr="00795F17" w:rsidRDefault="00462DD4" w:rsidP="002757E9">
      <w:pPr>
        <w:pStyle w:val="Nagwek4"/>
        <w:numPr>
          <w:ilvl w:val="3"/>
          <w:numId w:val="53"/>
        </w:numPr>
      </w:pPr>
      <w:r w:rsidRPr="00795F17">
        <w:t xml:space="preserve">Monitoring stanu chemicznego </w:t>
      </w:r>
      <w:r w:rsidR="00DF005E">
        <w:t>JCWP</w:t>
      </w:r>
      <w:r w:rsidRPr="00795F17">
        <w:t>d</w:t>
      </w:r>
    </w:p>
    <w:p w14:paraId="48EEED5F" w14:textId="6D7451D7" w:rsidR="00462DD4" w:rsidRPr="00795F17" w:rsidRDefault="00462DD4" w:rsidP="0044393D">
      <w:r w:rsidRPr="00795F17">
        <w:t xml:space="preserve">Monitoring stanu chemicznego </w:t>
      </w:r>
      <w:r w:rsidR="00DF005E">
        <w:t>JCWP</w:t>
      </w:r>
      <w:r w:rsidRPr="00795F17">
        <w:t>d jest prowadzony w ramach PMŚ.</w:t>
      </w:r>
    </w:p>
    <w:p w14:paraId="111530A1" w14:textId="76907842" w:rsidR="00462DD4" w:rsidRPr="00795F17" w:rsidRDefault="00462DD4" w:rsidP="0044393D">
      <w:bookmarkStart w:id="199" w:name="_Hlk65936188"/>
      <w:r w:rsidRPr="00795F17">
        <w:rPr>
          <w:lang w:eastAsia="pl-PL"/>
        </w:rPr>
        <w:t>R.m.jcw</w:t>
      </w:r>
      <w:r w:rsidRPr="00795F17">
        <w:t xml:space="preserve"> </w:t>
      </w:r>
      <w:bookmarkEnd w:id="199"/>
      <w:r w:rsidRPr="00795F17">
        <w:t>przewiduje, że w ramach monitoringu chemicznego wód podziemnych prowadzi się</w:t>
      </w:r>
      <w:r w:rsidR="00F67BE1">
        <w:t xml:space="preserve"> </w:t>
      </w:r>
      <w:r w:rsidR="003E6167">
        <w:t>MD</w:t>
      </w:r>
      <w:r w:rsidRPr="00795F17">
        <w:t xml:space="preserve"> i </w:t>
      </w:r>
      <w:r w:rsidR="003E6167">
        <w:t>MO</w:t>
      </w:r>
      <w:r w:rsidRPr="00795F17">
        <w:t xml:space="preserve">. </w:t>
      </w:r>
    </w:p>
    <w:p w14:paraId="74F73F2A" w14:textId="55B7FDC8" w:rsidR="00462DD4" w:rsidRPr="00795F17" w:rsidRDefault="00462DD4" w:rsidP="0044393D">
      <w:r w:rsidRPr="00795F17">
        <w:t xml:space="preserve">Monitoring stanu chemicznego jest prowadzony w celu otrzymania spójnego i całościowego obrazu stanu chemicznego wód podziemnych w ramach każdego </w:t>
      </w:r>
      <w:r w:rsidR="0080582C" w:rsidRPr="00795F17">
        <w:t xml:space="preserve">obszaru </w:t>
      </w:r>
      <w:r w:rsidRPr="00795F17">
        <w:t>dorzecza oraz wykrycia długoterminowych antropogenicznych tendencji wzrostu poziomu zanieczyszczeń.</w:t>
      </w:r>
    </w:p>
    <w:p w14:paraId="4C3F34AE" w14:textId="77777777" w:rsidR="00462DD4" w:rsidRPr="00795F17" w:rsidRDefault="00462DD4" w:rsidP="0044393D">
      <w:pPr>
        <w:pStyle w:val="Nagwek5"/>
      </w:pPr>
      <w:r w:rsidRPr="00795F17">
        <w:t>Monitoring diagnostyczny</w:t>
      </w:r>
    </w:p>
    <w:p w14:paraId="2FD4CBF5" w14:textId="30671308" w:rsidR="00462DD4" w:rsidRPr="00795F17" w:rsidRDefault="00CC151A" w:rsidP="0044393D">
      <w:r>
        <w:t>MD</w:t>
      </w:r>
      <w:r w:rsidR="00462DD4" w:rsidRPr="00795F17">
        <w:t xml:space="preserve"> stanu chemicznego jednolitych części wód podziemnych ustala się w celu uzupełnienia i sprawdzenia procedury oceny wpływu oddziaływań oraz oceny znaczących i</w:t>
      </w:r>
      <w:r w:rsidR="005C577B">
        <w:t> </w:t>
      </w:r>
      <w:r w:rsidR="00462DD4" w:rsidRPr="00795F17">
        <w:t>utrzymujących się trendów wzrostu stężeń zanieczyszczeń, w obu przypadkach wynikających z</w:t>
      </w:r>
      <w:r w:rsidR="005C577B">
        <w:t> </w:t>
      </w:r>
      <w:r w:rsidR="00462DD4" w:rsidRPr="00795F17">
        <w:t>warunków naturalnych i oddziaływań antropogenicznych.</w:t>
      </w:r>
    </w:p>
    <w:p w14:paraId="11A13A31" w14:textId="70DCE54A" w:rsidR="00462DD4" w:rsidRPr="00795F17" w:rsidRDefault="00CC151A" w:rsidP="0044393D">
      <w:r>
        <w:t>MD</w:t>
      </w:r>
      <w:r w:rsidR="00462DD4" w:rsidRPr="00795F17">
        <w:t xml:space="preserve"> stanu chemicznego </w:t>
      </w:r>
      <w:r w:rsidR="00DF005E">
        <w:t>JCWP</w:t>
      </w:r>
      <w:r w:rsidR="00462DD4" w:rsidRPr="00795F17">
        <w:t>d prowadzi się dla jednolitych części wód podziemnych, które dostarczają średniorocznie powyżej 100</w:t>
      </w:r>
      <w:r w:rsidR="0063281F" w:rsidRPr="00795F17">
        <w:t> </w:t>
      </w:r>
      <w:r w:rsidR="00462DD4" w:rsidRPr="00795F17">
        <w:t>m</w:t>
      </w:r>
      <w:r w:rsidR="00462DD4" w:rsidRPr="00795F17">
        <w:rPr>
          <w:vertAlign w:val="superscript"/>
        </w:rPr>
        <w:t>3</w:t>
      </w:r>
      <w:r w:rsidR="00462DD4" w:rsidRPr="00795F17">
        <w:t xml:space="preserve"> na dobę wody przeznaczonej do</w:t>
      </w:r>
      <w:r w:rsidR="005B1E05" w:rsidRPr="00795F17">
        <w:t> </w:t>
      </w:r>
      <w:r w:rsidR="00462DD4" w:rsidRPr="00795F17">
        <w:t xml:space="preserve">spożycia przez ludzi. Wymóg ten jest transpozycją </w:t>
      </w:r>
      <w:r w:rsidR="00281443">
        <w:t>postanowień</w:t>
      </w:r>
      <w:r w:rsidR="00281443" w:rsidRPr="00795F17">
        <w:t xml:space="preserve"> </w:t>
      </w:r>
      <w:r w:rsidR="00462DD4" w:rsidRPr="00795F17">
        <w:t xml:space="preserve">RDW, artykuł 7 oraz załącznik V </w:t>
      </w:r>
      <w:r w:rsidR="00EC4A0D">
        <w:t>d</w:t>
      </w:r>
      <w:r w:rsidR="00462DD4" w:rsidRPr="00795F17">
        <w:t xml:space="preserve">yrektywy. W związku z tym, że w każdej z wydzielonych 66 </w:t>
      </w:r>
      <w:r w:rsidR="00DF005E">
        <w:t>JCWP</w:t>
      </w:r>
      <w:r w:rsidR="00462DD4" w:rsidRPr="00795F17">
        <w:t xml:space="preserve">d </w:t>
      </w:r>
      <w:r w:rsidR="00C6555F">
        <w:t>na</w:t>
      </w:r>
      <w:r w:rsidR="00462DD4" w:rsidRPr="00795F17">
        <w:t xml:space="preserve"> obszarze dorzecza Odry ma</w:t>
      </w:r>
      <w:r w:rsidR="009A2275" w:rsidRPr="00795F17">
        <w:t> </w:t>
      </w:r>
      <w:r w:rsidR="00462DD4" w:rsidRPr="00795F17">
        <w:t>miejsce pobór wód podziemnych przekraczający 100</w:t>
      </w:r>
      <w:r w:rsidR="0063281F" w:rsidRPr="00795F17">
        <w:t> </w:t>
      </w:r>
      <w:r w:rsidR="00462DD4" w:rsidRPr="00795F17">
        <w:t>m</w:t>
      </w:r>
      <w:r w:rsidR="00462DD4" w:rsidRPr="00795F17">
        <w:rPr>
          <w:vertAlign w:val="superscript"/>
        </w:rPr>
        <w:t>3</w:t>
      </w:r>
      <w:r w:rsidR="00462DD4" w:rsidRPr="00795F17">
        <w:t xml:space="preserve"> na dobę, do </w:t>
      </w:r>
      <w:r>
        <w:t>MD</w:t>
      </w:r>
      <w:r w:rsidR="00462DD4" w:rsidRPr="00795F17">
        <w:t xml:space="preserve"> stanu chemicznego wskazane są wszystkie </w:t>
      </w:r>
      <w:r w:rsidR="00DF005E">
        <w:t>JCWP</w:t>
      </w:r>
      <w:r w:rsidR="00462DD4" w:rsidRPr="00795F17">
        <w:t xml:space="preserve">d </w:t>
      </w:r>
      <w:r w:rsidR="00C6555F">
        <w:t>na</w:t>
      </w:r>
      <w:r w:rsidR="00462DD4" w:rsidRPr="00795F17">
        <w:t xml:space="preserve"> obszarze dorzecza Odry.</w:t>
      </w:r>
    </w:p>
    <w:p w14:paraId="71422883" w14:textId="1436E042" w:rsidR="00462DD4" w:rsidRPr="00795F17" w:rsidRDefault="00462DD4" w:rsidP="0044393D">
      <w:bookmarkStart w:id="200" w:name="_Hlk65932463"/>
      <w:r w:rsidRPr="00795F17">
        <w:t xml:space="preserve">R.m.jcw </w:t>
      </w:r>
      <w:bookmarkEnd w:id="200"/>
      <w:r w:rsidRPr="00795F17">
        <w:t>określa zakres 55 parametrów fizykochemicznych, które mogą być uwzględnione w</w:t>
      </w:r>
      <w:r w:rsidR="00AD50EE" w:rsidRPr="00795F17">
        <w:t> </w:t>
      </w:r>
      <w:r w:rsidRPr="00795F17">
        <w:t>monitoringu stanu chemicznego. Wśród wymienionych 55 wskaźników, ustawodawca wyróżnił 5</w:t>
      </w:r>
      <w:r w:rsidR="005B1E05" w:rsidRPr="00795F17">
        <w:t> </w:t>
      </w:r>
      <w:r w:rsidRPr="00795F17">
        <w:t xml:space="preserve">elementów ogólnych i 27 elementów nieorganicznych jako obligatoryjne dla </w:t>
      </w:r>
      <w:r w:rsidR="005A0781">
        <w:t>MD</w:t>
      </w:r>
      <w:r w:rsidRPr="00795F17">
        <w:t xml:space="preserve">; muszą one być zawsze oznaczane w ramach jego realizacji. Ponadto jako parametry nieobligatoryjne wskazano 10 elementów nieorganicznych i 13 elementów organicznych. Ustanowienie szerokiej listy wskaźników oznaczanych w ramach </w:t>
      </w:r>
      <w:r w:rsidR="00392FE8">
        <w:t>MD</w:t>
      </w:r>
      <w:r w:rsidRPr="00795F17">
        <w:t xml:space="preserve"> jest uzasadnione ze względu na cel, jaki przyświeca temu monitoringowi, tj. m.in. monitorowanie tła hydrogeochemicznego oraz obserwacje naturalnych i wymuszonych presją tendencji zmian stężeń wskaźników fizykochemicznych.</w:t>
      </w:r>
    </w:p>
    <w:p w14:paraId="12192B12" w14:textId="19A2C517" w:rsidR="00462DD4" w:rsidRPr="00795F17" w:rsidRDefault="00462DD4" w:rsidP="0044393D">
      <w:r w:rsidRPr="00795F17">
        <w:t xml:space="preserve">Częstotliwość wykonywania badań w </w:t>
      </w:r>
      <w:r w:rsidR="00392FE8">
        <w:t>MD</w:t>
      </w:r>
      <w:r w:rsidRPr="00795F17">
        <w:t xml:space="preserve"> stanu chemicznego zdefiniowano </w:t>
      </w:r>
      <w:r w:rsidR="0021228D">
        <w:t>w r</w:t>
      </w:r>
      <w:r w:rsidR="0021228D" w:rsidRPr="00795F17">
        <w:t xml:space="preserve">.m.jcw </w:t>
      </w:r>
      <w:r w:rsidRPr="00795F17">
        <w:t>następująco: „</w:t>
      </w:r>
      <w:r w:rsidR="00392FE8">
        <w:t>MD</w:t>
      </w:r>
      <w:r w:rsidRPr="00795F17">
        <w:t xml:space="preserve"> stanu chemicznego </w:t>
      </w:r>
      <w:r w:rsidR="00DF005E">
        <w:t>JCWP</w:t>
      </w:r>
      <w:r w:rsidRPr="00795F17">
        <w:t>d prowadzi się przynajmniej raz</w:t>
      </w:r>
      <w:r w:rsidR="00C6555F">
        <w:t xml:space="preserve"> </w:t>
      </w:r>
      <w:r w:rsidRPr="00795F17">
        <w:t>w</w:t>
      </w:r>
      <w:r w:rsidR="005B1E05" w:rsidRPr="00795F17">
        <w:t> </w:t>
      </w:r>
      <w:r w:rsidRPr="00795F17">
        <w:t>ciągu 6-letniego cyklu aktualizacji planu gospodarowania wodami na obszarze dorzecza”, co</w:t>
      </w:r>
      <w:r w:rsidR="009A2275" w:rsidRPr="00795F17">
        <w:t> </w:t>
      </w:r>
      <w:r w:rsidRPr="00795F17">
        <w:t>jest</w:t>
      </w:r>
      <w:r w:rsidR="009A2275" w:rsidRPr="00795F17">
        <w:t> </w:t>
      </w:r>
      <w:r w:rsidRPr="00795F17">
        <w:t xml:space="preserve">dokładną transpozycją </w:t>
      </w:r>
      <w:r w:rsidR="008C5E88">
        <w:t>postanowień</w:t>
      </w:r>
      <w:r w:rsidRPr="00795F17">
        <w:t xml:space="preserve"> RDW. W latach 2022</w:t>
      </w:r>
      <w:r w:rsidR="00DA1674">
        <w:t>–</w:t>
      </w:r>
      <w:r w:rsidRPr="00795F17">
        <w:t xml:space="preserve">2027, planowane jest przeprowadzenie </w:t>
      </w:r>
      <w:r w:rsidR="00392FE8">
        <w:t>MD</w:t>
      </w:r>
      <w:r w:rsidRPr="00795F17">
        <w:t xml:space="preserve"> w pierwszym roku cyklu, tj. w roku 2022. W</w:t>
      </w:r>
      <w:r w:rsidR="00E57918">
        <w:t> </w:t>
      </w:r>
      <w:r w:rsidRPr="00795F17">
        <w:t xml:space="preserve">pozostałych latach badania będą kontynuowane w ramach </w:t>
      </w:r>
      <w:r w:rsidR="00392FE8">
        <w:t>MO</w:t>
      </w:r>
      <w:r w:rsidRPr="00795F17">
        <w:t xml:space="preserve">. Opracowanie raportu dotyczącego oceny stanu </w:t>
      </w:r>
      <w:r w:rsidR="00DF005E">
        <w:t>JCWP</w:t>
      </w:r>
      <w:r w:rsidRPr="00795F17">
        <w:t>d planowane jest w roku następującym po monitoringu diagnostycznym, czyli w</w:t>
      </w:r>
      <w:r w:rsidR="00AD50EE" w:rsidRPr="00795F17">
        <w:t> </w:t>
      </w:r>
      <w:r w:rsidRPr="00795F17">
        <w:t>2023</w:t>
      </w:r>
      <w:r w:rsidR="009052AA" w:rsidRPr="00795F17">
        <w:t> </w:t>
      </w:r>
      <w:r w:rsidRPr="00795F17">
        <w:t xml:space="preserve">r. </w:t>
      </w:r>
    </w:p>
    <w:p w14:paraId="6A960038" w14:textId="146FBEED" w:rsidR="00462DD4" w:rsidRPr="00795F17" w:rsidRDefault="00462DD4" w:rsidP="0044393D">
      <w:bookmarkStart w:id="201" w:name="_Hlk65932537"/>
      <w:r w:rsidRPr="00795F17">
        <w:t xml:space="preserve">Wykonawcą monitoringu chemicznego jest </w:t>
      </w:r>
      <w:r w:rsidR="005F3138" w:rsidRPr="00795F17">
        <w:t>PIG-</w:t>
      </w:r>
      <w:r w:rsidRPr="00795F17">
        <w:t xml:space="preserve">PIB. W ramach </w:t>
      </w:r>
      <w:r w:rsidR="00392FE8">
        <w:t>MD</w:t>
      </w:r>
      <w:r w:rsidRPr="00795F17">
        <w:t xml:space="preserve"> sposób poboru, kondycjonowania i transportu próbek do laboratorium jest zgodny z zakresem akredytacji laboratoriów PIG-PIB AB283 </w:t>
      </w:r>
      <w:bookmarkEnd w:id="201"/>
      <w:r w:rsidRPr="00795F17">
        <w:t xml:space="preserve">na pobieranie próbek i badania właściwości fizycznych wody. Stosowane są metody zgodne ze znowelizowanymi normami PN-ISO 5667-11:2017-10 z wyłączeniem pkt 5.2, 6.1.2, 6.3 (w zakresie pobierania próbek wód podziemnych), PN-77/C-04584 (w zakresie pomiaru temperatury wody), PN-EN ISO 10523:2012 (w zakresie pomiaru odczynu pH metodą potencjometryczną), PN-EN 27888:1999 (w zakresie pomiaru przewodności elektrolitycznej właściwej metodą konduktometryczną), procedurą badawczą ZPPŚ PB-201 (w zakresie oznaczania tlenu rozpuszczonego w próbkach wód podziemnych) i procedurą badawczą ZPPŚ PB-202 (w zakresie pomiaru głębokości zwierciadła wód podziemnych). </w:t>
      </w:r>
      <w:bookmarkStart w:id="202" w:name="_Hlk65932564"/>
      <w:bookmarkStart w:id="203" w:name="_Hlk65933796"/>
      <w:r w:rsidRPr="00795F17">
        <w:t>Wyłączenia wynikają z faktu</w:t>
      </w:r>
      <w:r w:rsidR="00251ED8" w:rsidRPr="00795F17">
        <w:t>,</w:t>
      </w:r>
      <w:r w:rsidRPr="00795F17">
        <w:t xml:space="preserve"> iż dotyczą metod poboru próbek, które nie mają zastosowania w ramach monitoringu chemicznego PIG-PIB.</w:t>
      </w:r>
      <w:bookmarkEnd w:id="202"/>
      <w:r w:rsidRPr="00795F17">
        <w:t xml:space="preserve"> </w:t>
      </w:r>
      <w:bookmarkEnd w:id="203"/>
      <w:r w:rsidRPr="00795F17">
        <w:t xml:space="preserve">Analiza próbek odbywa się zgodnie z zasadami opisanymi w załączniku </w:t>
      </w:r>
      <w:r w:rsidR="003F1582">
        <w:t>nr</w:t>
      </w:r>
      <w:r w:rsidRPr="00795F17" w:rsidDel="008A222C">
        <w:t xml:space="preserve"> </w:t>
      </w:r>
      <w:r w:rsidR="008A222C">
        <w:t>8</w:t>
      </w:r>
      <w:r w:rsidRPr="00795F17">
        <w:t xml:space="preserve"> do </w:t>
      </w:r>
      <w:r w:rsidRPr="00795F17">
        <w:rPr>
          <w:lang w:eastAsia="pl-PL"/>
        </w:rPr>
        <w:t>r.m.jcw</w:t>
      </w:r>
      <w:r w:rsidRPr="00795F17">
        <w:t xml:space="preserve"> </w:t>
      </w:r>
      <w:r w:rsidRPr="00795F17">
        <w:rPr>
          <w:i/>
          <w:iCs/>
        </w:rPr>
        <w:t>Metodyki referencyjne pomiarów i badań w ramach monitoringu jednolitych części wód powierzchniowych i</w:t>
      </w:r>
      <w:r w:rsidR="00AD50EE" w:rsidRPr="00795F17">
        <w:rPr>
          <w:i/>
          <w:iCs/>
        </w:rPr>
        <w:t> </w:t>
      </w:r>
      <w:r w:rsidR="00DF005E">
        <w:rPr>
          <w:i/>
          <w:iCs/>
        </w:rPr>
        <w:t>JCWP</w:t>
      </w:r>
      <w:r w:rsidRPr="00795F17">
        <w:rPr>
          <w:i/>
          <w:iCs/>
        </w:rPr>
        <w:t>d</w:t>
      </w:r>
      <w:r w:rsidRPr="00795F17">
        <w:t>.</w:t>
      </w:r>
    </w:p>
    <w:p w14:paraId="17934468" w14:textId="77777777" w:rsidR="00462DD4" w:rsidRPr="00795F17" w:rsidRDefault="00462DD4" w:rsidP="0044393D">
      <w:pPr>
        <w:pStyle w:val="Nagwek5"/>
      </w:pPr>
      <w:r w:rsidRPr="00795F17">
        <w:t>Monitoring operacyjny</w:t>
      </w:r>
    </w:p>
    <w:p w14:paraId="07B3F804" w14:textId="14F30BA9" w:rsidR="00462DD4" w:rsidRPr="00795F17" w:rsidRDefault="003A67F0" w:rsidP="0044393D">
      <w:r>
        <w:t>MO</w:t>
      </w:r>
      <w:r w:rsidR="00462DD4" w:rsidRPr="00795F17">
        <w:t xml:space="preserve"> stanu chemicznego </w:t>
      </w:r>
      <w:r w:rsidR="00DF005E">
        <w:t>JCWP</w:t>
      </w:r>
      <w:r w:rsidR="00462DD4" w:rsidRPr="00795F17">
        <w:t xml:space="preserve">d ustala się w celu oceny stanu chemicznego </w:t>
      </w:r>
      <w:r w:rsidR="00DF005E">
        <w:t>JCWP</w:t>
      </w:r>
      <w:r w:rsidR="00462DD4" w:rsidRPr="00795F17">
        <w:t>d uznanych za zagrożone nie</w:t>
      </w:r>
      <w:r w:rsidR="0064673B" w:rsidRPr="00795F17">
        <w:t>osiągnięciem</w:t>
      </w:r>
      <w:r w:rsidR="00462DD4" w:rsidRPr="00795F17">
        <w:t xml:space="preserve"> określonych dla nich celów środowiskowych, o których mowa w art. 59 pr.w., oraz w celu stwierdzenia występowania znaczących i utrzymujących się trendów wzrostu stężeń zanieczyszczeń spowodowanych oddziaływaniami antropogenicznymi.</w:t>
      </w:r>
    </w:p>
    <w:p w14:paraId="1E3E67B4" w14:textId="4B132172" w:rsidR="00462DD4" w:rsidRPr="00795F17" w:rsidRDefault="00462DD4" w:rsidP="0044393D">
      <w:bookmarkStart w:id="204" w:name="_Hlk65932591"/>
      <w:r w:rsidRPr="00795F17">
        <w:t xml:space="preserve">Art. 59 pr.w. określa następujące cele środowiskowe dla </w:t>
      </w:r>
      <w:r w:rsidR="00DF005E">
        <w:t>JCWP</w:t>
      </w:r>
      <w:r w:rsidRPr="00795F17">
        <w:t>d:</w:t>
      </w:r>
    </w:p>
    <w:p w14:paraId="5B1D2B59" w14:textId="77777777" w:rsidR="00462DD4" w:rsidRPr="00795F17" w:rsidRDefault="00462DD4" w:rsidP="002757E9">
      <w:pPr>
        <w:pStyle w:val="Numerowanie"/>
        <w:numPr>
          <w:ilvl w:val="0"/>
          <w:numId w:val="45"/>
        </w:numPr>
      </w:pPr>
      <w:r w:rsidRPr="00795F17">
        <w:t>zapobieganie lub ograniczanie wprowadzania do nich zanieczyszczeń;</w:t>
      </w:r>
    </w:p>
    <w:p w14:paraId="0914CFB3" w14:textId="77777777" w:rsidR="00462DD4" w:rsidRPr="00795F17" w:rsidRDefault="00462DD4" w:rsidP="0044393D">
      <w:pPr>
        <w:pStyle w:val="Numerowanie"/>
      </w:pPr>
      <w:r w:rsidRPr="00795F17">
        <w:t>zapobieganie pogorszeniu oraz poprawa ich stanu;</w:t>
      </w:r>
    </w:p>
    <w:p w14:paraId="7E70BBBF" w14:textId="77777777" w:rsidR="00462DD4" w:rsidRPr="00795F17" w:rsidRDefault="00462DD4" w:rsidP="0044393D">
      <w:pPr>
        <w:pStyle w:val="Numerowanie"/>
      </w:pPr>
      <w:r w:rsidRPr="00795F17">
        <w:t>ich ochrona i podejmowanie działań naprawczych, a także zapewnianie równowagi między poborem a zasilaniem tych wód, tak aby osiągnąć ich dobry stan.</w:t>
      </w:r>
    </w:p>
    <w:bookmarkEnd w:id="204"/>
    <w:p w14:paraId="45DF97A8" w14:textId="242303DD" w:rsidR="00462DD4" w:rsidRPr="00795F17" w:rsidRDefault="003A67F0" w:rsidP="0044393D">
      <w:r>
        <w:t>MO</w:t>
      </w:r>
      <w:r w:rsidR="00462DD4" w:rsidRPr="00795F17">
        <w:t xml:space="preserve"> stanu chemicznego </w:t>
      </w:r>
      <w:r w:rsidR="00DF005E">
        <w:t>JCWP</w:t>
      </w:r>
      <w:r>
        <w:t>d</w:t>
      </w:r>
      <w:r w:rsidR="00462DD4" w:rsidRPr="00795F17">
        <w:t xml:space="preserve"> prowadzi się dla </w:t>
      </w:r>
      <w:r w:rsidR="00DF005E">
        <w:t>JCWP</w:t>
      </w:r>
      <w:r>
        <w:t>d</w:t>
      </w:r>
      <w:r w:rsidR="00462DD4" w:rsidRPr="00795F17">
        <w:t xml:space="preserve"> uznanych, na podstawie </w:t>
      </w:r>
      <w:r>
        <w:t>MD</w:t>
      </w:r>
      <w:r w:rsidR="00462DD4" w:rsidRPr="00795F17">
        <w:t xml:space="preserve"> oraz oceny wpływu oddziaływań, za zagrożone nie</w:t>
      </w:r>
      <w:r w:rsidR="00FC6F27">
        <w:t>osiągnięcie</w:t>
      </w:r>
      <w:r w:rsidR="00462DD4" w:rsidRPr="00795F17">
        <w:t>m określonych dla nich celów środowiskowych, o których mowa w art. 59 pr.w.</w:t>
      </w:r>
    </w:p>
    <w:p w14:paraId="2DC9D8E1" w14:textId="0B7FE0E9" w:rsidR="00462DD4" w:rsidRPr="00795F17" w:rsidRDefault="00462DD4" w:rsidP="00251ED8">
      <w:r w:rsidRPr="00795F17">
        <w:t xml:space="preserve">Zgodnie z poszerzonymi charakterystykami </w:t>
      </w:r>
      <w:r w:rsidR="00DF005E">
        <w:t>JCWP</w:t>
      </w:r>
      <w:r w:rsidRPr="00795F17">
        <w:t>d</w:t>
      </w:r>
      <w:r w:rsidRPr="00795F17">
        <w:rPr>
          <w:rStyle w:val="Odwoanieprzypisudolnego"/>
        </w:rPr>
        <w:footnoteReference w:id="35"/>
      </w:r>
      <w:r w:rsidRPr="00795F17">
        <w:t xml:space="preserve"> </w:t>
      </w:r>
      <w:r w:rsidR="00FD3CA2">
        <w:t>na</w:t>
      </w:r>
      <w:r w:rsidRPr="00795F17">
        <w:t xml:space="preserve"> </w:t>
      </w:r>
      <w:r w:rsidR="004D4E5D" w:rsidRPr="00795F17">
        <w:t xml:space="preserve">obszarze </w:t>
      </w:r>
      <w:r w:rsidRPr="00795F17">
        <w:t>dorzecza Odry wskazano łącznie 21</w:t>
      </w:r>
      <w:r w:rsidR="007B3EFE" w:rsidRPr="00795F17">
        <w:t> </w:t>
      </w:r>
      <w:r w:rsidR="00DF005E">
        <w:t>JCWP</w:t>
      </w:r>
      <w:r w:rsidRPr="00795F17">
        <w:t>d zagrożonych nieosiągnięciem celów środowiskowych w cyklu planistycznym 2022</w:t>
      </w:r>
      <w:r w:rsidR="001A6DE9">
        <w:t>–</w:t>
      </w:r>
      <w:r w:rsidRPr="00795F17">
        <w:t xml:space="preserve">2027. Przyczyną wskazania </w:t>
      </w:r>
      <w:r w:rsidR="00DF005E">
        <w:t>JCWP</w:t>
      </w:r>
      <w:r w:rsidRPr="00795F17">
        <w:t>d jako zagrożonej nieosiągnięciem celów środowiskowych były presje</w:t>
      </w:r>
      <w:r w:rsidR="007B3EFE" w:rsidRPr="00795F17">
        <w:t>:</w:t>
      </w:r>
      <w:r w:rsidRPr="00795F17">
        <w:t xml:space="preserve"> chemiczna (5</w:t>
      </w:r>
      <w:r w:rsidR="005B1E05" w:rsidRPr="00795F17">
        <w:t> </w:t>
      </w:r>
      <w:r w:rsidR="00DF005E">
        <w:t>JCWP</w:t>
      </w:r>
      <w:r w:rsidRPr="00795F17">
        <w:t xml:space="preserve">d, w tym 70, 78, 110, 127, 155), ilościowa (6 </w:t>
      </w:r>
      <w:r w:rsidR="00DF005E">
        <w:t>JCWP</w:t>
      </w:r>
      <w:r w:rsidRPr="00795F17">
        <w:t xml:space="preserve">d, w tym 9, 62, 71, 83, 105, 124) oraz presja zarówno chemiczna, jak i ilościowa (10 </w:t>
      </w:r>
      <w:r w:rsidR="00DF005E">
        <w:t>JCWP</w:t>
      </w:r>
      <w:r w:rsidRPr="00795F17">
        <w:t xml:space="preserve">d, w tym 1, 43, 60, 76, 79, 95, 128, 129, 143, 144). Ogólna powierzchnia wszystkich </w:t>
      </w:r>
      <w:r w:rsidR="00DF005E">
        <w:t>JCWP</w:t>
      </w:r>
      <w:r w:rsidRPr="00795F17">
        <w:t>d wskazanych jako zagrożone wynosi 34</w:t>
      </w:r>
      <w:r w:rsidR="0073172A" w:rsidRPr="00795F17">
        <w:t> </w:t>
      </w:r>
      <w:r w:rsidRPr="00795F17">
        <w:t>695</w:t>
      </w:r>
      <w:r w:rsidR="0073172A" w:rsidRPr="00795F17">
        <w:t> </w:t>
      </w:r>
      <w:r w:rsidRPr="00795F17">
        <w:t>km</w:t>
      </w:r>
      <w:r w:rsidRPr="00795F17">
        <w:rPr>
          <w:vertAlign w:val="superscript"/>
        </w:rPr>
        <w:t>2</w:t>
      </w:r>
      <w:r w:rsidRPr="00795F17">
        <w:t>, co</w:t>
      </w:r>
      <w:r w:rsidR="0073172A" w:rsidRPr="00795F17">
        <w:t> </w:t>
      </w:r>
      <w:r w:rsidRPr="00795F17">
        <w:t>stanowi ok</w:t>
      </w:r>
      <w:r w:rsidR="00FD3CA2">
        <w:t>oło</w:t>
      </w:r>
      <w:r w:rsidRPr="00795F17">
        <w:t xml:space="preserve"> 29% obszaru dorzecza Odry, a presja ilościowa ma większy obszar oddziaływania niż presja chemiczna. </w:t>
      </w:r>
    </w:p>
    <w:p w14:paraId="33920934" w14:textId="6E580D66" w:rsidR="00462DD4" w:rsidRPr="00795F17" w:rsidRDefault="00462DD4" w:rsidP="00251ED8">
      <w:r w:rsidRPr="00795F17">
        <w:t>Wyboru wskaźników wskazanych do oznaczania podczas badań w monitoringu operacyjnym dokonuje się spośród 55 wymienionych w załączniku nr 6 do ww. rozporządzenia, charakteryzujących rodzaj zidentyfikowanych oddziaływań antropogenicznych w procedurze oceny presji, mających wpływ na</w:t>
      </w:r>
      <w:r w:rsidR="005B1E05" w:rsidRPr="00795F17">
        <w:t> </w:t>
      </w:r>
      <w:r w:rsidRPr="00795F17">
        <w:t xml:space="preserve">badane wody podziemne oraz tych elementów fizykochemicznych, których wartości stwierdzone na podstawie </w:t>
      </w:r>
      <w:r w:rsidR="00924349">
        <w:t>MD</w:t>
      </w:r>
      <w:r w:rsidRPr="00795F17">
        <w:t xml:space="preserve"> stanu chemicznego jednolitych części wód podziemnych są wyższe od wartości progowej dobrego stanu chemicznego.</w:t>
      </w:r>
    </w:p>
    <w:p w14:paraId="0477E517" w14:textId="4A18EBD4" w:rsidR="00462DD4" w:rsidRPr="00795F17" w:rsidRDefault="00462DD4" w:rsidP="00251ED8">
      <w:r w:rsidRPr="00795F17">
        <w:t xml:space="preserve">Przeprowadzona w ramach aktualizacji charakterystyki </w:t>
      </w:r>
      <w:r w:rsidR="00DF005E">
        <w:t>JCWP</w:t>
      </w:r>
      <w:r w:rsidRPr="00795F17">
        <w:t>d ocena ryzyka nieosiągnięcia celów środowiskowych wyróżnia dwa rodzaje presji tj. presję chemiczną i presję ilościową. Dodatkowo, w</w:t>
      </w:r>
      <w:r w:rsidR="005B1E05" w:rsidRPr="00795F17">
        <w:t> </w:t>
      </w:r>
      <w:r w:rsidRPr="00795F17">
        <w:t>ramach presji chemicznej można rozróżnić presję, w której dominują czynniki komunalno-rolnicze oraz przemysłowo-urbanizacyjne. W przypadku pierwszego rodzaju presji za główne wskaźniki zanieczyszczenia przyjmuje się składniki biogenne (związki azotu, fosfor), ale także: chlorki, siarczany, bor, potas oraz pestycydy</w:t>
      </w:r>
      <w:r w:rsidRPr="00795F17">
        <w:rPr>
          <w:rStyle w:val="Odwoanieprzypisudolnego"/>
        </w:rPr>
        <w:footnoteReference w:id="36"/>
      </w:r>
      <w:r w:rsidRPr="00795F17">
        <w:t xml:space="preserve">. Wyniki monitoringu </w:t>
      </w:r>
      <w:r w:rsidR="00DF005E">
        <w:t>JCWP</w:t>
      </w:r>
      <w:r w:rsidRPr="00795F17">
        <w:t>d w zakresie stanu chemicznego prowadzone w</w:t>
      </w:r>
      <w:r w:rsidR="005B1E05" w:rsidRPr="00795F17">
        <w:t> </w:t>
      </w:r>
      <w:r w:rsidRPr="00795F17">
        <w:t>latach 2009</w:t>
      </w:r>
      <w:r w:rsidR="00EC4A0D">
        <w:t>–</w:t>
      </w:r>
      <w:r w:rsidRPr="00795F17">
        <w:t>2019 wskazują jednak, że na terenach użytkowanych rolniczo występują również związki organiczne z innych grup, takie jak jedno- i wielopierścieniowe węglowodory aromatyczne, tri-</w:t>
      </w:r>
      <w:r w:rsidR="005C577B">
        <w:t> </w:t>
      </w:r>
      <w:r w:rsidRPr="00795F17">
        <w:t>i</w:t>
      </w:r>
      <w:r w:rsidR="00287988" w:rsidRPr="00795F17">
        <w:t> </w:t>
      </w:r>
      <w:r w:rsidRPr="00795F17">
        <w:t>tetrachloroeten, benzo(a)piren, BTX. W przypadku presji przemysłowo-urbanizacyjnej za główne wskaźniki zanieczyszczeń uznaje się metale takie jak ołów, cynk, rtęć, bar, chrom, nikiel, arsen, kadm, ale również: sód, chlorki, jon amonowy oraz związki organiczne tri- i tetrachloroeten, WWA, BTX</w:t>
      </w:r>
      <w:r w:rsidR="000D3F7C" w:rsidRPr="00795F17">
        <w:rPr>
          <w:vertAlign w:val="superscript"/>
        </w:rPr>
        <w:t>26</w:t>
      </w:r>
      <w:r w:rsidRPr="00795F17">
        <w:t>. W</w:t>
      </w:r>
      <w:r w:rsidR="005B1E05" w:rsidRPr="00795F17">
        <w:t> </w:t>
      </w:r>
      <w:r w:rsidRPr="00795F17">
        <w:t xml:space="preserve">przypadku presji ilościowej, zakres wskaźników indykatywnych powinien uwzględniać potencjalne zmiany w chemizmie wód na skutek zmian dynamiki zasilania, w szczególności występowania zjawisk ascenzji i ingresji wód zasolonych. Za takie uważa się: przewodność elektrolityczną właściwą, sód, siarczany, bar, jak również nikiel, glin, kadm i ołów. </w:t>
      </w:r>
    </w:p>
    <w:p w14:paraId="069C44A1" w14:textId="753E326E" w:rsidR="00462DD4" w:rsidRPr="00795F17" w:rsidRDefault="00462DD4" w:rsidP="00251ED8">
      <w:r w:rsidRPr="00795F17">
        <w:t xml:space="preserve">Zgodnie z Programem monitoringu </w:t>
      </w:r>
      <w:r w:rsidR="00DF005E">
        <w:t>JCWP</w:t>
      </w:r>
      <w:r w:rsidRPr="00795F17">
        <w:t>d</w:t>
      </w:r>
      <w:r w:rsidRPr="00795F17">
        <w:rPr>
          <w:rStyle w:val="Odwoanieprzypisudolnego"/>
        </w:rPr>
        <w:footnoteReference w:id="37"/>
      </w:r>
      <w:r w:rsidRPr="00795F17">
        <w:t xml:space="preserve"> zakres badanych wskaźników w poszczególnych </w:t>
      </w:r>
      <w:r w:rsidR="00DF005E">
        <w:t>JCWP</w:t>
      </w:r>
      <w:r w:rsidRPr="00795F17">
        <w:t xml:space="preserve">d będzie dostosowany do rodzaju presji. Ostateczny zakres wskaźników do objęcia badaniami w ramach </w:t>
      </w:r>
      <w:r w:rsidR="00924349">
        <w:t>MO</w:t>
      </w:r>
      <w:r w:rsidRPr="00795F17">
        <w:t xml:space="preserve"> będzie ustalany po uzyskaniu wyników </w:t>
      </w:r>
      <w:r w:rsidR="00F00729">
        <w:t>MD</w:t>
      </w:r>
      <w:r w:rsidRPr="00795F17">
        <w:t xml:space="preserve">, gdyż zgodnie z </w:t>
      </w:r>
      <w:r w:rsidR="008C5E88">
        <w:t>postanowieniami</w:t>
      </w:r>
      <w:r w:rsidRPr="00795F17">
        <w:t xml:space="preserve"> rozporządzenia, monitoring operacyjny powinien również zawierać wszystkie wskaźniki, dla których stwierdzono przekroczenia stężeń progowych podczas realizacji </w:t>
      </w:r>
      <w:r w:rsidR="00F00729">
        <w:t>MD</w:t>
      </w:r>
      <w:r w:rsidRPr="00795F17">
        <w:t>.</w:t>
      </w:r>
    </w:p>
    <w:p w14:paraId="34017A7A" w14:textId="2EA9C9EA" w:rsidR="00462DD4" w:rsidRPr="00795F17" w:rsidRDefault="00462DD4" w:rsidP="00251ED8">
      <w:r w:rsidRPr="00795F17">
        <w:t xml:space="preserve">Zgodnie z obowiązującym rozporządzeniem </w:t>
      </w:r>
      <w:r w:rsidR="00F00729">
        <w:t>MO</w:t>
      </w:r>
      <w:r w:rsidRPr="00795F17">
        <w:t xml:space="preserve"> należy prowadzić z częstotliwością nie mniejszą niż raz na rok. W cyklu planistycznym 2022</w:t>
      </w:r>
      <w:r w:rsidR="00DA1674">
        <w:t>–</w:t>
      </w:r>
      <w:r w:rsidRPr="00795F17">
        <w:t xml:space="preserve">2027 planuje się kontynuację dotychczasowej praktyki realizacji </w:t>
      </w:r>
      <w:r w:rsidR="00F00729">
        <w:t>MO</w:t>
      </w:r>
      <w:r w:rsidRPr="00795F17">
        <w:t xml:space="preserve"> z częstotliwością dwa razy w roku</w:t>
      </w:r>
      <w:r w:rsidR="00437D5C">
        <w:t xml:space="preserve"> - monitoring operacyjny będzie prowadzony corocznie w latach 2023–2027, poza rokiem 2022, w którym jest wykonywany monitoring diagnostyczny.</w:t>
      </w:r>
    </w:p>
    <w:p w14:paraId="37C477AF" w14:textId="309AA8EC" w:rsidR="00462DD4" w:rsidRPr="00795F17" w:rsidRDefault="00462DD4" w:rsidP="00251ED8">
      <w:r w:rsidRPr="00795F17">
        <w:t>W przypadku monitoringu operacyjnego sposób poboru, kondycjonowania i transportu próbek do</w:t>
      </w:r>
      <w:r w:rsidR="005B1E05" w:rsidRPr="00795F17">
        <w:t> </w:t>
      </w:r>
      <w:r w:rsidRPr="00795F17">
        <w:t>laboratorium jest taki sam jak w monitoringu diagnostycznym.</w:t>
      </w:r>
    </w:p>
    <w:p w14:paraId="0730347E" w14:textId="3D8071C4" w:rsidR="00462DD4" w:rsidRPr="00795F17" w:rsidRDefault="00462DD4" w:rsidP="0044393D">
      <w:pPr>
        <w:pStyle w:val="Nagwek4"/>
      </w:pPr>
      <w:r w:rsidRPr="00795F17">
        <w:t xml:space="preserve">Monitoring stanu ilościowego </w:t>
      </w:r>
      <w:r w:rsidR="00DF005E">
        <w:t>JCWP</w:t>
      </w:r>
      <w:r w:rsidRPr="00795F17">
        <w:t>d</w:t>
      </w:r>
    </w:p>
    <w:p w14:paraId="5F5A76ED" w14:textId="42B3EEDF" w:rsidR="00462DD4" w:rsidRPr="00795F17" w:rsidRDefault="00462DD4" w:rsidP="004B7734">
      <w:pPr>
        <w:keepNext/>
      </w:pPr>
      <w:r w:rsidRPr="00795F17">
        <w:t xml:space="preserve">Monitoring stanu ilościowego wód podziemnych realizuje </w:t>
      </w:r>
      <w:r w:rsidR="0084142D">
        <w:t xml:space="preserve">państwowa służba hydrogeologiczna </w:t>
      </w:r>
      <w:r w:rsidRPr="00795F17">
        <w:t>poprzez:</w:t>
      </w:r>
    </w:p>
    <w:p w14:paraId="2C9141EF" w14:textId="77777777" w:rsidR="00462DD4" w:rsidRPr="00795F17" w:rsidRDefault="00462DD4" w:rsidP="002757E9">
      <w:pPr>
        <w:pStyle w:val="Numerowanie"/>
        <w:numPr>
          <w:ilvl w:val="0"/>
          <w:numId w:val="46"/>
        </w:numPr>
      </w:pPr>
      <w:r w:rsidRPr="00795F17">
        <w:t>pomiar położenia zwierciadła wody, wyrażonego w m p.p.t., lub ciśnienia (w otworach ujmujących wody ze zwierciadłem stabilizującym się powyżej poziomu terenu), wyrażonego w metrach słupa wody,</w:t>
      </w:r>
    </w:p>
    <w:p w14:paraId="5B9B2D83" w14:textId="77777777" w:rsidR="00462DD4" w:rsidRPr="00795F17" w:rsidRDefault="00462DD4" w:rsidP="0044393D">
      <w:pPr>
        <w:pStyle w:val="Numerowanie"/>
      </w:pPr>
      <w:r w:rsidRPr="00795F17">
        <w:t>pomiar wydajności w ujętych źródłach, wyrażonej w l/s,</w:t>
      </w:r>
    </w:p>
    <w:p w14:paraId="6B2DE390" w14:textId="0BDFCB30" w:rsidR="00462DD4" w:rsidRPr="00795F17" w:rsidRDefault="00174EA7" w:rsidP="0044393D">
      <w:pPr>
        <w:pStyle w:val="Numerowanie"/>
      </w:pPr>
      <w:r w:rsidRPr="00712B9D">
        <w:t xml:space="preserve">wielkości średniego wieloletniego poboru rzeczywistego wód podziemnych </w:t>
      </w:r>
      <w:r>
        <w:t xml:space="preserve">w </w:t>
      </w:r>
      <w:r w:rsidR="00DF005E">
        <w:t>JCWP</w:t>
      </w:r>
      <w:r w:rsidR="00462DD4" w:rsidRPr="00795F17">
        <w:t>d, wyrażonego w m</w:t>
      </w:r>
      <w:r w:rsidR="00462DD4" w:rsidRPr="00795F17">
        <w:rPr>
          <w:vertAlign w:val="superscript"/>
        </w:rPr>
        <w:t>3</w:t>
      </w:r>
      <w:r w:rsidR="00462DD4" w:rsidRPr="00795F17">
        <w:t xml:space="preserve"> na dobę,</w:t>
      </w:r>
    </w:p>
    <w:p w14:paraId="5A7FF782" w14:textId="1E31BDED" w:rsidR="00462DD4" w:rsidRPr="00795F17" w:rsidRDefault="00462DD4" w:rsidP="0044393D">
      <w:pPr>
        <w:pStyle w:val="Numerowanie"/>
      </w:pPr>
      <w:r w:rsidRPr="00795F17">
        <w:t xml:space="preserve">określenie ilości dostępnych zasobów wód podziemnych w </w:t>
      </w:r>
      <w:r w:rsidR="00DF005E">
        <w:t>JCWP</w:t>
      </w:r>
      <w:r w:rsidRPr="00795F17">
        <w:t>d, wyrażonej w m</w:t>
      </w:r>
      <w:r w:rsidRPr="00795F17">
        <w:rPr>
          <w:vertAlign w:val="superscript"/>
        </w:rPr>
        <w:t>3</w:t>
      </w:r>
      <w:r w:rsidRPr="00795F17">
        <w:t xml:space="preserve"> na dobę.</w:t>
      </w:r>
    </w:p>
    <w:p w14:paraId="7A471B27" w14:textId="77777777" w:rsidR="00462DD4" w:rsidRPr="00795F17" w:rsidRDefault="00462DD4" w:rsidP="0044393D">
      <w:pPr>
        <w:pStyle w:val="Nagwek5"/>
      </w:pPr>
      <w:r w:rsidRPr="00795F17">
        <w:t>Monitoring położenia zwierciadła wody i wydajności źródeł</w:t>
      </w:r>
    </w:p>
    <w:p w14:paraId="14E99AB6" w14:textId="559A66D2" w:rsidR="00462DD4" w:rsidRPr="00795F17" w:rsidRDefault="00462DD4" w:rsidP="004B7734">
      <w:r w:rsidRPr="00795F17">
        <w:t>Monitoring położenia zwierciadła wód podziemnych i wydajności źródeł obejmuje wykonywanie cyklicznych, systematycznych pomiarów położenia zwierciadła wód podziemnych w otworach obserwacyjnych lub wydajności źródeł w punktach sieci obserwacyjno-badawczej wód podziemnych SOBWP. Monitoringiem położenia zwierciadła wody objęte są zarówno punkty ujmujące wody o</w:t>
      </w:r>
      <w:r w:rsidR="005B1E05" w:rsidRPr="00795F17">
        <w:t> </w:t>
      </w:r>
      <w:r w:rsidRPr="00795F17">
        <w:t>zwierciadle swobodnym (najczęściej płytkie, nieizolowane poziomy wodonośne, będące w kontakcie z ekosystemami lądowymi), jak i te ujmujące wody o zwierciadle napiętym (poziomy izolowane, często stanowiące główne użytkowe poziomy wodonośne, będące źródłem zbiorowego zaopatrzenia w</w:t>
      </w:r>
      <w:r w:rsidR="005B1E05" w:rsidRPr="00795F17">
        <w:t> </w:t>
      </w:r>
      <w:r w:rsidRPr="00795F17">
        <w:t>wodę). Pomiary są wykonywane na stacjach hydrogeologicznych.</w:t>
      </w:r>
    </w:p>
    <w:p w14:paraId="60E0EF30" w14:textId="05AF2711" w:rsidR="00462DD4" w:rsidRPr="00795F17" w:rsidRDefault="00462DD4" w:rsidP="004B7734">
      <w:r w:rsidRPr="00795F17">
        <w:t>Częstotliwość pomiarów zależy od trybu ich realizacji. Punkty wyposażone w automatykę pomiarową dostarczają pomiaru położenia zwierciadła wody 1 raz na dobę. Punkty, w których pomiary są</w:t>
      </w:r>
      <w:r w:rsidR="0014774B" w:rsidRPr="00795F17">
        <w:t> </w:t>
      </w:r>
      <w:r w:rsidRPr="00795F17">
        <w:t>wykonywane w trybie manualnym, dostarczają pomiaru z częstotliwością 1 raz na tydzień, a pomiar jest wykonywany w każdy poniedziałek o godzinie 6:00 UTC.</w:t>
      </w:r>
    </w:p>
    <w:p w14:paraId="3044F1AF" w14:textId="77777777" w:rsidR="00462DD4" w:rsidRPr="00795F17" w:rsidRDefault="00462DD4" w:rsidP="0044393D">
      <w:pPr>
        <w:pStyle w:val="Nagwek5"/>
      </w:pPr>
      <w:r w:rsidRPr="00795F17">
        <w:t>Pobór wód podziemnych</w:t>
      </w:r>
    </w:p>
    <w:p w14:paraId="5FF899F8" w14:textId="77777777" w:rsidR="00462DD4" w:rsidRPr="00795F17" w:rsidRDefault="00462DD4" w:rsidP="003D7BF3">
      <w:pPr>
        <w:keepNext/>
      </w:pPr>
      <w:r w:rsidRPr="00795F17">
        <w:t>Przy określaniu ilości poboru wód podziemnych brane są pod uwagę dwie składowe poboru rzeczywistego:</w:t>
      </w:r>
    </w:p>
    <w:p w14:paraId="5F379F4D" w14:textId="502F0215" w:rsidR="00462DD4" w:rsidRPr="00795F17" w:rsidRDefault="00462DD4" w:rsidP="005635FD">
      <w:pPr>
        <w:pStyle w:val="Listapunktowana2"/>
        <w:numPr>
          <w:ilvl w:val="0"/>
          <w:numId w:val="103"/>
        </w:numPr>
      </w:pPr>
      <w:r w:rsidRPr="00795F17">
        <w:t>pobór opomiarowany, obejmujący usługi wodne polegające na zapewnieniu gospodarstwom domowym, podmiotom publicznym oraz podmiotom prowadzącym działalność gospodarczą możliwość korzystania z wód oraz odwodnienia górnicze</w:t>
      </w:r>
      <w:r w:rsidR="00EC4A0D">
        <w:t>;</w:t>
      </w:r>
    </w:p>
    <w:p w14:paraId="73E72F80" w14:textId="1F065BDB" w:rsidR="00462DD4" w:rsidRPr="00795F17" w:rsidRDefault="00462DD4" w:rsidP="005635FD">
      <w:pPr>
        <w:pStyle w:val="Listapunktowana2"/>
        <w:numPr>
          <w:ilvl w:val="0"/>
          <w:numId w:val="103"/>
        </w:numPr>
      </w:pPr>
      <w:r w:rsidRPr="00795F17">
        <w:t>pobór nieopomiarowany, obejmujący sumaryczną ilość wód pobieranych w ramach tzw.</w:t>
      </w:r>
      <w:r w:rsidR="00076A3D" w:rsidRPr="00795F17">
        <w:t> </w:t>
      </w:r>
      <w:r w:rsidRPr="00795F17">
        <w:t xml:space="preserve">zwykłego korzystania z wód, służącego zaspokojeniu potrzeb własnego gospodarstwa domowego lub własnego gospodarstwa rolnego. </w:t>
      </w:r>
    </w:p>
    <w:p w14:paraId="07163C3D" w14:textId="2382B2AD" w:rsidR="00462DD4" w:rsidRPr="00795F17" w:rsidRDefault="00895854" w:rsidP="0044393D">
      <w:r w:rsidRPr="00795F17">
        <w:t xml:space="preserve">Dane dotyczące rzeczywistego poboru wód podziemnych są ewidencjonowane w bazie opłatowej </w:t>
      </w:r>
      <w:r>
        <w:t>EDEN, do której wprowadzone są przez Zarządy Zlewni PGW Wody Polskie oświadczenia za usługi wodne poszczególnych podmiotów.</w:t>
      </w:r>
      <w:r w:rsidR="00462DD4" w:rsidRPr="00795F17">
        <w:t xml:space="preserve"> Identyfikacja ujęć w bazie jest oparta na numerach pozwoleń i zgód wodnoprawnych. Uzyskane wartości są weryfikowane o dane statystyczne,</w:t>
      </w:r>
      <w:r w:rsidR="00D146C3" w:rsidRPr="00795F17">
        <w:t xml:space="preserve"> </w:t>
      </w:r>
      <w:r w:rsidR="00462DD4" w:rsidRPr="00795F17">
        <w:t>opracowane przez</w:t>
      </w:r>
      <w:r w:rsidR="00D146C3" w:rsidRPr="00795F17">
        <w:t xml:space="preserve"> </w:t>
      </w:r>
      <w:r w:rsidR="00462DD4" w:rsidRPr="00795F17">
        <w:t xml:space="preserve">Urząd Statystyczny w Białymstoku. Dane w zakresie odwadniania kopalni pozyskiwane są przez PIG-PIB bezpośrednio z zakładów górniczych poprzez ankietyzację, </w:t>
      </w:r>
      <w:bookmarkStart w:id="207" w:name="_Hlk65932645"/>
      <w:r w:rsidR="00462DD4" w:rsidRPr="00795F17">
        <w:t>w której uczestniczy ok</w:t>
      </w:r>
      <w:r w:rsidR="00FE7C68">
        <w:t>oło</w:t>
      </w:r>
      <w:r w:rsidR="00462DD4" w:rsidRPr="00795F17">
        <w:t xml:space="preserve"> 200 zakładów górniczych</w:t>
      </w:r>
      <w:bookmarkEnd w:id="207"/>
      <w:r w:rsidR="00462DD4" w:rsidRPr="00795F17">
        <w:t>. Wielkość poboru nierejestrowanego nie jest ewidencjonowana i jest określana na drodze szacunkowych obliczeń za</w:t>
      </w:r>
      <w:r w:rsidR="005B1E05" w:rsidRPr="00795F17">
        <w:t> </w:t>
      </w:r>
      <w:r w:rsidR="00462DD4" w:rsidRPr="00795F17">
        <w:t>pomocą szerokiego spektrum metod</w:t>
      </w:r>
      <w:r w:rsidR="00462DD4" w:rsidRPr="00795F17">
        <w:rPr>
          <w:rStyle w:val="Odwoanieprzypisudolnego"/>
        </w:rPr>
        <w:footnoteReference w:id="38"/>
      </w:r>
      <w:r w:rsidR="00462DD4" w:rsidRPr="00795F17">
        <w:t>.</w:t>
      </w:r>
    </w:p>
    <w:p w14:paraId="7B1191A6" w14:textId="794D29B1" w:rsidR="00462DD4" w:rsidRPr="00795F17" w:rsidRDefault="00462DD4" w:rsidP="0044393D">
      <w:r w:rsidRPr="00795F17">
        <w:t xml:space="preserve">Dane opomiarowane powinny być dostępne raz na rok, w miarę przekazania danych przez </w:t>
      </w:r>
      <w:r w:rsidR="0028234C" w:rsidRPr="00795F17">
        <w:t>PGW WP</w:t>
      </w:r>
      <w:r w:rsidRPr="00795F17">
        <w:t>. Dane nieopomiarowane dostępne są w zależności od możliwości wykorzystania danych ze spisów powszechnych (2020</w:t>
      </w:r>
      <w:r w:rsidR="00DA1674">
        <w:t>–</w:t>
      </w:r>
      <w:r w:rsidRPr="00795F17">
        <w:t xml:space="preserve">2021). </w:t>
      </w:r>
    </w:p>
    <w:p w14:paraId="6C0D94EC" w14:textId="77777777" w:rsidR="00462DD4" w:rsidRPr="00795F17" w:rsidRDefault="00462DD4" w:rsidP="0044393D">
      <w:pPr>
        <w:pStyle w:val="Nagwek5"/>
      </w:pPr>
      <w:bookmarkStart w:id="208" w:name="_Hlk65932658"/>
      <w:r w:rsidRPr="00795F17">
        <w:t>Zasoby dyspozycyjne wód podziemnych</w:t>
      </w:r>
      <w:bookmarkEnd w:id="208"/>
    </w:p>
    <w:p w14:paraId="6017193E" w14:textId="29F5026E" w:rsidR="00462DD4" w:rsidRPr="00795F17" w:rsidRDefault="00462DD4" w:rsidP="0044393D">
      <w:r w:rsidRPr="00795F17">
        <w:t>Zasoby dyspozycyjne wód podziemnych są ustalane w ramach dokumentacji hydrogeologicznej dla</w:t>
      </w:r>
      <w:r w:rsidR="005B1E05" w:rsidRPr="00795F17">
        <w:t> </w:t>
      </w:r>
      <w:r w:rsidRPr="00795F17">
        <w:t>jednostki bilansowej wód podziemnych, w określonych warunkach środowiska i</w:t>
      </w:r>
      <w:r w:rsidR="005B1E05" w:rsidRPr="00795F17">
        <w:t> </w:t>
      </w:r>
      <w:r w:rsidRPr="00795F17">
        <w:t>hydrogeologicznych (</w:t>
      </w:r>
      <w:bookmarkStart w:id="209" w:name="_Hlk65932676"/>
      <w:r w:rsidR="002B3A3C" w:rsidRPr="00795F17">
        <w:t>r</w:t>
      </w:r>
      <w:r w:rsidRPr="00795F17">
        <w:t xml:space="preserve">ozporządzenie Ministra Środowiska </w:t>
      </w:r>
      <w:bookmarkEnd w:id="209"/>
      <w:r w:rsidRPr="00795F17">
        <w:t>z dnia 18 listopada 2016 r. w sprawie dokumentacji hydrogeologicznej i dokumentacji geologiczno-inżynierskiej</w:t>
      </w:r>
      <w:r w:rsidR="00DA1674">
        <w:t>,</w:t>
      </w:r>
      <w:r w:rsidR="00E34D63">
        <w:t xml:space="preserve"> </w:t>
      </w:r>
      <w:r w:rsidR="00D146C3" w:rsidRPr="00795F17">
        <w:t>Dz.U.</w:t>
      </w:r>
      <w:r w:rsidRPr="00795F17">
        <w:t xml:space="preserve"> poz. 2033). </w:t>
      </w:r>
    </w:p>
    <w:p w14:paraId="713054EF" w14:textId="19779EC0" w:rsidR="00462DD4" w:rsidRPr="00795F17" w:rsidRDefault="00462DD4" w:rsidP="0044393D">
      <w:r w:rsidRPr="00795F17">
        <w:t xml:space="preserve">Dla całego obszaru kraju dostępne są wartości modułowe pozwalające na przeliczenie wielkości zasobów dyspozycyjnych (ZD) w jednostkach bilansowych wód podziemnych, tj. w obszarach bilansowych i rejonach wodno-gospodarczych, które są przeliczane na wielkość zasobów dostępnych do zagospodarowania w poszczególnych </w:t>
      </w:r>
      <w:r w:rsidR="00DF005E">
        <w:t>JCWP</w:t>
      </w:r>
      <w:r w:rsidRPr="00795F17">
        <w:t xml:space="preserve">d (ZDG). </w:t>
      </w:r>
    </w:p>
    <w:p w14:paraId="663746DD" w14:textId="3D3CB73C" w:rsidR="00462DD4" w:rsidRPr="00795F17" w:rsidRDefault="00462DD4" w:rsidP="0044393D">
      <w:r w:rsidRPr="00795F17">
        <w:t>Zasoby dyspozycyjne są aktualizowane corocznie na podstawie nowych zatwierdzonych dokumentacji hydrogeologicznych ustalających zasoby dyspozycyjne wód podziemnych, bieżących informacji o</w:t>
      </w:r>
      <w:r w:rsidR="005B1E05" w:rsidRPr="00795F17">
        <w:t> </w:t>
      </w:r>
      <w:r w:rsidRPr="00795F17">
        <w:t>realizowanych projektach i programach prac oraz dokumentacji mających na celu aktualizację zasobów dyspozycyjnych zwykłych wód podziemnych.</w:t>
      </w:r>
    </w:p>
    <w:p w14:paraId="71A677CE" w14:textId="54CCA1CA" w:rsidR="00462DD4" w:rsidRPr="00795F17" w:rsidRDefault="00462DD4" w:rsidP="0044393D">
      <w:pPr>
        <w:pStyle w:val="Nagwek4"/>
      </w:pPr>
      <w:r w:rsidRPr="00795F17">
        <w:t xml:space="preserve">Monitoring badawczy </w:t>
      </w:r>
      <w:r w:rsidR="00DF005E">
        <w:t>JCWP</w:t>
      </w:r>
      <w:r w:rsidRPr="00795F17">
        <w:t>d</w:t>
      </w:r>
    </w:p>
    <w:p w14:paraId="1A4F0CC7" w14:textId="376B0935" w:rsidR="00462DD4" w:rsidRPr="00795F17" w:rsidRDefault="00462DD4" w:rsidP="0044393D">
      <w:r w:rsidRPr="00795F17">
        <w:t xml:space="preserve">Zgodnie z </w:t>
      </w:r>
      <w:r w:rsidRPr="00795F17">
        <w:rPr>
          <w:lang w:eastAsia="pl-PL"/>
        </w:rPr>
        <w:t>r.m.jcw</w:t>
      </w:r>
      <w:r w:rsidRPr="00795F17">
        <w:t xml:space="preserve"> (</w:t>
      </w:r>
      <w:r w:rsidR="00175E18">
        <w:t xml:space="preserve">§ </w:t>
      </w:r>
      <w:r w:rsidRPr="00795F17">
        <w:t xml:space="preserve">21) </w:t>
      </w:r>
      <w:r w:rsidR="00E34D63">
        <w:t>MB</w:t>
      </w:r>
      <w:r w:rsidRPr="00795F17">
        <w:t xml:space="preserve"> </w:t>
      </w:r>
      <w:r w:rsidR="00DF005E">
        <w:t>JCWP</w:t>
      </w:r>
      <w:r w:rsidRPr="00795F17">
        <w:t>d lub ich części ustala się w celu:</w:t>
      </w:r>
    </w:p>
    <w:p w14:paraId="65A9FA58" w14:textId="48573A0D" w:rsidR="00462DD4" w:rsidRPr="00795F17" w:rsidRDefault="00462DD4" w:rsidP="002757E9">
      <w:pPr>
        <w:pStyle w:val="Numerowanie"/>
        <w:numPr>
          <w:ilvl w:val="0"/>
          <w:numId w:val="70"/>
        </w:numPr>
        <w:ind w:left="426" w:hanging="426"/>
      </w:pPr>
      <w:r w:rsidRPr="00795F17">
        <w:t>wyjaśnienia przyczyn nie</w:t>
      </w:r>
      <w:r w:rsidR="001E4F1D">
        <w:t>osiągnięcia</w:t>
      </w:r>
      <w:r w:rsidRPr="00795F17">
        <w:t xml:space="preserve"> celów środowiskowych określonych dla danej </w:t>
      </w:r>
      <w:r w:rsidR="00DF005E">
        <w:t>JCWP</w:t>
      </w:r>
      <w:r w:rsidRPr="00795F17">
        <w:t>d, o</w:t>
      </w:r>
      <w:r w:rsidR="00F75D9A">
        <w:t> </w:t>
      </w:r>
      <w:r w:rsidRPr="00795F17">
        <w:t>ile wyjaśnienie przyczyn nie jest możliwe na podstawie danych oraz informacji uzyskanych w</w:t>
      </w:r>
      <w:r w:rsidR="002B0DB3" w:rsidRPr="00795F17">
        <w:t> </w:t>
      </w:r>
      <w:r w:rsidRPr="00795F17">
        <w:t xml:space="preserve">wyniku pomiarów lub badań prowadzonych w ramach monitoringu stanu ilościowego </w:t>
      </w:r>
      <w:r w:rsidR="00DF005E">
        <w:t>JCWP</w:t>
      </w:r>
      <w:r w:rsidRPr="00795F17">
        <w:t xml:space="preserve">d bądź monitoringu stanu chemicznego </w:t>
      </w:r>
      <w:r w:rsidR="00DF005E">
        <w:t>JCWP</w:t>
      </w:r>
      <w:r w:rsidRPr="00795F17">
        <w:t>d;</w:t>
      </w:r>
    </w:p>
    <w:p w14:paraId="44F5E9D2" w14:textId="1A3E6A4E" w:rsidR="00462DD4" w:rsidRPr="00795F17" w:rsidRDefault="00462DD4" w:rsidP="00076A3D">
      <w:pPr>
        <w:pStyle w:val="Numerowanie"/>
      </w:pPr>
      <w:r w:rsidRPr="00795F17">
        <w:t xml:space="preserve">zidentyfikowania zasięgu, rodzaju i stężeń zanieczyszczeń, jeżeli nastąpiło zanieczyszczenie </w:t>
      </w:r>
      <w:r w:rsidR="00DF005E">
        <w:t>JCWP</w:t>
      </w:r>
      <w:r w:rsidRPr="00795F17">
        <w:t>d;</w:t>
      </w:r>
    </w:p>
    <w:p w14:paraId="2917EDB0" w14:textId="5A64270C" w:rsidR="00462DD4" w:rsidRPr="00795F17" w:rsidRDefault="00462DD4" w:rsidP="00076A3D">
      <w:pPr>
        <w:pStyle w:val="Numerowanie"/>
      </w:pPr>
      <w:r w:rsidRPr="00795F17">
        <w:t>zidentyfikowania zasięgu znacznego obniżenia poziomu wód podziemnych, powodującego zagrożenie nie</w:t>
      </w:r>
      <w:r w:rsidR="00FC6F27">
        <w:t>osiągnięcie</w:t>
      </w:r>
      <w:r w:rsidRPr="00795F17">
        <w:t xml:space="preserve">m celów środowiskowych przez daną </w:t>
      </w:r>
      <w:r w:rsidR="00DF005E">
        <w:t>JCWP</w:t>
      </w:r>
      <w:r w:rsidRPr="00795F17">
        <w:t>d.</w:t>
      </w:r>
    </w:p>
    <w:p w14:paraId="16064EF5" w14:textId="42EDA797" w:rsidR="00462DD4" w:rsidRPr="00795F17" w:rsidRDefault="00E34D63" w:rsidP="0044393D">
      <w:r>
        <w:t>MB</w:t>
      </w:r>
      <w:r w:rsidR="00462DD4" w:rsidRPr="00795F17">
        <w:t xml:space="preserve"> stanowi zatem uzupełnienie </w:t>
      </w:r>
      <w:r>
        <w:t>MD</w:t>
      </w:r>
      <w:r w:rsidR="00462DD4" w:rsidRPr="00795F17">
        <w:t xml:space="preserve"> i </w:t>
      </w:r>
      <w:r>
        <w:t>MO</w:t>
      </w:r>
      <w:r w:rsidRPr="00795F17">
        <w:t xml:space="preserve"> </w:t>
      </w:r>
      <w:r w:rsidR="00462DD4" w:rsidRPr="00795F17">
        <w:t>oraz</w:t>
      </w:r>
      <w:r w:rsidR="005C577B">
        <w:t> </w:t>
      </w:r>
      <w:r w:rsidR="00462DD4" w:rsidRPr="00795F17">
        <w:t xml:space="preserve">standardowego monitoringu stanu ilościowego. Jego zakres i częstotliwość wynikają z przyczyny jego prowadzenia (zidentyfikowane zanieczyszczenie lub presja) oraz warunków hydrogeologicznych danej </w:t>
      </w:r>
      <w:r w:rsidR="00DF005E">
        <w:t>JCWP</w:t>
      </w:r>
      <w:r w:rsidR="00462DD4" w:rsidRPr="00795F17">
        <w:t xml:space="preserve">d. </w:t>
      </w:r>
      <w:bookmarkStart w:id="210" w:name="_Hlk65935335"/>
      <w:bookmarkStart w:id="211" w:name="_Hlk65932727"/>
      <w:r w:rsidR="00985A8F">
        <w:t>MB</w:t>
      </w:r>
      <w:r w:rsidR="00462DD4" w:rsidRPr="00795F17">
        <w:t xml:space="preserve"> prowadzony jest poza systemem Państwowego Monitoringu Środowiska</w:t>
      </w:r>
      <w:bookmarkEnd w:id="210"/>
      <w:r w:rsidR="00462DD4" w:rsidRPr="00795F17">
        <w:t>.</w:t>
      </w:r>
      <w:bookmarkEnd w:id="211"/>
      <w:r w:rsidR="005A5CB1">
        <w:t xml:space="preserve"> </w:t>
      </w:r>
      <w:r w:rsidR="005A5CB1" w:rsidRPr="00B13E0B">
        <w:t>Monitoring</w:t>
      </w:r>
      <w:r w:rsidR="005A5CB1" w:rsidRPr="3B82C5EB">
        <w:rPr>
          <w:rFonts w:cs="Calibri"/>
        </w:rPr>
        <w:t xml:space="preserve"> badawczy realizowany jest przez państwową służbę hydrogeologiczną.</w:t>
      </w:r>
    </w:p>
    <w:p w14:paraId="0B0FD490" w14:textId="77777777" w:rsidR="00462DD4" w:rsidRPr="00795F17" w:rsidRDefault="00462DD4" w:rsidP="0044393D">
      <w:pPr>
        <w:pStyle w:val="Nagwek5"/>
      </w:pPr>
      <w:r w:rsidRPr="00795F17">
        <w:t>Monitoring obszarów obciążonych presją antropogeniczną</w:t>
      </w:r>
    </w:p>
    <w:p w14:paraId="795A5DB1" w14:textId="32432206" w:rsidR="00462DD4" w:rsidRPr="00795F17" w:rsidRDefault="00985A8F" w:rsidP="0044393D">
      <w:r>
        <w:t>MB</w:t>
      </w:r>
      <w:r w:rsidR="00462DD4" w:rsidRPr="00795F17">
        <w:t xml:space="preserve"> obszarów obciążonych silną presją antropogeniczną jest prowadzony w</w:t>
      </w:r>
      <w:r w:rsidR="00897F36" w:rsidRPr="00795F17">
        <w:t> </w:t>
      </w:r>
      <w:r w:rsidR="00462DD4" w:rsidRPr="00795F17">
        <w:t>obszarach:</w:t>
      </w:r>
    </w:p>
    <w:p w14:paraId="1AC95726" w14:textId="471CD4C2" w:rsidR="00462DD4" w:rsidRPr="00795F17" w:rsidRDefault="00462DD4" w:rsidP="002757E9">
      <w:pPr>
        <w:pStyle w:val="Numerowanie"/>
        <w:numPr>
          <w:ilvl w:val="0"/>
          <w:numId w:val="47"/>
        </w:numPr>
      </w:pPr>
      <w:r w:rsidRPr="00795F17">
        <w:t xml:space="preserve">obciążonych oddziaływaniem górnictwa i przemysłu; </w:t>
      </w:r>
    </w:p>
    <w:p w14:paraId="39210C6B" w14:textId="054257B5" w:rsidR="00462DD4" w:rsidRPr="00795F17" w:rsidRDefault="00462DD4" w:rsidP="0044393D">
      <w:pPr>
        <w:pStyle w:val="Numerowanie"/>
      </w:pPr>
      <w:r w:rsidRPr="00795F17">
        <w:t xml:space="preserve">obciążonych presją aglomeracji metropolitalnych. </w:t>
      </w:r>
    </w:p>
    <w:p w14:paraId="43E646E1" w14:textId="0CDEA739" w:rsidR="00462DD4" w:rsidRPr="00795F17" w:rsidRDefault="00462DD4" w:rsidP="0044393D">
      <w:r w:rsidRPr="00795F17">
        <w:t>Celem prowadzonych prac było określenie zasięgu i wielkości oddziaływania zidentyfikowanej presji na</w:t>
      </w:r>
      <w:r w:rsidR="005B1E05" w:rsidRPr="00795F17">
        <w:t> </w:t>
      </w:r>
      <w:r w:rsidRPr="00795F17">
        <w:t xml:space="preserve">stan ilościowy i chemiczny </w:t>
      </w:r>
      <w:r w:rsidR="00DF005E">
        <w:t>JCWP</w:t>
      </w:r>
      <w:r w:rsidRPr="00795F17">
        <w:t xml:space="preserve">d. </w:t>
      </w:r>
    </w:p>
    <w:p w14:paraId="7439EFB1" w14:textId="7CE2E2EF" w:rsidR="00462DD4" w:rsidRPr="00795F17" w:rsidRDefault="00F75D9A" w:rsidP="0044393D">
      <w:r>
        <w:t>Na</w:t>
      </w:r>
      <w:r w:rsidR="00462DD4" w:rsidRPr="00795F17">
        <w:t xml:space="preserve"> obszarze dorzecza Odry, badania w obrębie oddziaływania górnictwa obejmują sześć rejonów wydobycia kopalin: węgla brunatnego („Konin”, „Adamów”, „Bełchatów” i „Turów”), węgla kamiennego (Górnośląskie Zagłębie Węglowe) oraz miedzi (</w:t>
      </w:r>
      <w:r w:rsidR="005F3138" w:rsidRPr="00795F17">
        <w:t>Legnicko-Głogowski Okręg Miedziowy (LGOM)</w:t>
      </w:r>
      <w:r w:rsidR="00462DD4" w:rsidRPr="00795F17">
        <w:t xml:space="preserve">). Sieć punktów obserwacyjno-badawczych monitoringu badawczego w rejonach oddziaływania górnictwa </w:t>
      </w:r>
      <w:r>
        <w:t>na</w:t>
      </w:r>
      <w:r w:rsidR="00462DD4" w:rsidRPr="00795F17">
        <w:t xml:space="preserve"> obszarze dorzecza Odry, według stanu na dzień 31 grudnia 2019</w:t>
      </w:r>
      <w:r w:rsidR="00E83795" w:rsidRPr="00795F17">
        <w:t> </w:t>
      </w:r>
      <w:r w:rsidR="00462DD4" w:rsidRPr="00795F17">
        <w:t>r., liczyła łącznie 172</w:t>
      </w:r>
      <w:r w:rsidR="005B1E05" w:rsidRPr="00795F17">
        <w:t> </w:t>
      </w:r>
      <w:r w:rsidR="00462DD4" w:rsidRPr="00795F17">
        <w:t>punkty</w:t>
      </w:r>
      <w:r w:rsidR="00462DD4" w:rsidRPr="00795F17">
        <w:rPr>
          <w:rStyle w:val="Odwoanieprzypisudolnego"/>
        </w:rPr>
        <w:footnoteReference w:id="39"/>
      </w:r>
      <w:r w:rsidR="00462DD4" w:rsidRPr="00795F17">
        <w:t>. Badania obejmowały pomiary głębokości zwierciadła wód podziemnych w</w:t>
      </w:r>
      <w:r w:rsidR="0078755C" w:rsidRPr="00795F17">
        <w:t> </w:t>
      </w:r>
      <w:r w:rsidR="00462DD4" w:rsidRPr="00795F17">
        <w:t xml:space="preserve">punktach obserwacyjno-badawczych. </w:t>
      </w:r>
    </w:p>
    <w:p w14:paraId="6DAD3DDA" w14:textId="45FBC13D" w:rsidR="00462DD4" w:rsidRPr="00795F17" w:rsidRDefault="00462DD4" w:rsidP="0044393D">
      <w:r w:rsidRPr="00795F17">
        <w:t>Badania w obszarach aglomeracji metropolitalnych dotyczyły rozpoznania presji w rejonach trzech aglomeracji miejsko-przemysłowych: szczecińskiej, wrocławskiej i górnośląskiej. Zakres prac i badań wykonanych w rejonach poszczególnych aglomeracji był zróżnicowany. Prowadzono je według opracowanych wcześniej programów badań monitoringu badawczego. Jednym z najważniejszych zadań monitoringu badawczego wód podziemnych w rejonach aglomeracji jest pozyskanie danych z</w:t>
      </w:r>
      <w:r w:rsidR="005B1E05" w:rsidRPr="00795F17">
        <w:t> </w:t>
      </w:r>
      <w:r w:rsidRPr="00795F17">
        <w:t>prowadzonych tam często od wielu lat monitoringów lokalnych wokół komunalnych ujęć wody, odwadnianych wyrobisk górniczych i ognisk zanieczyszczeń. Wymaga to bieżącej współpracy z</w:t>
      </w:r>
      <w:r w:rsidR="005B1E05" w:rsidRPr="00795F17">
        <w:t> </w:t>
      </w:r>
      <w:r w:rsidRPr="00795F17">
        <w:t>organami administracji państwowej i samorządowej, właścicielami ujęć wody i innymi podmiotami prowadzącymi monitoringi lokalne. Porozumienia w tej sprawie są dobrowolne i mają charakter nieformalny lub formalny, wyrażający się podpisaniem listu intencyjnego i notatek służbowych o</w:t>
      </w:r>
      <w:r w:rsidR="005B1E05" w:rsidRPr="00795F17">
        <w:t> </w:t>
      </w:r>
      <w:r w:rsidRPr="00795F17">
        <w:t xml:space="preserve">współpracy i wzajemnej wymianie wyników badań. </w:t>
      </w:r>
    </w:p>
    <w:p w14:paraId="2A2ACB68" w14:textId="2728EF4D" w:rsidR="00462DD4" w:rsidRPr="00795F17" w:rsidRDefault="00462DD4" w:rsidP="0044393D">
      <w:r w:rsidRPr="00795F17">
        <w:t>Zakłada się, że w cyklu planistycznym 2022</w:t>
      </w:r>
      <w:r w:rsidR="00EC4A0D">
        <w:t>–</w:t>
      </w:r>
      <w:r w:rsidRPr="00795F17">
        <w:t xml:space="preserve">2027 badania monitoringowe w ramach monitoringu obszarów obciążonych presją antropogeniczną obejmą co najmniej tyle samo obszarów co dotychczas i będą realizowane zgodnie z przyjętymi, indywidualnymi programami monitoringu, obejmującymi zakresem zarówno monitoringu stanu ilościowego, jak i chemicznego. </w:t>
      </w:r>
    </w:p>
    <w:p w14:paraId="46CA2E52" w14:textId="2DFEC30A" w:rsidR="00462DD4" w:rsidRPr="00795F17" w:rsidRDefault="00462DD4" w:rsidP="0044393D">
      <w:pPr>
        <w:pStyle w:val="Nagwek5"/>
      </w:pPr>
      <w:r w:rsidRPr="00795F17">
        <w:t xml:space="preserve">Monitoring przygranicznych obszarów </w:t>
      </w:r>
      <w:r w:rsidR="00DF005E">
        <w:t>JCWP</w:t>
      </w:r>
      <w:r w:rsidRPr="00795F17">
        <w:t xml:space="preserve">d </w:t>
      </w:r>
    </w:p>
    <w:p w14:paraId="555FDBF3" w14:textId="5512BC73" w:rsidR="00462DD4" w:rsidRPr="00795F17" w:rsidRDefault="00462DD4" w:rsidP="0044393D">
      <w:r w:rsidRPr="00795F17">
        <w:t>Za przygraniczne jednolite części wód podziemnych uznano jednostki, których przynajmniej jeden z</w:t>
      </w:r>
      <w:r w:rsidR="005B1E05" w:rsidRPr="00795F17">
        <w:t> </w:t>
      </w:r>
      <w:r w:rsidRPr="00795F17">
        <w:t xml:space="preserve">odcinków określających granicę </w:t>
      </w:r>
      <w:r w:rsidR="00DF005E">
        <w:t>JCWP</w:t>
      </w:r>
      <w:r w:rsidRPr="00795F17">
        <w:t xml:space="preserve">d pokrywa się z granicą państwową, z wyjątkiem </w:t>
      </w:r>
      <w:r w:rsidR="00DF005E">
        <w:t>JCWP</w:t>
      </w:r>
      <w:r w:rsidRPr="00795F17">
        <w:t xml:space="preserve">d graniczących wyłącznie z Morzem Bałtyckim. </w:t>
      </w:r>
    </w:p>
    <w:p w14:paraId="5985E326" w14:textId="0A8C53FC" w:rsidR="00462DD4" w:rsidRPr="00795F17" w:rsidRDefault="00462DD4" w:rsidP="0044393D">
      <w:r w:rsidRPr="00795F17">
        <w:t xml:space="preserve">Obserwacje monitoringowe poziomu zwierciadła wody oraz badania stanu chemicznego wód podziemnych wzdłuż granic Polski są prowadzone w ramach zadania państwowej służby hydrogeologicznej pt. </w:t>
      </w:r>
      <w:r w:rsidRPr="00472FD2">
        <w:t>Monitoring wód podziemnych w strefach granicznych RP na potrzeby realizacji umów i współpracy międzynarodowej</w:t>
      </w:r>
      <w:r w:rsidRPr="007C1459">
        <w:t>.</w:t>
      </w:r>
      <w:r w:rsidRPr="00795F17">
        <w:t xml:space="preserve"> </w:t>
      </w:r>
    </w:p>
    <w:p w14:paraId="00681BE6" w14:textId="687115D7" w:rsidR="00462DD4" w:rsidRPr="00795F17" w:rsidRDefault="00462DD4" w:rsidP="0044393D">
      <w:r w:rsidRPr="00795F17">
        <w:t>Państwowa służba hydrogeologiczna (PSH) uczestniczy we współpracy międzynarodowej i</w:t>
      </w:r>
      <w:r w:rsidR="005B1E05" w:rsidRPr="00795F17">
        <w:t> </w:t>
      </w:r>
      <w:r w:rsidRPr="00795F17">
        <w:t xml:space="preserve">międzypaństwowej, stanowiącej realizację polityki państwa w zakresie gospodarki i ochrony wód podziemnych. Część działań PSH jest związana z bezpośrednią realizacją zadań koordynowanych przez MI, MKiŚ, </w:t>
      </w:r>
      <w:r w:rsidR="0028234C" w:rsidRPr="00795F17">
        <w:t>PGW WP</w:t>
      </w:r>
      <w:r w:rsidRPr="00795F17">
        <w:t xml:space="preserve"> i GIOŚ. Są one realizowane w międzynarodowych komisjach i grupach roboczych, w pracach których przedstawiciele PIG-PIB uczestniczą jako delegaci lub eksperci. </w:t>
      </w:r>
      <w:r w:rsidR="00532AF8">
        <w:t>Na</w:t>
      </w:r>
      <w:r w:rsidRPr="00795F17">
        <w:t xml:space="preserve"> obszarze dorzecza Odry działają łącznie cztery komisje ds. wód granicznych, w tym Międzynarodowa Komisja Ochrony Odry przed Zanieczyszczeniem oraz komisje ds. wód granicznych polsko</w:t>
      </w:r>
      <w:r w:rsidR="00182A26" w:rsidRPr="00795F17">
        <w:t>-</w:t>
      </w:r>
      <w:r w:rsidRPr="00795F17">
        <w:t>niemiecka, polsko</w:t>
      </w:r>
      <w:r w:rsidR="00182A26" w:rsidRPr="00795F17">
        <w:t>-</w:t>
      </w:r>
      <w:r w:rsidRPr="00795F17">
        <w:t>czeska i</w:t>
      </w:r>
      <w:r w:rsidR="005B1E05" w:rsidRPr="00795F17">
        <w:t> </w:t>
      </w:r>
      <w:r w:rsidRPr="00795F17">
        <w:t>polsko</w:t>
      </w:r>
      <w:r w:rsidR="00182A26" w:rsidRPr="00795F17">
        <w:t>-</w:t>
      </w:r>
      <w:r w:rsidRPr="00795F17">
        <w:t>słowacka.</w:t>
      </w:r>
    </w:p>
    <w:p w14:paraId="3502FA08" w14:textId="585A264B" w:rsidR="00462DD4" w:rsidRPr="00795F17" w:rsidRDefault="00462DD4" w:rsidP="0044393D">
      <w:r w:rsidRPr="00795F17">
        <w:t>Uzgodnienia dotyczące zakresu i formy prowadzenia monitoringu wód podziemnych w strefach przygranicznych, które podlegają działalności poszczególnych komisji międzynarodowych są</w:t>
      </w:r>
      <w:r w:rsidR="005B1E05" w:rsidRPr="00795F17">
        <w:t> </w:t>
      </w:r>
      <w:r w:rsidRPr="00795F17">
        <w:t>nadrzędne nad ustaleniami krajowymi. Liczba punktów monitoringu transgranicznego i obszarów objętych badaniami zależy od decyzji podejmowanych w komisjach do spraw wód granicznych. Z</w:t>
      </w:r>
      <w:r w:rsidR="00532AF8">
        <w:t> </w:t>
      </w:r>
      <w:r w:rsidRPr="00795F17">
        <w:t>tego powodu trudno obecnie przewidzieć w szczegółach, jaki będzie kształt i jakie oczekiwania wobec monitoringu wód podziemnych stref przygranicznych w latach 2022</w:t>
      </w:r>
      <w:r w:rsidR="00DA1674">
        <w:t>–</w:t>
      </w:r>
      <w:r w:rsidRPr="00795F17">
        <w:t xml:space="preserve">2027. </w:t>
      </w:r>
      <w:bookmarkStart w:id="212" w:name="_Hlk65936547"/>
      <w:bookmarkStart w:id="213" w:name="_Hlk65710266"/>
      <w:r w:rsidRPr="00795F17">
        <w:t>Na koniec roku 2020, na</w:t>
      </w:r>
      <w:r w:rsidR="005B1E05" w:rsidRPr="00795F17">
        <w:t> </w:t>
      </w:r>
      <w:r w:rsidRPr="00795F17">
        <w:t>potrzeby monitoringu wód podziemnych w strefach przygranicznych Polski w obszarze dorzecza Odry wykorzystywano wyniki pomiarów i badań, prowadzonych w 118 punktach obserwacyjnych wód podziemnych.</w:t>
      </w:r>
      <w:bookmarkEnd w:id="212"/>
      <w:bookmarkEnd w:id="213"/>
      <w:r w:rsidR="00D146C3" w:rsidRPr="00795F17">
        <w:t xml:space="preserve"> </w:t>
      </w:r>
    </w:p>
    <w:p w14:paraId="4E3ED694" w14:textId="4F5D9427" w:rsidR="00462DD4" w:rsidRPr="00795F17" w:rsidRDefault="00532AF8" w:rsidP="0044393D">
      <w:r>
        <w:t>Na</w:t>
      </w:r>
      <w:r w:rsidR="00462DD4" w:rsidRPr="00795F17">
        <w:t xml:space="preserve"> obszarze dorzecza Odry wyróżniono wymienione poniżej obszary przygraniczne, </w:t>
      </w:r>
      <w:r>
        <w:t>na</w:t>
      </w:r>
      <w:r w:rsidR="00462DD4" w:rsidRPr="00795F17">
        <w:t xml:space="preserve"> których są</w:t>
      </w:r>
      <w:r w:rsidR="005B1E05" w:rsidRPr="00795F17">
        <w:t> </w:t>
      </w:r>
      <w:r w:rsidR="00462DD4" w:rsidRPr="00795F17">
        <w:t>prowadzone pomiary i badania monitoringowe wód podziemnych:</w:t>
      </w:r>
    </w:p>
    <w:p w14:paraId="5BBAD38A" w14:textId="77777777" w:rsidR="00462DD4" w:rsidRPr="00795F17" w:rsidRDefault="00462DD4" w:rsidP="0044393D">
      <w:pPr>
        <w:pStyle w:val="Nagwek6"/>
      </w:pPr>
      <w:r w:rsidRPr="00795F17">
        <w:t>Monitoring wód podziemnych na obszarze polskiej części wyspy Uznam oraz w strefie przygranicznej Polski, znajdującej się na zachód od Szczecina</w:t>
      </w:r>
    </w:p>
    <w:p w14:paraId="295244ED" w14:textId="540974BB" w:rsidR="00462DD4" w:rsidRPr="00795F17" w:rsidRDefault="00462DD4" w:rsidP="0044393D">
      <w:r w:rsidRPr="00795F17">
        <w:t>Monitoring wód podziemnych na obszarze polskiej części wyspy Uznam jest prowadzony w celu ochrony zasobów wód podziemnych plejstoceńsko-holoceńskich poziomów wodonośnych, o</w:t>
      </w:r>
      <w:r w:rsidR="005B1E05" w:rsidRPr="00795F17">
        <w:t> </w:t>
      </w:r>
      <w:r w:rsidRPr="00795F17">
        <w:t>rozprzestrzenieniu transgranicznym, ze względu na zagrożenie ingresją do warstw wodonośnych słonych lub słonawych wód powierzchniowych. Ponadto istnieje zagrożenie ascenzyjnym dopływem wód o podwyższonej mineralizacji z poziomów wodonośnych kredy do czwartorzędowych, użytkowych warstw wodonośnych. Dopływ ten może zostać dodatkowo wymuszony pracą polskich ujęć komunalnych wód podziemnych dla miasta Świnoujście: Granica i Wydrzany oraz ujęć wód podziemnych, które są zlokalizowane w niemieckiej części wyspy m.in. ujęcie Zirchow. Polsko-niemiecka współpraca międzynarodowa ma na celu koordynację zaopatrzenia w wodę z ujęć wód podziemnych, znajdujących się w obszarach przygranicznych.</w:t>
      </w:r>
    </w:p>
    <w:p w14:paraId="542B123C" w14:textId="77777777" w:rsidR="00462DD4" w:rsidRPr="00795F17" w:rsidRDefault="00462DD4" w:rsidP="0044393D">
      <w:pPr>
        <w:pStyle w:val="Nagwek6"/>
      </w:pPr>
      <w:r w:rsidRPr="00795F17">
        <w:t>Monitoring wód podziemnych przygranicznych rejonów Gubina oraz Łęknicy</w:t>
      </w:r>
    </w:p>
    <w:p w14:paraId="13677558" w14:textId="75272A1F" w:rsidR="00462DD4" w:rsidRPr="00795F17" w:rsidRDefault="00462DD4" w:rsidP="0044393D">
      <w:r w:rsidRPr="00795F17">
        <w:t xml:space="preserve">Obserwacje monitoringowe prowadzone w sieciach obserwacyjnych monitoringu badawczego wód podziemnych w rejonach przygranicznych: Gubina i Łęknicy, znajdujących się w obszarze wpływu odwadniania niemieckich kopalni węgla brunatnego: Jänschwalde oraz Nochten i Reichwalde, obejmują pomiary głębokości do zwierciadła wód podziemnych poziomów wodonośnych pięter: czwartorzędowego i paleogeńsko-neogeńskiego oraz badania chemizmu wód podziemnych, wykonywane w wybranych punktach obserwacyjnych sieci monitoringu badawczego. Wyniki prowadzonych obserwacji monitoringowych mają na celu ocenę wpływu pracy i odwodnienia niemieckich kopalni węgla brunatnego na wody podziemne na przygranicznych terenach Polski. </w:t>
      </w:r>
    </w:p>
    <w:p w14:paraId="030D79E1" w14:textId="77777777" w:rsidR="00462DD4" w:rsidRPr="00795F17" w:rsidRDefault="00462DD4" w:rsidP="0044393D">
      <w:pPr>
        <w:pStyle w:val="Nagwek6"/>
      </w:pPr>
      <w:r w:rsidRPr="00795F17">
        <w:t>Monitoring wód podziemnych w obszarze wód przygranicznych niecki śródsudeckiej</w:t>
      </w:r>
    </w:p>
    <w:p w14:paraId="37095619" w14:textId="09D01E9A" w:rsidR="00462DD4" w:rsidRPr="00795F17" w:rsidRDefault="00462DD4" w:rsidP="0044393D">
      <w:r w:rsidRPr="00795F17">
        <w:t>Celem badań jest prowadzenie monitoringu oraz analiza wyników badań wód powierzchniowych i wód podziemnych z uwagi na możliwość występowania potencjalnych wpływów antropogenicznych oraz</w:t>
      </w:r>
      <w:r w:rsidR="006D35CF">
        <w:t> </w:t>
      </w:r>
      <w:r w:rsidRPr="00795F17">
        <w:t>ochronę wód podziemnych. Badania realizowane są w trzech obszarach:</w:t>
      </w:r>
    </w:p>
    <w:p w14:paraId="7C38E11C" w14:textId="1032A64E" w:rsidR="00462DD4" w:rsidRPr="00795F17" w:rsidRDefault="00462DD4" w:rsidP="005635FD">
      <w:pPr>
        <w:pStyle w:val="Listapunktowana2"/>
        <w:numPr>
          <w:ilvl w:val="0"/>
          <w:numId w:val="102"/>
        </w:numPr>
      </w:pPr>
      <w:r w:rsidRPr="00795F17">
        <w:t xml:space="preserve">(OKrA) rejon Krzeszów </w:t>
      </w:r>
      <w:r w:rsidR="00EC4A0D">
        <w:t>–</w:t>
      </w:r>
      <w:r w:rsidRPr="00795F17">
        <w:t xml:space="preserve"> Ardšpach,</w:t>
      </w:r>
    </w:p>
    <w:p w14:paraId="2D20F2D3" w14:textId="0222C632" w:rsidR="00462DD4" w:rsidRPr="00795F17" w:rsidRDefault="00462DD4" w:rsidP="005635FD">
      <w:pPr>
        <w:pStyle w:val="Listapunktowana2"/>
        <w:numPr>
          <w:ilvl w:val="0"/>
          <w:numId w:val="102"/>
        </w:numPr>
      </w:pPr>
      <w:r w:rsidRPr="00795F17">
        <w:t xml:space="preserve">(OPKu) rejon Kudowa </w:t>
      </w:r>
      <w:r w:rsidR="00EC4A0D">
        <w:t>–</w:t>
      </w:r>
      <w:r w:rsidRPr="00795F17">
        <w:t xml:space="preserve"> Police wraz z rejonem Parku Narodowego Gór Stołowych (PNGS),</w:t>
      </w:r>
    </w:p>
    <w:p w14:paraId="641041AC" w14:textId="77777777" w:rsidR="00462DD4" w:rsidRPr="00795F17" w:rsidRDefault="00462DD4" w:rsidP="005635FD">
      <w:pPr>
        <w:pStyle w:val="Listapunktowana2"/>
        <w:numPr>
          <w:ilvl w:val="0"/>
          <w:numId w:val="102"/>
        </w:numPr>
      </w:pPr>
      <w:r w:rsidRPr="00795F17">
        <w:t>(OS) rejon graniczny zlewnia Ścinawki</w:t>
      </w:r>
      <w:r w:rsidRPr="00795F17">
        <w:rPr>
          <w:rStyle w:val="Odwoanieprzypisudolnego"/>
        </w:rPr>
        <w:footnoteReference w:id="40"/>
      </w:r>
      <w:r w:rsidRPr="00795F17">
        <w:t>.</w:t>
      </w:r>
    </w:p>
    <w:p w14:paraId="5EB44617" w14:textId="77777777" w:rsidR="00462DD4" w:rsidRPr="00795F17" w:rsidRDefault="00462DD4" w:rsidP="0044393D">
      <w:r w:rsidRPr="00795F17">
        <w:t>Monitoring ma na celu ocenę potencjalnego konkurencyjnego wpływu pracy ujęć na zasoby wód w kontekście transgranicznym oraz prowadzenie badań w rejonach przygranicznych, w których planowane jest powstanie inwestycji przemysłowych, które mogą wpływać na stan ilościowy i chemiczny wód podziemnych.</w:t>
      </w:r>
    </w:p>
    <w:p w14:paraId="44F1BBB1" w14:textId="77777777" w:rsidR="00462DD4" w:rsidRPr="00795F17" w:rsidRDefault="00462DD4" w:rsidP="0044393D">
      <w:pPr>
        <w:pStyle w:val="Nagwek6"/>
      </w:pPr>
      <w:r w:rsidRPr="00795F17">
        <w:t>Monitoring wód podziemnych w obszarze wód przygranicznych z Republiką Czeską w granicach województw: śląskiego i opolskiego</w:t>
      </w:r>
    </w:p>
    <w:p w14:paraId="08BA5F41" w14:textId="77777777" w:rsidR="00462DD4" w:rsidRPr="00795F17" w:rsidRDefault="00462DD4" w:rsidP="0044393D">
      <w:r w:rsidRPr="00795F17">
        <w:t>Celem badań na obszarze przygranicznym Polski z Republiką Czeską, w granicach województw: śląskiego i opolskiego jest ochrona wód czwartorzędowego poziomu wodonośnego w dolinach rzek: Odry, Olzy oraz Piotrówki. W rejonach dolin rzecznych zwierciadło wody podziemnej występuje płytko poniżej powierzchni terenu, a powyżej warstw wodonośnych brak jest nadkładu warstw izolujących poziom wodonośny od zanieczyszczeń, które mogą przenikać wraz z infiltrującymi wodami. Zagrożenie wpływami antropogenicznymi wzrasta w rejonie większych miast oraz ośrodków przemysłowych i górniczych, znajdujących się na obszarze przygranicznym Republiki Czeskiej (m.in. w rejonie Bohumina i Ostrawy). W strefie przygranicznej zostały wyznaczone rejony, które mogą być szczególnie narażone na wpływ antropopresji o rozprzestrzenieniu transgranicznym.</w:t>
      </w:r>
    </w:p>
    <w:p w14:paraId="70E4EDF1" w14:textId="54B10E08" w:rsidR="00462DD4" w:rsidRPr="00795F17" w:rsidRDefault="00462DD4" w:rsidP="0044393D">
      <w:pPr>
        <w:pStyle w:val="Nagwek4"/>
      </w:pPr>
      <w:r w:rsidRPr="00795F17">
        <w:t xml:space="preserve">Monitoring wpływu stanu </w:t>
      </w:r>
      <w:r w:rsidR="00DF005E">
        <w:t>JCWP</w:t>
      </w:r>
      <w:r w:rsidRPr="00795F17">
        <w:t xml:space="preserve">d na obszary chronione </w:t>
      </w:r>
    </w:p>
    <w:p w14:paraId="198932A2" w14:textId="5DB54AFD" w:rsidR="00462DD4" w:rsidRPr="00795F17" w:rsidRDefault="00462DD4" w:rsidP="003D7BF3">
      <w:pPr>
        <w:keepNext/>
      </w:pPr>
      <w:r w:rsidRPr="00795F17">
        <w:t xml:space="preserve">Pozyskanie informacji o stanie wód obszarów chronionych jest jednym z celów monitoringu wód realizowanego w ramach PMŚ (art. 349 ust. 1 i </w:t>
      </w:r>
      <w:r w:rsidR="001666F3">
        <w:t xml:space="preserve">ust. </w:t>
      </w:r>
      <w:r w:rsidRPr="00795F17">
        <w:t>2</w:t>
      </w:r>
      <w:r w:rsidR="001666F3">
        <w:t xml:space="preserve"> pr.w.</w:t>
      </w:r>
      <w:r w:rsidRPr="00795F17">
        <w:t>). Zgodnie z pr.w. (art. 16 pkt 32) przez obszary chronione, w odniesieniu do wód podziemnych, rozumie się:</w:t>
      </w:r>
    </w:p>
    <w:p w14:paraId="3F6842E6" w14:textId="0B1A2710" w:rsidR="00462DD4" w:rsidRPr="00795F17" w:rsidRDefault="00D40A4D" w:rsidP="002757E9">
      <w:pPr>
        <w:pStyle w:val="Numerowanie"/>
        <w:numPr>
          <w:ilvl w:val="0"/>
          <w:numId w:val="71"/>
        </w:numPr>
        <w:ind w:left="426" w:hanging="426"/>
      </w:pPr>
      <w:r>
        <w:t>jcw</w:t>
      </w:r>
      <w:r w:rsidR="00462DD4" w:rsidRPr="00795F17">
        <w:t xml:space="preserve"> przeznaczone do poboru wody na potrzeby zaopatrzenia ludności w wodę przeznaczoną do spożycia przez ludzi;</w:t>
      </w:r>
    </w:p>
    <w:p w14:paraId="1DDB476D" w14:textId="7D1C59D8" w:rsidR="00462DD4" w:rsidRPr="00795F17" w:rsidRDefault="00462DD4" w:rsidP="00DA1EF7">
      <w:pPr>
        <w:pStyle w:val="Numerowanie"/>
      </w:pPr>
      <w:r w:rsidRPr="00795F17">
        <w:t>obszary przeznaczone do ochrony siedlisk lub gatunków, o których mowa w przepisach u.o.p., dla</w:t>
      </w:r>
      <w:r w:rsidR="00DA1EF7" w:rsidRPr="00795F17">
        <w:t> </w:t>
      </w:r>
      <w:r w:rsidRPr="00795F17">
        <w:t>których utrzymanie lub poprawa stanu wód jest ważnym czynnikiem w ich ochronie.</w:t>
      </w:r>
    </w:p>
    <w:p w14:paraId="004FDA39" w14:textId="414366F9" w:rsidR="00462DD4" w:rsidRPr="00795F17" w:rsidRDefault="00462DD4" w:rsidP="0044393D">
      <w:r w:rsidRPr="00795F17">
        <w:t xml:space="preserve">Wody obszarów chronionych obejmują zarówno wody powierzchniowe, jak i podziemne, zaś ocenie stanu wód obszarów chronionych służą wyniki monitoringu </w:t>
      </w:r>
      <w:r w:rsidR="00DF005E">
        <w:t>JCWP</w:t>
      </w:r>
      <w:r w:rsidRPr="00795F17">
        <w:t xml:space="preserve"> i </w:t>
      </w:r>
      <w:r w:rsidR="00DF005E">
        <w:t>JCWP</w:t>
      </w:r>
      <w:r w:rsidRPr="00795F17">
        <w:t xml:space="preserve">d. </w:t>
      </w:r>
      <w:bookmarkStart w:id="214" w:name="_Hlk65929231"/>
      <w:r w:rsidRPr="00795F17">
        <w:t>W ramach PMŚ nie</w:t>
      </w:r>
      <w:r w:rsidR="00532AF8">
        <w:t> </w:t>
      </w:r>
      <w:r w:rsidRPr="00795F17">
        <w:t>funkcjonuje odrębna sieć monitoringu obszarów chronionych, tylko z istniejących sieci monitoringowych dobierane są punkty badawcze umożliwiające pozyskanie wyników na potrzeby oceny stanu wód obszarów chronionych.</w:t>
      </w:r>
      <w:bookmarkEnd w:id="214"/>
    </w:p>
    <w:p w14:paraId="127363F9" w14:textId="064869FF" w:rsidR="00462DD4" w:rsidRPr="00795F17" w:rsidRDefault="00462DD4" w:rsidP="0044393D">
      <w:r w:rsidRPr="00795F17">
        <w:t>Zgodnie z powyższym monitoring obszarów chronionych realizowany przez PIG-PIB należy traktować jako monitoring uzupełniający, który funkcjonuje na zasadzie wskazania punktów sieci obserwacyjno-badawczej, znajdujących się w obrębie danego obszaru chronionego lub w strefie zasilania. Badania w</w:t>
      </w:r>
      <w:r w:rsidR="00981517" w:rsidRPr="00795F17">
        <w:t> </w:t>
      </w:r>
      <w:r w:rsidRPr="00795F17">
        <w:t xml:space="preserve">tych punktach odbywają się zgodnie z przewidzianymi dla nich zasadami monitoringu stanu ilościowego i/lub chemicznego. Wyniki badań z tych punktów są wykorzystywane dla realizacji odpowiednich testów oceny stanu </w:t>
      </w:r>
      <w:r w:rsidR="00DF005E">
        <w:t>JCWP</w:t>
      </w:r>
      <w:r w:rsidRPr="00795F17">
        <w:t>d, ukierunkowanych na ocenę wpływu wód podziemnych na</w:t>
      </w:r>
      <w:r w:rsidR="00981517" w:rsidRPr="00795F17">
        <w:t> </w:t>
      </w:r>
      <w:r w:rsidRPr="00795F17">
        <w:t>dany obszar chroniony.</w:t>
      </w:r>
    </w:p>
    <w:p w14:paraId="6FCF01D3" w14:textId="77777777" w:rsidR="00462DD4" w:rsidRPr="00795F17" w:rsidRDefault="00462DD4" w:rsidP="0044393D">
      <w:pPr>
        <w:pStyle w:val="Nagwek5"/>
      </w:pPr>
      <w:r w:rsidRPr="00795F17">
        <w:t xml:space="preserve">Monitoring wód podziemnych w strefach zasilania chronionych ekosystemów lądowych bezpośrednio zależnych od wód podziemnych </w:t>
      </w:r>
    </w:p>
    <w:p w14:paraId="7385F6F6" w14:textId="0F0AAE25" w:rsidR="00462DD4" w:rsidRPr="00DA1674" w:rsidRDefault="00462DD4" w:rsidP="0044393D">
      <w:r w:rsidRPr="00795F17">
        <w:t>Na podstawie art. 349 ust. 14 pr.w.</w:t>
      </w:r>
      <w:r w:rsidRPr="00B502CD">
        <w:rPr>
          <w:i/>
        </w:rPr>
        <w:t xml:space="preserve"> </w:t>
      </w:r>
      <w:r w:rsidRPr="00B502CD">
        <w:t>sprawujący nadzór nad obszarami przeznaczonymi do</w:t>
      </w:r>
      <w:r w:rsidR="00981517" w:rsidRPr="00B502CD">
        <w:t> </w:t>
      </w:r>
      <w:r w:rsidRPr="00B502CD">
        <w:t>ochrony siedlisk lub gatunków, ustanowionymi w przepisach u.o.p., dla których utrzymanie lub poprawa stanu w</w:t>
      </w:r>
      <w:r w:rsidRPr="00B502CD">
        <w:rPr>
          <w:rFonts w:hint="eastAsia"/>
        </w:rPr>
        <w:t>ó</w:t>
      </w:r>
      <w:r w:rsidRPr="00B502CD">
        <w:t>d jest ważnym czynnikiem w ich ochronie, sporządza ocenę tych obszarów na</w:t>
      </w:r>
      <w:r w:rsidR="00981517" w:rsidRPr="00B502CD">
        <w:t> </w:t>
      </w:r>
      <w:r w:rsidRPr="00B502CD">
        <w:t>podstawie badań własnych przedmiotów ochrony zależnych od stanu wód oraz wyników monitoringu, które powstają w ramach PMŚ</w:t>
      </w:r>
      <w:r w:rsidRPr="00DA1674">
        <w:t>.</w:t>
      </w:r>
    </w:p>
    <w:p w14:paraId="756042C2" w14:textId="01838F10" w:rsidR="00462DD4" w:rsidRDefault="005B7B12" w:rsidP="0044393D">
      <w:r>
        <w:t>Na</w:t>
      </w:r>
      <w:r w:rsidR="00462DD4" w:rsidRPr="00795F17">
        <w:t xml:space="preserve"> obszarach chronionych ekosystemów lądowych bezpośrednio zależnych od wód podziemnych oceniany jest wpływ stanu ilościowego, rozumianego tu jako amplituda wahań zwierciadła wód podziemnych, i chemicznego </w:t>
      </w:r>
      <w:r w:rsidR="00DF005E">
        <w:t>JCWP</w:t>
      </w:r>
      <w:r w:rsidR="00462DD4" w:rsidRPr="00795F17">
        <w:t xml:space="preserve">d </w:t>
      </w:r>
      <w:r w:rsidR="00C827BA">
        <w:t>–</w:t>
      </w:r>
      <w:r w:rsidR="00462DD4" w:rsidRPr="00795F17">
        <w:t xml:space="preserve"> rozumianego jako stan chemiczny i skład chemiczny wód rozpatrywanej jednolitej części, na stan tych ekosystemów. Do monitoringu tego wskazano punkty badawcze, które są jednocześnie punktami monitoringu położenia zwierciadła i/lub chemizmu wód </w:t>
      </w:r>
      <w:r w:rsidR="00AB365F">
        <w:t>MD</w:t>
      </w:r>
      <w:r w:rsidR="00462DD4" w:rsidRPr="00795F17">
        <w:t xml:space="preserve"> i </w:t>
      </w:r>
      <w:r w:rsidR="00AB365F">
        <w:t>MO</w:t>
      </w:r>
      <w:r w:rsidR="00462DD4" w:rsidRPr="00795F17">
        <w:t>, znajdujące się w strefie dopływu wód podziemnych do</w:t>
      </w:r>
      <w:r w:rsidR="00981517" w:rsidRPr="00795F17">
        <w:t> </w:t>
      </w:r>
      <w:r w:rsidR="00462DD4" w:rsidRPr="00795F17">
        <w:t>ekosystemu. W związku z tym zakres, częstotliwość i metodyka badań w tych punktach są</w:t>
      </w:r>
      <w:r w:rsidR="00981517" w:rsidRPr="00795F17">
        <w:t> </w:t>
      </w:r>
      <w:r w:rsidR="00462DD4" w:rsidRPr="00795F17">
        <w:t xml:space="preserve">identyczne, jak dla punktów pomiarowo-kontrolnych monitoringu stanu ilościowego i chemicznego. </w:t>
      </w:r>
    </w:p>
    <w:p w14:paraId="7770E068" w14:textId="405DFF33" w:rsidR="00E42C50" w:rsidRPr="00795F17" w:rsidRDefault="00E42C50" w:rsidP="0044393D">
      <w:r w:rsidRPr="3B82C5EB">
        <w:rPr>
          <w:rFonts w:cs="Calibri"/>
        </w:rPr>
        <w:t xml:space="preserve">Aktualnie liczba punktów SOBWP reprezentatywnych do monitoringu wód podziemnych w strefach zasilania chronionych ekosystemów lądowych zależnych od wód podziemnych </w:t>
      </w:r>
      <w:r w:rsidRPr="008741F9">
        <w:rPr>
          <w:rFonts w:cs="Calibri"/>
        </w:rPr>
        <w:t xml:space="preserve">na obszarze dorzecza </w:t>
      </w:r>
      <w:r w:rsidRPr="3B82C5EB">
        <w:rPr>
          <w:rFonts w:cs="Calibri"/>
        </w:rPr>
        <w:t>Odry wynosi 26.</w:t>
      </w:r>
    </w:p>
    <w:p w14:paraId="08EE1560" w14:textId="77777777" w:rsidR="00462DD4" w:rsidRPr="00795F17" w:rsidRDefault="00462DD4" w:rsidP="0044393D">
      <w:pPr>
        <w:pStyle w:val="Nagwek5"/>
      </w:pPr>
      <w:r w:rsidRPr="00795F17">
        <w:t>Monitoring wód ujmowanych do zaopatrzenia ludności w wodę do spożycia</w:t>
      </w:r>
    </w:p>
    <w:p w14:paraId="30B6B1F5" w14:textId="312DAD47" w:rsidR="00462DD4" w:rsidRDefault="00462DD4" w:rsidP="0044393D">
      <w:r w:rsidRPr="00795F17">
        <w:t xml:space="preserve">Do monitoringu wód ujmowanych do zaopatrzenia ludności w wodę do spożycia wskazano wybrane punkty </w:t>
      </w:r>
      <w:r w:rsidR="00AB365F">
        <w:t>MD</w:t>
      </w:r>
      <w:r w:rsidRPr="00795F17">
        <w:t xml:space="preserve"> i </w:t>
      </w:r>
      <w:r w:rsidR="00AB365F">
        <w:t>MO</w:t>
      </w:r>
      <w:r w:rsidR="00AB365F" w:rsidRPr="00795F17">
        <w:t xml:space="preserve"> </w:t>
      </w:r>
      <w:r w:rsidRPr="00795F17">
        <w:t>stanu chemicznego. Są to przede wszystkim punkty, które stanowią potencjalne źródło zaopatrzenia w wodę przeznaczon</w:t>
      </w:r>
      <w:r w:rsidRPr="00795F17">
        <w:rPr>
          <w:rFonts w:hint="eastAsia"/>
        </w:rPr>
        <w:t>ą</w:t>
      </w:r>
      <w:r w:rsidRPr="00795F17">
        <w:t xml:space="preserve"> do spożycia przez ludzi, czyli punkty wchodzące w skład ujęć komunalnych, punkty z których woda jest wykorzystywana do</w:t>
      </w:r>
      <w:r w:rsidR="00981517" w:rsidRPr="00795F17">
        <w:t> </w:t>
      </w:r>
      <w:r w:rsidRPr="00795F17">
        <w:t>spożycia przez ludzi w związku z prowadzoną działalności handlową lub publiczną (m.in. zakłady produkcyjne, szkoły, szpitale) oraz punkty ujmujące lub monitorujące główne użytkowe poziomy wodonośne (GUPW) i główne zbiorniki wód podziemnych (GZWP). Dla potrzeb tego monitoringu wykorzystuje się wyniki badań w sieci obserwacyjno-badawczej wód podziemnych wskazane do</w:t>
      </w:r>
      <w:r w:rsidR="00981517" w:rsidRPr="00795F17">
        <w:t> </w:t>
      </w:r>
      <w:r w:rsidRPr="00795F17">
        <w:t xml:space="preserve">monitoringu stanu chemicznego. </w:t>
      </w:r>
    </w:p>
    <w:p w14:paraId="4046863E" w14:textId="6C98C8FE" w:rsidR="00407FCD" w:rsidRPr="00795F17" w:rsidRDefault="00407FCD" w:rsidP="0044393D">
      <w:r w:rsidRPr="3B82C5EB">
        <w:rPr>
          <w:rFonts w:cs="Calibri"/>
        </w:rPr>
        <w:t xml:space="preserve">Aktualnie liczba punktów sieci monitoringu stanu chemicznego monitorująca wody ujmowane do zaopatrzenia ludności w wodę do spożycia </w:t>
      </w:r>
      <w:r>
        <w:rPr>
          <w:rFonts w:cs="Calibri"/>
        </w:rPr>
        <w:t>na obszarze dorzecza</w:t>
      </w:r>
      <w:r w:rsidRPr="3B82C5EB">
        <w:rPr>
          <w:rFonts w:cs="Calibri"/>
        </w:rPr>
        <w:t xml:space="preserve"> Odry wynosi łącznie 296. Zakres, metodyka i częstotliwość badań w tych punktach są analogiczne jak dla monitoringu stanu chemicznego.</w:t>
      </w:r>
    </w:p>
    <w:p w14:paraId="6BD5D2AD" w14:textId="77777777" w:rsidR="00462DD4" w:rsidRPr="00795F17" w:rsidRDefault="00462DD4" w:rsidP="0044393D">
      <w:pPr>
        <w:pStyle w:val="Nagwek4"/>
      </w:pPr>
      <w:r w:rsidRPr="00795F17">
        <w:t>Badania stężeń azotanów na potrzeby oceny skuteczności programu działań</w:t>
      </w:r>
    </w:p>
    <w:p w14:paraId="05002C6A" w14:textId="405D54CC" w:rsidR="00462DD4" w:rsidRPr="00795F17" w:rsidRDefault="00462DD4" w:rsidP="0044393D">
      <w:r w:rsidRPr="00795F17">
        <w:t xml:space="preserve">Zgodnie z art. 110 pr.w., w ramach systemu PMŚ prowadzony jest monitoring stężeń azotanów służący dokonaniu oceny skuteczności programu działań. </w:t>
      </w:r>
    </w:p>
    <w:p w14:paraId="72B491D5" w14:textId="5426A726" w:rsidR="00462DD4" w:rsidRPr="00795F17" w:rsidRDefault="00462DD4" w:rsidP="0044393D">
      <w:r w:rsidRPr="00795F17">
        <w:t xml:space="preserve">Monitoring stężeń azotanów jest ukierunkowany na oddziaływanie presji rolniczej na wody podziemne i do 2016 r. był realizowany w wydzielonych obszarach szczególnie narażonych na zanieczyszczenia azotanami pochodzenia rolniczego, których granice aktualizowano co 4 lata. Od 2018 r. </w:t>
      </w:r>
      <w:r w:rsidR="00A6476F" w:rsidRPr="00795F17">
        <w:rPr>
          <w:i/>
          <w:iCs/>
        </w:rPr>
        <w:t>Program działań mających na celu zmniejszenie zanieczyszczenia wód azotanami pochodzącymi ze źródeł rolniczych oraz zapobieganie dalszemu zanieczyszczeniu</w:t>
      </w:r>
      <w:r w:rsidR="00A6476F" w:rsidRPr="00795F17">
        <w:t xml:space="preserve"> </w:t>
      </w:r>
      <w:r w:rsidRPr="00795F17">
        <w:t xml:space="preserve">obowiązuje na obszarze całego kraju, dlatego też monitoring stężeń azotanów na potrzeby oceny skuteczności programu działań jest realizowany </w:t>
      </w:r>
      <w:r w:rsidR="005B7B12">
        <w:t>na</w:t>
      </w:r>
      <w:r w:rsidR="00DA1EF7" w:rsidRPr="00795F17">
        <w:t> </w:t>
      </w:r>
      <w:r w:rsidRPr="00795F17">
        <w:t xml:space="preserve">obszarze całego kraju. </w:t>
      </w:r>
    </w:p>
    <w:p w14:paraId="144B827B" w14:textId="69E73F2F" w:rsidR="00462DD4" w:rsidRPr="00795F17" w:rsidRDefault="00462DD4" w:rsidP="0044393D">
      <w:r w:rsidRPr="00795F17">
        <w:t xml:space="preserve">Zgodnie z </w:t>
      </w:r>
      <w:r w:rsidR="008C5E88">
        <w:t>postanowieniami</w:t>
      </w:r>
      <w:r w:rsidRPr="00795F17">
        <w:t xml:space="preserve"> Dyrektywy Azotanowej monitoring dotyczy jedynie badań stężeń azotanów. Nie</w:t>
      </w:r>
      <w:r w:rsidR="00981517" w:rsidRPr="00795F17">
        <w:t> </w:t>
      </w:r>
      <w:r w:rsidRPr="00795F17">
        <w:t>mniej jednak, w celu przeprowadzenia kontroli jakości wyników, zakres oznaczanych wskaźników wymaga oznaczenia równie grupy wskaźników podstawowych, niezbędnych do wykonania analizy bilansu jonowego.</w:t>
      </w:r>
    </w:p>
    <w:p w14:paraId="2FD963F4" w14:textId="2FD43679" w:rsidR="00462DD4" w:rsidRPr="00795F17" w:rsidRDefault="00462DD4" w:rsidP="0044393D">
      <w:r w:rsidRPr="00795F17">
        <w:t>Częstotliwość pomiarów stężeń azotanów na potrzeby oceny skuteczności programu działań definiuje Dyrektywa Azotanowa. Monitoring należy prowadzić nie rzadziej niż raz na 4 lata w przypadku punktów, gdzie stężenie azotanów w co najmniej jednej z poprzednich próbek wynosiło powyżej 25</w:t>
      </w:r>
      <w:r w:rsidR="00981517" w:rsidRPr="00795F17">
        <w:t> </w:t>
      </w:r>
      <w:r w:rsidRPr="00795F17">
        <w:t xml:space="preserve">mg/l, a w pozostałych punktach </w:t>
      </w:r>
      <w:r w:rsidR="00C827BA">
        <w:t>–</w:t>
      </w:r>
      <w:r w:rsidRPr="00795F17">
        <w:t xml:space="preserve"> co 8 lat. Częstotliwość monitoringu nawiązuje do czteroletnich cykli raportowania wymaganych Dyrektywą Azotanową (2016</w:t>
      </w:r>
      <w:r w:rsidR="00C827BA">
        <w:t>–</w:t>
      </w:r>
      <w:r w:rsidRPr="00795F17">
        <w:t>2019; 2020</w:t>
      </w:r>
      <w:r w:rsidR="00C827BA">
        <w:t>–</w:t>
      </w:r>
      <w:r w:rsidRPr="00795F17">
        <w:t>2023, 2024</w:t>
      </w:r>
      <w:r w:rsidR="00C827BA">
        <w:t>–</w:t>
      </w:r>
      <w:r w:rsidRPr="00795F17">
        <w:t>2027).</w:t>
      </w:r>
    </w:p>
    <w:p w14:paraId="41DC551E" w14:textId="72655FDC" w:rsidR="00462DD4" w:rsidRPr="00795F17" w:rsidRDefault="00462DD4" w:rsidP="0044393D">
      <w:r w:rsidRPr="00795F17">
        <w:t>Stężenia azotanów są badane w ramach monitoringu stanu chemicznego (</w:t>
      </w:r>
      <w:r w:rsidR="00AB365F">
        <w:t>MD</w:t>
      </w:r>
      <w:r w:rsidR="00AB365F" w:rsidRPr="00795F17">
        <w:t xml:space="preserve"> </w:t>
      </w:r>
      <w:r w:rsidRPr="00795F17">
        <w:t>i</w:t>
      </w:r>
      <w:r w:rsidR="00981517" w:rsidRPr="00795F17">
        <w:t> </w:t>
      </w:r>
      <w:r w:rsidR="00AB365F">
        <w:t>MO</w:t>
      </w:r>
      <w:r w:rsidRPr="00795F17">
        <w:t xml:space="preserve">), a wyniki tych badań są wykorzystane do dokonania oceny skuteczności programu działań. W szczególności wyniki pozyskane podczas </w:t>
      </w:r>
      <w:r w:rsidR="00AB54FE">
        <w:t>MD</w:t>
      </w:r>
      <w:r w:rsidRPr="00795F17">
        <w:t xml:space="preserve"> w 2022</w:t>
      </w:r>
      <w:r w:rsidR="00F9781A" w:rsidRPr="00795F17">
        <w:t> </w:t>
      </w:r>
      <w:r w:rsidRPr="00795F17">
        <w:t>r., który swym zasięgiem obejmuje cały kraj,</w:t>
      </w:r>
      <w:r w:rsidR="00D146C3" w:rsidRPr="00795F17">
        <w:t xml:space="preserve"> </w:t>
      </w:r>
      <w:r w:rsidRPr="00795F17">
        <w:t>będą wystarczające do wykonania oceny skuteczności programu działań za okres 2020</w:t>
      </w:r>
      <w:r w:rsidR="00C827BA">
        <w:t>–</w:t>
      </w:r>
      <w:r w:rsidRPr="00795F17">
        <w:t>2023.</w:t>
      </w:r>
    </w:p>
    <w:p w14:paraId="3CBA32B2" w14:textId="361B6579" w:rsidR="00462DD4" w:rsidRPr="00795F17" w:rsidRDefault="00462DD4" w:rsidP="0044393D">
      <w:r w:rsidRPr="00795F17">
        <w:t>W kolejnym cyklu raportowym Dyrektywy Azotanowej 2024</w:t>
      </w:r>
      <w:r w:rsidR="00C827BA">
        <w:t>–</w:t>
      </w:r>
      <w:r w:rsidRPr="00795F17">
        <w:t xml:space="preserve">2027 monitoring stanu chemicznego będzie realizowany jedynie w zakresie </w:t>
      </w:r>
      <w:r w:rsidR="00AB54FE">
        <w:t>MO</w:t>
      </w:r>
      <w:r w:rsidRPr="00795F17">
        <w:t xml:space="preserve">, a więc będzie dotyczyć ograniczonej liczby </w:t>
      </w:r>
      <w:r w:rsidR="00DF005E">
        <w:t>JCWP</w:t>
      </w:r>
      <w:r w:rsidRPr="00795F17">
        <w:t xml:space="preserve">d, tj. tych które są uznane za zagrożone nieosiągnięciem celów środowiskowych. W celu zapewnienia odpowiedniej puli wyników stężeń azotanów na potrzeby opracowania raportu azotanowego </w:t>
      </w:r>
      <w:bookmarkStart w:id="215" w:name="_Hlk65932962"/>
      <w:r w:rsidRPr="00795F17">
        <w:t xml:space="preserve">uwzględnione zostaną również badania z punktów </w:t>
      </w:r>
      <w:bookmarkEnd w:id="215"/>
      <w:r w:rsidRPr="00795F17">
        <w:t xml:space="preserve">z pozostałych </w:t>
      </w:r>
      <w:r w:rsidR="00DF005E">
        <w:t>JCWP</w:t>
      </w:r>
      <w:r w:rsidRPr="00795F17">
        <w:t>d, w których w</w:t>
      </w:r>
      <w:r w:rsidR="00981517" w:rsidRPr="00795F17">
        <w:t> </w:t>
      </w:r>
      <w:r w:rsidRPr="00795F17">
        <w:t>co</w:t>
      </w:r>
      <w:r w:rsidR="00981517" w:rsidRPr="00795F17">
        <w:t> </w:t>
      </w:r>
      <w:r w:rsidRPr="00795F17">
        <w:t>najmniej jednej z poprzednich próbek stężenie NO</w:t>
      </w:r>
      <w:r w:rsidRPr="00795F17">
        <w:rPr>
          <w:vertAlign w:val="subscript"/>
        </w:rPr>
        <w:t>3</w:t>
      </w:r>
      <w:r w:rsidRPr="00795F17">
        <w:t xml:space="preserve"> wyniosło powyżej 25 mg/l. Punkty te zostaną objęte uzupełniaj</w:t>
      </w:r>
      <w:r w:rsidRPr="00795F17">
        <w:rPr>
          <w:rFonts w:hint="eastAsia"/>
        </w:rPr>
        <w:t>ą</w:t>
      </w:r>
      <w:r w:rsidRPr="00795F17">
        <w:t>cymi badaniami stężeń azotanów, które zaplanowano na 2025 r.</w:t>
      </w:r>
    </w:p>
    <w:p w14:paraId="4E37A57D" w14:textId="77777777" w:rsidR="00462DD4" w:rsidRPr="00795F17" w:rsidRDefault="00462DD4" w:rsidP="0044393D">
      <w:bookmarkStart w:id="216" w:name="_Hlk65932983"/>
      <w:r w:rsidRPr="00795F17">
        <w:t>W przypadku badań uzupełniających stężeń azotanów sposób poboru, kondycjonowania i transportu próbek do laboratorium jest taki sam jak w monitoringu diagnostycznym i operacyjnym.</w:t>
      </w:r>
      <w:bookmarkEnd w:id="216"/>
    </w:p>
    <w:p w14:paraId="47D4898C" w14:textId="77777777" w:rsidR="00462DD4" w:rsidRPr="00795F17" w:rsidRDefault="00462DD4" w:rsidP="0044393D">
      <w:pPr>
        <w:pStyle w:val="Nagwek4"/>
      </w:pPr>
      <w:r w:rsidRPr="00795F17">
        <w:t>Rozpoznanie jakości wód w aspekcie nowych zanieczyszczeń zgodnie z listą obserwacyjną</w:t>
      </w:r>
    </w:p>
    <w:p w14:paraId="3FAD913B" w14:textId="7BADEC67" w:rsidR="00462DD4" w:rsidRPr="00795F17" w:rsidRDefault="00462DD4" w:rsidP="0044393D">
      <w:r w:rsidRPr="00795F17">
        <w:t xml:space="preserve">Badanie jakości wód w aspekcie nowych zanieczyszczeń nie jest obligatoryjne z punktu widzenia obowiązujących przepisów prawnych na poziomie krajowym i europejskim. Niemniej w preambule </w:t>
      </w:r>
      <w:r w:rsidR="00AB54FE">
        <w:t>DWP</w:t>
      </w:r>
      <w:r w:rsidRPr="00795F17">
        <w:t xml:space="preserve"> zawarto zapis uznający konieczność rozpoznawania nowych zanieczyszczeń wód podziemnych i wskazujący potrzebę ustalenia dla nich listy obserwacyjnej. Bieżąca analiza zanieczyszczenia wód podziemnych nowymi związkami zanieczyszczeń w oparciu o</w:t>
      </w:r>
      <w:r w:rsidR="006D35CF">
        <w:t> </w:t>
      </w:r>
      <w:r w:rsidRPr="00795F17">
        <w:t>dostępne wyniki monitoringowe jak również aktualizacja zakresu związków na liście obserwacyjnej wód podziemnych są wykonywane w ramach prac grupy eksperckiej WG Groundwater działającej w</w:t>
      </w:r>
      <w:r w:rsidR="006D35CF">
        <w:t> </w:t>
      </w:r>
      <w:r w:rsidRPr="00795F17">
        <w:t xml:space="preserve">strukturze </w:t>
      </w:r>
      <w:r w:rsidRPr="00795F17">
        <w:rPr>
          <w:i/>
          <w:iCs/>
        </w:rPr>
        <w:t>Common Implementation Strategy for the Water Framework Directive and the Floods Directive</w:t>
      </w:r>
      <w:r w:rsidRPr="00795F17">
        <w:t xml:space="preserve">. Opracowane w 2019 r. wytyczne pt. </w:t>
      </w:r>
      <w:r w:rsidRPr="00795F17">
        <w:rPr>
          <w:i/>
          <w:iCs/>
        </w:rPr>
        <w:t>Voluntary groundwater watch list concept &amp; methodology</w:t>
      </w:r>
      <w:r w:rsidR="007C1459">
        <w:rPr>
          <w:rStyle w:val="Odwoanieprzypisudolnego"/>
          <w:i/>
          <w:iCs/>
        </w:rPr>
        <w:footnoteReference w:id="41"/>
      </w:r>
      <w:r w:rsidRPr="00795F17">
        <w:t xml:space="preserve"> zawierają listy wskaźników zanieczyszczeń, co do których istnieje duże prawdopodobieństwo obecności w wodach podziemnych, jako rekomendacje do uwzględnienia w</w:t>
      </w:r>
      <w:r w:rsidR="00981517" w:rsidRPr="00795F17">
        <w:t> </w:t>
      </w:r>
      <w:r w:rsidRPr="00795F17">
        <w:t>lokalnych programach monitoringowych. W zależności od częstotliwości występowania zanieczyszczeń w wodach podziemnych potwierdzonych dostępnymi badaniami monitoringowymi wskaźniki umieszczane są na dwóch rodzajach list, tj. liście wspierającej (</w:t>
      </w:r>
      <w:r w:rsidR="00B87B52">
        <w:t xml:space="preserve">ang. </w:t>
      </w:r>
      <w:r w:rsidRPr="00795F17">
        <w:rPr>
          <w:i/>
          <w:iCs/>
        </w:rPr>
        <w:t>list facilitating</w:t>
      </w:r>
      <w:r w:rsidRPr="00795F17">
        <w:t>) lub liście obserwacyjnej (</w:t>
      </w:r>
      <w:r w:rsidR="00B87B52">
        <w:t xml:space="preserve">ang. </w:t>
      </w:r>
      <w:r w:rsidRPr="00795F17">
        <w:rPr>
          <w:i/>
          <w:iCs/>
        </w:rPr>
        <w:t>groundwater watch list</w:t>
      </w:r>
      <w:r w:rsidRPr="00795F17">
        <w:t>). Niebezpieczne nowe substancje organiczne, których występowanie w wodach podziemnych zostało udokumentowane na ustalonym poziomie ufności są</w:t>
      </w:r>
      <w:r w:rsidR="00981517" w:rsidRPr="00795F17">
        <w:t> </w:t>
      </w:r>
      <w:r w:rsidRPr="00795F17">
        <w:t>rekomendowane do regulacji na poziomie europejskim w ramach</w:t>
      </w:r>
      <w:r w:rsidR="00D146C3" w:rsidRPr="00795F17">
        <w:t xml:space="preserve"> </w:t>
      </w:r>
      <w:r w:rsidRPr="00795F17">
        <w:t>aktualizacji załączników Dyrektywy Wód Podziemnych. Wskaźniki zanieczyszczeń, co do których istnieją dowody o dużej szkodliwości dla zdrowia człowieka i środowiska, lecz ich udokumentowanie nie jest wystarczające, są</w:t>
      </w:r>
      <w:r w:rsidR="00981517" w:rsidRPr="00795F17">
        <w:t> </w:t>
      </w:r>
      <w:r w:rsidRPr="00795F17">
        <w:t xml:space="preserve">umieszczane na liście obserwacyjnej. </w:t>
      </w:r>
    </w:p>
    <w:p w14:paraId="00A96851" w14:textId="431EBBDE" w:rsidR="00462DD4" w:rsidRPr="00795F17" w:rsidRDefault="00462DD4" w:rsidP="0044393D">
      <w:bookmarkStart w:id="217" w:name="_Hlk65933013"/>
      <w:bookmarkStart w:id="218" w:name="_Hlk65934116"/>
      <w:r w:rsidRPr="00795F17">
        <w:t>Na koniec 2020 r. na liście wspierającej rewizję załączników DWP umieszczonych było 12 substancji: 10 związków perfluorowanych PFAS (</w:t>
      </w:r>
      <w:r w:rsidRPr="00472FD2">
        <w:t xml:space="preserve">kwas perfluorobutanosulfonowy </w:t>
      </w:r>
      <w:r w:rsidRPr="00C827BA">
        <w:t xml:space="preserve">PFBS, </w:t>
      </w:r>
      <w:r w:rsidRPr="00B502CD">
        <w:t xml:space="preserve">kwas perfluorooktanowy </w:t>
      </w:r>
      <w:r w:rsidRPr="00C827BA">
        <w:t xml:space="preserve">PFOA, </w:t>
      </w:r>
      <w:r w:rsidRPr="00B502CD">
        <w:t xml:space="preserve">kwas perfluorobutanowy </w:t>
      </w:r>
      <w:r w:rsidRPr="00C827BA">
        <w:t xml:space="preserve">PFBA, </w:t>
      </w:r>
      <w:r w:rsidRPr="00B502CD">
        <w:t xml:space="preserve">kwas perfluorooktanosulfonowy </w:t>
      </w:r>
      <w:r w:rsidRPr="00C827BA">
        <w:t xml:space="preserve">PFOS, </w:t>
      </w:r>
      <w:r w:rsidRPr="00B502CD">
        <w:t xml:space="preserve">kwas perfluoroheksanosulfonowy </w:t>
      </w:r>
      <w:r w:rsidRPr="00C827BA">
        <w:t xml:space="preserve">PFHxS, </w:t>
      </w:r>
      <w:r w:rsidRPr="00B502CD">
        <w:t xml:space="preserve">kwas perfluoropentanowy </w:t>
      </w:r>
      <w:r w:rsidRPr="00C827BA">
        <w:t xml:space="preserve">PFPeA, </w:t>
      </w:r>
      <w:r w:rsidRPr="00B502CD">
        <w:t xml:space="preserve">kwas perfluoroheksanowy </w:t>
      </w:r>
      <w:r w:rsidRPr="00C827BA">
        <w:t xml:space="preserve">PFHxA, </w:t>
      </w:r>
      <w:r w:rsidRPr="00B502CD">
        <w:t xml:space="preserve">kwas perfluoroheptanowy </w:t>
      </w:r>
      <w:r w:rsidRPr="00C827BA">
        <w:t xml:space="preserve">PFHpA, </w:t>
      </w:r>
      <w:r w:rsidRPr="00B502CD">
        <w:t xml:space="preserve">kwas perfluorodekanowy </w:t>
      </w:r>
      <w:r w:rsidRPr="00C827BA">
        <w:t xml:space="preserve">PFDA, </w:t>
      </w:r>
      <w:r w:rsidRPr="00B502CD">
        <w:t xml:space="preserve">kwas perfluorononanowy </w:t>
      </w:r>
      <w:r w:rsidRPr="00C827BA">
        <w:t>PFNA) i 2 farmaceutyki (sulfametoksazol oraz karbamazepina). Lista obserwacyjna zawierała 11</w:t>
      </w:r>
      <w:r w:rsidR="00973A15" w:rsidRPr="00C827BA">
        <w:t> </w:t>
      </w:r>
      <w:r w:rsidRPr="00C827BA">
        <w:t>substancji (</w:t>
      </w:r>
      <w:r w:rsidRPr="00B502CD">
        <w:t xml:space="preserve">kwas perfluorododekanowy </w:t>
      </w:r>
      <w:r w:rsidRPr="00C827BA">
        <w:t xml:space="preserve">PFDoA, </w:t>
      </w:r>
      <w:r w:rsidRPr="00B502CD">
        <w:t xml:space="preserve">kwas perfluoroundekanowy </w:t>
      </w:r>
      <w:r w:rsidRPr="00795F17">
        <w:t>PFUnA, klopidol, krotamiton, kwas amidotryzowy, sulfadiazyna, prymidon, sotalol, ibuprofen, erytromycyna, klarytromycyna).</w:t>
      </w:r>
    </w:p>
    <w:p w14:paraId="7E13A3C5" w14:textId="77777777" w:rsidR="00462DD4" w:rsidRDefault="00462DD4" w:rsidP="0044393D">
      <w:r w:rsidRPr="00795F17">
        <w:t>Powyższe substancje rekomendowane są do uwzględnienia w badaniach monitoringowych w zakresie rozpoznania jakości wód w aspekcie nowych zanieczyszczeń. W kolejnych latach zakres analityczny powinien być dopasowywany do aktualnych wytycznych grupy eksperckiej.</w:t>
      </w:r>
      <w:bookmarkEnd w:id="217"/>
      <w:r w:rsidRPr="00795F17">
        <w:t xml:space="preserve"> </w:t>
      </w:r>
      <w:bookmarkEnd w:id="218"/>
    </w:p>
    <w:p w14:paraId="7D20F146" w14:textId="73D4FC2B" w:rsidR="002A7729" w:rsidRPr="00795F17" w:rsidRDefault="002A7729" w:rsidP="0044393D">
      <w:r>
        <w:t>Aktualnie brak jest możliwości finansowania badań nowych zanieczyszczeń wód podziemnych w zakresie nieobligatoryjnym w ramach PMŚ.</w:t>
      </w:r>
    </w:p>
    <w:p w14:paraId="527EAD2F" w14:textId="665A0DAD" w:rsidR="00462DD4" w:rsidRPr="00795F17" w:rsidRDefault="00462DD4" w:rsidP="0044393D">
      <w:r w:rsidRPr="00795F17">
        <w:t xml:space="preserve">Sugerowana roczna liczba punktów opróbowanych </w:t>
      </w:r>
      <w:r w:rsidR="000B3137">
        <w:t>na</w:t>
      </w:r>
      <w:r w:rsidRPr="00795F17">
        <w:t xml:space="preserve"> obszarze dorzecza Odry wynosi 50.</w:t>
      </w:r>
    </w:p>
    <w:p w14:paraId="60C6C9C0" w14:textId="77777777" w:rsidR="00462DD4" w:rsidRPr="00795F17" w:rsidRDefault="00462DD4" w:rsidP="00C53C86">
      <w:pPr>
        <w:pStyle w:val="Nagwek3"/>
      </w:pPr>
      <w:bookmarkStart w:id="219" w:name="_Toc105512646"/>
      <w:r w:rsidRPr="00795F17">
        <w:t>Mapa sieci monitoringu wraz z prezentacją programów monitoringowych</w:t>
      </w:r>
      <w:bookmarkEnd w:id="219"/>
    </w:p>
    <w:p w14:paraId="4536B73F" w14:textId="27CB9318" w:rsidR="00462DD4" w:rsidRPr="00795F17" w:rsidRDefault="00462DD4" w:rsidP="0044393D">
      <w:pPr>
        <w:pStyle w:val="Nagwek4"/>
      </w:pPr>
      <w:r w:rsidRPr="00795F17">
        <w:t>Mapa sieci monitoringu wód podziemnych na lata 2022</w:t>
      </w:r>
      <w:r w:rsidR="00EC4A0D">
        <w:t>–</w:t>
      </w:r>
      <w:r w:rsidRPr="00795F17">
        <w:t>2027</w:t>
      </w:r>
    </w:p>
    <w:p w14:paraId="5F20C653" w14:textId="28E22768" w:rsidR="00462DD4" w:rsidRPr="00795F17" w:rsidRDefault="00462DD4" w:rsidP="0044393D">
      <w:r w:rsidRPr="00795F17">
        <w:t>Badania monitoringowe wód podziemnych realizuje się w punktach sieci monitoringu wód podziemnych, w której wyróżnia się sieć monitoringu stanu chemicznego i sieć monitoringu stanu ilościowego. Badania wykonywane w punktach sieci monitoringu stanu chemicznego i ilościowego są</w:t>
      </w:r>
      <w:r w:rsidR="00981517" w:rsidRPr="00795F17">
        <w:t> </w:t>
      </w:r>
      <w:r w:rsidRPr="00795F17">
        <w:t xml:space="preserve">wykorzystywane na potrzeby opracowania oceny stanu </w:t>
      </w:r>
      <w:r w:rsidR="00DF005E">
        <w:t>JCWP</w:t>
      </w:r>
      <w:r w:rsidRPr="00795F17">
        <w:t xml:space="preserve">d. Niewielka część punktów tych sieci jest wspólna z punktami sieci monitoringów badawczych, które ze względu na swój charakter mają oddzielne programy badań i odpowiednio dopasowaną strukturę sieci monitoringowych, jak również zasilają ocenę stanu </w:t>
      </w:r>
      <w:r w:rsidR="00DF005E">
        <w:t>JCWP</w:t>
      </w:r>
      <w:r w:rsidRPr="00795F17">
        <w:t xml:space="preserve">d w formie zinterpretowanej. </w:t>
      </w:r>
    </w:p>
    <w:p w14:paraId="07654136" w14:textId="5143F180" w:rsidR="00462DD4" w:rsidRPr="00795F17" w:rsidRDefault="00462DD4" w:rsidP="0044393D">
      <w:pPr>
        <w:pStyle w:val="Nagwek4"/>
      </w:pPr>
      <w:r w:rsidRPr="00795F17">
        <w:t xml:space="preserve">Mapa sieci monitoringu stanu chemicznego </w:t>
      </w:r>
      <w:r w:rsidR="00DF005E">
        <w:t>JCWP</w:t>
      </w:r>
      <w:r w:rsidR="005F3138" w:rsidRPr="00795F17">
        <w:t>d</w:t>
      </w:r>
    </w:p>
    <w:p w14:paraId="52836D0A" w14:textId="44C89868" w:rsidR="00462DD4" w:rsidRPr="00795F17" w:rsidRDefault="00462DD4" w:rsidP="0044393D">
      <w:r w:rsidRPr="00795F17">
        <w:t xml:space="preserve">Monitoring stanu chemicznego </w:t>
      </w:r>
      <w:r w:rsidR="00DF005E">
        <w:t>JCWP</w:t>
      </w:r>
      <w:r w:rsidRPr="00795F17">
        <w:t>d jest prowadzony w ramach PMŚ w celu otrzymania spójnego i</w:t>
      </w:r>
      <w:r w:rsidR="00981517" w:rsidRPr="00795F17">
        <w:t> </w:t>
      </w:r>
      <w:r w:rsidRPr="00795F17">
        <w:t xml:space="preserve">całościowego obrazu stanu chemicznego wód podziemnych w ramach każdego </w:t>
      </w:r>
      <w:r w:rsidR="0080582C" w:rsidRPr="00795F17">
        <w:t xml:space="preserve">obszaru </w:t>
      </w:r>
      <w:r w:rsidRPr="00795F17">
        <w:t xml:space="preserve">dorzecza oraz wykrycia długoterminowych antropogenicznych tendencji wzrostu poziomu zanieczyszczeń. Sieć monitoringu stanu chemicznego składa się z punktów, </w:t>
      </w:r>
      <w:bookmarkStart w:id="220" w:name="_Hlk65933049"/>
      <w:r w:rsidRPr="00795F17">
        <w:t xml:space="preserve">które są przypisane do sieci </w:t>
      </w:r>
      <w:r w:rsidR="00870A3A">
        <w:t xml:space="preserve">MD </w:t>
      </w:r>
      <w:r w:rsidRPr="00795F17">
        <w:t xml:space="preserve">i/lub </w:t>
      </w:r>
      <w:bookmarkEnd w:id="220"/>
      <w:r w:rsidR="00870A3A">
        <w:t>MO</w:t>
      </w:r>
      <w:r w:rsidRPr="00795F17">
        <w:t>.</w:t>
      </w:r>
    </w:p>
    <w:p w14:paraId="16FAE9DC" w14:textId="77777777" w:rsidR="00462DD4" w:rsidRPr="00795F17" w:rsidRDefault="00462DD4" w:rsidP="0044393D">
      <w:pPr>
        <w:pStyle w:val="Nagwek5"/>
      </w:pPr>
      <w:r w:rsidRPr="00795F17">
        <w:t>Monitoring diagnostyczny</w:t>
      </w:r>
    </w:p>
    <w:p w14:paraId="32EA4C81" w14:textId="5E8BA78B" w:rsidR="00462DD4" w:rsidRPr="00795F17" w:rsidRDefault="00870A3A" w:rsidP="0044393D">
      <w:r>
        <w:t>MD</w:t>
      </w:r>
      <w:r w:rsidR="00462DD4" w:rsidRPr="00795F17">
        <w:t xml:space="preserve"> obejmuje obszar całego kraju. Badania są prowadzone we wszystkich </w:t>
      </w:r>
      <w:r w:rsidR="00DF005E">
        <w:t>JCWP</w:t>
      </w:r>
      <w:r w:rsidR="00462DD4" w:rsidRPr="00795F17">
        <w:t xml:space="preserve">d </w:t>
      </w:r>
      <w:r w:rsidR="000039B3">
        <w:t>na</w:t>
      </w:r>
      <w:r w:rsidR="00462DD4" w:rsidRPr="00795F17">
        <w:t xml:space="preserve"> obszarze dorzecza Odry.</w:t>
      </w:r>
    </w:p>
    <w:p w14:paraId="6185B173" w14:textId="2EA77090" w:rsidR="00462DD4" w:rsidRPr="00795F17" w:rsidRDefault="00462DD4" w:rsidP="0044393D">
      <w:r w:rsidRPr="00795F17">
        <w:t xml:space="preserve">Zgodnie z Programem monitoringu </w:t>
      </w:r>
      <w:r w:rsidR="00DF005E">
        <w:t>JCWP</w:t>
      </w:r>
      <w:r w:rsidRPr="00795F17">
        <w:t>d na lata 2022</w:t>
      </w:r>
      <w:r w:rsidR="00C827BA">
        <w:t>–</w:t>
      </w:r>
      <w:r w:rsidRPr="00795F17">
        <w:t>2027</w:t>
      </w:r>
      <w:r w:rsidRPr="00795F17">
        <w:rPr>
          <w:rStyle w:val="Odwoanieprzypisudolnego"/>
        </w:rPr>
        <w:footnoteReference w:id="42"/>
      </w:r>
      <w:r w:rsidRPr="00795F17">
        <w:t xml:space="preserve"> aktualna liczba punktów sieci monitoringu chemicznego, w których prowadzone będą badania w ramach </w:t>
      </w:r>
      <w:r w:rsidR="00FE653A">
        <w:t>MD</w:t>
      </w:r>
      <w:r w:rsidRPr="00795F17">
        <w:t xml:space="preserve">, </w:t>
      </w:r>
      <w:r w:rsidR="000039B3">
        <w:t xml:space="preserve">na </w:t>
      </w:r>
      <w:r w:rsidR="0080582C" w:rsidRPr="00795F17">
        <w:t xml:space="preserve">obszarze </w:t>
      </w:r>
      <w:r w:rsidRPr="00795F17">
        <w:t>dorzecz</w:t>
      </w:r>
      <w:r w:rsidR="0080582C" w:rsidRPr="00795F17">
        <w:t>a</w:t>
      </w:r>
      <w:r w:rsidRPr="00795F17">
        <w:t xml:space="preserve"> Odry wynosi 575 punkty (załącznik graficzny nr 1</w:t>
      </w:r>
      <w:r w:rsidR="001A057E">
        <w:t>5</w:t>
      </w:r>
      <w:r w:rsidRPr="00795F17">
        <w:t xml:space="preserve">). Sieć będzie sukcesywnie uzupełniana o nowe punkty do łącznej liczby 631 punktów, które powinny zapewnić optymalną reprezentatywność sieci na potrzeby oceny stanu </w:t>
      </w:r>
      <w:r w:rsidR="00DF005E">
        <w:t>JCWP</w:t>
      </w:r>
      <w:r w:rsidRPr="00795F17">
        <w:t>d.</w:t>
      </w:r>
    </w:p>
    <w:p w14:paraId="60F578A5" w14:textId="77777777" w:rsidR="00462DD4" w:rsidRPr="00795F17" w:rsidRDefault="00462DD4" w:rsidP="0044393D">
      <w:pPr>
        <w:pStyle w:val="Nagwek5"/>
      </w:pPr>
      <w:r w:rsidRPr="00795F17">
        <w:t>Monitoring operacyjny</w:t>
      </w:r>
    </w:p>
    <w:p w14:paraId="4422330C" w14:textId="629C6980" w:rsidR="00462DD4" w:rsidRPr="00795F17" w:rsidRDefault="00462DD4" w:rsidP="0044393D">
      <w:r w:rsidRPr="00795F17">
        <w:t xml:space="preserve">Monitoring operacyjny stanu chemicznego jednolitych części wód podziemnych prowadzi się dla jednolitych części wód podziemnych uznanych, na podstawie </w:t>
      </w:r>
      <w:r w:rsidR="00BF55F4">
        <w:t>MD</w:t>
      </w:r>
      <w:r w:rsidRPr="00795F17">
        <w:t xml:space="preserve"> oraz oceny wpływu oddziaływań, za zagrożone nie</w:t>
      </w:r>
      <w:r w:rsidR="00FC6F27">
        <w:t>osiągnięcie</w:t>
      </w:r>
      <w:r w:rsidRPr="00795F17">
        <w:t>m określonych dla nich celów środowiskowych, o</w:t>
      </w:r>
      <w:r w:rsidR="00981517" w:rsidRPr="00795F17">
        <w:t> </w:t>
      </w:r>
      <w:r w:rsidRPr="00795F17">
        <w:t>których mowa w art. 59 pr.w.</w:t>
      </w:r>
    </w:p>
    <w:p w14:paraId="6F0D3CC8" w14:textId="414C1877" w:rsidR="00462DD4" w:rsidRPr="00795F17" w:rsidRDefault="00462DD4" w:rsidP="004B7734">
      <w:r w:rsidRPr="00795F17">
        <w:t>Na cykl planistyczny 2022</w:t>
      </w:r>
      <w:r w:rsidR="00C827BA">
        <w:t>–</w:t>
      </w:r>
      <w:r w:rsidRPr="00795F17">
        <w:t xml:space="preserve">2027 </w:t>
      </w:r>
      <w:r w:rsidR="000039B3">
        <w:t>na</w:t>
      </w:r>
      <w:r w:rsidRPr="00795F17">
        <w:t xml:space="preserve"> </w:t>
      </w:r>
      <w:r w:rsidR="0080582C" w:rsidRPr="00795F17">
        <w:t xml:space="preserve">obszarze </w:t>
      </w:r>
      <w:r w:rsidRPr="00795F17">
        <w:t>dorzecz</w:t>
      </w:r>
      <w:r w:rsidR="0080582C" w:rsidRPr="00795F17">
        <w:t>a</w:t>
      </w:r>
      <w:r w:rsidRPr="00795F17">
        <w:t xml:space="preserve"> Odry wskazano łącznie 21 </w:t>
      </w:r>
      <w:r w:rsidR="00DF005E">
        <w:t>JCWP</w:t>
      </w:r>
      <w:r w:rsidRPr="00795F17">
        <w:t>d jako zagrożone nieosiągnięciem celów środowiskowych</w:t>
      </w:r>
      <w:r w:rsidRPr="00795F17">
        <w:rPr>
          <w:rStyle w:val="Odwoanieprzypisudolnego"/>
        </w:rPr>
        <w:footnoteReference w:id="43"/>
      </w:r>
      <w:r w:rsidRPr="00795F17">
        <w:t xml:space="preserve">. Są to </w:t>
      </w:r>
      <w:r w:rsidR="00DF005E">
        <w:t>JCWP</w:t>
      </w:r>
      <w:r w:rsidRPr="00795F17">
        <w:t>d o nr</w:t>
      </w:r>
      <w:r w:rsidR="00471392" w:rsidRPr="00795F17">
        <w:t>:</w:t>
      </w:r>
      <w:r w:rsidRPr="00795F17">
        <w:t xml:space="preserve"> 1, 9, 43, 60, 62, 70, 71, 76, 78, 79, 83, 95, 105, 110, 124, 127, 128, 129, 143, 144 i 155. </w:t>
      </w:r>
    </w:p>
    <w:p w14:paraId="69E1B44C" w14:textId="25884924" w:rsidR="00462DD4" w:rsidRPr="00795F17" w:rsidRDefault="00462DD4" w:rsidP="0044393D">
      <w:r w:rsidRPr="00795F17">
        <w:t xml:space="preserve">Zgodnie z Programem monitoringu </w:t>
      </w:r>
      <w:r w:rsidR="00DF005E">
        <w:t>JCWP</w:t>
      </w:r>
      <w:r w:rsidRPr="00795F17">
        <w:t>d</w:t>
      </w:r>
      <w:r w:rsidR="002970AE" w:rsidRPr="00795F17">
        <w:t xml:space="preserve"> na lata 2022</w:t>
      </w:r>
      <w:r w:rsidR="001A6DE9">
        <w:t>–</w:t>
      </w:r>
      <w:r w:rsidR="002970AE" w:rsidRPr="00795F17">
        <w:t>2027</w:t>
      </w:r>
      <w:r w:rsidR="00A96635" w:rsidRPr="00795F17">
        <w:rPr>
          <w:rStyle w:val="Odwoanieprzypisudolnego"/>
        </w:rPr>
        <w:t>3</w:t>
      </w:r>
      <w:r w:rsidR="007A377D" w:rsidRPr="00795F17">
        <w:rPr>
          <w:rStyle w:val="Odwoanieprzypisudolnego"/>
        </w:rPr>
        <w:t>1</w:t>
      </w:r>
      <w:r w:rsidRPr="00795F17">
        <w:t xml:space="preserve"> aktualna liczba punktów sieci </w:t>
      </w:r>
      <w:r w:rsidR="00BF55F4">
        <w:t>MO</w:t>
      </w:r>
      <w:r w:rsidRPr="00795F17">
        <w:t xml:space="preserve"> </w:t>
      </w:r>
      <w:r w:rsidR="000039B3">
        <w:t>na</w:t>
      </w:r>
      <w:r w:rsidR="00981517" w:rsidRPr="00795F17">
        <w:t> </w:t>
      </w:r>
      <w:r w:rsidRPr="00795F17">
        <w:t>obszarze dorzecza Odry wynosi 224 (załącznik graficzny nr 1</w:t>
      </w:r>
      <w:r w:rsidR="007B18B5">
        <w:t>5</w:t>
      </w:r>
      <w:r w:rsidRPr="00795F17">
        <w:t>). W</w:t>
      </w:r>
      <w:r w:rsidR="000039B3">
        <w:t> </w:t>
      </w:r>
      <w:r w:rsidRPr="00795F17">
        <w:t xml:space="preserve">miarę możliwości sieć będzie uzupełniana o nowe punkty do łącznej liczby 239 punktów, które powinny zapewnić optymalną reprezentatywność sieci na potrzeby oceny stanu </w:t>
      </w:r>
      <w:r w:rsidR="00DF005E">
        <w:t>JCWP</w:t>
      </w:r>
      <w:r w:rsidRPr="00795F17">
        <w:t>d.</w:t>
      </w:r>
    </w:p>
    <w:p w14:paraId="12CEBA54" w14:textId="46498C9C" w:rsidR="00462DD4" w:rsidRPr="00795F17" w:rsidRDefault="00462DD4" w:rsidP="0044393D">
      <w:pPr>
        <w:pStyle w:val="Nagwek4"/>
      </w:pPr>
      <w:r w:rsidRPr="00795F17">
        <w:t xml:space="preserve">Mapa sieci monitoringu stanu ilościowego </w:t>
      </w:r>
      <w:r w:rsidR="00DF005E">
        <w:t>JCWP</w:t>
      </w:r>
      <w:r w:rsidRPr="00795F17">
        <w:t>d</w:t>
      </w:r>
    </w:p>
    <w:p w14:paraId="1FCEDF84" w14:textId="2E35F101" w:rsidR="00462DD4" w:rsidRPr="00795F17" w:rsidRDefault="00462DD4" w:rsidP="004B7734">
      <w:r w:rsidRPr="00795F17">
        <w:t>Sieć monitoringu ilościowego wód podziemnych stanowią stacje hydrogeologiczne, na których wykonywane są cykliczne, systematyczne pomiary położenia zwierciadła wód podziemnych lub</w:t>
      </w:r>
      <w:r w:rsidR="0022557C" w:rsidRPr="00795F17">
        <w:t> </w:t>
      </w:r>
      <w:r w:rsidRPr="00795F17">
        <w:t>wydajności źródeł. Monitoringiem położenia zwierciadła wody są objęte zarówno punkty ujmujące wody o zwierciadle swobodnym (najczęściej płytkie, nieizolowane poziomy wodonośne, będące w</w:t>
      </w:r>
      <w:r w:rsidR="00981517" w:rsidRPr="00795F17">
        <w:t> </w:t>
      </w:r>
      <w:r w:rsidRPr="00795F17">
        <w:t xml:space="preserve">kontakcie z ekosystemami lądowymi), jak i te ujmujące wody o zwierciadle napiętym (poziomy izolowane, często stanowiące główne użytkowe poziomy wodonośne, będące źródłem zbiorowego zaopatrzenia w wodę). </w:t>
      </w:r>
    </w:p>
    <w:p w14:paraId="5E618ADE" w14:textId="7BD70048" w:rsidR="00462DD4" w:rsidRPr="00795F17" w:rsidRDefault="00462DD4" w:rsidP="0044393D">
      <w:r w:rsidRPr="00795F17">
        <w:t xml:space="preserve">Zgodnie z Programem monitoringu </w:t>
      </w:r>
      <w:r w:rsidR="00DF005E">
        <w:t>JCWP</w:t>
      </w:r>
      <w:r w:rsidRPr="00795F17">
        <w:t>d</w:t>
      </w:r>
      <w:r w:rsidR="002970AE" w:rsidRPr="00795F17">
        <w:t xml:space="preserve"> na lata 2022</w:t>
      </w:r>
      <w:r w:rsidR="00C827BA">
        <w:t>–</w:t>
      </w:r>
      <w:r w:rsidR="002970AE" w:rsidRPr="00795F17">
        <w:t>2027</w:t>
      </w:r>
      <w:r w:rsidR="007A377D" w:rsidRPr="00795F17">
        <w:rPr>
          <w:vertAlign w:val="superscript"/>
        </w:rPr>
        <w:t>31</w:t>
      </w:r>
      <w:r w:rsidRPr="00795F17">
        <w:t xml:space="preserve">, punkty monitoringu stanu ilościowego są zlokalizowane we wszystkich </w:t>
      </w:r>
      <w:r w:rsidR="00DF005E">
        <w:t>JCWP</w:t>
      </w:r>
      <w:r w:rsidRPr="00795F17">
        <w:t>d obszaru dorzecza Odry. Aktualna liczba punktów sieci monitoringu ilościowego w</w:t>
      </w:r>
      <w:r w:rsidR="002970AE" w:rsidRPr="00795F17">
        <w:t xml:space="preserve"> </w:t>
      </w:r>
      <w:r w:rsidRPr="00795F17">
        <w:t>obszarze dorzecza Odry wynosi 428 (załącznik graficzny nr 1</w:t>
      </w:r>
      <w:r w:rsidR="007B18B5">
        <w:t>5</w:t>
      </w:r>
      <w:r w:rsidRPr="00795F17">
        <w:t xml:space="preserve">). W miarę możliwości sieć będzie uzupełniana o nowe punkty do łącznej liczby 533 punktów, które powinny zapewnić optymalną reprezentatywność sieci na potrzeby oceny stanu </w:t>
      </w:r>
      <w:r w:rsidR="00DF005E">
        <w:t>JCWP</w:t>
      </w:r>
      <w:r w:rsidRPr="00795F17">
        <w:t>d.</w:t>
      </w:r>
    </w:p>
    <w:p w14:paraId="5F193E2A" w14:textId="2E2DD69F" w:rsidR="00462DD4" w:rsidRPr="00795F17" w:rsidRDefault="00462DD4" w:rsidP="00C53C86">
      <w:pPr>
        <w:pStyle w:val="Nagwek3"/>
      </w:pPr>
      <w:bookmarkStart w:id="221" w:name="_Toc105512647"/>
      <w:r w:rsidRPr="00795F17">
        <w:t xml:space="preserve">Wyniki </w:t>
      </w:r>
      <w:r w:rsidR="00495F0F">
        <w:t>oceny stanu JCWPd</w:t>
      </w:r>
      <w:bookmarkEnd w:id="221"/>
    </w:p>
    <w:p w14:paraId="6672B117" w14:textId="77777777" w:rsidR="00462DD4" w:rsidRDefault="00462DD4" w:rsidP="0044393D">
      <w:r w:rsidRPr="00795F17">
        <w:t xml:space="preserve">Na ocenę stanu </w:t>
      </w:r>
      <w:bookmarkStart w:id="222" w:name="_Hlk78278460"/>
      <w:r w:rsidRPr="00795F17">
        <w:t xml:space="preserve">jednolitych części wód podziemnych </w:t>
      </w:r>
      <w:bookmarkEnd w:id="222"/>
      <w:r w:rsidRPr="00795F17">
        <w:t xml:space="preserve">składa się interpretacja wyników monitoringu stanu chemicznego i monitoringu stanu ilościowego wód podziemnych. </w:t>
      </w:r>
    </w:p>
    <w:p w14:paraId="45367D6E" w14:textId="66786A31" w:rsidR="00495F0F" w:rsidRPr="00795F17" w:rsidRDefault="00495F0F" w:rsidP="0044393D">
      <w:r w:rsidRPr="39FC5E46">
        <w:t>Ocena stanu jcwpd została przeprowadzona na podstawie danych znajdujących się w zasobach PIG–PIB, jak również danych pochodzących z zasobów Państwowego Monitoringu Środowiska, Krajowego Zarządu Gospodarki Wodnej, Generalnej Dyrekcji Ochrony Środowiska, Regionalne Wydziały Monitoringu Środowiska oraz Instytutu Meteorologii i Gospodarki Wodnej – PIB.</w:t>
      </w:r>
    </w:p>
    <w:p w14:paraId="5900A568" w14:textId="17CD127E" w:rsidR="00462DD4" w:rsidRPr="00795F17" w:rsidRDefault="00462DD4" w:rsidP="0044393D">
      <w:bookmarkStart w:id="223" w:name="_Hlk65928334"/>
      <w:bookmarkStart w:id="224" w:name="_Hlk65933159"/>
      <w:r w:rsidRPr="00795F17">
        <w:t xml:space="preserve">Zakres wykonywanych prac w ramach oceny stanu </w:t>
      </w:r>
      <w:r w:rsidR="00DF005E">
        <w:t>JCWP</w:t>
      </w:r>
      <w:r w:rsidRPr="00795F17">
        <w:t xml:space="preserve">d jest zgodny z </w:t>
      </w:r>
      <w:r w:rsidR="008C5E88">
        <w:t>postanowieniami</w:t>
      </w:r>
      <w:r w:rsidRPr="00795F17">
        <w:t xml:space="preserve"> </w:t>
      </w:r>
      <w:r w:rsidR="00DF005E">
        <w:t>r.kl.jcwp</w:t>
      </w:r>
      <w:r w:rsidRPr="00795F17">
        <w:t>d oraz r.m.jcw.</w:t>
      </w:r>
      <w:r w:rsidR="00D146C3" w:rsidRPr="00795F17">
        <w:t xml:space="preserve"> </w:t>
      </w:r>
      <w:r w:rsidRPr="00795F17">
        <w:t>Spełnia wymogi RDW oraz DWP. Uwzględnia także wytyczne Komisji Europejskiej przedstawione w poradnikach unijnych, a w szczególności w</w:t>
      </w:r>
      <w:r w:rsidR="008629C3" w:rsidRPr="00795F17">
        <w:t xml:space="preserve"> </w:t>
      </w:r>
      <w:r w:rsidRPr="00795F17">
        <w:t xml:space="preserve">poradniku </w:t>
      </w:r>
      <w:r w:rsidRPr="00795F17">
        <w:rPr>
          <w:i/>
          <w:iCs/>
        </w:rPr>
        <w:t>Guidance on Groundwater Status and Trend Assessment</w:t>
      </w:r>
      <w:r w:rsidRPr="00795F17">
        <w:t xml:space="preserve"> (CIS Guidance Document No. 18)</w:t>
      </w:r>
      <w:r w:rsidR="005C0DDB">
        <w:rPr>
          <w:rStyle w:val="Odwoanieprzypisudolnego"/>
        </w:rPr>
        <w:footnoteReference w:id="44"/>
      </w:r>
      <w:r w:rsidRPr="00795F17">
        <w:t xml:space="preserve">. Ocena stanu </w:t>
      </w:r>
      <w:r w:rsidR="00DF005E">
        <w:t>JCWP</w:t>
      </w:r>
      <w:r w:rsidRPr="00795F17">
        <w:t>d jest wykonywana na podstawie</w:t>
      </w:r>
      <w:bookmarkEnd w:id="223"/>
      <w:r w:rsidRPr="00795F17">
        <w:t xml:space="preserve"> </w:t>
      </w:r>
      <w:bookmarkEnd w:id="224"/>
      <w:r w:rsidRPr="00795F17">
        <w:t xml:space="preserve">wytycznych określonych w opracowaniu </w:t>
      </w:r>
      <w:r w:rsidRPr="00795F17">
        <w:rPr>
          <w:i/>
        </w:rPr>
        <w:t xml:space="preserve">Aktualizacja metodyki oceny stanu </w:t>
      </w:r>
      <w:r w:rsidR="00DF005E">
        <w:rPr>
          <w:i/>
        </w:rPr>
        <w:t>JCWP</w:t>
      </w:r>
      <w:r w:rsidRPr="00795F17">
        <w:rPr>
          <w:i/>
        </w:rPr>
        <w:t>d wraz</w:t>
      </w:r>
      <w:r w:rsidR="006D35CF">
        <w:rPr>
          <w:i/>
        </w:rPr>
        <w:t> </w:t>
      </w:r>
      <w:r w:rsidRPr="00795F17">
        <w:rPr>
          <w:i/>
        </w:rPr>
        <w:t>z opracowaniem metodyki analizy odwracania trendów zanieczyszczeń</w:t>
      </w:r>
      <w:r w:rsidRPr="00795F17">
        <w:rPr>
          <w:rStyle w:val="Odwoanieprzypisudolnego"/>
        </w:rPr>
        <w:t xml:space="preserve"> </w:t>
      </w:r>
      <w:r w:rsidRPr="00795F17">
        <w:rPr>
          <w:rStyle w:val="Odwoanieprzypisudolnego"/>
        </w:rPr>
        <w:footnoteReference w:id="45"/>
      </w:r>
      <w:r w:rsidRPr="00795F17">
        <w:t>.</w:t>
      </w:r>
    </w:p>
    <w:p w14:paraId="08D66FC2" w14:textId="46A3ECDF" w:rsidR="00462DD4" w:rsidRPr="00795F17" w:rsidRDefault="00462DD4" w:rsidP="0044393D">
      <w:r w:rsidRPr="00795F17">
        <w:t xml:space="preserve">Konieczność aktualizacji metodyki oceny stanu </w:t>
      </w:r>
      <w:r w:rsidR="00DF005E">
        <w:t>JCWP</w:t>
      </w:r>
      <w:r w:rsidRPr="00795F17">
        <w:t xml:space="preserve">d wynikała ze zmian w przepisach prawa krajowego dotyczących kryteriów i sposobu oceny stanu jednolitych części wód podziemnych, dostępności danych oraz potrzeby uszczegółowienia lub uzupełnienia poszczególnych testów klasyfikacyjnych i analiz wspierających. Aktualizację metodyki oceny stanu </w:t>
      </w:r>
      <w:r w:rsidR="00DF005E">
        <w:t>JCWP</w:t>
      </w:r>
      <w:r w:rsidRPr="00795F17">
        <w:t xml:space="preserve">d przeprowadzono w 2020 r. Wzięto także pod uwagę doświadczenia z przeprowadzania ocen stanu </w:t>
      </w:r>
      <w:r w:rsidR="00DF005E">
        <w:t>JCWP</w:t>
      </w:r>
      <w:r w:rsidRPr="00795F17">
        <w:t>d wykonywanych w poprzednich cyklach planistycznych.</w:t>
      </w:r>
    </w:p>
    <w:p w14:paraId="258A2B50" w14:textId="67219298" w:rsidR="00462DD4" w:rsidRPr="00795F17" w:rsidRDefault="00462DD4" w:rsidP="0044393D">
      <w:r w:rsidRPr="00795F17">
        <w:t xml:space="preserve">Rozbudowana została metodyka analizy trendów chemicznych, uwzględniająca analizę odwracania trendów, oraz metodyka analizy położenia zwierciadła wody. Zweryfikowane zostały także kryteria wiarygodności oceny stanu </w:t>
      </w:r>
      <w:r w:rsidR="00DF005E">
        <w:t>JCWP</w:t>
      </w:r>
      <w:r w:rsidRPr="00795F17">
        <w:t>d i wartości kryterialnych w testach klasyfikacyjnych C.2, C.3 i C.5 oraz</w:t>
      </w:r>
      <w:r w:rsidR="006D35CF">
        <w:t> </w:t>
      </w:r>
      <w:r w:rsidRPr="00795F17">
        <w:t xml:space="preserve">w ocenie końcowej, </w:t>
      </w:r>
      <w:bookmarkStart w:id="226" w:name="_Hlk65928426"/>
      <w:r w:rsidRPr="00795F17">
        <w:t xml:space="preserve">np. </w:t>
      </w:r>
      <w:bookmarkStart w:id="227" w:name="_Hlk65933196"/>
      <w:r w:rsidRPr="00795F17">
        <w:t>wyniki badań z opracowań o charakterze regionalnym</w:t>
      </w:r>
      <w:bookmarkEnd w:id="226"/>
      <w:bookmarkEnd w:id="227"/>
      <w:r w:rsidRPr="00795F17">
        <w:t>.</w:t>
      </w:r>
    </w:p>
    <w:p w14:paraId="40AC5AA1" w14:textId="7EEDE3B5" w:rsidR="00462DD4" w:rsidRPr="00795F17" w:rsidRDefault="00462DD4" w:rsidP="00C13791">
      <w:r w:rsidRPr="00795F17">
        <w:t xml:space="preserve">Ocena stanu </w:t>
      </w:r>
      <w:r w:rsidR="00DF005E">
        <w:t>JCWP</w:t>
      </w:r>
      <w:r w:rsidR="001579B1">
        <w:t>d</w:t>
      </w:r>
      <w:r w:rsidR="004734B8" w:rsidRPr="00795F17">
        <w:t xml:space="preserve"> </w:t>
      </w:r>
      <w:r w:rsidRPr="00795F17">
        <w:t xml:space="preserve">została wykonana z uwzględnieniem schematyzacji pionowej </w:t>
      </w:r>
      <w:r w:rsidR="00DF005E">
        <w:t>JCWP</w:t>
      </w:r>
      <w:r w:rsidRPr="00795F17">
        <w:t>d wprowadzonej do</w:t>
      </w:r>
      <w:r w:rsidR="00981517" w:rsidRPr="00795F17">
        <w:t> </w:t>
      </w:r>
      <w:r w:rsidRPr="00795F17">
        <w:t xml:space="preserve">charakterystyk i monitoringu </w:t>
      </w:r>
      <w:r w:rsidR="00DF005E">
        <w:t>JCWP</w:t>
      </w:r>
      <w:r w:rsidRPr="00795F17">
        <w:t>d w 2013</w:t>
      </w:r>
      <w:r w:rsidR="00027AE6" w:rsidRPr="00795F17">
        <w:t> </w:t>
      </w:r>
      <w:r w:rsidRPr="00795F17">
        <w:t>r. i</w:t>
      </w:r>
      <w:r w:rsidR="008F2234">
        <w:t> </w:t>
      </w:r>
      <w:r w:rsidRPr="00795F17">
        <w:t>obowiązującej w latach 2016</w:t>
      </w:r>
      <w:r w:rsidR="00C827BA">
        <w:t>–</w:t>
      </w:r>
      <w:r w:rsidRPr="00795F17">
        <w:t>2021. Ze względu na</w:t>
      </w:r>
      <w:r w:rsidR="00981517" w:rsidRPr="00795F17">
        <w:t> </w:t>
      </w:r>
      <w:r w:rsidRPr="00795F17">
        <w:t xml:space="preserve">skomplikowaną budowę geologiczną i warunki hydrogeologiczne oraz fakt występowania wód podziemnych w wielopoziomowych strukturach mających charakter wielopiętrowych jednostek hydrogeologicznych przyjęto założenie występowania maksymalnie trzech kompleksów wodonośnych w obrębie </w:t>
      </w:r>
      <w:r w:rsidR="00DF005E">
        <w:t>JCWP</w:t>
      </w:r>
      <w:r w:rsidRPr="00795F17">
        <w:t xml:space="preserve">d, do których przyporządkowano występujące na obszarze </w:t>
      </w:r>
      <w:r w:rsidR="00DF005E">
        <w:t>JCWP</w:t>
      </w:r>
      <w:r w:rsidRPr="00795F17">
        <w:t>d poziomy wodonośne, uwzględniając zarówno warunki hydrogeologiczne, dynamikę, jak i presję antropogeniczną. W wyniku przeprowadzonej agregacji wyróżniono następujące trzy kompleksy wodonośne:</w:t>
      </w:r>
    </w:p>
    <w:p w14:paraId="2F1D9FAA" w14:textId="012E6667" w:rsidR="00462DD4" w:rsidRPr="00795F17" w:rsidRDefault="00462DD4" w:rsidP="002757E9">
      <w:pPr>
        <w:pStyle w:val="Numerowanie"/>
        <w:numPr>
          <w:ilvl w:val="0"/>
          <w:numId w:val="48"/>
        </w:numPr>
      </w:pPr>
      <w:r w:rsidRPr="00795F17">
        <w:t>Pierwszy kompleks to poziomy wodonośne o zwierciadle swobodnym, lokalnie napiętym, pozostające w bezpośrednim kontakcie z wodami powierzchniowymi i</w:t>
      </w:r>
      <w:r w:rsidR="0062238D" w:rsidRPr="00795F17">
        <w:t xml:space="preserve"> </w:t>
      </w:r>
      <w:r w:rsidRPr="00795F17">
        <w:t>ekosystemami zależnymi od</w:t>
      </w:r>
      <w:r w:rsidR="0062238D" w:rsidRPr="00795F17">
        <w:t> </w:t>
      </w:r>
      <w:r w:rsidRPr="00795F17">
        <w:t>wód. Charakteryzuje się zazwyczaj wysoką podatnością na zanieczyszczenie z powierzchni terenu.</w:t>
      </w:r>
    </w:p>
    <w:p w14:paraId="1E831A0C" w14:textId="6C99970F" w:rsidR="00462DD4" w:rsidRPr="00795F17" w:rsidRDefault="00462DD4" w:rsidP="0044393D">
      <w:pPr>
        <w:pStyle w:val="Numerowanie"/>
      </w:pPr>
      <w:r w:rsidRPr="00795F17">
        <w:t>Drugi kompleks tworzą poziomy wodonośne o zwierciadle napiętym, niepozostające w</w:t>
      </w:r>
      <w:r w:rsidR="0062238D" w:rsidRPr="00795F17">
        <w:t> </w:t>
      </w:r>
      <w:r w:rsidRPr="00795F17">
        <w:t>bezpośrednim kontakcie hydraulicznym z wodami pierwszego kompleksu. Kompleks ten często stanowi podstawę zbiorowego zaopatrzenia w wodę do spożycia.</w:t>
      </w:r>
    </w:p>
    <w:p w14:paraId="268AF74F" w14:textId="007BFFB4" w:rsidR="00462DD4" w:rsidRPr="00795F17" w:rsidRDefault="00462DD4" w:rsidP="0044393D">
      <w:pPr>
        <w:pStyle w:val="Numerowanie"/>
      </w:pPr>
      <w:r w:rsidRPr="00795F17">
        <w:t>Trzeci kompleks to najniżej rozpoznane użytkowe poziomy wodonośne, pozostające niekiedy w</w:t>
      </w:r>
      <w:r w:rsidR="0062238D" w:rsidRPr="00795F17">
        <w:t> </w:t>
      </w:r>
      <w:r w:rsidRPr="00795F17">
        <w:t>kontakcie z niżej występującymi poziomami wód słonych.</w:t>
      </w:r>
    </w:p>
    <w:p w14:paraId="3C3E46F9" w14:textId="0A875BC8" w:rsidR="00462DD4" w:rsidRPr="00795F17" w:rsidRDefault="00462DD4" w:rsidP="0044393D">
      <w:r w:rsidRPr="00795F17">
        <w:t xml:space="preserve">Ocena stanu </w:t>
      </w:r>
      <w:r w:rsidR="00DF005E">
        <w:t>JCWP</w:t>
      </w:r>
      <w:r w:rsidRPr="00795F17">
        <w:t>d składa się z</w:t>
      </w:r>
      <w:r w:rsidR="0062238D" w:rsidRPr="00795F17">
        <w:t xml:space="preserve"> </w:t>
      </w:r>
      <w:r w:rsidRPr="00795F17">
        <w:t>oceny stanu chemicznego i ilościowego. Obie</w:t>
      </w:r>
      <w:r w:rsidR="0062238D" w:rsidRPr="00795F17">
        <w:t xml:space="preserve"> </w:t>
      </w:r>
      <w:r w:rsidRPr="00795F17">
        <w:t>oceny są w stosunku do</w:t>
      </w:r>
      <w:r w:rsidR="00981517" w:rsidRPr="00795F17">
        <w:t> </w:t>
      </w:r>
      <w:r w:rsidRPr="00795F17">
        <w:t>siebie równorzędne, a za ostateczny stan wód podziemnych przyjmuje się gorszą z tych dwóch ocen. W ramach oceny wykonuje się łącznie dziewięć testów klasyfikacyjnych, które przeprowadza się</w:t>
      </w:r>
      <w:r w:rsidR="00DE4580">
        <w:t xml:space="preserve"> </w:t>
      </w:r>
      <w:r w:rsidRPr="00795F17">
        <w:t xml:space="preserve">w odniesieniu do wszystkich </w:t>
      </w:r>
      <w:r w:rsidR="00DF005E">
        <w:t>JCWP</w:t>
      </w:r>
      <w:r w:rsidRPr="00795F17">
        <w:t>d, niezależnie od wyników pozostałych testów klasyfikacyjnych. Poszczególne testy są ukierunkowane na potrzeby różnych odbiorców wód podziemnych tzw.</w:t>
      </w:r>
      <w:r w:rsidR="00981517" w:rsidRPr="00795F17">
        <w:t> </w:t>
      </w:r>
      <w:r w:rsidRPr="00795F17">
        <w:t>receptorów (chronione ekosystemy lądowe zależne od wód podziemnych, wody powierzchniowe, wody przeznaczone do spożycia). Oprócz testów klasyfikacyjnych wykonuje się również dwie analizy wspierające, dotyczące zmian długoterminowych. Są</w:t>
      </w:r>
      <w:r w:rsidR="006F3789" w:rsidRPr="00795F17">
        <w:t xml:space="preserve"> </w:t>
      </w:r>
      <w:r w:rsidRPr="00795F17">
        <w:t>to</w:t>
      </w:r>
      <w:r w:rsidR="006F3789" w:rsidRPr="00795F17">
        <w:t xml:space="preserve"> </w:t>
      </w:r>
      <w:r w:rsidRPr="00795F17">
        <w:t>analiza tendencji zmian stężeń wskaźników fizykochemicznych oraz analiza położenia zwierciadła wody. Ponieważ obie analizy zasilają testy klasyfikacyjne, wykonuje się je na początku procedury oceny stanu chemicznego i ilościowego. Wyniki tych analiz wspierają pozostałe testy ilościowe i</w:t>
      </w:r>
      <w:r w:rsidR="006F3789" w:rsidRPr="00795F17">
        <w:t xml:space="preserve"> </w:t>
      </w:r>
      <w:r w:rsidRPr="00795F17">
        <w:t xml:space="preserve">chemiczne, zwłaszcza końcową ocenę stanu </w:t>
      </w:r>
      <w:r w:rsidR="00DF005E">
        <w:t>JCWP</w:t>
      </w:r>
      <w:r w:rsidRPr="00795F17">
        <w:t xml:space="preserve">d. </w:t>
      </w:r>
    </w:p>
    <w:p w14:paraId="3C359DEB" w14:textId="64485346" w:rsidR="00462DD4" w:rsidRPr="00795F17" w:rsidRDefault="00462DD4" w:rsidP="0044393D">
      <w:r w:rsidRPr="00795F17">
        <w:t xml:space="preserve">Zgodnie z wytycznymi przedstawionymi w poradnikach unijnych, ocena stanu </w:t>
      </w:r>
      <w:r w:rsidR="00DF005E">
        <w:t>JCWP</w:t>
      </w:r>
      <w:r w:rsidRPr="00795F17">
        <w:t>d powinna być</w:t>
      </w:r>
      <w:r w:rsidR="0022557C" w:rsidRPr="00795F17">
        <w:t> </w:t>
      </w:r>
      <w:r w:rsidRPr="00795F17">
        <w:t>opatrzona również oceną jej wiarygodności.</w:t>
      </w:r>
    </w:p>
    <w:p w14:paraId="6FF80394" w14:textId="7D1DDA19" w:rsidR="00462DD4" w:rsidRPr="00795F17" w:rsidRDefault="00462DD4" w:rsidP="0044393D">
      <w:bookmarkStart w:id="228" w:name="_Hlk65934377"/>
      <w:bookmarkStart w:id="229" w:name="_Hlk65933230"/>
      <w:bookmarkStart w:id="230" w:name="_Hlk65937094"/>
      <w:r w:rsidRPr="00795F17">
        <w:rPr>
          <w:shd w:val="clear" w:color="auto" w:fill="FFFFFF" w:themeFill="background1"/>
        </w:rPr>
        <w:t xml:space="preserve">W załączniku nr 1 </w:t>
      </w:r>
      <w:r w:rsidR="00157F87" w:rsidRPr="00795F17">
        <w:rPr>
          <w:shd w:val="clear" w:color="auto" w:fill="FFFFFF" w:themeFill="background1"/>
        </w:rPr>
        <w:t xml:space="preserve">(Zestawienie główne) </w:t>
      </w:r>
      <w:r w:rsidRPr="00795F17">
        <w:rPr>
          <w:shd w:val="clear" w:color="auto" w:fill="FFFFFF" w:themeFill="background1"/>
        </w:rPr>
        <w:t>zestawiono punkty sieci monitoringu wód podziemnych na</w:t>
      </w:r>
      <w:r w:rsidR="00981517" w:rsidRPr="00795F17">
        <w:rPr>
          <w:shd w:val="clear" w:color="auto" w:fill="FFFFFF" w:themeFill="background1"/>
        </w:rPr>
        <w:t> </w:t>
      </w:r>
      <w:r w:rsidRPr="00795F17">
        <w:rPr>
          <w:shd w:val="clear" w:color="auto" w:fill="FFFFFF" w:themeFill="background1"/>
        </w:rPr>
        <w:t>podstawie których</w:t>
      </w:r>
      <w:r w:rsidRPr="00795F17">
        <w:t xml:space="preserve"> wykonano ocenę stanu </w:t>
      </w:r>
      <w:r w:rsidR="00DF005E">
        <w:t>JCWP</w:t>
      </w:r>
      <w:r w:rsidRPr="00795F17">
        <w:t>d z 2019 r.</w:t>
      </w:r>
      <w:bookmarkEnd w:id="228"/>
      <w:r w:rsidRPr="00795F17">
        <w:t xml:space="preserve"> </w:t>
      </w:r>
      <w:bookmarkEnd w:id="229"/>
    </w:p>
    <w:bookmarkEnd w:id="230"/>
    <w:p w14:paraId="18AE4259" w14:textId="7CA4A161" w:rsidR="00462DD4" w:rsidRPr="00795F17" w:rsidRDefault="00462DD4" w:rsidP="0044393D">
      <w:pPr>
        <w:pStyle w:val="Nagwek5"/>
      </w:pPr>
      <w:r w:rsidRPr="00795F17">
        <w:t xml:space="preserve">Wyniki oceny stanu </w:t>
      </w:r>
      <w:r w:rsidR="00DF005E">
        <w:t>JCWP</w:t>
      </w:r>
      <w:r w:rsidRPr="00795F17">
        <w:t xml:space="preserve">d </w:t>
      </w:r>
      <w:r w:rsidR="00DE4580">
        <w:t>na</w:t>
      </w:r>
      <w:r w:rsidRPr="00795F17">
        <w:t xml:space="preserve"> obszarze dorzecza Odry</w:t>
      </w:r>
    </w:p>
    <w:p w14:paraId="7034144A" w14:textId="24E634D3" w:rsidR="00462DD4" w:rsidRPr="00795F17" w:rsidRDefault="00462DD4" w:rsidP="0044393D">
      <w:r w:rsidRPr="00795F17">
        <w:t xml:space="preserve">Przeprowadzona ocena stanu </w:t>
      </w:r>
      <w:r w:rsidR="00DF005E">
        <w:t>JCWP</w:t>
      </w:r>
      <w:r w:rsidR="00174D55">
        <w:t xml:space="preserve">d </w:t>
      </w:r>
      <w:r w:rsidRPr="00795F17">
        <w:t xml:space="preserve">w 2020 r., </w:t>
      </w:r>
      <w:bookmarkStart w:id="231" w:name="_Hlk65937114"/>
      <w:bookmarkStart w:id="232" w:name="_Hlk65933248"/>
      <w:r w:rsidRPr="00795F17">
        <w:t>na podstawie danych z 2019 r</w:t>
      </w:r>
      <w:bookmarkEnd w:id="231"/>
      <w:r w:rsidRPr="00795F17">
        <w:t xml:space="preserve">. </w:t>
      </w:r>
      <w:bookmarkEnd w:id="232"/>
      <w:r w:rsidRPr="00795F17">
        <w:t>objęła analizą wszystkie 66</w:t>
      </w:r>
      <w:r w:rsidR="00D63E31" w:rsidRPr="00795F17">
        <w:t> </w:t>
      </w:r>
      <w:r w:rsidR="00DF005E">
        <w:t>JCWP</w:t>
      </w:r>
      <w:r w:rsidRPr="00795F17">
        <w:t>d wyznaczone w granicach obszaru dorzecza Odry.</w:t>
      </w:r>
    </w:p>
    <w:p w14:paraId="18FB516C" w14:textId="77777777" w:rsidR="00462DD4" w:rsidRPr="00795F17" w:rsidRDefault="00462DD4" w:rsidP="0044393D">
      <w:r w:rsidRPr="00795F17">
        <w:t xml:space="preserve">W pierwszej kolejności przedstawiono wyniki analiz wspierających, </w:t>
      </w:r>
      <w:bookmarkStart w:id="233" w:name="_Hlk65933263"/>
      <w:r w:rsidRPr="00795F17">
        <w:t>czyli analizy trendów zmian stężeń wskaźników fizykochemicznych i analizy położenia zwierciadła wody podziemnej</w:t>
      </w:r>
      <w:bookmarkEnd w:id="233"/>
      <w:r w:rsidRPr="00795F17">
        <w:t>.</w:t>
      </w:r>
    </w:p>
    <w:p w14:paraId="7C6F5D7E" w14:textId="77777777" w:rsidR="00462DD4" w:rsidRPr="00795F17" w:rsidRDefault="00462DD4" w:rsidP="00DA1EF7">
      <w:pPr>
        <w:pStyle w:val="Nagwek5"/>
      </w:pPr>
      <w:r w:rsidRPr="00795F17">
        <w:t>Analiza trendów zmian stężeń wskaźników fizykochemicznych</w:t>
      </w:r>
    </w:p>
    <w:p w14:paraId="5762B2FE" w14:textId="2F8F5187" w:rsidR="00462DD4" w:rsidRPr="00795F17" w:rsidRDefault="00462DD4" w:rsidP="0044393D">
      <w:r w:rsidRPr="00795F17">
        <w:t>Celem analizy trendów zmian stężeń wskaźników fizykochemicznych jest identyfikacja znaczących i</w:t>
      </w:r>
      <w:r w:rsidR="00D63E31" w:rsidRPr="00795F17">
        <w:t> </w:t>
      </w:r>
      <w:r w:rsidRPr="00795F17">
        <w:t>utrzymujących się trendów wzrostowych stężeń zanieczyszczeń. Znaczący i utrzymujący się trend wzrostowy oznacza każdy statystycznie i pod względem środowiskowym, istotny wzrost stężenia zanieczyszczeń w wodach podziemnych, w związku z którym istnieje konieczność odwrócenia tego</w:t>
      </w:r>
      <w:r w:rsidR="0022557C" w:rsidRPr="00795F17">
        <w:t> </w:t>
      </w:r>
      <w:r w:rsidRPr="00795F17">
        <w:t>trendu. Zgodnie z przepisami DWP (załącznik IV, część B, punkt 1), punktem początkowym inicjowania działań mających odwrócić znaczące i utrzymujące się trendy wzrostowe jest stan, kiedy stężenie zanieczyszczenia osiąga 75% wartości parametrów norm jakości wód podziemnych określonych w</w:t>
      </w:r>
      <w:r w:rsidR="00D63E31" w:rsidRPr="00795F17">
        <w:t> </w:t>
      </w:r>
      <w:r w:rsidRPr="00795F17">
        <w:t xml:space="preserve">załączniku I i wartości progowych określonych w </w:t>
      </w:r>
      <w:r w:rsidR="00DF005E">
        <w:t>r.kl.jcwp</w:t>
      </w:r>
      <w:r w:rsidRPr="00795F17">
        <w:t>d, ustalonych zgodnie z</w:t>
      </w:r>
      <w:r w:rsidR="006D35CF">
        <w:t> </w:t>
      </w:r>
      <w:r w:rsidRPr="00795F17">
        <w:t>art.</w:t>
      </w:r>
      <w:r w:rsidR="006D35CF">
        <w:t> </w:t>
      </w:r>
      <w:r w:rsidRPr="00795F17">
        <w:t>3</w:t>
      </w:r>
      <w:r w:rsidR="006D35CF">
        <w:t> </w:t>
      </w:r>
      <w:r w:rsidRPr="00795F17">
        <w:t>DWP</w:t>
      </w:r>
      <w:r w:rsidR="00BF55F4">
        <w:t xml:space="preserve">. </w:t>
      </w:r>
      <w:r w:rsidRPr="00795F17">
        <w:t>Na podstawie powyższych przepisów, jako znaczące trendy wzrostowe uznano istotne statystycznie trendy rosnące, dla których stwierdzono przekroczenie 75% wartości progowej dobrego stanu chemicznego. Analiza zmian stężeń wskaźników fizykochemicznych ma na celu prześledzenie w</w:t>
      </w:r>
      <w:r w:rsidR="00D63E31" w:rsidRPr="00795F17">
        <w:t> </w:t>
      </w:r>
      <w:r w:rsidRPr="00795F17">
        <w:t>czasie zmian zachodzących zarówno w punktach</w:t>
      </w:r>
      <w:r w:rsidR="00727575">
        <w:t>,</w:t>
      </w:r>
      <w:r w:rsidRPr="00795F17">
        <w:t xml:space="preserve"> jak </w:t>
      </w:r>
      <w:r w:rsidR="00727575">
        <w:t xml:space="preserve">i </w:t>
      </w:r>
      <w:r w:rsidRPr="00795F17">
        <w:t xml:space="preserve">w </w:t>
      </w:r>
      <w:r w:rsidR="00DF005E">
        <w:t>JCWP</w:t>
      </w:r>
      <w:r w:rsidRPr="00795F17">
        <w:t xml:space="preserve">d. Zidentyfikowanie znaczących i utrzymujących się trendów wzrostowych stężeń zanieczyszczeń w obszarach </w:t>
      </w:r>
      <w:r w:rsidR="00DF005E">
        <w:t>JCWP</w:t>
      </w:r>
      <w:r w:rsidRPr="00795F17">
        <w:t>d uznanych za</w:t>
      </w:r>
      <w:r w:rsidR="00D63E31" w:rsidRPr="00795F17">
        <w:t> </w:t>
      </w:r>
      <w:r w:rsidRPr="00795F17">
        <w:t xml:space="preserve">zagrożone nieosiągnięciem celów środowiskowych pozwala określić, czy dany obszar </w:t>
      </w:r>
      <w:r w:rsidR="00DF005E">
        <w:t>JCWP</w:t>
      </w:r>
      <w:r w:rsidRPr="00795F17">
        <w:t>d nie</w:t>
      </w:r>
      <w:r w:rsidR="00471392" w:rsidRPr="00795F17">
        <w:t> </w:t>
      </w:r>
      <w:r w:rsidRPr="00795F17">
        <w:t xml:space="preserve">wykazuje trwałych tendencji wzrostowych wywołanych antropogenicznie. </w:t>
      </w:r>
    </w:p>
    <w:p w14:paraId="00799CCF" w14:textId="3D2EC14E" w:rsidR="00462DD4" w:rsidRPr="00795F17" w:rsidRDefault="00462DD4" w:rsidP="0044393D">
      <w:r w:rsidRPr="00795F17">
        <w:t xml:space="preserve">Do przeprowadzenia analizy trendów wartości wskaźników fizykochemicznych wykorzystano wszystkie wyniki analiz oznaczeń składu fizykochemicznego próbek wód podziemnych, dostępne w bazie Monitoringu Wód Podziemnych </w:t>
      </w:r>
      <w:r w:rsidR="00C827BA">
        <w:t>–</w:t>
      </w:r>
      <w:r w:rsidRPr="00795F17">
        <w:t xml:space="preserve"> zarówno wyniki analiz wykonanych przez PIG-PIB w ramach PMŚ, na</w:t>
      </w:r>
      <w:r w:rsidR="00D63E31" w:rsidRPr="00795F17">
        <w:t> </w:t>
      </w:r>
      <w:r w:rsidRPr="00795F17">
        <w:t>zlecenie GIOŚ, jak i wyniki analiz wykonanych przez PIG-PIB w ramach realizacji innych zadań PSH. Za rok bazowy przyjęto 2007</w:t>
      </w:r>
      <w:r w:rsidR="00471392" w:rsidRPr="00795F17">
        <w:t> </w:t>
      </w:r>
      <w:r w:rsidRPr="00795F17">
        <w:t>r. a zakres czasowy dotyczył analiz z lat 2007</w:t>
      </w:r>
      <w:r w:rsidR="00EC4A0D">
        <w:t>–</w:t>
      </w:r>
      <w:r w:rsidRPr="00795F17">
        <w:t>2019. Dla wszystkich punktów i wskaźników, które spełniły przyjęte kryteria i dla których możliwe było przeprowadzenie analizy tendencji, sporządzono wykresy wraz z naniesioną linią regresji. Wyniki analiz trendów dla</w:t>
      </w:r>
      <w:r w:rsidR="00DC4CCC">
        <w:t> </w:t>
      </w:r>
      <w:r w:rsidRPr="00795F17">
        <w:t xml:space="preserve">punktów z uwzględnieniem podziału na </w:t>
      </w:r>
      <w:r w:rsidR="0080582C" w:rsidRPr="00795F17">
        <w:t xml:space="preserve">obszary </w:t>
      </w:r>
      <w:r w:rsidRPr="00795F17">
        <w:t>dorzecz</w:t>
      </w:r>
      <w:r w:rsidR="0080582C" w:rsidRPr="00795F17">
        <w:t>y</w:t>
      </w:r>
      <w:r w:rsidRPr="00795F17">
        <w:t xml:space="preserve"> przedstawia tabela </w:t>
      </w:r>
      <w:r w:rsidR="00757CFC" w:rsidRPr="00795F17">
        <w:t>5-2</w:t>
      </w:r>
      <w:r w:rsidR="00BB3B21" w:rsidRPr="00795F17">
        <w:t>3</w:t>
      </w:r>
      <w:r w:rsidRPr="00795F17">
        <w:t xml:space="preserve"> zaś dla obszaru </w:t>
      </w:r>
      <w:r w:rsidR="00DF005E">
        <w:t>JCWP</w:t>
      </w:r>
      <w:r w:rsidRPr="00795F17">
        <w:t xml:space="preserve">d </w:t>
      </w:r>
      <w:r w:rsidR="00C827BA">
        <w:t>–</w:t>
      </w:r>
      <w:r w:rsidRPr="00795F17">
        <w:t xml:space="preserve"> tabela </w:t>
      </w:r>
      <w:r w:rsidR="00757CFC" w:rsidRPr="00795F17">
        <w:t>5-2</w:t>
      </w:r>
      <w:r w:rsidR="00BB3B21" w:rsidRPr="00795F17">
        <w:t>4</w:t>
      </w:r>
      <w:r w:rsidRPr="00795F17">
        <w:t>.</w:t>
      </w:r>
    </w:p>
    <w:p w14:paraId="54815F34" w14:textId="28138055" w:rsidR="00462DD4" w:rsidRPr="00795F17" w:rsidRDefault="00462DD4" w:rsidP="004D7705">
      <w:pPr>
        <w:pStyle w:val="Tabela"/>
      </w:pPr>
      <w:bookmarkStart w:id="234" w:name="_Toc66341876"/>
      <w:bookmarkStart w:id="235" w:name="_Toc105512787"/>
      <w:r w:rsidRPr="00795F17">
        <w:t xml:space="preserve">Tabela </w:t>
      </w:r>
      <w:fldSimple w:instr=" STYLEREF 1 \s ">
        <w:r w:rsidR="001F774D">
          <w:rPr>
            <w:noProof/>
          </w:rPr>
          <w:t>5</w:t>
        </w:r>
      </w:fldSimple>
      <w:r w:rsidR="00BB3B21" w:rsidRPr="00795F17">
        <w:noBreakHyphen/>
      </w:r>
      <w:fldSimple w:instr=" SEQ Tabela \* ARABIC \s 1 ">
        <w:r w:rsidR="001F774D">
          <w:rPr>
            <w:noProof/>
          </w:rPr>
          <w:t>23</w:t>
        </w:r>
      </w:fldSimple>
      <w:r w:rsidR="00BA11D4">
        <w:rPr>
          <w:noProof/>
        </w:rPr>
        <w:t>.</w:t>
      </w:r>
      <w:r w:rsidRPr="00795F17">
        <w:tab/>
        <w:t>Wyniki analizy tendencji zmian stężeń wskaźników fizykochemicznych w punktach w latach 2007</w:t>
      </w:r>
      <w:r w:rsidR="00C827BA">
        <w:t>–</w:t>
      </w:r>
      <w:r w:rsidRPr="00795F17">
        <w:t>2019</w:t>
      </w:r>
      <w:bookmarkEnd w:id="234"/>
      <w:bookmarkEnd w:id="235"/>
    </w:p>
    <w:tbl>
      <w:tblPr>
        <w:tblW w:w="5000" w:type="pct"/>
        <w:jc w:val="center"/>
        <w:tblCellMar>
          <w:left w:w="70" w:type="dxa"/>
          <w:right w:w="70" w:type="dxa"/>
        </w:tblCellMar>
        <w:tblLook w:val="04A0" w:firstRow="1" w:lastRow="0" w:firstColumn="1" w:lastColumn="0" w:noHBand="0" w:noVBand="1"/>
      </w:tblPr>
      <w:tblGrid>
        <w:gridCol w:w="990"/>
        <w:gridCol w:w="2691"/>
        <w:gridCol w:w="2691"/>
        <w:gridCol w:w="2690"/>
      </w:tblGrid>
      <w:tr w:rsidR="00462DD4" w:rsidRPr="00795F17" w14:paraId="50908850" w14:textId="77777777" w:rsidTr="00D63E31">
        <w:trPr>
          <w:trHeight w:val="454"/>
          <w:jc w:val="center"/>
        </w:trPr>
        <w:tc>
          <w:tcPr>
            <w:tcW w:w="54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22E3BF7" w14:textId="397263F5" w:rsidR="00462DD4" w:rsidRPr="00795F17" w:rsidRDefault="0080582C" w:rsidP="0044393D">
            <w:pPr>
              <w:pStyle w:val="Teksttabelinaglowek"/>
            </w:pPr>
            <w:r w:rsidRPr="00795F17">
              <w:t>Obszar d</w:t>
            </w:r>
            <w:r w:rsidR="00462DD4" w:rsidRPr="00795F17">
              <w:t>orzecz</w:t>
            </w:r>
            <w:r w:rsidRPr="00795F17">
              <w:t>a</w:t>
            </w:r>
          </w:p>
        </w:tc>
        <w:tc>
          <w:tcPr>
            <w:tcW w:w="1485"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2BF2B27" w14:textId="64D5F630" w:rsidR="00462DD4" w:rsidRPr="00795F17" w:rsidRDefault="00462DD4" w:rsidP="0044393D">
            <w:pPr>
              <w:pStyle w:val="Teksttabelinaglowek"/>
            </w:pPr>
            <w:r w:rsidRPr="00795F17">
              <w:t>Liczba punktów, w których zidentyfikowano znaczący i</w:t>
            </w:r>
            <w:r w:rsidR="00727575">
              <w:t> </w:t>
            </w:r>
            <w:r w:rsidRPr="00795F17">
              <w:t>utrzymujący się trend wzrostowy</w:t>
            </w:r>
          </w:p>
        </w:tc>
        <w:tc>
          <w:tcPr>
            <w:tcW w:w="1485"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AE74865" w14:textId="7F527E54" w:rsidR="00462DD4" w:rsidRPr="00795F17" w:rsidRDefault="00462DD4" w:rsidP="0044393D">
            <w:pPr>
              <w:pStyle w:val="Teksttabelinaglowek"/>
            </w:pPr>
            <w:r w:rsidRPr="00795F17">
              <w:t>Liczba znaczących i</w:t>
            </w:r>
            <w:r w:rsidR="00727575">
              <w:t> </w:t>
            </w:r>
            <w:r w:rsidRPr="00795F17">
              <w:t>utrzymujących się trendów wzrostowych</w:t>
            </w:r>
          </w:p>
        </w:tc>
        <w:tc>
          <w:tcPr>
            <w:tcW w:w="1485"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5D11146" w14:textId="1AC55620" w:rsidR="00462DD4" w:rsidRPr="00795F17" w:rsidRDefault="00462DD4" w:rsidP="0044393D">
            <w:pPr>
              <w:pStyle w:val="Teksttabelinaglowek"/>
            </w:pPr>
            <w:r w:rsidRPr="00795F17">
              <w:t>Wskaźniki ze znaczącym i</w:t>
            </w:r>
            <w:r w:rsidR="00727575">
              <w:t> </w:t>
            </w:r>
            <w:r w:rsidRPr="00795F17">
              <w:t>utrzymującym się trendem wzrostowym</w:t>
            </w:r>
          </w:p>
        </w:tc>
      </w:tr>
      <w:tr w:rsidR="00462DD4" w:rsidRPr="00CD4059" w14:paraId="45C131D5" w14:textId="77777777" w:rsidTr="00D63E31">
        <w:trPr>
          <w:trHeight w:val="454"/>
          <w:jc w:val="center"/>
        </w:trPr>
        <w:tc>
          <w:tcPr>
            <w:tcW w:w="546" w:type="pct"/>
            <w:tcBorders>
              <w:top w:val="nil"/>
              <w:left w:val="single" w:sz="4" w:space="0" w:color="auto"/>
              <w:bottom w:val="single" w:sz="4" w:space="0" w:color="auto"/>
              <w:right w:val="single" w:sz="4" w:space="0" w:color="auto"/>
            </w:tcBorders>
            <w:shd w:val="clear" w:color="auto" w:fill="auto"/>
            <w:noWrap/>
            <w:vAlign w:val="center"/>
            <w:hideMark/>
          </w:tcPr>
          <w:p w14:paraId="53CA55C1" w14:textId="77777777" w:rsidR="00462DD4" w:rsidRPr="00795F17" w:rsidRDefault="00462DD4" w:rsidP="0065243A">
            <w:pPr>
              <w:pStyle w:val="Teksttabelisrodek"/>
              <w:rPr>
                <w:rFonts w:eastAsia="Times New Roman"/>
                <w:color w:val="000000"/>
              </w:rPr>
            </w:pPr>
            <w:r w:rsidRPr="00795F17">
              <w:t>Odra</w:t>
            </w:r>
          </w:p>
        </w:tc>
        <w:tc>
          <w:tcPr>
            <w:tcW w:w="1485" w:type="pct"/>
            <w:tcBorders>
              <w:top w:val="nil"/>
              <w:left w:val="nil"/>
              <w:bottom w:val="single" w:sz="4" w:space="0" w:color="auto"/>
              <w:right w:val="single" w:sz="4" w:space="0" w:color="auto"/>
            </w:tcBorders>
            <w:shd w:val="clear" w:color="auto" w:fill="auto"/>
            <w:vAlign w:val="center"/>
            <w:hideMark/>
          </w:tcPr>
          <w:p w14:paraId="1448AE26" w14:textId="77777777" w:rsidR="00462DD4" w:rsidRPr="00795F17" w:rsidRDefault="00462DD4" w:rsidP="0065243A">
            <w:pPr>
              <w:pStyle w:val="Teksttabelisrodek"/>
              <w:rPr>
                <w:rFonts w:eastAsia="Times New Roman"/>
                <w:color w:val="000000"/>
              </w:rPr>
            </w:pPr>
            <w:r w:rsidRPr="00795F17">
              <w:t>7</w:t>
            </w:r>
          </w:p>
        </w:tc>
        <w:tc>
          <w:tcPr>
            <w:tcW w:w="1485" w:type="pct"/>
            <w:tcBorders>
              <w:top w:val="nil"/>
              <w:left w:val="nil"/>
              <w:bottom w:val="single" w:sz="4" w:space="0" w:color="auto"/>
              <w:right w:val="single" w:sz="4" w:space="0" w:color="auto"/>
            </w:tcBorders>
            <w:shd w:val="clear" w:color="auto" w:fill="auto"/>
            <w:vAlign w:val="center"/>
            <w:hideMark/>
          </w:tcPr>
          <w:p w14:paraId="434DA3E6" w14:textId="77777777" w:rsidR="00462DD4" w:rsidRPr="00795F17" w:rsidRDefault="00462DD4" w:rsidP="0065243A">
            <w:pPr>
              <w:pStyle w:val="Teksttabelisrodek"/>
              <w:rPr>
                <w:rFonts w:eastAsia="Times New Roman"/>
                <w:color w:val="000000"/>
              </w:rPr>
            </w:pPr>
            <w:r w:rsidRPr="00795F17">
              <w:t>12</w:t>
            </w:r>
          </w:p>
        </w:tc>
        <w:tc>
          <w:tcPr>
            <w:tcW w:w="1485" w:type="pct"/>
            <w:tcBorders>
              <w:top w:val="nil"/>
              <w:left w:val="nil"/>
              <w:bottom w:val="single" w:sz="4" w:space="0" w:color="auto"/>
              <w:right w:val="single" w:sz="4" w:space="0" w:color="auto"/>
            </w:tcBorders>
            <w:shd w:val="clear" w:color="auto" w:fill="auto"/>
            <w:vAlign w:val="center"/>
            <w:hideMark/>
          </w:tcPr>
          <w:p w14:paraId="14957BF5" w14:textId="77777777" w:rsidR="00462DD4" w:rsidRPr="00795F17" w:rsidRDefault="00462DD4" w:rsidP="0065243A">
            <w:pPr>
              <w:pStyle w:val="Teksttabelisrodek"/>
              <w:rPr>
                <w:lang w:val="en-US"/>
              </w:rPr>
            </w:pPr>
            <w:r w:rsidRPr="00795F17">
              <w:rPr>
                <w:lang w:val="en-US"/>
              </w:rPr>
              <w:t>NO</w:t>
            </w:r>
            <w:r w:rsidRPr="00795F17">
              <w:rPr>
                <w:vertAlign w:val="subscript"/>
                <w:lang w:val="en-US"/>
              </w:rPr>
              <w:t>3</w:t>
            </w:r>
            <w:r w:rsidRPr="00795F17">
              <w:rPr>
                <w:lang w:val="en-US"/>
              </w:rPr>
              <w:t>, Cl, K, SO</w:t>
            </w:r>
            <w:r w:rsidRPr="00795F17">
              <w:rPr>
                <w:vertAlign w:val="subscript"/>
                <w:lang w:val="en-US"/>
              </w:rPr>
              <w:t>4</w:t>
            </w:r>
            <w:r w:rsidRPr="00795F17">
              <w:rPr>
                <w:lang w:val="en-US"/>
              </w:rPr>
              <w:t>, Ca, TOC, HCO</w:t>
            </w:r>
            <w:r w:rsidRPr="00795F17">
              <w:rPr>
                <w:vertAlign w:val="subscript"/>
                <w:lang w:val="en-US"/>
              </w:rPr>
              <w:t>3</w:t>
            </w:r>
          </w:p>
        </w:tc>
      </w:tr>
    </w:tbl>
    <w:p w14:paraId="0F2AF62B" w14:textId="683715B2" w:rsidR="00D63E31" w:rsidRPr="00795F17" w:rsidRDefault="00D63E31" w:rsidP="0044393D">
      <w:pPr>
        <w:pStyle w:val="rdo"/>
      </w:pPr>
      <w:bookmarkStart w:id="236" w:name="_Toc66341877"/>
      <w:r w:rsidRPr="00795F17">
        <w:t xml:space="preserve">Źródło: </w:t>
      </w:r>
      <w:r w:rsidR="00FD7248" w:rsidRPr="00795F17">
        <w:t>opracowanie własne</w:t>
      </w:r>
    </w:p>
    <w:p w14:paraId="244837C4" w14:textId="77777777" w:rsidR="0022557C" w:rsidRPr="00C75BCB" w:rsidRDefault="0022557C" w:rsidP="00C75BCB"/>
    <w:p w14:paraId="1FA18B54" w14:textId="0F2EFB5F" w:rsidR="00462DD4" w:rsidRPr="00795F17" w:rsidRDefault="00462DD4" w:rsidP="004D7705">
      <w:pPr>
        <w:pStyle w:val="Tabela"/>
      </w:pPr>
      <w:bookmarkStart w:id="237" w:name="_Toc105512788"/>
      <w:r w:rsidRPr="00795F17">
        <w:t xml:space="preserve">Tabela </w:t>
      </w:r>
      <w:fldSimple w:instr=" STYLEREF 1 \s ">
        <w:r w:rsidR="001F774D">
          <w:rPr>
            <w:noProof/>
          </w:rPr>
          <w:t>5</w:t>
        </w:r>
      </w:fldSimple>
      <w:r w:rsidR="00BB3B21" w:rsidRPr="00795F17">
        <w:noBreakHyphen/>
      </w:r>
      <w:fldSimple w:instr=" SEQ Tabela \* ARABIC \s 1 ">
        <w:r w:rsidR="001F774D">
          <w:rPr>
            <w:noProof/>
          </w:rPr>
          <w:t>24</w:t>
        </w:r>
      </w:fldSimple>
      <w:r w:rsidR="00BA11D4">
        <w:rPr>
          <w:noProof/>
        </w:rPr>
        <w:t>.</w:t>
      </w:r>
      <w:r w:rsidRPr="00795F17">
        <w:tab/>
        <w:t xml:space="preserve">Wyniki analizy tendencji zmian stężeń wskaźników fizykochemicznych w obszarach </w:t>
      </w:r>
      <w:r w:rsidR="00DF005E">
        <w:t>JCWP</w:t>
      </w:r>
      <w:r w:rsidRPr="00795F17">
        <w:t>d uznanych za zagrożone lub o stanie słabym w latach 2007</w:t>
      </w:r>
      <w:r w:rsidR="00C827BA">
        <w:t>–</w:t>
      </w:r>
      <w:r w:rsidRPr="00795F17">
        <w:t>2019</w:t>
      </w:r>
      <w:bookmarkEnd w:id="236"/>
      <w:bookmarkEnd w:id="237"/>
    </w:p>
    <w:tbl>
      <w:tblPr>
        <w:tblW w:w="5000" w:type="pct"/>
        <w:jc w:val="center"/>
        <w:tblCellMar>
          <w:left w:w="70" w:type="dxa"/>
          <w:right w:w="70" w:type="dxa"/>
        </w:tblCellMar>
        <w:tblLook w:val="04A0" w:firstRow="1" w:lastRow="0" w:firstColumn="1" w:lastColumn="0" w:noHBand="0" w:noVBand="1"/>
      </w:tblPr>
      <w:tblGrid>
        <w:gridCol w:w="1010"/>
        <w:gridCol w:w="2684"/>
        <w:gridCol w:w="2684"/>
        <w:gridCol w:w="2684"/>
      </w:tblGrid>
      <w:tr w:rsidR="00462DD4" w:rsidRPr="003D7BF3" w14:paraId="62A17E75" w14:textId="77777777" w:rsidTr="00D63E31">
        <w:trPr>
          <w:trHeight w:val="454"/>
          <w:tblHeader/>
          <w:jc w:val="center"/>
        </w:trPr>
        <w:tc>
          <w:tcPr>
            <w:tcW w:w="557"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136ACBEB" w14:textId="40BC7206" w:rsidR="00462DD4" w:rsidRPr="003D7BF3" w:rsidRDefault="0080582C" w:rsidP="003D7BF3">
            <w:pPr>
              <w:pStyle w:val="Teksttabelinaglowek"/>
            </w:pPr>
            <w:r w:rsidRPr="003D7BF3">
              <w:t>Obszar d</w:t>
            </w:r>
            <w:r w:rsidR="00462DD4" w:rsidRPr="003D7BF3">
              <w:t>orzecz</w:t>
            </w:r>
            <w:r w:rsidRPr="003D7BF3">
              <w:t>a</w:t>
            </w:r>
          </w:p>
        </w:tc>
        <w:tc>
          <w:tcPr>
            <w:tcW w:w="1481" w:type="pct"/>
            <w:tcBorders>
              <w:top w:val="single" w:sz="4" w:space="0" w:color="auto"/>
              <w:left w:val="nil"/>
              <w:bottom w:val="single" w:sz="4" w:space="0" w:color="auto"/>
              <w:right w:val="single" w:sz="4" w:space="0" w:color="auto"/>
            </w:tcBorders>
            <w:shd w:val="clear" w:color="000000" w:fill="BFBFBF"/>
            <w:vAlign w:val="center"/>
            <w:hideMark/>
          </w:tcPr>
          <w:p w14:paraId="031DA4E8" w14:textId="0AA29D81" w:rsidR="00462DD4" w:rsidRPr="003D7BF3" w:rsidRDefault="00462DD4" w:rsidP="003D7BF3">
            <w:pPr>
              <w:pStyle w:val="Teksttabelinaglowek"/>
            </w:pPr>
            <w:r w:rsidRPr="003D7BF3">
              <w:t xml:space="preserve">Nr </w:t>
            </w:r>
            <w:r w:rsidR="00DF005E">
              <w:t>JCWP</w:t>
            </w:r>
            <w:r w:rsidRPr="003D7BF3">
              <w:t>d, w których wykonano analizę trendów zmian stężeń wskaźników fizykochemicznych</w:t>
            </w:r>
          </w:p>
        </w:tc>
        <w:tc>
          <w:tcPr>
            <w:tcW w:w="1481" w:type="pct"/>
            <w:tcBorders>
              <w:top w:val="single" w:sz="4" w:space="0" w:color="auto"/>
              <w:left w:val="nil"/>
              <w:bottom w:val="single" w:sz="4" w:space="0" w:color="auto"/>
              <w:right w:val="single" w:sz="4" w:space="0" w:color="auto"/>
            </w:tcBorders>
            <w:shd w:val="clear" w:color="000000" w:fill="BFBFBF"/>
            <w:vAlign w:val="center"/>
            <w:hideMark/>
          </w:tcPr>
          <w:p w14:paraId="1368C145" w14:textId="3FCB3C11" w:rsidR="00C83A90" w:rsidRPr="003D7BF3" w:rsidRDefault="00462DD4" w:rsidP="003D7BF3">
            <w:pPr>
              <w:pStyle w:val="Teksttabelinaglowek"/>
            </w:pPr>
            <w:r w:rsidRPr="003D7BF3">
              <w:t xml:space="preserve">Znaczące i utrzymujące się trendy wzrostowe w punktach w </w:t>
            </w:r>
            <w:r w:rsidR="00DF005E">
              <w:t>JCWP</w:t>
            </w:r>
            <w:r w:rsidRPr="003D7BF3">
              <w:t>d</w:t>
            </w:r>
          </w:p>
          <w:p w14:paraId="234C040B" w14:textId="1B579B47" w:rsidR="00462DD4" w:rsidRPr="003D7BF3" w:rsidRDefault="00462DD4" w:rsidP="003D7BF3">
            <w:pPr>
              <w:pStyle w:val="Teksttabelinaglowek"/>
            </w:pPr>
            <w:r w:rsidRPr="003D7BF3">
              <w:t xml:space="preserve">Nr </w:t>
            </w:r>
            <w:r w:rsidR="00DF005E">
              <w:t>JCWP</w:t>
            </w:r>
            <w:r w:rsidRPr="003D7BF3">
              <w:t>d _wskaźnik ze znaczącym trendem wzrostowym</w:t>
            </w:r>
          </w:p>
        </w:tc>
        <w:tc>
          <w:tcPr>
            <w:tcW w:w="1481" w:type="pct"/>
            <w:tcBorders>
              <w:top w:val="single" w:sz="4" w:space="0" w:color="auto"/>
              <w:left w:val="nil"/>
              <w:bottom w:val="single" w:sz="4" w:space="0" w:color="auto"/>
              <w:right w:val="single" w:sz="4" w:space="0" w:color="auto"/>
            </w:tcBorders>
            <w:shd w:val="clear" w:color="000000" w:fill="BFBFBF"/>
            <w:vAlign w:val="center"/>
            <w:hideMark/>
          </w:tcPr>
          <w:p w14:paraId="1635070F" w14:textId="379BC9BC" w:rsidR="00C83A90" w:rsidRPr="003D7BF3" w:rsidRDefault="00462DD4" w:rsidP="003D7BF3">
            <w:pPr>
              <w:pStyle w:val="Teksttabelinaglowek"/>
            </w:pPr>
            <w:r w:rsidRPr="003D7BF3">
              <w:t xml:space="preserve">Znaczące i utrzymujące się trendy wzrostowe w obszarze </w:t>
            </w:r>
            <w:r w:rsidR="00DF005E">
              <w:t>JCWP</w:t>
            </w:r>
            <w:r w:rsidRPr="003D7BF3">
              <w:t>d</w:t>
            </w:r>
          </w:p>
          <w:p w14:paraId="3643D079" w14:textId="314E6983" w:rsidR="00462DD4" w:rsidRPr="003D7BF3" w:rsidRDefault="00462DD4" w:rsidP="003D7BF3">
            <w:pPr>
              <w:pStyle w:val="Teksttabelinaglowek"/>
            </w:pPr>
            <w:r w:rsidRPr="003D7BF3">
              <w:t xml:space="preserve">Nr </w:t>
            </w:r>
            <w:r w:rsidR="00DF005E">
              <w:t>JCWP</w:t>
            </w:r>
            <w:r w:rsidRPr="003D7BF3">
              <w:t>d _wskaźnik ze znaczącym trendem wzrostowym</w:t>
            </w:r>
          </w:p>
        </w:tc>
      </w:tr>
      <w:tr w:rsidR="00462DD4" w:rsidRPr="00795F17" w14:paraId="4921AB98" w14:textId="77777777" w:rsidTr="00D63E31">
        <w:trPr>
          <w:trHeight w:val="454"/>
          <w:jc w:val="center"/>
        </w:trPr>
        <w:tc>
          <w:tcPr>
            <w:tcW w:w="557" w:type="pct"/>
            <w:tcBorders>
              <w:top w:val="nil"/>
              <w:left w:val="single" w:sz="4" w:space="0" w:color="auto"/>
              <w:bottom w:val="single" w:sz="4" w:space="0" w:color="auto"/>
              <w:right w:val="single" w:sz="4" w:space="0" w:color="auto"/>
            </w:tcBorders>
            <w:shd w:val="clear" w:color="auto" w:fill="auto"/>
            <w:noWrap/>
            <w:vAlign w:val="center"/>
            <w:hideMark/>
          </w:tcPr>
          <w:p w14:paraId="687D39CD" w14:textId="77777777" w:rsidR="00462DD4" w:rsidRPr="00795F17" w:rsidRDefault="00462DD4" w:rsidP="0065243A">
            <w:pPr>
              <w:pStyle w:val="Teksttabelisrodek"/>
              <w:rPr>
                <w:rFonts w:eastAsia="Times New Roman"/>
                <w:color w:val="000000"/>
              </w:rPr>
            </w:pPr>
            <w:r w:rsidRPr="00795F17">
              <w:t>Odra</w:t>
            </w:r>
          </w:p>
        </w:tc>
        <w:tc>
          <w:tcPr>
            <w:tcW w:w="1481" w:type="pct"/>
            <w:tcBorders>
              <w:top w:val="nil"/>
              <w:left w:val="nil"/>
              <w:bottom w:val="single" w:sz="4" w:space="0" w:color="auto"/>
              <w:right w:val="single" w:sz="4" w:space="0" w:color="auto"/>
            </w:tcBorders>
            <w:shd w:val="clear" w:color="auto" w:fill="auto"/>
            <w:vAlign w:val="center"/>
            <w:hideMark/>
          </w:tcPr>
          <w:p w14:paraId="271F4B82" w14:textId="77777777" w:rsidR="00462DD4" w:rsidRPr="00795F17" w:rsidRDefault="00462DD4" w:rsidP="0065243A">
            <w:pPr>
              <w:pStyle w:val="Teksttabelisrodek"/>
              <w:rPr>
                <w:rFonts w:eastAsia="Times New Roman"/>
                <w:color w:val="000000"/>
              </w:rPr>
            </w:pPr>
            <w:r w:rsidRPr="00795F17">
              <w:t>1, 9, 33, 34, 43, 60, 62, 70, 71, 79, 83, 93, 94, 95, 105, 110, 124, 127, 128, 129, 141, 143</w:t>
            </w:r>
          </w:p>
        </w:tc>
        <w:tc>
          <w:tcPr>
            <w:tcW w:w="1481" w:type="pct"/>
            <w:tcBorders>
              <w:top w:val="nil"/>
              <w:left w:val="nil"/>
              <w:bottom w:val="single" w:sz="4" w:space="0" w:color="auto"/>
              <w:right w:val="single" w:sz="4" w:space="0" w:color="auto"/>
            </w:tcBorders>
            <w:shd w:val="clear" w:color="auto" w:fill="auto"/>
            <w:vAlign w:val="bottom"/>
            <w:hideMark/>
          </w:tcPr>
          <w:p w14:paraId="76A0927D" w14:textId="77777777" w:rsidR="00462DD4" w:rsidRPr="00795F17" w:rsidRDefault="00462DD4" w:rsidP="0065243A">
            <w:pPr>
              <w:pStyle w:val="Teksttabelisrodek"/>
            </w:pPr>
            <w:r w:rsidRPr="00795F17">
              <w:t>1_TOC</w:t>
            </w:r>
            <w:r w:rsidRPr="00795F17">
              <w:br/>
              <w:t>43_NO</w:t>
            </w:r>
            <w:r w:rsidRPr="00795F17">
              <w:rPr>
                <w:vertAlign w:val="subscript"/>
              </w:rPr>
              <w:t>3</w:t>
            </w:r>
            <w:r w:rsidRPr="00795F17">
              <w:br/>
              <w:t>60_K</w:t>
            </w:r>
            <w:r w:rsidRPr="00795F17">
              <w:br/>
              <w:t>62_SO</w:t>
            </w:r>
            <w:r w:rsidRPr="00795F17">
              <w:rPr>
                <w:vertAlign w:val="subscript"/>
              </w:rPr>
              <w:t>4</w:t>
            </w:r>
            <w:r w:rsidRPr="00795F17">
              <w:t>, Ca</w:t>
            </w:r>
            <w:r w:rsidRPr="00795F17">
              <w:br/>
              <w:t>143_K</w:t>
            </w:r>
          </w:p>
        </w:tc>
        <w:tc>
          <w:tcPr>
            <w:tcW w:w="1481" w:type="pct"/>
            <w:tcBorders>
              <w:top w:val="nil"/>
              <w:left w:val="nil"/>
              <w:bottom w:val="single" w:sz="4" w:space="0" w:color="auto"/>
              <w:right w:val="single" w:sz="4" w:space="0" w:color="auto"/>
            </w:tcBorders>
            <w:shd w:val="clear" w:color="auto" w:fill="auto"/>
            <w:vAlign w:val="center"/>
            <w:hideMark/>
          </w:tcPr>
          <w:p w14:paraId="0920C491" w14:textId="77777777" w:rsidR="00462DD4" w:rsidRPr="00795F17" w:rsidRDefault="00462DD4" w:rsidP="0065243A">
            <w:pPr>
              <w:pStyle w:val="Teksttabelisrodek"/>
            </w:pPr>
            <w:r w:rsidRPr="00795F17">
              <w:t>62_SO</w:t>
            </w:r>
            <w:r w:rsidRPr="00795F17">
              <w:rPr>
                <w:vertAlign w:val="subscript"/>
              </w:rPr>
              <w:t>4</w:t>
            </w:r>
            <w:r w:rsidRPr="00795F17">
              <w:t>, Ca</w:t>
            </w:r>
          </w:p>
        </w:tc>
      </w:tr>
    </w:tbl>
    <w:p w14:paraId="0D4EFD3F" w14:textId="77777777" w:rsidR="00285D58" w:rsidRPr="00795F17" w:rsidRDefault="00285D58" w:rsidP="00285D58">
      <w:pPr>
        <w:pStyle w:val="rdo"/>
        <w:rPr>
          <w:color w:val="000099"/>
          <w:sz w:val="20"/>
          <w:szCs w:val="20"/>
        </w:rPr>
      </w:pPr>
      <w:r w:rsidRPr="00795F17">
        <w:t>Źródło: opracowanie własne</w:t>
      </w:r>
    </w:p>
    <w:p w14:paraId="2BC0B38C" w14:textId="7F782D4D" w:rsidR="00462DD4" w:rsidRPr="00795F17" w:rsidRDefault="00462DD4" w:rsidP="0044393D">
      <w:r w:rsidRPr="00795F17">
        <w:t>Oprócz analizy pozwalającej sprawdzić czy stężenia zanieczyszczenia rosną na przestrzeni lat wykonano również odwrócenie trendu, które pozwala zidentyfikować zmniejszenie poziomu zanieczyszczenia wód podziemnych. Punktem początkowym inicjowania działań mających odwrócić znaczące i</w:t>
      </w:r>
      <w:r w:rsidR="00D63E31" w:rsidRPr="00795F17">
        <w:t> </w:t>
      </w:r>
      <w:r w:rsidRPr="00795F17">
        <w:t xml:space="preserve">utrzymujące się trendy wzrostowe jest stan, kiedy stężenie zanieczyszczenia osiąga 75% wartości </w:t>
      </w:r>
      <w:bookmarkStart w:id="238" w:name="_Hlk65928604"/>
      <w:bookmarkStart w:id="239" w:name="_Hlk65933322"/>
      <w:r w:rsidRPr="00795F17">
        <w:t>progowej dobrego stanu chemicznego</w:t>
      </w:r>
      <w:bookmarkEnd w:id="238"/>
      <w:bookmarkEnd w:id="239"/>
      <w:r w:rsidRPr="00795F17">
        <w:t>. Założeniem było przeanalizowanie tych punktów, dla których w latach 2005</w:t>
      </w:r>
      <w:r w:rsidR="009460FE">
        <w:t>–</w:t>
      </w:r>
      <w:r w:rsidRPr="00795F17">
        <w:t>2012 zidentyfikowano znaczące i utrzymujące się trendy wzrostowe, i wykazanie, czy istnieje odwrócenie tendencji wzrostowych podczas 15-letniego cyklu badawczego (lata 2005</w:t>
      </w:r>
      <w:r w:rsidR="00C827BA">
        <w:t>–</w:t>
      </w:r>
      <w:r w:rsidRPr="00795F17">
        <w:t>2019). Do przeprowadzenia analizy odwrócenia tendencji zmian zastosowano poszerzoną metodę regresji liniowej. Jest to model dwuliniowy, w którym następuje jedno załamanie w badanym przedziale czasowym. W poszerzonym modelu regresji dwuliniowej sprawdzana jest istotność statystyczna. W</w:t>
      </w:r>
      <w:r w:rsidR="00D63E31" w:rsidRPr="00795F17">
        <w:t> </w:t>
      </w:r>
      <w:r w:rsidRPr="00795F17">
        <w:t xml:space="preserve">przypadku gdy dla dopasowanych dwóch linii prostych regresji liniowych stwierdzono istotność statystyczną a dla modelu z jedną prostą regresji liniowej nie wykazano istotności statystycznej, stwierdza się odwrócenie trendu. W granicach obszaru dorzecza Odry dwukrotnie zaobserwowano odwrócenie trendów: w punkcie leżącym w obszarze </w:t>
      </w:r>
      <w:r w:rsidR="00DF005E">
        <w:t>JCWP</w:t>
      </w:r>
      <w:r w:rsidRPr="00795F17">
        <w:t>d nr 141 i dotyczyło to wskaźnika HCO</w:t>
      </w:r>
      <w:r w:rsidRPr="00795F17">
        <w:rPr>
          <w:vertAlign w:val="subscript"/>
        </w:rPr>
        <w:t>3</w:t>
      </w:r>
      <w:r w:rsidRPr="00795F17">
        <w:t xml:space="preserve"> oraz</w:t>
      </w:r>
      <w:r w:rsidR="006D35CF">
        <w:t> </w:t>
      </w:r>
      <w:r w:rsidRPr="00795F17">
        <w:t xml:space="preserve">w punkcie leżącym w obszarze </w:t>
      </w:r>
      <w:r w:rsidR="00DF005E">
        <w:t>JCWP</w:t>
      </w:r>
      <w:r w:rsidRPr="00795F17">
        <w:t>d nr 1 i dotyczyło to wskaźnika Ca.</w:t>
      </w:r>
    </w:p>
    <w:p w14:paraId="1AB4C6B9" w14:textId="77777777" w:rsidR="00462DD4" w:rsidRPr="00795F17" w:rsidRDefault="00462DD4" w:rsidP="00DA1EF7">
      <w:pPr>
        <w:pStyle w:val="Nagwek5"/>
      </w:pPr>
      <w:r w:rsidRPr="00795F17">
        <w:t>Analiza położenia zwierciadła wody podziemnej</w:t>
      </w:r>
    </w:p>
    <w:p w14:paraId="243857EA" w14:textId="6C74FE56" w:rsidR="00462DD4" w:rsidRPr="00795F17" w:rsidRDefault="00462DD4" w:rsidP="0044393D">
      <w:r w:rsidRPr="00795F17">
        <w:t>Analiza położenia zwierciadła wody podziemnej jest opisem sytuacji hydrogeologicznej w punktach monitoringu stanu ilościowego i traktuje się ją jako analizę wstępną, wspierającą pozostałe testy klasyfikacyjne oceny stanu ilościowego wód podziemnych. Polega ona na ustaleniu czy w wyniku działań antropogenicznych nie doszło do niekorzystnych zmian położenia zwierciadła lub do zmian kierunków przepływu wód podziemnych, prowadzących do ich zanieczyszczenia bądź pogorszenia warunków bytowania powiązanych z wodami podziemnymi ekosystemów. Podstawą przeprowadzenia analizy są długoletnie nieprzerwane ciągi obserwacyjne, kilkunastoletnie, a najlepiej ponad trzydziestoletnie. Pozwala to odróżnić ewentualne trendy zmian położenia zwierciadła wody od jego sezonowych lub wieloletnich zmian cyklicznych.</w:t>
      </w:r>
    </w:p>
    <w:p w14:paraId="20916209" w14:textId="69A93A0C" w:rsidR="00462DD4" w:rsidRPr="00795F17" w:rsidRDefault="00462DD4" w:rsidP="0044393D">
      <w:r w:rsidRPr="00795F17">
        <w:t>Podstawą analizy było stwierdzenie, jak na tle wielolecia 2009</w:t>
      </w:r>
      <w:r w:rsidR="00C827BA">
        <w:t>–</w:t>
      </w:r>
      <w:r w:rsidRPr="00795F17">
        <w:t>2018 i wyznaczonych na tej podstawie stref stanów zostały zakwalifikowane wyniki pomiarów z 2019 r. Dodatkowo uwzględniono: czy średnia z roku hydrologicznego 2019 była niższa niż minimum wielolecia 2009</w:t>
      </w:r>
      <w:r w:rsidR="00C827BA">
        <w:t>–</w:t>
      </w:r>
      <w:r w:rsidRPr="00795F17">
        <w:t xml:space="preserve">2018, wyniki i interpretację analizy trendów dla punktów z przynajmniej 20 letnim okresem obserwacji i brakiem znaczących przerw w obserwacjach, zidentyfikowaną znaczącą </w:t>
      </w:r>
      <w:r w:rsidRPr="00472FD2">
        <w:t>antropopresj</w:t>
      </w:r>
      <w:r w:rsidR="00161812" w:rsidRPr="00472FD2">
        <w:t>ą</w:t>
      </w:r>
      <w:r w:rsidRPr="00472FD2">
        <w:t>, strefy stanów wyznaczone pomocniczo dla wielolecia 1991</w:t>
      </w:r>
      <w:r w:rsidR="00C827BA" w:rsidRPr="00472FD2">
        <w:t>–</w:t>
      </w:r>
      <w:r w:rsidRPr="00472FD2">
        <w:t>2018, wykresy i interpretację ekspercką</w:t>
      </w:r>
      <w:r w:rsidR="008C49F2" w:rsidRPr="00472FD2">
        <w:t>.</w:t>
      </w:r>
    </w:p>
    <w:p w14:paraId="046AA553" w14:textId="0D1FD97A" w:rsidR="00462DD4" w:rsidRPr="00795F17" w:rsidRDefault="00462DD4" w:rsidP="0044393D">
      <w:r w:rsidRPr="00795F17">
        <w:t xml:space="preserve">Analizę przeprowadzono na dostępnych danych ze 172 </w:t>
      </w:r>
      <w:r w:rsidR="00DF005E">
        <w:t>JCWP</w:t>
      </w:r>
      <w:r w:rsidRPr="00795F17">
        <w:t xml:space="preserve">d wraz z subczęściami </w:t>
      </w:r>
      <w:r w:rsidR="00182A26" w:rsidRPr="00795F17">
        <w:t>-</w:t>
      </w:r>
      <w:r w:rsidRPr="00795F17">
        <w:t xml:space="preserve"> z uwzględnieniem podziału na kompleksy wodonośne. Następnie rozszerzono wyniki na 174 </w:t>
      </w:r>
      <w:r w:rsidR="00DF005E">
        <w:t>JCWP</w:t>
      </w:r>
      <w:r w:rsidRPr="00795F17">
        <w:t xml:space="preserve">d. Strefa stanów niskich przeważająca w przynajmniej jednym kompleksie wodonośnym była podstawą do poszerzonej analizy i jeżeli wyniki nadal potwierdzały taki stan, cała </w:t>
      </w:r>
      <w:r w:rsidR="00DF005E">
        <w:t>JCWP</w:t>
      </w:r>
      <w:r w:rsidRPr="00795F17">
        <w:t xml:space="preserve">d była wskazywana do zakwalifikowania do stanu słabego w testach oceny stanu ilościowego. </w:t>
      </w:r>
    </w:p>
    <w:p w14:paraId="0A552185" w14:textId="2C2A5DB9" w:rsidR="00462DD4" w:rsidRPr="00795F17" w:rsidRDefault="00462DD4" w:rsidP="0044393D">
      <w:r w:rsidRPr="00795F17">
        <w:t xml:space="preserve">Na terenie Polski </w:t>
      </w:r>
      <w:r w:rsidR="009B38ED">
        <w:t>na</w:t>
      </w:r>
      <w:r w:rsidRPr="00795F17">
        <w:t xml:space="preserve"> obszarze dorzecza Odry znajduj</w:t>
      </w:r>
      <w:r w:rsidR="008C49F2" w:rsidRPr="00795F17">
        <w:t>e</w:t>
      </w:r>
      <w:r w:rsidRPr="00795F17">
        <w:t xml:space="preserve"> się 66 </w:t>
      </w:r>
      <w:r w:rsidR="00DF005E">
        <w:t>JCWP</w:t>
      </w:r>
      <w:r w:rsidRPr="00795F17">
        <w:t>d. W ramach analizy położenia zwierciadła wody podziemnej w 60 z nich nie stwierdzono wskazań do stanu słabego. Wskazania do</w:t>
      </w:r>
      <w:r w:rsidR="00D63E31" w:rsidRPr="00795F17">
        <w:t> </w:t>
      </w:r>
      <w:r w:rsidRPr="00795F17">
        <w:t xml:space="preserve">stanu słabego stwierdzono w 6 </w:t>
      </w:r>
      <w:r w:rsidR="00DF005E">
        <w:t>JCWP</w:t>
      </w:r>
      <w:r w:rsidRPr="00795F17">
        <w:t xml:space="preserve">d (tabela </w:t>
      </w:r>
      <w:r w:rsidR="00757CFC" w:rsidRPr="00795F17">
        <w:t>5-2</w:t>
      </w:r>
      <w:r w:rsidR="00BB3B21" w:rsidRPr="00795F17">
        <w:t>5</w:t>
      </w:r>
      <w:r w:rsidRPr="00795F17">
        <w:t>).</w:t>
      </w:r>
    </w:p>
    <w:p w14:paraId="7EF39FEA" w14:textId="186E31B9" w:rsidR="00462DD4" w:rsidRPr="00795F17" w:rsidRDefault="00462DD4" w:rsidP="004D7705">
      <w:pPr>
        <w:pStyle w:val="Tabela"/>
      </w:pPr>
      <w:bookmarkStart w:id="240" w:name="_Toc66341878"/>
      <w:bookmarkStart w:id="241" w:name="_Toc105512789"/>
      <w:r w:rsidRPr="00795F17">
        <w:t xml:space="preserve">Tabela </w:t>
      </w:r>
      <w:fldSimple w:instr=" STYLEREF 1 \s ">
        <w:r w:rsidR="001F774D">
          <w:rPr>
            <w:noProof/>
          </w:rPr>
          <w:t>5</w:t>
        </w:r>
      </w:fldSimple>
      <w:r w:rsidR="00BB3B21" w:rsidRPr="00795F17">
        <w:noBreakHyphen/>
      </w:r>
      <w:fldSimple w:instr=" SEQ Tabela \* ARABIC \s 1 ">
        <w:r w:rsidR="001F774D">
          <w:rPr>
            <w:noProof/>
          </w:rPr>
          <w:t>25</w:t>
        </w:r>
      </w:fldSimple>
      <w:r w:rsidR="00BA11D4">
        <w:rPr>
          <w:noProof/>
        </w:rPr>
        <w:t>.</w:t>
      </w:r>
      <w:r w:rsidRPr="00795F17">
        <w:tab/>
        <w:t xml:space="preserve">Wyniki analizy położenia zwierciadła wody podziemnej w podziale na 66 </w:t>
      </w:r>
      <w:r w:rsidR="00DF005E">
        <w:t>JCWP</w:t>
      </w:r>
      <w:r w:rsidRPr="00795F17">
        <w:t xml:space="preserve">d znajdujących się </w:t>
      </w:r>
      <w:r w:rsidR="009B38ED">
        <w:t>na</w:t>
      </w:r>
      <w:r w:rsidRPr="00795F17">
        <w:t xml:space="preserve"> obszarze dorzecza Odry</w:t>
      </w:r>
      <w:bookmarkEnd w:id="240"/>
      <w:bookmarkEnd w:id="2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5"/>
        <w:gridCol w:w="1753"/>
        <w:gridCol w:w="784"/>
        <w:gridCol w:w="4340"/>
      </w:tblGrid>
      <w:tr w:rsidR="00462DD4" w:rsidRPr="00795F17" w14:paraId="07C746BE" w14:textId="77777777" w:rsidTr="008C49F2">
        <w:trPr>
          <w:trHeight w:val="454"/>
          <w:tblHeader/>
          <w:jc w:val="center"/>
        </w:trPr>
        <w:tc>
          <w:tcPr>
            <w:tcW w:w="1213" w:type="pct"/>
            <w:shd w:val="clear" w:color="auto" w:fill="BFBFBF"/>
            <w:vAlign w:val="center"/>
          </w:tcPr>
          <w:p w14:paraId="634AC17A" w14:textId="52F41149" w:rsidR="00462DD4" w:rsidRPr="00795F17" w:rsidRDefault="00462DD4" w:rsidP="0044393D">
            <w:pPr>
              <w:pStyle w:val="Teksttabelinaglowek"/>
            </w:pPr>
            <w:r w:rsidRPr="00795F17">
              <w:t xml:space="preserve">Wskazania do oceny stanu ilościowego </w:t>
            </w:r>
            <w:r w:rsidR="00DF005E">
              <w:t>JCWP</w:t>
            </w:r>
            <w:r w:rsidRPr="00795F17">
              <w:t>d według analizy położenia zwierciadła wody podziemnej</w:t>
            </w:r>
          </w:p>
        </w:tc>
        <w:tc>
          <w:tcPr>
            <w:tcW w:w="974" w:type="pct"/>
            <w:shd w:val="clear" w:color="auto" w:fill="BFBFBF"/>
            <w:vAlign w:val="center"/>
          </w:tcPr>
          <w:p w14:paraId="45ED4DB2" w14:textId="77777777" w:rsidR="00462DD4" w:rsidRPr="00795F17" w:rsidRDefault="00462DD4" w:rsidP="0044393D">
            <w:pPr>
              <w:pStyle w:val="Teksttabelinaglowek"/>
            </w:pPr>
            <w:r w:rsidRPr="00795F17">
              <w:t>Wiarygodność oceny</w:t>
            </w:r>
          </w:p>
        </w:tc>
        <w:tc>
          <w:tcPr>
            <w:tcW w:w="412" w:type="pct"/>
            <w:shd w:val="clear" w:color="auto" w:fill="BFBFBF"/>
            <w:vAlign w:val="center"/>
          </w:tcPr>
          <w:p w14:paraId="3BCA807A" w14:textId="7D2867BC" w:rsidR="00462DD4" w:rsidRPr="00795F17" w:rsidRDefault="00462DD4" w:rsidP="0044393D">
            <w:pPr>
              <w:pStyle w:val="Teksttabelinaglowek"/>
            </w:pPr>
            <w:r w:rsidRPr="00795F17">
              <w:t xml:space="preserve">Liczba </w:t>
            </w:r>
            <w:r w:rsidR="00DF005E">
              <w:t>JCWP</w:t>
            </w:r>
            <w:r w:rsidRPr="00795F17">
              <w:t>d</w:t>
            </w:r>
          </w:p>
        </w:tc>
        <w:tc>
          <w:tcPr>
            <w:tcW w:w="2401" w:type="pct"/>
            <w:shd w:val="clear" w:color="auto" w:fill="BFBFBF"/>
            <w:vAlign w:val="center"/>
          </w:tcPr>
          <w:p w14:paraId="62AFA7DA" w14:textId="07C296DA" w:rsidR="00462DD4" w:rsidRPr="00795F17" w:rsidRDefault="00462DD4" w:rsidP="0044393D">
            <w:pPr>
              <w:pStyle w:val="Teksttabelinaglowek"/>
            </w:pPr>
            <w:r w:rsidRPr="00795F17">
              <w:t xml:space="preserve">Numery </w:t>
            </w:r>
            <w:r w:rsidR="00DF005E">
              <w:t>JCWP</w:t>
            </w:r>
            <w:r w:rsidRPr="00795F17">
              <w:t>d</w:t>
            </w:r>
          </w:p>
        </w:tc>
      </w:tr>
      <w:tr w:rsidR="00462DD4" w:rsidRPr="00795F17" w14:paraId="7BA3564C" w14:textId="77777777" w:rsidTr="008C49F2">
        <w:trPr>
          <w:trHeight w:val="454"/>
          <w:jc w:val="center"/>
        </w:trPr>
        <w:tc>
          <w:tcPr>
            <w:tcW w:w="1213" w:type="pct"/>
            <w:vAlign w:val="center"/>
          </w:tcPr>
          <w:p w14:paraId="02F193C2" w14:textId="2BC58EBE" w:rsidR="00462DD4" w:rsidRPr="00795F17" w:rsidRDefault="00462DD4" w:rsidP="00DA1EF7">
            <w:pPr>
              <w:pStyle w:val="Teksttabelilewy"/>
            </w:pPr>
            <w:r w:rsidRPr="00795F17">
              <w:t>Brak wskazań do</w:t>
            </w:r>
            <w:r w:rsidR="00D146C3" w:rsidRPr="00795F17">
              <w:t xml:space="preserve"> </w:t>
            </w:r>
            <w:r w:rsidRPr="00795F17">
              <w:t>stanu słabego</w:t>
            </w:r>
          </w:p>
        </w:tc>
        <w:tc>
          <w:tcPr>
            <w:tcW w:w="974" w:type="pct"/>
            <w:vAlign w:val="center"/>
          </w:tcPr>
          <w:p w14:paraId="08BE3DD1" w14:textId="51B3D809" w:rsidR="00462DD4" w:rsidRPr="00795F17" w:rsidRDefault="00462DD4" w:rsidP="003D7BF3">
            <w:pPr>
              <w:pStyle w:val="Teksttabelisrodek"/>
            </w:pPr>
            <w:r w:rsidRPr="00795F17">
              <w:t xml:space="preserve">dostateczna </w:t>
            </w:r>
            <w:r w:rsidR="005801C2">
              <w:t>–</w:t>
            </w:r>
            <w:r w:rsidRPr="00795F17">
              <w:t xml:space="preserve"> DW</w:t>
            </w:r>
          </w:p>
        </w:tc>
        <w:tc>
          <w:tcPr>
            <w:tcW w:w="412" w:type="pct"/>
            <w:vAlign w:val="center"/>
          </w:tcPr>
          <w:p w14:paraId="05562138" w14:textId="77777777" w:rsidR="00462DD4" w:rsidRPr="00795F17" w:rsidRDefault="00462DD4" w:rsidP="003D7BF3">
            <w:pPr>
              <w:pStyle w:val="Teksttabelisrodek"/>
            </w:pPr>
            <w:r w:rsidRPr="00795F17">
              <w:t>52</w:t>
            </w:r>
          </w:p>
        </w:tc>
        <w:tc>
          <w:tcPr>
            <w:tcW w:w="2401" w:type="pct"/>
            <w:vAlign w:val="center"/>
          </w:tcPr>
          <w:p w14:paraId="544524D8" w14:textId="77777777" w:rsidR="00462DD4" w:rsidRPr="00795F17" w:rsidRDefault="00462DD4" w:rsidP="003D7BF3">
            <w:pPr>
              <w:pStyle w:val="Teksttabelilewy"/>
              <w:jc w:val="center"/>
            </w:pPr>
            <w:r w:rsidRPr="00795F17">
              <w:t>1, 2, 3, 4, 5, 6, 7, 8, 9, 10, 23, 24, 25, 26, 34, 35, 40, 42, 43, 58, 59, 61, 62, 69, 70, 71, 72, 77, 79, 80, 81, 82, 83, 92, 93, 96, 97, 99, 107, 108, 110, 124, 125, 126, 127, 128, 139, 140, 141, 144, 155, 170</w:t>
            </w:r>
          </w:p>
        </w:tc>
      </w:tr>
      <w:tr w:rsidR="00462DD4" w:rsidRPr="00795F17" w14:paraId="2BF9751E" w14:textId="77777777" w:rsidTr="008C49F2">
        <w:trPr>
          <w:trHeight w:val="454"/>
          <w:jc w:val="center"/>
        </w:trPr>
        <w:tc>
          <w:tcPr>
            <w:tcW w:w="1213" w:type="pct"/>
            <w:vAlign w:val="center"/>
          </w:tcPr>
          <w:p w14:paraId="4432A722" w14:textId="4560772E" w:rsidR="00462DD4" w:rsidRPr="00795F17" w:rsidRDefault="00462DD4" w:rsidP="00DA1EF7">
            <w:pPr>
              <w:pStyle w:val="Teksttabelilewy"/>
            </w:pPr>
            <w:r w:rsidRPr="00795F17">
              <w:t>Brak wskazań do</w:t>
            </w:r>
            <w:r w:rsidR="00D146C3" w:rsidRPr="00795F17">
              <w:t xml:space="preserve"> </w:t>
            </w:r>
            <w:r w:rsidRPr="00795F17">
              <w:t>stanu słabego</w:t>
            </w:r>
          </w:p>
        </w:tc>
        <w:tc>
          <w:tcPr>
            <w:tcW w:w="974" w:type="pct"/>
            <w:vAlign w:val="center"/>
          </w:tcPr>
          <w:p w14:paraId="66429133" w14:textId="7B73AA5B" w:rsidR="00462DD4" w:rsidRPr="00795F17" w:rsidRDefault="00462DD4" w:rsidP="003D7BF3">
            <w:pPr>
              <w:pStyle w:val="Teksttabelisrodek"/>
            </w:pPr>
            <w:r w:rsidRPr="00795F17">
              <w:t xml:space="preserve">niska </w:t>
            </w:r>
            <w:r w:rsidR="005801C2">
              <w:t>–</w:t>
            </w:r>
            <w:r w:rsidRPr="00795F17">
              <w:t xml:space="preserve"> NW</w:t>
            </w:r>
          </w:p>
        </w:tc>
        <w:tc>
          <w:tcPr>
            <w:tcW w:w="412" w:type="pct"/>
            <w:vAlign w:val="center"/>
          </w:tcPr>
          <w:p w14:paraId="22C9472B" w14:textId="77777777" w:rsidR="00462DD4" w:rsidRPr="00795F17" w:rsidRDefault="00462DD4" w:rsidP="003D7BF3">
            <w:pPr>
              <w:pStyle w:val="Teksttabelisrodek"/>
            </w:pPr>
            <w:r w:rsidRPr="00795F17">
              <w:t>8</w:t>
            </w:r>
          </w:p>
        </w:tc>
        <w:tc>
          <w:tcPr>
            <w:tcW w:w="2401" w:type="pct"/>
            <w:vAlign w:val="center"/>
          </w:tcPr>
          <w:p w14:paraId="1EBBF6D8" w14:textId="77777777" w:rsidR="00462DD4" w:rsidRPr="00795F17" w:rsidRDefault="00462DD4" w:rsidP="003D7BF3">
            <w:pPr>
              <w:pStyle w:val="Teksttabelilewy"/>
              <w:jc w:val="center"/>
            </w:pPr>
            <w:r w:rsidRPr="00795F17">
              <w:t>33, 41, 68, 78, 94, 95, 98, 109</w:t>
            </w:r>
          </w:p>
        </w:tc>
      </w:tr>
      <w:tr w:rsidR="00462DD4" w:rsidRPr="00795F17" w14:paraId="4D8D3875" w14:textId="77777777" w:rsidTr="008C49F2">
        <w:trPr>
          <w:trHeight w:val="454"/>
          <w:jc w:val="center"/>
        </w:trPr>
        <w:tc>
          <w:tcPr>
            <w:tcW w:w="1213" w:type="pct"/>
            <w:vAlign w:val="center"/>
          </w:tcPr>
          <w:p w14:paraId="1C0EBFAA" w14:textId="77777777" w:rsidR="00462DD4" w:rsidRPr="00795F17" w:rsidRDefault="00462DD4" w:rsidP="00DA1EF7">
            <w:pPr>
              <w:pStyle w:val="Teksttabelilewy"/>
            </w:pPr>
            <w:r w:rsidRPr="00795F17">
              <w:t>Wskazania do stanu słabego</w:t>
            </w:r>
          </w:p>
        </w:tc>
        <w:tc>
          <w:tcPr>
            <w:tcW w:w="974" w:type="pct"/>
            <w:vAlign w:val="center"/>
          </w:tcPr>
          <w:p w14:paraId="7CDBA656" w14:textId="1F5B6424" w:rsidR="00462DD4" w:rsidRPr="00795F17" w:rsidRDefault="00462DD4" w:rsidP="003D7BF3">
            <w:pPr>
              <w:pStyle w:val="Teksttabelisrodek"/>
            </w:pPr>
            <w:r w:rsidRPr="00795F17">
              <w:t xml:space="preserve">dostateczna </w:t>
            </w:r>
            <w:r w:rsidR="005801C2">
              <w:t>–</w:t>
            </w:r>
            <w:r w:rsidRPr="00795F17">
              <w:t xml:space="preserve"> DW</w:t>
            </w:r>
          </w:p>
        </w:tc>
        <w:tc>
          <w:tcPr>
            <w:tcW w:w="412" w:type="pct"/>
            <w:vAlign w:val="center"/>
          </w:tcPr>
          <w:p w14:paraId="11891952" w14:textId="77777777" w:rsidR="00462DD4" w:rsidRPr="00795F17" w:rsidRDefault="00462DD4" w:rsidP="003D7BF3">
            <w:pPr>
              <w:pStyle w:val="Teksttabelisrodek"/>
            </w:pPr>
            <w:r w:rsidRPr="00795F17">
              <w:t>4</w:t>
            </w:r>
          </w:p>
        </w:tc>
        <w:tc>
          <w:tcPr>
            <w:tcW w:w="2401" w:type="pct"/>
            <w:vAlign w:val="center"/>
          </w:tcPr>
          <w:p w14:paraId="539D1DCE" w14:textId="77777777" w:rsidR="00462DD4" w:rsidRPr="00795F17" w:rsidRDefault="00462DD4" w:rsidP="003D7BF3">
            <w:pPr>
              <w:pStyle w:val="Teksttabelilewy"/>
              <w:jc w:val="center"/>
            </w:pPr>
            <w:r w:rsidRPr="00795F17">
              <w:t>60, 76, 105, 142</w:t>
            </w:r>
          </w:p>
        </w:tc>
      </w:tr>
      <w:tr w:rsidR="00462DD4" w:rsidRPr="00795F17" w14:paraId="2CD0A8AD" w14:textId="77777777" w:rsidTr="008C49F2">
        <w:trPr>
          <w:trHeight w:val="454"/>
          <w:jc w:val="center"/>
        </w:trPr>
        <w:tc>
          <w:tcPr>
            <w:tcW w:w="1213" w:type="pct"/>
            <w:vAlign w:val="center"/>
          </w:tcPr>
          <w:p w14:paraId="3DBBCB6D" w14:textId="77777777" w:rsidR="00462DD4" w:rsidRPr="00795F17" w:rsidRDefault="00462DD4" w:rsidP="00DA1EF7">
            <w:pPr>
              <w:pStyle w:val="Teksttabelilewy"/>
            </w:pPr>
            <w:r w:rsidRPr="00795F17">
              <w:t>Wskazania do stanu słabego</w:t>
            </w:r>
          </w:p>
        </w:tc>
        <w:tc>
          <w:tcPr>
            <w:tcW w:w="974" w:type="pct"/>
            <w:vAlign w:val="center"/>
          </w:tcPr>
          <w:p w14:paraId="6877F627" w14:textId="101D6EF4" w:rsidR="00462DD4" w:rsidRPr="00795F17" w:rsidRDefault="00462DD4" w:rsidP="003D7BF3">
            <w:pPr>
              <w:pStyle w:val="Teksttabelisrodek"/>
            </w:pPr>
            <w:r w:rsidRPr="00795F17">
              <w:t xml:space="preserve">niska </w:t>
            </w:r>
            <w:r w:rsidR="005801C2">
              <w:t>–</w:t>
            </w:r>
            <w:r w:rsidRPr="00795F17">
              <w:t xml:space="preserve"> NW</w:t>
            </w:r>
          </w:p>
        </w:tc>
        <w:tc>
          <w:tcPr>
            <w:tcW w:w="412" w:type="pct"/>
            <w:vAlign w:val="center"/>
          </w:tcPr>
          <w:p w14:paraId="5D2B230A" w14:textId="77777777" w:rsidR="00462DD4" w:rsidRPr="00795F17" w:rsidRDefault="00462DD4" w:rsidP="003D7BF3">
            <w:pPr>
              <w:pStyle w:val="Teksttabelisrodek"/>
            </w:pPr>
            <w:r w:rsidRPr="00795F17">
              <w:t>2</w:t>
            </w:r>
          </w:p>
        </w:tc>
        <w:tc>
          <w:tcPr>
            <w:tcW w:w="2401" w:type="pct"/>
            <w:vAlign w:val="center"/>
          </w:tcPr>
          <w:p w14:paraId="5AEC0D8C" w14:textId="77777777" w:rsidR="00462DD4" w:rsidRPr="00795F17" w:rsidRDefault="00462DD4" w:rsidP="003D7BF3">
            <w:pPr>
              <w:pStyle w:val="Teksttabelilewy"/>
              <w:jc w:val="center"/>
            </w:pPr>
            <w:r w:rsidRPr="00795F17">
              <w:t>129, 143</w:t>
            </w:r>
          </w:p>
        </w:tc>
      </w:tr>
    </w:tbl>
    <w:p w14:paraId="2A560413" w14:textId="77777777" w:rsidR="00285D58" w:rsidRPr="00795F17" w:rsidRDefault="00285D58" w:rsidP="00285D58">
      <w:pPr>
        <w:pStyle w:val="rdo"/>
        <w:rPr>
          <w:color w:val="000099"/>
          <w:sz w:val="20"/>
          <w:szCs w:val="20"/>
        </w:rPr>
      </w:pPr>
      <w:r w:rsidRPr="00795F17">
        <w:t>Źródło: opracowanie własne</w:t>
      </w:r>
    </w:p>
    <w:p w14:paraId="5BE3AF24" w14:textId="1EF7EF89" w:rsidR="00462DD4" w:rsidRPr="00795F17" w:rsidRDefault="00462DD4" w:rsidP="0044393D">
      <w:pPr>
        <w:pStyle w:val="Nagwek5"/>
      </w:pPr>
      <w:r w:rsidRPr="00795F17">
        <w:t>Wyniki testów klasyfikacyjnych</w:t>
      </w:r>
    </w:p>
    <w:p w14:paraId="48C2DE0E" w14:textId="77777777" w:rsidR="00462DD4" w:rsidRPr="00795F17" w:rsidRDefault="00462DD4" w:rsidP="00DA1EF7">
      <w:pPr>
        <w:rPr>
          <w:i/>
          <w:iCs/>
        </w:rPr>
      </w:pPr>
      <w:r w:rsidRPr="00795F17">
        <w:rPr>
          <w:i/>
          <w:iCs/>
        </w:rPr>
        <w:t>Ocena stanu chemicznego</w:t>
      </w:r>
    </w:p>
    <w:p w14:paraId="76CDA117" w14:textId="600A5C23" w:rsidR="009619D4" w:rsidRPr="00795F17" w:rsidRDefault="00462DD4" w:rsidP="0044393D">
      <w:r w:rsidRPr="00795F17">
        <w:t xml:space="preserve">Ocenę stanu chemicznego 66 </w:t>
      </w:r>
      <w:r w:rsidR="00DF005E">
        <w:t>JCWP</w:t>
      </w:r>
      <w:r w:rsidRPr="00795F17">
        <w:t>d, znajdujących się na obszarze dorzecza Odry, przeprowadzono w</w:t>
      </w:r>
      <w:r w:rsidR="00D63E31" w:rsidRPr="00795F17">
        <w:t> </w:t>
      </w:r>
      <w:r w:rsidRPr="00795F17">
        <w:t xml:space="preserve">2020 r. na podstawie 554 punktów pomiarowych opróbowanych w 2019 r. W 61 jednostkach stan chemiczny określono jako dobry. Stan słaby stwierdzono w 5 </w:t>
      </w:r>
      <w:r w:rsidR="00DF005E">
        <w:t>JCWP</w:t>
      </w:r>
      <w:r w:rsidRPr="00795F17">
        <w:t xml:space="preserve">d o </w:t>
      </w:r>
      <w:r w:rsidR="00BD2181" w:rsidRPr="00795F17">
        <w:t>nr</w:t>
      </w:r>
      <w:r w:rsidRPr="00795F17">
        <w:t xml:space="preserve">: 1, 43, 70, 79 i 127. Stan chemiczny </w:t>
      </w:r>
      <w:r w:rsidR="00DF005E">
        <w:t>JCWP</w:t>
      </w:r>
      <w:r w:rsidRPr="00795F17">
        <w:t xml:space="preserve">d na obszarze dorzecza Odry przedstawia tabela </w:t>
      </w:r>
      <w:r w:rsidR="00757CFC" w:rsidRPr="00795F17">
        <w:t>5-2</w:t>
      </w:r>
      <w:r w:rsidR="00BB3B21" w:rsidRPr="00795F17">
        <w:t>6</w:t>
      </w:r>
      <w:r w:rsidRPr="00795F17">
        <w:t xml:space="preserve">. </w:t>
      </w:r>
      <w:r w:rsidR="00954D7C" w:rsidRPr="00795F17">
        <w:t xml:space="preserve">Ocenę stanu chemicznego </w:t>
      </w:r>
      <w:r w:rsidR="00DF005E">
        <w:t>JCWP</w:t>
      </w:r>
      <w:r w:rsidR="00954D7C" w:rsidRPr="00795F17">
        <w:t xml:space="preserve">d przedstawiono również w załączniku graficznym nr </w:t>
      </w:r>
      <w:r w:rsidR="00EA3B4C">
        <w:t>40</w:t>
      </w:r>
      <w:r w:rsidR="00954D7C" w:rsidRPr="00795F17">
        <w:t>.</w:t>
      </w:r>
    </w:p>
    <w:p w14:paraId="49A9DFAC" w14:textId="56764140" w:rsidR="00462DD4" w:rsidRPr="00795F17" w:rsidRDefault="00462DD4" w:rsidP="004D7705">
      <w:pPr>
        <w:pStyle w:val="Tabela"/>
      </w:pPr>
      <w:bookmarkStart w:id="242" w:name="_Toc66341879"/>
      <w:bookmarkStart w:id="243" w:name="_Toc105512790"/>
      <w:r w:rsidRPr="00795F17">
        <w:t xml:space="preserve">Tabela </w:t>
      </w:r>
      <w:fldSimple w:instr=" STYLEREF 1 \s ">
        <w:r w:rsidR="001F774D">
          <w:rPr>
            <w:noProof/>
          </w:rPr>
          <w:t>5</w:t>
        </w:r>
      </w:fldSimple>
      <w:r w:rsidR="00BB3B21" w:rsidRPr="00795F17">
        <w:noBreakHyphen/>
      </w:r>
      <w:fldSimple w:instr=" SEQ Tabela \* ARABIC \s 1 ">
        <w:r w:rsidR="001F774D">
          <w:rPr>
            <w:noProof/>
          </w:rPr>
          <w:t>26</w:t>
        </w:r>
      </w:fldSimple>
      <w:r w:rsidR="00BA11D4">
        <w:rPr>
          <w:noProof/>
        </w:rPr>
        <w:t>.</w:t>
      </w:r>
      <w:r w:rsidRPr="00795F17">
        <w:tab/>
        <w:t xml:space="preserve">Stan chemiczny </w:t>
      </w:r>
      <w:r w:rsidR="00DF005E">
        <w:t>JCWP</w:t>
      </w:r>
      <w:r w:rsidRPr="00795F17">
        <w:t>d na obszarze dorzecza Odry</w:t>
      </w:r>
      <w:bookmarkEnd w:id="242"/>
      <w:bookmarkEnd w:id="24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2"/>
        <w:gridCol w:w="1086"/>
        <w:gridCol w:w="4252"/>
        <w:gridCol w:w="2262"/>
      </w:tblGrid>
      <w:tr w:rsidR="00DA1EF7" w:rsidRPr="00795F17" w14:paraId="6397A04C" w14:textId="77777777" w:rsidTr="001C75D3">
        <w:trPr>
          <w:trHeight w:val="454"/>
          <w:jc w:val="center"/>
        </w:trPr>
        <w:tc>
          <w:tcPr>
            <w:tcW w:w="1406" w:type="pct"/>
            <w:gridSpan w:val="2"/>
            <w:shd w:val="clear" w:color="auto" w:fill="BFBFBF" w:themeFill="background1" w:themeFillShade="BF"/>
            <w:vAlign w:val="center"/>
          </w:tcPr>
          <w:p w14:paraId="434D8472" w14:textId="6C8C5F9F" w:rsidR="00DA1EF7" w:rsidRPr="00795F17" w:rsidRDefault="00DA1EF7" w:rsidP="0044393D">
            <w:pPr>
              <w:pStyle w:val="Teksttabelinaglowek"/>
              <w:rPr>
                <w:rFonts w:eastAsia="Times New Roman" w:cstheme="minorHAnsi"/>
                <w:color w:val="000000"/>
              </w:rPr>
            </w:pPr>
            <w:r w:rsidRPr="00795F17">
              <w:t>Obszar dorzecza</w:t>
            </w:r>
          </w:p>
        </w:tc>
        <w:tc>
          <w:tcPr>
            <w:tcW w:w="3594" w:type="pct"/>
            <w:gridSpan w:val="2"/>
            <w:shd w:val="clear" w:color="auto" w:fill="BFBFBF" w:themeFill="background1" w:themeFillShade="BF"/>
            <w:vAlign w:val="center"/>
          </w:tcPr>
          <w:p w14:paraId="56826633" w14:textId="22F1207D" w:rsidR="00DA1EF7" w:rsidRPr="00795F17" w:rsidRDefault="00DA1EF7" w:rsidP="0044393D">
            <w:pPr>
              <w:pStyle w:val="Teksttabelinaglowek"/>
              <w:rPr>
                <w:rFonts w:eastAsia="Times New Roman" w:cstheme="minorHAnsi"/>
                <w:color w:val="000000"/>
              </w:rPr>
            </w:pPr>
            <w:r w:rsidRPr="00795F17">
              <w:t xml:space="preserve">Numer </w:t>
            </w:r>
            <w:r w:rsidR="00DF005E">
              <w:rPr>
                <w:rFonts w:eastAsia="Times New Roman" w:cstheme="minorHAnsi"/>
                <w:color w:val="000000"/>
              </w:rPr>
              <w:t>JCWP</w:t>
            </w:r>
            <w:r w:rsidRPr="00795F17">
              <w:rPr>
                <w:rFonts w:eastAsia="Times New Roman" w:cstheme="minorHAnsi"/>
                <w:color w:val="000000"/>
              </w:rPr>
              <w:t>d</w:t>
            </w:r>
          </w:p>
        </w:tc>
      </w:tr>
      <w:tr w:rsidR="00DA1EF7" w:rsidRPr="00795F17" w14:paraId="4011C683" w14:textId="77777777" w:rsidTr="001C75D3">
        <w:trPr>
          <w:trHeight w:val="454"/>
          <w:jc w:val="center"/>
        </w:trPr>
        <w:tc>
          <w:tcPr>
            <w:tcW w:w="807" w:type="pct"/>
            <w:shd w:val="clear" w:color="auto" w:fill="BFBFBF" w:themeFill="background1" w:themeFillShade="BF"/>
            <w:vAlign w:val="center"/>
          </w:tcPr>
          <w:p w14:paraId="4AED616B" w14:textId="77777777" w:rsidR="00DA1EF7" w:rsidRPr="00795F17" w:rsidRDefault="00DA1EF7" w:rsidP="0044393D">
            <w:pPr>
              <w:pStyle w:val="Teksttabelinaglowek"/>
              <w:rPr>
                <w:rFonts w:eastAsia="Times New Roman" w:cstheme="minorHAnsi"/>
                <w:color w:val="000000"/>
              </w:rPr>
            </w:pPr>
            <w:r w:rsidRPr="00795F17">
              <w:t>Kod europejski</w:t>
            </w:r>
          </w:p>
        </w:tc>
        <w:tc>
          <w:tcPr>
            <w:tcW w:w="599" w:type="pct"/>
            <w:shd w:val="clear" w:color="auto" w:fill="BFBFBF" w:themeFill="background1" w:themeFillShade="BF"/>
            <w:vAlign w:val="center"/>
          </w:tcPr>
          <w:p w14:paraId="0FBF2F99" w14:textId="77777777" w:rsidR="00DA1EF7" w:rsidRPr="00795F17" w:rsidRDefault="00DA1EF7" w:rsidP="0044393D">
            <w:pPr>
              <w:pStyle w:val="Teksttabelinaglowek"/>
              <w:rPr>
                <w:rFonts w:eastAsia="Times New Roman" w:cstheme="minorHAnsi"/>
                <w:color w:val="000000"/>
              </w:rPr>
            </w:pPr>
            <w:r w:rsidRPr="00795F17">
              <w:t>Nazwa</w:t>
            </w:r>
          </w:p>
        </w:tc>
        <w:tc>
          <w:tcPr>
            <w:tcW w:w="2346" w:type="pct"/>
            <w:shd w:val="clear" w:color="auto" w:fill="BFBFBF" w:themeFill="background1" w:themeFillShade="BF"/>
            <w:vAlign w:val="center"/>
          </w:tcPr>
          <w:p w14:paraId="56678198" w14:textId="77777777" w:rsidR="00DA1EF7" w:rsidRPr="00795F17" w:rsidRDefault="00DA1EF7" w:rsidP="0044393D">
            <w:pPr>
              <w:pStyle w:val="Teksttabelinaglowek"/>
            </w:pPr>
            <w:r w:rsidRPr="00795F17">
              <w:t>Stan dobry</w:t>
            </w:r>
          </w:p>
        </w:tc>
        <w:tc>
          <w:tcPr>
            <w:tcW w:w="1248" w:type="pct"/>
            <w:shd w:val="clear" w:color="auto" w:fill="BFBFBF" w:themeFill="background1" w:themeFillShade="BF"/>
            <w:vAlign w:val="center"/>
          </w:tcPr>
          <w:p w14:paraId="5BE37524" w14:textId="77777777" w:rsidR="00DA1EF7" w:rsidRPr="00795F17" w:rsidRDefault="00DA1EF7" w:rsidP="0044393D">
            <w:pPr>
              <w:pStyle w:val="Teksttabelinaglowek"/>
              <w:rPr>
                <w:rFonts w:eastAsia="Times New Roman" w:cstheme="minorHAnsi"/>
                <w:color w:val="000000"/>
              </w:rPr>
            </w:pPr>
            <w:r w:rsidRPr="00795F17">
              <w:t>Stan słaby</w:t>
            </w:r>
          </w:p>
        </w:tc>
      </w:tr>
      <w:tr w:rsidR="00DA1EF7" w:rsidRPr="00795F17" w14:paraId="21B6C3CA" w14:textId="77777777" w:rsidTr="001C75D3">
        <w:trPr>
          <w:trHeight w:val="454"/>
          <w:jc w:val="center"/>
        </w:trPr>
        <w:tc>
          <w:tcPr>
            <w:tcW w:w="807" w:type="pct"/>
            <w:vAlign w:val="center"/>
          </w:tcPr>
          <w:p w14:paraId="04F960AB" w14:textId="77777777" w:rsidR="00DA1EF7" w:rsidRPr="00795F17" w:rsidRDefault="00DA1EF7" w:rsidP="0065243A">
            <w:pPr>
              <w:pStyle w:val="Teksttabelisrodek"/>
            </w:pPr>
            <w:r w:rsidRPr="00795F17">
              <w:t>6000</w:t>
            </w:r>
          </w:p>
        </w:tc>
        <w:tc>
          <w:tcPr>
            <w:tcW w:w="599" w:type="pct"/>
            <w:vAlign w:val="center"/>
          </w:tcPr>
          <w:p w14:paraId="6DFE21C3" w14:textId="77777777" w:rsidR="00DA1EF7" w:rsidRPr="00795F17" w:rsidRDefault="00DA1EF7" w:rsidP="0065243A">
            <w:pPr>
              <w:pStyle w:val="Teksttabelisrodek"/>
            </w:pPr>
            <w:r w:rsidRPr="00795F17">
              <w:t>Odra</w:t>
            </w:r>
          </w:p>
        </w:tc>
        <w:tc>
          <w:tcPr>
            <w:tcW w:w="2346" w:type="pct"/>
            <w:vAlign w:val="center"/>
          </w:tcPr>
          <w:p w14:paraId="55339306" w14:textId="77777777" w:rsidR="00DA1EF7" w:rsidRPr="00795F17" w:rsidRDefault="00DA1EF7" w:rsidP="0065243A">
            <w:pPr>
              <w:pStyle w:val="Teksttabelisrodek"/>
            </w:pPr>
            <w:r w:rsidRPr="00795F17">
              <w:t>2, 3, 4, 5, 6, 7, 8, 9, 10, 23, 24, 25, 26, 33, 34, 35, 40, 41, 42, 58, 59, 60, 61, 62, 68, 69, 71, 72, 76, 77, 78, 80, 81, 82, 83, 92, 93, 94, 95, 96, 97, 98, 99, 105, 107, 108, 109, 110, 124, 125, 126128, 129, 139, 140, 141, 142, 143, 144, 155, 170</w:t>
            </w:r>
          </w:p>
        </w:tc>
        <w:tc>
          <w:tcPr>
            <w:tcW w:w="1248" w:type="pct"/>
            <w:vAlign w:val="center"/>
          </w:tcPr>
          <w:p w14:paraId="369C3555" w14:textId="77777777" w:rsidR="00DA1EF7" w:rsidRPr="00795F17" w:rsidRDefault="00DA1EF7" w:rsidP="0065243A">
            <w:pPr>
              <w:pStyle w:val="Teksttabelisrodek"/>
            </w:pPr>
            <w:r w:rsidRPr="00795F17">
              <w:t>1, 43, 70, 79, 127</w:t>
            </w:r>
          </w:p>
        </w:tc>
      </w:tr>
      <w:tr w:rsidR="00462DD4" w:rsidRPr="00795F17" w14:paraId="67488BA2" w14:textId="77777777" w:rsidTr="006C120E">
        <w:trPr>
          <w:trHeight w:val="454"/>
          <w:jc w:val="center"/>
        </w:trPr>
        <w:tc>
          <w:tcPr>
            <w:tcW w:w="1406" w:type="pct"/>
            <w:gridSpan w:val="2"/>
            <w:shd w:val="clear" w:color="auto" w:fill="D9D9D9" w:themeFill="background1" w:themeFillShade="D9"/>
            <w:vAlign w:val="center"/>
          </w:tcPr>
          <w:p w14:paraId="7B81E1EA" w14:textId="784C792E" w:rsidR="00462DD4" w:rsidRPr="00795F17" w:rsidRDefault="00462DD4" w:rsidP="0065243A">
            <w:pPr>
              <w:pStyle w:val="Teksttabelisrodek"/>
              <w:rPr>
                <w:b/>
                <w:bCs w:val="0"/>
              </w:rPr>
            </w:pPr>
            <w:r w:rsidRPr="00795F17">
              <w:rPr>
                <w:b/>
                <w:bCs w:val="0"/>
              </w:rPr>
              <w:t xml:space="preserve">Liczba </w:t>
            </w:r>
            <w:r w:rsidR="00DF005E">
              <w:rPr>
                <w:b/>
                <w:bCs w:val="0"/>
              </w:rPr>
              <w:t>JCWP</w:t>
            </w:r>
            <w:r w:rsidRPr="00795F17">
              <w:rPr>
                <w:b/>
                <w:bCs w:val="0"/>
              </w:rPr>
              <w:t>d</w:t>
            </w:r>
          </w:p>
        </w:tc>
        <w:tc>
          <w:tcPr>
            <w:tcW w:w="2346" w:type="pct"/>
            <w:shd w:val="clear" w:color="auto" w:fill="D9D9D9" w:themeFill="background1" w:themeFillShade="D9"/>
            <w:vAlign w:val="center"/>
          </w:tcPr>
          <w:p w14:paraId="40C4BD6D" w14:textId="77777777" w:rsidR="00462DD4" w:rsidRPr="00795F17" w:rsidRDefault="00462DD4" w:rsidP="0065243A">
            <w:pPr>
              <w:pStyle w:val="Teksttabelisrodek"/>
              <w:rPr>
                <w:b/>
                <w:bCs w:val="0"/>
              </w:rPr>
            </w:pPr>
            <w:r w:rsidRPr="00795F17">
              <w:rPr>
                <w:b/>
                <w:bCs w:val="0"/>
              </w:rPr>
              <w:t>61</w:t>
            </w:r>
          </w:p>
        </w:tc>
        <w:tc>
          <w:tcPr>
            <w:tcW w:w="1248" w:type="pct"/>
            <w:shd w:val="clear" w:color="auto" w:fill="D9D9D9" w:themeFill="background1" w:themeFillShade="D9"/>
            <w:vAlign w:val="center"/>
          </w:tcPr>
          <w:p w14:paraId="56A3DC55" w14:textId="77777777" w:rsidR="00462DD4" w:rsidRPr="00795F17" w:rsidRDefault="00462DD4" w:rsidP="0065243A">
            <w:pPr>
              <w:pStyle w:val="Teksttabelisrodek"/>
              <w:rPr>
                <w:b/>
                <w:bCs w:val="0"/>
              </w:rPr>
            </w:pPr>
            <w:r w:rsidRPr="00795F17">
              <w:rPr>
                <w:b/>
                <w:bCs w:val="0"/>
              </w:rPr>
              <w:t>5</w:t>
            </w:r>
          </w:p>
        </w:tc>
      </w:tr>
    </w:tbl>
    <w:p w14:paraId="40E70A7E" w14:textId="77777777" w:rsidR="00285D58" w:rsidRPr="00795F17" w:rsidRDefault="00285D58" w:rsidP="00285D58">
      <w:pPr>
        <w:pStyle w:val="rdo"/>
        <w:rPr>
          <w:color w:val="000099"/>
          <w:sz w:val="20"/>
          <w:szCs w:val="20"/>
        </w:rPr>
      </w:pPr>
      <w:r w:rsidRPr="00795F17">
        <w:t>Źródło: opracowanie własne</w:t>
      </w:r>
    </w:p>
    <w:p w14:paraId="6521AF20" w14:textId="283771A0" w:rsidR="009619D4" w:rsidRPr="00795F17" w:rsidRDefault="00462DD4" w:rsidP="0044393D">
      <w:r w:rsidRPr="00795F17">
        <w:t xml:space="preserve">Poniżej w zestawieniach tabelarycznych </w:t>
      </w:r>
      <w:r w:rsidR="007C5CAE" w:rsidRPr="00795F17">
        <w:t>(tabele 5-2</w:t>
      </w:r>
      <w:r w:rsidR="00BB3B21" w:rsidRPr="00795F17">
        <w:t>7</w:t>
      </w:r>
      <w:r w:rsidR="007C5CAE" w:rsidRPr="00795F17">
        <w:t xml:space="preserve"> do 5-</w:t>
      </w:r>
      <w:r w:rsidR="00BB3B21" w:rsidRPr="00795F17">
        <w:t>31</w:t>
      </w:r>
      <w:r w:rsidR="007C5CAE" w:rsidRPr="00795F17">
        <w:t xml:space="preserve">) </w:t>
      </w:r>
      <w:r w:rsidRPr="00795F17">
        <w:t xml:space="preserve">znajdują się wyniki testów klasyfikacyjnych dla </w:t>
      </w:r>
      <w:r w:rsidR="00DF005E">
        <w:t>JCWP</w:t>
      </w:r>
      <w:r w:rsidRPr="00795F17">
        <w:t>d z</w:t>
      </w:r>
      <w:r w:rsidR="009B38ED">
        <w:t>najdujących się na</w:t>
      </w:r>
      <w:r w:rsidRPr="00795F17">
        <w:t xml:space="preserve"> </w:t>
      </w:r>
      <w:r w:rsidR="0080582C" w:rsidRPr="00795F17">
        <w:t>obszarze</w:t>
      </w:r>
      <w:r w:rsidRPr="00795F17">
        <w:t xml:space="preserve"> dorzecz</w:t>
      </w:r>
      <w:r w:rsidR="0080582C" w:rsidRPr="00795F17">
        <w:t>a</w:t>
      </w:r>
      <w:r w:rsidRPr="00795F17">
        <w:t xml:space="preserve"> Odry w zakresie stanu chemicznego.</w:t>
      </w:r>
    </w:p>
    <w:p w14:paraId="58484055" w14:textId="11B21330" w:rsidR="00462DD4" w:rsidRPr="00795F17" w:rsidRDefault="00462DD4" w:rsidP="004D7705">
      <w:pPr>
        <w:pStyle w:val="Tabela"/>
      </w:pPr>
      <w:bookmarkStart w:id="244" w:name="_Toc66341880"/>
      <w:bookmarkStart w:id="245" w:name="_Toc105512791"/>
      <w:r w:rsidRPr="00795F17">
        <w:t xml:space="preserve">Tabela </w:t>
      </w:r>
      <w:fldSimple w:instr=" STYLEREF 1 \s ">
        <w:r w:rsidR="001F774D">
          <w:rPr>
            <w:noProof/>
          </w:rPr>
          <w:t>5</w:t>
        </w:r>
      </w:fldSimple>
      <w:r w:rsidR="00BB3B21" w:rsidRPr="00795F17">
        <w:noBreakHyphen/>
      </w:r>
      <w:fldSimple w:instr=" SEQ Tabela \* ARABIC \s 1 ">
        <w:r w:rsidR="001F774D">
          <w:rPr>
            <w:noProof/>
          </w:rPr>
          <w:t>27</w:t>
        </w:r>
      </w:fldSimple>
      <w:r w:rsidR="00BA11D4">
        <w:rPr>
          <w:noProof/>
        </w:rPr>
        <w:t>.</w:t>
      </w:r>
      <w:r w:rsidRPr="00795F17">
        <w:tab/>
        <w:t xml:space="preserve">Wyniki testu C.1 </w:t>
      </w:r>
      <w:r w:rsidR="00182A26" w:rsidRPr="00795F17">
        <w:t>-</w:t>
      </w:r>
      <w:r w:rsidRPr="00795F17">
        <w:t xml:space="preserve"> Ogólna ocena stanu chemicznego </w:t>
      </w:r>
      <w:r w:rsidR="00DF005E">
        <w:t>JCWP</w:t>
      </w:r>
      <w:r w:rsidRPr="00795F17">
        <w:t>d</w:t>
      </w:r>
      <w:bookmarkEnd w:id="244"/>
      <w:bookmarkEnd w:id="245"/>
    </w:p>
    <w:tbl>
      <w:tblPr>
        <w:tblW w:w="9185" w:type="dxa"/>
        <w:tblInd w:w="55" w:type="dxa"/>
        <w:tblLayout w:type="fixed"/>
        <w:tblCellMar>
          <w:left w:w="70" w:type="dxa"/>
          <w:right w:w="70" w:type="dxa"/>
        </w:tblCellMar>
        <w:tblLook w:val="04A0" w:firstRow="1" w:lastRow="0" w:firstColumn="1" w:lastColumn="0" w:noHBand="0" w:noVBand="1"/>
      </w:tblPr>
      <w:tblGrid>
        <w:gridCol w:w="946"/>
        <w:gridCol w:w="1250"/>
        <w:gridCol w:w="1252"/>
        <w:gridCol w:w="2162"/>
        <w:gridCol w:w="866"/>
        <w:gridCol w:w="1291"/>
        <w:gridCol w:w="1418"/>
      </w:tblGrid>
      <w:tr w:rsidR="00462DD4" w:rsidRPr="00795F17" w14:paraId="59DD39CC" w14:textId="77777777" w:rsidTr="006C120E">
        <w:trPr>
          <w:trHeight w:val="765"/>
          <w:tblHeader/>
        </w:trPr>
        <w:tc>
          <w:tcPr>
            <w:tcW w:w="946" w:type="dxa"/>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66D8D152" w14:textId="19D30986" w:rsidR="00462DD4" w:rsidRPr="00795F17" w:rsidRDefault="0080582C" w:rsidP="0044393D">
            <w:pPr>
              <w:pStyle w:val="Teksttabelinaglowek"/>
            </w:pPr>
            <w:r w:rsidRPr="00795F17">
              <w:t xml:space="preserve">Obszar </w:t>
            </w:r>
            <w:r w:rsidR="00462DD4" w:rsidRPr="00795F17">
              <w:t>dorzecza</w:t>
            </w:r>
          </w:p>
        </w:tc>
        <w:tc>
          <w:tcPr>
            <w:tcW w:w="1250" w:type="dxa"/>
            <w:tcBorders>
              <w:top w:val="single" w:sz="4" w:space="0" w:color="auto"/>
              <w:left w:val="nil"/>
              <w:bottom w:val="nil"/>
              <w:right w:val="single" w:sz="4" w:space="0" w:color="auto"/>
            </w:tcBorders>
            <w:shd w:val="clear" w:color="auto" w:fill="BFBFBF" w:themeFill="background1" w:themeFillShade="BF"/>
            <w:vAlign w:val="center"/>
            <w:hideMark/>
          </w:tcPr>
          <w:p w14:paraId="26E32BD4" w14:textId="49061A2B" w:rsidR="00462DD4" w:rsidRPr="00795F17" w:rsidRDefault="004E4EF6" w:rsidP="0044393D">
            <w:pPr>
              <w:pStyle w:val="Teksttabelinaglowek"/>
            </w:pPr>
            <w:r w:rsidRPr="00795F17">
              <w:t xml:space="preserve">Powierzchnia </w:t>
            </w:r>
            <w:r w:rsidR="00DF005E">
              <w:t>JCWP</w:t>
            </w:r>
            <w:r w:rsidRPr="00795F17">
              <w:t xml:space="preserve">d na obszarze dorzecza </w:t>
            </w:r>
            <w:r w:rsidR="001C75D3" w:rsidRPr="00795F17">
              <w:t>(</w:t>
            </w:r>
            <w:r w:rsidR="00462DD4" w:rsidRPr="00795F17">
              <w:t>km</w:t>
            </w:r>
            <w:r w:rsidR="00462DD4" w:rsidRPr="00795F17">
              <w:rPr>
                <w:vertAlign w:val="superscript"/>
              </w:rPr>
              <w:t>2</w:t>
            </w:r>
            <w:r w:rsidR="001C75D3" w:rsidRPr="00795F17">
              <w:t>)</w:t>
            </w:r>
          </w:p>
        </w:tc>
        <w:tc>
          <w:tcPr>
            <w:tcW w:w="1252" w:type="dxa"/>
            <w:tcBorders>
              <w:top w:val="single" w:sz="4" w:space="0" w:color="auto"/>
              <w:left w:val="nil"/>
              <w:bottom w:val="nil"/>
              <w:right w:val="single" w:sz="4" w:space="0" w:color="auto"/>
            </w:tcBorders>
            <w:shd w:val="clear" w:color="auto" w:fill="BFBFBF" w:themeFill="background1" w:themeFillShade="BF"/>
            <w:vAlign w:val="center"/>
            <w:hideMark/>
          </w:tcPr>
          <w:p w14:paraId="74153336" w14:textId="7D70AF7E" w:rsidR="00462DD4" w:rsidRPr="00795F17" w:rsidRDefault="00C12087" w:rsidP="0044393D">
            <w:pPr>
              <w:pStyle w:val="Teksttabelinaglowek"/>
            </w:pPr>
            <w:r w:rsidRPr="00795F17">
              <w:t>Wyniki testu C.1</w:t>
            </w:r>
          </w:p>
        </w:tc>
        <w:tc>
          <w:tcPr>
            <w:tcW w:w="2162" w:type="dxa"/>
            <w:tcBorders>
              <w:top w:val="single" w:sz="4" w:space="0" w:color="auto"/>
              <w:left w:val="nil"/>
              <w:bottom w:val="nil"/>
              <w:right w:val="single" w:sz="4" w:space="0" w:color="auto"/>
            </w:tcBorders>
            <w:shd w:val="clear" w:color="auto" w:fill="BFBFBF" w:themeFill="background1" w:themeFillShade="BF"/>
            <w:vAlign w:val="center"/>
            <w:hideMark/>
          </w:tcPr>
          <w:p w14:paraId="6C5A9E98" w14:textId="08BE2662" w:rsidR="00462DD4" w:rsidRPr="00795F17" w:rsidRDefault="00462DD4" w:rsidP="0044393D">
            <w:pPr>
              <w:pStyle w:val="Teksttabelinaglowek"/>
            </w:pPr>
            <w:r w:rsidRPr="00795F17">
              <w:t xml:space="preserve">Numery </w:t>
            </w:r>
            <w:r w:rsidR="00DF005E">
              <w:t>JCWP</w:t>
            </w:r>
            <w:r w:rsidRPr="00795F17">
              <w:t>d</w:t>
            </w:r>
          </w:p>
        </w:tc>
        <w:tc>
          <w:tcPr>
            <w:tcW w:w="866" w:type="dxa"/>
            <w:tcBorders>
              <w:top w:val="single" w:sz="4" w:space="0" w:color="auto"/>
              <w:left w:val="nil"/>
              <w:bottom w:val="nil"/>
              <w:right w:val="single" w:sz="4" w:space="0" w:color="auto"/>
            </w:tcBorders>
            <w:shd w:val="clear" w:color="auto" w:fill="BFBFBF" w:themeFill="background1" w:themeFillShade="BF"/>
            <w:vAlign w:val="center"/>
            <w:hideMark/>
          </w:tcPr>
          <w:p w14:paraId="6B831059" w14:textId="1DBB41B1" w:rsidR="00462DD4" w:rsidRPr="00795F17" w:rsidRDefault="00462DD4" w:rsidP="0044393D">
            <w:pPr>
              <w:pStyle w:val="Teksttabelinaglowek"/>
            </w:pPr>
            <w:r w:rsidRPr="00795F17">
              <w:t xml:space="preserve">Liczba </w:t>
            </w:r>
            <w:r w:rsidR="00DF005E">
              <w:t>JCWP</w:t>
            </w:r>
            <w:r w:rsidRPr="00795F17">
              <w:t>d</w:t>
            </w:r>
          </w:p>
        </w:tc>
        <w:tc>
          <w:tcPr>
            <w:tcW w:w="1291" w:type="dxa"/>
            <w:tcBorders>
              <w:top w:val="single" w:sz="4" w:space="0" w:color="auto"/>
              <w:left w:val="nil"/>
              <w:bottom w:val="nil"/>
              <w:right w:val="single" w:sz="4" w:space="0" w:color="auto"/>
            </w:tcBorders>
            <w:shd w:val="clear" w:color="auto" w:fill="BFBFBF" w:themeFill="background1" w:themeFillShade="BF"/>
            <w:vAlign w:val="center"/>
            <w:hideMark/>
          </w:tcPr>
          <w:p w14:paraId="2AF84CFC" w14:textId="617BD21D" w:rsidR="00462DD4" w:rsidRPr="00795F17" w:rsidRDefault="00A42C28" w:rsidP="0044393D">
            <w:pPr>
              <w:pStyle w:val="Teksttabelinaglowek"/>
            </w:pPr>
            <w:r w:rsidRPr="00795F17">
              <w:t xml:space="preserve">Powierzchnia </w:t>
            </w:r>
            <w:r w:rsidR="00DF005E">
              <w:t>JCWP</w:t>
            </w:r>
            <w:r w:rsidRPr="00795F17">
              <w:t>d</w:t>
            </w:r>
          </w:p>
          <w:p w14:paraId="1E170C29" w14:textId="4F1358D6" w:rsidR="00A42C28" w:rsidRPr="00795F17" w:rsidRDefault="00CC4FEC" w:rsidP="0044393D">
            <w:pPr>
              <w:pStyle w:val="Teksttabelinaglowek"/>
            </w:pPr>
            <w:r w:rsidRPr="00795F17">
              <w:t>(</w:t>
            </w:r>
            <w:r w:rsidR="00A42C28" w:rsidRPr="00795F17">
              <w:t>km</w:t>
            </w:r>
            <w:r w:rsidR="00A42C28" w:rsidRPr="00795F17">
              <w:rPr>
                <w:vertAlign w:val="superscript"/>
              </w:rPr>
              <w:t>2</w:t>
            </w:r>
            <w:r w:rsidRPr="00795F17">
              <w:t>)</w:t>
            </w:r>
          </w:p>
        </w:tc>
        <w:tc>
          <w:tcPr>
            <w:tcW w:w="1418" w:type="dxa"/>
            <w:tcBorders>
              <w:top w:val="single" w:sz="4" w:space="0" w:color="auto"/>
              <w:left w:val="nil"/>
              <w:bottom w:val="nil"/>
              <w:right w:val="single" w:sz="4" w:space="0" w:color="auto"/>
            </w:tcBorders>
            <w:shd w:val="clear" w:color="auto" w:fill="BFBFBF" w:themeFill="background1" w:themeFillShade="BF"/>
            <w:vAlign w:val="center"/>
            <w:hideMark/>
          </w:tcPr>
          <w:p w14:paraId="753A5509" w14:textId="205E7CAB" w:rsidR="00462DD4" w:rsidRPr="00795F17" w:rsidRDefault="00A42C28" w:rsidP="0044393D">
            <w:pPr>
              <w:pStyle w:val="Teksttabelinaglowek"/>
            </w:pPr>
            <w:r w:rsidRPr="00795F17">
              <w:t>Udział w</w:t>
            </w:r>
            <w:r w:rsidR="002322DD">
              <w:t> </w:t>
            </w:r>
            <w:r w:rsidRPr="00795F17">
              <w:t xml:space="preserve">powierzchni </w:t>
            </w:r>
            <w:r w:rsidR="00DF005E">
              <w:t>JCWP</w:t>
            </w:r>
            <w:r w:rsidRPr="00795F17">
              <w:t>d na obszarze dorzecza (%)</w:t>
            </w:r>
          </w:p>
        </w:tc>
      </w:tr>
      <w:tr w:rsidR="00882C9B" w:rsidRPr="00795F17" w14:paraId="5174A7EE" w14:textId="77777777" w:rsidTr="002322DD">
        <w:trPr>
          <w:trHeight w:val="1440"/>
        </w:trPr>
        <w:tc>
          <w:tcPr>
            <w:tcW w:w="9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FF26F2" w14:textId="77777777" w:rsidR="00462DD4" w:rsidRPr="00795F17" w:rsidRDefault="00462DD4" w:rsidP="0065243A">
            <w:pPr>
              <w:pStyle w:val="Teksttabelisrodek"/>
            </w:pPr>
            <w:r w:rsidRPr="00795F17">
              <w:t>Odra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85D19A" w14:textId="4DBA6468" w:rsidR="00462DD4" w:rsidRPr="00795F17" w:rsidRDefault="00462DD4" w:rsidP="0065243A">
            <w:pPr>
              <w:pStyle w:val="Teksttabelisrodek"/>
            </w:pPr>
            <w:r w:rsidRPr="00795F17">
              <w:t>117</w:t>
            </w:r>
            <w:r w:rsidR="00076BC9" w:rsidRPr="00795F17">
              <w:t> </w:t>
            </w:r>
            <w:r w:rsidRPr="00795F17">
              <w:t>652,17</w:t>
            </w:r>
          </w:p>
        </w:tc>
        <w:tc>
          <w:tcPr>
            <w:tcW w:w="1252" w:type="dxa"/>
            <w:tcBorders>
              <w:top w:val="single" w:sz="4" w:space="0" w:color="auto"/>
              <w:left w:val="nil"/>
              <w:bottom w:val="single" w:sz="4" w:space="0" w:color="auto"/>
              <w:right w:val="single" w:sz="4" w:space="0" w:color="auto"/>
            </w:tcBorders>
            <w:shd w:val="clear" w:color="000000" w:fill="92D050"/>
            <w:vAlign w:val="center"/>
            <w:hideMark/>
          </w:tcPr>
          <w:p w14:paraId="09C6E9EC" w14:textId="77777777" w:rsidR="00462DD4" w:rsidRPr="00795F17" w:rsidRDefault="00462DD4" w:rsidP="0065243A">
            <w:pPr>
              <w:pStyle w:val="Teksttabelisrodek"/>
            </w:pPr>
            <w:r w:rsidRPr="00795F17">
              <w:t>stan dobry</w:t>
            </w:r>
          </w:p>
        </w:tc>
        <w:tc>
          <w:tcPr>
            <w:tcW w:w="2162" w:type="dxa"/>
            <w:tcBorders>
              <w:top w:val="single" w:sz="4" w:space="0" w:color="auto"/>
              <w:left w:val="nil"/>
              <w:bottom w:val="single" w:sz="4" w:space="0" w:color="auto"/>
              <w:right w:val="single" w:sz="4" w:space="0" w:color="auto"/>
            </w:tcBorders>
            <w:shd w:val="clear" w:color="auto" w:fill="auto"/>
            <w:vAlign w:val="center"/>
            <w:hideMark/>
          </w:tcPr>
          <w:p w14:paraId="2F08C892" w14:textId="77777777" w:rsidR="00462DD4" w:rsidRPr="00795F17" w:rsidRDefault="00462DD4" w:rsidP="0065243A">
            <w:pPr>
              <w:pStyle w:val="Teksttabelisrodek"/>
            </w:pPr>
            <w:r w:rsidRPr="00795F17">
              <w:t>2, 3, 4, 5, 6, 7, 8, 9, 10, 23, 24, 25, 26, 33, 34, 35, 40, 41, 42, 58, 59, 60, 61, 62, 68, 69, 71, 72, 76, 77, 78, 79, 80, 81, 82, 83, 92, 93, 94, 95, 96, 97, 98, 99, 105, 107, 108, 109, 110, 124, 125, 126, 128, 129, 139, 140, 141, 142, 143, 144, 155, 170</w:t>
            </w:r>
          </w:p>
        </w:tc>
        <w:tc>
          <w:tcPr>
            <w:tcW w:w="866" w:type="dxa"/>
            <w:tcBorders>
              <w:top w:val="single" w:sz="4" w:space="0" w:color="auto"/>
              <w:left w:val="nil"/>
              <w:bottom w:val="single" w:sz="4" w:space="0" w:color="auto"/>
              <w:right w:val="single" w:sz="4" w:space="0" w:color="auto"/>
            </w:tcBorders>
            <w:shd w:val="clear" w:color="auto" w:fill="auto"/>
            <w:vAlign w:val="center"/>
            <w:hideMark/>
          </w:tcPr>
          <w:p w14:paraId="7F03479A" w14:textId="77777777" w:rsidR="00462DD4" w:rsidRPr="00795F17" w:rsidRDefault="00462DD4" w:rsidP="0065243A">
            <w:pPr>
              <w:pStyle w:val="Teksttabelisrodek"/>
            </w:pPr>
            <w:r w:rsidRPr="00795F17">
              <w:t>62</w:t>
            </w:r>
          </w:p>
        </w:tc>
        <w:tc>
          <w:tcPr>
            <w:tcW w:w="1291" w:type="dxa"/>
            <w:tcBorders>
              <w:top w:val="single" w:sz="4" w:space="0" w:color="auto"/>
              <w:left w:val="nil"/>
              <w:bottom w:val="single" w:sz="4" w:space="0" w:color="auto"/>
              <w:right w:val="single" w:sz="4" w:space="0" w:color="auto"/>
            </w:tcBorders>
            <w:shd w:val="clear" w:color="auto" w:fill="auto"/>
            <w:vAlign w:val="center"/>
            <w:hideMark/>
          </w:tcPr>
          <w:p w14:paraId="3BDED27C" w14:textId="5C312D53" w:rsidR="00462DD4" w:rsidRPr="00795F17" w:rsidRDefault="00462DD4" w:rsidP="0065243A">
            <w:pPr>
              <w:pStyle w:val="Teksttabelisrodek"/>
            </w:pPr>
            <w:r w:rsidRPr="00795F17">
              <w:t>110</w:t>
            </w:r>
            <w:r w:rsidR="00B63918" w:rsidRPr="00795F17">
              <w:t> </w:t>
            </w:r>
            <w:r w:rsidRPr="00795F17">
              <w:t>717,55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E3DBC7B" w14:textId="265039D1" w:rsidR="00462DD4" w:rsidRPr="00795F17" w:rsidRDefault="00462DD4" w:rsidP="0065243A">
            <w:pPr>
              <w:pStyle w:val="Teksttabelisrodek"/>
            </w:pPr>
            <w:r w:rsidRPr="00795F17">
              <w:t>94,11</w:t>
            </w:r>
          </w:p>
        </w:tc>
      </w:tr>
      <w:tr w:rsidR="00882C9B" w:rsidRPr="00795F17" w14:paraId="1E5F142F" w14:textId="77777777" w:rsidTr="002322DD">
        <w:trPr>
          <w:trHeight w:val="300"/>
        </w:trPr>
        <w:tc>
          <w:tcPr>
            <w:tcW w:w="946" w:type="dxa"/>
            <w:vMerge/>
            <w:tcBorders>
              <w:top w:val="single" w:sz="4" w:space="0" w:color="auto"/>
              <w:left w:val="single" w:sz="4" w:space="0" w:color="auto"/>
              <w:bottom w:val="single" w:sz="4" w:space="0" w:color="auto"/>
              <w:right w:val="single" w:sz="4" w:space="0" w:color="auto"/>
            </w:tcBorders>
            <w:vAlign w:val="center"/>
            <w:hideMark/>
          </w:tcPr>
          <w:p w14:paraId="035B2903" w14:textId="77777777" w:rsidR="00462DD4" w:rsidRPr="00795F17" w:rsidRDefault="00462DD4" w:rsidP="0065243A">
            <w:pPr>
              <w:pStyle w:val="Teksttabelisrodek"/>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5B40F982" w14:textId="77777777" w:rsidR="00462DD4" w:rsidRPr="00795F17" w:rsidRDefault="00462DD4" w:rsidP="0065243A">
            <w:pPr>
              <w:pStyle w:val="Teksttabelisrodek"/>
            </w:pPr>
          </w:p>
        </w:tc>
        <w:tc>
          <w:tcPr>
            <w:tcW w:w="1252" w:type="dxa"/>
            <w:tcBorders>
              <w:top w:val="nil"/>
              <w:left w:val="nil"/>
              <w:bottom w:val="single" w:sz="4" w:space="0" w:color="auto"/>
              <w:right w:val="single" w:sz="4" w:space="0" w:color="auto"/>
            </w:tcBorders>
            <w:shd w:val="clear" w:color="000000" w:fill="FF0000"/>
            <w:noWrap/>
            <w:vAlign w:val="center"/>
            <w:hideMark/>
          </w:tcPr>
          <w:p w14:paraId="66B0CA83" w14:textId="77777777" w:rsidR="00462DD4" w:rsidRPr="00795F17" w:rsidRDefault="00462DD4" w:rsidP="0065243A">
            <w:pPr>
              <w:pStyle w:val="Teksttabelisrodek"/>
            </w:pPr>
            <w:r w:rsidRPr="00795F17">
              <w:t>stan słaby</w:t>
            </w:r>
          </w:p>
        </w:tc>
        <w:tc>
          <w:tcPr>
            <w:tcW w:w="2162" w:type="dxa"/>
            <w:tcBorders>
              <w:top w:val="nil"/>
              <w:left w:val="nil"/>
              <w:bottom w:val="single" w:sz="4" w:space="0" w:color="auto"/>
              <w:right w:val="single" w:sz="4" w:space="0" w:color="auto"/>
            </w:tcBorders>
            <w:shd w:val="clear" w:color="auto" w:fill="auto"/>
            <w:vAlign w:val="center"/>
            <w:hideMark/>
          </w:tcPr>
          <w:p w14:paraId="2755FF13" w14:textId="77777777" w:rsidR="00462DD4" w:rsidRPr="00795F17" w:rsidRDefault="00462DD4" w:rsidP="0065243A">
            <w:pPr>
              <w:pStyle w:val="Teksttabelisrodek"/>
            </w:pPr>
            <w:r w:rsidRPr="00795F17">
              <w:t>1, 43, 70, 127</w:t>
            </w:r>
          </w:p>
        </w:tc>
        <w:tc>
          <w:tcPr>
            <w:tcW w:w="866" w:type="dxa"/>
            <w:tcBorders>
              <w:top w:val="nil"/>
              <w:left w:val="nil"/>
              <w:bottom w:val="single" w:sz="4" w:space="0" w:color="auto"/>
              <w:right w:val="single" w:sz="4" w:space="0" w:color="auto"/>
            </w:tcBorders>
            <w:shd w:val="clear" w:color="auto" w:fill="auto"/>
            <w:vAlign w:val="center"/>
            <w:hideMark/>
          </w:tcPr>
          <w:p w14:paraId="29273C91" w14:textId="77777777" w:rsidR="00462DD4" w:rsidRPr="00795F17" w:rsidRDefault="00462DD4" w:rsidP="0065243A">
            <w:pPr>
              <w:pStyle w:val="Teksttabelisrodek"/>
            </w:pPr>
            <w:r w:rsidRPr="00795F17">
              <w:t>4</w:t>
            </w:r>
          </w:p>
        </w:tc>
        <w:tc>
          <w:tcPr>
            <w:tcW w:w="1291" w:type="dxa"/>
            <w:tcBorders>
              <w:top w:val="nil"/>
              <w:left w:val="nil"/>
              <w:bottom w:val="single" w:sz="4" w:space="0" w:color="auto"/>
              <w:right w:val="single" w:sz="4" w:space="0" w:color="auto"/>
            </w:tcBorders>
            <w:shd w:val="clear" w:color="auto" w:fill="auto"/>
            <w:vAlign w:val="center"/>
            <w:hideMark/>
          </w:tcPr>
          <w:p w14:paraId="614B5726" w14:textId="65A4BAF7" w:rsidR="00462DD4" w:rsidRPr="00795F17" w:rsidRDefault="00462DD4" w:rsidP="0065243A">
            <w:pPr>
              <w:pStyle w:val="Teksttabelisrodek"/>
            </w:pPr>
            <w:r w:rsidRPr="00795F17">
              <w:t>6</w:t>
            </w:r>
            <w:r w:rsidR="00B63918" w:rsidRPr="00795F17">
              <w:t> </w:t>
            </w:r>
            <w:r w:rsidRPr="00795F17">
              <w:t>934,61</w:t>
            </w:r>
          </w:p>
        </w:tc>
        <w:tc>
          <w:tcPr>
            <w:tcW w:w="1418" w:type="dxa"/>
            <w:tcBorders>
              <w:top w:val="nil"/>
              <w:left w:val="nil"/>
              <w:bottom w:val="single" w:sz="4" w:space="0" w:color="auto"/>
              <w:right w:val="single" w:sz="4" w:space="0" w:color="auto"/>
            </w:tcBorders>
            <w:shd w:val="clear" w:color="auto" w:fill="auto"/>
            <w:vAlign w:val="center"/>
            <w:hideMark/>
          </w:tcPr>
          <w:p w14:paraId="225B29CB" w14:textId="6EC6D047" w:rsidR="00462DD4" w:rsidRPr="00795F17" w:rsidRDefault="00462DD4" w:rsidP="0065243A">
            <w:pPr>
              <w:pStyle w:val="Teksttabelisrodek"/>
            </w:pPr>
            <w:r w:rsidRPr="00795F17">
              <w:t>5,89</w:t>
            </w:r>
          </w:p>
        </w:tc>
      </w:tr>
    </w:tbl>
    <w:p w14:paraId="2F4E1250" w14:textId="77777777" w:rsidR="00E11336" w:rsidRPr="00795F17" w:rsidRDefault="00E11336" w:rsidP="00E11336">
      <w:pPr>
        <w:pStyle w:val="rdo"/>
        <w:rPr>
          <w:color w:val="000099"/>
          <w:sz w:val="20"/>
          <w:szCs w:val="20"/>
        </w:rPr>
      </w:pPr>
      <w:bookmarkStart w:id="246" w:name="_Toc66341881"/>
      <w:r w:rsidRPr="00795F17">
        <w:t>Źródło: opracowanie własne</w:t>
      </w:r>
    </w:p>
    <w:p w14:paraId="409614D5" w14:textId="7796D13B" w:rsidR="00462DD4" w:rsidRPr="00795F17" w:rsidRDefault="00462DD4" w:rsidP="004D7705">
      <w:pPr>
        <w:pStyle w:val="Tabela"/>
      </w:pPr>
      <w:bookmarkStart w:id="247" w:name="_Toc105512792"/>
      <w:r w:rsidRPr="00795F17">
        <w:t xml:space="preserve">Tabela </w:t>
      </w:r>
      <w:fldSimple w:instr=" STYLEREF 1 \s ">
        <w:r w:rsidR="001F774D">
          <w:rPr>
            <w:noProof/>
          </w:rPr>
          <w:t>5</w:t>
        </w:r>
      </w:fldSimple>
      <w:r w:rsidR="00BB3B21" w:rsidRPr="00795F17">
        <w:noBreakHyphen/>
      </w:r>
      <w:fldSimple w:instr=" SEQ Tabela \* ARABIC \s 1 ">
        <w:r w:rsidR="001F774D">
          <w:rPr>
            <w:noProof/>
          </w:rPr>
          <w:t>28</w:t>
        </w:r>
      </w:fldSimple>
      <w:r w:rsidR="00BA11D4">
        <w:rPr>
          <w:noProof/>
        </w:rPr>
        <w:t>.</w:t>
      </w:r>
      <w:r w:rsidRPr="00795F17">
        <w:tab/>
        <w:t xml:space="preserve">Wyniki testu C.2/I.2 </w:t>
      </w:r>
      <w:r w:rsidR="00182A26" w:rsidRPr="00795F17">
        <w:t>-</w:t>
      </w:r>
      <w:r w:rsidRPr="00795F17">
        <w:t xml:space="preserve"> Ocena wpływu ingresji i ascenzji wód słonych lub innych zdegradowanych na stan wód podziemnych</w:t>
      </w:r>
      <w:bookmarkEnd w:id="246"/>
      <w:bookmarkEnd w:id="247"/>
    </w:p>
    <w:tbl>
      <w:tblPr>
        <w:tblW w:w="9073" w:type="dxa"/>
        <w:tblInd w:w="55" w:type="dxa"/>
        <w:tblLayout w:type="fixed"/>
        <w:tblCellMar>
          <w:left w:w="70" w:type="dxa"/>
          <w:right w:w="70" w:type="dxa"/>
        </w:tblCellMar>
        <w:tblLook w:val="04A0" w:firstRow="1" w:lastRow="0" w:firstColumn="1" w:lastColumn="0" w:noHBand="0" w:noVBand="1"/>
      </w:tblPr>
      <w:tblGrid>
        <w:gridCol w:w="942"/>
        <w:gridCol w:w="1250"/>
        <w:gridCol w:w="1252"/>
        <w:gridCol w:w="2025"/>
        <w:gridCol w:w="893"/>
        <w:gridCol w:w="1293"/>
        <w:gridCol w:w="1418"/>
      </w:tblGrid>
      <w:tr w:rsidR="00462DD4" w:rsidRPr="00795F17" w14:paraId="4D195DC5" w14:textId="77777777" w:rsidTr="006C120E">
        <w:trPr>
          <w:trHeight w:val="454"/>
          <w:tblHeader/>
        </w:trPr>
        <w:tc>
          <w:tcPr>
            <w:tcW w:w="942" w:type="dxa"/>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58AA0D56" w14:textId="2D1F282F" w:rsidR="00462DD4" w:rsidRPr="00795F17" w:rsidRDefault="0080582C" w:rsidP="0044393D">
            <w:pPr>
              <w:pStyle w:val="Teksttabelinaglowek"/>
            </w:pPr>
            <w:r w:rsidRPr="00795F17">
              <w:t>Obszar</w:t>
            </w:r>
            <w:r w:rsidR="00462DD4" w:rsidRPr="00795F17">
              <w:t xml:space="preserve"> dorzecza</w:t>
            </w:r>
          </w:p>
        </w:tc>
        <w:tc>
          <w:tcPr>
            <w:tcW w:w="1250" w:type="dxa"/>
            <w:tcBorders>
              <w:top w:val="single" w:sz="4" w:space="0" w:color="auto"/>
              <w:left w:val="nil"/>
              <w:bottom w:val="nil"/>
              <w:right w:val="single" w:sz="4" w:space="0" w:color="auto"/>
            </w:tcBorders>
            <w:shd w:val="clear" w:color="auto" w:fill="BFBFBF" w:themeFill="background1" w:themeFillShade="BF"/>
            <w:vAlign w:val="center"/>
            <w:hideMark/>
          </w:tcPr>
          <w:p w14:paraId="0ECE93E8" w14:textId="5C840F8F" w:rsidR="00462DD4" w:rsidRPr="00795F17" w:rsidRDefault="00A42C28" w:rsidP="0044393D">
            <w:pPr>
              <w:pStyle w:val="Teksttabelinaglowek"/>
            </w:pPr>
            <w:r w:rsidRPr="00795F17">
              <w:t xml:space="preserve">Powierzchnia </w:t>
            </w:r>
            <w:r w:rsidR="00DF005E">
              <w:t>JCWP</w:t>
            </w:r>
            <w:r w:rsidRPr="00795F17">
              <w:t xml:space="preserve">d na obszarze dorzecza </w:t>
            </w:r>
            <w:r w:rsidR="001C75D3" w:rsidRPr="00795F17">
              <w:t>(</w:t>
            </w:r>
            <w:r w:rsidR="00462DD4" w:rsidRPr="00795F17">
              <w:t>km</w:t>
            </w:r>
            <w:r w:rsidR="00462DD4" w:rsidRPr="00795F17">
              <w:rPr>
                <w:vertAlign w:val="superscript"/>
              </w:rPr>
              <w:t>2</w:t>
            </w:r>
            <w:r w:rsidR="001C75D3" w:rsidRPr="00795F17">
              <w:t>)</w:t>
            </w:r>
          </w:p>
        </w:tc>
        <w:tc>
          <w:tcPr>
            <w:tcW w:w="1252" w:type="dxa"/>
            <w:tcBorders>
              <w:top w:val="single" w:sz="4" w:space="0" w:color="auto"/>
              <w:left w:val="nil"/>
              <w:bottom w:val="nil"/>
              <w:right w:val="single" w:sz="4" w:space="0" w:color="auto"/>
            </w:tcBorders>
            <w:shd w:val="clear" w:color="auto" w:fill="BFBFBF" w:themeFill="background1" w:themeFillShade="BF"/>
            <w:vAlign w:val="center"/>
            <w:hideMark/>
          </w:tcPr>
          <w:p w14:paraId="260CE1D5" w14:textId="10762B10" w:rsidR="00462DD4" w:rsidRPr="00795F17" w:rsidRDefault="00C12087" w:rsidP="0044393D">
            <w:pPr>
              <w:pStyle w:val="Teksttabelinaglowek"/>
            </w:pPr>
            <w:r w:rsidRPr="00795F17">
              <w:t>Wyniki testu C.2/I.2</w:t>
            </w:r>
          </w:p>
        </w:tc>
        <w:tc>
          <w:tcPr>
            <w:tcW w:w="2025" w:type="dxa"/>
            <w:tcBorders>
              <w:top w:val="single" w:sz="4" w:space="0" w:color="auto"/>
              <w:left w:val="nil"/>
              <w:bottom w:val="nil"/>
              <w:right w:val="single" w:sz="4" w:space="0" w:color="auto"/>
            </w:tcBorders>
            <w:shd w:val="clear" w:color="auto" w:fill="BFBFBF" w:themeFill="background1" w:themeFillShade="BF"/>
            <w:vAlign w:val="center"/>
            <w:hideMark/>
          </w:tcPr>
          <w:p w14:paraId="574064D8" w14:textId="60397112" w:rsidR="00462DD4" w:rsidRPr="00795F17" w:rsidRDefault="00462DD4" w:rsidP="0044393D">
            <w:pPr>
              <w:pStyle w:val="Teksttabelinaglowek"/>
            </w:pPr>
            <w:r w:rsidRPr="00795F17">
              <w:t xml:space="preserve">Numery </w:t>
            </w:r>
            <w:r w:rsidR="00DF005E">
              <w:t>JCWP</w:t>
            </w:r>
            <w:r w:rsidRPr="00795F17">
              <w:t>d</w:t>
            </w:r>
          </w:p>
        </w:tc>
        <w:tc>
          <w:tcPr>
            <w:tcW w:w="893" w:type="dxa"/>
            <w:tcBorders>
              <w:top w:val="single" w:sz="4" w:space="0" w:color="auto"/>
              <w:left w:val="nil"/>
              <w:bottom w:val="nil"/>
              <w:right w:val="single" w:sz="4" w:space="0" w:color="auto"/>
            </w:tcBorders>
            <w:shd w:val="clear" w:color="auto" w:fill="BFBFBF" w:themeFill="background1" w:themeFillShade="BF"/>
            <w:vAlign w:val="center"/>
            <w:hideMark/>
          </w:tcPr>
          <w:p w14:paraId="5C69A2B6" w14:textId="06CA44FA" w:rsidR="00462DD4" w:rsidRPr="00795F17" w:rsidRDefault="00462DD4" w:rsidP="0044393D">
            <w:pPr>
              <w:pStyle w:val="Teksttabelinaglowek"/>
            </w:pPr>
            <w:r w:rsidRPr="00795F17">
              <w:t xml:space="preserve">Liczba </w:t>
            </w:r>
            <w:r w:rsidR="00DF005E">
              <w:t>JCWP</w:t>
            </w:r>
            <w:r w:rsidRPr="00795F17">
              <w:t>d</w:t>
            </w:r>
          </w:p>
        </w:tc>
        <w:tc>
          <w:tcPr>
            <w:tcW w:w="1293" w:type="dxa"/>
            <w:tcBorders>
              <w:top w:val="single" w:sz="4" w:space="0" w:color="auto"/>
              <w:left w:val="nil"/>
              <w:bottom w:val="nil"/>
              <w:right w:val="single" w:sz="4" w:space="0" w:color="auto"/>
            </w:tcBorders>
            <w:shd w:val="clear" w:color="auto" w:fill="BFBFBF" w:themeFill="background1" w:themeFillShade="BF"/>
            <w:vAlign w:val="center"/>
            <w:hideMark/>
          </w:tcPr>
          <w:p w14:paraId="5B93FDB4" w14:textId="556E05D0" w:rsidR="00462DD4" w:rsidRPr="00795F17" w:rsidRDefault="00A42C28" w:rsidP="0044393D">
            <w:pPr>
              <w:pStyle w:val="Teksttabelinaglowek"/>
            </w:pPr>
            <w:r w:rsidRPr="00795F17">
              <w:t xml:space="preserve">Powierzchnia </w:t>
            </w:r>
            <w:r w:rsidR="00DF005E">
              <w:t>JCWP</w:t>
            </w:r>
            <w:r w:rsidRPr="00795F17">
              <w:t>d</w:t>
            </w:r>
            <w:r w:rsidR="00462DD4" w:rsidRPr="00795F17">
              <w:br/>
            </w:r>
            <w:r w:rsidR="00CC4FEC" w:rsidRPr="00795F17">
              <w:t>(km</w:t>
            </w:r>
            <w:r w:rsidR="00CC4FEC" w:rsidRPr="00795F17">
              <w:rPr>
                <w:vertAlign w:val="superscript"/>
              </w:rPr>
              <w:t>2</w:t>
            </w:r>
            <w:r w:rsidR="00CC4FEC" w:rsidRPr="00795F17">
              <w:t>)</w:t>
            </w:r>
          </w:p>
        </w:tc>
        <w:tc>
          <w:tcPr>
            <w:tcW w:w="1418" w:type="dxa"/>
            <w:tcBorders>
              <w:top w:val="single" w:sz="4" w:space="0" w:color="auto"/>
              <w:left w:val="nil"/>
              <w:bottom w:val="nil"/>
              <w:right w:val="single" w:sz="4" w:space="0" w:color="auto"/>
            </w:tcBorders>
            <w:shd w:val="clear" w:color="auto" w:fill="BFBFBF" w:themeFill="background1" w:themeFillShade="BF"/>
            <w:vAlign w:val="center"/>
            <w:hideMark/>
          </w:tcPr>
          <w:p w14:paraId="5778B735" w14:textId="0BD0F4BF" w:rsidR="00462DD4" w:rsidRPr="00795F17" w:rsidRDefault="00A42C28" w:rsidP="0044393D">
            <w:pPr>
              <w:pStyle w:val="Teksttabelinaglowek"/>
            </w:pPr>
            <w:r w:rsidRPr="00795F17">
              <w:t>Udział w</w:t>
            </w:r>
            <w:r w:rsidR="002322DD">
              <w:t> </w:t>
            </w:r>
            <w:r w:rsidRPr="00795F17">
              <w:t xml:space="preserve">powierzchni </w:t>
            </w:r>
            <w:r w:rsidR="00DF005E">
              <w:t>JCWP</w:t>
            </w:r>
            <w:r w:rsidRPr="00795F17">
              <w:t>d na obszarze dorzecza (%)</w:t>
            </w:r>
          </w:p>
        </w:tc>
      </w:tr>
      <w:tr w:rsidR="00882C9B" w:rsidRPr="00795F17" w14:paraId="73A49569" w14:textId="77777777" w:rsidTr="002322DD">
        <w:trPr>
          <w:trHeight w:val="454"/>
        </w:trPr>
        <w:tc>
          <w:tcPr>
            <w:tcW w:w="9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2F2F86" w14:textId="77777777" w:rsidR="00462DD4" w:rsidRPr="00795F17" w:rsidRDefault="00462DD4" w:rsidP="0065243A">
            <w:pPr>
              <w:pStyle w:val="Teksttabelisrodek"/>
            </w:pPr>
            <w:r w:rsidRPr="00795F17">
              <w:t>Odra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3F032A" w14:textId="02AAC4F9" w:rsidR="00462DD4" w:rsidRPr="00795F17" w:rsidRDefault="00462DD4" w:rsidP="0065243A">
            <w:pPr>
              <w:pStyle w:val="Teksttabelisrodek"/>
            </w:pPr>
            <w:r w:rsidRPr="00795F17">
              <w:t>117</w:t>
            </w:r>
            <w:r w:rsidR="00076BC9" w:rsidRPr="00795F17">
              <w:t> </w:t>
            </w:r>
            <w:r w:rsidRPr="00795F17">
              <w:t>652,17</w:t>
            </w:r>
          </w:p>
        </w:tc>
        <w:tc>
          <w:tcPr>
            <w:tcW w:w="1252" w:type="dxa"/>
            <w:tcBorders>
              <w:top w:val="single" w:sz="4" w:space="0" w:color="auto"/>
              <w:left w:val="nil"/>
              <w:bottom w:val="single" w:sz="4" w:space="0" w:color="auto"/>
              <w:right w:val="single" w:sz="4" w:space="0" w:color="auto"/>
            </w:tcBorders>
            <w:shd w:val="clear" w:color="000000" w:fill="92D050"/>
            <w:vAlign w:val="center"/>
            <w:hideMark/>
          </w:tcPr>
          <w:p w14:paraId="0E695A25" w14:textId="77777777" w:rsidR="00462DD4" w:rsidRPr="00795F17" w:rsidRDefault="00462DD4" w:rsidP="0065243A">
            <w:pPr>
              <w:pStyle w:val="Teksttabelisrodek"/>
            </w:pPr>
            <w:r w:rsidRPr="00795F17">
              <w:t>stan dobry</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14:paraId="7AB408E4" w14:textId="77777777" w:rsidR="00462DD4" w:rsidRPr="00795F17" w:rsidRDefault="00462DD4" w:rsidP="0065243A">
            <w:pPr>
              <w:pStyle w:val="Teksttabelisrodek"/>
            </w:pPr>
            <w:r w:rsidRPr="00795F17">
              <w:t>2, 3, 4, 5, 6, 7, 8, 9, 10, 23, 24, 25, 26, 33, 34, 35, 40, 41, 42, 58, 59, 60, 61, 62, 68, 69, 70, 71, 72, 76, 77, 78, 80, 81, 82, 83, 92, 93, 94, 95, 96, 97, 98, 99, 105, 107, 108, 109, 110, 124, 125, 126, 127, 128, 129, 139, 140, 141, 142, 143, 144, 155, 170</w:t>
            </w:r>
          </w:p>
        </w:tc>
        <w:tc>
          <w:tcPr>
            <w:tcW w:w="893" w:type="dxa"/>
            <w:tcBorders>
              <w:top w:val="single" w:sz="4" w:space="0" w:color="auto"/>
              <w:left w:val="nil"/>
              <w:bottom w:val="single" w:sz="4" w:space="0" w:color="auto"/>
              <w:right w:val="single" w:sz="4" w:space="0" w:color="auto"/>
            </w:tcBorders>
            <w:shd w:val="clear" w:color="auto" w:fill="auto"/>
            <w:vAlign w:val="center"/>
            <w:hideMark/>
          </w:tcPr>
          <w:p w14:paraId="67C60FA8" w14:textId="77777777" w:rsidR="00462DD4" w:rsidRPr="00795F17" w:rsidRDefault="00462DD4" w:rsidP="0065243A">
            <w:pPr>
              <w:pStyle w:val="Teksttabelisrodek"/>
            </w:pPr>
            <w:r w:rsidRPr="00795F17">
              <w:t>63</w:t>
            </w:r>
          </w:p>
        </w:tc>
        <w:tc>
          <w:tcPr>
            <w:tcW w:w="1293" w:type="dxa"/>
            <w:tcBorders>
              <w:top w:val="single" w:sz="4" w:space="0" w:color="auto"/>
              <w:left w:val="nil"/>
              <w:bottom w:val="single" w:sz="4" w:space="0" w:color="auto"/>
              <w:right w:val="single" w:sz="4" w:space="0" w:color="auto"/>
            </w:tcBorders>
            <w:shd w:val="clear" w:color="auto" w:fill="auto"/>
            <w:vAlign w:val="center"/>
            <w:hideMark/>
          </w:tcPr>
          <w:p w14:paraId="3453918C" w14:textId="5121A803" w:rsidR="00462DD4" w:rsidRPr="00795F17" w:rsidRDefault="00462DD4" w:rsidP="0065243A">
            <w:pPr>
              <w:pStyle w:val="Teksttabelisrodek"/>
            </w:pPr>
            <w:r w:rsidRPr="00795F17">
              <w:t>110</w:t>
            </w:r>
            <w:r w:rsidR="00B63918" w:rsidRPr="00795F17">
              <w:t> </w:t>
            </w:r>
            <w:r w:rsidRPr="00795F17">
              <w:t>050,48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50388D2" w14:textId="5087D4AE" w:rsidR="00462DD4" w:rsidRPr="00795F17" w:rsidRDefault="00462DD4" w:rsidP="0065243A">
            <w:pPr>
              <w:pStyle w:val="Teksttabelisrodek"/>
            </w:pPr>
            <w:r w:rsidRPr="00795F17">
              <w:t>93,54</w:t>
            </w:r>
          </w:p>
        </w:tc>
      </w:tr>
      <w:tr w:rsidR="00882C9B" w:rsidRPr="00795F17" w14:paraId="3BA52272" w14:textId="77777777" w:rsidTr="002322DD">
        <w:trPr>
          <w:trHeight w:val="454"/>
        </w:trPr>
        <w:tc>
          <w:tcPr>
            <w:tcW w:w="942" w:type="dxa"/>
            <w:vMerge/>
            <w:tcBorders>
              <w:top w:val="single" w:sz="4" w:space="0" w:color="auto"/>
              <w:left w:val="single" w:sz="4" w:space="0" w:color="auto"/>
              <w:bottom w:val="single" w:sz="4" w:space="0" w:color="auto"/>
              <w:right w:val="single" w:sz="4" w:space="0" w:color="auto"/>
            </w:tcBorders>
            <w:vAlign w:val="center"/>
            <w:hideMark/>
          </w:tcPr>
          <w:p w14:paraId="0C04D509" w14:textId="77777777" w:rsidR="00462DD4" w:rsidRPr="00795F17" w:rsidRDefault="00462DD4" w:rsidP="0065243A">
            <w:pPr>
              <w:pStyle w:val="Teksttabelisrodek"/>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306D5F5C" w14:textId="77777777" w:rsidR="00462DD4" w:rsidRPr="00795F17" w:rsidRDefault="00462DD4" w:rsidP="0065243A">
            <w:pPr>
              <w:pStyle w:val="Teksttabelisrodek"/>
            </w:pPr>
          </w:p>
        </w:tc>
        <w:tc>
          <w:tcPr>
            <w:tcW w:w="1252" w:type="dxa"/>
            <w:tcBorders>
              <w:top w:val="nil"/>
              <w:left w:val="nil"/>
              <w:bottom w:val="single" w:sz="4" w:space="0" w:color="auto"/>
              <w:right w:val="single" w:sz="4" w:space="0" w:color="auto"/>
            </w:tcBorders>
            <w:shd w:val="clear" w:color="000000" w:fill="FF0000"/>
            <w:noWrap/>
            <w:vAlign w:val="center"/>
            <w:hideMark/>
          </w:tcPr>
          <w:p w14:paraId="6EF022E3" w14:textId="77777777" w:rsidR="00462DD4" w:rsidRPr="00795F17" w:rsidRDefault="00462DD4" w:rsidP="0065243A">
            <w:pPr>
              <w:pStyle w:val="Teksttabelisrodek"/>
            </w:pPr>
            <w:r w:rsidRPr="00795F17">
              <w:t>stan słaby</w:t>
            </w:r>
          </w:p>
        </w:tc>
        <w:tc>
          <w:tcPr>
            <w:tcW w:w="2025" w:type="dxa"/>
            <w:tcBorders>
              <w:top w:val="nil"/>
              <w:left w:val="nil"/>
              <w:bottom w:val="single" w:sz="4" w:space="0" w:color="auto"/>
              <w:right w:val="single" w:sz="4" w:space="0" w:color="auto"/>
            </w:tcBorders>
            <w:shd w:val="clear" w:color="auto" w:fill="auto"/>
            <w:vAlign w:val="center"/>
            <w:hideMark/>
          </w:tcPr>
          <w:p w14:paraId="0D774FD6" w14:textId="77777777" w:rsidR="00462DD4" w:rsidRPr="00795F17" w:rsidRDefault="00462DD4" w:rsidP="0065243A">
            <w:pPr>
              <w:pStyle w:val="Teksttabelisrodek"/>
            </w:pPr>
            <w:r w:rsidRPr="00795F17">
              <w:t>1, 43, 79</w:t>
            </w:r>
          </w:p>
        </w:tc>
        <w:tc>
          <w:tcPr>
            <w:tcW w:w="893" w:type="dxa"/>
            <w:tcBorders>
              <w:top w:val="nil"/>
              <w:left w:val="nil"/>
              <w:bottom w:val="single" w:sz="4" w:space="0" w:color="auto"/>
              <w:right w:val="single" w:sz="4" w:space="0" w:color="auto"/>
            </w:tcBorders>
            <w:shd w:val="clear" w:color="auto" w:fill="auto"/>
            <w:vAlign w:val="center"/>
            <w:hideMark/>
          </w:tcPr>
          <w:p w14:paraId="353E717A" w14:textId="77777777" w:rsidR="00462DD4" w:rsidRPr="00795F17" w:rsidRDefault="00462DD4" w:rsidP="0065243A">
            <w:pPr>
              <w:pStyle w:val="Teksttabelisrodek"/>
            </w:pPr>
            <w:r w:rsidRPr="00795F17">
              <w:t>3</w:t>
            </w:r>
          </w:p>
        </w:tc>
        <w:tc>
          <w:tcPr>
            <w:tcW w:w="1293" w:type="dxa"/>
            <w:tcBorders>
              <w:top w:val="nil"/>
              <w:left w:val="nil"/>
              <w:bottom w:val="single" w:sz="4" w:space="0" w:color="auto"/>
              <w:right w:val="single" w:sz="4" w:space="0" w:color="auto"/>
            </w:tcBorders>
            <w:shd w:val="clear" w:color="auto" w:fill="auto"/>
            <w:vAlign w:val="center"/>
            <w:hideMark/>
          </w:tcPr>
          <w:p w14:paraId="379419A8" w14:textId="13376E1C" w:rsidR="00462DD4" w:rsidRPr="00795F17" w:rsidRDefault="00462DD4" w:rsidP="0065243A">
            <w:pPr>
              <w:pStyle w:val="Teksttabelisrodek"/>
            </w:pPr>
            <w:r w:rsidRPr="00795F17">
              <w:t>7</w:t>
            </w:r>
            <w:r w:rsidR="00B63918" w:rsidRPr="00795F17">
              <w:t> </w:t>
            </w:r>
            <w:r w:rsidRPr="00795F17">
              <w:t>601,69</w:t>
            </w:r>
          </w:p>
        </w:tc>
        <w:tc>
          <w:tcPr>
            <w:tcW w:w="1418" w:type="dxa"/>
            <w:tcBorders>
              <w:top w:val="nil"/>
              <w:left w:val="nil"/>
              <w:bottom w:val="single" w:sz="4" w:space="0" w:color="auto"/>
              <w:right w:val="single" w:sz="4" w:space="0" w:color="auto"/>
            </w:tcBorders>
            <w:shd w:val="clear" w:color="auto" w:fill="auto"/>
            <w:vAlign w:val="center"/>
            <w:hideMark/>
          </w:tcPr>
          <w:p w14:paraId="47A90EAF" w14:textId="05F6ED02" w:rsidR="00462DD4" w:rsidRPr="00795F17" w:rsidRDefault="00462DD4" w:rsidP="0065243A">
            <w:pPr>
              <w:pStyle w:val="Teksttabelisrodek"/>
            </w:pPr>
            <w:r w:rsidRPr="00795F17">
              <w:t>6,46</w:t>
            </w:r>
          </w:p>
        </w:tc>
      </w:tr>
    </w:tbl>
    <w:p w14:paraId="61215390" w14:textId="77777777" w:rsidR="00E11336" w:rsidRPr="00795F17" w:rsidRDefault="00E11336" w:rsidP="00E11336">
      <w:pPr>
        <w:pStyle w:val="rdo"/>
        <w:rPr>
          <w:color w:val="000099"/>
          <w:sz w:val="20"/>
          <w:szCs w:val="20"/>
        </w:rPr>
      </w:pPr>
      <w:bookmarkStart w:id="248" w:name="_Toc66341882"/>
      <w:r w:rsidRPr="00795F17">
        <w:t>Źródło: opracowanie własne</w:t>
      </w:r>
    </w:p>
    <w:p w14:paraId="49274535" w14:textId="6FE5B87F" w:rsidR="00462DD4" w:rsidRPr="00795F17" w:rsidRDefault="00462DD4" w:rsidP="004D7705">
      <w:pPr>
        <w:pStyle w:val="Tabela"/>
      </w:pPr>
      <w:bookmarkStart w:id="249" w:name="_Toc105512793"/>
      <w:r w:rsidRPr="00795F17">
        <w:t xml:space="preserve">Tabela </w:t>
      </w:r>
      <w:fldSimple w:instr=" STYLEREF 1 \s ">
        <w:r w:rsidR="001F774D">
          <w:rPr>
            <w:noProof/>
          </w:rPr>
          <w:t>5</w:t>
        </w:r>
      </w:fldSimple>
      <w:r w:rsidR="00BB3B21" w:rsidRPr="00795F17">
        <w:noBreakHyphen/>
      </w:r>
      <w:fldSimple w:instr=" SEQ Tabela \* ARABIC \s 1 ">
        <w:r w:rsidR="001F774D">
          <w:rPr>
            <w:noProof/>
          </w:rPr>
          <w:t>29</w:t>
        </w:r>
      </w:fldSimple>
      <w:r w:rsidR="00BA11D4">
        <w:rPr>
          <w:noProof/>
        </w:rPr>
        <w:t>.</w:t>
      </w:r>
      <w:r w:rsidRPr="00795F17">
        <w:tab/>
        <w:t xml:space="preserve">Wyniki testu C.3 </w:t>
      </w:r>
      <w:r w:rsidR="00182A26" w:rsidRPr="00795F17">
        <w:t>-</w:t>
      </w:r>
      <w:r w:rsidRPr="00795F17">
        <w:t xml:space="preserve"> Ochrona ekosystemów lądowych zależnych od wód podziemnych</w:t>
      </w:r>
      <w:bookmarkEnd w:id="248"/>
      <w:bookmarkEnd w:id="249"/>
    </w:p>
    <w:tbl>
      <w:tblPr>
        <w:tblW w:w="9090" w:type="dxa"/>
        <w:tblInd w:w="55" w:type="dxa"/>
        <w:tblLayout w:type="fixed"/>
        <w:tblCellMar>
          <w:left w:w="70" w:type="dxa"/>
          <w:right w:w="70" w:type="dxa"/>
        </w:tblCellMar>
        <w:tblLook w:val="04A0" w:firstRow="1" w:lastRow="0" w:firstColumn="1" w:lastColumn="0" w:noHBand="0" w:noVBand="1"/>
      </w:tblPr>
      <w:tblGrid>
        <w:gridCol w:w="943"/>
        <w:gridCol w:w="1250"/>
        <w:gridCol w:w="1351"/>
        <w:gridCol w:w="1925"/>
        <w:gridCol w:w="910"/>
        <w:gridCol w:w="1293"/>
        <w:gridCol w:w="1418"/>
      </w:tblGrid>
      <w:tr w:rsidR="00A553F4" w:rsidRPr="00795F17" w14:paraId="421532BE" w14:textId="77777777" w:rsidTr="002322DD">
        <w:trPr>
          <w:cantSplit/>
          <w:trHeight w:val="454"/>
          <w:tblHeader/>
        </w:trPr>
        <w:tc>
          <w:tcPr>
            <w:tcW w:w="943" w:type="dxa"/>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0296DB46" w14:textId="18BA4124" w:rsidR="00462DD4" w:rsidRPr="00795F17" w:rsidRDefault="00FB15D5" w:rsidP="0044393D">
            <w:pPr>
              <w:pStyle w:val="Teksttabelinaglowek"/>
            </w:pPr>
            <w:r w:rsidRPr="00795F17">
              <w:t>Obszar</w:t>
            </w:r>
            <w:r w:rsidR="00462DD4" w:rsidRPr="00795F17">
              <w:t xml:space="preserve"> dorzecza</w:t>
            </w:r>
          </w:p>
        </w:tc>
        <w:tc>
          <w:tcPr>
            <w:tcW w:w="1250" w:type="dxa"/>
            <w:tcBorders>
              <w:top w:val="single" w:sz="4" w:space="0" w:color="auto"/>
              <w:left w:val="nil"/>
              <w:bottom w:val="nil"/>
              <w:right w:val="single" w:sz="4" w:space="0" w:color="auto"/>
            </w:tcBorders>
            <w:shd w:val="clear" w:color="auto" w:fill="BFBFBF" w:themeFill="background1" w:themeFillShade="BF"/>
            <w:vAlign w:val="center"/>
            <w:hideMark/>
          </w:tcPr>
          <w:p w14:paraId="7066B7CF" w14:textId="34DAB393" w:rsidR="00462DD4" w:rsidRPr="00795F17" w:rsidRDefault="00A42C28" w:rsidP="0044393D">
            <w:pPr>
              <w:pStyle w:val="Teksttabelinaglowek"/>
            </w:pPr>
            <w:r w:rsidRPr="00795F17">
              <w:t xml:space="preserve">Powierzchnia </w:t>
            </w:r>
            <w:r w:rsidR="00DF005E">
              <w:t>JCWP</w:t>
            </w:r>
            <w:r w:rsidRPr="00795F17">
              <w:t xml:space="preserve">d na obszarze dorzecza </w:t>
            </w:r>
            <w:r w:rsidR="001C75D3" w:rsidRPr="00795F17">
              <w:t>(km</w:t>
            </w:r>
            <w:r w:rsidR="001C75D3" w:rsidRPr="00795F17">
              <w:rPr>
                <w:vertAlign w:val="superscript"/>
              </w:rPr>
              <w:t>2</w:t>
            </w:r>
            <w:r w:rsidR="001C75D3" w:rsidRPr="00795F17">
              <w:t>)</w:t>
            </w:r>
          </w:p>
        </w:tc>
        <w:tc>
          <w:tcPr>
            <w:tcW w:w="1351" w:type="dxa"/>
            <w:tcBorders>
              <w:top w:val="single" w:sz="4" w:space="0" w:color="auto"/>
              <w:left w:val="nil"/>
              <w:bottom w:val="nil"/>
              <w:right w:val="single" w:sz="4" w:space="0" w:color="auto"/>
            </w:tcBorders>
            <w:shd w:val="clear" w:color="auto" w:fill="BFBFBF" w:themeFill="background1" w:themeFillShade="BF"/>
            <w:vAlign w:val="center"/>
            <w:hideMark/>
          </w:tcPr>
          <w:p w14:paraId="2FA686ED" w14:textId="22458231" w:rsidR="00462DD4" w:rsidRPr="00795F17" w:rsidRDefault="00C12087" w:rsidP="0044393D">
            <w:pPr>
              <w:pStyle w:val="Teksttabelinaglowek"/>
            </w:pPr>
            <w:r w:rsidRPr="00795F17">
              <w:t>Wyniki testu C.3</w:t>
            </w:r>
          </w:p>
        </w:tc>
        <w:tc>
          <w:tcPr>
            <w:tcW w:w="1925" w:type="dxa"/>
            <w:tcBorders>
              <w:top w:val="single" w:sz="4" w:space="0" w:color="auto"/>
              <w:left w:val="nil"/>
              <w:bottom w:val="nil"/>
              <w:right w:val="single" w:sz="4" w:space="0" w:color="auto"/>
            </w:tcBorders>
            <w:shd w:val="clear" w:color="auto" w:fill="BFBFBF" w:themeFill="background1" w:themeFillShade="BF"/>
            <w:vAlign w:val="center"/>
            <w:hideMark/>
          </w:tcPr>
          <w:p w14:paraId="2292ECEB" w14:textId="27729F48" w:rsidR="00462DD4" w:rsidRPr="00795F17" w:rsidRDefault="00462DD4" w:rsidP="0044393D">
            <w:pPr>
              <w:pStyle w:val="Teksttabelinaglowek"/>
            </w:pPr>
            <w:r w:rsidRPr="00795F17">
              <w:t xml:space="preserve">Numery </w:t>
            </w:r>
            <w:r w:rsidR="00DF005E">
              <w:t>JCWP</w:t>
            </w:r>
            <w:r w:rsidRPr="00795F17">
              <w:t>d</w:t>
            </w:r>
          </w:p>
        </w:tc>
        <w:tc>
          <w:tcPr>
            <w:tcW w:w="910" w:type="dxa"/>
            <w:tcBorders>
              <w:top w:val="single" w:sz="4" w:space="0" w:color="auto"/>
              <w:left w:val="nil"/>
              <w:bottom w:val="nil"/>
              <w:right w:val="single" w:sz="4" w:space="0" w:color="auto"/>
            </w:tcBorders>
            <w:shd w:val="clear" w:color="auto" w:fill="BFBFBF" w:themeFill="background1" w:themeFillShade="BF"/>
            <w:vAlign w:val="center"/>
            <w:hideMark/>
          </w:tcPr>
          <w:p w14:paraId="7997BD66" w14:textId="2DD31C85" w:rsidR="00462DD4" w:rsidRPr="00795F17" w:rsidRDefault="00462DD4" w:rsidP="0044393D">
            <w:pPr>
              <w:pStyle w:val="Teksttabelinaglowek"/>
            </w:pPr>
            <w:r w:rsidRPr="00795F17">
              <w:t xml:space="preserve">Liczba </w:t>
            </w:r>
            <w:r w:rsidR="00DF005E">
              <w:t>JCWP</w:t>
            </w:r>
            <w:r w:rsidRPr="00795F17">
              <w:t>d</w:t>
            </w:r>
          </w:p>
        </w:tc>
        <w:tc>
          <w:tcPr>
            <w:tcW w:w="1293" w:type="dxa"/>
            <w:tcBorders>
              <w:top w:val="single" w:sz="4" w:space="0" w:color="auto"/>
              <w:left w:val="nil"/>
              <w:bottom w:val="nil"/>
              <w:right w:val="single" w:sz="4" w:space="0" w:color="auto"/>
            </w:tcBorders>
            <w:shd w:val="clear" w:color="auto" w:fill="BFBFBF" w:themeFill="background1" w:themeFillShade="BF"/>
            <w:vAlign w:val="center"/>
            <w:hideMark/>
          </w:tcPr>
          <w:p w14:paraId="4D49DD94" w14:textId="09332C98" w:rsidR="00462DD4" w:rsidRPr="00795F17" w:rsidRDefault="00462DD4" w:rsidP="0044393D">
            <w:pPr>
              <w:pStyle w:val="Teksttabelinaglowek"/>
            </w:pPr>
            <w:r w:rsidRPr="00795F17">
              <w:t xml:space="preserve">Powierzchnia </w:t>
            </w:r>
            <w:r w:rsidR="00DF005E">
              <w:t>JCWP</w:t>
            </w:r>
            <w:r w:rsidRPr="00795F17">
              <w:t>d</w:t>
            </w:r>
            <w:r w:rsidR="00D146C3" w:rsidRPr="00795F17">
              <w:t xml:space="preserve"> </w:t>
            </w:r>
            <w:r w:rsidRPr="00795F17">
              <w:br/>
            </w:r>
            <w:r w:rsidR="00CC4FEC" w:rsidRPr="00795F17">
              <w:t>(km</w:t>
            </w:r>
            <w:r w:rsidR="00CC4FEC" w:rsidRPr="00795F17">
              <w:rPr>
                <w:vertAlign w:val="superscript"/>
              </w:rPr>
              <w:t>2</w:t>
            </w:r>
            <w:r w:rsidR="00CC4FEC" w:rsidRPr="00795F17">
              <w:t>)</w:t>
            </w:r>
          </w:p>
        </w:tc>
        <w:tc>
          <w:tcPr>
            <w:tcW w:w="1418" w:type="dxa"/>
            <w:tcBorders>
              <w:top w:val="single" w:sz="4" w:space="0" w:color="auto"/>
              <w:left w:val="nil"/>
              <w:bottom w:val="nil"/>
              <w:right w:val="single" w:sz="4" w:space="0" w:color="auto"/>
            </w:tcBorders>
            <w:shd w:val="clear" w:color="auto" w:fill="BFBFBF" w:themeFill="background1" w:themeFillShade="BF"/>
            <w:vAlign w:val="center"/>
            <w:hideMark/>
          </w:tcPr>
          <w:p w14:paraId="25C6436B" w14:textId="0ECDA7FB" w:rsidR="00462DD4" w:rsidRPr="00795F17" w:rsidRDefault="00A42C28" w:rsidP="0044393D">
            <w:pPr>
              <w:pStyle w:val="Teksttabelinaglowek"/>
            </w:pPr>
            <w:r w:rsidRPr="00795F17">
              <w:t>Udział w</w:t>
            </w:r>
            <w:r w:rsidR="002322DD">
              <w:t> </w:t>
            </w:r>
            <w:r w:rsidRPr="00795F17">
              <w:t xml:space="preserve">powierzchni </w:t>
            </w:r>
            <w:r w:rsidR="00DF005E">
              <w:t>JCWP</w:t>
            </w:r>
            <w:r w:rsidRPr="00795F17">
              <w:t>d na obszarze dorzecza (%)</w:t>
            </w:r>
          </w:p>
        </w:tc>
      </w:tr>
      <w:tr w:rsidR="00882C9B" w:rsidRPr="00795F17" w14:paraId="2D3CFC0F" w14:textId="77777777" w:rsidTr="002322DD">
        <w:trPr>
          <w:cantSplit/>
          <w:trHeight w:val="454"/>
        </w:trPr>
        <w:tc>
          <w:tcPr>
            <w:tcW w:w="9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4878D1" w14:textId="77777777" w:rsidR="00462DD4" w:rsidRPr="00795F17" w:rsidRDefault="00462DD4" w:rsidP="0065243A">
            <w:pPr>
              <w:pStyle w:val="Teksttabelisrodek"/>
            </w:pPr>
            <w:r w:rsidRPr="00795F17">
              <w:t>Odra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4FC2F0" w14:textId="6C533A1A" w:rsidR="00462DD4" w:rsidRPr="00795F17" w:rsidRDefault="00462DD4" w:rsidP="0065243A">
            <w:pPr>
              <w:pStyle w:val="Teksttabelisrodek"/>
            </w:pPr>
            <w:r w:rsidRPr="00795F17">
              <w:t>117</w:t>
            </w:r>
            <w:r w:rsidR="00076BC9" w:rsidRPr="00795F17">
              <w:t> </w:t>
            </w:r>
            <w:r w:rsidRPr="00795F17">
              <w:t>652,17</w:t>
            </w:r>
          </w:p>
        </w:tc>
        <w:tc>
          <w:tcPr>
            <w:tcW w:w="1351" w:type="dxa"/>
            <w:tcBorders>
              <w:top w:val="single" w:sz="4" w:space="0" w:color="auto"/>
              <w:left w:val="nil"/>
              <w:bottom w:val="single" w:sz="4" w:space="0" w:color="auto"/>
              <w:right w:val="single" w:sz="4" w:space="0" w:color="auto"/>
            </w:tcBorders>
            <w:shd w:val="clear" w:color="000000" w:fill="92D050"/>
            <w:vAlign w:val="center"/>
            <w:hideMark/>
          </w:tcPr>
          <w:p w14:paraId="1BF6694D" w14:textId="77777777" w:rsidR="00462DD4" w:rsidRPr="00795F17" w:rsidRDefault="00462DD4" w:rsidP="0065243A">
            <w:pPr>
              <w:pStyle w:val="Teksttabelisrodek"/>
            </w:pPr>
            <w:r w:rsidRPr="00795F17">
              <w:t>stan dobry</w:t>
            </w:r>
          </w:p>
        </w:tc>
        <w:tc>
          <w:tcPr>
            <w:tcW w:w="1925" w:type="dxa"/>
            <w:tcBorders>
              <w:top w:val="single" w:sz="4" w:space="0" w:color="auto"/>
              <w:left w:val="nil"/>
              <w:bottom w:val="single" w:sz="4" w:space="0" w:color="auto"/>
              <w:right w:val="single" w:sz="4" w:space="0" w:color="auto"/>
            </w:tcBorders>
            <w:shd w:val="clear" w:color="auto" w:fill="auto"/>
            <w:vAlign w:val="center"/>
            <w:hideMark/>
          </w:tcPr>
          <w:p w14:paraId="5732690A" w14:textId="77777777" w:rsidR="00462DD4" w:rsidRPr="00795F17" w:rsidRDefault="00462DD4" w:rsidP="0065243A">
            <w:pPr>
              <w:pStyle w:val="Teksttabelisrodek"/>
            </w:pPr>
            <w:r w:rsidRPr="00795F17">
              <w:t>1, 2, 4, 9, 26, 34, 35, 68, 79, 83</w:t>
            </w:r>
          </w:p>
        </w:tc>
        <w:tc>
          <w:tcPr>
            <w:tcW w:w="910" w:type="dxa"/>
            <w:tcBorders>
              <w:top w:val="single" w:sz="4" w:space="0" w:color="auto"/>
              <w:left w:val="nil"/>
              <w:bottom w:val="single" w:sz="4" w:space="0" w:color="auto"/>
              <w:right w:val="single" w:sz="4" w:space="0" w:color="auto"/>
            </w:tcBorders>
            <w:shd w:val="clear" w:color="auto" w:fill="auto"/>
            <w:noWrap/>
            <w:vAlign w:val="center"/>
            <w:hideMark/>
          </w:tcPr>
          <w:p w14:paraId="43F49C12" w14:textId="77777777" w:rsidR="00462DD4" w:rsidRPr="00795F17" w:rsidRDefault="00462DD4" w:rsidP="0065243A">
            <w:pPr>
              <w:pStyle w:val="Teksttabelisrodek"/>
            </w:pPr>
            <w:r w:rsidRPr="00795F17">
              <w:t>10</w:t>
            </w:r>
          </w:p>
        </w:tc>
        <w:tc>
          <w:tcPr>
            <w:tcW w:w="1293" w:type="dxa"/>
            <w:tcBorders>
              <w:top w:val="single" w:sz="4" w:space="0" w:color="auto"/>
              <w:left w:val="nil"/>
              <w:bottom w:val="single" w:sz="4" w:space="0" w:color="auto"/>
              <w:right w:val="single" w:sz="4" w:space="0" w:color="auto"/>
            </w:tcBorders>
            <w:shd w:val="clear" w:color="auto" w:fill="auto"/>
            <w:noWrap/>
            <w:vAlign w:val="center"/>
            <w:hideMark/>
          </w:tcPr>
          <w:p w14:paraId="1A14268C" w14:textId="391A0D3F" w:rsidR="00462DD4" w:rsidRPr="00795F17" w:rsidRDefault="00462DD4" w:rsidP="0065243A">
            <w:pPr>
              <w:pStyle w:val="Teksttabelisrodek"/>
            </w:pPr>
            <w:r w:rsidRPr="00795F17">
              <w:t>22</w:t>
            </w:r>
            <w:r w:rsidR="00B63918" w:rsidRPr="00795F17">
              <w:t> </w:t>
            </w:r>
            <w:r w:rsidRPr="00795F17">
              <w:t>801,99</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121791B1" w14:textId="01D29035" w:rsidR="00462DD4" w:rsidRPr="00795F17" w:rsidRDefault="00462DD4" w:rsidP="0065243A">
            <w:pPr>
              <w:pStyle w:val="Teksttabelisrodek"/>
            </w:pPr>
            <w:r w:rsidRPr="00795F17">
              <w:t>19,38</w:t>
            </w:r>
          </w:p>
        </w:tc>
      </w:tr>
      <w:tr w:rsidR="00E72586" w:rsidRPr="00795F17" w14:paraId="229A0E5D" w14:textId="77777777" w:rsidTr="002322DD">
        <w:trPr>
          <w:cantSplit/>
          <w:trHeight w:val="454"/>
        </w:trPr>
        <w:tc>
          <w:tcPr>
            <w:tcW w:w="943" w:type="dxa"/>
            <w:vMerge/>
            <w:tcBorders>
              <w:top w:val="single" w:sz="4" w:space="0" w:color="auto"/>
              <w:left w:val="single" w:sz="4" w:space="0" w:color="auto"/>
              <w:bottom w:val="single" w:sz="4" w:space="0" w:color="auto"/>
              <w:right w:val="single" w:sz="4" w:space="0" w:color="auto"/>
            </w:tcBorders>
            <w:vAlign w:val="center"/>
            <w:hideMark/>
          </w:tcPr>
          <w:p w14:paraId="179E8D3D" w14:textId="77777777" w:rsidR="00462DD4" w:rsidRPr="00795F17" w:rsidRDefault="00462DD4" w:rsidP="0065243A">
            <w:pPr>
              <w:pStyle w:val="Teksttabelisrodek"/>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389D2312" w14:textId="77777777" w:rsidR="00462DD4" w:rsidRPr="00795F17" w:rsidRDefault="00462DD4" w:rsidP="0065243A">
            <w:pPr>
              <w:pStyle w:val="Teksttabelisrodek"/>
            </w:pPr>
          </w:p>
        </w:tc>
        <w:tc>
          <w:tcPr>
            <w:tcW w:w="1351" w:type="dxa"/>
            <w:tcBorders>
              <w:top w:val="nil"/>
              <w:left w:val="nil"/>
              <w:bottom w:val="single" w:sz="4" w:space="0" w:color="auto"/>
              <w:right w:val="single" w:sz="4" w:space="0" w:color="auto"/>
            </w:tcBorders>
            <w:shd w:val="clear" w:color="auto" w:fill="auto"/>
            <w:noWrap/>
            <w:vAlign w:val="center"/>
            <w:hideMark/>
          </w:tcPr>
          <w:p w14:paraId="7F572F12" w14:textId="77777777" w:rsidR="00462DD4" w:rsidRPr="00795F17" w:rsidRDefault="00462DD4" w:rsidP="0065243A">
            <w:pPr>
              <w:pStyle w:val="Teksttabelisrodek"/>
            </w:pPr>
            <w:r w:rsidRPr="00795F17">
              <w:t>brak danych</w:t>
            </w:r>
          </w:p>
        </w:tc>
        <w:tc>
          <w:tcPr>
            <w:tcW w:w="1925" w:type="dxa"/>
            <w:tcBorders>
              <w:top w:val="nil"/>
              <w:left w:val="nil"/>
              <w:bottom w:val="single" w:sz="4" w:space="0" w:color="auto"/>
              <w:right w:val="single" w:sz="4" w:space="0" w:color="auto"/>
            </w:tcBorders>
            <w:shd w:val="clear" w:color="auto" w:fill="auto"/>
            <w:vAlign w:val="center"/>
            <w:hideMark/>
          </w:tcPr>
          <w:p w14:paraId="4EB5B4F5" w14:textId="77777777" w:rsidR="00462DD4" w:rsidRPr="00795F17" w:rsidRDefault="00462DD4" w:rsidP="0065243A">
            <w:pPr>
              <w:pStyle w:val="Teksttabelisrodek"/>
            </w:pPr>
            <w:r w:rsidRPr="00795F17">
              <w:t>3, 5, 6, 7, 8, 10, 23, 24, 25, 33, 40, 41, 42, 43, 58, 59, 60, 61, 69, 72, 76, 77, 78, 80, 92, 93, 94, 95, 96, 99, 107, 108, 109, 110, 124, 125, 126, 127, 155</w:t>
            </w:r>
          </w:p>
        </w:tc>
        <w:tc>
          <w:tcPr>
            <w:tcW w:w="910" w:type="dxa"/>
            <w:tcBorders>
              <w:top w:val="nil"/>
              <w:left w:val="nil"/>
              <w:bottom w:val="single" w:sz="4" w:space="0" w:color="auto"/>
              <w:right w:val="single" w:sz="4" w:space="0" w:color="auto"/>
            </w:tcBorders>
            <w:shd w:val="clear" w:color="auto" w:fill="auto"/>
            <w:noWrap/>
            <w:vAlign w:val="center"/>
            <w:hideMark/>
          </w:tcPr>
          <w:p w14:paraId="2BEBF8BE" w14:textId="77777777" w:rsidR="00462DD4" w:rsidRPr="00795F17" w:rsidRDefault="00462DD4" w:rsidP="0065243A">
            <w:pPr>
              <w:pStyle w:val="Teksttabelisrodek"/>
            </w:pPr>
            <w:r w:rsidRPr="00795F17">
              <w:t>39</w:t>
            </w:r>
          </w:p>
        </w:tc>
        <w:tc>
          <w:tcPr>
            <w:tcW w:w="1293" w:type="dxa"/>
            <w:tcBorders>
              <w:top w:val="nil"/>
              <w:left w:val="nil"/>
              <w:bottom w:val="single" w:sz="4" w:space="0" w:color="auto"/>
              <w:right w:val="single" w:sz="4" w:space="0" w:color="auto"/>
            </w:tcBorders>
            <w:shd w:val="clear" w:color="auto" w:fill="auto"/>
            <w:noWrap/>
            <w:vAlign w:val="center"/>
            <w:hideMark/>
          </w:tcPr>
          <w:p w14:paraId="16B24D6B" w14:textId="377AEC93" w:rsidR="00462DD4" w:rsidRPr="00795F17" w:rsidRDefault="00462DD4" w:rsidP="0065243A">
            <w:pPr>
              <w:pStyle w:val="Teksttabelisrodek"/>
            </w:pPr>
            <w:r w:rsidRPr="00795F17">
              <w:t>74</w:t>
            </w:r>
            <w:r w:rsidR="00B63918" w:rsidRPr="00795F17">
              <w:t> </w:t>
            </w:r>
            <w:r w:rsidRPr="00795F17">
              <w:t>996,72</w:t>
            </w:r>
          </w:p>
        </w:tc>
        <w:tc>
          <w:tcPr>
            <w:tcW w:w="1418" w:type="dxa"/>
            <w:tcBorders>
              <w:top w:val="nil"/>
              <w:left w:val="nil"/>
              <w:bottom w:val="single" w:sz="4" w:space="0" w:color="auto"/>
              <w:right w:val="single" w:sz="4" w:space="0" w:color="auto"/>
            </w:tcBorders>
            <w:shd w:val="clear" w:color="auto" w:fill="auto"/>
            <w:noWrap/>
            <w:vAlign w:val="center"/>
            <w:hideMark/>
          </w:tcPr>
          <w:p w14:paraId="5150C4C8" w14:textId="05F2FBB4" w:rsidR="00462DD4" w:rsidRPr="00795F17" w:rsidRDefault="00462DD4" w:rsidP="0065243A">
            <w:pPr>
              <w:pStyle w:val="Teksttabelisrodek"/>
            </w:pPr>
            <w:r w:rsidRPr="00795F17">
              <w:t>63,74</w:t>
            </w:r>
          </w:p>
        </w:tc>
      </w:tr>
      <w:tr w:rsidR="00E72586" w:rsidRPr="00795F17" w14:paraId="66DC5159" w14:textId="77777777" w:rsidTr="002322DD">
        <w:trPr>
          <w:cantSplit/>
          <w:trHeight w:val="454"/>
        </w:trPr>
        <w:tc>
          <w:tcPr>
            <w:tcW w:w="943" w:type="dxa"/>
            <w:vMerge/>
            <w:tcBorders>
              <w:top w:val="single" w:sz="4" w:space="0" w:color="auto"/>
              <w:left w:val="single" w:sz="4" w:space="0" w:color="auto"/>
              <w:bottom w:val="single" w:sz="4" w:space="0" w:color="auto"/>
              <w:right w:val="single" w:sz="4" w:space="0" w:color="auto"/>
            </w:tcBorders>
            <w:vAlign w:val="center"/>
            <w:hideMark/>
          </w:tcPr>
          <w:p w14:paraId="0B25DA3C" w14:textId="77777777" w:rsidR="00462DD4" w:rsidRPr="00795F17" w:rsidRDefault="00462DD4" w:rsidP="0065243A">
            <w:pPr>
              <w:pStyle w:val="Teksttabelisrodek"/>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4631D81C" w14:textId="77777777" w:rsidR="00462DD4" w:rsidRPr="00795F17" w:rsidRDefault="00462DD4" w:rsidP="0065243A">
            <w:pPr>
              <w:pStyle w:val="Teksttabelisrodek"/>
            </w:pPr>
          </w:p>
        </w:tc>
        <w:tc>
          <w:tcPr>
            <w:tcW w:w="1351" w:type="dxa"/>
            <w:tcBorders>
              <w:top w:val="nil"/>
              <w:left w:val="nil"/>
              <w:bottom w:val="single" w:sz="4" w:space="0" w:color="auto"/>
              <w:right w:val="single" w:sz="4" w:space="0" w:color="auto"/>
            </w:tcBorders>
            <w:shd w:val="clear" w:color="auto" w:fill="auto"/>
            <w:noWrap/>
            <w:vAlign w:val="center"/>
            <w:hideMark/>
          </w:tcPr>
          <w:p w14:paraId="013C7960" w14:textId="77777777" w:rsidR="00462DD4" w:rsidRPr="00795F17" w:rsidRDefault="00462DD4" w:rsidP="0065243A">
            <w:pPr>
              <w:pStyle w:val="Teksttabelisrodek"/>
            </w:pPr>
            <w:r w:rsidRPr="00795F17">
              <w:t>nie dotyczy</w:t>
            </w:r>
          </w:p>
        </w:tc>
        <w:tc>
          <w:tcPr>
            <w:tcW w:w="1925" w:type="dxa"/>
            <w:tcBorders>
              <w:top w:val="nil"/>
              <w:left w:val="nil"/>
              <w:bottom w:val="single" w:sz="4" w:space="0" w:color="auto"/>
              <w:right w:val="single" w:sz="4" w:space="0" w:color="auto"/>
            </w:tcBorders>
            <w:shd w:val="clear" w:color="auto" w:fill="auto"/>
            <w:vAlign w:val="center"/>
            <w:hideMark/>
          </w:tcPr>
          <w:p w14:paraId="08090B21" w14:textId="77777777" w:rsidR="00462DD4" w:rsidRPr="00795F17" w:rsidRDefault="00462DD4" w:rsidP="0065243A">
            <w:pPr>
              <w:pStyle w:val="Teksttabelisrodek"/>
            </w:pPr>
            <w:r w:rsidRPr="00795F17">
              <w:t>62, 70, 71, 81, 82, 97, 98, 105, 128, 129, 139, 140, 141, 142, 143, 144, 170</w:t>
            </w:r>
          </w:p>
        </w:tc>
        <w:tc>
          <w:tcPr>
            <w:tcW w:w="910" w:type="dxa"/>
            <w:tcBorders>
              <w:top w:val="nil"/>
              <w:left w:val="nil"/>
              <w:bottom w:val="single" w:sz="4" w:space="0" w:color="auto"/>
              <w:right w:val="single" w:sz="4" w:space="0" w:color="auto"/>
            </w:tcBorders>
            <w:shd w:val="clear" w:color="auto" w:fill="auto"/>
            <w:noWrap/>
            <w:vAlign w:val="center"/>
            <w:hideMark/>
          </w:tcPr>
          <w:p w14:paraId="5DFCADC1" w14:textId="77777777" w:rsidR="00462DD4" w:rsidRPr="00795F17" w:rsidRDefault="00462DD4" w:rsidP="0065243A">
            <w:pPr>
              <w:pStyle w:val="Teksttabelisrodek"/>
            </w:pPr>
            <w:r w:rsidRPr="00795F17">
              <w:t>17</w:t>
            </w:r>
          </w:p>
        </w:tc>
        <w:tc>
          <w:tcPr>
            <w:tcW w:w="1293" w:type="dxa"/>
            <w:tcBorders>
              <w:top w:val="nil"/>
              <w:left w:val="nil"/>
              <w:bottom w:val="single" w:sz="4" w:space="0" w:color="auto"/>
              <w:right w:val="single" w:sz="4" w:space="0" w:color="auto"/>
            </w:tcBorders>
            <w:shd w:val="clear" w:color="auto" w:fill="auto"/>
            <w:noWrap/>
            <w:vAlign w:val="center"/>
            <w:hideMark/>
          </w:tcPr>
          <w:p w14:paraId="41A2B65E" w14:textId="55AECF94" w:rsidR="00462DD4" w:rsidRPr="00795F17" w:rsidRDefault="00462DD4" w:rsidP="0065243A">
            <w:pPr>
              <w:pStyle w:val="Teksttabelisrodek"/>
            </w:pPr>
            <w:r w:rsidRPr="00795F17">
              <w:t>19</w:t>
            </w:r>
            <w:r w:rsidR="00B63918" w:rsidRPr="00795F17">
              <w:t> </w:t>
            </w:r>
            <w:r w:rsidRPr="00795F17">
              <w:t>853,46</w:t>
            </w:r>
          </w:p>
        </w:tc>
        <w:tc>
          <w:tcPr>
            <w:tcW w:w="1418" w:type="dxa"/>
            <w:tcBorders>
              <w:top w:val="nil"/>
              <w:left w:val="nil"/>
              <w:bottom w:val="single" w:sz="4" w:space="0" w:color="auto"/>
              <w:right w:val="single" w:sz="4" w:space="0" w:color="auto"/>
            </w:tcBorders>
            <w:shd w:val="clear" w:color="auto" w:fill="auto"/>
            <w:noWrap/>
            <w:vAlign w:val="center"/>
            <w:hideMark/>
          </w:tcPr>
          <w:p w14:paraId="1A3B0FDD" w14:textId="2E5E5186" w:rsidR="00462DD4" w:rsidRPr="00795F17" w:rsidRDefault="00462DD4" w:rsidP="0065243A">
            <w:pPr>
              <w:pStyle w:val="Teksttabelisrodek"/>
            </w:pPr>
            <w:r w:rsidRPr="00795F17">
              <w:t>16,87</w:t>
            </w:r>
          </w:p>
        </w:tc>
      </w:tr>
    </w:tbl>
    <w:p w14:paraId="568FA69C" w14:textId="77777777" w:rsidR="00E11336" w:rsidRPr="00795F17" w:rsidRDefault="00E11336" w:rsidP="00E11336">
      <w:pPr>
        <w:pStyle w:val="rdo"/>
        <w:rPr>
          <w:color w:val="000099"/>
          <w:sz w:val="20"/>
          <w:szCs w:val="20"/>
        </w:rPr>
      </w:pPr>
      <w:bookmarkStart w:id="250" w:name="_Toc66341883"/>
      <w:r w:rsidRPr="00795F17">
        <w:t>Źródło: opracowanie własne</w:t>
      </w:r>
    </w:p>
    <w:p w14:paraId="323CFE9D" w14:textId="5AE3C7E9" w:rsidR="00462DD4" w:rsidRPr="00795F17" w:rsidRDefault="00462DD4" w:rsidP="004D7705">
      <w:pPr>
        <w:pStyle w:val="Tabela"/>
      </w:pPr>
      <w:bookmarkStart w:id="251" w:name="_Toc105512794"/>
      <w:r w:rsidRPr="00795F17">
        <w:t xml:space="preserve">Tabela </w:t>
      </w:r>
      <w:fldSimple w:instr=" STYLEREF 1 \s ">
        <w:r w:rsidR="001F774D">
          <w:rPr>
            <w:noProof/>
          </w:rPr>
          <w:t>5</w:t>
        </w:r>
      </w:fldSimple>
      <w:r w:rsidR="00BB3B21" w:rsidRPr="00795F17">
        <w:noBreakHyphen/>
      </w:r>
      <w:fldSimple w:instr=" SEQ Tabela \* ARABIC \s 1 ">
        <w:r w:rsidR="001F774D">
          <w:rPr>
            <w:noProof/>
          </w:rPr>
          <w:t>30</w:t>
        </w:r>
      </w:fldSimple>
      <w:r w:rsidR="00BA11D4">
        <w:rPr>
          <w:noProof/>
        </w:rPr>
        <w:t>.</w:t>
      </w:r>
      <w:r w:rsidRPr="00795F17">
        <w:tab/>
        <w:t xml:space="preserve">Wyniki testu C.4 </w:t>
      </w:r>
      <w:r w:rsidR="00182A26" w:rsidRPr="00795F17">
        <w:t>-</w:t>
      </w:r>
      <w:r w:rsidRPr="00795F17">
        <w:t xml:space="preserve"> Ochrona stanu wód powierzchniowych</w:t>
      </w:r>
      <w:bookmarkEnd w:id="250"/>
      <w:bookmarkEnd w:id="251"/>
    </w:p>
    <w:tbl>
      <w:tblPr>
        <w:tblW w:w="8932" w:type="dxa"/>
        <w:tblInd w:w="55" w:type="dxa"/>
        <w:tblLayout w:type="fixed"/>
        <w:tblCellMar>
          <w:left w:w="70" w:type="dxa"/>
          <w:right w:w="70" w:type="dxa"/>
        </w:tblCellMar>
        <w:tblLook w:val="04A0" w:firstRow="1" w:lastRow="0" w:firstColumn="1" w:lastColumn="0" w:noHBand="0" w:noVBand="1"/>
      </w:tblPr>
      <w:tblGrid>
        <w:gridCol w:w="944"/>
        <w:gridCol w:w="1250"/>
        <w:gridCol w:w="1148"/>
        <w:gridCol w:w="1904"/>
        <w:gridCol w:w="921"/>
        <w:gridCol w:w="1347"/>
        <w:gridCol w:w="1418"/>
      </w:tblGrid>
      <w:tr w:rsidR="00462DD4" w:rsidRPr="00795F17" w14:paraId="14BB0100" w14:textId="77777777" w:rsidTr="006C120E">
        <w:trPr>
          <w:trHeight w:val="454"/>
        </w:trPr>
        <w:tc>
          <w:tcPr>
            <w:tcW w:w="944" w:type="dxa"/>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69008D79" w14:textId="3E8EC22B" w:rsidR="00462DD4" w:rsidRPr="00795F17" w:rsidRDefault="00FB15D5" w:rsidP="0044393D">
            <w:pPr>
              <w:pStyle w:val="Teksttabelinaglowek"/>
            </w:pPr>
            <w:r w:rsidRPr="00795F17">
              <w:t>Obszar</w:t>
            </w:r>
            <w:r w:rsidR="00462DD4" w:rsidRPr="00795F17">
              <w:t xml:space="preserve"> dorzecza</w:t>
            </w:r>
          </w:p>
        </w:tc>
        <w:tc>
          <w:tcPr>
            <w:tcW w:w="1250" w:type="dxa"/>
            <w:tcBorders>
              <w:top w:val="single" w:sz="4" w:space="0" w:color="auto"/>
              <w:left w:val="nil"/>
              <w:bottom w:val="nil"/>
              <w:right w:val="single" w:sz="4" w:space="0" w:color="auto"/>
            </w:tcBorders>
            <w:shd w:val="clear" w:color="auto" w:fill="BFBFBF" w:themeFill="background1" w:themeFillShade="BF"/>
            <w:vAlign w:val="center"/>
            <w:hideMark/>
          </w:tcPr>
          <w:p w14:paraId="55403CE3" w14:textId="7F166AD3" w:rsidR="00462DD4" w:rsidRPr="00795F17" w:rsidRDefault="00A42C28" w:rsidP="0044393D">
            <w:pPr>
              <w:pStyle w:val="Teksttabelinaglowek"/>
            </w:pPr>
            <w:r w:rsidRPr="00795F17">
              <w:t xml:space="preserve">Powierzchnia </w:t>
            </w:r>
            <w:r w:rsidR="00DF005E">
              <w:t>JCWP</w:t>
            </w:r>
            <w:r w:rsidRPr="00795F17">
              <w:t xml:space="preserve">d na obszarze dorzecza </w:t>
            </w:r>
            <w:r w:rsidR="001C75D3" w:rsidRPr="00795F17">
              <w:t>(km</w:t>
            </w:r>
            <w:r w:rsidR="001C75D3" w:rsidRPr="00795F17">
              <w:rPr>
                <w:vertAlign w:val="superscript"/>
              </w:rPr>
              <w:t>2</w:t>
            </w:r>
            <w:r w:rsidR="001C75D3" w:rsidRPr="00795F17">
              <w:t>)</w:t>
            </w:r>
          </w:p>
        </w:tc>
        <w:tc>
          <w:tcPr>
            <w:tcW w:w="1148" w:type="dxa"/>
            <w:tcBorders>
              <w:top w:val="single" w:sz="4" w:space="0" w:color="auto"/>
              <w:left w:val="nil"/>
              <w:bottom w:val="nil"/>
              <w:right w:val="single" w:sz="4" w:space="0" w:color="auto"/>
            </w:tcBorders>
            <w:shd w:val="clear" w:color="auto" w:fill="BFBFBF" w:themeFill="background1" w:themeFillShade="BF"/>
            <w:vAlign w:val="center"/>
            <w:hideMark/>
          </w:tcPr>
          <w:p w14:paraId="1C6CB9D1" w14:textId="76E24FA0" w:rsidR="00462DD4" w:rsidRPr="00795F17" w:rsidRDefault="00C12087" w:rsidP="0044393D">
            <w:pPr>
              <w:pStyle w:val="Teksttabelinaglowek"/>
            </w:pPr>
            <w:r w:rsidRPr="00795F17">
              <w:t>Wyniki testu C.4</w:t>
            </w:r>
          </w:p>
        </w:tc>
        <w:tc>
          <w:tcPr>
            <w:tcW w:w="1904" w:type="dxa"/>
            <w:tcBorders>
              <w:top w:val="single" w:sz="4" w:space="0" w:color="auto"/>
              <w:left w:val="nil"/>
              <w:bottom w:val="nil"/>
              <w:right w:val="single" w:sz="4" w:space="0" w:color="auto"/>
            </w:tcBorders>
            <w:shd w:val="clear" w:color="auto" w:fill="BFBFBF" w:themeFill="background1" w:themeFillShade="BF"/>
            <w:vAlign w:val="center"/>
            <w:hideMark/>
          </w:tcPr>
          <w:p w14:paraId="1221493E" w14:textId="04172139" w:rsidR="00462DD4" w:rsidRPr="00795F17" w:rsidRDefault="00462DD4" w:rsidP="0044393D">
            <w:pPr>
              <w:pStyle w:val="Teksttabelinaglowek"/>
            </w:pPr>
            <w:r w:rsidRPr="00795F17">
              <w:t xml:space="preserve">Numery </w:t>
            </w:r>
            <w:r w:rsidR="00DF005E">
              <w:t>JCWP</w:t>
            </w:r>
            <w:r w:rsidRPr="00795F17">
              <w:t>d</w:t>
            </w:r>
          </w:p>
        </w:tc>
        <w:tc>
          <w:tcPr>
            <w:tcW w:w="921" w:type="dxa"/>
            <w:tcBorders>
              <w:top w:val="single" w:sz="4" w:space="0" w:color="auto"/>
              <w:left w:val="nil"/>
              <w:bottom w:val="nil"/>
              <w:right w:val="single" w:sz="4" w:space="0" w:color="auto"/>
            </w:tcBorders>
            <w:shd w:val="clear" w:color="auto" w:fill="BFBFBF" w:themeFill="background1" w:themeFillShade="BF"/>
            <w:vAlign w:val="center"/>
            <w:hideMark/>
          </w:tcPr>
          <w:p w14:paraId="2203797C" w14:textId="7EF3095C" w:rsidR="00462DD4" w:rsidRPr="00795F17" w:rsidRDefault="00462DD4" w:rsidP="0044393D">
            <w:pPr>
              <w:pStyle w:val="Teksttabelinaglowek"/>
            </w:pPr>
            <w:r w:rsidRPr="00795F17">
              <w:t xml:space="preserve">Liczba </w:t>
            </w:r>
            <w:r w:rsidR="00DF005E">
              <w:t>JCWP</w:t>
            </w:r>
            <w:r w:rsidRPr="00795F17">
              <w:t>d</w:t>
            </w:r>
          </w:p>
        </w:tc>
        <w:tc>
          <w:tcPr>
            <w:tcW w:w="1347" w:type="dxa"/>
            <w:tcBorders>
              <w:top w:val="single" w:sz="4" w:space="0" w:color="auto"/>
              <w:left w:val="nil"/>
              <w:bottom w:val="nil"/>
              <w:right w:val="single" w:sz="4" w:space="0" w:color="auto"/>
            </w:tcBorders>
            <w:shd w:val="clear" w:color="auto" w:fill="BFBFBF" w:themeFill="background1" w:themeFillShade="BF"/>
            <w:vAlign w:val="center"/>
            <w:hideMark/>
          </w:tcPr>
          <w:p w14:paraId="7A585918" w14:textId="3CCE5D16" w:rsidR="00462DD4" w:rsidRPr="00795F17" w:rsidRDefault="00462DD4" w:rsidP="0044393D">
            <w:pPr>
              <w:pStyle w:val="Teksttabelinaglowek"/>
            </w:pPr>
            <w:r w:rsidRPr="00795F17">
              <w:t xml:space="preserve">Powierzchnia </w:t>
            </w:r>
            <w:r w:rsidR="00DF005E">
              <w:t>JCWP</w:t>
            </w:r>
            <w:r w:rsidRPr="00795F17">
              <w:t>d</w:t>
            </w:r>
            <w:r w:rsidR="00D146C3" w:rsidRPr="00795F17">
              <w:t xml:space="preserve"> </w:t>
            </w:r>
            <w:r w:rsidRPr="00795F17">
              <w:br/>
            </w:r>
            <w:r w:rsidR="00CC4FEC" w:rsidRPr="00795F17">
              <w:t>(km</w:t>
            </w:r>
            <w:r w:rsidR="00CC4FEC" w:rsidRPr="00795F17">
              <w:rPr>
                <w:vertAlign w:val="superscript"/>
              </w:rPr>
              <w:t>2</w:t>
            </w:r>
            <w:r w:rsidR="00CC4FEC" w:rsidRPr="00795F17">
              <w:t>)</w:t>
            </w:r>
          </w:p>
        </w:tc>
        <w:tc>
          <w:tcPr>
            <w:tcW w:w="1418" w:type="dxa"/>
            <w:tcBorders>
              <w:top w:val="single" w:sz="4" w:space="0" w:color="auto"/>
              <w:left w:val="nil"/>
              <w:bottom w:val="nil"/>
              <w:right w:val="single" w:sz="4" w:space="0" w:color="auto"/>
            </w:tcBorders>
            <w:shd w:val="clear" w:color="auto" w:fill="BFBFBF" w:themeFill="background1" w:themeFillShade="BF"/>
            <w:vAlign w:val="center"/>
            <w:hideMark/>
          </w:tcPr>
          <w:p w14:paraId="2A5EDFC3" w14:textId="4F3B69F1" w:rsidR="00462DD4" w:rsidRPr="00795F17" w:rsidRDefault="00A42C28" w:rsidP="0044393D">
            <w:pPr>
              <w:pStyle w:val="Teksttabelinaglowek"/>
            </w:pPr>
            <w:r w:rsidRPr="00795F17">
              <w:t>Udział w</w:t>
            </w:r>
            <w:r w:rsidR="002322DD">
              <w:t> </w:t>
            </w:r>
            <w:r w:rsidRPr="00795F17">
              <w:t xml:space="preserve">powierzchni </w:t>
            </w:r>
            <w:r w:rsidR="00DF005E">
              <w:t>JCWP</w:t>
            </w:r>
            <w:r w:rsidRPr="00795F17">
              <w:t>d na obszarze dorzecza (%)</w:t>
            </w:r>
          </w:p>
        </w:tc>
      </w:tr>
      <w:tr w:rsidR="00462DD4" w:rsidRPr="00795F17" w14:paraId="295476A8" w14:textId="77777777" w:rsidTr="002322DD">
        <w:trPr>
          <w:trHeight w:val="454"/>
        </w:trPr>
        <w:tc>
          <w:tcPr>
            <w:tcW w:w="9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222993" w14:textId="77777777" w:rsidR="00462DD4" w:rsidRPr="00795F17" w:rsidRDefault="00462DD4" w:rsidP="0065243A">
            <w:pPr>
              <w:pStyle w:val="Teksttabelisrodek"/>
            </w:pPr>
            <w:r w:rsidRPr="00795F17">
              <w:t>Odra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A1DEAA" w14:textId="4FE8F9BF" w:rsidR="00462DD4" w:rsidRPr="00795F17" w:rsidRDefault="00462DD4" w:rsidP="0065243A">
            <w:pPr>
              <w:pStyle w:val="Teksttabelisrodek"/>
            </w:pPr>
            <w:r w:rsidRPr="00795F17">
              <w:t>117</w:t>
            </w:r>
            <w:r w:rsidR="00076BC9" w:rsidRPr="00795F17">
              <w:t> </w:t>
            </w:r>
            <w:r w:rsidRPr="00795F17">
              <w:t>652,17</w:t>
            </w:r>
          </w:p>
        </w:tc>
        <w:tc>
          <w:tcPr>
            <w:tcW w:w="1148" w:type="dxa"/>
            <w:tcBorders>
              <w:top w:val="single" w:sz="4" w:space="0" w:color="auto"/>
              <w:left w:val="nil"/>
              <w:bottom w:val="single" w:sz="4" w:space="0" w:color="auto"/>
              <w:right w:val="single" w:sz="4" w:space="0" w:color="auto"/>
            </w:tcBorders>
            <w:shd w:val="clear" w:color="000000" w:fill="92D050"/>
            <w:vAlign w:val="center"/>
            <w:hideMark/>
          </w:tcPr>
          <w:p w14:paraId="5EE82009" w14:textId="77777777" w:rsidR="00462DD4" w:rsidRPr="00795F17" w:rsidRDefault="00462DD4" w:rsidP="0065243A">
            <w:pPr>
              <w:pStyle w:val="Teksttabelisrodek"/>
            </w:pPr>
            <w:r w:rsidRPr="00795F17">
              <w:t>stan dobry</w:t>
            </w:r>
          </w:p>
        </w:tc>
        <w:tc>
          <w:tcPr>
            <w:tcW w:w="1904" w:type="dxa"/>
            <w:tcBorders>
              <w:top w:val="single" w:sz="4" w:space="0" w:color="auto"/>
              <w:left w:val="nil"/>
              <w:bottom w:val="single" w:sz="4" w:space="0" w:color="auto"/>
              <w:right w:val="single" w:sz="4" w:space="0" w:color="auto"/>
            </w:tcBorders>
            <w:shd w:val="clear" w:color="auto" w:fill="auto"/>
            <w:vAlign w:val="center"/>
            <w:hideMark/>
          </w:tcPr>
          <w:p w14:paraId="0A21D1EA" w14:textId="77777777" w:rsidR="00462DD4" w:rsidRPr="00795F17" w:rsidRDefault="00462DD4" w:rsidP="0065243A">
            <w:pPr>
              <w:pStyle w:val="Teksttabelisrodek"/>
            </w:pPr>
            <w:r w:rsidRPr="00795F17">
              <w:t>1, 2, 3, 4, 5, 6, 7, 8, 9, 10, 23, 24, 25, 26, 33, 34, 35, 40, 41, 42, 43, 58, 59, 60, 61, 62, 68, 69, 70, 71, 72, 76, 77, 78, 79, 80, 81, 82, 83, 92, 93, 94, 95, 96, 97, 98, 99, 105, 107, 108, 109, 110, 124, 125, 126, 127, 128, 129, 139, 140, 141, 142, 143, 144, 155, 170</w:t>
            </w:r>
          </w:p>
        </w:tc>
        <w:tc>
          <w:tcPr>
            <w:tcW w:w="921" w:type="dxa"/>
            <w:tcBorders>
              <w:top w:val="single" w:sz="4" w:space="0" w:color="auto"/>
              <w:left w:val="nil"/>
              <w:bottom w:val="single" w:sz="4" w:space="0" w:color="auto"/>
              <w:right w:val="single" w:sz="4" w:space="0" w:color="auto"/>
            </w:tcBorders>
            <w:shd w:val="clear" w:color="auto" w:fill="auto"/>
            <w:vAlign w:val="center"/>
            <w:hideMark/>
          </w:tcPr>
          <w:p w14:paraId="4E7EACEA" w14:textId="77777777" w:rsidR="00462DD4" w:rsidRPr="00795F17" w:rsidRDefault="00462DD4" w:rsidP="0065243A">
            <w:pPr>
              <w:pStyle w:val="Teksttabelisrodek"/>
            </w:pPr>
            <w:r w:rsidRPr="00795F17">
              <w:t>66</w:t>
            </w:r>
          </w:p>
        </w:tc>
        <w:tc>
          <w:tcPr>
            <w:tcW w:w="1347" w:type="dxa"/>
            <w:tcBorders>
              <w:top w:val="single" w:sz="4" w:space="0" w:color="auto"/>
              <w:left w:val="nil"/>
              <w:bottom w:val="single" w:sz="4" w:space="0" w:color="auto"/>
              <w:right w:val="single" w:sz="4" w:space="0" w:color="auto"/>
            </w:tcBorders>
            <w:shd w:val="clear" w:color="auto" w:fill="auto"/>
            <w:vAlign w:val="center"/>
            <w:hideMark/>
          </w:tcPr>
          <w:p w14:paraId="6CBC5B9B" w14:textId="3B06D442" w:rsidR="00462DD4" w:rsidRPr="00795F17" w:rsidRDefault="00462DD4" w:rsidP="0065243A">
            <w:pPr>
              <w:pStyle w:val="Teksttabelisrodek"/>
            </w:pPr>
            <w:r w:rsidRPr="00795F17">
              <w:t>117</w:t>
            </w:r>
            <w:r w:rsidR="00B63918" w:rsidRPr="00795F17">
              <w:t> </w:t>
            </w:r>
            <w:r w:rsidRPr="00795F17">
              <w:t>652,17</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11337E8" w14:textId="27EA1A07" w:rsidR="00462DD4" w:rsidRPr="00795F17" w:rsidRDefault="00462DD4" w:rsidP="0065243A">
            <w:pPr>
              <w:pStyle w:val="Teksttabelisrodek"/>
            </w:pPr>
            <w:r w:rsidRPr="00795F17">
              <w:t>100</w:t>
            </w:r>
          </w:p>
        </w:tc>
      </w:tr>
      <w:tr w:rsidR="00E72586" w:rsidRPr="00795F17" w14:paraId="06979E20" w14:textId="77777777" w:rsidTr="002322DD">
        <w:trPr>
          <w:trHeight w:val="454"/>
        </w:trPr>
        <w:tc>
          <w:tcPr>
            <w:tcW w:w="944" w:type="dxa"/>
            <w:vMerge/>
            <w:tcBorders>
              <w:top w:val="single" w:sz="4" w:space="0" w:color="auto"/>
              <w:left w:val="single" w:sz="4" w:space="0" w:color="auto"/>
              <w:bottom w:val="single" w:sz="4" w:space="0" w:color="auto"/>
              <w:right w:val="single" w:sz="4" w:space="0" w:color="auto"/>
            </w:tcBorders>
            <w:vAlign w:val="center"/>
            <w:hideMark/>
          </w:tcPr>
          <w:p w14:paraId="2858C76D" w14:textId="77777777" w:rsidR="00462DD4" w:rsidRPr="00795F17" w:rsidRDefault="00462DD4" w:rsidP="0065243A">
            <w:pPr>
              <w:pStyle w:val="Teksttabelisrodek"/>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70E76382" w14:textId="77777777" w:rsidR="00462DD4" w:rsidRPr="00795F17" w:rsidRDefault="00462DD4" w:rsidP="0065243A">
            <w:pPr>
              <w:pStyle w:val="Teksttabelisrodek"/>
            </w:pPr>
          </w:p>
        </w:tc>
        <w:tc>
          <w:tcPr>
            <w:tcW w:w="1148" w:type="dxa"/>
            <w:tcBorders>
              <w:top w:val="nil"/>
              <w:left w:val="nil"/>
              <w:bottom w:val="single" w:sz="4" w:space="0" w:color="auto"/>
              <w:right w:val="single" w:sz="4" w:space="0" w:color="auto"/>
            </w:tcBorders>
            <w:shd w:val="clear" w:color="auto" w:fill="auto"/>
            <w:noWrap/>
            <w:vAlign w:val="center"/>
            <w:hideMark/>
          </w:tcPr>
          <w:p w14:paraId="77E153EE" w14:textId="77777777" w:rsidR="00462DD4" w:rsidRPr="00795F17" w:rsidRDefault="00462DD4" w:rsidP="0065243A">
            <w:pPr>
              <w:pStyle w:val="Teksttabelisrodek"/>
            </w:pPr>
            <w:r w:rsidRPr="00795F17">
              <w:t>brak danych</w:t>
            </w:r>
          </w:p>
        </w:tc>
        <w:tc>
          <w:tcPr>
            <w:tcW w:w="1904" w:type="dxa"/>
            <w:tcBorders>
              <w:top w:val="nil"/>
              <w:left w:val="nil"/>
              <w:bottom w:val="single" w:sz="4" w:space="0" w:color="auto"/>
              <w:right w:val="single" w:sz="4" w:space="0" w:color="auto"/>
            </w:tcBorders>
            <w:shd w:val="clear" w:color="auto" w:fill="auto"/>
            <w:vAlign w:val="center"/>
            <w:hideMark/>
          </w:tcPr>
          <w:p w14:paraId="1A5DCC45" w14:textId="5AF554A2" w:rsidR="00462DD4" w:rsidRPr="00795F17" w:rsidRDefault="00462DD4" w:rsidP="0065243A">
            <w:pPr>
              <w:pStyle w:val="Teksttabelisrodek"/>
            </w:pPr>
            <w:r w:rsidRPr="00795F17">
              <w:t> </w:t>
            </w:r>
            <w:r w:rsidR="00B63918" w:rsidRPr="00795F17">
              <w:t>-</w:t>
            </w:r>
          </w:p>
        </w:tc>
        <w:tc>
          <w:tcPr>
            <w:tcW w:w="921" w:type="dxa"/>
            <w:tcBorders>
              <w:top w:val="nil"/>
              <w:left w:val="nil"/>
              <w:bottom w:val="single" w:sz="4" w:space="0" w:color="auto"/>
              <w:right w:val="single" w:sz="4" w:space="0" w:color="auto"/>
            </w:tcBorders>
            <w:shd w:val="clear" w:color="auto" w:fill="auto"/>
            <w:vAlign w:val="center"/>
            <w:hideMark/>
          </w:tcPr>
          <w:p w14:paraId="1B7241D2" w14:textId="10BCBFBE" w:rsidR="00462DD4" w:rsidRPr="00795F17" w:rsidRDefault="00B63918" w:rsidP="0065243A">
            <w:pPr>
              <w:pStyle w:val="Teksttabelisrodek"/>
            </w:pPr>
            <w:r w:rsidRPr="00795F17">
              <w:t>-</w:t>
            </w:r>
            <w:r w:rsidR="00462DD4" w:rsidRPr="00795F17">
              <w:t> </w:t>
            </w:r>
          </w:p>
        </w:tc>
        <w:tc>
          <w:tcPr>
            <w:tcW w:w="1347" w:type="dxa"/>
            <w:tcBorders>
              <w:top w:val="nil"/>
              <w:left w:val="nil"/>
              <w:bottom w:val="single" w:sz="4" w:space="0" w:color="auto"/>
              <w:right w:val="single" w:sz="4" w:space="0" w:color="auto"/>
            </w:tcBorders>
            <w:shd w:val="clear" w:color="auto" w:fill="auto"/>
            <w:vAlign w:val="center"/>
            <w:hideMark/>
          </w:tcPr>
          <w:p w14:paraId="0953C519" w14:textId="34149D49" w:rsidR="00462DD4" w:rsidRPr="00795F17" w:rsidRDefault="00B63918" w:rsidP="0065243A">
            <w:pPr>
              <w:pStyle w:val="Teksttabelisrodek"/>
            </w:pPr>
            <w:r w:rsidRPr="00795F17">
              <w:t>-</w:t>
            </w:r>
            <w:r w:rsidR="00462DD4" w:rsidRPr="00795F17">
              <w:t> </w:t>
            </w:r>
          </w:p>
        </w:tc>
        <w:tc>
          <w:tcPr>
            <w:tcW w:w="1418" w:type="dxa"/>
            <w:tcBorders>
              <w:top w:val="nil"/>
              <w:left w:val="nil"/>
              <w:bottom w:val="single" w:sz="4" w:space="0" w:color="auto"/>
              <w:right w:val="single" w:sz="4" w:space="0" w:color="auto"/>
            </w:tcBorders>
            <w:shd w:val="clear" w:color="auto" w:fill="auto"/>
            <w:vAlign w:val="center"/>
            <w:hideMark/>
          </w:tcPr>
          <w:p w14:paraId="6DBCFF36" w14:textId="15E2DB61" w:rsidR="00462DD4" w:rsidRPr="00795F17" w:rsidRDefault="00B63918" w:rsidP="0065243A">
            <w:pPr>
              <w:pStyle w:val="Teksttabelisrodek"/>
            </w:pPr>
            <w:r w:rsidRPr="00795F17">
              <w:t>-</w:t>
            </w:r>
            <w:r w:rsidR="00462DD4" w:rsidRPr="00795F17">
              <w:t> </w:t>
            </w:r>
          </w:p>
        </w:tc>
      </w:tr>
    </w:tbl>
    <w:p w14:paraId="5FF78CB5" w14:textId="77777777" w:rsidR="00E11336" w:rsidRPr="00795F17" w:rsidRDefault="00E11336" w:rsidP="00E11336">
      <w:pPr>
        <w:pStyle w:val="rdo"/>
        <w:rPr>
          <w:color w:val="000099"/>
          <w:sz w:val="20"/>
          <w:szCs w:val="20"/>
        </w:rPr>
      </w:pPr>
      <w:bookmarkStart w:id="252" w:name="_Toc66341884"/>
      <w:r w:rsidRPr="00795F17">
        <w:t>Źródło: opracowanie własne</w:t>
      </w:r>
    </w:p>
    <w:p w14:paraId="0199ED7F" w14:textId="6F792583" w:rsidR="00462DD4" w:rsidRPr="00795F17" w:rsidRDefault="00462DD4" w:rsidP="004D7705">
      <w:pPr>
        <w:pStyle w:val="Tabela"/>
      </w:pPr>
      <w:bookmarkStart w:id="253" w:name="_Toc105512795"/>
      <w:r w:rsidRPr="00795F17">
        <w:t xml:space="preserve">Tabela </w:t>
      </w:r>
      <w:fldSimple w:instr=" STYLEREF 1 \s ">
        <w:r w:rsidR="001F774D">
          <w:rPr>
            <w:noProof/>
          </w:rPr>
          <w:t>5</w:t>
        </w:r>
      </w:fldSimple>
      <w:r w:rsidR="00BB3B21" w:rsidRPr="00795F17">
        <w:noBreakHyphen/>
      </w:r>
      <w:fldSimple w:instr=" SEQ Tabela \* ARABIC \s 1 ">
        <w:r w:rsidR="001F774D">
          <w:rPr>
            <w:noProof/>
          </w:rPr>
          <w:t>31</w:t>
        </w:r>
      </w:fldSimple>
      <w:r w:rsidR="00BA11D4">
        <w:rPr>
          <w:noProof/>
        </w:rPr>
        <w:t>.</w:t>
      </w:r>
      <w:r w:rsidRPr="00795F17">
        <w:tab/>
        <w:t xml:space="preserve">Wyniki testu C.5 </w:t>
      </w:r>
      <w:r w:rsidR="00182A26" w:rsidRPr="00795F17">
        <w:t>-</w:t>
      </w:r>
      <w:r w:rsidRPr="00795F17">
        <w:t xml:space="preserve"> Ochrona wód przeznaczonych do spożycia przez ludzi</w:t>
      </w:r>
      <w:bookmarkEnd w:id="252"/>
      <w:bookmarkEnd w:id="253"/>
    </w:p>
    <w:tbl>
      <w:tblPr>
        <w:tblW w:w="8820" w:type="dxa"/>
        <w:tblInd w:w="55" w:type="dxa"/>
        <w:tblLayout w:type="fixed"/>
        <w:tblCellMar>
          <w:left w:w="70" w:type="dxa"/>
          <w:right w:w="70" w:type="dxa"/>
        </w:tblCellMar>
        <w:tblLook w:val="04A0" w:firstRow="1" w:lastRow="0" w:firstColumn="1" w:lastColumn="0" w:noHBand="0" w:noVBand="1"/>
      </w:tblPr>
      <w:tblGrid>
        <w:gridCol w:w="942"/>
        <w:gridCol w:w="1250"/>
        <w:gridCol w:w="1150"/>
        <w:gridCol w:w="1843"/>
        <w:gridCol w:w="924"/>
        <w:gridCol w:w="1293"/>
        <w:gridCol w:w="1418"/>
      </w:tblGrid>
      <w:tr w:rsidR="00A553F4" w:rsidRPr="00795F17" w14:paraId="23D105AA" w14:textId="77777777" w:rsidTr="002322DD">
        <w:trPr>
          <w:cantSplit/>
          <w:trHeight w:val="397"/>
          <w:tblHeader/>
        </w:trPr>
        <w:tc>
          <w:tcPr>
            <w:tcW w:w="942" w:type="dxa"/>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0938D9A3" w14:textId="208F3262" w:rsidR="00462DD4" w:rsidRPr="00795F17" w:rsidRDefault="00FB15D5" w:rsidP="0065243A">
            <w:pPr>
              <w:pStyle w:val="Teksttabelinaglowek"/>
              <w:keepNext/>
            </w:pPr>
            <w:r w:rsidRPr="00795F17">
              <w:t>Obszar</w:t>
            </w:r>
            <w:r w:rsidR="00462DD4" w:rsidRPr="00795F17">
              <w:t xml:space="preserve"> dorzecza</w:t>
            </w:r>
          </w:p>
        </w:tc>
        <w:tc>
          <w:tcPr>
            <w:tcW w:w="1250" w:type="dxa"/>
            <w:tcBorders>
              <w:top w:val="single" w:sz="4" w:space="0" w:color="auto"/>
              <w:left w:val="nil"/>
              <w:bottom w:val="nil"/>
              <w:right w:val="single" w:sz="4" w:space="0" w:color="auto"/>
            </w:tcBorders>
            <w:shd w:val="clear" w:color="auto" w:fill="BFBFBF" w:themeFill="background1" w:themeFillShade="BF"/>
            <w:vAlign w:val="center"/>
            <w:hideMark/>
          </w:tcPr>
          <w:p w14:paraId="6501F40B" w14:textId="29BCD9DF" w:rsidR="00462DD4" w:rsidRPr="00795F17" w:rsidRDefault="00A42C28" w:rsidP="0065243A">
            <w:pPr>
              <w:pStyle w:val="Teksttabelinaglowek"/>
              <w:keepNext/>
            </w:pPr>
            <w:r w:rsidRPr="00795F17">
              <w:t xml:space="preserve">Powierzchnia </w:t>
            </w:r>
            <w:r w:rsidR="00DF005E">
              <w:t>JCWP</w:t>
            </w:r>
            <w:r w:rsidRPr="00795F17">
              <w:t xml:space="preserve">d na obszarze dorzecza </w:t>
            </w:r>
            <w:r w:rsidR="001C75D3" w:rsidRPr="00795F17">
              <w:t>(km</w:t>
            </w:r>
            <w:r w:rsidR="001C75D3" w:rsidRPr="00795F17">
              <w:rPr>
                <w:vertAlign w:val="superscript"/>
              </w:rPr>
              <w:t>2</w:t>
            </w:r>
            <w:r w:rsidR="001C75D3" w:rsidRPr="00795F17">
              <w:t>)</w:t>
            </w:r>
          </w:p>
        </w:tc>
        <w:tc>
          <w:tcPr>
            <w:tcW w:w="1150" w:type="dxa"/>
            <w:tcBorders>
              <w:top w:val="single" w:sz="4" w:space="0" w:color="auto"/>
              <w:left w:val="nil"/>
              <w:bottom w:val="nil"/>
              <w:right w:val="single" w:sz="4" w:space="0" w:color="auto"/>
            </w:tcBorders>
            <w:shd w:val="clear" w:color="auto" w:fill="BFBFBF" w:themeFill="background1" w:themeFillShade="BF"/>
            <w:vAlign w:val="center"/>
            <w:hideMark/>
          </w:tcPr>
          <w:p w14:paraId="16FC2752" w14:textId="08D75D53" w:rsidR="00462DD4" w:rsidRPr="00795F17" w:rsidRDefault="00C12087" w:rsidP="0065243A">
            <w:pPr>
              <w:pStyle w:val="Teksttabelinaglowek"/>
              <w:keepNext/>
            </w:pPr>
            <w:r w:rsidRPr="00795F17">
              <w:t>Wyniki testu C.5</w:t>
            </w:r>
          </w:p>
        </w:tc>
        <w:tc>
          <w:tcPr>
            <w:tcW w:w="1843" w:type="dxa"/>
            <w:tcBorders>
              <w:top w:val="single" w:sz="4" w:space="0" w:color="auto"/>
              <w:left w:val="nil"/>
              <w:bottom w:val="nil"/>
              <w:right w:val="single" w:sz="4" w:space="0" w:color="auto"/>
            </w:tcBorders>
            <w:shd w:val="clear" w:color="auto" w:fill="BFBFBF" w:themeFill="background1" w:themeFillShade="BF"/>
            <w:vAlign w:val="center"/>
            <w:hideMark/>
          </w:tcPr>
          <w:p w14:paraId="627D445C" w14:textId="70E039C1" w:rsidR="00462DD4" w:rsidRPr="00795F17" w:rsidRDefault="00462DD4" w:rsidP="0065243A">
            <w:pPr>
              <w:pStyle w:val="Teksttabelinaglowek"/>
              <w:keepNext/>
            </w:pPr>
            <w:r w:rsidRPr="00795F17">
              <w:t xml:space="preserve">Numery </w:t>
            </w:r>
            <w:r w:rsidR="00DF005E">
              <w:t>JCWP</w:t>
            </w:r>
            <w:r w:rsidRPr="00795F17">
              <w:t>d</w:t>
            </w:r>
          </w:p>
        </w:tc>
        <w:tc>
          <w:tcPr>
            <w:tcW w:w="924" w:type="dxa"/>
            <w:tcBorders>
              <w:top w:val="single" w:sz="4" w:space="0" w:color="auto"/>
              <w:left w:val="nil"/>
              <w:bottom w:val="nil"/>
              <w:right w:val="single" w:sz="4" w:space="0" w:color="auto"/>
            </w:tcBorders>
            <w:shd w:val="clear" w:color="auto" w:fill="BFBFBF" w:themeFill="background1" w:themeFillShade="BF"/>
            <w:vAlign w:val="center"/>
            <w:hideMark/>
          </w:tcPr>
          <w:p w14:paraId="7AB479E0" w14:textId="60D9F07D" w:rsidR="00462DD4" w:rsidRPr="00795F17" w:rsidRDefault="00462DD4" w:rsidP="0065243A">
            <w:pPr>
              <w:pStyle w:val="Teksttabelinaglowek"/>
              <w:keepNext/>
            </w:pPr>
            <w:r w:rsidRPr="00795F17">
              <w:t xml:space="preserve">Liczba </w:t>
            </w:r>
            <w:r w:rsidR="00DF005E">
              <w:t>JCWP</w:t>
            </w:r>
            <w:r w:rsidRPr="00795F17">
              <w:t>d</w:t>
            </w:r>
          </w:p>
        </w:tc>
        <w:tc>
          <w:tcPr>
            <w:tcW w:w="1293" w:type="dxa"/>
            <w:tcBorders>
              <w:top w:val="single" w:sz="4" w:space="0" w:color="auto"/>
              <w:left w:val="nil"/>
              <w:bottom w:val="nil"/>
              <w:right w:val="single" w:sz="4" w:space="0" w:color="auto"/>
            </w:tcBorders>
            <w:shd w:val="clear" w:color="auto" w:fill="BFBFBF" w:themeFill="background1" w:themeFillShade="BF"/>
            <w:vAlign w:val="center"/>
            <w:hideMark/>
          </w:tcPr>
          <w:p w14:paraId="78B47B43" w14:textId="28510A89" w:rsidR="00462DD4" w:rsidRPr="00795F17" w:rsidRDefault="00462DD4" w:rsidP="0065243A">
            <w:pPr>
              <w:pStyle w:val="Teksttabelinaglowek"/>
              <w:keepNext/>
            </w:pPr>
            <w:r w:rsidRPr="00795F17">
              <w:t xml:space="preserve">Powierzchnia </w:t>
            </w:r>
            <w:r w:rsidR="00DF005E">
              <w:t>JCWP</w:t>
            </w:r>
            <w:r w:rsidRPr="00795F17">
              <w:t>d</w:t>
            </w:r>
            <w:r w:rsidR="00D146C3" w:rsidRPr="00795F17">
              <w:t xml:space="preserve"> </w:t>
            </w:r>
            <w:r w:rsidRPr="00795F17">
              <w:br/>
            </w:r>
            <w:r w:rsidR="00CC4FEC" w:rsidRPr="00795F17">
              <w:t>(km</w:t>
            </w:r>
            <w:r w:rsidR="00CC4FEC" w:rsidRPr="00795F17">
              <w:rPr>
                <w:vertAlign w:val="superscript"/>
              </w:rPr>
              <w:t>2</w:t>
            </w:r>
            <w:r w:rsidR="00CC4FEC" w:rsidRPr="00795F17">
              <w:t>)</w:t>
            </w:r>
          </w:p>
        </w:tc>
        <w:tc>
          <w:tcPr>
            <w:tcW w:w="1418" w:type="dxa"/>
            <w:tcBorders>
              <w:top w:val="single" w:sz="4" w:space="0" w:color="auto"/>
              <w:left w:val="nil"/>
              <w:bottom w:val="nil"/>
              <w:right w:val="single" w:sz="4" w:space="0" w:color="auto"/>
            </w:tcBorders>
            <w:shd w:val="clear" w:color="auto" w:fill="BFBFBF" w:themeFill="background1" w:themeFillShade="BF"/>
            <w:vAlign w:val="center"/>
            <w:hideMark/>
          </w:tcPr>
          <w:p w14:paraId="3EE9A0F7" w14:textId="581B5DFA" w:rsidR="00462DD4" w:rsidRPr="00795F17" w:rsidRDefault="00A42C28" w:rsidP="0065243A">
            <w:pPr>
              <w:pStyle w:val="Teksttabelinaglowek"/>
              <w:keepNext/>
            </w:pPr>
            <w:r w:rsidRPr="00795F17">
              <w:t>Udział w</w:t>
            </w:r>
            <w:r w:rsidR="002322DD">
              <w:t> </w:t>
            </w:r>
            <w:r w:rsidRPr="00795F17">
              <w:t xml:space="preserve">powierzchni </w:t>
            </w:r>
            <w:r w:rsidR="00DF005E">
              <w:t>JCWP</w:t>
            </w:r>
            <w:r w:rsidRPr="00795F17">
              <w:t>d na obszarze dorzecza (%)</w:t>
            </w:r>
          </w:p>
        </w:tc>
      </w:tr>
      <w:tr w:rsidR="00462DD4" w:rsidRPr="00795F17" w14:paraId="43F01323" w14:textId="77777777" w:rsidTr="002322DD">
        <w:trPr>
          <w:trHeight w:val="397"/>
        </w:trPr>
        <w:tc>
          <w:tcPr>
            <w:tcW w:w="9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D30DBF" w14:textId="77777777" w:rsidR="00462DD4" w:rsidRPr="00795F17" w:rsidRDefault="00462DD4" w:rsidP="0065243A">
            <w:pPr>
              <w:pStyle w:val="Teksttabelisrodek"/>
            </w:pPr>
            <w:r w:rsidRPr="00795F17">
              <w:t>Odra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C31AB3" w14:textId="37C2005C" w:rsidR="00462DD4" w:rsidRPr="00795F17" w:rsidRDefault="00462DD4" w:rsidP="0065243A">
            <w:pPr>
              <w:pStyle w:val="Teksttabelisrodek"/>
            </w:pPr>
            <w:r w:rsidRPr="00795F17">
              <w:t>117</w:t>
            </w:r>
            <w:r w:rsidR="00076BC9" w:rsidRPr="00795F17">
              <w:t> </w:t>
            </w:r>
            <w:r w:rsidRPr="00795F17">
              <w:t>652,17</w:t>
            </w:r>
          </w:p>
        </w:tc>
        <w:tc>
          <w:tcPr>
            <w:tcW w:w="1150" w:type="dxa"/>
            <w:tcBorders>
              <w:top w:val="single" w:sz="4" w:space="0" w:color="auto"/>
              <w:left w:val="nil"/>
              <w:bottom w:val="single" w:sz="4" w:space="0" w:color="auto"/>
              <w:right w:val="single" w:sz="4" w:space="0" w:color="auto"/>
            </w:tcBorders>
            <w:shd w:val="clear" w:color="000000" w:fill="92D050"/>
            <w:vAlign w:val="center"/>
            <w:hideMark/>
          </w:tcPr>
          <w:p w14:paraId="0AE4155B" w14:textId="77777777" w:rsidR="00462DD4" w:rsidRPr="00795F17" w:rsidRDefault="00462DD4" w:rsidP="0065243A">
            <w:pPr>
              <w:pStyle w:val="Teksttabelisrodek"/>
            </w:pPr>
            <w:r w:rsidRPr="00795F17">
              <w:t>stan dobry</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6B13ECBE" w14:textId="77777777" w:rsidR="00462DD4" w:rsidRPr="00795F17" w:rsidRDefault="00462DD4" w:rsidP="0065243A">
            <w:pPr>
              <w:pStyle w:val="Teksttabelisrodek"/>
            </w:pPr>
            <w:r w:rsidRPr="00795F17">
              <w:t>1, 2, 3, 4, 5, 6, 7, 8, 9, 10, 23, 24, 25, 26, 33, 34, 35, 40, 41, 42, 43, 58, 59, 60, 61, 62, 68, 69, 70, 71, 72, 76, 77, 78, 79, 80, 81, 82, 83, 92, 93, 94, 95, 96, 97, 98, 99, 105, 107, 108, 109, 110, 124, 125, 126, 128, 129, 140, 141, 142, 143, 144, 170</w:t>
            </w:r>
          </w:p>
        </w:tc>
        <w:tc>
          <w:tcPr>
            <w:tcW w:w="924" w:type="dxa"/>
            <w:tcBorders>
              <w:top w:val="single" w:sz="4" w:space="0" w:color="auto"/>
              <w:left w:val="nil"/>
              <w:bottom w:val="single" w:sz="4" w:space="0" w:color="auto"/>
              <w:right w:val="single" w:sz="4" w:space="0" w:color="auto"/>
            </w:tcBorders>
            <w:shd w:val="clear" w:color="auto" w:fill="auto"/>
            <w:noWrap/>
            <w:vAlign w:val="center"/>
            <w:hideMark/>
          </w:tcPr>
          <w:p w14:paraId="766E2710" w14:textId="77777777" w:rsidR="00462DD4" w:rsidRPr="00795F17" w:rsidRDefault="00462DD4" w:rsidP="0065243A">
            <w:pPr>
              <w:pStyle w:val="Teksttabelisrodek"/>
            </w:pPr>
            <w:r w:rsidRPr="00795F17">
              <w:t>63</w:t>
            </w:r>
          </w:p>
        </w:tc>
        <w:tc>
          <w:tcPr>
            <w:tcW w:w="1293" w:type="dxa"/>
            <w:tcBorders>
              <w:top w:val="single" w:sz="4" w:space="0" w:color="auto"/>
              <w:left w:val="nil"/>
              <w:bottom w:val="single" w:sz="4" w:space="0" w:color="auto"/>
              <w:right w:val="single" w:sz="4" w:space="0" w:color="auto"/>
            </w:tcBorders>
            <w:shd w:val="clear" w:color="auto" w:fill="auto"/>
            <w:noWrap/>
            <w:vAlign w:val="center"/>
            <w:hideMark/>
          </w:tcPr>
          <w:p w14:paraId="7ADD7C55" w14:textId="28949972" w:rsidR="00462DD4" w:rsidRPr="00795F17" w:rsidRDefault="00462DD4" w:rsidP="0065243A">
            <w:pPr>
              <w:pStyle w:val="Teksttabelisrodek"/>
            </w:pPr>
            <w:r w:rsidRPr="00795F17">
              <w:t>115</w:t>
            </w:r>
            <w:r w:rsidR="00076BC9" w:rsidRPr="00795F17">
              <w:t> </w:t>
            </w:r>
            <w:r w:rsidRPr="00795F17">
              <w:t>336,34</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1DF7BBE5" w14:textId="1F0603CE" w:rsidR="00462DD4" w:rsidRPr="00795F17" w:rsidRDefault="00462DD4" w:rsidP="0065243A">
            <w:pPr>
              <w:pStyle w:val="Teksttabelisrodek"/>
            </w:pPr>
            <w:r w:rsidRPr="00795F17">
              <w:t>98,03</w:t>
            </w:r>
          </w:p>
        </w:tc>
      </w:tr>
      <w:tr w:rsidR="00462DD4" w:rsidRPr="00795F17" w14:paraId="49CD90F6" w14:textId="77777777" w:rsidTr="002322DD">
        <w:trPr>
          <w:trHeight w:val="397"/>
        </w:trPr>
        <w:tc>
          <w:tcPr>
            <w:tcW w:w="942" w:type="dxa"/>
            <w:vMerge/>
            <w:tcBorders>
              <w:top w:val="single" w:sz="4" w:space="0" w:color="auto"/>
              <w:left w:val="single" w:sz="4" w:space="0" w:color="auto"/>
              <w:bottom w:val="single" w:sz="4" w:space="0" w:color="auto"/>
              <w:right w:val="single" w:sz="4" w:space="0" w:color="auto"/>
            </w:tcBorders>
            <w:vAlign w:val="center"/>
            <w:hideMark/>
          </w:tcPr>
          <w:p w14:paraId="6C1B0279" w14:textId="77777777" w:rsidR="00462DD4" w:rsidRPr="00795F17" w:rsidRDefault="00462DD4" w:rsidP="0065243A">
            <w:pPr>
              <w:pStyle w:val="Teksttabelisrodek"/>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633AD736" w14:textId="77777777" w:rsidR="00462DD4" w:rsidRPr="00795F17" w:rsidRDefault="00462DD4" w:rsidP="0065243A">
            <w:pPr>
              <w:pStyle w:val="Teksttabelisrodek"/>
            </w:pPr>
          </w:p>
        </w:tc>
        <w:tc>
          <w:tcPr>
            <w:tcW w:w="1150" w:type="dxa"/>
            <w:tcBorders>
              <w:top w:val="nil"/>
              <w:left w:val="nil"/>
              <w:bottom w:val="single" w:sz="4" w:space="0" w:color="auto"/>
              <w:right w:val="single" w:sz="4" w:space="0" w:color="auto"/>
            </w:tcBorders>
            <w:shd w:val="clear" w:color="000000" w:fill="FF0000"/>
            <w:noWrap/>
            <w:vAlign w:val="center"/>
            <w:hideMark/>
          </w:tcPr>
          <w:p w14:paraId="635F2B2D" w14:textId="77777777" w:rsidR="00462DD4" w:rsidRPr="00795F17" w:rsidRDefault="00462DD4" w:rsidP="0065243A">
            <w:pPr>
              <w:pStyle w:val="Teksttabelisrodek"/>
            </w:pPr>
            <w:r w:rsidRPr="00795F17">
              <w:t>stan słaby</w:t>
            </w:r>
          </w:p>
        </w:tc>
        <w:tc>
          <w:tcPr>
            <w:tcW w:w="1843" w:type="dxa"/>
            <w:tcBorders>
              <w:top w:val="nil"/>
              <w:left w:val="nil"/>
              <w:bottom w:val="single" w:sz="4" w:space="0" w:color="auto"/>
              <w:right w:val="single" w:sz="4" w:space="0" w:color="auto"/>
            </w:tcBorders>
            <w:shd w:val="clear" w:color="auto" w:fill="auto"/>
            <w:vAlign w:val="center"/>
            <w:hideMark/>
          </w:tcPr>
          <w:p w14:paraId="55084127" w14:textId="77777777" w:rsidR="00462DD4" w:rsidRPr="00795F17" w:rsidRDefault="00462DD4" w:rsidP="0065243A">
            <w:pPr>
              <w:pStyle w:val="Teksttabelisrodek"/>
            </w:pPr>
            <w:r w:rsidRPr="00795F17">
              <w:t>127</w:t>
            </w:r>
          </w:p>
        </w:tc>
        <w:tc>
          <w:tcPr>
            <w:tcW w:w="924" w:type="dxa"/>
            <w:tcBorders>
              <w:top w:val="nil"/>
              <w:left w:val="nil"/>
              <w:bottom w:val="single" w:sz="4" w:space="0" w:color="auto"/>
              <w:right w:val="single" w:sz="4" w:space="0" w:color="auto"/>
            </w:tcBorders>
            <w:shd w:val="clear" w:color="auto" w:fill="auto"/>
            <w:noWrap/>
            <w:vAlign w:val="center"/>
            <w:hideMark/>
          </w:tcPr>
          <w:p w14:paraId="38B84CE9" w14:textId="77777777" w:rsidR="00462DD4" w:rsidRPr="00795F17" w:rsidRDefault="00462DD4" w:rsidP="0065243A">
            <w:pPr>
              <w:pStyle w:val="Teksttabelisrodek"/>
            </w:pPr>
            <w:r w:rsidRPr="00795F17">
              <w:t>1</w:t>
            </w:r>
          </w:p>
        </w:tc>
        <w:tc>
          <w:tcPr>
            <w:tcW w:w="1293" w:type="dxa"/>
            <w:tcBorders>
              <w:top w:val="nil"/>
              <w:left w:val="nil"/>
              <w:bottom w:val="single" w:sz="4" w:space="0" w:color="auto"/>
              <w:right w:val="single" w:sz="4" w:space="0" w:color="auto"/>
            </w:tcBorders>
            <w:shd w:val="clear" w:color="auto" w:fill="auto"/>
            <w:noWrap/>
            <w:vAlign w:val="center"/>
            <w:hideMark/>
          </w:tcPr>
          <w:p w14:paraId="116B5506" w14:textId="67CF83F4" w:rsidR="00462DD4" w:rsidRPr="00795F17" w:rsidRDefault="00462DD4" w:rsidP="0065243A">
            <w:pPr>
              <w:pStyle w:val="Teksttabelisrodek"/>
            </w:pPr>
            <w:r w:rsidRPr="00795F17">
              <w:t>1</w:t>
            </w:r>
            <w:r w:rsidR="00076BC9" w:rsidRPr="00795F17">
              <w:t> </w:t>
            </w:r>
            <w:r w:rsidRPr="00795F17">
              <w:t>872,47</w:t>
            </w:r>
          </w:p>
        </w:tc>
        <w:tc>
          <w:tcPr>
            <w:tcW w:w="1418" w:type="dxa"/>
            <w:tcBorders>
              <w:top w:val="nil"/>
              <w:left w:val="nil"/>
              <w:bottom w:val="single" w:sz="4" w:space="0" w:color="auto"/>
              <w:right w:val="single" w:sz="4" w:space="0" w:color="auto"/>
            </w:tcBorders>
            <w:shd w:val="clear" w:color="auto" w:fill="auto"/>
            <w:noWrap/>
            <w:vAlign w:val="center"/>
            <w:hideMark/>
          </w:tcPr>
          <w:p w14:paraId="5DA97A81" w14:textId="44CCB959" w:rsidR="00462DD4" w:rsidRPr="00795F17" w:rsidRDefault="00462DD4" w:rsidP="0065243A">
            <w:pPr>
              <w:pStyle w:val="Teksttabelisrodek"/>
            </w:pPr>
            <w:r w:rsidRPr="00795F17">
              <w:t>1,59</w:t>
            </w:r>
          </w:p>
        </w:tc>
      </w:tr>
      <w:tr w:rsidR="00E72586" w:rsidRPr="00795F17" w14:paraId="6D464F76" w14:textId="77777777" w:rsidTr="002322DD">
        <w:trPr>
          <w:trHeight w:val="397"/>
        </w:trPr>
        <w:tc>
          <w:tcPr>
            <w:tcW w:w="942" w:type="dxa"/>
            <w:vMerge/>
            <w:tcBorders>
              <w:top w:val="single" w:sz="4" w:space="0" w:color="auto"/>
              <w:left w:val="single" w:sz="4" w:space="0" w:color="auto"/>
              <w:bottom w:val="single" w:sz="4" w:space="0" w:color="auto"/>
              <w:right w:val="single" w:sz="4" w:space="0" w:color="auto"/>
            </w:tcBorders>
            <w:vAlign w:val="center"/>
            <w:hideMark/>
          </w:tcPr>
          <w:p w14:paraId="6E3F0EFF" w14:textId="77777777" w:rsidR="00462DD4" w:rsidRPr="00795F17" w:rsidRDefault="00462DD4" w:rsidP="0065243A">
            <w:pPr>
              <w:pStyle w:val="Teksttabelisrodek"/>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042F407B" w14:textId="77777777" w:rsidR="00462DD4" w:rsidRPr="00795F17" w:rsidRDefault="00462DD4" w:rsidP="0065243A">
            <w:pPr>
              <w:pStyle w:val="Teksttabelisrodek"/>
            </w:pPr>
          </w:p>
        </w:tc>
        <w:tc>
          <w:tcPr>
            <w:tcW w:w="1150" w:type="dxa"/>
            <w:tcBorders>
              <w:top w:val="nil"/>
              <w:left w:val="nil"/>
              <w:bottom w:val="single" w:sz="4" w:space="0" w:color="auto"/>
              <w:right w:val="single" w:sz="4" w:space="0" w:color="auto"/>
            </w:tcBorders>
            <w:shd w:val="clear" w:color="auto" w:fill="auto"/>
            <w:noWrap/>
            <w:vAlign w:val="center"/>
            <w:hideMark/>
          </w:tcPr>
          <w:p w14:paraId="23C95B45" w14:textId="77777777" w:rsidR="00462DD4" w:rsidRPr="00795F17" w:rsidRDefault="00462DD4" w:rsidP="0065243A">
            <w:pPr>
              <w:pStyle w:val="Teksttabelisrodek"/>
            </w:pPr>
            <w:r w:rsidRPr="00795F17">
              <w:t>brak danych</w:t>
            </w:r>
          </w:p>
        </w:tc>
        <w:tc>
          <w:tcPr>
            <w:tcW w:w="1843" w:type="dxa"/>
            <w:tcBorders>
              <w:top w:val="nil"/>
              <w:left w:val="nil"/>
              <w:bottom w:val="single" w:sz="4" w:space="0" w:color="auto"/>
              <w:right w:val="single" w:sz="4" w:space="0" w:color="auto"/>
            </w:tcBorders>
            <w:shd w:val="clear" w:color="auto" w:fill="auto"/>
            <w:vAlign w:val="center"/>
            <w:hideMark/>
          </w:tcPr>
          <w:p w14:paraId="7EBF1C76" w14:textId="77777777" w:rsidR="00462DD4" w:rsidRPr="00795F17" w:rsidRDefault="00462DD4" w:rsidP="0065243A">
            <w:pPr>
              <w:pStyle w:val="Teksttabelisrodek"/>
            </w:pPr>
            <w:r w:rsidRPr="00795F17">
              <w:t>139, 155</w:t>
            </w:r>
          </w:p>
        </w:tc>
        <w:tc>
          <w:tcPr>
            <w:tcW w:w="924" w:type="dxa"/>
            <w:tcBorders>
              <w:top w:val="nil"/>
              <w:left w:val="nil"/>
              <w:bottom w:val="single" w:sz="4" w:space="0" w:color="auto"/>
              <w:right w:val="single" w:sz="4" w:space="0" w:color="auto"/>
            </w:tcBorders>
            <w:shd w:val="clear" w:color="auto" w:fill="auto"/>
            <w:noWrap/>
            <w:vAlign w:val="center"/>
            <w:hideMark/>
          </w:tcPr>
          <w:p w14:paraId="04B3D621" w14:textId="77777777" w:rsidR="00462DD4" w:rsidRPr="00795F17" w:rsidRDefault="00462DD4" w:rsidP="0065243A">
            <w:pPr>
              <w:pStyle w:val="Teksttabelisrodek"/>
            </w:pPr>
            <w:r w:rsidRPr="00795F17">
              <w:t>2</w:t>
            </w:r>
          </w:p>
        </w:tc>
        <w:tc>
          <w:tcPr>
            <w:tcW w:w="1293" w:type="dxa"/>
            <w:tcBorders>
              <w:top w:val="nil"/>
              <w:left w:val="nil"/>
              <w:bottom w:val="single" w:sz="4" w:space="0" w:color="auto"/>
              <w:right w:val="single" w:sz="4" w:space="0" w:color="auto"/>
            </w:tcBorders>
            <w:shd w:val="clear" w:color="auto" w:fill="auto"/>
            <w:noWrap/>
            <w:vAlign w:val="center"/>
            <w:hideMark/>
          </w:tcPr>
          <w:p w14:paraId="022A5BD3" w14:textId="77777777" w:rsidR="00462DD4" w:rsidRPr="00795F17" w:rsidRDefault="00462DD4" w:rsidP="0065243A">
            <w:pPr>
              <w:pStyle w:val="Teksttabelisrodek"/>
            </w:pPr>
            <w:r w:rsidRPr="00795F17">
              <w:t>443,35</w:t>
            </w:r>
          </w:p>
        </w:tc>
        <w:tc>
          <w:tcPr>
            <w:tcW w:w="1418" w:type="dxa"/>
            <w:tcBorders>
              <w:top w:val="nil"/>
              <w:left w:val="nil"/>
              <w:bottom w:val="single" w:sz="4" w:space="0" w:color="auto"/>
              <w:right w:val="single" w:sz="4" w:space="0" w:color="auto"/>
            </w:tcBorders>
            <w:shd w:val="clear" w:color="auto" w:fill="auto"/>
            <w:noWrap/>
            <w:vAlign w:val="center"/>
            <w:hideMark/>
          </w:tcPr>
          <w:p w14:paraId="2E116B18" w14:textId="7CEF580E" w:rsidR="00462DD4" w:rsidRPr="00795F17" w:rsidRDefault="00462DD4" w:rsidP="0065243A">
            <w:pPr>
              <w:pStyle w:val="Teksttabelisrodek"/>
            </w:pPr>
            <w:r w:rsidRPr="00795F17">
              <w:t>0,38</w:t>
            </w:r>
          </w:p>
        </w:tc>
      </w:tr>
    </w:tbl>
    <w:p w14:paraId="36DDD405" w14:textId="77777777" w:rsidR="00E11336" w:rsidRPr="00795F17" w:rsidRDefault="00E11336" w:rsidP="00E11336">
      <w:pPr>
        <w:pStyle w:val="rdo"/>
        <w:rPr>
          <w:color w:val="000099"/>
          <w:sz w:val="20"/>
          <w:szCs w:val="20"/>
        </w:rPr>
      </w:pPr>
      <w:r w:rsidRPr="00795F17">
        <w:t>Źródło: opracowanie własne</w:t>
      </w:r>
    </w:p>
    <w:p w14:paraId="3D63473F" w14:textId="1F01E3BC" w:rsidR="00462DD4" w:rsidRPr="00795F17" w:rsidRDefault="00462DD4" w:rsidP="0044393D">
      <w:r w:rsidRPr="00795F17">
        <w:t xml:space="preserve">Poniżej w tabeli </w:t>
      </w:r>
      <w:r w:rsidR="00757CFC" w:rsidRPr="00795F17">
        <w:t>5-3</w:t>
      </w:r>
      <w:r w:rsidR="00BB3B21" w:rsidRPr="00795F17">
        <w:t>2</w:t>
      </w:r>
      <w:r w:rsidRPr="00795F17">
        <w:t xml:space="preserve"> przedstawiono zestawienie wskaźników, w przypadku których odnotowano przekroczenie wartości progowej dobrego stanu chemicznego z uwzględnieniem rodzaju presji, jakiemu odpowiadają, i podziałowi na regiony wodne.</w:t>
      </w:r>
    </w:p>
    <w:p w14:paraId="24B10C96" w14:textId="15A0F3B3" w:rsidR="00462DD4" w:rsidRPr="00795F17" w:rsidRDefault="00462DD4" w:rsidP="004D7705">
      <w:pPr>
        <w:pStyle w:val="Tabela"/>
      </w:pPr>
      <w:bookmarkStart w:id="254" w:name="_Toc66341885"/>
      <w:bookmarkStart w:id="255" w:name="_Toc105512796"/>
      <w:r w:rsidRPr="00795F17">
        <w:t xml:space="preserve">Tabela </w:t>
      </w:r>
      <w:fldSimple w:instr=" STYLEREF 1 \s ">
        <w:r w:rsidR="001F774D">
          <w:rPr>
            <w:noProof/>
          </w:rPr>
          <w:t>5</w:t>
        </w:r>
      </w:fldSimple>
      <w:r w:rsidR="00BB3B21" w:rsidRPr="00795F17">
        <w:noBreakHyphen/>
      </w:r>
      <w:fldSimple w:instr=" SEQ Tabela \* ARABIC \s 1 ">
        <w:r w:rsidR="001F774D">
          <w:rPr>
            <w:noProof/>
          </w:rPr>
          <w:t>32</w:t>
        </w:r>
      </w:fldSimple>
      <w:r w:rsidR="00BA11D4">
        <w:rPr>
          <w:noProof/>
        </w:rPr>
        <w:t>.</w:t>
      </w:r>
      <w:r w:rsidRPr="00795F17">
        <w:tab/>
        <w:t xml:space="preserve">Wykaz wskaźników, w przypadku których odnotowano przekroczenie wartości progowej dobrego stanu chemicznego </w:t>
      </w:r>
      <w:r w:rsidR="002322DD">
        <w:t>na</w:t>
      </w:r>
      <w:r w:rsidRPr="00795F17">
        <w:t xml:space="preserve"> obszarze dorzecza Odry</w:t>
      </w:r>
      <w:bookmarkEnd w:id="254"/>
      <w:bookmarkEnd w:id="255"/>
    </w:p>
    <w:tbl>
      <w:tblPr>
        <w:tblW w:w="5000" w:type="pct"/>
        <w:tblLayout w:type="fixed"/>
        <w:tblCellMar>
          <w:left w:w="70" w:type="dxa"/>
          <w:right w:w="70" w:type="dxa"/>
        </w:tblCellMar>
        <w:tblLook w:val="04A0" w:firstRow="1" w:lastRow="0" w:firstColumn="1" w:lastColumn="0" w:noHBand="0" w:noVBand="1"/>
      </w:tblPr>
      <w:tblGrid>
        <w:gridCol w:w="1503"/>
        <w:gridCol w:w="164"/>
        <w:gridCol w:w="1945"/>
        <w:gridCol w:w="1057"/>
        <w:gridCol w:w="1056"/>
        <w:gridCol w:w="1228"/>
        <w:gridCol w:w="1056"/>
        <w:gridCol w:w="1058"/>
      </w:tblGrid>
      <w:tr w:rsidR="00462DD4" w:rsidRPr="00795F17" w14:paraId="303E3E89" w14:textId="77777777" w:rsidTr="003D7BF3">
        <w:trPr>
          <w:trHeight w:val="454"/>
          <w:tblHeader/>
        </w:trPr>
        <w:tc>
          <w:tcPr>
            <w:tcW w:w="1701" w:type="dxa"/>
            <w:gridSpan w:val="2"/>
            <w:tcBorders>
              <w:top w:val="nil"/>
              <w:left w:val="nil"/>
              <w:bottom w:val="nil"/>
              <w:right w:val="nil"/>
            </w:tcBorders>
            <w:shd w:val="clear" w:color="auto" w:fill="auto"/>
            <w:noWrap/>
            <w:tcMar>
              <w:left w:w="28" w:type="dxa"/>
              <w:right w:w="28" w:type="dxa"/>
            </w:tcMar>
            <w:vAlign w:val="center"/>
          </w:tcPr>
          <w:p w14:paraId="373CA205" w14:textId="77777777" w:rsidR="00462DD4" w:rsidRPr="00795F17" w:rsidRDefault="00462DD4" w:rsidP="0044393D">
            <w:pPr>
              <w:pStyle w:val="Teksttabelinaglowek"/>
            </w:pPr>
          </w:p>
        </w:tc>
        <w:tc>
          <w:tcPr>
            <w:tcW w:w="1985" w:type="dxa"/>
            <w:tcBorders>
              <w:top w:val="nil"/>
              <w:left w:val="nil"/>
              <w:bottom w:val="nil"/>
              <w:right w:val="nil"/>
            </w:tcBorders>
            <w:shd w:val="clear" w:color="auto" w:fill="auto"/>
            <w:noWrap/>
            <w:tcMar>
              <w:left w:w="28" w:type="dxa"/>
              <w:right w:w="28" w:type="dxa"/>
            </w:tcMar>
            <w:vAlign w:val="center"/>
          </w:tcPr>
          <w:p w14:paraId="2C207741" w14:textId="77777777" w:rsidR="00462DD4" w:rsidRPr="00795F17" w:rsidRDefault="00462DD4" w:rsidP="0044393D">
            <w:pPr>
              <w:pStyle w:val="Teksttabelinaglowek"/>
            </w:pPr>
          </w:p>
        </w:tc>
        <w:tc>
          <w:tcPr>
            <w:tcW w:w="5556" w:type="dxa"/>
            <w:gridSpan w:val="5"/>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tcPr>
          <w:p w14:paraId="748BBF7E" w14:textId="3C85AB1F" w:rsidR="00462DD4" w:rsidRPr="00795F17" w:rsidRDefault="00462DD4" w:rsidP="0044393D">
            <w:pPr>
              <w:pStyle w:val="Teksttabelinaglowek"/>
            </w:pPr>
            <w:r w:rsidRPr="00795F17">
              <w:t xml:space="preserve">Nr </w:t>
            </w:r>
            <w:r w:rsidR="00DF005E">
              <w:t>JCWP</w:t>
            </w:r>
            <w:r w:rsidRPr="00795F17">
              <w:t>d/region wodny</w:t>
            </w:r>
          </w:p>
        </w:tc>
      </w:tr>
      <w:tr w:rsidR="0083501B" w:rsidRPr="00795F17" w14:paraId="32CC6755" w14:textId="77777777" w:rsidTr="003D7BF3">
        <w:trPr>
          <w:trHeight w:val="454"/>
          <w:tblHeader/>
        </w:trPr>
        <w:tc>
          <w:tcPr>
            <w:tcW w:w="1534" w:type="dxa"/>
            <w:tcBorders>
              <w:top w:val="nil"/>
              <w:left w:val="nil"/>
              <w:bottom w:val="nil"/>
              <w:right w:val="nil"/>
            </w:tcBorders>
            <w:shd w:val="clear" w:color="auto" w:fill="auto"/>
            <w:noWrap/>
            <w:tcMar>
              <w:left w:w="28" w:type="dxa"/>
              <w:right w:w="28" w:type="dxa"/>
            </w:tcMar>
            <w:vAlign w:val="center"/>
            <w:hideMark/>
          </w:tcPr>
          <w:p w14:paraId="5EF1C7B0" w14:textId="77777777" w:rsidR="0083501B" w:rsidRPr="00795F17" w:rsidRDefault="0083501B" w:rsidP="0083501B">
            <w:pPr>
              <w:pStyle w:val="Teksttabelinaglowek"/>
            </w:pPr>
          </w:p>
        </w:tc>
        <w:tc>
          <w:tcPr>
            <w:tcW w:w="2152" w:type="dxa"/>
            <w:gridSpan w:val="2"/>
            <w:tcBorders>
              <w:top w:val="nil"/>
              <w:left w:val="nil"/>
              <w:bottom w:val="nil"/>
              <w:right w:val="nil"/>
            </w:tcBorders>
            <w:shd w:val="clear" w:color="auto" w:fill="auto"/>
            <w:noWrap/>
            <w:tcMar>
              <w:left w:w="28" w:type="dxa"/>
              <w:right w:w="28" w:type="dxa"/>
            </w:tcMar>
            <w:vAlign w:val="center"/>
            <w:hideMark/>
          </w:tcPr>
          <w:p w14:paraId="7C86946F" w14:textId="77777777" w:rsidR="0083501B" w:rsidRPr="00795F17" w:rsidRDefault="0083501B" w:rsidP="0083501B">
            <w:pPr>
              <w:pStyle w:val="Teksttabelinaglowek"/>
            </w:pPr>
          </w:p>
        </w:tc>
        <w:tc>
          <w:tcPr>
            <w:tcW w:w="107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2859CCD" w14:textId="2DDC9581" w:rsidR="0083501B" w:rsidRPr="00795F17" w:rsidRDefault="0083501B" w:rsidP="0083501B">
            <w:pPr>
              <w:pStyle w:val="Teksttabelinaglowek"/>
            </w:pPr>
            <w:r w:rsidRPr="00795F17">
              <w:t>127</w:t>
            </w:r>
          </w:p>
        </w:tc>
        <w:tc>
          <w:tcPr>
            <w:tcW w:w="107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D6EBDE9" w14:textId="0A51567B" w:rsidR="0083501B" w:rsidRPr="00795F17" w:rsidRDefault="0083501B" w:rsidP="0083501B">
            <w:pPr>
              <w:pStyle w:val="Teksttabelinaglowek"/>
            </w:pPr>
            <w:r w:rsidRPr="00795F17">
              <w:t>79</w:t>
            </w:r>
          </w:p>
        </w:tc>
        <w:tc>
          <w:tcPr>
            <w:tcW w:w="12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D81182B" w14:textId="5FB06B8B" w:rsidR="0083501B" w:rsidRPr="00795F17" w:rsidRDefault="0083501B" w:rsidP="0083501B">
            <w:pPr>
              <w:pStyle w:val="Teksttabelinaglowek"/>
            </w:pPr>
            <w:r w:rsidRPr="00795F17">
              <w:t>1</w:t>
            </w:r>
          </w:p>
        </w:tc>
        <w:tc>
          <w:tcPr>
            <w:tcW w:w="107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FA2B512" w14:textId="30EC8AF4" w:rsidR="0083501B" w:rsidRPr="00795F17" w:rsidRDefault="0083501B" w:rsidP="0083501B">
            <w:pPr>
              <w:pStyle w:val="Teksttabelinaglowek"/>
            </w:pPr>
            <w:r w:rsidRPr="00795F17">
              <w:t>70</w:t>
            </w:r>
          </w:p>
        </w:tc>
        <w:tc>
          <w:tcPr>
            <w:tcW w:w="1078" w:type="dxa"/>
            <w:tcBorders>
              <w:top w:val="single" w:sz="4" w:space="0" w:color="auto"/>
              <w:left w:val="nil"/>
              <w:bottom w:val="single" w:sz="4" w:space="0" w:color="auto"/>
              <w:right w:val="single" w:sz="4" w:space="0" w:color="auto"/>
            </w:tcBorders>
            <w:shd w:val="clear" w:color="auto" w:fill="BFBFBF"/>
            <w:tcMar>
              <w:left w:w="28" w:type="dxa"/>
              <w:right w:w="28" w:type="dxa"/>
            </w:tcMar>
            <w:vAlign w:val="center"/>
            <w:hideMark/>
          </w:tcPr>
          <w:p w14:paraId="666F2B57" w14:textId="77777777" w:rsidR="0083501B" w:rsidRPr="00795F17" w:rsidRDefault="0083501B" w:rsidP="0083501B">
            <w:pPr>
              <w:pStyle w:val="Teksttabelinaglowek"/>
            </w:pPr>
            <w:r w:rsidRPr="00795F17">
              <w:t>43</w:t>
            </w:r>
          </w:p>
        </w:tc>
      </w:tr>
      <w:tr w:rsidR="0083501B" w:rsidRPr="00795F17" w14:paraId="6B156042" w14:textId="77777777" w:rsidTr="003D7BF3">
        <w:trPr>
          <w:trHeight w:val="454"/>
          <w:tblHeader/>
        </w:trPr>
        <w:tc>
          <w:tcPr>
            <w:tcW w:w="153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66A4EA90" w14:textId="2BAB5B02" w:rsidR="0083501B" w:rsidRPr="00795F17" w:rsidRDefault="0083501B" w:rsidP="0083501B">
            <w:pPr>
              <w:pStyle w:val="Teksttabelinaglowek"/>
            </w:pPr>
            <w:r w:rsidRPr="00795F17">
              <w:t>Wskaźnik w</w:t>
            </w:r>
            <w:r w:rsidR="002322DD">
              <w:t> </w:t>
            </w:r>
            <w:r w:rsidRPr="00795F17">
              <w:t>przypadku, którego odnotowano przekroczenie wartości progowej dobrego stanu chemicznego</w:t>
            </w:r>
          </w:p>
        </w:tc>
        <w:tc>
          <w:tcPr>
            <w:tcW w:w="2152" w:type="dxa"/>
            <w:gridSpan w:val="2"/>
            <w:tcBorders>
              <w:top w:val="single" w:sz="4" w:space="0" w:color="auto"/>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7A8111CD" w14:textId="67CF1D23" w:rsidR="0083501B" w:rsidRPr="00795F17" w:rsidRDefault="0083501B" w:rsidP="0083501B">
            <w:pPr>
              <w:pStyle w:val="Teksttabelinaglowek"/>
            </w:pPr>
            <w:r w:rsidRPr="00795F17">
              <w:t>Rodzaj presji:</w:t>
            </w:r>
            <w:r w:rsidRPr="00795F17">
              <w:br/>
              <w:t xml:space="preserve">A1 </w:t>
            </w:r>
            <w:r w:rsidR="00C827BA">
              <w:t>–</w:t>
            </w:r>
            <w:r w:rsidRPr="00795F17">
              <w:t xml:space="preserve"> presja chemiczna (przemysł/urbanizacja)</w:t>
            </w:r>
          </w:p>
          <w:p w14:paraId="7EB0DFD6" w14:textId="0F9DB783" w:rsidR="0083501B" w:rsidRPr="00795F17" w:rsidRDefault="0083501B" w:rsidP="0083501B">
            <w:pPr>
              <w:pStyle w:val="Teksttabelinaglowek"/>
            </w:pPr>
            <w:r w:rsidRPr="00795F17">
              <w:t xml:space="preserve">A2 </w:t>
            </w:r>
            <w:r w:rsidR="00C827BA">
              <w:t>–</w:t>
            </w:r>
            <w:r w:rsidRPr="00795F17">
              <w:t xml:space="preserve"> presja chemiczna (rolnictwo/gospodarka komunalna)</w:t>
            </w:r>
          </w:p>
          <w:p w14:paraId="5FC7897A" w14:textId="3095D05E" w:rsidR="0083501B" w:rsidRPr="00795F17" w:rsidRDefault="0083501B" w:rsidP="0083501B">
            <w:pPr>
              <w:pStyle w:val="Teksttabelinaglowek"/>
            </w:pPr>
            <w:r w:rsidRPr="00795F17">
              <w:t xml:space="preserve">B </w:t>
            </w:r>
            <w:r w:rsidR="00C827BA">
              <w:t>–</w:t>
            </w:r>
            <w:r w:rsidRPr="00795F17">
              <w:t xml:space="preserve"> presja ilościowa</w:t>
            </w:r>
          </w:p>
        </w:tc>
        <w:tc>
          <w:tcPr>
            <w:tcW w:w="1076"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366420F3" w14:textId="02604C8F" w:rsidR="0083501B" w:rsidRPr="00795F17" w:rsidRDefault="0083501B" w:rsidP="0083501B">
            <w:pPr>
              <w:pStyle w:val="Teksttabelinaglowek"/>
            </w:pPr>
            <w:r w:rsidRPr="00795F17">
              <w:t>Górnej Odry</w:t>
            </w:r>
          </w:p>
        </w:tc>
        <w:tc>
          <w:tcPr>
            <w:tcW w:w="107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9737614" w14:textId="6D6F73A3" w:rsidR="0083501B" w:rsidRPr="00795F17" w:rsidRDefault="0083501B" w:rsidP="0083501B">
            <w:pPr>
              <w:pStyle w:val="Teksttabelinaglowek"/>
            </w:pPr>
            <w:r w:rsidRPr="00795F17">
              <w:t>Środkowej Odry</w:t>
            </w:r>
          </w:p>
        </w:tc>
        <w:tc>
          <w:tcPr>
            <w:tcW w:w="12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17B9ED6" w14:textId="7E676D54" w:rsidR="0083501B" w:rsidRPr="00795F17" w:rsidRDefault="0083501B" w:rsidP="0083501B">
            <w:pPr>
              <w:pStyle w:val="Teksttabelinaglowek"/>
            </w:pPr>
            <w:r w:rsidRPr="00795F17">
              <w:t>Dolnej Odry i</w:t>
            </w:r>
            <w:r w:rsidR="002322DD">
              <w:t> </w:t>
            </w:r>
            <w:r w:rsidRPr="00795F17">
              <w:t>Przymorza Zachodniego</w:t>
            </w:r>
          </w:p>
        </w:tc>
        <w:tc>
          <w:tcPr>
            <w:tcW w:w="107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0602E9B" w14:textId="7D9B8D27" w:rsidR="0083501B" w:rsidRPr="00795F17" w:rsidRDefault="0083501B" w:rsidP="0083501B">
            <w:pPr>
              <w:pStyle w:val="Teksttabelinaglowek"/>
            </w:pPr>
            <w:r w:rsidRPr="00795F17">
              <w:t>Warty</w:t>
            </w:r>
          </w:p>
        </w:tc>
        <w:tc>
          <w:tcPr>
            <w:tcW w:w="107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5049358A" w14:textId="77777777" w:rsidR="0083501B" w:rsidRPr="00795F17" w:rsidRDefault="0083501B" w:rsidP="0083501B">
            <w:pPr>
              <w:pStyle w:val="Teksttabelinaglowek"/>
            </w:pPr>
            <w:r w:rsidRPr="00795F17">
              <w:t>Noteci</w:t>
            </w:r>
          </w:p>
        </w:tc>
      </w:tr>
      <w:tr w:rsidR="0083501B" w:rsidRPr="00795F17" w14:paraId="7833B954"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E1AB99E" w14:textId="77777777" w:rsidR="0083501B" w:rsidRPr="00795F17" w:rsidRDefault="0083501B" w:rsidP="0083501B">
            <w:pPr>
              <w:pStyle w:val="Teksttabelisrodek"/>
            </w:pPr>
            <w:r w:rsidRPr="00795F17">
              <w:t>NO</w:t>
            </w:r>
            <w:r w:rsidRPr="00795F17">
              <w:rPr>
                <w:vertAlign w:val="subscript"/>
              </w:rPr>
              <w:t>3</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4F9CC4" w14:textId="77777777" w:rsidR="0083501B" w:rsidRPr="00795F17" w:rsidRDefault="0083501B" w:rsidP="0083501B">
            <w:pPr>
              <w:pStyle w:val="Teksttabelisrodek"/>
            </w:pPr>
            <w:r w:rsidRPr="00795F17">
              <w:t>A2</w:t>
            </w:r>
          </w:p>
        </w:tc>
        <w:tc>
          <w:tcPr>
            <w:tcW w:w="1076" w:type="dxa"/>
            <w:tcBorders>
              <w:top w:val="single" w:sz="4" w:space="0" w:color="auto"/>
              <w:left w:val="nil"/>
              <w:bottom w:val="single" w:sz="4" w:space="0" w:color="auto"/>
              <w:right w:val="single" w:sz="4" w:space="0" w:color="auto"/>
            </w:tcBorders>
            <w:vAlign w:val="center"/>
          </w:tcPr>
          <w:p w14:paraId="49B9E230" w14:textId="4365C37F"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3D753C7D" w14:textId="67B434F1" w:rsidR="0083501B" w:rsidRPr="00795F17" w:rsidRDefault="0083501B" w:rsidP="0083501B">
            <w:pPr>
              <w:pStyle w:val="Teksttabelisrodek"/>
            </w:pPr>
            <w:r w:rsidRPr="00795F17">
              <w:t>-</w:t>
            </w:r>
          </w:p>
        </w:tc>
        <w:tc>
          <w:tcPr>
            <w:tcW w:w="1251" w:type="dxa"/>
            <w:tcBorders>
              <w:top w:val="single" w:sz="4" w:space="0" w:color="auto"/>
              <w:left w:val="single" w:sz="4" w:space="0" w:color="auto"/>
              <w:bottom w:val="single" w:sz="4" w:space="0" w:color="auto"/>
              <w:right w:val="single" w:sz="4" w:space="0" w:color="auto"/>
            </w:tcBorders>
            <w:vAlign w:val="center"/>
          </w:tcPr>
          <w:p w14:paraId="67C053A2" w14:textId="2C146943"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64FB5EF5" w14:textId="5382FB31" w:rsidR="0083501B" w:rsidRPr="00795F17" w:rsidRDefault="0083501B" w:rsidP="0083501B">
            <w:pPr>
              <w:pStyle w:val="Teksttabelisrodek"/>
            </w:pPr>
            <w:r w:rsidRPr="00795F17">
              <w:t>X</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B65A7B2" w14:textId="77777777" w:rsidR="0083501B" w:rsidRPr="00795F17" w:rsidRDefault="0083501B" w:rsidP="0083501B">
            <w:pPr>
              <w:pStyle w:val="Teksttabelisrodek"/>
            </w:pPr>
            <w:r w:rsidRPr="00795F17">
              <w:t>X</w:t>
            </w:r>
          </w:p>
        </w:tc>
      </w:tr>
      <w:tr w:rsidR="0083501B" w:rsidRPr="00795F17" w14:paraId="4E1E9DC9"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359BDB4" w14:textId="77777777" w:rsidR="0083501B" w:rsidRPr="00795F17" w:rsidRDefault="0083501B" w:rsidP="0083501B">
            <w:pPr>
              <w:pStyle w:val="Teksttabelisrodek"/>
            </w:pPr>
            <w:r w:rsidRPr="00795F17">
              <w:t>Ni</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4CF9BB3" w14:textId="77777777" w:rsidR="0083501B" w:rsidRPr="00795F17" w:rsidRDefault="0083501B" w:rsidP="0083501B">
            <w:pPr>
              <w:pStyle w:val="Teksttabelisrodek"/>
            </w:pPr>
            <w:r w:rsidRPr="00795F17">
              <w:t>A1, B</w:t>
            </w:r>
          </w:p>
        </w:tc>
        <w:tc>
          <w:tcPr>
            <w:tcW w:w="1076" w:type="dxa"/>
            <w:tcBorders>
              <w:top w:val="single" w:sz="4" w:space="0" w:color="auto"/>
              <w:left w:val="nil"/>
              <w:bottom w:val="single" w:sz="4" w:space="0" w:color="auto"/>
              <w:right w:val="single" w:sz="4" w:space="0" w:color="auto"/>
            </w:tcBorders>
            <w:vAlign w:val="center"/>
          </w:tcPr>
          <w:p w14:paraId="256F61C1" w14:textId="3209A5CC"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39DD10B7" w14:textId="075FDDCB" w:rsidR="0083501B" w:rsidRPr="00795F17" w:rsidRDefault="0083501B" w:rsidP="0083501B">
            <w:pPr>
              <w:pStyle w:val="Teksttabelisrodek"/>
            </w:pPr>
            <w:r w:rsidRPr="00795F17">
              <w:t>-</w:t>
            </w:r>
          </w:p>
        </w:tc>
        <w:tc>
          <w:tcPr>
            <w:tcW w:w="1251" w:type="dxa"/>
            <w:tcBorders>
              <w:top w:val="single" w:sz="4" w:space="0" w:color="auto"/>
              <w:left w:val="single" w:sz="4" w:space="0" w:color="auto"/>
              <w:bottom w:val="single" w:sz="4" w:space="0" w:color="auto"/>
              <w:right w:val="single" w:sz="4" w:space="0" w:color="auto"/>
            </w:tcBorders>
            <w:vAlign w:val="center"/>
          </w:tcPr>
          <w:p w14:paraId="5B3EBC60" w14:textId="2616E777"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58A75EC0" w14:textId="62EB618A" w:rsidR="0083501B" w:rsidRPr="00795F17" w:rsidRDefault="0083501B" w:rsidP="0083501B">
            <w:pPr>
              <w:pStyle w:val="Teksttabelisrodek"/>
            </w:pPr>
            <w:r w:rsidRPr="00795F17">
              <w:t>-</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E024025" w14:textId="37AFAAE6" w:rsidR="0083501B" w:rsidRPr="00795F17" w:rsidRDefault="0083501B" w:rsidP="0083501B">
            <w:pPr>
              <w:pStyle w:val="Teksttabelisrodek"/>
            </w:pPr>
            <w:r w:rsidRPr="00795F17">
              <w:t>-</w:t>
            </w:r>
          </w:p>
        </w:tc>
      </w:tr>
      <w:tr w:rsidR="0083501B" w:rsidRPr="00795F17" w14:paraId="2F04B270"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7980742" w14:textId="77777777" w:rsidR="0083501B" w:rsidRPr="00795F17" w:rsidRDefault="0083501B" w:rsidP="0083501B">
            <w:pPr>
              <w:pStyle w:val="Teksttabelisrodek"/>
            </w:pPr>
            <w:r w:rsidRPr="00795F17">
              <w:t>TOC</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E5B1D48" w14:textId="393ED0C0" w:rsidR="0083501B" w:rsidRPr="00795F17" w:rsidRDefault="0083501B" w:rsidP="0083501B">
            <w:pPr>
              <w:pStyle w:val="Teksttabelisrodek"/>
            </w:pPr>
            <w:r w:rsidRPr="00795F17">
              <w:t>A1, A2, B, geogeniczne</w:t>
            </w:r>
          </w:p>
        </w:tc>
        <w:tc>
          <w:tcPr>
            <w:tcW w:w="1076" w:type="dxa"/>
            <w:tcBorders>
              <w:top w:val="single" w:sz="4" w:space="0" w:color="auto"/>
              <w:left w:val="nil"/>
              <w:bottom w:val="single" w:sz="4" w:space="0" w:color="auto"/>
              <w:right w:val="single" w:sz="4" w:space="0" w:color="auto"/>
            </w:tcBorders>
            <w:vAlign w:val="center"/>
          </w:tcPr>
          <w:p w14:paraId="28B23313" w14:textId="372A589A"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02E2831C" w14:textId="03CC58DE" w:rsidR="0083501B" w:rsidRPr="00795F17" w:rsidRDefault="0083501B" w:rsidP="0083501B">
            <w:pPr>
              <w:pStyle w:val="Teksttabelisrodek"/>
            </w:pPr>
            <w:r w:rsidRPr="00795F17">
              <w:t>-</w:t>
            </w:r>
          </w:p>
        </w:tc>
        <w:tc>
          <w:tcPr>
            <w:tcW w:w="1251" w:type="dxa"/>
            <w:tcBorders>
              <w:top w:val="single" w:sz="4" w:space="0" w:color="auto"/>
              <w:left w:val="single" w:sz="4" w:space="0" w:color="auto"/>
              <w:bottom w:val="single" w:sz="4" w:space="0" w:color="auto"/>
              <w:right w:val="single" w:sz="4" w:space="0" w:color="auto"/>
            </w:tcBorders>
            <w:vAlign w:val="center"/>
          </w:tcPr>
          <w:p w14:paraId="3AF0E466" w14:textId="57BA7594"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75D8D5F2" w14:textId="7B09C3B2" w:rsidR="0083501B" w:rsidRPr="00795F17" w:rsidRDefault="0083501B" w:rsidP="0083501B">
            <w:pPr>
              <w:pStyle w:val="Teksttabelisrodek"/>
            </w:pPr>
            <w:r w:rsidRPr="00795F17">
              <w:t>-</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363B393" w14:textId="77777777" w:rsidR="0083501B" w:rsidRPr="00795F17" w:rsidRDefault="0083501B" w:rsidP="0083501B">
            <w:pPr>
              <w:pStyle w:val="Teksttabelisrodek"/>
            </w:pPr>
            <w:r w:rsidRPr="00795F17">
              <w:t>X</w:t>
            </w:r>
          </w:p>
        </w:tc>
      </w:tr>
      <w:tr w:rsidR="0083501B" w:rsidRPr="00795F17" w14:paraId="115131FC"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23E33E0" w14:textId="77777777" w:rsidR="0083501B" w:rsidRPr="00795F17" w:rsidRDefault="0083501B" w:rsidP="0083501B">
            <w:pPr>
              <w:pStyle w:val="Teksttabelisrodek"/>
            </w:pPr>
            <w:r w:rsidRPr="00795F17">
              <w:t>Na</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758F344" w14:textId="29C319C3" w:rsidR="0083501B" w:rsidRPr="00795F17" w:rsidRDefault="0083501B" w:rsidP="0083501B">
            <w:pPr>
              <w:pStyle w:val="Teksttabelisrodek"/>
            </w:pPr>
            <w:r w:rsidRPr="00795F17">
              <w:t>A1, A2, B</w:t>
            </w:r>
          </w:p>
        </w:tc>
        <w:tc>
          <w:tcPr>
            <w:tcW w:w="1076" w:type="dxa"/>
            <w:tcBorders>
              <w:top w:val="single" w:sz="4" w:space="0" w:color="auto"/>
              <w:left w:val="nil"/>
              <w:bottom w:val="single" w:sz="4" w:space="0" w:color="auto"/>
              <w:right w:val="single" w:sz="4" w:space="0" w:color="auto"/>
            </w:tcBorders>
            <w:vAlign w:val="center"/>
          </w:tcPr>
          <w:p w14:paraId="543EC6AE" w14:textId="6E95EF73"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2B69D9EA" w14:textId="5179DEE4" w:rsidR="0083501B" w:rsidRPr="00795F17" w:rsidRDefault="0083501B" w:rsidP="0083501B">
            <w:pPr>
              <w:pStyle w:val="Teksttabelisrodek"/>
            </w:pPr>
            <w:r w:rsidRPr="00795F17">
              <w:t>X</w:t>
            </w:r>
          </w:p>
        </w:tc>
        <w:tc>
          <w:tcPr>
            <w:tcW w:w="1251" w:type="dxa"/>
            <w:tcBorders>
              <w:top w:val="single" w:sz="4" w:space="0" w:color="auto"/>
              <w:left w:val="single" w:sz="4" w:space="0" w:color="auto"/>
              <w:bottom w:val="single" w:sz="4" w:space="0" w:color="auto"/>
              <w:right w:val="single" w:sz="4" w:space="0" w:color="auto"/>
            </w:tcBorders>
            <w:vAlign w:val="center"/>
          </w:tcPr>
          <w:p w14:paraId="5CA2A418" w14:textId="273D9532"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51E2F4FD" w14:textId="40A57854" w:rsidR="0083501B" w:rsidRPr="00795F17" w:rsidRDefault="0083501B" w:rsidP="0083501B">
            <w:pPr>
              <w:pStyle w:val="Teksttabelisrodek"/>
            </w:pPr>
            <w:r w:rsidRPr="00795F17">
              <w:t>-</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7601F88" w14:textId="77777777" w:rsidR="0083501B" w:rsidRPr="00795F17" w:rsidRDefault="0083501B" w:rsidP="0083501B">
            <w:pPr>
              <w:pStyle w:val="Teksttabelisrodek"/>
            </w:pPr>
            <w:r w:rsidRPr="00795F17">
              <w:t>X</w:t>
            </w:r>
          </w:p>
        </w:tc>
      </w:tr>
      <w:tr w:rsidR="0083501B" w:rsidRPr="00795F17" w14:paraId="3ACA0441"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2F75135" w14:textId="77777777" w:rsidR="0083501B" w:rsidRPr="00795F17" w:rsidRDefault="0083501B" w:rsidP="0083501B">
            <w:pPr>
              <w:pStyle w:val="Teksttabelisrodek"/>
            </w:pPr>
            <w:r w:rsidRPr="00795F17">
              <w:t>Cl</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4F35518" w14:textId="2E38A401" w:rsidR="0083501B" w:rsidRPr="00795F17" w:rsidRDefault="0083501B" w:rsidP="0083501B">
            <w:pPr>
              <w:pStyle w:val="Teksttabelisrodek"/>
            </w:pPr>
            <w:r w:rsidRPr="00795F17">
              <w:t>A1, A2, B</w:t>
            </w:r>
          </w:p>
        </w:tc>
        <w:tc>
          <w:tcPr>
            <w:tcW w:w="1076" w:type="dxa"/>
            <w:tcBorders>
              <w:top w:val="single" w:sz="4" w:space="0" w:color="auto"/>
              <w:left w:val="nil"/>
              <w:bottom w:val="single" w:sz="4" w:space="0" w:color="auto"/>
              <w:right w:val="single" w:sz="4" w:space="0" w:color="auto"/>
            </w:tcBorders>
            <w:vAlign w:val="center"/>
          </w:tcPr>
          <w:p w14:paraId="75A1E15C" w14:textId="090FF103"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396E2758" w14:textId="4B68AB0B" w:rsidR="0083501B" w:rsidRPr="00795F17" w:rsidRDefault="0083501B" w:rsidP="0083501B">
            <w:pPr>
              <w:pStyle w:val="Teksttabelisrodek"/>
            </w:pPr>
            <w:r w:rsidRPr="00795F17">
              <w:t>X</w:t>
            </w:r>
          </w:p>
        </w:tc>
        <w:tc>
          <w:tcPr>
            <w:tcW w:w="1251" w:type="dxa"/>
            <w:tcBorders>
              <w:top w:val="single" w:sz="4" w:space="0" w:color="auto"/>
              <w:left w:val="single" w:sz="4" w:space="0" w:color="auto"/>
              <w:bottom w:val="single" w:sz="4" w:space="0" w:color="auto"/>
              <w:right w:val="single" w:sz="4" w:space="0" w:color="auto"/>
            </w:tcBorders>
            <w:vAlign w:val="center"/>
          </w:tcPr>
          <w:p w14:paraId="0FAE2102" w14:textId="00915E42"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6CF00AC1" w14:textId="27060150" w:rsidR="0083501B" w:rsidRPr="00795F17" w:rsidRDefault="0083501B" w:rsidP="0083501B">
            <w:pPr>
              <w:pStyle w:val="Teksttabelisrodek"/>
            </w:pPr>
            <w:r w:rsidRPr="00795F17">
              <w:t>-</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F952325" w14:textId="77777777" w:rsidR="0083501B" w:rsidRPr="00795F17" w:rsidRDefault="0083501B" w:rsidP="0083501B">
            <w:pPr>
              <w:pStyle w:val="Teksttabelisrodek"/>
            </w:pPr>
            <w:r w:rsidRPr="00795F17">
              <w:t>X</w:t>
            </w:r>
          </w:p>
        </w:tc>
      </w:tr>
      <w:tr w:rsidR="0083501B" w:rsidRPr="00795F17" w14:paraId="701AFB0C"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311F8CB" w14:textId="77777777" w:rsidR="0083501B" w:rsidRPr="00795F17" w:rsidRDefault="0083501B" w:rsidP="0083501B">
            <w:pPr>
              <w:pStyle w:val="Teksttabelisrodek"/>
            </w:pPr>
            <w:r w:rsidRPr="00795F17">
              <w:t>pH</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3827305" w14:textId="5035B048" w:rsidR="0083501B" w:rsidRPr="00795F17" w:rsidRDefault="0083501B" w:rsidP="0083501B">
            <w:pPr>
              <w:pStyle w:val="Teksttabelisrodek"/>
            </w:pPr>
            <w:r w:rsidRPr="00795F17">
              <w:t>A1, A2, B</w:t>
            </w:r>
          </w:p>
        </w:tc>
        <w:tc>
          <w:tcPr>
            <w:tcW w:w="1076" w:type="dxa"/>
            <w:tcBorders>
              <w:top w:val="single" w:sz="4" w:space="0" w:color="auto"/>
              <w:left w:val="nil"/>
              <w:bottom w:val="single" w:sz="4" w:space="0" w:color="auto"/>
              <w:right w:val="single" w:sz="4" w:space="0" w:color="auto"/>
            </w:tcBorders>
            <w:vAlign w:val="center"/>
          </w:tcPr>
          <w:p w14:paraId="2990D508" w14:textId="439DB8A9"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5144FD24" w14:textId="09769326" w:rsidR="0083501B" w:rsidRPr="00795F17" w:rsidRDefault="0083501B" w:rsidP="0083501B">
            <w:pPr>
              <w:pStyle w:val="Teksttabelisrodek"/>
            </w:pPr>
            <w:r w:rsidRPr="00795F17">
              <w:t>X</w:t>
            </w:r>
          </w:p>
        </w:tc>
        <w:tc>
          <w:tcPr>
            <w:tcW w:w="1251" w:type="dxa"/>
            <w:tcBorders>
              <w:top w:val="single" w:sz="4" w:space="0" w:color="auto"/>
              <w:left w:val="single" w:sz="4" w:space="0" w:color="auto"/>
              <w:bottom w:val="single" w:sz="4" w:space="0" w:color="auto"/>
              <w:right w:val="single" w:sz="4" w:space="0" w:color="auto"/>
            </w:tcBorders>
            <w:vAlign w:val="center"/>
          </w:tcPr>
          <w:p w14:paraId="59782A59" w14:textId="63D9BB34"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645B9774" w14:textId="2C6D28E3" w:rsidR="0083501B" w:rsidRPr="00795F17" w:rsidRDefault="0083501B" w:rsidP="0083501B">
            <w:pPr>
              <w:pStyle w:val="Teksttabelisrodek"/>
            </w:pPr>
            <w:r w:rsidRPr="00795F17">
              <w:t>-</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9DEF23F" w14:textId="0D419941" w:rsidR="0083501B" w:rsidRPr="00795F17" w:rsidRDefault="0083501B" w:rsidP="0083501B">
            <w:pPr>
              <w:pStyle w:val="Teksttabelisrodek"/>
            </w:pPr>
            <w:r w:rsidRPr="00795F17">
              <w:t>-</w:t>
            </w:r>
          </w:p>
        </w:tc>
      </w:tr>
      <w:tr w:rsidR="0083501B" w:rsidRPr="00795F17" w14:paraId="5474C85D"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61DF4BE" w14:textId="77777777" w:rsidR="0083501B" w:rsidRPr="00795F17" w:rsidRDefault="0083501B" w:rsidP="0083501B">
            <w:pPr>
              <w:pStyle w:val="Teksttabelisrodek"/>
            </w:pPr>
            <w:r w:rsidRPr="00795F17">
              <w:t>HCO</w:t>
            </w:r>
            <w:r w:rsidRPr="00795F17">
              <w:rPr>
                <w:vertAlign w:val="subscript"/>
              </w:rPr>
              <w:t>3</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64300C1" w14:textId="65AD25CB" w:rsidR="0083501B" w:rsidRPr="00795F17" w:rsidRDefault="0083501B" w:rsidP="0083501B">
            <w:pPr>
              <w:pStyle w:val="Teksttabelisrodek"/>
            </w:pPr>
            <w:r w:rsidRPr="00795F17">
              <w:t>A1, A2, B</w:t>
            </w:r>
          </w:p>
        </w:tc>
        <w:tc>
          <w:tcPr>
            <w:tcW w:w="1076" w:type="dxa"/>
            <w:tcBorders>
              <w:top w:val="single" w:sz="4" w:space="0" w:color="auto"/>
              <w:left w:val="nil"/>
              <w:bottom w:val="single" w:sz="4" w:space="0" w:color="auto"/>
              <w:right w:val="single" w:sz="4" w:space="0" w:color="auto"/>
            </w:tcBorders>
            <w:vAlign w:val="center"/>
          </w:tcPr>
          <w:p w14:paraId="7E747C08" w14:textId="14C20A8E"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2995F5E9" w14:textId="24F7DD97" w:rsidR="0083501B" w:rsidRPr="00795F17" w:rsidRDefault="0083501B" w:rsidP="0083501B">
            <w:pPr>
              <w:pStyle w:val="Teksttabelisrodek"/>
            </w:pPr>
            <w:r w:rsidRPr="00795F17">
              <w:t>X</w:t>
            </w:r>
          </w:p>
        </w:tc>
        <w:tc>
          <w:tcPr>
            <w:tcW w:w="1251" w:type="dxa"/>
            <w:tcBorders>
              <w:top w:val="single" w:sz="4" w:space="0" w:color="auto"/>
              <w:left w:val="single" w:sz="4" w:space="0" w:color="auto"/>
              <w:bottom w:val="single" w:sz="4" w:space="0" w:color="auto"/>
              <w:right w:val="single" w:sz="4" w:space="0" w:color="auto"/>
            </w:tcBorders>
            <w:vAlign w:val="center"/>
          </w:tcPr>
          <w:p w14:paraId="22DB361E" w14:textId="32EFA0B2"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0A1FD5A3" w14:textId="72C66999" w:rsidR="0083501B" w:rsidRPr="00795F17" w:rsidRDefault="0083501B" w:rsidP="0083501B">
            <w:pPr>
              <w:pStyle w:val="Teksttabelisrodek"/>
            </w:pPr>
            <w:r w:rsidRPr="00795F17">
              <w:t>-</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CDB22F6" w14:textId="28A11680" w:rsidR="0083501B" w:rsidRPr="00795F17" w:rsidRDefault="0083501B" w:rsidP="0083501B">
            <w:pPr>
              <w:pStyle w:val="Teksttabelisrodek"/>
            </w:pPr>
            <w:r w:rsidRPr="00795F17">
              <w:t>-</w:t>
            </w:r>
          </w:p>
        </w:tc>
      </w:tr>
      <w:tr w:rsidR="0083501B" w:rsidRPr="00795F17" w14:paraId="5692C162"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F378A21" w14:textId="77777777" w:rsidR="0083501B" w:rsidRPr="00795F17" w:rsidRDefault="0083501B" w:rsidP="0083501B">
            <w:pPr>
              <w:pStyle w:val="Teksttabelisrodek"/>
            </w:pPr>
            <w:r w:rsidRPr="00795F17">
              <w:t>PEW</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0BACE82" w14:textId="2D44E8AC" w:rsidR="0083501B" w:rsidRPr="00795F17" w:rsidRDefault="0083501B" w:rsidP="0083501B">
            <w:pPr>
              <w:pStyle w:val="Teksttabelisrodek"/>
            </w:pPr>
            <w:r w:rsidRPr="00795F17">
              <w:t>A1, A2, B</w:t>
            </w:r>
          </w:p>
        </w:tc>
        <w:tc>
          <w:tcPr>
            <w:tcW w:w="1076" w:type="dxa"/>
            <w:tcBorders>
              <w:top w:val="single" w:sz="4" w:space="0" w:color="auto"/>
              <w:left w:val="nil"/>
              <w:bottom w:val="single" w:sz="4" w:space="0" w:color="auto"/>
              <w:right w:val="single" w:sz="4" w:space="0" w:color="auto"/>
            </w:tcBorders>
            <w:vAlign w:val="center"/>
          </w:tcPr>
          <w:p w14:paraId="57570C4B" w14:textId="731BB749"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39F39A6F" w14:textId="53FCB9F4" w:rsidR="0083501B" w:rsidRPr="00795F17" w:rsidRDefault="0083501B" w:rsidP="0083501B">
            <w:pPr>
              <w:pStyle w:val="Teksttabelisrodek"/>
            </w:pPr>
            <w:r w:rsidRPr="00795F17">
              <w:t>-</w:t>
            </w:r>
          </w:p>
        </w:tc>
        <w:tc>
          <w:tcPr>
            <w:tcW w:w="1251" w:type="dxa"/>
            <w:tcBorders>
              <w:top w:val="single" w:sz="4" w:space="0" w:color="auto"/>
              <w:left w:val="single" w:sz="4" w:space="0" w:color="auto"/>
              <w:bottom w:val="single" w:sz="4" w:space="0" w:color="auto"/>
              <w:right w:val="single" w:sz="4" w:space="0" w:color="auto"/>
            </w:tcBorders>
            <w:vAlign w:val="center"/>
          </w:tcPr>
          <w:p w14:paraId="7CEFC279" w14:textId="2DF493B3"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59528D15" w14:textId="40CE0A51" w:rsidR="0083501B" w:rsidRPr="00795F17" w:rsidRDefault="0083501B" w:rsidP="0083501B">
            <w:pPr>
              <w:pStyle w:val="Teksttabelisrodek"/>
            </w:pPr>
            <w:r w:rsidRPr="00795F17">
              <w:t>-</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061E608" w14:textId="46E8F5B4" w:rsidR="0083501B" w:rsidRPr="00795F17" w:rsidRDefault="0083501B" w:rsidP="0083501B">
            <w:pPr>
              <w:pStyle w:val="Teksttabelisrodek"/>
            </w:pPr>
            <w:r w:rsidRPr="00795F17">
              <w:t>-</w:t>
            </w:r>
          </w:p>
        </w:tc>
      </w:tr>
      <w:tr w:rsidR="0083501B" w:rsidRPr="00795F17" w14:paraId="5DBB7A53"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711C1F0" w14:textId="77777777" w:rsidR="0083501B" w:rsidRPr="00795F17" w:rsidRDefault="0083501B" w:rsidP="0083501B">
            <w:pPr>
              <w:pStyle w:val="Teksttabelisrodek"/>
            </w:pPr>
            <w:r w:rsidRPr="00795F17">
              <w:t>SO</w:t>
            </w:r>
            <w:r w:rsidRPr="00795F17">
              <w:rPr>
                <w:vertAlign w:val="subscript"/>
              </w:rPr>
              <w:t>4</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F49FF42" w14:textId="3178210C" w:rsidR="0083501B" w:rsidRPr="00795F17" w:rsidRDefault="0083501B" w:rsidP="0083501B">
            <w:pPr>
              <w:pStyle w:val="Teksttabelisrodek"/>
            </w:pPr>
            <w:r w:rsidRPr="00795F17">
              <w:t>A1, A2, B</w:t>
            </w:r>
          </w:p>
        </w:tc>
        <w:tc>
          <w:tcPr>
            <w:tcW w:w="1076" w:type="dxa"/>
            <w:tcBorders>
              <w:top w:val="single" w:sz="4" w:space="0" w:color="auto"/>
              <w:left w:val="nil"/>
              <w:bottom w:val="single" w:sz="4" w:space="0" w:color="auto"/>
              <w:right w:val="single" w:sz="4" w:space="0" w:color="auto"/>
            </w:tcBorders>
            <w:vAlign w:val="center"/>
          </w:tcPr>
          <w:p w14:paraId="55C7529D" w14:textId="09535339"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159142A3" w14:textId="2176A627" w:rsidR="0083501B" w:rsidRPr="00795F17" w:rsidRDefault="0083501B" w:rsidP="0083501B">
            <w:pPr>
              <w:pStyle w:val="Teksttabelisrodek"/>
            </w:pPr>
            <w:r w:rsidRPr="00795F17">
              <w:t>-</w:t>
            </w:r>
          </w:p>
        </w:tc>
        <w:tc>
          <w:tcPr>
            <w:tcW w:w="1251" w:type="dxa"/>
            <w:tcBorders>
              <w:top w:val="single" w:sz="4" w:space="0" w:color="auto"/>
              <w:left w:val="single" w:sz="4" w:space="0" w:color="auto"/>
              <w:bottom w:val="single" w:sz="4" w:space="0" w:color="auto"/>
              <w:right w:val="single" w:sz="4" w:space="0" w:color="auto"/>
            </w:tcBorders>
            <w:vAlign w:val="center"/>
          </w:tcPr>
          <w:p w14:paraId="6E7450CB" w14:textId="1AD2F500"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19333F6E" w14:textId="3B6EA975" w:rsidR="0083501B" w:rsidRPr="00795F17" w:rsidRDefault="0083501B" w:rsidP="0083501B">
            <w:pPr>
              <w:pStyle w:val="Teksttabelisrodek"/>
            </w:pPr>
            <w:r w:rsidRPr="00795F17">
              <w:t>X</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917BE3A" w14:textId="7226E5FC" w:rsidR="0083501B" w:rsidRPr="00795F17" w:rsidRDefault="0083501B" w:rsidP="0083501B">
            <w:pPr>
              <w:pStyle w:val="Teksttabelisrodek"/>
            </w:pPr>
            <w:r w:rsidRPr="00795F17">
              <w:t>-</w:t>
            </w:r>
          </w:p>
        </w:tc>
      </w:tr>
      <w:tr w:rsidR="0083501B" w:rsidRPr="00795F17" w14:paraId="3EA42390"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C50A32E" w14:textId="77777777" w:rsidR="0083501B" w:rsidRPr="00795F17" w:rsidRDefault="0083501B" w:rsidP="0083501B">
            <w:pPr>
              <w:pStyle w:val="Teksttabelisrodek"/>
            </w:pPr>
            <w:r w:rsidRPr="00795F17">
              <w:t>K</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C912488" w14:textId="77777777" w:rsidR="0083501B" w:rsidRPr="00795F17" w:rsidRDefault="0083501B" w:rsidP="0083501B">
            <w:pPr>
              <w:pStyle w:val="Teksttabelisrodek"/>
            </w:pPr>
            <w:r w:rsidRPr="00795F17">
              <w:t>A1, A2</w:t>
            </w:r>
          </w:p>
        </w:tc>
        <w:tc>
          <w:tcPr>
            <w:tcW w:w="1076" w:type="dxa"/>
            <w:tcBorders>
              <w:top w:val="single" w:sz="4" w:space="0" w:color="auto"/>
              <w:left w:val="nil"/>
              <w:bottom w:val="single" w:sz="4" w:space="0" w:color="auto"/>
              <w:right w:val="single" w:sz="4" w:space="0" w:color="auto"/>
            </w:tcBorders>
            <w:vAlign w:val="center"/>
          </w:tcPr>
          <w:p w14:paraId="0F12E981" w14:textId="5CAC742B"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67C5ABF8" w14:textId="5FD0D7D8" w:rsidR="0083501B" w:rsidRPr="00795F17" w:rsidRDefault="0083501B" w:rsidP="0083501B">
            <w:pPr>
              <w:pStyle w:val="Teksttabelisrodek"/>
            </w:pPr>
            <w:r w:rsidRPr="00795F17">
              <w:t>-</w:t>
            </w:r>
          </w:p>
        </w:tc>
        <w:tc>
          <w:tcPr>
            <w:tcW w:w="1251" w:type="dxa"/>
            <w:tcBorders>
              <w:top w:val="single" w:sz="4" w:space="0" w:color="auto"/>
              <w:left w:val="single" w:sz="4" w:space="0" w:color="auto"/>
              <w:bottom w:val="single" w:sz="4" w:space="0" w:color="auto"/>
              <w:right w:val="single" w:sz="4" w:space="0" w:color="auto"/>
            </w:tcBorders>
            <w:vAlign w:val="center"/>
          </w:tcPr>
          <w:p w14:paraId="3078F646" w14:textId="2A0DB29B"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6E05EF98" w14:textId="1F67B3CA" w:rsidR="0083501B" w:rsidRPr="00795F17" w:rsidRDefault="0083501B" w:rsidP="0083501B">
            <w:pPr>
              <w:pStyle w:val="Teksttabelisrodek"/>
            </w:pPr>
            <w:r w:rsidRPr="00795F17">
              <w:t>X</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749C8AC4" w14:textId="77777777" w:rsidR="0083501B" w:rsidRPr="00795F17" w:rsidRDefault="0083501B" w:rsidP="0083501B">
            <w:pPr>
              <w:pStyle w:val="Teksttabelisrodek"/>
            </w:pPr>
            <w:r w:rsidRPr="00795F17">
              <w:t>X</w:t>
            </w:r>
          </w:p>
        </w:tc>
      </w:tr>
      <w:tr w:rsidR="0083501B" w:rsidRPr="00795F17" w14:paraId="39E9DAF7"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9F52C58" w14:textId="77777777" w:rsidR="0083501B" w:rsidRPr="00795F17" w:rsidRDefault="0083501B" w:rsidP="0083501B">
            <w:pPr>
              <w:pStyle w:val="Teksttabelisrodek"/>
            </w:pPr>
            <w:r w:rsidRPr="00795F17">
              <w:t>As</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DB30E6E" w14:textId="77777777" w:rsidR="0083501B" w:rsidRPr="00795F17" w:rsidRDefault="0083501B" w:rsidP="0083501B">
            <w:pPr>
              <w:pStyle w:val="Teksttabelisrodek"/>
            </w:pPr>
            <w:r w:rsidRPr="00795F17">
              <w:t>A1, A2</w:t>
            </w:r>
          </w:p>
        </w:tc>
        <w:tc>
          <w:tcPr>
            <w:tcW w:w="1076" w:type="dxa"/>
            <w:tcBorders>
              <w:top w:val="single" w:sz="4" w:space="0" w:color="auto"/>
              <w:left w:val="nil"/>
              <w:bottom w:val="single" w:sz="4" w:space="0" w:color="auto"/>
              <w:right w:val="single" w:sz="4" w:space="0" w:color="auto"/>
            </w:tcBorders>
            <w:vAlign w:val="center"/>
          </w:tcPr>
          <w:p w14:paraId="5A68CD2A" w14:textId="5EF173E1"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67A1C390" w14:textId="69F563B7" w:rsidR="0083501B" w:rsidRPr="00795F17" w:rsidRDefault="0083501B" w:rsidP="0083501B">
            <w:pPr>
              <w:pStyle w:val="Teksttabelisrodek"/>
            </w:pPr>
            <w:r w:rsidRPr="00795F17">
              <w:t>X</w:t>
            </w:r>
          </w:p>
        </w:tc>
        <w:tc>
          <w:tcPr>
            <w:tcW w:w="1251" w:type="dxa"/>
            <w:tcBorders>
              <w:top w:val="single" w:sz="4" w:space="0" w:color="auto"/>
              <w:left w:val="single" w:sz="4" w:space="0" w:color="auto"/>
              <w:bottom w:val="single" w:sz="4" w:space="0" w:color="auto"/>
              <w:right w:val="single" w:sz="4" w:space="0" w:color="auto"/>
            </w:tcBorders>
            <w:vAlign w:val="center"/>
          </w:tcPr>
          <w:p w14:paraId="4FF06B4A" w14:textId="6A89A139"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56EDEA97" w14:textId="68690E64" w:rsidR="0083501B" w:rsidRPr="00795F17" w:rsidRDefault="0083501B" w:rsidP="0083501B">
            <w:pPr>
              <w:pStyle w:val="Teksttabelisrodek"/>
            </w:pPr>
            <w:r w:rsidRPr="00795F17">
              <w:t>-</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CC080D4" w14:textId="77777777" w:rsidR="0083501B" w:rsidRPr="00795F17" w:rsidRDefault="0083501B" w:rsidP="0083501B">
            <w:pPr>
              <w:pStyle w:val="Teksttabelisrodek"/>
            </w:pPr>
            <w:r w:rsidRPr="00795F17">
              <w:t>X</w:t>
            </w:r>
          </w:p>
        </w:tc>
      </w:tr>
      <w:tr w:rsidR="0083501B" w:rsidRPr="00795F17" w14:paraId="2692B237"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B820A53" w14:textId="77777777" w:rsidR="0083501B" w:rsidRPr="00795F17" w:rsidRDefault="0083501B" w:rsidP="0083501B">
            <w:pPr>
              <w:pStyle w:val="Teksttabelisrodek"/>
            </w:pPr>
            <w:r w:rsidRPr="00795F17">
              <w:t>U</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6D2EEC4" w14:textId="77777777" w:rsidR="0083501B" w:rsidRPr="00795F17" w:rsidRDefault="0083501B" w:rsidP="0083501B">
            <w:pPr>
              <w:pStyle w:val="Teksttabelisrodek"/>
            </w:pPr>
            <w:r w:rsidRPr="00795F17">
              <w:t>A1, A2</w:t>
            </w:r>
          </w:p>
        </w:tc>
        <w:tc>
          <w:tcPr>
            <w:tcW w:w="1076" w:type="dxa"/>
            <w:tcBorders>
              <w:top w:val="single" w:sz="4" w:space="0" w:color="auto"/>
              <w:left w:val="nil"/>
              <w:bottom w:val="single" w:sz="4" w:space="0" w:color="auto"/>
              <w:right w:val="single" w:sz="4" w:space="0" w:color="auto"/>
            </w:tcBorders>
            <w:vAlign w:val="center"/>
          </w:tcPr>
          <w:p w14:paraId="179AD174" w14:textId="6FF76BE8"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5B9C926F" w14:textId="05FF530D" w:rsidR="0083501B" w:rsidRPr="00795F17" w:rsidRDefault="0083501B" w:rsidP="0083501B">
            <w:pPr>
              <w:pStyle w:val="Teksttabelisrodek"/>
            </w:pPr>
            <w:r w:rsidRPr="00795F17">
              <w:t>X</w:t>
            </w:r>
          </w:p>
        </w:tc>
        <w:tc>
          <w:tcPr>
            <w:tcW w:w="1251" w:type="dxa"/>
            <w:tcBorders>
              <w:top w:val="single" w:sz="4" w:space="0" w:color="auto"/>
              <w:left w:val="single" w:sz="4" w:space="0" w:color="auto"/>
              <w:bottom w:val="single" w:sz="4" w:space="0" w:color="auto"/>
              <w:right w:val="single" w:sz="4" w:space="0" w:color="auto"/>
            </w:tcBorders>
            <w:vAlign w:val="center"/>
          </w:tcPr>
          <w:p w14:paraId="19D5EB84" w14:textId="3CFAFB66"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39CC3248" w14:textId="215A1382" w:rsidR="0083501B" w:rsidRPr="00795F17" w:rsidRDefault="0083501B" w:rsidP="0083501B">
            <w:pPr>
              <w:pStyle w:val="Teksttabelisrodek"/>
            </w:pPr>
            <w:r w:rsidRPr="00795F17">
              <w:t>-</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259AB43" w14:textId="77777777" w:rsidR="0083501B" w:rsidRPr="00795F17" w:rsidRDefault="0083501B" w:rsidP="0083501B">
            <w:pPr>
              <w:pStyle w:val="Teksttabelisrodek"/>
            </w:pPr>
            <w:r w:rsidRPr="00795F17">
              <w:t>X</w:t>
            </w:r>
          </w:p>
        </w:tc>
      </w:tr>
      <w:tr w:rsidR="0083501B" w:rsidRPr="00795F17" w14:paraId="0064197F"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4CBA592" w14:textId="77777777" w:rsidR="0083501B" w:rsidRPr="00795F17" w:rsidRDefault="0083501B" w:rsidP="0083501B">
            <w:pPr>
              <w:pStyle w:val="Teksttabelisrodek"/>
            </w:pPr>
            <w:r w:rsidRPr="00795F17">
              <w:t>B</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39BB7B7" w14:textId="77777777" w:rsidR="0083501B" w:rsidRPr="00795F17" w:rsidRDefault="0083501B" w:rsidP="0083501B">
            <w:pPr>
              <w:pStyle w:val="Teksttabelisrodek"/>
            </w:pPr>
            <w:r w:rsidRPr="00795F17">
              <w:t>A1, A2</w:t>
            </w:r>
          </w:p>
        </w:tc>
        <w:tc>
          <w:tcPr>
            <w:tcW w:w="1076" w:type="dxa"/>
            <w:tcBorders>
              <w:top w:val="single" w:sz="4" w:space="0" w:color="auto"/>
              <w:left w:val="nil"/>
              <w:bottom w:val="single" w:sz="4" w:space="0" w:color="auto"/>
              <w:right w:val="single" w:sz="4" w:space="0" w:color="auto"/>
            </w:tcBorders>
            <w:vAlign w:val="center"/>
          </w:tcPr>
          <w:p w14:paraId="3366BDE8" w14:textId="01F39613"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48F26A8B" w14:textId="2F21DEF5" w:rsidR="0083501B" w:rsidRPr="00795F17" w:rsidRDefault="0083501B" w:rsidP="0083501B">
            <w:pPr>
              <w:pStyle w:val="Teksttabelisrodek"/>
            </w:pPr>
            <w:r w:rsidRPr="00795F17">
              <w:t>-</w:t>
            </w:r>
          </w:p>
        </w:tc>
        <w:tc>
          <w:tcPr>
            <w:tcW w:w="1251" w:type="dxa"/>
            <w:tcBorders>
              <w:top w:val="single" w:sz="4" w:space="0" w:color="auto"/>
              <w:left w:val="single" w:sz="4" w:space="0" w:color="auto"/>
              <w:bottom w:val="single" w:sz="4" w:space="0" w:color="auto"/>
              <w:right w:val="single" w:sz="4" w:space="0" w:color="auto"/>
            </w:tcBorders>
            <w:vAlign w:val="center"/>
          </w:tcPr>
          <w:p w14:paraId="58D94F01" w14:textId="038B3CEB"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65440F2D" w14:textId="17AB1B66" w:rsidR="0083501B" w:rsidRPr="00795F17" w:rsidRDefault="0083501B" w:rsidP="0083501B">
            <w:pPr>
              <w:pStyle w:val="Teksttabelisrodek"/>
            </w:pPr>
            <w:r w:rsidRPr="00795F17">
              <w:t>-</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A47F842" w14:textId="3000D89D" w:rsidR="0083501B" w:rsidRPr="00795F17" w:rsidRDefault="0083501B" w:rsidP="0083501B">
            <w:pPr>
              <w:pStyle w:val="Teksttabelisrodek"/>
            </w:pPr>
            <w:r w:rsidRPr="00795F17">
              <w:t>-</w:t>
            </w:r>
          </w:p>
        </w:tc>
      </w:tr>
      <w:tr w:rsidR="0083501B" w:rsidRPr="00795F17" w14:paraId="214D6423"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B32D99B" w14:textId="77777777" w:rsidR="0083501B" w:rsidRPr="00795F17" w:rsidRDefault="0083501B" w:rsidP="0083501B">
            <w:pPr>
              <w:pStyle w:val="Teksttabelisrodek"/>
            </w:pPr>
            <w:r w:rsidRPr="00795F17">
              <w:t>Ca</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8D2D931" w14:textId="77777777" w:rsidR="0083501B" w:rsidRPr="00795F17" w:rsidRDefault="0083501B" w:rsidP="0083501B">
            <w:pPr>
              <w:pStyle w:val="Teksttabelisrodek"/>
            </w:pPr>
            <w:r w:rsidRPr="00795F17">
              <w:t>A1, A2</w:t>
            </w:r>
          </w:p>
        </w:tc>
        <w:tc>
          <w:tcPr>
            <w:tcW w:w="1076" w:type="dxa"/>
            <w:tcBorders>
              <w:top w:val="single" w:sz="4" w:space="0" w:color="auto"/>
              <w:left w:val="nil"/>
              <w:bottom w:val="single" w:sz="4" w:space="0" w:color="auto"/>
              <w:right w:val="single" w:sz="4" w:space="0" w:color="auto"/>
            </w:tcBorders>
            <w:vAlign w:val="center"/>
          </w:tcPr>
          <w:p w14:paraId="40B6E388" w14:textId="78D114DD"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48D59B07" w14:textId="4173308D" w:rsidR="0083501B" w:rsidRPr="00795F17" w:rsidRDefault="0083501B" w:rsidP="0083501B">
            <w:pPr>
              <w:pStyle w:val="Teksttabelisrodek"/>
            </w:pPr>
            <w:r w:rsidRPr="00795F17">
              <w:t>-</w:t>
            </w:r>
          </w:p>
        </w:tc>
        <w:tc>
          <w:tcPr>
            <w:tcW w:w="1251" w:type="dxa"/>
            <w:tcBorders>
              <w:top w:val="single" w:sz="4" w:space="0" w:color="auto"/>
              <w:left w:val="single" w:sz="4" w:space="0" w:color="auto"/>
              <w:bottom w:val="single" w:sz="4" w:space="0" w:color="auto"/>
              <w:right w:val="single" w:sz="4" w:space="0" w:color="auto"/>
            </w:tcBorders>
            <w:vAlign w:val="center"/>
          </w:tcPr>
          <w:p w14:paraId="032F3BFE" w14:textId="0FACB414"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4EC32566" w14:textId="1A46E23C" w:rsidR="0083501B" w:rsidRPr="00795F17" w:rsidRDefault="0083501B" w:rsidP="0083501B">
            <w:pPr>
              <w:pStyle w:val="Teksttabelisrodek"/>
            </w:pPr>
            <w:r w:rsidRPr="00795F17">
              <w:t>-</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C7A762A" w14:textId="77777777" w:rsidR="0083501B" w:rsidRPr="00795F17" w:rsidRDefault="0083501B" w:rsidP="0083501B">
            <w:pPr>
              <w:pStyle w:val="Teksttabelisrodek"/>
            </w:pPr>
            <w:r w:rsidRPr="00795F17">
              <w:t>X</w:t>
            </w:r>
          </w:p>
        </w:tc>
      </w:tr>
      <w:tr w:rsidR="0083501B" w:rsidRPr="00795F17" w14:paraId="0905C182"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1075481" w14:textId="77777777" w:rsidR="0083501B" w:rsidRPr="00795F17" w:rsidRDefault="0083501B" w:rsidP="0083501B">
            <w:pPr>
              <w:pStyle w:val="Teksttabelisrodek"/>
            </w:pPr>
            <w:r w:rsidRPr="00795F17">
              <w:t>Benzo(a)piren</w:t>
            </w:r>
          </w:p>
        </w:tc>
        <w:tc>
          <w:tcPr>
            <w:tcW w:w="2152" w:type="dxa"/>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01419EC7" w14:textId="77777777" w:rsidR="0083501B" w:rsidRPr="00795F17" w:rsidRDefault="0083501B" w:rsidP="0083501B">
            <w:pPr>
              <w:pStyle w:val="Teksttabelisrodek"/>
            </w:pPr>
            <w:r w:rsidRPr="00795F17">
              <w:t>A1, A2</w:t>
            </w:r>
          </w:p>
        </w:tc>
        <w:tc>
          <w:tcPr>
            <w:tcW w:w="1076" w:type="dxa"/>
            <w:tcBorders>
              <w:top w:val="single" w:sz="4" w:space="0" w:color="auto"/>
              <w:left w:val="nil"/>
              <w:bottom w:val="single" w:sz="4" w:space="0" w:color="auto"/>
              <w:right w:val="single" w:sz="4" w:space="0" w:color="auto"/>
            </w:tcBorders>
            <w:vAlign w:val="center"/>
          </w:tcPr>
          <w:p w14:paraId="1549B169" w14:textId="081A6AD0"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097FCA9C" w14:textId="77777777" w:rsidR="0083501B" w:rsidRPr="00795F17" w:rsidRDefault="0083501B" w:rsidP="0083501B">
            <w:pPr>
              <w:pStyle w:val="Teksttabelisrodek"/>
            </w:pPr>
          </w:p>
        </w:tc>
        <w:tc>
          <w:tcPr>
            <w:tcW w:w="1251" w:type="dxa"/>
            <w:tcBorders>
              <w:top w:val="single" w:sz="4" w:space="0" w:color="auto"/>
              <w:left w:val="single" w:sz="4" w:space="0" w:color="auto"/>
              <w:bottom w:val="single" w:sz="4" w:space="0" w:color="auto"/>
              <w:right w:val="single" w:sz="4" w:space="0" w:color="auto"/>
            </w:tcBorders>
            <w:vAlign w:val="center"/>
          </w:tcPr>
          <w:p w14:paraId="69DD39AA" w14:textId="6F851949"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26CB808E" w14:textId="2C61EAE5" w:rsidR="0083501B" w:rsidRPr="00795F17" w:rsidRDefault="0083501B" w:rsidP="0083501B">
            <w:pPr>
              <w:pStyle w:val="Teksttabelisrodek"/>
            </w:pPr>
            <w:r w:rsidRPr="00795F17">
              <w:t>-</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67AB94A" w14:textId="2F20765D" w:rsidR="0083501B" w:rsidRPr="00795F17" w:rsidRDefault="0083501B" w:rsidP="0083501B">
            <w:pPr>
              <w:pStyle w:val="Teksttabelisrodek"/>
            </w:pPr>
            <w:r w:rsidRPr="00795F17">
              <w:t>-</w:t>
            </w:r>
          </w:p>
        </w:tc>
      </w:tr>
      <w:tr w:rsidR="0083501B" w:rsidRPr="00795F17" w14:paraId="03659579"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CDD3FDD" w14:textId="77777777" w:rsidR="0083501B" w:rsidRPr="00795F17" w:rsidRDefault="0083501B" w:rsidP="0083501B">
            <w:pPr>
              <w:pStyle w:val="Teksttabelisrodek"/>
            </w:pPr>
            <w:r w:rsidRPr="00795F17">
              <w:t>NH</w:t>
            </w:r>
            <w:r w:rsidRPr="00795F17">
              <w:rPr>
                <w:vertAlign w:val="subscript"/>
              </w:rPr>
              <w:t>4</w:t>
            </w:r>
          </w:p>
        </w:tc>
        <w:tc>
          <w:tcPr>
            <w:tcW w:w="2152" w:type="dxa"/>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0EE7DE80" w14:textId="77777777" w:rsidR="0083501B" w:rsidRPr="00795F17" w:rsidRDefault="0083501B" w:rsidP="0083501B">
            <w:pPr>
              <w:pStyle w:val="Teksttabelisrodek"/>
            </w:pPr>
            <w:r w:rsidRPr="00795F17">
              <w:t>A1, A1, geogeniczne</w:t>
            </w:r>
          </w:p>
        </w:tc>
        <w:tc>
          <w:tcPr>
            <w:tcW w:w="1076" w:type="dxa"/>
            <w:tcBorders>
              <w:top w:val="single" w:sz="4" w:space="0" w:color="auto"/>
              <w:left w:val="nil"/>
              <w:bottom w:val="single" w:sz="4" w:space="0" w:color="auto"/>
              <w:right w:val="single" w:sz="4" w:space="0" w:color="auto"/>
            </w:tcBorders>
            <w:vAlign w:val="center"/>
          </w:tcPr>
          <w:p w14:paraId="5BE62123" w14:textId="77777777" w:rsidR="0083501B" w:rsidRPr="00795F17" w:rsidRDefault="0083501B" w:rsidP="0083501B">
            <w:pPr>
              <w:pStyle w:val="Teksttabelisrodek"/>
            </w:pPr>
          </w:p>
        </w:tc>
        <w:tc>
          <w:tcPr>
            <w:tcW w:w="1075" w:type="dxa"/>
            <w:tcBorders>
              <w:top w:val="single" w:sz="4" w:space="0" w:color="auto"/>
              <w:left w:val="single" w:sz="4" w:space="0" w:color="auto"/>
              <w:bottom w:val="single" w:sz="4" w:space="0" w:color="auto"/>
              <w:right w:val="single" w:sz="4" w:space="0" w:color="auto"/>
            </w:tcBorders>
            <w:vAlign w:val="center"/>
          </w:tcPr>
          <w:p w14:paraId="57832B9F" w14:textId="7B1A5900" w:rsidR="0083501B" w:rsidRPr="00795F17" w:rsidRDefault="0083501B" w:rsidP="0083501B">
            <w:pPr>
              <w:pStyle w:val="Teksttabelisrodek"/>
            </w:pPr>
            <w:r w:rsidRPr="00795F17">
              <w:t>X</w:t>
            </w:r>
          </w:p>
        </w:tc>
        <w:tc>
          <w:tcPr>
            <w:tcW w:w="1251" w:type="dxa"/>
            <w:tcBorders>
              <w:top w:val="single" w:sz="4" w:space="0" w:color="auto"/>
              <w:left w:val="single" w:sz="4" w:space="0" w:color="auto"/>
              <w:bottom w:val="single" w:sz="4" w:space="0" w:color="auto"/>
              <w:right w:val="single" w:sz="4" w:space="0" w:color="auto"/>
            </w:tcBorders>
            <w:vAlign w:val="center"/>
          </w:tcPr>
          <w:p w14:paraId="21FA7DD1" w14:textId="6028044C"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366695AC" w14:textId="437D1787" w:rsidR="0083501B" w:rsidRPr="00795F17" w:rsidRDefault="0083501B" w:rsidP="0083501B">
            <w:pPr>
              <w:pStyle w:val="Teksttabelisrodek"/>
            </w:pPr>
            <w:r w:rsidRPr="00795F17">
              <w:t>-</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5E6D614" w14:textId="0B698862" w:rsidR="0083501B" w:rsidRPr="00795F17" w:rsidRDefault="0083501B" w:rsidP="0083501B">
            <w:pPr>
              <w:pStyle w:val="Teksttabelisrodek"/>
            </w:pPr>
            <w:r w:rsidRPr="00795F17">
              <w:t>-</w:t>
            </w:r>
          </w:p>
        </w:tc>
      </w:tr>
      <w:tr w:rsidR="0083501B" w:rsidRPr="00795F17" w14:paraId="7F6F731E"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B23EF16" w14:textId="77777777" w:rsidR="0083501B" w:rsidRPr="00795F17" w:rsidRDefault="0083501B" w:rsidP="0083501B">
            <w:pPr>
              <w:pStyle w:val="Teksttabelisrodek"/>
            </w:pPr>
            <w:r w:rsidRPr="00795F17">
              <w:t>Zn</w:t>
            </w:r>
          </w:p>
        </w:tc>
        <w:tc>
          <w:tcPr>
            <w:tcW w:w="2152" w:type="dxa"/>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5C981EAB" w14:textId="77777777" w:rsidR="0083501B" w:rsidRPr="00795F17" w:rsidRDefault="0083501B" w:rsidP="0083501B">
            <w:pPr>
              <w:pStyle w:val="Teksttabelisrodek"/>
            </w:pPr>
            <w:r w:rsidRPr="00795F17">
              <w:t>A1</w:t>
            </w:r>
          </w:p>
        </w:tc>
        <w:tc>
          <w:tcPr>
            <w:tcW w:w="1076" w:type="dxa"/>
            <w:tcBorders>
              <w:top w:val="single" w:sz="4" w:space="0" w:color="auto"/>
              <w:left w:val="nil"/>
              <w:bottom w:val="single" w:sz="4" w:space="0" w:color="auto"/>
              <w:right w:val="single" w:sz="4" w:space="0" w:color="auto"/>
            </w:tcBorders>
            <w:vAlign w:val="center"/>
          </w:tcPr>
          <w:p w14:paraId="4FEC9C41" w14:textId="78804FCD"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09EC2C9D" w14:textId="3CD555A7" w:rsidR="0083501B" w:rsidRPr="00795F17" w:rsidRDefault="0083501B" w:rsidP="0083501B">
            <w:pPr>
              <w:pStyle w:val="Teksttabelisrodek"/>
            </w:pPr>
            <w:r w:rsidRPr="00795F17">
              <w:t>-</w:t>
            </w:r>
          </w:p>
        </w:tc>
        <w:tc>
          <w:tcPr>
            <w:tcW w:w="1251" w:type="dxa"/>
            <w:tcBorders>
              <w:top w:val="single" w:sz="4" w:space="0" w:color="auto"/>
              <w:left w:val="single" w:sz="4" w:space="0" w:color="auto"/>
              <w:bottom w:val="single" w:sz="4" w:space="0" w:color="auto"/>
              <w:right w:val="single" w:sz="4" w:space="0" w:color="auto"/>
            </w:tcBorders>
            <w:vAlign w:val="center"/>
          </w:tcPr>
          <w:p w14:paraId="62A4CD63" w14:textId="7A39BE55"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518FDD46" w14:textId="30FC62B2" w:rsidR="0083501B" w:rsidRPr="00795F17" w:rsidRDefault="0083501B" w:rsidP="0083501B">
            <w:pPr>
              <w:pStyle w:val="Teksttabelisrodek"/>
            </w:pPr>
            <w:r w:rsidRPr="00795F17">
              <w:t>-</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4AE0FE6" w14:textId="6AA1CCB9" w:rsidR="0083501B" w:rsidRPr="00795F17" w:rsidRDefault="0083501B" w:rsidP="0083501B">
            <w:pPr>
              <w:pStyle w:val="Teksttabelisrodek"/>
            </w:pPr>
            <w:r w:rsidRPr="00795F17">
              <w:t>-</w:t>
            </w:r>
          </w:p>
        </w:tc>
      </w:tr>
      <w:tr w:rsidR="0083501B" w:rsidRPr="00795F17" w14:paraId="004D33AF"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1A04FEA" w14:textId="77777777" w:rsidR="0083501B" w:rsidRPr="00795F17" w:rsidRDefault="0083501B" w:rsidP="0083501B">
            <w:pPr>
              <w:pStyle w:val="Teksttabelisrodek"/>
            </w:pPr>
            <w:r w:rsidRPr="00795F17">
              <w:t>Fe</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E26B454" w14:textId="77777777" w:rsidR="0083501B" w:rsidRPr="00795F17" w:rsidRDefault="0083501B" w:rsidP="0083501B">
            <w:pPr>
              <w:pStyle w:val="Teksttabelisrodek"/>
            </w:pPr>
            <w:r w:rsidRPr="00795F17">
              <w:t>geogeniczne</w:t>
            </w:r>
          </w:p>
        </w:tc>
        <w:tc>
          <w:tcPr>
            <w:tcW w:w="1076" w:type="dxa"/>
            <w:tcBorders>
              <w:top w:val="single" w:sz="4" w:space="0" w:color="auto"/>
              <w:left w:val="nil"/>
              <w:bottom w:val="single" w:sz="4" w:space="0" w:color="auto"/>
              <w:right w:val="single" w:sz="4" w:space="0" w:color="auto"/>
            </w:tcBorders>
            <w:vAlign w:val="center"/>
          </w:tcPr>
          <w:p w14:paraId="2111466B" w14:textId="6D826C0C"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537F695F" w14:textId="5F43BCDC" w:rsidR="0083501B" w:rsidRPr="00795F17" w:rsidRDefault="0083501B" w:rsidP="0083501B">
            <w:pPr>
              <w:pStyle w:val="Teksttabelisrodek"/>
            </w:pPr>
            <w:r w:rsidRPr="00795F17">
              <w:t>X</w:t>
            </w:r>
          </w:p>
        </w:tc>
        <w:tc>
          <w:tcPr>
            <w:tcW w:w="1251" w:type="dxa"/>
            <w:tcBorders>
              <w:top w:val="single" w:sz="4" w:space="0" w:color="auto"/>
              <w:left w:val="single" w:sz="4" w:space="0" w:color="auto"/>
              <w:bottom w:val="single" w:sz="4" w:space="0" w:color="auto"/>
              <w:right w:val="single" w:sz="4" w:space="0" w:color="auto"/>
            </w:tcBorders>
            <w:vAlign w:val="center"/>
          </w:tcPr>
          <w:p w14:paraId="274D5AD2" w14:textId="1447C435"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0ADE9CA8" w14:textId="5D631989" w:rsidR="0083501B" w:rsidRPr="00795F17" w:rsidRDefault="0083501B" w:rsidP="0083501B">
            <w:pPr>
              <w:pStyle w:val="Teksttabelisrodek"/>
            </w:pPr>
            <w:r w:rsidRPr="00795F17">
              <w:t>-</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11DA852" w14:textId="77777777" w:rsidR="0083501B" w:rsidRPr="00795F17" w:rsidRDefault="0083501B" w:rsidP="0083501B">
            <w:pPr>
              <w:pStyle w:val="Teksttabelisrodek"/>
            </w:pPr>
            <w:r w:rsidRPr="00795F17">
              <w:t>X</w:t>
            </w:r>
          </w:p>
        </w:tc>
      </w:tr>
      <w:tr w:rsidR="0083501B" w:rsidRPr="00795F17" w14:paraId="4ECC310D" w14:textId="77777777" w:rsidTr="003D7BF3">
        <w:trPr>
          <w:trHeight w:val="454"/>
        </w:trPr>
        <w:tc>
          <w:tcPr>
            <w:tcW w:w="15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CC47C4B" w14:textId="77777777" w:rsidR="0083501B" w:rsidRPr="00795F17" w:rsidRDefault="0083501B" w:rsidP="0083501B">
            <w:pPr>
              <w:pStyle w:val="Teksttabelisrodek"/>
            </w:pPr>
            <w:r w:rsidRPr="00795F17">
              <w:t>Mn</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8E11A2C" w14:textId="77777777" w:rsidR="0083501B" w:rsidRPr="00795F17" w:rsidRDefault="0083501B" w:rsidP="0083501B">
            <w:pPr>
              <w:pStyle w:val="Teksttabelisrodek"/>
            </w:pPr>
            <w:r w:rsidRPr="00795F17">
              <w:t>geogeniczne</w:t>
            </w:r>
          </w:p>
        </w:tc>
        <w:tc>
          <w:tcPr>
            <w:tcW w:w="1076" w:type="dxa"/>
            <w:tcBorders>
              <w:top w:val="single" w:sz="4" w:space="0" w:color="auto"/>
              <w:left w:val="nil"/>
              <w:bottom w:val="single" w:sz="4" w:space="0" w:color="auto"/>
              <w:right w:val="single" w:sz="4" w:space="0" w:color="auto"/>
            </w:tcBorders>
            <w:vAlign w:val="center"/>
          </w:tcPr>
          <w:p w14:paraId="2B9ED3C3" w14:textId="3F77FCE0"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7244C086" w14:textId="44B131EB" w:rsidR="0083501B" w:rsidRPr="00795F17" w:rsidRDefault="0083501B" w:rsidP="0083501B">
            <w:pPr>
              <w:pStyle w:val="Teksttabelisrodek"/>
            </w:pPr>
            <w:r w:rsidRPr="00795F17">
              <w:t>X</w:t>
            </w:r>
          </w:p>
        </w:tc>
        <w:tc>
          <w:tcPr>
            <w:tcW w:w="1251" w:type="dxa"/>
            <w:tcBorders>
              <w:top w:val="single" w:sz="4" w:space="0" w:color="auto"/>
              <w:left w:val="single" w:sz="4" w:space="0" w:color="auto"/>
              <w:bottom w:val="single" w:sz="4" w:space="0" w:color="auto"/>
              <w:right w:val="single" w:sz="4" w:space="0" w:color="auto"/>
            </w:tcBorders>
            <w:vAlign w:val="center"/>
          </w:tcPr>
          <w:p w14:paraId="2A126858" w14:textId="203EEC83"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602505B8" w14:textId="3DD77290" w:rsidR="0083501B" w:rsidRPr="00795F17" w:rsidRDefault="0083501B" w:rsidP="0083501B">
            <w:pPr>
              <w:pStyle w:val="Teksttabelisrodek"/>
            </w:pPr>
            <w:r w:rsidRPr="00795F17">
              <w:t>-</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0570553" w14:textId="5E2EFCE4" w:rsidR="0083501B" w:rsidRPr="00795F17" w:rsidRDefault="0083501B" w:rsidP="0083501B">
            <w:pPr>
              <w:pStyle w:val="Teksttabelisrodek"/>
            </w:pPr>
            <w:r w:rsidRPr="00795F17">
              <w:t>-</w:t>
            </w:r>
          </w:p>
        </w:tc>
      </w:tr>
    </w:tbl>
    <w:p w14:paraId="771B9C9A" w14:textId="77777777" w:rsidR="00E11336" w:rsidRPr="00795F17" w:rsidRDefault="00E11336" w:rsidP="00E11336">
      <w:pPr>
        <w:pStyle w:val="rdo"/>
        <w:rPr>
          <w:color w:val="000099"/>
          <w:sz w:val="20"/>
          <w:szCs w:val="20"/>
        </w:rPr>
      </w:pPr>
      <w:r w:rsidRPr="00795F17">
        <w:t>Źródło: opracowanie własne</w:t>
      </w:r>
    </w:p>
    <w:p w14:paraId="0A0519ED" w14:textId="526F7D81" w:rsidR="00BB3B21" w:rsidRPr="00795F17" w:rsidRDefault="00D12B8D" w:rsidP="0044393D">
      <w:r>
        <w:t>S</w:t>
      </w:r>
      <w:r w:rsidR="00462DD4" w:rsidRPr="00795F17">
        <w:t xml:space="preserve">łaby stan chemiczny odnotowano </w:t>
      </w:r>
      <w:r w:rsidR="003F5575" w:rsidRPr="00795F17">
        <w:t>we wszystkich</w:t>
      </w:r>
      <w:r w:rsidR="00462DD4" w:rsidRPr="00795F17">
        <w:t xml:space="preserve"> regionach</w:t>
      </w:r>
      <w:r w:rsidR="003F5575" w:rsidRPr="00795F17">
        <w:t xml:space="preserve"> wodnych obszaru dorzecza Odry. Poniższe wykresy</w:t>
      </w:r>
      <w:r w:rsidR="00462DD4" w:rsidRPr="00795F17">
        <w:t xml:space="preserve"> (</w:t>
      </w:r>
      <w:r w:rsidR="003A0A17" w:rsidRPr="00795F17">
        <w:t>w</w:t>
      </w:r>
      <w:r w:rsidR="00757CFC" w:rsidRPr="00795F17">
        <w:t>ykresy od 5-9 do 5-13</w:t>
      </w:r>
      <w:r w:rsidR="00462DD4" w:rsidRPr="00795F17">
        <w:t>)</w:t>
      </w:r>
      <w:r w:rsidR="003F5575" w:rsidRPr="00795F17">
        <w:t xml:space="preserve"> przedstawiają procent powierzchni poszczególnych regionów wodnych z </w:t>
      </w:r>
      <w:r w:rsidR="00DF005E">
        <w:t>JCWP</w:t>
      </w:r>
      <w:r w:rsidR="003F5575" w:rsidRPr="00795F17">
        <w:t>d o słabym stanie chemicznym</w:t>
      </w:r>
      <w:r w:rsidR="00462DD4" w:rsidRPr="00795F17">
        <w:t xml:space="preserve">. </w:t>
      </w:r>
    </w:p>
    <w:tbl>
      <w:tblPr>
        <w:tblStyle w:val="Siatkatabelijasn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C75D3" w:rsidRPr="00795F17" w14:paraId="37631939" w14:textId="77777777" w:rsidTr="001C75D3">
        <w:tc>
          <w:tcPr>
            <w:tcW w:w="4531" w:type="dxa"/>
          </w:tcPr>
          <w:p w14:paraId="00E93B42" w14:textId="6AC64711" w:rsidR="001C75D3" w:rsidRPr="00795F17" w:rsidRDefault="00BB3B21" w:rsidP="0044393D">
            <w:r w:rsidRPr="00795F17">
              <w:br w:type="column"/>
            </w:r>
            <w:r w:rsidR="001C75D3" w:rsidRPr="00795F17">
              <w:br w:type="column"/>
            </w:r>
            <w:r w:rsidR="001C75D3" w:rsidRPr="00795F17">
              <w:rPr>
                <w:noProof/>
                <w:lang w:eastAsia="pl-PL"/>
              </w:rPr>
              <w:drawing>
                <wp:inline distT="0" distB="0" distL="0" distR="0" wp14:anchorId="4753C0C1" wp14:editId="599DBA19">
                  <wp:extent cx="2700000" cy="1576125"/>
                  <wp:effectExtent l="0" t="0" r="5715" b="5080"/>
                  <wp:docPr id="25" name="Chart 9">
                    <a:extLst xmlns:a="http://schemas.openxmlformats.org/drawingml/2006/main">
                      <a:ext uri="{FF2B5EF4-FFF2-40B4-BE49-F238E27FC236}">
                        <a16:creationId xmlns:a16="http://schemas.microsoft.com/office/drawing/2014/main" id="{A018CDC3-7169-45E9-BAF0-F7CEBFA1F14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c>
          <w:tcPr>
            <w:tcW w:w="4531" w:type="dxa"/>
          </w:tcPr>
          <w:p w14:paraId="0E92F8E5" w14:textId="4D5E525C" w:rsidR="001C75D3" w:rsidRPr="00795F17" w:rsidRDefault="001C75D3" w:rsidP="0044393D">
            <w:r w:rsidRPr="00795F17">
              <w:rPr>
                <w:noProof/>
                <w:lang w:eastAsia="pl-PL"/>
              </w:rPr>
              <w:drawing>
                <wp:inline distT="0" distB="0" distL="0" distR="0" wp14:anchorId="368A7055" wp14:editId="12F9478C">
                  <wp:extent cx="2700000" cy="1575000"/>
                  <wp:effectExtent l="0" t="0" r="5715" b="6350"/>
                  <wp:docPr id="11" name="Chart 11">
                    <a:extLst xmlns:a="http://schemas.openxmlformats.org/drawingml/2006/main">
                      <a:ext uri="{FF2B5EF4-FFF2-40B4-BE49-F238E27FC236}">
                        <a16:creationId xmlns:a16="http://schemas.microsoft.com/office/drawing/2014/main" id="{AA05514B-80A5-44DB-87C7-7FDF7FC9BE83}"/>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r w:rsidR="001C75D3" w:rsidRPr="00795F17" w14:paraId="05F4080C" w14:textId="77777777" w:rsidTr="001C75D3">
        <w:tc>
          <w:tcPr>
            <w:tcW w:w="4531" w:type="dxa"/>
          </w:tcPr>
          <w:p w14:paraId="06F384CF" w14:textId="3629AC6B" w:rsidR="001C75D3" w:rsidRPr="00795F17" w:rsidRDefault="001C75D3" w:rsidP="00B479EE">
            <w:pPr>
              <w:pStyle w:val="Wykres"/>
            </w:pPr>
            <w:bookmarkStart w:id="256" w:name="_Toc66273005"/>
            <w:bookmarkStart w:id="257" w:name="_Toc105512963"/>
            <w:r w:rsidRPr="00795F17">
              <w:t xml:space="preserve">Wykres </w:t>
            </w:r>
            <w:fldSimple w:instr=" STYLEREF 1 \s ">
              <w:r w:rsidR="001F774D">
                <w:rPr>
                  <w:noProof/>
                </w:rPr>
                <w:t>5</w:t>
              </w:r>
            </w:fldSimple>
            <w:r w:rsidR="00FF20D3">
              <w:noBreakHyphen/>
            </w:r>
            <w:fldSimple w:instr=" SEQ Wykres \* ARABIC \s 1 ">
              <w:r w:rsidR="001F774D">
                <w:rPr>
                  <w:noProof/>
                </w:rPr>
                <w:t>9</w:t>
              </w:r>
            </w:fldSimple>
            <w:r w:rsidR="00DD6415">
              <w:rPr>
                <w:noProof/>
              </w:rPr>
              <w:t>.</w:t>
            </w:r>
            <w:r w:rsidRPr="00795F17">
              <w:tab/>
              <w:t xml:space="preserve">Procent powierzchni regionu wodnego Górnej Odry z </w:t>
            </w:r>
            <w:r w:rsidR="00DF005E">
              <w:t>JCWP</w:t>
            </w:r>
            <w:r w:rsidRPr="00795F17">
              <w:t>d o</w:t>
            </w:r>
            <w:r w:rsidR="00D12B8D">
              <w:t> </w:t>
            </w:r>
            <w:r w:rsidRPr="00795F17">
              <w:t>słabym stanie chemicznym</w:t>
            </w:r>
            <w:bookmarkEnd w:id="256"/>
            <w:bookmarkEnd w:id="257"/>
          </w:p>
          <w:p w14:paraId="6FCB6F3E" w14:textId="48D1D18E" w:rsidR="001C75D3" w:rsidRPr="00795F17" w:rsidRDefault="001C75D3" w:rsidP="001C75D3">
            <w:pPr>
              <w:pStyle w:val="rdo"/>
            </w:pPr>
            <w:r w:rsidRPr="00795F17">
              <w:t>Źródło: opracowanie własne</w:t>
            </w:r>
          </w:p>
        </w:tc>
        <w:tc>
          <w:tcPr>
            <w:tcW w:w="4531" w:type="dxa"/>
          </w:tcPr>
          <w:p w14:paraId="37312579" w14:textId="77C862C1" w:rsidR="001C75D3" w:rsidRPr="00795F17" w:rsidRDefault="001C75D3" w:rsidP="00B479EE">
            <w:pPr>
              <w:pStyle w:val="Wykres"/>
            </w:pPr>
            <w:bookmarkStart w:id="258" w:name="_Toc66273006"/>
            <w:bookmarkStart w:id="259" w:name="_Toc105512964"/>
            <w:r w:rsidRPr="00795F17">
              <w:t xml:space="preserve">Wykres </w:t>
            </w:r>
            <w:fldSimple w:instr=" STYLEREF 1 \s ">
              <w:r w:rsidR="001F774D">
                <w:rPr>
                  <w:noProof/>
                </w:rPr>
                <w:t>5</w:t>
              </w:r>
            </w:fldSimple>
            <w:r w:rsidR="00FF20D3">
              <w:noBreakHyphen/>
            </w:r>
            <w:fldSimple w:instr=" SEQ Wykres \* ARABIC \s 1 ">
              <w:r w:rsidR="001F774D">
                <w:rPr>
                  <w:noProof/>
                </w:rPr>
                <w:t>10</w:t>
              </w:r>
            </w:fldSimple>
            <w:r w:rsidR="00DD6415">
              <w:rPr>
                <w:noProof/>
              </w:rPr>
              <w:t>.</w:t>
            </w:r>
            <w:r w:rsidRPr="00795F17">
              <w:tab/>
              <w:t xml:space="preserve">Procent powierzchni regionu wodnego Środkowej Odry z </w:t>
            </w:r>
            <w:r w:rsidR="00DF005E">
              <w:t>JCWP</w:t>
            </w:r>
            <w:r w:rsidRPr="00795F17">
              <w:t>d o słabym stanie chemicznym</w:t>
            </w:r>
            <w:bookmarkEnd w:id="258"/>
            <w:bookmarkEnd w:id="259"/>
          </w:p>
          <w:p w14:paraId="6A778346" w14:textId="34611505" w:rsidR="001C75D3" w:rsidRPr="00795F17" w:rsidRDefault="001C75D3" w:rsidP="001C75D3">
            <w:pPr>
              <w:pStyle w:val="rdo"/>
              <w:rPr>
                <w:color w:val="000099"/>
                <w:sz w:val="20"/>
                <w:szCs w:val="20"/>
              </w:rPr>
            </w:pPr>
            <w:r w:rsidRPr="00795F17">
              <w:t>Źródło: opracowanie własne</w:t>
            </w:r>
          </w:p>
        </w:tc>
      </w:tr>
      <w:tr w:rsidR="001C75D3" w:rsidRPr="00795F17" w14:paraId="138190C7" w14:textId="77777777" w:rsidTr="001C75D3">
        <w:tc>
          <w:tcPr>
            <w:tcW w:w="4531" w:type="dxa"/>
          </w:tcPr>
          <w:p w14:paraId="7DE5723F" w14:textId="02E30784" w:rsidR="001C75D3" w:rsidRPr="00795F17" w:rsidRDefault="001C75D3" w:rsidP="0044393D">
            <w:r w:rsidRPr="00795F17">
              <w:rPr>
                <w:noProof/>
                <w:lang w:eastAsia="pl-PL"/>
              </w:rPr>
              <w:drawing>
                <wp:inline distT="0" distB="0" distL="0" distR="0" wp14:anchorId="5AA40CF2" wp14:editId="5F4D7E67">
                  <wp:extent cx="2700000" cy="1575000"/>
                  <wp:effectExtent l="0" t="0" r="5715" b="6350"/>
                  <wp:docPr id="12" name="Chart 12">
                    <a:extLst xmlns:a="http://schemas.openxmlformats.org/drawingml/2006/main">
                      <a:ext uri="{FF2B5EF4-FFF2-40B4-BE49-F238E27FC236}">
                        <a16:creationId xmlns:a16="http://schemas.microsoft.com/office/drawing/2014/main" id="{5DD02E84-2030-4C91-B0CA-F409D582B5B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c>
          <w:tcPr>
            <w:tcW w:w="4531" w:type="dxa"/>
          </w:tcPr>
          <w:p w14:paraId="665CDC70" w14:textId="26E8211E" w:rsidR="001C75D3" w:rsidRPr="00795F17" w:rsidRDefault="00261156" w:rsidP="0044393D">
            <w:r w:rsidRPr="00795F17">
              <w:rPr>
                <w:noProof/>
                <w:lang w:eastAsia="pl-PL"/>
              </w:rPr>
              <w:drawing>
                <wp:inline distT="0" distB="0" distL="0" distR="0" wp14:anchorId="324B410F" wp14:editId="003A8002">
                  <wp:extent cx="2700000" cy="1575000"/>
                  <wp:effectExtent l="0" t="0" r="5715" b="6350"/>
                  <wp:docPr id="13" name="Chart 13">
                    <a:extLst xmlns:a="http://schemas.openxmlformats.org/drawingml/2006/main">
                      <a:ext uri="{FF2B5EF4-FFF2-40B4-BE49-F238E27FC236}">
                        <a16:creationId xmlns:a16="http://schemas.microsoft.com/office/drawing/2014/main" id="{CB91B4BF-DC6C-429F-ABC7-89B74F513DBB}"/>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r w:rsidR="001C75D3" w:rsidRPr="00795F17" w14:paraId="11CF3F1E" w14:textId="77777777" w:rsidTr="001C75D3">
        <w:tc>
          <w:tcPr>
            <w:tcW w:w="4531" w:type="dxa"/>
          </w:tcPr>
          <w:p w14:paraId="7C7DBB9A" w14:textId="4AB79DDE" w:rsidR="00261156" w:rsidRPr="00795F17" w:rsidRDefault="00261156" w:rsidP="00B479EE">
            <w:pPr>
              <w:pStyle w:val="Wykres"/>
            </w:pPr>
            <w:bookmarkStart w:id="260" w:name="_Toc66273007"/>
            <w:bookmarkStart w:id="261" w:name="_Toc105512965"/>
            <w:r w:rsidRPr="00795F17">
              <w:t xml:space="preserve">Wykres </w:t>
            </w:r>
            <w:fldSimple w:instr=" STYLEREF 1 \s ">
              <w:r w:rsidR="001F774D">
                <w:rPr>
                  <w:noProof/>
                </w:rPr>
                <w:t>5</w:t>
              </w:r>
            </w:fldSimple>
            <w:r w:rsidR="00FF20D3">
              <w:noBreakHyphen/>
            </w:r>
            <w:fldSimple w:instr=" SEQ Wykres \* ARABIC \s 1 ">
              <w:r w:rsidR="001F774D">
                <w:rPr>
                  <w:noProof/>
                </w:rPr>
                <w:t>11</w:t>
              </w:r>
            </w:fldSimple>
            <w:r w:rsidR="00DD6415">
              <w:rPr>
                <w:noProof/>
              </w:rPr>
              <w:t>.</w:t>
            </w:r>
            <w:r w:rsidRPr="00795F17">
              <w:tab/>
              <w:t xml:space="preserve">Procent powierzchni regionu wodnego Dolnej Odry i Przymorza Zachodniego z </w:t>
            </w:r>
            <w:r w:rsidR="00DF005E">
              <w:t>JCWP</w:t>
            </w:r>
            <w:r w:rsidRPr="00795F17">
              <w:t>d o słabym stanie chemicznym</w:t>
            </w:r>
            <w:bookmarkEnd w:id="260"/>
            <w:bookmarkEnd w:id="261"/>
            <w:r w:rsidRPr="00795F17">
              <w:t xml:space="preserve"> </w:t>
            </w:r>
          </w:p>
          <w:p w14:paraId="7E930D2F" w14:textId="77777777" w:rsidR="00261156" w:rsidRPr="00795F17" w:rsidRDefault="00261156" w:rsidP="00261156">
            <w:pPr>
              <w:pStyle w:val="rdo"/>
            </w:pPr>
            <w:r w:rsidRPr="00795F17">
              <w:t>Źródło: opracowanie własne</w:t>
            </w:r>
          </w:p>
          <w:p w14:paraId="0F550BFF" w14:textId="1D30559C" w:rsidR="001C75D3" w:rsidRPr="00795F17" w:rsidRDefault="00261156" w:rsidP="0044393D">
            <w:r w:rsidRPr="00795F17">
              <w:rPr>
                <w:noProof/>
                <w:lang w:eastAsia="pl-PL"/>
              </w:rPr>
              <w:drawing>
                <wp:inline distT="0" distB="0" distL="0" distR="0" wp14:anchorId="6250F0F3" wp14:editId="3AF71FAB">
                  <wp:extent cx="2700000" cy="1575000"/>
                  <wp:effectExtent l="0" t="0" r="5715" b="6350"/>
                  <wp:docPr id="26" name="Chart 14">
                    <a:extLst xmlns:a="http://schemas.openxmlformats.org/drawingml/2006/main">
                      <a:ext uri="{FF2B5EF4-FFF2-40B4-BE49-F238E27FC236}">
                        <a16:creationId xmlns:a16="http://schemas.microsoft.com/office/drawing/2014/main" id="{38865332-4623-4F73-B022-D8EA724AEF1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c>
          <w:tcPr>
            <w:tcW w:w="4531" w:type="dxa"/>
          </w:tcPr>
          <w:p w14:paraId="121D0E1D" w14:textId="5D8176CE" w:rsidR="00261156" w:rsidRPr="00795F17" w:rsidRDefault="00261156" w:rsidP="00B479EE">
            <w:pPr>
              <w:pStyle w:val="Wykres"/>
            </w:pPr>
            <w:bookmarkStart w:id="262" w:name="_Hlk65371081"/>
            <w:bookmarkStart w:id="263" w:name="_Toc66273008"/>
            <w:bookmarkStart w:id="264" w:name="_Toc105512966"/>
            <w:r w:rsidRPr="00795F17">
              <w:t xml:space="preserve">Wykres </w:t>
            </w:r>
            <w:fldSimple w:instr=" STYLEREF 1 \s ">
              <w:r w:rsidR="001F774D">
                <w:rPr>
                  <w:noProof/>
                </w:rPr>
                <w:t>5</w:t>
              </w:r>
            </w:fldSimple>
            <w:r w:rsidR="00FF20D3">
              <w:noBreakHyphen/>
            </w:r>
            <w:fldSimple w:instr=" SEQ Wykres \* ARABIC \s 1 ">
              <w:r w:rsidR="001F774D">
                <w:rPr>
                  <w:noProof/>
                </w:rPr>
                <w:t>12</w:t>
              </w:r>
            </w:fldSimple>
            <w:r w:rsidR="00DD6415">
              <w:rPr>
                <w:noProof/>
              </w:rPr>
              <w:t>.</w:t>
            </w:r>
            <w:r w:rsidRPr="00795F17">
              <w:tab/>
            </w:r>
            <w:bookmarkEnd w:id="262"/>
            <w:r w:rsidRPr="00795F17">
              <w:t xml:space="preserve">Procent powierzchni regionu wodnego Warty z </w:t>
            </w:r>
            <w:r w:rsidR="00DF005E">
              <w:t>JCWP</w:t>
            </w:r>
            <w:r w:rsidRPr="00795F17">
              <w:t>d o słabym stanie chemicznym</w:t>
            </w:r>
            <w:bookmarkEnd w:id="263"/>
            <w:bookmarkEnd w:id="264"/>
          </w:p>
          <w:p w14:paraId="7FB32C0C" w14:textId="77777777" w:rsidR="00261156" w:rsidRPr="00795F17" w:rsidRDefault="00261156" w:rsidP="00261156">
            <w:pPr>
              <w:pStyle w:val="rdo"/>
              <w:rPr>
                <w:color w:val="000099"/>
                <w:sz w:val="20"/>
                <w:szCs w:val="20"/>
              </w:rPr>
            </w:pPr>
            <w:r w:rsidRPr="00795F17">
              <w:t>Źródło: opracowanie własne</w:t>
            </w:r>
          </w:p>
          <w:p w14:paraId="4CB9DFE5" w14:textId="77777777" w:rsidR="001C75D3" w:rsidRPr="00795F17" w:rsidRDefault="001C75D3" w:rsidP="0044393D"/>
        </w:tc>
      </w:tr>
      <w:tr w:rsidR="00261156" w:rsidRPr="00795F17" w14:paraId="78607061" w14:textId="77777777" w:rsidTr="001C75D3">
        <w:tc>
          <w:tcPr>
            <w:tcW w:w="4531" w:type="dxa"/>
          </w:tcPr>
          <w:p w14:paraId="533F7273" w14:textId="0130301C" w:rsidR="00261156" w:rsidRPr="00795F17" w:rsidRDefault="00261156" w:rsidP="00B479EE">
            <w:pPr>
              <w:pStyle w:val="Wykres"/>
            </w:pPr>
            <w:bookmarkStart w:id="265" w:name="_Toc66273009"/>
            <w:bookmarkStart w:id="266" w:name="_Toc105512967"/>
            <w:r w:rsidRPr="00795F17">
              <w:t xml:space="preserve">Wykres </w:t>
            </w:r>
            <w:fldSimple w:instr=" STYLEREF 1 \s ">
              <w:r w:rsidR="001F774D">
                <w:rPr>
                  <w:noProof/>
                </w:rPr>
                <w:t>5</w:t>
              </w:r>
            </w:fldSimple>
            <w:r w:rsidR="00FF20D3">
              <w:noBreakHyphen/>
            </w:r>
            <w:fldSimple w:instr=" SEQ Wykres \* ARABIC \s 1 ">
              <w:r w:rsidR="001F774D">
                <w:rPr>
                  <w:noProof/>
                </w:rPr>
                <w:t>13</w:t>
              </w:r>
            </w:fldSimple>
            <w:r w:rsidR="00DD6415">
              <w:rPr>
                <w:noProof/>
              </w:rPr>
              <w:t>.</w:t>
            </w:r>
            <w:r w:rsidRPr="00795F17">
              <w:tab/>
              <w:t xml:space="preserve">Procent powierzchni regionu wodnego Noteci z </w:t>
            </w:r>
            <w:r w:rsidR="00DF005E">
              <w:t>JCWP</w:t>
            </w:r>
            <w:r w:rsidRPr="00795F17">
              <w:t>d o słabym stanie chemicznym</w:t>
            </w:r>
            <w:bookmarkEnd w:id="265"/>
            <w:bookmarkEnd w:id="266"/>
          </w:p>
          <w:p w14:paraId="2C382DD9" w14:textId="441696D8" w:rsidR="00261156" w:rsidRPr="00795F17" w:rsidRDefault="00261156" w:rsidP="00261156">
            <w:pPr>
              <w:pStyle w:val="rdo"/>
            </w:pPr>
            <w:r w:rsidRPr="00795F17">
              <w:t>Źródło: opracowanie własne</w:t>
            </w:r>
          </w:p>
        </w:tc>
        <w:tc>
          <w:tcPr>
            <w:tcW w:w="4531" w:type="dxa"/>
          </w:tcPr>
          <w:p w14:paraId="0243A6BE" w14:textId="77777777" w:rsidR="00261156" w:rsidRPr="00795F17" w:rsidRDefault="00261156" w:rsidP="00B479EE">
            <w:pPr>
              <w:pStyle w:val="Wykres"/>
            </w:pPr>
          </w:p>
        </w:tc>
      </w:tr>
    </w:tbl>
    <w:p w14:paraId="5D7C342E" w14:textId="77777777" w:rsidR="00BB3B21" w:rsidRPr="00795F17" w:rsidRDefault="00BB3B21" w:rsidP="00DA1EF7">
      <w:pPr>
        <w:rPr>
          <w:i/>
          <w:iCs/>
        </w:rPr>
      </w:pPr>
    </w:p>
    <w:p w14:paraId="57DF3805" w14:textId="00EA9E0F" w:rsidR="00462DD4" w:rsidRPr="000363E1" w:rsidRDefault="00BB3B21" w:rsidP="00DA1EF7">
      <w:pPr>
        <w:rPr>
          <w:b/>
        </w:rPr>
      </w:pPr>
      <w:r w:rsidRPr="00795F17">
        <w:rPr>
          <w:i/>
          <w:iCs/>
        </w:rPr>
        <w:br w:type="column"/>
      </w:r>
      <w:r w:rsidR="00462DD4" w:rsidRPr="000363E1">
        <w:rPr>
          <w:b/>
        </w:rPr>
        <w:t>Ocena stanu ilościowego</w:t>
      </w:r>
    </w:p>
    <w:p w14:paraId="29750AD5" w14:textId="322973D3" w:rsidR="00462DD4" w:rsidRPr="00795F17" w:rsidRDefault="00462DD4" w:rsidP="0044393D">
      <w:r w:rsidRPr="00795F17">
        <w:t xml:space="preserve">Ocenę stanu ilościowego przeprowadzono dla wszystkich 66 </w:t>
      </w:r>
      <w:r w:rsidR="00DF005E">
        <w:t>JCWP</w:t>
      </w:r>
      <w:r w:rsidRPr="00795F17">
        <w:t xml:space="preserve">d, znajdujących się na obszarze dorzecza Odry. W 56 jednostkach stan </w:t>
      </w:r>
      <w:r w:rsidR="003E290A" w:rsidRPr="00795F17">
        <w:t>ilościowy</w:t>
      </w:r>
      <w:r w:rsidRPr="00795F17">
        <w:t xml:space="preserve"> określono jako dobry. Stan słaby stwierdzono w</w:t>
      </w:r>
      <w:r w:rsidR="00D12B8D">
        <w:t> </w:t>
      </w:r>
      <w:r w:rsidRPr="00795F17">
        <w:t xml:space="preserve">10 </w:t>
      </w:r>
      <w:r w:rsidR="00DF005E">
        <w:t>JCWP</w:t>
      </w:r>
      <w:r w:rsidRPr="00795F17">
        <w:t xml:space="preserve">d o </w:t>
      </w:r>
      <w:r w:rsidR="00BD2181" w:rsidRPr="00795F17">
        <w:t>nr</w:t>
      </w:r>
      <w:r w:rsidRPr="00795F17">
        <w:t xml:space="preserve">: </w:t>
      </w:r>
      <w:r w:rsidRPr="00795F17">
        <w:rPr>
          <w:rFonts w:eastAsia="Times New Roman"/>
          <w:color w:val="000000"/>
          <w:lang w:eastAsia="pl-PL"/>
        </w:rPr>
        <w:t>1, 9, 43, 62, 79, 83, 105, 124, 129 i 143</w:t>
      </w:r>
      <w:r w:rsidRPr="00795F17">
        <w:t xml:space="preserve">. Stan ilościowy </w:t>
      </w:r>
      <w:r w:rsidR="00DF005E">
        <w:t>JCWP</w:t>
      </w:r>
      <w:r w:rsidRPr="00795F17">
        <w:t xml:space="preserve">d na obszarze dorzecza Odry przedstawia tabela </w:t>
      </w:r>
      <w:r w:rsidR="00757CFC" w:rsidRPr="00795F17">
        <w:t>5-3</w:t>
      </w:r>
      <w:r w:rsidR="00130B6E" w:rsidRPr="00795F17">
        <w:t>3</w:t>
      </w:r>
      <w:r w:rsidR="00367E1D" w:rsidRPr="00795F17">
        <w:t xml:space="preserve">. Ocenę stanu ilościowego </w:t>
      </w:r>
      <w:r w:rsidR="00DF005E">
        <w:t>JCWP</w:t>
      </w:r>
      <w:r w:rsidR="00367E1D" w:rsidRPr="00795F17">
        <w:t>d przedstawiono również w</w:t>
      </w:r>
      <w:r w:rsidR="00686ED2" w:rsidRPr="00795F17">
        <w:t> </w:t>
      </w:r>
      <w:r w:rsidR="00367E1D" w:rsidRPr="00795F17">
        <w:t xml:space="preserve">załączniku graficznym nr </w:t>
      </w:r>
      <w:r w:rsidR="00190723">
        <w:t>41</w:t>
      </w:r>
      <w:r w:rsidR="00367E1D" w:rsidRPr="00795F17">
        <w:t>.</w:t>
      </w:r>
    </w:p>
    <w:p w14:paraId="0A2D6041" w14:textId="1EADF4EA" w:rsidR="00462DD4" w:rsidRPr="00795F17" w:rsidRDefault="00462DD4" w:rsidP="004D7705">
      <w:pPr>
        <w:pStyle w:val="Tabela"/>
      </w:pPr>
      <w:bookmarkStart w:id="267" w:name="_Toc66341886"/>
      <w:bookmarkStart w:id="268" w:name="_Toc105512797"/>
      <w:r w:rsidRPr="00795F17">
        <w:t xml:space="preserve">Tabela </w:t>
      </w:r>
      <w:fldSimple w:instr=" STYLEREF 1 \s ">
        <w:r w:rsidR="001F774D">
          <w:rPr>
            <w:noProof/>
          </w:rPr>
          <w:t>5</w:t>
        </w:r>
      </w:fldSimple>
      <w:r w:rsidR="00BB3B21" w:rsidRPr="00795F17">
        <w:noBreakHyphen/>
      </w:r>
      <w:fldSimple w:instr=" SEQ Tabela \* ARABIC \s 1 ">
        <w:r w:rsidR="001F774D">
          <w:rPr>
            <w:noProof/>
          </w:rPr>
          <w:t>33</w:t>
        </w:r>
      </w:fldSimple>
      <w:r w:rsidR="00E76356">
        <w:rPr>
          <w:noProof/>
        </w:rPr>
        <w:t>.</w:t>
      </w:r>
      <w:r w:rsidRPr="00795F17">
        <w:tab/>
        <w:t xml:space="preserve">Stan ilościowy </w:t>
      </w:r>
      <w:r w:rsidR="00DF005E">
        <w:t>JCWP</w:t>
      </w:r>
      <w:r w:rsidRPr="00795F17">
        <w:t>d na obszarze dorzecza Odry</w:t>
      </w:r>
      <w:bookmarkEnd w:id="267"/>
      <w:bookmarkEnd w:id="26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5"/>
        <w:gridCol w:w="1049"/>
        <w:gridCol w:w="4397"/>
        <w:gridCol w:w="2121"/>
      </w:tblGrid>
      <w:tr w:rsidR="00DA1EF7" w:rsidRPr="00795F17" w14:paraId="0222DCD7" w14:textId="77777777" w:rsidTr="003D7BF3">
        <w:trPr>
          <w:trHeight w:val="454"/>
          <w:tblHeader/>
          <w:jc w:val="center"/>
        </w:trPr>
        <w:tc>
          <w:tcPr>
            <w:tcW w:w="1404" w:type="pct"/>
            <w:gridSpan w:val="2"/>
            <w:shd w:val="clear" w:color="auto" w:fill="BFBFBF" w:themeFill="background1" w:themeFillShade="BF"/>
            <w:vAlign w:val="center"/>
          </w:tcPr>
          <w:p w14:paraId="13779EB4" w14:textId="2648B663" w:rsidR="00DA1EF7" w:rsidRPr="00795F17" w:rsidRDefault="00DA1EF7" w:rsidP="0044393D">
            <w:pPr>
              <w:pStyle w:val="Teksttabelinaglowek"/>
            </w:pPr>
            <w:r w:rsidRPr="00795F17">
              <w:t>Obszar dorzecza</w:t>
            </w:r>
          </w:p>
        </w:tc>
        <w:tc>
          <w:tcPr>
            <w:tcW w:w="3596" w:type="pct"/>
            <w:gridSpan w:val="2"/>
            <w:shd w:val="clear" w:color="auto" w:fill="BFBFBF" w:themeFill="background1" w:themeFillShade="BF"/>
            <w:vAlign w:val="center"/>
          </w:tcPr>
          <w:p w14:paraId="63E27802" w14:textId="170E10A9" w:rsidR="00DA1EF7" w:rsidRPr="00795F17" w:rsidRDefault="00DA1EF7" w:rsidP="0044393D">
            <w:pPr>
              <w:pStyle w:val="Teksttabelinaglowek"/>
            </w:pPr>
            <w:r w:rsidRPr="00795F17">
              <w:t xml:space="preserve">Numer </w:t>
            </w:r>
            <w:r w:rsidR="00DF005E">
              <w:t>JCWP</w:t>
            </w:r>
            <w:r w:rsidRPr="00795F17">
              <w:t>d</w:t>
            </w:r>
          </w:p>
        </w:tc>
      </w:tr>
      <w:tr w:rsidR="00DA1EF7" w:rsidRPr="00795F17" w14:paraId="5AA5E10E" w14:textId="77777777" w:rsidTr="003D7BF3">
        <w:trPr>
          <w:trHeight w:val="454"/>
          <w:tblHeader/>
          <w:jc w:val="center"/>
        </w:trPr>
        <w:tc>
          <w:tcPr>
            <w:tcW w:w="825" w:type="pct"/>
            <w:shd w:val="clear" w:color="auto" w:fill="BFBFBF" w:themeFill="background1" w:themeFillShade="BF"/>
            <w:vAlign w:val="center"/>
          </w:tcPr>
          <w:p w14:paraId="0E7EDE1A" w14:textId="77777777" w:rsidR="00DA1EF7" w:rsidRPr="00795F17" w:rsidRDefault="00DA1EF7" w:rsidP="0044393D">
            <w:pPr>
              <w:pStyle w:val="Teksttabelinaglowek"/>
            </w:pPr>
            <w:r w:rsidRPr="00795F17">
              <w:t>Kod europejski</w:t>
            </w:r>
          </w:p>
        </w:tc>
        <w:tc>
          <w:tcPr>
            <w:tcW w:w="579" w:type="pct"/>
            <w:shd w:val="clear" w:color="auto" w:fill="BFBFBF" w:themeFill="background1" w:themeFillShade="BF"/>
            <w:vAlign w:val="center"/>
          </w:tcPr>
          <w:p w14:paraId="341B558E" w14:textId="77777777" w:rsidR="00DA1EF7" w:rsidRPr="00795F17" w:rsidRDefault="00DA1EF7" w:rsidP="0044393D">
            <w:pPr>
              <w:pStyle w:val="Teksttabelinaglowek"/>
            </w:pPr>
            <w:r w:rsidRPr="00795F17">
              <w:t>Nazwa</w:t>
            </w:r>
          </w:p>
        </w:tc>
        <w:tc>
          <w:tcPr>
            <w:tcW w:w="2426" w:type="pct"/>
            <w:shd w:val="clear" w:color="auto" w:fill="BFBFBF" w:themeFill="background1" w:themeFillShade="BF"/>
            <w:vAlign w:val="center"/>
          </w:tcPr>
          <w:p w14:paraId="05449374" w14:textId="77777777" w:rsidR="00DA1EF7" w:rsidRPr="00795F17" w:rsidRDefault="00DA1EF7" w:rsidP="0044393D">
            <w:pPr>
              <w:pStyle w:val="Teksttabelinaglowek"/>
            </w:pPr>
            <w:r w:rsidRPr="00795F17">
              <w:t>Stan dobry</w:t>
            </w:r>
          </w:p>
        </w:tc>
        <w:tc>
          <w:tcPr>
            <w:tcW w:w="1170" w:type="pct"/>
            <w:shd w:val="clear" w:color="auto" w:fill="BFBFBF" w:themeFill="background1" w:themeFillShade="BF"/>
            <w:vAlign w:val="center"/>
          </w:tcPr>
          <w:p w14:paraId="32D96FE1" w14:textId="77777777" w:rsidR="00DA1EF7" w:rsidRPr="00795F17" w:rsidRDefault="00DA1EF7" w:rsidP="0044393D">
            <w:pPr>
              <w:pStyle w:val="Teksttabelinaglowek"/>
            </w:pPr>
            <w:r w:rsidRPr="00795F17">
              <w:t>Stan słaby</w:t>
            </w:r>
          </w:p>
        </w:tc>
      </w:tr>
      <w:tr w:rsidR="00DA1EF7" w:rsidRPr="00795F17" w14:paraId="67D35370" w14:textId="77777777" w:rsidTr="003D7BF3">
        <w:trPr>
          <w:trHeight w:val="454"/>
          <w:jc w:val="center"/>
        </w:trPr>
        <w:tc>
          <w:tcPr>
            <w:tcW w:w="825" w:type="pct"/>
            <w:vAlign w:val="center"/>
          </w:tcPr>
          <w:p w14:paraId="28B7B984" w14:textId="0BDCCA9F" w:rsidR="00DA1EF7" w:rsidRPr="00795F17" w:rsidRDefault="00DA1EF7" w:rsidP="0065243A">
            <w:pPr>
              <w:pStyle w:val="Teksttabelisrodek"/>
            </w:pPr>
            <w:r w:rsidRPr="00795F17">
              <w:t>6000</w:t>
            </w:r>
          </w:p>
        </w:tc>
        <w:tc>
          <w:tcPr>
            <w:tcW w:w="579" w:type="pct"/>
            <w:vAlign w:val="center"/>
          </w:tcPr>
          <w:p w14:paraId="2B54D838" w14:textId="77777777" w:rsidR="00DA1EF7" w:rsidRPr="00795F17" w:rsidRDefault="00DA1EF7" w:rsidP="0065243A">
            <w:pPr>
              <w:pStyle w:val="Teksttabelisrodek"/>
            </w:pPr>
            <w:r w:rsidRPr="00795F17">
              <w:t>Odra</w:t>
            </w:r>
          </w:p>
        </w:tc>
        <w:tc>
          <w:tcPr>
            <w:tcW w:w="2426" w:type="pct"/>
            <w:vAlign w:val="center"/>
          </w:tcPr>
          <w:p w14:paraId="65B3ED2E" w14:textId="77777777" w:rsidR="00DA1EF7" w:rsidRPr="00795F17" w:rsidRDefault="00DA1EF7" w:rsidP="0065243A">
            <w:pPr>
              <w:pStyle w:val="Teksttabelisrodek"/>
            </w:pPr>
            <w:r w:rsidRPr="00795F17">
              <w:t>2, 3, 4, 5, 6, 7, 8, 10, 23, 24, 25, 26, 33, 34, 35, 40, 41, 42, 58, 59, 60, 61, 68, 69, 70, 71, 72, 76, 77, 78, 80, 81, 82, 92, 93, 94, 95, 96, 97, 98, 99, 107, 108, 109, 110, 125, 126, 127, 128, 139, 140, 141, 142, 144, 155, 170</w:t>
            </w:r>
          </w:p>
        </w:tc>
        <w:tc>
          <w:tcPr>
            <w:tcW w:w="1170" w:type="pct"/>
            <w:vAlign w:val="center"/>
          </w:tcPr>
          <w:p w14:paraId="429EF96B" w14:textId="77777777" w:rsidR="00DA1EF7" w:rsidRPr="00795F17" w:rsidRDefault="00DA1EF7" w:rsidP="0065243A">
            <w:pPr>
              <w:pStyle w:val="Teksttabelisrodek"/>
            </w:pPr>
            <w:r w:rsidRPr="00795F17">
              <w:t>1, 9, 43, 62, 79, 83, 105, 124, 129, 143</w:t>
            </w:r>
          </w:p>
        </w:tc>
      </w:tr>
      <w:tr w:rsidR="00462DD4" w:rsidRPr="00795F17" w14:paraId="54193040" w14:textId="77777777" w:rsidTr="003D7BF3">
        <w:trPr>
          <w:trHeight w:val="454"/>
          <w:jc w:val="center"/>
        </w:trPr>
        <w:tc>
          <w:tcPr>
            <w:tcW w:w="1404" w:type="pct"/>
            <w:gridSpan w:val="2"/>
            <w:shd w:val="clear" w:color="auto" w:fill="D9D9D9" w:themeFill="background1" w:themeFillShade="D9"/>
            <w:vAlign w:val="center"/>
          </w:tcPr>
          <w:p w14:paraId="3134DA29" w14:textId="0A2FCA01" w:rsidR="00462DD4" w:rsidRPr="000363E1" w:rsidRDefault="00462DD4" w:rsidP="0065243A">
            <w:pPr>
              <w:pStyle w:val="Teksttabelisrodek"/>
              <w:rPr>
                <w:b/>
              </w:rPr>
            </w:pPr>
            <w:r w:rsidRPr="000363E1">
              <w:rPr>
                <w:b/>
              </w:rPr>
              <w:t xml:space="preserve">Liczba </w:t>
            </w:r>
            <w:r w:rsidR="00DF005E">
              <w:rPr>
                <w:b/>
              </w:rPr>
              <w:t>JCWP</w:t>
            </w:r>
            <w:r w:rsidRPr="000363E1">
              <w:rPr>
                <w:b/>
              </w:rPr>
              <w:t>d</w:t>
            </w:r>
          </w:p>
        </w:tc>
        <w:tc>
          <w:tcPr>
            <w:tcW w:w="2426" w:type="pct"/>
            <w:shd w:val="clear" w:color="auto" w:fill="D9D9D9" w:themeFill="background1" w:themeFillShade="D9"/>
            <w:vAlign w:val="center"/>
          </w:tcPr>
          <w:p w14:paraId="53A23501" w14:textId="77777777" w:rsidR="00462DD4" w:rsidRPr="000363E1" w:rsidRDefault="00462DD4" w:rsidP="0065243A">
            <w:pPr>
              <w:pStyle w:val="Teksttabelisrodek"/>
              <w:rPr>
                <w:b/>
              </w:rPr>
            </w:pPr>
            <w:r w:rsidRPr="000363E1">
              <w:rPr>
                <w:b/>
              </w:rPr>
              <w:t>56</w:t>
            </w:r>
          </w:p>
        </w:tc>
        <w:tc>
          <w:tcPr>
            <w:tcW w:w="1170" w:type="pct"/>
            <w:shd w:val="clear" w:color="auto" w:fill="D9D9D9" w:themeFill="background1" w:themeFillShade="D9"/>
            <w:vAlign w:val="center"/>
          </w:tcPr>
          <w:p w14:paraId="10D8469A" w14:textId="77777777" w:rsidR="00462DD4" w:rsidRPr="000363E1" w:rsidRDefault="00462DD4" w:rsidP="0065243A">
            <w:pPr>
              <w:pStyle w:val="Teksttabelisrodek"/>
              <w:rPr>
                <w:b/>
              </w:rPr>
            </w:pPr>
            <w:r w:rsidRPr="000363E1">
              <w:rPr>
                <w:b/>
              </w:rPr>
              <w:t>10</w:t>
            </w:r>
          </w:p>
        </w:tc>
      </w:tr>
    </w:tbl>
    <w:p w14:paraId="1DEB8B2A" w14:textId="77777777" w:rsidR="00E11336" w:rsidRPr="00795F17" w:rsidRDefault="00E11336" w:rsidP="00E11336">
      <w:pPr>
        <w:pStyle w:val="rdo"/>
        <w:rPr>
          <w:color w:val="000099"/>
          <w:sz w:val="20"/>
          <w:szCs w:val="20"/>
        </w:rPr>
      </w:pPr>
      <w:r w:rsidRPr="00795F17">
        <w:t>Źródło: opracowanie własne</w:t>
      </w:r>
    </w:p>
    <w:p w14:paraId="655CEAD4" w14:textId="5576101D" w:rsidR="00462DD4" w:rsidRPr="00795F17" w:rsidRDefault="00462DD4" w:rsidP="0044393D">
      <w:r w:rsidRPr="00795F17">
        <w:t xml:space="preserve">Poniżej w zestawieniach tabelarycznych </w:t>
      </w:r>
      <w:r w:rsidR="00844C20" w:rsidRPr="00795F17">
        <w:t>(tabele 5-3</w:t>
      </w:r>
      <w:r w:rsidR="00130B6E" w:rsidRPr="00795F17">
        <w:t>4</w:t>
      </w:r>
      <w:r w:rsidR="00844C20" w:rsidRPr="00795F17">
        <w:t xml:space="preserve"> i 5-3</w:t>
      </w:r>
      <w:r w:rsidR="00130B6E" w:rsidRPr="00795F17">
        <w:t>5</w:t>
      </w:r>
      <w:r w:rsidR="00844C20" w:rsidRPr="00795F17">
        <w:t>)</w:t>
      </w:r>
      <w:r w:rsidRPr="00795F17">
        <w:t xml:space="preserve"> znajdują się wyniki testów klasyfikacyjnych dla </w:t>
      </w:r>
      <w:r w:rsidR="00DF005E">
        <w:t>JCWP</w:t>
      </w:r>
      <w:r w:rsidRPr="00795F17">
        <w:t>d z</w:t>
      </w:r>
      <w:r w:rsidR="002C31D7">
        <w:t>najdujących się na</w:t>
      </w:r>
      <w:r w:rsidR="00FB15D5" w:rsidRPr="00795F17">
        <w:t xml:space="preserve"> obszarze</w:t>
      </w:r>
      <w:r w:rsidRPr="00795F17">
        <w:t xml:space="preserve"> dorzecz</w:t>
      </w:r>
      <w:r w:rsidR="00FB15D5" w:rsidRPr="00795F17">
        <w:t>a</w:t>
      </w:r>
      <w:r w:rsidRPr="00795F17">
        <w:t xml:space="preserve"> Odry w zakresie stanu ilościowego.</w:t>
      </w:r>
    </w:p>
    <w:p w14:paraId="38A9B037" w14:textId="1299846F" w:rsidR="00462DD4" w:rsidRPr="00795F17" w:rsidRDefault="00462DD4" w:rsidP="004D7705">
      <w:pPr>
        <w:pStyle w:val="Tabela"/>
        <w:rPr>
          <w:bCs/>
        </w:rPr>
      </w:pPr>
      <w:bookmarkStart w:id="269" w:name="_Toc66341887"/>
      <w:bookmarkStart w:id="270" w:name="_Toc105512798"/>
      <w:r w:rsidRPr="00795F17">
        <w:t xml:space="preserve">Tabela </w:t>
      </w:r>
      <w:fldSimple w:instr=" STYLEREF 1 \s ">
        <w:r w:rsidR="001F774D">
          <w:rPr>
            <w:noProof/>
          </w:rPr>
          <w:t>5</w:t>
        </w:r>
      </w:fldSimple>
      <w:r w:rsidR="00BB3B21" w:rsidRPr="00795F17">
        <w:noBreakHyphen/>
      </w:r>
      <w:fldSimple w:instr=" SEQ Tabela \* ARABIC \s 1 ">
        <w:r w:rsidR="001F774D">
          <w:rPr>
            <w:noProof/>
          </w:rPr>
          <w:t>34</w:t>
        </w:r>
      </w:fldSimple>
      <w:r w:rsidR="00E76356">
        <w:rPr>
          <w:noProof/>
        </w:rPr>
        <w:t>.</w:t>
      </w:r>
      <w:r w:rsidRPr="00795F17">
        <w:tab/>
      </w:r>
      <w:r w:rsidRPr="00795F17">
        <w:rPr>
          <w:bCs/>
        </w:rPr>
        <w:t xml:space="preserve">Wyniki testu I.1 </w:t>
      </w:r>
      <w:r w:rsidR="00182A26" w:rsidRPr="00795F17">
        <w:rPr>
          <w:bCs/>
        </w:rPr>
        <w:t>-</w:t>
      </w:r>
      <w:r w:rsidRPr="00795F17">
        <w:rPr>
          <w:bCs/>
        </w:rPr>
        <w:t xml:space="preserve"> Bilans wodny</w:t>
      </w:r>
      <w:bookmarkEnd w:id="269"/>
      <w:bookmarkEnd w:id="270"/>
    </w:p>
    <w:tbl>
      <w:tblPr>
        <w:tblW w:w="5000" w:type="pct"/>
        <w:tblCellMar>
          <w:left w:w="70" w:type="dxa"/>
          <w:right w:w="70" w:type="dxa"/>
        </w:tblCellMar>
        <w:tblLook w:val="04A0" w:firstRow="1" w:lastRow="0" w:firstColumn="1" w:lastColumn="0" w:noHBand="0" w:noVBand="1"/>
      </w:tblPr>
      <w:tblGrid>
        <w:gridCol w:w="927"/>
        <w:gridCol w:w="1267"/>
        <w:gridCol w:w="1251"/>
        <w:gridCol w:w="1997"/>
        <w:gridCol w:w="941"/>
        <w:gridCol w:w="1267"/>
        <w:gridCol w:w="1412"/>
      </w:tblGrid>
      <w:tr w:rsidR="00462DD4" w:rsidRPr="00795F17" w14:paraId="276B3302" w14:textId="77777777" w:rsidTr="003D7BF3">
        <w:trPr>
          <w:cantSplit/>
          <w:trHeight w:val="454"/>
          <w:tblHeader/>
        </w:trPr>
        <w:tc>
          <w:tcPr>
            <w:tcW w:w="511" w:type="pct"/>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60DA08B8" w14:textId="46B99E68" w:rsidR="00462DD4" w:rsidRPr="00795F17" w:rsidRDefault="00FB15D5" w:rsidP="0044393D">
            <w:pPr>
              <w:pStyle w:val="Teksttabelinaglowek"/>
            </w:pPr>
            <w:r w:rsidRPr="00795F17">
              <w:t>Obszar</w:t>
            </w:r>
            <w:r w:rsidR="00462DD4" w:rsidRPr="00795F17">
              <w:t xml:space="preserve"> dorzecza</w:t>
            </w:r>
          </w:p>
        </w:tc>
        <w:tc>
          <w:tcPr>
            <w:tcW w:w="699" w:type="pct"/>
            <w:tcBorders>
              <w:top w:val="single" w:sz="4" w:space="0" w:color="auto"/>
              <w:left w:val="nil"/>
              <w:bottom w:val="nil"/>
              <w:right w:val="single" w:sz="4" w:space="0" w:color="auto"/>
            </w:tcBorders>
            <w:shd w:val="clear" w:color="auto" w:fill="BFBFBF" w:themeFill="background1" w:themeFillShade="BF"/>
            <w:vAlign w:val="center"/>
            <w:hideMark/>
          </w:tcPr>
          <w:p w14:paraId="278D5369" w14:textId="30155C63" w:rsidR="00462DD4" w:rsidRPr="00795F17" w:rsidRDefault="00462DD4" w:rsidP="0044393D">
            <w:pPr>
              <w:pStyle w:val="Teksttabelinaglowek"/>
            </w:pPr>
            <w:r w:rsidRPr="00795F17">
              <w:t>Powierzchnia</w:t>
            </w:r>
            <w:r w:rsidR="00DA1EF7" w:rsidRPr="00795F17">
              <w:t xml:space="preserve"> </w:t>
            </w:r>
            <w:r w:rsidR="00DF005E">
              <w:t>JCWP</w:t>
            </w:r>
            <w:r w:rsidR="00DA1EF7" w:rsidRPr="00795F17">
              <w:t>d na obszarze</w:t>
            </w:r>
            <w:r w:rsidRPr="00795F17">
              <w:t xml:space="preserve"> dorzecza </w:t>
            </w:r>
            <w:r w:rsidR="00261156" w:rsidRPr="00795F17">
              <w:t>(km</w:t>
            </w:r>
            <w:r w:rsidR="00261156" w:rsidRPr="00795F17">
              <w:rPr>
                <w:vertAlign w:val="superscript"/>
              </w:rPr>
              <w:t>2</w:t>
            </w:r>
            <w:r w:rsidR="00261156" w:rsidRPr="00795F17">
              <w:t>)</w:t>
            </w:r>
          </w:p>
        </w:tc>
        <w:tc>
          <w:tcPr>
            <w:tcW w:w="690" w:type="pct"/>
            <w:tcBorders>
              <w:top w:val="single" w:sz="4" w:space="0" w:color="auto"/>
              <w:left w:val="nil"/>
              <w:bottom w:val="nil"/>
              <w:right w:val="single" w:sz="4" w:space="0" w:color="auto"/>
            </w:tcBorders>
            <w:shd w:val="clear" w:color="auto" w:fill="BFBFBF" w:themeFill="background1" w:themeFillShade="BF"/>
            <w:vAlign w:val="center"/>
            <w:hideMark/>
          </w:tcPr>
          <w:p w14:paraId="73C5B171" w14:textId="05B0FE6A" w:rsidR="00462DD4" w:rsidRPr="00795F17" w:rsidRDefault="00397084" w:rsidP="0044393D">
            <w:pPr>
              <w:pStyle w:val="Teksttabelinaglowek"/>
            </w:pPr>
            <w:r w:rsidRPr="00795F17">
              <w:rPr>
                <w:bCs/>
              </w:rPr>
              <w:t>Wyniki testu I.1</w:t>
            </w:r>
          </w:p>
        </w:tc>
        <w:tc>
          <w:tcPr>
            <w:tcW w:w="1102" w:type="pct"/>
            <w:tcBorders>
              <w:top w:val="single" w:sz="4" w:space="0" w:color="auto"/>
              <w:left w:val="nil"/>
              <w:bottom w:val="nil"/>
              <w:right w:val="single" w:sz="4" w:space="0" w:color="auto"/>
            </w:tcBorders>
            <w:shd w:val="clear" w:color="auto" w:fill="BFBFBF" w:themeFill="background1" w:themeFillShade="BF"/>
            <w:vAlign w:val="center"/>
            <w:hideMark/>
          </w:tcPr>
          <w:p w14:paraId="02353524" w14:textId="36EBC1C8" w:rsidR="00462DD4" w:rsidRPr="00795F17" w:rsidRDefault="00462DD4" w:rsidP="0044393D">
            <w:pPr>
              <w:pStyle w:val="Teksttabelinaglowek"/>
            </w:pPr>
            <w:r w:rsidRPr="00795F17">
              <w:t xml:space="preserve">Numery </w:t>
            </w:r>
            <w:r w:rsidR="00DF005E">
              <w:t>JCWP</w:t>
            </w:r>
            <w:r w:rsidRPr="00795F17">
              <w:t>d</w:t>
            </w:r>
          </w:p>
        </w:tc>
        <w:tc>
          <w:tcPr>
            <w:tcW w:w="519" w:type="pct"/>
            <w:tcBorders>
              <w:top w:val="single" w:sz="4" w:space="0" w:color="auto"/>
              <w:left w:val="nil"/>
              <w:bottom w:val="nil"/>
              <w:right w:val="single" w:sz="4" w:space="0" w:color="auto"/>
            </w:tcBorders>
            <w:shd w:val="clear" w:color="auto" w:fill="BFBFBF" w:themeFill="background1" w:themeFillShade="BF"/>
            <w:vAlign w:val="center"/>
            <w:hideMark/>
          </w:tcPr>
          <w:p w14:paraId="4E444792" w14:textId="7D4FB0E3" w:rsidR="00462DD4" w:rsidRPr="00795F17" w:rsidRDefault="00462DD4" w:rsidP="0044393D">
            <w:pPr>
              <w:pStyle w:val="Teksttabelinaglowek"/>
            </w:pPr>
            <w:r w:rsidRPr="00795F17">
              <w:t xml:space="preserve">Liczba </w:t>
            </w:r>
            <w:r w:rsidR="00DF005E">
              <w:t>JCWP</w:t>
            </w:r>
            <w:r w:rsidRPr="00795F17">
              <w:t>d</w:t>
            </w:r>
          </w:p>
        </w:tc>
        <w:tc>
          <w:tcPr>
            <w:tcW w:w="699" w:type="pct"/>
            <w:tcBorders>
              <w:top w:val="single" w:sz="4" w:space="0" w:color="auto"/>
              <w:left w:val="nil"/>
              <w:bottom w:val="nil"/>
              <w:right w:val="single" w:sz="4" w:space="0" w:color="auto"/>
            </w:tcBorders>
            <w:shd w:val="clear" w:color="auto" w:fill="BFBFBF" w:themeFill="background1" w:themeFillShade="BF"/>
            <w:vAlign w:val="center"/>
            <w:hideMark/>
          </w:tcPr>
          <w:p w14:paraId="2C7A8D4D" w14:textId="7E17B8A8" w:rsidR="00462DD4" w:rsidRPr="00795F17" w:rsidRDefault="00462DD4" w:rsidP="0044393D">
            <w:pPr>
              <w:pStyle w:val="Teksttabelinaglowek"/>
            </w:pPr>
            <w:r w:rsidRPr="00795F17">
              <w:t xml:space="preserve">Powierzchnia </w:t>
            </w:r>
            <w:r w:rsidR="00DF005E">
              <w:t>JCWP</w:t>
            </w:r>
            <w:r w:rsidRPr="00795F17">
              <w:t>d</w:t>
            </w:r>
            <w:r w:rsidR="00D146C3" w:rsidRPr="00795F17">
              <w:t xml:space="preserve"> </w:t>
            </w:r>
            <w:r w:rsidRPr="00795F17">
              <w:br/>
            </w:r>
            <w:r w:rsidR="00CC4FEC" w:rsidRPr="00795F17">
              <w:t>(km</w:t>
            </w:r>
            <w:r w:rsidR="00CC4FEC" w:rsidRPr="00795F17">
              <w:rPr>
                <w:vertAlign w:val="superscript"/>
              </w:rPr>
              <w:t>2</w:t>
            </w:r>
            <w:r w:rsidR="00CC4FEC" w:rsidRPr="00795F17">
              <w:t>)</w:t>
            </w:r>
          </w:p>
        </w:tc>
        <w:tc>
          <w:tcPr>
            <w:tcW w:w="779" w:type="pct"/>
            <w:tcBorders>
              <w:top w:val="single" w:sz="4" w:space="0" w:color="auto"/>
              <w:left w:val="nil"/>
              <w:bottom w:val="nil"/>
              <w:right w:val="single" w:sz="4" w:space="0" w:color="auto"/>
            </w:tcBorders>
            <w:shd w:val="clear" w:color="auto" w:fill="BFBFBF" w:themeFill="background1" w:themeFillShade="BF"/>
            <w:vAlign w:val="center"/>
            <w:hideMark/>
          </w:tcPr>
          <w:p w14:paraId="748B849B" w14:textId="6BDABA68" w:rsidR="00462DD4" w:rsidRPr="00795F17" w:rsidRDefault="00BC55DD" w:rsidP="0044393D">
            <w:pPr>
              <w:pStyle w:val="Teksttabelinaglowek"/>
            </w:pPr>
            <w:r w:rsidRPr="00795F17">
              <w:t>Udział w</w:t>
            </w:r>
            <w:r w:rsidR="002C31D7">
              <w:t> </w:t>
            </w:r>
            <w:r w:rsidRPr="00795F17">
              <w:t xml:space="preserve">powierzchni </w:t>
            </w:r>
            <w:r w:rsidR="00DF005E">
              <w:t>JCWP</w:t>
            </w:r>
            <w:r w:rsidRPr="00795F17">
              <w:t>d na obszarze dorzecza (%)</w:t>
            </w:r>
          </w:p>
        </w:tc>
      </w:tr>
      <w:tr w:rsidR="00462DD4" w:rsidRPr="00795F17" w14:paraId="3117D559" w14:textId="77777777" w:rsidTr="003D7BF3">
        <w:trPr>
          <w:cantSplit/>
          <w:trHeight w:val="454"/>
        </w:trPr>
        <w:tc>
          <w:tcPr>
            <w:tcW w:w="5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90A193" w14:textId="77777777" w:rsidR="00462DD4" w:rsidRPr="00795F17" w:rsidRDefault="00462DD4" w:rsidP="0065243A">
            <w:pPr>
              <w:pStyle w:val="Teksttabelisrodek"/>
            </w:pPr>
            <w:r w:rsidRPr="00795F17">
              <w:t>Odra</w:t>
            </w:r>
          </w:p>
        </w:tc>
        <w:tc>
          <w:tcPr>
            <w:tcW w:w="6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937A0B" w14:textId="57D0409D" w:rsidR="00462DD4" w:rsidRPr="00795F17" w:rsidRDefault="00462DD4" w:rsidP="0065243A">
            <w:pPr>
              <w:pStyle w:val="Teksttabelisrodek"/>
            </w:pPr>
            <w:r w:rsidRPr="00795F17">
              <w:t>117</w:t>
            </w:r>
            <w:r w:rsidR="0079649A" w:rsidRPr="00795F17">
              <w:t> </w:t>
            </w:r>
            <w:r w:rsidRPr="00795F17">
              <w:t>652,17</w:t>
            </w:r>
          </w:p>
        </w:tc>
        <w:tc>
          <w:tcPr>
            <w:tcW w:w="690" w:type="pct"/>
            <w:tcBorders>
              <w:top w:val="single" w:sz="4" w:space="0" w:color="auto"/>
              <w:left w:val="nil"/>
              <w:bottom w:val="single" w:sz="4" w:space="0" w:color="auto"/>
              <w:right w:val="single" w:sz="4" w:space="0" w:color="auto"/>
            </w:tcBorders>
            <w:shd w:val="clear" w:color="000000" w:fill="92D050"/>
            <w:vAlign w:val="center"/>
            <w:hideMark/>
          </w:tcPr>
          <w:p w14:paraId="05BDB238" w14:textId="77777777" w:rsidR="00462DD4" w:rsidRPr="00795F17" w:rsidRDefault="00462DD4" w:rsidP="0065243A">
            <w:pPr>
              <w:pStyle w:val="Teksttabelisrodek"/>
            </w:pPr>
            <w:r w:rsidRPr="00795F17">
              <w:t>stan dobry</w:t>
            </w:r>
          </w:p>
        </w:tc>
        <w:tc>
          <w:tcPr>
            <w:tcW w:w="1102" w:type="pct"/>
            <w:tcBorders>
              <w:top w:val="single" w:sz="4" w:space="0" w:color="auto"/>
              <w:left w:val="nil"/>
              <w:bottom w:val="single" w:sz="4" w:space="0" w:color="auto"/>
              <w:right w:val="single" w:sz="4" w:space="0" w:color="auto"/>
            </w:tcBorders>
            <w:shd w:val="clear" w:color="auto" w:fill="auto"/>
            <w:vAlign w:val="center"/>
            <w:hideMark/>
          </w:tcPr>
          <w:p w14:paraId="596AC6FD" w14:textId="77777777" w:rsidR="00462DD4" w:rsidRPr="00795F17" w:rsidRDefault="00462DD4" w:rsidP="0065243A">
            <w:pPr>
              <w:pStyle w:val="Teksttabelisrodek"/>
            </w:pPr>
            <w:r w:rsidRPr="00795F17">
              <w:t>2, 3, 4, 5, 6, 7, 8, 9, 10, 23, 24, 25, 26, 33, 34, 35, 40, 41, 42, 43, 58, 59, 60, 61, 68, 69, 70, 71, 72, 76, 77, 78, 79, 80, 81, 82, 92, 93, 94, 95, 96, 97, 98, 99, 107, 108, 109, 110, 125, 126, 127, 128, 139, 140, 141, 142, 144, 155, 170</w:t>
            </w:r>
          </w:p>
        </w:tc>
        <w:tc>
          <w:tcPr>
            <w:tcW w:w="519" w:type="pct"/>
            <w:tcBorders>
              <w:top w:val="single" w:sz="4" w:space="0" w:color="auto"/>
              <w:left w:val="nil"/>
              <w:bottom w:val="single" w:sz="4" w:space="0" w:color="auto"/>
              <w:right w:val="single" w:sz="4" w:space="0" w:color="auto"/>
            </w:tcBorders>
            <w:shd w:val="clear" w:color="auto" w:fill="auto"/>
            <w:vAlign w:val="center"/>
            <w:hideMark/>
          </w:tcPr>
          <w:p w14:paraId="7060BE09" w14:textId="77777777" w:rsidR="00462DD4" w:rsidRPr="00795F17" w:rsidRDefault="00462DD4" w:rsidP="0065243A">
            <w:pPr>
              <w:pStyle w:val="Teksttabelisrodek"/>
            </w:pPr>
            <w:r w:rsidRPr="00795F17">
              <w:t>59</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4A674F36" w14:textId="6B4B999B" w:rsidR="00462DD4" w:rsidRPr="00795F17" w:rsidRDefault="00462DD4" w:rsidP="0065243A">
            <w:pPr>
              <w:pStyle w:val="Teksttabelisrodek"/>
            </w:pPr>
            <w:r w:rsidRPr="00795F17">
              <w:t>111</w:t>
            </w:r>
            <w:r w:rsidR="0079649A" w:rsidRPr="00795F17">
              <w:t> </w:t>
            </w:r>
            <w:r w:rsidRPr="00795F17">
              <w:t>612,73</w:t>
            </w:r>
          </w:p>
        </w:tc>
        <w:tc>
          <w:tcPr>
            <w:tcW w:w="779" w:type="pct"/>
            <w:tcBorders>
              <w:top w:val="single" w:sz="4" w:space="0" w:color="auto"/>
              <w:left w:val="nil"/>
              <w:bottom w:val="single" w:sz="4" w:space="0" w:color="auto"/>
              <w:right w:val="single" w:sz="4" w:space="0" w:color="auto"/>
            </w:tcBorders>
            <w:shd w:val="clear" w:color="auto" w:fill="auto"/>
            <w:vAlign w:val="center"/>
            <w:hideMark/>
          </w:tcPr>
          <w:p w14:paraId="7856B2D7" w14:textId="0BDF95A8" w:rsidR="00462DD4" w:rsidRPr="00795F17" w:rsidRDefault="00462DD4" w:rsidP="0065243A">
            <w:pPr>
              <w:pStyle w:val="Teksttabelisrodek"/>
            </w:pPr>
            <w:r w:rsidRPr="00795F17">
              <w:t>94,87</w:t>
            </w:r>
          </w:p>
        </w:tc>
      </w:tr>
      <w:tr w:rsidR="00462DD4" w:rsidRPr="00795F17" w14:paraId="639E54BE" w14:textId="77777777" w:rsidTr="003D7BF3">
        <w:trPr>
          <w:cantSplit/>
          <w:trHeight w:val="454"/>
        </w:trPr>
        <w:tc>
          <w:tcPr>
            <w:tcW w:w="511" w:type="pct"/>
            <w:vMerge/>
            <w:tcBorders>
              <w:top w:val="single" w:sz="4" w:space="0" w:color="auto"/>
              <w:left w:val="single" w:sz="4" w:space="0" w:color="auto"/>
              <w:bottom w:val="single" w:sz="4" w:space="0" w:color="auto"/>
              <w:right w:val="single" w:sz="4" w:space="0" w:color="auto"/>
            </w:tcBorders>
            <w:vAlign w:val="center"/>
            <w:hideMark/>
          </w:tcPr>
          <w:p w14:paraId="7A6078E4" w14:textId="77777777" w:rsidR="00462DD4" w:rsidRPr="00795F17" w:rsidRDefault="00462DD4" w:rsidP="0065243A">
            <w:pPr>
              <w:pStyle w:val="Teksttabelisrodek"/>
            </w:pPr>
          </w:p>
        </w:tc>
        <w:tc>
          <w:tcPr>
            <w:tcW w:w="699" w:type="pct"/>
            <w:vMerge/>
            <w:tcBorders>
              <w:top w:val="single" w:sz="4" w:space="0" w:color="auto"/>
              <w:left w:val="single" w:sz="4" w:space="0" w:color="auto"/>
              <w:bottom w:val="single" w:sz="4" w:space="0" w:color="auto"/>
              <w:right w:val="single" w:sz="4" w:space="0" w:color="auto"/>
            </w:tcBorders>
            <w:vAlign w:val="center"/>
            <w:hideMark/>
          </w:tcPr>
          <w:p w14:paraId="620AC08E" w14:textId="77777777" w:rsidR="00462DD4" w:rsidRPr="00795F17" w:rsidRDefault="00462DD4" w:rsidP="0065243A">
            <w:pPr>
              <w:pStyle w:val="Teksttabelisrodek"/>
            </w:pPr>
          </w:p>
        </w:tc>
        <w:tc>
          <w:tcPr>
            <w:tcW w:w="690" w:type="pct"/>
            <w:tcBorders>
              <w:top w:val="nil"/>
              <w:left w:val="nil"/>
              <w:bottom w:val="single" w:sz="4" w:space="0" w:color="auto"/>
              <w:right w:val="single" w:sz="4" w:space="0" w:color="auto"/>
            </w:tcBorders>
            <w:shd w:val="clear" w:color="000000" w:fill="FF0000"/>
            <w:noWrap/>
            <w:vAlign w:val="center"/>
            <w:hideMark/>
          </w:tcPr>
          <w:p w14:paraId="5189FFFF" w14:textId="77777777" w:rsidR="00462DD4" w:rsidRPr="00795F17" w:rsidRDefault="00462DD4" w:rsidP="0065243A">
            <w:pPr>
              <w:pStyle w:val="Teksttabelisrodek"/>
            </w:pPr>
            <w:r w:rsidRPr="00795F17">
              <w:t>stan słaby</w:t>
            </w:r>
          </w:p>
        </w:tc>
        <w:tc>
          <w:tcPr>
            <w:tcW w:w="1102" w:type="pct"/>
            <w:tcBorders>
              <w:top w:val="nil"/>
              <w:left w:val="nil"/>
              <w:bottom w:val="single" w:sz="4" w:space="0" w:color="auto"/>
              <w:right w:val="single" w:sz="4" w:space="0" w:color="auto"/>
            </w:tcBorders>
            <w:shd w:val="clear" w:color="auto" w:fill="auto"/>
            <w:vAlign w:val="center"/>
            <w:hideMark/>
          </w:tcPr>
          <w:p w14:paraId="362EAF81" w14:textId="77777777" w:rsidR="00462DD4" w:rsidRPr="00795F17" w:rsidRDefault="00462DD4" w:rsidP="0065243A">
            <w:pPr>
              <w:pStyle w:val="Teksttabelisrodek"/>
            </w:pPr>
            <w:r w:rsidRPr="00795F17">
              <w:t>1, 62, 83, 105, 124, 129, 143</w:t>
            </w:r>
          </w:p>
        </w:tc>
        <w:tc>
          <w:tcPr>
            <w:tcW w:w="519" w:type="pct"/>
            <w:tcBorders>
              <w:top w:val="nil"/>
              <w:left w:val="nil"/>
              <w:bottom w:val="single" w:sz="4" w:space="0" w:color="auto"/>
              <w:right w:val="single" w:sz="4" w:space="0" w:color="auto"/>
            </w:tcBorders>
            <w:shd w:val="clear" w:color="auto" w:fill="auto"/>
            <w:vAlign w:val="center"/>
            <w:hideMark/>
          </w:tcPr>
          <w:p w14:paraId="380FC7D9" w14:textId="77777777" w:rsidR="00462DD4" w:rsidRPr="00795F17" w:rsidRDefault="00462DD4" w:rsidP="0065243A">
            <w:pPr>
              <w:pStyle w:val="Teksttabelisrodek"/>
            </w:pPr>
            <w:r w:rsidRPr="00795F17">
              <w:t>7</w:t>
            </w:r>
          </w:p>
        </w:tc>
        <w:tc>
          <w:tcPr>
            <w:tcW w:w="699" w:type="pct"/>
            <w:tcBorders>
              <w:top w:val="nil"/>
              <w:left w:val="nil"/>
              <w:bottom w:val="single" w:sz="4" w:space="0" w:color="auto"/>
              <w:right w:val="single" w:sz="4" w:space="0" w:color="auto"/>
            </w:tcBorders>
            <w:shd w:val="clear" w:color="auto" w:fill="auto"/>
            <w:vAlign w:val="center"/>
            <w:hideMark/>
          </w:tcPr>
          <w:p w14:paraId="50729D75" w14:textId="4E50C698" w:rsidR="00462DD4" w:rsidRPr="00795F17" w:rsidRDefault="00462DD4" w:rsidP="0065243A">
            <w:pPr>
              <w:pStyle w:val="Teksttabelisrodek"/>
            </w:pPr>
            <w:r w:rsidRPr="00795F17">
              <w:t>6</w:t>
            </w:r>
            <w:r w:rsidR="0079649A" w:rsidRPr="00795F17">
              <w:t> </w:t>
            </w:r>
            <w:r w:rsidRPr="00795F17">
              <w:t>039,44</w:t>
            </w:r>
          </w:p>
        </w:tc>
        <w:tc>
          <w:tcPr>
            <w:tcW w:w="779" w:type="pct"/>
            <w:tcBorders>
              <w:top w:val="nil"/>
              <w:left w:val="nil"/>
              <w:bottom w:val="single" w:sz="4" w:space="0" w:color="auto"/>
              <w:right w:val="single" w:sz="4" w:space="0" w:color="auto"/>
            </w:tcBorders>
            <w:shd w:val="clear" w:color="auto" w:fill="auto"/>
            <w:vAlign w:val="center"/>
            <w:hideMark/>
          </w:tcPr>
          <w:p w14:paraId="580F723C" w14:textId="1B7CF8BE" w:rsidR="00462DD4" w:rsidRPr="00795F17" w:rsidRDefault="00462DD4" w:rsidP="0065243A">
            <w:pPr>
              <w:pStyle w:val="Teksttabelisrodek"/>
            </w:pPr>
            <w:r w:rsidRPr="00795F17">
              <w:t>5,13</w:t>
            </w:r>
          </w:p>
        </w:tc>
      </w:tr>
    </w:tbl>
    <w:p w14:paraId="70469EA0" w14:textId="77777777" w:rsidR="00E11336" w:rsidRPr="00795F17" w:rsidRDefault="00E11336" w:rsidP="00E11336">
      <w:pPr>
        <w:pStyle w:val="rdo"/>
        <w:rPr>
          <w:color w:val="000099"/>
          <w:sz w:val="20"/>
          <w:szCs w:val="20"/>
        </w:rPr>
      </w:pPr>
      <w:bookmarkStart w:id="271" w:name="_Toc66341888"/>
      <w:r w:rsidRPr="00795F17">
        <w:t>Źródło: opracowanie własne</w:t>
      </w:r>
    </w:p>
    <w:p w14:paraId="4C25DAE8" w14:textId="267A5E7B" w:rsidR="00462DD4" w:rsidRPr="00795F17" w:rsidRDefault="00462DD4" w:rsidP="004D7705">
      <w:pPr>
        <w:pStyle w:val="Tabela"/>
      </w:pPr>
      <w:bookmarkStart w:id="272" w:name="_Toc105512799"/>
      <w:r w:rsidRPr="00795F17">
        <w:t xml:space="preserve">Tabela </w:t>
      </w:r>
      <w:fldSimple w:instr=" STYLEREF 1 \s ">
        <w:r w:rsidR="001F774D">
          <w:rPr>
            <w:noProof/>
          </w:rPr>
          <w:t>5</w:t>
        </w:r>
      </w:fldSimple>
      <w:r w:rsidR="00BB3B21" w:rsidRPr="00795F17">
        <w:noBreakHyphen/>
      </w:r>
      <w:fldSimple w:instr=" SEQ Tabela \* ARABIC \s 1 ">
        <w:r w:rsidR="001F774D">
          <w:rPr>
            <w:noProof/>
          </w:rPr>
          <w:t>35</w:t>
        </w:r>
      </w:fldSimple>
      <w:r w:rsidR="00E76356">
        <w:rPr>
          <w:noProof/>
        </w:rPr>
        <w:t>.</w:t>
      </w:r>
      <w:r w:rsidRPr="00795F17">
        <w:tab/>
        <w:t xml:space="preserve">Wyniki testu I.3 </w:t>
      </w:r>
      <w:r w:rsidR="00182A26" w:rsidRPr="00795F17">
        <w:t>-</w:t>
      </w:r>
      <w:r w:rsidRPr="00795F17">
        <w:t xml:space="preserve"> Ochrona ekosystemów lądowych zależnych od wód podziemnych</w:t>
      </w:r>
      <w:bookmarkEnd w:id="271"/>
      <w:bookmarkEnd w:id="272"/>
    </w:p>
    <w:tbl>
      <w:tblPr>
        <w:tblW w:w="5000" w:type="pct"/>
        <w:tblCellMar>
          <w:left w:w="70" w:type="dxa"/>
          <w:right w:w="70" w:type="dxa"/>
        </w:tblCellMar>
        <w:tblLook w:val="04A0" w:firstRow="1" w:lastRow="0" w:firstColumn="1" w:lastColumn="0" w:noHBand="0" w:noVBand="1"/>
      </w:tblPr>
      <w:tblGrid>
        <w:gridCol w:w="912"/>
        <w:gridCol w:w="1250"/>
        <w:gridCol w:w="1390"/>
        <w:gridCol w:w="1974"/>
        <w:gridCol w:w="940"/>
        <w:gridCol w:w="1250"/>
        <w:gridCol w:w="1346"/>
      </w:tblGrid>
      <w:tr w:rsidR="00462DD4" w:rsidRPr="00795F17" w14:paraId="425D5904" w14:textId="77777777" w:rsidTr="003D7BF3">
        <w:trPr>
          <w:trHeight w:val="454"/>
          <w:tblHeader/>
        </w:trPr>
        <w:tc>
          <w:tcPr>
            <w:tcW w:w="521" w:type="pct"/>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634BE6F9" w14:textId="07300A92" w:rsidR="00462DD4" w:rsidRPr="00795F17" w:rsidRDefault="00FB15D5" w:rsidP="0044393D">
            <w:pPr>
              <w:pStyle w:val="Teksttabelinaglowek"/>
            </w:pPr>
            <w:r w:rsidRPr="00795F17">
              <w:t>Obszar</w:t>
            </w:r>
            <w:r w:rsidR="00462DD4" w:rsidRPr="00795F17">
              <w:t xml:space="preserve"> dorzecza</w:t>
            </w:r>
          </w:p>
        </w:tc>
        <w:tc>
          <w:tcPr>
            <w:tcW w:w="704" w:type="pct"/>
            <w:tcBorders>
              <w:top w:val="single" w:sz="4" w:space="0" w:color="auto"/>
              <w:left w:val="nil"/>
              <w:bottom w:val="nil"/>
              <w:right w:val="single" w:sz="4" w:space="0" w:color="auto"/>
            </w:tcBorders>
            <w:shd w:val="clear" w:color="auto" w:fill="BFBFBF" w:themeFill="background1" w:themeFillShade="BF"/>
            <w:vAlign w:val="center"/>
            <w:hideMark/>
          </w:tcPr>
          <w:p w14:paraId="71E8BF7D" w14:textId="061F3935" w:rsidR="00462DD4" w:rsidRPr="00795F17" w:rsidRDefault="00462DD4" w:rsidP="0044393D">
            <w:pPr>
              <w:pStyle w:val="Teksttabelinaglowek"/>
            </w:pPr>
            <w:r w:rsidRPr="00795F17">
              <w:t xml:space="preserve">Powierzchnia dorzecza </w:t>
            </w:r>
            <w:r w:rsidR="00261156" w:rsidRPr="00795F17">
              <w:t>(km</w:t>
            </w:r>
            <w:r w:rsidR="00261156" w:rsidRPr="00795F17">
              <w:rPr>
                <w:vertAlign w:val="superscript"/>
              </w:rPr>
              <w:t>2</w:t>
            </w:r>
            <w:r w:rsidR="00261156" w:rsidRPr="00795F17">
              <w:t>)</w:t>
            </w:r>
          </w:p>
        </w:tc>
        <w:tc>
          <w:tcPr>
            <w:tcW w:w="787" w:type="pct"/>
            <w:tcBorders>
              <w:top w:val="single" w:sz="4" w:space="0" w:color="auto"/>
              <w:left w:val="nil"/>
              <w:bottom w:val="nil"/>
              <w:right w:val="single" w:sz="4" w:space="0" w:color="auto"/>
            </w:tcBorders>
            <w:shd w:val="clear" w:color="auto" w:fill="BFBFBF" w:themeFill="background1" w:themeFillShade="BF"/>
            <w:vAlign w:val="center"/>
            <w:hideMark/>
          </w:tcPr>
          <w:p w14:paraId="090700DF" w14:textId="1B18956C" w:rsidR="00462DD4" w:rsidRPr="00795F17" w:rsidRDefault="00397084" w:rsidP="0044393D">
            <w:pPr>
              <w:pStyle w:val="Teksttabelinaglowek"/>
            </w:pPr>
            <w:r w:rsidRPr="00795F17">
              <w:t>Wyniki testu I.3</w:t>
            </w:r>
          </w:p>
        </w:tc>
        <w:tc>
          <w:tcPr>
            <w:tcW w:w="1106" w:type="pct"/>
            <w:tcBorders>
              <w:top w:val="single" w:sz="4" w:space="0" w:color="auto"/>
              <w:left w:val="nil"/>
              <w:bottom w:val="nil"/>
              <w:right w:val="single" w:sz="4" w:space="0" w:color="auto"/>
            </w:tcBorders>
            <w:shd w:val="clear" w:color="auto" w:fill="BFBFBF" w:themeFill="background1" w:themeFillShade="BF"/>
            <w:vAlign w:val="center"/>
            <w:hideMark/>
          </w:tcPr>
          <w:p w14:paraId="6CB91232" w14:textId="20C6D70F" w:rsidR="00462DD4" w:rsidRPr="00795F17" w:rsidRDefault="00462DD4" w:rsidP="0044393D">
            <w:pPr>
              <w:pStyle w:val="Teksttabelinaglowek"/>
            </w:pPr>
            <w:r w:rsidRPr="00795F17">
              <w:t xml:space="preserve">Numery </w:t>
            </w:r>
            <w:r w:rsidR="00DF005E">
              <w:t>JCWP</w:t>
            </w:r>
            <w:r w:rsidRPr="00795F17">
              <w:t>d</w:t>
            </w:r>
          </w:p>
        </w:tc>
        <w:tc>
          <w:tcPr>
            <w:tcW w:w="536" w:type="pct"/>
            <w:tcBorders>
              <w:top w:val="single" w:sz="4" w:space="0" w:color="auto"/>
              <w:left w:val="nil"/>
              <w:bottom w:val="nil"/>
              <w:right w:val="single" w:sz="4" w:space="0" w:color="auto"/>
            </w:tcBorders>
            <w:shd w:val="clear" w:color="auto" w:fill="BFBFBF" w:themeFill="background1" w:themeFillShade="BF"/>
            <w:vAlign w:val="center"/>
            <w:hideMark/>
          </w:tcPr>
          <w:p w14:paraId="12FC084B" w14:textId="19D429BA" w:rsidR="00462DD4" w:rsidRPr="00795F17" w:rsidRDefault="00462DD4" w:rsidP="0044393D">
            <w:pPr>
              <w:pStyle w:val="Teksttabelinaglowek"/>
            </w:pPr>
            <w:r w:rsidRPr="00795F17">
              <w:t xml:space="preserve">Liczba </w:t>
            </w:r>
            <w:r w:rsidR="00DF005E">
              <w:t>JCWP</w:t>
            </w:r>
            <w:r w:rsidRPr="00795F17">
              <w:t>d</w:t>
            </w:r>
          </w:p>
        </w:tc>
        <w:tc>
          <w:tcPr>
            <w:tcW w:w="645" w:type="pct"/>
            <w:tcBorders>
              <w:top w:val="single" w:sz="4" w:space="0" w:color="auto"/>
              <w:left w:val="nil"/>
              <w:bottom w:val="nil"/>
              <w:right w:val="single" w:sz="4" w:space="0" w:color="auto"/>
            </w:tcBorders>
            <w:shd w:val="clear" w:color="auto" w:fill="BFBFBF" w:themeFill="background1" w:themeFillShade="BF"/>
            <w:vAlign w:val="center"/>
            <w:hideMark/>
          </w:tcPr>
          <w:p w14:paraId="69D6F019" w14:textId="040EE124" w:rsidR="00462DD4" w:rsidRPr="00795F17" w:rsidRDefault="00462DD4" w:rsidP="0044393D">
            <w:pPr>
              <w:pStyle w:val="Teksttabelinaglowek"/>
            </w:pPr>
            <w:r w:rsidRPr="00795F17">
              <w:t xml:space="preserve">Powierzchnia </w:t>
            </w:r>
            <w:r w:rsidR="00DF005E">
              <w:t>JCWP</w:t>
            </w:r>
            <w:r w:rsidRPr="00795F17">
              <w:t>d</w:t>
            </w:r>
            <w:r w:rsidR="00D146C3" w:rsidRPr="00795F17">
              <w:t xml:space="preserve"> </w:t>
            </w:r>
            <w:r w:rsidRPr="00795F17">
              <w:br/>
            </w:r>
            <w:r w:rsidR="00CC4FEC" w:rsidRPr="00795F17">
              <w:t>(km</w:t>
            </w:r>
            <w:r w:rsidR="00CC4FEC" w:rsidRPr="00795F17">
              <w:rPr>
                <w:vertAlign w:val="superscript"/>
              </w:rPr>
              <w:t>2</w:t>
            </w:r>
            <w:r w:rsidR="00CC4FEC" w:rsidRPr="00795F17">
              <w:t>)</w:t>
            </w:r>
          </w:p>
        </w:tc>
        <w:tc>
          <w:tcPr>
            <w:tcW w:w="701" w:type="pct"/>
            <w:tcBorders>
              <w:top w:val="single" w:sz="4" w:space="0" w:color="auto"/>
              <w:left w:val="nil"/>
              <w:bottom w:val="nil"/>
              <w:right w:val="single" w:sz="4" w:space="0" w:color="auto"/>
            </w:tcBorders>
            <w:shd w:val="clear" w:color="auto" w:fill="BFBFBF" w:themeFill="background1" w:themeFillShade="BF"/>
            <w:vAlign w:val="center"/>
            <w:hideMark/>
          </w:tcPr>
          <w:p w14:paraId="75C5DA87" w14:textId="2B60F6A3" w:rsidR="00462DD4" w:rsidRPr="00795F17" w:rsidRDefault="00BC55DD" w:rsidP="0044393D">
            <w:pPr>
              <w:pStyle w:val="Teksttabelinaglowek"/>
            </w:pPr>
            <w:r w:rsidRPr="00795F17">
              <w:t>Udział w</w:t>
            </w:r>
            <w:r w:rsidR="002C31D7">
              <w:t> </w:t>
            </w:r>
            <w:r w:rsidRPr="00795F17">
              <w:t xml:space="preserve">powierzchni </w:t>
            </w:r>
            <w:r w:rsidR="00DF005E">
              <w:t>JCWP</w:t>
            </w:r>
            <w:r w:rsidRPr="00795F17">
              <w:t>d na obszarze dorzecza (%)</w:t>
            </w:r>
          </w:p>
        </w:tc>
      </w:tr>
      <w:tr w:rsidR="00462DD4" w:rsidRPr="00795F17" w14:paraId="33F5F0A1" w14:textId="77777777" w:rsidTr="003D7BF3">
        <w:trPr>
          <w:trHeight w:val="454"/>
        </w:trPr>
        <w:tc>
          <w:tcPr>
            <w:tcW w:w="5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2CBE8E" w14:textId="77777777" w:rsidR="00462DD4" w:rsidRPr="00795F17" w:rsidRDefault="00462DD4" w:rsidP="0065243A">
            <w:pPr>
              <w:pStyle w:val="Teksttabelisrodek"/>
            </w:pPr>
            <w:r w:rsidRPr="00795F17">
              <w:t>Odra</w:t>
            </w:r>
          </w:p>
        </w:tc>
        <w:tc>
          <w:tcPr>
            <w:tcW w:w="7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9707BB" w14:textId="245F5908" w:rsidR="00462DD4" w:rsidRPr="00795F17" w:rsidRDefault="00462DD4" w:rsidP="0065243A">
            <w:pPr>
              <w:pStyle w:val="Teksttabelisrodek"/>
            </w:pPr>
            <w:r w:rsidRPr="00795F17">
              <w:t>117</w:t>
            </w:r>
            <w:r w:rsidR="0079649A" w:rsidRPr="00795F17">
              <w:t> </w:t>
            </w:r>
            <w:r w:rsidRPr="00795F17">
              <w:t>652,17</w:t>
            </w:r>
          </w:p>
        </w:tc>
        <w:tc>
          <w:tcPr>
            <w:tcW w:w="787" w:type="pct"/>
            <w:tcBorders>
              <w:top w:val="single" w:sz="4" w:space="0" w:color="auto"/>
              <w:left w:val="nil"/>
              <w:bottom w:val="single" w:sz="4" w:space="0" w:color="auto"/>
              <w:right w:val="single" w:sz="4" w:space="0" w:color="auto"/>
            </w:tcBorders>
            <w:shd w:val="clear" w:color="000000" w:fill="92D050"/>
            <w:vAlign w:val="center"/>
            <w:hideMark/>
          </w:tcPr>
          <w:p w14:paraId="121068FA" w14:textId="77777777" w:rsidR="00462DD4" w:rsidRPr="00795F17" w:rsidRDefault="00462DD4" w:rsidP="0065243A">
            <w:pPr>
              <w:pStyle w:val="Teksttabelisrodek"/>
            </w:pPr>
            <w:r w:rsidRPr="00795F17">
              <w:t>stan dobry</w:t>
            </w:r>
          </w:p>
        </w:tc>
        <w:tc>
          <w:tcPr>
            <w:tcW w:w="1106" w:type="pct"/>
            <w:tcBorders>
              <w:top w:val="single" w:sz="4" w:space="0" w:color="auto"/>
              <w:left w:val="nil"/>
              <w:bottom w:val="single" w:sz="4" w:space="0" w:color="auto"/>
              <w:right w:val="single" w:sz="4" w:space="0" w:color="auto"/>
            </w:tcBorders>
            <w:shd w:val="clear" w:color="auto" w:fill="auto"/>
            <w:vAlign w:val="center"/>
            <w:hideMark/>
          </w:tcPr>
          <w:p w14:paraId="1A9802B5" w14:textId="77777777" w:rsidR="00462DD4" w:rsidRPr="00795F17" w:rsidRDefault="00462DD4" w:rsidP="0065243A">
            <w:pPr>
              <w:pStyle w:val="Teksttabelisrodek"/>
            </w:pPr>
            <w:r w:rsidRPr="00795F17">
              <w:t>2, 3, 4, 5, 6, 7, 8, 10, 23, 24, 25, 26, 33, 34, 35, 40, 41, 42, 43, 58, 59, 60, 61, 68, 69, 72, 76, 77, 78, 79, 80, 83, 92, 93, 94, 95, 96, 99, 107, 108, 109, 110, 124, 125, 126, 127, 155</w:t>
            </w:r>
          </w:p>
        </w:tc>
        <w:tc>
          <w:tcPr>
            <w:tcW w:w="536" w:type="pct"/>
            <w:tcBorders>
              <w:top w:val="single" w:sz="4" w:space="0" w:color="auto"/>
              <w:left w:val="nil"/>
              <w:bottom w:val="single" w:sz="4" w:space="0" w:color="auto"/>
              <w:right w:val="single" w:sz="4" w:space="0" w:color="auto"/>
            </w:tcBorders>
            <w:shd w:val="clear" w:color="auto" w:fill="auto"/>
            <w:noWrap/>
            <w:vAlign w:val="center"/>
            <w:hideMark/>
          </w:tcPr>
          <w:p w14:paraId="54ACA2F5" w14:textId="77777777" w:rsidR="00462DD4" w:rsidRPr="00795F17" w:rsidRDefault="00462DD4" w:rsidP="0065243A">
            <w:pPr>
              <w:pStyle w:val="Teksttabelisrodek"/>
            </w:pPr>
            <w:r w:rsidRPr="00795F17">
              <w:t>47</w:t>
            </w:r>
          </w:p>
        </w:tc>
        <w:tc>
          <w:tcPr>
            <w:tcW w:w="645" w:type="pct"/>
            <w:tcBorders>
              <w:top w:val="single" w:sz="4" w:space="0" w:color="auto"/>
              <w:left w:val="nil"/>
              <w:bottom w:val="single" w:sz="4" w:space="0" w:color="auto"/>
              <w:right w:val="single" w:sz="4" w:space="0" w:color="auto"/>
            </w:tcBorders>
            <w:shd w:val="clear" w:color="auto" w:fill="auto"/>
            <w:noWrap/>
            <w:vAlign w:val="center"/>
            <w:hideMark/>
          </w:tcPr>
          <w:p w14:paraId="7DF47C99" w14:textId="78E750BC" w:rsidR="00462DD4" w:rsidRPr="00795F17" w:rsidRDefault="00462DD4" w:rsidP="0065243A">
            <w:pPr>
              <w:pStyle w:val="Teksttabelisrodek"/>
            </w:pPr>
            <w:r w:rsidRPr="00795F17">
              <w:t>93</w:t>
            </w:r>
            <w:r w:rsidR="0079649A" w:rsidRPr="00795F17">
              <w:t> </w:t>
            </w:r>
            <w:r w:rsidRPr="00795F17">
              <w:t>609,74</w:t>
            </w:r>
          </w:p>
        </w:tc>
        <w:tc>
          <w:tcPr>
            <w:tcW w:w="701" w:type="pct"/>
            <w:tcBorders>
              <w:top w:val="single" w:sz="4" w:space="0" w:color="auto"/>
              <w:left w:val="nil"/>
              <w:bottom w:val="single" w:sz="4" w:space="0" w:color="auto"/>
              <w:right w:val="single" w:sz="4" w:space="0" w:color="auto"/>
            </w:tcBorders>
            <w:shd w:val="clear" w:color="auto" w:fill="auto"/>
            <w:noWrap/>
            <w:vAlign w:val="center"/>
            <w:hideMark/>
          </w:tcPr>
          <w:p w14:paraId="275CF37E" w14:textId="76D07302" w:rsidR="00462DD4" w:rsidRPr="00795F17" w:rsidRDefault="00462DD4" w:rsidP="0065243A">
            <w:pPr>
              <w:pStyle w:val="Teksttabelisrodek"/>
            </w:pPr>
            <w:r w:rsidRPr="00795F17">
              <w:t>79,56</w:t>
            </w:r>
          </w:p>
        </w:tc>
      </w:tr>
      <w:tr w:rsidR="00462DD4" w:rsidRPr="00795F17" w14:paraId="0ADAB498" w14:textId="77777777" w:rsidTr="003D7BF3">
        <w:trPr>
          <w:trHeight w:val="454"/>
        </w:trPr>
        <w:tc>
          <w:tcPr>
            <w:tcW w:w="521" w:type="pct"/>
            <w:vMerge/>
            <w:tcBorders>
              <w:top w:val="single" w:sz="4" w:space="0" w:color="auto"/>
              <w:left w:val="single" w:sz="4" w:space="0" w:color="auto"/>
              <w:bottom w:val="single" w:sz="4" w:space="0" w:color="auto"/>
              <w:right w:val="single" w:sz="4" w:space="0" w:color="auto"/>
            </w:tcBorders>
            <w:vAlign w:val="center"/>
            <w:hideMark/>
          </w:tcPr>
          <w:p w14:paraId="7D1D31BE" w14:textId="77777777" w:rsidR="00462DD4" w:rsidRPr="00795F17" w:rsidRDefault="00462DD4" w:rsidP="0065243A">
            <w:pPr>
              <w:pStyle w:val="Teksttabelisrodek"/>
            </w:pPr>
          </w:p>
        </w:tc>
        <w:tc>
          <w:tcPr>
            <w:tcW w:w="704" w:type="pct"/>
            <w:vMerge/>
            <w:tcBorders>
              <w:top w:val="single" w:sz="4" w:space="0" w:color="auto"/>
              <w:left w:val="single" w:sz="4" w:space="0" w:color="auto"/>
              <w:bottom w:val="single" w:sz="4" w:space="0" w:color="auto"/>
              <w:right w:val="single" w:sz="4" w:space="0" w:color="auto"/>
            </w:tcBorders>
            <w:vAlign w:val="center"/>
            <w:hideMark/>
          </w:tcPr>
          <w:p w14:paraId="640A3D62" w14:textId="77777777" w:rsidR="00462DD4" w:rsidRPr="00795F17" w:rsidRDefault="00462DD4" w:rsidP="0065243A">
            <w:pPr>
              <w:pStyle w:val="Teksttabelisrodek"/>
            </w:pPr>
          </w:p>
        </w:tc>
        <w:tc>
          <w:tcPr>
            <w:tcW w:w="787" w:type="pct"/>
            <w:tcBorders>
              <w:top w:val="nil"/>
              <w:left w:val="nil"/>
              <w:bottom w:val="single" w:sz="4" w:space="0" w:color="auto"/>
              <w:right w:val="single" w:sz="4" w:space="0" w:color="auto"/>
            </w:tcBorders>
            <w:shd w:val="clear" w:color="000000" w:fill="FF0000"/>
            <w:noWrap/>
            <w:vAlign w:val="center"/>
            <w:hideMark/>
          </w:tcPr>
          <w:p w14:paraId="77E1C013" w14:textId="77777777" w:rsidR="00462DD4" w:rsidRPr="00795F17" w:rsidRDefault="00462DD4" w:rsidP="0065243A">
            <w:pPr>
              <w:pStyle w:val="Teksttabelisrodek"/>
            </w:pPr>
            <w:r w:rsidRPr="00795F17">
              <w:t>stan słaby</w:t>
            </w:r>
          </w:p>
        </w:tc>
        <w:tc>
          <w:tcPr>
            <w:tcW w:w="1106" w:type="pct"/>
            <w:tcBorders>
              <w:top w:val="nil"/>
              <w:left w:val="nil"/>
              <w:bottom w:val="single" w:sz="4" w:space="0" w:color="auto"/>
              <w:right w:val="single" w:sz="4" w:space="0" w:color="auto"/>
            </w:tcBorders>
            <w:shd w:val="clear" w:color="auto" w:fill="auto"/>
            <w:vAlign w:val="center"/>
            <w:hideMark/>
          </w:tcPr>
          <w:p w14:paraId="2A929330" w14:textId="77777777" w:rsidR="00462DD4" w:rsidRPr="00795F17" w:rsidRDefault="00462DD4" w:rsidP="0065243A">
            <w:pPr>
              <w:pStyle w:val="Teksttabelisrodek"/>
            </w:pPr>
            <w:r w:rsidRPr="00795F17">
              <w:t>1, 9</w:t>
            </w:r>
          </w:p>
        </w:tc>
        <w:tc>
          <w:tcPr>
            <w:tcW w:w="536" w:type="pct"/>
            <w:tcBorders>
              <w:top w:val="nil"/>
              <w:left w:val="nil"/>
              <w:bottom w:val="single" w:sz="4" w:space="0" w:color="auto"/>
              <w:right w:val="single" w:sz="4" w:space="0" w:color="auto"/>
            </w:tcBorders>
            <w:shd w:val="clear" w:color="auto" w:fill="auto"/>
            <w:noWrap/>
            <w:vAlign w:val="center"/>
            <w:hideMark/>
          </w:tcPr>
          <w:p w14:paraId="54255CB2" w14:textId="77777777" w:rsidR="00462DD4" w:rsidRPr="00795F17" w:rsidRDefault="00462DD4" w:rsidP="0065243A">
            <w:pPr>
              <w:pStyle w:val="Teksttabelisrodek"/>
            </w:pPr>
            <w:r w:rsidRPr="00795F17">
              <w:t>2</w:t>
            </w:r>
          </w:p>
        </w:tc>
        <w:tc>
          <w:tcPr>
            <w:tcW w:w="645" w:type="pct"/>
            <w:tcBorders>
              <w:top w:val="nil"/>
              <w:left w:val="nil"/>
              <w:bottom w:val="single" w:sz="4" w:space="0" w:color="auto"/>
              <w:right w:val="single" w:sz="4" w:space="0" w:color="auto"/>
            </w:tcBorders>
            <w:shd w:val="clear" w:color="auto" w:fill="auto"/>
            <w:noWrap/>
            <w:vAlign w:val="center"/>
            <w:hideMark/>
          </w:tcPr>
          <w:p w14:paraId="386204B6" w14:textId="5D112B6A" w:rsidR="00462DD4" w:rsidRPr="00795F17" w:rsidRDefault="00462DD4" w:rsidP="0065243A">
            <w:pPr>
              <w:pStyle w:val="Teksttabelisrodek"/>
            </w:pPr>
            <w:r w:rsidRPr="00795F17">
              <w:t>4</w:t>
            </w:r>
            <w:r w:rsidR="0079649A" w:rsidRPr="00795F17">
              <w:t> </w:t>
            </w:r>
            <w:r w:rsidRPr="00795F17">
              <w:t>188,97</w:t>
            </w:r>
          </w:p>
        </w:tc>
        <w:tc>
          <w:tcPr>
            <w:tcW w:w="701" w:type="pct"/>
            <w:tcBorders>
              <w:top w:val="nil"/>
              <w:left w:val="nil"/>
              <w:bottom w:val="single" w:sz="4" w:space="0" w:color="auto"/>
              <w:right w:val="single" w:sz="4" w:space="0" w:color="auto"/>
            </w:tcBorders>
            <w:shd w:val="clear" w:color="auto" w:fill="auto"/>
            <w:noWrap/>
            <w:vAlign w:val="center"/>
            <w:hideMark/>
          </w:tcPr>
          <w:p w14:paraId="235B911C" w14:textId="7A9665E8" w:rsidR="00462DD4" w:rsidRPr="00795F17" w:rsidRDefault="00462DD4" w:rsidP="0065243A">
            <w:pPr>
              <w:pStyle w:val="Teksttabelisrodek"/>
            </w:pPr>
            <w:r w:rsidRPr="00795F17">
              <w:t>3,56</w:t>
            </w:r>
          </w:p>
        </w:tc>
      </w:tr>
      <w:tr w:rsidR="00E72586" w:rsidRPr="00795F17" w14:paraId="00273E87" w14:textId="77777777" w:rsidTr="003D7BF3">
        <w:trPr>
          <w:trHeight w:val="454"/>
        </w:trPr>
        <w:tc>
          <w:tcPr>
            <w:tcW w:w="521" w:type="pct"/>
            <w:vMerge/>
            <w:tcBorders>
              <w:top w:val="single" w:sz="4" w:space="0" w:color="auto"/>
              <w:left w:val="single" w:sz="4" w:space="0" w:color="auto"/>
              <w:bottom w:val="single" w:sz="4" w:space="0" w:color="auto"/>
              <w:right w:val="single" w:sz="4" w:space="0" w:color="auto"/>
            </w:tcBorders>
            <w:vAlign w:val="center"/>
            <w:hideMark/>
          </w:tcPr>
          <w:p w14:paraId="034EE165" w14:textId="77777777" w:rsidR="00462DD4" w:rsidRPr="00795F17" w:rsidRDefault="00462DD4" w:rsidP="0065243A">
            <w:pPr>
              <w:pStyle w:val="Teksttabelisrodek"/>
            </w:pPr>
          </w:p>
        </w:tc>
        <w:tc>
          <w:tcPr>
            <w:tcW w:w="704" w:type="pct"/>
            <w:vMerge/>
            <w:tcBorders>
              <w:top w:val="single" w:sz="4" w:space="0" w:color="auto"/>
              <w:left w:val="single" w:sz="4" w:space="0" w:color="auto"/>
              <w:bottom w:val="single" w:sz="4" w:space="0" w:color="auto"/>
              <w:right w:val="single" w:sz="4" w:space="0" w:color="auto"/>
            </w:tcBorders>
            <w:vAlign w:val="center"/>
            <w:hideMark/>
          </w:tcPr>
          <w:p w14:paraId="04299FAF" w14:textId="77777777" w:rsidR="00462DD4" w:rsidRPr="00795F17" w:rsidRDefault="00462DD4" w:rsidP="0065243A">
            <w:pPr>
              <w:pStyle w:val="Teksttabelisrodek"/>
            </w:pPr>
          </w:p>
        </w:tc>
        <w:tc>
          <w:tcPr>
            <w:tcW w:w="787" w:type="pct"/>
            <w:tcBorders>
              <w:top w:val="nil"/>
              <w:left w:val="nil"/>
              <w:bottom w:val="single" w:sz="4" w:space="0" w:color="auto"/>
              <w:right w:val="single" w:sz="4" w:space="0" w:color="auto"/>
            </w:tcBorders>
            <w:shd w:val="clear" w:color="auto" w:fill="auto"/>
            <w:noWrap/>
            <w:vAlign w:val="center"/>
            <w:hideMark/>
          </w:tcPr>
          <w:p w14:paraId="4BDFB4B3" w14:textId="77777777" w:rsidR="00462DD4" w:rsidRPr="00795F17" w:rsidRDefault="00462DD4" w:rsidP="0065243A">
            <w:pPr>
              <w:pStyle w:val="Teksttabelisrodek"/>
            </w:pPr>
            <w:r w:rsidRPr="00795F17">
              <w:t>nie dotyczy</w:t>
            </w:r>
          </w:p>
        </w:tc>
        <w:tc>
          <w:tcPr>
            <w:tcW w:w="1106" w:type="pct"/>
            <w:tcBorders>
              <w:top w:val="nil"/>
              <w:left w:val="nil"/>
              <w:bottom w:val="single" w:sz="4" w:space="0" w:color="auto"/>
              <w:right w:val="single" w:sz="4" w:space="0" w:color="auto"/>
            </w:tcBorders>
            <w:shd w:val="clear" w:color="auto" w:fill="auto"/>
            <w:vAlign w:val="center"/>
            <w:hideMark/>
          </w:tcPr>
          <w:p w14:paraId="6024035E" w14:textId="77777777" w:rsidR="00462DD4" w:rsidRPr="00795F17" w:rsidRDefault="00462DD4" w:rsidP="0065243A">
            <w:pPr>
              <w:pStyle w:val="Teksttabelisrodek"/>
            </w:pPr>
            <w:r w:rsidRPr="00795F17">
              <w:t>62, 70, 71, 81, 82, 97, 98, 105, 128, 129, 139, 140, 141, 142, 143, 144, 170</w:t>
            </w:r>
          </w:p>
        </w:tc>
        <w:tc>
          <w:tcPr>
            <w:tcW w:w="536" w:type="pct"/>
            <w:tcBorders>
              <w:top w:val="nil"/>
              <w:left w:val="nil"/>
              <w:bottom w:val="single" w:sz="4" w:space="0" w:color="auto"/>
              <w:right w:val="single" w:sz="4" w:space="0" w:color="auto"/>
            </w:tcBorders>
            <w:shd w:val="clear" w:color="auto" w:fill="auto"/>
            <w:noWrap/>
            <w:vAlign w:val="center"/>
            <w:hideMark/>
          </w:tcPr>
          <w:p w14:paraId="60A22196" w14:textId="77777777" w:rsidR="00462DD4" w:rsidRPr="00795F17" w:rsidRDefault="00462DD4" w:rsidP="0065243A">
            <w:pPr>
              <w:pStyle w:val="Teksttabelisrodek"/>
            </w:pPr>
            <w:r w:rsidRPr="00795F17">
              <w:t>17</w:t>
            </w:r>
          </w:p>
        </w:tc>
        <w:tc>
          <w:tcPr>
            <w:tcW w:w="645" w:type="pct"/>
            <w:tcBorders>
              <w:top w:val="nil"/>
              <w:left w:val="nil"/>
              <w:bottom w:val="single" w:sz="4" w:space="0" w:color="auto"/>
              <w:right w:val="single" w:sz="4" w:space="0" w:color="auto"/>
            </w:tcBorders>
            <w:shd w:val="clear" w:color="auto" w:fill="auto"/>
            <w:noWrap/>
            <w:vAlign w:val="center"/>
            <w:hideMark/>
          </w:tcPr>
          <w:p w14:paraId="46EF5BAC" w14:textId="76BB69BB" w:rsidR="00462DD4" w:rsidRPr="00795F17" w:rsidRDefault="00462DD4" w:rsidP="0065243A">
            <w:pPr>
              <w:pStyle w:val="Teksttabelisrodek"/>
            </w:pPr>
            <w:r w:rsidRPr="00795F17">
              <w:t>19</w:t>
            </w:r>
            <w:r w:rsidR="0079649A" w:rsidRPr="00795F17">
              <w:t> </w:t>
            </w:r>
            <w:r w:rsidRPr="00795F17">
              <w:t>853,46</w:t>
            </w:r>
          </w:p>
        </w:tc>
        <w:tc>
          <w:tcPr>
            <w:tcW w:w="701" w:type="pct"/>
            <w:tcBorders>
              <w:top w:val="nil"/>
              <w:left w:val="nil"/>
              <w:bottom w:val="single" w:sz="4" w:space="0" w:color="auto"/>
              <w:right w:val="single" w:sz="4" w:space="0" w:color="auto"/>
            </w:tcBorders>
            <w:shd w:val="clear" w:color="auto" w:fill="auto"/>
            <w:noWrap/>
            <w:vAlign w:val="center"/>
            <w:hideMark/>
          </w:tcPr>
          <w:p w14:paraId="679CA9B4" w14:textId="0ED41E2D" w:rsidR="00462DD4" w:rsidRPr="00795F17" w:rsidRDefault="00462DD4" w:rsidP="0065243A">
            <w:pPr>
              <w:pStyle w:val="Teksttabelisrodek"/>
            </w:pPr>
            <w:r w:rsidRPr="00795F17">
              <w:t>16,87</w:t>
            </w:r>
          </w:p>
        </w:tc>
      </w:tr>
    </w:tbl>
    <w:p w14:paraId="60404E31" w14:textId="77777777" w:rsidR="00E11336" w:rsidRPr="00795F17" w:rsidRDefault="00E11336" w:rsidP="00E11336">
      <w:pPr>
        <w:pStyle w:val="rdo"/>
        <w:rPr>
          <w:color w:val="000099"/>
          <w:sz w:val="20"/>
          <w:szCs w:val="20"/>
        </w:rPr>
      </w:pPr>
      <w:r w:rsidRPr="00795F17">
        <w:t>Źródło: opracowanie własne</w:t>
      </w:r>
    </w:p>
    <w:p w14:paraId="33430104" w14:textId="2EC61D0D" w:rsidR="00130B6E" w:rsidRPr="00795F17" w:rsidRDefault="002C31D7" w:rsidP="0044393D">
      <w:pPr>
        <w:rPr>
          <w:rFonts w:eastAsia="Times New Roman"/>
          <w:color w:val="000000"/>
          <w:lang w:eastAsia="pl-PL"/>
        </w:rPr>
      </w:pPr>
      <w:r>
        <w:t>S</w:t>
      </w:r>
      <w:r w:rsidR="00462DD4" w:rsidRPr="00795F17">
        <w:t>łaby stan ilościowy odnotowano w</w:t>
      </w:r>
      <w:r w:rsidR="00D94E69" w:rsidRPr="00795F17">
        <w:t>e wszystkich</w:t>
      </w:r>
      <w:r w:rsidR="00462DD4" w:rsidRPr="00795F17">
        <w:t xml:space="preserve"> regionach</w:t>
      </w:r>
      <w:r w:rsidR="00D94E69" w:rsidRPr="00795F17">
        <w:t xml:space="preserve"> wodnych obszaru dorzecza Odry. Procent powierzchni region</w:t>
      </w:r>
      <w:r w:rsidR="00027AE6" w:rsidRPr="00795F17">
        <w:t>ów</w:t>
      </w:r>
      <w:r w:rsidR="00D94E69" w:rsidRPr="00795F17">
        <w:t xml:space="preserve"> wodn</w:t>
      </w:r>
      <w:r w:rsidR="00027AE6" w:rsidRPr="00795F17">
        <w:t xml:space="preserve">ych obszaru dorzecza Odry </w:t>
      </w:r>
      <w:r w:rsidR="00D94E69" w:rsidRPr="00795F17">
        <w:t xml:space="preserve">z </w:t>
      </w:r>
      <w:r w:rsidR="00DF005E">
        <w:t>JCWP</w:t>
      </w:r>
      <w:r w:rsidR="00D94E69" w:rsidRPr="00795F17">
        <w:t>d o</w:t>
      </w:r>
      <w:r w:rsidR="00027AE6" w:rsidRPr="00795F17">
        <w:t> </w:t>
      </w:r>
      <w:r w:rsidR="00D94E69" w:rsidRPr="00795F17">
        <w:t>słabym stanie ilościowym przedstawiono na poniższych wykresach</w:t>
      </w:r>
      <w:r w:rsidR="00462DD4" w:rsidRPr="00795F17">
        <w:rPr>
          <w:rFonts w:eastAsia="Times New Roman"/>
          <w:color w:val="000000"/>
          <w:lang w:eastAsia="pl-PL"/>
        </w:rPr>
        <w:t xml:space="preserve"> (</w:t>
      </w:r>
      <w:r w:rsidR="00757CFC" w:rsidRPr="00795F17">
        <w:rPr>
          <w:rFonts w:eastAsia="Times New Roman"/>
          <w:color w:val="000000"/>
          <w:lang w:eastAsia="pl-PL"/>
        </w:rPr>
        <w:t>wykresy od 5-14 do 5-18</w:t>
      </w:r>
      <w:r w:rsidR="00462DD4" w:rsidRPr="00795F17">
        <w:rPr>
          <w:rFonts w:eastAsia="Times New Roman"/>
          <w:color w:val="000000"/>
          <w:lang w:eastAsia="pl-PL"/>
        </w:rPr>
        <w:t xml:space="preserve">). </w:t>
      </w:r>
    </w:p>
    <w:p w14:paraId="266DC453" w14:textId="268F79CD" w:rsidR="00462DD4" w:rsidRPr="00795F17" w:rsidRDefault="00462DD4" w:rsidP="0044393D">
      <w:pPr>
        <w:rPr>
          <w:rFonts w:eastAsia="Times New Roman"/>
          <w:color w:val="000000"/>
          <w:lang w:eastAsia="pl-PL"/>
        </w:rPr>
      </w:pPr>
    </w:p>
    <w:tbl>
      <w:tblPr>
        <w:tblW w:w="0" w:type="auto"/>
        <w:tblLook w:val="04A0" w:firstRow="1" w:lastRow="0" w:firstColumn="1" w:lastColumn="0" w:noHBand="0" w:noVBand="1"/>
      </w:tblPr>
      <w:tblGrid>
        <w:gridCol w:w="4531"/>
        <w:gridCol w:w="4531"/>
      </w:tblGrid>
      <w:tr w:rsidR="00CC4FEC" w:rsidRPr="00795F17" w14:paraId="7D319F4A" w14:textId="77777777" w:rsidTr="00CC4FEC">
        <w:tc>
          <w:tcPr>
            <w:tcW w:w="4531" w:type="dxa"/>
          </w:tcPr>
          <w:p w14:paraId="0D39863C" w14:textId="46C8A6A7" w:rsidR="00CC4FEC" w:rsidRPr="00795F17" w:rsidRDefault="00CC4FEC" w:rsidP="0044393D">
            <w:pPr>
              <w:rPr>
                <w:rFonts w:eastAsia="Times New Roman"/>
                <w:color w:val="000000"/>
                <w:lang w:eastAsia="pl-PL"/>
              </w:rPr>
            </w:pPr>
            <w:r w:rsidRPr="00795F17">
              <w:rPr>
                <w:noProof/>
                <w:lang w:eastAsia="pl-PL"/>
              </w:rPr>
              <w:drawing>
                <wp:inline distT="0" distB="0" distL="0" distR="0" wp14:anchorId="1AAE31E2" wp14:editId="3586BAB7">
                  <wp:extent cx="2700000" cy="1575000"/>
                  <wp:effectExtent l="0" t="0" r="5715" b="6350"/>
                  <wp:docPr id="15" name="Chart 15">
                    <a:extLst xmlns:a="http://schemas.openxmlformats.org/drawingml/2006/main">
                      <a:ext uri="{FF2B5EF4-FFF2-40B4-BE49-F238E27FC236}">
                        <a16:creationId xmlns:a16="http://schemas.microsoft.com/office/drawing/2014/main" id="{EE7D67DB-5EE0-404B-9CE2-3D5C98C8F64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c>
          <w:tcPr>
            <w:tcW w:w="4531" w:type="dxa"/>
          </w:tcPr>
          <w:p w14:paraId="72DF57A1" w14:textId="7E9CD7EC" w:rsidR="00CC4FEC" w:rsidRPr="00795F17" w:rsidRDefault="00CC4FEC" w:rsidP="0044393D">
            <w:pPr>
              <w:rPr>
                <w:rFonts w:eastAsia="Times New Roman"/>
                <w:color w:val="000000"/>
                <w:lang w:eastAsia="pl-PL"/>
              </w:rPr>
            </w:pPr>
            <w:r w:rsidRPr="00795F17">
              <w:rPr>
                <w:noProof/>
                <w:lang w:eastAsia="pl-PL"/>
              </w:rPr>
              <w:drawing>
                <wp:inline distT="0" distB="0" distL="0" distR="0" wp14:anchorId="6214842D" wp14:editId="093FB653">
                  <wp:extent cx="2700000" cy="1575000"/>
                  <wp:effectExtent l="0" t="0" r="5715" b="6350"/>
                  <wp:docPr id="16" name="Chart 16">
                    <a:extLst xmlns:a="http://schemas.openxmlformats.org/drawingml/2006/main">
                      <a:ext uri="{FF2B5EF4-FFF2-40B4-BE49-F238E27FC236}">
                        <a16:creationId xmlns:a16="http://schemas.microsoft.com/office/drawing/2014/main" id="{38A7C051-B538-4FED-B974-2B9DA1D52705}"/>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r w:rsidR="00CC4FEC" w:rsidRPr="00795F17" w14:paraId="3FB35128" w14:textId="77777777" w:rsidTr="00CC4FEC">
        <w:tc>
          <w:tcPr>
            <w:tcW w:w="4531" w:type="dxa"/>
          </w:tcPr>
          <w:p w14:paraId="0ADD0906" w14:textId="13615AF3" w:rsidR="00CC4FEC" w:rsidRPr="00795F17" w:rsidRDefault="00CC4FEC" w:rsidP="00B479EE">
            <w:pPr>
              <w:pStyle w:val="Wykres"/>
            </w:pPr>
            <w:bookmarkStart w:id="273" w:name="_Toc66273010"/>
            <w:bookmarkStart w:id="274" w:name="_Toc105512968"/>
            <w:r w:rsidRPr="00795F17">
              <w:t xml:space="preserve">Wykres </w:t>
            </w:r>
            <w:fldSimple w:instr=" STYLEREF 1 \s ">
              <w:r w:rsidR="001F774D">
                <w:rPr>
                  <w:noProof/>
                </w:rPr>
                <w:t>5</w:t>
              </w:r>
            </w:fldSimple>
            <w:r w:rsidR="00FF20D3">
              <w:noBreakHyphen/>
            </w:r>
            <w:fldSimple w:instr=" SEQ Wykres \* ARABIC \s 1 ">
              <w:r w:rsidR="001F774D">
                <w:rPr>
                  <w:noProof/>
                </w:rPr>
                <w:t>14</w:t>
              </w:r>
            </w:fldSimple>
            <w:r w:rsidR="00745044">
              <w:rPr>
                <w:noProof/>
              </w:rPr>
              <w:t>.</w:t>
            </w:r>
            <w:r w:rsidRPr="00795F17">
              <w:tab/>
              <w:t xml:space="preserve">Procent powierzchni regionu wodnego Górnej Odry z </w:t>
            </w:r>
            <w:r w:rsidR="00DF005E">
              <w:t>JCWP</w:t>
            </w:r>
            <w:r w:rsidRPr="00795F17">
              <w:t>d o</w:t>
            </w:r>
            <w:r w:rsidR="00DC510A">
              <w:t> </w:t>
            </w:r>
            <w:r w:rsidRPr="00795F17">
              <w:t xml:space="preserve"> słabym stanie ilościowym</w:t>
            </w:r>
            <w:bookmarkEnd w:id="273"/>
            <w:bookmarkEnd w:id="274"/>
          </w:p>
          <w:p w14:paraId="73B8D7FC" w14:textId="6031B965" w:rsidR="00CC4FEC" w:rsidRPr="00795F17" w:rsidRDefault="00CC4FEC" w:rsidP="00CC4FEC">
            <w:pPr>
              <w:pStyle w:val="rdo"/>
              <w:rPr>
                <w:color w:val="000099"/>
                <w:sz w:val="20"/>
                <w:szCs w:val="20"/>
              </w:rPr>
            </w:pPr>
            <w:r w:rsidRPr="00795F17">
              <w:t>Źródło: opracowanie własne</w:t>
            </w:r>
          </w:p>
        </w:tc>
        <w:tc>
          <w:tcPr>
            <w:tcW w:w="4531" w:type="dxa"/>
          </w:tcPr>
          <w:p w14:paraId="2F09BA3C" w14:textId="18EAD394" w:rsidR="00CC4FEC" w:rsidRPr="00795F17" w:rsidRDefault="00CC4FEC" w:rsidP="00B479EE">
            <w:pPr>
              <w:pStyle w:val="Wykres"/>
            </w:pPr>
            <w:bookmarkStart w:id="275" w:name="_Toc66273011"/>
            <w:bookmarkStart w:id="276" w:name="_Toc105512969"/>
            <w:r w:rsidRPr="00795F17">
              <w:t xml:space="preserve">Wykres </w:t>
            </w:r>
            <w:fldSimple w:instr=" STYLEREF 1 \s ">
              <w:r w:rsidR="001F774D">
                <w:rPr>
                  <w:noProof/>
                </w:rPr>
                <w:t>5</w:t>
              </w:r>
            </w:fldSimple>
            <w:r w:rsidR="00FF20D3">
              <w:noBreakHyphen/>
            </w:r>
            <w:fldSimple w:instr=" SEQ Wykres \* ARABIC \s 1 ">
              <w:r w:rsidR="001F774D">
                <w:rPr>
                  <w:noProof/>
                </w:rPr>
                <w:t>15</w:t>
              </w:r>
            </w:fldSimple>
            <w:r w:rsidR="00745044">
              <w:rPr>
                <w:noProof/>
              </w:rPr>
              <w:t>.</w:t>
            </w:r>
            <w:r w:rsidRPr="00795F17">
              <w:tab/>
              <w:t xml:space="preserve">Procent powierzchni regionu wodnego Środkowej Odry z </w:t>
            </w:r>
            <w:r w:rsidR="00DF005E">
              <w:t>JCWP</w:t>
            </w:r>
            <w:r w:rsidRPr="00795F17">
              <w:t>d o słabym stanie ilościowym</w:t>
            </w:r>
            <w:bookmarkEnd w:id="275"/>
            <w:bookmarkEnd w:id="276"/>
          </w:p>
          <w:p w14:paraId="1542D35D" w14:textId="0E6FD7E1" w:rsidR="00CC4FEC" w:rsidRPr="00795F17" w:rsidRDefault="00CC4FEC" w:rsidP="00CC4FEC">
            <w:pPr>
              <w:pStyle w:val="rdo"/>
              <w:rPr>
                <w:color w:val="000099"/>
                <w:sz w:val="20"/>
                <w:szCs w:val="20"/>
              </w:rPr>
            </w:pPr>
            <w:r w:rsidRPr="00795F17">
              <w:t>Źródło: opracowanie własne</w:t>
            </w:r>
          </w:p>
        </w:tc>
      </w:tr>
      <w:tr w:rsidR="00CC4FEC" w:rsidRPr="00795F17" w14:paraId="2F57D991" w14:textId="77777777" w:rsidTr="00CC4FEC">
        <w:tc>
          <w:tcPr>
            <w:tcW w:w="4531" w:type="dxa"/>
          </w:tcPr>
          <w:p w14:paraId="5D3D321D" w14:textId="51FAE38C" w:rsidR="00CC4FEC" w:rsidRPr="00795F17" w:rsidRDefault="00CC4FEC" w:rsidP="0044393D">
            <w:pPr>
              <w:rPr>
                <w:rFonts w:eastAsia="Times New Roman"/>
                <w:color w:val="000000"/>
                <w:lang w:eastAsia="pl-PL"/>
              </w:rPr>
            </w:pPr>
            <w:r w:rsidRPr="00795F17">
              <w:rPr>
                <w:noProof/>
                <w:lang w:eastAsia="pl-PL"/>
              </w:rPr>
              <w:drawing>
                <wp:inline distT="0" distB="0" distL="0" distR="0" wp14:anchorId="20F8434F" wp14:editId="0CB5BEEC">
                  <wp:extent cx="2700000" cy="1575000"/>
                  <wp:effectExtent l="0" t="0" r="5715" b="6350"/>
                  <wp:docPr id="17" name="Chart 17">
                    <a:extLst xmlns:a="http://schemas.openxmlformats.org/drawingml/2006/main">
                      <a:ext uri="{FF2B5EF4-FFF2-40B4-BE49-F238E27FC236}">
                        <a16:creationId xmlns:a16="http://schemas.microsoft.com/office/drawing/2014/main" id="{9A3ED151-0602-4F8E-8C84-4C058FEB264E}"/>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c>
          <w:tcPr>
            <w:tcW w:w="4531" w:type="dxa"/>
          </w:tcPr>
          <w:p w14:paraId="0FB8606C" w14:textId="62DFF971" w:rsidR="00CC4FEC" w:rsidRPr="00795F17" w:rsidRDefault="00CC4FEC" w:rsidP="0044393D">
            <w:pPr>
              <w:rPr>
                <w:rFonts w:eastAsia="Times New Roman"/>
                <w:color w:val="000000"/>
                <w:lang w:eastAsia="pl-PL"/>
              </w:rPr>
            </w:pPr>
            <w:r w:rsidRPr="00795F17">
              <w:rPr>
                <w:noProof/>
                <w:lang w:eastAsia="pl-PL"/>
              </w:rPr>
              <w:drawing>
                <wp:inline distT="0" distB="0" distL="0" distR="0" wp14:anchorId="45715B56" wp14:editId="336A1F4E">
                  <wp:extent cx="2700000" cy="1575000"/>
                  <wp:effectExtent l="0" t="0" r="5715" b="6350"/>
                  <wp:docPr id="18" name="Chart 18">
                    <a:extLst xmlns:a="http://schemas.openxmlformats.org/drawingml/2006/main">
                      <a:ext uri="{FF2B5EF4-FFF2-40B4-BE49-F238E27FC236}">
                        <a16:creationId xmlns:a16="http://schemas.microsoft.com/office/drawing/2014/main" id="{07F5820C-0C6D-48C0-886B-98635B742759}"/>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r w:rsidR="00CC4FEC" w:rsidRPr="00795F17" w14:paraId="44EFC700" w14:textId="77777777" w:rsidTr="00CC4FEC">
        <w:tc>
          <w:tcPr>
            <w:tcW w:w="4531" w:type="dxa"/>
          </w:tcPr>
          <w:p w14:paraId="0204E4D9" w14:textId="7F9940D4" w:rsidR="00CC4FEC" w:rsidRPr="00795F17" w:rsidRDefault="00CC4FEC" w:rsidP="00B479EE">
            <w:pPr>
              <w:pStyle w:val="Wykres"/>
            </w:pPr>
            <w:bookmarkStart w:id="277" w:name="_Toc66273012"/>
            <w:bookmarkStart w:id="278" w:name="_Toc105512970"/>
            <w:r w:rsidRPr="00795F17">
              <w:t xml:space="preserve">Wykres </w:t>
            </w:r>
            <w:fldSimple w:instr=" STYLEREF 1 \s ">
              <w:r w:rsidR="001F774D">
                <w:rPr>
                  <w:noProof/>
                </w:rPr>
                <w:t>5</w:t>
              </w:r>
            </w:fldSimple>
            <w:r w:rsidR="00FF20D3">
              <w:noBreakHyphen/>
            </w:r>
            <w:fldSimple w:instr=" SEQ Wykres \* ARABIC \s 1 ">
              <w:r w:rsidR="001F774D">
                <w:rPr>
                  <w:noProof/>
                </w:rPr>
                <w:t>16</w:t>
              </w:r>
            </w:fldSimple>
            <w:r w:rsidR="00745044">
              <w:rPr>
                <w:noProof/>
              </w:rPr>
              <w:t>.</w:t>
            </w:r>
            <w:r w:rsidRPr="00795F17">
              <w:tab/>
              <w:t xml:space="preserve">Procent powierzchni regionu wodnego Dolnej Odry i Przymorza Zachodniego z </w:t>
            </w:r>
            <w:r w:rsidR="00DF005E">
              <w:t>JCWP</w:t>
            </w:r>
            <w:r w:rsidRPr="00795F17">
              <w:t>d o słabym stanie ilościowym</w:t>
            </w:r>
            <w:bookmarkEnd w:id="277"/>
            <w:bookmarkEnd w:id="278"/>
          </w:p>
          <w:p w14:paraId="58424A58" w14:textId="7D043B43" w:rsidR="00CC4FEC" w:rsidRPr="00795F17" w:rsidRDefault="00CC4FEC" w:rsidP="00CC4FEC">
            <w:pPr>
              <w:pStyle w:val="rdo"/>
              <w:rPr>
                <w:color w:val="000099"/>
                <w:sz w:val="20"/>
                <w:szCs w:val="20"/>
              </w:rPr>
            </w:pPr>
            <w:r w:rsidRPr="00795F17">
              <w:t>Źródło: opracowanie własne</w:t>
            </w:r>
          </w:p>
        </w:tc>
        <w:tc>
          <w:tcPr>
            <w:tcW w:w="4531" w:type="dxa"/>
          </w:tcPr>
          <w:p w14:paraId="6925CA89" w14:textId="03C38A32" w:rsidR="00CC4FEC" w:rsidRPr="00795F17" w:rsidRDefault="00CC4FEC" w:rsidP="00B479EE">
            <w:pPr>
              <w:pStyle w:val="Wykres"/>
            </w:pPr>
            <w:bookmarkStart w:id="279" w:name="_Toc66273013"/>
            <w:bookmarkStart w:id="280" w:name="_Toc105512971"/>
            <w:r w:rsidRPr="00795F17">
              <w:t xml:space="preserve">Wykres </w:t>
            </w:r>
            <w:fldSimple w:instr=" STYLEREF 1 \s ">
              <w:r w:rsidR="001F774D">
                <w:rPr>
                  <w:noProof/>
                </w:rPr>
                <w:t>5</w:t>
              </w:r>
            </w:fldSimple>
            <w:r w:rsidR="00FF20D3">
              <w:noBreakHyphen/>
            </w:r>
            <w:fldSimple w:instr=" SEQ Wykres \* ARABIC \s 1 ">
              <w:r w:rsidR="001F774D">
                <w:rPr>
                  <w:noProof/>
                </w:rPr>
                <w:t>17</w:t>
              </w:r>
            </w:fldSimple>
            <w:r w:rsidR="00745044">
              <w:rPr>
                <w:noProof/>
              </w:rPr>
              <w:t>.</w:t>
            </w:r>
            <w:r w:rsidRPr="00795F17">
              <w:tab/>
              <w:t xml:space="preserve">Procent powierzchni regionu wodnego Warty z </w:t>
            </w:r>
            <w:r w:rsidR="00DF005E">
              <w:t>JCWP</w:t>
            </w:r>
            <w:r w:rsidRPr="00795F17">
              <w:t>d o słabym stanie ilościowym</w:t>
            </w:r>
            <w:bookmarkEnd w:id="279"/>
            <w:bookmarkEnd w:id="280"/>
          </w:p>
          <w:p w14:paraId="022AF46E" w14:textId="1A4651FF" w:rsidR="00CC4FEC" w:rsidRPr="00795F17" w:rsidRDefault="00CC4FEC" w:rsidP="00CC4FEC">
            <w:pPr>
              <w:pStyle w:val="rdo"/>
              <w:rPr>
                <w:color w:val="000099"/>
                <w:sz w:val="20"/>
                <w:szCs w:val="20"/>
              </w:rPr>
            </w:pPr>
            <w:r w:rsidRPr="00795F17">
              <w:t>Źródło: opracowanie własne</w:t>
            </w:r>
          </w:p>
        </w:tc>
      </w:tr>
      <w:tr w:rsidR="00CC4FEC" w:rsidRPr="00795F17" w14:paraId="07912497" w14:textId="77777777" w:rsidTr="00CC4FEC">
        <w:tc>
          <w:tcPr>
            <w:tcW w:w="4531" w:type="dxa"/>
          </w:tcPr>
          <w:p w14:paraId="4F96D6FD" w14:textId="122AC034" w:rsidR="00CC4FEC" w:rsidRPr="00795F17" w:rsidRDefault="00CC4FEC" w:rsidP="00B479EE">
            <w:pPr>
              <w:pStyle w:val="Wykres"/>
            </w:pPr>
            <w:r w:rsidRPr="00795F17">
              <w:rPr>
                <w:noProof/>
                <w:lang w:eastAsia="pl-PL"/>
              </w:rPr>
              <w:drawing>
                <wp:inline distT="0" distB="0" distL="0" distR="0" wp14:anchorId="0D1C41F7" wp14:editId="6C425076">
                  <wp:extent cx="2700000" cy="1575000"/>
                  <wp:effectExtent l="0" t="0" r="5715" b="6350"/>
                  <wp:docPr id="19" name="Chart 19">
                    <a:extLst xmlns:a="http://schemas.openxmlformats.org/drawingml/2006/main">
                      <a:ext uri="{FF2B5EF4-FFF2-40B4-BE49-F238E27FC236}">
                        <a16:creationId xmlns:a16="http://schemas.microsoft.com/office/drawing/2014/main" id="{DD19C839-C573-44FF-897C-1CA0839FB69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c>
          <w:tcPr>
            <w:tcW w:w="4531" w:type="dxa"/>
          </w:tcPr>
          <w:p w14:paraId="68C27862" w14:textId="77777777" w:rsidR="00CC4FEC" w:rsidRPr="00795F17" w:rsidRDefault="00CC4FEC" w:rsidP="00B479EE">
            <w:pPr>
              <w:pStyle w:val="Wykres"/>
            </w:pPr>
          </w:p>
        </w:tc>
      </w:tr>
      <w:tr w:rsidR="00CC4FEC" w:rsidRPr="00795F17" w14:paraId="48FB86D7" w14:textId="77777777" w:rsidTr="00CC4FEC">
        <w:tc>
          <w:tcPr>
            <w:tcW w:w="4531" w:type="dxa"/>
          </w:tcPr>
          <w:p w14:paraId="4EC163DD" w14:textId="35590CB6" w:rsidR="00CC4FEC" w:rsidRPr="00795F17" w:rsidRDefault="00CC4FEC" w:rsidP="00B479EE">
            <w:pPr>
              <w:pStyle w:val="Wykres"/>
            </w:pPr>
            <w:bookmarkStart w:id="281" w:name="_Toc66273014"/>
            <w:bookmarkStart w:id="282" w:name="_Toc105512972"/>
            <w:r w:rsidRPr="00795F17">
              <w:t xml:space="preserve">Wykres </w:t>
            </w:r>
            <w:fldSimple w:instr=" STYLEREF 1 \s ">
              <w:r w:rsidR="001F774D">
                <w:rPr>
                  <w:noProof/>
                </w:rPr>
                <w:t>5</w:t>
              </w:r>
            </w:fldSimple>
            <w:r w:rsidR="00FF20D3">
              <w:noBreakHyphen/>
            </w:r>
            <w:fldSimple w:instr=" SEQ Wykres \* ARABIC \s 1 ">
              <w:r w:rsidR="001F774D">
                <w:rPr>
                  <w:noProof/>
                </w:rPr>
                <w:t>18</w:t>
              </w:r>
            </w:fldSimple>
            <w:r w:rsidR="00745044">
              <w:rPr>
                <w:noProof/>
              </w:rPr>
              <w:t>.</w:t>
            </w:r>
            <w:r w:rsidRPr="00795F17">
              <w:tab/>
              <w:t xml:space="preserve">Procent powierzchni regionu wodnego Noteci z </w:t>
            </w:r>
            <w:r w:rsidR="00DF005E">
              <w:t>JCWP</w:t>
            </w:r>
            <w:r w:rsidRPr="00795F17">
              <w:t>d o słabym stanie ilościowym</w:t>
            </w:r>
            <w:bookmarkEnd w:id="281"/>
            <w:bookmarkEnd w:id="282"/>
          </w:p>
          <w:p w14:paraId="3A636D27" w14:textId="2C7F2569" w:rsidR="00CC4FEC" w:rsidRPr="00795F17" w:rsidRDefault="00CC4FEC" w:rsidP="00BC55DD">
            <w:pPr>
              <w:pStyle w:val="rdo"/>
              <w:rPr>
                <w:color w:val="000099"/>
                <w:sz w:val="20"/>
                <w:szCs w:val="20"/>
              </w:rPr>
            </w:pPr>
            <w:r w:rsidRPr="00795F17">
              <w:t>Źródło: opracowanie własne</w:t>
            </w:r>
          </w:p>
        </w:tc>
        <w:tc>
          <w:tcPr>
            <w:tcW w:w="4531" w:type="dxa"/>
          </w:tcPr>
          <w:p w14:paraId="135F458A" w14:textId="77777777" w:rsidR="00CC4FEC" w:rsidRPr="00795F17" w:rsidRDefault="00CC4FEC" w:rsidP="00B479EE">
            <w:pPr>
              <w:pStyle w:val="Wykres"/>
            </w:pPr>
          </w:p>
        </w:tc>
      </w:tr>
    </w:tbl>
    <w:p w14:paraId="69D7030A" w14:textId="50A2E1AE" w:rsidR="00462DD4" w:rsidRPr="00795F17" w:rsidRDefault="00462DD4" w:rsidP="0044393D">
      <w:r w:rsidRPr="00795F17">
        <w:t xml:space="preserve">Najczęstszą przyczyną słabego stanu chemicznego </w:t>
      </w:r>
      <w:r w:rsidR="00DF005E">
        <w:t>JCWP</w:t>
      </w:r>
      <w:r w:rsidRPr="00795F17">
        <w:t>d były przekroczenia wartości progowych dobrego stanu wód podziemnych, a stanu ilościowego przekroczenia zasobów dostępnych przez pobór wód podziemnych. Przyczyną takiej sytuacji jest najlepsza jakość i kompletność danych uwzględnianych w</w:t>
      </w:r>
      <w:r w:rsidR="00D146C3" w:rsidRPr="00795F17">
        <w:t xml:space="preserve"> </w:t>
      </w:r>
      <w:r w:rsidRPr="00795F17">
        <w:t>testach C.1: Ogólna ocena stanu chemicznego i I.1: Bilans wodny, pozwalająca na</w:t>
      </w:r>
      <w:r w:rsidR="00686ED2" w:rsidRPr="00795F17">
        <w:t> </w:t>
      </w:r>
      <w:r w:rsidRPr="00795F17">
        <w:t xml:space="preserve">szczegółową analizę sytuacji we wszystkich </w:t>
      </w:r>
      <w:r w:rsidR="00DF005E">
        <w:t>JCWP</w:t>
      </w:r>
      <w:r w:rsidRPr="00795F17">
        <w:t>d.</w:t>
      </w:r>
    </w:p>
    <w:p w14:paraId="789C80CE" w14:textId="6D49A5EF" w:rsidR="00462DD4" w:rsidRPr="00795F17" w:rsidRDefault="00462DD4" w:rsidP="0044393D">
      <w:r w:rsidRPr="00795F17">
        <w:t xml:space="preserve">Syntezę wyników poszczególnych testów klasyfikacyjnych w </w:t>
      </w:r>
      <w:r w:rsidR="00DF005E">
        <w:t>JCWP</w:t>
      </w:r>
      <w:r w:rsidRPr="00795F17">
        <w:t xml:space="preserve">d, które w analizie stanu </w:t>
      </w:r>
      <w:r w:rsidR="00DF005E">
        <w:t>JCWP</w:t>
      </w:r>
      <w:r w:rsidRPr="00795F17">
        <w:t xml:space="preserve">d oceniono jako o stanie słabym zawiera załącznik </w:t>
      </w:r>
      <w:r w:rsidR="00555019" w:rsidRPr="00795F17">
        <w:t xml:space="preserve">nr </w:t>
      </w:r>
      <w:r w:rsidR="00617195">
        <w:t>9</w:t>
      </w:r>
      <w:r w:rsidR="00940D49" w:rsidRPr="00795F17">
        <w:t xml:space="preserve"> (</w:t>
      </w:r>
      <w:r w:rsidRPr="00795F17">
        <w:t xml:space="preserve">Podsumowanie wyników oceny stanu </w:t>
      </w:r>
      <w:r w:rsidR="00DF005E">
        <w:t>JCWP</w:t>
      </w:r>
      <w:r w:rsidRPr="00795F17">
        <w:t xml:space="preserve">d </w:t>
      </w:r>
      <w:r w:rsidR="00DC510A">
        <w:t>na</w:t>
      </w:r>
      <w:r w:rsidR="008F593A" w:rsidRPr="00795F17">
        <w:t> </w:t>
      </w:r>
      <w:r w:rsidR="00FB15D5" w:rsidRPr="00795F17">
        <w:t xml:space="preserve">obszarze </w:t>
      </w:r>
      <w:r w:rsidRPr="00795F17">
        <w:t>dorzecz</w:t>
      </w:r>
      <w:r w:rsidR="00FB15D5" w:rsidRPr="00795F17">
        <w:t>a</w:t>
      </w:r>
      <w:r w:rsidRPr="00795F17">
        <w:t xml:space="preserve"> Odry </w:t>
      </w:r>
      <w:r w:rsidR="00182A26" w:rsidRPr="00795F17">
        <w:t>-</w:t>
      </w:r>
      <w:r w:rsidRPr="00795F17">
        <w:t xml:space="preserve"> </w:t>
      </w:r>
      <w:r w:rsidR="00DF005E">
        <w:t>JCWP</w:t>
      </w:r>
      <w:r w:rsidRPr="00795F17">
        <w:t>d o stanie słabym</w:t>
      </w:r>
      <w:r w:rsidR="00940D49" w:rsidRPr="00795F17">
        <w:t>)</w:t>
      </w:r>
      <w:r w:rsidRPr="00795F17">
        <w:t xml:space="preserve">. </w:t>
      </w:r>
    </w:p>
    <w:p w14:paraId="32C6182B" w14:textId="1DC9529E" w:rsidR="00462DD4" w:rsidRPr="00795F17" w:rsidRDefault="00C12087" w:rsidP="0044393D">
      <w:r>
        <w:t>Klasyfikację stanu chemicznego</w:t>
      </w:r>
      <w:r w:rsidR="00462DD4" w:rsidRPr="00795F17">
        <w:t xml:space="preserve"> </w:t>
      </w:r>
      <w:r w:rsidR="00DF005E">
        <w:t>JCWP</w:t>
      </w:r>
      <w:r w:rsidR="00462DD4" w:rsidRPr="00795F17">
        <w:t xml:space="preserve">d na obszarze dorzecza Odry przedstawia załącznik graficzny </w:t>
      </w:r>
      <w:r w:rsidR="00D661E6" w:rsidRPr="00795F17">
        <w:t xml:space="preserve">nr </w:t>
      </w:r>
      <w:r w:rsidR="00EA3B4C">
        <w:t>40</w:t>
      </w:r>
      <w:r w:rsidR="00462DD4" w:rsidRPr="00795F17">
        <w:t xml:space="preserve">. Ocenę stanu ilościowego </w:t>
      </w:r>
      <w:r w:rsidR="00DF005E">
        <w:t>JCWP</w:t>
      </w:r>
      <w:r w:rsidR="00462DD4" w:rsidRPr="00795F17">
        <w:t xml:space="preserve">d na obszarze dorzecza Odry prezentuje załącznik graficzny </w:t>
      </w:r>
      <w:r w:rsidR="002763D9" w:rsidRPr="00795F17">
        <w:t xml:space="preserve">nr </w:t>
      </w:r>
      <w:r w:rsidR="00190723">
        <w:t>41</w:t>
      </w:r>
      <w:r w:rsidR="00462DD4" w:rsidRPr="00795F17">
        <w:t>.</w:t>
      </w:r>
    </w:p>
    <w:p w14:paraId="62F75EF0" w14:textId="30E08A54" w:rsidR="00D91256" w:rsidRPr="00795F17" w:rsidRDefault="00BF2801" w:rsidP="00BA6B41">
      <w:pPr>
        <w:pStyle w:val="Nagwek1"/>
      </w:pPr>
      <w:r w:rsidRPr="00795F17">
        <w:br w:type="column"/>
      </w:r>
      <w:bookmarkStart w:id="283" w:name="_Toc66272271"/>
      <w:bookmarkStart w:id="284" w:name="_Toc66347798"/>
      <w:bookmarkStart w:id="285" w:name="_Toc105512648"/>
      <w:r w:rsidR="00D91256" w:rsidRPr="00795F17">
        <w:t xml:space="preserve">Wykaz </w:t>
      </w:r>
      <w:bookmarkStart w:id="286" w:name="_Hlk54261388"/>
      <w:r w:rsidR="00D91256" w:rsidRPr="00795F17">
        <w:t>wielkości emisji i stężeń substancji priorytetowych określonych</w:t>
      </w:r>
      <w:r w:rsidR="00DC510A">
        <w:t xml:space="preserve"> </w:t>
      </w:r>
      <w:r w:rsidR="00D91256" w:rsidRPr="00795F17">
        <w:t>w</w:t>
      </w:r>
      <w:r w:rsidR="00DC510A">
        <w:t> </w:t>
      </w:r>
      <w:r w:rsidR="00D91256" w:rsidRPr="00795F17">
        <w:t>przepisach wydanych na podstawie art.</w:t>
      </w:r>
      <w:r w:rsidR="008355FA" w:rsidRPr="00795F17">
        <w:t xml:space="preserve"> </w:t>
      </w:r>
      <w:r w:rsidR="00D91256" w:rsidRPr="00795F17">
        <w:t xml:space="preserve">114 </w:t>
      </w:r>
      <w:r w:rsidR="00C35851" w:rsidRPr="00795F17">
        <w:t xml:space="preserve">ustawy </w:t>
      </w:r>
      <w:r w:rsidR="00C827BA">
        <w:t xml:space="preserve">– </w:t>
      </w:r>
      <w:r w:rsidR="00445E5E" w:rsidRPr="00795F17">
        <w:t>Prawo wodne</w:t>
      </w:r>
      <w:r w:rsidR="00D91256" w:rsidRPr="00795F17">
        <w:t xml:space="preserve"> oraz innych substancji powodujących zanieczyszczenie, dla których zostały określone środowiskowe normy jakości</w:t>
      </w:r>
      <w:bookmarkEnd w:id="283"/>
      <w:bookmarkEnd w:id="284"/>
      <w:bookmarkEnd w:id="285"/>
      <w:bookmarkEnd w:id="286"/>
    </w:p>
    <w:p w14:paraId="724E6F0E" w14:textId="2BB0189C" w:rsidR="00532A28" w:rsidRPr="00795F17" w:rsidRDefault="004505DE" w:rsidP="0044393D">
      <w:r w:rsidRPr="008368C5">
        <w:t xml:space="preserve">Cele środowiskowe określone w planach gospodarowania wodami na obszarach dorzeczy osiąga się między innymi poprzez wdrażanie działań ukierunkowanych na stopniową eliminację źródeł zanieczyszczeń powodujących presję na stan chemiczny </w:t>
      </w:r>
      <w:r w:rsidR="00DF005E">
        <w:t>JCWP</w:t>
      </w:r>
      <w:r w:rsidRPr="008368C5">
        <w:t xml:space="preserve">. </w:t>
      </w:r>
      <w:r w:rsidRPr="009475C8">
        <w:t xml:space="preserve">Zgodnie z </w:t>
      </w:r>
      <w:r w:rsidR="00DF005E">
        <w:t>r.kl.jcwp</w:t>
      </w:r>
      <w:r w:rsidRPr="009475C8">
        <w:t xml:space="preserve"> stan chemiczny ocenia się na podstawie wartości wskaźników chemicznych charakteryzujących występowanie substancji szczególnie szkodliwych dla środowiska wodnego (substancji priorytetowych w dziedzinie polityki wodnej oraz innych substancji zanieczyszczających)</w:t>
      </w:r>
      <w:r w:rsidRPr="008368C5">
        <w:t>.</w:t>
      </w:r>
    </w:p>
    <w:p w14:paraId="46076C23" w14:textId="709975CC" w:rsidR="00532A28" w:rsidRPr="00795F17" w:rsidRDefault="00532A28" w:rsidP="0044393D">
      <w:pPr>
        <w:rPr>
          <w:rFonts w:cs="Calibri"/>
        </w:rPr>
      </w:pPr>
      <w:r w:rsidRPr="00795F17">
        <w:t xml:space="preserve">Zgodnie z </w:t>
      </w:r>
      <w:r w:rsidR="005A147E" w:rsidRPr="00795F17">
        <w:t>RDW</w:t>
      </w:r>
      <w:r w:rsidRPr="00795F17">
        <w:t xml:space="preserve"> substancje priorytetowe określane są jako substancje stanowiące szczególne zagrożenie dla środowiska wodnego. Wśród nich wyróżniono grupę substancji niebezpiecznych, czyli</w:t>
      </w:r>
      <w:r w:rsidR="0022557C" w:rsidRPr="00795F17">
        <w:t> </w:t>
      </w:r>
      <w:r w:rsidRPr="00795F17">
        <w:t>substancji, które</w:t>
      </w:r>
      <w:r w:rsidRPr="00795F17">
        <w:rPr>
          <w:rFonts w:cs="Calibri"/>
        </w:rPr>
        <w:t xml:space="preserve"> powodują znaczne ryzyko ze względu na trwałość, toksyczność, bioakumulację, małą podatność na</w:t>
      </w:r>
      <w:r w:rsidR="00905523" w:rsidRPr="00795F17">
        <w:rPr>
          <w:rFonts w:cs="Calibri"/>
        </w:rPr>
        <w:t> </w:t>
      </w:r>
      <w:r w:rsidRPr="00795F17">
        <w:rPr>
          <w:rFonts w:cs="Calibri"/>
        </w:rPr>
        <w:t>degradację i ryzyko dla zdrowia ludzi. Dla substancji priorytetowych oraz innych substancji zanieczyszczających zostały ustanowione środowiskowe normy jakości (EQS) zgodnie z</w:t>
      </w:r>
      <w:r w:rsidR="00CE237D" w:rsidRPr="00795F17">
        <w:rPr>
          <w:rFonts w:cs="Calibri"/>
        </w:rPr>
        <w:t> </w:t>
      </w:r>
      <w:r w:rsidR="00CC09D1">
        <w:rPr>
          <w:rFonts w:cs="Calibri"/>
        </w:rPr>
        <w:t>d</w:t>
      </w:r>
      <w:r w:rsidRPr="00795F17">
        <w:rPr>
          <w:rFonts w:cs="Calibri"/>
        </w:rPr>
        <w:t>yrektywą Parlamentu Europejskiego i Rady 2008/105/WE z dnia 16 grudnia 2008 r. w sprawie środowiskowych norm jakości w dziedzinie polityki wodnej</w:t>
      </w:r>
      <w:r w:rsidR="00485F1F">
        <w:rPr>
          <w:rFonts w:cs="Calibri"/>
          <w:color w:val="000000" w:themeColor="text1"/>
        </w:rPr>
        <w:t>,</w:t>
      </w:r>
      <w:r w:rsidR="00485F1F" w:rsidRPr="00EF355D">
        <w:rPr>
          <w:rFonts w:cs="Calibri"/>
          <w:color w:val="000000" w:themeColor="text1"/>
        </w:rPr>
        <w:t xml:space="preserve"> </w:t>
      </w:r>
      <w:r w:rsidR="00485F1F" w:rsidRPr="00504D2D">
        <w:rPr>
          <w:rFonts w:cs="Calibri"/>
          <w:color w:val="000000" w:themeColor="text1"/>
        </w:rPr>
        <w:t xml:space="preserve">zmieniająca i w następstwie uchylająca dyrektywy Rady 82/176/EWG, 83/513/EWG, 84/156/EWG, 84/491/EWG i 86/280/EWG oraz zmieniająca dyrektywę 2000/60/WE Parlamentu Europejskiego i Rady </w:t>
      </w:r>
      <w:r w:rsidR="00485F1F">
        <w:rPr>
          <w:rFonts w:cs="Calibri"/>
          <w:color w:val="000000" w:themeColor="text1"/>
        </w:rPr>
        <w:t xml:space="preserve">(Dz. </w:t>
      </w:r>
      <w:r w:rsidR="00485F1F" w:rsidRPr="009F7F19">
        <w:rPr>
          <w:color w:val="000000" w:themeColor="text1"/>
        </w:rPr>
        <w:t xml:space="preserve">Urz. </w:t>
      </w:r>
      <w:r w:rsidR="00485F1F">
        <w:rPr>
          <w:rFonts w:cs="Calibri"/>
          <w:color w:val="000000" w:themeColor="text1"/>
        </w:rPr>
        <w:t>UE L 348 z 24.12.2008, str. 84), dalej jako: „dyrektywa 2008/105/WE”, która została</w:t>
      </w:r>
      <w:r w:rsidRPr="00795F17">
        <w:rPr>
          <w:rFonts w:cs="Calibri"/>
        </w:rPr>
        <w:t xml:space="preserve"> zaktualizowana na mocy </w:t>
      </w:r>
      <w:r w:rsidR="00CC09D1">
        <w:rPr>
          <w:rFonts w:cs="Calibri"/>
        </w:rPr>
        <w:t>d</w:t>
      </w:r>
      <w:r w:rsidRPr="00795F17">
        <w:rPr>
          <w:rFonts w:cs="Calibri"/>
        </w:rPr>
        <w:t>yrektywy 2013/39/UE). Polską podstawą prawną przedstawiającą pełną listę substancji priorytetowych stanowi załącznik do</w:t>
      </w:r>
      <w:r w:rsidR="00905523" w:rsidRPr="00795F17">
        <w:rPr>
          <w:rFonts w:cs="Calibri"/>
        </w:rPr>
        <w:t> </w:t>
      </w:r>
      <w:r w:rsidR="002B3A3C" w:rsidRPr="00795F17">
        <w:rPr>
          <w:rFonts w:cs="Calibri"/>
        </w:rPr>
        <w:t>r</w:t>
      </w:r>
      <w:r w:rsidRPr="00795F17">
        <w:rPr>
          <w:rFonts w:cs="Calibri"/>
        </w:rPr>
        <w:t>ozporządzenia Ministra Gospodarki Morskiej i Żeglugi Śródlądowej z dnia 1 marca 2019</w:t>
      </w:r>
      <w:r w:rsidR="004F5268" w:rsidRPr="00795F17">
        <w:rPr>
          <w:rFonts w:cs="Calibri"/>
        </w:rPr>
        <w:t> </w:t>
      </w:r>
      <w:r w:rsidRPr="00795F17">
        <w:rPr>
          <w:rFonts w:cs="Calibri"/>
        </w:rPr>
        <w:t>r. w</w:t>
      </w:r>
      <w:r w:rsidR="00905523" w:rsidRPr="00795F17">
        <w:rPr>
          <w:rFonts w:cs="Calibri"/>
        </w:rPr>
        <w:t> </w:t>
      </w:r>
      <w:r w:rsidRPr="00795F17">
        <w:rPr>
          <w:rFonts w:cs="Calibri"/>
        </w:rPr>
        <w:t>sprawie wykazu substancji priorytetowych (Dz.U</w:t>
      </w:r>
      <w:r w:rsidR="00237042" w:rsidRPr="00795F17">
        <w:rPr>
          <w:rFonts w:cs="Calibri"/>
        </w:rPr>
        <w:t>.</w:t>
      </w:r>
      <w:r w:rsidRPr="00795F17">
        <w:rPr>
          <w:rFonts w:cs="Calibri"/>
        </w:rPr>
        <w:t xml:space="preserve"> </w:t>
      </w:r>
      <w:r w:rsidR="009549F7" w:rsidRPr="00795F17">
        <w:rPr>
          <w:rFonts w:cs="Calibri"/>
        </w:rPr>
        <w:t xml:space="preserve">poz. </w:t>
      </w:r>
      <w:r w:rsidRPr="00795F17">
        <w:rPr>
          <w:rFonts w:cs="Calibri"/>
        </w:rPr>
        <w:t>528).</w:t>
      </w:r>
    </w:p>
    <w:p w14:paraId="25CC64E4" w14:textId="4A48FEA2" w:rsidR="00532A28" w:rsidRPr="00795F17" w:rsidRDefault="00532A28" w:rsidP="0044393D">
      <w:r w:rsidRPr="00795F17">
        <w:t>Jako jeden z celów środowiskowych dla wszystkich jcw wskazuje się dążenie przez wszystkie państwa członkowskie UE do stopniowego redukowania zanieczyszczenia substancjami priorytetowymi i zaprzestania lub stopniowego eliminowania emisji, zrzutów i strat niebezpiecznych substancji priorytetowych. Zgodnie z art. 317 ust. 1 pkt 8 pr.w. w celu opracowania planów gospodarowania wodami na obszarach dorzeczy sporządza się wykaz:</w:t>
      </w:r>
    </w:p>
    <w:p w14:paraId="2D474111" w14:textId="6D5D5980" w:rsidR="00532A28" w:rsidRPr="00795F17" w:rsidRDefault="00532A28" w:rsidP="005635FD">
      <w:pPr>
        <w:pStyle w:val="Listapunktowana2"/>
        <w:numPr>
          <w:ilvl w:val="0"/>
          <w:numId w:val="99"/>
        </w:numPr>
      </w:pPr>
      <w:r w:rsidRPr="00795F17">
        <w:t>substancji priorytetowych określonych w przepisach wydanych na podstawie art. 114 pr.w.,</w:t>
      </w:r>
    </w:p>
    <w:p w14:paraId="5D401E93" w14:textId="5CD13175" w:rsidR="00532A28" w:rsidRPr="00795F17" w:rsidRDefault="00532A28" w:rsidP="005635FD">
      <w:pPr>
        <w:pStyle w:val="Listapunktowana2"/>
        <w:numPr>
          <w:ilvl w:val="0"/>
          <w:numId w:val="99"/>
        </w:numPr>
      </w:pPr>
      <w:r w:rsidRPr="00795F17">
        <w:t>substancji innych niż wskazane w lit. a, powodujących zanieczyszczenie,</w:t>
      </w:r>
      <w:r w:rsidR="00DA1EF7" w:rsidRPr="00795F17">
        <w:t xml:space="preserve"> </w:t>
      </w:r>
      <w:r w:rsidRPr="00795F17">
        <w:t>dla których zostały określone środowiskowe normy jakości.</w:t>
      </w:r>
    </w:p>
    <w:p w14:paraId="7FE1DF11" w14:textId="31DC637B" w:rsidR="00532A28" w:rsidRPr="00795F17" w:rsidRDefault="00532A28" w:rsidP="0044393D">
      <w:r w:rsidRPr="00795F17">
        <w:t>W ramach IIaPGW został sporządzony spójny i jednolity w skali kraju wykaz wielkości emisji i stężeń substancji priorytetowych</w:t>
      </w:r>
      <w:r w:rsidR="005E22DF">
        <w:t xml:space="preserve">, </w:t>
      </w:r>
      <w:r w:rsidRPr="00795F17">
        <w:t>dalej</w:t>
      </w:r>
      <w:r w:rsidR="005E22DF">
        <w:t xml:space="preserve"> jako</w:t>
      </w:r>
      <w:r w:rsidRPr="00795F17">
        <w:t xml:space="preserve"> </w:t>
      </w:r>
      <w:r w:rsidR="005E22DF">
        <w:t>„</w:t>
      </w:r>
      <w:r w:rsidR="004F5268" w:rsidRPr="00795F17">
        <w:t xml:space="preserve">wykaz </w:t>
      </w:r>
      <w:r w:rsidRPr="00795F17">
        <w:t>emisji i stężeń</w:t>
      </w:r>
      <w:r w:rsidR="005E22DF">
        <w:t>”,</w:t>
      </w:r>
      <w:r w:rsidRPr="00795F17">
        <w:t xml:space="preserve"> określonych w przepisach wydanych na</w:t>
      </w:r>
      <w:r w:rsidR="00905523" w:rsidRPr="00795F17">
        <w:t> </w:t>
      </w:r>
      <w:r w:rsidRPr="00795F17">
        <w:t>podstawie art. 114 pr.w. oraz innych substancji powodujących zanieczyszczenie, dla</w:t>
      </w:r>
      <w:r w:rsidR="0022557C" w:rsidRPr="00795F17">
        <w:t> </w:t>
      </w:r>
      <w:r w:rsidRPr="00795F17">
        <w:t xml:space="preserve">których zostały określone środowiskowe normy jakości. </w:t>
      </w:r>
      <w:r w:rsidR="00BD29C7">
        <w:t xml:space="preserve">Opracowany wykaz stężeń ma na celu podsumowanie wyników badań monitoringu </w:t>
      </w:r>
      <w:r w:rsidR="00BD29C7" w:rsidRPr="009475C8">
        <w:t>substancji szczególnie szkodliwych dla środowiska wodnego (substancji priorytetowych w dziedzinie polityki wodnej oraz innych substancji zanieczyszczających)</w:t>
      </w:r>
      <w:r w:rsidR="00BD29C7">
        <w:t>.</w:t>
      </w:r>
      <w:r w:rsidR="00BD29C7" w:rsidRPr="008368C5">
        <w:t xml:space="preserve"> </w:t>
      </w:r>
      <w:r w:rsidRPr="00795F17">
        <w:t>Tym samym, wykaz ten umożliwia ocenę występowania substancji oraz</w:t>
      </w:r>
      <w:r w:rsidR="006D35CF">
        <w:t> </w:t>
      </w:r>
      <w:r w:rsidRPr="00795F17">
        <w:t>przekroczeń w odniesieniu do monitorowanych parametrów jakościowych. Wykaz stężeń jest podstawą analizy skuteczności podjętych działań oraz osiągnięcia założeń przyjętych w</w:t>
      </w:r>
      <w:r w:rsidR="006D35CF">
        <w:t> </w:t>
      </w:r>
      <w:r w:rsidRPr="00795F17">
        <w:t xml:space="preserve">aPGW. </w:t>
      </w:r>
      <w:bookmarkStart w:id="287" w:name="_Hlk65573411"/>
      <w:r w:rsidRPr="00795F17">
        <w:t>Wykaz nie tylko określa ilościowo liczbę i wielkość przekroczeń EQS, ale stanowi również element służący wyznaczeniu celów, które należy spełnić w ramach drugiej aktualizacji planów gospodarowania wodami na obszarach dorzeczy</w:t>
      </w:r>
      <w:bookmarkEnd w:id="287"/>
      <w:r w:rsidRPr="00795F17">
        <w:t>. Wykaz emisji ma z kolei na celu przedstawienie wielkości zrzutów substancji priorytetowych oraz innych substancji zanieczyszczających do ziemi/wody wraz ze</w:t>
      </w:r>
      <w:r w:rsidR="006D35CF">
        <w:t> </w:t>
      </w:r>
      <w:r w:rsidRPr="00795F17">
        <w:t>wskazaniem ich lokalizacji względem jednolitych części wód powierzchniowych. Umożliwia to</w:t>
      </w:r>
      <w:r w:rsidR="00905523" w:rsidRPr="00795F17">
        <w:t> </w:t>
      </w:r>
      <w:r w:rsidRPr="00795F17">
        <w:t>określenie czynnika sprawczego presji i podjęcia kolejnych kroków w celu wyeliminowania/redukcji zanieczyszczeń w wodach powierzchniowych.</w:t>
      </w:r>
    </w:p>
    <w:p w14:paraId="17377E13" w14:textId="367A70C4" w:rsidR="00532A28" w:rsidRPr="00795F17" w:rsidRDefault="00532A28" w:rsidP="0044393D">
      <w:r w:rsidRPr="00795F17">
        <w:t>Wykaz stężeń został wykonany na podstawie danych monitoringowych z lat 2014</w:t>
      </w:r>
      <w:r w:rsidR="00EC4A0D">
        <w:t>–</w:t>
      </w:r>
      <w:r w:rsidRPr="00795F17">
        <w:t>2019. Wykaz emisji został opracowany na podstawie wykazów sporządzonych przez poszczególne RZGW</w:t>
      </w:r>
      <w:r w:rsidR="0033591C" w:rsidRPr="00795F17">
        <w:t> WP</w:t>
      </w:r>
      <w:r w:rsidRPr="00795F17">
        <w:t xml:space="preserve"> dla</w:t>
      </w:r>
      <w:r w:rsidR="00CE237D" w:rsidRPr="00795F17">
        <w:t> </w:t>
      </w:r>
      <w:r w:rsidRPr="00795F17">
        <w:t>okresu 2015</w:t>
      </w:r>
      <w:r w:rsidR="00EC4A0D">
        <w:t>–</w:t>
      </w:r>
      <w:r w:rsidRPr="00795F17">
        <w:t xml:space="preserve">2017, które następnie zostały zaktualizowane w oparciu o dane obejmujące 2018 r., pochodzące z </w:t>
      </w:r>
      <w:bookmarkStart w:id="288" w:name="_Hlk65573551"/>
      <w:r w:rsidRPr="00795F17">
        <w:t>Krajowego Rejestru Uwalniania i Transferu Zanieczyszczeń</w:t>
      </w:r>
      <w:bookmarkEnd w:id="288"/>
      <w:r w:rsidRPr="00795F17">
        <w:t xml:space="preserve"> (PRTR) oraz bazy opłat za</w:t>
      </w:r>
      <w:r w:rsidR="00905523" w:rsidRPr="00795F17">
        <w:t> </w:t>
      </w:r>
      <w:r w:rsidRPr="00795F17">
        <w:t>usługi wodne. Wykaz został opracowany zgodnie z wytycznymi Komisji Europejskiej zawartymi w</w:t>
      </w:r>
      <w:r w:rsidR="00905523" w:rsidRPr="00795F17">
        <w:t> </w:t>
      </w:r>
      <w:r w:rsidRPr="00795F17">
        <w:t xml:space="preserve">dokumencie pn. </w:t>
      </w:r>
      <w:r w:rsidRPr="00795F17">
        <w:rPr>
          <w:i/>
          <w:iCs/>
        </w:rPr>
        <w:t>Guidance Document No. 28</w:t>
      </w:r>
      <w:r w:rsidRPr="00795F17">
        <w:t xml:space="preserve">, </w:t>
      </w:r>
      <w:r w:rsidRPr="00795F17">
        <w:rPr>
          <w:i/>
          <w:iCs/>
        </w:rPr>
        <w:t>Technical Guidance on the Prep</w:t>
      </w:r>
      <w:r w:rsidR="004D54F1">
        <w:rPr>
          <w:i/>
          <w:iCs/>
        </w:rPr>
        <w:t>a</w:t>
      </w:r>
      <w:r w:rsidRPr="00795F17">
        <w:rPr>
          <w:i/>
          <w:iCs/>
        </w:rPr>
        <w:t xml:space="preserve">ration of an Inventory of Emissions, Discharges and Losses of Priority and Priority </w:t>
      </w:r>
      <w:r w:rsidR="00102AAF" w:rsidRPr="00102AAF">
        <w:rPr>
          <w:i/>
          <w:iCs/>
        </w:rPr>
        <w:t>Hazardous</w:t>
      </w:r>
      <w:r w:rsidRPr="00795F17">
        <w:rPr>
          <w:i/>
          <w:iCs/>
        </w:rPr>
        <w:t xml:space="preserve"> Substances</w:t>
      </w:r>
      <w:r w:rsidRPr="00795F17">
        <w:rPr>
          <w:rStyle w:val="Odwoanieprzypisudolnego"/>
        </w:rPr>
        <w:footnoteReference w:id="46"/>
      </w:r>
      <w:r w:rsidRPr="00795F17">
        <w:t xml:space="preserve"> oraz przy uwzględnieniu zaleceń i wytycznych określonych w </w:t>
      </w:r>
      <w:r w:rsidRPr="00795F17">
        <w:rPr>
          <w:i/>
          <w:iCs/>
        </w:rPr>
        <w:t>Przewodniku do opracowania wykazu wielkości emisji i stężeń substancji priorytetowych oraz innych zanieczyszczeń, dla których zostały określone środowiskowe normy jakości</w:t>
      </w:r>
      <w:r w:rsidRPr="00795F17">
        <w:rPr>
          <w:rStyle w:val="Odwoanieprzypisudolnego"/>
        </w:rPr>
        <w:footnoteReference w:id="47"/>
      </w:r>
      <w:r w:rsidRPr="00795F17">
        <w:t xml:space="preserve">, który implementuje wymagania określone w wytycznych Komisji Europejskiej. </w:t>
      </w:r>
    </w:p>
    <w:p w14:paraId="46EC4BC9" w14:textId="1173E752" w:rsidR="00532A28" w:rsidRPr="00795F17" w:rsidRDefault="00532A28" w:rsidP="0073119E">
      <w:r w:rsidRPr="00795F17">
        <w:t xml:space="preserve">Wykaz emisji i stężeń składa się z następujących części będących załącznikiem nr </w:t>
      </w:r>
      <w:r w:rsidR="00DD6047">
        <w:t>5</w:t>
      </w:r>
      <w:r w:rsidRPr="00795F17">
        <w:t xml:space="preserve"> </w:t>
      </w:r>
      <w:r w:rsidR="0095231D" w:rsidRPr="00795F17">
        <w:t>(Wykaz emisji i</w:t>
      </w:r>
      <w:r w:rsidR="006D35CF">
        <w:t> </w:t>
      </w:r>
      <w:r w:rsidR="0095231D" w:rsidRPr="00795F17">
        <w:t xml:space="preserve">stężeń) </w:t>
      </w:r>
      <w:r w:rsidRPr="00795F17">
        <w:t xml:space="preserve">do </w:t>
      </w:r>
      <w:r w:rsidR="006641AD" w:rsidRPr="00795F17">
        <w:t>IIaPGW</w:t>
      </w:r>
      <w:r w:rsidRPr="00795F17">
        <w:t>:</w:t>
      </w:r>
    </w:p>
    <w:p w14:paraId="7224304A" w14:textId="2D5C2888" w:rsidR="00532A28" w:rsidRPr="00795F17" w:rsidRDefault="00532A28" w:rsidP="001D33CA">
      <w:pPr>
        <w:pStyle w:val="LITEROWANIE"/>
      </w:pPr>
      <w:r w:rsidRPr="00795F17">
        <w:t xml:space="preserve">Wykaz wielkości stężeń substancji w </w:t>
      </w:r>
      <w:r w:rsidR="00DF005E">
        <w:t>JCWP</w:t>
      </w:r>
      <w:r w:rsidRPr="00795F17">
        <w:t>:</w:t>
      </w:r>
    </w:p>
    <w:p w14:paraId="715D71A7" w14:textId="5F30AEB6" w:rsidR="00532A28" w:rsidRPr="00795F17" w:rsidRDefault="00532A28" w:rsidP="005635FD">
      <w:pPr>
        <w:pStyle w:val="Listapunktowana2"/>
        <w:numPr>
          <w:ilvl w:val="0"/>
          <w:numId w:val="100"/>
        </w:numPr>
      </w:pPr>
      <w:r w:rsidRPr="00795F17">
        <w:t xml:space="preserve">metryka </w:t>
      </w:r>
      <w:r w:rsidR="00DF005E">
        <w:t>JCWP</w:t>
      </w:r>
      <w:r w:rsidR="00A571FA">
        <w:rPr>
          <w:rStyle w:val="Odwoanieprzypisudolnego"/>
        </w:rPr>
        <w:footnoteReference w:id="48"/>
      </w:r>
      <w:r w:rsidRPr="00795F17">
        <w:t>;</w:t>
      </w:r>
    </w:p>
    <w:p w14:paraId="28DE0DBA" w14:textId="55C48699" w:rsidR="00532A28" w:rsidRPr="00795F17" w:rsidRDefault="00532A28" w:rsidP="005635FD">
      <w:pPr>
        <w:pStyle w:val="Listapunktowana2"/>
        <w:numPr>
          <w:ilvl w:val="0"/>
          <w:numId w:val="100"/>
        </w:numPr>
      </w:pPr>
      <w:r w:rsidRPr="00795F17">
        <w:t>wykaz stężeń substancji priorytetowych oraz innych substancji zanieczyszczających;</w:t>
      </w:r>
    </w:p>
    <w:p w14:paraId="69C16E5C" w14:textId="2D8B714C" w:rsidR="00532A28" w:rsidRPr="00795F17" w:rsidRDefault="00532A28" w:rsidP="005635FD">
      <w:pPr>
        <w:pStyle w:val="Listapunktowana2"/>
        <w:numPr>
          <w:ilvl w:val="0"/>
          <w:numId w:val="100"/>
        </w:numPr>
      </w:pPr>
      <w:r w:rsidRPr="00795F17">
        <w:t>ranking istotności występowania substancji priorytetowych oraz innych substancji zanieczyszczających.</w:t>
      </w:r>
    </w:p>
    <w:p w14:paraId="3CB3BECD" w14:textId="6DD9807E" w:rsidR="00532A28" w:rsidRPr="00795F17" w:rsidRDefault="00532A28" w:rsidP="001D33CA">
      <w:pPr>
        <w:pStyle w:val="LITEROWANIE"/>
      </w:pPr>
      <w:r w:rsidRPr="00795F17">
        <w:t xml:space="preserve">Wykaz wielkości emisji do </w:t>
      </w:r>
      <w:r w:rsidR="00DF005E">
        <w:t>JCWP</w:t>
      </w:r>
      <w:r w:rsidRPr="00795F17">
        <w:t>:</w:t>
      </w:r>
    </w:p>
    <w:p w14:paraId="56AB9038" w14:textId="0E957E74" w:rsidR="00532A28" w:rsidRPr="00795F17" w:rsidRDefault="00532A28" w:rsidP="005635FD">
      <w:pPr>
        <w:pStyle w:val="Listapunktowana2"/>
        <w:numPr>
          <w:ilvl w:val="0"/>
          <w:numId w:val="101"/>
        </w:numPr>
      </w:pPr>
      <w:r w:rsidRPr="00795F17">
        <w:t>metryka podmiotu emitującego substancje priorytetowe oraz inne substancje zanieczyszczające;</w:t>
      </w:r>
    </w:p>
    <w:p w14:paraId="0EC894B4" w14:textId="422B3053" w:rsidR="00532A28" w:rsidRPr="00795F17" w:rsidRDefault="00532A28" w:rsidP="005635FD">
      <w:pPr>
        <w:pStyle w:val="Listapunktowana2"/>
        <w:numPr>
          <w:ilvl w:val="0"/>
          <w:numId w:val="101"/>
        </w:numPr>
      </w:pPr>
      <w:r w:rsidRPr="00795F17">
        <w:t xml:space="preserve">wykaz ładunków substancji priorytetowych wyemitowanych przez poszczególne podmioty posiadające pozwolenie wodnoprawne/zintegrowane na odprowadzanie substancji stanowiących o stanie chemicznym do ziemi/wód. </w:t>
      </w:r>
    </w:p>
    <w:p w14:paraId="3FFD877F" w14:textId="6F159741" w:rsidR="00532A28" w:rsidRPr="00795F17" w:rsidRDefault="00532A28" w:rsidP="0044393D">
      <w:r w:rsidRPr="00795F17">
        <w:t xml:space="preserve">Wykaz emisji i stężeń obejmuje wartości rzeczywiste </w:t>
      </w:r>
      <w:bookmarkStart w:id="289" w:name="_Hlk65573632"/>
      <w:bookmarkStart w:id="290" w:name="_Hlk65574160"/>
      <w:r w:rsidRPr="00795F17">
        <w:t>substancji priorytetowych oraz innych substancji zanieczyszczających</w:t>
      </w:r>
      <w:bookmarkEnd w:id="289"/>
      <w:bookmarkEnd w:id="290"/>
      <w:r w:rsidRPr="00795F17">
        <w:t xml:space="preserve"> przedstawione w udostępnionych danych i sprawozdawane przez organy odpowiedzialne za monitoring środowiska oraz podmioty zobowiązane do sprawozdawczości wielkości emisji. Dodatkowo sporządzony wykaz obejmuje dane dotyczące </w:t>
      </w:r>
      <w:r w:rsidR="00DF005E">
        <w:t>JCWP</w:t>
      </w:r>
      <w:r w:rsidRPr="00795F17">
        <w:t xml:space="preserve"> niemonitorowanych na</w:t>
      </w:r>
      <w:r w:rsidR="00905523" w:rsidRPr="00795F17">
        <w:t> </w:t>
      </w:r>
      <w:r w:rsidRPr="00795F17">
        <w:t xml:space="preserve">podstawie dokumentu </w:t>
      </w:r>
      <w:r w:rsidRPr="00795F17">
        <w:rPr>
          <w:i/>
          <w:iCs/>
        </w:rPr>
        <w:t xml:space="preserve">Analiza znaczących oddziaływań </w:t>
      </w:r>
      <w:r w:rsidR="00737AEF">
        <w:rPr>
          <w:i/>
          <w:iCs/>
        </w:rPr>
        <w:t>–</w:t>
      </w:r>
      <w:r w:rsidRPr="00795F17">
        <w:rPr>
          <w:i/>
          <w:iCs/>
        </w:rPr>
        <w:t xml:space="preserve"> </w:t>
      </w:r>
      <w:r w:rsidR="00DF005E">
        <w:rPr>
          <w:i/>
          <w:iCs/>
        </w:rPr>
        <w:t>JCWP</w:t>
      </w:r>
      <w:r w:rsidRPr="00795F17">
        <w:rPr>
          <w:i/>
          <w:iCs/>
        </w:rPr>
        <w:t xml:space="preserve"> (…)</w:t>
      </w:r>
      <w:r w:rsidR="00A57A31">
        <w:rPr>
          <w:rStyle w:val="Odwoanieprzypisudolnego"/>
          <w:i/>
          <w:iCs/>
        </w:rPr>
        <w:footnoteReference w:id="49"/>
      </w:r>
      <w:r w:rsidRPr="00795F17">
        <w:t xml:space="preserve">. Uwzględnione dane stanowią element opracowania, pozwalający na wskazanie prawdopodobnego stanu chemicznego niemonitorowanych </w:t>
      </w:r>
      <w:r w:rsidR="00DF005E">
        <w:t>JCWP</w:t>
      </w:r>
      <w:r w:rsidRPr="00795F17">
        <w:t xml:space="preserve">. </w:t>
      </w:r>
    </w:p>
    <w:p w14:paraId="7C43DF43" w14:textId="12949A7B" w:rsidR="00532A28" w:rsidRPr="00795F17" w:rsidRDefault="00532A28" w:rsidP="0044393D">
      <w:r w:rsidRPr="00795F17">
        <w:rPr>
          <w:iCs/>
        </w:rPr>
        <w:t xml:space="preserve">Sporządzony został również </w:t>
      </w:r>
      <w:r w:rsidRPr="00795F17">
        <w:t>ranking występowania substancji priorytetowych oraz pozostałych substancji powodujących zanieczyszczenie w wodzie, faunie oraz florze (biota)</w:t>
      </w:r>
      <w:r w:rsidRPr="00795F17">
        <w:rPr>
          <w:iCs/>
        </w:rPr>
        <w:t xml:space="preserve">. </w:t>
      </w:r>
      <w:bookmarkStart w:id="291" w:name="_Hlk65653940"/>
      <w:r w:rsidRPr="00795F17">
        <w:rPr>
          <w:iCs/>
        </w:rPr>
        <w:t>Ranking uwzględnia najnowsze roczne pomiary danej substancji z okresu 2014</w:t>
      </w:r>
      <w:r w:rsidR="00737AEF">
        <w:rPr>
          <w:iCs/>
        </w:rPr>
        <w:t>–</w:t>
      </w:r>
      <w:r w:rsidRPr="00795F17">
        <w:rPr>
          <w:iCs/>
        </w:rPr>
        <w:t>2019 (woda) oraz 2016</w:t>
      </w:r>
      <w:r w:rsidR="003C670D">
        <w:rPr>
          <w:iCs/>
        </w:rPr>
        <w:t>–</w:t>
      </w:r>
      <w:r w:rsidRPr="00795F17">
        <w:rPr>
          <w:iCs/>
        </w:rPr>
        <w:t>2019 (biota) i</w:t>
      </w:r>
      <w:bookmarkEnd w:id="291"/>
      <w:r w:rsidRPr="00795F17">
        <w:rPr>
          <w:iCs/>
        </w:rPr>
        <w:t xml:space="preserve"> obejmuje następujące etapy: </w:t>
      </w:r>
    </w:p>
    <w:p w14:paraId="52D8FC28" w14:textId="69F71DAC" w:rsidR="00532A28" w:rsidRPr="00795F17" w:rsidRDefault="00532A28" w:rsidP="002757E9">
      <w:pPr>
        <w:pStyle w:val="Numerowanie"/>
        <w:numPr>
          <w:ilvl w:val="0"/>
          <w:numId w:val="49"/>
        </w:numPr>
      </w:pPr>
      <w:r w:rsidRPr="00795F17">
        <w:t xml:space="preserve">etap I </w:t>
      </w:r>
      <w:r w:rsidR="00737AEF">
        <w:t>–</w:t>
      </w:r>
      <w:r w:rsidRPr="00795F17">
        <w:t xml:space="preserve"> wykaz substancji z przekroczeniem normy jakości </w:t>
      </w:r>
      <w:r w:rsidR="00F326BD" w:rsidRPr="00795F17">
        <w:t>-</w:t>
      </w:r>
      <w:r w:rsidRPr="00795F17">
        <w:t xml:space="preserve"> obejmuje wykaz substancji o</w:t>
      </w:r>
      <w:r w:rsidR="006641AD" w:rsidRPr="00795F17">
        <w:t xml:space="preserve"> </w:t>
      </w:r>
      <w:r w:rsidRPr="00795F17">
        <w:t>częstości występowania przekroczeń środowiskowych norm jakości (wyrażonej w procentach) w</w:t>
      </w:r>
      <w:r w:rsidR="006641AD" w:rsidRPr="00795F17">
        <w:t xml:space="preserve"> </w:t>
      </w:r>
      <w:r w:rsidRPr="00795F17">
        <w:t>stosunku do całkowitej wykonanej liczby oznaczeń, z klasyfikacją substancji na tej podstawie w</w:t>
      </w:r>
      <w:r w:rsidR="006641AD" w:rsidRPr="00795F17">
        <w:t xml:space="preserve"> </w:t>
      </w:r>
      <w:r w:rsidRPr="00795F17">
        <w:t xml:space="preserve">kolejności malejącej; </w:t>
      </w:r>
    </w:p>
    <w:p w14:paraId="694E7D3F" w14:textId="1C677228" w:rsidR="00532A28" w:rsidRPr="00795F17" w:rsidRDefault="00532A28" w:rsidP="0044393D">
      <w:pPr>
        <w:pStyle w:val="Numerowanie"/>
      </w:pPr>
      <w:r w:rsidRPr="00795F17">
        <w:t xml:space="preserve">etap II </w:t>
      </w:r>
      <w:r w:rsidR="00737AEF">
        <w:t>–</w:t>
      </w:r>
      <w:r w:rsidRPr="00795F17">
        <w:t xml:space="preserve"> wykaz substancji bez przekroczenia normy jakości </w:t>
      </w:r>
      <w:r w:rsidR="00B21FC5">
        <w:t>–</w:t>
      </w:r>
      <w:r w:rsidRPr="00795F17">
        <w:t xml:space="preserve"> obejmuje wykaz substancji o</w:t>
      </w:r>
      <w:r w:rsidR="00E43ED0">
        <w:t> </w:t>
      </w:r>
      <w:r w:rsidRPr="00795F17">
        <w:t xml:space="preserve">częstości występowania (wyrażonej w procentach) poszczególnych substancji w stosunku do całkowitej wykonanej liczby oznaczeń, z klasyfikacją substancji na tej podstawie w kolejności malejącej; </w:t>
      </w:r>
    </w:p>
    <w:p w14:paraId="0327B740" w14:textId="47931B1C" w:rsidR="00532A28" w:rsidRPr="00795F17" w:rsidRDefault="00532A28" w:rsidP="0044393D">
      <w:pPr>
        <w:pStyle w:val="Numerowanie"/>
      </w:pPr>
      <w:r w:rsidRPr="00795F17">
        <w:t xml:space="preserve">etap III </w:t>
      </w:r>
      <w:r w:rsidR="00737AEF">
        <w:t>–</w:t>
      </w:r>
      <w:r w:rsidRPr="00795F17">
        <w:t xml:space="preserve"> wykaz substancji, które występowały poniżej granicy oznaczalności bądź nie były w</w:t>
      </w:r>
      <w:r w:rsidR="006641AD" w:rsidRPr="00795F17">
        <w:t xml:space="preserve"> </w:t>
      </w:r>
      <w:r w:rsidRPr="00795F17">
        <w:t xml:space="preserve">ogóle badane </w:t>
      </w:r>
      <w:r w:rsidR="00F326BD" w:rsidRPr="00795F17">
        <w:t>-</w:t>
      </w:r>
      <w:r w:rsidRPr="00795F17">
        <w:t xml:space="preserve"> obejmuje wykaz substancji niesklasyfikowanych w etapach I i II.</w:t>
      </w:r>
    </w:p>
    <w:p w14:paraId="25ADD22A" w14:textId="4707ED17" w:rsidR="00532A28" w:rsidRPr="00795F17" w:rsidRDefault="00532A28" w:rsidP="0044393D">
      <w:r w:rsidRPr="00795F17">
        <w:t xml:space="preserve">Ranking został przedstawiony w formie załącznika nr </w:t>
      </w:r>
      <w:r w:rsidR="00DD6047">
        <w:t>5</w:t>
      </w:r>
      <w:r w:rsidRPr="00795F17">
        <w:t xml:space="preserve"> </w:t>
      </w:r>
      <w:r w:rsidR="007C4A34" w:rsidRPr="00795F17">
        <w:t xml:space="preserve">(Wykaz emisji i stężeń) </w:t>
      </w:r>
      <w:r w:rsidRPr="00795F17">
        <w:t xml:space="preserve">niniejszego opracowania. </w:t>
      </w:r>
    </w:p>
    <w:p w14:paraId="18646CC7" w14:textId="68340DC1" w:rsidR="00532A28" w:rsidRPr="00795F17" w:rsidRDefault="00532A28" w:rsidP="0044393D">
      <w:r w:rsidRPr="00795F17">
        <w:t>Zgodnie z przeprowadzonymi analizami na obszarze dorzecza Odry w latach 2014</w:t>
      </w:r>
      <w:r w:rsidR="00737AEF">
        <w:t>–</w:t>
      </w:r>
      <w:r w:rsidRPr="00795F17">
        <w:t>2019 odnotowano przekroczenia 20 substancji (w biocie oraz wodzie) należących do grupy substancji priorytetowych oraz</w:t>
      </w:r>
      <w:r w:rsidR="006D35CF">
        <w:t> </w:t>
      </w:r>
      <w:r w:rsidRPr="00795F17">
        <w:t>pozostałych substancji zanieczyszczających (</w:t>
      </w:r>
      <w:r w:rsidR="00757CFC" w:rsidRPr="00795F17">
        <w:t>t</w:t>
      </w:r>
      <w:r w:rsidRPr="00795F17">
        <w:t>abela 6-1). W odniesieniu do poszczególnych regionów wodnych, odnotowano następującą liczbę wskaźników o wartości stężeń &gt;EQS:</w:t>
      </w:r>
    </w:p>
    <w:p w14:paraId="5A0F90FE" w14:textId="77777777" w:rsidR="00721DD0" w:rsidRPr="00795F17" w:rsidRDefault="00721DD0" w:rsidP="00117E86">
      <w:pPr>
        <w:pStyle w:val="Listapunktowana2"/>
      </w:pPr>
      <w:r w:rsidRPr="00795F17">
        <w:t>Region wodny Górnej Odry: 12 substancji;</w:t>
      </w:r>
    </w:p>
    <w:p w14:paraId="77071487" w14:textId="77777777" w:rsidR="00721DD0" w:rsidRPr="00795F17" w:rsidRDefault="00721DD0" w:rsidP="00117E86">
      <w:pPr>
        <w:pStyle w:val="Listapunktowana2"/>
      </w:pPr>
      <w:r w:rsidRPr="00795F17">
        <w:t>Region wodny Środkowej Odry: 16 substancji;</w:t>
      </w:r>
    </w:p>
    <w:p w14:paraId="5E021F50" w14:textId="77777777" w:rsidR="00721DD0" w:rsidRPr="00795F17" w:rsidRDefault="00721DD0" w:rsidP="00117E86">
      <w:pPr>
        <w:pStyle w:val="Listapunktowana2"/>
      </w:pPr>
      <w:r w:rsidRPr="00795F17">
        <w:t>Region wodny Dolnej Odry i Przymorza Zachodniego: 12 substancji;</w:t>
      </w:r>
    </w:p>
    <w:p w14:paraId="78035B5F" w14:textId="65F44274" w:rsidR="00721DD0" w:rsidRPr="00795F17" w:rsidRDefault="00721DD0" w:rsidP="00117E86">
      <w:pPr>
        <w:pStyle w:val="Listapunktowana2"/>
      </w:pPr>
      <w:r w:rsidRPr="00795F17">
        <w:t>Region wodny Warty: 13 substancji</w:t>
      </w:r>
      <w:r w:rsidR="0083501B" w:rsidRPr="00795F17">
        <w:t>;</w:t>
      </w:r>
    </w:p>
    <w:p w14:paraId="5DD3DF86" w14:textId="30009548" w:rsidR="00721DD0" w:rsidRPr="00795F17" w:rsidRDefault="00721DD0" w:rsidP="00117E86">
      <w:pPr>
        <w:pStyle w:val="Listapunktowana2"/>
      </w:pPr>
      <w:r w:rsidRPr="00795F17">
        <w:t>Region wodny Noteci: 15 substancji</w:t>
      </w:r>
      <w:r w:rsidR="009460FE">
        <w:t>.</w:t>
      </w:r>
    </w:p>
    <w:p w14:paraId="3702292D" w14:textId="22A96A29" w:rsidR="00532A28" w:rsidRPr="00795F17" w:rsidRDefault="00532A28" w:rsidP="0044393D">
      <w:r w:rsidRPr="00795F17">
        <w:t xml:space="preserve">W skali całego </w:t>
      </w:r>
      <w:r w:rsidR="00FB15D5" w:rsidRPr="00795F17">
        <w:t xml:space="preserve">obszaru </w:t>
      </w:r>
      <w:r w:rsidRPr="00795F17">
        <w:t xml:space="preserve">dorzecza przeprowadzono ponad 30 000 oznaczeń stężeń substancji stanowiących o stanie chemicznym </w:t>
      </w:r>
      <w:r w:rsidR="00DF005E">
        <w:t>JCWP</w:t>
      </w:r>
      <w:r w:rsidRPr="00795F17">
        <w:t>, z czego ok</w:t>
      </w:r>
      <w:r w:rsidR="00E43ED0">
        <w:t>oło</w:t>
      </w:r>
      <w:r w:rsidRPr="00795F17">
        <w:t xml:space="preserve"> 82% stanowiły oznaczenia wykonane dla wody powierzchniowej. Biorąc pod uwagę udział przekroczeń wartości granicznych ustanowionych dla</w:t>
      </w:r>
      <w:r w:rsidR="00CE237D" w:rsidRPr="00795F17">
        <w:t> </w:t>
      </w:r>
      <w:r w:rsidRPr="00795F17">
        <w:t>substancji priorytetowych oraz innych substancji zanieczyszczających w odniesieniu do liczby oznaczeń, wyższy odsetek odnotowano w stosunku do bioty (</w:t>
      </w:r>
      <w:r w:rsidR="00757CFC" w:rsidRPr="00795F17">
        <w:t>t</w:t>
      </w:r>
      <w:r w:rsidRPr="00795F17">
        <w:t xml:space="preserve">abela 6-2). </w:t>
      </w:r>
    </w:p>
    <w:p w14:paraId="68F28042" w14:textId="134FB2CB" w:rsidR="00532A28" w:rsidRPr="00795F17" w:rsidRDefault="00532A28" w:rsidP="0044393D">
      <w:r w:rsidRPr="00795F17">
        <w:t>Substancje, w stosunku do których odnotowano najczęstsze przekroczenia wartości granicznych (≥50%</w:t>
      </w:r>
      <w:r w:rsidR="00757B59">
        <w:t> </w:t>
      </w:r>
      <w:r w:rsidRPr="00795F17">
        <w:t xml:space="preserve">częstości przekroczeń), z podziałem na matryce oraz typ wód zostały przedstawione na </w:t>
      </w:r>
      <w:r w:rsidR="007D2489" w:rsidRPr="00795F17">
        <w:t>wykresie</w:t>
      </w:r>
      <w:r w:rsidRPr="00795F17">
        <w:t xml:space="preserve"> </w:t>
      </w:r>
      <w:r w:rsidR="00290790" w:rsidRPr="00795F17">
        <w:t>6-</w:t>
      </w:r>
      <w:r w:rsidRPr="00795F17">
        <w:t>1.</w:t>
      </w:r>
    </w:p>
    <w:p w14:paraId="00C4519B" w14:textId="0AAA8202" w:rsidR="006B2425" w:rsidRPr="00795F17" w:rsidRDefault="00166C28" w:rsidP="003D7BF3">
      <w:pPr>
        <w:jc w:val="center"/>
      </w:pPr>
      <w:r w:rsidRPr="00166C28">
        <w:rPr>
          <w:noProof/>
        </w:rPr>
        <w:drawing>
          <wp:inline distT="0" distB="0" distL="0" distR="0" wp14:anchorId="4A4A2DB0" wp14:editId="1AC7A42A">
            <wp:extent cx="5639587" cy="3924848"/>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39587" cy="3924848"/>
                    </a:xfrm>
                    <a:prstGeom prst="rect">
                      <a:avLst/>
                    </a:prstGeom>
                  </pic:spPr>
                </pic:pic>
              </a:graphicData>
            </a:graphic>
          </wp:inline>
        </w:drawing>
      </w:r>
    </w:p>
    <w:p w14:paraId="711B1660" w14:textId="493201A7" w:rsidR="00532A28" w:rsidRPr="00795F17" w:rsidRDefault="006B2425" w:rsidP="00B479EE">
      <w:pPr>
        <w:pStyle w:val="Wykres"/>
      </w:pPr>
      <w:bookmarkStart w:id="292" w:name="_Toc66273015"/>
      <w:bookmarkStart w:id="293" w:name="_Toc105512973"/>
      <w:r w:rsidRPr="00795F17">
        <w:t xml:space="preserve">Wykres </w:t>
      </w:r>
      <w:fldSimple w:instr=" STYLEREF 1 \s ">
        <w:r w:rsidR="001F774D">
          <w:rPr>
            <w:noProof/>
          </w:rPr>
          <w:t>6</w:t>
        </w:r>
      </w:fldSimple>
      <w:r w:rsidR="00FF20D3">
        <w:noBreakHyphen/>
      </w:r>
      <w:fldSimple w:instr=" SEQ Wykres \* ARABIC \s 1 ">
        <w:r w:rsidR="001F774D">
          <w:rPr>
            <w:noProof/>
          </w:rPr>
          <w:t>1</w:t>
        </w:r>
      </w:fldSimple>
      <w:r w:rsidR="00E76356">
        <w:rPr>
          <w:noProof/>
        </w:rPr>
        <w:t>.</w:t>
      </w:r>
      <w:r w:rsidRPr="00795F17">
        <w:tab/>
        <w:t xml:space="preserve">Częstość przekroczeń wartości granicznych </w:t>
      </w:r>
      <w:r w:rsidR="00BE447C" w:rsidRPr="00795F17">
        <w:t xml:space="preserve">EQS </w:t>
      </w:r>
      <w:r w:rsidRPr="00795F17">
        <w:t xml:space="preserve">(≥50%) w wodzie i biocie w podziale na typ wód (LW: </w:t>
      </w:r>
      <w:r w:rsidR="00DF005E">
        <w:t>JCWP</w:t>
      </w:r>
      <w:r w:rsidRPr="00795F17">
        <w:t xml:space="preserve"> jeziorne; RW</w:t>
      </w:r>
      <w:r w:rsidR="007C6421">
        <w:t xml:space="preserve"> oraz </w:t>
      </w:r>
      <w:r w:rsidRPr="00795F17">
        <w:t xml:space="preserve">RWr: </w:t>
      </w:r>
      <w:r w:rsidR="00DF005E">
        <w:t>JCWP</w:t>
      </w:r>
      <w:r w:rsidRPr="00795F17">
        <w:t xml:space="preserve"> rzeczne i zbiornikowe; CW</w:t>
      </w:r>
      <w:r w:rsidR="007C6421">
        <w:t xml:space="preserve"> oraz</w:t>
      </w:r>
      <w:r w:rsidRPr="00795F17">
        <w:t xml:space="preserve"> TW: </w:t>
      </w:r>
      <w:r w:rsidR="00DF005E">
        <w:t>JCWP</w:t>
      </w:r>
      <w:r w:rsidRPr="00795F17">
        <w:t xml:space="preserve"> przejściowe i</w:t>
      </w:r>
      <w:r w:rsidR="00AE13F9" w:rsidRPr="00795F17">
        <w:t> </w:t>
      </w:r>
      <w:r w:rsidRPr="00795F17">
        <w:t>przybrzeżne)</w:t>
      </w:r>
      <w:bookmarkEnd w:id="292"/>
      <w:bookmarkEnd w:id="293"/>
    </w:p>
    <w:p w14:paraId="39FBF9C3" w14:textId="146FFBC8" w:rsidR="00FF0421" w:rsidRPr="00795F17" w:rsidRDefault="00532A28" w:rsidP="0044393D">
      <w:pPr>
        <w:pStyle w:val="rdo"/>
      </w:pPr>
      <w:r w:rsidRPr="00795F17">
        <w:t xml:space="preserve">Źródło: </w:t>
      </w:r>
      <w:r w:rsidR="00FD7248" w:rsidRPr="00795F17">
        <w:t>opracowanie własne</w:t>
      </w:r>
      <w:r w:rsidRPr="00795F17">
        <w:t xml:space="preserve"> </w:t>
      </w:r>
    </w:p>
    <w:p w14:paraId="20E6043A" w14:textId="271AF73B" w:rsidR="00FF0421" w:rsidRPr="00795F17" w:rsidRDefault="00532A28" w:rsidP="0044393D">
      <w:r w:rsidRPr="00795F17">
        <w:t>Czynniki sprawcze presji powodujące przekroczenia wartości graniczne substancji priorytetowych oraz</w:t>
      </w:r>
      <w:r w:rsidR="006D35CF">
        <w:t> </w:t>
      </w:r>
      <w:r w:rsidRPr="00795F17">
        <w:t>pozostałych substancji zanieczyszczających zostały przedstawione w rozdziale 7 IIaPGW.</w:t>
      </w:r>
    </w:p>
    <w:p w14:paraId="65339085" w14:textId="3F876B73" w:rsidR="00532A28" w:rsidRPr="00795F17" w:rsidRDefault="00532A28" w:rsidP="004D7705">
      <w:pPr>
        <w:pStyle w:val="Tabela"/>
      </w:pPr>
      <w:bookmarkStart w:id="294" w:name="_Toc66341889"/>
      <w:bookmarkStart w:id="295" w:name="_Toc105512800"/>
      <w:r w:rsidRPr="00795F17">
        <w:t xml:space="preserve">Tabela </w:t>
      </w:r>
      <w:fldSimple w:instr=" STYLEREF 1 \s ">
        <w:r w:rsidR="001F774D">
          <w:rPr>
            <w:noProof/>
          </w:rPr>
          <w:t>6</w:t>
        </w:r>
      </w:fldSimple>
      <w:r w:rsidR="00BB3B21" w:rsidRPr="00795F17">
        <w:noBreakHyphen/>
      </w:r>
      <w:fldSimple w:instr=" SEQ Tabela \* ARABIC \s 1 ">
        <w:r w:rsidR="001F774D">
          <w:rPr>
            <w:noProof/>
          </w:rPr>
          <w:t>1</w:t>
        </w:r>
      </w:fldSimple>
      <w:r w:rsidR="00E76356">
        <w:rPr>
          <w:noProof/>
        </w:rPr>
        <w:t>.</w:t>
      </w:r>
      <w:r w:rsidRPr="00795F17">
        <w:tab/>
        <w:t xml:space="preserve">Substancje, dla których zgodnie z </w:t>
      </w:r>
      <w:r w:rsidR="00DF005E">
        <w:t>r.kl.jcwp</w:t>
      </w:r>
      <w:r w:rsidRPr="00795F17">
        <w:t xml:space="preserve"> stwierdzono przekroczenie środowiskowych norm jakości </w:t>
      </w:r>
      <w:r w:rsidR="007C6421">
        <w:t>na</w:t>
      </w:r>
      <w:r w:rsidRPr="00795F17">
        <w:t xml:space="preserve"> obszarze dorzecza Odry („+” </w:t>
      </w:r>
      <w:r w:rsidR="00737AEF">
        <w:t>–</w:t>
      </w:r>
      <w:r w:rsidRPr="00795F17">
        <w:t xml:space="preserve"> występuje przekroczenie; „-” </w:t>
      </w:r>
      <w:r w:rsidR="00737AEF">
        <w:t>–</w:t>
      </w:r>
      <w:r w:rsidRPr="00795F17">
        <w:t xml:space="preserve"> nie występuje przekroczenie)</w:t>
      </w:r>
      <w:bookmarkEnd w:id="294"/>
      <w:bookmarkEnd w:id="295"/>
    </w:p>
    <w:tbl>
      <w:tblPr>
        <w:tblW w:w="0" w:type="auto"/>
        <w:jc w:val="center"/>
        <w:tblCellMar>
          <w:left w:w="10" w:type="dxa"/>
          <w:right w:w="10" w:type="dxa"/>
        </w:tblCellMar>
        <w:tblLook w:val="0000" w:firstRow="0" w:lastRow="0" w:firstColumn="0" w:lastColumn="0" w:noHBand="0" w:noVBand="0"/>
      </w:tblPr>
      <w:tblGrid>
        <w:gridCol w:w="4776"/>
        <w:gridCol w:w="985"/>
        <w:gridCol w:w="1030"/>
      </w:tblGrid>
      <w:tr w:rsidR="00532A28" w:rsidRPr="00795F17" w14:paraId="272809E3" w14:textId="77777777" w:rsidTr="003D7BF3">
        <w:trPr>
          <w:trHeight w:val="454"/>
          <w:tblHeader/>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063C2CFD" w14:textId="77777777" w:rsidR="00532A28" w:rsidRPr="00795F17" w:rsidRDefault="00532A28" w:rsidP="0044393D">
            <w:pPr>
              <w:pStyle w:val="Teksttabelinaglowek"/>
              <w:rPr>
                <w:rFonts w:cstheme="minorHAnsi"/>
              </w:rPr>
            </w:pPr>
            <w:r w:rsidRPr="00795F17">
              <w:t>Nazwa substancji</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4D96A440" w14:textId="77777777" w:rsidR="00532A28" w:rsidRPr="00795F17" w:rsidRDefault="00532A28" w:rsidP="0044393D">
            <w:pPr>
              <w:pStyle w:val="Teksttabelinaglowek"/>
            </w:pPr>
            <w:r w:rsidRPr="00795F17">
              <w:t>Obszar dorzecza Odry</w:t>
            </w:r>
          </w:p>
        </w:tc>
      </w:tr>
      <w:tr w:rsidR="00532A28" w:rsidRPr="00795F17" w14:paraId="30A28F18" w14:textId="77777777" w:rsidTr="003D7BF3">
        <w:trPr>
          <w:trHeight w:val="454"/>
          <w:tblHeader/>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46100CC0" w14:textId="77777777" w:rsidR="00532A28" w:rsidRPr="00795F17" w:rsidRDefault="00532A28" w:rsidP="0044393D">
            <w:pPr>
              <w:pStyle w:val="Teksttabelinaglowek"/>
            </w:pPr>
          </w:p>
        </w:tc>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70C5FFEF" w14:textId="77777777" w:rsidR="00532A28" w:rsidRPr="00795F17" w:rsidRDefault="00532A28" w:rsidP="0044393D">
            <w:pPr>
              <w:pStyle w:val="Teksttabelinaglowek"/>
              <w:rPr>
                <w:rFonts w:cstheme="minorHAnsi"/>
              </w:rPr>
            </w:pPr>
            <w:r w:rsidRPr="00795F17">
              <w:t>biota</w:t>
            </w:r>
          </w:p>
        </w:tc>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76F85A06" w14:textId="77777777" w:rsidR="00532A28" w:rsidRPr="00795F17" w:rsidRDefault="00532A28" w:rsidP="0044393D">
            <w:pPr>
              <w:pStyle w:val="Teksttabelinaglowek"/>
              <w:rPr>
                <w:rFonts w:cstheme="minorHAnsi"/>
              </w:rPr>
            </w:pPr>
            <w:r w:rsidRPr="00795F17">
              <w:t>woda</w:t>
            </w:r>
          </w:p>
        </w:tc>
      </w:tr>
      <w:tr w:rsidR="00532A28" w:rsidRPr="00795F17" w14:paraId="7B062326"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584962" w14:textId="4FB9F35C" w:rsidR="00532A28" w:rsidRPr="00795F17" w:rsidRDefault="007C6421" w:rsidP="000363E1">
            <w:pPr>
              <w:pStyle w:val="Teksttabelilewy"/>
              <w:jc w:val="center"/>
              <w:rPr>
                <w:rFonts w:cstheme="minorHAnsi"/>
              </w:rPr>
            </w:pPr>
            <w:r>
              <w:t>a</w:t>
            </w:r>
            <w:r w:rsidR="00532A28" w:rsidRPr="00795F17">
              <w:t>trazyna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4213F"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C5643" w14:textId="77777777" w:rsidR="00532A28" w:rsidRPr="00795F17" w:rsidRDefault="00532A28" w:rsidP="0065243A">
            <w:pPr>
              <w:pStyle w:val="Teksttabelisrodek"/>
              <w:rPr>
                <w:rFonts w:cstheme="minorHAnsi"/>
              </w:rPr>
            </w:pPr>
            <w:r w:rsidRPr="00795F17">
              <w:t>+</w:t>
            </w:r>
          </w:p>
        </w:tc>
      </w:tr>
      <w:tr w:rsidR="00532A28" w:rsidRPr="00795F17" w14:paraId="79481216"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F6EB4" w14:textId="2BB9E2FF" w:rsidR="00532A28" w:rsidRPr="00795F17" w:rsidRDefault="007C6421" w:rsidP="000363E1">
            <w:pPr>
              <w:pStyle w:val="Teksttabelilewy"/>
              <w:jc w:val="center"/>
              <w:rPr>
                <w:rFonts w:cstheme="minorHAnsi"/>
              </w:rPr>
            </w:pPr>
            <w:r>
              <w:t>f</w:t>
            </w:r>
            <w:r w:rsidR="00532A28" w:rsidRPr="00795F17">
              <w:t>luoranten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C6B9A4"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CCC902" w14:textId="77777777" w:rsidR="00532A28" w:rsidRPr="00795F17" w:rsidRDefault="00532A28" w:rsidP="0065243A">
            <w:pPr>
              <w:pStyle w:val="Teksttabelisrodek"/>
              <w:rPr>
                <w:rFonts w:cstheme="minorHAnsi"/>
              </w:rPr>
            </w:pPr>
            <w:r w:rsidRPr="00795F17">
              <w:t>+</w:t>
            </w:r>
          </w:p>
        </w:tc>
      </w:tr>
      <w:tr w:rsidR="00532A28" w:rsidRPr="00795F17" w14:paraId="0F560167"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EAD751" w14:textId="15460A8F" w:rsidR="00532A28" w:rsidRPr="00795F17" w:rsidRDefault="007C6421" w:rsidP="000363E1">
            <w:pPr>
              <w:pStyle w:val="Teksttabelilewy"/>
              <w:jc w:val="center"/>
              <w:rPr>
                <w:rFonts w:cstheme="minorHAnsi"/>
              </w:rPr>
            </w:pPr>
            <w:r>
              <w:t>h</w:t>
            </w:r>
            <w:r w:rsidR="00532A28" w:rsidRPr="00795F17">
              <w:t>eptachlor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32C0C"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D983B" w14:textId="77777777" w:rsidR="00532A28" w:rsidRPr="00795F17" w:rsidRDefault="00532A28" w:rsidP="0065243A">
            <w:pPr>
              <w:pStyle w:val="Teksttabelisrodek"/>
              <w:rPr>
                <w:rFonts w:cstheme="minorHAnsi"/>
              </w:rPr>
            </w:pPr>
            <w:r w:rsidRPr="00795F17">
              <w:t>+</w:t>
            </w:r>
          </w:p>
        </w:tc>
      </w:tr>
      <w:tr w:rsidR="00532A28" w:rsidRPr="00795F17" w14:paraId="6864AF9B"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08A75" w14:textId="3B0FD316" w:rsidR="00532A28" w:rsidRPr="00795F17" w:rsidRDefault="007C6421" w:rsidP="000363E1">
            <w:pPr>
              <w:pStyle w:val="Teksttabelilewy"/>
              <w:jc w:val="center"/>
              <w:rPr>
                <w:rFonts w:cstheme="minorHAnsi"/>
              </w:rPr>
            </w:pPr>
            <w:r>
              <w:t>i</w:t>
            </w:r>
            <w:r w:rsidR="00532A28" w:rsidRPr="00795F17">
              <w:t>zoproturon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4C93A0"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C85B55" w14:textId="77777777" w:rsidR="00532A28" w:rsidRPr="00795F17" w:rsidRDefault="00532A28" w:rsidP="0065243A">
            <w:pPr>
              <w:pStyle w:val="Teksttabelisrodek"/>
              <w:rPr>
                <w:rFonts w:cstheme="minorHAnsi"/>
              </w:rPr>
            </w:pPr>
            <w:r w:rsidRPr="00795F17">
              <w:t>+</w:t>
            </w:r>
          </w:p>
        </w:tc>
      </w:tr>
      <w:tr w:rsidR="00532A28" w:rsidRPr="00795F17" w14:paraId="1A6DBE92"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1C484" w14:textId="77777777" w:rsidR="00532A28" w:rsidRPr="00795F17" w:rsidRDefault="00532A28" w:rsidP="000363E1">
            <w:pPr>
              <w:pStyle w:val="Teksttabelilewy"/>
              <w:jc w:val="center"/>
              <w:rPr>
                <w:rFonts w:cstheme="minorHAnsi"/>
              </w:rPr>
            </w:pPr>
            <w:r w:rsidRPr="00795F17">
              <w:t>rtęć i jej związki</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CCFBC8"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E3FD00" w14:textId="77777777" w:rsidR="00532A28" w:rsidRPr="00795F17" w:rsidRDefault="00532A28" w:rsidP="0065243A">
            <w:pPr>
              <w:pStyle w:val="Teksttabelisrodek"/>
              <w:rPr>
                <w:rFonts w:cstheme="minorHAnsi"/>
              </w:rPr>
            </w:pPr>
            <w:r w:rsidRPr="00795F17">
              <w:t>+</w:t>
            </w:r>
          </w:p>
        </w:tc>
      </w:tr>
      <w:tr w:rsidR="00532A28" w:rsidRPr="00795F17" w14:paraId="51E4ED31"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4AB25" w14:textId="77777777" w:rsidR="00532A28" w:rsidRPr="00795F17" w:rsidRDefault="00532A28" w:rsidP="000363E1">
            <w:pPr>
              <w:pStyle w:val="Teksttabelilewy"/>
              <w:jc w:val="center"/>
              <w:rPr>
                <w:rFonts w:cstheme="minorHAnsi"/>
              </w:rPr>
            </w:pPr>
            <w:r w:rsidRPr="00795F17">
              <w:t>ołów i jego związki</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6AEEB"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1263F" w14:textId="77777777" w:rsidR="00532A28" w:rsidRPr="00795F17" w:rsidRDefault="00532A28" w:rsidP="0065243A">
            <w:pPr>
              <w:pStyle w:val="Teksttabelisrodek"/>
              <w:rPr>
                <w:rFonts w:cstheme="minorHAnsi"/>
              </w:rPr>
            </w:pPr>
            <w:r w:rsidRPr="00795F17">
              <w:t>+</w:t>
            </w:r>
          </w:p>
        </w:tc>
      </w:tr>
      <w:tr w:rsidR="00532A28" w:rsidRPr="00795F17" w14:paraId="02878B2B"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C5461" w14:textId="77777777" w:rsidR="00532A28" w:rsidRPr="00795F17" w:rsidRDefault="00532A28" w:rsidP="000363E1">
            <w:pPr>
              <w:pStyle w:val="Teksttabelilewy"/>
              <w:jc w:val="center"/>
              <w:rPr>
                <w:rFonts w:cstheme="minorHAnsi"/>
              </w:rPr>
            </w:pPr>
            <w:r w:rsidRPr="00795F17">
              <w:t>kadm i jego związki</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DF671"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4016E" w14:textId="77777777" w:rsidR="00532A28" w:rsidRPr="00795F17" w:rsidRDefault="00532A28" w:rsidP="0065243A">
            <w:pPr>
              <w:pStyle w:val="Teksttabelisrodek"/>
              <w:rPr>
                <w:rFonts w:cstheme="minorHAnsi"/>
              </w:rPr>
            </w:pPr>
            <w:r w:rsidRPr="00795F17">
              <w:t>+</w:t>
            </w:r>
          </w:p>
        </w:tc>
      </w:tr>
      <w:tr w:rsidR="00532A28" w:rsidRPr="00795F17" w14:paraId="1343312A"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2988F" w14:textId="77777777" w:rsidR="00532A28" w:rsidRPr="00795F17" w:rsidRDefault="00532A28" w:rsidP="000363E1">
            <w:pPr>
              <w:pStyle w:val="Teksttabelilewy"/>
              <w:jc w:val="center"/>
              <w:rPr>
                <w:rFonts w:cstheme="minorHAnsi"/>
              </w:rPr>
            </w:pPr>
            <w:r w:rsidRPr="00795F17">
              <w:t>nikiel i jego związki</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378AD"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93D59" w14:textId="77777777" w:rsidR="00532A28" w:rsidRPr="00795F17" w:rsidRDefault="00532A28" w:rsidP="0065243A">
            <w:pPr>
              <w:pStyle w:val="Teksttabelisrodek"/>
              <w:rPr>
                <w:rFonts w:cstheme="minorHAnsi"/>
              </w:rPr>
            </w:pPr>
            <w:r w:rsidRPr="00795F17">
              <w:t>+</w:t>
            </w:r>
          </w:p>
        </w:tc>
      </w:tr>
      <w:tr w:rsidR="00532A28" w:rsidRPr="00795F17" w14:paraId="7B2F9093"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C1C3B8" w14:textId="77777777" w:rsidR="00532A28" w:rsidRPr="00795F17" w:rsidRDefault="00532A28" w:rsidP="000363E1">
            <w:pPr>
              <w:pStyle w:val="Teksttabelilewy"/>
              <w:jc w:val="center"/>
              <w:rPr>
                <w:rFonts w:cstheme="minorHAnsi"/>
              </w:rPr>
            </w:pPr>
            <w:r w:rsidRPr="00795F17">
              <w:t>benzo(a)piren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E2ACF"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D0D30" w14:textId="77777777" w:rsidR="00532A28" w:rsidRPr="00795F17" w:rsidRDefault="00532A28" w:rsidP="0065243A">
            <w:pPr>
              <w:pStyle w:val="Teksttabelisrodek"/>
              <w:rPr>
                <w:rFonts w:cstheme="minorHAnsi"/>
              </w:rPr>
            </w:pPr>
            <w:r w:rsidRPr="00795F17">
              <w:t>+</w:t>
            </w:r>
          </w:p>
        </w:tc>
      </w:tr>
      <w:tr w:rsidR="00532A28" w:rsidRPr="00795F17" w14:paraId="0DE1E754"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CA42B3" w14:textId="77777777" w:rsidR="00532A28" w:rsidRPr="00795F17" w:rsidRDefault="00532A28" w:rsidP="000363E1">
            <w:pPr>
              <w:pStyle w:val="Teksttabelilewy"/>
              <w:jc w:val="center"/>
              <w:rPr>
                <w:rFonts w:cstheme="minorHAnsi"/>
              </w:rPr>
            </w:pPr>
            <w:r w:rsidRPr="00795F17">
              <w:t>benzo(b)fluoranten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6DC223"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DB552" w14:textId="77777777" w:rsidR="00532A28" w:rsidRPr="00795F17" w:rsidRDefault="00532A28" w:rsidP="0065243A">
            <w:pPr>
              <w:pStyle w:val="Teksttabelisrodek"/>
              <w:rPr>
                <w:rFonts w:cstheme="minorHAnsi"/>
              </w:rPr>
            </w:pPr>
            <w:r w:rsidRPr="00795F17">
              <w:t>+</w:t>
            </w:r>
          </w:p>
        </w:tc>
      </w:tr>
      <w:tr w:rsidR="00532A28" w:rsidRPr="00795F17" w14:paraId="43FB066C"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44181" w14:textId="77777777" w:rsidR="00532A28" w:rsidRPr="00795F17" w:rsidRDefault="00532A28" w:rsidP="000363E1">
            <w:pPr>
              <w:pStyle w:val="Teksttabelilewy"/>
              <w:jc w:val="center"/>
              <w:rPr>
                <w:rFonts w:cstheme="minorHAnsi"/>
              </w:rPr>
            </w:pPr>
            <w:r w:rsidRPr="00795F17">
              <w:t>benzo(k)fluoranten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01D059"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A2C20C" w14:textId="77777777" w:rsidR="00532A28" w:rsidRPr="00795F17" w:rsidRDefault="00532A28" w:rsidP="0065243A">
            <w:pPr>
              <w:pStyle w:val="Teksttabelisrodek"/>
              <w:rPr>
                <w:rFonts w:cstheme="minorHAnsi"/>
              </w:rPr>
            </w:pPr>
            <w:r w:rsidRPr="00795F17">
              <w:t>+</w:t>
            </w:r>
          </w:p>
        </w:tc>
      </w:tr>
      <w:tr w:rsidR="00532A28" w:rsidRPr="00795F17" w14:paraId="2A0CB667"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242B1" w14:textId="77777777" w:rsidR="00532A28" w:rsidRPr="00795F17" w:rsidRDefault="00532A28" w:rsidP="000363E1">
            <w:pPr>
              <w:pStyle w:val="Teksttabelilewy"/>
              <w:jc w:val="center"/>
              <w:rPr>
                <w:rFonts w:cstheme="minorHAnsi"/>
              </w:rPr>
            </w:pPr>
            <w:r w:rsidRPr="00795F17">
              <w:t>benzo(g,h,i)perylen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53187"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9EED8" w14:textId="77777777" w:rsidR="00532A28" w:rsidRPr="00795F17" w:rsidRDefault="00532A28" w:rsidP="0065243A">
            <w:pPr>
              <w:pStyle w:val="Teksttabelisrodek"/>
              <w:rPr>
                <w:rFonts w:cstheme="minorHAnsi"/>
              </w:rPr>
            </w:pPr>
            <w:r w:rsidRPr="00795F17">
              <w:t>+</w:t>
            </w:r>
          </w:p>
        </w:tc>
      </w:tr>
      <w:tr w:rsidR="00532A28" w:rsidRPr="00795F17" w14:paraId="340B420C"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E5067" w14:textId="77777777" w:rsidR="00532A28" w:rsidRPr="00795F17" w:rsidRDefault="00532A28" w:rsidP="000363E1">
            <w:pPr>
              <w:pStyle w:val="Teksttabelilewy"/>
              <w:jc w:val="center"/>
              <w:rPr>
                <w:rFonts w:cstheme="minorHAnsi"/>
              </w:rPr>
            </w:pPr>
            <w:r w:rsidRPr="00795F17">
              <w:t>bromowane difenyloetery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F6818"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9310A" w14:textId="77777777" w:rsidR="00532A28" w:rsidRPr="00795F17" w:rsidRDefault="00532A28" w:rsidP="0065243A">
            <w:pPr>
              <w:pStyle w:val="Teksttabelisrodek"/>
              <w:rPr>
                <w:rFonts w:cstheme="minorHAnsi"/>
              </w:rPr>
            </w:pPr>
            <w:r w:rsidRPr="00795F17">
              <w:t>-</w:t>
            </w:r>
          </w:p>
        </w:tc>
      </w:tr>
      <w:tr w:rsidR="00532A28" w:rsidRPr="00795F17" w14:paraId="04BEFE47"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1920A" w14:textId="6921C33D" w:rsidR="00532A28" w:rsidRPr="00795F17" w:rsidRDefault="007C6421" w:rsidP="000363E1">
            <w:pPr>
              <w:pStyle w:val="Teksttabelilewy"/>
              <w:jc w:val="center"/>
              <w:rPr>
                <w:rFonts w:cstheme="minorHAnsi"/>
                <w:color w:val="000000"/>
              </w:rPr>
            </w:pPr>
            <w:r>
              <w:t>d</w:t>
            </w:r>
            <w:r w:rsidR="00532A28" w:rsidRPr="00795F17">
              <w:t>iuron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C4EA5"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E1CE95" w14:textId="77777777" w:rsidR="00532A28" w:rsidRPr="00795F17" w:rsidRDefault="00532A28" w:rsidP="0065243A">
            <w:pPr>
              <w:pStyle w:val="Teksttabelisrodek"/>
              <w:rPr>
                <w:rFonts w:cstheme="minorHAnsi"/>
              </w:rPr>
            </w:pPr>
            <w:r w:rsidRPr="00795F17">
              <w:t>+</w:t>
            </w:r>
          </w:p>
        </w:tc>
      </w:tr>
      <w:tr w:rsidR="00532A28" w:rsidRPr="00795F17" w14:paraId="1E1F6420"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D9C99" w14:textId="77777777" w:rsidR="00532A28" w:rsidRPr="00795F17" w:rsidRDefault="00532A28" w:rsidP="000363E1">
            <w:pPr>
              <w:pStyle w:val="Teksttabelilewy"/>
              <w:jc w:val="center"/>
              <w:rPr>
                <w:rFonts w:cstheme="minorHAnsi"/>
              </w:rPr>
            </w:pPr>
            <w:r w:rsidRPr="00795F17">
              <w:t>heksabromocyklododekan (HBCDD)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D52E7"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C24009" w14:textId="77777777" w:rsidR="00532A28" w:rsidRPr="00795F17" w:rsidRDefault="00532A28" w:rsidP="0065243A">
            <w:pPr>
              <w:pStyle w:val="Teksttabelisrodek"/>
              <w:rPr>
                <w:rFonts w:cstheme="minorHAnsi"/>
              </w:rPr>
            </w:pPr>
            <w:r w:rsidRPr="00795F17">
              <w:t>-</w:t>
            </w:r>
          </w:p>
        </w:tc>
      </w:tr>
      <w:tr w:rsidR="00532A28" w:rsidRPr="00795F17" w14:paraId="43294AC2"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0E4B6" w14:textId="77777777" w:rsidR="00532A28" w:rsidRPr="00795F17" w:rsidRDefault="00532A28" w:rsidP="000363E1">
            <w:pPr>
              <w:pStyle w:val="Teksttabelilewy"/>
              <w:jc w:val="center"/>
              <w:rPr>
                <w:rFonts w:cstheme="minorHAnsi"/>
              </w:rPr>
            </w:pPr>
            <w:r w:rsidRPr="00795F17">
              <w:t>związki tributylocyny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2DFB9"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2DB299" w14:textId="77777777" w:rsidR="00532A28" w:rsidRPr="00795F17" w:rsidRDefault="00532A28" w:rsidP="0065243A">
            <w:pPr>
              <w:pStyle w:val="Teksttabelisrodek"/>
              <w:rPr>
                <w:rFonts w:cstheme="minorHAnsi"/>
              </w:rPr>
            </w:pPr>
            <w:r w:rsidRPr="00795F17">
              <w:t>+</w:t>
            </w:r>
          </w:p>
        </w:tc>
      </w:tr>
      <w:tr w:rsidR="00532A28" w:rsidRPr="00795F17" w14:paraId="0F4E6A58"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C1E717" w14:textId="1EB78E40" w:rsidR="00532A28" w:rsidRPr="00795F17" w:rsidRDefault="00532A28" w:rsidP="00F86241">
            <w:pPr>
              <w:pStyle w:val="Teksttabelilewy"/>
              <w:jc w:val="center"/>
              <w:rPr>
                <w:rFonts w:cstheme="minorHAnsi"/>
              </w:rPr>
            </w:pPr>
            <w:r w:rsidRPr="00795F17">
              <w:t>kwas perfluorooktanosulfonowy</w:t>
            </w:r>
            <w:r w:rsidR="007C6421">
              <w:t xml:space="preserve"> </w:t>
            </w:r>
            <w:r w:rsidRPr="00795F17">
              <w:t>i</w:t>
            </w:r>
            <w:r w:rsidR="007C6421">
              <w:t> </w:t>
            </w:r>
            <w:r w:rsidRPr="00795F17">
              <w:t>jego</w:t>
            </w:r>
            <w:r w:rsidR="007C6421">
              <w:t> </w:t>
            </w:r>
            <w:r w:rsidRPr="00795F17">
              <w:t>pochodne (PFOS)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B2A14"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A4178" w14:textId="77777777" w:rsidR="00532A28" w:rsidRPr="00795F17" w:rsidRDefault="00532A28" w:rsidP="0065243A">
            <w:pPr>
              <w:pStyle w:val="Teksttabelisrodek"/>
              <w:rPr>
                <w:rFonts w:cstheme="minorHAnsi"/>
              </w:rPr>
            </w:pPr>
            <w:r w:rsidRPr="00795F17">
              <w:t>+</w:t>
            </w:r>
          </w:p>
        </w:tc>
      </w:tr>
      <w:tr w:rsidR="00532A28" w:rsidRPr="00795F17" w14:paraId="50EF8877"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26BF6" w14:textId="02D8E527" w:rsidR="00532A28" w:rsidRPr="00795F17" w:rsidRDefault="009460FE" w:rsidP="000363E1">
            <w:pPr>
              <w:pStyle w:val="Teksttabelilewy"/>
              <w:jc w:val="center"/>
              <w:rPr>
                <w:rFonts w:cstheme="minorHAnsi"/>
              </w:rPr>
            </w:pPr>
            <w:r w:rsidRPr="00795F17">
              <w:t>C</w:t>
            </w:r>
            <w:r w:rsidR="007C6421">
              <w:t>c</w:t>
            </w:r>
            <w:r w:rsidR="00532A28" w:rsidRPr="00795F17">
              <w:t>loropyrifos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4ACD6"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759DF" w14:textId="77777777" w:rsidR="00532A28" w:rsidRPr="00795F17" w:rsidRDefault="00532A28" w:rsidP="0065243A">
            <w:pPr>
              <w:pStyle w:val="Teksttabelisrodek"/>
              <w:rPr>
                <w:rFonts w:cstheme="minorHAnsi"/>
              </w:rPr>
            </w:pPr>
            <w:r w:rsidRPr="00795F17">
              <w:t>+</w:t>
            </w:r>
          </w:p>
        </w:tc>
      </w:tr>
      <w:tr w:rsidR="00532A28" w:rsidRPr="00795F17" w14:paraId="31547212"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32FE0" w14:textId="55DBA99C" w:rsidR="00532A28" w:rsidRPr="00795F17" w:rsidRDefault="007C6421" w:rsidP="000363E1">
            <w:pPr>
              <w:pStyle w:val="Teksttabelilewy"/>
              <w:jc w:val="center"/>
              <w:rPr>
                <w:rFonts w:cstheme="minorHAnsi"/>
              </w:rPr>
            </w:pPr>
            <w:r>
              <w:t>c</w:t>
            </w:r>
            <w:r w:rsidR="00532A28" w:rsidRPr="00795F17">
              <w:t>hlorfenwinfos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05467"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2DDD1" w14:textId="77777777" w:rsidR="00532A28" w:rsidRPr="00795F17" w:rsidRDefault="00532A28" w:rsidP="0065243A">
            <w:pPr>
              <w:pStyle w:val="Teksttabelisrodek"/>
              <w:rPr>
                <w:rFonts w:cstheme="minorHAnsi"/>
              </w:rPr>
            </w:pPr>
            <w:r w:rsidRPr="00795F17">
              <w:t>+</w:t>
            </w:r>
          </w:p>
        </w:tc>
      </w:tr>
      <w:tr w:rsidR="00532A28" w:rsidRPr="00795F17" w14:paraId="4D24356E" w14:textId="77777777" w:rsidTr="003D7BF3">
        <w:trPr>
          <w:trHeight w:val="4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8D989" w14:textId="6706B876" w:rsidR="00532A28" w:rsidRPr="00795F17" w:rsidRDefault="007C6421" w:rsidP="000363E1">
            <w:pPr>
              <w:pStyle w:val="Teksttabelilewy"/>
              <w:jc w:val="center"/>
              <w:rPr>
                <w:rFonts w:cstheme="minorHAnsi"/>
              </w:rPr>
            </w:pPr>
            <w:r>
              <w:t>o</w:t>
            </w:r>
            <w:r w:rsidR="00532A28" w:rsidRPr="00795F17">
              <w:t>ktylofenole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AE0AB3"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D5C21" w14:textId="77777777" w:rsidR="00532A28" w:rsidRPr="00795F17" w:rsidRDefault="00532A28" w:rsidP="0065243A">
            <w:pPr>
              <w:pStyle w:val="Teksttabelisrodek"/>
              <w:rPr>
                <w:rFonts w:cstheme="minorHAnsi"/>
              </w:rPr>
            </w:pPr>
            <w:r w:rsidRPr="00795F17">
              <w:t>+</w:t>
            </w:r>
          </w:p>
        </w:tc>
      </w:tr>
    </w:tbl>
    <w:p w14:paraId="5397A80B" w14:textId="2492B79E" w:rsidR="00290790" w:rsidRPr="00795F17" w:rsidRDefault="00532A28" w:rsidP="0044393D">
      <w:pPr>
        <w:pStyle w:val="rdo"/>
      </w:pPr>
      <w:r w:rsidRPr="00795F17">
        <w:t xml:space="preserve">Źródło: </w:t>
      </w:r>
      <w:r w:rsidR="00FD7248" w:rsidRPr="00795F17">
        <w:t>opracowanie własne</w:t>
      </w:r>
      <w:r w:rsidRPr="00795F17">
        <w:t xml:space="preserve"> </w:t>
      </w:r>
    </w:p>
    <w:p w14:paraId="67531681" w14:textId="77777777" w:rsidR="00CE237D" w:rsidRPr="00795F17" w:rsidRDefault="00CE237D" w:rsidP="00CE237D"/>
    <w:p w14:paraId="1DC14E79" w14:textId="1E764C92" w:rsidR="00532A28" w:rsidRPr="00795F17" w:rsidRDefault="00532A28" w:rsidP="004D7705">
      <w:pPr>
        <w:pStyle w:val="Tabela"/>
      </w:pPr>
      <w:bookmarkStart w:id="296" w:name="_Toc66341890"/>
      <w:bookmarkStart w:id="297" w:name="_Toc105512801"/>
      <w:r w:rsidRPr="00795F17">
        <w:t xml:space="preserve">Tabela </w:t>
      </w:r>
      <w:fldSimple w:instr=" STYLEREF 1 \s ">
        <w:r w:rsidR="001F774D">
          <w:rPr>
            <w:noProof/>
          </w:rPr>
          <w:t>6</w:t>
        </w:r>
      </w:fldSimple>
      <w:r w:rsidR="00BB3B21" w:rsidRPr="00795F17">
        <w:noBreakHyphen/>
      </w:r>
      <w:fldSimple w:instr=" SEQ Tabela \* ARABIC \s 1 ">
        <w:r w:rsidR="001F774D">
          <w:rPr>
            <w:noProof/>
          </w:rPr>
          <w:t>2</w:t>
        </w:r>
      </w:fldSimple>
      <w:r w:rsidR="00E76356">
        <w:rPr>
          <w:noProof/>
        </w:rPr>
        <w:t>.</w:t>
      </w:r>
      <w:r w:rsidRPr="00795F17">
        <w:tab/>
        <w:t xml:space="preserve">Podsumowanie dla oznaczeń wykonanych w wodzie i biocie </w:t>
      </w:r>
      <w:r w:rsidR="009225AD">
        <w:t xml:space="preserve">na </w:t>
      </w:r>
      <w:r w:rsidR="009225AD" w:rsidRPr="00795F17">
        <w:t>obszar</w:t>
      </w:r>
      <w:r w:rsidR="009225AD">
        <w:t>ze</w:t>
      </w:r>
      <w:r w:rsidRPr="00795F17">
        <w:t xml:space="preserve"> dorzecza Odry</w:t>
      </w:r>
      <w:bookmarkEnd w:id="296"/>
      <w:bookmarkEnd w:id="297"/>
    </w:p>
    <w:tbl>
      <w:tblPr>
        <w:tblW w:w="5000" w:type="pct"/>
        <w:jc w:val="center"/>
        <w:tblCellMar>
          <w:left w:w="10" w:type="dxa"/>
          <w:right w:w="10" w:type="dxa"/>
        </w:tblCellMar>
        <w:tblLook w:val="0000" w:firstRow="0" w:lastRow="0" w:firstColumn="0" w:lastColumn="0" w:noHBand="0" w:noVBand="0"/>
      </w:tblPr>
      <w:tblGrid>
        <w:gridCol w:w="1029"/>
        <w:gridCol w:w="1093"/>
        <w:gridCol w:w="1559"/>
        <w:gridCol w:w="1698"/>
        <w:gridCol w:w="1559"/>
        <w:gridCol w:w="2124"/>
      </w:tblGrid>
      <w:tr w:rsidR="00532A28" w:rsidRPr="00795F17" w14:paraId="40543E6F" w14:textId="77777777" w:rsidTr="00905523">
        <w:trPr>
          <w:trHeight w:val="454"/>
          <w:jc w:val="center"/>
        </w:trPr>
        <w:tc>
          <w:tcPr>
            <w:tcW w:w="56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1BEC336A" w14:textId="77777777" w:rsidR="00532A28" w:rsidRPr="00795F17" w:rsidRDefault="00532A28" w:rsidP="0044393D">
            <w:pPr>
              <w:pStyle w:val="Teksttabelinaglowek"/>
            </w:pPr>
            <w:r w:rsidRPr="00795F17">
              <w:t>Matryca</w:t>
            </w:r>
          </w:p>
        </w:tc>
        <w:tc>
          <w:tcPr>
            <w:tcW w:w="60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4F7D3539" w14:textId="77777777" w:rsidR="00532A28" w:rsidRPr="00795F17" w:rsidRDefault="00532A28" w:rsidP="0044393D">
            <w:pPr>
              <w:pStyle w:val="Teksttabelinaglowek"/>
            </w:pPr>
            <w:r w:rsidRPr="00795F17">
              <w:t>Liczba oznaczeń</w:t>
            </w:r>
          </w:p>
        </w:tc>
        <w:tc>
          <w:tcPr>
            <w:tcW w:w="86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116FA763" w14:textId="77777777" w:rsidR="00532A28" w:rsidRPr="00795F17" w:rsidRDefault="00532A28" w:rsidP="0044393D">
            <w:pPr>
              <w:pStyle w:val="Teksttabelinaglowek"/>
            </w:pPr>
            <w:r w:rsidRPr="00795F17">
              <w:t>Występowanie wartości &gt;LOQ</w:t>
            </w:r>
          </w:p>
        </w:tc>
        <w:tc>
          <w:tcPr>
            <w:tcW w:w="93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03752A54" w14:textId="77777777" w:rsidR="00532A28" w:rsidRPr="00795F17" w:rsidRDefault="00532A28" w:rsidP="0044393D">
            <w:pPr>
              <w:pStyle w:val="Teksttabelinaglowek"/>
            </w:pPr>
            <w:r w:rsidRPr="00795F17">
              <w:t>Liczba oznaczeń &gt;EQS</w:t>
            </w:r>
          </w:p>
        </w:tc>
        <w:tc>
          <w:tcPr>
            <w:tcW w:w="86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01B604B0" w14:textId="77777777" w:rsidR="00532A28" w:rsidRPr="00795F17" w:rsidRDefault="00532A28" w:rsidP="0044393D">
            <w:pPr>
              <w:pStyle w:val="Teksttabelinaglowek"/>
            </w:pPr>
            <w:r w:rsidRPr="00795F17">
              <w:t>Częstość występowania substancji</w:t>
            </w:r>
          </w:p>
          <w:p w14:paraId="40E5962F" w14:textId="3C1718F5" w:rsidR="004F69CE" w:rsidRPr="00795F17" w:rsidRDefault="00EA4FF5" w:rsidP="0044393D">
            <w:pPr>
              <w:pStyle w:val="Teksttabelinaglowek"/>
            </w:pPr>
            <w:r w:rsidRPr="00795F17">
              <w:t>(%)</w:t>
            </w:r>
          </w:p>
        </w:tc>
        <w:tc>
          <w:tcPr>
            <w:tcW w:w="1172"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4C7C1CBE" w14:textId="77777777" w:rsidR="00532A28" w:rsidRPr="00795F17" w:rsidRDefault="00532A28" w:rsidP="0044393D">
            <w:pPr>
              <w:pStyle w:val="Teksttabelinaglowek"/>
            </w:pPr>
            <w:r w:rsidRPr="00795F17">
              <w:t>Udział przekroczeń normy w odniesieniu do ilości wykonanych pomiarów</w:t>
            </w:r>
          </w:p>
          <w:p w14:paraId="42BF4F5B" w14:textId="77E4751B" w:rsidR="004F69CE" w:rsidRPr="00795F17" w:rsidRDefault="00EA4FF5" w:rsidP="0044393D">
            <w:pPr>
              <w:pStyle w:val="Teksttabelinaglowek"/>
            </w:pPr>
            <w:r w:rsidRPr="00795F17">
              <w:t>(%)</w:t>
            </w:r>
          </w:p>
        </w:tc>
      </w:tr>
      <w:tr w:rsidR="00532A28" w:rsidRPr="00795F17" w14:paraId="4D21F7B9" w14:textId="77777777" w:rsidTr="00194D16">
        <w:trPr>
          <w:trHeight w:val="454"/>
          <w:jc w:val="center"/>
        </w:trPr>
        <w:tc>
          <w:tcPr>
            <w:tcW w:w="56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C0322" w14:textId="1129E099" w:rsidR="00532A28" w:rsidRPr="00795F17" w:rsidRDefault="00413367" w:rsidP="0065243A">
            <w:pPr>
              <w:pStyle w:val="Teksttabelisrodek"/>
            </w:pPr>
            <w:r>
              <w:t>w</w:t>
            </w:r>
            <w:r w:rsidR="00532A28" w:rsidRPr="00795F17">
              <w:t>oda</w:t>
            </w:r>
          </w:p>
        </w:tc>
        <w:tc>
          <w:tcPr>
            <w:tcW w:w="6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13540" w14:textId="77777777" w:rsidR="00532A28" w:rsidRPr="00795F17" w:rsidRDefault="00532A28" w:rsidP="0065243A">
            <w:pPr>
              <w:pStyle w:val="Teksttabelisrodek"/>
            </w:pPr>
            <w:r w:rsidRPr="00795F17">
              <w:t>28 976</w:t>
            </w:r>
          </w:p>
        </w:tc>
        <w:tc>
          <w:tcPr>
            <w:tcW w:w="8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4A282" w14:textId="77777777" w:rsidR="00532A28" w:rsidRPr="00795F17" w:rsidRDefault="00532A28" w:rsidP="0065243A">
            <w:pPr>
              <w:pStyle w:val="Teksttabelisrodek"/>
            </w:pPr>
            <w:r w:rsidRPr="00795F17">
              <w:t>11 471</w:t>
            </w:r>
          </w:p>
        </w:tc>
        <w:tc>
          <w:tcPr>
            <w:tcW w:w="93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FB08EE" w14:textId="77777777" w:rsidR="00532A28" w:rsidRPr="00795F17" w:rsidRDefault="00532A28" w:rsidP="0065243A">
            <w:pPr>
              <w:pStyle w:val="Teksttabelisrodek"/>
            </w:pPr>
            <w:r w:rsidRPr="00795F17">
              <w:t>1 109</w:t>
            </w:r>
          </w:p>
        </w:tc>
        <w:tc>
          <w:tcPr>
            <w:tcW w:w="8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252AC" w14:textId="3A5DB527" w:rsidR="00532A28" w:rsidRPr="00795F17" w:rsidRDefault="00532A28" w:rsidP="0065243A">
            <w:pPr>
              <w:pStyle w:val="Teksttabelisrodek"/>
            </w:pPr>
            <w:r w:rsidRPr="00795F17">
              <w:t>39,6</w:t>
            </w:r>
          </w:p>
        </w:tc>
        <w:tc>
          <w:tcPr>
            <w:tcW w:w="11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A83E0" w14:textId="75592A14" w:rsidR="00532A28" w:rsidRPr="00795F17" w:rsidRDefault="00532A28" w:rsidP="0065243A">
            <w:pPr>
              <w:pStyle w:val="Teksttabelisrodek"/>
            </w:pPr>
            <w:r w:rsidRPr="00795F17">
              <w:t>3,8</w:t>
            </w:r>
          </w:p>
        </w:tc>
      </w:tr>
      <w:tr w:rsidR="00532A28" w:rsidRPr="00795F17" w14:paraId="0DC93BFC" w14:textId="77777777" w:rsidTr="00194D16">
        <w:trPr>
          <w:trHeight w:val="454"/>
          <w:jc w:val="center"/>
        </w:trPr>
        <w:tc>
          <w:tcPr>
            <w:tcW w:w="56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95BC2" w14:textId="0E9A1824" w:rsidR="00532A28" w:rsidRPr="00795F17" w:rsidRDefault="00413367" w:rsidP="0065243A">
            <w:pPr>
              <w:pStyle w:val="Teksttabelisrodek"/>
            </w:pPr>
            <w:r>
              <w:t>b</w:t>
            </w:r>
            <w:r w:rsidR="00532A28" w:rsidRPr="00795F17">
              <w:t>iota</w:t>
            </w:r>
          </w:p>
        </w:tc>
        <w:tc>
          <w:tcPr>
            <w:tcW w:w="6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1FC5D" w14:textId="77777777" w:rsidR="00532A28" w:rsidRPr="00795F17" w:rsidRDefault="00532A28" w:rsidP="0065243A">
            <w:pPr>
              <w:pStyle w:val="Teksttabelisrodek"/>
            </w:pPr>
            <w:r w:rsidRPr="00795F17">
              <w:t>6 043</w:t>
            </w:r>
          </w:p>
        </w:tc>
        <w:tc>
          <w:tcPr>
            <w:tcW w:w="8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2B624B" w14:textId="77777777" w:rsidR="00532A28" w:rsidRPr="00795F17" w:rsidRDefault="00532A28" w:rsidP="0065243A">
            <w:pPr>
              <w:pStyle w:val="Teksttabelisrodek"/>
            </w:pPr>
            <w:r w:rsidRPr="00795F17">
              <w:t>1 995</w:t>
            </w:r>
          </w:p>
        </w:tc>
        <w:tc>
          <w:tcPr>
            <w:tcW w:w="93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676F1" w14:textId="77777777" w:rsidR="00532A28" w:rsidRPr="00795F17" w:rsidRDefault="00532A28" w:rsidP="0065243A">
            <w:pPr>
              <w:pStyle w:val="Teksttabelisrodek"/>
            </w:pPr>
            <w:r w:rsidRPr="00795F17">
              <w:t>1 230</w:t>
            </w:r>
          </w:p>
        </w:tc>
        <w:tc>
          <w:tcPr>
            <w:tcW w:w="8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DCF07" w14:textId="37FB763B" w:rsidR="00532A28" w:rsidRPr="00795F17" w:rsidRDefault="00532A28" w:rsidP="0065243A">
            <w:pPr>
              <w:pStyle w:val="Teksttabelisrodek"/>
            </w:pPr>
            <w:r w:rsidRPr="00795F17">
              <w:t>33,0</w:t>
            </w:r>
          </w:p>
        </w:tc>
        <w:tc>
          <w:tcPr>
            <w:tcW w:w="11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BF100" w14:textId="78B04643" w:rsidR="00532A28" w:rsidRPr="00795F17" w:rsidRDefault="00532A28" w:rsidP="0065243A">
            <w:pPr>
              <w:pStyle w:val="Teksttabelisrodek"/>
            </w:pPr>
            <w:r w:rsidRPr="00795F17">
              <w:t>20,4</w:t>
            </w:r>
          </w:p>
        </w:tc>
        <w:bookmarkStart w:id="298" w:name="_Toc49245814"/>
      </w:tr>
    </w:tbl>
    <w:p w14:paraId="0BB70E69" w14:textId="416FDAFA" w:rsidR="00063B4C" w:rsidRPr="00795F17" w:rsidRDefault="00532A28" w:rsidP="0044393D">
      <w:pPr>
        <w:pStyle w:val="rdo"/>
      </w:pPr>
      <w:r w:rsidRPr="00795F17">
        <w:t xml:space="preserve">Źródło: </w:t>
      </w:r>
      <w:r w:rsidR="00FD7248" w:rsidRPr="00795F17">
        <w:t>opracowanie własne</w:t>
      </w:r>
      <w:r w:rsidRPr="00795F17">
        <w:t xml:space="preserve"> </w:t>
      </w:r>
    </w:p>
    <w:p w14:paraId="4B81D75B" w14:textId="1502139C" w:rsidR="00532A28" w:rsidRPr="00795F17" w:rsidRDefault="00532A28" w:rsidP="00CF0F45">
      <w:pPr>
        <w:pStyle w:val="rdo"/>
        <w:jc w:val="both"/>
      </w:pPr>
      <w:r w:rsidRPr="00795F17">
        <w:br w:type="page"/>
      </w:r>
    </w:p>
    <w:p w14:paraId="3773DFDE" w14:textId="0E2BC32C" w:rsidR="00035198" w:rsidRPr="00795F17" w:rsidRDefault="00035198" w:rsidP="00BA6B41">
      <w:pPr>
        <w:pStyle w:val="Nagwek1"/>
      </w:pPr>
      <w:bookmarkStart w:id="299" w:name="_Toc66272272"/>
      <w:bookmarkStart w:id="300" w:name="_Toc66347799"/>
      <w:bookmarkStart w:id="301" w:name="_Toc105512649"/>
      <w:bookmarkStart w:id="302" w:name="_Hlk67222679"/>
      <w:r w:rsidRPr="00795F17">
        <w:t xml:space="preserve">Podsumowanie identyfikacji </w:t>
      </w:r>
      <w:bookmarkStart w:id="303" w:name="_Hlk54212793"/>
      <w:r w:rsidRPr="00795F17">
        <w:t>znaczących oddziaływań</w:t>
      </w:r>
      <w:r w:rsidR="00563E22">
        <w:t xml:space="preserve"> </w:t>
      </w:r>
      <w:r w:rsidRPr="00795F17">
        <w:t>antropogenicznych</w:t>
      </w:r>
      <w:r w:rsidR="002D5E57" w:rsidRPr="00795F17">
        <w:t xml:space="preserve"> </w:t>
      </w:r>
      <w:r w:rsidRPr="00795F17">
        <w:t>i oceny ich wpływu na stan wód powierzchniowych i</w:t>
      </w:r>
      <w:r w:rsidR="007C6421">
        <w:t> </w:t>
      </w:r>
      <w:r w:rsidRPr="00795F17">
        <w:t>podziemnych</w:t>
      </w:r>
      <w:bookmarkEnd w:id="299"/>
      <w:bookmarkEnd w:id="300"/>
      <w:bookmarkEnd w:id="301"/>
      <w:bookmarkEnd w:id="303"/>
    </w:p>
    <w:p w14:paraId="45B9FF69" w14:textId="0D5F5299" w:rsidR="00AD1DA1" w:rsidRPr="00795F17" w:rsidRDefault="00AD1DA1" w:rsidP="0044393D">
      <w:r w:rsidRPr="00795F17">
        <w:rPr>
          <w:rFonts w:cstheme="minorBidi"/>
        </w:rPr>
        <w:t xml:space="preserve">Zgodnie z </w:t>
      </w:r>
      <w:r w:rsidRPr="00795F17">
        <w:t>wymaganiami wskazanymi w art. 5 RDW państwa członkowskie mają obowiązek cyklicznego przeglądu wpływu działalności człowieka na środowisko. W zakresie przeglądu przeprowadzana jest identyfikacja znaczących oddziaływań oraz ocena ich wpływu na stan wód powierzchniowych i</w:t>
      </w:r>
      <w:r w:rsidR="00905523" w:rsidRPr="00795F17">
        <w:t> </w:t>
      </w:r>
      <w:r w:rsidRPr="00795F17">
        <w:t>podziemnych. Odpowiednia ocena presji mających wpływ na jcw umożliwia ustalenie środków dla</w:t>
      </w:r>
      <w:r w:rsidR="00905523" w:rsidRPr="00795F17">
        <w:t> </w:t>
      </w:r>
      <w:r w:rsidRPr="00795F17">
        <w:t>osiągnięcia celów środowiskowych określonych zgodnie z art. 4 RDW</w:t>
      </w:r>
      <w:r w:rsidRPr="00795F17" w:rsidDel="0061287B">
        <w:t xml:space="preserve"> </w:t>
      </w:r>
      <w:r w:rsidRPr="00795F17">
        <w:t>lub powołanie się</w:t>
      </w:r>
      <w:r w:rsidR="00882289">
        <w:t xml:space="preserve"> </w:t>
      </w:r>
      <w:r w:rsidRPr="00795F17">
        <w:t>na</w:t>
      </w:r>
      <w:r w:rsidR="00905523" w:rsidRPr="00795F17">
        <w:t> </w:t>
      </w:r>
      <w:r w:rsidRPr="00795F17">
        <w:t>wyłączenia w ramach tego przepisu.</w:t>
      </w:r>
    </w:p>
    <w:p w14:paraId="0B882F19" w14:textId="77777777" w:rsidR="00AD1DA1" w:rsidRPr="00795F17" w:rsidRDefault="00AD1DA1" w:rsidP="00C53C86">
      <w:pPr>
        <w:pStyle w:val="Nagwek2"/>
      </w:pPr>
      <w:bookmarkStart w:id="304" w:name="_Toc66286084"/>
      <w:bookmarkStart w:id="305" w:name="_Toc66347800"/>
      <w:bookmarkStart w:id="306" w:name="_Toc105512650"/>
      <w:r w:rsidRPr="00795F17">
        <w:t>Wody powierzchniowe</w:t>
      </w:r>
      <w:bookmarkEnd w:id="304"/>
      <w:bookmarkEnd w:id="305"/>
      <w:bookmarkEnd w:id="306"/>
    </w:p>
    <w:p w14:paraId="02837E4B" w14:textId="5FEEC622" w:rsidR="00AD1DA1" w:rsidRPr="00795F17" w:rsidRDefault="00AD1DA1" w:rsidP="0044393D">
      <w:r w:rsidRPr="00795F17">
        <w:t xml:space="preserve">Kompleksowe - środowiskowe ujęcie problemu identyfikacji znaczącej presji antropogenicznej na </w:t>
      </w:r>
      <w:r w:rsidR="00DF005E">
        <w:t>JCWP</w:t>
      </w:r>
      <w:r w:rsidRPr="00795F17">
        <w:t xml:space="preserve"> wymaga posiadania kompletu danych dla wszystkich </w:t>
      </w:r>
      <w:r w:rsidR="00DF005E">
        <w:t>JCWP</w:t>
      </w:r>
      <w:r w:rsidRPr="00795F17">
        <w:t xml:space="preserve">, co możliwe jest przy połączeniu wyników monitoringu PMŚ i informacji o emisjach do środowiska z metodami umożliwiającymi wiarygodne uzupełnienie danych. </w:t>
      </w:r>
    </w:p>
    <w:p w14:paraId="0990BD2B" w14:textId="2FAD9F11" w:rsidR="00AD1DA1" w:rsidRPr="00795F17" w:rsidRDefault="00AD1DA1" w:rsidP="0044393D">
      <w:r w:rsidRPr="00795F17">
        <w:t xml:space="preserve">Identyfikacja znaczących oddziaływań antropogenicznych </w:t>
      </w:r>
      <w:r w:rsidR="00DF005E">
        <w:t>JCWP</w:t>
      </w:r>
      <w:r w:rsidRPr="00795F17">
        <w:t xml:space="preserve"> wraz z ich analizą i oceną ryzyka nieosiągnięcia celów środowiskowych przeprowadzona została na potrzeby IIaPGW w ramach realizacji </w:t>
      </w:r>
      <w:r w:rsidRPr="00795F17">
        <w:rPr>
          <w:i/>
          <w:iCs/>
        </w:rPr>
        <w:t xml:space="preserve">Analizy znaczących oddziaływań </w:t>
      </w:r>
      <w:r w:rsidR="00737AEF">
        <w:rPr>
          <w:i/>
          <w:iCs/>
        </w:rPr>
        <w:t>–</w:t>
      </w:r>
      <w:r w:rsidRPr="00795F17">
        <w:rPr>
          <w:i/>
          <w:iCs/>
        </w:rPr>
        <w:t xml:space="preserve"> </w:t>
      </w:r>
      <w:r w:rsidR="00DF005E">
        <w:rPr>
          <w:i/>
          <w:iCs/>
        </w:rPr>
        <w:t>JCWP</w:t>
      </w:r>
      <w:r w:rsidRPr="00795F17">
        <w:rPr>
          <w:i/>
          <w:iCs/>
        </w:rPr>
        <w:t xml:space="preserve"> (…)</w:t>
      </w:r>
      <w:r w:rsidR="00BC12E2">
        <w:rPr>
          <w:rStyle w:val="Odwoanieprzypisudolnego"/>
          <w:i/>
          <w:iCs/>
        </w:rPr>
        <w:footnoteReference w:id="50"/>
      </w:r>
      <w:r w:rsidR="00625897">
        <w:rPr>
          <w:i/>
          <w:iCs/>
        </w:rPr>
        <w:t xml:space="preserve"> </w:t>
      </w:r>
      <w:r w:rsidRPr="00795F17">
        <w:t>oraz jej uzupełnienia o dane monitoringowe z roku 2019.</w:t>
      </w:r>
      <w:r w:rsidRPr="00795F17">
        <w:rPr>
          <w:i/>
          <w:iCs/>
        </w:rPr>
        <w:t xml:space="preserve"> </w:t>
      </w:r>
    </w:p>
    <w:p w14:paraId="10B5DDC3" w14:textId="77777777" w:rsidR="00AD1DA1" w:rsidRPr="00795F17" w:rsidRDefault="00AD1DA1" w:rsidP="0044393D">
      <w:r w:rsidRPr="00795F17">
        <w:t>Celem wykonanych analiz było:</w:t>
      </w:r>
    </w:p>
    <w:p w14:paraId="2C0942B8" w14:textId="76C37887" w:rsidR="00AD1DA1" w:rsidRPr="00795F17" w:rsidRDefault="00AD1DA1" w:rsidP="00117E86">
      <w:pPr>
        <w:pStyle w:val="Listapunktowana2"/>
      </w:pPr>
      <w:r w:rsidRPr="00795F17">
        <w:t xml:space="preserve">uzyskanie niezbędnych danych ilościowych i jakościowych charakteryzujących każdą </w:t>
      </w:r>
      <w:r w:rsidR="00DF005E">
        <w:t>JCWP</w:t>
      </w:r>
      <w:r w:rsidRPr="00795F17">
        <w:t>;</w:t>
      </w:r>
    </w:p>
    <w:p w14:paraId="7A5162F8" w14:textId="7BD0CB7F" w:rsidR="00AD1DA1" w:rsidRPr="00795F17" w:rsidRDefault="00AD1DA1" w:rsidP="00117E86">
      <w:pPr>
        <w:pStyle w:val="Listapunktowana2"/>
      </w:pPr>
      <w:r w:rsidRPr="00795F17">
        <w:t>przeprowadzenie analizy presji</w:t>
      </w:r>
      <w:r w:rsidR="00A43EA6">
        <w:t xml:space="preserve"> </w:t>
      </w:r>
      <w:r w:rsidRPr="00795F17">
        <w:t xml:space="preserve">antropogenicznych dla każdej </w:t>
      </w:r>
      <w:r w:rsidR="00DF005E">
        <w:t>JCWP</w:t>
      </w:r>
      <w:r w:rsidRPr="00795F17">
        <w:t xml:space="preserve"> (monitorowanej i</w:t>
      </w:r>
      <w:r w:rsidR="004B3BCC" w:rsidRPr="00795F17">
        <w:t> </w:t>
      </w:r>
      <w:r w:rsidRPr="00795F17">
        <w:t>niemonitorowanej);</w:t>
      </w:r>
    </w:p>
    <w:p w14:paraId="1F4ECFA6" w14:textId="066DE0F1" w:rsidR="00AD1DA1" w:rsidRPr="00795F17" w:rsidRDefault="00AD1DA1" w:rsidP="00117E86">
      <w:pPr>
        <w:pStyle w:val="Listapunktowana2"/>
      </w:pPr>
      <w:r w:rsidRPr="00795F17">
        <w:t xml:space="preserve">zidentyfikowanie </w:t>
      </w:r>
      <w:r w:rsidR="00DF005E">
        <w:t>JCWP</w:t>
      </w:r>
      <w:r w:rsidRPr="00795F17">
        <w:t xml:space="preserve"> ze znaczącą presją antropogeniczną oraz presją skumulowaną;</w:t>
      </w:r>
    </w:p>
    <w:p w14:paraId="2D80E5CD" w14:textId="77777777" w:rsidR="00AD1DA1" w:rsidRPr="00795F17" w:rsidRDefault="00AD1DA1" w:rsidP="00117E86">
      <w:pPr>
        <w:pStyle w:val="Listapunktowana2"/>
      </w:pPr>
      <w:r w:rsidRPr="00795F17">
        <w:t>zidentyfikowanie źródła/źródeł znaczących presji antropogenicznych;</w:t>
      </w:r>
    </w:p>
    <w:p w14:paraId="44FCC2CA" w14:textId="0799B284" w:rsidR="00AD1DA1" w:rsidRPr="00795F17" w:rsidRDefault="00AD1DA1" w:rsidP="00117E86">
      <w:pPr>
        <w:pStyle w:val="Listapunktowana2"/>
      </w:pPr>
      <w:r w:rsidRPr="00795F17">
        <w:t xml:space="preserve">wskazanie </w:t>
      </w:r>
      <w:r w:rsidR="00DF005E">
        <w:t>JCWP</w:t>
      </w:r>
      <w:r w:rsidRPr="00795F17">
        <w:t xml:space="preserve"> z istniejącym ryzykiem nieosiągnięcia wyznaczonych celów środowiskowych.</w:t>
      </w:r>
    </w:p>
    <w:p w14:paraId="2FC986A4" w14:textId="08F77F78" w:rsidR="00AD1DA1" w:rsidRPr="00795F17" w:rsidRDefault="00AD1DA1" w:rsidP="0044393D">
      <w:r w:rsidRPr="00795F17">
        <w:rPr>
          <w:rFonts w:asciiTheme="minorHAnsi" w:hAnsiTheme="minorHAnsi" w:cstheme="minorBidi"/>
        </w:rPr>
        <w:t xml:space="preserve">Analizy wykonywane były dla każdej </w:t>
      </w:r>
      <w:r w:rsidRPr="00795F17">
        <w:t xml:space="preserve">kategorii </w:t>
      </w:r>
      <w:r w:rsidR="00DF005E">
        <w:t>JCWP</w:t>
      </w:r>
      <w:r w:rsidRPr="00795F17">
        <w:t xml:space="preserve"> w zakresie następujących rodzajów presji: </w:t>
      </w:r>
    </w:p>
    <w:p w14:paraId="613F1173" w14:textId="77777777" w:rsidR="00AD1DA1" w:rsidRPr="00117E86" w:rsidRDefault="00AD1DA1" w:rsidP="00117E86">
      <w:pPr>
        <w:pStyle w:val="Listapunktowana2"/>
      </w:pPr>
      <w:r w:rsidRPr="00117E86">
        <w:t>presji wywieranych na stan hydromorfologiczny;</w:t>
      </w:r>
    </w:p>
    <w:p w14:paraId="4B8D5ABE" w14:textId="77777777" w:rsidR="00AD1DA1" w:rsidRPr="00795F17" w:rsidRDefault="00AD1DA1" w:rsidP="00117E86">
      <w:pPr>
        <w:pStyle w:val="Listapunktowana2"/>
      </w:pPr>
      <w:r w:rsidRPr="00795F17">
        <w:t>presji wywieranych na elementy biologiczne;</w:t>
      </w:r>
    </w:p>
    <w:p w14:paraId="08DF0F6E" w14:textId="77777777" w:rsidR="00AD1DA1" w:rsidRPr="00795F17" w:rsidRDefault="00AD1DA1" w:rsidP="00117E86">
      <w:pPr>
        <w:pStyle w:val="Listapunktowana2"/>
      </w:pPr>
      <w:r w:rsidRPr="00795F17">
        <w:t>presji wywieranych na elementy fizykochemiczne;</w:t>
      </w:r>
    </w:p>
    <w:p w14:paraId="705FB1B8" w14:textId="77777777" w:rsidR="00AD1DA1" w:rsidRPr="00795F17" w:rsidRDefault="00AD1DA1" w:rsidP="00117E86">
      <w:pPr>
        <w:pStyle w:val="Listapunktowana2"/>
      </w:pPr>
      <w:r w:rsidRPr="00795F17">
        <w:t xml:space="preserve">presji wywieranych na stan chemiczny; </w:t>
      </w:r>
    </w:p>
    <w:p w14:paraId="2231D9FB" w14:textId="77777777" w:rsidR="00AD1DA1" w:rsidRPr="00795F17" w:rsidRDefault="00AD1DA1" w:rsidP="00117E86">
      <w:pPr>
        <w:pStyle w:val="Listapunktowana2"/>
      </w:pPr>
      <w:r w:rsidRPr="00795F17">
        <w:t>presji wywieranych na zasoby wód powierzchniowych.</w:t>
      </w:r>
    </w:p>
    <w:p w14:paraId="6D8428A7" w14:textId="68BE604A" w:rsidR="00AD1DA1" w:rsidRPr="00795F17" w:rsidRDefault="00AD1DA1" w:rsidP="0044393D">
      <w:r w:rsidRPr="00795F17">
        <w:t xml:space="preserve">Wyznaczenie wartości wskaźników granicznych identyfikujących znaczące presje antropogeniczne pozwoliło na wytypowanie w każdym z powyższych obszarów </w:t>
      </w:r>
      <w:r w:rsidR="00DF005E">
        <w:t>JCWP</w:t>
      </w:r>
      <w:r w:rsidRPr="00795F17">
        <w:t xml:space="preserve"> poddanych określonemu rodzajowi presji antropogenicznej. Sumarycznie, otrzymany wynik identyfikuje wszystkie </w:t>
      </w:r>
      <w:r w:rsidR="00DF005E">
        <w:t>JCWP</w:t>
      </w:r>
      <w:r w:rsidRPr="00795F17">
        <w:t xml:space="preserve"> o zdiagnozowanej presji znaczącej, przy jednoczesnej identyfikacji presji skumulowanej. </w:t>
      </w:r>
    </w:p>
    <w:p w14:paraId="021890E6" w14:textId="704EDBC4" w:rsidR="00AD1DA1" w:rsidRPr="00795F17" w:rsidRDefault="00AD1DA1" w:rsidP="0044393D">
      <w:r w:rsidRPr="00795F17">
        <w:t xml:space="preserve">Uzyskanie wyniku identyfikacji presji znaczącej na poziomie każdej </w:t>
      </w:r>
      <w:r w:rsidR="00DF005E">
        <w:t>JCWP</w:t>
      </w:r>
      <w:r w:rsidRPr="00795F17">
        <w:t xml:space="preserve"> było możliwe, dzięki zastosowaniu metod i narzędzi identyfikacji presji antropogenicznej takich jak m.in.:</w:t>
      </w:r>
    </w:p>
    <w:p w14:paraId="037B6F58" w14:textId="34B79F2A" w:rsidR="00AD1DA1" w:rsidRPr="00795F17" w:rsidRDefault="00B16B1D" w:rsidP="005635FD">
      <w:pPr>
        <w:pStyle w:val="Numerowanie"/>
        <w:numPr>
          <w:ilvl w:val="0"/>
          <w:numId w:val="94"/>
        </w:numPr>
      </w:pPr>
      <w:r>
        <w:t>w</w:t>
      </w:r>
      <w:r w:rsidR="00AD1DA1" w:rsidRPr="00795F17">
        <w:t xml:space="preserve">ykorzystanie właściwości zlewni </w:t>
      </w:r>
      <w:r w:rsidR="00DF005E">
        <w:t>JCWP</w:t>
      </w:r>
      <w:r w:rsidR="00AD1DA1" w:rsidRPr="00795F17">
        <w:t xml:space="preserve"> i </w:t>
      </w:r>
      <w:r w:rsidR="003437E1" w:rsidRPr="003437E1">
        <w:t>przedstawienie ich jako potencjału sorpcyjnego - czyli wrażliwości na presję antropogeniczną</w:t>
      </w:r>
      <w:r w:rsidR="00AD1DA1" w:rsidRPr="00795F17">
        <w:t xml:space="preserve">. Potencjał sorpcyjny </w:t>
      </w:r>
      <w:r w:rsidR="00DF005E">
        <w:t>JCWP</w:t>
      </w:r>
      <w:r w:rsidR="00AD1DA1" w:rsidRPr="00795F17">
        <w:t xml:space="preserve"> jest ilościowym opisem warunków przyrodniczych, w jakich następuje obieg wody i substancji chemicznych zlewni. Poprzez ściśle zdefiniowaną, ilościową klasyfikację właściwości środowiska fizycznogeograficznego decydującego o warunkach ilościowych obiegu wody oraz zaawansowania działań antropogenicznych (np. charakterystyka użytkowania terenu, stopnia przekształcenia</w:t>
      </w:r>
      <w:r w:rsidR="004B099E" w:rsidRPr="00795F17">
        <w:t xml:space="preserve"> </w:t>
      </w:r>
      <w:r w:rsidR="00AD1DA1" w:rsidRPr="00795F17">
        <w:t>struktury hydrograficznej</w:t>
      </w:r>
      <w:r w:rsidR="009C3055">
        <w:t xml:space="preserve">, </w:t>
      </w:r>
      <w:r w:rsidR="00AD1DA1" w:rsidRPr="00795F17">
        <w:t xml:space="preserve">nawożenia) możliwe jest przypisanie każdej zlewni </w:t>
      </w:r>
      <w:r w:rsidR="00DF005E">
        <w:t>JCWP</w:t>
      </w:r>
      <w:r w:rsidR="00AD1DA1" w:rsidRPr="00795F17">
        <w:t xml:space="preserve"> liczbowego określenia potencjału</w:t>
      </w:r>
      <w:r w:rsidR="001E0699" w:rsidRPr="00795F17">
        <w:t xml:space="preserve"> </w:t>
      </w:r>
      <w:r w:rsidR="00AD1DA1" w:rsidRPr="00795F17">
        <w:t xml:space="preserve">sorpcyjnego. Każda zlewnia </w:t>
      </w:r>
      <w:r w:rsidR="00DF005E">
        <w:t>JCWP</w:t>
      </w:r>
      <w:r w:rsidR="00AD1DA1" w:rsidRPr="00795F17">
        <w:t xml:space="preserve"> została zakwalifikowana do ściśle określonej klasy potencjału sorpcyjnego, bazując na sumarycznym indeksie</w:t>
      </w:r>
      <w:r w:rsidR="004E038C" w:rsidRPr="00795F17">
        <w:t xml:space="preserve"> </w:t>
      </w:r>
      <w:r w:rsidR="00AD1DA1" w:rsidRPr="00795F17">
        <w:t>składającym się z sumy indeksów opisujących poszczególne składowe charakteryzujące</w:t>
      </w:r>
      <w:r w:rsidR="00125616" w:rsidRPr="00795F17">
        <w:t xml:space="preserve"> </w:t>
      </w:r>
      <w:r w:rsidR="00AD1DA1" w:rsidRPr="00795F17">
        <w:t>zlewnię</w:t>
      </w:r>
      <w:r w:rsidR="00E021C2">
        <w:t>;</w:t>
      </w:r>
    </w:p>
    <w:p w14:paraId="316B47C2" w14:textId="1EBECC9E" w:rsidR="00AD1DA1" w:rsidRPr="00795F17" w:rsidRDefault="006306D8" w:rsidP="003D7BF3">
      <w:pPr>
        <w:pStyle w:val="Numerowanie"/>
      </w:pPr>
      <w:r>
        <w:t>w</w:t>
      </w:r>
      <w:r w:rsidR="00AD1DA1" w:rsidRPr="00795F17">
        <w:t xml:space="preserve">ykorzystanie zasobów danych o </w:t>
      </w:r>
      <w:r w:rsidR="00D54776" w:rsidRPr="00795F17">
        <w:t xml:space="preserve">presjach hydromorfologicznych na wody powierzchniowe </w:t>
      </w:r>
      <w:r w:rsidR="00AD1DA1" w:rsidRPr="00795F17">
        <w:t xml:space="preserve">(Baza HYMO </w:t>
      </w:r>
      <w:r w:rsidR="00737AEF">
        <w:t>–</w:t>
      </w:r>
      <w:r w:rsidR="00AD1DA1" w:rsidRPr="00795F17">
        <w:t xml:space="preserve"> bazy danych projektu </w:t>
      </w:r>
      <w:r w:rsidR="00AD1DA1" w:rsidRPr="00795F17">
        <w:rPr>
          <w:i/>
          <w:iCs/>
        </w:rPr>
        <w:t>Identyfikacja presji (…)</w:t>
      </w:r>
      <w:r w:rsidR="00AD1DA1" w:rsidRPr="00795F17">
        <w:t>);</w:t>
      </w:r>
      <w:r w:rsidR="00364402" w:rsidRPr="00795F17">
        <w:t xml:space="preserve"> (lokalizacja budowli poprzecznych na</w:t>
      </w:r>
      <w:r w:rsidR="005A2DFA" w:rsidRPr="00795F17">
        <w:t> </w:t>
      </w:r>
      <w:r w:rsidR="00364402" w:rsidRPr="00795F17">
        <w:t xml:space="preserve">obszarze dorzecza Odry przedstawiona została na załączniku graficznym nr </w:t>
      </w:r>
      <w:r w:rsidR="00DD3B75">
        <w:t>53</w:t>
      </w:r>
      <w:r w:rsidR="00364402" w:rsidRPr="00795F17">
        <w:t>);</w:t>
      </w:r>
    </w:p>
    <w:p w14:paraId="5A227494" w14:textId="43CC997B" w:rsidR="006D0DCA" w:rsidRPr="00795F17" w:rsidRDefault="006306D8" w:rsidP="003D7BF3">
      <w:pPr>
        <w:pStyle w:val="Numerowanie"/>
      </w:pPr>
      <w:r>
        <w:t>w</w:t>
      </w:r>
      <w:r w:rsidR="00AD1DA1" w:rsidRPr="00795F17">
        <w:t xml:space="preserve">ykorzystanie zasobów danych o istniejących presjach antropogenicznych (bazy danych projektu </w:t>
      </w:r>
      <w:r w:rsidR="00AD1DA1" w:rsidRPr="00795F17">
        <w:rPr>
          <w:i/>
          <w:iCs/>
        </w:rPr>
        <w:t>Identyfikacja presji (…)</w:t>
      </w:r>
      <w:r w:rsidR="00AD1DA1" w:rsidRPr="00795F17">
        <w:t>), wraz z innymi dodatkowymi bazami danych stanowiącymi źródło informacji w zakresie presji</w:t>
      </w:r>
      <w:r w:rsidR="00D54776" w:rsidRPr="00795F17">
        <w:t>,</w:t>
      </w:r>
      <w:r w:rsidR="00AD1DA1" w:rsidRPr="00795F17">
        <w:t xml:space="preserve"> w tym sprawozdania z wykonania aKPOŚK (2017), E-PRTR 2018;</w:t>
      </w:r>
      <w:r w:rsidR="004D5703" w:rsidRPr="00795F17">
        <w:t xml:space="preserve"> (lokalizacja zakładów przemysłowych bazy E-PRTR przedstawiona została </w:t>
      </w:r>
      <w:r w:rsidR="00200387">
        <w:t xml:space="preserve">w </w:t>
      </w:r>
      <w:r w:rsidR="004D5703" w:rsidRPr="00795F17">
        <w:t xml:space="preserve">załączniku graficznym nr </w:t>
      </w:r>
      <w:r w:rsidR="00504E5B">
        <w:t>50</w:t>
      </w:r>
      <w:r w:rsidR="004D5703" w:rsidRPr="00795F17">
        <w:t>)</w:t>
      </w:r>
      <w:r w:rsidR="006D0DCA" w:rsidRPr="00795F17">
        <w:t>.</w:t>
      </w:r>
    </w:p>
    <w:p w14:paraId="7E103988" w14:textId="446FFDA7" w:rsidR="00C87FE3" w:rsidRPr="00795F17" w:rsidRDefault="006D0DCA" w:rsidP="00194D16">
      <w:pPr>
        <w:ind w:left="360"/>
      </w:pPr>
      <w:r w:rsidRPr="00795F17">
        <w:t>W</w:t>
      </w:r>
      <w:r w:rsidR="00AD1DA1" w:rsidRPr="00795F17">
        <w:t xml:space="preserve"> strukturze bazy </w:t>
      </w:r>
      <w:r w:rsidR="00AD1DA1" w:rsidRPr="00795F17">
        <w:rPr>
          <w:i/>
          <w:iCs/>
        </w:rPr>
        <w:t xml:space="preserve">Identyfikacji </w:t>
      </w:r>
      <w:r w:rsidR="009460FE">
        <w:rPr>
          <w:i/>
          <w:iCs/>
        </w:rPr>
        <w:t>p</w:t>
      </w:r>
      <w:r w:rsidR="00AD1DA1" w:rsidRPr="00795F17">
        <w:rPr>
          <w:i/>
          <w:iCs/>
        </w:rPr>
        <w:t>resji</w:t>
      </w:r>
      <w:r w:rsidR="00AD1DA1" w:rsidRPr="00795F17">
        <w:t xml:space="preserve"> presje antropogeniczne zostały pogrupowane w</w:t>
      </w:r>
      <w:r w:rsidR="00C87FE3" w:rsidRPr="00795F17">
        <w:t> </w:t>
      </w:r>
      <w:r w:rsidR="00AD1DA1" w:rsidRPr="00795F17">
        <w:t>punktowe, rozproszone i</w:t>
      </w:r>
      <w:r w:rsidR="00C87FE3" w:rsidRPr="00795F17">
        <w:t xml:space="preserve"> </w:t>
      </w:r>
      <w:r w:rsidR="00AD1DA1" w:rsidRPr="00795F17">
        <w:t>obszarowe oraz inne (pozostałe) presje antropogeniczne.</w:t>
      </w:r>
    </w:p>
    <w:p w14:paraId="283E1F73" w14:textId="1D771FEB" w:rsidR="00AD1DA1" w:rsidRPr="00795F17" w:rsidRDefault="00AD1DA1" w:rsidP="00411EDF">
      <w:pPr>
        <w:ind w:left="360"/>
      </w:pPr>
      <w:r w:rsidRPr="00795F17">
        <w:t>Kluczowymi danymi w zakresie punktowych źródeł presji są:</w:t>
      </w:r>
    </w:p>
    <w:p w14:paraId="724945E2" w14:textId="010E061F" w:rsidR="00AD1DA1" w:rsidRPr="00795F17" w:rsidRDefault="00AD1DA1" w:rsidP="0050009F">
      <w:pPr>
        <w:pStyle w:val="Listapunktowana3"/>
      </w:pPr>
      <w:r w:rsidRPr="00795F17">
        <w:t>pobory wód powierzchniowych</w:t>
      </w:r>
      <w:r w:rsidR="00257332" w:rsidRPr="00795F17">
        <w:t xml:space="preserve"> (załącznik graficzny nr </w:t>
      </w:r>
      <w:r w:rsidR="008D609D">
        <w:t>48</w:t>
      </w:r>
      <w:r w:rsidR="00257332" w:rsidRPr="00795F17">
        <w:t>)</w:t>
      </w:r>
      <w:r w:rsidRPr="00795F17">
        <w:t>;</w:t>
      </w:r>
    </w:p>
    <w:p w14:paraId="000AD768" w14:textId="56954FDC" w:rsidR="00AD1DA1" w:rsidRPr="00795F17" w:rsidRDefault="00AD1DA1" w:rsidP="0050009F">
      <w:pPr>
        <w:pStyle w:val="Listapunktowana3"/>
      </w:pPr>
      <w:r w:rsidRPr="00795F17">
        <w:t>pobory wód podziemnych</w:t>
      </w:r>
      <w:r w:rsidR="00257332" w:rsidRPr="00795F17">
        <w:t xml:space="preserve"> (załącznik graficzny nr </w:t>
      </w:r>
      <w:r w:rsidR="008D609D">
        <w:t>48</w:t>
      </w:r>
      <w:r w:rsidR="00257332" w:rsidRPr="00795F17">
        <w:t>)</w:t>
      </w:r>
      <w:r w:rsidRPr="00795F17">
        <w:t>;</w:t>
      </w:r>
    </w:p>
    <w:p w14:paraId="3AF65E43" w14:textId="77777777" w:rsidR="00AD1DA1" w:rsidRPr="00795F17" w:rsidRDefault="00AD1DA1" w:rsidP="0050009F">
      <w:pPr>
        <w:pStyle w:val="Listapunktowana3"/>
      </w:pPr>
      <w:r w:rsidRPr="00795F17">
        <w:t>przerzuty wód;</w:t>
      </w:r>
    </w:p>
    <w:p w14:paraId="188B1400" w14:textId="60FBCE17" w:rsidR="00AD1DA1" w:rsidRPr="00795F17" w:rsidRDefault="00AD1DA1" w:rsidP="0050009F">
      <w:pPr>
        <w:pStyle w:val="Listapunktowana3"/>
      </w:pPr>
      <w:r w:rsidRPr="00795F17">
        <w:t>zrzuty ścieków komunalnych</w:t>
      </w:r>
      <w:r w:rsidR="003238F9" w:rsidRPr="00795F17">
        <w:t xml:space="preserve"> (załącznik graficzny nr </w:t>
      </w:r>
      <w:r w:rsidR="008D609D">
        <w:t>47</w:t>
      </w:r>
      <w:r w:rsidR="003238F9" w:rsidRPr="00795F17">
        <w:t>)</w:t>
      </w:r>
      <w:r w:rsidRPr="00795F17">
        <w:t>;</w:t>
      </w:r>
    </w:p>
    <w:p w14:paraId="2A8AF514" w14:textId="19FDC22B" w:rsidR="00AD1DA1" w:rsidRPr="00795F17" w:rsidRDefault="00AD1DA1" w:rsidP="0050009F">
      <w:pPr>
        <w:pStyle w:val="Listapunktowana3"/>
      </w:pPr>
      <w:r w:rsidRPr="00795F17">
        <w:t>zrzuty ścieków bytowych</w:t>
      </w:r>
      <w:r w:rsidR="003238F9" w:rsidRPr="00795F17">
        <w:t xml:space="preserve"> (załącznik graficzny nr </w:t>
      </w:r>
      <w:r w:rsidR="008D609D">
        <w:t>47</w:t>
      </w:r>
      <w:r w:rsidR="003238F9" w:rsidRPr="00795F17">
        <w:t>)</w:t>
      </w:r>
      <w:r w:rsidRPr="00795F17">
        <w:t xml:space="preserve">; </w:t>
      </w:r>
    </w:p>
    <w:p w14:paraId="2FE8D922" w14:textId="0C8B099D" w:rsidR="00AD1DA1" w:rsidRPr="00795F17" w:rsidRDefault="00AD1DA1" w:rsidP="0050009F">
      <w:pPr>
        <w:pStyle w:val="Listapunktowana3"/>
      </w:pPr>
      <w:r w:rsidRPr="00795F17">
        <w:t>zrzuty ścieków przemysłowych</w:t>
      </w:r>
      <w:r w:rsidR="003238F9" w:rsidRPr="00795F17">
        <w:t xml:space="preserve"> (załącznik graficzny nr </w:t>
      </w:r>
      <w:r w:rsidR="008D609D">
        <w:t>47</w:t>
      </w:r>
      <w:r w:rsidR="003238F9" w:rsidRPr="00795F17">
        <w:t>)</w:t>
      </w:r>
      <w:r w:rsidRPr="00795F17">
        <w:t>.</w:t>
      </w:r>
    </w:p>
    <w:p w14:paraId="12DEB12A" w14:textId="1762C7DD" w:rsidR="00AD1DA1" w:rsidRPr="00795F17" w:rsidRDefault="00AD1DA1" w:rsidP="00411EDF">
      <w:pPr>
        <w:ind w:left="360"/>
      </w:pPr>
      <w:r w:rsidRPr="00795F17">
        <w:t xml:space="preserve">Natomiast w zakresie rozproszonych i obszarowych źródeł presji kluczowe dane bazy </w:t>
      </w:r>
      <w:r w:rsidRPr="00411EDF">
        <w:rPr>
          <w:i/>
          <w:iCs/>
        </w:rPr>
        <w:t xml:space="preserve">Identyfikacji </w:t>
      </w:r>
      <w:r w:rsidR="007860FF" w:rsidRPr="00411EDF">
        <w:rPr>
          <w:i/>
          <w:iCs/>
        </w:rPr>
        <w:t>p</w:t>
      </w:r>
      <w:r w:rsidRPr="00411EDF">
        <w:rPr>
          <w:i/>
          <w:iCs/>
        </w:rPr>
        <w:t>resji</w:t>
      </w:r>
      <w:r w:rsidRPr="00795F17">
        <w:t xml:space="preserve"> stanowią:</w:t>
      </w:r>
    </w:p>
    <w:p w14:paraId="043F5A80" w14:textId="77777777" w:rsidR="00AD1DA1" w:rsidRPr="00795F17" w:rsidRDefault="00AD1DA1" w:rsidP="0050009F">
      <w:pPr>
        <w:pStyle w:val="Listapunktowana3"/>
      </w:pPr>
      <w:r w:rsidRPr="00795F17">
        <w:t>zużycie nawozów mineralnych;</w:t>
      </w:r>
    </w:p>
    <w:p w14:paraId="0D7F837F" w14:textId="77777777" w:rsidR="00AD1DA1" w:rsidRPr="00795F17" w:rsidRDefault="00AD1DA1" w:rsidP="0050009F">
      <w:pPr>
        <w:pStyle w:val="Listapunktowana3"/>
      </w:pPr>
      <w:r w:rsidRPr="00795F17">
        <w:t>produkcja nawozów naturalnych;</w:t>
      </w:r>
    </w:p>
    <w:p w14:paraId="6FE44BF1" w14:textId="77777777" w:rsidR="00AD1DA1" w:rsidRPr="00795F17" w:rsidRDefault="00AD1DA1" w:rsidP="0050009F">
      <w:pPr>
        <w:pStyle w:val="Listapunktowana3"/>
      </w:pPr>
      <w:r w:rsidRPr="00795F17">
        <w:t>odpływ miejski;</w:t>
      </w:r>
    </w:p>
    <w:p w14:paraId="24424E38" w14:textId="77777777" w:rsidR="00AD1DA1" w:rsidRPr="00795F17" w:rsidRDefault="00AD1DA1" w:rsidP="0050009F">
      <w:pPr>
        <w:pStyle w:val="Listapunktowana3"/>
      </w:pPr>
      <w:r w:rsidRPr="00795F17">
        <w:t>transport drogowy;</w:t>
      </w:r>
    </w:p>
    <w:p w14:paraId="1EBF82F4" w14:textId="77777777" w:rsidR="00AD1DA1" w:rsidRPr="00795F17" w:rsidRDefault="00AD1DA1" w:rsidP="0050009F">
      <w:pPr>
        <w:pStyle w:val="Listapunktowana3"/>
      </w:pPr>
      <w:r w:rsidRPr="00795F17">
        <w:t>ludność niepodłączona do sieci kanalizacyjnej;</w:t>
      </w:r>
    </w:p>
    <w:p w14:paraId="340F7E7E" w14:textId="77777777" w:rsidR="00AD1DA1" w:rsidRPr="00795F17" w:rsidRDefault="00AD1DA1" w:rsidP="0050009F">
      <w:pPr>
        <w:pStyle w:val="Listapunktowana3"/>
      </w:pPr>
      <w:r w:rsidRPr="00795F17">
        <w:t>depozycja atmosferyczna.</w:t>
      </w:r>
    </w:p>
    <w:p w14:paraId="517475EC" w14:textId="5DA822E1" w:rsidR="00AD1DA1" w:rsidRPr="00795F17" w:rsidRDefault="006D0DCA" w:rsidP="00E01928">
      <w:pPr>
        <w:pStyle w:val="Numerowanie"/>
      </w:pPr>
      <w:r w:rsidRPr="00795F17">
        <w:t>I</w:t>
      </w:r>
      <w:r w:rsidR="00AD1DA1" w:rsidRPr="00795F17">
        <w:t>dentyfikacja presji antropogenicznych na poziomie danych o ładunkach wejściowych.</w:t>
      </w:r>
    </w:p>
    <w:p w14:paraId="7BDCC9E1" w14:textId="6EE146DD" w:rsidR="00AD1DA1" w:rsidRPr="00795F17" w:rsidRDefault="00AD1DA1" w:rsidP="0044393D">
      <w:r w:rsidRPr="00795F17">
        <w:t xml:space="preserve">Suma proponowanych rozwiązań umożliwiła uzyskanie kompleksowego i wiarygodnego wyniku identyfikującego znaczącą presję antropogeniczną. Zastosowanie relacji &lt;identyfikacja presji&gt; </w:t>
      </w:r>
      <w:r w:rsidR="00737AEF">
        <w:t xml:space="preserve">– </w:t>
      </w:r>
      <w:r w:rsidRPr="00795F17">
        <w:t xml:space="preserve">&lt;właściwości zlewni </w:t>
      </w:r>
      <w:r w:rsidR="00DF005E">
        <w:t>JCWP</w:t>
      </w:r>
      <w:r w:rsidRPr="00795F17">
        <w:t xml:space="preserve">&gt; pozwoliło na identyfikację tych </w:t>
      </w:r>
      <w:r w:rsidR="00DF005E">
        <w:t>JCWP</w:t>
      </w:r>
      <w:r w:rsidRPr="00795F17">
        <w:t>, dla których istniejące procesy antropogeniczne są realnym zagrożeniem do utrzymania lub osiągnięcia wyznaczonych celów środowiskowych.</w:t>
      </w:r>
    </w:p>
    <w:p w14:paraId="6039B333" w14:textId="6A57BF34" w:rsidR="00AD1DA1" w:rsidRPr="00795F17" w:rsidRDefault="00AD1DA1" w:rsidP="0044393D">
      <w:r w:rsidRPr="00795F17">
        <w:t xml:space="preserve">Do wyznaczenia poziomu ryzyka nieosiągnięcia celów środowiskowych dla </w:t>
      </w:r>
      <w:r w:rsidR="00DF005E">
        <w:t>JCWP</w:t>
      </w:r>
      <w:r w:rsidRPr="00795F17">
        <w:t xml:space="preserve"> wykorzystane zostały:</w:t>
      </w:r>
    </w:p>
    <w:p w14:paraId="209C8C1D" w14:textId="77777777" w:rsidR="00AD1DA1" w:rsidRPr="00795F17" w:rsidRDefault="00AD1DA1" w:rsidP="00117E86">
      <w:pPr>
        <w:pStyle w:val="Listapunktowana2"/>
      </w:pPr>
      <w:r w:rsidRPr="00795F17">
        <w:t>ocena poziomu presji na elementy biologiczne zależne od elementów fizykochemicznych;</w:t>
      </w:r>
    </w:p>
    <w:p w14:paraId="30B7ED2F" w14:textId="77777777" w:rsidR="00AD1DA1" w:rsidRPr="00795F17" w:rsidRDefault="00AD1DA1" w:rsidP="00117E86">
      <w:pPr>
        <w:pStyle w:val="Listapunktowana2"/>
      </w:pPr>
      <w:r w:rsidRPr="00795F17">
        <w:t>ocena poziomu presji na elementy biologiczne zależne od stanu hydromorfologicznego;</w:t>
      </w:r>
    </w:p>
    <w:p w14:paraId="1B12E3D7" w14:textId="77777777" w:rsidR="00AD1DA1" w:rsidRPr="00795F17" w:rsidRDefault="00AD1DA1" w:rsidP="00117E86">
      <w:pPr>
        <w:pStyle w:val="Listapunktowana2"/>
      </w:pPr>
      <w:r w:rsidRPr="00795F17">
        <w:t>ocena poziomu presji na elementy fizykochemiczne;</w:t>
      </w:r>
    </w:p>
    <w:p w14:paraId="3EBB78AF" w14:textId="77777777" w:rsidR="00AD1DA1" w:rsidRPr="00795F17" w:rsidRDefault="00AD1DA1" w:rsidP="00117E86">
      <w:pPr>
        <w:pStyle w:val="Listapunktowana2"/>
      </w:pPr>
      <w:r w:rsidRPr="00795F17">
        <w:t>ocena poziomu presji na hydromorfologię;</w:t>
      </w:r>
    </w:p>
    <w:p w14:paraId="3911B9A6" w14:textId="77777777" w:rsidR="00AD1DA1" w:rsidRPr="00795F17" w:rsidRDefault="00AD1DA1" w:rsidP="00117E86">
      <w:pPr>
        <w:pStyle w:val="Listapunktowana2"/>
      </w:pPr>
      <w:r w:rsidRPr="00795F17">
        <w:t>ocena poziomu presji na zasoby wodne;</w:t>
      </w:r>
    </w:p>
    <w:p w14:paraId="780BFA9B" w14:textId="77777777" w:rsidR="00AD1DA1" w:rsidRPr="00795F17" w:rsidRDefault="00AD1DA1" w:rsidP="00117E86">
      <w:pPr>
        <w:pStyle w:val="Listapunktowana2"/>
      </w:pPr>
      <w:r w:rsidRPr="00795F17">
        <w:t>ocena poziomu presji na stan chemiczny w zakresie substancji priorytetowych dozwolonych;</w:t>
      </w:r>
    </w:p>
    <w:p w14:paraId="7E99FC53" w14:textId="77777777" w:rsidR="00AD1DA1" w:rsidRPr="00795F17" w:rsidRDefault="00AD1DA1" w:rsidP="00117E86">
      <w:pPr>
        <w:pStyle w:val="Listapunktowana2"/>
      </w:pPr>
      <w:r w:rsidRPr="00795F17">
        <w:t>ocena poziomu presji na stan chemiczny w zakresie substancji priorytetowych zakazanych;</w:t>
      </w:r>
    </w:p>
    <w:p w14:paraId="7471EB45" w14:textId="77777777" w:rsidR="00AD1DA1" w:rsidRPr="00795F17" w:rsidRDefault="00AD1DA1" w:rsidP="00117E86">
      <w:pPr>
        <w:pStyle w:val="Listapunktowana2"/>
      </w:pPr>
      <w:r w:rsidRPr="00795F17">
        <w:t>potencjał sorpcyjny wykorzystany do korekty oceny ryzyka nieosiągnięcia celów środowiskowych.</w:t>
      </w:r>
    </w:p>
    <w:p w14:paraId="7D26BADC" w14:textId="0AD95922" w:rsidR="000123AA" w:rsidRPr="00795F17" w:rsidRDefault="000123AA" w:rsidP="005842B5">
      <w:r w:rsidRPr="00795F17">
        <w:t xml:space="preserve">Uzyskany wynik stanowi określenie poszczególnej </w:t>
      </w:r>
      <w:r w:rsidR="00DF005E">
        <w:t>JCWP</w:t>
      </w:r>
      <w:r w:rsidRPr="00795F17">
        <w:t xml:space="preserve"> jako zagrożonej albo niezagrożonej nieosiągnięciem celu środowiskowego. Za zagrożoną nieosiągnięciem celu środowiskowego uznano każdą </w:t>
      </w:r>
      <w:r w:rsidR="00DF005E">
        <w:t>JCWP</w:t>
      </w:r>
      <w:r w:rsidRPr="00795F17">
        <w:t xml:space="preserve">, w której dla któregokolwiek elementu stanu wód stwierdzono ryzyko nieosiągnięcia celów środowiskowych, przy czym decydującym jest stan elementów biologicznych </w:t>
      </w:r>
      <w:r w:rsidR="00352F18">
        <w:t>–</w:t>
      </w:r>
      <w:r w:rsidRPr="00795F17">
        <w:t xml:space="preserve"> biologicznych zależnych od fizykochemii lub biologicznych zależnych od hydromorfologii. </w:t>
      </w:r>
      <w:r w:rsidR="00116423" w:rsidRPr="00116423">
        <w:t>Tym samym w ocenie ryzyka nieosiągnięcia celów środowiskowych uwzględniona została wspomagająca rola elementów fizykochemicznych i hydromorfologicznych w stosunku do elementów biologicznych</w:t>
      </w:r>
      <w:r w:rsidRPr="00795F17">
        <w:t xml:space="preserve">. </w:t>
      </w:r>
    </w:p>
    <w:p w14:paraId="70496A46" w14:textId="222047FC" w:rsidR="000123AA" w:rsidRPr="00795F17" w:rsidRDefault="000123AA" w:rsidP="005842B5">
      <w:r w:rsidRPr="00795F17">
        <w:t xml:space="preserve">Poziom ryzyka nieosiągnięcia celu środowiskowego odnoszącego się do dobrego stanu/potencjału ekologicznego dla każdej </w:t>
      </w:r>
      <w:r w:rsidR="00DF005E">
        <w:t>JCWP</w:t>
      </w:r>
      <w:r w:rsidRPr="00795F17">
        <w:t xml:space="preserve"> został wyznaczony w pracy </w:t>
      </w:r>
      <w:r w:rsidRPr="00795F17">
        <w:rPr>
          <w:i/>
          <w:iCs/>
        </w:rPr>
        <w:t xml:space="preserve">Analiza znaczących oddziaływań </w:t>
      </w:r>
      <w:r w:rsidR="00737AEF">
        <w:rPr>
          <w:i/>
          <w:iCs/>
        </w:rPr>
        <w:t>–</w:t>
      </w:r>
      <w:r w:rsidRPr="00795F17">
        <w:rPr>
          <w:i/>
          <w:iCs/>
        </w:rPr>
        <w:t xml:space="preserve"> </w:t>
      </w:r>
      <w:r w:rsidR="00DF005E">
        <w:rPr>
          <w:i/>
          <w:iCs/>
        </w:rPr>
        <w:t>JCWP</w:t>
      </w:r>
      <w:r w:rsidRPr="00795F17">
        <w:rPr>
          <w:i/>
          <w:iCs/>
        </w:rPr>
        <w:t xml:space="preserve"> (…)</w:t>
      </w:r>
      <w:r w:rsidR="00A57A31">
        <w:rPr>
          <w:rStyle w:val="Odwoanieprzypisudolnego"/>
          <w:i/>
          <w:iCs/>
        </w:rPr>
        <w:footnoteReference w:id="51"/>
      </w:r>
      <w:r w:rsidRPr="00795F17">
        <w:t>. Uwzględniono zasadę, że elementy biologiczne roślinne (fitoplankton, fitobentos, makrofity) wykazują korelację ze stanem elementów fizykochemicznych, zaś elementy biologiczne zwierzęce (makrobezkręgowce, ichtiofauna) ze stanem hydromorfologii.</w:t>
      </w:r>
      <w:r w:rsidR="00AD1DA1" w:rsidRPr="00795F17">
        <w:t xml:space="preserve"> </w:t>
      </w:r>
    </w:p>
    <w:p w14:paraId="42D47033" w14:textId="32F3A189" w:rsidR="00AD1DA1" w:rsidRPr="00795F17" w:rsidRDefault="00AD1DA1" w:rsidP="005842B5">
      <w:pPr>
        <w:rPr>
          <w:rFonts w:asciiTheme="minorHAnsi" w:hAnsiTheme="minorHAnsi"/>
        </w:rPr>
      </w:pPr>
      <w:r w:rsidRPr="00795F17">
        <w:t xml:space="preserve">Zasadę tę w pełni zastosowano w przypadku </w:t>
      </w:r>
      <w:r w:rsidR="00DF005E">
        <w:t>JCWP</w:t>
      </w:r>
      <w:r w:rsidRPr="00795F17">
        <w:t xml:space="preserve"> RW. W </w:t>
      </w:r>
      <w:r w:rsidR="00DF005E">
        <w:t>JCWP</w:t>
      </w:r>
      <w:r w:rsidRPr="00795F17">
        <w:t xml:space="preserve"> LW, RWr i TW ocena ichtiofauny nie jest korelowana z</w:t>
      </w:r>
      <w:r w:rsidR="000F4FB3" w:rsidRPr="00795F17">
        <w:t xml:space="preserve"> </w:t>
      </w:r>
      <w:r w:rsidRPr="00795F17">
        <w:t>hydromorfologią, gdyż element ten w tych kategoriach wód jest uzależniony od innych czynników niż stan hydromorfologiczny zbiornika wodnego. Zgodnie z wymaganiami RDW w</w:t>
      </w:r>
      <w:r w:rsidR="00FF2C88" w:rsidRPr="00795F17">
        <w:t xml:space="preserve"> </w:t>
      </w:r>
      <w:r w:rsidRPr="00795F17">
        <w:t xml:space="preserve">wodach przybrzeżnych ichtiofauna nie podlega monitoringowi i ocenie. </w:t>
      </w:r>
    </w:p>
    <w:p w14:paraId="6AE11CE8" w14:textId="0A003F78" w:rsidR="00AD1DA1" w:rsidRPr="00795F17" w:rsidRDefault="00AD1DA1" w:rsidP="0044393D">
      <w:r w:rsidRPr="00795F17">
        <w:t>W przypadku substancji priorytetowych i innych substancji zanieczyszczających, ocenę ryzyka nieosiągnięcia celów środowiskowych wykonano odrębnie dla grupy substancji dozwolonych do</w:t>
      </w:r>
      <w:r w:rsidR="00A0552F" w:rsidRPr="00795F17">
        <w:t> </w:t>
      </w:r>
      <w:r w:rsidRPr="00795F17">
        <w:t>obrotu i stosowania oraz grupy substancji zakazanych.</w:t>
      </w:r>
    </w:p>
    <w:p w14:paraId="591EDBF4" w14:textId="77777777" w:rsidR="00AD1DA1" w:rsidRPr="00795F17" w:rsidRDefault="00AD1DA1" w:rsidP="00E01928">
      <w:pPr>
        <w:keepNext/>
      </w:pPr>
      <w:r w:rsidRPr="00795F17">
        <w:t>Natomiast presję znaczącą na stan ilościowy wód wskazywano w przypadku stwierdzenia:</w:t>
      </w:r>
    </w:p>
    <w:p w14:paraId="0FE8FA3B" w14:textId="40FD68B9" w:rsidR="00AD1DA1" w:rsidRPr="00795F17" w:rsidRDefault="00AD1DA1" w:rsidP="00117E86">
      <w:pPr>
        <w:pStyle w:val="Listapunktowana2"/>
      </w:pPr>
      <w:r w:rsidRPr="00795F17">
        <w:t>ryzyka zaniku przepływu, zarówno stwierdzonego w raportach GIOŚ</w:t>
      </w:r>
      <w:r w:rsidR="00382906" w:rsidRPr="00795F17">
        <w:t>,</w:t>
      </w:r>
      <w:r w:rsidRPr="00795F17">
        <w:t xml:space="preserve"> jak również</w:t>
      </w:r>
    </w:p>
    <w:p w14:paraId="77D4740F" w14:textId="77777777" w:rsidR="00AD1DA1" w:rsidRPr="00795F17" w:rsidRDefault="00AD1DA1" w:rsidP="00117E86">
      <w:pPr>
        <w:pStyle w:val="Listapunktowana2"/>
      </w:pPr>
      <w:r w:rsidRPr="00795F17">
        <w:t xml:space="preserve">ryzyka zaniku przepływu zdefiniowanego jako konsekwencja zakończenia odwadniania kopalń. </w:t>
      </w:r>
    </w:p>
    <w:p w14:paraId="2C75605B" w14:textId="30EFC8F8" w:rsidR="00AD1DA1" w:rsidRPr="00795F17" w:rsidRDefault="00382906" w:rsidP="0044393D">
      <w:r w:rsidRPr="00795F17">
        <w:t>P</w:t>
      </w:r>
      <w:r w:rsidR="00AD1DA1" w:rsidRPr="00795F17">
        <w:t xml:space="preserve">resja znacząca była również przypisywana w przypadku łącznego występowania: </w:t>
      </w:r>
    </w:p>
    <w:p w14:paraId="2DFE551B" w14:textId="663E95F5" w:rsidR="00AD1DA1" w:rsidRPr="00795F17" w:rsidRDefault="00AD1DA1" w:rsidP="00117E86">
      <w:pPr>
        <w:pStyle w:val="Listapunktowana2"/>
      </w:pPr>
      <w:r w:rsidRPr="00795F17">
        <w:t xml:space="preserve">ryzyka znaczącej presji poborów wraz z ryzykiem słabego stanu ilościowego </w:t>
      </w:r>
      <w:r w:rsidR="00DF005E">
        <w:t>JCWP</w:t>
      </w:r>
      <w:r w:rsidRPr="00795F17">
        <w:t>d,</w:t>
      </w:r>
    </w:p>
    <w:p w14:paraId="1113C2AE" w14:textId="77777777" w:rsidR="00AD1DA1" w:rsidRPr="00795F17" w:rsidRDefault="00AD1DA1" w:rsidP="00117E86">
      <w:pPr>
        <w:pStyle w:val="Listapunktowana2"/>
      </w:pPr>
      <w:r w:rsidRPr="00795F17">
        <w:t>ryzyka znaczącej presji poborów wraz z ryzykiem silnego lub ekstremalnego zagrożenia suszą,</w:t>
      </w:r>
    </w:p>
    <w:p w14:paraId="3E2046D5" w14:textId="0113B638" w:rsidR="00AD1DA1" w:rsidRPr="00795F17" w:rsidRDefault="00AD1DA1" w:rsidP="00117E86">
      <w:pPr>
        <w:pStyle w:val="Listapunktowana2"/>
      </w:pPr>
      <w:r w:rsidRPr="00795F17">
        <w:t xml:space="preserve">ryzyka słabego stanu ilościowego </w:t>
      </w:r>
      <w:r w:rsidR="00DF005E">
        <w:t>JCWP</w:t>
      </w:r>
      <w:r w:rsidRPr="00795F17">
        <w:t>d wraz z występowaniem silnego lub ekstremalnego zagrożenia suszą.</w:t>
      </w:r>
    </w:p>
    <w:p w14:paraId="774A2700" w14:textId="411AC1DA" w:rsidR="00AD1DA1" w:rsidRPr="00795F17" w:rsidRDefault="00AD1DA1" w:rsidP="0044393D">
      <w:r w:rsidRPr="00795F17">
        <w:t xml:space="preserve">Przeprowadzone analizy presji obejmowały również aspekt występowania obszarów chronionych. Ocena ryzyka nieosiągnięcia celu środowiskowego odnoszącego się do dobrego stanu/potencjału ekologicznego i dobrego stanu chemicznego została przeniesiona z opracowania </w:t>
      </w:r>
      <w:r w:rsidRPr="00795F17">
        <w:rPr>
          <w:i/>
          <w:iCs/>
        </w:rPr>
        <w:t xml:space="preserve">Analiza znaczących oddziaływań </w:t>
      </w:r>
      <w:r w:rsidR="00737AEF">
        <w:rPr>
          <w:i/>
          <w:iCs/>
        </w:rPr>
        <w:t>–</w:t>
      </w:r>
      <w:r w:rsidRPr="00795F17">
        <w:rPr>
          <w:i/>
          <w:iCs/>
        </w:rPr>
        <w:t xml:space="preserve"> </w:t>
      </w:r>
      <w:r w:rsidR="00DF005E">
        <w:rPr>
          <w:i/>
          <w:iCs/>
        </w:rPr>
        <w:t>JCWP</w:t>
      </w:r>
      <w:r w:rsidRPr="00795F17">
        <w:t xml:space="preserve"> </w:t>
      </w:r>
      <w:r w:rsidRPr="00795F17">
        <w:rPr>
          <w:i/>
          <w:iCs/>
        </w:rPr>
        <w:t>(…)</w:t>
      </w:r>
      <w:r w:rsidR="00A57A31">
        <w:rPr>
          <w:rStyle w:val="Odwoanieprzypisudolnego"/>
          <w:i/>
          <w:iCs/>
        </w:rPr>
        <w:footnoteReference w:id="52"/>
      </w:r>
      <w:r w:rsidRPr="00795F17">
        <w:t xml:space="preserve"> z uwzględnieniem nowych danych z PMŚ za 2019 rok wraz z dokonaniem korekty ryzyka o następujące czynniki: </w:t>
      </w:r>
    </w:p>
    <w:p w14:paraId="72C73218" w14:textId="6CF3D28A" w:rsidR="00AD1DA1" w:rsidRPr="00795F17" w:rsidRDefault="003C670D" w:rsidP="00117E86">
      <w:pPr>
        <w:pStyle w:val="Listapunktowana2"/>
      </w:pPr>
      <w:r>
        <w:t>d</w:t>
      </w:r>
      <w:r w:rsidR="00AD1DA1" w:rsidRPr="00795F17">
        <w:t xml:space="preserve">la wód przeznaczonych do poboru wody na potrzeby zaopatrzenia ludności w wodę przeznaczoną do spożycia przez ludzi </w:t>
      </w:r>
      <w:r w:rsidR="00737AEF">
        <w:t>–</w:t>
      </w:r>
      <w:r w:rsidR="00AD1DA1" w:rsidRPr="00795F17">
        <w:t xml:space="preserve"> uwzględnienie obecności zrzutów ścieków powyżej ujęcia;</w:t>
      </w:r>
    </w:p>
    <w:p w14:paraId="5ED9AFBD" w14:textId="6838166F" w:rsidR="00AD1DA1" w:rsidRPr="00795F17" w:rsidRDefault="003C670D" w:rsidP="00117E86">
      <w:pPr>
        <w:pStyle w:val="Listapunktowana2"/>
      </w:pPr>
      <w:r>
        <w:t>d</w:t>
      </w:r>
      <w:r w:rsidR="00AD1DA1" w:rsidRPr="00795F17">
        <w:t xml:space="preserve">la wód przeznaczonych do celów rekreacyjnych, w tym kąpieliskowych </w:t>
      </w:r>
      <w:r w:rsidR="00737AEF">
        <w:t>–</w:t>
      </w:r>
      <w:r w:rsidR="00AD1DA1" w:rsidRPr="00795F17">
        <w:t xml:space="preserve"> uwzględnienie obecności zrzutów ścieków w otoczeniu obszarów, korekta ryzyka w</w:t>
      </w:r>
      <w:r w:rsidR="00302720" w:rsidRPr="00795F17">
        <w:t xml:space="preserve"> </w:t>
      </w:r>
      <w:r w:rsidR="00AD1DA1" w:rsidRPr="00795F17">
        <w:t>zależności od</w:t>
      </w:r>
      <w:r w:rsidR="00302720" w:rsidRPr="00795F17">
        <w:t> </w:t>
      </w:r>
      <w:r w:rsidR="00AD1DA1" w:rsidRPr="00795F17">
        <w:t>występowania w promieniu 1 km przelewów burzowych i zrzutu ścieków</w:t>
      </w:r>
      <w:r>
        <w:t>;</w:t>
      </w:r>
    </w:p>
    <w:p w14:paraId="6037CA96" w14:textId="4285EF7B" w:rsidR="00AD1DA1" w:rsidRPr="00795F17" w:rsidRDefault="003C670D" w:rsidP="00117E86">
      <w:pPr>
        <w:pStyle w:val="Listapunktowana2"/>
      </w:pPr>
      <w:r>
        <w:t>d</w:t>
      </w:r>
      <w:r w:rsidR="00AD1DA1" w:rsidRPr="00795F17">
        <w:t>la obszarów wrażliwych na eutrofizację wywołaną zanieczyszczeniami pochodzącymi ze</w:t>
      </w:r>
      <w:r w:rsidR="00302720" w:rsidRPr="00795F17">
        <w:t> </w:t>
      </w:r>
      <w:r w:rsidR="00AD1DA1" w:rsidRPr="00795F17">
        <w:t>źródeł komunalnych</w:t>
      </w:r>
      <w:r w:rsidR="004274E8">
        <w:t xml:space="preserve"> </w:t>
      </w:r>
      <w:r w:rsidR="004274E8" w:rsidRPr="00A30692">
        <w:rPr>
          <w:shd w:val="clear" w:color="auto" w:fill="FFFFFF"/>
        </w:rPr>
        <w:t>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r w:rsidR="00AD1DA1" w:rsidRPr="00795F17">
        <w:t xml:space="preserve"> </w:t>
      </w:r>
      <w:r w:rsidR="00737AEF">
        <w:t>–</w:t>
      </w:r>
      <w:r w:rsidR="00AD1DA1" w:rsidRPr="00795F17">
        <w:t xml:space="preserve"> analiza danych monitoringowych dla wskaźników fizykochemicznych będących markerami zanieczyszczeń ze źródeł komunalnych </w:t>
      </w:r>
      <w:r w:rsidR="00737AEF">
        <w:t>–</w:t>
      </w:r>
      <w:r w:rsidR="00AD1DA1" w:rsidRPr="00795F17">
        <w:t xml:space="preserve"> BZT</w:t>
      </w:r>
      <w:r w:rsidR="00AD1DA1" w:rsidRPr="00795F17">
        <w:rPr>
          <w:vertAlign w:val="subscript"/>
        </w:rPr>
        <w:t>5</w:t>
      </w:r>
      <w:r w:rsidR="00AD1DA1" w:rsidRPr="00795F17">
        <w:t>, OWO, azot ogólny, fosfor ogólny</w:t>
      </w:r>
      <w:r>
        <w:t>;</w:t>
      </w:r>
    </w:p>
    <w:p w14:paraId="5763D008" w14:textId="1B9470C5" w:rsidR="00AD1DA1" w:rsidRDefault="003C670D" w:rsidP="00117E86">
      <w:pPr>
        <w:pStyle w:val="Listapunktowana2"/>
      </w:pPr>
      <w:r>
        <w:t>d</w:t>
      </w:r>
      <w:r w:rsidR="00AD1DA1" w:rsidRPr="00795F17">
        <w:t>la obszarów przeznaczonych do ochrony siedlisk lub gatunków, ustanowionych w u.o.p</w:t>
      </w:r>
      <w:r w:rsidR="00AC0FF3" w:rsidRPr="00795F17">
        <w:t>.</w:t>
      </w:r>
      <w:r w:rsidR="00AD1DA1" w:rsidRPr="00795F17">
        <w:t>, dla</w:t>
      </w:r>
      <w:r w:rsidR="00A8052F" w:rsidRPr="00795F17">
        <w:t> </w:t>
      </w:r>
      <w:r w:rsidR="00AD1DA1" w:rsidRPr="00795F17">
        <w:t xml:space="preserve">których utrzymanie lub poprawa stanu wód jest ważnym czynnikiem w ich ochronie, ocena ryzyka nieosiągnięcia celów środowiskowych została przeprowadzona zgodnie z kartą metodyczną C3 z pracy </w:t>
      </w:r>
      <w:r w:rsidR="00AD1DA1" w:rsidRPr="00795F17">
        <w:rPr>
          <w:i/>
          <w:iCs/>
        </w:rPr>
        <w:t xml:space="preserve">Analiza znaczących oddziaływań </w:t>
      </w:r>
      <w:r w:rsidR="00737AEF">
        <w:rPr>
          <w:i/>
          <w:iCs/>
        </w:rPr>
        <w:t>–</w:t>
      </w:r>
      <w:r w:rsidR="00AD1DA1" w:rsidRPr="00795F17">
        <w:rPr>
          <w:i/>
          <w:iCs/>
        </w:rPr>
        <w:t xml:space="preserve"> </w:t>
      </w:r>
      <w:r w:rsidR="00DF005E">
        <w:rPr>
          <w:i/>
          <w:iCs/>
        </w:rPr>
        <w:t>JCWP</w:t>
      </w:r>
      <w:r w:rsidR="00AD1DA1" w:rsidRPr="00795F17">
        <w:t xml:space="preserve"> (…)</w:t>
      </w:r>
      <w:r w:rsidR="00A57A31">
        <w:rPr>
          <w:rStyle w:val="Odwoanieprzypisudolnego"/>
        </w:rPr>
        <w:footnoteReference w:id="53"/>
      </w:r>
      <w:r w:rsidR="00AD1DA1" w:rsidRPr="00795F17">
        <w:t>.</w:t>
      </w:r>
    </w:p>
    <w:p w14:paraId="276896D7" w14:textId="62A6E6E9" w:rsidR="0079385A" w:rsidRPr="00795F17" w:rsidRDefault="003E09D2" w:rsidP="00117E86">
      <w:pPr>
        <w:pStyle w:val="Listapunktowana2"/>
      </w:pPr>
      <w:r w:rsidRPr="0014148F">
        <w:t xml:space="preserve">w przypadku obszarów przeznaczonych do ochrony gatunków zwierząt wodnych o znaczeniu gospodarczym dla których </w:t>
      </w:r>
      <w:r>
        <w:t>c</w:t>
      </w:r>
      <w:r w:rsidRPr="00274503">
        <w:t>ele</w:t>
      </w:r>
      <w:r>
        <w:t>m</w:t>
      </w:r>
      <w:r w:rsidRPr="00274503">
        <w:t xml:space="preserve"> </w:t>
      </w:r>
      <w:r>
        <w:t xml:space="preserve">środowiskowym jest zapewnienie drożności cieku dla </w:t>
      </w:r>
      <w:r w:rsidRPr="00F2389B">
        <w:t>migracji gatunków o znaczeniu gospodarczym</w:t>
      </w:r>
      <w:r>
        <w:t xml:space="preserve"> (węgorz europejski, troć wędrowna), czynnikiem decydującym była identyfikacja presji znaczących na elementy biologiczne zależne od hydromorfologii.</w:t>
      </w:r>
    </w:p>
    <w:p w14:paraId="2B30A032" w14:textId="77777777" w:rsidR="00AD1DA1" w:rsidRPr="00795F17" w:rsidRDefault="00AD1DA1" w:rsidP="0044393D">
      <w:r w:rsidRPr="00795F17">
        <w:t>Podczas analizy presji mogących powodować ryzyko nieosiągnięcia celów środowiskowych w danej jcw uwzględnione zostały presje skumulowane:</w:t>
      </w:r>
    </w:p>
    <w:p w14:paraId="037E571D" w14:textId="77777777" w:rsidR="00AD1DA1" w:rsidRPr="00795F17" w:rsidRDefault="00AD1DA1" w:rsidP="00117E86">
      <w:pPr>
        <w:pStyle w:val="Listapunktowana2"/>
      </w:pPr>
      <w:r w:rsidRPr="00795F17">
        <w:t>pochodzące ze źródeł z innych zlewni;</w:t>
      </w:r>
    </w:p>
    <w:p w14:paraId="20E0A8D0" w14:textId="250E58BE" w:rsidR="00AD1DA1" w:rsidRPr="00795F17" w:rsidRDefault="00AD1DA1" w:rsidP="00117E86">
      <w:pPr>
        <w:pStyle w:val="Listapunktowana2"/>
      </w:pPr>
      <w:r w:rsidRPr="00795F17">
        <w:t xml:space="preserve">związane z wpływem zjawisk tj. susza hydrologiczna czy hydrogeologiczna, które mogą istotnie wpłynąć na stan ilościowy i jakościowy </w:t>
      </w:r>
      <w:r w:rsidR="00DF005E">
        <w:t>JCWP</w:t>
      </w:r>
      <w:r w:rsidRPr="00795F17">
        <w:t xml:space="preserve"> oraz powodować trudność we wdrożeniu działań zaplanowanych w ramach IIaPGW, takie jak zaniki przepływu wody. Oddziaływania te mogą negatywnie wpływać na skuteczność zaplanowanego w danej </w:t>
      </w:r>
      <w:r w:rsidR="00DF005E">
        <w:t>JCWP</w:t>
      </w:r>
      <w:r w:rsidRPr="00795F17">
        <w:t xml:space="preserve"> działania;</w:t>
      </w:r>
    </w:p>
    <w:p w14:paraId="65B8ECA8" w14:textId="5E1C5109" w:rsidR="00AD1DA1" w:rsidRPr="00795F17" w:rsidRDefault="00AD1DA1" w:rsidP="00117E86">
      <w:pPr>
        <w:pStyle w:val="Listapunktowana2"/>
      </w:pPr>
      <w:r w:rsidRPr="00795F17">
        <w:t xml:space="preserve">z wodami podziemnymi, które mogą zwiększać ryzyko nieosiągnięcia celów środowiskowych </w:t>
      </w:r>
      <w:r w:rsidR="00DF005E">
        <w:t>JCWP</w:t>
      </w:r>
      <w:r w:rsidRPr="00795F17">
        <w:t xml:space="preserve"> zwłaszcza będących pod presją poborów lub zlokalizowanych w zlewniach bardzo lub</w:t>
      </w:r>
      <w:r w:rsidR="006058C2">
        <w:t> </w:t>
      </w:r>
      <w:r w:rsidRPr="00795F17">
        <w:t>ekstremalnie zagrożonych suszą, w efekcie mogąc powodować także trudność we</w:t>
      </w:r>
      <w:r w:rsidR="006058C2">
        <w:t> </w:t>
      </w:r>
      <w:r w:rsidRPr="00795F17">
        <w:t>wdrożeniu działań zaplanowanych w ramach IIaPGW. Podstawowe dane wykorzystane w</w:t>
      </w:r>
      <w:r w:rsidR="006058C2">
        <w:t> </w:t>
      </w:r>
      <w:r w:rsidRPr="00795F17">
        <w:t>celu analizy oddziaływań skumulowanych dot</w:t>
      </w:r>
      <w:r w:rsidR="008775FD">
        <w:t xml:space="preserve">yczących </w:t>
      </w:r>
      <w:r w:rsidR="00DF005E">
        <w:t>JCWP</w:t>
      </w:r>
      <w:r w:rsidRPr="00795F17">
        <w:t xml:space="preserve">d stanowiła ocena ryzyka nieosiągnięcia celów środowiskowych z punktu widzenia stanu ilościowego </w:t>
      </w:r>
      <w:r w:rsidR="00DF005E">
        <w:t>JCWP</w:t>
      </w:r>
      <w:r w:rsidRPr="00795F17">
        <w:t>d.</w:t>
      </w:r>
    </w:p>
    <w:p w14:paraId="4325C61A" w14:textId="2D29F6AA" w:rsidR="00765EE9" w:rsidRPr="00795F17" w:rsidRDefault="00B469FB" w:rsidP="0044393D">
      <w:r w:rsidRPr="00795F17">
        <w:t xml:space="preserve">Zobrazowanie przestrzenne potencjalnych presji skumulowanych na </w:t>
      </w:r>
      <w:r w:rsidR="00E37154">
        <w:t xml:space="preserve">zasoby wodne </w:t>
      </w:r>
      <w:r w:rsidRPr="00795F17">
        <w:t xml:space="preserve">na obszarze dorzecza Odry przedstawia załącznik graficzny nr </w:t>
      </w:r>
      <w:r w:rsidR="00E050BC">
        <w:t>56</w:t>
      </w:r>
      <w:r w:rsidRPr="00795F17">
        <w:t>.</w:t>
      </w:r>
    </w:p>
    <w:p w14:paraId="025BD29C" w14:textId="77777777" w:rsidR="00AD1DA1" w:rsidRPr="00795F17" w:rsidRDefault="00AD1DA1" w:rsidP="0044393D">
      <w:r w:rsidRPr="00795F17">
        <w:t>Zastosowane podejście metodyczne analizy i identyfikacji presji znaczących pozwoliło na uzyskanie maksymalnie pełnej informacji o presjach występujących na obszarze dorzecza.</w:t>
      </w:r>
    </w:p>
    <w:p w14:paraId="17AB5B87" w14:textId="24D7C339" w:rsidR="00AD1DA1" w:rsidRPr="00795F17" w:rsidRDefault="00AD1DA1" w:rsidP="0044393D">
      <w:r w:rsidRPr="00795F17">
        <w:t>Informacje o uzyskanych wynikach identyfikacji znaczących oddziaływań antropogenicznych</w:t>
      </w:r>
      <w:r w:rsidR="008775FD">
        <w:t xml:space="preserve"> </w:t>
      </w:r>
      <w:r w:rsidRPr="00795F17">
        <w:t>i</w:t>
      </w:r>
      <w:r w:rsidR="008775FD">
        <w:t> </w:t>
      </w:r>
      <w:r w:rsidRPr="00795F17">
        <w:t>oceny ich wpływu na stan wód powierzchniowych w podziale na poszczególne kategorie wód przedstawione zostały poniżej.</w:t>
      </w:r>
    </w:p>
    <w:p w14:paraId="23E30E02" w14:textId="4710559E" w:rsidR="00AD1DA1" w:rsidRPr="00795F17" w:rsidRDefault="00DF005E" w:rsidP="0044393D">
      <w:pPr>
        <w:pStyle w:val="Nagwek5"/>
      </w:pPr>
      <w:r>
        <w:t>JCWP</w:t>
      </w:r>
      <w:r w:rsidR="00AD1DA1" w:rsidRPr="00795F17">
        <w:t xml:space="preserve"> RW </w:t>
      </w:r>
    </w:p>
    <w:p w14:paraId="589D238A" w14:textId="7BC3413E" w:rsidR="00AD1DA1" w:rsidRPr="00795F17" w:rsidRDefault="00AD1DA1" w:rsidP="0044393D">
      <w:r w:rsidRPr="00795F17">
        <w:t xml:space="preserve">Przeprowadzone analizy i identyfikacja znaczących oddziaływań antropogenicznych na </w:t>
      </w:r>
      <w:r w:rsidR="00DF005E">
        <w:t>JCWP</w:t>
      </w:r>
      <w:r w:rsidRPr="00795F17">
        <w:t xml:space="preserve"> RW </w:t>
      </w:r>
      <w:r w:rsidR="008775FD">
        <w:t>na </w:t>
      </w:r>
      <w:r w:rsidRPr="00795F17">
        <w:t xml:space="preserve">obszarze dorzecza </w:t>
      </w:r>
      <w:r w:rsidR="00E65D34" w:rsidRPr="00795F17">
        <w:t>Odry</w:t>
      </w:r>
      <w:r w:rsidRPr="00795F17">
        <w:t xml:space="preserve"> wykazały zagrożenie nieosiągnięciem celów środowiskowych dla 9</w:t>
      </w:r>
      <w:r w:rsidR="00CB46A3" w:rsidRPr="00795F17">
        <w:t>5</w:t>
      </w:r>
      <w:r w:rsidRPr="00795F17">
        <w:t xml:space="preserve">% </w:t>
      </w:r>
      <w:r w:rsidR="00DF005E">
        <w:t>JCWP</w:t>
      </w:r>
      <w:r w:rsidRPr="00795F17">
        <w:t xml:space="preserve"> RW obszaru dorzecza </w:t>
      </w:r>
      <w:r w:rsidR="00CB46A3" w:rsidRPr="00795F17">
        <w:t>Odry</w:t>
      </w:r>
      <w:r w:rsidRPr="00795F17">
        <w:t xml:space="preserve">. Spośród zidentyfikowanych presji znaczących największa liczba </w:t>
      </w:r>
      <w:r w:rsidR="00DF005E">
        <w:t>JCWP</w:t>
      </w:r>
      <w:r w:rsidRPr="00795F17">
        <w:t xml:space="preserve"> RW poddana jest presji na elementy biologiczne zależne od hydromorfologii.</w:t>
      </w:r>
    </w:p>
    <w:p w14:paraId="1F69438B" w14:textId="51D62630" w:rsidR="009353E6" w:rsidRDefault="00AD1DA1" w:rsidP="0044393D">
      <w:r w:rsidRPr="00795F17">
        <w:t xml:space="preserve">Zestawienie liczby </w:t>
      </w:r>
      <w:r w:rsidR="00DF005E">
        <w:t>JCWP</w:t>
      </w:r>
      <w:r w:rsidRPr="00795F17">
        <w:t xml:space="preserve"> RW ze zidentyfikowanymi poszczególnymi kategoriami presji wraz</w:t>
      </w:r>
      <w:r w:rsidR="006058C2">
        <w:t> </w:t>
      </w:r>
      <w:r w:rsidRPr="00795F17">
        <w:t>z</w:t>
      </w:r>
      <w:r w:rsidR="00A0552F" w:rsidRPr="00795F17">
        <w:t> </w:t>
      </w:r>
      <w:r w:rsidRPr="00795F17">
        <w:t xml:space="preserve">określeniem udziału w ogólnej liczbie </w:t>
      </w:r>
      <w:r w:rsidR="00DF005E">
        <w:t>JCWP</w:t>
      </w:r>
      <w:r w:rsidRPr="00795F17">
        <w:t xml:space="preserve"> RW obszaru dorzecza </w:t>
      </w:r>
      <w:r w:rsidR="00F703FD" w:rsidRPr="00795F17">
        <w:t>Odry</w:t>
      </w:r>
      <w:r w:rsidRPr="00795F17">
        <w:t xml:space="preserve"> prezentuje tabela</w:t>
      </w:r>
      <w:r w:rsidR="002C0762" w:rsidRPr="00795F17">
        <w:t xml:space="preserve"> 7-1</w:t>
      </w:r>
      <w:r w:rsidR="000123AA" w:rsidRPr="00795F17">
        <w:t xml:space="preserve"> oraz wykres 7-1</w:t>
      </w:r>
      <w:r w:rsidRPr="00795F17">
        <w:t>.</w:t>
      </w:r>
    </w:p>
    <w:p w14:paraId="00C963EE" w14:textId="77777777" w:rsidR="009353E6" w:rsidRDefault="009353E6">
      <w:pPr>
        <w:suppressAutoHyphens w:val="0"/>
        <w:spacing w:before="0" w:after="0"/>
        <w:jc w:val="left"/>
      </w:pPr>
      <w:r>
        <w:br w:type="page"/>
      </w:r>
    </w:p>
    <w:p w14:paraId="2451003E" w14:textId="6724ECFF" w:rsidR="00AD1DA1" w:rsidRPr="00795F17" w:rsidRDefault="00AD1DA1" w:rsidP="004D7705">
      <w:pPr>
        <w:pStyle w:val="Tabela"/>
        <w:rPr>
          <w:bCs/>
          <w:i/>
        </w:rPr>
      </w:pPr>
      <w:bookmarkStart w:id="307" w:name="_Toc66288070"/>
      <w:bookmarkStart w:id="308" w:name="_Toc66341891"/>
      <w:bookmarkStart w:id="309" w:name="_Toc105512802"/>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1F774D">
        <w:rPr>
          <w:bCs/>
          <w:noProof/>
        </w:rPr>
        <w:t>7</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1F774D">
        <w:rPr>
          <w:bCs/>
          <w:noProof/>
        </w:rPr>
        <w:t>1</w:t>
      </w:r>
      <w:r w:rsidR="00BB3B21" w:rsidRPr="00795F17">
        <w:rPr>
          <w:bCs/>
        </w:rPr>
        <w:fldChar w:fldCharType="end"/>
      </w:r>
      <w:r w:rsidR="00E76356">
        <w:rPr>
          <w:bCs/>
        </w:rPr>
        <w:t>.</w:t>
      </w:r>
      <w:r w:rsidRPr="00795F17">
        <w:rPr>
          <w:bCs/>
        </w:rPr>
        <w:tab/>
      </w:r>
      <w:r w:rsidRPr="00795F17">
        <w:t xml:space="preserve">Podsumowanie analizy znaczących oddziaływań antropogenicznych wraz z oceną ryzyka nieosiągnięcia celów środowiskowych dla </w:t>
      </w:r>
      <w:r w:rsidR="00DF005E">
        <w:t>JCWP</w:t>
      </w:r>
      <w:r w:rsidRPr="00795F17">
        <w:t xml:space="preserve"> RW </w:t>
      </w:r>
      <w:r w:rsidR="00737AEF">
        <w:t>–</w:t>
      </w:r>
      <w:r w:rsidRPr="00795F17">
        <w:t xml:space="preserve"> obszar dorzecza </w:t>
      </w:r>
      <w:bookmarkEnd w:id="307"/>
      <w:r w:rsidR="00F703FD" w:rsidRPr="00795F17">
        <w:t>Odry</w:t>
      </w:r>
      <w:bookmarkEnd w:id="308"/>
      <w:bookmarkEnd w:id="309"/>
    </w:p>
    <w:tbl>
      <w:tblPr>
        <w:tblW w:w="5000" w:type="pct"/>
        <w:tblLayout w:type="fixed"/>
        <w:tblCellMar>
          <w:left w:w="70" w:type="dxa"/>
          <w:right w:w="70" w:type="dxa"/>
        </w:tblCellMar>
        <w:tblLook w:val="04A0" w:firstRow="1" w:lastRow="0" w:firstColumn="1" w:lastColumn="0" w:noHBand="0" w:noVBand="1"/>
      </w:tblPr>
      <w:tblGrid>
        <w:gridCol w:w="991"/>
        <w:gridCol w:w="903"/>
        <w:gridCol w:w="808"/>
        <w:gridCol w:w="814"/>
        <w:gridCol w:w="678"/>
        <w:gridCol w:w="542"/>
        <w:gridCol w:w="946"/>
        <w:gridCol w:w="946"/>
        <w:gridCol w:w="678"/>
        <w:gridCol w:w="544"/>
        <w:gridCol w:w="1212"/>
      </w:tblGrid>
      <w:tr w:rsidR="005934D8" w:rsidRPr="00795F17" w14:paraId="379347FC" w14:textId="77777777" w:rsidTr="00E01928">
        <w:trPr>
          <w:trHeight w:val="454"/>
        </w:trPr>
        <w:tc>
          <w:tcPr>
            <w:tcW w:w="547" w:type="pct"/>
            <w:vMerge w:val="restart"/>
            <w:tcBorders>
              <w:top w:val="single" w:sz="4" w:space="0" w:color="auto"/>
              <w:left w:val="single" w:sz="4" w:space="0" w:color="auto"/>
              <w:right w:val="single" w:sz="4" w:space="0" w:color="auto"/>
            </w:tcBorders>
            <w:shd w:val="clear" w:color="auto" w:fill="BFBFBF" w:themeFill="background1" w:themeFillShade="BF"/>
            <w:tcMar>
              <w:left w:w="28" w:type="dxa"/>
              <w:right w:w="28" w:type="dxa"/>
            </w:tcMar>
            <w:vAlign w:val="center"/>
            <w:hideMark/>
          </w:tcPr>
          <w:p w14:paraId="52830EB5" w14:textId="1CF42C00" w:rsidR="00AD1DA1" w:rsidRPr="00795F17" w:rsidRDefault="00FB15D5" w:rsidP="0044393D">
            <w:pPr>
              <w:pStyle w:val="Teksttabelinaglowek"/>
            </w:pPr>
            <w:r w:rsidRPr="00795F17">
              <w:t>Obszar d</w:t>
            </w:r>
            <w:r w:rsidR="00AD1DA1" w:rsidRPr="00795F17">
              <w:t>orzecz</w:t>
            </w:r>
            <w:r w:rsidRPr="00795F17">
              <w:t>a</w:t>
            </w:r>
          </w:p>
        </w:tc>
        <w:tc>
          <w:tcPr>
            <w:tcW w:w="498" w:type="pct"/>
            <w:vMerge w:val="restart"/>
            <w:tcBorders>
              <w:top w:val="single" w:sz="4" w:space="0" w:color="auto"/>
              <w:left w:val="single" w:sz="4" w:space="0" w:color="auto"/>
              <w:right w:val="single" w:sz="4" w:space="0" w:color="auto"/>
            </w:tcBorders>
            <w:shd w:val="clear" w:color="auto" w:fill="BFBFBF" w:themeFill="background1" w:themeFillShade="BF"/>
            <w:tcMar>
              <w:left w:w="28" w:type="dxa"/>
              <w:right w:w="28" w:type="dxa"/>
            </w:tcMar>
            <w:vAlign w:val="center"/>
            <w:hideMark/>
          </w:tcPr>
          <w:p w14:paraId="08D81AD6" w14:textId="4542A846" w:rsidR="00AD1DA1" w:rsidRPr="00795F17" w:rsidRDefault="00AD1DA1" w:rsidP="0044393D">
            <w:pPr>
              <w:pStyle w:val="Teksttabelinaglowek"/>
            </w:pPr>
            <w:r w:rsidRPr="00795F17">
              <w:t xml:space="preserve">Liczba </w:t>
            </w:r>
            <w:r w:rsidR="00DF005E">
              <w:t>JCWP</w:t>
            </w:r>
            <w:r w:rsidRPr="00795F17">
              <w:t xml:space="preserve"> RW</w:t>
            </w:r>
          </w:p>
        </w:tc>
        <w:tc>
          <w:tcPr>
            <w:tcW w:w="3286" w:type="pct"/>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tcPr>
          <w:p w14:paraId="658A387D" w14:textId="57A059D5" w:rsidR="00AD1DA1" w:rsidRPr="00795F17" w:rsidRDefault="00AD1DA1" w:rsidP="0044393D">
            <w:pPr>
              <w:pStyle w:val="Teksttabelinaglowek"/>
            </w:pPr>
            <w:r w:rsidRPr="00795F17">
              <w:t xml:space="preserve">Liczba </w:t>
            </w:r>
            <w:r w:rsidR="00DF005E">
              <w:t>JCWP</w:t>
            </w:r>
            <w:r w:rsidRPr="00795F17">
              <w:t xml:space="preserve"> RW ze zidentyfikowaną znaczącą presją*</w:t>
            </w:r>
          </w:p>
        </w:tc>
        <w:tc>
          <w:tcPr>
            <w:tcW w:w="669" w:type="pct"/>
            <w:vMerge w:val="restart"/>
            <w:tcBorders>
              <w:top w:val="single" w:sz="4" w:space="0" w:color="auto"/>
              <w:left w:val="single" w:sz="4" w:space="0" w:color="auto"/>
              <w:right w:val="single" w:sz="4" w:space="0" w:color="auto"/>
            </w:tcBorders>
            <w:shd w:val="clear" w:color="auto" w:fill="BFBFBF" w:themeFill="background1" w:themeFillShade="BF"/>
            <w:tcMar>
              <w:left w:w="28" w:type="dxa"/>
              <w:right w:w="28" w:type="dxa"/>
            </w:tcMar>
            <w:vAlign w:val="center"/>
            <w:hideMark/>
          </w:tcPr>
          <w:p w14:paraId="02A60ED2" w14:textId="3933D9D9" w:rsidR="00AD1DA1" w:rsidRPr="00795F17" w:rsidRDefault="00AD1DA1" w:rsidP="0044393D">
            <w:pPr>
              <w:pStyle w:val="Teksttabelinaglowek"/>
            </w:pPr>
            <w:r w:rsidRPr="00795F17">
              <w:t xml:space="preserve">Ocena ryzyka </w:t>
            </w:r>
            <w:r w:rsidR="00AA618A" w:rsidRPr="00795F17">
              <w:t>(</w:t>
            </w:r>
            <w:r w:rsidRPr="00795F17">
              <w:t xml:space="preserve">liczba </w:t>
            </w:r>
            <w:r w:rsidR="00DF005E">
              <w:t>JCWP</w:t>
            </w:r>
            <w:r w:rsidRPr="00795F17">
              <w:t xml:space="preserve"> zagrożonych</w:t>
            </w:r>
            <w:r w:rsidR="00AA618A" w:rsidRPr="00795F17">
              <w:t>)</w:t>
            </w:r>
          </w:p>
        </w:tc>
      </w:tr>
      <w:tr w:rsidR="00A553F4" w:rsidRPr="00795F17" w14:paraId="7F1897A0" w14:textId="77777777" w:rsidTr="00E01928">
        <w:trPr>
          <w:trHeight w:val="454"/>
        </w:trPr>
        <w:tc>
          <w:tcPr>
            <w:tcW w:w="547" w:type="pct"/>
            <w:vMerge/>
            <w:tcBorders>
              <w:left w:val="single" w:sz="4" w:space="0" w:color="auto"/>
              <w:bottom w:val="single" w:sz="4" w:space="0" w:color="auto"/>
              <w:right w:val="single" w:sz="4" w:space="0" w:color="auto"/>
            </w:tcBorders>
            <w:tcMar>
              <w:left w:w="28" w:type="dxa"/>
              <w:right w:w="28" w:type="dxa"/>
            </w:tcMar>
            <w:vAlign w:val="center"/>
            <w:hideMark/>
          </w:tcPr>
          <w:p w14:paraId="283D6325" w14:textId="77777777" w:rsidR="00AD1DA1" w:rsidRPr="00795F17" w:rsidRDefault="00AD1DA1" w:rsidP="0044393D">
            <w:pPr>
              <w:pStyle w:val="Teksttabelinaglowek"/>
            </w:pPr>
          </w:p>
        </w:tc>
        <w:tc>
          <w:tcPr>
            <w:tcW w:w="498" w:type="pct"/>
            <w:vMerge/>
            <w:tcBorders>
              <w:left w:val="single" w:sz="4" w:space="0" w:color="auto"/>
              <w:bottom w:val="single" w:sz="4" w:space="0" w:color="auto"/>
              <w:right w:val="single" w:sz="4" w:space="0" w:color="auto"/>
            </w:tcBorders>
            <w:tcMar>
              <w:left w:w="28" w:type="dxa"/>
              <w:right w:w="28" w:type="dxa"/>
            </w:tcMar>
            <w:vAlign w:val="center"/>
            <w:hideMark/>
          </w:tcPr>
          <w:p w14:paraId="56114FB1" w14:textId="77777777" w:rsidR="00AD1DA1" w:rsidRPr="00795F17" w:rsidRDefault="00AD1DA1" w:rsidP="0044393D">
            <w:pPr>
              <w:pStyle w:val="Teksttabelinaglowek"/>
            </w:pPr>
          </w:p>
        </w:tc>
        <w:tc>
          <w:tcPr>
            <w:tcW w:w="44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left w:w="28" w:type="dxa"/>
              <w:right w:w="28" w:type="dxa"/>
            </w:tcMar>
            <w:vAlign w:val="center"/>
            <w:hideMark/>
          </w:tcPr>
          <w:p w14:paraId="712B1D8D" w14:textId="77777777" w:rsidR="00AD1DA1" w:rsidRPr="00795F17" w:rsidRDefault="00AD1DA1" w:rsidP="0044393D">
            <w:pPr>
              <w:pStyle w:val="Teksttabelinaglowek"/>
            </w:pPr>
            <w:r w:rsidRPr="00795F17">
              <w:t>BIO_HM</w:t>
            </w:r>
          </w:p>
        </w:tc>
        <w:tc>
          <w:tcPr>
            <w:tcW w:w="44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left w:w="28" w:type="dxa"/>
              <w:right w:w="28" w:type="dxa"/>
            </w:tcMar>
            <w:vAlign w:val="center"/>
            <w:hideMark/>
          </w:tcPr>
          <w:p w14:paraId="1E19ABC7" w14:textId="77777777" w:rsidR="00AD1DA1" w:rsidRPr="00795F17" w:rsidRDefault="00AD1DA1" w:rsidP="0044393D">
            <w:pPr>
              <w:pStyle w:val="Teksttabelinaglowek"/>
            </w:pPr>
            <w:r w:rsidRPr="00795F17">
              <w:t>BIO_FIZ</w:t>
            </w:r>
          </w:p>
        </w:tc>
        <w:tc>
          <w:tcPr>
            <w:tcW w:w="374"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left w:w="28" w:type="dxa"/>
              <w:right w:w="28" w:type="dxa"/>
            </w:tcMar>
            <w:vAlign w:val="center"/>
            <w:hideMark/>
          </w:tcPr>
          <w:p w14:paraId="59DFA704" w14:textId="77777777" w:rsidR="00AD1DA1" w:rsidRPr="00795F17" w:rsidRDefault="00AD1DA1" w:rsidP="0044393D">
            <w:pPr>
              <w:pStyle w:val="Teksttabelinaglowek"/>
            </w:pPr>
            <w:r w:rsidRPr="00795F17">
              <w:t>CHEM</w:t>
            </w:r>
          </w:p>
        </w:tc>
        <w:tc>
          <w:tcPr>
            <w:tcW w:w="299"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tcPr>
          <w:p w14:paraId="7417275B" w14:textId="77777777" w:rsidR="00AD1DA1" w:rsidRPr="00795F17" w:rsidRDefault="00AD1DA1" w:rsidP="0044393D">
            <w:pPr>
              <w:pStyle w:val="Teksttabelinaglowek"/>
            </w:pPr>
            <w:r w:rsidRPr="00795F17">
              <w:t>FIZ</w:t>
            </w:r>
          </w:p>
        </w:tc>
        <w:tc>
          <w:tcPr>
            <w:tcW w:w="52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left w:w="28" w:type="dxa"/>
              <w:right w:w="28" w:type="dxa"/>
            </w:tcMar>
            <w:vAlign w:val="center"/>
            <w:hideMark/>
          </w:tcPr>
          <w:p w14:paraId="374DC545" w14:textId="77777777" w:rsidR="00AD1DA1" w:rsidRPr="00795F17" w:rsidRDefault="00AD1DA1" w:rsidP="0044393D">
            <w:pPr>
              <w:pStyle w:val="Teksttabelinaglowek"/>
            </w:pPr>
            <w:r w:rsidRPr="00795F17">
              <w:t>CHEM_B</w:t>
            </w:r>
          </w:p>
        </w:tc>
        <w:tc>
          <w:tcPr>
            <w:tcW w:w="52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left w:w="28" w:type="dxa"/>
              <w:right w:w="28" w:type="dxa"/>
            </w:tcMar>
            <w:vAlign w:val="center"/>
            <w:hideMark/>
          </w:tcPr>
          <w:p w14:paraId="3D95C19B" w14:textId="77777777" w:rsidR="00AD1DA1" w:rsidRPr="00795F17" w:rsidRDefault="00AD1DA1" w:rsidP="0044393D">
            <w:pPr>
              <w:pStyle w:val="Teksttabelinaglowek"/>
            </w:pPr>
            <w:r w:rsidRPr="00795F17">
              <w:t>CHEM_SZ</w:t>
            </w:r>
          </w:p>
        </w:tc>
        <w:tc>
          <w:tcPr>
            <w:tcW w:w="374"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left w:w="28" w:type="dxa"/>
              <w:right w:w="28" w:type="dxa"/>
            </w:tcMar>
            <w:vAlign w:val="center"/>
            <w:hideMark/>
          </w:tcPr>
          <w:p w14:paraId="35313379" w14:textId="77777777" w:rsidR="00AD1DA1" w:rsidRPr="00795F17" w:rsidRDefault="00AD1DA1" w:rsidP="0044393D">
            <w:pPr>
              <w:pStyle w:val="Teksttabelinaglowek"/>
            </w:pPr>
            <w:r w:rsidRPr="00795F17">
              <w:t>OCH</w:t>
            </w:r>
          </w:p>
        </w:tc>
        <w:tc>
          <w:tcPr>
            <w:tcW w:w="300"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left w:w="28" w:type="dxa"/>
              <w:right w:w="28" w:type="dxa"/>
            </w:tcMar>
            <w:vAlign w:val="center"/>
            <w:hideMark/>
          </w:tcPr>
          <w:p w14:paraId="3B906C78" w14:textId="77777777" w:rsidR="00AD1DA1" w:rsidRPr="00795F17" w:rsidRDefault="00AD1DA1" w:rsidP="0044393D">
            <w:pPr>
              <w:pStyle w:val="Teksttabelinaglowek"/>
            </w:pPr>
            <w:r w:rsidRPr="00795F17">
              <w:t>IL</w:t>
            </w:r>
          </w:p>
        </w:tc>
        <w:tc>
          <w:tcPr>
            <w:tcW w:w="669" w:type="pct"/>
            <w:vMerge/>
            <w:tcBorders>
              <w:left w:val="single" w:sz="4" w:space="0" w:color="auto"/>
              <w:bottom w:val="single" w:sz="4" w:space="0" w:color="auto"/>
              <w:right w:val="single" w:sz="4" w:space="0" w:color="auto"/>
            </w:tcBorders>
            <w:tcMar>
              <w:left w:w="28" w:type="dxa"/>
              <w:right w:w="28" w:type="dxa"/>
            </w:tcMar>
            <w:vAlign w:val="center"/>
            <w:hideMark/>
          </w:tcPr>
          <w:p w14:paraId="2E9E0452" w14:textId="77777777" w:rsidR="00AD1DA1" w:rsidRPr="00795F17" w:rsidRDefault="00AD1DA1" w:rsidP="0044393D">
            <w:pPr>
              <w:pStyle w:val="Teksttabelinaglowek"/>
            </w:pPr>
          </w:p>
        </w:tc>
      </w:tr>
      <w:tr w:rsidR="001D565B" w:rsidRPr="00795F17" w14:paraId="0E028311" w14:textId="77777777" w:rsidTr="00E01928">
        <w:trPr>
          <w:trHeight w:val="454"/>
        </w:trPr>
        <w:tc>
          <w:tcPr>
            <w:tcW w:w="547"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D7DCD28" w14:textId="328DFC69" w:rsidR="00CB46A3" w:rsidRPr="00795F17" w:rsidRDefault="00CB46A3" w:rsidP="0065243A">
            <w:pPr>
              <w:pStyle w:val="Teksttabelisrodek"/>
            </w:pPr>
            <w:r w:rsidRPr="00795F17">
              <w:t>Odr</w:t>
            </w:r>
            <w:r w:rsidR="00A0552F" w:rsidRPr="00795F17">
              <w:t>a</w:t>
            </w:r>
          </w:p>
        </w:tc>
        <w:tc>
          <w:tcPr>
            <w:tcW w:w="49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0E347770" w14:textId="6243BA57" w:rsidR="00CB46A3" w:rsidRPr="00795F17" w:rsidRDefault="00CB46A3" w:rsidP="0065243A">
            <w:pPr>
              <w:pStyle w:val="Teksttabelisrodek"/>
            </w:pPr>
            <w:r w:rsidRPr="00795F17">
              <w:t>1</w:t>
            </w:r>
            <w:r w:rsidR="00C54561" w:rsidRPr="00795F17">
              <w:t> </w:t>
            </w:r>
            <w:r w:rsidRPr="00795F17">
              <w:t>272</w:t>
            </w:r>
          </w:p>
        </w:tc>
        <w:tc>
          <w:tcPr>
            <w:tcW w:w="44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0DD6B990" w14:textId="71796991" w:rsidR="00CB46A3" w:rsidRPr="00795F17" w:rsidRDefault="00CB46A3" w:rsidP="0065243A">
            <w:pPr>
              <w:pStyle w:val="Teksttabelisrodek"/>
            </w:pPr>
            <w:r w:rsidRPr="00795F17">
              <w:t>1</w:t>
            </w:r>
            <w:r w:rsidR="00C54561" w:rsidRPr="00795F17">
              <w:t> </w:t>
            </w:r>
            <w:r w:rsidRPr="00795F17">
              <w:t>0</w:t>
            </w:r>
            <w:r w:rsidR="00253F77">
              <w:t>18</w:t>
            </w:r>
          </w:p>
        </w:tc>
        <w:tc>
          <w:tcPr>
            <w:tcW w:w="44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019993CC" w14:textId="1CA2CA27" w:rsidR="00CB46A3" w:rsidRPr="00795F17" w:rsidRDefault="00F52B5D" w:rsidP="0065243A">
            <w:pPr>
              <w:pStyle w:val="Teksttabelisrodek"/>
            </w:pPr>
            <w:r>
              <w:t>448</w:t>
            </w:r>
          </w:p>
        </w:tc>
        <w:tc>
          <w:tcPr>
            <w:tcW w:w="37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BC79B59" w14:textId="4E024156" w:rsidR="00CB46A3" w:rsidRPr="00795F17" w:rsidRDefault="009D4151" w:rsidP="0065243A">
            <w:pPr>
              <w:pStyle w:val="Teksttabelisrodek"/>
            </w:pPr>
            <w:r>
              <w:t>503</w:t>
            </w:r>
          </w:p>
        </w:tc>
        <w:tc>
          <w:tcPr>
            <w:tcW w:w="299" w:type="pct"/>
            <w:tcBorders>
              <w:top w:val="single" w:sz="4" w:space="0" w:color="auto"/>
              <w:left w:val="nil"/>
              <w:bottom w:val="single" w:sz="4" w:space="0" w:color="auto"/>
              <w:right w:val="single" w:sz="4" w:space="0" w:color="auto"/>
            </w:tcBorders>
            <w:tcMar>
              <w:left w:w="28" w:type="dxa"/>
              <w:right w:w="28" w:type="dxa"/>
            </w:tcMar>
            <w:vAlign w:val="center"/>
          </w:tcPr>
          <w:p w14:paraId="339FA5E9" w14:textId="27936316" w:rsidR="00CB46A3" w:rsidRPr="002E2D87" w:rsidRDefault="002D281F" w:rsidP="0065243A">
            <w:pPr>
              <w:pStyle w:val="Teksttabelisrodek"/>
            </w:pPr>
            <w:r>
              <w:t>769</w:t>
            </w:r>
          </w:p>
        </w:tc>
        <w:tc>
          <w:tcPr>
            <w:tcW w:w="52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EACB556" w14:textId="2D763219" w:rsidR="00CB46A3" w:rsidRPr="00795F17" w:rsidRDefault="00CB46A3" w:rsidP="0065243A">
            <w:pPr>
              <w:pStyle w:val="Teksttabelisrodek"/>
            </w:pPr>
            <w:r w:rsidRPr="00795F17">
              <w:t>37</w:t>
            </w:r>
            <w:r w:rsidR="009D4151">
              <w:t>7</w:t>
            </w:r>
          </w:p>
        </w:tc>
        <w:tc>
          <w:tcPr>
            <w:tcW w:w="52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12B567FB" w14:textId="621C819C" w:rsidR="00CB46A3" w:rsidRPr="00795F17" w:rsidRDefault="00212B02" w:rsidP="0065243A">
            <w:pPr>
              <w:pStyle w:val="Teksttabelisrodek"/>
            </w:pPr>
            <w:r>
              <w:t>11</w:t>
            </w:r>
          </w:p>
        </w:tc>
        <w:tc>
          <w:tcPr>
            <w:tcW w:w="37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462C373" w14:textId="5F9C949F" w:rsidR="00CB46A3" w:rsidRPr="00795F17" w:rsidRDefault="00CB46A3" w:rsidP="0065243A">
            <w:pPr>
              <w:pStyle w:val="Teksttabelisrodek"/>
            </w:pPr>
            <w:r w:rsidRPr="00795F17">
              <w:t>1</w:t>
            </w:r>
            <w:r w:rsidR="00C54561" w:rsidRPr="00795F17">
              <w:t> </w:t>
            </w:r>
            <w:r w:rsidRPr="00795F17">
              <w:t>12</w:t>
            </w:r>
            <w:r w:rsidR="00D01FB1">
              <w:t>7</w:t>
            </w:r>
          </w:p>
        </w:tc>
        <w:tc>
          <w:tcPr>
            <w:tcW w:w="300"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6BF1069D" w14:textId="5B0E62B7" w:rsidR="00CB46A3" w:rsidRPr="00795F17" w:rsidRDefault="007B1246" w:rsidP="0065243A">
            <w:pPr>
              <w:pStyle w:val="Teksttabelisrodek"/>
            </w:pPr>
            <w:r w:rsidRPr="00795F17">
              <w:t>16</w:t>
            </w:r>
            <w:r w:rsidR="00CD615A">
              <w:t>7</w:t>
            </w:r>
          </w:p>
        </w:tc>
        <w:tc>
          <w:tcPr>
            <w:tcW w:w="6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1897AE32" w14:textId="76651B7A" w:rsidR="00CB46A3" w:rsidRPr="00795F17" w:rsidRDefault="00CB46A3" w:rsidP="0065243A">
            <w:pPr>
              <w:pStyle w:val="Teksttabelisrodek"/>
            </w:pPr>
            <w:r w:rsidRPr="00795F17">
              <w:t>1</w:t>
            </w:r>
            <w:r w:rsidR="00C54561" w:rsidRPr="00795F17">
              <w:t> </w:t>
            </w:r>
            <w:r w:rsidRPr="00795F17">
              <w:t>2</w:t>
            </w:r>
            <w:r w:rsidR="00B53E91">
              <w:t>05</w:t>
            </w:r>
          </w:p>
        </w:tc>
      </w:tr>
      <w:tr w:rsidR="005E3681" w:rsidRPr="00795F17" w14:paraId="4076DC52" w14:textId="77777777" w:rsidTr="00E01928">
        <w:trPr>
          <w:trHeight w:val="454"/>
        </w:trPr>
        <w:tc>
          <w:tcPr>
            <w:tcW w:w="104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left w:w="28" w:type="dxa"/>
              <w:right w:w="28" w:type="dxa"/>
            </w:tcMar>
            <w:vAlign w:val="center"/>
          </w:tcPr>
          <w:p w14:paraId="116AE0EB" w14:textId="4C6C5715" w:rsidR="005E3681" w:rsidRPr="00A738DC" w:rsidRDefault="005E3681" w:rsidP="005E3681">
            <w:pPr>
              <w:pStyle w:val="Teksttabelisrodek"/>
              <w:rPr>
                <w:b/>
              </w:rPr>
            </w:pPr>
            <w:r w:rsidRPr="00A738DC">
              <w:rPr>
                <w:b/>
              </w:rPr>
              <w:t xml:space="preserve">Udział w ogólnej liczbie </w:t>
            </w:r>
            <w:r w:rsidR="00DF005E">
              <w:rPr>
                <w:b/>
              </w:rPr>
              <w:t>JCWP</w:t>
            </w:r>
            <w:r w:rsidRPr="00A738DC">
              <w:rPr>
                <w:b/>
              </w:rPr>
              <w:t xml:space="preserve"> RW (%)</w:t>
            </w:r>
          </w:p>
        </w:tc>
        <w:tc>
          <w:tcPr>
            <w:tcW w:w="446" w:type="pct"/>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4C43649F" w14:textId="1F0A5AFA" w:rsidR="005E3681" w:rsidRPr="00A738DC" w:rsidRDefault="005E3681" w:rsidP="005E3681">
            <w:pPr>
              <w:pStyle w:val="Teksttabelisrodek"/>
              <w:rPr>
                <w:b/>
              </w:rPr>
            </w:pPr>
            <w:r>
              <w:rPr>
                <w:rFonts w:cs="Calibri"/>
                <w:b/>
                <w:bCs w:val="0"/>
                <w:szCs w:val="20"/>
              </w:rPr>
              <w:t>80</w:t>
            </w:r>
          </w:p>
        </w:tc>
        <w:tc>
          <w:tcPr>
            <w:tcW w:w="449" w:type="pct"/>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50780C04" w14:textId="6B50EFA0" w:rsidR="005E3681" w:rsidRPr="00A738DC" w:rsidRDefault="005E3681" w:rsidP="005E3681">
            <w:pPr>
              <w:pStyle w:val="Teksttabelisrodek"/>
              <w:rPr>
                <w:b/>
              </w:rPr>
            </w:pPr>
            <w:r>
              <w:rPr>
                <w:rFonts w:cs="Calibri"/>
                <w:b/>
                <w:bCs w:val="0"/>
                <w:szCs w:val="20"/>
              </w:rPr>
              <w:t>35</w:t>
            </w:r>
          </w:p>
        </w:tc>
        <w:tc>
          <w:tcPr>
            <w:tcW w:w="374" w:type="pct"/>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2871D0A5" w14:textId="1B05BFEB" w:rsidR="005E3681" w:rsidRPr="00A738DC" w:rsidRDefault="005E3681" w:rsidP="005E3681">
            <w:pPr>
              <w:pStyle w:val="Teksttabelisrodek"/>
              <w:rPr>
                <w:b/>
              </w:rPr>
            </w:pPr>
            <w:r>
              <w:rPr>
                <w:rFonts w:cs="Calibri"/>
                <w:b/>
                <w:bCs w:val="0"/>
                <w:szCs w:val="20"/>
              </w:rPr>
              <w:t>40</w:t>
            </w:r>
          </w:p>
        </w:tc>
        <w:tc>
          <w:tcPr>
            <w:tcW w:w="299" w:type="pct"/>
            <w:tcBorders>
              <w:top w:val="single" w:sz="4" w:space="0" w:color="auto"/>
              <w:left w:val="nil"/>
              <w:bottom w:val="single" w:sz="4" w:space="0" w:color="auto"/>
              <w:right w:val="single" w:sz="4" w:space="0" w:color="auto"/>
            </w:tcBorders>
            <w:shd w:val="clear" w:color="auto" w:fill="BFBFBF" w:themeFill="background1" w:themeFillShade="BF"/>
            <w:tcMar>
              <w:left w:w="28" w:type="dxa"/>
              <w:right w:w="28" w:type="dxa"/>
            </w:tcMar>
            <w:vAlign w:val="center"/>
          </w:tcPr>
          <w:p w14:paraId="315DFF97" w14:textId="46A05856" w:rsidR="005E3681" w:rsidRPr="002E2D87" w:rsidRDefault="005E3681" w:rsidP="005E3681">
            <w:pPr>
              <w:pStyle w:val="Teksttabelisrodek"/>
              <w:rPr>
                <w:b/>
              </w:rPr>
            </w:pPr>
            <w:r>
              <w:rPr>
                <w:rFonts w:cs="Calibri"/>
                <w:b/>
                <w:bCs w:val="0"/>
                <w:szCs w:val="20"/>
              </w:rPr>
              <w:t>60</w:t>
            </w:r>
          </w:p>
        </w:tc>
        <w:tc>
          <w:tcPr>
            <w:tcW w:w="52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left w:w="28" w:type="dxa"/>
              <w:right w:w="28" w:type="dxa"/>
            </w:tcMar>
            <w:vAlign w:val="center"/>
          </w:tcPr>
          <w:p w14:paraId="7E231FCA" w14:textId="1069BD67" w:rsidR="005E3681" w:rsidRPr="00A738DC" w:rsidRDefault="005E3681" w:rsidP="005E3681">
            <w:pPr>
              <w:pStyle w:val="Teksttabelisrodek"/>
              <w:rPr>
                <w:b/>
              </w:rPr>
            </w:pPr>
            <w:r>
              <w:rPr>
                <w:rFonts w:cs="Calibri"/>
                <w:b/>
                <w:bCs w:val="0"/>
                <w:szCs w:val="20"/>
              </w:rPr>
              <w:t>30</w:t>
            </w:r>
          </w:p>
        </w:tc>
        <w:tc>
          <w:tcPr>
            <w:tcW w:w="522" w:type="pct"/>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248783B7" w14:textId="4393C9F2" w:rsidR="005E3681" w:rsidRPr="00A738DC" w:rsidRDefault="005E3681" w:rsidP="005E3681">
            <w:pPr>
              <w:pStyle w:val="Teksttabelisrodek"/>
              <w:rPr>
                <w:b/>
              </w:rPr>
            </w:pPr>
            <w:r>
              <w:rPr>
                <w:rFonts w:cs="Calibri"/>
                <w:b/>
                <w:bCs w:val="0"/>
                <w:szCs w:val="20"/>
              </w:rPr>
              <w:t>1</w:t>
            </w:r>
          </w:p>
        </w:tc>
        <w:tc>
          <w:tcPr>
            <w:tcW w:w="374" w:type="pct"/>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7DD4DCB7" w14:textId="17B7253A" w:rsidR="005E3681" w:rsidRPr="00A738DC" w:rsidRDefault="005E3681" w:rsidP="005E3681">
            <w:pPr>
              <w:pStyle w:val="Teksttabelisrodek"/>
              <w:rPr>
                <w:b/>
              </w:rPr>
            </w:pPr>
            <w:r>
              <w:rPr>
                <w:rFonts w:cs="Calibri"/>
                <w:b/>
                <w:bCs w:val="0"/>
                <w:szCs w:val="20"/>
              </w:rPr>
              <w:t>89</w:t>
            </w:r>
          </w:p>
        </w:tc>
        <w:tc>
          <w:tcPr>
            <w:tcW w:w="300" w:type="pct"/>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6A24657E" w14:textId="681BF384" w:rsidR="005E3681" w:rsidRPr="00A738DC" w:rsidRDefault="005E3681" w:rsidP="005E3681">
            <w:pPr>
              <w:pStyle w:val="Teksttabelisrodek"/>
              <w:rPr>
                <w:b/>
              </w:rPr>
            </w:pPr>
            <w:r>
              <w:rPr>
                <w:rFonts w:cs="Calibri"/>
                <w:b/>
                <w:bCs w:val="0"/>
                <w:szCs w:val="20"/>
              </w:rPr>
              <w:t>13</w:t>
            </w:r>
          </w:p>
        </w:tc>
        <w:tc>
          <w:tcPr>
            <w:tcW w:w="669" w:type="pct"/>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11568D49" w14:textId="1359F9CE" w:rsidR="005E3681" w:rsidRPr="00A738DC" w:rsidRDefault="005E3681" w:rsidP="005E3681">
            <w:pPr>
              <w:pStyle w:val="Teksttabelisrodek"/>
              <w:rPr>
                <w:b/>
              </w:rPr>
            </w:pPr>
            <w:r>
              <w:rPr>
                <w:rFonts w:cs="Calibri"/>
                <w:b/>
                <w:bCs w:val="0"/>
                <w:szCs w:val="20"/>
              </w:rPr>
              <w:t>95</w:t>
            </w:r>
          </w:p>
        </w:tc>
      </w:tr>
    </w:tbl>
    <w:p w14:paraId="1AF64EA8" w14:textId="258558FE" w:rsidR="00A509A2" w:rsidRPr="009F7F19" w:rsidRDefault="00A509A2" w:rsidP="00E01928">
      <w:pPr>
        <w:pStyle w:val="Tabela-wyjasnieniapod"/>
        <w:spacing w:before="0" w:after="0"/>
        <w:rPr>
          <w:i w:val="0"/>
        </w:rPr>
      </w:pPr>
      <w:r w:rsidRPr="00E25C17">
        <w:rPr>
          <w:i w:val="0"/>
        </w:rPr>
        <w:t>Objaśnienia:</w:t>
      </w:r>
    </w:p>
    <w:p w14:paraId="590F4452" w14:textId="7E47A16A" w:rsidR="00366000" w:rsidRPr="00795F17" w:rsidRDefault="00366000" w:rsidP="00E01928">
      <w:pPr>
        <w:pStyle w:val="Tabela-wyjasnieniapod"/>
        <w:spacing w:before="0" w:after="0"/>
      </w:pPr>
      <w:r w:rsidRPr="00795F17">
        <w:t xml:space="preserve">*Wskazane wartości oznaczają liczbę </w:t>
      </w:r>
      <w:r w:rsidR="00DF005E">
        <w:t>JCWP</w:t>
      </w:r>
      <w:r w:rsidRPr="00795F17">
        <w:t xml:space="preserve"> ze zidentyfikowanym danym rodzajem presji znaczącej. Presje znaczące występować mogą łącznie w </w:t>
      </w:r>
      <w:r w:rsidR="00DF005E">
        <w:t>JCWP</w:t>
      </w:r>
      <w:r w:rsidRPr="00795F17">
        <w:t>.</w:t>
      </w:r>
    </w:p>
    <w:p w14:paraId="39BCF3BA" w14:textId="76005AEE" w:rsidR="00366000" w:rsidRPr="00795F17" w:rsidRDefault="00366000" w:rsidP="00E01928">
      <w:pPr>
        <w:pStyle w:val="Tabela-wyjasnieniapod"/>
        <w:spacing w:before="0" w:after="0"/>
      </w:pPr>
      <w:r w:rsidRPr="00795F17">
        <w:rPr>
          <w:b/>
          <w:bCs/>
        </w:rPr>
        <w:t>BIO_HM</w:t>
      </w:r>
      <w:r w:rsidRPr="00795F17">
        <w:t xml:space="preserve"> </w:t>
      </w:r>
      <w:r w:rsidR="00F53EDF">
        <w:t>–</w:t>
      </w:r>
      <w:r w:rsidRPr="00795F17">
        <w:t xml:space="preserve"> presja na elementy biologiczne zależne od hydromorfologii</w:t>
      </w:r>
    </w:p>
    <w:p w14:paraId="20DEFCAA" w14:textId="06AD503B" w:rsidR="00366000" w:rsidRPr="00795F17" w:rsidRDefault="00366000" w:rsidP="00E01928">
      <w:pPr>
        <w:pStyle w:val="Tabela-wyjasnieniapod"/>
        <w:spacing w:before="0" w:after="0"/>
      </w:pPr>
      <w:r w:rsidRPr="00795F17">
        <w:rPr>
          <w:b/>
          <w:bCs/>
        </w:rPr>
        <w:t>BIO_FIZ</w:t>
      </w:r>
      <w:r w:rsidRPr="00795F17">
        <w:t xml:space="preserve"> </w:t>
      </w:r>
      <w:r w:rsidR="00F53EDF">
        <w:t>–</w:t>
      </w:r>
      <w:r w:rsidRPr="00795F17">
        <w:t xml:space="preserve"> presja na elementy biologiczne zależne od fizykochemii</w:t>
      </w:r>
    </w:p>
    <w:p w14:paraId="258FD449" w14:textId="41EB8CF9" w:rsidR="00366000" w:rsidRPr="00795F17" w:rsidRDefault="00366000" w:rsidP="00E01928">
      <w:pPr>
        <w:pStyle w:val="Tabela-wyjasnieniapod"/>
        <w:spacing w:before="0" w:after="0"/>
      </w:pPr>
      <w:r w:rsidRPr="00795F17">
        <w:rPr>
          <w:b/>
          <w:bCs/>
        </w:rPr>
        <w:t xml:space="preserve">FIZ </w:t>
      </w:r>
      <w:r w:rsidR="00F53EDF">
        <w:t>–</w:t>
      </w:r>
      <w:r w:rsidRPr="00795F17">
        <w:t xml:space="preserve"> presja na elementy fizykochemiczne</w:t>
      </w:r>
    </w:p>
    <w:p w14:paraId="19CFB5C9" w14:textId="048C0660" w:rsidR="00366000" w:rsidRPr="00795F17" w:rsidRDefault="00366000" w:rsidP="00E01928">
      <w:pPr>
        <w:pStyle w:val="Tabela-wyjasnieniapod"/>
        <w:spacing w:before="0" w:after="0"/>
      </w:pPr>
      <w:r w:rsidRPr="00795F17">
        <w:rPr>
          <w:b/>
          <w:bCs/>
        </w:rPr>
        <w:t>CHEM</w:t>
      </w:r>
      <w:r w:rsidRPr="00795F17">
        <w:t xml:space="preserve"> </w:t>
      </w:r>
      <w:r w:rsidR="00F53EDF">
        <w:t>–</w:t>
      </w:r>
      <w:r w:rsidRPr="00795F17">
        <w:t xml:space="preserve"> presja na cechy chemiczne (woda, substancje dozwolone)</w:t>
      </w:r>
    </w:p>
    <w:p w14:paraId="507D9B83" w14:textId="0ADD4328" w:rsidR="00366000" w:rsidRPr="00795F17" w:rsidRDefault="00366000" w:rsidP="00E01928">
      <w:pPr>
        <w:pStyle w:val="Tabela-wyjasnieniapod"/>
        <w:spacing w:before="0" w:after="0"/>
      </w:pPr>
      <w:r w:rsidRPr="00795F17">
        <w:rPr>
          <w:b/>
          <w:bCs/>
        </w:rPr>
        <w:t xml:space="preserve">CHEM_B </w:t>
      </w:r>
      <w:r w:rsidR="00F53EDF">
        <w:rPr>
          <w:b/>
          <w:bCs/>
        </w:rPr>
        <w:t>–</w:t>
      </w:r>
      <w:r w:rsidRPr="00795F17">
        <w:t xml:space="preserve"> presja na cechy chemiczne (biota, substancje dozwolone)</w:t>
      </w:r>
    </w:p>
    <w:p w14:paraId="7DC3D2F8" w14:textId="6566046F" w:rsidR="00366000" w:rsidRPr="00795F17" w:rsidRDefault="00366000" w:rsidP="00E01928">
      <w:pPr>
        <w:pStyle w:val="Tabela-wyjasnieniapod"/>
        <w:spacing w:before="0" w:after="0"/>
      </w:pPr>
      <w:r w:rsidRPr="00795F17">
        <w:rPr>
          <w:b/>
          <w:bCs/>
        </w:rPr>
        <w:t>CHEM_SZ</w:t>
      </w:r>
      <w:r w:rsidRPr="00795F17">
        <w:t xml:space="preserve"> </w:t>
      </w:r>
      <w:r w:rsidR="00F53EDF">
        <w:t>–</w:t>
      </w:r>
      <w:r w:rsidRPr="00795F17">
        <w:t xml:space="preserve"> presja na cechy chemiczne (substancje zakazane, biota i woda)</w:t>
      </w:r>
    </w:p>
    <w:p w14:paraId="5C8160E3" w14:textId="53687CAD" w:rsidR="00366000" w:rsidRPr="00795F17" w:rsidRDefault="00366000" w:rsidP="00E01928">
      <w:pPr>
        <w:pStyle w:val="Tabela-wyjasnieniapod"/>
        <w:spacing w:before="0" w:after="0"/>
      </w:pPr>
      <w:r w:rsidRPr="00795F17">
        <w:rPr>
          <w:b/>
          <w:bCs/>
        </w:rPr>
        <w:t>OCH</w:t>
      </w:r>
      <w:r w:rsidRPr="00795F17">
        <w:t xml:space="preserve"> </w:t>
      </w:r>
      <w:r w:rsidR="00F53EDF">
        <w:t>–</w:t>
      </w:r>
      <w:r w:rsidRPr="00795F17">
        <w:t xml:space="preserve"> presja na obszary chronione w rozumieniu pr.w.</w:t>
      </w:r>
    </w:p>
    <w:p w14:paraId="6A6EDAC6" w14:textId="434EDE1D" w:rsidR="00366000" w:rsidRPr="00795F17" w:rsidRDefault="00366000" w:rsidP="00E01928">
      <w:pPr>
        <w:pStyle w:val="Tabela-wyjasnieniapod"/>
        <w:spacing w:before="0" w:after="0"/>
      </w:pPr>
      <w:r w:rsidRPr="00795F17">
        <w:rPr>
          <w:b/>
          <w:bCs/>
        </w:rPr>
        <w:t xml:space="preserve">IL </w:t>
      </w:r>
      <w:r w:rsidR="00F53EDF">
        <w:t>–</w:t>
      </w:r>
      <w:r w:rsidRPr="00795F17">
        <w:t xml:space="preserve"> presja ilościowa na zasoby wodne</w:t>
      </w:r>
    </w:p>
    <w:p w14:paraId="3E87B4CF" w14:textId="13F49882" w:rsidR="00366000" w:rsidRPr="00795F17" w:rsidRDefault="00DF005E" w:rsidP="00E01928">
      <w:pPr>
        <w:pStyle w:val="Tabela-wyjasnieniapod"/>
        <w:spacing w:before="0" w:after="0"/>
      </w:pPr>
      <w:r>
        <w:rPr>
          <w:b/>
          <w:bCs/>
        </w:rPr>
        <w:t>JCWP</w:t>
      </w:r>
      <w:r w:rsidR="00366000" w:rsidRPr="00795F17">
        <w:rPr>
          <w:b/>
          <w:bCs/>
        </w:rPr>
        <w:t xml:space="preserve"> zagrożone</w:t>
      </w:r>
      <w:r w:rsidR="00366000" w:rsidRPr="00795F17">
        <w:t xml:space="preserve"> </w:t>
      </w:r>
      <w:r w:rsidR="00F53EDF">
        <w:t>–</w:t>
      </w:r>
      <w:r w:rsidR="00366000" w:rsidRPr="00795F17">
        <w:t xml:space="preserve"> </w:t>
      </w:r>
      <w:r>
        <w:t>JCWP</w:t>
      </w:r>
      <w:r w:rsidR="00366000" w:rsidRPr="00795F17">
        <w:t xml:space="preserve"> zagrożone nieosiągnięciem celów środowiskowych</w:t>
      </w:r>
    </w:p>
    <w:p w14:paraId="2FCA5A3A" w14:textId="6784CFCE"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F53EDF">
        <w:t>–</w:t>
      </w:r>
      <w:r w:rsidRPr="00795F17">
        <w:t xml:space="preserve"> </w:t>
      </w:r>
      <w:r w:rsidR="00DF005E">
        <w:t>JCWP</w:t>
      </w:r>
      <w:r w:rsidRPr="00795F17">
        <w:t xml:space="preserve"> (…) </w:t>
      </w:r>
      <w:r w:rsidR="00F53EDF">
        <w:t>–</w:t>
      </w:r>
      <w:r w:rsidRPr="00795F17">
        <w:t xml:space="preserve"> aktualizacja</w:t>
      </w:r>
    </w:p>
    <w:p w14:paraId="5096A85E" w14:textId="2D0F736D" w:rsidR="000123AA" w:rsidRPr="00795F17" w:rsidRDefault="00AD1DA1" w:rsidP="0044393D">
      <w:r w:rsidRPr="00795F17">
        <w:t xml:space="preserve">Uzyskane wyniki wskazują, iż spośród </w:t>
      </w:r>
      <w:r w:rsidR="00256C57" w:rsidRPr="00795F17">
        <w:t xml:space="preserve">wszystkich </w:t>
      </w:r>
      <w:r w:rsidR="00DF005E">
        <w:t>JCWP</w:t>
      </w:r>
      <w:r w:rsidR="00256C57" w:rsidRPr="00795F17">
        <w:t xml:space="preserve"> RW </w:t>
      </w:r>
      <w:r w:rsidR="000123AA" w:rsidRPr="00795F17">
        <w:t xml:space="preserve">największa liczba </w:t>
      </w:r>
      <w:r w:rsidR="00DF005E">
        <w:t>JCWP</w:t>
      </w:r>
      <w:r w:rsidR="000123AA" w:rsidRPr="00795F17">
        <w:t xml:space="preserve"> poddana jest presji na elementy biologiczne, zależne od hydromorfologii (8</w:t>
      </w:r>
      <w:r w:rsidR="006C0ECA">
        <w:t>0</w:t>
      </w:r>
      <w:r w:rsidR="000123AA" w:rsidRPr="00795F17">
        <w:t>%) oraz presji na elementy fizykochemiczne (</w:t>
      </w:r>
      <w:r w:rsidR="00F0607D" w:rsidRPr="00795F17">
        <w:t>6</w:t>
      </w:r>
      <w:r w:rsidR="006C0ECA">
        <w:t>0</w:t>
      </w:r>
      <w:r w:rsidR="000123AA" w:rsidRPr="00795F17">
        <w:t xml:space="preserve">%). Presja na </w:t>
      </w:r>
      <w:r w:rsidR="006C0ECA" w:rsidRPr="00795F17">
        <w:t>cechy chemiczne (woda i substancje dozwolone)</w:t>
      </w:r>
      <w:r w:rsidR="006C0ECA">
        <w:t xml:space="preserve"> oraz presja na </w:t>
      </w:r>
      <w:r w:rsidR="000123AA" w:rsidRPr="00795F17">
        <w:t xml:space="preserve">elementy biologiczne zależne od fizykochemii zidentyfikowana została na poziomie </w:t>
      </w:r>
      <w:r w:rsidR="006C0ECA">
        <w:t>35</w:t>
      </w:r>
      <w:r w:rsidR="00060E6A">
        <w:t xml:space="preserve"> </w:t>
      </w:r>
      <w:r w:rsidR="0009570C">
        <w:t>i</w:t>
      </w:r>
      <w:r w:rsidR="000B1E21">
        <w:t xml:space="preserve"> </w:t>
      </w:r>
      <w:r w:rsidR="00060E6A" w:rsidRPr="00795F17">
        <w:t>4</w:t>
      </w:r>
      <w:r w:rsidR="006C0ECA">
        <w:t>0</w:t>
      </w:r>
      <w:r w:rsidR="000123AA" w:rsidRPr="00795F17">
        <w:t xml:space="preserve">% wszystkich </w:t>
      </w:r>
      <w:r w:rsidR="00DF005E">
        <w:t>JCWP</w:t>
      </w:r>
      <w:r w:rsidR="000123AA" w:rsidRPr="00795F17">
        <w:t xml:space="preserve"> RW na obszarze dorzecza Odry. Presja w zakresie obszarów chronionych dotyczy 89% </w:t>
      </w:r>
      <w:r w:rsidR="00DF005E">
        <w:t>JCWP</w:t>
      </w:r>
      <w:r w:rsidR="000123AA" w:rsidRPr="00795F17">
        <w:t xml:space="preserve"> RW (wykres 7-1).</w:t>
      </w:r>
    </w:p>
    <w:p w14:paraId="34F126E5" w14:textId="2DB040EA" w:rsidR="00AD1DA1" w:rsidRPr="00795F17" w:rsidRDefault="000D0F32" w:rsidP="00E01928">
      <w:pPr>
        <w:jc w:val="center"/>
      </w:pPr>
      <w:r>
        <w:rPr>
          <w:noProof/>
        </w:rPr>
        <w:drawing>
          <wp:inline distT="0" distB="0" distL="0" distR="0" wp14:anchorId="5DB71F15" wp14:editId="1DF90458">
            <wp:extent cx="5113695" cy="3186057"/>
            <wp:effectExtent l="0" t="0" r="10795" b="14605"/>
            <wp:docPr id="28" name="Wykres 28">
              <a:extLst xmlns:a="http://schemas.openxmlformats.org/drawingml/2006/main">
                <a:ext uri="{FF2B5EF4-FFF2-40B4-BE49-F238E27FC236}">
                  <a16:creationId xmlns:a16="http://schemas.microsoft.com/office/drawing/2014/main" id="{800EF6AA-E972-4BF1-B88D-73F7E9BA26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26DF19E" w14:textId="34497A29" w:rsidR="00AD1DA1" w:rsidRPr="00795F17" w:rsidRDefault="00AD1DA1" w:rsidP="00B479EE">
      <w:pPr>
        <w:pStyle w:val="Wykres"/>
      </w:pPr>
      <w:bookmarkStart w:id="310" w:name="_Toc66288182"/>
      <w:bookmarkStart w:id="311" w:name="_Toc105512974"/>
      <w:r w:rsidRPr="00795F17">
        <w:t xml:space="preserve">Wykres </w:t>
      </w:r>
      <w:fldSimple w:instr=" STYLEREF 1 \s ">
        <w:r w:rsidR="001F774D">
          <w:rPr>
            <w:noProof/>
          </w:rPr>
          <w:t>7</w:t>
        </w:r>
      </w:fldSimple>
      <w:r w:rsidR="00FF20D3">
        <w:noBreakHyphen/>
      </w:r>
      <w:fldSimple w:instr=" SEQ Wykres \* ARABIC \s 1 ">
        <w:r w:rsidR="001F774D">
          <w:rPr>
            <w:noProof/>
          </w:rPr>
          <w:t>1</w:t>
        </w:r>
      </w:fldSimple>
      <w:r w:rsidR="00745044">
        <w:rPr>
          <w:noProof/>
        </w:rPr>
        <w:t>.</w:t>
      </w:r>
      <w:r w:rsidRPr="00795F17">
        <w:tab/>
      </w:r>
      <w:r w:rsidR="006D0DCA" w:rsidRPr="00795F17">
        <w:t>U</w:t>
      </w:r>
      <w:r w:rsidRPr="00795F17">
        <w:t xml:space="preserve">dział liczby </w:t>
      </w:r>
      <w:r w:rsidR="00DF005E">
        <w:t>JCWP</w:t>
      </w:r>
      <w:r w:rsidRPr="00795F17">
        <w:t xml:space="preserve"> RW ze zidentyfikowaną daną presją znaczącą w ogólnej liczbie </w:t>
      </w:r>
      <w:r w:rsidR="00DF005E">
        <w:t>JCWP</w:t>
      </w:r>
      <w:r w:rsidRPr="00795F17">
        <w:t xml:space="preserve"> RW </w:t>
      </w:r>
      <w:r w:rsidR="00F53EDF">
        <w:t>–</w:t>
      </w:r>
      <w:r w:rsidRPr="00795F17">
        <w:t xml:space="preserve"> obszar dorzecza </w:t>
      </w:r>
      <w:bookmarkEnd w:id="310"/>
      <w:r w:rsidR="00B50A8E" w:rsidRPr="00795F17">
        <w:t>Odry</w:t>
      </w:r>
      <w:bookmarkEnd w:id="311"/>
    </w:p>
    <w:p w14:paraId="6EDAF1E1" w14:textId="7C0EF1D3"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F53EDF">
        <w:t>–</w:t>
      </w:r>
      <w:r w:rsidRPr="00795F17">
        <w:t xml:space="preserve"> </w:t>
      </w:r>
      <w:r w:rsidR="00DF005E">
        <w:t>JCWP</w:t>
      </w:r>
      <w:r w:rsidRPr="00795F17">
        <w:t xml:space="preserve"> (…) </w:t>
      </w:r>
      <w:r w:rsidR="00F53EDF">
        <w:t>–</w:t>
      </w:r>
      <w:r w:rsidRPr="00795F17">
        <w:t xml:space="preserve"> aktualizacja</w:t>
      </w:r>
    </w:p>
    <w:p w14:paraId="607E4520" w14:textId="583F5B2C" w:rsidR="00AD1DA1" w:rsidRPr="00795F17" w:rsidRDefault="00FD1457" w:rsidP="0044393D">
      <w:r w:rsidRPr="00795F17">
        <w:t xml:space="preserve">Podczas oceny presji na elementy biologiczne zależne od fizykochemii presję znaczącą umiarkowaną lub silną wskazano w </w:t>
      </w:r>
      <w:r w:rsidR="00C025C4">
        <w:t>448</w:t>
      </w:r>
      <w:r w:rsidRPr="00795F17">
        <w:t xml:space="preserve"> </w:t>
      </w:r>
      <w:r w:rsidR="00DF005E">
        <w:t>JCWP</w:t>
      </w:r>
      <w:r w:rsidRPr="00795F17">
        <w:t xml:space="preserve"> (najniższa ocena z monitoringu dla wskaźników IFPL, IO i MIR w danej </w:t>
      </w:r>
      <w:r w:rsidR="00DF005E">
        <w:t>JCWP</w:t>
      </w:r>
      <w:r w:rsidRPr="00795F17">
        <w:t xml:space="preserve"> była poniżej klasy II). W przypadku elementów zależnych od hydromorfologii były to </w:t>
      </w:r>
      <w:r w:rsidR="00C025C4">
        <w:t>1 018</w:t>
      </w:r>
      <w:r w:rsidRPr="00795F17">
        <w:t xml:space="preserve"> </w:t>
      </w:r>
      <w:r w:rsidR="00DF005E">
        <w:t>JCWP</w:t>
      </w:r>
      <w:r w:rsidRPr="00795F17">
        <w:t xml:space="preserve"> (najniższa ocena z monitoringu dla wskaźników MMI</w:t>
      </w:r>
      <w:r w:rsidR="00E66322">
        <w:t>_</w:t>
      </w:r>
      <w:r w:rsidRPr="00795F17">
        <w:t xml:space="preserve">PL i EFI+PL/IBI_PL w danej </w:t>
      </w:r>
      <w:r w:rsidR="00DF005E">
        <w:t>JCWP</w:t>
      </w:r>
      <w:r w:rsidRPr="00795F17">
        <w:t xml:space="preserve"> była poniżej klasy</w:t>
      </w:r>
      <w:r w:rsidR="000B1E21">
        <w:t> </w:t>
      </w:r>
      <w:r w:rsidRPr="00795F17">
        <w:t xml:space="preserve">II, a w przypadku braku monitoringu najniższa ocena według oceny hydromorfologicznej wskazywała presję znaczącą umiarkowaną, silną lub bardzo silną). W </w:t>
      </w:r>
      <w:r w:rsidR="0061281F" w:rsidRPr="00795F17">
        <w:t>37</w:t>
      </w:r>
      <w:r w:rsidR="00C2135A">
        <w:t>6</w:t>
      </w:r>
      <w:r w:rsidRPr="00795F17">
        <w:t xml:space="preserve"> </w:t>
      </w:r>
      <w:r w:rsidR="00DF005E">
        <w:t>JCWP</w:t>
      </w:r>
      <w:r w:rsidRPr="00795F17">
        <w:t xml:space="preserve"> wskazano jednocześnie presję znaczącą umiarkowaną lub silną na elementy biologiczne zależne zarówno od hydromorfologii, jak</w:t>
      </w:r>
      <w:r w:rsidR="000B1E21">
        <w:t> </w:t>
      </w:r>
      <w:r w:rsidRPr="00795F17">
        <w:t>i</w:t>
      </w:r>
      <w:r w:rsidR="000B1E21">
        <w:t> </w:t>
      </w:r>
      <w:r w:rsidRPr="00795F17">
        <w:t>od</w:t>
      </w:r>
      <w:r w:rsidR="000B1E21">
        <w:t> </w:t>
      </w:r>
      <w:r w:rsidRPr="00795F17">
        <w:t xml:space="preserve">trofii </w:t>
      </w:r>
      <w:r w:rsidR="00AD1DA1" w:rsidRPr="00795F17">
        <w:t xml:space="preserve">(tabela </w:t>
      </w:r>
      <w:r w:rsidR="00756A96" w:rsidRPr="00795F17">
        <w:t>7-2</w:t>
      </w:r>
      <w:r w:rsidR="00AD1DA1" w:rsidRPr="00795F17">
        <w:t xml:space="preserve">). </w:t>
      </w:r>
    </w:p>
    <w:p w14:paraId="672ED2EF" w14:textId="0EA4E68E" w:rsidR="00AD1DA1" w:rsidRPr="00795F17" w:rsidRDefault="00AD1DA1" w:rsidP="004D7705">
      <w:pPr>
        <w:pStyle w:val="Tabela"/>
        <w:rPr>
          <w:bCs/>
          <w:i/>
        </w:rPr>
      </w:pPr>
      <w:bookmarkStart w:id="312" w:name="_Toc66288071"/>
      <w:bookmarkStart w:id="313" w:name="_Toc66341892"/>
      <w:bookmarkStart w:id="314" w:name="_Toc105512803"/>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1F774D">
        <w:rPr>
          <w:bCs/>
          <w:noProof/>
        </w:rPr>
        <w:t>7</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1F774D">
        <w:rPr>
          <w:bCs/>
          <w:noProof/>
        </w:rPr>
        <w:t>2</w:t>
      </w:r>
      <w:r w:rsidR="00BB3B21" w:rsidRPr="00795F17">
        <w:rPr>
          <w:bCs/>
        </w:rPr>
        <w:fldChar w:fldCharType="end"/>
      </w:r>
      <w:r w:rsidR="00E76356">
        <w:rPr>
          <w:bCs/>
        </w:rPr>
        <w:t>.</w:t>
      </w:r>
      <w:r w:rsidRPr="00795F17">
        <w:rPr>
          <w:bCs/>
        </w:rPr>
        <w:tab/>
      </w:r>
      <w:r w:rsidRPr="00795F17">
        <w:t xml:space="preserve">Liczba </w:t>
      </w:r>
      <w:r w:rsidR="00DF005E">
        <w:t>JCWP</w:t>
      </w:r>
      <w:r w:rsidRPr="00795F17">
        <w:t xml:space="preserve"> RW, dla których wskazano presję znaczącą umiarkowaną lub silną na elementy biologiczne, w podziale na poszczególne regiony wodne obszaru dorzecza </w:t>
      </w:r>
      <w:bookmarkEnd w:id="312"/>
      <w:r w:rsidR="00FD1457" w:rsidRPr="00795F17">
        <w:t>Odry</w:t>
      </w:r>
      <w:bookmarkEnd w:id="313"/>
      <w:bookmarkEnd w:id="3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06"/>
        <w:gridCol w:w="2014"/>
        <w:gridCol w:w="1727"/>
        <w:gridCol w:w="2015"/>
      </w:tblGrid>
      <w:tr w:rsidR="00AD1DA1" w:rsidRPr="00795F17" w14:paraId="6547959E" w14:textId="77777777" w:rsidTr="00A965EC">
        <w:trPr>
          <w:trHeight w:val="454"/>
          <w:tblHeader/>
        </w:trPr>
        <w:tc>
          <w:tcPr>
            <w:tcW w:w="1824" w:type="pct"/>
            <w:shd w:val="clear" w:color="000000" w:fill="BFBFBF"/>
            <w:noWrap/>
            <w:tcMar>
              <w:left w:w="28" w:type="dxa"/>
              <w:right w:w="28" w:type="dxa"/>
            </w:tcMar>
            <w:vAlign w:val="center"/>
            <w:hideMark/>
          </w:tcPr>
          <w:p w14:paraId="0A5F13C3" w14:textId="77777777" w:rsidR="00AD1DA1" w:rsidRPr="00795F17" w:rsidRDefault="00AD1DA1" w:rsidP="0065243A">
            <w:pPr>
              <w:pStyle w:val="Teksttabelinaglowek"/>
            </w:pPr>
            <w:r w:rsidRPr="00795F17">
              <w:t>Region wodny</w:t>
            </w:r>
          </w:p>
        </w:tc>
        <w:tc>
          <w:tcPr>
            <w:tcW w:w="1111" w:type="pct"/>
            <w:shd w:val="clear" w:color="000000" w:fill="BFBFBF"/>
            <w:tcMar>
              <w:left w:w="28" w:type="dxa"/>
              <w:right w:w="28" w:type="dxa"/>
            </w:tcMar>
            <w:vAlign w:val="center"/>
            <w:hideMark/>
          </w:tcPr>
          <w:p w14:paraId="7C85D9C2" w14:textId="77777777" w:rsidR="00AD1DA1" w:rsidRPr="00795F17" w:rsidRDefault="00AD1DA1" w:rsidP="0065243A">
            <w:pPr>
              <w:pStyle w:val="Teksttabelinaglowek"/>
            </w:pPr>
            <w:r w:rsidRPr="00795F17">
              <w:t>Presja znacząca umiarkowana lub silna na elementy biologiczne zależne od hydromorfologii</w:t>
            </w:r>
          </w:p>
        </w:tc>
        <w:tc>
          <w:tcPr>
            <w:tcW w:w="953" w:type="pct"/>
            <w:shd w:val="clear" w:color="000000" w:fill="BFBFBF"/>
            <w:tcMar>
              <w:left w:w="28" w:type="dxa"/>
              <w:right w:w="28" w:type="dxa"/>
            </w:tcMar>
            <w:vAlign w:val="center"/>
            <w:hideMark/>
          </w:tcPr>
          <w:p w14:paraId="35FFD0FA" w14:textId="685F7DEE" w:rsidR="00AD1DA1" w:rsidRPr="00795F17" w:rsidRDefault="00AD1DA1" w:rsidP="0065243A">
            <w:pPr>
              <w:pStyle w:val="Teksttabelinaglowek"/>
            </w:pPr>
            <w:r w:rsidRPr="00795F17">
              <w:t xml:space="preserve">Presja znacząca umiarkowana lub silna na elementy biologiczne zależne od </w:t>
            </w:r>
            <w:r w:rsidR="00945C8D" w:rsidRPr="00795F17">
              <w:t xml:space="preserve">hydromorfologii i </w:t>
            </w:r>
            <w:r w:rsidRPr="00795F17">
              <w:t>trofii</w:t>
            </w:r>
          </w:p>
        </w:tc>
        <w:tc>
          <w:tcPr>
            <w:tcW w:w="1112" w:type="pct"/>
            <w:shd w:val="clear" w:color="000000" w:fill="BFBFBF"/>
            <w:tcMar>
              <w:left w:w="28" w:type="dxa"/>
              <w:right w:w="28" w:type="dxa"/>
            </w:tcMar>
            <w:vAlign w:val="center"/>
            <w:hideMark/>
          </w:tcPr>
          <w:p w14:paraId="3200D712" w14:textId="326F0C8C" w:rsidR="00AD1DA1" w:rsidRPr="00795F17" w:rsidRDefault="00AD1DA1" w:rsidP="0065243A">
            <w:pPr>
              <w:pStyle w:val="Teksttabelinaglowek"/>
            </w:pPr>
            <w:r w:rsidRPr="00795F17">
              <w:t>Presja znacząca umiarkowana lub silna na elementy biologiczne zależne od trofii</w:t>
            </w:r>
          </w:p>
        </w:tc>
      </w:tr>
      <w:tr w:rsidR="0083501B" w:rsidRPr="00795F17" w14:paraId="1DE214DA" w14:textId="77777777" w:rsidTr="0083501B">
        <w:trPr>
          <w:trHeight w:val="454"/>
        </w:trPr>
        <w:tc>
          <w:tcPr>
            <w:tcW w:w="1824" w:type="pct"/>
            <w:shd w:val="clear" w:color="auto" w:fill="auto"/>
            <w:noWrap/>
            <w:tcMar>
              <w:left w:w="28" w:type="dxa"/>
              <w:right w:w="28" w:type="dxa"/>
            </w:tcMar>
            <w:vAlign w:val="center"/>
          </w:tcPr>
          <w:p w14:paraId="0643C490" w14:textId="1B61C6A7" w:rsidR="0083501B" w:rsidRPr="00795F17" w:rsidRDefault="0083501B" w:rsidP="00BF45EA">
            <w:pPr>
              <w:pStyle w:val="Teksttabelilewy"/>
              <w:ind w:left="57"/>
              <w:rPr>
                <w:color w:val="000000"/>
              </w:rPr>
            </w:pPr>
            <w:r w:rsidRPr="00795F17">
              <w:t>Górnej Odry</w:t>
            </w:r>
          </w:p>
        </w:tc>
        <w:tc>
          <w:tcPr>
            <w:tcW w:w="1111" w:type="pct"/>
            <w:shd w:val="clear" w:color="auto" w:fill="auto"/>
            <w:noWrap/>
            <w:tcMar>
              <w:left w:w="28" w:type="dxa"/>
              <w:right w:w="28" w:type="dxa"/>
            </w:tcMar>
            <w:vAlign w:val="center"/>
          </w:tcPr>
          <w:p w14:paraId="70D88CF2" w14:textId="0ACE8960" w:rsidR="0083501B" w:rsidRPr="00795F17" w:rsidRDefault="00C365A0" w:rsidP="0083501B">
            <w:pPr>
              <w:pStyle w:val="Teksttabelisrodek"/>
              <w:rPr>
                <w:color w:val="000000"/>
              </w:rPr>
            </w:pPr>
            <w:r>
              <w:t>122</w:t>
            </w:r>
          </w:p>
        </w:tc>
        <w:tc>
          <w:tcPr>
            <w:tcW w:w="953" w:type="pct"/>
            <w:shd w:val="clear" w:color="auto" w:fill="auto"/>
            <w:noWrap/>
            <w:tcMar>
              <w:left w:w="28" w:type="dxa"/>
              <w:right w:w="28" w:type="dxa"/>
            </w:tcMar>
            <w:vAlign w:val="center"/>
          </w:tcPr>
          <w:p w14:paraId="3EA40870" w14:textId="390CD4C2" w:rsidR="0083501B" w:rsidRPr="00795F17" w:rsidRDefault="0083501B" w:rsidP="0083501B">
            <w:pPr>
              <w:pStyle w:val="Teksttabelisrodek"/>
              <w:rPr>
                <w:color w:val="000000"/>
              </w:rPr>
            </w:pPr>
            <w:r w:rsidRPr="00795F17">
              <w:t>4</w:t>
            </w:r>
            <w:r w:rsidR="00565142">
              <w:t>7</w:t>
            </w:r>
          </w:p>
        </w:tc>
        <w:tc>
          <w:tcPr>
            <w:tcW w:w="1112" w:type="pct"/>
            <w:shd w:val="clear" w:color="auto" w:fill="auto"/>
            <w:noWrap/>
            <w:tcMar>
              <w:left w:w="28" w:type="dxa"/>
              <w:right w:w="28" w:type="dxa"/>
            </w:tcMar>
            <w:vAlign w:val="center"/>
          </w:tcPr>
          <w:p w14:paraId="35E49983" w14:textId="1DEB85BC" w:rsidR="0083501B" w:rsidRPr="00795F17" w:rsidRDefault="00D4333C" w:rsidP="0083501B">
            <w:pPr>
              <w:pStyle w:val="Teksttabelisrodek"/>
              <w:rPr>
                <w:color w:val="000000"/>
              </w:rPr>
            </w:pPr>
            <w:r>
              <w:t>51</w:t>
            </w:r>
          </w:p>
        </w:tc>
      </w:tr>
      <w:tr w:rsidR="0083501B" w:rsidRPr="00795F17" w14:paraId="2C04DB40" w14:textId="77777777" w:rsidTr="0083501B">
        <w:trPr>
          <w:trHeight w:val="454"/>
        </w:trPr>
        <w:tc>
          <w:tcPr>
            <w:tcW w:w="1824" w:type="pct"/>
            <w:shd w:val="clear" w:color="auto" w:fill="auto"/>
            <w:noWrap/>
            <w:tcMar>
              <w:left w:w="28" w:type="dxa"/>
              <w:right w:w="28" w:type="dxa"/>
            </w:tcMar>
            <w:vAlign w:val="center"/>
          </w:tcPr>
          <w:p w14:paraId="1582D50C" w14:textId="3E8BDEA0" w:rsidR="0083501B" w:rsidRPr="00795F17" w:rsidRDefault="0083501B" w:rsidP="00BF45EA">
            <w:pPr>
              <w:pStyle w:val="Teksttabelilewy"/>
              <w:ind w:left="57"/>
            </w:pPr>
            <w:r w:rsidRPr="00795F17">
              <w:t>Środkowej Odry</w:t>
            </w:r>
          </w:p>
        </w:tc>
        <w:tc>
          <w:tcPr>
            <w:tcW w:w="1111" w:type="pct"/>
            <w:shd w:val="clear" w:color="auto" w:fill="auto"/>
            <w:noWrap/>
            <w:tcMar>
              <w:left w:w="28" w:type="dxa"/>
              <w:right w:w="28" w:type="dxa"/>
            </w:tcMar>
            <w:vAlign w:val="center"/>
          </w:tcPr>
          <w:p w14:paraId="5733F0DE" w14:textId="472D83F9" w:rsidR="0083501B" w:rsidRPr="00795F17" w:rsidRDefault="00C365A0" w:rsidP="0083501B">
            <w:pPr>
              <w:pStyle w:val="Teksttabelisrodek"/>
            </w:pPr>
            <w:r>
              <w:t>367</w:t>
            </w:r>
          </w:p>
        </w:tc>
        <w:tc>
          <w:tcPr>
            <w:tcW w:w="953" w:type="pct"/>
            <w:shd w:val="clear" w:color="auto" w:fill="auto"/>
            <w:noWrap/>
            <w:tcMar>
              <w:left w:w="28" w:type="dxa"/>
              <w:right w:w="28" w:type="dxa"/>
            </w:tcMar>
            <w:vAlign w:val="center"/>
          </w:tcPr>
          <w:p w14:paraId="7EAC67BC" w14:textId="6B4838DC" w:rsidR="0083501B" w:rsidRPr="00795F17" w:rsidRDefault="0083501B" w:rsidP="0083501B">
            <w:pPr>
              <w:pStyle w:val="Teksttabelisrodek"/>
            </w:pPr>
            <w:r w:rsidRPr="00795F17">
              <w:t>14</w:t>
            </w:r>
            <w:r w:rsidR="007B704E">
              <w:t>0</w:t>
            </w:r>
          </w:p>
        </w:tc>
        <w:tc>
          <w:tcPr>
            <w:tcW w:w="1112" w:type="pct"/>
            <w:shd w:val="clear" w:color="auto" w:fill="auto"/>
            <w:noWrap/>
            <w:tcMar>
              <w:left w:w="28" w:type="dxa"/>
              <w:right w:w="28" w:type="dxa"/>
            </w:tcMar>
            <w:vAlign w:val="center"/>
          </w:tcPr>
          <w:p w14:paraId="37149780" w14:textId="51195A11" w:rsidR="0083501B" w:rsidRPr="00795F17" w:rsidRDefault="00D4333C" w:rsidP="0083501B">
            <w:pPr>
              <w:pStyle w:val="Teksttabelisrodek"/>
            </w:pPr>
            <w:r>
              <w:t>167</w:t>
            </w:r>
          </w:p>
        </w:tc>
      </w:tr>
      <w:tr w:rsidR="0083501B" w:rsidRPr="00795F17" w14:paraId="64C998FB" w14:textId="77777777" w:rsidTr="00A965EC">
        <w:trPr>
          <w:trHeight w:val="454"/>
        </w:trPr>
        <w:tc>
          <w:tcPr>
            <w:tcW w:w="1824" w:type="pct"/>
            <w:shd w:val="clear" w:color="auto" w:fill="auto"/>
            <w:noWrap/>
            <w:tcMar>
              <w:left w:w="28" w:type="dxa"/>
              <w:right w:w="28" w:type="dxa"/>
            </w:tcMar>
            <w:vAlign w:val="center"/>
          </w:tcPr>
          <w:p w14:paraId="33BCE3FD" w14:textId="793B90BA" w:rsidR="0083501B" w:rsidRPr="00795F17" w:rsidRDefault="0083501B" w:rsidP="00BF45EA">
            <w:pPr>
              <w:pStyle w:val="Teksttabelilewy"/>
              <w:ind w:left="57"/>
            </w:pPr>
            <w:r w:rsidRPr="00795F17">
              <w:t>Dolnej Odry i Przymorza Zachodniego</w:t>
            </w:r>
          </w:p>
        </w:tc>
        <w:tc>
          <w:tcPr>
            <w:tcW w:w="1111" w:type="pct"/>
            <w:shd w:val="clear" w:color="auto" w:fill="auto"/>
            <w:noWrap/>
            <w:tcMar>
              <w:left w:w="28" w:type="dxa"/>
              <w:right w:w="28" w:type="dxa"/>
            </w:tcMar>
            <w:vAlign w:val="center"/>
          </w:tcPr>
          <w:p w14:paraId="70832012" w14:textId="1E6BA5D0" w:rsidR="0083501B" w:rsidRPr="00795F17" w:rsidRDefault="0083501B" w:rsidP="0083501B">
            <w:pPr>
              <w:pStyle w:val="Teksttabelisrodek"/>
            </w:pPr>
            <w:r w:rsidRPr="00795F17">
              <w:t>1</w:t>
            </w:r>
            <w:r w:rsidR="009E0B30">
              <w:t>97</w:t>
            </w:r>
          </w:p>
        </w:tc>
        <w:tc>
          <w:tcPr>
            <w:tcW w:w="953" w:type="pct"/>
            <w:shd w:val="clear" w:color="auto" w:fill="auto"/>
            <w:noWrap/>
            <w:tcMar>
              <w:left w:w="28" w:type="dxa"/>
              <w:right w:w="28" w:type="dxa"/>
            </w:tcMar>
            <w:vAlign w:val="center"/>
          </w:tcPr>
          <w:p w14:paraId="71725776" w14:textId="23BB8A79" w:rsidR="0083501B" w:rsidRPr="00795F17" w:rsidRDefault="0083501B" w:rsidP="0083501B">
            <w:pPr>
              <w:pStyle w:val="Teksttabelisrodek"/>
            </w:pPr>
            <w:r w:rsidRPr="00795F17">
              <w:t>65</w:t>
            </w:r>
          </w:p>
        </w:tc>
        <w:tc>
          <w:tcPr>
            <w:tcW w:w="1112" w:type="pct"/>
            <w:shd w:val="clear" w:color="auto" w:fill="auto"/>
            <w:noWrap/>
            <w:tcMar>
              <w:left w:w="28" w:type="dxa"/>
              <w:right w:w="28" w:type="dxa"/>
            </w:tcMar>
            <w:vAlign w:val="center"/>
          </w:tcPr>
          <w:p w14:paraId="4A922CB3" w14:textId="47AB5940" w:rsidR="0083501B" w:rsidRPr="00795F17" w:rsidRDefault="00C50446" w:rsidP="0083501B">
            <w:pPr>
              <w:pStyle w:val="Teksttabelisrodek"/>
            </w:pPr>
            <w:r>
              <w:t>90</w:t>
            </w:r>
          </w:p>
        </w:tc>
      </w:tr>
      <w:tr w:rsidR="0083501B" w:rsidRPr="00795F17" w14:paraId="540B5E78" w14:textId="77777777" w:rsidTr="0083501B">
        <w:trPr>
          <w:trHeight w:val="454"/>
        </w:trPr>
        <w:tc>
          <w:tcPr>
            <w:tcW w:w="1824" w:type="pct"/>
            <w:shd w:val="clear" w:color="auto" w:fill="auto"/>
            <w:noWrap/>
            <w:tcMar>
              <w:left w:w="28" w:type="dxa"/>
              <w:right w:w="28" w:type="dxa"/>
            </w:tcMar>
            <w:vAlign w:val="center"/>
          </w:tcPr>
          <w:p w14:paraId="0546B602" w14:textId="3A2F61C0" w:rsidR="0083501B" w:rsidRPr="00795F17" w:rsidRDefault="0083501B" w:rsidP="00BF45EA">
            <w:pPr>
              <w:pStyle w:val="Teksttabelilewy"/>
              <w:ind w:left="57"/>
              <w:rPr>
                <w:color w:val="000000"/>
              </w:rPr>
            </w:pPr>
            <w:r w:rsidRPr="00795F17">
              <w:t>Warty</w:t>
            </w:r>
          </w:p>
        </w:tc>
        <w:tc>
          <w:tcPr>
            <w:tcW w:w="1111" w:type="pct"/>
            <w:shd w:val="clear" w:color="auto" w:fill="auto"/>
            <w:noWrap/>
            <w:tcMar>
              <w:left w:w="28" w:type="dxa"/>
              <w:right w:w="28" w:type="dxa"/>
            </w:tcMar>
            <w:vAlign w:val="center"/>
          </w:tcPr>
          <w:p w14:paraId="04C110CB" w14:textId="1CFF881D" w:rsidR="0083501B" w:rsidRPr="00795F17" w:rsidRDefault="00C365A0" w:rsidP="0083501B">
            <w:pPr>
              <w:pStyle w:val="Teksttabelisrodek"/>
              <w:rPr>
                <w:color w:val="000000"/>
              </w:rPr>
            </w:pPr>
            <w:r>
              <w:t>236</w:t>
            </w:r>
          </w:p>
        </w:tc>
        <w:tc>
          <w:tcPr>
            <w:tcW w:w="953" w:type="pct"/>
            <w:shd w:val="clear" w:color="auto" w:fill="auto"/>
            <w:noWrap/>
            <w:tcMar>
              <w:left w:w="28" w:type="dxa"/>
              <w:right w:w="28" w:type="dxa"/>
            </w:tcMar>
            <w:vAlign w:val="center"/>
          </w:tcPr>
          <w:p w14:paraId="7DADF9B5" w14:textId="20BAE34E" w:rsidR="0083501B" w:rsidRPr="00795F17" w:rsidRDefault="0083501B" w:rsidP="0083501B">
            <w:pPr>
              <w:pStyle w:val="Teksttabelisrodek"/>
              <w:rPr>
                <w:color w:val="000000"/>
              </w:rPr>
            </w:pPr>
            <w:r w:rsidRPr="00795F17">
              <w:t>9</w:t>
            </w:r>
            <w:r w:rsidR="007B704E">
              <w:t>4</w:t>
            </w:r>
          </w:p>
        </w:tc>
        <w:tc>
          <w:tcPr>
            <w:tcW w:w="1112" w:type="pct"/>
            <w:shd w:val="clear" w:color="auto" w:fill="auto"/>
            <w:noWrap/>
            <w:tcMar>
              <w:left w:w="28" w:type="dxa"/>
              <w:right w:w="28" w:type="dxa"/>
            </w:tcMar>
            <w:vAlign w:val="center"/>
          </w:tcPr>
          <w:p w14:paraId="16519D47" w14:textId="5D676D77" w:rsidR="0083501B" w:rsidRPr="00795F17" w:rsidRDefault="0083501B" w:rsidP="0083501B">
            <w:pPr>
              <w:pStyle w:val="Teksttabelisrodek"/>
              <w:rPr>
                <w:color w:val="000000"/>
              </w:rPr>
            </w:pPr>
            <w:r w:rsidRPr="00795F17">
              <w:t>1</w:t>
            </w:r>
            <w:r w:rsidR="00D4333C">
              <w:t>05</w:t>
            </w:r>
          </w:p>
        </w:tc>
      </w:tr>
      <w:tr w:rsidR="0083501B" w:rsidRPr="00795F17" w14:paraId="30E67B21" w14:textId="77777777" w:rsidTr="00A965EC">
        <w:trPr>
          <w:trHeight w:val="454"/>
        </w:trPr>
        <w:tc>
          <w:tcPr>
            <w:tcW w:w="1824" w:type="pct"/>
            <w:shd w:val="clear" w:color="auto" w:fill="auto"/>
            <w:noWrap/>
            <w:tcMar>
              <w:left w:w="28" w:type="dxa"/>
              <w:right w:w="28" w:type="dxa"/>
            </w:tcMar>
            <w:vAlign w:val="center"/>
            <w:hideMark/>
          </w:tcPr>
          <w:p w14:paraId="53340BD7" w14:textId="11E25C06" w:rsidR="0083501B" w:rsidRPr="00795F17" w:rsidRDefault="0083501B" w:rsidP="00BF45EA">
            <w:pPr>
              <w:pStyle w:val="Teksttabelilewy"/>
              <w:ind w:left="57"/>
              <w:rPr>
                <w:color w:val="000000"/>
              </w:rPr>
            </w:pPr>
            <w:r w:rsidRPr="00795F17">
              <w:t>Noteci</w:t>
            </w:r>
          </w:p>
        </w:tc>
        <w:tc>
          <w:tcPr>
            <w:tcW w:w="1111" w:type="pct"/>
            <w:shd w:val="clear" w:color="auto" w:fill="auto"/>
            <w:noWrap/>
            <w:tcMar>
              <w:left w:w="28" w:type="dxa"/>
              <w:right w:w="28" w:type="dxa"/>
            </w:tcMar>
            <w:vAlign w:val="center"/>
            <w:hideMark/>
          </w:tcPr>
          <w:p w14:paraId="0EB726AD" w14:textId="3C3533E9" w:rsidR="0083501B" w:rsidRPr="00795F17" w:rsidRDefault="00C365A0" w:rsidP="0083501B">
            <w:pPr>
              <w:pStyle w:val="Teksttabelisrodek"/>
              <w:rPr>
                <w:color w:val="000000"/>
              </w:rPr>
            </w:pPr>
            <w:r>
              <w:t>96</w:t>
            </w:r>
          </w:p>
        </w:tc>
        <w:tc>
          <w:tcPr>
            <w:tcW w:w="953" w:type="pct"/>
            <w:shd w:val="clear" w:color="auto" w:fill="auto"/>
            <w:noWrap/>
            <w:tcMar>
              <w:left w:w="28" w:type="dxa"/>
              <w:right w:w="28" w:type="dxa"/>
            </w:tcMar>
            <w:vAlign w:val="center"/>
            <w:hideMark/>
          </w:tcPr>
          <w:p w14:paraId="23538015" w14:textId="205D3E06" w:rsidR="0083501B" w:rsidRPr="00795F17" w:rsidRDefault="0083501B" w:rsidP="0083501B">
            <w:pPr>
              <w:pStyle w:val="Teksttabelisrodek"/>
              <w:rPr>
                <w:color w:val="000000"/>
              </w:rPr>
            </w:pPr>
            <w:r w:rsidRPr="00795F17">
              <w:t>30</w:t>
            </w:r>
          </w:p>
        </w:tc>
        <w:tc>
          <w:tcPr>
            <w:tcW w:w="1112" w:type="pct"/>
            <w:shd w:val="clear" w:color="auto" w:fill="auto"/>
            <w:noWrap/>
            <w:tcMar>
              <w:left w:w="28" w:type="dxa"/>
              <w:right w:w="28" w:type="dxa"/>
            </w:tcMar>
            <w:vAlign w:val="center"/>
            <w:hideMark/>
          </w:tcPr>
          <w:p w14:paraId="5565792C" w14:textId="6F764440" w:rsidR="0083501B" w:rsidRPr="00795F17" w:rsidRDefault="00D4333C" w:rsidP="0083501B">
            <w:pPr>
              <w:pStyle w:val="Teksttabelisrodek"/>
              <w:rPr>
                <w:color w:val="000000"/>
              </w:rPr>
            </w:pPr>
            <w:r>
              <w:t>3</w:t>
            </w:r>
            <w:r w:rsidR="0083501B" w:rsidRPr="00795F17">
              <w:t>5</w:t>
            </w:r>
          </w:p>
        </w:tc>
      </w:tr>
    </w:tbl>
    <w:p w14:paraId="4A767B78" w14:textId="63350A06"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F53EDF">
        <w:t>–</w:t>
      </w:r>
      <w:r w:rsidRPr="00795F17">
        <w:t xml:space="preserve"> </w:t>
      </w:r>
      <w:r w:rsidR="00DF005E">
        <w:t>JCWP</w:t>
      </w:r>
      <w:r w:rsidRPr="00795F17">
        <w:t xml:space="preserve"> (…) </w:t>
      </w:r>
      <w:r w:rsidR="00F53EDF">
        <w:t>–</w:t>
      </w:r>
      <w:r w:rsidRPr="00795F17">
        <w:t xml:space="preserve"> aktualizacja</w:t>
      </w:r>
    </w:p>
    <w:p w14:paraId="3E6B7E37" w14:textId="1720E56F" w:rsidR="00AD1DA1" w:rsidRPr="00795F17" w:rsidRDefault="00AD1DA1" w:rsidP="00D65A0A">
      <w:r w:rsidRPr="00795F17">
        <w:t>Najczęstsze źródła presji znaczącej umiarkowanej i silnej na elementy biologiczne zależne od</w:t>
      </w:r>
      <w:r w:rsidR="00A0552F" w:rsidRPr="00795F17">
        <w:t> </w:t>
      </w:r>
      <w:r w:rsidRPr="00795F17">
        <w:t xml:space="preserve">hydromorfologii to (wykres </w:t>
      </w:r>
      <w:r w:rsidR="009517D2" w:rsidRPr="00795F17">
        <w:t>7-</w:t>
      </w:r>
      <w:r w:rsidRPr="00795F17">
        <w:t>2):</w:t>
      </w:r>
    </w:p>
    <w:p w14:paraId="09E7F179" w14:textId="5259E194" w:rsidR="00EB4182" w:rsidRPr="00795F17" w:rsidRDefault="00EB4182" w:rsidP="00117E86">
      <w:pPr>
        <w:pStyle w:val="Listapunktowana2"/>
      </w:pPr>
      <w:bookmarkStart w:id="315" w:name="_Toc66288183"/>
      <w:r w:rsidRPr="00795F17">
        <w:t>prostowanie koryt,</w:t>
      </w:r>
    </w:p>
    <w:p w14:paraId="22275CE4" w14:textId="5D2FDA7B" w:rsidR="00EB4182" w:rsidRPr="00795F17" w:rsidRDefault="00EB4182" w:rsidP="00117E86">
      <w:pPr>
        <w:pStyle w:val="Listapunktowana2"/>
      </w:pPr>
      <w:r w:rsidRPr="00795F17">
        <w:t>budowle piętrzące,</w:t>
      </w:r>
    </w:p>
    <w:p w14:paraId="5B236311" w14:textId="0FDD9A38" w:rsidR="00EB4182" w:rsidRPr="00795F17" w:rsidRDefault="00EB4182" w:rsidP="00117E86">
      <w:pPr>
        <w:pStyle w:val="Listapunktowana2"/>
      </w:pPr>
      <w:r w:rsidRPr="00795F17">
        <w:t>obiekty mostowe,</w:t>
      </w:r>
    </w:p>
    <w:p w14:paraId="779C6943" w14:textId="437221A6" w:rsidR="00EB4182" w:rsidRPr="00795F17" w:rsidRDefault="00EB4182" w:rsidP="00117E86">
      <w:pPr>
        <w:pStyle w:val="Listapunktowana2"/>
      </w:pPr>
      <w:r w:rsidRPr="00795F17">
        <w:t>obiekty gospodarki wodnej</w:t>
      </w:r>
      <w:r w:rsidR="00F53EDF">
        <w:t>,</w:t>
      </w:r>
    </w:p>
    <w:p w14:paraId="467F2F05" w14:textId="0C81A5D7" w:rsidR="00EB4182" w:rsidRPr="00795F17" w:rsidRDefault="00EB4182" w:rsidP="00117E86">
      <w:pPr>
        <w:pStyle w:val="Listapunktowana2"/>
      </w:pPr>
      <w:r w:rsidRPr="00795F17">
        <w:t>budowle regulacyjne (opaski brzegowe, ostrogi, tamy podłużne),</w:t>
      </w:r>
    </w:p>
    <w:p w14:paraId="183B9A13" w14:textId="64C3D5FC" w:rsidR="00EB4182" w:rsidRPr="00795F17" w:rsidRDefault="00EB4182" w:rsidP="00117E86">
      <w:pPr>
        <w:pStyle w:val="Listapunktowana2"/>
      </w:pPr>
      <w:r w:rsidRPr="00795F17">
        <w:t>wały przeciwpowodziowe,</w:t>
      </w:r>
    </w:p>
    <w:p w14:paraId="41929AC7" w14:textId="47F51D2E" w:rsidR="00EB4182" w:rsidRPr="00795F17" w:rsidRDefault="00EB4182" w:rsidP="00117E86">
      <w:pPr>
        <w:pStyle w:val="Listapunktowana2"/>
      </w:pPr>
      <w:r w:rsidRPr="00795F17">
        <w:t>zapora powyżej,</w:t>
      </w:r>
    </w:p>
    <w:p w14:paraId="30488FE6" w14:textId="216D587C" w:rsidR="00EB4182" w:rsidRPr="00795F17" w:rsidRDefault="00EB4182" w:rsidP="00117E86">
      <w:pPr>
        <w:pStyle w:val="Listapunktowana2"/>
      </w:pPr>
      <w:r w:rsidRPr="00795F17">
        <w:t>eksploatacja zasobów wodnych,</w:t>
      </w:r>
    </w:p>
    <w:p w14:paraId="6AC52898" w14:textId="7AE860AA" w:rsidR="00EB4182" w:rsidRPr="00795F17" w:rsidRDefault="00EB4182" w:rsidP="00117E86">
      <w:pPr>
        <w:pStyle w:val="Listapunktowana2"/>
      </w:pPr>
      <w:r w:rsidRPr="00795F17">
        <w:t>górnictwo.</w:t>
      </w:r>
    </w:p>
    <w:p w14:paraId="28B33858" w14:textId="001CA2C1" w:rsidR="00EB4182" w:rsidRPr="00795F17" w:rsidRDefault="00EB4182" w:rsidP="0044393D">
      <w:r w:rsidRPr="00795F17">
        <w:t xml:space="preserve">W przypadku 26 </w:t>
      </w:r>
      <w:r w:rsidR="00DF005E">
        <w:t>JCWP</w:t>
      </w:r>
      <w:r w:rsidRPr="00795F17">
        <w:t xml:space="preserve"> RW nie zidentyfikowano źródła presji na elementy biologiczne zależne od</w:t>
      </w:r>
      <w:r w:rsidR="00A0552F" w:rsidRPr="00795F17">
        <w:t> </w:t>
      </w:r>
      <w:r w:rsidRPr="00795F17">
        <w:t xml:space="preserve">hydromorfologii. </w:t>
      </w:r>
    </w:p>
    <w:p w14:paraId="7E855BCF" w14:textId="57DF614D" w:rsidR="00EB4182" w:rsidRPr="00795F17" w:rsidRDefault="00EB4182" w:rsidP="0044393D">
      <w:r w:rsidRPr="00795F17">
        <w:t>Źródłami presji znaczącej umiarkowanej i silnej na elementy biologiczne zależne od fizykochemii (trofii) były najczęściej (wykres 7-3):</w:t>
      </w:r>
    </w:p>
    <w:p w14:paraId="5D201E37" w14:textId="3FD14EDF" w:rsidR="00EB4182" w:rsidRPr="00795F17" w:rsidRDefault="00EB4182" w:rsidP="00117E86">
      <w:pPr>
        <w:pStyle w:val="Listapunktowana2"/>
      </w:pPr>
      <w:r w:rsidRPr="00795F17">
        <w:t>nawożenie i depozycja,</w:t>
      </w:r>
    </w:p>
    <w:p w14:paraId="3434144D" w14:textId="5BCB9741" w:rsidR="00EB4182" w:rsidRPr="00795F17" w:rsidRDefault="00EB4182" w:rsidP="00117E86">
      <w:pPr>
        <w:pStyle w:val="Listapunktowana2"/>
      </w:pPr>
      <w:r w:rsidRPr="00795F17">
        <w:t>odpływ miejski (wody opadowe),</w:t>
      </w:r>
    </w:p>
    <w:p w14:paraId="4CFB8C2A" w14:textId="2C767514" w:rsidR="00EB4182" w:rsidRPr="00795F17" w:rsidRDefault="00EB4182" w:rsidP="00117E86">
      <w:pPr>
        <w:pStyle w:val="Listapunktowana2"/>
      </w:pPr>
      <w:r w:rsidRPr="00795F17">
        <w:t>źródła przemysłowe,</w:t>
      </w:r>
    </w:p>
    <w:p w14:paraId="693CF7F4" w14:textId="57763949" w:rsidR="00EB4182" w:rsidRPr="00795F17" w:rsidRDefault="00EB4182" w:rsidP="00117E86">
      <w:pPr>
        <w:pStyle w:val="Listapunktowana2"/>
      </w:pPr>
      <w:r w:rsidRPr="00795F17">
        <w:t>źródła bytowe i komunalne (punktowe i rozproszone),</w:t>
      </w:r>
    </w:p>
    <w:p w14:paraId="63013D88" w14:textId="6D80881F" w:rsidR="00EB4182" w:rsidRPr="00795F17" w:rsidRDefault="00EB4182" w:rsidP="00117E86">
      <w:pPr>
        <w:pStyle w:val="Listapunktowana2"/>
      </w:pPr>
      <w:r w:rsidRPr="00795F17">
        <w:t>źródła bytowe i komunalne (punktowe),</w:t>
      </w:r>
    </w:p>
    <w:p w14:paraId="41A267D8" w14:textId="76F30EF6" w:rsidR="00EB4182" w:rsidRPr="00795F17" w:rsidRDefault="00EB4182" w:rsidP="00117E86">
      <w:pPr>
        <w:pStyle w:val="Listapunktowana2"/>
      </w:pPr>
      <w:r w:rsidRPr="00795F17">
        <w:t>źródła bytowe i komunalne (rozproszone).</w:t>
      </w:r>
    </w:p>
    <w:p w14:paraId="758CA016" w14:textId="3FCEBD92" w:rsidR="00EB4182" w:rsidRPr="00795F17" w:rsidRDefault="00EB4182" w:rsidP="0044393D">
      <w:r w:rsidRPr="00795F17">
        <w:t xml:space="preserve">W przypadku </w:t>
      </w:r>
      <w:r w:rsidR="00945C8D" w:rsidRPr="00795F17">
        <w:t>58</w:t>
      </w:r>
      <w:r w:rsidRPr="00795F17">
        <w:t xml:space="preserve"> </w:t>
      </w:r>
      <w:r w:rsidR="00DF005E">
        <w:t>JCWP</w:t>
      </w:r>
      <w:r w:rsidRPr="00795F17">
        <w:t xml:space="preserve"> RW </w:t>
      </w:r>
      <w:r w:rsidR="00945C8D" w:rsidRPr="00795F17">
        <w:t xml:space="preserve">z presją umiarkowaną i silną na elementy biologiczne zależne od fizykochemii (trofii) </w:t>
      </w:r>
      <w:r w:rsidRPr="00795F17">
        <w:t xml:space="preserve">nie posiadano danych o presji. </w:t>
      </w:r>
    </w:p>
    <w:p w14:paraId="59C5E0D8" w14:textId="58AF9201" w:rsidR="00EB4182" w:rsidRPr="00795F17" w:rsidRDefault="001352C0" w:rsidP="00E01928">
      <w:pPr>
        <w:jc w:val="center"/>
        <w:rPr>
          <w:rFonts w:asciiTheme="minorHAnsi" w:hAnsiTheme="minorHAnsi"/>
        </w:rPr>
      </w:pPr>
      <w:r w:rsidRPr="00795F17">
        <w:rPr>
          <w:noProof/>
          <w:lang w:eastAsia="pl-PL"/>
        </w:rPr>
        <w:drawing>
          <wp:inline distT="0" distB="0" distL="0" distR="0" wp14:anchorId="6281142A" wp14:editId="5C3681CC">
            <wp:extent cx="5760000" cy="5040000"/>
            <wp:effectExtent l="0" t="0" r="12700" b="8255"/>
            <wp:docPr id="249" name="Wykres 249">
              <a:extLst xmlns:a="http://schemas.openxmlformats.org/drawingml/2006/main">
                <a:ext uri="{FF2B5EF4-FFF2-40B4-BE49-F238E27FC236}">
                  <a16:creationId xmlns:a16="http://schemas.microsoft.com/office/drawing/2014/main" id="{00000000-0008-0000-09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2F2B2FA" w14:textId="01E03AC9" w:rsidR="00AD1DA1" w:rsidRPr="00795F17" w:rsidRDefault="00AD1DA1" w:rsidP="00B479EE">
      <w:pPr>
        <w:pStyle w:val="Wykres"/>
      </w:pPr>
      <w:bookmarkStart w:id="316" w:name="_Toc105512975"/>
      <w:r w:rsidRPr="00795F17">
        <w:t xml:space="preserve">Wykres </w:t>
      </w:r>
      <w:fldSimple w:instr=" STYLEREF 1 \s ">
        <w:r w:rsidR="001F774D">
          <w:rPr>
            <w:noProof/>
          </w:rPr>
          <w:t>7</w:t>
        </w:r>
      </w:fldSimple>
      <w:r w:rsidR="00FF20D3">
        <w:noBreakHyphen/>
      </w:r>
      <w:fldSimple w:instr=" SEQ Wykres \* ARABIC \s 1 ">
        <w:r w:rsidR="001F774D">
          <w:rPr>
            <w:noProof/>
          </w:rPr>
          <w:t>2</w:t>
        </w:r>
      </w:fldSimple>
      <w:r w:rsidR="00745044">
        <w:rPr>
          <w:noProof/>
        </w:rPr>
        <w:t>.</w:t>
      </w:r>
      <w:r w:rsidRPr="00795F17">
        <w:tab/>
      </w:r>
      <w:r w:rsidR="006D0DCA" w:rsidRPr="00795F17">
        <w:t>U</w:t>
      </w:r>
      <w:r w:rsidRPr="00795F17">
        <w:t xml:space="preserve">dział liczby </w:t>
      </w:r>
      <w:r w:rsidR="00DF005E">
        <w:t>JCWP</w:t>
      </w:r>
      <w:r w:rsidRPr="00795F17">
        <w:t xml:space="preserve"> </w:t>
      </w:r>
      <w:r w:rsidR="00BC55DD" w:rsidRPr="00795F17">
        <w:t>ze</w:t>
      </w:r>
      <w:r w:rsidRPr="00795F17">
        <w:t xml:space="preserve"> zidentyfikowan</w:t>
      </w:r>
      <w:r w:rsidR="00BC55DD" w:rsidRPr="00795F17">
        <w:t>ą</w:t>
      </w:r>
      <w:r w:rsidRPr="00795F17">
        <w:t xml:space="preserve"> presj</w:t>
      </w:r>
      <w:r w:rsidR="00BC55DD" w:rsidRPr="00795F17">
        <w:t>ą</w:t>
      </w:r>
      <w:r w:rsidRPr="00795F17">
        <w:t xml:space="preserve"> znacząc</w:t>
      </w:r>
      <w:r w:rsidR="00BC55DD" w:rsidRPr="00795F17">
        <w:t>ą,</w:t>
      </w:r>
      <w:r w:rsidRPr="00795F17">
        <w:t xml:space="preserve"> umiarkowan</w:t>
      </w:r>
      <w:r w:rsidR="00BC55DD" w:rsidRPr="00795F17">
        <w:t>ą</w:t>
      </w:r>
      <w:r w:rsidRPr="00795F17">
        <w:t xml:space="preserve"> i siln</w:t>
      </w:r>
      <w:r w:rsidR="00BC55DD" w:rsidRPr="00795F17">
        <w:t>ą</w:t>
      </w:r>
      <w:r w:rsidRPr="00795F17">
        <w:t xml:space="preserve"> na</w:t>
      </w:r>
      <w:r w:rsidR="00BC55DD" w:rsidRPr="00795F17">
        <w:t xml:space="preserve"> </w:t>
      </w:r>
      <w:r w:rsidRPr="00795F17">
        <w:t>elementy biologiczne zależne od hydromorfologii</w:t>
      </w:r>
      <w:r w:rsidR="00BC55DD" w:rsidRPr="00795F17">
        <w:t>,</w:t>
      </w:r>
      <w:r w:rsidRPr="00795F17">
        <w:t xml:space="preserve"> w podziale na poszczególne regiony wodne obszaru dorzecza </w:t>
      </w:r>
      <w:bookmarkEnd w:id="315"/>
      <w:r w:rsidR="00EB4182" w:rsidRPr="00795F17">
        <w:t>Odry</w:t>
      </w:r>
      <w:bookmarkEnd w:id="316"/>
    </w:p>
    <w:p w14:paraId="63C921B2" w14:textId="14269066"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F53EDF">
        <w:t>–</w:t>
      </w:r>
      <w:r w:rsidRPr="00795F17">
        <w:t xml:space="preserve"> </w:t>
      </w:r>
      <w:r w:rsidR="00DF005E">
        <w:t>JCWP</w:t>
      </w:r>
      <w:r w:rsidRPr="00795F17">
        <w:t xml:space="preserve"> (…) </w:t>
      </w:r>
      <w:r w:rsidR="00F53EDF">
        <w:t>–</w:t>
      </w:r>
      <w:r w:rsidRPr="00795F17">
        <w:t xml:space="preserve"> aktualizacja</w:t>
      </w:r>
    </w:p>
    <w:p w14:paraId="361E93B0" w14:textId="79675E67" w:rsidR="00AD1DA1" w:rsidRPr="00795F17" w:rsidRDefault="00685E2B" w:rsidP="0044393D">
      <w:r w:rsidRPr="00795F17">
        <w:rPr>
          <w:noProof/>
          <w:lang w:eastAsia="pl-PL"/>
        </w:rPr>
        <w:drawing>
          <wp:inline distT="0" distB="0" distL="0" distR="0" wp14:anchorId="0D9D9523" wp14:editId="30E59EB4">
            <wp:extent cx="5760000" cy="5040000"/>
            <wp:effectExtent l="0" t="0" r="12700" b="8255"/>
            <wp:docPr id="253" name="Wykres 253">
              <a:extLst xmlns:a="http://schemas.openxmlformats.org/drawingml/2006/main">
                <a:ext uri="{FF2B5EF4-FFF2-40B4-BE49-F238E27FC236}">
                  <a16:creationId xmlns:a16="http://schemas.microsoft.com/office/drawing/2014/main" id="{00000000-0008-0000-12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E14A19A" w14:textId="123BD3DD" w:rsidR="00AD1DA1" w:rsidRPr="00795F17" w:rsidRDefault="00AD1DA1" w:rsidP="00B479EE">
      <w:pPr>
        <w:pStyle w:val="Wykres"/>
        <w:rPr>
          <w:i/>
        </w:rPr>
      </w:pPr>
      <w:bookmarkStart w:id="317" w:name="_Toc66288184"/>
      <w:bookmarkStart w:id="318" w:name="_Toc105512976"/>
      <w:r w:rsidRPr="00795F17">
        <w:t xml:space="preserve">Wykres </w:t>
      </w:r>
      <w:fldSimple w:instr=" STYLEREF 1 \s ">
        <w:r w:rsidR="001F774D">
          <w:rPr>
            <w:noProof/>
          </w:rPr>
          <w:t>7</w:t>
        </w:r>
      </w:fldSimple>
      <w:r w:rsidR="00FF20D3">
        <w:noBreakHyphen/>
      </w:r>
      <w:fldSimple w:instr=" SEQ Wykres \* ARABIC \s 1 ">
        <w:r w:rsidR="001F774D">
          <w:rPr>
            <w:noProof/>
          </w:rPr>
          <w:t>3</w:t>
        </w:r>
      </w:fldSimple>
      <w:r w:rsidR="00745044">
        <w:rPr>
          <w:noProof/>
        </w:rPr>
        <w:t>.</w:t>
      </w:r>
      <w:r w:rsidRPr="00795F17">
        <w:tab/>
      </w:r>
      <w:r w:rsidR="006D0DCA" w:rsidRPr="00795F17">
        <w:t>U</w:t>
      </w:r>
      <w:r w:rsidRPr="00795F17">
        <w:t xml:space="preserve">dział liczby </w:t>
      </w:r>
      <w:r w:rsidR="00DF005E">
        <w:t>JCWP</w:t>
      </w:r>
      <w:r w:rsidRPr="00795F17">
        <w:t xml:space="preserve"> ze zidentyfikowaną presją znaczącą umiarkowaną i silną na</w:t>
      </w:r>
      <w:r w:rsidR="006D0DCA" w:rsidRPr="00795F17">
        <w:t xml:space="preserve"> </w:t>
      </w:r>
      <w:r w:rsidRPr="00795F17">
        <w:t>elementy biologiczne zależne od fizykochemii (trofii)</w:t>
      </w:r>
      <w:r w:rsidR="00BC55DD" w:rsidRPr="00795F17">
        <w:t>,</w:t>
      </w:r>
      <w:r w:rsidRPr="00795F17">
        <w:t xml:space="preserve"> w podziale na poszczególne regiony wodne obszaru dorzecza </w:t>
      </w:r>
      <w:bookmarkEnd w:id="317"/>
      <w:r w:rsidR="00C12E4C" w:rsidRPr="00795F17">
        <w:t>Odry</w:t>
      </w:r>
      <w:bookmarkEnd w:id="318"/>
    </w:p>
    <w:p w14:paraId="0888628C" w14:textId="1AB8D028"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F53EDF">
        <w:t>–</w:t>
      </w:r>
      <w:r w:rsidRPr="00795F17">
        <w:t xml:space="preserve"> </w:t>
      </w:r>
      <w:r w:rsidR="00DF005E">
        <w:t>JCWP</w:t>
      </w:r>
      <w:r w:rsidRPr="00795F17">
        <w:t xml:space="preserve"> (…) </w:t>
      </w:r>
      <w:r w:rsidR="00F53EDF">
        <w:t>–</w:t>
      </w:r>
      <w:r w:rsidRPr="00795F17">
        <w:t xml:space="preserve"> aktualizacja</w:t>
      </w:r>
    </w:p>
    <w:p w14:paraId="08FAFCA1" w14:textId="32876042" w:rsidR="00E75AAC" w:rsidRPr="00795F17" w:rsidRDefault="00E75AAC" w:rsidP="0044393D">
      <w:bookmarkStart w:id="319" w:name="_Toc66288185"/>
      <w:r w:rsidRPr="00795F17">
        <w:t xml:space="preserve">Ogólna ocena ryzyka nieosiągnięcia celów środowiskowych wykazała, że dla elementów biologicznych zależnych od hydromorfologii w regionach wodnych </w:t>
      </w:r>
      <w:r w:rsidR="00FB15D5" w:rsidRPr="00795F17">
        <w:t xml:space="preserve">obszaru </w:t>
      </w:r>
      <w:r w:rsidRPr="00795F17">
        <w:t xml:space="preserve">dorzecza Odry w co najmniej 70% </w:t>
      </w:r>
      <w:r w:rsidR="00DF005E">
        <w:t>JCWP</w:t>
      </w:r>
      <w:r w:rsidRPr="00795F17">
        <w:t xml:space="preserve"> występuje znaczące ryzyko nieosiągnięcia celów środowiskowych (ryzyko znaczące umiarkowane, silne i bardzo silne). Liczba </w:t>
      </w:r>
      <w:r w:rsidR="00DF005E">
        <w:t>JCWP</w:t>
      </w:r>
      <w:r w:rsidRPr="00795F17">
        <w:t xml:space="preserve"> z ryzykiem znaczącym w poszczególnych regionach wodnych wyniosła (wykres 7-4):</w:t>
      </w:r>
    </w:p>
    <w:p w14:paraId="1FBA6C54" w14:textId="0FCCB66E" w:rsidR="00E75AAC" w:rsidRPr="00795F17" w:rsidRDefault="00E75AAC" w:rsidP="00117E86">
      <w:pPr>
        <w:pStyle w:val="Listapunktowana2"/>
      </w:pPr>
      <w:r w:rsidRPr="00795F17">
        <w:t xml:space="preserve">region wodny Dolnej Odry i Przymorza Zachodniego </w:t>
      </w:r>
      <w:r w:rsidR="008E1470">
        <w:t xml:space="preserve">- </w:t>
      </w:r>
      <w:r w:rsidRPr="00795F17">
        <w:t xml:space="preserve">207 </w:t>
      </w:r>
      <w:r w:rsidR="00DF005E">
        <w:t>JCWP</w:t>
      </w:r>
      <w:r w:rsidRPr="00795F17">
        <w:t>,</w:t>
      </w:r>
    </w:p>
    <w:p w14:paraId="4DDAA310" w14:textId="1EAAC946" w:rsidR="00E75AAC" w:rsidRPr="00795F17" w:rsidRDefault="00E75AAC" w:rsidP="00117E86">
      <w:pPr>
        <w:pStyle w:val="Listapunktowana2"/>
      </w:pPr>
      <w:r w:rsidRPr="00795F17">
        <w:t xml:space="preserve">region wodny Górnej Odry </w:t>
      </w:r>
      <w:r w:rsidR="008E1470">
        <w:t xml:space="preserve">- </w:t>
      </w:r>
      <w:r w:rsidRPr="00795F17">
        <w:t>12</w:t>
      </w:r>
      <w:r w:rsidR="00945C8D" w:rsidRPr="00795F17">
        <w:t>6</w:t>
      </w:r>
      <w:r w:rsidRPr="00795F17">
        <w:t xml:space="preserve"> </w:t>
      </w:r>
      <w:r w:rsidR="00DF005E">
        <w:t>JCWP</w:t>
      </w:r>
      <w:r w:rsidRPr="00795F17">
        <w:t>,</w:t>
      </w:r>
    </w:p>
    <w:p w14:paraId="57AE80C4" w14:textId="08B9AE9B" w:rsidR="00E75AAC" w:rsidRPr="00795F17" w:rsidRDefault="00E75AAC" w:rsidP="00117E86">
      <w:pPr>
        <w:pStyle w:val="Listapunktowana2"/>
      </w:pPr>
      <w:r w:rsidRPr="00795F17">
        <w:t xml:space="preserve">region wodny Środkowej Odry </w:t>
      </w:r>
      <w:r w:rsidR="008E1470">
        <w:t xml:space="preserve">- </w:t>
      </w:r>
      <w:r w:rsidR="00945C8D" w:rsidRPr="00795F17">
        <w:t>400</w:t>
      </w:r>
      <w:r w:rsidRPr="00795F17">
        <w:t xml:space="preserve"> </w:t>
      </w:r>
      <w:r w:rsidR="00DF005E">
        <w:t>JCWP</w:t>
      </w:r>
      <w:r w:rsidRPr="00795F17">
        <w:t>,</w:t>
      </w:r>
    </w:p>
    <w:p w14:paraId="5C8EC4E1" w14:textId="105D4866" w:rsidR="00E75AAC" w:rsidRPr="00795F17" w:rsidRDefault="00E75AAC" w:rsidP="00117E86">
      <w:pPr>
        <w:pStyle w:val="Listapunktowana2"/>
      </w:pPr>
      <w:r w:rsidRPr="00795F17">
        <w:t xml:space="preserve">region wodny Noteci </w:t>
      </w:r>
      <w:r w:rsidR="008E1470">
        <w:t xml:space="preserve">- </w:t>
      </w:r>
      <w:r w:rsidRPr="00795F17">
        <w:t>9</w:t>
      </w:r>
      <w:r w:rsidR="00945C8D" w:rsidRPr="00795F17">
        <w:t>9</w:t>
      </w:r>
      <w:r w:rsidRPr="00795F17">
        <w:t xml:space="preserve"> </w:t>
      </w:r>
      <w:r w:rsidR="00DF005E">
        <w:t>JCWP</w:t>
      </w:r>
      <w:r w:rsidRPr="00795F17">
        <w:t>,</w:t>
      </w:r>
    </w:p>
    <w:p w14:paraId="6C23D83B" w14:textId="0B0DC799" w:rsidR="00E75AAC" w:rsidRPr="00795F17" w:rsidRDefault="00E75AAC" w:rsidP="00117E86">
      <w:pPr>
        <w:pStyle w:val="Listapunktowana2"/>
      </w:pPr>
      <w:r w:rsidRPr="00795F17">
        <w:t xml:space="preserve">region wodny Warty </w:t>
      </w:r>
      <w:r w:rsidR="008E1470">
        <w:t xml:space="preserve">- </w:t>
      </w:r>
      <w:r w:rsidRPr="00795F17">
        <w:t>24</w:t>
      </w:r>
      <w:r w:rsidR="00945C8D" w:rsidRPr="00795F17">
        <w:t>5</w:t>
      </w:r>
      <w:r w:rsidRPr="00795F17">
        <w:t xml:space="preserve"> </w:t>
      </w:r>
      <w:r w:rsidR="00DF005E">
        <w:t>JCWP</w:t>
      </w:r>
      <w:r w:rsidRPr="00795F17">
        <w:t>.</w:t>
      </w:r>
    </w:p>
    <w:p w14:paraId="362B503C" w14:textId="4F9B911B" w:rsidR="00E75AAC" w:rsidRPr="00795F17" w:rsidRDefault="00D16478" w:rsidP="0044393D">
      <w:pPr>
        <w:rPr>
          <w:rFonts w:asciiTheme="minorHAnsi" w:hAnsiTheme="minorHAnsi"/>
        </w:rPr>
      </w:pPr>
      <w:r>
        <w:rPr>
          <w:noProof/>
        </w:rPr>
        <w:drawing>
          <wp:inline distT="0" distB="0" distL="0" distR="0" wp14:anchorId="7F3D7B9B" wp14:editId="212CC629">
            <wp:extent cx="5760720" cy="3937686"/>
            <wp:effectExtent l="0" t="0" r="11430" b="5715"/>
            <wp:docPr id="70" name="Wykres 70">
              <a:extLst xmlns:a="http://schemas.openxmlformats.org/drawingml/2006/main">
                <a:ext uri="{FF2B5EF4-FFF2-40B4-BE49-F238E27FC236}">
                  <a16:creationId xmlns:a16="http://schemas.microsoft.com/office/drawing/2014/main" id="{00000000-0008-0000-26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E6010AE" w14:textId="1C3B8A86" w:rsidR="00AD1DA1" w:rsidRPr="00795F17" w:rsidRDefault="00AD1DA1" w:rsidP="00B479EE">
      <w:pPr>
        <w:pStyle w:val="Wykres"/>
      </w:pPr>
      <w:bookmarkStart w:id="320" w:name="_Toc105512977"/>
      <w:r w:rsidRPr="00795F17">
        <w:t xml:space="preserve">Wykres </w:t>
      </w:r>
      <w:fldSimple w:instr=" STYLEREF 1 \s ">
        <w:r w:rsidR="001F774D">
          <w:rPr>
            <w:noProof/>
          </w:rPr>
          <w:t>7</w:t>
        </w:r>
      </w:fldSimple>
      <w:r w:rsidR="00FF20D3">
        <w:noBreakHyphen/>
      </w:r>
      <w:fldSimple w:instr=" SEQ Wykres \* ARABIC \s 1 ">
        <w:r w:rsidR="001F774D">
          <w:rPr>
            <w:noProof/>
          </w:rPr>
          <w:t>4</w:t>
        </w:r>
      </w:fldSimple>
      <w:r w:rsidR="00745044">
        <w:rPr>
          <w:noProof/>
        </w:rPr>
        <w:t>.</w:t>
      </w:r>
      <w:r w:rsidRPr="00795F17">
        <w:tab/>
        <w:t>Zestawienie oceny ryzyka nieosiągnięcia celów środowiskowych dla elementów biologicznych zależnych od hydromorfologii</w:t>
      </w:r>
      <w:r w:rsidR="00BC55DD" w:rsidRPr="00795F17">
        <w:t>,</w:t>
      </w:r>
      <w:r w:rsidRPr="00795F17">
        <w:t xml:space="preserve"> w podziale na regiony wodne </w:t>
      </w:r>
      <w:r w:rsidR="00FB15D5" w:rsidRPr="00795F17">
        <w:t xml:space="preserve">obszaru </w:t>
      </w:r>
      <w:r w:rsidRPr="00795F17">
        <w:t xml:space="preserve">dorzecza </w:t>
      </w:r>
      <w:bookmarkEnd w:id="319"/>
      <w:r w:rsidR="00E75AAC" w:rsidRPr="00795F17">
        <w:t>Odry</w:t>
      </w:r>
      <w:bookmarkEnd w:id="320"/>
    </w:p>
    <w:p w14:paraId="266CBF3A" w14:textId="1609F173"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F53EDF">
        <w:t>–</w:t>
      </w:r>
      <w:r w:rsidRPr="00795F17">
        <w:t xml:space="preserve"> </w:t>
      </w:r>
      <w:r w:rsidR="00DF005E">
        <w:t>JCWP</w:t>
      </w:r>
      <w:r w:rsidRPr="00795F17">
        <w:t xml:space="preserve"> (…) </w:t>
      </w:r>
      <w:r w:rsidR="00F53EDF">
        <w:t>–</w:t>
      </w:r>
      <w:r w:rsidRPr="00795F17">
        <w:t xml:space="preserve"> aktualizacja</w:t>
      </w:r>
    </w:p>
    <w:p w14:paraId="7CE3B2FB" w14:textId="02BCB92F" w:rsidR="005D2DC1" w:rsidRPr="00795F17" w:rsidRDefault="005D2DC1" w:rsidP="0044393D">
      <w:bookmarkStart w:id="321" w:name="_Toc66288186"/>
      <w:r w:rsidRPr="00795F17">
        <w:t xml:space="preserve">W przypadku elementów biologicznych zależnych od trofii ryzyko nieosiągnięcia celów środowiskowych wskazano w mniejszej liczbie </w:t>
      </w:r>
      <w:r w:rsidR="00DF005E">
        <w:t>JCWP</w:t>
      </w:r>
      <w:r w:rsidRPr="00795F17">
        <w:t xml:space="preserve"> niż dla elementów zależnych od hydromorfologii. Wartość ta wyniosła maksymalnie ok</w:t>
      </w:r>
      <w:r w:rsidR="008E1470">
        <w:t>oło</w:t>
      </w:r>
      <w:r w:rsidRPr="00795F17">
        <w:t xml:space="preserve"> 56% </w:t>
      </w:r>
      <w:r w:rsidR="00DF005E">
        <w:t>JCWP</w:t>
      </w:r>
      <w:r w:rsidRPr="00795F17">
        <w:t xml:space="preserve"> (region wodny Warty, wykres 7-5). Liczba </w:t>
      </w:r>
      <w:r w:rsidR="00DF005E">
        <w:t>JCWP</w:t>
      </w:r>
      <w:r w:rsidRPr="00795F17">
        <w:t xml:space="preserve"> z</w:t>
      </w:r>
      <w:r w:rsidR="00EC3008" w:rsidRPr="00795F17">
        <w:t> </w:t>
      </w:r>
      <w:r w:rsidRPr="00795F17">
        <w:t>ryzykiem znaczącym dla elementów biologicznych zależnych od trofii kształtuje się następująco w</w:t>
      </w:r>
      <w:r w:rsidR="00EC3008" w:rsidRPr="00795F17">
        <w:t> </w:t>
      </w:r>
      <w:r w:rsidRPr="00795F17">
        <w:t>regionach wodnych (wykres 7-5):</w:t>
      </w:r>
    </w:p>
    <w:p w14:paraId="46563481" w14:textId="62582D7B" w:rsidR="005D2DC1" w:rsidRPr="00795F17" w:rsidRDefault="005D2DC1" w:rsidP="00117E86">
      <w:pPr>
        <w:pStyle w:val="Listapunktowana2"/>
      </w:pPr>
      <w:r w:rsidRPr="00795F17">
        <w:t xml:space="preserve">region wodny Dolnej Odry i Przymorza Zachodniego </w:t>
      </w:r>
      <w:r w:rsidR="008E1470">
        <w:t xml:space="preserve">- </w:t>
      </w:r>
      <w:r w:rsidRPr="00795F17">
        <w:t xml:space="preserve">79 </w:t>
      </w:r>
      <w:r w:rsidR="00DF005E">
        <w:t>JCWP</w:t>
      </w:r>
      <w:r w:rsidRPr="00795F17">
        <w:t>,</w:t>
      </w:r>
    </w:p>
    <w:p w14:paraId="7429134D" w14:textId="7F37B11D" w:rsidR="005D2DC1" w:rsidRPr="00795F17" w:rsidRDefault="005D2DC1" w:rsidP="00117E86">
      <w:pPr>
        <w:pStyle w:val="Listapunktowana2"/>
      </w:pPr>
      <w:r w:rsidRPr="00795F17">
        <w:t xml:space="preserve">region wodny Górnej Odry </w:t>
      </w:r>
      <w:r w:rsidR="008E1470">
        <w:t xml:space="preserve">- </w:t>
      </w:r>
      <w:r w:rsidRPr="00795F17">
        <w:t xml:space="preserve">59 </w:t>
      </w:r>
      <w:r w:rsidR="00DF005E">
        <w:t>JCWP</w:t>
      </w:r>
      <w:r w:rsidRPr="00795F17">
        <w:t>,</w:t>
      </w:r>
    </w:p>
    <w:p w14:paraId="66D65407" w14:textId="12071FC2" w:rsidR="005D2DC1" w:rsidRPr="00795F17" w:rsidRDefault="005D2DC1" w:rsidP="00117E86">
      <w:pPr>
        <w:pStyle w:val="Listapunktowana2"/>
      </w:pPr>
      <w:r w:rsidRPr="00795F17">
        <w:t xml:space="preserve">region wodny Środkowej Odry </w:t>
      </w:r>
      <w:r w:rsidR="008E1470">
        <w:t xml:space="preserve">- </w:t>
      </w:r>
      <w:r w:rsidRPr="00795F17">
        <w:t xml:space="preserve">185 </w:t>
      </w:r>
      <w:r w:rsidR="00DF005E">
        <w:t>JCWP</w:t>
      </w:r>
      <w:r w:rsidRPr="00795F17">
        <w:t>,</w:t>
      </w:r>
    </w:p>
    <w:p w14:paraId="47626F7A" w14:textId="35BA79F6" w:rsidR="005D2DC1" w:rsidRPr="00795F17" w:rsidRDefault="005D2DC1" w:rsidP="00117E86">
      <w:pPr>
        <w:pStyle w:val="Listapunktowana2"/>
      </w:pPr>
      <w:r w:rsidRPr="00795F17">
        <w:t xml:space="preserve">region wodny Noteci </w:t>
      </w:r>
      <w:r w:rsidR="008E1470">
        <w:t>-</w:t>
      </w:r>
      <w:r w:rsidRPr="00795F17">
        <w:t xml:space="preserve">36 </w:t>
      </w:r>
      <w:r w:rsidR="00DF005E">
        <w:t>JCWP</w:t>
      </w:r>
      <w:r w:rsidRPr="00795F17">
        <w:t>,</w:t>
      </w:r>
    </w:p>
    <w:p w14:paraId="265B7A7B" w14:textId="7EF81FD4" w:rsidR="005D2DC1" w:rsidRPr="00795F17" w:rsidRDefault="005D2DC1" w:rsidP="00117E86">
      <w:pPr>
        <w:pStyle w:val="Listapunktowana2"/>
      </w:pPr>
      <w:r w:rsidRPr="00795F17">
        <w:t xml:space="preserve">region wodny Warty </w:t>
      </w:r>
      <w:r w:rsidR="008E1470">
        <w:t>-</w:t>
      </w:r>
      <w:r w:rsidRPr="00795F17">
        <w:t xml:space="preserve">157 </w:t>
      </w:r>
      <w:r w:rsidR="00DF005E">
        <w:t>JCWP</w:t>
      </w:r>
      <w:r w:rsidRPr="00795F17">
        <w:t>.</w:t>
      </w:r>
    </w:p>
    <w:p w14:paraId="1E768E63" w14:textId="5367B81B" w:rsidR="005D2DC1" w:rsidRPr="00795F17" w:rsidRDefault="00D16478" w:rsidP="0044393D">
      <w:pPr>
        <w:rPr>
          <w:rFonts w:asciiTheme="minorHAnsi" w:hAnsiTheme="minorHAnsi"/>
        </w:rPr>
      </w:pPr>
      <w:r>
        <w:rPr>
          <w:noProof/>
        </w:rPr>
        <w:drawing>
          <wp:inline distT="0" distB="0" distL="0" distR="0" wp14:anchorId="36EA11CC" wp14:editId="59168098">
            <wp:extent cx="5760720" cy="3822357"/>
            <wp:effectExtent l="0" t="0" r="11430" b="6985"/>
            <wp:docPr id="72" name="Wykres 72">
              <a:extLst xmlns:a="http://schemas.openxmlformats.org/drawingml/2006/main">
                <a:ext uri="{FF2B5EF4-FFF2-40B4-BE49-F238E27FC236}">
                  <a16:creationId xmlns:a16="http://schemas.microsoft.com/office/drawing/2014/main" id="{00000000-0008-0000-26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98CC36D" w14:textId="333DFADE" w:rsidR="00AD1DA1" w:rsidRPr="00795F17" w:rsidRDefault="00AD1DA1" w:rsidP="00B479EE">
      <w:pPr>
        <w:pStyle w:val="Wykres"/>
      </w:pPr>
      <w:bookmarkStart w:id="322" w:name="_Toc105512978"/>
      <w:r w:rsidRPr="00795F17">
        <w:t xml:space="preserve">Wykres </w:t>
      </w:r>
      <w:fldSimple w:instr=" STYLEREF 1 \s ">
        <w:r w:rsidR="001F774D">
          <w:rPr>
            <w:noProof/>
          </w:rPr>
          <w:t>7</w:t>
        </w:r>
      </w:fldSimple>
      <w:r w:rsidR="00FF20D3">
        <w:noBreakHyphen/>
      </w:r>
      <w:fldSimple w:instr=" SEQ Wykres \* ARABIC \s 1 ">
        <w:r w:rsidR="001F774D">
          <w:rPr>
            <w:noProof/>
          </w:rPr>
          <w:t>5</w:t>
        </w:r>
      </w:fldSimple>
      <w:r w:rsidR="00745044">
        <w:rPr>
          <w:noProof/>
        </w:rPr>
        <w:t>.</w:t>
      </w:r>
      <w:r w:rsidRPr="00795F17">
        <w:tab/>
      </w:r>
      <w:r w:rsidRPr="00795F17">
        <w:rPr>
          <w:lang w:val="pl"/>
        </w:rPr>
        <w:t>Zestawienie oceny ryzyka nieosiągnięcia celów środowiskowych dla elementów biologicznych zależnych od fizykochemii</w:t>
      </w:r>
      <w:r w:rsidR="00BC55DD" w:rsidRPr="00795F17">
        <w:rPr>
          <w:lang w:val="pl"/>
        </w:rPr>
        <w:t>,</w:t>
      </w:r>
      <w:r w:rsidRPr="00795F17">
        <w:rPr>
          <w:lang w:val="pl"/>
        </w:rPr>
        <w:t xml:space="preserve"> w podziale na regiony wodne </w:t>
      </w:r>
      <w:r w:rsidR="00FB15D5" w:rsidRPr="00795F17">
        <w:rPr>
          <w:lang w:val="pl"/>
        </w:rPr>
        <w:t xml:space="preserve">obszaru </w:t>
      </w:r>
      <w:r w:rsidRPr="00795F17">
        <w:rPr>
          <w:lang w:val="pl"/>
        </w:rPr>
        <w:t xml:space="preserve">dorzecza </w:t>
      </w:r>
      <w:bookmarkEnd w:id="321"/>
      <w:r w:rsidR="005D2DC1" w:rsidRPr="00795F17">
        <w:rPr>
          <w:lang w:val="pl"/>
        </w:rPr>
        <w:t>Odry</w:t>
      </w:r>
      <w:bookmarkEnd w:id="322"/>
    </w:p>
    <w:p w14:paraId="28323378" w14:textId="1ECBCF5E"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F53EDF">
        <w:t>–</w:t>
      </w:r>
      <w:r w:rsidRPr="00795F17">
        <w:t xml:space="preserve"> </w:t>
      </w:r>
      <w:r w:rsidR="00DF005E">
        <w:t>JCWP</w:t>
      </w:r>
      <w:r w:rsidRPr="00795F17">
        <w:t xml:space="preserve"> (…) </w:t>
      </w:r>
      <w:r w:rsidR="00F53EDF">
        <w:t>–</w:t>
      </w:r>
      <w:r w:rsidRPr="00795F17">
        <w:t xml:space="preserve"> aktualizacja</w:t>
      </w:r>
    </w:p>
    <w:p w14:paraId="28ED5AA3" w14:textId="353F9D08" w:rsidR="00382DA0" w:rsidRPr="00795F17" w:rsidRDefault="00382DA0" w:rsidP="0044393D">
      <w:r w:rsidRPr="00795F17">
        <w:t xml:space="preserve">Ocena presji na elementy stanu chemicznego </w:t>
      </w:r>
      <w:r w:rsidR="00DF005E">
        <w:t>JCWP</w:t>
      </w:r>
      <w:r w:rsidRPr="00795F17">
        <w:t xml:space="preserve"> RW wskazuje na liczne występowanie szerokiego spektrum źródeł substancji zanieczyszczających przedostających się do wód oraz bioty. Ze względu na</w:t>
      </w:r>
      <w:r w:rsidR="0024025E" w:rsidRPr="00795F17">
        <w:t> </w:t>
      </w:r>
      <w:r w:rsidRPr="00795F17">
        <w:t xml:space="preserve">głównie antropogeniczne pochodzenie substancji stanowiących o stanie chemicznym </w:t>
      </w:r>
      <w:r w:rsidR="00DF005E">
        <w:t>JCWP</w:t>
      </w:r>
      <w:r w:rsidRPr="00795F17">
        <w:t>, najczęstszym powodem nieosiągania celu środowiskowego jest dopływ zanieczyszczeń pochodzących ze źródeł punktowych i obszarowych</w:t>
      </w:r>
      <w:r w:rsidR="6846623B">
        <w:t xml:space="preserve">. </w:t>
      </w:r>
      <w:r w:rsidR="0A579D73">
        <w:t xml:space="preserve">Za obniżenie stanu chemicznego odpowiadają głównie zanieczyszczenia ze źródeł rozproszonych, związane z rozwojem obszarów zurbanizowanych, rolnictwem oraz depozycją pochodzącą z niskiej i wysokiej emisji. </w:t>
      </w:r>
      <w:r w:rsidRPr="00795F17">
        <w:t xml:space="preserve">Informacja o skali występowania oraz rodzaju substancji powodujących przekroczenia w </w:t>
      </w:r>
      <w:r w:rsidR="00FB15D5" w:rsidRPr="00795F17">
        <w:t xml:space="preserve">obszarze </w:t>
      </w:r>
      <w:r w:rsidRPr="00795F17">
        <w:t>dorzecz</w:t>
      </w:r>
      <w:r w:rsidR="00FB15D5" w:rsidRPr="00795F17">
        <w:t>a</w:t>
      </w:r>
      <w:r w:rsidRPr="00795F17">
        <w:t xml:space="preserve"> została przedstawiona w rozdziale 6 omawiającym opracowany wykaz emisji i stężeń substancji priorytetowych.</w:t>
      </w:r>
    </w:p>
    <w:p w14:paraId="77E1464A" w14:textId="74362862" w:rsidR="00382DA0" w:rsidRPr="00795F17" w:rsidRDefault="00382DA0" w:rsidP="0044393D">
      <w:r w:rsidRPr="00795F17">
        <w:t xml:space="preserve">W pracy </w:t>
      </w:r>
      <w:r w:rsidRPr="00795F17">
        <w:rPr>
          <w:i/>
        </w:rPr>
        <w:t xml:space="preserve">Analiza znaczących oddziaływań </w:t>
      </w:r>
      <w:r w:rsidR="0091230B">
        <w:rPr>
          <w:i/>
        </w:rPr>
        <w:t>–</w:t>
      </w:r>
      <w:r w:rsidRPr="00795F17">
        <w:rPr>
          <w:i/>
        </w:rPr>
        <w:t xml:space="preserve"> </w:t>
      </w:r>
      <w:r w:rsidR="00DF005E">
        <w:rPr>
          <w:i/>
        </w:rPr>
        <w:t>JCWP</w:t>
      </w:r>
      <w:r w:rsidRPr="00795F17">
        <w:t xml:space="preserve"> (…)</w:t>
      </w:r>
      <w:r w:rsidR="00A57A31">
        <w:rPr>
          <w:rStyle w:val="Odwoanieprzypisudolnego"/>
        </w:rPr>
        <w:footnoteReference w:id="54"/>
      </w:r>
      <w:r w:rsidRPr="00795F17">
        <w:t xml:space="preserve"> zostały wyznaczone prawdopodobne, główne źródła presji powodujące przekroczenie wartości granicznych substancji priorytetowych. Wykonane analizy wykazały, że za obniżenie stanu chemicznego </w:t>
      </w:r>
      <w:r w:rsidR="00DF005E">
        <w:t>JCWP</w:t>
      </w:r>
      <w:r w:rsidRPr="00795F17">
        <w:t xml:space="preserve"> RW w obszarze dorzecza Odry odpowiada najczęściej pochodzenie substancji zanieczyszczających ze źródeł rozproszonych, skutkujące niekontrolowaną (ze względu na warunki meteorologiczno-hydrologiczne) depozycją i transportem zanieczyszczeń do wód powierzchniowych. Najczęściej występujące przekroczenia obejmują substancje, takie jak: WWA, fluoranten, związki tributylocyny, heptachlor.</w:t>
      </w:r>
    </w:p>
    <w:p w14:paraId="185271D5" w14:textId="64D37A46" w:rsidR="00382DA0" w:rsidRPr="00795F17" w:rsidRDefault="00382DA0" w:rsidP="0044393D">
      <w:r w:rsidRPr="00795F17">
        <w:t>Istotnym dla analizy stanu chemicznego jest</w:t>
      </w:r>
      <w:r w:rsidR="00580B89">
        <w:t xml:space="preserve"> to</w:t>
      </w:r>
      <w:r w:rsidRPr="00795F17">
        <w:t xml:space="preserve">, iż za złą ocenę we wszystkich kategoriach wód </w:t>
      </w:r>
      <w:r w:rsidR="00580B89">
        <w:t>na</w:t>
      </w:r>
      <w:r w:rsidRPr="00795F17">
        <w:t xml:space="preserve"> obszarze dorzecza Odry, odpowiada często przekroczenie wartości granicznych w</w:t>
      </w:r>
      <w:r w:rsidR="00EC3008" w:rsidRPr="00795F17">
        <w:t> </w:t>
      </w:r>
      <w:r w:rsidRPr="00795F17">
        <w:t>biocie. Wynika to z przekroczeń głównie takich substancji, jak: rtęć, bromowane difenyloetery, ale</w:t>
      </w:r>
      <w:r w:rsidR="00EC3008" w:rsidRPr="00795F17">
        <w:t> </w:t>
      </w:r>
      <w:r w:rsidRPr="00795F17">
        <w:t>również substancji pochodzących z nieznanego źródła jak np. heptachlor. W przypadku analizy pochodzenia substancji priorytetowych w organizmach, odmienna jest droga bezpośredniego transportu do matrycy. Substancje zarówno dopływające z innych zlewni, jak i spływające z pobliskich obszarów, ulegają akumulacji w osadzie i materii zawieszonej, gdzie następnie w wyniku procesu bioakumulacji i</w:t>
      </w:r>
      <w:r w:rsidR="005A7717">
        <w:t> </w:t>
      </w:r>
      <w:r w:rsidRPr="00795F17">
        <w:t>biomagnifikacji przedostają się do organizmów podlegających badaniom w ramach monitoringu. Stwierdzone przekroczenia wartości granicznych substancji w biocie są efektem nawet kilkuletniego pobierania zanieczyszczeń, pochodzących ze wszystkich dróg migracji. Jednocześnie droga eliminacji substancji z organizmu jest znikoma, co oznacza, że przekroczenia wartości granicznych w biocie, ze względu na substancje priorytetowe, nie stanowią odpowiedzi na aktualny stan tych samych zanieczyszczeń w wodzie.</w:t>
      </w:r>
    </w:p>
    <w:p w14:paraId="275C3CE7" w14:textId="20A3BE35" w:rsidR="00AD1DA1" w:rsidRPr="00795F17" w:rsidRDefault="00AD1DA1" w:rsidP="0044393D">
      <w:r w:rsidRPr="00795F17">
        <w:t xml:space="preserve">W </w:t>
      </w:r>
      <w:r w:rsidR="00DF005E">
        <w:t>JCWP</w:t>
      </w:r>
      <w:r w:rsidRPr="00795F17">
        <w:t xml:space="preserve"> RW we wszystkich regionach wodnych obszaru dorzecza </w:t>
      </w:r>
      <w:r w:rsidR="00162E02" w:rsidRPr="00795F17">
        <w:t>Odry</w:t>
      </w:r>
      <w:r w:rsidRPr="00795F17">
        <w:t xml:space="preserve"> dominującymi źródłami presji na wskaźniki fizykochemiczne są rolnictwo z depozycją atmosferyczną oraz odpływ miejski, które łącznie stanowią połowę presji znaczących wpływających na jakość wód powierzchniowych</w:t>
      </w:r>
      <w:r w:rsidR="0008401C" w:rsidRPr="00795F17">
        <w:t>, co</w:t>
      </w:r>
      <w:r w:rsidR="00EC3008" w:rsidRPr="00795F17">
        <w:t> </w:t>
      </w:r>
      <w:r w:rsidR="0008401C" w:rsidRPr="00795F17">
        <w:t>zobrazowano na wykresie 7-6</w:t>
      </w:r>
      <w:r w:rsidRPr="00795F17">
        <w:t>.</w:t>
      </w:r>
    </w:p>
    <w:p w14:paraId="18993D78" w14:textId="1F62B336" w:rsidR="00AD1DA1" w:rsidRPr="00795F17" w:rsidRDefault="001D1BBF" w:rsidP="00E01928">
      <w:pPr>
        <w:jc w:val="center"/>
        <w:rPr>
          <w:rFonts w:asciiTheme="minorHAnsi" w:hAnsiTheme="minorHAnsi"/>
        </w:rPr>
      </w:pPr>
      <w:r w:rsidRPr="00795F17">
        <w:rPr>
          <w:noProof/>
          <w:lang w:eastAsia="pl-PL"/>
        </w:rPr>
        <w:drawing>
          <wp:inline distT="0" distB="0" distL="0" distR="0" wp14:anchorId="2881F157" wp14:editId="1708F7B3">
            <wp:extent cx="5760000" cy="5040000"/>
            <wp:effectExtent l="0" t="0" r="12700" b="8255"/>
            <wp:docPr id="43" name="Wykres 43">
              <a:extLst xmlns:a="http://schemas.openxmlformats.org/drawingml/2006/main">
                <a:ext uri="{FF2B5EF4-FFF2-40B4-BE49-F238E27FC236}">
                  <a16:creationId xmlns:a16="http://schemas.microsoft.com/office/drawing/2014/main" id="{E1933F00-64DD-4DAD-9EBA-FA88096BB6B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9D7D183" w14:textId="6BCDD55C" w:rsidR="00AD1DA1" w:rsidRPr="00795F17" w:rsidRDefault="00AD1DA1" w:rsidP="00B479EE">
      <w:pPr>
        <w:pStyle w:val="Wykres"/>
        <w:rPr>
          <w:i/>
        </w:rPr>
      </w:pPr>
      <w:bookmarkStart w:id="323" w:name="_Toc66288187"/>
      <w:bookmarkStart w:id="324" w:name="_Toc105512979"/>
      <w:r w:rsidRPr="00795F17">
        <w:t xml:space="preserve">Wykres </w:t>
      </w:r>
      <w:fldSimple w:instr=" STYLEREF 1 \s ">
        <w:r w:rsidR="001F774D">
          <w:rPr>
            <w:noProof/>
          </w:rPr>
          <w:t>7</w:t>
        </w:r>
      </w:fldSimple>
      <w:r w:rsidR="00FF20D3">
        <w:noBreakHyphen/>
      </w:r>
      <w:fldSimple w:instr=" SEQ Wykres \* ARABIC \s 1 ">
        <w:r w:rsidR="001F774D">
          <w:rPr>
            <w:noProof/>
          </w:rPr>
          <w:t>6</w:t>
        </w:r>
      </w:fldSimple>
      <w:r w:rsidR="00745044">
        <w:rPr>
          <w:noProof/>
        </w:rPr>
        <w:t>.</w:t>
      </w:r>
      <w:r w:rsidRPr="00795F17">
        <w:tab/>
        <w:t xml:space="preserve">Dominujące źródła presji na wskaźniki fizykochemiczne </w:t>
      </w:r>
      <w:r w:rsidR="00DF005E">
        <w:t>JCWP</w:t>
      </w:r>
      <w:r w:rsidRPr="00795F17">
        <w:t xml:space="preserve"> RW</w:t>
      </w:r>
      <w:r w:rsidR="00BC55DD" w:rsidRPr="00795F17">
        <w:t>,</w:t>
      </w:r>
      <w:r w:rsidRPr="00795F17">
        <w:t xml:space="preserve"> w</w:t>
      </w:r>
      <w:r w:rsidR="00EC3008" w:rsidRPr="00795F17">
        <w:t> </w:t>
      </w:r>
      <w:r w:rsidRPr="00795F17">
        <w:t>podziale na poszczególne regiony wodne</w:t>
      </w:r>
      <w:bookmarkEnd w:id="323"/>
      <w:r w:rsidR="00453FDB">
        <w:t xml:space="preserve"> obszaru dorzecza Odry</w:t>
      </w:r>
      <w:bookmarkEnd w:id="324"/>
    </w:p>
    <w:p w14:paraId="778D7786" w14:textId="06021B90"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91230B">
        <w:t>–</w:t>
      </w:r>
      <w:r w:rsidRPr="00795F17">
        <w:t xml:space="preserve"> </w:t>
      </w:r>
      <w:r w:rsidR="00DF005E">
        <w:t>JCWP</w:t>
      </w:r>
      <w:r w:rsidRPr="00795F17">
        <w:t xml:space="preserve"> (…) </w:t>
      </w:r>
      <w:r w:rsidR="0091230B">
        <w:t>–</w:t>
      </w:r>
      <w:r w:rsidRPr="00795F17">
        <w:t xml:space="preserve"> aktualizacja</w:t>
      </w:r>
    </w:p>
    <w:p w14:paraId="4B8C23A1" w14:textId="7588CE87" w:rsidR="00B61DF5" w:rsidRPr="00795F17" w:rsidRDefault="00DF005E" w:rsidP="0044393D">
      <w:r>
        <w:t>JCWP</w:t>
      </w:r>
      <w:r w:rsidR="00B61DF5" w:rsidRPr="00795F17">
        <w:t xml:space="preserve"> </w:t>
      </w:r>
      <w:r w:rsidR="00943C7B" w:rsidRPr="00795F17">
        <w:t xml:space="preserve">RW </w:t>
      </w:r>
      <w:r w:rsidR="00B61DF5" w:rsidRPr="00795F17">
        <w:t xml:space="preserve">ze zidentyfikowaną presją </w:t>
      </w:r>
      <w:r w:rsidR="00943C7B" w:rsidRPr="00795F17">
        <w:t>poboru</w:t>
      </w:r>
      <w:r w:rsidR="00B61DF5" w:rsidRPr="00795F17">
        <w:t xml:space="preserve"> zaprezentowan</w:t>
      </w:r>
      <w:r w:rsidR="00943C7B" w:rsidRPr="00795F17">
        <w:t>o w</w:t>
      </w:r>
      <w:r w:rsidR="00B61DF5" w:rsidRPr="00795F17">
        <w:t xml:space="preserve"> załączniku graficznym nr </w:t>
      </w:r>
      <w:r w:rsidR="00DD3B75">
        <w:t>55</w:t>
      </w:r>
      <w:r w:rsidR="00B61DF5" w:rsidRPr="00795F17">
        <w:t>.</w:t>
      </w:r>
    </w:p>
    <w:p w14:paraId="092F4B9D" w14:textId="5A8FE971" w:rsidR="00AD1DA1" w:rsidRPr="00795F17" w:rsidRDefault="00AD1DA1" w:rsidP="0044393D">
      <w:r w:rsidRPr="00795F17">
        <w:t xml:space="preserve">Przeprowadzona ocena ryzyka nieosiągnięcia celów pozwoliła na wskazanie </w:t>
      </w:r>
      <w:r w:rsidR="00DF005E">
        <w:t>JCWP</w:t>
      </w:r>
      <w:r w:rsidRPr="00795F17">
        <w:t xml:space="preserve"> RW zagrożonych nieosiągnięciem celów środowiskowych. </w:t>
      </w:r>
      <w:r w:rsidR="006A75B3">
        <w:t>Na</w:t>
      </w:r>
      <w:r w:rsidRPr="00795F17">
        <w:t xml:space="preserve"> obszarze dorzecza </w:t>
      </w:r>
      <w:r w:rsidR="00FC26E2" w:rsidRPr="00795F17">
        <w:t>Odry</w:t>
      </w:r>
      <w:r w:rsidRPr="00795F17">
        <w:t xml:space="preserve"> 9</w:t>
      </w:r>
      <w:r w:rsidR="00FC26E2" w:rsidRPr="00795F17">
        <w:t>5</w:t>
      </w:r>
      <w:r w:rsidR="00BA6B41">
        <w:t>%</w:t>
      </w:r>
      <w:r w:rsidRPr="00795F17">
        <w:t xml:space="preserve"> </w:t>
      </w:r>
      <w:r w:rsidR="00DF005E">
        <w:t>JCWP</w:t>
      </w:r>
      <w:r w:rsidRPr="00795F17">
        <w:t xml:space="preserve"> RW jest zagrożonych nieosiągnięciem celów środowiskowych</w:t>
      </w:r>
      <w:r w:rsidR="009517D2" w:rsidRPr="00795F17">
        <w:t xml:space="preserve"> (wykres </w:t>
      </w:r>
      <w:r w:rsidR="0008401C" w:rsidRPr="00795F17">
        <w:t>7-7</w:t>
      </w:r>
      <w:r w:rsidR="009517D2" w:rsidRPr="00795F17">
        <w:t>)</w:t>
      </w:r>
      <w:r w:rsidRPr="00795F17">
        <w:t xml:space="preserve">. </w:t>
      </w:r>
    </w:p>
    <w:p w14:paraId="76748A4B" w14:textId="7E5BECAC" w:rsidR="00AD1DA1" w:rsidRPr="00795F17" w:rsidRDefault="001D1BBF" w:rsidP="00E01928">
      <w:pPr>
        <w:jc w:val="center"/>
      </w:pPr>
      <w:r w:rsidRPr="00795F17">
        <w:rPr>
          <w:noProof/>
          <w:lang w:eastAsia="pl-PL"/>
        </w:rPr>
        <w:drawing>
          <wp:inline distT="0" distB="0" distL="0" distR="0" wp14:anchorId="27937128" wp14:editId="6EB24D69">
            <wp:extent cx="4320000" cy="2520000"/>
            <wp:effectExtent l="0" t="0" r="4445" b="13970"/>
            <wp:docPr id="45" name="Wykres 45">
              <a:extLst xmlns:a="http://schemas.openxmlformats.org/drawingml/2006/main">
                <a:ext uri="{FF2B5EF4-FFF2-40B4-BE49-F238E27FC236}">
                  <a16:creationId xmlns:a16="http://schemas.microsoft.com/office/drawing/2014/main" id="{6613EF10-EF41-451E-AD8C-50F03A66AD6B}"/>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FEA4B4A" w14:textId="527F2BE6" w:rsidR="00AD1DA1" w:rsidRPr="00795F17" w:rsidRDefault="00AD1DA1" w:rsidP="00B479EE">
      <w:pPr>
        <w:pStyle w:val="Wykres"/>
        <w:rPr>
          <w:i/>
        </w:rPr>
      </w:pPr>
      <w:bookmarkStart w:id="325" w:name="_Toc66288188"/>
      <w:bookmarkStart w:id="326" w:name="_Toc105512980"/>
      <w:r w:rsidRPr="00795F17">
        <w:t xml:space="preserve">Wykres </w:t>
      </w:r>
      <w:fldSimple w:instr=" STYLEREF 1 \s ">
        <w:r w:rsidR="001F774D">
          <w:rPr>
            <w:noProof/>
          </w:rPr>
          <w:t>7</w:t>
        </w:r>
      </w:fldSimple>
      <w:r w:rsidR="00FF20D3">
        <w:noBreakHyphen/>
      </w:r>
      <w:fldSimple w:instr=" SEQ Wykres \* ARABIC \s 1 ">
        <w:r w:rsidR="001F774D">
          <w:rPr>
            <w:noProof/>
          </w:rPr>
          <w:t>7</w:t>
        </w:r>
      </w:fldSimple>
      <w:r w:rsidR="00745044">
        <w:rPr>
          <w:noProof/>
        </w:rPr>
        <w:t>.</w:t>
      </w:r>
      <w:r w:rsidRPr="00795F17">
        <w:tab/>
        <w:t xml:space="preserve">Udział </w:t>
      </w:r>
      <w:r w:rsidR="00DF005E">
        <w:t>JCWP</w:t>
      </w:r>
      <w:r w:rsidRPr="00795F17">
        <w:t xml:space="preserve"> RW zagrożonych nieosiągnięciem celów środowiskowych w ogólnej liczbie </w:t>
      </w:r>
      <w:r w:rsidR="00DF005E">
        <w:t>JCWP</w:t>
      </w:r>
      <w:r w:rsidRPr="00795F17">
        <w:t xml:space="preserve"> RW obszaru dorzecza </w:t>
      </w:r>
      <w:bookmarkEnd w:id="325"/>
      <w:r w:rsidR="00FC26E2" w:rsidRPr="00795F17">
        <w:t>Odry</w:t>
      </w:r>
      <w:bookmarkEnd w:id="326"/>
    </w:p>
    <w:p w14:paraId="0A575364" w14:textId="543DA90B"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91230B">
        <w:t>–</w:t>
      </w:r>
      <w:r w:rsidRPr="00795F17">
        <w:t xml:space="preserve"> </w:t>
      </w:r>
      <w:r w:rsidR="00DF005E">
        <w:t>JCWP</w:t>
      </w:r>
      <w:r w:rsidRPr="00795F17">
        <w:t xml:space="preserve"> (…) </w:t>
      </w:r>
      <w:r w:rsidR="0091230B">
        <w:t>–</w:t>
      </w:r>
      <w:r w:rsidRPr="00795F17">
        <w:t xml:space="preserve"> aktualizacja</w:t>
      </w:r>
    </w:p>
    <w:p w14:paraId="5326E065" w14:textId="592BC3E2" w:rsidR="00AD1DA1" w:rsidRPr="00795F17" w:rsidRDefault="00AD1DA1" w:rsidP="0044393D">
      <w:r w:rsidRPr="00795F17">
        <w:t xml:space="preserve">Na poziomie poszczególnych regionów wodnych obszaru dorzecza </w:t>
      </w:r>
      <w:r w:rsidR="00822318" w:rsidRPr="00795F17">
        <w:t>Odry</w:t>
      </w:r>
      <w:r w:rsidRPr="00795F17">
        <w:t xml:space="preserve"> zagrożenie nieosiągnięciem celów środowiskowych ma rozkład równomierny osiągając w każdym z regionów ponad 90% ogólnej liczby </w:t>
      </w:r>
      <w:r w:rsidR="00DF005E">
        <w:t>JCWP</w:t>
      </w:r>
      <w:r w:rsidRPr="00795F17">
        <w:t xml:space="preserve"> RW danego regionu</w:t>
      </w:r>
      <w:r w:rsidR="0008401C" w:rsidRPr="00795F17">
        <w:t xml:space="preserve"> (</w:t>
      </w:r>
      <w:r w:rsidR="00A267D6" w:rsidRPr="00795F17">
        <w:t xml:space="preserve">tabela 7-3, </w:t>
      </w:r>
      <w:r w:rsidR="0008401C" w:rsidRPr="00795F17">
        <w:t>wykres 7-8)</w:t>
      </w:r>
      <w:r w:rsidRPr="00795F17">
        <w:t>.</w:t>
      </w:r>
    </w:p>
    <w:p w14:paraId="157B5DF5" w14:textId="672D88FC" w:rsidR="00AD1DA1" w:rsidRPr="00795F17" w:rsidRDefault="00AD1DA1" w:rsidP="004D7705">
      <w:pPr>
        <w:pStyle w:val="Tabela"/>
        <w:rPr>
          <w:i/>
        </w:rPr>
      </w:pPr>
      <w:bookmarkStart w:id="327" w:name="_Toc66288072"/>
      <w:bookmarkStart w:id="328" w:name="_Toc66341893"/>
      <w:bookmarkStart w:id="329" w:name="_Toc105512804"/>
      <w:r w:rsidRPr="00795F17">
        <w:t xml:space="preserve">Tabela </w:t>
      </w:r>
      <w:fldSimple w:instr=" STYLEREF 1 \s ">
        <w:r w:rsidR="001F774D">
          <w:rPr>
            <w:noProof/>
          </w:rPr>
          <w:t>7</w:t>
        </w:r>
      </w:fldSimple>
      <w:r w:rsidR="00BB3B21" w:rsidRPr="00795F17">
        <w:noBreakHyphen/>
      </w:r>
      <w:fldSimple w:instr=" SEQ Tabela \* ARABIC \s 1 ">
        <w:r w:rsidR="001F774D">
          <w:rPr>
            <w:noProof/>
          </w:rPr>
          <w:t>3</w:t>
        </w:r>
      </w:fldSimple>
      <w:r w:rsidR="00E76356">
        <w:rPr>
          <w:noProof/>
        </w:rPr>
        <w:t>.</w:t>
      </w:r>
      <w:r w:rsidRPr="00795F17">
        <w:tab/>
      </w:r>
      <w:bookmarkEnd w:id="327"/>
      <w:bookmarkEnd w:id="328"/>
      <w:r w:rsidR="009B7099" w:rsidRPr="00795F17">
        <w:t xml:space="preserve">Liczba </w:t>
      </w:r>
      <w:r w:rsidR="00DF005E">
        <w:t>JCWP</w:t>
      </w:r>
      <w:r w:rsidR="009B7099" w:rsidRPr="00795F17">
        <w:t xml:space="preserve"> RW zagrożonych nieosiągnięciem celów środowiskowych w podziale na regiony wodne obszaru dorzecza Odry</w:t>
      </w:r>
      <w:bookmarkEnd w:id="329"/>
    </w:p>
    <w:tbl>
      <w:tblPr>
        <w:tblW w:w="5000" w:type="pct"/>
        <w:jc w:val="center"/>
        <w:tblCellMar>
          <w:left w:w="70" w:type="dxa"/>
          <w:right w:w="70" w:type="dxa"/>
        </w:tblCellMar>
        <w:tblLook w:val="04A0" w:firstRow="1" w:lastRow="0" w:firstColumn="1" w:lastColumn="0" w:noHBand="0" w:noVBand="1"/>
      </w:tblPr>
      <w:tblGrid>
        <w:gridCol w:w="3184"/>
        <w:gridCol w:w="2982"/>
        <w:gridCol w:w="2896"/>
      </w:tblGrid>
      <w:tr w:rsidR="00AD1DA1" w:rsidRPr="00795F17" w14:paraId="5F358DBD" w14:textId="77777777" w:rsidTr="00E01928">
        <w:trPr>
          <w:trHeight w:val="454"/>
          <w:jc w:val="center"/>
        </w:trPr>
        <w:tc>
          <w:tcPr>
            <w:tcW w:w="0" w:type="auto"/>
            <w:tcBorders>
              <w:top w:val="single" w:sz="4" w:space="0" w:color="auto"/>
              <w:left w:val="single" w:sz="4" w:space="0" w:color="auto"/>
              <w:bottom w:val="single" w:sz="4" w:space="0" w:color="auto"/>
              <w:right w:val="single" w:sz="4" w:space="0" w:color="auto"/>
            </w:tcBorders>
            <w:shd w:val="clear" w:color="DDEBF7" w:fill="BFBFBF"/>
            <w:vAlign w:val="center"/>
            <w:hideMark/>
          </w:tcPr>
          <w:p w14:paraId="38D03C9F" w14:textId="77777777" w:rsidR="00AD1DA1" w:rsidRPr="00795F17" w:rsidRDefault="00AD1DA1" w:rsidP="008E191A">
            <w:pPr>
              <w:pStyle w:val="Teksttabelinaglowek"/>
            </w:pPr>
            <w:r w:rsidRPr="00795F17">
              <w:t>Region wodny</w:t>
            </w:r>
          </w:p>
        </w:tc>
        <w:tc>
          <w:tcPr>
            <w:tcW w:w="0" w:type="auto"/>
            <w:tcBorders>
              <w:top w:val="single" w:sz="4" w:space="0" w:color="auto"/>
              <w:left w:val="nil"/>
              <w:bottom w:val="single" w:sz="4" w:space="0" w:color="auto"/>
              <w:right w:val="single" w:sz="4" w:space="0" w:color="auto"/>
            </w:tcBorders>
            <w:shd w:val="clear" w:color="DDEBF7" w:fill="BFBFBF"/>
            <w:vAlign w:val="center"/>
            <w:hideMark/>
          </w:tcPr>
          <w:p w14:paraId="27B27794" w14:textId="1DC74DDE" w:rsidR="00AD1DA1" w:rsidRPr="00795F17" w:rsidRDefault="00AD1DA1" w:rsidP="008E191A">
            <w:pPr>
              <w:pStyle w:val="Teksttabelinaglowek"/>
            </w:pPr>
            <w:r w:rsidRPr="00795F17">
              <w:t xml:space="preserve">Liczba </w:t>
            </w:r>
            <w:r w:rsidR="00DF005E">
              <w:t>JCWP</w:t>
            </w:r>
            <w:r w:rsidRPr="00795F17">
              <w:t xml:space="preserve"> niezagrożonych nieosiągnięciem celów środowiskowych</w:t>
            </w:r>
          </w:p>
        </w:tc>
        <w:tc>
          <w:tcPr>
            <w:tcW w:w="0" w:type="auto"/>
            <w:tcBorders>
              <w:top w:val="single" w:sz="4" w:space="0" w:color="auto"/>
              <w:left w:val="nil"/>
              <w:bottom w:val="single" w:sz="4" w:space="0" w:color="auto"/>
              <w:right w:val="single" w:sz="4" w:space="0" w:color="auto"/>
            </w:tcBorders>
            <w:shd w:val="clear" w:color="DDEBF7" w:fill="BFBFBF"/>
            <w:vAlign w:val="center"/>
            <w:hideMark/>
          </w:tcPr>
          <w:p w14:paraId="04A23E1D" w14:textId="487E4C8D" w:rsidR="00AD1DA1" w:rsidRPr="00795F17" w:rsidRDefault="00AD1DA1" w:rsidP="008E191A">
            <w:pPr>
              <w:pStyle w:val="Teksttabelinaglowek"/>
            </w:pPr>
            <w:r w:rsidRPr="00795F17">
              <w:t xml:space="preserve">Liczba </w:t>
            </w:r>
            <w:r w:rsidR="00DF005E">
              <w:t>JCWP</w:t>
            </w:r>
            <w:r w:rsidRPr="00795F17">
              <w:t xml:space="preserve"> zagrożonych nieosiągnięciem celów środowiskowych</w:t>
            </w:r>
          </w:p>
        </w:tc>
      </w:tr>
      <w:tr w:rsidR="0012719F" w:rsidRPr="00795F17" w14:paraId="78DFC41C" w14:textId="77777777" w:rsidTr="00E01928">
        <w:trPr>
          <w:trHeight w:val="4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B7623" w14:textId="49F88136" w:rsidR="0012719F" w:rsidRPr="00795F17" w:rsidRDefault="0012719F" w:rsidP="008E191A">
            <w:pPr>
              <w:pStyle w:val="Teksttabelilewy"/>
            </w:pPr>
            <w:r w:rsidRPr="00795F17">
              <w:t>Dolnej Odry i Przymorza Zachodniego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3FD477" w14:textId="2F1D0353" w:rsidR="0012719F" w:rsidRPr="00795F17" w:rsidRDefault="0012719F" w:rsidP="008E191A">
            <w:pPr>
              <w:pStyle w:val="Teksttabelisrodek"/>
            </w:pPr>
            <w:r w:rsidRPr="00795F17">
              <w:t>2</w:t>
            </w:r>
            <w:r w:rsidR="005C66ED">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C6921A" w14:textId="0C3C354F" w:rsidR="0012719F" w:rsidRPr="00795F17" w:rsidRDefault="0012719F" w:rsidP="008E191A">
            <w:pPr>
              <w:pStyle w:val="Teksttabelisrodek"/>
            </w:pPr>
            <w:r w:rsidRPr="00795F17">
              <w:t>2</w:t>
            </w:r>
            <w:r w:rsidR="005C66ED">
              <w:t>47</w:t>
            </w:r>
          </w:p>
        </w:tc>
      </w:tr>
      <w:tr w:rsidR="0012719F" w:rsidRPr="00795F17" w14:paraId="23905FBA" w14:textId="77777777" w:rsidTr="00E01928">
        <w:trPr>
          <w:trHeight w:val="4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B73701E" w14:textId="75094325" w:rsidR="0012719F" w:rsidRPr="00795F17" w:rsidRDefault="0012719F" w:rsidP="008E191A">
            <w:pPr>
              <w:pStyle w:val="Teksttabelilewy"/>
            </w:pPr>
            <w:r w:rsidRPr="00795F17">
              <w:t>Górnej Odry</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6A0F1CF" w14:textId="65D6CD00" w:rsidR="0012719F" w:rsidRPr="00795F17" w:rsidRDefault="0012719F" w:rsidP="008E191A">
            <w:pPr>
              <w:pStyle w:val="Teksttabelisrodek"/>
            </w:pPr>
            <w:r w:rsidRPr="00795F17">
              <w:t>9</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76973E7" w14:textId="59D09CF1" w:rsidR="0012719F" w:rsidRPr="00795F17" w:rsidRDefault="0012719F" w:rsidP="008E191A">
            <w:pPr>
              <w:pStyle w:val="Teksttabelisrodek"/>
            </w:pPr>
            <w:r w:rsidRPr="00795F17">
              <w:t>133</w:t>
            </w:r>
          </w:p>
        </w:tc>
      </w:tr>
      <w:tr w:rsidR="0012719F" w:rsidRPr="00795F17" w14:paraId="035BD363" w14:textId="77777777" w:rsidTr="00E01928">
        <w:trPr>
          <w:trHeight w:val="4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53151" w14:textId="2F156784" w:rsidR="0012719F" w:rsidRPr="00795F17" w:rsidRDefault="0012719F" w:rsidP="008E191A">
            <w:pPr>
              <w:pStyle w:val="Teksttabelilewy"/>
            </w:pPr>
            <w:r w:rsidRPr="00795F17">
              <w:t>Noteci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631ECF4" w14:textId="3EF786CF" w:rsidR="0012719F" w:rsidRPr="00795F17" w:rsidRDefault="0012719F" w:rsidP="008E191A">
            <w:pPr>
              <w:pStyle w:val="Teksttabelisrodek"/>
            </w:pPr>
            <w:r w:rsidRPr="00795F17">
              <w:t>1</w:t>
            </w:r>
            <w:r w:rsidR="00666C18">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45C48A6" w14:textId="63E14E40" w:rsidR="0012719F" w:rsidRPr="00795F17" w:rsidRDefault="0012719F" w:rsidP="008E191A">
            <w:pPr>
              <w:pStyle w:val="Teksttabelisrodek"/>
            </w:pPr>
            <w:r w:rsidRPr="00795F17">
              <w:t>12</w:t>
            </w:r>
            <w:r w:rsidR="00666C18">
              <w:t>2</w:t>
            </w:r>
          </w:p>
        </w:tc>
      </w:tr>
      <w:tr w:rsidR="0012719F" w:rsidRPr="00795F17" w14:paraId="0BAF1637" w14:textId="77777777" w:rsidTr="00E01928">
        <w:trPr>
          <w:trHeight w:val="4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93096" w14:textId="7D147313" w:rsidR="0012719F" w:rsidRPr="00795F17" w:rsidRDefault="0012719F" w:rsidP="008E191A">
            <w:pPr>
              <w:pStyle w:val="Teksttabelilewy"/>
            </w:pPr>
            <w:r w:rsidRPr="00795F17">
              <w:t>Środkowej Odry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59F076" w14:textId="6B6D7133" w:rsidR="0012719F" w:rsidRPr="00795F17" w:rsidRDefault="0012719F" w:rsidP="008E191A">
            <w:pPr>
              <w:pStyle w:val="Teksttabelisrodek"/>
            </w:pPr>
            <w:r w:rsidRPr="00795F17">
              <w:t>1</w:t>
            </w:r>
            <w:r w:rsidR="00666C18">
              <w:t>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6AD661" w14:textId="22F4861D" w:rsidR="0012719F" w:rsidRPr="00795F17" w:rsidRDefault="0012719F" w:rsidP="008E191A">
            <w:pPr>
              <w:pStyle w:val="Teksttabelisrodek"/>
            </w:pPr>
            <w:r w:rsidRPr="00795F17">
              <w:t>43</w:t>
            </w:r>
            <w:r w:rsidR="00666C18">
              <w:t>2</w:t>
            </w:r>
          </w:p>
        </w:tc>
      </w:tr>
      <w:tr w:rsidR="0012719F" w:rsidRPr="00795F17" w14:paraId="6C035F85" w14:textId="77777777" w:rsidTr="00E01928">
        <w:trPr>
          <w:trHeight w:val="4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400B0" w14:textId="1F327135" w:rsidR="0012719F" w:rsidRPr="00795F17" w:rsidRDefault="0012719F" w:rsidP="008E191A">
            <w:pPr>
              <w:pStyle w:val="Teksttabelilewy"/>
            </w:pPr>
            <w:r w:rsidRPr="00795F17">
              <w:t>Warty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9CB4F6E" w14:textId="3BEE9AE9" w:rsidR="0012719F" w:rsidRPr="00795F17" w:rsidRDefault="00666C18" w:rsidP="008E191A">
            <w:pPr>
              <w:pStyle w:val="Teksttabelisrodek"/>
            </w:pPr>
            <w:r>
              <w:t>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7B31397" w14:textId="72BAAE60" w:rsidR="0012719F" w:rsidRPr="00795F17" w:rsidRDefault="0012719F" w:rsidP="008E191A">
            <w:pPr>
              <w:pStyle w:val="Teksttabelisrodek"/>
            </w:pPr>
            <w:r w:rsidRPr="00795F17">
              <w:t>27</w:t>
            </w:r>
            <w:r w:rsidR="00666C18">
              <w:t>1</w:t>
            </w:r>
          </w:p>
        </w:tc>
      </w:tr>
    </w:tbl>
    <w:p w14:paraId="43163BBA" w14:textId="608D16DD"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w:t>
      </w:r>
      <w:r w:rsidR="00DF005E">
        <w:t>JCWP</w:t>
      </w:r>
      <w:r w:rsidRPr="00795F17">
        <w:t xml:space="preserve"> (…) - aktualizacja</w:t>
      </w:r>
    </w:p>
    <w:p w14:paraId="46FE239D" w14:textId="77777777" w:rsidR="00AD1DA1" w:rsidRPr="00795F17" w:rsidRDefault="00AD1DA1" w:rsidP="0044393D"/>
    <w:p w14:paraId="1EA91E18" w14:textId="5F659492" w:rsidR="00AD1DA1" w:rsidRPr="00795F17" w:rsidRDefault="00AD1DA1" w:rsidP="005842B5"/>
    <w:p w14:paraId="3A4ABB26" w14:textId="2705123D" w:rsidR="004E6B71" w:rsidRPr="00795F17" w:rsidRDefault="00706909" w:rsidP="00E01928">
      <w:pPr>
        <w:jc w:val="center"/>
      </w:pPr>
      <w:r>
        <w:rPr>
          <w:noProof/>
        </w:rPr>
        <w:drawing>
          <wp:inline distT="0" distB="0" distL="0" distR="0" wp14:anchorId="08997E69" wp14:editId="03934A3B">
            <wp:extent cx="5759450" cy="2894965"/>
            <wp:effectExtent l="0" t="0" r="12700" b="635"/>
            <wp:docPr id="1866059333" name="Wykres 1866059333">
              <a:extLst xmlns:a="http://schemas.openxmlformats.org/drawingml/2006/main">
                <a:ext uri="{FF2B5EF4-FFF2-40B4-BE49-F238E27FC236}">
                  <a16:creationId xmlns:a16="http://schemas.microsoft.com/office/drawing/2014/main" id="{A051EF95-E9CB-49C7-A121-BFAAE38E42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8F45350" w14:textId="73C3EB98" w:rsidR="00AD1DA1" w:rsidRPr="00795F17" w:rsidRDefault="00AD1DA1" w:rsidP="00B479EE">
      <w:pPr>
        <w:pStyle w:val="Wykres"/>
        <w:rPr>
          <w:i/>
        </w:rPr>
      </w:pPr>
      <w:bookmarkStart w:id="330" w:name="_Toc66288189"/>
      <w:bookmarkStart w:id="331" w:name="_Toc105512981"/>
      <w:r w:rsidRPr="00795F17">
        <w:t xml:space="preserve">Wykres </w:t>
      </w:r>
      <w:fldSimple w:instr=" STYLEREF 1 \s ">
        <w:r w:rsidR="001F774D">
          <w:rPr>
            <w:noProof/>
          </w:rPr>
          <w:t>7</w:t>
        </w:r>
      </w:fldSimple>
      <w:r w:rsidR="00FF20D3">
        <w:noBreakHyphen/>
      </w:r>
      <w:fldSimple w:instr=" SEQ Wykres \* ARABIC \s 1 ">
        <w:r w:rsidR="001F774D">
          <w:rPr>
            <w:noProof/>
          </w:rPr>
          <w:t>8</w:t>
        </w:r>
      </w:fldSimple>
      <w:r w:rsidR="00745044">
        <w:rPr>
          <w:noProof/>
        </w:rPr>
        <w:t>.</w:t>
      </w:r>
      <w:r w:rsidRPr="00795F17">
        <w:tab/>
        <w:t xml:space="preserve">Udział </w:t>
      </w:r>
      <w:r w:rsidR="00DF005E">
        <w:t>JCWP</w:t>
      </w:r>
      <w:r w:rsidRPr="00795F17">
        <w:t xml:space="preserve"> RW zagrożonych nieosiągnięciem celów środowiskowych w ogólnej liczbie </w:t>
      </w:r>
      <w:r w:rsidR="00DF005E">
        <w:t>JCWP</w:t>
      </w:r>
      <w:r w:rsidRPr="00795F17">
        <w:t xml:space="preserve"> RW danego regionu wodnego</w:t>
      </w:r>
      <w:bookmarkEnd w:id="330"/>
      <w:bookmarkEnd w:id="331"/>
    </w:p>
    <w:p w14:paraId="302D00AD" w14:textId="0E753611"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91230B">
        <w:t>–</w:t>
      </w:r>
      <w:r w:rsidRPr="00795F17">
        <w:t xml:space="preserve"> </w:t>
      </w:r>
      <w:r w:rsidR="00DF005E">
        <w:t>JCWP</w:t>
      </w:r>
      <w:r w:rsidRPr="00795F17">
        <w:t xml:space="preserve"> (…) </w:t>
      </w:r>
      <w:r w:rsidR="0091230B">
        <w:t>–</w:t>
      </w:r>
      <w:r w:rsidRPr="00795F17">
        <w:t xml:space="preserve"> aktualizacja</w:t>
      </w:r>
    </w:p>
    <w:p w14:paraId="497FB3CE" w14:textId="0582533D" w:rsidR="00AD1DA1" w:rsidRPr="00795F17" w:rsidRDefault="00AD1DA1" w:rsidP="0044393D">
      <w:r w:rsidRPr="00795F17">
        <w:t>Informacja dotycząca presji znaczących oraz oceny ryzyka nieosiągnięcia celów środowiskowych dla</w:t>
      </w:r>
      <w:r w:rsidR="0022557C" w:rsidRPr="00795F17">
        <w:t> </w:t>
      </w:r>
      <w:r w:rsidRPr="00795F17">
        <w:t xml:space="preserve">poszczególnych </w:t>
      </w:r>
      <w:r w:rsidR="00DF005E">
        <w:t>JCWP</w:t>
      </w:r>
      <w:r w:rsidRPr="00795F17">
        <w:t xml:space="preserve"> RW zawarta jest w załączniku nr 1 (Zestawienie główne). Zobrazowanie przestrzenne </w:t>
      </w:r>
      <w:r w:rsidR="00DF005E">
        <w:t>JCWP</w:t>
      </w:r>
      <w:r w:rsidRPr="00795F17">
        <w:t xml:space="preserve"> RW z oceną ryzyka nieosiągnięcia celów środowiskowych </w:t>
      </w:r>
      <w:r w:rsidR="00064AE0">
        <w:t>prezentuje załącznik</w:t>
      </w:r>
      <w:r w:rsidRPr="00795F17">
        <w:t xml:space="preserve"> graficzny nr </w:t>
      </w:r>
      <w:r w:rsidR="008D0AA6">
        <w:t>42</w:t>
      </w:r>
      <w:r w:rsidRPr="00795F17">
        <w:t>.</w:t>
      </w:r>
    </w:p>
    <w:p w14:paraId="4321C033" w14:textId="28FA14FB" w:rsidR="00AD1DA1" w:rsidRPr="00795F17" w:rsidRDefault="00DF005E" w:rsidP="0044393D">
      <w:pPr>
        <w:pStyle w:val="Nagwek5"/>
      </w:pPr>
      <w:r>
        <w:t>JCWP</w:t>
      </w:r>
      <w:r w:rsidR="00AD1DA1" w:rsidRPr="00795F17">
        <w:t xml:space="preserve"> RWr</w:t>
      </w:r>
    </w:p>
    <w:p w14:paraId="00D7409E" w14:textId="4752DB9A" w:rsidR="00AD1DA1" w:rsidRPr="00795F17" w:rsidRDefault="00AD1DA1" w:rsidP="0044393D">
      <w:r w:rsidRPr="00795F17">
        <w:t xml:space="preserve">Przeprowadzone analizy i identyfikacja znaczących oddziaływań antropogenicznych </w:t>
      </w:r>
      <w:r w:rsidR="00DF005E">
        <w:t>JCWP</w:t>
      </w:r>
      <w:r w:rsidRPr="00795F17">
        <w:t xml:space="preserve"> RWr w</w:t>
      </w:r>
      <w:r w:rsidR="00EC3008" w:rsidRPr="00795F17">
        <w:t> </w:t>
      </w:r>
      <w:r w:rsidRPr="00795F17">
        <w:t xml:space="preserve">obszarze dorzecza </w:t>
      </w:r>
      <w:r w:rsidR="00822318" w:rsidRPr="00795F17">
        <w:t>Odry</w:t>
      </w:r>
      <w:r w:rsidRPr="00795F17">
        <w:t xml:space="preserve"> wykazały zagrożenie nieosiągnięcia celów środowiskowych dla </w:t>
      </w:r>
      <w:r w:rsidR="00EF179E">
        <w:t>100</w:t>
      </w:r>
      <w:r w:rsidR="00C2750D">
        <w:t>%</w:t>
      </w:r>
      <w:r w:rsidR="00C2750D" w:rsidRPr="00795F17">
        <w:t xml:space="preserve"> </w:t>
      </w:r>
      <w:r w:rsidR="00DF005E">
        <w:t>JCWP</w:t>
      </w:r>
      <w:r w:rsidRPr="00795F17">
        <w:t xml:space="preserve"> RWr</w:t>
      </w:r>
      <w:r w:rsidR="008E1E8C" w:rsidRPr="00795F17">
        <w:t xml:space="preserve"> na obszarze dorzecza Odry</w:t>
      </w:r>
      <w:r w:rsidRPr="00795F17">
        <w:t xml:space="preserve">. Spośród zidentyfikowanych presji znaczących </w:t>
      </w:r>
      <w:r w:rsidR="0097115B" w:rsidRPr="00795F17">
        <w:t>najmniejszy udział ma presja na elementy biologiczne zależne od fizykochemii</w:t>
      </w:r>
      <w:r w:rsidR="00A44637" w:rsidRPr="00795F17">
        <w:t xml:space="preserve"> oraz cechy chemiczne (substancje zakazane)</w:t>
      </w:r>
      <w:r w:rsidRPr="00795F17">
        <w:t>.</w:t>
      </w:r>
    </w:p>
    <w:p w14:paraId="5CD6A9F0" w14:textId="7492FE11" w:rsidR="00AD1DA1" w:rsidRPr="00795F17" w:rsidRDefault="00AD1DA1" w:rsidP="0044393D">
      <w:pPr>
        <w:rPr>
          <w:b/>
          <w:bCs/>
        </w:rPr>
      </w:pPr>
      <w:r w:rsidRPr="00795F17">
        <w:t xml:space="preserve">Zestawienie liczby </w:t>
      </w:r>
      <w:r w:rsidR="00DF005E">
        <w:t>JCWP</w:t>
      </w:r>
      <w:r w:rsidRPr="00795F17">
        <w:t xml:space="preserve"> RWr ze zidentyfikowanymi poszczególnymi kategoriami presji wraz</w:t>
      </w:r>
      <w:r w:rsidR="005A7717">
        <w:t> </w:t>
      </w:r>
      <w:r w:rsidRPr="00795F17">
        <w:t>z</w:t>
      </w:r>
      <w:r w:rsidR="002809C5">
        <w:t> </w:t>
      </w:r>
      <w:r w:rsidRPr="00795F17">
        <w:t xml:space="preserve">określeniem udziału w ogólnej liczbie </w:t>
      </w:r>
      <w:r w:rsidR="00DF005E">
        <w:t>JCWP</w:t>
      </w:r>
      <w:r w:rsidRPr="00795F17">
        <w:t xml:space="preserve"> RWr obszaru dorzecza </w:t>
      </w:r>
      <w:r w:rsidR="00822318" w:rsidRPr="00795F17">
        <w:t>Odry</w:t>
      </w:r>
      <w:r w:rsidRPr="00795F17">
        <w:t xml:space="preserve"> prezentuje poniższa tabela</w:t>
      </w:r>
      <w:r w:rsidR="0008401C" w:rsidRPr="00795F17">
        <w:t xml:space="preserve"> </w:t>
      </w:r>
      <w:r w:rsidR="00774433" w:rsidRPr="00795F17">
        <w:t xml:space="preserve">(tabela </w:t>
      </w:r>
      <w:r w:rsidR="0008401C" w:rsidRPr="00795F17">
        <w:t>7-4</w:t>
      </w:r>
      <w:r w:rsidR="00774433" w:rsidRPr="00795F17">
        <w:t>)</w:t>
      </w:r>
      <w:r w:rsidRPr="00795F17">
        <w:t>.</w:t>
      </w:r>
    </w:p>
    <w:p w14:paraId="32425367" w14:textId="58ED1C9D" w:rsidR="00AD1DA1" w:rsidRPr="00795F17" w:rsidRDefault="00AD1DA1" w:rsidP="004D7705">
      <w:pPr>
        <w:pStyle w:val="Tabela"/>
        <w:rPr>
          <w:bCs/>
          <w:i/>
        </w:rPr>
      </w:pPr>
      <w:bookmarkStart w:id="332" w:name="_Toc66288073"/>
      <w:bookmarkStart w:id="333" w:name="_Toc66341894"/>
      <w:bookmarkStart w:id="334" w:name="_Toc105512805"/>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1F774D">
        <w:rPr>
          <w:bCs/>
          <w:noProof/>
        </w:rPr>
        <w:t>7</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1F774D">
        <w:rPr>
          <w:bCs/>
          <w:noProof/>
        </w:rPr>
        <w:t>4</w:t>
      </w:r>
      <w:r w:rsidR="00BB3B21" w:rsidRPr="00795F17">
        <w:rPr>
          <w:bCs/>
        </w:rPr>
        <w:fldChar w:fldCharType="end"/>
      </w:r>
      <w:r w:rsidR="00E76356">
        <w:rPr>
          <w:bCs/>
        </w:rPr>
        <w:t>.</w:t>
      </w:r>
      <w:r w:rsidRPr="00795F17">
        <w:rPr>
          <w:bCs/>
        </w:rPr>
        <w:tab/>
      </w:r>
      <w:r w:rsidRPr="00795F17">
        <w:t xml:space="preserve">Podsumowanie analizy znaczących oddziaływań antropogenicznych wraz z oceną ryzyka nieosiągnięcia celów środowiskowych dla </w:t>
      </w:r>
      <w:r w:rsidR="00DF005E">
        <w:t>JCWP</w:t>
      </w:r>
      <w:r w:rsidRPr="00795F17">
        <w:t xml:space="preserve"> RWr </w:t>
      </w:r>
      <w:r w:rsidR="0091230B">
        <w:t>–</w:t>
      </w:r>
      <w:r w:rsidRPr="00795F17">
        <w:t xml:space="preserve"> obszar dorzecza </w:t>
      </w:r>
      <w:bookmarkEnd w:id="332"/>
      <w:bookmarkEnd w:id="333"/>
      <w:r w:rsidR="00822318" w:rsidRPr="00795F17">
        <w:t>Odry</w:t>
      </w:r>
      <w:bookmarkEnd w:id="334"/>
    </w:p>
    <w:tbl>
      <w:tblPr>
        <w:tblW w:w="5003" w:type="pct"/>
        <w:tblInd w:w="-5" w:type="dxa"/>
        <w:tblCellMar>
          <w:left w:w="70" w:type="dxa"/>
          <w:right w:w="70" w:type="dxa"/>
        </w:tblCellMar>
        <w:tblLook w:val="04A0" w:firstRow="1" w:lastRow="0" w:firstColumn="1" w:lastColumn="0" w:noHBand="0" w:noVBand="1"/>
      </w:tblPr>
      <w:tblGrid>
        <w:gridCol w:w="911"/>
        <w:gridCol w:w="932"/>
        <w:gridCol w:w="992"/>
        <w:gridCol w:w="993"/>
        <w:gridCol w:w="850"/>
        <w:gridCol w:w="992"/>
        <w:gridCol w:w="1002"/>
        <w:gridCol w:w="774"/>
        <w:gridCol w:w="1621"/>
      </w:tblGrid>
      <w:tr w:rsidR="005174AB" w:rsidRPr="00795F17" w14:paraId="30FDA20E" w14:textId="77777777" w:rsidTr="00EE6C38">
        <w:trPr>
          <w:trHeight w:val="454"/>
        </w:trPr>
        <w:tc>
          <w:tcPr>
            <w:tcW w:w="91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8654FC" w14:textId="1D36F3ED" w:rsidR="00774433" w:rsidRPr="00795F17" w:rsidRDefault="00774433" w:rsidP="0044393D">
            <w:pPr>
              <w:pStyle w:val="Teksttabelinaglowek"/>
            </w:pPr>
            <w:r w:rsidRPr="00795F17">
              <w:t>Obszar dorzecza</w:t>
            </w:r>
          </w:p>
        </w:tc>
        <w:tc>
          <w:tcPr>
            <w:tcW w:w="932"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7714B8" w14:textId="541CFAC9" w:rsidR="00774433" w:rsidRPr="00795F17" w:rsidRDefault="00774433" w:rsidP="0044393D">
            <w:pPr>
              <w:pStyle w:val="Teksttabelinaglowek"/>
            </w:pPr>
            <w:r w:rsidRPr="00795F17">
              <w:t xml:space="preserve">Liczba </w:t>
            </w:r>
            <w:r w:rsidR="00DF005E">
              <w:t>JCWP</w:t>
            </w:r>
            <w:r w:rsidRPr="00795F17">
              <w:t xml:space="preserve"> RWr</w:t>
            </w:r>
          </w:p>
        </w:tc>
        <w:tc>
          <w:tcPr>
            <w:tcW w:w="5603" w:type="dxa"/>
            <w:gridSpan w:val="6"/>
            <w:tcBorders>
              <w:top w:val="single" w:sz="4" w:space="0" w:color="auto"/>
              <w:left w:val="nil"/>
              <w:bottom w:val="single" w:sz="4" w:space="0" w:color="auto"/>
              <w:right w:val="single" w:sz="4" w:space="0" w:color="auto"/>
            </w:tcBorders>
            <w:shd w:val="clear" w:color="auto" w:fill="BFBFBF" w:themeFill="background1" w:themeFillShade="BF"/>
            <w:vAlign w:val="center"/>
          </w:tcPr>
          <w:p w14:paraId="5764F328" w14:textId="515EFAE9" w:rsidR="00774433" w:rsidRPr="00795F17" w:rsidRDefault="00774433" w:rsidP="00774433">
            <w:pPr>
              <w:pStyle w:val="Teksttabelinaglowek"/>
            </w:pPr>
            <w:r w:rsidRPr="00795F17">
              <w:t xml:space="preserve">Liczba </w:t>
            </w:r>
            <w:r w:rsidR="00DF005E">
              <w:t>JCWP</w:t>
            </w:r>
            <w:r w:rsidRPr="00795F17">
              <w:t xml:space="preserve"> RWr ze zidentyfikowaną znaczącą presją*</w:t>
            </w:r>
          </w:p>
        </w:tc>
        <w:tc>
          <w:tcPr>
            <w:tcW w:w="162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6D12823" w14:textId="1B795BED" w:rsidR="00774433" w:rsidRPr="00795F17" w:rsidRDefault="00774433" w:rsidP="0044393D">
            <w:pPr>
              <w:pStyle w:val="Teksttabelinaglowek"/>
            </w:pPr>
            <w:r w:rsidRPr="00795F17">
              <w:t xml:space="preserve">Ocena ryzyka (liczba </w:t>
            </w:r>
            <w:r w:rsidR="00DF005E">
              <w:t>JCWP</w:t>
            </w:r>
            <w:r w:rsidRPr="00795F17">
              <w:t xml:space="preserve"> zagrożonych)</w:t>
            </w:r>
          </w:p>
        </w:tc>
      </w:tr>
      <w:tr w:rsidR="00882EEA" w:rsidRPr="00795F17" w14:paraId="05100C4C" w14:textId="77777777" w:rsidTr="00061491">
        <w:trPr>
          <w:trHeight w:val="454"/>
        </w:trPr>
        <w:tc>
          <w:tcPr>
            <w:tcW w:w="91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3EB6AD" w14:textId="77777777" w:rsidR="00061491" w:rsidRPr="00795F17" w:rsidRDefault="00061491" w:rsidP="0044393D">
            <w:pPr>
              <w:pStyle w:val="Teksttabelinaglowek"/>
            </w:pPr>
          </w:p>
        </w:tc>
        <w:tc>
          <w:tcPr>
            <w:tcW w:w="932"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F2B82E" w14:textId="77777777" w:rsidR="00061491" w:rsidRPr="00795F17" w:rsidRDefault="00061491" w:rsidP="0044393D">
            <w:pPr>
              <w:pStyle w:val="Teksttabelinaglowek"/>
            </w:pPr>
          </w:p>
        </w:tc>
        <w:tc>
          <w:tcPr>
            <w:tcW w:w="992" w:type="dxa"/>
            <w:tcBorders>
              <w:top w:val="nil"/>
              <w:left w:val="nil"/>
              <w:bottom w:val="single" w:sz="4" w:space="0" w:color="auto"/>
              <w:right w:val="single" w:sz="4" w:space="0" w:color="auto"/>
            </w:tcBorders>
            <w:shd w:val="clear" w:color="auto" w:fill="BFBFBF" w:themeFill="background1" w:themeFillShade="BF"/>
            <w:noWrap/>
            <w:vAlign w:val="center"/>
            <w:hideMark/>
          </w:tcPr>
          <w:p w14:paraId="2F90926E" w14:textId="77777777" w:rsidR="00061491" w:rsidRPr="00795F17" w:rsidRDefault="00061491" w:rsidP="0044393D">
            <w:pPr>
              <w:pStyle w:val="Teksttabelinaglowek"/>
            </w:pPr>
            <w:r w:rsidRPr="00795F17">
              <w:t>BIO_HM</w:t>
            </w:r>
          </w:p>
        </w:tc>
        <w:tc>
          <w:tcPr>
            <w:tcW w:w="993" w:type="dxa"/>
            <w:tcBorders>
              <w:top w:val="nil"/>
              <w:left w:val="nil"/>
              <w:bottom w:val="single" w:sz="4" w:space="0" w:color="auto"/>
              <w:right w:val="single" w:sz="4" w:space="0" w:color="auto"/>
            </w:tcBorders>
            <w:shd w:val="clear" w:color="auto" w:fill="BFBFBF" w:themeFill="background1" w:themeFillShade="BF"/>
            <w:noWrap/>
            <w:vAlign w:val="center"/>
            <w:hideMark/>
          </w:tcPr>
          <w:p w14:paraId="584E5802" w14:textId="77777777" w:rsidR="00061491" w:rsidRPr="00795F17" w:rsidRDefault="00061491" w:rsidP="0044393D">
            <w:pPr>
              <w:pStyle w:val="Teksttabelinaglowek"/>
            </w:pPr>
            <w:r w:rsidRPr="00795F17">
              <w:t>BIO_FIZ</w:t>
            </w:r>
          </w:p>
        </w:tc>
        <w:tc>
          <w:tcPr>
            <w:tcW w:w="850"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50931A98" w14:textId="77777777" w:rsidR="00061491" w:rsidRPr="00795F17" w:rsidRDefault="00061491" w:rsidP="0044393D">
            <w:pPr>
              <w:pStyle w:val="Teksttabelinaglowek"/>
            </w:pPr>
            <w:r w:rsidRPr="00795F17">
              <w:t>FIZ</w:t>
            </w:r>
          </w:p>
        </w:tc>
        <w:tc>
          <w:tcPr>
            <w:tcW w:w="992"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36701934" w14:textId="77777777" w:rsidR="00061491" w:rsidRPr="00795F17" w:rsidRDefault="00061491" w:rsidP="0044393D">
            <w:pPr>
              <w:pStyle w:val="Teksttabelinaglowek"/>
            </w:pPr>
            <w:r w:rsidRPr="00795F17">
              <w:t>CHEM</w:t>
            </w:r>
          </w:p>
        </w:tc>
        <w:tc>
          <w:tcPr>
            <w:tcW w:w="1002" w:type="dxa"/>
            <w:tcBorders>
              <w:top w:val="nil"/>
              <w:left w:val="nil"/>
              <w:bottom w:val="single" w:sz="4" w:space="0" w:color="auto"/>
              <w:right w:val="single" w:sz="4" w:space="0" w:color="auto"/>
            </w:tcBorders>
            <w:shd w:val="clear" w:color="auto" w:fill="BFBFBF" w:themeFill="background1" w:themeFillShade="BF"/>
            <w:noWrap/>
            <w:vAlign w:val="center"/>
            <w:hideMark/>
          </w:tcPr>
          <w:p w14:paraId="27A481B0" w14:textId="5A3053FB" w:rsidR="00061491" w:rsidRPr="00795F17" w:rsidRDefault="00061491" w:rsidP="0044393D">
            <w:pPr>
              <w:pStyle w:val="Teksttabelinaglowek"/>
            </w:pPr>
            <w:r w:rsidRPr="00795F17">
              <w:t>CHEM_B</w:t>
            </w:r>
          </w:p>
        </w:tc>
        <w:tc>
          <w:tcPr>
            <w:tcW w:w="774" w:type="dxa"/>
            <w:tcBorders>
              <w:top w:val="nil"/>
              <w:left w:val="nil"/>
              <w:bottom w:val="single" w:sz="4" w:space="0" w:color="auto"/>
              <w:right w:val="single" w:sz="4" w:space="0" w:color="auto"/>
            </w:tcBorders>
            <w:shd w:val="clear" w:color="auto" w:fill="BFBFBF" w:themeFill="background1" w:themeFillShade="BF"/>
            <w:noWrap/>
            <w:vAlign w:val="center"/>
          </w:tcPr>
          <w:p w14:paraId="6D100384" w14:textId="77777777" w:rsidR="00061491" w:rsidRPr="00795F17" w:rsidRDefault="00061491" w:rsidP="0044393D">
            <w:pPr>
              <w:pStyle w:val="Teksttabelinaglowek"/>
            </w:pPr>
            <w:r w:rsidRPr="00795F17">
              <w:t>OCH</w:t>
            </w:r>
          </w:p>
        </w:tc>
        <w:tc>
          <w:tcPr>
            <w:tcW w:w="162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63E334" w14:textId="77777777" w:rsidR="00061491" w:rsidRPr="00795F17" w:rsidRDefault="00061491" w:rsidP="0044393D">
            <w:pPr>
              <w:pStyle w:val="Teksttabelinaglowek"/>
            </w:pPr>
          </w:p>
        </w:tc>
      </w:tr>
      <w:tr w:rsidR="00061491" w:rsidRPr="00795F17" w14:paraId="75F1D72C" w14:textId="77777777" w:rsidTr="00061491">
        <w:trPr>
          <w:trHeight w:val="454"/>
        </w:trPr>
        <w:tc>
          <w:tcPr>
            <w:tcW w:w="9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4813F" w14:textId="4960CF59" w:rsidR="00061491" w:rsidRPr="00795F17" w:rsidRDefault="00061491" w:rsidP="0065243A">
            <w:pPr>
              <w:pStyle w:val="Teksttabelisrodek"/>
            </w:pPr>
            <w:r w:rsidRPr="00795F17">
              <w:t>Odra</w:t>
            </w:r>
          </w:p>
        </w:tc>
        <w:tc>
          <w:tcPr>
            <w:tcW w:w="932" w:type="dxa"/>
            <w:tcBorders>
              <w:top w:val="single" w:sz="4" w:space="0" w:color="auto"/>
              <w:left w:val="nil"/>
              <w:bottom w:val="single" w:sz="4" w:space="0" w:color="auto"/>
              <w:right w:val="single" w:sz="4" w:space="0" w:color="auto"/>
            </w:tcBorders>
            <w:shd w:val="clear" w:color="auto" w:fill="auto"/>
            <w:noWrap/>
            <w:vAlign w:val="center"/>
            <w:hideMark/>
          </w:tcPr>
          <w:p w14:paraId="4ECF2C39" w14:textId="5454EECF" w:rsidR="00061491" w:rsidRPr="00795F17" w:rsidRDefault="00061491" w:rsidP="0065243A">
            <w:pPr>
              <w:pStyle w:val="Teksttabelisrodek"/>
            </w:pPr>
            <w:r w:rsidRPr="00795F17">
              <w:t>19</w:t>
            </w:r>
          </w:p>
        </w:tc>
        <w:tc>
          <w:tcPr>
            <w:tcW w:w="992" w:type="dxa"/>
            <w:tcBorders>
              <w:top w:val="nil"/>
              <w:left w:val="nil"/>
              <w:bottom w:val="single" w:sz="4" w:space="0" w:color="auto"/>
              <w:right w:val="single" w:sz="4" w:space="0" w:color="auto"/>
            </w:tcBorders>
            <w:shd w:val="clear" w:color="auto" w:fill="auto"/>
            <w:noWrap/>
            <w:vAlign w:val="center"/>
          </w:tcPr>
          <w:p w14:paraId="7CE0547B" w14:textId="5B7680A4" w:rsidR="00061491" w:rsidRPr="00795F17" w:rsidRDefault="00061491" w:rsidP="0065243A">
            <w:pPr>
              <w:pStyle w:val="Teksttabelisrodek"/>
            </w:pPr>
            <w:r>
              <w:t>4</w:t>
            </w:r>
          </w:p>
        </w:tc>
        <w:tc>
          <w:tcPr>
            <w:tcW w:w="993" w:type="dxa"/>
            <w:tcBorders>
              <w:top w:val="nil"/>
              <w:left w:val="nil"/>
              <w:bottom w:val="single" w:sz="4" w:space="0" w:color="auto"/>
              <w:right w:val="single" w:sz="4" w:space="0" w:color="auto"/>
            </w:tcBorders>
            <w:shd w:val="clear" w:color="auto" w:fill="auto"/>
            <w:noWrap/>
            <w:vAlign w:val="center"/>
          </w:tcPr>
          <w:p w14:paraId="4515E15A" w14:textId="635618FF" w:rsidR="00061491" w:rsidRPr="00795F17" w:rsidRDefault="00061491" w:rsidP="0065243A">
            <w:pPr>
              <w:pStyle w:val="Teksttabelisrodek"/>
            </w:pPr>
            <w:r>
              <w:t>12</w:t>
            </w:r>
          </w:p>
        </w:tc>
        <w:tc>
          <w:tcPr>
            <w:tcW w:w="850" w:type="dxa"/>
            <w:tcBorders>
              <w:top w:val="single" w:sz="4" w:space="0" w:color="auto"/>
              <w:left w:val="nil"/>
              <w:bottom w:val="single" w:sz="4" w:space="0" w:color="auto"/>
              <w:right w:val="single" w:sz="4" w:space="0" w:color="auto"/>
            </w:tcBorders>
            <w:shd w:val="clear" w:color="auto" w:fill="auto"/>
            <w:vAlign w:val="center"/>
          </w:tcPr>
          <w:p w14:paraId="73731E79" w14:textId="22C2A851" w:rsidR="00061491" w:rsidRPr="00795F17" w:rsidRDefault="00061491" w:rsidP="0065243A">
            <w:pPr>
              <w:pStyle w:val="Teksttabelisrodek"/>
            </w:pPr>
            <w:r>
              <w:t>9</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264ED90" w14:textId="44B97679" w:rsidR="00061491" w:rsidRPr="00795F17" w:rsidRDefault="00061491" w:rsidP="0065243A">
            <w:pPr>
              <w:pStyle w:val="Teksttabelisrodek"/>
            </w:pPr>
            <w:r>
              <w:t>14</w:t>
            </w:r>
          </w:p>
        </w:tc>
        <w:tc>
          <w:tcPr>
            <w:tcW w:w="1002" w:type="dxa"/>
            <w:tcBorders>
              <w:top w:val="nil"/>
              <w:left w:val="nil"/>
              <w:bottom w:val="single" w:sz="4" w:space="0" w:color="auto"/>
              <w:right w:val="single" w:sz="4" w:space="0" w:color="auto"/>
            </w:tcBorders>
            <w:shd w:val="clear" w:color="auto" w:fill="auto"/>
            <w:noWrap/>
            <w:vAlign w:val="center"/>
          </w:tcPr>
          <w:p w14:paraId="662062E1" w14:textId="5D066152" w:rsidR="00061491" w:rsidRPr="00795F17" w:rsidRDefault="00061491" w:rsidP="0065243A">
            <w:pPr>
              <w:pStyle w:val="Teksttabelisrodek"/>
            </w:pPr>
            <w:r w:rsidRPr="00795F17">
              <w:t>16</w:t>
            </w:r>
          </w:p>
        </w:tc>
        <w:tc>
          <w:tcPr>
            <w:tcW w:w="774" w:type="dxa"/>
            <w:tcBorders>
              <w:top w:val="nil"/>
              <w:left w:val="nil"/>
              <w:bottom w:val="single" w:sz="4" w:space="0" w:color="auto"/>
              <w:right w:val="single" w:sz="4" w:space="0" w:color="auto"/>
            </w:tcBorders>
            <w:shd w:val="clear" w:color="auto" w:fill="auto"/>
            <w:noWrap/>
            <w:vAlign w:val="center"/>
          </w:tcPr>
          <w:p w14:paraId="037E346C" w14:textId="77777777" w:rsidR="00061491" w:rsidRPr="00795F17" w:rsidRDefault="00061491" w:rsidP="0065243A">
            <w:pPr>
              <w:pStyle w:val="Teksttabelisrodek"/>
            </w:pPr>
            <w:r w:rsidRPr="00795F17">
              <w:t>16</w:t>
            </w:r>
          </w:p>
        </w:tc>
        <w:tc>
          <w:tcPr>
            <w:tcW w:w="1621" w:type="dxa"/>
            <w:tcBorders>
              <w:top w:val="nil"/>
              <w:left w:val="nil"/>
              <w:bottom w:val="single" w:sz="4" w:space="0" w:color="auto"/>
              <w:right w:val="single" w:sz="4" w:space="0" w:color="auto"/>
            </w:tcBorders>
            <w:shd w:val="clear" w:color="auto" w:fill="auto"/>
            <w:noWrap/>
            <w:vAlign w:val="center"/>
            <w:hideMark/>
          </w:tcPr>
          <w:p w14:paraId="1BADCF2E" w14:textId="1AAFC6B6" w:rsidR="00061491" w:rsidRPr="00795F17" w:rsidRDefault="00061491" w:rsidP="0065243A">
            <w:pPr>
              <w:pStyle w:val="Teksttabelisrodek"/>
            </w:pPr>
            <w:r>
              <w:t>1</w:t>
            </w:r>
            <w:r w:rsidR="00307519">
              <w:t>9</w:t>
            </w:r>
          </w:p>
        </w:tc>
      </w:tr>
      <w:tr w:rsidR="004E24D2" w:rsidRPr="00795F17" w14:paraId="428C71E2" w14:textId="77777777" w:rsidTr="00061491">
        <w:trPr>
          <w:trHeight w:val="454"/>
        </w:trPr>
        <w:tc>
          <w:tcPr>
            <w:tcW w:w="184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59D8AD6A" w14:textId="373659D0" w:rsidR="00E04839" w:rsidRPr="00A738DC" w:rsidRDefault="00E04839" w:rsidP="00E04839">
            <w:pPr>
              <w:pStyle w:val="Teksttabelisrodek"/>
              <w:rPr>
                <w:b/>
              </w:rPr>
            </w:pPr>
            <w:r w:rsidRPr="00A738DC">
              <w:rPr>
                <w:b/>
              </w:rPr>
              <w:t xml:space="preserve">Udział w ogólnej liczbie </w:t>
            </w:r>
            <w:r w:rsidR="00DF005E">
              <w:rPr>
                <w:b/>
              </w:rPr>
              <w:t>JCWP</w:t>
            </w:r>
            <w:r w:rsidRPr="00A738DC">
              <w:rPr>
                <w:b/>
              </w:rPr>
              <w:t xml:space="preserve"> RWr (%)</w:t>
            </w:r>
          </w:p>
        </w:tc>
        <w:tc>
          <w:tcPr>
            <w:tcW w:w="992"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6881B437" w14:textId="72DCFF8F" w:rsidR="00E04839" w:rsidRPr="00A738DC" w:rsidRDefault="00E04839" w:rsidP="00E04839">
            <w:pPr>
              <w:pStyle w:val="Teksttabelisrodek"/>
              <w:rPr>
                <w:b/>
              </w:rPr>
            </w:pPr>
            <w:r>
              <w:rPr>
                <w:rFonts w:cs="Calibri"/>
                <w:b/>
                <w:bCs w:val="0"/>
                <w:szCs w:val="20"/>
              </w:rPr>
              <w:t>21</w:t>
            </w:r>
          </w:p>
        </w:tc>
        <w:tc>
          <w:tcPr>
            <w:tcW w:w="993"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52EB93B9" w14:textId="2345077D" w:rsidR="00E04839" w:rsidRPr="00A738DC" w:rsidRDefault="00E04839" w:rsidP="00E04839">
            <w:pPr>
              <w:pStyle w:val="Teksttabelisrodek"/>
              <w:rPr>
                <w:b/>
              </w:rPr>
            </w:pPr>
            <w:r>
              <w:rPr>
                <w:rFonts w:cs="Calibri"/>
                <w:b/>
                <w:bCs w:val="0"/>
                <w:szCs w:val="20"/>
              </w:rPr>
              <w:t>63</w:t>
            </w:r>
          </w:p>
        </w:tc>
        <w:tc>
          <w:tcPr>
            <w:tcW w:w="850"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328EEFB5" w14:textId="2A3D07AD" w:rsidR="00E04839" w:rsidRPr="00A738DC" w:rsidRDefault="00E04839" w:rsidP="00E04839">
            <w:pPr>
              <w:pStyle w:val="Teksttabelisrodek"/>
              <w:rPr>
                <w:b/>
              </w:rPr>
            </w:pPr>
            <w:r>
              <w:rPr>
                <w:rFonts w:cs="Calibri"/>
                <w:b/>
                <w:bCs w:val="0"/>
                <w:szCs w:val="20"/>
              </w:rPr>
              <w:t>47</w:t>
            </w:r>
          </w:p>
        </w:tc>
        <w:tc>
          <w:tcPr>
            <w:tcW w:w="99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308EC1E1" w14:textId="025C3358" w:rsidR="00E04839" w:rsidRPr="00A738DC" w:rsidRDefault="00E04839" w:rsidP="00E04839">
            <w:pPr>
              <w:pStyle w:val="Teksttabelisrodek"/>
              <w:rPr>
                <w:b/>
              </w:rPr>
            </w:pPr>
            <w:r>
              <w:rPr>
                <w:rFonts w:cs="Calibri"/>
                <w:b/>
                <w:bCs w:val="0"/>
                <w:szCs w:val="20"/>
              </w:rPr>
              <w:t>74</w:t>
            </w:r>
          </w:p>
        </w:tc>
        <w:tc>
          <w:tcPr>
            <w:tcW w:w="1002"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671241DA" w14:textId="262A72FD" w:rsidR="00E04839" w:rsidRPr="00A738DC" w:rsidRDefault="00E04839" w:rsidP="00E04839">
            <w:pPr>
              <w:pStyle w:val="Teksttabelisrodek"/>
              <w:rPr>
                <w:b/>
              </w:rPr>
            </w:pPr>
            <w:r>
              <w:rPr>
                <w:rFonts w:cs="Calibri"/>
                <w:b/>
                <w:bCs w:val="0"/>
                <w:szCs w:val="20"/>
              </w:rPr>
              <w:t>84</w:t>
            </w:r>
          </w:p>
        </w:tc>
        <w:tc>
          <w:tcPr>
            <w:tcW w:w="774"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42752DB9" w14:textId="458A1A58" w:rsidR="00E04839" w:rsidRPr="00A738DC" w:rsidRDefault="00E04839" w:rsidP="00E04839">
            <w:pPr>
              <w:pStyle w:val="Teksttabelisrodek"/>
              <w:rPr>
                <w:b/>
              </w:rPr>
            </w:pPr>
            <w:r>
              <w:rPr>
                <w:rFonts w:cs="Calibri"/>
                <w:b/>
                <w:bCs w:val="0"/>
                <w:szCs w:val="20"/>
              </w:rPr>
              <w:t>84</w:t>
            </w:r>
          </w:p>
        </w:tc>
        <w:tc>
          <w:tcPr>
            <w:tcW w:w="1621"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2467F0C5" w14:textId="1D9CFF1F" w:rsidR="00E04839" w:rsidRPr="00A738DC" w:rsidRDefault="00EF179E" w:rsidP="00E04839">
            <w:pPr>
              <w:pStyle w:val="Teksttabelisrodek"/>
              <w:rPr>
                <w:b/>
              </w:rPr>
            </w:pPr>
            <w:r>
              <w:rPr>
                <w:b/>
              </w:rPr>
              <w:t>100</w:t>
            </w:r>
          </w:p>
        </w:tc>
      </w:tr>
    </w:tbl>
    <w:p w14:paraId="5A8930E0" w14:textId="566650F5" w:rsidR="004A662B" w:rsidRPr="004A662B" w:rsidRDefault="004A662B" w:rsidP="009F7F19">
      <w:pPr>
        <w:pStyle w:val="Tabela-wyjasnieniapod"/>
        <w:spacing w:before="0" w:after="0"/>
        <w:rPr>
          <w:iCs w:val="0"/>
        </w:rPr>
      </w:pPr>
      <w:r w:rsidRPr="009F7F19">
        <w:rPr>
          <w:iCs w:val="0"/>
        </w:rPr>
        <w:t>Objaśnienia:</w:t>
      </w:r>
    </w:p>
    <w:p w14:paraId="574BF397" w14:textId="1652B85A" w:rsidR="00AA618A" w:rsidRPr="00795F17" w:rsidRDefault="00AA618A" w:rsidP="00AA618A">
      <w:pPr>
        <w:pStyle w:val="Tabela-wyjasnieniapod"/>
      </w:pPr>
      <w:r w:rsidRPr="00795F17">
        <w:t xml:space="preserve">*Wskazane wartości oznaczają liczbę </w:t>
      </w:r>
      <w:r w:rsidR="00DF005E">
        <w:t>JCWP</w:t>
      </w:r>
      <w:r w:rsidRPr="00795F17">
        <w:t xml:space="preserve"> ze zidentyfikowanym danym rodzajem presji znaczącej. Presje znaczące występować mogą łącznie w </w:t>
      </w:r>
      <w:r w:rsidR="00DF005E">
        <w:t>JCWP</w:t>
      </w:r>
      <w:r w:rsidRPr="00795F17">
        <w:t xml:space="preserve">. </w:t>
      </w:r>
    </w:p>
    <w:p w14:paraId="17CCC631" w14:textId="33DD8B9D" w:rsidR="00AA618A" w:rsidRPr="00795F17" w:rsidRDefault="00AA618A" w:rsidP="00AA618A">
      <w:pPr>
        <w:pStyle w:val="Tabela-wyjasnieniapod"/>
      </w:pPr>
      <w:r w:rsidRPr="00795F17">
        <w:rPr>
          <w:b/>
          <w:bCs/>
        </w:rPr>
        <w:t>BIO_HM</w:t>
      </w:r>
      <w:r w:rsidRPr="00795F17">
        <w:t xml:space="preserve"> </w:t>
      </w:r>
      <w:r w:rsidR="0091230B">
        <w:t>–</w:t>
      </w:r>
      <w:r w:rsidRPr="00795F17">
        <w:t xml:space="preserve"> presja na elementy biologiczne zależne od hydromorfologii</w:t>
      </w:r>
    </w:p>
    <w:p w14:paraId="25DC1394" w14:textId="5541C75F" w:rsidR="00AA618A" w:rsidRPr="00795F17" w:rsidRDefault="00AA618A" w:rsidP="00AA618A">
      <w:pPr>
        <w:pStyle w:val="Tabela-wyjasnieniapod"/>
      </w:pPr>
      <w:r w:rsidRPr="00795F17">
        <w:rPr>
          <w:b/>
          <w:bCs/>
        </w:rPr>
        <w:t>BIO_FIZ</w:t>
      </w:r>
      <w:r w:rsidRPr="00795F17">
        <w:t xml:space="preserve"> </w:t>
      </w:r>
      <w:r w:rsidR="0091230B">
        <w:t>–</w:t>
      </w:r>
      <w:r w:rsidRPr="00795F17">
        <w:t xml:space="preserve"> presja na elementy biologiczne zależne od fizykochemii</w:t>
      </w:r>
    </w:p>
    <w:p w14:paraId="06E7DD13" w14:textId="578A7056" w:rsidR="00AA618A" w:rsidRPr="00795F17" w:rsidRDefault="00AA618A" w:rsidP="00AA618A">
      <w:pPr>
        <w:pStyle w:val="Tabela-wyjasnieniapod"/>
      </w:pPr>
      <w:r w:rsidRPr="00795F17">
        <w:rPr>
          <w:b/>
          <w:bCs/>
        </w:rPr>
        <w:t>FIZ</w:t>
      </w:r>
      <w:r w:rsidRPr="00795F17">
        <w:t xml:space="preserve"> </w:t>
      </w:r>
      <w:r w:rsidR="0091230B">
        <w:t>–</w:t>
      </w:r>
      <w:r w:rsidRPr="00795F17">
        <w:t xml:space="preserve"> presja na elementy fizykochemiczne</w:t>
      </w:r>
    </w:p>
    <w:p w14:paraId="0818E03F" w14:textId="75047180" w:rsidR="00AA618A" w:rsidRPr="00795F17" w:rsidRDefault="00AA618A" w:rsidP="00AA618A">
      <w:pPr>
        <w:pStyle w:val="Tabela-wyjasnieniapod"/>
      </w:pPr>
      <w:r w:rsidRPr="00795F17">
        <w:rPr>
          <w:b/>
          <w:bCs/>
        </w:rPr>
        <w:t>CHEM</w:t>
      </w:r>
      <w:r w:rsidRPr="00795F17">
        <w:t xml:space="preserve"> </w:t>
      </w:r>
      <w:r w:rsidR="0091230B">
        <w:t>–</w:t>
      </w:r>
      <w:r w:rsidRPr="00795F17">
        <w:t xml:space="preserve"> presja na cechy chemiczne (woda, substancje dozwolone)</w:t>
      </w:r>
    </w:p>
    <w:p w14:paraId="3D5F8929" w14:textId="3CD3761A" w:rsidR="00AA618A" w:rsidRPr="00795F17" w:rsidRDefault="00AA618A" w:rsidP="00AA618A">
      <w:pPr>
        <w:pStyle w:val="Tabela-wyjasnieniapod"/>
      </w:pPr>
      <w:r w:rsidRPr="00795F17">
        <w:rPr>
          <w:b/>
          <w:bCs/>
        </w:rPr>
        <w:t>CHEM_B</w:t>
      </w:r>
      <w:r w:rsidRPr="00795F17">
        <w:t xml:space="preserve"> </w:t>
      </w:r>
      <w:r w:rsidR="0091230B">
        <w:t>–</w:t>
      </w:r>
      <w:r w:rsidRPr="00795F17">
        <w:t xml:space="preserve"> presja na cechy chemiczne (biota, substancje dozwolone)</w:t>
      </w:r>
    </w:p>
    <w:p w14:paraId="2E899BE6" w14:textId="6A83E45E" w:rsidR="00AA618A" w:rsidRPr="00795F17" w:rsidRDefault="00AA618A" w:rsidP="00AA618A">
      <w:pPr>
        <w:pStyle w:val="Tabela-wyjasnieniapod"/>
      </w:pPr>
      <w:r w:rsidRPr="00795F17">
        <w:rPr>
          <w:b/>
          <w:bCs/>
        </w:rPr>
        <w:t>OCH</w:t>
      </w:r>
      <w:r w:rsidRPr="00795F17">
        <w:t xml:space="preserve"> </w:t>
      </w:r>
      <w:r w:rsidR="0091230B">
        <w:t>–</w:t>
      </w:r>
      <w:r w:rsidRPr="00795F17">
        <w:t xml:space="preserve"> presja na obszary chronione w rozumieniu pr.w.</w:t>
      </w:r>
    </w:p>
    <w:p w14:paraId="61BD4E19" w14:textId="66E86096" w:rsidR="00AA618A" w:rsidRPr="00795F17" w:rsidRDefault="00DF005E" w:rsidP="00AA618A">
      <w:pPr>
        <w:pStyle w:val="Tabela-wyjasnieniapod"/>
      </w:pPr>
      <w:r>
        <w:rPr>
          <w:b/>
          <w:bCs/>
        </w:rPr>
        <w:t>JCWP</w:t>
      </w:r>
      <w:r w:rsidR="00AA618A" w:rsidRPr="00795F17">
        <w:rPr>
          <w:b/>
          <w:bCs/>
        </w:rPr>
        <w:t xml:space="preserve"> zagrożone</w:t>
      </w:r>
      <w:r w:rsidR="00AA618A" w:rsidRPr="00795F17">
        <w:t xml:space="preserve"> </w:t>
      </w:r>
      <w:r w:rsidR="0091230B">
        <w:t>–</w:t>
      </w:r>
      <w:r w:rsidR="00AA618A" w:rsidRPr="00795F17">
        <w:t xml:space="preserve"> </w:t>
      </w:r>
      <w:r>
        <w:t>JCWP</w:t>
      </w:r>
      <w:r w:rsidR="00AA618A" w:rsidRPr="00795F17">
        <w:t xml:space="preserve"> zagrożone nieosiągnięciem celów środowiskowych</w:t>
      </w:r>
    </w:p>
    <w:p w14:paraId="12C638B2" w14:textId="33FC0D0C"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91230B">
        <w:t>–</w:t>
      </w:r>
      <w:r w:rsidRPr="00795F17">
        <w:t xml:space="preserve"> </w:t>
      </w:r>
      <w:r w:rsidR="00DF005E">
        <w:t>JCWP</w:t>
      </w:r>
      <w:r w:rsidRPr="00795F17">
        <w:t xml:space="preserve"> (…) </w:t>
      </w:r>
      <w:r w:rsidR="0091230B">
        <w:t>–</w:t>
      </w:r>
      <w:r w:rsidRPr="00795F17">
        <w:t xml:space="preserve"> aktualizacja</w:t>
      </w:r>
    </w:p>
    <w:p w14:paraId="5979C2C7" w14:textId="144E9E91" w:rsidR="00AD1DA1" w:rsidRPr="00795F17" w:rsidRDefault="001D1BBF" w:rsidP="0044393D">
      <w:r w:rsidRPr="00795F17">
        <w:t xml:space="preserve">Uzyskane wyniki wskazują, iż spośród wszystkich </w:t>
      </w:r>
      <w:r w:rsidR="00DF005E">
        <w:t>JCWP</w:t>
      </w:r>
      <w:r w:rsidRPr="00795F17">
        <w:t xml:space="preserve"> RWr </w:t>
      </w:r>
      <w:r w:rsidR="00E04839">
        <w:t>84</w:t>
      </w:r>
      <w:r w:rsidRPr="00795F17">
        <w:t>% poddanych jest presjom</w:t>
      </w:r>
      <w:r w:rsidR="00C96EB3">
        <w:t xml:space="preserve"> </w:t>
      </w:r>
      <w:r w:rsidR="00A76D2D" w:rsidRPr="00795F17">
        <w:t>na cechy chemiczne (biota, substancje dozwolone) (84%)</w:t>
      </w:r>
      <w:r w:rsidR="00A76D2D">
        <w:t xml:space="preserve"> oraz obszary chronione. </w:t>
      </w:r>
      <w:r w:rsidRPr="00795F17">
        <w:t xml:space="preserve">Kolejnymi pod względem udziału </w:t>
      </w:r>
      <w:r w:rsidR="00DF005E">
        <w:t>JCWP</w:t>
      </w:r>
      <w:r w:rsidRPr="00795F17">
        <w:t xml:space="preserve"> są presje</w:t>
      </w:r>
      <w:r w:rsidR="00A76D2D">
        <w:t xml:space="preserve"> na cechy chemiczne (woda, substancje dozwolone) (74%) oraz elementy biologiczne zależne od fizykochemii (</w:t>
      </w:r>
      <w:r w:rsidR="00565616">
        <w:t>63%)</w:t>
      </w:r>
      <w:r w:rsidR="00A76D2D">
        <w:t xml:space="preserve">. </w:t>
      </w:r>
      <w:r w:rsidR="00550310" w:rsidRPr="00795F17">
        <w:t>Wyżej zaprezentowane statystyki obrazuje wykres poniżej (wykres 7-9).</w:t>
      </w:r>
    </w:p>
    <w:p w14:paraId="2F323C63" w14:textId="297172D9" w:rsidR="00AD1DA1" w:rsidRPr="00795F17" w:rsidRDefault="00CB646C" w:rsidP="00E01928">
      <w:pPr>
        <w:jc w:val="center"/>
      </w:pPr>
      <w:r>
        <w:rPr>
          <w:noProof/>
        </w:rPr>
        <w:drawing>
          <wp:inline distT="0" distB="0" distL="0" distR="0" wp14:anchorId="004FC90D" wp14:editId="0FE09F83">
            <wp:extent cx="5113695" cy="2875542"/>
            <wp:effectExtent l="0" t="0" r="10795" b="1270"/>
            <wp:docPr id="1866059337" name="Wykres 1866059337">
              <a:extLst xmlns:a="http://schemas.openxmlformats.org/drawingml/2006/main">
                <a:ext uri="{FF2B5EF4-FFF2-40B4-BE49-F238E27FC236}">
                  <a16:creationId xmlns:a16="http://schemas.microsoft.com/office/drawing/2014/main" id="{B8931933-B797-42BD-BA25-0B9BD1CC56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543719D" w14:textId="2D9DF044" w:rsidR="00AD1DA1" w:rsidRPr="00795F17" w:rsidRDefault="00AD1DA1" w:rsidP="00B479EE">
      <w:pPr>
        <w:pStyle w:val="Wykres"/>
      </w:pPr>
      <w:bookmarkStart w:id="335" w:name="_Toc66288190"/>
      <w:bookmarkStart w:id="336" w:name="_Toc105512982"/>
      <w:r w:rsidRPr="00795F17">
        <w:t xml:space="preserve">Wykres </w:t>
      </w:r>
      <w:fldSimple w:instr=" STYLEREF 1 \s ">
        <w:r w:rsidR="001F774D">
          <w:rPr>
            <w:noProof/>
          </w:rPr>
          <w:t>7</w:t>
        </w:r>
      </w:fldSimple>
      <w:r w:rsidR="00FF20D3">
        <w:noBreakHyphen/>
      </w:r>
      <w:fldSimple w:instr=" SEQ Wykres \* ARABIC \s 1 ">
        <w:r w:rsidR="001F774D">
          <w:rPr>
            <w:noProof/>
          </w:rPr>
          <w:t>9</w:t>
        </w:r>
      </w:fldSimple>
      <w:r w:rsidR="004C45E5">
        <w:rPr>
          <w:noProof/>
        </w:rPr>
        <w:t>.</w:t>
      </w:r>
      <w:r w:rsidRPr="00795F17">
        <w:tab/>
        <w:t xml:space="preserve">Udział liczby </w:t>
      </w:r>
      <w:r w:rsidR="00DF005E">
        <w:t>JCWP</w:t>
      </w:r>
      <w:r w:rsidRPr="00795F17">
        <w:t xml:space="preserve"> RWr ze zidentyfikowaną daną presją znaczącą w ogólnej liczbie </w:t>
      </w:r>
      <w:r w:rsidR="00DF005E">
        <w:t>JCWP</w:t>
      </w:r>
      <w:r w:rsidRPr="00795F17">
        <w:t xml:space="preserve"> RWr </w:t>
      </w:r>
      <w:r w:rsidR="0091230B">
        <w:t>–</w:t>
      </w:r>
      <w:r w:rsidRPr="00795F17">
        <w:t xml:space="preserve"> obszar dorzecza </w:t>
      </w:r>
      <w:bookmarkEnd w:id="335"/>
      <w:r w:rsidR="00822318" w:rsidRPr="00795F17">
        <w:t>Odry</w:t>
      </w:r>
      <w:bookmarkEnd w:id="336"/>
    </w:p>
    <w:p w14:paraId="776A7118" w14:textId="31446A89"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91230B">
        <w:t>–</w:t>
      </w:r>
      <w:r w:rsidRPr="00795F17">
        <w:t xml:space="preserve"> </w:t>
      </w:r>
      <w:r w:rsidR="00DF005E">
        <w:t>JCWP</w:t>
      </w:r>
      <w:r w:rsidRPr="00795F17">
        <w:t xml:space="preserve"> (…) </w:t>
      </w:r>
      <w:r w:rsidR="0091230B">
        <w:t>–</w:t>
      </w:r>
      <w:r w:rsidRPr="00795F17">
        <w:t xml:space="preserve"> aktualizacja</w:t>
      </w:r>
    </w:p>
    <w:p w14:paraId="2E3A255B" w14:textId="47E2ACC9" w:rsidR="00BD7DCD" w:rsidRDefault="00404C31" w:rsidP="00C75BCB">
      <w:r w:rsidRPr="00C75BCB">
        <w:t xml:space="preserve">W przypadku elementów stanu chemicznego </w:t>
      </w:r>
      <w:r w:rsidR="00DF005E">
        <w:t>JCWP</w:t>
      </w:r>
      <w:r w:rsidRPr="00C75BCB">
        <w:t xml:space="preserve"> zbiornikowych, wyniki uzyskane w projekcie </w:t>
      </w:r>
      <w:r w:rsidRPr="00C75BCB">
        <w:rPr>
          <w:i/>
          <w:iCs/>
        </w:rPr>
        <w:t xml:space="preserve">Analiza znaczących oddziaływań </w:t>
      </w:r>
      <w:r w:rsidR="0091230B">
        <w:rPr>
          <w:i/>
          <w:iCs/>
        </w:rPr>
        <w:t>–</w:t>
      </w:r>
      <w:r w:rsidRPr="00C75BCB">
        <w:rPr>
          <w:i/>
          <w:iCs/>
        </w:rPr>
        <w:t xml:space="preserve"> </w:t>
      </w:r>
      <w:r w:rsidR="00DF005E">
        <w:rPr>
          <w:i/>
          <w:iCs/>
        </w:rPr>
        <w:t>JCWP</w:t>
      </w:r>
      <w:r w:rsidRPr="00C75BCB">
        <w:rPr>
          <w:i/>
          <w:iCs/>
        </w:rPr>
        <w:t xml:space="preserve"> (…)</w:t>
      </w:r>
      <w:r w:rsidR="00A57A31">
        <w:rPr>
          <w:rStyle w:val="Odwoanieprzypisudolnego"/>
          <w:i/>
          <w:iCs/>
        </w:rPr>
        <w:footnoteReference w:id="55"/>
      </w:r>
      <w:r w:rsidRPr="00C75BCB">
        <w:t xml:space="preserve">, podobnie jak dla </w:t>
      </w:r>
      <w:r w:rsidR="00DF005E">
        <w:t>JCWP</w:t>
      </w:r>
      <w:r w:rsidRPr="00C75BCB">
        <w:t xml:space="preserve"> rzecznych, wskazują na antropogeniczne pochodzenie substancji priorytetowych ze źródeł punktowych i obszarowych. Istotnym czynnikiem presji w przypadku zbiorników zlokalizowanych w regionie wodnym Górnej Odry jest dopływ ze zlewni znajdujących się powyżej. Oznacza to, że za obniżenie stanu chemicznego w </w:t>
      </w:r>
      <w:r w:rsidR="00DF005E">
        <w:t>JCWP</w:t>
      </w:r>
      <w:r w:rsidRPr="00C75BCB">
        <w:t xml:space="preserve"> odpowiadała bezpośrednio inna zlewnia, w której konieczne jest wprowadzenia działań prowadz</w:t>
      </w:r>
      <w:r w:rsidR="000663C4">
        <w:t xml:space="preserve">ących </w:t>
      </w:r>
      <w:r w:rsidRPr="00C75BCB">
        <w:t>do obniżenia wielkości odprowadzanych ładunków substancji</w:t>
      </w:r>
      <w:r w:rsidR="002F20F4" w:rsidRPr="00C75BCB">
        <w:t>.</w:t>
      </w:r>
      <w:r w:rsidR="00A47044">
        <w:t xml:space="preserve"> </w:t>
      </w:r>
    </w:p>
    <w:p w14:paraId="16FDC101" w14:textId="7B914AEE" w:rsidR="00AD1DA1" w:rsidRPr="005842B5" w:rsidRDefault="00122A22" w:rsidP="001D33CA">
      <w:r w:rsidRPr="005842B5">
        <w:t>W przypadku</w:t>
      </w:r>
      <w:r w:rsidR="007F287B" w:rsidRPr="005842B5">
        <w:t xml:space="preserve"> presji na elem</w:t>
      </w:r>
      <w:r w:rsidR="000E0439" w:rsidRPr="005842B5">
        <w:t>e</w:t>
      </w:r>
      <w:r w:rsidR="007F287B" w:rsidRPr="005842B5">
        <w:t xml:space="preserve">nty fizykochemiczne </w:t>
      </w:r>
      <w:r w:rsidRPr="005842B5">
        <w:t>główn</w:t>
      </w:r>
      <w:r w:rsidR="00BC0931" w:rsidRPr="005842B5">
        <w:t xml:space="preserve">e </w:t>
      </w:r>
      <w:r w:rsidRPr="005842B5">
        <w:t>źród</w:t>
      </w:r>
      <w:r w:rsidR="00BC0931" w:rsidRPr="005842B5">
        <w:t>ło</w:t>
      </w:r>
      <w:r w:rsidRPr="005842B5">
        <w:t xml:space="preserve"> presji </w:t>
      </w:r>
      <w:r w:rsidR="00BC0931" w:rsidRPr="005842B5">
        <w:t>w regionie wodnym Górnej Odry stanowi</w:t>
      </w:r>
      <w:r w:rsidRPr="005842B5">
        <w:t xml:space="preserve"> rolnictwo, a w regionie </w:t>
      </w:r>
      <w:r w:rsidR="000E0439" w:rsidRPr="005842B5">
        <w:t xml:space="preserve">wodnym </w:t>
      </w:r>
      <w:r w:rsidRPr="005842B5">
        <w:t>Odry Środkowej i Warty dopływ ładunków z innych </w:t>
      </w:r>
      <w:r w:rsidR="00DF005E">
        <w:t>JCWP</w:t>
      </w:r>
      <w:r w:rsidRPr="005842B5">
        <w:t>.</w:t>
      </w:r>
    </w:p>
    <w:p w14:paraId="1FE20946" w14:textId="5AA5297E" w:rsidR="00AD1DA1" w:rsidRPr="00795F17" w:rsidRDefault="00AD1DA1" w:rsidP="0044393D">
      <w:r w:rsidRPr="00795F17">
        <w:t>Informacja dotycząca presji znaczących oraz oceny ryzyka nieosiągnięcia celów środowiskowych dla</w:t>
      </w:r>
      <w:r w:rsidR="003A2CD2" w:rsidRPr="00795F17">
        <w:t> </w:t>
      </w:r>
      <w:r w:rsidRPr="00795F17">
        <w:t xml:space="preserve">poszczególnych </w:t>
      </w:r>
      <w:r w:rsidR="00DF005E">
        <w:t>JCWP</w:t>
      </w:r>
      <w:r w:rsidRPr="00795F17">
        <w:t xml:space="preserve"> RWr zawarta jest w załączniku nr 1 (Zestawienie główne). Zobrazowanie przestrzenne </w:t>
      </w:r>
      <w:r w:rsidR="00DF005E">
        <w:t>JCWP</w:t>
      </w:r>
      <w:r w:rsidRPr="00795F17">
        <w:t xml:space="preserve"> RWr z oceną ryzyka nieosiągnięcia celów środowiskowych </w:t>
      </w:r>
      <w:r w:rsidR="00064AE0">
        <w:t>prezentuje załącznik</w:t>
      </w:r>
      <w:r w:rsidRPr="00795F17">
        <w:t xml:space="preserve"> graficzny nr </w:t>
      </w:r>
      <w:r w:rsidR="001B24AB">
        <w:t>43</w:t>
      </w:r>
      <w:r w:rsidR="001157D2" w:rsidRPr="00795F17">
        <w:t>.</w:t>
      </w:r>
    </w:p>
    <w:p w14:paraId="3D8A87F7" w14:textId="5EFA8636" w:rsidR="00AD1DA1" w:rsidRPr="00795F17" w:rsidRDefault="00DF005E" w:rsidP="0044393D">
      <w:pPr>
        <w:pStyle w:val="Nagwek5"/>
      </w:pPr>
      <w:r>
        <w:t>JCWP</w:t>
      </w:r>
      <w:r w:rsidR="00AD1DA1" w:rsidRPr="00795F17">
        <w:t xml:space="preserve"> LW</w:t>
      </w:r>
    </w:p>
    <w:p w14:paraId="068ED7CA" w14:textId="60DCDD16" w:rsidR="00AD1DA1" w:rsidRPr="00795F17" w:rsidRDefault="00AD1DA1" w:rsidP="0044393D">
      <w:r w:rsidRPr="00795F17">
        <w:t xml:space="preserve">Przeprowadzone analizy i identyfikacja znaczących oddziaływań antropogenicznych </w:t>
      </w:r>
      <w:r w:rsidR="00DF005E">
        <w:t>JCWP</w:t>
      </w:r>
      <w:r w:rsidRPr="00795F17">
        <w:t xml:space="preserve"> LW </w:t>
      </w:r>
      <w:r w:rsidR="00254CE1">
        <w:t xml:space="preserve">na </w:t>
      </w:r>
      <w:r w:rsidRPr="00795F17">
        <w:t xml:space="preserve">obszarze dorzecza </w:t>
      </w:r>
      <w:r w:rsidR="00032C11" w:rsidRPr="00795F17">
        <w:t>Odry</w:t>
      </w:r>
      <w:r w:rsidRPr="00795F17">
        <w:t xml:space="preserve"> wykazały zagrożenie nieosiągnięci</w:t>
      </w:r>
      <w:r w:rsidRPr="00795F17">
        <w:rPr>
          <w:rFonts w:cstheme="minorBidi"/>
        </w:rPr>
        <w:t>a</w:t>
      </w:r>
      <w:r w:rsidRPr="00795F17">
        <w:t xml:space="preserve"> celów środowiskowych dla ponad 60% </w:t>
      </w:r>
      <w:r w:rsidR="00DF005E">
        <w:t>JCWP</w:t>
      </w:r>
      <w:r w:rsidRPr="00795F17">
        <w:t xml:space="preserve"> LW obszaru dorzecza </w:t>
      </w:r>
      <w:r w:rsidR="00032C11" w:rsidRPr="00795F17">
        <w:t>Odry</w:t>
      </w:r>
      <w:r w:rsidRPr="00795F17">
        <w:t xml:space="preserve">. Spośród zidentyfikowanych presji znaczących największa liczba </w:t>
      </w:r>
      <w:r w:rsidR="00DF005E">
        <w:t>JCWP</w:t>
      </w:r>
      <w:r w:rsidRPr="00795F17">
        <w:t xml:space="preserve"> LW poddana jest </w:t>
      </w:r>
      <w:r w:rsidR="00C96EB3" w:rsidRPr="00795F17">
        <w:t>presji na cechy chemiczne</w:t>
      </w:r>
      <w:r w:rsidR="00C96EB3">
        <w:t xml:space="preserve"> oraz </w:t>
      </w:r>
      <w:r w:rsidRPr="00795F17">
        <w:t>presji na elementy biologiczne zależne od fizykochemii, wraz ze zidentyfikowaną presją na obszary chronione.</w:t>
      </w:r>
    </w:p>
    <w:p w14:paraId="30F917AE" w14:textId="240DED49" w:rsidR="00AD1DA1" w:rsidRPr="00795F17" w:rsidRDefault="00AD1DA1" w:rsidP="0044393D">
      <w:r w:rsidRPr="00795F17">
        <w:t xml:space="preserve">Zestawienie liczby </w:t>
      </w:r>
      <w:r w:rsidR="00DF005E">
        <w:t>JCWP</w:t>
      </w:r>
      <w:r w:rsidRPr="00795F17">
        <w:t xml:space="preserve"> LW ze zidentyfikowanymi poszczególnymi kategoriami presji wraz</w:t>
      </w:r>
      <w:r w:rsidR="00AB2184">
        <w:t> </w:t>
      </w:r>
      <w:r w:rsidRPr="00795F17">
        <w:t>z</w:t>
      </w:r>
      <w:r w:rsidR="007732BC" w:rsidRPr="00795F17">
        <w:t> </w:t>
      </w:r>
      <w:r w:rsidRPr="00795F17">
        <w:t xml:space="preserve">określeniem udziału w ogólnej liczbie </w:t>
      </w:r>
      <w:r w:rsidR="00DF005E">
        <w:t>JCWP</w:t>
      </w:r>
      <w:r w:rsidRPr="00795F17">
        <w:t xml:space="preserve"> LW obszaru dorzecza </w:t>
      </w:r>
      <w:r w:rsidR="00A1711D" w:rsidRPr="00795F17">
        <w:t>Odry</w:t>
      </w:r>
      <w:r w:rsidRPr="00795F17">
        <w:t xml:space="preserve"> prezentuje tabela</w:t>
      </w:r>
      <w:r w:rsidR="007732BC" w:rsidRPr="00795F17">
        <w:t xml:space="preserve"> 7-5</w:t>
      </w:r>
      <w:r w:rsidRPr="00795F17">
        <w:t>.</w:t>
      </w:r>
    </w:p>
    <w:p w14:paraId="5F0E49FF" w14:textId="1B6F908C" w:rsidR="00AD1DA1" w:rsidRPr="00795F17" w:rsidRDefault="00AD1DA1" w:rsidP="00A3686C">
      <w:pPr>
        <w:pStyle w:val="Tabela"/>
      </w:pPr>
      <w:bookmarkStart w:id="337" w:name="_Toc66288074"/>
      <w:bookmarkStart w:id="338" w:name="_Toc66341895"/>
      <w:bookmarkStart w:id="339" w:name="_Toc105512806"/>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1F774D">
        <w:rPr>
          <w:bCs/>
          <w:noProof/>
        </w:rPr>
        <w:t>7</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1F774D">
        <w:rPr>
          <w:bCs/>
          <w:noProof/>
        </w:rPr>
        <w:t>5</w:t>
      </w:r>
      <w:r w:rsidR="00BB3B21" w:rsidRPr="00795F17">
        <w:rPr>
          <w:bCs/>
        </w:rPr>
        <w:fldChar w:fldCharType="end"/>
      </w:r>
      <w:r w:rsidR="00E76356">
        <w:rPr>
          <w:bCs/>
        </w:rPr>
        <w:t>.</w:t>
      </w:r>
      <w:r w:rsidRPr="00795F17">
        <w:rPr>
          <w:bCs/>
        </w:rPr>
        <w:tab/>
      </w:r>
      <w:r w:rsidRPr="00795F17">
        <w:t xml:space="preserve">Podsumowanie analizy znaczących oddziaływań antropogenicznych wraz z oceną ryzyka nieosiągnięcia celów środowiskowych dla </w:t>
      </w:r>
      <w:r w:rsidR="00DF005E">
        <w:t>JCWP</w:t>
      </w:r>
      <w:r w:rsidRPr="00795F17">
        <w:t xml:space="preserve"> LW </w:t>
      </w:r>
      <w:r w:rsidR="0091230B">
        <w:t>–</w:t>
      </w:r>
      <w:r w:rsidRPr="00795F17">
        <w:t xml:space="preserve"> obszar dorzecza </w:t>
      </w:r>
      <w:bookmarkEnd w:id="337"/>
      <w:r w:rsidR="00032C11" w:rsidRPr="00795F17">
        <w:t>Odry</w:t>
      </w:r>
      <w:bookmarkEnd w:id="338"/>
      <w:bookmarkEnd w:id="339"/>
    </w:p>
    <w:tbl>
      <w:tblPr>
        <w:tblW w:w="5003" w:type="pct"/>
        <w:tblInd w:w="-5" w:type="dxa"/>
        <w:tblCellMar>
          <w:left w:w="70" w:type="dxa"/>
          <w:right w:w="70" w:type="dxa"/>
        </w:tblCellMar>
        <w:tblLook w:val="04A0" w:firstRow="1" w:lastRow="0" w:firstColumn="1" w:lastColumn="0" w:noHBand="0" w:noVBand="1"/>
      </w:tblPr>
      <w:tblGrid>
        <w:gridCol w:w="907"/>
        <w:gridCol w:w="771"/>
        <w:gridCol w:w="1157"/>
        <w:gridCol w:w="993"/>
        <w:gridCol w:w="992"/>
        <w:gridCol w:w="992"/>
        <w:gridCol w:w="1044"/>
        <w:gridCol w:w="840"/>
        <w:gridCol w:w="1371"/>
      </w:tblGrid>
      <w:tr w:rsidR="005174AB" w:rsidRPr="00795F17" w14:paraId="599F2588" w14:textId="77777777" w:rsidTr="00A9788C">
        <w:trPr>
          <w:trHeight w:val="454"/>
        </w:trPr>
        <w:tc>
          <w:tcPr>
            <w:tcW w:w="907" w:type="dxa"/>
            <w:vMerge w:val="restart"/>
            <w:tcBorders>
              <w:top w:val="single" w:sz="4" w:space="0" w:color="auto"/>
              <w:left w:val="single" w:sz="4" w:space="0" w:color="auto"/>
              <w:bottom w:val="single" w:sz="4" w:space="0" w:color="auto"/>
              <w:right w:val="single" w:sz="4" w:space="0" w:color="auto"/>
            </w:tcBorders>
            <w:shd w:val="clear" w:color="DDEBF7" w:fill="BFBFBF"/>
            <w:tcMar>
              <w:left w:w="28" w:type="dxa"/>
              <w:right w:w="28" w:type="dxa"/>
            </w:tcMar>
            <w:vAlign w:val="center"/>
            <w:hideMark/>
          </w:tcPr>
          <w:p w14:paraId="4239A908" w14:textId="00CC8A68" w:rsidR="00AA618A" w:rsidRPr="00795F17" w:rsidRDefault="00AA618A" w:rsidP="0044393D">
            <w:pPr>
              <w:pStyle w:val="Teksttabelinaglowek"/>
            </w:pPr>
            <w:r w:rsidRPr="00795F17">
              <w:t>Obszar dorzecza</w:t>
            </w:r>
          </w:p>
        </w:tc>
        <w:tc>
          <w:tcPr>
            <w:tcW w:w="771" w:type="dxa"/>
            <w:vMerge w:val="restart"/>
            <w:tcBorders>
              <w:top w:val="single" w:sz="4" w:space="0" w:color="auto"/>
              <w:left w:val="single" w:sz="4" w:space="0" w:color="auto"/>
              <w:bottom w:val="single" w:sz="4" w:space="0" w:color="auto"/>
              <w:right w:val="single" w:sz="4" w:space="0" w:color="auto"/>
            </w:tcBorders>
            <w:shd w:val="clear" w:color="DDEBF7" w:fill="BFBFBF"/>
            <w:tcMar>
              <w:left w:w="28" w:type="dxa"/>
              <w:right w:w="28" w:type="dxa"/>
            </w:tcMar>
            <w:vAlign w:val="center"/>
            <w:hideMark/>
          </w:tcPr>
          <w:p w14:paraId="3916793D" w14:textId="1D3D7C1B" w:rsidR="00AA618A" w:rsidRPr="00795F17" w:rsidRDefault="00AA618A" w:rsidP="0044393D">
            <w:pPr>
              <w:pStyle w:val="Teksttabelinaglowek"/>
            </w:pPr>
            <w:r w:rsidRPr="00795F17">
              <w:t xml:space="preserve">Liczba </w:t>
            </w:r>
            <w:r w:rsidR="00DF005E">
              <w:t>JCWP</w:t>
            </w:r>
            <w:r w:rsidRPr="00795F17">
              <w:t xml:space="preserve"> LW</w:t>
            </w:r>
          </w:p>
        </w:tc>
        <w:tc>
          <w:tcPr>
            <w:tcW w:w="6018" w:type="dxa"/>
            <w:gridSpan w:val="6"/>
            <w:tcBorders>
              <w:top w:val="single" w:sz="4" w:space="0" w:color="auto"/>
              <w:left w:val="nil"/>
              <w:bottom w:val="single" w:sz="4" w:space="0" w:color="auto"/>
              <w:right w:val="single" w:sz="4" w:space="0" w:color="auto"/>
            </w:tcBorders>
            <w:shd w:val="clear" w:color="DDEBF7" w:fill="BFBFBF"/>
            <w:tcMar>
              <w:left w:w="28" w:type="dxa"/>
              <w:right w:w="28" w:type="dxa"/>
            </w:tcMar>
            <w:vAlign w:val="center"/>
          </w:tcPr>
          <w:p w14:paraId="66703BE7" w14:textId="4A42823A" w:rsidR="00AA618A" w:rsidRPr="00795F17" w:rsidRDefault="00AA618A" w:rsidP="0044393D">
            <w:pPr>
              <w:pStyle w:val="Teksttabelinaglowek"/>
            </w:pPr>
            <w:r w:rsidRPr="00795F17">
              <w:t xml:space="preserve">Liczba </w:t>
            </w:r>
            <w:r w:rsidR="00DF005E">
              <w:t>JCWP</w:t>
            </w:r>
            <w:r w:rsidRPr="00795F17">
              <w:t xml:space="preserve"> LW ze zidentyfikowaną znaczącą presją*</w:t>
            </w:r>
          </w:p>
        </w:tc>
        <w:tc>
          <w:tcPr>
            <w:tcW w:w="1371" w:type="dxa"/>
            <w:vMerge w:val="restart"/>
            <w:tcBorders>
              <w:top w:val="single" w:sz="4" w:space="0" w:color="auto"/>
              <w:left w:val="single" w:sz="4" w:space="0" w:color="auto"/>
              <w:bottom w:val="single" w:sz="4" w:space="0" w:color="auto"/>
              <w:right w:val="single" w:sz="4" w:space="0" w:color="auto"/>
            </w:tcBorders>
            <w:shd w:val="clear" w:color="DDEBF7" w:fill="BFBFBF"/>
            <w:tcMar>
              <w:left w:w="28" w:type="dxa"/>
              <w:right w:w="28" w:type="dxa"/>
            </w:tcMar>
            <w:vAlign w:val="center"/>
            <w:hideMark/>
          </w:tcPr>
          <w:p w14:paraId="7AB7009B" w14:textId="09D0BA68" w:rsidR="00AA618A" w:rsidRPr="00795F17" w:rsidRDefault="00AA618A" w:rsidP="0044393D">
            <w:pPr>
              <w:pStyle w:val="Teksttabelinaglowek"/>
            </w:pPr>
            <w:r w:rsidRPr="00795F17">
              <w:t xml:space="preserve">Ocena ryzyka (liczba </w:t>
            </w:r>
            <w:r w:rsidR="00DF005E">
              <w:t>JCWP</w:t>
            </w:r>
            <w:r w:rsidRPr="00795F17">
              <w:t xml:space="preserve"> zagrożonych)</w:t>
            </w:r>
          </w:p>
        </w:tc>
      </w:tr>
      <w:tr w:rsidR="004E24D2" w:rsidRPr="00795F17" w14:paraId="7DCFC632" w14:textId="77777777" w:rsidTr="004B42F9">
        <w:trPr>
          <w:trHeight w:val="454"/>
        </w:trPr>
        <w:tc>
          <w:tcPr>
            <w:tcW w:w="907"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96FA98C" w14:textId="77777777" w:rsidR="004B42F9" w:rsidRPr="00795F17" w:rsidRDefault="004B42F9" w:rsidP="0044393D">
            <w:pPr>
              <w:pStyle w:val="Teksttabelinaglowek"/>
            </w:pPr>
          </w:p>
        </w:tc>
        <w:tc>
          <w:tcPr>
            <w:tcW w:w="77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BC84337" w14:textId="77777777" w:rsidR="004B42F9" w:rsidRPr="00795F17" w:rsidRDefault="004B42F9" w:rsidP="0044393D">
            <w:pPr>
              <w:pStyle w:val="Teksttabelinaglowek"/>
            </w:pPr>
          </w:p>
        </w:tc>
        <w:tc>
          <w:tcPr>
            <w:tcW w:w="1157" w:type="dxa"/>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2CC76947" w14:textId="77777777" w:rsidR="004B42F9" w:rsidRPr="00795F17" w:rsidRDefault="004B42F9" w:rsidP="0044393D">
            <w:pPr>
              <w:pStyle w:val="Teksttabelinaglowek"/>
            </w:pPr>
            <w:r w:rsidRPr="00795F17">
              <w:t>BIO_HM</w:t>
            </w:r>
          </w:p>
        </w:tc>
        <w:tc>
          <w:tcPr>
            <w:tcW w:w="993" w:type="dxa"/>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791E8987" w14:textId="77777777" w:rsidR="004B42F9" w:rsidRPr="00795F17" w:rsidRDefault="004B42F9" w:rsidP="0044393D">
            <w:pPr>
              <w:pStyle w:val="Teksttabelinaglowek"/>
            </w:pPr>
            <w:r w:rsidRPr="00795F17">
              <w:t>BIO_FIZ</w:t>
            </w:r>
          </w:p>
        </w:tc>
        <w:tc>
          <w:tcPr>
            <w:tcW w:w="992" w:type="dxa"/>
            <w:tcBorders>
              <w:top w:val="single" w:sz="4" w:space="0" w:color="auto"/>
              <w:left w:val="nil"/>
              <w:bottom w:val="single" w:sz="4" w:space="0" w:color="auto"/>
              <w:right w:val="single" w:sz="4" w:space="0" w:color="auto"/>
            </w:tcBorders>
            <w:shd w:val="clear" w:color="DDEBF7" w:fill="BFBFBF"/>
            <w:tcMar>
              <w:left w:w="28" w:type="dxa"/>
              <w:right w:w="28" w:type="dxa"/>
            </w:tcMar>
            <w:vAlign w:val="center"/>
          </w:tcPr>
          <w:p w14:paraId="238EFDDA" w14:textId="77777777" w:rsidR="004B42F9" w:rsidRPr="00795F17" w:rsidRDefault="004B42F9" w:rsidP="0044393D">
            <w:pPr>
              <w:pStyle w:val="Teksttabelinaglowek"/>
            </w:pPr>
            <w:r w:rsidRPr="00795F17">
              <w:t>FIZ</w:t>
            </w:r>
          </w:p>
        </w:tc>
        <w:tc>
          <w:tcPr>
            <w:tcW w:w="992" w:type="dxa"/>
            <w:tcBorders>
              <w:top w:val="nil"/>
              <w:left w:val="single" w:sz="4" w:space="0" w:color="auto"/>
              <w:bottom w:val="single" w:sz="4" w:space="0" w:color="auto"/>
              <w:right w:val="single" w:sz="4" w:space="0" w:color="auto"/>
            </w:tcBorders>
            <w:shd w:val="clear" w:color="DDEBF7" w:fill="BFBFBF"/>
            <w:noWrap/>
            <w:tcMar>
              <w:left w:w="28" w:type="dxa"/>
              <w:right w:w="28" w:type="dxa"/>
            </w:tcMar>
            <w:vAlign w:val="center"/>
            <w:hideMark/>
          </w:tcPr>
          <w:p w14:paraId="3FAD46C6" w14:textId="77777777" w:rsidR="004B42F9" w:rsidRPr="00795F17" w:rsidRDefault="004B42F9" w:rsidP="0044393D">
            <w:pPr>
              <w:pStyle w:val="Teksttabelinaglowek"/>
            </w:pPr>
            <w:r w:rsidRPr="00795F17">
              <w:t>CHEM</w:t>
            </w:r>
          </w:p>
        </w:tc>
        <w:tc>
          <w:tcPr>
            <w:tcW w:w="1044" w:type="dxa"/>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6CD2D83B" w14:textId="74306A9A" w:rsidR="004B42F9" w:rsidRPr="00795F17" w:rsidRDefault="004B42F9" w:rsidP="0044393D">
            <w:pPr>
              <w:pStyle w:val="Teksttabelinaglowek"/>
            </w:pPr>
            <w:r w:rsidRPr="00795F17">
              <w:t>CHEM_B</w:t>
            </w:r>
          </w:p>
        </w:tc>
        <w:tc>
          <w:tcPr>
            <w:tcW w:w="840" w:type="dxa"/>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6FBE3F99" w14:textId="77777777" w:rsidR="004B42F9" w:rsidRPr="00795F17" w:rsidRDefault="004B42F9" w:rsidP="0044393D">
            <w:pPr>
              <w:pStyle w:val="Teksttabelinaglowek"/>
            </w:pPr>
            <w:r w:rsidRPr="00795F17">
              <w:t>OCH</w:t>
            </w:r>
          </w:p>
        </w:tc>
        <w:tc>
          <w:tcPr>
            <w:tcW w:w="137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09ACDA2" w14:textId="77777777" w:rsidR="004B42F9" w:rsidRPr="00795F17" w:rsidRDefault="004B42F9" w:rsidP="0044393D">
            <w:pPr>
              <w:pStyle w:val="Teksttabelinaglowek"/>
            </w:pPr>
          </w:p>
        </w:tc>
      </w:tr>
      <w:tr w:rsidR="004B42F9" w:rsidRPr="00795F17" w14:paraId="458570DF" w14:textId="77777777" w:rsidTr="004B42F9">
        <w:trPr>
          <w:trHeight w:val="454"/>
        </w:trPr>
        <w:tc>
          <w:tcPr>
            <w:tcW w:w="90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6F3603B" w14:textId="39059B8A" w:rsidR="004B42F9" w:rsidRPr="00795F17" w:rsidRDefault="004B42F9" w:rsidP="0065243A">
            <w:pPr>
              <w:pStyle w:val="Teksttabelisrodek"/>
            </w:pPr>
            <w:r w:rsidRPr="00795F17">
              <w:t>Odry</w:t>
            </w:r>
          </w:p>
        </w:tc>
        <w:tc>
          <w:tcPr>
            <w:tcW w:w="77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61BF78D8" w14:textId="7C00F9FE" w:rsidR="004B42F9" w:rsidRPr="00795F17" w:rsidRDefault="004B42F9" w:rsidP="0065243A">
            <w:pPr>
              <w:pStyle w:val="Teksttabelisrodek"/>
            </w:pPr>
            <w:r w:rsidRPr="00795F17">
              <w:t>427</w:t>
            </w:r>
          </w:p>
        </w:tc>
        <w:tc>
          <w:tcPr>
            <w:tcW w:w="115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098BE644" w14:textId="0181B2D0" w:rsidR="004B42F9" w:rsidRPr="00795F17" w:rsidRDefault="004B42F9" w:rsidP="0065243A">
            <w:pPr>
              <w:pStyle w:val="Teksttabelisrodek"/>
            </w:pPr>
            <w:r w:rsidRPr="00795F17">
              <w:t>1</w:t>
            </w:r>
            <w:r>
              <w:t>33</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570D727A" w14:textId="6733FEFD" w:rsidR="004B42F9" w:rsidRPr="008A5281" w:rsidRDefault="004B42F9" w:rsidP="0065243A">
            <w:pPr>
              <w:pStyle w:val="Teksttabelisrodek"/>
            </w:pPr>
            <w:r w:rsidRPr="008A5281">
              <w:t>1</w:t>
            </w:r>
            <w:r>
              <w:t>77</w:t>
            </w:r>
          </w:p>
        </w:tc>
        <w:tc>
          <w:tcPr>
            <w:tcW w:w="99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39ED9FDE" w14:textId="554F03E8" w:rsidR="004B42F9" w:rsidRPr="00795F17" w:rsidRDefault="004B42F9" w:rsidP="0065243A">
            <w:pPr>
              <w:pStyle w:val="Teksttabelisrodek"/>
            </w:pPr>
            <w:r>
              <w:t>209</w:t>
            </w:r>
          </w:p>
        </w:tc>
        <w:tc>
          <w:tcPr>
            <w:tcW w:w="99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6C1AD08D" w14:textId="0A88D63A" w:rsidR="004B42F9" w:rsidRPr="00795F17" w:rsidRDefault="004B42F9" w:rsidP="0065243A">
            <w:pPr>
              <w:pStyle w:val="Teksttabelisrodek"/>
            </w:pPr>
            <w:r>
              <w:t>156</w:t>
            </w:r>
          </w:p>
        </w:tc>
        <w:tc>
          <w:tcPr>
            <w:tcW w:w="1044"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628265BA" w14:textId="49242AF3" w:rsidR="004B42F9" w:rsidRPr="00795F17" w:rsidRDefault="004B42F9" w:rsidP="0065243A">
            <w:pPr>
              <w:pStyle w:val="Teksttabelisrodek"/>
            </w:pPr>
            <w:r>
              <w:t>142</w:t>
            </w:r>
          </w:p>
        </w:tc>
        <w:tc>
          <w:tcPr>
            <w:tcW w:w="840"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3F857D37" w14:textId="70393DE5" w:rsidR="004B42F9" w:rsidRPr="00795F17" w:rsidRDefault="004B42F9" w:rsidP="0065243A">
            <w:pPr>
              <w:pStyle w:val="Teksttabelisrodek"/>
            </w:pPr>
            <w:r w:rsidRPr="00795F17">
              <w:t>239</w:t>
            </w:r>
          </w:p>
        </w:tc>
        <w:tc>
          <w:tcPr>
            <w:tcW w:w="1371" w:type="dxa"/>
            <w:tcBorders>
              <w:top w:val="nil"/>
              <w:left w:val="nil"/>
              <w:bottom w:val="single" w:sz="4" w:space="0" w:color="auto"/>
              <w:right w:val="single" w:sz="4" w:space="0" w:color="auto"/>
            </w:tcBorders>
            <w:noWrap/>
            <w:tcMar>
              <w:left w:w="28" w:type="dxa"/>
              <w:right w:w="28" w:type="dxa"/>
            </w:tcMar>
            <w:vAlign w:val="center"/>
          </w:tcPr>
          <w:p w14:paraId="7F218F5A" w14:textId="78D0FD08" w:rsidR="004B42F9" w:rsidRPr="00795F17" w:rsidRDefault="004B42F9" w:rsidP="0065243A">
            <w:pPr>
              <w:pStyle w:val="Teksttabelisrodek"/>
            </w:pPr>
            <w:r>
              <w:t>287</w:t>
            </w:r>
          </w:p>
        </w:tc>
      </w:tr>
      <w:tr w:rsidR="004E24D2" w:rsidRPr="00795F17" w14:paraId="61C10740" w14:textId="77777777" w:rsidTr="004B42F9">
        <w:trPr>
          <w:trHeight w:val="454"/>
        </w:trPr>
        <w:tc>
          <w:tcPr>
            <w:tcW w:w="167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left w:w="28" w:type="dxa"/>
              <w:right w:w="28" w:type="dxa"/>
            </w:tcMar>
            <w:vAlign w:val="center"/>
          </w:tcPr>
          <w:p w14:paraId="2B47FA8C" w14:textId="3D83AC56" w:rsidR="00BF43E3" w:rsidRPr="000C3A64" w:rsidRDefault="00BF43E3" w:rsidP="00BF43E3">
            <w:pPr>
              <w:pStyle w:val="Teksttabelisrodek"/>
              <w:rPr>
                <w:b/>
              </w:rPr>
            </w:pPr>
            <w:r w:rsidRPr="000C3A64">
              <w:rPr>
                <w:b/>
              </w:rPr>
              <w:t xml:space="preserve">Udział w ogólnej liczbie </w:t>
            </w:r>
            <w:r w:rsidR="00DF005E">
              <w:rPr>
                <w:b/>
              </w:rPr>
              <w:t>JCWP</w:t>
            </w:r>
            <w:r w:rsidRPr="000C3A64">
              <w:rPr>
                <w:b/>
              </w:rPr>
              <w:t xml:space="preserve"> LW (%)</w:t>
            </w:r>
          </w:p>
        </w:tc>
        <w:tc>
          <w:tcPr>
            <w:tcW w:w="1157" w:type="dxa"/>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0363970B" w14:textId="4FE0A03C" w:rsidR="00BF43E3" w:rsidRPr="000C3A64" w:rsidRDefault="00BF43E3" w:rsidP="00BF43E3">
            <w:pPr>
              <w:pStyle w:val="Teksttabelisrodek"/>
              <w:rPr>
                <w:b/>
              </w:rPr>
            </w:pPr>
            <w:r>
              <w:rPr>
                <w:rFonts w:cs="Calibri"/>
                <w:b/>
                <w:bCs w:val="0"/>
                <w:szCs w:val="20"/>
              </w:rPr>
              <w:t>31</w:t>
            </w:r>
          </w:p>
        </w:tc>
        <w:tc>
          <w:tcPr>
            <w:tcW w:w="993" w:type="dxa"/>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1EA62DBB" w14:textId="77700BF0" w:rsidR="00BF43E3" w:rsidRPr="008A5281" w:rsidRDefault="00BF43E3" w:rsidP="00BF43E3">
            <w:pPr>
              <w:pStyle w:val="Teksttabelisrodek"/>
              <w:rPr>
                <w:b/>
              </w:rPr>
            </w:pPr>
            <w:r>
              <w:rPr>
                <w:rFonts w:cs="Calibri"/>
                <w:b/>
                <w:bCs w:val="0"/>
                <w:szCs w:val="20"/>
              </w:rPr>
              <w:t>41</w:t>
            </w:r>
          </w:p>
        </w:tc>
        <w:tc>
          <w:tcPr>
            <w:tcW w:w="992" w:type="dxa"/>
            <w:tcBorders>
              <w:top w:val="single" w:sz="4" w:space="0" w:color="auto"/>
              <w:left w:val="nil"/>
              <w:bottom w:val="single" w:sz="4" w:space="0" w:color="auto"/>
              <w:right w:val="single" w:sz="4" w:space="0" w:color="auto"/>
            </w:tcBorders>
            <w:shd w:val="clear" w:color="auto" w:fill="BFBFBF" w:themeFill="background1" w:themeFillShade="BF"/>
            <w:tcMar>
              <w:left w:w="28" w:type="dxa"/>
              <w:right w:w="28" w:type="dxa"/>
            </w:tcMar>
            <w:vAlign w:val="center"/>
          </w:tcPr>
          <w:p w14:paraId="68352344" w14:textId="2086F6D7" w:rsidR="00BF43E3" w:rsidRPr="000C3A64" w:rsidRDefault="00BF43E3" w:rsidP="00BF43E3">
            <w:pPr>
              <w:pStyle w:val="Teksttabelisrodek"/>
              <w:rPr>
                <w:b/>
              </w:rPr>
            </w:pPr>
            <w:r>
              <w:rPr>
                <w:rFonts w:cs="Calibri"/>
                <w:b/>
                <w:bCs w:val="0"/>
                <w:szCs w:val="20"/>
              </w:rPr>
              <w:t>49</w:t>
            </w:r>
          </w:p>
        </w:tc>
        <w:tc>
          <w:tcPr>
            <w:tcW w:w="99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left w:w="28" w:type="dxa"/>
              <w:right w:w="28" w:type="dxa"/>
            </w:tcMar>
            <w:vAlign w:val="center"/>
          </w:tcPr>
          <w:p w14:paraId="5996DAB8" w14:textId="74B86B4C" w:rsidR="00BF43E3" w:rsidRPr="000C3A64" w:rsidRDefault="00BF43E3" w:rsidP="00BF43E3">
            <w:pPr>
              <w:pStyle w:val="Teksttabelisrodek"/>
              <w:rPr>
                <w:b/>
              </w:rPr>
            </w:pPr>
            <w:r>
              <w:rPr>
                <w:rFonts w:cs="Calibri"/>
                <w:b/>
                <w:bCs w:val="0"/>
                <w:szCs w:val="20"/>
              </w:rPr>
              <w:t>37</w:t>
            </w:r>
          </w:p>
        </w:tc>
        <w:tc>
          <w:tcPr>
            <w:tcW w:w="1044" w:type="dxa"/>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54361D46" w14:textId="61F9309A" w:rsidR="00BF43E3" w:rsidRPr="000C3A64" w:rsidRDefault="00BF43E3" w:rsidP="00BF43E3">
            <w:pPr>
              <w:pStyle w:val="Teksttabelisrodek"/>
              <w:rPr>
                <w:b/>
              </w:rPr>
            </w:pPr>
            <w:r>
              <w:rPr>
                <w:rFonts w:cs="Calibri"/>
                <w:b/>
                <w:bCs w:val="0"/>
                <w:szCs w:val="20"/>
              </w:rPr>
              <w:t>33</w:t>
            </w:r>
          </w:p>
        </w:tc>
        <w:tc>
          <w:tcPr>
            <w:tcW w:w="840" w:type="dxa"/>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3B0DDF72" w14:textId="2FCA76A9" w:rsidR="00BF43E3" w:rsidRPr="000C3A64" w:rsidRDefault="00BF43E3" w:rsidP="00BF43E3">
            <w:pPr>
              <w:pStyle w:val="Teksttabelisrodek"/>
              <w:rPr>
                <w:b/>
              </w:rPr>
            </w:pPr>
            <w:r>
              <w:rPr>
                <w:rFonts w:cs="Calibri"/>
                <w:b/>
                <w:bCs w:val="0"/>
                <w:szCs w:val="20"/>
              </w:rPr>
              <w:t>56</w:t>
            </w:r>
          </w:p>
        </w:tc>
        <w:tc>
          <w:tcPr>
            <w:tcW w:w="1371" w:type="dxa"/>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1E41EA2A" w14:textId="2F27673B" w:rsidR="00BF43E3" w:rsidRPr="000C3A64" w:rsidRDefault="00BF43E3" w:rsidP="00BF43E3">
            <w:pPr>
              <w:pStyle w:val="Teksttabelisrodek"/>
              <w:rPr>
                <w:b/>
              </w:rPr>
            </w:pPr>
            <w:r>
              <w:rPr>
                <w:b/>
              </w:rPr>
              <w:t>67</w:t>
            </w:r>
          </w:p>
        </w:tc>
      </w:tr>
    </w:tbl>
    <w:p w14:paraId="4AA34528" w14:textId="518E8C17" w:rsidR="004A662B" w:rsidRPr="004A662B" w:rsidRDefault="004A662B" w:rsidP="009F7F19">
      <w:pPr>
        <w:pStyle w:val="Tabela-wyjasnieniapod"/>
        <w:spacing w:before="0" w:after="0"/>
        <w:rPr>
          <w:iCs w:val="0"/>
        </w:rPr>
      </w:pPr>
      <w:r w:rsidRPr="00A76D45">
        <w:rPr>
          <w:iCs w:val="0"/>
        </w:rPr>
        <w:t>Objaśnienia:</w:t>
      </w:r>
    </w:p>
    <w:p w14:paraId="185433F1" w14:textId="22CF8B85" w:rsidR="00AA618A" w:rsidRPr="00795F17" w:rsidRDefault="00AA618A" w:rsidP="00AA618A">
      <w:pPr>
        <w:pStyle w:val="Tabela-wyjasnieniapod"/>
      </w:pPr>
      <w:r w:rsidRPr="00795F17">
        <w:t>*</w:t>
      </w:r>
      <w:r w:rsidR="00120314">
        <w:t xml:space="preserve"> </w:t>
      </w:r>
      <w:r w:rsidRPr="00795F17">
        <w:t xml:space="preserve">Wskazane wartości oznaczają liczbę </w:t>
      </w:r>
      <w:r w:rsidR="00DF005E">
        <w:t>JCWP</w:t>
      </w:r>
      <w:r w:rsidRPr="00795F17">
        <w:t xml:space="preserve"> ze zidentyfikowanym danym rodzajem presji znaczącej. Presje znaczące występować mogą łącznie w </w:t>
      </w:r>
      <w:r w:rsidR="00DF005E">
        <w:t>JCWP</w:t>
      </w:r>
      <w:r w:rsidRPr="00795F17">
        <w:t>.</w:t>
      </w:r>
    </w:p>
    <w:p w14:paraId="715972C6" w14:textId="15B018AE" w:rsidR="00AA618A" w:rsidRPr="00795F17" w:rsidRDefault="00AA618A" w:rsidP="00AA618A">
      <w:pPr>
        <w:pStyle w:val="Tabela-wyjasnieniapod"/>
      </w:pPr>
      <w:r w:rsidRPr="00795F17">
        <w:rPr>
          <w:b/>
          <w:bCs/>
        </w:rPr>
        <w:t>BIO_HM</w:t>
      </w:r>
      <w:r w:rsidRPr="00795F17">
        <w:t xml:space="preserve"> </w:t>
      </w:r>
      <w:r w:rsidR="0091230B">
        <w:t>–</w:t>
      </w:r>
      <w:r w:rsidRPr="00795F17">
        <w:t xml:space="preserve"> presja na elementy biologiczne zależne od hydromorfologii</w:t>
      </w:r>
    </w:p>
    <w:p w14:paraId="0F95080C" w14:textId="1FAF8150" w:rsidR="00AA618A" w:rsidRPr="00795F17" w:rsidRDefault="00AA618A" w:rsidP="00AA618A">
      <w:pPr>
        <w:pStyle w:val="Tabela-wyjasnieniapod"/>
      </w:pPr>
      <w:r w:rsidRPr="00795F17">
        <w:rPr>
          <w:b/>
          <w:bCs/>
        </w:rPr>
        <w:t>BIO_FIZ</w:t>
      </w:r>
      <w:r w:rsidRPr="00795F17">
        <w:t xml:space="preserve"> </w:t>
      </w:r>
      <w:r w:rsidR="0091230B">
        <w:t>–</w:t>
      </w:r>
      <w:r w:rsidRPr="00795F17">
        <w:t xml:space="preserve"> presja na elementy biologiczne zależne od fizykochemii</w:t>
      </w:r>
    </w:p>
    <w:p w14:paraId="63628069" w14:textId="2B009316" w:rsidR="00AA618A" w:rsidRPr="00795F17" w:rsidRDefault="00AA618A" w:rsidP="00AA618A">
      <w:pPr>
        <w:pStyle w:val="Tabela-wyjasnieniapod"/>
      </w:pPr>
      <w:r w:rsidRPr="00795F17">
        <w:rPr>
          <w:b/>
          <w:bCs/>
        </w:rPr>
        <w:t xml:space="preserve">FIZ </w:t>
      </w:r>
      <w:r w:rsidR="0091230B">
        <w:t>–</w:t>
      </w:r>
      <w:r w:rsidRPr="00795F17">
        <w:t xml:space="preserve"> presja na elementy fizykochemiczne </w:t>
      </w:r>
    </w:p>
    <w:p w14:paraId="54E523FF" w14:textId="50176F3C" w:rsidR="00AA618A" w:rsidRPr="00795F17" w:rsidRDefault="00AA618A" w:rsidP="00AA618A">
      <w:pPr>
        <w:pStyle w:val="Tabela-wyjasnieniapod"/>
      </w:pPr>
      <w:r w:rsidRPr="00795F17">
        <w:rPr>
          <w:b/>
          <w:bCs/>
        </w:rPr>
        <w:t>CHEM</w:t>
      </w:r>
      <w:r w:rsidRPr="00795F17">
        <w:t xml:space="preserve"> </w:t>
      </w:r>
      <w:r w:rsidR="0091230B">
        <w:t>–</w:t>
      </w:r>
      <w:r w:rsidRPr="00795F17">
        <w:t xml:space="preserve"> presja na cechy chemiczne (woda, substancje dozwolone)</w:t>
      </w:r>
    </w:p>
    <w:p w14:paraId="75A2BE08" w14:textId="2E132C23" w:rsidR="00AA618A" w:rsidRPr="00795F17" w:rsidRDefault="00AA618A" w:rsidP="00AA618A">
      <w:pPr>
        <w:pStyle w:val="Tabela-wyjasnieniapod"/>
      </w:pPr>
      <w:r w:rsidRPr="00795F17">
        <w:rPr>
          <w:b/>
          <w:bCs/>
        </w:rPr>
        <w:t>CHEM_B</w:t>
      </w:r>
      <w:r w:rsidRPr="00795F17">
        <w:t xml:space="preserve"> </w:t>
      </w:r>
      <w:r w:rsidR="0091230B">
        <w:t>–</w:t>
      </w:r>
      <w:r w:rsidRPr="00795F17">
        <w:t xml:space="preserve"> presja na cechy chemiczne (biota, substancje dozwolone)</w:t>
      </w:r>
    </w:p>
    <w:p w14:paraId="4F461F70" w14:textId="141A8743" w:rsidR="00AA618A" w:rsidRPr="00795F17" w:rsidRDefault="00AA618A" w:rsidP="00AA618A">
      <w:pPr>
        <w:pStyle w:val="Tabela-wyjasnieniapod"/>
      </w:pPr>
      <w:r w:rsidRPr="00795F17">
        <w:rPr>
          <w:b/>
          <w:bCs/>
        </w:rPr>
        <w:t>OCH</w:t>
      </w:r>
      <w:r w:rsidRPr="00795F17">
        <w:t xml:space="preserve"> </w:t>
      </w:r>
      <w:r w:rsidR="0091230B">
        <w:t>–</w:t>
      </w:r>
      <w:r w:rsidRPr="00795F17">
        <w:t xml:space="preserve"> presja na obszary chronione w rozumieniu pr.w.</w:t>
      </w:r>
    </w:p>
    <w:p w14:paraId="4DE0B410" w14:textId="6C57BD47" w:rsidR="00AA618A" w:rsidRPr="00795F17" w:rsidRDefault="00DF005E" w:rsidP="00AA618A">
      <w:pPr>
        <w:pStyle w:val="Tabela-wyjasnieniapod"/>
      </w:pPr>
      <w:r>
        <w:rPr>
          <w:b/>
          <w:bCs/>
        </w:rPr>
        <w:t>JCWP</w:t>
      </w:r>
      <w:r w:rsidR="00AA618A" w:rsidRPr="00795F17">
        <w:rPr>
          <w:b/>
          <w:bCs/>
        </w:rPr>
        <w:t xml:space="preserve"> zagrożone</w:t>
      </w:r>
      <w:r w:rsidR="00AA618A" w:rsidRPr="00795F17">
        <w:t xml:space="preserve"> </w:t>
      </w:r>
      <w:r w:rsidR="0091230B">
        <w:t>–</w:t>
      </w:r>
      <w:r w:rsidR="00AA618A" w:rsidRPr="00795F17">
        <w:t xml:space="preserve"> </w:t>
      </w:r>
      <w:r>
        <w:t>JCWP</w:t>
      </w:r>
      <w:r w:rsidR="00AA618A" w:rsidRPr="00795F17">
        <w:t xml:space="preserve"> zagrożone nieosiągnięciem celów środowiskowych</w:t>
      </w:r>
    </w:p>
    <w:p w14:paraId="4B3BD67F" w14:textId="4CDE019C"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91230B">
        <w:t>–</w:t>
      </w:r>
      <w:r w:rsidRPr="00795F17">
        <w:t xml:space="preserve"> </w:t>
      </w:r>
      <w:r w:rsidR="00DF005E">
        <w:t>JCWP</w:t>
      </w:r>
      <w:r w:rsidRPr="00795F17">
        <w:t xml:space="preserve"> (…) </w:t>
      </w:r>
      <w:r w:rsidR="0091230B">
        <w:t>–</w:t>
      </w:r>
      <w:r w:rsidRPr="00795F17">
        <w:t xml:space="preserve"> aktualizacja</w:t>
      </w:r>
    </w:p>
    <w:p w14:paraId="51A0B089" w14:textId="7D8A523F" w:rsidR="004C45E5" w:rsidRDefault="00436BDD" w:rsidP="0044393D">
      <w:pPr>
        <w:rPr>
          <w:rFonts w:asciiTheme="minorHAnsi" w:hAnsiTheme="minorHAnsi"/>
        </w:rPr>
      </w:pPr>
      <w:r w:rsidRPr="00795F17">
        <w:t xml:space="preserve">Uzyskane wyniki wskazują, iż spośród wszystkich </w:t>
      </w:r>
      <w:r w:rsidR="00DF005E">
        <w:t>JCWP</w:t>
      </w:r>
      <w:r w:rsidRPr="00795F17">
        <w:t xml:space="preserve"> </w:t>
      </w:r>
      <w:r>
        <w:t xml:space="preserve">LW </w:t>
      </w:r>
      <w:r w:rsidRPr="00795F17">
        <w:t xml:space="preserve">największa liczba </w:t>
      </w:r>
      <w:r w:rsidR="00DF005E">
        <w:t>JCWP</w:t>
      </w:r>
      <w:r w:rsidRPr="00795F17">
        <w:t xml:space="preserve"> poddana jest presji na </w:t>
      </w:r>
      <w:r w:rsidR="000D4298">
        <w:t>fizykochemi</w:t>
      </w:r>
      <w:r w:rsidR="00D51482">
        <w:t>czne</w:t>
      </w:r>
      <w:r w:rsidR="000D4298">
        <w:t xml:space="preserve"> </w:t>
      </w:r>
      <w:r>
        <w:t xml:space="preserve">– </w:t>
      </w:r>
      <w:r w:rsidR="00D51482">
        <w:t>49</w:t>
      </w:r>
      <w:r w:rsidRPr="00795F17">
        <w:t xml:space="preserve">% oraz presji </w:t>
      </w:r>
      <w:r w:rsidR="00D51482">
        <w:t>na elementy biologiczne zależne od fizykochemii</w:t>
      </w:r>
      <w:r w:rsidR="005E44F3">
        <w:t xml:space="preserve"> (41%). </w:t>
      </w:r>
      <w:r>
        <w:t xml:space="preserve">Presji </w:t>
      </w:r>
      <w:r w:rsidR="005E44F3">
        <w:t>na cechy chemiczne</w:t>
      </w:r>
      <w:r w:rsidR="00A345D4">
        <w:t xml:space="preserve"> </w:t>
      </w:r>
      <w:r>
        <w:t>jest poddan</w:t>
      </w:r>
      <w:r w:rsidR="00A345D4">
        <w:t>ych</w:t>
      </w:r>
      <w:r>
        <w:t xml:space="preserve"> </w:t>
      </w:r>
      <w:r w:rsidR="008A5281">
        <w:t>3</w:t>
      </w:r>
      <w:r w:rsidR="00A345D4">
        <w:t>7</w:t>
      </w:r>
      <w:r>
        <w:t xml:space="preserve">% </w:t>
      </w:r>
      <w:r w:rsidR="00DF005E">
        <w:t>JCWP</w:t>
      </w:r>
      <w:r>
        <w:t xml:space="preserve"> LW. </w:t>
      </w:r>
      <w:r w:rsidRPr="00795F17">
        <w:t xml:space="preserve">Presja w zakresie obszarów chronionych dotyczy </w:t>
      </w:r>
      <w:r>
        <w:t>56</w:t>
      </w:r>
      <w:r w:rsidRPr="00795F17">
        <w:t xml:space="preserve">% </w:t>
      </w:r>
      <w:r w:rsidR="00DF005E">
        <w:t>JCWP</w:t>
      </w:r>
      <w:r w:rsidRPr="00795F17">
        <w:t xml:space="preserve"> </w:t>
      </w:r>
      <w:r>
        <w:t>LW.</w:t>
      </w:r>
      <w:r w:rsidRPr="00795F17">
        <w:t xml:space="preserve"> </w:t>
      </w:r>
      <w:r w:rsidR="00550310" w:rsidRPr="00795F17">
        <w:t>Wyżej zaprezentowane statystyki obrazuje wykres poniżej (wykres 7-10)</w:t>
      </w:r>
      <w:r w:rsidR="00AD1DA1" w:rsidRPr="00795F17">
        <w:rPr>
          <w:rFonts w:asciiTheme="minorHAnsi" w:hAnsiTheme="minorHAnsi"/>
        </w:rPr>
        <w:t>.</w:t>
      </w:r>
    </w:p>
    <w:p w14:paraId="3E824042" w14:textId="77777777" w:rsidR="004C45E5" w:rsidRDefault="004C45E5">
      <w:pPr>
        <w:suppressAutoHyphens w:val="0"/>
        <w:spacing w:before="0" w:after="0"/>
        <w:jc w:val="left"/>
        <w:rPr>
          <w:rFonts w:asciiTheme="minorHAnsi" w:hAnsiTheme="minorHAnsi"/>
        </w:rPr>
      </w:pPr>
      <w:r>
        <w:rPr>
          <w:rFonts w:asciiTheme="minorHAnsi" w:hAnsiTheme="minorHAnsi"/>
        </w:rPr>
        <w:br w:type="page"/>
      </w:r>
    </w:p>
    <w:p w14:paraId="1CA14EEA" w14:textId="7C7E01A4" w:rsidR="00AD1DA1" w:rsidRPr="00795F17" w:rsidRDefault="00F2050F" w:rsidP="00E01928">
      <w:pPr>
        <w:jc w:val="center"/>
      </w:pPr>
      <w:r>
        <w:rPr>
          <w:noProof/>
        </w:rPr>
        <w:drawing>
          <wp:inline distT="0" distB="0" distL="0" distR="0" wp14:anchorId="0911F62E" wp14:editId="5D633CC0">
            <wp:extent cx="5117505" cy="2875542"/>
            <wp:effectExtent l="0" t="0" r="6985" b="1270"/>
            <wp:docPr id="1866059338" name="Wykres 1866059338">
              <a:extLst xmlns:a="http://schemas.openxmlformats.org/drawingml/2006/main">
                <a:ext uri="{FF2B5EF4-FFF2-40B4-BE49-F238E27FC236}">
                  <a16:creationId xmlns:a16="http://schemas.microsoft.com/office/drawing/2014/main" id="{50EDF895-4BF2-4F95-83B5-9DD959735C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735D23FF" w14:textId="1F173E37" w:rsidR="00AD1DA1" w:rsidRPr="00795F17" w:rsidRDefault="00AD1DA1" w:rsidP="00B479EE">
      <w:pPr>
        <w:pStyle w:val="Wykres"/>
        <w:rPr>
          <w:i/>
        </w:rPr>
      </w:pPr>
      <w:bookmarkStart w:id="340" w:name="_Toc66288191"/>
      <w:bookmarkStart w:id="341" w:name="_Toc105512983"/>
      <w:r w:rsidRPr="00795F17">
        <w:t xml:space="preserve">Wykres </w:t>
      </w:r>
      <w:fldSimple w:instr=" STYLEREF 1 \s ">
        <w:r w:rsidR="001F774D">
          <w:rPr>
            <w:noProof/>
          </w:rPr>
          <w:t>7</w:t>
        </w:r>
      </w:fldSimple>
      <w:r w:rsidR="00FF20D3">
        <w:noBreakHyphen/>
      </w:r>
      <w:fldSimple w:instr=" SEQ Wykres \* ARABIC \s 1 ">
        <w:r w:rsidR="001F774D">
          <w:rPr>
            <w:noProof/>
          </w:rPr>
          <w:t>10</w:t>
        </w:r>
      </w:fldSimple>
      <w:r w:rsidR="004C45E5">
        <w:rPr>
          <w:noProof/>
        </w:rPr>
        <w:t>.</w:t>
      </w:r>
      <w:r w:rsidRPr="00795F17">
        <w:tab/>
        <w:t xml:space="preserve">Udział </w:t>
      </w:r>
      <w:r w:rsidR="00DF005E">
        <w:t>JCWP</w:t>
      </w:r>
      <w:r w:rsidRPr="00795F17">
        <w:t xml:space="preserve"> LW ze zidentyfikowaną daną presją znaczącą w ogólnej liczbie </w:t>
      </w:r>
      <w:r w:rsidR="00DF005E">
        <w:t>JCWP</w:t>
      </w:r>
      <w:r w:rsidRPr="00795F17">
        <w:t xml:space="preserve"> </w:t>
      </w:r>
      <w:r w:rsidR="0091230B">
        <w:t>–</w:t>
      </w:r>
      <w:r w:rsidRPr="00795F17">
        <w:t xml:space="preserve"> obszar dorzecza </w:t>
      </w:r>
      <w:bookmarkEnd w:id="340"/>
      <w:r w:rsidR="003B7C21" w:rsidRPr="00795F17">
        <w:t>Odry</w:t>
      </w:r>
      <w:bookmarkEnd w:id="341"/>
    </w:p>
    <w:p w14:paraId="573AE84B" w14:textId="216F34B3"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91230B">
        <w:t>–</w:t>
      </w:r>
      <w:r w:rsidRPr="00795F17">
        <w:t xml:space="preserve"> </w:t>
      </w:r>
      <w:r w:rsidR="00DF005E">
        <w:t>JCWP</w:t>
      </w:r>
      <w:r w:rsidRPr="00795F17">
        <w:t xml:space="preserve"> (…) </w:t>
      </w:r>
      <w:r w:rsidR="0091230B">
        <w:t>–</w:t>
      </w:r>
      <w:r w:rsidRPr="00795F17">
        <w:t xml:space="preserve"> aktualizacja</w:t>
      </w:r>
    </w:p>
    <w:p w14:paraId="09EE6C6D" w14:textId="7E8C0C14" w:rsidR="00AD1DA1" w:rsidRPr="00795F17" w:rsidRDefault="00AD1DA1" w:rsidP="0044393D">
      <w:r w:rsidRPr="00795F17">
        <w:t xml:space="preserve">Najistotniejszym czynnikiem oddziałującym na jakość </w:t>
      </w:r>
      <w:r w:rsidR="00DF005E">
        <w:t>JCWP</w:t>
      </w:r>
      <w:r w:rsidR="005934D8" w:rsidRPr="00795F17">
        <w:t xml:space="preserve"> LW</w:t>
      </w:r>
      <w:r w:rsidRPr="00795F17">
        <w:t xml:space="preserve"> są zanieczyszczenia pochodzące ze</w:t>
      </w:r>
      <w:r w:rsidR="00463DD3" w:rsidRPr="00795F17">
        <w:t> </w:t>
      </w:r>
      <w:r w:rsidRPr="00795F17">
        <w:t>spływów obszarowych z terenów użytkowanych rolniczo. Ładunki azotu i fosforu z terenów rolniczych (grunty orne, pastwiska, obszary intensywnej hodowli)</w:t>
      </w:r>
      <w:r w:rsidR="005F239C">
        <w:t>,</w:t>
      </w:r>
      <w:r w:rsidRPr="00795F17">
        <w:t xml:space="preserve"> a także z rozproszonej zabudowy wiejskiej oraz rekreacyjnej (położonej w zlewni bezpośredniej jezior) nasilają eutrofizację wód jezior. W przypadku niektórych jezior ładunek biogenów pochodzących z depozycji atmosferycznej oraz</w:t>
      </w:r>
      <w:r w:rsidR="00AB2184">
        <w:t> </w:t>
      </w:r>
      <w:r w:rsidRPr="00795F17">
        <w:t>z</w:t>
      </w:r>
      <w:r w:rsidR="007732BC" w:rsidRPr="00795F17">
        <w:t> </w:t>
      </w:r>
      <w:r w:rsidRPr="00795F17">
        <w:t>terenów leśnych może mieć też istotny udział w całkowitym ładunku powstającym w zlewni jeziora. Znaczenie ładunków zanieczyszczeń ze źródeł punktowych (głównie ścieki komunalne) w kształtowaniu jakości wód jezior w ostatnich latach ulega ograniczeniu, przy czym wprowadzane są one do jezior głównie za pośrednictwem dopływów. Bezpośrednie zrzuty do jezior są rzadkie.</w:t>
      </w:r>
    </w:p>
    <w:p w14:paraId="1AC249A6" w14:textId="06A504CF" w:rsidR="00AD1DA1" w:rsidRPr="00795F17" w:rsidRDefault="00AD1DA1" w:rsidP="0044393D">
      <w:r w:rsidRPr="00795F17">
        <w:t xml:space="preserve">Zły stan chemiczny wód jeziornych jest powodowany, podobnie jak dla wskaźników fizykochemicznych, dopływem zanieczyszczeń ze źródeł rozproszonych. Za istotne źródło presji w jeziorach uznaje się także dopływ substancji używanych dawniej jako środki ochrony roślin, których produkcja i stosowanie jest obecnie prawnie zakazane (z tego względu źródło presji zostało określone jako nieznane). Ich obecność w wodach powierzchniowych jest związana z sukcesywnym wymywaniem tych substancji z obszarów rolnych i leśnych, które często stanowią główny typ zagospodarowania terenu zlewni </w:t>
      </w:r>
      <w:r w:rsidR="00DF005E">
        <w:t>JCWP</w:t>
      </w:r>
      <w:r w:rsidRPr="00795F17">
        <w:t xml:space="preserve"> LW.</w:t>
      </w:r>
    </w:p>
    <w:p w14:paraId="2A9013B0" w14:textId="7CAC33BC" w:rsidR="00AD1DA1" w:rsidRPr="00795F17" w:rsidRDefault="00AD1DA1" w:rsidP="0044393D">
      <w:r w:rsidRPr="00795F17">
        <w:t xml:space="preserve">Przeprowadzona ocena ryzyka nieosiągnięcia celów wykazała zagrożenie nieosiągnięciem celów środowiskowych dla </w:t>
      </w:r>
      <w:r w:rsidR="003C5DBE">
        <w:t>67</w:t>
      </w:r>
      <w:r w:rsidRPr="00795F17">
        <w:t xml:space="preserve">% </w:t>
      </w:r>
      <w:r w:rsidR="00DF005E">
        <w:t>JCWP</w:t>
      </w:r>
      <w:r w:rsidRPr="00795F17">
        <w:t xml:space="preserve"> LW </w:t>
      </w:r>
      <w:r w:rsidR="00FC4F76">
        <w:t>na</w:t>
      </w:r>
      <w:r w:rsidRPr="00795F17">
        <w:t xml:space="preserve"> obszarze dorzecza </w:t>
      </w:r>
      <w:r w:rsidR="004F30DD" w:rsidRPr="00795F17">
        <w:t>Odry</w:t>
      </w:r>
      <w:r w:rsidR="007732BC" w:rsidRPr="00795F17">
        <w:t xml:space="preserve"> (wykres 7-11).</w:t>
      </w:r>
    </w:p>
    <w:p w14:paraId="74500B1F" w14:textId="0FF79C75" w:rsidR="00AD1DA1" w:rsidRPr="00795F17" w:rsidRDefault="00E51E16" w:rsidP="00E01928">
      <w:pPr>
        <w:jc w:val="center"/>
      </w:pPr>
      <w:r w:rsidRPr="00795F17">
        <w:rPr>
          <w:noProof/>
          <w:lang w:eastAsia="pl-PL"/>
        </w:rPr>
        <w:drawing>
          <wp:inline distT="0" distB="0" distL="0" distR="0" wp14:anchorId="2939F9AA" wp14:editId="7B1BB731">
            <wp:extent cx="4320000" cy="2520000"/>
            <wp:effectExtent l="0" t="0" r="4445" b="13970"/>
            <wp:docPr id="50" name="Wykres 50">
              <a:extLst xmlns:a="http://schemas.openxmlformats.org/drawingml/2006/main">
                <a:ext uri="{FF2B5EF4-FFF2-40B4-BE49-F238E27FC236}">
                  <a16:creationId xmlns:a16="http://schemas.microsoft.com/office/drawing/2014/main" id="{A360F8C4-B3D4-4508-A407-D393B6141DDE}"/>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DC78957" w14:textId="2D4699B2" w:rsidR="00AD1DA1" w:rsidRPr="00795F17" w:rsidRDefault="00AD1DA1" w:rsidP="00B479EE">
      <w:pPr>
        <w:pStyle w:val="Wykres"/>
      </w:pPr>
      <w:bookmarkStart w:id="342" w:name="_Toc66288192"/>
      <w:bookmarkStart w:id="343" w:name="_Toc105512984"/>
      <w:r w:rsidRPr="00795F17">
        <w:t xml:space="preserve">Wykres </w:t>
      </w:r>
      <w:fldSimple w:instr=" STYLEREF 1 \s ">
        <w:r w:rsidR="001F774D">
          <w:rPr>
            <w:noProof/>
          </w:rPr>
          <w:t>7</w:t>
        </w:r>
      </w:fldSimple>
      <w:r w:rsidR="00FF20D3">
        <w:noBreakHyphen/>
      </w:r>
      <w:fldSimple w:instr=" SEQ Wykres \* ARABIC \s 1 ">
        <w:r w:rsidR="001F774D">
          <w:rPr>
            <w:noProof/>
          </w:rPr>
          <w:t>11</w:t>
        </w:r>
      </w:fldSimple>
      <w:r w:rsidR="00D328C1">
        <w:rPr>
          <w:noProof/>
        </w:rPr>
        <w:t>.</w:t>
      </w:r>
      <w:r w:rsidRPr="00795F17">
        <w:tab/>
      </w:r>
      <w:bookmarkStart w:id="344" w:name="_Hlk67301727"/>
      <w:r w:rsidRPr="00795F17">
        <w:t xml:space="preserve">Udział </w:t>
      </w:r>
      <w:r w:rsidR="00DF005E">
        <w:t>JCWP</w:t>
      </w:r>
      <w:r w:rsidRPr="00795F17">
        <w:t xml:space="preserve"> LW zagrożonych nieosiągnięciem celów środowiskowych w ogólnej liczbie </w:t>
      </w:r>
      <w:r w:rsidR="00DF005E">
        <w:t>JCWP</w:t>
      </w:r>
      <w:r w:rsidRPr="00795F17">
        <w:t xml:space="preserve"> LW obszaru dorzecza </w:t>
      </w:r>
      <w:bookmarkEnd w:id="342"/>
      <w:r w:rsidR="00680D29" w:rsidRPr="00795F17">
        <w:t>Odry</w:t>
      </w:r>
      <w:bookmarkEnd w:id="343"/>
      <w:bookmarkEnd w:id="344"/>
    </w:p>
    <w:p w14:paraId="2AECA9CB" w14:textId="4EC88188"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91230B">
        <w:t>–</w:t>
      </w:r>
      <w:r w:rsidRPr="00795F17">
        <w:t xml:space="preserve"> </w:t>
      </w:r>
      <w:r w:rsidR="00DF005E">
        <w:t>JCWP</w:t>
      </w:r>
      <w:r w:rsidRPr="00795F17">
        <w:t xml:space="preserve"> (…) </w:t>
      </w:r>
      <w:r w:rsidR="0091230B">
        <w:t>–</w:t>
      </w:r>
      <w:r w:rsidRPr="00795F17">
        <w:t xml:space="preserve"> aktualizacja</w:t>
      </w:r>
    </w:p>
    <w:p w14:paraId="543AACC2" w14:textId="08EADFAA" w:rsidR="00AD1DA1" w:rsidRPr="00795F17" w:rsidRDefault="00AD1DA1" w:rsidP="0044393D">
      <w:r w:rsidRPr="00795F17">
        <w:t xml:space="preserve">Na poziomie poszczególnych regionów wodnych obszaru dorzecza </w:t>
      </w:r>
      <w:r w:rsidR="00680D29" w:rsidRPr="00795F17">
        <w:t>Odry</w:t>
      </w:r>
      <w:r w:rsidRPr="00795F17">
        <w:t xml:space="preserve"> zagrożenie nieosiągnięciem celów środowiskowych ma rozkład nierównomierny osiągając poziom od 5</w:t>
      </w:r>
      <w:r w:rsidR="00C438FC">
        <w:t>0</w:t>
      </w:r>
      <w:r w:rsidRPr="00795F17">
        <w:t xml:space="preserve">% do </w:t>
      </w:r>
      <w:r w:rsidR="00C438FC">
        <w:t>100</w:t>
      </w:r>
      <w:r w:rsidRPr="00795F17">
        <w:t xml:space="preserve">% ogólnej liczby </w:t>
      </w:r>
      <w:r w:rsidR="00DF005E">
        <w:t>JCWP</w:t>
      </w:r>
      <w:r w:rsidRPr="00795F17">
        <w:t xml:space="preserve"> LW danego regionu wodnego</w:t>
      </w:r>
      <w:r w:rsidR="007732BC" w:rsidRPr="00795F17">
        <w:t xml:space="preserve"> (</w:t>
      </w:r>
      <w:r w:rsidR="00123C52" w:rsidRPr="00795F17">
        <w:t xml:space="preserve">tabela 7-6, </w:t>
      </w:r>
      <w:r w:rsidR="007732BC" w:rsidRPr="00795F17">
        <w:t>wykres 7-12)</w:t>
      </w:r>
      <w:r w:rsidRPr="00795F17">
        <w:t>.</w:t>
      </w:r>
    </w:p>
    <w:p w14:paraId="6A026A69" w14:textId="220918B6" w:rsidR="00AD1DA1" w:rsidRPr="00795F17" w:rsidRDefault="00AD1DA1" w:rsidP="004D7705">
      <w:pPr>
        <w:pStyle w:val="Tabela"/>
        <w:rPr>
          <w:i/>
        </w:rPr>
      </w:pPr>
      <w:bookmarkStart w:id="345" w:name="_Toc66288075"/>
      <w:bookmarkStart w:id="346" w:name="_Toc66341896"/>
      <w:bookmarkStart w:id="347" w:name="_Toc105512807"/>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1F774D">
        <w:rPr>
          <w:bCs/>
          <w:noProof/>
        </w:rPr>
        <w:t>7</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1F774D">
        <w:rPr>
          <w:bCs/>
          <w:noProof/>
        </w:rPr>
        <w:t>6</w:t>
      </w:r>
      <w:r w:rsidR="00BB3B21" w:rsidRPr="00795F17">
        <w:rPr>
          <w:bCs/>
        </w:rPr>
        <w:fldChar w:fldCharType="end"/>
      </w:r>
      <w:r w:rsidR="00E76356">
        <w:rPr>
          <w:bCs/>
        </w:rPr>
        <w:t>.</w:t>
      </w:r>
      <w:r w:rsidRPr="00795F17">
        <w:rPr>
          <w:bCs/>
        </w:rPr>
        <w:tab/>
      </w:r>
      <w:r w:rsidRPr="00795F17">
        <w:t xml:space="preserve">Udział </w:t>
      </w:r>
      <w:r w:rsidR="00DF005E">
        <w:t>JCWP</w:t>
      </w:r>
      <w:r w:rsidRPr="00795F17">
        <w:t xml:space="preserve"> LW zagrożonych nieosiągnięciem celów środowiskowych w ogólnej liczbie </w:t>
      </w:r>
      <w:r w:rsidR="00DF005E">
        <w:t>JCWP</w:t>
      </w:r>
      <w:r w:rsidRPr="00795F17">
        <w:t xml:space="preserve"> LW danego regionu wodnego obszaru dorzecza </w:t>
      </w:r>
      <w:bookmarkEnd w:id="345"/>
      <w:r w:rsidR="00680D29" w:rsidRPr="00795F17">
        <w:t>Odry</w:t>
      </w:r>
      <w:bookmarkEnd w:id="346"/>
      <w:bookmarkEnd w:id="347"/>
    </w:p>
    <w:tbl>
      <w:tblPr>
        <w:tblW w:w="5000" w:type="pct"/>
        <w:jc w:val="center"/>
        <w:tblCellMar>
          <w:left w:w="70" w:type="dxa"/>
          <w:right w:w="70" w:type="dxa"/>
        </w:tblCellMar>
        <w:tblLook w:val="04A0" w:firstRow="1" w:lastRow="0" w:firstColumn="1" w:lastColumn="0" w:noHBand="0" w:noVBand="1"/>
      </w:tblPr>
      <w:tblGrid>
        <w:gridCol w:w="3895"/>
        <w:gridCol w:w="2490"/>
        <w:gridCol w:w="2677"/>
      </w:tblGrid>
      <w:tr w:rsidR="00AD1DA1" w:rsidRPr="00795F17" w14:paraId="287E7E08" w14:textId="77777777" w:rsidTr="004E24D2">
        <w:trPr>
          <w:trHeight w:val="454"/>
          <w:tblHeader/>
          <w:jc w:val="center"/>
        </w:trPr>
        <w:tc>
          <w:tcPr>
            <w:tcW w:w="2149" w:type="pct"/>
            <w:tcBorders>
              <w:top w:val="single" w:sz="4" w:space="0" w:color="auto"/>
              <w:left w:val="single" w:sz="4" w:space="0" w:color="auto"/>
              <w:bottom w:val="single" w:sz="4" w:space="0" w:color="auto"/>
              <w:right w:val="single" w:sz="4" w:space="0" w:color="auto"/>
            </w:tcBorders>
            <w:shd w:val="clear" w:color="DDEBF7" w:fill="BFBFBF"/>
            <w:vAlign w:val="center"/>
            <w:hideMark/>
          </w:tcPr>
          <w:p w14:paraId="79B93979" w14:textId="77777777" w:rsidR="00AD1DA1" w:rsidRPr="00795F17" w:rsidRDefault="00AD1DA1" w:rsidP="0044393D">
            <w:pPr>
              <w:pStyle w:val="Teksttabelinaglowek"/>
            </w:pPr>
            <w:r w:rsidRPr="00795F17">
              <w:t>Region wodny</w:t>
            </w:r>
          </w:p>
        </w:tc>
        <w:tc>
          <w:tcPr>
            <w:tcW w:w="1374" w:type="pct"/>
            <w:tcBorders>
              <w:top w:val="single" w:sz="4" w:space="0" w:color="auto"/>
              <w:left w:val="nil"/>
              <w:bottom w:val="single" w:sz="4" w:space="0" w:color="auto"/>
              <w:right w:val="single" w:sz="4" w:space="0" w:color="auto"/>
            </w:tcBorders>
            <w:shd w:val="clear" w:color="DDEBF7" w:fill="BFBFBF"/>
            <w:vAlign w:val="center"/>
            <w:hideMark/>
          </w:tcPr>
          <w:p w14:paraId="51DED669" w14:textId="2AECA165" w:rsidR="00AD1DA1" w:rsidRPr="00795F17" w:rsidRDefault="00AD1DA1" w:rsidP="0044393D">
            <w:pPr>
              <w:pStyle w:val="Teksttabelinaglowek"/>
            </w:pPr>
            <w:r w:rsidRPr="00795F17">
              <w:t xml:space="preserve">Liczba </w:t>
            </w:r>
            <w:r w:rsidR="00DF005E">
              <w:t>JCWP</w:t>
            </w:r>
            <w:r w:rsidRPr="00795F17">
              <w:t xml:space="preserve"> niezagrożonych nieosiągnięciem celów środowiskowych</w:t>
            </w:r>
          </w:p>
        </w:tc>
        <w:tc>
          <w:tcPr>
            <w:tcW w:w="1478" w:type="pct"/>
            <w:tcBorders>
              <w:top w:val="single" w:sz="4" w:space="0" w:color="auto"/>
              <w:left w:val="nil"/>
              <w:bottom w:val="single" w:sz="4" w:space="0" w:color="auto"/>
              <w:right w:val="single" w:sz="4" w:space="0" w:color="auto"/>
            </w:tcBorders>
            <w:shd w:val="clear" w:color="DDEBF7" w:fill="BFBFBF"/>
            <w:vAlign w:val="center"/>
            <w:hideMark/>
          </w:tcPr>
          <w:p w14:paraId="6CD452EF" w14:textId="1DE0102C" w:rsidR="00AD1DA1" w:rsidRPr="00795F17" w:rsidRDefault="00AD1DA1" w:rsidP="0044393D">
            <w:pPr>
              <w:pStyle w:val="Teksttabelinaglowek"/>
            </w:pPr>
            <w:r w:rsidRPr="00795F17">
              <w:t xml:space="preserve">Liczba </w:t>
            </w:r>
            <w:r w:rsidR="00DF005E">
              <w:t>JCWP</w:t>
            </w:r>
            <w:r w:rsidRPr="00795F17">
              <w:t xml:space="preserve"> zagrożonych nieosiągnięciem celów środowiskowych</w:t>
            </w:r>
          </w:p>
        </w:tc>
      </w:tr>
      <w:tr w:rsidR="00CA7D54" w:rsidRPr="00795F17" w14:paraId="274B1C9D" w14:textId="77777777" w:rsidTr="00463DD3">
        <w:trPr>
          <w:trHeight w:val="454"/>
          <w:jc w:val="center"/>
        </w:trPr>
        <w:tc>
          <w:tcPr>
            <w:tcW w:w="21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5BF44" w14:textId="0BEA3E4F" w:rsidR="00CA7D54" w:rsidRPr="00795F17" w:rsidRDefault="00CA7D54" w:rsidP="008E191A">
            <w:pPr>
              <w:pStyle w:val="Teksttabelilewy"/>
            </w:pPr>
            <w:r w:rsidRPr="00795F17">
              <w:t>Dolnej Odry i Przymorza Zachodniego</w:t>
            </w:r>
          </w:p>
        </w:tc>
        <w:tc>
          <w:tcPr>
            <w:tcW w:w="1374" w:type="pct"/>
            <w:tcBorders>
              <w:top w:val="single" w:sz="4" w:space="0" w:color="auto"/>
              <w:left w:val="nil"/>
              <w:bottom w:val="single" w:sz="4" w:space="0" w:color="auto"/>
              <w:right w:val="single" w:sz="4" w:space="0" w:color="auto"/>
            </w:tcBorders>
            <w:shd w:val="clear" w:color="auto" w:fill="auto"/>
            <w:noWrap/>
            <w:vAlign w:val="center"/>
          </w:tcPr>
          <w:p w14:paraId="32775CAF" w14:textId="24BA198E" w:rsidR="00CA7D54" w:rsidRPr="00795F17" w:rsidRDefault="00CA7D54" w:rsidP="0065243A">
            <w:pPr>
              <w:pStyle w:val="Teksttabelisrodek"/>
            </w:pPr>
            <w:r w:rsidRPr="00795F17">
              <w:t>54</w:t>
            </w:r>
          </w:p>
        </w:tc>
        <w:tc>
          <w:tcPr>
            <w:tcW w:w="1478" w:type="pct"/>
            <w:tcBorders>
              <w:top w:val="single" w:sz="4" w:space="0" w:color="auto"/>
              <w:left w:val="nil"/>
              <w:bottom w:val="single" w:sz="4" w:space="0" w:color="auto"/>
              <w:right w:val="single" w:sz="4" w:space="0" w:color="auto"/>
            </w:tcBorders>
            <w:shd w:val="clear" w:color="auto" w:fill="auto"/>
            <w:noWrap/>
            <w:vAlign w:val="center"/>
          </w:tcPr>
          <w:p w14:paraId="282B7C45" w14:textId="66C85E9E" w:rsidR="00CA7D54" w:rsidRPr="00795F17" w:rsidRDefault="00CA7D54" w:rsidP="0065243A">
            <w:pPr>
              <w:pStyle w:val="Teksttabelisrodek"/>
            </w:pPr>
            <w:r w:rsidRPr="00795F17">
              <w:t>55</w:t>
            </w:r>
          </w:p>
        </w:tc>
      </w:tr>
      <w:tr w:rsidR="00CA7D54" w:rsidRPr="00795F17" w14:paraId="2277C812" w14:textId="77777777" w:rsidTr="00463DD3">
        <w:trPr>
          <w:trHeight w:val="454"/>
          <w:jc w:val="center"/>
        </w:trPr>
        <w:tc>
          <w:tcPr>
            <w:tcW w:w="214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9579B2" w14:textId="265C0BFD" w:rsidR="00CA7D54" w:rsidRPr="00795F17" w:rsidRDefault="00CA7D54" w:rsidP="008E191A">
            <w:pPr>
              <w:pStyle w:val="Teksttabelilewy"/>
            </w:pPr>
            <w:r w:rsidRPr="00795F17">
              <w:t>Górnej Odry</w:t>
            </w:r>
          </w:p>
        </w:tc>
        <w:tc>
          <w:tcPr>
            <w:tcW w:w="1374" w:type="pct"/>
            <w:tcBorders>
              <w:top w:val="single" w:sz="4" w:space="0" w:color="auto"/>
              <w:left w:val="nil"/>
              <w:bottom w:val="single" w:sz="4" w:space="0" w:color="auto"/>
              <w:right w:val="single" w:sz="4" w:space="0" w:color="auto"/>
            </w:tcBorders>
            <w:shd w:val="clear" w:color="auto" w:fill="auto"/>
            <w:noWrap/>
            <w:vAlign w:val="center"/>
          </w:tcPr>
          <w:p w14:paraId="0C6A6028" w14:textId="4AC82A41" w:rsidR="00CA7D54" w:rsidRPr="00795F17" w:rsidRDefault="00CA7D54" w:rsidP="0065243A">
            <w:pPr>
              <w:pStyle w:val="Teksttabelisrodek"/>
            </w:pPr>
            <w:r w:rsidRPr="00795F17">
              <w:t>0</w:t>
            </w:r>
          </w:p>
        </w:tc>
        <w:tc>
          <w:tcPr>
            <w:tcW w:w="1478" w:type="pct"/>
            <w:tcBorders>
              <w:top w:val="single" w:sz="4" w:space="0" w:color="auto"/>
              <w:left w:val="nil"/>
              <w:bottom w:val="single" w:sz="4" w:space="0" w:color="auto"/>
              <w:right w:val="single" w:sz="4" w:space="0" w:color="auto"/>
            </w:tcBorders>
            <w:shd w:val="clear" w:color="auto" w:fill="auto"/>
            <w:noWrap/>
            <w:vAlign w:val="center"/>
          </w:tcPr>
          <w:p w14:paraId="67F7A4BD" w14:textId="1EAEE26C" w:rsidR="00CA7D54" w:rsidRPr="00795F17" w:rsidRDefault="00CA7D54" w:rsidP="0065243A">
            <w:pPr>
              <w:pStyle w:val="Teksttabelisrodek"/>
            </w:pPr>
            <w:r w:rsidRPr="00795F17">
              <w:t>1</w:t>
            </w:r>
          </w:p>
        </w:tc>
      </w:tr>
      <w:tr w:rsidR="00CA7D54" w:rsidRPr="00795F17" w14:paraId="6000EF8A" w14:textId="77777777" w:rsidTr="00463DD3">
        <w:trPr>
          <w:trHeight w:val="454"/>
          <w:jc w:val="center"/>
        </w:trPr>
        <w:tc>
          <w:tcPr>
            <w:tcW w:w="21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3131C" w14:textId="11D712B9" w:rsidR="00CA7D54" w:rsidRPr="00795F17" w:rsidRDefault="00CA7D54" w:rsidP="008E191A">
            <w:pPr>
              <w:pStyle w:val="Teksttabelilewy"/>
            </w:pPr>
            <w:r w:rsidRPr="00795F17">
              <w:t>Noteci</w:t>
            </w:r>
          </w:p>
        </w:tc>
        <w:tc>
          <w:tcPr>
            <w:tcW w:w="1374" w:type="pct"/>
            <w:tcBorders>
              <w:top w:val="single" w:sz="4" w:space="0" w:color="auto"/>
              <w:left w:val="nil"/>
              <w:bottom w:val="single" w:sz="4" w:space="0" w:color="auto"/>
              <w:right w:val="single" w:sz="4" w:space="0" w:color="auto"/>
            </w:tcBorders>
            <w:shd w:val="clear" w:color="auto" w:fill="auto"/>
            <w:noWrap/>
            <w:vAlign w:val="center"/>
          </w:tcPr>
          <w:p w14:paraId="7040F854" w14:textId="2FEBB5EC" w:rsidR="00CA7D54" w:rsidRPr="00795F17" w:rsidRDefault="00CA7D54" w:rsidP="0065243A">
            <w:pPr>
              <w:pStyle w:val="Teksttabelisrodek"/>
            </w:pPr>
            <w:r w:rsidRPr="00795F17">
              <w:t>60</w:t>
            </w:r>
          </w:p>
        </w:tc>
        <w:tc>
          <w:tcPr>
            <w:tcW w:w="1478" w:type="pct"/>
            <w:tcBorders>
              <w:top w:val="single" w:sz="4" w:space="0" w:color="auto"/>
              <w:left w:val="nil"/>
              <w:bottom w:val="single" w:sz="4" w:space="0" w:color="auto"/>
              <w:right w:val="single" w:sz="4" w:space="0" w:color="auto"/>
            </w:tcBorders>
            <w:shd w:val="clear" w:color="auto" w:fill="auto"/>
            <w:noWrap/>
            <w:vAlign w:val="center"/>
          </w:tcPr>
          <w:p w14:paraId="0783A295" w14:textId="50BA2826" w:rsidR="00CA7D54" w:rsidRPr="00795F17" w:rsidRDefault="00CA7D54" w:rsidP="0065243A">
            <w:pPr>
              <w:pStyle w:val="Teksttabelisrodek"/>
            </w:pPr>
            <w:r w:rsidRPr="00795F17">
              <w:t>106</w:t>
            </w:r>
          </w:p>
        </w:tc>
      </w:tr>
      <w:tr w:rsidR="00CA7D54" w:rsidRPr="00795F17" w14:paraId="358E55E0" w14:textId="77777777" w:rsidTr="00463DD3">
        <w:trPr>
          <w:trHeight w:val="454"/>
          <w:jc w:val="center"/>
        </w:trPr>
        <w:tc>
          <w:tcPr>
            <w:tcW w:w="21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270EE" w14:textId="5D774415" w:rsidR="00CA7D54" w:rsidRPr="00795F17" w:rsidRDefault="00CA7D54" w:rsidP="008E191A">
            <w:pPr>
              <w:pStyle w:val="Teksttabelilewy"/>
            </w:pPr>
            <w:r w:rsidRPr="00795F17">
              <w:t>Środkowej Odry</w:t>
            </w:r>
          </w:p>
        </w:tc>
        <w:tc>
          <w:tcPr>
            <w:tcW w:w="1374" w:type="pct"/>
            <w:tcBorders>
              <w:top w:val="single" w:sz="4" w:space="0" w:color="auto"/>
              <w:left w:val="nil"/>
              <w:bottom w:val="single" w:sz="4" w:space="0" w:color="auto"/>
              <w:right w:val="single" w:sz="4" w:space="0" w:color="auto"/>
            </w:tcBorders>
            <w:shd w:val="clear" w:color="auto" w:fill="auto"/>
            <w:noWrap/>
            <w:vAlign w:val="center"/>
            <w:hideMark/>
          </w:tcPr>
          <w:p w14:paraId="55E30E3C" w14:textId="7CB4C7D9" w:rsidR="00CA7D54" w:rsidRPr="00795F17" w:rsidRDefault="00CA7D54" w:rsidP="0065243A">
            <w:pPr>
              <w:pStyle w:val="Teksttabelisrodek"/>
            </w:pPr>
            <w:r w:rsidRPr="00795F17">
              <w:t>6</w:t>
            </w:r>
          </w:p>
        </w:tc>
        <w:tc>
          <w:tcPr>
            <w:tcW w:w="1478" w:type="pct"/>
            <w:tcBorders>
              <w:top w:val="single" w:sz="4" w:space="0" w:color="auto"/>
              <w:left w:val="nil"/>
              <w:bottom w:val="single" w:sz="4" w:space="0" w:color="auto"/>
              <w:right w:val="single" w:sz="4" w:space="0" w:color="auto"/>
            </w:tcBorders>
            <w:shd w:val="clear" w:color="auto" w:fill="auto"/>
            <w:noWrap/>
            <w:vAlign w:val="center"/>
            <w:hideMark/>
          </w:tcPr>
          <w:p w14:paraId="02A60159" w14:textId="1453907D" w:rsidR="00CA7D54" w:rsidRPr="00795F17" w:rsidRDefault="00CA7D54" w:rsidP="0065243A">
            <w:pPr>
              <w:pStyle w:val="Teksttabelisrodek"/>
            </w:pPr>
            <w:r w:rsidRPr="00795F17">
              <w:t>21</w:t>
            </w:r>
          </w:p>
        </w:tc>
      </w:tr>
      <w:tr w:rsidR="00CA7D54" w:rsidRPr="00795F17" w14:paraId="32C661BC" w14:textId="77777777" w:rsidTr="00463DD3">
        <w:trPr>
          <w:trHeight w:val="454"/>
          <w:jc w:val="center"/>
        </w:trPr>
        <w:tc>
          <w:tcPr>
            <w:tcW w:w="21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81421A" w14:textId="36DCBC02" w:rsidR="00CA7D54" w:rsidRPr="00795F17" w:rsidRDefault="00CA7D54" w:rsidP="008E191A">
            <w:pPr>
              <w:pStyle w:val="Teksttabelilewy"/>
            </w:pPr>
            <w:r w:rsidRPr="00795F17">
              <w:t>Warty</w:t>
            </w:r>
          </w:p>
        </w:tc>
        <w:tc>
          <w:tcPr>
            <w:tcW w:w="1374" w:type="pct"/>
            <w:tcBorders>
              <w:top w:val="single" w:sz="4" w:space="0" w:color="auto"/>
              <w:left w:val="nil"/>
              <w:bottom w:val="single" w:sz="4" w:space="0" w:color="auto"/>
              <w:right w:val="single" w:sz="4" w:space="0" w:color="auto"/>
            </w:tcBorders>
            <w:shd w:val="clear" w:color="auto" w:fill="auto"/>
            <w:noWrap/>
            <w:vAlign w:val="center"/>
            <w:hideMark/>
          </w:tcPr>
          <w:p w14:paraId="69D1B41D" w14:textId="2FF99E3D" w:rsidR="00CA7D54" w:rsidRPr="00795F17" w:rsidRDefault="00CA7D54" w:rsidP="0065243A">
            <w:pPr>
              <w:pStyle w:val="Teksttabelisrodek"/>
            </w:pPr>
            <w:r w:rsidRPr="00795F17">
              <w:t>20</w:t>
            </w:r>
          </w:p>
        </w:tc>
        <w:tc>
          <w:tcPr>
            <w:tcW w:w="1478" w:type="pct"/>
            <w:tcBorders>
              <w:top w:val="single" w:sz="4" w:space="0" w:color="auto"/>
              <w:left w:val="nil"/>
              <w:bottom w:val="single" w:sz="4" w:space="0" w:color="auto"/>
              <w:right w:val="single" w:sz="4" w:space="0" w:color="auto"/>
            </w:tcBorders>
            <w:shd w:val="clear" w:color="auto" w:fill="auto"/>
            <w:noWrap/>
            <w:vAlign w:val="center"/>
            <w:hideMark/>
          </w:tcPr>
          <w:p w14:paraId="2CF7A01E" w14:textId="09BDA411" w:rsidR="00CA7D54" w:rsidRPr="00795F17" w:rsidRDefault="00CA7D54" w:rsidP="0065243A">
            <w:pPr>
              <w:pStyle w:val="Teksttabelisrodek"/>
            </w:pPr>
            <w:r w:rsidRPr="00795F17">
              <w:t>104</w:t>
            </w:r>
          </w:p>
        </w:tc>
      </w:tr>
    </w:tbl>
    <w:p w14:paraId="1929CB79" w14:textId="20A8BC67"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w:t>
      </w:r>
      <w:r w:rsidR="00DF005E">
        <w:t>JCWP</w:t>
      </w:r>
      <w:r w:rsidRPr="00795F17">
        <w:t xml:space="preserve"> (…) - aktualizacja</w:t>
      </w:r>
    </w:p>
    <w:p w14:paraId="736F940E" w14:textId="060E1E3B" w:rsidR="00AD1DA1" w:rsidRPr="00795F17" w:rsidRDefault="0029782B" w:rsidP="00E01928">
      <w:pPr>
        <w:jc w:val="center"/>
      </w:pPr>
      <w:r w:rsidRPr="00795F17">
        <w:rPr>
          <w:noProof/>
          <w:lang w:eastAsia="pl-PL"/>
        </w:rPr>
        <w:drawing>
          <wp:inline distT="0" distB="0" distL="0" distR="0" wp14:anchorId="66AA6990" wp14:editId="67439BD6">
            <wp:extent cx="5760000" cy="2880000"/>
            <wp:effectExtent l="0" t="0" r="12700" b="15875"/>
            <wp:docPr id="56" name="Wykres 56">
              <a:extLst xmlns:a="http://schemas.openxmlformats.org/drawingml/2006/main">
                <a:ext uri="{FF2B5EF4-FFF2-40B4-BE49-F238E27FC236}">
                  <a16:creationId xmlns:a16="http://schemas.microsoft.com/office/drawing/2014/main" id="{E4F06B79-7775-4A82-9A8D-0831829E238A}"/>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A8FD8A5" w14:textId="08831AD5" w:rsidR="00AD1DA1" w:rsidRPr="00795F17" w:rsidRDefault="00AD1DA1" w:rsidP="00B479EE">
      <w:pPr>
        <w:pStyle w:val="Wykres"/>
      </w:pPr>
      <w:bookmarkStart w:id="348" w:name="_Toc66288193"/>
      <w:bookmarkStart w:id="349" w:name="_Toc105512985"/>
      <w:r w:rsidRPr="00795F17">
        <w:t xml:space="preserve">Wykres </w:t>
      </w:r>
      <w:fldSimple w:instr=" STYLEREF 1 \s ">
        <w:r w:rsidR="001F774D">
          <w:rPr>
            <w:noProof/>
          </w:rPr>
          <w:t>7</w:t>
        </w:r>
      </w:fldSimple>
      <w:r w:rsidR="00FF20D3">
        <w:noBreakHyphen/>
      </w:r>
      <w:fldSimple w:instr=" SEQ Wykres \* ARABIC \s 1 ">
        <w:r w:rsidR="001F774D">
          <w:rPr>
            <w:noProof/>
          </w:rPr>
          <w:t>12</w:t>
        </w:r>
      </w:fldSimple>
      <w:r w:rsidR="00D328C1">
        <w:rPr>
          <w:noProof/>
        </w:rPr>
        <w:t>.</w:t>
      </w:r>
      <w:r w:rsidRPr="00795F17">
        <w:tab/>
      </w:r>
      <w:bookmarkStart w:id="350" w:name="_Hlk67301741"/>
      <w:r w:rsidRPr="00795F17">
        <w:t xml:space="preserve">Udział </w:t>
      </w:r>
      <w:r w:rsidR="00DF005E">
        <w:t>JCWP</w:t>
      </w:r>
      <w:r w:rsidRPr="00795F17">
        <w:t xml:space="preserve"> LW zagrożonych nieosiągnięciem celów środowiskowych w ogólnej liczbie </w:t>
      </w:r>
      <w:r w:rsidR="00DF005E">
        <w:t>JCWP</w:t>
      </w:r>
      <w:r w:rsidRPr="00795F17">
        <w:t xml:space="preserve"> LW danego regionu wodnego</w:t>
      </w:r>
      <w:bookmarkEnd w:id="348"/>
      <w:bookmarkEnd w:id="349"/>
      <w:bookmarkEnd w:id="350"/>
    </w:p>
    <w:p w14:paraId="1B76F9A6" w14:textId="7448D0C7"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91230B">
        <w:t>–</w:t>
      </w:r>
      <w:r w:rsidRPr="00795F17">
        <w:t xml:space="preserve"> </w:t>
      </w:r>
      <w:r w:rsidR="00DF005E">
        <w:t>JCWP</w:t>
      </w:r>
      <w:r w:rsidRPr="00795F17">
        <w:t xml:space="preserve"> (…) </w:t>
      </w:r>
      <w:r w:rsidR="0091230B">
        <w:t>–</w:t>
      </w:r>
      <w:r w:rsidRPr="00795F17">
        <w:t xml:space="preserve"> aktualizacja</w:t>
      </w:r>
    </w:p>
    <w:p w14:paraId="3E5428A0" w14:textId="6185C1D2" w:rsidR="00AD1DA1" w:rsidRPr="00795F17" w:rsidRDefault="00AD1DA1" w:rsidP="0044393D">
      <w:r w:rsidRPr="00795F17">
        <w:t>Informacja dotycząca presji znaczących oraz oceny ryzyka nieosiągnięcia celów środowiskowych dla</w:t>
      </w:r>
      <w:r w:rsidR="008721FF" w:rsidRPr="00795F17">
        <w:t> </w:t>
      </w:r>
      <w:r w:rsidRPr="00795F17">
        <w:t xml:space="preserve">poszczególnych </w:t>
      </w:r>
      <w:r w:rsidR="00DF005E">
        <w:t>JCWP</w:t>
      </w:r>
      <w:r w:rsidRPr="00795F17">
        <w:t xml:space="preserve"> LW zawarta jest w załączniku nr 1 (Zestawienie główne). Zobrazowanie przestrzenne </w:t>
      </w:r>
      <w:r w:rsidR="00DF005E">
        <w:t>JCWP</w:t>
      </w:r>
      <w:r w:rsidRPr="00795F17">
        <w:t xml:space="preserve"> LW z oceną ryzyka nieosiągnięcia celów środowiskowych </w:t>
      </w:r>
      <w:r w:rsidR="00064AE0">
        <w:t>prezentuje załącznik</w:t>
      </w:r>
      <w:r w:rsidRPr="00795F17">
        <w:t xml:space="preserve"> graficzny nr </w:t>
      </w:r>
      <w:r w:rsidR="001B24AB">
        <w:t>44</w:t>
      </w:r>
      <w:r w:rsidR="00996FF4" w:rsidRPr="00795F17">
        <w:t>.</w:t>
      </w:r>
    </w:p>
    <w:p w14:paraId="3DA75B5D" w14:textId="638D8079" w:rsidR="00AD1DA1" w:rsidRPr="00795F17" w:rsidRDefault="00DF005E" w:rsidP="0044393D">
      <w:pPr>
        <w:pStyle w:val="Nagwek5"/>
      </w:pPr>
      <w:r>
        <w:t>JCWP</w:t>
      </w:r>
      <w:r w:rsidR="00AD1DA1" w:rsidRPr="00795F17">
        <w:t xml:space="preserve"> TW i CW</w:t>
      </w:r>
    </w:p>
    <w:p w14:paraId="5868E570" w14:textId="7B7FDAFC" w:rsidR="00AD1DA1" w:rsidRPr="00795F17" w:rsidRDefault="00AD1DA1" w:rsidP="0044393D">
      <w:r w:rsidRPr="00795F17">
        <w:t xml:space="preserve">Przeprowadzone analizy i identyfikacja znaczących oddziaływań antropogenicznych </w:t>
      </w:r>
      <w:r w:rsidR="00DF005E">
        <w:t>JCWP</w:t>
      </w:r>
      <w:r w:rsidRPr="00795F17">
        <w:t xml:space="preserve"> TW i CW </w:t>
      </w:r>
      <w:r w:rsidR="00EC6601">
        <w:t>na</w:t>
      </w:r>
      <w:r w:rsidR="00463DD3" w:rsidRPr="00795F17">
        <w:t> </w:t>
      </w:r>
      <w:r w:rsidRPr="00795F17">
        <w:t xml:space="preserve">obszarze dorzecza </w:t>
      </w:r>
      <w:r w:rsidR="00B60CF3" w:rsidRPr="00795F17">
        <w:t>Odry</w:t>
      </w:r>
      <w:r w:rsidRPr="00795F17">
        <w:t xml:space="preserve"> wykazały zagrożenie nieosiągnięciem celów środowiskowych dla wszystkich </w:t>
      </w:r>
      <w:r w:rsidR="00DF005E">
        <w:t>JCWP</w:t>
      </w:r>
      <w:r w:rsidRPr="00795F17">
        <w:t xml:space="preserve"> TW i CW. Presja znacząca na elementy biologiczne zależne od hydromorfologii nie</w:t>
      </w:r>
      <w:r w:rsidR="00EC6601">
        <w:t> </w:t>
      </w:r>
      <w:r w:rsidRPr="00795F17">
        <w:t xml:space="preserve">została zidentyfikowana w żadnej </w:t>
      </w:r>
      <w:r w:rsidR="00DF005E">
        <w:t>JCWP</w:t>
      </w:r>
      <w:r w:rsidRPr="00795F17">
        <w:t xml:space="preserve"> TW i CW. Pozostałe rodzaje presji występują we wszystkich </w:t>
      </w:r>
      <w:r w:rsidR="00DF005E">
        <w:t>JCWP</w:t>
      </w:r>
      <w:r w:rsidRPr="00795F17">
        <w:t xml:space="preserve"> TW</w:t>
      </w:r>
      <w:r w:rsidR="00EC6601">
        <w:t> </w:t>
      </w:r>
      <w:r w:rsidRPr="00795F17">
        <w:t>i</w:t>
      </w:r>
      <w:r w:rsidR="00EC6601">
        <w:t> </w:t>
      </w:r>
      <w:r w:rsidRPr="00795F17">
        <w:t xml:space="preserve">CW na obszarze dorzecza </w:t>
      </w:r>
      <w:r w:rsidR="00523948" w:rsidRPr="00795F17">
        <w:t>Odry</w:t>
      </w:r>
      <w:r w:rsidRPr="00795F17">
        <w:t xml:space="preserve">. </w:t>
      </w:r>
    </w:p>
    <w:p w14:paraId="4B36CDAF" w14:textId="22B3BD38" w:rsidR="00AD1DA1" w:rsidRPr="00795F17" w:rsidRDefault="00AD1DA1" w:rsidP="0044393D">
      <w:r w:rsidRPr="00795F17">
        <w:t xml:space="preserve">Zestawienie liczby </w:t>
      </w:r>
      <w:r w:rsidR="00DF005E">
        <w:t>JCWP</w:t>
      </w:r>
      <w:r w:rsidRPr="00795F17">
        <w:t xml:space="preserve"> TW i CW ze zidentyfikowanymi poszczególnymi kategoriami presji wraz</w:t>
      </w:r>
      <w:r w:rsidR="0005606D">
        <w:t> </w:t>
      </w:r>
      <w:r w:rsidRPr="00795F17">
        <w:t>z</w:t>
      </w:r>
      <w:r w:rsidR="007732BC" w:rsidRPr="00795F17">
        <w:t> </w:t>
      </w:r>
      <w:r w:rsidRPr="00795F17">
        <w:t xml:space="preserve">określeniem udziału w ogólnej liczbie </w:t>
      </w:r>
      <w:r w:rsidR="00DF005E">
        <w:t>JCWP</w:t>
      </w:r>
      <w:r w:rsidRPr="00795F17">
        <w:t xml:space="preserve"> TW i CW obszaru dorzecza </w:t>
      </w:r>
      <w:r w:rsidR="00523948" w:rsidRPr="00795F17">
        <w:t>Odry</w:t>
      </w:r>
      <w:r w:rsidRPr="00795F17">
        <w:t xml:space="preserve"> prezentuje tabela</w:t>
      </w:r>
      <w:r w:rsidR="00190FE6">
        <w:t> </w:t>
      </w:r>
      <w:r w:rsidR="007732BC" w:rsidRPr="00795F17">
        <w:t>7</w:t>
      </w:r>
      <w:r w:rsidR="00190FE6">
        <w:t> </w:t>
      </w:r>
      <w:r w:rsidR="007732BC" w:rsidRPr="00795F17">
        <w:t>-</w:t>
      </w:r>
      <w:r w:rsidR="00190FE6">
        <w:t> </w:t>
      </w:r>
      <w:r w:rsidR="007732BC" w:rsidRPr="00795F17">
        <w:t>7</w:t>
      </w:r>
      <w:r w:rsidRPr="00795F17">
        <w:t>.</w:t>
      </w:r>
    </w:p>
    <w:p w14:paraId="107D7DCE" w14:textId="5205CD64" w:rsidR="00AD1DA1" w:rsidRPr="00795F17" w:rsidRDefault="00AD1DA1" w:rsidP="004D7705">
      <w:pPr>
        <w:pStyle w:val="Tabela"/>
        <w:rPr>
          <w:bCs/>
          <w:i/>
        </w:rPr>
      </w:pPr>
      <w:bookmarkStart w:id="351" w:name="_Toc66288076"/>
      <w:bookmarkStart w:id="352" w:name="_Toc66341897"/>
      <w:bookmarkStart w:id="353" w:name="_Toc105512808"/>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1F774D">
        <w:rPr>
          <w:bCs/>
          <w:noProof/>
        </w:rPr>
        <w:t>7</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1F774D">
        <w:rPr>
          <w:bCs/>
          <w:noProof/>
        </w:rPr>
        <w:t>7</w:t>
      </w:r>
      <w:r w:rsidR="00BB3B21" w:rsidRPr="00795F17">
        <w:rPr>
          <w:bCs/>
        </w:rPr>
        <w:fldChar w:fldCharType="end"/>
      </w:r>
      <w:r w:rsidR="00E76356">
        <w:rPr>
          <w:bCs/>
        </w:rPr>
        <w:t>.</w:t>
      </w:r>
      <w:r w:rsidRPr="00795F17">
        <w:rPr>
          <w:bCs/>
        </w:rPr>
        <w:tab/>
      </w:r>
      <w:r w:rsidRPr="00795F17">
        <w:t xml:space="preserve">Podsumowanie analizy znaczących oddziaływań antropogenicznych wraz z oceną ryzyka nieosiągnięcia celów środowiskowych dla </w:t>
      </w:r>
      <w:r w:rsidR="00DF005E">
        <w:t>JCWP</w:t>
      </w:r>
      <w:r w:rsidRPr="00795F17">
        <w:t xml:space="preserve"> TW i CW </w:t>
      </w:r>
      <w:r w:rsidR="0091230B">
        <w:t>–</w:t>
      </w:r>
      <w:r w:rsidRPr="00795F17">
        <w:t xml:space="preserve"> obszar dorzecza </w:t>
      </w:r>
      <w:bookmarkEnd w:id="351"/>
      <w:r w:rsidR="009D7622" w:rsidRPr="00795F17">
        <w:t>Odry</w:t>
      </w:r>
      <w:bookmarkEnd w:id="352"/>
      <w:bookmarkEnd w:id="353"/>
    </w:p>
    <w:tbl>
      <w:tblPr>
        <w:tblW w:w="5000" w:type="pct"/>
        <w:tblLayout w:type="fixed"/>
        <w:tblCellMar>
          <w:left w:w="70" w:type="dxa"/>
          <w:right w:w="70" w:type="dxa"/>
        </w:tblCellMar>
        <w:tblLook w:val="04A0" w:firstRow="1" w:lastRow="0" w:firstColumn="1" w:lastColumn="0" w:noHBand="0" w:noVBand="1"/>
      </w:tblPr>
      <w:tblGrid>
        <w:gridCol w:w="1223"/>
        <w:gridCol w:w="901"/>
        <w:gridCol w:w="1133"/>
        <w:gridCol w:w="991"/>
        <w:gridCol w:w="850"/>
        <w:gridCol w:w="993"/>
        <w:gridCol w:w="993"/>
        <w:gridCol w:w="698"/>
        <w:gridCol w:w="1280"/>
      </w:tblGrid>
      <w:tr w:rsidR="00CE7CBA" w:rsidRPr="00795F17" w14:paraId="746F807A" w14:textId="77777777" w:rsidTr="00F50A12">
        <w:trPr>
          <w:trHeight w:val="454"/>
        </w:trPr>
        <w:tc>
          <w:tcPr>
            <w:tcW w:w="675" w:type="pct"/>
            <w:vMerge w:val="restart"/>
            <w:tcBorders>
              <w:top w:val="single" w:sz="4" w:space="0" w:color="auto"/>
              <w:left w:val="single" w:sz="4" w:space="0" w:color="auto"/>
              <w:bottom w:val="single" w:sz="4" w:space="0" w:color="auto"/>
              <w:right w:val="single" w:sz="4" w:space="0" w:color="auto"/>
            </w:tcBorders>
            <w:shd w:val="clear" w:color="DDEBF7" w:fill="BFBFBF"/>
            <w:tcMar>
              <w:left w:w="28" w:type="dxa"/>
              <w:right w:w="28" w:type="dxa"/>
            </w:tcMar>
            <w:vAlign w:val="center"/>
            <w:hideMark/>
          </w:tcPr>
          <w:p w14:paraId="39500966" w14:textId="6E6CC9D5" w:rsidR="00CE7CBA" w:rsidRPr="00795F17" w:rsidRDefault="00FB15D5" w:rsidP="0044393D">
            <w:pPr>
              <w:pStyle w:val="Teksttabelinaglowek"/>
              <w:rPr>
                <w:color w:val="000000"/>
              </w:rPr>
            </w:pPr>
            <w:r w:rsidRPr="00795F17">
              <w:t>Obszar d</w:t>
            </w:r>
            <w:r w:rsidR="00CE7CBA" w:rsidRPr="00795F17">
              <w:t>orzecz</w:t>
            </w:r>
            <w:r w:rsidRPr="00795F17">
              <w:t>a</w:t>
            </w:r>
          </w:p>
        </w:tc>
        <w:tc>
          <w:tcPr>
            <w:tcW w:w="497" w:type="pct"/>
            <w:vMerge w:val="restart"/>
            <w:tcBorders>
              <w:top w:val="single" w:sz="4" w:space="0" w:color="auto"/>
              <w:left w:val="single" w:sz="4" w:space="0" w:color="auto"/>
              <w:bottom w:val="single" w:sz="4" w:space="0" w:color="auto"/>
              <w:right w:val="single" w:sz="4" w:space="0" w:color="auto"/>
            </w:tcBorders>
            <w:shd w:val="clear" w:color="DDEBF7" w:fill="BFBFBF"/>
            <w:tcMar>
              <w:left w:w="28" w:type="dxa"/>
              <w:right w:w="28" w:type="dxa"/>
            </w:tcMar>
            <w:vAlign w:val="center"/>
            <w:hideMark/>
          </w:tcPr>
          <w:p w14:paraId="4E85656C" w14:textId="2A6F4871" w:rsidR="00CE7CBA" w:rsidRPr="00795F17" w:rsidRDefault="00CE7CBA" w:rsidP="0044393D">
            <w:pPr>
              <w:pStyle w:val="Teksttabelinaglowek"/>
              <w:rPr>
                <w:color w:val="000000"/>
              </w:rPr>
            </w:pPr>
            <w:r w:rsidRPr="00795F17">
              <w:t xml:space="preserve">Liczba </w:t>
            </w:r>
            <w:r w:rsidR="00DF005E">
              <w:t>JCWP</w:t>
            </w:r>
            <w:r w:rsidRPr="00795F17">
              <w:t xml:space="preserve"> </w:t>
            </w:r>
            <w:r w:rsidRPr="00795F17">
              <w:rPr>
                <w:color w:val="000000"/>
              </w:rPr>
              <w:t>TW</w:t>
            </w:r>
            <w:r w:rsidR="006E270C">
              <w:rPr>
                <w:color w:val="000000"/>
              </w:rPr>
              <w:t> i </w:t>
            </w:r>
            <w:r w:rsidRPr="00795F17">
              <w:rPr>
                <w:color w:val="000000"/>
              </w:rPr>
              <w:t>CW</w:t>
            </w:r>
          </w:p>
        </w:tc>
        <w:tc>
          <w:tcPr>
            <w:tcW w:w="3122" w:type="pct"/>
            <w:gridSpan w:val="6"/>
            <w:tcBorders>
              <w:top w:val="single" w:sz="4" w:space="0" w:color="auto"/>
              <w:left w:val="nil"/>
              <w:bottom w:val="single" w:sz="4" w:space="0" w:color="auto"/>
              <w:right w:val="single" w:sz="4" w:space="0" w:color="auto"/>
            </w:tcBorders>
            <w:shd w:val="clear" w:color="DDEBF7" w:fill="BFBFBF"/>
            <w:tcMar>
              <w:left w:w="28" w:type="dxa"/>
              <w:right w:w="28" w:type="dxa"/>
            </w:tcMar>
          </w:tcPr>
          <w:p w14:paraId="400E8A48" w14:textId="0EFC51C0" w:rsidR="00CE7CBA" w:rsidRPr="00795F17" w:rsidRDefault="00CE7CBA" w:rsidP="0044393D">
            <w:pPr>
              <w:pStyle w:val="Teksttabelinaglowek"/>
            </w:pPr>
            <w:r w:rsidRPr="00795F17">
              <w:t xml:space="preserve">Liczba </w:t>
            </w:r>
            <w:r w:rsidR="00DF005E">
              <w:t>JCWP</w:t>
            </w:r>
            <w:r w:rsidRPr="00795F17">
              <w:t xml:space="preserve"> TW </w:t>
            </w:r>
            <w:r w:rsidR="006E270C">
              <w:t xml:space="preserve">i </w:t>
            </w:r>
            <w:r w:rsidRPr="00795F17">
              <w:t>CW ze zidentyfikowaną znaczącą presją*</w:t>
            </w:r>
          </w:p>
        </w:tc>
        <w:tc>
          <w:tcPr>
            <w:tcW w:w="706" w:type="pct"/>
            <w:vMerge w:val="restart"/>
            <w:tcBorders>
              <w:top w:val="single" w:sz="4" w:space="0" w:color="auto"/>
              <w:left w:val="single" w:sz="4" w:space="0" w:color="auto"/>
              <w:bottom w:val="single" w:sz="4" w:space="0" w:color="auto"/>
              <w:right w:val="single" w:sz="4" w:space="0" w:color="auto"/>
            </w:tcBorders>
            <w:shd w:val="clear" w:color="DDEBF7" w:fill="BFBFBF"/>
            <w:tcMar>
              <w:left w:w="28" w:type="dxa"/>
              <w:right w:w="28" w:type="dxa"/>
            </w:tcMar>
            <w:vAlign w:val="center"/>
            <w:hideMark/>
          </w:tcPr>
          <w:p w14:paraId="08DBD463" w14:textId="1B97D5A9" w:rsidR="00CE7CBA" w:rsidRPr="00795F17" w:rsidRDefault="00CE7CBA" w:rsidP="0044393D">
            <w:pPr>
              <w:pStyle w:val="Teksttabelinaglowek"/>
            </w:pPr>
            <w:r w:rsidRPr="00795F17">
              <w:t xml:space="preserve">Ocena ryzyka </w:t>
            </w:r>
            <w:r w:rsidR="00AA618A" w:rsidRPr="00795F17">
              <w:t>(</w:t>
            </w:r>
            <w:r w:rsidRPr="00795F17">
              <w:t xml:space="preserve">liczba </w:t>
            </w:r>
            <w:r w:rsidR="00DF005E">
              <w:t>JCWP</w:t>
            </w:r>
            <w:r w:rsidRPr="00795F17">
              <w:t xml:space="preserve"> zagrożonych</w:t>
            </w:r>
            <w:r w:rsidR="00AA618A" w:rsidRPr="00795F17">
              <w:t>)</w:t>
            </w:r>
          </w:p>
        </w:tc>
      </w:tr>
      <w:tr w:rsidR="00F50A12" w:rsidRPr="00795F17" w14:paraId="0896A4C1" w14:textId="77777777" w:rsidTr="00F50A12">
        <w:trPr>
          <w:trHeight w:val="454"/>
        </w:trPr>
        <w:tc>
          <w:tcPr>
            <w:tcW w:w="67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4A0B018" w14:textId="77777777" w:rsidR="00F50A12" w:rsidRPr="00795F17" w:rsidRDefault="00F50A12" w:rsidP="0044393D">
            <w:pPr>
              <w:pStyle w:val="Teksttabelinaglowek"/>
            </w:pPr>
          </w:p>
        </w:tc>
        <w:tc>
          <w:tcPr>
            <w:tcW w:w="497"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3907896" w14:textId="77777777" w:rsidR="00F50A12" w:rsidRPr="00795F17" w:rsidRDefault="00F50A12" w:rsidP="0044393D">
            <w:pPr>
              <w:pStyle w:val="Teksttabelinaglowek"/>
            </w:pPr>
          </w:p>
        </w:tc>
        <w:tc>
          <w:tcPr>
            <w:tcW w:w="625" w:type="pct"/>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686EF3AC" w14:textId="77777777" w:rsidR="00F50A12" w:rsidRPr="00795F17" w:rsidRDefault="00F50A12" w:rsidP="0044393D">
            <w:pPr>
              <w:pStyle w:val="Teksttabelinaglowek"/>
            </w:pPr>
            <w:r w:rsidRPr="00795F17">
              <w:t>BIO_HM</w:t>
            </w:r>
          </w:p>
        </w:tc>
        <w:tc>
          <w:tcPr>
            <w:tcW w:w="547" w:type="pct"/>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0386FDE1" w14:textId="77777777" w:rsidR="00F50A12" w:rsidRPr="00795F17" w:rsidRDefault="00F50A12" w:rsidP="0044393D">
            <w:pPr>
              <w:pStyle w:val="Teksttabelinaglowek"/>
            </w:pPr>
            <w:r w:rsidRPr="00795F17">
              <w:t>BIO_FIZ</w:t>
            </w:r>
          </w:p>
        </w:tc>
        <w:tc>
          <w:tcPr>
            <w:tcW w:w="469" w:type="pct"/>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6CC665E5" w14:textId="77777777" w:rsidR="00F50A12" w:rsidRPr="00795F17" w:rsidRDefault="00F50A12" w:rsidP="0044393D">
            <w:pPr>
              <w:pStyle w:val="Teksttabelinaglowek"/>
            </w:pPr>
            <w:r w:rsidRPr="00795F17">
              <w:t>CHEM</w:t>
            </w:r>
          </w:p>
        </w:tc>
        <w:tc>
          <w:tcPr>
            <w:tcW w:w="548" w:type="pct"/>
            <w:tcBorders>
              <w:top w:val="single" w:sz="4" w:space="0" w:color="auto"/>
              <w:left w:val="nil"/>
              <w:bottom w:val="single" w:sz="4" w:space="0" w:color="auto"/>
              <w:right w:val="single" w:sz="4" w:space="0" w:color="auto"/>
            </w:tcBorders>
            <w:shd w:val="clear" w:color="DDEBF7" w:fill="BFBFBF"/>
            <w:tcMar>
              <w:left w:w="28" w:type="dxa"/>
              <w:right w:w="28" w:type="dxa"/>
            </w:tcMar>
            <w:vAlign w:val="center"/>
          </w:tcPr>
          <w:p w14:paraId="123FF522" w14:textId="77777777" w:rsidR="00F50A12" w:rsidRPr="00795F17" w:rsidRDefault="00F50A12" w:rsidP="0044393D">
            <w:pPr>
              <w:pStyle w:val="Teksttabelinaglowek"/>
            </w:pPr>
            <w:r w:rsidRPr="00795F17">
              <w:t>FIZ</w:t>
            </w:r>
          </w:p>
        </w:tc>
        <w:tc>
          <w:tcPr>
            <w:tcW w:w="548" w:type="pct"/>
            <w:tcBorders>
              <w:top w:val="nil"/>
              <w:left w:val="single" w:sz="4" w:space="0" w:color="auto"/>
              <w:bottom w:val="single" w:sz="4" w:space="0" w:color="auto"/>
              <w:right w:val="single" w:sz="4" w:space="0" w:color="auto"/>
            </w:tcBorders>
            <w:shd w:val="clear" w:color="DDEBF7" w:fill="BFBFBF"/>
            <w:noWrap/>
            <w:tcMar>
              <w:left w:w="28" w:type="dxa"/>
              <w:right w:w="28" w:type="dxa"/>
            </w:tcMar>
            <w:vAlign w:val="center"/>
            <w:hideMark/>
          </w:tcPr>
          <w:p w14:paraId="6F8C8844" w14:textId="4360FD44" w:rsidR="00F50A12" w:rsidRPr="00795F17" w:rsidRDefault="00F50A12" w:rsidP="0044393D">
            <w:pPr>
              <w:pStyle w:val="Teksttabelinaglowek"/>
            </w:pPr>
            <w:r w:rsidRPr="00795F17">
              <w:t>CHEM_B</w:t>
            </w:r>
          </w:p>
        </w:tc>
        <w:tc>
          <w:tcPr>
            <w:tcW w:w="385" w:type="pct"/>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7D548F76" w14:textId="77777777" w:rsidR="00F50A12" w:rsidRPr="00795F17" w:rsidRDefault="00F50A12" w:rsidP="0044393D">
            <w:pPr>
              <w:pStyle w:val="Teksttabelinaglowek"/>
            </w:pPr>
            <w:r w:rsidRPr="00795F17">
              <w:t>OCH</w:t>
            </w:r>
          </w:p>
        </w:tc>
        <w:tc>
          <w:tcPr>
            <w:tcW w:w="706"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0109E53" w14:textId="77777777" w:rsidR="00F50A12" w:rsidRPr="00795F17" w:rsidRDefault="00F50A12" w:rsidP="0044393D">
            <w:pPr>
              <w:pStyle w:val="Teksttabelinaglowek"/>
            </w:pPr>
          </w:p>
        </w:tc>
      </w:tr>
      <w:tr w:rsidR="00F50A12" w:rsidRPr="00795F17" w14:paraId="403A7152" w14:textId="77777777" w:rsidTr="00F50A12">
        <w:trPr>
          <w:trHeight w:val="454"/>
        </w:trPr>
        <w:tc>
          <w:tcPr>
            <w:tcW w:w="67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63B4859" w14:textId="5FBD67B4" w:rsidR="00F50A12" w:rsidRPr="00795F17" w:rsidRDefault="00F50A12" w:rsidP="0065243A">
            <w:pPr>
              <w:pStyle w:val="Teksttabelisrodek"/>
            </w:pPr>
            <w:r w:rsidRPr="00795F17">
              <w:t>Odra</w:t>
            </w:r>
          </w:p>
        </w:tc>
        <w:tc>
          <w:tcPr>
            <w:tcW w:w="49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B5335B3" w14:textId="78D9E578" w:rsidR="00F50A12" w:rsidRPr="00795F17" w:rsidRDefault="00F50A12" w:rsidP="0065243A">
            <w:pPr>
              <w:pStyle w:val="Teksttabelisrodek"/>
            </w:pPr>
            <w:r w:rsidRPr="00795F17">
              <w:t>4</w:t>
            </w:r>
          </w:p>
        </w:tc>
        <w:tc>
          <w:tcPr>
            <w:tcW w:w="625"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42401D25" w14:textId="77777777" w:rsidR="00F50A12" w:rsidRPr="00795F17" w:rsidRDefault="00F50A12" w:rsidP="0065243A">
            <w:pPr>
              <w:pStyle w:val="Teksttabelisrodek"/>
            </w:pPr>
            <w:r w:rsidRPr="00795F17">
              <w:t>0</w:t>
            </w:r>
          </w:p>
        </w:tc>
        <w:tc>
          <w:tcPr>
            <w:tcW w:w="547"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30AAFDDE" w14:textId="2C5B4E45" w:rsidR="00F50A12" w:rsidRPr="00795F17" w:rsidRDefault="00F50A12" w:rsidP="0065243A">
            <w:pPr>
              <w:pStyle w:val="Teksttabelisrodek"/>
            </w:pPr>
            <w:r w:rsidRPr="00795F17">
              <w:t>4</w:t>
            </w:r>
          </w:p>
        </w:tc>
        <w:tc>
          <w:tcPr>
            <w:tcW w:w="469"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2AD9F6EE" w14:textId="1268B386" w:rsidR="00F50A12" w:rsidRPr="00795F17" w:rsidRDefault="00F50A12" w:rsidP="0065243A">
            <w:pPr>
              <w:pStyle w:val="Teksttabelisrodek"/>
            </w:pPr>
            <w:r>
              <w:t>2</w:t>
            </w:r>
          </w:p>
        </w:tc>
        <w:tc>
          <w:tcPr>
            <w:tcW w:w="54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06E2D4AB" w14:textId="4F7B810D" w:rsidR="00F50A12" w:rsidRPr="00795F17" w:rsidRDefault="00F50A12" w:rsidP="0065243A">
            <w:pPr>
              <w:pStyle w:val="Teksttabelisrodek"/>
            </w:pPr>
            <w:r w:rsidRPr="00795F17">
              <w:t>4</w:t>
            </w:r>
          </w:p>
        </w:tc>
        <w:tc>
          <w:tcPr>
            <w:tcW w:w="548"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316ECC3B" w14:textId="4A8BBA4D" w:rsidR="00F50A12" w:rsidRPr="00795F17" w:rsidRDefault="00F50A12" w:rsidP="0065243A">
            <w:pPr>
              <w:pStyle w:val="Teksttabelisrodek"/>
            </w:pPr>
            <w:r w:rsidRPr="00795F17">
              <w:t>4</w:t>
            </w:r>
          </w:p>
        </w:tc>
        <w:tc>
          <w:tcPr>
            <w:tcW w:w="385"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029DCA34" w14:textId="47F0AE85" w:rsidR="00F50A12" w:rsidRPr="00795F17" w:rsidRDefault="00F50A12" w:rsidP="0065243A">
            <w:pPr>
              <w:pStyle w:val="Teksttabelisrodek"/>
            </w:pPr>
            <w:r w:rsidRPr="00795F17">
              <w:t>4</w:t>
            </w:r>
          </w:p>
        </w:tc>
        <w:tc>
          <w:tcPr>
            <w:tcW w:w="706" w:type="pct"/>
            <w:tcBorders>
              <w:top w:val="nil"/>
              <w:left w:val="nil"/>
              <w:bottom w:val="single" w:sz="4" w:space="0" w:color="auto"/>
              <w:right w:val="single" w:sz="4" w:space="0" w:color="auto"/>
            </w:tcBorders>
            <w:noWrap/>
            <w:tcMar>
              <w:left w:w="28" w:type="dxa"/>
              <w:right w:w="28" w:type="dxa"/>
            </w:tcMar>
            <w:vAlign w:val="center"/>
          </w:tcPr>
          <w:p w14:paraId="7A62ED67" w14:textId="5302EBBA" w:rsidR="00F50A12" w:rsidRPr="00795F17" w:rsidRDefault="00F50A12" w:rsidP="0065243A">
            <w:pPr>
              <w:pStyle w:val="Teksttabelisrodek"/>
            </w:pPr>
            <w:r w:rsidRPr="00795F17">
              <w:t>4</w:t>
            </w:r>
          </w:p>
        </w:tc>
      </w:tr>
      <w:tr w:rsidR="00F50A12" w:rsidRPr="00795F17" w14:paraId="10CD2292" w14:textId="77777777" w:rsidTr="00F50A12">
        <w:trPr>
          <w:trHeight w:val="454"/>
        </w:trPr>
        <w:tc>
          <w:tcPr>
            <w:tcW w:w="1172"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left w:w="28" w:type="dxa"/>
              <w:right w:w="28" w:type="dxa"/>
            </w:tcMar>
            <w:vAlign w:val="center"/>
          </w:tcPr>
          <w:p w14:paraId="1D1A2CBC" w14:textId="4AC12E87" w:rsidR="00F50A12" w:rsidRPr="000C3A64" w:rsidRDefault="00F50A12" w:rsidP="0065243A">
            <w:pPr>
              <w:pStyle w:val="Teksttabelisrodek"/>
              <w:rPr>
                <w:b/>
              </w:rPr>
            </w:pPr>
            <w:r w:rsidRPr="000C3A64">
              <w:rPr>
                <w:b/>
              </w:rPr>
              <w:t xml:space="preserve">Udział w ogólnej liczbie </w:t>
            </w:r>
            <w:r w:rsidR="00DF005E">
              <w:rPr>
                <w:b/>
              </w:rPr>
              <w:t>JCWP</w:t>
            </w:r>
            <w:r w:rsidRPr="000C3A64">
              <w:rPr>
                <w:b/>
              </w:rPr>
              <w:t xml:space="preserve"> TW i CW (%)</w:t>
            </w:r>
          </w:p>
        </w:tc>
        <w:tc>
          <w:tcPr>
            <w:tcW w:w="625" w:type="pct"/>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1032E8E3" w14:textId="6F81E9C6" w:rsidR="00F50A12" w:rsidRPr="000C3A64" w:rsidRDefault="00F50A12" w:rsidP="0065243A">
            <w:pPr>
              <w:pStyle w:val="Teksttabelisrodek"/>
              <w:rPr>
                <w:b/>
              </w:rPr>
            </w:pPr>
            <w:r w:rsidRPr="000C3A64">
              <w:rPr>
                <w:b/>
              </w:rPr>
              <w:t>0</w:t>
            </w:r>
          </w:p>
        </w:tc>
        <w:tc>
          <w:tcPr>
            <w:tcW w:w="547" w:type="pct"/>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0C1D15F9" w14:textId="65F233FC" w:rsidR="00F50A12" w:rsidRPr="000C3A64" w:rsidRDefault="00F50A12" w:rsidP="0065243A">
            <w:pPr>
              <w:pStyle w:val="Teksttabelisrodek"/>
              <w:rPr>
                <w:b/>
              </w:rPr>
            </w:pPr>
            <w:r w:rsidRPr="000C3A64">
              <w:rPr>
                <w:b/>
              </w:rPr>
              <w:t>100</w:t>
            </w:r>
          </w:p>
        </w:tc>
        <w:tc>
          <w:tcPr>
            <w:tcW w:w="469" w:type="pct"/>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52E0AC33" w14:textId="0BBD94EB" w:rsidR="00F50A12" w:rsidRPr="000C3A64" w:rsidRDefault="00F50A12" w:rsidP="0065243A">
            <w:pPr>
              <w:pStyle w:val="Teksttabelisrodek"/>
              <w:rPr>
                <w:b/>
              </w:rPr>
            </w:pPr>
            <w:r>
              <w:rPr>
                <w:b/>
              </w:rPr>
              <w:t>50</w:t>
            </w:r>
          </w:p>
        </w:tc>
        <w:tc>
          <w:tcPr>
            <w:tcW w:w="548" w:type="pct"/>
            <w:tcBorders>
              <w:top w:val="single" w:sz="4" w:space="0" w:color="auto"/>
              <w:left w:val="nil"/>
              <w:bottom w:val="single" w:sz="4" w:space="0" w:color="auto"/>
              <w:right w:val="single" w:sz="4" w:space="0" w:color="auto"/>
            </w:tcBorders>
            <w:shd w:val="clear" w:color="auto" w:fill="BFBFBF" w:themeFill="background1" w:themeFillShade="BF"/>
            <w:tcMar>
              <w:left w:w="28" w:type="dxa"/>
              <w:right w:w="28" w:type="dxa"/>
            </w:tcMar>
            <w:vAlign w:val="center"/>
          </w:tcPr>
          <w:p w14:paraId="103B09F4" w14:textId="686132D7" w:rsidR="00F50A12" w:rsidRPr="000C3A64" w:rsidRDefault="00F50A12" w:rsidP="0065243A">
            <w:pPr>
              <w:pStyle w:val="Teksttabelisrodek"/>
              <w:rPr>
                <w:b/>
              </w:rPr>
            </w:pPr>
            <w:r w:rsidRPr="000C3A64">
              <w:rPr>
                <w:b/>
              </w:rPr>
              <w:t>100</w:t>
            </w:r>
          </w:p>
        </w:tc>
        <w:tc>
          <w:tcPr>
            <w:tcW w:w="54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left w:w="28" w:type="dxa"/>
              <w:right w:w="28" w:type="dxa"/>
            </w:tcMar>
            <w:vAlign w:val="center"/>
          </w:tcPr>
          <w:p w14:paraId="5A528FEF" w14:textId="44695ECA" w:rsidR="00F50A12" w:rsidRPr="000C3A64" w:rsidRDefault="00F50A12" w:rsidP="0065243A">
            <w:pPr>
              <w:pStyle w:val="Teksttabelisrodek"/>
              <w:rPr>
                <w:b/>
              </w:rPr>
            </w:pPr>
            <w:r w:rsidRPr="000C3A64">
              <w:rPr>
                <w:b/>
              </w:rPr>
              <w:t>100</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2C68B99D" w14:textId="03400D9E" w:rsidR="00F50A12" w:rsidRPr="000C3A64" w:rsidRDefault="00F50A12" w:rsidP="0065243A">
            <w:pPr>
              <w:pStyle w:val="Teksttabelisrodek"/>
              <w:rPr>
                <w:b/>
              </w:rPr>
            </w:pPr>
            <w:r w:rsidRPr="000C3A64">
              <w:rPr>
                <w:b/>
              </w:rPr>
              <w:t>100</w:t>
            </w:r>
          </w:p>
        </w:tc>
        <w:tc>
          <w:tcPr>
            <w:tcW w:w="706" w:type="pct"/>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tcPr>
          <w:p w14:paraId="48A58431" w14:textId="4B571E4B" w:rsidR="00F50A12" w:rsidRPr="000C3A64" w:rsidRDefault="00F50A12" w:rsidP="0065243A">
            <w:pPr>
              <w:pStyle w:val="Teksttabelisrodek"/>
              <w:rPr>
                <w:b/>
              </w:rPr>
            </w:pPr>
            <w:r w:rsidRPr="000C3A64">
              <w:rPr>
                <w:b/>
              </w:rPr>
              <w:t>100</w:t>
            </w:r>
          </w:p>
        </w:tc>
      </w:tr>
    </w:tbl>
    <w:p w14:paraId="3EB74BD1" w14:textId="4C0045E2" w:rsidR="0029782B" w:rsidRPr="00795F17" w:rsidRDefault="00D378A2" w:rsidP="0029782B">
      <w:pPr>
        <w:pStyle w:val="Tabela-wyjasnieniapod"/>
      </w:pPr>
      <w:r>
        <w:t>Objaśnienia:</w:t>
      </w:r>
      <w:r>
        <w:br/>
      </w:r>
      <w:r w:rsidR="0029782B" w:rsidRPr="00795F17">
        <w:t xml:space="preserve">*Wskazane wartości oznaczają liczbę </w:t>
      </w:r>
      <w:r w:rsidR="00DF005E">
        <w:t>JCWP</w:t>
      </w:r>
      <w:r w:rsidR="0029782B" w:rsidRPr="00795F17">
        <w:t xml:space="preserve"> ze zidentyfikowanym danym rodzajem presji znaczącej. Presje znaczące występować mogą łącznie w </w:t>
      </w:r>
      <w:r w:rsidR="00DF005E">
        <w:t>JCWP</w:t>
      </w:r>
      <w:r w:rsidR="0029782B" w:rsidRPr="00795F17">
        <w:t>.</w:t>
      </w:r>
    </w:p>
    <w:p w14:paraId="18E466DF" w14:textId="2A5C637A" w:rsidR="0029782B" w:rsidRPr="00795F17" w:rsidRDefault="0029782B" w:rsidP="0029782B">
      <w:pPr>
        <w:pStyle w:val="Tabela-wyjasnieniapod"/>
      </w:pPr>
      <w:r w:rsidRPr="00795F17">
        <w:rPr>
          <w:b/>
          <w:bCs/>
        </w:rPr>
        <w:t>BIO_HM</w:t>
      </w:r>
      <w:r w:rsidRPr="00795F17">
        <w:t xml:space="preserve"> </w:t>
      </w:r>
      <w:r w:rsidR="0091230B">
        <w:t>–</w:t>
      </w:r>
      <w:r w:rsidRPr="00795F17">
        <w:t xml:space="preserve"> presja na elementy</w:t>
      </w:r>
      <w:r w:rsidR="00AD5CB7" w:rsidRPr="00795F17">
        <w:t xml:space="preserve"> </w:t>
      </w:r>
      <w:r w:rsidRPr="00795F17">
        <w:t>biologiczne zależne od hydromorfologii</w:t>
      </w:r>
    </w:p>
    <w:p w14:paraId="0D4B399A" w14:textId="35610D3F" w:rsidR="0029782B" w:rsidRPr="00795F17" w:rsidRDefault="0029782B" w:rsidP="0029782B">
      <w:pPr>
        <w:pStyle w:val="Tabela-wyjasnieniapod"/>
      </w:pPr>
      <w:r w:rsidRPr="00795F17">
        <w:rPr>
          <w:b/>
          <w:bCs/>
        </w:rPr>
        <w:t>BIO_FIZ</w:t>
      </w:r>
      <w:r w:rsidRPr="00795F17">
        <w:t xml:space="preserve"> </w:t>
      </w:r>
      <w:r w:rsidR="0091230B">
        <w:t>–</w:t>
      </w:r>
      <w:r w:rsidRPr="00795F17">
        <w:t xml:space="preserve"> presja na elementy biologiczne zależne od fizykochemii</w:t>
      </w:r>
    </w:p>
    <w:p w14:paraId="19ED9274" w14:textId="67460021" w:rsidR="0029782B" w:rsidRPr="00795F17" w:rsidRDefault="0029782B" w:rsidP="0029782B">
      <w:pPr>
        <w:pStyle w:val="Tabela-wyjasnieniapod"/>
      </w:pPr>
      <w:r w:rsidRPr="00795F17">
        <w:rPr>
          <w:b/>
          <w:bCs/>
        </w:rPr>
        <w:t>FIZ</w:t>
      </w:r>
      <w:r w:rsidRPr="00795F17">
        <w:t xml:space="preserve"> </w:t>
      </w:r>
      <w:r w:rsidR="0091230B">
        <w:t>–</w:t>
      </w:r>
      <w:r w:rsidRPr="00795F17">
        <w:t xml:space="preserve"> presja na elementy fizykochemiczne</w:t>
      </w:r>
    </w:p>
    <w:p w14:paraId="4A1826E2" w14:textId="037FCE74" w:rsidR="0029782B" w:rsidRPr="00795F17" w:rsidRDefault="0029782B" w:rsidP="0029782B">
      <w:pPr>
        <w:pStyle w:val="Tabela-wyjasnieniapod"/>
      </w:pPr>
      <w:r w:rsidRPr="00795F17">
        <w:rPr>
          <w:b/>
          <w:bCs/>
        </w:rPr>
        <w:t>CHEM</w:t>
      </w:r>
      <w:r w:rsidRPr="00795F17">
        <w:t xml:space="preserve"> </w:t>
      </w:r>
      <w:r w:rsidR="0091230B">
        <w:t>–</w:t>
      </w:r>
      <w:r w:rsidRPr="00795F17">
        <w:t xml:space="preserve"> presja na cechy chemiczne (woda, substancje dozwolone)</w:t>
      </w:r>
    </w:p>
    <w:p w14:paraId="1B989587" w14:textId="591FF129" w:rsidR="0029782B" w:rsidRPr="00795F17" w:rsidRDefault="0029782B" w:rsidP="0029782B">
      <w:pPr>
        <w:pStyle w:val="Tabela-wyjasnieniapod"/>
      </w:pPr>
      <w:r w:rsidRPr="00795F17">
        <w:rPr>
          <w:b/>
          <w:bCs/>
        </w:rPr>
        <w:t>CHEM_B</w:t>
      </w:r>
      <w:r w:rsidRPr="00795F17">
        <w:t xml:space="preserve"> </w:t>
      </w:r>
      <w:r w:rsidR="0091230B">
        <w:t>–</w:t>
      </w:r>
      <w:r w:rsidRPr="00795F17">
        <w:t xml:space="preserve"> presja na cechy chemiczne (biota, substancje dozwolone)</w:t>
      </w:r>
    </w:p>
    <w:p w14:paraId="587DAD5A" w14:textId="58C3C8E4" w:rsidR="0029782B" w:rsidRPr="00795F17" w:rsidRDefault="0029782B" w:rsidP="0029782B">
      <w:pPr>
        <w:pStyle w:val="Tabela-wyjasnieniapod"/>
      </w:pPr>
      <w:r w:rsidRPr="00795F17">
        <w:rPr>
          <w:b/>
          <w:bCs/>
        </w:rPr>
        <w:t xml:space="preserve">OCH </w:t>
      </w:r>
      <w:r w:rsidR="0091230B">
        <w:t>–</w:t>
      </w:r>
      <w:r w:rsidRPr="00795F17">
        <w:t xml:space="preserve"> presja na obszary chronione w rozumieniu pr.w.</w:t>
      </w:r>
    </w:p>
    <w:p w14:paraId="2DD175CA" w14:textId="7B01E588" w:rsidR="0029782B" w:rsidRPr="00795F17" w:rsidRDefault="00DF005E" w:rsidP="0029782B">
      <w:pPr>
        <w:pStyle w:val="Tabela-wyjasnieniapod"/>
      </w:pPr>
      <w:r>
        <w:rPr>
          <w:b/>
          <w:bCs/>
        </w:rPr>
        <w:t>JCWP</w:t>
      </w:r>
      <w:r w:rsidR="0029782B" w:rsidRPr="00795F17">
        <w:rPr>
          <w:b/>
          <w:bCs/>
        </w:rPr>
        <w:t xml:space="preserve"> zagrożone</w:t>
      </w:r>
      <w:r w:rsidR="0029782B" w:rsidRPr="00795F17">
        <w:t xml:space="preserve"> </w:t>
      </w:r>
      <w:r w:rsidR="0091230B">
        <w:t>–</w:t>
      </w:r>
      <w:r w:rsidR="0029782B" w:rsidRPr="00795F17">
        <w:t xml:space="preserve"> </w:t>
      </w:r>
      <w:r>
        <w:t>JCWP</w:t>
      </w:r>
      <w:r w:rsidR="0029782B" w:rsidRPr="00795F17">
        <w:t xml:space="preserve"> zagrożone nieosiągnięciem celów środowiskowych</w:t>
      </w:r>
    </w:p>
    <w:p w14:paraId="2B402E2C" w14:textId="3EAB8E44"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w:t>
      </w:r>
      <w:r w:rsidR="0091230B">
        <w:t>–</w:t>
      </w:r>
      <w:r w:rsidRPr="00795F17">
        <w:t xml:space="preserve"> </w:t>
      </w:r>
      <w:r w:rsidR="00DF005E">
        <w:t>JCWP</w:t>
      </w:r>
      <w:r w:rsidRPr="00795F17">
        <w:t xml:space="preserve"> (…) </w:t>
      </w:r>
      <w:r w:rsidR="0091230B">
        <w:t>–</w:t>
      </w:r>
      <w:r w:rsidRPr="00795F17">
        <w:t xml:space="preserve"> aktualizacja</w:t>
      </w:r>
    </w:p>
    <w:p w14:paraId="504FA7FB" w14:textId="571104FB" w:rsidR="000014C1" w:rsidRPr="00795F17" w:rsidRDefault="000014C1" w:rsidP="0044393D">
      <w:r w:rsidRPr="00795F17">
        <w:t xml:space="preserve">Wody przejściowe i przybrzeżne narażone są głównie na obszarowe presje ze źródeł rozproszonych oraz nieznanych, które pochodzą z powiązanych z nimi zlewni bezpośrednich i jednolitych części wód rzecznych skąd dopływają jednocześnie istotne ładunki zanieczyszczeń z obszaru dorzecza. Stan chemiczny w wodach przejściowych i przybrzeżnych jest zależny od występowania źródeł presji obecnych w innych częściach </w:t>
      </w:r>
      <w:r w:rsidR="00FB15D5" w:rsidRPr="00795F17">
        <w:t xml:space="preserve">obszaru </w:t>
      </w:r>
      <w:r w:rsidRPr="00795F17">
        <w:t>dorzecza Odry i najczęściej decydują o nim przekroczenia WWA, PFOS, rtęci i kadmu.</w:t>
      </w:r>
    </w:p>
    <w:p w14:paraId="70E5984C" w14:textId="52CC3FAE" w:rsidR="000014C1" w:rsidRPr="00795F17" w:rsidRDefault="000014C1" w:rsidP="0044393D">
      <w:r w:rsidRPr="00795F17">
        <w:t>Presje na elementy chemiczne, wyrażane wskaźnikami zanieczyszczenia metalami ciężkimi oraz</w:t>
      </w:r>
      <w:r w:rsidR="0005606D">
        <w:t> </w:t>
      </w:r>
      <w:r w:rsidRPr="00795F17">
        <w:t>związkami organicznymi, związane są głównie z substancjami pochodzącymi ze źródeł emisji, takich jak spalanie paliw kopalnych, a także procesy wytapiania rud w przemyśle hutniczym. W</w:t>
      </w:r>
      <w:r w:rsidR="0005606D">
        <w:t> </w:t>
      </w:r>
      <w:r w:rsidRPr="00795F17">
        <w:t>przypadku wód przejściowych i przybrzeżnych istotne ładunki tych zanieczyszczeń wprowadzane są z wodami rzek. Analogicznie, do wód morskich migrują rzekami trwałe związki organiczne będące substancjami aktywnymi albo pochodnymi substancji aktywnych różnego rodzaju.</w:t>
      </w:r>
    </w:p>
    <w:p w14:paraId="302E67C0" w14:textId="69FEAB77" w:rsidR="00AD1DA1" w:rsidRPr="00795F17" w:rsidRDefault="00AD1DA1" w:rsidP="0044393D">
      <w:r w:rsidRPr="00795F17">
        <w:t>Według Krajowego raportu z prac w ramach bilansu PLC-7 z października 2020 roku, realizowanego w</w:t>
      </w:r>
      <w:r w:rsidR="00463DD3" w:rsidRPr="00795F17">
        <w:t> </w:t>
      </w:r>
      <w:r w:rsidRPr="00795F17">
        <w:t>ramach pracy Opracowanie bilansu ładunków zanieczyszczeń odprowadzanych rzekami do Morza Bałtyckiego PLC</w:t>
      </w:r>
      <w:r w:rsidR="0091230B">
        <w:t>-</w:t>
      </w:r>
      <w:r w:rsidRPr="00795F17">
        <w:t>7</w:t>
      </w:r>
      <w:r w:rsidRPr="00795F17">
        <w:rPr>
          <w:color w:val="000000" w:themeColor="text1"/>
        </w:rPr>
        <w:t xml:space="preserve">, </w:t>
      </w:r>
      <w:r w:rsidRPr="00795F17">
        <w:rPr>
          <w:i/>
          <w:iCs/>
          <w:color w:val="000000" w:themeColor="text1"/>
        </w:rPr>
        <w:t>„r</w:t>
      </w:r>
      <w:r w:rsidRPr="00795F17">
        <w:rPr>
          <w:i/>
          <w:iCs/>
        </w:rPr>
        <w:t>olnictwo jest bezwzględnie dominującym źródłem biogenów docierających do</w:t>
      </w:r>
      <w:r w:rsidR="00463DD3" w:rsidRPr="00795F17">
        <w:rPr>
          <w:i/>
          <w:iCs/>
        </w:rPr>
        <w:t> </w:t>
      </w:r>
      <w:r w:rsidRPr="00795F17">
        <w:rPr>
          <w:i/>
          <w:iCs/>
        </w:rPr>
        <w:t>wód śródlądowych i do Bałtyku”</w:t>
      </w:r>
      <w:r w:rsidRPr="00795F17">
        <w:t>. Wyniki analizy statystycznej danych o ładunkach biogenów i</w:t>
      </w:r>
      <w:r w:rsidR="00463DD3" w:rsidRPr="00795F17">
        <w:t> </w:t>
      </w:r>
      <w:r w:rsidRPr="00795F17">
        <w:t>zużyciu nawozów wskazują na silny związek statystyczny pomiędzy ilością stosowanych nawozów a</w:t>
      </w:r>
      <w:r w:rsidR="00463DD3" w:rsidRPr="00795F17">
        <w:t> </w:t>
      </w:r>
      <w:r w:rsidRPr="00795F17">
        <w:t>ładunkami biogenów trafiających do wód, szczególnie w przypadku azotu. Każdemu wzrostowi zużycia nawozów odpowiada wzrost ładunków trafiających do morza. Wyniki raportu PLC-7 wskazują, iż:</w:t>
      </w:r>
    </w:p>
    <w:p w14:paraId="7F4EF980" w14:textId="5A3E384B" w:rsidR="00AD1DA1" w:rsidRPr="00795F17" w:rsidRDefault="00AD1DA1" w:rsidP="00117E86">
      <w:pPr>
        <w:pStyle w:val="Listapunktowana2"/>
      </w:pPr>
      <w:r w:rsidRPr="00795F17">
        <w:t>zdecydowanie dominującym i zyskującym na znaczeniu źródłem biogenów odprowadzanych z</w:t>
      </w:r>
      <w:r w:rsidR="007732BC" w:rsidRPr="00795F17">
        <w:t> </w:t>
      </w:r>
      <w:r w:rsidRPr="00795F17">
        <w:t>Polski do Bałtyku jest rolnictwo ze względu na wzrost produkcji rolniczej i wzrost jej</w:t>
      </w:r>
      <w:r w:rsidR="008721FF" w:rsidRPr="00795F17">
        <w:t> </w:t>
      </w:r>
      <w:r w:rsidRPr="00795F17">
        <w:t>intensywności</w:t>
      </w:r>
      <w:r w:rsidR="00481096" w:rsidRPr="00795F17">
        <w:t>;</w:t>
      </w:r>
    </w:p>
    <w:p w14:paraId="13C6B204" w14:textId="227A9F88" w:rsidR="00AD1DA1" w:rsidRPr="00795F17" w:rsidRDefault="00AD1DA1" w:rsidP="00117E86">
      <w:pPr>
        <w:pStyle w:val="Listapunktowana2"/>
      </w:pPr>
      <w:r w:rsidRPr="00795F17">
        <w:t xml:space="preserve">możliwości uzyskania dalszego postępu poprzez działania w gospodarce ściekowej kurczą się </w:t>
      </w:r>
      <w:r w:rsidR="001D643C">
        <w:t>–</w:t>
      </w:r>
      <w:r w:rsidRPr="00795F17">
        <w:t xml:space="preserve"> przyczyny tego zjawiska dopatrywać się można w spadku efektywności kosztowej dalszych inwestycji w przełożeniu na redukcję zanieczyszczeń</w:t>
      </w:r>
      <w:r w:rsidR="0041305E" w:rsidRPr="00795F17">
        <w:t>;</w:t>
      </w:r>
    </w:p>
    <w:p w14:paraId="48A80983" w14:textId="01E25C27" w:rsidR="00AD1DA1" w:rsidRPr="007F6FB8" w:rsidRDefault="00AD1DA1" w:rsidP="00117E86">
      <w:pPr>
        <w:pStyle w:val="Listapunktowana2"/>
      </w:pPr>
      <w:r w:rsidRPr="007F6FB8">
        <w:t>nie ma możliwości istotnej redukcji ładunków biogenów i zbliżenia się do progów wynikających z</w:t>
      </w:r>
      <w:r w:rsidR="007732BC" w:rsidRPr="007F6FB8">
        <w:t> </w:t>
      </w:r>
      <w:r w:rsidRPr="007F6FB8">
        <w:t xml:space="preserve">Planu Działań dla Morza Bałtyckiego HELCOM bez szeroko zakrojonych działań ograniczających ładunki zanieczyszczeń z rolnictwa. </w:t>
      </w:r>
    </w:p>
    <w:p w14:paraId="7181BA0F" w14:textId="77777777" w:rsidR="00AD1DA1" w:rsidRPr="00795F17" w:rsidRDefault="00AD1DA1" w:rsidP="0044393D">
      <w:r w:rsidRPr="00795F17">
        <w:t>Te konkluzje w równym stopniu dotyczą także wód śródlądowych, a problemy z osiągnięciem celów RDW w zakresie wskaźników eutrofizacji są niemożliwe do rozwiązania bez ograniczenia zanieczyszczeń z rolnictwa.</w:t>
      </w:r>
    </w:p>
    <w:p w14:paraId="18CBB8A1" w14:textId="2C7C268F" w:rsidR="00AD1DA1" w:rsidRPr="00795F17" w:rsidRDefault="00AD1DA1" w:rsidP="0044393D">
      <w:r w:rsidRPr="00795F17">
        <w:t xml:space="preserve">Nową informacją o presjach wywieranych na środowisko </w:t>
      </w:r>
      <w:r w:rsidR="00DF005E">
        <w:t>JCWP</w:t>
      </w:r>
      <w:r w:rsidRPr="00795F17">
        <w:t xml:space="preserve"> TW i CW jest ocena stanu elementów hydromorfologicznych przedstawiona w ocenie GIOŚ z 2020 roku. Ocena ta została zawarta w</w:t>
      </w:r>
      <w:r w:rsidR="00463DD3" w:rsidRPr="00795F17">
        <w:t> </w:t>
      </w:r>
      <w:r w:rsidRPr="00795F17">
        <w:t xml:space="preserve">załączniku do </w:t>
      </w:r>
      <w:r w:rsidRPr="00795F17">
        <w:rPr>
          <w:i/>
        </w:rPr>
        <w:t>Syntetycznego raportu z klasyfikacji i oceny stanu jednolitych części wód powierzchniowych wykonanej za 2019 rok na podstawie danych z lat 2014</w:t>
      </w:r>
      <w:r w:rsidR="0091230B">
        <w:rPr>
          <w:i/>
        </w:rPr>
        <w:t>–</w:t>
      </w:r>
      <w:r w:rsidRPr="00795F17">
        <w:rPr>
          <w:i/>
        </w:rPr>
        <w:t>2019</w:t>
      </w:r>
      <w:r w:rsidRPr="00795F17">
        <w:t xml:space="preserve">. </w:t>
      </w:r>
    </w:p>
    <w:p w14:paraId="5A76B09C" w14:textId="78BA05B4" w:rsidR="00AD1DA1" w:rsidRPr="00795F17" w:rsidRDefault="000325F1" w:rsidP="0044393D">
      <w:r w:rsidRPr="00795F17">
        <w:t xml:space="preserve">W porównaniu od wcześniejszej oceny w przypadku </w:t>
      </w:r>
      <w:r w:rsidR="00DF005E">
        <w:t>JCWP</w:t>
      </w:r>
      <w:r w:rsidRPr="00795F17">
        <w:t>: CW60001WB4 Wody przybrzeżne Zatoki Pomorskiej oraz TW60001WB2 Zalew Szczeciński nastąpiła zmiana klasy na gorszą niż dobra. W</w:t>
      </w:r>
      <w:r w:rsidR="00463DD3" w:rsidRPr="00795F17">
        <w:t> </w:t>
      </w:r>
      <w:r w:rsidRPr="00795F17">
        <w:t>przypadku CW60001WB3 Polskie wody przybrzeżne Basenu Bornholmskiego nastąpiła zmiana klasy z bardzo dobrej na dobrą. Prawdopodobną przyczyną tej zmiany było zastosowanie zmodyfikowanej metodyki oceny (</w:t>
      </w:r>
      <w:hyperlink r:id="rId73">
        <w:r w:rsidRPr="00795F17">
          <w:t>metodyka_hydromorfologia_2018.pdf (gios.gov.pl</w:t>
        </w:r>
        <w:r w:rsidR="00320C1D">
          <w:t>)</w:t>
        </w:r>
        <w:r w:rsidRPr="00795F17">
          <w:t>)</w:t>
        </w:r>
      </w:hyperlink>
      <w:r w:rsidRPr="00795F17">
        <w:t xml:space="preserve">, zgodnie z projektem pilotażowym </w:t>
      </w:r>
      <w:r w:rsidRPr="00795F17">
        <w:rPr>
          <w:i/>
          <w:iCs/>
        </w:rPr>
        <w:t>Przeprowadzenie programu pilotowego monitoringu warunków hydrograficznych tj.</w:t>
      </w:r>
      <w:r w:rsidR="00463DD3" w:rsidRPr="00795F17">
        <w:rPr>
          <w:i/>
          <w:iCs/>
        </w:rPr>
        <w:t> </w:t>
      </w:r>
      <w:r w:rsidRPr="00795F17">
        <w:rPr>
          <w:i/>
          <w:iCs/>
        </w:rPr>
        <w:t>cechy 7 w polskiej wyłącznej strefie ekonomicznej w latach 2015</w:t>
      </w:r>
      <w:r w:rsidR="0091230B">
        <w:rPr>
          <w:i/>
          <w:iCs/>
        </w:rPr>
        <w:t>–</w:t>
      </w:r>
      <w:r w:rsidRPr="00795F17">
        <w:rPr>
          <w:i/>
          <w:iCs/>
        </w:rPr>
        <w:t>2017</w:t>
      </w:r>
      <w:r w:rsidR="0091230B">
        <w:t>.</w:t>
      </w:r>
    </w:p>
    <w:p w14:paraId="16622C63" w14:textId="41D6E0F8" w:rsidR="00AD1DA1" w:rsidRPr="00795F17" w:rsidRDefault="00AD1DA1" w:rsidP="0044393D">
      <w:bookmarkStart w:id="354" w:name="_Hlk67301793"/>
      <w:r w:rsidRPr="00795F17">
        <w:t xml:space="preserve">Podsumowanie presji znaczących zidentyfikowanych w poszczególnych </w:t>
      </w:r>
      <w:r w:rsidR="00DF005E">
        <w:t>JCWP</w:t>
      </w:r>
      <w:r w:rsidRPr="00795F17">
        <w:t xml:space="preserve"> TW i CW obszaru dorzecza </w:t>
      </w:r>
      <w:r w:rsidR="00104ABD" w:rsidRPr="00795F17">
        <w:t>Odry</w:t>
      </w:r>
      <w:r w:rsidRPr="00795F17">
        <w:t xml:space="preserve"> przedstawiono poniżej w ujęciu opisowym. </w:t>
      </w:r>
    </w:p>
    <w:bookmarkEnd w:id="354"/>
    <w:p w14:paraId="4F4D9207" w14:textId="5670BAFE" w:rsidR="00AD1DA1" w:rsidRPr="00795F17" w:rsidRDefault="00AD1DA1" w:rsidP="0044393D">
      <w:r w:rsidRPr="00795F17">
        <w:t>Informacja dotycząca presji znaczących oraz oceny ryzyka nieosiągnięcia celów środowiskowych dla</w:t>
      </w:r>
      <w:r w:rsidR="00DF219C">
        <w:t> </w:t>
      </w:r>
      <w:r w:rsidRPr="00795F17">
        <w:t xml:space="preserve">poszczególnych </w:t>
      </w:r>
      <w:r w:rsidR="00DF005E">
        <w:t>JCWP</w:t>
      </w:r>
      <w:r w:rsidRPr="00795F17">
        <w:t xml:space="preserve"> TW i CW zawarta jest w załączniku nr 1 (Zestawienie główne). Zobrazowanie przestrzenne </w:t>
      </w:r>
      <w:r w:rsidR="00DF005E">
        <w:t>JCWP</w:t>
      </w:r>
      <w:r w:rsidRPr="00795F17">
        <w:t xml:space="preserve"> TW i CW z oceną ryzyka nieosiągnięcia celów środowiskowych </w:t>
      </w:r>
      <w:r w:rsidR="00064AE0">
        <w:t>prezentuje załącznik</w:t>
      </w:r>
      <w:r w:rsidRPr="00795F17">
        <w:t xml:space="preserve"> graficzny nr </w:t>
      </w:r>
      <w:r w:rsidR="001B126B">
        <w:t>45</w:t>
      </w:r>
      <w:r w:rsidRPr="00795F17">
        <w:t>.</w:t>
      </w:r>
    </w:p>
    <w:p w14:paraId="7D55CE85" w14:textId="77777777" w:rsidR="0093137F" w:rsidRPr="00795F17" w:rsidRDefault="0093137F" w:rsidP="0044393D">
      <w:pPr>
        <w:pStyle w:val="Nagwek6"/>
      </w:pPr>
      <w:r w:rsidRPr="00795F17">
        <w:t>Polskie wody przybrzeżne Basenu Bornholmskiego CW60001WB3</w:t>
      </w:r>
    </w:p>
    <w:p w14:paraId="5FE0C5A4" w14:textId="67DE44B0" w:rsidR="0093137F" w:rsidRPr="00795F17" w:rsidRDefault="0093137F" w:rsidP="0044393D">
      <w:r w:rsidRPr="00795F17">
        <w:t xml:space="preserve">Dla </w:t>
      </w:r>
      <w:r w:rsidR="00DF005E">
        <w:t>JCWP</w:t>
      </w:r>
      <w:r w:rsidRPr="00795F17">
        <w:t xml:space="preserve"> wody przybrzeżne Basenu Bornholmskiego CW60001WB3 stwierdzono brak presji hydromorfologicznej, a presję na elementy biologiczne oceniono jako znacząco silną. Presja znacząco umiarkowana oddziałuje na elementy fizykochemiczne (więcej niż 4 elementy występują w klasie &gt;2, a ich wielkość przekroczenia wynosi więcej niż 50% wartości granicznej). </w:t>
      </w:r>
    </w:p>
    <w:p w14:paraId="4D0B1233" w14:textId="32743975" w:rsidR="0093137F" w:rsidRPr="00795F17" w:rsidRDefault="0093137F" w:rsidP="0044393D">
      <w:r w:rsidRPr="00795F17">
        <w:t xml:space="preserve">W analizowanej </w:t>
      </w:r>
      <w:r w:rsidR="00DF005E">
        <w:t>JCWP</w:t>
      </w:r>
      <w:r w:rsidRPr="00795F17">
        <w:t xml:space="preserve"> nie zidentyfikowano substancji zakazanych. Ocena presji na stan chemiczny wód związany z występowaniem substancji dozwolonych, których produkcja i stosowanie są dopuszczalne określona została jako znacząca umiarkowana (maks. 4 elementy pochodzą z klasy &gt;2, a wielkość ich</w:t>
      </w:r>
      <w:r w:rsidR="008721FF" w:rsidRPr="00795F17">
        <w:t> </w:t>
      </w:r>
      <w:r w:rsidRPr="00795F17">
        <w:t>przekroczenia jest mniejsza bądź równa 50% wartości granicznej). W zlewni występują substancje dozwolone, których stężenie przekracza środowiskowe normy jakości, są to: bromowane difenyloetery, rtęć, heptachlor. Presja na stan chemiczny jest znacząco silna z uwagi na występowanie bioty substancji zakazanych i dozwolonych.</w:t>
      </w:r>
    </w:p>
    <w:p w14:paraId="3CC5FE67" w14:textId="77777777" w:rsidR="0093137F" w:rsidRPr="00795F17" w:rsidRDefault="0093137F" w:rsidP="0044393D">
      <w:r w:rsidRPr="00795F17">
        <w:t>Wskaźnikami presji mającej decydujące źródło poza badaną zlewnią (&gt;80%) i nieznaczące w badanej (≤20%) są: azot ogólny, fosfor ogólny, OWO, chrom, miedź. W analizowanej zlewni nie zidentyfikowano głównych źródeł ich pochodzenia.</w:t>
      </w:r>
    </w:p>
    <w:p w14:paraId="12BD8106" w14:textId="77777777" w:rsidR="0093137F" w:rsidRPr="00795F17" w:rsidRDefault="0093137F" w:rsidP="0044393D">
      <w:pPr>
        <w:pStyle w:val="Nagwek6"/>
      </w:pPr>
      <w:r w:rsidRPr="00795F17">
        <w:t>Wody przybrzeżne Zatoki Pomorskiej CW60001WB4</w:t>
      </w:r>
    </w:p>
    <w:p w14:paraId="0B0B8139" w14:textId="6986E254" w:rsidR="0093137F" w:rsidRPr="00795F17" w:rsidRDefault="0093137F" w:rsidP="0044393D">
      <w:r w:rsidRPr="00795F17">
        <w:t xml:space="preserve">Dla </w:t>
      </w:r>
      <w:r w:rsidR="00DF005E">
        <w:t>JCWP</w:t>
      </w:r>
      <w:r w:rsidRPr="00795F17">
        <w:t xml:space="preserve"> wody przybrzeżne Zatoki Pomorskiej CW60001WB4 stwierdzono brak presji hydromorfologicznej, a presję na elementy biologiczne oceniono jako znacząco umiarkowaną. Presja znacząca silna oddziałuje na elementy fizykochemiczne (maks. 2 elementy występują w klasie &gt;2, a</w:t>
      </w:r>
      <w:r w:rsidR="00F808F6">
        <w:t> </w:t>
      </w:r>
      <w:r w:rsidRPr="00795F17">
        <w:t>ich</w:t>
      </w:r>
      <w:r w:rsidR="00F808F6">
        <w:t> </w:t>
      </w:r>
      <w:r w:rsidRPr="00795F17">
        <w:t xml:space="preserve">wielkość przekroczenia wynosi więcej niż 100% wartości granicznej). </w:t>
      </w:r>
    </w:p>
    <w:p w14:paraId="53692A78" w14:textId="4BD5A766" w:rsidR="0093137F" w:rsidRPr="00795F17" w:rsidRDefault="0093137F" w:rsidP="0044393D">
      <w:r w:rsidRPr="00795F17">
        <w:t xml:space="preserve">W </w:t>
      </w:r>
      <w:r w:rsidR="00DF005E">
        <w:t>JCWP</w:t>
      </w:r>
      <w:r w:rsidRPr="00795F17">
        <w:t xml:space="preserve"> nie występują substancje zakazane, a presja substancji dozwolonych, których produkcja i</w:t>
      </w:r>
      <w:r w:rsidR="009D4C75" w:rsidRPr="00795F17">
        <w:t> </w:t>
      </w:r>
      <w:r w:rsidRPr="00795F17">
        <w:t xml:space="preserve">stosowanie są dopuszczalne jest znacząco silna. W zlewni występują substancje dozwolone, których stężenie przekracza środowiskowe normy jakości, są to: bromowane difenyloetery, fluoranten, rtęć, heptachlor. Presja na stan chemiczny jest znacząco silna z uwagi na występowanie bioty substancji zakazanych i dozwolonych. </w:t>
      </w:r>
    </w:p>
    <w:p w14:paraId="048F115E" w14:textId="0A5CB28C" w:rsidR="0093137F" w:rsidRPr="00795F17" w:rsidRDefault="0093137F" w:rsidP="0044393D">
      <w:r w:rsidRPr="00795F17">
        <w:t>Wskaźnikami presji mającej decydujące źródło poza badaną zlewnią (&gt;80%) i nieznaczące w badanej (≤20%) są: azot ogólny, fosfor ogólny, chrom, miedź, cynk; źródła ich pochodzenia nie zidentyfikowano. Wskaźnik presji BZT</w:t>
      </w:r>
      <w:r w:rsidRPr="00795F17">
        <w:rPr>
          <w:vertAlign w:val="subscript"/>
        </w:rPr>
        <w:t>5</w:t>
      </w:r>
      <w:r w:rsidRPr="00795F17">
        <w:t xml:space="preserve"> pochodzi ze źródeł presji obszarowej przeważającej (60</w:t>
      </w:r>
      <w:r w:rsidR="00E52C92">
        <w:t xml:space="preserve"> </w:t>
      </w:r>
      <w:r w:rsidRPr="00795F17">
        <w:t>-</w:t>
      </w:r>
      <w:r w:rsidR="00E52C92">
        <w:t xml:space="preserve"> </w:t>
      </w:r>
      <w:r w:rsidRPr="00795F17">
        <w:t>80%) i towarzyszącej ze</w:t>
      </w:r>
      <w:r w:rsidR="009D4C75" w:rsidRPr="00795F17">
        <w:t> </w:t>
      </w:r>
      <w:r w:rsidRPr="00795F17">
        <w:t>źródeł punktowych (20</w:t>
      </w:r>
      <w:r w:rsidR="00E52C92">
        <w:t xml:space="preserve"> </w:t>
      </w:r>
      <w:r w:rsidRPr="00795F17">
        <w:t>-</w:t>
      </w:r>
      <w:r w:rsidR="00E52C92">
        <w:t xml:space="preserve"> </w:t>
      </w:r>
      <w:r w:rsidRPr="00795F17">
        <w:t>40%). Źródłem presji obszarowej są odpływy miejskie oraz rolnictwo (nawożenie i depozycja atmosferyczna). Źródłem presji punktowej są zrzuty ścieków przemysłowych oraz ścieków komunalnych/bytowych.</w:t>
      </w:r>
    </w:p>
    <w:p w14:paraId="7F99F978" w14:textId="77777777" w:rsidR="0093137F" w:rsidRPr="00795F17" w:rsidRDefault="0093137F" w:rsidP="0044393D">
      <w:pPr>
        <w:pStyle w:val="Nagwek6"/>
      </w:pPr>
      <w:r w:rsidRPr="00795F17">
        <w:t>Zalew Szczeciński TW60001WB2</w:t>
      </w:r>
    </w:p>
    <w:p w14:paraId="510464E2" w14:textId="7F9BB196" w:rsidR="0093137F" w:rsidRPr="00795F17" w:rsidRDefault="0093137F" w:rsidP="0044393D">
      <w:r w:rsidRPr="00795F17">
        <w:t xml:space="preserve">Dla </w:t>
      </w:r>
      <w:r w:rsidR="00DF005E">
        <w:t>JCWP</w:t>
      </w:r>
      <w:r w:rsidRPr="00795F17">
        <w:t xml:space="preserve"> przejściowej Zalew Szczeciński TW60001WB2 stwierdzono znaczącą umiarkowaną presję hydromorfologiczną. Presję na elementy biologiczne oceniono jako znacząco umiarkowaną. Presja znacząca silna oddziałuje na elementy fizykochemiczne (maks. 2 elementy występują w klasie &gt;2, a</w:t>
      </w:r>
      <w:r w:rsidR="00111C47">
        <w:t> </w:t>
      </w:r>
      <w:r w:rsidRPr="00795F17">
        <w:t>ich</w:t>
      </w:r>
      <w:r w:rsidR="00111C47">
        <w:t> </w:t>
      </w:r>
      <w:r w:rsidRPr="00795F17">
        <w:t xml:space="preserve">wielkość przekroczenia wynosi więcej niż 100% wartości granicznej). </w:t>
      </w:r>
    </w:p>
    <w:p w14:paraId="309F0858" w14:textId="6D458715" w:rsidR="0093137F" w:rsidRPr="00795F17" w:rsidRDefault="0093137F" w:rsidP="0044393D">
      <w:r w:rsidRPr="00795F17">
        <w:t xml:space="preserve">W </w:t>
      </w:r>
      <w:r w:rsidR="00DF005E">
        <w:t>JCWP</w:t>
      </w:r>
      <w:r w:rsidRPr="00795F17">
        <w:t xml:space="preserve"> nie występują substancje zakazane, a presja substancji dozwolonych, których produkcja i</w:t>
      </w:r>
      <w:r w:rsidR="009D4C75" w:rsidRPr="00795F17">
        <w:t> </w:t>
      </w:r>
      <w:r w:rsidRPr="00795F17">
        <w:t>stosowanie są dopuszczalne jest znacząco silna. W zlewni występują substancje dozwolone, których stężenie przekracza środowiskowe normy jakości, są to: bromowane difenyloetery, rtęć, heptachlor. Presja na stan chemiczny jest znacząco umiarkowana z uwagi na występowanie w biota substancji zakazanych i dozwolonych.</w:t>
      </w:r>
    </w:p>
    <w:p w14:paraId="600FF46E" w14:textId="2A663F9E" w:rsidR="0093137F" w:rsidRPr="00795F17" w:rsidRDefault="0093137F" w:rsidP="0044393D">
      <w:r w:rsidRPr="00795F17">
        <w:t>Wskaźnikami presji mającej decydujące źródło poza badaną zlewnią (&gt;80%) i nieznaczące w badanej (≤20%) są: azot ogólny, fosfor ogólny, OWO, BZT</w:t>
      </w:r>
      <w:r w:rsidRPr="00795F17">
        <w:rPr>
          <w:vertAlign w:val="subscript"/>
        </w:rPr>
        <w:t>5</w:t>
      </w:r>
      <w:r w:rsidRPr="00795F17">
        <w:t xml:space="preserve">, chrom, miedź, cynk. Źródłem ich pochodzenia jest zrzut ścieków komunalnych. Presją mająca decydujące źródło w badanej </w:t>
      </w:r>
      <w:r w:rsidR="00DF005E">
        <w:t>JCWP</w:t>
      </w:r>
      <w:r w:rsidRPr="00795F17">
        <w:t xml:space="preserve"> (udział presji &gt;80%) i</w:t>
      </w:r>
      <w:r w:rsidR="009D4C75" w:rsidRPr="00795F17">
        <w:t> </w:t>
      </w:r>
      <w:r w:rsidRPr="00795F17">
        <w:t>nieznaczące lub mało znaczące źródło poza badaną JCW (≤20%) jest arsen i chrom (VI). Źródłem ich</w:t>
      </w:r>
      <w:r w:rsidR="009D4C75" w:rsidRPr="00795F17">
        <w:t> </w:t>
      </w:r>
      <w:r w:rsidRPr="00795F17">
        <w:t xml:space="preserve">pochodzenia jest zrzut ścieków komunalnych. </w:t>
      </w:r>
    </w:p>
    <w:p w14:paraId="5F20FF58" w14:textId="77777777" w:rsidR="0093137F" w:rsidRPr="00795F17" w:rsidRDefault="0093137F" w:rsidP="0044393D">
      <w:pPr>
        <w:pStyle w:val="Nagwek6"/>
      </w:pPr>
      <w:r w:rsidRPr="00795F17">
        <w:t>Zalew Kamieński TW60001WB3</w:t>
      </w:r>
    </w:p>
    <w:p w14:paraId="0FF0B594" w14:textId="4B2765C7" w:rsidR="0093137F" w:rsidRPr="00795F17" w:rsidRDefault="0093137F" w:rsidP="0044393D">
      <w:r w:rsidRPr="00795F17">
        <w:t xml:space="preserve">Dla </w:t>
      </w:r>
      <w:r w:rsidR="00DF005E">
        <w:t>JCWP</w:t>
      </w:r>
      <w:r w:rsidRPr="00795F17">
        <w:t xml:space="preserve"> przejściowej Zalew Kamieński TW60001WB3 stwierdzono brak presji hydromorfologicznej, a presję na elementy biologiczne oceniono jako znacząco umiarkowaną. Presja znacząca silna oddziałuje na elementy fizykochemiczne (maks. 2 elementy występują w klasie &gt;2, a ich wielkość przekroczenia wynosi więcej niż 100% wartości granicznej). W </w:t>
      </w:r>
      <w:r w:rsidR="00DF005E">
        <w:t>JCWP</w:t>
      </w:r>
      <w:r w:rsidRPr="00795F17">
        <w:t xml:space="preserve"> nie zidentyfikowano substancji zakazanych, a presja substancji dozwolonych, których produkcja i stosowanie są dopuszczalne jest nieznacząca. W zlewni występują substancje dozwolone, których stężenie przekracza środowiskowe normy jakości, są to: bromowane difenyloetery, rtęć, heptachlor. Presja na stan chemiczny jest znacząco umiarkowana z uwagi na występowanie bioty substancji dozwolonych. Natomiast presja na</w:t>
      </w:r>
      <w:r w:rsidR="009D4C75" w:rsidRPr="00795F17">
        <w:t> </w:t>
      </w:r>
      <w:r w:rsidRPr="00795F17">
        <w:t>stan chemiczny, wyrażona obecnością substancji zakazanych określona została jako znacząco silna.</w:t>
      </w:r>
    </w:p>
    <w:p w14:paraId="26837EF1" w14:textId="65085068" w:rsidR="00AD1DA1" w:rsidRPr="00795F17" w:rsidRDefault="0093137F" w:rsidP="0044393D">
      <w:r w:rsidRPr="00795F17">
        <w:t>Wskaźnikami presji mającej decydujące źródło poza badaną zlewnią (&gt;80%) i nieznaczące w badanej (≤20%) są: azot ogólny, fosfor ogólny, chrom, miedź, cynk; źródła ich pochodzenia nie zidentyfikowano. Wskaźnik presji BZT</w:t>
      </w:r>
      <w:r w:rsidRPr="00795F17">
        <w:rPr>
          <w:vertAlign w:val="subscript"/>
        </w:rPr>
        <w:t>5</w:t>
      </w:r>
      <w:r w:rsidRPr="00795F17">
        <w:t xml:space="preserve"> jest wskaźnikiem presji obszarowej przeważającej (60</w:t>
      </w:r>
      <w:r w:rsidR="00C8712D">
        <w:t xml:space="preserve"> </w:t>
      </w:r>
      <w:r w:rsidRPr="00795F17">
        <w:t>-</w:t>
      </w:r>
      <w:r w:rsidR="00C8712D">
        <w:t xml:space="preserve"> </w:t>
      </w:r>
      <w:r w:rsidRPr="00795F17">
        <w:t>80%) i towarzyszącej ze</w:t>
      </w:r>
      <w:r w:rsidR="009D4C75" w:rsidRPr="00795F17">
        <w:t> </w:t>
      </w:r>
      <w:r w:rsidRPr="00795F17">
        <w:t>źródeł punktowych (20</w:t>
      </w:r>
      <w:r w:rsidR="00C8712D">
        <w:t xml:space="preserve"> </w:t>
      </w:r>
      <w:r w:rsidRPr="00795F17">
        <w:t>-</w:t>
      </w:r>
      <w:r w:rsidR="00C8712D">
        <w:t xml:space="preserve"> </w:t>
      </w:r>
      <w:r w:rsidRPr="00795F17">
        <w:t>40%) oraz presji punktowej pochodzące</w:t>
      </w:r>
      <w:r w:rsidR="00C34689" w:rsidRPr="00795F17">
        <w:t>j</w:t>
      </w:r>
      <w:r w:rsidRPr="00795F17">
        <w:t xml:space="preserve"> </w:t>
      </w:r>
      <w:r w:rsidR="00C34689" w:rsidRPr="00795F17">
        <w:t>ze zrzutu</w:t>
      </w:r>
      <w:r w:rsidRPr="00795F17">
        <w:t xml:space="preserve"> ścieków bytowych i</w:t>
      </w:r>
      <w:r w:rsidR="009D4C75" w:rsidRPr="00795F17">
        <w:t> </w:t>
      </w:r>
      <w:r w:rsidRPr="00795F17">
        <w:t>komunalnych. Źródłem presji obszarowej są odpływy miejskie oraz rolnictwo (nawożenie i depozycja atmosferyczna).</w:t>
      </w:r>
    </w:p>
    <w:p w14:paraId="1107B735" w14:textId="77777777" w:rsidR="00AD1DA1" w:rsidRPr="00795F17" w:rsidRDefault="00AD1DA1" w:rsidP="00C53C86">
      <w:pPr>
        <w:pStyle w:val="Nagwek2"/>
      </w:pPr>
      <w:bookmarkStart w:id="355" w:name="_Toc66286085"/>
      <w:bookmarkStart w:id="356" w:name="_Toc66347801"/>
      <w:bookmarkStart w:id="357" w:name="_Toc105512651"/>
      <w:bookmarkStart w:id="358" w:name="_Hlk54212886"/>
      <w:r w:rsidRPr="00795F17">
        <w:t>Wody podziemne</w:t>
      </w:r>
      <w:bookmarkEnd w:id="355"/>
      <w:bookmarkEnd w:id="356"/>
      <w:bookmarkEnd w:id="357"/>
    </w:p>
    <w:p w14:paraId="29C78110" w14:textId="18144DF5" w:rsidR="00392A8A" w:rsidRPr="00795F17" w:rsidRDefault="00392A8A" w:rsidP="0044393D">
      <w:bookmarkStart w:id="359" w:name="_Toc1652551"/>
      <w:bookmarkStart w:id="360" w:name="_Toc66288194"/>
      <w:bookmarkEnd w:id="358"/>
      <w:r w:rsidRPr="00795F17">
        <w:t xml:space="preserve">Dla wszystkich 174 </w:t>
      </w:r>
      <w:r w:rsidR="00DF005E">
        <w:t>JCWP</w:t>
      </w:r>
      <w:r w:rsidRPr="00795F17">
        <w:t>d w Polsce opracowano tzw. wstępne charakterystyki, mające na celu ocenę ryzyka nie</w:t>
      </w:r>
      <w:r w:rsidR="0064673B" w:rsidRPr="00795F17">
        <w:t>osiągnięcia</w:t>
      </w:r>
      <w:r w:rsidRPr="00795F17">
        <w:t xml:space="preserve"> celów środowiskowych ustalonych dla każdej części wód podziemnych na mocy art. 4 RDW. </w:t>
      </w:r>
      <w:r w:rsidR="00F02325">
        <w:t>Na</w:t>
      </w:r>
      <w:r w:rsidRPr="00795F17">
        <w:t xml:space="preserve"> </w:t>
      </w:r>
      <w:r w:rsidR="00FB15D5" w:rsidRPr="00795F17">
        <w:t xml:space="preserve">obszarze </w:t>
      </w:r>
      <w:r w:rsidRPr="00795F17">
        <w:t>dorzecz</w:t>
      </w:r>
      <w:r w:rsidR="00FB15D5" w:rsidRPr="00795F17">
        <w:t>a</w:t>
      </w:r>
      <w:r w:rsidRPr="00795F17">
        <w:t xml:space="preserve"> Odry przeanalizowano 66 </w:t>
      </w:r>
      <w:r w:rsidR="00DF005E">
        <w:t>JCWP</w:t>
      </w:r>
      <w:r w:rsidRPr="00795F17">
        <w:t>d. Do analizy wykorzystano zgodnie z</w:t>
      </w:r>
      <w:r w:rsidR="009D4C75" w:rsidRPr="00795F17">
        <w:t> </w:t>
      </w:r>
      <w:r w:rsidR="00822DC2" w:rsidRPr="00795F17">
        <w:t>z</w:t>
      </w:r>
      <w:r w:rsidRPr="00795F17">
        <w:t xml:space="preserve">ałącznikiem II.2 RDW, określającym sposób opracowania wstępnych i dalszych charakterystyk </w:t>
      </w:r>
      <w:r w:rsidR="00DF005E">
        <w:t>JCWP</w:t>
      </w:r>
      <w:r w:rsidRPr="00795F17">
        <w:t>d, istniejące dane z zakresu hydrogeologii, hydrologii, geologii, pedologii, przeznaczenia gruntów w</w:t>
      </w:r>
      <w:r w:rsidR="0028619B" w:rsidRPr="00795F17">
        <w:t> </w:t>
      </w:r>
      <w:r w:rsidRPr="00795F17">
        <w:t xml:space="preserve">zlewni, wielkości zasobów i wykorzystania wód podziemnych oraz innych niezbędnych danych. </w:t>
      </w:r>
    </w:p>
    <w:p w14:paraId="1AA60C11" w14:textId="66E6CB87" w:rsidR="00392A8A" w:rsidRDefault="00392A8A" w:rsidP="0044393D">
      <w:r w:rsidRPr="00795F17">
        <w:rPr>
          <w:bCs/>
        </w:rPr>
        <w:t xml:space="preserve">Podstawą wyznaczenia </w:t>
      </w:r>
      <w:r w:rsidR="00DF005E">
        <w:rPr>
          <w:bCs/>
        </w:rPr>
        <w:t>JCWP</w:t>
      </w:r>
      <w:r w:rsidRPr="00795F17">
        <w:rPr>
          <w:bCs/>
        </w:rPr>
        <w:t>d zagrożonych nieosiągn</w:t>
      </w:r>
      <w:r w:rsidRPr="00795F17">
        <w:t>ięciem celów środowiskowych był przegląd presji na wody podziemne (omówiono w r</w:t>
      </w:r>
      <w:r w:rsidR="00167A63" w:rsidRPr="00795F17">
        <w:t>ozdziale</w:t>
      </w:r>
      <w:r w:rsidRPr="00795F17">
        <w:t xml:space="preserve"> 7.2.1), a następnie analiza skutków środowiskowych wywołanych oddziaływaniami antropogenicznymi</w:t>
      </w:r>
      <w:r w:rsidRPr="00795F17">
        <w:rPr>
          <w:rFonts w:ascii="TimesNewRoman" w:eastAsia="TimesNewRoman" w:cs="TimesNewRoman"/>
        </w:rPr>
        <w:t xml:space="preserve"> </w:t>
      </w:r>
      <w:r w:rsidRPr="00795F17">
        <w:t>na układ kr</w:t>
      </w:r>
      <w:r w:rsidRPr="00795F17">
        <w:rPr>
          <w:rFonts w:ascii="TimesNewRoman" w:eastAsia="TimesNewRoman" w:cs="TimesNewRoman" w:hint="eastAsia"/>
        </w:rPr>
        <w:t>ą</w:t>
      </w:r>
      <w:r w:rsidRPr="00795F17">
        <w:rPr>
          <w:rFonts w:ascii="TimesNewRoman" w:eastAsia="TimesNewRoman" w:cs="TimesNewRoman"/>
        </w:rPr>
        <w:t>ż</w:t>
      </w:r>
      <w:r w:rsidRPr="00795F17">
        <w:t xml:space="preserve">enia wód podziemnych oraz ich stan chemiczny zarówno w skali regionalnej, jak również w obrębie poszczególnych </w:t>
      </w:r>
      <w:r w:rsidR="00DF005E">
        <w:t>JCWP</w:t>
      </w:r>
      <w:r w:rsidRPr="00795F17">
        <w:t xml:space="preserve">d. W analizie uwzględnione były warunki hydrogeologiczne oraz analiza trendów zmian wartości wskaźników jakości wód podziemnych w obrębie poszczególnych jednolitych części wód podziemnych. </w:t>
      </w:r>
    </w:p>
    <w:p w14:paraId="0EFADAEF" w14:textId="77777777" w:rsidR="00787DEE" w:rsidRPr="00787DEE" w:rsidRDefault="00787DEE" w:rsidP="00787DEE">
      <w:r w:rsidRPr="00787DEE">
        <w:t xml:space="preserve">Elementem wpływającym na wyniki oceny stanu chemicznego wód podziemnych był przede wszystkim sposób użytkowania terenu i rozmieszczenie źródeł zanieczyszczeń. Zagrożenie wód podziemnych zanieczyszczeniami pochodzenia antropogenicznego zależy między innymi od głębokości występowania warstw wodonośnych czy też stopnia izolacji od powierzchni terenu przez utwory słabo przepuszczalne. Na podstawie przeprowadzonych analiz stwierdzono, że w największym stopniu zagrożone są wody podziemne, których zwierciadło występuje na głębokości mniejszej niż 5 m, znajdujące się w obrębie aglomeracji miejsko-przemysłowych (aglomeracja wrocławska, szczecińska). </w:t>
      </w:r>
    </w:p>
    <w:p w14:paraId="48ADBDB8" w14:textId="77777777" w:rsidR="00787DEE" w:rsidRPr="00787DEE" w:rsidRDefault="00787DEE" w:rsidP="00787DEE">
      <w:r w:rsidRPr="00787DEE">
        <w:t>Natomiast przyczyną słabego stanu ilościowego była przede wszystkim intensywna działalność górnicza.</w:t>
      </w:r>
    </w:p>
    <w:p w14:paraId="6F29AE88" w14:textId="6A04EFDC" w:rsidR="00392A8A" w:rsidRPr="00795F17" w:rsidRDefault="00392A8A" w:rsidP="0044393D">
      <w:pPr>
        <w:rPr>
          <w:rFonts w:eastAsiaTheme="majorEastAsia"/>
          <w:bCs/>
        </w:rPr>
      </w:pPr>
      <w:r w:rsidRPr="00795F17">
        <w:rPr>
          <w:rFonts w:eastAsiaTheme="majorEastAsia"/>
          <w:bCs/>
        </w:rPr>
        <w:t xml:space="preserve">Końcowym etapem przeprowadzonych analiz presji było zestawienie </w:t>
      </w:r>
      <w:r w:rsidRPr="00795F17">
        <w:t xml:space="preserve">otrzymanych wyników. Następnie, z uwzględnieniem wyników przeprowadzonej oceny stanu </w:t>
      </w:r>
      <w:r w:rsidR="00DF005E">
        <w:t>JCWP</w:t>
      </w:r>
      <w:r w:rsidRPr="00795F17">
        <w:t xml:space="preserve">d wykonano ocenę ryzyka nieosiągnięcia przez </w:t>
      </w:r>
      <w:r w:rsidR="00DF005E">
        <w:t>JCWP</w:t>
      </w:r>
      <w:r w:rsidRPr="00795F17">
        <w:t xml:space="preserve">d celów środowiskowych. </w:t>
      </w:r>
      <w:r w:rsidRPr="00795F17">
        <w:rPr>
          <w:rFonts w:eastAsiaTheme="majorEastAsia"/>
          <w:bCs/>
        </w:rPr>
        <w:t xml:space="preserve">W ocenie ryzyka uwzględniono ocenę stanu wód podziemnych przeprowadzoną w oparciu o dane z monitoringu z 2016 </w:t>
      </w:r>
      <w:r w:rsidR="000D6083">
        <w:rPr>
          <w:rFonts w:eastAsiaTheme="majorEastAsia"/>
          <w:bCs/>
        </w:rPr>
        <w:t xml:space="preserve">r. </w:t>
      </w:r>
      <w:r w:rsidRPr="00795F17">
        <w:rPr>
          <w:rFonts w:eastAsiaTheme="majorEastAsia"/>
          <w:bCs/>
        </w:rPr>
        <w:t xml:space="preserve">i </w:t>
      </w:r>
      <w:r w:rsidR="000D6083">
        <w:rPr>
          <w:rFonts w:eastAsiaTheme="majorEastAsia"/>
          <w:bCs/>
        </w:rPr>
        <w:t xml:space="preserve">z </w:t>
      </w:r>
      <w:r w:rsidRPr="00795F17">
        <w:rPr>
          <w:rFonts w:eastAsiaTheme="majorEastAsia"/>
          <w:bCs/>
        </w:rPr>
        <w:t>2019</w:t>
      </w:r>
      <w:r w:rsidR="000D6083">
        <w:rPr>
          <w:rFonts w:eastAsiaTheme="majorEastAsia"/>
          <w:bCs/>
        </w:rPr>
        <w:t xml:space="preserve"> r</w:t>
      </w:r>
      <w:r w:rsidRPr="00795F17">
        <w:rPr>
          <w:rFonts w:eastAsiaTheme="majorEastAsia"/>
          <w:bCs/>
        </w:rPr>
        <w:t xml:space="preserve">. Wyniki analizy presji przedstawiono w opracowaniu </w:t>
      </w:r>
      <w:r w:rsidRPr="00795F17">
        <w:rPr>
          <w:rFonts w:eastAsiaTheme="majorEastAsia"/>
          <w:i/>
        </w:rPr>
        <w:t>Dalsza charakterystyka wód podziemnych zgodnie z załącznikiem II.2 Ramowej Dyrektywy Wodnej wraz z oceną ryzyka</w:t>
      </w:r>
      <w:r w:rsidR="00AD417F" w:rsidRPr="00795F17">
        <w:rPr>
          <w:rStyle w:val="Odwoanieprzypisudolnego"/>
          <w:rFonts w:eastAsiaTheme="majorEastAsia"/>
          <w:bCs/>
        </w:rPr>
        <w:footnoteReference w:id="56"/>
      </w:r>
      <w:r w:rsidRPr="00795F17">
        <w:rPr>
          <w:rFonts w:eastAsiaTheme="majorEastAsia"/>
          <w:bCs/>
        </w:rPr>
        <w:t xml:space="preserve">. </w:t>
      </w:r>
    </w:p>
    <w:bookmarkEnd w:id="359"/>
    <w:p w14:paraId="6002E0F9" w14:textId="29BCE1E9" w:rsidR="002D7BDB" w:rsidRPr="002D7BDB" w:rsidRDefault="002D7BDB" w:rsidP="002D7BDB">
      <w:r w:rsidRPr="002D7BDB">
        <w:t xml:space="preserve">W wyniku przeprowadzonej analizy presji i oddziaływań antropogenicznych, na obszarze dorzecza Odry wskazano łącznie 21 </w:t>
      </w:r>
      <w:r w:rsidR="00DF005E">
        <w:t>JCWP</w:t>
      </w:r>
      <w:r w:rsidRPr="002D7BDB">
        <w:t xml:space="preserve">d </w:t>
      </w:r>
      <w:r w:rsidR="00F42B9B">
        <w:t xml:space="preserve">(tabela 7-13) </w:t>
      </w:r>
      <w:r w:rsidRPr="002D7BDB">
        <w:t xml:space="preserve">jako zagrożone nieosiągnięciem celów środowiskowych w cyklu planistycznym 2022–2027 (o 4 więcej niż w poprzednim cyklu planistycznym). Przyczyną wskazania </w:t>
      </w:r>
      <w:r w:rsidR="00DF005E">
        <w:t>JCWP</w:t>
      </w:r>
      <w:r w:rsidRPr="002D7BDB">
        <w:t xml:space="preserve">d jako zagrożone nieosiągnięciem celów środowiskowych była presja chemiczna (5 </w:t>
      </w:r>
      <w:r w:rsidR="00DF005E">
        <w:t>JCWP</w:t>
      </w:r>
      <w:r w:rsidRPr="002D7BDB">
        <w:t xml:space="preserve">d), ilościowa (6 </w:t>
      </w:r>
      <w:r w:rsidR="00DF005E">
        <w:t>JCWP</w:t>
      </w:r>
      <w:r w:rsidRPr="002D7BDB">
        <w:t xml:space="preserve">d) oraz presja zarówno chemiczna jak i ilościowa (10 </w:t>
      </w:r>
      <w:r w:rsidR="00DF005E">
        <w:t>JCWP</w:t>
      </w:r>
      <w:r w:rsidRPr="002D7BDB">
        <w:t>d).</w:t>
      </w:r>
    </w:p>
    <w:p w14:paraId="697D88A5" w14:textId="282C4D08" w:rsidR="002D7BDB" w:rsidRPr="002D7BDB" w:rsidRDefault="002D7BDB" w:rsidP="002D7BDB">
      <w:r w:rsidRPr="002D7BDB">
        <w:t xml:space="preserve">Na obszarze dorzecza Odry znajduje się w sumie 66 </w:t>
      </w:r>
      <w:r w:rsidR="00DF005E">
        <w:t>JCWP</w:t>
      </w:r>
      <w:r w:rsidRPr="002D7BDB">
        <w:t>d zakwalifikowanych do:</w:t>
      </w:r>
    </w:p>
    <w:p w14:paraId="0FF01A21" w14:textId="3615146C" w:rsidR="002D7BDB" w:rsidRPr="002D7BDB" w:rsidRDefault="002D7BDB" w:rsidP="002D7BDB">
      <w:pPr>
        <w:numPr>
          <w:ilvl w:val="0"/>
          <w:numId w:val="31"/>
        </w:numPr>
      </w:pPr>
      <w:r w:rsidRPr="002D7BDB">
        <w:t xml:space="preserve">liczba </w:t>
      </w:r>
      <w:r w:rsidR="00DF005E">
        <w:t>JCWP</w:t>
      </w:r>
      <w:r w:rsidRPr="002D7BDB">
        <w:t>d o stanie dobrym – 54,</w:t>
      </w:r>
    </w:p>
    <w:p w14:paraId="092724F4" w14:textId="37A7138A" w:rsidR="002D7BDB" w:rsidRPr="002D7BDB" w:rsidRDefault="002D7BDB" w:rsidP="002D7BDB">
      <w:pPr>
        <w:numPr>
          <w:ilvl w:val="0"/>
          <w:numId w:val="31"/>
        </w:numPr>
      </w:pPr>
      <w:r w:rsidRPr="002D7BDB">
        <w:t xml:space="preserve">liczba </w:t>
      </w:r>
      <w:r w:rsidR="00DF005E">
        <w:t>JCWP</w:t>
      </w:r>
      <w:r w:rsidRPr="002D7BDB">
        <w:t xml:space="preserve">d o stanie słabym chemicznym – </w:t>
      </w:r>
      <w:r w:rsidR="005825FD">
        <w:t>5</w:t>
      </w:r>
      <w:r w:rsidRPr="002D7BDB">
        <w:t>,</w:t>
      </w:r>
    </w:p>
    <w:p w14:paraId="3DC16AA0" w14:textId="26B66E1E" w:rsidR="002D7BDB" w:rsidRPr="002D7BDB" w:rsidRDefault="002D7BDB" w:rsidP="002D7BDB">
      <w:pPr>
        <w:numPr>
          <w:ilvl w:val="0"/>
          <w:numId w:val="31"/>
        </w:numPr>
      </w:pPr>
      <w:r w:rsidRPr="002D7BDB">
        <w:t xml:space="preserve">liczba </w:t>
      </w:r>
      <w:r w:rsidR="00DF005E">
        <w:t>JCWP</w:t>
      </w:r>
      <w:r w:rsidRPr="002D7BDB">
        <w:t xml:space="preserve">d o stanie słabym ilościowym – </w:t>
      </w:r>
      <w:r w:rsidR="005825FD">
        <w:t>10</w:t>
      </w:r>
      <w:r w:rsidRPr="002D7BDB">
        <w:t>,</w:t>
      </w:r>
    </w:p>
    <w:p w14:paraId="402448A1" w14:textId="25A8ABFF" w:rsidR="002D7BDB" w:rsidRPr="002D7BDB" w:rsidRDefault="002D7BDB" w:rsidP="002D7BDB">
      <w:pPr>
        <w:numPr>
          <w:ilvl w:val="0"/>
          <w:numId w:val="31"/>
        </w:numPr>
      </w:pPr>
      <w:r w:rsidRPr="002D7BDB">
        <w:t xml:space="preserve">liczba </w:t>
      </w:r>
      <w:r w:rsidR="00DF005E">
        <w:t>JCWP</w:t>
      </w:r>
      <w:r w:rsidRPr="002D7BDB">
        <w:t>d o stanie słabym ilościowym i stanie słabym chemicznym – 3,</w:t>
      </w:r>
    </w:p>
    <w:p w14:paraId="4B030D6C" w14:textId="39581F6E" w:rsidR="002D7BDB" w:rsidRPr="002D7BDB" w:rsidRDefault="002D7BDB" w:rsidP="002D7BDB">
      <w:pPr>
        <w:numPr>
          <w:ilvl w:val="0"/>
          <w:numId w:val="31"/>
        </w:numPr>
      </w:pPr>
      <w:r w:rsidRPr="002D7BDB">
        <w:t xml:space="preserve">liczba </w:t>
      </w:r>
      <w:r w:rsidR="00DF005E">
        <w:t>JCWP</w:t>
      </w:r>
      <w:r w:rsidRPr="002D7BDB">
        <w:t>d niezagrożonych nieosiągnięciem celu środowiskowego – 45,</w:t>
      </w:r>
    </w:p>
    <w:p w14:paraId="4F26C645" w14:textId="04D849E8" w:rsidR="002D7BDB" w:rsidRPr="002D7BDB" w:rsidRDefault="002D7BDB" w:rsidP="002D7BDB">
      <w:pPr>
        <w:numPr>
          <w:ilvl w:val="0"/>
          <w:numId w:val="31"/>
        </w:numPr>
      </w:pPr>
      <w:r w:rsidRPr="002D7BDB">
        <w:t xml:space="preserve">liczba </w:t>
      </w:r>
      <w:r w:rsidR="00DF005E">
        <w:t>JCWP</w:t>
      </w:r>
      <w:r w:rsidRPr="002D7BDB">
        <w:t>d zagrożonych nieosiągnięciem celu środowiskowego – zagrożone chemicznie – 5,</w:t>
      </w:r>
    </w:p>
    <w:p w14:paraId="1D911D56" w14:textId="7C46936F" w:rsidR="002D7BDB" w:rsidRPr="002D7BDB" w:rsidRDefault="002D7BDB" w:rsidP="002D7BDB">
      <w:pPr>
        <w:numPr>
          <w:ilvl w:val="0"/>
          <w:numId w:val="31"/>
        </w:numPr>
      </w:pPr>
      <w:r w:rsidRPr="002D7BDB">
        <w:t xml:space="preserve">liczba </w:t>
      </w:r>
      <w:r w:rsidR="00DF005E">
        <w:t>JCWP</w:t>
      </w:r>
      <w:r w:rsidRPr="002D7BDB">
        <w:t>d zagrożonych nieosiągnięciem celu środowiskowego – zagrożone ilościowo – 6,</w:t>
      </w:r>
    </w:p>
    <w:p w14:paraId="631F1EAB" w14:textId="36B0487B" w:rsidR="002D7BDB" w:rsidRPr="002D7BDB" w:rsidRDefault="002D7BDB" w:rsidP="002D7BDB">
      <w:pPr>
        <w:numPr>
          <w:ilvl w:val="0"/>
          <w:numId w:val="31"/>
        </w:numPr>
      </w:pPr>
      <w:r w:rsidRPr="002D7BDB">
        <w:t xml:space="preserve">liczba </w:t>
      </w:r>
      <w:r w:rsidR="00DF005E">
        <w:t>JCWP</w:t>
      </w:r>
      <w:r w:rsidRPr="002D7BDB">
        <w:t>d zagrożonych nieosiągnięciem celu środowiskowego – zagrożone chemicznie i ilościowo – 10,</w:t>
      </w:r>
    </w:p>
    <w:p w14:paraId="3BE86954" w14:textId="647FDBBA" w:rsidR="002D7BDB" w:rsidRPr="002D7BDB" w:rsidRDefault="002D7BDB" w:rsidP="002D7BDB">
      <w:pPr>
        <w:numPr>
          <w:ilvl w:val="0"/>
          <w:numId w:val="31"/>
        </w:numPr>
      </w:pPr>
      <w:r w:rsidRPr="002D7BDB">
        <w:t xml:space="preserve">liczba </w:t>
      </w:r>
      <w:r w:rsidR="00DF005E">
        <w:t>JCWP</w:t>
      </w:r>
      <w:r w:rsidRPr="002D7BDB">
        <w:t xml:space="preserve">d bez presji – </w:t>
      </w:r>
      <w:r w:rsidR="00453913">
        <w:t>11.</w:t>
      </w:r>
    </w:p>
    <w:p w14:paraId="3808F9DE" w14:textId="01EE011A" w:rsidR="002D7BDB" w:rsidRPr="002D7BDB" w:rsidRDefault="002D7BDB" w:rsidP="002D7BDB">
      <w:r w:rsidRPr="002D7BDB">
        <w:t>Informacja dotycząca presji znaczących oraz oceny ryzyka nieosiągnięcia celów środowiskowych dla </w:t>
      </w:r>
      <w:r w:rsidR="00DF005E">
        <w:t>JCWP</w:t>
      </w:r>
      <w:r w:rsidRPr="002D7BDB">
        <w:t xml:space="preserve">d na obszarze dorzecza Odry zawarta jest w załączniku nr 1 (Zestawienie główne). Ocenę ryzyka nieosiągnięcia celów środowiskowych dla </w:t>
      </w:r>
      <w:r w:rsidR="00DF005E">
        <w:t>JCWP</w:t>
      </w:r>
      <w:r w:rsidRPr="002D7BDB">
        <w:t xml:space="preserve">d na obszarze dorzecza Odry przedstawiono na załączniku graficznym nr </w:t>
      </w:r>
      <w:r w:rsidR="004B40BA">
        <w:t>46</w:t>
      </w:r>
      <w:r w:rsidRPr="002D7BDB">
        <w:t>.</w:t>
      </w:r>
    </w:p>
    <w:p w14:paraId="47534A97" w14:textId="1AD810AC" w:rsidR="00392A8A" w:rsidRPr="00795F17" w:rsidRDefault="00392A8A" w:rsidP="0044393D">
      <w:r w:rsidRPr="00795F17">
        <w:t>W odniesieniu do wyników z poprzedniego cyklu planistycznego ocena ryzyka została podtrzymana w</w:t>
      </w:r>
      <w:r w:rsidR="009D4C75" w:rsidRPr="00795F17">
        <w:t> </w:t>
      </w:r>
      <w:r w:rsidRPr="00795F17">
        <w:t xml:space="preserve">przypadku 12 jednolitych części wód podziemnych. W </w:t>
      </w:r>
      <w:r w:rsidR="00931184" w:rsidRPr="00795F17">
        <w:t>odniesieniu do tych wszystkich</w:t>
      </w:r>
      <w:r w:rsidRPr="00795F17">
        <w:t xml:space="preserve"> jednolitych części wód podziemnych uznanych jako zagrożone nieosiągnięciem celów środowiskowych stwierdzono jednocześnie słaby stan ogólny, co jest jednoznaczne z na tyle silnym oddziaływaniem zidentyfikowanych presji, że jest to odzwierciedlone w wynikach monitoringu lub innych testach kwalifikacyjnych wykonywanych w ramach procedury oceny stanu. Jednocześnie wyróżniono 9</w:t>
      </w:r>
      <w:r w:rsidR="009D4C75" w:rsidRPr="00795F17">
        <w:t> </w:t>
      </w:r>
      <w:r w:rsidRPr="00795F17">
        <w:t xml:space="preserve">jednolitych części wód podziemnych zakwalifikowanych jako zagrożone nieosiągnięciem celów środowiskowych, lecz posiadających status dobrego stanu wód w 2019 r. </w:t>
      </w:r>
    </w:p>
    <w:p w14:paraId="3A588177" w14:textId="60CD8B9F" w:rsidR="00392A8A" w:rsidRPr="00795F17" w:rsidRDefault="00392A8A" w:rsidP="0044393D">
      <w:r w:rsidRPr="00795F17">
        <w:t xml:space="preserve">Dla wszystkich </w:t>
      </w:r>
      <w:r w:rsidR="00DF005E">
        <w:t>JCWP</w:t>
      </w:r>
      <w:r w:rsidRPr="00795F17">
        <w:t xml:space="preserve">d bez względu na stopień zagrożenia i ocenę ryzyka nieosiągnięcia celów środowiskowych opracowano tzw. dalsze charakterystyki, zawierające istotne informacje na temat wpływu działalności człowieka na stan wód podziemnych oraz informacje w takim zakresie jaki został określony zgodnie z </w:t>
      </w:r>
      <w:r w:rsidR="00822DC2" w:rsidRPr="00795F17">
        <w:t>z</w:t>
      </w:r>
      <w:r w:rsidRPr="00795F17">
        <w:t xml:space="preserve">ałącznikiem II.2 RDW. </w:t>
      </w:r>
    </w:p>
    <w:p w14:paraId="706B8DA4" w14:textId="77777777" w:rsidR="00392A8A" w:rsidRPr="00795F17" w:rsidRDefault="00392A8A" w:rsidP="00E01928">
      <w:pPr>
        <w:jc w:val="center"/>
        <w:rPr>
          <w:rFonts w:asciiTheme="minorHAnsi" w:eastAsiaTheme="majorEastAsia" w:hAnsiTheme="minorHAnsi" w:cstheme="minorHAnsi"/>
        </w:rPr>
      </w:pPr>
      <w:r w:rsidRPr="00795F17">
        <w:rPr>
          <w:noProof/>
          <w:lang w:eastAsia="pl-PL"/>
        </w:rPr>
        <w:drawing>
          <wp:inline distT="0" distB="0" distL="0" distR="0" wp14:anchorId="67E380C9" wp14:editId="3912ADD3">
            <wp:extent cx="4320000" cy="2520000"/>
            <wp:effectExtent l="0" t="0" r="4445" b="13970"/>
            <wp:docPr id="861924062" name="Wykres 86192406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CCCC136" w14:textId="28A916B3" w:rsidR="00AD1DA1" w:rsidRPr="00795F17" w:rsidRDefault="00AD1DA1" w:rsidP="00B479EE">
      <w:pPr>
        <w:pStyle w:val="Wykres"/>
      </w:pPr>
      <w:bookmarkStart w:id="362" w:name="_Toc105512986"/>
      <w:r w:rsidRPr="00795F17">
        <w:t xml:space="preserve">Wykres </w:t>
      </w:r>
      <w:fldSimple w:instr=" STYLEREF 1 \s ">
        <w:r w:rsidR="001F774D">
          <w:rPr>
            <w:noProof/>
          </w:rPr>
          <w:t>7</w:t>
        </w:r>
      </w:fldSimple>
      <w:r w:rsidR="00FF20D3">
        <w:noBreakHyphen/>
      </w:r>
      <w:fldSimple w:instr=" SEQ Wykres \* ARABIC \s 1 ">
        <w:r w:rsidR="001F774D">
          <w:rPr>
            <w:noProof/>
          </w:rPr>
          <w:t>13</w:t>
        </w:r>
      </w:fldSimple>
      <w:r w:rsidR="00D328C1">
        <w:rPr>
          <w:noProof/>
        </w:rPr>
        <w:t>.</w:t>
      </w:r>
      <w:r w:rsidRPr="00795F17">
        <w:tab/>
      </w:r>
      <w:r w:rsidR="006D0DCA" w:rsidRPr="00795F17">
        <w:t>U</w:t>
      </w:r>
      <w:r w:rsidRPr="00795F17">
        <w:t xml:space="preserve">dział </w:t>
      </w:r>
      <w:r w:rsidR="00DF005E">
        <w:t>JCWP</w:t>
      </w:r>
      <w:r w:rsidRPr="00795F17">
        <w:t>d zagrożonych i niezagrożonych nieosiągnięciem celów środowiskowych</w:t>
      </w:r>
      <w:bookmarkEnd w:id="360"/>
      <w:r w:rsidR="00241FBF" w:rsidRPr="00241FBF">
        <w:t xml:space="preserve"> </w:t>
      </w:r>
      <w:r w:rsidR="00241FBF">
        <w:t>na</w:t>
      </w:r>
      <w:r w:rsidR="00241FBF" w:rsidRPr="00795F17">
        <w:t xml:space="preserve"> obszarze dorzecza Odry</w:t>
      </w:r>
      <w:bookmarkEnd w:id="362"/>
    </w:p>
    <w:p w14:paraId="3061B0CD" w14:textId="67FA40D4" w:rsidR="00AB080C" w:rsidRPr="00795F17" w:rsidRDefault="00AB080C" w:rsidP="00AB080C">
      <w:pPr>
        <w:pStyle w:val="rdo"/>
      </w:pPr>
      <w:r w:rsidRPr="00795F17">
        <w:t>Źródło: opracowanie własne</w:t>
      </w:r>
    </w:p>
    <w:p w14:paraId="3A3545F7" w14:textId="79C8CA46" w:rsidR="00AD1DA1" w:rsidRPr="00795F17" w:rsidRDefault="00AD1DA1" w:rsidP="0044393D">
      <w:r w:rsidRPr="00795F17">
        <w:t xml:space="preserve">W ramach identyfikacji znaczących oddziaływań antropogenicznych, mających wpływ na stan </w:t>
      </w:r>
      <w:r w:rsidR="00DF005E">
        <w:t>JCWP</w:t>
      </w:r>
      <w:r w:rsidRPr="00795F17">
        <w:t>d, przeanalizowano wszystkie presje i podzielono je na kategorie ze względu na czynniki sprawcze:</w:t>
      </w:r>
    </w:p>
    <w:p w14:paraId="28C9DE9D" w14:textId="77777777" w:rsidR="00AD1DA1" w:rsidRPr="00795F17" w:rsidRDefault="00AD1DA1" w:rsidP="002757E9">
      <w:pPr>
        <w:pStyle w:val="Numerowanie"/>
        <w:numPr>
          <w:ilvl w:val="0"/>
          <w:numId w:val="52"/>
        </w:numPr>
      </w:pPr>
      <w:r w:rsidRPr="00795F17">
        <w:t xml:space="preserve">punktowe źródła zanieczyszczeń; </w:t>
      </w:r>
    </w:p>
    <w:p w14:paraId="636DE441" w14:textId="77777777" w:rsidR="00AD1DA1" w:rsidRPr="00795F17" w:rsidRDefault="00AD1DA1" w:rsidP="0044393D">
      <w:pPr>
        <w:pStyle w:val="Numerowanie"/>
      </w:pPr>
      <w:r w:rsidRPr="00795F17">
        <w:t xml:space="preserve">rozproszone/obszarowe źródła zanieczyszczeń; </w:t>
      </w:r>
    </w:p>
    <w:p w14:paraId="09DA8CCD" w14:textId="3D167052" w:rsidR="00AD1DA1" w:rsidRPr="00795F17" w:rsidRDefault="00AD1DA1" w:rsidP="0044393D">
      <w:pPr>
        <w:pStyle w:val="Numerowanie"/>
      </w:pPr>
      <w:r w:rsidRPr="00795F17">
        <w:t xml:space="preserve">pobory wód. </w:t>
      </w:r>
    </w:p>
    <w:p w14:paraId="20583944" w14:textId="7FEA6845" w:rsidR="00AD1DA1" w:rsidRPr="00795F17" w:rsidRDefault="00AD1DA1" w:rsidP="0044393D">
      <w:r w:rsidRPr="00795F17">
        <w:t xml:space="preserve">Wszystkie wymienione presje oddziałują na wody podziemne w różnym stopniu, a ich oddziaływania mogą się kumulować i negatywnie wpływać na stan wód powierzchniowych oraz stan ekosystemów zależnych od wód podziemnych. Zostały one uwzględnione w trakcie wykonywania oceny stanu </w:t>
      </w:r>
      <w:r w:rsidR="00DF005E">
        <w:t>JCWP</w:t>
      </w:r>
      <w:r w:rsidRPr="00795F17">
        <w:t>d w roku 2020 (na danych z monitoringu z 2019 r.)</w:t>
      </w:r>
      <w:r w:rsidRPr="00795F17">
        <w:rPr>
          <w:iCs/>
        </w:rPr>
        <w:t>.</w:t>
      </w:r>
    </w:p>
    <w:p w14:paraId="7399A04B" w14:textId="77777777" w:rsidR="00AD1DA1" w:rsidRPr="00795F17" w:rsidRDefault="00AD1DA1" w:rsidP="0044393D">
      <w:pPr>
        <w:pStyle w:val="Nagwek5"/>
        <w:rPr>
          <w:rFonts w:eastAsiaTheme="majorEastAsia"/>
        </w:rPr>
      </w:pPr>
      <w:r w:rsidRPr="00795F17">
        <w:t>Punktowe źródła zanieczyszczeń</w:t>
      </w:r>
    </w:p>
    <w:p w14:paraId="67A75F18" w14:textId="7D76954A" w:rsidR="00AD1DA1" w:rsidRPr="00795F17" w:rsidRDefault="00AD1DA1" w:rsidP="0044393D">
      <w:pPr>
        <w:rPr>
          <w:rFonts w:cstheme="minorBidi"/>
        </w:rPr>
      </w:pPr>
      <w:r w:rsidRPr="00795F17">
        <w:t xml:space="preserve">Głównymi czynnikami presji punktowych źródeł zanieczyszczeń </w:t>
      </w:r>
      <w:r w:rsidR="00AB080C" w:rsidRPr="00795F17">
        <w:t xml:space="preserve">(wykres 7-14) </w:t>
      </w:r>
      <w:r w:rsidRPr="00795F17">
        <w:t xml:space="preserve">są: </w:t>
      </w:r>
    </w:p>
    <w:p w14:paraId="1AF813AE" w14:textId="77777777" w:rsidR="00AD1DA1" w:rsidRPr="00795F17" w:rsidRDefault="00AD1DA1" w:rsidP="00117E86">
      <w:pPr>
        <w:pStyle w:val="Listapunktowana2"/>
      </w:pPr>
      <w:r w:rsidRPr="00795F17">
        <w:t xml:space="preserve">składowiska odpadów przemysłowych; </w:t>
      </w:r>
    </w:p>
    <w:p w14:paraId="3A17CCA2" w14:textId="77777777" w:rsidR="00AD1DA1" w:rsidRPr="00795F17" w:rsidRDefault="00AD1DA1" w:rsidP="00117E86">
      <w:pPr>
        <w:pStyle w:val="Listapunktowana2"/>
      </w:pPr>
      <w:r w:rsidRPr="00795F17">
        <w:t xml:space="preserve">składowiska odpadów komunalnych; </w:t>
      </w:r>
    </w:p>
    <w:p w14:paraId="3E123533" w14:textId="18041F96" w:rsidR="00AD1DA1" w:rsidRPr="00795F17" w:rsidRDefault="00AD1DA1" w:rsidP="00117E86">
      <w:pPr>
        <w:pStyle w:val="Listapunktowana2"/>
      </w:pPr>
      <w:r w:rsidRPr="00795F17">
        <w:t>składowiska inne</w:t>
      </w:r>
      <w:r w:rsidR="0029782B" w:rsidRPr="00795F17">
        <w:t>.</w:t>
      </w:r>
    </w:p>
    <w:p w14:paraId="5B8FB0E7" w14:textId="506A96E5" w:rsidR="00AD1DA1" w:rsidRPr="00795F17" w:rsidRDefault="00AD1DA1" w:rsidP="0044393D">
      <w:r w:rsidRPr="00795F17">
        <w:t xml:space="preserve">Głównymi czynnikami sprawczymi w zakresie zrzutu ścieków </w:t>
      </w:r>
      <w:r w:rsidR="00AB080C" w:rsidRPr="00795F17">
        <w:t xml:space="preserve">(wykres 7-15) </w:t>
      </w:r>
      <w:r w:rsidRPr="00795F17">
        <w:t xml:space="preserve">są: </w:t>
      </w:r>
    </w:p>
    <w:p w14:paraId="328283C8" w14:textId="77777777" w:rsidR="00AD1DA1" w:rsidRPr="00795F17" w:rsidRDefault="00AD1DA1" w:rsidP="00117E86">
      <w:pPr>
        <w:pStyle w:val="Listapunktowana2"/>
      </w:pPr>
      <w:r w:rsidRPr="00795F17">
        <w:t xml:space="preserve">gospodarka komunalna (zrzut ścieków komunalnych do wód i do ziemi); </w:t>
      </w:r>
    </w:p>
    <w:p w14:paraId="54065EC8" w14:textId="77777777" w:rsidR="00AD1DA1" w:rsidRPr="00795F17" w:rsidRDefault="00AD1DA1" w:rsidP="00117E86">
      <w:pPr>
        <w:pStyle w:val="Listapunktowana2"/>
      </w:pPr>
      <w:r w:rsidRPr="00795F17">
        <w:t>przemysł (zrzut ścieków przemysłowych do wód i do ziemi).</w:t>
      </w:r>
    </w:p>
    <w:p w14:paraId="136EF14E" w14:textId="7185175C" w:rsidR="00AD1DA1" w:rsidRPr="00795F17" w:rsidRDefault="00FD5608" w:rsidP="00E01928">
      <w:pPr>
        <w:jc w:val="center"/>
        <w:rPr>
          <w:color w:val="000000"/>
        </w:rPr>
      </w:pPr>
      <w:r w:rsidRPr="00795F17">
        <w:rPr>
          <w:noProof/>
          <w:lang w:eastAsia="pl-PL"/>
        </w:rPr>
        <w:drawing>
          <wp:inline distT="0" distB="0" distL="0" distR="0" wp14:anchorId="19DE236E" wp14:editId="35111913">
            <wp:extent cx="4320000" cy="2520000"/>
            <wp:effectExtent l="0" t="0" r="4445" b="13970"/>
            <wp:docPr id="65" name="Wykres 6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22BFE3A" w14:textId="79D8A924" w:rsidR="00AD1DA1" w:rsidRPr="00795F17" w:rsidRDefault="00AD1DA1" w:rsidP="00B479EE">
      <w:pPr>
        <w:pStyle w:val="Wykres"/>
      </w:pPr>
      <w:bookmarkStart w:id="363" w:name="_Toc66288195"/>
      <w:bookmarkStart w:id="364" w:name="_Toc105512987"/>
      <w:r w:rsidRPr="00795F17">
        <w:t xml:space="preserve">Wykres </w:t>
      </w:r>
      <w:fldSimple w:instr=" STYLEREF 1 \s ">
        <w:r w:rsidR="001F774D">
          <w:rPr>
            <w:noProof/>
          </w:rPr>
          <w:t>7</w:t>
        </w:r>
      </w:fldSimple>
      <w:r w:rsidR="00FF20D3">
        <w:noBreakHyphen/>
      </w:r>
      <w:fldSimple w:instr=" SEQ Wykres \* ARABIC \s 1 ">
        <w:r w:rsidR="001F774D">
          <w:rPr>
            <w:noProof/>
          </w:rPr>
          <w:t>14</w:t>
        </w:r>
      </w:fldSimple>
      <w:r w:rsidR="00D328C1">
        <w:rPr>
          <w:noProof/>
        </w:rPr>
        <w:t>.</w:t>
      </w:r>
      <w:r w:rsidRPr="00795F17">
        <w:tab/>
      </w:r>
      <w:r w:rsidR="0087464D" w:rsidRPr="00795F17">
        <w:t>Udział różnych typów składowisk na obszarze dorzecza Odry</w:t>
      </w:r>
      <w:bookmarkEnd w:id="363"/>
      <w:bookmarkEnd w:id="364"/>
    </w:p>
    <w:p w14:paraId="0CC4B617" w14:textId="5049A8E6" w:rsidR="00AD1DA1" w:rsidRPr="00795F17" w:rsidRDefault="00AD1DA1" w:rsidP="0044393D">
      <w:pPr>
        <w:pStyle w:val="rdo"/>
      </w:pPr>
      <w:r w:rsidRPr="00795F17">
        <w:t xml:space="preserve">Źródło: </w:t>
      </w:r>
      <w:r w:rsidR="00FD7248" w:rsidRPr="00795F17">
        <w:t>opracowanie własne</w:t>
      </w:r>
    </w:p>
    <w:p w14:paraId="5EF783F5" w14:textId="6D629263" w:rsidR="00AD1DA1" w:rsidRPr="00795F17" w:rsidRDefault="00D66701" w:rsidP="00E01928">
      <w:pPr>
        <w:jc w:val="center"/>
        <w:rPr>
          <w:color w:val="000000"/>
        </w:rPr>
      </w:pPr>
      <w:r w:rsidRPr="00795F17">
        <w:rPr>
          <w:noProof/>
          <w:lang w:eastAsia="pl-PL"/>
        </w:rPr>
        <w:drawing>
          <wp:inline distT="0" distB="0" distL="0" distR="0" wp14:anchorId="7996DF31" wp14:editId="0BD2E7BE">
            <wp:extent cx="4320000" cy="2520000"/>
            <wp:effectExtent l="0" t="0" r="4445" b="13970"/>
            <wp:docPr id="66" name="Wykres 6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88E2FA2" w14:textId="07DDBB4C" w:rsidR="00AD1DA1" w:rsidRPr="00795F17" w:rsidRDefault="00AD1DA1" w:rsidP="00B479EE">
      <w:pPr>
        <w:pStyle w:val="Wykres"/>
      </w:pPr>
      <w:bookmarkStart w:id="365" w:name="_Toc66288196"/>
      <w:bookmarkStart w:id="366" w:name="_Toc105512988"/>
      <w:r w:rsidRPr="00795F17">
        <w:t xml:space="preserve">Wykres </w:t>
      </w:r>
      <w:fldSimple w:instr=" STYLEREF 1 \s ">
        <w:r w:rsidR="001F774D">
          <w:rPr>
            <w:noProof/>
          </w:rPr>
          <w:t>7</w:t>
        </w:r>
      </w:fldSimple>
      <w:r w:rsidR="00FF20D3">
        <w:noBreakHyphen/>
      </w:r>
      <w:fldSimple w:instr=" SEQ Wykres \* ARABIC \s 1 ">
        <w:r w:rsidR="001F774D">
          <w:rPr>
            <w:noProof/>
          </w:rPr>
          <w:t>15</w:t>
        </w:r>
      </w:fldSimple>
      <w:r w:rsidR="00D328C1">
        <w:rPr>
          <w:noProof/>
        </w:rPr>
        <w:t>.</w:t>
      </w:r>
      <w:r w:rsidRPr="00795F17">
        <w:tab/>
      </w:r>
      <w:r w:rsidR="001927FA" w:rsidRPr="00795F17">
        <w:t>Udział rodzajów zrzutów ścieków na obszarze dorzecza</w:t>
      </w:r>
      <w:r w:rsidR="000A64B0" w:rsidRPr="00795F17">
        <w:t xml:space="preserve"> </w:t>
      </w:r>
      <w:r w:rsidR="00D66701" w:rsidRPr="00795F17">
        <w:t>Odry</w:t>
      </w:r>
      <w:bookmarkEnd w:id="365"/>
      <w:bookmarkEnd w:id="366"/>
    </w:p>
    <w:p w14:paraId="61C64DB0" w14:textId="60D4119E" w:rsidR="00AD1DA1" w:rsidRPr="00795F17" w:rsidRDefault="00AD1DA1" w:rsidP="0044393D">
      <w:pPr>
        <w:pStyle w:val="rdo"/>
      </w:pPr>
      <w:r w:rsidRPr="00795F17">
        <w:t xml:space="preserve">Źródło: </w:t>
      </w:r>
      <w:r w:rsidR="00FD7248" w:rsidRPr="00795F17">
        <w:t>opracowanie własne</w:t>
      </w:r>
    </w:p>
    <w:p w14:paraId="323B8C6F" w14:textId="7D91DFC8" w:rsidR="00906AE8" w:rsidRPr="00795F17" w:rsidRDefault="00906AE8" w:rsidP="0044393D">
      <w:pPr>
        <w:rPr>
          <w:rFonts w:asciiTheme="minorHAnsi" w:hAnsiTheme="minorHAnsi" w:cstheme="minorHAnsi"/>
          <w:color w:val="000000"/>
        </w:rPr>
      </w:pPr>
      <w:r w:rsidRPr="00795F17">
        <w:t xml:space="preserve">Punktowe źródła zanieczyszczeń analizowano głównie pod kątem ich wpływu na stan chemiczny </w:t>
      </w:r>
      <w:r w:rsidR="00DF005E">
        <w:t>JCWP</w:t>
      </w:r>
      <w:r w:rsidRPr="00795F17">
        <w:t>d. Szczegółowo analizowano rozmieszczenie i potencjalne oddziaływanie punktowych ognisk zanieczyszczeń na obszarach gdzie naturalne właściwości ochronne warstw wodonośnych są słabe, a</w:t>
      </w:r>
      <w:r w:rsidR="009D4C75" w:rsidRPr="00795F17">
        <w:t> </w:t>
      </w:r>
      <w:r w:rsidRPr="00795F17">
        <w:t xml:space="preserve">które wyrażone są m.in. poprzez stopień zagrożenia głównego użytkowego poziomu wodonośnego, izolację od powierzchni terenu, a także głębokość występowania wód podziemnych i rodzaj ośrodka wodonośnego </w:t>
      </w:r>
      <w:r w:rsidR="008E1B58">
        <w:t>–</w:t>
      </w:r>
      <w:r w:rsidRPr="00795F17">
        <w:t xml:space="preserve"> porowy, szczelinowo-porowy lub szczelinowo-krasowy</w:t>
      </w:r>
      <w:r w:rsidRPr="00795F17">
        <w:rPr>
          <w:rFonts w:asciiTheme="minorHAnsi" w:hAnsiTheme="minorHAnsi" w:cstheme="minorHAnsi"/>
          <w:color w:val="000000"/>
        </w:rPr>
        <w:t>.</w:t>
      </w:r>
    </w:p>
    <w:p w14:paraId="3187511F" w14:textId="528419DD" w:rsidR="00906AE8" w:rsidRPr="00795F17" w:rsidRDefault="00906AE8" w:rsidP="0044393D">
      <w:r w:rsidRPr="00795F17">
        <w:t>Skutkiem zanieczyszczenia wód podziemnych, zwłaszcza w rejonach silnie zurbanizowanych i</w:t>
      </w:r>
      <w:r w:rsidR="009D4C75" w:rsidRPr="00795F17">
        <w:t> </w:t>
      </w:r>
      <w:r w:rsidRPr="00795F17">
        <w:t>wykorzystywanych gospodarczo, jest ich słaby stan chemiczny stwierdzony w punktach pomiarowych, objawiający się głównie niską wartością pH (spowodowane między innymi zrzutem kwaśnych wód kopalnianych do wód powierzchniowych), obecnością lekkich węglowodorów, w pojedynczych punktach pomiarowych, lokalnie występującymi podwyższonymi stężeniami metali ciężkich oraz</w:t>
      </w:r>
      <w:r w:rsidR="00CF2FE0">
        <w:t> </w:t>
      </w:r>
      <w:r w:rsidRPr="00795F17">
        <w:t>zmianą typu chemicznego wód, która przejawia się w podwyższonymi stężeniami jonów: sodowych, potasowych, chlorkowych, azotanowych i siarczanowych.</w:t>
      </w:r>
    </w:p>
    <w:p w14:paraId="76C23C6A" w14:textId="02B130AC" w:rsidR="00AD1DA1" w:rsidRPr="00795F17" w:rsidRDefault="00AD1DA1" w:rsidP="0044393D">
      <w:r w:rsidRPr="00795F17">
        <w:t xml:space="preserve">Rozmieszczenie składowisk przemysłowych i komunalnych na </w:t>
      </w:r>
      <w:r w:rsidR="00DF005E">
        <w:t>JCWP</w:t>
      </w:r>
      <w:r w:rsidRPr="00795F17">
        <w:t xml:space="preserve">d na obszarze dorzecza </w:t>
      </w:r>
      <w:r w:rsidR="00906AE8" w:rsidRPr="00795F17">
        <w:t>Odry</w:t>
      </w:r>
      <w:r w:rsidRPr="00795F17">
        <w:t xml:space="preserve"> przedstawiono na załączniku graficznym nr </w:t>
      </w:r>
      <w:r w:rsidR="00504E5B">
        <w:t>49</w:t>
      </w:r>
      <w:r w:rsidRPr="00795F17">
        <w:t>.</w:t>
      </w:r>
    </w:p>
    <w:p w14:paraId="1494A652" w14:textId="77777777" w:rsidR="00AD1DA1" w:rsidRPr="00795F17" w:rsidRDefault="00AD1DA1" w:rsidP="0044393D">
      <w:pPr>
        <w:pStyle w:val="Nagwek5"/>
        <w:rPr>
          <w:rFonts w:eastAsiaTheme="majorEastAsia" w:cstheme="minorBidi"/>
        </w:rPr>
      </w:pPr>
      <w:r w:rsidRPr="00795F17">
        <w:t>Rozproszone źródła zanieczyszczeń</w:t>
      </w:r>
    </w:p>
    <w:p w14:paraId="25BD5C5A" w14:textId="77777777" w:rsidR="00AD1DA1" w:rsidRPr="00795F17" w:rsidRDefault="00AD1DA1" w:rsidP="0044393D">
      <w:r w:rsidRPr="00795F17">
        <w:t>Czynnikami sprawczymi rozproszonych i obszarowych źródeł zanieczyszczeń są między innymi:</w:t>
      </w:r>
    </w:p>
    <w:p w14:paraId="6C8CA3E3" w14:textId="77777777" w:rsidR="00AD1DA1" w:rsidRPr="00795F17" w:rsidRDefault="00AD1DA1" w:rsidP="00117E86">
      <w:pPr>
        <w:pStyle w:val="Listapunktowana2"/>
      </w:pPr>
      <w:r w:rsidRPr="00795F17">
        <w:t>obszary intensywnego użytkowania rolniczego;</w:t>
      </w:r>
    </w:p>
    <w:p w14:paraId="6A782855" w14:textId="3E9282F6" w:rsidR="00AD1DA1" w:rsidRPr="00795F17" w:rsidRDefault="00AD1DA1" w:rsidP="00117E86">
      <w:pPr>
        <w:pStyle w:val="Listapunktowana2"/>
      </w:pPr>
      <w:r w:rsidRPr="00795F17">
        <w:t>sposób użytkowania terenu</w:t>
      </w:r>
      <w:r w:rsidR="008E1B58">
        <w:t>;</w:t>
      </w:r>
    </w:p>
    <w:p w14:paraId="1EB0423C" w14:textId="77777777" w:rsidR="00AD1DA1" w:rsidRPr="00795F17" w:rsidRDefault="00AD1DA1" w:rsidP="00117E86">
      <w:pPr>
        <w:pStyle w:val="Listapunktowana2"/>
      </w:pPr>
      <w:r w:rsidRPr="00795F17">
        <w:t>wielkość nawożenia gruntów wykorzystywanych rolniczo;</w:t>
      </w:r>
    </w:p>
    <w:p w14:paraId="6AE9CD36" w14:textId="6CFAE52B" w:rsidR="00AD1DA1" w:rsidRPr="00795F17" w:rsidRDefault="00AD1DA1" w:rsidP="00117E86">
      <w:pPr>
        <w:pStyle w:val="Listapunktowana2"/>
      </w:pPr>
      <w:r w:rsidRPr="00795F17">
        <w:t xml:space="preserve">intensywność hodowli zwierzęcej </w:t>
      </w:r>
      <w:r w:rsidR="00C67B37">
        <w:t>na</w:t>
      </w:r>
      <w:r w:rsidRPr="00795F17">
        <w:t xml:space="preserve"> obszarze </w:t>
      </w:r>
      <w:r w:rsidR="00DF005E">
        <w:t>JCWP</w:t>
      </w:r>
      <w:r w:rsidRPr="00795F17">
        <w:t>d;</w:t>
      </w:r>
    </w:p>
    <w:p w14:paraId="26729385" w14:textId="77777777" w:rsidR="00AD1DA1" w:rsidRPr="00795F17" w:rsidRDefault="00AD1DA1" w:rsidP="00117E86">
      <w:pPr>
        <w:pStyle w:val="Listapunktowana2"/>
      </w:pPr>
      <w:r w:rsidRPr="00795F17">
        <w:t>wpływ aglomeracji miejsko-przemysłowych oraz presji liniowych;</w:t>
      </w:r>
    </w:p>
    <w:p w14:paraId="14921562" w14:textId="76AA7D18" w:rsidR="00AD1DA1" w:rsidRPr="00795F17" w:rsidRDefault="00AD1DA1" w:rsidP="00117E86">
      <w:pPr>
        <w:pStyle w:val="Listapunktowana2"/>
      </w:pPr>
      <w:r w:rsidRPr="00795F17">
        <w:t xml:space="preserve">jak również stopień skanalizowania gmin (do analiz wzięto jako wskaźnik powierzchnię obszaru </w:t>
      </w:r>
      <w:r w:rsidR="00DF005E">
        <w:t>JCWP</w:t>
      </w:r>
      <w:r w:rsidRPr="00795F17">
        <w:t>d nie objętą siecią kanalizacyjn</w:t>
      </w:r>
      <w:r w:rsidR="00AF0F60">
        <w:t>ą</w:t>
      </w:r>
      <w:r w:rsidRPr="00795F17">
        <w:t>).</w:t>
      </w:r>
    </w:p>
    <w:p w14:paraId="434B0FB1" w14:textId="2FCABC13" w:rsidR="00AD1DA1" w:rsidRPr="00795F17" w:rsidRDefault="0068034E" w:rsidP="0044393D">
      <w:pPr>
        <w:rPr>
          <w:rFonts w:asciiTheme="minorHAnsi" w:hAnsiTheme="minorHAnsi" w:cstheme="minorHAnsi"/>
          <w:color w:val="000000"/>
        </w:rPr>
      </w:pPr>
      <w:r w:rsidRPr="00795F17">
        <w:t xml:space="preserve">Rozproszone i obszarowe źródła zanieczyszczeń analizowano zarówno pod kątem ich wpływu na stan chemiczny jak i ilościowy w poszczególnych </w:t>
      </w:r>
      <w:r w:rsidR="00DF005E">
        <w:t>JCWP</w:t>
      </w:r>
      <w:r w:rsidRPr="00795F17">
        <w:t xml:space="preserve">d. Znaczący wpływ na stan ilościowy mają przede wszystkim melioracje, odwodnienia górnicze (kopalnie i odkrywki) występujące głównie w regionie </w:t>
      </w:r>
      <w:r w:rsidR="00AD1DA1" w:rsidRPr="00795F17">
        <w:rPr>
          <w:rFonts w:asciiTheme="minorHAnsi" w:hAnsiTheme="minorHAnsi" w:cstheme="minorHAnsi"/>
          <w:color w:val="000000"/>
        </w:rPr>
        <w:t xml:space="preserve">wodnym </w:t>
      </w:r>
      <w:r w:rsidRPr="00795F17">
        <w:t>Warty oraz aglomeracje miejsko-przemysłowe, co przejawia się obniżeniem zwierciadła wód podziemnych, zarówno w użytkowym, jak i pierwszym poziomie wodonośnym (leje depresji). Znaczące obniżenia zwierciadła wód podziemnych mogą powodować istotne szkody w ekosystemach prawnie chronionych zależnych od wód podziemnych, ingresje wód słonych i innych powodujących zanieczyszczenie wód podziemnych oraz ascenzję wód zasolonych, a także utrudnienia w eksploatacji ujęć wód podziemnych stanowiących źródło zaopatrzenia ludności w wodę do spożycia.</w:t>
      </w:r>
    </w:p>
    <w:p w14:paraId="31A5D0E5" w14:textId="77777777" w:rsidR="00AD1DA1" w:rsidRPr="00795F17" w:rsidRDefault="00AD1DA1" w:rsidP="0044393D">
      <w:pPr>
        <w:pStyle w:val="Nagwek5"/>
        <w:rPr>
          <w:rFonts w:eastAsiaTheme="majorEastAsia"/>
        </w:rPr>
      </w:pPr>
      <w:r w:rsidRPr="00795F17">
        <w:t>Pobory wody</w:t>
      </w:r>
    </w:p>
    <w:p w14:paraId="414BA1A1" w14:textId="398AC47C" w:rsidR="00AD1DA1" w:rsidRPr="00795F17" w:rsidRDefault="00AD1DA1" w:rsidP="0044393D">
      <w:r w:rsidRPr="00795F17">
        <w:t xml:space="preserve">Głównymi czynnikami sprawczymi słabego stanu ilościowego </w:t>
      </w:r>
      <w:r w:rsidR="00DF005E">
        <w:t>JCWP</w:t>
      </w:r>
      <w:r w:rsidRPr="00795F17">
        <w:t xml:space="preserve">d są: </w:t>
      </w:r>
    </w:p>
    <w:p w14:paraId="0D847F6C" w14:textId="77777777" w:rsidR="00AD1DA1" w:rsidRPr="00795F17" w:rsidRDefault="00AD1DA1" w:rsidP="00117E86">
      <w:pPr>
        <w:pStyle w:val="Listapunktowana2"/>
      </w:pPr>
      <w:r w:rsidRPr="00795F17">
        <w:t xml:space="preserve">odwodnienia wyrobisk kopalnianych; </w:t>
      </w:r>
    </w:p>
    <w:p w14:paraId="2F191539" w14:textId="77777777" w:rsidR="00AD1DA1" w:rsidRPr="00795F17" w:rsidRDefault="00AD1DA1" w:rsidP="00117E86">
      <w:pPr>
        <w:pStyle w:val="Listapunktowana2"/>
      </w:pPr>
      <w:r w:rsidRPr="00795F17">
        <w:t xml:space="preserve">ujęcia wód na cele komunalne; </w:t>
      </w:r>
    </w:p>
    <w:p w14:paraId="704FEE04" w14:textId="77777777" w:rsidR="00AD1DA1" w:rsidRPr="00795F17" w:rsidRDefault="00AD1DA1" w:rsidP="00117E86">
      <w:pPr>
        <w:pStyle w:val="Listapunktowana2"/>
      </w:pPr>
      <w:r w:rsidRPr="00795F17">
        <w:t>ujęcia wód na cele przemysłowe.</w:t>
      </w:r>
    </w:p>
    <w:p w14:paraId="456B0624" w14:textId="7D32E00F" w:rsidR="00AD1DA1" w:rsidRPr="00795F17" w:rsidRDefault="00457349" w:rsidP="0044393D">
      <w:pPr>
        <w:rPr>
          <w:rFonts w:asciiTheme="minorHAnsi" w:hAnsiTheme="minorHAnsi" w:cstheme="minorBidi"/>
          <w:color w:val="000000"/>
        </w:rPr>
      </w:pPr>
      <w:r w:rsidRPr="00795F17">
        <w:t>Całkowita ilość wody ujmowanej w skali całego obszaru dorzecza Odry wynosi 1 335 820 tys. m</w:t>
      </w:r>
      <w:r w:rsidRPr="00795F17">
        <w:rPr>
          <w:vertAlign w:val="superscript"/>
        </w:rPr>
        <w:t>3</w:t>
      </w:r>
      <w:r w:rsidRPr="00795F17">
        <w:t xml:space="preserve"> na rok (pobór rejestrowany w 2018 r.) i kształtuje się ona na podobnym poziomie jak w 2011 roku (baza POBORY, 2011</w:t>
      </w:r>
      <w:r w:rsidR="003C670D">
        <w:t xml:space="preserve"> </w:t>
      </w:r>
      <w:r w:rsidRPr="00795F17">
        <w:t xml:space="preserve">r.), </w:t>
      </w:r>
      <w:r w:rsidR="009B0C4F">
        <w:t xml:space="preserve">z </w:t>
      </w:r>
      <w:r w:rsidRPr="00795F17">
        <w:t xml:space="preserve">czego 43% tego poboru związana jest z odwadnianiem kopalń. Roczną wielkość poborów z ujęć wód podziemnych z uwzględnieniem celu korzystania przedstawia </w:t>
      </w:r>
      <w:r w:rsidR="00AD1DA1" w:rsidRPr="00795F17">
        <w:rPr>
          <w:rFonts w:asciiTheme="minorHAnsi" w:hAnsiTheme="minorHAnsi" w:cstheme="minorHAnsi"/>
          <w:color w:val="000000"/>
        </w:rPr>
        <w:t xml:space="preserve">tabela 7-8. </w:t>
      </w:r>
    </w:p>
    <w:p w14:paraId="35D76221" w14:textId="43A555E9" w:rsidR="00AD1DA1" w:rsidRPr="00795F17" w:rsidRDefault="00AD1DA1" w:rsidP="004D7705">
      <w:pPr>
        <w:pStyle w:val="Tabela"/>
        <w:rPr>
          <w:rFonts w:cstheme="minorHAnsi"/>
        </w:rPr>
      </w:pPr>
      <w:bookmarkStart w:id="367" w:name="_Toc66288077"/>
      <w:bookmarkStart w:id="368" w:name="_Toc66341898"/>
      <w:bookmarkStart w:id="369" w:name="_Toc105512809"/>
      <w:r w:rsidRPr="00795F17">
        <w:t xml:space="preserve">Tabela </w:t>
      </w:r>
      <w:fldSimple w:instr=" STYLEREF 1 \s ">
        <w:r w:rsidR="001F774D">
          <w:rPr>
            <w:noProof/>
          </w:rPr>
          <w:t>7</w:t>
        </w:r>
      </w:fldSimple>
      <w:r w:rsidR="00BB3B21" w:rsidRPr="00795F17">
        <w:noBreakHyphen/>
      </w:r>
      <w:fldSimple w:instr=" SEQ Tabela \* ARABIC \s 1 ">
        <w:r w:rsidR="001F774D">
          <w:rPr>
            <w:noProof/>
          </w:rPr>
          <w:t>8</w:t>
        </w:r>
      </w:fldSimple>
      <w:r w:rsidR="00E76356">
        <w:rPr>
          <w:noProof/>
        </w:rPr>
        <w:t>.</w:t>
      </w:r>
      <w:r w:rsidRPr="00795F17">
        <w:rPr>
          <w:rFonts w:cstheme="minorHAnsi"/>
        </w:rPr>
        <w:tab/>
      </w:r>
      <w:r w:rsidRPr="00795F17">
        <w:t xml:space="preserve">Roczna wielkość poborów z ujęć wód podziemnych z podziałem na czynniki sprawcze </w:t>
      </w:r>
      <w:r w:rsidR="008E1B58">
        <w:t>–</w:t>
      </w:r>
      <w:r w:rsidRPr="00795F17">
        <w:t xml:space="preserve"> obszar dorzecza </w:t>
      </w:r>
      <w:bookmarkEnd w:id="367"/>
      <w:r w:rsidR="00457349" w:rsidRPr="00795F17">
        <w:t>Odry</w:t>
      </w:r>
      <w:bookmarkEnd w:id="368"/>
      <w:bookmarkEnd w:id="369"/>
    </w:p>
    <w:tbl>
      <w:tblPr>
        <w:tblStyle w:val="Tabela-Siatka"/>
        <w:tblW w:w="5000" w:type="pct"/>
        <w:jc w:val="center"/>
        <w:tblLook w:val="04A0" w:firstRow="1" w:lastRow="0" w:firstColumn="1" w:lastColumn="0" w:noHBand="0" w:noVBand="1"/>
      </w:tblPr>
      <w:tblGrid>
        <w:gridCol w:w="3619"/>
        <w:gridCol w:w="2971"/>
        <w:gridCol w:w="2472"/>
      </w:tblGrid>
      <w:tr w:rsidR="00AD1DA1" w:rsidRPr="00795F17" w14:paraId="62FCBC09" w14:textId="77777777" w:rsidTr="009D4C75">
        <w:trPr>
          <w:cnfStyle w:val="100000000000" w:firstRow="1" w:lastRow="0" w:firstColumn="0" w:lastColumn="0" w:oddVBand="0" w:evenVBand="0" w:oddHBand="0" w:evenHBand="0" w:firstRowFirstColumn="0" w:firstRowLastColumn="0" w:lastRowFirstColumn="0" w:lastRowLastColumn="0"/>
          <w:trHeight w:val="454"/>
          <w:jc w:val="center"/>
        </w:trPr>
        <w:tc>
          <w:tcPr>
            <w:tcW w:w="1997" w:type="pct"/>
            <w:hideMark/>
          </w:tcPr>
          <w:p w14:paraId="22DC57AB" w14:textId="77777777" w:rsidR="00AD1DA1" w:rsidRPr="00795F17" w:rsidRDefault="00AD1DA1" w:rsidP="0044393D">
            <w:pPr>
              <w:pStyle w:val="Teksttabelinaglowek"/>
              <w:rPr>
                <w:b/>
              </w:rPr>
            </w:pPr>
            <w:r w:rsidRPr="00795F17">
              <w:rPr>
                <w:b/>
              </w:rPr>
              <w:t>Cel poboru</w:t>
            </w:r>
          </w:p>
        </w:tc>
        <w:tc>
          <w:tcPr>
            <w:tcW w:w="1639" w:type="pct"/>
            <w:hideMark/>
          </w:tcPr>
          <w:p w14:paraId="1F3DD6FE" w14:textId="46DB1586" w:rsidR="00AD1DA1" w:rsidRPr="00795F17" w:rsidRDefault="00AD1DA1" w:rsidP="00CB0824">
            <w:pPr>
              <w:pStyle w:val="Teksttabelinaglowek"/>
              <w:rPr>
                <w:b/>
              </w:rPr>
            </w:pPr>
            <w:r w:rsidRPr="00795F17">
              <w:rPr>
                <w:b/>
              </w:rPr>
              <w:t>Pobór wody</w:t>
            </w:r>
            <w:r w:rsidR="00CB0824" w:rsidRPr="00795F17">
              <w:rPr>
                <w:b/>
              </w:rPr>
              <w:br/>
            </w:r>
            <w:r w:rsidR="00AA618A" w:rsidRPr="00795F17">
              <w:rPr>
                <w:b/>
              </w:rPr>
              <w:t>(</w:t>
            </w:r>
            <w:r w:rsidRPr="00795F17">
              <w:rPr>
                <w:b/>
              </w:rPr>
              <w:t>tys. m</w:t>
            </w:r>
            <w:r w:rsidRPr="00795F17">
              <w:rPr>
                <w:b/>
                <w:vertAlign w:val="superscript"/>
              </w:rPr>
              <w:t>3</w:t>
            </w:r>
            <w:r w:rsidRPr="00795F17">
              <w:rPr>
                <w:b/>
              </w:rPr>
              <w:t xml:space="preserve"> na rok</w:t>
            </w:r>
            <w:r w:rsidR="00AA618A" w:rsidRPr="00795F17">
              <w:rPr>
                <w:b/>
              </w:rPr>
              <w:t>)</w:t>
            </w:r>
          </w:p>
        </w:tc>
        <w:tc>
          <w:tcPr>
            <w:tcW w:w="1364" w:type="pct"/>
            <w:hideMark/>
          </w:tcPr>
          <w:p w14:paraId="226DA26C" w14:textId="429CFBCF" w:rsidR="00AD1DA1" w:rsidRPr="00795F17" w:rsidRDefault="00AD1DA1" w:rsidP="0044393D">
            <w:pPr>
              <w:pStyle w:val="Teksttabelinaglowek"/>
              <w:rPr>
                <w:b/>
              </w:rPr>
            </w:pPr>
            <w:r w:rsidRPr="00795F17">
              <w:rPr>
                <w:b/>
              </w:rPr>
              <w:t>Udział</w:t>
            </w:r>
            <w:r w:rsidR="001D565B" w:rsidRPr="00795F17">
              <w:rPr>
                <w:b/>
              </w:rPr>
              <w:t xml:space="preserve"> </w:t>
            </w:r>
            <w:r w:rsidR="00EA4FF5" w:rsidRPr="00795F17">
              <w:rPr>
                <w:b/>
              </w:rPr>
              <w:t>(%)</w:t>
            </w:r>
          </w:p>
        </w:tc>
      </w:tr>
      <w:tr w:rsidR="00CF5513" w:rsidRPr="00795F17" w14:paraId="66B006F6" w14:textId="77777777" w:rsidTr="009D4C75">
        <w:trPr>
          <w:trHeight w:val="454"/>
          <w:jc w:val="center"/>
        </w:trPr>
        <w:tc>
          <w:tcPr>
            <w:tcW w:w="1997" w:type="pct"/>
            <w:hideMark/>
          </w:tcPr>
          <w:p w14:paraId="14C684F5" w14:textId="7A90DA20" w:rsidR="00CF5513" w:rsidRPr="00795F17" w:rsidRDefault="00CF5513" w:rsidP="00E01928">
            <w:pPr>
              <w:pStyle w:val="Teksttabelisrodek"/>
              <w:keepNext/>
              <w:jc w:val="left"/>
              <w:rPr>
                <w:rFonts w:cstheme="minorBidi"/>
                <w:color w:val="000000"/>
              </w:rPr>
            </w:pPr>
            <w:r w:rsidRPr="00795F17">
              <w:t xml:space="preserve">komunalny </w:t>
            </w:r>
          </w:p>
        </w:tc>
        <w:tc>
          <w:tcPr>
            <w:tcW w:w="1639" w:type="pct"/>
            <w:hideMark/>
          </w:tcPr>
          <w:p w14:paraId="1EE75CC2" w14:textId="679D9DE5" w:rsidR="00CF5513" w:rsidRPr="00795F17" w:rsidRDefault="00CF5513" w:rsidP="00E01928">
            <w:pPr>
              <w:pStyle w:val="Teksttabelisrodek"/>
              <w:keepNext/>
            </w:pPr>
            <w:r w:rsidRPr="00795F17">
              <w:t>649 269</w:t>
            </w:r>
          </w:p>
        </w:tc>
        <w:tc>
          <w:tcPr>
            <w:tcW w:w="1364" w:type="pct"/>
            <w:hideMark/>
          </w:tcPr>
          <w:p w14:paraId="2CDE4955" w14:textId="2E55032F" w:rsidR="00CF5513" w:rsidRPr="00795F17" w:rsidRDefault="00CF5513" w:rsidP="00E01928">
            <w:pPr>
              <w:pStyle w:val="Teksttabelisrodek"/>
              <w:keepNext/>
              <w:rPr>
                <w:color w:val="000000"/>
              </w:rPr>
            </w:pPr>
            <w:r w:rsidRPr="00795F17">
              <w:t>48,60</w:t>
            </w:r>
          </w:p>
        </w:tc>
      </w:tr>
      <w:tr w:rsidR="00CF5513" w:rsidRPr="00795F17" w14:paraId="3838EEC8" w14:textId="77777777" w:rsidTr="009D4C75">
        <w:trPr>
          <w:trHeight w:val="454"/>
          <w:jc w:val="center"/>
        </w:trPr>
        <w:tc>
          <w:tcPr>
            <w:tcW w:w="1997" w:type="pct"/>
          </w:tcPr>
          <w:p w14:paraId="0A07F758" w14:textId="13223C9C" w:rsidR="00CF5513" w:rsidRPr="00795F17" w:rsidRDefault="00CF5513" w:rsidP="00B724C2">
            <w:pPr>
              <w:pStyle w:val="Teksttabelisrodek"/>
              <w:jc w:val="left"/>
              <w:rPr>
                <w:color w:val="000000"/>
              </w:rPr>
            </w:pPr>
            <w:r w:rsidRPr="00795F17">
              <w:t>lasy i parki</w:t>
            </w:r>
          </w:p>
        </w:tc>
        <w:tc>
          <w:tcPr>
            <w:tcW w:w="1639" w:type="pct"/>
          </w:tcPr>
          <w:p w14:paraId="6EA894A0" w14:textId="616A0DF3" w:rsidR="00CF5513" w:rsidRPr="00795F17" w:rsidRDefault="00CF5513" w:rsidP="0065243A">
            <w:pPr>
              <w:pStyle w:val="Teksttabelisrodek"/>
            </w:pPr>
            <w:r w:rsidRPr="00795F17">
              <w:t>450</w:t>
            </w:r>
          </w:p>
        </w:tc>
        <w:tc>
          <w:tcPr>
            <w:tcW w:w="1364" w:type="pct"/>
          </w:tcPr>
          <w:p w14:paraId="545ABE07" w14:textId="0E67FE64" w:rsidR="00CF5513" w:rsidRPr="00795F17" w:rsidRDefault="00CF5513" w:rsidP="0065243A">
            <w:pPr>
              <w:pStyle w:val="Teksttabelisrodek"/>
              <w:rPr>
                <w:color w:val="000000"/>
              </w:rPr>
            </w:pPr>
            <w:r w:rsidRPr="00795F17">
              <w:t>0,03</w:t>
            </w:r>
          </w:p>
        </w:tc>
      </w:tr>
      <w:tr w:rsidR="00CF5513" w:rsidRPr="00795F17" w14:paraId="2F468463" w14:textId="77777777" w:rsidTr="009D4C75">
        <w:trPr>
          <w:trHeight w:val="454"/>
          <w:jc w:val="center"/>
        </w:trPr>
        <w:tc>
          <w:tcPr>
            <w:tcW w:w="1997" w:type="pct"/>
          </w:tcPr>
          <w:p w14:paraId="7B2D3922" w14:textId="1031B0F7" w:rsidR="00CF5513" w:rsidRPr="00795F17" w:rsidRDefault="00CF5513" w:rsidP="00B724C2">
            <w:pPr>
              <w:pStyle w:val="Teksttabelisrodek"/>
              <w:jc w:val="left"/>
              <w:rPr>
                <w:color w:val="000000"/>
              </w:rPr>
            </w:pPr>
            <w:r w:rsidRPr="00795F17">
              <w:t>przemysł, usługi, handel</w:t>
            </w:r>
          </w:p>
        </w:tc>
        <w:tc>
          <w:tcPr>
            <w:tcW w:w="1639" w:type="pct"/>
          </w:tcPr>
          <w:p w14:paraId="10F5BC53" w14:textId="6652739F" w:rsidR="00CF5513" w:rsidRPr="00795F17" w:rsidRDefault="00CF5513" w:rsidP="0065243A">
            <w:pPr>
              <w:pStyle w:val="Teksttabelisrodek"/>
            </w:pPr>
            <w:r w:rsidRPr="00795F17">
              <w:t>91 417</w:t>
            </w:r>
          </w:p>
        </w:tc>
        <w:tc>
          <w:tcPr>
            <w:tcW w:w="1364" w:type="pct"/>
          </w:tcPr>
          <w:p w14:paraId="3E467014" w14:textId="4696ED69" w:rsidR="00CF5513" w:rsidRPr="00795F17" w:rsidRDefault="00CF5513" w:rsidP="0065243A">
            <w:pPr>
              <w:pStyle w:val="Teksttabelisrodek"/>
              <w:rPr>
                <w:color w:val="000000"/>
              </w:rPr>
            </w:pPr>
            <w:r w:rsidRPr="00795F17">
              <w:t>6,84</w:t>
            </w:r>
          </w:p>
        </w:tc>
      </w:tr>
      <w:tr w:rsidR="00CF5513" w:rsidRPr="00795F17" w14:paraId="315F1A7F" w14:textId="77777777" w:rsidTr="009D4C75">
        <w:trPr>
          <w:trHeight w:val="454"/>
          <w:jc w:val="center"/>
        </w:trPr>
        <w:tc>
          <w:tcPr>
            <w:tcW w:w="1997" w:type="pct"/>
          </w:tcPr>
          <w:p w14:paraId="3F518AA1" w14:textId="5D5EA7CE" w:rsidR="00CF5513" w:rsidRPr="00795F17" w:rsidRDefault="00863316" w:rsidP="00B724C2">
            <w:pPr>
              <w:pStyle w:val="Teksttabelisrodek"/>
              <w:jc w:val="left"/>
              <w:rPr>
                <w:color w:val="000000"/>
              </w:rPr>
            </w:pPr>
            <w:r>
              <w:t>r</w:t>
            </w:r>
            <w:r w:rsidR="00CF5513" w:rsidRPr="00795F17">
              <w:t>olnicze</w:t>
            </w:r>
          </w:p>
        </w:tc>
        <w:tc>
          <w:tcPr>
            <w:tcW w:w="1639" w:type="pct"/>
          </w:tcPr>
          <w:p w14:paraId="364012F6" w14:textId="6F273A7E" w:rsidR="00CF5513" w:rsidRPr="00795F17" w:rsidRDefault="00CF5513" w:rsidP="0065243A">
            <w:pPr>
              <w:pStyle w:val="Teksttabelisrodek"/>
            </w:pPr>
            <w:r w:rsidRPr="00795F17">
              <w:t>161 41</w:t>
            </w:r>
          </w:p>
        </w:tc>
        <w:tc>
          <w:tcPr>
            <w:tcW w:w="1364" w:type="pct"/>
          </w:tcPr>
          <w:p w14:paraId="5324445A" w14:textId="271EBFFE" w:rsidR="00CF5513" w:rsidRPr="00795F17" w:rsidRDefault="00CF5513" w:rsidP="0065243A">
            <w:pPr>
              <w:pStyle w:val="Teksttabelisrodek"/>
              <w:rPr>
                <w:color w:val="000000"/>
              </w:rPr>
            </w:pPr>
            <w:r w:rsidRPr="00795F17">
              <w:t>1,21</w:t>
            </w:r>
          </w:p>
        </w:tc>
      </w:tr>
      <w:tr w:rsidR="00CF5513" w:rsidRPr="00795F17" w14:paraId="1D9C3925" w14:textId="77777777" w:rsidTr="009D4C75">
        <w:trPr>
          <w:trHeight w:val="454"/>
          <w:jc w:val="center"/>
        </w:trPr>
        <w:tc>
          <w:tcPr>
            <w:tcW w:w="1997" w:type="pct"/>
            <w:hideMark/>
          </w:tcPr>
          <w:p w14:paraId="28883FE6" w14:textId="13586CE5" w:rsidR="00CF5513" w:rsidRPr="00795F17" w:rsidRDefault="00863316" w:rsidP="00B724C2">
            <w:pPr>
              <w:pStyle w:val="Teksttabelisrodek"/>
              <w:jc w:val="left"/>
              <w:rPr>
                <w:color w:val="000000"/>
              </w:rPr>
            </w:pPr>
            <w:r>
              <w:t>u</w:t>
            </w:r>
            <w:r w:rsidR="00CF5513" w:rsidRPr="00795F17">
              <w:t>sługi</w:t>
            </w:r>
          </w:p>
        </w:tc>
        <w:tc>
          <w:tcPr>
            <w:tcW w:w="1639" w:type="pct"/>
            <w:hideMark/>
          </w:tcPr>
          <w:p w14:paraId="0E081228" w14:textId="3828E2E8" w:rsidR="00CF5513" w:rsidRPr="00795F17" w:rsidRDefault="00CF5513" w:rsidP="0065243A">
            <w:pPr>
              <w:pStyle w:val="Teksttabelisrodek"/>
            </w:pPr>
            <w:r w:rsidRPr="00795F17">
              <w:t>2 636</w:t>
            </w:r>
          </w:p>
        </w:tc>
        <w:tc>
          <w:tcPr>
            <w:tcW w:w="1364" w:type="pct"/>
            <w:hideMark/>
          </w:tcPr>
          <w:p w14:paraId="66AD3377" w14:textId="61B84DDC" w:rsidR="00CF5513" w:rsidRPr="00795F17" w:rsidRDefault="00CF5513" w:rsidP="0065243A">
            <w:pPr>
              <w:pStyle w:val="Teksttabelisrodek"/>
              <w:rPr>
                <w:color w:val="000000"/>
              </w:rPr>
            </w:pPr>
            <w:r w:rsidRPr="00795F17">
              <w:t>0,20</w:t>
            </w:r>
          </w:p>
        </w:tc>
      </w:tr>
      <w:tr w:rsidR="00CF5513" w:rsidRPr="00795F17" w14:paraId="31A02F86" w14:textId="77777777" w:rsidTr="009D4C75">
        <w:trPr>
          <w:trHeight w:val="454"/>
          <w:jc w:val="center"/>
        </w:trPr>
        <w:tc>
          <w:tcPr>
            <w:tcW w:w="1997" w:type="pct"/>
            <w:hideMark/>
          </w:tcPr>
          <w:p w14:paraId="0D48FCE9" w14:textId="4256459D" w:rsidR="00CF5513" w:rsidRPr="00795F17" w:rsidRDefault="00863316" w:rsidP="00B724C2">
            <w:pPr>
              <w:pStyle w:val="Teksttabelisrodek"/>
              <w:jc w:val="left"/>
              <w:rPr>
                <w:color w:val="000000"/>
              </w:rPr>
            </w:pPr>
            <w:r>
              <w:t>w</w:t>
            </w:r>
            <w:r w:rsidR="00CF5513" w:rsidRPr="00795F17">
              <w:t>ojsko</w:t>
            </w:r>
          </w:p>
        </w:tc>
        <w:tc>
          <w:tcPr>
            <w:tcW w:w="1639" w:type="pct"/>
            <w:hideMark/>
          </w:tcPr>
          <w:p w14:paraId="441B4086" w14:textId="63BD1A9E" w:rsidR="00CF5513" w:rsidRPr="00795F17" w:rsidRDefault="00CF5513" w:rsidP="0065243A">
            <w:pPr>
              <w:pStyle w:val="Teksttabelisrodek"/>
            </w:pPr>
            <w:r w:rsidRPr="00795F17">
              <w:t>956</w:t>
            </w:r>
          </w:p>
        </w:tc>
        <w:tc>
          <w:tcPr>
            <w:tcW w:w="1364" w:type="pct"/>
            <w:hideMark/>
          </w:tcPr>
          <w:p w14:paraId="64873243" w14:textId="768FE1E9" w:rsidR="00CF5513" w:rsidRPr="00795F17" w:rsidRDefault="00CF5513" w:rsidP="0065243A">
            <w:pPr>
              <w:pStyle w:val="Teksttabelisrodek"/>
              <w:rPr>
                <w:color w:val="000000"/>
              </w:rPr>
            </w:pPr>
            <w:r w:rsidRPr="00795F17">
              <w:t>0,07</w:t>
            </w:r>
          </w:p>
        </w:tc>
      </w:tr>
      <w:tr w:rsidR="00CF5513" w:rsidRPr="00795F17" w14:paraId="2DE09B8E" w14:textId="77777777" w:rsidTr="009D4C75">
        <w:trPr>
          <w:trHeight w:val="454"/>
          <w:jc w:val="center"/>
        </w:trPr>
        <w:tc>
          <w:tcPr>
            <w:tcW w:w="1997" w:type="pct"/>
          </w:tcPr>
          <w:p w14:paraId="73552EE8" w14:textId="1A10F1BD" w:rsidR="00CF5513" w:rsidRPr="00795F17" w:rsidRDefault="00CF5513" w:rsidP="00B724C2">
            <w:pPr>
              <w:pStyle w:val="Teksttabelisrodek"/>
              <w:jc w:val="left"/>
            </w:pPr>
            <w:r w:rsidRPr="00795F17">
              <w:t>z odwodnień kopalnianych</w:t>
            </w:r>
          </w:p>
        </w:tc>
        <w:tc>
          <w:tcPr>
            <w:tcW w:w="1639" w:type="pct"/>
          </w:tcPr>
          <w:p w14:paraId="25F56BE0" w14:textId="17169A2F" w:rsidR="00CF5513" w:rsidRPr="00795F17" w:rsidRDefault="00CF5513" w:rsidP="0065243A">
            <w:pPr>
              <w:pStyle w:val="Teksttabelisrodek"/>
              <w:rPr>
                <w:rFonts w:eastAsia="Times New Roman"/>
                <w:color w:val="000000"/>
              </w:rPr>
            </w:pPr>
            <w:r w:rsidRPr="00795F17">
              <w:t>574 951</w:t>
            </w:r>
          </w:p>
        </w:tc>
        <w:tc>
          <w:tcPr>
            <w:tcW w:w="1364" w:type="pct"/>
          </w:tcPr>
          <w:p w14:paraId="533831F0" w14:textId="08DAA48E" w:rsidR="00CF5513" w:rsidRPr="00795F17" w:rsidRDefault="00CF5513" w:rsidP="0065243A">
            <w:pPr>
              <w:pStyle w:val="Teksttabelisrodek"/>
            </w:pPr>
            <w:r w:rsidRPr="00795F17">
              <w:t>43,04</w:t>
            </w:r>
          </w:p>
        </w:tc>
      </w:tr>
      <w:tr w:rsidR="00CF5513" w:rsidRPr="00795F17" w14:paraId="43B8EFC0" w14:textId="77777777" w:rsidTr="00AB080C">
        <w:trPr>
          <w:trHeight w:val="454"/>
          <w:jc w:val="center"/>
        </w:trPr>
        <w:tc>
          <w:tcPr>
            <w:tcW w:w="1997" w:type="pct"/>
            <w:shd w:val="clear" w:color="auto" w:fill="BFBFBF" w:themeFill="background1" w:themeFillShade="BF"/>
          </w:tcPr>
          <w:p w14:paraId="436553C0" w14:textId="3C33D03B" w:rsidR="00CF5513" w:rsidRPr="00795F17" w:rsidRDefault="00AB080C" w:rsidP="00AB080C">
            <w:pPr>
              <w:pStyle w:val="Teksttabelinaglowek"/>
            </w:pPr>
            <w:r w:rsidRPr="00795F17">
              <w:t>S</w:t>
            </w:r>
            <w:r w:rsidR="00CF5513" w:rsidRPr="00795F17">
              <w:t>uma</w:t>
            </w:r>
          </w:p>
        </w:tc>
        <w:tc>
          <w:tcPr>
            <w:tcW w:w="1639" w:type="pct"/>
            <w:shd w:val="clear" w:color="auto" w:fill="BFBFBF" w:themeFill="background1" w:themeFillShade="BF"/>
          </w:tcPr>
          <w:p w14:paraId="214ACF48" w14:textId="5A72DC1A" w:rsidR="00CF5513" w:rsidRPr="00795F17" w:rsidRDefault="005B5489" w:rsidP="00AB080C">
            <w:pPr>
              <w:pStyle w:val="Teksttabelinaglowek"/>
            </w:pPr>
            <w:r w:rsidRPr="00795F17">
              <w:t>1 335 820</w:t>
            </w:r>
          </w:p>
        </w:tc>
        <w:tc>
          <w:tcPr>
            <w:tcW w:w="1364" w:type="pct"/>
            <w:shd w:val="clear" w:color="auto" w:fill="BFBFBF" w:themeFill="background1" w:themeFillShade="BF"/>
          </w:tcPr>
          <w:p w14:paraId="4DFED186" w14:textId="2AC83EBA" w:rsidR="00CF5513" w:rsidRPr="00795F17" w:rsidRDefault="00CF5513" w:rsidP="00AB080C">
            <w:pPr>
              <w:pStyle w:val="Teksttabelinaglowek"/>
            </w:pPr>
            <w:r w:rsidRPr="00795F17">
              <w:t>100,0</w:t>
            </w:r>
            <w:r w:rsidR="00AB080C" w:rsidRPr="00795F17">
              <w:t>0</w:t>
            </w:r>
          </w:p>
        </w:tc>
      </w:tr>
    </w:tbl>
    <w:p w14:paraId="694BF2D5" w14:textId="626105EB" w:rsidR="00AD1DA1" w:rsidRPr="00795F17" w:rsidRDefault="00AD1DA1" w:rsidP="0044393D">
      <w:pPr>
        <w:pStyle w:val="rdo"/>
      </w:pPr>
      <w:r w:rsidRPr="00795F17">
        <w:t xml:space="preserve">Źródło: </w:t>
      </w:r>
      <w:r w:rsidR="00FD7248" w:rsidRPr="00795F17">
        <w:t>opracowanie własne</w:t>
      </w:r>
    </w:p>
    <w:p w14:paraId="21AFB657" w14:textId="7945B649" w:rsidR="00AD1DA1" w:rsidRPr="00795F17" w:rsidRDefault="00AD1DA1" w:rsidP="0044393D">
      <w:pPr>
        <w:rPr>
          <w:rFonts w:cstheme="minorBidi"/>
        </w:rPr>
      </w:pPr>
      <w:r w:rsidRPr="00795F17">
        <w:t>Odwadnianie kopalń to najistotniejszy rodzaj presji w stosunku do pozostałych zidentyfikowanych czynników sprawczych. Udział wskazanej presji przekracza niekiedy 90% zasobów dostępnych do</w:t>
      </w:r>
      <w:r w:rsidR="009D4C75" w:rsidRPr="00795F17">
        <w:t> </w:t>
      </w:r>
      <w:r w:rsidRPr="00795F17">
        <w:t xml:space="preserve">zagospodarowania i w związku z tym odwodnienia górnicze należy uznać za jedną z głównych presji na obszarze dorzecza </w:t>
      </w:r>
      <w:r w:rsidR="001F1B4C" w:rsidRPr="00795F17">
        <w:t>Odry</w:t>
      </w:r>
      <w:r w:rsidRPr="00795F17">
        <w:t xml:space="preserve">. Zestawienie </w:t>
      </w:r>
      <w:r w:rsidR="00DF005E">
        <w:t>JCWP</w:t>
      </w:r>
      <w:r w:rsidRPr="00795F17">
        <w:t>d na obszarze których pobór wód podziemnych związany z odwodnieniem kopalni przewyższa pobór związany z innymi czynnikami sprawczymi przedstawia tabela 7-9.</w:t>
      </w:r>
    </w:p>
    <w:p w14:paraId="6CF2DCBA" w14:textId="38DDAAA8" w:rsidR="00AD1DA1" w:rsidRPr="00795F17" w:rsidRDefault="00AD1DA1" w:rsidP="004D7705">
      <w:pPr>
        <w:pStyle w:val="Tabela"/>
        <w:rPr>
          <w:rFonts w:asciiTheme="minorHAnsi" w:hAnsiTheme="minorHAnsi" w:cstheme="minorHAnsi"/>
          <w:szCs w:val="20"/>
        </w:rPr>
      </w:pPr>
      <w:bookmarkStart w:id="370" w:name="_Toc66288078"/>
      <w:bookmarkStart w:id="371" w:name="_Toc66341899"/>
      <w:bookmarkStart w:id="372" w:name="_Toc105512810"/>
      <w:r w:rsidRPr="00795F17">
        <w:t xml:space="preserve">Tabela </w:t>
      </w:r>
      <w:fldSimple w:instr=" STYLEREF 1 \s ">
        <w:r w:rsidR="001F774D">
          <w:rPr>
            <w:noProof/>
          </w:rPr>
          <w:t>7</w:t>
        </w:r>
      </w:fldSimple>
      <w:r w:rsidR="00BB3B21" w:rsidRPr="00795F17">
        <w:noBreakHyphen/>
      </w:r>
      <w:fldSimple w:instr=" SEQ Tabela \* ARABIC \s 1 ">
        <w:r w:rsidR="001F774D">
          <w:rPr>
            <w:noProof/>
          </w:rPr>
          <w:t>9</w:t>
        </w:r>
      </w:fldSimple>
      <w:r w:rsidR="00E76356">
        <w:rPr>
          <w:noProof/>
        </w:rPr>
        <w:t>.</w:t>
      </w:r>
      <w:r w:rsidRPr="00795F17">
        <w:tab/>
        <w:t xml:space="preserve">Zestawienie </w:t>
      </w:r>
      <w:r w:rsidR="00DF005E">
        <w:t>JCWP</w:t>
      </w:r>
      <w:r w:rsidRPr="00795F17">
        <w:t xml:space="preserve">d na obszarze których pobór wód podziemnych związany z odwodnieniem kopalni przewyższa pobór na inne cele </w:t>
      </w:r>
      <w:r w:rsidR="008E1B58">
        <w:t>–</w:t>
      </w:r>
      <w:r w:rsidRPr="00795F17">
        <w:rPr>
          <w:rFonts w:asciiTheme="minorHAnsi" w:hAnsiTheme="minorHAnsi" w:cstheme="minorHAnsi"/>
          <w:szCs w:val="20"/>
        </w:rPr>
        <w:t xml:space="preserve"> obszar dorzecza </w:t>
      </w:r>
      <w:bookmarkEnd w:id="370"/>
      <w:r w:rsidR="001F1B4C" w:rsidRPr="00795F17">
        <w:rPr>
          <w:rFonts w:asciiTheme="minorHAnsi" w:hAnsiTheme="minorHAnsi" w:cstheme="minorHAnsi"/>
          <w:szCs w:val="20"/>
        </w:rPr>
        <w:t>Odry</w:t>
      </w:r>
      <w:bookmarkEnd w:id="371"/>
      <w:bookmarkEnd w:id="372"/>
    </w:p>
    <w:tbl>
      <w:tblPr>
        <w:tblStyle w:val="Tabela-Siatka"/>
        <w:tblW w:w="5000" w:type="pct"/>
        <w:jc w:val="center"/>
        <w:tblLook w:val="04A0" w:firstRow="1" w:lastRow="0" w:firstColumn="1" w:lastColumn="0" w:noHBand="0" w:noVBand="1"/>
      </w:tblPr>
      <w:tblGrid>
        <w:gridCol w:w="2547"/>
        <w:gridCol w:w="2066"/>
        <w:gridCol w:w="1154"/>
        <w:gridCol w:w="2142"/>
        <w:gridCol w:w="1153"/>
      </w:tblGrid>
      <w:tr w:rsidR="00AD1DA1" w:rsidRPr="00795F17" w14:paraId="3FB11FF6" w14:textId="77777777" w:rsidTr="00E01928">
        <w:trPr>
          <w:cnfStyle w:val="100000000000" w:firstRow="1" w:lastRow="0" w:firstColumn="0" w:lastColumn="0" w:oddVBand="0" w:evenVBand="0" w:oddHBand="0" w:evenHBand="0" w:firstRowFirstColumn="0" w:firstRowLastColumn="0" w:lastRowFirstColumn="0" w:lastRowLastColumn="0"/>
          <w:trHeight w:val="454"/>
          <w:jc w:val="center"/>
        </w:trPr>
        <w:tc>
          <w:tcPr>
            <w:tcW w:w="1405" w:type="pct"/>
            <w:vMerge w:val="restart"/>
            <w:hideMark/>
          </w:tcPr>
          <w:p w14:paraId="3C0AC375" w14:textId="30B1469E" w:rsidR="00AD1DA1" w:rsidRPr="00795F17" w:rsidRDefault="00AD1DA1" w:rsidP="0044393D">
            <w:pPr>
              <w:pStyle w:val="Teksttabelinaglowek"/>
            </w:pPr>
            <w:r w:rsidRPr="00795F17">
              <w:rPr>
                <w:b/>
              </w:rPr>
              <w:t xml:space="preserve">Kod </w:t>
            </w:r>
            <w:r w:rsidR="00DF005E">
              <w:rPr>
                <w:b/>
              </w:rPr>
              <w:t>JCWP</w:t>
            </w:r>
            <w:r w:rsidRPr="00795F17">
              <w:rPr>
                <w:b/>
              </w:rPr>
              <w:t>d</w:t>
            </w:r>
          </w:p>
        </w:tc>
        <w:tc>
          <w:tcPr>
            <w:tcW w:w="1777" w:type="pct"/>
            <w:gridSpan w:val="2"/>
          </w:tcPr>
          <w:p w14:paraId="03F92AF6" w14:textId="58223CE8" w:rsidR="00AD1DA1" w:rsidRPr="00795F17" w:rsidRDefault="00AD1DA1" w:rsidP="0044393D">
            <w:pPr>
              <w:pStyle w:val="Teksttabelinaglowek"/>
            </w:pPr>
            <w:r w:rsidRPr="00795F17">
              <w:rPr>
                <w:b/>
              </w:rPr>
              <w:t xml:space="preserve">Pobór wody związany </w:t>
            </w:r>
            <w:r w:rsidR="008F584D">
              <w:rPr>
                <w:b/>
              </w:rPr>
              <w:br/>
            </w:r>
            <w:r w:rsidRPr="00795F17">
              <w:rPr>
                <w:b/>
              </w:rPr>
              <w:t>z</w:t>
            </w:r>
            <w:r w:rsidR="008F584D">
              <w:rPr>
                <w:b/>
              </w:rPr>
              <w:t> </w:t>
            </w:r>
            <w:r w:rsidRPr="00795F17">
              <w:rPr>
                <w:b/>
              </w:rPr>
              <w:t>odwadnianiem kopal</w:t>
            </w:r>
            <w:r w:rsidR="008F584D">
              <w:rPr>
                <w:b/>
              </w:rPr>
              <w:t>ń</w:t>
            </w:r>
          </w:p>
        </w:tc>
        <w:tc>
          <w:tcPr>
            <w:tcW w:w="1818" w:type="pct"/>
            <w:gridSpan w:val="2"/>
          </w:tcPr>
          <w:p w14:paraId="08F1CF7A" w14:textId="77777777" w:rsidR="00AD1DA1" w:rsidRPr="00795F17" w:rsidRDefault="00AD1DA1" w:rsidP="0044393D">
            <w:pPr>
              <w:pStyle w:val="Teksttabelinaglowek"/>
            </w:pPr>
            <w:r w:rsidRPr="00795F17">
              <w:rPr>
                <w:b/>
              </w:rPr>
              <w:t>Pobór wody na inne cele</w:t>
            </w:r>
          </w:p>
        </w:tc>
      </w:tr>
      <w:tr w:rsidR="00AD1DA1" w:rsidRPr="00795F17" w14:paraId="0815BB97" w14:textId="77777777" w:rsidTr="00E01928">
        <w:trPr>
          <w:trHeight w:val="454"/>
          <w:jc w:val="center"/>
        </w:trPr>
        <w:tc>
          <w:tcPr>
            <w:tcW w:w="1405" w:type="pct"/>
            <w:vMerge/>
            <w:shd w:val="clear" w:color="auto" w:fill="BFBFBF" w:themeFill="background1" w:themeFillShade="BF"/>
            <w:hideMark/>
          </w:tcPr>
          <w:p w14:paraId="0923F364" w14:textId="77777777" w:rsidR="00AD1DA1" w:rsidRPr="00795F17" w:rsidRDefault="00AD1DA1" w:rsidP="0044393D">
            <w:pPr>
              <w:pStyle w:val="Teksttabelinaglowek"/>
            </w:pPr>
          </w:p>
        </w:tc>
        <w:tc>
          <w:tcPr>
            <w:tcW w:w="1140" w:type="pct"/>
            <w:shd w:val="clear" w:color="auto" w:fill="BFBFBF" w:themeFill="background1" w:themeFillShade="BF"/>
            <w:hideMark/>
          </w:tcPr>
          <w:p w14:paraId="433D00B2" w14:textId="77777777" w:rsidR="00AD1DA1" w:rsidRPr="00795F17" w:rsidRDefault="00AD1DA1" w:rsidP="0044393D">
            <w:pPr>
              <w:pStyle w:val="Teksttabelinaglowek"/>
            </w:pPr>
            <w:r w:rsidRPr="00795F17">
              <w:t>tys. m</w:t>
            </w:r>
            <w:r w:rsidRPr="00795F17">
              <w:rPr>
                <w:vertAlign w:val="superscript"/>
              </w:rPr>
              <w:t>3</w:t>
            </w:r>
            <w:r w:rsidRPr="00795F17">
              <w:t xml:space="preserve"> na rok</w:t>
            </w:r>
          </w:p>
        </w:tc>
        <w:tc>
          <w:tcPr>
            <w:tcW w:w="637" w:type="pct"/>
            <w:shd w:val="clear" w:color="auto" w:fill="BFBFBF" w:themeFill="background1" w:themeFillShade="BF"/>
            <w:hideMark/>
          </w:tcPr>
          <w:p w14:paraId="16507D71" w14:textId="77777777" w:rsidR="00AD1DA1" w:rsidRPr="00795F17" w:rsidRDefault="00AD1DA1" w:rsidP="0044393D">
            <w:pPr>
              <w:pStyle w:val="Teksttabelinaglowek"/>
            </w:pPr>
            <w:r w:rsidRPr="00795F17">
              <w:t>%</w:t>
            </w:r>
          </w:p>
        </w:tc>
        <w:tc>
          <w:tcPr>
            <w:tcW w:w="1182" w:type="pct"/>
            <w:shd w:val="clear" w:color="auto" w:fill="BFBFBF" w:themeFill="background1" w:themeFillShade="BF"/>
            <w:hideMark/>
          </w:tcPr>
          <w:p w14:paraId="28E9042F" w14:textId="77777777" w:rsidR="00AD1DA1" w:rsidRPr="00795F17" w:rsidRDefault="00AD1DA1" w:rsidP="0044393D">
            <w:pPr>
              <w:pStyle w:val="Teksttabelinaglowek"/>
            </w:pPr>
            <w:r w:rsidRPr="00795F17">
              <w:t>tys. m</w:t>
            </w:r>
            <w:r w:rsidRPr="00795F17">
              <w:rPr>
                <w:vertAlign w:val="superscript"/>
              </w:rPr>
              <w:t>3</w:t>
            </w:r>
            <w:r w:rsidRPr="00795F17">
              <w:t xml:space="preserve"> na rok</w:t>
            </w:r>
          </w:p>
        </w:tc>
        <w:tc>
          <w:tcPr>
            <w:tcW w:w="636" w:type="pct"/>
            <w:shd w:val="clear" w:color="auto" w:fill="BFBFBF" w:themeFill="background1" w:themeFillShade="BF"/>
            <w:hideMark/>
          </w:tcPr>
          <w:p w14:paraId="0E525864" w14:textId="77777777" w:rsidR="00AD1DA1" w:rsidRPr="00795F17" w:rsidRDefault="00AD1DA1" w:rsidP="0044393D">
            <w:pPr>
              <w:pStyle w:val="Teksttabelinaglowek"/>
            </w:pPr>
            <w:r w:rsidRPr="00795F17">
              <w:t>%</w:t>
            </w:r>
          </w:p>
        </w:tc>
      </w:tr>
      <w:tr w:rsidR="00E90C4F" w:rsidRPr="00795F17" w14:paraId="667EA297" w14:textId="77777777" w:rsidTr="00E01928">
        <w:trPr>
          <w:trHeight w:val="454"/>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261A188" w14:textId="77777777" w:rsidR="00E90C4F" w:rsidRPr="00795F17" w:rsidRDefault="00E90C4F" w:rsidP="0065243A">
            <w:pPr>
              <w:pStyle w:val="Teksttabelisrodek"/>
            </w:pPr>
            <w:r w:rsidRPr="00795F17">
              <w:t>Region wodny Warty</w:t>
            </w:r>
          </w:p>
        </w:tc>
      </w:tr>
      <w:tr w:rsidR="00E90C4F" w:rsidRPr="00795F17" w14:paraId="1E3A0981" w14:textId="77777777" w:rsidTr="00E01928">
        <w:trPr>
          <w:trHeight w:val="454"/>
          <w:jc w:val="center"/>
        </w:trPr>
        <w:tc>
          <w:tcPr>
            <w:tcW w:w="1405" w:type="pct"/>
            <w:tcBorders>
              <w:top w:val="single" w:sz="4" w:space="0" w:color="auto"/>
              <w:left w:val="single" w:sz="4" w:space="0" w:color="auto"/>
              <w:bottom w:val="single" w:sz="4" w:space="0" w:color="auto"/>
              <w:right w:val="single" w:sz="4" w:space="0" w:color="auto"/>
            </w:tcBorders>
            <w:noWrap/>
            <w:hideMark/>
          </w:tcPr>
          <w:p w14:paraId="23305FF0" w14:textId="221230DF" w:rsidR="00E90C4F" w:rsidRPr="00795F17" w:rsidRDefault="00E90C4F" w:rsidP="0065243A">
            <w:pPr>
              <w:pStyle w:val="Teksttabelisrodek"/>
            </w:pPr>
            <w:r w:rsidRPr="00795F17">
              <w:t>PLGW600062</w:t>
            </w:r>
            <w:r w:rsidR="007D3481" w:rsidRPr="00795F17">
              <w:t>*</w:t>
            </w:r>
          </w:p>
        </w:tc>
        <w:tc>
          <w:tcPr>
            <w:tcW w:w="1140" w:type="pct"/>
            <w:tcBorders>
              <w:top w:val="single" w:sz="4" w:space="0" w:color="auto"/>
              <w:left w:val="single" w:sz="4" w:space="0" w:color="auto"/>
              <w:bottom w:val="single" w:sz="4" w:space="0" w:color="auto"/>
              <w:right w:val="single" w:sz="4" w:space="0" w:color="auto"/>
            </w:tcBorders>
            <w:noWrap/>
          </w:tcPr>
          <w:p w14:paraId="11DD2EF1" w14:textId="4D0D93A2" w:rsidR="00E90C4F" w:rsidRPr="00795F17" w:rsidRDefault="00E90C4F" w:rsidP="0065243A">
            <w:pPr>
              <w:pStyle w:val="Teksttabelisrodek"/>
            </w:pPr>
            <w:r w:rsidRPr="00795F17">
              <w:t>97</w:t>
            </w:r>
            <w:r w:rsidR="00167A63" w:rsidRPr="00795F17">
              <w:t> </w:t>
            </w:r>
            <w:r w:rsidRPr="00795F17">
              <w:t>244</w:t>
            </w:r>
          </w:p>
        </w:tc>
        <w:tc>
          <w:tcPr>
            <w:tcW w:w="637" w:type="pct"/>
            <w:tcBorders>
              <w:top w:val="single" w:sz="4" w:space="0" w:color="auto"/>
              <w:left w:val="single" w:sz="4" w:space="0" w:color="auto"/>
              <w:bottom w:val="single" w:sz="4" w:space="0" w:color="auto"/>
              <w:right w:val="single" w:sz="4" w:space="0" w:color="auto"/>
            </w:tcBorders>
            <w:noWrap/>
          </w:tcPr>
          <w:p w14:paraId="6D5E823B" w14:textId="62FC8AA8" w:rsidR="00E90C4F" w:rsidRPr="00795F17" w:rsidRDefault="00E90C4F" w:rsidP="0065243A">
            <w:pPr>
              <w:pStyle w:val="Teksttabelisrodek"/>
            </w:pPr>
            <w:r w:rsidRPr="00795F17">
              <w:t>83</w:t>
            </w:r>
            <w:r w:rsidR="00741AD4" w:rsidRPr="00795F17">
              <w:t>,</w:t>
            </w:r>
            <w:r w:rsidRPr="00795F17">
              <w:t>5</w:t>
            </w:r>
          </w:p>
        </w:tc>
        <w:tc>
          <w:tcPr>
            <w:tcW w:w="1182" w:type="pct"/>
            <w:tcBorders>
              <w:top w:val="single" w:sz="4" w:space="0" w:color="auto"/>
              <w:left w:val="single" w:sz="4" w:space="0" w:color="auto"/>
              <w:bottom w:val="single" w:sz="4" w:space="0" w:color="auto"/>
              <w:right w:val="single" w:sz="4" w:space="0" w:color="auto"/>
            </w:tcBorders>
            <w:noWrap/>
          </w:tcPr>
          <w:p w14:paraId="5DB6F17D" w14:textId="353AF0D8" w:rsidR="00E90C4F" w:rsidRPr="00795F17" w:rsidRDefault="00E90C4F" w:rsidP="0065243A">
            <w:pPr>
              <w:pStyle w:val="Teksttabelisrodek"/>
            </w:pPr>
            <w:r w:rsidRPr="00795F17">
              <w:t>19</w:t>
            </w:r>
            <w:r w:rsidR="00167A63" w:rsidRPr="00795F17">
              <w:t> </w:t>
            </w:r>
            <w:r w:rsidRPr="00795F17">
              <w:t>229</w:t>
            </w:r>
          </w:p>
        </w:tc>
        <w:tc>
          <w:tcPr>
            <w:tcW w:w="636" w:type="pct"/>
            <w:tcBorders>
              <w:top w:val="single" w:sz="4" w:space="0" w:color="auto"/>
              <w:left w:val="single" w:sz="4" w:space="0" w:color="auto"/>
              <w:bottom w:val="single" w:sz="4" w:space="0" w:color="auto"/>
              <w:right w:val="single" w:sz="4" w:space="0" w:color="auto"/>
            </w:tcBorders>
          </w:tcPr>
          <w:p w14:paraId="4E5B4384" w14:textId="40DCECB2" w:rsidR="00E90C4F" w:rsidRPr="00795F17" w:rsidRDefault="00E90C4F" w:rsidP="0065243A">
            <w:pPr>
              <w:pStyle w:val="Teksttabelisrodek"/>
            </w:pPr>
            <w:r w:rsidRPr="00795F17">
              <w:t>16</w:t>
            </w:r>
            <w:r w:rsidR="00741AD4" w:rsidRPr="00795F17">
              <w:t>,</w:t>
            </w:r>
            <w:r w:rsidRPr="00795F17">
              <w:t>5</w:t>
            </w:r>
          </w:p>
        </w:tc>
      </w:tr>
      <w:tr w:rsidR="00E90C4F" w:rsidRPr="00795F17" w14:paraId="762BA696" w14:textId="77777777" w:rsidTr="00E01928">
        <w:trPr>
          <w:trHeight w:val="454"/>
          <w:jc w:val="center"/>
        </w:trPr>
        <w:tc>
          <w:tcPr>
            <w:tcW w:w="1405" w:type="pct"/>
            <w:tcBorders>
              <w:top w:val="single" w:sz="4" w:space="0" w:color="auto"/>
              <w:left w:val="single" w:sz="4" w:space="0" w:color="auto"/>
              <w:bottom w:val="single" w:sz="4" w:space="0" w:color="auto"/>
              <w:right w:val="single" w:sz="4" w:space="0" w:color="auto"/>
            </w:tcBorders>
            <w:noWrap/>
            <w:hideMark/>
          </w:tcPr>
          <w:p w14:paraId="338B5894" w14:textId="77777777" w:rsidR="00E90C4F" w:rsidRPr="00795F17" w:rsidRDefault="00E90C4F" w:rsidP="0065243A">
            <w:pPr>
              <w:pStyle w:val="Teksttabelisrodek"/>
            </w:pPr>
            <w:r w:rsidRPr="00795F17">
              <w:t>PLGW600071</w:t>
            </w:r>
          </w:p>
        </w:tc>
        <w:tc>
          <w:tcPr>
            <w:tcW w:w="1140" w:type="pct"/>
            <w:tcBorders>
              <w:top w:val="single" w:sz="4" w:space="0" w:color="auto"/>
              <w:left w:val="single" w:sz="4" w:space="0" w:color="auto"/>
              <w:bottom w:val="single" w:sz="4" w:space="0" w:color="auto"/>
              <w:right w:val="single" w:sz="4" w:space="0" w:color="auto"/>
            </w:tcBorders>
            <w:noWrap/>
          </w:tcPr>
          <w:p w14:paraId="03D200E2" w14:textId="1CE5940E" w:rsidR="00E90C4F" w:rsidRPr="00795F17" w:rsidRDefault="00E90C4F" w:rsidP="0065243A">
            <w:pPr>
              <w:pStyle w:val="Teksttabelisrodek"/>
            </w:pPr>
            <w:r w:rsidRPr="00795F17">
              <w:t>96</w:t>
            </w:r>
            <w:r w:rsidR="00167A63" w:rsidRPr="00795F17">
              <w:t> </w:t>
            </w:r>
            <w:r w:rsidRPr="00795F17">
              <w:t>626</w:t>
            </w:r>
          </w:p>
        </w:tc>
        <w:tc>
          <w:tcPr>
            <w:tcW w:w="637" w:type="pct"/>
            <w:tcBorders>
              <w:top w:val="single" w:sz="4" w:space="0" w:color="auto"/>
              <w:left w:val="single" w:sz="4" w:space="0" w:color="auto"/>
              <w:bottom w:val="single" w:sz="4" w:space="0" w:color="auto"/>
              <w:right w:val="single" w:sz="4" w:space="0" w:color="auto"/>
            </w:tcBorders>
            <w:noWrap/>
          </w:tcPr>
          <w:p w14:paraId="2A788CC9" w14:textId="159A38EB" w:rsidR="00E90C4F" w:rsidRPr="00795F17" w:rsidRDefault="00E90C4F" w:rsidP="0065243A">
            <w:pPr>
              <w:pStyle w:val="Teksttabelisrodek"/>
            </w:pPr>
            <w:r w:rsidRPr="00795F17">
              <w:t>89</w:t>
            </w:r>
          </w:p>
        </w:tc>
        <w:tc>
          <w:tcPr>
            <w:tcW w:w="1182" w:type="pct"/>
            <w:tcBorders>
              <w:top w:val="single" w:sz="4" w:space="0" w:color="auto"/>
              <w:left w:val="single" w:sz="4" w:space="0" w:color="auto"/>
              <w:bottom w:val="single" w:sz="4" w:space="0" w:color="auto"/>
              <w:right w:val="single" w:sz="4" w:space="0" w:color="auto"/>
            </w:tcBorders>
            <w:noWrap/>
          </w:tcPr>
          <w:p w14:paraId="6DBDB4B6" w14:textId="31364FE2" w:rsidR="00E90C4F" w:rsidRPr="00795F17" w:rsidRDefault="00E90C4F" w:rsidP="0065243A">
            <w:pPr>
              <w:pStyle w:val="Teksttabelisrodek"/>
            </w:pPr>
            <w:r w:rsidRPr="00795F17">
              <w:t>11</w:t>
            </w:r>
            <w:r w:rsidR="00167A63" w:rsidRPr="00795F17">
              <w:t> </w:t>
            </w:r>
            <w:r w:rsidRPr="00795F17">
              <w:t>945</w:t>
            </w:r>
          </w:p>
        </w:tc>
        <w:tc>
          <w:tcPr>
            <w:tcW w:w="636" w:type="pct"/>
            <w:tcBorders>
              <w:top w:val="single" w:sz="4" w:space="0" w:color="auto"/>
              <w:left w:val="single" w:sz="4" w:space="0" w:color="auto"/>
              <w:bottom w:val="single" w:sz="4" w:space="0" w:color="auto"/>
              <w:right w:val="single" w:sz="4" w:space="0" w:color="auto"/>
            </w:tcBorders>
          </w:tcPr>
          <w:p w14:paraId="21CAA514" w14:textId="40741881" w:rsidR="00E90C4F" w:rsidRPr="00795F17" w:rsidRDefault="00E90C4F" w:rsidP="0065243A">
            <w:pPr>
              <w:pStyle w:val="Teksttabelisrodek"/>
            </w:pPr>
            <w:r w:rsidRPr="00795F17">
              <w:t>11</w:t>
            </w:r>
          </w:p>
        </w:tc>
      </w:tr>
      <w:tr w:rsidR="00E90C4F" w:rsidRPr="00795F17" w14:paraId="69EAEBAB" w14:textId="77777777" w:rsidTr="00E01928">
        <w:trPr>
          <w:trHeight w:val="454"/>
          <w:jc w:val="center"/>
        </w:trPr>
        <w:tc>
          <w:tcPr>
            <w:tcW w:w="1405" w:type="pct"/>
            <w:tcBorders>
              <w:top w:val="single" w:sz="4" w:space="0" w:color="auto"/>
              <w:left w:val="single" w:sz="4" w:space="0" w:color="auto"/>
              <w:bottom w:val="single" w:sz="4" w:space="0" w:color="auto"/>
              <w:right w:val="single" w:sz="4" w:space="0" w:color="auto"/>
            </w:tcBorders>
            <w:noWrap/>
            <w:hideMark/>
          </w:tcPr>
          <w:p w14:paraId="03A2BCC9" w14:textId="77777777" w:rsidR="00E90C4F" w:rsidRPr="00795F17" w:rsidRDefault="00E90C4F" w:rsidP="0065243A">
            <w:pPr>
              <w:pStyle w:val="Teksttabelisrodek"/>
            </w:pPr>
            <w:r w:rsidRPr="00795F17">
              <w:t>PLGW600083</w:t>
            </w:r>
          </w:p>
        </w:tc>
        <w:tc>
          <w:tcPr>
            <w:tcW w:w="1140" w:type="pct"/>
            <w:tcBorders>
              <w:top w:val="single" w:sz="4" w:space="0" w:color="auto"/>
              <w:left w:val="single" w:sz="4" w:space="0" w:color="auto"/>
              <w:bottom w:val="single" w:sz="4" w:space="0" w:color="auto"/>
              <w:right w:val="single" w:sz="4" w:space="0" w:color="auto"/>
            </w:tcBorders>
            <w:noWrap/>
          </w:tcPr>
          <w:p w14:paraId="15311AE7" w14:textId="2E6DADA3" w:rsidR="00E90C4F" w:rsidRPr="00795F17" w:rsidRDefault="00E90C4F" w:rsidP="0065243A">
            <w:pPr>
              <w:pStyle w:val="Teksttabelisrodek"/>
            </w:pPr>
            <w:r w:rsidRPr="00795F17">
              <w:t>200</w:t>
            </w:r>
            <w:r w:rsidR="00167A63" w:rsidRPr="00795F17">
              <w:t> </w:t>
            </w:r>
            <w:r w:rsidRPr="00795F17">
              <w:t>493</w:t>
            </w:r>
          </w:p>
        </w:tc>
        <w:tc>
          <w:tcPr>
            <w:tcW w:w="637" w:type="pct"/>
            <w:tcBorders>
              <w:top w:val="single" w:sz="4" w:space="0" w:color="auto"/>
              <w:left w:val="single" w:sz="4" w:space="0" w:color="auto"/>
              <w:bottom w:val="single" w:sz="4" w:space="0" w:color="auto"/>
              <w:right w:val="single" w:sz="4" w:space="0" w:color="auto"/>
            </w:tcBorders>
            <w:noWrap/>
          </w:tcPr>
          <w:p w14:paraId="17E1C605" w14:textId="58864684" w:rsidR="00E90C4F" w:rsidRPr="00795F17" w:rsidRDefault="00E90C4F" w:rsidP="0065243A">
            <w:pPr>
              <w:pStyle w:val="Teksttabelisrodek"/>
            </w:pPr>
            <w:r w:rsidRPr="00795F17">
              <w:t>93</w:t>
            </w:r>
            <w:r w:rsidR="00741AD4" w:rsidRPr="00795F17">
              <w:t>,</w:t>
            </w:r>
            <w:r w:rsidRPr="00795F17">
              <w:t>1</w:t>
            </w:r>
          </w:p>
        </w:tc>
        <w:tc>
          <w:tcPr>
            <w:tcW w:w="1182" w:type="pct"/>
            <w:tcBorders>
              <w:top w:val="single" w:sz="4" w:space="0" w:color="auto"/>
              <w:left w:val="single" w:sz="4" w:space="0" w:color="auto"/>
              <w:bottom w:val="single" w:sz="4" w:space="0" w:color="auto"/>
              <w:right w:val="single" w:sz="4" w:space="0" w:color="auto"/>
            </w:tcBorders>
            <w:noWrap/>
          </w:tcPr>
          <w:p w14:paraId="4B7666D6" w14:textId="0BA35A89" w:rsidR="00E90C4F" w:rsidRPr="00795F17" w:rsidRDefault="00E90C4F" w:rsidP="0065243A">
            <w:pPr>
              <w:pStyle w:val="Teksttabelisrodek"/>
            </w:pPr>
            <w:r w:rsidRPr="00795F17">
              <w:t>14</w:t>
            </w:r>
            <w:r w:rsidR="00167A63" w:rsidRPr="00795F17">
              <w:t> </w:t>
            </w:r>
            <w:r w:rsidRPr="00795F17">
              <w:t>855</w:t>
            </w:r>
          </w:p>
        </w:tc>
        <w:tc>
          <w:tcPr>
            <w:tcW w:w="636" w:type="pct"/>
            <w:tcBorders>
              <w:top w:val="single" w:sz="4" w:space="0" w:color="auto"/>
              <w:left w:val="single" w:sz="4" w:space="0" w:color="auto"/>
              <w:bottom w:val="single" w:sz="4" w:space="0" w:color="auto"/>
              <w:right w:val="single" w:sz="4" w:space="0" w:color="auto"/>
            </w:tcBorders>
          </w:tcPr>
          <w:p w14:paraId="1854025A" w14:textId="4BD12DFE" w:rsidR="00E90C4F" w:rsidRPr="00795F17" w:rsidRDefault="00E90C4F" w:rsidP="0065243A">
            <w:pPr>
              <w:pStyle w:val="Teksttabelisrodek"/>
            </w:pPr>
            <w:r w:rsidRPr="00795F17">
              <w:t>6</w:t>
            </w:r>
            <w:r w:rsidR="00741AD4" w:rsidRPr="00795F17">
              <w:t>,</w:t>
            </w:r>
            <w:r w:rsidRPr="00795F17">
              <w:t>9</w:t>
            </w:r>
          </w:p>
        </w:tc>
      </w:tr>
      <w:tr w:rsidR="00E90C4F" w:rsidRPr="00795F17" w14:paraId="2D5160F6" w14:textId="77777777" w:rsidTr="00E01928">
        <w:trPr>
          <w:trHeight w:val="454"/>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E5350DA" w14:textId="77777777" w:rsidR="00E90C4F" w:rsidRPr="00795F17" w:rsidRDefault="00E90C4F" w:rsidP="0065243A">
            <w:pPr>
              <w:pStyle w:val="Teksttabelisrodek"/>
            </w:pPr>
            <w:r w:rsidRPr="00795F17">
              <w:t>Region wodny Środkowej Odry</w:t>
            </w:r>
          </w:p>
        </w:tc>
      </w:tr>
      <w:tr w:rsidR="00E90C4F" w:rsidRPr="00795F17" w14:paraId="56393ADA" w14:textId="77777777" w:rsidTr="00E01928">
        <w:trPr>
          <w:trHeight w:val="454"/>
          <w:jc w:val="center"/>
        </w:trPr>
        <w:tc>
          <w:tcPr>
            <w:tcW w:w="1405" w:type="pct"/>
            <w:tcBorders>
              <w:top w:val="single" w:sz="4" w:space="0" w:color="auto"/>
              <w:left w:val="single" w:sz="4" w:space="0" w:color="auto"/>
              <w:bottom w:val="single" w:sz="4" w:space="0" w:color="auto"/>
              <w:right w:val="single" w:sz="4" w:space="0" w:color="auto"/>
            </w:tcBorders>
            <w:noWrap/>
            <w:hideMark/>
          </w:tcPr>
          <w:p w14:paraId="260185D3" w14:textId="77777777" w:rsidR="00E90C4F" w:rsidRPr="00795F17" w:rsidRDefault="00E90C4F" w:rsidP="0065243A">
            <w:pPr>
              <w:pStyle w:val="Teksttabelisrodek"/>
            </w:pPr>
            <w:r w:rsidRPr="00795F17">
              <w:t>PLGW600077</w:t>
            </w:r>
          </w:p>
        </w:tc>
        <w:tc>
          <w:tcPr>
            <w:tcW w:w="1140" w:type="pct"/>
            <w:tcBorders>
              <w:top w:val="single" w:sz="4" w:space="0" w:color="auto"/>
              <w:left w:val="single" w:sz="4" w:space="0" w:color="auto"/>
              <w:bottom w:val="single" w:sz="4" w:space="0" w:color="auto"/>
              <w:right w:val="single" w:sz="4" w:space="0" w:color="auto"/>
            </w:tcBorders>
            <w:noWrap/>
          </w:tcPr>
          <w:p w14:paraId="2377BBEE" w14:textId="40AB03CE" w:rsidR="00E90C4F" w:rsidRPr="00795F17" w:rsidRDefault="00E90C4F" w:rsidP="0065243A">
            <w:pPr>
              <w:pStyle w:val="Teksttabelisrodek"/>
            </w:pPr>
            <w:r w:rsidRPr="00795F17">
              <w:t>20</w:t>
            </w:r>
            <w:r w:rsidR="00167A63" w:rsidRPr="00795F17">
              <w:t> </w:t>
            </w:r>
            <w:r w:rsidRPr="00795F17">
              <w:t>764</w:t>
            </w:r>
          </w:p>
        </w:tc>
        <w:tc>
          <w:tcPr>
            <w:tcW w:w="637" w:type="pct"/>
            <w:tcBorders>
              <w:top w:val="single" w:sz="4" w:space="0" w:color="auto"/>
              <w:left w:val="single" w:sz="4" w:space="0" w:color="auto"/>
              <w:bottom w:val="single" w:sz="4" w:space="0" w:color="auto"/>
              <w:right w:val="single" w:sz="4" w:space="0" w:color="auto"/>
            </w:tcBorders>
            <w:noWrap/>
          </w:tcPr>
          <w:p w14:paraId="43716FDA" w14:textId="324C2A2B" w:rsidR="00E90C4F" w:rsidRPr="00795F17" w:rsidRDefault="00E90C4F" w:rsidP="0065243A">
            <w:pPr>
              <w:pStyle w:val="Teksttabelisrodek"/>
            </w:pPr>
            <w:r w:rsidRPr="00795F17">
              <w:t>64</w:t>
            </w:r>
            <w:r w:rsidR="00741AD4" w:rsidRPr="00795F17">
              <w:t>,</w:t>
            </w:r>
            <w:r w:rsidRPr="00795F17">
              <w:t>9</w:t>
            </w:r>
          </w:p>
        </w:tc>
        <w:tc>
          <w:tcPr>
            <w:tcW w:w="1182" w:type="pct"/>
            <w:tcBorders>
              <w:top w:val="single" w:sz="4" w:space="0" w:color="auto"/>
              <w:left w:val="single" w:sz="4" w:space="0" w:color="auto"/>
              <w:bottom w:val="single" w:sz="4" w:space="0" w:color="auto"/>
              <w:right w:val="single" w:sz="4" w:space="0" w:color="auto"/>
            </w:tcBorders>
            <w:noWrap/>
          </w:tcPr>
          <w:p w14:paraId="71DCE897" w14:textId="14D4ED8C" w:rsidR="00E90C4F" w:rsidRPr="00795F17" w:rsidRDefault="00E90C4F" w:rsidP="0065243A">
            <w:pPr>
              <w:pStyle w:val="Teksttabelisrodek"/>
            </w:pPr>
            <w:r w:rsidRPr="00795F17">
              <w:t>11</w:t>
            </w:r>
            <w:r w:rsidR="00167A63" w:rsidRPr="00795F17">
              <w:t> </w:t>
            </w:r>
            <w:r w:rsidRPr="00795F17">
              <w:t>226</w:t>
            </w:r>
          </w:p>
        </w:tc>
        <w:tc>
          <w:tcPr>
            <w:tcW w:w="636" w:type="pct"/>
            <w:tcBorders>
              <w:top w:val="single" w:sz="4" w:space="0" w:color="auto"/>
              <w:left w:val="single" w:sz="4" w:space="0" w:color="auto"/>
              <w:bottom w:val="single" w:sz="4" w:space="0" w:color="auto"/>
              <w:right w:val="single" w:sz="4" w:space="0" w:color="auto"/>
            </w:tcBorders>
          </w:tcPr>
          <w:p w14:paraId="42D3E65C" w14:textId="316005F4" w:rsidR="00E90C4F" w:rsidRPr="00795F17" w:rsidRDefault="00E90C4F" w:rsidP="0065243A">
            <w:pPr>
              <w:pStyle w:val="Teksttabelisrodek"/>
            </w:pPr>
            <w:r w:rsidRPr="00795F17">
              <w:t>35</w:t>
            </w:r>
            <w:r w:rsidR="00741AD4" w:rsidRPr="00795F17">
              <w:t>,</w:t>
            </w:r>
            <w:r w:rsidRPr="00795F17">
              <w:t>1</w:t>
            </w:r>
          </w:p>
        </w:tc>
      </w:tr>
      <w:tr w:rsidR="00E90C4F" w:rsidRPr="00795F17" w14:paraId="073115A8" w14:textId="77777777" w:rsidTr="00E01928">
        <w:trPr>
          <w:trHeight w:val="454"/>
          <w:jc w:val="center"/>
        </w:trPr>
        <w:tc>
          <w:tcPr>
            <w:tcW w:w="1405" w:type="pct"/>
            <w:tcBorders>
              <w:top w:val="single" w:sz="4" w:space="0" w:color="auto"/>
              <w:left w:val="single" w:sz="4" w:space="0" w:color="auto"/>
              <w:bottom w:val="single" w:sz="4" w:space="0" w:color="auto"/>
              <w:right w:val="single" w:sz="4" w:space="0" w:color="auto"/>
            </w:tcBorders>
            <w:noWrap/>
            <w:hideMark/>
          </w:tcPr>
          <w:p w14:paraId="6C939875" w14:textId="77777777" w:rsidR="00E90C4F" w:rsidRPr="00795F17" w:rsidRDefault="00E90C4F" w:rsidP="0065243A">
            <w:pPr>
              <w:pStyle w:val="Teksttabelisrodek"/>
            </w:pPr>
            <w:r w:rsidRPr="00795F17">
              <w:t>PLGW6000105</w:t>
            </w:r>
          </w:p>
        </w:tc>
        <w:tc>
          <w:tcPr>
            <w:tcW w:w="1140" w:type="pct"/>
            <w:tcBorders>
              <w:top w:val="single" w:sz="4" w:space="0" w:color="auto"/>
              <w:left w:val="single" w:sz="4" w:space="0" w:color="auto"/>
              <w:bottom w:val="single" w:sz="4" w:space="0" w:color="auto"/>
              <w:right w:val="single" w:sz="4" w:space="0" w:color="auto"/>
            </w:tcBorders>
            <w:noWrap/>
          </w:tcPr>
          <w:p w14:paraId="754CA37B" w14:textId="7BBDDB83" w:rsidR="00E90C4F" w:rsidRPr="00795F17" w:rsidRDefault="00E90C4F" w:rsidP="0065243A">
            <w:pPr>
              <w:pStyle w:val="Teksttabelisrodek"/>
            </w:pPr>
            <w:r w:rsidRPr="00795F17">
              <w:t>11</w:t>
            </w:r>
            <w:r w:rsidR="00167A63" w:rsidRPr="00795F17">
              <w:t> </w:t>
            </w:r>
            <w:r w:rsidRPr="00795F17">
              <w:t>478</w:t>
            </w:r>
          </w:p>
        </w:tc>
        <w:tc>
          <w:tcPr>
            <w:tcW w:w="637" w:type="pct"/>
            <w:tcBorders>
              <w:top w:val="single" w:sz="4" w:space="0" w:color="auto"/>
              <w:left w:val="single" w:sz="4" w:space="0" w:color="auto"/>
              <w:bottom w:val="single" w:sz="4" w:space="0" w:color="auto"/>
              <w:right w:val="single" w:sz="4" w:space="0" w:color="auto"/>
            </w:tcBorders>
            <w:noWrap/>
          </w:tcPr>
          <w:p w14:paraId="1828A3F1" w14:textId="2EFA82E6" w:rsidR="00E90C4F" w:rsidRPr="00795F17" w:rsidRDefault="00E90C4F" w:rsidP="0065243A">
            <w:pPr>
              <w:pStyle w:val="Teksttabelisrodek"/>
            </w:pPr>
            <w:r w:rsidRPr="00795F17">
              <w:t>92</w:t>
            </w:r>
            <w:r w:rsidR="00741AD4" w:rsidRPr="00795F17">
              <w:t>,</w:t>
            </w:r>
            <w:r w:rsidRPr="00795F17">
              <w:t>6</w:t>
            </w:r>
          </w:p>
        </w:tc>
        <w:tc>
          <w:tcPr>
            <w:tcW w:w="1182" w:type="pct"/>
            <w:tcBorders>
              <w:top w:val="single" w:sz="4" w:space="0" w:color="auto"/>
              <w:left w:val="single" w:sz="4" w:space="0" w:color="auto"/>
              <w:bottom w:val="single" w:sz="4" w:space="0" w:color="auto"/>
              <w:right w:val="single" w:sz="4" w:space="0" w:color="auto"/>
            </w:tcBorders>
            <w:noWrap/>
          </w:tcPr>
          <w:p w14:paraId="6A260A92" w14:textId="77777777" w:rsidR="00E90C4F" w:rsidRPr="00795F17" w:rsidRDefault="00E90C4F" w:rsidP="0065243A">
            <w:pPr>
              <w:pStyle w:val="Teksttabelisrodek"/>
            </w:pPr>
            <w:r w:rsidRPr="00795F17">
              <w:t>915</w:t>
            </w:r>
          </w:p>
        </w:tc>
        <w:tc>
          <w:tcPr>
            <w:tcW w:w="636" w:type="pct"/>
            <w:tcBorders>
              <w:top w:val="single" w:sz="4" w:space="0" w:color="auto"/>
              <w:left w:val="single" w:sz="4" w:space="0" w:color="auto"/>
              <w:bottom w:val="single" w:sz="4" w:space="0" w:color="auto"/>
              <w:right w:val="single" w:sz="4" w:space="0" w:color="auto"/>
            </w:tcBorders>
          </w:tcPr>
          <w:p w14:paraId="507081D1" w14:textId="735F7D8A" w:rsidR="00E90C4F" w:rsidRPr="00795F17" w:rsidRDefault="00E90C4F" w:rsidP="0065243A">
            <w:pPr>
              <w:pStyle w:val="Teksttabelisrodek"/>
            </w:pPr>
            <w:r w:rsidRPr="00795F17">
              <w:t>7</w:t>
            </w:r>
            <w:r w:rsidR="00741AD4" w:rsidRPr="00795F17">
              <w:t>,</w:t>
            </w:r>
            <w:r w:rsidRPr="00795F17">
              <w:t>4</w:t>
            </w:r>
          </w:p>
        </w:tc>
      </w:tr>
      <w:tr w:rsidR="00E90C4F" w:rsidRPr="00795F17" w14:paraId="45BB2C1B" w14:textId="77777777" w:rsidTr="00E01928">
        <w:trPr>
          <w:trHeight w:val="454"/>
          <w:jc w:val="center"/>
        </w:trPr>
        <w:tc>
          <w:tcPr>
            <w:tcW w:w="1405" w:type="pct"/>
            <w:tcBorders>
              <w:top w:val="single" w:sz="4" w:space="0" w:color="auto"/>
              <w:left w:val="single" w:sz="4" w:space="0" w:color="auto"/>
              <w:bottom w:val="single" w:sz="4" w:space="0" w:color="auto"/>
              <w:right w:val="single" w:sz="4" w:space="0" w:color="auto"/>
            </w:tcBorders>
            <w:noWrap/>
            <w:hideMark/>
          </w:tcPr>
          <w:p w14:paraId="011882A3" w14:textId="77777777" w:rsidR="00E90C4F" w:rsidRPr="00795F17" w:rsidRDefault="00E90C4F" w:rsidP="0065243A">
            <w:pPr>
              <w:pStyle w:val="Teksttabelisrodek"/>
            </w:pPr>
            <w:r w:rsidRPr="00795F17">
              <w:t>PLGW6000127</w:t>
            </w:r>
          </w:p>
        </w:tc>
        <w:tc>
          <w:tcPr>
            <w:tcW w:w="1140" w:type="pct"/>
            <w:tcBorders>
              <w:top w:val="single" w:sz="4" w:space="0" w:color="auto"/>
              <w:left w:val="single" w:sz="4" w:space="0" w:color="auto"/>
              <w:bottom w:val="single" w:sz="4" w:space="0" w:color="auto"/>
              <w:right w:val="single" w:sz="4" w:space="0" w:color="auto"/>
            </w:tcBorders>
            <w:noWrap/>
          </w:tcPr>
          <w:p w14:paraId="245847F6" w14:textId="3D9B1D16" w:rsidR="00E90C4F" w:rsidRPr="00795F17" w:rsidRDefault="00E90C4F" w:rsidP="0065243A">
            <w:pPr>
              <w:pStyle w:val="Teksttabelisrodek"/>
            </w:pPr>
            <w:r w:rsidRPr="00795F17">
              <w:t>14</w:t>
            </w:r>
            <w:r w:rsidR="00167A63" w:rsidRPr="00795F17">
              <w:t> </w:t>
            </w:r>
            <w:r w:rsidRPr="00795F17">
              <w:t>119</w:t>
            </w:r>
          </w:p>
        </w:tc>
        <w:tc>
          <w:tcPr>
            <w:tcW w:w="637" w:type="pct"/>
            <w:tcBorders>
              <w:top w:val="single" w:sz="4" w:space="0" w:color="auto"/>
              <w:left w:val="single" w:sz="4" w:space="0" w:color="auto"/>
              <w:bottom w:val="single" w:sz="4" w:space="0" w:color="auto"/>
              <w:right w:val="single" w:sz="4" w:space="0" w:color="auto"/>
            </w:tcBorders>
            <w:noWrap/>
          </w:tcPr>
          <w:p w14:paraId="69CD6A4E" w14:textId="5B7C6BC6" w:rsidR="00E90C4F" w:rsidRPr="00795F17" w:rsidRDefault="00E90C4F" w:rsidP="0065243A">
            <w:pPr>
              <w:pStyle w:val="Teksttabelisrodek"/>
            </w:pPr>
            <w:r w:rsidRPr="00795F17">
              <w:t>58</w:t>
            </w:r>
            <w:r w:rsidR="00741AD4" w:rsidRPr="00795F17">
              <w:t>,</w:t>
            </w:r>
            <w:r w:rsidRPr="00795F17">
              <w:t>7</w:t>
            </w:r>
          </w:p>
        </w:tc>
        <w:tc>
          <w:tcPr>
            <w:tcW w:w="1182" w:type="pct"/>
            <w:tcBorders>
              <w:top w:val="single" w:sz="4" w:space="0" w:color="auto"/>
              <w:left w:val="single" w:sz="4" w:space="0" w:color="auto"/>
              <w:bottom w:val="single" w:sz="4" w:space="0" w:color="auto"/>
              <w:right w:val="single" w:sz="4" w:space="0" w:color="auto"/>
            </w:tcBorders>
            <w:noWrap/>
          </w:tcPr>
          <w:p w14:paraId="087411B0" w14:textId="47A9DB0B" w:rsidR="00E90C4F" w:rsidRPr="00795F17" w:rsidRDefault="00E90C4F" w:rsidP="0065243A">
            <w:pPr>
              <w:pStyle w:val="Teksttabelisrodek"/>
            </w:pPr>
            <w:r w:rsidRPr="00795F17">
              <w:t>9</w:t>
            </w:r>
            <w:r w:rsidR="00167A63" w:rsidRPr="00795F17">
              <w:t> </w:t>
            </w:r>
            <w:r w:rsidRPr="00795F17">
              <w:t>915</w:t>
            </w:r>
          </w:p>
        </w:tc>
        <w:tc>
          <w:tcPr>
            <w:tcW w:w="636" w:type="pct"/>
            <w:tcBorders>
              <w:top w:val="single" w:sz="4" w:space="0" w:color="auto"/>
              <w:left w:val="single" w:sz="4" w:space="0" w:color="auto"/>
              <w:bottom w:val="single" w:sz="4" w:space="0" w:color="auto"/>
              <w:right w:val="single" w:sz="4" w:space="0" w:color="auto"/>
            </w:tcBorders>
          </w:tcPr>
          <w:p w14:paraId="67D7328D" w14:textId="36764C72" w:rsidR="00E90C4F" w:rsidRPr="00795F17" w:rsidRDefault="00E90C4F" w:rsidP="0065243A">
            <w:pPr>
              <w:pStyle w:val="Teksttabelisrodek"/>
            </w:pPr>
            <w:r w:rsidRPr="00795F17">
              <w:t>41</w:t>
            </w:r>
            <w:r w:rsidR="00741AD4" w:rsidRPr="00795F17">
              <w:t>,</w:t>
            </w:r>
            <w:r w:rsidRPr="00795F17">
              <w:t>3</w:t>
            </w:r>
          </w:p>
        </w:tc>
      </w:tr>
      <w:tr w:rsidR="00E90C4F" w:rsidRPr="00795F17" w14:paraId="34EC5829" w14:textId="77777777" w:rsidTr="00E01928">
        <w:trPr>
          <w:trHeight w:val="454"/>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897DC54" w14:textId="77777777" w:rsidR="00E90C4F" w:rsidRPr="00795F17" w:rsidRDefault="00E90C4F" w:rsidP="0065243A">
            <w:pPr>
              <w:pStyle w:val="Teksttabelisrodek"/>
            </w:pPr>
            <w:r w:rsidRPr="00795F17">
              <w:t>Region wodny Górnej Odry</w:t>
            </w:r>
          </w:p>
        </w:tc>
      </w:tr>
      <w:tr w:rsidR="00E90C4F" w:rsidRPr="00795F17" w14:paraId="74AEF47B" w14:textId="77777777" w:rsidTr="00E01928">
        <w:trPr>
          <w:trHeight w:val="454"/>
          <w:jc w:val="center"/>
        </w:trPr>
        <w:tc>
          <w:tcPr>
            <w:tcW w:w="1405" w:type="pct"/>
            <w:tcBorders>
              <w:top w:val="single" w:sz="4" w:space="0" w:color="auto"/>
              <w:left w:val="single" w:sz="4" w:space="0" w:color="auto"/>
              <w:bottom w:val="single" w:sz="4" w:space="0" w:color="auto"/>
              <w:right w:val="single" w:sz="4" w:space="0" w:color="auto"/>
            </w:tcBorders>
            <w:noWrap/>
            <w:hideMark/>
          </w:tcPr>
          <w:p w14:paraId="69FEE7F8" w14:textId="77777777" w:rsidR="00E90C4F" w:rsidRPr="00795F17" w:rsidRDefault="00E90C4F" w:rsidP="0065243A">
            <w:pPr>
              <w:pStyle w:val="Teksttabelisrodek"/>
            </w:pPr>
            <w:r w:rsidRPr="00795F17">
              <w:t>PLGW6000129</w:t>
            </w:r>
          </w:p>
        </w:tc>
        <w:tc>
          <w:tcPr>
            <w:tcW w:w="1140" w:type="pct"/>
            <w:tcBorders>
              <w:top w:val="single" w:sz="4" w:space="0" w:color="auto"/>
              <w:left w:val="single" w:sz="4" w:space="0" w:color="auto"/>
              <w:bottom w:val="single" w:sz="4" w:space="0" w:color="auto"/>
              <w:right w:val="single" w:sz="4" w:space="0" w:color="auto"/>
            </w:tcBorders>
            <w:noWrap/>
          </w:tcPr>
          <w:p w14:paraId="73161571" w14:textId="02B7AF6F" w:rsidR="00E90C4F" w:rsidRPr="00795F17" w:rsidRDefault="00E90C4F" w:rsidP="0065243A">
            <w:pPr>
              <w:pStyle w:val="Teksttabelisrodek"/>
            </w:pPr>
            <w:r w:rsidRPr="00795F17">
              <w:t>48</w:t>
            </w:r>
            <w:r w:rsidR="00167A63" w:rsidRPr="00795F17">
              <w:t> </w:t>
            </w:r>
            <w:r w:rsidRPr="00795F17">
              <w:t>181</w:t>
            </w:r>
          </w:p>
        </w:tc>
        <w:tc>
          <w:tcPr>
            <w:tcW w:w="637" w:type="pct"/>
            <w:tcBorders>
              <w:top w:val="single" w:sz="4" w:space="0" w:color="auto"/>
              <w:left w:val="single" w:sz="4" w:space="0" w:color="auto"/>
              <w:bottom w:val="single" w:sz="4" w:space="0" w:color="auto"/>
              <w:right w:val="single" w:sz="4" w:space="0" w:color="auto"/>
            </w:tcBorders>
            <w:noWrap/>
          </w:tcPr>
          <w:p w14:paraId="31419606" w14:textId="4F3F69F0" w:rsidR="00E90C4F" w:rsidRPr="00795F17" w:rsidRDefault="00E90C4F" w:rsidP="0065243A">
            <w:pPr>
              <w:pStyle w:val="Teksttabelisrodek"/>
            </w:pPr>
            <w:r w:rsidRPr="00795F17">
              <w:t>91</w:t>
            </w:r>
            <w:r w:rsidR="00741AD4" w:rsidRPr="00795F17">
              <w:t>,</w:t>
            </w:r>
            <w:r w:rsidRPr="00795F17">
              <w:t>1</w:t>
            </w:r>
          </w:p>
        </w:tc>
        <w:tc>
          <w:tcPr>
            <w:tcW w:w="1182" w:type="pct"/>
            <w:tcBorders>
              <w:top w:val="single" w:sz="4" w:space="0" w:color="auto"/>
              <w:left w:val="single" w:sz="4" w:space="0" w:color="auto"/>
              <w:bottom w:val="single" w:sz="4" w:space="0" w:color="auto"/>
              <w:right w:val="single" w:sz="4" w:space="0" w:color="auto"/>
            </w:tcBorders>
            <w:noWrap/>
          </w:tcPr>
          <w:p w14:paraId="3C253554" w14:textId="5A44FDE6" w:rsidR="00E90C4F" w:rsidRPr="00795F17" w:rsidRDefault="00E90C4F" w:rsidP="0065243A">
            <w:pPr>
              <w:pStyle w:val="Teksttabelisrodek"/>
            </w:pPr>
            <w:r w:rsidRPr="00795F17">
              <w:t>4</w:t>
            </w:r>
            <w:r w:rsidR="00167A63" w:rsidRPr="00795F17">
              <w:t> </w:t>
            </w:r>
            <w:r w:rsidRPr="00795F17">
              <w:t>685</w:t>
            </w:r>
          </w:p>
        </w:tc>
        <w:tc>
          <w:tcPr>
            <w:tcW w:w="636" w:type="pct"/>
            <w:tcBorders>
              <w:top w:val="single" w:sz="4" w:space="0" w:color="auto"/>
              <w:left w:val="single" w:sz="4" w:space="0" w:color="auto"/>
              <w:bottom w:val="single" w:sz="4" w:space="0" w:color="auto"/>
              <w:right w:val="single" w:sz="4" w:space="0" w:color="auto"/>
            </w:tcBorders>
          </w:tcPr>
          <w:p w14:paraId="7A7BA67D" w14:textId="14F5D843" w:rsidR="00E90C4F" w:rsidRPr="00795F17" w:rsidRDefault="00E90C4F" w:rsidP="0065243A">
            <w:pPr>
              <w:pStyle w:val="Teksttabelisrodek"/>
            </w:pPr>
            <w:r w:rsidRPr="00795F17">
              <w:t>8</w:t>
            </w:r>
            <w:r w:rsidR="00741AD4" w:rsidRPr="00795F17">
              <w:t>,</w:t>
            </w:r>
            <w:r w:rsidRPr="00795F17">
              <w:t>9</w:t>
            </w:r>
          </w:p>
        </w:tc>
      </w:tr>
      <w:tr w:rsidR="00E90C4F" w:rsidRPr="00795F17" w14:paraId="0F0C9143" w14:textId="77777777" w:rsidTr="00E01928">
        <w:trPr>
          <w:trHeight w:val="454"/>
          <w:jc w:val="center"/>
        </w:trPr>
        <w:tc>
          <w:tcPr>
            <w:tcW w:w="1405" w:type="pct"/>
            <w:tcBorders>
              <w:top w:val="single" w:sz="4" w:space="0" w:color="auto"/>
              <w:left w:val="single" w:sz="4" w:space="0" w:color="auto"/>
              <w:bottom w:val="single" w:sz="4" w:space="0" w:color="auto"/>
              <w:right w:val="single" w:sz="4" w:space="0" w:color="auto"/>
            </w:tcBorders>
            <w:noWrap/>
            <w:hideMark/>
          </w:tcPr>
          <w:p w14:paraId="76E60240" w14:textId="77777777" w:rsidR="00E90C4F" w:rsidRPr="00795F17" w:rsidRDefault="00E90C4F" w:rsidP="0065243A">
            <w:pPr>
              <w:pStyle w:val="Teksttabelisrodek"/>
            </w:pPr>
            <w:r w:rsidRPr="00795F17">
              <w:t>PLGW6000143</w:t>
            </w:r>
          </w:p>
        </w:tc>
        <w:tc>
          <w:tcPr>
            <w:tcW w:w="1140" w:type="pct"/>
            <w:tcBorders>
              <w:top w:val="single" w:sz="4" w:space="0" w:color="auto"/>
              <w:left w:val="single" w:sz="4" w:space="0" w:color="auto"/>
              <w:bottom w:val="single" w:sz="4" w:space="0" w:color="auto"/>
              <w:right w:val="single" w:sz="4" w:space="0" w:color="auto"/>
            </w:tcBorders>
            <w:noWrap/>
          </w:tcPr>
          <w:p w14:paraId="70F13CEB" w14:textId="5BD1F204" w:rsidR="00E90C4F" w:rsidRPr="00795F17" w:rsidRDefault="00E90C4F" w:rsidP="0065243A">
            <w:pPr>
              <w:pStyle w:val="Teksttabelisrodek"/>
            </w:pPr>
            <w:r w:rsidRPr="00795F17">
              <w:t>17</w:t>
            </w:r>
            <w:r w:rsidR="00167A63" w:rsidRPr="00795F17">
              <w:t> </w:t>
            </w:r>
            <w:r w:rsidRPr="00795F17">
              <w:t>780</w:t>
            </w:r>
          </w:p>
        </w:tc>
        <w:tc>
          <w:tcPr>
            <w:tcW w:w="637" w:type="pct"/>
            <w:tcBorders>
              <w:top w:val="single" w:sz="4" w:space="0" w:color="auto"/>
              <w:left w:val="single" w:sz="4" w:space="0" w:color="auto"/>
              <w:bottom w:val="single" w:sz="4" w:space="0" w:color="auto"/>
              <w:right w:val="single" w:sz="4" w:space="0" w:color="auto"/>
            </w:tcBorders>
            <w:noWrap/>
          </w:tcPr>
          <w:p w14:paraId="71BB0452" w14:textId="4ED00250" w:rsidR="00E90C4F" w:rsidRPr="00795F17" w:rsidRDefault="00E90C4F" w:rsidP="0065243A">
            <w:pPr>
              <w:pStyle w:val="Teksttabelisrodek"/>
            </w:pPr>
            <w:r w:rsidRPr="00795F17">
              <w:t>81</w:t>
            </w:r>
            <w:r w:rsidR="00741AD4" w:rsidRPr="00795F17">
              <w:t>,</w:t>
            </w:r>
            <w:r w:rsidRPr="00795F17">
              <w:t>3</w:t>
            </w:r>
          </w:p>
        </w:tc>
        <w:tc>
          <w:tcPr>
            <w:tcW w:w="1182" w:type="pct"/>
            <w:tcBorders>
              <w:top w:val="single" w:sz="4" w:space="0" w:color="auto"/>
              <w:left w:val="single" w:sz="4" w:space="0" w:color="auto"/>
              <w:bottom w:val="single" w:sz="4" w:space="0" w:color="auto"/>
              <w:right w:val="single" w:sz="4" w:space="0" w:color="auto"/>
            </w:tcBorders>
            <w:noWrap/>
          </w:tcPr>
          <w:p w14:paraId="2EA1AEDB" w14:textId="23CD56A5" w:rsidR="00E90C4F" w:rsidRPr="00795F17" w:rsidRDefault="00E90C4F" w:rsidP="0065243A">
            <w:pPr>
              <w:pStyle w:val="Teksttabelisrodek"/>
            </w:pPr>
            <w:r w:rsidRPr="00795F17">
              <w:t>4</w:t>
            </w:r>
            <w:r w:rsidR="00167A63" w:rsidRPr="00795F17">
              <w:t> </w:t>
            </w:r>
            <w:r w:rsidRPr="00795F17">
              <w:t>096</w:t>
            </w:r>
          </w:p>
        </w:tc>
        <w:tc>
          <w:tcPr>
            <w:tcW w:w="636" w:type="pct"/>
            <w:tcBorders>
              <w:top w:val="single" w:sz="4" w:space="0" w:color="auto"/>
              <w:left w:val="single" w:sz="4" w:space="0" w:color="auto"/>
              <w:bottom w:val="single" w:sz="4" w:space="0" w:color="auto"/>
              <w:right w:val="single" w:sz="4" w:space="0" w:color="auto"/>
            </w:tcBorders>
          </w:tcPr>
          <w:p w14:paraId="0BBDE526" w14:textId="6DD4BA24" w:rsidR="00E90C4F" w:rsidRPr="00795F17" w:rsidRDefault="00E90C4F" w:rsidP="0065243A">
            <w:pPr>
              <w:pStyle w:val="Teksttabelisrodek"/>
            </w:pPr>
            <w:r w:rsidRPr="00795F17">
              <w:t>18</w:t>
            </w:r>
            <w:r w:rsidR="00741AD4" w:rsidRPr="00795F17">
              <w:t>,</w:t>
            </w:r>
            <w:r w:rsidRPr="00795F17">
              <w:t>7</w:t>
            </w:r>
          </w:p>
        </w:tc>
      </w:tr>
      <w:tr w:rsidR="00E90C4F" w:rsidRPr="00795F17" w14:paraId="21BA8B69" w14:textId="77777777" w:rsidTr="00E01928">
        <w:trPr>
          <w:trHeight w:val="454"/>
          <w:jc w:val="center"/>
        </w:trPr>
        <w:tc>
          <w:tcPr>
            <w:tcW w:w="1405" w:type="pct"/>
            <w:tcBorders>
              <w:top w:val="single" w:sz="4" w:space="0" w:color="auto"/>
              <w:left w:val="single" w:sz="4" w:space="0" w:color="auto"/>
              <w:bottom w:val="single" w:sz="4" w:space="0" w:color="auto"/>
              <w:right w:val="single" w:sz="4" w:space="0" w:color="auto"/>
            </w:tcBorders>
            <w:noWrap/>
            <w:hideMark/>
          </w:tcPr>
          <w:p w14:paraId="702D827E" w14:textId="77777777" w:rsidR="00E90C4F" w:rsidRPr="00795F17" w:rsidRDefault="00E90C4F" w:rsidP="0065243A">
            <w:pPr>
              <w:pStyle w:val="Teksttabelisrodek"/>
            </w:pPr>
            <w:r w:rsidRPr="00795F17">
              <w:t>PLGW6000144</w:t>
            </w:r>
          </w:p>
        </w:tc>
        <w:tc>
          <w:tcPr>
            <w:tcW w:w="1140" w:type="pct"/>
            <w:tcBorders>
              <w:top w:val="single" w:sz="4" w:space="0" w:color="auto"/>
              <w:left w:val="single" w:sz="4" w:space="0" w:color="auto"/>
              <w:bottom w:val="single" w:sz="4" w:space="0" w:color="auto"/>
              <w:right w:val="single" w:sz="4" w:space="0" w:color="auto"/>
            </w:tcBorders>
            <w:noWrap/>
          </w:tcPr>
          <w:p w14:paraId="1CF3FCBC" w14:textId="203E623E" w:rsidR="00E90C4F" w:rsidRPr="00795F17" w:rsidRDefault="00E90C4F" w:rsidP="0065243A">
            <w:pPr>
              <w:pStyle w:val="Teksttabelisrodek"/>
            </w:pPr>
            <w:r w:rsidRPr="00795F17">
              <w:t>7</w:t>
            </w:r>
            <w:r w:rsidR="00167A63" w:rsidRPr="00795F17">
              <w:t> </w:t>
            </w:r>
            <w:r w:rsidRPr="00795F17">
              <w:t>025</w:t>
            </w:r>
          </w:p>
        </w:tc>
        <w:tc>
          <w:tcPr>
            <w:tcW w:w="637" w:type="pct"/>
            <w:tcBorders>
              <w:top w:val="single" w:sz="4" w:space="0" w:color="auto"/>
              <w:left w:val="single" w:sz="4" w:space="0" w:color="auto"/>
              <w:bottom w:val="single" w:sz="4" w:space="0" w:color="auto"/>
              <w:right w:val="single" w:sz="4" w:space="0" w:color="auto"/>
            </w:tcBorders>
            <w:noWrap/>
          </w:tcPr>
          <w:p w14:paraId="57336D92" w14:textId="1CF5A702" w:rsidR="00E90C4F" w:rsidRPr="00795F17" w:rsidRDefault="00E90C4F" w:rsidP="0065243A">
            <w:pPr>
              <w:pStyle w:val="Teksttabelisrodek"/>
            </w:pPr>
            <w:r w:rsidRPr="00795F17">
              <w:t>63</w:t>
            </w:r>
            <w:r w:rsidR="00741AD4" w:rsidRPr="00795F17">
              <w:t>,</w:t>
            </w:r>
            <w:r w:rsidRPr="00795F17">
              <w:t>8</w:t>
            </w:r>
          </w:p>
        </w:tc>
        <w:tc>
          <w:tcPr>
            <w:tcW w:w="1182" w:type="pct"/>
            <w:tcBorders>
              <w:top w:val="single" w:sz="4" w:space="0" w:color="auto"/>
              <w:left w:val="single" w:sz="4" w:space="0" w:color="auto"/>
              <w:bottom w:val="single" w:sz="4" w:space="0" w:color="auto"/>
              <w:right w:val="single" w:sz="4" w:space="0" w:color="auto"/>
            </w:tcBorders>
            <w:noWrap/>
          </w:tcPr>
          <w:p w14:paraId="6AFF597F" w14:textId="1781B59C" w:rsidR="00E90C4F" w:rsidRPr="00795F17" w:rsidRDefault="00E90C4F" w:rsidP="0065243A">
            <w:pPr>
              <w:pStyle w:val="Teksttabelisrodek"/>
            </w:pPr>
            <w:r w:rsidRPr="00795F17">
              <w:t>3</w:t>
            </w:r>
            <w:r w:rsidR="00167A63" w:rsidRPr="00795F17">
              <w:t> </w:t>
            </w:r>
            <w:r w:rsidRPr="00795F17">
              <w:t>980</w:t>
            </w:r>
          </w:p>
        </w:tc>
        <w:tc>
          <w:tcPr>
            <w:tcW w:w="636" w:type="pct"/>
            <w:tcBorders>
              <w:top w:val="single" w:sz="4" w:space="0" w:color="auto"/>
              <w:left w:val="single" w:sz="4" w:space="0" w:color="auto"/>
              <w:bottom w:val="single" w:sz="4" w:space="0" w:color="auto"/>
              <w:right w:val="single" w:sz="4" w:space="0" w:color="auto"/>
            </w:tcBorders>
          </w:tcPr>
          <w:p w14:paraId="611946B6" w14:textId="4F82F3ED" w:rsidR="00E90C4F" w:rsidRPr="00795F17" w:rsidRDefault="00E90C4F" w:rsidP="0065243A">
            <w:pPr>
              <w:pStyle w:val="Teksttabelisrodek"/>
            </w:pPr>
            <w:r w:rsidRPr="00795F17">
              <w:t>36</w:t>
            </w:r>
            <w:r w:rsidR="00741AD4" w:rsidRPr="00795F17">
              <w:t>,</w:t>
            </w:r>
            <w:r w:rsidRPr="00795F17">
              <w:t>2</w:t>
            </w:r>
          </w:p>
        </w:tc>
      </w:tr>
      <w:tr w:rsidR="00E90C4F" w:rsidRPr="00795F17" w14:paraId="2DE96FEC" w14:textId="77777777" w:rsidTr="00E01928">
        <w:trPr>
          <w:trHeight w:val="454"/>
          <w:jc w:val="center"/>
        </w:trPr>
        <w:tc>
          <w:tcPr>
            <w:tcW w:w="1405" w:type="pct"/>
            <w:tcBorders>
              <w:top w:val="single" w:sz="4" w:space="0" w:color="auto"/>
              <w:left w:val="single" w:sz="4" w:space="0" w:color="auto"/>
              <w:bottom w:val="single" w:sz="4" w:space="0" w:color="auto"/>
              <w:right w:val="single" w:sz="4" w:space="0" w:color="auto"/>
            </w:tcBorders>
            <w:noWrap/>
            <w:hideMark/>
          </w:tcPr>
          <w:p w14:paraId="0C830614" w14:textId="77777777" w:rsidR="00E90C4F" w:rsidRPr="00795F17" w:rsidRDefault="00E90C4F" w:rsidP="0065243A">
            <w:pPr>
              <w:pStyle w:val="Teksttabelisrodek"/>
            </w:pPr>
            <w:r w:rsidRPr="00795F17">
              <w:t>PLGW6000155</w:t>
            </w:r>
          </w:p>
        </w:tc>
        <w:tc>
          <w:tcPr>
            <w:tcW w:w="1140" w:type="pct"/>
            <w:tcBorders>
              <w:top w:val="single" w:sz="4" w:space="0" w:color="auto"/>
              <w:left w:val="single" w:sz="4" w:space="0" w:color="auto"/>
              <w:bottom w:val="single" w:sz="4" w:space="0" w:color="auto"/>
              <w:right w:val="single" w:sz="4" w:space="0" w:color="auto"/>
            </w:tcBorders>
            <w:noWrap/>
          </w:tcPr>
          <w:p w14:paraId="198CD2F5" w14:textId="144BA663" w:rsidR="00E90C4F" w:rsidRPr="00795F17" w:rsidRDefault="00E90C4F" w:rsidP="0065243A">
            <w:pPr>
              <w:pStyle w:val="Teksttabelisrodek"/>
            </w:pPr>
            <w:r w:rsidRPr="00795F17">
              <w:t>8</w:t>
            </w:r>
            <w:r w:rsidR="00167A63" w:rsidRPr="00795F17">
              <w:t> </w:t>
            </w:r>
            <w:r w:rsidRPr="00795F17">
              <w:t>320</w:t>
            </w:r>
          </w:p>
        </w:tc>
        <w:tc>
          <w:tcPr>
            <w:tcW w:w="637" w:type="pct"/>
            <w:tcBorders>
              <w:top w:val="single" w:sz="4" w:space="0" w:color="auto"/>
              <w:left w:val="single" w:sz="4" w:space="0" w:color="auto"/>
              <w:bottom w:val="single" w:sz="4" w:space="0" w:color="auto"/>
              <w:right w:val="single" w:sz="4" w:space="0" w:color="auto"/>
            </w:tcBorders>
            <w:noWrap/>
          </w:tcPr>
          <w:p w14:paraId="4A85C27E" w14:textId="1714B971" w:rsidR="00E90C4F" w:rsidRPr="00795F17" w:rsidRDefault="00E90C4F" w:rsidP="0065243A">
            <w:pPr>
              <w:pStyle w:val="Teksttabelisrodek"/>
            </w:pPr>
            <w:r w:rsidRPr="00795F17">
              <w:t>82</w:t>
            </w:r>
            <w:r w:rsidR="00741AD4" w:rsidRPr="00795F17">
              <w:t>,</w:t>
            </w:r>
            <w:r w:rsidRPr="00795F17">
              <w:t>6</w:t>
            </w:r>
          </w:p>
        </w:tc>
        <w:tc>
          <w:tcPr>
            <w:tcW w:w="1182" w:type="pct"/>
            <w:tcBorders>
              <w:top w:val="single" w:sz="4" w:space="0" w:color="auto"/>
              <w:left w:val="single" w:sz="4" w:space="0" w:color="auto"/>
              <w:bottom w:val="single" w:sz="4" w:space="0" w:color="auto"/>
              <w:right w:val="single" w:sz="4" w:space="0" w:color="auto"/>
            </w:tcBorders>
            <w:noWrap/>
          </w:tcPr>
          <w:p w14:paraId="08832C2D" w14:textId="6620E7F4" w:rsidR="00E90C4F" w:rsidRPr="00795F17" w:rsidRDefault="00E90C4F" w:rsidP="0065243A">
            <w:pPr>
              <w:pStyle w:val="Teksttabelisrodek"/>
            </w:pPr>
            <w:r w:rsidRPr="00795F17">
              <w:t>1</w:t>
            </w:r>
            <w:r w:rsidR="00167A63" w:rsidRPr="00795F17">
              <w:t> </w:t>
            </w:r>
            <w:r w:rsidRPr="00795F17">
              <w:t>750</w:t>
            </w:r>
          </w:p>
        </w:tc>
        <w:tc>
          <w:tcPr>
            <w:tcW w:w="636" w:type="pct"/>
            <w:tcBorders>
              <w:top w:val="single" w:sz="4" w:space="0" w:color="auto"/>
              <w:left w:val="single" w:sz="4" w:space="0" w:color="auto"/>
              <w:bottom w:val="single" w:sz="4" w:space="0" w:color="auto"/>
              <w:right w:val="single" w:sz="4" w:space="0" w:color="auto"/>
            </w:tcBorders>
          </w:tcPr>
          <w:p w14:paraId="2B426A01" w14:textId="111AE2FE" w:rsidR="00E90C4F" w:rsidRPr="00795F17" w:rsidRDefault="00E90C4F" w:rsidP="0065243A">
            <w:pPr>
              <w:pStyle w:val="Teksttabelisrodek"/>
            </w:pPr>
            <w:r w:rsidRPr="00795F17">
              <w:t>17</w:t>
            </w:r>
            <w:r w:rsidR="00741AD4" w:rsidRPr="00795F17">
              <w:t>,</w:t>
            </w:r>
            <w:r w:rsidRPr="00795F17">
              <w:t>4</w:t>
            </w:r>
          </w:p>
        </w:tc>
      </w:tr>
    </w:tbl>
    <w:p w14:paraId="2EE98EDD" w14:textId="479113A8" w:rsidR="007D3481" w:rsidRPr="00795F17" w:rsidRDefault="00D378A2" w:rsidP="00D6340B">
      <w:pPr>
        <w:pStyle w:val="Tabela-wyjasnieniapod"/>
      </w:pPr>
      <w:r>
        <w:t>Objaśnienia:</w:t>
      </w:r>
      <w:r>
        <w:br/>
      </w:r>
      <w:r w:rsidR="007D3481" w:rsidRPr="00795F17">
        <w:t>*</w:t>
      </w:r>
      <w:r w:rsidR="00DF005E">
        <w:t>JCWP</w:t>
      </w:r>
      <w:r w:rsidR="007D3481" w:rsidRPr="00795F17">
        <w:t>d nr 62 położona jest częściowo także na obszarze regionu wodnego Noteci</w:t>
      </w:r>
    </w:p>
    <w:p w14:paraId="5EB53D7C" w14:textId="0686F6F0" w:rsidR="00AD1DA1" w:rsidRPr="00795F17" w:rsidRDefault="00AD1DA1" w:rsidP="0044393D">
      <w:pPr>
        <w:pStyle w:val="rdo"/>
      </w:pPr>
      <w:r w:rsidRPr="00795F17">
        <w:t xml:space="preserve">Źródło: </w:t>
      </w:r>
      <w:r w:rsidR="00FD7248" w:rsidRPr="00795F17">
        <w:t>opracowanie własne</w:t>
      </w:r>
    </w:p>
    <w:p w14:paraId="03F13FCB" w14:textId="5EA9A33A" w:rsidR="00FB6282" w:rsidRPr="00795F17" w:rsidRDefault="00FB6282" w:rsidP="0044393D">
      <w:r w:rsidRPr="00795F17">
        <w:t xml:space="preserve">Innym ważnym problemem jest nadmierne wykorzystanie zasobów wód podziemnych w skali poszczególnych </w:t>
      </w:r>
      <w:r w:rsidR="00DF005E">
        <w:t>JCWP</w:t>
      </w:r>
      <w:r w:rsidRPr="00795F17">
        <w:t xml:space="preserve">d. W przypadku skoncentrowanej i intensywnej eksploatacji ujęć wód podziemnych oraz odwodnień górniczych może dojść do regionalnego obniżenia zwierciadła wód podziemnych. Pobory przekraczające oszacowane zasoby zidentyfikowano na terenach o intensywnej eksploatacji górniczej. </w:t>
      </w:r>
    </w:p>
    <w:p w14:paraId="4EBC4032" w14:textId="225E319B" w:rsidR="00AD1DA1" w:rsidRPr="00795F17" w:rsidRDefault="00FB6282" w:rsidP="0044393D">
      <w:pPr>
        <w:rPr>
          <w:rFonts w:asciiTheme="minorHAnsi" w:hAnsiTheme="minorHAnsi" w:cstheme="minorHAnsi"/>
        </w:rPr>
      </w:pPr>
      <w:r w:rsidRPr="00795F17">
        <w:t>Stopień wykorzystania zasobów dostępnych do zagospodarowania (stan na 2018</w:t>
      </w:r>
      <w:r w:rsidR="009B7099" w:rsidRPr="00795F17">
        <w:t xml:space="preserve"> </w:t>
      </w:r>
      <w:r w:rsidRPr="00795F17">
        <w:t>r</w:t>
      </w:r>
      <w:r w:rsidR="009B7099" w:rsidRPr="00795F17">
        <w:t>.</w:t>
      </w:r>
      <w:r w:rsidRPr="00795F17">
        <w:t>) w</w:t>
      </w:r>
      <w:r w:rsidR="009B7099" w:rsidRPr="00795F17">
        <w:t xml:space="preserve"> </w:t>
      </w:r>
      <w:r w:rsidRPr="00795F17">
        <w:t xml:space="preserve">poszczególnych regionach wodnych </w:t>
      </w:r>
      <w:r w:rsidR="00FB15D5" w:rsidRPr="00795F17">
        <w:t xml:space="preserve">obszaru </w:t>
      </w:r>
      <w:r w:rsidRPr="00795F17">
        <w:t>dorzecza Odry zmienia się od 10% w regionie wodnym Dolnej Odry i</w:t>
      </w:r>
      <w:r w:rsidR="002D3407" w:rsidRPr="00795F17">
        <w:t> </w:t>
      </w:r>
      <w:r w:rsidRPr="00795F17">
        <w:t>Przymorza zachodniego do 68% w regionie wodnym Górnej Odry. Stopień wykorzystania tych</w:t>
      </w:r>
      <w:r w:rsidR="0074529F" w:rsidRPr="00795F17">
        <w:t> </w:t>
      </w:r>
      <w:r w:rsidRPr="00795F17">
        <w:t xml:space="preserve">zasobów w poszczególnych regionach wodnych </w:t>
      </w:r>
      <w:r w:rsidR="00FB15D5" w:rsidRPr="00795F17">
        <w:t xml:space="preserve">obszaru </w:t>
      </w:r>
      <w:r w:rsidRPr="00795F17">
        <w:t>dorzecza Odry przedstawiono na</w:t>
      </w:r>
      <w:r w:rsidR="0074529F" w:rsidRPr="00795F17">
        <w:t> </w:t>
      </w:r>
      <w:r w:rsidR="005A798A" w:rsidRPr="00795F17">
        <w:rPr>
          <w:rFonts w:asciiTheme="minorHAnsi" w:hAnsiTheme="minorHAnsi" w:cstheme="minorHAnsi"/>
        </w:rPr>
        <w:t xml:space="preserve">wykresie </w:t>
      </w:r>
      <w:r w:rsidR="00AB080C" w:rsidRPr="00795F17">
        <w:rPr>
          <w:rFonts w:asciiTheme="minorHAnsi" w:hAnsiTheme="minorHAnsi" w:cstheme="minorHAnsi"/>
        </w:rPr>
        <w:t xml:space="preserve">poniżej (wykres </w:t>
      </w:r>
      <w:r w:rsidR="005A798A" w:rsidRPr="00795F17">
        <w:rPr>
          <w:rFonts w:asciiTheme="minorHAnsi" w:hAnsiTheme="minorHAnsi" w:cstheme="minorHAnsi"/>
        </w:rPr>
        <w:t>7-16</w:t>
      </w:r>
      <w:r w:rsidR="00AB080C" w:rsidRPr="00795F17">
        <w:rPr>
          <w:rFonts w:asciiTheme="minorHAnsi" w:hAnsiTheme="minorHAnsi" w:cstheme="minorHAnsi"/>
        </w:rPr>
        <w:t>)</w:t>
      </w:r>
      <w:r w:rsidR="00AD1DA1" w:rsidRPr="00795F17">
        <w:rPr>
          <w:rFonts w:asciiTheme="minorHAnsi" w:hAnsiTheme="minorHAnsi" w:cstheme="minorHAnsi"/>
        </w:rPr>
        <w:t>.</w:t>
      </w:r>
    </w:p>
    <w:p w14:paraId="0EB99F43" w14:textId="61DB6A04" w:rsidR="0031564E" w:rsidRPr="00795F17" w:rsidRDefault="00D56C10" w:rsidP="00E01928">
      <w:pPr>
        <w:jc w:val="center"/>
      </w:pPr>
      <w:r>
        <w:rPr>
          <w:noProof/>
        </w:rPr>
        <w:drawing>
          <wp:inline distT="0" distB="0" distL="0" distR="0" wp14:anchorId="5C39E10C" wp14:editId="54EC28E4">
            <wp:extent cx="4693920" cy="2628900"/>
            <wp:effectExtent l="0" t="0" r="11430" b="0"/>
            <wp:docPr id="244" name="Wykres 244">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313959A" w14:textId="606717C4" w:rsidR="00AD1DA1" w:rsidRPr="00795F17" w:rsidRDefault="00AD1DA1" w:rsidP="00B479EE">
      <w:pPr>
        <w:pStyle w:val="Wykres"/>
      </w:pPr>
      <w:bookmarkStart w:id="373" w:name="_Toc66288197"/>
      <w:bookmarkStart w:id="374" w:name="_Toc105512989"/>
      <w:r w:rsidRPr="00795F17">
        <w:t xml:space="preserve">Wykres </w:t>
      </w:r>
      <w:fldSimple w:instr=" STYLEREF 1 \s ">
        <w:r w:rsidR="001F774D">
          <w:rPr>
            <w:noProof/>
          </w:rPr>
          <w:t>7</w:t>
        </w:r>
      </w:fldSimple>
      <w:r w:rsidR="00FF20D3">
        <w:noBreakHyphen/>
      </w:r>
      <w:fldSimple w:instr=" SEQ Wykres \* ARABIC \s 1 ">
        <w:r w:rsidR="001F774D">
          <w:rPr>
            <w:noProof/>
          </w:rPr>
          <w:t>16</w:t>
        </w:r>
      </w:fldSimple>
      <w:r w:rsidR="00D328C1">
        <w:rPr>
          <w:noProof/>
        </w:rPr>
        <w:t>.</w:t>
      </w:r>
      <w:r w:rsidRPr="00795F17">
        <w:tab/>
        <w:t xml:space="preserve">Stopień wykorzystania zasobów dostępnych do zagospodarowania w poszczególnych regionach wodnych obszaru dorzecza </w:t>
      </w:r>
      <w:bookmarkEnd w:id="373"/>
      <w:r w:rsidR="001704D8" w:rsidRPr="00795F17">
        <w:t>Odry</w:t>
      </w:r>
      <w:bookmarkEnd w:id="374"/>
    </w:p>
    <w:p w14:paraId="215ED95D" w14:textId="6109A598" w:rsidR="00AD1DA1" w:rsidRPr="00795F17" w:rsidRDefault="00AD1DA1" w:rsidP="0044393D">
      <w:pPr>
        <w:pStyle w:val="rdo"/>
      </w:pPr>
      <w:r w:rsidRPr="00795F17">
        <w:t xml:space="preserve">Źródło: </w:t>
      </w:r>
      <w:r w:rsidR="00FD7248" w:rsidRPr="00795F17">
        <w:t>opracowanie własne</w:t>
      </w:r>
    </w:p>
    <w:p w14:paraId="4EC582E7" w14:textId="55D26D9A" w:rsidR="00AD1DA1" w:rsidRPr="00795F17" w:rsidRDefault="00AD1DA1" w:rsidP="0044393D">
      <w:r w:rsidRPr="00795F17">
        <w:t xml:space="preserve">Stopień wykorzystania zasobów dostępnych do zagospodarowania wód podziemnych na obszarze dorzecza </w:t>
      </w:r>
      <w:r w:rsidR="00C268B8" w:rsidRPr="00795F17">
        <w:t>Odry</w:t>
      </w:r>
      <w:r w:rsidRPr="00795F17">
        <w:t xml:space="preserve">, z podziałem na </w:t>
      </w:r>
      <w:r w:rsidR="00DF005E">
        <w:t>JCWP</w:t>
      </w:r>
      <w:r w:rsidRPr="00795F17">
        <w:t xml:space="preserve">d, przedstawia załącznik graficzny </w:t>
      </w:r>
      <w:r w:rsidR="00692E2E">
        <w:t xml:space="preserve">nr </w:t>
      </w:r>
      <w:r w:rsidR="00743947">
        <w:t>51</w:t>
      </w:r>
      <w:r w:rsidR="00512904" w:rsidRPr="00795F17">
        <w:t>.</w:t>
      </w:r>
    </w:p>
    <w:p w14:paraId="52ADD2C4" w14:textId="37BEBF76" w:rsidR="00AF6038" w:rsidRPr="00795F17" w:rsidRDefault="00780960" w:rsidP="00BA6B41">
      <w:pPr>
        <w:pStyle w:val="Nagwek1"/>
      </w:pPr>
      <w:bookmarkStart w:id="375" w:name="_Toc66272273"/>
      <w:bookmarkStart w:id="376" w:name="_Toc66347802"/>
      <w:r w:rsidRPr="00795F17">
        <w:br w:type="column"/>
      </w:r>
      <w:bookmarkStart w:id="377" w:name="_Toc105512652"/>
      <w:r w:rsidR="00AF6038" w:rsidRPr="00795F17">
        <w:t xml:space="preserve">Cele środowiskowe dla </w:t>
      </w:r>
      <w:r w:rsidR="0044013E">
        <w:t>jcw</w:t>
      </w:r>
      <w:r w:rsidR="00AF6038" w:rsidRPr="00795F17">
        <w:t xml:space="preserve"> i obszarów chronionych</w:t>
      </w:r>
      <w:bookmarkEnd w:id="375"/>
      <w:bookmarkEnd w:id="376"/>
      <w:bookmarkEnd w:id="377"/>
    </w:p>
    <w:bookmarkEnd w:id="302"/>
    <w:p w14:paraId="2884C512" w14:textId="77777777" w:rsidR="00A230D1" w:rsidRPr="00795F17" w:rsidRDefault="00A230D1" w:rsidP="0044393D">
      <w:r w:rsidRPr="00795F17">
        <w:t>Plany gospodarowania wodami wskazują ustalone cele środowiskowe dla jcw i obszarów chronionych wraz z prezentacją wyników przeprowadzonej oceny stopnia osiągnięcia celów środowiskowych.</w:t>
      </w:r>
    </w:p>
    <w:p w14:paraId="0888FF56" w14:textId="77777777" w:rsidR="00A230D1" w:rsidRPr="00795F17" w:rsidRDefault="00A230D1" w:rsidP="0044393D">
      <w:r w:rsidRPr="00795F17">
        <w:t>W ramach IIaPGW przeprowadzona została ocena stopnia osiągnięcia celów środowiskowych będąca podstawą do wskazania ostatecznych celów dla jcw.</w:t>
      </w:r>
    </w:p>
    <w:p w14:paraId="0AB837C6" w14:textId="578C16C5" w:rsidR="00A230D1" w:rsidRPr="00795F17" w:rsidRDefault="00A230D1" w:rsidP="0044393D">
      <w:r w:rsidRPr="00795F17">
        <w:t>Poniżej przedstawione zostały informacje dotyczące ustalonych celów środowiskowych dla</w:t>
      </w:r>
      <w:r w:rsidR="004307BA" w:rsidRPr="00795F17">
        <w:t> </w:t>
      </w:r>
      <w:r w:rsidRPr="00795F17">
        <w:t>poszczególnych kategorii wód i obszarów chronionych, wraz z prezentacją oceny stopnia wdrożenia celów oraz informacj</w:t>
      </w:r>
      <w:r w:rsidR="00CB636B">
        <w:t xml:space="preserve">ą </w:t>
      </w:r>
      <w:r w:rsidRPr="00795F17">
        <w:t>o wyznaczonych odstępstwach z art. 4 RDW.</w:t>
      </w:r>
    </w:p>
    <w:p w14:paraId="3275BE5B" w14:textId="5E4FC508" w:rsidR="00C80A05" w:rsidRPr="00795F17" w:rsidRDefault="00C80A05" w:rsidP="0044393D">
      <w:r w:rsidRPr="00795F17">
        <w:t xml:space="preserve">Ponadto w załączniku nr </w:t>
      </w:r>
      <w:r w:rsidR="007A06A3">
        <w:t>6</w:t>
      </w:r>
      <w:r w:rsidRPr="00795F17">
        <w:t xml:space="preserve"> (Cele środowiskowe) wskazano cele środowiskowe poszczególnych jcw</w:t>
      </w:r>
      <w:r w:rsidR="004307BA" w:rsidRPr="00795F17">
        <w:t> </w:t>
      </w:r>
      <w:r w:rsidR="00CC49FB">
        <w:t>na</w:t>
      </w:r>
      <w:r w:rsidRPr="00795F17">
        <w:t xml:space="preserve"> obszarze dorzecza Odry, zaś w załączniku nr </w:t>
      </w:r>
      <w:r w:rsidR="00A85D15">
        <w:t>1</w:t>
      </w:r>
      <w:r w:rsidR="00DC0DEF">
        <w:t>8</w:t>
      </w:r>
      <w:r w:rsidR="00B270D1" w:rsidRPr="00795F17">
        <w:t xml:space="preserve"> (Wykaz jcw wskazanych do odstępstw) </w:t>
      </w:r>
      <w:r w:rsidRPr="00795F17">
        <w:t xml:space="preserve">zestawiono te z jcw, dla których ustalono odstępstwa. Zobrazowania mapowe jcw </w:t>
      </w:r>
      <w:r w:rsidR="00CC49FB">
        <w:t>na</w:t>
      </w:r>
      <w:r w:rsidRPr="00795F17">
        <w:t xml:space="preserve"> obszarze dorzecza Odry, dla</w:t>
      </w:r>
      <w:r w:rsidR="00F0505C" w:rsidRPr="00795F17">
        <w:t> </w:t>
      </w:r>
      <w:r w:rsidRPr="00795F17">
        <w:t xml:space="preserve">których ustalono odstępstwa znajdują się w załącznikach graficznych nr </w:t>
      </w:r>
      <w:r w:rsidR="008C0E5A">
        <w:t>63</w:t>
      </w:r>
      <w:r w:rsidRPr="00795F17">
        <w:t>-</w:t>
      </w:r>
      <w:r w:rsidR="008C0E5A">
        <w:t>67</w:t>
      </w:r>
      <w:r w:rsidRPr="00795F17">
        <w:t>.</w:t>
      </w:r>
    </w:p>
    <w:p w14:paraId="58405CE0" w14:textId="5FFEF1AF" w:rsidR="00A230D1" w:rsidRPr="00795F17" w:rsidRDefault="00A230D1" w:rsidP="00C53C86">
      <w:pPr>
        <w:pStyle w:val="Nagwek2"/>
      </w:pPr>
      <w:bookmarkStart w:id="378" w:name="_Toc66347803"/>
      <w:bookmarkStart w:id="379" w:name="_Toc105512653"/>
      <w:r w:rsidRPr="00795F17">
        <w:t xml:space="preserve">Cele środowiskowe </w:t>
      </w:r>
      <w:r w:rsidR="00DF005E">
        <w:t>JCWP</w:t>
      </w:r>
      <w:bookmarkEnd w:id="378"/>
      <w:bookmarkEnd w:id="379"/>
    </w:p>
    <w:p w14:paraId="3837F530" w14:textId="6DFC4C87" w:rsidR="00A230D1" w:rsidRPr="00795F17" w:rsidRDefault="00A230D1" w:rsidP="0044393D">
      <w:r w:rsidRPr="00795F17">
        <w:t>W cyklu planistycznym 2016</w:t>
      </w:r>
      <w:r w:rsidR="008E1B58">
        <w:t>–</w:t>
      </w:r>
      <w:r w:rsidRPr="00795F17">
        <w:t>2021 cele środowiskowe ustalone były w odniesieniu do wymagań dla</w:t>
      </w:r>
      <w:r w:rsidR="004307BA" w:rsidRPr="00795F17">
        <w:t> </w:t>
      </w:r>
      <w:r w:rsidRPr="00795F17">
        <w:t>stanu lub potencjału ekologicznego oraz stanu chemicznego</w:t>
      </w:r>
      <w:r w:rsidR="00C67537">
        <w:t xml:space="preserve"> (tabela 8-1, tabela 8-2, tabela 8-3)</w:t>
      </w:r>
      <w:r w:rsidRPr="00795F17">
        <w:t>. W przypadku jcw</w:t>
      </w:r>
      <w:r w:rsidR="009128C7" w:rsidRPr="00795F17">
        <w:t xml:space="preserve"> </w:t>
      </w:r>
      <w:r w:rsidRPr="00795F17">
        <w:t>stanowiących obszary chronione</w:t>
      </w:r>
      <w:r w:rsidR="00F83310" w:rsidRPr="00795F17">
        <w:t>,</w:t>
      </w:r>
      <w:r w:rsidRPr="00795F17">
        <w:t xml:space="preserve"> przeznaczone do poboru wody na potrzeby zaopatrzenia ludności w</w:t>
      </w:r>
      <w:r w:rsidR="00260551" w:rsidRPr="00795F17">
        <w:t> </w:t>
      </w:r>
      <w:r w:rsidRPr="00795F17">
        <w:t>wodę do</w:t>
      </w:r>
      <w:r w:rsidR="009128C7" w:rsidRPr="00795F17">
        <w:t> </w:t>
      </w:r>
      <w:r w:rsidRPr="00795F17">
        <w:t>spożycia oraz części wód przeznaczonych do celów rekreacyjnych wyznaczony był</w:t>
      </w:r>
      <w:r w:rsidR="004307BA" w:rsidRPr="00795F17">
        <w:t> </w:t>
      </w:r>
      <w:r w:rsidRPr="00795F17">
        <w:t xml:space="preserve">dodatkowy cel środowiskowy, odnoszący się do norm jakości wody dla tych wód. Dla </w:t>
      </w:r>
      <w:r w:rsidR="00DF005E">
        <w:t>JCWP</w:t>
      </w:r>
      <w:r w:rsidRPr="00795F17">
        <w:t xml:space="preserve"> przeznaczonych do poboru wody na potrzeby zaopatrzenia ludności w wodę do spożycia, w celach wskazano również, że jakość wody nie powinna ulegać pogorszeniu. Dla obszarów chronionych przyrodniczo (obszarów przeznaczonych do ochrony siedlisk lub gatunków) cele środowiskowe dotyczące wód przypisano na</w:t>
      </w:r>
      <w:r w:rsidR="009128C7" w:rsidRPr="00795F17">
        <w:t> </w:t>
      </w:r>
      <w:r w:rsidRPr="00795F17">
        <w:t>podstawie wymagań dla tych obszarów. Podstawą w tym przypadku były akty ustanawiające dany obszar, plany ochrony, plany zadań ochronnych, zadania ochronne. Dodatkowo dla obszarów Natura 2000 założono przywrócenie lub zachowanie właściwego stanu gatunków i siedlisk będących przedmiotem ochrony. Cele te uzupełniono również o informacje na</w:t>
      </w:r>
      <w:r w:rsidR="00260551" w:rsidRPr="00795F17">
        <w:t> </w:t>
      </w:r>
      <w:r w:rsidRPr="00795F17">
        <w:t>temat wymagań wodnych niezbędnych do ich osiągnięcia i utrzymania. Dodatkowy cel środowiskowy zdefiniowano także dla</w:t>
      </w:r>
      <w:r w:rsidR="00F0505C" w:rsidRPr="00795F17">
        <w:t> </w:t>
      </w:r>
      <w:r w:rsidR="00DF005E">
        <w:t>JCWP</w:t>
      </w:r>
      <w:r w:rsidRPr="00795F17">
        <w:t xml:space="preserve"> rzecznych w odniesieniu do możliwości migracji organizmów wodnych na odcinku cieków istotnych</w:t>
      </w:r>
      <w:r w:rsidR="00C80A05" w:rsidRPr="00795F17">
        <w:t>.</w:t>
      </w:r>
    </w:p>
    <w:p w14:paraId="573B5FB5" w14:textId="2AE8AECC" w:rsidR="00431630" w:rsidRPr="00795F17" w:rsidRDefault="00431630" w:rsidP="004D7705">
      <w:pPr>
        <w:pStyle w:val="Tabela"/>
      </w:pPr>
      <w:bookmarkStart w:id="380" w:name="_Toc66341900"/>
      <w:bookmarkStart w:id="381" w:name="_Toc105512811"/>
      <w:r w:rsidRPr="00795F17">
        <w:t xml:space="preserve">Tabela </w:t>
      </w:r>
      <w:fldSimple w:instr=" STYLEREF 1 \s ">
        <w:r w:rsidR="001F774D">
          <w:rPr>
            <w:noProof/>
          </w:rPr>
          <w:t>8</w:t>
        </w:r>
      </w:fldSimple>
      <w:r w:rsidR="00BB3B21" w:rsidRPr="00795F17">
        <w:noBreakHyphen/>
      </w:r>
      <w:fldSimple w:instr=" SEQ Tabela \* ARABIC \s 1 ">
        <w:r w:rsidR="001F774D">
          <w:rPr>
            <w:noProof/>
          </w:rPr>
          <w:t>1</w:t>
        </w:r>
      </w:fldSimple>
      <w:r w:rsidR="00E76356">
        <w:rPr>
          <w:noProof/>
        </w:rPr>
        <w:t>.</w:t>
      </w:r>
      <w:r w:rsidRPr="00795F17">
        <w:tab/>
        <w:t xml:space="preserve">Liczba </w:t>
      </w:r>
      <w:r w:rsidR="00DF005E">
        <w:t>JCWP</w:t>
      </w:r>
      <w:r w:rsidRPr="00795F17">
        <w:t xml:space="preserve"> </w:t>
      </w:r>
      <w:r w:rsidR="00F83310" w:rsidRPr="00795F17">
        <w:t>RW</w:t>
      </w:r>
      <w:r w:rsidRPr="00795F17">
        <w:t xml:space="preserve"> z poszczególnymi celami środowiskowymi </w:t>
      </w:r>
      <w:r w:rsidR="002D3407" w:rsidRPr="00795F17">
        <w:t>na</w:t>
      </w:r>
      <w:r w:rsidRPr="00795F17">
        <w:t xml:space="preserve"> </w:t>
      </w:r>
      <w:r w:rsidR="00FB15D5" w:rsidRPr="00795F17">
        <w:t xml:space="preserve">obszarze </w:t>
      </w:r>
      <w:r w:rsidRPr="00795F17">
        <w:t>dorzecz</w:t>
      </w:r>
      <w:r w:rsidR="00FB15D5" w:rsidRPr="00795F17">
        <w:t>a</w:t>
      </w:r>
      <w:r w:rsidRPr="00795F17">
        <w:t xml:space="preserve"> Odry </w:t>
      </w:r>
      <w:bookmarkEnd w:id="380"/>
      <w:r w:rsidR="002D3407" w:rsidRPr="00795F17">
        <w:t>w</w:t>
      </w:r>
      <w:r w:rsidR="002C0B65" w:rsidRPr="00795F17">
        <w:t xml:space="preserve"> </w:t>
      </w:r>
      <w:r w:rsidR="00666AC3" w:rsidRPr="00795F17">
        <w:t>aPGW</w:t>
      </w:r>
      <w:r w:rsidR="002C0B65" w:rsidRPr="00795F17">
        <w:t xml:space="preserve"> (</w:t>
      </w:r>
      <w:r w:rsidR="00C80A05" w:rsidRPr="00795F17">
        <w:t>2016</w:t>
      </w:r>
      <w:r w:rsidR="008E1B58">
        <w:t>–</w:t>
      </w:r>
      <w:r w:rsidR="00C80A05" w:rsidRPr="00795F17">
        <w:t>2021</w:t>
      </w:r>
      <w:r w:rsidR="002C0B65" w:rsidRPr="00795F17">
        <w:t>)</w:t>
      </w:r>
      <w:bookmarkEnd w:id="381"/>
    </w:p>
    <w:tbl>
      <w:tblPr>
        <w:tblW w:w="5000" w:type="pct"/>
        <w:tblLayout w:type="fixed"/>
        <w:tblCellMar>
          <w:left w:w="70" w:type="dxa"/>
          <w:right w:w="70" w:type="dxa"/>
        </w:tblCellMar>
        <w:tblLook w:val="04A0" w:firstRow="1" w:lastRow="0" w:firstColumn="1" w:lastColumn="0" w:noHBand="0" w:noVBand="1"/>
      </w:tblPr>
      <w:tblGrid>
        <w:gridCol w:w="3114"/>
        <w:gridCol w:w="1701"/>
        <w:gridCol w:w="1559"/>
        <w:gridCol w:w="1521"/>
        <w:gridCol w:w="1167"/>
      </w:tblGrid>
      <w:tr w:rsidR="00A230D1" w:rsidRPr="00795F17" w14:paraId="0332A734" w14:textId="77777777" w:rsidTr="005A43A7">
        <w:trPr>
          <w:trHeight w:val="454"/>
          <w:tblHeader/>
        </w:trPr>
        <w:tc>
          <w:tcPr>
            <w:tcW w:w="311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9E9653" w14:textId="6911F328" w:rsidR="00A230D1" w:rsidRPr="00795F17" w:rsidRDefault="00A230D1" w:rsidP="004307BA">
            <w:pPr>
              <w:pStyle w:val="Teksttabelinaglowek"/>
            </w:pPr>
            <w:r w:rsidRPr="00795F17">
              <w:t xml:space="preserve">Cele środowiskowe </w:t>
            </w:r>
            <w:r w:rsidR="00DF005E">
              <w:t>JCWP</w:t>
            </w:r>
            <w:r w:rsidRPr="00795F17">
              <w:t xml:space="preserve"> </w:t>
            </w:r>
            <w:r w:rsidR="005A43A7" w:rsidRPr="00795F17">
              <w:t>RW</w:t>
            </w:r>
          </w:p>
        </w:tc>
        <w:tc>
          <w:tcPr>
            <w:tcW w:w="5948" w:type="dxa"/>
            <w:gridSpan w:val="4"/>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CF9B8C8" w14:textId="77777777" w:rsidR="00A230D1" w:rsidRPr="00795F17" w:rsidRDefault="00A230D1" w:rsidP="0044393D">
            <w:pPr>
              <w:pStyle w:val="Teksttabelinaglowek"/>
            </w:pPr>
            <w:r w:rsidRPr="00795F17">
              <w:t>Region wodny</w:t>
            </w:r>
          </w:p>
        </w:tc>
      </w:tr>
      <w:tr w:rsidR="00E539B3" w:rsidRPr="00795F17" w14:paraId="65B7F882" w14:textId="77777777" w:rsidTr="00E927DC">
        <w:trPr>
          <w:trHeight w:val="454"/>
          <w:tblHeader/>
        </w:trPr>
        <w:tc>
          <w:tcPr>
            <w:tcW w:w="3114"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9452180" w14:textId="77777777" w:rsidR="00A230D1" w:rsidRPr="00795F17" w:rsidRDefault="00A230D1" w:rsidP="0044393D">
            <w:pPr>
              <w:pStyle w:val="Teksttabelinaglowek"/>
            </w:pPr>
          </w:p>
        </w:tc>
        <w:tc>
          <w:tcPr>
            <w:tcW w:w="1701" w:type="dxa"/>
            <w:tcBorders>
              <w:top w:val="nil"/>
              <w:left w:val="nil"/>
              <w:bottom w:val="single" w:sz="4" w:space="0" w:color="auto"/>
              <w:right w:val="single" w:sz="4" w:space="0" w:color="auto"/>
            </w:tcBorders>
            <w:shd w:val="clear" w:color="auto" w:fill="BFBFBF" w:themeFill="background1" w:themeFillShade="BF"/>
            <w:vAlign w:val="center"/>
          </w:tcPr>
          <w:p w14:paraId="64ED1629" w14:textId="7CFA9EAF" w:rsidR="00A230D1" w:rsidRPr="00795F17" w:rsidRDefault="00A230D1" w:rsidP="0044393D">
            <w:pPr>
              <w:pStyle w:val="Teksttabelinaglowek"/>
            </w:pPr>
            <w:r w:rsidRPr="00795F17">
              <w:t>Dolnej Odry i</w:t>
            </w:r>
            <w:r w:rsidR="000A7C6F" w:rsidRPr="00795F17">
              <w:t> </w:t>
            </w:r>
            <w:r w:rsidRPr="00795F17">
              <w:t>Przymorza Zachodniego</w:t>
            </w:r>
          </w:p>
        </w:tc>
        <w:tc>
          <w:tcPr>
            <w:tcW w:w="1559" w:type="dxa"/>
            <w:tcBorders>
              <w:top w:val="nil"/>
              <w:left w:val="nil"/>
              <w:bottom w:val="single" w:sz="4" w:space="0" w:color="auto"/>
              <w:right w:val="single" w:sz="4" w:space="0" w:color="auto"/>
            </w:tcBorders>
            <w:shd w:val="clear" w:color="auto" w:fill="BFBFBF" w:themeFill="background1" w:themeFillShade="BF"/>
            <w:vAlign w:val="center"/>
            <w:hideMark/>
          </w:tcPr>
          <w:p w14:paraId="76780D84" w14:textId="77777777" w:rsidR="00A230D1" w:rsidRPr="00795F17" w:rsidRDefault="00A230D1" w:rsidP="0044393D">
            <w:pPr>
              <w:pStyle w:val="Teksttabelinaglowek"/>
            </w:pPr>
            <w:r w:rsidRPr="00795F17">
              <w:t>Górnej Odry</w:t>
            </w:r>
          </w:p>
        </w:tc>
        <w:tc>
          <w:tcPr>
            <w:tcW w:w="1521" w:type="dxa"/>
            <w:tcBorders>
              <w:top w:val="nil"/>
              <w:left w:val="nil"/>
              <w:bottom w:val="single" w:sz="4" w:space="0" w:color="auto"/>
              <w:right w:val="single" w:sz="4" w:space="0" w:color="auto"/>
            </w:tcBorders>
            <w:shd w:val="clear" w:color="auto" w:fill="BFBFBF" w:themeFill="background1" w:themeFillShade="BF"/>
            <w:vAlign w:val="center"/>
            <w:hideMark/>
          </w:tcPr>
          <w:p w14:paraId="76AB6CFF" w14:textId="77777777" w:rsidR="00A230D1" w:rsidRPr="00795F17" w:rsidRDefault="00A230D1" w:rsidP="0044393D">
            <w:pPr>
              <w:pStyle w:val="Teksttabelinaglowek"/>
            </w:pPr>
            <w:r w:rsidRPr="00795F17">
              <w:t>Środkowej Odry</w:t>
            </w:r>
          </w:p>
        </w:tc>
        <w:tc>
          <w:tcPr>
            <w:tcW w:w="1167" w:type="dxa"/>
            <w:tcBorders>
              <w:top w:val="nil"/>
              <w:left w:val="nil"/>
              <w:bottom w:val="single" w:sz="4" w:space="0" w:color="auto"/>
              <w:right w:val="single" w:sz="4" w:space="0" w:color="auto"/>
            </w:tcBorders>
            <w:shd w:val="clear" w:color="auto" w:fill="BFBFBF" w:themeFill="background1" w:themeFillShade="BF"/>
            <w:vAlign w:val="center"/>
            <w:hideMark/>
          </w:tcPr>
          <w:p w14:paraId="29817025" w14:textId="77777777" w:rsidR="00A230D1" w:rsidRPr="00795F17" w:rsidRDefault="00A230D1" w:rsidP="0044393D">
            <w:pPr>
              <w:pStyle w:val="Teksttabelinaglowek"/>
            </w:pPr>
            <w:r w:rsidRPr="00795F17">
              <w:t>Warty</w:t>
            </w:r>
          </w:p>
        </w:tc>
      </w:tr>
      <w:tr w:rsidR="00A230D1" w:rsidRPr="00795F17" w14:paraId="1517C1D8" w14:textId="77777777" w:rsidTr="00E927DC">
        <w:trPr>
          <w:trHeight w:val="454"/>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DC56E7D" w14:textId="766E1C11" w:rsidR="00A230D1" w:rsidRPr="00795F17" w:rsidRDefault="002D3407" w:rsidP="004307BA">
            <w:pPr>
              <w:pStyle w:val="Teksttabelilewy"/>
            </w:pPr>
            <w:r w:rsidRPr="00795F17">
              <w:t>możliwość migracji organizmów wodnych na odcinku cieku istotnego</w:t>
            </w:r>
          </w:p>
        </w:tc>
        <w:tc>
          <w:tcPr>
            <w:tcW w:w="1701" w:type="dxa"/>
            <w:tcBorders>
              <w:top w:val="nil"/>
              <w:left w:val="nil"/>
              <w:bottom w:val="single" w:sz="4" w:space="0" w:color="auto"/>
              <w:right w:val="single" w:sz="4" w:space="0" w:color="auto"/>
            </w:tcBorders>
            <w:shd w:val="clear" w:color="auto" w:fill="auto"/>
            <w:noWrap/>
            <w:vAlign w:val="center"/>
          </w:tcPr>
          <w:p w14:paraId="1B459826" w14:textId="6695F900" w:rsidR="00A230D1" w:rsidRPr="00795F17" w:rsidRDefault="00A230D1" w:rsidP="0065243A">
            <w:pPr>
              <w:pStyle w:val="Teksttabelisrodek"/>
            </w:pPr>
            <w:r w:rsidRPr="00795F17">
              <w:t>34</w:t>
            </w:r>
          </w:p>
        </w:tc>
        <w:tc>
          <w:tcPr>
            <w:tcW w:w="1559" w:type="dxa"/>
            <w:tcBorders>
              <w:top w:val="nil"/>
              <w:left w:val="nil"/>
              <w:bottom w:val="single" w:sz="4" w:space="0" w:color="auto"/>
              <w:right w:val="single" w:sz="4" w:space="0" w:color="auto"/>
            </w:tcBorders>
            <w:shd w:val="clear" w:color="auto" w:fill="auto"/>
            <w:noWrap/>
            <w:vAlign w:val="center"/>
            <w:hideMark/>
          </w:tcPr>
          <w:p w14:paraId="57EA98C9" w14:textId="77777777" w:rsidR="00A230D1" w:rsidRPr="00795F17" w:rsidRDefault="00A230D1" w:rsidP="0065243A">
            <w:pPr>
              <w:pStyle w:val="Teksttabelisrodek"/>
            </w:pPr>
            <w:r w:rsidRPr="00795F17">
              <w:t>5</w:t>
            </w:r>
          </w:p>
        </w:tc>
        <w:tc>
          <w:tcPr>
            <w:tcW w:w="1521" w:type="dxa"/>
            <w:tcBorders>
              <w:top w:val="nil"/>
              <w:left w:val="nil"/>
              <w:bottom w:val="single" w:sz="4" w:space="0" w:color="auto"/>
              <w:right w:val="single" w:sz="4" w:space="0" w:color="auto"/>
            </w:tcBorders>
            <w:shd w:val="clear" w:color="auto" w:fill="auto"/>
            <w:noWrap/>
            <w:vAlign w:val="center"/>
            <w:hideMark/>
          </w:tcPr>
          <w:p w14:paraId="5DF42C96" w14:textId="77777777" w:rsidR="00A230D1" w:rsidRPr="00795F17" w:rsidRDefault="00A230D1" w:rsidP="0065243A">
            <w:pPr>
              <w:pStyle w:val="Teksttabelisrodek"/>
            </w:pPr>
            <w:r w:rsidRPr="00795F17">
              <w:t>42</w:t>
            </w:r>
          </w:p>
        </w:tc>
        <w:tc>
          <w:tcPr>
            <w:tcW w:w="1167" w:type="dxa"/>
            <w:tcBorders>
              <w:top w:val="nil"/>
              <w:left w:val="nil"/>
              <w:bottom w:val="single" w:sz="4" w:space="0" w:color="auto"/>
              <w:right w:val="single" w:sz="4" w:space="0" w:color="auto"/>
            </w:tcBorders>
            <w:shd w:val="clear" w:color="auto" w:fill="auto"/>
            <w:noWrap/>
            <w:vAlign w:val="center"/>
            <w:hideMark/>
          </w:tcPr>
          <w:p w14:paraId="7B5F60F6" w14:textId="77777777" w:rsidR="00A230D1" w:rsidRPr="00795F17" w:rsidRDefault="00A230D1" w:rsidP="0065243A">
            <w:pPr>
              <w:pStyle w:val="Teksttabelisrodek"/>
            </w:pPr>
            <w:r w:rsidRPr="00795F17">
              <w:t>51</w:t>
            </w:r>
          </w:p>
        </w:tc>
      </w:tr>
      <w:tr w:rsidR="00A230D1" w:rsidRPr="00795F17" w14:paraId="49E04900" w14:textId="77777777" w:rsidTr="00E927DC">
        <w:trPr>
          <w:trHeight w:val="454"/>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B743457" w14:textId="54DF39DF" w:rsidR="00A230D1" w:rsidRPr="00795F17" w:rsidRDefault="002D3407" w:rsidP="004307BA">
            <w:pPr>
              <w:pStyle w:val="Teksttabelilewy"/>
            </w:pPr>
            <w:r w:rsidRPr="00795F17">
              <w:t>bardzo dobry stan ekologiczny</w:t>
            </w:r>
          </w:p>
        </w:tc>
        <w:tc>
          <w:tcPr>
            <w:tcW w:w="1701" w:type="dxa"/>
            <w:tcBorders>
              <w:top w:val="nil"/>
              <w:left w:val="nil"/>
              <w:bottom w:val="single" w:sz="4" w:space="0" w:color="auto"/>
              <w:right w:val="single" w:sz="4" w:space="0" w:color="auto"/>
            </w:tcBorders>
            <w:shd w:val="clear" w:color="auto" w:fill="auto"/>
            <w:noWrap/>
            <w:vAlign w:val="center"/>
          </w:tcPr>
          <w:p w14:paraId="1F11DB03" w14:textId="145689A8" w:rsidR="00A230D1" w:rsidRPr="00795F17" w:rsidRDefault="00A230D1" w:rsidP="0065243A">
            <w:pPr>
              <w:pStyle w:val="Teksttabelisrodek"/>
            </w:pPr>
            <w:r w:rsidRPr="00795F17">
              <w:t>1</w:t>
            </w:r>
          </w:p>
        </w:tc>
        <w:tc>
          <w:tcPr>
            <w:tcW w:w="1559" w:type="dxa"/>
            <w:tcBorders>
              <w:top w:val="nil"/>
              <w:left w:val="nil"/>
              <w:bottom w:val="single" w:sz="4" w:space="0" w:color="auto"/>
              <w:right w:val="single" w:sz="4" w:space="0" w:color="auto"/>
            </w:tcBorders>
            <w:shd w:val="clear" w:color="auto" w:fill="auto"/>
            <w:noWrap/>
            <w:vAlign w:val="center"/>
            <w:hideMark/>
          </w:tcPr>
          <w:p w14:paraId="0B0BC4EE" w14:textId="77777777" w:rsidR="00A230D1" w:rsidRPr="00795F17" w:rsidRDefault="00A230D1" w:rsidP="0065243A">
            <w:pPr>
              <w:pStyle w:val="Teksttabelisrodek"/>
            </w:pPr>
            <w:r w:rsidRPr="00795F17">
              <w:t>1</w:t>
            </w:r>
          </w:p>
        </w:tc>
        <w:tc>
          <w:tcPr>
            <w:tcW w:w="1521" w:type="dxa"/>
            <w:tcBorders>
              <w:top w:val="nil"/>
              <w:left w:val="nil"/>
              <w:bottom w:val="single" w:sz="4" w:space="0" w:color="auto"/>
              <w:right w:val="single" w:sz="4" w:space="0" w:color="auto"/>
            </w:tcBorders>
            <w:shd w:val="clear" w:color="auto" w:fill="auto"/>
            <w:noWrap/>
            <w:vAlign w:val="center"/>
            <w:hideMark/>
          </w:tcPr>
          <w:p w14:paraId="5D8E92D6" w14:textId="77777777" w:rsidR="00A230D1" w:rsidRPr="00795F17" w:rsidRDefault="00A230D1" w:rsidP="0065243A">
            <w:pPr>
              <w:pStyle w:val="Teksttabelisrodek"/>
            </w:pPr>
            <w:r w:rsidRPr="00795F17">
              <w:t>4</w:t>
            </w:r>
          </w:p>
        </w:tc>
        <w:tc>
          <w:tcPr>
            <w:tcW w:w="1167" w:type="dxa"/>
            <w:tcBorders>
              <w:top w:val="nil"/>
              <w:left w:val="nil"/>
              <w:bottom w:val="single" w:sz="4" w:space="0" w:color="auto"/>
              <w:right w:val="single" w:sz="4" w:space="0" w:color="auto"/>
            </w:tcBorders>
            <w:shd w:val="clear" w:color="auto" w:fill="auto"/>
            <w:noWrap/>
            <w:vAlign w:val="center"/>
            <w:hideMark/>
          </w:tcPr>
          <w:p w14:paraId="41A3F44F" w14:textId="77777777" w:rsidR="00A230D1" w:rsidRPr="00795F17" w:rsidRDefault="00A230D1" w:rsidP="0065243A">
            <w:pPr>
              <w:pStyle w:val="Teksttabelisrodek"/>
            </w:pPr>
            <w:r w:rsidRPr="00795F17">
              <w:t>1</w:t>
            </w:r>
          </w:p>
        </w:tc>
      </w:tr>
      <w:tr w:rsidR="00A230D1" w:rsidRPr="00795F17" w14:paraId="5AFFACA4" w14:textId="77777777" w:rsidTr="00E927DC">
        <w:trPr>
          <w:trHeight w:val="454"/>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C5D57B9" w14:textId="53D6CA8D" w:rsidR="00A230D1" w:rsidRPr="00795F17" w:rsidRDefault="002D3407" w:rsidP="004307BA">
            <w:pPr>
              <w:pStyle w:val="Teksttabelilewy"/>
            </w:pPr>
            <w:r w:rsidRPr="00795F17">
              <w:t>dobry potencjał ekologiczny</w:t>
            </w:r>
          </w:p>
        </w:tc>
        <w:tc>
          <w:tcPr>
            <w:tcW w:w="1701" w:type="dxa"/>
            <w:tcBorders>
              <w:top w:val="nil"/>
              <w:left w:val="nil"/>
              <w:bottom w:val="single" w:sz="4" w:space="0" w:color="auto"/>
              <w:right w:val="single" w:sz="4" w:space="0" w:color="auto"/>
            </w:tcBorders>
            <w:shd w:val="clear" w:color="auto" w:fill="auto"/>
            <w:noWrap/>
            <w:vAlign w:val="center"/>
          </w:tcPr>
          <w:p w14:paraId="33707312" w14:textId="27C92BBE" w:rsidR="00A230D1" w:rsidRPr="00795F17" w:rsidRDefault="00A230D1" w:rsidP="0065243A">
            <w:pPr>
              <w:pStyle w:val="Teksttabelisrodek"/>
            </w:pPr>
            <w:r w:rsidRPr="00795F17">
              <w:t>147</w:t>
            </w:r>
          </w:p>
        </w:tc>
        <w:tc>
          <w:tcPr>
            <w:tcW w:w="1559" w:type="dxa"/>
            <w:tcBorders>
              <w:top w:val="nil"/>
              <w:left w:val="nil"/>
              <w:bottom w:val="single" w:sz="4" w:space="0" w:color="auto"/>
              <w:right w:val="single" w:sz="4" w:space="0" w:color="auto"/>
            </w:tcBorders>
            <w:shd w:val="clear" w:color="auto" w:fill="auto"/>
            <w:noWrap/>
            <w:vAlign w:val="center"/>
            <w:hideMark/>
          </w:tcPr>
          <w:p w14:paraId="7BFB4A89" w14:textId="77777777" w:rsidR="00A230D1" w:rsidRPr="00795F17" w:rsidRDefault="00A230D1" w:rsidP="0065243A">
            <w:pPr>
              <w:pStyle w:val="Teksttabelisrodek"/>
            </w:pPr>
            <w:r w:rsidRPr="00795F17">
              <w:t>29</w:t>
            </w:r>
          </w:p>
        </w:tc>
        <w:tc>
          <w:tcPr>
            <w:tcW w:w="1521" w:type="dxa"/>
            <w:tcBorders>
              <w:top w:val="nil"/>
              <w:left w:val="nil"/>
              <w:bottom w:val="single" w:sz="4" w:space="0" w:color="auto"/>
              <w:right w:val="single" w:sz="4" w:space="0" w:color="auto"/>
            </w:tcBorders>
            <w:shd w:val="clear" w:color="auto" w:fill="auto"/>
            <w:noWrap/>
            <w:vAlign w:val="center"/>
            <w:hideMark/>
          </w:tcPr>
          <w:p w14:paraId="7267512B" w14:textId="10B579ED" w:rsidR="00A230D1" w:rsidRPr="00795F17" w:rsidRDefault="00E927DC" w:rsidP="0065243A">
            <w:pPr>
              <w:pStyle w:val="Teksttabelisrodek"/>
            </w:pPr>
            <w:r w:rsidRPr="00795F17">
              <w:t>25</w:t>
            </w:r>
            <w:r>
              <w:t>4</w:t>
            </w:r>
          </w:p>
        </w:tc>
        <w:tc>
          <w:tcPr>
            <w:tcW w:w="1167" w:type="dxa"/>
            <w:tcBorders>
              <w:top w:val="nil"/>
              <w:left w:val="nil"/>
              <w:bottom w:val="single" w:sz="4" w:space="0" w:color="auto"/>
              <w:right w:val="single" w:sz="4" w:space="0" w:color="auto"/>
            </w:tcBorders>
            <w:shd w:val="clear" w:color="auto" w:fill="auto"/>
            <w:noWrap/>
            <w:vAlign w:val="center"/>
            <w:hideMark/>
          </w:tcPr>
          <w:p w14:paraId="00A1D1F1" w14:textId="77777777" w:rsidR="00A230D1" w:rsidRPr="00795F17" w:rsidRDefault="00A230D1" w:rsidP="0065243A">
            <w:pPr>
              <w:pStyle w:val="Teksttabelisrodek"/>
            </w:pPr>
            <w:r w:rsidRPr="00795F17">
              <w:t>185</w:t>
            </w:r>
          </w:p>
        </w:tc>
      </w:tr>
      <w:tr w:rsidR="00A230D1" w:rsidRPr="00795F17" w14:paraId="1DF83382" w14:textId="77777777" w:rsidTr="00E927DC">
        <w:trPr>
          <w:trHeight w:val="454"/>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D8F0239" w14:textId="5F134AE9" w:rsidR="00A230D1" w:rsidRPr="00795F17" w:rsidRDefault="002D3407" w:rsidP="004307BA">
            <w:pPr>
              <w:pStyle w:val="Teksttabelilewy"/>
            </w:pPr>
            <w:r w:rsidRPr="00795F17">
              <w:t>dobry stan ekologiczny</w:t>
            </w:r>
          </w:p>
        </w:tc>
        <w:tc>
          <w:tcPr>
            <w:tcW w:w="1701" w:type="dxa"/>
            <w:tcBorders>
              <w:top w:val="nil"/>
              <w:left w:val="nil"/>
              <w:bottom w:val="single" w:sz="4" w:space="0" w:color="auto"/>
              <w:right w:val="single" w:sz="4" w:space="0" w:color="auto"/>
            </w:tcBorders>
            <w:shd w:val="clear" w:color="auto" w:fill="auto"/>
            <w:noWrap/>
            <w:vAlign w:val="center"/>
          </w:tcPr>
          <w:p w14:paraId="61F586E8" w14:textId="40A3129E" w:rsidR="00A230D1" w:rsidRPr="00795F17" w:rsidRDefault="00A230D1" w:rsidP="0065243A">
            <w:pPr>
              <w:pStyle w:val="Teksttabelisrodek"/>
            </w:pPr>
            <w:r w:rsidRPr="00795F17">
              <w:t>181</w:t>
            </w:r>
          </w:p>
        </w:tc>
        <w:tc>
          <w:tcPr>
            <w:tcW w:w="1559" w:type="dxa"/>
            <w:tcBorders>
              <w:top w:val="nil"/>
              <w:left w:val="nil"/>
              <w:bottom w:val="single" w:sz="4" w:space="0" w:color="auto"/>
              <w:right w:val="single" w:sz="4" w:space="0" w:color="auto"/>
            </w:tcBorders>
            <w:shd w:val="clear" w:color="auto" w:fill="auto"/>
            <w:noWrap/>
            <w:vAlign w:val="center"/>
            <w:hideMark/>
          </w:tcPr>
          <w:p w14:paraId="23455F14" w14:textId="77777777" w:rsidR="00A230D1" w:rsidRPr="00795F17" w:rsidRDefault="00A230D1" w:rsidP="0065243A">
            <w:pPr>
              <w:pStyle w:val="Teksttabelisrodek"/>
            </w:pPr>
            <w:r w:rsidRPr="00795F17">
              <w:t>60</w:t>
            </w:r>
          </w:p>
        </w:tc>
        <w:tc>
          <w:tcPr>
            <w:tcW w:w="1521" w:type="dxa"/>
            <w:tcBorders>
              <w:top w:val="nil"/>
              <w:left w:val="nil"/>
              <w:bottom w:val="single" w:sz="4" w:space="0" w:color="auto"/>
              <w:right w:val="single" w:sz="4" w:space="0" w:color="auto"/>
            </w:tcBorders>
            <w:shd w:val="clear" w:color="auto" w:fill="auto"/>
            <w:noWrap/>
            <w:vAlign w:val="center"/>
            <w:hideMark/>
          </w:tcPr>
          <w:p w14:paraId="375D5237" w14:textId="77777777" w:rsidR="00A230D1" w:rsidRPr="00795F17" w:rsidRDefault="00A230D1" w:rsidP="0065243A">
            <w:pPr>
              <w:pStyle w:val="Teksttabelisrodek"/>
            </w:pPr>
            <w:r w:rsidRPr="00795F17">
              <w:t>424</w:t>
            </w:r>
          </w:p>
        </w:tc>
        <w:tc>
          <w:tcPr>
            <w:tcW w:w="1167" w:type="dxa"/>
            <w:tcBorders>
              <w:top w:val="nil"/>
              <w:left w:val="nil"/>
              <w:bottom w:val="single" w:sz="4" w:space="0" w:color="auto"/>
              <w:right w:val="single" w:sz="4" w:space="0" w:color="auto"/>
            </w:tcBorders>
            <w:shd w:val="clear" w:color="auto" w:fill="auto"/>
            <w:noWrap/>
            <w:vAlign w:val="center"/>
            <w:hideMark/>
          </w:tcPr>
          <w:p w14:paraId="1227DA8E" w14:textId="77777777" w:rsidR="00A230D1" w:rsidRPr="00795F17" w:rsidRDefault="00A230D1" w:rsidP="0065243A">
            <w:pPr>
              <w:pStyle w:val="Teksttabelisrodek"/>
            </w:pPr>
            <w:r w:rsidRPr="00795F17">
              <w:t>446</w:t>
            </w:r>
          </w:p>
        </w:tc>
      </w:tr>
      <w:tr w:rsidR="00A230D1" w:rsidRPr="00795F17" w14:paraId="3477E71B" w14:textId="77777777" w:rsidTr="00E927DC">
        <w:trPr>
          <w:trHeight w:val="454"/>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5DCC55C" w14:textId="45442550" w:rsidR="00A230D1" w:rsidRPr="00795F17" w:rsidRDefault="002D3407" w:rsidP="004307BA">
            <w:pPr>
              <w:pStyle w:val="Teksttabelilewy"/>
            </w:pPr>
            <w:r w:rsidRPr="00795F17">
              <w:t>maksymalny potencjał ekologiczny</w:t>
            </w:r>
          </w:p>
        </w:tc>
        <w:tc>
          <w:tcPr>
            <w:tcW w:w="1701" w:type="dxa"/>
            <w:tcBorders>
              <w:top w:val="nil"/>
              <w:left w:val="nil"/>
              <w:bottom w:val="single" w:sz="4" w:space="0" w:color="auto"/>
              <w:right w:val="single" w:sz="4" w:space="0" w:color="auto"/>
            </w:tcBorders>
            <w:shd w:val="clear" w:color="auto" w:fill="auto"/>
            <w:noWrap/>
            <w:vAlign w:val="center"/>
          </w:tcPr>
          <w:p w14:paraId="4F0D8E5A" w14:textId="2C1F1302" w:rsidR="00A230D1" w:rsidRPr="00795F17" w:rsidRDefault="00A230D1" w:rsidP="0065243A">
            <w:pPr>
              <w:pStyle w:val="Teksttabelisrodek"/>
            </w:pPr>
            <w:r w:rsidRPr="00795F17">
              <w:t>-</w:t>
            </w:r>
          </w:p>
        </w:tc>
        <w:tc>
          <w:tcPr>
            <w:tcW w:w="1559" w:type="dxa"/>
            <w:tcBorders>
              <w:top w:val="nil"/>
              <w:left w:val="nil"/>
              <w:bottom w:val="single" w:sz="4" w:space="0" w:color="auto"/>
              <w:right w:val="single" w:sz="4" w:space="0" w:color="auto"/>
            </w:tcBorders>
            <w:shd w:val="clear" w:color="auto" w:fill="auto"/>
            <w:noWrap/>
            <w:vAlign w:val="center"/>
            <w:hideMark/>
          </w:tcPr>
          <w:p w14:paraId="561AE27E" w14:textId="77777777" w:rsidR="00A230D1" w:rsidRPr="00795F17" w:rsidRDefault="00A230D1" w:rsidP="0065243A">
            <w:pPr>
              <w:pStyle w:val="Teksttabelisrodek"/>
            </w:pPr>
            <w:r w:rsidRPr="00795F17">
              <w:t>-</w:t>
            </w:r>
          </w:p>
        </w:tc>
        <w:tc>
          <w:tcPr>
            <w:tcW w:w="1521" w:type="dxa"/>
            <w:tcBorders>
              <w:top w:val="nil"/>
              <w:left w:val="nil"/>
              <w:bottom w:val="single" w:sz="4" w:space="0" w:color="auto"/>
              <w:right w:val="single" w:sz="4" w:space="0" w:color="auto"/>
            </w:tcBorders>
            <w:shd w:val="clear" w:color="auto" w:fill="auto"/>
            <w:noWrap/>
            <w:vAlign w:val="center"/>
            <w:hideMark/>
          </w:tcPr>
          <w:p w14:paraId="606FE6C5" w14:textId="77777777" w:rsidR="00A230D1" w:rsidRPr="00795F17" w:rsidRDefault="00A230D1" w:rsidP="0065243A">
            <w:pPr>
              <w:pStyle w:val="Teksttabelisrodek"/>
            </w:pPr>
            <w:r w:rsidRPr="00795F17">
              <w:t>2</w:t>
            </w:r>
          </w:p>
        </w:tc>
        <w:tc>
          <w:tcPr>
            <w:tcW w:w="1167" w:type="dxa"/>
            <w:tcBorders>
              <w:top w:val="nil"/>
              <w:left w:val="nil"/>
              <w:bottom w:val="single" w:sz="4" w:space="0" w:color="auto"/>
              <w:right w:val="single" w:sz="4" w:space="0" w:color="auto"/>
            </w:tcBorders>
            <w:shd w:val="clear" w:color="auto" w:fill="auto"/>
            <w:noWrap/>
            <w:vAlign w:val="center"/>
            <w:hideMark/>
          </w:tcPr>
          <w:p w14:paraId="3FF4FC17" w14:textId="77777777" w:rsidR="00A230D1" w:rsidRPr="00795F17" w:rsidRDefault="00A230D1" w:rsidP="0065243A">
            <w:pPr>
              <w:pStyle w:val="Teksttabelisrodek"/>
            </w:pPr>
            <w:r w:rsidRPr="00795F17">
              <w:t>-</w:t>
            </w:r>
          </w:p>
        </w:tc>
      </w:tr>
      <w:tr w:rsidR="00A230D1" w:rsidRPr="00795F17" w14:paraId="561CBFA3" w14:textId="77777777" w:rsidTr="00E927DC">
        <w:trPr>
          <w:trHeight w:val="454"/>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6E9CE19" w14:textId="6DABF308" w:rsidR="00A230D1" w:rsidRPr="00795F17" w:rsidRDefault="002D3407" w:rsidP="004307BA">
            <w:pPr>
              <w:pStyle w:val="Teksttabelilewy"/>
            </w:pPr>
            <w:r w:rsidRPr="00795F17">
              <w:t>dobry stan chemiczny</w:t>
            </w:r>
          </w:p>
        </w:tc>
        <w:tc>
          <w:tcPr>
            <w:tcW w:w="1701" w:type="dxa"/>
            <w:tcBorders>
              <w:top w:val="nil"/>
              <w:left w:val="nil"/>
              <w:bottom w:val="single" w:sz="4" w:space="0" w:color="auto"/>
              <w:right w:val="single" w:sz="4" w:space="0" w:color="auto"/>
            </w:tcBorders>
            <w:shd w:val="clear" w:color="auto" w:fill="auto"/>
            <w:noWrap/>
            <w:vAlign w:val="center"/>
          </w:tcPr>
          <w:p w14:paraId="16F3DCEE" w14:textId="40257CD1" w:rsidR="00A230D1" w:rsidRPr="00795F17" w:rsidRDefault="00A230D1" w:rsidP="0065243A">
            <w:pPr>
              <w:pStyle w:val="Teksttabelisrodek"/>
            </w:pPr>
            <w:r w:rsidRPr="00795F17">
              <w:t>329</w:t>
            </w:r>
          </w:p>
        </w:tc>
        <w:tc>
          <w:tcPr>
            <w:tcW w:w="1559" w:type="dxa"/>
            <w:tcBorders>
              <w:top w:val="nil"/>
              <w:left w:val="nil"/>
              <w:bottom w:val="single" w:sz="4" w:space="0" w:color="auto"/>
              <w:right w:val="single" w:sz="4" w:space="0" w:color="auto"/>
            </w:tcBorders>
            <w:shd w:val="clear" w:color="auto" w:fill="auto"/>
            <w:noWrap/>
            <w:vAlign w:val="center"/>
            <w:hideMark/>
          </w:tcPr>
          <w:p w14:paraId="246F57F4" w14:textId="77777777" w:rsidR="00A230D1" w:rsidRPr="00795F17" w:rsidRDefault="00A230D1" w:rsidP="0065243A">
            <w:pPr>
              <w:pStyle w:val="Teksttabelisrodek"/>
            </w:pPr>
            <w:r w:rsidRPr="00795F17">
              <w:t>90</w:t>
            </w:r>
          </w:p>
        </w:tc>
        <w:tc>
          <w:tcPr>
            <w:tcW w:w="1521" w:type="dxa"/>
            <w:tcBorders>
              <w:top w:val="nil"/>
              <w:left w:val="nil"/>
              <w:bottom w:val="single" w:sz="4" w:space="0" w:color="auto"/>
              <w:right w:val="single" w:sz="4" w:space="0" w:color="auto"/>
            </w:tcBorders>
            <w:shd w:val="clear" w:color="auto" w:fill="auto"/>
            <w:noWrap/>
            <w:vAlign w:val="center"/>
            <w:hideMark/>
          </w:tcPr>
          <w:p w14:paraId="5E8DECAD" w14:textId="6C7EFC31" w:rsidR="00A230D1" w:rsidRPr="00795F17" w:rsidRDefault="00E927DC" w:rsidP="0065243A">
            <w:pPr>
              <w:pStyle w:val="Teksttabelisrodek"/>
            </w:pPr>
            <w:r w:rsidRPr="00795F17">
              <w:t>68</w:t>
            </w:r>
            <w:r>
              <w:t>4</w:t>
            </w:r>
          </w:p>
        </w:tc>
        <w:tc>
          <w:tcPr>
            <w:tcW w:w="1167" w:type="dxa"/>
            <w:tcBorders>
              <w:top w:val="nil"/>
              <w:left w:val="nil"/>
              <w:bottom w:val="single" w:sz="4" w:space="0" w:color="auto"/>
              <w:right w:val="single" w:sz="4" w:space="0" w:color="auto"/>
            </w:tcBorders>
            <w:shd w:val="clear" w:color="auto" w:fill="auto"/>
            <w:noWrap/>
            <w:vAlign w:val="center"/>
            <w:hideMark/>
          </w:tcPr>
          <w:p w14:paraId="05BD9C2B" w14:textId="77777777" w:rsidR="00A230D1" w:rsidRPr="00795F17" w:rsidRDefault="00A230D1" w:rsidP="0065243A">
            <w:pPr>
              <w:pStyle w:val="Teksttabelisrodek"/>
            </w:pPr>
            <w:r w:rsidRPr="00795F17">
              <w:t>632</w:t>
            </w:r>
          </w:p>
        </w:tc>
      </w:tr>
    </w:tbl>
    <w:p w14:paraId="7AFE2F3C" w14:textId="69F361E1" w:rsidR="00260551" w:rsidRPr="00795F17" w:rsidRDefault="00260551" w:rsidP="0044393D">
      <w:pPr>
        <w:pStyle w:val="rdo"/>
      </w:pPr>
      <w:r w:rsidRPr="00795F17">
        <w:t xml:space="preserve">Źródło: </w:t>
      </w:r>
      <w:r w:rsidR="00FD7248" w:rsidRPr="00795F17">
        <w:t>opracowanie własne</w:t>
      </w:r>
    </w:p>
    <w:p w14:paraId="2193C393" w14:textId="3B8691B1" w:rsidR="00495936" w:rsidRPr="00795F17" w:rsidRDefault="00495936" w:rsidP="004D7705">
      <w:pPr>
        <w:pStyle w:val="Tabela"/>
      </w:pPr>
      <w:bookmarkStart w:id="382" w:name="_Toc105512812"/>
      <w:r w:rsidRPr="00795F17">
        <w:t xml:space="preserve">Tabela </w:t>
      </w:r>
      <w:fldSimple w:instr=" STYLEREF 1 \s ">
        <w:r w:rsidR="001F774D">
          <w:rPr>
            <w:noProof/>
          </w:rPr>
          <w:t>8</w:t>
        </w:r>
      </w:fldSimple>
      <w:r w:rsidR="00BB3B21" w:rsidRPr="00795F17">
        <w:noBreakHyphen/>
      </w:r>
      <w:fldSimple w:instr=" SEQ Tabela \* ARABIC \s 1 ">
        <w:r w:rsidR="001F774D">
          <w:rPr>
            <w:noProof/>
          </w:rPr>
          <w:t>2</w:t>
        </w:r>
      </w:fldSimple>
      <w:r w:rsidR="00E76356">
        <w:rPr>
          <w:noProof/>
        </w:rPr>
        <w:t>.</w:t>
      </w:r>
      <w:r w:rsidRPr="00795F17">
        <w:tab/>
        <w:t xml:space="preserve">Liczba </w:t>
      </w:r>
      <w:r w:rsidR="00DF005E">
        <w:t>JCWP</w:t>
      </w:r>
      <w:r w:rsidRPr="00795F17">
        <w:t xml:space="preserve"> </w:t>
      </w:r>
      <w:r w:rsidR="005A43A7" w:rsidRPr="00795F17">
        <w:t>LW</w:t>
      </w:r>
      <w:r w:rsidRPr="00795F17">
        <w:t xml:space="preserve"> z poszczególnymi celami środowiskowymi </w:t>
      </w:r>
      <w:r w:rsidR="002D3407" w:rsidRPr="00795F17">
        <w:t>na</w:t>
      </w:r>
      <w:r w:rsidRPr="00795F17">
        <w:t xml:space="preserve"> </w:t>
      </w:r>
      <w:r w:rsidR="00FB15D5" w:rsidRPr="00795F17">
        <w:t xml:space="preserve">obszarze </w:t>
      </w:r>
      <w:r w:rsidRPr="00795F17">
        <w:t>dorzecz</w:t>
      </w:r>
      <w:r w:rsidR="00FB15D5" w:rsidRPr="00795F17">
        <w:t>a</w:t>
      </w:r>
      <w:r w:rsidRPr="00795F17">
        <w:t xml:space="preserve"> Odry </w:t>
      </w:r>
      <w:r w:rsidR="002D3407" w:rsidRPr="00795F17">
        <w:t>w</w:t>
      </w:r>
      <w:r w:rsidR="002C0B65" w:rsidRPr="00795F17">
        <w:t xml:space="preserve"> </w:t>
      </w:r>
      <w:r w:rsidR="00666AC3" w:rsidRPr="00795F17">
        <w:t xml:space="preserve">aPGW </w:t>
      </w:r>
      <w:r w:rsidR="002C0B65" w:rsidRPr="00795F17">
        <w:t>(</w:t>
      </w:r>
      <w:r w:rsidR="00666AC3" w:rsidRPr="00795F17">
        <w:t>2016</w:t>
      </w:r>
      <w:r w:rsidR="008E1B58">
        <w:t>–</w:t>
      </w:r>
      <w:r w:rsidR="00666AC3" w:rsidRPr="00795F17">
        <w:t>2021</w:t>
      </w:r>
      <w:r w:rsidR="005A43A7" w:rsidRPr="00795F17">
        <w:t>)</w:t>
      </w:r>
      <w:bookmarkEnd w:id="382"/>
    </w:p>
    <w:tbl>
      <w:tblPr>
        <w:tblW w:w="5000" w:type="pct"/>
        <w:tblCellMar>
          <w:left w:w="70" w:type="dxa"/>
          <w:right w:w="70" w:type="dxa"/>
        </w:tblCellMar>
        <w:tblLook w:val="04A0" w:firstRow="1" w:lastRow="0" w:firstColumn="1" w:lastColumn="0" w:noHBand="0" w:noVBand="1"/>
      </w:tblPr>
      <w:tblGrid>
        <w:gridCol w:w="3256"/>
        <w:gridCol w:w="1840"/>
        <w:gridCol w:w="1983"/>
        <w:gridCol w:w="1983"/>
      </w:tblGrid>
      <w:tr w:rsidR="00A230D1" w:rsidRPr="00795F17" w14:paraId="5282FFF3" w14:textId="77777777" w:rsidTr="00792322">
        <w:trPr>
          <w:cantSplit/>
          <w:trHeight w:val="454"/>
          <w:tblHeader/>
        </w:trPr>
        <w:tc>
          <w:tcPr>
            <w:tcW w:w="325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3ED9D9" w14:textId="355E3F76" w:rsidR="00A230D1" w:rsidRPr="00795F17" w:rsidRDefault="00A230D1" w:rsidP="0044393D">
            <w:pPr>
              <w:pStyle w:val="Teksttabelinaglowek"/>
            </w:pPr>
            <w:r w:rsidRPr="00795F17">
              <w:t xml:space="preserve">Cel środowiskowy </w:t>
            </w:r>
            <w:r w:rsidR="00DF005E">
              <w:t>JCWP</w:t>
            </w:r>
            <w:r w:rsidRPr="00795F17">
              <w:t xml:space="preserve"> </w:t>
            </w:r>
            <w:r w:rsidR="005A43A7" w:rsidRPr="00795F17">
              <w:t>LW</w:t>
            </w:r>
          </w:p>
        </w:tc>
        <w:tc>
          <w:tcPr>
            <w:tcW w:w="5806" w:type="dxa"/>
            <w:gridSpan w:val="3"/>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5380E23" w14:textId="77777777" w:rsidR="00A230D1" w:rsidRPr="00795F17" w:rsidRDefault="00A230D1" w:rsidP="0044393D">
            <w:pPr>
              <w:pStyle w:val="Teksttabelinaglowek"/>
            </w:pPr>
            <w:r w:rsidRPr="00795F17">
              <w:t>Region wodny</w:t>
            </w:r>
          </w:p>
        </w:tc>
      </w:tr>
      <w:tr w:rsidR="00A230D1" w:rsidRPr="00795F17" w14:paraId="610BC6BC" w14:textId="77777777" w:rsidTr="00792322">
        <w:trPr>
          <w:cantSplit/>
          <w:trHeight w:val="454"/>
          <w:tblHeader/>
        </w:trPr>
        <w:tc>
          <w:tcPr>
            <w:tcW w:w="325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A1DFB4" w14:textId="77777777" w:rsidR="00A230D1" w:rsidRPr="00795F17" w:rsidRDefault="00A230D1" w:rsidP="0044393D">
            <w:pPr>
              <w:pStyle w:val="Teksttabelinaglowek"/>
            </w:pPr>
          </w:p>
        </w:tc>
        <w:tc>
          <w:tcPr>
            <w:tcW w:w="1840" w:type="dxa"/>
            <w:tcBorders>
              <w:top w:val="nil"/>
              <w:left w:val="nil"/>
              <w:bottom w:val="single" w:sz="4" w:space="0" w:color="auto"/>
              <w:right w:val="single" w:sz="4" w:space="0" w:color="auto"/>
            </w:tcBorders>
            <w:shd w:val="clear" w:color="auto" w:fill="BFBFBF" w:themeFill="background1" w:themeFillShade="BF"/>
            <w:vAlign w:val="center"/>
            <w:hideMark/>
          </w:tcPr>
          <w:p w14:paraId="0B0FA861" w14:textId="77777777" w:rsidR="00A230D1" w:rsidRPr="00795F17" w:rsidRDefault="00A230D1" w:rsidP="0044393D">
            <w:pPr>
              <w:pStyle w:val="Teksttabelinaglowek"/>
            </w:pPr>
            <w:r w:rsidRPr="00795F17">
              <w:t>Środkowej Odry</w:t>
            </w:r>
          </w:p>
        </w:tc>
        <w:tc>
          <w:tcPr>
            <w:tcW w:w="1983" w:type="dxa"/>
            <w:tcBorders>
              <w:top w:val="nil"/>
              <w:left w:val="nil"/>
              <w:bottom w:val="single" w:sz="4" w:space="0" w:color="auto"/>
              <w:right w:val="single" w:sz="4" w:space="0" w:color="auto"/>
            </w:tcBorders>
            <w:shd w:val="clear" w:color="auto" w:fill="BFBFBF" w:themeFill="background1" w:themeFillShade="BF"/>
            <w:vAlign w:val="center"/>
            <w:hideMark/>
          </w:tcPr>
          <w:p w14:paraId="72BB3640" w14:textId="0C9FD0F2" w:rsidR="00A230D1" w:rsidRPr="00795F17" w:rsidRDefault="00A230D1" w:rsidP="0044393D">
            <w:pPr>
              <w:pStyle w:val="Teksttabelinaglowek"/>
            </w:pPr>
            <w:r w:rsidRPr="00795F17">
              <w:t>Dolnej Odry i</w:t>
            </w:r>
            <w:r w:rsidR="005A042D">
              <w:t> </w:t>
            </w:r>
            <w:r w:rsidRPr="00795F17">
              <w:t>Przymorza Zachodniego</w:t>
            </w:r>
          </w:p>
        </w:tc>
        <w:tc>
          <w:tcPr>
            <w:tcW w:w="1983" w:type="dxa"/>
            <w:tcBorders>
              <w:top w:val="nil"/>
              <w:left w:val="nil"/>
              <w:bottom w:val="single" w:sz="4" w:space="0" w:color="auto"/>
              <w:right w:val="single" w:sz="4" w:space="0" w:color="auto"/>
            </w:tcBorders>
            <w:shd w:val="clear" w:color="auto" w:fill="BFBFBF" w:themeFill="background1" w:themeFillShade="BF"/>
            <w:vAlign w:val="center"/>
            <w:hideMark/>
          </w:tcPr>
          <w:p w14:paraId="131D2B1E" w14:textId="77777777" w:rsidR="00A230D1" w:rsidRPr="00795F17" w:rsidRDefault="00A230D1" w:rsidP="0044393D">
            <w:pPr>
              <w:pStyle w:val="Teksttabelinaglowek"/>
            </w:pPr>
            <w:r w:rsidRPr="00795F17">
              <w:t>Warty</w:t>
            </w:r>
          </w:p>
        </w:tc>
      </w:tr>
      <w:tr w:rsidR="00A230D1" w:rsidRPr="00795F17" w14:paraId="69962E2A" w14:textId="77777777" w:rsidTr="00792322">
        <w:trPr>
          <w:cantSplit/>
          <w:trHeight w:val="454"/>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1BD3F3EA" w14:textId="34980218" w:rsidR="00A230D1" w:rsidRPr="00795F17" w:rsidRDefault="002D3407" w:rsidP="004307BA">
            <w:pPr>
              <w:pStyle w:val="Teksttabelilewy"/>
            </w:pPr>
            <w:r w:rsidRPr="00795F17">
              <w:t>bardzo dobry stan ekologiczny</w:t>
            </w:r>
          </w:p>
        </w:tc>
        <w:tc>
          <w:tcPr>
            <w:tcW w:w="1840" w:type="dxa"/>
            <w:tcBorders>
              <w:top w:val="nil"/>
              <w:left w:val="nil"/>
              <w:bottom w:val="single" w:sz="4" w:space="0" w:color="auto"/>
              <w:right w:val="single" w:sz="4" w:space="0" w:color="auto"/>
            </w:tcBorders>
            <w:shd w:val="clear" w:color="auto" w:fill="auto"/>
            <w:vAlign w:val="center"/>
            <w:hideMark/>
          </w:tcPr>
          <w:p w14:paraId="2D4114C7" w14:textId="77777777" w:rsidR="00A230D1" w:rsidRPr="00795F17" w:rsidRDefault="00A230D1" w:rsidP="0065243A">
            <w:pPr>
              <w:pStyle w:val="Teksttabelisrodek"/>
            </w:pPr>
            <w:r w:rsidRPr="00795F17">
              <w:t>1</w:t>
            </w:r>
          </w:p>
        </w:tc>
        <w:tc>
          <w:tcPr>
            <w:tcW w:w="1983" w:type="dxa"/>
            <w:tcBorders>
              <w:top w:val="nil"/>
              <w:left w:val="nil"/>
              <w:bottom w:val="single" w:sz="4" w:space="0" w:color="auto"/>
              <w:right w:val="single" w:sz="4" w:space="0" w:color="auto"/>
            </w:tcBorders>
            <w:shd w:val="clear" w:color="auto" w:fill="auto"/>
            <w:vAlign w:val="center"/>
            <w:hideMark/>
          </w:tcPr>
          <w:p w14:paraId="34C6D5AF" w14:textId="77777777" w:rsidR="00A230D1" w:rsidRPr="00795F17" w:rsidRDefault="00A230D1" w:rsidP="0065243A">
            <w:pPr>
              <w:pStyle w:val="Teksttabelisrodek"/>
            </w:pPr>
            <w:r w:rsidRPr="00795F17">
              <w:t>3</w:t>
            </w:r>
          </w:p>
        </w:tc>
        <w:tc>
          <w:tcPr>
            <w:tcW w:w="1983" w:type="dxa"/>
            <w:tcBorders>
              <w:top w:val="nil"/>
              <w:left w:val="nil"/>
              <w:bottom w:val="single" w:sz="4" w:space="0" w:color="auto"/>
              <w:right w:val="single" w:sz="4" w:space="0" w:color="auto"/>
            </w:tcBorders>
            <w:shd w:val="clear" w:color="auto" w:fill="auto"/>
            <w:vAlign w:val="center"/>
            <w:hideMark/>
          </w:tcPr>
          <w:p w14:paraId="4B0067AD" w14:textId="77777777" w:rsidR="00A230D1" w:rsidRPr="00795F17" w:rsidRDefault="00A230D1" w:rsidP="0065243A">
            <w:pPr>
              <w:pStyle w:val="Teksttabelisrodek"/>
            </w:pPr>
            <w:r w:rsidRPr="00795F17">
              <w:t>11</w:t>
            </w:r>
          </w:p>
        </w:tc>
      </w:tr>
      <w:tr w:rsidR="00A230D1" w:rsidRPr="00795F17" w14:paraId="14BEEC58" w14:textId="77777777" w:rsidTr="00792322">
        <w:trPr>
          <w:cantSplit/>
          <w:trHeight w:val="454"/>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4175E4B0" w14:textId="6037E585" w:rsidR="00A230D1" w:rsidRPr="00795F17" w:rsidRDefault="002D3407" w:rsidP="004307BA">
            <w:pPr>
              <w:pStyle w:val="Teksttabelilewy"/>
            </w:pPr>
            <w:r w:rsidRPr="00795F17">
              <w:t>dobry potencjał ekologiczny</w:t>
            </w:r>
          </w:p>
        </w:tc>
        <w:tc>
          <w:tcPr>
            <w:tcW w:w="1840" w:type="dxa"/>
            <w:tcBorders>
              <w:top w:val="nil"/>
              <w:left w:val="nil"/>
              <w:bottom w:val="single" w:sz="4" w:space="0" w:color="auto"/>
              <w:right w:val="single" w:sz="4" w:space="0" w:color="auto"/>
            </w:tcBorders>
            <w:shd w:val="clear" w:color="auto" w:fill="auto"/>
            <w:vAlign w:val="center"/>
            <w:hideMark/>
          </w:tcPr>
          <w:p w14:paraId="62D30F33" w14:textId="77777777" w:rsidR="00A230D1" w:rsidRPr="00795F17" w:rsidRDefault="00A230D1" w:rsidP="0065243A">
            <w:pPr>
              <w:pStyle w:val="Teksttabelisrodek"/>
            </w:pPr>
            <w:r w:rsidRPr="00795F17">
              <w:t>2</w:t>
            </w:r>
          </w:p>
        </w:tc>
        <w:tc>
          <w:tcPr>
            <w:tcW w:w="1983" w:type="dxa"/>
            <w:tcBorders>
              <w:top w:val="nil"/>
              <w:left w:val="nil"/>
              <w:bottom w:val="single" w:sz="4" w:space="0" w:color="auto"/>
              <w:right w:val="single" w:sz="4" w:space="0" w:color="auto"/>
            </w:tcBorders>
            <w:shd w:val="clear" w:color="auto" w:fill="auto"/>
            <w:vAlign w:val="center"/>
            <w:hideMark/>
          </w:tcPr>
          <w:p w14:paraId="55FAFA82" w14:textId="77777777" w:rsidR="00A230D1" w:rsidRPr="00795F17" w:rsidRDefault="00A230D1" w:rsidP="0065243A">
            <w:pPr>
              <w:pStyle w:val="Teksttabelisrodek"/>
            </w:pPr>
            <w:r w:rsidRPr="00795F17">
              <w:t>27</w:t>
            </w:r>
          </w:p>
        </w:tc>
        <w:tc>
          <w:tcPr>
            <w:tcW w:w="1983" w:type="dxa"/>
            <w:tcBorders>
              <w:top w:val="nil"/>
              <w:left w:val="nil"/>
              <w:bottom w:val="single" w:sz="4" w:space="0" w:color="auto"/>
              <w:right w:val="single" w:sz="4" w:space="0" w:color="auto"/>
            </w:tcBorders>
            <w:shd w:val="clear" w:color="auto" w:fill="auto"/>
            <w:vAlign w:val="center"/>
            <w:hideMark/>
          </w:tcPr>
          <w:p w14:paraId="1869250C" w14:textId="77777777" w:rsidR="00A230D1" w:rsidRPr="00795F17" w:rsidRDefault="00A230D1" w:rsidP="0065243A">
            <w:pPr>
              <w:pStyle w:val="Teksttabelisrodek"/>
            </w:pPr>
            <w:r w:rsidRPr="00795F17">
              <w:t>66</w:t>
            </w:r>
          </w:p>
        </w:tc>
      </w:tr>
      <w:tr w:rsidR="00A230D1" w:rsidRPr="00795F17" w14:paraId="48C0CEA0" w14:textId="77777777" w:rsidTr="00792322">
        <w:trPr>
          <w:cantSplit/>
          <w:trHeight w:val="454"/>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7B7D9B2C" w14:textId="032E50B3" w:rsidR="00A230D1" w:rsidRPr="00795F17" w:rsidRDefault="002D3407" w:rsidP="004307BA">
            <w:pPr>
              <w:pStyle w:val="Teksttabelilewy"/>
            </w:pPr>
            <w:r w:rsidRPr="00795F17">
              <w:t>dobry stan ekologiczny</w:t>
            </w:r>
          </w:p>
        </w:tc>
        <w:tc>
          <w:tcPr>
            <w:tcW w:w="1840" w:type="dxa"/>
            <w:tcBorders>
              <w:top w:val="nil"/>
              <w:left w:val="nil"/>
              <w:bottom w:val="single" w:sz="4" w:space="0" w:color="auto"/>
              <w:right w:val="single" w:sz="4" w:space="0" w:color="auto"/>
            </w:tcBorders>
            <w:shd w:val="clear" w:color="auto" w:fill="auto"/>
            <w:vAlign w:val="center"/>
            <w:hideMark/>
          </w:tcPr>
          <w:p w14:paraId="1CB6D176" w14:textId="77777777" w:rsidR="00A230D1" w:rsidRPr="00795F17" w:rsidRDefault="00A230D1" w:rsidP="0065243A">
            <w:pPr>
              <w:pStyle w:val="Teksttabelisrodek"/>
            </w:pPr>
            <w:r w:rsidRPr="00795F17">
              <w:t>21</w:t>
            </w:r>
          </w:p>
        </w:tc>
        <w:tc>
          <w:tcPr>
            <w:tcW w:w="1983" w:type="dxa"/>
            <w:tcBorders>
              <w:top w:val="nil"/>
              <w:left w:val="nil"/>
              <w:bottom w:val="single" w:sz="4" w:space="0" w:color="auto"/>
              <w:right w:val="single" w:sz="4" w:space="0" w:color="auto"/>
            </w:tcBorders>
            <w:shd w:val="clear" w:color="auto" w:fill="auto"/>
            <w:vAlign w:val="center"/>
            <w:hideMark/>
          </w:tcPr>
          <w:p w14:paraId="2C8E53B1" w14:textId="77777777" w:rsidR="00A230D1" w:rsidRPr="00795F17" w:rsidRDefault="00A230D1" w:rsidP="0065243A">
            <w:pPr>
              <w:pStyle w:val="Teksttabelisrodek"/>
            </w:pPr>
            <w:r w:rsidRPr="00795F17">
              <w:t>79</w:t>
            </w:r>
          </w:p>
        </w:tc>
        <w:tc>
          <w:tcPr>
            <w:tcW w:w="1983" w:type="dxa"/>
            <w:tcBorders>
              <w:top w:val="nil"/>
              <w:left w:val="nil"/>
              <w:bottom w:val="single" w:sz="4" w:space="0" w:color="auto"/>
              <w:right w:val="single" w:sz="4" w:space="0" w:color="auto"/>
            </w:tcBorders>
            <w:shd w:val="clear" w:color="auto" w:fill="auto"/>
            <w:vAlign w:val="center"/>
            <w:hideMark/>
          </w:tcPr>
          <w:p w14:paraId="6B2D6D23" w14:textId="77777777" w:rsidR="00A230D1" w:rsidRPr="00795F17" w:rsidRDefault="00A230D1" w:rsidP="0065243A">
            <w:pPr>
              <w:pStyle w:val="Teksttabelisrodek"/>
            </w:pPr>
            <w:r w:rsidRPr="00795F17">
              <w:t>204</w:t>
            </w:r>
          </w:p>
        </w:tc>
      </w:tr>
      <w:tr w:rsidR="00A230D1" w:rsidRPr="00795F17" w14:paraId="3846DC89" w14:textId="77777777" w:rsidTr="00792322">
        <w:trPr>
          <w:cantSplit/>
          <w:trHeight w:val="454"/>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27C3B428" w14:textId="38F48BB5" w:rsidR="00A230D1" w:rsidRPr="00795F17" w:rsidRDefault="002D3407" w:rsidP="004307BA">
            <w:pPr>
              <w:pStyle w:val="Teksttabelilewy"/>
            </w:pPr>
            <w:r w:rsidRPr="00795F17">
              <w:t>maksymalny potencjał ekologiczny</w:t>
            </w:r>
          </w:p>
        </w:tc>
        <w:tc>
          <w:tcPr>
            <w:tcW w:w="1840" w:type="dxa"/>
            <w:tcBorders>
              <w:top w:val="nil"/>
              <w:left w:val="nil"/>
              <w:bottom w:val="single" w:sz="4" w:space="0" w:color="auto"/>
              <w:right w:val="single" w:sz="4" w:space="0" w:color="auto"/>
            </w:tcBorders>
            <w:shd w:val="clear" w:color="auto" w:fill="auto"/>
            <w:vAlign w:val="center"/>
            <w:hideMark/>
          </w:tcPr>
          <w:p w14:paraId="19E328D1" w14:textId="77777777" w:rsidR="00A230D1" w:rsidRPr="00795F17" w:rsidRDefault="00A230D1" w:rsidP="0065243A">
            <w:pPr>
              <w:pStyle w:val="Teksttabelisrodek"/>
            </w:pPr>
            <w:r w:rsidRPr="00795F17">
              <w:t>-</w:t>
            </w:r>
          </w:p>
        </w:tc>
        <w:tc>
          <w:tcPr>
            <w:tcW w:w="1983" w:type="dxa"/>
            <w:tcBorders>
              <w:top w:val="nil"/>
              <w:left w:val="nil"/>
              <w:bottom w:val="single" w:sz="4" w:space="0" w:color="auto"/>
              <w:right w:val="single" w:sz="4" w:space="0" w:color="auto"/>
            </w:tcBorders>
            <w:shd w:val="clear" w:color="auto" w:fill="auto"/>
            <w:vAlign w:val="center"/>
            <w:hideMark/>
          </w:tcPr>
          <w:p w14:paraId="3AA19BF0" w14:textId="77777777" w:rsidR="00A230D1" w:rsidRPr="00795F17" w:rsidRDefault="00A230D1" w:rsidP="0065243A">
            <w:pPr>
              <w:pStyle w:val="Teksttabelisrodek"/>
            </w:pPr>
            <w:r w:rsidRPr="00795F17">
              <w:t>-</w:t>
            </w:r>
          </w:p>
        </w:tc>
        <w:tc>
          <w:tcPr>
            <w:tcW w:w="1983" w:type="dxa"/>
            <w:tcBorders>
              <w:top w:val="nil"/>
              <w:left w:val="nil"/>
              <w:bottom w:val="single" w:sz="4" w:space="0" w:color="auto"/>
              <w:right w:val="single" w:sz="4" w:space="0" w:color="auto"/>
            </w:tcBorders>
            <w:shd w:val="clear" w:color="auto" w:fill="auto"/>
            <w:vAlign w:val="center"/>
            <w:hideMark/>
          </w:tcPr>
          <w:p w14:paraId="64E82100" w14:textId="77777777" w:rsidR="00A230D1" w:rsidRPr="00795F17" w:rsidRDefault="00A230D1" w:rsidP="0065243A">
            <w:pPr>
              <w:pStyle w:val="Teksttabelisrodek"/>
            </w:pPr>
            <w:r w:rsidRPr="00795F17">
              <w:t>4</w:t>
            </w:r>
          </w:p>
        </w:tc>
      </w:tr>
      <w:tr w:rsidR="00A230D1" w:rsidRPr="00795F17" w14:paraId="18349AF1" w14:textId="77777777" w:rsidTr="00792322">
        <w:trPr>
          <w:cantSplit/>
          <w:trHeight w:val="454"/>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11873DF4" w14:textId="5F089359" w:rsidR="00A230D1" w:rsidRPr="00795F17" w:rsidRDefault="002D3407" w:rsidP="004307BA">
            <w:pPr>
              <w:pStyle w:val="Teksttabelilewy"/>
            </w:pPr>
            <w:r w:rsidRPr="00795F17">
              <w:t>mniej rygorystyczny cel środowiskowy</w:t>
            </w:r>
          </w:p>
        </w:tc>
        <w:tc>
          <w:tcPr>
            <w:tcW w:w="1840" w:type="dxa"/>
            <w:tcBorders>
              <w:top w:val="nil"/>
              <w:left w:val="nil"/>
              <w:bottom w:val="single" w:sz="4" w:space="0" w:color="auto"/>
              <w:right w:val="single" w:sz="4" w:space="0" w:color="auto"/>
            </w:tcBorders>
            <w:shd w:val="clear" w:color="auto" w:fill="auto"/>
            <w:vAlign w:val="center"/>
            <w:hideMark/>
          </w:tcPr>
          <w:p w14:paraId="0C606660" w14:textId="77777777" w:rsidR="00A230D1" w:rsidRPr="00795F17" w:rsidRDefault="00A230D1" w:rsidP="0065243A">
            <w:pPr>
              <w:pStyle w:val="Teksttabelisrodek"/>
            </w:pPr>
            <w:r w:rsidRPr="00795F17">
              <w:t>-</w:t>
            </w:r>
          </w:p>
        </w:tc>
        <w:tc>
          <w:tcPr>
            <w:tcW w:w="1983" w:type="dxa"/>
            <w:tcBorders>
              <w:top w:val="nil"/>
              <w:left w:val="nil"/>
              <w:bottom w:val="single" w:sz="4" w:space="0" w:color="auto"/>
              <w:right w:val="single" w:sz="4" w:space="0" w:color="auto"/>
            </w:tcBorders>
            <w:shd w:val="clear" w:color="auto" w:fill="auto"/>
            <w:vAlign w:val="center"/>
            <w:hideMark/>
          </w:tcPr>
          <w:p w14:paraId="69443535" w14:textId="77777777" w:rsidR="00A230D1" w:rsidRPr="00795F17" w:rsidRDefault="00A230D1" w:rsidP="0065243A">
            <w:pPr>
              <w:pStyle w:val="Teksttabelisrodek"/>
            </w:pPr>
            <w:r w:rsidRPr="00795F17">
              <w:t>4</w:t>
            </w:r>
          </w:p>
        </w:tc>
        <w:tc>
          <w:tcPr>
            <w:tcW w:w="1983" w:type="dxa"/>
            <w:tcBorders>
              <w:top w:val="nil"/>
              <w:left w:val="nil"/>
              <w:bottom w:val="single" w:sz="4" w:space="0" w:color="auto"/>
              <w:right w:val="single" w:sz="4" w:space="0" w:color="auto"/>
            </w:tcBorders>
            <w:shd w:val="clear" w:color="auto" w:fill="auto"/>
            <w:vAlign w:val="center"/>
            <w:hideMark/>
          </w:tcPr>
          <w:p w14:paraId="78BA2544" w14:textId="77777777" w:rsidR="00A230D1" w:rsidRPr="00795F17" w:rsidRDefault="00A230D1" w:rsidP="0065243A">
            <w:pPr>
              <w:pStyle w:val="Teksttabelisrodek"/>
            </w:pPr>
            <w:r w:rsidRPr="00795F17">
              <w:t>-</w:t>
            </w:r>
          </w:p>
        </w:tc>
      </w:tr>
      <w:tr w:rsidR="00A230D1" w:rsidRPr="00795F17" w14:paraId="20CA7919" w14:textId="77777777" w:rsidTr="00792322">
        <w:trPr>
          <w:cantSplit/>
          <w:trHeight w:val="454"/>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3528BF22" w14:textId="762462B7" w:rsidR="00A230D1" w:rsidRPr="00795F17" w:rsidRDefault="002D3407" w:rsidP="004307BA">
            <w:pPr>
              <w:pStyle w:val="Teksttabelilewy"/>
            </w:pPr>
            <w:r w:rsidRPr="00795F17">
              <w:t>dobry stan chemiczny</w:t>
            </w:r>
          </w:p>
        </w:tc>
        <w:tc>
          <w:tcPr>
            <w:tcW w:w="1840" w:type="dxa"/>
            <w:tcBorders>
              <w:top w:val="nil"/>
              <w:left w:val="nil"/>
              <w:bottom w:val="single" w:sz="4" w:space="0" w:color="auto"/>
              <w:right w:val="single" w:sz="4" w:space="0" w:color="auto"/>
            </w:tcBorders>
            <w:shd w:val="clear" w:color="auto" w:fill="auto"/>
            <w:vAlign w:val="center"/>
            <w:hideMark/>
          </w:tcPr>
          <w:p w14:paraId="77393BF0" w14:textId="77777777" w:rsidR="00A230D1" w:rsidRPr="00795F17" w:rsidRDefault="00A230D1" w:rsidP="0065243A">
            <w:pPr>
              <w:pStyle w:val="Teksttabelisrodek"/>
            </w:pPr>
            <w:r w:rsidRPr="00795F17">
              <w:t>24</w:t>
            </w:r>
          </w:p>
        </w:tc>
        <w:tc>
          <w:tcPr>
            <w:tcW w:w="1983" w:type="dxa"/>
            <w:tcBorders>
              <w:top w:val="nil"/>
              <w:left w:val="nil"/>
              <w:bottom w:val="single" w:sz="4" w:space="0" w:color="auto"/>
              <w:right w:val="single" w:sz="4" w:space="0" w:color="auto"/>
            </w:tcBorders>
            <w:shd w:val="clear" w:color="auto" w:fill="auto"/>
            <w:vAlign w:val="center"/>
            <w:hideMark/>
          </w:tcPr>
          <w:p w14:paraId="69BD560E" w14:textId="77777777" w:rsidR="00A230D1" w:rsidRPr="00795F17" w:rsidRDefault="00A230D1" w:rsidP="0065243A">
            <w:pPr>
              <w:pStyle w:val="Teksttabelisrodek"/>
            </w:pPr>
            <w:r w:rsidRPr="00795F17">
              <w:t>113</w:t>
            </w:r>
          </w:p>
        </w:tc>
        <w:tc>
          <w:tcPr>
            <w:tcW w:w="1983" w:type="dxa"/>
            <w:tcBorders>
              <w:top w:val="nil"/>
              <w:left w:val="nil"/>
              <w:bottom w:val="single" w:sz="4" w:space="0" w:color="auto"/>
              <w:right w:val="single" w:sz="4" w:space="0" w:color="auto"/>
            </w:tcBorders>
            <w:shd w:val="clear" w:color="auto" w:fill="auto"/>
            <w:vAlign w:val="center"/>
            <w:hideMark/>
          </w:tcPr>
          <w:p w14:paraId="1F9B3845" w14:textId="77777777" w:rsidR="00A230D1" w:rsidRPr="00795F17" w:rsidRDefault="00A230D1" w:rsidP="0065243A">
            <w:pPr>
              <w:pStyle w:val="Teksttabelisrodek"/>
            </w:pPr>
            <w:r w:rsidRPr="00795F17">
              <w:t>285</w:t>
            </w:r>
          </w:p>
        </w:tc>
      </w:tr>
    </w:tbl>
    <w:p w14:paraId="5D5FD394" w14:textId="4A4C9C98" w:rsidR="00260551" w:rsidRPr="00795F17" w:rsidRDefault="00260551" w:rsidP="0044393D">
      <w:pPr>
        <w:pStyle w:val="rdo"/>
      </w:pPr>
      <w:r w:rsidRPr="00795F17">
        <w:t xml:space="preserve">Źródło: </w:t>
      </w:r>
      <w:r w:rsidR="00A62769" w:rsidRPr="00795F17">
        <w:t>opracowanie własne na</w:t>
      </w:r>
      <w:r w:rsidR="004012C1" w:rsidRPr="00795F17">
        <w:t xml:space="preserve"> podstawie danych aPGW</w:t>
      </w:r>
    </w:p>
    <w:p w14:paraId="4A2EA013" w14:textId="348FF504" w:rsidR="00495936" w:rsidRPr="00795F17" w:rsidRDefault="00495936" w:rsidP="004D7705">
      <w:pPr>
        <w:pStyle w:val="Tabela"/>
      </w:pPr>
      <w:bookmarkStart w:id="383" w:name="_Toc105512813"/>
      <w:r w:rsidRPr="00795F17">
        <w:t xml:space="preserve">Tabela </w:t>
      </w:r>
      <w:fldSimple w:instr=" STYLEREF 1 \s ">
        <w:r w:rsidR="001F774D">
          <w:rPr>
            <w:noProof/>
          </w:rPr>
          <w:t>8</w:t>
        </w:r>
      </w:fldSimple>
      <w:r w:rsidR="00BB3B21" w:rsidRPr="00795F17">
        <w:noBreakHyphen/>
      </w:r>
      <w:fldSimple w:instr=" SEQ Tabela \* ARABIC \s 1 ">
        <w:r w:rsidR="001F774D">
          <w:rPr>
            <w:noProof/>
          </w:rPr>
          <w:t>3</w:t>
        </w:r>
      </w:fldSimple>
      <w:r w:rsidR="00E76356">
        <w:rPr>
          <w:noProof/>
        </w:rPr>
        <w:t>.</w:t>
      </w:r>
      <w:r w:rsidRPr="00795F17">
        <w:tab/>
      </w:r>
      <w:r w:rsidR="00F97696" w:rsidRPr="00795F17">
        <w:t xml:space="preserve">Liczba </w:t>
      </w:r>
      <w:r w:rsidR="00DF005E">
        <w:t>JCWP</w:t>
      </w:r>
      <w:r w:rsidR="00F97696" w:rsidRPr="00795F17">
        <w:t xml:space="preserve"> TW i CW z poszczególnymi celami środowiskowymi </w:t>
      </w:r>
      <w:r w:rsidR="002D3407" w:rsidRPr="00795F17">
        <w:t>na</w:t>
      </w:r>
      <w:r w:rsidR="00F97696" w:rsidRPr="00795F17">
        <w:t xml:space="preserve"> </w:t>
      </w:r>
      <w:r w:rsidR="00FB15D5" w:rsidRPr="00795F17">
        <w:t xml:space="preserve">obszarze </w:t>
      </w:r>
      <w:r w:rsidR="00F97696" w:rsidRPr="00795F17">
        <w:t>dorzecz</w:t>
      </w:r>
      <w:r w:rsidR="00FB15D5" w:rsidRPr="00795F17">
        <w:t>a</w:t>
      </w:r>
      <w:r w:rsidR="00F97696" w:rsidRPr="00795F17">
        <w:t xml:space="preserve"> Odry </w:t>
      </w:r>
      <w:r w:rsidR="002D3407" w:rsidRPr="00795F17">
        <w:t>w</w:t>
      </w:r>
      <w:r w:rsidR="005A042D">
        <w:t> </w:t>
      </w:r>
      <w:r w:rsidR="00666AC3" w:rsidRPr="00795F17">
        <w:t xml:space="preserve">aPGW </w:t>
      </w:r>
      <w:r w:rsidR="002C0B65" w:rsidRPr="00795F17">
        <w:t>(</w:t>
      </w:r>
      <w:r w:rsidR="00666AC3" w:rsidRPr="00795F17">
        <w:t>2016</w:t>
      </w:r>
      <w:r w:rsidR="008E1B58">
        <w:t>–</w:t>
      </w:r>
      <w:r w:rsidR="00666AC3" w:rsidRPr="00795F17">
        <w:t>2021</w:t>
      </w:r>
      <w:r w:rsidR="005A43A7" w:rsidRPr="00795F17">
        <w:t>)</w:t>
      </w:r>
      <w:bookmarkEnd w:id="383"/>
    </w:p>
    <w:tbl>
      <w:tblPr>
        <w:tblStyle w:val="Tabela-Siatka"/>
        <w:tblW w:w="5000" w:type="pct"/>
        <w:tblLook w:val="04A0" w:firstRow="1" w:lastRow="0" w:firstColumn="1" w:lastColumn="0" w:noHBand="0" w:noVBand="1"/>
      </w:tblPr>
      <w:tblGrid>
        <w:gridCol w:w="3316"/>
        <w:gridCol w:w="5746"/>
      </w:tblGrid>
      <w:tr w:rsidR="00F97696" w:rsidRPr="00795F17" w14:paraId="6CE1BCB5" w14:textId="77777777" w:rsidTr="00BC55DD">
        <w:trPr>
          <w:cnfStyle w:val="100000000000" w:firstRow="1" w:lastRow="0" w:firstColumn="0" w:lastColumn="0" w:oddVBand="0" w:evenVBand="0" w:oddHBand="0" w:evenHBand="0" w:firstRowFirstColumn="0" w:firstRowLastColumn="0" w:lastRowFirstColumn="0" w:lastRowLastColumn="0"/>
          <w:trHeight w:val="397"/>
        </w:trPr>
        <w:tc>
          <w:tcPr>
            <w:tcW w:w="1797" w:type="pct"/>
            <w:vMerge w:val="restart"/>
            <w:tcBorders>
              <w:top w:val="single" w:sz="4" w:space="0" w:color="auto"/>
              <w:left w:val="single" w:sz="4" w:space="0" w:color="auto"/>
              <w:bottom w:val="single" w:sz="4" w:space="0" w:color="auto"/>
              <w:right w:val="single" w:sz="4" w:space="0" w:color="auto"/>
            </w:tcBorders>
            <w:noWrap/>
            <w:hideMark/>
          </w:tcPr>
          <w:p w14:paraId="24C9B4B2" w14:textId="309B0D96" w:rsidR="00F97696" w:rsidRPr="00795F17" w:rsidRDefault="00F97696" w:rsidP="004307BA">
            <w:pPr>
              <w:pStyle w:val="Teksttabelinaglowek"/>
              <w:rPr>
                <w:b/>
                <w:bCs/>
              </w:rPr>
            </w:pPr>
            <w:r w:rsidRPr="00795F17">
              <w:rPr>
                <w:b/>
                <w:bCs/>
              </w:rPr>
              <w:t xml:space="preserve">Cel środowiskowy </w:t>
            </w:r>
            <w:r w:rsidR="00DF005E">
              <w:rPr>
                <w:b/>
                <w:bCs/>
              </w:rPr>
              <w:t>JCWP</w:t>
            </w:r>
            <w:r w:rsidRPr="00795F17">
              <w:rPr>
                <w:b/>
                <w:bCs/>
              </w:rPr>
              <w:t xml:space="preserve"> </w:t>
            </w:r>
            <w:r w:rsidR="005A43A7" w:rsidRPr="00795F17">
              <w:rPr>
                <w:b/>
                <w:bCs/>
              </w:rPr>
              <w:t>TW i CW</w:t>
            </w:r>
          </w:p>
        </w:tc>
        <w:tc>
          <w:tcPr>
            <w:tcW w:w="3203" w:type="pct"/>
            <w:tcBorders>
              <w:top w:val="single" w:sz="4" w:space="0" w:color="auto"/>
              <w:left w:val="single" w:sz="4" w:space="0" w:color="auto"/>
              <w:bottom w:val="single" w:sz="4" w:space="0" w:color="auto"/>
              <w:right w:val="single" w:sz="4" w:space="0" w:color="auto"/>
            </w:tcBorders>
            <w:noWrap/>
            <w:hideMark/>
          </w:tcPr>
          <w:p w14:paraId="6925DED0" w14:textId="77777777" w:rsidR="00F97696" w:rsidRPr="00795F17" w:rsidRDefault="00F97696" w:rsidP="004307BA">
            <w:pPr>
              <w:pStyle w:val="Teksttabelinaglowek"/>
              <w:rPr>
                <w:b/>
                <w:bCs/>
              </w:rPr>
            </w:pPr>
            <w:r w:rsidRPr="00795F17">
              <w:rPr>
                <w:b/>
                <w:bCs/>
              </w:rPr>
              <w:t>Region wodny</w:t>
            </w:r>
          </w:p>
        </w:tc>
      </w:tr>
      <w:tr w:rsidR="00F97696" w:rsidRPr="00795F17" w14:paraId="58424B52" w14:textId="77777777" w:rsidTr="00BC55DD">
        <w:trPr>
          <w:trHeight w:val="397"/>
        </w:trPr>
        <w:tc>
          <w:tcPr>
            <w:tcW w:w="1797" w:type="pct"/>
            <w:vMerge/>
            <w:tcBorders>
              <w:top w:val="single" w:sz="4" w:space="0" w:color="auto"/>
              <w:left w:val="single" w:sz="4" w:space="0" w:color="auto"/>
              <w:bottom w:val="single" w:sz="4" w:space="0" w:color="auto"/>
              <w:right w:val="single" w:sz="4" w:space="0" w:color="auto"/>
            </w:tcBorders>
            <w:hideMark/>
          </w:tcPr>
          <w:p w14:paraId="2B116238" w14:textId="77777777" w:rsidR="00F97696" w:rsidRPr="00795F17" w:rsidRDefault="00F97696" w:rsidP="004307BA">
            <w:pPr>
              <w:pStyle w:val="Teksttabelinaglowek"/>
              <w:rPr>
                <w:bCs/>
              </w:rPr>
            </w:pPr>
          </w:p>
        </w:tc>
        <w:tc>
          <w:tcPr>
            <w:tcW w:w="3203"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4F1B890" w14:textId="77777777" w:rsidR="00F97696" w:rsidRPr="00795F17" w:rsidRDefault="00F97696" w:rsidP="004307BA">
            <w:pPr>
              <w:pStyle w:val="Teksttabelinaglowek"/>
              <w:rPr>
                <w:bCs/>
              </w:rPr>
            </w:pPr>
            <w:r w:rsidRPr="00795F17">
              <w:rPr>
                <w:bCs/>
              </w:rPr>
              <w:t>Dolnej Odry i Przymorza Zachodniego</w:t>
            </w:r>
          </w:p>
        </w:tc>
      </w:tr>
      <w:tr w:rsidR="00F97696" w:rsidRPr="00795F17" w14:paraId="5FFDB05A" w14:textId="77777777" w:rsidTr="00BC55DD">
        <w:trPr>
          <w:trHeight w:val="397"/>
        </w:trPr>
        <w:tc>
          <w:tcPr>
            <w:tcW w:w="1797" w:type="pct"/>
            <w:tcBorders>
              <w:top w:val="single" w:sz="4" w:space="0" w:color="auto"/>
              <w:left w:val="single" w:sz="4" w:space="0" w:color="auto"/>
              <w:bottom w:val="single" w:sz="4" w:space="0" w:color="auto"/>
              <w:right w:val="single" w:sz="4" w:space="0" w:color="auto"/>
            </w:tcBorders>
            <w:noWrap/>
            <w:hideMark/>
          </w:tcPr>
          <w:p w14:paraId="02506EEC" w14:textId="762A0434" w:rsidR="00F97696" w:rsidRPr="00795F17" w:rsidRDefault="002D3407" w:rsidP="004307BA">
            <w:pPr>
              <w:pStyle w:val="Teksttabelilewy"/>
            </w:pPr>
            <w:r w:rsidRPr="00795F17">
              <w:t>bardzo dobry stan ekologiczny</w:t>
            </w:r>
          </w:p>
        </w:tc>
        <w:tc>
          <w:tcPr>
            <w:tcW w:w="3203" w:type="pct"/>
            <w:tcBorders>
              <w:top w:val="single" w:sz="4" w:space="0" w:color="auto"/>
              <w:left w:val="single" w:sz="4" w:space="0" w:color="auto"/>
              <w:bottom w:val="single" w:sz="4" w:space="0" w:color="auto"/>
              <w:right w:val="single" w:sz="4" w:space="0" w:color="auto"/>
            </w:tcBorders>
            <w:noWrap/>
            <w:hideMark/>
          </w:tcPr>
          <w:p w14:paraId="62BBF6F3" w14:textId="77777777" w:rsidR="00F97696" w:rsidRPr="00795F17" w:rsidRDefault="00F97696" w:rsidP="004307BA">
            <w:pPr>
              <w:pStyle w:val="Teksttabelisrodek"/>
            </w:pPr>
            <w:r w:rsidRPr="00795F17">
              <w:t>-</w:t>
            </w:r>
          </w:p>
        </w:tc>
      </w:tr>
      <w:tr w:rsidR="00F97696" w:rsidRPr="00795F17" w14:paraId="14975926" w14:textId="77777777" w:rsidTr="00BC55DD">
        <w:trPr>
          <w:trHeight w:val="397"/>
        </w:trPr>
        <w:tc>
          <w:tcPr>
            <w:tcW w:w="1797" w:type="pct"/>
            <w:tcBorders>
              <w:top w:val="single" w:sz="4" w:space="0" w:color="auto"/>
              <w:left w:val="single" w:sz="4" w:space="0" w:color="auto"/>
              <w:bottom w:val="single" w:sz="4" w:space="0" w:color="auto"/>
              <w:right w:val="single" w:sz="4" w:space="0" w:color="auto"/>
            </w:tcBorders>
            <w:noWrap/>
            <w:hideMark/>
          </w:tcPr>
          <w:p w14:paraId="22636901" w14:textId="4E979A24" w:rsidR="00F97696" w:rsidRPr="00795F17" w:rsidRDefault="002D3407" w:rsidP="004307BA">
            <w:pPr>
              <w:pStyle w:val="Teksttabelilewy"/>
            </w:pPr>
            <w:r w:rsidRPr="00795F17">
              <w:t>dobry potencjał ekologiczny</w:t>
            </w:r>
          </w:p>
        </w:tc>
        <w:tc>
          <w:tcPr>
            <w:tcW w:w="3203" w:type="pct"/>
            <w:tcBorders>
              <w:top w:val="single" w:sz="4" w:space="0" w:color="auto"/>
              <w:left w:val="single" w:sz="4" w:space="0" w:color="auto"/>
              <w:bottom w:val="single" w:sz="4" w:space="0" w:color="auto"/>
              <w:right w:val="single" w:sz="4" w:space="0" w:color="auto"/>
            </w:tcBorders>
            <w:noWrap/>
            <w:hideMark/>
          </w:tcPr>
          <w:p w14:paraId="5AC00BF3" w14:textId="77777777" w:rsidR="00F97696" w:rsidRPr="00795F17" w:rsidRDefault="00F97696" w:rsidP="004307BA">
            <w:pPr>
              <w:pStyle w:val="Teksttabelisrodek"/>
            </w:pPr>
            <w:r w:rsidRPr="00795F17">
              <w:t>3</w:t>
            </w:r>
          </w:p>
        </w:tc>
      </w:tr>
      <w:tr w:rsidR="00F97696" w:rsidRPr="00795F17" w14:paraId="6CEF16CC" w14:textId="77777777" w:rsidTr="00BC55DD">
        <w:trPr>
          <w:trHeight w:val="397"/>
        </w:trPr>
        <w:tc>
          <w:tcPr>
            <w:tcW w:w="1797" w:type="pct"/>
            <w:tcBorders>
              <w:top w:val="single" w:sz="4" w:space="0" w:color="auto"/>
              <w:left w:val="single" w:sz="4" w:space="0" w:color="auto"/>
              <w:bottom w:val="single" w:sz="4" w:space="0" w:color="auto"/>
              <w:right w:val="single" w:sz="4" w:space="0" w:color="auto"/>
            </w:tcBorders>
            <w:noWrap/>
            <w:hideMark/>
          </w:tcPr>
          <w:p w14:paraId="0D43C18D" w14:textId="2C00ED17" w:rsidR="00F97696" w:rsidRPr="00795F17" w:rsidRDefault="002D3407" w:rsidP="004307BA">
            <w:pPr>
              <w:pStyle w:val="Teksttabelilewy"/>
            </w:pPr>
            <w:r w:rsidRPr="00795F17">
              <w:t>dobry stan ekologiczny</w:t>
            </w:r>
          </w:p>
        </w:tc>
        <w:tc>
          <w:tcPr>
            <w:tcW w:w="3203" w:type="pct"/>
            <w:tcBorders>
              <w:top w:val="single" w:sz="4" w:space="0" w:color="auto"/>
              <w:left w:val="single" w:sz="4" w:space="0" w:color="auto"/>
              <w:bottom w:val="single" w:sz="4" w:space="0" w:color="auto"/>
              <w:right w:val="single" w:sz="4" w:space="0" w:color="auto"/>
            </w:tcBorders>
            <w:noWrap/>
            <w:hideMark/>
          </w:tcPr>
          <w:p w14:paraId="7B650148" w14:textId="77777777" w:rsidR="00F97696" w:rsidRPr="00795F17" w:rsidRDefault="00F97696" w:rsidP="004307BA">
            <w:pPr>
              <w:pStyle w:val="Teksttabelisrodek"/>
            </w:pPr>
            <w:r w:rsidRPr="00795F17">
              <w:t>5</w:t>
            </w:r>
          </w:p>
        </w:tc>
      </w:tr>
      <w:tr w:rsidR="00F97696" w:rsidRPr="00795F17" w14:paraId="121B573E" w14:textId="77777777" w:rsidTr="00BC55DD">
        <w:trPr>
          <w:trHeight w:val="397"/>
        </w:trPr>
        <w:tc>
          <w:tcPr>
            <w:tcW w:w="1797" w:type="pct"/>
            <w:tcBorders>
              <w:top w:val="single" w:sz="4" w:space="0" w:color="auto"/>
              <w:left w:val="single" w:sz="4" w:space="0" w:color="auto"/>
              <w:bottom w:val="single" w:sz="4" w:space="0" w:color="auto"/>
              <w:right w:val="single" w:sz="4" w:space="0" w:color="auto"/>
            </w:tcBorders>
            <w:noWrap/>
            <w:hideMark/>
          </w:tcPr>
          <w:p w14:paraId="2B4A82D4" w14:textId="67E738C2" w:rsidR="00F97696" w:rsidRPr="00795F17" w:rsidRDefault="002D3407" w:rsidP="004307BA">
            <w:pPr>
              <w:pStyle w:val="Teksttabelilewy"/>
            </w:pPr>
            <w:r w:rsidRPr="00795F17">
              <w:t>maksymalny potencjał ekologiczny</w:t>
            </w:r>
          </w:p>
        </w:tc>
        <w:tc>
          <w:tcPr>
            <w:tcW w:w="3203" w:type="pct"/>
            <w:tcBorders>
              <w:top w:val="single" w:sz="4" w:space="0" w:color="auto"/>
              <w:left w:val="single" w:sz="4" w:space="0" w:color="auto"/>
              <w:bottom w:val="single" w:sz="4" w:space="0" w:color="auto"/>
              <w:right w:val="single" w:sz="4" w:space="0" w:color="auto"/>
            </w:tcBorders>
            <w:noWrap/>
            <w:hideMark/>
          </w:tcPr>
          <w:p w14:paraId="6489B616" w14:textId="77777777" w:rsidR="00F97696" w:rsidRPr="00795F17" w:rsidRDefault="00F97696" w:rsidP="004307BA">
            <w:pPr>
              <w:pStyle w:val="Teksttabelisrodek"/>
            </w:pPr>
            <w:r w:rsidRPr="00795F17">
              <w:t>-</w:t>
            </w:r>
          </w:p>
        </w:tc>
      </w:tr>
      <w:tr w:rsidR="00F97696" w:rsidRPr="00795F17" w14:paraId="38781B47" w14:textId="77777777" w:rsidTr="00BC55DD">
        <w:trPr>
          <w:trHeight w:val="397"/>
        </w:trPr>
        <w:tc>
          <w:tcPr>
            <w:tcW w:w="1797" w:type="pct"/>
            <w:tcBorders>
              <w:top w:val="single" w:sz="4" w:space="0" w:color="auto"/>
              <w:left w:val="single" w:sz="4" w:space="0" w:color="auto"/>
              <w:bottom w:val="single" w:sz="4" w:space="0" w:color="auto"/>
              <w:right w:val="single" w:sz="4" w:space="0" w:color="auto"/>
            </w:tcBorders>
            <w:noWrap/>
            <w:hideMark/>
          </w:tcPr>
          <w:p w14:paraId="3DEE928E" w14:textId="7973E7C5" w:rsidR="00F97696" w:rsidRPr="00795F17" w:rsidRDefault="002D3407" w:rsidP="004307BA">
            <w:pPr>
              <w:pStyle w:val="Teksttabelilewy"/>
            </w:pPr>
            <w:r w:rsidRPr="00795F17">
              <w:t xml:space="preserve">mniej rygorystyczny cel środowiskowy </w:t>
            </w:r>
            <w:r w:rsidRPr="00795F17">
              <w:br/>
            </w:r>
            <w:r w:rsidR="003C670D">
              <w:t>–</w:t>
            </w:r>
            <w:r w:rsidRPr="00795F17">
              <w:t xml:space="preserve"> brak możliwości technicznych</w:t>
            </w:r>
          </w:p>
        </w:tc>
        <w:tc>
          <w:tcPr>
            <w:tcW w:w="3203" w:type="pct"/>
            <w:tcBorders>
              <w:top w:val="single" w:sz="4" w:space="0" w:color="auto"/>
              <w:left w:val="single" w:sz="4" w:space="0" w:color="auto"/>
              <w:bottom w:val="single" w:sz="4" w:space="0" w:color="auto"/>
              <w:right w:val="single" w:sz="4" w:space="0" w:color="auto"/>
            </w:tcBorders>
            <w:noWrap/>
            <w:hideMark/>
          </w:tcPr>
          <w:p w14:paraId="047931CC" w14:textId="77777777" w:rsidR="00F97696" w:rsidRPr="00795F17" w:rsidRDefault="00F97696" w:rsidP="004307BA">
            <w:pPr>
              <w:pStyle w:val="Teksttabelisrodek"/>
            </w:pPr>
            <w:r w:rsidRPr="00795F17">
              <w:t>-</w:t>
            </w:r>
          </w:p>
        </w:tc>
      </w:tr>
      <w:tr w:rsidR="00F97696" w:rsidRPr="00795F17" w14:paraId="17412021" w14:textId="77777777" w:rsidTr="00BC55DD">
        <w:trPr>
          <w:trHeight w:val="397"/>
        </w:trPr>
        <w:tc>
          <w:tcPr>
            <w:tcW w:w="1797" w:type="pct"/>
            <w:tcBorders>
              <w:top w:val="single" w:sz="4" w:space="0" w:color="auto"/>
              <w:left w:val="single" w:sz="4" w:space="0" w:color="auto"/>
              <w:bottom w:val="single" w:sz="4" w:space="0" w:color="auto"/>
              <w:right w:val="single" w:sz="4" w:space="0" w:color="auto"/>
            </w:tcBorders>
            <w:noWrap/>
            <w:hideMark/>
          </w:tcPr>
          <w:p w14:paraId="72BB4729" w14:textId="61363DE1" w:rsidR="00F97696" w:rsidRPr="00795F17" w:rsidRDefault="002D3407" w:rsidP="004307BA">
            <w:pPr>
              <w:pStyle w:val="Teksttabelilewy"/>
            </w:pPr>
            <w:r w:rsidRPr="00795F17">
              <w:t>dobry stan chemiczny</w:t>
            </w:r>
          </w:p>
        </w:tc>
        <w:tc>
          <w:tcPr>
            <w:tcW w:w="3203" w:type="pct"/>
            <w:tcBorders>
              <w:top w:val="single" w:sz="4" w:space="0" w:color="auto"/>
              <w:left w:val="single" w:sz="4" w:space="0" w:color="auto"/>
              <w:bottom w:val="single" w:sz="4" w:space="0" w:color="auto"/>
              <w:right w:val="single" w:sz="4" w:space="0" w:color="auto"/>
            </w:tcBorders>
            <w:noWrap/>
            <w:hideMark/>
          </w:tcPr>
          <w:p w14:paraId="15A5DDF8" w14:textId="77777777" w:rsidR="00F97696" w:rsidRPr="00795F17" w:rsidRDefault="00F97696" w:rsidP="004307BA">
            <w:pPr>
              <w:pStyle w:val="Teksttabelisrodek"/>
            </w:pPr>
            <w:r w:rsidRPr="00795F17">
              <w:t>8</w:t>
            </w:r>
          </w:p>
        </w:tc>
      </w:tr>
    </w:tbl>
    <w:p w14:paraId="3D4379AD" w14:textId="574FB0CD" w:rsidR="00A230D1" w:rsidRPr="00795F17" w:rsidRDefault="00A230D1" w:rsidP="0044393D">
      <w:pPr>
        <w:pStyle w:val="rdo"/>
      </w:pPr>
      <w:r w:rsidRPr="00795F17">
        <w:t xml:space="preserve">Źródło: </w:t>
      </w:r>
      <w:r w:rsidR="00FD7248" w:rsidRPr="00795F17">
        <w:t>opracowanie własne</w:t>
      </w:r>
      <w:r w:rsidR="004012C1" w:rsidRPr="00795F17">
        <w:t xml:space="preserve"> na podstawie danych aPGW</w:t>
      </w:r>
    </w:p>
    <w:p w14:paraId="24271308" w14:textId="0938BDF8" w:rsidR="00A230D1" w:rsidRPr="00795F17" w:rsidRDefault="00A230D1" w:rsidP="0044393D">
      <w:pPr>
        <w:rPr>
          <w:iCs/>
        </w:rPr>
      </w:pPr>
      <w:r w:rsidRPr="00795F17">
        <w:t>W trakcie wyznaczania celów środowiskowych dla wód powierzchniowych na IV cykl planistyczny (2022</w:t>
      </w:r>
      <w:r w:rsidR="008E1B58">
        <w:t>–</w:t>
      </w:r>
      <w:r w:rsidRPr="00795F17">
        <w:t>2027) bazowano na procedurze przyjętej w cyklu poprzednim 2016</w:t>
      </w:r>
      <w:r w:rsidR="008E1B58">
        <w:t>–</w:t>
      </w:r>
      <w:r w:rsidRPr="00795F17">
        <w:t>2021 (aPGW).</w:t>
      </w:r>
      <w:r w:rsidRPr="00795F17">
        <w:rPr>
          <w:iCs/>
        </w:rPr>
        <w:t xml:space="preserve"> Analogicznie, cele środowiskowe ustalono w odniesieniu do wymagań dla stanu lub potencjału ekologicznego oraz</w:t>
      </w:r>
      <w:r w:rsidR="00833DC9">
        <w:rPr>
          <w:iCs/>
        </w:rPr>
        <w:t> </w:t>
      </w:r>
      <w:r w:rsidRPr="00795F17">
        <w:rPr>
          <w:iCs/>
        </w:rPr>
        <w:t>stanu chemicznego. Podczas oceny stanu wód i wyznaczania celów środowiskowych wykorzystano najnowsze dane i opracowania, w tym nowe metodyki określania stanu elementów biologicznych i</w:t>
      </w:r>
      <w:r w:rsidR="00260551" w:rsidRPr="00795F17">
        <w:rPr>
          <w:iCs/>
        </w:rPr>
        <w:t> </w:t>
      </w:r>
      <w:r w:rsidRPr="00795F17">
        <w:rPr>
          <w:iCs/>
        </w:rPr>
        <w:t>hydromorfologicznych, aktualizację</w:t>
      </w:r>
      <w:r w:rsidRPr="00795F17">
        <w:t xml:space="preserve"> </w:t>
      </w:r>
      <w:r w:rsidRPr="00795F17">
        <w:rPr>
          <w:iCs/>
        </w:rPr>
        <w:t xml:space="preserve">wyznaczania SZCW i SCW, oraz zweryfikowaną typologię wód. </w:t>
      </w:r>
    </w:p>
    <w:p w14:paraId="0A11E4B0" w14:textId="77777777" w:rsidR="00A230D1" w:rsidRPr="00795F17" w:rsidRDefault="00A230D1" w:rsidP="0044393D">
      <w:r w:rsidRPr="00795F17">
        <w:t xml:space="preserve">Zgodnie z art. 4 ust. 1 RDW celem dla wód powierzchniowych jest: </w:t>
      </w:r>
    </w:p>
    <w:p w14:paraId="6B7EF20D" w14:textId="77777777" w:rsidR="00A230D1" w:rsidRPr="00795F17" w:rsidRDefault="00A230D1" w:rsidP="00117E86">
      <w:pPr>
        <w:pStyle w:val="Listapunktowana2"/>
      </w:pPr>
      <w:r w:rsidRPr="00795F17">
        <w:t>niepogarszanie się stanu wód powierzchniowych oraz ochrona i przywrócenie dobrego stanu jcw;</w:t>
      </w:r>
    </w:p>
    <w:p w14:paraId="0018CCD2" w14:textId="77777777" w:rsidR="00A230D1" w:rsidRPr="00795F17" w:rsidRDefault="00A230D1" w:rsidP="00117E86">
      <w:pPr>
        <w:pStyle w:val="Listapunktowana2"/>
      </w:pPr>
      <w:r w:rsidRPr="00795F17">
        <w:t xml:space="preserve">osiągnięcie, co najmniej dobrego stanu lub potencjału ekologicznego wód powierzchniowych; </w:t>
      </w:r>
    </w:p>
    <w:p w14:paraId="52763D93" w14:textId="77777777" w:rsidR="00A230D1" w:rsidRPr="00795F17" w:rsidRDefault="00A230D1" w:rsidP="00117E86">
      <w:pPr>
        <w:pStyle w:val="Listapunktowana2"/>
      </w:pPr>
      <w:r w:rsidRPr="00795F17">
        <w:t>stopniowe eliminowanie, a w rezultacie zaprzestanie zrzutów do wód powierzchniowych substancji priorytetowych i niebezpiecznych, a także zapobieganie dopływowi zanieczyszczeń do wód podziemnych;</w:t>
      </w:r>
    </w:p>
    <w:p w14:paraId="1D250D78" w14:textId="77777777" w:rsidR="00A230D1" w:rsidRPr="00795F17" w:rsidRDefault="00A230D1" w:rsidP="00117E86">
      <w:pPr>
        <w:pStyle w:val="Listapunktowana2"/>
      </w:pPr>
      <w:r w:rsidRPr="00795F17">
        <w:t>odwrócenie każdej znaczącej i ciągłej tendencji wzrostu stężenia każdego zanieczyszczenia wynikającego z wpływu działalności człowieka w celu stopniowej redukcji zanieczyszczenia wód podziemnych;</w:t>
      </w:r>
    </w:p>
    <w:p w14:paraId="31826646" w14:textId="77777777" w:rsidR="00A230D1" w:rsidRPr="00795F17" w:rsidRDefault="00A230D1" w:rsidP="00117E86">
      <w:pPr>
        <w:pStyle w:val="Listapunktowana2"/>
      </w:pPr>
      <w:r w:rsidRPr="00795F17">
        <w:t>osiągnięcie zgodności ze wszystkimi normami i celami określonymi w ustawodawstwie wspólnotowym dla obszarów chronionych.</w:t>
      </w:r>
    </w:p>
    <w:p w14:paraId="729A4F50" w14:textId="77777777" w:rsidR="00A230D1" w:rsidRPr="00795F17" w:rsidRDefault="00A230D1" w:rsidP="0044393D">
      <w:r w:rsidRPr="00795F17">
        <w:t>Zgodnie z powyższym, celem środowiskowym dla części wód niewyznaczonych jako SCW lub SZCW, którym w konsekwencji nadano status NAT, jest:</w:t>
      </w:r>
    </w:p>
    <w:p w14:paraId="24E19FA2" w14:textId="77777777" w:rsidR="00A230D1" w:rsidRPr="00795F17" w:rsidRDefault="00A230D1" w:rsidP="00117E86">
      <w:pPr>
        <w:pStyle w:val="Listapunktowana2"/>
        <w:rPr>
          <w:rFonts w:eastAsia="PMingLiU"/>
        </w:rPr>
      </w:pPr>
      <w:r w:rsidRPr="00795F17">
        <w:t xml:space="preserve">dobry stan </w:t>
      </w:r>
      <w:r w:rsidRPr="00795F17">
        <w:rPr>
          <w:rFonts w:eastAsia="PMingLiU"/>
        </w:rPr>
        <w:t>ekologiczny i dobry stan chemiczny</w:t>
      </w:r>
      <w:r w:rsidRPr="00795F17">
        <w:t xml:space="preserve">, w przypadku oceny z monitoringu wód wskazującej na stan dobry lub zły; </w:t>
      </w:r>
    </w:p>
    <w:p w14:paraId="7EB5CF28" w14:textId="06F77302" w:rsidR="00A230D1" w:rsidRPr="00795F17" w:rsidRDefault="00A230D1" w:rsidP="00117E86">
      <w:pPr>
        <w:pStyle w:val="Listapunktowana2"/>
        <w:rPr>
          <w:rFonts w:eastAsia="PMingLiU"/>
        </w:rPr>
      </w:pPr>
      <w:r w:rsidRPr="00795F17">
        <w:t xml:space="preserve">bardzo dobry stan ekologiczny, w przypadku </w:t>
      </w:r>
      <w:r w:rsidR="00DF005E">
        <w:t>JCWP</w:t>
      </w:r>
      <w:r w:rsidRPr="00795F17">
        <w:t>, dla których wyniki monitoringu wskazują na bardzo dobry stan ekologiczny;</w:t>
      </w:r>
    </w:p>
    <w:p w14:paraId="1FD93269" w14:textId="5276A221" w:rsidR="00A230D1" w:rsidRPr="00795F17" w:rsidRDefault="00A230D1" w:rsidP="00117E86">
      <w:pPr>
        <w:pStyle w:val="Listapunktowana2"/>
      </w:pPr>
      <w:r w:rsidRPr="00795F17">
        <w:t xml:space="preserve">stan dobry, w przypadku </w:t>
      </w:r>
      <w:r w:rsidR="00DF005E">
        <w:t>JCWP</w:t>
      </w:r>
      <w:r w:rsidRPr="00795F17">
        <w:t xml:space="preserve"> niemonitorowanych;</w:t>
      </w:r>
    </w:p>
    <w:p w14:paraId="6A6FA9CD" w14:textId="77777777" w:rsidR="00A230D1" w:rsidRPr="00795F17" w:rsidRDefault="00A230D1" w:rsidP="00117E86">
      <w:pPr>
        <w:pStyle w:val="Listapunktowana2"/>
      </w:pPr>
      <w:r w:rsidRPr="00795F17">
        <w:t>spełnienie warunków określonych dla obszarów chronionych.</w:t>
      </w:r>
    </w:p>
    <w:p w14:paraId="58D21E7F" w14:textId="77777777" w:rsidR="00A230D1" w:rsidRPr="00795F17" w:rsidRDefault="00A230D1" w:rsidP="0044393D">
      <w:r w:rsidRPr="00795F17">
        <w:t xml:space="preserve">W przypadku części wód wyznaczonych jako SCW lub SZCW celem środowiskowym jest: </w:t>
      </w:r>
    </w:p>
    <w:p w14:paraId="0FE8E61A" w14:textId="77777777" w:rsidR="00A230D1" w:rsidRPr="00795F17" w:rsidRDefault="00A230D1" w:rsidP="00117E86">
      <w:pPr>
        <w:pStyle w:val="Listapunktowana2"/>
        <w:rPr>
          <w:rFonts w:eastAsia="PMingLiU"/>
        </w:rPr>
      </w:pPr>
      <w:r w:rsidRPr="00795F17">
        <w:t xml:space="preserve">dobry potencjał ekologiczny i dobry stan chemiczny, w przypadku oceny z monitoringu wód wskazującej na stan dobry lub zły; </w:t>
      </w:r>
    </w:p>
    <w:p w14:paraId="74D01F80" w14:textId="4A41E822" w:rsidR="00A230D1" w:rsidRPr="00795F17" w:rsidRDefault="00A230D1" w:rsidP="00117E86">
      <w:pPr>
        <w:pStyle w:val="Listapunktowana2"/>
      </w:pPr>
      <w:r w:rsidRPr="00795F17">
        <w:t xml:space="preserve">maksymalny potencjał ekologiczny w przypadku </w:t>
      </w:r>
      <w:r w:rsidR="00DF005E">
        <w:t>JCWP</w:t>
      </w:r>
      <w:r w:rsidRPr="00795F17">
        <w:t>, dla których wyniki monitoringu wskazują na maksymalny potencjał ekologiczny;</w:t>
      </w:r>
    </w:p>
    <w:p w14:paraId="6F556A35" w14:textId="27448A38" w:rsidR="00A230D1" w:rsidRPr="00795F17" w:rsidRDefault="00A230D1" w:rsidP="00117E86">
      <w:pPr>
        <w:pStyle w:val="Listapunktowana2"/>
      </w:pPr>
      <w:r w:rsidRPr="00795F17">
        <w:t xml:space="preserve">stan dobry w przypadku </w:t>
      </w:r>
      <w:r w:rsidR="00DF005E">
        <w:t>JCWP</w:t>
      </w:r>
      <w:r w:rsidRPr="00795F17">
        <w:t xml:space="preserve"> niemonitorowanych</w:t>
      </w:r>
      <w:r w:rsidR="00D67B63">
        <w:t>;</w:t>
      </w:r>
    </w:p>
    <w:p w14:paraId="3AD86512" w14:textId="77777777" w:rsidR="00A230D1" w:rsidRPr="00795F17" w:rsidRDefault="00A230D1" w:rsidP="00117E86">
      <w:pPr>
        <w:pStyle w:val="Listapunktowana2"/>
      </w:pPr>
      <w:r w:rsidRPr="00795F17">
        <w:t>spełnienie warunków określonych dla obszarów chronionych.</w:t>
      </w:r>
    </w:p>
    <w:p w14:paraId="0F83099B" w14:textId="06247B16" w:rsidR="00A230D1" w:rsidRPr="005842B5" w:rsidRDefault="009F24B9" w:rsidP="005842B5">
      <w:r w:rsidRPr="005842B5">
        <w:t xml:space="preserve">Celem środowiskowym dla </w:t>
      </w:r>
      <w:r w:rsidR="00DF005E">
        <w:t>JCWP</w:t>
      </w:r>
      <w:r w:rsidRPr="005842B5">
        <w:t xml:space="preserve"> rzecznych i zbiornikowych </w:t>
      </w:r>
      <w:r w:rsidR="003C5613" w:rsidRPr="005842B5">
        <w:t xml:space="preserve">może </w:t>
      </w:r>
      <w:r w:rsidRPr="005842B5">
        <w:t>być również zapewnienie drożności cieku dla migracji ryb</w:t>
      </w:r>
      <w:r w:rsidR="00A230D1" w:rsidRPr="005842B5">
        <w:t>.</w:t>
      </w:r>
      <w:r w:rsidR="002946A6" w:rsidRPr="005842B5">
        <w:t xml:space="preserve"> </w:t>
      </w:r>
      <w:r w:rsidR="00C67537">
        <w:rPr>
          <w:rFonts w:asciiTheme="minorHAnsi" w:hAnsiTheme="minorHAnsi" w:cstheme="minorHAnsi"/>
          <w:lang w:eastAsia="zh-TW"/>
        </w:rPr>
        <w:t xml:space="preserve">Zestawienie celów środowiskowych </w:t>
      </w:r>
      <w:r w:rsidR="00DF005E">
        <w:rPr>
          <w:rFonts w:asciiTheme="minorHAnsi" w:hAnsiTheme="minorHAnsi" w:cstheme="minorHAnsi"/>
          <w:lang w:eastAsia="zh-TW"/>
        </w:rPr>
        <w:t>JCWP</w:t>
      </w:r>
      <w:r w:rsidR="00C67537">
        <w:rPr>
          <w:rFonts w:asciiTheme="minorHAnsi" w:hAnsiTheme="minorHAnsi" w:cstheme="minorHAnsi"/>
          <w:lang w:eastAsia="zh-TW"/>
        </w:rPr>
        <w:t xml:space="preserve"> rzecznych, zbiornikowych, jeziornych, przejściowych i przyb</w:t>
      </w:r>
      <w:r w:rsidR="00B42BA8">
        <w:rPr>
          <w:rFonts w:asciiTheme="minorHAnsi" w:hAnsiTheme="minorHAnsi" w:cstheme="minorHAnsi"/>
          <w:lang w:eastAsia="zh-TW"/>
        </w:rPr>
        <w:t>rzeżnych</w:t>
      </w:r>
      <w:r w:rsidR="00C67537">
        <w:rPr>
          <w:rFonts w:asciiTheme="minorHAnsi" w:hAnsiTheme="minorHAnsi" w:cstheme="minorHAnsi"/>
          <w:lang w:eastAsia="zh-TW"/>
        </w:rPr>
        <w:t xml:space="preserve"> przedstawiono w tabel</w:t>
      </w:r>
      <w:r w:rsidR="00B42BA8">
        <w:rPr>
          <w:rFonts w:asciiTheme="minorHAnsi" w:hAnsiTheme="minorHAnsi" w:cstheme="minorHAnsi"/>
          <w:lang w:eastAsia="zh-TW"/>
        </w:rPr>
        <w:t>ach od</w:t>
      </w:r>
      <w:r w:rsidR="00C67537">
        <w:rPr>
          <w:rFonts w:asciiTheme="minorHAnsi" w:hAnsiTheme="minorHAnsi" w:cstheme="minorHAnsi"/>
          <w:lang w:eastAsia="zh-TW"/>
        </w:rPr>
        <w:t xml:space="preserve"> 8</w:t>
      </w:r>
      <w:r w:rsidR="00B42BA8">
        <w:rPr>
          <w:rFonts w:asciiTheme="minorHAnsi" w:hAnsiTheme="minorHAnsi" w:cstheme="minorHAnsi"/>
          <w:lang w:eastAsia="zh-TW"/>
        </w:rPr>
        <w:t> – 4 do 8 – 7</w:t>
      </w:r>
      <w:r w:rsidR="00C67537">
        <w:rPr>
          <w:rFonts w:asciiTheme="minorHAnsi" w:hAnsiTheme="minorHAnsi" w:cstheme="minorHAnsi"/>
          <w:lang w:eastAsia="zh-TW"/>
        </w:rPr>
        <w:t>.</w:t>
      </w:r>
      <w:r w:rsidR="00B42BA8">
        <w:rPr>
          <w:rFonts w:asciiTheme="minorHAnsi" w:hAnsiTheme="minorHAnsi" w:cstheme="minorHAnsi"/>
          <w:lang w:eastAsia="zh-TW"/>
        </w:rPr>
        <w:t xml:space="preserve"> </w:t>
      </w:r>
      <w:r w:rsidR="002946A6" w:rsidRPr="001D33CA">
        <w:t xml:space="preserve">Rozmieszczenie przestrzenne </w:t>
      </w:r>
      <w:r w:rsidR="00DF005E">
        <w:t>JCWP</w:t>
      </w:r>
      <w:r w:rsidR="002946A6" w:rsidRPr="001D33CA">
        <w:t xml:space="preserve"> z ustalonymi celami środowiskowymi dotyczącymi zapewnienia drożności przedstawia załącznik graficzny nr </w:t>
      </w:r>
      <w:r w:rsidR="00DD3B75">
        <w:t>54</w:t>
      </w:r>
      <w:r w:rsidR="002946A6" w:rsidRPr="001D33CA">
        <w:t>.</w:t>
      </w:r>
    </w:p>
    <w:p w14:paraId="62FE2288" w14:textId="11B75965" w:rsidR="00442A6B" w:rsidRPr="00795F17" w:rsidRDefault="00442A6B" w:rsidP="004D7705">
      <w:pPr>
        <w:pStyle w:val="Tabela"/>
        <w:rPr>
          <w:lang w:eastAsia="zh-TW"/>
        </w:rPr>
      </w:pPr>
      <w:bookmarkStart w:id="384" w:name="_Toc105512814"/>
      <w:r w:rsidRPr="00795F17">
        <w:t xml:space="preserve">Tabela </w:t>
      </w:r>
      <w:fldSimple w:instr=" STYLEREF 1 \s ">
        <w:r w:rsidR="001F774D">
          <w:rPr>
            <w:noProof/>
          </w:rPr>
          <w:t>8</w:t>
        </w:r>
      </w:fldSimple>
      <w:r w:rsidR="00BB3B21" w:rsidRPr="00795F17">
        <w:noBreakHyphen/>
      </w:r>
      <w:fldSimple w:instr=" SEQ Tabela \* ARABIC \s 1 ">
        <w:r w:rsidR="001F774D">
          <w:rPr>
            <w:noProof/>
          </w:rPr>
          <w:t>4</w:t>
        </w:r>
      </w:fldSimple>
      <w:r w:rsidR="00E76356">
        <w:rPr>
          <w:noProof/>
        </w:rPr>
        <w:t>.</w:t>
      </w:r>
      <w:r w:rsidRPr="00795F17">
        <w:tab/>
      </w:r>
      <w:r w:rsidRPr="00795F17">
        <w:rPr>
          <w:lang w:eastAsia="zh-TW"/>
        </w:rPr>
        <w:t>Licz</w:t>
      </w:r>
      <w:r w:rsidR="00D77100" w:rsidRPr="00795F17">
        <w:rPr>
          <w:lang w:eastAsia="zh-TW"/>
        </w:rPr>
        <w:t>b</w:t>
      </w:r>
      <w:r w:rsidRPr="00795F17">
        <w:rPr>
          <w:lang w:eastAsia="zh-TW"/>
        </w:rPr>
        <w:t xml:space="preserve">a </w:t>
      </w:r>
      <w:r w:rsidR="00DF005E">
        <w:rPr>
          <w:lang w:eastAsia="zh-TW"/>
        </w:rPr>
        <w:t>JCWP</w:t>
      </w:r>
      <w:r w:rsidRPr="00795F17">
        <w:rPr>
          <w:lang w:eastAsia="zh-TW"/>
        </w:rPr>
        <w:t xml:space="preserve"> </w:t>
      </w:r>
      <w:r w:rsidR="005B0CFE" w:rsidRPr="00795F17">
        <w:rPr>
          <w:lang w:eastAsia="zh-TW"/>
        </w:rPr>
        <w:t>RW</w:t>
      </w:r>
      <w:r w:rsidRPr="00795F17">
        <w:rPr>
          <w:lang w:eastAsia="zh-TW"/>
        </w:rPr>
        <w:t xml:space="preserve"> z poszczególnymi celami środowiskowymi </w:t>
      </w:r>
      <w:r w:rsidR="002D3407" w:rsidRPr="00795F17">
        <w:rPr>
          <w:lang w:eastAsia="zh-TW"/>
        </w:rPr>
        <w:t>na</w:t>
      </w:r>
      <w:r w:rsidRPr="00795F17">
        <w:rPr>
          <w:lang w:eastAsia="zh-TW"/>
        </w:rPr>
        <w:t xml:space="preserve"> </w:t>
      </w:r>
      <w:r w:rsidR="005B0CFE" w:rsidRPr="00795F17">
        <w:rPr>
          <w:lang w:eastAsia="zh-TW"/>
        </w:rPr>
        <w:t>obszarze</w:t>
      </w:r>
      <w:r w:rsidR="00FB15D5" w:rsidRPr="00795F17">
        <w:rPr>
          <w:lang w:eastAsia="zh-TW"/>
        </w:rPr>
        <w:t xml:space="preserve"> </w:t>
      </w:r>
      <w:r w:rsidRPr="00795F17">
        <w:rPr>
          <w:lang w:eastAsia="zh-TW"/>
        </w:rPr>
        <w:t>dorzecza Odry</w:t>
      </w:r>
      <w:r w:rsidR="00666AC3" w:rsidRPr="00795F17">
        <w:rPr>
          <w:lang w:eastAsia="zh-TW"/>
        </w:rPr>
        <w:t xml:space="preserve"> </w:t>
      </w:r>
      <w:r w:rsidR="002D3407" w:rsidRPr="00795F17">
        <w:rPr>
          <w:lang w:eastAsia="zh-TW"/>
        </w:rPr>
        <w:t>w</w:t>
      </w:r>
      <w:r w:rsidR="00792322" w:rsidRPr="00795F17">
        <w:rPr>
          <w:lang w:eastAsia="zh-TW"/>
        </w:rPr>
        <w:t xml:space="preserve"> </w:t>
      </w:r>
      <w:r w:rsidR="00666AC3" w:rsidRPr="00795F17">
        <w:rPr>
          <w:lang w:eastAsia="zh-TW"/>
        </w:rPr>
        <w:t>IIaPGW</w:t>
      </w:r>
      <w:r w:rsidR="00792322" w:rsidRPr="00795F17">
        <w:rPr>
          <w:lang w:eastAsia="zh-TW"/>
        </w:rPr>
        <w:t xml:space="preserve"> (2022</w:t>
      </w:r>
      <w:r w:rsidR="008E1B58">
        <w:rPr>
          <w:lang w:eastAsia="zh-TW"/>
        </w:rPr>
        <w:t>–</w:t>
      </w:r>
      <w:r w:rsidR="00792322" w:rsidRPr="00795F17">
        <w:rPr>
          <w:lang w:eastAsia="zh-TW"/>
        </w:rPr>
        <w:t>2027</w:t>
      </w:r>
      <w:r w:rsidR="00666AC3" w:rsidRPr="00795F17">
        <w:rPr>
          <w:lang w:eastAsia="zh-TW"/>
        </w:rPr>
        <w:t>)</w:t>
      </w:r>
      <w:bookmarkEnd w:id="384"/>
    </w:p>
    <w:tbl>
      <w:tblPr>
        <w:tblStyle w:val="Tabela-Siatka1"/>
        <w:tblW w:w="0" w:type="auto"/>
        <w:tblLook w:val="04A0" w:firstRow="1" w:lastRow="0" w:firstColumn="1" w:lastColumn="0" w:noHBand="0" w:noVBand="1"/>
      </w:tblPr>
      <w:tblGrid>
        <w:gridCol w:w="3420"/>
        <w:gridCol w:w="1116"/>
        <w:gridCol w:w="1102"/>
        <w:gridCol w:w="1098"/>
        <w:gridCol w:w="1136"/>
        <w:gridCol w:w="1190"/>
      </w:tblGrid>
      <w:tr w:rsidR="001221ED" w:rsidRPr="00795F17" w14:paraId="06428686" w14:textId="77777777" w:rsidTr="00780960">
        <w:trPr>
          <w:cantSplit/>
          <w:trHeight w:val="454"/>
          <w:tblHeader/>
        </w:trPr>
        <w:tc>
          <w:tcPr>
            <w:tcW w:w="3420" w:type="dxa"/>
            <w:vMerge w:val="restart"/>
            <w:shd w:val="clear" w:color="auto" w:fill="BFBFBF" w:themeFill="background1" w:themeFillShade="BF"/>
            <w:tcMar>
              <w:left w:w="28" w:type="dxa"/>
              <w:right w:w="28" w:type="dxa"/>
            </w:tcMar>
            <w:vAlign w:val="center"/>
            <w:hideMark/>
          </w:tcPr>
          <w:p w14:paraId="73074F17" w14:textId="774CD96A" w:rsidR="001221ED" w:rsidRPr="00795F17" w:rsidRDefault="001221ED" w:rsidP="001221ED">
            <w:pPr>
              <w:pStyle w:val="Teksttabelinaglowek"/>
            </w:pPr>
            <w:r w:rsidRPr="00795F17">
              <w:t xml:space="preserve">Cele środowiskowe </w:t>
            </w:r>
            <w:r w:rsidR="00DF005E">
              <w:t>JCWP</w:t>
            </w:r>
            <w:r w:rsidRPr="00795F17">
              <w:t xml:space="preserve"> </w:t>
            </w:r>
            <w:r w:rsidR="002D3407" w:rsidRPr="00795F17">
              <w:t>RW</w:t>
            </w:r>
          </w:p>
        </w:tc>
        <w:tc>
          <w:tcPr>
            <w:tcW w:w="5642" w:type="dxa"/>
            <w:gridSpan w:val="5"/>
            <w:shd w:val="clear" w:color="auto" w:fill="BFBFBF" w:themeFill="background1" w:themeFillShade="BF"/>
            <w:tcMar>
              <w:left w:w="28" w:type="dxa"/>
              <w:right w:w="28" w:type="dxa"/>
            </w:tcMar>
            <w:vAlign w:val="center"/>
            <w:hideMark/>
          </w:tcPr>
          <w:p w14:paraId="602F00E7" w14:textId="0937DBD2" w:rsidR="001221ED" w:rsidRPr="00795F17" w:rsidRDefault="001221ED" w:rsidP="001221ED">
            <w:pPr>
              <w:pStyle w:val="Teksttabelinaglowek"/>
              <w:rPr>
                <w:szCs w:val="20"/>
              </w:rPr>
            </w:pPr>
            <w:r w:rsidRPr="00795F17">
              <w:t>Region wodny</w:t>
            </w:r>
          </w:p>
        </w:tc>
      </w:tr>
      <w:tr w:rsidR="001221ED" w:rsidRPr="00795F17" w14:paraId="1668F02D" w14:textId="77777777" w:rsidTr="00780960">
        <w:trPr>
          <w:cantSplit/>
          <w:trHeight w:val="454"/>
          <w:tblHeader/>
        </w:trPr>
        <w:tc>
          <w:tcPr>
            <w:tcW w:w="3420" w:type="dxa"/>
            <w:vMerge/>
            <w:shd w:val="clear" w:color="auto" w:fill="BFBFBF" w:themeFill="background1" w:themeFillShade="BF"/>
            <w:tcMar>
              <w:left w:w="28" w:type="dxa"/>
              <w:right w:w="28" w:type="dxa"/>
            </w:tcMar>
            <w:vAlign w:val="center"/>
            <w:hideMark/>
          </w:tcPr>
          <w:p w14:paraId="412F65AC" w14:textId="77777777" w:rsidR="001221ED" w:rsidRPr="00795F17" w:rsidRDefault="001221ED" w:rsidP="001221ED">
            <w:pPr>
              <w:pStyle w:val="Teksttabelinaglowek"/>
              <w:rPr>
                <w:szCs w:val="20"/>
              </w:rPr>
            </w:pPr>
          </w:p>
        </w:tc>
        <w:tc>
          <w:tcPr>
            <w:tcW w:w="1116" w:type="dxa"/>
            <w:shd w:val="clear" w:color="auto" w:fill="BFBFBF" w:themeFill="background1" w:themeFillShade="BF"/>
            <w:tcMar>
              <w:left w:w="28" w:type="dxa"/>
              <w:right w:w="28" w:type="dxa"/>
            </w:tcMar>
            <w:vAlign w:val="center"/>
            <w:hideMark/>
          </w:tcPr>
          <w:p w14:paraId="525C4AA7" w14:textId="495396D8" w:rsidR="001221ED" w:rsidRPr="00795F17" w:rsidRDefault="001221ED" w:rsidP="001221ED">
            <w:pPr>
              <w:pStyle w:val="Teksttabelinaglowek"/>
            </w:pPr>
            <w:r w:rsidRPr="00795F17">
              <w:t>Dolnej Odry i Przymorza Zachodniego</w:t>
            </w:r>
          </w:p>
        </w:tc>
        <w:tc>
          <w:tcPr>
            <w:tcW w:w="1102" w:type="dxa"/>
            <w:shd w:val="clear" w:color="auto" w:fill="BFBFBF" w:themeFill="background1" w:themeFillShade="BF"/>
            <w:tcMar>
              <w:left w:w="28" w:type="dxa"/>
              <w:right w:w="28" w:type="dxa"/>
            </w:tcMar>
            <w:vAlign w:val="center"/>
            <w:hideMark/>
          </w:tcPr>
          <w:p w14:paraId="39A8DA56" w14:textId="77777777" w:rsidR="001221ED" w:rsidRPr="00795F17" w:rsidRDefault="001221ED" w:rsidP="001221ED">
            <w:pPr>
              <w:pStyle w:val="Teksttabelinaglowek"/>
            </w:pPr>
            <w:r w:rsidRPr="00795F17">
              <w:t>Górnej Odry</w:t>
            </w:r>
          </w:p>
        </w:tc>
        <w:tc>
          <w:tcPr>
            <w:tcW w:w="1098" w:type="dxa"/>
            <w:shd w:val="clear" w:color="auto" w:fill="BFBFBF" w:themeFill="background1" w:themeFillShade="BF"/>
            <w:tcMar>
              <w:left w:w="28" w:type="dxa"/>
              <w:right w:w="28" w:type="dxa"/>
            </w:tcMar>
            <w:vAlign w:val="center"/>
            <w:hideMark/>
          </w:tcPr>
          <w:p w14:paraId="1DCCDDC6" w14:textId="77777777" w:rsidR="001221ED" w:rsidRPr="00795F17" w:rsidRDefault="001221ED" w:rsidP="001221ED">
            <w:pPr>
              <w:pStyle w:val="Teksttabelinaglowek"/>
            </w:pPr>
            <w:r w:rsidRPr="00795F17">
              <w:t>Noteci</w:t>
            </w:r>
          </w:p>
        </w:tc>
        <w:tc>
          <w:tcPr>
            <w:tcW w:w="1136" w:type="dxa"/>
            <w:shd w:val="clear" w:color="auto" w:fill="BFBFBF" w:themeFill="background1" w:themeFillShade="BF"/>
            <w:tcMar>
              <w:left w:w="28" w:type="dxa"/>
              <w:right w:w="28" w:type="dxa"/>
            </w:tcMar>
            <w:vAlign w:val="center"/>
            <w:hideMark/>
          </w:tcPr>
          <w:p w14:paraId="5764C82D" w14:textId="77777777" w:rsidR="001221ED" w:rsidRPr="00795F17" w:rsidRDefault="001221ED" w:rsidP="001221ED">
            <w:pPr>
              <w:pStyle w:val="Teksttabelinaglowek"/>
            </w:pPr>
            <w:r w:rsidRPr="00795F17">
              <w:t>Środkowej Odry</w:t>
            </w:r>
          </w:p>
        </w:tc>
        <w:tc>
          <w:tcPr>
            <w:tcW w:w="1190" w:type="dxa"/>
            <w:shd w:val="clear" w:color="auto" w:fill="BFBFBF" w:themeFill="background1" w:themeFillShade="BF"/>
            <w:tcMar>
              <w:left w:w="28" w:type="dxa"/>
              <w:right w:w="28" w:type="dxa"/>
            </w:tcMar>
            <w:vAlign w:val="center"/>
            <w:hideMark/>
          </w:tcPr>
          <w:p w14:paraId="5060389E" w14:textId="77777777" w:rsidR="001221ED" w:rsidRPr="00795F17" w:rsidRDefault="001221ED" w:rsidP="001221ED">
            <w:pPr>
              <w:pStyle w:val="Teksttabelinaglowek"/>
            </w:pPr>
            <w:r w:rsidRPr="00795F17">
              <w:t>Warty</w:t>
            </w:r>
          </w:p>
        </w:tc>
      </w:tr>
      <w:tr w:rsidR="001221ED" w:rsidRPr="00795F17" w14:paraId="29A40354" w14:textId="77777777" w:rsidTr="00E67CDD">
        <w:trPr>
          <w:trHeight w:val="454"/>
        </w:trPr>
        <w:tc>
          <w:tcPr>
            <w:tcW w:w="3420" w:type="dxa"/>
            <w:tcMar>
              <w:left w:w="28" w:type="dxa"/>
              <w:right w:w="28" w:type="dxa"/>
            </w:tcMar>
            <w:vAlign w:val="center"/>
            <w:hideMark/>
          </w:tcPr>
          <w:p w14:paraId="52D29B9B" w14:textId="46259931" w:rsidR="001221ED" w:rsidRPr="00795F17" w:rsidRDefault="002D3407" w:rsidP="00B724C2">
            <w:pPr>
              <w:pStyle w:val="Teksttabelilewy"/>
              <w:ind w:left="57"/>
            </w:pPr>
            <w:r w:rsidRPr="00795F17">
              <w:t>dobry stan ekologiczny</w:t>
            </w:r>
            <w:r w:rsidR="00CC11D7">
              <w:t xml:space="preserve"> i dobry stan chemiczny</w:t>
            </w:r>
          </w:p>
        </w:tc>
        <w:tc>
          <w:tcPr>
            <w:tcW w:w="1116" w:type="dxa"/>
            <w:tcMar>
              <w:left w:w="28" w:type="dxa"/>
              <w:right w:w="28" w:type="dxa"/>
            </w:tcMar>
            <w:vAlign w:val="center"/>
            <w:hideMark/>
          </w:tcPr>
          <w:p w14:paraId="74A8580E" w14:textId="4E2D9B1A" w:rsidR="001221ED" w:rsidRPr="00B320E2" w:rsidRDefault="009F63EB" w:rsidP="00E67CDD">
            <w:pPr>
              <w:pStyle w:val="Teksttabelisrodek"/>
            </w:pPr>
            <w:r w:rsidRPr="00B320E2">
              <w:t>139</w:t>
            </w:r>
          </w:p>
        </w:tc>
        <w:tc>
          <w:tcPr>
            <w:tcW w:w="1102" w:type="dxa"/>
            <w:tcMar>
              <w:left w:w="28" w:type="dxa"/>
              <w:right w:w="28" w:type="dxa"/>
            </w:tcMar>
            <w:vAlign w:val="center"/>
            <w:hideMark/>
          </w:tcPr>
          <w:p w14:paraId="79470D9D" w14:textId="46A40897" w:rsidR="001221ED" w:rsidRPr="00B320E2" w:rsidRDefault="00A74E86" w:rsidP="00E67CDD">
            <w:pPr>
              <w:pStyle w:val="Teksttabelisrodek"/>
            </w:pPr>
            <w:r w:rsidRPr="00B320E2">
              <w:t>52</w:t>
            </w:r>
          </w:p>
        </w:tc>
        <w:tc>
          <w:tcPr>
            <w:tcW w:w="1098" w:type="dxa"/>
            <w:tcMar>
              <w:left w:w="28" w:type="dxa"/>
              <w:right w:w="28" w:type="dxa"/>
            </w:tcMar>
            <w:vAlign w:val="center"/>
            <w:hideMark/>
          </w:tcPr>
          <w:p w14:paraId="35E23C0B" w14:textId="1DEA6206" w:rsidR="001221ED" w:rsidRPr="00B320E2" w:rsidRDefault="00A43AEA" w:rsidP="00E67CDD">
            <w:pPr>
              <w:pStyle w:val="Teksttabelisrodek"/>
            </w:pPr>
            <w:r w:rsidRPr="00B320E2">
              <w:t>59</w:t>
            </w:r>
          </w:p>
        </w:tc>
        <w:tc>
          <w:tcPr>
            <w:tcW w:w="1136" w:type="dxa"/>
            <w:tcMar>
              <w:left w:w="28" w:type="dxa"/>
              <w:right w:w="28" w:type="dxa"/>
            </w:tcMar>
            <w:vAlign w:val="center"/>
            <w:hideMark/>
          </w:tcPr>
          <w:p w14:paraId="43263D26" w14:textId="43BF3980" w:rsidR="001221ED" w:rsidRPr="00B320E2" w:rsidRDefault="00A17E52" w:rsidP="00E67CDD">
            <w:pPr>
              <w:pStyle w:val="Teksttabelisrodek"/>
            </w:pPr>
            <w:r w:rsidRPr="00B320E2">
              <w:t>147</w:t>
            </w:r>
          </w:p>
        </w:tc>
        <w:tc>
          <w:tcPr>
            <w:tcW w:w="1190" w:type="dxa"/>
            <w:tcMar>
              <w:left w:w="28" w:type="dxa"/>
              <w:right w:w="28" w:type="dxa"/>
            </w:tcMar>
            <w:vAlign w:val="center"/>
            <w:hideMark/>
          </w:tcPr>
          <w:p w14:paraId="2D04BBC3" w14:textId="1A0DBB9E" w:rsidR="001221ED" w:rsidRPr="00B320E2" w:rsidRDefault="00D73AEF" w:rsidP="00E67CDD">
            <w:pPr>
              <w:pStyle w:val="Teksttabelisrodek"/>
            </w:pPr>
            <w:r w:rsidRPr="00B320E2">
              <w:t>51</w:t>
            </w:r>
          </w:p>
        </w:tc>
      </w:tr>
      <w:tr w:rsidR="00E67CDD" w:rsidRPr="00795F17" w14:paraId="3D8BCCDC" w14:textId="77777777" w:rsidTr="00E67CDD">
        <w:trPr>
          <w:trHeight w:val="454"/>
        </w:trPr>
        <w:tc>
          <w:tcPr>
            <w:tcW w:w="3420" w:type="dxa"/>
            <w:tcMar>
              <w:left w:w="28" w:type="dxa"/>
              <w:right w:w="28" w:type="dxa"/>
            </w:tcMar>
            <w:vAlign w:val="center"/>
            <w:hideMark/>
          </w:tcPr>
          <w:p w14:paraId="3F146268" w14:textId="6E6B0233" w:rsidR="00E67CDD" w:rsidRPr="00795F17" w:rsidRDefault="00E67CDD" w:rsidP="00B724C2">
            <w:pPr>
              <w:pStyle w:val="Teksttabelilewy"/>
              <w:ind w:left="57"/>
            </w:pPr>
            <w:r w:rsidRPr="00795F17">
              <w:t>dobry potencjał ekologiczny</w:t>
            </w:r>
            <w:r w:rsidR="00CC11D7">
              <w:t xml:space="preserve"> i dobry stan chemiczny</w:t>
            </w:r>
          </w:p>
        </w:tc>
        <w:tc>
          <w:tcPr>
            <w:tcW w:w="1116" w:type="dxa"/>
            <w:tcMar>
              <w:left w:w="28" w:type="dxa"/>
              <w:right w:w="28" w:type="dxa"/>
            </w:tcMar>
            <w:vAlign w:val="center"/>
            <w:hideMark/>
          </w:tcPr>
          <w:p w14:paraId="0C100919" w14:textId="1BE36741" w:rsidR="00E67CDD" w:rsidRPr="00B320E2" w:rsidRDefault="00AB39E1" w:rsidP="00E67CDD">
            <w:pPr>
              <w:pStyle w:val="Teksttabelisrodek"/>
            </w:pPr>
            <w:r w:rsidRPr="00B320E2">
              <w:t>31</w:t>
            </w:r>
          </w:p>
        </w:tc>
        <w:tc>
          <w:tcPr>
            <w:tcW w:w="1102" w:type="dxa"/>
            <w:tcMar>
              <w:left w:w="28" w:type="dxa"/>
              <w:right w:w="28" w:type="dxa"/>
            </w:tcMar>
            <w:vAlign w:val="center"/>
            <w:hideMark/>
          </w:tcPr>
          <w:p w14:paraId="5E39CB56" w14:textId="7DFCEDB2" w:rsidR="00E67CDD" w:rsidRPr="00B320E2" w:rsidRDefault="00A74E86" w:rsidP="00E67CDD">
            <w:pPr>
              <w:pStyle w:val="Teksttabelisrodek"/>
            </w:pPr>
            <w:r w:rsidRPr="00B320E2">
              <w:t>9</w:t>
            </w:r>
          </w:p>
        </w:tc>
        <w:tc>
          <w:tcPr>
            <w:tcW w:w="1098" w:type="dxa"/>
            <w:tcMar>
              <w:left w:w="28" w:type="dxa"/>
              <w:right w:w="28" w:type="dxa"/>
            </w:tcMar>
            <w:vAlign w:val="center"/>
            <w:hideMark/>
          </w:tcPr>
          <w:p w14:paraId="6A3A987A" w14:textId="3A9262DA" w:rsidR="00E67CDD" w:rsidRPr="00B320E2" w:rsidRDefault="0068283E" w:rsidP="00E67CDD">
            <w:pPr>
              <w:pStyle w:val="Teksttabelisrodek"/>
            </w:pPr>
            <w:r w:rsidRPr="00B320E2">
              <w:t>1</w:t>
            </w:r>
            <w:r w:rsidR="00A63A6A" w:rsidRPr="00B320E2">
              <w:t>1</w:t>
            </w:r>
          </w:p>
        </w:tc>
        <w:tc>
          <w:tcPr>
            <w:tcW w:w="1136" w:type="dxa"/>
            <w:tcMar>
              <w:left w:w="28" w:type="dxa"/>
              <w:right w:w="28" w:type="dxa"/>
            </w:tcMar>
            <w:vAlign w:val="center"/>
            <w:hideMark/>
          </w:tcPr>
          <w:p w14:paraId="64F87249" w14:textId="6B37B1A2" w:rsidR="00E67CDD" w:rsidRPr="00B320E2" w:rsidRDefault="005241E0" w:rsidP="00E67CDD">
            <w:pPr>
              <w:pStyle w:val="Teksttabelisrodek"/>
            </w:pPr>
            <w:r w:rsidRPr="00B320E2">
              <w:t>47</w:t>
            </w:r>
          </w:p>
        </w:tc>
        <w:tc>
          <w:tcPr>
            <w:tcW w:w="1190" w:type="dxa"/>
            <w:tcMar>
              <w:left w:w="28" w:type="dxa"/>
              <w:right w:w="28" w:type="dxa"/>
            </w:tcMar>
            <w:vAlign w:val="center"/>
            <w:hideMark/>
          </w:tcPr>
          <w:p w14:paraId="2A453EED" w14:textId="52A68A50" w:rsidR="00E67CDD" w:rsidRPr="00B320E2" w:rsidRDefault="00B44BC4" w:rsidP="00E67CDD">
            <w:pPr>
              <w:pStyle w:val="Teksttabelisrodek"/>
            </w:pPr>
            <w:r w:rsidRPr="00B320E2">
              <w:t>36</w:t>
            </w:r>
          </w:p>
        </w:tc>
      </w:tr>
      <w:tr w:rsidR="00E67CDD" w:rsidRPr="00795F17" w14:paraId="6955E035" w14:textId="77777777" w:rsidTr="00E67CDD">
        <w:trPr>
          <w:trHeight w:val="454"/>
        </w:trPr>
        <w:tc>
          <w:tcPr>
            <w:tcW w:w="3420" w:type="dxa"/>
            <w:tcMar>
              <w:left w:w="28" w:type="dxa"/>
              <w:right w:w="28" w:type="dxa"/>
            </w:tcMar>
            <w:vAlign w:val="center"/>
            <w:hideMark/>
          </w:tcPr>
          <w:p w14:paraId="373EE7B1" w14:textId="0828BF69" w:rsidR="00E67CDD" w:rsidRPr="00795F17" w:rsidRDefault="00EE46B9" w:rsidP="00B724C2">
            <w:pPr>
              <w:pStyle w:val="Teksttabelilewy"/>
              <w:ind w:left="57"/>
            </w:pPr>
            <w:r w:rsidRPr="00EE46B9">
              <w:t>zapewnienie drożności cieku dla migracji ichtiofauny na odcinku cieku istotnego</w:t>
            </w:r>
          </w:p>
        </w:tc>
        <w:tc>
          <w:tcPr>
            <w:tcW w:w="1116" w:type="dxa"/>
            <w:tcMar>
              <w:left w:w="28" w:type="dxa"/>
              <w:right w:w="28" w:type="dxa"/>
            </w:tcMar>
            <w:vAlign w:val="center"/>
            <w:hideMark/>
          </w:tcPr>
          <w:p w14:paraId="034B4DFE" w14:textId="1E43C270" w:rsidR="00E67CDD" w:rsidRPr="00B320E2" w:rsidRDefault="00493D57" w:rsidP="00E67CDD">
            <w:pPr>
              <w:pStyle w:val="Teksttabelisrodek"/>
            </w:pPr>
            <w:r w:rsidRPr="00B320E2">
              <w:t>26</w:t>
            </w:r>
          </w:p>
        </w:tc>
        <w:tc>
          <w:tcPr>
            <w:tcW w:w="1102" w:type="dxa"/>
            <w:tcMar>
              <w:left w:w="28" w:type="dxa"/>
              <w:right w:w="28" w:type="dxa"/>
            </w:tcMar>
            <w:vAlign w:val="center"/>
            <w:hideMark/>
          </w:tcPr>
          <w:p w14:paraId="7AFBB0D5" w14:textId="28870B5F" w:rsidR="00E67CDD" w:rsidRPr="00B320E2" w:rsidRDefault="00A74E86" w:rsidP="00E67CDD">
            <w:pPr>
              <w:pStyle w:val="Teksttabelisrodek"/>
            </w:pPr>
            <w:r w:rsidRPr="00B320E2">
              <w:t>5</w:t>
            </w:r>
          </w:p>
        </w:tc>
        <w:tc>
          <w:tcPr>
            <w:tcW w:w="1098" w:type="dxa"/>
            <w:tcMar>
              <w:left w:w="28" w:type="dxa"/>
              <w:right w:w="28" w:type="dxa"/>
            </w:tcMar>
            <w:vAlign w:val="center"/>
            <w:hideMark/>
          </w:tcPr>
          <w:p w14:paraId="24BBD7FD" w14:textId="5FCBF654" w:rsidR="00E67CDD" w:rsidRPr="00B320E2" w:rsidRDefault="00EC445E" w:rsidP="00E67CDD">
            <w:pPr>
              <w:pStyle w:val="Teksttabelisrodek"/>
            </w:pPr>
            <w:r w:rsidRPr="00B320E2">
              <w:t>15</w:t>
            </w:r>
          </w:p>
        </w:tc>
        <w:tc>
          <w:tcPr>
            <w:tcW w:w="1136" w:type="dxa"/>
            <w:tcMar>
              <w:left w:w="28" w:type="dxa"/>
              <w:right w:w="28" w:type="dxa"/>
            </w:tcMar>
            <w:vAlign w:val="center"/>
            <w:hideMark/>
          </w:tcPr>
          <w:p w14:paraId="5559D203" w14:textId="2EB5E4E9" w:rsidR="00E67CDD" w:rsidRPr="00B320E2" w:rsidRDefault="009255C2" w:rsidP="00E67CDD">
            <w:pPr>
              <w:pStyle w:val="Teksttabelisrodek"/>
            </w:pPr>
            <w:r w:rsidRPr="00B320E2">
              <w:t>41</w:t>
            </w:r>
          </w:p>
        </w:tc>
        <w:tc>
          <w:tcPr>
            <w:tcW w:w="1190" w:type="dxa"/>
            <w:tcMar>
              <w:left w:w="28" w:type="dxa"/>
              <w:right w:w="28" w:type="dxa"/>
            </w:tcMar>
            <w:vAlign w:val="center"/>
            <w:hideMark/>
          </w:tcPr>
          <w:p w14:paraId="71DA9368" w14:textId="131B83CE" w:rsidR="00E67CDD" w:rsidRPr="00B320E2" w:rsidRDefault="005803DE" w:rsidP="00E67CDD">
            <w:pPr>
              <w:pStyle w:val="Teksttabelisrodek"/>
            </w:pPr>
            <w:r w:rsidRPr="00B320E2">
              <w:t>14</w:t>
            </w:r>
          </w:p>
        </w:tc>
      </w:tr>
      <w:tr w:rsidR="00E67CDD" w:rsidRPr="00795F17" w14:paraId="7C1F3D15" w14:textId="77777777" w:rsidTr="00E67CDD">
        <w:trPr>
          <w:trHeight w:val="454"/>
        </w:trPr>
        <w:tc>
          <w:tcPr>
            <w:tcW w:w="3420" w:type="dxa"/>
            <w:tcMar>
              <w:left w:w="28" w:type="dxa"/>
              <w:right w:w="28" w:type="dxa"/>
            </w:tcMar>
            <w:vAlign w:val="center"/>
            <w:hideMark/>
          </w:tcPr>
          <w:p w14:paraId="053306AE" w14:textId="457F6E34" w:rsidR="00E67CDD" w:rsidRPr="00795F17" w:rsidRDefault="00E67CDD" w:rsidP="00B724C2">
            <w:pPr>
              <w:pStyle w:val="Teksttabelilewy"/>
              <w:ind w:left="57"/>
            </w:pPr>
            <w:r w:rsidRPr="00795F17">
              <w:t xml:space="preserve">zapewnienie drożności cieku dla migracji ichtiofauny o ile jest monitorowany wskaźnik diadromiczny </w:t>
            </w:r>
            <w:r w:rsidR="00C80C9E">
              <w:t>D</w:t>
            </w:r>
          </w:p>
        </w:tc>
        <w:tc>
          <w:tcPr>
            <w:tcW w:w="1116" w:type="dxa"/>
            <w:tcMar>
              <w:left w:w="28" w:type="dxa"/>
              <w:right w:w="28" w:type="dxa"/>
            </w:tcMar>
            <w:vAlign w:val="center"/>
            <w:hideMark/>
          </w:tcPr>
          <w:p w14:paraId="1193F54A" w14:textId="219C426A" w:rsidR="00E67CDD" w:rsidRPr="00B320E2" w:rsidRDefault="00ED6F4B" w:rsidP="00E67CDD">
            <w:pPr>
              <w:pStyle w:val="Teksttabelisrodek"/>
            </w:pPr>
            <w:r w:rsidRPr="00B320E2">
              <w:t>125</w:t>
            </w:r>
          </w:p>
        </w:tc>
        <w:tc>
          <w:tcPr>
            <w:tcW w:w="1102" w:type="dxa"/>
            <w:tcMar>
              <w:left w:w="28" w:type="dxa"/>
              <w:right w:w="28" w:type="dxa"/>
            </w:tcMar>
            <w:vAlign w:val="center"/>
            <w:hideMark/>
          </w:tcPr>
          <w:p w14:paraId="7435D492" w14:textId="0CA830B4" w:rsidR="00E67CDD" w:rsidRPr="00B320E2" w:rsidRDefault="00436AAC" w:rsidP="00E67CDD">
            <w:pPr>
              <w:pStyle w:val="Teksttabelisrodek"/>
            </w:pPr>
            <w:r>
              <w:t>77</w:t>
            </w:r>
          </w:p>
        </w:tc>
        <w:tc>
          <w:tcPr>
            <w:tcW w:w="1098" w:type="dxa"/>
            <w:tcMar>
              <w:left w:w="28" w:type="dxa"/>
              <w:right w:w="28" w:type="dxa"/>
            </w:tcMar>
            <w:vAlign w:val="center"/>
            <w:hideMark/>
          </w:tcPr>
          <w:p w14:paraId="5028EA30" w14:textId="733A594C" w:rsidR="00E67CDD" w:rsidRPr="00B320E2" w:rsidRDefault="001B670C" w:rsidP="00E67CDD">
            <w:pPr>
              <w:pStyle w:val="Teksttabelisrodek"/>
            </w:pPr>
            <w:r w:rsidRPr="00B320E2">
              <w:t>75</w:t>
            </w:r>
          </w:p>
        </w:tc>
        <w:tc>
          <w:tcPr>
            <w:tcW w:w="1136" w:type="dxa"/>
            <w:tcMar>
              <w:left w:w="28" w:type="dxa"/>
              <w:right w:w="28" w:type="dxa"/>
            </w:tcMar>
            <w:vAlign w:val="center"/>
            <w:hideMark/>
          </w:tcPr>
          <w:p w14:paraId="4CAD04BC" w14:textId="3587D789" w:rsidR="00E67CDD" w:rsidRPr="00B320E2" w:rsidRDefault="00A445A5" w:rsidP="00E67CDD">
            <w:pPr>
              <w:pStyle w:val="Teksttabelisrodek"/>
            </w:pPr>
            <w:r w:rsidRPr="00B320E2">
              <w:t>3</w:t>
            </w:r>
            <w:r w:rsidR="00AA3C14">
              <w:t>19</w:t>
            </w:r>
          </w:p>
        </w:tc>
        <w:tc>
          <w:tcPr>
            <w:tcW w:w="1190" w:type="dxa"/>
            <w:tcMar>
              <w:left w:w="28" w:type="dxa"/>
              <w:right w:w="28" w:type="dxa"/>
            </w:tcMar>
            <w:vAlign w:val="center"/>
            <w:hideMark/>
          </w:tcPr>
          <w:p w14:paraId="249B7D36" w14:textId="13306F17" w:rsidR="00E67CDD" w:rsidRPr="00B320E2" w:rsidRDefault="002A4721" w:rsidP="00E67CDD">
            <w:pPr>
              <w:pStyle w:val="Teksttabelisrodek"/>
            </w:pPr>
            <w:r w:rsidRPr="00B320E2">
              <w:t>1</w:t>
            </w:r>
            <w:r w:rsidR="00AA3C14">
              <w:t>04</w:t>
            </w:r>
          </w:p>
        </w:tc>
      </w:tr>
      <w:tr w:rsidR="00E67CDD" w:rsidRPr="00795F17" w14:paraId="4DB86FF6" w14:textId="77777777" w:rsidTr="00E67CDD">
        <w:trPr>
          <w:trHeight w:val="454"/>
        </w:trPr>
        <w:tc>
          <w:tcPr>
            <w:tcW w:w="3420" w:type="dxa"/>
            <w:tcMar>
              <w:left w:w="28" w:type="dxa"/>
              <w:right w:w="28" w:type="dxa"/>
            </w:tcMar>
            <w:vAlign w:val="center"/>
            <w:hideMark/>
          </w:tcPr>
          <w:p w14:paraId="55773EDF" w14:textId="7BA527B0" w:rsidR="00E67CDD" w:rsidRPr="00795F17" w:rsidRDefault="00E67CDD" w:rsidP="009235C0">
            <w:pPr>
              <w:pStyle w:val="Teksttabelilewy"/>
              <w:ind w:left="57"/>
            </w:pPr>
            <w:r w:rsidRPr="00795F17">
              <w:t>zapewnienie drożności cieku według wymagań gatunków chronionych</w:t>
            </w:r>
          </w:p>
        </w:tc>
        <w:tc>
          <w:tcPr>
            <w:tcW w:w="1116" w:type="dxa"/>
            <w:tcMar>
              <w:left w:w="28" w:type="dxa"/>
              <w:right w:w="28" w:type="dxa"/>
            </w:tcMar>
            <w:vAlign w:val="center"/>
            <w:hideMark/>
          </w:tcPr>
          <w:p w14:paraId="5AB3CEBF" w14:textId="45119C08" w:rsidR="00E67CDD" w:rsidRPr="00B320E2" w:rsidRDefault="00F50189" w:rsidP="00E67CDD">
            <w:pPr>
              <w:pStyle w:val="Teksttabelisrodek"/>
            </w:pPr>
            <w:r w:rsidRPr="00B320E2">
              <w:t>113</w:t>
            </w:r>
          </w:p>
        </w:tc>
        <w:tc>
          <w:tcPr>
            <w:tcW w:w="1102" w:type="dxa"/>
            <w:tcMar>
              <w:left w:w="28" w:type="dxa"/>
              <w:right w:w="28" w:type="dxa"/>
            </w:tcMar>
            <w:vAlign w:val="center"/>
            <w:hideMark/>
          </w:tcPr>
          <w:p w14:paraId="3F0F5825" w14:textId="77777777" w:rsidR="00E67CDD" w:rsidRPr="00B320E2" w:rsidRDefault="00E67CDD" w:rsidP="00E67CDD">
            <w:pPr>
              <w:pStyle w:val="Teksttabelisrodek"/>
            </w:pPr>
            <w:r w:rsidRPr="00B320E2">
              <w:t>5</w:t>
            </w:r>
          </w:p>
        </w:tc>
        <w:tc>
          <w:tcPr>
            <w:tcW w:w="1098" w:type="dxa"/>
            <w:tcMar>
              <w:left w:w="28" w:type="dxa"/>
              <w:right w:w="28" w:type="dxa"/>
            </w:tcMar>
            <w:vAlign w:val="center"/>
            <w:hideMark/>
          </w:tcPr>
          <w:p w14:paraId="4AB5465A" w14:textId="4F9BC149" w:rsidR="00E67CDD" w:rsidRPr="00B320E2" w:rsidRDefault="00E67CDD" w:rsidP="00E67CDD">
            <w:pPr>
              <w:pStyle w:val="Teksttabelisrodek"/>
            </w:pPr>
            <w:r w:rsidRPr="00B320E2">
              <w:t>5</w:t>
            </w:r>
            <w:r w:rsidR="00F245D0" w:rsidRPr="00B320E2">
              <w:t>3</w:t>
            </w:r>
          </w:p>
        </w:tc>
        <w:tc>
          <w:tcPr>
            <w:tcW w:w="1136" w:type="dxa"/>
            <w:tcMar>
              <w:left w:w="28" w:type="dxa"/>
              <w:right w:w="28" w:type="dxa"/>
            </w:tcMar>
            <w:vAlign w:val="center"/>
            <w:hideMark/>
          </w:tcPr>
          <w:p w14:paraId="2758CC67" w14:textId="77777777" w:rsidR="00E67CDD" w:rsidRPr="00B320E2" w:rsidRDefault="00E67CDD" w:rsidP="00E67CDD">
            <w:pPr>
              <w:pStyle w:val="Teksttabelisrodek"/>
            </w:pPr>
            <w:r w:rsidRPr="00B320E2">
              <w:t>89</w:t>
            </w:r>
          </w:p>
        </w:tc>
        <w:tc>
          <w:tcPr>
            <w:tcW w:w="1190" w:type="dxa"/>
            <w:tcMar>
              <w:left w:w="28" w:type="dxa"/>
              <w:right w:w="28" w:type="dxa"/>
            </w:tcMar>
            <w:vAlign w:val="center"/>
            <w:hideMark/>
          </w:tcPr>
          <w:p w14:paraId="14A65FDD" w14:textId="77777777" w:rsidR="00E67CDD" w:rsidRPr="00B320E2" w:rsidRDefault="00E67CDD" w:rsidP="00E67CDD">
            <w:pPr>
              <w:pStyle w:val="Teksttabelisrodek"/>
            </w:pPr>
            <w:r w:rsidRPr="00B320E2">
              <w:t>32</w:t>
            </w:r>
          </w:p>
        </w:tc>
      </w:tr>
      <w:tr w:rsidR="006B7B06" w:rsidRPr="00795F17" w14:paraId="0AFF4DF8" w14:textId="77777777" w:rsidTr="006B7B06">
        <w:trPr>
          <w:trHeight w:val="454"/>
        </w:trPr>
        <w:tc>
          <w:tcPr>
            <w:tcW w:w="3420" w:type="dxa"/>
            <w:tcMar>
              <w:left w:w="28" w:type="dxa"/>
              <w:right w:w="28" w:type="dxa"/>
            </w:tcMar>
            <w:vAlign w:val="center"/>
          </w:tcPr>
          <w:p w14:paraId="2F73EFFB" w14:textId="2E5E51C7" w:rsidR="006B7B06" w:rsidRPr="00795F17" w:rsidRDefault="006B7B06" w:rsidP="009235C0">
            <w:pPr>
              <w:pStyle w:val="Teksttabelilewy"/>
              <w:ind w:left="57"/>
            </w:pPr>
            <w:r w:rsidRPr="00795F17">
              <w:t xml:space="preserve">zapewnienie drożności </w:t>
            </w:r>
            <w:r w:rsidR="007A6B38">
              <w:t xml:space="preserve">cieku </w:t>
            </w:r>
            <w:r w:rsidR="00EE46B9">
              <w:t>dla</w:t>
            </w:r>
            <w:r w:rsidRPr="00795F17">
              <w:t xml:space="preserve"> </w:t>
            </w:r>
            <w:r w:rsidR="00BF4AEB">
              <w:t xml:space="preserve">migracji </w:t>
            </w:r>
            <w:r w:rsidRPr="00795F17">
              <w:t xml:space="preserve">gatunków </w:t>
            </w:r>
            <w:r w:rsidR="00EE46B9">
              <w:t>zwierząt</w:t>
            </w:r>
            <w:r w:rsidR="009255C2">
              <w:t xml:space="preserve"> wodnych o znaczeniu gospodarczym </w:t>
            </w:r>
          </w:p>
        </w:tc>
        <w:tc>
          <w:tcPr>
            <w:tcW w:w="1116" w:type="dxa"/>
            <w:tcMar>
              <w:left w:w="28" w:type="dxa"/>
              <w:right w:w="28" w:type="dxa"/>
            </w:tcMar>
            <w:vAlign w:val="center"/>
          </w:tcPr>
          <w:p w14:paraId="0DCA38F1" w14:textId="2552FA51" w:rsidR="006B7B06" w:rsidRPr="00B320E2" w:rsidRDefault="002E6567" w:rsidP="006B7B06">
            <w:pPr>
              <w:pStyle w:val="Teksttabelisrodek"/>
            </w:pPr>
            <w:r w:rsidRPr="00B320E2">
              <w:t>91</w:t>
            </w:r>
          </w:p>
        </w:tc>
        <w:tc>
          <w:tcPr>
            <w:tcW w:w="1102" w:type="dxa"/>
            <w:tcMar>
              <w:left w:w="28" w:type="dxa"/>
              <w:right w:w="28" w:type="dxa"/>
            </w:tcMar>
            <w:vAlign w:val="center"/>
          </w:tcPr>
          <w:p w14:paraId="21F73757" w14:textId="6CFD3ED5" w:rsidR="006B7B06" w:rsidRPr="00B320E2" w:rsidRDefault="006B7B06" w:rsidP="006B7B06">
            <w:pPr>
              <w:pStyle w:val="Teksttabelisrodek"/>
            </w:pPr>
            <w:r w:rsidRPr="00B320E2">
              <w:t>0</w:t>
            </w:r>
          </w:p>
        </w:tc>
        <w:tc>
          <w:tcPr>
            <w:tcW w:w="1098" w:type="dxa"/>
            <w:tcMar>
              <w:left w:w="28" w:type="dxa"/>
              <w:right w:w="28" w:type="dxa"/>
            </w:tcMar>
            <w:vAlign w:val="center"/>
          </w:tcPr>
          <w:p w14:paraId="2412CA84" w14:textId="7B59C55F" w:rsidR="006B7B06" w:rsidRPr="00B320E2" w:rsidRDefault="00F245D0" w:rsidP="006B7B06">
            <w:pPr>
              <w:pStyle w:val="Teksttabelisrodek"/>
            </w:pPr>
            <w:r w:rsidRPr="00B320E2">
              <w:t>27</w:t>
            </w:r>
          </w:p>
        </w:tc>
        <w:tc>
          <w:tcPr>
            <w:tcW w:w="1136" w:type="dxa"/>
            <w:tcMar>
              <w:left w:w="28" w:type="dxa"/>
              <w:right w:w="28" w:type="dxa"/>
            </w:tcMar>
            <w:vAlign w:val="center"/>
          </w:tcPr>
          <w:p w14:paraId="7FEFEF7C" w14:textId="3DF5C672" w:rsidR="006B7B06" w:rsidRPr="00B320E2" w:rsidRDefault="00BC1CA2" w:rsidP="006B7B06">
            <w:pPr>
              <w:pStyle w:val="Teksttabelisrodek"/>
            </w:pPr>
            <w:r w:rsidRPr="00B320E2">
              <w:t>32</w:t>
            </w:r>
          </w:p>
        </w:tc>
        <w:tc>
          <w:tcPr>
            <w:tcW w:w="1190" w:type="dxa"/>
            <w:tcMar>
              <w:left w:w="28" w:type="dxa"/>
              <w:right w:w="28" w:type="dxa"/>
            </w:tcMar>
            <w:vAlign w:val="center"/>
          </w:tcPr>
          <w:p w14:paraId="32C35777" w14:textId="18CAE3D9" w:rsidR="006B7B06" w:rsidRPr="00B320E2" w:rsidRDefault="002A4721" w:rsidP="006B7B06">
            <w:pPr>
              <w:pStyle w:val="Teksttabelisrodek"/>
            </w:pPr>
            <w:r w:rsidRPr="00B320E2">
              <w:t>20</w:t>
            </w:r>
          </w:p>
        </w:tc>
      </w:tr>
      <w:tr w:rsidR="00B13FDF" w:rsidRPr="00795F17" w14:paraId="51D0C19C" w14:textId="77777777" w:rsidTr="006B7B06">
        <w:trPr>
          <w:trHeight w:val="454"/>
        </w:trPr>
        <w:tc>
          <w:tcPr>
            <w:tcW w:w="3420" w:type="dxa"/>
            <w:tcMar>
              <w:left w:w="28" w:type="dxa"/>
              <w:right w:w="28" w:type="dxa"/>
            </w:tcMar>
            <w:vAlign w:val="center"/>
          </w:tcPr>
          <w:p w14:paraId="6D70F18E" w14:textId="5A72BFE2" w:rsidR="00B13FDF" w:rsidRPr="00795F17" w:rsidRDefault="005C1918" w:rsidP="001C6219">
            <w:pPr>
              <w:pStyle w:val="Teksttabelilewy"/>
              <w:ind w:left="57"/>
            </w:pPr>
            <w:r>
              <w:t>o</w:t>
            </w:r>
            <w:r w:rsidR="00B13FDF">
              <w:t>dstępstw</w:t>
            </w:r>
            <w:r>
              <w:t>a z art. 4 ust. 4</w:t>
            </w:r>
            <w:r w:rsidR="00C80423">
              <w:t xml:space="preserve"> lub </w:t>
            </w:r>
            <w:r w:rsidR="00F61F12">
              <w:t xml:space="preserve">art. 4 ust. </w:t>
            </w:r>
            <w:r>
              <w:t>5 RDW (</w:t>
            </w:r>
            <w:r w:rsidR="00DE72C3">
              <w:t>łącznie)</w:t>
            </w:r>
          </w:p>
        </w:tc>
        <w:tc>
          <w:tcPr>
            <w:tcW w:w="1116" w:type="dxa"/>
            <w:tcMar>
              <w:left w:w="28" w:type="dxa"/>
              <w:right w:w="28" w:type="dxa"/>
            </w:tcMar>
            <w:vAlign w:val="center"/>
          </w:tcPr>
          <w:p w14:paraId="20EFB492" w14:textId="45314400" w:rsidR="00B13FDF" w:rsidRPr="00795F17" w:rsidRDefault="006B7B00" w:rsidP="006B7B06">
            <w:pPr>
              <w:pStyle w:val="Teksttabelisrodek"/>
            </w:pPr>
            <w:r>
              <w:t>20</w:t>
            </w:r>
            <w:r w:rsidR="00D35FC2">
              <w:t>7</w:t>
            </w:r>
          </w:p>
        </w:tc>
        <w:tc>
          <w:tcPr>
            <w:tcW w:w="1102" w:type="dxa"/>
            <w:tcMar>
              <w:left w:w="28" w:type="dxa"/>
              <w:right w:w="28" w:type="dxa"/>
            </w:tcMar>
            <w:vAlign w:val="center"/>
          </w:tcPr>
          <w:p w14:paraId="26EF12BE" w14:textId="45F60285" w:rsidR="00B13FDF" w:rsidRPr="00795F17" w:rsidRDefault="00A74E86" w:rsidP="006B7B06">
            <w:pPr>
              <w:pStyle w:val="Teksttabelisrodek"/>
            </w:pPr>
            <w:r>
              <w:t>11</w:t>
            </w:r>
            <w:r w:rsidR="00D35FC2">
              <w:t>8</w:t>
            </w:r>
          </w:p>
        </w:tc>
        <w:tc>
          <w:tcPr>
            <w:tcW w:w="1098" w:type="dxa"/>
            <w:tcMar>
              <w:left w:w="28" w:type="dxa"/>
              <w:right w:w="28" w:type="dxa"/>
            </w:tcMar>
            <w:vAlign w:val="center"/>
          </w:tcPr>
          <w:p w14:paraId="3CAEC45D" w14:textId="7E38AFA7" w:rsidR="00B13FDF" w:rsidRPr="00795F17" w:rsidRDefault="000F227D" w:rsidP="006B7B06">
            <w:pPr>
              <w:pStyle w:val="Teksttabelisrodek"/>
            </w:pPr>
            <w:r>
              <w:t>119</w:t>
            </w:r>
          </w:p>
        </w:tc>
        <w:tc>
          <w:tcPr>
            <w:tcW w:w="1136" w:type="dxa"/>
            <w:tcMar>
              <w:left w:w="28" w:type="dxa"/>
              <w:right w:w="28" w:type="dxa"/>
            </w:tcMar>
            <w:vAlign w:val="center"/>
          </w:tcPr>
          <w:p w14:paraId="17AFE640" w14:textId="5DFF9934" w:rsidR="00B13FDF" w:rsidRPr="00795F17" w:rsidRDefault="00D3322A" w:rsidP="006B7B06">
            <w:pPr>
              <w:pStyle w:val="Teksttabelisrodek"/>
            </w:pPr>
            <w:r>
              <w:t>39</w:t>
            </w:r>
            <w:r w:rsidR="00D35FC2">
              <w:t>9</w:t>
            </w:r>
          </w:p>
        </w:tc>
        <w:tc>
          <w:tcPr>
            <w:tcW w:w="1190" w:type="dxa"/>
            <w:tcMar>
              <w:left w:w="28" w:type="dxa"/>
              <w:right w:w="28" w:type="dxa"/>
            </w:tcMar>
            <w:vAlign w:val="center"/>
          </w:tcPr>
          <w:p w14:paraId="5220DD25" w14:textId="2D39AEDD" w:rsidR="00B13FDF" w:rsidRPr="00795F17" w:rsidRDefault="009A1F7B" w:rsidP="006B7B06">
            <w:pPr>
              <w:pStyle w:val="Teksttabelisrodek"/>
            </w:pPr>
            <w:r>
              <w:t>26</w:t>
            </w:r>
            <w:r w:rsidR="00D35FC2">
              <w:t>6</w:t>
            </w:r>
          </w:p>
        </w:tc>
      </w:tr>
      <w:tr w:rsidR="00E67CDD" w:rsidRPr="00795F17" w14:paraId="15B9B480" w14:textId="77777777" w:rsidTr="00E67CDD">
        <w:trPr>
          <w:trHeight w:val="454"/>
        </w:trPr>
        <w:tc>
          <w:tcPr>
            <w:tcW w:w="3420" w:type="dxa"/>
            <w:tcMar>
              <w:left w:w="28" w:type="dxa"/>
              <w:right w:w="28" w:type="dxa"/>
            </w:tcMar>
            <w:vAlign w:val="center"/>
          </w:tcPr>
          <w:p w14:paraId="59646707" w14:textId="0AEF5556" w:rsidR="00E67CDD" w:rsidRPr="00795F17" w:rsidRDefault="00E67CDD" w:rsidP="009F7F19">
            <w:pPr>
              <w:pStyle w:val="Teksttabelilewy"/>
              <w:ind w:left="57"/>
            </w:pPr>
            <w:r w:rsidRPr="00795F17">
              <w:t>odstępstwo z art. 4 ust. 4 RDW</w:t>
            </w:r>
          </w:p>
        </w:tc>
        <w:tc>
          <w:tcPr>
            <w:tcW w:w="1116" w:type="dxa"/>
            <w:tcMar>
              <w:left w:w="28" w:type="dxa"/>
              <w:right w:w="28" w:type="dxa"/>
            </w:tcMar>
            <w:vAlign w:val="center"/>
          </w:tcPr>
          <w:p w14:paraId="7BD15DBE" w14:textId="74C50906" w:rsidR="00E67CDD" w:rsidRPr="00795F17" w:rsidRDefault="00461A78" w:rsidP="00E67CDD">
            <w:pPr>
              <w:pStyle w:val="Teksttabelisrodek"/>
            </w:pPr>
            <w:r>
              <w:t>19</w:t>
            </w:r>
            <w:r w:rsidR="00BD57F7">
              <w:t>5</w:t>
            </w:r>
          </w:p>
        </w:tc>
        <w:tc>
          <w:tcPr>
            <w:tcW w:w="1102" w:type="dxa"/>
            <w:tcMar>
              <w:left w:w="28" w:type="dxa"/>
              <w:right w:w="28" w:type="dxa"/>
            </w:tcMar>
            <w:vAlign w:val="center"/>
          </w:tcPr>
          <w:p w14:paraId="2A0638F0" w14:textId="455B25B4" w:rsidR="00E67CDD" w:rsidRPr="00795F17" w:rsidRDefault="008E6C2A" w:rsidP="00E67CDD">
            <w:pPr>
              <w:pStyle w:val="Teksttabelisrodek"/>
            </w:pPr>
            <w:r>
              <w:t>10</w:t>
            </w:r>
            <w:r w:rsidR="00B320E2">
              <w:t>3</w:t>
            </w:r>
          </w:p>
        </w:tc>
        <w:tc>
          <w:tcPr>
            <w:tcW w:w="1098" w:type="dxa"/>
            <w:tcMar>
              <w:left w:w="28" w:type="dxa"/>
              <w:right w:w="28" w:type="dxa"/>
            </w:tcMar>
            <w:vAlign w:val="center"/>
          </w:tcPr>
          <w:p w14:paraId="4BC30CDA" w14:textId="59CCE7B6" w:rsidR="00E67CDD" w:rsidRPr="00795F17" w:rsidRDefault="000F227D" w:rsidP="00E67CDD">
            <w:pPr>
              <w:pStyle w:val="Teksttabelisrodek"/>
            </w:pPr>
            <w:r>
              <w:t>109</w:t>
            </w:r>
          </w:p>
        </w:tc>
        <w:tc>
          <w:tcPr>
            <w:tcW w:w="1136" w:type="dxa"/>
            <w:tcMar>
              <w:left w:w="28" w:type="dxa"/>
              <w:right w:w="28" w:type="dxa"/>
            </w:tcMar>
            <w:vAlign w:val="center"/>
          </w:tcPr>
          <w:p w14:paraId="14D0F3D8" w14:textId="48394FF6" w:rsidR="00E67CDD" w:rsidRPr="00795F17" w:rsidRDefault="000A31A5" w:rsidP="00E67CDD">
            <w:pPr>
              <w:pStyle w:val="Teksttabelisrodek"/>
            </w:pPr>
            <w:r>
              <w:t>3</w:t>
            </w:r>
            <w:r w:rsidR="00B320E2">
              <w:t>62</w:t>
            </w:r>
          </w:p>
        </w:tc>
        <w:tc>
          <w:tcPr>
            <w:tcW w:w="1190" w:type="dxa"/>
            <w:tcMar>
              <w:left w:w="28" w:type="dxa"/>
              <w:right w:w="28" w:type="dxa"/>
            </w:tcMar>
            <w:vAlign w:val="center"/>
          </w:tcPr>
          <w:p w14:paraId="2F27677B" w14:textId="039CCC18" w:rsidR="00E67CDD" w:rsidRPr="00795F17" w:rsidRDefault="00DA43A3" w:rsidP="00E67CDD">
            <w:pPr>
              <w:pStyle w:val="Teksttabelisrodek"/>
            </w:pPr>
            <w:r>
              <w:t>2</w:t>
            </w:r>
            <w:r w:rsidR="00492690">
              <w:t>4</w:t>
            </w:r>
            <w:r w:rsidR="00B320E2">
              <w:t>2</w:t>
            </w:r>
          </w:p>
        </w:tc>
      </w:tr>
      <w:tr w:rsidR="00E67CDD" w:rsidRPr="00795F17" w14:paraId="1DCF8A51" w14:textId="77777777" w:rsidTr="00E67CDD">
        <w:trPr>
          <w:trHeight w:val="454"/>
        </w:trPr>
        <w:tc>
          <w:tcPr>
            <w:tcW w:w="3420" w:type="dxa"/>
            <w:tcMar>
              <w:left w:w="28" w:type="dxa"/>
              <w:right w:w="28" w:type="dxa"/>
            </w:tcMar>
            <w:vAlign w:val="center"/>
          </w:tcPr>
          <w:p w14:paraId="795E0965" w14:textId="616F1939" w:rsidR="00E67CDD" w:rsidRPr="00795F17" w:rsidRDefault="00E67CDD" w:rsidP="009F7F19">
            <w:pPr>
              <w:pStyle w:val="Teksttabelilewy"/>
              <w:ind w:left="57"/>
            </w:pPr>
            <w:r w:rsidRPr="00795F17">
              <w:t>odstępstwo z art. 4 ust. 5 RDW</w:t>
            </w:r>
            <w:r w:rsidR="00D168C2" w:rsidRPr="00D168C2">
              <w:rPr>
                <w:vertAlign w:val="superscript"/>
              </w:rPr>
              <w:t>1</w:t>
            </w:r>
          </w:p>
        </w:tc>
        <w:tc>
          <w:tcPr>
            <w:tcW w:w="1116" w:type="dxa"/>
            <w:tcMar>
              <w:left w:w="28" w:type="dxa"/>
              <w:right w:w="28" w:type="dxa"/>
            </w:tcMar>
            <w:vAlign w:val="center"/>
          </w:tcPr>
          <w:p w14:paraId="279B6725" w14:textId="17F86A9F" w:rsidR="00E67CDD" w:rsidRPr="00795F17" w:rsidRDefault="002F14D4" w:rsidP="00E67CDD">
            <w:pPr>
              <w:pStyle w:val="Teksttabelisrodek"/>
            </w:pPr>
            <w:r>
              <w:t>100</w:t>
            </w:r>
          </w:p>
        </w:tc>
        <w:tc>
          <w:tcPr>
            <w:tcW w:w="1102" w:type="dxa"/>
            <w:tcMar>
              <w:left w:w="28" w:type="dxa"/>
              <w:right w:w="28" w:type="dxa"/>
            </w:tcMar>
            <w:vAlign w:val="center"/>
          </w:tcPr>
          <w:p w14:paraId="0FD0CF3C" w14:textId="794E812F" w:rsidR="00E67CDD" w:rsidRPr="00795F17" w:rsidRDefault="008E6C2A" w:rsidP="00E67CDD">
            <w:pPr>
              <w:pStyle w:val="Teksttabelisrodek"/>
            </w:pPr>
            <w:r>
              <w:t>81</w:t>
            </w:r>
          </w:p>
        </w:tc>
        <w:tc>
          <w:tcPr>
            <w:tcW w:w="1098" w:type="dxa"/>
            <w:tcMar>
              <w:left w:w="28" w:type="dxa"/>
              <w:right w:w="28" w:type="dxa"/>
            </w:tcMar>
            <w:vAlign w:val="center"/>
          </w:tcPr>
          <w:p w14:paraId="58AAEDA3" w14:textId="48ADDB91" w:rsidR="00E67CDD" w:rsidRPr="00795F17" w:rsidRDefault="004A1BAD" w:rsidP="00E67CDD">
            <w:pPr>
              <w:pStyle w:val="Teksttabelisrodek"/>
            </w:pPr>
            <w:r>
              <w:t>65</w:t>
            </w:r>
          </w:p>
        </w:tc>
        <w:tc>
          <w:tcPr>
            <w:tcW w:w="1136" w:type="dxa"/>
            <w:tcMar>
              <w:left w:w="28" w:type="dxa"/>
              <w:right w:w="28" w:type="dxa"/>
            </w:tcMar>
            <w:vAlign w:val="center"/>
          </w:tcPr>
          <w:p w14:paraId="306B72F0" w14:textId="53BED3F8" w:rsidR="00E67CDD" w:rsidRPr="00795F17" w:rsidRDefault="0010220B" w:rsidP="00E67CDD">
            <w:pPr>
              <w:pStyle w:val="Teksttabelisrodek"/>
            </w:pPr>
            <w:r>
              <w:t>25</w:t>
            </w:r>
            <w:r w:rsidR="000A31A5">
              <w:t>2</w:t>
            </w:r>
          </w:p>
        </w:tc>
        <w:tc>
          <w:tcPr>
            <w:tcW w:w="1190" w:type="dxa"/>
            <w:tcMar>
              <w:left w:w="28" w:type="dxa"/>
              <w:right w:w="28" w:type="dxa"/>
            </w:tcMar>
            <w:vAlign w:val="center"/>
          </w:tcPr>
          <w:p w14:paraId="25252A2B" w14:textId="4A707529" w:rsidR="00E67CDD" w:rsidRPr="00795F17" w:rsidRDefault="00DA43A3" w:rsidP="00E67CDD">
            <w:pPr>
              <w:pStyle w:val="Teksttabelisrodek"/>
            </w:pPr>
            <w:r>
              <w:t>192</w:t>
            </w:r>
          </w:p>
        </w:tc>
      </w:tr>
    </w:tbl>
    <w:p w14:paraId="0A251F01" w14:textId="0DA38885" w:rsidR="005401FB" w:rsidRPr="002F0E9F" w:rsidRDefault="000442A8" w:rsidP="005842B5">
      <w:pPr>
        <w:pStyle w:val="Tabela-wyjasnieniapod"/>
      </w:pPr>
      <w:r w:rsidRPr="00C077FC">
        <w:rPr>
          <w:rFonts w:cs="Calibri"/>
          <w:color w:val="000000"/>
          <w:shd w:val="clear" w:color="auto" w:fill="FFFFFF"/>
          <w:vertAlign w:val="superscript"/>
        </w:rPr>
        <w:t xml:space="preserve">1 </w:t>
      </w:r>
      <w:r w:rsidR="005401FB" w:rsidRPr="002F0E9F">
        <w:t xml:space="preserve">Wskazane w tabeli </w:t>
      </w:r>
      <w:r w:rsidR="00DF005E">
        <w:t>JCWP</w:t>
      </w:r>
      <w:r w:rsidR="005401FB" w:rsidRPr="002F0E9F">
        <w:t xml:space="preserve"> z odstępstwem z art. 4 ust 5 RDW mają cel środowiskowy: w przypadku, gdy wskaźnikiem determinującym wskazanie do odstępstwa jest wskaźnik </w:t>
      </w:r>
      <w:r w:rsidR="00C12087">
        <w:t>klasyfikacji stanu ekologicznego</w:t>
      </w:r>
      <w:r w:rsidR="005401FB" w:rsidRPr="002F0E9F">
        <w:t xml:space="preserve">: umiarkowany stan ekologiczny (złagodzone wskaźniki wraz z klasą przedstawione w załączniku nr 1 oraz </w:t>
      </w:r>
      <w:r w:rsidR="007A06A3">
        <w:t>6</w:t>
      </w:r>
      <w:r w:rsidR="005401FB" w:rsidRPr="002F0E9F">
        <w:t>, pozostałe wskaźniki – II klasa jakości);</w:t>
      </w:r>
      <w:r w:rsidR="005401FB">
        <w:t xml:space="preserve"> </w:t>
      </w:r>
      <w:r w:rsidR="005401FB" w:rsidRPr="002F0E9F">
        <w:t>w</w:t>
      </w:r>
      <w:r w:rsidR="00F63E7B">
        <w:t> </w:t>
      </w:r>
      <w:r w:rsidR="005401FB" w:rsidRPr="002F0E9F">
        <w:t xml:space="preserve">przypadku, gdy wskaźnikiem determinującym wskazanie do odstępstwa jest wskaźnik </w:t>
      </w:r>
      <w:r w:rsidR="00C12087">
        <w:t>klasyfikacji stanu chemicznego</w:t>
      </w:r>
      <w:r w:rsidR="005401FB" w:rsidRPr="002F0E9F">
        <w:t>:</w:t>
      </w:r>
      <w:r w:rsidR="00BA6B41">
        <w:t xml:space="preserve"> </w:t>
      </w:r>
      <w:r w:rsidR="005401FB" w:rsidRPr="002F0E9F">
        <w:t xml:space="preserve">stan chemiczny, dla złagodzonych wskaźników przedstawionych w załączniku nr 1 oraz </w:t>
      </w:r>
      <w:r w:rsidR="007A06A3">
        <w:t>6</w:t>
      </w:r>
      <w:r w:rsidR="008E1B58">
        <w:t>–</w:t>
      </w:r>
      <w:r w:rsidR="005401FB" w:rsidRPr="002F0E9F">
        <w:t xml:space="preserve"> poniżej stanu dobrego, dla pozostałych wskaźników </w:t>
      </w:r>
      <w:r w:rsidR="008E1B58">
        <w:t>–</w:t>
      </w:r>
      <w:r w:rsidR="005401FB" w:rsidRPr="002F0E9F">
        <w:t xml:space="preserve"> stan dobry.</w:t>
      </w:r>
    </w:p>
    <w:p w14:paraId="4672F03F" w14:textId="61C41E14" w:rsidR="00260551" w:rsidRPr="00795F17" w:rsidRDefault="00260551" w:rsidP="0044393D">
      <w:pPr>
        <w:pStyle w:val="rdo"/>
      </w:pPr>
      <w:r w:rsidRPr="00795F17">
        <w:t xml:space="preserve">Źródło: </w:t>
      </w:r>
      <w:r w:rsidR="00FD7248" w:rsidRPr="00795F17">
        <w:t>opracowanie własne</w:t>
      </w:r>
    </w:p>
    <w:p w14:paraId="3961F464" w14:textId="52366775" w:rsidR="007C3FBB" w:rsidRPr="00795F17" w:rsidRDefault="007C3FBB" w:rsidP="00A3686C">
      <w:pPr>
        <w:pStyle w:val="Tabela"/>
      </w:pPr>
      <w:bookmarkStart w:id="385" w:name="_Toc105512815"/>
      <w:r w:rsidRPr="00795F17">
        <w:t xml:space="preserve">Tabela </w:t>
      </w:r>
      <w:fldSimple w:instr=" STYLEREF 1 \s ">
        <w:r w:rsidR="001F774D">
          <w:rPr>
            <w:noProof/>
          </w:rPr>
          <w:t>8</w:t>
        </w:r>
      </w:fldSimple>
      <w:r w:rsidR="00BB3B21" w:rsidRPr="00795F17">
        <w:noBreakHyphen/>
      </w:r>
      <w:fldSimple w:instr=" SEQ Tabela \* ARABIC \s 1 ">
        <w:r w:rsidR="001F774D">
          <w:rPr>
            <w:noProof/>
          </w:rPr>
          <w:t>5</w:t>
        </w:r>
      </w:fldSimple>
      <w:r w:rsidR="00E76356">
        <w:rPr>
          <w:noProof/>
        </w:rPr>
        <w:t>.</w:t>
      </w:r>
      <w:r w:rsidRPr="00795F17">
        <w:tab/>
      </w:r>
      <w:r w:rsidRPr="00795F17">
        <w:rPr>
          <w:lang w:eastAsia="zh-TW"/>
        </w:rPr>
        <w:t xml:space="preserve">Liczba </w:t>
      </w:r>
      <w:r w:rsidR="00DF005E">
        <w:rPr>
          <w:lang w:eastAsia="zh-TW"/>
        </w:rPr>
        <w:t>JCWP</w:t>
      </w:r>
      <w:r w:rsidRPr="00795F17">
        <w:rPr>
          <w:lang w:eastAsia="zh-TW"/>
        </w:rPr>
        <w:t xml:space="preserve"> </w:t>
      </w:r>
      <w:r w:rsidR="00666AC3" w:rsidRPr="00795F17">
        <w:rPr>
          <w:lang w:eastAsia="zh-TW"/>
        </w:rPr>
        <w:t>RWr</w:t>
      </w:r>
      <w:r w:rsidRPr="00795F17">
        <w:rPr>
          <w:lang w:eastAsia="zh-TW"/>
        </w:rPr>
        <w:t xml:space="preserve"> z poszczególnymi celami środowiskowymi </w:t>
      </w:r>
      <w:r w:rsidR="002D3407" w:rsidRPr="00795F17">
        <w:rPr>
          <w:lang w:eastAsia="zh-TW"/>
        </w:rPr>
        <w:t>na</w:t>
      </w:r>
      <w:r w:rsidRPr="00795F17">
        <w:rPr>
          <w:lang w:eastAsia="zh-TW"/>
        </w:rPr>
        <w:t xml:space="preserve"> </w:t>
      </w:r>
      <w:r w:rsidR="00FB15D5" w:rsidRPr="00795F17">
        <w:rPr>
          <w:lang w:eastAsia="zh-TW"/>
        </w:rPr>
        <w:t>obszar</w:t>
      </w:r>
      <w:r w:rsidR="00666AC3" w:rsidRPr="00795F17">
        <w:rPr>
          <w:lang w:eastAsia="zh-TW"/>
        </w:rPr>
        <w:t>ze</w:t>
      </w:r>
      <w:r w:rsidR="00FB15D5" w:rsidRPr="00795F17">
        <w:rPr>
          <w:lang w:eastAsia="zh-TW"/>
        </w:rPr>
        <w:t xml:space="preserve"> </w:t>
      </w:r>
      <w:r w:rsidRPr="00795F17">
        <w:rPr>
          <w:lang w:eastAsia="zh-TW"/>
        </w:rPr>
        <w:t>dorzecza Odry</w:t>
      </w:r>
      <w:r w:rsidR="00666AC3" w:rsidRPr="00795F17">
        <w:rPr>
          <w:lang w:eastAsia="zh-TW"/>
        </w:rPr>
        <w:t xml:space="preserve"> </w:t>
      </w:r>
      <w:r w:rsidR="002D3407" w:rsidRPr="00795F17">
        <w:rPr>
          <w:lang w:eastAsia="zh-TW"/>
        </w:rPr>
        <w:t>w </w:t>
      </w:r>
      <w:r w:rsidR="00666AC3" w:rsidRPr="00795F17">
        <w:rPr>
          <w:lang w:eastAsia="zh-TW"/>
        </w:rPr>
        <w:t>IIaPGW</w:t>
      </w:r>
      <w:r w:rsidR="00792322" w:rsidRPr="00795F17">
        <w:rPr>
          <w:lang w:eastAsia="zh-TW"/>
        </w:rPr>
        <w:t xml:space="preserve"> (2022</w:t>
      </w:r>
      <w:r w:rsidR="008E1B58">
        <w:rPr>
          <w:lang w:eastAsia="zh-TW"/>
        </w:rPr>
        <w:t>–</w:t>
      </w:r>
      <w:r w:rsidR="00792322" w:rsidRPr="00795F17">
        <w:rPr>
          <w:lang w:eastAsia="zh-TW"/>
        </w:rPr>
        <w:t>2027</w:t>
      </w:r>
      <w:r w:rsidR="00666AC3" w:rsidRPr="00795F17">
        <w:rPr>
          <w:lang w:eastAsia="zh-TW"/>
        </w:rPr>
        <w:t>)</w:t>
      </w:r>
      <w:bookmarkEnd w:id="3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3"/>
        <w:gridCol w:w="1983"/>
        <w:gridCol w:w="1983"/>
        <w:gridCol w:w="1983"/>
      </w:tblGrid>
      <w:tr w:rsidR="00A230D1" w:rsidRPr="00795F17" w14:paraId="32095E1C" w14:textId="77777777" w:rsidTr="001C46F7">
        <w:trPr>
          <w:cantSplit/>
          <w:trHeight w:val="454"/>
          <w:tblHeader/>
        </w:trPr>
        <w:tc>
          <w:tcPr>
            <w:tcW w:w="1718" w:type="pct"/>
            <w:vMerge w:val="restart"/>
            <w:shd w:val="clear" w:color="auto" w:fill="BFBFBF" w:themeFill="background1" w:themeFillShade="BF"/>
            <w:vAlign w:val="center"/>
            <w:hideMark/>
          </w:tcPr>
          <w:p w14:paraId="682A9F41" w14:textId="75B27061" w:rsidR="00A230D1" w:rsidRPr="00795F17" w:rsidRDefault="00A230D1" w:rsidP="0044393D">
            <w:pPr>
              <w:pStyle w:val="Teksttabelinaglowek"/>
              <w:rPr>
                <w:rFonts w:cstheme="minorHAnsi"/>
                <w:bCs/>
                <w:color w:val="000000"/>
                <w:sz w:val="18"/>
                <w:szCs w:val="18"/>
              </w:rPr>
            </w:pPr>
            <w:r w:rsidRPr="00795F17">
              <w:t xml:space="preserve">Cele środowiskowe </w:t>
            </w:r>
            <w:r w:rsidR="00DF005E">
              <w:t>JCWP</w:t>
            </w:r>
            <w:r w:rsidRPr="00795F17">
              <w:t xml:space="preserve"> </w:t>
            </w:r>
            <w:r w:rsidR="00666AC3" w:rsidRPr="00795F17">
              <w:t>RWr</w:t>
            </w:r>
          </w:p>
        </w:tc>
        <w:tc>
          <w:tcPr>
            <w:tcW w:w="3282" w:type="pct"/>
            <w:gridSpan w:val="3"/>
            <w:shd w:val="clear" w:color="auto" w:fill="BFBFBF" w:themeFill="background1" w:themeFillShade="BF"/>
            <w:noWrap/>
            <w:vAlign w:val="center"/>
            <w:hideMark/>
          </w:tcPr>
          <w:p w14:paraId="462C7175" w14:textId="77777777" w:rsidR="00A230D1" w:rsidRPr="00795F17" w:rsidRDefault="00A230D1" w:rsidP="0044393D">
            <w:pPr>
              <w:pStyle w:val="Teksttabelinaglowek"/>
              <w:rPr>
                <w:rFonts w:cstheme="minorHAnsi"/>
                <w:bCs/>
                <w:color w:val="000000"/>
                <w:sz w:val="18"/>
                <w:szCs w:val="18"/>
              </w:rPr>
            </w:pPr>
            <w:r w:rsidRPr="00795F17">
              <w:t>Region wodny</w:t>
            </w:r>
          </w:p>
        </w:tc>
      </w:tr>
      <w:tr w:rsidR="00A230D1" w:rsidRPr="00795F17" w14:paraId="17CC8CFF" w14:textId="77777777" w:rsidTr="001C46F7">
        <w:trPr>
          <w:cantSplit/>
          <w:trHeight w:val="454"/>
          <w:tblHeader/>
        </w:trPr>
        <w:tc>
          <w:tcPr>
            <w:tcW w:w="1718" w:type="pct"/>
            <w:vMerge/>
            <w:shd w:val="clear" w:color="auto" w:fill="BFBFBF" w:themeFill="background1" w:themeFillShade="BF"/>
            <w:vAlign w:val="center"/>
            <w:hideMark/>
          </w:tcPr>
          <w:p w14:paraId="2C6C3263" w14:textId="77777777" w:rsidR="00A230D1" w:rsidRPr="00795F17" w:rsidRDefault="00A230D1" w:rsidP="0044393D">
            <w:pPr>
              <w:pStyle w:val="Teksttabeliprawy"/>
            </w:pPr>
          </w:p>
        </w:tc>
        <w:tc>
          <w:tcPr>
            <w:tcW w:w="1094" w:type="pct"/>
            <w:shd w:val="clear" w:color="auto" w:fill="BFBFBF" w:themeFill="background1" w:themeFillShade="BF"/>
            <w:vAlign w:val="center"/>
            <w:hideMark/>
          </w:tcPr>
          <w:p w14:paraId="4DD5CE1D" w14:textId="77777777" w:rsidR="00A230D1" w:rsidRPr="00795F17" w:rsidRDefault="00A230D1" w:rsidP="0044393D">
            <w:pPr>
              <w:pStyle w:val="Teksttabelinaglowek"/>
              <w:rPr>
                <w:rFonts w:cstheme="minorHAnsi"/>
                <w:bCs/>
                <w:color w:val="000000"/>
                <w:sz w:val="18"/>
                <w:szCs w:val="18"/>
              </w:rPr>
            </w:pPr>
            <w:r w:rsidRPr="00795F17">
              <w:t>Górnej Odry</w:t>
            </w:r>
          </w:p>
        </w:tc>
        <w:tc>
          <w:tcPr>
            <w:tcW w:w="1094" w:type="pct"/>
            <w:shd w:val="clear" w:color="auto" w:fill="BFBFBF" w:themeFill="background1" w:themeFillShade="BF"/>
            <w:vAlign w:val="center"/>
            <w:hideMark/>
          </w:tcPr>
          <w:p w14:paraId="1E5119AF" w14:textId="77777777" w:rsidR="00A230D1" w:rsidRPr="00795F17" w:rsidRDefault="00A230D1" w:rsidP="0044393D">
            <w:pPr>
              <w:pStyle w:val="Teksttabelinaglowek"/>
              <w:rPr>
                <w:rFonts w:cstheme="minorHAnsi"/>
                <w:bCs/>
                <w:color w:val="000000"/>
                <w:sz w:val="18"/>
                <w:szCs w:val="18"/>
              </w:rPr>
            </w:pPr>
            <w:r w:rsidRPr="00795F17">
              <w:t>Środkowej Odry</w:t>
            </w:r>
          </w:p>
        </w:tc>
        <w:tc>
          <w:tcPr>
            <w:tcW w:w="1094" w:type="pct"/>
            <w:shd w:val="clear" w:color="auto" w:fill="BFBFBF" w:themeFill="background1" w:themeFillShade="BF"/>
            <w:vAlign w:val="center"/>
            <w:hideMark/>
          </w:tcPr>
          <w:p w14:paraId="28531EAD" w14:textId="77777777" w:rsidR="00A230D1" w:rsidRPr="00795F17" w:rsidRDefault="00A230D1" w:rsidP="0044393D">
            <w:pPr>
              <w:pStyle w:val="Teksttabelinaglowek"/>
              <w:rPr>
                <w:rFonts w:cstheme="minorHAnsi"/>
                <w:bCs/>
                <w:color w:val="000000"/>
                <w:sz w:val="18"/>
                <w:szCs w:val="18"/>
              </w:rPr>
            </w:pPr>
            <w:r w:rsidRPr="00795F17">
              <w:t>Warty</w:t>
            </w:r>
          </w:p>
        </w:tc>
      </w:tr>
      <w:tr w:rsidR="00EA6C71" w:rsidRPr="00795F17" w14:paraId="7501F0CD" w14:textId="77777777" w:rsidTr="00D65A0A">
        <w:trPr>
          <w:trHeight w:val="454"/>
        </w:trPr>
        <w:tc>
          <w:tcPr>
            <w:tcW w:w="1718" w:type="pct"/>
            <w:shd w:val="clear" w:color="auto" w:fill="auto"/>
            <w:vAlign w:val="center"/>
          </w:tcPr>
          <w:p w14:paraId="6717AD47" w14:textId="327B6646" w:rsidR="00EA6C71" w:rsidRPr="00795F17" w:rsidRDefault="00EA6C71" w:rsidP="009235C0">
            <w:pPr>
              <w:pStyle w:val="Teksttabelilewy"/>
              <w:ind w:left="57"/>
            </w:pPr>
            <w:r w:rsidRPr="00795F17">
              <w:t>dobry potencjał ekologiczny</w:t>
            </w:r>
            <w:r w:rsidR="009C5383">
              <w:t xml:space="preserve"> i </w:t>
            </w:r>
            <w:r w:rsidR="00AE71B3">
              <w:t xml:space="preserve">dobry </w:t>
            </w:r>
            <w:r w:rsidR="009C5383">
              <w:t>stan chemiczn</w:t>
            </w:r>
            <w:r w:rsidR="00484C53">
              <w:t>y</w:t>
            </w:r>
          </w:p>
        </w:tc>
        <w:tc>
          <w:tcPr>
            <w:tcW w:w="1094" w:type="pct"/>
            <w:shd w:val="clear" w:color="auto" w:fill="auto"/>
            <w:vAlign w:val="center"/>
          </w:tcPr>
          <w:p w14:paraId="125F63E6" w14:textId="430F553C" w:rsidR="00EA6C71" w:rsidRPr="00795F17" w:rsidRDefault="00323F04" w:rsidP="00EA6C71">
            <w:pPr>
              <w:pStyle w:val="Teksttabelisrodek"/>
            </w:pPr>
            <w:r>
              <w:t>2</w:t>
            </w:r>
          </w:p>
        </w:tc>
        <w:tc>
          <w:tcPr>
            <w:tcW w:w="1094" w:type="pct"/>
            <w:shd w:val="clear" w:color="auto" w:fill="auto"/>
            <w:vAlign w:val="center"/>
          </w:tcPr>
          <w:p w14:paraId="70881FA1" w14:textId="3E45B56A" w:rsidR="00EA6C71" w:rsidRPr="00795F17" w:rsidRDefault="00AE68B9" w:rsidP="00EA6C71">
            <w:pPr>
              <w:pStyle w:val="Teksttabelisrodek"/>
            </w:pPr>
            <w:r>
              <w:t>1</w:t>
            </w:r>
          </w:p>
        </w:tc>
        <w:tc>
          <w:tcPr>
            <w:tcW w:w="1094" w:type="pct"/>
            <w:shd w:val="clear" w:color="auto" w:fill="auto"/>
            <w:vAlign w:val="center"/>
          </w:tcPr>
          <w:p w14:paraId="313262B8" w14:textId="2514B215" w:rsidR="00EA6C71" w:rsidRPr="00795F17" w:rsidRDefault="000757F0" w:rsidP="00EA6C71">
            <w:pPr>
              <w:pStyle w:val="Teksttabelisrodek"/>
            </w:pPr>
            <w:r>
              <w:t>0</w:t>
            </w:r>
          </w:p>
        </w:tc>
      </w:tr>
      <w:tr w:rsidR="00EA6C71" w:rsidRPr="00795F17" w14:paraId="7A291D6C" w14:textId="77777777" w:rsidTr="00D65A0A">
        <w:trPr>
          <w:trHeight w:val="454"/>
        </w:trPr>
        <w:tc>
          <w:tcPr>
            <w:tcW w:w="1718" w:type="pct"/>
            <w:shd w:val="clear" w:color="auto" w:fill="auto"/>
            <w:vAlign w:val="center"/>
            <w:hideMark/>
          </w:tcPr>
          <w:p w14:paraId="63456419" w14:textId="02724151" w:rsidR="00EA6C71" w:rsidRPr="00795F17" w:rsidRDefault="00EA6C71" w:rsidP="009235C0">
            <w:pPr>
              <w:pStyle w:val="Teksttabelilewy"/>
              <w:ind w:left="57"/>
            </w:pPr>
            <w:r w:rsidRPr="00795F17">
              <w:t xml:space="preserve">zapewnienie drożności dla migracji ichtiofauny </w:t>
            </w:r>
          </w:p>
        </w:tc>
        <w:tc>
          <w:tcPr>
            <w:tcW w:w="1094" w:type="pct"/>
            <w:shd w:val="clear" w:color="auto" w:fill="auto"/>
            <w:vAlign w:val="center"/>
            <w:hideMark/>
          </w:tcPr>
          <w:p w14:paraId="781DED5E" w14:textId="289931F1" w:rsidR="00EA6C71" w:rsidRPr="00795F17" w:rsidRDefault="006B7B06" w:rsidP="00EA6C71">
            <w:pPr>
              <w:pStyle w:val="Teksttabelisrodek"/>
            </w:pPr>
            <w:r w:rsidRPr="00795F17">
              <w:t>0</w:t>
            </w:r>
          </w:p>
        </w:tc>
        <w:tc>
          <w:tcPr>
            <w:tcW w:w="1094" w:type="pct"/>
            <w:shd w:val="clear" w:color="auto" w:fill="auto"/>
            <w:vAlign w:val="center"/>
            <w:hideMark/>
          </w:tcPr>
          <w:p w14:paraId="2F282AA2" w14:textId="77777777" w:rsidR="00EA6C71" w:rsidRPr="00795F17" w:rsidRDefault="00EA6C71" w:rsidP="00EA6C71">
            <w:pPr>
              <w:pStyle w:val="Teksttabelisrodek"/>
            </w:pPr>
            <w:r w:rsidRPr="00795F17">
              <w:t>4</w:t>
            </w:r>
          </w:p>
        </w:tc>
        <w:tc>
          <w:tcPr>
            <w:tcW w:w="1094" w:type="pct"/>
            <w:shd w:val="clear" w:color="auto" w:fill="auto"/>
            <w:vAlign w:val="center"/>
            <w:hideMark/>
          </w:tcPr>
          <w:p w14:paraId="32F84984" w14:textId="44105B08" w:rsidR="00EA6C71" w:rsidRPr="00795F17" w:rsidRDefault="006B7B06" w:rsidP="00EA6C71">
            <w:pPr>
              <w:pStyle w:val="Teksttabelisrodek"/>
            </w:pPr>
            <w:r w:rsidRPr="00795F17">
              <w:t>0</w:t>
            </w:r>
          </w:p>
        </w:tc>
      </w:tr>
      <w:tr w:rsidR="00C419D0" w:rsidRPr="00795F17" w14:paraId="1D854283" w14:textId="77777777" w:rsidTr="00D65A0A">
        <w:trPr>
          <w:trHeight w:val="454"/>
        </w:trPr>
        <w:tc>
          <w:tcPr>
            <w:tcW w:w="1718" w:type="pct"/>
            <w:shd w:val="clear" w:color="auto" w:fill="auto"/>
            <w:vAlign w:val="center"/>
          </w:tcPr>
          <w:p w14:paraId="40301E39" w14:textId="11F4B7C3" w:rsidR="00C419D0" w:rsidRPr="00795F17" w:rsidRDefault="00C419D0" w:rsidP="009235C0">
            <w:pPr>
              <w:pStyle w:val="Teksttabelilewy"/>
              <w:ind w:left="57"/>
            </w:pPr>
            <w:r w:rsidRPr="00795F17">
              <w:t xml:space="preserve">zapewnienie drożności </w:t>
            </w:r>
            <w:r>
              <w:t>cieku dla</w:t>
            </w:r>
            <w:r w:rsidRPr="00795F17">
              <w:t xml:space="preserve"> </w:t>
            </w:r>
            <w:r>
              <w:t xml:space="preserve">migracji </w:t>
            </w:r>
            <w:r w:rsidRPr="00795F17">
              <w:t xml:space="preserve">gatunków </w:t>
            </w:r>
            <w:r>
              <w:t>zwierząt wodnych o znaczeniu gospodarczym</w:t>
            </w:r>
          </w:p>
        </w:tc>
        <w:tc>
          <w:tcPr>
            <w:tcW w:w="1094" w:type="pct"/>
            <w:shd w:val="clear" w:color="auto" w:fill="auto"/>
            <w:vAlign w:val="center"/>
          </w:tcPr>
          <w:p w14:paraId="1104399E" w14:textId="2A791756" w:rsidR="00C419D0" w:rsidRPr="00795F17" w:rsidRDefault="00C419D0" w:rsidP="00EA6C71">
            <w:pPr>
              <w:pStyle w:val="Teksttabelisrodek"/>
            </w:pPr>
            <w:r>
              <w:t>0</w:t>
            </w:r>
          </w:p>
        </w:tc>
        <w:tc>
          <w:tcPr>
            <w:tcW w:w="1094" w:type="pct"/>
            <w:shd w:val="clear" w:color="auto" w:fill="auto"/>
            <w:vAlign w:val="center"/>
          </w:tcPr>
          <w:p w14:paraId="6A230BC2" w14:textId="2C08D070" w:rsidR="00C419D0" w:rsidRPr="00795F17" w:rsidRDefault="00C419D0" w:rsidP="00EA6C71">
            <w:pPr>
              <w:pStyle w:val="Teksttabelisrodek"/>
            </w:pPr>
            <w:r>
              <w:t>3</w:t>
            </w:r>
          </w:p>
        </w:tc>
        <w:tc>
          <w:tcPr>
            <w:tcW w:w="1094" w:type="pct"/>
            <w:shd w:val="clear" w:color="auto" w:fill="auto"/>
            <w:vAlign w:val="center"/>
          </w:tcPr>
          <w:p w14:paraId="5D86F581" w14:textId="02810E28" w:rsidR="00C419D0" w:rsidRPr="00795F17" w:rsidRDefault="00C419D0" w:rsidP="00EA6C71">
            <w:pPr>
              <w:pStyle w:val="Teksttabelisrodek"/>
            </w:pPr>
            <w:r>
              <w:t>0</w:t>
            </w:r>
          </w:p>
        </w:tc>
      </w:tr>
      <w:tr w:rsidR="006314E4" w:rsidRPr="00795F17" w14:paraId="24D62453" w14:textId="77777777" w:rsidTr="00D65A0A">
        <w:trPr>
          <w:trHeight w:val="454"/>
        </w:trPr>
        <w:tc>
          <w:tcPr>
            <w:tcW w:w="1718" w:type="pct"/>
            <w:shd w:val="clear" w:color="auto" w:fill="auto"/>
            <w:vAlign w:val="center"/>
          </w:tcPr>
          <w:p w14:paraId="2686301E" w14:textId="7F382FB1" w:rsidR="006314E4" w:rsidRPr="00795F17" w:rsidRDefault="006314E4">
            <w:pPr>
              <w:pStyle w:val="Teksttabelilewy"/>
              <w:ind w:left="57"/>
            </w:pPr>
            <w:r>
              <w:t xml:space="preserve">odstępstwa z art. 4 ust. 4 lub </w:t>
            </w:r>
            <w:r w:rsidR="00F61F12">
              <w:t>art. 4 ust.</w:t>
            </w:r>
            <w:r w:rsidR="00C16575">
              <w:t xml:space="preserve"> </w:t>
            </w:r>
            <w:r>
              <w:t>5 RDW (łącznie)</w:t>
            </w:r>
          </w:p>
        </w:tc>
        <w:tc>
          <w:tcPr>
            <w:tcW w:w="1094" w:type="pct"/>
            <w:shd w:val="clear" w:color="auto" w:fill="auto"/>
            <w:vAlign w:val="center"/>
          </w:tcPr>
          <w:p w14:paraId="04F0BEC7" w14:textId="46D35354" w:rsidR="006314E4" w:rsidRPr="00795F17" w:rsidRDefault="000811D2" w:rsidP="00EA6C71">
            <w:pPr>
              <w:pStyle w:val="Teksttabelisrodek"/>
            </w:pPr>
            <w:r>
              <w:t>4</w:t>
            </w:r>
          </w:p>
        </w:tc>
        <w:tc>
          <w:tcPr>
            <w:tcW w:w="1094" w:type="pct"/>
            <w:shd w:val="clear" w:color="auto" w:fill="auto"/>
            <w:vAlign w:val="center"/>
          </w:tcPr>
          <w:p w14:paraId="22D37D89" w14:textId="3916A27F" w:rsidR="006314E4" w:rsidRPr="00795F17" w:rsidRDefault="00F515DE" w:rsidP="00EA6C71">
            <w:pPr>
              <w:pStyle w:val="Teksttabelisrodek"/>
            </w:pPr>
            <w:r>
              <w:t>12</w:t>
            </w:r>
          </w:p>
        </w:tc>
        <w:tc>
          <w:tcPr>
            <w:tcW w:w="1094" w:type="pct"/>
            <w:shd w:val="clear" w:color="auto" w:fill="auto"/>
            <w:vAlign w:val="center"/>
          </w:tcPr>
          <w:p w14:paraId="2683AED0" w14:textId="18A55B26" w:rsidR="006314E4" w:rsidRPr="00795F17" w:rsidRDefault="002026C9" w:rsidP="00EA6C71">
            <w:pPr>
              <w:pStyle w:val="Teksttabelisrodek"/>
            </w:pPr>
            <w:r>
              <w:t>2</w:t>
            </w:r>
          </w:p>
        </w:tc>
      </w:tr>
      <w:tr w:rsidR="00EA6C71" w:rsidRPr="00795F17" w14:paraId="1C8C1EFB" w14:textId="77777777" w:rsidTr="00D65A0A">
        <w:trPr>
          <w:trHeight w:val="454"/>
        </w:trPr>
        <w:tc>
          <w:tcPr>
            <w:tcW w:w="1718" w:type="pct"/>
            <w:shd w:val="clear" w:color="auto" w:fill="auto"/>
            <w:vAlign w:val="center"/>
          </w:tcPr>
          <w:p w14:paraId="37C8ACB5" w14:textId="221062C1" w:rsidR="00EA6C71" w:rsidRPr="00795F17" w:rsidRDefault="00EA6C71" w:rsidP="009F7F19">
            <w:pPr>
              <w:pStyle w:val="Teksttabelilewy"/>
            </w:pPr>
            <w:r w:rsidRPr="00795F17">
              <w:t>odstępstwo z art. 4 ust. 4 RDW</w:t>
            </w:r>
          </w:p>
        </w:tc>
        <w:tc>
          <w:tcPr>
            <w:tcW w:w="1094" w:type="pct"/>
            <w:shd w:val="clear" w:color="auto" w:fill="auto"/>
            <w:vAlign w:val="center"/>
          </w:tcPr>
          <w:p w14:paraId="28965AC5" w14:textId="6B30FCEE" w:rsidR="00EA6C71" w:rsidRPr="00795F17" w:rsidRDefault="000C4B04" w:rsidP="00EA6C71">
            <w:pPr>
              <w:pStyle w:val="Teksttabelisrodek"/>
            </w:pPr>
            <w:r>
              <w:t>4</w:t>
            </w:r>
          </w:p>
        </w:tc>
        <w:tc>
          <w:tcPr>
            <w:tcW w:w="1094" w:type="pct"/>
            <w:shd w:val="clear" w:color="auto" w:fill="auto"/>
            <w:vAlign w:val="center"/>
          </w:tcPr>
          <w:p w14:paraId="2B250831" w14:textId="35B3B453" w:rsidR="00EA6C71" w:rsidRPr="00795F17" w:rsidRDefault="00EA6C71" w:rsidP="00EA6C71">
            <w:pPr>
              <w:pStyle w:val="Teksttabelisrodek"/>
            </w:pPr>
            <w:r w:rsidRPr="00795F17">
              <w:t>12</w:t>
            </w:r>
          </w:p>
        </w:tc>
        <w:tc>
          <w:tcPr>
            <w:tcW w:w="1094" w:type="pct"/>
            <w:shd w:val="clear" w:color="auto" w:fill="auto"/>
            <w:vAlign w:val="center"/>
          </w:tcPr>
          <w:p w14:paraId="46B8045C" w14:textId="5793822B" w:rsidR="00EA6C71" w:rsidRPr="00795F17" w:rsidRDefault="00EA6C71" w:rsidP="00EA6C71">
            <w:pPr>
              <w:pStyle w:val="Teksttabelisrodek"/>
            </w:pPr>
            <w:r w:rsidRPr="00795F17">
              <w:t>2</w:t>
            </w:r>
          </w:p>
        </w:tc>
      </w:tr>
      <w:tr w:rsidR="00EA6C71" w:rsidRPr="00795F17" w14:paraId="24276C19" w14:textId="77777777" w:rsidTr="00D65A0A">
        <w:trPr>
          <w:trHeight w:val="454"/>
        </w:trPr>
        <w:tc>
          <w:tcPr>
            <w:tcW w:w="1718" w:type="pct"/>
            <w:shd w:val="clear" w:color="auto" w:fill="auto"/>
            <w:vAlign w:val="center"/>
          </w:tcPr>
          <w:p w14:paraId="1FD19D8C" w14:textId="0074D646" w:rsidR="00EA6C71" w:rsidRPr="00795F17" w:rsidRDefault="00D168C2" w:rsidP="009F7F19">
            <w:pPr>
              <w:pStyle w:val="Teksttabelilewy"/>
              <w:ind w:left="57"/>
            </w:pPr>
            <w:r w:rsidRPr="00795F17">
              <w:t>odstępstwo z art. 4 ust. 5 RDW</w:t>
            </w:r>
            <w:r w:rsidRPr="00D168C2">
              <w:rPr>
                <w:vertAlign w:val="superscript"/>
              </w:rPr>
              <w:t>1</w:t>
            </w:r>
          </w:p>
        </w:tc>
        <w:tc>
          <w:tcPr>
            <w:tcW w:w="1094" w:type="pct"/>
            <w:shd w:val="clear" w:color="auto" w:fill="auto"/>
            <w:vAlign w:val="center"/>
          </w:tcPr>
          <w:p w14:paraId="4795CD70" w14:textId="533DBA4A" w:rsidR="00EA6C71" w:rsidRPr="00795F17" w:rsidRDefault="00EA6C71" w:rsidP="00EA6C71">
            <w:pPr>
              <w:pStyle w:val="Teksttabelisrodek"/>
            </w:pPr>
            <w:r w:rsidRPr="00795F17">
              <w:t>3</w:t>
            </w:r>
          </w:p>
        </w:tc>
        <w:tc>
          <w:tcPr>
            <w:tcW w:w="1094" w:type="pct"/>
            <w:shd w:val="clear" w:color="auto" w:fill="auto"/>
            <w:vAlign w:val="center"/>
          </w:tcPr>
          <w:p w14:paraId="58F729C3" w14:textId="4D8F30C3" w:rsidR="00EA6C71" w:rsidRPr="00795F17" w:rsidRDefault="000757F0" w:rsidP="00EA6C71">
            <w:pPr>
              <w:pStyle w:val="Teksttabelisrodek"/>
            </w:pPr>
            <w:r>
              <w:t>11</w:t>
            </w:r>
          </w:p>
        </w:tc>
        <w:tc>
          <w:tcPr>
            <w:tcW w:w="1094" w:type="pct"/>
            <w:shd w:val="clear" w:color="auto" w:fill="auto"/>
            <w:vAlign w:val="center"/>
          </w:tcPr>
          <w:p w14:paraId="1D0A0325" w14:textId="50F59E43" w:rsidR="00EA6C71" w:rsidRPr="00795F17" w:rsidRDefault="00EA6C71" w:rsidP="00EA6C71">
            <w:pPr>
              <w:pStyle w:val="Teksttabelisrodek"/>
            </w:pPr>
            <w:r w:rsidRPr="00795F17">
              <w:t>2</w:t>
            </w:r>
          </w:p>
        </w:tc>
      </w:tr>
    </w:tbl>
    <w:p w14:paraId="21BF4AF7" w14:textId="18639812" w:rsidR="005401FB" w:rsidRPr="002F0E9F" w:rsidRDefault="00D378A2" w:rsidP="005842B5">
      <w:pPr>
        <w:pStyle w:val="Tabela-wyjasnieniapod"/>
      </w:pPr>
      <w:r>
        <w:t>Objaśnienia:</w:t>
      </w:r>
      <w:r>
        <w:br/>
      </w:r>
      <w:r w:rsidR="000442A8" w:rsidRPr="00C077FC">
        <w:rPr>
          <w:rFonts w:cs="Calibri"/>
          <w:color w:val="000000"/>
          <w:shd w:val="clear" w:color="auto" w:fill="FFFFFF"/>
          <w:vertAlign w:val="superscript"/>
        </w:rPr>
        <w:t xml:space="preserve">1 </w:t>
      </w:r>
      <w:r w:rsidR="005401FB" w:rsidRPr="002F0E9F">
        <w:t xml:space="preserve">Wskazane w tabeli </w:t>
      </w:r>
      <w:r w:rsidR="00DF005E">
        <w:t>JCWP</w:t>
      </w:r>
      <w:r w:rsidR="005401FB" w:rsidRPr="002F0E9F">
        <w:t xml:space="preserve"> z odstępstwem z art. 4 ust 5 RDW mają cel środowiskowy: w przypadku, gdy wskaźnikiem determinującym wskazanie do odstępstwa jest wskaźnik </w:t>
      </w:r>
      <w:r w:rsidR="00C12087">
        <w:t>klasyfikacji stanu ekologicznego</w:t>
      </w:r>
      <w:r w:rsidR="005401FB" w:rsidRPr="002F0E9F">
        <w:t xml:space="preserve">: umiarkowany stan ekologiczny (złagodzone wskaźniki wraz z klasą przedstawione w załączniku nr 1 oraz </w:t>
      </w:r>
      <w:r w:rsidR="007A06A3">
        <w:t>6</w:t>
      </w:r>
      <w:r w:rsidR="005401FB" w:rsidRPr="002F0E9F">
        <w:t>, pozostałe wskaźniki – II klasa jakości);</w:t>
      </w:r>
      <w:r w:rsidR="005401FB">
        <w:t xml:space="preserve"> </w:t>
      </w:r>
      <w:r w:rsidR="005401FB" w:rsidRPr="002F0E9F">
        <w:t>w</w:t>
      </w:r>
      <w:r w:rsidR="00F63E7B">
        <w:t> </w:t>
      </w:r>
      <w:r w:rsidR="005401FB" w:rsidRPr="002F0E9F">
        <w:t xml:space="preserve">przypadku, gdy wskaźnikiem determinującym wskazanie do odstępstwa jest wskaźnik </w:t>
      </w:r>
      <w:r w:rsidR="00C12087">
        <w:t>klasyfikacji stanu chemicznego</w:t>
      </w:r>
      <w:r w:rsidR="005401FB" w:rsidRPr="002F0E9F">
        <w:t>:</w:t>
      </w:r>
      <w:r w:rsidR="00BA6B41">
        <w:t xml:space="preserve"> </w:t>
      </w:r>
      <w:r w:rsidR="005401FB" w:rsidRPr="002F0E9F">
        <w:t xml:space="preserve">stan chemiczny, dla złagodzonych wskaźników przedstawionych w załączniku nr 1 oraz </w:t>
      </w:r>
      <w:r w:rsidR="007A06A3">
        <w:t>6</w:t>
      </w:r>
      <w:r w:rsidR="008E1B58">
        <w:t xml:space="preserve"> –</w:t>
      </w:r>
      <w:r w:rsidR="005401FB" w:rsidRPr="002F0E9F">
        <w:t xml:space="preserve"> poniżej stanu dobrego, dla pozostałych wskaźników </w:t>
      </w:r>
      <w:r w:rsidR="008E1B58">
        <w:t>–</w:t>
      </w:r>
      <w:r w:rsidR="005401FB" w:rsidRPr="002F0E9F">
        <w:t xml:space="preserve"> stan dobry.</w:t>
      </w:r>
    </w:p>
    <w:p w14:paraId="5138A941" w14:textId="0CD405F9" w:rsidR="00260551" w:rsidRPr="00795F17" w:rsidRDefault="00260551" w:rsidP="0044393D">
      <w:pPr>
        <w:pStyle w:val="rdo"/>
      </w:pPr>
      <w:r w:rsidRPr="00795F17">
        <w:t xml:space="preserve">Źródło: </w:t>
      </w:r>
      <w:r w:rsidR="00FD7248" w:rsidRPr="00795F17">
        <w:t>opracowanie własne</w:t>
      </w:r>
    </w:p>
    <w:p w14:paraId="4E80BDE6" w14:textId="0C2BDF08" w:rsidR="007C3FBB" w:rsidRPr="00795F17" w:rsidRDefault="007C3FBB" w:rsidP="00A3686C">
      <w:pPr>
        <w:pStyle w:val="Tabela"/>
      </w:pPr>
      <w:bookmarkStart w:id="386" w:name="_Toc105512816"/>
      <w:r w:rsidRPr="00795F17">
        <w:t xml:space="preserve">Tabela </w:t>
      </w:r>
      <w:fldSimple w:instr=" STYLEREF 1 \s ">
        <w:r w:rsidR="001F774D">
          <w:rPr>
            <w:noProof/>
          </w:rPr>
          <w:t>8</w:t>
        </w:r>
      </w:fldSimple>
      <w:r w:rsidR="00BB3B21" w:rsidRPr="00795F17">
        <w:noBreakHyphen/>
      </w:r>
      <w:fldSimple w:instr=" SEQ Tabela \* ARABIC \s 1 ">
        <w:r w:rsidR="001F774D">
          <w:rPr>
            <w:noProof/>
          </w:rPr>
          <w:t>6</w:t>
        </w:r>
      </w:fldSimple>
      <w:r w:rsidR="00E76356">
        <w:rPr>
          <w:noProof/>
        </w:rPr>
        <w:t>.</w:t>
      </w:r>
      <w:r w:rsidRPr="00795F17">
        <w:tab/>
      </w:r>
      <w:r w:rsidRPr="00795F17">
        <w:rPr>
          <w:lang w:eastAsia="zh-TW"/>
        </w:rPr>
        <w:t xml:space="preserve">Liczba </w:t>
      </w:r>
      <w:r w:rsidR="00DF005E">
        <w:rPr>
          <w:lang w:eastAsia="zh-TW"/>
        </w:rPr>
        <w:t>JCWP</w:t>
      </w:r>
      <w:r w:rsidRPr="00795F17">
        <w:rPr>
          <w:lang w:eastAsia="zh-TW"/>
        </w:rPr>
        <w:t xml:space="preserve"> </w:t>
      </w:r>
      <w:r w:rsidR="00666AC3" w:rsidRPr="00795F17">
        <w:rPr>
          <w:lang w:eastAsia="zh-TW"/>
        </w:rPr>
        <w:t>LW</w:t>
      </w:r>
      <w:r w:rsidRPr="00795F17">
        <w:rPr>
          <w:lang w:eastAsia="zh-TW"/>
        </w:rPr>
        <w:t xml:space="preserve"> z poszczególnymi celami środowiskowymi </w:t>
      </w:r>
      <w:r w:rsidR="002D3407" w:rsidRPr="00795F17">
        <w:rPr>
          <w:lang w:eastAsia="zh-TW"/>
        </w:rPr>
        <w:t>na</w:t>
      </w:r>
      <w:r w:rsidR="00666AC3" w:rsidRPr="00795F17">
        <w:rPr>
          <w:lang w:eastAsia="zh-TW"/>
        </w:rPr>
        <w:t xml:space="preserve"> obszarze</w:t>
      </w:r>
      <w:r w:rsidR="00FB15D5" w:rsidRPr="00795F17">
        <w:rPr>
          <w:lang w:eastAsia="zh-TW"/>
        </w:rPr>
        <w:t xml:space="preserve"> </w:t>
      </w:r>
      <w:r w:rsidRPr="00795F17">
        <w:rPr>
          <w:lang w:eastAsia="zh-TW"/>
        </w:rPr>
        <w:t>dorzecza Odry</w:t>
      </w:r>
      <w:r w:rsidR="00666AC3" w:rsidRPr="00795F17">
        <w:rPr>
          <w:lang w:eastAsia="zh-TW"/>
        </w:rPr>
        <w:t xml:space="preserve"> </w:t>
      </w:r>
      <w:r w:rsidR="002D3407" w:rsidRPr="00795F17">
        <w:rPr>
          <w:lang w:eastAsia="zh-TW"/>
        </w:rPr>
        <w:t>w</w:t>
      </w:r>
      <w:r w:rsidR="00792322" w:rsidRPr="00795F17">
        <w:rPr>
          <w:lang w:eastAsia="zh-TW"/>
        </w:rPr>
        <w:t xml:space="preserve"> </w:t>
      </w:r>
      <w:r w:rsidR="00666AC3" w:rsidRPr="00795F17">
        <w:rPr>
          <w:lang w:eastAsia="zh-TW"/>
        </w:rPr>
        <w:t>IIaPGW</w:t>
      </w:r>
      <w:r w:rsidR="00792322" w:rsidRPr="00795F17">
        <w:rPr>
          <w:lang w:eastAsia="zh-TW"/>
        </w:rPr>
        <w:t xml:space="preserve"> (2022</w:t>
      </w:r>
      <w:r w:rsidR="008E1B58">
        <w:rPr>
          <w:lang w:eastAsia="zh-TW"/>
        </w:rPr>
        <w:t>–</w:t>
      </w:r>
      <w:r w:rsidR="00792322" w:rsidRPr="00795F17">
        <w:rPr>
          <w:lang w:eastAsia="zh-TW"/>
        </w:rPr>
        <w:t>2027</w:t>
      </w:r>
      <w:r w:rsidR="00666AC3" w:rsidRPr="00795F17">
        <w:rPr>
          <w:lang w:eastAsia="zh-TW"/>
        </w:rPr>
        <w:t>)</w:t>
      </w:r>
      <w:bookmarkEnd w:id="386"/>
    </w:p>
    <w:tbl>
      <w:tblPr>
        <w:tblW w:w="5000" w:type="pct"/>
        <w:tblLayout w:type="fixed"/>
        <w:tblLook w:val="04A0" w:firstRow="1" w:lastRow="0" w:firstColumn="1" w:lastColumn="0" w:noHBand="0" w:noVBand="1"/>
      </w:tblPr>
      <w:tblGrid>
        <w:gridCol w:w="3114"/>
        <w:gridCol w:w="1276"/>
        <w:gridCol w:w="1103"/>
        <w:gridCol w:w="1023"/>
        <w:gridCol w:w="1134"/>
        <w:gridCol w:w="1412"/>
      </w:tblGrid>
      <w:tr w:rsidR="00A230D1" w:rsidRPr="00795F17" w14:paraId="21295521" w14:textId="77777777" w:rsidTr="001C46F7">
        <w:trPr>
          <w:trHeight w:val="454"/>
          <w:tblHeader/>
        </w:trPr>
        <w:tc>
          <w:tcPr>
            <w:tcW w:w="311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F2FD85" w14:textId="3DCBF3C8" w:rsidR="00A230D1" w:rsidRPr="00795F17" w:rsidRDefault="00A230D1" w:rsidP="0044393D">
            <w:pPr>
              <w:pStyle w:val="Teksttabelinaglowek"/>
              <w:rPr>
                <w:lang w:eastAsia="en-US"/>
              </w:rPr>
            </w:pPr>
            <w:r w:rsidRPr="00795F17">
              <w:rPr>
                <w:lang w:val="en-US"/>
              </w:rPr>
              <w:t xml:space="preserve">Cele środowiskowe </w:t>
            </w:r>
            <w:r w:rsidR="00DF005E">
              <w:rPr>
                <w:lang w:val="en-US"/>
              </w:rPr>
              <w:t>JCWP</w:t>
            </w:r>
            <w:r w:rsidRPr="00795F17">
              <w:rPr>
                <w:lang w:val="en-US"/>
              </w:rPr>
              <w:t xml:space="preserve"> </w:t>
            </w:r>
            <w:r w:rsidR="002D3407" w:rsidRPr="00795F17">
              <w:rPr>
                <w:lang w:val="en-US"/>
              </w:rPr>
              <w:t>LW</w:t>
            </w:r>
          </w:p>
        </w:tc>
        <w:tc>
          <w:tcPr>
            <w:tcW w:w="5948" w:type="dxa"/>
            <w:gridSpan w:val="5"/>
            <w:tcBorders>
              <w:top w:val="single" w:sz="4" w:space="0" w:color="auto"/>
              <w:left w:val="nil"/>
              <w:bottom w:val="single" w:sz="4" w:space="0" w:color="auto"/>
              <w:right w:val="single" w:sz="4" w:space="0" w:color="000000"/>
            </w:tcBorders>
            <w:shd w:val="clear" w:color="auto" w:fill="BFBFBF" w:themeFill="background1" w:themeFillShade="BF"/>
            <w:noWrap/>
            <w:vAlign w:val="center"/>
            <w:hideMark/>
          </w:tcPr>
          <w:p w14:paraId="01F4A34C" w14:textId="77777777" w:rsidR="00A230D1" w:rsidRPr="00795F17" w:rsidRDefault="00A230D1" w:rsidP="0044393D">
            <w:pPr>
              <w:pStyle w:val="Teksttabelinaglowek"/>
              <w:rPr>
                <w:lang w:val="en-US" w:eastAsia="en-US"/>
              </w:rPr>
            </w:pPr>
            <w:r w:rsidRPr="00795F17">
              <w:rPr>
                <w:lang w:val="en-US"/>
              </w:rPr>
              <w:t>Region wodny</w:t>
            </w:r>
          </w:p>
        </w:tc>
      </w:tr>
      <w:tr w:rsidR="00A230D1" w:rsidRPr="00795F17" w14:paraId="44D01A42" w14:textId="77777777" w:rsidTr="001C46F7">
        <w:trPr>
          <w:trHeight w:val="454"/>
          <w:tblHeader/>
        </w:trPr>
        <w:tc>
          <w:tcPr>
            <w:tcW w:w="3114"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9B3A782" w14:textId="77777777" w:rsidR="00A230D1" w:rsidRPr="00795F17" w:rsidRDefault="00A230D1" w:rsidP="0044393D">
            <w:pPr>
              <w:pStyle w:val="Teksttabeliprawy"/>
              <w:rPr>
                <w:lang w:val="en-US"/>
              </w:rPr>
            </w:pPr>
          </w:p>
        </w:tc>
        <w:tc>
          <w:tcPr>
            <w:tcW w:w="1276" w:type="dxa"/>
            <w:tcBorders>
              <w:top w:val="nil"/>
              <w:left w:val="nil"/>
              <w:bottom w:val="single" w:sz="4" w:space="0" w:color="auto"/>
              <w:right w:val="single" w:sz="4" w:space="0" w:color="auto"/>
            </w:tcBorders>
            <w:shd w:val="clear" w:color="auto" w:fill="BFBFBF" w:themeFill="background1" w:themeFillShade="BF"/>
            <w:vAlign w:val="center"/>
          </w:tcPr>
          <w:p w14:paraId="0C2E12E0" w14:textId="77DB0567" w:rsidR="00A230D1" w:rsidRPr="00795F17" w:rsidRDefault="00C61037" w:rsidP="0044393D">
            <w:pPr>
              <w:pStyle w:val="Teksttabelinaglowek"/>
            </w:pPr>
            <w:r w:rsidRPr="00795F17">
              <w:t>Dolnej Odry i Przymorza Zachodniego</w:t>
            </w:r>
          </w:p>
        </w:tc>
        <w:tc>
          <w:tcPr>
            <w:tcW w:w="1103" w:type="dxa"/>
            <w:tcBorders>
              <w:top w:val="nil"/>
              <w:left w:val="nil"/>
              <w:bottom w:val="single" w:sz="4" w:space="0" w:color="auto"/>
              <w:right w:val="single" w:sz="4" w:space="0" w:color="auto"/>
            </w:tcBorders>
            <w:shd w:val="clear" w:color="auto" w:fill="BFBFBF" w:themeFill="background1" w:themeFillShade="BF"/>
            <w:vAlign w:val="center"/>
          </w:tcPr>
          <w:p w14:paraId="5E96DD63" w14:textId="7F4D3F87" w:rsidR="00A230D1" w:rsidRPr="00795F17" w:rsidRDefault="00C61037" w:rsidP="0044393D">
            <w:pPr>
              <w:pStyle w:val="Teksttabelinaglowek"/>
              <w:rPr>
                <w:lang w:val="en-US"/>
              </w:rPr>
            </w:pPr>
            <w:r w:rsidRPr="00795F17">
              <w:rPr>
                <w:lang w:val="en-US"/>
              </w:rPr>
              <w:t xml:space="preserve">Górnej </w:t>
            </w:r>
            <w:r w:rsidR="00A230D1" w:rsidRPr="00795F17">
              <w:rPr>
                <w:lang w:val="en-US"/>
              </w:rPr>
              <w:t>Odr</w:t>
            </w:r>
            <w:r w:rsidR="00666AC3" w:rsidRPr="00795F17">
              <w:rPr>
                <w:lang w:val="en-US"/>
              </w:rPr>
              <w:t>y</w:t>
            </w:r>
          </w:p>
        </w:tc>
        <w:tc>
          <w:tcPr>
            <w:tcW w:w="1023" w:type="dxa"/>
            <w:tcBorders>
              <w:top w:val="nil"/>
              <w:left w:val="nil"/>
              <w:bottom w:val="single" w:sz="4" w:space="0" w:color="auto"/>
              <w:right w:val="single" w:sz="4" w:space="0" w:color="auto"/>
            </w:tcBorders>
            <w:shd w:val="clear" w:color="auto" w:fill="BFBFBF" w:themeFill="background1" w:themeFillShade="BF"/>
            <w:vAlign w:val="center"/>
          </w:tcPr>
          <w:p w14:paraId="5CB7F9C7" w14:textId="2CECF0DA" w:rsidR="00A230D1" w:rsidRPr="00795F17" w:rsidRDefault="00C61037" w:rsidP="0044393D">
            <w:pPr>
              <w:pStyle w:val="Teksttabelinaglowek"/>
              <w:rPr>
                <w:lang w:val="en-US"/>
              </w:rPr>
            </w:pPr>
            <w:r w:rsidRPr="00795F17">
              <w:rPr>
                <w:lang w:val="en-US"/>
              </w:rPr>
              <w:t>Noteci</w:t>
            </w:r>
          </w:p>
        </w:tc>
        <w:tc>
          <w:tcPr>
            <w:tcW w:w="1134" w:type="dxa"/>
            <w:tcBorders>
              <w:top w:val="nil"/>
              <w:left w:val="nil"/>
              <w:bottom w:val="single" w:sz="4" w:space="0" w:color="auto"/>
              <w:right w:val="single" w:sz="4" w:space="0" w:color="auto"/>
            </w:tcBorders>
            <w:shd w:val="clear" w:color="auto" w:fill="BFBFBF" w:themeFill="background1" w:themeFillShade="BF"/>
            <w:vAlign w:val="center"/>
          </w:tcPr>
          <w:p w14:paraId="18F626D4" w14:textId="255707E0" w:rsidR="00A230D1" w:rsidRPr="00795F17" w:rsidRDefault="00C61037" w:rsidP="0044393D">
            <w:pPr>
              <w:pStyle w:val="Teksttabelinaglowek"/>
              <w:rPr>
                <w:lang w:val="en-US"/>
              </w:rPr>
            </w:pPr>
            <w:r w:rsidRPr="00795F17">
              <w:rPr>
                <w:lang w:val="en-US"/>
              </w:rPr>
              <w:t>Środkowej Odry</w:t>
            </w:r>
          </w:p>
        </w:tc>
        <w:tc>
          <w:tcPr>
            <w:tcW w:w="1412" w:type="dxa"/>
            <w:tcBorders>
              <w:top w:val="nil"/>
              <w:left w:val="nil"/>
              <w:bottom w:val="single" w:sz="4" w:space="0" w:color="auto"/>
              <w:right w:val="single" w:sz="4" w:space="0" w:color="auto"/>
            </w:tcBorders>
            <w:shd w:val="clear" w:color="auto" w:fill="BFBFBF" w:themeFill="background1" w:themeFillShade="BF"/>
            <w:vAlign w:val="center"/>
          </w:tcPr>
          <w:p w14:paraId="363C5D32" w14:textId="05FC3373" w:rsidR="00A230D1" w:rsidRPr="00795F17" w:rsidRDefault="00C61037" w:rsidP="0044393D">
            <w:pPr>
              <w:pStyle w:val="Teksttabelinaglowek"/>
            </w:pPr>
            <w:r w:rsidRPr="00795F17">
              <w:t>Warty</w:t>
            </w:r>
          </w:p>
        </w:tc>
      </w:tr>
      <w:tr w:rsidR="00C61037" w:rsidRPr="00795F17" w14:paraId="05D31DA7" w14:textId="77777777" w:rsidTr="001C46F7">
        <w:trPr>
          <w:trHeight w:val="454"/>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E8C40AC" w14:textId="456B489F" w:rsidR="00C61037" w:rsidRPr="00042D2F" w:rsidRDefault="00C61037" w:rsidP="00C61037">
            <w:pPr>
              <w:pStyle w:val="Teksttabelilewy"/>
            </w:pPr>
            <w:r w:rsidRPr="00042D2F">
              <w:t>dobry potencjał ekologiczny</w:t>
            </w:r>
            <w:r w:rsidR="00042D2F" w:rsidRPr="00042D2F">
              <w:t xml:space="preserve"> </w:t>
            </w:r>
            <w:r w:rsidR="00042D2F">
              <w:t>i dobry stan chemiczny</w:t>
            </w:r>
          </w:p>
        </w:tc>
        <w:tc>
          <w:tcPr>
            <w:tcW w:w="1276" w:type="dxa"/>
            <w:tcBorders>
              <w:top w:val="nil"/>
              <w:left w:val="nil"/>
              <w:bottom w:val="single" w:sz="4" w:space="0" w:color="auto"/>
              <w:right w:val="single" w:sz="4" w:space="0" w:color="auto"/>
            </w:tcBorders>
            <w:shd w:val="clear" w:color="auto" w:fill="auto"/>
            <w:vAlign w:val="center"/>
          </w:tcPr>
          <w:p w14:paraId="6599F97F" w14:textId="4A80943C" w:rsidR="00C61037" w:rsidRPr="00795F17" w:rsidRDefault="00FA7DE8" w:rsidP="00C61037">
            <w:pPr>
              <w:pStyle w:val="Teksttabelisrodek"/>
              <w:rPr>
                <w:lang w:val="en-US"/>
              </w:rPr>
            </w:pPr>
            <w:r>
              <w:t>7</w:t>
            </w:r>
          </w:p>
        </w:tc>
        <w:tc>
          <w:tcPr>
            <w:tcW w:w="1103" w:type="dxa"/>
            <w:tcBorders>
              <w:top w:val="nil"/>
              <w:left w:val="nil"/>
              <w:bottom w:val="single" w:sz="4" w:space="0" w:color="auto"/>
              <w:right w:val="single" w:sz="4" w:space="0" w:color="auto"/>
            </w:tcBorders>
            <w:shd w:val="clear" w:color="auto" w:fill="auto"/>
            <w:vAlign w:val="center"/>
          </w:tcPr>
          <w:p w14:paraId="5F057672" w14:textId="3A8BFCF4" w:rsidR="00C61037" w:rsidRPr="00795F17" w:rsidRDefault="00C61037" w:rsidP="00C61037">
            <w:pPr>
              <w:pStyle w:val="Teksttabelisrodek"/>
              <w:rPr>
                <w:lang w:val="en-US"/>
              </w:rPr>
            </w:pPr>
            <w:r w:rsidRPr="00795F17">
              <w:t>1</w:t>
            </w:r>
          </w:p>
        </w:tc>
        <w:tc>
          <w:tcPr>
            <w:tcW w:w="1023" w:type="dxa"/>
            <w:tcBorders>
              <w:top w:val="nil"/>
              <w:left w:val="nil"/>
              <w:bottom w:val="single" w:sz="4" w:space="0" w:color="auto"/>
              <w:right w:val="single" w:sz="4" w:space="0" w:color="auto"/>
            </w:tcBorders>
            <w:shd w:val="clear" w:color="auto" w:fill="auto"/>
            <w:vAlign w:val="center"/>
          </w:tcPr>
          <w:p w14:paraId="6F9DD02C" w14:textId="41C3915F" w:rsidR="00C61037" w:rsidRPr="00795F17" w:rsidRDefault="002D7369" w:rsidP="00C61037">
            <w:pPr>
              <w:pStyle w:val="Teksttabelisrodek"/>
              <w:rPr>
                <w:lang w:val="en-US"/>
              </w:rPr>
            </w:pPr>
            <w:r>
              <w:t>10</w:t>
            </w:r>
          </w:p>
        </w:tc>
        <w:tc>
          <w:tcPr>
            <w:tcW w:w="1134" w:type="dxa"/>
            <w:tcBorders>
              <w:top w:val="nil"/>
              <w:left w:val="nil"/>
              <w:bottom w:val="single" w:sz="4" w:space="0" w:color="auto"/>
              <w:right w:val="single" w:sz="4" w:space="0" w:color="auto"/>
            </w:tcBorders>
            <w:shd w:val="clear" w:color="auto" w:fill="auto"/>
            <w:vAlign w:val="center"/>
          </w:tcPr>
          <w:p w14:paraId="1448233F" w14:textId="349F44F5" w:rsidR="00C61037" w:rsidRPr="00795F17" w:rsidRDefault="00EC1491" w:rsidP="00C61037">
            <w:pPr>
              <w:pStyle w:val="Teksttabelisrodek"/>
              <w:rPr>
                <w:lang w:val="en-US"/>
              </w:rPr>
            </w:pPr>
            <w:r>
              <w:rPr>
                <w:lang w:val="en-US"/>
              </w:rPr>
              <w:t>1</w:t>
            </w:r>
          </w:p>
        </w:tc>
        <w:tc>
          <w:tcPr>
            <w:tcW w:w="1412" w:type="dxa"/>
            <w:tcBorders>
              <w:top w:val="nil"/>
              <w:left w:val="nil"/>
              <w:bottom w:val="single" w:sz="4" w:space="0" w:color="auto"/>
              <w:right w:val="single" w:sz="4" w:space="0" w:color="auto"/>
            </w:tcBorders>
            <w:vAlign w:val="center"/>
          </w:tcPr>
          <w:p w14:paraId="2E7CD3B9" w14:textId="2C3F6BD6" w:rsidR="00C61037" w:rsidRPr="00795F17" w:rsidRDefault="003823C3" w:rsidP="00C61037">
            <w:pPr>
              <w:pStyle w:val="Teksttabelisrodek"/>
              <w:rPr>
                <w:lang w:val="en-US"/>
              </w:rPr>
            </w:pPr>
            <w:r>
              <w:t>16</w:t>
            </w:r>
          </w:p>
        </w:tc>
      </w:tr>
      <w:tr w:rsidR="00C61037" w:rsidRPr="00795F17" w14:paraId="54FB8267" w14:textId="77777777" w:rsidTr="001C46F7">
        <w:trPr>
          <w:trHeight w:val="454"/>
        </w:trPr>
        <w:tc>
          <w:tcPr>
            <w:tcW w:w="3114" w:type="dxa"/>
            <w:tcBorders>
              <w:top w:val="nil"/>
              <w:left w:val="single" w:sz="4" w:space="0" w:color="auto"/>
              <w:bottom w:val="single" w:sz="4" w:space="0" w:color="auto"/>
              <w:right w:val="single" w:sz="4" w:space="0" w:color="auto"/>
            </w:tcBorders>
            <w:shd w:val="clear" w:color="auto" w:fill="auto"/>
            <w:vAlign w:val="center"/>
          </w:tcPr>
          <w:p w14:paraId="0F25410D" w14:textId="7A55D438" w:rsidR="00C61037" w:rsidRPr="00042D2F" w:rsidRDefault="00042D2F" w:rsidP="00C61037">
            <w:pPr>
              <w:pStyle w:val="Teksttabelilewy"/>
            </w:pPr>
            <w:r w:rsidRPr="00795F17">
              <w:t>dobry stan ekologiczny</w:t>
            </w:r>
            <w:r w:rsidRPr="00042D2F">
              <w:t xml:space="preserve"> i do</w:t>
            </w:r>
            <w:r>
              <w:t>bry stan chemiczny</w:t>
            </w:r>
          </w:p>
        </w:tc>
        <w:tc>
          <w:tcPr>
            <w:tcW w:w="1276" w:type="dxa"/>
            <w:tcBorders>
              <w:top w:val="nil"/>
              <w:left w:val="nil"/>
              <w:bottom w:val="single" w:sz="4" w:space="0" w:color="auto"/>
              <w:right w:val="single" w:sz="4" w:space="0" w:color="auto"/>
            </w:tcBorders>
            <w:shd w:val="clear" w:color="auto" w:fill="auto"/>
            <w:vAlign w:val="center"/>
          </w:tcPr>
          <w:p w14:paraId="233D37BD" w14:textId="1818B202" w:rsidR="00C61037" w:rsidRPr="00795F17" w:rsidRDefault="0059043D" w:rsidP="00C61037">
            <w:pPr>
              <w:pStyle w:val="Teksttabelisrodek"/>
            </w:pPr>
            <w:r>
              <w:t>71</w:t>
            </w:r>
          </w:p>
        </w:tc>
        <w:tc>
          <w:tcPr>
            <w:tcW w:w="1103" w:type="dxa"/>
            <w:tcBorders>
              <w:top w:val="nil"/>
              <w:left w:val="nil"/>
              <w:bottom w:val="single" w:sz="4" w:space="0" w:color="auto"/>
              <w:right w:val="single" w:sz="4" w:space="0" w:color="auto"/>
            </w:tcBorders>
            <w:shd w:val="clear" w:color="auto" w:fill="auto"/>
            <w:vAlign w:val="center"/>
          </w:tcPr>
          <w:p w14:paraId="7E9000FC" w14:textId="5380D01C" w:rsidR="00C61037" w:rsidRPr="00795F17" w:rsidRDefault="00715C71" w:rsidP="00C61037">
            <w:pPr>
              <w:pStyle w:val="Teksttabelisrodek"/>
            </w:pPr>
            <w:r>
              <w:t>0</w:t>
            </w:r>
          </w:p>
        </w:tc>
        <w:tc>
          <w:tcPr>
            <w:tcW w:w="1023" w:type="dxa"/>
            <w:tcBorders>
              <w:top w:val="nil"/>
              <w:left w:val="nil"/>
              <w:bottom w:val="single" w:sz="4" w:space="0" w:color="auto"/>
              <w:right w:val="single" w:sz="4" w:space="0" w:color="auto"/>
            </w:tcBorders>
            <w:shd w:val="clear" w:color="auto" w:fill="auto"/>
            <w:vAlign w:val="center"/>
          </w:tcPr>
          <w:p w14:paraId="7582ADA4" w14:textId="0671B239" w:rsidR="00C61037" w:rsidRPr="00795F17" w:rsidRDefault="008A4681" w:rsidP="00C61037">
            <w:pPr>
              <w:pStyle w:val="Teksttabelisrodek"/>
            </w:pPr>
            <w:r>
              <w:t>81</w:t>
            </w:r>
          </w:p>
        </w:tc>
        <w:tc>
          <w:tcPr>
            <w:tcW w:w="1134" w:type="dxa"/>
            <w:tcBorders>
              <w:top w:val="nil"/>
              <w:left w:val="nil"/>
              <w:bottom w:val="single" w:sz="4" w:space="0" w:color="auto"/>
              <w:right w:val="single" w:sz="4" w:space="0" w:color="auto"/>
            </w:tcBorders>
            <w:shd w:val="clear" w:color="auto" w:fill="auto"/>
            <w:vAlign w:val="center"/>
          </w:tcPr>
          <w:p w14:paraId="314C7493" w14:textId="52CEF0B9" w:rsidR="00C61037" w:rsidRPr="00795F17" w:rsidRDefault="001456C1" w:rsidP="00C61037">
            <w:pPr>
              <w:pStyle w:val="Teksttabelisrodek"/>
            </w:pPr>
            <w:r>
              <w:t>5</w:t>
            </w:r>
          </w:p>
        </w:tc>
        <w:tc>
          <w:tcPr>
            <w:tcW w:w="1412" w:type="dxa"/>
            <w:tcBorders>
              <w:top w:val="nil"/>
              <w:left w:val="nil"/>
              <w:bottom w:val="single" w:sz="4" w:space="0" w:color="auto"/>
              <w:right w:val="single" w:sz="4" w:space="0" w:color="auto"/>
            </w:tcBorders>
            <w:vAlign w:val="center"/>
          </w:tcPr>
          <w:p w14:paraId="5D20F8F4" w14:textId="67F5D600" w:rsidR="00C61037" w:rsidRPr="00795F17" w:rsidRDefault="00736BA4" w:rsidP="00C61037">
            <w:pPr>
              <w:pStyle w:val="Teksttabelisrodek"/>
            </w:pPr>
            <w:r>
              <w:t>53</w:t>
            </w:r>
          </w:p>
        </w:tc>
      </w:tr>
      <w:tr w:rsidR="0046081A" w:rsidRPr="00795F17" w14:paraId="5F95C511" w14:textId="77777777" w:rsidTr="001C46F7">
        <w:trPr>
          <w:trHeight w:val="454"/>
        </w:trPr>
        <w:tc>
          <w:tcPr>
            <w:tcW w:w="3114" w:type="dxa"/>
            <w:tcBorders>
              <w:top w:val="nil"/>
              <w:left w:val="single" w:sz="4" w:space="0" w:color="auto"/>
              <w:bottom w:val="single" w:sz="4" w:space="0" w:color="auto"/>
              <w:right w:val="single" w:sz="4" w:space="0" w:color="auto"/>
            </w:tcBorders>
            <w:shd w:val="clear" w:color="auto" w:fill="auto"/>
            <w:vAlign w:val="center"/>
          </w:tcPr>
          <w:p w14:paraId="4F16CC7A" w14:textId="294D0889" w:rsidR="0046081A" w:rsidRPr="00795F17" w:rsidRDefault="006E77AA" w:rsidP="00C61037">
            <w:pPr>
              <w:pStyle w:val="Teksttabelilewy"/>
            </w:pPr>
            <w:r w:rsidRPr="00795F17">
              <w:t xml:space="preserve">zapewnienie drożności </w:t>
            </w:r>
            <w:r>
              <w:t>cieku dla</w:t>
            </w:r>
            <w:r w:rsidRPr="00795F17">
              <w:t xml:space="preserve"> </w:t>
            </w:r>
            <w:r>
              <w:t xml:space="preserve">migracji </w:t>
            </w:r>
            <w:r w:rsidRPr="00795F17">
              <w:t xml:space="preserve">gatunków </w:t>
            </w:r>
            <w:r>
              <w:t>zwierząt wodnych o znaczeniu gospodarczym</w:t>
            </w:r>
          </w:p>
        </w:tc>
        <w:tc>
          <w:tcPr>
            <w:tcW w:w="1276" w:type="dxa"/>
            <w:tcBorders>
              <w:top w:val="nil"/>
              <w:left w:val="nil"/>
              <w:bottom w:val="single" w:sz="4" w:space="0" w:color="auto"/>
              <w:right w:val="single" w:sz="4" w:space="0" w:color="auto"/>
            </w:tcBorders>
            <w:shd w:val="clear" w:color="auto" w:fill="auto"/>
            <w:vAlign w:val="center"/>
          </w:tcPr>
          <w:p w14:paraId="38AF4FB1" w14:textId="4702216F" w:rsidR="0046081A" w:rsidRDefault="00775DBC" w:rsidP="00C61037">
            <w:pPr>
              <w:pStyle w:val="Teksttabelisrodek"/>
            </w:pPr>
            <w:r>
              <w:t>24</w:t>
            </w:r>
          </w:p>
        </w:tc>
        <w:tc>
          <w:tcPr>
            <w:tcW w:w="1103" w:type="dxa"/>
            <w:tcBorders>
              <w:top w:val="nil"/>
              <w:left w:val="nil"/>
              <w:bottom w:val="single" w:sz="4" w:space="0" w:color="auto"/>
              <w:right w:val="single" w:sz="4" w:space="0" w:color="auto"/>
            </w:tcBorders>
            <w:shd w:val="clear" w:color="auto" w:fill="auto"/>
            <w:vAlign w:val="center"/>
          </w:tcPr>
          <w:p w14:paraId="38911E4E" w14:textId="7238A6CE" w:rsidR="0046081A" w:rsidRDefault="00FA7DE8" w:rsidP="00C61037">
            <w:pPr>
              <w:pStyle w:val="Teksttabelisrodek"/>
            </w:pPr>
            <w:r>
              <w:t>0</w:t>
            </w:r>
          </w:p>
        </w:tc>
        <w:tc>
          <w:tcPr>
            <w:tcW w:w="1023" w:type="dxa"/>
            <w:tcBorders>
              <w:top w:val="nil"/>
              <w:left w:val="nil"/>
              <w:bottom w:val="single" w:sz="4" w:space="0" w:color="auto"/>
              <w:right w:val="single" w:sz="4" w:space="0" w:color="auto"/>
            </w:tcBorders>
            <w:shd w:val="clear" w:color="auto" w:fill="auto"/>
            <w:vAlign w:val="center"/>
          </w:tcPr>
          <w:p w14:paraId="32446A7B" w14:textId="47DFB719" w:rsidR="0046081A" w:rsidRDefault="00980F44" w:rsidP="00C61037">
            <w:pPr>
              <w:pStyle w:val="Teksttabelisrodek"/>
            </w:pPr>
            <w:r>
              <w:t>26</w:t>
            </w:r>
          </w:p>
        </w:tc>
        <w:tc>
          <w:tcPr>
            <w:tcW w:w="1134" w:type="dxa"/>
            <w:tcBorders>
              <w:top w:val="nil"/>
              <w:left w:val="nil"/>
              <w:bottom w:val="single" w:sz="4" w:space="0" w:color="auto"/>
              <w:right w:val="single" w:sz="4" w:space="0" w:color="auto"/>
            </w:tcBorders>
            <w:shd w:val="clear" w:color="auto" w:fill="auto"/>
            <w:vAlign w:val="center"/>
          </w:tcPr>
          <w:p w14:paraId="05B5C9DA" w14:textId="47E2B29F" w:rsidR="0046081A" w:rsidRDefault="008B5D58" w:rsidP="00C61037">
            <w:pPr>
              <w:pStyle w:val="Teksttabelisrodek"/>
            </w:pPr>
            <w:r>
              <w:t>0</w:t>
            </w:r>
          </w:p>
        </w:tc>
        <w:tc>
          <w:tcPr>
            <w:tcW w:w="1412" w:type="dxa"/>
            <w:tcBorders>
              <w:top w:val="nil"/>
              <w:left w:val="nil"/>
              <w:bottom w:val="single" w:sz="4" w:space="0" w:color="auto"/>
              <w:right w:val="single" w:sz="4" w:space="0" w:color="auto"/>
            </w:tcBorders>
            <w:vAlign w:val="center"/>
          </w:tcPr>
          <w:p w14:paraId="2A0D6984" w14:textId="388C076D" w:rsidR="0046081A" w:rsidRDefault="00C043BA" w:rsidP="00C61037">
            <w:pPr>
              <w:pStyle w:val="Teksttabelisrodek"/>
            </w:pPr>
            <w:r>
              <w:t>13</w:t>
            </w:r>
          </w:p>
        </w:tc>
      </w:tr>
      <w:tr w:rsidR="002026C9" w:rsidRPr="00795F17" w14:paraId="779B7CBD" w14:textId="77777777" w:rsidTr="001C46F7">
        <w:trPr>
          <w:trHeight w:val="454"/>
        </w:trPr>
        <w:tc>
          <w:tcPr>
            <w:tcW w:w="3114" w:type="dxa"/>
            <w:tcBorders>
              <w:top w:val="nil"/>
              <w:left w:val="single" w:sz="4" w:space="0" w:color="auto"/>
              <w:bottom w:val="single" w:sz="4" w:space="0" w:color="auto"/>
              <w:right w:val="single" w:sz="4" w:space="0" w:color="auto"/>
            </w:tcBorders>
            <w:shd w:val="clear" w:color="auto" w:fill="auto"/>
            <w:vAlign w:val="center"/>
          </w:tcPr>
          <w:p w14:paraId="6F193E99" w14:textId="298A9D67" w:rsidR="002026C9" w:rsidRPr="00795F17" w:rsidRDefault="002026C9" w:rsidP="00C61037">
            <w:pPr>
              <w:pStyle w:val="Teksttabelilewy"/>
            </w:pPr>
            <w:r>
              <w:t xml:space="preserve">odstępstwa z art. 4 ust. 4 lub </w:t>
            </w:r>
            <w:r w:rsidR="00F61F12">
              <w:t xml:space="preserve">art. 4 ust. </w:t>
            </w:r>
            <w:r>
              <w:t>5 RDW (łącznie)</w:t>
            </w:r>
          </w:p>
        </w:tc>
        <w:tc>
          <w:tcPr>
            <w:tcW w:w="1276" w:type="dxa"/>
            <w:tcBorders>
              <w:top w:val="nil"/>
              <w:left w:val="nil"/>
              <w:bottom w:val="single" w:sz="4" w:space="0" w:color="auto"/>
              <w:right w:val="single" w:sz="4" w:space="0" w:color="auto"/>
            </w:tcBorders>
            <w:shd w:val="clear" w:color="auto" w:fill="auto"/>
            <w:vAlign w:val="center"/>
          </w:tcPr>
          <w:p w14:paraId="36836925" w14:textId="3BC11EB0" w:rsidR="002026C9" w:rsidRDefault="00D16E3E" w:rsidP="00C61037">
            <w:pPr>
              <w:pStyle w:val="Teksttabelisrodek"/>
            </w:pPr>
            <w:r>
              <w:t>60</w:t>
            </w:r>
          </w:p>
        </w:tc>
        <w:tc>
          <w:tcPr>
            <w:tcW w:w="1103" w:type="dxa"/>
            <w:tcBorders>
              <w:top w:val="nil"/>
              <w:left w:val="nil"/>
              <w:bottom w:val="single" w:sz="4" w:space="0" w:color="auto"/>
              <w:right w:val="single" w:sz="4" w:space="0" w:color="auto"/>
            </w:tcBorders>
            <w:shd w:val="clear" w:color="auto" w:fill="auto"/>
            <w:vAlign w:val="center"/>
          </w:tcPr>
          <w:p w14:paraId="6A658A21" w14:textId="319D14ED" w:rsidR="002026C9" w:rsidRDefault="00FA7DE8" w:rsidP="00C61037">
            <w:pPr>
              <w:pStyle w:val="Teksttabelisrodek"/>
            </w:pPr>
            <w:r>
              <w:t>0</w:t>
            </w:r>
          </w:p>
        </w:tc>
        <w:tc>
          <w:tcPr>
            <w:tcW w:w="1023" w:type="dxa"/>
            <w:tcBorders>
              <w:top w:val="nil"/>
              <w:left w:val="nil"/>
              <w:bottom w:val="single" w:sz="4" w:space="0" w:color="auto"/>
              <w:right w:val="single" w:sz="4" w:space="0" w:color="auto"/>
            </w:tcBorders>
            <w:shd w:val="clear" w:color="auto" w:fill="auto"/>
            <w:vAlign w:val="center"/>
          </w:tcPr>
          <w:p w14:paraId="5470FE16" w14:textId="73C0AAF6" w:rsidR="002026C9" w:rsidRDefault="0012185C" w:rsidP="00C61037">
            <w:pPr>
              <w:pStyle w:val="Teksttabelisrodek"/>
            </w:pPr>
            <w:r>
              <w:t>12</w:t>
            </w:r>
            <w:r w:rsidR="005834BA">
              <w:t>1</w:t>
            </w:r>
          </w:p>
        </w:tc>
        <w:tc>
          <w:tcPr>
            <w:tcW w:w="1134" w:type="dxa"/>
            <w:tcBorders>
              <w:top w:val="nil"/>
              <w:left w:val="nil"/>
              <w:bottom w:val="single" w:sz="4" w:space="0" w:color="auto"/>
              <w:right w:val="single" w:sz="4" w:space="0" w:color="auto"/>
            </w:tcBorders>
            <w:shd w:val="clear" w:color="auto" w:fill="auto"/>
            <w:vAlign w:val="center"/>
          </w:tcPr>
          <w:p w14:paraId="0DD073A1" w14:textId="64465F44" w:rsidR="002026C9" w:rsidRDefault="002D7369" w:rsidP="00C61037">
            <w:pPr>
              <w:pStyle w:val="Teksttabelisrodek"/>
            </w:pPr>
            <w:r>
              <w:t>26</w:t>
            </w:r>
          </w:p>
        </w:tc>
        <w:tc>
          <w:tcPr>
            <w:tcW w:w="1412" w:type="dxa"/>
            <w:tcBorders>
              <w:top w:val="nil"/>
              <w:left w:val="nil"/>
              <w:bottom w:val="single" w:sz="4" w:space="0" w:color="auto"/>
              <w:right w:val="single" w:sz="4" w:space="0" w:color="auto"/>
            </w:tcBorders>
            <w:vAlign w:val="center"/>
          </w:tcPr>
          <w:p w14:paraId="10F08E9B" w14:textId="214B86AD" w:rsidR="002026C9" w:rsidRDefault="007F0F06" w:rsidP="00C61037">
            <w:pPr>
              <w:pStyle w:val="Teksttabelisrodek"/>
            </w:pPr>
            <w:r>
              <w:t>111</w:t>
            </w:r>
          </w:p>
        </w:tc>
      </w:tr>
      <w:tr w:rsidR="00C61037" w:rsidRPr="00795F17" w14:paraId="6429EA5B" w14:textId="77777777" w:rsidTr="001C46F7">
        <w:trPr>
          <w:trHeight w:val="454"/>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14:paraId="47D5AF62" w14:textId="22C8ACD8" w:rsidR="00C61037" w:rsidRPr="00795F17" w:rsidRDefault="00C61037" w:rsidP="009F7F19">
            <w:pPr>
              <w:pStyle w:val="Teksttabelilewy"/>
            </w:pPr>
            <w:r w:rsidRPr="00795F17">
              <w:t>odstępstwo z art. 4 ust. 4 RDW</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6BB619AA" w14:textId="16E8E25F" w:rsidR="00C61037" w:rsidRPr="00795F17" w:rsidRDefault="00150AA2" w:rsidP="00C61037">
            <w:pPr>
              <w:pStyle w:val="Teksttabelisrodek"/>
            </w:pPr>
            <w:r>
              <w:t>53</w:t>
            </w:r>
          </w:p>
        </w:tc>
        <w:tc>
          <w:tcPr>
            <w:tcW w:w="1103" w:type="dxa"/>
            <w:tcBorders>
              <w:top w:val="single" w:sz="4" w:space="0" w:color="auto"/>
              <w:left w:val="nil"/>
              <w:bottom w:val="single" w:sz="4" w:space="0" w:color="auto"/>
              <w:right w:val="single" w:sz="4" w:space="0" w:color="auto"/>
            </w:tcBorders>
            <w:shd w:val="clear" w:color="auto" w:fill="auto"/>
            <w:noWrap/>
            <w:vAlign w:val="center"/>
          </w:tcPr>
          <w:p w14:paraId="44039182" w14:textId="049A7F04" w:rsidR="00C61037" w:rsidRPr="00795F17" w:rsidRDefault="00715C71" w:rsidP="00C61037">
            <w:pPr>
              <w:pStyle w:val="Teksttabelisrodek"/>
            </w:pPr>
            <w:r>
              <w:t>0</w:t>
            </w:r>
          </w:p>
        </w:tc>
        <w:tc>
          <w:tcPr>
            <w:tcW w:w="1023" w:type="dxa"/>
            <w:tcBorders>
              <w:top w:val="single" w:sz="4" w:space="0" w:color="auto"/>
              <w:left w:val="nil"/>
              <w:bottom w:val="single" w:sz="4" w:space="0" w:color="auto"/>
              <w:right w:val="single" w:sz="4" w:space="0" w:color="auto"/>
            </w:tcBorders>
            <w:shd w:val="clear" w:color="auto" w:fill="auto"/>
            <w:noWrap/>
            <w:vAlign w:val="center"/>
          </w:tcPr>
          <w:p w14:paraId="57F200B7" w14:textId="41B0FCDB" w:rsidR="00C61037" w:rsidRPr="00795F17" w:rsidRDefault="00C150D6" w:rsidP="00C61037">
            <w:pPr>
              <w:pStyle w:val="Teksttabelisrodek"/>
            </w:pPr>
            <w:r>
              <w:t>10</w:t>
            </w:r>
            <w:r w:rsidR="004E2477">
              <w:t>4</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A125A2C" w14:textId="26AC1FE3" w:rsidR="00C61037" w:rsidRPr="00795F17" w:rsidRDefault="00CB176D" w:rsidP="00C61037">
            <w:pPr>
              <w:pStyle w:val="Teksttabelisrodek"/>
            </w:pPr>
            <w:r>
              <w:t>23</w:t>
            </w:r>
          </w:p>
        </w:tc>
        <w:tc>
          <w:tcPr>
            <w:tcW w:w="1412" w:type="dxa"/>
            <w:tcBorders>
              <w:top w:val="single" w:sz="4" w:space="0" w:color="auto"/>
              <w:left w:val="nil"/>
              <w:bottom w:val="single" w:sz="4" w:space="0" w:color="auto"/>
              <w:right w:val="single" w:sz="4" w:space="0" w:color="auto"/>
            </w:tcBorders>
            <w:vAlign w:val="center"/>
          </w:tcPr>
          <w:p w14:paraId="2D1A4731" w14:textId="0292C3E5" w:rsidR="00C61037" w:rsidRPr="00795F17" w:rsidRDefault="00F410A2" w:rsidP="00C61037">
            <w:pPr>
              <w:pStyle w:val="Teksttabelisrodek"/>
            </w:pPr>
            <w:r>
              <w:t>109</w:t>
            </w:r>
          </w:p>
        </w:tc>
      </w:tr>
      <w:tr w:rsidR="00C61037" w:rsidRPr="00795F17" w14:paraId="2FF801CB" w14:textId="77777777" w:rsidTr="001C46F7">
        <w:trPr>
          <w:trHeight w:val="454"/>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14:paraId="1167B1A0" w14:textId="1CED673D" w:rsidR="00C61037" w:rsidRPr="00795F17" w:rsidRDefault="00D168C2" w:rsidP="009F7F19">
            <w:pPr>
              <w:pStyle w:val="Teksttabelilewy"/>
            </w:pPr>
            <w:r w:rsidRPr="00795F17">
              <w:t>odstępstwo z art. 4 ust. 5 RDW</w:t>
            </w:r>
            <w:r w:rsidRPr="00D168C2">
              <w:rPr>
                <w:vertAlign w:val="superscript"/>
              </w:rPr>
              <w:t>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21600E5" w14:textId="44301C48" w:rsidR="00C61037" w:rsidRPr="00795F17" w:rsidRDefault="00042D2F" w:rsidP="00C61037">
            <w:pPr>
              <w:pStyle w:val="Teksttabelisrodek"/>
            </w:pPr>
            <w:r>
              <w:t>31</w:t>
            </w:r>
          </w:p>
        </w:tc>
        <w:tc>
          <w:tcPr>
            <w:tcW w:w="1103" w:type="dxa"/>
            <w:tcBorders>
              <w:top w:val="single" w:sz="4" w:space="0" w:color="auto"/>
              <w:left w:val="nil"/>
              <w:bottom w:val="single" w:sz="4" w:space="0" w:color="auto"/>
              <w:right w:val="single" w:sz="4" w:space="0" w:color="auto"/>
            </w:tcBorders>
            <w:shd w:val="clear" w:color="auto" w:fill="auto"/>
            <w:noWrap/>
            <w:vAlign w:val="center"/>
          </w:tcPr>
          <w:p w14:paraId="312D2CC1" w14:textId="21E39356" w:rsidR="00C61037" w:rsidRPr="00795F17" w:rsidRDefault="00C61037" w:rsidP="00C61037">
            <w:pPr>
              <w:pStyle w:val="Teksttabelisrodek"/>
            </w:pPr>
            <w:r w:rsidRPr="00795F17">
              <w:t>0</w:t>
            </w:r>
          </w:p>
        </w:tc>
        <w:tc>
          <w:tcPr>
            <w:tcW w:w="1023" w:type="dxa"/>
            <w:tcBorders>
              <w:top w:val="single" w:sz="4" w:space="0" w:color="auto"/>
              <w:left w:val="nil"/>
              <w:bottom w:val="single" w:sz="4" w:space="0" w:color="auto"/>
              <w:right w:val="single" w:sz="4" w:space="0" w:color="auto"/>
            </w:tcBorders>
            <w:shd w:val="clear" w:color="auto" w:fill="auto"/>
            <w:noWrap/>
            <w:vAlign w:val="center"/>
          </w:tcPr>
          <w:p w14:paraId="2D1AC09B" w14:textId="718EA3AB" w:rsidR="00C61037" w:rsidRPr="00795F17" w:rsidRDefault="006E02CC" w:rsidP="00C61037">
            <w:pPr>
              <w:pStyle w:val="Teksttabelisrodek"/>
            </w:pPr>
            <w:r>
              <w:t>75</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65BC1A3" w14:textId="1232AE61" w:rsidR="00C61037" w:rsidRPr="00795F17" w:rsidRDefault="00CB176D" w:rsidP="00C61037">
            <w:pPr>
              <w:pStyle w:val="Teksttabelisrodek"/>
            </w:pPr>
            <w:r>
              <w:t>21</w:t>
            </w:r>
          </w:p>
        </w:tc>
        <w:tc>
          <w:tcPr>
            <w:tcW w:w="1412" w:type="dxa"/>
            <w:tcBorders>
              <w:top w:val="single" w:sz="4" w:space="0" w:color="auto"/>
              <w:left w:val="nil"/>
              <w:bottom w:val="single" w:sz="4" w:space="0" w:color="auto"/>
              <w:right w:val="single" w:sz="4" w:space="0" w:color="auto"/>
            </w:tcBorders>
            <w:vAlign w:val="center"/>
          </w:tcPr>
          <w:p w14:paraId="3920876C" w14:textId="5D1FB44F" w:rsidR="00C61037" w:rsidRPr="00795F17" w:rsidRDefault="00F410A2" w:rsidP="00C61037">
            <w:pPr>
              <w:pStyle w:val="Teksttabelisrodek"/>
            </w:pPr>
            <w:r>
              <w:t>5</w:t>
            </w:r>
            <w:r w:rsidR="00C043BA">
              <w:t>5</w:t>
            </w:r>
          </w:p>
        </w:tc>
      </w:tr>
    </w:tbl>
    <w:p w14:paraId="1FEE8903" w14:textId="506FD763" w:rsidR="005401FB" w:rsidRPr="002F0E9F" w:rsidRDefault="00D378A2" w:rsidP="005842B5">
      <w:pPr>
        <w:pStyle w:val="Tabela-wyjasnieniapod"/>
      </w:pPr>
      <w:r>
        <w:t>Objaśnienia:</w:t>
      </w:r>
      <w:r>
        <w:br/>
      </w:r>
      <w:r w:rsidR="000442A8" w:rsidRPr="00C077FC">
        <w:rPr>
          <w:rFonts w:cs="Calibri"/>
          <w:color w:val="000000"/>
          <w:shd w:val="clear" w:color="auto" w:fill="FFFFFF"/>
          <w:vertAlign w:val="superscript"/>
        </w:rPr>
        <w:t xml:space="preserve">1 </w:t>
      </w:r>
      <w:r w:rsidR="005401FB" w:rsidRPr="002F0E9F">
        <w:t xml:space="preserve">Wskazane w tabeli </w:t>
      </w:r>
      <w:r w:rsidR="00DF005E">
        <w:t>JCWP</w:t>
      </w:r>
      <w:r w:rsidR="005401FB" w:rsidRPr="002F0E9F">
        <w:t xml:space="preserve"> z odstępstwem z art. 4 ust 5 RDW mają cel środowiskowy: w przypadku, gdy wskaźnikiem determinującym wskazanie do odstępstwa jest wskaźnik </w:t>
      </w:r>
      <w:r w:rsidR="00C12087">
        <w:t>klasyfikacji stanu ekologicznego</w:t>
      </w:r>
      <w:r w:rsidR="005401FB" w:rsidRPr="002F0E9F">
        <w:t xml:space="preserve">: umiarkowany stan ekologiczny (złagodzone wskaźniki wraz z klasą przedstawione w załączniku nr 1 oraz </w:t>
      </w:r>
      <w:r w:rsidR="007A06A3">
        <w:t>6</w:t>
      </w:r>
      <w:r w:rsidR="005401FB" w:rsidRPr="002F0E9F">
        <w:t>, pozostałe wskaźniki – II klasa jakości);</w:t>
      </w:r>
      <w:r w:rsidR="005401FB">
        <w:t xml:space="preserve"> </w:t>
      </w:r>
      <w:r w:rsidR="005401FB" w:rsidRPr="002F0E9F">
        <w:t>w</w:t>
      </w:r>
      <w:r w:rsidR="00F63E7B">
        <w:t> </w:t>
      </w:r>
      <w:r w:rsidR="005401FB" w:rsidRPr="002F0E9F">
        <w:t xml:space="preserve">przypadku, gdy wskaźnikiem determinującym wskazanie do odstępstwa jest wskaźnik </w:t>
      </w:r>
      <w:r w:rsidR="00C12087">
        <w:t>klasyfikacji stanu chemicznego</w:t>
      </w:r>
      <w:r w:rsidR="005401FB" w:rsidRPr="002F0E9F">
        <w:t>:</w:t>
      </w:r>
      <w:r w:rsidR="00BA6B41">
        <w:t xml:space="preserve"> </w:t>
      </w:r>
      <w:r w:rsidR="005401FB" w:rsidRPr="002F0E9F">
        <w:t xml:space="preserve">stan chemiczny, dla złagodzonych wskaźników przedstawionych w załączniku nr 1 oraz </w:t>
      </w:r>
      <w:r w:rsidR="007A06A3">
        <w:t>6</w:t>
      </w:r>
      <w:r w:rsidR="008E1B58">
        <w:t>–</w:t>
      </w:r>
      <w:r w:rsidR="005401FB" w:rsidRPr="002F0E9F">
        <w:t xml:space="preserve"> poniżej stanu dobrego, dla pozostałych wskaźników </w:t>
      </w:r>
      <w:r w:rsidR="008E1B58">
        <w:t>–</w:t>
      </w:r>
      <w:r w:rsidR="005401FB" w:rsidRPr="002F0E9F">
        <w:t xml:space="preserve"> stan dobry.</w:t>
      </w:r>
    </w:p>
    <w:p w14:paraId="3AD9E90F" w14:textId="792C5C04" w:rsidR="00260551" w:rsidRPr="00795F17" w:rsidRDefault="00260551" w:rsidP="0044393D">
      <w:pPr>
        <w:pStyle w:val="rdo"/>
      </w:pPr>
      <w:r w:rsidRPr="00795F17">
        <w:t xml:space="preserve">Źródło: </w:t>
      </w:r>
      <w:r w:rsidR="00FD7248" w:rsidRPr="00795F17">
        <w:t>opracowanie własne</w:t>
      </w:r>
    </w:p>
    <w:p w14:paraId="22925DD0" w14:textId="77777777" w:rsidR="0009370C" w:rsidRPr="00C75BCB" w:rsidRDefault="0009370C" w:rsidP="00C75BCB"/>
    <w:p w14:paraId="75DE6846" w14:textId="0A17DC20" w:rsidR="007C3FBB" w:rsidRPr="00795F17" w:rsidRDefault="007C3FBB" w:rsidP="00A3686C">
      <w:pPr>
        <w:pStyle w:val="Tabela"/>
        <w:rPr>
          <w:lang w:eastAsia="zh-TW"/>
        </w:rPr>
      </w:pPr>
      <w:bookmarkStart w:id="387" w:name="_Toc105512817"/>
      <w:r w:rsidRPr="00795F17">
        <w:t xml:space="preserve">Tabela </w:t>
      </w:r>
      <w:fldSimple w:instr=" STYLEREF 1 \s ">
        <w:r w:rsidR="001F774D">
          <w:rPr>
            <w:noProof/>
          </w:rPr>
          <w:t>8</w:t>
        </w:r>
      </w:fldSimple>
      <w:r w:rsidR="00BB3B21" w:rsidRPr="00795F17">
        <w:noBreakHyphen/>
      </w:r>
      <w:fldSimple w:instr=" SEQ Tabela \* ARABIC \s 1 ">
        <w:r w:rsidR="001F774D">
          <w:rPr>
            <w:noProof/>
          </w:rPr>
          <w:t>7</w:t>
        </w:r>
      </w:fldSimple>
      <w:r w:rsidR="00E76356">
        <w:rPr>
          <w:noProof/>
        </w:rPr>
        <w:t>.</w:t>
      </w:r>
      <w:r w:rsidRPr="00795F17">
        <w:tab/>
      </w:r>
      <w:r w:rsidR="00DF005E">
        <w:rPr>
          <w:lang w:eastAsia="zh-TW"/>
        </w:rPr>
        <w:t>JCWP</w:t>
      </w:r>
      <w:r w:rsidRPr="00795F17">
        <w:rPr>
          <w:lang w:eastAsia="zh-TW"/>
        </w:rPr>
        <w:t xml:space="preserve"> </w:t>
      </w:r>
      <w:r w:rsidR="00666AC3" w:rsidRPr="00795F17">
        <w:rPr>
          <w:lang w:eastAsia="zh-TW"/>
        </w:rPr>
        <w:t>TW i CW</w:t>
      </w:r>
      <w:r w:rsidRPr="00795F17">
        <w:rPr>
          <w:lang w:eastAsia="zh-TW"/>
        </w:rPr>
        <w:t xml:space="preserve"> z poszczególnymi celami środowiskowymi </w:t>
      </w:r>
      <w:r w:rsidR="002D3407" w:rsidRPr="00795F17">
        <w:rPr>
          <w:lang w:eastAsia="zh-TW"/>
        </w:rPr>
        <w:t>na</w:t>
      </w:r>
      <w:r w:rsidR="00F34E3F" w:rsidRPr="00795F17">
        <w:rPr>
          <w:lang w:eastAsia="zh-TW"/>
        </w:rPr>
        <w:t xml:space="preserve"> obszarze dorzecza Odry </w:t>
      </w:r>
      <w:r w:rsidR="002D3407" w:rsidRPr="00795F17">
        <w:rPr>
          <w:lang w:eastAsia="zh-TW"/>
        </w:rPr>
        <w:t>w</w:t>
      </w:r>
      <w:r w:rsidR="00792322" w:rsidRPr="00795F17">
        <w:rPr>
          <w:lang w:eastAsia="zh-TW"/>
        </w:rPr>
        <w:t xml:space="preserve"> </w:t>
      </w:r>
      <w:r w:rsidR="00F34E3F" w:rsidRPr="00795F17">
        <w:rPr>
          <w:lang w:eastAsia="zh-TW"/>
        </w:rPr>
        <w:t>IIaPGW</w:t>
      </w:r>
      <w:r w:rsidR="00792322" w:rsidRPr="00795F17">
        <w:rPr>
          <w:lang w:eastAsia="zh-TW"/>
        </w:rPr>
        <w:t xml:space="preserve"> (2022</w:t>
      </w:r>
      <w:r w:rsidR="008E1B58">
        <w:rPr>
          <w:lang w:eastAsia="zh-TW"/>
        </w:rPr>
        <w:t>–</w:t>
      </w:r>
      <w:r w:rsidR="00792322" w:rsidRPr="00795F17">
        <w:rPr>
          <w:lang w:eastAsia="zh-TW"/>
        </w:rPr>
        <w:t>2027</w:t>
      </w:r>
      <w:r w:rsidR="00F34E3F" w:rsidRPr="00795F17">
        <w:rPr>
          <w:lang w:eastAsia="zh-TW"/>
        </w:rPr>
        <w:t>)</w:t>
      </w:r>
      <w:bookmarkEnd w:id="38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25"/>
        <w:gridCol w:w="1837"/>
      </w:tblGrid>
      <w:tr w:rsidR="00666AC3" w:rsidRPr="00795F17" w14:paraId="6FD1FE72" w14:textId="77777777" w:rsidTr="00A81DD6">
        <w:trPr>
          <w:trHeight w:val="454"/>
          <w:tblHeader/>
          <w:jc w:val="center"/>
        </w:trPr>
        <w:tc>
          <w:tcPr>
            <w:tcW w:w="7225" w:type="dxa"/>
            <w:vMerge w:val="restart"/>
            <w:shd w:val="clear" w:color="auto" w:fill="BFBFBF" w:themeFill="background1" w:themeFillShade="BF"/>
            <w:noWrap/>
            <w:vAlign w:val="center"/>
            <w:hideMark/>
          </w:tcPr>
          <w:p w14:paraId="485DB15B" w14:textId="4E7B280A" w:rsidR="00666AC3" w:rsidRPr="00795F17" w:rsidRDefault="00666AC3" w:rsidP="006B7B06">
            <w:pPr>
              <w:pStyle w:val="Teksttabelinaglowek"/>
            </w:pPr>
            <w:r w:rsidRPr="00795F17">
              <w:t>Cel</w:t>
            </w:r>
            <w:r w:rsidR="00C41485">
              <w:t>e</w:t>
            </w:r>
            <w:r w:rsidRPr="00795F17">
              <w:t xml:space="preserve"> </w:t>
            </w:r>
            <w:r w:rsidR="00C41485" w:rsidRPr="00795F17">
              <w:t>środowisko</w:t>
            </w:r>
            <w:r w:rsidR="00C41485">
              <w:t xml:space="preserve">we </w:t>
            </w:r>
            <w:r w:rsidR="00DF005E">
              <w:t>JCWP</w:t>
            </w:r>
            <w:r w:rsidRPr="00795F17">
              <w:t xml:space="preserve"> TW i CW</w:t>
            </w:r>
          </w:p>
        </w:tc>
        <w:tc>
          <w:tcPr>
            <w:tcW w:w="1837" w:type="dxa"/>
            <w:shd w:val="clear" w:color="auto" w:fill="BFBFBF" w:themeFill="background1" w:themeFillShade="BF"/>
            <w:noWrap/>
            <w:vAlign w:val="center"/>
            <w:hideMark/>
          </w:tcPr>
          <w:p w14:paraId="4D69D30A" w14:textId="77777777" w:rsidR="00666AC3" w:rsidRPr="00795F17" w:rsidRDefault="00666AC3" w:rsidP="006B7B06">
            <w:pPr>
              <w:pStyle w:val="Teksttabelinaglowek"/>
            </w:pPr>
            <w:r w:rsidRPr="00795F17">
              <w:t>Region wodny</w:t>
            </w:r>
          </w:p>
        </w:tc>
      </w:tr>
      <w:tr w:rsidR="00666AC3" w:rsidRPr="00795F17" w14:paraId="4C57305C" w14:textId="77777777" w:rsidTr="00A81DD6">
        <w:trPr>
          <w:trHeight w:val="454"/>
          <w:tblHeader/>
          <w:jc w:val="center"/>
        </w:trPr>
        <w:tc>
          <w:tcPr>
            <w:tcW w:w="7225" w:type="dxa"/>
            <w:vMerge/>
            <w:shd w:val="clear" w:color="auto" w:fill="BFBFBF" w:themeFill="background1" w:themeFillShade="BF"/>
            <w:vAlign w:val="center"/>
            <w:hideMark/>
          </w:tcPr>
          <w:p w14:paraId="661B571E" w14:textId="77777777" w:rsidR="00666AC3" w:rsidRPr="00795F17" w:rsidRDefault="00666AC3" w:rsidP="006B7B06">
            <w:pPr>
              <w:pStyle w:val="Teksttabelinaglowek"/>
            </w:pPr>
          </w:p>
        </w:tc>
        <w:tc>
          <w:tcPr>
            <w:tcW w:w="1837" w:type="dxa"/>
            <w:shd w:val="clear" w:color="auto" w:fill="BFBFBF" w:themeFill="background1" w:themeFillShade="BF"/>
            <w:vAlign w:val="center"/>
            <w:hideMark/>
          </w:tcPr>
          <w:p w14:paraId="41EA15E8" w14:textId="77777777" w:rsidR="00666AC3" w:rsidRPr="00795F17" w:rsidRDefault="00666AC3" w:rsidP="006B7B06">
            <w:pPr>
              <w:pStyle w:val="Teksttabelinaglowek"/>
            </w:pPr>
            <w:r w:rsidRPr="00795F17">
              <w:t>Dolnej Odry i Przymorza Zachodniego</w:t>
            </w:r>
          </w:p>
        </w:tc>
      </w:tr>
      <w:tr w:rsidR="005E5F9E" w:rsidRPr="00795F17" w14:paraId="69B74013" w14:textId="77777777" w:rsidTr="00A81DD6">
        <w:trPr>
          <w:trHeight w:val="454"/>
          <w:jc w:val="center"/>
        </w:trPr>
        <w:tc>
          <w:tcPr>
            <w:tcW w:w="7225" w:type="dxa"/>
            <w:noWrap/>
            <w:vAlign w:val="center"/>
          </w:tcPr>
          <w:p w14:paraId="6FA2E802" w14:textId="716E13B6" w:rsidR="005E5F9E" w:rsidRPr="00795F17" w:rsidRDefault="005E5F9E" w:rsidP="005E5F9E">
            <w:pPr>
              <w:pStyle w:val="Teksttabelilewy"/>
            </w:pPr>
            <w:r w:rsidRPr="003C231D">
              <w:t>dobry stan ekologiczny</w:t>
            </w:r>
            <w:r w:rsidR="003C3D33" w:rsidRPr="003C231D">
              <w:t xml:space="preserve"> i </w:t>
            </w:r>
            <w:r w:rsidR="00BD7E18" w:rsidRPr="00F86241">
              <w:t xml:space="preserve">dobry </w:t>
            </w:r>
            <w:r w:rsidR="003C3D33" w:rsidRPr="003C231D">
              <w:t xml:space="preserve">stan </w:t>
            </w:r>
            <w:r w:rsidR="00BD7E18" w:rsidRPr="003C231D">
              <w:t>chemiczny</w:t>
            </w:r>
          </w:p>
        </w:tc>
        <w:tc>
          <w:tcPr>
            <w:tcW w:w="1837" w:type="dxa"/>
            <w:noWrap/>
            <w:vAlign w:val="center"/>
          </w:tcPr>
          <w:p w14:paraId="57AB826C" w14:textId="491FB0EF" w:rsidR="005E5F9E" w:rsidRPr="00795F17" w:rsidRDefault="006A2E1F" w:rsidP="005E5F9E">
            <w:pPr>
              <w:pStyle w:val="Teksttabelisrodek"/>
            </w:pPr>
            <w:r>
              <w:t>0</w:t>
            </w:r>
          </w:p>
        </w:tc>
      </w:tr>
      <w:tr w:rsidR="003458F0" w:rsidRPr="00795F17" w14:paraId="0BC2CED9" w14:textId="77777777" w:rsidTr="00A81DD6">
        <w:trPr>
          <w:trHeight w:val="454"/>
          <w:jc w:val="center"/>
        </w:trPr>
        <w:tc>
          <w:tcPr>
            <w:tcW w:w="7225" w:type="dxa"/>
            <w:noWrap/>
            <w:vAlign w:val="center"/>
          </w:tcPr>
          <w:p w14:paraId="6FEFD619" w14:textId="551BB31C" w:rsidR="003458F0" w:rsidRPr="003C231D" w:rsidRDefault="003458F0" w:rsidP="003458F0">
            <w:pPr>
              <w:pStyle w:val="Teksttabelilewy"/>
            </w:pPr>
            <w:r w:rsidRPr="00795F17">
              <w:t xml:space="preserve">zapewnienie </w:t>
            </w:r>
            <w:r w:rsidR="00A81DD6" w:rsidRPr="00795F17">
              <w:t xml:space="preserve">drożności </w:t>
            </w:r>
            <w:r w:rsidR="00A81DD6">
              <w:t>cieku dla</w:t>
            </w:r>
            <w:r w:rsidR="00A81DD6" w:rsidRPr="00795F17">
              <w:t xml:space="preserve"> </w:t>
            </w:r>
            <w:r w:rsidR="00A81DD6">
              <w:t xml:space="preserve">migracji </w:t>
            </w:r>
            <w:r w:rsidR="00A81DD6" w:rsidRPr="00795F17">
              <w:t xml:space="preserve">gatunków </w:t>
            </w:r>
            <w:r w:rsidR="00A81DD6">
              <w:t>zwierząt wodnych o znaczeniu gospodarczym</w:t>
            </w:r>
          </w:p>
        </w:tc>
        <w:tc>
          <w:tcPr>
            <w:tcW w:w="1837" w:type="dxa"/>
            <w:noWrap/>
            <w:vAlign w:val="center"/>
          </w:tcPr>
          <w:p w14:paraId="5EF58381" w14:textId="2344EFBC" w:rsidR="003458F0" w:rsidDel="003458F0" w:rsidRDefault="003458F0" w:rsidP="003458F0">
            <w:pPr>
              <w:pStyle w:val="Teksttabelisrodek"/>
            </w:pPr>
            <w:r>
              <w:t>2</w:t>
            </w:r>
          </w:p>
        </w:tc>
      </w:tr>
      <w:tr w:rsidR="003458F0" w:rsidRPr="00795F17" w14:paraId="25796526" w14:textId="77777777" w:rsidTr="00A81DD6">
        <w:trPr>
          <w:trHeight w:val="454"/>
          <w:jc w:val="center"/>
        </w:trPr>
        <w:tc>
          <w:tcPr>
            <w:tcW w:w="7225" w:type="dxa"/>
            <w:noWrap/>
            <w:vAlign w:val="center"/>
          </w:tcPr>
          <w:p w14:paraId="353BB8E5" w14:textId="45C534E3" w:rsidR="003458F0" w:rsidRPr="003C231D" w:rsidRDefault="003458F0" w:rsidP="003458F0">
            <w:pPr>
              <w:pStyle w:val="Teksttabelilewy"/>
            </w:pPr>
            <w:r>
              <w:t xml:space="preserve">odstępstwa z art. 4 ust. 4 lub </w:t>
            </w:r>
            <w:r w:rsidR="00F61F12">
              <w:t xml:space="preserve">art. 4 ust. </w:t>
            </w:r>
            <w:r>
              <w:t>5 RDW (łącznie)</w:t>
            </w:r>
          </w:p>
        </w:tc>
        <w:tc>
          <w:tcPr>
            <w:tcW w:w="1837" w:type="dxa"/>
            <w:noWrap/>
            <w:vAlign w:val="center"/>
          </w:tcPr>
          <w:p w14:paraId="4F30FD7C" w14:textId="287B5495" w:rsidR="003458F0" w:rsidRDefault="003458F0" w:rsidP="003458F0">
            <w:pPr>
              <w:pStyle w:val="Teksttabelisrodek"/>
            </w:pPr>
            <w:r>
              <w:t>4</w:t>
            </w:r>
          </w:p>
        </w:tc>
      </w:tr>
      <w:tr w:rsidR="005E5F9E" w:rsidRPr="00795F17" w14:paraId="7F8AE183" w14:textId="77777777" w:rsidTr="00A81DD6">
        <w:trPr>
          <w:trHeight w:val="454"/>
          <w:jc w:val="center"/>
        </w:trPr>
        <w:tc>
          <w:tcPr>
            <w:tcW w:w="7225" w:type="dxa"/>
            <w:noWrap/>
            <w:vAlign w:val="center"/>
          </w:tcPr>
          <w:p w14:paraId="0707A328" w14:textId="7D946328" w:rsidR="005E5F9E" w:rsidRPr="00795F17" w:rsidRDefault="005E5F9E" w:rsidP="009F7F19">
            <w:pPr>
              <w:pStyle w:val="Teksttabelilewy"/>
              <w:jc w:val="both"/>
            </w:pPr>
            <w:r w:rsidRPr="00795F17">
              <w:t>odstępstwo z art. 4 ust. 4 RDW</w:t>
            </w:r>
          </w:p>
        </w:tc>
        <w:tc>
          <w:tcPr>
            <w:tcW w:w="1837" w:type="dxa"/>
            <w:noWrap/>
            <w:vAlign w:val="center"/>
          </w:tcPr>
          <w:p w14:paraId="4B0AFCA3" w14:textId="4533EC4A" w:rsidR="005E5F9E" w:rsidRPr="00795F17" w:rsidRDefault="005E5F9E" w:rsidP="005E5F9E">
            <w:pPr>
              <w:pStyle w:val="Teksttabelisrodek"/>
            </w:pPr>
            <w:r w:rsidRPr="00795F17">
              <w:t>4</w:t>
            </w:r>
          </w:p>
        </w:tc>
      </w:tr>
      <w:tr w:rsidR="005E5F9E" w:rsidRPr="00795F17" w14:paraId="61DBA1E0" w14:textId="77777777" w:rsidTr="00A81DD6">
        <w:trPr>
          <w:trHeight w:val="454"/>
          <w:jc w:val="center"/>
        </w:trPr>
        <w:tc>
          <w:tcPr>
            <w:tcW w:w="7225" w:type="dxa"/>
            <w:noWrap/>
            <w:vAlign w:val="center"/>
          </w:tcPr>
          <w:p w14:paraId="0DFA58CD" w14:textId="053B4FB5" w:rsidR="005E5F9E" w:rsidRPr="00795F17" w:rsidRDefault="00D168C2" w:rsidP="009F7F19">
            <w:pPr>
              <w:pStyle w:val="Teksttabelilewy"/>
              <w:jc w:val="both"/>
            </w:pPr>
            <w:r w:rsidRPr="00795F17">
              <w:t>odstępstwo z art. 4 ust. 5 RDW</w:t>
            </w:r>
            <w:r w:rsidRPr="00D168C2">
              <w:rPr>
                <w:vertAlign w:val="superscript"/>
              </w:rPr>
              <w:t>1</w:t>
            </w:r>
          </w:p>
        </w:tc>
        <w:tc>
          <w:tcPr>
            <w:tcW w:w="1837" w:type="dxa"/>
            <w:noWrap/>
            <w:vAlign w:val="center"/>
          </w:tcPr>
          <w:p w14:paraId="582D6DD6" w14:textId="6B0F30C2" w:rsidR="005E5F9E" w:rsidRPr="00795F17" w:rsidRDefault="006A2E1F" w:rsidP="005E5F9E">
            <w:pPr>
              <w:pStyle w:val="Teksttabelisrodek"/>
            </w:pPr>
            <w:r>
              <w:t>4</w:t>
            </w:r>
          </w:p>
        </w:tc>
      </w:tr>
    </w:tbl>
    <w:p w14:paraId="108189B5" w14:textId="3642CA08" w:rsidR="005401FB" w:rsidRPr="002F0E9F" w:rsidRDefault="00D378A2" w:rsidP="005842B5">
      <w:pPr>
        <w:pStyle w:val="Tabela-wyjasnieniapod"/>
      </w:pPr>
      <w:r>
        <w:t>Objaśnienia:</w:t>
      </w:r>
      <w:r>
        <w:br/>
      </w:r>
      <w:r w:rsidR="000442A8" w:rsidRPr="00C077FC">
        <w:rPr>
          <w:rFonts w:cs="Calibri"/>
          <w:color w:val="000000"/>
          <w:shd w:val="clear" w:color="auto" w:fill="FFFFFF"/>
          <w:vertAlign w:val="superscript"/>
        </w:rPr>
        <w:t xml:space="preserve">1 </w:t>
      </w:r>
      <w:r w:rsidR="005401FB" w:rsidRPr="002F0E9F">
        <w:t xml:space="preserve">Wskazane w tabeli </w:t>
      </w:r>
      <w:r w:rsidR="00DF005E">
        <w:t>JCWP</w:t>
      </w:r>
      <w:r w:rsidR="005401FB" w:rsidRPr="002F0E9F">
        <w:t xml:space="preserve"> z odstępstwem z art. 4 ust 5 RDW mają cel środowiskowy: w przypadku, gdy wskaźnikiem determinującym wskazanie do odstępstwa jest wskaźnik </w:t>
      </w:r>
      <w:r w:rsidR="00C12087">
        <w:t>klasyfikacji stanu ekologicznego</w:t>
      </w:r>
      <w:r w:rsidR="005401FB" w:rsidRPr="002F0E9F">
        <w:t xml:space="preserve">: umiarkowany stan ekologiczny (złagodzone wskaźniki wraz z klasą przedstawione w załączniku nr 1 oraz </w:t>
      </w:r>
      <w:r w:rsidR="007A06A3">
        <w:t>6</w:t>
      </w:r>
      <w:r w:rsidR="005401FB" w:rsidRPr="002F0E9F">
        <w:t>, pozostałe wskaźniki – II klasa jakości);</w:t>
      </w:r>
      <w:r w:rsidR="005401FB">
        <w:t xml:space="preserve"> </w:t>
      </w:r>
      <w:r w:rsidR="005401FB" w:rsidRPr="002F0E9F">
        <w:t>w</w:t>
      </w:r>
      <w:r w:rsidR="00155A01">
        <w:t> </w:t>
      </w:r>
      <w:r w:rsidR="005401FB" w:rsidRPr="002F0E9F">
        <w:t xml:space="preserve">przypadku, gdy wskaźnikiem determinującym wskazanie do odstępstwa jest wskaźnik </w:t>
      </w:r>
      <w:r w:rsidR="00C12087">
        <w:t>klasyfikacji stanu chemicznego</w:t>
      </w:r>
      <w:r w:rsidR="005401FB" w:rsidRPr="002F0E9F">
        <w:t>:</w:t>
      </w:r>
      <w:r w:rsidR="00BA6B41">
        <w:t xml:space="preserve"> </w:t>
      </w:r>
      <w:r w:rsidR="005401FB" w:rsidRPr="002F0E9F">
        <w:t xml:space="preserve">stan chemiczny, dla złagodzonych wskaźników przedstawionych w załączniku nr 1 oraz </w:t>
      </w:r>
      <w:r w:rsidR="007A06A3">
        <w:t>6</w:t>
      </w:r>
      <w:r w:rsidR="008E1B58">
        <w:t>–</w:t>
      </w:r>
      <w:r w:rsidR="005401FB" w:rsidRPr="002F0E9F">
        <w:t xml:space="preserve"> poniżej stanu dobrego, dla pozostałych wskaźników </w:t>
      </w:r>
      <w:r w:rsidR="008E1B58">
        <w:t>–</w:t>
      </w:r>
      <w:r w:rsidR="005401FB" w:rsidRPr="002F0E9F">
        <w:t xml:space="preserve"> stan dobry.</w:t>
      </w:r>
    </w:p>
    <w:p w14:paraId="6E9A3ED8" w14:textId="1CA407C6" w:rsidR="00F34E3F" w:rsidRPr="00795F17" w:rsidRDefault="00F34E3F" w:rsidP="0044393D">
      <w:pPr>
        <w:pStyle w:val="rdo"/>
      </w:pPr>
      <w:r w:rsidRPr="00795F17">
        <w:t xml:space="preserve">Źródło: </w:t>
      </w:r>
      <w:r w:rsidR="00FD7248" w:rsidRPr="00795F17">
        <w:t>opracowanie własne</w:t>
      </w:r>
    </w:p>
    <w:p w14:paraId="3D924421" w14:textId="4EC09238" w:rsidR="00B873AD" w:rsidRPr="00BB4C20" w:rsidRDefault="00BB4C20" w:rsidP="00BB4C20">
      <w:pPr>
        <w:pStyle w:val="rdo"/>
        <w:jc w:val="left"/>
        <w:rPr>
          <w:rFonts w:ascii="Calibri" w:hAnsi="Calibri" w:cs="Times New Roman"/>
          <w:i w:val="0"/>
          <w:iCs w:val="0"/>
          <w:color w:val="auto"/>
          <w:sz w:val="22"/>
          <w:szCs w:val="22"/>
          <w:lang w:eastAsia="zh-TW"/>
        </w:rPr>
      </w:pPr>
      <w:r w:rsidRPr="00BB4C20">
        <w:rPr>
          <w:rFonts w:ascii="Calibri" w:hAnsi="Calibri" w:cs="Times New Roman"/>
          <w:i w:val="0"/>
          <w:iCs w:val="0"/>
          <w:color w:val="auto"/>
          <w:sz w:val="22"/>
          <w:szCs w:val="22"/>
          <w:lang w:eastAsia="zh-TW"/>
        </w:rPr>
        <w:t xml:space="preserve">Informacje dotyczące celów środowiskowych ustalonych dla każdej jcw </w:t>
      </w:r>
      <w:r w:rsidR="009978F4">
        <w:rPr>
          <w:rFonts w:ascii="Calibri" w:hAnsi="Calibri" w:cs="Times New Roman"/>
          <w:i w:val="0"/>
          <w:iCs w:val="0"/>
          <w:color w:val="auto"/>
          <w:sz w:val="22"/>
          <w:szCs w:val="22"/>
          <w:lang w:eastAsia="zh-TW"/>
        </w:rPr>
        <w:t xml:space="preserve">zaprezentowane są w załączniku nr </w:t>
      </w:r>
      <w:r w:rsidR="007A06A3">
        <w:rPr>
          <w:rFonts w:ascii="Calibri" w:hAnsi="Calibri" w:cs="Times New Roman"/>
          <w:i w:val="0"/>
          <w:iCs w:val="0"/>
          <w:color w:val="auto"/>
          <w:sz w:val="22"/>
          <w:szCs w:val="22"/>
          <w:lang w:eastAsia="zh-TW"/>
        </w:rPr>
        <w:t>6</w:t>
      </w:r>
      <w:r w:rsidR="00464A44">
        <w:rPr>
          <w:rFonts w:ascii="Calibri" w:hAnsi="Calibri" w:cs="Times New Roman"/>
          <w:i w:val="0"/>
          <w:iCs w:val="0"/>
          <w:color w:val="auto"/>
          <w:sz w:val="22"/>
          <w:szCs w:val="22"/>
          <w:lang w:eastAsia="zh-TW"/>
        </w:rPr>
        <w:t xml:space="preserve"> oraz </w:t>
      </w:r>
      <w:r w:rsidRPr="00BB4C20">
        <w:rPr>
          <w:rFonts w:ascii="Calibri" w:hAnsi="Calibri" w:cs="Times New Roman"/>
          <w:i w:val="0"/>
          <w:iCs w:val="0"/>
          <w:color w:val="auto"/>
          <w:sz w:val="22"/>
          <w:szCs w:val="22"/>
          <w:lang w:eastAsia="zh-TW"/>
        </w:rPr>
        <w:t>stanowią element załącznika nr 1 (Zestawienie</w:t>
      </w:r>
      <w:r w:rsidRPr="00795F17">
        <w:t xml:space="preserve"> </w:t>
      </w:r>
      <w:r w:rsidRPr="00BB4C20">
        <w:rPr>
          <w:rFonts w:ascii="Calibri" w:hAnsi="Calibri" w:cs="Times New Roman"/>
          <w:i w:val="0"/>
          <w:iCs w:val="0"/>
          <w:color w:val="auto"/>
          <w:sz w:val="22"/>
          <w:szCs w:val="22"/>
          <w:lang w:eastAsia="zh-TW"/>
        </w:rPr>
        <w:t>główne).</w:t>
      </w:r>
    </w:p>
    <w:p w14:paraId="064D6D18" w14:textId="7E455417" w:rsidR="00A230D1" w:rsidRPr="00795F17" w:rsidRDefault="00A230D1" w:rsidP="00C53C86">
      <w:pPr>
        <w:pStyle w:val="Nagwek3"/>
      </w:pPr>
      <w:bookmarkStart w:id="388" w:name="_Toc105512654"/>
      <w:r w:rsidRPr="00795F17">
        <w:t>Sposób określenia wartości granicznych dla stanu ekologicznego</w:t>
      </w:r>
      <w:bookmarkEnd w:id="388"/>
    </w:p>
    <w:p w14:paraId="53F47692" w14:textId="0179347D" w:rsidR="00A230D1" w:rsidRPr="00795F17" w:rsidRDefault="00A230D1" w:rsidP="0044393D">
      <w:r w:rsidRPr="00795F17">
        <w:t xml:space="preserve">Wartości graniczne dla stanu ekologicznego określone są </w:t>
      </w:r>
      <w:r w:rsidR="00260551" w:rsidRPr="00795F17">
        <w:t xml:space="preserve">w </w:t>
      </w:r>
      <w:r w:rsidR="00DF005E">
        <w:t>r.kl.jcwp</w:t>
      </w:r>
      <w:r w:rsidRPr="00795F17">
        <w:t xml:space="preserve">. Dokonana w okresie poprzedniego cyklu planistycznego weryfikacja metod </w:t>
      </w:r>
      <w:r w:rsidR="00C12087">
        <w:t>klasyfikacji stanu ekologicznego</w:t>
      </w:r>
      <w:r w:rsidRPr="00795F17">
        <w:t xml:space="preserve"> </w:t>
      </w:r>
      <w:r w:rsidR="00DF005E">
        <w:t>JCWP</w:t>
      </w:r>
      <w:r w:rsidRPr="00795F17">
        <w:t xml:space="preserve"> wyznaczonych jako naturalne części wód oraz wartości granicznych dla klas stanu ekologicznego została wprowadzona w dwóch etapach </w:t>
      </w:r>
      <w:r w:rsidR="008E1B58">
        <w:t>–</w:t>
      </w:r>
      <w:r w:rsidRPr="00795F17">
        <w:t xml:space="preserve"> część weszła w życie wraz z ogłoszeniem </w:t>
      </w:r>
      <w:r w:rsidR="00DF005E">
        <w:t>r.kl.jcwp</w:t>
      </w:r>
      <w:r w:rsidRPr="00795F17">
        <w:t>, natomiast kolejne zmiany weszły w życie z dniem 1 stycznia 2022 r. i będą obowiązywały w IV cyklu planistycznym. Zmiany te obejmują zarówno zakres elementów biologicznych ocenianych w poszczególnych kategoriach i</w:t>
      </w:r>
      <w:r w:rsidR="002D3407" w:rsidRPr="00795F17">
        <w:t> </w:t>
      </w:r>
      <w:r w:rsidRPr="00795F17">
        <w:t>typach wód, jak i przedziały granic klas dla</w:t>
      </w:r>
      <w:r w:rsidR="00E10751" w:rsidRPr="00795F17">
        <w:t xml:space="preserve"> </w:t>
      </w:r>
      <w:r w:rsidRPr="00795F17">
        <w:t>stanu ekologicznego poszczególnych elementów biologicznych. Zmianie uległa także liczba ocenianych elementów fizykochemicznych oraz granice klas.</w:t>
      </w:r>
    </w:p>
    <w:p w14:paraId="6475B067" w14:textId="4C41A46E" w:rsidR="00A230D1" w:rsidRPr="00795F17" w:rsidRDefault="00A230D1" w:rsidP="00792322">
      <w:r w:rsidRPr="00795F17">
        <w:t xml:space="preserve">Cele środowiskowe naturalnych </w:t>
      </w:r>
      <w:r w:rsidR="00DF005E">
        <w:t>JCWP</w:t>
      </w:r>
      <w:r w:rsidRPr="00795F17">
        <w:t xml:space="preserve"> dla wspierających elementów fizykochemicznych określono zgodnie z załącznikiem nr 7 i nr 8 </w:t>
      </w:r>
      <w:r w:rsidR="00DF005E">
        <w:t>r.kl.jcwp</w:t>
      </w:r>
      <w:r w:rsidRPr="00795F17">
        <w:t xml:space="preserve">, za wyjątkiem TW i CW których dotyczy załącznik nr 9 i nr 10 </w:t>
      </w:r>
      <w:r w:rsidR="00DF005E">
        <w:t>r.kl.jcwp</w:t>
      </w:r>
      <w:r w:rsidRPr="00795F17">
        <w:t>.</w:t>
      </w:r>
    </w:p>
    <w:p w14:paraId="11FD58CE" w14:textId="02CCBB1A" w:rsidR="00A230D1" w:rsidRPr="00795F17" w:rsidRDefault="00A230D1" w:rsidP="00792322">
      <w:r w:rsidRPr="00795F17">
        <w:t xml:space="preserve">W przypadku specyficznych substancji syntetycznych i niesyntetycznych cele środowiskowe zostały przyjęte zgodnie z załącznikiem nr 11 </w:t>
      </w:r>
      <w:r w:rsidR="00DF005E">
        <w:t>r.kl.jcwp</w:t>
      </w:r>
      <w:r w:rsidRPr="00795F17">
        <w:t>.</w:t>
      </w:r>
    </w:p>
    <w:p w14:paraId="3F449434" w14:textId="2EDB3EC1" w:rsidR="00A230D1" w:rsidRPr="00795F17" w:rsidRDefault="00A230D1" w:rsidP="0044393D">
      <w:r w:rsidRPr="00795F17">
        <w:t xml:space="preserve">W zakresie celów środowiskowych </w:t>
      </w:r>
      <w:r w:rsidRPr="00795F17">
        <w:rPr>
          <w:bCs/>
        </w:rPr>
        <w:t>dla TW i CW</w:t>
      </w:r>
      <w:r w:rsidRPr="00795F17">
        <w:t xml:space="preserve"> zmiany wiązały się z</w:t>
      </w:r>
      <w:r w:rsidR="00F34E3F" w:rsidRPr="00795F17">
        <w:t xml:space="preserve"> </w:t>
      </w:r>
      <w:r w:rsidRPr="00795F17">
        <w:t>aktualizacją granic i</w:t>
      </w:r>
      <w:r w:rsidR="00742B98" w:rsidRPr="00795F17">
        <w:t xml:space="preserve"> </w:t>
      </w:r>
      <w:r w:rsidRPr="00795F17">
        <w:t xml:space="preserve">koniecznością przeniesienia (agregacji) wyników monitoringu. </w:t>
      </w:r>
    </w:p>
    <w:p w14:paraId="44F65FAA" w14:textId="4A099F69" w:rsidR="00A230D1" w:rsidRPr="00795F17" w:rsidRDefault="00A230D1" w:rsidP="00C53C86">
      <w:pPr>
        <w:pStyle w:val="Nagwek3"/>
      </w:pPr>
      <w:bookmarkStart w:id="389" w:name="_Toc105512655"/>
      <w:r w:rsidRPr="00795F17">
        <w:t>Sposób określenia wartości granicznych dla potencjału ekologicznego</w:t>
      </w:r>
      <w:bookmarkEnd w:id="389"/>
    </w:p>
    <w:p w14:paraId="3AC0CF41" w14:textId="398AB258" w:rsidR="00A230D1" w:rsidRPr="00795F17" w:rsidRDefault="00A230D1" w:rsidP="0044393D">
      <w:r w:rsidRPr="00795F17">
        <w:t xml:space="preserve">Zgodnie z </w:t>
      </w:r>
      <w:r w:rsidR="00DF005E">
        <w:t>r.kl.jcwp</w:t>
      </w:r>
      <w:r w:rsidRPr="00795F17">
        <w:t xml:space="preserve"> od 1 stycznia 2022</w:t>
      </w:r>
      <w:r w:rsidR="00F66B5F" w:rsidRPr="00795F17">
        <w:t> </w:t>
      </w:r>
      <w:r w:rsidRPr="00795F17">
        <w:t xml:space="preserve">r. </w:t>
      </w:r>
      <w:r w:rsidRPr="00795F17" w:rsidDel="00214E69">
        <w:t>obowiązują</w:t>
      </w:r>
      <w:r w:rsidRPr="00795F17">
        <w:t xml:space="preserve"> nowe zasady wyznaczania przedziałów granic potencjału ekologicznego. Zgodnie z</w:t>
      </w:r>
      <w:r w:rsidRPr="00795F17" w:rsidDel="004C11B8">
        <w:t xml:space="preserve"> </w:t>
      </w:r>
      <w:r w:rsidR="00DC45FA" w:rsidRPr="00795F17">
        <w:t>załącznik</w:t>
      </w:r>
      <w:r w:rsidR="00DC45FA">
        <w:t>ami</w:t>
      </w:r>
      <w:r w:rsidRPr="00795F17" w:rsidDel="00827871">
        <w:t xml:space="preserve"> </w:t>
      </w:r>
      <w:r w:rsidRPr="00795F17">
        <w:t xml:space="preserve">do </w:t>
      </w:r>
      <w:r w:rsidR="00DF005E">
        <w:t>r.kl.jcwp</w:t>
      </w:r>
      <w:r w:rsidRPr="00795F17">
        <w:t xml:space="preserve"> wartości graniczne dla klas jakości wód powierzchniowych wskaźników jakości wód powierzchniowych, będące podstawą klasyfikacji potencjału ekologicznego </w:t>
      </w:r>
      <w:r w:rsidR="00DF005E">
        <w:t>JCWP</w:t>
      </w:r>
      <w:r w:rsidRPr="00795F17">
        <w:t>, odnoszące się do</w:t>
      </w:r>
      <w:r w:rsidR="00F66B5F" w:rsidRPr="00795F17">
        <w:t xml:space="preserve"> </w:t>
      </w:r>
      <w:r w:rsidR="00DF005E">
        <w:t>JCWP</w:t>
      </w:r>
      <w:r w:rsidRPr="00795F17">
        <w:t xml:space="preserve"> w ciekach naturalnych, kanałach lub zbiornikach zaporowych </w:t>
      </w:r>
      <w:r w:rsidR="00EB4959">
        <w:t>(załączni</w:t>
      </w:r>
      <w:r w:rsidR="00BD357F">
        <w:t xml:space="preserve">k nr 7 do </w:t>
      </w:r>
      <w:r w:rsidR="00DF005E">
        <w:t>r.kl.jcwp</w:t>
      </w:r>
      <w:r w:rsidR="00BD357F">
        <w:t xml:space="preserve">) oraz odnoszące się do jednolitych części wód powierzchniowych, takich jak jezioro lub inny zbiornik wodny (załącznik nr 8 do </w:t>
      </w:r>
      <w:r w:rsidR="00DF005E">
        <w:t>r.kl.jcwp</w:t>
      </w:r>
      <w:r w:rsidR="00BD357F">
        <w:t>)</w:t>
      </w:r>
      <w:r w:rsidR="009B54D3">
        <w:t xml:space="preserve"> </w:t>
      </w:r>
      <w:r w:rsidRPr="00795F17">
        <w:t xml:space="preserve">wyznaczonych jako sztuczne bądź silnie zmienione </w:t>
      </w:r>
      <w:r w:rsidR="00DF005E">
        <w:t>JCWP</w:t>
      </w:r>
      <w:r w:rsidRPr="00795F17">
        <w:t xml:space="preserve">, o których mowa w ust. 1 </w:t>
      </w:r>
      <w:r w:rsidR="00DF005E">
        <w:t>r.kl.jcwp</w:t>
      </w:r>
      <w:r w:rsidRPr="00795F17">
        <w:t>, określa się w</w:t>
      </w:r>
      <w:r w:rsidR="00F66B5F" w:rsidRPr="00795F17">
        <w:t xml:space="preserve"> </w:t>
      </w:r>
      <w:r w:rsidRPr="00795F17">
        <w:t>ramach planu gospodarowania wodami na obszarze dorzecza lub jego aktualizacji, w</w:t>
      </w:r>
      <w:r w:rsidR="00F66B5F" w:rsidRPr="00795F17">
        <w:t xml:space="preserve"> </w:t>
      </w:r>
      <w:r w:rsidRPr="00795F17">
        <w:t xml:space="preserve">rozporządzeniu, o którym mowa w art. 321 pr.w. </w:t>
      </w:r>
      <w:r w:rsidR="00F66B5F" w:rsidRPr="00795F17">
        <w:t>W</w:t>
      </w:r>
      <w:r w:rsidRPr="00795F17">
        <w:t xml:space="preserve">artości graniczne wskazane są w załączniku nr </w:t>
      </w:r>
      <w:r w:rsidR="00AE27DD">
        <w:t>4</w:t>
      </w:r>
      <w:r w:rsidRPr="00795F17">
        <w:t xml:space="preserve"> IIaPGW</w:t>
      </w:r>
      <w:r w:rsidR="00F66B5F" w:rsidRPr="00795F17">
        <w:t xml:space="preserve"> (Wartości graniczne SCW i SZCW)</w:t>
      </w:r>
      <w:r w:rsidRPr="00795F17">
        <w:t>.</w:t>
      </w:r>
    </w:p>
    <w:p w14:paraId="11DBC9EE" w14:textId="2B7BECC3" w:rsidR="00A230D1" w:rsidRPr="00795F17" w:rsidRDefault="00A230D1" w:rsidP="0044393D">
      <w:r w:rsidRPr="00795F17">
        <w:t xml:space="preserve">W przypadku ustalenia celów środowiskowych dla SZCW i SCW uwzględniono zaktualizowane statusy </w:t>
      </w:r>
      <w:r w:rsidR="00DF005E">
        <w:t>JCWP</w:t>
      </w:r>
      <w:r w:rsidRPr="00795F17">
        <w:t>. W odniesieniu do potencjału ekologicznego dla rzek wprowadzono odrębne od stanu ekologicznego wartości graniczne, które wyznacza się indywidualnie dla każdej SZCW lub SCW w</w:t>
      </w:r>
      <w:r w:rsidR="002A71D9" w:rsidRPr="00795F17">
        <w:t> </w:t>
      </w:r>
      <w:r w:rsidRPr="00795F17">
        <w:t>zależności od stopnia jej przekształcenia. Dla jezior wprowadzono sumy wskaźników oceny stanu morfologicznego oraz wybranych wskaźników biologicznych (makrofity, ichtiofauna) dla stanu lub</w:t>
      </w:r>
      <w:r w:rsidR="00F63E7B">
        <w:t> </w:t>
      </w:r>
      <w:r w:rsidRPr="00795F17">
        <w:t>potencjału ekologicznego, stanowiących dolne granice dla wyznaczenia części wód jako naturalnej.</w:t>
      </w:r>
    </w:p>
    <w:p w14:paraId="37DE76B8" w14:textId="77777777" w:rsidR="00A230D1" w:rsidRPr="00795F17" w:rsidRDefault="00A230D1" w:rsidP="0044393D">
      <w:r w:rsidRPr="00795F17">
        <w:t>Przyjętymi założeniami metodycznymi dla wyznaczenia potencjału ekologicznego dla SZCW i SCW rzek, jezior i zbiorników zaporowych były:</w:t>
      </w:r>
    </w:p>
    <w:p w14:paraId="6C7D40B7" w14:textId="0CB7B268" w:rsidR="00A230D1" w:rsidRPr="00795F17" w:rsidRDefault="00F66B5F" w:rsidP="002757E9">
      <w:pPr>
        <w:pStyle w:val="Numerowanie"/>
        <w:numPr>
          <w:ilvl w:val="0"/>
          <w:numId w:val="64"/>
        </w:numPr>
      </w:pPr>
      <w:r w:rsidRPr="00795F17">
        <w:t>W</w:t>
      </w:r>
      <w:r w:rsidR="00A230D1" w:rsidRPr="00795F17">
        <w:t xml:space="preserve">ybór odpowiednich elementów biologicznych do </w:t>
      </w:r>
      <w:r w:rsidR="00C12087">
        <w:t>klasyfikacji potencjału ekologicznego</w:t>
      </w:r>
      <w:r w:rsidR="00A230D1" w:rsidRPr="00795F17">
        <w:t xml:space="preserve"> </w:t>
      </w:r>
      <w:r w:rsidR="008E1B58">
        <w:t>–</w:t>
      </w:r>
      <w:r w:rsidR="00A230D1" w:rsidRPr="00795F17">
        <w:t xml:space="preserve"> przyjęto zestaw elementów wykorzystywanych w ocenie najbliższej porównywalnej kategorii wód naturalnych:</w:t>
      </w:r>
    </w:p>
    <w:p w14:paraId="1C289E73" w14:textId="757DB025" w:rsidR="00A230D1" w:rsidRPr="00795F17" w:rsidRDefault="00A230D1" w:rsidP="00117E86">
      <w:pPr>
        <w:pStyle w:val="Listapunktowana2"/>
      </w:pPr>
      <w:r w:rsidRPr="00795F17">
        <w:t xml:space="preserve">dla SZCW rzeki czy SCW kanału </w:t>
      </w:r>
      <w:r w:rsidR="008E1B58">
        <w:t>–</w:t>
      </w:r>
      <w:r w:rsidRPr="00795F17">
        <w:t xml:space="preserve"> rzeka;</w:t>
      </w:r>
    </w:p>
    <w:p w14:paraId="5D535FE4" w14:textId="71DB6BE8" w:rsidR="00A230D1" w:rsidRPr="00795F17" w:rsidRDefault="00A230D1" w:rsidP="00117E86">
      <w:pPr>
        <w:pStyle w:val="Listapunktowana2"/>
      </w:pPr>
      <w:r w:rsidRPr="00795F17">
        <w:t xml:space="preserve">dla SZCW jeziora </w:t>
      </w:r>
      <w:r w:rsidR="008E1B58">
        <w:t>–</w:t>
      </w:r>
      <w:r w:rsidRPr="00795F17">
        <w:t xml:space="preserve"> jezioro;</w:t>
      </w:r>
    </w:p>
    <w:p w14:paraId="62929DEB" w14:textId="09C795DA" w:rsidR="00A230D1" w:rsidRPr="00795F17" w:rsidRDefault="00A230D1" w:rsidP="00117E86">
      <w:pPr>
        <w:pStyle w:val="Listapunktowana2"/>
      </w:pPr>
      <w:r w:rsidRPr="00795F17">
        <w:t xml:space="preserve">dla SZCW zbiornika zaporowego reolimnicznego lub przejściowego </w:t>
      </w:r>
      <w:r w:rsidR="008E1B58">
        <w:t>–</w:t>
      </w:r>
      <w:r w:rsidRPr="00795F17">
        <w:t xml:space="preserve"> rzeka;</w:t>
      </w:r>
    </w:p>
    <w:p w14:paraId="2DC13662" w14:textId="48CC7555" w:rsidR="00A230D1" w:rsidRPr="00795F17" w:rsidRDefault="00A230D1" w:rsidP="00117E86">
      <w:pPr>
        <w:pStyle w:val="Listapunktowana2"/>
      </w:pPr>
      <w:r w:rsidRPr="00795F17">
        <w:t xml:space="preserve">dla SZCW zbiornika limnicznego </w:t>
      </w:r>
      <w:r w:rsidR="008E1B58">
        <w:t>–</w:t>
      </w:r>
      <w:r w:rsidRPr="00795F17">
        <w:t xml:space="preserve"> jezioro.</w:t>
      </w:r>
    </w:p>
    <w:p w14:paraId="68502AA9" w14:textId="524EDEB5" w:rsidR="00A230D1" w:rsidRPr="00795F17" w:rsidRDefault="00F66B5F" w:rsidP="0044393D">
      <w:pPr>
        <w:pStyle w:val="Numerowanie"/>
      </w:pPr>
      <w:r w:rsidRPr="00795F17">
        <w:t>J</w:t>
      </w:r>
      <w:r w:rsidR="00A230D1" w:rsidRPr="00795F17">
        <w:t>ako dolną wartość graniczną maksymalnego potencjału ekologicznego przyjęcie dolnej granicy dobrego stanu ekologicznego dla danego typu abiotycznego rzek, zakładając, że w praktyce odpowiada to stanowi</w:t>
      </w:r>
      <w:r w:rsidR="00804069" w:rsidRPr="00795F17">
        <w:t xml:space="preserve"> ekologicznemu</w:t>
      </w:r>
      <w:r w:rsidRPr="00795F17">
        <w:t>,</w:t>
      </w:r>
      <w:r w:rsidR="00A230D1" w:rsidRPr="00795F17">
        <w:t xml:space="preserve"> jaki można osiągnąć stosując wszystkie uzasadnione działania restytucyjne.</w:t>
      </w:r>
    </w:p>
    <w:p w14:paraId="66818629" w14:textId="742597DA" w:rsidR="00A230D1" w:rsidRPr="00795F17" w:rsidRDefault="00F66B5F" w:rsidP="0044393D">
      <w:pPr>
        <w:pStyle w:val="Numerowanie"/>
      </w:pPr>
      <w:r w:rsidRPr="00795F17">
        <w:t>W</w:t>
      </w:r>
      <w:r w:rsidR="00A230D1" w:rsidRPr="00795F17">
        <w:t>artości graniczne dla dobrego potencjału ekologicznego mieszczą się w przedziale klasy umiarkowanego stanu ekologicznego, a ich odchylenie od górnej granicy stanu umiarkowanego jest proporcjonalne do stopnia przekształcenia danej SZCW lub SCW w stosunku do wartości HIR i</w:t>
      </w:r>
      <w:r w:rsidR="00124725" w:rsidRPr="00795F17">
        <w:t> </w:t>
      </w:r>
      <w:r w:rsidR="00A230D1" w:rsidRPr="00795F17">
        <w:t>wskaźników oceny stanu morfologicznego jezior (Grupy A-E lub A-F) przyjętych jako dolne granice dla wyznaczenia części wód jako naturalnej.</w:t>
      </w:r>
    </w:p>
    <w:p w14:paraId="1204BAE6" w14:textId="66BE0D00" w:rsidR="00A230D1" w:rsidRPr="00795F17" w:rsidRDefault="00F66B5F" w:rsidP="0044393D">
      <w:pPr>
        <w:pStyle w:val="Numerowanie"/>
      </w:pPr>
      <w:r w:rsidRPr="00795F17">
        <w:t>O</w:t>
      </w:r>
      <w:r w:rsidR="00A230D1" w:rsidRPr="00795F17">
        <w:t>kreślenie potencjału ekologicznego w zakresie elementów hydromorfologicznych dla SZCW i</w:t>
      </w:r>
      <w:r w:rsidR="00260551" w:rsidRPr="00795F17">
        <w:t> </w:t>
      </w:r>
      <w:r w:rsidR="00A230D1" w:rsidRPr="00795F17">
        <w:t xml:space="preserve">SCW rzek </w:t>
      </w:r>
      <w:r w:rsidR="00442820">
        <w:t>według</w:t>
      </w:r>
      <w:r w:rsidR="00A230D1" w:rsidRPr="00795F17">
        <w:t xml:space="preserve"> wzoru:</w:t>
      </w:r>
    </w:p>
    <w:p w14:paraId="5A82C186" w14:textId="77777777" w:rsidR="00A230D1" w:rsidRPr="00795F17" w:rsidRDefault="009C595A" w:rsidP="0044393D">
      <w:pPr>
        <w:rPr>
          <w:rFonts w:asciiTheme="minorHAnsi" w:hAnsiTheme="minorHAnsi"/>
        </w:rPr>
      </w:pPr>
      <m:oMathPara>
        <m:oMath>
          <m:sSub>
            <m:sSubPr>
              <m:ctrlPr>
                <w:rPr>
                  <w:rFonts w:ascii="Cambria Math" w:hAnsi="Cambria Math"/>
                  <w:i/>
                </w:rPr>
              </m:ctrlPr>
            </m:sSubPr>
            <m:e>
              <m:r>
                <m:rPr>
                  <m:sty m:val="p"/>
                </m:rPr>
                <w:rPr>
                  <w:rFonts w:ascii="Cambria Math" w:hAnsi="Cambria Math"/>
                </w:rPr>
                <m:t>DPE</m:t>
              </m:r>
            </m:e>
            <m:sub>
              <m:r>
                <m:rPr>
                  <m:sty m:val="p"/>
                </m:rPr>
                <w:rPr>
                  <w:rFonts w:ascii="Cambria Math" w:hAnsi="Cambria Math"/>
                </w:rPr>
                <m:t>d</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1-</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HIR</m:t>
                          </m:r>
                        </m:e>
                        <m:sub>
                          <m:r>
                            <m:rPr>
                              <m:sty m:val="p"/>
                            </m:rPr>
                            <w:rPr>
                              <w:rFonts w:ascii="Cambria Math" w:hAnsi="Cambria Math"/>
                            </w:rPr>
                            <m:t>max</m:t>
                          </m:r>
                        </m:sub>
                      </m:sSub>
                    </m:num>
                    <m:den>
                      <m:sSub>
                        <m:sSubPr>
                          <m:ctrlPr>
                            <w:rPr>
                              <w:rFonts w:ascii="Cambria Math" w:hAnsi="Cambria Math"/>
                              <w:i/>
                            </w:rPr>
                          </m:ctrlPr>
                        </m:sSubPr>
                        <m:e>
                          <m:r>
                            <m:rPr>
                              <m:sty m:val="p"/>
                            </m:rPr>
                            <w:rPr>
                              <w:rFonts w:ascii="Cambria Math" w:hAnsi="Cambria Math"/>
                            </w:rPr>
                            <m:t>HIR</m:t>
                          </m:r>
                        </m:e>
                        <m:sub>
                          <m:r>
                            <m:rPr>
                              <m:sty m:val="p"/>
                            </m:rPr>
                            <w:rPr>
                              <w:rFonts w:ascii="Cambria Math" w:hAnsi="Cambria Math"/>
                            </w:rPr>
                            <m:t>0,60</m:t>
                          </m:r>
                        </m:sub>
                      </m:sSub>
                    </m:den>
                  </m:f>
                </m:e>
              </m:d>
              <m:r>
                <m:rPr>
                  <m:sty m:val="p"/>
                </m:rPr>
                <w:rPr>
                  <w:rFonts w:ascii="Cambria Math" w:hAnsi="Cambria Math"/>
                </w:rPr>
                <m:t>∙</m:t>
              </m:r>
              <m:d>
                <m:dPr>
                  <m:ctrlPr>
                    <w:rPr>
                      <w:rFonts w:ascii="Cambria Math" w:hAnsi="Cambria Math"/>
                      <w:i/>
                    </w:rPr>
                  </m:ctrlPr>
                </m:dPr>
                <m:e>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sSub>
                    <m:sSubPr>
                      <m:ctrlPr>
                        <w:rPr>
                          <w:rFonts w:ascii="Cambria Math" w:hAnsi="Cambria Math"/>
                          <w:i/>
                        </w:rPr>
                      </m:ctrlPr>
                    </m:sSubPr>
                    <m:e>
                      <m:r>
                        <m:rPr>
                          <m:sty m:val="p"/>
                        </m:rPr>
                        <w:rPr>
                          <w:rFonts w:ascii="Cambria Math" w:hAnsi="Cambria Math"/>
                        </w:rPr>
                        <m:t>USE</m:t>
                      </m:r>
                    </m:e>
                    <m:sub>
                      <m:r>
                        <m:rPr>
                          <m:sty m:val="p"/>
                        </m:rPr>
                        <w:rPr>
                          <w:rFonts w:ascii="Cambria Math" w:hAnsi="Cambria Math"/>
                        </w:rPr>
                        <m:t>d</m:t>
                      </m:r>
                    </m:sub>
                  </m:sSub>
                </m:e>
              </m:d>
            </m:e>
          </m:d>
        </m:oMath>
      </m:oMathPara>
    </w:p>
    <w:p w14:paraId="654725D1" w14:textId="77777777" w:rsidR="00A230D1" w:rsidRPr="00795F17" w:rsidRDefault="00A230D1" w:rsidP="009235C0">
      <w:pPr>
        <w:ind w:left="357"/>
      </w:pPr>
      <w:r w:rsidRPr="00795F17">
        <w:t xml:space="preserve">gdzie: </w:t>
      </w:r>
    </w:p>
    <w:p w14:paraId="7582B198" w14:textId="2405B203" w:rsidR="00A230D1" w:rsidRPr="00795F17" w:rsidRDefault="00A230D1" w:rsidP="009235C0">
      <w:pPr>
        <w:ind w:left="357"/>
      </w:pPr>
      <w:r w:rsidRPr="00795F17">
        <w:t>DPE</w:t>
      </w:r>
      <w:r w:rsidRPr="00795F17">
        <w:rPr>
          <w:vertAlign w:val="subscript"/>
        </w:rPr>
        <w:t>d</w:t>
      </w:r>
      <w:r w:rsidRPr="00795F17">
        <w:t xml:space="preserve"> </w:t>
      </w:r>
      <w:r w:rsidR="008E1B58">
        <w:t>–</w:t>
      </w:r>
      <w:r w:rsidRPr="00795F17">
        <w:t xml:space="preserve"> dolna granica dobrego potencjału ekologicznego</w:t>
      </w:r>
    </w:p>
    <w:p w14:paraId="31E3F8EC" w14:textId="2F72A533" w:rsidR="00A230D1" w:rsidRPr="00795F17" w:rsidRDefault="00A230D1" w:rsidP="009235C0">
      <w:pPr>
        <w:ind w:left="357"/>
      </w:pPr>
      <w:r w:rsidRPr="00795F17">
        <w:t>DSE</w:t>
      </w:r>
      <w:r w:rsidRPr="00795F17">
        <w:rPr>
          <w:vertAlign w:val="subscript"/>
        </w:rPr>
        <w:t>d</w:t>
      </w:r>
      <w:r w:rsidRPr="00795F17">
        <w:t xml:space="preserve"> </w:t>
      </w:r>
      <w:r w:rsidR="008E1B58">
        <w:t>–</w:t>
      </w:r>
      <w:r w:rsidRPr="00795F17">
        <w:t xml:space="preserve"> dolna granica </w:t>
      </w:r>
      <w:r w:rsidRPr="00E45883">
        <w:t>do</w:t>
      </w:r>
      <w:r w:rsidR="00E75D7D">
        <w:t>bre</w:t>
      </w:r>
      <w:r w:rsidRPr="00560155">
        <w:t>go</w:t>
      </w:r>
      <w:r w:rsidRPr="00795F17">
        <w:t xml:space="preserve"> stanu ekologicznego</w:t>
      </w:r>
    </w:p>
    <w:p w14:paraId="11D1545F" w14:textId="5C386626" w:rsidR="00A230D1" w:rsidRPr="00795F17" w:rsidRDefault="00A230D1" w:rsidP="009235C0">
      <w:pPr>
        <w:ind w:left="357"/>
      </w:pPr>
      <w:r w:rsidRPr="00795F17">
        <w:t>USE</w:t>
      </w:r>
      <w:r w:rsidRPr="00795F17">
        <w:rPr>
          <w:vertAlign w:val="subscript"/>
        </w:rPr>
        <w:t>d</w:t>
      </w:r>
      <w:r w:rsidRPr="00795F17">
        <w:t xml:space="preserve"> </w:t>
      </w:r>
      <w:r w:rsidR="008E1B58">
        <w:t>–</w:t>
      </w:r>
      <w:r w:rsidRPr="00795F17">
        <w:t xml:space="preserve"> dolna granica umiarkowanego stanu ekologicznego</w:t>
      </w:r>
    </w:p>
    <w:p w14:paraId="269E83CD" w14:textId="6DA69AC0" w:rsidR="00A230D1" w:rsidRPr="00795F17" w:rsidRDefault="00A230D1" w:rsidP="009235C0">
      <w:pPr>
        <w:ind w:left="357"/>
      </w:pPr>
      <w:r w:rsidRPr="00795F17">
        <w:t>HIR</w:t>
      </w:r>
      <w:r w:rsidRPr="00795F17">
        <w:rPr>
          <w:vertAlign w:val="subscript"/>
        </w:rPr>
        <w:t>0,60</w:t>
      </w:r>
      <w:r w:rsidRPr="00795F17">
        <w:t xml:space="preserve"> </w:t>
      </w:r>
      <w:r w:rsidR="008E1B58">
        <w:t>–</w:t>
      </w:r>
      <w:r w:rsidRPr="00795F17">
        <w:t xml:space="preserve"> wartość wskaźnika HIR=0,60 (podstawa do wyznaczenia </w:t>
      </w:r>
      <w:r w:rsidR="00DF005E">
        <w:t>JCWP</w:t>
      </w:r>
      <w:r w:rsidRPr="00795F17">
        <w:t xml:space="preserve"> jako NAT)</w:t>
      </w:r>
    </w:p>
    <w:p w14:paraId="2A33074C" w14:textId="59A98320" w:rsidR="00A230D1" w:rsidRPr="00795F17" w:rsidRDefault="00A230D1" w:rsidP="009235C0">
      <w:pPr>
        <w:ind w:left="357"/>
      </w:pPr>
      <w:r w:rsidRPr="00795F17">
        <w:t>HIR</w:t>
      </w:r>
      <w:r w:rsidRPr="00795F17">
        <w:rPr>
          <w:vertAlign w:val="subscript"/>
        </w:rPr>
        <w:t>max</w:t>
      </w:r>
      <w:r w:rsidR="008E1B58">
        <w:rPr>
          <w:vertAlign w:val="subscript"/>
        </w:rPr>
        <w:t xml:space="preserve"> </w:t>
      </w:r>
      <w:r w:rsidR="008E1B58">
        <w:t>–</w:t>
      </w:r>
      <w:r w:rsidRPr="00795F17">
        <w:t xml:space="preserve"> maksymalna wartość wskaźnika HIR po restytucji i teście alternatyw dla danej SZCW/SCW</w:t>
      </w:r>
    </w:p>
    <w:p w14:paraId="4B4B9F8D" w14:textId="77777777" w:rsidR="00232906" w:rsidRDefault="00232906" w:rsidP="00232906">
      <w:pPr>
        <w:ind w:left="426"/>
        <w:rPr>
          <w:rFonts w:cstheme="minorHAnsi"/>
          <w:iCs/>
        </w:rPr>
      </w:pPr>
      <w:bookmarkStart w:id="390" w:name="_Hlk90464537"/>
      <w:r>
        <w:rPr>
          <w:rFonts w:cstheme="minorHAnsi"/>
          <w:iCs/>
        </w:rPr>
        <w:t>Wyznaczone wartości graniczne podlegały dodatkowo korekcie eksperckiej:</w:t>
      </w:r>
    </w:p>
    <w:p w14:paraId="2F34B812" w14:textId="18E8B78F" w:rsidR="00232906" w:rsidRPr="00691B87" w:rsidRDefault="00232906" w:rsidP="00A31690">
      <w:pPr>
        <w:pStyle w:val="Akapitzlist"/>
        <w:numPr>
          <w:ilvl w:val="0"/>
          <w:numId w:val="131"/>
        </w:numPr>
        <w:spacing w:before="0" w:after="160" w:line="259" w:lineRule="auto"/>
        <w:ind w:left="851" w:hanging="425"/>
        <w:contextualSpacing/>
        <w:rPr>
          <w:rFonts w:eastAsia="Times New Roman"/>
          <w:iCs/>
          <w:color w:val="212121"/>
        </w:rPr>
      </w:pPr>
      <w:bookmarkStart w:id="391" w:name="_Hlk90455629"/>
      <w:r w:rsidRPr="00691B87">
        <w:rPr>
          <w:rFonts w:cstheme="minorHAnsi"/>
          <w:iCs/>
        </w:rPr>
        <w:t>redukcję granic klas dla wskaźnika oceny fitobentosu (IO) oraz fitoplanktonu (IFPL) wskazano tylko dla części SZCW i SCW rzek podlegających bardzo silnej presji lub jej określonym rodzajom. Dla ustalenia poziomu redukcji nie</w:t>
      </w:r>
      <w:r w:rsidRPr="00691B87">
        <w:rPr>
          <w:rFonts w:eastAsia="Times New Roman"/>
          <w:iCs/>
          <w:color w:val="000000"/>
        </w:rPr>
        <w:t xml:space="preserve"> zastosowano współczynnika 1- HIR</w:t>
      </w:r>
      <w:r w:rsidRPr="00691B87">
        <w:rPr>
          <w:rFonts w:eastAsia="Times New Roman"/>
          <w:iCs/>
          <w:color w:val="000000"/>
          <w:vertAlign w:val="subscript"/>
        </w:rPr>
        <w:t>max </w:t>
      </w:r>
      <w:r w:rsidRPr="00691B87">
        <w:rPr>
          <w:rFonts w:eastAsia="Times New Roman"/>
          <w:iCs/>
          <w:color w:val="000000"/>
        </w:rPr>
        <w:t>/HIR</w:t>
      </w:r>
      <w:r w:rsidRPr="00691B87">
        <w:rPr>
          <w:rFonts w:eastAsia="Times New Roman"/>
          <w:iCs/>
          <w:color w:val="000000"/>
          <w:vertAlign w:val="subscript"/>
        </w:rPr>
        <w:t>0,60</w:t>
      </w:r>
      <w:r w:rsidRPr="00691B87">
        <w:rPr>
          <w:rFonts w:eastAsia="Times New Roman"/>
          <w:iCs/>
          <w:color w:val="000000"/>
        </w:rPr>
        <w:t> danej SZCW lub SCW, lecz przyjęto 25% jego mediany obliczonej ze wszystkich SZCW i SCW. Dla SCW i SZCW dla których nie została przewidziana redukcja granic klas dla wskaźników IO oraz IFPL, wartości granic klas potencjału ekologicznego pozostają dla tych dwóch wskaźników biologicznych tożsame z wartościami granic stanu ekologicznego</w:t>
      </w:r>
      <w:r w:rsidR="00F344CE">
        <w:rPr>
          <w:rFonts w:eastAsia="Times New Roman"/>
          <w:iCs/>
          <w:color w:val="000000"/>
        </w:rPr>
        <w:t>,</w:t>
      </w:r>
    </w:p>
    <w:p w14:paraId="148647D5" w14:textId="7CCF1504" w:rsidR="00232906" w:rsidRPr="00691B87" w:rsidRDefault="00232906" w:rsidP="00A31690">
      <w:pPr>
        <w:pStyle w:val="Akapitzlist"/>
        <w:numPr>
          <w:ilvl w:val="0"/>
          <w:numId w:val="131"/>
        </w:numPr>
        <w:spacing w:before="0" w:after="160" w:line="259" w:lineRule="auto"/>
        <w:ind w:left="851" w:hanging="425"/>
        <w:contextualSpacing/>
        <w:rPr>
          <w:rFonts w:eastAsia="Times New Roman"/>
          <w:iCs/>
          <w:color w:val="212121"/>
        </w:rPr>
      </w:pPr>
      <w:r>
        <w:rPr>
          <w:rFonts w:eastAsia="Times New Roman"/>
          <w:iCs/>
          <w:color w:val="000000"/>
        </w:rPr>
        <w:t>w</w:t>
      </w:r>
      <w:r w:rsidRPr="00691B87">
        <w:rPr>
          <w:rFonts w:eastAsia="Times New Roman"/>
          <w:iCs/>
          <w:color w:val="000000"/>
        </w:rPr>
        <w:t xml:space="preserve"> przypadku niektórych SZCW zrezygnowano z indeksu D w ocenie potencjału ekologicznego ze względu na liczne przegrody (PPH2g ≥ 6) oraz na podstawie oceny eksperckiej</w:t>
      </w:r>
      <w:r w:rsidR="00F344CE">
        <w:rPr>
          <w:rFonts w:eastAsia="Times New Roman"/>
          <w:iCs/>
          <w:color w:val="000000"/>
        </w:rPr>
        <w:t>,</w:t>
      </w:r>
    </w:p>
    <w:p w14:paraId="7E7E802E" w14:textId="32D69768" w:rsidR="00232906" w:rsidRPr="00691B87" w:rsidRDefault="00232906" w:rsidP="00A31690">
      <w:pPr>
        <w:pStyle w:val="Akapitzlist"/>
        <w:numPr>
          <w:ilvl w:val="0"/>
          <w:numId w:val="131"/>
        </w:numPr>
        <w:spacing w:before="0" w:after="160" w:line="259" w:lineRule="auto"/>
        <w:ind w:left="851" w:hanging="425"/>
        <w:contextualSpacing/>
        <w:rPr>
          <w:rFonts w:eastAsia="Times New Roman"/>
          <w:iCs/>
          <w:color w:val="212121"/>
        </w:rPr>
      </w:pPr>
      <w:r>
        <w:rPr>
          <w:rFonts w:eastAsia="Times New Roman"/>
          <w:iCs/>
          <w:color w:val="212121"/>
        </w:rPr>
        <w:t>d</w:t>
      </w:r>
      <w:r w:rsidRPr="00691B87">
        <w:rPr>
          <w:rFonts w:eastAsia="Times New Roman"/>
          <w:iCs/>
          <w:color w:val="212121"/>
        </w:rPr>
        <w:t>la SZCW i SCW, których </w:t>
      </w:r>
      <w:r w:rsidRPr="00691B87">
        <w:rPr>
          <w:rFonts w:eastAsia="Times New Roman"/>
          <w:iCs/>
          <w:color w:val="000000"/>
        </w:rPr>
        <w:t>wartości współczynnika HIR</w:t>
      </w:r>
      <w:r w:rsidRPr="00691B87">
        <w:rPr>
          <w:rFonts w:eastAsia="Times New Roman"/>
          <w:iCs/>
          <w:color w:val="000000"/>
          <w:vertAlign w:val="subscript"/>
        </w:rPr>
        <w:t>max</w:t>
      </w:r>
      <w:r w:rsidRPr="00691B87">
        <w:rPr>
          <w:rFonts w:eastAsia="Times New Roman"/>
          <w:iCs/>
          <w:color w:val="000000"/>
        </w:rPr>
        <w:t> odbiegały bardzo nieznacznie od wartości HIR</w:t>
      </w:r>
      <w:r w:rsidRPr="00691B87">
        <w:rPr>
          <w:rFonts w:eastAsia="Times New Roman"/>
          <w:iCs/>
          <w:color w:val="000000"/>
          <w:vertAlign w:val="subscript"/>
        </w:rPr>
        <w:t>0,6</w:t>
      </w:r>
      <w:r w:rsidRPr="00691B87">
        <w:rPr>
          <w:rFonts w:eastAsia="Times New Roman"/>
          <w:iCs/>
          <w:color w:val="212121"/>
        </w:rPr>
        <w:t> , </w:t>
      </w:r>
      <w:r w:rsidRPr="00691B87">
        <w:rPr>
          <w:rFonts w:eastAsia="Times New Roman"/>
          <w:iCs/>
          <w:color w:val="000000"/>
        </w:rPr>
        <w:t>współczynnik</w:t>
      </w:r>
      <w:r w:rsidR="001E6461">
        <w:rPr>
          <w:rFonts w:eastAsia="Times New Roman"/>
          <w:iCs/>
          <w:color w:val="000000"/>
        </w:rPr>
        <w:t xml:space="preserve"> </w:t>
      </w:r>
      <w:r w:rsidRPr="00691B87">
        <w:rPr>
          <w:rFonts w:eastAsia="Times New Roman"/>
          <w:iCs/>
          <w:color w:val="000000"/>
        </w:rPr>
        <w:t>1- HIR</w:t>
      </w:r>
      <w:r w:rsidRPr="00691B87">
        <w:rPr>
          <w:rFonts w:eastAsia="Times New Roman"/>
          <w:iCs/>
          <w:color w:val="000000"/>
          <w:vertAlign w:val="subscript"/>
        </w:rPr>
        <w:t>max </w:t>
      </w:r>
      <w:r w:rsidRPr="00691B87">
        <w:rPr>
          <w:rFonts w:eastAsia="Times New Roman"/>
          <w:iCs/>
          <w:color w:val="000000"/>
        </w:rPr>
        <w:t>/HIR</w:t>
      </w:r>
      <w:r w:rsidRPr="00691B87">
        <w:rPr>
          <w:rFonts w:eastAsia="Times New Roman"/>
          <w:iCs/>
          <w:color w:val="000000"/>
          <w:vertAlign w:val="subscript"/>
        </w:rPr>
        <w:t>0,60</w:t>
      </w:r>
      <w:r w:rsidRPr="00691B87">
        <w:rPr>
          <w:rFonts w:eastAsia="Times New Roman"/>
          <w:iCs/>
          <w:color w:val="000000"/>
        </w:rPr>
        <w:t> został zastąpiony wartością ustaloną na podstawie oceny eksperckiej. </w:t>
      </w:r>
      <w:r w:rsidRPr="00691B87">
        <w:rPr>
          <w:rFonts w:eastAsia="Times New Roman"/>
          <w:iCs/>
          <w:color w:val="212121"/>
        </w:rPr>
        <w:t xml:space="preserve">Dotyczy to między innymi </w:t>
      </w:r>
      <w:r w:rsidR="00DF005E">
        <w:rPr>
          <w:rFonts w:eastAsia="Times New Roman"/>
          <w:iCs/>
          <w:color w:val="212121"/>
        </w:rPr>
        <w:t>JCWP</w:t>
      </w:r>
      <w:r w:rsidRPr="00691B87">
        <w:rPr>
          <w:rFonts w:eastAsia="Times New Roman"/>
          <w:iCs/>
          <w:color w:val="212121"/>
        </w:rPr>
        <w:t>, dla których podjęto ekspercką decyzję o wyznaczeniu jako SZCW</w:t>
      </w:r>
      <w:r w:rsidR="00A31690">
        <w:rPr>
          <w:rFonts w:eastAsia="Times New Roman"/>
          <w:iCs/>
          <w:color w:val="212121"/>
        </w:rPr>
        <w:t>.</w:t>
      </w:r>
    </w:p>
    <w:bookmarkEnd w:id="390"/>
    <w:bookmarkEnd w:id="391"/>
    <w:p w14:paraId="0F504254" w14:textId="52B2C551" w:rsidR="00A230D1" w:rsidRPr="00795F17" w:rsidRDefault="00F66B5F" w:rsidP="0044393D">
      <w:pPr>
        <w:pStyle w:val="Numerowanie"/>
      </w:pPr>
      <w:r w:rsidRPr="00795F17">
        <w:t>O</w:t>
      </w:r>
      <w:r w:rsidR="00A230D1" w:rsidRPr="00795F17">
        <w:t xml:space="preserve">kreślenie potencjału ekologicznego w zakresie elementów hydromorfologicznych SZCW jezior </w:t>
      </w:r>
      <w:r w:rsidR="00442820">
        <w:t>według</w:t>
      </w:r>
      <w:r w:rsidR="00792322" w:rsidRPr="00795F17">
        <w:t> </w:t>
      </w:r>
      <w:r w:rsidR="00A230D1" w:rsidRPr="00795F17">
        <w:t>wzorów:</w:t>
      </w:r>
    </w:p>
    <w:p w14:paraId="150D4E1D" w14:textId="77777777" w:rsidR="00A230D1" w:rsidRPr="00795F17" w:rsidRDefault="009C595A" w:rsidP="0044393D">
      <w:pPr>
        <w:rPr>
          <w:rFonts w:asciiTheme="minorHAnsi" w:hAnsiTheme="minorHAnsi"/>
        </w:rPr>
      </w:pPr>
      <m:oMathPara>
        <m:oMath>
          <m:sSub>
            <m:sSubPr>
              <m:ctrlPr>
                <w:rPr>
                  <w:rFonts w:ascii="Cambria Math" w:hAnsi="Cambria Math"/>
                  <w:i/>
                </w:rPr>
              </m:ctrlPr>
            </m:sSubPr>
            <m:e>
              <m:r>
                <m:rPr>
                  <m:sty m:val="p"/>
                </m:rPr>
                <w:rPr>
                  <w:rFonts w:ascii="Cambria Math" w:hAnsi="Cambria Math"/>
                </w:rPr>
                <m:t>DPE</m:t>
              </m:r>
            </m:e>
            <m:sub>
              <m:r>
                <m:rPr>
                  <m:sty m:val="p"/>
                </m:rPr>
                <w:rPr>
                  <w:rFonts w:ascii="Cambria Math" w:hAnsi="Cambria Math"/>
                </w:rPr>
                <m:t>d</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1-</m:t>
                  </m:r>
                  <m:f>
                    <m:fPr>
                      <m:ctrlPr>
                        <w:rPr>
                          <w:rFonts w:ascii="Cambria Math" w:hAnsi="Cambria Math"/>
                          <w:i/>
                        </w:rPr>
                      </m:ctrlPr>
                    </m:fPr>
                    <m:num>
                      <m:r>
                        <m:rPr>
                          <m:sty m:val="p"/>
                        </m:rPr>
                        <w:rPr>
                          <w:rFonts w:ascii="Cambria Math" w:hAnsi="Cambria Math"/>
                        </w:rPr>
                        <m:t>25 pkt</m:t>
                      </m:r>
                    </m:num>
                    <m:den>
                      <m:nary>
                        <m:naryPr>
                          <m:chr m:val="∑"/>
                          <m:limLoc m:val="undOvr"/>
                          <m:subHide m:val="1"/>
                          <m:supHide m:val="1"/>
                          <m:ctrlPr>
                            <w:rPr>
                              <w:rFonts w:ascii="Cambria Math" w:hAnsi="Cambria Math"/>
                              <w:i/>
                            </w:rPr>
                          </m:ctrlPr>
                        </m:naryPr>
                        <m:sub/>
                        <m:sup/>
                        <m:e>
                          <m:r>
                            <m:rPr>
                              <m:sty m:val="p"/>
                            </m:rPr>
                            <w:rPr>
                              <w:rFonts w:ascii="Cambria Math" w:hAnsi="Cambria Math"/>
                            </w:rPr>
                            <m:t>pkt</m:t>
                          </m:r>
                        </m:e>
                      </m:nary>
                      <m:r>
                        <m:rPr>
                          <m:sty m:val="p"/>
                        </m:rPr>
                        <w:rPr>
                          <w:rFonts w:ascii="Cambria Math" w:hAnsi="Cambria Math"/>
                        </w:rPr>
                        <m:t>Wsk A-E</m:t>
                      </m:r>
                    </m:den>
                  </m:f>
                </m:e>
              </m:d>
              <m:r>
                <m:rPr>
                  <m:sty m:val="p"/>
                </m:rPr>
                <w:rPr>
                  <w:rFonts w:ascii="Cambria Math" w:hAnsi="Cambria Math"/>
                </w:rPr>
                <m:t>∙</m:t>
              </m:r>
              <m:d>
                <m:dPr>
                  <m:ctrlPr>
                    <w:rPr>
                      <w:rFonts w:ascii="Cambria Math" w:hAnsi="Cambria Math"/>
                      <w:i/>
                    </w:rPr>
                  </m:ctrlPr>
                </m:dPr>
                <m:e>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sSub>
                    <m:sSubPr>
                      <m:ctrlPr>
                        <w:rPr>
                          <w:rFonts w:ascii="Cambria Math" w:hAnsi="Cambria Math"/>
                          <w:i/>
                        </w:rPr>
                      </m:ctrlPr>
                    </m:sSubPr>
                    <m:e>
                      <m:r>
                        <m:rPr>
                          <m:sty m:val="p"/>
                        </m:rPr>
                        <w:rPr>
                          <w:rFonts w:ascii="Cambria Math" w:hAnsi="Cambria Math"/>
                        </w:rPr>
                        <m:t>USE</m:t>
                      </m:r>
                    </m:e>
                    <m:sub>
                      <m:r>
                        <m:rPr>
                          <m:sty m:val="p"/>
                        </m:rPr>
                        <w:rPr>
                          <w:rFonts w:ascii="Cambria Math" w:hAnsi="Cambria Math"/>
                        </w:rPr>
                        <m:t>d</m:t>
                      </m:r>
                    </m:sub>
                  </m:sSub>
                </m:e>
              </m:d>
            </m:e>
          </m:d>
        </m:oMath>
      </m:oMathPara>
    </w:p>
    <w:p w14:paraId="3A7A5E7D" w14:textId="77777777" w:rsidR="00A230D1" w:rsidRPr="00795F17" w:rsidRDefault="00A230D1" w:rsidP="0044393D"/>
    <w:p w14:paraId="0387C4D8" w14:textId="77777777" w:rsidR="00A230D1" w:rsidRPr="00795F17" w:rsidRDefault="009C595A" w:rsidP="0069351C">
      <w:pPr>
        <w:spacing w:after="0"/>
        <w:rPr>
          <w:rFonts w:asciiTheme="minorHAnsi" w:hAnsiTheme="minorHAnsi"/>
        </w:rPr>
      </w:pPr>
      <m:oMathPara>
        <m:oMath>
          <m:sSub>
            <m:sSubPr>
              <m:ctrlPr>
                <w:rPr>
                  <w:rFonts w:ascii="Cambria Math" w:hAnsi="Cambria Math"/>
                  <w:i/>
                </w:rPr>
              </m:ctrlPr>
            </m:sSubPr>
            <m:e>
              <m:r>
                <m:rPr>
                  <m:sty m:val="p"/>
                </m:rPr>
                <w:rPr>
                  <w:rFonts w:ascii="Cambria Math" w:hAnsi="Cambria Math"/>
                </w:rPr>
                <m:t>DPE</m:t>
              </m:r>
            </m:e>
            <m:sub>
              <m:r>
                <m:rPr>
                  <m:sty m:val="p"/>
                </m:rPr>
                <w:rPr>
                  <w:rFonts w:ascii="Cambria Math" w:hAnsi="Cambria Math"/>
                </w:rPr>
                <m:t>d</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1-</m:t>
                  </m:r>
                  <m:f>
                    <m:fPr>
                      <m:ctrlPr>
                        <w:rPr>
                          <w:rFonts w:ascii="Cambria Math" w:hAnsi="Cambria Math"/>
                          <w:i/>
                        </w:rPr>
                      </m:ctrlPr>
                    </m:fPr>
                    <m:num>
                      <m:r>
                        <m:rPr>
                          <m:sty m:val="p"/>
                        </m:rPr>
                        <w:rPr>
                          <w:rFonts w:ascii="Cambria Math" w:hAnsi="Cambria Math"/>
                        </w:rPr>
                        <m:t>25 pkt</m:t>
                      </m:r>
                    </m:num>
                    <m:den>
                      <m:nary>
                        <m:naryPr>
                          <m:chr m:val="∑"/>
                          <m:limLoc m:val="undOvr"/>
                          <m:subHide m:val="1"/>
                          <m:supHide m:val="1"/>
                          <m:ctrlPr>
                            <w:rPr>
                              <w:rFonts w:ascii="Cambria Math" w:hAnsi="Cambria Math"/>
                              <w:i/>
                            </w:rPr>
                          </m:ctrlPr>
                        </m:naryPr>
                        <m:sub/>
                        <m:sup/>
                        <m:e>
                          <m:r>
                            <m:rPr>
                              <m:sty m:val="p"/>
                            </m:rPr>
                            <w:rPr>
                              <w:rFonts w:ascii="Cambria Math" w:hAnsi="Cambria Math"/>
                            </w:rPr>
                            <m:t>pkt</m:t>
                          </m:r>
                        </m:e>
                      </m:nary>
                      <m:r>
                        <m:rPr>
                          <m:sty m:val="p"/>
                        </m:rPr>
                        <w:rPr>
                          <w:rFonts w:ascii="Cambria Math" w:hAnsi="Cambria Math"/>
                        </w:rPr>
                        <m:t>Wsk A-F</m:t>
                      </m:r>
                    </m:den>
                  </m:f>
                </m:e>
              </m:d>
              <m:r>
                <m:rPr>
                  <m:sty m:val="p"/>
                </m:rPr>
                <w:rPr>
                  <w:rFonts w:ascii="Cambria Math" w:hAnsi="Cambria Math"/>
                </w:rPr>
                <m:t>∙</m:t>
              </m:r>
              <m:d>
                <m:dPr>
                  <m:ctrlPr>
                    <w:rPr>
                      <w:rFonts w:ascii="Cambria Math" w:hAnsi="Cambria Math"/>
                      <w:i/>
                    </w:rPr>
                  </m:ctrlPr>
                </m:dPr>
                <m:e>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sSub>
                    <m:sSubPr>
                      <m:ctrlPr>
                        <w:rPr>
                          <w:rFonts w:ascii="Cambria Math" w:hAnsi="Cambria Math"/>
                          <w:i/>
                        </w:rPr>
                      </m:ctrlPr>
                    </m:sSubPr>
                    <m:e>
                      <m:r>
                        <m:rPr>
                          <m:sty m:val="p"/>
                        </m:rPr>
                        <w:rPr>
                          <w:rFonts w:ascii="Cambria Math" w:hAnsi="Cambria Math"/>
                        </w:rPr>
                        <m:t>USE</m:t>
                      </m:r>
                    </m:e>
                    <m:sub>
                      <m:r>
                        <m:rPr>
                          <m:sty m:val="p"/>
                        </m:rPr>
                        <w:rPr>
                          <w:rFonts w:ascii="Cambria Math" w:hAnsi="Cambria Math"/>
                        </w:rPr>
                        <m:t>d</m:t>
                      </m:r>
                    </m:sub>
                  </m:sSub>
                </m:e>
              </m:d>
            </m:e>
          </m:d>
        </m:oMath>
      </m:oMathPara>
    </w:p>
    <w:p w14:paraId="0A97475F" w14:textId="77777777" w:rsidR="00A230D1" w:rsidRPr="00795F17" w:rsidRDefault="00A230D1" w:rsidP="0069351C">
      <w:pPr>
        <w:spacing w:before="0"/>
        <w:ind w:left="357"/>
      </w:pPr>
      <w:r w:rsidRPr="00795F17">
        <w:t xml:space="preserve">gdzie: </w:t>
      </w:r>
    </w:p>
    <w:p w14:paraId="6899C420" w14:textId="2F4895D5" w:rsidR="00A230D1" w:rsidRPr="00795F17" w:rsidRDefault="00A230D1" w:rsidP="009235C0">
      <w:pPr>
        <w:ind w:left="357"/>
      </w:pPr>
      <w:r w:rsidRPr="00795F17">
        <w:t>DPE</w:t>
      </w:r>
      <w:r w:rsidRPr="00795F17">
        <w:rPr>
          <w:vertAlign w:val="subscript"/>
        </w:rPr>
        <w:t>d</w:t>
      </w:r>
      <w:r w:rsidRPr="00795F17">
        <w:t xml:space="preserve"> </w:t>
      </w:r>
      <w:r w:rsidR="008E1B58">
        <w:t>–</w:t>
      </w:r>
      <w:r w:rsidRPr="00795F17">
        <w:t xml:space="preserve"> dolna granica dobrego potencjału ekologicznego</w:t>
      </w:r>
    </w:p>
    <w:p w14:paraId="6E05FDCD" w14:textId="3C9EA3E7" w:rsidR="00A230D1" w:rsidRPr="00795F17" w:rsidRDefault="00A230D1" w:rsidP="009235C0">
      <w:pPr>
        <w:ind w:left="357"/>
      </w:pPr>
      <w:r w:rsidRPr="00795F17">
        <w:t>DSE</w:t>
      </w:r>
      <w:r w:rsidRPr="00795F17">
        <w:rPr>
          <w:vertAlign w:val="subscript"/>
        </w:rPr>
        <w:t>d</w:t>
      </w:r>
      <w:r w:rsidRPr="00795F17">
        <w:t xml:space="preserve"> </w:t>
      </w:r>
      <w:r w:rsidR="008E1B58">
        <w:t>–</w:t>
      </w:r>
      <w:r w:rsidRPr="00795F17">
        <w:t xml:space="preserve"> dolna granica </w:t>
      </w:r>
      <w:r w:rsidRPr="00E45883">
        <w:t>do</w:t>
      </w:r>
      <w:r w:rsidR="00E75D7D" w:rsidRPr="00F86241">
        <w:t>br</w:t>
      </w:r>
      <w:r w:rsidRPr="00560155">
        <w:t>ego stanu</w:t>
      </w:r>
      <w:r w:rsidRPr="00795F17">
        <w:t xml:space="preserve"> ekologicznego</w:t>
      </w:r>
    </w:p>
    <w:p w14:paraId="76E69D2D" w14:textId="2D029DD3" w:rsidR="00A230D1" w:rsidRPr="00795F17" w:rsidRDefault="00A230D1" w:rsidP="009235C0">
      <w:pPr>
        <w:ind w:left="357"/>
      </w:pPr>
      <w:r w:rsidRPr="00795F17">
        <w:t>USE</w:t>
      </w:r>
      <w:r w:rsidRPr="00795F17">
        <w:rPr>
          <w:vertAlign w:val="subscript"/>
        </w:rPr>
        <w:t>d</w:t>
      </w:r>
      <w:r w:rsidRPr="00795F17">
        <w:t xml:space="preserve"> </w:t>
      </w:r>
      <w:r w:rsidR="008E1B58">
        <w:t>–</w:t>
      </w:r>
      <w:r w:rsidRPr="00795F17">
        <w:t xml:space="preserve"> dolna granica umiarkowanego stanu ekologicznego</w:t>
      </w:r>
    </w:p>
    <w:p w14:paraId="0828C35C" w14:textId="586D7760" w:rsidR="00A230D1" w:rsidRPr="00795F17" w:rsidRDefault="00A230D1" w:rsidP="009235C0">
      <w:pPr>
        <w:ind w:left="357"/>
      </w:pPr>
      <w:r w:rsidRPr="00795F17">
        <w:t xml:space="preserve">∑ pkt Wsk A-E </w:t>
      </w:r>
      <w:r w:rsidR="008E1B58">
        <w:t>–</w:t>
      </w:r>
      <w:r w:rsidRPr="00795F17">
        <w:t xml:space="preserve"> suma punktów wskaźników z grup A do E</w:t>
      </w:r>
    </w:p>
    <w:p w14:paraId="1EDB4537" w14:textId="7A8981E7" w:rsidR="00A230D1" w:rsidRPr="00795F17" w:rsidRDefault="00A230D1" w:rsidP="009235C0">
      <w:pPr>
        <w:ind w:left="357"/>
      </w:pPr>
      <w:r w:rsidRPr="00795F17">
        <w:t xml:space="preserve">∑ pkt Wsk A-F </w:t>
      </w:r>
      <w:r w:rsidR="008E1B58">
        <w:t>–</w:t>
      </w:r>
      <w:r w:rsidRPr="00795F17">
        <w:t xml:space="preserve"> suma punktów wskaźników z grup A do F</w:t>
      </w:r>
    </w:p>
    <w:p w14:paraId="5CFB0993" w14:textId="79182AC6" w:rsidR="00A230D1" w:rsidRPr="00795F17" w:rsidRDefault="00A230D1" w:rsidP="009235C0">
      <w:pPr>
        <w:ind w:left="357"/>
      </w:pPr>
      <w:r w:rsidRPr="00795F17">
        <w:t xml:space="preserve">25 pkt </w:t>
      </w:r>
      <w:r w:rsidR="008E1B58">
        <w:t>–</w:t>
      </w:r>
      <w:r w:rsidRPr="00795F17">
        <w:t xml:space="preserve"> minimalna wartość sumy pkt wskaźników </w:t>
      </w:r>
      <w:r w:rsidR="008E1B58">
        <w:t>–</w:t>
      </w:r>
      <w:r w:rsidRPr="00795F17">
        <w:t xml:space="preserve"> A-E albo A-F będąca podstawą do</w:t>
      </w:r>
      <w:r w:rsidR="005F5328">
        <w:t> </w:t>
      </w:r>
      <w:r w:rsidRPr="00795F17">
        <w:t xml:space="preserve">wyznaczenia </w:t>
      </w:r>
      <w:r w:rsidR="00DF005E">
        <w:t>JCWP</w:t>
      </w:r>
      <w:r w:rsidRPr="00795F17">
        <w:t xml:space="preserve"> jako SZCW</w:t>
      </w:r>
    </w:p>
    <w:p w14:paraId="25AB27E4" w14:textId="2DF99417" w:rsidR="00A230D1" w:rsidRPr="00795F17" w:rsidRDefault="00A230D1" w:rsidP="009235C0">
      <w:pPr>
        <w:ind w:left="357"/>
      </w:pPr>
      <w:r w:rsidRPr="00795F17">
        <w:t>W odróżnieniu od rzek przyjęto redukcję klas dla wszystkich wskaźników, w tym dla fitoplanktonu (PMPL), ponieważ przekształcenie morfologiczne brzegów jezior czy zmiany ich reżimu hydrologicznego lub termicznego wpływają pośrednio na poziom trofii wód</w:t>
      </w:r>
      <w:r w:rsidR="00F51444" w:rsidRPr="00795F17">
        <w:t>.</w:t>
      </w:r>
    </w:p>
    <w:p w14:paraId="3226275A" w14:textId="71931ED6" w:rsidR="00A230D1" w:rsidRDefault="00A230D1" w:rsidP="0044393D">
      <w:pPr>
        <w:pStyle w:val="Numerowanie"/>
      </w:pPr>
      <w:r w:rsidRPr="00795F17">
        <w:t>Dla kategorii SZCW wyznaczonych jako zbiorniki zaporowe istnieją już i są przyjęte w PMŚ dwa dedykowane wskaźniki potencjału ekologicznego: FLORA (ocena fitoplanktonu i fitobentosu) oraz</w:t>
      </w:r>
      <w:r w:rsidR="00833DC9">
        <w:t> </w:t>
      </w:r>
      <w:r w:rsidRPr="00795F17">
        <w:t xml:space="preserve">MZB (ocena makrobezkręgowców). Zasady stosowania tych wskaźników w PMŚ i sposób klasyfikacji stanu </w:t>
      </w:r>
      <w:r w:rsidR="00DF005E">
        <w:t>JCWP</w:t>
      </w:r>
      <w:r w:rsidRPr="00795F17">
        <w:t xml:space="preserve"> RWr określa </w:t>
      </w:r>
      <w:r w:rsidR="00DF005E">
        <w:t>r.kl.jcwp</w:t>
      </w:r>
      <w:r w:rsidRPr="00795F17">
        <w:t xml:space="preserve">. </w:t>
      </w:r>
    </w:p>
    <w:p w14:paraId="0DE838C5" w14:textId="52E1FD26" w:rsidR="002A3E99" w:rsidRPr="00795F17" w:rsidRDefault="0045058B" w:rsidP="0044393D">
      <w:pPr>
        <w:pStyle w:val="Numerowanie"/>
      </w:pPr>
      <w:r>
        <w:t xml:space="preserve">W zakresie elementów fizykochemicznych </w:t>
      </w:r>
      <w:r w:rsidR="00DF005E">
        <w:t>JCWP</w:t>
      </w:r>
      <w:r>
        <w:t xml:space="preserve"> RW i </w:t>
      </w:r>
      <w:r w:rsidR="00DF005E">
        <w:t>JCWP</w:t>
      </w:r>
      <w:r>
        <w:t xml:space="preserve"> LW dla MPE oraz dla DPE zostały przyjęte odpowiednio na poziomie dolnej granicy dla bardzo dobrego SE oraz dobrego SE w danym typie wód według </w:t>
      </w:r>
      <w:r w:rsidR="00DF005E">
        <w:t>r.kl.jcwp</w:t>
      </w:r>
      <w:r w:rsidR="00143E0E">
        <w:t xml:space="preserve"> </w:t>
      </w:r>
      <w:r w:rsidR="00E62565" w:rsidRPr="00C02267">
        <w:t>przy jednoczesnym zastosowaniu zmiany wartości przewodności dla SZCW, dla których zasolenie wynika ze zmian fizycznych związanych z górnictwem (odwodnienie, zmiany stosunków wodnych oraz inne presje hydromorfologiczne).</w:t>
      </w:r>
    </w:p>
    <w:p w14:paraId="7CC07325" w14:textId="10BA0D1F" w:rsidR="00A230D1" w:rsidRPr="00795F17" w:rsidRDefault="00862BA0" w:rsidP="00862BA0">
      <w:pPr>
        <w:pStyle w:val="Numerowanie"/>
      </w:pPr>
      <w:r>
        <w:t>D</w:t>
      </w:r>
      <w:r w:rsidR="00A230D1" w:rsidRPr="00795F17">
        <w:t xml:space="preserve">la </w:t>
      </w:r>
      <w:r w:rsidR="00DF005E">
        <w:t>JCWP</w:t>
      </w:r>
      <w:r w:rsidR="00A230D1" w:rsidRPr="00795F17">
        <w:t xml:space="preserve"> będących wyłącznie zbiornikami zaporowymi wyznaczone zostały wartości graniczne PE dla wybranych wspomagających elementów fizykochemicznych, które również powinny być odpowiednio stosowane. Przyjęta zasada opiera się na podziale zbiorników zaporowych na typy: reolimniczne, przejściowe i limniczne. Dla </w:t>
      </w:r>
      <w:r w:rsidR="00DF005E">
        <w:t>JCWP</w:t>
      </w:r>
      <w:r w:rsidR="00A230D1" w:rsidRPr="00795F17">
        <w:t xml:space="preserve"> RWr w typie: </w:t>
      </w:r>
    </w:p>
    <w:p w14:paraId="7E0E4F45" w14:textId="330B3EA7" w:rsidR="00A230D1" w:rsidRPr="00795F17" w:rsidRDefault="00A230D1" w:rsidP="00117E86">
      <w:pPr>
        <w:pStyle w:val="Listapunktowana2"/>
      </w:pPr>
      <w:r w:rsidRPr="00795F17">
        <w:t>reolimnicznym (czas retencji poniżej 20 dni), jako odpowiednik wskazano typ rzeki, na której zbudowany jest zbiornik (</w:t>
      </w:r>
      <w:r w:rsidR="00DF005E">
        <w:t>JCWP</w:t>
      </w:r>
      <w:r w:rsidRPr="00795F17">
        <w:t xml:space="preserve"> poniżej zapory);</w:t>
      </w:r>
    </w:p>
    <w:p w14:paraId="0603FB96" w14:textId="4E51A528" w:rsidR="00A230D1" w:rsidRPr="00795F17" w:rsidRDefault="00A230D1" w:rsidP="00117E86">
      <w:pPr>
        <w:pStyle w:val="Listapunktowana2"/>
      </w:pPr>
      <w:r w:rsidRPr="00795F17">
        <w:t>przejściowym (czas retencji 20</w:t>
      </w:r>
      <w:r w:rsidR="00EA3DEE">
        <w:t xml:space="preserve"> </w:t>
      </w:r>
      <w:r w:rsidRPr="00795F17">
        <w:t>-</w:t>
      </w:r>
      <w:r w:rsidR="00EA3DEE">
        <w:t xml:space="preserve"> </w:t>
      </w:r>
      <w:r w:rsidRPr="00795F17">
        <w:t xml:space="preserve">40 dni), jako odpowiednik naturalny wskazano wielkie rzeki nizinne (typ RWN </w:t>
      </w:r>
      <w:r w:rsidR="00442820">
        <w:t>według</w:t>
      </w:r>
      <w:r w:rsidRPr="00795F17">
        <w:t xml:space="preserve"> nowej typologii);</w:t>
      </w:r>
    </w:p>
    <w:p w14:paraId="61D76429" w14:textId="2D39D835" w:rsidR="00A230D1" w:rsidRPr="00795F17" w:rsidRDefault="00A230D1" w:rsidP="00117E86">
      <w:pPr>
        <w:pStyle w:val="Listapunktowana2"/>
      </w:pPr>
      <w:r w:rsidRPr="00795F17">
        <w:t xml:space="preserve">limnicznym (czas retencji ponad 40 dni), jako naturalny odpowiednik został wskazany odpowiedni typ jezior, z uwzględnieniem głębokości i możliwości wykształcenia stratyfikacji termicznej w zbiorniku (typ WSd_a lub WSd_b </w:t>
      </w:r>
      <w:r w:rsidR="00442820">
        <w:t>według</w:t>
      </w:r>
      <w:r w:rsidRPr="00795F17">
        <w:t xml:space="preserve"> nowej typologii). </w:t>
      </w:r>
    </w:p>
    <w:p w14:paraId="1F2A5B5A" w14:textId="3A09F768" w:rsidR="00A230D1" w:rsidRPr="00795F17" w:rsidRDefault="00A230D1" w:rsidP="0044393D">
      <w:pPr>
        <w:pStyle w:val="Numerowanie"/>
      </w:pPr>
      <w:r w:rsidRPr="00795F17">
        <w:t xml:space="preserve">Ponieważ żadnej z </w:t>
      </w:r>
      <w:r w:rsidR="00DF005E">
        <w:t>JCWP</w:t>
      </w:r>
      <w:r w:rsidRPr="00795F17">
        <w:t xml:space="preserve"> TW i CW nie wyznaczono jako SZCW </w:t>
      </w:r>
      <w:r w:rsidR="008E1B58">
        <w:t>–</w:t>
      </w:r>
      <w:r w:rsidRPr="00795F17">
        <w:t xml:space="preserve"> nie ustalono granic klas potencjału ekologicznego dla tych kategorii wód.</w:t>
      </w:r>
    </w:p>
    <w:p w14:paraId="66920818" w14:textId="007E330B" w:rsidR="00B651C2" w:rsidRPr="00795F17" w:rsidRDefault="00B651C2" w:rsidP="00B651C2">
      <w:r w:rsidRPr="00795F17">
        <w:t>Wartości graniczne dla potencjału ekologicznego przedstawia załącznik nr</w:t>
      </w:r>
      <w:r w:rsidR="0009370C" w:rsidRPr="00795F17">
        <w:t> </w:t>
      </w:r>
      <w:r w:rsidR="00AE27DD">
        <w:t>4</w:t>
      </w:r>
      <w:r w:rsidRPr="00795F17">
        <w:t>.</w:t>
      </w:r>
    </w:p>
    <w:p w14:paraId="7EDFC096" w14:textId="63A2419D" w:rsidR="00A230D1" w:rsidRPr="00795F17" w:rsidRDefault="00A230D1" w:rsidP="00C53C86">
      <w:pPr>
        <w:pStyle w:val="Nagwek3"/>
      </w:pPr>
      <w:bookmarkStart w:id="392" w:name="_Toc105512656"/>
      <w:r w:rsidRPr="00795F17">
        <w:t xml:space="preserve">Ocena osiągnięcia celów środowiskowych </w:t>
      </w:r>
      <w:r w:rsidR="00DF005E">
        <w:t>JCWP</w:t>
      </w:r>
      <w:r w:rsidRPr="00795F17">
        <w:t xml:space="preserve"> RW</w:t>
      </w:r>
      <w:bookmarkEnd w:id="392"/>
    </w:p>
    <w:p w14:paraId="68EC3DB1" w14:textId="2866E56E" w:rsidR="00A230D1" w:rsidRPr="00795F17" w:rsidRDefault="00A230D1" w:rsidP="0044393D">
      <w:pPr>
        <w:pStyle w:val="Nagwek5"/>
        <w:rPr>
          <w:bCs/>
        </w:rPr>
      </w:pPr>
      <w:r w:rsidRPr="00795F17">
        <w:t>Ocena osiągnięcia celów środowiskowych w odniesieniu do jednostek planistycznych aPGW (2016</w:t>
      </w:r>
      <w:r w:rsidR="008E1B58">
        <w:t>–</w:t>
      </w:r>
      <w:r w:rsidRPr="00795F17">
        <w:t>2021)</w:t>
      </w:r>
    </w:p>
    <w:p w14:paraId="5BC930CE" w14:textId="41A6BFA4" w:rsidR="00A230D1" w:rsidRPr="00795F17" w:rsidRDefault="00A230D1" w:rsidP="0044393D">
      <w:r w:rsidRPr="00795F17">
        <w:t>Cele środowiskowe w odniesieniu do stanu i potencjału ekologicznego oraz stanu chemicznego zostały wskazane w aPGW dla 1</w:t>
      </w:r>
      <w:r w:rsidR="00742B98" w:rsidRPr="00795F17">
        <w:t> </w:t>
      </w:r>
      <w:r w:rsidRPr="00795F17">
        <w:t xml:space="preserve">718 </w:t>
      </w:r>
      <w:r w:rsidR="00DF005E">
        <w:t>JCWP</w:t>
      </w:r>
      <w:r w:rsidRPr="00795F17">
        <w:t xml:space="preserve"> RW (zgodnie z obowiązującym w okresie 2016-2021 układem planistycznym). Ocena stopnia osiągnięcia celów środowiskowych dla stanu/potencjału ekologicznego na układzie jednostek planistycznych </w:t>
      </w:r>
      <w:r w:rsidR="001E3385" w:rsidRPr="00795F17">
        <w:t>2016</w:t>
      </w:r>
      <w:r w:rsidR="008E1B58">
        <w:t>–</w:t>
      </w:r>
      <w:r w:rsidR="001E3385" w:rsidRPr="00795F17">
        <w:t xml:space="preserve">2021 </w:t>
      </w:r>
      <w:r w:rsidRPr="00795F17">
        <w:t xml:space="preserve">wykazała, iż cel środowiskowy osiągnięto w 82 </w:t>
      </w:r>
      <w:r w:rsidR="00DF005E">
        <w:t>JCWP</w:t>
      </w:r>
      <w:r w:rsidRPr="00795F17">
        <w:t xml:space="preserve"> RW (4,8% wszystkich </w:t>
      </w:r>
      <w:r w:rsidR="00DF005E">
        <w:t>JCWP</w:t>
      </w:r>
      <w:r w:rsidRPr="00795F17">
        <w:t xml:space="preserve"> rzecznych w</w:t>
      </w:r>
      <w:r w:rsidR="00FB15D5" w:rsidRPr="00795F17">
        <w:t xml:space="preserve"> obszarze</w:t>
      </w:r>
      <w:r w:rsidRPr="00795F17">
        <w:t xml:space="preserve"> dorzecz</w:t>
      </w:r>
      <w:r w:rsidR="00FB15D5" w:rsidRPr="00795F17">
        <w:t xml:space="preserve">a </w:t>
      </w:r>
      <w:r w:rsidRPr="00795F17">
        <w:t xml:space="preserve">Odry). W przypadku stanu chemicznego było to 76 </w:t>
      </w:r>
      <w:r w:rsidR="00DF005E">
        <w:t>JCWP</w:t>
      </w:r>
      <w:r w:rsidRPr="00795F17">
        <w:t xml:space="preserve"> (4,4% wszystkich </w:t>
      </w:r>
      <w:r w:rsidR="00DF005E">
        <w:t>JCWP</w:t>
      </w:r>
      <w:r w:rsidRPr="00795F17">
        <w:t xml:space="preserve"> rzecznych w </w:t>
      </w:r>
      <w:r w:rsidR="00FB15D5" w:rsidRPr="00795F17">
        <w:t xml:space="preserve">obszarze </w:t>
      </w:r>
      <w:r w:rsidRPr="00795F17">
        <w:t>dorzecz</w:t>
      </w:r>
      <w:r w:rsidR="00FB15D5" w:rsidRPr="00795F17">
        <w:t>a</w:t>
      </w:r>
      <w:r w:rsidRPr="00795F17">
        <w:t xml:space="preserve"> Odry). Dla 1</w:t>
      </w:r>
      <w:r w:rsidR="00766342" w:rsidRPr="00795F17">
        <w:t> </w:t>
      </w:r>
      <w:r w:rsidRPr="00795F17">
        <w:t xml:space="preserve">092 </w:t>
      </w:r>
      <w:r w:rsidR="00DF005E">
        <w:t>JCWP</w:t>
      </w:r>
      <w:r w:rsidRPr="00795F17">
        <w:t xml:space="preserve"> (63,6%</w:t>
      </w:r>
      <w:r w:rsidR="005C5357">
        <w:t> </w:t>
      </w:r>
      <w:r w:rsidRPr="00795F17">
        <w:t xml:space="preserve">wszystkich </w:t>
      </w:r>
      <w:r w:rsidR="00DF005E">
        <w:t>JCWP</w:t>
      </w:r>
      <w:r w:rsidRPr="00795F17">
        <w:t>) zaplanowano odstępstwo z art. 4</w:t>
      </w:r>
      <w:r w:rsidR="002A71D9" w:rsidRPr="00795F17">
        <w:t xml:space="preserve"> ust. </w:t>
      </w:r>
      <w:r w:rsidRPr="00795F17">
        <w:t xml:space="preserve">4 RDW, a dla 11 </w:t>
      </w:r>
      <w:r w:rsidR="00DF005E">
        <w:t>JCWP</w:t>
      </w:r>
      <w:r w:rsidRPr="00795F17">
        <w:t xml:space="preserve"> z art. 4</w:t>
      </w:r>
      <w:r w:rsidR="002A71D9" w:rsidRPr="00795F17">
        <w:t xml:space="preserve"> ust. </w:t>
      </w:r>
      <w:r w:rsidRPr="00795F17">
        <w:t xml:space="preserve">5 RDW. Analiza stopnia osiągnięcia celów środowiskowych wykazała, iż dobry stan wód osiągnęło 5 </w:t>
      </w:r>
      <w:r w:rsidR="00DF005E">
        <w:t>JCWP</w:t>
      </w:r>
      <w:r w:rsidRPr="00795F17">
        <w:t xml:space="preserve"> RW (0,3% wszystkich </w:t>
      </w:r>
      <w:r w:rsidR="00DF005E">
        <w:t>JCWP</w:t>
      </w:r>
      <w:r w:rsidRPr="00795F17">
        <w:t xml:space="preserve"> </w:t>
      </w:r>
      <w:r w:rsidR="00B42BA8">
        <w:t>na</w:t>
      </w:r>
      <w:r w:rsidRPr="00795F17">
        <w:t xml:space="preserve"> </w:t>
      </w:r>
      <w:r w:rsidR="00FB15D5" w:rsidRPr="00795F17">
        <w:t xml:space="preserve">obszarze </w:t>
      </w:r>
      <w:r w:rsidRPr="00795F17">
        <w:t>dorzecz</w:t>
      </w:r>
      <w:r w:rsidR="00FB15D5" w:rsidRPr="00795F17">
        <w:t>a</w:t>
      </w:r>
      <w:r w:rsidRPr="00795F17">
        <w:t xml:space="preserve"> Odry) (tabela </w:t>
      </w:r>
      <w:r w:rsidR="00062A80" w:rsidRPr="00795F17">
        <w:t>8-</w:t>
      </w:r>
      <w:r w:rsidR="005E49A4" w:rsidRPr="00795F17">
        <w:t>8</w:t>
      </w:r>
      <w:r w:rsidRPr="00795F17">
        <w:t>).</w:t>
      </w:r>
      <w:r w:rsidR="006E1762">
        <w:t xml:space="preserve"> </w:t>
      </w:r>
    </w:p>
    <w:p w14:paraId="1E757822" w14:textId="50645D2A" w:rsidR="00A230D1" w:rsidRPr="00795F17" w:rsidRDefault="00A230D1" w:rsidP="004D7705">
      <w:pPr>
        <w:pStyle w:val="Tabela"/>
      </w:pPr>
      <w:bookmarkStart w:id="393" w:name="_Toc105512818"/>
      <w:r w:rsidRPr="00795F17">
        <w:rPr>
          <w:bCs/>
        </w:rPr>
        <w:t xml:space="preserve">Tabela </w:t>
      </w:r>
      <w:r w:rsidR="00BB3B21" w:rsidRPr="00795F17">
        <w:rPr>
          <w:bCs/>
        </w:rPr>
        <w:fldChar w:fldCharType="begin"/>
      </w:r>
      <w:r w:rsidR="00BB3B21" w:rsidRPr="001C6219">
        <w:instrText xml:space="preserve"> STYLEREF 1 \s </w:instrText>
      </w:r>
      <w:r w:rsidR="00BB3B21" w:rsidRPr="00795F17">
        <w:fldChar w:fldCharType="separate"/>
      </w:r>
      <w:r w:rsidR="001F774D">
        <w:rPr>
          <w:noProof/>
        </w:rPr>
        <w:t>8</w:t>
      </w:r>
      <w:r w:rsidR="00BB3B21" w:rsidRPr="00795F17">
        <w:rPr>
          <w:bCs/>
        </w:rPr>
        <w:fldChar w:fldCharType="end"/>
      </w:r>
      <w:r w:rsidR="00BB3B21" w:rsidRPr="00795F17">
        <w:rPr>
          <w:bCs/>
        </w:rPr>
        <w:noBreakHyphen/>
      </w:r>
      <w:r w:rsidR="00BB3B21" w:rsidRPr="00795F17">
        <w:rPr>
          <w:bCs/>
        </w:rPr>
        <w:fldChar w:fldCharType="begin"/>
      </w:r>
      <w:r w:rsidR="00BB3B21" w:rsidRPr="001C6219">
        <w:instrText xml:space="preserve"> SEQ Tabela \* ARABIC \s 1 </w:instrText>
      </w:r>
      <w:r w:rsidR="00BB3B21" w:rsidRPr="00795F17">
        <w:fldChar w:fldCharType="separate"/>
      </w:r>
      <w:r w:rsidR="001F774D">
        <w:rPr>
          <w:noProof/>
        </w:rPr>
        <w:t>8</w:t>
      </w:r>
      <w:r w:rsidR="00BB3B21" w:rsidRPr="00795F17">
        <w:rPr>
          <w:bCs/>
        </w:rPr>
        <w:fldChar w:fldCharType="end"/>
      </w:r>
      <w:r w:rsidR="00E76356">
        <w:rPr>
          <w:bCs/>
        </w:rPr>
        <w:t>.</w:t>
      </w:r>
      <w:r w:rsidRPr="00795F17">
        <w:tab/>
      </w:r>
      <w:r w:rsidR="00366F91" w:rsidRPr="001C6219">
        <w:t>Osiągnięcie</w:t>
      </w:r>
      <w:r w:rsidRPr="001C6219">
        <w:t xml:space="preserve"> celów środowiskowych ustalonych na lata 2016</w:t>
      </w:r>
      <w:r w:rsidR="008E1B58" w:rsidRPr="001C6219">
        <w:t>–</w:t>
      </w:r>
      <w:r w:rsidRPr="001C6219">
        <w:t xml:space="preserve">2021 dla </w:t>
      </w:r>
      <w:r w:rsidR="00DF005E">
        <w:t>JCWP</w:t>
      </w:r>
      <w:r w:rsidRPr="001C6219">
        <w:t xml:space="preserve"> </w:t>
      </w:r>
      <w:r w:rsidR="005B30F4" w:rsidRPr="001C6219">
        <w:t>RW</w:t>
      </w:r>
      <w:r w:rsidRPr="001C6219">
        <w:t xml:space="preserve"> na</w:t>
      </w:r>
      <w:r w:rsidR="005B30F4" w:rsidRPr="001C6219">
        <w:t xml:space="preserve"> </w:t>
      </w:r>
      <w:r w:rsidRPr="001C6219">
        <w:t>obszarze dorzecza Odry w oparciu o jednostki planistyczne aPGW</w:t>
      </w:r>
      <w:bookmarkEnd w:id="3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22"/>
        <w:gridCol w:w="1134"/>
        <w:gridCol w:w="1134"/>
        <w:gridCol w:w="1134"/>
        <w:gridCol w:w="1417"/>
        <w:gridCol w:w="1134"/>
        <w:gridCol w:w="987"/>
      </w:tblGrid>
      <w:tr w:rsidR="005B30F4" w:rsidRPr="00795F17" w14:paraId="4B977335" w14:textId="77777777" w:rsidTr="00F61F12">
        <w:trPr>
          <w:trHeight w:val="170"/>
          <w:tblHeader/>
        </w:trPr>
        <w:tc>
          <w:tcPr>
            <w:tcW w:w="2122" w:type="dxa"/>
            <w:vMerge w:val="restart"/>
            <w:shd w:val="clear" w:color="auto" w:fill="BFBFBF" w:themeFill="background1" w:themeFillShade="BF"/>
            <w:vAlign w:val="center"/>
            <w:hideMark/>
          </w:tcPr>
          <w:p w14:paraId="407BCEFB" w14:textId="77777777" w:rsidR="005B30F4" w:rsidRPr="00795F17" w:rsidRDefault="005B30F4" w:rsidP="0044393D">
            <w:pPr>
              <w:pStyle w:val="Teksttabelinaglowek"/>
            </w:pPr>
            <w:r w:rsidRPr="00795F17">
              <w:t>Region wodny</w:t>
            </w:r>
          </w:p>
        </w:tc>
        <w:tc>
          <w:tcPr>
            <w:tcW w:w="1134" w:type="dxa"/>
            <w:vMerge w:val="restart"/>
            <w:shd w:val="clear" w:color="auto" w:fill="BFBFBF" w:themeFill="background1" w:themeFillShade="BF"/>
            <w:vAlign w:val="center"/>
            <w:hideMark/>
          </w:tcPr>
          <w:p w14:paraId="68C04F6B" w14:textId="274A02D1" w:rsidR="005B30F4" w:rsidRPr="00795F17" w:rsidRDefault="005B30F4" w:rsidP="0044393D">
            <w:pPr>
              <w:pStyle w:val="Teksttabelinaglowek"/>
            </w:pPr>
            <w:r w:rsidRPr="00795F17">
              <w:t xml:space="preserve">Liczba </w:t>
            </w:r>
            <w:r w:rsidR="00DF005E">
              <w:t>JCWP</w:t>
            </w:r>
            <w:r w:rsidRPr="00795F17">
              <w:t xml:space="preserve"> RW ogółem</w:t>
            </w:r>
          </w:p>
        </w:tc>
        <w:tc>
          <w:tcPr>
            <w:tcW w:w="2268" w:type="dxa"/>
            <w:gridSpan w:val="2"/>
            <w:shd w:val="clear" w:color="auto" w:fill="BFBFBF" w:themeFill="background1" w:themeFillShade="BF"/>
            <w:vAlign w:val="center"/>
            <w:hideMark/>
          </w:tcPr>
          <w:p w14:paraId="34B3ACB7" w14:textId="7FDA8827" w:rsidR="005B30F4" w:rsidRPr="00795F17" w:rsidRDefault="005B30F4" w:rsidP="0044393D">
            <w:pPr>
              <w:pStyle w:val="Teksttabelinaglowek"/>
            </w:pPr>
            <w:r w:rsidRPr="00795F17">
              <w:t xml:space="preserve">Liczba </w:t>
            </w:r>
            <w:r w:rsidR="00DF005E">
              <w:t>JCWP</w:t>
            </w:r>
            <w:r w:rsidRPr="00795F17">
              <w:t xml:space="preserve"> RW z</w:t>
            </w:r>
            <w:r w:rsidR="005C5357">
              <w:t> </w:t>
            </w:r>
            <w:r w:rsidRPr="00795F17">
              <w:t>odstępstwem wskazanym w aPGW (2016</w:t>
            </w:r>
            <w:r w:rsidR="008E1B58">
              <w:t>–</w:t>
            </w:r>
            <w:r w:rsidRPr="00795F17">
              <w:t>2021)</w:t>
            </w:r>
          </w:p>
        </w:tc>
        <w:tc>
          <w:tcPr>
            <w:tcW w:w="3538" w:type="dxa"/>
            <w:gridSpan w:val="3"/>
            <w:shd w:val="clear" w:color="auto" w:fill="BFBFBF" w:themeFill="background1" w:themeFillShade="BF"/>
            <w:vAlign w:val="center"/>
            <w:hideMark/>
          </w:tcPr>
          <w:p w14:paraId="6BF5B115" w14:textId="6CC41C7B" w:rsidR="005B30F4" w:rsidRPr="00795F17" w:rsidRDefault="005B30F4" w:rsidP="0044393D">
            <w:pPr>
              <w:pStyle w:val="Teksttabelinaglowek"/>
            </w:pPr>
            <w:r w:rsidRPr="00795F17">
              <w:t xml:space="preserve">Liczba </w:t>
            </w:r>
            <w:r w:rsidR="00DF005E">
              <w:t>JCWP</w:t>
            </w:r>
            <w:r w:rsidRPr="00795F17">
              <w:t xml:space="preserve"> RW, które osiągnęły cele środowiskowe</w:t>
            </w:r>
          </w:p>
        </w:tc>
      </w:tr>
      <w:tr w:rsidR="005B30F4" w:rsidRPr="00795F17" w14:paraId="78AC08BC" w14:textId="77777777" w:rsidTr="00F61F12">
        <w:trPr>
          <w:trHeight w:val="170"/>
          <w:tblHeader/>
        </w:trPr>
        <w:tc>
          <w:tcPr>
            <w:tcW w:w="2122" w:type="dxa"/>
            <w:vMerge/>
            <w:shd w:val="clear" w:color="auto" w:fill="BFBFBF" w:themeFill="background1" w:themeFillShade="BF"/>
            <w:vAlign w:val="center"/>
            <w:hideMark/>
          </w:tcPr>
          <w:p w14:paraId="0C2B8668" w14:textId="77777777" w:rsidR="005B30F4" w:rsidRPr="00795F17" w:rsidRDefault="005B30F4" w:rsidP="0044393D">
            <w:pPr>
              <w:pStyle w:val="Teksttabeliprawy"/>
            </w:pPr>
          </w:p>
        </w:tc>
        <w:tc>
          <w:tcPr>
            <w:tcW w:w="1134" w:type="dxa"/>
            <w:vMerge/>
            <w:shd w:val="clear" w:color="auto" w:fill="BFBFBF" w:themeFill="background1" w:themeFillShade="BF"/>
            <w:vAlign w:val="center"/>
            <w:hideMark/>
          </w:tcPr>
          <w:p w14:paraId="7CD00890" w14:textId="25FD116D" w:rsidR="005B30F4" w:rsidRPr="00795F17" w:rsidRDefault="005B30F4" w:rsidP="0044393D">
            <w:pPr>
              <w:pStyle w:val="Teksttabelinaglowek"/>
            </w:pPr>
          </w:p>
        </w:tc>
        <w:tc>
          <w:tcPr>
            <w:tcW w:w="1134" w:type="dxa"/>
            <w:shd w:val="clear" w:color="auto" w:fill="BFBFBF" w:themeFill="background1" w:themeFillShade="BF"/>
            <w:vAlign w:val="center"/>
            <w:hideMark/>
          </w:tcPr>
          <w:p w14:paraId="53E572C6" w14:textId="509144E3" w:rsidR="005B30F4" w:rsidRPr="00795F17" w:rsidRDefault="005B30F4" w:rsidP="0044393D">
            <w:pPr>
              <w:pStyle w:val="Teksttabelinaglowek"/>
            </w:pPr>
            <w:r w:rsidRPr="00795F17">
              <w:t>Art. 4 ust. 4 RDW</w:t>
            </w:r>
          </w:p>
        </w:tc>
        <w:tc>
          <w:tcPr>
            <w:tcW w:w="1134" w:type="dxa"/>
            <w:shd w:val="clear" w:color="auto" w:fill="BFBFBF" w:themeFill="background1" w:themeFillShade="BF"/>
            <w:vAlign w:val="center"/>
            <w:hideMark/>
          </w:tcPr>
          <w:p w14:paraId="2470F684" w14:textId="4652D749" w:rsidR="005B30F4" w:rsidRPr="00795F17" w:rsidRDefault="005B30F4" w:rsidP="0044393D">
            <w:pPr>
              <w:pStyle w:val="Teksttabelinaglowek"/>
            </w:pPr>
            <w:r w:rsidRPr="00795F17">
              <w:t>Art. 4 ust. 5 RDW</w:t>
            </w:r>
          </w:p>
        </w:tc>
        <w:tc>
          <w:tcPr>
            <w:tcW w:w="1417" w:type="dxa"/>
            <w:shd w:val="clear" w:color="auto" w:fill="BFBFBF" w:themeFill="background1" w:themeFillShade="BF"/>
            <w:vAlign w:val="center"/>
            <w:hideMark/>
          </w:tcPr>
          <w:p w14:paraId="1CADDE9A" w14:textId="39BEA7CA" w:rsidR="005B30F4" w:rsidRPr="00795F17" w:rsidRDefault="005B30F4" w:rsidP="0044393D">
            <w:pPr>
              <w:pStyle w:val="Teksttabelinaglowek"/>
            </w:pPr>
            <w:r w:rsidRPr="00795F17">
              <w:t>Stan</w:t>
            </w:r>
            <w:r w:rsidR="00B42BA8">
              <w:t xml:space="preserve"> ekologiczny</w:t>
            </w:r>
            <w:r w:rsidRPr="00795F17">
              <w:t>/</w:t>
            </w:r>
            <w:r w:rsidR="00B42BA8">
              <w:t xml:space="preserve"> </w:t>
            </w:r>
            <w:r w:rsidRPr="00795F17">
              <w:t>potencjał ekologiczny</w:t>
            </w:r>
          </w:p>
        </w:tc>
        <w:tc>
          <w:tcPr>
            <w:tcW w:w="1134" w:type="dxa"/>
            <w:shd w:val="clear" w:color="auto" w:fill="BFBFBF" w:themeFill="background1" w:themeFillShade="BF"/>
            <w:vAlign w:val="center"/>
            <w:hideMark/>
          </w:tcPr>
          <w:p w14:paraId="554179B5" w14:textId="77777777" w:rsidR="005B30F4" w:rsidRPr="00795F17" w:rsidRDefault="005B30F4" w:rsidP="0044393D">
            <w:pPr>
              <w:pStyle w:val="Teksttabelinaglowek"/>
            </w:pPr>
            <w:r w:rsidRPr="00795F17">
              <w:t>Stan chemiczny</w:t>
            </w:r>
          </w:p>
        </w:tc>
        <w:tc>
          <w:tcPr>
            <w:tcW w:w="987" w:type="dxa"/>
            <w:shd w:val="clear" w:color="auto" w:fill="BFBFBF" w:themeFill="background1" w:themeFillShade="BF"/>
            <w:vAlign w:val="center"/>
            <w:hideMark/>
          </w:tcPr>
          <w:p w14:paraId="4BE704B2" w14:textId="137012C6" w:rsidR="005B30F4" w:rsidRPr="00795F17" w:rsidRDefault="005B30F4" w:rsidP="0044393D">
            <w:pPr>
              <w:pStyle w:val="Teksttabelinaglowek"/>
            </w:pPr>
            <w:r w:rsidRPr="00795F17">
              <w:t>Stan ogólny</w:t>
            </w:r>
          </w:p>
        </w:tc>
      </w:tr>
      <w:tr w:rsidR="00F11AFD" w:rsidRPr="00795F17" w14:paraId="26D03123" w14:textId="77777777" w:rsidTr="00F32E2F">
        <w:trPr>
          <w:trHeight w:val="170"/>
        </w:trPr>
        <w:tc>
          <w:tcPr>
            <w:tcW w:w="2122" w:type="dxa"/>
            <w:shd w:val="clear" w:color="auto" w:fill="auto"/>
            <w:vAlign w:val="center"/>
            <w:hideMark/>
          </w:tcPr>
          <w:p w14:paraId="2C58A018" w14:textId="77777777" w:rsidR="00A230D1" w:rsidRPr="00795F17" w:rsidRDefault="00A230D1" w:rsidP="006575EB">
            <w:pPr>
              <w:pStyle w:val="Teksttabelilewy"/>
            </w:pPr>
            <w:r w:rsidRPr="00795F17">
              <w:t>Górnej Odry</w:t>
            </w:r>
          </w:p>
        </w:tc>
        <w:tc>
          <w:tcPr>
            <w:tcW w:w="1134" w:type="dxa"/>
            <w:shd w:val="clear" w:color="auto" w:fill="auto"/>
            <w:vAlign w:val="center"/>
            <w:hideMark/>
          </w:tcPr>
          <w:p w14:paraId="5F028299" w14:textId="77777777" w:rsidR="00A230D1" w:rsidRPr="00795F17" w:rsidRDefault="00A230D1" w:rsidP="0065243A">
            <w:pPr>
              <w:pStyle w:val="Teksttabelisrodek"/>
            </w:pPr>
            <w:r w:rsidRPr="00795F17">
              <w:t>86</w:t>
            </w:r>
          </w:p>
        </w:tc>
        <w:tc>
          <w:tcPr>
            <w:tcW w:w="1134" w:type="dxa"/>
            <w:shd w:val="clear" w:color="auto" w:fill="auto"/>
            <w:vAlign w:val="center"/>
            <w:hideMark/>
          </w:tcPr>
          <w:p w14:paraId="7E5910AA" w14:textId="77777777" w:rsidR="00A230D1" w:rsidRPr="00795F17" w:rsidRDefault="00A230D1" w:rsidP="0065243A">
            <w:pPr>
              <w:pStyle w:val="Teksttabelisrodek"/>
            </w:pPr>
            <w:r w:rsidRPr="00795F17">
              <w:t>66</w:t>
            </w:r>
          </w:p>
        </w:tc>
        <w:tc>
          <w:tcPr>
            <w:tcW w:w="1134" w:type="dxa"/>
            <w:shd w:val="clear" w:color="auto" w:fill="auto"/>
            <w:vAlign w:val="center"/>
            <w:hideMark/>
          </w:tcPr>
          <w:p w14:paraId="39E153A0" w14:textId="77777777" w:rsidR="00A230D1" w:rsidRPr="00795F17" w:rsidRDefault="00A230D1" w:rsidP="0065243A">
            <w:pPr>
              <w:pStyle w:val="Teksttabelisrodek"/>
            </w:pPr>
            <w:r w:rsidRPr="00795F17">
              <w:t>10</w:t>
            </w:r>
          </w:p>
        </w:tc>
        <w:tc>
          <w:tcPr>
            <w:tcW w:w="1417" w:type="dxa"/>
            <w:shd w:val="clear" w:color="auto" w:fill="auto"/>
            <w:vAlign w:val="center"/>
            <w:hideMark/>
          </w:tcPr>
          <w:p w14:paraId="1452035C" w14:textId="77777777" w:rsidR="00A230D1" w:rsidRPr="00795F17" w:rsidRDefault="00A230D1" w:rsidP="0065243A">
            <w:pPr>
              <w:pStyle w:val="Teksttabelisrodek"/>
            </w:pPr>
            <w:r w:rsidRPr="00795F17">
              <w:t>5</w:t>
            </w:r>
          </w:p>
        </w:tc>
        <w:tc>
          <w:tcPr>
            <w:tcW w:w="1134" w:type="dxa"/>
            <w:shd w:val="clear" w:color="auto" w:fill="auto"/>
            <w:vAlign w:val="center"/>
            <w:hideMark/>
          </w:tcPr>
          <w:p w14:paraId="295798EB" w14:textId="77777777" w:rsidR="00A230D1" w:rsidRPr="00795F17" w:rsidRDefault="00A230D1" w:rsidP="0065243A">
            <w:pPr>
              <w:pStyle w:val="Teksttabelisrodek"/>
            </w:pPr>
            <w:r w:rsidRPr="00795F17">
              <w:t>5</w:t>
            </w:r>
          </w:p>
        </w:tc>
        <w:tc>
          <w:tcPr>
            <w:tcW w:w="987" w:type="dxa"/>
            <w:shd w:val="clear" w:color="auto" w:fill="auto"/>
            <w:vAlign w:val="center"/>
            <w:hideMark/>
          </w:tcPr>
          <w:p w14:paraId="20924790" w14:textId="77777777" w:rsidR="00A230D1" w:rsidRPr="00795F17" w:rsidRDefault="00A230D1" w:rsidP="0065243A">
            <w:pPr>
              <w:pStyle w:val="Teksttabelisrodek"/>
            </w:pPr>
            <w:r w:rsidRPr="00795F17">
              <w:t>0</w:t>
            </w:r>
          </w:p>
        </w:tc>
      </w:tr>
      <w:tr w:rsidR="00F11AFD" w:rsidRPr="00795F17" w14:paraId="6FF291A8" w14:textId="77777777" w:rsidTr="00F32E2F">
        <w:trPr>
          <w:trHeight w:val="170"/>
        </w:trPr>
        <w:tc>
          <w:tcPr>
            <w:tcW w:w="2122" w:type="dxa"/>
            <w:shd w:val="clear" w:color="auto" w:fill="auto"/>
            <w:vAlign w:val="center"/>
            <w:hideMark/>
          </w:tcPr>
          <w:p w14:paraId="1BF9CCAE" w14:textId="77777777" w:rsidR="00A230D1" w:rsidRPr="00795F17" w:rsidRDefault="00A230D1" w:rsidP="006575EB">
            <w:pPr>
              <w:pStyle w:val="Teksttabelilewy"/>
            </w:pPr>
            <w:r w:rsidRPr="00795F17">
              <w:t>Środkowej Odry</w:t>
            </w:r>
          </w:p>
        </w:tc>
        <w:tc>
          <w:tcPr>
            <w:tcW w:w="1134" w:type="dxa"/>
            <w:shd w:val="clear" w:color="auto" w:fill="auto"/>
            <w:vAlign w:val="center"/>
            <w:hideMark/>
          </w:tcPr>
          <w:p w14:paraId="592DF531" w14:textId="77777777" w:rsidR="00A230D1" w:rsidRPr="00795F17" w:rsidRDefault="00A230D1" w:rsidP="0065243A">
            <w:pPr>
              <w:pStyle w:val="Teksttabelisrodek"/>
            </w:pPr>
            <w:r w:rsidRPr="00795F17">
              <w:t>673</w:t>
            </w:r>
          </w:p>
        </w:tc>
        <w:tc>
          <w:tcPr>
            <w:tcW w:w="1134" w:type="dxa"/>
            <w:shd w:val="clear" w:color="auto" w:fill="auto"/>
            <w:vAlign w:val="center"/>
            <w:hideMark/>
          </w:tcPr>
          <w:p w14:paraId="53244BAA" w14:textId="77777777" w:rsidR="00A230D1" w:rsidRPr="00795F17" w:rsidRDefault="00A230D1" w:rsidP="0065243A">
            <w:pPr>
              <w:pStyle w:val="Teksttabelisrodek"/>
            </w:pPr>
            <w:r w:rsidRPr="00795F17">
              <w:t>514</w:t>
            </w:r>
          </w:p>
        </w:tc>
        <w:tc>
          <w:tcPr>
            <w:tcW w:w="1134" w:type="dxa"/>
            <w:shd w:val="clear" w:color="auto" w:fill="auto"/>
            <w:vAlign w:val="center"/>
            <w:hideMark/>
          </w:tcPr>
          <w:p w14:paraId="3277A40E" w14:textId="77777777" w:rsidR="00A230D1" w:rsidRPr="00795F17" w:rsidRDefault="00A230D1" w:rsidP="0065243A">
            <w:pPr>
              <w:pStyle w:val="Teksttabelisrodek"/>
            </w:pPr>
            <w:r w:rsidRPr="00795F17">
              <w:t>1</w:t>
            </w:r>
          </w:p>
        </w:tc>
        <w:tc>
          <w:tcPr>
            <w:tcW w:w="1417" w:type="dxa"/>
            <w:shd w:val="clear" w:color="auto" w:fill="auto"/>
            <w:vAlign w:val="center"/>
            <w:hideMark/>
          </w:tcPr>
          <w:p w14:paraId="32DD8B1F" w14:textId="77777777" w:rsidR="00A230D1" w:rsidRPr="00795F17" w:rsidRDefault="00A230D1" w:rsidP="0065243A">
            <w:pPr>
              <w:pStyle w:val="Teksttabelisrodek"/>
            </w:pPr>
            <w:r w:rsidRPr="00795F17">
              <w:t>25</w:t>
            </w:r>
          </w:p>
        </w:tc>
        <w:tc>
          <w:tcPr>
            <w:tcW w:w="1134" w:type="dxa"/>
            <w:shd w:val="clear" w:color="auto" w:fill="auto"/>
            <w:vAlign w:val="center"/>
            <w:hideMark/>
          </w:tcPr>
          <w:p w14:paraId="782EFC86" w14:textId="77777777" w:rsidR="00A230D1" w:rsidRPr="00795F17" w:rsidRDefault="00A230D1" w:rsidP="0065243A">
            <w:pPr>
              <w:pStyle w:val="Teksttabelisrodek"/>
            </w:pPr>
            <w:r w:rsidRPr="00795F17">
              <w:t>23</w:t>
            </w:r>
          </w:p>
        </w:tc>
        <w:tc>
          <w:tcPr>
            <w:tcW w:w="987" w:type="dxa"/>
            <w:shd w:val="clear" w:color="auto" w:fill="auto"/>
            <w:vAlign w:val="center"/>
            <w:hideMark/>
          </w:tcPr>
          <w:p w14:paraId="3D9A9FD5" w14:textId="77777777" w:rsidR="00A230D1" w:rsidRPr="00795F17" w:rsidRDefault="00A230D1" w:rsidP="0065243A">
            <w:pPr>
              <w:pStyle w:val="Teksttabelisrodek"/>
            </w:pPr>
            <w:r w:rsidRPr="00795F17">
              <w:t>2</w:t>
            </w:r>
          </w:p>
        </w:tc>
      </w:tr>
      <w:tr w:rsidR="00F11AFD" w:rsidRPr="00795F17" w14:paraId="19B2CA2C" w14:textId="77777777" w:rsidTr="00F32E2F">
        <w:trPr>
          <w:trHeight w:val="170"/>
        </w:trPr>
        <w:tc>
          <w:tcPr>
            <w:tcW w:w="2122" w:type="dxa"/>
            <w:shd w:val="clear" w:color="auto" w:fill="auto"/>
            <w:vAlign w:val="center"/>
            <w:hideMark/>
          </w:tcPr>
          <w:p w14:paraId="47CACDB8" w14:textId="77777777" w:rsidR="00A230D1" w:rsidRPr="00795F17" w:rsidRDefault="00A230D1" w:rsidP="006575EB">
            <w:pPr>
              <w:pStyle w:val="Teksttabelilewy"/>
            </w:pPr>
            <w:r w:rsidRPr="00795F17">
              <w:t>Warty</w:t>
            </w:r>
          </w:p>
        </w:tc>
        <w:tc>
          <w:tcPr>
            <w:tcW w:w="1134" w:type="dxa"/>
            <w:shd w:val="clear" w:color="auto" w:fill="auto"/>
            <w:vAlign w:val="center"/>
            <w:hideMark/>
          </w:tcPr>
          <w:p w14:paraId="4A42F711" w14:textId="77777777" w:rsidR="00A230D1" w:rsidRPr="00795F17" w:rsidRDefault="00A230D1" w:rsidP="0065243A">
            <w:pPr>
              <w:pStyle w:val="Teksttabelisrodek"/>
            </w:pPr>
            <w:r w:rsidRPr="00795F17">
              <w:t>630</w:t>
            </w:r>
          </w:p>
        </w:tc>
        <w:tc>
          <w:tcPr>
            <w:tcW w:w="1134" w:type="dxa"/>
            <w:shd w:val="clear" w:color="auto" w:fill="auto"/>
            <w:vAlign w:val="center"/>
            <w:hideMark/>
          </w:tcPr>
          <w:p w14:paraId="060D1E3F" w14:textId="77777777" w:rsidR="00A230D1" w:rsidRPr="00795F17" w:rsidRDefault="00A230D1" w:rsidP="0065243A">
            <w:pPr>
              <w:pStyle w:val="Teksttabelisrodek"/>
            </w:pPr>
            <w:r w:rsidRPr="00795F17">
              <w:t>334</w:t>
            </w:r>
          </w:p>
        </w:tc>
        <w:tc>
          <w:tcPr>
            <w:tcW w:w="1134" w:type="dxa"/>
            <w:shd w:val="clear" w:color="auto" w:fill="auto"/>
            <w:vAlign w:val="center"/>
            <w:hideMark/>
          </w:tcPr>
          <w:p w14:paraId="404E0CE9" w14:textId="77777777" w:rsidR="00A230D1" w:rsidRPr="00795F17" w:rsidRDefault="00A230D1" w:rsidP="0065243A">
            <w:pPr>
              <w:pStyle w:val="Teksttabelisrodek"/>
            </w:pPr>
            <w:r w:rsidRPr="00795F17">
              <w:t>0</w:t>
            </w:r>
          </w:p>
        </w:tc>
        <w:tc>
          <w:tcPr>
            <w:tcW w:w="1417" w:type="dxa"/>
            <w:shd w:val="clear" w:color="auto" w:fill="auto"/>
            <w:vAlign w:val="center"/>
            <w:hideMark/>
          </w:tcPr>
          <w:p w14:paraId="0D521F10" w14:textId="77777777" w:rsidR="00A230D1" w:rsidRPr="00795F17" w:rsidRDefault="00A230D1" w:rsidP="0065243A">
            <w:pPr>
              <w:pStyle w:val="Teksttabelisrodek"/>
            </w:pPr>
            <w:r w:rsidRPr="00795F17">
              <w:t>28</w:t>
            </w:r>
          </w:p>
        </w:tc>
        <w:tc>
          <w:tcPr>
            <w:tcW w:w="1134" w:type="dxa"/>
            <w:shd w:val="clear" w:color="auto" w:fill="auto"/>
            <w:vAlign w:val="center"/>
            <w:hideMark/>
          </w:tcPr>
          <w:p w14:paraId="227E692E" w14:textId="77777777" w:rsidR="00A230D1" w:rsidRPr="00795F17" w:rsidRDefault="00A230D1" w:rsidP="0065243A">
            <w:pPr>
              <w:pStyle w:val="Teksttabelisrodek"/>
            </w:pPr>
            <w:r w:rsidRPr="00795F17">
              <w:t>46</w:t>
            </w:r>
          </w:p>
        </w:tc>
        <w:tc>
          <w:tcPr>
            <w:tcW w:w="987" w:type="dxa"/>
            <w:shd w:val="clear" w:color="auto" w:fill="auto"/>
            <w:vAlign w:val="center"/>
            <w:hideMark/>
          </w:tcPr>
          <w:p w14:paraId="6695BE4F" w14:textId="77777777" w:rsidR="00A230D1" w:rsidRPr="00795F17" w:rsidRDefault="00A230D1" w:rsidP="0065243A">
            <w:pPr>
              <w:pStyle w:val="Teksttabelisrodek"/>
            </w:pPr>
            <w:r w:rsidRPr="00795F17">
              <w:t>3</w:t>
            </w:r>
          </w:p>
        </w:tc>
      </w:tr>
      <w:tr w:rsidR="00F11AFD" w:rsidRPr="00795F17" w14:paraId="44E77327" w14:textId="77777777" w:rsidTr="00F32E2F">
        <w:trPr>
          <w:trHeight w:val="170"/>
        </w:trPr>
        <w:tc>
          <w:tcPr>
            <w:tcW w:w="2122" w:type="dxa"/>
            <w:shd w:val="clear" w:color="auto" w:fill="auto"/>
            <w:vAlign w:val="center"/>
            <w:hideMark/>
          </w:tcPr>
          <w:p w14:paraId="7B02BBEB" w14:textId="77777777" w:rsidR="00A230D1" w:rsidRPr="00795F17" w:rsidRDefault="00A230D1" w:rsidP="006575EB">
            <w:pPr>
              <w:pStyle w:val="Teksttabelilewy"/>
            </w:pPr>
            <w:r w:rsidRPr="00795F17">
              <w:t>Dolnej Odry i Przymorza Zachodniego</w:t>
            </w:r>
          </w:p>
        </w:tc>
        <w:tc>
          <w:tcPr>
            <w:tcW w:w="1134" w:type="dxa"/>
            <w:shd w:val="clear" w:color="auto" w:fill="auto"/>
            <w:vAlign w:val="center"/>
            <w:hideMark/>
          </w:tcPr>
          <w:p w14:paraId="32F02095" w14:textId="77777777" w:rsidR="00A230D1" w:rsidRPr="00795F17" w:rsidRDefault="00A230D1" w:rsidP="0065243A">
            <w:pPr>
              <w:pStyle w:val="Teksttabelisrodek"/>
            </w:pPr>
            <w:r w:rsidRPr="00795F17">
              <w:t>329</w:t>
            </w:r>
          </w:p>
        </w:tc>
        <w:tc>
          <w:tcPr>
            <w:tcW w:w="1134" w:type="dxa"/>
            <w:shd w:val="clear" w:color="auto" w:fill="auto"/>
            <w:vAlign w:val="center"/>
            <w:hideMark/>
          </w:tcPr>
          <w:p w14:paraId="411EB17F" w14:textId="77777777" w:rsidR="00A230D1" w:rsidRPr="00795F17" w:rsidRDefault="00A230D1" w:rsidP="0065243A">
            <w:pPr>
              <w:pStyle w:val="Teksttabelisrodek"/>
            </w:pPr>
            <w:r w:rsidRPr="00795F17">
              <w:t>178</w:t>
            </w:r>
          </w:p>
        </w:tc>
        <w:tc>
          <w:tcPr>
            <w:tcW w:w="1134" w:type="dxa"/>
            <w:shd w:val="clear" w:color="auto" w:fill="auto"/>
            <w:vAlign w:val="center"/>
            <w:hideMark/>
          </w:tcPr>
          <w:p w14:paraId="518C25E9" w14:textId="77777777" w:rsidR="00A230D1" w:rsidRPr="00795F17" w:rsidRDefault="00A230D1" w:rsidP="0065243A">
            <w:pPr>
              <w:pStyle w:val="Teksttabelisrodek"/>
            </w:pPr>
            <w:r w:rsidRPr="00795F17">
              <w:t>0</w:t>
            </w:r>
          </w:p>
        </w:tc>
        <w:tc>
          <w:tcPr>
            <w:tcW w:w="1417" w:type="dxa"/>
            <w:shd w:val="clear" w:color="auto" w:fill="auto"/>
            <w:vAlign w:val="center"/>
            <w:hideMark/>
          </w:tcPr>
          <w:p w14:paraId="08972E25" w14:textId="77777777" w:rsidR="00A230D1" w:rsidRPr="00795F17" w:rsidRDefault="00A230D1" w:rsidP="0065243A">
            <w:pPr>
              <w:pStyle w:val="Teksttabelisrodek"/>
            </w:pPr>
            <w:r w:rsidRPr="00795F17">
              <w:t>24</w:t>
            </w:r>
          </w:p>
        </w:tc>
        <w:tc>
          <w:tcPr>
            <w:tcW w:w="1134" w:type="dxa"/>
            <w:shd w:val="clear" w:color="auto" w:fill="auto"/>
            <w:vAlign w:val="center"/>
            <w:hideMark/>
          </w:tcPr>
          <w:p w14:paraId="2AD1F465" w14:textId="77777777" w:rsidR="00A230D1" w:rsidRPr="00795F17" w:rsidRDefault="00A230D1" w:rsidP="0065243A">
            <w:pPr>
              <w:pStyle w:val="Teksttabelisrodek"/>
            </w:pPr>
            <w:r w:rsidRPr="00795F17">
              <w:t>2</w:t>
            </w:r>
          </w:p>
        </w:tc>
        <w:tc>
          <w:tcPr>
            <w:tcW w:w="987" w:type="dxa"/>
            <w:shd w:val="clear" w:color="auto" w:fill="auto"/>
            <w:vAlign w:val="center"/>
            <w:hideMark/>
          </w:tcPr>
          <w:p w14:paraId="53998DF3" w14:textId="77777777" w:rsidR="00A230D1" w:rsidRPr="00795F17" w:rsidRDefault="00A230D1" w:rsidP="0065243A">
            <w:pPr>
              <w:pStyle w:val="Teksttabelisrodek"/>
            </w:pPr>
            <w:r w:rsidRPr="00795F17">
              <w:t>0</w:t>
            </w:r>
          </w:p>
        </w:tc>
      </w:tr>
    </w:tbl>
    <w:p w14:paraId="36974C4D" w14:textId="19C0C12E" w:rsidR="009560DD" w:rsidRPr="00795F17" w:rsidRDefault="009560DD" w:rsidP="0044393D">
      <w:pPr>
        <w:pStyle w:val="rdo"/>
      </w:pPr>
      <w:r w:rsidRPr="00795F17">
        <w:t xml:space="preserve">Źródło: </w:t>
      </w:r>
      <w:r w:rsidR="00A62769" w:rsidRPr="00795F17">
        <w:t>opracowanie własne na</w:t>
      </w:r>
      <w:r w:rsidR="004012C1" w:rsidRPr="00795F17">
        <w:t xml:space="preserve"> podstawie danych aPGW</w:t>
      </w:r>
    </w:p>
    <w:p w14:paraId="5EE05379" w14:textId="036022B6" w:rsidR="00494003" w:rsidRPr="00795F17" w:rsidRDefault="00D750E9" w:rsidP="00DE66D8">
      <w:r w:rsidRPr="00D750E9">
        <w:t xml:space="preserve">Ocenę osiągnięcia celów środowiskowych </w:t>
      </w:r>
      <w:r w:rsidR="00DF005E">
        <w:t>JCWP</w:t>
      </w:r>
      <w:r w:rsidRPr="00D750E9">
        <w:t xml:space="preserve"> RW ustalonych na lata 2016-2021 w oparciu o jednostki planistyczne aPGW (2016-2021) przedstawiono w załączniku nr </w:t>
      </w:r>
      <w:r w:rsidR="00617195">
        <w:t>7</w:t>
      </w:r>
      <w:r w:rsidR="004471A6">
        <w:t xml:space="preserve"> (Ocena </w:t>
      </w:r>
      <w:r w:rsidR="00960E2C">
        <w:t xml:space="preserve">stopnia </w:t>
      </w:r>
      <w:r w:rsidR="004471A6">
        <w:t xml:space="preserve">osiągnięcia celów środowiskowych </w:t>
      </w:r>
      <w:r w:rsidR="00DF005E">
        <w:t>JCWP</w:t>
      </w:r>
      <w:r w:rsidR="004471A6">
        <w:t>).</w:t>
      </w:r>
    </w:p>
    <w:p w14:paraId="59867238" w14:textId="79D5CB7C" w:rsidR="00A230D1" w:rsidRPr="00795F17" w:rsidRDefault="00A230D1" w:rsidP="0044393D">
      <w:pPr>
        <w:pStyle w:val="Nagwek5"/>
      </w:pPr>
      <w:r w:rsidRPr="00795F17">
        <w:t>Ocena osiągnięcia celów środowiskowych w odniesieniu do nowych jednostek planistycznych IIaPGW</w:t>
      </w:r>
      <w:r w:rsidR="005B30F4" w:rsidRPr="00795F17">
        <w:t xml:space="preserve"> (2022</w:t>
      </w:r>
      <w:r w:rsidR="008E1B58">
        <w:t>–</w:t>
      </w:r>
      <w:r w:rsidR="005B30F4" w:rsidRPr="00795F17">
        <w:t>2027)</w:t>
      </w:r>
    </w:p>
    <w:p w14:paraId="32D2EF18" w14:textId="3388D876" w:rsidR="00A230D1" w:rsidRPr="00795F17" w:rsidRDefault="00A230D1" w:rsidP="0044393D">
      <w:r w:rsidRPr="00795F17">
        <w:t xml:space="preserve">W wyniku dokonanej zmiany układu jednostek planistycznych, cel środowiskowy wyznaczony w aPGW przeniesiono dla 859 </w:t>
      </w:r>
      <w:r w:rsidR="00DF005E">
        <w:t>JCWP</w:t>
      </w:r>
      <w:r w:rsidRPr="00795F17">
        <w:t xml:space="preserve"> RW (67,5%) spośród wszystkich 1</w:t>
      </w:r>
      <w:r w:rsidR="00742B98" w:rsidRPr="00795F17">
        <w:t> </w:t>
      </w:r>
      <w:r w:rsidRPr="00795F17">
        <w:t xml:space="preserve">272 </w:t>
      </w:r>
      <w:r w:rsidR="00DF005E">
        <w:t>JCWP</w:t>
      </w:r>
      <w:r w:rsidRPr="00795F17">
        <w:t xml:space="preserve"> RW </w:t>
      </w:r>
      <w:r w:rsidR="005C5357">
        <w:t>na</w:t>
      </w:r>
      <w:r w:rsidRPr="00795F17">
        <w:t xml:space="preserve"> obszarze dorzecza Odry. Dla 413 (32,5%) nowo wyznaczonych </w:t>
      </w:r>
      <w:r w:rsidR="00DF005E">
        <w:t>JCWP</w:t>
      </w:r>
      <w:r w:rsidRPr="00795F17">
        <w:t xml:space="preserve"> cele środowiskowe nie zostały przeniesione. </w:t>
      </w:r>
    </w:p>
    <w:p w14:paraId="612B3585" w14:textId="77777777" w:rsidR="00A230D1" w:rsidRPr="00795F17" w:rsidRDefault="00A230D1" w:rsidP="0044393D">
      <w:r w:rsidRPr="00795F17">
        <w:t>W zakresie stanu i potencjału ekologicznego jako cel wskazano:</w:t>
      </w:r>
    </w:p>
    <w:p w14:paraId="51B12C4C" w14:textId="2372D044" w:rsidR="00A230D1" w:rsidRPr="00795F17" w:rsidRDefault="00A230D1" w:rsidP="00117E86">
      <w:pPr>
        <w:pStyle w:val="Listapunktowana2"/>
      </w:pPr>
      <w:r w:rsidRPr="00795F17">
        <w:t xml:space="preserve">dobry stan ekologiczny dla 446 </w:t>
      </w:r>
      <w:r w:rsidR="00DF005E">
        <w:t>JCWP</w:t>
      </w:r>
      <w:r w:rsidRPr="00795F17">
        <w:t xml:space="preserve"> (35,</w:t>
      </w:r>
      <w:r w:rsidR="005A1504">
        <w:t>1</w:t>
      </w:r>
      <w:r w:rsidRPr="00795F17">
        <w:t>%); </w:t>
      </w:r>
    </w:p>
    <w:p w14:paraId="14FD388D" w14:textId="211178F6" w:rsidR="00A230D1" w:rsidRPr="00795F17" w:rsidRDefault="00A230D1" w:rsidP="00117E86">
      <w:pPr>
        <w:pStyle w:val="Listapunktowana2"/>
      </w:pPr>
      <w:r w:rsidRPr="00795F17">
        <w:t xml:space="preserve">dobry potencjał ekologiczny dla 405 </w:t>
      </w:r>
      <w:r w:rsidR="00DF005E">
        <w:t>JCWP</w:t>
      </w:r>
      <w:r w:rsidRPr="00795F17">
        <w:t xml:space="preserve"> (31,8%); </w:t>
      </w:r>
    </w:p>
    <w:p w14:paraId="516F4400" w14:textId="4080E2BB" w:rsidR="00A230D1" w:rsidRPr="00795F17" w:rsidRDefault="00A230D1" w:rsidP="00117E86">
      <w:pPr>
        <w:pStyle w:val="Listapunktowana2"/>
      </w:pPr>
      <w:r w:rsidRPr="00795F17">
        <w:t xml:space="preserve">bardzo dobry stan ekologiczny dla 6 </w:t>
      </w:r>
      <w:r w:rsidR="00DF005E">
        <w:t>JCWP</w:t>
      </w:r>
      <w:r w:rsidRPr="00795F17">
        <w:t xml:space="preserve"> (0,5%); </w:t>
      </w:r>
    </w:p>
    <w:p w14:paraId="3490987B" w14:textId="71FE2B8F" w:rsidR="00A230D1" w:rsidRPr="00795F17" w:rsidRDefault="00A230D1" w:rsidP="00117E86">
      <w:pPr>
        <w:pStyle w:val="Listapunktowana2"/>
      </w:pPr>
      <w:r w:rsidRPr="00795F17">
        <w:t xml:space="preserve">maksymalny potencjał ekologiczny dla 2 </w:t>
      </w:r>
      <w:r w:rsidR="00DF005E">
        <w:t>JCWP</w:t>
      </w:r>
      <w:r w:rsidRPr="00795F17">
        <w:t xml:space="preserve"> (0,2%). </w:t>
      </w:r>
    </w:p>
    <w:p w14:paraId="2A36706A" w14:textId="3E3A285E" w:rsidR="00A230D1" w:rsidRPr="00795F17" w:rsidRDefault="00A230D1" w:rsidP="0044393D">
      <w:r w:rsidRPr="00795F17">
        <w:t xml:space="preserve">W przypadku 103 </w:t>
      </w:r>
      <w:r w:rsidR="00DF005E">
        <w:t>JCWP</w:t>
      </w:r>
      <w:r w:rsidRPr="00795F17">
        <w:t xml:space="preserve"> RW (8,1%) spośród wymienionych cel środowiskowy w zakresie stanu ekologicznego został uszczegółowiony ze względu na znaczenie danej </w:t>
      </w:r>
      <w:r w:rsidR="00DF005E">
        <w:t>JCWP</w:t>
      </w:r>
      <w:r w:rsidRPr="00795F17">
        <w:t xml:space="preserve"> dla migracji ichtiofauny (cieki istotne i szczególnie istotne dla migracji ryb wyznaczone w opracowaniu </w:t>
      </w:r>
      <w:r w:rsidR="00352F18" w:rsidRPr="00565786">
        <w:rPr>
          <w:i/>
          <w:iCs/>
        </w:rPr>
        <w:t>Ocena potrzeb i</w:t>
      </w:r>
      <w:r w:rsidR="00833DC9">
        <w:rPr>
          <w:i/>
          <w:iCs/>
        </w:rPr>
        <w:t> </w:t>
      </w:r>
      <w:r w:rsidR="00352F18" w:rsidRPr="00565786">
        <w:rPr>
          <w:i/>
          <w:iCs/>
        </w:rPr>
        <w:t xml:space="preserve">priorytetów udrożnienia ciągłości morfologicznej rzek </w:t>
      </w:r>
      <w:r w:rsidR="00352F18">
        <w:rPr>
          <w:i/>
          <w:iCs/>
        </w:rPr>
        <w:t>(….)</w:t>
      </w:r>
      <w:r w:rsidR="00CE64E7" w:rsidRPr="00795F17">
        <w:rPr>
          <w:rStyle w:val="Odwoanieprzypisudolnego"/>
          <w:rFonts w:asciiTheme="minorHAnsi" w:hAnsiTheme="minorHAnsi"/>
        </w:rPr>
        <w:footnoteReference w:id="57"/>
      </w:r>
      <w:r w:rsidRPr="00795F17">
        <w:t>).</w:t>
      </w:r>
    </w:p>
    <w:p w14:paraId="05836229" w14:textId="1545667E" w:rsidR="00A230D1" w:rsidRPr="00795F17" w:rsidRDefault="00A230D1" w:rsidP="0044393D">
      <w:r w:rsidRPr="00795F17">
        <w:t xml:space="preserve">W zakresie stanu chemicznego wszystkim 859 </w:t>
      </w:r>
      <w:r w:rsidR="00DF005E">
        <w:t>JCWP</w:t>
      </w:r>
      <w:r w:rsidRPr="00795F17">
        <w:t xml:space="preserve"> RW </w:t>
      </w:r>
      <w:r w:rsidR="00A508A9">
        <w:t>na</w:t>
      </w:r>
      <w:r w:rsidRPr="00795F17">
        <w:t xml:space="preserve"> obszarze dorzecza Odry, dla których wyznaczono cele środowiskowe, jako cel wskazano dobry stan chemiczny.</w:t>
      </w:r>
    </w:p>
    <w:p w14:paraId="1C597598" w14:textId="728002C4" w:rsidR="00A230D1" w:rsidRPr="00795F17" w:rsidRDefault="00A230D1" w:rsidP="0044393D">
      <w:r w:rsidRPr="00795F17">
        <w:t>Ocena stopnia osiągnięcia celów środowiskowych w zakresie stanu i potencjału ekologicznego z okresu przyjętego do analizy, tj. lat 2016</w:t>
      </w:r>
      <w:r w:rsidR="00814C01">
        <w:t>–</w:t>
      </w:r>
      <w:r w:rsidRPr="00795F17">
        <w:t>2021</w:t>
      </w:r>
      <w:r w:rsidR="00881471">
        <w:t xml:space="preserve"> (wykres 8-1)</w:t>
      </w:r>
      <w:r w:rsidRPr="00795F17">
        <w:t xml:space="preserve">, była dostępna dla 826 </w:t>
      </w:r>
      <w:r w:rsidR="00DF005E">
        <w:t>JCWP</w:t>
      </w:r>
      <w:r w:rsidRPr="00795F17">
        <w:t xml:space="preserve"> RW (64,9%) spośród 859 </w:t>
      </w:r>
      <w:r w:rsidR="00DF005E">
        <w:t>JCWP</w:t>
      </w:r>
      <w:r w:rsidRPr="00795F17">
        <w:t xml:space="preserve">, które miały przypisane cele środowiskowe z przeniesienia. W odniesieniu do stanu chemicznego ocena taka była możliwa w przypadku 565 </w:t>
      </w:r>
      <w:r w:rsidR="00DF005E">
        <w:t>JCWP</w:t>
      </w:r>
      <w:r w:rsidRPr="00795F17">
        <w:t xml:space="preserve"> RW (65,8%), dla których w aPGW wyznaczono cel środowiskowy w tym zakresie.</w:t>
      </w:r>
    </w:p>
    <w:p w14:paraId="2F0112A0" w14:textId="77777777" w:rsidR="00A230D1" w:rsidRPr="00795F17" w:rsidRDefault="00A230D1" w:rsidP="0044393D">
      <w:r w:rsidRPr="00795F17">
        <w:t>W zakresie stanu i potencjału ekologicznego:</w:t>
      </w:r>
    </w:p>
    <w:p w14:paraId="42C31420" w14:textId="4B09D253" w:rsidR="00A230D1" w:rsidRPr="00795F17" w:rsidRDefault="00A230D1" w:rsidP="00117E86">
      <w:pPr>
        <w:pStyle w:val="Listapunktowana2"/>
      </w:pPr>
      <w:r w:rsidRPr="00795F17">
        <w:t xml:space="preserve">65 </w:t>
      </w:r>
      <w:r w:rsidR="00DF005E">
        <w:t>JCWP</w:t>
      </w:r>
      <w:r w:rsidRPr="00795F17">
        <w:t xml:space="preserve"> RW (5,1% </w:t>
      </w:r>
      <w:r w:rsidR="00DF005E">
        <w:rPr>
          <w:rFonts w:asciiTheme="minorHAnsi" w:hAnsiTheme="minorHAnsi" w:cstheme="minorHAnsi"/>
        </w:rPr>
        <w:t>JCWP</w:t>
      </w:r>
      <w:r w:rsidRPr="00E45883">
        <w:rPr>
          <w:rFonts w:asciiTheme="minorHAnsi" w:hAnsiTheme="minorHAnsi" w:cstheme="minorHAnsi"/>
        </w:rPr>
        <w:t xml:space="preserve"> w </w:t>
      </w:r>
      <w:r w:rsidR="00FB15D5" w:rsidRPr="001677AC">
        <w:rPr>
          <w:rFonts w:asciiTheme="minorHAnsi" w:hAnsiTheme="minorHAnsi" w:cstheme="minorHAnsi"/>
        </w:rPr>
        <w:t xml:space="preserve">obszarze </w:t>
      </w:r>
      <w:r w:rsidRPr="00560155">
        <w:rPr>
          <w:rFonts w:asciiTheme="minorHAnsi" w:hAnsiTheme="minorHAnsi" w:cstheme="minorHAnsi"/>
        </w:rPr>
        <w:t>dorzecz</w:t>
      </w:r>
      <w:r w:rsidR="00FB15D5" w:rsidRPr="00560155">
        <w:rPr>
          <w:rFonts w:asciiTheme="minorHAnsi" w:hAnsiTheme="minorHAnsi" w:cstheme="minorHAnsi"/>
        </w:rPr>
        <w:t>a</w:t>
      </w:r>
      <w:r w:rsidRPr="00560155">
        <w:rPr>
          <w:rFonts w:asciiTheme="minorHAnsi" w:hAnsiTheme="minorHAnsi" w:cstheme="minorHAnsi"/>
        </w:rPr>
        <w:t xml:space="preserve"> Odry</w:t>
      </w:r>
      <w:r w:rsidRPr="00795F17">
        <w:t>) z dostępną oceną stanu i potencjału osiągnęło cel środowiskowy</w:t>
      </w:r>
      <w:r w:rsidR="00790A78">
        <w:t>; w</w:t>
      </w:r>
      <w:r w:rsidRPr="00795F17">
        <w:t xml:space="preserve">śród </w:t>
      </w:r>
      <w:r w:rsidR="00DF005E">
        <w:t>JCWP</w:t>
      </w:r>
      <w:r w:rsidRPr="00795F17">
        <w:t>, które osiągnęły cel środowiskowy były:</w:t>
      </w:r>
      <w:r w:rsidR="00C96211" w:rsidRPr="00795F17">
        <w:t xml:space="preserve"> </w:t>
      </w:r>
    </w:p>
    <w:p w14:paraId="50E7D7EE" w14:textId="0FEC5266" w:rsidR="00A230D1" w:rsidRPr="00795F17" w:rsidRDefault="006E3B5F" w:rsidP="001C46F7">
      <w:pPr>
        <w:pStyle w:val="Listapunktowana3"/>
      </w:pPr>
      <w:r>
        <w:t>35</w:t>
      </w:r>
      <w:r w:rsidR="00A230D1" w:rsidRPr="001C6219">
        <w:t xml:space="preserve"> </w:t>
      </w:r>
      <w:r w:rsidR="00DF005E">
        <w:t>JCWP</w:t>
      </w:r>
      <w:r w:rsidR="00A230D1" w:rsidRPr="00795F17">
        <w:t>, w których bardzo dobry i co najmniej dobry stan ekologiczny w ocenie aPGW zmienił się na dobry w aktualnej ocenie; </w:t>
      </w:r>
    </w:p>
    <w:p w14:paraId="6953AA2A" w14:textId="45D23E29" w:rsidR="00A230D1" w:rsidRPr="00795F17" w:rsidRDefault="00A230D1" w:rsidP="001C46F7">
      <w:pPr>
        <w:pStyle w:val="Listapunktowana3"/>
      </w:pPr>
      <w:r w:rsidRPr="00795F17">
        <w:t xml:space="preserve">16 </w:t>
      </w:r>
      <w:r w:rsidR="00DF005E">
        <w:t>JCWP</w:t>
      </w:r>
      <w:r w:rsidRPr="00795F17">
        <w:t xml:space="preserve"> o stanie dobrym i powyżej dobrego, które także obecnie mają stan dobry; </w:t>
      </w:r>
    </w:p>
    <w:p w14:paraId="49B3EBE4" w14:textId="0E84F302" w:rsidR="00A230D1" w:rsidRPr="00795F17" w:rsidRDefault="00A230D1" w:rsidP="001C46F7">
      <w:pPr>
        <w:pStyle w:val="Listapunktowana3"/>
      </w:pPr>
      <w:r w:rsidRPr="00795F17">
        <w:t xml:space="preserve">14 </w:t>
      </w:r>
      <w:r w:rsidR="00DF005E">
        <w:t>JCWP</w:t>
      </w:r>
      <w:r w:rsidRPr="00795F17">
        <w:t>, które utrzymały dobry stan/potencjał ekologiczny; </w:t>
      </w:r>
    </w:p>
    <w:p w14:paraId="166D737B" w14:textId="36B731A7" w:rsidR="00A230D1" w:rsidRPr="00795F17" w:rsidRDefault="00A230D1" w:rsidP="00117E86">
      <w:pPr>
        <w:pStyle w:val="Listapunktowana2"/>
      </w:pPr>
      <w:r w:rsidRPr="00795F17">
        <w:t xml:space="preserve">761 </w:t>
      </w:r>
      <w:r w:rsidR="00DF005E">
        <w:t>JCWP</w:t>
      </w:r>
      <w:r w:rsidRPr="00795F17">
        <w:t xml:space="preserve"> RW (</w:t>
      </w:r>
      <w:r w:rsidRPr="00795F17">
        <w:rPr>
          <w:rFonts w:asciiTheme="minorHAnsi" w:hAnsiTheme="minorHAnsi" w:cstheme="minorHAnsi"/>
        </w:rPr>
        <w:t>59,8%)</w:t>
      </w:r>
      <w:r w:rsidR="00790A78">
        <w:rPr>
          <w:rFonts w:asciiTheme="minorHAnsi" w:hAnsiTheme="minorHAnsi" w:cstheme="minorHAnsi"/>
        </w:rPr>
        <w:t xml:space="preserve"> na</w:t>
      </w:r>
      <w:r w:rsidRPr="00795F17">
        <w:t xml:space="preserve"> obszarze dorzecza Odry nie osiągnęło celu środowiskowego w</w:t>
      </w:r>
      <w:r w:rsidR="00790A78">
        <w:t> </w:t>
      </w:r>
      <w:r w:rsidRPr="00795F17">
        <w:t>zakresie stanu i potencjału ekologicznego;</w:t>
      </w:r>
    </w:p>
    <w:p w14:paraId="7FF3ED80" w14:textId="6DEF60BE" w:rsidR="00A230D1" w:rsidRPr="00795F17" w:rsidRDefault="00A230D1" w:rsidP="00117E86">
      <w:pPr>
        <w:pStyle w:val="Listapunktowana2"/>
      </w:pPr>
      <w:r w:rsidRPr="00795F17">
        <w:t xml:space="preserve">dla 446 nowych </w:t>
      </w:r>
      <w:r w:rsidR="00DF005E">
        <w:t>JCWP</w:t>
      </w:r>
      <w:r w:rsidRPr="00795F17">
        <w:t xml:space="preserve"> RW (wydzielonych w związku z dokonaną zmianą układu jednostek planistycznych) (35,1%) w obszarze dorzecza Odry nie wykonano oceny ze względu na brak celu środowiskowego z przeniesienia (413 </w:t>
      </w:r>
      <w:r w:rsidR="00DF005E">
        <w:t>JCWP</w:t>
      </w:r>
      <w:r w:rsidRPr="00795F17">
        <w:t xml:space="preserve">) lub brak danych monitoringowych (33 </w:t>
      </w:r>
      <w:r w:rsidR="00DF005E">
        <w:t>JCWP</w:t>
      </w:r>
      <w:r w:rsidRPr="00795F17">
        <w:t>)</w:t>
      </w:r>
      <w:r w:rsidR="00F06B43" w:rsidRPr="00795F17">
        <w:t>.</w:t>
      </w:r>
    </w:p>
    <w:p w14:paraId="4BEB5411" w14:textId="3C05129A" w:rsidR="00A230D1" w:rsidRPr="00795F17" w:rsidRDefault="00A230D1" w:rsidP="00F32E2F">
      <w:pPr>
        <w:spacing w:before="0" w:after="0"/>
      </w:pPr>
      <w:r w:rsidRPr="00795F17">
        <w:t>Podkreślić przy tym należy, że na każdym etapie tej procedury obowiązuje zasada „najgorszy decyduje”, co oznacza, że aby dana jednolita część wód uzyskała stan dobry, żaden z badanych i</w:t>
      </w:r>
      <w:r w:rsidR="009560DD" w:rsidRPr="00795F17">
        <w:t> </w:t>
      </w:r>
      <w:r w:rsidRPr="00795F17">
        <w:t>ocenianych wskaźników nie może przekroczyć wartości granicznych określonych dla dobrego stanu. Z</w:t>
      </w:r>
      <w:r w:rsidR="009560DD" w:rsidRPr="00795F17">
        <w:t> </w:t>
      </w:r>
      <w:r w:rsidRPr="00795F17">
        <w:t>tego właśnie powodu przypadki jednolitych części wód będących w dobrym stanie wciąż jeszcze nie</w:t>
      </w:r>
      <w:r w:rsidR="00AF701B">
        <w:t> </w:t>
      </w:r>
      <w:r w:rsidRPr="00795F17">
        <w:t>są liczne.</w:t>
      </w:r>
    </w:p>
    <w:p w14:paraId="5F6C0AFB" w14:textId="08A70B97" w:rsidR="008029CE" w:rsidRPr="00795F17" w:rsidRDefault="00F06B43" w:rsidP="001C46F7">
      <w:pPr>
        <w:jc w:val="center"/>
      </w:pPr>
      <w:r w:rsidRPr="00795F17">
        <w:rPr>
          <w:noProof/>
          <w:lang w:eastAsia="pl-PL"/>
        </w:rPr>
        <w:drawing>
          <wp:inline distT="0" distB="0" distL="0" distR="0" wp14:anchorId="0B744C97" wp14:editId="2B28C592">
            <wp:extent cx="5759450" cy="3245617"/>
            <wp:effectExtent l="0" t="0" r="12700" b="12065"/>
            <wp:docPr id="234" name="Wykres 234">
              <a:extLst xmlns:a="http://schemas.openxmlformats.org/drawingml/2006/main">
                <a:ext uri="{FF2B5EF4-FFF2-40B4-BE49-F238E27FC236}">
                  <a16:creationId xmlns:a16="http://schemas.microsoft.com/office/drawing/2014/main" id="{ABD6F1FA-66E4-4421-B1F0-105F0A387F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F2F7722" w14:textId="6E07AD24" w:rsidR="007C3FBB" w:rsidRPr="00795F17" w:rsidRDefault="008029CE" w:rsidP="00DE66D8">
      <w:pPr>
        <w:pStyle w:val="Wykres"/>
        <w:keepNext/>
        <w:widowControl/>
      </w:pPr>
      <w:bookmarkStart w:id="395" w:name="_Toc105512990"/>
      <w:r w:rsidRPr="00795F17">
        <w:t xml:space="preserve">Wykres </w:t>
      </w:r>
      <w:fldSimple w:instr=" STYLEREF 1 \s ">
        <w:r w:rsidR="001F774D">
          <w:rPr>
            <w:noProof/>
          </w:rPr>
          <w:t>8</w:t>
        </w:r>
      </w:fldSimple>
      <w:r w:rsidR="00FF20D3">
        <w:noBreakHyphen/>
      </w:r>
      <w:fldSimple w:instr=" SEQ Wykres \* ARABIC \s 1 ">
        <w:r w:rsidR="001F774D">
          <w:rPr>
            <w:noProof/>
          </w:rPr>
          <w:t>1</w:t>
        </w:r>
      </w:fldSimple>
      <w:r w:rsidR="00D328C1">
        <w:rPr>
          <w:noProof/>
        </w:rPr>
        <w:t>.</w:t>
      </w:r>
      <w:r w:rsidRPr="00795F17">
        <w:tab/>
      </w:r>
      <w:r w:rsidRPr="00795F17">
        <w:rPr>
          <w:lang w:eastAsia="pl-PL"/>
        </w:rPr>
        <w:t xml:space="preserve">Ocena osiągnięcia celów środowiskowych wyznaczonych w aPGW </w:t>
      </w:r>
      <w:r w:rsidR="00F06B43" w:rsidRPr="00795F17">
        <w:rPr>
          <w:lang w:eastAsia="pl-PL"/>
        </w:rPr>
        <w:t>(2016</w:t>
      </w:r>
      <w:r w:rsidR="00814C01">
        <w:rPr>
          <w:lang w:eastAsia="pl-PL"/>
        </w:rPr>
        <w:t>–</w:t>
      </w:r>
      <w:r w:rsidR="00F06B43" w:rsidRPr="00795F17">
        <w:rPr>
          <w:lang w:eastAsia="pl-PL"/>
        </w:rPr>
        <w:t xml:space="preserve">2021) </w:t>
      </w:r>
      <w:r w:rsidRPr="00795F17">
        <w:rPr>
          <w:lang w:eastAsia="pl-PL"/>
        </w:rPr>
        <w:t xml:space="preserve">dla stanu/potencjału ekologicznego w </w:t>
      </w:r>
      <w:r w:rsidR="00DF005E">
        <w:rPr>
          <w:lang w:eastAsia="pl-PL"/>
        </w:rPr>
        <w:t>JCWP</w:t>
      </w:r>
      <w:r w:rsidRPr="00795F17">
        <w:rPr>
          <w:lang w:eastAsia="pl-PL"/>
        </w:rPr>
        <w:t xml:space="preserve"> </w:t>
      </w:r>
      <w:r w:rsidR="00F06B43" w:rsidRPr="00795F17">
        <w:rPr>
          <w:lang w:eastAsia="pl-PL"/>
        </w:rPr>
        <w:t>RW</w:t>
      </w:r>
      <w:r w:rsidRPr="00795F17">
        <w:rPr>
          <w:lang w:eastAsia="pl-PL"/>
        </w:rPr>
        <w:t xml:space="preserve"> obszaru dorzecza Odry oraz w poszczególnych regionach wodnych tego </w:t>
      </w:r>
      <w:r w:rsidR="00FB15D5" w:rsidRPr="00795F17">
        <w:rPr>
          <w:lang w:eastAsia="pl-PL"/>
        </w:rPr>
        <w:t xml:space="preserve">obszaru </w:t>
      </w:r>
      <w:r w:rsidRPr="00795F17">
        <w:rPr>
          <w:lang w:eastAsia="pl-PL"/>
        </w:rPr>
        <w:t>dorzecza w oparciu o nowy układ jednostek planistycznych</w:t>
      </w:r>
      <w:bookmarkEnd w:id="395"/>
    </w:p>
    <w:p w14:paraId="0916A636" w14:textId="626563C7" w:rsidR="00A230D1" w:rsidRPr="00795F17" w:rsidRDefault="00A230D1" w:rsidP="0044393D">
      <w:pPr>
        <w:pStyle w:val="rdo"/>
      </w:pPr>
      <w:r w:rsidRPr="00795F17">
        <w:t xml:space="preserve">Źródło: </w:t>
      </w:r>
      <w:r w:rsidR="00FD7248" w:rsidRPr="00795F17">
        <w:t>opracowanie własne</w:t>
      </w:r>
      <w:r w:rsidR="00BF2B94" w:rsidRPr="00795F17">
        <w:t xml:space="preserve"> na podstawie danych</w:t>
      </w:r>
      <w:r w:rsidRPr="00795F17">
        <w:t xml:space="preserve"> </w:t>
      </w:r>
      <w:r w:rsidR="004012C1" w:rsidRPr="00795F17">
        <w:t>GIOŚ</w:t>
      </w:r>
    </w:p>
    <w:p w14:paraId="44F3224F" w14:textId="69308DDA" w:rsidR="00A230D1" w:rsidRPr="00795F17" w:rsidRDefault="00A230D1" w:rsidP="0044393D">
      <w:r w:rsidRPr="00795F17">
        <w:t>Ocena osiągnięcia celów środowiskowych w zakresie drożności cieków wskazuje (cele środowiskowe dotyczące zapewnienia drożności na ciekach istotnych i szczególnie istotnych z opracowania</w:t>
      </w:r>
      <w:r w:rsidR="00352F18">
        <w:t xml:space="preserve"> </w:t>
      </w:r>
      <w:r w:rsidR="00352F18" w:rsidRPr="00565786">
        <w:rPr>
          <w:i/>
          <w:iCs/>
        </w:rPr>
        <w:t>Ocena potrzeb i priorytetów udrożnienia ciągłości morfologicznej rzek</w:t>
      </w:r>
      <w:r w:rsidR="00553FC7">
        <w:rPr>
          <w:i/>
          <w:iCs/>
        </w:rPr>
        <w:t xml:space="preserve"> (…)</w:t>
      </w:r>
      <w:r w:rsidR="00814C01">
        <w:rPr>
          <w:rStyle w:val="Odwoanieprzypisudolnego"/>
        </w:rPr>
        <w:footnoteReference w:id="58"/>
      </w:r>
      <w:r w:rsidRPr="00795F17">
        <w:t xml:space="preserve">), że spośród 103 </w:t>
      </w:r>
      <w:r w:rsidR="00DF005E">
        <w:t>JCWP</w:t>
      </w:r>
      <w:r w:rsidRPr="00795F17">
        <w:t xml:space="preserve"> RW w 26 z</w:t>
      </w:r>
      <w:r w:rsidR="00F92238">
        <w:t> </w:t>
      </w:r>
      <w:r w:rsidRPr="00795F17">
        <w:t>nich (25,2%) taki cel został osiągnięty, podczas gdy</w:t>
      </w:r>
      <w:r w:rsidR="0057488F" w:rsidRPr="00795F17">
        <w:t> </w:t>
      </w:r>
      <w:r w:rsidRPr="00795F17">
        <w:t>w</w:t>
      </w:r>
      <w:r w:rsidR="009560DD" w:rsidRPr="00795F17">
        <w:t> </w:t>
      </w:r>
      <w:r w:rsidRPr="00795F17">
        <w:t xml:space="preserve">pozostałych 77 </w:t>
      </w:r>
      <w:r w:rsidR="00DF005E">
        <w:t>JCWP</w:t>
      </w:r>
      <w:r w:rsidRPr="00795F17">
        <w:t xml:space="preserve"> cel ten nie został osiągnięty (</w:t>
      </w:r>
      <w:r w:rsidR="00F62D5D" w:rsidRPr="00795F17">
        <w:t>wykres 8-</w:t>
      </w:r>
      <w:r w:rsidRPr="00795F17">
        <w:t xml:space="preserve">2). </w:t>
      </w:r>
      <w:r w:rsidR="00AB101D" w:rsidRPr="00795F17">
        <w:t xml:space="preserve">Oceniono, że w sumie w 14 </w:t>
      </w:r>
      <w:r w:rsidR="00DF005E">
        <w:t>JCWP</w:t>
      </w:r>
      <w:r w:rsidR="00AB101D" w:rsidRPr="00795F17">
        <w:t xml:space="preserve"> na</w:t>
      </w:r>
      <w:r w:rsidR="0057488F" w:rsidRPr="00795F17">
        <w:t> </w:t>
      </w:r>
      <w:r w:rsidR="00AB101D" w:rsidRPr="00795F17">
        <w:t>obszarze dorzecza Odry został osiągnięty cel w</w:t>
      </w:r>
      <w:r w:rsidR="00F92238">
        <w:t> </w:t>
      </w:r>
      <w:r w:rsidR="00AB101D" w:rsidRPr="00795F17">
        <w:t>zakresie utrzymania lub osiągnięcia co najmniej dobrego stanu bądź potencjału ekologicznego i</w:t>
      </w:r>
      <w:r w:rsidR="00F92238">
        <w:t> </w:t>
      </w:r>
      <w:r w:rsidR="00AB101D" w:rsidRPr="00795F17">
        <w:t>jednocześnie cel w zakresie drożności cieków dla</w:t>
      </w:r>
      <w:r w:rsidR="0057488F" w:rsidRPr="00795F17">
        <w:t> </w:t>
      </w:r>
      <w:r w:rsidR="00AB101D" w:rsidRPr="00795F17">
        <w:t>migracji ryb.</w:t>
      </w:r>
    </w:p>
    <w:p w14:paraId="57DB108C" w14:textId="15293972" w:rsidR="008029CE" w:rsidRPr="00795F17" w:rsidRDefault="00F06B43" w:rsidP="005842B5">
      <w:r w:rsidRPr="00795F17">
        <w:rPr>
          <w:noProof/>
          <w:lang w:eastAsia="pl-PL"/>
        </w:rPr>
        <w:drawing>
          <wp:inline distT="0" distB="0" distL="0" distR="0" wp14:anchorId="698D7964" wp14:editId="46301D89">
            <wp:extent cx="5760000" cy="3600000"/>
            <wp:effectExtent l="0" t="0" r="12700" b="635"/>
            <wp:docPr id="247" name="Wykres 247">
              <a:extLst xmlns:a="http://schemas.openxmlformats.org/drawingml/2006/main">
                <a:ext uri="{FF2B5EF4-FFF2-40B4-BE49-F238E27FC236}">
                  <a16:creationId xmlns:a16="http://schemas.microsoft.com/office/drawing/2014/main" id="{0EF0CED1-BBB0-439E-A1F3-D6E0930E8EBC}"/>
                </a:ext>
                <a:ext uri="{147F2762-F138-4A5C-976F-8EAC2B608ADB}">
                  <a16:predDERef xmlns:a16="http://schemas.microsoft.com/office/drawing/2014/main" pred="{ABD6F1FA-66E4-4421-B1F0-105F0A387F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066E96F" w14:textId="1F4590CE" w:rsidR="007C3FBB" w:rsidRPr="00795F17" w:rsidRDefault="008029CE" w:rsidP="00B479EE">
      <w:pPr>
        <w:pStyle w:val="Wykres"/>
      </w:pPr>
      <w:bookmarkStart w:id="396" w:name="_Toc105512991"/>
      <w:r w:rsidRPr="00795F17">
        <w:t xml:space="preserve">Wykres </w:t>
      </w:r>
      <w:fldSimple w:instr=" STYLEREF 1 \s ">
        <w:r w:rsidR="001F774D">
          <w:rPr>
            <w:noProof/>
          </w:rPr>
          <w:t>8</w:t>
        </w:r>
      </w:fldSimple>
      <w:r w:rsidR="00FF20D3">
        <w:noBreakHyphen/>
      </w:r>
      <w:fldSimple w:instr=" SEQ Wykres \* ARABIC \s 1 ">
        <w:r w:rsidR="001F774D">
          <w:rPr>
            <w:noProof/>
          </w:rPr>
          <w:t>2</w:t>
        </w:r>
      </w:fldSimple>
      <w:r w:rsidR="00B76352">
        <w:rPr>
          <w:noProof/>
        </w:rPr>
        <w:t>.</w:t>
      </w:r>
      <w:r w:rsidRPr="00795F17">
        <w:tab/>
      </w:r>
      <w:r w:rsidRPr="00795F17">
        <w:rPr>
          <w:lang w:eastAsia="pl-PL"/>
        </w:rPr>
        <w:t xml:space="preserve">Ocena osiągnięcia wyznaczonych w aPGW </w:t>
      </w:r>
      <w:r w:rsidR="00F06B43" w:rsidRPr="00795F17">
        <w:rPr>
          <w:lang w:eastAsia="pl-PL"/>
        </w:rPr>
        <w:t>(2016</w:t>
      </w:r>
      <w:r w:rsidR="00814C01">
        <w:rPr>
          <w:lang w:eastAsia="pl-PL"/>
        </w:rPr>
        <w:t>–</w:t>
      </w:r>
      <w:r w:rsidR="00F06B43" w:rsidRPr="00795F17">
        <w:rPr>
          <w:lang w:eastAsia="pl-PL"/>
        </w:rPr>
        <w:t xml:space="preserve">2021) </w:t>
      </w:r>
      <w:r w:rsidRPr="00795F17">
        <w:rPr>
          <w:lang w:eastAsia="pl-PL"/>
        </w:rPr>
        <w:t xml:space="preserve">celów środowiskowych w zakresie migracji ryb w </w:t>
      </w:r>
      <w:r w:rsidR="00DF005E">
        <w:rPr>
          <w:lang w:eastAsia="pl-PL"/>
        </w:rPr>
        <w:t>JCWP</w:t>
      </w:r>
      <w:r w:rsidRPr="00795F17">
        <w:rPr>
          <w:lang w:eastAsia="pl-PL"/>
        </w:rPr>
        <w:t xml:space="preserve"> </w:t>
      </w:r>
      <w:r w:rsidR="00F06B43" w:rsidRPr="00795F17">
        <w:rPr>
          <w:lang w:eastAsia="pl-PL"/>
        </w:rPr>
        <w:t>RW</w:t>
      </w:r>
      <w:r w:rsidRPr="00795F17">
        <w:rPr>
          <w:lang w:eastAsia="pl-PL"/>
        </w:rPr>
        <w:t xml:space="preserve"> obszaru dorzecza Odry oraz w</w:t>
      </w:r>
      <w:r w:rsidR="00F06B43" w:rsidRPr="00795F17">
        <w:rPr>
          <w:lang w:eastAsia="pl-PL"/>
        </w:rPr>
        <w:t> </w:t>
      </w:r>
      <w:r w:rsidRPr="00795F17">
        <w:rPr>
          <w:lang w:eastAsia="pl-PL"/>
        </w:rPr>
        <w:t xml:space="preserve">poszczególnych regionach wodnych tego </w:t>
      </w:r>
      <w:r w:rsidR="00FB15D5" w:rsidRPr="00795F17">
        <w:rPr>
          <w:lang w:eastAsia="pl-PL"/>
        </w:rPr>
        <w:t xml:space="preserve">obszaru </w:t>
      </w:r>
      <w:r w:rsidRPr="00795F17">
        <w:rPr>
          <w:lang w:eastAsia="pl-PL"/>
        </w:rPr>
        <w:t>dorzecza w oparciu o nowy układ jednostek planistycznych</w:t>
      </w:r>
      <w:bookmarkEnd w:id="396"/>
    </w:p>
    <w:p w14:paraId="2849F5DE" w14:textId="0C63490E" w:rsidR="00A230D1" w:rsidRPr="00795F17" w:rsidRDefault="00A230D1" w:rsidP="0044393D">
      <w:pPr>
        <w:pStyle w:val="rdo"/>
      </w:pPr>
      <w:r w:rsidRPr="00795F17">
        <w:t xml:space="preserve">Źródło: </w:t>
      </w:r>
      <w:r w:rsidR="00FD7248" w:rsidRPr="00795F17">
        <w:t>opracowanie własne</w:t>
      </w:r>
      <w:r w:rsidR="00BF2B94" w:rsidRPr="00795F17">
        <w:t xml:space="preserve"> na podstawie danych GIOŚ</w:t>
      </w:r>
    </w:p>
    <w:p w14:paraId="386A0E54" w14:textId="6D7B3BEF" w:rsidR="00A230D1" w:rsidRPr="00795F17" w:rsidRDefault="00A230D1" w:rsidP="0044393D">
      <w:r w:rsidRPr="00795F17">
        <w:t xml:space="preserve">W stosunku do </w:t>
      </w:r>
      <w:r w:rsidR="00DF005E">
        <w:t>JCWP</w:t>
      </w:r>
      <w:r w:rsidRPr="00795F17">
        <w:t xml:space="preserve"> rzecznych wyznaczono jeden cel środowiskowy w zakresie chemii </w:t>
      </w:r>
      <w:r w:rsidR="00814C01">
        <w:t>–</w:t>
      </w:r>
      <w:r w:rsidRPr="00795F17">
        <w:t xml:space="preserve"> dobry stan chemiczny </w:t>
      </w:r>
      <w:bookmarkStart w:id="397" w:name="_Hlk63429444"/>
      <w:bookmarkStart w:id="398" w:name="_Hlk63429622"/>
      <w:bookmarkStart w:id="399" w:name="_Hlk63430470"/>
      <w:r w:rsidRPr="00795F17">
        <w:t>(określony na podstawie klasyfikacji stanu chemicznego tych wód, dokonanej z</w:t>
      </w:r>
      <w:r w:rsidR="009560DD" w:rsidRPr="00795F17">
        <w:t> </w:t>
      </w:r>
      <w:r w:rsidRPr="00795F17">
        <w:t>uwzględnieniem definicji klasyfikacji tego stanu zgodnie z art. 16 pkt 8 pr.w.)</w:t>
      </w:r>
      <w:bookmarkEnd w:id="397"/>
      <w:r w:rsidRPr="00795F17">
        <w:t>.</w:t>
      </w:r>
      <w:bookmarkEnd w:id="398"/>
      <w:r w:rsidRPr="00795F17">
        <w:t xml:space="preserve"> </w:t>
      </w:r>
      <w:bookmarkEnd w:id="399"/>
      <w:r w:rsidRPr="00795F17">
        <w:t xml:space="preserve">Zgodnie z oceną aPGW, 365 </w:t>
      </w:r>
      <w:r w:rsidR="00DF005E">
        <w:t>JCWP</w:t>
      </w:r>
      <w:r w:rsidRPr="00795F17">
        <w:t xml:space="preserve"> rzeczne na obszarze dorzecza Odry charakteryzowały się dobrym stanem chemicznym. Analiza danych z lat 2016</w:t>
      </w:r>
      <w:r w:rsidR="00814C01">
        <w:t>–</w:t>
      </w:r>
      <w:r w:rsidRPr="00795F17">
        <w:t xml:space="preserve">2021 wskazuje, że 22 spośród tych </w:t>
      </w:r>
      <w:r w:rsidR="00DF005E">
        <w:t>JCWP</w:t>
      </w:r>
      <w:r w:rsidRPr="00795F17">
        <w:t xml:space="preserve"> utrzymało dobry stan chemiczny, podczas gdy w 217 </w:t>
      </w:r>
      <w:r w:rsidR="00DF005E">
        <w:t>JCWP</w:t>
      </w:r>
      <w:r w:rsidRPr="00795F17">
        <w:t xml:space="preserve"> stan ten pogorszył się do poniżej dobrego. W odniesieniu do</w:t>
      </w:r>
      <w:r w:rsidR="00560155">
        <w:t> </w:t>
      </w:r>
      <w:r w:rsidRPr="00795F17">
        <w:t xml:space="preserve">27 </w:t>
      </w:r>
      <w:r w:rsidR="00DF005E">
        <w:t>JCWP</w:t>
      </w:r>
      <w:r w:rsidRPr="00795F17">
        <w:t xml:space="preserve"> rzecznych wykazano poprawę stanu chemicznego. Przyczyny nieosiągnięcia celu środowiskowego wyznaczonego w aPGW są związane przede wszystkim z dopływem zanieczyszczeń antropogenicznych, co zostało przedstawione w rozdziale 7 IIaPGW. Ponadto pośrednie przyczyny zostały także wskazane w rozdziale 9 niniejszego opracowania. W stosunku do 707 </w:t>
      </w:r>
      <w:r w:rsidR="00DF005E">
        <w:t>JCWP</w:t>
      </w:r>
      <w:r w:rsidRPr="00795F17">
        <w:t xml:space="preserve"> rzecznych nie</w:t>
      </w:r>
      <w:r w:rsidR="00560155">
        <w:t> </w:t>
      </w:r>
      <w:r w:rsidRPr="00795F17">
        <w:t xml:space="preserve">można wskazać stopnia realizacji celu środowiskowego ze względu na nowo wyznaczone </w:t>
      </w:r>
      <w:r w:rsidR="00DF005E">
        <w:t>JCWP</w:t>
      </w:r>
      <w:r w:rsidRPr="00795F17">
        <w:t>, do</w:t>
      </w:r>
      <w:r w:rsidR="006575EB" w:rsidRPr="00795F17">
        <w:t> </w:t>
      </w:r>
      <w:r w:rsidRPr="00795F17">
        <w:t xml:space="preserve">których cel nie został ustanowiony oraz ze względu na brak </w:t>
      </w:r>
      <w:r w:rsidR="00C12087">
        <w:t>klasyfikacji stanu chemicznego</w:t>
      </w:r>
      <w:r w:rsidRPr="00795F17">
        <w:t xml:space="preserve"> </w:t>
      </w:r>
      <w:r w:rsidR="00DF005E">
        <w:t>JCWP</w:t>
      </w:r>
      <w:r w:rsidRPr="00795F17">
        <w:t xml:space="preserve"> w</w:t>
      </w:r>
      <w:r w:rsidR="006575EB" w:rsidRPr="00795F17">
        <w:t> </w:t>
      </w:r>
      <w:r w:rsidRPr="00795F17">
        <w:t>okresie 2014</w:t>
      </w:r>
      <w:r w:rsidR="003C670D">
        <w:t>–</w:t>
      </w:r>
      <w:r w:rsidRPr="00795F17">
        <w:t xml:space="preserve">2019. </w:t>
      </w:r>
    </w:p>
    <w:p w14:paraId="57B48DB2" w14:textId="2E7F8B30" w:rsidR="00A230D1" w:rsidRPr="00795F17" w:rsidRDefault="00A230D1" w:rsidP="0044393D">
      <w:r w:rsidRPr="00795F17">
        <w:t xml:space="preserve">Zgodnie z przeprowadzonymi analizami, w każdym regionie wodnym znajdującym się </w:t>
      </w:r>
      <w:r w:rsidR="00BC00B8">
        <w:t>na</w:t>
      </w:r>
      <w:r w:rsidRPr="00795F17">
        <w:t xml:space="preserve"> obszarze dorzecza Odry, stopień osiągnięcia celu środowiskowego w zakresie stanu chemicznego wyniósł poniżej 80%. W przypadku </w:t>
      </w:r>
      <w:r w:rsidR="00DF005E">
        <w:t>JCWP</w:t>
      </w:r>
      <w:r w:rsidRPr="00795F17">
        <w:t xml:space="preserve"> rzecznych cel został osiągnięty w zakresie od 1,5% w regionie wodnym Dolnej Odry i Przymorza Zachodniego do 10% w regionie wodnym Warty</w:t>
      </w:r>
      <w:r w:rsidR="001914EC" w:rsidRPr="00795F17">
        <w:t>.</w:t>
      </w:r>
    </w:p>
    <w:p w14:paraId="44ACD60E" w14:textId="47DF2457" w:rsidR="00A230D1" w:rsidRPr="00795F17" w:rsidRDefault="00A230D1" w:rsidP="0044393D">
      <w:r w:rsidRPr="00795F17">
        <w:t>Powyższe dane w przeliczeniu na wszystkie 1</w:t>
      </w:r>
      <w:r w:rsidR="001914EC" w:rsidRPr="00795F17">
        <w:t> </w:t>
      </w:r>
      <w:r w:rsidRPr="00795F17">
        <w:t xml:space="preserve">272 </w:t>
      </w:r>
      <w:r w:rsidR="00DF005E">
        <w:t>JCWP</w:t>
      </w:r>
      <w:r w:rsidRPr="00795F17">
        <w:t xml:space="preserve"> rzeczne zlokalizowane na obszarze dorzecza Odry przedstawiono na </w:t>
      </w:r>
      <w:r w:rsidR="001914EC" w:rsidRPr="00795F17">
        <w:t>poniższym wykresie (wykres 8-</w:t>
      </w:r>
      <w:r w:rsidRPr="00795F17">
        <w:t>3</w:t>
      </w:r>
      <w:r w:rsidR="001914EC" w:rsidRPr="00795F17">
        <w:t>).</w:t>
      </w:r>
    </w:p>
    <w:p w14:paraId="55057661" w14:textId="529654B7" w:rsidR="008029CE" w:rsidRPr="00795F17" w:rsidRDefault="00FE0E9B" w:rsidP="005842B5">
      <w:r w:rsidRPr="00795F17">
        <w:rPr>
          <w:noProof/>
          <w:lang w:eastAsia="pl-PL"/>
        </w:rPr>
        <w:drawing>
          <wp:inline distT="0" distB="0" distL="0" distR="0" wp14:anchorId="6C3CCD3D" wp14:editId="19D4D390">
            <wp:extent cx="5760000" cy="3600000"/>
            <wp:effectExtent l="0" t="0" r="12700" b="635"/>
            <wp:docPr id="254" name="Wykres 254">
              <a:extLst xmlns:a="http://schemas.openxmlformats.org/drawingml/2006/main">
                <a:ext uri="{FF2B5EF4-FFF2-40B4-BE49-F238E27FC236}">
                  <a16:creationId xmlns:a16="http://schemas.microsoft.com/office/drawing/2014/main" id="{65FECE67-8AA8-46FC-971B-4B1D129D90C9}"/>
                </a:ext>
                <a:ext uri="{147F2762-F138-4A5C-976F-8EAC2B608ADB}">
                  <a16:predDERef xmlns:a16="http://schemas.microsoft.com/office/drawing/2014/main" pred="{0EF0CED1-BBB0-439E-A1F3-D6E0930E8EB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11D1C07" w14:textId="77777777" w:rsidR="00E4649B" w:rsidRDefault="00E4649B" w:rsidP="00B479EE">
      <w:pPr>
        <w:pStyle w:val="Wykres"/>
      </w:pPr>
    </w:p>
    <w:p w14:paraId="6AE93252" w14:textId="4AD0E16A" w:rsidR="007C3FBB" w:rsidRPr="00795F17" w:rsidRDefault="008029CE" w:rsidP="00B479EE">
      <w:pPr>
        <w:pStyle w:val="Wykres"/>
      </w:pPr>
      <w:bookmarkStart w:id="400" w:name="_Toc105512992"/>
      <w:r w:rsidRPr="00795F17">
        <w:t xml:space="preserve">Wykres </w:t>
      </w:r>
      <w:fldSimple w:instr=" STYLEREF 1 \s ">
        <w:r w:rsidR="001F774D">
          <w:rPr>
            <w:noProof/>
          </w:rPr>
          <w:t>8</w:t>
        </w:r>
      </w:fldSimple>
      <w:r w:rsidR="00FF20D3">
        <w:noBreakHyphen/>
      </w:r>
      <w:fldSimple w:instr=" SEQ Wykres \* ARABIC \s 1 ">
        <w:r w:rsidR="001F774D">
          <w:rPr>
            <w:noProof/>
          </w:rPr>
          <w:t>3</w:t>
        </w:r>
      </w:fldSimple>
      <w:r w:rsidR="00B76352">
        <w:rPr>
          <w:noProof/>
        </w:rPr>
        <w:t>.</w:t>
      </w:r>
      <w:r w:rsidRPr="00795F17">
        <w:tab/>
      </w:r>
      <w:r w:rsidRPr="00795F17">
        <w:rPr>
          <w:lang w:eastAsia="pl-PL"/>
        </w:rPr>
        <w:t xml:space="preserve">Ocena osiągnięcia wyznaczonych w aPGW </w:t>
      </w:r>
      <w:r w:rsidR="00F06B43" w:rsidRPr="00795F17">
        <w:rPr>
          <w:lang w:eastAsia="pl-PL"/>
        </w:rPr>
        <w:t>(2016</w:t>
      </w:r>
      <w:r w:rsidR="00814C01">
        <w:rPr>
          <w:lang w:eastAsia="pl-PL"/>
        </w:rPr>
        <w:t>–</w:t>
      </w:r>
      <w:r w:rsidR="00F06B43" w:rsidRPr="00795F17">
        <w:rPr>
          <w:lang w:eastAsia="pl-PL"/>
        </w:rPr>
        <w:t xml:space="preserve">2021) </w:t>
      </w:r>
      <w:r w:rsidRPr="00795F17">
        <w:rPr>
          <w:lang w:eastAsia="pl-PL"/>
        </w:rPr>
        <w:t xml:space="preserve">celów środowiskowych w zakresie stanu chemicznego w </w:t>
      </w:r>
      <w:r w:rsidR="00DF005E">
        <w:rPr>
          <w:lang w:eastAsia="pl-PL"/>
        </w:rPr>
        <w:t>JCWP</w:t>
      </w:r>
      <w:r w:rsidRPr="00795F17">
        <w:rPr>
          <w:lang w:eastAsia="pl-PL"/>
        </w:rPr>
        <w:t xml:space="preserve"> </w:t>
      </w:r>
      <w:r w:rsidR="00F06B43" w:rsidRPr="00795F17">
        <w:rPr>
          <w:lang w:eastAsia="pl-PL"/>
        </w:rPr>
        <w:t>RW</w:t>
      </w:r>
      <w:r w:rsidRPr="00795F17">
        <w:rPr>
          <w:lang w:eastAsia="pl-PL"/>
        </w:rPr>
        <w:t xml:space="preserve"> na obszarze dorzecza Odry oraz w</w:t>
      </w:r>
      <w:r w:rsidR="00F06B43" w:rsidRPr="00795F17">
        <w:rPr>
          <w:lang w:eastAsia="pl-PL"/>
        </w:rPr>
        <w:t> </w:t>
      </w:r>
      <w:r w:rsidRPr="00795F17">
        <w:rPr>
          <w:lang w:eastAsia="pl-PL"/>
        </w:rPr>
        <w:t xml:space="preserve">poszczególnych regionach wodnych tego </w:t>
      </w:r>
      <w:r w:rsidR="00FB15D5" w:rsidRPr="00795F17">
        <w:rPr>
          <w:lang w:eastAsia="pl-PL"/>
        </w:rPr>
        <w:t xml:space="preserve">obszaru </w:t>
      </w:r>
      <w:r w:rsidRPr="00795F17">
        <w:rPr>
          <w:lang w:eastAsia="pl-PL"/>
        </w:rPr>
        <w:t>dorzecza w oparciu o nowy układ jednostek planistycznych</w:t>
      </w:r>
      <w:bookmarkEnd w:id="400"/>
    </w:p>
    <w:p w14:paraId="51AF52F5" w14:textId="47DA5636" w:rsidR="00A230D1" w:rsidRPr="00795F17" w:rsidRDefault="00A230D1" w:rsidP="0044393D">
      <w:pPr>
        <w:pStyle w:val="rdo"/>
      </w:pPr>
      <w:r w:rsidRPr="00795F17">
        <w:t>Źródło:</w:t>
      </w:r>
      <w:r w:rsidR="00AD5CB7" w:rsidRPr="00795F17">
        <w:t xml:space="preserve"> </w:t>
      </w:r>
      <w:r w:rsidR="00BF2B94" w:rsidRPr="00795F17">
        <w:t>opracowanie własne na podstawie danych GIOŚ</w:t>
      </w:r>
    </w:p>
    <w:p w14:paraId="17B74288" w14:textId="1B88BC68" w:rsidR="00A230D1" w:rsidRPr="00795F17" w:rsidRDefault="00A230D1" w:rsidP="0044393D">
      <w:r w:rsidRPr="00795F17">
        <w:t>Połączenie wyników analizy osiągnięcia celów środowiskowych w odniesieniu do wszystkich 1</w:t>
      </w:r>
      <w:r w:rsidR="00766342" w:rsidRPr="00795F17">
        <w:t> </w:t>
      </w:r>
      <w:r w:rsidRPr="00795F17">
        <w:t xml:space="preserve">272 </w:t>
      </w:r>
      <w:r w:rsidR="00DF005E">
        <w:t>JCWP</w:t>
      </w:r>
      <w:r w:rsidRPr="00795F17">
        <w:t xml:space="preserve"> RW znajdujących się na obszarze dorzecza Odry na nowym układzie jednostek planistycznych umożliwiło ocenę </w:t>
      </w:r>
      <w:r w:rsidR="009B7C75" w:rsidRPr="00795F17">
        <w:t xml:space="preserve">osiągnięcia celów środowiskowych w zakresie </w:t>
      </w:r>
      <w:r w:rsidRPr="00795F17">
        <w:t>stanu ogólnego (</w:t>
      </w:r>
      <w:r w:rsidR="00F62D5D" w:rsidRPr="00795F17">
        <w:t>wykres 8-</w:t>
      </w:r>
      <w:r w:rsidRPr="00795F17">
        <w:t>4):</w:t>
      </w:r>
    </w:p>
    <w:p w14:paraId="6C801ACB" w14:textId="6949855F" w:rsidR="00A230D1" w:rsidRPr="00795F17" w:rsidRDefault="00A230D1" w:rsidP="00117E86">
      <w:pPr>
        <w:pStyle w:val="Listapunktowana2"/>
      </w:pPr>
      <w:r w:rsidRPr="00795F17">
        <w:t xml:space="preserve">1 </w:t>
      </w:r>
      <w:r w:rsidR="00DF005E">
        <w:t>JCWP</w:t>
      </w:r>
      <w:r w:rsidRPr="00795F17">
        <w:t xml:space="preserve"> RW </w:t>
      </w:r>
      <w:r w:rsidR="004F74A8" w:rsidRPr="00795F17">
        <w:t>osiągn</w:t>
      </w:r>
      <w:r w:rsidR="00D40E32">
        <w:t>ęła</w:t>
      </w:r>
      <w:r w:rsidRPr="00795F17">
        <w:t xml:space="preserve"> cel środowiskowy w zakresie wszystkich wymagań, a więc stan wód został w</w:t>
      </w:r>
      <w:r w:rsidR="00FE0E9B" w:rsidRPr="00795F17">
        <w:t> </w:t>
      </w:r>
      <w:r w:rsidRPr="00795F17">
        <w:t>ni</w:t>
      </w:r>
      <w:r w:rsidR="00347703">
        <w:t>ej</w:t>
      </w:r>
      <w:r w:rsidRPr="00795F17">
        <w:t xml:space="preserve"> określony jako dobry (</w:t>
      </w:r>
      <w:r w:rsidR="00DF005E">
        <w:t>JCWP</w:t>
      </w:r>
      <w:r w:rsidRPr="00795F17">
        <w:t xml:space="preserve"> zlokalizowan</w:t>
      </w:r>
      <w:r w:rsidR="005D29D7">
        <w:t>a</w:t>
      </w:r>
      <w:r w:rsidRPr="00795F17">
        <w:t xml:space="preserve"> w regionie wodny</w:t>
      </w:r>
      <w:r w:rsidR="00D40602">
        <w:t>m</w:t>
      </w:r>
      <w:r w:rsidRPr="00795F17">
        <w:t xml:space="preserve"> Dolnej Odry i Przymorza Zachodniego);</w:t>
      </w:r>
    </w:p>
    <w:p w14:paraId="0990D137" w14:textId="2AF0ED5A" w:rsidR="00A230D1" w:rsidRPr="00795F17" w:rsidRDefault="00A230D1" w:rsidP="00117E86">
      <w:pPr>
        <w:pStyle w:val="Listapunktowana2"/>
      </w:pPr>
      <w:r w:rsidRPr="00795F17">
        <w:t xml:space="preserve">812 </w:t>
      </w:r>
      <w:r w:rsidR="00DF005E">
        <w:t>JCWP</w:t>
      </w:r>
      <w:r w:rsidRPr="00795F17">
        <w:t xml:space="preserve"> RW (63,8%) nie </w:t>
      </w:r>
      <w:r w:rsidR="004F74A8" w:rsidRPr="00795F17">
        <w:t>osiągnęło</w:t>
      </w:r>
      <w:r w:rsidRPr="00795F17">
        <w:t xml:space="preserve"> celów dla stanu ogólnego;</w:t>
      </w:r>
    </w:p>
    <w:p w14:paraId="38BA6BFE" w14:textId="4BC85163" w:rsidR="008029CE" w:rsidRPr="00795F17" w:rsidRDefault="003C670D" w:rsidP="00117E86">
      <w:pPr>
        <w:pStyle w:val="Listapunktowana2"/>
      </w:pPr>
      <w:r>
        <w:t>w</w:t>
      </w:r>
      <w:r w:rsidR="00A230D1" w:rsidRPr="00795F17">
        <w:t xml:space="preserve"> stosunku do 459 </w:t>
      </w:r>
      <w:r w:rsidR="00DF005E">
        <w:t>JCWP</w:t>
      </w:r>
      <w:r w:rsidR="00A230D1" w:rsidRPr="00795F17">
        <w:t xml:space="preserve"> </w:t>
      </w:r>
      <w:r w:rsidR="004F74A8" w:rsidRPr="00795F17">
        <w:t>RW</w:t>
      </w:r>
      <w:r w:rsidR="00A230D1" w:rsidRPr="00795F17">
        <w:t xml:space="preserve"> (36,1%), w tym 413 nowych </w:t>
      </w:r>
      <w:r w:rsidR="00DF005E">
        <w:t>JCWP</w:t>
      </w:r>
      <w:r w:rsidR="00A230D1" w:rsidRPr="00795F17">
        <w:t>, zlokalizowanych na</w:t>
      </w:r>
      <w:r w:rsidR="004F74A8" w:rsidRPr="00795F17">
        <w:t xml:space="preserve"> </w:t>
      </w:r>
      <w:r w:rsidR="00A230D1" w:rsidRPr="00795F17">
        <w:t>obszarze dorzecza Odry brak danych uniemożliwił ocenę stanu bądź osiągnięcie celów w</w:t>
      </w:r>
      <w:r w:rsidR="00FE0E9B" w:rsidRPr="00795F17">
        <w:t> </w:t>
      </w:r>
      <w:r w:rsidR="00A230D1" w:rsidRPr="00795F17">
        <w:t>zakresie stanu ogólnego.</w:t>
      </w:r>
    </w:p>
    <w:p w14:paraId="005B6EED" w14:textId="17EFC445" w:rsidR="00192E7A" w:rsidRDefault="00192E7A" w:rsidP="001C46F7">
      <w:pPr>
        <w:pStyle w:val="Wykres"/>
        <w:jc w:val="center"/>
      </w:pPr>
      <w:r>
        <w:rPr>
          <w:noProof/>
        </w:rPr>
        <w:drawing>
          <wp:inline distT="0" distB="0" distL="0" distR="0" wp14:anchorId="644943DC" wp14:editId="5CE69196">
            <wp:extent cx="5760720" cy="3303373"/>
            <wp:effectExtent l="0" t="0" r="11430" b="11430"/>
            <wp:docPr id="73" name="Wykres 73">
              <a:extLst xmlns:a="http://schemas.openxmlformats.org/drawingml/2006/main">
                <a:ext uri="{FF2B5EF4-FFF2-40B4-BE49-F238E27FC236}">
                  <a16:creationId xmlns:a16="http://schemas.microsoft.com/office/drawing/2014/main" id="{00000000-0008-0000-0300-000005000000}"/>
                </a:ext>
                <a:ext uri="{147F2762-F138-4A5C-976F-8EAC2B608ADB}">
                  <a16:predDERef xmlns:a16="http://schemas.microsoft.com/office/drawing/2014/main" pre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2287113C" w14:textId="4A646A49" w:rsidR="007C3FBB" w:rsidRPr="00795F17" w:rsidRDefault="008029CE" w:rsidP="00B479EE">
      <w:pPr>
        <w:pStyle w:val="Wykres"/>
      </w:pPr>
      <w:bookmarkStart w:id="401" w:name="_Toc105512993"/>
      <w:r w:rsidRPr="00795F17">
        <w:t xml:space="preserve">Wykres </w:t>
      </w:r>
      <w:fldSimple w:instr=" STYLEREF 1 \s ">
        <w:r w:rsidR="001F774D">
          <w:rPr>
            <w:noProof/>
          </w:rPr>
          <w:t>8</w:t>
        </w:r>
      </w:fldSimple>
      <w:r w:rsidR="00FF20D3">
        <w:noBreakHyphen/>
      </w:r>
      <w:fldSimple w:instr=" SEQ Wykres \* ARABIC \s 1 ">
        <w:r w:rsidR="001F774D">
          <w:rPr>
            <w:noProof/>
          </w:rPr>
          <w:t>4</w:t>
        </w:r>
      </w:fldSimple>
      <w:r w:rsidR="00B76352">
        <w:rPr>
          <w:noProof/>
        </w:rPr>
        <w:t>.</w:t>
      </w:r>
      <w:r w:rsidRPr="00795F17">
        <w:tab/>
      </w:r>
      <w:r w:rsidRPr="00795F17">
        <w:rPr>
          <w:lang w:eastAsia="pl-PL"/>
        </w:rPr>
        <w:t xml:space="preserve">Ocena osiągnięcia wyznaczonych w aPGW </w:t>
      </w:r>
      <w:r w:rsidR="00FE0E9B" w:rsidRPr="00795F17">
        <w:rPr>
          <w:lang w:eastAsia="pl-PL"/>
        </w:rPr>
        <w:t>(2016</w:t>
      </w:r>
      <w:r w:rsidR="00814C01">
        <w:rPr>
          <w:lang w:eastAsia="pl-PL"/>
        </w:rPr>
        <w:t>–</w:t>
      </w:r>
      <w:r w:rsidR="00FE0E9B" w:rsidRPr="00795F17">
        <w:rPr>
          <w:lang w:eastAsia="pl-PL"/>
        </w:rPr>
        <w:t xml:space="preserve">2021) </w:t>
      </w:r>
      <w:r w:rsidRPr="00795F17">
        <w:rPr>
          <w:lang w:eastAsia="pl-PL"/>
        </w:rPr>
        <w:t xml:space="preserve">celów środowiskowych w zakresie stanu ogólnego w </w:t>
      </w:r>
      <w:r w:rsidR="00DF005E">
        <w:rPr>
          <w:lang w:eastAsia="pl-PL"/>
        </w:rPr>
        <w:t>JCWP</w:t>
      </w:r>
      <w:r w:rsidRPr="00795F17">
        <w:rPr>
          <w:lang w:eastAsia="pl-PL"/>
        </w:rPr>
        <w:t xml:space="preserve"> </w:t>
      </w:r>
      <w:r w:rsidR="006575EB" w:rsidRPr="00795F17">
        <w:rPr>
          <w:lang w:eastAsia="pl-PL"/>
        </w:rPr>
        <w:t>RW</w:t>
      </w:r>
      <w:r w:rsidRPr="00795F17">
        <w:rPr>
          <w:lang w:eastAsia="pl-PL"/>
        </w:rPr>
        <w:t xml:space="preserve"> na obszarze dorzecza Odry w</w:t>
      </w:r>
      <w:r w:rsidR="006575EB" w:rsidRPr="00795F17">
        <w:rPr>
          <w:lang w:eastAsia="pl-PL"/>
        </w:rPr>
        <w:t xml:space="preserve"> </w:t>
      </w:r>
      <w:r w:rsidRPr="00795F17">
        <w:rPr>
          <w:lang w:eastAsia="pl-PL"/>
        </w:rPr>
        <w:t>oparciu o nowy układ jednostek planistycznych</w:t>
      </w:r>
      <w:bookmarkEnd w:id="401"/>
    </w:p>
    <w:p w14:paraId="444990C4" w14:textId="517A238C" w:rsidR="00A230D1" w:rsidRPr="00795F17" w:rsidRDefault="00A230D1" w:rsidP="0044393D">
      <w:pPr>
        <w:pStyle w:val="rdo"/>
      </w:pPr>
      <w:r w:rsidRPr="00795F17">
        <w:t>Źródło:</w:t>
      </w:r>
      <w:r w:rsidR="00AD5CB7" w:rsidRPr="00795F17">
        <w:t xml:space="preserve"> </w:t>
      </w:r>
      <w:r w:rsidR="00BF2B94" w:rsidRPr="00795F17">
        <w:t>opracowanie własne na podstawie danych GIOŚ</w:t>
      </w:r>
    </w:p>
    <w:p w14:paraId="1C5A4C3F" w14:textId="531F09B9" w:rsidR="00A230D1" w:rsidRPr="00795F17" w:rsidRDefault="00A230D1" w:rsidP="0044393D">
      <w:r w:rsidRPr="00795F17">
        <w:t xml:space="preserve">Informacje dotyczące celów środowiskowych ustalonych dla każdej </w:t>
      </w:r>
      <w:r w:rsidR="00DF005E">
        <w:t>JCWP</w:t>
      </w:r>
      <w:r w:rsidRPr="00795F17">
        <w:t xml:space="preserve"> RW z ustanowionymi odstępstwami od osiągnięcia celów środowiskowych stanowią element załącznika nr 1 (Zestawienie główne). Załącznik </w:t>
      </w:r>
      <w:r w:rsidR="00FE0E9B" w:rsidRPr="00795F17">
        <w:t>ten</w:t>
      </w:r>
      <w:r w:rsidRPr="00795F17">
        <w:t xml:space="preserve"> przedstawia również uzasadnienia dla wyznaczonych odstępstw z art. 4 RDW.</w:t>
      </w:r>
    </w:p>
    <w:p w14:paraId="5A4BA5DD" w14:textId="1EFB703E" w:rsidR="00CC6FA5" w:rsidRPr="00795F17" w:rsidRDefault="00CC6FA5" w:rsidP="0044393D">
      <w:r w:rsidRPr="00795F17">
        <w:t xml:space="preserve">Ocenę stopnia </w:t>
      </w:r>
      <w:r w:rsidR="0064673B" w:rsidRPr="00795F17">
        <w:t>osiągnięcia</w:t>
      </w:r>
      <w:r w:rsidRPr="00795F17">
        <w:t xml:space="preserve"> celów środowiskowych </w:t>
      </w:r>
      <w:r w:rsidR="00DF005E">
        <w:t>JCWP</w:t>
      </w:r>
      <w:r w:rsidRPr="00795F17">
        <w:t xml:space="preserve"> RW przedstawiono w załączniku nr </w:t>
      </w:r>
      <w:r w:rsidR="00617195">
        <w:t>7</w:t>
      </w:r>
      <w:r w:rsidR="009B7C75" w:rsidRPr="00795F17">
        <w:t xml:space="preserve"> (Ocena </w:t>
      </w:r>
      <w:r w:rsidR="0064673B" w:rsidRPr="00795F17">
        <w:t>osiągnięcia</w:t>
      </w:r>
      <w:r w:rsidR="009B7C75" w:rsidRPr="00795F17">
        <w:t xml:space="preserve"> celów środowiskowych </w:t>
      </w:r>
      <w:r w:rsidR="00DF005E">
        <w:t>JCWP</w:t>
      </w:r>
      <w:r w:rsidR="009B7C75" w:rsidRPr="00795F17">
        <w:t>)</w:t>
      </w:r>
      <w:r w:rsidRPr="00795F17">
        <w:t>.</w:t>
      </w:r>
    </w:p>
    <w:p w14:paraId="4F2BCDA0" w14:textId="3DE404A0" w:rsidR="00A230D1" w:rsidRPr="00795F17" w:rsidRDefault="00A230D1" w:rsidP="00C53C86">
      <w:pPr>
        <w:pStyle w:val="Nagwek3"/>
      </w:pPr>
      <w:bookmarkStart w:id="402" w:name="_Toc105512657"/>
      <w:r w:rsidRPr="00795F17">
        <w:t xml:space="preserve">Ocena osiągnięcia celów środowiskowych </w:t>
      </w:r>
      <w:r w:rsidR="00DF005E">
        <w:t>JCWP</w:t>
      </w:r>
      <w:r w:rsidRPr="00795F17">
        <w:t xml:space="preserve"> RWr</w:t>
      </w:r>
      <w:bookmarkEnd w:id="402"/>
    </w:p>
    <w:p w14:paraId="5E7C4A91" w14:textId="6534F97D" w:rsidR="00A230D1" w:rsidRPr="00795F17" w:rsidRDefault="005B30F4" w:rsidP="0044393D">
      <w:pPr>
        <w:pStyle w:val="Nagwek5"/>
      </w:pPr>
      <w:r w:rsidRPr="00795F17">
        <w:t>Ocena osiągnięcia celów środowiskowych w odniesieniu do jednostek planistycznych aPGW (2016</w:t>
      </w:r>
      <w:r w:rsidR="00814C01">
        <w:t>–</w:t>
      </w:r>
      <w:r w:rsidRPr="00795F17">
        <w:t>2021)</w:t>
      </w:r>
    </w:p>
    <w:p w14:paraId="6145758A" w14:textId="488F2B44" w:rsidR="00A230D1" w:rsidRPr="00795F17" w:rsidRDefault="00A230D1" w:rsidP="0044393D">
      <w:r w:rsidRPr="00795F17">
        <w:t xml:space="preserve">Cele środowiskowe w odniesieniu do stanu i potencjału ekologicznego oraz stanu chemicznego zostały wskazane w aPGW dla 16 </w:t>
      </w:r>
      <w:r w:rsidR="00DF005E">
        <w:t>JCWP</w:t>
      </w:r>
      <w:r w:rsidRPr="00795F17">
        <w:t xml:space="preserve"> RWr (zgodnie z obowiązującym w okresie 2016</w:t>
      </w:r>
      <w:r w:rsidR="00814C01">
        <w:t>–</w:t>
      </w:r>
      <w:r w:rsidRPr="00795F17">
        <w:t xml:space="preserve">2021 układem planistycznym). Ocena stopnia osiągnięcia celów środowiskowych dla stanu/potencjału ekologicznego </w:t>
      </w:r>
      <w:r w:rsidR="00AB37C4">
        <w:t xml:space="preserve">w </w:t>
      </w:r>
      <w:r w:rsidRPr="00795F17">
        <w:t xml:space="preserve">układzie jednostek planistycznych </w:t>
      </w:r>
      <w:r w:rsidR="001E3385" w:rsidRPr="00795F17">
        <w:t>2016</w:t>
      </w:r>
      <w:r w:rsidR="00814C01">
        <w:t>–</w:t>
      </w:r>
      <w:r w:rsidR="001E3385" w:rsidRPr="00795F17">
        <w:t xml:space="preserve">2021 </w:t>
      </w:r>
      <w:r w:rsidRPr="00795F17">
        <w:t xml:space="preserve">wykazała, iż cel środowiskowy osiągnięto w 2 </w:t>
      </w:r>
      <w:r w:rsidR="00DF005E">
        <w:t>JCWP</w:t>
      </w:r>
      <w:r w:rsidRPr="00795F17">
        <w:t xml:space="preserve"> RWr (12,5% wszystkich </w:t>
      </w:r>
      <w:r w:rsidR="00DF005E">
        <w:t>JCWP</w:t>
      </w:r>
      <w:r w:rsidRPr="00795F17">
        <w:t xml:space="preserve"> zbiornikowych </w:t>
      </w:r>
      <w:r w:rsidR="00784474">
        <w:t>na</w:t>
      </w:r>
      <w:r w:rsidRPr="00795F17">
        <w:t xml:space="preserve"> </w:t>
      </w:r>
      <w:r w:rsidR="00FB15D5" w:rsidRPr="00795F17">
        <w:t xml:space="preserve">obszarze </w:t>
      </w:r>
      <w:r w:rsidRPr="00795F17">
        <w:t>dorzecz</w:t>
      </w:r>
      <w:r w:rsidR="00FB15D5" w:rsidRPr="00795F17">
        <w:t>a</w:t>
      </w:r>
      <w:r w:rsidRPr="00795F17">
        <w:t xml:space="preserve"> Odry). W przypadku stanu chemicznego cel został osiągnięty tylko w stosunku do jedne</w:t>
      </w:r>
      <w:r w:rsidR="00784474">
        <w:t xml:space="preserve">j </w:t>
      </w:r>
      <w:r w:rsidR="00DF005E">
        <w:t>JCWP</w:t>
      </w:r>
      <w:r w:rsidRPr="00795F17">
        <w:t xml:space="preserve"> (6,2% wszystkich </w:t>
      </w:r>
      <w:r w:rsidR="00DF005E">
        <w:t>JCWP</w:t>
      </w:r>
      <w:r w:rsidRPr="00795F17">
        <w:t xml:space="preserve"> zbiornikowych</w:t>
      </w:r>
      <w:r w:rsidR="00FB15D5" w:rsidRPr="00795F17">
        <w:t xml:space="preserve"> </w:t>
      </w:r>
      <w:r w:rsidR="00784474">
        <w:t>na</w:t>
      </w:r>
      <w:r w:rsidR="00FB15D5" w:rsidRPr="00795F17" w:rsidDel="00784474">
        <w:t xml:space="preserve"> </w:t>
      </w:r>
      <w:r w:rsidR="00FB15D5" w:rsidRPr="00795F17">
        <w:t xml:space="preserve">obszarze </w:t>
      </w:r>
      <w:r w:rsidRPr="00795F17">
        <w:t>dorzecz</w:t>
      </w:r>
      <w:r w:rsidR="00FB15D5" w:rsidRPr="00795F17">
        <w:t>a</w:t>
      </w:r>
      <w:r w:rsidRPr="00795F17">
        <w:t xml:space="preserve"> Odry). Dla 12 </w:t>
      </w:r>
      <w:r w:rsidR="00DF005E">
        <w:t>JCWP</w:t>
      </w:r>
      <w:r w:rsidRPr="00795F17">
        <w:t xml:space="preserve"> (75% wszystkich </w:t>
      </w:r>
      <w:r w:rsidR="00DF005E">
        <w:t>JCWP</w:t>
      </w:r>
      <w:r w:rsidRPr="00795F17">
        <w:t>) zaplanowano odstępstwo z art. 4</w:t>
      </w:r>
      <w:r w:rsidR="002A71D9" w:rsidRPr="00795F17">
        <w:t xml:space="preserve"> ust. </w:t>
      </w:r>
      <w:r w:rsidRPr="00795F17">
        <w:t>4 RDW oraz dla jedne</w:t>
      </w:r>
      <w:r w:rsidR="00777FFA">
        <w:t>j</w:t>
      </w:r>
      <w:r w:rsidRPr="00795F17">
        <w:t xml:space="preserve"> </w:t>
      </w:r>
      <w:r w:rsidR="00DF005E">
        <w:t>JCWP</w:t>
      </w:r>
      <w:r w:rsidRPr="00795F17">
        <w:t xml:space="preserve"> z art. 4</w:t>
      </w:r>
      <w:r w:rsidR="002A71D9" w:rsidRPr="00795F17">
        <w:t xml:space="preserve"> ust. </w:t>
      </w:r>
      <w:r w:rsidRPr="00795F17">
        <w:t>5 RDW. Analiza stopnia osiągnięcia celów środowiskowych wykazała, iż dobry stan wód nie został osiągnięty w żadn</w:t>
      </w:r>
      <w:r w:rsidR="00777FFA">
        <w:t xml:space="preserve">ej </w:t>
      </w:r>
      <w:r w:rsidR="00DF005E">
        <w:t>JCWP</w:t>
      </w:r>
      <w:r w:rsidRPr="00795F17">
        <w:t xml:space="preserve"> zbiornikow</w:t>
      </w:r>
      <w:r w:rsidR="00777FFA">
        <w:t>ej</w:t>
      </w:r>
      <w:r w:rsidRPr="00795F17">
        <w:t xml:space="preserve"> (tabela </w:t>
      </w:r>
      <w:r w:rsidR="00062A80" w:rsidRPr="00795F17">
        <w:t>8-</w:t>
      </w:r>
      <w:r w:rsidR="005E49A4" w:rsidRPr="00795F17">
        <w:t>9</w:t>
      </w:r>
      <w:r w:rsidRPr="00795F17">
        <w:t>).</w:t>
      </w:r>
      <w:r w:rsidR="006E1762">
        <w:t xml:space="preserve"> Tabelaryczne podsumowanie oceny o</w:t>
      </w:r>
      <w:r w:rsidR="006E1762" w:rsidRPr="00EB64B4">
        <w:t xml:space="preserve">siągnięcia celów środowiskowych </w:t>
      </w:r>
      <w:r w:rsidR="00DF005E">
        <w:t>JCWP</w:t>
      </w:r>
      <w:r w:rsidR="006E1762">
        <w:t xml:space="preserve"> przedstawia załącznik nr </w:t>
      </w:r>
      <w:r w:rsidR="00617195">
        <w:t>7</w:t>
      </w:r>
      <w:r w:rsidR="004471A6">
        <w:t xml:space="preserve"> (Ocena osiągnięcia celów środowiskowych </w:t>
      </w:r>
      <w:r w:rsidR="00DF005E">
        <w:t>JCWP</w:t>
      </w:r>
      <w:r w:rsidR="004471A6">
        <w:t>).</w:t>
      </w:r>
    </w:p>
    <w:p w14:paraId="40BB194E" w14:textId="3556EE2C" w:rsidR="00A230D1" w:rsidRPr="00795F17" w:rsidRDefault="00A230D1" w:rsidP="004D7705">
      <w:pPr>
        <w:pStyle w:val="Tabela"/>
      </w:pPr>
      <w:bookmarkStart w:id="403" w:name="_Toc105512819"/>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1F774D">
        <w:rPr>
          <w:bCs/>
          <w:noProof/>
        </w:rPr>
        <w:t>8</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1F774D">
        <w:rPr>
          <w:bCs/>
          <w:noProof/>
        </w:rPr>
        <w:t>9</w:t>
      </w:r>
      <w:r w:rsidR="00BB3B21" w:rsidRPr="00795F17">
        <w:rPr>
          <w:bCs/>
        </w:rPr>
        <w:fldChar w:fldCharType="end"/>
      </w:r>
      <w:r w:rsidR="00E76356">
        <w:rPr>
          <w:bCs/>
        </w:rPr>
        <w:t>.</w:t>
      </w:r>
      <w:r w:rsidRPr="00795F17">
        <w:tab/>
      </w:r>
      <w:r w:rsidR="00FE0E9B" w:rsidRPr="00795F17">
        <w:rPr>
          <w:lang w:eastAsia="pl-PL"/>
        </w:rPr>
        <w:t>Osiągnięcie celów środowiskowych ustalonych na lata 2016</w:t>
      </w:r>
      <w:r w:rsidR="00814C01">
        <w:rPr>
          <w:lang w:eastAsia="pl-PL"/>
        </w:rPr>
        <w:t>–</w:t>
      </w:r>
      <w:r w:rsidR="00FE0E9B" w:rsidRPr="00795F17">
        <w:rPr>
          <w:lang w:eastAsia="pl-PL"/>
        </w:rPr>
        <w:t xml:space="preserve">2021 dla </w:t>
      </w:r>
      <w:r w:rsidR="00DF005E">
        <w:rPr>
          <w:lang w:eastAsia="pl-PL"/>
        </w:rPr>
        <w:t>JCWP</w:t>
      </w:r>
      <w:r w:rsidR="00FE0E9B" w:rsidRPr="00795F17">
        <w:rPr>
          <w:lang w:eastAsia="pl-PL"/>
        </w:rPr>
        <w:t xml:space="preserve"> RWr na obszarze dorzecza Odry w oparciu o jednostki planistyczne aPGW</w:t>
      </w:r>
      <w:bookmarkEnd w:id="4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22"/>
        <w:gridCol w:w="991"/>
        <w:gridCol w:w="1189"/>
        <w:gridCol w:w="1189"/>
        <w:gridCol w:w="1450"/>
        <w:gridCol w:w="1135"/>
        <w:gridCol w:w="986"/>
      </w:tblGrid>
      <w:tr w:rsidR="00FE0E9B" w:rsidRPr="00795F17" w14:paraId="5A69DA3B" w14:textId="77777777" w:rsidTr="00FE0E9B">
        <w:trPr>
          <w:trHeight w:val="454"/>
        </w:trPr>
        <w:tc>
          <w:tcPr>
            <w:tcW w:w="1171" w:type="pct"/>
            <w:vMerge w:val="restart"/>
            <w:shd w:val="clear" w:color="auto" w:fill="BFBFBF" w:themeFill="background1" w:themeFillShade="BF"/>
            <w:vAlign w:val="center"/>
            <w:hideMark/>
          </w:tcPr>
          <w:p w14:paraId="350B998B" w14:textId="77777777" w:rsidR="00FE0E9B" w:rsidRPr="00795F17" w:rsidRDefault="00FE0E9B" w:rsidP="0044393D">
            <w:pPr>
              <w:pStyle w:val="Teksttabelinaglowek"/>
              <w:rPr>
                <w:rFonts w:cstheme="minorHAnsi"/>
              </w:rPr>
            </w:pPr>
            <w:r w:rsidRPr="00795F17">
              <w:t>Region wodny</w:t>
            </w:r>
          </w:p>
        </w:tc>
        <w:tc>
          <w:tcPr>
            <w:tcW w:w="547" w:type="pct"/>
            <w:vMerge w:val="restart"/>
            <w:shd w:val="clear" w:color="auto" w:fill="BFBFBF" w:themeFill="background1" w:themeFillShade="BF"/>
            <w:vAlign w:val="center"/>
            <w:hideMark/>
          </w:tcPr>
          <w:p w14:paraId="49884248" w14:textId="48D1B2BE" w:rsidR="00FE0E9B" w:rsidRPr="00795F17" w:rsidRDefault="00FE0E9B" w:rsidP="0044393D">
            <w:pPr>
              <w:pStyle w:val="Teksttabelinaglowek"/>
              <w:rPr>
                <w:rFonts w:cstheme="minorHAnsi"/>
              </w:rPr>
            </w:pPr>
            <w:r w:rsidRPr="00795F17">
              <w:t xml:space="preserve">Liczba </w:t>
            </w:r>
            <w:r w:rsidR="00DF005E">
              <w:t>JCWP</w:t>
            </w:r>
            <w:r w:rsidRPr="00795F17">
              <w:t xml:space="preserve"> RWr</w:t>
            </w:r>
          </w:p>
          <w:p w14:paraId="190E3CAB" w14:textId="272357A8" w:rsidR="00FE0E9B" w:rsidRPr="00795F17" w:rsidRDefault="00FE0E9B" w:rsidP="0044393D">
            <w:pPr>
              <w:pStyle w:val="Teksttabelinaglowek"/>
            </w:pPr>
            <w:r w:rsidRPr="00795F17">
              <w:t>ogółem </w:t>
            </w:r>
          </w:p>
        </w:tc>
        <w:tc>
          <w:tcPr>
            <w:tcW w:w="1312" w:type="pct"/>
            <w:gridSpan w:val="2"/>
            <w:shd w:val="clear" w:color="auto" w:fill="BFBFBF" w:themeFill="background1" w:themeFillShade="BF"/>
            <w:vAlign w:val="center"/>
            <w:hideMark/>
          </w:tcPr>
          <w:p w14:paraId="523A376C" w14:textId="3FD797EB" w:rsidR="00FE0E9B" w:rsidRPr="00795F17" w:rsidRDefault="00FE0E9B" w:rsidP="0044393D">
            <w:pPr>
              <w:pStyle w:val="Teksttabelinaglowek"/>
              <w:rPr>
                <w:rFonts w:cstheme="minorHAnsi"/>
              </w:rPr>
            </w:pPr>
            <w:r w:rsidRPr="00795F17">
              <w:t>Liczba jcw RWr z</w:t>
            </w:r>
            <w:r w:rsidR="00DF3CE8">
              <w:t> </w:t>
            </w:r>
            <w:r w:rsidRPr="00795F17">
              <w:t>odstępstwem wskazanym w aPGW (2016</w:t>
            </w:r>
            <w:r w:rsidR="00814C01">
              <w:t>–</w:t>
            </w:r>
            <w:r w:rsidRPr="00795F17">
              <w:t>2021)</w:t>
            </w:r>
          </w:p>
        </w:tc>
        <w:tc>
          <w:tcPr>
            <w:tcW w:w="1970" w:type="pct"/>
            <w:gridSpan w:val="3"/>
            <w:shd w:val="clear" w:color="auto" w:fill="BFBFBF" w:themeFill="background1" w:themeFillShade="BF"/>
            <w:vAlign w:val="center"/>
            <w:hideMark/>
          </w:tcPr>
          <w:p w14:paraId="1E6D1921" w14:textId="68BE812F" w:rsidR="00FE0E9B" w:rsidRPr="00795F17" w:rsidRDefault="00FE0E9B" w:rsidP="0044393D">
            <w:pPr>
              <w:pStyle w:val="Teksttabelinaglowek"/>
              <w:rPr>
                <w:rFonts w:cstheme="minorHAnsi"/>
              </w:rPr>
            </w:pPr>
            <w:r w:rsidRPr="00795F17">
              <w:t xml:space="preserve">Liczba </w:t>
            </w:r>
            <w:r w:rsidR="00DF005E">
              <w:t>JCWP</w:t>
            </w:r>
            <w:r w:rsidRPr="00795F17">
              <w:t xml:space="preserve"> RWr, które osiągnęły</w:t>
            </w:r>
            <w:r w:rsidRPr="00795F17">
              <w:rPr>
                <w:rFonts w:cstheme="minorHAnsi"/>
              </w:rPr>
              <w:t xml:space="preserve"> cele środowiskowe</w:t>
            </w:r>
          </w:p>
        </w:tc>
      </w:tr>
      <w:tr w:rsidR="00FE0E9B" w:rsidRPr="00795F17" w14:paraId="19655BD3" w14:textId="77777777" w:rsidTr="00FE0E9B">
        <w:trPr>
          <w:trHeight w:val="454"/>
        </w:trPr>
        <w:tc>
          <w:tcPr>
            <w:tcW w:w="1171" w:type="pct"/>
            <w:vMerge/>
            <w:shd w:val="clear" w:color="auto" w:fill="BFBFBF" w:themeFill="background1" w:themeFillShade="BF"/>
            <w:vAlign w:val="center"/>
            <w:hideMark/>
          </w:tcPr>
          <w:p w14:paraId="29E60212" w14:textId="77777777" w:rsidR="00FE0E9B" w:rsidRPr="00795F17" w:rsidRDefault="00FE0E9B" w:rsidP="0044393D">
            <w:pPr>
              <w:pStyle w:val="Teksttabeliprawy"/>
            </w:pPr>
          </w:p>
        </w:tc>
        <w:tc>
          <w:tcPr>
            <w:tcW w:w="547" w:type="pct"/>
            <w:vMerge/>
            <w:shd w:val="clear" w:color="auto" w:fill="BFBFBF" w:themeFill="background1" w:themeFillShade="BF"/>
            <w:vAlign w:val="center"/>
            <w:hideMark/>
          </w:tcPr>
          <w:p w14:paraId="77EA30F2" w14:textId="3D88407A" w:rsidR="00FE0E9B" w:rsidRPr="00795F17" w:rsidRDefault="00FE0E9B" w:rsidP="0065243A">
            <w:pPr>
              <w:pStyle w:val="Teksttabelisrodek"/>
            </w:pPr>
          </w:p>
        </w:tc>
        <w:tc>
          <w:tcPr>
            <w:tcW w:w="656" w:type="pct"/>
            <w:shd w:val="clear" w:color="auto" w:fill="BFBFBF" w:themeFill="background1" w:themeFillShade="BF"/>
            <w:vAlign w:val="center"/>
            <w:hideMark/>
          </w:tcPr>
          <w:p w14:paraId="6E64ADE5" w14:textId="35E2BD31" w:rsidR="00FE0E9B" w:rsidRPr="00795F17" w:rsidRDefault="00FE0E9B" w:rsidP="0044393D">
            <w:pPr>
              <w:pStyle w:val="Teksttabelinaglowek"/>
              <w:rPr>
                <w:rFonts w:cstheme="minorHAnsi"/>
              </w:rPr>
            </w:pPr>
            <w:r w:rsidRPr="00795F17">
              <w:t>Art. 4 ust. 4 RDW</w:t>
            </w:r>
          </w:p>
        </w:tc>
        <w:tc>
          <w:tcPr>
            <w:tcW w:w="656" w:type="pct"/>
            <w:shd w:val="clear" w:color="auto" w:fill="BFBFBF" w:themeFill="background1" w:themeFillShade="BF"/>
            <w:vAlign w:val="center"/>
            <w:hideMark/>
          </w:tcPr>
          <w:p w14:paraId="27701F4E" w14:textId="55B2A808" w:rsidR="00FE0E9B" w:rsidRPr="00795F17" w:rsidRDefault="00FE0E9B" w:rsidP="0044393D">
            <w:pPr>
              <w:pStyle w:val="Teksttabelinaglowek"/>
              <w:rPr>
                <w:rFonts w:cstheme="minorHAnsi"/>
              </w:rPr>
            </w:pPr>
            <w:r w:rsidRPr="00795F17">
              <w:t>Art. 4 ust. 5 RDW</w:t>
            </w:r>
          </w:p>
        </w:tc>
        <w:tc>
          <w:tcPr>
            <w:tcW w:w="800" w:type="pct"/>
            <w:shd w:val="clear" w:color="auto" w:fill="BFBFBF" w:themeFill="background1" w:themeFillShade="BF"/>
            <w:vAlign w:val="center"/>
            <w:hideMark/>
          </w:tcPr>
          <w:p w14:paraId="136DC995" w14:textId="0AAC85AD" w:rsidR="00FE0E9B" w:rsidRPr="00795F17" w:rsidRDefault="00FE0E9B" w:rsidP="0044393D">
            <w:pPr>
              <w:pStyle w:val="Teksttabelinaglowek"/>
              <w:rPr>
                <w:rFonts w:cstheme="minorHAnsi"/>
              </w:rPr>
            </w:pPr>
            <w:r w:rsidRPr="00795F17">
              <w:t>Stan/potencjał ekologiczny</w:t>
            </w:r>
          </w:p>
        </w:tc>
        <w:tc>
          <w:tcPr>
            <w:tcW w:w="626" w:type="pct"/>
            <w:shd w:val="clear" w:color="auto" w:fill="BFBFBF" w:themeFill="background1" w:themeFillShade="BF"/>
            <w:vAlign w:val="center"/>
            <w:hideMark/>
          </w:tcPr>
          <w:p w14:paraId="75DB0F39" w14:textId="77777777" w:rsidR="00FE0E9B" w:rsidRPr="00795F17" w:rsidRDefault="00FE0E9B" w:rsidP="0044393D">
            <w:pPr>
              <w:pStyle w:val="Teksttabelinaglowek"/>
              <w:rPr>
                <w:rFonts w:cstheme="minorHAnsi"/>
              </w:rPr>
            </w:pPr>
            <w:r w:rsidRPr="00795F17">
              <w:t>Stan chemiczny</w:t>
            </w:r>
          </w:p>
        </w:tc>
        <w:tc>
          <w:tcPr>
            <w:tcW w:w="544" w:type="pct"/>
            <w:shd w:val="clear" w:color="auto" w:fill="BFBFBF" w:themeFill="background1" w:themeFillShade="BF"/>
            <w:vAlign w:val="center"/>
            <w:hideMark/>
          </w:tcPr>
          <w:p w14:paraId="6FE40374" w14:textId="3F498BC7" w:rsidR="00FE0E9B" w:rsidRPr="00795F17" w:rsidRDefault="00FE0E9B" w:rsidP="0044393D">
            <w:pPr>
              <w:pStyle w:val="Teksttabelinaglowek"/>
            </w:pPr>
            <w:r w:rsidRPr="00795F17">
              <w:t>Stan ogólny</w:t>
            </w:r>
          </w:p>
        </w:tc>
      </w:tr>
      <w:tr w:rsidR="00A230D1" w:rsidRPr="00795F17" w14:paraId="4738003E" w14:textId="77777777" w:rsidTr="00FE0E9B">
        <w:trPr>
          <w:trHeight w:val="454"/>
        </w:trPr>
        <w:tc>
          <w:tcPr>
            <w:tcW w:w="1171" w:type="pct"/>
            <w:shd w:val="clear" w:color="auto" w:fill="auto"/>
            <w:vAlign w:val="center"/>
            <w:hideMark/>
          </w:tcPr>
          <w:p w14:paraId="0D930749" w14:textId="77777777" w:rsidR="00A230D1" w:rsidRPr="00795F17" w:rsidRDefault="00A230D1" w:rsidP="006575EB">
            <w:pPr>
              <w:pStyle w:val="Teksttabelilewy"/>
              <w:rPr>
                <w:rFonts w:asciiTheme="minorHAnsi" w:hAnsiTheme="minorHAnsi" w:cstheme="minorHAnsi"/>
                <w:szCs w:val="20"/>
              </w:rPr>
            </w:pPr>
            <w:r w:rsidRPr="00795F17">
              <w:t>Górnej Odry</w:t>
            </w:r>
          </w:p>
        </w:tc>
        <w:tc>
          <w:tcPr>
            <w:tcW w:w="547" w:type="pct"/>
            <w:shd w:val="clear" w:color="auto" w:fill="auto"/>
            <w:vAlign w:val="center"/>
            <w:hideMark/>
          </w:tcPr>
          <w:p w14:paraId="5C8B27BA" w14:textId="77777777" w:rsidR="00A230D1" w:rsidRPr="00795F17" w:rsidRDefault="00A230D1" w:rsidP="0065243A">
            <w:pPr>
              <w:pStyle w:val="Teksttabelisrodek"/>
              <w:rPr>
                <w:rFonts w:asciiTheme="minorHAnsi" w:hAnsiTheme="minorHAnsi" w:cstheme="minorHAnsi"/>
                <w:szCs w:val="20"/>
              </w:rPr>
            </w:pPr>
            <w:r w:rsidRPr="00795F17">
              <w:t>4</w:t>
            </w:r>
          </w:p>
        </w:tc>
        <w:tc>
          <w:tcPr>
            <w:tcW w:w="656" w:type="pct"/>
            <w:shd w:val="clear" w:color="auto" w:fill="auto"/>
            <w:vAlign w:val="center"/>
            <w:hideMark/>
          </w:tcPr>
          <w:p w14:paraId="617FEADA" w14:textId="77777777" w:rsidR="00A230D1" w:rsidRPr="00795F17" w:rsidRDefault="00A230D1" w:rsidP="0065243A">
            <w:pPr>
              <w:pStyle w:val="Teksttabelisrodek"/>
              <w:rPr>
                <w:rFonts w:asciiTheme="minorHAnsi" w:hAnsiTheme="minorHAnsi" w:cstheme="minorHAnsi"/>
                <w:szCs w:val="20"/>
              </w:rPr>
            </w:pPr>
            <w:r w:rsidRPr="00795F17">
              <w:t>3</w:t>
            </w:r>
          </w:p>
        </w:tc>
        <w:tc>
          <w:tcPr>
            <w:tcW w:w="656" w:type="pct"/>
            <w:shd w:val="clear" w:color="auto" w:fill="auto"/>
            <w:vAlign w:val="center"/>
            <w:hideMark/>
          </w:tcPr>
          <w:p w14:paraId="036196B3" w14:textId="77777777" w:rsidR="00A230D1" w:rsidRPr="00795F17" w:rsidRDefault="00A230D1" w:rsidP="0065243A">
            <w:pPr>
              <w:pStyle w:val="Teksttabelisrodek"/>
              <w:rPr>
                <w:rFonts w:asciiTheme="minorHAnsi" w:hAnsiTheme="minorHAnsi" w:cstheme="minorHAnsi"/>
                <w:szCs w:val="20"/>
              </w:rPr>
            </w:pPr>
            <w:r w:rsidRPr="00795F17">
              <w:t>1</w:t>
            </w:r>
          </w:p>
        </w:tc>
        <w:tc>
          <w:tcPr>
            <w:tcW w:w="800" w:type="pct"/>
            <w:shd w:val="clear" w:color="auto" w:fill="auto"/>
            <w:vAlign w:val="center"/>
            <w:hideMark/>
          </w:tcPr>
          <w:p w14:paraId="51DEFAE9" w14:textId="77777777" w:rsidR="00A230D1" w:rsidRPr="00795F17" w:rsidRDefault="00A230D1" w:rsidP="0065243A">
            <w:pPr>
              <w:pStyle w:val="Teksttabelisrodek"/>
              <w:rPr>
                <w:rFonts w:asciiTheme="minorHAnsi" w:hAnsiTheme="minorHAnsi" w:cstheme="minorHAnsi"/>
                <w:szCs w:val="20"/>
              </w:rPr>
            </w:pPr>
            <w:r w:rsidRPr="00795F17">
              <w:t>1</w:t>
            </w:r>
          </w:p>
        </w:tc>
        <w:tc>
          <w:tcPr>
            <w:tcW w:w="626" w:type="pct"/>
            <w:shd w:val="clear" w:color="auto" w:fill="auto"/>
            <w:vAlign w:val="center"/>
            <w:hideMark/>
          </w:tcPr>
          <w:p w14:paraId="724CAB16" w14:textId="77777777" w:rsidR="00A230D1" w:rsidRPr="00795F17" w:rsidRDefault="00A230D1" w:rsidP="0065243A">
            <w:pPr>
              <w:pStyle w:val="Teksttabelisrodek"/>
              <w:rPr>
                <w:rFonts w:asciiTheme="minorHAnsi" w:hAnsiTheme="minorHAnsi" w:cstheme="minorHAnsi"/>
                <w:szCs w:val="20"/>
              </w:rPr>
            </w:pPr>
            <w:r w:rsidRPr="00795F17">
              <w:t>1</w:t>
            </w:r>
          </w:p>
        </w:tc>
        <w:tc>
          <w:tcPr>
            <w:tcW w:w="545" w:type="pct"/>
            <w:shd w:val="clear" w:color="auto" w:fill="auto"/>
            <w:vAlign w:val="center"/>
            <w:hideMark/>
          </w:tcPr>
          <w:p w14:paraId="024C6128" w14:textId="77777777" w:rsidR="00A230D1" w:rsidRPr="00795F17" w:rsidRDefault="00A230D1" w:rsidP="0065243A">
            <w:pPr>
              <w:pStyle w:val="Teksttabelisrodek"/>
              <w:rPr>
                <w:rFonts w:asciiTheme="minorHAnsi" w:hAnsiTheme="minorHAnsi" w:cstheme="minorHAnsi"/>
                <w:szCs w:val="20"/>
              </w:rPr>
            </w:pPr>
            <w:r w:rsidRPr="00795F17">
              <w:t>0</w:t>
            </w:r>
          </w:p>
        </w:tc>
      </w:tr>
      <w:tr w:rsidR="00A230D1" w:rsidRPr="00795F17" w14:paraId="46D9D12C" w14:textId="77777777" w:rsidTr="00FE0E9B">
        <w:trPr>
          <w:trHeight w:val="454"/>
        </w:trPr>
        <w:tc>
          <w:tcPr>
            <w:tcW w:w="1171" w:type="pct"/>
            <w:shd w:val="clear" w:color="auto" w:fill="auto"/>
            <w:vAlign w:val="center"/>
            <w:hideMark/>
          </w:tcPr>
          <w:p w14:paraId="4A6E13A8" w14:textId="77777777" w:rsidR="00A230D1" w:rsidRPr="00795F17" w:rsidRDefault="00A230D1" w:rsidP="006575EB">
            <w:pPr>
              <w:pStyle w:val="Teksttabelilewy"/>
              <w:rPr>
                <w:rFonts w:asciiTheme="minorHAnsi" w:hAnsiTheme="minorHAnsi" w:cstheme="minorHAnsi"/>
                <w:szCs w:val="20"/>
              </w:rPr>
            </w:pPr>
            <w:r w:rsidRPr="00795F17">
              <w:t>Środkowej Odry</w:t>
            </w:r>
          </w:p>
        </w:tc>
        <w:tc>
          <w:tcPr>
            <w:tcW w:w="547" w:type="pct"/>
            <w:shd w:val="clear" w:color="auto" w:fill="auto"/>
            <w:vAlign w:val="center"/>
            <w:hideMark/>
          </w:tcPr>
          <w:p w14:paraId="7BF4E94C" w14:textId="77777777" w:rsidR="00A230D1" w:rsidRPr="00795F17" w:rsidRDefault="00A230D1" w:rsidP="0065243A">
            <w:pPr>
              <w:pStyle w:val="Teksttabelisrodek"/>
              <w:rPr>
                <w:rFonts w:asciiTheme="minorHAnsi" w:hAnsiTheme="minorHAnsi" w:cstheme="minorHAnsi"/>
                <w:szCs w:val="20"/>
              </w:rPr>
            </w:pPr>
            <w:r w:rsidRPr="00795F17">
              <w:t>10</w:t>
            </w:r>
          </w:p>
        </w:tc>
        <w:tc>
          <w:tcPr>
            <w:tcW w:w="656" w:type="pct"/>
            <w:shd w:val="clear" w:color="auto" w:fill="auto"/>
            <w:vAlign w:val="center"/>
            <w:hideMark/>
          </w:tcPr>
          <w:p w14:paraId="7DA6FD92" w14:textId="77777777" w:rsidR="00A230D1" w:rsidRPr="00795F17" w:rsidRDefault="00A230D1" w:rsidP="0065243A">
            <w:pPr>
              <w:pStyle w:val="Teksttabelisrodek"/>
              <w:rPr>
                <w:rFonts w:asciiTheme="minorHAnsi" w:hAnsiTheme="minorHAnsi" w:cstheme="minorHAnsi"/>
                <w:szCs w:val="20"/>
              </w:rPr>
            </w:pPr>
            <w:r w:rsidRPr="00795F17">
              <w:t>8</w:t>
            </w:r>
          </w:p>
        </w:tc>
        <w:tc>
          <w:tcPr>
            <w:tcW w:w="656" w:type="pct"/>
            <w:shd w:val="clear" w:color="auto" w:fill="auto"/>
            <w:vAlign w:val="center"/>
            <w:hideMark/>
          </w:tcPr>
          <w:p w14:paraId="0A5AB8B6" w14:textId="77777777" w:rsidR="00A230D1" w:rsidRPr="00795F17" w:rsidRDefault="00A230D1" w:rsidP="0065243A">
            <w:pPr>
              <w:pStyle w:val="Teksttabelisrodek"/>
              <w:rPr>
                <w:rFonts w:asciiTheme="minorHAnsi" w:hAnsiTheme="minorHAnsi" w:cstheme="minorHAnsi"/>
                <w:szCs w:val="20"/>
              </w:rPr>
            </w:pPr>
            <w:r w:rsidRPr="00795F17">
              <w:t>0</w:t>
            </w:r>
          </w:p>
        </w:tc>
        <w:tc>
          <w:tcPr>
            <w:tcW w:w="800" w:type="pct"/>
            <w:shd w:val="clear" w:color="auto" w:fill="auto"/>
            <w:vAlign w:val="center"/>
            <w:hideMark/>
          </w:tcPr>
          <w:p w14:paraId="556CDC88" w14:textId="77777777" w:rsidR="00A230D1" w:rsidRPr="00795F17" w:rsidRDefault="00A230D1" w:rsidP="0065243A">
            <w:pPr>
              <w:pStyle w:val="Teksttabelisrodek"/>
              <w:rPr>
                <w:rFonts w:asciiTheme="minorHAnsi" w:hAnsiTheme="minorHAnsi" w:cstheme="minorHAnsi"/>
                <w:szCs w:val="20"/>
              </w:rPr>
            </w:pPr>
            <w:r w:rsidRPr="00795F17">
              <w:t>1</w:t>
            </w:r>
          </w:p>
        </w:tc>
        <w:tc>
          <w:tcPr>
            <w:tcW w:w="626" w:type="pct"/>
            <w:shd w:val="clear" w:color="auto" w:fill="auto"/>
            <w:vAlign w:val="center"/>
            <w:hideMark/>
          </w:tcPr>
          <w:p w14:paraId="4C553302" w14:textId="77777777" w:rsidR="00A230D1" w:rsidRPr="00795F17" w:rsidRDefault="00A230D1" w:rsidP="0065243A">
            <w:pPr>
              <w:pStyle w:val="Teksttabelisrodek"/>
              <w:rPr>
                <w:rFonts w:asciiTheme="minorHAnsi" w:hAnsiTheme="minorHAnsi" w:cstheme="minorHAnsi"/>
                <w:szCs w:val="20"/>
              </w:rPr>
            </w:pPr>
            <w:r w:rsidRPr="00795F17">
              <w:t>0</w:t>
            </w:r>
          </w:p>
        </w:tc>
        <w:tc>
          <w:tcPr>
            <w:tcW w:w="545" w:type="pct"/>
            <w:shd w:val="clear" w:color="auto" w:fill="auto"/>
            <w:vAlign w:val="center"/>
            <w:hideMark/>
          </w:tcPr>
          <w:p w14:paraId="7B92B940" w14:textId="77777777" w:rsidR="00A230D1" w:rsidRPr="00795F17" w:rsidRDefault="00A230D1" w:rsidP="0065243A">
            <w:pPr>
              <w:pStyle w:val="Teksttabelisrodek"/>
              <w:rPr>
                <w:rFonts w:asciiTheme="minorHAnsi" w:hAnsiTheme="minorHAnsi" w:cstheme="minorHAnsi"/>
                <w:szCs w:val="20"/>
              </w:rPr>
            </w:pPr>
            <w:r w:rsidRPr="00795F17">
              <w:t>0</w:t>
            </w:r>
          </w:p>
        </w:tc>
      </w:tr>
      <w:tr w:rsidR="00A230D1" w:rsidRPr="00795F17" w14:paraId="5CE56896" w14:textId="77777777" w:rsidTr="00FE0E9B">
        <w:trPr>
          <w:trHeight w:val="454"/>
        </w:trPr>
        <w:tc>
          <w:tcPr>
            <w:tcW w:w="1171" w:type="pct"/>
            <w:shd w:val="clear" w:color="auto" w:fill="auto"/>
            <w:vAlign w:val="center"/>
            <w:hideMark/>
          </w:tcPr>
          <w:p w14:paraId="2D3A67D1" w14:textId="77777777" w:rsidR="00A230D1" w:rsidRPr="00795F17" w:rsidRDefault="00A230D1" w:rsidP="006575EB">
            <w:pPr>
              <w:pStyle w:val="Teksttabelilewy"/>
              <w:rPr>
                <w:rFonts w:asciiTheme="minorHAnsi" w:hAnsiTheme="minorHAnsi" w:cstheme="minorHAnsi"/>
                <w:szCs w:val="20"/>
              </w:rPr>
            </w:pPr>
            <w:r w:rsidRPr="00795F17">
              <w:t>Warty</w:t>
            </w:r>
          </w:p>
        </w:tc>
        <w:tc>
          <w:tcPr>
            <w:tcW w:w="547" w:type="pct"/>
            <w:shd w:val="clear" w:color="auto" w:fill="auto"/>
            <w:vAlign w:val="center"/>
            <w:hideMark/>
          </w:tcPr>
          <w:p w14:paraId="34AD86CE" w14:textId="77777777" w:rsidR="00A230D1" w:rsidRPr="00795F17" w:rsidRDefault="00A230D1" w:rsidP="0065243A">
            <w:pPr>
              <w:pStyle w:val="Teksttabelisrodek"/>
              <w:rPr>
                <w:rFonts w:asciiTheme="minorHAnsi" w:hAnsiTheme="minorHAnsi" w:cstheme="minorHAnsi"/>
                <w:szCs w:val="20"/>
              </w:rPr>
            </w:pPr>
            <w:r w:rsidRPr="00795F17">
              <w:t>2</w:t>
            </w:r>
          </w:p>
        </w:tc>
        <w:tc>
          <w:tcPr>
            <w:tcW w:w="656" w:type="pct"/>
            <w:shd w:val="clear" w:color="auto" w:fill="auto"/>
            <w:vAlign w:val="center"/>
            <w:hideMark/>
          </w:tcPr>
          <w:p w14:paraId="00196A6D" w14:textId="77777777" w:rsidR="00A230D1" w:rsidRPr="00795F17" w:rsidRDefault="00A230D1" w:rsidP="0065243A">
            <w:pPr>
              <w:pStyle w:val="Teksttabelisrodek"/>
              <w:rPr>
                <w:rFonts w:asciiTheme="minorHAnsi" w:hAnsiTheme="minorHAnsi" w:cstheme="minorHAnsi"/>
                <w:szCs w:val="20"/>
              </w:rPr>
            </w:pPr>
            <w:r w:rsidRPr="00795F17">
              <w:t>1</w:t>
            </w:r>
          </w:p>
        </w:tc>
        <w:tc>
          <w:tcPr>
            <w:tcW w:w="656" w:type="pct"/>
            <w:shd w:val="clear" w:color="auto" w:fill="auto"/>
            <w:vAlign w:val="center"/>
            <w:hideMark/>
          </w:tcPr>
          <w:p w14:paraId="6A14860D" w14:textId="77777777" w:rsidR="00A230D1" w:rsidRPr="00795F17" w:rsidRDefault="00A230D1" w:rsidP="0065243A">
            <w:pPr>
              <w:pStyle w:val="Teksttabelisrodek"/>
              <w:rPr>
                <w:rFonts w:asciiTheme="minorHAnsi" w:hAnsiTheme="minorHAnsi" w:cstheme="minorHAnsi"/>
                <w:szCs w:val="20"/>
              </w:rPr>
            </w:pPr>
            <w:r w:rsidRPr="00795F17">
              <w:t>0</w:t>
            </w:r>
          </w:p>
        </w:tc>
        <w:tc>
          <w:tcPr>
            <w:tcW w:w="800" w:type="pct"/>
            <w:shd w:val="clear" w:color="auto" w:fill="auto"/>
            <w:vAlign w:val="center"/>
            <w:hideMark/>
          </w:tcPr>
          <w:p w14:paraId="3067923E" w14:textId="77777777" w:rsidR="00A230D1" w:rsidRPr="00795F17" w:rsidRDefault="00A230D1" w:rsidP="0065243A">
            <w:pPr>
              <w:pStyle w:val="Teksttabelisrodek"/>
              <w:rPr>
                <w:rFonts w:asciiTheme="minorHAnsi" w:hAnsiTheme="minorHAnsi" w:cstheme="minorHAnsi"/>
                <w:szCs w:val="20"/>
              </w:rPr>
            </w:pPr>
            <w:r w:rsidRPr="00795F17">
              <w:t>0</w:t>
            </w:r>
          </w:p>
        </w:tc>
        <w:tc>
          <w:tcPr>
            <w:tcW w:w="626" w:type="pct"/>
            <w:shd w:val="clear" w:color="auto" w:fill="auto"/>
            <w:vAlign w:val="center"/>
            <w:hideMark/>
          </w:tcPr>
          <w:p w14:paraId="10621CC2" w14:textId="77777777" w:rsidR="00A230D1" w:rsidRPr="00795F17" w:rsidRDefault="00A230D1" w:rsidP="0065243A">
            <w:pPr>
              <w:pStyle w:val="Teksttabelisrodek"/>
              <w:rPr>
                <w:rFonts w:asciiTheme="minorHAnsi" w:hAnsiTheme="minorHAnsi" w:cstheme="minorHAnsi"/>
                <w:szCs w:val="20"/>
              </w:rPr>
            </w:pPr>
            <w:r w:rsidRPr="00795F17">
              <w:t>0</w:t>
            </w:r>
          </w:p>
        </w:tc>
        <w:tc>
          <w:tcPr>
            <w:tcW w:w="545" w:type="pct"/>
            <w:shd w:val="clear" w:color="auto" w:fill="auto"/>
            <w:vAlign w:val="center"/>
            <w:hideMark/>
          </w:tcPr>
          <w:p w14:paraId="1EF5F5DA" w14:textId="77777777" w:rsidR="00A230D1" w:rsidRPr="00795F17" w:rsidRDefault="00A230D1" w:rsidP="0065243A">
            <w:pPr>
              <w:pStyle w:val="Teksttabelisrodek"/>
              <w:rPr>
                <w:rFonts w:asciiTheme="minorHAnsi" w:hAnsiTheme="minorHAnsi" w:cstheme="minorHAnsi"/>
                <w:szCs w:val="20"/>
              </w:rPr>
            </w:pPr>
            <w:r w:rsidRPr="00795F17">
              <w:t>0</w:t>
            </w:r>
          </w:p>
        </w:tc>
      </w:tr>
      <w:tr w:rsidR="00A230D1" w:rsidRPr="00795F17" w14:paraId="4CFFE18A" w14:textId="77777777" w:rsidTr="00FE0E9B">
        <w:trPr>
          <w:trHeight w:val="454"/>
        </w:trPr>
        <w:tc>
          <w:tcPr>
            <w:tcW w:w="1171" w:type="pct"/>
            <w:shd w:val="clear" w:color="auto" w:fill="auto"/>
            <w:vAlign w:val="center"/>
            <w:hideMark/>
          </w:tcPr>
          <w:p w14:paraId="67EA2BC4" w14:textId="77777777" w:rsidR="00A230D1" w:rsidRPr="00795F17" w:rsidRDefault="00A230D1" w:rsidP="006575EB">
            <w:pPr>
              <w:pStyle w:val="Teksttabelilewy"/>
            </w:pPr>
            <w:r w:rsidRPr="00795F17">
              <w:t>Dolnej Odry i Przymorza Zachodniego</w:t>
            </w:r>
          </w:p>
        </w:tc>
        <w:tc>
          <w:tcPr>
            <w:tcW w:w="547" w:type="pct"/>
            <w:shd w:val="clear" w:color="auto" w:fill="auto"/>
            <w:vAlign w:val="center"/>
            <w:hideMark/>
          </w:tcPr>
          <w:p w14:paraId="1D9DDFE9" w14:textId="77777777" w:rsidR="00A230D1" w:rsidRPr="00795F17" w:rsidRDefault="00A230D1" w:rsidP="0065243A">
            <w:pPr>
              <w:pStyle w:val="Teksttabelisrodek"/>
              <w:rPr>
                <w:rFonts w:asciiTheme="minorHAnsi" w:hAnsiTheme="minorHAnsi" w:cstheme="minorHAnsi"/>
                <w:szCs w:val="20"/>
              </w:rPr>
            </w:pPr>
            <w:r w:rsidRPr="00795F17">
              <w:t>0</w:t>
            </w:r>
          </w:p>
        </w:tc>
        <w:tc>
          <w:tcPr>
            <w:tcW w:w="656" w:type="pct"/>
            <w:shd w:val="clear" w:color="auto" w:fill="auto"/>
            <w:vAlign w:val="center"/>
            <w:hideMark/>
          </w:tcPr>
          <w:p w14:paraId="4CA3C217" w14:textId="77777777" w:rsidR="00A230D1" w:rsidRPr="00795F17" w:rsidRDefault="00A230D1" w:rsidP="0065243A">
            <w:pPr>
              <w:pStyle w:val="Teksttabelisrodek"/>
              <w:rPr>
                <w:rFonts w:asciiTheme="minorHAnsi" w:hAnsiTheme="minorHAnsi" w:cstheme="minorHAnsi"/>
                <w:szCs w:val="20"/>
              </w:rPr>
            </w:pPr>
            <w:r w:rsidRPr="00795F17">
              <w:t>0</w:t>
            </w:r>
          </w:p>
        </w:tc>
        <w:tc>
          <w:tcPr>
            <w:tcW w:w="656" w:type="pct"/>
            <w:shd w:val="clear" w:color="auto" w:fill="auto"/>
            <w:vAlign w:val="center"/>
            <w:hideMark/>
          </w:tcPr>
          <w:p w14:paraId="4159BB08" w14:textId="77777777" w:rsidR="00A230D1" w:rsidRPr="00795F17" w:rsidRDefault="00A230D1" w:rsidP="0065243A">
            <w:pPr>
              <w:pStyle w:val="Teksttabelisrodek"/>
              <w:rPr>
                <w:rFonts w:asciiTheme="minorHAnsi" w:hAnsiTheme="minorHAnsi" w:cstheme="minorHAnsi"/>
                <w:szCs w:val="20"/>
              </w:rPr>
            </w:pPr>
            <w:r w:rsidRPr="00795F17">
              <w:t>0</w:t>
            </w:r>
          </w:p>
        </w:tc>
        <w:tc>
          <w:tcPr>
            <w:tcW w:w="800" w:type="pct"/>
            <w:shd w:val="clear" w:color="auto" w:fill="auto"/>
            <w:vAlign w:val="center"/>
            <w:hideMark/>
          </w:tcPr>
          <w:p w14:paraId="2A68F11B" w14:textId="77777777" w:rsidR="00A230D1" w:rsidRPr="00795F17" w:rsidRDefault="00A230D1" w:rsidP="0065243A">
            <w:pPr>
              <w:pStyle w:val="Teksttabelisrodek"/>
              <w:rPr>
                <w:rFonts w:asciiTheme="minorHAnsi" w:hAnsiTheme="minorHAnsi" w:cstheme="minorHAnsi"/>
                <w:szCs w:val="20"/>
              </w:rPr>
            </w:pPr>
            <w:r w:rsidRPr="00795F17">
              <w:t>0</w:t>
            </w:r>
          </w:p>
        </w:tc>
        <w:tc>
          <w:tcPr>
            <w:tcW w:w="626" w:type="pct"/>
            <w:shd w:val="clear" w:color="auto" w:fill="auto"/>
            <w:vAlign w:val="center"/>
            <w:hideMark/>
          </w:tcPr>
          <w:p w14:paraId="16F6726D" w14:textId="77777777" w:rsidR="00A230D1" w:rsidRPr="00795F17" w:rsidRDefault="00A230D1" w:rsidP="0065243A">
            <w:pPr>
              <w:pStyle w:val="Teksttabelisrodek"/>
              <w:rPr>
                <w:rFonts w:asciiTheme="minorHAnsi" w:hAnsiTheme="minorHAnsi" w:cstheme="minorHAnsi"/>
                <w:szCs w:val="20"/>
              </w:rPr>
            </w:pPr>
            <w:r w:rsidRPr="00795F17">
              <w:t>0</w:t>
            </w:r>
          </w:p>
        </w:tc>
        <w:tc>
          <w:tcPr>
            <w:tcW w:w="545" w:type="pct"/>
            <w:shd w:val="clear" w:color="auto" w:fill="auto"/>
            <w:vAlign w:val="center"/>
            <w:hideMark/>
          </w:tcPr>
          <w:p w14:paraId="07907C5E" w14:textId="77777777" w:rsidR="00A230D1" w:rsidRPr="00795F17" w:rsidRDefault="00A230D1" w:rsidP="0065243A">
            <w:pPr>
              <w:pStyle w:val="Teksttabelisrodek"/>
              <w:rPr>
                <w:rFonts w:asciiTheme="minorHAnsi" w:hAnsiTheme="minorHAnsi" w:cstheme="minorHAnsi"/>
                <w:szCs w:val="20"/>
              </w:rPr>
            </w:pPr>
            <w:r w:rsidRPr="00795F17">
              <w:t>0</w:t>
            </w:r>
          </w:p>
        </w:tc>
      </w:tr>
    </w:tbl>
    <w:p w14:paraId="7D7D9042" w14:textId="3C42D49E" w:rsidR="00FA195F" w:rsidRPr="00795F17" w:rsidRDefault="00FA195F" w:rsidP="0044393D">
      <w:pPr>
        <w:pStyle w:val="rdo"/>
      </w:pPr>
      <w:r w:rsidRPr="00795F17">
        <w:t xml:space="preserve">Źródło: </w:t>
      </w:r>
      <w:r w:rsidR="00A62769" w:rsidRPr="00795F17">
        <w:t>opracowanie własne na</w:t>
      </w:r>
      <w:r w:rsidR="00DD15FC" w:rsidRPr="00795F17">
        <w:t xml:space="preserve"> podstawie danych aPGW</w:t>
      </w:r>
    </w:p>
    <w:p w14:paraId="2B862C1E" w14:textId="4CEBF0DB" w:rsidR="00A230D1" w:rsidRPr="00795F17" w:rsidRDefault="005B30F4" w:rsidP="0044393D">
      <w:pPr>
        <w:pStyle w:val="Nagwek5"/>
        <w:rPr>
          <w:bCs/>
        </w:rPr>
      </w:pPr>
      <w:r w:rsidRPr="00795F17">
        <w:t>Ocena osiągnięcia celów środowiskowych w odniesieniu do nowych jednostek planistycznych IIaPGW (2022</w:t>
      </w:r>
      <w:r w:rsidR="00814C01">
        <w:t>–</w:t>
      </w:r>
      <w:r w:rsidRPr="00795F17">
        <w:t>2027)</w:t>
      </w:r>
    </w:p>
    <w:p w14:paraId="555737F7" w14:textId="71B6DAF6" w:rsidR="00A230D1" w:rsidRPr="00795F17" w:rsidRDefault="00A230D1" w:rsidP="0044393D">
      <w:r w:rsidRPr="00795F17">
        <w:t>Ocena stopnia osiągnięcia celów środowiskowych w zakresie potencjału ekologicznego z okresu przyjętego do analizy, tj. lat 2016</w:t>
      </w:r>
      <w:r w:rsidR="00814C01">
        <w:t>–</w:t>
      </w:r>
      <w:r w:rsidRPr="00795F17">
        <w:t xml:space="preserve">2021 była dostępna dla 17 </w:t>
      </w:r>
      <w:r w:rsidR="00DF005E">
        <w:t>JCWP</w:t>
      </w:r>
      <w:r w:rsidRPr="00795F17">
        <w:t xml:space="preserve"> (89,5%) spośród wszystkich 19 </w:t>
      </w:r>
      <w:r w:rsidR="00DF005E">
        <w:t>JCWP</w:t>
      </w:r>
      <w:r w:rsidRPr="00795F17">
        <w:t xml:space="preserve"> </w:t>
      </w:r>
      <w:r w:rsidR="00DF3CE8">
        <w:t>na </w:t>
      </w:r>
      <w:r w:rsidR="00FB15D5" w:rsidRPr="00795F17">
        <w:t xml:space="preserve">obszarze </w:t>
      </w:r>
      <w:r w:rsidRPr="00795F17">
        <w:t>dorzecz</w:t>
      </w:r>
      <w:r w:rsidR="00FB15D5" w:rsidRPr="00795F17">
        <w:t>a</w:t>
      </w:r>
      <w:r w:rsidRPr="00795F17">
        <w:t xml:space="preserve"> Odry; dla 2 </w:t>
      </w:r>
      <w:r w:rsidR="00DF005E">
        <w:t>JCWP</w:t>
      </w:r>
      <w:r w:rsidRPr="00795F17">
        <w:t xml:space="preserve"> (10,5%) taka ocena nie była możliwa. Osiągnięcie celów środowiskowych </w:t>
      </w:r>
      <w:r w:rsidR="003C670D">
        <w:t>–</w:t>
      </w:r>
      <w:r w:rsidRPr="00795F17">
        <w:t xml:space="preserve"> dobry potencjał ekologiczny stwierdzono w 7 </w:t>
      </w:r>
      <w:r w:rsidR="00DF005E">
        <w:t>JCWP</w:t>
      </w:r>
      <w:r w:rsidRPr="00795F17">
        <w:t xml:space="preserve"> (36,8%) zbiornikowych </w:t>
      </w:r>
      <w:r w:rsidR="00686675">
        <w:t>na</w:t>
      </w:r>
      <w:r w:rsidR="00FE0E9B" w:rsidRPr="00795F17">
        <w:t> </w:t>
      </w:r>
      <w:r w:rsidRPr="00795F17">
        <w:t xml:space="preserve">omawianym </w:t>
      </w:r>
      <w:r w:rsidR="00E478B0" w:rsidRPr="00795F17">
        <w:t xml:space="preserve">obszarze </w:t>
      </w:r>
      <w:r w:rsidRPr="00795F17">
        <w:t>dorzecz</w:t>
      </w:r>
      <w:r w:rsidR="00E478B0" w:rsidRPr="00795F17">
        <w:t>a</w:t>
      </w:r>
      <w:r w:rsidRPr="00795F17">
        <w:t xml:space="preserve">. Brak osiągnięcia celów środowiskowych wskazano w 10 </w:t>
      </w:r>
      <w:r w:rsidR="00DF005E">
        <w:t>JCWP</w:t>
      </w:r>
      <w:r w:rsidRPr="00795F17">
        <w:t xml:space="preserve"> (52,6%</w:t>
      </w:r>
      <w:r w:rsidR="00686675">
        <w:t> </w:t>
      </w:r>
      <w:r w:rsidRPr="00795F17">
        <w:t xml:space="preserve">wszystkich), w tym 1 </w:t>
      </w:r>
      <w:r w:rsidR="00DF005E">
        <w:t>JCWP</w:t>
      </w:r>
      <w:r w:rsidRPr="00795F17">
        <w:t xml:space="preserve"> z</w:t>
      </w:r>
      <w:r w:rsidR="009560DD" w:rsidRPr="00795F17">
        <w:t> </w:t>
      </w:r>
      <w:r w:rsidRPr="00795F17">
        <w:t xml:space="preserve">odstępstwem czasowym do 2021 </w:t>
      </w:r>
      <w:r w:rsidR="00686675">
        <w:t xml:space="preserve">r. </w:t>
      </w:r>
      <w:r w:rsidRPr="00795F17">
        <w:t xml:space="preserve">i 8 </w:t>
      </w:r>
      <w:r w:rsidR="00DF005E">
        <w:t>JCWP</w:t>
      </w:r>
      <w:r w:rsidRPr="00795F17">
        <w:t xml:space="preserve"> z odstępstwem czasowym do 2027</w:t>
      </w:r>
      <w:r w:rsidR="00686675">
        <w:t xml:space="preserve"> r</w:t>
      </w:r>
      <w:r w:rsidRPr="00795F17">
        <w:t>. W odniesieniu do</w:t>
      </w:r>
      <w:r w:rsidR="009560DD" w:rsidRPr="00795F17">
        <w:t> </w:t>
      </w:r>
      <w:r w:rsidRPr="00795F17">
        <w:t xml:space="preserve">4 </w:t>
      </w:r>
      <w:r w:rsidR="00DF005E">
        <w:t>JCWP</w:t>
      </w:r>
      <w:r w:rsidRPr="00795F17">
        <w:t xml:space="preserve"> nie była możliwa ocena </w:t>
      </w:r>
      <w:r w:rsidR="001E4F1D">
        <w:t>osiągnięcia</w:t>
      </w:r>
      <w:r w:rsidRPr="00795F17">
        <w:t xml:space="preserve"> celu dotyczącego możliwości migracji organizmów wodnych na odcinku cieku istotnego; jako powód wskazano brak danych dotyczących elementów biologicznych oraz wskaźnika D.</w:t>
      </w:r>
    </w:p>
    <w:p w14:paraId="0E0AD9FF" w14:textId="39CE0463" w:rsidR="00A230D1" w:rsidRPr="00795F17" w:rsidRDefault="00A230D1" w:rsidP="0044393D">
      <w:r w:rsidRPr="00795F17">
        <w:t>Zgodnie z oceną GIOŚ (2016</w:t>
      </w:r>
      <w:r w:rsidR="00814C01">
        <w:t>–</w:t>
      </w:r>
      <w:r w:rsidRPr="00795F17">
        <w:t xml:space="preserve">2019) dostępną dla 17 spośród wszystkich 19 </w:t>
      </w:r>
      <w:r w:rsidR="00DF005E">
        <w:t>JCWP</w:t>
      </w:r>
      <w:r w:rsidRPr="00795F17">
        <w:t xml:space="preserve"> zbiornikowych </w:t>
      </w:r>
      <w:r w:rsidR="00150712">
        <w:t>na </w:t>
      </w:r>
      <w:r w:rsidR="00E478B0" w:rsidRPr="00795F17">
        <w:t xml:space="preserve">obszarze </w:t>
      </w:r>
      <w:r w:rsidRPr="00795F17">
        <w:t>dorzecz</w:t>
      </w:r>
      <w:r w:rsidR="00E478B0" w:rsidRPr="00795F17">
        <w:t>a</w:t>
      </w:r>
      <w:r w:rsidRPr="00795F17">
        <w:t xml:space="preserve"> Odry: w 1 </w:t>
      </w:r>
      <w:r w:rsidR="00DF005E">
        <w:t>JCWP</w:t>
      </w:r>
      <w:r w:rsidRPr="00795F17">
        <w:t xml:space="preserve"> (5,3% wszystkich) oceniono potencjał ekologiczny jako maksymalny, w 6 </w:t>
      </w:r>
      <w:r w:rsidR="00DF005E">
        <w:t>JCWP</w:t>
      </w:r>
      <w:r w:rsidRPr="00795F17">
        <w:t xml:space="preserve"> (31,6%) jako dobry, w 7 </w:t>
      </w:r>
      <w:r w:rsidR="00DF005E">
        <w:t>JCWP</w:t>
      </w:r>
      <w:r w:rsidRPr="00795F17">
        <w:t xml:space="preserve"> (36,8%) jako umiarkowany i w 3 </w:t>
      </w:r>
      <w:r w:rsidR="00DF005E">
        <w:t>JCWP</w:t>
      </w:r>
      <w:r w:rsidRPr="00795F17">
        <w:t xml:space="preserve"> (15,8%) jako słaby. Dla 4 </w:t>
      </w:r>
      <w:r w:rsidR="00DF005E">
        <w:t>JCWP</w:t>
      </w:r>
      <w:r w:rsidRPr="00795F17">
        <w:t xml:space="preserve"> zbiornikowych nie oceniono stanu </w:t>
      </w:r>
      <w:r w:rsidR="00150712">
        <w:t xml:space="preserve">dotyczącego </w:t>
      </w:r>
      <w:r w:rsidRPr="00795F17">
        <w:t>możliwości migracji organizmów wodnych na</w:t>
      </w:r>
      <w:r w:rsidR="00FE0E9B" w:rsidRPr="00795F17">
        <w:t> </w:t>
      </w:r>
      <w:r w:rsidRPr="00795F17">
        <w:t>odcinku cieku istotnego z powodu braku danych, m. in. o wskaźniku diadromicznym</w:t>
      </w:r>
      <w:r w:rsidR="003677A1">
        <w:t> </w:t>
      </w:r>
      <w:r w:rsidRPr="00795F17">
        <w:t>D (</w:t>
      </w:r>
      <w:r w:rsidR="00F62D5D" w:rsidRPr="00795F17">
        <w:t>wykres</w:t>
      </w:r>
      <w:r w:rsidRPr="00795F17">
        <w:t xml:space="preserve"> </w:t>
      </w:r>
      <w:r w:rsidR="00062A80" w:rsidRPr="00795F17">
        <w:t>8-</w:t>
      </w:r>
      <w:r w:rsidRPr="00795F17">
        <w:t>5).</w:t>
      </w:r>
    </w:p>
    <w:p w14:paraId="1F3E532C" w14:textId="64FB4C4B" w:rsidR="0070732C" w:rsidRPr="00795F17" w:rsidRDefault="00FE0E9B" w:rsidP="001C46F7">
      <w:pPr>
        <w:jc w:val="center"/>
      </w:pPr>
      <w:r w:rsidRPr="00795F17">
        <w:rPr>
          <w:noProof/>
          <w:lang w:eastAsia="pl-PL"/>
        </w:rPr>
        <w:drawing>
          <wp:inline distT="0" distB="0" distL="0" distR="0" wp14:anchorId="17AAD22F" wp14:editId="2D2C8F10">
            <wp:extent cx="4503761" cy="2938617"/>
            <wp:effectExtent l="0" t="0" r="11430" b="14605"/>
            <wp:docPr id="51" name="Wykres 51">
              <a:extLst xmlns:a="http://schemas.openxmlformats.org/drawingml/2006/main">
                <a:ext uri="{FF2B5EF4-FFF2-40B4-BE49-F238E27FC236}">
                  <a16:creationId xmlns:a16="http://schemas.microsoft.com/office/drawing/2014/main" id="{00000000-0008-0000-0000-00000A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64E1FB2" w14:textId="094E5701" w:rsidR="007C3FBB" w:rsidRPr="00795F17" w:rsidRDefault="0070732C" w:rsidP="00B479EE">
      <w:pPr>
        <w:pStyle w:val="Wykres"/>
        <w:rPr>
          <w:lang w:eastAsia="pl-PL"/>
        </w:rPr>
      </w:pPr>
      <w:bookmarkStart w:id="404" w:name="_Toc105512994"/>
      <w:r w:rsidRPr="00795F17">
        <w:t xml:space="preserve">Wykres </w:t>
      </w:r>
      <w:fldSimple w:instr=" STYLEREF 1 \s ">
        <w:r w:rsidR="001F774D">
          <w:rPr>
            <w:noProof/>
          </w:rPr>
          <w:t>8</w:t>
        </w:r>
      </w:fldSimple>
      <w:r w:rsidR="00FF20D3">
        <w:noBreakHyphen/>
      </w:r>
      <w:fldSimple w:instr=" SEQ Wykres \* ARABIC \s 1 ">
        <w:r w:rsidR="001F774D">
          <w:rPr>
            <w:noProof/>
          </w:rPr>
          <w:t>5</w:t>
        </w:r>
      </w:fldSimple>
      <w:r w:rsidR="00B76352">
        <w:rPr>
          <w:noProof/>
        </w:rPr>
        <w:t>.</w:t>
      </w:r>
      <w:r w:rsidRPr="00795F17">
        <w:tab/>
      </w:r>
      <w:r w:rsidRPr="00795F17">
        <w:rPr>
          <w:lang w:eastAsia="pl-PL"/>
        </w:rPr>
        <w:t xml:space="preserve">Ocena osiągnięcia wyznaczonych w aPGW </w:t>
      </w:r>
      <w:r w:rsidR="00FE0E9B" w:rsidRPr="00795F17">
        <w:rPr>
          <w:lang w:eastAsia="pl-PL"/>
        </w:rPr>
        <w:t>(2016</w:t>
      </w:r>
      <w:r w:rsidR="00814C01">
        <w:rPr>
          <w:lang w:eastAsia="pl-PL"/>
        </w:rPr>
        <w:t>–</w:t>
      </w:r>
      <w:r w:rsidR="00FE0E9B" w:rsidRPr="00795F17">
        <w:rPr>
          <w:lang w:eastAsia="pl-PL"/>
        </w:rPr>
        <w:t xml:space="preserve">2021) </w:t>
      </w:r>
      <w:r w:rsidRPr="00795F17">
        <w:rPr>
          <w:lang w:eastAsia="pl-PL"/>
        </w:rPr>
        <w:t>celów środowiskowych dla</w:t>
      </w:r>
      <w:r w:rsidR="0009370C" w:rsidRPr="00795F17">
        <w:rPr>
          <w:lang w:eastAsia="pl-PL"/>
        </w:rPr>
        <w:t> </w:t>
      </w:r>
      <w:r w:rsidRPr="00795F17">
        <w:rPr>
          <w:lang w:eastAsia="pl-PL"/>
        </w:rPr>
        <w:t xml:space="preserve">stanu/potencjału ekologicznego, wyznaczonych w aPGW w </w:t>
      </w:r>
      <w:r w:rsidR="00DF005E">
        <w:rPr>
          <w:lang w:eastAsia="pl-PL"/>
        </w:rPr>
        <w:t>JCWP</w:t>
      </w:r>
      <w:r w:rsidRPr="00795F17">
        <w:rPr>
          <w:lang w:eastAsia="pl-PL"/>
        </w:rPr>
        <w:t xml:space="preserve"> </w:t>
      </w:r>
      <w:r w:rsidR="00FE0E9B" w:rsidRPr="00795F17">
        <w:rPr>
          <w:lang w:eastAsia="pl-PL"/>
        </w:rPr>
        <w:t>RWr</w:t>
      </w:r>
      <w:r w:rsidRPr="00795F17">
        <w:rPr>
          <w:lang w:eastAsia="pl-PL"/>
        </w:rPr>
        <w:t xml:space="preserve"> na</w:t>
      </w:r>
      <w:r w:rsidR="00F9433C" w:rsidRPr="00795F17">
        <w:rPr>
          <w:lang w:eastAsia="pl-PL"/>
        </w:rPr>
        <w:t xml:space="preserve"> </w:t>
      </w:r>
      <w:r w:rsidRPr="00795F17">
        <w:rPr>
          <w:lang w:eastAsia="pl-PL"/>
        </w:rPr>
        <w:t xml:space="preserve">obszarze dorzecza Odry oraz w poszczególnych regionach wodnych tego </w:t>
      </w:r>
      <w:r w:rsidR="00E478B0" w:rsidRPr="00795F17">
        <w:rPr>
          <w:lang w:eastAsia="pl-PL"/>
        </w:rPr>
        <w:t xml:space="preserve">obszaru </w:t>
      </w:r>
      <w:r w:rsidRPr="00795F17">
        <w:rPr>
          <w:lang w:eastAsia="pl-PL"/>
        </w:rPr>
        <w:t>dorzecza w oparciu o</w:t>
      </w:r>
      <w:r w:rsidR="003677A1">
        <w:rPr>
          <w:lang w:eastAsia="pl-PL"/>
        </w:rPr>
        <w:t> </w:t>
      </w:r>
      <w:r w:rsidRPr="00795F17">
        <w:rPr>
          <w:lang w:eastAsia="pl-PL"/>
        </w:rPr>
        <w:t>nowy układ jednostek planistycznych</w:t>
      </w:r>
      <w:bookmarkEnd w:id="404"/>
    </w:p>
    <w:p w14:paraId="05C21D14" w14:textId="40F05DCF" w:rsidR="00FA195F" w:rsidRPr="00795F17" w:rsidRDefault="00FA195F" w:rsidP="0044393D">
      <w:pPr>
        <w:pStyle w:val="rdo"/>
      </w:pPr>
      <w:r w:rsidRPr="00795F17">
        <w:t>Źródło:</w:t>
      </w:r>
      <w:r w:rsidR="00AD5CB7" w:rsidRPr="00795F17">
        <w:t xml:space="preserve"> </w:t>
      </w:r>
      <w:r w:rsidR="00BF2B94" w:rsidRPr="00795F17">
        <w:t>opracowanie własne na podstawie danych GIOŚ</w:t>
      </w:r>
    </w:p>
    <w:p w14:paraId="7D81D7FA" w14:textId="2BB720C8" w:rsidR="00A230D1" w:rsidRPr="00795F17" w:rsidRDefault="00A230D1" w:rsidP="0044393D">
      <w:r w:rsidRPr="00795F17">
        <w:t xml:space="preserve">W stosunku do </w:t>
      </w:r>
      <w:r w:rsidR="00DF005E">
        <w:t>JCWP</w:t>
      </w:r>
      <w:r w:rsidRPr="00795F17">
        <w:t xml:space="preserve"> zbiornikowych wyznaczono jeden cel środowiskowy w zakresie chemii </w:t>
      </w:r>
      <w:r w:rsidR="00814C01">
        <w:t>–</w:t>
      </w:r>
      <w:r w:rsidRPr="00795F17">
        <w:t xml:space="preserve"> dobry stan chemiczny (określony na podstawie klasyfikacji stanu chemicznego tych wód, dokonanej z</w:t>
      </w:r>
      <w:r w:rsidR="009560DD" w:rsidRPr="00795F17">
        <w:t> </w:t>
      </w:r>
      <w:r w:rsidRPr="00795F17">
        <w:t>uwzględnieniem definicji klasyfikacji tego stanu zgodnie z art. 16 pkt 8 pr.w.</w:t>
      </w:r>
      <w:r w:rsidR="00F763A3">
        <w:t>; wykres 8-6</w:t>
      </w:r>
      <w:r w:rsidRPr="00795F17">
        <w:t xml:space="preserve">). Zgodnie z oceną aPGW, 14 </w:t>
      </w:r>
      <w:r w:rsidR="00DF005E">
        <w:t>JCWP</w:t>
      </w:r>
      <w:r w:rsidRPr="00795F17">
        <w:t xml:space="preserve"> zbiornikow</w:t>
      </w:r>
      <w:r w:rsidR="003677A1">
        <w:t>ych</w:t>
      </w:r>
      <w:r w:rsidRPr="00795F17">
        <w:t xml:space="preserve"> z</w:t>
      </w:r>
      <w:r w:rsidR="003677A1">
        <w:t xml:space="preserve">najdujących się </w:t>
      </w:r>
      <w:r w:rsidRPr="00795F17">
        <w:t>na obszarze dorzecza Odry charakteryzował</w:t>
      </w:r>
      <w:r w:rsidR="003677A1">
        <w:t>o</w:t>
      </w:r>
      <w:r w:rsidRPr="00795F17">
        <w:t xml:space="preserve"> się dobrym stanem chemicznym. Analiza danych z lat 2016</w:t>
      </w:r>
      <w:r w:rsidR="00814C01">
        <w:t>–</w:t>
      </w:r>
      <w:r w:rsidRPr="00795F17">
        <w:t>2021 wskazuje, że tylko w przypadku jedne</w:t>
      </w:r>
      <w:r w:rsidR="000B0D8A">
        <w:t>j</w:t>
      </w:r>
      <w:r w:rsidRPr="00795F17">
        <w:t xml:space="preserve"> </w:t>
      </w:r>
      <w:r w:rsidR="00DF005E">
        <w:t>JCWP</w:t>
      </w:r>
      <w:r w:rsidRPr="00795F17">
        <w:t xml:space="preserve"> wykazano utrzymanie dobrego stanu chemicznego (region wodny Górnej Odry). W przypadku pozostałych 13 stwierdzono przekroczenie wartości granicznych stężeń substancji stanowiących o</w:t>
      </w:r>
      <w:r w:rsidR="009560DD" w:rsidRPr="00795F17">
        <w:t> </w:t>
      </w:r>
      <w:r w:rsidRPr="00795F17">
        <w:t xml:space="preserve">stanie chemicznym, co doprowadziło do pogorszenia się stanu </w:t>
      </w:r>
      <w:r w:rsidR="00DF005E">
        <w:t>JCWP</w:t>
      </w:r>
      <w:r w:rsidRPr="00795F17">
        <w:t>. Nie</w:t>
      </w:r>
      <w:r w:rsidR="000B0D8A">
        <w:t> </w:t>
      </w:r>
      <w:r w:rsidRPr="00795F17">
        <w:t xml:space="preserve">wykazano także poprawy stanu chemicznego </w:t>
      </w:r>
      <w:r w:rsidR="00DF005E">
        <w:t>JCWP</w:t>
      </w:r>
      <w:r w:rsidRPr="00795F17">
        <w:t>. Przyczyny nieosiągnięcia celu środowiskowego wyznaczonego w aPGW są</w:t>
      </w:r>
      <w:r w:rsidR="009560DD" w:rsidRPr="00795F17">
        <w:t> </w:t>
      </w:r>
      <w:r w:rsidRPr="00795F17">
        <w:t xml:space="preserve">związane przede wszystkim z dopływem zanieczyszczeń antropogenicznych, co zostało przedstawione w rozdziale 7 IIaPGW. Ponadto pośrednie przyczyny zostały także wskazane w rozdziale 9 </w:t>
      </w:r>
      <w:r w:rsidR="00FE0E9B" w:rsidRPr="00795F17">
        <w:t>IIaPGW</w:t>
      </w:r>
      <w:r w:rsidRPr="00795F17">
        <w:t xml:space="preserve">. </w:t>
      </w:r>
    </w:p>
    <w:p w14:paraId="0BC1F470" w14:textId="0D757D5B" w:rsidR="0070732C" w:rsidRPr="00795F17" w:rsidRDefault="00194740" w:rsidP="001C46F7">
      <w:pPr>
        <w:jc w:val="center"/>
      </w:pPr>
      <w:r>
        <w:rPr>
          <w:noProof/>
        </w:rPr>
        <w:drawing>
          <wp:inline distT="0" distB="0" distL="0" distR="0" wp14:anchorId="4A7F6D80" wp14:editId="5FD52CB0">
            <wp:extent cx="5486037" cy="3671570"/>
            <wp:effectExtent l="0" t="0" r="635" b="5080"/>
            <wp:docPr id="250" name="Wykres 250">
              <a:extLst xmlns:a="http://schemas.openxmlformats.org/drawingml/2006/main">
                <a:ext uri="{FF2B5EF4-FFF2-40B4-BE49-F238E27FC236}">
                  <a16:creationId xmlns:a16="http://schemas.microsoft.com/office/drawing/2014/main" id="{08481630-0464-4F79-9684-BDDDA921B5D6}"/>
                </a:ext>
                <a:ext uri="{147F2762-F138-4A5C-976F-8EAC2B608ADB}">
                  <a16:predDERef xmlns:a16="http://schemas.microsoft.com/office/drawing/2014/main" pred="{B18D4DC6-7874-40B5-A3D5-46448061A8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2D65738" w14:textId="53B7DBD8" w:rsidR="007C3FBB" w:rsidRPr="00795F17" w:rsidRDefault="0070732C" w:rsidP="00B479EE">
      <w:pPr>
        <w:pStyle w:val="Wykres"/>
      </w:pPr>
      <w:bookmarkStart w:id="405" w:name="_Toc105512995"/>
      <w:r w:rsidRPr="00795F17">
        <w:t xml:space="preserve">Wykres </w:t>
      </w:r>
      <w:fldSimple w:instr=" STYLEREF 1 \s ">
        <w:r w:rsidR="001F774D">
          <w:rPr>
            <w:noProof/>
          </w:rPr>
          <w:t>8</w:t>
        </w:r>
      </w:fldSimple>
      <w:r w:rsidR="00FF20D3">
        <w:noBreakHyphen/>
      </w:r>
      <w:fldSimple w:instr=" SEQ Wykres \* ARABIC \s 1 ">
        <w:r w:rsidR="001F774D">
          <w:rPr>
            <w:noProof/>
          </w:rPr>
          <w:t>6</w:t>
        </w:r>
      </w:fldSimple>
      <w:r w:rsidRPr="00795F17">
        <w:tab/>
      </w:r>
      <w:r w:rsidRPr="00795F17">
        <w:rPr>
          <w:lang w:eastAsia="pl-PL"/>
        </w:rPr>
        <w:t xml:space="preserve">Ocena osiągnięcia wyznaczonych w aPGW </w:t>
      </w:r>
      <w:r w:rsidR="00FE0E9B" w:rsidRPr="00795F17">
        <w:rPr>
          <w:lang w:eastAsia="pl-PL"/>
        </w:rPr>
        <w:t>(2016</w:t>
      </w:r>
      <w:r w:rsidR="00814C01">
        <w:rPr>
          <w:lang w:eastAsia="pl-PL"/>
        </w:rPr>
        <w:t>–</w:t>
      </w:r>
      <w:r w:rsidR="00FE0E9B" w:rsidRPr="00795F17">
        <w:rPr>
          <w:lang w:eastAsia="pl-PL"/>
        </w:rPr>
        <w:t xml:space="preserve">2021) </w:t>
      </w:r>
      <w:r w:rsidRPr="00795F17">
        <w:rPr>
          <w:lang w:eastAsia="pl-PL"/>
        </w:rPr>
        <w:t xml:space="preserve">celów środowiskowych w zakresie stanu chemicznego w </w:t>
      </w:r>
      <w:r w:rsidR="00DF005E">
        <w:rPr>
          <w:lang w:eastAsia="pl-PL"/>
        </w:rPr>
        <w:t>JCWP</w:t>
      </w:r>
      <w:r w:rsidRPr="00795F17">
        <w:rPr>
          <w:lang w:eastAsia="pl-PL"/>
        </w:rPr>
        <w:t xml:space="preserve"> </w:t>
      </w:r>
      <w:r w:rsidR="00FE0E9B" w:rsidRPr="00795F17">
        <w:rPr>
          <w:lang w:eastAsia="pl-PL"/>
        </w:rPr>
        <w:t>RWr</w:t>
      </w:r>
      <w:r w:rsidRPr="00795F17">
        <w:rPr>
          <w:lang w:eastAsia="pl-PL"/>
        </w:rPr>
        <w:t xml:space="preserve"> w</w:t>
      </w:r>
      <w:r w:rsidR="00FE0E9B" w:rsidRPr="00795F17">
        <w:rPr>
          <w:lang w:eastAsia="pl-PL"/>
        </w:rPr>
        <w:t> </w:t>
      </w:r>
      <w:r w:rsidRPr="00795F17">
        <w:rPr>
          <w:lang w:eastAsia="pl-PL"/>
        </w:rPr>
        <w:t xml:space="preserve">poszczególnych regionach wodnych </w:t>
      </w:r>
      <w:r w:rsidR="00E478B0" w:rsidRPr="00795F17">
        <w:rPr>
          <w:lang w:eastAsia="pl-PL"/>
        </w:rPr>
        <w:t xml:space="preserve">obszaru </w:t>
      </w:r>
      <w:r w:rsidRPr="00795F17">
        <w:rPr>
          <w:lang w:eastAsia="pl-PL"/>
        </w:rPr>
        <w:t xml:space="preserve">dorzecza </w:t>
      </w:r>
      <w:r w:rsidR="00D62D88" w:rsidRPr="00795F17">
        <w:rPr>
          <w:lang w:eastAsia="pl-PL"/>
        </w:rPr>
        <w:t xml:space="preserve">Odry </w:t>
      </w:r>
      <w:r w:rsidRPr="00795F17">
        <w:rPr>
          <w:lang w:eastAsia="pl-PL"/>
        </w:rPr>
        <w:t>w oparciu o nowy układ jednostek planistycznych</w:t>
      </w:r>
      <w:bookmarkEnd w:id="405"/>
    </w:p>
    <w:p w14:paraId="146FC16D" w14:textId="4EAE9982" w:rsidR="00A230D1" w:rsidRPr="00795F17" w:rsidRDefault="00A230D1" w:rsidP="0044393D">
      <w:pPr>
        <w:pStyle w:val="rdo"/>
      </w:pPr>
      <w:r w:rsidRPr="00795F17">
        <w:t>Źródło:</w:t>
      </w:r>
      <w:r w:rsidR="00AD5CB7" w:rsidRPr="00795F17">
        <w:t xml:space="preserve"> </w:t>
      </w:r>
      <w:r w:rsidR="00BF2B94" w:rsidRPr="00795F17">
        <w:t>opracowanie własne na podstawie danych GIOŚ</w:t>
      </w:r>
    </w:p>
    <w:p w14:paraId="1E5C3E34" w14:textId="3D13A0D0" w:rsidR="00A230D1" w:rsidRPr="00795F17" w:rsidRDefault="00A230D1" w:rsidP="0044393D">
      <w:r w:rsidRPr="00795F17">
        <w:t xml:space="preserve">Połączenie wyników analizy osiągnięcia celów środowiskowych w odniesieniu do wszystkich 19 </w:t>
      </w:r>
      <w:r w:rsidR="00DF005E">
        <w:t>JCWP</w:t>
      </w:r>
      <w:r w:rsidRPr="00795F17">
        <w:t xml:space="preserve"> RWr znajdujących się na obszarze dorzecza Odry </w:t>
      </w:r>
      <w:r w:rsidR="00E42B58">
        <w:t>w</w:t>
      </w:r>
      <w:r w:rsidRPr="00795F17">
        <w:t xml:space="preserve"> nowym układzie jednostek planistycznych umożliwiło </w:t>
      </w:r>
      <w:r w:rsidR="00E10751" w:rsidRPr="00795F17">
        <w:t>ocenę osiągnięcia celów środowiskowych w zakresie</w:t>
      </w:r>
      <w:r w:rsidRPr="00795F17">
        <w:t xml:space="preserve"> stanu ogólnego (</w:t>
      </w:r>
      <w:r w:rsidR="001C31E0" w:rsidRPr="00795F17">
        <w:t>wykres 8-7</w:t>
      </w:r>
      <w:r w:rsidRPr="00795F17">
        <w:t>):</w:t>
      </w:r>
    </w:p>
    <w:p w14:paraId="53CB0EEE" w14:textId="54D68CC9" w:rsidR="00A230D1" w:rsidRPr="00795F17" w:rsidRDefault="00A230D1" w:rsidP="00117E86">
      <w:pPr>
        <w:pStyle w:val="Listapunktowana2"/>
      </w:pPr>
      <w:r w:rsidRPr="00795F17">
        <w:t xml:space="preserve">0 </w:t>
      </w:r>
      <w:r w:rsidR="00DF005E">
        <w:t>JCWP</w:t>
      </w:r>
      <w:r w:rsidRPr="00795F17">
        <w:t xml:space="preserve"> RWr spełniło cel środowiskowy w zakresie wszystkich wymagań;</w:t>
      </w:r>
    </w:p>
    <w:p w14:paraId="3008A996" w14:textId="53C546ED" w:rsidR="00A230D1" w:rsidRPr="00795F17" w:rsidRDefault="00A230D1" w:rsidP="00117E86">
      <w:pPr>
        <w:pStyle w:val="Listapunktowana2"/>
      </w:pPr>
      <w:r w:rsidRPr="00795F17">
        <w:t xml:space="preserve">18 </w:t>
      </w:r>
      <w:r w:rsidR="00DF005E">
        <w:t>JCWP</w:t>
      </w:r>
      <w:r w:rsidRPr="00795F17">
        <w:t xml:space="preserve"> RWr nie spełniło celów dla stanu ogólnego;</w:t>
      </w:r>
    </w:p>
    <w:p w14:paraId="575EB343" w14:textId="4D61F086" w:rsidR="00A230D1" w:rsidRPr="00795F17" w:rsidRDefault="003C670D" w:rsidP="00117E86">
      <w:pPr>
        <w:pStyle w:val="Listapunktowana2"/>
      </w:pPr>
      <w:r>
        <w:t>w</w:t>
      </w:r>
      <w:r w:rsidR="00A230D1" w:rsidRPr="00795F17">
        <w:t xml:space="preserve"> stosunku do jedne</w:t>
      </w:r>
      <w:r w:rsidR="00E42B58">
        <w:t>j</w:t>
      </w:r>
      <w:r w:rsidR="00A230D1" w:rsidRPr="00795F17">
        <w:t xml:space="preserve"> </w:t>
      </w:r>
      <w:r w:rsidR="00DF005E">
        <w:t>JCWP</w:t>
      </w:r>
      <w:r w:rsidR="00A230D1" w:rsidRPr="00795F17">
        <w:t xml:space="preserve"> brak danych uniemożliwił ocenę osiągnięcia celów środowiskowych stanu ogólnego.</w:t>
      </w:r>
    </w:p>
    <w:p w14:paraId="39C4EFDE" w14:textId="0112AE63" w:rsidR="0070732C" w:rsidRPr="00795F17" w:rsidRDefault="00FE0E9B" w:rsidP="001C46F7">
      <w:pPr>
        <w:jc w:val="center"/>
      </w:pPr>
      <w:r w:rsidRPr="00795F17">
        <w:rPr>
          <w:noProof/>
          <w:lang w:eastAsia="pl-PL"/>
        </w:rPr>
        <w:drawing>
          <wp:inline distT="0" distB="0" distL="0" distR="0" wp14:anchorId="44B8AAFC" wp14:editId="65E61CCC">
            <wp:extent cx="5760000" cy="3600000"/>
            <wp:effectExtent l="0" t="0" r="12700" b="635"/>
            <wp:docPr id="54" name="Wykres 54">
              <a:extLst xmlns:a="http://schemas.openxmlformats.org/drawingml/2006/main">
                <a:ext uri="{FF2B5EF4-FFF2-40B4-BE49-F238E27FC236}">
                  <a16:creationId xmlns:a16="http://schemas.microsoft.com/office/drawing/2014/main" id="{00000000-0008-0000-0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7D900B99" w14:textId="191135D4" w:rsidR="007C3FBB" w:rsidRPr="00795F17" w:rsidRDefault="0070732C" w:rsidP="00B479EE">
      <w:pPr>
        <w:pStyle w:val="Wykres"/>
      </w:pPr>
      <w:bookmarkStart w:id="406" w:name="_Toc105512996"/>
      <w:r w:rsidRPr="00795F17">
        <w:t xml:space="preserve">Wykres </w:t>
      </w:r>
      <w:fldSimple w:instr=" STYLEREF 1 \s ">
        <w:r w:rsidR="001F774D">
          <w:rPr>
            <w:noProof/>
          </w:rPr>
          <w:t>8</w:t>
        </w:r>
      </w:fldSimple>
      <w:r w:rsidR="00FF20D3">
        <w:noBreakHyphen/>
      </w:r>
      <w:fldSimple w:instr=" SEQ Wykres \* ARABIC \s 1 ">
        <w:r w:rsidR="001F774D">
          <w:rPr>
            <w:noProof/>
          </w:rPr>
          <w:t>7</w:t>
        </w:r>
      </w:fldSimple>
      <w:r w:rsidR="00A2734E">
        <w:rPr>
          <w:noProof/>
        </w:rPr>
        <w:t>.</w:t>
      </w:r>
      <w:r w:rsidRPr="00795F17">
        <w:tab/>
        <w:t xml:space="preserve">Ocena osiągnięcia wyznaczonych w aPGW </w:t>
      </w:r>
      <w:r w:rsidR="00FE0E9B" w:rsidRPr="00795F17">
        <w:rPr>
          <w:lang w:eastAsia="pl-PL"/>
        </w:rPr>
        <w:t>(2016</w:t>
      </w:r>
      <w:r w:rsidR="00814C01">
        <w:rPr>
          <w:lang w:eastAsia="pl-PL"/>
        </w:rPr>
        <w:t>–</w:t>
      </w:r>
      <w:r w:rsidR="00FE0E9B" w:rsidRPr="00795F17">
        <w:rPr>
          <w:lang w:eastAsia="pl-PL"/>
        </w:rPr>
        <w:t>2021)</w:t>
      </w:r>
      <w:r w:rsidR="00FE0E9B" w:rsidRPr="00795F17">
        <w:t xml:space="preserve"> </w:t>
      </w:r>
      <w:r w:rsidRPr="00795F17">
        <w:t xml:space="preserve">celów środowiskowych w zakresie stanu ogólnego w </w:t>
      </w:r>
      <w:r w:rsidR="00DF005E">
        <w:t>JCWP</w:t>
      </w:r>
      <w:r w:rsidRPr="00795F17">
        <w:t xml:space="preserve"> </w:t>
      </w:r>
      <w:r w:rsidR="00FE0E9B" w:rsidRPr="00795F17">
        <w:t>RWr</w:t>
      </w:r>
      <w:r w:rsidRPr="00795F17">
        <w:t xml:space="preserve"> na obszarze dorzecza Odry </w:t>
      </w:r>
      <w:r w:rsidR="00D62D88" w:rsidRPr="00795F17">
        <w:rPr>
          <w:lang w:eastAsia="pl-PL"/>
        </w:rPr>
        <w:t xml:space="preserve">oraz w poszczególnych regionach wodnych tego obszaru dorzecza </w:t>
      </w:r>
      <w:r w:rsidRPr="00795F17">
        <w:t>w oparciu o nowy układ jednostek planistycznych</w:t>
      </w:r>
      <w:bookmarkEnd w:id="406"/>
    </w:p>
    <w:p w14:paraId="3E406509" w14:textId="15F3514F" w:rsidR="00A230D1" w:rsidRPr="00795F17" w:rsidRDefault="00A230D1" w:rsidP="0044393D">
      <w:pPr>
        <w:pStyle w:val="rdo"/>
      </w:pPr>
      <w:r w:rsidRPr="00795F17">
        <w:t>Źródło:</w:t>
      </w:r>
      <w:r w:rsidR="00AD5CB7" w:rsidRPr="00795F17">
        <w:t xml:space="preserve"> </w:t>
      </w:r>
      <w:r w:rsidR="00BF2B94" w:rsidRPr="00795F17">
        <w:t>opracowanie własne na podstawie danych GIOŚ</w:t>
      </w:r>
    </w:p>
    <w:p w14:paraId="4770E59B" w14:textId="3CEBB63F" w:rsidR="00A230D1" w:rsidRPr="00795F17" w:rsidRDefault="00A230D1" w:rsidP="0044393D">
      <w:bookmarkStart w:id="407" w:name="_Hlk62910957"/>
      <w:r w:rsidRPr="00795F17">
        <w:t>Na kolejny cykl planistyczny (2022</w:t>
      </w:r>
      <w:r w:rsidR="00814C01">
        <w:t>–</w:t>
      </w:r>
      <w:r w:rsidRPr="00795F17">
        <w:t xml:space="preserve">2027) w odniesieniu do 19 </w:t>
      </w:r>
      <w:r w:rsidR="00DF005E">
        <w:t>JCWP</w:t>
      </w:r>
      <w:r w:rsidRPr="00795F17">
        <w:t xml:space="preserve"> na obszarze dorzecza Odry przypisano cel środowiskowy </w:t>
      </w:r>
      <w:r w:rsidR="00814C01">
        <w:t>–</w:t>
      </w:r>
      <w:r w:rsidRPr="00795F17">
        <w:t xml:space="preserve"> dobry potencjał ekologiczny. Dla 4 </w:t>
      </w:r>
      <w:r w:rsidR="00DF005E">
        <w:t>JCWP</w:t>
      </w:r>
      <w:r w:rsidRPr="00795F17">
        <w:t xml:space="preserve"> (21,0%) w </w:t>
      </w:r>
      <w:r w:rsidR="00E478B0" w:rsidRPr="00795F17">
        <w:t>regionie wodnym</w:t>
      </w:r>
      <w:r w:rsidRPr="00795F17">
        <w:t xml:space="preserve"> Środkowej Odry wyznaczono także dodatkowy cel środowiskowy dotyczący migracji organizmów wodnych. </w:t>
      </w:r>
    </w:p>
    <w:bookmarkEnd w:id="407"/>
    <w:p w14:paraId="4A350CC0" w14:textId="64A7E502" w:rsidR="00A230D1" w:rsidRPr="00795F17" w:rsidRDefault="00A230D1" w:rsidP="0044393D">
      <w:r w:rsidRPr="00795F17">
        <w:t xml:space="preserve">Informacje dotyczące celów środowiskowych ustalonych dla każdej </w:t>
      </w:r>
      <w:r w:rsidR="00DF005E">
        <w:t>JCWP</w:t>
      </w:r>
      <w:r w:rsidRPr="00795F17">
        <w:t xml:space="preserve"> </w:t>
      </w:r>
      <w:r w:rsidR="00FE0E9B" w:rsidRPr="00795F17">
        <w:t xml:space="preserve">RWr </w:t>
      </w:r>
      <w:r w:rsidRPr="00795F17">
        <w:t>z ustanowionymi odstępstwami od osiągnięcia celów środowiskowych stanowią element załącznika nr 1 (Zestawienie główne). Załącznik nr 1 przedstawia również uzasadnienia dla wyznaczonych odstępstw z art. 4 RDW.</w:t>
      </w:r>
    </w:p>
    <w:p w14:paraId="09EFFB00" w14:textId="1CD6B8B7" w:rsidR="00CC6FA5" w:rsidRPr="00795F17" w:rsidRDefault="00CC6FA5" w:rsidP="0044393D">
      <w:r w:rsidRPr="00795F17">
        <w:t xml:space="preserve">Ocenę stopnia </w:t>
      </w:r>
      <w:r w:rsidR="0064673B" w:rsidRPr="00795F17">
        <w:t>osiągnięcia</w:t>
      </w:r>
      <w:r w:rsidRPr="00795F17">
        <w:t xml:space="preserve"> celów środowiskowych </w:t>
      </w:r>
      <w:r w:rsidR="00DF005E">
        <w:t>JCWP</w:t>
      </w:r>
      <w:r w:rsidRPr="00795F17">
        <w:t xml:space="preserve"> RWr przedstawiono w załączniku nr </w:t>
      </w:r>
      <w:r w:rsidR="00617195">
        <w:t>7</w:t>
      </w:r>
      <w:r w:rsidR="009B7C75" w:rsidRPr="00795F17">
        <w:t xml:space="preserve"> (Ocena </w:t>
      </w:r>
      <w:r w:rsidR="0064673B" w:rsidRPr="00795F17">
        <w:t>osiągnięcia</w:t>
      </w:r>
      <w:r w:rsidR="009B7C75" w:rsidRPr="00795F17">
        <w:t xml:space="preserve"> celów środowiskowych </w:t>
      </w:r>
      <w:r w:rsidR="00DF005E">
        <w:t>JCWP</w:t>
      </w:r>
      <w:r w:rsidR="009B7C75" w:rsidRPr="00795F17">
        <w:t>)</w:t>
      </w:r>
      <w:r w:rsidRPr="00795F17">
        <w:t>.</w:t>
      </w:r>
    </w:p>
    <w:p w14:paraId="7036FFEF" w14:textId="640EB2A9" w:rsidR="00A230D1" w:rsidRPr="00795F17" w:rsidRDefault="00A230D1" w:rsidP="00C53C86">
      <w:pPr>
        <w:pStyle w:val="Nagwek3"/>
      </w:pPr>
      <w:bookmarkStart w:id="408" w:name="_Toc105512658"/>
      <w:bookmarkStart w:id="409" w:name="_Hlk67321125"/>
      <w:r w:rsidRPr="00795F17">
        <w:t xml:space="preserve">Ocena osiągnięcia celów środowiskowych </w:t>
      </w:r>
      <w:r w:rsidR="00DF005E">
        <w:t>JCWP</w:t>
      </w:r>
      <w:r w:rsidRPr="00795F17">
        <w:t xml:space="preserve"> LW</w:t>
      </w:r>
      <w:bookmarkEnd w:id="408"/>
    </w:p>
    <w:bookmarkEnd w:id="409"/>
    <w:p w14:paraId="09055A08" w14:textId="2EFF8928" w:rsidR="00A230D1" w:rsidRPr="00795F17" w:rsidRDefault="005B30F4" w:rsidP="0044393D">
      <w:pPr>
        <w:pStyle w:val="Nagwek5"/>
      </w:pPr>
      <w:r w:rsidRPr="00795F17">
        <w:t xml:space="preserve">Ocena osiągnięcia celów środowiskowych w odniesieniu do jednostek planistycznych aPGW </w:t>
      </w:r>
      <w:r w:rsidRPr="00795F17">
        <w:br/>
        <w:t>(2016</w:t>
      </w:r>
      <w:r w:rsidR="00814C01">
        <w:t>–</w:t>
      </w:r>
      <w:r w:rsidRPr="00795F17">
        <w:t>2021)</w:t>
      </w:r>
    </w:p>
    <w:p w14:paraId="2D5B8F18" w14:textId="09FE2C09" w:rsidR="00A230D1" w:rsidRPr="00795F17" w:rsidRDefault="00A230D1" w:rsidP="0044393D">
      <w:r w:rsidRPr="00795F17">
        <w:t>Cele środowiskowe w odniesieniu do stanu i potencjału ekologicznego oraz stanu chemicznego zostały wskazane w aPGW dla 42</w:t>
      </w:r>
      <w:r w:rsidR="000915CB">
        <w:t>2</w:t>
      </w:r>
      <w:r w:rsidRPr="00795F17">
        <w:t xml:space="preserve"> </w:t>
      </w:r>
      <w:r w:rsidR="00DF005E">
        <w:t>JCWP</w:t>
      </w:r>
      <w:r w:rsidRPr="00795F17">
        <w:t xml:space="preserve"> LW (zgodnie z obowiązującym w okresie 2016</w:t>
      </w:r>
      <w:r w:rsidR="00814C01">
        <w:t>–</w:t>
      </w:r>
      <w:r w:rsidRPr="00795F17">
        <w:t xml:space="preserve">2021 układem planistycznym). Ocena stopnia osiągnięcia celów środowiskowych dla stanu/potencjału ekologicznego </w:t>
      </w:r>
      <w:r w:rsidR="00D7081B">
        <w:t>w </w:t>
      </w:r>
      <w:r w:rsidRPr="00795F17">
        <w:t xml:space="preserve">układzie jednostek planistycznych </w:t>
      </w:r>
      <w:r w:rsidR="001E3385" w:rsidRPr="00795F17">
        <w:t>2016</w:t>
      </w:r>
      <w:r w:rsidR="003C670D">
        <w:t>–</w:t>
      </w:r>
      <w:r w:rsidR="001E3385" w:rsidRPr="00795F17">
        <w:t xml:space="preserve">2021 </w:t>
      </w:r>
      <w:r w:rsidRPr="00795F17">
        <w:t xml:space="preserve">wykazała, iż cel środowiskowy osiągnięto w </w:t>
      </w:r>
      <w:r w:rsidR="006C4CCB">
        <w:t>6</w:t>
      </w:r>
      <w:r w:rsidR="00B10A55">
        <w:t>5</w:t>
      </w:r>
      <w:r w:rsidRPr="00795F17">
        <w:t xml:space="preserve"> </w:t>
      </w:r>
      <w:r w:rsidR="00DF005E">
        <w:t>JCWP</w:t>
      </w:r>
      <w:r w:rsidRPr="00795F17">
        <w:t xml:space="preserve"> LW (</w:t>
      </w:r>
      <w:r w:rsidR="00AA1FC7">
        <w:t>15</w:t>
      </w:r>
      <w:r w:rsidRPr="00795F17">
        <w:t xml:space="preserve">% wszystkich </w:t>
      </w:r>
      <w:r w:rsidR="00DF005E">
        <w:t>JCWP</w:t>
      </w:r>
      <w:r w:rsidRPr="00795F17">
        <w:t xml:space="preserve"> jeziornych </w:t>
      </w:r>
      <w:r w:rsidR="00D7081B">
        <w:t xml:space="preserve">na </w:t>
      </w:r>
      <w:r w:rsidR="00E478B0" w:rsidRPr="00795F17">
        <w:t xml:space="preserve">obszarze </w:t>
      </w:r>
      <w:r w:rsidRPr="00795F17">
        <w:t>dorzecz</w:t>
      </w:r>
      <w:r w:rsidR="00E478B0" w:rsidRPr="00795F17">
        <w:t>a</w:t>
      </w:r>
      <w:r w:rsidRPr="00795F17">
        <w:t xml:space="preserve"> Odry). W przypadku stanu chemicznego cel został osiągnięty w stosunku do 6</w:t>
      </w:r>
      <w:r w:rsidR="00CC5B75">
        <w:t>4</w:t>
      </w:r>
      <w:r w:rsidRPr="00795F17">
        <w:t xml:space="preserve"> </w:t>
      </w:r>
      <w:r w:rsidR="00DF005E">
        <w:t>JCWP</w:t>
      </w:r>
      <w:r w:rsidRPr="00795F17">
        <w:t xml:space="preserve"> (15% wszystkich </w:t>
      </w:r>
      <w:r w:rsidR="00DF005E">
        <w:t>JCWP</w:t>
      </w:r>
      <w:r w:rsidRPr="00795F17">
        <w:t xml:space="preserve"> </w:t>
      </w:r>
      <w:r w:rsidR="00043A61" w:rsidRPr="00795F17">
        <w:t>LW</w:t>
      </w:r>
      <w:r w:rsidRPr="00795F17">
        <w:t xml:space="preserve"> </w:t>
      </w:r>
      <w:r w:rsidR="00D7081B">
        <w:t xml:space="preserve">na </w:t>
      </w:r>
      <w:r w:rsidR="00E478B0" w:rsidRPr="00795F17">
        <w:t xml:space="preserve">obszarze </w:t>
      </w:r>
      <w:r w:rsidRPr="00795F17">
        <w:t>dorzecz</w:t>
      </w:r>
      <w:r w:rsidR="00E478B0" w:rsidRPr="00795F17">
        <w:t xml:space="preserve">a </w:t>
      </w:r>
      <w:r w:rsidRPr="00795F17">
        <w:t>Odry). Dla</w:t>
      </w:r>
      <w:r w:rsidR="0009370C" w:rsidRPr="00795F17">
        <w:t> </w:t>
      </w:r>
      <w:r w:rsidR="00F25206">
        <w:t>311</w:t>
      </w:r>
      <w:r w:rsidRPr="00795F17">
        <w:t xml:space="preserve"> </w:t>
      </w:r>
      <w:r w:rsidR="00DF005E">
        <w:t>JCWP</w:t>
      </w:r>
      <w:r w:rsidRPr="00795F17">
        <w:t xml:space="preserve"> (</w:t>
      </w:r>
      <w:r w:rsidR="00F25206">
        <w:t>74</w:t>
      </w:r>
      <w:r w:rsidRPr="00795F17">
        <w:t xml:space="preserve">% wszystkich </w:t>
      </w:r>
      <w:r w:rsidR="00DF005E">
        <w:t>JCWP</w:t>
      </w:r>
      <w:r w:rsidRPr="00795F17">
        <w:t>) zaplanowano odstępstwo z art. 4</w:t>
      </w:r>
      <w:r w:rsidR="002A71D9" w:rsidRPr="00795F17">
        <w:t xml:space="preserve"> ust. </w:t>
      </w:r>
      <w:r w:rsidRPr="00795F17">
        <w:t xml:space="preserve">4 RDW, a dla </w:t>
      </w:r>
      <w:r w:rsidR="000B486D">
        <w:t>4</w:t>
      </w:r>
      <w:r w:rsidR="00B45F36">
        <w:t xml:space="preserve"> </w:t>
      </w:r>
      <w:r w:rsidR="00DF005E">
        <w:t>JCWP</w:t>
      </w:r>
      <w:r w:rsidR="00B45F36">
        <w:t xml:space="preserve"> LW odstępstwo</w:t>
      </w:r>
      <w:r w:rsidRPr="00795F17">
        <w:t xml:space="preserve"> z</w:t>
      </w:r>
      <w:r w:rsidR="00742B98" w:rsidRPr="00795F17">
        <w:t> </w:t>
      </w:r>
      <w:r w:rsidRPr="00795F17">
        <w:t>art. 4</w:t>
      </w:r>
      <w:r w:rsidR="002A71D9" w:rsidRPr="00795F17">
        <w:t xml:space="preserve"> ust. </w:t>
      </w:r>
      <w:r w:rsidRPr="00795F17">
        <w:t>5 RDW. Analiza stopnia osiągnięcia celów środowiskowych wykazała, iż</w:t>
      </w:r>
      <w:r w:rsidR="00E478B0" w:rsidRPr="00795F17">
        <w:t> </w:t>
      </w:r>
      <w:r w:rsidRPr="00795F17">
        <w:t xml:space="preserve">dobry stan wód został osiągnięty w stosunku do </w:t>
      </w:r>
      <w:r w:rsidR="004F3E65">
        <w:t>26</w:t>
      </w:r>
      <w:r w:rsidRPr="00795F17">
        <w:t xml:space="preserve"> </w:t>
      </w:r>
      <w:r w:rsidR="00DF005E">
        <w:t>JCWP</w:t>
      </w:r>
      <w:r w:rsidRPr="00795F17">
        <w:t xml:space="preserve"> </w:t>
      </w:r>
      <w:r w:rsidR="00043A61" w:rsidRPr="00795F17">
        <w:t>LW</w:t>
      </w:r>
      <w:r w:rsidRPr="00795F17">
        <w:t xml:space="preserve"> (</w:t>
      </w:r>
      <w:r w:rsidR="009A7557">
        <w:t>6</w:t>
      </w:r>
      <w:r w:rsidRPr="00795F17">
        <w:t xml:space="preserve">%) (tabela </w:t>
      </w:r>
      <w:r w:rsidR="0070732C" w:rsidRPr="00795F17">
        <w:t>8-1</w:t>
      </w:r>
      <w:r w:rsidR="00B3309A" w:rsidRPr="00795F17">
        <w:t>0</w:t>
      </w:r>
      <w:r w:rsidRPr="00795F17">
        <w:t>).</w:t>
      </w:r>
      <w:r w:rsidR="006E1762">
        <w:t xml:space="preserve"> Tabelaryczne podsumowanie oceny o</w:t>
      </w:r>
      <w:r w:rsidR="006E1762" w:rsidRPr="00EB64B4">
        <w:t xml:space="preserve">siągnięcia celów środowiskowych </w:t>
      </w:r>
      <w:r w:rsidR="00DF005E">
        <w:t>JCWP</w:t>
      </w:r>
      <w:r w:rsidR="006E1762">
        <w:t xml:space="preserve"> przedstawia załącznik nr</w:t>
      </w:r>
      <w:r w:rsidR="008B33B6">
        <w:t> </w:t>
      </w:r>
      <w:r w:rsidR="00617195">
        <w:t>7</w:t>
      </w:r>
      <w:r w:rsidR="004471A6">
        <w:t xml:space="preserve"> (Ocena osiągnięcia celów środowiskowych </w:t>
      </w:r>
      <w:r w:rsidR="00DF005E">
        <w:t>JCWP</w:t>
      </w:r>
      <w:r w:rsidR="004471A6">
        <w:t>).</w:t>
      </w:r>
    </w:p>
    <w:p w14:paraId="3F7D9378" w14:textId="62FBE69F" w:rsidR="0070732C" w:rsidRPr="00795F17" w:rsidRDefault="0070732C" w:rsidP="004D7705">
      <w:pPr>
        <w:pStyle w:val="Tabela"/>
      </w:pPr>
      <w:bookmarkStart w:id="410" w:name="_Toc105512820"/>
      <w:r w:rsidRPr="00795F17">
        <w:t xml:space="preserve">Tabela </w:t>
      </w:r>
      <w:fldSimple w:instr=" STYLEREF 1 \s ">
        <w:r w:rsidR="001F774D">
          <w:rPr>
            <w:noProof/>
          </w:rPr>
          <w:t>8</w:t>
        </w:r>
      </w:fldSimple>
      <w:r w:rsidR="00BB3B21" w:rsidRPr="00795F17">
        <w:noBreakHyphen/>
      </w:r>
      <w:fldSimple w:instr=" SEQ Tabela \* ARABIC \s 1 ">
        <w:r w:rsidR="001F774D">
          <w:rPr>
            <w:noProof/>
          </w:rPr>
          <w:t>10</w:t>
        </w:r>
      </w:fldSimple>
      <w:r w:rsidR="00E76356">
        <w:rPr>
          <w:noProof/>
        </w:rPr>
        <w:t>.</w:t>
      </w:r>
      <w:r w:rsidRPr="00795F17">
        <w:tab/>
      </w:r>
      <w:r w:rsidR="00FE0E9B" w:rsidRPr="00795F17">
        <w:rPr>
          <w:lang w:eastAsia="pl-PL"/>
        </w:rPr>
        <w:t>Osiągnięcie celów środowiskowych ustalonych na lata 2016</w:t>
      </w:r>
      <w:r w:rsidR="00814C01">
        <w:rPr>
          <w:lang w:eastAsia="pl-PL"/>
        </w:rPr>
        <w:t>–</w:t>
      </w:r>
      <w:r w:rsidR="00FE0E9B" w:rsidRPr="00795F17">
        <w:rPr>
          <w:lang w:eastAsia="pl-PL"/>
        </w:rPr>
        <w:t xml:space="preserve">2021 dla </w:t>
      </w:r>
      <w:r w:rsidR="00DF005E">
        <w:rPr>
          <w:lang w:eastAsia="pl-PL"/>
        </w:rPr>
        <w:t>JCWP</w:t>
      </w:r>
      <w:r w:rsidR="00FE0E9B" w:rsidRPr="00795F17">
        <w:rPr>
          <w:lang w:eastAsia="pl-PL"/>
        </w:rPr>
        <w:t xml:space="preserve"> LW na obszarze dorzecza Odry w oparciu o jednostki planistyczne aPGW</w:t>
      </w:r>
      <w:bookmarkEnd w:id="4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7"/>
        <w:gridCol w:w="993"/>
        <w:gridCol w:w="1064"/>
        <w:gridCol w:w="1064"/>
        <w:gridCol w:w="1559"/>
        <w:gridCol w:w="1135"/>
        <w:gridCol w:w="1270"/>
      </w:tblGrid>
      <w:tr w:rsidR="00A230D1" w:rsidRPr="00795F17" w14:paraId="5DE228FB" w14:textId="77777777" w:rsidTr="00FE0E9B">
        <w:trPr>
          <w:trHeight w:val="454"/>
        </w:trPr>
        <w:tc>
          <w:tcPr>
            <w:tcW w:w="1091" w:type="pct"/>
            <w:vMerge w:val="restart"/>
            <w:shd w:val="clear" w:color="auto" w:fill="BFBFBF" w:themeFill="background1" w:themeFillShade="BF"/>
            <w:vAlign w:val="center"/>
            <w:hideMark/>
          </w:tcPr>
          <w:p w14:paraId="5FD2EC5F" w14:textId="77777777" w:rsidR="00A230D1" w:rsidRPr="00795F17" w:rsidRDefault="00A230D1" w:rsidP="0044393D">
            <w:pPr>
              <w:pStyle w:val="Teksttabelinaglowek"/>
            </w:pPr>
            <w:r w:rsidRPr="00795F17">
              <w:t>Region wodny</w:t>
            </w:r>
          </w:p>
        </w:tc>
        <w:tc>
          <w:tcPr>
            <w:tcW w:w="548" w:type="pct"/>
            <w:vMerge w:val="restart"/>
            <w:shd w:val="clear" w:color="auto" w:fill="BFBFBF" w:themeFill="background1" w:themeFillShade="BF"/>
            <w:vAlign w:val="center"/>
            <w:hideMark/>
          </w:tcPr>
          <w:p w14:paraId="55913D75" w14:textId="39115F13" w:rsidR="0070732C" w:rsidRPr="00795F17" w:rsidRDefault="00A230D1" w:rsidP="0044393D">
            <w:pPr>
              <w:pStyle w:val="Teksttabelinaglowek"/>
            </w:pPr>
            <w:r w:rsidRPr="00795F17">
              <w:t xml:space="preserve">Liczba </w:t>
            </w:r>
            <w:r w:rsidR="00DF005E">
              <w:t>JCWP</w:t>
            </w:r>
            <w:r w:rsidRPr="00795F17">
              <w:t xml:space="preserve"> LW</w:t>
            </w:r>
          </w:p>
          <w:p w14:paraId="39C2D2F3" w14:textId="0139F5D8" w:rsidR="00A230D1" w:rsidRPr="00795F17" w:rsidRDefault="0070732C" w:rsidP="0044393D">
            <w:pPr>
              <w:pStyle w:val="Teksttabelinaglowek"/>
            </w:pPr>
            <w:r w:rsidRPr="00795F17">
              <w:t>ogółem</w:t>
            </w:r>
          </w:p>
        </w:tc>
        <w:tc>
          <w:tcPr>
            <w:tcW w:w="1174" w:type="pct"/>
            <w:gridSpan w:val="2"/>
            <w:shd w:val="clear" w:color="auto" w:fill="BFBFBF" w:themeFill="background1" w:themeFillShade="BF"/>
            <w:vAlign w:val="center"/>
            <w:hideMark/>
          </w:tcPr>
          <w:p w14:paraId="02239756" w14:textId="4841CACF" w:rsidR="00A230D1" w:rsidRPr="00795F17" w:rsidRDefault="00CE64E7" w:rsidP="0044393D">
            <w:pPr>
              <w:pStyle w:val="Teksttabelinaglowek"/>
            </w:pPr>
            <w:r w:rsidRPr="00795F17">
              <w:t>Liczba jcw LW z</w:t>
            </w:r>
            <w:r w:rsidR="00545F0E">
              <w:t> </w:t>
            </w:r>
            <w:r w:rsidRPr="00795F17">
              <w:t>odstępstwem wskazanym w aPGW (2016</w:t>
            </w:r>
            <w:r w:rsidR="00814C01">
              <w:t>–</w:t>
            </w:r>
            <w:r w:rsidRPr="00795F17">
              <w:t>2021)</w:t>
            </w:r>
          </w:p>
        </w:tc>
        <w:tc>
          <w:tcPr>
            <w:tcW w:w="2187" w:type="pct"/>
            <w:gridSpan w:val="3"/>
            <w:shd w:val="clear" w:color="auto" w:fill="BFBFBF" w:themeFill="background1" w:themeFillShade="BF"/>
            <w:vAlign w:val="center"/>
            <w:hideMark/>
          </w:tcPr>
          <w:p w14:paraId="2A7176AA" w14:textId="43B6F23C" w:rsidR="00A230D1" w:rsidRPr="00795F17" w:rsidRDefault="00A230D1" w:rsidP="0044393D">
            <w:pPr>
              <w:pStyle w:val="Teksttabelinaglowek"/>
            </w:pPr>
            <w:r w:rsidRPr="00795F17">
              <w:t xml:space="preserve">Liczba </w:t>
            </w:r>
            <w:r w:rsidR="00DF005E">
              <w:t>JCWP</w:t>
            </w:r>
            <w:r w:rsidRPr="00795F17">
              <w:t xml:space="preserve"> LW, </w:t>
            </w:r>
            <w:r w:rsidR="00CE64E7" w:rsidRPr="00795F17">
              <w:t>które osiągnęły</w:t>
            </w:r>
            <w:r w:rsidRPr="00795F17">
              <w:t xml:space="preserve"> cel</w:t>
            </w:r>
            <w:r w:rsidR="00CE64E7" w:rsidRPr="00795F17">
              <w:t>e</w:t>
            </w:r>
            <w:r w:rsidRPr="00795F17">
              <w:t xml:space="preserve"> środowiskow</w:t>
            </w:r>
            <w:r w:rsidR="00CE64E7" w:rsidRPr="00795F17">
              <w:t>e</w:t>
            </w:r>
          </w:p>
        </w:tc>
      </w:tr>
      <w:tr w:rsidR="009560DD" w:rsidRPr="00795F17" w14:paraId="1EEB608A" w14:textId="77777777" w:rsidTr="005977AF">
        <w:trPr>
          <w:trHeight w:val="454"/>
        </w:trPr>
        <w:tc>
          <w:tcPr>
            <w:tcW w:w="1091" w:type="pct"/>
            <w:vMerge/>
            <w:shd w:val="clear" w:color="auto" w:fill="BFBFBF" w:themeFill="background1" w:themeFillShade="BF"/>
            <w:vAlign w:val="center"/>
            <w:hideMark/>
          </w:tcPr>
          <w:p w14:paraId="484B1221" w14:textId="77777777" w:rsidR="00A230D1" w:rsidRPr="00795F17" w:rsidRDefault="00A230D1" w:rsidP="0044393D">
            <w:pPr>
              <w:pStyle w:val="Teksttabeliprawy"/>
            </w:pPr>
          </w:p>
        </w:tc>
        <w:tc>
          <w:tcPr>
            <w:tcW w:w="548" w:type="pct"/>
            <w:vMerge/>
            <w:shd w:val="clear" w:color="auto" w:fill="BFBFBF" w:themeFill="background1" w:themeFillShade="BF"/>
            <w:vAlign w:val="center"/>
            <w:hideMark/>
          </w:tcPr>
          <w:p w14:paraId="030359E1" w14:textId="6D0CE722" w:rsidR="00A230D1" w:rsidRPr="00795F17" w:rsidRDefault="00A230D1" w:rsidP="0044393D">
            <w:pPr>
              <w:pStyle w:val="Teksttabeliprawy"/>
            </w:pPr>
          </w:p>
        </w:tc>
        <w:tc>
          <w:tcPr>
            <w:tcW w:w="587" w:type="pct"/>
            <w:shd w:val="clear" w:color="auto" w:fill="BFBFBF" w:themeFill="background1" w:themeFillShade="BF"/>
            <w:vAlign w:val="center"/>
            <w:hideMark/>
          </w:tcPr>
          <w:p w14:paraId="329BB0B4" w14:textId="41EBBC61" w:rsidR="00A230D1" w:rsidRPr="00795F17" w:rsidRDefault="00A230D1" w:rsidP="0044393D">
            <w:pPr>
              <w:pStyle w:val="Teksttabelinaglowek"/>
            </w:pPr>
            <w:r w:rsidRPr="00795F17">
              <w:t>Art. 4</w:t>
            </w:r>
            <w:r w:rsidR="002A71D9" w:rsidRPr="00795F17">
              <w:t xml:space="preserve"> ust. </w:t>
            </w:r>
            <w:r w:rsidRPr="00795F17">
              <w:t>4 RDW</w:t>
            </w:r>
          </w:p>
        </w:tc>
        <w:tc>
          <w:tcPr>
            <w:tcW w:w="587" w:type="pct"/>
            <w:shd w:val="clear" w:color="auto" w:fill="BFBFBF" w:themeFill="background1" w:themeFillShade="BF"/>
            <w:vAlign w:val="center"/>
            <w:hideMark/>
          </w:tcPr>
          <w:p w14:paraId="19D6CA6E" w14:textId="52F73B83" w:rsidR="00A230D1" w:rsidRPr="00795F17" w:rsidRDefault="00A230D1" w:rsidP="0044393D">
            <w:pPr>
              <w:pStyle w:val="Teksttabelinaglowek"/>
            </w:pPr>
            <w:r w:rsidRPr="00795F17">
              <w:t>Art. 4</w:t>
            </w:r>
            <w:r w:rsidR="002A71D9" w:rsidRPr="00795F17">
              <w:t xml:space="preserve"> ust. </w:t>
            </w:r>
            <w:r w:rsidRPr="00795F17">
              <w:t>5 RDW</w:t>
            </w:r>
          </w:p>
        </w:tc>
        <w:tc>
          <w:tcPr>
            <w:tcW w:w="860" w:type="pct"/>
            <w:shd w:val="clear" w:color="auto" w:fill="BFBFBF" w:themeFill="background1" w:themeFillShade="BF"/>
            <w:vAlign w:val="center"/>
            <w:hideMark/>
          </w:tcPr>
          <w:p w14:paraId="60208AB1" w14:textId="7AFCAC7C" w:rsidR="00A230D1" w:rsidRPr="00795F17" w:rsidRDefault="00A230D1" w:rsidP="0044393D">
            <w:pPr>
              <w:pStyle w:val="Teksttabelinaglowek"/>
            </w:pPr>
            <w:r w:rsidRPr="00795F17">
              <w:t>Stan</w:t>
            </w:r>
            <w:r w:rsidR="0070732C" w:rsidRPr="00795F17">
              <w:t>/</w:t>
            </w:r>
            <w:r w:rsidR="009560DD" w:rsidRPr="00795F17">
              <w:t>potencjał</w:t>
            </w:r>
            <w:r w:rsidR="00943C7B" w:rsidRPr="00795F17">
              <w:t xml:space="preserve"> ekologiczny</w:t>
            </w:r>
          </w:p>
        </w:tc>
        <w:tc>
          <w:tcPr>
            <w:tcW w:w="626" w:type="pct"/>
            <w:shd w:val="clear" w:color="auto" w:fill="BFBFBF" w:themeFill="background1" w:themeFillShade="BF"/>
            <w:vAlign w:val="center"/>
            <w:hideMark/>
          </w:tcPr>
          <w:p w14:paraId="5B7592FF" w14:textId="77777777" w:rsidR="00A230D1" w:rsidRPr="00795F17" w:rsidRDefault="00A230D1" w:rsidP="0044393D">
            <w:pPr>
              <w:pStyle w:val="Teksttabelinaglowek"/>
            </w:pPr>
            <w:r w:rsidRPr="00795F17">
              <w:t>Stan chemiczny</w:t>
            </w:r>
          </w:p>
        </w:tc>
        <w:tc>
          <w:tcPr>
            <w:tcW w:w="701" w:type="pct"/>
            <w:shd w:val="clear" w:color="auto" w:fill="BFBFBF" w:themeFill="background1" w:themeFillShade="BF"/>
            <w:vAlign w:val="center"/>
            <w:hideMark/>
          </w:tcPr>
          <w:p w14:paraId="489533A7" w14:textId="304DE744" w:rsidR="00A230D1" w:rsidRPr="00795F17" w:rsidRDefault="00F11AFD" w:rsidP="0044393D">
            <w:pPr>
              <w:pStyle w:val="Teksttabelinaglowek"/>
            </w:pPr>
            <w:r w:rsidRPr="00795F17">
              <w:t>Stan ogólny</w:t>
            </w:r>
          </w:p>
        </w:tc>
      </w:tr>
      <w:tr w:rsidR="009560DD" w:rsidRPr="00795F17" w14:paraId="2DF94211" w14:textId="77777777" w:rsidTr="005977AF">
        <w:trPr>
          <w:trHeight w:val="454"/>
        </w:trPr>
        <w:tc>
          <w:tcPr>
            <w:tcW w:w="1091" w:type="pct"/>
            <w:vAlign w:val="center"/>
            <w:hideMark/>
          </w:tcPr>
          <w:p w14:paraId="0BC1C6F1" w14:textId="77777777" w:rsidR="00A230D1" w:rsidRPr="00795F17" w:rsidRDefault="00A230D1" w:rsidP="0057488F">
            <w:pPr>
              <w:pStyle w:val="Teksttabelilewy"/>
            </w:pPr>
            <w:r w:rsidRPr="00795F17">
              <w:t>Górnej Odry</w:t>
            </w:r>
          </w:p>
        </w:tc>
        <w:tc>
          <w:tcPr>
            <w:tcW w:w="548" w:type="pct"/>
            <w:vAlign w:val="center"/>
            <w:hideMark/>
          </w:tcPr>
          <w:p w14:paraId="23F9CF96" w14:textId="77777777" w:rsidR="00A230D1" w:rsidRPr="00795F17" w:rsidRDefault="00A230D1" w:rsidP="0065243A">
            <w:pPr>
              <w:pStyle w:val="Teksttabelisrodek"/>
            </w:pPr>
            <w:r w:rsidRPr="00795F17">
              <w:t>0</w:t>
            </w:r>
          </w:p>
        </w:tc>
        <w:tc>
          <w:tcPr>
            <w:tcW w:w="587" w:type="pct"/>
            <w:vAlign w:val="center"/>
            <w:hideMark/>
          </w:tcPr>
          <w:p w14:paraId="419D84A2" w14:textId="77777777" w:rsidR="00A230D1" w:rsidRPr="00795F17" w:rsidRDefault="00A230D1" w:rsidP="0065243A">
            <w:pPr>
              <w:pStyle w:val="Teksttabelisrodek"/>
            </w:pPr>
            <w:r w:rsidRPr="00795F17">
              <w:t>0</w:t>
            </w:r>
          </w:p>
        </w:tc>
        <w:tc>
          <w:tcPr>
            <w:tcW w:w="587" w:type="pct"/>
            <w:vAlign w:val="center"/>
            <w:hideMark/>
          </w:tcPr>
          <w:p w14:paraId="52F61E35" w14:textId="77777777" w:rsidR="00A230D1" w:rsidRPr="00795F17" w:rsidRDefault="00A230D1" w:rsidP="0065243A">
            <w:pPr>
              <w:pStyle w:val="Teksttabelisrodek"/>
            </w:pPr>
            <w:r w:rsidRPr="00795F17">
              <w:t>0</w:t>
            </w:r>
          </w:p>
        </w:tc>
        <w:tc>
          <w:tcPr>
            <w:tcW w:w="860" w:type="pct"/>
            <w:vAlign w:val="center"/>
            <w:hideMark/>
          </w:tcPr>
          <w:p w14:paraId="46F1AB8C" w14:textId="77777777" w:rsidR="00A230D1" w:rsidRPr="00795F17" w:rsidRDefault="00A230D1" w:rsidP="0065243A">
            <w:pPr>
              <w:pStyle w:val="Teksttabelisrodek"/>
            </w:pPr>
            <w:r w:rsidRPr="00795F17">
              <w:t>0</w:t>
            </w:r>
          </w:p>
        </w:tc>
        <w:tc>
          <w:tcPr>
            <w:tcW w:w="626" w:type="pct"/>
            <w:vAlign w:val="center"/>
            <w:hideMark/>
          </w:tcPr>
          <w:p w14:paraId="404F00F6" w14:textId="77777777" w:rsidR="00A230D1" w:rsidRPr="00795F17" w:rsidRDefault="00A230D1" w:rsidP="0065243A">
            <w:pPr>
              <w:pStyle w:val="Teksttabelisrodek"/>
            </w:pPr>
            <w:r w:rsidRPr="00795F17">
              <w:t>0</w:t>
            </w:r>
          </w:p>
        </w:tc>
        <w:tc>
          <w:tcPr>
            <w:tcW w:w="701" w:type="pct"/>
            <w:vAlign w:val="center"/>
            <w:hideMark/>
          </w:tcPr>
          <w:p w14:paraId="31E4B4CF" w14:textId="77777777" w:rsidR="00A230D1" w:rsidRPr="00795F17" w:rsidRDefault="00A230D1" w:rsidP="0065243A">
            <w:pPr>
              <w:pStyle w:val="Teksttabelisrodek"/>
            </w:pPr>
            <w:r w:rsidRPr="00795F17">
              <w:t>0</w:t>
            </w:r>
          </w:p>
        </w:tc>
      </w:tr>
      <w:tr w:rsidR="009560DD" w:rsidRPr="00795F17" w14:paraId="5E671C3B" w14:textId="77777777" w:rsidTr="005977AF">
        <w:trPr>
          <w:trHeight w:val="454"/>
        </w:trPr>
        <w:tc>
          <w:tcPr>
            <w:tcW w:w="1091" w:type="pct"/>
            <w:vAlign w:val="center"/>
            <w:hideMark/>
          </w:tcPr>
          <w:p w14:paraId="4E6849FC" w14:textId="77777777" w:rsidR="00A230D1" w:rsidRPr="00795F17" w:rsidRDefault="00A230D1" w:rsidP="0057488F">
            <w:pPr>
              <w:pStyle w:val="Teksttabelilewy"/>
            </w:pPr>
            <w:r w:rsidRPr="00795F17">
              <w:t>Środkowej Odry</w:t>
            </w:r>
          </w:p>
        </w:tc>
        <w:tc>
          <w:tcPr>
            <w:tcW w:w="548" w:type="pct"/>
            <w:vAlign w:val="center"/>
            <w:hideMark/>
          </w:tcPr>
          <w:p w14:paraId="11EB3126" w14:textId="77777777" w:rsidR="00A230D1" w:rsidRPr="00795F17" w:rsidRDefault="00A230D1" w:rsidP="0065243A">
            <w:pPr>
              <w:pStyle w:val="Teksttabelisrodek"/>
            </w:pPr>
            <w:r w:rsidRPr="00795F17">
              <w:t>24</w:t>
            </w:r>
          </w:p>
        </w:tc>
        <w:tc>
          <w:tcPr>
            <w:tcW w:w="587" w:type="pct"/>
            <w:vAlign w:val="center"/>
            <w:hideMark/>
          </w:tcPr>
          <w:p w14:paraId="06C9482A" w14:textId="52F70658" w:rsidR="00A230D1" w:rsidRPr="00795F17" w:rsidRDefault="002C6EFD" w:rsidP="0065243A">
            <w:pPr>
              <w:pStyle w:val="Teksttabelisrodek"/>
            </w:pPr>
            <w:r>
              <w:t>18</w:t>
            </w:r>
          </w:p>
        </w:tc>
        <w:tc>
          <w:tcPr>
            <w:tcW w:w="587" w:type="pct"/>
            <w:vAlign w:val="center"/>
            <w:hideMark/>
          </w:tcPr>
          <w:p w14:paraId="72E22010" w14:textId="77777777" w:rsidR="00A230D1" w:rsidRPr="00795F17" w:rsidRDefault="00A230D1" w:rsidP="0065243A">
            <w:pPr>
              <w:pStyle w:val="Teksttabelisrodek"/>
            </w:pPr>
            <w:r w:rsidRPr="00795F17">
              <w:t>0</w:t>
            </w:r>
          </w:p>
        </w:tc>
        <w:tc>
          <w:tcPr>
            <w:tcW w:w="860" w:type="pct"/>
            <w:vAlign w:val="center"/>
            <w:hideMark/>
          </w:tcPr>
          <w:p w14:paraId="67F4F77A" w14:textId="77777777" w:rsidR="00A230D1" w:rsidRPr="00795F17" w:rsidRDefault="00A230D1" w:rsidP="0065243A">
            <w:pPr>
              <w:pStyle w:val="Teksttabelisrodek"/>
            </w:pPr>
            <w:r w:rsidRPr="00795F17">
              <w:t>4</w:t>
            </w:r>
          </w:p>
        </w:tc>
        <w:tc>
          <w:tcPr>
            <w:tcW w:w="626" w:type="pct"/>
            <w:vAlign w:val="center"/>
            <w:hideMark/>
          </w:tcPr>
          <w:p w14:paraId="3BC6F24A" w14:textId="77777777" w:rsidR="00A230D1" w:rsidRPr="00795F17" w:rsidRDefault="00A230D1" w:rsidP="0065243A">
            <w:pPr>
              <w:pStyle w:val="Teksttabelisrodek"/>
            </w:pPr>
            <w:r w:rsidRPr="00795F17">
              <w:t>4</w:t>
            </w:r>
          </w:p>
        </w:tc>
        <w:tc>
          <w:tcPr>
            <w:tcW w:w="701" w:type="pct"/>
            <w:vAlign w:val="center"/>
            <w:hideMark/>
          </w:tcPr>
          <w:p w14:paraId="5A49DB18" w14:textId="671CBEC6" w:rsidR="00A230D1" w:rsidRPr="00795F17" w:rsidRDefault="00196478" w:rsidP="0065243A">
            <w:pPr>
              <w:pStyle w:val="Teksttabelisrodek"/>
            </w:pPr>
            <w:r>
              <w:t>1</w:t>
            </w:r>
          </w:p>
        </w:tc>
      </w:tr>
      <w:tr w:rsidR="009560DD" w:rsidRPr="00795F17" w14:paraId="730CD741" w14:textId="77777777" w:rsidTr="005977AF">
        <w:trPr>
          <w:trHeight w:val="454"/>
        </w:trPr>
        <w:tc>
          <w:tcPr>
            <w:tcW w:w="1091" w:type="pct"/>
            <w:vAlign w:val="center"/>
            <w:hideMark/>
          </w:tcPr>
          <w:p w14:paraId="34B2EE95" w14:textId="77777777" w:rsidR="00A230D1" w:rsidRPr="00795F17" w:rsidRDefault="00A230D1" w:rsidP="0057488F">
            <w:pPr>
              <w:pStyle w:val="Teksttabelilewy"/>
            </w:pPr>
            <w:r w:rsidRPr="00795F17">
              <w:t>Warty</w:t>
            </w:r>
          </w:p>
        </w:tc>
        <w:tc>
          <w:tcPr>
            <w:tcW w:w="548" w:type="pct"/>
            <w:vAlign w:val="center"/>
            <w:hideMark/>
          </w:tcPr>
          <w:p w14:paraId="4F779A3A" w14:textId="4BB2E8E0" w:rsidR="00A230D1" w:rsidRPr="00795F17" w:rsidRDefault="00A230D1" w:rsidP="0065243A">
            <w:pPr>
              <w:pStyle w:val="Teksttabelisrodek"/>
            </w:pPr>
            <w:r w:rsidRPr="00795F17">
              <w:t>28</w:t>
            </w:r>
            <w:r w:rsidR="00C50705">
              <w:t>5</w:t>
            </w:r>
          </w:p>
        </w:tc>
        <w:tc>
          <w:tcPr>
            <w:tcW w:w="587" w:type="pct"/>
            <w:vAlign w:val="center"/>
            <w:hideMark/>
          </w:tcPr>
          <w:p w14:paraId="3A648394" w14:textId="266FB671" w:rsidR="00A230D1" w:rsidRPr="00795F17" w:rsidRDefault="002C6EFD" w:rsidP="0065243A">
            <w:pPr>
              <w:pStyle w:val="Teksttabelisrodek"/>
            </w:pPr>
            <w:r>
              <w:t>218</w:t>
            </w:r>
          </w:p>
        </w:tc>
        <w:tc>
          <w:tcPr>
            <w:tcW w:w="587" w:type="pct"/>
            <w:vAlign w:val="center"/>
            <w:hideMark/>
          </w:tcPr>
          <w:p w14:paraId="3D189CCF" w14:textId="50A5176F" w:rsidR="00A230D1" w:rsidRPr="00795F17" w:rsidRDefault="002C6EFD" w:rsidP="0065243A">
            <w:pPr>
              <w:pStyle w:val="Teksttabelisrodek"/>
            </w:pPr>
            <w:r>
              <w:t>0</w:t>
            </w:r>
          </w:p>
        </w:tc>
        <w:tc>
          <w:tcPr>
            <w:tcW w:w="860" w:type="pct"/>
            <w:vAlign w:val="center"/>
            <w:hideMark/>
          </w:tcPr>
          <w:p w14:paraId="74447515" w14:textId="72D56378" w:rsidR="00A230D1" w:rsidRPr="00795F17" w:rsidRDefault="00007580" w:rsidP="0065243A">
            <w:pPr>
              <w:pStyle w:val="Teksttabelisrodek"/>
            </w:pPr>
            <w:r>
              <w:t>48</w:t>
            </w:r>
          </w:p>
        </w:tc>
        <w:tc>
          <w:tcPr>
            <w:tcW w:w="626" w:type="pct"/>
            <w:vAlign w:val="center"/>
            <w:hideMark/>
          </w:tcPr>
          <w:p w14:paraId="014C9634" w14:textId="2B8D7030" w:rsidR="00A230D1" w:rsidRPr="00795F17" w:rsidRDefault="003C5151" w:rsidP="0065243A">
            <w:pPr>
              <w:pStyle w:val="Teksttabelisrodek"/>
            </w:pPr>
            <w:r>
              <w:t>45</w:t>
            </w:r>
          </w:p>
        </w:tc>
        <w:tc>
          <w:tcPr>
            <w:tcW w:w="701" w:type="pct"/>
            <w:vAlign w:val="center"/>
            <w:hideMark/>
          </w:tcPr>
          <w:p w14:paraId="722AE7D5" w14:textId="351742F4" w:rsidR="00A230D1" w:rsidRPr="00795F17" w:rsidRDefault="00196478" w:rsidP="0065243A">
            <w:pPr>
              <w:pStyle w:val="Teksttabelisrodek"/>
            </w:pPr>
            <w:r>
              <w:t>22</w:t>
            </w:r>
          </w:p>
        </w:tc>
      </w:tr>
      <w:tr w:rsidR="009560DD" w:rsidRPr="00795F17" w14:paraId="1D4C1E8F" w14:textId="77777777" w:rsidTr="005977AF">
        <w:trPr>
          <w:trHeight w:val="454"/>
        </w:trPr>
        <w:tc>
          <w:tcPr>
            <w:tcW w:w="1091" w:type="pct"/>
            <w:vAlign w:val="center"/>
            <w:hideMark/>
          </w:tcPr>
          <w:p w14:paraId="4EAACE2D" w14:textId="7E5B2B66" w:rsidR="00A230D1" w:rsidRPr="00795F17" w:rsidRDefault="00A230D1" w:rsidP="0057488F">
            <w:pPr>
              <w:pStyle w:val="Teksttabelilewy"/>
            </w:pPr>
            <w:r w:rsidRPr="00795F17">
              <w:t>Dolnej Odry i</w:t>
            </w:r>
            <w:r w:rsidR="008B33B6">
              <w:t> </w:t>
            </w:r>
            <w:r w:rsidRPr="00795F17">
              <w:t>Przymorza Zachodniego</w:t>
            </w:r>
          </w:p>
        </w:tc>
        <w:tc>
          <w:tcPr>
            <w:tcW w:w="548" w:type="pct"/>
            <w:vAlign w:val="center"/>
            <w:hideMark/>
          </w:tcPr>
          <w:p w14:paraId="09B46E0A" w14:textId="77777777" w:rsidR="00A230D1" w:rsidRPr="00795F17" w:rsidRDefault="00A230D1" w:rsidP="0065243A">
            <w:pPr>
              <w:pStyle w:val="Teksttabelisrodek"/>
            </w:pPr>
            <w:r w:rsidRPr="00795F17">
              <w:t>113</w:t>
            </w:r>
          </w:p>
        </w:tc>
        <w:tc>
          <w:tcPr>
            <w:tcW w:w="587" w:type="pct"/>
            <w:vAlign w:val="center"/>
            <w:hideMark/>
          </w:tcPr>
          <w:p w14:paraId="69EE395E" w14:textId="50B155EE" w:rsidR="00A230D1" w:rsidRPr="00795F17" w:rsidRDefault="00422FD3" w:rsidP="0065243A">
            <w:pPr>
              <w:pStyle w:val="Teksttabelisrodek"/>
            </w:pPr>
            <w:r>
              <w:t>75</w:t>
            </w:r>
          </w:p>
        </w:tc>
        <w:tc>
          <w:tcPr>
            <w:tcW w:w="587" w:type="pct"/>
            <w:vAlign w:val="center"/>
            <w:hideMark/>
          </w:tcPr>
          <w:p w14:paraId="731BACC7" w14:textId="303E89C7" w:rsidR="00A230D1" w:rsidRPr="00795F17" w:rsidRDefault="002C6EFD" w:rsidP="0065243A">
            <w:pPr>
              <w:pStyle w:val="Teksttabelisrodek"/>
            </w:pPr>
            <w:r>
              <w:t>4</w:t>
            </w:r>
          </w:p>
        </w:tc>
        <w:tc>
          <w:tcPr>
            <w:tcW w:w="860" w:type="pct"/>
            <w:vAlign w:val="center"/>
            <w:hideMark/>
          </w:tcPr>
          <w:p w14:paraId="07C04223" w14:textId="29C0DB54" w:rsidR="00A230D1" w:rsidRPr="00795F17" w:rsidRDefault="00A230D1" w:rsidP="0065243A">
            <w:pPr>
              <w:pStyle w:val="Teksttabelisrodek"/>
            </w:pPr>
            <w:r w:rsidRPr="00795F17">
              <w:t>1</w:t>
            </w:r>
            <w:r w:rsidR="008346BC">
              <w:t>3</w:t>
            </w:r>
          </w:p>
        </w:tc>
        <w:tc>
          <w:tcPr>
            <w:tcW w:w="626" w:type="pct"/>
            <w:vAlign w:val="center"/>
            <w:hideMark/>
          </w:tcPr>
          <w:p w14:paraId="75B5E54B" w14:textId="1B6DBA9B" w:rsidR="00A230D1" w:rsidRPr="00795F17" w:rsidRDefault="00A230D1" w:rsidP="0065243A">
            <w:pPr>
              <w:pStyle w:val="Teksttabelisrodek"/>
            </w:pPr>
            <w:r w:rsidRPr="00795F17">
              <w:t>1</w:t>
            </w:r>
            <w:r w:rsidR="00007580">
              <w:t>5</w:t>
            </w:r>
          </w:p>
        </w:tc>
        <w:tc>
          <w:tcPr>
            <w:tcW w:w="701" w:type="pct"/>
            <w:vAlign w:val="center"/>
            <w:hideMark/>
          </w:tcPr>
          <w:p w14:paraId="5E2A715E" w14:textId="06A8CF43" w:rsidR="00A230D1" w:rsidRPr="00795F17" w:rsidRDefault="00196478" w:rsidP="0065243A">
            <w:pPr>
              <w:pStyle w:val="Teksttabelisrodek"/>
            </w:pPr>
            <w:r>
              <w:t>3</w:t>
            </w:r>
          </w:p>
        </w:tc>
      </w:tr>
    </w:tbl>
    <w:p w14:paraId="7D6DD52D" w14:textId="2440EF21" w:rsidR="009560DD" w:rsidRPr="00795F17" w:rsidRDefault="009560DD" w:rsidP="0044393D">
      <w:pPr>
        <w:pStyle w:val="rdo"/>
      </w:pPr>
      <w:r w:rsidRPr="00795F17">
        <w:t xml:space="preserve">Źródło: </w:t>
      </w:r>
      <w:r w:rsidR="00A62769" w:rsidRPr="00795F17">
        <w:t>opracowanie własne na</w:t>
      </w:r>
      <w:r w:rsidR="00DD15FC" w:rsidRPr="00795F17">
        <w:t xml:space="preserve"> podstawie danych aPGW</w:t>
      </w:r>
    </w:p>
    <w:p w14:paraId="1D41478A" w14:textId="0A9CEE54" w:rsidR="00A230D1" w:rsidRPr="00795F17" w:rsidRDefault="005B30F4" w:rsidP="0044393D">
      <w:pPr>
        <w:pStyle w:val="Nagwek5"/>
        <w:rPr>
          <w:bCs/>
        </w:rPr>
      </w:pPr>
      <w:r w:rsidRPr="00795F17">
        <w:t>Ocena osiągnięcia celów środowiskowych w odniesieniu do nowych jednostek planistycznych IIaPGW (2022</w:t>
      </w:r>
      <w:r w:rsidR="00814C01">
        <w:t>–</w:t>
      </w:r>
      <w:r w:rsidRPr="00795F17">
        <w:t>2027)</w:t>
      </w:r>
    </w:p>
    <w:p w14:paraId="3DB26B14" w14:textId="587E6256" w:rsidR="009E3AB9" w:rsidRPr="00795F17" w:rsidRDefault="009E3AB9" w:rsidP="009E3AB9">
      <w:r w:rsidRPr="00795F17">
        <w:t xml:space="preserve">Cel środowiskowy dla stanu i potencjału ekologicznego oraz stanu chemicznego został wskazany w aPGW dla 406 </w:t>
      </w:r>
      <w:r w:rsidR="00DF005E">
        <w:t>JCWP</w:t>
      </w:r>
      <w:r w:rsidRPr="00795F17">
        <w:t xml:space="preserve"> (95,1%) spośród wszystkich 427 </w:t>
      </w:r>
      <w:r w:rsidR="00DF005E">
        <w:t>JCWP</w:t>
      </w:r>
      <w:r w:rsidRPr="00795F17">
        <w:t xml:space="preserve"> </w:t>
      </w:r>
      <w:r w:rsidR="00AC7285">
        <w:t>na</w:t>
      </w:r>
      <w:r w:rsidRPr="00795F17">
        <w:t xml:space="preserve"> obszarze dorzecza Odry. W odniesieniu do nowych 21 </w:t>
      </w:r>
      <w:r w:rsidR="00DF005E">
        <w:t>JCWP</w:t>
      </w:r>
      <w:r w:rsidRPr="00795F17">
        <w:t xml:space="preserve"> (4,9%) nie wyznaczono takiego celu środowiskowego. </w:t>
      </w:r>
    </w:p>
    <w:p w14:paraId="00C2B93C" w14:textId="77777777" w:rsidR="009E3AB9" w:rsidRPr="00795F17" w:rsidRDefault="009E3AB9" w:rsidP="009E3AB9">
      <w:r w:rsidRPr="00795F17">
        <w:t>W zakresie stanu/potencjału ekologicznego wskazany został jako cel:</w:t>
      </w:r>
    </w:p>
    <w:p w14:paraId="4948D38A" w14:textId="2E00E74F" w:rsidR="009E3AB9" w:rsidRPr="00795F17" w:rsidRDefault="0066667D" w:rsidP="00117E86">
      <w:pPr>
        <w:pStyle w:val="Listapunktowana2"/>
      </w:pPr>
      <w:r>
        <w:t>b</w:t>
      </w:r>
      <w:r w:rsidR="009E3AB9" w:rsidRPr="00795F17">
        <w:t xml:space="preserve">ardzo dobry stan ekologiczny dla 15 </w:t>
      </w:r>
      <w:r w:rsidR="00DF005E">
        <w:t>JCWP</w:t>
      </w:r>
      <w:r w:rsidR="009E3AB9" w:rsidRPr="00795F17">
        <w:t xml:space="preserve"> (3,5%); </w:t>
      </w:r>
    </w:p>
    <w:p w14:paraId="09E83D70" w14:textId="3EA7F83F" w:rsidR="009E3AB9" w:rsidRPr="00795F17" w:rsidRDefault="0066667D" w:rsidP="00117E86">
      <w:pPr>
        <w:pStyle w:val="Listapunktowana2"/>
      </w:pPr>
      <w:r>
        <w:t>m</w:t>
      </w:r>
      <w:r w:rsidR="009E3AB9" w:rsidRPr="00795F17">
        <w:t xml:space="preserve">aksymalny potencjał ekologiczny dla 4 </w:t>
      </w:r>
      <w:r w:rsidR="00DF005E">
        <w:t>JCWP</w:t>
      </w:r>
      <w:r w:rsidR="009E3AB9" w:rsidRPr="00795F17">
        <w:t xml:space="preserve"> (0,9%); </w:t>
      </w:r>
    </w:p>
    <w:p w14:paraId="2D89AAA2" w14:textId="7C40165C" w:rsidR="009E3AB9" w:rsidRPr="00795F17" w:rsidRDefault="0066667D" w:rsidP="00117E86">
      <w:pPr>
        <w:pStyle w:val="Listapunktowana2"/>
      </w:pPr>
      <w:r>
        <w:t>d</w:t>
      </w:r>
      <w:r w:rsidR="009E3AB9" w:rsidRPr="00795F17">
        <w:t xml:space="preserve">obry stan ekologiczny dla 289 </w:t>
      </w:r>
      <w:r w:rsidR="00DF005E">
        <w:t>JCWP</w:t>
      </w:r>
      <w:r w:rsidR="009E3AB9" w:rsidRPr="00795F17">
        <w:t xml:space="preserve"> (67,7%); </w:t>
      </w:r>
    </w:p>
    <w:p w14:paraId="1563E47E" w14:textId="379287DF" w:rsidR="009E3AB9" w:rsidRPr="00795F17" w:rsidRDefault="0066667D" w:rsidP="00117E86">
      <w:pPr>
        <w:pStyle w:val="Listapunktowana2"/>
      </w:pPr>
      <w:r>
        <w:t>d</w:t>
      </w:r>
      <w:r w:rsidR="009E3AB9" w:rsidRPr="00795F17">
        <w:t xml:space="preserve">obry potencjał ekologiczny dla 94 </w:t>
      </w:r>
      <w:r w:rsidR="00DF005E">
        <w:t>JCWP</w:t>
      </w:r>
      <w:r w:rsidR="009E3AB9" w:rsidRPr="00795F17">
        <w:t xml:space="preserve"> (22%); </w:t>
      </w:r>
    </w:p>
    <w:p w14:paraId="34416EDF" w14:textId="601EE323" w:rsidR="009E3AB9" w:rsidRPr="00795F17" w:rsidRDefault="0066667D" w:rsidP="00117E86">
      <w:pPr>
        <w:pStyle w:val="Listapunktowana2"/>
      </w:pPr>
      <w:r>
        <w:t>m</w:t>
      </w:r>
      <w:r w:rsidR="009E3AB9" w:rsidRPr="00795F17">
        <w:t xml:space="preserve">niej rygorystyczny cel środowiskowy dla 4 </w:t>
      </w:r>
      <w:r w:rsidR="00DF005E">
        <w:t>JCWP</w:t>
      </w:r>
      <w:r w:rsidR="009E3AB9" w:rsidRPr="00795F17">
        <w:t xml:space="preserve"> (0,9%).</w:t>
      </w:r>
    </w:p>
    <w:p w14:paraId="756C46C3" w14:textId="1AB28396" w:rsidR="00A230D1" w:rsidRPr="00795F17" w:rsidRDefault="00A230D1" w:rsidP="0044393D">
      <w:r w:rsidRPr="00795F17">
        <w:t xml:space="preserve">Dodatkowo dla 40 </w:t>
      </w:r>
      <w:r w:rsidR="00DF005E">
        <w:t>JCWP</w:t>
      </w:r>
      <w:r w:rsidRPr="00795F17">
        <w:t xml:space="preserve"> (8%) spośród wszystkich jezior </w:t>
      </w:r>
      <w:r w:rsidR="00DF2038">
        <w:t xml:space="preserve">na </w:t>
      </w:r>
      <w:r w:rsidR="00E478B0" w:rsidRPr="00795F17">
        <w:t xml:space="preserve">obszarze </w:t>
      </w:r>
      <w:r w:rsidRPr="00795F17">
        <w:t>dorzecz</w:t>
      </w:r>
      <w:r w:rsidR="00E478B0" w:rsidRPr="00795F17">
        <w:t xml:space="preserve">a </w:t>
      </w:r>
      <w:r w:rsidR="008C6DBD" w:rsidRPr="00795F17">
        <w:t>Odry</w:t>
      </w:r>
      <w:r w:rsidRPr="00795F17">
        <w:t xml:space="preserve"> cel środowiskowy został uszczegółowiony, ze względu na to, że znajdują się one w wykazie jednolitych części wód powierzchniowych przeznaczonych do celów rekreacyjnych, w tym kąpieliskowych. Z kolei dla 445 </w:t>
      </w:r>
      <w:r w:rsidR="00DF005E">
        <w:t>JCWP</w:t>
      </w:r>
      <w:r w:rsidRPr="00795F17">
        <w:t xml:space="preserve"> (89</w:t>
      </w:r>
      <w:r w:rsidR="009E3AB9" w:rsidRPr="00795F17">
        <w:t>,</w:t>
      </w:r>
      <w:r w:rsidRPr="00795F17">
        <w:t xml:space="preserve">2%) celem środowiskowym jest osiągnięcie norm i celów wynikających z przepisów dotyczących obszarów przeznaczonych do ochrony siedlisk lub gatunków, ustanowionych w </w:t>
      </w:r>
      <w:r w:rsidR="000D6198">
        <w:t>u.o.p</w:t>
      </w:r>
      <w:r w:rsidRPr="00795F17">
        <w:t xml:space="preserve">, dla których utrzymanie lub poprawa stanu wód jest ważnym czynnikiem w ich ochronie. </w:t>
      </w:r>
    </w:p>
    <w:p w14:paraId="55E3A551" w14:textId="2B71744C" w:rsidR="00A230D1" w:rsidRPr="000A58DB" w:rsidRDefault="00A230D1" w:rsidP="0044393D">
      <w:r w:rsidRPr="00795F17">
        <w:t>Ocena stopnia osiągnięcia celów środowiskowych w zakresie stanu/potencjału ekologicznego z okresu przyjętego do analizy, tj. lat 2016</w:t>
      </w:r>
      <w:r w:rsidR="00814C01">
        <w:t>–</w:t>
      </w:r>
      <w:r w:rsidRPr="00795F17">
        <w:t xml:space="preserve">2021 była dostępna dla 439 </w:t>
      </w:r>
      <w:r w:rsidR="00DF005E">
        <w:t>JCWP</w:t>
      </w:r>
      <w:r w:rsidRPr="00795F17">
        <w:t xml:space="preserve"> (87,9%) spośród wszystkich 499</w:t>
      </w:r>
      <w:r w:rsidR="005977AF" w:rsidRPr="00795F17">
        <w:t> </w:t>
      </w:r>
      <w:r w:rsidRPr="00795F17">
        <w:t>w</w:t>
      </w:r>
      <w:r w:rsidR="00E478B0" w:rsidRPr="00795F17">
        <w:t xml:space="preserve"> obszarze </w:t>
      </w:r>
      <w:r w:rsidRPr="00795F17">
        <w:t>dorzecz</w:t>
      </w:r>
      <w:r w:rsidR="00E478B0" w:rsidRPr="00795F17">
        <w:t>a</w:t>
      </w:r>
      <w:r w:rsidRPr="00795F17">
        <w:t xml:space="preserve"> </w:t>
      </w:r>
      <w:r w:rsidR="008C6DBD" w:rsidRPr="00795F17">
        <w:t>Odry</w:t>
      </w:r>
      <w:r w:rsidRPr="00795F17">
        <w:t xml:space="preserve">, podczas gdy dla 60 </w:t>
      </w:r>
      <w:r w:rsidR="00DF005E">
        <w:t>JCWP</w:t>
      </w:r>
      <w:r w:rsidRPr="00795F17">
        <w:t xml:space="preserve"> (12,1%) taka ocena nie była możliwa. </w:t>
      </w:r>
      <w:r w:rsidRPr="000A58DB">
        <w:t>W</w:t>
      </w:r>
      <w:r w:rsidR="0057488F" w:rsidRPr="000A58DB">
        <w:t> </w:t>
      </w:r>
      <w:r w:rsidRPr="00A1170E">
        <w:t xml:space="preserve">odniesieniu do stanu chemicznego ocena taka była możliwa w stosunku do wszystkich </w:t>
      </w:r>
      <w:r w:rsidR="00DF005E">
        <w:t>JCWP</w:t>
      </w:r>
      <w:r w:rsidR="00C77C52" w:rsidRPr="00E7312D">
        <w:t xml:space="preserve"> (406)</w:t>
      </w:r>
      <w:r w:rsidRPr="000A58DB">
        <w:t>, dla</w:t>
      </w:r>
      <w:r w:rsidR="0009370C" w:rsidRPr="00A1170E">
        <w:t> </w:t>
      </w:r>
      <w:r w:rsidRPr="000A58DB">
        <w:t>których w</w:t>
      </w:r>
      <w:r w:rsidR="00E478B0" w:rsidRPr="000A58DB">
        <w:t> </w:t>
      </w:r>
      <w:r w:rsidRPr="000A58DB">
        <w:t xml:space="preserve">aPGW wyznaczono cel środowiskowy w tym zakresie. </w:t>
      </w:r>
    </w:p>
    <w:p w14:paraId="7B16A1DE" w14:textId="77777777" w:rsidR="006E276C" w:rsidRPr="008368C5" w:rsidRDefault="006E276C" w:rsidP="006E276C">
      <w:pPr>
        <w:rPr>
          <w:rFonts w:asciiTheme="minorHAnsi" w:hAnsiTheme="minorHAnsi" w:cstheme="minorHAnsi"/>
        </w:rPr>
      </w:pPr>
      <w:r w:rsidRPr="008368C5">
        <w:rPr>
          <w:rFonts w:asciiTheme="minorHAnsi" w:hAnsiTheme="minorHAnsi" w:cstheme="minorHAnsi"/>
        </w:rPr>
        <w:t>W zakresie stanu/potencjału ekologicznego:</w:t>
      </w:r>
    </w:p>
    <w:p w14:paraId="2E4CACDF" w14:textId="4ED068CB" w:rsidR="006E276C" w:rsidRPr="008368C5" w:rsidRDefault="006E276C" w:rsidP="00117E86">
      <w:pPr>
        <w:pStyle w:val="Listapunktowana2"/>
        <w:rPr>
          <w:rFonts w:asciiTheme="minorHAnsi" w:hAnsiTheme="minorHAnsi" w:cstheme="minorHAnsi"/>
        </w:rPr>
      </w:pPr>
      <w:r w:rsidRPr="008368C5">
        <w:t xml:space="preserve">114 </w:t>
      </w:r>
      <w:r w:rsidR="00DF005E">
        <w:t>JCWP</w:t>
      </w:r>
      <w:r w:rsidRPr="008368C5">
        <w:t xml:space="preserve"> (22,8%) z dostępną oceną stanu/potencjału utrzymało/osiągnęło cel środowiskowy</w:t>
      </w:r>
      <w:r>
        <w:t>;</w:t>
      </w:r>
      <w:r w:rsidRPr="008368C5">
        <w:t xml:space="preserve"> </w:t>
      </w:r>
    </w:p>
    <w:p w14:paraId="4455E227" w14:textId="3C88C4E8" w:rsidR="00A230D1" w:rsidRPr="000A58DB" w:rsidRDefault="00A230D1" w:rsidP="00117E86">
      <w:pPr>
        <w:pStyle w:val="Listapunktowana2"/>
      </w:pPr>
      <w:r w:rsidRPr="000A58DB">
        <w:t xml:space="preserve">325 </w:t>
      </w:r>
      <w:r w:rsidR="00DF005E">
        <w:t>JCWP</w:t>
      </w:r>
      <w:r w:rsidRPr="000A58DB">
        <w:t xml:space="preserve"> (65,1%) w </w:t>
      </w:r>
      <w:r w:rsidR="00E478B0" w:rsidRPr="000A58DB">
        <w:t xml:space="preserve">obszarze </w:t>
      </w:r>
      <w:r w:rsidRPr="000A58DB">
        <w:t>dorzecz</w:t>
      </w:r>
      <w:r w:rsidR="00E478B0" w:rsidRPr="000A58DB">
        <w:t>a</w:t>
      </w:r>
      <w:r w:rsidRPr="000A58DB">
        <w:t xml:space="preserve"> </w:t>
      </w:r>
      <w:r w:rsidR="008C6DBD" w:rsidRPr="000A58DB">
        <w:t>Odry</w:t>
      </w:r>
      <w:r w:rsidRPr="000A58DB">
        <w:t xml:space="preserve"> nie osiągnęło celu środowiskowego w zakresie stanu/potencjału ekologicznego.</w:t>
      </w:r>
    </w:p>
    <w:p w14:paraId="2DD1C231" w14:textId="479A4FEF" w:rsidR="00A230D1" w:rsidRPr="000A58DB" w:rsidRDefault="00A230D1" w:rsidP="00117E86">
      <w:pPr>
        <w:pStyle w:val="Listapunktowana2"/>
      </w:pPr>
      <w:r w:rsidRPr="000A58DB">
        <w:t xml:space="preserve">dla 29 nowych </w:t>
      </w:r>
      <w:r w:rsidR="00DF005E">
        <w:t>JCWP</w:t>
      </w:r>
      <w:r w:rsidRPr="000A58DB">
        <w:t xml:space="preserve"> (5,8%) w </w:t>
      </w:r>
      <w:r w:rsidR="00E478B0" w:rsidRPr="000A58DB">
        <w:t xml:space="preserve">obszarze </w:t>
      </w:r>
      <w:r w:rsidRPr="000A58DB">
        <w:t>dorzecz</w:t>
      </w:r>
      <w:r w:rsidR="00E478B0" w:rsidRPr="000A58DB">
        <w:t>a</w:t>
      </w:r>
      <w:r w:rsidRPr="000A58DB">
        <w:t xml:space="preserve"> </w:t>
      </w:r>
      <w:r w:rsidR="008C6DBD" w:rsidRPr="000A58DB">
        <w:t>Odry</w:t>
      </w:r>
      <w:r w:rsidRPr="000A58DB">
        <w:t xml:space="preserve">, które nie miały wyznaczonych celów środowiskowych w aPGW nie można było dokonać oceny ich osiągnięcia (wykres </w:t>
      </w:r>
      <w:r w:rsidR="0070732C" w:rsidRPr="000A58DB">
        <w:t>8-</w:t>
      </w:r>
      <w:r w:rsidR="000B2E42" w:rsidRPr="00E7312D">
        <w:t>8</w:t>
      </w:r>
      <w:r w:rsidRPr="000A58DB">
        <w:t xml:space="preserve">). </w:t>
      </w:r>
    </w:p>
    <w:p w14:paraId="69F5F658" w14:textId="47DB777A" w:rsidR="0070732C" w:rsidRPr="00795F17" w:rsidRDefault="005977AF" w:rsidP="005842B5">
      <w:r w:rsidRPr="00795F17">
        <w:rPr>
          <w:noProof/>
          <w:lang w:eastAsia="pl-PL"/>
        </w:rPr>
        <w:drawing>
          <wp:inline distT="0" distB="0" distL="0" distR="0" wp14:anchorId="498357B0" wp14:editId="11466FE5">
            <wp:extent cx="5760000" cy="3600000"/>
            <wp:effectExtent l="0" t="0" r="12700" b="635"/>
            <wp:docPr id="1692861442" name="Wykres 1692861442">
              <a:extLst xmlns:a="http://schemas.openxmlformats.org/drawingml/2006/main">
                <a:ext uri="{FF2B5EF4-FFF2-40B4-BE49-F238E27FC236}">
                  <a16:creationId xmlns:a16="http://schemas.microsoft.com/office/drawing/2014/main" id="{00000000-0008-0000-06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04A104C5" w14:textId="444AC64E" w:rsidR="00A230D1" w:rsidRPr="00795F17" w:rsidRDefault="0070732C" w:rsidP="00B479EE">
      <w:pPr>
        <w:pStyle w:val="Wykres"/>
        <w:rPr>
          <w:sz w:val="24"/>
        </w:rPr>
      </w:pPr>
      <w:bookmarkStart w:id="411" w:name="_Toc105512997"/>
      <w:r w:rsidRPr="00795F17">
        <w:t xml:space="preserve">Wykres </w:t>
      </w:r>
      <w:fldSimple w:instr=" STYLEREF 1 \s ">
        <w:r w:rsidR="001F774D">
          <w:rPr>
            <w:noProof/>
          </w:rPr>
          <w:t>8</w:t>
        </w:r>
      </w:fldSimple>
      <w:r w:rsidR="00FF20D3">
        <w:noBreakHyphen/>
      </w:r>
      <w:fldSimple w:instr=" SEQ Wykres \* ARABIC \s 1 ">
        <w:r w:rsidR="001F774D">
          <w:rPr>
            <w:noProof/>
          </w:rPr>
          <w:t>8</w:t>
        </w:r>
      </w:fldSimple>
      <w:r w:rsidR="00A2734E">
        <w:rPr>
          <w:noProof/>
        </w:rPr>
        <w:t>.</w:t>
      </w:r>
      <w:r w:rsidRPr="00795F17">
        <w:tab/>
      </w:r>
      <w:r w:rsidR="005977AF" w:rsidRPr="00795F17">
        <w:rPr>
          <w:lang w:eastAsia="pl-PL"/>
        </w:rPr>
        <w:t>Ocena osiągnięcia wyznaczonych w aPGW (2016</w:t>
      </w:r>
      <w:r w:rsidR="00814C01">
        <w:rPr>
          <w:lang w:eastAsia="pl-PL"/>
        </w:rPr>
        <w:t>–</w:t>
      </w:r>
      <w:r w:rsidR="005977AF" w:rsidRPr="00795F17">
        <w:rPr>
          <w:lang w:eastAsia="pl-PL"/>
        </w:rPr>
        <w:t>2021) celów środowiskowych dla</w:t>
      </w:r>
      <w:r w:rsidR="0009370C" w:rsidRPr="00795F17">
        <w:rPr>
          <w:lang w:eastAsia="pl-PL"/>
        </w:rPr>
        <w:t> </w:t>
      </w:r>
      <w:r w:rsidR="005977AF" w:rsidRPr="00795F17">
        <w:rPr>
          <w:lang w:eastAsia="pl-PL"/>
        </w:rPr>
        <w:t xml:space="preserve">stanu/potencjału ekologicznego, wyznaczonych w aPGW w </w:t>
      </w:r>
      <w:r w:rsidR="00DF005E">
        <w:rPr>
          <w:lang w:eastAsia="pl-PL"/>
        </w:rPr>
        <w:t>JCWP</w:t>
      </w:r>
      <w:r w:rsidR="005977AF" w:rsidRPr="00795F17">
        <w:rPr>
          <w:lang w:eastAsia="pl-PL"/>
        </w:rPr>
        <w:t xml:space="preserve"> LW na obszarze dorzecza Odry oraz w poszczególnych regionach wodnych tego obszaru dorzecza w oparciu o nowy układ jednostek planistycznych</w:t>
      </w:r>
      <w:bookmarkEnd w:id="411"/>
    </w:p>
    <w:p w14:paraId="446B3C5D" w14:textId="42865F0E" w:rsidR="00FA195F" w:rsidRPr="00795F17" w:rsidRDefault="00FA195F" w:rsidP="0044393D">
      <w:pPr>
        <w:pStyle w:val="rdo"/>
      </w:pPr>
      <w:r w:rsidRPr="00795F17">
        <w:t>Źródło:</w:t>
      </w:r>
      <w:r w:rsidR="00AD5CB7" w:rsidRPr="00795F17">
        <w:t xml:space="preserve"> </w:t>
      </w:r>
      <w:r w:rsidR="00BF2B94" w:rsidRPr="00795F17">
        <w:t>opracowanie własne na podstawie danych GIOŚ</w:t>
      </w:r>
    </w:p>
    <w:p w14:paraId="231B201C" w14:textId="5F076A9F" w:rsidR="00BA6AC0" w:rsidRPr="00795F17" w:rsidRDefault="00BA6AC0" w:rsidP="0057488F">
      <w:r w:rsidRPr="00795F17">
        <w:t>Dodatkowo</w:t>
      </w:r>
      <w:r w:rsidR="0057488F" w:rsidRPr="00795F17">
        <w:t xml:space="preserve"> </w:t>
      </w:r>
      <w:r w:rsidRPr="00795F17">
        <w:t>dla</w:t>
      </w:r>
      <w:r w:rsidR="0057488F" w:rsidRPr="00795F17">
        <w:t xml:space="preserve"> </w:t>
      </w:r>
      <w:r w:rsidRPr="00795F17">
        <w:t>61</w:t>
      </w:r>
      <w:r w:rsidR="0057488F" w:rsidRPr="00795F17">
        <w:t xml:space="preserve"> </w:t>
      </w:r>
      <w:r w:rsidR="00DF005E">
        <w:t>JCWP</w:t>
      </w:r>
      <w:r w:rsidR="0057488F" w:rsidRPr="00795F17">
        <w:t xml:space="preserve"> </w:t>
      </w:r>
      <w:r w:rsidRPr="00795F17">
        <w:t>(14,3%)</w:t>
      </w:r>
      <w:r w:rsidR="0057488F" w:rsidRPr="00795F17">
        <w:t xml:space="preserve"> </w:t>
      </w:r>
      <w:r w:rsidRPr="00795F17">
        <w:t>spośród</w:t>
      </w:r>
      <w:r w:rsidR="0057488F" w:rsidRPr="00795F17">
        <w:t xml:space="preserve"> </w:t>
      </w:r>
      <w:r w:rsidRPr="00795F17">
        <w:t>wszystkich</w:t>
      </w:r>
      <w:r w:rsidR="0057488F" w:rsidRPr="00795F17">
        <w:t xml:space="preserve"> </w:t>
      </w:r>
      <w:r w:rsidR="00DF005E">
        <w:t>JCWP</w:t>
      </w:r>
      <w:r w:rsidR="0057488F" w:rsidRPr="00795F17">
        <w:t xml:space="preserve"> </w:t>
      </w:r>
      <w:r w:rsidRPr="00795F17">
        <w:t>jeziornych</w:t>
      </w:r>
      <w:r w:rsidR="0057488F" w:rsidRPr="00795F17">
        <w:t xml:space="preserve"> </w:t>
      </w:r>
      <w:r w:rsidR="00515822">
        <w:t>na</w:t>
      </w:r>
      <w:r w:rsidR="0057488F" w:rsidRPr="00795F17">
        <w:t xml:space="preserve"> </w:t>
      </w:r>
      <w:r w:rsidR="00E478B0" w:rsidRPr="00795F17">
        <w:t>obszarze</w:t>
      </w:r>
      <w:r w:rsidR="0057488F" w:rsidRPr="00795F17">
        <w:t xml:space="preserve"> </w:t>
      </w:r>
      <w:r w:rsidRPr="00795F17">
        <w:t>dorzecz</w:t>
      </w:r>
      <w:r w:rsidR="00E478B0" w:rsidRPr="00795F17">
        <w:t>a</w:t>
      </w:r>
      <w:r w:rsidR="0057488F" w:rsidRPr="00795F17">
        <w:t xml:space="preserve"> </w:t>
      </w:r>
      <w:r w:rsidRPr="00795F17">
        <w:t>Odry</w:t>
      </w:r>
      <w:r w:rsidR="0057488F" w:rsidRPr="00795F17">
        <w:t xml:space="preserve"> </w:t>
      </w:r>
      <w:r w:rsidRPr="00795F17">
        <w:t>cel</w:t>
      </w:r>
      <w:r w:rsidR="0057488F" w:rsidRPr="00795F17">
        <w:t xml:space="preserve"> </w:t>
      </w:r>
      <w:r w:rsidRPr="00795F17">
        <w:t>środowiskowy</w:t>
      </w:r>
      <w:r w:rsidR="0057488F" w:rsidRPr="00795F17">
        <w:t xml:space="preserve"> </w:t>
      </w:r>
      <w:r w:rsidRPr="00795F17">
        <w:t>został</w:t>
      </w:r>
      <w:r w:rsidR="0057488F" w:rsidRPr="00795F17">
        <w:t xml:space="preserve"> </w:t>
      </w:r>
      <w:r w:rsidRPr="00795F17">
        <w:t>uszczegółowiony,</w:t>
      </w:r>
      <w:r w:rsidR="0057488F" w:rsidRPr="00795F17">
        <w:t xml:space="preserve"> </w:t>
      </w:r>
      <w:r w:rsidRPr="00795F17">
        <w:t>ze</w:t>
      </w:r>
      <w:r w:rsidR="0057488F" w:rsidRPr="00795F17">
        <w:t xml:space="preserve"> </w:t>
      </w:r>
      <w:r w:rsidRPr="00795F17">
        <w:t>względu</w:t>
      </w:r>
      <w:r w:rsidR="0057488F" w:rsidRPr="00795F17">
        <w:t xml:space="preserve"> </w:t>
      </w:r>
      <w:r w:rsidRPr="00795F17">
        <w:t>na</w:t>
      </w:r>
      <w:r w:rsidR="0057488F" w:rsidRPr="00795F17">
        <w:t xml:space="preserve"> </w:t>
      </w:r>
      <w:r w:rsidRPr="00795F17">
        <w:t>to,</w:t>
      </w:r>
      <w:r w:rsidR="0057488F" w:rsidRPr="00795F17">
        <w:t xml:space="preserve"> </w:t>
      </w:r>
      <w:r w:rsidRPr="00795F17">
        <w:t>że</w:t>
      </w:r>
      <w:r w:rsidR="0057488F" w:rsidRPr="00795F17">
        <w:t xml:space="preserve"> </w:t>
      </w:r>
      <w:r w:rsidRPr="00795F17">
        <w:t>znajdują</w:t>
      </w:r>
      <w:r w:rsidR="0057488F" w:rsidRPr="00795F17">
        <w:t xml:space="preserve"> </w:t>
      </w:r>
      <w:r w:rsidRPr="00795F17">
        <w:t>się</w:t>
      </w:r>
      <w:r w:rsidR="0057488F" w:rsidRPr="00795F17">
        <w:t xml:space="preserve"> </w:t>
      </w:r>
      <w:r w:rsidRPr="00795F17">
        <w:t>one</w:t>
      </w:r>
      <w:r w:rsidR="0057488F" w:rsidRPr="00795F17">
        <w:t xml:space="preserve"> </w:t>
      </w:r>
      <w:r w:rsidRPr="00795F17">
        <w:t>w</w:t>
      </w:r>
      <w:r w:rsidR="0057488F" w:rsidRPr="00795F17">
        <w:t xml:space="preserve"> </w:t>
      </w:r>
      <w:r w:rsidRPr="00795F17">
        <w:t>wykazie</w:t>
      </w:r>
      <w:r w:rsidR="0057488F" w:rsidRPr="00795F17">
        <w:t xml:space="preserve"> </w:t>
      </w:r>
      <w:r w:rsidRPr="00795F17">
        <w:t>jednolitych</w:t>
      </w:r>
      <w:r w:rsidR="0057488F" w:rsidRPr="00795F17">
        <w:t xml:space="preserve"> </w:t>
      </w:r>
      <w:r w:rsidRPr="00795F17">
        <w:t>części</w:t>
      </w:r>
      <w:r w:rsidR="0057488F" w:rsidRPr="00795F17">
        <w:t xml:space="preserve"> </w:t>
      </w:r>
      <w:r w:rsidRPr="00795F17">
        <w:t>wód</w:t>
      </w:r>
      <w:r w:rsidR="0057488F" w:rsidRPr="00795F17">
        <w:t xml:space="preserve"> </w:t>
      </w:r>
      <w:r w:rsidRPr="00795F17">
        <w:t>powierzchniowych</w:t>
      </w:r>
      <w:r w:rsidR="0057488F" w:rsidRPr="00795F17">
        <w:t xml:space="preserve"> </w:t>
      </w:r>
      <w:r w:rsidRPr="00795F17">
        <w:t>przeznaczonych</w:t>
      </w:r>
      <w:r w:rsidR="0057488F" w:rsidRPr="00795F17">
        <w:t xml:space="preserve"> </w:t>
      </w:r>
      <w:r w:rsidRPr="00795F17">
        <w:t>do</w:t>
      </w:r>
      <w:r w:rsidR="0057488F" w:rsidRPr="00795F17">
        <w:t xml:space="preserve"> </w:t>
      </w:r>
      <w:r w:rsidRPr="00795F17">
        <w:t>celów</w:t>
      </w:r>
      <w:r w:rsidR="0057488F" w:rsidRPr="00795F17">
        <w:t xml:space="preserve"> </w:t>
      </w:r>
      <w:r w:rsidRPr="00795F17">
        <w:t>rekreacyjnych,</w:t>
      </w:r>
      <w:r w:rsidR="0057488F" w:rsidRPr="00795F17">
        <w:t xml:space="preserve"> </w:t>
      </w:r>
      <w:r w:rsidRPr="00795F17">
        <w:t>w</w:t>
      </w:r>
      <w:r w:rsidR="0057488F" w:rsidRPr="00795F17">
        <w:t xml:space="preserve"> </w:t>
      </w:r>
      <w:r w:rsidRPr="00795F17">
        <w:t>tym</w:t>
      </w:r>
      <w:r w:rsidR="0057488F" w:rsidRPr="00795F17">
        <w:t xml:space="preserve"> </w:t>
      </w:r>
      <w:r w:rsidRPr="00795F17">
        <w:t>kąpieliskowych.</w:t>
      </w:r>
      <w:r w:rsidR="0057488F" w:rsidRPr="00795F17">
        <w:t xml:space="preserve"> </w:t>
      </w:r>
      <w:r w:rsidRPr="00795F17">
        <w:t>Z</w:t>
      </w:r>
      <w:r w:rsidR="0057488F" w:rsidRPr="00795F17">
        <w:t xml:space="preserve"> </w:t>
      </w:r>
      <w:r w:rsidRPr="00795F17">
        <w:t>kolei</w:t>
      </w:r>
      <w:r w:rsidR="0057488F" w:rsidRPr="00795F17">
        <w:t xml:space="preserve"> </w:t>
      </w:r>
      <w:r w:rsidRPr="00795F17">
        <w:t>dla</w:t>
      </w:r>
      <w:r w:rsidR="0057488F" w:rsidRPr="00795F17">
        <w:t xml:space="preserve"> </w:t>
      </w:r>
      <w:r w:rsidRPr="00795F17">
        <w:t>370</w:t>
      </w:r>
      <w:r w:rsidR="0057488F" w:rsidRPr="00795F17">
        <w:t xml:space="preserve"> </w:t>
      </w:r>
      <w:r w:rsidR="00DF005E">
        <w:t>JCWP</w:t>
      </w:r>
      <w:r w:rsidR="0057488F" w:rsidRPr="00795F17">
        <w:t xml:space="preserve"> </w:t>
      </w:r>
      <w:r w:rsidRPr="00795F17">
        <w:t>(86,7%)</w:t>
      </w:r>
      <w:r w:rsidR="0057488F" w:rsidRPr="00795F17">
        <w:t xml:space="preserve"> </w:t>
      </w:r>
      <w:r w:rsidRPr="00795F17">
        <w:t>celem</w:t>
      </w:r>
      <w:r w:rsidR="0057488F" w:rsidRPr="00795F17">
        <w:t xml:space="preserve"> </w:t>
      </w:r>
      <w:r w:rsidRPr="00795F17">
        <w:t>środowiskowym</w:t>
      </w:r>
      <w:r w:rsidR="0057488F" w:rsidRPr="00795F17">
        <w:t xml:space="preserve"> </w:t>
      </w:r>
      <w:r w:rsidRPr="00795F17">
        <w:t>jest</w:t>
      </w:r>
      <w:r w:rsidR="0057488F" w:rsidRPr="00795F17">
        <w:t xml:space="preserve"> </w:t>
      </w:r>
      <w:r w:rsidRPr="00795F17">
        <w:t>osiągnięcie</w:t>
      </w:r>
      <w:r w:rsidR="0057488F" w:rsidRPr="00795F17">
        <w:t xml:space="preserve"> </w:t>
      </w:r>
      <w:r w:rsidRPr="00795F17">
        <w:t>norm</w:t>
      </w:r>
      <w:r w:rsidR="0057488F" w:rsidRPr="00795F17">
        <w:t xml:space="preserve"> </w:t>
      </w:r>
      <w:r w:rsidRPr="00795F17">
        <w:t>i</w:t>
      </w:r>
      <w:r w:rsidR="0057488F" w:rsidRPr="00795F17">
        <w:t xml:space="preserve"> </w:t>
      </w:r>
      <w:r w:rsidRPr="00795F17">
        <w:t>celów</w:t>
      </w:r>
      <w:r w:rsidR="0057488F" w:rsidRPr="00795F17">
        <w:t xml:space="preserve"> </w:t>
      </w:r>
      <w:r w:rsidRPr="00795F17">
        <w:t>wynikających</w:t>
      </w:r>
      <w:r w:rsidR="0057488F" w:rsidRPr="00795F17">
        <w:t xml:space="preserve"> </w:t>
      </w:r>
      <w:r w:rsidRPr="00795F17">
        <w:t>z</w:t>
      </w:r>
      <w:r w:rsidR="0057488F" w:rsidRPr="00795F17">
        <w:t xml:space="preserve"> </w:t>
      </w:r>
      <w:r w:rsidRPr="00795F17">
        <w:t>przepisów</w:t>
      </w:r>
      <w:r w:rsidR="0057488F" w:rsidRPr="00795F17">
        <w:t xml:space="preserve"> </w:t>
      </w:r>
      <w:r w:rsidRPr="00795F17">
        <w:t>dotyczących</w:t>
      </w:r>
      <w:r w:rsidR="0057488F" w:rsidRPr="00795F17">
        <w:t xml:space="preserve"> </w:t>
      </w:r>
      <w:r w:rsidRPr="00795F17">
        <w:t>obszarów</w:t>
      </w:r>
      <w:r w:rsidR="0057488F" w:rsidRPr="00795F17">
        <w:t xml:space="preserve"> </w:t>
      </w:r>
      <w:r w:rsidRPr="00795F17">
        <w:t>przeznaczonych</w:t>
      </w:r>
      <w:r w:rsidR="0057488F" w:rsidRPr="00795F17">
        <w:t xml:space="preserve"> </w:t>
      </w:r>
      <w:r w:rsidRPr="00795F17">
        <w:t>do</w:t>
      </w:r>
      <w:r w:rsidR="0057488F" w:rsidRPr="00795F17">
        <w:t xml:space="preserve"> </w:t>
      </w:r>
      <w:r w:rsidRPr="00795F17">
        <w:t>ochrony</w:t>
      </w:r>
      <w:r w:rsidR="0057488F" w:rsidRPr="00795F17">
        <w:t xml:space="preserve"> </w:t>
      </w:r>
      <w:r w:rsidRPr="00795F17">
        <w:t>siedlisk</w:t>
      </w:r>
      <w:r w:rsidR="0057488F" w:rsidRPr="00795F17">
        <w:t xml:space="preserve"> </w:t>
      </w:r>
      <w:r w:rsidRPr="00795F17">
        <w:t>lub</w:t>
      </w:r>
      <w:r w:rsidR="0057488F" w:rsidRPr="00795F17">
        <w:t xml:space="preserve"> </w:t>
      </w:r>
      <w:r w:rsidRPr="00795F17">
        <w:t>gatunków,</w:t>
      </w:r>
      <w:r w:rsidR="0057488F" w:rsidRPr="00795F17">
        <w:t xml:space="preserve"> </w:t>
      </w:r>
      <w:r w:rsidRPr="00795F17">
        <w:t>ustanowionych</w:t>
      </w:r>
      <w:r w:rsidR="0057488F" w:rsidRPr="00795F17">
        <w:t xml:space="preserve"> </w:t>
      </w:r>
      <w:r w:rsidRPr="00795F17">
        <w:t>w</w:t>
      </w:r>
      <w:r w:rsidR="0057488F" w:rsidRPr="00795F17">
        <w:t xml:space="preserve"> </w:t>
      </w:r>
      <w:r w:rsidR="000D6198">
        <w:t>u.o.p</w:t>
      </w:r>
      <w:r w:rsidRPr="00795F17">
        <w:t>,</w:t>
      </w:r>
      <w:r w:rsidR="0057488F" w:rsidRPr="00795F17">
        <w:t xml:space="preserve"> </w:t>
      </w:r>
      <w:r w:rsidRPr="00795F17">
        <w:t>dla</w:t>
      </w:r>
      <w:r w:rsidR="0057488F" w:rsidRPr="00795F17">
        <w:t xml:space="preserve"> </w:t>
      </w:r>
      <w:r w:rsidRPr="00795F17">
        <w:t>których</w:t>
      </w:r>
      <w:r w:rsidR="0057488F" w:rsidRPr="00795F17">
        <w:t xml:space="preserve"> </w:t>
      </w:r>
      <w:r w:rsidRPr="00795F17">
        <w:t>utrzymanie</w:t>
      </w:r>
      <w:r w:rsidR="0057488F" w:rsidRPr="00795F17">
        <w:t xml:space="preserve"> </w:t>
      </w:r>
      <w:r w:rsidRPr="00795F17">
        <w:t>lub</w:t>
      </w:r>
      <w:r w:rsidR="0057488F" w:rsidRPr="00795F17">
        <w:t xml:space="preserve"> </w:t>
      </w:r>
      <w:r w:rsidRPr="00795F17">
        <w:t>poprawa</w:t>
      </w:r>
      <w:r w:rsidR="0057488F" w:rsidRPr="00795F17">
        <w:t xml:space="preserve"> </w:t>
      </w:r>
      <w:r w:rsidRPr="00795F17">
        <w:t>stanu</w:t>
      </w:r>
      <w:r w:rsidR="0057488F" w:rsidRPr="00795F17">
        <w:t xml:space="preserve"> </w:t>
      </w:r>
      <w:r w:rsidRPr="00795F17">
        <w:t>wód</w:t>
      </w:r>
      <w:r w:rsidR="0057488F" w:rsidRPr="00795F17">
        <w:t xml:space="preserve"> </w:t>
      </w:r>
      <w:r w:rsidRPr="00795F17">
        <w:t>jest</w:t>
      </w:r>
      <w:r w:rsidR="0057488F" w:rsidRPr="00795F17">
        <w:t xml:space="preserve"> </w:t>
      </w:r>
      <w:r w:rsidRPr="00795F17">
        <w:t>ważnym</w:t>
      </w:r>
      <w:r w:rsidR="0057488F" w:rsidRPr="00795F17">
        <w:t xml:space="preserve"> </w:t>
      </w:r>
      <w:r w:rsidRPr="00795F17">
        <w:t>czynnikiem</w:t>
      </w:r>
      <w:r w:rsidR="0057488F" w:rsidRPr="00795F17">
        <w:t xml:space="preserve"> </w:t>
      </w:r>
      <w:r w:rsidR="0057488F" w:rsidRPr="00795F17">
        <w:br/>
      </w:r>
      <w:r w:rsidRPr="00795F17">
        <w:t>w</w:t>
      </w:r>
      <w:r w:rsidR="0057488F" w:rsidRPr="00795F17">
        <w:t xml:space="preserve"> </w:t>
      </w:r>
      <w:r w:rsidRPr="00795F17">
        <w:t>ich</w:t>
      </w:r>
      <w:r w:rsidR="0057488F" w:rsidRPr="00795F17">
        <w:t xml:space="preserve"> </w:t>
      </w:r>
      <w:r w:rsidRPr="00795F17">
        <w:t>ochronie.</w:t>
      </w:r>
      <w:r w:rsidR="0057488F" w:rsidRPr="00795F17">
        <w:t xml:space="preserve"> </w:t>
      </w:r>
      <w:r w:rsidRPr="00795F17">
        <w:t>Dla</w:t>
      </w:r>
      <w:r w:rsidR="0057488F" w:rsidRPr="00795F17">
        <w:t xml:space="preserve"> </w:t>
      </w:r>
      <w:r w:rsidRPr="00795F17">
        <w:t>1</w:t>
      </w:r>
      <w:r w:rsidR="0057488F" w:rsidRPr="00795F17">
        <w:t xml:space="preserve"> </w:t>
      </w:r>
      <w:r w:rsidR="00DF005E">
        <w:t>JCWP</w:t>
      </w:r>
      <w:r w:rsidR="0057488F" w:rsidRPr="00795F17">
        <w:t xml:space="preserve"> </w:t>
      </w:r>
      <w:r w:rsidRPr="00795F17">
        <w:t>(0,2%)</w:t>
      </w:r>
      <w:r w:rsidR="0057488F" w:rsidRPr="00795F17">
        <w:t xml:space="preserve"> </w:t>
      </w:r>
      <w:r w:rsidRPr="00795F17">
        <w:t>znajdującej</w:t>
      </w:r>
      <w:r w:rsidR="0057488F" w:rsidRPr="00795F17">
        <w:t xml:space="preserve"> </w:t>
      </w:r>
      <w:r w:rsidRPr="00795F17">
        <w:t>się</w:t>
      </w:r>
      <w:r w:rsidR="0057488F" w:rsidRPr="00795F17">
        <w:t xml:space="preserve"> </w:t>
      </w:r>
      <w:r w:rsidRPr="00795F17">
        <w:t>w</w:t>
      </w:r>
      <w:r w:rsidR="0057488F" w:rsidRPr="00795F17">
        <w:t xml:space="preserve"> </w:t>
      </w:r>
      <w:r w:rsidRPr="00795F17">
        <w:t>wykazie</w:t>
      </w:r>
      <w:r w:rsidR="0057488F" w:rsidRPr="00795F17">
        <w:t xml:space="preserve"> </w:t>
      </w:r>
      <w:r w:rsidRPr="00795F17">
        <w:t>jednolitych</w:t>
      </w:r>
      <w:r w:rsidR="0057488F" w:rsidRPr="00795F17">
        <w:t xml:space="preserve"> </w:t>
      </w:r>
      <w:r w:rsidRPr="00795F17">
        <w:t>części</w:t>
      </w:r>
      <w:r w:rsidR="0057488F" w:rsidRPr="00795F17">
        <w:t xml:space="preserve"> </w:t>
      </w:r>
      <w:r w:rsidRPr="00795F17">
        <w:t>wód</w:t>
      </w:r>
      <w:r w:rsidR="0057488F" w:rsidRPr="00795F17">
        <w:t xml:space="preserve"> </w:t>
      </w:r>
      <w:r w:rsidRPr="00795F17">
        <w:t>powierzchniowych</w:t>
      </w:r>
      <w:r w:rsidR="0057488F" w:rsidRPr="00795F17">
        <w:t xml:space="preserve"> </w:t>
      </w:r>
      <w:r w:rsidRPr="00795F17">
        <w:t>przeznaczonych</w:t>
      </w:r>
      <w:r w:rsidR="0057488F" w:rsidRPr="00795F17">
        <w:t xml:space="preserve"> </w:t>
      </w:r>
      <w:r w:rsidRPr="00795F17">
        <w:t>do</w:t>
      </w:r>
      <w:r w:rsidR="0057488F" w:rsidRPr="00795F17">
        <w:t xml:space="preserve"> </w:t>
      </w:r>
      <w:r w:rsidRPr="00795F17">
        <w:t>poboru</w:t>
      </w:r>
      <w:r w:rsidR="0057488F" w:rsidRPr="00795F17">
        <w:t xml:space="preserve"> </w:t>
      </w:r>
      <w:r w:rsidRPr="00795F17">
        <w:t>wody</w:t>
      </w:r>
      <w:r w:rsidR="0057488F" w:rsidRPr="00795F17">
        <w:t xml:space="preserve"> </w:t>
      </w:r>
      <w:r w:rsidRPr="00795F17">
        <w:t>na</w:t>
      </w:r>
      <w:r w:rsidR="0057488F" w:rsidRPr="00795F17">
        <w:t xml:space="preserve"> </w:t>
      </w:r>
      <w:r w:rsidRPr="00795F17">
        <w:t>potrzeby</w:t>
      </w:r>
      <w:r w:rsidR="0057488F" w:rsidRPr="00795F17">
        <w:t xml:space="preserve"> </w:t>
      </w:r>
      <w:r w:rsidRPr="00795F17">
        <w:t>zaopatrzenia</w:t>
      </w:r>
      <w:r w:rsidR="0057488F" w:rsidRPr="00795F17">
        <w:t xml:space="preserve"> </w:t>
      </w:r>
      <w:r w:rsidRPr="00795F17">
        <w:t>ludności</w:t>
      </w:r>
      <w:r w:rsidR="0057488F" w:rsidRPr="00795F17">
        <w:t xml:space="preserve"> </w:t>
      </w:r>
      <w:r w:rsidRPr="00795F17">
        <w:t>w</w:t>
      </w:r>
      <w:r w:rsidR="0057488F" w:rsidRPr="00795F17">
        <w:t xml:space="preserve"> </w:t>
      </w:r>
      <w:r w:rsidRPr="00795F17">
        <w:t>wodę</w:t>
      </w:r>
      <w:r w:rsidR="0057488F" w:rsidRPr="00795F17">
        <w:t xml:space="preserve"> </w:t>
      </w:r>
      <w:r w:rsidRPr="00795F17">
        <w:t>przeznaczoną</w:t>
      </w:r>
      <w:r w:rsidR="0057488F" w:rsidRPr="00795F17">
        <w:t xml:space="preserve"> </w:t>
      </w:r>
      <w:r w:rsidRPr="00795F17">
        <w:t>do</w:t>
      </w:r>
      <w:r w:rsidR="0057488F" w:rsidRPr="00795F17">
        <w:t xml:space="preserve"> </w:t>
      </w:r>
      <w:r w:rsidRPr="00795F17">
        <w:t>spożycia,</w:t>
      </w:r>
      <w:r w:rsidR="0057488F" w:rsidRPr="00795F17">
        <w:t xml:space="preserve"> </w:t>
      </w:r>
      <w:r w:rsidRPr="00795F17">
        <w:t>cel</w:t>
      </w:r>
      <w:r w:rsidR="0057488F" w:rsidRPr="00795F17">
        <w:t xml:space="preserve"> </w:t>
      </w:r>
      <w:r w:rsidRPr="00795F17">
        <w:t>środowiskowy</w:t>
      </w:r>
      <w:r w:rsidR="0057488F" w:rsidRPr="00795F17">
        <w:t xml:space="preserve"> </w:t>
      </w:r>
      <w:r w:rsidRPr="00795F17">
        <w:t>dotyczy</w:t>
      </w:r>
      <w:r w:rsidR="0057488F" w:rsidRPr="00795F17">
        <w:t xml:space="preserve"> </w:t>
      </w:r>
      <w:r w:rsidRPr="00795F17">
        <w:t>norm</w:t>
      </w:r>
      <w:r w:rsidR="0057488F" w:rsidRPr="00795F17">
        <w:t xml:space="preserve"> </w:t>
      </w:r>
      <w:r w:rsidRPr="00795F17">
        <w:t>i</w:t>
      </w:r>
      <w:r w:rsidR="0057488F" w:rsidRPr="00795F17">
        <w:t xml:space="preserve"> </w:t>
      </w:r>
      <w:r w:rsidRPr="00795F17">
        <w:t>celów</w:t>
      </w:r>
      <w:r w:rsidR="0057488F" w:rsidRPr="00795F17">
        <w:t xml:space="preserve"> </w:t>
      </w:r>
      <w:r w:rsidRPr="00795F17">
        <w:t>wynikających</w:t>
      </w:r>
      <w:r w:rsidR="0057488F" w:rsidRPr="00795F17">
        <w:t xml:space="preserve"> </w:t>
      </w:r>
      <w:r w:rsidRPr="00795F17">
        <w:t>z</w:t>
      </w:r>
      <w:r w:rsidR="0057488F" w:rsidRPr="00795F17">
        <w:t xml:space="preserve"> </w:t>
      </w:r>
      <w:r w:rsidRPr="00795F17">
        <w:t>przepisów</w:t>
      </w:r>
      <w:r w:rsidR="0057488F" w:rsidRPr="00795F17">
        <w:t xml:space="preserve"> </w:t>
      </w:r>
      <w:r w:rsidRPr="00795F17">
        <w:t>dotyczących</w:t>
      </w:r>
      <w:r w:rsidR="0057488F" w:rsidRPr="00795F17">
        <w:t xml:space="preserve"> </w:t>
      </w:r>
      <w:r w:rsidRPr="00795F17">
        <w:t>ujęć</w:t>
      </w:r>
      <w:r w:rsidR="0057488F" w:rsidRPr="00795F17">
        <w:t xml:space="preserve"> </w:t>
      </w:r>
      <w:r w:rsidRPr="00795F17">
        <w:t>wody.</w:t>
      </w:r>
      <w:r w:rsidR="0057488F" w:rsidRPr="00795F17">
        <w:t xml:space="preserve"> </w:t>
      </w:r>
    </w:p>
    <w:p w14:paraId="62AB85CC" w14:textId="615ADD3F" w:rsidR="00BA6AC0" w:rsidRPr="00795F17" w:rsidRDefault="00BA6AC0" w:rsidP="0057488F">
      <w:r w:rsidRPr="00795F17">
        <w:t>Odnośnie</w:t>
      </w:r>
      <w:r w:rsidR="0057488F" w:rsidRPr="00795F17">
        <w:t xml:space="preserve"> </w:t>
      </w:r>
      <w:r w:rsidRPr="00795F17">
        <w:t>do</w:t>
      </w:r>
      <w:r w:rsidR="0057488F" w:rsidRPr="00795F17">
        <w:t xml:space="preserve"> </w:t>
      </w:r>
      <w:r w:rsidRPr="00795F17">
        <w:t>stanu</w:t>
      </w:r>
      <w:r w:rsidR="0057488F" w:rsidRPr="00795F17">
        <w:t xml:space="preserve"> </w:t>
      </w:r>
      <w:r w:rsidRPr="00795F17">
        <w:t>chemicznego,</w:t>
      </w:r>
      <w:r w:rsidR="0057488F" w:rsidRPr="00795F17">
        <w:t xml:space="preserve"> </w:t>
      </w:r>
      <w:r w:rsidRPr="00795F17">
        <w:t>dla</w:t>
      </w:r>
      <w:r w:rsidR="0057488F" w:rsidRPr="00795F17">
        <w:t xml:space="preserve"> </w:t>
      </w:r>
      <w:r w:rsidRPr="00795F17">
        <w:t>wszystkich</w:t>
      </w:r>
      <w:r w:rsidR="0057488F" w:rsidRPr="00795F17">
        <w:t xml:space="preserve"> </w:t>
      </w:r>
      <w:r w:rsidRPr="00795F17">
        <w:t>406</w:t>
      </w:r>
      <w:r w:rsidR="0057488F" w:rsidRPr="00795F17">
        <w:t xml:space="preserve"> </w:t>
      </w:r>
      <w:r w:rsidR="00DF005E">
        <w:t>JCWP</w:t>
      </w:r>
      <w:r w:rsidR="0057488F" w:rsidRPr="00795F17">
        <w:t xml:space="preserve"> </w:t>
      </w:r>
      <w:r w:rsidRPr="00795F17">
        <w:t>w</w:t>
      </w:r>
      <w:r w:rsidR="0057488F" w:rsidRPr="00795F17">
        <w:t xml:space="preserve"> </w:t>
      </w:r>
      <w:r w:rsidR="00E478B0" w:rsidRPr="00795F17">
        <w:t>obszarze</w:t>
      </w:r>
      <w:r w:rsidR="0057488F" w:rsidRPr="00795F17">
        <w:t xml:space="preserve"> </w:t>
      </w:r>
      <w:r w:rsidRPr="00795F17">
        <w:t>dorzecz</w:t>
      </w:r>
      <w:r w:rsidR="00E478B0" w:rsidRPr="00795F17">
        <w:t>a</w:t>
      </w:r>
      <w:r w:rsidR="0057488F" w:rsidRPr="00795F17">
        <w:t xml:space="preserve"> </w:t>
      </w:r>
      <w:r w:rsidRPr="00795F17">
        <w:t>Odry</w:t>
      </w:r>
      <w:r w:rsidR="0057488F" w:rsidRPr="00795F17">
        <w:t xml:space="preserve"> </w:t>
      </w:r>
      <w:r w:rsidRPr="00795F17">
        <w:t>z</w:t>
      </w:r>
      <w:r w:rsidR="0057488F" w:rsidRPr="00795F17">
        <w:t xml:space="preserve"> </w:t>
      </w:r>
      <w:r w:rsidRPr="00795F17">
        <w:t>celami</w:t>
      </w:r>
      <w:r w:rsidR="0057488F" w:rsidRPr="00795F17">
        <w:t xml:space="preserve"> </w:t>
      </w:r>
      <w:r w:rsidRPr="00795F17">
        <w:t>środowiskowymi</w:t>
      </w:r>
      <w:r w:rsidR="0057488F" w:rsidRPr="00795F17">
        <w:t xml:space="preserve"> </w:t>
      </w:r>
      <w:r w:rsidRPr="00795F17">
        <w:t>w</w:t>
      </w:r>
      <w:r w:rsidR="0057488F" w:rsidRPr="00795F17">
        <w:t xml:space="preserve"> </w:t>
      </w:r>
      <w:r w:rsidRPr="00795F17">
        <w:t>zakresie</w:t>
      </w:r>
      <w:r w:rsidR="0057488F" w:rsidRPr="00795F17">
        <w:t xml:space="preserve"> </w:t>
      </w:r>
      <w:r w:rsidRPr="00795F17">
        <w:t>stanu/potencjału</w:t>
      </w:r>
      <w:r w:rsidR="0057488F" w:rsidRPr="00795F17">
        <w:t xml:space="preserve"> </w:t>
      </w:r>
      <w:r w:rsidRPr="00795F17">
        <w:t>ekologicznego,</w:t>
      </w:r>
      <w:r w:rsidR="0057488F" w:rsidRPr="00795F17">
        <w:t xml:space="preserve"> </w:t>
      </w:r>
      <w:r w:rsidRPr="00795F17">
        <w:t>wskazano</w:t>
      </w:r>
      <w:r w:rsidR="0057488F" w:rsidRPr="00795F17">
        <w:t xml:space="preserve"> </w:t>
      </w:r>
      <w:r w:rsidRPr="00795F17">
        <w:t>jako</w:t>
      </w:r>
      <w:r w:rsidR="0057488F" w:rsidRPr="00795F17">
        <w:t xml:space="preserve"> </w:t>
      </w:r>
      <w:r w:rsidRPr="00795F17">
        <w:t>cel</w:t>
      </w:r>
      <w:r w:rsidR="0057488F" w:rsidRPr="00795F17">
        <w:t xml:space="preserve"> </w:t>
      </w:r>
      <w:r w:rsidR="00814C01">
        <w:t>–</w:t>
      </w:r>
      <w:r w:rsidR="0057488F" w:rsidRPr="00795F17">
        <w:t xml:space="preserve"> </w:t>
      </w:r>
      <w:r w:rsidRPr="00795F17">
        <w:t>dobry</w:t>
      </w:r>
      <w:r w:rsidR="0057488F" w:rsidRPr="00795F17">
        <w:t xml:space="preserve"> </w:t>
      </w:r>
      <w:r w:rsidRPr="00795F17">
        <w:t>stan</w:t>
      </w:r>
      <w:r w:rsidR="0057488F" w:rsidRPr="00795F17">
        <w:t xml:space="preserve"> </w:t>
      </w:r>
      <w:r w:rsidRPr="00795F17">
        <w:t>chemiczny.</w:t>
      </w:r>
      <w:r w:rsidR="0057488F" w:rsidRPr="00795F17">
        <w:t xml:space="preserve"> </w:t>
      </w:r>
      <w:r w:rsidRPr="00795F17">
        <w:t>Nie</w:t>
      </w:r>
      <w:r w:rsidR="0057488F" w:rsidRPr="00795F17">
        <w:t xml:space="preserve"> </w:t>
      </w:r>
      <w:r w:rsidRPr="00795F17">
        <w:t>wyznaczono</w:t>
      </w:r>
      <w:r w:rsidR="0057488F" w:rsidRPr="00795F17">
        <w:t xml:space="preserve"> </w:t>
      </w:r>
      <w:r w:rsidRPr="00795F17">
        <w:t>natomiast</w:t>
      </w:r>
      <w:r w:rsidR="0057488F" w:rsidRPr="00795F17">
        <w:t xml:space="preserve"> </w:t>
      </w:r>
      <w:r w:rsidRPr="00795F17">
        <w:t>stanu</w:t>
      </w:r>
      <w:r w:rsidR="0057488F" w:rsidRPr="00795F17">
        <w:t xml:space="preserve"> </w:t>
      </w:r>
      <w:r w:rsidRPr="00795F17">
        <w:t>chemicznego</w:t>
      </w:r>
      <w:r w:rsidR="0057488F" w:rsidRPr="00795F17">
        <w:t xml:space="preserve"> </w:t>
      </w:r>
      <w:r w:rsidRPr="00795F17">
        <w:t>dla</w:t>
      </w:r>
      <w:r w:rsidR="0057488F" w:rsidRPr="00795F17">
        <w:t xml:space="preserve"> </w:t>
      </w:r>
      <w:r w:rsidRPr="00795F17">
        <w:t>21</w:t>
      </w:r>
      <w:r w:rsidR="0057488F" w:rsidRPr="00795F17">
        <w:t xml:space="preserve"> </w:t>
      </w:r>
      <w:r w:rsidRPr="00795F17">
        <w:t>nowych</w:t>
      </w:r>
      <w:r w:rsidR="0057488F" w:rsidRPr="00795F17">
        <w:t xml:space="preserve"> </w:t>
      </w:r>
      <w:r w:rsidR="00DF005E">
        <w:t>JCWP</w:t>
      </w:r>
      <w:r w:rsidRPr="00795F17">
        <w:t>.</w:t>
      </w:r>
      <w:r w:rsidR="0057488F" w:rsidRPr="00795F17">
        <w:t xml:space="preserve"> </w:t>
      </w:r>
    </w:p>
    <w:p w14:paraId="4192DDFE" w14:textId="2FAD7E97" w:rsidR="00BA6AC0" w:rsidRPr="00795F17" w:rsidRDefault="00BA6AC0" w:rsidP="0057488F">
      <w:pPr>
        <w:rPr>
          <w:rFonts w:ascii="Segoe UI" w:hAnsi="Segoe UI" w:cs="Segoe UI"/>
          <w:sz w:val="18"/>
          <w:szCs w:val="18"/>
        </w:rPr>
      </w:pPr>
      <w:r w:rsidRPr="00795F17">
        <w:t>Ocena</w:t>
      </w:r>
      <w:r w:rsidR="0057488F" w:rsidRPr="00795F17">
        <w:t xml:space="preserve"> </w:t>
      </w:r>
      <w:r w:rsidRPr="00795F17">
        <w:t>stopnia</w:t>
      </w:r>
      <w:r w:rsidR="0057488F" w:rsidRPr="00795F17">
        <w:t xml:space="preserve"> </w:t>
      </w:r>
      <w:r w:rsidRPr="00795F17">
        <w:t>osiągnięcia</w:t>
      </w:r>
      <w:r w:rsidR="0057488F" w:rsidRPr="00795F17">
        <w:t xml:space="preserve"> </w:t>
      </w:r>
      <w:r w:rsidRPr="00795F17">
        <w:t>celów</w:t>
      </w:r>
      <w:r w:rsidR="0057488F" w:rsidRPr="00795F17">
        <w:t xml:space="preserve"> </w:t>
      </w:r>
      <w:r w:rsidRPr="00795F17">
        <w:t>środowiskowych</w:t>
      </w:r>
      <w:r w:rsidR="0057488F" w:rsidRPr="00795F17">
        <w:t xml:space="preserve"> </w:t>
      </w:r>
      <w:r w:rsidRPr="00795F17">
        <w:t>w</w:t>
      </w:r>
      <w:r w:rsidR="0057488F" w:rsidRPr="00795F17">
        <w:t xml:space="preserve"> </w:t>
      </w:r>
      <w:r w:rsidRPr="00795F17">
        <w:t>zakresie</w:t>
      </w:r>
      <w:r w:rsidR="0057488F" w:rsidRPr="00795F17">
        <w:t xml:space="preserve"> </w:t>
      </w:r>
      <w:r w:rsidRPr="00795F17">
        <w:t>stanu/potencjału</w:t>
      </w:r>
      <w:r w:rsidR="0057488F" w:rsidRPr="00795F17">
        <w:t xml:space="preserve"> </w:t>
      </w:r>
      <w:r w:rsidRPr="00795F17">
        <w:t>ekologicznego</w:t>
      </w:r>
      <w:r w:rsidR="0057488F" w:rsidRPr="00795F17">
        <w:t xml:space="preserve"> </w:t>
      </w:r>
      <w:r w:rsidRPr="00795F17">
        <w:t>z</w:t>
      </w:r>
      <w:r w:rsidR="0057488F" w:rsidRPr="00795F17">
        <w:t xml:space="preserve"> </w:t>
      </w:r>
      <w:r w:rsidRPr="00795F17">
        <w:t>okresu</w:t>
      </w:r>
      <w:r w:rsidR="0057488F" w:rsidRPr="00795F17">
        <w:t xml:space="preserve"> </w:t>
      </w:r>
      <w:r w:rsidRPr="00795F17">
        <w:t>przyjętego</w:t>
      </w:r>
      <w:r w:rsidR="0057488F" w:rsidRPr="00795F17">
        <w:t xml:space="preserve"> </w:t>
      </w:r>
      <w:r w:rsidRPr="00795F17">
        <w:t>do</w:t>
      </w:r>
      <w:r w:rsidR="0057488F" w:rsidRPr="00795F17">
        <w:t xml:space="preserve"> </w:t>
      </w:r>
      <w:r w:rsidRPr="00795F17">
        <w:t>analizy,</w:t>
      </w:r>
      <w:r w:rsidR="0057488F" w:rsidRPr="00795F17">
        <w:t xml:space="preserve"> </w:t>
      </w:r>
      <w:r w:rsidRPr="00795F17">
        <w:t>tj.</w:t>
      </w:r>
      <w:r w:rsidR="0057488F" w:rsidRPr="00795F17">
        <w:t xml:space="preserve"> </w:t>
      </w:r>
      <w:r w:rsidRPr="00795F17">
        <w:t>lat</w:t>
      </w:r>
      <w:r w:rsidR="0057488F" w:rsidRPr="00795F17">
        <w:t xml:space="preserve"> </w:t>
      </w:r>
      <w:r w:rsidRPr="00795F17">
        <w:t>2016</w:t>
      </w:r>
      <w:r w:rsidR="003C670D">
        <w:t>–</w:t>
      </w:r>
      <w:r w:rsidRPr="00795F17">
        <w:t>2021</w:t>
      </w:r>
      <w:r w:rsidR="0057488F" w:rsidRPr="00795F17">
        <w:t xml:space="preserve"> </w:t>
      </w:r>
      <w:r w:rsidRPr="00795F17">
        <w:t>była</w:t>
      </w:r>
      <w:r w:rsidR="0057488F" w:rsidRPr="00795F17">
        <w:t xml:space="preserve"> </w:t>
      </w:r>
      <w:r w:rsidRPr="00795F17">
        <w:t>możliwa</w:t>
      </w:r>
      <w:r w:rsidR="0057488F" w:rsidRPr="00795F17">
        <w:t xml:space="preserve"> </w:t>
      </w:r>
      <w:r w:rsidRPr="00795F17">
        <w:t>dla</w:t>
      </w:r>
      <w:r w:rsidR="0057488F" w:rsidRPr="00795F17">
        <w:t xml:space="preserve"> </w:t>
      </w:r>
      <w:r w:rsidRPr="00795F17">
        <w:t>380</w:t>
      </w:r>
      <w:r w:rsidR="0057488F" w:rsidRPr="00795F17">
        <w:t xml:space="preserve"> </w:t>
      </w:r>
      <w:r w:rsidR="00DF005E">
        <w:t>JCWP</w:t>
      </w:r>
      <w:r w:rsidR="0057488F" w:rsidRPr="00795F17">
        <w:t xml:space="preserve"> </w:t>
      </w:r>
      <w:r w:rsidRPr="00795F17">
        <w:t>(89%</w:t>
      </w:r>
      <w:r w:rsidR="0057488F" w:rsidRPr="00795F17">
        <w:t xml:space="preserve"> </w:t>
      </w:r>
      <w:r w:rsidR="00DF005E">
        <w:t>JCWP</w:t>
      </w:r>
      <w:r w:rsidR="0057488F" w:rsidRPr="00795F17">
        <w:t xml:space="preserve"> </w:t>
      </w:r>
      <w:r w:rsidR="00840924">
        <w:t>na</w:t>
      </w:r>
      <w:r w:rsidR="0057488F" w:rsidRPr="00795F17">
        <w:t xml:space="preserve"> </w:t>
      </w:r>
      <w:r w:rsidR="00E478B0" w:rsidRPr="00795F17">
        <w:t>obszarze</w:t>
      </w:r>
      <w:r w:rsidR="0057488F" w:rsidRPr="00795F17">
        <w:t xml:space="preserve"> </w:t>
      </w:r>
      <w:r w:rsidRPr="00795F17">
        <w:t>dorzecz</w:t>
      </w:r>
      <w:r w:rsidR="00E478B0" w:rsidRPr="00795F17">
        <w:t>a</w:t>
      </w:r>
      <w:r w:rsidR="0057488F" w:rsidRPr="00795F17">
        <w:t xml:space="preserve"> </w:t>
      </w:r>
      <w:r w:rsidRPr="00795F17">
        <w:t>Odry),</w:t>
      </w:r>
      <w:r w:rsidR="0057488F" w:rsidRPr="00795F17">
        <w:t xml:space="preserve"> </w:t>
      </w:r>
      <w:r w:rsidRPr="00795F17">
        <w:t>spośród</w:t>
      </w:r>
      <w:r w:rsidR="0057488F" w:rsidRPr="00795F17">
        <w:t xml:space="preserve"> </w:t>
      </w:r>
      <w:r w:rsidRPr="00795F17">
        <w:t>406</w:t>
      </w:r>
      <w:r w:rsidR="0057488F" w:rsidRPr="00795F17">
        <w:t xml:space="preserve"> </w:t>
      </w:r>
      <w:r w:rsidR="00DF005E">
        <w:t>JCWP</w:t>
      </w:r>
      <w:r w:rsidR="0057488F" w:rsidRPr="00795F17">
        <w:t xml:space="preserve"> </w:t>
      </w:r>
      <w:r w:rsidRPr="00795F17">
        <w:t>jeziornych,</w:t>
      </w:r>
      <w:r w:rsidR="0057488F" w:rsidRPr="00795F17">
        <w:t xml:space="preserve"> </w:t>
      </w:r>
      <w:r w:rsidRPr="00795F17">
        <w:t>które</w:t>
      </w:r>
      <w:r w:rsidR="0057488F" w:rsidRPr="00795F17">
        <w:t xml:space="preserve"> </w:t>
      </w:r>
      <w:r w:rsidRPr="00795F17">
        <w:t>miały</w:t>
      </w:r>
      <w:r w:rsidR="0057488F" w:rsidRPr="00795F17">
        <w:t xml:space="preserve"> </w:t>
      </w:r>
      <w:r w:rsidRPr="00795F17">
        <w:t>wyznaczone</w:t>
      </w:r>
      <w:r w:rsidR="0057488F" w:rsidRPr="00795F17">
        <w:t xml:space="preserve"> </w:t>
      </w:r>
      <w:r w:rsidRPr="00795F17">
        <w:t>cele</w:t>
      </w:r>
      <w:r w:rsidR="0057488F" w:rsidRPr="00795F17">
        <w:t xml:space="preserve"> </w:t>
      </w:r>
      <w:r w:rsidRPr="00795F17">
        <w:t>środowiskowe.</w:t>
      </w:r>
      <w:r w:rsidR="0057488F" w:rsidRPr="00795F17">
        <w:t xml:space="preserve"> </w:t>
      </w:r>
    </w:p>
    <w:p w14:paraId="3A5B2840" w14:textId="0F5E2F7C" w:rsidR="00BA6AC0" w:rsidRPr="00795F17" w:rsidRDefault="00BA6AC0" w:rsidP="0057488F">
      <w:pPr>
        <w:rPr>
          <w:rFonts w:ascii="Segoe UI" w:hAnsi="Segoe UI" w:cs="Segoe UI"/>
          <w:sz w:val="18"/>
          <w:szCs w:val="18"/>
        </w:rPr>
      </w:pPr>
      <w:r w:rsidRPr="00795F17">
        <w:t>W</w:t>
      </w:r>
      <w:r w:rsidR="0057488F" w:rsidRPr="00795F17">
        <w:t xml:space="preserve"> </w:t>
      </w:r>
      <w:r w:rsidRPr="00795F17">
        <w:t>odniesieniu</w:t>
      </w:r>
      <w:r w:rsidR="0057488F" w:rsidRPr="00795F17">
        <w:t xml:space="preserve"> </w:t>
      </w:r>
      <w:r w:rsidRPr="00795F17">
        <w:t>do</w:t>
      </w:r>
      <w:r w:rsidR="0057488F" w:rsidRPr="00795F17">
        <w:t xml:space="preserve"> </w:t>
      </w:r>
      <w:r w:rsidRPr="00795F17">
        <w:t>stanu</w:t>
      </w:r>
      <w:r w:rsidR="0057488F" w:rsidRPr="00795F17">
        <w:t xml:space="preserve"> </w:t>
      </w:r>
      <w:r w:rsidRPr="00795F17">
        <w:t>chemicznego</w:t>
      </w:r>
      <w:r w:rsidR="0057488F" w:rsidRPr="00795F17">
        <w:t xml:space="preserve"> </w:t>
      </w:r>
      <w:r w:rsidRPr="00795F17">
        <w:t>ocena</w:t>
      </w:r>
      <w:r w:rsidR="0057488F" w:rsidRPr="00795F17">
        <w:t xml:space="preserve"> </w:t>
      </w:r>
      <w:r w:rsidRPr="00795F17">
        <w:t>taka</w:t>
      </w:r>
      <w:r w:rsidR="0057488F" w:rsidRPr="00795F17">
        <w:t xml:space="preserve"> </w:t>
      </w:r>
      <w:r w:rsidRPr="00795F17">
        <w:t>była</w:t>
      </w:r>
      <w:r w:rsidR="0057488F" w:rsidRPr="00795F17">
        <w:t xml:space="preserve"> </w:t>
      </w:r>
      <w:r w:rsidRPr="00795F17">
        <w:t>możliwa</w:t>
      </w:r>
      <w:r w:rsidR="0057488F" w:rsidRPr="00795F17">
        <w:t xml:space="preserve"> </w:t>
      </w:r>
      <w:r w:rsidRPr="00795F17">
        <w:t>w</w:t>
      </w:r>
      <w:r w:rsidR="0057488F" w:rsidRPr="00795F17">
        <w:t xml:space="preserve"> </w:t>
      </w:r>
      <w:r w:rsidRPr="00795F17">
        <w:t>przypadku</w:t>
      </w:r>
      <w:r w:rsidR="0057488F" w:rsidRPr="00795F17">
        <w:t xml:space="preserve"> </w:t>
      </w:r>
      <w:r w:rsidRPr="00795F17">
        <w:t>111</w:t>
      </w:r>
      <w:r w:rsidR="0057488F" w:rsidRPr="00795F17">
        <w:t xml:space="preserve"> </w:t>
      </w:r>
      <w:r w:rsidR="00DF005E">
        <w:t>JCWP</w:t>
      </w:r>
      <w:r w:rsidR="0057488F" w:rsidRPr="00795F17">
        <w:t xml:space="preserve"> </w:t>
      </w:r>
      <w:r w:rsidRPr="00795F17">
        <w:t>(26%),</w:t>
      </w:r>
      <w:r w:rsidR="0057488F" w:rsidRPr="00795F17">
        <w:t xml:space="preserve"> </w:t>
      </w:r>
      <w:r w:rsidRPr="00795F17">
        <w:t>spośród</w:t>
      </w:r>
      <w:r w:rsidR="0057488F" w:rsidRPr="00795F17">
        <w:t xml:space="preserve"> </w:t>
      </w:r>
      <w:r w:rsidRPr="00795F17">
        <w:t>wszystkich</w:t>
      </w:r>
      <w:r w:rsidR="0057488F" w:rsidRPr="00795F17">
        <w:t xml:space="preserve"> </w:t>
      </w:r>
      <w:r w:rsidRPr="00795F17">
        <w:t>427</w:t>
      </w:r>
      <w:r w:rsidR="0057488F" w:rsidRPr="00795F17">
        <w:t xml:space="preserve"> </w:t>
      </w:r>
      <w:r w:rsidR="00DF005E">
        <w:t>JCWP</w:t>
      </w:r>
      <w:r w:rsidR="0057488F" w:rsidRPr="00795F17">
        <w:t xml:space="preserve"> </w:t>
      </w:r>
      <w:r w:rsidRPr="00795F17">
        <w:t>w</w:t>
      </w:r>
      <w:r w:rsidR="0057488F" w:rsidRPr="00795F17">
        <w:t xml:space="preserve"> </w:t>
      </w:r>
      <w:r w:rsidRPr="00795F17">
        <w:t>zlewni</w:t>
      </w:r>
      <w:r w:rsidR="0057488F" w:rsidRPr="00795F17">
        <w:t xml:space="preserve"> </w:t>
      </w:r>
      <w:r w:rsidRPr="00795F17">
        <w:t>Odry.</w:t>
      </w:r>
      <w:r w:rsidR="0057488F" w:rsidRPr="00795F17">
        <w:t xml:space="preserve"> </w:t>
      </w:r>
    </w:p>
    <w:p w14:paraId="39ED1D7F" w14:textId="08070BCE" w:rsidR="00BA6AC0" w:rsidRPr="00795F17" w:rsidRDefault="00BA6AC0" w:rsidP="0057488F">
      <w:pPr>
        <w:rPr>
          <w:rFonts w:ascii="Segoe UI" w:hAnsi="Segoe UI" w:cs="Segoe UI"/>
          <w:sz w:val="18"/>
          <w:szCs w:val="18"/>
        </w:rPr>
      </w:pPr>
      <w:r w:rsidRPr="00795F17">
        <w:t>W</w:t>
      </w:r>
      <w:r w:rsidR="0057488F" w:rsidRPr="00795F17">
        <w:t xml:space="preserve"> </w:t>
      </w:r>
      <w:r w:rsidRPr="00795F17">
        <w:t>zakresie</w:t>
      </w:r>
      <w:r w:rsidR="0057488F" w:rsidRPr="00795F17">
        <w:t xml:space="preserve"> </w:t>
      </w:r>
      <w:r w:rsidRPr="00795F17">
        <w:t>stanu/potencjału</w:t>
      </w:r>
      <w:r w:rsidR="0057488F" w:rsidRPr="00795F17">
        <w:t xml:space="preserve"> </w:t>
      </w:r>
      <w:r w:rsidRPr="00795F17">
        <w:t>ekologicznego:</w:t>
      </w:r>
      <w:r w:rsidR="0057488F" w:rsidRPr="00795F17">
        <w:t xml:space="preserve"> </w:t>
      </w:r>
    </w:p>
    <w:p w14:paraId="589175C4" w14:textId="2441C3DB" w:rsidR="00BA6AC0" w:rsidRPr="00795F17" w:rsidRDefault="00BA6AC0" w:rsidP="00117E86">
      <w:pPr>
        <w:pStyle w:val="Listapunktowana2"/>
      </w:pPr>
      <w:r w:rsidRPr="00795F17">
        <w:t>w</w:t>
      </w:r>
      <w:r w:rsidR="0057488F" w:rsidRPr="00795F17">
        <w:t xml:space="preserve"> </w:t>
      </w:r>
      <w:r w:rsidRPr="00795F17">
        <w:t>przypadku</w:t>
      </w:r>
      <w:r w:rsidR="0057488F" w:rsidRPr="00795F17">
        <w:t xml:space="preserve"> </w:t>
      </w:r>
      <w:r w:rsidRPr="00795F17">
        <w:t>80</w:t>
      </w:r>
      <w:r w:rsidR="0057488F" w:rsidRPr="00795F17">
        <w:t xml:space="preserve"> </w:t>
      </w:r>
      <w:r w:rsidR="00DF005E">
        <w:t>JCWP</w:t>
      </w:r>
      <w:r w:rsidR="0057488F" w:rsidRPr="00795F17">
        <w:t xml:space="preserve"> </w:t>
      </w:r>
      <w:r w:rsidRPr="00795F17">
        <w:t>jeziornych</w:t>
      </w:r>
      <w:r w:rsidR="0057488F" w:rsidRPr="00795F17">
        <w:t xml:space="preserve"> </w:t>
      </w:r>
      <w:r w:rsidRPr="00795F17">
        <w:t>(stanowiących</w:t>
      </w:r>
      <w:r w:rsidR="0057488F" w:rsidRPr="00795F17">
        <w:t xml:space="preserve"> </w:t>
      </w:r>
      <w:r w:rsidRPr="00795F17">
        <w:t>18,7%</w:t>
      </w:r>
      <w:r w:rsidR="0057488F" w:rsidRPr="00795F17">
        <w:t xml:space="preserve"> </w:t>
      </w:r>
      <w:r w:rsidR="00DF005E">
        <w:t>JCWP</w:t>
      </w:r>
      <w:r w:rsidR="0057488F" w:rsidRPr="00795F17">
        <w:t xml:space="preserve"> </w:t>
      </w:r>
      <w:r w:rsidR="00E07878">
        <w:t xml:space="preserve">na </w:t>
      </w:r>
      <w:r w:rsidR="00807298" w:rsidRPr="00795F17">
        <w:t>obszarze</w:t>
      </w:r>
      <w:r w:rsidR="0057488F" w:rsidRPr="00795F17">
        <w:t xml:space="preserve"> </w:t>
      </w:r>
      <w:r w:rsidRPr="00795F17">
        <w:t>dorzecz</w:t>
      </w:r>
      <w:r w:rsidR="00807298" w:rsidRPr="00795F17">
        <w:t>a</w:t>
      </w:r>
      <w:r w:rsidR="0057488F" w:rsidRPr="00795F17">
        <w:t xml:space="preserve"> </w:t>
      </w:r>
      <w:r w:rsidRPr="00795F17">
        <w:t>Odry)</w:t>
      </w:r>
      <w:r w:rsidR="0057488F" w:rsidRPr="00795F17">
        <w:t xml:space="preserve"> </w:t>
      </w:r>
      <w:r w:rsidRPr="00795F17">
        <w:t>wykazano</w:t>
      </w:r>
      <w:r w:rsidR="0057488F" w:rsidRPr="00795F17">
        <w:t xml:space="preserve"> </w:t>
      </w:r>
      <w:r w:rsidRPr="00795F17">
        <w:t>osiągnięcie</w:t>
      </w:r>
      <w:r w:rsidR="0057488F" w:rsidRPr="00795F17">
        <w:t xml:space="preserve"> </w:t>
      </w:r>
      <w:r w:rsidRPr="00795F17">
        <w:t>celów</w:t>
      </w:r>
      <w:r w:rsidR="0057488F" w:rsidRPr="00795F17">
        <w:t xml:space="preserve"> </w:t>
      </w:r>
      <w:r w:rsidRPr="00795F17">
        <w:t>środowiskowych,</w:t>
      </w:r>
      <w:r w:rsidR="0057488F" w:rsidRPr="00795F17">
        <w:t xml:space="preserve"> </w:t>
      </w:r>
    </w:p>
    <w:p w14:paraId="5F5FB7DE" w14:textId="40EB348A" w:rsidR="00BA6AC0" w:rsidRPr="00795F17" w:rsidRDefault="00BA6AC0" w:rsidP="00117E86">
      <w:pPr>
        <w:pStyle w:val="Listapunktowana2"/>
      </w:pPr>
      <w:r w:rsidRPr="00795F17">
        <w:t>w</w:t>
      </w:r>
      <w:r w:rsidR="0057488F" w:rsidRPr="00795F17">
        <w:t xml:space="preserve"> </w:t>
      </w:r>
      <w:r w:rsidRPr="00795F17">
        <w:t>przypadku</w:t>
      </w:r>
      <w:r w:rsidR="0057488F" w:rsidRPr="00795F17">
        <w:t xml:space="preserve"> </w:t>
      </w:r>
      <w:r w:rsidRPr="00795F17">
        <w:t>300</w:t>
      </w:r>
      <w:r w:rsidR="0057488F" w:rsidRPr="00795F17">
        <w:t xml:space="preserve"> </w:t>
      </w:r>
      <w:r w:rsidR="00DF005E">
        <w:t>JCWP</w:t>
      </w:r>
      <w:r w:rsidR="0057488F" w:rsidRPr="00795F17">
        <w:t xml:space="preserve"> </w:t>
      </w:r>
      <w:r w:rsidRPr="00795F17">
        <w:t>(70,3%)</w:t>
      </w:r>
      <w:r w:rsidR="0057488F" w:rsidRPr="00795F17">
        <w:t xml:space="preserve"> </w:t>
      </w:r>
      <w:r w:rsidRPr="00795F17">
        <w:t>cele</w:t>
      </w:r>
      <w:r w:rsidR="0057488F" w:rsidRPr="00795F17">
        <w:t xml:space="preserve"> </w:t>
      </w:r>
      <w:r w:rsidRPr="00795F17">
        <w:t>środowiskowe</w:t>
      </w:r>
      <w:r w:rsidR="0057488F" w:rsidRPr="00795F17">
        <w:t xml:space="preserve"> </w:t>
      </w:r>
      <w:r w:rsidRPr="00795F17">
        <w:t>nie</w:t>
      </w:r>
      <w:r w:rsidR="0057488F" w:rsidRPr="00795F17">
        <w:t xml:space="preserve"> </w:t>
      </w:r>
      <w:r w:rsidRPr="00795F17">
        <w:t>zostały</w:t>
      </w:r>
      <w:r w:rsidR="0057488F" w:rsidRPr="00795F17">
        <w:t xml:space="preserve"> </w:t>
      </w:r>
      <w:r w:rsidRPr="00795F17">
        <w:t>osiągnięte</w:t>
      </w:r>
      <w:r w:rsidR="003C670D">
        <w:t>.</w:t>
      </w:r>
      <w:r w:rsidR="0057488F" w:rsidRPr="00795F17">
        <w:t xml:space="preserve"> </w:t>
      </w:r>
    </w:p>
    <w:p w14:paraId="761DAD6A" w14:textId="29672EB1" w:rsidR="00BA6AC0" w:rsidRPr="00795F17" w:rsidRDefault="00BA6AC0" w:rsidP="0057488F">
      <w:pPr>
        <w:rPr>
          <w:rFonts w:ascii="Segoe UI" w:hAnsi="Segoe UI" w:cs="Segoe UI"/>
          <w:sz w:val="18"/>
          <w:szCs w:val="18"/>
        </w:rPr>
      </w:pPr>
      <w:r w:rsidRPr="00795F17">
        <w:t>W</w:t>
      </w:r>
      <w:r w:rsidR="0057488F" w:rsidRPr="00795F17">
        <w:t xml:space="preserve"> </w:t>
      </w:r>
      <w:r w:rsidRPr="00795F17">
        <w:t>sumie</w:t>
      </w:r>
      <w:r w:rsidR="0057488F" w:rsidRPr="00795F17">
        <w:t xml:space="preserve"> </w:t>
      </w:r>
      <w:r w:rsidRPr="00795F17">
        <w:t>dla</w:t>
      </w:r>
      <w:r w:rsidR="0057488F" w:rsidRPr="00795F17">
        <w:t xml:space="preserve"> </w:t>
      </w:r>
      <w:r w:rsidRPr="00795F17">
        <w:t>47</w:t>
      </w:r>
      <w:r w:rsidR="0057488F" w:rsidRPr="00795F17">
        <w:t xml:space="preserve"> </w:t>
      </w:r>
      <w:r w:rsidR="00DF005E">
        <w:t>JCWP</w:t>
      </w:r>
      <w:r w:rsidR="0057488F" w:rsidRPr="00795F17">
        <w:t xml:space="preserve"> </w:t>
      </w:r>
      <w:r w:rsidRPr="00795F17">
        <w:t>(11%)</w:t>
      </w:r>
      <w:r w:rsidR="0057488F" w:rsidRPr="00795F17">
        <w:t xml:space="preserve"> </w:t>
      </w:r>
      <w:r w:rsidR="00E07878">
        <w:t>na</w:t>
      </w:r>
      <w:r w:rsidR="0057488F" w:rsidRPr="00795F17">
        <w:t xml:space="preserve"> </w:t>
      </w:r>
      <w:r w:rsidR="00807298" w:rsidRPr="00795F17">
        <w:t>obszarze</w:t>
      </w:r>
      <w:r w:rsidR="0057488F" w:rsidRPr="00795F17">
        <w:t xml:space="preserve"> </w:t>
      </w:r>
      <w:r w:rsidRPr="00795F17">
        <w:t>dorzecz</w:t>
      </w:r>
      <w:r w:rsidR="00807298" w:rsidRPr="00795F17">
        <w:t>a</w:t>
      </w:r>
      <w:r w:rsidR="0057488F" w:rsidRPr="00795F17">
        <w:t xml:space="preserve"> </w:t>
      </w:r>
      <w:r w:rsidRPr="00795F17">
        <w:t>Odry</w:t>
      </w:r>
      <w:r w:rsidR="0057488F" w:rsidRPr="00795F17">
        <w:t xml:space="preserve"> </w:t>
      </w:r>
      <w:r w:rsidRPr="00795F17">
        <w:t>brak</w:t>
      </w:r>
      <w:r w:rsidR="0057488F" w:rsidRPr="00795F17">
        <w:t xml:space="preserve"> </w:t>
      </w:r>
      <w:r w:rsidRPr="00795F17">
        <w:t>oceny,</w:t>
      </w:r>
      <w:r w:rsidR="0057488F" w:rsidRPr="00795F17">
        <w:t xml:space="preserve"> </w:t>
      </w:r>
      <w:r w:rsidRPr="00795F17">
        <w:t>w</w:t>
      </w:r>
      <w:r w:rsidR="0057488F" w:rsidRPr="00795F17">
        <w:t xml:space="preserve"> </w:t>
      </w:r>
      <w:r w:rsidRPr="00795F17">
        <w:t>tym</w:t>
      </w:r>
      <w:r w:rsidR="0057488F" w:rsidRPr="00795F17">
        <w:t xml:space="preserve"> </w:t>
      </w:r>
      <w:r w:rsidRPr="00795F17">
        <w:t>dla</w:t>
      </w:r>
      <w:r w:rsidR="0057488F" w:rsidRPr="00795F17">
        <w:t xml:space="preserve"> </w:t>
      </w:r>
      <w:r w:rsidRPr="00795F17">
        <w:t>21</w:t>
      </w:r>
      <w:r w:rsidR="0057488F" w:rsidRPr="00795F17">
        <w:t xml:space="preserve"> </w:t>
      </w:r>
      <w:r w:rsidRPr="00795F17">
        <w:t>nowych</w:t>
      </w:r>
      <w:r w:rsidR="0057488F" w:rsidRPr="00795F17">
        <w:t xml:space="preserve"> </w:t>
      </w:r>
      <w:r w:rsidR="00DF005E">
        <w:t>JCWP</w:t>
      </w:r>
      <w:r w:rsidR="0057488F" w:rsidRPr="00795F17">
        <w:t xml:space="preserve"> </w:t>
      </w:r>
      <w:r w:rsidRPr="00795F17">
        <w:t>oraz</w:t>
      </w:r>
      <w:r w:rsidR="0057488F" w:rsidRPr="00795F17">
        <w:t xml:space="preserve"> </w:t>
      </w:r>
      <w:r w:rsidRPr="00795F17">
        <w:t>dla</w:t>
      </w:r>
      <w:r w:rsidR="0057488F" w:rsidRPr="00795F17">
        <w:t xml:space="preserve"> </w:t>
      </w:r>
      <w:r w:rsidRPr="00795F17">
        <w:t>26</w:t>
      </w:r>
      <w:r w:rsidR="0057488F" w:rsidRPr="00795F17">
        <w:t xml:space="preserve"> </w:t>
      </w:r>
      <w:r w:rsidR="00DF005E">
        <w:t>JCWP</w:t>
      </w:r>
      <w:r w:rsidRPr="00795F17">
        <w:t>,</w:t>
      </w:r>
      <w:r w:rsidR="0057488F" w:rsidRPr="00795F17">
        <w:t xml:space="preserve"> </w:t>
      </w:r>
      <w:r w:rsidRPr="00795F17">
        <w:t>które</w:t>
      </w:r>
      <w:r w:rsidR="0057488F" w:rsidRPr="00795F17">
        <w:t xml:space="preserve"> </w:t>
      </w:r>
      <w:r w:rsidRPr="00795F17">
        <w:t>w</w:t>
      </w:r>
      <w:r w:rsidR="0057488F" w:rsidRPr="00795F17">
        <w:t xml:space="preserve"> </w:t>
      </w:r>
      <w:r w:rsidRPr="00795F17">
        <w:t>aPGW</w:t>
      </w:r>
      <w:r w:rsidR="0057488F" w:rsidRPr="00795F17">
        <w:t xml:space="preserve"> </w:t>
      </w:r>
      <w:r w:rsidRPr="00795F17">
        <w:t>miały</w:t>
      </w:r>
      <w:r w:rsidR="0057488F" w:rsidRPr="00795F17">
        <w:t xml:space="preserve"> </w:t>
      </w:r>
      <w:r w:rsidRPr="00795F17">
        <w:t>wyznaczone</w:t>
      </w:r>
      <w:r w:rsidR="0057488F" w:rsidRPr="00795F17">
        <w:t xml:space="preserve"> </w:t>
      </w:r>
      <w:r w:rsidRPr="00795F17">
        <w:t>cele</w:t>
      </w:r>
      <w:r w:rsidR="0057488F" w:rsidRPr="00795F17">
        <w:t xml:space="preserve"> </w:t>
      </w:r>
      <w:r w:rsidRPr="00795F17">
        <w:t>środowiskowe,</w:t>
      </w:r>
      <w:r w:rsidR="0057488F" w:rsidRPr="00795F17">
        <w:t xml:space="preserve"> </w:t>
      </w:r>
      <w:r w:rsidRPr="00795F17">
        <w:t>ale</w:t>
      </w:r>
      <w:r w:rsidR="0057488F" w:rsidRPr="00795F17">
        <w:t xml:space="preserve"> </w:t>
      </w:r>
      <w:r w:rsidRPr="00795F17">
        <w:t>nie</w:t>
      </w:r>
      <w:r w:rsidR="0057488F" w:rsidRPr="00795F17">
        <w:t xml:space="preserve"> </w:t>
      </w:r>
      <w:r w:rsidRPr="00795F17">
        <w:t>można</w:t>
      </w:r>
      <w:r w:rsidR="0057488F" w:rsidRPr="00795F17">
        <w:t xml:space="preserve"> </w:t>
      </w:r>
      <w:r w:rsidRPr="00795F17">
        <w:t>było</w:t>
      </w:r>
      <w:r w:rsidR="0057488F" w:rsidRPr="00795F17">
        <w:t xml:space="preserve"> </w:t>
      </w:r>
      <w:r w:rsidRPr="00795F17">
        <w:t>dokonać</w:t>
      </w:r>
      <w:r w:rsidR="0057488F" w:rsidRPr="00795F17">
        <w:t xml:space="preserve"> </w:t>
      </w:r>
      <w:r w:rsidRPr="00795F17">
        <w:t>oceny</w:t>
      </w:r>
      <w:r w:rsidR="0057488F" w:rsidRPr="00795F17">
        <w:t xml:space="preserve"> </w:t>
      </w:r>
      <w:r w:rsidRPr="00795F17">
        <w:t>stopnia</w:t>
      </w:r>
      <w:r w:rsidR="0057488F" w:rsidRPr="00795F17">
        <w:t xml:space="preserve"> </w:t>
      </w:r>
      <w:r w:rsidRPr="00795F17">
        <w:t>ich</w:t>
      </w:r>
      <w:r w:rsidR="0057488F" w:rsidRPr="00795F17">
        <w:t xml:space="preserve"> </w:t>
      </w:r>
      <w:r w:rsidRPr="00795F17">
        <w:t>osiągnięcia.</w:t>
      </w:r>
      <w:r w:rsidR="0057488F" w:rsidRPr="00795F17">
        <w:t xml:space="preserve"> </w:t>
      </w:r>
    </w:p>
    <w:p w14:paraId="796F0E1C" w14:textId="011DB2E5" w:rsidR="00A230D1" w:rsidRPr="00795F17" w:rsidRDefault="00A230D1" w:rsidP="0057488F">
      <w:r w:rsidRPr="00795F17">
        <w:t>Zgodnie</w:t>
      </w:r>
      <w:r w:rsidR="0057488F" w:rsidRPr="00795F17">
        <w:t xml:space="preserve"> </w:t>
      </w:r>
      <w:r w:rsidRPr="00795F17">
        <w:t>z</w:t>
      </w:r>
      <w:r w:rsidR="0057488F" w:rsidRPr="00795F17">
        <w:t xml:space="preserve"> </w:t>
      </w:r>
      <w:r w:rsidRPr="00795F17">
        <w:t>oceną</w:t>
      </w:r>
      <w:r w:rsidR="0057488F" w:rsidRPr="00795F17">
        <w:t xml:space="preserve"> </w:t>
      </w:r>
      <w:r w:rsidRPr="00795F17">
        <w:t>aPGW</w:t>
      </w:r>
      <w:r w:rsidR="0057488F" w:rsidRPr="00795F17">
        <w:t xml:space="preserve"> </w:t>
      </w:r>
      <w:r w:rsidRPr="00795F17">
        <w:t>53</w:t>
      </w:r>
      <w:r w:rsidR="0057488F" w:rsidRPr="00795F17">
        <w:t xml:space="preserve"> </w:t>
      </w:r>
      <w:r w:rsidR="00DF005E">
        <w:t>JCWP</w:t>
      </w:r>
      <w:r w:rsidR="0057488F" w:rsidRPr="00795F17">
        <w:t xml:space="preserve"> </w:t>
      </w:r>
      <w:r w:rsidRPr="00795F17">
        <w:t>jeziorn</w:t>
      </w:r>
      <w:r w:rsidR="001E0FB7">
        <w:t>e</w:t>
      </w:r>
      <w:r w:rsidR="0057488F" w:rsidRPr="00795F17">
        <w:t xml:space="preserve"> </w:t>
      </w:r>
      <w:r w:rsidRPr="00795F17">
        <w:t>z</w:t>
      </w:r>
      <w:r w:rsidR="00E80258">
        <w:t xml:space="preserve">najdujące się </w:t>
      </w:r>
      <w:r w:rsidRPr="00795F17">
        <w:t>na</w:t>
      </w:r>
      <w:r w:rsidR="0057488F" w:rsidRPr="00795F17">
        <w:t xml:space="preserve"> </w:t>
      </w:r>
      <w:r w:rsidRPr="00795F17">
        <w:t>obszarze</w:t>
      </w:r>
      <w:r w:rsidR="0057488F" w:rsidRPr="00795F17">
        <w:t xml:space="preserve"> </w:t>
      </w:r>
      <w:r w:rsidRPr="00795F17">
        <w:t>dorzecza</w:t>
      </w:r>
      <w:r w:rsidR="0057488F" w:rsidRPr="00795F17">
        <w:t xml:space="preserve"> </w:t>
      </w:r>
      <w:r w:rsidRPr="00795F17">
        <w:t>Odry</w:t>
      </w:r>
      <w:r w:rsidR="0057488F" w:rsidRPr="00795F17">
        <w:t xml:space="preserve"> </w:t>
      </w:r>
      <w:r w:rsidRPr="00795F17">
        <w:t>charakteryzował</w:t>
      </w:r>
      <w:r w:rsidR="00D178DA">
        <w:t>o</w:t>
      </w:r>
      <w:r w:rsidR="0057488F" w:rsidRPr="00795F17">
        <w:t xml:space="preserve"> </w:t>
      </w:r>
      <w:r w:rsidRPr="00795F17">
        <w:t>się</w:t>
      </w:r>
      <w:r w:rsidR="0057488F" w:rsidRPr="00795F17">
        <w:t xml:space="preserve"> </w:t>
      </w:r>
      <w:r w:rsidRPr="00795F17">
        <w:t>dobrym</w:t>
      </w:r>
      <w:r w:rsidR="0057488F" w:rsidRPr="00795F17">
        <w:t xml:space="preserve"> </w:t>
      </w:r>
      <w:r w:rsidRPr="00795F17">
        <w:t>stanem</w:t>
      </w:r>
      <w:r w:rsidR="0057488F" w:rsidRPr="00795F17">
        <w:t xml:space="preserve"> </w:t>
      </w:r>
      <w:r w:rsidRPr="00795F17">
        <w:t>chemicznym.</w:t>
      </w:r>
      <w:r w:rsidR="0057488F" w:rsidRPr="00795F17">
        <w:t xml:space="preserve"> </w:t>
      </w:r>
      <w:r w:rsidRPr="00795F17">
        <w:t>Analiza</w:t>
      </w:r>
      <w:r w:rsidR="0057488F" w:rsidRPr="00795F17">
        <w:t xml:space="preserve"> </w:t>
      </w:r>
      <w:r w:rsidRPr="00795F17">
        <w:t>danych</w:t>
      </w:r>
      <w:r w:rsidR="0057488F" w:rsidRPr="00795F17">
        <w:t xml:space="preserve"> </w:t>
      </w:r>
      <w:r w:rsidRPr="00795F17">
        <w:t>z</w:t>
      </w:r>
      <w:r w:rsidR="0057488F" w:rsidRPr="00795F17">
        <w:t xml:space="preserve"> </w:t>
      </w:r>
      <w:r w:rsidRPr="00795F17">
        <w:t>lat</w:t>
      </w:r>
      <w:r w:rsidR="0057488F" w:rsidRPr="00795F17">
        <w:t xml:space="preserve"> </w:t>
      </w:r>
      <w:r w:rsidRPr="00795F17">
        <w:t>2016</w:t>
      </w:r>
      <w:r w:rsidR="003C670D">
        <w:t>–</w:t>
      </w:r>
      <w:r w:rsidRPr="00795F17">
        <w:t>2021</w:t>
      </w:r>
      <w:r w:rsidR="0057488F" w:rsidRPr="00795F17">
        <w:t xml:space="preserve"> </w:t>
      </w:r>
      <w:r w:rsidRPr="00795F17">
        <w:t>wskazuje,</w:t>
      </w:r>
      <w:r w:rsidR="0057488F" w:rsidRPr="00795F17">
        <w:t xml:space="preserve"> </w:t>
      </w:r>
      <w:r w:rsidRPr="00795F17">
        <w:t>że</w:t>
      </w:r>
      <w:r w:rsidR="0057488F" w:rsidRPr="00795F17">
        <w:t xml:space="preserve"> </w:t>
      </w:r>
      <w:r w:rsidRPr="00795F17">
        <w:t>w</w:t>
      </w:r>
      <w:r w:rsidR="0057488F" w:rsidRPr="00795F17">
        <w:t xml:space="preserve"> </w:t>
      </w:r>
      <w:r w:rsidRPr="00795F17">
        <w:t>przypadku</w:t>
      </w:r>
      <w:r w:rsidR="0057488F" w:rsidRPr="00795F17">
        <w:t xml:space="preserve"> </w:t>
      </w:r>
      <w:r w:rsidRPr="00795F17">
        <w:t>13</w:t>
      </w:r>
      <w:r w:rsidR="0057488F" w:rsidRPr="00795F17">
        <w:t xml:space="preserve"> </w:t>
      </w:r>
      <w:r w:rsidR="00DF005E">
        <w:t>JCWP</w:t>
      </w:r>
      <w:r w:rsidR="0057488F" w:rsidRPr="00795F17">
        <w:t xml:space="preserve"> </w:t>
      </w:r>
      <w:r w:rsidRPr="00795F17">
        <w:t>wykazano</w:t>
      </w:r>
      <w:r w:rsidR="0057488F" w:rsidRPr="00795F17">
        <w:t xml:space="preserve"> </w:t>
      </w:r>
      <w:r w:rsidRPr="00795F17">
        <w:t>utrzymanie</w:t>
      </w:r>
      <w:r w:rsidR="0057488F" w:rsidRPr="00795F17">
        <w:t xml:space="preserve"> </w:t>
      </w:r>
      <w:r w:rsidRPr="00795F17">
        <w:t>stanu</w:t>
      </w:r>
      <w:r w:rsidR="0057488F" w:rsidRPr="00795F17">
        <w:t xml:space="preserve"> </w:t>
      </w:r>
      <w:r w:rsidRPr="00795F17">
        <w:t>dobrego.</w:t>
      </w:r>
      <w:r w:rsidR="0057488F" w:rsidRPr="00795F17">
        <w:t xml:space="preserve"> </w:t>
      </w:r>
      <w:r w:rsidRPr="00795F17">
        <w:t>Natomiast</w:t>
      </w:r>
      <w:r w:rsidR="0057488F" w:rsidRPr="00795F17">
        <w:t xml:space="preserve"> </w:t>
      </w:r>
      <w:r w:rsidRPr="00795F17">
        <w:t>w</w:t>
      </w:r>
      <w:r w:rsidR="0057488F" w:rsidRPr="00795F17">
        <w:t xml:space="preserve"> </w:t>
      </w:r>
      <w:r w:rsidRPr="00795F17">
        <w:t>stosunku</w:t>
      </w:r>
      <w:r w:rsidR="0057488F" w:rsidRPr="00795F17">
        <w:t xml:space="preserve"> </w:t>
      </w:r>
      <w:r w:rsidRPr="00795F17">
        <w:t>do</w:t>
      </w:r>
      <w:r w:rsidR="0057488F" w:rsidRPr="00795F17">
        <w:t xml:space="preserve"> </w:t>
      </w:r>
      <w:r w:rsidRPr="00795F17">
        <w:t>40</w:t>
      </w:r>
      <w:r w:rsidR="0057488F" w:rsidRPr="00795F17">
        <w:t xml:space="preserve"> </w:t>
      </w:r>
      <w:r w:rsidR="00DF005E">
        <w:t>JCWP</w:t>
      </w:r>
      <w:r w:rsidR="0057488F" w:rsidRPr="00795F17">
        <w:t xml:space="preserve"> </w:t>
      </w:r>
      <w:r w:rsidRPr="00795F17">
        <w:t>stwierdzono</w:t>
      </w:r>
      <w:r w:rsidR="0057488F" w:rsidRPr="00795F17">
        <w:t xml:space="preserve"> </w:t>
      </w:r>
      <w:r w:rsidRPr="00795F17">
        <w:t>pogorszenie</w:t>
      </w:r>
      <w:r w:rsidR="0057488F" w:rsidRPr="00795F17">
        <w:t xml:space="preserve"> </w:t>
      </w:r>
      <w:r w:rsidRPr="00795F17">
        <w:t>się</w:t>
      </w:r>
      <w:r w:rsidR="0057488F" w:rsidRPr="00795F17">
        <w:t xml:space="preserve"> </w:t>
      </w:r>
      <w:r w:rsidRPr="00795F17">
        <w:t>stanu</w:t>
      </w:r>
      <w:r w:rsidR="0057488F" w:rsidRPr="00795F17">
        <w:t xml:space="preserve"> </w:t>
      </w:r>
      <w:r w:rsidRPr="00795F17">
        <w:t>chemicznego.</w:t>
      </w:r>
      <w:r w:rsidR="0057488F" w:rsidRPr="00795F17">
        <w:t xml:space="preserve"> </w:t>
      </w:r>
      <w:r w:rsidRPr="00795F17">
        <w:t>Dla</w:t>
      </w:r>
      <w:r w:rsidR="0057488F" w:rsidRPr="00795F17">
        <w:t xml:space="preserve"> </w:t>
      </w:r>
      <w:r w:rsidRPr="00795F17">
        <w:t>trzech</w:t>
      </w:r>
      <w:r w:rsidR="0057488F" w:rsidRPr="00795F17">
        <w:t xml:space="preserve"> </w:t>
      </w:r>
      <w:r w:rsidR="00DF005E">
        <w:t>JCWP</w:t>
      </w:r>
      <w:r w:rsidR="0057488F" w:rsidRPr="00795F17">
        <w:t xml:space="preserve"> </w:t>
      </w:r>
      <w:r w:rsidRPr="00795F17">
        <w:t>wykazano</w:t>
      </w:r>
      <w:r w:rsidR="0057488F" w:rsidRPr="00795F17">
        <w:t xml:space="preserve"> </w:t>
      </w:r>
      <w:r w:rsidRPr="00795F17">
        <w:t>poprawę</w:t>
      </w:r>
      <w:r w:rsidR="0057488F" w:rsidRPr="00795F17">
        <w:t xml:space="preserve"> </w:t>
      </w:r>
      <w:r w:rsidRPr="00795F17">
        <w:t>stanu</w:t>
      </w:r>
      <w:r w:rsidR="0057488F" w:rsidRPr="00795F17">
        <w:t xml:space="preserve"> </w:t>
      </w:r>
      <w:r w:rsidRPr="00795F17">
        <w:t>w</w:t>
      </w:r>
      <w:r w:rsidR="0057488F" w:rsidRPr="00795F17">
        <w:t xml:space="preserve"> </w:t>
      </w:r>
      <w:r w:rsidRPr="00795F17">
        <w:t>zakresie</w:t>
      </w:r>
      <w:r w:rsidR="0057488F" w:rsidRPr="00795F17">
        <w:t xml:space="preserve"> </w:t>
      </w:r>
      <w:r w:rsidRPr="00795F17">
        <w:t>substancji</w:t>
      </w:r>
      <w:r w:rsidR="0057488F" w:rsidRPr="00795F17">
        <w:t xml:space="preserve"> </w:t>
      </w:r>
      <w:r w:rsidRPr="00795F17">
        <w:t>priorytetowych</w:t>
      </w:r>
      <w:r w:rsidR="0057488F" w:rsidRPr="00795F17">
        <w:t xml:space="preserve"> </w:t>
      </w:r>
      <w:r w:rsidRPr="00795F17">
        <w:t>oraz</w:t>
      </w:r>
      <w:r w:rsidR="0057488F" w:rsidRPr="00795F17">
        <w:t xml:space="preserve"> </w:t>
      </w:r>
      <w:r w:rsidRPr="00795F17">
        <w:t>pozostałych</w:t>
      </w:r>
      <w:r w:rsidR="0057488F" w:rsidRPr="00795F17">
        <w:t xml:space="preserve"> </w:t>
      </w:r>
      <w:r w:rsidRPr="00795F17">
        <w:t>substancji</w:t>
      </w:r>
      <w:r w:rsidR="0057488F" w:rsidRPr="00795F17">
        <w:t xml:space="preserve"> </w:t>
      </w:r>
      <w:r w:rsidRPr="00795F17">
        <w:t>zanieczyszczających.</w:t>
      </w:r>
      <w:r w:rsidR="0057488F" w:rsidRPr="00795F17">
        <w:t xml:space="preserve"> </w:t>
      </w:r>
      <w:r w:rsidRPr="00795F17">
        <w:t>Przyczyny</w:t>
      </w:r>
      <w:r w:rsidR="0057488F" w:rsidRPr="00795F17">
        <w:t xml:space="preserve"> </w:t>
      </w:r>
      <w:r w:rsidRPr="00795F17">
        <w:t>nieosiągnięcia</w:t>
      </w:r>
      <w:r w:rsidR="0057488F" w:rsidRPr="00795F17">
        <w:t xml:space="preserve"> </w:t>
      </w:r>
      <w:r w:rsidRPr="00795F17">
        <w:t>celu</w:t>
      </w:r>
      <w:r w:rsidR="0057488F" w:rsidRPr="00795F17">
        <w:t xml:space="preserve"> </w:t>
      </w:r>
      <w:r w:rsidRPr="00795F17">
        <w:t>środowiskowego</w:t>
      </w:r>
      <w:r w:rsidR="0057488F" w:rsidRPr="00795F17">
        <w:t xml:space="preserve"> </w:t>
      </w:r>
      <w:r w:rsidRPr="00795F17">
        <w:t>wyznaczonego</w:t>
      </w:r>
      <w:r w:rsidR="0057488F" w:rsidRPr="00795F17">
        <w:t xml:space="preserve"> </w:t>
      </w:r>
      <w:r w:rsidRPr="00795F17">
        <w:t>w</w:t>
      </w:r>
      <w:r w:rsidR="0057488F" w:rsidRPr="00795F17">
        <w:t xml:space="preserve"> </w:t>
      </w:r>
      <w:r w:rsidRPr="00795F17">
        <w:t>aPGW</w:t>
      </w:r>
      <w:r w:rsidR="0057488F" w:rsidRPr="00795F17">
        <w:t xml:space="preserve"> </w:t>
      </w:r>
      <w:r w:rsidRPr="00795F17">
        <w:t>są</w:t>
      </w:r>
      <w:r w:rsidR="0057488F" w:rsidRPr="00795F17">
        <w:t xml:space="preserve"> </w:t>
      </w:r>
      <w:r w:rsidRPr="00795F17">
        <w:t>związane</w:t>
      </w:r>
      <w:r w:rsidR="0057488F" w:rsidRPr="00795F17">
        <w:t xml:space="preserve"> </w:t>
      </w:r>
      <w:r w:rsidRPr="00795F17">
        <w:t>przede</w:t>
      </w:r>
      <w:r w:rsidR="0057488F" w:rsidRPr="00795F17">
        <w:t xml:space="preserve"> </w:t>
      </w:r>
      <w:r w:rsidRPr="00795F17">
        <w:t>wszystkim</w:t>
      </w:r>
      <w:r w:rsidR="0057488F" w:rsidRPr="00795F17">
        <w:t xml:space="preserve"> </w:t>
      </w:r>
      <w:r w:rsidRPr="00795F17">
        <w:t>z</w:t>
      </w:r>
      <w:r w:rsidR="0057488F" w:rsidRPr="00795F17">
        <w:t xml:space="preserve"> </w:t>
      </w:r>
      <w:r w:rsidRPr="00795F17">
        <w:t>dopływem</w:t>
      </w:r>
      <w:r w:rsidR="0057488F" w:rsidRPr="00795F17">
        <w:t xml:space="preserve"> </w:t>
      </w:r>
      <w:r w:rsidRPr="00795F17">
        <w:t>zanieczyszczeń</w:t>
      </w:r>
      <w:r w:rsidR="0057488F" w:rsidRPr="00795F17">
        <w:t xml:space="preserve"> </w:t>
      </w:r>
      <w:r w:rsidRPr="00795F17">
        <w:t>antropogenicznych,</w:t>
      </w:r>
      <w:r w:rsidR="0057488F" w:rsidRPr="00795F17">
        <w:t xml:space="preserve"> </w:t>
      </w:r>
      <w:r w:rsidRPr="00795F17">
        <w:t>co</w:t>
      </w:r>
      <w:r w:rsidR="0057488F" w:rsidRPr="00795F17">
        <w:t xml:space="preserve"> </w:t>
      </w:r>
      <w:r w:rsidRPr="00795F17">
        <w:t>zostało</w:t>
      </w:r>
      <w:r w:rsidR="0057488F" w:rsidRPr="00795F17">
        <w:t xml:space="preserve"> </w:t>
      </w:r>
      <w:r w:rsidRPr="00795F17">
        <w:t>przedstawione</w:t>
      </w:r>
      <w:r w:rsidR="0057488F" w:rsidRPr="00795F17">
        <w:t xml:space="preserve"> </w:t>
      </w:r>
      <w:r w:rsidRPr="00795F17">
        <w:t>w</w:t>
      </w:r>
      <w:r w:rsidR="0057488F" w:rsidRPr="00795F17">
        <w:t xml:space="preserve"> </w:t>
      </w:r>
      <w:r w:rsidRPr="00795F17">
        <w:t>rozdziale</w:t>
      </w:r>
      <w:r w:rsidR="0057488F" w:rsidRPr="00795F17">
        <w:t xml:space="preserve"> </w:t>
      </w:r>
      <w:r w:rsidRPr="00795F17">
        <w:t>7</w:t>
      </w:r>
      <w:r w:rsidR="0057488F" w:rsidRPr="00795F17">
        <w:t xml:space="preserve"> </w:t>
      </w:r>
      <w:r w:rsidRPr="00795F17">
        <w:t>IIaPGW.</w:t>
      </w:r>
      <w:r w:rsidR="0057488F" w:rsidRPr="00795F17">
        <w:t xml:space="preserve"> </w:t>
      </w:r>
      <w:r w:rsidRPr="00795F17">
        <w:t>Ponadto</w:t>
      </w:r>
      <w:r w:rsidR="0057488F" w:rsidRPr="00795F17">
        <w:t xml:space="preserve"> </w:t>
      </w:r>
      <w:r w:rsidRPr="00795F17">
        <w:t>pośrednie</w:t>
      </w:r>
      <w:r w:rsidR="0057488F" w:rsidRPr="00795F17">
        <w:t xml:space="preserve"> </w:t>
      </w:r>
      <w:r w:rsidRPr="00795F17">
        <w:t>przyczyny</w:t>
      </w:r>
      <w:r w:rsidR="0057488F" w:rsidRPr="00795F17">
        <w:t xml:space="preserve"> </w:t>
      </w:r>
      <w:r w:rsidRPr="00795F17">
        <w:t>zostały</w:t>
      </w:r>
      <w:r w:rsidR="0057488F" w:rsidRPr="00795F17">
        <w:t xml:space="preserve"> </w:t>
      </w:r>
      <w:r w:rsidRPr="00795F17">
        <w:t>także</w:t>
      </w:r>
      <w:r w:rsidR="0057488F" w:rsidRPr="00795F17">
        <w:t xml:space="preserve"> </w:t>
      </w:r>
      <w:r w:rsidRPr="00795F17">
        <w:t>wskazane</w:t>
      </w:r>
      <w:r w:rsidR="0057488F" w:rsidRPr="00795F17">
        <w:t xml:space="preserve"> </w:t>
      </w:r>
      <w:r w:rsidRPr="00795F17">
        <w:t>w</w:t>
      </w:r>
      <w:r w:rsidR="0057488F" w:rsidRPr="00795F17">
        <w:t xml:space="preserve"> </w:t>
      </w:r>
      <w:r w:rsidRPr="00795F17">
        <w:t>rozdziale</w:t>
      </w:r>
      <w:r w:rsidR="0057488F" w:rsidRPr="00795F17">
        <w:t xml:space="preserve"> </w:t>
      </w:r>
      <w:r w:rsidRPr="00795F17">
        <w:t>9</w:t>
      </w:r>
      <w:r w:rsidR="0057488F" w:rsidRPr="00795F17">
        <w:t xml:space="preserve"> </w:t>
      </w:r>
      <w:r w:rsidRPr="00795F17">
        <w:t>niniejszego</w:t>
      </w:r>
      <w:r w:rsidR="0057488F" w:rsidRPr="00795F17">
        <w:t xml:space="preserve"> </w:t>
      </w:r>
      <w:r w:rsidRPr="00795F17">
        <w:t>opracowania.</w:t>
      </w:r>
      <w:r w:rsidR="0057488F" w:rsidRPr="00795F17">
        <w:t xml:space="preserve"> </w:t>
      </w:r>
      <w:r w:rsidRPr="00795F17">
        <w:t>W</w:t>
      </w:r>
      <w:r w:rsidR="0057488F" w:rsidRPr="00795F17">
        <w:t xml:space="preserve"> </w:t>
      </w:r>
      <w:r w:rsidRPr="00795F17">
        <w:t>stosunku</w:t>
      </w:r>
      <w:r w:rsidR="0057488F" w:rsidRPr="00795F17">
        <w:t xml:space="preserve"> </w:t>
      </w:r>
      <w:r w:rsidRPr="00795F17">
        <w:t>do</w:t>
      </w:r>
      <w:r w:rsidR="0057488F" w:rsidRPr="00795F17">
        <w:t xml:space="preserve"> </w:t>
      </w:r>
      <w:r w:rsidRPr="00795F17">
        <w:t>21</w:t>
      </w:r>
      <w:r w:rsidR="0057488F" w:rsidRPr="00795F17">
        <w:t xml:space="preserve"> </w:t>
      </w:r>
      <w:r w:rsidR="00DF005E">
        <w:t>JCWP</w:t>
      </w:r>
      <w:r w:rsidR="0057488F" w:rsidRPr="00795F17">
        <w:t xml:space="preserve"> </w:t>
      </w:r>
      <w:r w:rsidRPr="00795F17">
        <w:t>jeziornych</w:t>
      </w:r>
      <w:r w:rsidR="0057488F" w:rsidRPr="00795F17">
        <w:t xml:space="preserve"> </w:t>
      </w:r>
      <w:r w:rsidRPr="00795F17">
        <w:t>nie</w:t>
      </w:r>
      <w:r w:rsidR="0057488F" w:rsidRPr="00795F17">
        <w:t xml:space="preserve"> </w:t>
      </w:r>
      <w:r w:rsidRPr="00795F17">
        <w:t>można</w:t>
      </w:r>
      <w:r w:rsidR="0057488F" w:rsidRPr="00795F17">
        <w:t xml:space="preserve"> </w:t>
      </w:r>
      <w:r w:rsidRPr="00795F17">
        <w:t>wskazać</w:t>
      </w:r>
      <w:r w:rsidR="0057488F" w:rsidRPr="00795F17">
        <w:t xml:space="preserve"> </w:t>
      </w:r>
      <w:r w:rsidRPr="00795F17">
        <w:t>stopnia</w:t>
      </w:r>
      <w:r w:rsidR="0057488F" w:rsidRPr="00795F17">
        <w:t xml:space="preserve"> </w:t>
      </w:r>
      <w:r w:rsidRPr="00795F17">
        <w:t>realizacji</w:t>
      </w:r>
      <w:r w:rsidR="0057488F" w:rsidRPr="00795F17">
        <w:t xml:space="preserve"> </w:t>
      </w:r>
      <w:r w:rsidRPr="00795F17">
        <w:t>celu</w:t>
      </w:r>
      <w:r w:rsidR="0057488F" w:rsidRPr="00795F17">
        <w:t xml:space="preserve"> </w:t>
      </w:r>
      <w:r w:rsidRPr="00795F17">
        <w:t>środowiskowego</w:t>
      </w:r>
      <w:r w:rsidR="0057488F" w:rsidRPr="00795F17">
        <w:t xml:space="preserve"> </w:t>
      </w:r>
      <w:r w:rsidRPr="00795F17">
        <w:t>ze</w:t>
      </w:r>
      <w:r w:rsidR="0057488F" w:rsidRPr="00795F17">
        <w:t xml:space="preserve"> </w:t>
      </w:r>
      <w:r w:rsidRPr="00795F17">
        <w:t>względu</w:t>
      </w:r>
      <w:r w:rsidR="0057488F" w:rsidRPr="00795F17">
        <w:t xml:space="preserve"> </w:t>
      </w:r>
      <w:r w:rsidRPr="00795F17">
        <w:t>na</w:t>
      </w:r>
      <w:r w:rsidR="0057488F" w:rsidRPr="00795F17">
        <w:t xml:space="preserve"> </w:t>
      </w:r>
      <w:r w:rsidRPr="00795F17">
        <w:t>brak</w:t>
      </w:r>
      <w:r w:rsidR="0057488F" w:rsidRPr="00795F17">
        <w:t xml:space="preserve"> </w:t>
      </w:r>
      <w:r w:rsidRPr="00795F17">
        <w:t>wyznaczonego</w:t>
      </w:r>
      <w:r w:rsidR="0057488F" w:rsidRPr="00795F17">
        <w:t xml:space="preserve"> </w:t>
      </w:r>
      <w:r w:rsidRPr="00795F17">
        <w:t>celu</w:t>
      </w:r>
      <w:r w:rsidR="0057488F" w:rsidRPr="00795F17">
        <w:t xml:space="preserve"> </w:t>
      </w:r>
      <w:r w:rsidRPr="00795F17">
        <w:t>środowiskowego</w:t>
      </w:r>
      <w:r w:rsidR="0057488F" w:rsidRPr="00795F17">
        <w:t xml:space="preserve"> </w:t>
      </w:r>
      <w:r w:rsidRPr="00795F17">
        <w:t>(nowa</w:t>
      </w:r>
      <w:r w:rsidR="0057488F" w:rsidRPr="00795F17">
        <w:t xml:space="preserve"> </w:t>
      </w:r>
      <w:r w:rsidR="00DF005E">
        <w:t>JCWP</w:t>
      </w:r>
      <w:r w:rsidRPr="00795F17">
        <w:t>).</w:t>
      </w:r>
    </w:p>
    <w:p w14:paraId="347D4035" w14:textId="0FD5B013" w:rsidR="00A230D1" w:rsidRPr="00795F17" w:rsidRDefault="00A230D1" w:rsidP="0057488F">
      <w:r w:rsidRPr="00795F17">
        <w:t xml:space="preserve">Zgodnie z przeprowadzonymi analizami, w każdym regionie wodnym znajdującym się </w:t>
      </w:r>
      <w:r w:rsidR="00106E4B">
        <w:t>na</w:t>
      </w:r>
      <w:r w:rsidRPr="00795F17">
        <w:t xml:space="preserve"> obszarze dorzecza Odry, stopień osiągnięcia celu środowiskowego w zakresie stanu chemicznego wyniósł poniżej 50%. W przypadku </w:t>
      </w:r>
      <w:r w:rsidR="00DF005E">
        <w:t>JCWP</w:t>
      </w:r>
      <w:r w:rsidRPr="00795F17">
        <w:t xml:space="preserve"> jeziornych cel został osiągnięty w zakresie od 0%</w:t>
      </w:r>
      <w:r w:rsidR="0057488F" w:rsidRPr="00795F17">
        <w:t xml:space="preserve"> (brak osiągniętego celu)</w:t>
      </w:r>
      <w:r w:rsidRPr="00795F17">
        <w:t xml:space="preserve"> w regionie wodnym Górnej Odry do 45% w regionie wodnym Dolnej Odry i Przymorza Zachodniego (</w:t>
      </w:r>
      <w:r w:rsidR="00CA299E" w:rsidRPr="00795F17">
        <w:t>wykres 8-</w:t>
      </w:r>
      <w:r w:rsidR="000B2E42">
        <w:t>9</w:t>
      </w:r>
      <w:r w:rsidRPr="00795F17">
        <w:t xml:space="preserve">). </w:t>
      </w:r>
    </w:p>
    <w:p w14:paraId="44150ACB" w14:textId="4131DC0C" w:rsidR="00A230D1" w:rsidRPr="00795F17" w:rsidRDefault="00A230D1" w:rsidP="0057488F">
      <w:r w:rsidRPr="00795F17">
        <w:t xml:space="preserve">Powyższe dane w przeliczeniu na wszystkie 427 </w:t>
      </w:r>
      <w:r w:rsidR="00DF005E">
        <w:t>JCWP</w:t>
      </w:r>
      <w:r w:rsidRPr="00795F17">
        <w:t xml:space="preserve"> jeziorne zlokalizowane na obszarze dorzecza Odry przedstawiono na</w:t>
      </w:r>
      <w:r w:rsidR="008C3122" w:rsidRPr="00795F17">
        <w:t xml:space="preserve"> poniższym</w:t>
      </w:r>
      <w:r w:rsidRPr="00795F17">
        <w:t xml:space="preserve"> </w:t>
      </w:r>
      <w:r w:rsidR="00CA299E" w:rsidRPr="00795F17">
        <w:t>wykres</w:t>
      </w:r>
      <w:r w:rsidR="004F530E" w:rsidRPr="00795F17">
        <w:t>ie</w:t>
      </w:r>
      <w:r w:rsidR="008C3122" w:rsidRPr="00795F17">
        <w:t xml:space="preserve"> (wykres </w:t>
      </w:r>
      <w:r w:rsidR="004F530E" w:rsidRPr="00795F17">
        <w:t>8-</w:t>
      </w:r>
      <w:r w:rsidR="000B2E42">
        <w:t>9</w:t>
      </w:r>
      <w:r w:rsidR="008C3122" w:rsidRPr="00795F17">
        <w:t>)</w:t>
      </w:r>
      <w:r w:rsidRPr="00795F17">
        <w:t>.</w:t>
      </w:r>
    </w:p>
    <w:p w14:paraId="78CFA404" w14:textId="00EF93E4" w:rsidR="0070732C" w:rsidRPr="00795F17" w:rsidRDefault="00A95ADF" w:rsidP="001C46F7">
      <w:pPr>
        <w:jc w:val="center"/>
      </w:pPr>
      <w:r>
        <w:rPr>
          <w:noProof/>
        </w:rPr>
        <w:drawing>
          <wp:inline distT="0" distB="0" distL="0" distR="0" wp14:anchorId="5B8314AB" wp14:editId="29713807">
            <wp:extent cx="5368675" cy="3664585"/>
            <wp:effectExtent l="0" t="0" r="3810" b="12065"/>
            <wp:docPr id="64" name="Wykres 64">
              <a:extLst xmlns:a="http://schemas.openxmlformats.org/drawingml/2006/main">
                <a:ext uri="{FF2B5EF4-FFF2-40B4-BE49-F238E27FC236}">
                  <a16:creationId xmlns:a16="http://schemas.microsoft.com/office/drawing/2014/main" id="{00000000-0008-0000-0200-000007000000}"/>
                </a:ext>
                <a:ext uri="{147F2762-F138-4A5C-976F-8EAC2B608ADB}">
                  <a16:predDERef xmlns:a16="http://schemas.microsoft.com/office/drawing/2014/main" pred="{13955FA9-3DAA-4348-B5B1-8EFF136AC0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3C956396" w14:textId="03A67256" w:rsidR="00B47726" w:rsidRPr="00795F17" w:rsidRDefault="0070732C" w:rsidP="00B479EE">
      <w:pPr>
        <w:pStyle w:val="Wykres"/>
      </w:pPr>
      <w:bookmarkStart w:id="412" w:name="_Toc105512998"/>
      <w:r w:rsidRPr="00795F17">
        <w:t xml:space="preserve">Wykres </w:t>
      </w:r>
      <w:fldSimple w:instr=" STYLEREF 1 \s ">
        <w:r w:rsidR="001F774D">
          <w:rPr>
            <w:noProof/>
          </w:rPr>
          <w:t>8</w:t>
        </w:r>
      </w:fldSimple>
      <w:r w:rsidR="00FF20D3">
        <w:noBreakHyphen/>
      </w:r>
      <w:fldSimple w:instr=" SEQ Wykres \* ARABIC \s 1 ">
        <w:r w:rsidR="001F774D">
          <w:rPr>
            <w:noProof/>
          </w:rPr>
          <w:t>9</w:t>
        </w:r>
      </w:fldSimple>
      <w:r w:rsidR="00A2734E">
        <w:rPr>
          <w:noProof/>
        </w:rPr>
        <w:t>.</w:t>
      </w:r>
      <w:r w:rsidRPr="00795F17">
        <w:tab/>
      </w:r>
      <w:r w:rsidRPr="00795F17">
        <w:rPr>
          <w:lang w:eastAsia="pl-PL"/>
        </w:rPr>
        <w:t xml:space="preserve">Ocena osiągnięcia wyznaczonych w aPGW </w:t>
      </w:r>
      <w:r w:rsidR="00FE0E9B" w:rsidRPr="00795F17">
        <w:rPr>
          <w:lang w:eastAsia="pl-PL"/>
        </w:rPr>
        <w:t>(2016</w:t>
      </w:r>
      <w:r w:rsidR="00814C01">
        <w:rPr>
          <w:lang w:eastAsia="pl-PL"/>
        </w:rPr>
        <w:t>–</w:t>
      </w:r>
      <w:r w:rsidR="00FE0E9B" w:rsidRPr="00795F17">
        <w:rPr>
          <w:lang w:eastAsia="pl-PL"/>
        </w:rPr>
        <w:t xml:space="preserve">2021) </w:t>
      </w:r>
      <w:r w:rsidRPr="00795F17">
        <w:rPr>
          <w:lang w:eastAsia="pl-PL"/>
        </w:rPr>
        <w:t xml:space="preserve">celów środowiskowych w zakresie stanu chemicznego w </w:t>
      </w:r>
      <w:r w:rsidR="00DF005E">
        <w:rPr>
          <w:lang w:eastAsia="pl-PL"/>
        </w:rPr>
        <w:t>JCWP</w:t>
      </w:r>
      <w:r w:rsidRPr="00795F17">
        <w:rPr>
          <w:lang w:eastAsia="pl-PL"/>
        </w:rPr>
        <w:t xml:space="preserve"> </w:t>
      </w:r>
      <w:r w:rsidR="005977AF" w:rsidRPr="00795F17">
        <w:rPr>
          <w:lang w:eastAsia="pl-PL"/>
        </w:rPr>
        <w:t>LW</w:t>
      </w:r>
      <w:r w:rsidRPr="00795F17">
        <w:rPr>
          <w:lang w:eastAsia="pl-PL"/>
        </w:rPr>
        <w:t xml:space="preserve"> na obszarze dorzecza Odry oraz w</w:t>
      </w:r>
      <w:r w:rsidR="005977AF" w:rsidRPr="00795F17">
        <w:rPr>
          <w:lang w:eastAsia="pl-PL"/>
        </w:rPr>
        <w:t> </w:t>
      </w:r>
      <w:r w:rsidRPr="00795F17">
        <w:rPr>
          <w:lang w:eastAsia="pl-PL"/>
        </w:rPr>
        <w:t xml:space="preserve">poszczególnych regionach wodnych tego </w:t>
      </w:r>
      <w:r w:rsidR="00807298" w:rsidRPr="00795F17">
        <w:rPr>
          <w:lang w:eastAsia="pl-PL"/>
        </w:rPr>
        <w:t xml:space="preserve">obszaru </w:t>
      </w:r>
      <w:r w:rsidRPr="00795F17">
        <w:rPr>
          <w:lang w:eastAsia="pl-PL"/>
        </w:rPr>
        <w:t>dorzecza w oparciu o nowy układ jednostek planistycznych</w:t>
      </w:r>
      <w:bookmarkEnd w:id="412"/>
    </w:p>
    <w:p w14:paraId="417887B0" w14:textId="772B2268" w:rsidR="00A230D1" w:rsidRPr="00795F17" w:rsidRDefault="00A230D1" w:rsidP="0044393D">
      <w:pPr>
        <w:pStyle w:val="rdo"/>
      </w:pPr>
      <w:r w:rsidRPr="00795F17">
        <w:t>Źródło:</w:t>
      </w:r>
      <w:r w:rsidR="00AD5CB7" w:rsidRPr="00795F17">
        <w:t xml:space="preserve"> </w:t>
      </w:r>
      <w:r w:rsidR="00BF2B94" w:rsidRPr="00795F17">
        <w:t>opracowanie własne na podstawie danych GIOŚ</w:t>
      </w:r>
    </w:p>
    <w:p w14:paraId="6555ED2C" w14:textId="3D324AF2" w:rsidR="00A230D1" w:rsidRPr="00795F17" w:rsidRDefault="00A230D1" w:rsidP="0044393D">
      <w:r w:rsidRPr="00795F17">
        <w:t xml:space="preserve">Połączenie wyników analizy osiągnięcia celów środowiskowych przez stan ekologiczny i stan chemiczny w odniesieniu do wszystkich 427 </w:t>
      </w:r>
      <w:r w:rsidR="00DF005E">
        <w:t>JCWP</w:t>
      </w:r>
      <w:r w:rsidRPr="00795F17">
        <w:t xml:space="preserve"> znajdujących się </w:t>
      </w:r>
      <w:r w:rsidR="00594EA3">
        <w:t>na</w:t>
      </w:r>
      <w:r w:rsidR="00807298" w:rsidRPr="00795F17">
        <w:t xml:space="preserve"> obszarze</w:t>
      </w:r>
      <w:r w:rsidRPr="00795F17">
        <w:t xml:space="preserve"> dorzecz</w:t>
      </w:r>
      <w:r w:rsidR="00807298" w:rsidRPr="00795F17">
        <w:t xml:space="preserve">a </w:t>
      </w:r>
      <w:r w:rsidRPr="00795F17">
        <w:t xml:space="preserve">Odry umożliwiło </w:t>
      </w:r>
      <w:r w:rsidR="00E10751" w:rsidRPr="00795F17">
        <w:t>ocenę osiągnięcia celów środowiskowych w zakresie</w:t>
      </w:r>
      <w:r w:rsidRPr="00795F17">
        <w:t xml:space="preserve"> stanu ogólnego (</w:t>
      </w:r>
      <w:r w:rsidR="004F530E" w:rsidRPr="00795F17">
        <w:t>wykres 8-</w:t>
      </w:r>
      <w:r w:rsidR="000B2E42" w:rsidRPr="00795F17">
        <w:t>1</w:t>
      </w:r>
      <w:r w:rsidR="000B2E42">
        <w:t>0</w:t>
      </w:r>
      <w:r w:rsidRPr="00795F17">
        <w:t>):</w:t>
      </w:r>
    </w:p>
    <w:p w14:paraId="2C78A20D" w14:textId="2B110DE8" w:rsidR="00A230D1" w:rsidRPr="00795F17" w:rsidRDefault="00A230D1" w:rsidP="00117E86">
      <w:pPr>
        <w:pStyle w:val="Listapunktowana2"/>
      </w:pPr>
      <w:r w:rsidRPr="00795F17">
        <w:t xml:space="preserve">34 </w:t>
      </w:r>
      <w:r w:rsidR="00DF005E">
        <w:t>JCWP</w:t>
      </w:r>
      <w:r w:rsidRPr="00795F17">
        <w:t xml:space="preserve"> (8%) spełniło cel środowiskowy w zakresie wymagań dotyczących zarówno stanu ekologicznego jak i chemicznego, a więc stan wód został w nich określony jako dobry;</w:t>
      </w:r>
    </w:p>
    <w:p w14:paraId="2AEDAA3C" w14:textId="22CEBFFA" w:rsidR="00A230D1" w:rsidRPr="00795F17" w:rsidRDefault="00A230D1" w:rsidP="00117E86">
      <w:pPr>
        <w:pStyle w:val="Listapunktowana2"/>
      </w:pPr>
      <w:r w:rsidRPr="00795F17">
        <w:t xml:space="preserve">346 </w:t>
      </w:r>
      <w:r w:rsidR="00DF005E">
        <w:t>JCWP</w:t>
      </w:r>
      <w:r w:rsidRPr="00795F17">
        <w:t xml:space="preserve"> (81%) nie spełniło celów dla stanu ogólnego;</w:t>
      </w:r>
    </w:p>
    <w:p w14:paraId="7AA88DA5" w14:textId="68379F05" w:rsidR="00A230D1" w:rsidRPr="00795F17" w:rsidRDefault="003C670D" w:rsidP="00117E86">
      <w:pPr>
        <w:pStyle w:val="Listapunktowana2"/>
      </w:pPr>
      <w:r>
        <w:t>w</w:t>
      </w:r>
      <w:r w:rsidR="00A230D1" w:rsidRPr="00795F17">
        <w:t xml:space="preserve"> stosunku do 47 </w:t>
      </w:r>
      <w:r w:rsidR="00DF005E">
        <w:t>JCWP</w:t>
      </w:r>
      <w:r w:rsidR="00A230D1" w:rsidRPr="00795F17">
        <w:t xml:space="preserve"> (11%) brak danych uniemożliwił ocenę osiągnięcia celów środowiskowych w zakresie stanu ogólnego.</w:t>
      </w:r>
    </w:p>
    <w:p w14:paraId="25E24991" w14:textId="116C2EA1" w:rsidR="0070732C" w:rsidRPr="00795F17" w:rsidRDefault="005977AF" w:rsidP="005842B5">
      <w:r w:rsidRPr="00795F17">
        <w:rPr>
          <w:noProof/>
          <w:lang w:eastAsia="pl-PL"/>
        </w:rPr>
        <w:drawing>
          <wp:inline distT="0" distB="0" distL="0" distR="0" wp14:anchorId="7E459FFD" wp14:editId="28276815">
            <wp:extent cx="5760000" cy="3600000"/>
            <wp:effectExtent l="0" t="0" r="12700" b="635"/>
            <wp:docPr id="1692861444" name="Wykres 1692861444">
              <a:extLst xmlns:a="http://schemas.openxmlformats.org/drawingml/2006/main">
                <a:ext uri="{FF2B5EF4-FFF2-40B4-BE49-F238E27FC236}">
                  <a16:creationId xmlns:a16="http://schemas.microsoft.com/office/drawing/2014/main" id="{00000000-0008-0000-06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81B1F7E" w14:textId="237CF21C" w:rsidR="00B47726" w:rsidRPr="00795F17" w:rsidRDefault="0070732C" w:rsidP="00B479EE">
      <w:pPr>
        <w:pStyle w:val="Wykres"/>
      </w:pPr>
      <w:bookmarkStart w:id="413" w:name="_Toc105512999"/>
      <w:r w:rsidRPr="00795F17">
        <w:t xml:space="preserve">Wykres </w:t>
      </w:r>
      <w:fldSimple w:instr=" STYLEREF 1 \s ">
        <w:r w:rsidR="001F774D">
          <w:rPr>
            <w:noProof/>
          </w:rPr>
          <w:t>8</w:t>
        </w:r>
      </w:fldSimple>
      <w:r w:rsidR="00FF20D3">
        <w:noBreakHyphen/>
      </w:r>
      <w:fldSimple w:instr=" SEQ Wykres \* ARABIC \s 1 ">
        <w:r w:rsidR="001F774D">
          <w:rPr>
            <w:noProof/>
          </w:rPr>
          <w:t>10</w:t>
        </w:r>
      </w:fldSimple>
      <w:r w:rsidR="00A2734E">
        <w:rPr>
          <w:noProof/>
        </w:rPr>
        <w:t>.</w:t>
      </w:r>
      <w:r w:rsidRPr="00795F17">
        <w:tab/>
      </w:r>
      <w:r w:rsidRPr="00795F17">
        <w:rPr>
          <w:lang w:eastAsia="pl-PL"/>
        </w:rPr>
        <w:t xml:space="preserve">Ocena osiągnięcia wyznaczonych w aPGW </w:t>
      </w:r>
      <w:r w:rsidR="00FE0E9B" w:rsidRPr="00795F17">
        <w:rPr>
          <w:lang w:eastAsia="pl-PL"/>
        </w:rPr>
        <w:t>(2016</w:t>
      </w:r>
      <w:r w:rsidR="00814C01">
        <w:rPr>
          <w:lang w:eastAsia="pl-PL"/>
        </w:rPr>
        <w:t>–</w:t>
      </w:r>
      <w:r w:rsidR="00FE0E9B" w:rsidRPr="00795F17">
        <w:rPr>
          <w:lang w:eastAsia="pl-PL"/>
        </w:rPr>
        <w:t xml:space="preserve">2021) </w:t>
      </w:r>
      <w:r w:rsidRPr="00795F17">
        <w:rPr>
          <w:lang w:eastAsia="pl-PL"/>
        </w:rPr>
        <w:t xml:space="preserve">celów środowiskowych w zakresie stanu ogólnego w </w:t>
      </w:r>
      <w:r w:rsidR="00DF005E">
        <w:rPr>
          <w:lang w:eastAsia="pl-PL"/>
        </w:rPr>
        <w:t>JCWP</w:t>
      </w:r>
      <w:r w:rsidRPr="00795F17">
        <w:rPr>
          <w:lang w:eastAsia="pl-PL"/>
        </w:rPr>
        <w:t xml:space="preserve"> </w:t>
      </w:r>
      <w:r w:rsidR="005977AF" w:rsidRPr="00795F17">
        <w:rPr>
          <w:lang w:eastAsia="pl-PL"/>
        </w:rPr>
        <w:t>LW</w:t>
      </w:r>
      <w:r w:rsidRPr="00795F17">
        <w:rPr>
          <w:lang w:eastAsia="pl-PL"/>
        </w:rPr>
        <w:t xml:space="preserve"> na obszarze dorzecza Odry w oparciu o nowy układ jednostek planistycznych</w:t>
      </w:r>
      <w:bookmarkEnd w:id="413"/>
    </w:p>
    <w:p w14:paraId="292C3316" w14:textId="77B07F0D" w:rsidR="00A230D1" w:rsidRPr="00795F17" w:rsidRDefault="00A230D1" w:rsidP="0044393D">
      <w:pPr>
        <w:pStyle w:val="rdo"/>
      </w:pPr>
      <w:r w:rsidRPr="00795F17">
        <w:t>Źródło:</w:t>
      </w:r>
      <w:r w:rsidR="00AD5CB7" w:rsidRPr="00795F17">
        <w:t xml:space="preserve"> </w:t>
      </w:r>
      <w:r w:rsidR="00BF2B94" w:rsidRPr="00795F17">
        <w:t>opracowanie własne na podstawie danych GIOŚ</w:t>
      </w:r>
    </w:p>
    <w:p w14:paraId="1FB08A84" w14:textId="191DEA88" w:rsidR="00A230D1" w:rsidRPr="00795F17" w:rsidRDefault="00A230D1" w:rsidP="0044393D">
      <w:r w:rsidRPr="00795F17">
        <w:t xml:space="preserve">Informacje dotyczące celów środowiskowych ustalonych dla poszczególnych </w:t>
      </w:r>
      <w:r w:rsidR="00DF005E">
        <w:t>JCWP</w:t>
      </w:r>
      <w:r w:rsidRPr="00795F17">
        <w:t xml:space="preserve"> LW wraz</w:t>
      </w:r>
      <w:r w:rsidR="00A165DC">
        <w:t> </w:t>
      </w:r>
      <w:r w:rsidRPr="00795F17">
        <w:t>ze</w:t>
      </w:r>
      <w:r w:rsidR="00FA195F" w:rsidRPr="00795F17">
        <w:t> </w:t>
      </w:r>
      <w:r w:rsidRPr="00795F17">
        <w:t xml:space="preserve">wskazaniem </w:t>
      </w:r>
      <w:r w:rsidR="00DF005E">
        <w:t>JCWP</w:t>
      </w:r>
      <w:r w:rsidRPr="00795F17">
        <w:t xml:space="preserve"> LW z ustanowionymi odstępstwami od osiągnięcia celów środowiskowych stanowią element załącznika nr 1 (Zestawienie główne). Załącznik nr 1 przedstawia również </w:t>
      </w:r>
      <w:r w:rsidR="00E77BA3" w:rsidRPr="00795F17">
        <w:t xml:space="preserve">wskazanie </w:t>
      </w:r>
      <w:r w:rsidR="00DF005E">
        <w:t>JCWP</w:t>
      </w:r>
      <w:r w:rsidR="00E77BA3" w:rsidRPr="00795F17">
        <w:t xml:space="preserve"> do</w:t>
      </w:r>
      <w:r w:rsidRPr="00795F17">
        <w:t xml:space="preserve"> odstępstw z art. 4 RDW.</w:t>
      </w:r>
    </w:p>
    <w:p w14:paraId="500655EB" w14:textId="4E5B061B" w:rsidR="00CC6FA5" w:rsidRPr="00795F17" w:rsidRDefault="00CC6FA5" w:rsidP="0044393D">
      <w:r w:rsidRPr="00795F17">
        <w:t xml:space="preserve">Ocenę stopnia </w:t>
      </w:r>
      <w:r w:rsidR="00C812D8" w:rsidRPr="00795F17">
        <w:t>osiągnięcia</w:t>
      </w:r>
      <w:r w:rsidRPr="00795F17">
        <w:t xml:space="preserve"> celów środowiskowych </w:t>
      </w:r>
      <w:r w:rsidR="00DF005E">
        <w:t>JCWP</w:t>
      </w:r>
      <w:r w:rsidRPr="00795F17">
        <w:t xml:space="preserve"> LW przedstawiono w załączniku nr </w:t>
      </w:r>
      <w:r w:rsidR="00617195">
        <w:t>7</w:t>
      </w:r>
      <w:r w:rsidR="009B7C75" w:rsidRPr="00795F17">
        <w:t xml:space="preserve"> (Ocena </w:t>
      </w:r>
      <w:r w:rsidR="00BA7C41" w:rsidRPr="00795F17">
        <w:t>osiągnięci</w:t>
      </w:r>
      <w:r w:rsidR="009B7C75" w:rsidRPr="00795F17">
        <w:t xml:space="preserve">a celów środowiskowych </w:t>
      </w:r>
      <w:r w:rsidR="00DF005E">
        <w:t>JCWP</w:t>
      </w:r>
      <w:r w:rsidR="009B7C75" w:rsidRPr="00795F17">
        <w:t>).</w:t>
      </w:r>
    </w:p>
    <w:p w14:paraId="52BEBFC8" w14:textId="2668CAC1" w:rsidR="00A230D1" w:rsidRPr="00795F17" w:rsidRDefault="00A230D1" w:rsidP="00C53C86">
      <w:pPr>
        <w:pStyle w:val="Nagwek3"/>
      </w:pPr>
      <w:bookmarkStart w:id="414" w:name="_Toc105512659"/>
      <w:r w:rsidRPr="00795F17">
        <w:t xml:space="preserve">Ocena osiągnięcia celów środowiskowych </w:t>
      </w:r>
      <w:r w:rsidR="00DF005E">
        <w:t>JCWP</w:t>
      </w:r>
      <w:r w:rsidRPr="00795F17">
        <w:t xml:space="preserve"> TW i CW</w:t>
      </w:r>
      <w:bookmarkEnd w:id="414"/>
    </w:p>
    <w:p w14:paraId="7AD04B55" w14:textId="3A923FF0" w:rsidR="00A230D1" w:rsidRPr="00795F17" w:rsidRDefault="00A230D1" w:rsidP="0044393D">
      <w:r w:rsidRPr="00795F17">
        <w:t xml:space="preserve">Celem środowiskowym dla </w:t>
      </w:r>
      <w:r w:rsidR="00DF005E">
        <w:t>JCWP</w:t>
      </w:r>
      <w:r w:rsidRPr="00795F17">
        <w:t xml:space="preserve"> TW i CW </w:t>
      </w:r>
      <w:r w:rsidR="001E3676">
        <w:t>na</w:t>
      </w:r>
      <w:r w:rsidRPr="00795F17">
        <w:t xml:space="preserve"> obszarze dorzecza </w:t>
      </w:r>
      <w:r w:rsidR="00E77BA3" w:rsidRPr="00795F17">
        <w:t>Odry</w:t>
      </w:r>
      <w:r w:rsidRPr="00795F17">
        <w:t xml:space="preserve"> jest osiągnięcie dobrego stanu ekologicznego oraz dobrego stanu chemicznego. </w:t>
      </w:r>
      <w:r w:rsidR="00D31D04">
        <w:t>N</w:t>
      </w:r>
      <w:r w:rsidRPr="00795F17">
        <w:t xml:space="preserve">a wszystkich </w:t>
      </w:r>
      <w:r w:rsidR="00DF005E">
        <w:t>JCWP</w:t>
      </w:r>
      <w:r w:rsidRPr="00795F17">
        <w:t xml:space="preserve"> TW i CW ustanowiono obszary chronione </w:t>
      </w:r>
      <w:r w:rsidR="00814C01">
        <w:t>–</w:t>
      </w:r>
      <w:r w:rsidRPr="00795F17">
        <w:t xml:space="preserve"> wynikające z przeznaczenia </w:t>
      </w:r>
      <w:r w:rsidR="00DF005E">
        <w:t>JCWP</w:t>
      </w:r>
      <w:r w:rsidRPr="00795F17">
        <w:t xml:space="preserve"> do celów rekreacyjnych, w tym kąpieliskowych oraz</w:t>
      </w:r>
      <w:r w:rsidR="008776F1">
        <w:t> </w:t>
      </w:r>
      <w:r w:rsidRPr="00795F17">
        <w:t>przeznaczonych do ochrony siedlisk lub gatunków</w:t>
      </w:r>
      <w:r w:rsidR="00EC31EB">
        <w:t xml:space="preserve"> </w:t>
      </w:r>
      <w:r w:rsidR="00EC31EB" w:rsidRPr="001C6219">
        <w:rPr>
          <w:rFonts w:asciiTheme="minorHAnsi" w:hAnsiTheme="minorHAnsi" w:cstheme="minorHAnsi"/>
          <w:shd w:val="clear" w:color="auto" w:fill="FFFFFF"/>
        </w:rPr>
        <w:t xml:space="preserve">o których mowa w przepisach </w:t>
      </w:r>
      <w:r w:rsidR="00EF062F">
        <w:rPr>
          <w:rFonts w:asciiTheme="minorHAnsi" w:hAnsiTheme="minorHAnsi" w:cstheme="minorHAnsi"/>
          <w:shd w:val="clear" w:color="auto" w:fill="FFFFFF"/>
        </w:rPr>
        <w:t>u.o.p.</w:t>
      </w:r>
      <w:r w:rsidR="00D57849" w:rsidRPr="001C6219">
        <w:rPr>
          <w:rFonts w:asciiTheme="minorHAnsi" w:hAnsiTheme="minorHAnsi" w:cstheme="minorHAnsi"/>
          <w:shd w:val="clear" w:color="auto" w:fill="FFFFFF"/>
        </w:rPr>
        <w:t>.</w:t>
      </w:r>
      <w:r w:rsidRPr="00795F17">
        <w:t xml:space="preserve"> Aktualnie, stan ekologiczny i chemiczny wszystkich </w:t>
      </w:r>
      <w:r w:rsidR="00DF005E">
        <w:t>JCWP</w:t>
      </w:r>
      <w:r w:rsidRPr="00795F17">
        <w:t xml:space="preserve"> jest, odpowiednio, umiarkowany lub zły oraz poniżej dobrego. W</w:t>
      </w:r>
      <w:r w:rsidR="0070732C" w:rsidRPr="00795F17">
        <w:t> </w:t>
      </w:r>
      <w:r w:rsidRPr="00795F17">
        <w:t xml:space="preserve">granicach </w:t>
      </w:r>
      <w:r w:rsidR="00DF005E">
        <w:t>JCWP</w:t>
      </w:r>
      <w:r w:rsidRPr="00795F17">
        <w:t xml:space="preserve"> TW i</w:t>
      </w:r>
      <w:r w:rsidR="00A165DC">
        <w:t> </w:t>
      </w:r>
      <w:r w:rsidRPr="00795F17">
        <w:t>CW nie wyznaczono obszarów chronionych do poboru wody na potrzeby zaopatrzenia ludności w</w:t>
      </w:r>
      <w:r w:rsidR="00A165DC">
        <w:t> </w:t>
      </w:r>
      <w:r w:rsidRPr="00795F17">
        <w:t xml:space="preserve">wodę przeznaczoną do spożycia. </w:t>
      </w:r>
    </w:p>
    <w:p w14:paraId="23E70526" w14:textId="13865AA9" w:rsidR="00A230D1" w:rsidRPr="00795F17" w:rsidRDefault="00A230D1" w:rsidP="0044393D">
      <w:r w:rsidRPr="00795F17">
        <w:t>Ocena stopnia osiągnięcia celów środowiskowych dokonana została na podstawie analizy elementów fizykochemicznych, chemicznych, biologicznych i hydromorfologicznych, przeprowadzonej na</w:t>
      </w:r>
      <w:r w:rsidR="00FA195F" w:rsidRPr="00795F17">
        <w:t> </w:t>
      </w:r>
      <w:r w:rsidRPr="00795F17">
        <w:t>podstawie wyników monitoringu prowadzonego przez GIOŚ potwierdziła niezadawalający stan elementów warunkujących stan ekologiczny i chemiczny.</w:t>
      </w:r>
      <w:r w:rsidR="007130B4">
        <w:t xml:space="preserve"> Tabelaryczne podsumowanie oceny o</w:t>
      </w:r>
      <w:r w:rsidR="007130B4" w:rsidRPr="00EB64B4">
        <w:t xml:space="preserve">siągnięcia celów środowiskowych </w:t>
      </w:r>
      <w:r w:rsidR="00DF005E">
        <w:t>JCWP</w:t>
      </w:r>
      <w:r w:rsidR="007130B4">
        <w:t xml:space="preserve"> przedstawia załącznik nr </w:t>
      </w:r>
      <w:r w:rsidR="00617195">
        <w:t>7</w:t>
      </w:r>
      <w:r w:rsidR="004471A6">
        <w:t xml:space="preserve"> (Ocena osiągnięcia </w:t>
      </w:r>
      <w:r w:rsidR="00A6759B">
        <w:t xml:space="preserve">celów środowiskowych </w:t>
      </w:r>
      <w:r w:rsidR="00DF005E">
        <w:t>JCWP</w:t>
      </w:r>
      <w:r w:rsidR="00A6759B">
        <w:t>).</w:t>
      </w:r>
    </w:p>
    <w:p w14:paraId="777985CF" w14:textId="74CB5D64" w:rsidR="005977AF" w:rsidRPr="00795F17" w:rsidRDefault="005977AF" w:rsidP="004D7705">
      <w:pPr>
        <w:pStyle w:val="Tabela"/>
      </w:pPr>
      <w:bookmarkStart w:id="415" w:name="_Toc105512821"/>
      <w:r w:rsidRPr="00795F17">
        <w:t xml:space="preserve">Tabela </w:t>
      </w:r>
      <w:fldSimple w:instr=" STYLEREF 1 \s ">
        <w:r w:rsidR="001F774D">
          <w:rPr>
            <w:noProof/>
          </w:rPr>
          <w:t>8</w:t>
        </w:r>
      </w:fldSimple>
      <w:r w:rsidR="00BB3B21" w:rsidRPr="00795F17">
        <w:noBreakHyphen/>
      </w:r>
      <w:fldSimple w:instr=" SEQ Tabela \* ARABIC \s 1 ">
        <w:r w:rsidR="001F774D">
          <w:rPr>
            <w:noProof/>
          </w:rPr>
          <w:t>11</w:t>
        </w:r>
      </w:fldSimple>
      <w:r w:rsidR="00E76356">
        <w:rPr>
          <w:noProof/>
        </w:rPr>
        <w:t>.</w:t>
      </w:r>
      <w:r w:rsidRPr="00795F17">
        <w:tab/>
      </w:r>
      <w:r w:rsidRPr="00795F17">
        <w:rPr>
          <w:lang w:eastAsia="pl-PL"/>
        </w:rPr>
        <w:t>Osiągnięcie celów środowiskowych ustalonych na lata 2016</w:t>
      </w:r>
      <w:r w:rsidR="00814C01">
        <w:rPr>
          <w:lang w:eastAsia="pl-PL"/>
        </w:rPr>
        <w:t>–</w:t>
      </w:r>
      <w:r w:rsidRPr="00795F17">
        <w:rPr>
          <w:lang w:eastAsia="pl-PL"/>
        </w:rPr>
        <w:t xml:space="preserve">2021 dla </w:t>
      </w:r>
      <w:r w:rsidR="00DF005E">
        <w:rPr>
          <w:lang w:eastAsia="pl-PL"/>
        </w:rPr>
        <w:t>JCWP</w:t>
      </w:r>
      <w:r w:rsidRPr="00795F17">
        <w:rPr>
          <w:lang w:eastAsia="pl-PL"/>
        </w:rPr>
        <w:t xml:space="preserve"> TW i CW na obszarze dorzecza Odry w oparciu o jednostki planistyczne aPGW</w:t>
      </w:r>
      <w:bookmarkEnd w:id="415"/>
    </w:p>
    <w:tbl>
      <w:tblPr>
        <w:tblStyle w:val="Tabela-Siatka"/>
        <w:tblW w:w="5000" w:type="pct"/>
        <w:tblLayout w:type="fixed"/>
        <w:tblLook w:val="06A0" w:firstRow="1" w:lastRow="0" w:firstColumn="1" w:lastColumn="0" w:noHBand="1" w:noVBand="1"/>
      </w:tblPr>
      <w:tblGrid>
        <w:gridCol w:w="1294"/>
        <w:gridCol w:w="1294"/>
        <w:gridCol w:w="1376"/>
        <w:gridCol w:w="1213"/>
        <w:gridCol w:w="1481"/>
        <w:gridCol w:w="1134"/>
        <w:gridCol w:w="1270"/>
      </w:tblGrid>
      <w:tr w:rsidR="005977AF" w:rsidRPr="00795F17" w14:paraId="7C5F178A" w14:textId="77777777" w:rsidTr="005977AF">
        <w:trPr>
          <w:cnfStyle w:val="100000000000" w:firstRow="1" w:lastRow="0" w:firstColumn="0" w:lastColumn="0" w:oddVBand="0" w:evenVBand="0" w:oddHBand="0" w:evenHBand="0" w:firstRowFirstColumn="0" w:firstRowLastColumn="0" w:lastRowFirstColumn="0" w:lastRowLastColumn="0"/>
          <w:cantSplit/>
        </w:trPr>
        <w:tc>
          <w:tcPr>
            <w:tcW w:w="1294" w:type="dxa"/>
            <w:vMerge w:val="restart"/>
          </w:tcPr>
          <w:p w14:paraId="3ECAE95B" w14:textId="77777777" w:rsidR="005977AF" w:rsidRPr="00795F17" w:rsidRDefault="005977AF" w:rsidP="00D62D88">
            <w:pPr>
              <w:pStyle w:val="Teksttabelinaglowek"/>
              <w:rPr>
                <w:b/>
                <w:bCs/>
              </w:rPr>
            </w:pPr>
            <w:r w:rsidRPr="00795F17">
              <w:rPr>
                <w:b/>
                <w:bCs/>
              </w:rPr>
              <w:t>Region wodny</w:t>
            </w:r>
          </w:p>
        </w:tc>
        <w:tc>
          <w:tcPr>
            <w:tcW w:w="1294" w:type="dxa"/>
            <w:vMerge w:val="restart"/>
          </w:tcPr>
          <w:p w14:paraId="096728B8" w14:textId="3DE32502" w:rsidR="005977AF" w:rsidRPr="00795F17" w:rsidRDefault="005977AF" w:rsidP="00D62D88">
            <w:pPr>
              <w:pStyle w:val="Teksttabelinaglowek"/>
              <w:rPr>
                <w:b/>
                <w:bCs/>
              </w:rPr>
            </w:pPr>
            <w:r w:rsidRPr="00795F17">
              <w:rPr>
                <w:b/>
                <w:bCs/>
              </w:rPr>
              <w:t xml:space="preserve">Liczba </w:t>
            </w:r>
            <w:r w:rsidR="00DF005E">
              <w:rPr>
                <w:b/>
                <w:bCs/>
              </w:rPr>
              <w:t>JCWP</w:t>
            </w:r>
            <w:r w:rsidRPr="00795F17">
              <w:rPr>
                <w:b/>
                <w:bCs/>
              </w:rPr>
              <w:t xml:space="preserve"> TW i CW ogółem</w:t>
            </w:r>
          </w:p>
        </w:tc>
        <w:tc>
          <w:tcPr>
            <w:tcW w:w="2589" w:type="dxa"/>
            <w:gridSpan w:val="2"/>
          </w:tcPr>
          <w:p w14:paraId="5591DA75" w14:textId="44E0823F" w:rsidR="005977AF" w:rsidRPr="00795F17" w:rsidRDefault="005977AF" w:rsidP="00D62D88">
            <w:pPr>
              <w:pStyle w:val="Teksttabelinaglowek"/>
              <w:rPr>
                <w:b/>
                <w:bCs/>
              </w:rPr>
            </w:pPr>
            <w:r w:rsidRPr="00795F17">
              <w:rPr>
                <w:b/>
                <w:bCs/>
              </w:rPr>
              <w:t xml:space="preserve">Liczba TW i CW </w:t>
            </w:r>
            <w:r w:rsidR="00DF005E">
              <w:rPr>
                <w:b/>
                <w:bCs/>
              </w:rPr>
              <w:t>JCWP</w:t>
            </w:r>
            <w:r w:rsidRPr="00795F17">
              <w:rPr>
                <w:b/>
                <w:bCs/>
              </w:rPr>
              <w:t xml:space="preserve"> z</w:t>
            </w:r>
            <w:r w:rsidR="00CE2988">
              <w:rPr>
                <w:b/>
                <w:bCs/>
              </w:rPr>
              <w:t> </w:t>
            </w:r>
            <w:r w:rsidRPr="00795F17">
              <w:rPr>
                <w:b/>
                <w:bCs/>
              </w:rPr>
              <w:t>odstępstwem na lata 2016</w:t>
            </w:r>
            <w:r w:rsidR="00814C01">
              <w:rPr>
                <w:b/>
                <w:bCs/>
              </w:rPr>
              <w:t>–</w:t>
            </w:r>
            <w:r w:rsidRPr="00795F17">
              <w:rPr>
                <w:b/>
                <w:bCs/>
              </w:rPr>
              <w:t>2021</w:t>
            </w:r>
          </w:p>
        </w:tc>
        <w:tc>
          <w:tcPr>
            <w:tcW w:w="3885" w:type="dxa"/>
            <w:gridSpan w:val="3"/>
          </w:tcPr>
          <w:p w14:paraId="57769C82" w14:textId="15664F42" w:rsidR="005977AF" w:rsidRPr="00795F17" w:rsidRDefault="005977AF" w:rsidP="00D62D88">
            <w:pPr>
              <w:pStyle w:val="Teksttabelinaglowek"/>
              <w:rPr>
                <w:b/>
                <w:bCs/>
              </w:rPr>
            </w:pPr>
            <w:r w:rsidRPr="00795F17">
              <w:rPr>
                <w:b/>
                <w:bCs/>
              </w:rPr>
              <w:t xml:space="preserve">Liczba </w:t>
            </w:r>
            <w:r w:rsidR="00DF005E">
              <w:rPr>
                <w:b/>
                <w:bCs/>
              </w:rPr>
              <w:t>JCWP</w:t>
            </w:r>
            <w:r w:rsidRPr="00795F17">
              <w:rPr>
                <w:b/>
                <w:bCs/>
              </w:rPr>
              <w:t xml:space="preserve"> TW i CW, w których spełniony został cel środowiskowy</w:t>
            </w:r>
          </w:p>
        </w:tc>
      </w:tr>
      <w:tr w:rsidR="005977AF" w:rsidRPr="00795F17" w14:paraId="4CE24283" w14:textId="77777777" w:rsidTr="005977AF">
        <w:trPr>
          <w:cantSplit/>
        </w:trPr>
        <w:tc>
          <w:tcPr>
            <w:tcW w:w="1294" w:type="dxa"/>
            <w:vMerge/>
            <w:shd w:val="clear" w:color="auto" w:fill="F2F2F2" w:themeFill="background1" w:themeFillShade="F2"/>
          </w:tcPr>
          <w:p w14:paraId="6717140C" w14:textId="2FF43A99" w:rsidR="005977AF" w:rsidRPr="00795F17" w:rsidRDefault="005977AF" w:rsidP="00D62D88">
            <w:pPr>
              <w:pStyle w:val="Teksttabelinaglowek"/>
            </w:pPr>
          </w:p>
        </w:tc>
        <w:tc>
          <w:tcPr>
            <w:tcW w:w="1294" w:type="dxa"/>
            <w:vMerge/>
            <w:shd w:val="clear" w:color="auto" w:fill="F2F2F2" w:themeFill="background1" w:themeFillShade="F2"/>
          </w:tcPr>
          <w:p w14:paraId="7B690791" w14:textId="4778CE7B" w:rsidR="005977AF" w:rsidRPr="00795F17" w:rsidRDefault="005977AF" w:rsidP="00D62D88">
            <w:pPr>
              <w:pStyle w:val="Teksttabelinaglowek"/>
            </w:pPr>
          </w:p>
        </w:tc>
        <w:tc>
          <w:tcPr>
            <w:tcW w:w="1376" w:type="dxa"/>
            <w:shd w:val="clear" w:color="auto" w:fill="BFBFBF" w:themeFill="background1" w:themeFillShade="BF"/>
          </w:tcPr>
          <w:p w14:paraId="07544582" w14:textId="77777777" w:rsidR="005977AF" w:rsidRPr="00795F17" w:rsidRDefault="005977AF" w:rsidP="00D62D88">
            <w:pPr>
              <w:pStyle w:val="Teksttabelinaglowek"/>
            </w:pPr>
            <w:r w:rsidRPr="00795F17">
              <w:t>Art. 4 ust. 4 RDW</w:t>
            </w:r>
          </w:p>
        </w:tc>
        <w:tc>
          <w:tcPr>
            <w:tcW w:w="1213" w:type="dxa"/>
            <w:shd w:val="clear" w:color="auto" w:fill="BFBFBF" w:themeFill="background1" w:themeFillShade="BF"/>
          </w:tcPr>
          <w:p w14:paraId="46FB3B35" w14:textId="77777777" w:rsidR="005977AF" w:rsidRPr="00795F17" w:rsidRDefault="005977AF" w:rsidP="00D62D88">
            <w:pPr>
              <w:pStyle w:val="Teksttabelinaglowek"/>
            </w:pPr>
            <w:r w:rsidRPr="00795F17">
              <w:t>Art. 4 ust. 5 RDW</w:t>
            </w:r>
          </w:p>
        </w:tc>
        <w:tc>
          <w:tcPr>
            <w:tcW w:w="1481" w:type="dxa"/>
            <w:shd w:val="clear" w:color="auto" w:fill="BFBFBF" w:themeFill="background1" w:themeFillShade="BF"/>
          </w:tcPr>
          <w:p w14:paraId="2F1B35D3" w14:textId="77777777" w:rsidR="005977AF" w:rsidRPr="00795F17" w:rsidRDefault="005977AF" w:rsidP="00D62D88">
            <w:pPr>
              <w:pStyle w:val="Teksttabelinaglowek"/>
            </w:pPr>
            <w:r w:rsidRPr="00795F17">
              <w:t>Stan/potencjał ekologiczny</w:t>
            </w:r>
          </w:p>
        </w:tc>
        <w:tc>
          <w:tcPr>
            <w:tcW w:w="1134" w:type="dxa"/>
            <w:shd w:val="clear" w:color="auto" w:fill="BFBFBF" w:themeFill="background1" w:themeFillShade="BF"/>
          </w:tcPr>
          <w:p w14:paraId="41ECA3C3" w14:textId="77777777" w:rsidR="005977AF" w:rsidRPr="00795F17" w:rsidRDefault="005977AF" w:rsidP="00D62D88">
            <w:pPr>
              <w:pStyle w:val="Teksttabelinaglowek"/>
            </w:pPr>
            <w:r w:rsidRPr="00795F17">
              <w:t>Stan chemiczny</w:t>
            </w:r>
          </w:p>
        </w:tc>
        <w:tc>
          <w:tcPr>
            <w:tcW w:w="1270" w:type="dxa"/>
            <w:shd w:val="clear" w:color="auto" w:fill="BFBFBF" w:themeFill="background1" w:themeFillShade="BF"/>
          </w:tcPr>
          <w:p w14:paraId="2E534DF4" w14:textId="77777777" w:rsidR="005977AF" w:rsidRPr="00795F17" w:rsidRDefault="005977AF" w:rsidP="00D62D88">
            <w:pPr>
              <w:pStyle w:val="Teksttabelinaglowek"/>
            </w:pPr>
            <w:r w:rsidRPr="00795F17">
              <w:t>Stan ogólny</w:t>
            </w:r>
          </w:p>
        </w:tc>
      </w:tr>
      <w:tr w:rsidR="005977AF" w:rsidRPr="00795F17" w14:paraId="677325BC" w14:textId="77777777" w:rsidTr="005977AF">
        <w:trPr>
          <w:cantSplit/>
        </w:trPr>
        <w:tc>
          <w:tcPr>
            <w:tcW w:w="1294" w:type="dxa"/>
          </w:tcPr>
          <w:p w14:paraId="1F1E7043" w14:textId="0AD0AFA5" w:rsidR="005977AF" w:rsidRPr="00795F17" w:rsidRDefault="005977AF" w:rsidP="00D62D88">
            <w:pPr>
              <w:pStyle w:val="Teksttabelilewy"/>
            </w:pPr>
            <w:r w:rsidRPr="00795F17">
              <w:t xml:space="preserve">Dolnej Odry i </w:t>
            </w:r>
            <w:r w:rsidR="00545F0E">
              <w:t> </w:t>
            </w:r>
            <w:r w:rsidRPr="00795F17">
              <w:t>Przymorza Zachodniego</w:t>
            </w:r>
          </w:p>
        </w:tc>
        <w:tc>
          <w:tcPr>
            <w:tcW w:w="1294" w:type="dxa"/>
          </w:tcPr>
          <w:p w14:paraId="6DC5778E" w14:textId="77777777" w:rsidR="005977AF" w:rsidRPr="00795F17" w:rsidRDefault="005977AF" w:rsidP="0065243A">
            <w:pPr>
              <w:pStyle w:val="Teksttabelisrodek"/>
            </w:pPr>
            <w:r w:rsidRPr="00795F17">
              <w:t>8</w:t>
            </w:r>
          </w:p>
        </w:tc>
        <w:tc>
          <w:tcPr>
            <w:tcW w:w="1376" w:type="dxa"/>
          </w:tcPr>
          <w:p w14:paraId="4B886BC9" w14:textId="77777777" w:rsidR="005977AF" w:rsidRPr="00795F17" w:rsidRDefault="005977AF" w:rsidP="0065243A">
            <w:pPr>
              <w:pStyle w:val="Teksttabelisrodek"/>
            </w:pPr>
            <w:r w:rsidRPr="00795F17">
              <w:t>8</w:t>
            </w:r>
          </w:p>
        </w:tc>
        <w:tc>
          <w:tcPr>
            <w:tcW w:w="1213" w:type="dxa"/>
          </w:tcPr>
          <w:p w14:paraId="4B9BD8C2" w14:textId="77777777" w:rsidR="005977AF" w:rsidRPr="00795F17" w:rsidRDefault="005977AF" w:rsidP="0065243A">
            <w:pPr>
              <w:pStyle w:val="Teksttabelisrodek"/>
            </w:pPr>
            <w:r w:rsidRPr="00795F17">
              <w:t>0</w:t>
            </w:r>
          </w:p>
        </w:tc>
        <w:tc>
          <w:tcPr>
            <w:tcW w:w="1481" w:type="dxa"/>
          </w:tcPr>
          <w:p w14:paraId="34D7630B" w14:textId="77777777" w:rsidR="005977AF" w:rsidRPr="00795F17" w:rsidRDefault="005977AF" w:rsidP="0065243A">
            <w:pPr>
              <w:pStyle w:val="Teksttabelisrodek"/>
            </w:pPr>
            <w:r w:rsidRPr="00795F17">
              <w:t>0</w:t>
            </w:r>
          </w:p>
        </w:tc>
        <w:tc>
          <w:tcPr>
            <w:tcW w:w="1134" w:type="dxa"/>
          </w:tcPr>
          <w:p w14:paraId="45FF6B4C" w14:textId="77777777" w:rsidR="005977AF" w:rsidRPr="00795F17" w:rsidRDefault="005977AF" w:rsidP="0065243A">
            <w:pPr>
              <w:pStyle w:val="Teksttabelisrodek"/>
            </w:pPr>
            <w:r w:rsidRPr="00795F17">
              <w:t>0</w:t>
            </w:r>
          </w:p>
        </w:tc>
        <w:tc>
          <w:tcPr>
            <w:tcW w:w="1270" w:type="dxa"/>
          </w:tcPr>
          <w:p w14:paraId="72C41554" w14:textId="77777777" w:rsidR="005977AF" w:rsidRPr="00795F17" w:rsidRDefault="005977AF" w:rsidP="0065243A">
            <w:pPr>
              <w:pStyle w:val="Teksttabelisrodek"/>
            </w:pPr>
            <w:r w:rsidRPr="00795F17">
              <w:t>0</w:t>
            </w:r>
          </w:p>
        </w:tc>
      </w:tr>
    </w:tbl>
    <w:p w14:paraId="477B7EA1" w14:textId="5969694E" w:rsidR="005977AF" w:rsidRPr="00795F17" w:rsidRDefault="005977AF" w:rsidP="0044393D">
      <w:pPr>
        <w:pStyle w:val="rdo"/>
      </w:pPr>
      <w:r w:rsidRPr="00795F17">
        <w:t xml:space="preserve">Źródło: </w:t>
      </w:r>
      <w:r w:rsidR="00A62769" w:rsidRPr="00795F17">
        <w:t>opracowanie własne na</w:t>
      </w:r>
      <w:r w:rsidRPr="00795F17">
        <w:t xml:space="preserve"> podstawie danych aPGW</w:t>
      </w:r>
    </w:p>
    <w:p w14:paraId="70BD53A6" w14:textId="15C0DB4C" w:rsidR="00A230D1" w:rsidRPr="00795F17" w:rsidRDefault="00A230D1" w:rsidP="0044393D">
      <w:r w:rsidRPr="00795F17">
        <w:t xml:space="preserve">Skuteczność działań zaplanowanych dla </w:t>
      </w:r>
      <w:r w:rsidR="00DF005E">
        <w:t>JCWP</w:t>
      </w:r>
      <w:r w:rsidRPr="00795F17">
        <w:t xml:space="preserve"> w zakresie poprawy ich parametrów fizykochemicznych ma bezpośrednie przełożenie na te parametry w szczególności wód przejściowych, w dalszej kolejności </w:t>
      </w:r>
      <w:r w:rsidR="00814C01">
        <w:t>–</w:t>
      </w:r>
      <w:r w:rsidRPr="00795F17">
        <w:t xml:space="preserve"> przybrzeżnych. Ocena ta będzie przede wszystkim wynikać z jakości/parametrów fizykochemicznych wprowadzanych do wód przejściowych i przybrzeżnych z wodami </w:t>
      </w:r>
      <w:r w:rsidR="00DF005E">
        <w:t>JCWP</w:t>
      </w:r>
      <w:r w:rsidRPr="00795F17">
        <w:t xml:space="preserve"> rzecznych.</w:t>
      </w:r>
    </w:p>
    <w:p w14:paraId="2A3F0722" w14:textId="3F3955A8" w:rsidR="00A230D1" w:rsidRPr="00795F17" w:rsidRDefault="00A230D1" w:rsidP="0044393D">
      <w:r w:rsidRPr="00795F17">
        <w:t xml:space="preserve">W przypadku wód TW, w mniejszym stopniu CW </w:t>
      </w:r>
      <w:r w:rsidR="00814C01">
        <w:t>–</w:t>
      </w:r>
      <w:r w:rsidRPr="00795F17">
        <w:t xml:space="preserve"> istotne znaczenie dla osiągnięcia celów środowiskowych ma presja czynników pochodzących z wód śródlądowych, przede wszystkim w</w:t>
      </w:r>
      <w:r w:rsidR="008776F1">
        <w:t> </w:t>
      </w:r>
      <w:r w:rsidRPr="00795F17">
        <w:t xml:space="preserve">odniesieniu do jakości wód powierzchniowych, a także migracji ryb dwuśrodowiskowych, wymienionych w </w:t>
      </w:r>
      <w:r w:rsidR="002B3A3C" w:rsidRPr="00795F17">
        <w:t>r</w:t>
      </w:r>
      <w:r w:rsidRPr="00795F17">
        <w:t>ozporządzeniu Ministra Środowiska z dnia 13 kwietnia 2010 r. w sprawie siedlisk przyrodniczych oraz gatunków będących przedmiotem zainteresowania Wspólnoty, a także kryteriów wyboru obszarów kwalifikujących się do uznania lub wyznaczania jako obszary Natura 2000 (</w:t>
      </w:r>
      <w:r w:rsidR="0083617F" w:rsidRPr="00795F17">
        <w:t>t</w:t>
      </w:r>
      <w:r w:rsidR="006B75C9" w:rsidRPr="00795F17">
        <w:t>ekst jednolity</w:t>
      </w:r>
      <w:r w:rsidRPr="00795F17">
        <w:t xml:space="preserve"> Dz.U. </w:t>
      </w:r>
      <w:r w:rsidR="00814C01">
        <w:t xml:space="preserve">z </w:t>
      </w:r>
      <w:r w:rsidRPr="00795F17">
        <w:t xml:space="preserve">2014 </w:t>
      </w:r>
      <w:r w:rsidR="00814C01">
        <w:t xml:space="preserve">r. </w:t>
      </w:r>
      <w:r w:rsidRPr="00795F17">
        <w:t>poz. 1713). Osiągnięcie celów środowiskowych dla wód TW i CW w</w:t>
      </w:r>
      <w:r w:rsidR="0009370C" w:rsidRPr="00795F17">
        <w:t> </w:t>
      </w:r>
      <w:r w:rsidRPr="00795F17">
        <w:t xml:space="preserve">znaczącym </w:t>
      </w:r>
      <w:r w:rsidRPr="00795F17">
        <w:rPr>
          <w:shd w:val="clear" w:color="auto" w:fill="FFFFFF" w:themeFill="background1"/>
        </w:rPr>
        <w:t>stopniu zależeć będzie od stopnia osiągnięcia celów środowiskowych dla jcw, dla których wody TW i</w:t>
      </w:r>
      <w:r w:rsidRPr="00795F17">
        <w:t xml:space="preserve"> CW są</w:t>
      </w:r>
      <w:r w:rsidR="005977AF" w:rsidRPr="00795F17">
        <w:t> </w:t>
      </w:r>
      <w:r w:rsidRPr="00795F17">
        <w:t>odbiornikami.</w:t>
      </w:r>
    </w:p>
    <w:p w14:paraId="4F0178B2" w14:textId="2667B02C" w:rsidR="00A230D1" w:rsidRPr="00795F17" w:rsidRDefault="00A230D1" w:rsidP="0044393D">
      <w:r w:rsidRPr="00795F17">
        <w:t xml:space="preserve">Informacje dotyczące celów środowiskowych ustalonych dla poszczególnych </w:t>
      </w:r>
      <w:r w:rsidR="00DF005E">
        <w:t>JCWP</w:t>
      </w:r>
      <w:r w:rsidRPr="00795F17">
        <w:t xml:space="preserve"> wraz ze wskazaniem </w:t>
      </w:r>
      <w:r w:rsidR="00DF005E">
        <w:t>JCWP</w:t>
      </w:r>
      <w:r w:rsidRPr="00795F17">
        <w:t xml:space="preserve"> TW i CW z ustanowionymi odstępstwami od osiągnięcia celów środowiskowych stanowią element załącznika nr 1 (Zestawienie główne). Załącznik nr 1 przedstawia również wskazanie </w:t>
      </w:r>
      <w:r w:rsidR="00DF005E">
        <w:t>JCWP</w:t>
      </w:r>
      <w:r w:rsidRPr="00795F17">
        <w:t xml:space="preserve"> do odstępstw z art. 4 RDW.</w:t>
      </w:r>
    </w:p>
    <w:p w14:paraId="371F551E" w14:textId="328FF378" w:rsidR="00CC6FA5" w:rsidRPr="00795F17" w:rsidRDefault="00CC6FA5" w:rsidP="0044393D">
      <w:r w:rsidRPr="00795F17">
        <w:t xml:space="preserve">Ocenę stopnia </w:t>
      </w:r>
      <w:r w:rsidR="00C812D8" w:rsidRPr="00795F17">
        <w:t>osiągnięcia</w:t>
      </w:r>
      <w:r w:rsidRPr="00795F17">
        <w:t xml:space="preserve"> celów środowiskowych </w:t>
      </w:r>
      <w:r w:rsidR="00DF005E">
        <w:t>JCWP</w:t>
      </w:r>
      <w:r w:rsidRPr="00795F17">
        <w:t xml:space="preserve"> TW i CW przedstawiono w załączniku nr </w:t>
      </w:r>
      <w:r w:rsidR="00617195">
        <w:t>7</w:t>
      </w:r>
      <w:r w:rsidR="009B7C75" w:rsidRPr="00795F17">
        <w:t xml:space="preserve"> (Ocena </w:t>
      </w:r>
      <w:r w:rsidR="00BA7C41" w:rsidRPr="00795F17">
        <w:t>osiągnięcia</w:t>
      </w:r>
      <w:r w:rsidR="009B7C75" w:rsidRPr="00795F17">
        <w:t xml:space="preserve"> celów środowiskowych </w:t>
      </w:r>
      <w:r w:rsidR="00DF005E">
        <w:t>JCWP</w:t>
      </w:r>
      <w:r w:rsidR="009B7C75" w:rsidRPr="00795F17">
        <w:t>).</w:t>
      </w:r>
    </w:p>
    <w:p w14:paraId="06801A3C" w14:textId="4C48036E" w:rsidR="00A230D1" w:rsidRPr="00795F17" w:rsidRDefault="00A230D1" w:rsidP="00C53C86">
      <w:pPr>
        <w:pStyle w:val="Nagwek2"/>
      </w:pPr>
      <w:bookmarkStart w:id="416" w:name="_Toc66347804"/>
      <w:bookmarkStart w:id="417" w:name="_Toc105512660"/>
      <w:r w:rsidRPr="00795F17">
        <w:t xml:space="preserve">Cele środowiskowe </w:t>
      </w:r>
      <w:r w:rsidR="00DF005E">
        <w:t>JCWP</w:t>
      </w:r>
      <w:r w:rsidRPr="00795F17">
        <w:t>d</w:t>
      </w:r>
      <w:bookmarkEnd w:id="416"/>
      <w:bookmarkEnd w:id="417"/>
    </w:p>
    <w:p w14:paraId="7B7B33E7" w14:textId="3A8740B5" w:rsidR="00A230D1" w:rsidRPr="00795F17" w:rsidRDefault="00A230D1" w:rsidP="0044393D">
      <w:r w:rsidRPr="00795F17">
        <w:t xml:space="preserve">Zgodnie z art. 59 pr.w. celem środowiskowym dla </w:t>
      </w:r>
      <w:r w:rsidR="00DF005E">
        <w:t>JCWP</w:t>
      </w:r>
      <w:r w:rsidRPr="00795F17">
        <w:t>d jest:</w:t>
      </w:r>
    </w:p>
    <w:p w14:paraId="40832964" w14:textId="77777777" w:rsidR="00A230D1" w:rsidRPr="00795F17" w:rsidRDefault="00A230D1" w:rsidP="002757E9">
      <w:pPr>
        <w:pStyle w:val="Numerowanie"/>
        <w:numPr>
          <w:ilvl w:val="0"/>
          <w:numId w:val="65"/>
        </w:numPr>
      </w:pPr>
      <w:r w:rsidRPr="00795F17">
        <w:t xml:space="preserve">zapobieganie lub ograniczanie wprowadzania do nich zanieczyszczeń; </w:t>
      </w:r>
    </w:p>
    <w:p w14:paraId="02D7C091" w14:textId="77777777" w:rsidR="00A230D1" w:rsidRPr="00795F17" w:rsidRDefault="00A230D1" w:rsidP="002757E9">
      <w:pPr>
        <w:pStyle w:val="Numerowanie"/>
        <w:numPr>
          <w:ilvl w:val="0"/>
          <w:numId w:val="65"/>
        </w:numPr>
      </w:pPr>
      <w:r w:rsidRPr="00795F17">
        <w:t xml:space="preserve">zapobieganie pogorszeniu oraz poprawa ich stanu; </w:t>
      </w:r>
    </w:p>
    <w:p w14:paraId="2A0328FC" w14:textId="77777777" w:rsidR="00A230D1" w:rsidRPr="00795F17" w:rsidRDefault="00A230D1" w:rsidP="002757E9">
      <w:pPr>
        <w:pStyle w:val="Numerowanie"/>
        <w:numPr>
          <w:ilvl w:val="0"/>
          <w:numId w:val="65"/>
        </w:numPr>
      </w:pPr>
      <w:r w:rsidRPr="00795F17">
        <w:t xml:space="preserve">ich ochrona i podejmowanie działań naprawczych, a także zapewnianie równowagi między poborem a zasilaniem tych wód, tak aby osiągnąć ich dobry stan. </w:t>
      </w:r>
    </w:p>
    <w:p w14:paraId="564808C4" w14:textId="05224669" w:rsidR="00A230D1" w:rsidRPr="00795F17" w:rsidRDefault="00A230D1" w:rsidP="006E2CC0">
      <w:r w:rsidRPr="00795F17">
        <w:t xml:space="preserve">Działania służące osiągnięciu ustalonych dla </w:t>
      </w:r>
      <w:r w:rsidR="00DF005E">
        <w:t>JCWP</w:t>
      </w:r>
      <w:r w:rsidRPr="00795F17">
        <w:t>d celów środowiskowych polegają w szczególności na</w:t>
      </w:r>
      <w:r w:rsidR="002124BD" w:rsidRPr="00795F17">
        <w:t> </w:t>
      </w:r>
      <w:r w:rsidRPr="00795F17">
        <w:t>stopniowym redukowaniu zanieczyszczenia wód podziemnych przez odwracanie znaczących i</w:t>
      </w:r>
      <w:r w:rsidR="002124BD" w:rsidRPr="00795F17">
        <w:t> </w:t>
      </w:r>
      <w:r w:rsidRPr="00795F17">
        <w:t>utrzymujących się tendencji wzrostowych zanieczyszczenia powstałego w wyniku działalności człowieka.</w:t>
      </w:r>
    </w:p>
    <w:p w14:paraId="2485210B" w14:textId="4CAB2308" w:rsidR="00A230D1" w:rsidRPr="00795F17" w:rsidRDefault="00A230D1" w:rsidP="006E2CC0">
      <w:r w:rsidRPr="00795F17">
        <w:t xml:space="preserve">Podstawowym celem środowiskowym dla </w:t>
      </w:r>
      <w:r w:rsidR="00DF005E">
        <w:t>JCWP</w:t>
      </w:r>
      <w:r w:rsidRPr="00795F17">
        <w:t xml:space="preserve">d jest utrzymanie lub osiągnięcie dobrego stanu, definiowanego w art. 2 RDW jako stan osiągnięty przez część wód podziemnych, jeżeli zarówno jej stan ilościowy, jak i chemiczny jest określony jako co najmniej </w:t>
      </w:r>
      <w:r w:rsidR="00D62D88" w:rsidRPr="00795F17">
        <w:t>„</w:t>
      </w:r>
      <w:r w:rsidRPr="00795F17">
        <w:t>dobry</w:t>
      </w:r>
      <w:r w:rsidR="00D62D88" w:rsidRPr="00795F17">
        <w:t>”</w:t>
      </w:r>
      <w:r w:rsidRPr="00795F17">
        <w:t xml:space="preserve">. Ogólny stan </w:t>
      </w:r>
      <w:r w:rsidR="00DF005E">
        <w:t>JCWP</w:t>
      </w:r>
      <w:r w:rsidRPr="00795F17">
        <w:t xml:space="preserve">d określany jest zatem na podstawie oceny stanu ilościowego oraz oceny stanu chemicznego </w:t>
      </w:r>
      <w:r w:rsidR="00DF005E">
        <w:t>JCWP</w:t>
      </w:r>
      <w:r w:rsidRPr="00795F17">
        <w:t>d, przy czym o</w:t>
      </w:r>
      <w:r w:rsidR="002124BD" w:rsidRPr="00795F17">
        <w:t> </w:t>
      </w:r>
      <w:r w:rsidRPr="00795F17">
        <w:t>ogólnej ocenie stanu decyduje gorszy wynik.</w:t>
      </w:r>
    </w:p>
    <w:p w14:paraId="225174AC" w14:textId="41C3C586" w:rsidR="00A230D1" w:rsidRPr="00795F17" w:rsidRDefault="00A230D1" w:rsidP="006E2CC0">
      <w:r w:rsidRPr="00795F17">
        <w:t xml:space="preserve">Ocena stanu </w:t>
      </w:r>
      <w:r w:rsidR="00DF005E">
        <w:t>JCWP</w:t>
      </w:r>
      <w:r w:rsidRPr="00795F17">
        <w:t xml:space="preserve">d w rozumieniu RDW i DWP jest kontrolą stanu środowiska wodnego wykonywaną w określonych odstępach czasu. Nastawiona jest głównie na zidentyfikowanie wielkoobszarowych zagrożeń i ich wpływu na środowisko wodne (ocena wpływu) z pominięciem oddziaływań o zasięgu lokalnym, niemających znaczenia w skali całej </w:t>
      </w:r>
      <w:r w:rsidR="00DF005E">
        <w:t>JCWP</w:t>
      </w:r>
      <w:r w:rsidRPr="00795F17">
        <w:t xml:space="preserve">d. Metodyka wykonywania oceny stanu </w:t>
      </w:r>
      <w:r w:rsidR="00DF005E">
        <w:t>JCWP</w:t>
      </w:r>
      <w:r w:rsidRPr="00795F17">
        <w:t>d została przedstawiona w rozdz</w:t>
      </w:r>
      <w:r w:rsidR="0083617F" w:rsidRPr="00795F17">
        <w:t>iale</w:t>
      </w:r>
      <w:r w:rsidRPr="00795F17">
        <w:t xml:space="preserve"> 5.3.</w:t>
      </w:r>
    </w:p>
    <w:p w14:paraId="29F59D83" w14:textId="0B64C9B8" w:rsidR="00A230D1" w:rsidRPr="00795F17" w:rsidRDefault="00A230D1" w:rsidP="006E2CC0">
      <w:r w:rsidRPr="00795F17">
        <w:t xml:space="preserve">W aPGW na obszarze dorzecza Odry jako cele środowiskowe ustalono osiągnięcie dobrego stanu chemicznego oraz dobrego stanu ilościowego. Dla 4 </w:t>
      </w:r>
      <w:r w:rsidR="00DF005E">
        <w:t>JCWP</w:t>
      </w:r>
      <w:r w:rsidRPr="00795F17">
        <w:t>d (nr</w:t>
      </w:r>
      <w:r w:rsidR="006E2CC0" w:rsidRPr="00795F17">
        <w:t>:</w:t>
      </w:r>
      <w:r w:rsidRPr="00795F17">
        <w:t xml:space="preserve"> 1, 33, 34 i 141) ustalono odstępstwo czasowe (odstępstwo z tytułu art. 4 ust. 4 RDW), wskazując jako termin osiągnięcia celów środowiskowych rok 2027. Dla 8 </w:t>
      </w:r>
      <w:r w:rsidR="00DF005E">
        <w:t>JCWP</w:t>
      </w:r>
      <w:r w:rsidRPr="00795F17">
        <w:t>d (nr</w:t>
      </w:r>
      <w:r w:rsidR="006E2CC0" w:rsidRPr="00795F17">
        <w:t>:</w:t>
      </w:r>
      <w:r w:rsidRPr="00795F17">
        <w:t xml:space="preserve"> 43, 62, 83, 94, 95, 105, 129 i 143) ustalono mniej rygorystyczny cel (odstępstwo z tytułu art. 4 ust. 5 RDW)</w:t>
      </w:r>
      <w:r w:rsidR="006E2CC0" w:rsidRPr="00795F17">
        <w:t xml:space="preserve"> </w:t>
      </w:r>
      <w:r w:rsidR="009F4D4F">
        <w:t>–</w:t>
      </w:r>
      <w:r w:rsidRPr="00795F17">
        <w:t xml:space="preserve"> ochrona stanu przed dalszym pogorszeniem. </w:t>
      </w:r>
    </w:p>
    <w:p w14:paraId="4EA878D0" w14:textId="1CC205EF" w:rsidR="00A230D1" w:rsidRPr="00795F17" w:rsidRDefault="001D04A2" w:rsidP="006E2CC0">
      <w:r w:rsidRPr="00795F17">
        <w:rPr>
          <w:lang w:eastAsia="pl-PL"/>
        </w:rPr>
        <w:t xml:space="preserve">Zobrazowanie mapowe </w:t>
      </w:r>
      <w:r w:rsidR="00DF005E">
        <w:rPr>
          <w:lang w:eastAsia="pl-PL"/>
        </w:rPr>
        <w:t>JCWP</w:t>
      </w:r>
      <w:r w:rsidRPr="00795F17">
        <w:rPr>
          <w:lang w:eastAsia="pl-PL"/>
        </w:rPr>
        <w:t xml:space="preserve">d w obszarze dorzecza Odry, dla których ustalono odstępstwo zawiera załącznik graficzny nr </w:t>
      </w:r>
      <w:r w:rsidR="007014BB">
        <w:rPr>
          <w:lang w:eastAsia="pl-PL"/>
        </w:rPr>
        <w:t>67</w:t>
      </w:r>
      <w:r w:rsidRPr="00795F17">
        <w:rPr>
          <w:lang w:eastAsia="pl-PL"/>
        </w:rPr>
        <w:t>.</w:t>
      </w:r>
      <w:r w:rsidR="006E2CC0" w:rsidRPr="00795F17">
        <w:rPr>
          <w:lang w:eastAsia="pl-PL"/>
        </w:rPr>
        <w:t xml:space="preserve"> </w:t>
      </w:r>
      <w:r w:rsidR="00A230D1" w:rsidRPr="00795F17">
        <w:t>Podstaw</w:t>
      </w:r>
      <w:r w:rsidR="006E2CC0" w:rsidRPr="00795F17">
        <w:t>ą</w:t>
      </w:r>
      <w:r w:rsidR="00A230D1" w:rsidRPr="00795F17">
        <w:t xml:space="preserve"> dla </w:t>
      </w:r>
      <w:r w:rsidR="002920BD" w:rsidRPr="00795F17">
        <w:t>oceny osiągnięcia</w:t>
      </w:r>
      <w:r w:rsidR="00A230D1" w:rsidRPr="00795F17">
        <w:t xml:space="preserve"> celów środowiskowych jest wynik oceny stanu </w:t>
      </w:r>
      <w:r w:rsidR="00DF005E">
        <w:t>JCWP</w:t>
      </w:r>
      <w:r w:rsidR="00A230D1" w:rsidRPr="00795F17">
        <w:t>d. Na</w:t>
      </w:r>
      <w:r w:rsidR="006E2CC0" w:rsidRPr="00795F17">
        <w:t xml:space="preserve"> </w:t>
      </w:r>
      <w:r w:rsidR="00A230D1" w:rsidRPr="00795F17">
        <w:t xml:space="preserve">podstawie oceny stanu </w:t>
      </w:r>
      <w:r w:rsidR="00DF005E">
        <w:t>JCWP</w:t>
      </w:r>
      <w:r w:rsidR="00A230D1" w:rsidRPr="00795F17">
        <w:t>d wykonanej w 2020 r. (w oparciu o wyniki monitoringu diagnostycznego z 2019 r.) w ogólnej licz</w:t>
      </w:r>
      <w:r w:rsidR="006E2CC0" w:rsidRPr="00795F17">
        <w:t>b</w:t>
      </w:r>
      <w:r w:rsidR="00A230D1" w:rsidRPr="00795F17">
        <w:t xml:space="preserve">ie 66 </w:t>
      </w:r>
      <w:r w:rsidR="00DF005E">
        <w:t>JCWP</w:t>
      </w:r>
      <w:r w:rsidR="00A230D1" w:rsidRPr="00795F17">
        <w:t xml:space="preserve">d wydzielonych na obszarze dorzecza Odry zidentyfikowano 12 </w:t>
      </w:r>
      <w:r w:rsidR="00DF005E">
        <w:t>JCWP</w:t>
      </w:r>
      <w:r w:rsidR="00A230D1" w:rsidRPr="00795F17">
        <w:t xml:space="preserve">d o stanie słabym, w tym 2 </w:t>
      </w:r>
      <w:r w:rsidR="00DF005E">
        <w:t>JCWP</w:t>
      </w:r>
      <w:r w:rsidR="00A230D1" w:rsidRPr="00795F17">
        <w:t xml:space="preserve">d otrzymały </w:t>
      </w:r>
      <w:r w:rsidR="006E2CC0" w:rsidRPr="00795F17">
        <w:t xml:space="preserve">ocenę </w:t>
      </w:r>
      <w:r w:rsidR="00A230D1" w:rsidRPr="00795F17">
        <w:t>słaby stan chemiczny, 7</w:t>
      </w:r>
      <w:r w:rsidR="006E2CC0" w:rsidRPr="00795F17">
        <w:t> </w:t>
      </w:r>
      <w:r w:rsidR="00A230D1" w:rsidRPr="00795F17">
        <w:t>słaby stan ilościowy oraz 3 zarówno słaby stan chemiczny</w:t>
      </w:r>
      <w:r w:rsidR="006E2CC0" w:rsidRPr="00795F17">
        <w:t>,</w:t>
      </w:r>
      <w:r w:rsidR="00A230D1" w:rsidRPr="00795F17">
        <w:t xml:space="preserve"> jak i ilościowy. </w:t>
      </w:r>
      <w:r w:rsidR="006E2CC0" w:rsidRPr="00795F17">
        <w:t xml:space="preserve">Wyniki oceny przedstawiono na poniższym wykresie </w:t>
      </w:r>
      <w:r w:rsidR="00A230D1" w:rsidRPr="00795F17">
        <w:t>(</w:t>
      </w:r>
      <w:r w:rsidR="0070732C" w:rsidRPr="00795F17">
        <w:t>wykres 8-</w:t>
      </w:r>
      <w:r w:rsidR="009911A4" w:rsidRPr="00795F17">
        <w:t>1</w:t>
      </w:r>
      <w:r w:rsidR="009911A4">
        <w:t>1</w:t>
      </w:r>
      <w:r w:rsidR="00A230D1" w:rsidRPr="00795F17">
        <w:t>).</w:t>
      </w:r>
    </w:p>
    <w:p w14:paraId="216B5787" w14:textId="72EC5AFA" w:rsidR="0070732C" w:rsidRPr="00795F17" w:rsidRDefault="00F43C59" w:rsidP="005842B5">
      <w:r>
        <w:rPr>
          <w:noProof/>
        </w:rPr>
        <w:drawing>
          <wp:inline distT="0" distB="0" distL="0" distR="0" wp14:anchorId="781EDCB2" wp14:editId="03E8C305">
            <wp:extent cx="4572000" cy="2743200"/>
            <wp:effectExtent l="0" t="0" r="0" b="0"/>
            <wp:docPr id="248" name="Wykres 248">
              <a:extLst xmlns:a="http://schemas.openxmlformats.org/drawingml/2006/main">
                <a:ext uri="{FF2B5EF4-FFF2-40B4-BE49-F238E27FC236}">
                  <a16:creationId xmlns:a16="http://schemas.microsoft.com/office/drawing/2014/main" id="{E2D1B2EA-2A55-4DE6-9BA8-276CF490D9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66679CC" w14:textId="0B60DDBD" w:rsidR="00B47726" w:rsidRPr="00795F17" w:rsidRDefault="0070732C" w:rsidP="00B479EE">
      <w:pPr>
        <w:pStyle w:val="Wykres"/>
      </w:pPr>
      <w:bookmarkStart w:id="418" w:name="_Toc105513000"/>
      <w:r w:rsidRPr="00795F17">
        <w:t xml:space="preserve">Wykres </w:t>
      </w:r>
      <w:fldSimple w:instr=" STYLEREF 1 \s ">
        <w:r w:rsidR="001F774D">
          <w:rPr>
            <w:noProof/>
          </w:rPr>
          <w:t>8</w:t>
        </w:r>
      </w:fldSimple>
      <w:r w:rsidR="00FF20D3">
        <w:noBreakHyphen/>
      </w:r>
      <w:fldSimple w:instr=" SEQ Wykres \* ARABIC \s 1 ">
        <w:r w:rsidR="001F774D">
          <w:rPr>
            <w:noProof/>
          </w:rPr>
          <w:t>11</w:t>
        </w:r>
      </w:fldSimple>
      <w:r w:rsidR="00A2734E">
        <w:rPr>
          <w:noProof/>
        </w:rPr>
        <w:t>.</w:t>
      </w:r>
      <w:r w:rsidRPr="00795F17">
        <w:tab/>
        <w:t>Podsumowanie wynik</w:t>
      </w:r>
      <w:r w:rsidR="006E2CC0" w:rsidRPr="00795F17">
        <w:t>ów</w:t>
      </w:r>
      <w:r w:rsidRPr="00795F17">
        <w:t xml:space="preserve"> oceny stanu </w:t>
      </w:r>
      <w:r w:rsidR="00DF005E">
        <w:t>JCWP</w:t>
      </w:r>
      <w:r w:rsidRPr="00795F17">
        <w:t>d (osiągnięcia celów środowiskowych)</w:t>
      </w:r>
      <w:r w:rsidR="006E2CC0" w:rsidRPr="00795F17">
        <w:t xml:space="preserve"> </w:t>
      </w:r>
      <w:r w:rsidRPr="00795F17">
        <w:t>na obszarze dorzecza Odry (podano liczbę</w:t>
      </w:r>
      <w:r w:rsidR="006E2CC0" w:rsidRPr="00795F17">
        <w:t xml:space="preserve"> </w:t>
      </w:r>
      <w:r w:rsidR="00DF005E">
        <w:t>JCWP</w:t>
      </w:r>
      <w:r w:rsidR="006E2CC0" w:rsidRPr="00795F17">
        <w:t>d)</w:t>
      </w:r>
      <w:bookmarkEnd w:id="418"/>
    </w:p>
    <w:p w14:paraId="32F4677D" w14:textId="748E6558" w:rsidR="002124BD" w:rsidRPr="00795F17" w:rsidRDefault="002124BD" w:rsidP="0044393D">
      <w:pPr>
        <w:pStyle w:val="rdo"/>
      </w:pPr>
      <w:r w:rsidRPr="00795F17">
        <w:t xml:space="preserve">Źródło: </w:t>
      </w:r>
      <w:r w:rsidR="00FD7248" w:rsidRPr="00795F17">
        <w:t>opracowanie własne</w:t>
      </w:r>
    </w:p>
    <w:p w14:paraId="6B83D0E9" w14:textId="67118BAF" w:rsidR="001E3903" w:rsidRPr="00795F17" w:rsidRDefault="00A230D1" w:rsidP="0044393D">
      <w:r w:rsidRPr="00795F17">
        <w:t>Odnosząc ustalone na lata 2016</w:t>
      </w:r>
      <w:r w:rsidR="009F4D4F">
        <w:t>–</w:t>
      </w:r>
      <w:r w:rsidRPr="00795F17">
        <w:t>2021 cele środowiskowe do wyników powyższej oceny stanu, 54</w:t>
      </w:r>
      <w:r w:rsidR="00E10A21">
        <w:t> </w:t>
      </w:r>
      <w:r w:rsidR="00DF005E">
        <w:t>JCWP</w:t>
      </w:r>
      <w:r w:rsidRPr="00795F17">
        <w:t>d osiągnęł</w:t>
      </w:r>
      <w:r w:rsidR="006E2CC0" w:rsidRPr="00795F17">
        <w:t>y</w:t>
      </w:r>
      <w:r w:rsidRPr="00795F17">
        <w:t xml:space="preserve"> określone dla nich cele środowiskowe (dobry stan chemiczny i dobry stan ilościowy). 3 </w:t>
      </w:r>
      <w:r w:rsidR="00DF005E">
        <w:t>JCWP</w:t>
      </w:r>
      <w:r w:rsidRPr="00795F17">
        <w:t>d (</w:t>
      </w:r>
      <w:r w:rsidR="006E2CC0" w:rsidRPr="00795F17">
        <w:t>nr</w:t>
      </w:r>
      <w:r w:rsidRPr="00795F17">
        <w:t>: 33, 34 i 141) osiągnęły cel środowiskowy w terminie wcześniejszym niż określony w aPGW. W</w:t>
      </w:r>
      <w:r w:rsidR="006E2CC0" w:rsidRPr="00795F17">
        <w:t> </w:t>
      </w:r>
      <w:r w:rsidRPr="00795F17">
        <w:t xml:space="preserve">przypadku 2 </w:t>
      </w:r>
      <w:r w:rsidR="00DF005E">
        <w:t>JCWP</w:t>
      </w:r>
      <w:r w:rsidRPr="00795F17">
        <w:t>d (</w:t>
      </w:r>
      <w:r w:rsidR="006E2CC0" w:rsidRPr="00795F17">
        <w:t>nr</w:t>
      </w:r>
      <w:r w:rsidRPr="00795F17">
        <w:t xml:space="preserve">: 94 i 95), w związku z osiągnięciem dobrego stanu ilościowego, ustaje potrzeba ustalenia mniej rygorystycznego celu środowiskowego. Brak osiągnięcia celów środowiskowych stwierdzono w 12 </w:t>
      </w:r>
      <w:r w:rsidR="00DF005E">
        <w:t>JCWP</w:t>
      </w:r>
      <w:r w:rsidRPr="00795F17">
        <w:t>d (</w:t>
      </w:r>
      <w:r w:rsidR="006E2CC0" w:rsidRPr="00795F17">
        <w:t>nr</w:t>
      </w:r>
      <w:r w:rsidRPr="00795F17">
        <w:t xml:space="preserve">: 1, 9, 43, 62, 70, 79, 83, 105, 124, 127, 129 i 143), w tym w przypadku 5 </w:t>
      </w:r>
      <w:r w:rsidR="00DF005E">
        <w:t>JCWP</w:t>
      </w:r>
      <w:r w:rsidRPr="00795F17">
        <w:t xml:space="preserve">d nastąpiło pogorszenie stanu. </w:t>
      </w:r>
    </w:p>
    <w:p w14:paraId="56633252" w14:textId="5DCA388B" w:rsidR="00A230D1" w:rsidRPr="00795F17" w:rsidRDefault="00A230D1" w:rsidP="0044393D">
      <w:bookmarkStart w:id="419" w:name="_Hlk67173294"/>
      <w:r w:rsidRPr="00795F17">
        <w:t xml:space="preserve">Podsumowanie </w:t>
      </w:r>
      <w:r w:rsidR="002920BD" w:rsidRPr="00795F17">
        <w:t xml:space="preserve">liczby </w:t>
      </w:r>
      <w:r w:rsidR="00DF005E">
        <w:t>JCWP</w:t>
      </w:r>
      <w:r w:rsidR="002920BD" w:rsidRPr="00795F17">
        <w:t>d, które osiągnęły</w:t>
      </w:r>
      <w:r w:rsidRPr="00795F17">
        <w:t xml:space="preserve"> cel</w:t>
      </w:r>
      <w:r w:rsidR="002920BD" w:rsidRPr="00795F17">
        <w:t>e</w:t>
      </w:r>
      <w:r w:rsidRPr="00795F17">
        <w:t xml:space="preserve"> środowiskow</w:t>
      </w:r>
      <w:r w:rsidR="002920BD" w:rsidRPr="00795F17">
        <w:t>e</w:t>
      </w:r>
      <w:r w:rsidRPr="00795F17">
        <w:t xml:space="preserve"> ustalon</w:t>
      </w:r>
      <w:r w:rsidR="002920BD" w:rsidRPr="00795F17">
        <w:t>e</w:t>
      </w:r>
      <w:r w:rsidRPr="00795F17">
        <w:t xml:space="preserve"> na lata 20</w:t>
      </w:r>
      <w:r w:rsidR="00C92ACF" w:rsidRPr="00795F17">
        <w:t>1</w:t>
      </w:r>
      <w:r w:rsidRPr="00795F17">
        <w:t>6</w:t>
      </w:r>
      <w:r w:rsidR="009F4D4F">
        <w:t>–</w:t>
      </w:r>
      <w:r w:rsidRPr="00795F17">
        <w:t>2021 w</w:t>
      </w:r>
      <w:r w:rsidR="00363357">
        <w:t> </w:t>
      </w:r>
      <w:r w:rsidRPr="00795F17">
        <w:t xml:space="preserve">podziale na regiony wodne przedstawiono w tabeli </w:t>
      </w:r>
      <w:r w:rsidR="0070732C" w:rsidRPr="00795F17">
        <w:t>8</w:t>
      </w:r>
      <w:r w:rsidR="0096755D" w:rsidRPr="00795F17">
        <w:t>-12</w:t>
      </w:r>
      <w:r w:rsidRPr="00795F17">
        <w:t xml:space="preserve">. </w:t>
      </w:r>
    </w:p>
    <w:p w14:paraId="31FB5748" w14:textId="38CABA4B" w:rsidR="003E73D3" w:rsidRPr="00795F17" w:rsidRDefault="003E73D3" w:rsidP="004D7705">
      <w:pPr>
        <w:pStyle w:val="Tabela"/>
      </w:pPr>
      <w:bookmarkStart w:id="420" w:name="_Toc105512822"/>
      <w:r w:rsidRPr="00795F17">
        <w:t xml:space="preserve">Tabela </w:t>
      </w:r>
      <w:fldSimple w:instr=" STYLEREF 1 \s ">
        <w:r w:rsidR="001F774D">
          <w:rPr>
            <w:noProof/>
          </w:rPr>
          <w:t>8</w:t>
        </w:r>
      </w:fldSimple>
      <w:r w:rsidR="00BB3B21" w:rsidRPr="00795F17">
        <w:noBreakHyphen/>
      </w:r>
      <w:fldSimple w:instr=" SEQ Tabela \* ARABIC \s 1 ">
        <w:r w:rsidR="001F774D">
          <w:rPr>
            <w:noProof/>
          </w:rPr>
          <w:t>12</w:t>
        </w:r>
      </w:fldSimple>
      <w:r w:rsidR="00E76356">
        <w:rPr>
          <w:noProof/>
        </w:rPr>
        <w:t>.</w:t>
      </w:r>
      <w:r w:rsidRPr="00795F17">
        <w:tab/>
      </w:r>
      <w:r w:rsidR="00CE64E7" w:rsidRPr="00795F17">
        <w:t>Osiągnięcie</w:t>
      </w:r>
      <w:r w:rsidRPr="00795F17">
        <w:t xml:space="preserve"> celów środowiskowych ustalonych na lata 2016</w:t>
      </w:r>
      <w:r w:rsidR="009F4D4F">
        <w:t>–</w:t>
      </w:r>
      <w:r w:rsidRPr="00795F17">
        <w:t>2021 dla obszaru dorzecza Odry</w:t>
      </w:r>
      <w:bookmarkEnd w:id="4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6"/>
        <w:gridCol w:w="1295"/>
        <w:gridCol w:w="1203"/>
        <w:gridCol w:w="1134"/>
        <w:gridCol w:w="1149"/>
        <w:gridCol w:w="1414"/>
        <w:gridCol w:w="1401"/>
      </w:tblGrid>
      <w:tr w:rsidR="001E3903" w:rsidRPr="00795F17" w14:paraId="702D80B2" w14:textId="77777777" w:rsidTr="001E3903">
        <w:trPr>
          <w:trHeight w:val="454"/>
        </w:trPr>
        <w:tc>
          <w:tcPr>
            <w:tcW w:w="1466" w:type="dxa"/>
            <w:vMerge w:val="restart"/>
            <w:shd w:val="clear" w:color="auto" w:fill="BFBFBF" w:themeFill="background1" w:themeFillShade="BF"/>
            <w:vAlign w:val="center"/>
            <w:hideMark/>
          </w:tcPr>
          <w:p w14:paraId="0B78D459" w14:textId="77777777" w:rsidR="001E3903" w:rsidRPr="00795F17" w:rsidRDefault="001E3903" w:rsidP="001E3903">
            <w:pPr>
              <w:pStyle w:val="Teksttabelinaglowek"/>
            </w:pPr>
            <w:r w:rsidRPr="00795F17">
              <w:t xml:space="preserve">Region </w:t>
            </w:r>
            <w:r w:rsidRPr="00795F17">
              <w:br/>
              <w:t>wodny</w:t>
            </w:r>
          </w:p>
        </w:tc>
        <w:tc>
          <w:tcPr>
            <w:tcW w:w="1295" w:type="dxa"/>
            <w:vMerge w:val="restart"/>
            <w:shd w:val="clear" w:color="auto" w:fill="BFBFBF" w:themeFill="background1" w:themeFillShade="BF"/>
            <w:vAlign w:val="center"/>
            <w:hideMark/>
          </w:tcPr>
          <w:p w14:paraId="3576FF0C" w14:textId="317812AD" w:rsidR="001E3903" w:rsidRPr="00795F17" w:rsidRDefault="001E3903" w:rsidP="001E3903">
            <w:pPr>
              <w:pStyle w:val="Teksttabelinaglowek"/>
            </w:pPr>
            <w:r w:rsidRPr="00795F17">
              <w:t xml:space="preserve">Liczba </w:t>
            </w:r>
            <w:r w:rsidR="00DF005E">
              <w:t>JCWP</w:t>
            </w:r>
            <w:r w:rsidRPr="00795F17">
              <w:t xml:space="preserve">d </w:t>
            </w:r>
            <w:r w:rsidRPr="00795F17">
              <w:br/>
              <w:t>ogółem</w:t>
            </w:r>
          </w:p>
        </w:tc>
        <w:tc>
          <w:tcPr>
            <w:tcW w:w="2337" w:type="dxa"/>
            <w:gridSpan w:val="2"/>
            <w:shd w:val="clear" w:color="auto" w:fill="BFBFBF" w:themeFill="background1" w:themeFillShade="BF"/>
            <w:vAlign w:val="center"/>
            <w:hideMark/>
          </w:tcPr>
          <w:p w14:paraId="31234959" w14:textId="23BB66EA" w:rsidR="001E3903" w:rsidRPr="00795F17" w:rsidRDefault="001E3903" w:rsidP="001E3903">
            <w:pPr>
              <w:pStyle w:val="Teksttabelinaglowek"/>
            </w:pPr>
            <w:r w:rsidRPr="00795F17">
              <w:t xml:space="preserve">Liczba </w:t>
            </w:r>
            <w:r w:rsidR="00DF005E">
              <w:t>JCWP</w:t>
            </w:r>
            <w:r w:rsidRPr="00795F17">
              <w:t>d z</w:t>
            </w:r>
            <w:r w:rsidR="003C3355">
              <w:t> </w:t>
            </w:r>
            <w:r w:rsidRPr="00795F17">
              <w:t>odstępstwem wskazanym w aPGW (2016</w:t>
            </w:r>
            <w:r w:rsidR="009F4D4F">
              <w:t>–</w:t>
            </w:r>
            <w:r w:rsidRPr="00795F17">
              <w:t>2021)</w:t>
            </w:r>
          </w:p>
        </w:tc>
        <w:tc>
          <w:tcPr>
            <w:tcW w:w="3964" w:type="dxa"/>
            <w:gridSpan w:val="3"/>
            <w:shd w:val="clear" w:color="auto" w:fill="BFBFBF" w:themeFill="background1" w:themeFillShade="BF"/>
            <w:vAlign w:val="center"/>
            <w:hideMark/>
          </w:tcPr>
          <w:p w14:paraId="31C1BAF1" w14:textId="174476BA" w:rsidR="001E3903" w:rsidRPr="00795F17" w:rsidRDefault="001E3903" w:rsidP="001E3903">
            <w:pPr>
              <w:pStyle w:val="Teksttabelinaglowek"/>
            </w:pPr>
            <w:r w:rsidRPr="00795F17">
              <w:t xml:space="preserve">Liczba </w:t>
            </w:r>
            <w:r w:rsidR="00DF005E">
              <w:t>JCWP</w:t>
            </w:r>
            <w:r w:rsidRPr="00795F17">
              <w:t>d, które osiągnęły cele środowiskowe</w:t>
            </w:r>
          </w:p>
        </w:tc>
      </w:tr>
      <w:tr w:rsidR="001E3903" w:rsidRPr="00795F17" w14:paraId="326FEC3A" w14:textId="77777777" w:rsidTr="001E3903">
        <w:trPr>
          <w:trHeight w:val="454"/>
        </w:trPr>
        <w:tc>
          <w:tcPr>
            <w:tcW w:w="0" w:type="auto"/>
            <w:vMerge/>
            <w:shd w:val="clear" w:color="auto" w:fill="BFBFBF" w:themeFill="background1" w:themeFillShade="BF"/>
            <w:vAlign w:val="center"/>
            <w:hideMark/>
          </w:tcPr>
          <w:p w14:paraId="1CAF2201" w14:textId="77777777" w:rsidR="001E3903" w:rsidRPr="00795F17" w:rsidRDefault="001E3903" w:rsidP="001E3903">
            <w:pPr>
              <w:pStyle w:val="Teksttabelinaglowek"/>
            </w:pPr>
          </w:p>
        </w:tc>
        <w:tc>
          <w:tcPr>
            <w:tcW w:w="0" w:type="auto"/>
            <w:vMerge/>
            <w:shd w:val="clear" w:color="auto" w:fill="BFBFBF" w:themeFill="background1" w:themeFillShade="BF"/>
            <w:vAlign w:val="center"/>
            <w:hideMark/>
          </w:tcPr>
          <w:p w14:paraId="05B8453A" w14:textId="3AF26126" w:rsidR="001E3903" w:rsidRPr="00795F17" w:rsidRDefault="001E3903" w:rsidP="001E3903">
            <w:pPr>
              <w:pStyle w:val="Teksttabelinaglowek"/>
            </w:pPr>
          </w:p>
        </w:tc>
        <w:tc>
          <w:tcPr>
            <w:tcW w:w="1203" w:type="dxa"/>
            <w:shd w:val="clear" w:color="auto" w:fill="BFBFBF" w:themeFill="background1" w:themeFillShade="BF"/>
            <w:vAlign w:val="center"/>
            <w:hideMark/>
          </w:tcPr>
          <w:p w14:paraId="094472C7" w14:textId="77777777" w:rsidR="001E3903" w:rsidRPr="00795F17" w:rsidRDefault="001E3903" w:rsidP="001E3903">
            <w:pPr>
              <w:pStyle w:val="Teksttabelinaglowek"/>
            </w:pPr>
            <w:r w:rsidRPr="00795F17">
              <w:t>art. 4 ust. 4 RDW</w:t>
            </w:r>
          </w:p>
        </w:tc>
        <w:tc>
          <w:tcPr>
            <w:tcW w:w="1134" w:type="dxa"/>
            <w:shd w:val="clear" w:color="auto" w:fill="BFBFBF" w:themeFill="background1" w:themeFillShade="BF"/>
            <w:vAlign w:val="center"/>
            <w:hideMark/>
          </w:tcPr>
          <w:p w14:paraId="21F3F252" w14:textId="77777777" w:rsidR="001E3903" w:rsidRPr="00795F17" w:rsidRDefault="001E3903" w:rsidP="001E3903">
            <w:pPr>
              <w:pStyle w:val="Teksttabelinaglowek"/>
            </w:pPr>
            <w:r w:rsidRPr="00795F17">
              <w:t>art. 4 ust. 5 RDW</w:t>
            </w:r>
          </w:p>
        </w:tc>
        <w:tc>
          <w:tcPr>
            <w:tcW w:w="1149" w:type="dxa"/>
            <w:shd w:val="clear" w:color="auto" w:fill="BFBFBF" w:themeFill="background1" w:themeFillShade="BF"/>
            <w:vAlign w:val="center"/>
            <w:hideMark/>
          </w:tcPr>
          <w:p w14:paraId="26A3E5D8" w14:textId="01992D89" w:rsidR="001E3903" w:rsidRPr="00795F17" w:rsidRDefault="001E3903" w:rsidP="001E3903">
            <w:pPr>
              <w:pStyle w:val="Teksttabelinaglowek"/>
            </w:pPr>
            <w:r w:rsidRPr="00795F17">
              <w:t xml:space="preserve">Dobry stan </w:t>
            </w:r>
            <w:r w:rsidRPr="00795F17">
              <w:br/>
              <w:t>chemiczny</w:t>
            </w:r>
          </w:p>
        </w:tc>
        <w:tc>
          <w:tcPr>
            <w:tcW w:w="1414" w:type="dxa"/>
            <w:shd w:val="clear" w:color="auto" w:fill="BFBFBF" w:themeFill="background1" w:themeFillShade="BF"/>
            <w:vAlign w:val="center"/>
            <w:hideMark/>
          </w:tcPr>
          <w:p w14:paraId="78B54FD4" w14:textId="518FEDBA" w:rsidR="001E3903" w:rsidRPr="00795F17" w:rsidRDefault="001E3903" w:rsidP="001E3903">
            <w:pPr>
              <w:pStyle w:val="Teksttabelinaglowek"/>
            </w:pPr>
            <w:r w:rsidRPr="00795F17">
              <w:t>Dobry stan ilościowy</w:t>
            </w:r>
          </w:p>
        </w:tc>
        <w:tc>
          <w:tcPr>
            <w:tcW w:w="1401" w:type="dxa"/>
            <w:shd w:val="clear" w:color="auto" w:fill="BFBFBF" w:themeFill="background1" w:themeFillShade="BF"/>
            <w:vAlign w:val="center"/>
            <w:hideMark/>
          </w:tcPr>
          <w:p w14:paraId="5EC47957" w14:textId="36ED7B65" w:rsidR="001E3903" w:rsidRPr="00795F17" w:rsidRDefault="001E3903" w:rsidP="001E3903">
            <w:pPr>
              <w:pStyle w:val="Teksttabelinaglowek"/>
            </w:pPr>
            <w:r w:rsidRPr="00795F17">
              <w:t>Stan ogólny</w:t>
            </w:r>
          </w:p>
        </w:tc>
      </w:tr>
      <w:tr w:rsidR="00A230D1" w:rsidRPr="00795F17" w14:paraId="3273EE9E" w14:textId="77777777" w:rsidTr="001E3903">
        <w:trPr>
          <w:trHeight w:val="454"/>
        </w:trPr>
        <w:tc>
          <w:tcPr>
            <w:tcW w:w="1466" w:type="dxa"/>
            <w:vAlign w:val="center"/>
            <w:hideMark/>
          </w:tcPr>
          <w:p w14:paraId="0AC63CF3" w14:textId="77777777" w:rsidR="00A230D1" w:rsidRPr="00795F17" w:rsidRDefault="00A230D1" w:rsidP="001E3903">
            <w:pPr>
              <w:pStyle w:val="Teksttabelilewy"/>
            </w:pPr>
            <w:r w:rsidRPr="00795F17">
              <w:t>Górnej Odry</w:t>
            </w:r>
          </w:p>
        </w:tc>
        <w:tc>
          <w:tcPr>
            <w:tcW w:w="1295" w:type="dxa"/>
            <w:vAlign w:val="center"/>
            <w:hideMark/>
          </w:tcPr>
          <w:p w14:paraId="721CDB84" w14:textId="77777777" w:rsidR="00A230D1" w:rsidRPr="00795F17" w:rsidRDefault="00A230D1" w:rsidP="001E3903">
            <w:pPr>
              <w:pStyle w:val="Teksttabelisrodek"/>
            </w:pPr>
            <w:r w:rsidRPr="00795F17">
              <w:t>13</w:t>
            </w:r>
          </w:p>
        </w:tc>
        <w:tc>
          <w:tcPr>
            <w:tcW w:w="1203" w:type="dxa"/>
            <w:vAlign w:val="center"/>
            <w:hideMark/>
          </w:tcPr>
          <w:p w14:paraId="581E3B5B" w14:textId="77777777" w:rsidR="00A230D1" w:rsidRPr="00795F17" w:rsidRDefault="00A230D1" w:rsidP="001E3903">
            <w:pPr>
              <w:pStyle w:val="Teksttabelisrodek"/>
            </w:pPr>
            <w:r w:rsidRPr="00795F17">
              <w:t>1</w:t>
            </w:r>
          </w:p>
        </w:tc>
        <w:tc>
          <w:tcPr>
            <w:tcW w:w="1134" w:type="dxa"/>
            <w:vAlign w:val="center"/>
            <w:hideMark/>
          </w:tcPr>
          <w:p w14:paraId="1AD7FB30" w14:textId="77777777" w:rsidR="00A230D1" w:rsidRPr="00795F17" w:rsidRDefault="00A230D1" w:rsidP="001E3903">
            <w:pPr>
              <w:pStyle w:val="Teksttabelisrodek"/>
            </w:pPr>
            <w:r w:rsidRPr="00795F17">
              <w:t>2</w:t>
            </w:r>
          </w:p>
        </w:tc>
        <w:tc>
          <w:tcPr>
            <w:tcW w:w="1149" w:type="dxa"/>
            <w:vAlign w:val="center"/>
            <w:hideMark/>
          </w:tcPr>
          <w:p w14:paraId="6ACC0DD7" w14:textId="77777777" w:rsidR="00A230D1" w:rsidRPr="00795F17" w:rsidRDefault="00A230D1" w:rsidP="001E3903">
            <w:pPr>
              <w:pStyle w:val="Teksttabelisrodek"/>
            </w:pPr>
            <w:r w:rsidRPr="00795F17">
              <w:t>12</w:t>
            </w:r>
          </w:p>
        </w:tc>
        <w:tc>
          <w:tcPr>
            <w:tcW w:w="1414" w:type="dxa"/>
            <w:vAlign w:val="center"/>
            <w:hideMark/>
          </w:tcPr>
          <w:p w14:paraId="313BF428" w14:textId="77777777" w:rsidR="00A230D1" w:rsidRPr="00795F17" w:rsidRDefault="00A230D1" w:rsidP="001E3903">
            <w:pPr>
              <w:pStyle w:val="Teksttabelisrodek"/>
            </w:pPr>
            <w:r w:rsidRPr="00795F17">
              <w:t>11</w:t>
            </w:r>
          </w:p>
        </w:tc>
        <w:tc>
          <w:tcPr>
            <w:tcW w:w="1401" w:type="dxa"/>
            <w:vAlign w:val="center"/>
            <w:hideMark/>
          </w:tcPr>
          <w:p w14:paraId="64127088" w14:textId="77777777" w:rsidR="00A230D1" w:rsidRPr="00795F17" w:rsidRDefault="00A230D1" w:rsidP="001E3903">
            <w:pPr>
              <w:pStyle w:val="Teksttabelisrodek"/>
            </w:pPr>
            <w:r w:rsidRPr="00795F17">
              <w:t>10</w:t>
            </w:r>
          </w:p>
        </w:tc>
      </w:tr>
      <w:tr w:rsidR="00A230D1" w:rsidRPr="00795F17" w14:paraId="29AA43F3" w14:textId="77777777" w:rsidTr="001E3903">
        <w:trPr>
          <w:trHeight w:val="454"/>
        </w:trPr>
        <w:tc>
          <w:tcPr>
            <w:tcW w:w="1466" w:type="dxa"/>
            <w:vAlign w:val="center"/>
            <w:hideMark/>
          </w:tcPr>
          <w:p w14:paraId="2495FBBE" w14:textId="77777777" w:rsidR="00A230D1" w:rsidRPr="00795F17" w:rsidRDefault="00A230D1" w:rsidP="001E3903">
            <w:pPr>
              <w:pStyle w:val="Teksttabelilewy"/>
            </w:pPr>
            <w:r w:rsidRPr="00795F17">
              <w:t>Środkowej Odry</w:t>
            </w:r>
          </w:p>
        </w:tc>
        <w:tc>
          <w:tcPr>
            <w:tcW w:w="1295" w:type="dxa"/>
            <w:vAlign w:val="center"/>
            <w:hideMark/>
          </w:tcPr>
          <w:p w14:paraId="28E7616C" w14:textId="608B6522" w:rsidR="00A230D1" w:rsidRPr="00795F17" w:rsidRDefault="00A230D1" w:rsidP="001E3903">
            <w:pPr>
              <w:pStyle w:val="Teksttabelisrodek"/>
            </w:pPr>
            <w:r w:rsidRPr="00795F17">
              <w:t>2</w:t>
            </w:r>
            <w:r w:rsidR="00BA3001" w:rsidRPr="00795F17">
              <w:t>1</w:t>
            </w:r>
          </w:p>
        </w:tc>
        <w:tc>
          <w:tcPr>
            <w:tcW w:w="1203" w:type="dxa"/>
            <w:vAlign w:val="center"/>
            <w:hideMark/>
          </w:tcPr>
          <w:p w14:paraId="4F9124F4" w14:textId="77777777" w:rsidR="00A230D1" w:rsidRPr="00795F17" w:rsidRDefault="00A230D1" w:rsidP="001E3903">
            <w:pPr>
              <w:pStyle w:val="Teksttabelisrodek"/>
            </w:pPr>
            <w:r w:rsidRPr="00795F17">
              <w:t>-</w:t>
            </w:r>
          </w:p>
        </w:tc>
        <w:tc>
          <w:tcPr>
            <w:tcW w:w="1134" w:type="dxa"/>
            <w:vAlign w:val="center"/>
            <w:hideMark/>
          </w:tcPr>
          <w:p w14:paraId="0E4391BD" w14:textId="77777777" w:rsidR="00A230D1" w:rsidRPr="00795F17" w:rsidRDefault="00A230D1" w:rsidP="001E3903">
            <w:pPr>
              <w:pStyle w:val="Teksttabelisrodek"/>
            </w:pPr>
            <w:r w:rsidRPr="00795F17">
              <w:t>3</w:t>
            </w:r>
          </w:p>
        </w:tc>
        <w:tc>
          <w:tcPr>
            <w:tcW w:w="1149" w:type="dxa"/>
            <w:vAlign w:val="center"/>
            <w:hideMark/>
          </w:tcPr>
          <w:p w14:paraId="513AC51E" w14:textId="5EB3C3B5" w:rsidR="00A230D1" w:rsidRPr="00795F17" w:rsidRDefault="00BA3001" w:rsidP="001E3903">
            <w:pPr>
              <w:pStyle w:val="Teksttabelisrodek"/>
            </w:pPr>
            <w:r w:rsidRPr="00795F17">
              <w:t>20</w:t>
            </w:r>
          </w:p>
        </w:tc>
        <w:tc>
          <w:tcPr>
            <w:tcW w:w="1414" w:type="dxa"/>
            <w:vAlign w:val="center"/>
            <w:hideMark/>
          </w:tcPr>
          <w:p w14:paraId="56A8F859" w14:textId="3167E859" w:rsidR="00A230D1" w:rsidRPr="00795F17" w:rsidRDefault="00A230D1" w:rsidP="001E3903">
            <w:pPr>
              <w:pStyle w:val="Teksttabelisrodek"/>
            </w:pPr>
            <w:r w:rsidRPr="00795F17">
              <w:t>1</w:t>
            </w:r>
            <w:r w:rsidR="00BA3001" w:rsidRPr="00795F17">
              <w:t>8</w:t>
            </w:r>
          </w:p>
        </w:tc>
        <w:tc>
          <w:tcPr>
            <w:tcW w:w="1401" w:type="dxa"/>
            <w:vAlign w:val="center"/>
            <w:hideMark/>
          </w:tcPr>
          <w:p w14:paraId="2B4C501D" w14:textId="7A495FE4" w:rsidR="00A230D1" w:rsidRPr="00795F17" w:rsidRDefault="00A230D1" w:rsidP="001E3903">
            <w:pPr>
              <w:pStyle w:val="Teksttabelisrodek"/>
            </w:pPr>
            <w:r w:rsidRPr="00795F17">
              <w:t>1</w:t>
            </w:r>
            <w:r w:rsidR="00BA3001" w:rsidRPr="00795F17">
              <w:t>8</w:t>
            </w:r>
          </w:p>
        </w:tc>
      </w:tr>
      <w:tr w:rsidR="00A230D1" w:rsidRPr="00795F17" w14:paraId="7D1E5C8D" w14:textId="77777777" w:rsidTr="001E3903">
        <w:trPr>
          <w:trHeight w:val="454"/>
        </w:trPr>
        <w:tc>
          <w:tcPr>
            <w:tcW w:w="1466" w:type="dxa"/>
            <w:vAlign w:val="center"/>
            <w:hideMark/>
          </w:tcPr>
          <w:p w14:paraId="03FD8BD6" w14:textId="68A90250" w:rsidR="00A230D1" w:rsidRPr="00795F17" w:rsidRDefault="00A230D1" w:rsidP="001E3903">
            <w:pPr>
              <w:pStyle w:val="Teksttabelilewy"/>
            </w:pPr>
            <w:r w:rsidRPr="00795F17">
              <w:t>Dolnej Odry i</w:t>
            </w:r>
            <w:r w:rsidR="003C3355">
              <w:t> </w:t>
            </w:r>
            <w:r w:rsidRPr="00795F17">
              <w:t>Przymorza Zachodniego</w:t>
            </w:r>
          </w:p>
        </w:tc>
        <w:tc>
          <w:tcPr>
            <w:tcW w:w="1295" w:type="dxa"/>
            <w:vAlign w:val="center"/>
            <w:hideMark/>
          </w:tcPr>
          <w:p w14:paraId="30EA39F4" w14:textId="77777777" w:rsidR="00A230D1" w:rsidRPr="00795F17" w:rsidRDefault="00A230D1" w:rsidP="001E3903">
            <w:pPr>
              <w:pStyle w:val="Teksttabelisrodek"/>
            </w:pPr>
            <w:r w:rsidRPr="00795F17">
              <w:t>12</w:t>
            </w:r>
          </w:p>
        </w:tc>
        <w:tc>
          <w:tcPr>
            <w:tcW w:w="1203" w:type="dxa"/>
            <w:vAlign w:val="center"/>
            <w:hideMark/>
          </w:tcPr>
          <w:p w14:paraId="24BE1BBC" w14:textId="77777777" w:rsidR="00A230D1" w:rsidRPr="00795F17" w:rsidRDefault="00A230D1" w:rsidP="001E3903">
            <w:pPr>
              <w:pStyle w:val="Teksttabelisrodek"/>
            </w:pPr>
            <w:r w:rsidRPr="00795F17">
              <w:t>1</w:t>
            </w:r>
          </w:p>
        </w:tc>
        <w:tc>
          <w:tcPr>
            <w:tcW w:w="1134" w:type="dxa"/>
            <w:vAlign w:val="center"/>
            <w:hideMark/>
          </w:tcPr>
          <w:p w14:paraId="2C3AC9D3" w14:textId="77777777" w:rsidR="00A230D1" w:rsidRPr="00795F17" w:rsidRDefault="00A230D1" w:rsidP="001E3903">
            <w:pPr>
              <w:pStyle w:val="Teksttabelisrodek"/>
            </w:pPr>
            <w:r w:rsidRPr="00795F17">
              <w:t>-</w:t>
            </w:r>
          </w:p>
        </w:tc>
        <w:tc>
          <w:tcPr>
            <w:tcW w:w="1149" w:type="dxa"/>
            <w:vAlign w:val="center"/>
            <w:hideMark/>
          </w:tcPr>
          <w:p w14:paraId="665D64EA" w14:textId="77777777" w:rsidR="00A230D1" w:rsidRPr="00795F17" w:rsidRDefault="00A230D1" w:rsidP="001E3903">
            <w:pPr>
              <w:pStyle w:val="Teksttabelisrodek"/>
            </w:pPr>
            <w:r w:rsidRPr="00795F17">
              <w:t>11</w:t>
            </w:r>
          </w:p>
        </w:tc>
        <w:tc>
          <w:tcPr>
            <w:tcW w:w="1414" w:type="dxa"/>
            <w:vAlign w:val="center"/>
            <w:hideMark/>
          </w:tcPr>
          <w:p w14:paraId="27F546DE" w14:textId="77777777" w:rsidR="00A230D1" w:rsidRPr="00795F17" w:rsidRDefault="00A230D1" w:rsidP="001E3903">
            <w:pPr>
              <w:pStyle w:val="Teksttabelisrodek"/>
            </w:pPr>
            <w:r w:rsidRPr="00795F17">
              <w:t>10</w:t>
            </w:r>
          </w:p>
        </w:tc>
        <w:tc>
          <w:tcPr>
            <w:tcW w:w="1401" w:type="dxa"/>
            <w:vAlign w:val="center"/>
            <w:hideMark/>
          </w:tcPr>
          <w:p w14:paraId="07AC6EAB" w14:textId="77777777" w:rsidR="00A230D1" w:rsidRPr="00795F17" w:rsidRDefault="00A230D1" w:rsidP="001E3903">
            <w:pPr>
              <w:pStyle w:val="Teksttabelisrodek"/>
            </w:pPr>
            <w:r w:rsidRPr="00795F17">
              <w:t>10</w:t>
            </w:r>
          </w:p>
        </w:tc>
      </w:tr>
      <w:tr w:rsidR="00A230D1" w:rsidRPr="00795F17" w14:paraId="584500A7" w14:textId="77777777" w:rsidTr="001E3903">
        <w:trPr>
          <w:trHeight w:val="454"/>
        </w:trPr>
        <w:tc>
          <w:tcPr>
            <w:tcW w:w="1466" w:type="dxa"/>
            <w:vAlign w:val="center"/>
            <w:hideMark/>
          </w:tcPr>
          <w:p w14:paraId="10D1838A" w14:textId="77777777" w:rsidR="00A230D1" w:rsidRPr="00795F17" w:rsidRDefault="00A230D1" w:rsidP="001E3903">
            <w:pPr>
              <w:pStyle w:val="Teksttabelilewy"/>
            </w:pPr>
            <w:r w:rsidRPr="00795F17">
              <w:t>Warty</w:t>
            </w:r>
          </w:p>
        </w:tc>
        <w:tc>
          <w:tcPr>
            <w:tcW w:w="1295" w:type="dxa"/>
            <w:vAlign w:val="center"/>
            <w:hideMark/>
          </w:tcPr>
          <w:p w14:paraId="50AFF16A" w14:textId="77777777" w:rsidR="00A230D1" w:rsidRPr="00795F17" w:rsidRDefault="00A230D1" w:rsidP="001E3903">
            <w:pPr>
              <w:pStyle w:val="Teksttabelisrodek"/>
            </w:pPr>
            <w:r w:rsidRPr="00795F17">
              <w:t>16</w:t>
            </w:r>
          </w:p>
        </w:tc>
        <w:tc>
          <w:tcPr>
            <w:tcW w:w="1203" w:type="dxa"/>
            <w:vAlign w:val="center"/>
            <w:hideMark/>
          </w:tcPr>
          <w:p w14:paraId="08CD56C3" w14:textId="77777777" w:rsidR="00A230D1" w:rsidRPr="00795F17" w:rsidRDefault="00A230D1" w:rsidP="001E3903">
            <w:pPr>
              <w:pStyle w:val="Teksttabelisrodek"/>
            </w:pPr>
            <w:r w:rsidRPr="00795F17">
              <w:t>1</w:t>
            </w:r>
          </w:p>
        </w:tc>
        <w:tc>
          <w:tcPr>
            <w:tcW w:w="1134" w:type="dxa"/>
            <w:vAlign w:val="center"/>
            <w:hideMark/>
          </w:tcPr>
          <w:p w14:paraId="488635DB" w14:textId="77777777" w:rsidR="00A230D1" w:rsidRPr="00795F17" w:rsidRDefault="00A230D1" w:rsidP="001E3903">
            <w:pPr>
              <w:pStyle w:val="Teksttabelisrodek"/>
            </w:pPr>
            <w:r w:rsidRPr="00795F17">
              <w:t>2</w:t>
            </w:r>
          </w:p>
        </w:tc>
        <w:tc>
          <w:tcPr>
            <w:tcW w:w="1149" w:type="dxa"/>
            <w:vAlign w:val="center"/>
            <w:hideMark/>
          </w:tcPr>
          <w:p w14:paraId="5FCCE32E" w14:textId="77777777" w:rsidR="00A230D1" w:rsidRPr="00795F17" w:rsidRDefault="00A230D1" w:rsidP="001E3903">
            <w:pPr>
              <w:pStyle w:val="Teksttabelisrodek"/>
            </w:pPr>
            <w:r w:rsidRPr="00795F17">
              <w:t>15</w:t>
            </w:r>
          </w:p>
        </w:tc>
        <w:tc>
          <w:tcPr>
            <w:tcW w:w="1414" w:type="dxa"/>
            <w:vAlign w:val="center"/>
            <w:hideMark/>
          </w:tcPr>
          <w:p w14:paraId="523446A2" w14:textId="77777777" w:rsidR="00A230D1" w:rsidRPr="00795F17" w:rsidRDefault="00A230D1" w:rsidP="001E3903">
            <w:pPr>
              <w:pStyle w:val="Teksttabelisrodek"/>
            </w:pPr>
            <w:r w:rsidRPr="00795F17">
              <w:t>14</w:t>
            </w:r>
          </w:p>
        </w:tc>
        <w:tc>
          <w:tcPr>
            <w:tcW w:w="1401" w:type="dxa"/>
            <w:vAlign w:val="center"/>
            <w:hideMark/>
          </w:tcPr>
          <w:p w14:paraId="3A869669" w14:textId="77777777" w:rsidR="00A230D1" w:rsidRPr="00795F17" w:rsidRDefault="00A230D1" w:rsidP="001E3903">
            <w:pPr>
              <w:pStyle w:val="Teksttabelisrodek"/>
            </w:pPr>
            <w:r w:rsidRPr="00795F17">
              <w:t>13</w:t>
            </w:r>
          </w:p>
        </w:tc>
      </w:tr>
      <w:tr w:rsidR="00A230D1" w:rsidRPr="00795F17" w14:paraId="14E8182A" w14:textId="77777777" w:rsidTr="001E3903">
        <w:trPr>
          <w:trHeight w:val="454"/>
        </w:trPr>
        <w:tc>
          <w:tcPr>
            <w:tcW w:w="1466" w:type="dxa"/>
            <w:vAlign w:val="center"/>
            <w:hideMark/>
          </w:tcPr>
          <w:p w14:paraId="6A36DD95" w14:textId="77777777" w:rsidR="00A230D1" w:rsidRPr="00795F17" w:rsidRDefault="00A230D1" w:rsidP="001E3903">
            <w:pPr>
              <w:pStyle w:val="Teksttabelilewy"/>
            </w:pPr>
            <w:r w:rsidRPr="00795F17">
              <w:t>Noteci</w:t>
            </w:r>
          </w:p>
        </w:tc>
        <w:tc>
          <w:tcPr>
            <w:tcW w:w="1295" w:type="dxa"/>
            <w:vAlign w:val="center"/>
            <w:hideMark/>
          </w:tcPr>
          <w:p w14:paraId="55DF91F1" w14:textId="77777777" w:rsidR="00A230D1" w:rsidRPr="00795F17" w:rsidRDefault="00A230D1" w:rsidP="001E3903">
            <w:pPr>
              <w:pStyle w:val="Teksttabelisrodek"/>
            </w:pPr>
            <w:r w:rsidRPr="00795F17">
              <w:t>6</w:t>
            </w:r>
          </w:p>
        </w:tc>
        <w:tc>
          <w:tcPr>
            <w:tcW w:w="1203" w:type="dxa"/>
            <w:vAlign w:val="center"/>
            <w:hideMark/>
          </w:tcPr>
          <w:p w14:paraId="7CEEAB34" w14:textId="77777777" w:rsidR="00A230D1" w:rsidRPr="00795F17" w:rsidRDefault="00A230D1" w:rsidP="001E3903">
            <w:pPr>
              <w:pStyle w:val="Teksttabelisrodek"/>
            </w:pPr>
            <w:r w:rsidRPr="00795F17">
              <w:t>1</w:t>
            </w:r>
          </w:p>
        </w:tc>
        <w:tc>
          <w:tcPr>
            <w:tcW w:w="1134" w:type="dxa"/>
            <w:vAlign w:val="center"/>
            <w:hideMark/>
          </w:tcPr>
          <w:p w14:paraId="6B2AF63B" w14:textId="77777777" w:rsidR="00A230D1" w:rsidRPr="00795F17" w:rsidRDefault="00A230D1" w:rsidP="001E3903">
            <w:pPr>
              <w:pStyle w:val="Teksttabelisrodek"/>
            </w:pPr>
            <w:r w:rsidRPr="00795F17">
              <w:t>2</w:t>
            </w:r>
          </w:p>
        </w:tc>
        <w:tc>
          <w:tcPr>
            <w:tcW w:w="1149" w:type="dxa"/>
            <w:vAlign w:val="center"/>
            <w:hideMark/>
          </w:tcPr>
          <w:p w14:paraId="6A351783" w14:textId="77777777" w:rsidR="00A230D1" w:rsidRPr="00795F17" w:rsidRDefault="00A230D1" w:rsidP="001E3903">
            <w:pPr>
              <w:pStyle w:val="Teksttabelisrodek"/>
            </w:pPr>
            <w:r w:rsidRPr="00795F17">
              <w:t>5</w:t>
            </w:r>
          </w:p>
        </w:tc>
        <w:tc>
          <w:tcPr>
            <w:tcW w:w="1414" w:type="dxa"/>
            <w:vAlign w:val="center"/>
            <w:hideMark/>
          </w:tcPr>
          <w:p w14:paraId="11D3F3F4" w14:textId="77777777" w:rsidR="00A230D1" w:rsidRPr="00795F17" w:rsidRDefault="00A230D1" w:rsidP="001E3903">
            <w:pPr>
              <w:pStyle w:val="Teksttabelisrodek"/>
            </w:pPr>
            <w:r w:rsidRPr="00795F17">
              <w:t>4</w:t>
            </w:r>
          </w:p>
        </w:tc>
        <w:tc>
          <w:tcPr>
            <w:tcW w:w="1401" w:type="dxa"/>
            <w:vAlign w:val="center"/>
            <w:hideMark/>
          </w:tcPr>
          <w:p w14:paraId="0B4298AF" w14:textId="77777777" w:rsidR="00A230D1" w:rsidRPr="00795F17" w:rsidRDefault="00A230D1" w:rsidP="001E3903">
            <w:pPr>
              <w:pStyle w:val="Teksttabelisrodek"/>
            </w:pPr>
            <w:r w:rsidRPr="00795F17">
              <w:t>4</w:t>
            </w:r>
          </w:p>
        </w:tc>
      </w:tr>
      <w:tr w:rsidR="00A230D1" w:rsidRPr="00795F17" w14:paraId="0967A461" w14:textId="77777777" w:rsidTr="001E3903">
        <w:trPr>
          <w:trHeight w:val="454"/>
        </w:trPr>
        <w:tc>
          <w:tcPr>
            <w:tcW w:w="1466" w:type="dxa"/>
            <w:shd w:val="clear" w:color="auto" w:fill="BFBFBF" w:themeFill="background1" w:themeFillShade="BF"/>
            <w:vAlign w:val="center"/>
            <w:hideMark/>
          </w:tcPr>
          <w:p w14:paraId="26F3CBA4" w14:textId="77777777" w:rsidR="00A230D1" w:rsidRPr="00795F17" w:rsidRDefault="00A230D1" w:rsidP="00124725">
            <w:pPr>
              <w:pStyle w:val="Teksttabelinaglowek"/>
            </w:pPr>
            <w:r w:rsidRPr="00795F17">
              <w:t>Łącznie dla obszaru dorzecza*</w:t>
            </w:r>
          </w:p>
        </w:tc>
        <w:tc>
          <w:tcPr>
            <w:tcW w:w="1295" w:type="dxa"/>
            <w:shd w:val="clear" w:color="auto" w:fill="BFBFBF" w:themeFill="background1" w:themeFillShade="BF"/>
            <w:vAlign w:val="center"/>
            <w:hideMark/>
          </w:tcPr>
          <w:p w14:paraId="71D817E2" w14:textId="6BF0AB8E" w:rsidR="00A230D1" w:rsidRPr="00795F17" w:rsidRDefault="00A230D1" w:rsidP="00BA3001">
            <w:pPr>
              <w:pStyle w:val="Teksttabelisrodek"/>
              <w:rPr>
                <w:b/>
              </w:rPr>
            </w:pPr>
            <w:r w:rsidRPr="00795F17">
              <w:rPr>
                <w:b/>
              </w:rPr>
              <w:t>6</w:t>
            </w:r>
            <w:r w:rsidR="00BA3001" w:rsidRPr="00795F17">
              <w:rPr>
                <w:b/>
              </w:rPr>
              <w:t>8</w:t>
            </w:r>
          </w:p>
        </w:tc>
        <w:tc>
          <w:tcPr>
            <w:tcW w:w="1203" w:type="dxa"/>
            <w:shd w:val="clear" w:color="auto" w:fill="BFBFBF" w:themeFill="background1" w:themeFillShade="BF"/>
            <w:vAlign w:val="center"/>
            <w:hideMark/>
          </w:tcPr>
          <w:p w14:paraId="0A1939FB" w14:textId="77777777" w:rsidR="00A230D1" w:rsidRPr="00795F17" w:rsidRDefault="00A230D1" w:rsidP="001E3903">
            <w:pPr>
              <w:pStyle w:val="Teksttabelisrodek"/>
              <w:rPr>
                <w:b/>
              </w:rPr>
            </w:pPr>
            <w:r w:rsidRPr="00795F17">
              <w:rPr>
                <w:b/>
              </w:rPr>
              <w:t>4</w:t>
            </w:r>
          </w:p>
        </w:tc>
        <w:tc>
          <w:tcPr>
            <w:tcW w:w="1134" w:type="dxa"/>
            <w:shd w:val="clear" w:color="auto" w:fill="BFBFBF" w:themeFill="background1" w:themeFillShade="BF"/>
            <w:vAlign w:val="center"/>
            <w:hideMark/>
          </w:tcPr>
          <w:p w14:paraId="04D215D9" w14:textId="77777777" w:rsidR="00A230D1" w:rsidRPr="00795F17" w:rsidRDefault="00A230D1" w:rsidP="001E3903">
            <w:pPr>
              <w:pStyle w:val="Teksttabelisrodek"/>
              <w:rPr>
                <w:b/>
              </w:rPr>
            </w:pPr>
            <w:r w:rsidRPr="00795F17">
              <w:rPr>
                <w:b/>
              </w:rPr>
              <w:t>9</w:t>
            </w:r>
          </w:p>
        </w:tc>
        <w:tc>
          <w:tcPr>
            <w:tcW w:w="1149" w:type="dxa"/>
            <w:shd w:val="clear" w:color="auto" w:fill="BFBFBF" w:themeFill="background1" w:themeFillShade="BF"/>
            <w:vAlign w:val="center"/>
            <w:hideMark/>
          </w:tcPr>
          <w:p w14:paraId="0A9CDA23" w14:textId="0AF25F00" w:rsidR="00A230D1" w:rsidRPr="00795F17" w:rsidRDefault="00A230D1" w:rsidP="001E3903">
            <w:pPr>
              <w:pStyle w:val="Teksttabelisrodek"/>
              <w:rPr>
                <w:b/>
              </w:rPr>
            </w:pPr>
            <w:r w:rsidRPr="00795F17">
              <w:rPr>
                <w:b/>
              </w:rPr>
              <w:t>6</w:t>
            </w:r>
            <w:r w:rsidR="00BA3001" w:rsidRPr="00795F17">
              <w:rPr>
                <w:b/>
              </w:rPr>
              <w:t>3</w:t>
            </w:r>
          </w:p>
        </w:tc>
        <w:tc>
          <w:tcPr>
            <w:tcW w:w="1414" w:type="dxa"/>
            <w:shd w:val="clear" w:color="auto" w:fill="BFBFBF" w:themeFill="background1" w:themeFillShade="BF"/>
            <w:vAlign w:val="center"/>
            <w:hideMark/>
          </w:tcPr>
          <w:p w14:paraId="3E691BF3" w14:textId="0F333295" w:rsidR="00A230D1" w:rsidRPr="00795F17" w:rsidRDefault="00A230D1" w:rsidP="001E3903">
            <w:pPr>
              <w:pStyle w:val="Teksttabelisrodek"/>
              <w:rPr>
                <w:b/>
              </w:rPr>
            </w:pPr>
            <w:r w:rsidRPr="00795F17">
              <w:rPr>
                <w:b/>
              </w:rPr>
              <w:t>5</w:t>
            </w:r>
            <w:r w:rsidR="00BA3001" w:rsidRPr="00795F17">
              <w:rPr>
                <w:b/>
              </w:rPr>
              <w:t>7</w:t>
            </w:r>
          </w:p>
        </w:tc>
        <w:tc>
          <w:tcPr>
            <w:tcW w:w="1401" w:type="dxa"/>
            <w:shd w:val="clear" w:color="auto" w:fill="BFBFBF" w:themeFill="background1" w:themeFillShade="BF"/>
            <w:vAlign w:val="center"/>
            <w:hideMark/>
          </w:tcPr>
          <w:p w14:paraId="61620BB2" w14:textId="3A283EB8" w:rsidR="00A230D1" w:rsidRPr="00795F17" w:rsidRDefault="00A230D1" w:rsidP="001E3903">
            <w:pPr>
              <w:pStyle w:val="Teksttabelisrodek"/>
              <w:rPr>
                <w:b/>
              </w:rPr>
            </w:pPr>
            <w:r w:rsidRPr="00795F17">
              <w:rPr>
                <w:b/>
              </w:rPr>
              <w:t>5</w:t>
            </w:r>
            <w:r w:rsidR="00BA3001" w:rsidRPr="00795F17">
              <w:rPr>
                <w:b/>
              </w:rPr>
              <w:t>5</w:t>
            </w:r>
          </w:p>
        </w:tc>
      </w:tr>
    </w:tbl>
    <w:p w14:paraId="0C4F3123" w14:textId="2BDAF256" w:rsidR="00373EAB" w:rsidRPr="00795F17" w:rsidRDefault="008F7315" w:rsidP="00373EAB">
      <w:pPr>
        <w:pStyle w:val="Tabela-wyjasnieniapod"/>
      </w:pPr>
      <w:r>
        <w:t>Objaśnienia:</w:t>
      </w:r>
      <w:r>
        <w:br/>
      </w:r>
      <w:r w:rsidR="00A230D1" w:rsidRPr="00795F17">
        <w:t>*</w:t>
      </w:r>
      <w:r w:rsidR="00AD5CB7" w:rsidRPr="00795F17">
        <w:t xml:space="preserve"> </w:t>
      </w:r>
      <w:r w:rsidR="00373EAB" w:rsidRPr="00795F17">
        <w:t>Z uwagi na to, że</w:t>
      </w:r>
      <w:r w:rsidR="00BA6B41">
        <w:t xml:space="preserve"> </w:t>
      </w:r>
      <w:r w:rsidR="00DF005E">
        <w:t>JCWP</w:t>
      </w:r>
      <w:r w:rsidR="00373EAB" w:rsidRPr="00795F17">
        <w:t xml:space="preserve">d </w:t>
      </w:r>
      <w:r w:rsidR="007302DC" w:rsidRPr="00795F17">
        <w:t xml:space="preserve">nr 40 i 62 </w:t>
      </w:r>
      <w:r w:rsidR="00373EAB" w:rsidRPr="00795F17">
        <w:t xml:space="preserve">są położone na obszarze dwóch regionów wodnych, wskazana w tabeli suma </w:t>
      </w:r>
      <w:r w:rsidR="00DF005E">
        <w:t>JCWP</w:t>
      </w:r>
      <w:r w:rsidR="00373EAB" w:rsidRPr="00795F17">
        <w:t xml:space="preserve">d dla obszaru dorzecza jest wyższa od faktycznej liczny </w:t>
      </w:r>
      <w:r w:rsidR="00DF005E">
        <w:t>JCWP</w:t>
      </w:r>
      <w:r w:rsidR="00373EAB" w:rsidRPr="00795F17">
        <w:t xml:space="preserve">d, która wynosi w obszarze dorzecza Odry 66 </w:t>
      </w:r>
      <w:r w:rsidR="00DF005E">
        <w:t>JCWP</w:t>
      </w:r>
      <w:r w:rsidR="00373EAB" w:rsidRPr="00795F17">
        <w:t>d</w:t>
      </w:r>
    </w:p>
    <w:p w14:paraId="4522F117" w14:textId="4F9B1A5D" w:rsidR="00EC019C" w:rsidRPr="00795F17" w:rsidRDefault="00EC019C" w:rsidP="00373EAB">
      <w:pPr>
        <w:pStyle w:val="rdo"/>
      </w:pPr>
      <w:r w:rsidRPr="00795F17">
        <w:t xml:space="preserve">Źródło: </w:t>
      </w:r>
      <w:r w:rsidR="00A62769" w:rsidRPr="00795F17">
        <w:t>opracowanie własne na</w:t>
      </w:r>
      <w:r w:rsidR="00C123DA" w:rsidRPr="00795F17">
        <w:t xml:space="preserve"> podstawie danych aPGW</w:t>
      </w:r>
    </w:p>
    <w:p w14:paraId="4655DC3C" w14:textId="62AE2194" w:rsidR="007F1D57" w:rsidRPr="00795F17" w:rsidRDefault="007F1D57" w:rsidP="00B479EE">
      <w:pPr>
        <w:pStyle w:val="Wykres"/>
      </w:pPr>
      <w:bookmarkStart w:id="421" w:name="_Hlk67490795"/>
      <w:bookmarkEnd w:id="419"/>
      <w:r w:rsidRPr="00795F17">
        <w:rPr>
          <w:noProof/>
          <w:lang w:eastAsia="pl-PL"/>
        </w:rPr>
        <w:drawing>
          <wp:inline distT="0" distB="0" distL="0" distR="0" wp14:anchorId="4D4B0AAC" wp14:editId="2CE7B424">
            <wp:extent cx="5699125" cy="3858567"/>
            <wp:effectExtent l="0" t="0" r="15875" b="8890"/>
            <wp:docPr id="44" name="Wykres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8B661A3" w14:textId="1E274CAA" w:rsidR="001E3903" w:rsidRPr="00795F17" w:rsidRDefault="001E3903" w:rsidP="00B479EE">
      <w:pPr>
        <w:pStyle w:val="Wykres"/>
      </w:pPr>
      <w:bookmarkStart w:id="422" w:name="_Toc105513001"/>
      <w:r w:rsidRPr="00795F17">
        <w:t xml:space="preserve">Wykres </w:t>
      </w:r>
      <w:fldSimple w:instr=" STYLEREF 1 \s ">
        <w:r w:rsidR="001F774D">
          <w:rPr>
            <w:noProof/>
          </w:rPr>
          <w:t>8</w:t>
        </w:r>
      </w:fldSimple>
      <w:r w:rsidR="00FF20D3">
        <w:noBreakHyphen/>
      </w:r>
      <w:fldSimple w:instr=" SEQ Wykres \* ARABIC \s 1 ">
        <w:r w:rsidR="001F774D">
          <w:rPr>
            <w:noProof/>
          </w:rPr>
          <w:t>12</w:t>
        </w:r>
      </w:fldSimple>
      <w:r w:rsidR="00A2734E">
        <w:rPr>
          <w:noProof/>
        </w:rPr>
        <w:t>.</w:t>
      </w:r>
      <w:r w:rsidRPr="00795F17">
        <w:tab/>
      </w:r>
      <w:r w:rsidR="00C13791" w:rsidRPr="00795F17">
        <w:t>Ocena osiągnięcia wyznaczonych w aPGW (2016</w:t>
      </w:r>
      <w:r w:rsidR="009F4D4F">
        <w:t>–</w:t>
      </w:r>
      <w:r w:rsidR="00C13791" w:rsidRPr="00795F17">
        <w:t xml:space="preserve">2021) celów środowiskowych </w:t>
      </w:r>
      <w:r w:rsidR="00E53AA2" w:rsidRPr="00795F17">
        <w:t xml:space="preserve">dla </w:t>
      </w:r>
      <w:r w:rsidR="00DF005E">
        <w:t>JCWP</w:t>
      </w:r>
      <w:r w:rsidR="00C13791" w:rsidRPr="00795F17">
        <w:t>d na</w:t>
      </w:r>
      <w:r w:rsidR="00D26FB9" w:rsidRPr="00795F17">
        <w:t> </w:t>
      </w:r>
      <w:r w:rsidR="00C13791" w:rsidRPr="00795F17">
        <w:t>obszarze dorzecza Odry oraz w poszczególnych regionach wodnych tego obszaru dorzecza w oparciu o nowy układ jednostek planistycznych</w:t>
      </w:r>
      <w:bookmarkEnd w:id="422"/>
    </w:p>
    <w:bookmarkEnd w:id="421"/>
    <w:p w14:paraId="41D41692" w14:textId="1A5AF540" w:rsidR="001E3903" w:rsidRPr="00795F17" w:rsidRDefault="001E3903" w:rsidP="001E3903">
      <w:pPr>
        <w:pStyle w:val="rdo"/>
      </w:pPr>
      <w:r w:rsidRPr="00795F17">
        <w:t xml:space="preserve">Źródło: </w:t>
      </w:r>
      <w:r w:rsidR="00A62769" w:rsidRPr="00795F17">
        <w:t>opracowanie własne na</w:t>
      </w:r>
      <w:r w:rsidRPr="00795F17">
        <w:t xml:space="preserve"> podstawie danych aPGW</w:t>
      </w:r>
    </w:p>
    <w:p w14:paraId="5815DC5C" w14:textId="4D759910" w:rsidR="008D1D1F" w:rsidRDefault="008D1D1F" w:rsidP="008D1D1F">
      <w:r>
        <w:t xml:space="preserve">Celem środowiskowym dla </w:t>
      </w:r>
      <w:r w:rsidR="00DF005E">
        <w:t>JCWP</w:t>
      </w:r>
      <w:r>
        <w:t>d na lata 2022</w:t>
      </w:r>
      <w:r w:rsidR="009F4D4F">
        <w:t>–</w:t>
      </w:r>
      <w:r>
        <w:t>2027 jest dobry stan chemiczny i ilościowy. Tak ustalony cel odniesiono do otrzymanego wyniku oceny stanu wykonanej w 2020 r</w:t>
      </w:r>
      <w:r w:rsidR="00363DD6">
        <w:t>.</w:t>
      </w:r>
      <w:r>
        <w:t xml:space="preserve"> (w oparciu o wyniki monitoringu diagnostycznego z 2019 r.). Dla </w:t>
      </w:r>
      <w:r w:rsidR="00DF005E">
        <w:t>JCWP</w:t>
      </w:r>
      <w:r>
        <w:t xml:space="preserve">d o stanie słabym określono przyczyny stanu słabego (wynik poszczególnych testów klasyfikacyjnych) oraz wskazano dla jakich wskaźników zostały przekroczone wartości progowe dobrego stanu. </w:t>
      </w:r>
    </w:p>
    <w:p w14:paraId="0E3470AD" w14:textId="691AA8F6" w:rsidR="00A8199D" w:rsidRPr="00795F17" w:rsidRDefault="00A230D1" w:rsidP="0044393D">
      <w:r w:rsidRPr="00795F17">
        <w:t xml:space="preserve">W przypadku </w:t>
      </w:r>
      <w:r w:rsidR="00DF005E">
        <w:t>JCWP</w:t>
      </w:r>
      <w:r w:rsidRPr="00795F17">
        <w:t>d, które zostały zidentyfikowane jako zagrożone i będące w stanie słabym zgodnie najbardziej aktualną oceną stanu wykonaną w 2020 r., przeprowadzono procedurę wyłączeń, czyli ustalenia odstępstw od celów środowiskowych. Biorąc pod uwagę przyczyny stanu słabego, w tym wynik test</w:t>
      </w:r>
      <w:r w:rsidR="00EE3290" w:rsidRPr="00795F17">
        <w:t>u</w:t>
      </w:r>
      <w:r w:rsidRPr="00795F17">
        <w:t xml:space="preserve"> klasyfikacyjnego decydującego o stanie słabym, a także analizę presji oraz charakterystyki </w:t>
      </w:r>
      <w:r w:rsidR="00DF005E">
        <w:t>JCWP</w:t>
      </w:r>
      <w:r w:rsidRPr="00795F17">
        <w:t xml:space="preserve">d, zaproponowano odstępstwa od celów środowiskowych w postaci przedłużenia terminu osiągnięcia celów (odstępstwo z tytułu art. 4 ust. 4. RDW) bądź ustalenia mniej rygorystycznych celów (odstępstwo z tytułu art. 4 ust. 5 RDW). Cele środowiskowe dla </w:t>
      </w:r>
      <w:r w:rsidR="00DF005E">
        <w:t>JCWP</w:t>
      </w:r>
      <w:r w:rsidRPr="00795F17">
        <w:t>d na obszarze dorzecza Odry, w</w:t>
      </w:r>
      <w:r w:rsidR="00EE3290" w:rsidRPr="00795F17">
        <w:t> </w:t>
      </w:r>
      <w:r w:rsidRPr="00795F17">
        <w:t>podziale na regiony wodne, ustalone na lata 2022</w:t>
      </w:r>
      <w:r w:rsidR="009F4D4F">
        <w:t>–</w:t>
      </w:r>
      <w:r w:rsidRPr="00795F17">
        <w:t xml:space="preserve">2027 przedstawiono w tabeli </w:t>
      </w:r>
      <w:r w:rsidR="0096755D" w:rsidRPr="00795F17">
        <w:t>8-1</w:t>
      </w:r>
      <w:r w:rsidR="00EE3290" w:rsidRPr="00795F17">
        <w:t>3</w:t>
      </w:r>
      <w:r w:rsidRPr="00795F17">
        <w:t>.</w:t>
      </w:r>
    </w:p>
    <w:p w14:paraId="1D8F3FF4" w14:textId="77777777" w:rsidR="00A8199D" w:rsidRPr="00795F17" w:rsidRDefault="00A8199D">
      <w:pPr>
        <w:suppressAutoHyphens w:val="0"/>
        <w:spacing w:before="0" w:after="0"/>
        <w:jc w:val="left"/>
      </w:pPr>
      <w:r w:rsidRPr="00795F17">
        <w:br w:type="page"/>
      </w:r>
    </w:p>
    <w:p w14:paraId="3C41FAD7" w14:textId="5459978D" w:rsidR="003E73D3" w:rsidRPr="00795F17" w:rsidRDefault="003E73D3" w:rsidP="004D7705">
      <w:pPr>
        <w:pStyle w:val="Tabela"/>
      </w:pPr>
      <w:bookmarkStart w:id="423" w:name="_Toc105512823"/>
      <w:r w:rsidRPr="00795F17">
        <w:t xml:space="preserve">Tabela </w:t>
      </w:r>
      <w:fldSimple w:instr=" STYLEREF 1 \s ">
        <w:r w:rsidR="001F774D">
          <w:rPr>
            <w:noProof/>
          </w:rPr>
          <w:t>8</w:t>
        </w:r>
      </w:fldSimple>
      <w:r w:rsidR="00BB3B21" w:rsidRPr="00795F17">
        <w:noBreakHyphen/>
      </w:r>
      <w:fldSimple w:instr=" SEQ Tabela \* ARABIC \s 1 ">
        <w:r w:rsidR="001F774D">
          <w:rPr>
            <w:noProof/>
          </w:rPr>
          <w:t>13</w:t>
        </w:r>
      </w:fldSimple>
      <w:r w:rsidR="00E76356">
        <w:rPr>
          <w:noProof/>
        </w:rPr>
        <w:t>.</w:t>
      </w:r>
      <w:r w:rsidRPr="00795F17">
        <w:tab/>
        <w:t xml:space="preserve">Podsumowanie celów środowiskowych dla </w:t>
      </w:r>
      <w:r w:rsidR="00DF005E">
        <w:t>JCWP</w:t>
      </w:r>
      <w:r w:rsidRPr="00795F17">
        <w:t>d na obszarze dorzecza Odry</w:t>
      </w:r>
      <w:r w:rsidR="00560814" w:rsidRPr="00795F17">
        <w:t xml:space="preserve"> (2022</w:t>
      </w:r>
      <w:r w:rsidR="00363DD6">
        <w:t>–</w:t>
      </w:r>
      <w:r w:rsidR="00560814" w:rsidRPr="00795F17">
        <w:t>2027)</w:t>
      </w:r>
      <w:bookmarkEnd w:id="423"/>
    </w:p>
    <w:tbl>
      <w:tblPr>
        <w:tblStyle w:val="Tabela-Siatka"/>
        <w:tblW w:w="5000" w:type="pct"/>
        <w:tblInd w:w="-5" w:type="dxa"/>
        <w:tblLook w:val="04A0" w:firstRow="1" w:lastRow="0" w:firstColumn="1" w:lastColumn="0" w:noHBand="0" w:noVBand="1"/>
      </w:tblPr>
      <w:tblGrid>
        <w:gridCol w:w="2268"/>
        <w:gridCol w:w="1276"/>
        <w:gridCol w:w="1843"/>
        <w:gridCol w:w="1843"/>
        <w:gridCol w:w="1825"/>
        <w:gridCol w:w="7"/>
      </w:tblGrid>
      <w:tr w:rsidR="00EE3290" w:rsidRPr="00795F17" w14:paraId="3E4F04D3" w14:textId="77777777" w:rsidTr="001C46F7">
        <w:trPr>
          <w:cnfStyle w:val="100000000000" w:firstRow="1" w:lastRow="0" w:firstColumn="0" w:lastColumn="0" w:oddVBand="0" w:evenVBand="0" w:oddHBand="0" w:evenHBand="0" w:firstRowFirstColumn="0" w:firstRowLastColumn="0" w:lastRowFirstColumn="0" w:lastRowLastColumn="0"/>
          <w:trHeight w:val="454"/>
        </w:trPr>
        <w:tc>
          <w:tcPr>
            <w:tcW w:w="2268" w:type="dxa"/>
            <w:vMerge w:val="restart"/>
            <w:tcBorders>
              <w:top w:val="single" w:sz="4" w:space="0" w:color="auto"/>
              <w:left w:val="single" w:sz="4" w:space="0" w:color="auto"/>
              <w:bottom w:val="single" w:sz="4" w:space="0" w:color="auto"/>
              <w:right w:val="single" w:sz="4" w:space="0" w:color="auto"/>
            </w:tcBorders>
            <w:hideMark/>
          </w:tcPr>
          <w:p w14:paraId="6005E5D4" w14:textId="77777777" w:rsidR="00EE3290" w:rsidRPr="00795F17" w:rsidRDefault="00EE3290" w:rsidP="00EE3290">
            <w:pPr>
              <w:pStyle w:val="Teksttabelinaglowek"/>
              <w:rPr>
                <w:b/>
                <w:bCs/>
              </w:rPr>
            </w:pPr>
            <w:r w:rsidRPr="00795F17">
              <w:rPr>
                <w:b/>
                <w:bCs/>
              </w:rPr>
              <w:t xml:space="preserve">Region </w:t>
            </w:r>
            <w:r w:rsidRPr="00795F17">
              <w:rPr>
                <w:b/>
                <w:bCs/>
              </w:rPr>
              <w:br/>
              <w:t>wodny*</w:t>
            </w:r>
          </w:p>
        </w:tc>
        <w:tc>
          <w:tcPr>
            <w:tcW w:w="1276" w:type="dxa"/>
            <w:vMerge w:val="restart"/>
            <w:tcBorders>
              <w:top w:val="single" w:sz="4" w:space="0" w:color="auto"/>
              <w:left w:val="single" w:sz="4" w:space="0" w:color="auto"/>
              <w:bottom w:val="single" w:sz="4" w:space="0" w:color="auto"/>
              <w:right w:val="single" w:sz="4" w:space="0" w:color="auto"/>
            </w:tcBorders>
            <w:hideMark/>
          </w:tcPr>
          <w:p w14:paraId="5D4EF0BF" w14:textId="4EBB78C2" w:rsidR="00EE3290" w:rsidRPr="00795F17" w:rsidRDefault="00EE3290" w:rsidP="00EE3290">
            <w:pPr>
              <w:pStyle w:val="Teksttabelinaglowek"/>
              <w:rPr>
                <w:b/>
                <w:bCs/>
              </w:rPr>
            </w:pPr>
            <w:r w:rsidRPr="00795F17">
              <w:rPr>
                <w:b/>
                <w:bCs/>
              </w:rPr>
              <w:t xml:space="preserve">Liczba </w:t>
            </w:r>
            <w:r w:rsidR="00DF005E">
              <w:rPr>
                <w:b/>
                <w:bCs/>
              </w:rPr>
              <w:t>JCWP</w:t>
            </w:r>
            <w:r w:rsidRPr="00795F17">
              <w:rPr>
                <w:b/>
                <w:bCs/>
              </w:rPr>
              <w:t xml:space="preserve">d </w:t>
            </w:r>
            <w:r w:rsidRPr="00795F17">
              <w:rPr>
                <w:b/>
                <w:bCs/>
              </w:rPr>
              <w:br/>
              <w:t>ogółem</w:t>
            </w:r>
          </w:p>
        </w:tc>
        <w:tc>
          <w:tcPr>
            <w:tcW w:w="5518" w:type="dxa"/>
            <w:gridSpan w:val="4"/>
            <w:tcBorders>
              <w:top w:val="single" w:sz="4" w:space="0" w:color="auto"/>
              <w:left w:val="single" w:sz="4" w:space="0" w:color="auto"/>
              <w:bottom w:val="single" w:sz="4" w:space="0" w:color="auto"/>
              <w:right w:val="single" w:sz="4" w:space="0" w:color="auto"/>
            </w:tcBorders>
            <w:hideMark/>
          </w:tcPr>
          <w:p w14:paraId="3876BD75" w14:textId="7607A7DC" w:rsidR="00EE3290" w:rsidRPr="00795F17" w:rsidRDefault="00EE3290" w:rsidP="00EE3290">
            <w:pPr>
              <w:pStyle w:val="Teksttabelinaglowek"/>
              <w:rPr>
                <w:b/>
                <w:bCs/>
              </w:rPr>
            </w:pPr>
            <w:r w:rsidRPr="00795F17">
              <w:rPr>
                <w:b/>
                <w:bCs/>
              </w:rPr>
              <w:t xml:space="preserve">Cel środowiskowy (liczba </w:t>
            </w:r>
            <w:r w:rsidR="00DF005E">
              <w:rPr>
                <w:b/>
                <w:bCs/>
              </w:rPr>
              <w:t>JCWP</w:t>
            </w:r>
            <w:r w:rsidRPr="00795F17">
              <w:rPr>
                <w:b/>
                <w:bCs/>
              </w:rPr>
              <w:t>d)</w:t>
            </w:r>
          </w:p>
        </w:tc>
      </w:tr>
      <w:tr w:rsidR="005174AB" w:rsidRPr="00795F17" w14:paraId="3205F6CF" w14:textId="77777777" w:rsidTr="001C46F7">
        <w:trPr>
          <w:trHeight w:val="454"/>
        </w:trPr>
        <w:tc>
          <w:tcPr>
            <w:tcW w:w="2268"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878EBE4" w14:textId="77777777" w:rsidR="00EE3290" w:rsidRPr="00795F17" w:rsidRDefault="00EE3290" w:rsidP="00EE3290">
            <w:pPr>
              <w:pStyle w:val="Teksttabelinaglowek"/>
              <w:rPr>
                <w:bCs/>
              </w:rPr>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1FE707B" w14:textId="77777777" w:rsidR="00EE3290" w:rsidRPr="00795F17" w:rsidRDefault="00EE3290" w:rsidP="00EE3290">
            <w:pPr>
              <w:pStyle w:val="Teksttabelinaglowek"/>
              <w:rPr>
                <w:bCs/>
              </w:rPr>
            </w:pPr>
          </w:p>
        </w:tc>
        <w:tc>
          <w:tcPr>
            <w:tcW w:w="184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hideMark/>
          </w:tcPr>
          <w:p w14:paraId="292DF2D4" w14:textId="2D52A021" w:rsidR="00EE3290" w:rsidRPr="00795F17" w:rsidRDefault="00EE3290" w:rsidP="00EE3290">
            <w:pPr>
              <w:pStyle w:val="Teksttabelinaglowek"/>
              <w:rPr>
                <w:bCs/>
              </w:rPr>
            </w:pPr>
            <w:r w:rsidRPr="00795F17">
              <w:rPr>
                <w:bCs/>
              </w:rPr>
              <w:t>dobry stan chemiczny i</w:t>
            </w:r>
            <w:r w:rsidR="00006539">
              <w:rPr>
                <w:bCs/>
              </w:rPr>
              <w:t> </w:t>
            </w:r>
            <w:r w:rsidRPr="00795F17">
              <w:rPr>
                <w:bCs/>
              </w:rPr>
              <w:t>ilościowy</w:t>
            </w:r>
          </w:p>
        </w:tc>
        <w:tc>
          <w:tcPr>
            <w:tcW w:w="1843"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2C9882E" w14:textId="77777777" w:rsidR="00EE3290" w:rsidRPr="00795F17" w:rsidRDefault="00EE3290" w:rsidP="00EE3290">
            <w:pPr>
              <w:pStyle w:val="Teksttabelinaglowek"/>
              <w:rPr>
                <w:bCs/>
              </w:rPr>
            </w:pPr>
            <w:r w:rsidRPr="00795F17">
              <w:rPr>
                <w:bCs/>
              </w:rPr>
              <w:t>odstępstwo z art. 4 ust. 4. RDW</w:t>
            </w:r>
          </w:p>
        </w:tc>
        <w:tc>
          <w:tcPr>
            <w:tcW w:w="183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87A2C64" w14:textId="77777777" w:rsidR="00EE3290" w:rsidRPr="00795F17" w:rsidRDefault="00EE3290" w:rsidP="00EE3290">
            <w:pPr>
              <w:pStyle w:val="Teksttabelinaglowek"/>
              <w:rPr>
                <w:bCs/>
              </w:rPr>
            </w:pPr>
            <w:r w:rsidRPr="00795F17">
              <w:rPr>
                <w:bCs/>
              </w:rPr>
              <w:t>odstępstwo z art. 4 ust. 5 RDW</w:t>
            </w:r>
          </w:p>
        </w:tc>
      </w:tr>
      <w:tr w:rsidR="007B7BFD" w14:paraId="523BA625" w14:textId="77777777" w:rsidTr="001C46F7">
        <w:trPr>
          <w:gridAfter w:val="1"/>
          <w:wAfter w:w="7" w:type="dxa"/>
          <w:trHeight w:val="454"/>
        </w:trPr>
        <w:tc>
          <w:tcPr>
            <w:tcW w:w="2268" w:type="dxa"/>
            <w:tcBorders>
              <w:top w:val="single" w:sz="4" w:space="0" w:color="auto"/>
              <w:left w:val="single" w:sz="4" w:space="0" w:color="auto"/>
              <w:bottom w:val="single" w:sz="4" w:space="0" w:color="auto"/>
              <w:right w:val="single" w:sz="4" w:space="0" w:color="auto"/>
            </w:tcBorders>
            <w:hideMark/>
          </w:tcPr>
          <w:p w14:paraId="193694D2" w14:textId="77777777" w:rsidR="001D137E" w:rsidRDefault="001D137E" w:rsidP="002A36F8">
            <w:pPr>
              <w:pStyle w:val="Teksttabelilewy"/>
            </w:pPr>
            <w:r>
              <w:t>Górnej Odry</w:t>
            </w:r>
          </w:p>
        </w:tc>
        <w:tc>
          <w:tcPr>
            <w:tcW w:w="1276" w:type="dxa"/>
            <w:tcBorders>
              <w:top w:val="single" w:sz="4" w:space="0" w:color="auto"/>
              <w:left w:val="single" w:sz="4" w:space="0" w:color="auto"/>
              <w:bottom w:val="single" w:sz="4" w:space="0" w:color="auto"/>
              <w:right w:val="single" w:sz="4" w:space="0" w:color="auto"/>
            </w:tcBorders>
            <w:hideMark/>
          </w:tcPr>
          <w:p w14:paraId="5DF80CB0" w14:textId="77777777" w:rsidR="001D137E" w:rsidRDefault="001D137E" w:rsidP="002A36F8">
            <w:pPr>
              <w:pStyle w:val="Teksttabelisrodek"/>
              <w:rPr>
                <w:lang w:eastAsia="en-US"/>
              </w:rPr>
            </w:pPr>
            <w:r>
              <w:t>13</w:t>
            </w:r>
          </w:p>
        </w:tc>
        <w:tc>
          <w:tcPr>
            <w:tcW w:w="1843" w:type="dxa"/>
            <w:tcBorders>
              <w:top w:val="single" w:sz="4" w:space="0" w:color="auto"/>
              <w:left w:val="single" w:sz="4" w:space="0" w:color="auto"/>
              <w:bottom w:val="single" w:sz="4" w:space="0" w:color="auto"/>
              <w:right w:val="single" w:sz="4" w:space="0" w:color="auto"/>
            </w:tcBorders>
            <w:hideMark/>
          </w:tcPr>
          <w:p w14:paraId="100B91F5" w14:textId="77777777" w:rsidR="001D137E" w:rsidRDefault="001D137E" w:rsidP="002A36F8">
            <w:pPr>
              <w:pStyle w:val="Teksttabelisrodek"/>
              <w:rPr>
                <w:lang w:eastAsia="en-US"/>
              </w:rPr>
            </w:pPr>
            <w:r>
              <w:t>10</w:t>
            </w:r>
          </w:p>
        </w:tc>
        <w:tc>
          <w:tcPr>
            <w:tcW w:w="1843" w:type="dxa"/>
            <w:tcBorders>
              <w:top w:val="single" w:sz="4" w:space="0" w:color="auto"/>
              <w:left w:val="single" w:sz="4" w:space="0" w:color="auto"/>
              <w:bottom w:val="single" w:sz="4" w:space="0" w:color="auto"/>
              <w:right w:val="single" w:sz="4" w:space="0" w:color="auto"/>
            </w:tcBorders>
            <w:hideMark/>
          </w:tcPr>
          <w:p w14:paraId="26EB2B90" w14:textId="77777777" w:rsidR="001D137E" w:rsidRDefault="001D137E" w:rsidP="002A36F8">
            <w:pPr>
              <w:pStyle w:val="Teksttabelisrodek"/>
              <w:rPr>
                <w:lang w:eastAsia="en-US"/>
              </w:rPr>
            </w:pPr>
            <w:r>
              <w:t>1</w:t>
            </w:r>
          </w:p>
        </w:tc>
        <w:tc>
          <w:tcPr>
            <w:tcW w:w="1825" w:type="dxa"/>
            <w:tcBorders>
              <w:top w:val="single" w:sz="4" w:space="0" w:color="auto"/>
              <w:left w:val="single" w:sz="4" w:space="0" w:color="auto"/>
              <w:bottom w:val="single" w:sz="4" w:space="0" w:color="auto"/>
              <w:right w:val="single" w:sz="4" w:space="0" w:color="auto"/>
            </w:tcBorders>
            <w:hideMark/>
          </w:tcPr>
          <w:p w14:paraId="26F2F8B3" w14:textId="77777777" w:rsidR="001D137E" w:rsidRDefault="001D137E" w:rsidP="002A36F8">
            <w:pPr>
              <w:pStyle w:val="Teksttabelisrodek"/>
              <w:rPr>
                <w:lang w:eastAsia="en-US"/>
              </w:rPr>
            </w:pPr>
            <w:r>
              <w:t>2</w:t>
            </w:r>
          </w:p>
        </w:tc>
      </w:tr>
      <w:tr w:rsidR="007B7BFD" w14:paraId="53B7E299" w14:textId="77777777" w:rsidTr="001C46F7">
        <w:trPr>
          <w:gridAfter w:val="1"/>
          <w:wAfter w:w="7" w:type="dxa"/>
          <w:trHeight w:val="454"/>
        </w:trPr>
        <w:tc>
          <w:tcPr>
            <w:tcW w:w="2268" w:type="dxa"/>
            <w:tcBorders>
              <w:top w:val="single" w:sz="4" w:space="0" w:color="auto"/>
              <w:left w:val="single" w:sz="4" w:space="0" w:color="auto"/>
              <w:bottom w:val="single" w:sz="4" w:space="0" w:color="auto"/>
              <w:right w:val="single" w:sz="4" w:space="0" w:color="auto"/>
            </w:tcBorders>
            <w:hideMark/>
          </w:tcPr>
          <w:p w14:paraId="5561BF58" w14:textId="77777777" w:rsidR="001D137E" w:rsidRDefault="001D137E" w:rsidP="002A36F8">
            <w:pPr>
              <w:pStyle w:val="Teksttabelilewy"/>
            </w:pPr>
            <w:r>
              <w:t>Środkowej Odry</w:t>
            </w:r>
          </w:p>
        </w:tc>
        <w:tc>
          <w:tcPr>
            <w:tcW w:w="1276" w:type="dxa"/>
            <w:tcBorders>
              <w:top w:val="single" w:sz="4" w:space="0" w:color="auto"/>
              <w:left w:val="single" w:sz="4" w:space="0" w:color="auto"/>
              <w:bottom w:val="single" w:sz="4" w:space="0" w:color="auto"/>
              <w:right w:val="single" w:sz="4" w:space="0" w:color="auto"/>
            </w:tcBorders>
            <w:hideMark/>
          </w:tcPr>
          <w:p w14:paraId="21F66E02" w14:textId="77777777" w:rsidR="001D137E" w:rsidRDefault="001D137E" w:rsidP="002A36F8">
            <w:pPr>
              <w:pStyle w:val="Teksttabelisrodek"/>
              <w:rPr>
                <w:lang w:eastAsia="en-US"/>
              </w:rPr>
            </w:pPr>
            <w:r>
              <w:t>21</w:t>
            </w:r>
          </w:p>
        </w:tc>
        <w:tc>
          <w:tcPr>
            <w:tcW w:w="1843" w:type="dxa"/>
            <w:tcBorders>
              <w:top w:val="single" w:sz="4" w:space="0" w:color="auto"/>
              <w:left w:val="single" w:sz="4" w:space="0" w:color="auto"/>
              <w:bottom w:val="single" w:sz="4" w:space="0" w:color="auto"/>
              <w:right w:val="single" w:sz="4" w:space="0" w:color="auto"/>
            </w:tcBorders>
            <w:hideMark/>
          </w:tcPr>
          <w:p w14:paraId="05E710CE" w14:textId="77777777" w:rsidR="001D137E" w:rsidRDefault="001D137E" w:rsidP="002A36F8">
            <w:pPr>
              <w:pStyle w:val="Teksttabelisrodek"/>
              <w:rPr>
                <w:lang w:eastAsia="en-US"/>
              </w:rPr>
            </w:pPr>
            <w:r>
              <w:t>18</w:t>
            </w:r>
          </w:p>
        </w:tc>
        <w:tc>
          <w:tcPr>
            <w:tcW w:w="1843" w:type="dxa"/>
            <w:tcBorders>
              <w:top w:val="single" w:sz="4" w:space="0" w:color="auto"/>
              <w:left w:val="single" w:sz="4" w:space="0" w:color="auto"/>
              <w:bottom w:val="single" w:sz="4" w:space="0" w:color="auto"/>
              <w:right w:val="single" w:sz="4" w:space="0" w:color="auto"/>
            </w:tcBorders>
            <w:hideMark/>
          </w:tcPr>
          <w:p w14:paraId="0C7C6CA8" w14:textId="77777777" w:rsidR="001D137E" w:rsidRDefault="001D137E" w:rsidP="002A36F8">
            <w:pPr>
              <w:pStyle w:val="Teksttabelisrodek"/>
              <w:rPr>
                <w:lang w:eastAsia="en-US"/>
              </w:rPr>
            </w:pPr>
            <w:r>
              <w:t>2</w:t>
            </w:r>
          </w:p>
        </w:tc>
        <w:tc>
          <w:tcPr>
            <w:tcW w:w="1825" w:type="dxa"/>
            <w:tcBorders>
              <w:top w:val="single" w:sz="4" w:space="0" w:color="auto"/>
              <w:left w:val="single" w:sz="4" w:space="0" w:color="auto"/>
              <w:bottom w:val="single" w:sz="4" w:space="0" w:color="auto"/>
              <w:right w:val="single" w:sz="4" w:space="0" w:color="auto"/>
            </w:tcBorders>
            <w:hideMark/>
          </w:tcPr>
          <w:p w14:paraId="1C6116E4" w14:textId="77777777" w:rsidR="001D137E" w:rsidRDefault="001D137E" w:rsidP="002A36F8">
            <w:pPr>
              <w:pStyle w:val="Teksttabelisrodek"/>
              <w:rPr>
                <w:lang w:eastAsia="en-US"/>
              </w:rPr>
            </w:pPr>
            <w:r>
              <w:t>1</w:t>
            </w:r>
          </w:p>
        </w:tc>
      </w:tr>
      <w:tr w:rsidR="007B7BFD" w14:paraId="3B1ED8B5" w14:textId="77777777" w:rsidTr="001C46F7">
        <w:trPr>
          <w:gridAfter w:val="1"/>
          <w:wAfter w:w="7" w:type="dxa"/>
          <w:trHeight w:val="454"/>
        </w:trPr>
        <w:tc>
          <w:tcPr>
            <w:tcW w:w="2268" w:type="dxa"/>
            <w:tcBorders>
              <w:top w:val="single" w:sz="4" w:space="0" w:color="auto"/>
              <w:left w:val="single" w:sz="4" w:space="0" w:color="auto"/>
              <w:bottom w:val="single" w:sz="4" w:space="0" w:color="auto"/>
              <w:right w:val="single" w:sz="4" w:space="0" w:color="auto"/>
            </w:tcBorders>
            <w:hideMark/>
          </w:tcPr>
          <w:p w14:paraId="507CE325" w14:textId="55D5DA11" w:rsidR="001D137E" w:rsidRDefault="001D137E" w:rsidP="002A36F8">
            <w:pPr>
              <w:pStyle w:val="Teksttabelilewy"/>
            </w:pPr>
            <w:r>
              <w:t>Dolnej Odry i</w:t>
            </w:r>
            <w:r w:rsidR="00474E10">
              <w:t> </w:t>
            </w:r>
            <w:r>
              <w:t>Przymorza Zachodniego</w:t>
            </w:r>
          </w:p>
        </w:tc>
        <w:tc>
          <w:tcPr>
            <w:tcW w:w="1276" w:type="dxa"/>
            <w:tcBorders>
              <w:top w:val="single" w:sz="4" w:space="0" w:color="auto"/>
              <w:left w:val="single" w:sz="4" w:space="0" w:color="auto"/>
              <w:bottom w:val="single" w:sz="4" w:space="0" w:color="auto"/>
              <w:right w:val="single" w:sz="4" w:space="0" w:color="auto"/>
            </w:tcBorders>
            <w:hideMark/>
          </w:tcPr>
          <w:p w14:paraId="6222DAEE" w14:textId="77777777" w:rsidR="001D137E" w:rsidRDefault="001D137E" w:rsidP="002A36F8">
            <w:pPr>
              <w:pStyle w:val="Teksttabelisrodek"/>
              <w:rPr>
                <w:lang w:eastAsia="en-US"/>
              </w:rPr>
            </w:pPr>
            <w:r>
              <w:t>12</w:t>
            </w:r>
          </w:p>
        </w:tc>
        <w:tc>
          <w:tcPr>
            <w:tcW w:w="1843" w:type="dxa"/>
            <w:tcBorders>
              <w:top w:val="single" w:sz="4" w:space="0" w:color="auto"/>
              <w:left w:val="single" w:sz="4" w:space="0" w:color="auto"/>
              <w:bottom w:val="single" w:sz="4" w:space="0" w:color="auto"/>
              <w:right w:val="single" w:sz="4" w:space="0" w:color="auto"/>
            </w:tcBorders>
            <w:hideMark/>
          </w:tcPr>
          <w:p w14:paraId="6E35CA27" w14:textId="77777777" w:rsidR="001D137E" w:rsidRDefault="001D137E" w:rsidP="002A36F8">
            <w:pPr>
              <w:pStyle w:val="Teksttabelisrodek"/>
              <w:rPr>
                <w:lang w:eastAsia="en-US"/>
              </w:rPr>
            </w:pPr>
            <w:r>
              <w:t>10</w:t>
            </w:r>
          </w:p>
        </w:tc>
        <w:tc>
          <w:tcPr>
            <w:tcW w:w="1843" w:type="dxa"/>
            <w:tcBorders>
              <w:top w:val="single" w:sz="4" w:space="0" w:color="auto"/>
              <w:left w:val="single" w:sz="4" w:space="0" w:color="auto"/>
              <w:bottom w:val="single" w:sz="4" w:space="0" w:color="auto"/>
              <w:right w:val="single" w:sz="4" w:space="0" w:color="auto"/>
            </w:tcBorders>
            <w:hideMark/>
          </w:tcPr>
          <w:p w14:paraId="20993760" w14:textId="77777777" w:rsidR="001D137E" w:rsidRDefault="001D137E" w:rsidP="002A36F8">
            <w:pPr>
              <w:pStyle w:val="Teksttabelisrodek"/>
              <w:rPr>
                <w:lang w:eastAsia="en-US"/>
              </w:rPr>
            </w:pPr>
            <w:r>
              <w:t>2</w:t>
            </w:r>
          </w:p>
        </w:tc>
        <w:tc>
          <w:tcPr>
            <w:tcW w:w="1825" w:type="dxa"/>
            <w:tcBorders>
              <w:top w:val="single" w:sz="4" w:space="0" w:color="auto"/>
              <w:left w:val="single" w:sz="4" w:space="0" w:color="auto"/>
              <w:bottom w:val="single" w:sz="4" w:space="0" w:color="auto"/>
              <w:right w:val="single" w:sz="4" w:space="0" w:color="auto"/>
            </w:tcBorders>
            <w:hideMark/>
          </w:tcPr>
          <w:p w14:paraId="30EE256F" w14:textId="77777777" w:rsidR="001D137E" w:rsidRDefault="001D137E" w:rsidP="002A36F8">
            <w:pPr>
              <w:pStyle w:val="Teksttabelisrodek"/>
              <w:rPr>
                <w:lang w:eastAsia="en-US"/>
              </w:rPr>
            </w:pPr>
            <w:r>
              <w:t>-</w:t>
            </w:r>
          </w:p>
        </w:tc>
      </w:tr>
      <w:tr w:rsidR="007B7BFD" w14:paraId="003B6742" w14:textId="77777777" w:rsidTr="001C46F7">
        <w:trPr>
          <w:gridAfter w:val="1"/>
          <w:wAfter w:w="7" w:type="dxa"/>
          <w:trHeight w:val="454"/>
        </w:trPr>
        <w:tc>
          <w:tcPr>
            <w:tcW w:w="2268" w:type="dxa"/>
            <w:tcBorders>
              <w:top w:val="single" w:sz="4" w:space="0" w:color="auto"/>
              <w:left w:val="single" w:sz="4" w:space="0" w:color="auto"/>
              <w:bottom w:val="single" w:sz="4" w:space="0" w:color="auto"/>
              <w:right w:val="single" w:sz="4" w:space="0" w:color="auto"/>
            </w:tcBorders>
            <w:hideMark/>
          </w:tcPr>
          <w:p w14:paraId="296C793D" w14:textId="77777777" w:rsidR="001D137E" w:rsidRDefault="001D137E" w:rsidP="002A36F8">
            <w:pPr>
              <w:pStyle w:val="Teksttabelilewy"/>
            </w:pPr>
            <w:r>
              <w:t>Warty</w:t>
            </w:r>
          </w:p>
        </w:tc>
        <w:tc>
          <w:tcPr>
            <w:tcW w:w="1276" w:type="dxa"/>
            <w:tcBorders>
              <w:top w:val="single" w:sz="4" w:space="0" w:color="auto"/>
              <w:left w:val="single" w:sz="4" w:space="0" w:color="auto"/>
              <w:bottom w:val="single" w:sz="4" w:space="0" w:color="auto"/>
              <w:right w:val="single" w:sz="4" w:space="0" w:color="auto"/>
            </w:tcBorders>
            <w:hideMark/>
          </w:tcPr>
          <w:p w14:paraId="4173D8B3" w14:textId="77777777" w:rsidR="001D137E" w:rsidRDefault="001D137E" w:rsidP="002A36F8">
            <w:pPr>
              <w:pStyle w:val="Teksttabelisrodek"/>
              <w:rPr>
                <w:lang w:eastAsia="en-US"/>
              </w:rPr>
            </w:pPr>
            <w:r>
              <w:t>16</w:t>
            </w:r>
          </w:p>
        </w:tc>
        <w:tc>
          <w:tcPr>
            <w:tcW w:w="1843" w:type="dxa"/>
            <w:tcBorders>
              <w:top w:val="single" w:sz="4" w:space="0" w:color="auto"/>
              <w:left w:val="single" w:sz="4" w:space="0" w:color="auto"/>
              <w:bottom w:val="single" w:sz="4" w:space="0" w:color="auto"/>
              <w:right w:val="single" w:sz="4" w:space="0" w:color="auto"/>
            </w:tcBorders>
            <w:hideMark/>
          </w:tcPr>
          <w:p w14:paraId="144D2611" w14:textId="77777777" w:rsidR="001D137E" w:rsidRDefault="001D137E" w:rsidP="002A36F8">
            <w:pPr>
              <w:pStyle w:val="Teksttabelisrodek"/>
              <w:rPr>
                <w:lang w:eastAsia="en-US"/>
              </w:rPr>
            </w:pPr>
            <w:r>
              <w:t>13</w:t>
            </w:r>
          </w:p>
        </w:tc>
        <w:tc>
          <w:tcPr>
            <w:tcW w:w="1843" w:type="dxa"/>
            <w:tcBorders>
              <w:top w:val="single" w:sz="4" w:space="0" w:color="auto"/>
              <w:left w:val="single" w:sz="4" w:space="0" w:color="auto"/>
              <w:bottom w:val="single" w:sz="4" w:space="0" w:color="auto"/>
              <w:right w:val="single" w:sz="4" w:space="0" w:color="auto"/>
            </w:tcBorders>
            <w:hideMark/>
          </w:tcPr>
          <w:p w14:paraId="6EBA2840" w14:textId="77777777" w:rsidR="001D137E" w:rsidRDefault="001D137E" w:rsidP="002A36F8">
            <w:pPr>
              <w:pStyle w:val="Teksttabelisrodek"/>
              <w:rPr>
                <w:lang w:eastAsia="en-US"/>
              </w:rPr>
            </w:pPr>
            <w:r>
              <w:t>1</w:t>
            </w:r>
          </w:p>
        </w:tc>
        <w:tc>
          <w:tcPr>
            <w:tcW w:w="1825" w:type="dxa"/>
            <w:tcBorders>
              <w:top w:val="single" w:sz="4" w:space="0" w:color="auto"/>
              <w:left w:val="single" w:sz="4" w:space="0" w:color="auto"/>
              <w:bottom w:val="single" w:sz="4" w:space="0" w:color="auto"/>
              <w:right w:val="single" w:sz="4" w:space="0" w:color="auto"/>
            </w:tcBorders>
            <w:hideMark/>
          </w:tcPr>
          <w:p w14:paraId="76A7036D" w14:textId="77777777" w:rsidR="001D137E" w:rsidRDefault="001D137E" w:rsidP="002A36F8">
            <w:pPr>
              <w:pStyle w:val="Teksttabelisrodek"/>
              <w:rPr>
                <w:lang w:eastAsia="en-US"/>
              </w:rPr>
            </w:pPr>
            <w:r>
              <w:t>2</w:t>
            </w:r>
          </w:p>
        </w:tc>
      </w:tr>
      <w:tr w:rsidR="007B7BFD" w14:paraId="09195D74" w14:textId="77777777" w:rsidTr="001C46F7">
        <w:trPr>
          <w:gridAfter w:val="1"/>
          <w:wAfter w:w="7" w:type="dxa"/>
          <w:trHeight w:val="454"/>
        </w:trPr>
        <w:tc>
          <w:tcPr>
            <w:tcW w:w="2268" w:type="dxa"/>
            <w:tcBorders>
              <w:top w:val="single" w:sz="4" w:space="0" w:color="auto"/>
              <w:left w:val="single" w:sz="4" w:space="0" w:color="auto"/>
              <w:bottom w:val="single" w:sz="4" w:space="0" w:color="auto"/>
              <w:right w:val="single" w:sz="4" w:space="0" w:color="auto"/>
            </w:tcBorders>
            <w:hideMark/>
          </w:tcPr>
          <w:p w14:paraId="01F50FCB" w14:textId="77777777" w:rsidR="001D137E" w:rsidRDefault="001D137E" w:rsidP="002A36F8">
            <w:pPr>
              <w:pStyle w:val="Teksttabelilewy"/>
            </w:pPr>
            <w:r>
              <w:t>Noteci**</w:t>
            </w:r>
          </w:p>
        </w:tc>
        <w:tc>
          <w:tcPr>
            <w:tcW w:w="1276" w:type="dxa"/>
            <w:tcBorders>
              <w:top w:val="single" w:sz="4" w:space="0" w:color="auto"/>
              <w:left w:val="single" w:sz="4" w:space="0" w:color="auto"/>
              <w:bottom w:val="single" w:sz="4" w:space="0" w:color="auto"/>
              <w:right w:val="single" w:sz="4" w:space="0" w:color="auto"/>
            </w:tcBorders>
            <w:hideMark/>
          </w:tcPr>
          <w:p w14:paraId="316B96CC" w14:textId="77777777" w:rsidR="001D137E" w:rsidRDefault="001D137E" w:rsidP="002A36F8">
            <w:pPr>
              <w:pStyle w:val="Teksttabelisrodek"/>
              <w:rPr>
                <w:lang w:eastAsia="en-US"/>
              </w:rPr>
            </w:pPr>
            <w:r>
              <w:t>6</w:t>
            </w:r>
          </w:p>
        </w:tc>
        <w:tc>
          <w:tcPr>
            <w:tcW w:w="1843" w:type="dxa"/>
            <w:tcBorders>
              <w:top w:val="single" w:sz="4" w:space="0" w:color="auto"/>
              <w:left w:val="single" w:sz="4" w:space="0" w:color="auto"/>
              <w:bottom w:val="single" w:sz="4" w:space="0" w:color="auto"/>
              <w:right w:val="single" w:sz="4" w:space="0" w:color="auto"/>
            </w:tcBorders>
            <w:hideMark/>
          </w:tcPr>
          <w:p w14:paraId="0784CCDE" w14:textId="77777777" w:rsidR="001D137E" w:rsidRDefault="001D137E" w:rsidP="002A36F8">
            <w:pPr>
              <w:pStyle w:val="Teksttabelisrodek"/>
              <w:rPr>
                <w:lang w:eastAsia="en-US"/>
              </w:rPr>
            </w:pPr>
            <w:r>
              <w:t>4</w:t>
            </w:r>
          </w:p>
        </w:tc>
        <w:tc>
          <w:tcPr>
            <w:tcW w:w="1843" w:type="dxa"/>
            <w:tcBorders>
              <w:top w:val="single" w:sz="4" w:space="0" w:color="auto"/>
              <w:left w:val="single" w:sz="4" w:space="0" w:color="auto"/>
              <w:bottom w:val="single" w:sz="4" w:space="0" w:color="auto"/>
              <w:right w:val="single" w:sz="4" w:space="0" w:color="auto"/>
            </w:tcBorders>
            <w:hideMark/>
          </w:tcPr>
          <w:p w14:paraId="0CB42027" w14:textId="77777777" w:rsidR="001D137E" w:rsidRDefault="001D137E" w:rsidP="002A36F8">
            <w:pPr>
              <w:pStyle w:val="Teksttabelisrodek"/>
              <w:rPr>
                <w:lang w:eastAsia="en-US"/>
              </w:rPr>
            </w:pPr>
            <w:r>
              <w:t>1</w:t>
            </w:r>
          </w:p>
        </w:tc>
        <w:tc>
          <w:tcPr>
            <w:tcW w:w="1825" w:type="dxa"/>
            <w:tcBorders>
              <w:top w:val="single" w:sz="4" w:space="0" w:color="auto"/>
              <w:left w:val="single" w:sz="4" w:space="0" w:color="auto"/>
              <w:bottom w:val="single" w:sz="4" w:space="0" w:color="auto"/>
              <w:right w:val="single" w:sz="4" w:space="0" w:color="auto"/>
            </w:tcBorders>
            <w:hideMark/>
          </w:tcPr>
          <w:p w14:paraId="75423C8A" w14:textId="77777777" w:rsidR="001D137E" w:rsidRDefault="001D137E" w:rsidP="002A36F8">
            <w:pPr>
              <w:pStyle w:val="Teksttabelisrodek"/>
              <w:rPr>
                <w:lang w:eastAsia="en-US"/>
              </w:rPr>
            </w:pPr>
            <w:r>
              <w:t>2</w:t>
            </w:r>
          </w:p>
        </w:tc>
      </w:tr>
      <w:tr w:rsidR="005174AB" w14:paraId="25D7A08E" w14:textId="77777777" w:rsidTr="001C46F7">
        <w:trPr>
          <w:gridAfter w:val="1"/>
          <w:wAfter w:w="7" w:type="dxa"/>
          <w:trHeight w:val="454"/>
        </w:trPr>
        <w:tc>
          <w:tcPr>
            <w:tcW w:w="226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D22E8CF" w14:textId="77777777" w:rsidR="001D137E" w:rsidRDefault="001D137E" w:rsidP="002A36F8">
            <w:pPr>
              <w:pStyle w:val="Teksttabelilewy"/>
              <w:rPr>
                <w:b/>
                <w:bCs/>
              </w:rPr>
            </w:pPr>
            <w:r>
              <w:rPr>
                <w:b/>
                <w:bCs/>
              </w:rPr>
              <w:t>Łącznie dla obszaru dorzecza*</w:t>
            </w:r>
          </w:p>
        </w:tc>
        <w:tc>
          <w:tcPr>
            <w:tcW w:w="127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F4A137C" w14:textId="77777777" w:rsidR="001D137E" w:rsidRDefault="001D137E" w:rsidP="002A36F8">
            <w:pPr>
              <w:pStyle w:val="Teksttabelisrodek"/>
              <w:rPr>
                <w:b/>
                <w:lang w:eastAsia="en-US"/>
              </w:rPr>
            </w:pPr>
            <w:r>
              <w:rPr>
                <w:b/>
              </w:rPr>
              <w:t>68</w:t>
            </w:r>
          </w:p>
        </w:tc>
        <w:tc>
          <w:tcPr>
            <w:tcW w:w="1843"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7DA3E0F" w14:textId="77777777" w:rsidR="001D137E" w:rsidRDefault="001D137E" w:rsidP="002A36F8">
            <w:pPr>
              <w:pStyle w:val="Teksttabelisrodek"/>
              <w:rPr>
                <w:b/>
                <w:lang w:eastAsia="en-US"/>
              </w:rPr>
            </w:pPr>
            <w:r>
              <w:rPr>
                <w:b/>
              </w:rPr>
              <w:t>55</w:t>
            </w:r>
          </w:p>
        </w:tc>
        <w:tc>
          <w:tcPr>
            <w:tcW w:w="1843"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A8BA044" w14:textId="77777777" w:rsidR="001D137E" w:rsidRDefault="001D137E" w:rsidP="002A36F8">
            <w:pPr>
              <w:pStyle w:val="Teksttabelisrodek"/>
              <w:rPr>
                <w:b/>
                <w:lang w:eastAsia="en-US"/>
              </w:rPr>
            </w:pPr>
            <w:r>
              <w:rPr>
                <w:b/>
              </w:rPr>
              <w:t>7</w:t>
            </w:r>
          </w:p>
        </w:tc>
        <w:tc>
          <w:tcPr>
            <w:tcW w:w="1825"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99009DF" w14:textId="77777777" w:rsidR="001D137E" w:rsidRDefault="001D137E" w:rsidP="002A36F8">
            <w:pPr>
              <w:pStyle w:val="Teksttabelisrodek"/>
              <w:rPr>
                <w:b/>
                <w:lang w:eastAsia="en-US"/>
              </w:rPr>
            </w:pPr>
            <w:r>
              <w:rPr>
                <w:b/>
              </w:rPr>
              <w:t>7</w:t>
            </w:r>
          </w:p>
        </w:tc>
      </w:tr>
    </w:tbl>
    <w:p w14:paraId="5C373AD4" w14:textId="66126D6C" w:rsidR="001D137E" w:rsidRDefault="008F7315" w:rsidP="001D137E">
      <w:pPr>
        <w:pStyle w:val="Tabela-wyjasnieniapod"/>
      </w:pPr>
      <w:r>
        <w:t>Objaśnienia:</w:t>
      </w:r>
      <w:r>
        <w:br/>
      </w:r>
      <w:r w:rsidR="001D137E">
        <w:t xml:space="preserve">* Z uwagi na to, że </w:t>
      </w:r>
      <w:r w:rsidR="00DF005E">
        <w:t>JCWP</w:t>
      </w:r>
      <w:r w:rsidR="001D137E">
        <w:t xml:space="preserve">d nr 40 i 62 są położone na obszarze dwóch regionów wodnych, wskazana w tabeli suma </w:t>
      </w:r>
      <w:r w:rsidR="00DF005E">
        <w:t>JCWP</w:t>
      </w:r>
      <w:r w:rsidR="001D137E">
        <w:t xml:space="preserve">d dla obszaru dorzecza jest wyższa od faktycznej liczny </w:t>
      </w:r>
      <w:r w:rsidR="00DF005E">
        <w:t>JCWP</w:t>
      </w:r>
      <w:r w:rsidR="001D137E">
        <w:t xml:space="preserve">d, która wynosi w obszarze dorzecza Odry 66 </w:t>
      </w:r>
      <w:r w:rsidR="00DF005E">
        <w:t>JCWP</w:t>
      </w:r>
      <w:r w:rsidR="001D137E">
        <w:t>d</w:t>
      </w:r>
      <w:r w:rsidR="0066667D">
        <w:t>.</w:t>
      </w:r>
    </w:p>
    <w:p w14:paraId="4DD8CFA6" w14:textId="1B0667FA" w:rsidR="001D137E" w:rsidRDefault="001D137E" w:rsidP="001D137E">
      <w:pPr>
        <w:pStyle w:val="Tabela-wyjasnieniapod"/>
      </w:pPr>
      <w:r>
        <w:t xml:space="preserve">**W regionie wodnym Noteci dla </w:t>
      </w:r>
      <w:r w:rsidR="00DF005E">
        <w:t>JCWP</w:t>
      </w:r>
      <w:r>
        <w:t>d nr 43 ustalono odstępstwo z art. 4 ust. 4 oraz art. 4 ust.5</w:t>
      </w:r>
    </w:p>
    <w:p w14:paraId="02646EEE" w14:textId="63B159F1" w:rsidR="00EC019C" w:rsidRPr="00795F17" w:rsidRDefault="00EC019C" w:rsidP="0044393D">
      <w:pPr>
        <w:pStyle w:val="rdo"/>
      </w:pPr>
      <w:r w:rsidRPr="00795F17">
        <w:t xml:space="preserve">Źródło: </w:t>
      </w:r>
      <w:r w:rsidR="00FD7248" w:rsidRPr="00795F17">
        <w:t>opracowanie własne</w:t>
      </w:r>
    </w:p>
    <w:p w14:paraId="1D4B7B7D" w14:textId="061B267E" w:rsidR="00A230D1" w:rsidRPr="00795F17" w:rsidRDefault="00A230D1" w:rsidP="00EE3290">
      <w:r w:rsidRPr="00795F17">
        <w:t xml:space="preserve">Informacje dotyczące celów środowiskowych ustalonych dla każdej </w:t>
      </w:r>
      <w:r w:rsidR="00DF005E">
        <w:t>JCWP</w:t>
      </w:r>
      <w:r w:rsidRPr="00795F17">
        <w:t xml:space="preserve">d wraz ze wskazaniem </w:t>
      </w:r>
      <w:r w:rsidR="00DF005E">
        <w:t>JCWP</w:t>
      </w:r>
      <w:r w:rsidRPr="00795F17">
        <w:t>d z ustanowionymi odstępstwami od osiągnięcia celów środowiskowych stanowią element załącznika nr</w:t>
      </w:r>
      <w:r w:rsidR="00EE3290" w:rsidRPr="00795F17">
        <w:t> </w:t>
      </w:r>
      <w:r w:rsidRPr="00795F17">
        <w:t xml:space="preserve">1 (Zestawienie główne). Załącznik </w:t>
      </w:r>
      <w:r w:rsidR="00EE3290" w:rsidRPr="00795F17">
        <w:t>ten</w:t>
      </w:r>
      <w:r w:rsidRPr="00795F17">
        <w:t xml:space="preserve"> przedstawia również uzasadnienia dla wyznaczonych odstępstw z art. 4 RDW.</w:t>
      </w:r>
    </w:p>
    <w:p w14:paraId="73CD3C9B" w14:textId="1E2D8340" w:rsidR="00A230D1" w:rsidRPr="00795F17" w:rsidRDefault="00A230D1" w:rsidP="00C53C86">
      <w:pPr>
        <w:pStyle w:val="Nagwek2"/>
        <w:rPr>
          <w:rFonts w:asciiTheme="minorHAnsi" w:hAnsiTheme="minorHAnsi" w:cstheme="minorHAnsi"/>
          <w:bCs/>
          <w:iCs/>
        </w:rPr>
      </w:pPr>
      <w:bookmarkStart w:id="424" w:name="_Toc66347805"/>
      <w:bookmarkStart w:id="425" w:name="_Toc105512661"/>
      <w:r w:rsidRPr="00795F17">
        <w:t>Cele środowiskowe obszarów chronionych</w:t>
      </w:r>
      <w:bookmarkEnd w:id="424"/>
      <w:bookmarkEnd w:id="425"/>
    </w:p>
    <w:p w14:paraId="239AEA1D" w14:textId="71CA22F6" w:rsidR="00A230D1" w:rsidRPr="00795F17" w:rsidRDefault="00A230D1" w:rsidP="0044393D">
      <w:r w:rsidRPr="00795F17">
        <w:t>Obszary chronione zgodnie z art. 317 ust. 4 pr.w. obejmują:</w:t>
      </w:r>
    </w:p>
    <w:p w14:paraId="09143248" w14:textId="77777777" w:rsidR="00A230D1" w:rsidRPr="001D33CA" w:rsidRDefault="00A230D1" w:rsidP="00117E86">
      <w:pPr>
        <w:pStyle w:val="Listapunktowana2"/>
      </w:pPr>
      <w:r w:rsidRPr="001D33CA">
        <w:t>jcw przeznaczone do poboru wody na potrzeby zaopatrzenia ludności w wodę przeznaczoną do spożycia przez ludzi;</w:t>
      </w:r>
    </w:p>
    <w:p w14:paraId="66D99C2A" w14:textId="77777777" w:rsidR="00A230D1" w:rsidRPr="00795F17" w:rsidRDefault="00A230D1" w:rsidP="00117E86">
      <w:pPr>
        <w:pStyle w:val="Listapunktowana2"/>
      </w:pPr>
      <w:r w:rsidRPr="00795F17">
        <w:t>jcw przeznaczone do celów rekreacyjnych, w tym kąpieliskowych;</w:t>
      </w:r>
    </w:p>
    <w:p w14:paraId="4548F74F" w14:textId="499629C4" w:rsidR="00A230D1" w:rsidRPr="00795F17" w:rsidRDefault="00A230D1" w:rsidP="00117E86">
      <w:pPr>
        <w:pStyle w:val="Listapunktowana2"/>
      </w:pPr>
      <w:r w:rsidRPr="00795F17">
        <w:t>obszary wrażliwe na eutrofizację wywołaną zanieczyszczeniami pochodzącymi ze źródeł komunalnych</w:t>
      </w:r>
      <w:r w:rsidR="00BF599E">
        <w:t xml:space="preserve"> </w:t>
      </w:r>
      <w:r w:rsidR="006841E9" w:rsidRPr="00A30692">
        <w:rPr>
          <w:shd w:val="clear" w:color="auto" w:fill="FFFFFF"/>
        </w:rPr>
        <w:t>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r w:rsidRPr="00795F17">
        <w:t>;</w:t>
      </w:r>
    </w:p>
    <w:p w14:paraId="1B447BCD" w14:textId="77777777" w:rsidR="00A230D1" w:rsidRPr="00795F17" w:rsidRDefault="00A230D1" w:rsidP="00117E86">
      <w:pPr>
        <w:pStyle w:val="Listapunktowana2"/>
      </w:pPr>
      <w:r w:rsidRPr="00795F17">
        <w:t>obszary przeznaczone do ochrony siedlisk lub gatunków, ustanowionych w u.o.p., dla których utrzymanie lub poprawa stanu wód jest ważnym czynnikiem w ich ochronie;</w:t>
      </w:r>
    </w:p>
    <w:p w14:paraId="2D4E22BE" w14:textId="77777777" w:rsidR="00A230D1" w:rsidRPr="00795F17" w:rsidRDefault="00A230D1" w:rsidP="00117E86">
      <w:pPr>
        <w:pStyle w:val="Listapunktowana2"/>
      </w:pPr>
      <w:r w:rsidRPr="00795F17">
        <w:t>obszary przeznaczone do ochrony gatunków zwierząt wodnych o znaczeniu gospodarczym.</w:t>
      </w:r>
    </w:p>
    <w:p w14:paraId="2997A080" w14:textId="77777777" w:rsidR="00A230D1" w:rsidRPr="00795F17" w:rsidRDefault="00A230D1" w:rsidP="0044393D">
      <w:r w:rsidRPr="00795F17">
        <w:t>Celem środowiskowym obszarów chronionych jest osiągnięcie zgodności ze wszystkimi normami</w:t>
      </w:r>
      <w:r w:rsidRPr="00795F17">
        <w:br/>
        <w:t xml:space="preserve">i celami wynikającymi z przepisów szczególnych, na podstawie których obszary chronione zostały utworzone/ustanowione. </w:t>
      </w:r>
    </w:p>
    <w:p w14:paraId="38F5214C" w14:textId="29E2323E" w:rsidR="00A230D1" w:rsidRPr="00795F17" w:rsidRDefault="00A230D1" w:rsidP="0044393D">
      <w:r w:rsidRPr="00795F17">
        <w:t>Aktualizacje dokonane w zakresie celów środowiskowych dla obszarów chronionych na cykl planistyczny 2022</w:t>
      </w:r>
      <w:r w:rsidR="009F4D4F">
        <w:t>–</w:t>
      </w:r>
      <w:r w:rsidRPr="00795F17">
        <w:t>2027 dotyczą</w:t>
      </w:r>
      <w:r w:rsidR="00D43C5C">
        <w:t>:</w:t>
      </w:r>
      <w:r w:rsidRPr="00795F17">
        <w:t xml:space="preserve"> </w:t>
      </w:r>
    </w:p>
    <w:p w14:paraId="2F0B2F6F" w14:textId="26120286" w:rsidR="00A230D1" w:rsidRPr="005842B5" w:rsidRDefault="00A230D1" w:rsidP="002757E9">
      <w:pPr>
        <w:pStyle w:val="LITEROWANIE"/>
        <w:keepNext/>
        <w:numPr>
          <w:ilvl w:val="0"/>
          <w:numId w:val="72"/>
        </w:numPr>
        <w:ind w:left="714" w:hanging="357"/>
      </w:pPr>
      <w:r w:rsidRPr="001D33CA">
        <w:t>Jcw przeznaczone do poboru wody na potrzeby zaopatrzenia ludności w wodę przeznaczoną do spożycia</w:t>
      </w:r>
    </w:p>
    <w:p w14:paraId="5B279275" w14:textId="1915E3FD" w:rsidR="00A230D1" w:rsidRPr="00795F17" w:rsidRDefault="00A230D1" w:rsidP="007E3520">
      <w:r w:rsidRPr="00795F17">
        <w:t>Do określenia celów środowiskowych wykorzystane zostało rozporządzenie Ministra Gospodarki Morskiej i Żeglugi Śródlądowej z dnia 29 sierpnia 2019 r</w:t>
      </w:r>
      <w:r w:rsidR="00646D67" w:rsidRPr="00795F17">
        <w:t>.</w:t>
      </w:r>
      <w:r w:rsidRPr="00795F17">
        <w:t xml:space="preserve"> w sprawie wymagań, jakim powinny odpowiadać wody powierzchniowe wykorzystywane do zaopatrzenia ludności w wodę przeznaczoną do spożycia (Dz.U.</w:t>
      </w:r>
      <w:r w:rsidR="009F4D4F">
        <w:t xml:space="preserve"> z</w:t>
      </w:r>
      <w:r w:rsidRPr="00795F17">
        <w:t xml:space="preserve"> 2019</w:t>
      </w:r>
      <w:r w:rsidR="009F4D4F">
        <w:t xml:space="preserve"> r.</w:t>
      </w:r>
      <w:r w:rsidRPr="00795F17">
        <w:t xml:space="preserve"> poz. 1747). </w:t>
      </w:r>
    </w:p>
    <w:p w14:paraId="1095B4AA" w14:textId="1E380E86" w:rsidR="00B94201" w:rsidRPr="00795F17" w:rsidRDefault="00636659" w:rsidP="007E3520">
      <w:pPr>
        <w:rPr>
          <w:rFonts w:eastAsia="Times New Roman" w:cs="Calibri"/>
          <w:lang w:eastAsia="pl-PL"/>
        </w:rPr>
      </w:pPr>
      <w:r w:rsidRPr="00634FFE">
        <w:rPr>
          <w:rFonts w:eastAsia="Times New Roman" w:cs="Calibri"/>
          <w:lang w:eastAsia="pl-PL"/>
        </w:rPr>
        <w:t>Zgodnie</w:t>
      </w:r>
      <w:r w:rsidR="00D163FA">
        <w:rPr>
          <w:rFonts w:eastAsia="Times New Roman" w:cs="Calibri"/>
          <w:lang w:eastAsia="pl-PL"/>
        </w:rPr>
        <w:t xml:space="preserve"> </w:t>
      </w:r>
      <w:r w:rsidRPr="00634FFE">
        <w:rPr>
          <w:rFonts w:eastAsia="Times New Roman" w:cs="Calibri"/>
          <w:lang w:eastAsia="pl-PL"/>
        </w:rPr>
        <w:t>z</w:t>
      </w:r>
      <w:r w:rsidR="00D163FA">
        <w:rPr>
          <w:rFonts w:eastAsia="Times New Roman" w:cs="Calibri"/>
          <w:lang w:eastAsia="pl-PL"/>
        </w:rPr>
        <w:t> </w:t>
      </w:r>
      <w:r w:rsidRPr="00634FFE">
        <w:rPr>
          <w:rFonts w:eastAsia="Times New Roman" w:cs="Calibri"/>
          <w:lang w:eastAsia="pl-PL"/>
        </w:rPr>
        <w:t>metodyką przyjętą w opracowaniu </w:t>
      </w:r>
      <w:r w:rsidRPr="00634FFE">
        <w:rPr>
          <w:rFonts w:eastAsia="Times New Roman" w:cs="Calibri"/>
          <w:i/>
          <w:iCs/>
          <w:lang w:eastAsia="pl-PL"/>
        </w:rPr>
        <w:t>Ustalenie celów środowiskowych (…)</w:t>
      </w:r>
      <w:r w:rsidR="0032003A">
        <w:rPr>
          <w:rStyle w:val="Odwoanieprzypisudolnego"/>
          <w:rFonts w:eastAsia="Times New Roman"/>
          <w:i/>
          <w:iCs/>
          <w:lang w:eastAsia="pl-PL"/>
        </w:rPr>
        <w:footnoteReference w:id="59"/>
      </w:r>
      <w:r w:rsidR="00BA6B41">
        <w:rPr>
          <w:rFonts w:eastAsia="Times New Roman" w:cs="Calibri"/>
          <w:lang w:eastAsia="pl-PL"/>
        </w:rPr>
        <w:t xml:space="preserve"> </w:t>
      </w:r>
      <w:r w:rsidRPr="00634FFE">
        <w:rPr>
          <w:rFonts w:eastAsia="Times New Roman" w:cs="Calibri"/>
          <w:lang w:eastAsia="pl-PL"/>
        </w:rPr>
        <w:t>istnienie obszaru chronionego</w:t>
      </w:r>
      <w:r w:rsidR="00AC7B0D">
        <w:rPr>
          <w:rFonts w:eastAsia="Times New Roman" w:cs="Calibri"/>
          <w:lang w:eastAsia="pl-PL"/>
        </w:rPr>
        <w:t xml:space="preserve"> </w:t>
      </w:r>
      <w:r w:rsidRPr="00634FFE">
        <w:rPr>
          <w:rFonts w:eastAsia="Times New Roman" w:cs="Calibri"/>
          <w:lang w:eastAsia="pl-PL"/>
        </w:rPr>
        <w:t>będącego jednolitymi częściami wód powierzchniowych przeznaczonymi do poboru wody na potrzeby zaopatrzenia ludności w wodę przeznaczoną do spożycia, oznacza, że cel środowiskowy dla tego obszaru został spełniony.</w:t>
      </w:r>
      <w:r w:rsidR="00B403A6">
        <w:rPr>
          <w:rFonts w:eastAsia="Times New Roman" w:cs="Calibri"/>
          <w:lang w:eastAsia="pl-PL"/>
        </w:rPr>
        <w:t xml:space="preserve"> </w:t>
      </w:r>
      <w:r w:rsidRPr="00634FFE">
        <w:rPr>
          <w:rFonts w:eastAsia="Times New Roman" w:cs="Calibri"/>
          <w:color w:val="000000"/>
          <w:lang w:eastAsia="pl-PL"/>
        </w:rPr>
        <w:t>Na</w:t>
      </w:r>
      <w:r w:rsidR="00B403A6">
        <w:rPr>
          <w:rFonts w:eastAsia="Times New Roman" w:cs="Calibri"/>
          <w:color w:val="000000"/>
          <w:lang w:eastAsia="pl-PL"/>
        </w:rPr>
        <w:t> </w:t>
      </w:r>
      <w:r w:rsidRPr="00634FFE">
        <w:rPr>
          <w:rFonts w:eastAsia="Times New Roman" w:cs="Calibri"/>
          <w:color w:val="000000"/>
          <w:lang w:eastAsia="pl-PL"/>
        </w:rPr>
        <w:t xml:space="preserve">obszarze dorzecza </w:t>
      </w:r>
      <w:r>
        <w:rPr>
          <w:rFonts w:eastAsia="Times New Roman" w:cs="Calibri"/>
          <w:color w:val="000000"/>
          <w:lang w:eastAsia="pl-PL"/>
        </w:rPr>
        <w:t>Odry</w:t>
      </w:r>
      <w:r w:rsidR="00B403A6">
        <w:rPr>
          <w:rFonts w:eastAsia="Times New Roman" w:cs="Calibri"/>
          <w:color w:val="000000"/>
          <w:lang w:eastAsia="pl-PL"/>
        </w:rPr>
        <w:t xml:space="preserve"> </w:t>
      </w:r>
      <w:r w:rsidRPr="00634FFE">
        <w:rPr>
          <w:rFonts w:eastAsia="Times New Roman" w:cs="Calibri"/>
          <w:lang w:eastAsia="pl-PL"/>
        </w:rPr>
        <w:t>wyznaczono jako</w:t>
      </w:r>
      <w:r w:rsidR="00B403A6">
        <w:rPr>
          <w:rFonts w:eastAsia="Times New Roman" w:cs="Calibri"/>
          <w:lang w:eastAsia="pl-PL"/>
        </w:rPr>
        <w:t xml:space="preserve"> </w:t>
      </w:r>
      <w:r w:rsidRPr="00634FFE">
        <w:rPr>
          <w:rFonts w:eastAsia="Times New Roman" w:cs="Calibri"/>
          <w:lang w:eastAsia="pl-PL"/>
        </w:rPr>
        <w:t>jcw przeznaczone do poboru wody na potrzeby zaopatrzenia ludności w wodę przeznaczoną do spożycia:</w:t>
      </w:r>
    </w:p>
    <w:p w14:paraId="5A4084DE" w14:textId="58A1822D" w:rsidR="00B94201" w:rsidRPr="00795F17" w:rsidRDefault="00C56DB4" w:rsidP="00117E86">
      <w:pPr>
        <w:pStyle w:val="Listapunktowana2"/>
      </w:pPr>
      <w:r>
        <w:t>46</w:t>
      </w:r>
      <w:r w:rsidR="00B94201" w:rsidRPr="00795F17">
        <w:t xml:space="preserve"> </w:t>
      </w:r>
      <w:r w:rsidR="00DF005E">
        <w:t>JCWP</w:t>
      </w:r>
      <w:r w:rsidR="00B94201" w:rsidRPr="00795F17">
        <w:t xml:space="preserve"> RW</w:t>
      </w:r>
      <w:r w:rsidR="007E3520" w:rsidRPr="00795F17">
        <w:t>,</w:t>
      </w:r>
    </w:p>
    <w:p w14:paraId="783631CE" w14:textId="2D293A7D" w:rsidR="00B94201" w:rsidRPr="00795F17" w:rsidRDefault="00E02065" w:rsidP="00117E86">
      <w:pPr>
        <w:pStyle w:val="Listapunktowana2"/>
      </w:pPr>
      <w:r>
        <w:t>6</w:t>
      </w:r>
      <w:r w:rsidR="00B94201" w:rsidRPr="00795F17">
        <w:t xml:space="preserve"> </w:t>
      </w:r>
      <w:r w:rsidR="00DF005E">
        <w:t>JCWP</w:t>
      </w:r>
      <w:r w:rsidR="00B94201" w:rsidRPr="00795F17">
        <w:t xml:space="preserve"> RWr</w:t>
      </w:r>
      <w:r w:rsidR="007E3520" w:rsidRPr="00795F17">
        <w:t>,</w:t>
      </w:r>
    </w:p>
    <w:p w14:paraId="5221A106" w14:textId="4E1AF3BC" w:rsidR="00B94201" w:rsidRPr="00795F17" w:rsidRDefault="00E02065" w:rsidP="00117E86">
      <w:pPr>
        <w:pStyle w:val="Listapunktowana2"/>
      </w:pPr>
      <w:r>
        <w:t>1</w:t>
      </w:r>
      <w:r w:rsidR="00B94201" w:rsidRPr="00795F17">
        <w:t xml:space="preserve"> </w:t>
      </w:r>
      <w:r w:rsidR="00DF005E">
        <w:t>JCWP</w:t>
      </w:r>
      <w:r w:rsidR="00B94201" w:rsidRPr="00795F17">
        <w:t xml:space="preserve"> LW</w:t>
      </w:r>
      <w:r w:rsidR="00C36F74">
        <w:t>.</w:t>
      </w:r>
    </w:p>
    <w:p w14:paraId="182A8A3E" w14:textId="238F2758" w:rsidR="00A230D1" w:rsidRPr="00B2531C" w:rsidRDefault="00A230D1" w:rsidP="001D33CA">
      <w:pPr>
        <w:pStyle w:val="LITEROWANIE"/>
      </w:pPr>
      <w:r w:rsidRPr="00B2531C">
        <w:t>Jcw przeznaczone do celów rekreacyjnych, w tym kąpieliskowych</w:t>
      </w:r>
    </w:p>
    <w:p w14:paraId="33062A0A" w14:textId="549C4003" w:rsidR="00A230D1" w:rsidRPr="00795F17" w:rsidRDefault="00A230D1" w:rsidP="007E3520">
      <w:r w:rsidRPr="00795F17">
        <w:t xml:space="preserve">Do określenia celów środowiskowych wykorzystano aktualny akt prawa krajowego, który reguluje wymogi co do jakości wód w kąpielisku </w:t>
      </w:r>
      <w:r w:rsidR="009F4D4F">
        <w:t>–</w:t>
      </w:r>
      <w:r w:rsidRPr="00795F17">
        <w:t xml:space="preserve"> rozporządzenie Ministra Zdrowia z dnia 17 stycznia 2019 r</w:t>
      </w:r>
      <w:r w:rsidR="00646D67" w:rsidRPr="00795F17">
        <w:t>.</w:t>
      </w:r>
      <w:r w:rsidRPr="00795F17">
        <w:t xml:space="preserve"> w</w:t>
      </w:r>
      <w:r w:rsidR="00646D67" w:rsidRPr="00795F17">
        <w:t> </w:t>
      </w:r>
      <w:r w:rsidRPr="00795F17">
        <w:t xml:space="preserve">sprawie nadzoru nad jakością wody w kąpielisku i miejscu okazjonalnie wykorzystywanym do kąpieli (Dz.U. </w:t>
      </w:r>
      <w:r w:rsidR="009F4D4F">
        <w:t xml:space="preserve">z </w:t>
      </w:r>
      <w:r w:rsidRPr="00795F17">
        <w:t>2019</w:t>
      </w:r>
      <w:r w:rsidR="009F4D4F">
        <w:t xml:space="preserve"> r.</w:t>
      </w:r>
      <w:r w:rsidRPr="00795F17">
        <w:t xml:space="preserve"> poz. 255). Zapisy odnoszące się do warunków sanitarnych w kąpielisku zostały przyjęte jako cel środowiskowy.</w:t>
      </w:r>
      <w:r w:rsidR="00C03D95" w:rsidRPr="00795F17">
        <w:t xml:space="preserve"> </w:t>
      </w:r>
      <w:r w:rsidR="00C03D95" w:rsidRPr="005842B5">
        <w:t xml:space="preserve">Dodatkowe cele związane z wymaganiami ww. rozporządzenia zostały określone jedynie dla kąpielisk mających połączenie hydrologiczne z </w:t>
      </w:r>
      <w:r w:rsidR="00DF005E">
        <w:t>JCWP</w:t>
      </w:r>
      <w:r w:rsidR="00C03D95" w:rsidRPr="005842B5">
        <w:t xml:space="preserve">, tym samym nie wszystkie </w:t>
      </w:r>
      <w:r w:rsidR="00DF005E">
        <w:t>JCWP</w:t>
      </w:r>
      <w:r w:rsidR="00C03D95" w:rsidRPr="005842B5">
        <w:t xml:space="preserve"> RK posiadają ustalone dodatkowe cele środowiskowe.</w:t>
      </w:r>
    </w:p>
    <w:p w14:paraId="3685E5A2" w14:textId="6BA2E227" w:rsidR="00B94201" w:rsidRPr="00795F17" w:rsidRDefault="00B94201" w:rsidP="007E3520">
      <w:r w:rsidRPr="00795F17">
        <w:t xml:space="preserve">Zgodnie z metodyką przyjętą w opracowaniu </w:t>
      </w:r>
      <w:r w:rsidRPr="00795F17">
        <w:rPr>
          <w:i/>
          <w:iCs/>
        </w:rPr>
        <w:t>Ustalenie celów środowiskowych (…)</w:t>
      </w:r>
      <w:r w:rsidR="0032003A">
        <w:rPr>
          <w:rStyle w:val="Odwoanieprzypisudolnego"/>
          <w:i/>
          <w:iCs/>
        </w:rPr>
        <w:footnoteReference w:id="60"/>
      </w:r>
      <w:r w:rsidRPr="00795F17">
        <w:t xml:space="preserve"> istnienie obszaru chronionego będącego jednolitymi częściami wód powierzchniowych przeznaczonymi do celów rekreacyjnych, w tym kąpieliskowych, oznacza, że cel środowiskowy dla tego obszaru został spełniony. Na obszarze dorzecza Odry wyznaczono jako jcw przeznaczone do celów rekreacyjnych, w</w:t>
      </w:r>
      <w:r w:rsidR="00CD3003">
        <w:t> </w:t>
      </w:r>
      <w:r w:rsidRPr="00795F17">
        <w:t xml:space="preserve">tym kąpieliskowych </w:t>
      </w:r>
    </w:p>
    <w:p w14:paraId="7FDD763A" w14:textId="71FC1AFA" w:rsidR="00B94201" w:rsidRPr="00795F17" w:rsidRDefault="00B94201" w:rsidP="00117E86">
      <w:pPr>
        <w:pStyle w:val="Listapunktowana2"/>
      </w:pPr>
      <w:r w:rsidRPr="00795F17">
        <w:t xml:space="preserve">154 </w:t>
      </w:r>
      <w:r w:rsidR="00DF005E">
        <w:t>JCWP</w:t>
      </w:r>
      <w:r w:rsidRPr="00795F17">
        <w:t xml:space="preserve"> RW</w:t>
      </w:r>
      <w:r w:rsidR="007E3520" w:rsidRPr="00795F17">
        <w:t>,</w:t>
      </w:r>
    </w:p>
    <w:p w14:paraId="17C2D340" w14:textId="7A7507DC" w:rsidR="00B94201" w:rsidRPr="00795F17" w:rsidRDefault="00B94201" w:rsidP="00117E86">
      <w:pPr>
        <w:pStyle w:val="Listapunktowana2"/>
      </w:pPr>
      <w:r w:rsidRPr="00795F17">
        <w:t xml:space="preserve">5 </w:t>
      </w:r>
      <w:r w:rsidR="00DF005E">
        <w:t>JCWP</w:t>
      </w:r>
      <w:r w:rsidRPr="00795F17">
        <w:t xml:space="preserve"> RWr</w:t>
      </w:r>
      <w:r w:rsidR="007E3520" w:rsidRPr="00795F17">
        <w:t>,</w:t>
      </w:r>
    </w:p>
    <w:p w14:paraId="2E01A6F7" w14:textId="11B0BF3D" w:rsidR="00B94201" w:rsidRPr="00795F17" w:rsidRDefault="00B94201" w:rsidP="00117E86">
      <w:pPr>
        <w:pStyle w:val="Listapunktowana2"/>
      </w:pPr>
      <w:r w:rsidRPr="00795F17">
        <w:t xml:space="preserve">89 </w:t>
      </w:r>
      <w:r w:rsidR="00DF005E">
        <w:t>JCWP</w:t>
      </w:r>
      <w:r w:rsidRPr="00795F17">
        <w:t xml:space="preserve"> LW</w:t>
      </w:r>
      <w:r w:rsidR="007E3520" w:rsidRPr="00795F17">
        <w:t>,</w:t>
      </w:r>
    </w:p>
    <w:p w14:paraId="11E7A8BC" w14:textId="12E6C3F5" w:rsidR="00B94201" w:rsidRPr="00795F17" w:rsidRDefault="00B94201" w:rsidP="00117E86">
      <w:pPr>
        <w:pStyle w:val="Listapunktowana2"/>
      </w:pPr>
      <w:r w:rsidRPr="00795F17">
        <w:t xml:space="preserve">2 </w:t>
      </w:r>
      <w:r w:rsidR="00DF005E">
        <w:t>JCWP</w:t>
      </w:r>
      <w:r w:rsidRPr="00795F17">
        <w:t xml:space="preserve"> CW</w:t>
      </w:r>
      <w:r w:rsidR="007E3520" w:rsidRPr="00795F17">
        <w:t>,</w:t>
      </w:r>
    </w:p>
    <w:p w14:paraId="60B7AA68" w14:textId="055F0D10" w:rsidR="00B94201" w:rsidRPr="00795F17" w:rsidRDefault="00B94201" w:rsidP="00117E86">
      <w:pPr>
        <w:pStyle w:val="Listapunktowana2"/>
      </w:pPr>
      <w:r w:rsidRPr="00795F17">
        <w:t xml:space="preserve">2 </w:t>
      </w:r>
      <w:r w:rsidR="00DF005E">
        <w:t>JCWP</w:t>
      </w:r>
      <w:r w:rsidRPr="00795F17">
        <w:t xml:space="preserve"> TW</w:t>
      </w:r>
      <w:r w:rsidR="007E3520" w:rsidRPr="00795F17">
        <w:t>.</w:t>
      </w:r>
    </w:p>
    <w:p w14:paraId="0E87A058" w14:textId="095038E0" w:rsidR="00A230D1" w:rsidRPr="00B2531C" w:rsidRDefault="00A230D1" w:rsidP="001C46F7">
      <w:pPr>
        <w:pStyle w:val="LITEROWANIE"/>
        <w:keepNext/>
        <w:ind w:left="714" w:hanging="357"/>
      </w:pPr>
      <w:r w:rsidRPr="00B2531C">
        <w:t>Obszary wrażliwe na eutrofizację wywołaną zanieczyszczeniami pochodzącymi ze źródeł komunalnych</w:t>
      </w:r>
      <w:r w:rsidR="006841E9">
        <w:t xml:space="preserve"> </w:t>
      </w:r>
      <w:r w:rsidR="006841E9" w:rsidRPr="00377CFF">
        <w:t>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p>
    <w:p w14:paraId="041F1A3A" w14:textId="72AC34F2" w:rsidR="00A230D1" w:rsidRPr="00795F17" w:rsidRDefault="00A230D1" w:rsidP="0044393D">
      <w:r w:rsidRPr="00795F17">
        <w:t xml:space="preserve">Art. 15 ust. 2 dyrektywy </w:t>
      </w:r>
      <w:r w:rsidR="004B5313">
        <w:t xml:space="preserve">Rady </w:t>
      </w:r>
      <w:r w:rsidR="004B5313" w:rsidRPr="00B2531C">
        <w:t>z dnia 21 maja 1991 r. dotyczącej oczyszczania ścieków komunalnych</w:t>
      </w:r>
      <w:r w:rsidRPr="00795F17">
        <w:t xml:space="preserve"> </w:t>
      </w:r>
      <w:r w:rsidR="00C0630F" w:rsidRPr="0086546F">
        <w:t>(91/271/EWG) (Dz. Urz. WE L 135 z 30.05.1991, str. 40 – Dz. Urz. UE Polskie wydanie specjalne, rozdz. 15, t. 2, str. 26, z późn. zm.), dalej jako: „dyrektywa 91/271/EWG”,</w:t>
      </w:r>
      <w:r w:rsidRPr="00795F17">
        <w:t xml:space="preserve"> wprowadza wymóg odpowiedniego monitoringu wód, do</w:t>
      </w:r>
      <w:r w:rsidR="00646D67" w:rsidRPr="00795F17">
        <w:t> </w:t>
      </w:r>
      <w:r w:rsidRPr="00795F17">
        <w:t xml:space="preserve">których są zrzucane ścieki komunalne, jeżeli przewiduje się znaczący wpływ zrzutów na stan środowiska. </w:t>
      </w:r>
      <w:r w:rsidR="004B5313">
        <w:t>E</w:t>
      </w:r>
      <w:r w:rsidRPr="00795F17">
        <w:t xml:space="preserve">wentualny monitoring powinien obejmować wskaźniki, dla których dyrektywa określa normy emisji. </w:t>
      </w:r>
      <w:bookmarkStart w:id="427" w:name="_Hlk67576457"/>
      <w:r w:rsidR="0094086F" w:rsidRPr="005842B5">
        <w:t>Oznacza</w:t>
      </w:r>
      <w:r w:rsidR="0094086F" w:rsidRPr="00795F17">
        <w:rPr>
          <w:color w:val="000000"/>
        </w:rPr>
        <w:t xml:space="preserve"> to, </w:t>
      </w:r>
      <w:r w:rsidR="0094086F" w:rsidRPr="005842B5">
        <w:t>że</w:t>
      </w:r>
      <w:r w:rsidR="0094086F" w:rsidRPr="00795F17">
        <w:rPr>
          <w:color w:val="000000"/>
        </w:rPr>
        <w:t xml:space="preserve"> </w:t>
      </w:r>
      <w:r w:rsidR="0094086F" w:rsidRPr="005842B5">
        <w:t>oprócz</w:t>
      </w:r>
      <w:r w:rsidR="0094086F" w:rsidRPr="00795F17">
        <w:rPr>
          <w:color w:val="000000"/>
        </w:rPr>
        <w:t xml:space="preserve"> </w:t>
      </w:r>
      <w:r w:rsidR="0094086F" w:rsidRPr="005842B5">
        <w:t>wskaźników</w:t>
      </w:r>
      <w:r w:rsidR="0094086F" w:rsidRPr="00795F17">
        <w:rPr>
          <w:color w:val="000000"/>
        </w:rPr>
        <w:t xml:space="preserve"> </w:t>
      </w:r>
      <w:r w:rsidR="0094086F" w:rsidRPr="005842B5">
        <w:t>fizykochemicznych</w:t>
      </w:r>
      <w:r w:rsidR="0094086F" w:rsidRPr="00795F17">
        <w:rPr>
          <w:color w:val="000000"/>
        </w:rPr>
        <w:t xml:space="preserve"> monitorowanych w celu oceny </w:t>
      </w:r>
      <w:r w:rsidR="0094086F" w:rsidRPr="005842B5">
        <w:t>stanu</w:t>
      </w:r>
      <w:r w:rsidR="0094086F" w:rsidRPr="00795F17">
        <w:rPr>
          <w:color w:val="000000"/>
        </w:rPr>
        <w:t>/</w:t>
      </w:r>
      <w:r w:rsidR="0094086F" w:rsidRPr="005842B5">
        <w:t>potencjału</w:t>
      </w:r>
      <w:r w:rsidR="0094086F" w:rsidRPr="00795F17">
        <w:rPr>
          <w:color w:val="000000"/>
        </w:rPr>
        <w:t xml:space="preserve"> </w:t>
      </w:r>
      <w:r w:rsidR="0094086F" w:rsidRPr="005842B5">
        <w:t>ekologicznego</w:t>
      </w:r>
      <w:r w:rsidR="0094086F" w:rsidRPr="00795F17">
        <w:rPr>
          <w:color w:val="000000"/>
        </w:rPr>
        <w:t xml:space="preserve"> danego typu </w:t>
      </w:r>
      <w:r w:rsidR="00DF005E">
        <w:rPr>
          <w:color w:val="000000"/>
        </w:rPr>
        <w:t>JCWP</w:t>
      </w:r>
      <w:r w:rsidR="0094086F" w:rsidRPr="00795F17">
        <w:rPr>
          <w:color w:val="000000"/>
        </w:rPr>
        <w:t xml:space="preserve">, może istnieć potrzeba monitoringu dodatkowych </w:t>
      </w:r>
      <w:r w:rsidR="0094086F" w:rsidRPr="005842B5">
        <w:t>wskaźników</w:t>
      </w:r>
      <w:r w:rsidR="0094086F" w:rsidRPr="00795F17">
        <w:rPr>
          <w:color w:val="000000"/>
        </w:rPr>
        <w:t xml:space="preserve"> </w:t>
      </w:r>
      <w:r w:rsidR="0094086F" w:rsidRPr="005842B5">
        <w:t>fizykochemicznych</w:t>
      </w:r>
      <w:r w:rsidR="0094086F" w:rsidRPr="00795F17">
        <w:rPr>
          <w:color w:val="000000"/>
        </w:rPr>
        <w:t xml:space="preserve"> (o ile nie są uwzględnione w</w:t>
      </w:r>
      <w:r w:rsidR="00715ABA">
        <w:rPr>
          <w:color w:val="000000"/>
        </w:rPr>
        <w:t> </w:t>
      </w:r>
      <w:r w:rsidR="0094086F" w:rsidRPr="00795F17">
        <w:rPr>
          <w:color w:val="000000"/>
        </w:rPr>
        <w:t>standardowym monitoringu)</w:t>
      </w:r>
      <w:bookmarkStart w:id="428" w:name="_Hlk67576439"/>
      <w:bookmarkEnd w:id="427"/>
      <w:r w:rsidRPr="00795F17">
        <w:t>:</w:t>
      </w:r>
      <w:bookmarkEnd w:id="428"/>
    </w:p>
    <w:p w14:paraId="383DD6C6" w14:textId="65DA2E8D" w:rsidR="00A230D1" w:rsidRPr="00795F17" w:rsidRDefault="00A230D1" w:rsidP="00117E86">
      <w:pPr>
        <w:pStyle w:val="Listapunktowana2"/>
      </w:pPr>
      <w:r w:rsidRPr="00795F17">
        <w:t xml:space="preserve">w ciekach będących kanałami </w:t>
      </w:r>
      <w:r w:rsidR="009F4D4F">
        <w:t>–</w:t>
      </w:r>
      <w:r w:rsidRPr="00795F17">
        <w:t xml:space="preserve"> zawiesiny ogólne, BZT</w:t>
      </w:r>
      <w:r w:rsidRPr="00795F17">
        <w:rPr>
          <w:vertAlign w:val="subscript"/>
        </w:rPr>
        <w:t>5</w:t>
      </w:r>
      <w:r w:rsidRPr="00795F17">
        <w:t>, ChZT-Cr, azot ogólny i fosfor ogólny;</w:t>
      </w:r>
    </w:p>
    <w:p w14:paraId="37652A25" w14:textId="7E38BB06" w:rsidR="00A230D1" w:rsidRPr="00795F17" w:rsidRDefault="00A230D1" w:rsidP="00117E86">
      <w:pPr>
        <w:pStyle w:val="Listapunktowana2"/>
      </w:pPr>
      <w:r w:rsidRPr="00795F17">
        <w:t xml:space="preserve">w zbiornikach zaporowych </w:t>
      </w:r>
      <w:r w:rsidR="009F4D4F">
        <w:t>–</w:t>
      </w:r>
      <w:r w:rsidRPr="00795F17">
        <w:t xml:space="preserve"> zawiesiny ogólne;</w:t>
      </w:r>
    </w:p>
    <w:p w14:paraId="3F0E9A78" w14:textId="616BD348" w:rsidR="00A230D1" w:rsidRPr="00795F17" w:rsidRDefault="00A230D1" w:rsidP="00117E86">
      <w:pPr>
        <w:pStyle w:val="Listapunktowana2"/>
      </w:pPr>
      <w:r w:rsidRPr="00795F17">
        <w:t xml:space="preserve">w jeziorach </w:t>
      </w:r>
      <w:r w:rsidR="009F4D4F">
        <w:t>–</w:t>
      </w:r>
      <w:r w:rsidRPr="00795F17">
        <w:t xml:space="preserve"> zawiesiny ogólne, BZT</w:t>
      </w:r>
      <w:r w:rsidRPr="00795F17">
        <w:rPr>
          <w:vertAlign w:val="subscript"/>
        </w:rPr>
        <w:t>5</w:t>
      </w:r>
      <w:r w:rsidRPr="00795F17">
        <w:t xml:space="preserve"> i ChZT-Cr.</w:t>
      </w:r>
    </w:p>
    <w:p w14:paraId="2E48BCF2" w14:textId="3735D617" w:rsidR="00A230D1" w:rsidRDefault="00A230D1" w:rsidP="0044393D">
      <w:r w:rsidRPr="00795F17">
        <w:t>Zgodnie z Wytycznymi WFD CIS do oceny eutrofizacji (2009) ocena stopnia eutrofizacji części wód w</w:t>
      </w:r>
      <w:r w:rsidR="00715ABA">
        <w:t> </w:t>
      </w:r>
      <w:r w:rsidRPr="00795F17">
        <w:t xml:space="preserve">Polsce wymagana </w:t>
      </w:r>
      <w:r w:rsidR="0066667D">
        <w:t>d</w:t>
      </w:r>
      <w:r w:rsidRPr="00795F17">
        <w:t>yrektywą 91/271/EWG w świetle polityki wodnej UE jest tożsama</w:t>
      </w:r>
      <w:r w:rsidR="00715ABA">
        <w:t xml:space="preserve"> </w:t>
      </w:r>
      <w:r w:rsidRPr="00795F17">
        <w:t>z</w:t>
      </w:r>
      <w:r w:rsidR="00715ABA">
        <w:t> </w:t>
      </w:r>
      <w:r w:rsidR="00C12087">
        <w:t>klasyfikacją stanu ekologicznego</w:t>
      </w:r>
      <w:r w:rsidRPr="00795F17">
        <w:t xml:space="preserve">. Wobec powyższego osiągnięcie, co najmniej dobrego stanu przez </w:t>
      </w:r>
      <w:r w:rsidR="00DF005E">
        <w:t>JCWP</w:t>
      </w:r>
      <w:r w:rsidRPr="00795F17">
        <w:t xml:space="preserve"> o</w:t>
      </w:r>
      <w:r w:rsidR="00715ABA">
        <w:t xml:space="preserve">znacza </w:t>
      </w:r>
      <w:r w:rsidRPr="004A4C0B">
        <w:rPr>
          <w:rFonts w:asciiTheme="minorHAnsi" w:hAnsiTheme="minorHAnsi" w:cstheme="minorHAnsi"/>
        </w:rPr>
        <w:t>spełnienie wymogu z powyższy</w:t>
      </w:r>
      <w:r w:rsidR="00715ABA" w:rsidRPr="004A4C0B">
        <w:rPr>
          <w:rFonts w:asciiTheme="minorHAnsi" w:hAnsiTheme="minorHAnsi" w:cstheme="minorHAnsi"/>
        </w:rPr>
        <w:t xml:space="preserve">ch </w:t>
      </w:r>
      <w:r w:rsidRPr="004A4C0B">
        <w:rPr>
          <w:rFonts w:asciiTheme="minorHAnsi" w:hAnsiTheme="minorHAnsi" w:cstheme="minorHAnsi"/>
        </w:rPr>
        <w:t>„norm i cel</w:t>
      </w:r>
      <w:r w:rsidR="00715ABA" w:rsidRPr="004A4C0B">
        <w:rPr>
          <w:rFonts w:asciiTheme="minorHAnsi" w:hAnsiTheme="minorHAnsi" w:cstheme="minorHAnsi"/>
        </w:rPr>
        <w:t>ów</w:t>
      </w:r>
      <w:r w:rsidRPr="004A4C0B">
        <w:rPr>
          <w:rFonts w:asciiTheme="minorHAnsi" w:hAnsiTheme="minorHAnsi" w:cstheme="minorHAnsi"/>
        </w:rPr>
        <w:t>”. W związku z powyższym w</w:t>
      </w:r>
      <w:r w:rsidR="00715ABA" w:rsidRPr="004A4C0B">
        <w:rPr>
          <w:rFonts w:asciiTheme="minorHAnsi" w:hAnsiTheme="minorHAnsi" w:cstheme="minorHAnsi"/>
        </w:rPr>
        <w:t> </w:t>
      </w:r>
      <w:r w:rsidRPr="004A4C0B">
        <w:rPr>
          <w:rFonts w:asciiTheme="minorHAnsi" w:hAnsiTheme="minorHAnsi" w:cstheme="minorHAnsi"/>
        </w:rPr>
        <w:t xml:space="preserve">zakresie obszarów wrażliwych na eutrofizację wywołaną zanieczyszczeniami pochodzącymi ze źródeł komunalnych </w:t>
      </w:r>
      <w:r w:rsidR="006841E9" w:rsidRPr="004A4C0B">
        <w:rPr>
          <w:rFonts w:asciiTheme="minorHAnsi" w:hAnsiTheme="minorHAnsi" w:cstheme="minorHAnsi"/>
        </w:rPr>
        <w:t xml:space="preserve">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 </w:t>
      </w:r>
      <w:r w:rsidRPr="004A4C0B">
        <w:rPr>
          <w:rFonts w:asciiTheme="minorHAnsi" w:hAnsiTheme="minorHAnsi" w:cstheme="minorHAnsi"/>
        </w:rPr>
        <w:t>nie założono dodatkowych wymagań</w:t>
      </w:r>
      <w:r w:rsidRPr="00795F17">
        <w:t xml:space="preserve">. </w:t>
      </w:r>
    </w:p>
    <w:p w14:paraId="7F987DB4" w14:textId="3B9B9A02" w:rsidR="00A50B12" w:rsidRDefault="00A50B12" w:rsidP="00A50B12">
      <w:pPr>
        <w:rPr>
          <w:rFonts w:asciiTheme="minorHAnsi" w:hAnsiTheme="minorHAnsi" w:cstheme="minorHAnsi"/>
          <w:bCs/>
          <w:iCs/>
        </w:rPr>
      </w:pPr>
      <w:bookmarkStart w:id="429" w:name="_Hlk66920086"/>
      <w:r>
        <w:rPr>
          <w:rFonts w:asciiTheme="minorHAnsi" w:hAnsiTheme="minorHAnsi" w:cstheme="minorHAnsi"/>
        </w:rPr>
        <w:t xml:space="preserve">Cały obszar kraju wskazany jest jako wrażliwy na eutrofizację </w:t>
      </w:r>
      <w:r>
        <w:rPr>
          <w:rFonts w:asciiTheme="minorHAnsi" w:hAnsiTheme="minorHAnsi" w:cstheme="minorHAnsi"/>
          <w:bCs/>
          <w:iCs/>
        </w:rPr>
        <w:t xml:space="preserve">wywołaną zanieczyszczeniami pochodzącymi ze źródeł </w:t>
      </w:r>
      <w:r w:rsidRPr="002F3ACD">
        <w:rPr>
          <w:rFonts w:asciiTheme="minorHAnsi" w:hAnsiTheme="minorHAnsi" w:cstheme="minorHAnsi"/>
        </w:rPr>
        <w:t>komunalnych</w:t>
      </w:r>
      <w:r w:rsidR="006841E9" w:rsidRPr="002F3ACD">
        <w:rPr>
          <w:rFonts w:asciiTheme="minorHAnsi" w:hAnsiTheme="minorHAnsi" w:cstheme="minorHAnsi"/>
        </w:rPr>
        <w:t xml:space="preserve">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r w:rsidRPr="002F3ACD">
        <w:rPr>
          <w:rFonts w:asciiTheme="minorHAnsi" w:hAnsiTheme="minorHAnsi" w:cstheme="minorHAnsi"/>
        </w:rPr>
        <w:t>.</w:t>
      </w:r>
      <w:bookmarkEnd w:id="429"/>
    </w:p>
    <w:p w14:paraId="3785511A" w14:textId="7322C5CF" w:rsidR="00A230D1" w:rsidRPr="00B2531C" w:rsidRDefault="00A230D1" w:rsidP="001D33CA">
      <w:pPr>
        <w:pStyle w:val="LITEROWANIE"/>
      </w:pPr>
      <w:r w:rsidRPr="00B2531C">
        <w:t xml:space="preserve">Obszary przeznaczone do ochrony siedlisk lub gatunków ustanowionych w </w:t>
      </w:r>
      <w:r w:rsidR="000D6198">
        <w:t>u.o.p</w:t>
      </w:r>
      <w:r w:rsidRPr="00B2531C">
        <w:t>, dla których utrzymanie lub poprawa stanu wód jest ważnym czynnikiem w ich ochronie</w:t>
      </w:r>
    </w:p>
    <w:p w14:paraId="10852D56" w14:textId="5DC04AE9" w:rsidR="00A230D1" w:rsidRPr="00795F17" w:rsidRDefault="00A230D1" w:rsidP="0044393D">
      <w:r w:rsidRPr="00795F17">
        <w:t>Dotychczasowy rejestr obszarów chronionych przeznaczonych do ochrony siedlisk lub gatunków ustanowionych w u.o.p., dla których utrzymanie lub poprawa stanu wód jest ważnym czynnikiem w</w:t>
      </w:r>
      <w:r w:rsidR="00715ABA">
        <w:t> </w:t>
      </w:r>
      <w:r w:rsidRPr="00795F17">
        <w:t>ich</w:t>
      </w:r>
      <w:r w:rsidR="00715ABA">
        <w:t> </w:t>
      </w:r>
      <w:r w:rsidRPr="00795F17">
        <w:t>ochronie, wymagał aktualizacji w związku z:</w:t>
      </w:r>
    </w:p>
    <w:p w14:paraId="6028FC61" w14:textId="77777777" w:rsidR="00A230D1" w:rsidRPr="00795F17" w:rsidRDefault="00A230D1" w:rsidP="00117E86">
      <w:pPr>
        <w:pStyle w:val="Listapunktowana2"/>
      </w:pPr>
      <w:r w:rsidRPr="00795F17">
        <w:t>powstaniem, od czasu sporządzenia dotychczasowego rejestru, nowych obszarów chronionych (obszary Natura 2000, rezerwaty przyrody, parki krajobrazowe);</w:t>
      </w:r>
    </w:p>
    <w:p w14:paraId="1F6701A9" w14:textId="77777777" w:rsidR="00A230D1" w:rsidRPr="00795F17" w:rsidRDefault="00A230D1" w:rsidP="00117E86">
      <w:pPr>
        <w:pStyle w:val="Listapunktowana2"/>
      </w:pPr>
      <w:r w:rsidRPr="00795F17">
        <w:t>aktualizacją prowadzonego przez GDOŚ Centralnego Rejestru Form Ochrony Przyrody (CRFOP) do formy, która obecnie umożliwia praktyczne wykorzystanie zawartych w niej danych.</w:t>
      </w:r>
    </w:p>
    <w:p w14:paraId="4DB783DD" w14:textId="0E6EDCD9" w:rsidR="00A230D1" w:rsidRPr="00795F17" w:rsidRDefault="00A230D1" w:rsidP="0044393D">
      <w:r w:rsidRPr="00795F17">
        <w:t>W ramach prac nad IIaPGW dla każdej formy ochrony przyrody została zweryfikowana jej „wodozależność”, tj. istnienie zależności celu ochrony obszaru chronionego od wód powierzchniowych lub podziemnych. Dla obszarów ujętych w aktualnym rejestrze, tj. parków narodowych, rezerwatów, parków krajobrazowych oraz obszarów Natura 2000 poprawność identyfikacji ich „wodozależności” została sprawdzona. Dla pozostałych obszarów poszukiwane były przesłanki ewentualnej zależności od</w:t>
      </w:r>
      <w:r w:rsidR="00646D67" w:rsidRPr="00795F17">
        <w:t> </w:t>
      </w:r>
      <w:r w:rsidRPr="00795F17">
        <w:t xml:space="preserve">wód. W ramach opracowania </w:t>
      </w:r>
      <w:r w:rsidRPr="00795F17">
        <w:rPr>
          <w:i/>
        </w:rPr>
        <w:t>Ustalenie celów środowiskowych (…)</w:t>
      </w:r>
      <w:r w:rsidR="0032003A">
        <w:rPr>
          <w:rStyle w:val="Odwoanieprzypisudolnego"/>
          <w:i/>
        </w:rPr>
        <w:footnoteReference w:id="61"/>
      </w:r>
      <w:r w:rsidRPr="00795F17">
        <w:rPr>
          <w:i/>
        </w:rPr>
        <w:t xml:space="preserve"> </w:t>
      </w:r>
      <w:r w:rsidRPr="00795F17">
        <w:t>dla wszystkich obszarów przeprowadzono analizę pod kątem identyfikacji, czy jest to zależność od wód powierzchniowych czy</w:t>
      </w:r>
      <w:r w:rsidR="007E3520" w:rsidRPr="00795F17">
        <w:t> </w:t>
      </w:r>
      <w:r w:rsidRPr="00795F17">
        <w:t xml:space="preserve">podziemnych, czy też od jednych i drugich. </w:t>
      </w:r>
    </w:p>
    <w:p w14:paraId="144A9C77" w14:textId="0F10D9C2" w:rsidR="00A230D1" w:rsidRPr="00795F17" w:rsidRDefault="00A230D1" w:rsidP="0044393D">
      <w:r w:rsidRPr="00795F17">
        <w:t xml:space="preserve">Zgodnie z opracowaniem </w:t>
      </w:r>
      <w:r w:rsidRPr="00795F17">
        <w:rPr>
          <w:i/>
          <w:iCs/>
        </w:rPr>
        <w:t>Ustalenie celów środowiskowych (…)</w:t>
      </w:r>
      <w:r w:rsidR="0032003A">
        <w:rPr>
          <w:rStyle w:val="Odwoanieprzypisudolnego"/>
          <w:i/>
          <w:iCs/>
        </w:rPr>
        <w:footnoteReference w:id="62"/>
      </w:r>
      <w:r w:rsidRPr="00795F17">
        <w:rPr>
          <w:i/>
          <w:iCs/>
        </w:rPr>
        <w:t>,</w:t>
      </w:r>
      <w:r w:rsidRPr="00795F17">
        <w:t xml:space="preserve"> tam, gdzie było to możliwe, cele środowiskowe dla obszarów chronionych zostały objaśnione w sposób „wskaźnikowy”, tj. z podaniem maksymalnie konkretnych, najlepiej ilościowych wskaźników ich osiągnięcia odnoszących się do wód. Cele środowiskowe dla obszarów chronionych są z definicji „normami i celami” określonymi w</w:t>
      </w:r>
      <w:r w:rsidR="00646D67" w:rsidRPr="00795F17">
        <w:t> </w:t>
      </w:r>
      <w:r w:rsidRPr="00795F17">
        <w:t>przepisach odrębnych, a tym samym możliwość ich konkretyzacji jest ograniczona precyzją, z jaką są</w:t>
      </w:r>
      <w:r w:rsidR="00404E96" w:rsidRPr="00795F17">
        <w:t> </w:t>
      </w:r>
      <w:r w:rsidRPr="00795F17">
        <w:t>one określone w dokumentach planistycznych ochrony przyrody.</w:t>
      </w:r>
      <w:r w:rsidR="005D78BD">
        <w:t xml:space="preserve"> </w:t>
      </w:r>
    </w:p>
    <w:p w14:paraId="14C2A014" w14:textId="180B87DE" w:rsidR="00B33F51" w:rsidRDefault="00B33F51" w:rsidP="00B33F51">
      <w:r w:rsidRPr="00795F17">
        <w:t xml:space="preserve">Ocena osiągnięcia celów środowiskowych dla obszarów, dla których w aPGW określono cel środowiskowy (parki narodowe, rezerwaty, parki krajobrazowe, obszary Natura 2000) została wykonana na podstawie ankietyzacji jednostek sprawujących nadzór nad poszczególnymi obszarami. </w:t>
      </w:r>
      <w:r>
        <w:t>Na </w:t>
      </w:r>
      <w:r w:rsidRPr="00795F17">
        <w:t xml:space="preserve">obszarze dorzecza Odry cel środowiskowy został wyznaczony dla </w:t>
      </w:r>
      <w:r>
        <w:t>669</w:t>
      </w:r>
      <w:r w:rsidRPr="00795F17">
        <w:t xml:space="preserve"> obszarów przeznaczonych do ochrony siedlisk lub gatunków ustanowionych w </w:t>
      </w:r>
      <w:r w:rsidR="000D6198">
        <w:t>u.o.p</w:t>
      </w:r>
      <w:r w:rsidRPr="00795F17">
        <w:t xml:space="preserve">, dla których utrzymanie lub poprawa stanu wód jest ważnym czynnikiem w ich ochronie. Dla </w:t>
      </w:r>
      <w:r>
        <w:t>517</w:t>
      </w:r>
      <w:r w:rsidRPr="00795F17">
        <w:t xml:space="preserve"> (</w:t>
      </w:r>
      <w:r>
        <w:t>77</w:t>
      </w:r>
      <w:r w:rsidRPr="00795F17">
        <w:t xml:space="preserve">%) obszarów, ze względu na brak danych nie była możliwa ocena osiągnięcia celu środowiskowego. </w:t>
      </w:r>
      <w:r>
        <w:t>Dla</w:t>
      </w:r>
      <w:r w:rsidRPr="00795F17">
        <w:t xml:space="preserve"> 37 (</w:t>
      </w:r>
      <w:r>
        <w:t>6</w:t>
      </w:r>
      <w:r w:rsidRPr="00795F17">
        <w:t>%) obszarów stwierdzono osiągnięcie, a w przypadku 6</w:t>
      </w:r>
      <w:r>
        <w:t>7</w:t>
      </w:r>
      <w:r w:rsidRPr="00795F17">
        <w:t xml:space="preserve"> (</w:t>
      </w:r>
      <w:r>
        <w:t>10</w:t>
      </w:r>
      <w:r w:rsidRPr="00795F17">
        <w:t xml:space="preserve">%) </w:t>
      </w:r>
      <w:r>
        <w:t>–</w:t>
      </w:r>
      <w:r w:rsidRPr="00795F17">
        <w:t xml:space="preserve"> częściowe osiągnięcie celów środowiskowych. W przypadku </w:t>
      </w:r>
      <w:r>
        <w:t>48</w:t>
      </w:r>
      <w:r w:rsidRPr="00795F17">
        <w:t xml:space="preserve"> obszarów (7%) oceniono, że cel nie został osiągnięty (wykres 8-1</w:t>
      </w:r>
      <w:r>
        <w:t>3</w:t>
      </w:r>
      <w:r w:rsidRPr="00795F17">
        <w:t>).</w:t>
      </w:r>
    </w:p>
    <w:p w14:paraId="525323B1" w14:textId="77777777" w:rsidR="00B33F51" w:rsidRDefault="00B33F51">
      <w:pPr>
        <w:suppressAutoHyphens w:val="0"/>
        <w:spacing w:before="0" w:after="0"/>
        <w:jc w:val="left"/>
      </w:pPr>
      <w:r>
        <w:br w:type="page"/>
      </w:r>
    </w:p>
    <w:p w14:paraId="0983E853" w14:textId="77777777" w:rsidR="00B33F51" w:rsidRPr="00795F17" w:rsidRDefault="00B33F51" w:rsidP="00B33F51">
      <w:pPr>
        <w:jc w:val="center"/>
      </w:pPr>
      <w:r>
        <w:rPr>
          <w:noProof/>
        </w:rPr>
        <w:drawing>
          <wp:inline distT="0" distB="0" distL="0" distR="0" wp14:anchorId="24746F74" wp14:editId="21E46A91">
            <wp:extent cx="4572000" cy="2743200"/>
            <wp:effectExtent l="0" t="0" r="0" b="0"/>
            <wp:docPr id="2" name="Wykres 2">
              <a:extLst xmlns:a="http://schemas.openxmlformats.org/drawingml/2006/main">
                <a:ext uri="{FF2B5EF4-FFF2-40B4-BE49-F238E27FC236}">
                  <a16:creationId xmlns:a16="http://schemas.microsoft.com/office/drawing/2014/main" id="{237B7DE4-7BFD-49F7-AEFA-B0798D3051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C8E71FC" w14:textId="0D681842" w:rsidR="006F7895" w:rsidRPr="00795F17" w:rsidRDefault="003E73D3" w:rsidP="00B479EE">
      <w:pPr>
        <w:pStyle w:val="Wykres"/>
      </w:pPr>
      <w:bookmarkStart w:id="430" w:name="_Toc105513002"/>
      <w:r w:rsidRPr="00795F17">
        <w:t xml:space="preserve">Wykres </w:t>
      </w:r>
      <w:fldSimple w:instr=" STYLEREF 1 \s ">
        <w:r w:rsidR="001F774D">
          <w:rPr>
            <w:noProof/>
          </w:rPr>
          <w:t>8</w:t>
        </w:r>
      </w:fldSimple>
      <w:r w:rsidR="00FF20D3">
        <w:noBreakHyphen/>
      </w:r>
      <w:fldSimple w:instr=" SEQ Wykres \* ARABIC \s 1 ">
        <w:r w:rsidR="001F774D">
          <w:rPr>
            <w:noProof/>
          </w:rPr>
          <w:t>13</w:t>
        </w:r>
      </w:fldSimple>
      <w:r w:rsidR="00A2734E">
        <w:rPr>
          <w:noProof/>
        </w:rPr>
        <w:t>.</w:t>
      </w:r>
      <w:r w:rsidR="00B10A61" w:rsidRPr="00795F17">
        <w:tab/>
        <w:t xml:space="preserve">Podsumowanie wyniku oceny osiągnięcia celów środowiskowych obszarów przeznaczonych do ochrony siedlisk lub gatunków ustanowionych w </w:t>
      </w:r>
      <w:r w:rsidR="000D6198">
        <w:t>u.o.p</w:t>
      </w:r>
      <w:r w:rsidR="00B10A61" w:rsidRPr="00795F17">
        <w:t xml:space="preserve">, dla których </w:t>
      </w:r>
      <w:r w:rsidR="00B10A61" w:rsidRPr="00795F17">
        <w:rPr>
          <w:color w:val="262626" w:themeColor="text1" w:themeTint="D9"/>
        </w:rPr>
        <w:t>utrzymanie lub poprawa stanu wód jest ważnym czynnikiem w ich ochronie</w:t>
      </w:r>
      <w:r w:rsidR="006F7895" w:rsidRPr="00795F17">
        <w:rPr>
          <w:color w:val="262626" w:themeColor="text1" w:themeTint="D9"/>
        </w:rPr>
        <w:t>, które uwzględnione zostały w wykazie obszarów przeznaczonych do ochrony siedlisk lub gatunków w latach 2016</w:t>
      </w:r>
      <w:r w:rsidR="009F4D4F">
        <w:rPr>
          <w:color w:val="262626" w:themeColor="text1" w:themeTint="D9"/>
        </w:rPr>
        <w:t>–</w:t>
      </w:r>
      <w:r w:rsidR="006F7895" w:rsidRPr="00795F17">
        <w:rPr>
          <w:color w:val="262626" w:themeColor="text1" w:themeTint="D9"/>
        </w:rPr>
        <w:t>2021</w:t>
      </w:r>
      <w:bookmarkEnd w:id="430"/>
    </w:p>
    <w:p w14:paraId="0686D857" w14:textId="25D44E1D" w:rsidR="00C123DA" w:rsidRPr="00795F17" w:rsidRDefault="00C123DA" w:rsidP="0044393D">
      <w:pPr>
        <w:pStyle w:val="rdo"/>
      </w:pPr>
      <w:r w:rsidRPr="00795F17">
        <w:t xml:space="preserve">Źródło: </w:t>
      </w:r>
      <w:r w:rsidR="00FD7248" w:rsidRPr="00795F17">
        <w:t>opracowanie własne</w:t>
      </w:r>
    </w:p>
    <w:p w14:paraId="26587AFA" w14:textId="50EA4A81" w:rsidR="00A230D1" w:rsidRPr="00795F17" w:rsidRDefault="00A230D1" w:rsidP="0044393D">
      <w:r w:rsidRPr="00795F17">
        <w:t xml:space="preserve">Dla obszarów, w których przedmiotami ochrony są ryby dwuśrodowiskowe (np. jesiotr ostronosy </w:t>
      </w:r>
      <w:r w:rsidRPr="00795F17">
        <w:rPr>
          <w:i/>
        </w:rPr>
        <w:t>Acipenser oxyrinchus</w:t>
      </w:r>
      <w:r w:rsidRPr="00795F17">
        <w:t xml:space="preserve">, łosoś atlantycki </w:t>
      </w:r>
      <w:r w:rsidRPr="00795F17">
        <w:rPr>
          <w:i/>
        </w:rPr>
        <w:t>Salmo salar</w:t>
      </w:r>
      <w:r w:rsidRPr="00795F17">
        <w:t xml:space="preserve">, minóg rzeczny </w:t>
      </w:r>
      <w:r w:rsidRPr="00795F17">
        <w:rPr>
          <w:i/>
        </w:rPr>
        <w:t>Lampetra fluviatilis</w:t>
      </w:r>
      <w:r w:rsidRPr="00795F17">
        <w:t>), cel środowiskowy w postaci zapewnienia ciągłości ekologicznej dla odpowiednich gatunków ryb został dodatkowo przypisany do wszystkich wód stanowiących trasę migracji tych gatunków między wykorzystywanymi środowiskami. Dla obszarów, w których przedmiotami ochrony są inne gatunki ryb, cel środowiskowy w postaci zapewnienia ciągłości ekologicznej dla odpowiednich gatunków ryb został przypisany do odcinków cieków nie krótszych, niż wymagania ekologiczne odpowiednich gatunków ryb co do odbywania lokalnych migracji</w:t>
      </w:r>
      <w:r w:rsidR="0066667D">
        <w:rPr>
          <w:rStyle w:val="Odwoanieprzypisudolnego"/>
        </w:rPr>
        <w:footnoteReference w:id="63"/>
      </w:r>
      <w:r w:rsidRPr="00795F17">
        <w:t xml:space="preserve"> (na podstawie: </w:t>
      </w:r>
      <w:r w:rsidRPr="00795F17">
        <w:rPr>
          <w:i/>
        </w:rPr>
        <w:t xml:space="preserve">Warunki migracji </w:t>
      </w:r>
      <w:r w:rsidRPr="00795F17">
        <w:t>w:</w:t>
      </w:r>
      <w:r w:rsidRPr="00795F17">
        <w:rPr>
          <w:i/>
        </w:rPr>
        <w:t xml:space="preserve"> Monitoring gatunków zwierząt </w:t>
      </w:r>
      <w:r w:rsidR="0066667D">
        <w:t>(…)):</w:t>
      </w:r>
    </w:p>
    <w:p w14:paraId="2B729DDE" w14:textId="58EEF9A3" w:rsidR="00A230D1" w:rsidRPr="00F63E7B" w:rsidRDefault="0066667D" w:rsidP="00117E86">
      <w:pPr>
        <w:pStyle w:val="Listapunktowana2"/>
      </w:pPr>
      <w:r>
        <w:t>j</w:t>
      </w:r>
      <w:r w:rsidR="00A230D1" w:rsidRPr="00F63E7B">
        <w:t xml:space="preserve">eżeli </w:t>
      </w:r>
      <w:r w:rsidR="00DF005E">
        <w:t>JCWP</w:t>
      </w:r>
      <w:r w:rsidR="00A230D1" w:rsidRPr="00F63E7B">
        <w:t xml:space="preserve"> stanowiła ciek naturalny (ale nie sztuczną część wód) </w:t>
      </w:r>
      <w:r w:rsidR="00F87935">
        <w:t>na</w:t>
      </w:r>
      <w:r w:rsidR="00A230D1" w:rsidRPr="00F63E7B">
        <w:t xml:space="preserve"> obszarze chronionym Natura 2000 wyznaczonym dla ochrony siedliska przyrodniczego 3260 (nizinne i</w:t>
      </w:r>
      <w:r w:rsidR="00F63E7B" w:rsidRPr="00F63E7B">
        <w:t> </w:t>
      </w:r>
      <w:r w:rsidR="00A230D1" w:rsidRPr="00F63E7B">
        <w:t xml:space="preserve">podgórskie rzeki ze zbiorowiskami włosieniczników), to takiej </w:t>
      </w:r>
      <w:r w:rsidR="00DF005E">
        <w:t>JCWP</w:t>
      </w:r>
      <w:r w:rsidR="00A230D1" w:rsidRPr="00F63E7B">
        <w:t xml:space="preserve"> przypisano wymóg „Stan hydromorfologii wg wymogów rzek włosienicznikowych (HQA &gt;= 50 i HMS &lt;=20, con. 3 naturalne elementy morfologiczne)”;</w:t>
      </w:r>
    </w:p>
    <w:p w14:paraId="671F0757" w14:textId="456324E8" w:rsidR="00A230D1" w:rsidRPr="00F63E7B" w:rsidRDefault="0066667D" w:rsidP="00117E86">
      <w:pPr>
        <w:pStyle w:val="Listapunktowana2"/>
      </w:pPr>
      <w:r>
        <w:t>j</w:t>
      </w:r>
      <w:r w:rsidR="00A230D1" w:rsidRPr="00F63E7B">
        <w:t xml:space="preserve">eżeli </w:t>
      </w:r>
      <w:r w:rsidR="00DF005E">
        <w:t>JCWP</w:t>
      </w:r>
      <w:r w:rsidR="00A230D1" w:rsidRPr="00F63E7B">
        <w:t xml:space="preserve"> znajdowała się </w:t>
      </w:r>
      <w:r w:rsidR="00F87935">
        <w:t>na</w:t>
      </w:r>
      <w:r w:rsidR="00A230D1" w:rsidRPr="00F63E7B">
        <w:t xml:space="preserve"> obszarze Natura 2000 wyznaczonym dla ochrony bolenia lub</w:t>
      </w:r>
      <w:r w:rsidR="00113002" w:rsidRPr="00F63E7B">
        <w:t> </w:t>
      </w:r>
      <w:r w:rsidR="00A230D1" w:rsidRPr="00F63E7B">
        <w:t xml:space="preserve">brzanki, a </w:t>
      </w:r>
      <w:r w:rsidR="00442820">
        <w:t>według</w:t>
      </w:r>
      <w:r w:rsidR="00A230D1" w:rsidRPr="00F63E7B">
        <w:t xml:space="preserve"> oceny eksperckiej charakter cieku odpowiada wymaganiom ekologicznym tych gatunków ryb i długość danej </w:t>
      </w:r>
      <w:r w:rsidR="00DF005E">
        <w:t>JCWP</w:t>
      </w:r>
      <w:r w:rsidR="00A230D1" w:rsidRPr="00F63E7B">
        <w:t xml:space="preserve"> jest istotna dla osiągnięcia właściwego stanu siedliska tych ryb w odpowiednim obszarze Natura 2000, to takiej </w:t>
      </w:r>
      <w:r w:rsidR="00DF005E">
        <w:t>JCWP</w:t>
      </w:r>
      <w:r w:rsidR="00A230D1" w:rsidRPr="00F63E7B">
        <w:t xml:space="preserve"> przypisano wymóg „Drożność wg</w:t>
      </w:r>
      <w:r w:rsidR="00646D67" w:rsidRPr="00F63E7B">
        <w:t> </w:t>
      </w:r>
      <w:r w:rsidR="00A230D1" w:rsidRPr="00F63E7B">
        <w:t>wymagań bolenia i brzanki”;</w:t>
      </w:r>
    </w:p>
    <w:p w14:paraId="2C698F90" w14:textId="155636D7" w:rsidR="00A230D1" w:rsidRPr="00F63E7B" w:rsidRDefault="0066667D" w:rsidP="00117E86">
      <w:pPr>
        <w:pStyle w:val="Listapunktowana2"/>
      </w:pPr>
      <w:r>
        <w:t>j</w:t>
      </w:r>
      <w:r w:rsidR="00A230D1" w:rsidRPr="00F63E7B">
        <w:t xml:space="preserve">eżeli </w:t>
      </w:r>
      <w:r w:rsidR="00DF005E">
        <w:t>JCWP</w:t>
      </w:r>
      <w:r w:rsidR="00A230D1" w:rsidRPr="00F63E7B">
        <w:t xml:space="preserve"> znajdowała się </w:t>
      </w:r>
      <w:r w:rsidR="00F87935">
        <w:t>na</w:t>
      </w:r>
      <w:r w:rsidR="00A230D1" w:rsidRPr="00F63E7B">
        <w:t xml:space="preserve"> obszarze Natura 2000 wyznaczonym dla ochrony minogów, a</w:t>
      </w:r>
      <w:r w:rsidR="00F87935">
        <w:t> </w:t>
      </w:r>
      <w:r w:rsidR="00442820">
        <w:t>według</w:t>
      </w:r>
      <w:r w:rsidR="00A230D1" w:rsidRPr="00F63E7B">
        <w:t xml:space="preserve"> oceny eksperckiej charakter cieku odpowiada wymaganiom ekologicznym minogów i</w:t>
      </w:r>
      <w:r w:rsidR="00F87935">
        <w:t> </w:t>
      </w:r>
      <w:r w:rsidR="00A230D1" w:rsidRPr="00F63E7B">
        <w:t xml:space="preserve">długość danej </w:t>
      </w:r>
      <w:r w:rsidR="00DF005E">
        <w:t>JCWP</w:t>
      </w:r>
      <w:r w:rsidR="00A230D1" w:rsidRPr="00F63E7B">
        <w:t xml:space="preserve"> jest istotna dla osiągnięcia właściwego stanu siedliska minogów </w:t>
      </w:r>
      <w:r w:rsidR="00F87935">
        <w:t>na </w:t>
      </w:r>
      <w:r w:rsidR="00A230D1" w:rsidRPr="00F63E7B">
        <w:t xml:space="preserve">odpowiednim obszarze Natura 2000, to takiej </w:t>
      </w:r>
      <w:r w:rsidR="00DF005E">
        <w:t>JCWP</w:t>
      </w:r>
      <w:r w:rsidR="00A230D1" w:rsidRPr="00F63E7B">
        <w:t xml:space="preserve"> przypisano wymóg „Drożność wg</w:t>
      </w:r>
      <w:r w:rsidR="00646D67" w:rsidRPr="00F63E7B">
        <w:t> </w:t>
      </w:r>
      <w:r w:rsidR="00A230D1" w:rsidRPr="00F63E7B">
        <w:t>wymagań minogów”;</w:t>
      </w:r>
    </w:p>
    <w:p w14:paraId="68B563EC" w14:textId="4A517354" w:rsidR="00A230D1" w:rsidRPr="00F63E7B" w:rsidRDefault="0066667D" w:rsidP="00117E86">
      <w:pPr>
        <w:pStyle w:val="Listapunktowana2"/>
      </w:pPr>
      <w:r>
        <w:t>j</w:t>
      </w:r>
      <w:r w:rsidR="00A230D1" w:rsidRPr="00F63E7B">
        <w:t xml:space="preserve">eżeli </w:t>
      </w:r>
      <w:r w:rsidR="00DF005E">
        <w:t>JCWP</w:t>
      </w:r>
      <w:r w:rsidR="00A230D1" w:rsidRPr="00F63E7B">
        <w:t xml:space="preserve"> znajdowała się </w:t>
      </w:r>
      <w:r w:rsidR="00F87935">
        <w:t xml:space="preserve">na </w:t>
      </w:r>
      <w:r w:rsidR="00A230D1" w:rsidRPr="00F63E7B">
        <w:t>obszarze Natura 2000 wyznaczonym dla ochrony kiełbia Kesslera, kiełbia białopłetwego, głowacza białopłetwego, kozy, kozy złotawej, piskorza lub różanki, a</w:t>
      </w:r>
      <w:r w:rsidR="00F87935">
        <w:t> </w:t>
      </w:r>
      <w:r w:rsidR="00442820">
        <w:t>według</w:t>
      </w:r>
      <w:r w:rsidR="00A230D1" w:rsidRPr="00F63E7B">
        <w:t xml:space="preserve"> oceny eksperckiej charakter cieku odpowiada wymaganiom ekologicznym tych gatunków ryb i długość danej </w:t>
      </w:r>
      <w:r w:rsidR="00DF005E">
        <w:t>JCWP</w:t>
      </w:r>
      <w:r w:rsidR="00A230D1" w:rsidRPr="00F63E7B">
        <w:t xml:space="preserve"> jest istotna dla osiągnięcia właściwego stanu siedliska tych ryb </w:t>
      </w:r>
      <w:r w:rsidR="00F87935">
        <w:t>na</w:t>
      </w:r>
      <w:r w:rsidR="00646D67" w:rsidRPr="00F63E7B">
        <w:t> </w:t>
      </w:r>
      <w:r w:rsidR="00A230D1" w:rsidRPr="00F63E7B">
        <w:t xml:space="preserve">odpowiednim obszarze Natura 2000, to takiej </w:t>
      </w:r>
      <w:r w:rsidR="00DF005E">
        <w:t>JCWP</w:t>
      </w:r>
      <w:r w:rsidR="00A230D1" w:rsidRPr="00F63E7B">
        <w:t xml:space="preserve"> przypisano jej wymóg „Drożność wg</w:t>
      </w:r>
      <w:r w:rsidR="00646D67" w:rsidRPr="00F63E7B">
        <w:t> </w:t>
      </w:r>
      <w:r w:rsidR="00A230D1" w:rsidRPr="00F63E7B">
        <w:t>wymagań małych ryb chronionych”;</w:t>
      </w:r>
    </w:p>
    <w:p w14:paraId="11C7420F" w14:textId="14608256" w:rsidR="00A230D1" w:rsidRPr="00F63E7B" w:rsidRDefault="0066667D" w:rsidP="00117E86">
      <w:pPr>
        <w:pStyle w:val="Listapunktowana2"/>
      </w:pPr>
      <w:r>
        <w:t>j</w:t>
      </w:r>
      <w:r w:rsidR="00A230D1" w:rsidRPr="00F63E7B">
        <w:t xml:space="preserve">eżeli </w:t>
      </w:r>
      <w:r w:rsidR="00DF005E">
        <w:t>JCWP</w:t>
      </w:r>
      <w:r w:rsidR="00A230D1" w:rsidRPr="00F63E7B">
        <w:t xml:space="preserve"> stanowi część trasy migracyjnej między morzem a obszarem Natura 2000 wyznaczonym dla ochrony tarlisk ryb dwuśrodowiskowych (w praktyce: łososia atlantyckiego lub minoga rzecznego), to takiej </w:t>
      </w:r>
      <w:r w:rsidR="00DF005E">
        <w:t>JCWP</w:t>
      </w:r>
      <w:r w:rsidR="00A230D1" w:rsidRPr="00F63E7B">
        <w:t xml:space="preserve"> przypisano wymóg „Trasa migracji ryb dwuśrodowiskowych od morza do obszaru chroniącego ich tarliska”. Nawet jeśli taki ciek nie leży </w:t>
      </w:r>
      <w:r w:rsidR="00F87935">
        <w:t>na</w:t>
      </w:r>
      <w:r w:rsidR="00A230D1" w:rsidRPr="00F63E7B">
        <w:t xml:space="preserve"> obszarze chronionym, to z istnienia obszaru chroniącego tarliska w wyższej części </w:t>
      </w:r>
      <w:r w:rsidR="00807298" w:rsidRPr="00F63E7B">
        <w:t xml:space="preserve">obszaru </w:t>
      </w:r>
      <w:r w:rsidR="00A230D1" w:rsidRPr="00F63E7B">
        <w:t>dorzecza wynika wymóg, by odpowiednie gatunki ryb mogły dotrzeć na swoje tarliska;</w:t>
      </w:r>
    </w:p>
    <w:p w14:paraId="243DED74" w14:textId="132D0F1E" w:rsidR="00A230D1" w:rsidRPr="00F63E7B" w:rsidRDefault="0066667D" w:rsidP="00117E86">
      <w:pPr>
        <w:pStyle w:val="Listapunktowana2"/>
      </w:pPr>
      <w:r>
        <w:t>j</w:t>
      </w:r>
      <w:r w:rsidR="00A230D1" w:rsidRPr="00F63E7B">
        <w:t xml:space="preserve">eżeli </w:t>
      </w:r>
      <w:r w:rsidR="00DF005E">
        <w:t>JCWP</w:t>
      </w:r>
      <w:r w:rsidR="00A230D1" w:rsidRPr="00F63E7B">
        <w:t xml:space="preserve"> znajduje się </w:t>
      </w:r>
      <w:r w:rsidR="00B05EB2">
        <w:t>na</w:t>
      </w:r>
      <w:r w:rsidR="00A230D1" w:rsidRPr="00F63E7B">
        <w:t xml:space="preserve"> obszarze wyznaczonym dla ochrony siedlisk przyrodniczych lub</w:t>
      </w:r>
      <w:r w:rsidR="00BD3A8B">
        <w:t> </w:t>
      </w:r>
      <w:r w:rsidR="00A230D1" w:rsidRPr="00F63E7B">
        <w:t xml:space="preserve">gatunków zależnych od częstych wylewów wód rzecznych, a w wyniku analizy eksperckiej zidentyfikowano, że siedliska takie </w:t>
      </w:r>
      <w:r w:rsidR="00B05EB2">
        <w:t>na</w:t>
      </w:r>
      <w:r w:rsidR="00A230D1" w:rsidRPr="00F63E7B">
        <w:t xml:space="preserve"> danym obszarze chronionym </w:t>
      </w:r>
      <w:r w:rsidR="00B05EB2">
        <w:t xml:space="preserve">znajdują się </w:t>
      </w:r>
      <w:r w:rsidR="00A230D1" w:rsidRPr="00F63E7B">
        <w:t xml:space="preserve">w zasięgu wylewów pochodzących od danej </w:t>
      </w:r>
      <w:r w:rsidR="00DF005E">
        <w:t>JCWP</w:t>
      </w:r>
      <w:r w:rsidR="00A230D1" w:rsidRPr="00F63E7B">
        <w:t xml:space="preserve">, to takiej </w:t>
      </w:r>
      <w:r w:rsidR="00DF005E">
        <w:t>JCWP</w:t>
      </w:r>
      <w:r w:rsidR="00A230D1" w:rsidRPr="00F63E7B">
        <w:t xml:space="preserve"> przypisano wymóg „Ponadkorytowy charakter przepływu Q50 i niezredukowana antropogenicznie częstotliwość jego występowania”. Jednak warunkiem przypisania takiego wymogu do danej </w:t>
      </w:r>
      <w:r w:rsidR="00DF005E">
        <w:t>JCWP</w:t>
      </w:r>
      <w:r w:rsidR="00A230D1" w:rsidRPr="00F63E7B">
        <w:t xml:space="preserve"> było zidentyfikowanie przesłanek, że elementy zależne od częstych zalewów są </w:t>
      </w:r>
      <w:r w:rsidR="00B05EB2">
        <w:t xml:space="preserve">na </w:t>
      </w:r>
      <w:r w:rsidR="00A230D1" w:rsidRPr="00F63E7B">
        <w:t xml:space="preserve">danym obszarze Natura 2000 powiązane z tym konkretnym ciekiem. W tym celu prowadzono analizę ekspercką, biorącą pod uwagę zgromadzone informacje o konkretnym obszarze Natura 2000, publikacje fizjograficzne i naukowe, dane z przyrodniczych baz danych, fotointerpretacyjną analizę występowania </w:t>
      </w:r>
      <w:r w:rsidR="00A562CC">
        <w:t xml:space="preserve">np. </w:t>
      </w:r>
      <w:r w:rsidR="00A230D1" w:rsidRPr="00F63E7B">
        <w:t>łęgów</w:t>
      </w:r>
      <w:r w:rsidR="00A562CC">
        <w:t>,</w:t>
      </w:r>
      <w:r w:rsidR="00A230D1" w:rsidRPr="00F63E7B">
        <w:t xml:space="preserve"> na bazie fotomapy i topografii terenu. Jeżeli, mimo występowania </w:t>
      </w:r>
      <w:r w:rsidR="00B05EB2">
        <w:t>na</w:t>
      </w:r>
      <w:r w:rsidR="00646D67" w:rsidRPr="00F63E7B">
        <w:t> </w:t>
      </w:r>
      <w:r w:rsidR="00A230D1" w:rsidRPr="00F63E7B">
        <w:t xml:space="preserve">obszarze Natura 2000 przedmiotów ochrony zależnych od częstych zalewów, nie udało się taką analizą ekspercką potwierdzić istnienia takich elementów w zasięgu zalewów od danej </w:t>
      </w:r>
      <w:r w:rsidR="00DF005E">
        <w:t>JCWP</w:t>
      </w:r>
      <w:r w:rsidR="00A230D1" w:rsidRPr="00F63E7B">
        <w:t xml:space="preserve">, to nie przypisywano wymogu do </w:t>
      </w:r>
      <w:r w:rsidR="00DF005E">
        <w:t>JCWP</w:t>
      </w:r>
      <w:r w:rsidR="00A230D1" w:rsidRPr="00F63E7B">
        <w:t>; w takich sytuacjach pozostaje on elementem celu dla obszaru chronionego. Podejście takie zastosowano, chcąc uniknąć nadmiernego przypisania wymogu do cieków, na których może nie być przedmiotów ochrony.</w:t>
      </w:r>
    </w:p>
    <w:p w14:paraId="76CB30DC" w14:textId="68DA30E6" w:rsidR="00A230D1" w:rsidRPr="00795F17" w:rsidRDefault="00A230D1" w:rsidP="0044393D">
      <w:r w:rsidRPr="00795F17">
        <w:t>W przypadku zbiorników zaporowych, wyznaczonych jako odrębne jcw, dodatkowe cele związane z</w:t>
      </w:r>
      <w:r w:rsidR="007E3520" w:rsidRPr="00795F17">
        <w:t> </w:t>
      </w:r>
      <w:r w:rsidRPr="00795F17">
        <w:t xml:space="preserve">drożnością przypisano dla </w:t>
      </w:r>
      <w:r w:rsidR="000A16A6">
        <w:t>4</w:t>
      </w:r>
      <w:r w:rsidRPr="00795F17">
        <w:t xml:space="preserve"> z nich, zaś dla </w:t>
      </w:r>
      <w:r w:rsidR="00835588">
        <w:t>15</w:t>
      </w:r>
      <w:r w:rsidRPr="00795F17">
        <w:t xml:space="preserve"> nie wskazano takich celów. Dodatkowo ustalono, iż</w:t>
      </w:r>
      <w:r w:rsidR="003C24A0">
        <w:t> </w:t>
      </w:r>
      <w:r w:rsidRPr="00795F17">
        <w:t>w</w:t>
      </w:r>
      <w:r w:rsidR="003C24A0">
        <w:t> </w:t>
      </w:r>
      <w:r w:rsidRPr="00795F17">
        <w:t xml:space="preserve">zakresie ciągłości cieków z wymagań dla chronionych w danym obszarze gatunków ryb wybierany jest jeden cel „najbardziej rygorystyczny” </w:t>
      </w:r>
      <w:r w:rsidR="009F4D4F">
        <w:t>–</w:t>
      </w:r>
      <w:r w:rsidRPr="00795F17">
        <w:t xml:space="preserve"> odpowiadający maksymalnej wysokości przegród dla</w:t>
      </w:r>
      <w:r w:rsidR="007E3520" w:rsidRPr="00795F17">
        <w:t> </w:t>
      </w:r>
      <w:r w:rsidRPr="00795F17">
        <w:t>najbardziej wymagającego z występujących gatunków.</w:t>
      </w:r>
    </w:p>
    <w:p w14:paraId="6C1E7130" w14:textId="58A72018" w:rsidR="00A230D1" w:rsidRPr="00795F17" w:rsidRDefault="00A230D1" w:rsidP="0044393D">
      <w:r w:rsidRPr="00795F17">
        <w:t xml:space="preserve">W ramach opracowania </w:t>
      </w:r>
      <w:r w:rsidRPr="00795F17">
        <w:rPr>
          <w:i/>
        </w:rPr>
        <w:t>Ustalenie celów środowiskowych (…)</w:t>
      </w:r>
      <w:r w:rsidR="0032003A">
        <w:rPr>
          <w:rStyle w:val="Odwoanieprzypisudolnego"/>
          <w:i/>
        </w:rPr>
        <w:footnoteReference w:id="64"/>
      </w:r>
      <w:r w:rsidRPr="00795F17">
        <w:t xml:space="preserve">, poza wymaganiami dla chronionych obszarów i gatunków, zagadnienie związane z drożnością dla migracji ryb dwuśrodowiskowych uwzględniono również za pomocą dodatkowego celu środowiskowego dla </w:t>
      </w:r>
      <w:r w:rsidR="00DF005E">
        <w:t>JCWP</w:t>
      </w:r>
      <w:r w:rsidRPr="00795F17">
        <w:t xml:space="preserve"> w postaci wskaźnika diadromicznego (D). Podejście stosowane dotychczas opierało się na stwierdzeniu możliwości migracji na odcinku ocenianej </w:t>
      </w:r>
      <w:r w:rsidR="00DF005E">
        <w:t>JCWP</w:t>
      </w:r>
      <w:r w:rsidRPr="00795F17">
        <w:t xml:space="preserve"> (brak przegród lub ich drożność </w:t>
      </w:r>
      <w:r w:rsidR="009F4D4F">
        <w:t>–</w:t>
      </w:r>
      <w:r w:rsidRPr="00795F17">
        <w:t xml:space="preserve"> określana zwykle na podstawie informacji o istnieniu przepławki bez badania jej funkcjonalności) w oderwaniu od całego obszaru zlewni niezbędnego dla podtrzymania populacji gatunków dwuśrodowiskowych. Podejście to zmieniono poprzez uwzględnienie wymagań drożności do danej </w:t>
      </w:r>
      <w:r w:rsidR="00DF005E">
        <w:t>JCWP</w:t>
      </w:r>
      <w:r w:rsidRPr="00795F17">
        <w:t xml:space="preserve">. Przykładowo: dla </w:t>
      </w:r>
      <w:r w:rsidR="00DF005E">
        <w:t>JCWP</w:t>
      </w:r>
      <w:r w:rsidRPr="00795F17">
        <w:t xml:space="preserve"> położonej w górze zlewni większej rzeki (w obszarze historycznych tarlisk gatunków anadromicznych), cel środowiskowy wartości wskaźnika D ≥ 0,5 obowiązuje dla wszystkich </w:t>
      </w:r>
      <w:r w:rsidR="00DF005E">
        <w:t>JCWP</w:t>
      </w:r>
      <w:r w:rsidRPr="00795F17">
        <w:t xml:space="preserve"> położonych w zlewni poniżej </w:t>
      </w:r>
      <w:r w:rsidR="009F4D4F">
        <w:t>–</w:t>
      </w:r>
      <w:r w:rsidRPr="00795F17">
        <w:t xml:space="preserve"> na trasie wędrówki do morza.</w:t>
      </w:r>
      <w:r w:rsidR="000F4432">
        <w:t xml:space="preserve"> </w:t>
      </w:r>
      <w:r w:rsidR="000F4432" w:rsidRPr="00D73892">
        <w:t xml:space="preserve">Dodatkowo w ramach aktualizacji celów środowiskowych, przeprowadzonych w ramach IIaPGW, dla odcinków rzek wskazanych w opracowaniu </w:t>
      </w:r>
      <w:r w:rsidR="000F4432" w:rsidRPr="00D73892">
        <w:rPr>
          <w:rFonts w:cs="Calibri"/>
          <w:lang w:eastAsia="pl-PL"/>
        </w:rPr>
        <w:t>„Ocena potrzeb i priorytetów udrożnienia ciągłości morfologicznej rzek w kontekście osiągnięcia dobrego stanu i potencjału części wód w Polsce” (Błachuta i in., 2010), przypisano cel środowiskowy odnoszący się do drożności na odcinku cieku istotnego, wraz ze wskazaniem dla jakich gatunków ryb drożność ta powinna być zachowana.</w:t>
      </w:r>
    </w:p>
    <w:p w14:paraId="66E935A5" w14:textId="4091D618" w:rsidR="00A230D1" w:rsidRPr="00795F17" w:rsidRDefault="00A230D1" w:rsidP="0044393D">
      <w:r w:rsidRPr="00795F17">
        <w:t xml:space="preserve">W związku z przedstawionymi powyżej założeniami, cel środowiskowy związany z osiągnięciem wartości Indeksu D ≥ 0,5 oraz inne cele określające wymagania drożności dla migracji ichtiofauny, przypisano dla </w:t>
      </w:r>
      <w:r w:rsidR="00DF005E">
        <w:t>JCWP</w:t>
      </w:r>
      <w:r w:rsidRPr="00795F17">
        <w:t xml:space="preserve"> rzek według następujących zasad:</w:t>
      </w:r>
    </w:p>
    <w:p w14:paraId="1BBBFAD9" w14:textId="67309F02" w:rsidR="00A230D1" w:rsidRPr="00795F17" w:rsidRDefault="00A230D1" w:rsidP="00117E86">
      <w:pPr>
        <w:pStyle w:val="Listapunktowana2"/>
      </w:pPr>
      <w:r w:rsidRPr="00795F17">
        <w:t xml:space="preserve">dla </w:t>
      </w:r>
      <w:r w:rsidR="00DF005E">
        <w:t>JCWP</w:t>
      </w:r>
      <w:r w:rsidRPr="00795F17">
        <w:t xml:space="preserve"> w typie abiotycznym, dla którego Indeks D jest elementem oceny stanu ichtiofauny i</w:t>
      </w:r>
      <w:r w:rsidR="00646D67" w:rsidRPr="00795F17">
        <w:t> </w:t>
      </w:r>
      <w:r w:rsidRPr="00795F17">
        <w:t xml:space="preserve">brak gatunków chronionych </w:t>
      </w:r>
      <w:r w:rsidR="009F4D4F">
        <w:t>–</w:t>
      </w:r>
      <w:r w:rsidRPr="00795F17">
        <w:t xml:space="preserve"> Cel: zapewnienie drożności cieku dla migracji ichtiofauny,</w:t>
      </w:r>
      <w:r w:rsidR="00C8465D">
        <w:t xml:space="preserve"> </w:t>
      </w:r>
      <w:r w:rsidRPr="00795F17">
        <w:t>o</w:t>
      </w:r>
      <w:r w:rsidR="00C8465D">
        <w:t> </w:t>
      </w:r>
      <w:r w:rsidRPr="00795F17">
        <w:t>ile jest monitorowany wskaźnik diadromiczny D (Indeks D ≥ 0,5);</w:t>
      </w:r>
    </w:p>
    <w:p w14:paraId="15930CA2" w14:textId="7E7DD385" w:rsidR="00A230D1" w:rsidRPr="00795F17" w:rsidRDefault="00A230D1" w:rsidP="00117E86">
      <w:pPr>
        <w:pStyle w:val="Listapunktowana2"/>
      </w:pPr>
      <w:r w:rsidRPr="00795F17">
        <w:t xml:space="preserve">dla </w:t>
      </w:r>
      <w:r w:rsidR="00DF005E">
        <w:t>JCWP</w:t>
      </w:r>
      <w:r w:rsidRPr="00795F17">
        <w:t xml:space="preserve"> w typie abiotycznym, dla którego Indeks D jest elementem oceny stanu ichtiofauny i</w:t>
      </w:r>
      <w:r w:rsidR="00646D67" w:rsidRPr="00795F17">
        <w:t> </w:t>
      </w:r>
      <w:r w:rsidRPr="00795F17">
        <w:t xml:space="preserve">występują gatunki chronione (lub </w:t>
      </w:r>
      <w:r w:rsidR="00DF005E">
        <w:t>JCWP</w:t>
      </w:r>
      <w:r w:rsidRPr="00795F17">
        <w:t xml:space="preserve"> leży na szlaku migracji chronionych gatunków dwuśrodowiskowych do i od morza) </w:t>
      </w:r>
      <w:r w:rsidR="009F4D4F">
        <w:t>–</w:t>
      </w:r>
      <w:r w:rsidRPr="00795F17">
        <w:t xml:space="preserve"> Cel: zapewnienie drożności cieku dla migracji ichtiofauny, o ile jest monitorowany wskaźnik diadromiczny D (Indeks D ≥ 0,5); zapewnienie drożności cieku według wymagań gatunków chronionych; </w:t>
      </w:r>
    </w:p>
    <w:p w14:paraId="6B5BCA82" w14:textId="7E21E86F" w:rsidR="00A230D1" w:rsidRPr="00795F17" w:rsidRDefault="00A230D1" w:rsidP="00117E86">
      <w:pPr>
        <w:pStyle w:val="Listapunktowana2"/>
      </w:pPr>
      <w:r w:rsidRPr="00795F17">
        <w:t xml:space="preserve">dla </w:t>
      </w:r>
      <w:r w:rsidR="00DF005E">
        <w:t>JCWP</w:t>
      </w:r>
      <w:r w:rsidRPr="00795F17">
        <w:t xml:space="preserve"> w typie abiotycznym, gdy Indeks D nie jest elementem oceny stanu ichtiofauny, ale</w:t>
      </w:r>
      <w:r w:rsidR="00646D67" w:rsidRPr="00795F17">
        <w:t> </w:t>
      </w:r>
      <w:r w:rsidRPr="00795F17">
        <w:t xml:space="preserve">zidentyfikowano gatunki chronione </w:t>
      </w:r>
      <w:r w:rsidR="009F4D4F">
        <w:t>–</w:t>
      </w:r>
      <w:r w:rsidRPr="00795F17">
        <w:t xml:space="preserve"> Cel: zapewnienie drożności cieku według wymagań gatunków chronionych;</w:t>
      </w:r>
    </w:p>
    <w:p w14:paraId="3B74DD6E" w14:textId="02E3B9DD" w:rsidR="00A230D1" w:rsidRPr="00795F17" w:rsidRDefault="00A230D1" w:rsidP="00117E86">
      <w:pPr>
        <w:pStyle w:val="Listapunktowana2"/>
      </w:pPr>
      <w:r w:rsidRPr="00795F17">
        <w:t xml:space="preserve">dla </w:t>
      </w:r>
      <w:r w:rsidR="00DF005E">
        <w:t>JCWP</w:t>
      </w:r>
      <w:r w:rsidRPr="00795F17">
        <w:t xml:space="preserve"> w typie RzN_uj </w:t>
      </w:r>
      <w:r w:rsidR="009F4D4F">
        <w:t>–</w:t>
      </w:r>
      <w:r w:rsidRPr="00795F17">
        <w:t xml:space="preserve"> niepodlegających ocenie stanu w oparciu o ichtiofaunę, ale będących ważnymi drogami migracji gatunków dwuśrodowiskowych i w których nie zidentyfikowano gatunków chronionych </w:t>
      </w:r>
      <w:r w:rsidR="009F4D4F">
        <w:t>–</w:t>
      </w:r>
      <w:r w:rsidRPr="00795F17">
        <w:t xml:space="preserve"> Cel: zapewnienie drożności cieku dla migracji ichtiofauny na cieku głównym;</w:t>
      </w:r>
    </w:p>
    <w:p w14:paraId="0D5F96B6" w14:textId="69C7580B" w:rsidR="00A230D1" w:rsidRPr="00795F17" w:rsidRDefault="00A230D1" w:rsidP="00117E86">
      <w:pPr>
        <w:pStyle w:val="Listapunktowana2"/>
      </w:pPr>
      <w:r w:rsidRPr="00795F17">
        <w:t xml:space="preserve">dla </w:t>
      </w:r>
      <w:r w:rsidR="00DF005E">
        <w:t>JCWP</w:t>
      </w:r>
      <w:r w:rsidRPr="00795F17">
        <w:t xml:space="preserve"> w typie abiotycznym, dla którego Indeks D nie jest elementem oceny stanu ichtiofauny, ale z SDF dla położonych w zlewni powyżej obszarów Natura 2000 wynika, że </w:t>
      </w:r>
      <w:r w:rsidR="00DF005E">
        <w:t>JCWP</w:t>
      </w:r>
      <w:r w:rsidRPr="00795F17">
        <w:t xml:space="preserve"> jest na trasie migracji ryb dwuśrodowiskowych od morza do obszaru chroniącego ich tarliska i</w:t>
      </w:r>
      <w:r w:rsidR="00646D67" w:rsidRPr="00795F17">
        <w:t> </w:t>
      </w:r>
      <w:r w:rsidRPr="00795F17">
        <w:t>w których nie</w:t>
      </w:r>
      <w:r w:rsidR="00775576">
        <w:t> </w:t>
      </w:r>
      <w:r w:rsidRPr="00795F17">
        <w:t xml:space="preserve">zidentyfikowano gatunków chronionych </w:t>
      </w:r>
      <w:r w:rsidR="009F4D4F">
        <w:t>–</w:t>
      </w:r>
      <w:r w:rsidRPr="00795F17">
        <w:t xml:space="preserve"> Cel: zapewnienie drożności cieku dla</w:t>
      </w:r>
      <w:r w:rsidR="00113002" w:rsidRPr="00795F17">
        <w:t> </w:t>
      </w:r>
      <w:r w:rsidRPr="00795F17">
        <w:t xml:space="preserve">migracji ichtiofauny na cieku głównym; </w:t>
      </w:r>
    </w:p>
    <w:p w14:paraId="27257E1D" w14:textId="5B26E275" w:rsidR="00A230D1" w:rsidRPr="00795F17" w:rsidRDefault="00A230D1" w:rsidP="00117E86">
      <w:pPr>
        <w:pStyle w:val="Listapunktowana2"/>
      </w:pPr>
      <w:r w:rsidRPr="00795F17">
        <w:t xml:space="preserve">dla </w:t>
      </w:r>
      <w:r w:rsidR="00DF005E">
        <w:t>JCWP</w:t>
      </w:r>
      <w:r w:rsidRPr="00795F17">
        <w:t xml:space="preserve"> w typie abiotycznym, gdy Indeks D nie jest elementem oceny stanu ichtiofauny, ale</w:t>
      </w:r>
      <w:r w:rsidR="00775576">
        <w:t> </w:t>
      </w:r>
      <w:r w:rsidRPr="00795F17">
        <w:t>z</w:t>
      </w:r>
      <w:r w:rsidR="00775576">
        <w:t> </w:t>
      </w:r>
      <w:r w:rsidRPr="00795F17">
        <w:t xml:space="preserve">SDF dla położonych w zlewni powyżej obszarów Natura 2000 wynika, że </w:t>
      </w:r>
      <w:r w:rsidR="00DF005E">
        <w:t>JCWP</w:t>
      </w:r>
      <w:r w:rsidRPr="00795F17">
        <w:t xml:space="preserve"> jest na trasie migracji ryb dwuśrodowiskowych od morza do obszaru chroniącego ich tarliska; oraz w </w:t>
      </w:r>
      <w:r w:rsidR="00DF005E">
        <w:t>JCWP</w:t>
      </w:r>
      <w:r w:rsidRPr="00795F17">
        <w:t xml:space="preserve"> zidentyfikowano gatunki chronione </w:t>
      </w:r>
      <w:r w:rsidR="009F4D4F">
        <w:t>–</w:t>
      </w:r>
      <w:r w:rsidRPr="00795F17">
        <w:t xml:space="preserve"> Cel: zapewnienie drożności cieku dla migracji ichtiofauny na cieku głównym, zapewnienie drożności według wymagań gatunków chronionych;</w:t>
      </w:r>
    </w:p>
    <w:p w14:paraId="686302C5" w14:textId="5F9D64C6" w:rsidR="002A15D1" w:rsidRPr="00D73892" w:rsidRDefault="002A15D1" w:rsidP="00117E86">
      <w:pPr>
        <w:pStyle w:val="Listapunktowana2"/>
      </w:pPr>
      <w:r w:rsidRPr="00D73892">
        <w:t xml:space="preserve">dla </w:t>
      </w:r>
      <w:r w:rsidR="00DF005E">
        <w:t>JCWP</w:t>
      </w:r>
      <w:r w:rsidRPr="00D73892">
        <w:t xml:space="preserve"> wskazanych w opracowaniu </w:t>
      </w:r>
      <w:r w:rsidRPr="00D73892">
        <w:rPr>
          <w:lang w:eastAsia="pl-PL"/>
        </w:rPr>
        <w:t>„Ocena potrzeb i priorytetów udrożnienia ciągłości morfologicznej rzek w kontekście osiągnięcia dobrego stanu i potencjału części wód w Polsce”</w:t>
      </w:r>
      <w:r w:rsidRPr="00D73892">
        <w:t xml:space="preserve"> – Cel: zapewnienie drożności cieku dla migracji ichtiofauny na odcinku cieku istotnego;</w:t>
      </w:r>
    </w:p>
    <w:p w14:paraId="396E26F8" w14:textId="2B072923" w:rsidR="002A15D1" w:rsidRPr="00D73892" w:rsidRDefault="002A15D1" w:rsidP="00117E86">
      <w:pPr>
        <w:pStyle w:val="Listapunktowana2"/>
      </w:pPr>
      <w:r w:rsidRPr="00D73892">
        <w:t xml:space="preserve">dla </w:t>
      </w:r>
      <w:r w:rsidR="00DF005E">
        <w:t>JCWP</w:t>
      </w:r>
      <w:r w:rsidRPr="00D73892">
        <w:t xml:space="preserve"> wskazanych w opracowaniu </w:t>
      </w:r>
      <w:r w:rsidRPr="00D73892">
        <w:rPr>
          <w:lang w:eastAsia="pl-PL"/>
        </w:rPr>
        <w:t xml:space="preserve">„Ocena potrzeb i priorytetów udrożnienia ciągłości morfologicznej rzek w kontekście osiągnięcia dobrego stanu i potencjału części wód w Polsce” </w:t>
      </w:r>
      <w:r w:rsidRPr="00D73892">
        <w:t>i występują gatunki chronione – Cel: zapewnienie drożności cieku dla migracji ichtiofauny na odcinku cieku istotnego; zapewnienie drożności cieku według wymagań gatunków chronionych;</w:t>
      </w:r>
    </w:p>
    <w:p w14:paraId="6463E8A3" w14:textId="45C4E950" w:rsidR="00A230D1" w:rsidRPr="00795F17" w:rsidRDefault="00A230D1" w:rsidP="00117E86">
      <w:pPr>
        <w:pStyle w:val="Listapunktowana2"/>
      </w:pPr>
      <w:r w:rsidRPr="00795F17">
        <w:t xml:space="preserve">nie przypisano celu dotyczącego drożności dla </w:t>
      </w:r>
      <w:r w:rsidR="00DF005E">
        <w:t>JCWP</w:t>
      </w:r>
      <w:r w:rsidRPr="00795F17">
        <w:t xml:space="preserve"> w typie abiotycznym, dla którego Indeks D jest elementem oceny stanu ichtiofauny, jeżeli:</w:t>
      </w:r>
    </w:p>
    <w:p w14:paraId="67E0A7B4" w14:textId="24118224" w:rsidR="00A230D1" w:rsidRPr="00795F17" w:rsidRDefault="00A230D1" w:rsidP="0050009F">
      <w:pPr>
        <w:pStyle w:val="Listapunktowana3"/>
      </w:pPr>
      <w:r w:rsidRPr="00795F17">
        <w:t xml:space="preserve">status </w:t>
      </w:r>
      <w:r w:rsidR="00DF005E">
        <w:t>JCWP</w:t>
      </w:r>
      <w:r w:rsidRPr="00795F17">
        <w:t xml:space="preserve"> określono jako SCW ze względu na brak znaczenia jako historyczne szlaki migracji gatunków dwuśrodowiskowych;</w:t>
      </w:r>
    </w:p>
    <w:p w14:paraId="308E9336" w14:textId="7B9ACD46" w:rsidR="00A230D1" w:rsidRPr="00795F17" w:rsidRDefault="00DF005E" w:rsidP="0050009F">
      <w:pPr>
        <w:pStyle w:val="Listapunktowana3"/>
      </w:pPr>
      <w:r>
        <w:t>JCWP</w:t>
      </w:r>
      <w:r w:rsidR="00A230D1" w:rsidRPr="00795F17">
        <w:t xml:space="preserve"> znajdują się powyżej </w:t>
      </w:r>
      <w:r>
        <w:t>JCWP</w:t>
      </w:r>
      <w:r w:rsidR="00A230D1" w:rsidRPr="00795F17">
        <w:t xml:space="preserve"> RWr, której nie przypisano celu dotyczącego drożności (w</w:t>
      </w:r>
      <w:r w:rsidR="00113002" w:rsidRPr="00795F17">
        <w:t> </w:t>
      </w:r>
      <w:r w:rsidR="00A230D1" w:rsidRPr="00795F17">
        <w:t>zlewniach zbiornikowych);</w:t>
      </w:r>
    </w:p>
    <w:p w14:paraId="68B24AE4" w14:textId="37B7FB41" w:rsidR="00A230D1" w:rsidRPr="00795F17" w:rsidRDefault="00A230D1" w:rsidP="0050009F">
      <w:pPr>
        <w:pStyle w:val="Listapunktowana3"/>
      </w:pPr>
      <w:r w:rsidRPr="00795F17">
        <w:t xml:space="preserve">wyjątek stanowią 2 </w:t>
      </w:r>
      <w:r w:rsidR="00DF005E">
        <w:t>JCWP</w:t>
      </w:r>
      <w:r w:rsidRPr="00795F17">
        <w:t xml:space="preserve"> w zlewni Pasłęki powyżej Zb</w:t>
      </w:r>
      <w:r w:rsidR="0066677A">
        <w:t>iornika</w:t>
      </w:r>
      <w:r w:rsidRPr="00795F17">
        <w:t xml:space="preserve"> Pierzchała, ponieważ w SDF obszaru Natura 2000 jest wskazana drożność dla gatunku dwuśrodowiskowego </w:t>
      </w:r>
      <w:r w:rsidR="009F4D4F">
        <w:t>–</w:t>
      </w:r>
      <w:r w:rsidRPr="00795F17">
        <w:t xml:space="preserve"> minoga rzecznego </w:t>
      </w:r>
      <w:r w:rsidR="009F4D4F">
        <w:t>–</w:t>
      </w:r>
      <w:r w:rsidRPr="00795F17">
        <w:t xml:space="preserve"> stąd przypisano jako cel: zapewnienie drożności cieku dla migracji ichtiofauny, o ile jest monitorowany wskaźnik diadromiczny D (Indeks D ≥ 0,5); zapewnienie drożności cieku według wymagań gatunków. </w:t>
      </w:r>
    </w:p>
    <w:p w14:paraId="32B790BF" w14:textId="7D7D20CE" w:rsidR="00A568CC" w:rsidRPr="00576891" w:rsidRDefault="00A568CC" w:rsidP="005842B5">
      <w:pPr>
        <w:pStyle w:val="LITEROWANIE"/>
      </w:pPr>
      <w:r w:rsidRPr="00576891">
        <w:t xml:space="preserve">Obszary przeznaczone do ochrony </w:t>
      </w:r>
      <w:r w:rsidR="00D82620">
        <w:t>zwierząt wodnych o znaczeniu gospodarczym</w:t>
      </w:r>
    </w:p>
    <w:p w14:paraId="0E3ED663" w14:textId="68318308" w:rsidR="00DF7E6A" w:rsidRPr="00DF7E6A" w:rsidRDefault="00BB34E4" w:rsidP="00DF7E6A">
      <w:r>
        <w:t>Dla o</w:t>
      </w:r>
      <w:r w:rsidR="00EF6C97">
        <w:t>bsza</w:t>
      </w:r>
      <w:r>
        <w:t>rów</w:t>
      </w:r>
      <w:r w:rsidR="00EF6C97">
        <w:t xml:space="preserve"> przeznaczon</w:t>
      </w:r>
      <w:r>
        <w:t>ych</w:t>
      </w:r>
      <w:r w:rsidR="00EF6C97">
        <w:t xml:space="preserve"> do ochrony </w:t>
      </w:r>
      <w:r w:rsidR="008E2623" w:rsidRPr="00274503">
        <w:t>gatunków zwierząt wodnych o znaczeniu gospodarczym</w:t>
      </w:r>
      <w:r>
        <w:t xml:space="preserve">, </w:t>
      </w:r>
      <w:r w:rsidR="00D82620">
        <w:t>wyzn</w:t>
      </w:r>
      <w:r w:rsidR="00732225">
        <w:t>aczon</w:t>
      </w:r>
      <w:r>
        <w:t>ych</w:t>
      </w:r>
      <w:r w:rsidR="00732225">
        <w:t xml:space="preserve"> po raz pierwszy </w:t>
      </w:r>
      <w:r w:rsidR="007675F2">
        <w:t>r.g.z.w.</w:t>
      </w:r>
      <w:r w:rsidR="007675F2" w:rsidRPr="00DF7E6A">
        <w:t xml:space="preserve">, </w:t>
      </w:r>
      <w:r w:rsidR="00DF7E6A" w:rsidRPr="00DF7E6A">
        <w:t xml:space="preserve">celem środowiskowym jest zapewnienie </w:t>
      </w:r>
      <w:r w:rsidR="00DF7E6A" w:rsidRPr="00D73892">
        <w:t>drożności</w:t>
      </w:r>
      <w:r w:rsidR="00DF7E6A" w:rsidRPr="00DF7E6A">
        <w:t xml:space="preserve"> migracji dla gatunków </w:t>
      </w:r>
      <w:r w:rsidR="00DF7E6A" w:rsidRPr="00D73892">
        <w:t>ryb</w:t>
      </w:r>
      <w:r w:rsidR="00DF7E6A" w:rsidRPr="00DF7E6A">
        <w:t xml:space="preserve"> określonych, jako gatunki zwierząt wodnych o znaczeniu gospodarczym tj:</w:t>
      </w:r>
    </w:p>
    <w:p w14:paraId="1BB341AC" w14:textId="48462D6E" w:rsidR="001339AE" w:rsidRPr="001237C6" w:rsidRDefault="001339AE" w:rsidP="00117E86">
      <w:pPr>
        <w:pStyle w:val="Listapunktowana2"/>
      </w:pPr>
      <w:r>
        <w:t>troć wędrown</w:t>
      </w:r>
      <w:r w:rsidR="00032875">
        <w:t>a</w:t>
      </w:r>
      <w:r>
        <w:t xml:space="preserve"> (</w:t>
      </w:r>
      <w:r w:rsidR="00ED2E07">
        <w:t xml:space="preserve">łac. </w:t>
      </w:r>
      <w:r w:rsidRPr="001C46F7">
        <w:rPr>
          <w:rStyle w:val="Wyrnieniedelikatne"/>
        </w:rPr>
        <w:t>Salmo trutta m. trutta</w:t>
      </w:r>
      <w:r w:rsidRPr="001237C6">
        <w:t>)</w:t>
      </w:r>
    </w:p>
    <w:p w14:paraId="46EB35AE" w14:textId="2A6FD35E" w:rsidR="001339AE" w:rsidRDefault="001339AE" w:rsidP="00117E86">
      <w:pPr>
        <w:pStyle w:val="Listapunktowana2"/>
      </w:pPr>
      <w:r>
        <w:t xml:space="preserve">węgorz </w:t>
      </w:r>
      <w:r w:rsidRPr="001237C6">
        <w:t>europejski (</w:t>
      </w:r>
      <w:r w:rsidR="00ED2E07">
        <w:t xml:space="preserve">łac. </w:t>
      </w:r>
      <w:r w:rsidRPr="001C46F7">
        <w:rPr>
          <w:rStyle w:val="Wyrnieniedelikatne"/>
        </w:rPr>
        <w:t>Anguilla anguilla</w:t>
      </w:r>
      <w:r w:rsidRPr="001237C6">
        <w:t>)</w:t>
      </w:r>
      <w:r w:rsidR="00032875">
        <w:t>.</w:t>
      </w:r>
    </w:p>
    <w:p w14:paraId="48773804" w14:textId="1F4D4B10" w:rsidR="00DF7E6A" w:rsidRPr="008368C5" w:rsidRDefault="00DF7E6A" w:rsidP="00DF7E6A">
      <w:pPr>
        <w:autoSpaceDE w:val="0"/>
        <w:autoSpaceDN w:val="0"/>
        <w:adjustRightInd w:val="0"/>
      </w:pPr>
      <w:r w:rsidRPr="00D73892">
        <w:t>Obszarom tym przypisano następujący cel środowiskowy: zapewnienie drożności cieku dla migracji gatunków o znaczeniu gospodarczym na odcinku cieku głównego (dla wskazanego w rozporządzeniu gatunku).</w:t>
      </w:r>
    </w:p>
    <w:p w14:paraId="1AF00996" w14:textId="25B99F3A" w:rsidR="00A230D1" w:rsidRPr="00795F17" w:rsidRDefault="00A230D1" w:rsidP="00CF0F45">
      <w:r w:rsidRPr="00795F17">
        <w:t xml:space="preserve">Informacje dotyczące celów środowiskowych ustalonych dla obszarów chronionych w obrębie danej </w:t>
      </w:r>
      <w:r w:rsidR="00DF005E">
        <w:t>JCWP</w:t>
      </w:r>
      <w:r w:rsidRPr="00795F17">
        <w:t xml:space="preserve"> zaprezentowane zostały w załączniku nr 1 (Zestawienie główne). </w:t>
      </w:r>
    </w:p>
    <w:p w14:paraId="463EA92F" w14:textId="39992F5A" w:rsidR="00A230D1" w:rsidRPr="00795F17" w:rsidRDefault="00A230D1" w:rsidP="00C53C86">
      <w:pPr>
        <w:pStyle w:val="Nagwek2"/>
        <w:rPr>
          <w:lang w:eastAsia="zh-TW"/>
        </w:rPr>
      </w:pPr>
      <w:bookmarkStart w:id="431" w:name="_Toc66347806"/>
      <w:bookmarkStart w:id="432" w:name="_Toc105512662"/>
      <w:bookmarkStart w:id="433" w:name="_Hlk67453574"/>
      <w:r w:rsidRPr="00795F17">
        <w:rPr>
          <w:lang w:eastAsia="zh-TW"/>
        </w:rPr>
        <w:t>Przedłużenie terminu osiągnięcia celów środowiskowych i ustalenie mniej rygorystycznych celów środowiskowych</w:t>
      </w:r>
      <w:bookmarkEnd w:id="431"/>
      <w:bookmarkEnd w:id="432"/>
    </w:p>
    <w:p w14:paraId="6CED536D" w14:textId="0C42A6BE" w:rsidR="00A230D1" w:rsidRPr="00795F17" w:rsidRDefault="006E4BA3" w:rsidP="0044393D">
      <w:bookmarkStart w:id="434" w:name="_Hlk86478947"/>
      <w:bookmarkStart w:id="435" w:name="_Hlk54075199"/>
      <w:r>
        <w:rPr>
          <w:rFonts w:asciiTheme="minorHAnsi" w:hAnsiTheme="minorHAnsi" w:cstheme="minorHAnsi"/>
          <w:lang w:eastAsia="zh-TW"/>
        </w:rPr>
        <w:t xml:space="preserve">Odstępstwem od osiągnięcia celów środowiskowych jest każdy przypadek, w którym ocena stanu wód wskazała na to, że stan jcw jest gorszy niż dobry. </w:t>
      </w:r>
      <w:r w:rsidRPr="00882D30">
        <w:rPr>
          <w:rFonts w:asciiTheme="minorHAnsi" w:hAnsiTheme="minorHAnsi" w:cstheme="minorHAnsi"/>
          <w:lang w:eastAsia="zh-TW"/>
        </w:rPr>
        <w:t xml:space="preserve">RDW w art. 4 ust. 4-9 wskazuje warunki, jakie muszą zostać spełnione, aby można było </w:t>
      </w:r>
      <w:r>
        <w:rPr>
          <w:rFonts w:asciiTheme="minorHAnsi" w:hAnsiTheme="minorHAnsi" w:cstheme="minorHAnsi"/>
          <w:lang w:eastAsia="zh-TW"/>
        </w:rPr>
        <w:t>uznać</w:t>
      </w:r>
      <w:r w:rsidRPr="00882D30">
        <w:rPr>
          <w:rFonts w:asciiTheme="minorHAnsi" w:hAnsiTheme="minorHAnsi" w:cstheme="minorHAnsi"/>
          <w:lang w:eastAsia="zh-TW"/>
        </w:rPr>
        <w:t xml:space="preserve"> </w:t>
      </w:r>
      <w:r>
        <w:rPr>
          <w:rFonts w:asciiTheme="minorHAnsi" w:hAnsiTheme="minorHAnsi" w:cstheme="minorHAnsi"/>
          <w:lang w:eastAsia="zh-TW"/>
        </w:rPr>
        <w:t xml:space="preserve">dopuszczalność </w:t>
      </w:r>
      <w:r w:rsidRPr="00882D30">
        <w:rPr>
          <w:rFonts w:asciiTheme="minorHAnsi" w:hAnsiTheme="minorHAnsi" w:cstheme="minorHAnsi"/>
          <w:lang w:eastAsia="zh-TW"/>
        </w:rPr>
        <w:t>odstępstw</w:t>
      </w:r>
      <w:r>
        <w:rPr>
          <w:rFonts w:asciiTheme="minorHAnsi" w:hAnsiTheme="minorHAnsi" w:cstheme="minorHAnsi"/>
          <w:lang w:eastAsia="zh-TW"/>
        </w:rPr>
        <w:t>a</w:t>
      </w:r>
      <w:r w:rsidRPr="00882D30">
        <w:rPr>
          <w:rFonts w:asciiTheme="minorHAnsi" w:hAnsiTheme="minorHAnsi" w:cstheme="minorHAnsi"/>
          <w:lang w:eastAsia="zh-TW"/>
        </w:rPr>
        <w:t xml:space="preserve">. </w:t>
      </w:r>
      <w:r w:rsidRPr="00882D30">
        <w:rPr>
          <w:rFonts w:asciiTheme="minorHAnsi" w:hAnsiTheme="minorHAnsi" w:cstheme="minorHAnsi"/>
        </w:rPr>
        <w:t xml:space="preserve">W świetle tych </w:t>
      </w:r>
      <w:r>
        <w:rPr>
          <w:rFonts w:asciiTheme="minorHAnsi" w:hAnsiTheme="minorHAnsi" w:cstheme="minorHAnsi"/>
        </w:rPr>
        <w:t>postanowień</w:t>
      </w:r>
      <w:r w:rsidRPr="00882D30">
        <w:rPr>
          <w:rFonts w:asciiTheme="minorHAnsi" w:hAnsiTheme="minorHAnsi" w:cstheme="minorHAnsi"/>
        </w:rPr>
        <w:t xml:space="preserve"> zakres wyłączeń </w:t>
      </w:r>
      <w:r w:rsidRPr="00882D30">
        <w:rPr>
          <w:rFonts w:asciiTheme="minorHAnsi" w:hAnsiTheme="minorHAnsi" w:cstheme="minorHAnsi"/>
          <w:lang w:eastAsia="zh-TW"/>
        </w:rPr>
        <w:t>od osiągnięcia celów środowiskowych dla jcw</w:t>
      </w:r>
      <w:bookmarkEnd w:id="434"/>
      <w:r w:rsidRPr="00882D30">
        <w:rPr>
          <w:rFonts w:asciiTheme="minorHAnsi" w:hAnsiTheme="minorHAnsi" w:cstheme="minorHAnsi"/>
        </w:rPr>
        <w:t xml:space="preserve"> </w:t>
      </w:r>
      <w:r w:rsidR="00A230D1" w:rsidRPr="00795F17">
        <w:t>obejmuje:</w:t>
      </w:r>
    </w:p>
    <w:p w14:paraId="67A67741" w14:textId="77777777" w:rsidR="00A230D1" w:rsidRPr="00795F17" w:rsidRDefault="00A230D1" w:rsidP="002757E9">
      <w:pPr>
        <w:pStyle w:val="Numerowanie"/>
        <w:numPr>
          <w:ilvl w:val="0"/>
          <w:numId w:val="56"/>
        </w:numPr>
      </w:pPr>
      <w:r w:rsidRPr="00795F17">
        <w:t>przedłużenie terminu osiągnięcia celów środowiskowych (art. 4 ust. 4 RDW);</w:t>
      </w:r>
    </w:p>
    <w:p w14:paraId="7839DFC9" w14:textId="77777777" w:rsidR="00A230D1" w:rsidRPr="00795F17" w:rsidRDefault="00A230D1" w:rsidP="0044393D">
      <w:pPr>
        <w:pStyle w:val="Numerowanie"/>
      </w:pPr>
      <w:r w:rsidRPr="00795F17">
        <w:t>ustanowienie mniej rygorystycznych celów środowiskowych (art. 4 ust. 5 RDW) w przypadkach, kiedy osiągnięcie zasadniczych celów jest niemożliwe lub nieproporcjonalnie kosztowne;</w:t>
      </w:r>
    </w:p>
    <w:p w14:paraId="5F4B26CA" w14:textId="6DB3FFEB" w:rsidR="00A230D1" w:rsidRPr="00795F17" w:rsidRDefault="00A230D1" w:rsidP="0044393D">
      <w:pPr>
        <w:pStyle w:val="Numerowanie"/>
      </w:pPr>
      <w:r w:rsidRPr="00795F17">
        <w:t xml:space="preserve">tymczasowe pogorszenie stanu </w:t>
      </w:r>
      <w:r w:rsidR="00DF005E">
        <w:t>JCWP</w:t>
      </w:r>
      <w:r w:rsidR="008C084F">
        <w:t xml:space="preserve"> </w:t>
      </w:r>
      <w:r w:rsidRPr="00795F17">
        <w:t>(art. 4 ust. 6 RDW), dotyczące zdarzeń, których nie można było przewidzieć (zjawisk o charakterze naturalnym lub awarii);</w:t>
      </w:r>
    </w:p>
    <w:p w14:paraId="611C0E7D" w14:textId="2B2C2ACF" w:rsidR="00A230D1" w:rsidRPr="00795F17" w:rsidRDefault="00A230D1" w:rsidP="0044393D">
      <w:pPr>
        <w:pStyle w:val="Numerowanie"/>
      </w:pPr>
      <w:r w:rsidRPr="00795F17">
        <w:t xml:space="preserve">nieosiągnięcie celu środowiskowego (lub pogorszenie stanu) </w:t>
      </w:r>
      <w:r w:rsidR="00DF005E">
        <w:t>JCWP</w:t>
      </w:r>
      <w:r w:rsidRPr="00795F17">
        <w:t xml:space="preserve"> lub </w:t>
      </w:r>
      <w:r w:rsidR="00DF005E">
        <w:t>JCWP</w:t>
      </w:r>
      <w:r w:rsidRPr="00795F17">
        <w:t xml:space="preserve">d wskutek nowych zmian w charakterystyce fizycznej </w:t>
      </w:r>
      <w:r w:rsidR="00DF005E">
        <w:t>JCWP</w:t>
      </w:r>
      <w:r w:rsidRPr="00795F17">
        <w:t xml:space="preserve"> lub zmian poziomu </w:t>
      </w:r>
      <w:r w:rsidR="00DF005E">
        <w:t>JCWP</w:t>
      </w:r>
      <w:r w:rsidRPr="00795F17">
        <w:t xml:space="preserve">d, a także pogorszenie się </w:t>
      </w:r>
      <w:r w:rsidR="00DF005E">
        <w:t>JCWP</w:t>
      </w:r>
      <w:r w:rsidRPr="00795F17">
        <w:t xml:space="preserve"> ze</w:t>
      </w:r>
      <w:r w:rsidR="00BD3A8B">
        <w:t> </w:t>
      </w:r>
      <w:r w:rsidRPr="00795F17">
        <w:t xml:space="preserve">stanu bardzo dobrego do dobrego wskutek nowych zrównoważonych form działalności gospodarczej człowieka (art. 4 ust. 7 RDW). </w:t>
      </w:r>
    </w:p>
    <w:p w14:paraId="0C64BBF6" w14:textId="5C641732" w:rsidR="00A230D1" w:rsidRPr="00795F17" w:rsidRDefault="00A230D1" w:rsidP="0044393D">
      <w:r w:rsidRPr="00795F17">
        <w:t xml:space="preserve">Dwa pierwsze przypadki dotyczą sytuacji, w których nie </w:t>
      </w:r>
      <w:r w:rsidR="004A39D4">
        <w:t>został</w:t>
      </w:r>
      <w:r w:rsidRPr="00795F17">
        <w:t xml:space="preserve"> osiągnię</w:t>
      </w:r>
      <w:r w:rsidR="004A39D4">
        <w:t>ty</w:t>
      </w:r>
      <w:r w:rsidRPr="00795F17">
        <w:t xml:space="preserve"> dobr</w:t>
      </w:r>
      <w:r w:rsidR="004A39D4">
        <w:t>y</w:t>
      </w:r>
      <w:r w:rsidRPr="00795F17">
        <w:t xml:space="preserve"> stan wód w</w:t>
      </w:r>
      <w:r w:rsidR="00401626">
        <w:t> </w:t>
      </w:r>
      <w:r w:rsidRPr="00795F17">
        <w:t xml:space="preserve">zakładanej perspektywie planistycznej. Podobnie jak w innych przypadkach, tak i tu RDW dopuszcza zastosowanie odstępstw, uzależnia to jednak od spełnienia określonych warunków. </w:t>
      </w:r>
    </w:p>
    <w:p w14:paraId="0F8B8B16" w14:textId="3E23DE24" w:rsidR="00A230D1" w:rsidRPr="00795F17" w:rsidRDefault="00A230D1" w:rsidP="0044393D">
      <w:r w:rsidRPr="00795F17">
        <w:t>Trzeci przypadek odnosi się do zjawisk o charakterze wyjątkowym (rozdział 8.5), natomiast czwarty odnosi się do rozstrzygnięć dopuszczających wybrane działania, inwestycje i przedsięwzięcia, które kolidują z celami środowiskowymi (rozdział 16).</w:t>
      </w:r>
    </w:p>
    <w:p w14:paraId="77637FBD" w14:textId="0FB5D7AB" w:rsidR="00A230D1" w:rsidRPr="00795F17" w:rsidRDefault="00A230D1" w:rsidP="0044393D">
      <w:r w:rsidRPr="00795F17">
        <w:t>Odstępstwo w trybie art. 4 ust. 4 RDW polega na dopuszczalności odroczenia w czasie terminu osiągnięcia celów środowiskowych jcw (generalnie pierwotny termin był wyznaczony na rok 2015, zgodnie z art. 4 ust. 1 RDW). Jest ono uzasadnione, jeżeli spełnione są trzy główne przesłanki, a</w:t>
      </w:r>
      <w:r w:rsidR="00715D1B" w:rsidRPr="00795F17">
        <w:t> </w:t>
      </w:r>
      <w:r w:rsidRPr="00795F17">
        <w:t xml:space="preserve">spełnienie </w:t>
      </w:r>
      <w:r w:rsidRPr="00D73892">
        <w:t>co najmniej jednej z nich</w:t>
      </w:r>
      <w:r w:rsidRPr="00795F17">
        <w:t xml:space="preserve"> skutkuje możliwością ustanowienia odstępstwa:</w:t>
      </w:r>
    </w:p>
    <w:p w14:paraId="3F287111" w14:textId="4E1F696D" w:rsidR="00A230D1" w:rsidRPr="00D73892" w:rsidRDefault="00A230D1" w:rsidP="0044393D">
      <w:pPr>
        <w:rPr>
          <w:i/>
        </w:rPr>
      </w:pPr>
      <w:r w:rsidRPr="00D73892">
        <w:rPr>
          <w:i/>
        </w:rPr>
        <w:t xml:space="preserve">Państwa </w:t>
      </w:r>
      <w:r w:rsidR="00232D8F" w:rsidRPr="00D73892">
        <w:rPr>
          <w:i/>
          <w:iCs/>
        </w:rPr>
        <w:t>c</w:t>
      </w:r>
      <w:r w:rsidRPr="00763A65">
        <w:rPr>
          <w:i/>
          <w:iCs/>
        </w:rPr>
        <w:t>złonkowskie</w:t>
      </w:r>
      <w:r w:rsidRPr="00763A65">
        <w:rPr>
          <w:i/>
        </w:rPr>
        <w:t xml:space="preserve"> ustalają, że wszystkie niezbędne poprawy stanu jcw</w:t>
      </w:r>
      <w:r w:rsidR="00663994" w:rsidRPr="00D73892">
        <w:rPr>
          <w:i/>
        </w:rPr>
        <w:t xml:space="preserve"> nie</w:t>
      </w:r>
      <w:r w:rsidRPr="00D73892">
        <w:rPr>
          <w:i/>
        </w:rPr>
        <w:t xml:space="preserve"> mogą być w sposób racjonalny osiągnięte w okresie czasu wymienionym w tym ustępie ze względu na przynajmniej jedną z następujących przyczyn: </w:t>
      </w:r>
    </w:p>
    <w:p w14:paraId="0D867950" w14:textId="2955CD8C" w:rsidR="00A230D1" w:rsidRPr="00763A65" w:rsidRDefault="00D2486E" w:rsidP="002757E9">
      <w:pPr>
        <w:pStyle w:val="Numerowanie"/>
        <w:numPr>
          <w:ilvl w:val="0"/>
          <w:numId w:val="57"/>
        </w:numPr>
        <w:ind w:left="426" w:hanging="426"/>
        <w:rPr>
          <w:i/>
        </w:rPr>
      </w:pPr>
      <w:r w:rsidRPr="00D73892">
        <w:rPr>
          <w:i/>
          <w:iCs/>
        </w:rPr>
        <w:t>z</w:t>
      </w:r>
      <w:r w:rsidR="00A230D1" w:rsidRPr="00763A65">
        <w:rPr>
          <w:i/>
          <w:iCs/>
        </w:rPr>
        <w:t>e</w:t>
      </w:r>
      <w:r w:rsidR="00A230D1" w:rsidRPr="00763A65">
        <w:rPr>
          <w:i/>
        </w:rPr>
        <w:t xml:space="preserve"> względu na możliwości techniczne, skala wymaganych popraw może być osiągnięta tylko w etapach przekraczających określony czas</w:t>
      </w:r>
      <w:r w:rsidRPr="005708ED">
        <w:rPr>
          <w:i/>
          <w:iCs/>
        </w:rPr>
        <w:t>;</w:t>
      </w:r>
    </w:p>
    <w:p w14:paraId="7AE8A742" w14:textId="3BC31C26" w:rsidR="00A230D1" w:rsidRPr="00763A65" w:rsidRDefault="00D2486E" w:rsidP="002757E9">
      <w:pPr>
        <w:pStyle w:val="Numerowanie"/>
        <w:numPr>
          <w:ilvl w:val="0"/>
          <w:numId w:val="57"/>
        </w:numPr>
        <w:ind w:left="426" w:hanging="426"/>
        <w:rPr>
          <w:i/>
        </w:rPr>
      </w:pPr>
      <w:r w:rsidRPr="005708ED">
        <w:rPr>
          <w:i/>
          <w:iCs/>
        </w:rPr>
        <w:t>z</w:t>
      </w:r>
      <w:r w:rsidR="00A230D1" w:rsidRPr="00763A65">
        <w:rPr>
          <w:i/>
          <w:iCs/>
        </w:rPr>
        <w:t>akończenie</w:t>
      </w:r>
      <w:r w:rsidR="00A230D1" w:rsidRPr="00763A65">
        <w:rPr>
          <w:i/>
        </w:rPr>
        <w:t xml:space="preserve"> poprawy w tej skali czasowej byłoby nieproporcjonalnie kosztowne</w:t>
      </w:r>
      <w:r w:rsidRPr="005708ED">
        <w:rPr>
          <w:i/>
          <w:iCs/>
        </w:rPr>
        <w:t>;</w:t>
      </w:r>
    </w:p>
    <w:p w14:paraId="4A658DD4" w14:textId="471BAC1B" w:rsidR="00A230D1" w:rsidRPr="00763A65" w:rsidRDefault="00D2486E" w:rsidP="002757E9">
      <w:pPr>
        <w:pStyle w:val="Numerowanie"/>
        <w:numPr>
          <w:ilvl w:val="0"/>
          <w:numId w:val="57"/>
        </w:numPr>
        <w:ind w:left="426" w:hanging="426"/>
        <w:rPr>
          <w:i/>
        </w:rPr>
      </w:pPr>
      <w:r w:rsidRPr="005708ED">
        <w:rPr>
          <w:i/>
          <w:iCs/>
        </w:rPr>
        <w:t>n</w:t>
      </w:r>
      <w:r w:rsidR="00A230D1" w:rsidRPr="00763A65">
        <w:rPr>
          <w:i/>
          <w:iCs/>
        </w:rPr>
        <w:t>aturalne</w:t>
      </w:r>
      <w:r w:rsidR="00A230D1" w:rsidRPr="00763A65">
        <w:rPr>
          <w:i/>
        </w:rPr>
        <w:t xml:space="preserve"> warunki nie pozwalają na zgodne z czasem poprawienie się stanu jcw.</w:t>
      </w:r>
    </w:p>
    <w:p w14:paraId="34FEEBC9" w14:textId="285CB2FA" w:rsidR="00A230D1" w:rsidRPr="00795F17" w:rsidRDefault="00A230D1" w:rsidP="0044393D">
      <w:r w:rsidRPr="00795F17">
        <w:t>Przedmiotowe odstępstwo ma charakter terminowy i powinno być ograniczone do</w:t>
      </w:r>
      <w:r w:rsidR="00715D1B" w:rsidRPr="00795F17">
        <w:t xml:space="preserve"> </w:t>
      </w:r>
      <w:r w:rsidRPr="00795F17">
        <w:t>maksimum dwóch dalszych uaktualnień PGW</w:t>
      </w:r>
      <w:bookmarkStart w:id="436" w:name="_Hlk86479691"/>
      <w:r w:rsidR="00A936CD">
        <w:rPr>
          <w:rFonts w:asciiTheme="minorHAnsi" w:hAnsiTheme="minorHAnsi" w:cstheme="minorHAnsi"/>
        </w:rPr>
        <w:t xml:space="preserve"> </w:t>
      </w:r>
      <w:bookmarkStart w:id="437" w:name="_Hlk86478433"/>
      <w:r w:rsidR="00A936CD">
        <w:rPr>
          <w:rFonts w:asciiTheme="minorHAnsi" w:hAnsiTheme="minorHAnsi" w:cstheme="minorHAnsi"/>
        </w:rPr>
        <w:t>(licząc od zakładanej w RDW daty osiągnięcia celów środowiskowych, tj. do końca 2015 r.)</w:t>
      </w:r>
      <w:bookmarkEnd w:id="436"/>
      <w:bookmarkEnd w:id="437"/>
      <w:r w:rsidRPr="00795F17">
        <w:t>, co oznacza że osiągnięcie celów środowiskowych co do zasady może być odroczone do 2027</w:t>
      </w:r>
      <w:r w:rsidR="00715D1B" w:rsidRPr="00795F17">
        <w:t> </w:t>
      </w:r>
      <w:r w:rsidRPr="00795F17">
        <w:t>r., o ile zostały wdrożone wszystkie działania naprawcze. Nie dotyczy to</w:t>
      </w:r>
      <w:r w:rsidR="00715D1B" w:rsidRPr="00795F17">
        <w:t> </w:t>
      </w:r>
      <w:r w:rsidRPr="00795F17">
        <w:t xml:space="preserve">przypadków, w których odstępstwo </w:t>
      </w:r>
      <w:r w:rsidR="00AF3E00">
        <w:t>wynika z</w:t>
      </w:r>
      <w:r w:rsidRPr="00795F17">
        <w:t xml:space="preserve"> warunk</w:t>
      </w:r>
      <w:r w:rsidR="00AF3E00">
        <w:t>ów</w:t>
      </w:r>
      <w:r w:rsidRPr="00795F17">
        <w:t xml:space="preserve"> naturalny</w:t>
      </w:r>
      <w:r w:rsidR="00AF3E00">
        <w:t>ch</w:t>
      </w:r>
      <w:r w:rsidRPr="00795F17">
        <w:t>, determinują</w:t>
      </w:r>
      <w:r w:rsidR="00AF3E00">
        <w:t>cych</w:t>
      </w:r>
      <w:r w:rsidRPr="00795F17">
        <w:t xml:space="preserve"> tempo osiągania celów środowiskowych po wdrożeniu działań naprawczych oraz możliwość naturalnej regeneracji ekosystemów. Perspektywa terminowa wygląda inaczej w odniesieniu do substancji wymienionych w dyrektywie 2013/39/UE zmieniającej </w:t>
      </w:r>
      <w:r w:rsidR="008C6C3D">
        <w:t>RDW</w:t>
      </w:r>
      <w:r w:rsidR="008C6C3D" w:rsidRPr="00795F17">
        <w:t xml:space="preserve"> i </w:t>
      </w:r>
      <w:r w:rsidR="008C6C3D">
        <w:t xml:space="preserve">dyrektywę </w:t>
      </w:r>
      <w:r w:rsidRPr="00795F17">
        <w:t>w</w:t>
      </w:r>
      <w:r w:rsidR="00715D1B" w:rsidRPr="00795F17">
        <w:t> </w:t>
      </w:r>
      <w:r w:rsidRPr="00795F17">
        <w:t xml:space="preserve">zakresie substancji priorytetowych w dziedzinie polityki wodnej. </w:t>
      </w:r>
      <w:r w:rsidR="00896111">
        <w:t>W</w:t>
      </w:r>
      <w:r w:rsidRPr="00795F17">
        <w:t>prowadz</w:t>
      </w:r>
      <w:r w:rsidR="00896111">
        <w:t>ono</w:t>
      </w:r>
      <w:r w:rsidRPr="00795F17">
        <w:t xml:space="preserve"> środowiskowe </w:t>
      </w:r>
      <w:r w:rsidR="00B75C7C" w:rsidRPr="00795F17">
        <w:t xml:space="preserve">normy </w:t>
      </w:r>
      <w:r w:rsidR="00B75C7C">
        <w:t>jakości</w:t>
      </w:r>
      <w:r w:rsidRPr="00795F17">
        <w:t xml:space="preserve"> dla dodatkowych 1</w:t>
      </w:r>
      <w:r w:rsidR="00F668C4" w:rsidRPr="00795F17">
        <w:t>2</w:t>
      </w:r>
      <w:r w:rsidRPr="00795F17">
        <w:t xml:space="preserve"> </w:t>
      </w:r>
      <w:r w:rsidR="00FC6B04">
        <w:t>substancji</w:t>
      </w:r>
      <w:r w:rsidRPr="00795F17">
        <w:t xml:space="preserve"> (poza 33 substancjami priorytetowymi i ośmioma innymi substancjami zanieczyszczającymi już wprowadzonymi na mocy aneksu II do dyrektywy 2008/105/WE zidentyfikowanych jako niebezpieczne dla środowiska wodnego oraz zmieni</w:t>
      </w:r>
      <w:r w:rsidR="00896111">
        <w:t>ono</w:t>
      </w:r>
      <w:r w:rsidRPr="00795F17">
        <w:t xml:space="preserve"> normy środowiskowe dla niektórych substancji już włączonych do listy. Dla</w:t>
      </w:r>
      <w:r w:rsidR="00646D67" w:rsidRPr="00795F17">
        <w:t> </w:t>
      </w:r>
      <w:r w:rsidRPr="00795F17">
        <w:t>tych 1</w:t>
      </w:r>
      <w:r w:rsidR="00F668C4" w:rsidRPr="00795F17">
        <w:t>2</w:t>
      </w:r>
      <w:r w:rsidRPr="00795F17">
        <w:t xml:space="preserve"> substancji cel środowiskowy może być odroczony do 2039 r. ze względu na przesłanki uwzględniające nie tylko warunki naturalne, ale również </w:t>
      </w:r>
      <w:r w:rsidR="00B75C7C">
        <w:t xml:space="preserve">brak </w:t>
      </w:r>
      <w:r w:rsidRPr="00795F17">
        <w:t>możliwości techniczn</w:t>
      </w:r>
      <w:r w:rsidR="00B75C7C">
        <w:t>ych</w:t>
      </w:r>
      <w:r w:rsidRPr="00795F17">
        <w:t xml:space="preserve"> i nieproporcjonalne koszty.</w:t>
      </w:r>
      <w:r w:rsidR="00F668C4" w:rsidRPr="00795F17">
        <w:t xml:space="preserve"> Substancje, o których mowa powyżej, to: dikofol, kwas perfluorook</w:t>
      </w:r>
      <w:r w:rsidR="00F84DD5" w:rsidRPr="00795F17">
        <w:t>tan</w:t>
      </w:r>
      <w:r w:rsidR="00F668C4" w:rsidRPr="00795F17">
        <w:t xml:space="preserve">osulfonowy i jego pochodne (PFOS), chinoksyfen, dioksyny i związki dioksynopodobne, aklonifen, bifenoks, cybutryna, cypermetryna, dichlorfos, heksabromocyklododekany (HBCDD), terbutryna, heptachlor i epoksyd heptachloru. Pełna lista substancji priorytetowych jest wyszczególniona w rozporządzeniu Ministra Gospodarki Morskiej i Żeglugi Śródlądowej z dnia 1 marca 2019 r. w sprawie wykazu substancji priorytetowych. Są one również uwzględnione w </w:t>
      </w:r>
      <w:r w:rsidR="00DF005E">
        <w:t>r.kl.jcwp</w:t>
      </w:r>
      <w:r w:rsidR="00F668C4" w:rsidRPr="00795F17">
        <w:t>.</w:t>
      </w:r>
    </w:p>
    <w:p w14:paraId="32A85BD5" w14:textId="074AF8F1" w:rsidR="00A230D1" w:rsidRPr="00795F17" w:rsidRDefault="00A230D1" w:rsidP="0044393D">
      <w:r w:rsidRPr="00795F17">
        <w:t xml:space="preserve">Odstępstwo ustanawiane w trybie art. 4 ust. 5 RDW oraz art. 63 pr.w. </w:t>
      </w:r>
      <w:r w:rsidR="008A14EA">
        <w:t>dotyczy</w:t>
      </w:r>
      <w:r w:rsidRPr="00795F17">
        <w:t xml:space="preserve"> złagodz</w:t>
      </w:r>
      <w:r w:rsidR="005E446C">
        <w:t>enia</w:t>
      </w:r>
      <w:r w:rsidRPr="00795F17">
        <w:t xml:space="preserve"> celów środowiskowych. Jego zastosowanie jest dopuszczalne jedynie dla tych jednolitych części wód, w których warunki naturalne lub działalność człowieka sprawiają, że:</w:t>
      </w:r>
    </w:p>
    <w:p w14:paraId="7FD7BDBC" w14:textId="004C603C" w:rsidR="00A230D1" w:rsidRPr="00795F17" w:rsidRDefault="00A230D1" w:rsidP="002757E9">
      <w:pPr>
        <w:pStyle w:val="Numerowanie"/>
        <w:numPr>
          <w:ilvl w:val="0"/>
          <w:numId w:val="58"/>
        </w:numPr>
        <w:ind w:left="567" w:hanging="567"/>
      </w:pPr>
      <w:r w:rsidRPr="00795F17">
        <w:t xml:space="preserve">osiągnięcie dobrego stanu wód jest niewykonalne lub/i </w:t>
      </w:r>
    </w:p>
    <w:p w14:paraId="1296E0D1" w14:textId="48FDC09D" w:rsidR="00A230D1" w:rsidRPr="00795F17" w:rsidRDefault="00F668C4" w:rsidP="002757E9">
      <w:pPr>
        <w:pStyle w:val="Numerowanie"/>
        <w:numPr>
          <w:ilvl w:val="0"/>
          <w:numId w:val="58"/>
        </w:numPr>
        <w:ind w:left="567" w:hanging="567"/>
      </w:pPr>
      <w:r w:rsidRPr="00795F17">
        <w:t xml:space="preserve">nie </w:t>
      </w:r>
      <w:r w:rsidR="00A230D1" w:rsidRPr="00795F17">
        <w:t xml:space="preserve">istnieje wykonalna technicznie alternatywa dla presji </w:t>
      </w:r>
      <w:bookmarkStart w:id="438" w:name="_Hlk86478562"/>
      <w:r w:rsidR="00B562DA">
        <w:t>antropogenicznej zaspokajającej ważną potrzebę społeczno-</w:t>
      </w:r>
      <w:bookmarkEnd w:id="438"/>
      <w:r w:rsidR="00B562DA">
        <w:t>gospodarczą</w:t>
      </w:r>
      <w:r w:rsidR="00A230D1" w:rsidRPr="00795F17">
        <w:t xml:space="preserve">, </w:t>
      </w:r>
      <w:r w:rsidRPr="00795F17">
        <w:t xml:space="preserve">lub istnieje </w:t>
      </w:r>
      <w:r w:rsidR="009F4D4F">
        <w:t>–</w:t>
      </w:r>
      <w:r w:rsidRPr="00795F17">
        <w:t xml:space="preserve"> </w:t>
      </w:r>
      <w:r w:rsidR="00A230D1" w:rsidRPr="00795F17">
        <w:t>ale jej wdrożenie rodziłoby nieproporcjonalnie wysokie koszty w stosunku do</w:t>
      </w:r>
      <w:r w:rsidR="001B15D5">
        <w:t> </w:t>
      </w:r>
      <w:r w:rsidR="00A230D1" w:rsidRPr="00795F17">
        <w:t>spodziewanych korzyści i</w:t>
      </w:r>
      <w:r w:rsidR="00646D67" w:rsidRPr="00795F17">
        <w:t> </w:t>
      </w:r>
      <w:r w:rsidR="00A230D1" w:rsidRPr="00795F17">
        <w:t xml:space="preserve">jednocześnie byłyby spełnione przesłanki wskazane w ww. przepisach. </w:t>
      </w:r>
    </w:p>
    <w:p w14:paraId="2602FADA" w14:textId="45F40847" w:rsidR="000C2690" w:rsidRDefault="00A230D1" w:rsidP="0044393D">
      <w:r w:rsidRPr="00795F17">
        <w:t xml:space="preserve">Do tego typu odstępstwa wytypowano </w:t>
      </w:r>
      <w:r w:rsidR="000C2690">
        <w:t xml:space="preserve">jcw: </w:t>
      </w:r>
    </w:p>
    <w:p w14:paraId="2218BAB9" w14:textId="36B42799" w:rsidR="000C2690" w:rsidRPr="001B15D5" w:rsidRDefault="000C2690" w:rsidP="00117E86">
      <w:pPr>
        <w:pStyle w:val="Listapunktowana2"/>
      </w:pPr>
      <w:r w:rsidRPr="001B15D5">
        <w:t>których stan oceniono jako zły (na podstawie badań PMŚ za lata 2014</w:t>
      </w:r>
      <w:r>
        <w:t>–</w:t>
      </w:r>
      <w:r w:rsidRPr="001B15D5">
        <w:t xml:space="preserve">2019 w odniesieniu do wartości wskazanych w </w:t>
      </w:r>
      <w:r w:rsidR="00DF005E">
        <w:t>r.kl.jcwp</w:t>
      </w:r>
      <w:r w:rsidRPr="001B15D5">
        <w:t xml:space="preserve"> obowiązujących od 2022 r.), ale prognozowana skuteczność programu działań pozwala na osiągnięcie celów środowiskowych do 2027 r. (lub 2039 r. w</w:t>
      </w:r>
      <w:r>
        <w:t> </w:t>
      </w:r>
      <w:r w:rsidRPr="001B15D5">
        <w:t>odniesieniu do substancji priorytetowych wprowadzonych dyrektywą 2013/39</w:t>
      </w:r>
      <w:r>
        <w:t>/UE</w:t>
      </w:r>
      <w:r w:rsidRPr="001B15D5">
        <w:t>)</w:t>
      </w:r>
      <w:r>
        <w:t>;</w:t>
      </w:r>
      <w:r w:rsidRPr="001B15D5">
        <w:t xml:space="preserve"> </w:t>
      </w:r>
    </w:p>
    <w:p w14:paraId="29C00A86" w14:textId="77777777" w:rsidR="000C2690" w:rsidRPr="001B15D5" w:rsidRDefault="000C2690" w:rsidP="00117E86">
      <w:pPr>
        <w:pStyle w:val="Listapunktowana2"/>
      </w:pPr>
      <w:r w:rsidRPr="001B15D5">
        <w:t>które są niemonitorowane i znajdują się pod wpływem presji zagrażającej celom środowiskowym, jednak skuteczność programu działań zakłada możliwość osiągnięcia tych celów (w takim przypadku przyjęto, że cele zostaną osiągnięte po 2027 r.)</w:t>
      </w:r>
      <w:r>
        <w:t>.</w:t>
      </w:r>
    </w:p>
    <w:p w14:paraId="413B6DCB" w14:textId="4725E1DB" w:rsidR="00A230D1" w:rsidRPr="00795F17" w:rsidRDefault="000C2690" w:rsidP="001C46F7">
      <w:pPr>
        <w:keepNext/>
      </w:pPr>
      <w:r>
        <w:t xml:space="preserve">i </w:t>
      </w:r>
      <w:r w:rsidR="00A230D1" w:rsidRPr="00795F17">
        <w:t xml:space="preserve">dla których stwierdzono: </w:t>
      </w:r>
    </w:p>
    <w:p w14:paraId="1FEFE39C" w14:textId="632228CE" w:rsidR="00A230D1" w:rsidRPr="001B15D5" w:rsidRDefault="00A230D1" w:rsidP="00117E86">
      <w:pPr>
        <w:pStyle w:val="Listapunktowana2"/>
      </w:pPr>
      <w:r w:rsidRPr="001B15D5">
        <w:t xml:space="preserve">występowanie warunków naturalnych </w:t>
      </w:r>
      <w:r w:rsidR="00F668C4" w:rsidRPr="001B15D5">
        <w:t xml:space="preserve">trwale </w:t>
      </w:r>
      <w:r w:rsidRPr="001B15D5">
        <w:t>uniemożliwiających osiągnięcie dobrego stanu wód,</w:t>
      </w:r>
    </w:p>
    <w:p w14:paraId="50FB8980" w14:textId="623CDA0A" w:rsidR="00A230D1" w:rsidRPr="001B15D5" w:rsidRDefault="00A230D1" w:rsidP="00117E86">
      <w:pPr>
        <w:pStyle w:val="Listapunktowana2"/>
      </w:pPr>
      <w:r w:rsidRPr="001B15D5">
        <w:t xml:space="preserve">brak pożądanej (tj. dającej wysokie prawdopodobieństwo osiągnięcia celów środowiskowych) skuteczności działań naprawczych i brak alternatywy (wykonalnej technicznie i niepowodującej nieproporcjonalnych kosztów) dla prowadzonej działalności człowieka zaspokajającej </w:t>
      </w:r>
      <w:r w:rsidR="002305CE">
        <w:t xml:space="preserve">ważne </w:t>
      </w:r>
      <w:r w:rsidRPr="001B15D5">
        <w:t xml:space="preserve">potrzeby </w:t>
      </w:r>
      <w:bookmarkStart w:id="439" w:name="_Hlk86479812"/>
      <w:r w:rsidR="002305CE">
        <w:t xml:space="preserve">społeczno-gospodarcze (w tym - </w:t>
      </w:r>
      <w:bookmarkEnd w:id="439"/>
      <w:r w:rsidRPr="001B15D5">
        <w:t>w zakresie środowiska</w:t>
      </w:r>
      <w:r w:rsidR="002305CE">
        <w:t>)</w:t>
      </w:r>
      <w:r w:rsidRPr="001B15D5">
        <w:t>.</w:t>
      </w:r>
    </w:p>
    <w:p w14:paraId="61DAC907" w14:textId="704BDDC7" w:rsidR="009E0636" w:rsidRPr="001B15D5" w:rsidRDefault="00A230D1" w:rsidP="00F86241">
      <w:bookmarkStart w:id="440" w:name="_Hlk67480584"/>
      <w:r w:rsidRPr="00795F17">
        <w:t xml:space="preserve">RDW nie </w:t>
      </w:r>
      <w:r w:rsidR="00CE64E7" w:rsidRPr="00795F17">
        <w:t xml:space="preserve">zakłada </w:t>
      </w:r>
      <w:r w:rsidRPr="00795F17">
        <w:t>hierarchicznego związku między odstępstwem w trybie art. 4 ust.</w:t>
      </w:r>
      <w:r w:rsidR="00511227">
        <w:t> </w:t>
      </w:r>
      <w:r w:rsidRPr="00795F17">
        <w:t>4</w:t>
      </w:r>
      <w:r w:rsidR="00511227">
        <w:t xml:space="preserve"> </w:t>
      </w:r>
      <w:r w:rsidRPr="00795F17">
        <w:t>i</w:t>
      </w:r>
      <w:r w:rsidR="00715D1B" w:rsidRPr="00795F17">
        <w:t> </w:t>
      </w:r>
      <w:r w:rsidRPr="00795F17">
        <w:t xml:space="preserve">art. 4 ust. 5 RDW. </w:t>
      </w:r>
      <w:bookmarkEnd w:id="440"/>
      <w:r w:rsidRPr="00795F17">
        <w:t xml:space="preserve">W ramach analiz związanych z opracowywaniem IIaPGW została dokonana ocena, czy pełna realizacja zestawów działań pozostawia ryzyko nieosiągnięcia celów środowiskowych </w:t>
      </w:r>
      <w:r w:rsidR="00F668C4" w:rsidRPr="00795F17">
        <w:t>(</w:t>
      </w:r>
      <w:r w:rsidRPr="00795F17">
        <w:t>do</w:t>
      </w:r>
      <w:r w:rsidR="00715D1B" w:rsidRPr="00795F17">
        <w:t> </w:t>
      </w:r>
      <w:r w:rsidRPr="00795F17">
        <w:t>2027</w:t>
      </w:r>
      <w:r w:rsidR="00404E96" w:rsidRPr="00795F17">
        <w:t> </w:t>
      </w:r>
      <w:r w:rsidRPr="00795F17">
        <w:t>r.</w:t>
      </w:r>
      <w:r w:rsidR="00F668C4" w:rsidRPr="00795F17">
        <w:t xml:space="preserve">, po 2027 r. </w:t>
      </w:r>
      <w:r w:rsidRPr="00795F17">
        <w:t xml:space="preserve">lub </w:t>
      </w:r>
      <w:r w:rsidR="00C83461">
        <w:t xml:space="preserve">- </w:t>
      </w:r>
      <w:r w:rsidRPr="00795F17">
        <w:t>w odniesieniu do substancji priorytetowych wprowadzonych dyrektywą 2013/39</w:t>
      </w:r>
      <w:r w:rsidR="00363DD6">
        <w:t>/UE</w:t>
      </w:r>
      <w:r w:rsidR="00C83461">
        <w:t xml:space="preserve"> - </w:t>
      </w:r>
      <w:r w:rsidR="00C83461" w:rsidRPr="00795F17">
        <w:t>do 2039 r.</w:t>
      </w:r>
      <w:r w:rsidRPr="00795F17">
        <w:t>). Jeżeli takie ryzyko wykluczono, to przedstawiono uzasadnienie dla odroczenia w czasie terminu osiągnięcia celów środowiskowych</w:t>
      </w:r>
      <w:r w:rsidR="00F668C4" w:rsidRPr="00795F17">
        <w:t xml:space="preserve">. </w:t>
      </w:r>
    </w:p>
    <w:p w14:paraId="5CD6C552" w14:textId="65D2E609" w:rsidR="00A230D1" w:rsidRPr="00795F17" w:rsidRDefault="009E0636" w:rsidP="009E0636">
      <w:r w:rsidRPr="00795F17">
        <w:t>W</w:t>
      </w:r>
      <w:r w:rsidR="00A230D1" w:rsidRPr="00795F17">
        <w:t xml:space="preserve"> przypadku stwierdzenia ryzyka </w:t>
      </w:r>
      <w:r w:rsidRPr="00795F17">
        <w:t xml:space="preserve">trwałego </w:t>
      </w:r>
      <w:r w:rsidR="00A230D1" w:rsidRPr="00795F17">
        <w:t>nieosiągnięcia celów środowiskowych (pomimo pełnego wdrożenia zestawów działań</w:t>
      </w:r>
      <w:r w:rsidRPr="00795F17">
        <w:t xml:space="preserve"> i dążenia do osiągnięcia możliwie najlepszego stanu wód</w:t>
      </w:r>
      <w:r w:rsidR="00A230D1" w:rsidRPr="00795F17">
        <w:t xml:space="preserve">), przedstawiono uzasadnienie dla odstępstwa polegającego na złagodzeniu celów środowiskowych oraz sformułowano ten cel w sposób adekwatny do dostępnych danych. Powyższe oznacza, że przy </w:t>
      </w:r>
      <w:r w:rsidR="007838F3">
        <w:t xml:space="preserve">wyjaśnianiu </w:t>
      </w:r>
      <w:r w:rsidR="00781E07">
        <w:t>przyczyn</w:t>
      </w:r>
      <w:r w:rsidR="007838F3" w:rsidRPr="00795F17">
        <w:t xml:space="preserve"> </w:t>
      </w:r>
      <w:r w:rsidR="00A230D1" w:rsidRPr="00795F17">
        <w:t xml:space="preserve">odstępstwa w trybie art. 4 ust. 5 RDW w pierwszej kolejności należało udowodnić wykluczenie przedłużenia terminu osiągnięcia celów środowiskowych, a dopiero w drugiej kolejności </w:t>
      </w:r>
      <w:r w:rsidR="00B31B87">
        <w:t>wskazywano na</w:t>
      </w:r>
      <w:r w:rsidR="00B31B87" w:rsidRPr="00795F17">
        <w:t xml:space="preserve"> </w:t>
      </w:r>
      <w:r w:rsidR="00A230D1" w:rsidRPr="00795F17">
        <w:t>mniej rygorystyczne cele.</w:t>
      </w:r>
    </w:p>
    <w:p w14:paraId="1F8FBEE2" w14:textId="66CFE00D" w:rsidR="00A230D1" w:rsidRPr="00795F17" w:rsidRDefault="00A230D1" w:rsidP="0044393D">
      <w:r w:rsidRPr="00795F17">
        <w:t>Na poniższym diagramie przedstawiono schemat decyzyjny w zakresie typowania przypadków wymagających odstępstw (diagram opracowany na podstawie art. 4 ust. 4-5 RDW).</w:t>
      </w:r>
    </w:p>
    <w:p w14:paraId="2C7F4C91" w14:textId="642BC1D5" w:rsidR="0096755D" w:rsidRPr="00795F17" w:rsidRDefault="00EB2759" w:rsidP="001C46F7">
      <w:pPr>
        <w:jc w:val="center"/>
      </w:pPr>
      <w:r>
        <w:rPr>
          <w:noProof/>
        </w:rPr>
        <w:drawing>
          <wp:inline distT="0" distB="0" distL="0" distR="0" wp14:anchorId="7DB7FAF1" wp14:editId="1CD4D3C8">
            <wp:extent cx="5838676" cy="7154333"/>
            <wp:effectExtent l="0" t="0" r="0" b="8890"/>
            <wp:docPr id="1866059328" name="Obraz 186605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6614" r="4615"/>
                    <a:stretch/>
                  </pic:blipFill>
                  <pic:spPr bwMode="auto">
                    <a:xfrm>
                      <a:off x="0" y="0"/>
                      <a:ext cx="5850078" cy="7168304"/>
                    </a:xfrm>
                    <a:prstGeom prst="rect">
                      <a:avLst/>
                    </a:prstGeom>
                    <a:ln>
                      <a:noFill/>
                    </a:ln>
                    <a:extLst>
                      <a:ext uri="{53640926-AAD7-44D8-BBD7-CCE9431645EC}">
                        <a14:shadowObscured xmlns:a14="http://schemas.microsoft.com/office/drawing/2010/main"/>
                      </a:ext>
                    </a:extLst>
                  </pic:spPr>
                </pic:pic>
              </a:graphicData>
            </a:graphic>
          </wp:inline>
        </w:drawing>
      </w:r>
    </w:p>
    <w:p w14:paraId="689AB09A" w14:textId="79DA2964" w:rsidR="00A230D1" w:rsidRPr="00795F17" w:rsidRDefault="0096755D" w:rsidP="004D7705">
      <w:pPr>
        <w:pStyle w:val="Rysunek"/>
        <w:rPr>
          <w:sz w:val="24"/>
          <w:szCs w:val="24"/>
        </w:rPr>
      </w:pPr>
      <w:bookmarkStart w:id="441" w:name="_Toc105512933"/>
      <w:r w:rsidRPr="00795F17">
        <w:t xml:space="preserve">Rysunek </w:t>
      </w:r>
      <w:r>
        <w:fldChar w:fldCharType="begin"/>
      </w:r>
      <w:r>
        <w:instrText>STYLEREF 1 \s</w:instrText>
      </w:r>
      <w:r>
        <w:fldChar w:fldCharType="separate"/>
      </w:r>
      <w:r w:rsidR="001F774D">
        <w:rPr>
          <w:noProof/>
        </w:rPr>
        <w:t>8</w:t>
      </w:r>
      <w:r>
        <w:fldChar w:fldCharType="end"/>
      </w:r>
      <w:r w:rsidR="00881BAC">
        <w:noBreakHyphen/>
      </w:r>
      <w:fldSimple w:instr=" SEQ Rysunek \* ARABIC \s 1 ">
        <w:r w:rsidR="001F774D">
          <w:rPr>
            <w:noProof/>
          </w:rPr>
          <w:t>1</w:t>
        </w:r>
      </w:fldSimple>
      <w:r w:rsidR="00342921">
        <w:rPr>
          <w:noProof/>
        </w:rPr>
        <w:t>.</w:t>
      </w:r>
      <w:r w:rsidRPr="00795F17">
        <w:tab/>
        <w:t>Algorytm decyzyjny zastosowania odstępstw w trybie art. 4 ust</w:t>
      </w:r>
      <w:r w:rsidR="00715D1B" w:rsidRPr="00795F17">
        <w:t>.</w:t>
      </w:r>
      <w:r w:rsidRPr="00795F17">
        <w:t xml:space="preserve"> 4 i 5 RDW</w:t>
      </w:r>
      <w:bookmarkEnd w:id="441"/>
    </w:p>
    <w:p w14:paraId="7467FB8E" w14:textId="20D9DEE0" w:rsidR="00A230D1" w:rsidRPr="00795F17" w:rsidRDefault="00A230D1" w:rsidP="0044393D">
      <w:pPr>
        <w:pStyle w:val="rdo"/>
      </w:pPr>
      <w:r w:rsidRPr="00795F17">
        <w:t xml:space="preserve">Źródło: </w:t>
      </w:r>
      <w:r w:rsidR="00FD7248" w:rsidRPr="00795F17">
        <w:t>opracowanie własne</w:t>
      </w:r>
    </w:p>
    <w:p w14:paraId="542A7537" w14:textId="77777777" w:rsidR="00A230D1" w:rsidRPr="00795F17" w:rsidRDefault="00A230D1" w:rsidP="0044393D">
      <w:r w:rsidRPr="00795F17">
        <w:t>Analiza konieczności oraz możliwości zastosowania odstępstw od osiągnięcia celów środowiskowych została przeprowadzona na podstawie:</w:t>
      </w:r>
    </w:p>
    <w:p w14:paraId="7BDF97EB" w14:textId="4FD34B6E" w:rsidR="00A230D1" w:rsidRPr="00795F17" w:rsidRDefault="00A230D1" w:rsidP="002757E9">
      <w:pPr>
        <w:pStyle w:val="Numerowanie"/>
        <w:numPr>
          <w:ilvl w:val="0"/>
          <w:numId w:val="73"/>
        </w:numPr>
        <w:ind w:left="426" w:hanging="426"/>
      </w:pPr>
      <w:r w:rsidRPr="00795F17">
        <w:t>oceny stanu jcw</w:t>
      </w:r>
      <w:r w:rsidR="009E0636" w:rsidRPr="00795F17">
        <w:t xml:space="preserve"> (w odniesieniu do monitorowanych jcw)</w:t>
      </w:r>
      <w:r w:rsidR="008D3DEE">
        <w:t>;</w:t>
      </w:r>
    </w:p>
    <w:p w14:paraId="4BD40383" w14:textId="7801ACB3" w:rsidR="00A230D1" w:rsidRPr="00795F17" w:rsidRDefault="00A230D1" w:rsidP="002757E9">
      <w:pPr>
        <w:pStyle w:val="Numerowanie"/>
        <w:numPr>
          <w:ilvl w:val="0"/>
          <w:numId w:val="73"/>
        </w:numPr>
        <w:ind w:left="426" w:hanging="426"/>
      </w:pPr>
      <w:r w:rsidRPr="00795F17">
        <w:t>zagrożenia nieosiągnięciem celów środowiskowych</w:t>
      </w:r>
      <w:r w:rsidR="008D3DEE">
        <w:t>;</w:t>
      </w:r>
    </w:p>
    <w:p w14:paraId="1F979D39" w14:textId="734B44E3" w:rsidR="00A230D1" w:rsidRPr="00795F17" w:rsidRDefault="00A230D1" w:rsidP="002757E9">
      <w:pPr>
        <w:pStyle w:val="Numerowanie"/>
        <w:numPr>
          <w:ilvl w:val="0"/>
          <w:numId w:val="73"/>
        </w:numPr>
        <w:ind w:left="426" w:hanging="426"/>
      </w:pPr>
      <w:r w:rsidRPr="00795F17">
        <w:t>zidentyfikowanych oddziaływań antropogenicznych, będących przyczyną tego zagrożenia</w:t>
      </w:r>
      <w:r w:rsidR="008D3DEE">
        <w:t>;</w:t>
      </w:r>
    </w:p>
    <w:p w14:paraId="16774503" w14:textId="77777777" w:rsidR="00A230D1" w:rsidRPr="00795F17" w:rsidRDefault="00A230D1" w:rsidP="002757E9">
      <w:pPr>
        <w:pStyle w:val="Numerowanie"/>
        <w:numPr>
          <w:ilvl w:val="0"/>
          <w:numId w:val="73"/>
        </w:numPr>
        <w:ind w:left="426" w:hanging="426"/>
      </w:pPr>
      <w:r w:rsidRPr="00795F17">
        <w:t>programów działań (i ich skuteczności) dla jcw.</w:t>
      </w:r>
    </w:p>
    <w:p w14:paraId="789F4B7E" w14:textId="32A30BF8" w:rsidR="00A230D1" w:rsidRPr="00795F17" w:rsidRDefault="006A2B9C" w:rsidP="0044393D">
      <w:bookmarkStart w:id="442" w:name="_Hlk86478682"/>
      <w:r>
        <w:rPr>
          <w:rFonts w:asciiTheme="minorHAnsi" w:hAnsiTheme="minorHAnsi" w:cstheme="minorHAnsi"/>
        </w:rPr>
        <w:t xml:space="preserve">Ocena spełnienia przesłanek warunkujących dopuszczalność </w:t>
      </w:r>
      <w:bookmarkEnd w:id="442"/>
      <w:r w:rsidRPr="002D6624">
        <w:rPr>
          <w:rFonts w:asciiTheme="minorHAnsi" w:hAnsiTheme="minorHAnsi" w:cstheme="minorHAnsi"/>
        </w:rPr>
        <w:t xml:space="preserve">odstępstwa </w:t>
      </w:r>
      <w:r w:rsidR="00A230D1" w:rsidRPr="00795F17">
        <w:t>odstępstwa przeanalizowana została dla tych jcw, których stan został oceniony poniżej dobrego (według wartości obowiązujących od 2022</w:t>
      </w:r>
      <w:r w:rsidR="00715D1B" w:rsidRPr="00795F17">
        <w:t> </w:t>
      </w:r>
      <w:r w:rsidR="00A230D1" w:rsidRPr="00795F17">
        <w:t>r.). W przypadku gdy dane uzyskane w ramach PMŚ nie pozwoliły na dokonanie oceny stanu wód, przeprowadzono analizę istotności presji</w:t>
      </w:r>
      <w:r w:rsidR="00DD325D">
        <w:t>,</w:t>
      </w:r>
      <w:r w:rsidR="00A230D1" w:rsidRPr="00795F17">
        <w:t xml:space="preserve"> która pozwoliła na zidentyfikowanie tych </w:t>
      </w:r>
      <w:r w:rsidR="00DF005E">
        <w:t>JCWP</w:t>
      </w:r>
      <w:r w:rsidR="00A230D1" w:rsidRPr="00795F17">
        <w:t xml:space="preserve">, dla których z dużym stopniem prawdopodobieństwa występuje zagrożenie dla celów środowiskowych. </w:t>
      </w:r>
    </w:p>
    <w:p w14:paraId="763641A3" w14:textId="0FDF61BC" w:rsidR="00A230D1" w:rsidRPr="00795F17" w:rsidRDefault="00A230D1" w:rsidP="0044393D">
      <w:r w:rsidRPr="00795F17">
        <w:t xml:space="preserve">Konieczność </w:t>
      </w:r>
      <w:r w:rsidR="0025242E">
        <w:t>uzasadniania</w:t>
      </w:r>
      <w:r w:rsidRPr="00795F17">
        <w:t xml:space="preserve"> odstępstw nie była analizowana dla tych jcw, dla których w ramach PMŚ nie</w:t>
      </w:r>
      <w:r w:rsidR="00DD325D">
        <w:t> </w:t>
      </w:r>
      <w:r w:rsidRPr="00795F17">
        <w:t>stwierdzono złego stanu wód oraz dla tych jcw o nieznanym stanie</w:t>
      </w:r>
      <w:r w:rsidR="009E0636" w:rsidRPr="00795F17">
        <w:t xml:space="preserve"> (niemonitorowanych)</w:t>
      </w:r>
      <w:r w:rsidRPr="00795F17">
        <w:t>, które w</w:t>
      </w:r>
      <w:r w:rsidR="009E0636" w:rsidRPr="00795F17">
        <w:t> </w:t>
      </w:r>
      <w:r w:rsidRPr="00795F17">
        <w:t xml:space="preserve">ramach oceny ryzyka nie zostały ocenione jako zagrożone nieosiągnięciem celów środowiskowych (taka ocena oznacza, że dobry stan najprawdopodobniej został osiągnięty, wobec czego stosowanie jakiegokolwiek odstępstwa jest niezasadne). </w:t>
      </w:r>
    </w:p>
    <w:p w14:paraId="493EE380" w14:textId="23E6D718" w:rsidR="00E45C8E" w:rsidRDefault="00E45C8E" w:rsidP="00E45C8E">
      <w:bookmarkStart w:id="443" w:name="_Hlk68210759"/>
      <w:r w:rsidRPr="00D6249B">
        <w:t>W ramach IIaPGW konsumowane</w:t>
      </w:r>
      <w:r>
        <w:rPr>
          <w:color w:val="000000"/>
        </w:rPr>
        <w:t xml:space="preserve"> są wyniki wszystkich zrealizowanych prac wchodzących w zakres merytorycznego przygotowania w tym między innymi</w:t>
      </w:r>
      <w:r w:rsidR="00BA6B41">
        <w:rPr>
          <w:color w:val="000000"/>
        </w:rPr>
        <w:t xml:space="preserve"> </w:t>
      </w:r>
      <w:r>
        <w:rPr>
          <w:i/>
          <w:iCs/>
          <w:color w:val="000000"/>
        </w:rPr>
        <w:t xml:space="preserve">Analizy znaczących oddziaływań </w:t>
      </w:r>
      <w:r w:rsidR="009F4D4F">
        <w:rPr>
          <w:i/>
          <w:iCs/>
          <w:color w:val="000000"/>
        </w:rPr>
        <w:t>–</w:t>
      </w:r>
      <w:r>
        <w:rPr>
          <w:i/>
          <w:iCs/>
          <w:color w:val="000000"/>
        </w:rPr>
        <w:t xml:space="preserve"> </w:t>
      </w:r>
      <w:r w:rsidR="00DF005E">
        <w:rPr>
          <w:i/>
          <w:iCs/>
          <w:color w:val="000000"/>
        </w:rPr>
        <w:t>JCWP</w:t>
      </w:r>
      <w:r>
        <w:rPr>
          <w:i/>
          <w:iCs/>
          <w:color w:val="000000"/>
        </w:rPr>
        <w:t xml:space="preserve"> (…)</w:t>
      </w:r>
      <w:r w:rsidR="00BC12E2">
        <w:rPr>
          <w:rStyle w:val="Odwoanieprzypisudolnego"/>
          <w:i/>
          <w:iCs/>
          <w:color w:val="000000"/>
        </w:rPr>
        <w:footnoteReference w:id="65"/>
      </w:r>
      <w:r>
        <w:rPr>
          <w:i/>
          <w:iCs/>
          <w:color w:val="000000"/>
        </w:rPr>
        <w:t xml:space="preserve">, </w:t>
      </w:r>
      <w:r>
        <w:rPr>
          <w:color w:val="000000"/>
        </w:rPr>
        <w:t xml:space="preserve">która zawiera wyniki oceny ryzyka nieosiągnięcia celów środowiskowych, przeprowadzonej w sposób zgodny z wymogami RDW, tzn. przy założeniu, iż determinantem uznania </w:t>
      </w:r>
      <w:r w:rsidR="00DF005E">
        <w:rPr>
          <w:color w:val="000000"/>
        </w:rPr>
        <w:t>JCWP</w:t>
      </w:r>
      <w:r>
        <w:rPr>
          <w:color w:val="000000"/>
        </w:rPr>
        <w:t xml:space="preserve"> za zagrożoną są presje na</w:t>
      </w:r>
      <w:r w:rsidR="001B15D5">
        <w:rPr>
          <w:color w:val="000000"/>
        </w:rPr>
        <w:t> </w:t>
      </w:r>
      <w:r>
        <w:rPr>
          <w:color w:val="000000"/>
        </w:rPr>
        <w:t xml:space="preserve">elementy biologiczne zależne od fizykochemii </w:t>
      </w:r>
      <w:r w:rsidR="00EF31C3">
        <w:rPr>
          <w:color w:val="000000"/>
        </w:rPr>
        <w:t>oraz</w:t>
      </w:r>
      <w:r>
        <w:rPr>
          <w:color w:val="000000"/>
        </w:rPr>
        <w:t xml:space="preserve"> od hydromorfologii. </w:t>
      </w:r>
      <w:r>
        <w:t>Oznacza to, że jeśli stan stwierdzonych elementów biologicznych był umiarkowany i nie zidentyfikowano presji, to</w:t>
      </w:r>
      <w:r w:rsidR="001B15D5">
        <w:t> </w:t>
      </w:r>
      <w:r>
        <w:t xml:space="preserve">taka </w:t>
      </w:r>
      <w:r w:rsidR="00DF005E">
        <w:t>JCWP</w:t>
      </w:r>
      <w:r>
        <w:t xml:space="preserve"> nie była uznawana za „zagrożoną”</w:t>
      </w:r>
      <w:r>
        <w:rPr>
          <w:color w:val="000000"/>
        </w:rPr>
        <w:t>. O</w:t>
      </w:r>
      <w:r>
        <w:t xml:space="preserve">znacza to także, że jeśli stan elementów biologicznych jest dobry, a stan elementów fizykochemicznych został stwierdzony jako gorszy niż II klasa (ale nie miał wpływu na zagrożenie dla elementów biologicznych), to taki przypadek nie był przesłanką do nadania statusu zagrożenia dla celów środowiskowych </w:t>
      </w:r>
      <w:r w:rsidR="00DF005E">
        <w:t>JCWP</w:t>
      </w:r>
      <w:r>
        <w:t xml:space="preserve">. </w:t>
      </w:r>
    </w:p>
    <w:p w14:paraId="0CAA736E" w14:textId="530694DD" w:rsidR="00E45C8E" w:rsidRDefault="00E45C8E" w:rsidP="00E45C8E">
      <w:r w:rsidRPr="00D6249B">
        <w:t>Na potrzeby</w:t>
      </w:r>
      <w:r w:rsidRPr="00D6249B" w:rsidDel="00FD6DDC">
        <w:t xml:space="preserve"> </w:t>
      </w:r>
      <w:r w:rsidR="00FD6DDC">
        <w:t>uzasadnienia</w:t>
      </w:r>
      <w:r w:rsidRPr="00D6249B">
        <w:t xml:space="preserve"> odstępstw</w:t>
      </w:r>
      <w:r>
        <w:rPr>
          <w:color w:val="000000"/>
        </w:rPr>
        <w:t xml:space="preserve"> w IIaPGW konieczne jest dodatkowe uwzględnienie </w:t>
      </w:r>
      <w:r w:rsidR="00C12087">
        <w:rPr>
          <w:color w:val="000000"/>
        </w:rPr>
        <w:t>klasyfikacji stanu ekologicznego</w:t>
      </w:r>
      <w:r>
        <w:rPr>
          <w:color w:val="000000"/>
        </w:rPr>
        <w:t xml:space="preserve"> lub potencjału ekologicznego (zgodnie z </w:t>
      </w:r>
      <w:r w:rsidR="00DF005E">
        <w:rPr>
          <w:color w:val="000000"/>
        </w:rPr>
        <w:t>r.kl.jcwp</w:t>
      </w:r>
      <w:r>
        <w:rPr>
          <w:color w:val="000000"/>
        </w:rPr>
        <w:t>), co oznacza uwzględnienie w ocenie warunków do odstępstw bieżącego przekroczenia wartości granicznych wskaźników fizykochemicznych, które w warunkach utrzymywania się w przyszłości mogą negatywnie wpłynąć na</w:t>
      </w:r>
      <w:r w:rsidR="001B15D5">
        <w:rPr>
          <w:color w:val="000000"/>
        </w:rPr>
        <w:t> </w:t>
      </w:r>
      <w:r>
        <w:rPr>
          <w:color w:val="000000"/>
        </w:rPr>
        <w:t>stan elementów biologicznych. Proces reakcji organizmów wodnych i wodozależnych na cechy chemiczne i fizykochemiczne wód jest rozciągnięty w czasie i zależy od wielu czynników (m.in.</w:t>
      </w:r>
      <w:r w:rsidR="00C15DD6">
        <w:rPr>
          <w:color w:val="000000"/>
        </w:rPr>
        <w:t> </w:t>
      </w:r>
      <w:r>
        <w:rPr>
          <w:color w:val="000000"/>
        </w:rPr>
        <w:t>warunków naturalnych). Rozłożona w czasie reakcja organizmów wodnych i wodozależnych na</w:t>
      </w:r>
      <w:r w:rsidR="001B15D5">
        <w:rPr>
          <w:color w:val="000000"/>
        </w:rPr>
        <w:t> </w:t>
      </w:r>
      <w:r>
        <w:rPr>
          <w:color w:val="000000"/>
        </w:rPr>
        <w:t xml:space="preserve">poprawę cech chemicznych i fizykochemicznych przebiega podobnie </w:t>
      </w:r>
      <w:r w:rsidR="009F4D4F">
        <w:rPr>
          <w:color w:val="000000"/>
        </w:rPr>
        <w:t>–</w:t>
      </w:r>
      <w:r>
        <w:rPr>
          <w:color w:val="000000"/>
        </w:rPr>
        <w:t xml:space="preserve"> stąd tak trudne jest uzyskanie szybkiej poprawy warunków biologicznych w wodach powierzchniowych po uzyskaniu wysokiej jakości parametrów </w:t>
      </w:r>
      <w:r w:rsidRPr="00D6249B">
        <w:t>fizykochemicznych wód.</w:t>
      </w:r>
    </w:p>
    <w:p w14:paraId="021AF2D8" w14:textId="46813819" w:rsidR="00E45C8E" w:rsidRPr="00D6249B" w:rsidRDefault="00E45C8E" w:rsidP="00E45C8E">
      <w:r w:rsidRPr="00D6249B">
        <w:t xml:space="preserve">W konsekwencji </w:t>
      </w:r>
      <w:r>
        <w:t>przyjęto, że jeżeli ocena stanu ekologicznego lub potencjału ekologicznego jest gorsza niż stan dobry (czego przyczyną mogło być np. znaczne przekroczenie wartości granicznych klasy</w:t>
      </w:r>
      <w:r w:rsidR="00C15DD6">
        <w:t> </w:t>
      </w:r>
      <w:r>
        <w:t xml:space="preserve">II jednego wskaźnika fizykochemicznego, zgodnie z pkt X.6 w zał. 12 i pkt XII.3 w zał. 13 do </w:t>
      </w:r>
      <w:r w:rsidR="00DF005E">
        <w:t>r.kl.jcwp</w:t>
      </w:r>
      <w:r>
        <w:t>), to</w:t>
      </w:r>
      <w:r w:rsidR="001B15D5">
        <w:t> </w:t>
      </w:r>
      <w:r>
        <w:t xml:space="preserve">tak oceniona </w:t>
      </w:r>
      <w:r w:rsidR="00DF005E">
        <w:t>JCWP</w:t>
      </w:r>
      <w:r>
        <w:t xml:space="preserve"> była typowana do odstępstwa terminowego </w:t>
      </w:r>
      <w:r w:rsidR="009F4D4F">
        <w:t>–</w:t>
      </w:r>
      <w:r>
        <w:t xml:space="preserve"> mimo że w </w:t>
      </w:r>
      <w:r>
        <w:rPr>
          <w:i/>
          <w:iCs/>
          <w:color w:val="000000"/>
        </w:rPr>
        <w:t>Analizie znaczących oddziaływań</w:t>
      </w:r>
      <w:r w:rsidR="00BC12E2">
        <w:rPr>
          <w:rStyle w:val="Odwoanieprzypisudolnego"/>
        </w:rPr>
        <w:footnoteReference w:id="66"/>
      </w:r>
      <w:r w:rsidR="00C15DD6">
        <w:t xml:space="preserve"> </w:t>
      </w:r>
      <w:r>
        <w:t xml:space="preserve">nie była uznana za zagrożoną. </w:t>
      </w:r>
      <w:r>
        <w:rPr>
          <w:color w:val="000000"/>
        </w:rPr>
        <w:t>Przyjęte wartości progowe przekroczeń dla uznania ich jako znaczące i wpływające na konieczność wskazania do odstępstw są identyczne, co do zasady, z</w:t>
      </w:r>
      <w:r w:rsidR="001B15D5">
        <w:rPr>
          <w:color w:val="000000"/>
        </w:rPr>
        <w:t> </w:t>
      </w:r>
      <w:r>
        <w:rPr>
          <w:color w:val="000000"/>
        </w:rPr>
        <w:t xml:space="preserve">wartościami progowymi zastosowanymi w </w:t>
      </w:r>
      <w:r>
        <w:rPr>
          <w:i/>
          <w:iCs/>
          <w:color w:val="000000"/>
        </w:rPr>
        <w:t xml:space="preserve">Analizie znaczących oddziaływań </w:t>
      </w:r>
      <w:r w:rsidR="009F4D4F">
        <w:rPr>
          <w:i/>
          <w:iCs/>
          <w:color w:val="000000"/>
        </w:rPr>
        <w:t>–</w:t>
      </w:r>
      <w:r>
        <w:rPr>
          <w:i/>
          <w:iCs/>
          <w:color w:val="000000"/>
        </w:rPr>
        <w:t xml:space="preserve"> </w:t>
      </w:r>
      <w:r w:rsidR="00DF005E">
        <w:rPr>
          <w:i/>
          <w:iCs/>
          <w:color w:val="000000"/>
        </w:rPr>
        <w:t>JCWP</w:t>
      </w:r>
      <w:r>
        <w:rPr>
          <w:i/>
          <w:iCs/>
          <w:color w:val="000000"/>
        </w:rPr>
        <w:t xml:space="preserve"> (…)</w:t>
      </w:r>
      <w:r w:rsidR="00975166">
        <w:rPr>
          <w:rStyle w:val="Odwoanieprzypisudolnego"/>
          <w:i/>
          <w:iCs/>
          <w:color w:val="000000"/>
        </w:rPr>
        <w:footnoteReference w:id="67"/>
      </w:r>
      <w:r w:rsidRPr="00D6249B">
        <w:t xml:space="preserve">. </w:t>
      </w:r>
    </w:p>
    <w:p w14:paraId="5EE2FE91" w14:textId="210F2459" w:rsidR="00E45C8E" w:rsidRPr="004B023A" w:rsidRDefault="00E45C8E" w:rsidP="00E45C8E">
      <w:r w:rsidRPr="00D6249B">
        <w:t xml:space="preserve">Przy </w:t>
      </w:r>
      <w:r w:rsidR="001238DF">
        <w:t>przypisywaniu</w:t>
      </w:r>
      <w:r w:rsidR="001238DF" w:rsidRPr="00D6249B">
        <w:t xml:space="preserve"> </w:t>
      </w:r>
      <w:r w:rsidRPr="00D6249B">
        <w:t xml:space="preserve">jcw do </w:t>
      </w:r>
      <w:r w:rsidR="00D21D39">
        <w:t>któregoś z typów</w:t>
      </w:r>
      <w:r w:rsidRPr="00D6249B">
        <w:t xml:space="preserve"> odstępstw</w:t>
      </w:r>
      <w:r>
        <w:rPr>
          <w:color w:val="000000"/>
        </w:rPr>
        <w:t xml:space="preserve"> uwzględniono fakt, że ocena skuteczności zestawów działań odnosi się do zamierzeń przypisanych konkretnym jcw, bez uwzględnienia działań o charakterze krajowym oraz działań ukierunkowanych na cele środowiskowe obszarów ochrony przyrody. W związku z</w:t>
      </w:r>
      <w:r w:rsidR="001B15D5">
        <w:rPr>
          <w:color w:val="000000"/>
        </w:rPr>
        <w:t> </w:t>
      </w:r>
      <w:r>
        <w:rPr>
          <w:color w:val="000000"/>
        </w:rPr>
        <w:t>powyższym uznano, że działania dedykowan</w:t>
      </w:r>
      <w:r w:rsidR="000A3F6F">
        <w:rPr>
          <w:color w:val="000000"/>
        </w:rPr>
        <w:t>e</w:t>
      </w:r>
      <w:r>
        <w:rPr>
          <w:color w:val="000000"/>
        </w:rPr>
        <w:t xml:space="preserve"> obszarom chronionym korzystnie wpłyną na</w:t>
      </w:r>
      <w:r w:rsidR="001B15D5">
        <w:rPr>
          <w:color w:val="000000"/>
        </w:rPr>
        <w:t> </w:t>
      </w:r>
      <w:r>
        <w:rPr>
          <w:color w:val="000000"/>
        </w:rPr>
        <w:t xml:space="preserve">efektywność dążenia do osiągnięcia celów środowiskowych. W rezultacie w sytuacji, gdy przypisany dla </w:t>
      </w:r>
      <w:r w:rsidR="00DF005E">
        <w:rPr>
          <w:color w:val="000000"/>
        </w:rPr>
        <w:t>JCWP</w:t>
      </w:r>
      <w:r>
        <w:rPr>
          <w:color w:val="000000"/>
        </w:rPr>
        <w:t xml:space="preserve"> zestaw działań nie zapewniał osiągnięcia celów środowiskowych, ale w granicach </w:t>
      </w:r>
      <w:r w:rsidR="00DF005E">
        <w:rPr>
          <w:color w:val="000000"/>
        </w:rPr>
        <w:t>JCWP</w:t>
      </w:r>
      <w:r>
        <w:rPr>
          <w:color w:val="000000"/>
        </w:rPr>
        <w:t xml:space="preserve"> występował obszar chroniony z przypisanymi do niego działaniami (wynikającymi z wdrażania ustaleń przyjętych planów ochrony, zadań ochronnych i planów zadań ochronnych), to uznano że</w:t>
      </w:r>
      <w:r w:rsidR="000A3F6F">
        <w:rPr>
          <w:color w:val="000000"/>
        </w:rPr>
        <w:t> </w:t>
      </w:r>
      <w:r>
        <w:rPr>
          <w:color w:val="000000"/>
        </w:rPr>
        <w:t>ich</w:t>
      </w:r>
      <w:r w:rsidR="000A3F6F">
        <w:rPr>
          <w:color w:val="000000"/>
        </w:rPr>
        <w:t> </w:t>
      </w:r>
      <w:r>
        <w:rPr>
          <w:color w:val="000000"/>
        </w:rPr>
        <w:t xml:space="preserve">efektywność pozwoli na osiągnięcie celów środowiskowych </w:t>
      </w:r>
      <w:r w:rsidR="00DF005E">
        <w:rPr>
          <w:color w:val="000000"/>
        </w:rPr>
        <w:t>JCWP</w:t>
      </w:r>
      <w:r>
        <w:rPr>
          <w:color w:val="000000"/>
        </w:rPr>
        <w:t xml:space="preserve"> w zakresie stanu/potencjału ekologicznego </w:t>
      </w:r>
      <w:r w:rsidR="009F4D4F">
        <w:rPr>
          <w:color w:val="000000"/>
        </w:rPr>
        <w:t>–</w:t>
      </w:r>
      <w:r>
        <w:rPr>
          <w:color w:val="000000"/>
        </w:rPr>
        <w:t xml:space="preserve"> lecz w czasie późniejszym (po 2027 r.) ze względu na warunki naturalne determinujące skuteczność </w:t>
      </w:r>
      <w:r w:rsidRPr="00D6249B">
        <w:t>działań</w:t>
      </w:r>
      <w:bookmarkEnd w:id="443"/>
      <w:r w:rsidRPr="00D6249B">
        <w:t>.</w:t>
      </w:r>
    </w:p>
    <w:p w14:paraId="1A80EF5F" w14:textId="7A150799" w:rsidR="00A230D1" w:rsidRPr="00795F17" w:rsidRDefault="00A230D1" w:rsidP="0044393D">
      <w:pPr>
        <w:rPr>
          <w:rFonts w:eastAsia="Times New Roman" w:cs="Calibri"/>
          <w:lang w:eastAsia="pl-PL"/>
        </w:rPr>
      </w:pPr>
      <w:r w:rsidRPr="00795F17">
        <w:t>Zgodnie z opisanym podejściem na obszarze dorzecza Odry zidentyfikowano przypadki odstępstw od osiągnięcia celów środowiskowych. Ich zestawienie liczbowe przedstawiono w</w:t>
      </w:r>
      <w:r w:rsidR="0017397C">
        <w:t> </w:t>
      </w:r>
      <w:r w:rsidRPr="00795F17">
        <w:t xml:space="preserve">tabeli </w:t>
      </w:r>
      <w:r w:rsidR="0096755D" w:rsidRPr="00795F17">
        <w:t>8-1</w:t>
      </w:r>
      <w:r w:rsidR="00B3309A" w:rsidRPr="00795F17">
        <w:t>4</w:t>
      </w:r>
      <w:r w:rsidR="0096755D" w:rsidRPr="00795F17">
        <w:t>.</w:t>
      </w:r>
      <w:r w:rsidRPr="00795F17">
        <w:t xml:space="preserve"> Szczegółowe dane o odstępstwach znajdują się w dedykowanej części załącznika nr </w:t>
      </w:r>
      <w:r w:rsidR="00BD4DFA">
        <w:t>1</w:t>
      </w:r>
      <w:r w:rsidR="00DC0DEF">
        <w:t>8</w:t>
      </w:r>
      <w:r w:rsidR="0031095D" w:rsidRPr="00795F17">
        <w:t xml:space="preserve"> </w:t>
      </w:r>
      <w:r w:rsidR="0031095D" w:rsidRPr="00795F17">
        <w:rPr>
          <w:rFonts w:eastAsia="Times New Roman" w:cs="Calibri"/>
          <w:lang w:eastAsia="pl-PL"/>
        </w:rPr>
        <w:t xml:space="preserve">(Wykaz jcw wskazanych do odstępstw). Zobrazowania mapowe jcw </w:t>
      </w:r>
      <w:r w:rsidR="0017397C">
        <w:rPr>
          <w:rFonts w:eastAsia="Times New Roman" w:cs="Calibri"/>
          <w:lang w:eastAsia="pl-PL"/>
        </w:rPr>
        <w:t>na</w:t>
      </w:r>
      <w:r w:rsidR="0031095D" w:rsidRPr="00795F17">
        <w:rPr>
          <w:rFonts w:eastAsia="Times New Roman" w:cs="Calibri"/>
          <w:lang w:eastAsia="pl-PL"/>
        </w:rPr>
        <w:t xml:space="preserve"> obszarze dorzecza Odry, dla</w:t>
      </w:r>
      <w:r w:rsidR="00113002" w:rsidRPr="00795F17">
        <w:rPr>
          <w:rFonts w:eastAsia="Times New Roman" w:cs="Calibri"/>
          <w:lang w:eastAsia="pl-PL"/>
        </w:rPr>
        <w:t> </w:t>
      </w:r>
      <w:r w:rsidR="0031095D" w:rsidRPr="00795F17">
        <w:rPr>
          <w:rFonts w:eastAsia="Times New Roman" w:cs="Calibri"/>
          <w:lang w:eastAsia="pl-PL"/>
        </w:rPr>
        <w:t xml:space="preserve">których ustalono odstępstwo znajdują się w załącznikach graficznych nr </w:t>
      </w:r>
      <w:r w:rsidR="007014BB">
        <w:rPr>
          <w:rFonts w:eastAsia="Times New Roman" w:cs="Calibri"/>
          <w:lang w:eastAsia="pl-PL"/>
        </w:rPr>
        <w:t>63</w:t>
      </w:r>
      <w:r w:rsidR="0031095D" w:rsidRPr="00795F17">
        <w:rPr>
          <w:rFonts w:eastAsia="Times New Roman" w:cs="Calibri"/>
          <w:lang w:eastAsia="pl-PL"/>
        </w:rPr>
        <w:t xml:space="preserve"> (dla </w:t>
      </w:r>
      <w:r w:rsidR="00DF005E">
        <w:rPr>
          <w:rFonts w:eastAsia="Times New Roman" w:cs="Calibri"/>
          <w:lang w:eastAsia="pl-PL"/>
        </w:rPr>
        <w:t>JCWP</w:t>
      </w:r>
      <w:r w:rsidR="0031095D" w:rsidRPr="00795F17">
        <w:rPr>
          <w:rFonts w:eastAsia="Times New Roman" w:cs="Calibri"/>
          <w:lang w:eastAsia="pl-PL"/>
        </w:rPr>
        <w:t xml:space="preserve"> RW), nr </w:t>
      </w:r>
      <w:r w:rsidR="007014BB">
        <w:rPr>
          <w:rFonts w:eastAsia="Times New Roman" w:cs="Calibri"/>
          <w:lang w:eastAsia="pl-PL"/>
        </w:rPr>
        <w:t>64</w:t>
      </w:r>
      <w:r w:rsidR="0031095D" w:rsidRPr="00795F17">
        <w:rPr>
          <w:rFonts w:eastAsia="Times New Roman" w:cs="Calibri"/>
          <w:lang w:eastAsia="pl-PL"/>
        </w:rPr>
        <w:t xml:space="preserve"> (dla</w:t>
      </w:r>
      <w:r w:rsidR="00113002" w:rsidRPr="00795F17">
        <w:rPr>
          <w:rFonts w:eastAsia="Times New Roman" w:cs="Calibri"/>
          <w:lang w:eastAsia="pl-PL"/>
        </w:rPr>
        <w:t> </w:t>
      </w:r>
      <w:r w:rsidR="00DF005E">
        <w:rPr>
          <w:rFonts w:eastAsia="Times New Roman" w:cs="Calibri"/>
          <w:lang w:eastAsia="pl-PL"/>
        </w:rPr>
        <w:t>JCWP</w:t>
      </w:r>
      <w:r w:rsidR="0031095D" w:rsidRPr="00795F17">
        <w:rPr>
          <w:rFonts w:eastAsia="Times New Roman" w:cs="Calibri"/>
          <w:lang w:eastAsia="pl-PL"/>
        </w:rPr>
        <w:t xml:space="preserve"> RWr), nr </w:t>
      </w:r>
      <w:r w:rsidR="007014BB">
        <w:rPr>
          <w:rFonts w:eastAsia="Times New Roman" w:cs="Calibri"/>
          <w:lang w:eastAsia="pl-PL"/>
        </w:rPr>
        <w:t>65</w:t>
      </w:r>
      <w:r w:rsidR="0031095D" w:rsidRPr="00795F17">
        <w:rPr>
          <w:rFonts w:eastAsia="Times New Roman" w:cs="Calibri"/>
          <w:lang w:eastAsia="pl-PL"/>
        </w:rPr>
        <w:t xml:space="preserve"> (dla </w:t>
      </w:r>
      <w:r w:rsidR="00DF005E">
        <w:rPr>
          <w:rFonts w:eastAsia="Times New Roman" w:cs="Calibri"/>
          <w:lang w:eastAsia="pl-PL"/>
        </w:rPr>
        <w:t>JCWP</w:t>
      </w:r>
      <w:r w:rsidR="0031095D" w:rsidRPr="00795F17">
        <w:rPr>
          <w:rFonts w:eastAsia="Times New Roman" w:cs="Calibri"/>
          <w:lang w:eastAsia="pl-PL"/>
        </w:rPr>
        <w:t xml:space="preserve"> LW)</w:t>
      </w:r>
      <w:r w:rsidR="00563E22">
        <w:rPr>
          <w:rFonts w:eastAsia="Times New Roman" w:cs="Calibri"/>
          <w:lang w:eastAsia="pl-PL"/>
        </w:rPr>
        <w:t xml:space="preserve">, </w:t>
      </w:r>
      <w:r w:rsidR="0031095D" w:rsidRPr="00795F17">
        <w:rPr>
          <w:rFonts w:eastAsia="Times New Roman" w:cs="Calibri"/>
          <w:lang w:eastAsia="pl-PL"/>
        </w:rPr>
        <w:t xml:space="preserve">nr </w:t>
      </w:r>
      <w:r w:rsidR="007014BB">
        <w:rPr>
          <w:rFonts w:eastAsia="Times New Roman" w:cs="Calibri"/>
          <w:lang w:eastAsia="pl-PL"/>
        </w:rPr>
        <w:t>66</w:t>
      </w:r>
      <w:r w:rsidR="0031095D" w:rsidRPr="00795F17">
        <w:rPr>
          <w:rFonts w:eastAsia="Times New Roman" w:cs="Calibri"/>
          <w:lang w:eastAsia="pl-PL"/>
        </w:rPr>
        <w:t xml:space="preserve"> (dla </w:t>
      </w:r>
      <w:r w:rsidR="00DF005E">
        <w:rPr>
          <w:rFonts w:eastAsia="Times New Roman" w:cs="Calibri"/>
          <w:lang w:eastAsia="pl-PL"/>
        </w:rPr>
        <w:t>JCWP</w:t>
      </w:r>
      <w:r w:rsidR="0031095D" w:rsidRPr="00795F17">
        <w:rPr>
          <w:rFonts w:eastAsia="Times New Roman" w:cs="Calibri"/>
          <w:lang w:eastAsia="pl-PL"/>
        </w:rPr>
        <w:t xml:space="preserve"> TW i CW)</w:t>
      </w:r>
      <w:r w:rsidR="00563E22">
        <w:rPr>
          <w:rFonts w:eastAsia="Times New Roman" w:cs="Calibri"/>
          <w:lang w:eastAsia="pl-PL"/>
        </w:rPr>
        <w:t xml:space="preserve"> oraz nr </w:t>
      </w:r>
      <w:r w:rsidR="007014BB">
        <w:rPr>
          <w:rFonts w:eastAsia="Times New Roman" w:cs="Calibri"/>
          <w:lang w:eastAsia="pl-PL"/>
        </w:rPr>
        <w:t>67</w:t>
      </w:r>
      <w:r w:rsidR="00563E22">
        <w:rPr>
          <w:rFonts w:eastAsia="Times New Roman" w:cs="Calibri"/>
          <w:lang w:eastAsia="pl-PL"/>
        </w:rPr>
        <w:t xml:space="preserve"> (dla </w:t>
      </w:r>
      <w:r w:rsidR="00DF005E">
        <w:rPr>
          <w:rFonts w:eastAsia="Times New Roman" w:cs="Calibri"/>
          <w:lang w:eastAsia="pl-PL"/>
        </w:rPr>
        <w:t>JCWP</w:t>
      </w:r>
      <w:r w:rsidR="00563E22">
        <w:rPr>
          <w:rFonts w:eastAsia="Times New Roman" w:cs="Calibri"/>
          <w:lang w:eastAsia="pl-PL"/>
        </w:rPr>
        <w:t>d)</w:t>
      </w:r>
      <w:r w:rsidR="0031095D" w:rsidRPr="00795F17">
        <w:rPr>
          <w:rFonts w:eastAsia="Times New Roman" w:cs="Calibri"/>
          <w:lang w:eastAsia="pl-PL"/>
        </w:rPr>
        <w:t>.</w:t>
      </w:r>
    </w:p>
    <w:p w14:paraId="0EB0682D" w14:textId="0C17E0EE" w:rsidR="00867E43" w:rsidRPr="00795F17" w:rsidRDefault="00867E43" w:rsidP="004D7705">
      <w:pPr>
        <w:pStyle w:val="Tabela"/>
      </w:pPr>
      <w:bookmarkStart w:id="444" w:name="_Toc105512824"/>
      <w:r w:rsidRPr="00795F17">
        <w:t xml:space="preserve">Tabela </w:t>
      </w:r>
      <w:fldSimple w:instr=" STYLEREF 1 \s ">
        <w:r w:rsidR="001F774D">
          <w:rPr>
            <w:noProof/>
          </w:rPr>
          <w:t>8</w:t>
        </w:r>
      </w:fldSimple>
      <w:r w:rsidR="00BB3B21" w:rsidRPr="00795F17">
        <w:noBreakHyphen/>
      </w:r>
      <w:fldSimple w:instr=" SEQ Tabela \* ARABIC \s 1 ">
        <w:r w:rsidR="001F774D">
          <w:rPr>
            <w:noProof/>
          </w:rPr>
          <w:t>14</w:t>
        </w:r>
      </w:fldSimple>
      <w:r w:rsidR="00E76356">
        <w:rPr>
          <w:noProof/>
        </w:rPr>
        <w:t>.</w:t>
      </w:r>
      <w:r w:rsidRPr="00795F17">
        <w:tab/>
        <w:t xml:space="preserve">Zestawienie liczbowe </w:t>
      </w:r>
      <w:r w:rsidR="009E0636" w:rsidRPr="00795F17">
        <w:t xml:space="preserve">jcw z </w:t>
      </w:r>
      <w:r w:rsidRPr="00795F17">
        <w:t>odstępstw</w:t>
      </w:r>
      <w:r w:rsidR="009E0636" w:rsidRPr="00795F17">
        <w:t>ami</w:t>
      </w:r>
      <w:r w:rsidRPr="00795F17">
        <w:t xml:space="preserve"> od osiągnięcia celów środowiskowych</w:t>
      </w:r>
      <w:r w:rsidR="009E0636" w:rsidRPr="00795F17">
        <w:t xml:space="preserve"> w trybie art.</w:t>
      </w:r>
      <w:r w:rsidR="0017397C">
        <w:t> </w:t>
      </w:r>
      <w:r w:rsidR="009E0636" w:rsidRPr="00795F17">
        <w:t>4 ust. 4 i 5 RDW</w:t>
      </w:r>
      <w:r w:rsidR="00C02401">
        <w:t xml:space="preserve"> (IIaPGW, 2022</w:t>
      </w:r>
      <w:r w:rsidR="009F4D4F">
        <w:t>–</w:t>
      </w:r>
      <w:r w:rsidR="00C02401">
        <w:t>2027</w:t>
      </w:r>
      <w:r w:rsidR="008710E1">
        <w:t>)</w:t>
      </w:r>
      <w:bookmarkEnd w:id="444"/>
    </w:p>
    <w:tbl>
      <w:tblPr>
        <w:tblStyle w:val="Tabela-Siatka"/>
        <w:tblW w:w="4986" w:type="pct"/>
        <w:jc w:val="center"/>
        <w:tblLook w:val="04A0" w:firstRow="1" w:lastRow="0" w:firstColumn="1" w:lastColumn="0" w:noHBand="0" w:noVBand="1"/>
      </w:tblPr>
      <w:tblGrid>
        <w:gridCol w:w="685"/>
        <w:gridCol w:w="2500"/>
        <w:gridCol w:w="1482"/>
        <w:gridCol w:w="1937"/>
        <w:gridCol w:w="2433"/>
      </w:tblGrid>
      <w:tr w:rsidR="00A230D1" w:rsidRPr="00795F17" w14:paraId="494EE68C" w14:textId="77777777" w:rsidTr="001D01EA">
        <w:trPr>
          <w:cnfStyle w:val="100000000000" w:firstRow="1" w:lastRow="0" w:firstColumn="0" w:lastColumn="0" w:oddVBand="0" w:evenVBand="0" w:oddHBand="0" w:evenHBand="0" w:firstRowFirstColumn="0" w:firstRowLastColumn="0" w:lastRowFirstColumn="0" w:lastRowLastColumn="0"/>
          <w:trHeight w:val="454"/>
          <w:jc w:val="center"/>
        </w:trPr>
        <w:tc>
          <w:tcPr>
            <w:tcW w:w="685" w:type="dxa"/>
            <w:tcBorders>
              <w:top w:val="single" w:sz="4" w:space="0" w:color="auto"/>
              <w:left w:val="single" w:sz="4" w:space="0" w:color="auto"/>
              <w:bottom w:val="single" w:sz="4" w:space="0" w:color="auto"/>
              <w:right w:val="single" w:sz="4" w:space="0" w:color="auto"/>
            </w:tcBorders>
            <w:hideMark/>
          </w:tcPr>
          <w:p w14:paraId="7AF6C245" w14:textId="6999C766" w:rsidR="00A230D1" w:rsidRPr="00795F17" w:rsidRDefault="0096755D" w:rsidP="0044393D">
            <w:pPr>
              <w:pStyle w:val="Teksttabelinaglowek"/>
              <w:rPr>
                <w:b/>
              </w:rPr>
            </w:pPr>
            <w:bookmarkStart w:id="445" w:name="_Hlk65925430"/>
            <w:r w:rsidRPr="00795F17">
              <w:rPr>
                <w:b/>
              </w:rPr>
              <w:t>L</w:t>
            </w:r>
            <w:r w:rsidR="00A230D1" w:rsidRPr="00795F17">
              <w:rPr>
                <w:b/>
              </w:rPr>
              <w:t>p.</w:t>
            </w:r>
          </w:p>
        </w:tc>
        <w:tc>
          <w:tcPr>
            <w:tcW w:w="2500" w:type="dxa"/>
            <w:tcBorders>
              <w:top w:val="single" w:sz="4" w:space="0" w:color="auto"/>
              <w:left w:val="single" w:sz="4" w:space="0" w:color="auto"/>
              <w:bottom w:val="single" w:sz="4" w:space="0" w:color="auto"/>
              <w:right w:val="single" w:sz="4" w:space="0" w:color="auto"/>
            </w:tcBorders>
            <w:hideMark/>
          </w:tcPr>
          <w:p w14:paraId="6787C940" w14:textId="54DB84F1" w:rsidR="00A230D1" w:rsidRPr="00795F17" w:rsidRDefault="009E0636" w:rsidP="0044393D">
            <w:pPr>
              <w:pStyle w:val="Teksttabelinaglowek"/>
              <w:rPr>
                <w:b/>
              </w:rPr>
            </w:pPr>
            <w:r w:rsidRPr="00795F17">
              <w:rPr>
                <w:b/>
              </w:rPr>
              <w:t>Rodzaj odst</w:t>
            </w:r>
            <w:r w:rsidR="00234C9D">
              <w:rPr>
                <w:b/>
              </w:rPr>
              <w:t>ę</w:t>
            </w:r>
            <w:r w:rsidRPr="00795F17">
              <w:rPr>
                <w:b/>
              </w:rPr>
              <w:t>pstwa</w:t>
            </w:r>
          </w:p>
        </w:tc>
        <w:tc>
          <w:tcPr>
            <w:tcW w:w="1482" w:type="dxa"/>
            <w:tcBorders>
              <w:top w:val="single" w:sz="4" w:space="0" w:color="auto"/>
              <w:left w:val="single" w:sz="4" w:space="0" w:color="auto"/>
              <w:bottom w:val="single" w:sz="4" w:space="0" w:color="auto"/>
              <w:right w:val="single" w:sz="4" w:space="0" w:color="auto"/>
            </w:tcBorders>
            <w:hideMark/>
          </w:tcPr>
          <w:p w14:paraId="5F408393" w14:textId="6CB1F3AC" w:rsidR="00A230D1" w:rsidRPr="00795F17" w:rsidRDefault="009E0636" w:rsidP="0044393D">
            <w:pPr>
              <w:pStyle w:val="Teksttabelinaglowek"/>
              <w:rPr>
                <w:b/>
              </w:rPr>
            </w:pPr>
            <w:r w:rsidRPr="00795F17">
              <w:rPr>
                <w:b/>
              </w:rPr>
              <w:t>Kate</w:t>
            </w:r>
            <w:r w:rsidR="00A56842" w:rsidRPr="00795F17">
              <w:rPr>
                <w:b/>
              </w:rPr>
              <w:t>gorie wód*</w:t>
            </w:r>
          </w:p>
        </w:tc>
        <w:tc>
          <w:tcPr>
            <w:tcW w:w="1937" w:type="dxa"/>
            <w:tcBorders>
              <w:top w:val="single" w:sz="4" w:space="0" w:color="auto"/>
              <w:left w:val="single" w:sz="4" w:space="0" w:color="auto"/>
              <w:bottom w:val="single" w:sz="4" w:space="0" w:color="auto"/>
              <w:right w:val="single" w:sz="4" w:space="0" w:color="auto"/>
            </w:tcBorders>
            <w:hideMark/>
          </w:tcPr>
          <w:p w14:paraId="49048AC0" w14:textId="013EC4CD" w:rsidR="00A230D1" w:rsidRPr="00795F17" w:rsidRDefault="00715D1B" w:rsidP="0044393D">
            <w:pPr>
              <w:pStyle w:val="Teksttabelinaglowek"/>
              <w:rPr>
                <w:b/>
              </w:rPr>
            </w:pPr>
            <w:r w:rsidRPr="00795F17">
              <w:rPr>
                <w:b/>
              </w:rPr>
              <w:t>L</w:t>
            </w:r>
            <w:r w:rsidR="00A230D1" w:rsidRPr="00795F17">
              <w:rPr>
                <w:b/>
              </w:rPr>
              <w:t>iczba</w:t>
            </w:r>
            <w:r w:rsidRPr="00795F17">
              <w:rPr>
                <w:b/>
              </w:rPr>
              <w:t xml:space="preserve"> jcw</w:t>
            </w:r>
          </w:p>
        </w:tc>
        <w:tc>
          <w:tcPr>
            <w:tcW w:w="2433" w:type="dxa"/>
            <w:tcBorders>
              <w:top w:val="single" w:sz="4" w:space="0" w:color="auto"/>
              <w:left w:val="single" w:sz="4" w:space="0" w:color="auto"/>
              <w:bottom w:val="single" w:sz="4" w:space="0" w:color="auto"/>
              <w:right w:val="single" w:sz="4" w:space="0" w:color="auto"/>
            </w:tcBorders>
            <w:hideMark/>
          </w:tcPr>
          <w:p w14:paraId="4E4BB440" w14:textId="2369FF22" w:rsidR="00A230D1" w:rsidRPr="00795F17" w:rsidRDefault="00094DA7" w:rsidP="0044393D">
            <w:pPr>
              <w:pStyle w:val="Teksttabelinaglowek"/>
              <w:rPr>
                <w:b/>
              </w:rPr>
            </w:pPr>
            <w:r w:rsidRPr="00795F17">
              <w:rPr>
                <w:b/>
              </w:rPr>
              <w:t>Udział w</w:t>
            </w:r>
            <w:r w:rsidR="00A230D1" w:rsidRPr="00795F17">
              <w:rPr>
                <w:b/>
              </w:rPr>
              <w:t xml:space="preserve"> ogólnej liczb</w:t>
            </w:r>
            <w:r w:rsidR="0084194B" w:rsidRPr="00795F17">
              <w:rPr>
                <w:b/>
              </w:rPr>
              <w:t>ie</w:t>
            </w:r>
            <w:r w:rsidR="00A230D1" w:rsidRPr="00795F17">
              <w:rPr>
                <w:b/>
              </w:rPr>
              <w:t xml:space="preserve"> jcw</w:t>
            </w:r>
            <w:r w:rsidRPr="00795F17">
              <w:rPr>
                <w:b/>
              </w:rPr>
              <w:t xml:space="preserve"> (%)</w:t>
            </w:r>
          </w:p>
        </w:tc>
      </w:tr>
      <w:tr w:rsidR="001D01EA" w:rsidRPr="00795F17" w14:paraId="77170BE2"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72EF66E4" w14:textId="25F48E5D" w:rsidR="001D01EA" w:rsidRPr="00795F17" w:rsidRDefault="001D01EA" w:rsidP="001D01EA">
            <w:pPr>
              <w:pStyle w:val="Teksttabelisrodek"/>
            </w:pPr>
            <w:r w:rsidRPr="00795F17">
              <w:t>1.</w:t>
            </w:r>
          </w:p>
        </w:tc>
        <w:tc>
          <w:tcPr>
            <w:tcW w:w="2500" w:type="dxa"/>
            <w:vMerge w:val="restart"/>
            <w:tcBorders>
              <w:top w:val="single" w:sz="4" w:space="0" w:color="auto"/>
              <w:left w:val="single" w:sz="4" w:space="0" w:color="auto"/>
              <w:bottom w:val="single" w:sz="4" w:space="0" w:color="auto"/>
              <w:right w:val="single" w:sz="4" w:space="0" w:color="auto"/>
            </w:tcBorders>
            <w:hideMark/>
          </w:tcPr>
          <w:p w14:paraId="654B3774" w14:textId="0487FB34" w:rsidR="001D01EA" w:rsidRPr="00795F17" w:rsidRDefault="001D01EA" w:rsidP="001D01EA">
            <w:pPr>
              <w:pStyle w:val="Teksttabelilewy"/>
            </w:pPr>
            <w:r w:rsidRPr="00795F17">
              <w:t xml:space="preserve">Odroczenie terminu osiągnięcia celów środowiskowych ze względu na warunki naturalne mające wpływ na skuteczność </w:t>
            </w:r>
            <w:r w:rsidRPr="00795F17">
              <w:br/>
              <w:t xml:space="preserve">działań </w:t>
            </w:r>
            <w:r>
              <w:t>–</w:t>
            </w:r>
            <w:r w:rsidRPr="00795F17">
              <w:t xml:space="preserve"> art.</w:t>
            </w:r>
            <w:r>
              <w:t xml:space="preserve"> </w:t>
            </w:r>
            <w:r w:rsidRPr="00795F17">
              <w:t>4 ust. 4 lit. a(iii) RDW</w:t>
            </w:r>
          </w:p>
        </w:tc>
        <w:tc>
          <w:tcPr>
            <w:tcW w:w="1482" w:type="dxa"/>
            <w:tcBorders>
              <w:top w:val="single" w:sz="4" w:space="0" w:color="auto"/>
              <w:left w:val="single" w:sz="4" w:space="0" w:color="auto"/>
              <w:bottom w:val="single" w:sz="4" w:space="0" w:color="auto"/>
              <w:right w:val="single" w:sz="4" w:space="0" w:color="auto"/>
            </w:tcBorders>
            <w:hideMark/>
          </w:tcPr>
          <w:p w14:paraId="119B5C72" w14:textId="77777777" w:rsidR="001D01EA" w:rsidRPr="00795F17" w:rsidRDefault="001D01EA" w:rsidP="001D01EA">
            <w:pPr>
              <w:pStyle w:val="Teksttabelisrodek"/>
            </w:pPr>
            <w:r w:rsidRPr="00795F17">
              <w:t>RW</w:t>
            </w:r>
          </w:p>
        </w:tc>
        <w:tc>
          <w:tcPr>
            <w:tcW w:w="1937" w:type="dxa"/>
            <w:tcBorders>
              <w:top w:val="single" w:sz="4" w:space="0" w:color="auto"/>
              <w:left w:val="single" w:sz="4" w:space="0" w:color="auto"/>
              <w:bottom w:val="single" w:sz="4" w:space="0" w:color="auto"/>
              <w:right w:val="single" w:sz="4" w:space="0" w:color="auto"/>
            </w:tcBorders>
            <w:hideMark/>
          </w:tcPr>
          <w:p w14:paraId="10364C32" w14:textId="260586C3" w:rsidR="001D01EA" w:rsidRPr="001D01EA" w:rsidRDefault="001D01EA" w:rsidP="001D01EA">
            <w:pPr>
              <w:pStyle w:val="Teksttabelisrodek"/>
            </w:pPr>
            <w:r w:rsidRPr="001D01EA">
              <w:t>1011</w:t>
            </w:r>
          </w:p>
        </w:tc>
        <w:tc>
          <w:tcPr>
            <w:tcW w:w="2433" w:type="dxa"/>
            <w:tcBorders>
              <w:top w:val="single" w:sz="4" w:space="0" w:color="auto"/>
              <w:left w:val="single" w:sz="4" w:space="0" w:color="auto"/>
              <w:bottom w:val="single" w:sz="4" w:space="0" w:color="auto"/>
              <w:right w:val="single" w:sz="4" w:space="0" w:color="auto"/>
            </w:tcBorders>
            <w:hideMark/>
          </w:tcPr>
          <w:p w14:paraId="0E15D848" w14:textId="1AF3435A" w:rsidR="001D01EA" w:rsidRPr="001D01EA" w:rsidRDefault="001D01EA" w:rsidP="001D01EA">
            <w:pPr>
              <w:pStyle w:val="Teksttabelisrodek"/>
            </w:pPr>
            <w:r w:rsidRPr="001D01EA">
              <w:t>79,5</w:t>
            </w:r>
          </w:p>
        </w:tc>
      </w:tr>
      <w:tr w:rsidR="001D01EA" w:rsidRPr="00795F17" w14:paraId="7B854A40"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4A2FD31D" w14:textId="32064121" w:rsidR="001D01EA" w:rsidRPr="00795F17" w:rsidRDefault="001D01EA" w:rsidP="001D01EA">
            <w:pPr>
              <w:pStyle w:val="Teksttabelisrodek"/>
            </w:pPr>
            <w:r w:rsidRPr="00795F17">
              <w:t>2.</w:t>
            </w:r>
          </w:p>
        </w:tc>
        <w:tc>
          <w:tcPr>
            <w:tcW w:w="0" w:type="auto"/>
            <w:vMerge/>
            <w:tcBorders>
              <w:top w:val="single" w:sz="4" w:space="0" w:color="auto"/>
              <w:left w:val="single" w:sz="4" w:space="0" w:color="auto"/>
              <w:bottom w:val="single" w:sz="4" w:space="0" w:color="auto"/>
              <w:right w:val="single" w:sz="4" w:space="0" w:color="auto"/>
            </w:tcBorders>
            <w:hideMark/>
          </w:tcPr>
          <w:p w14:paraId="27C2DCAC" w14:textId="77777777" w:rsidR="001D01EA" w:rsidRPr="00795F17" w:rsidRDefault="001D01EA" w:rsidP="001D01EA">
            <w:pPr>
              <w:pStyle w:val="Teksttabelilewy"/>
            </w:pPr>
          </w:p>
        </w:tc>
        <w:tc>
          <w:tcPr>
            <w:tcW w:w="1482" w:type="dxa"/>
            <w:tcBorders>
              <w:top w:val="single" w:sz="4" w:space="0" w:color="auto"/>
              <w:left w:val="single" w:sz="4" w:space="0" w:color="auto"/>
              <w:bottom w:val="single" w:sz="4" w:space="0" w:color="auto"/>
              <w:right w:val="single" w:sz="4" w:space="0" w:color="auto"/>
            </w:tcBorders>
            <w:hideMark/>
          </w:tcPr>
          <w:p w14:paraId="799883DA" w14:textId="586454A3" w:rsidR="001D01EA" w:rsidRPr="00795F17" w:rsidRDefault="001D01EA" w:rsidP="001D01EA">
            <w:pPr>
              <w:pStyle w:val="Teksttabelisrodek"/>
            </w:pPr>
            <w:r w:rsidRPr="00795F17">
              <w:t>RWr</w:t>
            </w:r>
          </w:p>
        </w:tc>
        <w:tc>
          <w:tcPr>
            <w:tcW w:w="1937" w:type="dxa"/>
            <w:tcBorders>
              <w:top w:val="single" w:sz="4" w:space="0" w:color="auto"/>
              <w:left w:val="single" w:sz="4" w:space="0" w:color="auto"/>
              <w:bottom w:val="single" w:sz="4" w:space="0" w:color="auto"/>
              <w:right w:val="single" w:sz="4" w:space="0" w:color="auto"/>
            </w:tcBorders>
            <w:hideMark/>
          </w:tcPr>
          <w:p w14:paraId="6B074C70" w14:textId="14729D11" w:rsidR="001D01EA" w:rsidRPr="001D01EA" w:rsidRDefault="001D01EA" w:rsidP="001D01EA">
            <w:pPr>
              <w:pStyle w:val="Teksttabelisrodek"/>
            </w:pPr>
            <w:r w:rsidRPr="001D01EA">
              <w:t>18</w:t>
            </w:r>
          </w:p>
        </w:tc>
        <w:tc>
          <w:tcPr>
            <w:tcW w:w="2433" w:type="dxa"/>
            <w:tcBorders>
              <w:top w:val="single" w:sz="4" w:space="0" w:color="auto"/>
              <w:left w:val="single" w:sz="4" w:space="0" w:color="auto"/>
              <w:bottom w:val="single" w:sz="4" w:space="0" w:color="auto"/>
              <w:right w:val="single" w:sz="4" w:space="0" w:color="auto"/>
            </w:tcBorders>
            <w:hideMark/>
          </w:tcPr>
          <w:p w14:paraId="120C437A" w14:textId="01C4EDC9" w:rsidR="001D01EA" w:rsidRPr="001D01EA" w:rsidRDefault="001D01EA" w:rsidP="001D01EA">
            <w:pPr>
              <w:pStyle w:val="Teksttabelisrodek"/>
            </w:pPr>
            <w:r w:rsidRPr="001D01EA">
              <w:t>94,7</w:t>
            </w:r>
          </w:p>
        </w:tc>
      </w:tr>
      <w:tr w:rsidR="001D01EA" w:rsidRPr="00795F17" w14:paraId="53DC4C8F"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437E7C86" w14:textId="34FD636F" w:rsidR="001D01EA" w:rsidRPr="00795F17" w:rsidRDefault="001D01EA" w:rsidP="001D01EA">
            <w:pPr>
              <w:pStyle w:val="Teksttabelisrodek"/>
            </w:pPr>
            <w:r w:rsidRPr="00795F17">
              <w:t>3.</w:t>
            </w:r>
          </w:p>
        </w:tc>
        <w:tc>
          <w:tcPr>
            <w:tcW w:w="0" w:type="auto"/>
            <w:vMerge/>
            <w:tcBorders>
              <w:top w:val="single" w:sz="4" w:space="0" w:color="auto"/>
              <w:left w:val="single" w:sz="4" w:space="0" w:color="auto"/>
              <w:bottom w:val="single" w:sz="4" w:space="0" w:color="auto"/>
              <w:right w:val="single" w:sz="4" w:space="0" w:color="auto"/>
            </w:tcBorders>
            <w:hideMark/>
          </w:tcPr>
          <w:p w14:paraId="667C0382" w14:textId="77777777" w:rsidR="001D01EA" w:rsidRPr="00795F17" w:rsidRDefault="001D01EA" w:rsidP="001D01EA">
            <w:pPr>
              <w:pStyle w:val="Teksttabelilewy"/>
            </w:pPr>
          </w:p>
        </w:tc>
        <w:tc>
          <w:tcPr>
            <w:tcW w:w="1482" w:type="dxa"/>
            <w:tcBorders>
              <w:top w:val="single" w:sz="4" w:space="0" w:color="auto"/>
              <w:left w:val="single" w:sz="4" w:space="0" w:color="auto"/>
              <w:bottom w:val="single" w:sz="4" w:space="0" w:color="auto"/>
              <w:right w:val="single" w:sz="4" w:space="0" w:color="auto"/>
            </w:tcBorders>
            <w:hideMark/>
          </w:tcPr>
          <w:p w14:paraId="3E9F8278" w14:textId="77777777" w:rsidR="001D01EA" w:rsidRPr="00795F17" w:rsidRDefault="001D01EA" w:rsidP="001D01EA">
            <w:pPr>
              <w:pStyle w:val="Teksttabelisrodek"/>
            </w:pPr>
            <w:r w:rsidRPr="00795F17">
              <w:t>LW</w:t>
            </w:r>
          </w:p>
        </w:tc>
        <w:tc>
          <w:tcPr>
            <w:tcW w:w="1937" w:type="dxa"/>
            <w:tcBorders>
              <w:top w:val="single" w:sz="4" w:space="0" w:color="auto"/>
              <w:left w:val="single" w:sz="4" w:space="0" w:color="auto"/>
              <w:bottom w:val="single" w:sz="4" w:space="0" w:color="auto"/>
              <w:right w:val="single" w:sz="4" w:space="0" w:color="auto"/>
            </w:tcBorders>
            <w:hideMark/>
          </w:tcPr>
          <w:p w14:paraId="085D132F" w14:textId="5F629383" w:rsidR="001D01EA" w:rsidRPr="001D01EA" w:rsidRDefault="001D01EA" w:rsidP="001D01EA">
            <w:pPr>
              <w:pStyle w:val="Teksttabelisrodek"/>
            </w:pPr>
            <w:r w:rsidRPr="001D01EA">
              <w:t>28</w:t>
            </w:r>
            <w:r w:rsidR="001A2A3E">
              <w:t>9</w:t>
            </w:r>
          </w:p>
        </w:tc>
        <w:tc>
          <w:tcPr>
            <w:tcW w:w="2433" w:type="dxa"/>
            <w:tcBorders>
              <w:top w:val="single" w:sz="4" w:space="0" w:color="auto"/>
              <w:left w:val="single" w:sz="4" w:space="0" w:color="auto"/>
              <w:bottom w:val="single" w:sz="4" w:space="0" w:color="auto"/>
              <w:right w:val="single" w:sz="4" w:space="0" w:color="auto"/>
            </w:tcBorders>
            <w:hideMark/>
          </w:tcPr>
          <w:p w14:paraId="75B5A087" w14:textId="3662FB76" w:rsidR="001D01EA" w:rsidRPr="001D01EA" w:rsidRDefault="001D01EA" w:rsidP="001D01EA">
            <w:pPr>
              <w:pStyle w:val="Teksttabelisrodek"/>
            </w:pPr>
            <w:r w:rsidRPr="001D01EA">
              <w:t>67,4</w:t>
            </w:r>
          </w:p>
        </w:tc>
      </w:tr>
      <w:tr w:rsidR="001D01EA" w:rsidRPr="00795F17" w14:paraId="0EB94609"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4571EAFB" w14:textId="77DC67FF" w:rsidR="001D01EA" w:rsidRPr="00795F17" w:rsidRDefault="001D01EA" w:rsidP="001D01EA">
            <w:pPr>
              <w:pStyle w:val="Teksttabelisrodek"/>
            </w:pPr>
            <w:r w:rsidRPr="00795F17">
              <w:t>4.</w:t>
            </w:r>
          </w:p>
        </w:tc>
        <w:tc>
          <w:tcPr>
            <w:tcW w:w="0" w:type="auto"/>
            <w:vMerge/>
            <w:tcBorders>
              <w:top w:val="single" w:sz="4" w:space="0" w:color="auto"/>
              <w:left w:val="single" w:sz="4" w:space="0" w:color="auto"/>
              <w:bottom w:val="single" w:sz="4" w:space="0" w:color="auto"/>
              <w:right w:val="single" w:sz="4" w:space="0" w:color="auto"/>
            </w:tcBorders>
            <w:hideMark/>
          </w:tcPr>
          <w:p w14:paraId="3E5081A4" w14:textId="77777777" w:rsidR="001D01EA" w:rsidRPr="00795F17" w:rsidRDefault="001D01EA" w:rsidP="001D01EA">
            <w:pPr>
              <w:pStyle w:val="Teksttabelilewy"/>
            </w:pPr>
          </w:p>
        </w:tc>
        <w:tc>
          <w:tcPr>
            <w:tcW w:w="1482" w:type="dxa"/>
            <w:tcBorders>
              <w:top w:val="single" w:sz="4" w:space="0" w:color="auto"/>
              <w:left w:val="single" w:sz="4" w:space="0" w:color="auto"/>
              <w:bottom w:val="single" w:sz="4" w:space="0" w:color="auto"/>
              <w:right w:val="single" w:sz="4" w:space="0" w:color="auto"/>
            </w:tcBorders>
            <w:hideMark/>
          </w:tcPr>
          <w:p w14:paraId="318A3DFB" w14:textId="77777777" w:rsidR="001D01EA" w:rsidRPr="00795F17" w:rsidRDefault="001D01EA" w:rsidP="001D01EA">
            <w:pPr>
              <w:pStyle w:val="Teksttabelisrodek"/>
            </w:pPr>
            <w:r w:rsidRPr="00795F17">
              <w:t>TW</w:t>
            </w:r>
          </w:p>
        </w:tc>
        <w:tc>
          <w:tcPr>
            <w:tcW w:w="1937" w:type="dxa"/>
            <w:tcBorders>
              <w:top w:val="single" w:sz="4" w:space="0" w:color="auto"/>
              <w:left w:val="single" w:sz="4" w:space="0" w:color="auto"/>
              <w:bottom w:val="single" w:sz="4" w:space="0" w:color="auto"/>
              <w:right w:val="single" w:sz="4" w:space="0" w:color="auto"/>
            </w:tcBorders>
            <w:hideMark/>
          </w:tcPr>
          <w:p w14:paraId="1F789203" w14:textId="0A5B6215" w:rsidR="001D01EA" w:rsidRPr="001D01EA" w:rsidRDefault="001D01EA" w:rsidP="001D01EA">
            <w:pPr>
              <w:pStyle w:val="Teksttabelisrodek"/>
            </w:pPr>
            <w:r w:rsidRPr="001D01EA">
              <w:t>2</w:t>
            </w:r>
          </w:p>
        </w:tc>
        <w:tc>
          <w:tcPr>
            <w:tcW w:w="2433" w:type="dxa"/>
            <w:tcBorders>
              <w:top w:val="single" w:sz="4" w:space="0" w:color="auto"/>
              <w:left w:val="single" w:sz="4" w:space="0" w:color="auto"/>
              <w:bottom w:val="single" w:sz="4" w:space="0" w:color="auto"/>
              <w:right w:val="single" w:sz="4" w:space="0" w:color="auto"/>
            </w:tcBorders>
            <w:hideMark/>
          </w:tcPr>
          <w:p w14:paraId="6F865008" w14:textId="03674A5C" w:rsidR="001D01EA" w:rsidRPr="001D01EA" w:rsidRDefault="001D01EA" w:rsidP="001D01EA">
            <w:pPr>
              <w:pStyle w:val="Teksttabelisrodek"/>
            </w:pPr>
            <w:r w:rsidRPr="001D01EA">
              <w:t>100</w:t>
            </w:r>
          </w:p>
        </w:tc>
      </w:tr>
      <w:tr w:rsidR="001D01EA" w:rsidRPr="00795F17" w14:paraId="278BC239"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74C075F2" w14:textId="5D8E9733" w:rsidR="001D01EA" w:rsidRPr="00795F17" w:rsidRDefault="001D01EA" w:rsidP="001D01EA">
            <w:pPr>
              <w:pStyle w:val="Teksttabelisrodek"/>
            </w:pPr>
            <w:r w:rsidRPr="00795F17">
              <w:t>5.</w:t>
            </w:r>
          </w:p>
        </w:tc>
        <w:tc>
          <w:tcPr>
            <w:tcW w:w="0" w:type="auto"/>
            <w:vMerge/>
            <w:tcBorders>
              <w:top w:val="single" w:sz="4" w:space="0" w:color="auto"/>
              <w:left w:val="single" w:sz="4" w:space="0" w:color="auto"/>
              <w:bottom w:val="single" w:sz="4" w:space="0" w:color="auto"/>
              <w:right w:val="single" w:sz="4" w:space="0" w:color="auto"/>
            </w:tcBorders>
            <w:hideMark/>
          </w:tcPr>
          <w:p w14:paraId="1679CB57" w14:textId="77777777" w:rsidR="001D01EA" w:rsidRPr="00795F17" w:rsidRDefault="001D01EA" w:rsidP="001D01EA">
            <w:pPr>
              <w:pStyle w:val="Teksttabelilewy"/>
            </w:pPr>
          </w:p>
        </w:tc>
        <w:tc>
          <w:tcPr>
            <w:tcW w:w="1482" w:type="dxa"/>
            <w:tcBorders>
              <w:top w:val="single" w:sz="4" w:space="0" w:color="auto"/>
              <w:left w:val="single" w:sz="4" w:space="0" w:color="auto"/>
              <w:bottom w:val="single" w:sz="4" w:space="0" w:color="auto"/>
              <w:right w:val="single" w:sz="4" w:space="0" w:color="auto"/>
            </w:tcBorders>
            <w:hideMark/>
          </w:tcPr>
          <w:p w14:paraId="597A76FC" w14:textId="77777777" w:rsidR="001D01EA" w:rsidRPr="00795F17" w:rsidRDefault="001D01EA" w:rsidP="001D01EA">
            <w:pPr>
              <w:pStyle w:val="Teksttabelisrodek"/>
            </w:pPr>
            <w:r w:rsidRPr="00795F17">
              <w:t>CW</w:t>
            </w:r>
          </w:p>
        </w:tc>
        <w:tc>
          <w:tcPr>
            <w:tcW w:w="1937" w:type="dxa"/>
            <w:tcBorders>
              <w:top w:val="single" w:sz="4" w:space="0" w:color="auto"/>
              <w:left w:val="single" w:sz="4" w:space="0" w:color="auto"/>
              <w:bottom w:val="single" w:sz="4" w:space="0" w:color="auto"/>
              <w:right w:val="single" w:sz="4" w:space="0" w:color="auto"/>
            </w:tcBorders>
            <w:hideMark/>
          </w:tcPr>
          <w:p w14:paraId="4A338C18" w14:textId="079ADC17" w:rsidR="001D01EA" w:rsidRPr="001D01EA" w:rsidRDefault="001D01EA" w:rsidP="001D01EA">
            <w:pPr>
              <w:pStyle w:val="Teksttabelisrodek"/>
            </w:pPr>
            <w:r w:rsidRPr="001D01EA">
              <w:t>2</w:t>
            </w:r>
          </w:p>
        </w:tc>
        <w:tc>
          <w:tcPr>
            <w:tcW w:w="2433" w:type="dxa"/>
            <w:tcBorders>
              <w:top w:val="single" w:sz="4" w:space="0" w:color="auto"/>
              <w:left w:val="single" w:sz="4" w:space="0" w:color="auto"/>
              <w:bottom w:val="single" w:sz="4" w:space="0" w:color="auto"/>
              <w:right w:val="single" w:sz="4" w:space="0" w:color="auto"/>
            </w:tcBorders>
            <w:hideMark/>
          </w:tcPr>
          <w:p w14:paraId="369259CC" w14:textId="470F241A" w:rsidR="001D01EA" w:rsidRPr="001D01EA" w:rsidRDefault="001D01EA" w:rsidP="001D01EA">
            <w:pPr>
              <w:pStyle w:val="Teksttabelisrodek"/>
            </w:pPr>
            <w:r w:rsidRPr="001D01EA">
              <w:t>100</w:t>
            </w:r>
          </w:p>
        </w:tc>
      </w:tr>
      <w:tr w:rsidR="001D01EA" w:rsidRPr="00795F17" w14:paraId="23DE12AE"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37A6D9C0" w14:textId="424B5937" w:rsidR="001D01EA" w:rsidRPr="00795F17" w:rsidRDefault="001D01EA" w:rsidP="001D01EA">
            <w:pPr>
              <w:pStyle w:val="Teksttabelisrodek"/>
            </w:pPr>
            <w:r w:rsidRPr="00795F17">
              <w:t>6.</w:t>
            </w:r>
          </w:p>
        </w:tc>
        <w:tc>
          <w:tcPr>
            <w:tcW w:w="2500" w:type="dxa"/>
            <w:vMerge w:val="restart"/>
            <w:tcBorders>
              <w:top w:val="single" w:sz="4" w:space="0" w:color="auto"/>
              <w:left w:val="single" w:sz="4" w:space="0" w:color="auto"/>
              <w:bottom w:val="single" w:sz="4" w:space="0" w:color="auto"/>
              <w:right w:val="single" w:sz="4" w:space="0" w:color="auto"/>
            </w:tcBorders>
            <w:hideMark/>
          </w:tcPr>
          <w:p w14:paraId="16FC7AD0" w14:textId="702258AE" w:rsidR="001D01EA" w:rsidRPr="00795F17" w:rsidRDefault="001D01EA" w:rsidP="001D01EA">
            <w:pPr>
              <w:pStyle w:val="Teksttabelilewy"/>
            </w:pPr>
            <w:r w:rsidRPr="00795F17">
              <w:t xml:space="preserve">Odroczenie terminu osiągnięcia celów środowiskowych ze względu na możliwości techniczne i/lub nieproporcjonalne koszty </w:t>
            </w:r>
            <w:r>
              <w:t>–</w:t>
            </w:r>
            <w:r w:rsidRPr="00795F17">
              <w:t xml:space="preserve"> art.</w:t>
            </w:r>
            <w:r>
              <w:t xml:space="preserve"> </w:t>
            </w:r>
            <w:r w:rsidRPr="00795F17">
              <w:t>4 ust. 4 lit. a(i-ii) RDW</w:t>
            </w:r>
          </w:p>
        </w:tc>
        <w:tc>
          <w:tcPr>
            <w:tcW w:w="1482" w:type="dxa"/>
            <w:tcBorders>
              <w:top w:val="single" w:sz="4" w:space="0" w:color="auto"/>
              <w:left w:val="single" w:sz="4" w:space="0" w:color="auto"/>
              <w:bottom w:val="single" w:sz="4" w:space="0" w:color="auto"/>
              <w:right w:val="single" w:sz="4" w:space="0" w:color="auto"/>
            </w:tcBorders>
            <w:hideMark/>
          </w:tcPr>
          <w:p w14:paraId="6F002BCA" w14:textId="77777777" w:rsidR="001D01EA" w:rsidRPr="00795F17" w:rsidRDefault="001D01EA" w:rsidP="001D01EA">
            <w:pPr>
              <w:pStyle w:val="Teksttabelisrodek"/>
            </w:pPr>
            <w:r w:rsidRPr="00795F17">
              <w:t>RW</w:t>
            </w:r>
          </w:p>
        </w:tc>
        <w:tc>
          <w:tcPr>
            <w:tcW w:w="1937" w:type="dxa"/>
            <w:tcBorders>
              <w:top w:val="single" w:sz="4" w:space="0" w:color="auto"/>
              <w:left w:val="single" w:sz="4" w:space="0" w:color="auto"/>
              <w:bottom w:val="single" w:sz="4" w:space="0" w:color="auto"/>
              <w:right w:val="single" w:sz="4" w:space="0" w:color="auto"/>
            </w:tcBorders>
            <w:hideMark/>
          </w:tcPr>
          <w:p w14:paraId="749CE75B" w14:textId="41436616" w:rsidR="001D01EA" w:rsidRPr="001D01EA" w:rsidRDefault="001D01EA" w:rsidP="001D01EA">
            <w:pPr>
              <w:pStyle w:val="Teksttabelisrodek"/>
            </w:pPr>
            <w:r w:rsidRPr="001D01EA">
              <w:t>214</w:t>
            </w:r>
          </w:p>
        </w:tc>
        <w:tc>
          <w:tcPr>
            <w:tcW w:w="2433" w:type="dxa"/>
            <w:tcBorders>
              <w:top w:val="single" w:sz="4" w:space="0" w:color="auto"/>
              <w:left w:val="single" w:sz="4" w:space="0" w:color="auto"/>
              <w:bottom w:val="single" w:sz="4" w:space="0" w:color="auto"/>
              <w:right w:val="single" w:sz="4" w:space="0" w:color="auto"/>
            </w:tcBorders>
            <w:hideMark/>
          </w:tcPr>
          <w:p w14:paraId="42647B61" w14:textId="721CE8E4" w:rsidR="001D01EA" w:rsidRPr="001D01EA" w:rsidRDefault="001D01EA" w:rsidP="001D01EA">
            <w:pPr>
              <w:pStyle w:val="Teksttabelisrodek"/>
            </w:pPr>
            <w:r w:rsidRPr="001D01EA">
              <w:t>16,8</w:t>
            </w:r>
          </w:p>
        </w:tc>
      </w:tr>
      <w:tr w:rsidR="001D01EA" w:rsidRPr="00795F17" w14:paraId="483FED4E"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197F59E8" w14:textId="5FAA7D14" w:rsidR="001D01EA" w:rsidRPr="00795F17" w:rsidRDefault="001D01EA" w:rsidP="001D01EA">
            <w:pPr>
              <w:pStyle w:val="Teksttabelisrodek"/>
            </w:pPr>
            <w:r w:rsidRPr="00795F17">
              <w:t>7.</w:t>
            </w:r>
          </w:p>
        </w:tc>
        <w:tc>
          <w:tcPr>
            <w:tcW w:w="0" w:type="auto"/>
            <w:vMerge/>
            <w:tcBorders>
              <w:top w:val="single" w:sz="4" w:space="0" w:color="auto"/>
              <w:left w:val="single" w:sz="4" w:space="0" w:color="auto"/>
              <w:bottom w:val="single" w:sz="4" w:space="0" w:color="auto"/>
              <w:right w:val="single" w:sz="4" w:space="0" w:color="auto"/>
            </w:tcBorders>
            <w:hideMark/>
          </w:tcPr>
          <w:p w14:paraId="45A8D1B4" w14:textId="77777777" w:rsidR="001D01EA" w:rsidRPr="00795F17" w:rsidRDefault="001D01EA" w:rsidP="001D01EA">
            <w:pPr>
              <w:pStyle w:val="Teksttabelilewy"/>
            </w:pPr>
          </w:p>
        </w:tc>
        <w:tc>
          <w:tcPr>
            <w:tcW w:w="1482" w:type="dxa"/>
            <w:tcBorders>
              <w:top w:val="single" w:sz="4" w:space="0" w:color="auto"/>
              <w:left w:val="single" w:sz="4" w:space="0" w:color="auto"/>
              <w:bottom w:val="single" w:sz="4" w:space="0" w:color="auto"/>
              <w:right w:val="single" w:sz="4" w:space="0" w:color="auto"/>
            </w:tcBorders>
            <w:hideMark/>
          </w:tcPr>
          <w:p w14:paraId="7881B79C" w14:textId="5C2AC8B2" w:rsidR="001D01EA" w:rsidRPr="00795F17" w:rsidRDefault="001D01EA" w:rsidP="001D01EA">
            <w:pPr>
              <w:pStyle w:val="Teksttabelisrodek"/>
            </w:pPr>
            <w:r w:rsidRPr="00795F17">
              <w:t>RWr</w:t>
            </w:r>
          </w:p>
        </w:tc>
        <w:tc>
          <w:tcPr>
            <w:tcW w:w="1937" w:type="dxa"/>
            <w:tcBorders>
              <w:top w:val="single" w:sz="4" w:space="0" w:color="auto"/>
              <w:left w:val="single" w:sz="4" w:space="0" w:color="auto"/>
              <w:bottom w:val="single" w:sz="4" w:space="0" w:color="auto"/>
              <w:right w:val="single" w:sz="4" w:space="0" w:color="auto"/>
            </w:tcBorders>
            <w:hideMark/>
          </w:tcPr>
          <w:p w14:paraId="236DD7FB" w14:textId="0045716C" w:rsidR="001D01EA" w:rsidRPr="001D01EA" w:rsidRDefault="001D01EA" w:rsidP="001D01EA">
            <w:pPr>
              <w:pStyle w:val="Teksttabelisrodek"/>
            </w:pPr>
            <w:r w:rsidRPr="001D01EA">
              <w:t>8</w:t>
            </w:r>
          </w:p>
        </w:tc>
        <w:tc>
          <w:tcPr>
            <w:tcW w:w="2433" w:type="dxa"/>
            <w:tcBorders>
              <w:top w:val="single" w:sz="4" w:space="0" w:color="auto"/>
              <w:left w:val="single" w:sz="4" w:space="0" w:color="auto"/>
              <w:bottom w:val="single" w:sz="4" w:space="0" w:color="auto"/>
              <w:right w:val="single" w:sz="4" w:space="0" w:color="auto"/>
            </w:tcBorders>
            <w:hideMark/>
          </w:tcPr>
          <w:p w14:paraId="480378D9" w14:textId="057BA972" w:rsidR="001D01EA" w:rsidRPr="001D01EA" w:rsidRDefault="001D01EA" w:rsidP="001D01EA">
            <w:pPr>
              <w:pStyle w:val="Teksttabelisrodek"/>
            </w:pPr>
            <w:r w:rsidRPr="001D01EA">
              <w:t>42,1</w:t>
            </w:r>
          </w:p>
        </w:tc>
      </w:tr>
      <w:tr w:rsidR="001D01EA" w:rsidRPr="00795F17" w14:paraId="50BDCB7A"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577FA652" w14:textId="2A8D49E6" w:rsidR="001D01EA" w:rsidRPr="00795F17" w:rsidRDefault="001D01EA" w:rsidP="001D01EA">
            <w:pPr>
              <w:pStyle w:val="Teksttabelisrodek"/>
            </w:pPr>
            <w:r w:rsidRPr="00795F17">
              <w:t>8.</w:t>
            </w:r>
          </w:p>
        </w:tc>
        <w:tc>
          <w:tcPr>
            <w:tcW w:w="0" w:type="auto"/>
            <w:vMerge/>
            <w:tcBorders>
              <w:top w:val="single" w:sz="4" w:space="0" w:color="auto"/>
              <w:left w:val="single" w:sz="4" w:space="0" w:color="auto"/>
              <w:bottom w:val="single" w:sz="4" w:space="0" w:color="auto"/>
              <w:right w:val="single" w:sz="4" w:space="0" w:color="auto"/>
            </w:tcBorders>
            <w:hideMark/>
          </w:tcPr>
          <w:p w14:paraId="571C8196" w14:textId="77777777" w:rsidR="001D01EA" w:rsidRPr="00795F17" w:rsidRDefault="001D01EA" w:rsidP="001D01EA">
            <w:pPr>
              <w:pStyle w:val="Teksttabelilewy"/>
            </w:pPr>
          </w:p>
        </w:tc>
        <w:tc>
          <w:tcPr>
            <w:tcW w:w="1482" w:type="dxa"/>
            <w:tcBorders>
              <w:top w:val="single" w:sz="4" w:space="0" w:color="auto"/>
              <w:left w:val="single" w:sz="4" w:space="0" w:color="auto"/>
              <w:bottom w:val="single" w:sz="4" w:space="0" w:color="auto"/>
              <w:right w:val="single" w:sz="4" w:space="0" w:color="auto"/>
            </w:tcBorders>
            <w:hideMark/>
          </w:tcPr>
          <w:p w14:paraId="7BA4439C" w14:textId="77777777" w:rsidR="001D01EA" w:rsidRPr="00795F17" w:rsidRDefault="001D01EA" w:rsidP="001D01EA">
            <w:pPr>
              <w:pStyle w:val="Teksttabelisrodek"/>
            </w:pPr>
            <w:r w:rsidRPr="00795F17">
              <w:t>LW</w:t>
            </w:r>
          </w:p>
        </w:tc>
        <w:tc>
          <w:tcPr>
            <w:tcW w:w="1937" w:type="dxa"/>
            <w:tcBorders>
              <w:top w:val="single" w:sz="4" w:space="0" w:color="auto"/>
              <w:left w:val="single" w:sz="4" w:space="0" w:color="auto"/>
              <w:bottom w:val="single" w:sz="4" w:space="0" w:color="auto"/>
              <w:right w:val="single" w:sz="4" w:space="0" w:color="auto"/>
            </w:tcBorders>
            <w:hideMark/>
          </w:tcPr>
          <w:p w14:paraId="67C2BBFE" w14:textId="10874E4B" w:rsidR="001D01EA" w:rsidRPr="001D01EA" w:rsidRDefault="001D01EA" w:rsidP="001D01EA">
            <w:pPr>
              <w:pStyle w:val="Teksttabelisrodek"/>
            </w:pPr>
            <w:r w:rsidRPr="001D01EA">
              <w:t>117</w:t>
            </w:r>
          </w:p>
        </w:tc>
        <w:tc>
          <w:tcPr>
            <w:tcW w:w="2433" w:type="dxa"/>
            <w:tcBorders>
              <w:top w:val="single" w:sz="4" w:space="0" w:color="auto"/>
              <w:left w:val="single" w:sz="4" w:space="0" w:color="auto"/>
              <w:bottom w:val="single" w:sz="4" w:space="0" w:color="auto"/>
              <w:right w:val="single" w:sz="4" w:space="0" w:color="auto"/>
            </w:tcBorders>
            <w:hideMark/>
          </w:tcPr>
          <w:p w14:paraId="34B2F716" w14:textId="14665530" w:rsidR="001D01EA" w:rsidRPr="001D01EA" w:rsidRDefault="001D01EA" w:rsidP="001D01EA">
            <w:pPr>
              <w:pStyle w:val="Teksttabelisrodek"/>
            </w:pPr>
            <w:r w:rsidRPr="001D01EA">
              <w:t>27,4</w:t>
            </w:r>
          </w:p>
        </w:tc>
      </w:tr>
      <w:tr w:rsidR="001D01EA" w:rsidRPr="00795F17" w14:paraId="599A2106"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1C33E1E9" w14:textId="0958CA09" w:rsidR="001D01EA" w:rsidRPr="00795F17" w:rsidRDefault="001D01EA" w:rsidP="001D01EA">
            <w:pPr>
              <w:pStyle w:val="Teksttabelisrodek"/>
            </w:pPr>
            <w:r w:rsidRPr="00795F17">
              <w:t>9.</w:t>
            </w:r>
          </w:p>
        </w:tc>
        <w:tc>
          <w:tcPr>
            <w:tcW w:w="0" w:type="auto"/>
            <w:vMerge/>
            <w:tcBorders>
              <w:top w:val="single" w:sz="4" w:space="0" w:color="auto"/>
              <w:left w:val="single" w:sz="4" w:space="0" w:color="auto"/>
              <w:bottom w:val="single" w:sz="4" w:space="0" w:color="auto"/>
              <w:right w:val="single" w:sz="4" w:space="0" w:color="auto"/>
            </w:tcBorders>
            <w:hideMark/>
          </w:tcPr>
          <w:p w14:paraId="0D6E7247" w14:textId="77777777" w:rsidR="001D01EA" w:rsidRPr="00795F17" w:rsidRDefault="001D01EA" w:rsidP="001D01EA">
            <w:pPr>
              <w:pStyle w:val="Teksttabelilewy"/>
            </w:pPr>
          </w:p>
        </w:tc>
        <w:tc>
          <w:tcPr>
            <w:tcW w:w="1482" w:type="dxa"/>
            <w:tcBorders>
              <w:top w:val="single" w:sz="4" w:space="0" w:color="auto"/>
              <w:left w:val="single" w:sz="4" w:space="0" w:color="auto"/>
              <w:bottom w:val="single" w:sz="4" w:space="0" w:color="auto"/>
              <w:right w:val="single" w:sz="4" w:space="0" w:color="auto"/>
            </w:tcBorders>
            <w:hideMark/>
          </w:tcPr>
          <w:p w14:paraId="6122BDF8" w14:textId="77777777" w:rsidR="001D01EA" w:rsidRPr="00795F17" w:rsidRDefault="001D01EA" w:rsidP="001D01EA">
            <w:pPr>
              <w:pStyle w:val="Teksttabelisrodek"/>
            </w:pPr>
            <w:r w:rsidRPr="00795F17">
              <w:t>TW</w:t>
            </w:r>
          </w:p>
        </w:tc>
        <w:tc>
          <w:tcPr>
            <w:tcW w:w="1937" w:type="dxa"/>
            <w:tcBorders>
              <w:top w:val="single" w:sz="4" w:space="0" w:color="auto"/>
              <w:left w:val="single" w:sz="4" w:space="0" w:color="auto"/>
              <w:bottom w:val="single" w:sz="4" w:space="0" w:color="auto"/>
              <w:right w:val="single" w:sz="4" w:space="0" w:color="auto"/>
            </w:tcBorders>
            <w:hideMark/>
          </w:tcPr>
          <w:p w14:paraId="0CDECB6F" w14:textId="634F9D2D" w:rsidR="001D01EA" w:rsidRPr="001D01EA" w:rsidRDefault="001D01EA" w:rsidP="001D01EA">
            <w:pPr>
              <w:pStyle w:val="Teksttabelisrodek"/>
            </w:pPr>
            <w:r w:rsidRPr="001D01EA">
              <w:t>2</w:t>
            </w:r>
          </w:p>
        </w:tc>
        <w:tc>
          <w:tcPr>
            <w:tcW w:w="2433" w:type="dxa"/>
            <w:tcBorders>
              <w:top w:val="single" w:sz="4" w:space="0" w:color="auto"/>
              <w:left w:val="single" w:sz="4" w:space="0" w:color="auto"/>
              <w:bottom w:val="single" w:sz="4" w:space="0" w:color="auto"/>
              <w:right w:val="single" w:sz="4" w:space="0" w:color="auto"/>
            </w:tcBorders>
            <w:hideMark/>
          </w:tcPr>
          <w:p w14:paraId="5A2F09DC" w14:textId="3EE26C74" w:rsidR="001D01EA" w:rsidRPr="001D01EA" w:rsidRDefault="001D01EA" w:rsidP="001D01EA">
            <w:pPr>
              <w:pStyle w:val="Teksttabelisrodek"/>
            </w:pPr>
            <w:r w:rsidRPr="001D01EA">
              <w:t>100</w:t>
            </w:r>
          </w:p>
        </w:tc>
      </w:tr>
      <w:tr w:rsidR="001D01EA" w:rsidRPr="00795F17" w14:paraId="33C78673"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08F1D6CC" w14:textId="2E4B67B4" w:rsidR="001D01EA" w:rsidRPr="00795F17" w:rsidRDefault="001D01EA" w:rsidP="001D01EA">
            <w:pPr>
              <w:pStyle w:val="Teksttabelisrodek"/>
            </w:pPr>
            <w:r w:rsidRPr="00795F17">
              <w:t>10.</w:t>
            </w:r>
          </w:p>
        </w:tc>
        <w:tc>
          <w:tcPr>
            <w:tcW w:w="0" w:type="auto"/>
            <w:vMerge/>
            <w:tcBorders>
              <w:top w:val="single" w:sz="4" w:space="0" w:color="auto"/>
              <w:left w:val="single" w:sz="4" w:space="0" w:color="auto"/>
              <w:bottom w:val="single" w:sz="4" w:space="0" w:color="auto"/>
              <w:right w:val="single" w:sz="4" w:space="0" w:color="auto"/>
            </w:tcBorders>
            <w:hideMark/>
          </w:tcPr>
          <w:p w14:paraId="40CA0E00" w14:textId="77777777" w:rsidR="001D01EA" w:rsidRPr="00795F17" w:rsidRDefault="001D01EA" w:rsidP="001D01EA">
            <w:pPr>
              <w:pStyle w:val="Teksttabelilewy"/>
            </w:pPr>
          </w:p>
        </w:tc>
        <w:tc>
          <w:tcPr>
            <w:tcW w:w="1482" w:type="dxa"/>
            <w:tcBorders>
              <w:top w:val="single" w:sz="4" w:space="0" w:color="auto"/>
              <w:left w:val="single" w:sz="4" w:space="0" w:color="auto"/>
              <w:bottom w:val="single" w:sz="4" w:space="0" w:color="auto"/>
              <w:right w:val="single" w:sz="4" w:space="0" w:color="auto"/>
            </w:tcBorders>
            <w:hideMark/>
          </w:tcPr>
          <w:p w14:paraId="2287F131" w14:textId="77777777" w:rsidR="001D01EA" w:rsidRPr="00795F17" w:rsidRDefault="001D01EA" w:rsidP="001D01EA">
            <w:pPr>
              <w:pStyle w:val="Teksttabelisrodek"/>
            </w:pPr>
            <w:r w:rsidRPr="00795F17">
              <w:t>CW</w:t>
            </w:r>
          </w:p>
        </w:tc>
        <w:tc>
          <w:tcPr>
            <w:tcW w:w="1937" w:type="dxa"/>
            <w:tcBorders>
              <w:top w:val="single" w:sz="4" w:space="0" w:color="auto"/>
              <w:left w:val="single" w:sz="4" w:space="0" w:color="auto"/>
              <w:bottom w:val="single" w:sz="4" w:space="0" w:color="auto"/>
              <w:right w:val="single" w:sz="4" w:space="0" w:color="auto"/>
            </w:tcBorders>
            <w:hideMark/>
          </w:tcPr>
          <w:p w14:paraId="543C9A73" w14:textId="0D7E8EBF" w:rsidR="001D01EA" w:rsidRPr="001D01EA" w:rsidRDefault="001D01EA" w:rsidP="001D01EA">
            <w:pPr>
              <w:pStyle w:val="Teksttabelisrodek"/>
            </w:pPr>
            <w:r w:rsidRPr="001D01EA">
              <w:t>2</w:t>
            </w:r>
          </w:p>
        </w:tc>
        <w:tc>
          <w:tcPr>
            <w:tcW w:w="2433" w:type="dxa"/>
            <w:tcBorders>
              <w:top w:val="single" w:sz="4" w:space="0" w:color="auto"/>
              <w:left w:val="single" w:sz="4" w:space="0" w:color="auto"/>
              <w:bottom w:val="single" w:sz="4" w:space="0" w:color="auto"/>
              <w:right w:val="single" w:sz="4" w:space="0" w:color="auto"/>
            </w:tcBorders>
            <w:hideMark/>
          </w:tcPr>
          <w:p w14:paraId="33FE09B7" w14:textId="17C0933B" w:rsidR="001D01EA" w:rsidRPr="001D01EA" w:rsidRDefault="001D01EA" w:rsidP="001D01EA">
            <w:pPr>
              <w:pStyle w:val="Teksttabelisrodek"/>
            </w:pPr>
            <w:r w:rsidRPr="001D01EA">
              <w:t>100</w:t>
            </w:r>
          </w:p>
        </w:tc>
      </w:tr>
      <w:tr w:rsidR="001D01EA" w:rsidRPr="00795F17" w14:paraId="54D77936"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087DC2DF" w14:textId="1DD63338" w:rsidR="001D01EA" w:rsidRPr="00795F17" w:rsidRDefault="001D01EA" w:rsidP="001D01EA">
            <w:pPr>
              <w:pStyle w:val="Teksttabelisrodek"/>
            </w:pPr>
            <w:r w:rsidRPr="00795F17">
              <w:t>11.</w:t>
            </w:r>
          </w:p>
        </w:tc>
        <w:tc>
          <w:tcPr>
            <w:tcW w:w="2500" w:type="dxa"/>
            <w:vMerge w:val="restart"/>
            <w:tcBorders>
              <w:top w:val="single" w:sz="4" w:space="0" w:color="auto"/>
              <w:left w:val="single" w:sz="4" w:space="0" w:color="auto"/>
              <w:bottom w:val="single" w:sz="4" w:space="0" w:color="auto"/>
              <w:right w:val="single" w:sz="4" w:space="0" w:color="auto"/>
            </w:tcBorders>
            <w:hideMark/>
          </w:tcPr>
          <w:p w14:paraId="5BA9975D" w14:textId="4C6977F0" w:rsidR="001D01EA" w:rsidRPr="00795F17" w:rsidRDefault="001D01EA" w:rsidP="001D01EA">
            <w:pPr>
              <w:pStyle w:val="Teksttabelilewy"/>
            </w:pPr>
            <w:r w:rsidRPr="00795F17">
              <w:t>Mniej rygorystyczne cele środowiskowe ze względu na warunki naturalne - art.4 ust. 5 RDW</w:t>
            </w:r>
          </w:p>
        </w:tc>
        <w:tc>
          <w:tcPr>
            <w:tcW w:w="1482" w:type="dxa"/>
            <w:tcBorders>
              <w:top w:val="single" w:sz="4" w:space="0" w:color="auto"/>
              <w:left w:val="single" w:sz="4" w:space="0" w:color="auto"/>
              <w:bottom w:val="single" w:sz="4" w:space="0" w:color="auto"/>
              <w:right w:val="single" w:sz="4" w:space="0" w:color="auto"/>
            </w:tcBorders>
            <w:hideMark/>
          </w:tcPr>
          <w:p w14:paraId="1420A706" w14:textId="77777777" w:rsidR="001D01EA" w:rsidRPr="00795F17" w:rsidRDefault="001D01EA" w:rsidP="001D01EA">
            <w:pPr>
              <w:pStyle w:val="Teksttabelisrodek"/>
            </w:pPr>
            <w:r w:rsidRPr="00795F17">
              <w:t>RW</w:t>
            </w:r>
          </w:p>
        </w:tc>
        <w:tc>
          <w:tcPr>
            <w:tcW w:w="1937" w:type="dxa"/>
            <w:tcBorders>
              <w:top w:val="single" w:sz="4" w:space="0" w:color="auto"/>
              <w:left w:val="single" w:sz="4" w:space="0" w:color="auto"/>
              <w:bottom w:val="single" w:sz="4" w:space="0" w:color="auto"/>
              <w:right w:val="single" w:sz="4" w:space="0" w:color="auto"/>
            </w:tcBorders>
            <w:hideMark/>
          </w:tcPr>
          <w:p w14:paraId="43B45BA9" w14:textId="26FC6981" w:rsidR="001D01EA" w:rsidRPr="001D01EA" w:rsidRDefault="001D01EA" w:rsidP="001D01EA">
            <w:pPr>
              <w:pStyle w:val="Teksttabelisrodek"/>
            </w:pPr>
            <w:r w:rsidRPr="001D01EA">
              <w:t>213</w:t>
            </w:r>
          </w:p>
        </w:tc>
        <w:tc>
          <w:tcPr>
            <w:tcW w:w="2433" w:type="dxa"/>
            <w:tcBorders>
              <w:top w:val="single" w:sz="4" w:space="0" w:color="auto"/>
              <w:left w:val="single" w:sz="4" w:space="0" w:color="auto"/>
              <w:bottom w:val="single" w:sz="4" w:space="0" w:color="auto"/>
              <w:right w:val="single" w:sz="4" w:space="0" w:color="auto"/>
            </w:tcBorders>
            <w:hideMark/>
          </w:tcPr>
          <w:p w14:paraId="792D2AFF" w14:textId="06DC0F09" w:rsidR="001D01EA" w:rsidRPr="001D01EA" w:rsidRDefault="001D01EA" w:rsidP="001D01EA">
            <w:pPr>
              <w:pStyle w:val="Teksttabelisrodek"/>
            </w:pPr>
            <w:r w:rsidRPr="001D01EA">
              <w:t>16,7</w:t>
            </w:r>
          </w:p>
        </w:tc>
      </w:tr>
      <w:tr w:rsidR="001D01EA" w:rsidRPr="00795F17" w14:paraId="0A274604"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69520121" w14:textId="3D77A21E" w:rsidR="001D01EA" w:rsidRPr="00795F17" w:rsidRDefault="001D01EA" w:rsidP="001D01EA">
            <w:pPr>
              <w:pStyle w:val="Teksttabelisrodek"/>
            </w:pPr>
            <w:r w:rsidRPr="00795F17">
              <w:t>12.</w:t>
            </w:r>
          </w:p>
        </w:tc>
        <w:tc>
          <w:tcPr>
            <w:tcW w:w="0" w:type="auto"/>
            <w:vMerge/>
            <w:tcBorders>
              <w:top w:val="single" w:sz="4" w:space="0" w:color="auto"/>
              <w:left w:val="single" w:sz="4" w:space="0" w:color="auto"/>
              <w:bottom w:val="single" w:sz="4" w:space="0" w:color="auto"/>
              <w:right w:val="single" w:sz="4" w:space="0" w:color="auto"/>
            </w:tcBorders>
            <w:hideMark/>
          </w:tcPr>
          <w:p w14:paraId="0A023A24" w14:textId="77777777" w:rsidR="001D01EA" w:rsidRPr="00795F17" w:rsidRDefault="001D01EA" w:rsidP="001D01EA">
            <w:pPr>
              <w:pStyle w:val="Teksttabelilewy"/>
            </w:pPr>
          </w:p>
        </w:tc>
        <w:tc>
          <w:tcPr>
            <w:tcW w:w="1482" w:type="dxa"/>
            <w:tcBorders>
              <w:top w:val="single" w:sz="4" w:space="0" w:color="auto"/>
              <w:left w:val="single" w:sz="4" w:space="0" w:color="auto"/>
              <w:bottom w:val="single" w:sz="4" w:space="0" w:color="auto"/>
              <w:right w:val="single" w:sz="4" w:space="0" w:color="auto"/>
            </w:tcBorders>
            <w:hideMark/>
          </w:tcPr>
          <w:p w14:paraId="127D20D1" w14:textId="4FC38744" w:rsidR="001D01EA" w:rsidRPr="00795F17" w:rsidRDefault="001D01EA" w:rsidP="001D01EA">
            <w:pPr>
              <w:pStyle w:val="Teksttabelisrodek"/>
            </w:pPr>
            <w:r w:rsidRPr="00795F17">
              <w:t>RWr</w:t>
            </w:r>
          </w:p>
        </w:tc>
        <w:tc>
          <w:tcPr>
            <w:tcW w:w="1937" w:type="dxa"/>
            <w:tcBorders>
              <w:top w:val="single" w:sz="4" w:space="0" w:color="auto"/>
              <w:left w:val="single" w:sz="4" w:space="0" w:color="auto"/>
              <w:bottom w:val="single" w:sz="4" w:space="0" w:color="auto"/>
              <w:right w:val="single" w:sz="4" w:space="0" w:color="auto"/>
            </w:tcBorders>
            <w:hideMark/>
          </w:tcPr>
          <w:p w14:paraId="6560AC11" w14:textId="103150B3" w:rsidR="001D01EA" w:rsidRPr="001D01EA" w:rsidRDefault="001D01EA" w:rsidP="001D01EA">
            <w:pPr>
              <w:pStyle w:val="Teksttabelisrodek"/>
            </w:pPr>
            <w:r w:rsidRPr="001D01EA">
              <w:rPr>
                <w:rFonts w:cs="Calibri"/>
                <w:color w:val="000000"/>
              </w:rPr>
              <w:t>10</w:t>
            </w:r>
          </w:p>
        </w:tc>
        <w:tc>
          <w:tcPr>
            <w:tcW w:w="2433" w:type="dxa"/>
            <w:tcBorders>
              <w:top w:val="single" w:sz="4" w:space="0" w:color="auto"/>
              <w:left w:val="single" w:sz="4" w:space="0" w:color="auto"/>
              <w:bottom w:val="single" w:sz="4" w:space="0" w:color="auto"/>
              <w:right w:val="single" w:sz="4" w:space="0" w:color="auto"/>
            </w:tcBorders>
            <w:hideMark/>
          </w:tcPr>
          <w:p w14:paraId="48B60694" w14:textId="2647179B" w:rsidR="001D01EA" w:rsidRPr="001D01EA" w:rsidRDefault="001D01EA" w:rsidP="001D01EA">
            <w:pPr>
              <w:pStyle w:val="Teksttabelisrodek"/>
            </w:pPr>
            <w:r w:rsidRPr="001D01EA">
              <w:rPr>
                <w:rFonts w:cs="Calibri"/>
                <w:color w:val="000000"/>
              </w:rPr>
              <w:t>52,6</w:t>
            </w:r>
          </w:p>
        </w:tc>
      </w:tr>
      <w:tr w:rsidR="001D01EA" w:rsidRPr="00795F17" w14:paraId="2D8255F4"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1FB5D0A9" w14:textId="31932A46" w:rsidR="001D01EA" w:rsidRPr="00795F17" w:rsidRDefault="001D01EA" w:rsidP="001D01EA">
            <w:pPr>
              <w:pStyle w:val="Teksttabelisrodek"/>
            </w:pPr>
            <w:r w:rsidRPr="00795F17">
              <w:t>13.</w:t>
            </w:r>
          </w:p>
        </w:tc>
        <w:tc>
          <w:tcPr>
            <w:tcW w:w="0" w:type="auto"/>
            <w:vMerge/>
            <w:tcBorders>
              <w:top w:val="single" w:sz="4" w:space="0" w:color="auto"/>
              <w:left w:val="single" w:sz="4" w:space="0" w:color="auto"/>
              <w:bottom w:val="single" w:sz="4" w:space="0" w:color="auto"/>
              <w:right w:val="single" w:sz="4" w:space="0" w:color="auto"/>
            </w:tcBorders>
            <w:hideMark/>
          </w:tcPr>
          <w:p w14:paraId="1D12A8A1" w14:textId="77777777" w:rsidR="001D01EA" w:rsidRPr="00795F17" w:rsidRDefault="001D01EA" w:rsidP="001D01EA">
            <w:pPr>
              <w:pStyle w:val="Teksttabelilewy"/>
            </w:pPr>
          </w:p>
        </w:tc>
        <w:tc>
          <w:tcPr>
            <w:tcW w:w="1482" w:type="dxa"/>
            <w:tcBorders>
              <w:top w:val="single" w:sz="4" w:space="0" w:color="auto"/>
              <w:left w:val="single" w:sz="4" w:space="0" w:color="auto"/>
              <w:bottom w:val="single" w:sz="4" w:space="0" w:color="auto"/>
              <w:right w:val="single" w:sz="4" w:space="0" w:color="auto"/>
            </w:tcBorders>
            <w:hideMark/>
          </w:tcPr>
          <w:p w14:paraId="6FDBFC08" w14:textId="77777777" w:rsidR="001D01EA" w:rsidRPr="00795F17" w:rsidRDefault="001D01EA" w:rsidP="001D01EA">
            <w:pPr>
              <w:pStyle w:val="Teksttabelisrodek"/>
            </w:pPr>
            <w:r w:rsidRPr="00795F17">
              <w:t>LW</w:t>
            </w:r>
          </w:p>
        </w:tc>
        <w:tc>
          <w:tcPr>
            <w:tcW w:w="1937" w:type="dxa"/>
            <w:tcBorders>
              <w:top w:val="single" w:sz="4" w:space="0" w:color="auto"/>
              <w:left w:val="single" w:sz="4" w:space="0" w:color="auto"/>
              <w:bottom w:val="single" w:sz="4" w:space="0" w:color="auto"/>
              <w:right w:val="single" w:sz="4" w:space="0" w:color="auto"/>
            </w:tcBorders>
            <w:hideMark/>
          </w:tcPr>
          <w:p w14:paraId="6560AD0D" w14:textId="009C4867" w:rsidR="001D01EA" w:rsidRPr="001D01EA" w:rsidRDefault="001D01EA" w:rsidP="001D01EA">
            <w:pPr>
              <w:pStyle w:val="Teksttabelisrodek"/>
            </w:pPr>
            <w:r w:rsidRPr="001D01EA">
              <w:t>12</w:t>
            </w:r>
          </w:p>
        </w:tc>
        <w:tc>
          <w:tcPr>
            <w:tcW w:w="2433" w:type="dxa"/>
            <w:tcBorders>
              <w:top w:val="single" w:sz="4" w:space="0" w:color="auto"/>
              <w:left w:val="single" w:sz="4" w:space="0" w:color="auto"/>
              <w:bottom w:val="single" w:sz="4" w:space="0" w:color="auto"/>
              <w:right w:val="single" w:sz="4" w:space="0" w:color="auto"/>
            </w:tcBorders>
            <w:hideMark/>
          </w:tcPr>
          <w:p w14:paraId="48DBA629" w14:textId="322B2914" w:rsidR="001D01EA" w:rsidRPr="001D01EA" w:rsidRDefault="001D01EA" w:rsidP="001D01EA">
            <w:pPr>
              <w:pStyle w:val="Teksttabelisrodek"/>
            </w:pPr>
            <w:r w:rsidRPr="001D01EA">
              <w:t>2,8</w:t>
            </w:r>
          </w:p>
        </w:tc>
      </w:tr>
      <w:tr w:rsidR="001D01EA" w:rsidRPr="00795F17" w14:paraId="4C8999AD"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7C282A0F" w14:textId="75C97CF1" w:rsidR="001D01EA" w:rsidRPr="00795F17" w:rsidRDefault="001D01EA" w:rsidP="001D01EA">
            <w:pPr>
              <w:pStyle w:val="Teksttabelisrodek"/>
            </w:pPr>
            <w:r w:rsidRPr="00795F17">
              <w:t>14.</w:t>
            </w:r>
          </w:p>
        </w:tc>
        <w:tc>
          <w:tcPr>
            <w:tcW w:w="0" w:type="auto"/>
            <w:vMerge/>
            <w:tcBorders>
              <w:top w:val="single" w:sz="4" w:space="0" w:color="auto"/>
              <w:left w:val="single" w:sz="4" w:space="0" w:color="auto"/>
              <w:bottom w:val="single" w:sz="4" w:space="0" w:color="auto"/>
              <w:right w:val="single" w:sz="4" w:space="0" w:color="auto"/>
            </w:tcBorders>
            <w:hideMark/>
          </w:tcPr>
          <w:p w14:paraId="2BE27909" w14:textId="77777777" w:rsidR="001D01EA" w:rsidRPr="00795F17" w:rsidRDefault="001D01EA" w:rsidP="001D01EA">
            <w:pPr>
              <w:pStyle w:val="Teksttabelilewy"/>
            </w:pPr>
          </w:p>
        </w:tc>
        <w:tc>
          <w:tcPr>
            <w:tcW w:w="1482" w:type="dxa"/>
            <w:tcBorders>
              <w:top w:val="single" w:sz="4" w:space="0" w:color="auto"/>
              <w:left w:val="single" w:sz="4" w:space="0" w:color="auto"/>
              <w:bottom w:val="single" w:sz="4" w:space="0" w:color="auto"/>
              <w:right w:val="single" w:sz="4" w:space="0" w:color="auto"/>
            </w:tcBorders>
            <w:hideMark/>
          </w:tcPr>
          <w:p w14:paraId="2A4A2437" w14:textId="77777777" w:rsidR="001D01EA" w:rsidRPr="00795F17" w:rsidRDefault="001D01EA" w:rsidP="001D01EA">
            <w:pPr>
              <w:pStyle w:val="Teksttabelisrodek"/>
            </w:pPr>
            <w:r w:rsidRPr="00795F17">
              <w:t>TW</w:t>
            </w:r>
          </w:p>
        </w:tc>
        <w:tc>
          <w:tcPr>
            <w:tcW w:w="1937" w:type="dxa"/>
            <w:tcBorders>
              <w:top w:val="single" w:sz="4" w:space="0" w:color="auto"/>
              <w:left w:val="single" w:sz="4" w:space="0" w:color="auto"/>
              <w:bottom w:val="single" w:sz="4" w:space="0" w:color="auto"/>
              <w:right w:val="single" w:sz="4" w:space="0" w:color="auto"/>
            </w:tcBorders>
            <w:hideMark/>
          </w:tcPr>
          <w:p w14:paraId="795C1291" w14:textId="5FF9CBA3" w:rsidR="001D01EA" w:rsidRPr="001D01EA" w:rsidRDefault="00FD67D6" w:rsidP="001D01EA">
            <w:pPr>
              <w:pStyle w:val="Teksttabelisrodek"/>
            </w:pPr>
            <w:r>
              <w:rPr>
                <w:rFonts w:cs="Calibri"/>
                <w:color w:val="000000"/>
              </w:rPr>
              <w:t>2</w:t>
            </w:r>
          </w:p>
        </w:tc>
        <w:tc>
          <w:tcPr>
            <w:tcW w:w="2433" w:type="dxa"/>
            <w:tcBorders>
              <w:top w:val="single" w:sz="4" w:space="0" w:color="auto"/>
              <w:left w:val="single" w:sz="4" w:space="0" w:color="auto"/>
              <w:bottom w:val="single" w:sz="4" w:space="0" w:color="auto"/>
              <w:right w:val="single" w:sz="4" w:space="0" w:color="auto"/>
            </w:tcBorders>
            <w:hideMark/>
          </w:tcPr>
          <w:p w14:paraId="5C41348B" w14:textId="3E275D14" w:rsidR="001D01EA" w:rsidRPr="001D01EA" w:rsidRDefault="00FD67D6" w:rsidP="001D01EA">
            <w:pPr>
              <w:pStyle w:val="Teksttabelisrodek"/>
            </w:pPr>
            <w:r>
              <w:rPr>
                <w:rFonts w:cs="Calibri"/>
                <w:color w:val="000000"/>
              </w:rPr>
              <w:t>100</w:t>
            </w:r>
          </w:p>
        </w:tc>
      </w:tr>
      <w:tr w:rsidR="001D01EA" w:rsidRPr="00795F17" w14:paraId="18C7C1C9"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55D9723D" w14:textId="4DCB2E9F" w:rsidR="001D01EA" w:rsidRPr="00795F17" w:rsidRDefault="001D01EA" w:rsidP="001D01EA">
            <w:pPr>
              <w:pStyle w:val="Teksttabelisrodek"/>
            </w:pPr>
            <w:r w:rsidRPr="00795F17">
              <w:t>15.</w:t>
            </w:r>
          </w:p>
        </w:tc>
        <w:tc>
          <w:tcPr>
            <w:tcW w:w="0" w:type="auto"/>
            <w:vMerge/>
            <w:tcBorders>
              <w:top w:val="single" w:sz="4" w:space="0" w:color="auto"/>
              <w:left w:val="single" w:sz="4" w:space="0" w:color="auto"/>
              <w:bottom w:val="single" w:sz="4" w:space="0" w:color="auto"/>
              <w:right w:val="single" w:sz="4" w:space="0" w:color="auto"/>
            </w:tcBorders>
            <w:hideMark/>
          </w:tcPr>
          <w:p w14:paraId="120079AF" w14:textId="77777777" w:rsidR="001D01EA" w:rsidRPr="00795F17" w:rsidRDefault="001D01EA" w:rsidP="001D01EA">
            <w:pPr>
              <w:pStyle w:val="Teksttabelilewy"/>
            </w:pPr>
          </w:p>
        </w:tc>
        <w:tc>
          <w:tcPr>
            <w:tcW w:w="1482" w:type="dxa"/>
            <w:tcBorders>
              <w:top w:val="single" w:sz="4" w:space="0" w:color="auto"/>
              <w:left w:val="single" w:sz="4" w:space="0" w:color="auto"/>
              <w:bottom w:val="single" w:sz="4" w:space="0" w:color="auto"/>
              <w:right w:val="single" w:sz="4" w:space="0" w:color="auto"/>
            </w:tcBorders>
            <w:hideMark/>
          </w:tcPr>
          <w:p w14:paraId="3748FB27" w14:textId="77777777" w:rsidR="001D01EA" w:rsidRPr="00795F17" w:rsidRDefault="001D01EA" w:rsidP="001D01EA">
            <w:pPr>
              <w:pStyle w:val="Teksttabelisrodek"/>
            </w:pPr>
            <w:r w:rsidRPr="00795F17">
              <w:t>CW</w:t>
            </w:r>
          </w:p>
        </w:tc>
        <w:tc>
          <w:tcPr>
            <w:tcW w:w="1937" w:type="dxa"/>
            <w:tcBorders>
              <w:top w:val="single" w:sz="4" w:space="0" w:color="auto"/>
              <w:left w:val="single" w:sz="4" w:space="0" w:color="auto"/>
              <w:bottom w:val="single" w:sz="4" w:space="0" w:color="auto"/>
              <w:right w:val="single" w:sz="4" w:space="0" w:color="auto"/>
            </w:tcBorders>
            <w:hideMark/>
          </w:tcPr>
          <w:p w14:paraId="05D7D313" w14:textId="3E1FB65C" w:rsidR="001D01EA" w:rsidRPr="001D01EA" w:rsidRDefault="00FD67D6" w:rsidP="001D01EA">
            <w:pPr>
              <w:pStyle w:val="Teksttabelisrodek"/>
            </w:pPr>
            <w:r>
              <w:rPr>
                <w:rFonts w:cs="Calibri"/>
                <w:color w:val="000000"/>
              </w:rPr>
              <w:t>2</w:t>
            </w:r>
          </w:p>
        </w:tc>
        <w:tc>
          <w:tcPr>
            <w:tcW w:w="2433" w:type="dxa"/>
            <w:tcBorders>
              <w:top w:val="single" w:sz="4" w:space="0" w:color="auto"/>
              <w:left w:val="single" w:sz="4" w:space="0" w:color="auto"/>
              <w:bottom w:val="single" w:sz="4" w:space="0" w:color="auto"/>
              <w:right w:val="single" w:sz="4" w:space="0" w:color="auto"/>
            </w:tcBorders>
            <w:hideMark/>
          </w:tcPr>
          <w:p w14:paraId="43C93374" w14:textId="4B240FF8" w:rsidR="001D01EA" w:rsidRPr="001D01EA" w:rsidRDefault="00FD67D6" w:rsidP="001D01EA">
            <w:pPr>
              <w:pStyle w:val="Teksttabelisrodek"/>
            </w:pPr>
            <w:r>
              <w:rPr>
                <w:rFonts w:cs="Calibri"/>
                <w:color w:val="000000"/>
              </w:rPr>
              <w:t>100</w:t>
            </w:r>
          </w:p>
        </w:tc>
      </w:tr>
      <w:tr w:rsidR="001D01EA" w:rsidRPr="00795F17" w14:paraId="04DC004A"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4261EAED" w14:textId="06C87A62" w:rsidR="001D01EA" w:rsidRPr="00795F17" w:rsidRDefault="001D01EA" w:rsidP="001D01EA">
            <w:pPr>
              <w:pStyle w:val="Teksttabelisrodek"/>
            </w:pPr>
            <w:r w:rsidRPr="00795F17">
              <w:t>16.</w:t>
            </w:r>
          </w:p>
        </w:tc>
        <w:tc>
          <w:tcPr>
            <w:tcW w:w="2500" w:type="dxa"/>
            <w:vMerge w:val="restart"/>
            <w:tcBorders>
              <w:top w:val="single" w:sz="4" w:space="0" w:color="auto"/>
              <w:left w:val="single" w:sz="4" w:space="0" w:color="auto"/>
              <w:bottom w:val="single" w:sz="4" w:space="0" w:color="auto"/>
              <w:right w:val="single" w:sz="4" w:space="0" w:color="auto"/>
            </w:tcBorders>
            <w:hideMark/>
          </w:tcPr>
          <w:p w14:paraId="417E54B3" w14:textId="0A9CFEC9" w:rsidR="001D01EA" w:rsidRPr="00795F17" w:rsidRDefault="001D01EA" w:rsidP="001D01EA">
            <w:pPr>
              <w:pStyle w:val="Teksttabelilewy"/>
            </w:pPr>
            <w:r w:rsidRPr="00795F17">
              <w:t xml:space="preserve">Mniej rygorystyczne cele środowiskowe ze względu na działalność człowieka </w:t>
            </w:r>
            <w:r>
              <w:t>–</w:t>
            </w:r>
            <w:r w:rsidRPr="00795F17">
              <w:t xml:space="preserve"> art.</w:t>
            </w:r>
            <w:r>
              <w:t xml:space="preserve"> </w:t>
            </w:r>
            <w:r w:rsidRPr="00795F17">
              <w:t>4 ust. 5 RDW</w:t>
            </w:r>
          </w:p>
        </w:tc>
        <w:tc>
          <w:tcPr>
            <w:tcW w:w="1482" w:type="dxa"/>
            <w:tcBorders>
              <w:top w:val="single" w:sz="4" w:space="0" w:color="auto"/>
              <w:left w:val="single" w:sz="4" w:space="0" w:color="auto"/>
              <w:bottom w:val="single" w:sz="4" w:space="0" w:color="auto"/>
              <w:right w:val="single" w:sz="4" w:space="0" w:color="auto"/>
            </w:tcBorders>
            <w:hideMark/>
          </w:tcPr>
          <w:p w14:paraId="26841F43" w14:textId="77777777" w:rsidR="001D01EA" w:rsidRPr="00795F17" w:rsidRDefault="001D01EA" w:rsidP="001D01EA">
            <w:pPr>
              <w:pStyle w:val="Teksttabelisrodek"/>
            </w:pPr>
            <w:r w:rsidRPr="00795F17">
              <w:t>RW</w:t>
            </w:r>
          </w:p>
        </w:tc>
        <w:tc>
          <w:tcPr>
            <w:tcW w:w="1937" w:type="dxa"/>
            <w:tcBorders>
              <w:top w:val="single" w:sz="4" w:space="0" w:color="auto"/>
              <w:left w:val="single" w:sz="4" w:space="0" w:color="auto"/>
              <w:bottom w:val="single" w:sz="4" w:space="0" w:color="auto"/>
              <w:right w:val="single" w:sz="4" w:space="0" w:color="auto"/>
            </w:tcBorders>
            <w:hideMark/>
          </w:tcPr>
          <w:p w14:paraId="35B004B6" w14:textId="23AC1DC0" w:rsidR="001D01EA" w:rsidRPr="001D01EA" w:rsidRDefault="001D01EA" w:rsidP="001D01EA">
            <w:pPr>
              <w:pStyle w:val="Teksttabelisrodek"/>
            </w:pPr>
            <w:r w:rsidRPr="001D01EA">
              <w:t>6</w:t>
            </w:r>
            <w:r w:rsidR="003B44F7">
              <w:t>9</w:t>
            </w:r>
            <w:r w:rsidR="00EA39A5">
              <w:t>0</w:t>
            </w:r>
          </w:p>
        </w:tc>
        <w:tc>
          <w:tcPr>
            <w:tcW w:w="2433" w:type="dxa"/>
            <w:tcBorders>
              <w:top w:val="single" w:sz="4" w:space="0" w:color="auto"/>
              <w:left w:val="single" w:sz="4" w:space="0" w:color="auto"/>
              <w:bottom w:val="single" w:sz="4" w:space="0" w:color="auto"/>
              <w:right w:val="single" w:sz="4" w:space="0" w:color="auto"/>
            </w:tcBorders>
            <w:hideMark/>
          </w:tcPr>
          <w:p w14:paraId="3CB19CE0" w14:textId="2C3C5685" w:rsidR="001D01EA" w:rsidRPr="001D01EA" w:rsidRDefault="005723BE" w:rsidP="001D01EA">
            <w:pPr>
              <w:pStyle w:val="Teksttabelisrodek"/>
            </w:pPr>
            <w:r>
              <w:t>54,2</w:t>
            </w:r>
          </w:p>
        </w:tc>
      </w:tr>
      <w:tr w:rsidR="001D01EA" w:rsidRPr="00795F17" w14:paraId="3CF34D5A"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0703D23B" w14:textId="540BB54D" w:rsidR="001D01EA" w:rsidRPr="00795F17" w:rsidRDefault="001D01EA" w:rsidP="001D01EA">
            <w:pPr>
              <w:pStyle w:val="Teksttabelisrodek"/>
            </w:pPr>
            <w:r w:rsidRPr="00795F17">
              <w:t>17.</w:t>
            </w:r>
          </w:p>
        </w:tc>
        <w:tc>
          <w:tcPr>
            <w:tcW w:w="0" w:type="auto"/>
            <w:vMerge/>
            <w:tcBorders>
              <w:top w:val="single" w:sz="4" w:space="0" w:color="auto"/>
              <w:left w:val="single" w:sz="4" w:space="0" w:color="auto"/>
              <w:bottom w:val="single" w:sz="4" w:space="0" w:color="auto"/>
              <w:right w:val="single" w:sz="4" w:space="0" w:color="auto"/>
            </w:tcBorders>
            <w:hideMark/>
          </w:tcPr>
          <w:p w14:paraId="38A4CF84" w14:textId="77777777" w:rsidR="001D01EA" w:rsidRPr="00795F17" w:rsidRDefault="001D01EA" w:rsidP="001D01EA">
            <w:pPr>
              <w:pStyle w:val="Teksttabelilewy"/>
            </w:pPr>
          </w:p>
        </w:tc>
        <w:tc>
          <w:tcPr>
            <w:tcW w:w="1482" w:type="dxa"/>
            <w:tcBorders>
              <w:top w:val="single" w:sz="4" w:space="0" w:color="auto"/>
              <w:left w:val="single" w:sz="4" w:space="0" w:color="auto"/>
              <w:bottom w:val="single" w:sz="4" w:space="0" w:color="auto"/>
              <w:right w:val="single" w:sz="4" w:space="0" w:color="auto"/>
            </w:tcBorders>
            <w:hideMark/>
          </w:tcPr>
          <w:p w14:paraId="25B9C9A1" w14:textId="0AEAC36E" w:rsidR="001D01EA" w:rsidRPr="00795F17" w:rsidRDefault="001D01EA" w:rsidP="001D01EA">
            <w:pPr>
              <w:pStyle w:val="Teksttabelisrodek"/>
            </w:pPr>
            <w:r w:rsidRPr="00795F17">
              <w:t>RWr</w:t>
            </w:r>
          </w:p>
        </w:tc>
        <w:tc>
          <w:tcPr>
            <w:tcW w:w="1937" w:type="dxa"/>
            <w:tcBorders>
              <w:top w:val="single" w:sz="4" w:space="0" w:color="auto"/>
              <w:left w:val="single" w:sz="4" w:space="0" w:color="auto"/>
              <w:bottom w:val="single" w:sz="4" w:space="0" w:color="auto"/>
              <w:right w:val="single" w:sz="4" w:space="0" w:color="auto"/>
            </w:tcBorders>
            <w:hideMark/>
          </w:tcPr>
          <w:p w14:paraId="6378F4B0" w14:textId="116BCEF2" w:rsidR="001D01EA" w:rsidRPr="001D01EA" w:rsidRDefault="001D01EA" w:rsidP="001D01EA">
            <w:pPr>
              <w:pStyle w:val="Teksttabelisrodek"/>
            </w:pPr>
            <w:r w:rsidRPr="001D01EA">
              <w:t>16</w:t>
            </w:r>
          </w:p>
        </w:tc>
        <w:tc>
          <w:tcPr>
            <w:tcW w:w="2433" w:type="dxa"/>
            <w:tcBorders>
              <w:top w:val="single" w:sz="4" w:space="0" w:color="auto"/>
              <w:left w:val="single" w:sz="4" w:space="0" w:color="auto"/>
              <w:bottom w:val="single" w:sz="4" w:space="0" w:color="auto"/>
              <w:right w:val="single" w:sz="4" w:space="0" w:color="auto"/>
            </w:tcBorders>
            <w:hideMark/>
          </w:tcPr>
          <w:p w14:paraId="324FDD8E" w14:textId="37CE810D" w:rsidR="001D01EA" w:rsidRPr="001D01EA" w:rsidRDefault="001D01EA" w:rsidP="001D01EA">
            <w:pPr>
              <w:pStyle w:val="Teksttabelisrodek"/>
            </w:pPr>
            <w:r w:rsidRPr="001D01EA">
              <w:t>84,2</w:t>
            </w:r>
          </w:p>
        </w:tc>
      </w:tr>
      <w:tr w:rsidR="001D01EA" w:rsidRPr="00795F17" w14:paraId="013EC0F8"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5CEB5B72" w14:textId="6037318C" w:rsidR="001D01EA" w:rsidRPr="00795F17" w:rsidRDefault="001D01EA" w:rsidP="001D01EA">
            <w:pPr>
              <w:pStyle w:val="Teksttabelisrodek"/>
            </w:pPr>
            <w:r w:rsidRPr="00795F17">
              <w:t>18.</w:t>
            </w:r>
          </w:p>
        </w:tc>
        <w:tc>
          <w:tcPr>
            <w:tcW w:w="0" w:type="auto"/>
            <w:vMerge/>
            <w:tcBorders>
              <w:top w:val="single" w:sz="4" w:space="0" w:color="auto"/>
              <w:left w:val="single" w:sz="4" w:space="0" w:color="auto"/>
              <w:bottom w:val="single" w:sz="4" w:space="0" w:color="auto"/>
              <w:right w:val="single" w:sz="4" w:space="0" w:color="auto"/>
            </w:tcBorders>
            <w:hideMark/>
          </w:tcPr>
          <w:p w14:paraId="4C2017E1" w14:textId="77777777" w:rsidR="001D01EA" w:rsidRPr="00795F17" w:rsidRDefault="001D01EA" w:rsidP="001D01EA">
            <w:pPr>
              <w:pStyle w:val="Teksttabelilewy"/>
            </w:pPr>
          </w:p>
        </w:tc>
        <w:tc>
          <w:tcPr>
            <w:tcW w:w="1482" w:type="dxa"/>
            <w:tcBorders>
              <w:top w:val="single" w:sz="4" w:space="0" w:color="auto"/>
              <w:left w:val="single" w:sz="4" w:space="0" w:color="auto"/>
              <w:bottom w:val="single" w:sz="4" w:space="0" w:color="auto"/>
              <w:right w:val="single" w:sz="4" w:space="0" w:color="auto"/>
            </w:tcBorders>
            <w:hideMark/>
          </w:tcPr>
          <w:p w14:paraId="0640E90F" w14:textId="77777777" w:rsidR="001D01EA" w:rsidRPr="00795F17" w:rsidRDefault="001D01EA" w:rsidP="001D01EA">
            <w:pPr>
              <w:pStyle w:val="Teksttabelisrodek"/>
            </w:pPr>
            <w:r w:rsidRPr="00795F17">
              <w:t>LW</w:t>
            </w:r>
          </w:p>
        </w:tc>
        <w:tc>
          <w:tcPr>
            <w:tcW w:w="1937" w:type="dxa"/>
            <w:tcBorders>
              <w:top w:val="single" w:sz="4" w:space="0" w:color="auto"/>
              <w:left w:val="single" w:sz="4" w:space="0" w:color="auto"/>
              <w:bottom w:val="single" w:sz="4" w:space="0" w:color="auto"/>
              <w:right w:val="single" w:sz="4" w:space="0" w:color="auto"/>
            </w:tcBorders>
            <w:hideMark/>
          </w:tcPr>
          <w:p w14:paraId="0339A185" w14:textId="586EA0CC" w:rsidR="001D01EA" w:rsidRPr="001D01EA" w:rsidRDefault="001D01EA" w:rsidP="001D01EA">
            <w:pPr>
              <w:pStyle w:val="Teksttabelisrodek"/>
            </w:pPr>
            <w:r w:rsidRPr="001D01EA">
              <w:t>18</w:t>
            </w:r>
            <w:r w:rsidR="000F79FD">
              <w:t>2</w:t>
            </w:r>
          </w:p>
        </w:tc>
        <w:tc>
          <w:tcPr>
            <w:tcW w:w="2433" w:type="dxa"/>
            <w:tcBorders>
              <w:top w:val="single" w:sz="4" w:space="0" w:color="auto"/>
              <w:left w:val="single" w:sz="4" w:space="0" w:color="auto"/>
              <w:bottom w:val="single" w:sz="4" w:space="0" w:color="auto"/>
              <w:right w:val="single" w:sz="4" w:space="0" w:color="auto"/>
            </w:tcBorders>
            <w:hideMark/>
          </w:tcPr>
          <w:p w14:paraId="54F62037" w14:textId="68BA8517" w:rsidR="001D01EA" w:rsidRPr="001D01EA" w:rsidRDefault="001D01EA" w:rsidP="001D01EA">
            <w:pPr>
              <w:pStyle w:val="Teksttabelisrodek"/>
            </w:pPr>
            <w:r w:rsidRPr="001D01EA">
              <w:t>42,</w:t>
            </w:r>
            <w:r w:rsidR="000F79FD">
              <w:t>6</w:t>
            </w:r>
          </w:p>
        </w:tc>
      </w:tr>
      <w:tr w:rsidR="001D01EA" w:rsidRPr="00795F17" w14:paraId="68162DAD"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5F7D8C2F" w14:textId="4074BB40" w:rsidR="001D01EA" w:rsidRPr="00795F17" w:rsidRDefault="001D01EA" w:rsidP="001D01EA">
            <w:pPr>
              <w:pStyle w:val="Teksttabelisrodek"/>
            </w:pPr>
            <w:r w:rsidRPr="00795F17">
              <w:t>19.</w:t>
            </w:r>
          </w:p>
        </w:tc>
        <w:tc>
          <w:tcPr>
            <w:tcW w:w="0" w:type="auto"/>
            <w:vMerge/>
            <w:tcBorders>
              <w:top w:val="single" w:sz="4" w:space="0" w:color="auto"/>
              <w:left w:val="single" w:sz="4" w:space="0" w:color="auto"/>
              <w:bottom w:val="single" w:sz="4" w:space="0" w:color="auto"/>
              <w:right w:val="single" w:sz="4" w:space="0" w:color="auto"/>
            </w:tcBorders>
            <w:hideMark/>
          </w:tcPr>
          <w:p w14:paraId="6E77D9B7" w14:textId="77777777" w:rsidR="001D01EA" w:rsidRPr="00795F17" w:rsidRDefault="001D01EA" w:rsidP="001D01EA">
            <w:pPr>
              <w:pStyle w:val="Teksttabelilewy"/>
            </w:pPr>
          </w:p>
        </w:tc>
        <w:tc>
          <w:tcPr>
            <w:tcW w:w="1482" w:type="dxa"/>
            <w:tcBorders>
              <w:top w:val="single" w:sz="4" w:space="0" w:color="auto"/>
              <w:left w:val="single" w:sz="4" w:space="0" w:color="auto"/>
              <w:bottom w:val="single" w:sz="4" w:space="0" w:color="auto"/>
              <w:right w:val="single" w:sz="4" w:space="0" w:color="auto"/>
            </w:tcBorders>
            <w:hideMark/>
          </w:tcPr>
          <w:p w14:paraId="06E82357" w14:textId="77777777" w:rsidR="001D01EA" w:rsidRPr="00795F17" w:rsidRDefault="001D01EA" w:rsidP="001D01EA">
            <w:pPr>
              <w:pStyle w:val="Teksttabelisrodek"/>
            </w:pPr>
            <w:r w:rsidRPr="00795F17">
              <w:t>TW</w:t>
            </w:r>
          </w:p>
        </w:tc>
        <w:tc>
          <w:tcPr>
            <w:tcW w:w="1937" w:type="dxa"/>
            <w:tcBorders>
              <w:top w:val="single" w:sz="4" w:space="0" w:color="auto"/>
              <w:left w:val="single" w:sz="4" w:space="0" w:color="auto"/>
              <w:bottom w:val="single" w:sz="4" w:space="0" w:color="auto"/>
              <w:right w:val="single" w:sz="4" w:space="0" w:color="auto"/>
            </w:tcBorders>
            <w:hideMark/>
          </w:tcPr>
          <w:p w14:paraId="12A07CC7" w14:textId="5E0BCF4A" w:rsidR="001D01EA" w:rsidRPr="001D01EA" w:rsidRDefault="00B57DE0" w:rsidP="001D01EA">
            <w:pPr>
              <w:pStyle w:val="Teksttabelisrodek"/>
            </w:pPr>
            <w:r>
              <w:rPr>
                <w:rFonts w:cs="Calibri"/>
                <w:color w:val="000000"/>
              </w:rPr>
              <w:t>2</w:t>
            </w:r>
          </w:p>
        </w:tc>
        <w:tc>
          <w:tcPr>
            <w:tcW w:w="2433" w:type="dxa"/>
            <w:tcBorders>
              <w:top w:val="single" w:sz="4" w:space="0" w:color="auto"/>
              <w:left w:val="single" w:sz="4" w:space="0" w:color="auto"/>
              <w:bottom w:val="single" w:sz="4" w:space="0" w:color="auto"/>
              <w:right w:val="single" w:sz="4" w:space="0" w:color="auto"/>
            </w:tcBorders>
            <w:hideMark/>
          </w:tcPr>
          <w:p w14:paraId="31DF8C4D" w14:textId="286A5338" w:rsidR="001D01EA" w:rsidRPr="001D01EA" w:rsidRDefault="00B57DE0" w:rsidP="001D01EA">
            <w:pPr>
              <w:pStyle w:val="Teksttabelisrodek"/>
            </w:pPr>
            <w:r>
              <w:rPr>
                <w:rFonts w:cs="Calibri"/>
                <w:color w:val="000000"/>
              </w:rPr>
              <w:t>1</w:t>
            </w:r>
            <w:r w:rsidR="001D01EA" w:rsidRPr="001D01EA">
              <w:rPr>
                <w:rFonts w:cs="Calibri"/>
                <w:color w:val="000000"/>
              </w:rPr>
              <w:t>0</w:t>
            </w:r>
            <w:r>
              <w:rPr>
                <w:rFonts w:cs="Calibri"/>
                <w:color w:val="000000"/>
              </w:rPr>
              <w:t>0</w:t>
            </w:r>
          </w:p>
        </w:tc>
      </w:tr>
      <w:tr w:rsidR="001D01EA" w:rsidRPr="00795F17" w14:paraId="774D7E0C"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35E33F88" w14:textId="59405599" w:rsidR="001D01EA" w:rsidRPr="00795F17" w:rsidRDefault="001D01EA" w:rsidP="001D01EA">
            <w:pPr>
              <w:pStyle w:val="Teksttabelisrodek"/>
            </w:pPr>
            <w:r w:rsidRPr="00795F17">
              <w:t>20.</w:t>
            </w:r>
          </w:p>
        </w:tc>
        <w:tc>
          <w:tcPr>
            <w:tcW w:w="0" w:type="auto"/>
            <w:vMerge/>
            <w:tcBorders>
              <w:top w:val="single" w:sz="4" w:space="0" w:color="auto"/>
              <w:left w:val="single" w:sz="4" w:space="0" w:color="auto"/>
              <w:bottom w:val="single" w:sz="4" w:space="0" w:color="auto"/>
              <w:right w:val="single" w:sz="4" w:space="0" w:color="auto"/>
            </w:tcBorders>
            <w:hideMark/>
          </w:tcPr>
          <w:p w14:paraId="6A091DA5" w14:textId="77777777" w:rsidR="001D01EA" w:rsidRPr="00795F17" w:rsidRDefault="001D01EA" w:rsidP="001D01EA">
            <w:pPr>
              <w:pStyle w:val="Teksttabelilewy"/>
            </w:pPr>
          </w:p>
        </w:tc>
        <w:tc>
          <w:tcPr>
            <w:tcW w:w="1482" w:type="dxa"/>
            <w:tcBorders>
              <w:top w:val="single" w:sz="4" w:space="0" w:color="auto"/>
              <w:left w:val="single" w:sz="4" w:space="0" w:color="auto"/>
              <w:bottom w:val="single" w:sz="4" w:space="0" w:color="auto"/>
              <w:right w:val="single" w:sz="4" w:space="0" w:color="auto"/>
            </w:tcBorders>
            <w:hideMark/>
          </w:tcPr>
          <w:p w14:paraId="7AC32997" w14:textId="77777777" w:rsidR="001D01EA" w:rsidRPr="00795F17" w:rsidRDefault="001D01EA" w:rsidP="001D01EA">
            <w:pPr>
              <w:pStyle w:val="Teksttabelisrodek"/>
            </w:pPr>
            <w:r w:rsidRPr="00795F17">
              <w:t>CW</w:t>
            </w:r>
          </w:p>
        </w:tc>
        <w:tc>
          <w:tcPr>
            <w:tcW w:w="1937" w:type="dxa"/>
            <w:tcBorders>
              <w:top w:val="single" w:sz="4" w:space="0" w:color="auto"/>
              <w:left w:val="single" w:sz="4" w:space="0" w:color="auto"/>
              <w:bottom w:val="single" w:sz="4" w:space="0" w:color="auto"/>
              <w:right w:val="single" w:sz="4" w:space="0" w:color="auto"/>
            </w:tcBorders>
            <w:hideMark/>
          </w:tcPr>
          <w:p w14:paraId="2C1F8037" w14:textId="3E4C1592" w:rsidR="001D01EA" w:rsidRPr="001D01EA" w:rsidRDefault="00B57DE0" w:rsidP="001D01EA">
            <w:pPr>
              <w:pStyle w:val="Teksttabelisrodek"/>
            </w:pPr>
            <w:r>
              <w:rPr>
                <w:rFonts w:cs="Calibri"/>
                <w:color w:val="000000"/>
              </w:rPr>
              <w:t>2</w:t>
            </w:r>
          </w:p>
        </w:tc>
        <w:tc>
          <w:tcPr>
            <w:tcW w:w="2433" w:type="dxa"/>
            <w:tcBorders>
              <w:top w:val="single" w:sz="4" w:space="0" w:color="auto"/>
              <w:left w:val="single" w:sz="4" w:space="0" w:color="auto"/>
              <w:bottom w:val="single" w:sz="4" w:space="0" w:color="auto"/>
              <w:right w:val="single" w:sz="4" w:space="0" w:color="auto"/>
            </w:tcBorders>
            <w:hideMark/>
          </w:tcPr>
          <w:p w14:paraId="4F868948" w14:textId="6C869119" w:rsidR="001D01EA" w:rsidRPr="001D01EA" w:rsidRDefault="00B57DE0" w:rsidP="001D01EA">
            <w:pPr>
              <w:pStyle w:val="Teksttabelisrodek"/>
            </w:pPr>
            <w:r>
              <w:rPr>
                <w:rFonts w:cs="Calibri"/>
                <w:color w:val="000000"/>
              </w:rPr>
              <w:t>100</w:t>
            </w:r>
          </w:p>
        </w:tc>
      </w:tr>
      <w:tr w:rsidR="001D01EA" w:rsidRPr="00795F17" w14:paraId="1BE08C20"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72E98BF7" w14:textId="1420B623" w:rsidR="001D01EA" w:rsidRPr="00795F17" w:rsidRDefault="001D01EA" w:rsidP="001D01EA">
            <w:pPr>
              <w:pStyle w:val="Teksttabelisrodek"/>
            </w:pPr>
            <w:r w:rsidRPr="00795F17">
              <w:t>21.</w:t>
            </w:r>
          </w:p>
        </w:tc>
        <w:tc>
          <w:tcPr>
            <w:tcW w:w="2500" w:type="dxa"/>
            <w:tcBorders>
              <w:top w:val="single" w:sz="4" w:space="0" w:color="auto"/>
              <w:left w:val="single" w:sz="4" w:space="0" w:color="auto"/>
              <w:bottom w:val="single" w:sz="4" w:space="0" w:color="auto"/>
              <w:right w:val="single" w:sz="4" w:space="0" w:color="auto"/>
            </w:tcBorders>
            <w:hideMark/>
          </w:tcPr>
          <w:p w14:paraId="04AB7B72" w14:textId="678937F4" w:rsidR="001D01EA" w:rsidRPr="00795F17" w:rsidRDefault="001D01EA" w:rsidP="001D01EA">
            <w:pPr>
              <w:pStyle w:val="Teksttabelilewy"/>
            </w:pPr>
            <w:r w:rsidRPr="00795F17">
              <w:t xml:space="preserve">Odroczenie terminu osiągnięcia celów środowiskowych ze względu na warunki naturalne mające wpływ </w:t>
            </w:r>
            <w:r w:rsidRPr="00795F17">
              <w:br/>
              <w:t xml:space="preserve">na skuteczność działań </w:t>
            </w:r>
            <w:r>
              <w:t>–</w:t>
            </w:r>
            <w:r w:rsidRPr="00795F17">
              <w:t xml:space="preserve"> </w:t>
            </w:r>
            <w:r w:rsidR="00DF005E">
              <w:t>JCWP</w:t>
            </w:r>
            <w:r w:rsidRPr="00795F17">
              <w:t xml:space="preserve">d, dla których złagodzono cele środowiskowe ze względu na warunki naturalne </w:t>
            </w:r>
            <w:r>
              <w:t>–</w:t>
            </w:r>
            <w:r w:rsidRPr="00795F17">
              <w:t xml:space="preserve"> art.</w:t>
            </w:r>
            <w:r>
              <w:t xml:space="preserve"> </w:t>
            </w:r>
            <w:r w:rsidRPr="00795F17">
              <w:t>4 ust. 4 lit. a(iii) RDW</w:t>
            </w:r>
          </w:p>
        </w:tc>
        <w:tc>
          <w:tcPr>
            <w:tcW w:w="1482" w:type="dxa"/>
            <w:tcBorders>
              <w:top w:val="single" w:sz="4" w:space="0" w:color="auto"/>
              <w:left w:val="single" w:sz="4" w:space="0" w:color="auto"/>
              <w:bottom w:val="single" w:sz="4" w:space="0" w:color="auto"/>
              <w:right w:val="single" w:sz="4" w:space="0" w:color="auto"/>
            </w:tcBorders>
            <w:hideMark/>
          </w:tcPr>
          <w:p w14:paraId="41AB6981" w14:textId="7453C3C6" w:rsidR="001D01EA" w:rsidRPr="00795F17" w:rsidRDefault="00DF005E" w:rsidP="001D01EA">
            <w:pPr>
              <w:pStyle w:val="Teksttabelisrodek"/>
            </w:pPr>
            <w:r>
              <w:t>JCWP</w:t>
            </w:r>
            <w:r w:rsidR="001D01EA" w:rsidRPr="00795F17">
              <w:t>d</w:t>
            </w:r>
          </w:p>
        </w:tc>
        <w:tc>
          <w:tcPr>
            <w:tcW w:w="1937" w:type="dxa"/>
            <w:tcBorders>
              <w:top w:val="single" w:sz="4" w:space="0" w:color="auto"/>
              <w:left w:val="single" w:sz="4" w:space="0" w:color="auto"/>
              <w:bottom w:val="single" w:sz="4" w:space="0" w:color="auto"/>
              <w:right w:val="single" w:sz="4" w:space="0" w:color="auto"/>
            </w:tcBorders>
            <w:hideMark/>
          </w:tcPr>
          <w:p w14:paraId="67FB5054" w14:textId="6839B5B9" w:rsidR="001D01EA" w:rsidRPr="001D01EA" w:rsidRDefault="001D01EA" w:rsidP="001D01EA">
            <w:pPr>
              <w:pStyle w:val="Teksttabelisrodek"/>
            </w:pPr>
            <w:r w:rsidRPr="001D01EA">
              <w:t>7</w:t>
            </w:r>
          </w:p>
        </w:tc>
        <w:tc>
          <w:tcPr>
            <w:tcW w:w="2433" w:type="dxa"/>
            <w:tcBorders>
              <w:top w:val="single" w:sz="4" w:space="0" w:color="auto"/>
              <w:left w:val="single" w:sz="4" w:space="0" w:color="auto"/>
              <w:bottom w:val="single" w:sz="4" w:space="0" w:color="auto"/>
              <w:right w:val="single" w:sz="4" w:space="0" w:color="auto"/>
            </w:tcBorders>
            <w:hideMark/>
          </w:tcPr>
          <w:p w14:paraId="2F4597E2" w14:textId="7CD57C44" w:rsidR="001D01EA" w:rsidRPr="001D01EA" w:rsidRDefault="001D01EA" w:rsidP="001D01EA">
            <w:pPr>
              <w:pStyle w:val="Teksttabelisrodek"/>
            </w:pPr>
            <w:r w:rsidRPr="001D01EA">
              <w:t>10,6</w:t>
            </w:r>
          </w:p>
        </w:tc>
      </w:tr>
      <w:tr w:rsidR="001D01EA" w:rsidRPr="00795F17" w14:paraId="51F8770B" w14:textId="77777777" w:rsidTr="001D01EA">
        <w:trPr>
          <w:trHeight w:val="454"/>
          <w:jc w:val="center"/>
        </w:trPr>
        <w:tc>
          <w:tcPr>
            <w:tcW w:w="685" w:type="dxa"/>
            <w:tcBorders>
              <w:top w:val="single" w:sz="4" w:space="0" w:color="auto"/>
              <w:left w:val="single" w:sz="4" w:space="0" w:color="auto"/>
              <w:bottom w:val="single" w:sz="4" w:space="0" w:color="auto"/>
              <w:right w:val="single" w:sz="4" w:space="0" w:color="auto"/>
            </w:tcBorders>
          </w:tcPr>
          <w:p w14:paraId="53A22252" w14:textId="7A5E6B2E" w:rsidR="001D01EA" w:rsidRPr="00795F17" w:rsidRDefault="001D01EA" w:rsidP="001D01EA">
            <w:pPr>
              <w:pStyle w:val="Teksttabelisrodek"/>
            </w:pPr>
            <w:r w:rsidRPr="00795F17">
              <w:t>2</w:t>
            </w:r>
            <w:r>
              <w:t>2</w:t>
            </w:r>
            <w:r w:rsidRPr="00795F17">
              <w:t>.</w:t>
            </w:r>
          </w:p>
        </w:tc>
        <w:tc>
          <w:tcPr>
            <w:tcW w:w="2500" w:type="dxa"/>
            <w:tcBorders>
              <w:top w:val="single" w:sz="4" w:space="0" w:color="auto"/>
              <w:left w:val="single" w:sz="4" w:space="0" w:color="auto"/>
              <w:bottom w:val="single" w:sz="4" w:space="0" w:color="auto"/>
              <w:right w:val="single" w:sz="4" w:space="0" w:color="auto"/>
            </w:tcBorders>
            <w:hideMark/>
          </w:tcPr>
          <w:p w14:paraId="0E0B9635" w14:textId="08E61450" w:rsidR="001D01EA" w:rsidRPr="00795F17" w:rsidRDefault="001D01EA" w:rsidP="001D01EA">
            <w:pPr>
              <w:pStyle w:val="Teksttabelilewy"/>
            </w:pPr>
            <w:r w:rsidRPr="00795F17">
              <w:t xml:space="preserve">Mniej rygorystyczne cele środowiskowe ze względu na działalność człowieka </w:t>
            </w:r>
            <w:r>
              <w:t>–</w:t>
            </w:r>
            <w:r w:rsidRPr="00795F17">
              <w:t xml:space="preserve"> art.</w:t>
            </w:r>
            <w:r>
              <w:t xml:space="preserve"> </w:t>
            </w:r>
            <w:r w:rsidRPr="00795F17">
              <w:t>4 ust. 5 RDW</w:t>
            </w:r>
          </w:p>
        </w:tc>
        <w:tc>
          <w:tcPr>
            <w:tcW w:w="1482" w:type="dxa"/>
            <w:tcBorders>
              <w:top w:val="single" w:sz="4" w:space="0" w:color="auto"/>
              <w:left w:val="single" w:sz="4" w:space="0" w:color="auto"/>
              <w:bottom w:val="single" w:sz="4" w:space="0" w:color="auto"/>
              <w:right w:val="single" w:sz="4" w:space="0" w:color="auto"/>
            </w:tcBorders>
            <w:hideMark/>
          </w:tcPr>
          <w:p w14:paraId="6D8E30BD" w14:textId="77293471" w:rsidR="001D01EA" w:rsidRPr="00795F17" w:rsidRDefault="00DF005E" w:rsidP="001D01EA">
            <w:pPr>
              <w:pStyle w:val="Teksttabelisrodek"/>
            </w:pPr>
            <w:r>
              <w:t>JCWP</w:t>
            </w:r>
            <w:r w:rsidR="001D01EA" w:rsidRPr="00795F17">
              <w:t>d</w:t>
            </w:r>
          </w:p>
        </w:tc>
        <w:tc>
          <w:tcPr>
            <w:tcW w:w="1937" w:type="dxa"/>
            <w:tcBorders>
              <w:top w:val="single" w:sz="4" w:space="0" w:color="auto"/>
              <w:left w:val="single" w:sz="4" w:space="0" w:color="auto"/>
              <w:bottom w:val="single" w:sz="4" w:space="0" w:color="auto"/>
              <w:right w:val="single" w:sz="4" w:space="0" w:color="auto"/>
            </w:tcBorders>
            <w:hideMark/>
          </w:tcPr>
          <w:p w14:paraId="02F0B96D" w14:textId="05B8BB1F" w:rsidR="001D01EA" w:rsidRPr="001D01EA" w:rsidRDefault="001D01EA" w:rsidP="001D01EA">
            <w:pPr>
              <w:pStyle w:val="Teksttabelisrodek"/>
            </w:pPr>
            <w:r w:rsidRPr="001D01EA">
              <w:t>6</w:t>
            </w:r>
          </w:p>
        </w:tc>
        <w:tc>
          <w:tcPr>
            <w:tcW w:w="2433" w:type="dxa"/>
            <w:tcBorders>
              <w:top w:val="single" w:sz="4" w:space="0" w:color="auto"/>
              <w:left w:val="single" w:sz="4" w:space="0" w:color="auto"/>
              <w:bottom w:val="single" w:sz="4" w:space="0" w:color="auto"/>
              <w:right w:val="single" w:sz="4" w:space="0" w:color="auto"/>
            </w:tcBorders>
            <w:hideMark/>
          </w:tcPr>
          <w:p w14:paraId="68063A53" w14:textId="68AE4EAF" w:rsidR="001D01EA" w:rsidRPr="001D01EA" w:rsidRDefault="001D01EA" w:rsidP="001D01EA">
            <w:pPr>
              <w:pStyle w:val="Teksttabelisrodek"/>
            </w:pPr>
            <w:r w:rsidRPr="001D01EA">
              <w:t>9,1</w:t>
            </w:r>
          </w:p>
        </w:tc>
      </w:tr>
    </w:tbl>
    <w:p w14:paraId="78CF3F35" w14:textId="57E8312B" w:rsidR="00715D1B" w:rsidRPr="00795F17" w:rsidRDefault="00715D1B" w:rsidP="00A84EB0">
      <w:pPr>
        <w:pStyle w:val="Tabela-wyjasnieniapod"/>
      </w:pPr>
      <w:r w:rsidRPr="00795F17">
        <w:t xml:space="preserve">Objaśnienia: RW </w:t>
      </w:r>
      <w:r w:rsidR="003F2700">
        <w:t>–</w:t>
      </w:r>
      <w:r w:rsidRPr="00795F17">
        <w:t xml:space="preserve"> </w:t>
      </w:r>
      <w:r w:rsidR="00DF005E">
        <w:t>JCWP</w:t>
      </w:r>
      <w:r w:rsidRPr="00795F17">
        <w:t xml:space="preserve"> rzeczne, </w:t>
      </w:r>
      <w:r w:rsidR="00E64AD0" w:rsidRPr="00795F17">
        <w:t xml:space="preserve">RWr </w:t>
      </w:r>
      <w:r w:rsidR="003F2700">
        <w:t>–</w:t>
      </w:r>
      <w:r w:rsidR="00E64AD0" w:rsidRPr="00795F17">
        <w:t xml:space="preserve"> </w:t>
      </w:r>
      <w:r w:rsidR="00DF005E">
        <w:t>JCWP</w:t>
      </w:r>
      <w:r w:rsidR="00E64AD0" w:rsidRPr="00795F17">
        <w:t xml:space="preserve"> zbiornikowe, LW </w:t>
      </w:r>
      <w:r w:rsidR="003F2700">
        <w:t>–</w:t>
      </w:r>
      <w:r w:rsidR="00E64AD0" w:rsidRPr="00795F17">
        <w:t xml:space="preserve"> </w:t>
      </w:r>
      <w:r w:rsidR="00DF005E">
        <w:t>JCWP</w:t>
      </w:r>
      <w:r w:rsidR="00E64AD0" w:rsidRPr="00795F17">
        <w:t xml:space="preserve"> jeziorne, TW </w:t>
      </w:r>
      <w:r w:rsidR="003F2700">
        <w:t>–</w:t>
      </w:r>
      <w:r w:rsidR="00E64AD0" w:rsidRPr="00795F17">
        <w:t xml:space="preserve"> </w:t>
      </w:r>
      <w:r w:rsidR="00DF005E">
        <w:t>JCWP</w:t>
      </w:r>
      <w:r w:rsidR="00E64AD0" w:rsidRPr="00795F17">
        <w:t xml:space="preserve"> przejściowe, CW </w:t>
      </w:r>
      <w:r w:rsidR="003F2700">
        <w:t>–</w:t>
      </w:r>
      <w:r w:rsidR="00E64AD0" w:rsidRPr="00795F17">
        <w:t xml:space="preserve"> </w:t>
      </w:r>
      <w:r w:rsidR="00DF005E">
        <w:t>JCWP</w:t>
      </w:r>
      <w:r w:rsidR="00E64AD0" w:rsidRPr="00795F17">
        <w:t xml:space="preserve"> przybrzeżne</w:t>
      </w:r>
    </w:p>
    <w:bookmarkEnd w:id="445"/>
    <w:p w14:paraId="2A7A00C6" w14:textId="3ED1C8D3" w:rsidR="00C123DA" w:rsidRPr="00795F17" w:rsidRDefault="00C123DA" w:rsidP="0044393D">
      <w:pPr>
        <w:pStyle w:val="rdo"/>
      </w:pPr>
      <w:r w:rsidRPr="00795F17">
        <w:t xml:space="preserve">Źródło: </w:t>
      </w:r>
      <w:r w:rsidR="00FD7248" w:rsidRPr="00795F17">
        <w:t>opracowanie własne</w:t>
      </w:r>
    </w:p>
    <w:p w14:paraId="15B5A7BD" w14:textId="78FA495F" w:rsidR="00A56842" w:rsidRPr="00795F17" w:rsidRDefault="00A56842" w:rsidP="00A56842">
      <w:r w:rsidRPr="00795F17">
        <w:t xml:space="preserve">Wykaz odstępstw w trybie art. 4 ust. 4 i ust. 5 RDW przedstawiono w załączniku nr </w:t>
      </w:r>
      <w:r w:rsidR="00EB40DC">
        <w:t>1</w:t>
      </w:r>
      <w:r w:rsidR="00DC0DEF">
        <w:t>8</w:t>
      </w:r>
      <w:r w:rsidR="00B270D1" w:rsidRPr="00795F17">
        <w:t xml:space="preserve"> (Wykaz jcw wskazanych do odstępstw)</w:t>
      </w:r>
      <w:r w:rsidRPr="00795F17">
        <w:t xml:space="preserve"> w podziale na </w:t>
      </w:r>
      <w:r w:rsidR="00DF005E">
        <w:t>JCWP</w:t>
      </w:r>
      <w:r w:rsidRPr="00795F17">
        <w:t xml:space="preserve">d i </w:t>
      </w:r>
      <w:r w:rsidR="00DF005E">
        <w:t>JCWP</w:t>
      </w:r>
      <w:r w:rsidRPr="00795F17">
        <w:t xml:space="preserve"> (z wyodrębnieniem </w:t>
      </w:r>
      <w:r w:rsidR="00DF005E">
        <w:t>JCWP</w:t>
      </w:r>
      <w:r w:rsidRPr="00795F17">
        <w:t xml:space="preserve">: </w:t>
      </w:r>
      <w:r w:rsidR="000C5571">
        <w:t>RW</w:t>
      </w:r>
      <w:r w:rsidRPr="00795F17">
        <w:t xml:space="preserve">, </w:t>
      </w:r>
      <w:r w:rsidR="000C5571">
        <w:t>RWr</w:t>
      </w:r>
      <w:r w:rsidRPr="00795F17">
        <w:t xml:space="preserve">, </w:t>
      </w:r>
      <w:r w:rsidR="000C5571">
        <w:t>LW</w:t>
      </w:r>
      <w:r w:rsidR="000C5571" w:rsidRPr="00795F17">
        <w:t xml:space="preserve"> </w:t>
      </w:r>
      <w:r w:rsidRPr="00795F17">
        <w:t xml:space="preserve">oraz </w:t>
      </w:r>
      <w:r w:rsidR="000C5571">
        <w:t>TW</w:t>
      </w:r>
      <w:r w:rsidR="000C5571" w:rsidRPr="00795F17">
        <w:t xml:space="preserve"> </w:t>
      </w:r>
      <w:r w:rsidRPr="00795F17">
        <w:t xml:space="preserve">i </w:t>
      </w:r>
      <w:r w:rsidR="000C5571">
        <w:t>CW</w:t>
      </w:r>
      <w:r w:rsidRPr="00795F17">
        <w:t>). Dla każdego przypadku odstępstwa przedstawiono szczegółowe uzasadnienie</w:t>
      </w:r>
      <w:r w:rsidR="00C26BC9">
        <w:t>, na które</w:t>
      </w:r>
      <w:r w:rsidR="00113002" w:rsidRPr="00795F17">
        <w:t> </w:t>
      </w:r>
      <w:r w:rsidRPr="00795F17">
        <w:t>składają się wynikowe elementy poszczególnych kolumn, wśród których w szczególności należy wymienić:</w:t>
      </w:r>
    </w:p>
    <w:p w14:paraId="74F0B5EE" w14:textId="7BF97DC8" w:rsidR="00A56842" w:rsidRPr="00795F17" w:rsidRDefault="00A56842" w:rsidP="005635FD">
      <w:pPr>
        <w:pStyle w:val="Numerowanie"/>
        <w:numPr>
          <w:ilvl w:val="0"/>
          <w:numId w:val="88"/>
        </w:numPr>
      </w:pPr>
      <w:r w:rsidRPr="00795F17">
        <w:t xml:space="preserve">informacje o stanie wód i o presjach zagrażających celom środowiskowym, w tym: identyfikacja wskaźników determinujących ocenę stanu/potencjału ekologicznego znajdujących się w złym stanie (według danych PMŚ) lub znajdujących się pod wpływem presji zagrażającej osiągnięciu celów środowiskowych; w odniesieniu do stanu chemicznego </w:t>
      </w:r>
      <w:r w:rsidR="003F2700">
        <w:t>–</w:t>
      </w:r>
      <w:r w:rsidRPr="00795F17">
        <w:t xml:space="preserve"> zidentyfikowano wskaźniki należące do grupy substancji priorytetowych wprowadzonych dyrektywą 2013/39/UE;</w:t>
      </w:r>
    </w:p>
    <w:p w14:paraId="5180551C" w14:textId="37DC57FE" w:rsidR="00A56842" w:rsidRPr="00795F17" w:rsidRDefault="00A56842" w:rsidP="005635FD">
      <w:pPr>
        <w:pStyle w:val="Numerowanie"/>
        <w:numPr>
          <w:ilvl w:val="0"/>
          <w:numId w:val="88"/>
        </w:numPr>
      </w:pPr>
      <w:r w:rsidRPr="00795F17">
        <w:t xml:space="preserve">wskazanie przyczyny złego stanu wód lub zagrożenia osiągnięcia celu środowiskowego (z uwzględnieniem antropopresji, dopływów z innych </w:t>
      </w:r>
      <w:r w:rsidR="00DF005E">
        <w:t>JCWP</w:t>
      </w:r>
      <w:r w:rsidRPr="00795F17">
        <w:t xml:space="preserve"> oraz warunków naturalnych);</w:t>
      </w:r>
    </w:p>
    <w:p w14:paraId="434DF182" w14:textId="41094580" w:rsidR="00A56842" w:rsidRPr="00795F17" w:rsidRDefault="00A56842" w:rsidP="005635FD">
      <w:pPr>
        <w:pStyle w:val="Numerowanie"/>
        <w:numPr>
          <w:ilvl w:val="0"/>
          <w:numId w:val="88"/>
        </w:numPr>
      </w:pPr>
      <w:r w:rsidRPr="00795F17">
        <w:t>syntetyczna informacja o ocenie skuteczności programu działań (przy założeniu jego pełnego i terminowego wdrożenia) dla wskaźników determinujących zły stan wód; wyodrębniono tu wskaźniki, dla których program działań (przy założeniu jego pełnego wdrożenia):</w:t>
      </w:r>
    </w:p>
    <w:p w14:paraId="2036D601" w14:textId="2CE96BA1" w:rsidR="00A56842" w:rsidRPr="001B15D5" w:rsidRDefault="00A56842" w:rsidP="00117E86">
      <w:pPr>
        <w:pStyle w:val="Listapunktowana2"/>
      </w:pPr>
      <w:r w:rsidRPr="001B15D5">
        <w:t>daje wysoki stopień pewności na osiągnięcie celów środowiskowych,</w:t>
      </w:r>
    </w:p>
    <w:p w14:paraId="72BCACAB" w14:textId="6A69D34D" w:rsidR="00A56842" w:rsidRPr="001B15D5" w:rsidRDefault="00A56842" w:rsidP="00117E86">
      <w:pPr>
        <w:pStyle w:val="Listapunktowana2"/>
      </w:pPr>
      <w:r w:rsidRPr="001B15D5">
        <w:t>nie daje wysokiego stopnia pewności osiągnięcia celów środowiskowych;</w:t>
      </w:r>
    </w:p>
    <w:p w14:paraId="4B3900D3" w14:textId="5B2DF2B8" w:rsidR="00A56842" w:rsidRPr="00795F17" w:rsidRDefault="00A56842" w:rsidP="00A56842">
      <w:pPr>
        <w:pStyle w:val="Numerowanie"/>
      </w:pPr>
      <w:r w:rsidRPr="00795F17">
        <w:t>informacje warunkujące odstępstwo czasowe (w trybie art. 4 ust. 4 RDW):</w:t>
      </w:r>
    </w:p>
    <w:p w14:paraId="64E17D49" w14:textId="2D5B519A" w:rsidR="00A56842" w:rsidRPr="00795F17" w:rsidRDefault="00A56842" w:rsidP="00117E86">
      <w:pPr>
        <w:pStyle w:val="Listapunktowana2"/>
      </w:pPr>
      <w:r w:rsidRPr="00795F17">
        <w:t xml:space="preserve">warunki naturalne uniemożliwiające osiągnięcie celów środowiskowych w perspektywie do końca 2027 r. (lub roku 2039 </w:t>
      </w:r>
      <w:r w:rsidR="003F2700">
        <w:t>–</w:t>
      </w:r>
      <w:r w:rsidRPr="00795F17">
        <w:t xml:space="preserve"> dla substancji priorytetowych wprowadzonych dyrektywą 2013/39/UE),</w:t>
      </w:r>
    </w:p>
    <w:p w14:paraId="3990432B" w14:textId="2385D69E" w:rsidR="00A56842" w:rsidRPr="00795F17" w:rsidRDefault="00A56842" w:rsidP="00117E86">
      <w:pPr>
        <w:pStyle w:val="Listapunktowana2"/>
      </w:pPr>
      <w:r w:rsidRPr="00795F17">
        <w:t xml:space="preserve">informacje o technicznej wykonalności i proporcjonalności kosztów </w:t>
      </w:r>
      <w:r w:rsidR="00FE453B" w:rsidRPr="00795F17">
        <w:t>-</w:t>
      </w:r>
      <w:r w:rsidRPr="00795F17">
        <w:t xml:space="preserve"> w odniesieniu do substancji priorytetowych wprowadzonych dyrektywą 2013/39/UE; jeżeli występują tego typu przesłanki (tj.</w:t>
      </w:r>
      <w:r w:rsidR="009E474B" w:rsidRPr="00795F17">
        <w:t> </w:t>
      </w:r>
      <w:r w:rsidRPr="00795F17">
        <w:t>w adekwatnej komórce tabeli podano „TAK”), to należy tę informację rozumieć jako wskazanie, że terminem osiągnięcia celu środowiskowego dla ww. substancji priorytetowych jest rok 2039;</w:t>
      </w:r>
    </w:p>
    <w:p w14:paraId="6E6DA6CE" w14:textId="5ADB3F5B" w:rsidR="00A56842" w:rsidRPr="00795F17" w:rsidRDefault="00A56842" w:rsidP="00A56842">
      <w:pPr>
        <w:pStyle w:val="Numerowanie"/>
      </w:pPr>
      <w:r w:rsidRPr="00795F17">
        <w:t>informacje warunkujące ustalenie mniej rygorystycznych celów środowiskowych (odstępstwo w</w:t>
      </w:r>
      <w:r w:rsidR="009E474B" w:rsidRPr="00795F17">
        <w:t> </w:t>
      </w:r>
      <w:r w:rsidRPr="00795F17">
        <w:t>trybie art. 4 ust. 5 RDW):</w:t>
      </w:r>
    </w:p>
    <w:p w14:paraId="7FA51309" w14:textId="337041AD" w:rsidR="00A56842" w:rsidRPr="00795F17" w:rsidRDefault="00A56842" w:rsidP="00117E86">
      <w:pPr>
        <w:pStyle w:val="Listapunktowana2"/>
      </w:pPr>
      <w:r w:rsidRPr="00795F17">
        <w:t>warunki naturalne będące trwałą przyczyną nieosiągnięcia celów środowiskowych,</w:t>
      </w:r>
    </w:p>
    <w:p w14:paraId="7AD8372D" w14:textId="73536886" w:rsidR="00A56842" w:rsidRPr="00795F17" w:rsidRDefault="00A56842" w:rsidP="00117E86">
      <w:pPr>
        <w:pStyle w:val="Listapunktowana2"/>
      </w:pPr>
      <w:r w:rsidRPr="00795F17">
        <w:t>dominujące źródło presji antropogenicznej determinującej stan wód,</w:t>
      </w:r>
    </w:p>
    <w:p w14:paraId="53C9C3BD" w14:textId="235642CF" w:rsidR="00A56842" w:rsidRPr="00795F17" w:rsidRDefault="00A56842" w:rsidP="00117E86">
      <w:pPr>
        <w:pStyle w:val="Listapunktowana2"/>
      </w:pPr>
      <w:r w:rsidRPr="00795F17">
        <w:t>potrzeba społeczno-ekonomiczna zaspokajana przez źródło presji antropogenicznej determinującej stan wód w stopniu zagrażającym osiągnięciu celów środowiskowych,</w:t>
      </w:r>
    </w:p>
    <w:p w14:paraId="7E671661" w14:textId="59C24FD0" w:rsidR="00A56842" w:rsidRPr="00795F17" w:rsidRDefault="00A56842" w:rsidP="00117E86">
      <w:pPr>
        <w:pStyle w:val="Listapunktowana2"/>
      </w:pPr>
      <w:r w:rsidRPr="00795F17">
        <w:t>uzasadnienie braku alternatywnych opcji;</w:t>
      </w:r>
    </w:p>
    <w:p w14:paraId="53D27695" w14:textId="103D8E08" w:rsidR="00A56842" w:rsidRPr="00795F17" w:rsidRDefault="00A56842" w:rsidP="00A56842">
      <w:pPr>
        <w:pStyle w:val="Numerowanie"/>
      </w:pPr>
      <w:r w:rsidRPr="00795F17">
        <w:t>podsumowaniem tabeli są kolumny przedstawiające wskaźniki, których cel środowiskowy:</w:t>
      </w:r>
    </w:p>
    <w:p w14:paraId="4C1C08F8" w14:textId="1DDC7BE6" w:rsidR="00A56842" w:rsidRPr="00795F17" w:rsidRDefault="00A56842" w:rsidP="00117E86">
      <w:pPr>
        <w:pStyle w:val="Listapunktowana2"/>
      </w:pPr>
      <w:r w:rsidRPr="00795F17">
        <w:t>może być odroczony w czasie,</w:t>
      </w:r>
    </w:p>
    <w:p w14:paraId="11120FB6" w14:textId="39386749" w:rsidR="00A56842" w:rsidRPr="00795F17" w:rsidRDefault="00A56842" w:rsidP="00117E86">
      <w:pPr>
        <w:pStyle w:val="Listapunktowana2"/>
      </w:pPr>
      <w:r w:rsidRPr="00795F17">
        <w:t xml:space="preserve">może być złagodzony do poziomu poniżej </w:t>
      </w:r>
      <w:r w:rsidR="00B5077A" w:rsidRPr="00656A23">
        <w:t>stan</w:t>
      </w:r>
      <w:r w:rsidR="00B5077A">
        <w:t>u</w:t>
      </w:r>
      <w:r w:rsidR="00B5077A" w:rsidRPr="00656A23">
        <w:t xml:space="preserve"> </w:t>
      </w:r>
      <w:bookmarkStart w:id="446" w:name="_Hlk86478854"/>
      <w:r w:rsidR="00B5077A" w:rsidRPr="00656A23">
        <w:t>dobre</w:t>
      </w:r>
      <w:r w:rsidR="00B5077A">
        <w:t>go</w:t>
      </w:r>
      <w:r w:rsidR="00B5077A" w:rsidRPr="00656A23">
        <w:t xml:space="preserve"> </w:t>
      </w:r>
      <w:bookmarkStart w:id="447" w:name="_Hlk86479397"/>
      <w:r w:rsidR="00B5077A">
        <w:t xml:space="preserve">(w odniesieniu do wskaźników stanu lub potencjału ekologicznego </w:t>
      </w:r>
      <w:r w:rsidR="00DF005E">
        <w:t>JCWP</w:t>
      </w:r>
      <w:r w:rsidR="00B5077A">
        <w:t xml:space="preserve"> lub stanu ilościowego </w:t>
      </w:r>
      <w:r w:rsidR="00DF005E">
        <w:t>JCWP</w:t>
      </w:r>
      <w:r w:rsidR="00B5077A">
        <w:t>d) lub poniżej środowiskowych norm jakości (w odniesieniu do wskaźników stanu chemicznego);</w:t>
      </w:r>
      <w:bookmarkEnd w:id="447"/>
      <w:r w:rsidR="00B5077A">
        <w:t xml:space="preserve"> </w:t>
      </w:r>
      <w:bookmarkEnd w:id="446"/>
      <w:r w:rsidRPr="00795F17">
        <w:t xml:space="preserve">dla takich wskaźników nie może nastąpić dalsze pogorszenie stanu wód </w:t>
      </w:r>
      <w:r w:rsidR="003F2700">
        <w:t>–</w:t>
      </w:r>
      <w:r w:rsidRPr="00795F17">
        <w:t xml:space="preserve"> za wyjątkiem odstępstwa w</w:t>
      </w:r>
      <w:r w:rsidR="001B15D5">
        <w:t> </w:t>
      </w:r>
      <w:r w:rsidRPr="00795F17">
        <w:t xml:space="preserve">trybie art. 4 ust. 6 lub </w:t>
      </w:r>
      <w:r w:rsidR="008642AB">
        <w:t>ust.</w:t>
      </w:r>
      <w:r w:rsidR="00A22ED2">
        <w:t xml:space="preserve"> </w:t>
      </w:r>
      <w:r w:rsidRPr="00795F17">
        <w:t>7 RDW.</w:t>
      </w:r>
    </w:p>
    <w:p w14:paraId="152E7D86" w14:textId="4C08B713" w:rsidR="00A230D1" w:rsidRPr="00795F17" w:rsidRDefault="00A230D1" w:rsidP="00C53C86">
      <w:pPr>
        <w:pStyle w:val="Nagwek2"/>
        <w:rPr>
          <w:lang w:eastAsia="zh-TW"/>
        </w:rPr>
      </w:pPr>
      <w:bookmarkStart w:id="448" w:name="_Toc66347807"/>
      <w:bookmarkStart w:id="449" w:name="_Toc105512663"/>
      <w:r w:rsidRPr="00795F17">
        <w:rPr>
          <w:lang w:eastAsia="zh-TW"/>
        </w:rPr>
        <w:t>Cele środowiskowe a czasowe pogorszenie stanu jcw w wyniku zjawisk o</w:t>
      </w:r>
      <w:r w:rsidR="00EC019C" w:rsidRPr="00795F17">
        <w:rPr>
          <w:lang w:eastAsia="zh-TW"/>
        </w:rPr>
        <w:t> </w:t>
      </w:r>
      <w:r w:rsidRPr="00795F17">
        <w:rPr>
          <w:lang w:eastAsia="zh-TW"/>
        </w:rPr>
        <w:t>charakterze naturalnym lub na skutek siły wyższej</w:t>
      </w:r>
      <w:bookmarkEnd w:id="448"/>
      <w:bookmarkEnd w:id="449"/>
    </w:p>
    <w:p w14:paraId="339246A9" w14:textId="6D774FD3" w:rsidR="00A230D1" w:rsidRPr="00795F17" w:rsidRDefault="00EC076C" w:rsidP="00A84EB0">
      <w:r>
        <w:t>P</w:t>
      </w:r>
      <w:r w:rsidR="00A230D1" w:rsidRPr="00795F17">
        <w:t>r.w. wskazuje w art. 65 ust. 1 (w ślad za art. 4 ust. 6 RDW) warunki dopuszczalności odstępstwa polegającego na czasowym pogorszeniu stanu wód w wyniku zjawisk o charakterze naturalnym lub będących skutkiem siły wyższej, nadzwyczajnych lub niemożliwych do przewidzenia, w</w:t>
      </w:r>
      <w:r w:rsidR="00A84EB0" w:rsidRPr="00795F17">
        <w:t> </w:t>
      </w:r>
      <w:r w:rsidR="00A230D1" w:rsidRPr="00795F17">
        <w:t xml:space="preserve">szczególności ekstremalnych zjawisk powodziowych lub długotrwałej suszy, zdarzeń o charakterze terrorystycznym, zakłócenia funkcjonowania infrastruktury krytycznej w rozumieniu art. 3 pkt 2 ustawy z dnia 26 kwietnia 2007 r. o zarządzaniu kryzysowym (Dz.U. </w:t>
      </w:r>
      <w:r w:rsidR="000B5A51" w:rsidRPr="00795F17">
        <w:t xml:space="preserve">z </w:t>
      </w:r>
      <w:r w:rsidR="00CB4423" w:rsidRPr="00795F17">
        <w:t>202</w:t>
      </w:r>
      <w:r w:rsidR="00CB4423">
        <w:t>2</w:t>
      </w:r>
      <w:r w:rsidR="00CB4423" w:rsidRPr="00795F17">
        <w:t xml:space="preserve"> </w:t>
      </w:r>
      <w:r w:rsidR="000B5A51" w:rsidRPr="00795F17">
        <w:t xml:space="preserve">r. poz. </w:t>
      </w:r>
      <w:r w:rsidR="00CB4423">
        <w:t>261</w:t>
      </w:r>
      <w:r w:rsidR="000B5A51" w:rsidRPr="00795F17">
        <w:t xml:space="preserve"> z późn. zm.</w:t>
      </w:r>
      <w:r w:rsidR="00A230D1" w:rsidRPr="00795F17">
        <w:t>) bądź niedających się przewidzieć katastrof. Powyższe zjawiska nie muszą zostać objęte stanem klęski żywiołowej.</w:t>
      </w:r>
    </w:p>
    <w:p w14:paraId="0DAD9817" w14:textId="373CB5C1" w:rsidR="00A230D1" w:rsidRPr="00795F17" w:rsidRDefault="00A230D1" w:rsidP="00A84EB0">
      <w:r w:rsidRPr="00795F17">
        <w:t>Wśród warunków dopuszczalności ww. odstępstwa wymienia się m.in. zawarcie w planie gospodarowania wodami warunków i wskaźników kwalifikowania okoliczności i zjawisk powodujących czasowe pogorszenie stanu jcw. Ponadto działania, jakie powinny być podjęte w takich wyjątkowych okolicznościach, również muszą być włączone w program działań i nie zagrażać odzyskaniu jakości przez część wód po ustaniu tych okoliczności. Oddziaływania okoliczności i zjawisk powodujących czasowe pogorszenie stanu jednolitych części wód powinny być corocznie analizowane, a</w:t>
      </w:r>
      <w:r w:rsidR="00A84EB0" w:rsidRPr="00795F17">
        <w:t> </w:t>
      </w:r>
      <w:r w:rsidRPr="00795F17">
        <w:t>podsumowanie skutków tych okoliczności oraz działań podjętych (lub które będą podjęte) musi być zawarte w następnym uaktualnieniu PGW.</w:t>
      </w:r>
    </w:p>
    <w:p w14:paraId="57B063E6" w14:textId="77777777" w:rsidR="00A230D1" w:rsidRPr="00795F17" w:rsidRDefault="00A230D1" w:rsidP="0044393D">
      <w:r w:rsidRPr="00795F17">
        <w:t>Dotychczas obowiązujące aPGW nie określały:</w:t>
      </w:r>
    </w:p>
    <w:p w14:paraId="24F55B94" w14:textId="77777777" w:rsidR="00A230D1" w:rsidRPr="00795F17" w:rsidRDefault="00A230D1" w:rsidP="00117E86">
      <w:pPr>
        <w:pStyle w:val="Listapunktowana2"/>
      </w:pPr>
      <w:r w:rsidRPr="00795F17">
        <w:t>warunków, w których okoliczności wyjątkowe lub niedające się racjonalnie przewidzieć mogą być ogłoszone, włączając przyjęcie właściwych wskaźników;</w:t>
      </w:r>
    </w:p>
    <w:p w14:paraId="73C6FB41" w14:textId="3EF6894D" w:rsidR="00A230D1" w:rsidRPr="00795F17" w:rsidRDefault="00A230D1" w:rsidP="00117E86">
      <w:pPr>
        <w:pStyle w:val="Listapunktowana2"/>
      </w:pPr>
      <w:r w:rsidRPr="00795F17">
        <w:t>działań, jakie powinny być podjęte w takich wyjątkowych okolicznościach (powinny być</w:t>
      </w:r>
      <w:r w:rsidR="00377DD3" w:rsidRPr="00795F17">
        <w:t> </w:t>
      </w:r>
      <w:r w:rsidRPr="00795F17">
        <w:t>włączone w program działań i nie zagrażać odzyskaniu jakości przez część wód po ustaniu tych okoliczności).</w:t>
      </w:r>
    </w:p>
    <w:p w14:paraId="33A1D92F" w14:textId="66C3C86F" w:rsidR="00A230D1" w:rsidRPr="00795F17" w:rsidRDefault="00A230D1" w:rsidP="0044393D">
      <w:r w:rsidRPr="00795F17">
        <w:t>W związku z powyższym w niniejszym dokumencie nie ma możliwości przedstawienia informacji o</w:t>
      </w:r>
      <w:r w:rsidR="00A84EB0" w:rsidRPr="00795F17">
        <w:t> </w:t>
      </w:r>
      <w:r w:rsidRPr="00795F17">
        <w:t>dopuszczalności odstępstwa wynikającego z art. 4 ust. 6 RDW w odniesieniu do zjawisk występujących w III cyklu planistyczn</w:t>
      </w:r>
      <w:r w:rsidR="00C53C86">
        <w:t>ym</w:t>
      </w:r>
      <w:r w:rsidRPr="00795F17">
        <w:t xml:space="preserve">. Niemniej w ramach </w:t>
      </w:r>
      <w:r w:rsidRPr="00795F17">
        <w:rPr>
          <w:i/>
          <w:iCs/>
        </w:rPr>
        <w:t xml:space="preserve">Analizy znaczących oddziaływań </w:t>
      </w:r>
      <w:r w:rsidR="003F2700">
        <w:rPr>
          <w:i/>
          <w:iCs/>
        </w:rPr>
        <w:t>–</w:t>
      </w:r>
      <w:r w:rsidRPr="00795F17">
        <w:rPr>
          <w:i/>
          <w:iCs/>
        </w:rPr>
        <w:t xml:space="preserve"> </w:t>
      </w:r>
      <w:r w:rsidR="00DF005E">
        <w:rPr>
          <w:i/>
          <w:iCs/>
        </w:rPr>
        <w:t>JCWP</w:t>
      </w:r>
      <w:r w:rsidRPr="00795F17">
        <w:rPr>
          <w:i/>
          <w:iCs/>
        </w:rPr>
        <w:t xml:space="preserve"> (…)</w:t>
      </w:r>
      <w:r w:rsidR="00975166">
        <w:rPr>
          <w:rStyle w:val="Odwoanieprzypisudolnego"/>
          <w:i/>
          <w:iCs/>
        </w:rPr>
        <w:footnoteReference w:id="68"/>
      </w:r>
      <w:r w:rsidRPr="00795F17">
        <w:rPr>
          <w:i/>
          <w:iCs/>
        </w:rPr>
        <w:t xml:space="preserve"> </w:t>
      </w:r>
      <w:r w:rsidRPr="00795F17">
        <w:t>uwzględniono zjawiska naturalne w postaci susz i powodzi, które mogły się przyczynić do</w:t>
      </w:r>
      <w:r w:rsidR="0084194B" w:rsidRPr="00795F17">
        <w:t> </w:t>
      </w:r>
      <w:r w:rsidRPr="00795F17">
        <w:t>nieosiągnięcia celów środowiskowych.</w:t>
      </w:r>
    </w:p>
    <w:p w14:paraId="6315C18E" w14:textId="4B5F860B" w:rsidR="00A230D1" w:rsidRPr="00795F17" w:rsidRDefault="00A230D1" w:rsidP="0044393D">
      <w:r w:rsidRPr="00795F17">
        <w:t>W ramach niniejszego IIaPGW ustanawia się następujące definicje zjawisk i ich wskaźniki, które powinny być traktowane jako jedna z przesłanek (art. 65 ust. 1 pkt 2 pr.w.) warunkujących zastosowanie ww. odstępstwa:</w:t>
      </w:r>
    </w:p>
    <w:p w14:paraId="54AF4A7D" w14:textId="4B5CC538" w:rsidR="00A230D1" w:rsidRPr="00795F17" w:rsidRDefault="00A230D1" w:rsidP="0044393D">
      <w:r w:rsidRPr="00795F17">
        <w:rPr>
          <w:b/>
          <w:bCs/>
        </w:rPr>
        <w:t>Okoliczności charakteru naturalnego lub siły wyższe</w:t>
      </w:r>
      <w:r w:rsidRPr="00795F17">
        <w:t xml:space="preserve"> </w:t>
      </w:r>
      <w:r w:rsidR="003F2700">
        <w:t>–</w:t>
      </w:r>
      <w:r w:rsidRPr="00795F17">
        <w:rPr>
          <w:b/>
          <w:bCs/>
        </w:rPr>
        <w:t xml:space="preserve"> </w:t>
      </w:r>
      <w:r w:rsidRPr="00795F17">
        <w:t>wszelkie nie</w:t>
      </w:r>
      <w:r w:rsidR="00546D3A" w:rsidRPr="00795F17">
        <w:t xml:space="preserve"> </w:t>
      </w:r>
      <w:r w:rsidRPr="00795F17">
        <w:t>dające się przewidzieć i</w:t>
      </w:r>
      <w:r w:rsidR="00DF75ED">
        <w:t> </w:t>
      </w:r>
      <w:r w:rsidRPr="00795F17">
        <w:t xml:space="preserve">niemożliwe do zapobieżenia zdarzenia wynikające z działań sił przyrody, które doprowadziły do naruszenia zakładanych wskaźników stanu/potencjału ekologicznego lub chemicznego </w:t>
      </w:r>
      <w:r w:rsidR="00DF005E">
        <w:t>JCWP</w:t>
      </w:r>
      <w:r w:rsidRPr="00795F17">
        <w:t xml:space="preserve"> i obniżenia ich o co najmniej jedną klasę </w:t>
      </w:r>
      <w:r w:rsidR="003F2700">
        <w:t>–</w:t>
      </w:r>
      <w:r w:rsidRPr="00795F17">
        <w:t xml:space="preserve"> z zastrzeżeniem, że skutki, o których mowa, mogą utrzymać </w:t>
      </w:r>
      <w:r w:rsidR="00546D3A" w:rsidRPr="00795F17">
        <w:t xml:space="preserve">się </w:t>
      </w:r>
      <w:r w:rsidRPr="00795F17">
        <w:t>przez co</w:t>
      </w:r>
      <w:r w:rsidR="00A84EB0" w:rsidRPr="00795F17">
        <w:t> </w:t>
      </w:r>
      <w:r w:rsidRPr="00795F17">
        <w:t>najmniej 60 dni, a przywrócenie stanu wód sprzed wystąpienia zdarzenia losowego wymaga ingerencji człowieka.</w:t>
      </w:r>
    </w:p>
    <w:p w14:paraId="63C97872" w14:textId="3B6FA4F5" w:rsidR="00A230D1" w:rsidRPr="00795F17" w:rsidRDefault="00A230D1" w:rsidP="0044393D">
      <w:r w:rsidRPr="00795F17">
        <w:rPr>
          <w:b/>
          <w:bCs/>
        </w:rPr>
        <w:t>Ekstremalna powódź</w:t>
      </w:r>
      <w:r w:rsidRPr="00795F17">
        <w:t xml:space="preserve"> </w:t>
      </w:r>
      <w:r w:rsidR="003F2700">
        <w:t>–</w:t>
      </w:r>
      <w:r w:rsidRPr="00795F17">
        <w:t xml:space="preserve"> każdy z typów powodzi (powódź rzeczna, opadowa, od wód gruntowych, od</w:t>
      </w:r>
      <w:r w:rsidR="00A84EB0" w:rsidRPr="00795F17">
        <w:t> </w:t>
      </w:r>
      <w:r w:rsidRPr="00795F17">
        <w:t xml:space="preserve">strony morza, w wyniku nieprzewidzianej awarii urządzeń hydrotechnicznych oraz wywołana innymi czynnikami, w tym o nieznanej genezie), który doprowadził do naruszenia zakładanych wskaźników stanu/potencjału ekologicznego lub chemicznego </w:t>
      </w:r>
      <w:r w:rsidR="00DF005E">
        <w:t>JCWP</w:t>
      </w:r>
      <w:r w:rsidRPr="00795F17">
        <w:t xml:space="preserve"> i obniżenia ich o co najmniej jedną klasę </w:t>
      </w:r>
      <w:r w:rsidR="003F2700">
        <w:t>–</w:t>
      </w:r>
      <w:r w:rsidRPr="00795F17">
        <w:t xml:space="preserve"> z zastrzeżeniem, że skutki o których mowa, mogą utrzymać </w:t>
      </w:r>
      <w:r w:rsidR="00546D3A" w:rsidRPr="00795F17">
        <w:t xml:space="preserve">się </w:t>
      </w:r>
      <w:r w:rsidRPr="00795F17">
        <w:t>przez co najmniej 60 dni, a</w:t>
      </w:r>
      <w:r w:rsidR="00A84EB0" w:rsidRPr="00795F17">
        <w:t> </w:t>
      </w:r>
      <w:r w:rsidRPr="00795F17">
        <w:t>przywrócenie stanu wód sprzed wystąpienia powodzi wymaga natychmiastowej ingerencji człowieka.</w:t>
      </w:r>
    </w:p>
    <w:p w14:paraId="431EA1DA" w14:textId="703F6ADC" w:rsidR="00A230D1" w:rsidRPr="00795F17" w:rsidRDefault="00A230D1" w:rsidP="0044393D">
      <w:r w:rsidRPr="00795F17">
        <w:rPr>
          <w:b/>
          <w:bCs/>
        </w:rPr>
        <w:t>Przedłużająca się susza</w:t>
      </w:r>
      <w:r w:rsidRPr="00795F17">
        <w:t xml:space="preserve"> </w:t>
      </w:r>
      <w:r w:rsidR="003F2700">
        <w:t>–</w:t>
      </w:r>
      <w:r w:rsidRPr="00795F17">
        <w:t xml:space="preserve"> zjawisko polegające na wystąpieniu suszy hydrologicznej lub</w:t>
      </w:r>
      <w:r w:rsidR="0084194B" w:rsidRPr="00795F17">
        <w:t> </w:t>
      </w:r>
      <w:r w:rsidRPr="00795F17">
        <w:t xml:space="preserve">hydrogeologicznej na poziomie lokalnym, subregionalnym </w:t>
      </w:r>
      <w:r w:rsidR="00546D3A" w:rsidRPr="00795F17">
        <w:t>lub</w:t>
      </w:r>
      <w:r w:rsidRPr="00795F17">
        <w:t xml:space="preserve"> regionalnym, które doprowadziło do</w:t>
      </w:r>
      <w:r w:rsidR="00A84EB0" w:rsidRPr="00795F17">
        <w:t> </w:t>
      </w:r>
      <w:r w:rsidRPr="00795F17">
        <w:t xml:space="preserve">naruszenia zakładanych wskaźników stanu/potencjału ekologicznego lub chemicznego </w:t>
      </w:r>
      <w:r w:rsidR="00DF005E">
        <w:t>JCWP</w:t>
      </w:r>
      <w:r w:rsidRPr="00795F17">
        <w:t xml:space="preserve"> (lub:</w:t>
      </w:r>
      <w:r w:rsidR="00113002" w:rsidRPr="00795F17">
        <w:t> </w:t>
      </w:r>
      <w:r w:rsidRPr="00795F17">
        <w:t xml:space="preserve">stanu ilościowego i chemicznego </w:t>
      </w:r>
      <w:r w:rsidR="00DF005E">
        <w:t>JCWP</w:t>
      </w:r>
      <w:r w:rsidRPr="00795F17">
        <w:t>d) i obniżenia ich o co najmniej jedną klasę</w:t>
      </w:r>
      <w:r w:rsidRPr="00795F17" w:rsidDel="003F2700">
        <w:t xml:space="preserve"> </w:t>
      </w:r>
      <w:r w:rsidRPr="00795F17">
        <w:t>z</w:t>
      </w:r>
      <w:r w:rsidR="00113002" w:rsidRPr="00795F17">
        <w:t> </w:t>
      </w:r>
      <w:r w:rsidRPr="00795F17">
        <w:t>zastrzeżeniem, że skutki, o których mowa, utrzymują się przez co najmniej 60 dni, a przywrócenie stanu wód sprzed wystąpienia suszy wymaga ingerencji człowieka.</w:t>
      </w:r>
    </w:p>
    <w:p w14:paraId="09340C61" w14:textId="51E3E5F2" w:rsidR="00A230D1" w:rsidRPr="00795F17" w:rsidRDefault="00A230D1" w:rsidP="0044393D">
      <w:r w:rsidRPr="00795F17">
        <w:rPr>
          <w:b/>
          <w:bCs/>
        </w:rPr>
        <w:t>Nieprzewidziana awaria</w:t>
      </w:r>
      <w:r w:rsidRPr="00795F17">
        <w:t xml:space="preserve"> </w:t>
      </w:r>
      <w:r w:rsidR="003F2700">
        <w:t>–</w:t>
      </w:r>
      <w:r w:rsidRPr="00795F17">
        <w:t xml:space="preserve"> nieprzewidziana poważna awaria jakiegokolwiek zakładu, instalacji lub</w:t>
      </w:r>
      <w:r w:rsidR="00377DD3" w:rsidRPr="00795F17">
        <w:t> </w:t>
      </w:r>
      <w:r w:rsidRPr="00795F17">
        <w:t xml:space="preserve">urządzenia, w wyniku której do środowiska wodnego przedostały się substancje powodujące naruszenie zakładanych wskaźników stanu/potencjału ekologicznego lub chemicznego </w:t>
      </w:r>
      <w:r w:rsidR="00DF005E">
        <w:t>JCWP</w:t>
      </w:r>
      <w:r w:rsidRPr="00795F17">
        <w:t xml:space="preserve"> i obniżenia ich o co najmniej jedną klasę </w:t>
      </w:r>
      <w:r w:rsidR="003F2700">
        <w:t>–</w:t>
      </w:r>
      <w:r w:rsidRPr="00795F17">
        <w:t xml:space="preserve"> z zastrzeżeniem, że skutki, o których mowa, mogą utrzymać </w:t>
      </w:r>
      <w:r w:rsidR="00546D3A" w:rsidRPr="00795F17">
        <w:t xml:space="preserve">się </w:t>
      </w:r>
      <w:r w:rsidRPr="00795F17">
        <w:t>przez co</w:t>
      </w:r>
      <w:r w:rsidR="00A84EB0" w:rsidRPr="00795F17">
        <w:t> </w:t>
      </w:r>
      <w:r w:rsidRPr="00795F17">
        <w:t>najmniej 60 dni, a przywrócenie pierwotnego stanu wód sprzed wystąpienia awarii wymaga natychmiastowej ingerencji człowieka. Z pewnością powinny to być awarie, o których mowa w</w:t>
      </w:r>
      <w:r w:rsidR="00A84EB0" w:rsidRPr="00795F17">
        <w:t> </w:t>
      </w:r>
      <w:r w:rsidRPr="00795F17">
        <w:t>rozporządzeniu Ministra Środowiska z dnia 30 grudnia 2002 r. w sprawie poważnych awarii objętych obowiązkiem zgłoszenia do Głównego Inspektora Ochrony Środowiska</w:t>
      </w:r>
      <w:r w:rsidR="00B55A80">
        <w:t xml:space="preserve"> (</w:t>
      </w:r>
      <w:r w:rsidR="00DC189E">
        <w:t xml:space="preserve">tekst jednolity </w:t>
      </w:r>
      <w:r w:rsidR="00B55A80" w:rsidRPr="009E7730">
        <w:t>Dz.U. z 20</w:t>
      </w:r>
      <w:r w:rsidR="00DC189E">
        <w:t>21 </w:t>
      </w:r>
      <w:r w:rsidR="00B55A80" w:rsidRPr="009E7730">
        <w:t xml:space="preserve">r. poz. </w:t>
      </w:r>
      <w:r w:rsidR="00E9548A">
        <w:t>1555</w:t>
      </w:r>
      <w:r w:rsidR="00B55A80" w:rsidRPr="009E7730">
        <w:t>)</w:t>
      </w:r>
      <w:r w:rsidRPr="00795F17">
        <w:t>.</w:t>
      </w:r>
    </w:p>
    <w:p w14:paraId="6777AC94" w14:textId="77777777" w:rsidR="001C46F7" w:rsidRDefault="00A230D1" w:rsidP="0044393D">
      <w:r w:rsidRPr="00795F17">
        <w:t>Przedstawione powyżej definicje i wskaźniki uwzględniają specyfikę i cele RDW oraz odnoszą się</w:t>
      </w:r>
      <w:r w:rsidR="00113002" w:rsidRPr="00795F17">
        <w:t> </w:t>
      </w:r>
      <w:r w:rsidRPr="00795F17">
        <w:t>do</w:t>
      </w:r>
      <w:r w:rsidR="00A84EB0" w:rsidRPr="00795F17">
        <w:t> </w:t>
      </w:r>
      <w:r w:rsidRPr="00795F17">
        <w:t>celów środowiskowych w zakresie stanu lub potencjału ekologicznego oraz stanu chemicznego, którego osiągnięcie zostało czasowo uniemożliwione</w:t>
      </w:r>
      <w:bookmarkEnd w:id="433"/>
      <w:r w:rsidRPr="00795F17">
        <w:t>.</w:t>
      </w:r>
      <w:bookmarkEnd w:id="435"/>
    </w:p>
    <w:p w14:paraId="32D55C5A" w14:textId="3F98E435" w:rsidR="0028798B" w:rsidRPr="00795F17" w:rsidRDefault="0028798B" w:rsidP="0044393D">
      <w:r w:rsidRPr="00795F17">
        <w:br w:type="page"/>
      </w:r>
    </w:p>
    <w:p w14:paraId="0E642F50" w14:textId="77777777" w:rsidR="000B010A" w:rsidRPr="00795F17" w:rsidRDefault="000B010A" w:rsidP="00BA6B41">
      <w:pPr>
        <w:pStyle w:val="Nagwek1"/>
      </w:pPr>
      <w:bookmarkStart w:id="450" w:name="_Toc66272274"/>
      <w:bookmarkStart w:id="451" w:name="_Toc66347808"/>
      <w:bookmarkStart w:id="452" w:name="_Toc105512664"/>
      <w:bookmarkStart w:id="453" w:name="_Toc51050049"/>
      <w:bookmarkEnd w:id="13"/>
      <w:bookmarkEnd w:id="298"/>
      <w:r w:rsidRPr="00795F17">
        <w:t>Ocena postępu w osiąganiu celów środowiskowych</w:t>
      </w:r>
      <w:bookmarkEnd w:id="450"/>
      <w:bookmarkEnd w:id="451"/>
      <w:bookmarkEnd w:id="452"/>
    </w:p>
    <w:p w14:paraId="5235185A" w14:textId="26D6DBA4" w:rsidR="00CE597F" w:rsidRPr="00795F17" w:rsidRDefault="00CE597F" w:rsidP="0044393D">
      <w:pPr>
        <w:rPr>
          <w:bCs/>
        </w:rPr>
      </w:pPr>
      <w:r w:rsidRPr="00795F17">
        <w:t>Nowy układ planistyczny wprowadzony IIaPGW determinuje konieczność przedstawienia danych i</w:t>
      </w:r>
      <w:r w:rsidR="00896ED4" w:rsidRPr="00795F17">
        <w:t> </w:t>
      </w:r>
      <w:r w:rsidRPr="00795F17">
        <w:t xml:space="preserve">informacji równocześnie dla dwóch perspektyw czasowych dla zachowania spójności i ciągłości informacji pomiędzy następującymi po sobie cyklami planistycznymi. Zgodnie z informacjami prezentowanymi we wcześniejszych rozdziałach, zmiana układu jednostek planistycznych poza wpływem na możliwość przeniesienia ocen stanu </w:t>
      </w:r>
      <w:r w:rsidR="00DF005E">
        <w:t>JCWP</w:t>
      </w:r>
      <w:r w:rsidRPr="00795F17">
        <w:t xml:space="preserve"> na nowy układ, miała również wpływ na</w:t>
      </w:r>
      <w:r w:rsidR="00896ED4" w:rsidRPr="00795F17">
        <w:t> </w:t>
      </w:r>
      <w:r w:rsidRPr="00795F17">
        <w:t xml:space="preserve">możliwość ustalenia celów środowiskowych dla </w:t>
      </w:r>
      <w:r w:rsidR="00DF005E">
        <w:t>JCWP</w:t>
      </w:r>
      <w:r w:rsidRPr="00795F17">
        <w:t xml:space="preserve">. Cele środowiskowe ustalone dla </w:t>
      </w:r>
      <w:r w:rsidR="00DF005E">
        <w:t>JCWP</w:t>
      </w:r>
      <w:r w:rsidRPr="00795F17">
        <w:t xml:space="preserve"> w aPGW (2016</w:t>
      </w:r>
      <w:r w:rsidR="003F2700">
        <w:t>–</w:t>
      </w:r>
      <w:r w:rsidRPr="00795F17">
        <w:t>2021) w wyniku konieczności przeniesienia na nowy układ planistyczny nie w każdym przypadku zostały ustalone. Ocena postępu w osiąganiu celów środowiskowych jest procesem kontynuowanym w każdej kolejnej aktualizacji planów gospodarowania wodami, dlatego też dla zachowania ciągłości procesu konieczne jest przedstawienie oceny postępu zarówno w odniesieniu do układu jednostek planistycznych obowiązującego w aPGW (2016</w:t>
      </w:r>
      <w:r w:rsidR="003F2700">
        <w:t>–</w:t>
      </w:r>
      <w:r w:rsidRPr="00795F17">
        <w:t xml:space="preserve">2021) </w:t>
      </w:r>
      <w:r w:rsidR="003F2700">
        <w:t>–</w:t>
      </w:r>
      <w:r w:rsidRPr="00795F17">
        <w:t xml:space="preserve"> jako element sprawozdawczy dla zakończonego cyklu planistycznego, ale również dla nowego, aktualnie obowiązującego układu jednostek planistycznych (IIaPGW) co stanowić będzie punkt odniesienia dla oceny postępu w </w:t>
      </w:r>
      <w:r w:rsidR="00BD3CF4">
        <w:t> </w:t>
      </w:r>
      <w:r w:rsidRPr="00795F17">
        <w:t>osiąganiu celów w</w:t>
      </w:r>
      <w:r w:rsidR="00896ED4" w:rsidRPr="00795F17">
        <w:t> </w:t>
      </w:r>
      <w:r w:rsidRPr="00795F17">
        <w:t>kolejnej aktualizacji planów gospodarowania wodami.</w:t>
      </w:r>
    </w:p>
    <w:p w14:paraId="59F41640" w14:textId="3FA96D3E" w:rsidR="00CE597F" w:rsidRPr="00795F17" w:rsidRDefault="00CE597F" w:rsidP="0044393D">
      <w:r w:rsidRPr="00795F17">
        <w:t>Poniżej zaprezentowane zostały dokonane oceny postępu w osiąganiu celów środowiskowych dla</w:t>
      </w:r>
      <w:r w:rsidR="00896ED4" w:rsidRPr="00795F17">
        <w:t> </w:t>
      </w:r>
      <w:r w:rsidRPr="00795F17">
        <w:t xml:space="preserve">poszczególnych kategorii wód obszaru dorzecza </w:t>
      </w:r>
      <w:r w:rsidR="00577C8D" w:rsidRPr="00795F17">
        <w:t>Odry</w:t>
      </w:r>
      <w:r w:rsidRPr="00795F17">
        <w:t xml:space="preserve">. </w:t>
      </w:r>
    </w:p>
    <w:p w14:paraId="04068220" w14:textId="065EC7EA" w:rsidR="00CE597F" w:rsidRPr="00795F17" w:rsidRDefault="00CE597F" w:rsidP="0044393D">
      <w:r w:rsidRPr="00795F17">
        <w:rPr>
          <w:bCs/>
        </w:rPr>
        <w:t>W</w:t>
      </w:r>
      <w:r w:rsidRPr="00795F17">
        <w:t xml:space="preserve"> ramach analiz stanu </w:t>
      </w:r>
      <w:r w:rsidR="00DF005E">
        <w:t>JCWP</w:t>
      </w:r>
      <w:r w:rsidRPr="00795F17">
        <w:rPr>
          <w:bCs/>
        </w:rPr>
        <w:t>, poza zidentyfikowaną presją (rozdział 7 IIaPGW),</w:t>
      </w:r>
      <w:r w:rsidRPr="00795F17">
        <w:t xml:space="preserve"> wyznaczono dodatkowo pięć grup prawdopodobnych przyczyn nieosiągnięcia celów środowiskowych</w:t>
      </w:r>
      <w:r w:rsidR="00896ED4" w:rsidRPr="00795F17">
        <w:t>,</w:t>
      </w:r>
      <w:r w:rsidRPr="00795F17">
        <w:t xml:space="preserve"> tj.:</w:t>
      </w:r>
    </w:p>
    <w:p w14:paraId="08BAB62F" w14:textId="0331ED61" w:rsidR="00CE597F" w:rsidRPr="00795F17" w:rsidRDefault="004B1517" w:rsidP="002757E9">
      <w:pPr>
        <w:pStyle w:val="Numerowanie"/>
        <w:numPr>
          <w:ilvl w:val="0"/>
          <w:numId w:val="61"/>
        </w:numPr>
      </w:pPr>
      <w:r>
        <w:rPr>
          <w:b/>
        </w:rPr>
        <w:t>z</w:t>
      </w:r>
      <w:r w:rsidR="00CE597F" w:rsidRPr="00795F17">
        <w:rPr>
          <w:b/>
        </w:rPr>
        <w:t>miany legislacyjne</w:t>
      </w:r>
      <w:r w:rsidR="00CE597F" w:rsidRPr="00795F17">
        <w:t xml:space="preserve"> </w:t>
      </w:r>
      <w:r w:rsidR="003F2700">
        <w:t>–</w:t>
      </w:r>
      <w:r w:rsidR="00CE597F" w:rsidRPr="00795F17">
        <w:t xml:space="preserve"> zmiana wartości granicznych wskaźników decydujących o</w:t>
      </w:r>
      <w:r w:rsidR="00734CA4">
        <w:t> </w:t>
      </w:r>
      <w:r w:rsidR="00CE597F" w:rsidRPr="00795F17">
        <w:t xml:space="preserve">stanie/potencjale ekologicznym i stanie chemicznym </w:t>
      </w:r>
      <w:r w:rsidR="00DF005E">
        <w:t>JCWP</w:t>
      </w:r>
      <w:r w:rsidR="00CE597F" w:rsidRPr="00795F17">
        <w:t>; zmiana typologii wód dla stanu/potencjału ekologicznego;</w:t>
      </w:r>
    </w:p>
    <w:p w14:paraId="7DEBD128" w14:textId="31F889F2" w:rsidR="00CE597F" w:rsidRPr="00795F17" w:rsidRDefault="004B1517" w:rsidP="002757E9">
      <w:pPr>
        <w:pStyle w:val="Numerowanie"/>
        <w:numPr>
          <w:ilvl w:val="0"/>
          <w:numId w:val="61"/>
        </w:numPr>
      </w:pPr>
      <w:r>
        <w:rPr>
          <w:b/>
        </w:rPr>
        <w:t>z</w:t>
      </w:r>
      <w:r w:rsidR="00CE597F" w:rsidRPr="00795F17">
        <w:rPr>
          <w:b/>
        </w:rPr>
        <w:t>miana zakresu monitoringu</w:t>
      </w:r>
      <w:r w:rsidR="00CE597F" w:rsidRPr="00795F17">
        <w:t xml:space="preserve"> </w:t>
      </w:r>
      <w:r w:rsidR="003F2700">
        <w:t>–</w:t>
      </w:r>
      <w:r w:rsidR="00CE597F" w:rsidRPr="00795F17">
        <w:t xml:space="preserve"> rozszerzenie monitoringu wskaźników decydujących o stanie chemicznym </w:t>
      </w:r>
      <w:r w:rsidR="00DF005E">
        <w:t>JCWP</w:t>
      </w:r>
      <w:r w:rsidR="00CE597F" w:rsidRPr="00795F17">
        <w:t xml:space="preserve"> zgodnie z dyrektywą 2013/39/UE oraz rozpoczęcie monitoringu bioty;</w:t>
      </w:r>
    </w:p>
    <w:p w14:paraId="5AC3F28D" w14:textId="366CB9BA" w:rsidR="00CE597F" w:rsidRPr="00795F17" w:rsidRDefault="004B1517" w:rsidP="002757E9">
      <w:pPr>
        <w:pStyle w:val="Numerowanie"/>
        <w:numPr>
          <w:ilvl w:val="0"/>
          <w:numId w:val="61"/>
        </w:numPr>
      </w:pPr>
      <w:r>
        <w:rPr>
          <w:b/>
        </w:rPr>
        <w:t>s</w:t>
      </w:r>
      <w:r w:rsidR="00CE597F" w:rsidRPr="00795F17">
        <w:rPr>
          <w:b/>
        </w:rPr>
        <w:t>topień realizacji oraz skuteczność zestawu działań</w:t>
      </w:r>
      <w:r w:rsidR="00CE597F" w:rsidRPr="00795F17">
        <w:t xml:space="preserve"> </w:t>
      </w:r>
      <w:r w:rsidR="003F2700">
        <w:t>–</w:t>
      </w:r>
      <w:r w:rsidR="00CE597F" w:rsidRPr="00795F17">
        <w:t xml:space="preserve"> analiza stopnia wdrożenia zaproponowanych działań w ramach aPGW wraz z oceną skuteczności działań dla </w:t>
      </w:r>
      <w:r w:rsidR="00DF005E">
        <w:t>JCWP</w:t>
      </w:r>
      <w:r w:rsidR="00CE597F" w:rsidRPr="00795F17">
        <w:t xml:space="preserve"> w nowym układzie planistycznym;</w:t>
      </w:r>
    </w:p>
    <w:p w14:paraId="2A3CF15A" w14:textId="359019E5" w:rsidR="00CE597F" w:rsidRPr="00795F17" w:rsidRDefault="004B1517" w:rsidP="002757E9">
      <w:pPr>
        <w:pStyle w:val="Numerowanie"/>
        <w:numPr>
          <w:ilvl w:val="0"/>
          <w:numId w:val="61"/>
        </w:numPr>
      </w:pPr>
      <w:r>
        <w:rPr>
          <w:b/>
        </w:rPr>
        <w:t>u</w:t>
      </w:r>
      <w:r w:rsidR="00CE597F" w:rsidRPr="00795F17">
        <w:rPr>
          <w:b/>
        </w:rPr>
        <w:t xml:space="preserve">warunkowania zlewni </w:t>
      </w:r>
      <w:r w:rsidR="003F2700">
        <w:t>–</w:t>
      </w:r>
      <w:r w:rsidR="00CE597F" w:rsidRPr="00795F17">
        <w:t xml:space="preserve"> analiza wpływu niskiego potencjału sorpcyjnego zlewni oraz </w:t>
      </w:r>
      <w:r w:rsidR="00CE597F" w:rsidRPr="00795F17">
        <w:rPr>
          <w:color w:val="000000" w:themeColor="text1"/>
        </w:rPr>
        <w:t>dopływu wód ze zlewni powyżej z uwzględnieniem ich chemizmu;</w:t>
      </w:r>
    </w:p>
    <w:p w14:paraId="7F03D345" w14:textId="12C988FA" w:rsidR="00CE597F" w:rsidRDefault="004B1517" w:rsidP="002757E9">
      <w:pPr>
        <w:pStyle w:val="Numerowanie"/>
        <w:numPr>
          <w:ilvl w:val="0"/>
          <w:numId w:val="61"/>
        </w:numPr>
      </w:pPr>
      <w:r>
        <w:rPr>
          <w:b/>
        </w:rPr>
        <w:t>i</w:t>
      </w:r>
      <w:r w:rsidR="00CE597F" w:rsidRPr="00795F17">
        <w:rPr>
          <w:b/>
        </w:rPr>
        <w:t xml:space="preserve">nne </w:t>
      </w:r>
      <w:r w:rsidR="003F2700">
        <w:t>–</w:t>
      </w:r>
      <w:r w:rsidR="00CE597F" w:rsidRPr="00795F17">
        <w:t xml:space="preserve"> w tym działania, które pomimo wdrożenia i skuteczności nie doprowadziły do obniżenia stężeń substancji chemicznych poniżej EQS. </w:t>
      </w:r>
    </w:p>
    <w:p w14:paraId="290A6B50" w14:textId="5898AADF" w:rsidR="004E71E4" w:rsidRDefault="004E71E4" w:rsidP="004E71E4">
      <w:pPr>
        <w:pStyle w:val="Numerowanie"/>
        <w:numPr>
          <w:ilvl w:val="0"/>
          <w:numId w:val="0"/>
        </w:numPr>
      </w:pPr>
      <w:r>
        <w:t>Podstawę dla wykonanych analiz i zaprezentowanych w poniższych podrozdziałach wyników stanowią wyniki oceny spełnienia celów środowiskowych</w:t>
      </w:r>
      <w:r w:rsidR="001429B0">
        <w:t xml:space="preserve"> oraz</w:t>
      </w:r>
      <w:r>
        <w:t xml:space="preserve"> uzyskane oceny stanu jcw.</w:t>
      </w:r>
    </w:p>
    <w:p w14:paraId="0FC394F0" w14:textId="77777777" w:rsidR="004E71E4" w:rsidRPr="002D6624" w:rsidRDefault="004E71E4" w:rsidP="004E71E4">
      <w:pPr>
        <w:pStyle w:val="Numerowanie"/>
        <w:numPr>
          <w:ilvl w:val="0"/>
          <w:numId w:val="0"/>
        </w:numPr>
      </w:pPr>
      <w:r>
        <w:t>Szczegółowe informacje podsumowujące dotyczące każdej jcw przedstawia załącznik nr 1 (Zestawienie główne).</w:t>
      </w:r>
    </w:p>
    <w:p w14:paraId="696028CF" w14:textId="77777777" w:rsidR="004E71E4" w:rsidRPr="00795F17" w:rsidRDefault="004E71E4" w:rsidP="004E71E4">
      <w:pPr>
        <w:pStyle w:val="Numerowanie"/>
        <w:numPr>
          <w:ilvl w:val="0"/>
          <w:numId w:val="0"/>
        </w:numPr>
      </w:pPr>
    </w:p>
    <w:p w14:paraId="20856F69" w14:textId="0902BE55" w:rsidR="0059447E" w:rsidRPr="00795F17" w:rsidRDefault="0059447E" w:rsidP="00C53C86">
      <w:pPr>
        <w:pStyle w:val="Nagwek2"/>
      </w:pPr>
      <w:bookmarkStart w:id="454" w:name="_Toc66305707"/>
      <w:bookmarkStart w:id="455" w:name="_Toc66311179"/>
      <w:bookmarkStart w:id="456" w:name="_Toc105512665"/>
      <w:bookmarkStart w:id="457" w:name="_Toc66347809"/>
      <w:r w:rsidRPr="00795F17">
        <w:t xml:space="preserve">Ocena postępu w osiąganiu celów środowiskowych </w:t>
      </w:r>
      <w:r w:rsidR="00DF005E">
        <w:t>JCWP</w:t>
      </w:r>
      <w:bookmarkEnd w:id="454"/>
      <w:bookmarkEnd w:id="455"/>
      <w:bookmarkEnd w:id="456"/>
    </w:p>
    <w:p w14:paraId="50CD0C81" w14:textId="1573B216" w:rsidR="00CE597F" w:rsidRPr="00795F17" w:rsidRDefault="00CE597F" w:rsidP="00C53C86">
      <w:pPr>
        <w:pStyle w:val="Nagwek3"/>
      </w:pPr>
      <w:bookmarkStart w:id="458" w:name="_Toc105512666"/>
      <w:r w:rsidRPr="00795F17">
        <w:t xml:space="preserve">Ocena postępu w osiąganiu celów środowiskowych dla stanu/potencjału ekologicznego </w:t>
      </w:r>
      <w:r w:rsidR="00DF005E">
        <w:t>JCWP</w:t>
      </w:r>
      <w:r w:rsidRPr="00795F17">
        <w:t xml:space="preserve"> RW w okresie od 2016</w:t>
      </w:r>
      <w:r w:rsidR="0067063A" w:rsidRPr="00795F17">
        <w:t> </w:t>
      </w:r>
      <w:r w:rsidRPr="00795F17">
        <w:t>r. do</w:t>
      </w:r>
      <w:r w:rsidR="005A6124" w:rsidRPr="00795F17">
        <w:t xml:space="preserve"> </w:t>
      </w:r>
      <w:r w:rsidRPr="00795F17">
        <w:t>2021</w:t>
      </w:r>
      <w:r w:rsidR="0067063A" w:rsidRPr="00795F17">
        <w:t> </w:t>
      </w:r>
      <w:r w:rsidRPr="00795F17">
        <w:t>r. wraz z wyjaśnieniem przyczyn nieosiągnięcia celów środowiskowych</w:t>
      </w:r>
      <w:bookmarkEnd w:id="457"/>
      <w:bookmarkEnd w:id="458"/>
    </w:p>
    <w:p w14:paraId="6565963D" w14:textId="62A13464" w:rsidR="00CE597F" w:rsidRPr="00795F17" w:rsidRDefault="00CE597F" w:rsidP="0044393D">
      <w:pPr>
        <w:pStyle w:val="Nagwek5"/>
      </w:pPr>
      <w:r w:rsidRPr="00795F17">
        <w:t xml:space="preserve">Ocena postępu w osiąganiu celów środowiskowych dla stanu/potencjału ekologicznego </w:t>
      </w:r>
      <w:r w:rsidR="00DF005E">
        <w:t>JCWP</w:t>
      </w:r>
      <w:r w:rsidRPr="00795F17">
        <w:t xml:space="preserve"> RW (układ planistyczny aPGW</w:t>
      </w:r>
      <w:r w:rsidRPr="00795F17">
        <w:rPr>
          <w:rFonts w:cstheme="minorBidi"/>
        </w:rPr>
        <w:t>)</w:t>
      </w:r>
    </w:p>
    <w:p w14:paraId="4188C499" w14:textId="146A1E14" w:rsidR="00175E71" w:rsidRPr="00795F17" w:rsidRDefault="00AB101D" w:rsidP="0044393D">
      <w:pPr>
        <w:rPr>
          <w:rFonts w:eastAsia="Times New Roman" w:cs="Calibri"/>
        </w:rPr>
      </w:pPr>
      <w:r w:rsidRPr="00795F17">
        <w:t xml:space="preserve">33 </w:t>
      </w:r>
      <w:r w:rsidR="00DF005E">
        <w:t>JCWP</w:t>
      </w:r>
      <w:r w:rsidR="00812968" w:rsidRPr="00795F17">
        <w:t xml:space="preserve"> </w:t>
      </w:r>
      <w:r w:rsidR="003278BA" w:rsidRPr="00795F17">
        <w:t xml:space="preserve">RW </w:t>
      </w:r>
      <w:r w:rsidRPr="00795F17">
        <w:t>(</w:t>
      </w:r>
      <w:r w:rsidR="00896ED4" w:rsidRPr="00795F17">
        <w:rPr>
          <w:rFonts w:eastAsia="Times New Roman" w:cs="Calibri"/>
        </w:rPr>
        <w:t>1,9</w:t>
      </w:r>
      <w:r w:rsidRPr="00795F17">
        <w:t xml:space="preserve">% wszystkich </w:t>
      </w:r>
      <w:r w:rsidR="00DF005E">
        <w:t>JCWP</w:t>
      </w:r>
      <w:r w:rsidRPr="00795F17">
        <w:t xml:space="preserve"> </w:t>
      </w:r>
      <w:r w:rsidR="00175E71" w:rsidRPr="00795F17">
        <w:t xml:space="preserve">RW </w:t>
      </w:r>
      <w:r w:rsidRPr="00795F17">
        <w:t>w tym obszarze dorzecza) osiągnęło cele środowiskowe</w:t>
      </w:r>
      <w:r w:rsidR="00812968" w:rsidRPr="00795F17">
        <w:t xml:space="preserve">. </w:t>
      </w:r>
      <w:r w:rsidR="00CE597F" w:rsidRPr="00795F17">
        <w:t xml:space="preserve">Dobry stan/potencjał ekologiczny utrzymało </w:t>
      </w:r>
      <w:r w:rsidR="00CE597F" w:rsidRPr="00795F17">
        <w:rPr>
          <w:rFonts w:eastAsia="Times New Roman" w:cs="Calibri"/>
        </w:rPr>
        <w:t>49</w:t>
      </w:r>
      <w:r w:rsidR="00CE597F" w:rsidRPr="00795F17">
        <w:t xml:space="preserve"> </w:t>
      </w:r>
      <w:r w:rsidR="00DF005E">
        <w:t>JCWP</w:t>
      </w:r>
      <w:r w:rsidR="00CE597F" w:rsidRPr="00795F17">
        <w:rPr>
          <w:rFonts w:eastAsia="Times New Roman" w:cs="Calibri"/>
        </w:rPr>
        <w:t xml:space="preserve"> </w:t>
      </w:r>
      <w:r w:rsidR="003278BA" w:rsidRPr="00795F17">
        <w:rPr>
          <w:rFonts w:eastAsia="Times New Roman" w:cs="Calibri"/>
        </w:rPr>
        <w:t xml:space="preserve">RW </w:t>
      </w:r>
      <w:r w:rsidR="00CE597F" w:rsidRPr="00795F17">
        <w:t>(</w:t>
      </w:r>
      <w:r w:rsidR="00896ED4" w:rsidRPr="00795F17">
        <w:t>2,9</w:t>
      </w:r>
      <w:r w:rsidR="00CE597F" w:rsidRPr="00795F17">
        <w:t xml:space="preserve">% wszystkich </w:t>
      </w:r>
      <w:r w:rsidR="00DF005E">
        <w:t>JCWP</w:t>
      </w:r>
      <w:r w:rsidR="00CE597F" w:rsidRPr="00795F17">
        <w:t xml:space="preserve"> RW na obszarze dorzecza </w:t>
      </w:r>
      <w:r w:rsidR="00CE597F" w:rsidRPr="00795F17">
        <w:rPr>
          <w:rFonts w:eastAsia="Times New Roman" w:cs="Calibri"/>
        </w:rPr>
        <w:t>Odry</w:t>
      </w:r>
      <w:r w:rsidR="00CE597F" w:rsidRPr="00795F17">
        <w:t>). W</w:t>
      </w:r>
      <w:r w:rsidR="00812968" w:rsidRPr="00795F17">
        <w:t> </w:t>
      </w:r>
      <w:r w:rsidR="00CE597F" w:rsidRPr="00795F17">
        <w:rPr>
          <w:rFonts w:eastAsia="Times New Roman" w:cs="Calibri"/>
        </w:rPr>
        <w:t>1</w:t>
      </w:r>
      <w:r w:rsidR="00812968" w:rsidRPr="00795F17">
        <w:rPr>
          <w:rFonts w:eastAsia="Times New Roman" w:cs="Calibri"/>
        </w:rPr>
        <w:t> </w:t>
      </w:r>
      <w:r w:rsidR="00D31D11">
        <w:rPr>
          <w:rFonts w:eastAsia="Times New Roman" w:cs="Calibri"/>
        </w:rPr>
        <w:t>636</w:t>
      </w:r>
      <w:r w:rsidR="00CE597F" w:rsidRPr="00795F17">
        <w:t xml:space="preserve"> </w:t>
      </w:r>
      <w:r w:rsidR="00DF005E">
        <w:t>JCWP</w:t>
      </w:r>
      <w:r w:rsidR="00CE597F" w:rsidRPr="00795F17">
        <w:t xml:space="preserve"> </w:t>
      </w:r>
      <w:r w:rsidR="003278BA" w:rsidRPr="00795F17">
        <w:t xml:space="preserve">RW </w:t>
      </w:r>
      <w:r w:rsidR="00CE597F" w:rsidRPr="00795F17">
        <w:t>(</w:t>
      </w:r>
      <w:r w:rsidR="00D31D11" w:rsidRPr="00795F17">
        <w:rPr>
          <w:rFonts w:eastAsia="Times New Roman" w:cs="Calibri"/>
        </w:rPr>
        <w:t>9</w:t>
      </w:r>
      <w:r w:rsidR="00D31D11">
        <w:rPr>
          <w:rFonts w:eastAsia="Times New Roman" w:cs="Calibri"/>
        </w:rPr>
        <w:t>5,1</w:t>
      </w:r>
      <w:r w:rsidR="00CE597F" w:rsidRPr="00795F17">
        <w:t xml:space="preserve">%) spośród wszystkich </w:t>
      </w:r>
      <w:r w:rsidR="00CE597F" w:rsidRPr="00795F17">
        <w:rPr>
          <w:rFonts w:eastAsia="Times New Roman" w:cs="Calibri"/>
        </w:rPr>
        <w:t>1</w:t>
      </w:r>
      <w:r w:rsidR="00812968" w:rsidRPr="00795F17">
        <w:rPr>
          <w:rFonts w:eastAsia="Times New Roman" w:cs="Calibri"/>
        </w:rPr>
        <w:t> </w:t>
      </w:r>
      <w:r w:rsidR="00CE597F" w:rsidRPr="00795F17">
        <w:rPr>
          <w:rFonts w:eastAsia="Times New Roman" w:cs="Calibri"/>
        </w:rPr>
        <w:t>719</w:t>
      </w:r>
      <w:r w:rsidR="00CE597F" w:rsidRPr="00795F17">
        <w:t xml:space="preserve"> </w:t>
      </w:r>
      <w:r w:rsidR="00DF005E">
        <w:t>JCWP</w:t>
      </w:r>
      <w:r w:rsidR="00CE597F" w:rsidRPr="00795F17">
        <w:t xml:space="preserve"> RW </w:t>
      </w:r>
      <w:r w:rsidR="006D63D9">
        <w:t>na</w:t>
      </w:r>
      <w:r w:rsidR="00CE597F" w:rsidRPr="00795F17">
        <w:t xml:space="preserve"> </w:t>
      </w:r>
      <w:r w:rsidR="00807298" w:rsidRPr="00795F17">
        <w:t>obszarze</w:t>
      </w:r>
      <w:r w:rsidR="00CE597F" w:rsidRPr="00795F17">
        <w:t xml:space="preserve"> dorzecz</w:t>
      </w:r>
      <w:r w:rsidR="00807298" w:rsidRPr="00795F17">
        <w:t>a</w:t>
      </w:r>
      <w:r w:rsidR="00CE597F" w:rsidRPr="00795F17">
        <w:t xml:space="preserve"> cele środowiskowe nie zostały osiągnięte, w tym w </w:t>
      </w:r>
      <w:r w:rsidR="00CE597F" w:rsidRPr="00795F17">
        <w:rPr>
          <w:rFonts w:eastAsia="Times New Roman" w:cs="Calibri"/>
        </w:rPr>
        <w:t>1</w:t>
      </w:r>
      <w:r w:rsidR="00812968" w:rsidRPr="00795F17">
        <w:rPr>
          <w:rFonts w:eastAsia="Times New Roman" w:cs="Calibri"/>
        </w:rPr>
        <w:t> </w:t>
      </w:r>
      <w:r w:rsidR="00C233BC" w:rsidRPr="00795F17">
        <w:rPr>
          <w:rFonts w:eastAsia="Times New Roman" w:cs="Calibri"/>
        </w:rPr>
        <w:t>0</w:t>
      </w:r>
      <w:r w:rsidR="00C233BC">
        <w:rPr>
          <w:rFonts w:eastAsia="Times New Roman" w:cs="Calibri"/>
        </w:rPr>
        <w:t>4</w:t>
      </w:r>
      <w:r w:rsidR="00C233BC" w:rsidRPr="00795F17">
        <w:rPr>
          <w:rFonts w:eastAsia="Times New Roman" w:cs="Calibri"/>
        </w:rPr>
        <w:t>8</w:t>
      </w:r>
      <w:r w:rsidR="00C233BC" w:rsidRPr="00795F17">
        <w:t xml:space="preserve"> </w:t>
      </w:r>
      <w:r w:rsidR="00DF005E">
        <w:t>JCWP</w:t>
      </w:r>
      <w:r w:rsidR="00CE597F" w:rsidRPr="00795F17">
        <w:t xml:space="preserve"> (</w:t>
      </w:r>
      <w:r w:rsidR="00C233BC">
        <w:rPr>
          <w:rFonts w:eastAsia="Times New Roman" w:cs="Calibri"/>
        </w:rPr>
        <w:t>60,9</w:t>
      </w:r>
      <w:r w:rsidR="00652111">
        <w:rPr>
          <w:rFonts w:eastAsia="Times New Roman" w:cs="Calibri"/>
        </w:rPr>
        <w:t>7</w:t>
      </w:r>
      <w:r w:rsidR="00CE597F" w:rsidRPr="00795F17">
        <w:t xml:space="preserve">% spośród wszystkich </w:t>
      </w:r>
      <w:r w:rsidR="00DF005E">
        <w:t>JCWP</w:t>
      </w:r>
      <w:r w:rsidR="008122F8" w:rsidRPr="00795F17">
        <w:t xml:space="preserve"> RW</w:t>
      </w:r>
      <w:r w:rsidR="00CE597F" w:rsidRPr="00795F17">
        <w:t>) z</w:t>
      </w:r>
      <w:r w:rsidR="008122F8" w:rsidRPr="00795F17">
        <w:t> </w:t>
      </w:r>
      <w:r w:rsidR="00CE597F" w:rsidRPr="00795F17">
        <w:t xml:space="preserve">powodu braku poprawy stanu/potencjału ekologicznego do dobrego i w </w:t>
      </w:r>
      <w:r w:rsidR="00C233BC">
        <w:rPr>
          <w:rFonts w:eastAsia="Times New Roman" w:cs="Calibri"/>
        </w:rPr>
        <w:t>507</w:t>
      </w:r>
      <w:r w:rsidR="00C233BC" w:rsidRPr="00795F17">
        <w:rPr>
          <w:rFonts w:eastAsia="Times New Roman" w:cs="Calibri"/>
        </w:rPr>
        <w:t xml:space="preserve"> </w:t>
      </w:r>
      <w:r w:rsidR="00CE597F" w:rsidRPr="00795F17">
        <w:rPr>
          <w:rFonts w:eastAsia="Times New Roman" w:cs="Calibri"/>
        </w:rPr>
        <w:t>(29,</w:t>
      </w:r>
      <w:r w:rsidR="00E51B54">
        <w:rPr>
          <w:rFonts w:eastAsia="Times New Roman" w:cs="Calibri"/>
        </w:rPr>
        <w:t>49</w:t>
      </w:r>
      <w:r w:rsidR="00CE597F" w:rsidRPr="00795F17">
        <w:t>%) z powodu pogorszenia do</w:t>
      </w:r>
      <w:r w:rsidR="008122F8" w:rsidRPr="00795F17">
        <w:t xml:space="preserve"> </w:t>
      </w:r>
      <w:r w:rsidR="00CE597F" w:rsidRPr="00795F17">
        <w:t xml:space="preserve">stanu/potencjału ekologicznego poniżej dobrego. W przypadku </w:t>
      </w:r>
      <w:r w:rsidR="00CE597F" w:rsidRPr="00795F17">
        <w:rPr>
          <w:rFonts w:eastAsia="Times New Roman" w:cs="Calibri"/>
        </w:rPr>
        <w:t>81</w:t>
      </w:r>
      <w:r w:rsidR="00CE597F" w:rsidRPr="00795F17">
        <w:t xml:space="preserve"> </w:t>
      </w:r>
      <w:r w:rsidR="00DF005E">
        <w:t>JCWP</w:t>
      </w:r>
      <w:r w:rsidR="00CE597F" w:rsidRPr="00795F17">
        <w:t>, pomimo nieosiągnięcia celów środowiskowych, odnotowano poprawę stanu/potencjału ekologicznego. W</w:t>
      </w:r>
      <w:r w:rsidR="008122F8" w:rsidRPr="00795F17">
        <w:t> </w:t>
      </w:r>
      <w:r w:rsidR="00CE597F" w:rsidRPr="00795F17">
        <w:t xml:space="preserve">odniesieniu do </w:t>
      </w:r>
      <w:r w:rsidR="00EF248D">
        <w:rPr>
          <w:rFonts w:eastAsia="Times New Roman" w:cs="Calibri"/>
        </w:rPr>
        <w:t>1</w:t>
      </w:r>
      <w:r w:rsidR="00EF248D" w:rsidRPr="00795F17">
        <w:t xml:space="preserve"> </w:t>
      </w:r>
      <w:r w:rsidR="00DF005E">
        <w:t>JCWP</w:t>
      </w:r>
      <w:r w:rsidR="00CE597F" w:rsidRPr="00795F17">
        <w:t xml:space="preserve"> </w:t>
      </w:r>
      <w:r w:rsidR="008122F8" w:rsidRPr="00795F17">
        <w:t xml:space="preserve">RW </w:t>
      </w:r>
      <w:r w:rsidR="00CE597F" w:rsidRPr="00795F17">
        <w:t>(</w:t>
      </w:r>
      <w:r w:rsidR="00EF248D">
        <w:t>0,</w:t>
      </w:r>
      <w:r w:rsidR="00E51B54">
        <w:t>06</w:t>
      </w:r>
      <w:r w:rsidR="00CE597F" w:rsidRPr="00795F17">
        <w:t xml:space="preserve">% wszystkich </w:t>
      </w:r>
      <w:r w:rsidR="00DF005E">
        <w:t>JCWP</w:t>
      </w:r>
      <w:r w:rsidR="00CE597F" w:rsidRPr="00795F17">
        <w:t xml:space="preserve"> </w:t>
      </w:r>
      <w:r w:rsidR="007B4BBF">
        <w:t>na</w:t>
      </w:r>
      <w:r w:rsidR="00CE597F" w:rsidRPr="00795F17">
        <w:t xml:space="preserve"> obszarze dorzecza </w:t>
      </w:r>
      <w:r w:rsidR="00CE597F" w:rsidRPr="00795F17">
        <w:rPr>
          <w:rFonts w:eastAsia="Times New Roman" w:cs="Calibri"/>
        </w:rPr>
        <w:t>Odry</w:t>
      </w:r>
      <w:r w:rsidR="00CE597F" w:rsidRPr="00795F17">
        <w:t>) nie sporządzono oceny postępu w</w:t>
      </w:r>
      <w:r w:rsidR="008122F8" w:rsidRPr="00795F17">
        <w:t xml:space="preserve"> </w:t>
      </w:r>
      <w:r w:rsidR="00CE597F" w:rsidRPr="00795F17">
        <w:t>osiąganiu celów środowiskowych ze względu na brak oceny stanu/potencjału ekologicznego.</w:t>
      </w:r>
      <w:r w:rsidR="00896ED4" w:rsidRPr="00795F17">
        <w:rPr>
          <w:rFonts w:eastAsia="Times New Roman" w:cs="Calibri"/>
        </w:rPr>
        <w:t xml:space="preserve"> </w:t>
      </w:r>
    </w:p>
    <w:p w14:paraId="05419926" w14:textId="0FE78FEA" w:rsidR="00CE597F" w:rsidRPr="00795F17" w:rsidRDefault="00896ED4" w:rsidP="0044393D">
      <w:r w:rsidRPr="00795F17">
        <w:t>Wyżej opisane wyniki oceny postępu zaprezentowano w tabeli poniżej (tabela 9-1).</w:t>
      </w:r>
    </w:p>
    <w:p w14:paraId="6CB9571F" w14:textId="0B1CC2BC" w:rsidR="00962CCB" w:rsidRPr="00795F17" w:rsidRDefault="00962CCB" w:rsidP="004D7705">
      <w:pPr>
        <w:pStyle w:val="Tabela"/>
      </w:pPr>
      <w:bookmarkStart w:id="459" w:name="_Toc105512825"/>
      <w:r w:rsidRPr="00795F17">
        <w:t xml:space="preserve">Tabela </w:t>
      </w:r>
      <w:fldSimple w:instr=" STYLEREF 1 \s ">
        <w:r w:rsidR="001F774D">
          <w:rPr>
            <w:noProof/>
          </w:rPr>
          <w:t>9</w:t>
        </w:r>
      </w:fldSimple>
      <w:r w:rsidR="00BB3B21" w:rsidRPr="00795F17">
        <w:noBreakHyphen/>
      </w:r>
      <w:fldSimple w:instr=" SEQ Tabela \* ARABIC \s 1 ">
        <w:r w:rsidR="001F774D">
          <w:rPr>
            <w:noProof/>
          </w:rPr>
          <w:t>1</w:t>
        </w:r>
      </w:fldSimple>
      <w:r w:rsidR="00E76356">
        <w:rPr>
          <w:noProof/>
        </w:rPr>
        <w:t>.</w:t>
      </w:r>
      <w:r w:rsidRPr="00795F17">
        <w:tab/>
        <w:t>Ocena postępu w osiąganiu celów środowiskowych dla stanu/potencjału ekologicznego na obszarze dorzecza Odry w układzie planistycznym aPGW (2016</w:t>
      </w:r>
      <w:r w:rsidR="003F2700">
        <w:t>–</w:t>
      </w:r>
      <w:r w:rsidRPr="00795F17">
        <w:t>2021)</w:t>
      </w:r>
      <w:r w:rsidR="009C430D">
        <w:t xml:space="preserve"> – </w:t>
      </w:r>
      <w:r w:rsidR="00DF005E">
        <w:t>JCWP</w:t>
      </w:r>
      <w:r w:rsidR="009C430D" w:rsidRPr="008368C5">
        <w:t xml:space="preserve"> </w:t>
      </w:r>
      <w:r w:rsidR="009C430D">
        <w:t>RW</w:t>
      </w:r>
      <w:bookmarkEnd w:id="459"/>
    </w:p>
    <w:tbl>
      <w:tblPr>
        <w:tblW w:w="5000" w:type="pct"/>
        <w:tblLayout w:type="fixed"/>
        <w:tblLook w:val="04A0" w:firstRow="1" w:lastRow="0" w:firstColumn="1" w:lastColumn="0" w:noHBand="0" w:noVBand="1"/>
      </w:tblPr>
      <w:tblGrid>
        <w:gridCol w:w="5807"/>
        <w:gridCol w:w="1627"/>
        <w:gridCol w:w="1628"/>
      </w:tblGrid>
      <w:tr w:rsidR="00962CCB" w:rsidRPr="00795F17" w14:paraId="0528C9FC" w14:textId="77777777" w:rsidTr="00896ED4">
        <w:trPr>
          <w:trHeight w:val="454"/>
        </w:trPr>
        <w:tc>
          <w:tcPr>
            <w:tcW w:w="580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75953EF0" w14:textId="5350DE75" w:rsidR="00962CCB" w:rsidRPr="00795F17" w:rsidRDefault="00962CCB" w:rsidP="0044393D">
            <w:pPr>
              <w:pStyle w:val="Teksttabelinaglowek"/>
            </w:pPr>
            <w:r w:rsidRPr="00795F17">
              <w:t>Stopień osiągnięcia celu</w:t>
            </w:r>
          </w:p>
        </w:tc>
        <w:tc>
          <w:tcPr>
            <w:tcW w:w="1627"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799C8075" w14:textId="521B54B1" w:rsidR="00962CCB" w:rsidRPr="00795F17" w:rsidRDefault="00962CCB" w:rsidP="0044393D">
            <w:pPr>
              <w:pStyle w:val="Teksttabelinaglowek"/>
            </w:pPr>
            <w:r w:rsidRPr="00795F17">
              <w:t xml:space="preserve">Liczba </w:t>
            </w:r>
            <w:r w:rsidR="00DF005E">
              <w:t>JCWP</w:t>
            </w:r>
            <w:r w:rsidRPr="00795F17">
              <w:t xml:space="preserve"> RW</w:t>
            </w:r>
          </w:p>
        </w:tc>
        <w:tc>
          <w:tcPr>
            <w:tcW w:w="1628"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03F911B4" w14:textId="246624BB" w:rsidR="00962CCB" w:rsidRPr="00795F17" w:rsidRDefault="00962CCB" w:rsidP="0044393D">
            <w:pPr>
              <w:pStyle w:val="Teksttabelinaglowek"/>
            </w:pPr>
            <w:r w:rsidRPr="00795F17">
              <w:t xml:space="preserve">Udział </w:t>
            </w:r>
            <w:r w:rsidR="00DF005E">
              <w:t>JCWP</w:t>
            </w:r>
            <w:r w:rsidRPr="00795F17">
              <w:t xml:space="preserve"> </w:t>
            </w:r>
            <w:r w:rsidR="00EA4FF5" w:rsidRPr="00795F17">
              <w:t>(%)</w:t>
            </w:r>
          </w:p>
        </w:tc>
      </w:tr>
      <w:tr w:rsidR="00896ED4" w:rsidRPr="00795F17" w14:paraId="684D3476" w14:textId="77777777" w:rsidTr="00896ED4">
        <w:trPr>
          <w:trHeight w:val="454"/>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554AA7D1" w14:textId="122DC8B6" w:rsidR="00896ED4" w:rsidRPr="00795F17" w:rsidRDefault="00896ED4" w:rsidP="00597D57">
            <w:pPr>
              <w:pStyle w:val="Teksttabelilewy"/>
            </w:pPr>
            <w:r w:rsidRPr="00795F17">
              <w:t xml:space="preserve">Cel środowiskowy dla stanu/potencjału ekologicznego nieosiągnięty </w:t>
            </w:r>
            <w:r w:rsidR="003F2700">
              <w:t>–</w:t>
            </w:r>
            <w:r w:rsidRPr="00795F17">
              <w:t xml:space="preserve"> brak postępu </w:t>
            </w:r>
          </w:p>
        </w:tc>
        <w:tc>
          <w:tcPr>
            <w:tcW w:w="1627" w:type="dxa"/>
            <w:tcBorders>
              <w:top w:val="nil"/>
              <w:left w:val="nil"/>
              <w:bottom w:val="single" w:sz="4" w:space="0" w:color="auto"/>
              <w:right w:val="single" w:sz="4" w:space="0" w:color="auto"/>
            </w:tcBorders>
            <w:shd w:val="clear" w:color="auto" w:fill="auto"/>
            <w:noWrap/>
            <w:vAlign w:val="center"/>
            <w:hideMark/>
          </w:tcPr>
          <w:p w14:paraId="2C14EFA4" w14:textId="0179B394" w:rsidR="00896ED4" w:rsidRPr="00795F17" w:rsidRDefault="00896ED4" w:rsidP="0065243A">
            <w:pPr>
              <w:pStyle w:val="Teksttabelisrodek"/>
            </w:pPr>
            <w:r w:rsidRPr="00795F17">
              <w:t>1 </w:t>
            </w:r>
            <w:r w:rsidR="0012173F" w:rsidRPr="00795F17">
              <w:t>0</w:t>
            </w:r>
            <w:r w:rsidR="0012173F">
              <w:t>4</w:t>
            </w:r>
            <w:r w:rsidR="0012173F" w:rsidRPr="00795F17">
              <w:t>8</w:t>
            </w:r>
          </w:p>
        </w:tc>
        <w:tc>
          <w:tcPr>
            <w:tcW w:w="1628" w:type="dxa"/>
            <w:tcBorders>
              <w:top w:val="nil"/>
              <w:left w:val="nil"/>
              <w:bottom w:val="single" w:sz="4" w:space="0" w:color="auto"/>
              <w:right w:val="single" w:sz="4" w:space="0" w:color="auto"/>
            </w:tcBorders>
            <w:shd w:val="clear" w:color="auto" w:fill="auto"/>
            <w:noWrap/>
            <w:vAlign w:val="center"/>
            <w:hideMark/>
          </w:tcPr>
          <w:p w14:paraId="3A3A43F1" w14:textId="4FA693C8" w:rsidR="00896ED4" w:rsidRPr="00795F17" w:rsidRDefault="00164A2B" w:rsidP="0065243A">
            <w:pPr>
              <w:pStyle w:val="Teksttabelisrodek"/>
            </w:pPr>
            <w:r>
              <w:t>60,</w:t>
            </w:r>
            <w:r w:rsidR="005357A5">
              <w:t>9</w:t>
            </w:r>
            <w:r w:rsidR="006C426B">
              <w:t>7</w:t>
            </w:r>
          </w:p>
        </w:tc>
      </w:tr>
      <w:tr w:rsidR="00896ED4" w:rsidRPr="00795F17" w14:paraId="4B1B5489" w14:textId="77777777" w:rsidTr="00896ED4">
        <w:trPr>
          <w:trHeight w:val="454"/>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74E290BE" w14:textId="4B9F5FBC" w:rsidR="00896ED4" w:rsidRPr="00795F17" w:rsidRDefault="00896ED4" w:rsidP="00597D57">
            <w:pPr>
              <w:pStyle w:val="Teksttabelilewy"/>
            </w:pPr>
            <w:r w:rsidRPr="00795F17">
              <w:t xml:space="preserve">Cel środowiskowy dla stanu/potencjału ekologicznego nieosiągnięty </w:t>
            </w:r>
            <w:r w:rsidR="003F2700">
              <w:t>–</w:t>
            </w:r>
            <w:r w:rsidRPr="00795F17">
              <w:t xml:space="preserve"> pogorszenie do stanu/potencjału poniżej dobrego</w:t>
            </w:r>
          </w:p>
        </w:tc>
        <w:tc>
          <w:tcPr>
            <w:tcW w:w="1627" w:type="dxa"/>
            <w:tcBorders>
              <w:top w:val="nil"/>
              <w:left w:val="nil"/>
              <w:bottom w:val="single" w:sz="4" w:space="0" w:color="auto"/>
              <w:right w:val="single" w:sz="4" w:space="0" w:color="auto"/>
            </w:tcBorders>
            <w:shd w:val="clear" w:color="auto" w:fill="auto"/>
            <w:noWrap/>
            <w:vAlign w:val="center"/>
            <w:hideMark/>
          </w:tcPr>
          <w:p w14:paraId="32D7CF39" w14:textId="3C288880" w:rsidR="00896ED4" w:rsidRPr="00795F17" w:rsidRDefault="0012173F" w:rsidP="0065243A">
            <w:pPr>
              <w:pStyle w:val="Teksttabelisrodek"/>
            </w:pPr>
            <w:r w:rsidRPr="00795F17">
              <w:t>50</w:t>
            </w:r>
            <w:r>
              <w:t>7</w:t>
            </w:r>
          </w:p>
        </w:tc>
        <w:tc>
          <w:tcPr>
            <w:tcW w:w="1628" w:type="dxa"/>
            <w:tcBorders>
              <w:top w:val="nil"/>
              <w:left w:val="nil"/>
              <w:bottom w:val="single" w:sz="4" w:space="0" w:color="auto"/>
              <w:right w:val="single" w:sz="4" w:space="0" w:color="auto"/>
            </w:tcBorders>
            <w:shd w:val="clear" w:color="auto" w:fill="auto"/>
            <w:noWrap/>
            <w:vAlign w:val="center"/>
            <w:hideMark/>
          </w:tcPr>
          <w:p w14:paraId="1C357D79" w14:textId="61075531" w:rsidR="00896ED4" w:rsidRPr="00795F17" w:rsidRDefault="00896ED4" w:rsidP="0065243A">
            <w:pPr>
              <w:pStyle w:val="Teksttabelisrodek"/>
            </w:pPr>
            <w:r w:rsidRPr="00795F17">
              <w:t>29,</w:t>
            </w:r>
            <w:r w:rsidR="006C426B">
              <w:t>49</w:t>
            </w:r>
          </w:p>
        </w:tc>
      </w:tr>
      <w:tr w:rsidR="00896ED4" w:rsidRPr="00795F17" w14:paraId="5469C606" w14:textId="77777777" w:rsidTr="00896ED4">
        <w:trPr>
          <w:trHeight w:val="454"/>
        </w:trPr>
        <w:tc>
          <w:tcPr>
            <w:tcW w:w="5807" w:type="dxa"/>
            <w:tcBorders>
              <w:top w:val="nil"/>
              <w:left w:val="single" w:sz="4" w:space="0" w:color="auto"/>
              <w:bottom w:val="single" w:sz="4" w:space="0" w:color="auto"/>
              <w:right w:val="single" w:sz="4" w:space="0" w:color="auto"/>
            </w:tcBorders>
            <w:shd w:val="clear" w:color="auto" w:fill="auto"/>
            <w:noWrap/>
            <w:vAlign w:val="center"/>
          </w:tcPr>
          <w:p w14:paraId="2097AA2A" w14:textId="13CB3A9C" w:rsidR="00896ED4" w:rsidRPr="00795F17" w:rsidRDefault="00896ED4" w:rsidP="00597D57">
            <w:pPr>
              <w:pStyle w:val="Teksttabelilewy"/>
            </w:pPr>
            <w:r w:rsidRPr="00795F17">
              <w:t xml:space="preserve">Cel środowiskowy dla stanu/potencjału ekologicznego nieosiągnięty </w:t>
            </w:r>
            <w:r w:rsidR="003F2700">
              <w:t>–</w:t>
            </w:r>
            <w:r w:rsidRPr="00795F17">
              <w:t xml:space="preserve"> ale poprawa stanu/</w:t>
            </w:r>
            <w:r w:rsidRPr="00795F17">
              <w:rPr>
                <w:rFonts w:cs="Calibri"/>
                <w:color w:val="000000" w:themeColor="text1"/>
              </w:rPr>
              <w:t xml:space="preserve">potencjału </w:t>
            </w:r>
          </w:p>
        </w:tc>
        <w:tc>
          <w:tcPr>
            <w:tcW w:w="1627" w:type="dxa"/>
            <w:tcBorders>
              <w:top w:val="nil"/>
              <w:left w:val="nil"/>
              <w:bottom w:val="single" w:sz="4" w:space="0" w:color="auto"/>
              <w:right w:val="single" w:sz="4" w:space="0" w:color="auto"/>
            </w:tcBorders>
            <w:shd w:val="clear" w:color="auto" w:fill="auto"/>
            <w:noWrap/>
            <w:vAlign w:val="center"/>
          </w:tcPr>
          <w:p w14:paraId="7567D2DD" w14:textId="3E18D331" w:rsidR="00896ED4" w:rsidRPr="00795F17" w:rsidRDefault="00896ED4" w:rsidP="0065243A">
            <w:pPr>
              <w:pStyle w:val="Teksttabelisrodek"/>
            </w:pPr>
            <w:r w:rsidRPr="00795F17">
              <w:t>81</w:t>
            </w:r>
          </w:p>
        </w:tc>
        <w:tc>
          <w:tcPr>
            <w:tcW w:w="1628" w:type="dxa"/>
            <w:tcBorders>
              <w:top w:val="nil"/>
              <w:left w:val="nil"/>
              <w:bottom w:val="single" w:sz="4" w:space="0" w:color="auto"/>
              <w:right w:val="single" w:sz="4" w:space="0" w:color="auto"/>
            </w:tcBorders>
            <w:shd w:val="clear" w:color="auto" w:fill="auto"/>
            <w:noWrap/>
            <w:vAlign w:val="center"/>
          </w:tcPr>
          <w:p w14:paraId="2B115EAC" w14:textId="715C2F69" w:rsidR="00896ED4" w:rsidRPr="00795F17" w:rsidRDefault="00896ED4" w:rsidP="0065243A">
            <w:pPr>
              <w:pStyle w:val="Teksttabelisrodek"/>
            </w:pPr>
            <w:r w:rsidRPr="00795F17">
              <w:t>4,7</w:t>
            </w:r>
            <w:r w:rsidR="006C426B">
              <w:t>1</w:t>
            </w:r>
          </w:p>
        </w:tc>
      </w:tr>
      <w:tr w:rsidR="00896ED4" w:rsidRPr="00795F17" w14:paraId="23194447" w14:textId="77777777" w:rsidTr="00896ED4">
        <w:trPr>
          <w:trHeight w:val="454"/>
        </w:trPr>
        <w:tc>
          <w:tcPr>
            <w:tcW w:w="5807" w:type="dxa"/>
            <w:tcBorders>
              <w:top w:val="nil"/>
              <w:left w:val="single" w:sz="4" w:space="0" w:color="auto"/>
              <w:bottom w:val="single" w:sz="4" w:space="0" w:color="auto"/>
              <w:right w:val="single" w:sz="4" w:space="0" w:color="auto"/>
            </w:tcBorders>
            <w:shd w:val="clear" w:color="auto" w:fill="auto"/>
            <w:noWrap/>
            <w:vAlign w:val="center"/>
          </w:tcPr>
          <w:p w14:paraId="1A3ED3B2" w14:textId="76943B46" w:rsidR="00896ED4" w:rsidRPr="00795F17" w:rsidRDefault="00896ED4" w:rsidP="00597D57">
            <w:pPr>
              <w:pStyle w:val="Teksttabelilewy"/>
            </w:pPr>
            <w:r w:rsidRPr="00795F17">
              <w:t xml:space="preserve">Cel środowiskowy dla stanu/potencjału ekologicznego osiągnięty </w:t>
            </w:r>
            <w:r w:rsidRPr="00795F17">
              <w:br/>
            </w:r>
            <w:r w:rsidR="003F2700">
              <w:t>–</w:t>
            </w:r>
            <w:r w:rsidRPr="00795F17">
              <w:t xml:space="preserve"> utrzymanie dobrego </w:t>
            </w:r>
            <w:r w:rsidRPr="00795F17">
              <w:rPr>
                <w:rFonts w:cs="Calibri"/>
                <w:color w:val="000000" w:themeColor="text1"/>
              </w:rPr>
              <w:t>stanu</w:t>
            </w:r>
            <w:r w:rsidRPr="00795F17">
              <w:rPr>
                <w:color w:val="000000" w:themeColor="text1"/>
              </w:rPr>
              <w:t> </w:t>
            </w:r>
          </w:p>
        </w:tc>
        <w:tc>
          <w:tcPr>
            <w:tcW w:w="1627" w:type="dxa"/>
            <w:tcBorders>
              <w:top w:val="nil"/>
              <w:left w:val="nil"/>
              <w:bottom w:val="single" w:sz="4" w:space="0" w:color="auto"/>
              <w:right w:val="single" w:sz="4" w:space="0" w:color="auto"/>
            </w:tcBorders>
            <w:shd w:val="clear" w:color="auto" w:fill="auto"/>
            <w:noWrap/>
            <w:vAlign w:val="center"/>
          </w:tcPr>
          <w:p w14:paraId="774C2123" w14:textId="7809306B" w:rsidR="00896ED4" w:rsidRPr="00795F17" w:rsidRDefault="00896ED4" w:rsidP="0065243A">
            <w:pPr>
              <w:pStyle w:val="Teksttabelisrodek"/>
            </w:pPr>
            <w:r w:rsidRPr="00795F17">
              <w:t>49</w:t>
            </w:r>
          </w:p>
        </w:tc>
        <w:tc>
          <w:tcPr>
            <w:tcW w:w="1628" w:type="dxa"/>
            <w:tcBorders>
              <w:top w:val="nil"/>
              <w:left w:val="nil"/>
              <w:bottom w:val="single" w:sz="4" w:space="0" w:color="auto"/>
              <w:right w:val="single" w:sz="4" w:space="0" w:color="auto"/>
            </w:tcBorders>
            <w:shd w:val="clear" w:color="auto" w:fill="auto"/>
            <w:noWrap/>
            <w:vAlign w:val="center"/>
          </w:tcPr>
          <w:p w14:paraId="3EA034E0" w14:textId="7E4FAA82" w:rsidR="00896ED4" w:rsidRPr="00795F17" w:rsidRDefault="00896ED4" w:rsidP="0065243A">
            <w:pPr>
              <w:pStyle w:val="Teksttabelisrodek"/>
            </w:pPr>
            <w:r w:rsidRPr="00795F17">
              <w:t>2</w:t>
            </w:r>
            <w:r w:rsidR="00652111">
              <w:t>,</w:t>
            </w:r>
            <w:r w:rsidR="006C426B">
              <w:t>85</w:t>
            </w:r>
          </w:p>
        </w:tc>
      </w:tr>
      <w:tr w:rsidR="00896ED4" w:rsidRPr="00795F17" w14:paraId="78691E2B" w14:textId="77777777" w:rsidTr="00896ED4">
        <w:trPr>
          <w:trHeight w:val="454"/>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7286F3D8" w14:textId="2FB2ED02" w:rsidR="00896ED4" w:rsidRPr="00795F17" w:rsidRDefault="00896ED4" w:rsidP="00597D57">
            <w:pPr>
              <w:pStyle w:val="Teksttabelilewy"/>
            </w:pPr>
            <w:r w:rsidRPr="00795F17">
              <w:t xml:space="preserve">Cel środowiskowy dla stanu/potencjału ekologicznego osiągnięty </w:t>
            </w:r>
            <w:r w:rsidRPr="00795F17">
              <w:br/>
            </w:r>
            <w:r w:rsidR="003F2700">
              <w:t>–</w:t>
            </w:r>
            <w:r w:rsidRPr="00795F17">
              <w:t xml:space="preserve"> poprawa </w:t>
            </w:r>
            <w:r w:rsidRPr="00795F17">
              <w:rPr>
                <w:rFonts w:cs="Calibri"/>
                <w:color w:val="000000" w:themeColor="text1"/>
              </w:rPr>
              <w:t>stanu</w:t>
            </w:r>
            <w:r w:rsidRPr="00795F17">
              <w:rPr>
                <w:color w:val="000000" w:themeColor="text1"/>
              </w:rPr>
              <w:t> </w:t>
            </w:r>
          </w:p>
        </w:tc>
        <w:tc>
          <w:tcPr>
            <w:tcW w:w="1627" w:type="dxa"/>
            <w:tcBorders>
              <w:top w:val="nil"/>
              <w:left w:val="nil"/>
              <w:bottom w:val="single" w:sz="4" w:space="0" w:color="auto"/>
              <w:right w:val="single" w:sz="4" w:space="0" w:color="auto"/>
            </w:tcBorders>
            <w:shd w:val="clear" w:color="auto" w:fill="auto"/>
            <w:noWrap/>
            <w:vAlign w:val="center"/>
            <w:hideMark/>
          </w:tcPr>
          <w:p w14:paraId="3E458AC6" w14:textId="77777777" w:rsidR="00896ED4" w:rsidRPr="00795F17" w:rsidRDefault="00896ED4" w:rsidP="0065243A">
            <w:pPr>
              <w:pStyle w:val="Teksttabelisrodek"/>
            </w:pPr>
            <w:r w:rsidRPr="00795F17">
              <w:t>33</w:t>
            </w:r>
          </w:p>
        </w:tc>
        <w:tc>
          <w:tcPr>
            <w:tcW w:w="1628" w:type="dxa"/>
            <w:tcBorders>
              <w:top w:val="nil"/>
              <w:left w:val="nil"/>
              <w:bottom w:val="single" w:sz="4" w:space="0" w:color="auto"/>
              <w:right w:val="single" w:sz="4" w:space="0" w:color="auto"/>
            </w:tcBorders>
            <w:shd w:val="clear" w:color="auto" w:fill="auto"/>
            <w:noWrap/>
            <w:vAlign w:val="center"/>
            <w:hideMark/>
          </w:tcPr>
          <w:p w14:paraId="0CE99796" w14:textId="514D2706" w:rsidR="00896ED4" w:rsidRPr="00795F17" w:rsidRDefault="00896ED4" w:rsidP="0065243A">
            <w:pPr>
              <w:pStyle w:val="Teksttabelisrodek"/>
            </w:pPr>
            <w:r w:rsidRPr="00795F17">
              <w:t>1,9</w:t>
            </w:r>
            <w:r w:rsidR="00652111">
              <w:t>2</w:t>
            </w:r>
          </w:p>
        </w:tc>
      </w:tr>
      <w:tr w:rsidR="00896ED4" w:rsidRPr="00795F17" w14:paraId="2D6C5EBF" w14:textId="77777777" w:rsidTr="00896ED4">
        <w:trPr>
          <w:trHeight w:val="454"/>
        </w:trPr>
        <w:tc>
          <w:tcPr>
            <w:tcW w:w="5807" w:type="dxa"/>
            <w:tcBorders>
              <w:top w:val="nil"/>
              <w:left w:val="single" w:sz="4" w:space="0" w:color="auto"/>
              <w:bottom w:val="single" w:sz="4" w:space="0" w:color="auto"/>
              <w:right w:val="single" w:sz="4" w:space="0" w:color="auto"/>
            </w:tcBorders>
            <w:shd w:val="clear" w:color="auto" w:fill="auto"/>
            <w:noWrap/>
            <w:vAlign w:val="center"/>
          </w:tcPr>
          <w:p w14:paraId="404F6797" w14:textId="53025C80" w:rsidR="00896ED4" w:rsidRPr="00795F17" w:rsidRDefault="00896ED4" w:rsidP="00597D57">
            <w:pPr>
              <w:pStyle w:val="Teksttabelilewy"/>
            </w:pPr>
            <w:r w:rsidRPr="00795F17">
              <w:t xml:space="preserve">Brak możliwości oceny </w:t>
            </w:r>
            <w:r w:rsidRPr="00795F17">
              <w:rPr>
                <w:rFonts w:cs="Calibri"/>
                <w:color w:val="000000" w:themeColor="text1"/>
              </w:rPr>
              <w:t>postępu w</w:t>
            </w:r>
            <w:r w:rsidRPr="00795F17">
              <w:rPr>
                <w:color w:val="000000" w:themeColor="text1"/>
              </w:rPr>
              <w:t xml:space="preserve"> </w:t>
            </w:r>
            <w:r w:rsidRPr="00795F17">
              <w:t>osiąganiu celów środowiskowych</w:t>
            </w:r>
          </w:p>
        </w:tc>
        <w:tc>
          <w:tcPr>
            <w:tcW w:w="1627" w:type="dxa"/>
            <w:tcBorders>
              <w:top w:val="nil"/>
              <w:left w:val="nil"/>
              <w:bottom w:val="single" w:sz="4" w:space="0" w:color="auto"/>
              <w:right w:val="single" w:sz="4" w:space="0" w:color="auto"/>
            </w:tcBorders>
            <w:shd w:val="clear" w:color="auto" w:fill="auto"/>
            <w:noWrap/>
            <w:vAlign w:val="center"/>
          </w:tcPr>
          <w:p w14:paraId="4145EA6A" w14:textId="7E3B33E0" w:rsidR="00896ED4" w:rsidRPr="00795F17" w:rsidRDefault="0012173F" w:rsidP="0065243A">
            <w:pPr>
              <w:pStyle w:val="Teksttabelisrodek"/>
            </w:pPr>
            <w:r>
              <w:t>1</w:t>
            </w:r>
          </w:p>
        </w:tc>
        <w:tc>
          <w:tcPr>
            <w:tcW w:w="1628" w:type="dxa"/>
            <w:tcBorders>
              <w:top w:val="nil"/>
              <w:left w:val="nil"/>
              <w:bottom w:val="single" w:sz="4" w:space="0" w:color="auto"/>
              <w:right w:val="single" w:sz="4" w:space="0" w:color="auto"/>
            </w:tcBorders>
            <w:shd w:val="clear" w:color="auto" w:fill="auto"/>
            <w:noWrap/>
            <w:vAlign w:val="center"/>
          </w:tcPr>
          <w:p w14:paraId="323EC731" w14:textId="3435B21F" w:rsidR="00896ED4" w:rsidRPr="00795F17" w:rsidRDefault="004E74BF" w:rsidP="0065243A">
            <w:pPr>
              <w:pStyle w:val="Teksttabelisrodek"/>
            </w:pPr>
            <w:r>
              <w:t>0,</w:t>
            </w:r>
            <w:r w:rsidR="00652111">
              <w:t>06</w:t>
            </w:r>
          </w:p>
        </w:tc>
      </w:tr>
      <w:tr w:rsidR="00896ED4" w:rsidRPr="00795F17" w14:paraId="370CFB95" w14:textId="77777777" w:rsidTr="00896ED4">
        <w:trPr>
          <w:trHeight w:val="454"/>
        </w:trPr>
        <w:tc>
          <w:tcPr>
            <w:tcW w:w="580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FC944E9" w14:textId="5F79EBEA" w:rsidR="00896ED4" w:rsidRPr="005842B5" w:rsidRDefault="00896ED4" w:rsidP="005842B5">
            <w:r w:rsidRPr="005842B5">
              <w:t xml:space="preserve">Liczba </w:t>
            </w:r>
            <w:r w:rsidR="00DF005E">
              <w:t>JCWP</w:t>
            </w:r>
            <w:r w:rsidRPr="005842B5">
              <w:t xml:space="preserve"> RW </w:t>
            </w:r>
            <w:r w:rsidR="00F74A68" w:rsidRPr="005842B5">
              <w:t>na</w:t>
            </w:r>
            <w:r w:rsidRPr="005842B5">
              <w:t xml:space="preserve"> obszarze dorzecza</w:t>
            </w:r>
          </w:p>
        </w:tc>
        <w:tc>
          <w:tcPr>
            <w:tcW w:w="1627"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776583F2" w14:textId="3CC8320B" w:rsidR="00896ED4" w:rsidRPr="00795F17" w:rsidRDefault="00896ED4" w:rsidP="0065243A">
            <w:pPr>
              <w:pStyle w:val="Teksttabelisrodek"/>
              <w:rPr>
                <w:b/>
                <w:bCs w:val="0"/>
              </w:rPr>
            </w:pPr>
            <w:r w:rsidRPr="00795F17">
              <w:rPr>
                <w:b/>
                <w:bCs w:val="0"/>
              </w:rPr>
              <w:t>1 719</w:t>
            </w:r>
          </w:p>
        </w:tc>
        <w:tc>
          <w:tcPr>
            <w:tcW w:w="1628"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0C83CAEF" w14:textId="6BBE6D8F" w:rsidR="00896ED4" w:rsidRPr="00795F17" w:rsidRDefault="00896ED4" w:rsidP="0065243A">
            <w:pPr>
              <w:pStyle w:val="Teksttabelisrodek"/>
              <w:rPr>
                <w:b/>
                <w:bCs w:val="0"/>
              </w:rPr>
            </w:pPr>
            <w:r w:rsidRPr="00795F17">
              <w:rPr>
                <w:b/>
                <w:bCs w:val="0"/>
              </w:rPr>
              <w:t>100</w:t>
            </w:r>
          </w:p>
        </w:tc>
      </w:tr>
    </w:tbl>
    <w:p w14:paraId="15826D64" w14:textId="76A696D5" w:rsidR="00CE597F" w:rsidRPr="00795F17" w:rsidRDefault="00CE597F" w:rsidP="0044393D">
      <w:pPr>
        <w:pStyle w:val="rdo"/>
      </w:pPr>
      <w:r w:rsidRPr="00795F17">
        <w:t xml:space="preserve">Źródło: </w:t>
      </w:r>
      <w:r w:rsidR="00724997" w:rsidRPr="00795F17">
        <w:t>opracowanie własne</w:t>
      </w:r>
      <w:r w:rsidR="00FE25FC" w:rsidRPr="00795F17">
        <w:t xml:space="preserve"> na podstawie danych aPGW</w:t>
      </w:r>
    </w:p>
    <w:p w14:paraId="47AB5804" w14:textId="6A443091" w:rsidR="00CE597F" w:rsidRPr="00795F17" w:rsidRDefault="00CE597F" w:rsidP="0044393D">
      <w:pPr>
        <w:pStyle w:val="Nagwek5"/>
      </w:pPr>
      <w:r w:rsidRPr="00795F17">
        <w:t xml:space="preserve">Ocena postępu w osiąganiu celów środowiskowych dla stanu/potencjału ekologicznego </w:t>
      </w:r>
      <w:r w:rsidR="00DF005E">
        <w:t>JCWP</w:t>
      </w:r>
      <w:r w:rsidRPr="00795F17">
        <w:t xml:space="preserve"> RW (</w:t>
      </w:r>
      <w:r w:rsidRPr="00795F17">
        <w:rPr>
          <w:rFonts w:cstheme="minorBidi"/>
        </w:rPr>
        <w:t xml:space="preserve">aktualny </w:t>
      </w:r>
      <w:r w:rsidRPr="00795F17">
        <w:t>układ planistyczny IIaPGW)</w:t>
      </w:r>
    </w:p>
    <w:p w14:paraId="135C5E42" w14:textId="264871D5" w:rsidR="00CE597F" w:rsidRPr="00795F17" w:rsidRDefault="00812968" w:rsidP="0044393D">
      <w:r w:rsidRPr="00795F17">
        <w:t xml:space="preserve">65 </w:t>
      </w:r>
      <w:r w:rsidR="00DF005E">
        <w:t>JCWP</w:t>
      </w:r>
      <w:r w:rsidRPr="00795F17">
        <w:t xml:space="preserve"> </w:t>
      </w:r>
      <w:r w:rsidR="008122F8" w:rsidRPr="00795F17">
        <w:t xml:space="preserve">RW </w:t>
      </w:r>
      <w:r w:rsidRPr="00795F17">
        <w:t>(5,1</w:t>
      </w:r>
      <w:r w:rsidR="00175E71" w:rsidRPr="00795F17">
        <w:t>1</w:t>
      </w:r>
      <w:r w:rsidRPr="00795F17">
        <w:t xml:space="preserve">% wszystkich </w:t>
      </w:r>
      <w:r w:rsidR="00DF005E">
        <w:t>JCWP</w:t>
      </w:r>
      <w:r w:rsidRPr="00795F17">
        <w:t xml:space="preserve"> </w:t>
      </w:r>
      <w:r w:rsidR="008122F8" w:rsidRPr="00795F17">
        <w:t xml:space="preserve">RW </w:t>
      </w:r>
      <w:r w:rsidR="00F74A68">
        <w:t>na</w:t>
      </w:r>
      <w:r w:rsidRPr="00795F17">
        <w:t xml:space="preserve"> obszarze dorzecza Odry) osiągnęło cele</w:t>
      </w:r>
      <w:r w:rsidR="00CE597F" w:rsidRPr="00795F17">
        <w:t xml:space="preserve"> środowiskow</w:t>
      </w:r>
      <w:r w:rsidRPr="00795F17">
        <w:t>e.</w:t>
      </w:r>
      <w:r w:rsidR="00300C2E" w:rsidRPr="00795F17">
        <w:t xml:space="preserve"> W</w:t>
      </w:r>
      <w:r w:rsidR="008122F8" w:rsidRPr="00795F17">
        <w:t> </w:t>
      </w:r>
      <w:r w:rsidR="00300C2E" w:rsidRPr="00795F17">
        <w:t>tym, dobry stan utrzymało 37 (2,9</w:t>
      </w:r>
      <w:r w:rsidR="00175E71" w:rsidRPr="00795F17">
        <w:t>1</w:t>
      </w:r>
      <w:r w:rsidR="00300C2E" w:rsidRPr="00795F17">
        <w:t xml:space="preserve">%) </w:t>
      </w:r>
      <w:r w:rsidR="00DF005E">
        <w:t>JCWP</w:t>
      </w:r>
      <w:r w:rsidR="00300C2E" w:rsidRPr="00795F17">
        <w:t xml:space="preserve"> RW, a poprawa do dobrego stanu/potencjału ekologicznego miała miejsce w przypadku 28 (2,2%) </w:t>
      </w:r>
      <w:r w:rsidR="00DF005E">
        <w:t>JCWP</w:t>
      </w:r>
      <w:r w:rsidR="00300C2E" w:rsidRPr="00795F17">
        <w:t xml:space="preserve"> RW</w:t>
      </w:r>
      <w:r w:rsidR="00CE597F" w:rsidRPr="00795F17">
        <w:t xml:space="preserve">. W 761 </w:t>
      </w:r>
      <w:r w:rsidR="00DF005E">
        <w:t>JCWP</w:t>
      </w:r>
      <w:r w:rsidR="00CE597F" w:rsidRPr="00795F17">
        <w:t xml:space="preserve"> (59,</w:t>
      </w:r>
      <w:r w:rsidR="00175E71" w:rsidRPr="00795F17">
        <w:t>9</w:t>
      </w:r>
      <w:r w:rsidR="00CE597F" w:rsidRPr="00795F17">
        <w:t>%) spośród wszystkich 1</w:t>
      </w:r>
      <w:r w:rsidR="00300C2E" w:rsidRPr="00795F17">
        <w:t> </w:t>
      </w:r>
      <w:r w:rsidR="00CE597F" w:rsidRPr="00795F17">
        <w:t xml:space="preserve">272 </w:t>
      </w:r>
      <w:r w:rsidR="00DF005E">
        <w:t>JCWP</w:t>
      </w:r>
      <w:r w:rsidR="00CE597F" w:rsidRPr="00795F17">
        <w:t xml:space="preserve"> RW z</w:t>
      </w:r>
      <w:r w:rsidR="008122F8" w:rsidRPr="00795F17">
        <w:t xml:space="preserve"> </w:t>
      </w:r>
      <w:r w:rsidR="00CE597F" w:rsidRPr="00795F17">
        <w:t>oceną stanu/potencjału ekologicznego</w:t>
      </w:r>
      <w:r w:rsidR="00CE597F" w:rsidRPr="00795F17">
        <w:rPr>
          <w:rFonts w:eastAsia="Times New Roman" w:cs="Calibri"/>
        </w:rPr>
        <w:t xml:space="preserve"> </w:t>
      </w:r>
      <w:r w:rsidR="006D63D9">
        <w:rPr>
          <w:rFonts w:eastAsia="Times New Roman" w:cs="Calibri"/>
        </w:rPr>
        <w:t>na</w:t>
      </w:r>
      <w:r w:rsidR="00CE597F" w:rsidRPr="00795F17">
        <w:rPr>
          <w:rFonts w:eastAsia="Times New Roman" w:cs="Calibri"/>
        </w:rPr>
        <w:t xml:space="preserve"> opisywanym </w:t>
      </w:r>
      <w:r w:rsidR="00807298" w:rsidRPr="00795F17">
        <w:rPr>
          <w:rFonts w:eastAsia="Times New Roman" w:cs="Calibri"/>
        </w:rPr>
        <w:t xml:space="preserve">obszarze </w:t>
      </w:r>
      <w:r w:rsidR="00CE597F" w:rsidRPr="00795F17">
        <w:rPr>
          <w:rFonts w:eastAsia="Times New Roman" w:cs="Calibri"/>
        </w:rPr>
        <w:t>dorzecz</w:t>
      </w:r>
      <w:r w:rsidR="00807298" w:rsidRPr="00795F17">
        <w:rPr>
          <w:rFonts w:eastAsia="Times New Roman" w:cs="Calibri"/>
        </w:rPr>
        <w:t>a</w:t>
      </w:r>
      <w:r w:rsidR="00CE597F" w:rsidRPr="00795F17">
        <w:rPr>
          <w:rFonts w:eastAsia="Times New Roman" w:cs="Calibri"/>
        </w:rPr>
        <w:t>,</w:t>
      </w:r>
      <w:r w:rsidR="00CE597F" w:rsidRPr="00795F17">
        <w:t xml:space="preserve"> cele środowiskowe nie zostały osiągnięte, w tym w 535 </w:t>
      </w:r>
      <w:r w:rsidR="00DF005E">
        <w:t>JCWP</w:t>
      </w:r>
      <w:r w:rsidR="00CE597F" w:rsidRPr="00795F17">
        <w:t xml:space="preserve"> </w:t>
      </w:r>
      <w:r w:rsidR="008122F8" w:rsidRPr="00795F17">
        <w:t xml:space="preserve">RW </w:t>
      </w:r>
      <w:r w:rsidR="00CE597F" w:rsidRPr="00795F17">
        <w:t>(42,</w:t>
      </w:r>
      <w:r w:rsidR="00175E71" w:rsidRPr="00795F17">
        <w:t>06</w:t>
      </w:r>
      <w:r w:rsidR="00CE597F" w:rsidRPr="00795F17">
        <w:t xml:space="preserve">% spośród wszystkich </w:t>
      </w:r>
      <w:r w:rsidR="00DF005E">
        <w:t>JCWP</w:t>
      </w:r>
      <w:r w:rsidR="00175E71" w:rsidRPr="00795F17">
        <w:t xml:space="preserve"> RW</w:t>
      </w:r>
      <w:r w:rsidR="00CE597F" w:rsidRPr="00795F17">
        <w:t>) z</w:t>
      </w:r>
      <w:r w:rsidR="008122F8" w:rsidRPr="00795F17">
        <w:t> </w:t>
      </w:r>
      <w:r w:rsidR="00CE597F" w:rsidRPr="00795F17">
        <w:t>powodu braku poprawy stanu/potencjału ekologicznego do dobrego i w 217 (17,</w:t>
      </w:r>
      <w:r w:rsidR="00175E71" w:rsidRPr="00795F17">
        <w:t>06</w:t>
      </w:r>
      <w:r w:rsidR="00CE597F" w:rsidRPr="00795F17">
        <w:t>%) z powodu pogorszenia do</w:t>
      </w:r>
      <w:r w:rsidR="008122F8" w:rsidRPr="00795F17">
        <w:t xml:space="preserve"> </w:t>
      </w:r>
      <w:r w:rsidR="00CE597F" w:rsidRPr="00795F17">
        <w:t xml:space="preserve">stanu/potencjału ekologicznego poniżej dobrego. </w:t>
      </w:r>
      <w:r w:rsidR="00CE597F" w:rsidRPr="00795F17">
        <w:rPr>
          <w:rFonts w:eastAsia="Times New Roman" w:cs="Calibri"/>
        </w:rPr>
        <w:t>W</w:t>
      </w:r>
      <w:r w:rsidR="00CE597F" w:rsidRPr="00795F17">
        <w:t xml:space="preserve"> 9 </w:t>
      </w:r>
      <w:r w:rsidR="00DF005E">
        <w:t>JCWP</w:t>
      </w:r>
      <w:r w:rsidR="008122F8" w:rsidRPr="00795F17">
        <w:t xml:space="preserve"> RW </w:t>
      </w:r>
      <w:r w:rsidR="00CE597F" w:rsidRPr="00795F17">
        <w:t>(0,7</w:t>
      </w:r>
      <w:r w:rsidR="00175E71" w:rsidRPr="00795F17">
        <w:t>1</w:t>
      </w:r>
      <w:r w:rsidR="00CE597F" w:rsidRPr="00795F17">
        <w:t>%) cel nie został osiągnięty, ale</w:t>
      </w:r>
      <w:r w:rsidR="008122F8" w:rsidRPr="00795F17">
        <w:t xml:space="preserve"> </w:t>
      </w:r>
      <w:r w:rsidR="00CE597F" w:rsidRPr="00795F17">
        <w:t>odnotowano poprawę stanu/potencjału o co najmniej jedną klasę.</w:t>
      </w:r>
      <w:r w:rsidR="00CE597F" w:rsidRPr="00795F17">
        <w:rPr>
          <w:rFonts w:eastAsia="Times New Roman" w:cs="Calibri"/>
        </w:rPr>
        <w:t xml:space="preserve"> </w:t>
      </w:r>
      <w:r w:rsidR="00CE597F" w:rsidRPr="00795F17">
        <w:t>W odniesieniu do</w:t>
      </w:r>
      <w:r w:rsidR="008122F8" w:rsidRPr="00795F17">
        <w:t> </w:t>
      </w:r>
      <w:r w:rsidR="00CE597F" w:rsidRPr="00795F17">
        <w:t xml:space="preserve">446 </w:t>
      </w:r>
      <w:r w:rsidR="00DF005E">
        <w:t>JCWP</w:t>
      </w:r>
      <w:r w:rsidR="00CE597F" w:rsidRPr="00795F17">
        <w:t xml:space="preserve"> (35,</w:t>
      </w:r>
      <w:r w:rsidR="00175E71" w:rsidRPr="00795F17">
        <w:t>06</w:t>
      </w:r>
      <w:r w:rsidR="00CE597F" w:rsidRPr="00795F17">
        <w:t xml:space="preserve">% wszystkich </w:t>
      </w:r>
      <w:r w:rsidR="00DF005E">
        <w:t>JCWP</w:t>
      </w:r>
      <w:r w:rsidR="00CE597F" w:rsidRPr="00795F17">
        <w:t xml:space="preserve"> </w:t>
      </w:r>
      <w:r w:rsidR="00175E71" w:rsidRPr="00795F17">
        <w:t xml:space="preserve">RW </w:t>
      </w:r>
      <w:r w:rsidR="00F74A68">
        <w:t>na</w:t>
      </w:r>
      <w:r w:rsidR="00CE597F" w:rsidRPr="00795F17">
        <w:t xml:space="preserve"> obszarze dorzecza </w:t>
      </w:r>
      <w:r w:rsidR="00CE597F" w:rsidRPr="00795F17">
        <w:rPr>
          <w:rFonts w:eastAsia="Times New Roman" w:cs="Calibri"/>
        </w:rPr>
        <w:t>Odry</w:t>
      </w:r>
      <w:r w:rsidR="00CE597F" w:rsidRPr="00795F17">
        <w:t>) nie sporządzono oceny postępu w osiąganiu celów środowiskowych ze względu na brak oceny stanu/potencjału ekologicznego lub brak celu środowiskowego z</w:t>
      </w:r>
      <w:r w:rsidR="008122F8" w:rsidRPr="00795F17">
        <w:t xml:space="preserve"> </w:t>
      </w:r>
      <w:r w:rsidR="00CE597F" w:rsidRPr="00795F17">
        <w:t xml:space="preserve">przeniesienia dla nowo powstałych </w:t>
      </w:r>
      <w:r w:rsidR="00DF005E">
        <w:t>JCWP</w:t>
      </w:r>
      <w:r w:rsidR="008122F8" w:rsidRPr="00795F17">
        <w:t xml:space="preserve"> RW</w:t>
      </w:r>
      <w:r w:rsidR="00CE597F" w:rsidRPr="00795F17">
        <w:t xml:space="preserve">. </w:t>
      </w:r>
    </w:p>
    <w:p w14:paraId="73974FB7" w14:textId="3677B0A2" w:rsidR="00175E71" w:rsidRPr="00795F17" w:rsidRDefault="00175E71" w:rsidP="0044393D">
      <w:pPr>
        <w:rPr>
          <w:i/>
        </w:rPr>
      </w:pPr>
      <w:r w:rsidRPr="00795F17">
        <w:t>Wyżej opisane wyniki oceny postępu zaprezentowano w tabeli poniżej (tabela 9-</w:t>
      </w:r>
      <w:r w:rsidR="000A77C5" w:rsidRPr="00795F17">
        <w:t>2</w:t>
      </w:r>
      <w:r w:rsidRPr="00795F17">
        <w:t>).</w:t>
      </w:r>
    </w:p>
    <w:p w14:paraId="4272A0CB" w14:textId="69676995" w:rsidR="00070DA9" w:rsidRPr="00795F17" w:rsidRDefault="00070DA9" w:rsidP="004D7705">
      <w:pPr>
        <w:pStyle w:val="Tabela"/>
      </w:pPr>
      <w:bookmarkStart w:id="460" w:name="_Toc66341905"/>
      <w:bookmarkStart w:id="461" w:name="_Toc105512826"/>
      <w:r w:rsidRPr="00795F17">
        <w:t xml:space="preserve">Tabela </w:t>
      </w:r>
      <w:fldSimple w:instr=" STYLEREF 1 \s ">
        <w:r w:rsidR="001F774D">
          <w:rPr>
            <w:noProof/>
          </w:rPr>
          <w:t>9</w:t>
        </w:r>
      </w:fldSimple>
      <w:r w:rsidR="00BB3B21" w:rsidRPr="00795F17">
        <w:noBreakHyphen/>
      </w:r>
      <w:fldSimple w:instr=" SEQ Tabela \* ARABIC \s 1 ">
        <w:r w:rsidR="001F774D">
          <w:rPr>
            <w:noProof/>
          </w:rPr>
          <w:t>2</w:t>
        </w:r>
      </w:fldSimple>
      <w:r w:rsidR="00E76356">
        <w:rPr>
          <w:noProof/>
        </w:rPr>
        <w:t>.</w:t>
      </w:r>
      <w:r w:rsidRPr="00795F17">
        <w:tab/>
      </w:r>
      <w:bookmarkEnd w:id="460"/>
      <w:r w:rsidR="00896ED4" w:rsidRPr="00795F17">
        <w:t>Ocena postępu w osiąganiu celów środowiskowych dla stanu/potencjału ekologicznego na obszarze dorzecza Odry w układzie planistycznym IIaPGW (2022</w:t>
      </w:r>
      <w:r w:rsidR="003F2700">
        <w:t>–</w:t>
      </w:r>
      <w:r w:rsidR="00896ED4" w:rsidRPr="00795F17">
        <w:t>2027)</w:t>
      </w:r>
      <w:r w:rsidR="009C430D">
        <w:t xml:space="preserve"> – </w:t>
      </w:r>
      <w:r w:rsidR="00DF005E">
        <w:t>JCWP</w:t>
      </w:r>
      <w:r w:rsidR="009C430D" w:rsidRPr="008368C5">
        <w:t xml:space="preserve"> </w:t>
      </w:r>
      <w:r w:rsidR="009C430D">
        <w:t>RW</w:t>
      </w:r>
      <w:bookmarkEnd w:id="461"/>
    </w:p>
    <w:tbl>
      <w:tblPr>
        <w:tblStyle w:val="Tabela-Siatka"/>
        <w:tblW w:w="5000" w:type="pct"/>
        <w:tblLayout w:type="fixed"/>
        <w:tblLook w:val="04A0" w:firstRow="1" w:lastRow="0" w:firstColumn="1" w:lastColumn="0" w:noHBand="0" w:noVBand="1"/>
      </w:tblPr>
      <w:tblGrid>
        <w:gridCol w:w="5807"/>
        <w:gridCol w:w="1627"/>
        <w:gridCol w:w="1628"/>
      </w:tblGrid>
      <w:tr w:rsidR="00CE597F" w:rsidRPr="00795F17" w14:paraId="6B2EE3B7" w14:textId="77777777" w:rsidTr="00896ED4">
        <w:trPr>
          <w:cnfStyle w:val="100000000000" w:firstRow="1" w:lastRow="0" w:firstColumn="0" w:lastColumn="0" w:oddVBand="0" w:evenVBand="0" w:oddHBand="0" w:evenHBand="0" w:firstRowFirstColumn="0" w:firstRowLastColumn="0" w:lastRowFirstColumn="0" w:lastRowLastColumn="0"/>
          <w:trHeight w:val="454"/>
        </w:trPr>
        <w:tc>
          <w:tcPr>
            <w:tcW w:w="5807" w:type="dxa"/>
            <w:noWrap/>
            <w:hideMark/>
          </w:tcPr>
          <w:p w14:paraId="54B430C9" w14:textId="7E54257E" w:rsidR="00CE597F" w:rsidRPr="00795F17" w:rsidRDefault="00896ED4" w:rsidP="0044393D">
            <w:pPr>
              <w:pStyle w:val="Teksttabelinaglowek"/>
              <w:rPr>
                <w:b/>
              </w:rPr>
            </w:pPr>
            <w:r w:rsidRPr="00795F17">
              <w:rPr>
                <w:b/>
              </w:rPr>
              <w:t>Stopień osiągnięcia celu</w:t>
            </w:r>
          </w:p>
        </w:tc>
        <w:tc>
          <w:tcPr>
            <w:tcW w:w="1627" w:type="dxa"/>
            <w:noWrap/>
            <w:hideMark/>
          </w:tcPr>
          <w:p w14:paraId="1FC068C9" w14:textId="4D909451" w:rsidR="00CE597F" w:rsidRPr="00795F17" w:rsidRDefault="00CE597F" w:rsidP="0044393D">
            <w:pPr>
              <w:pStyle w:val="Teksttabelinaglowek"/>
              <w:rPr>
                <w:b/>
              </w:rPr>
            </w:pPr>
            <w:r w:rsidRPr="00795F17">
              <w:rPr>
                <w:b/>
              </w:rPr>
              <w:t xml:space="preserve">Liczba </w:t>
            </w:r>
            <w:r w:rsidR="00DF005E">
              <w:rPr>
                <w:b/>
              </w:rPr>
              <w:t>JCWP</w:t>
            </w:r>
            <w:r w:rsidRPr="00795F17">
              <w:rPr>
                <w:b/>
              </w:rPr>
              <w:t xml:space="preserve"> RW</w:t>
            </w:r>
          </w:p>
        </w:tc>
        <w:tc>
          <w:tcPr>
            <w:tcW w:w="1628" w:type="dxa"/>
            <w:noWrap/>
            <w:hideMark/>
          </w:tcPr>
          <w:p w14:paraId="3380B1B9" w14:textId="3A8F27B6" w:rsidR="00CE597F" w:rsidRPr="00795F17" w:rsidRDefault="00CE597F" w:rsidP="0044393D">
            <w:pPr>
              <w:pStyle w:val="Teksttabelinaglowek"/>
              <w:rPr>
                <w:b/>
              </w:rPr>
            </w:pPr>
            <w:r w:rsidRPr="00795F17">
              <w:rPr>
                <w:b/>
              </w:rPr>
              <w:t xml:space="preserve">Udział </w:t>
            </w:r>
            <w:r w:rsidR="00DF005E">
              <w:rPr>
                <w:b/>
              </w:rPr>
              <w:t>JCWP</w:t>
            </w:r>
            <w:r w:rsidRPr="00795F17">
              <w:rPr>
                <w:b/>
              </w:rPr>
              <w:t xml:space="preserve"> </w:t>
            </w:r>
            <w:r w:rsidR="00EA4FF5" w:rsidRPr="00795F17">
              <w:rPr>
                <w:b/>
              </w:rPr>
              <w:t>(%)</w:t>
            </w:r>
          </w:p>
        </w:tc>
      </w:tr>
      <w:tr w:rsidR="0067063A" w:rsidRPr="00795F17" w14:paraId="1BAFD377" w14:textId="77777777" w:rsidTr="0067063A">
        <w:trPr>
          <w:trHeight w:val="454"/>
        </w:trPr>
        <w:tc>
          <w:tcPr>
            <w:tcW w:w="5807" w:type="dxa"/>
            <w:shd w:val="clear" w:color="auto" w:fill="auto"/>
            <w:noWrap/>
          </w:tcPr>
          <w:p w14:paraId="390A8AEB" w14:textId="37046E6C" w:rsidR="0067063A" w:rsidRPr="00795F17" w:rsidRDefault="0067063A" w:rsidP="00597D57">
            <w:pPr>
              <w:pStyle w:val="Teksttabelilewy"/>
            </w:pPr>
            <w:r w:rsidRPr="00795F17">
              <w:t xml:space="preserve">Cel środowiskowy dla stanu/potencjału ekologicznego nieosiągnięty </w:t>
            </w:r>
            <w:r w:rsidR="003F2700">
              <w:t>–</w:t>
            </w:r>
            <w:r w:rsidRPr="00795F17">
              <w:t xml:space="preserve"> brak postępu</w:t>
            </w:r>
            <w:r w:rsidRPr="00795F17">
              <w:rPr>
                <w:rStyle w:val="Nagwek3Znak"/>
                <w:rFonts w:cs="Calibri"/>
                <w:b w:val="0"/>
                <w:bCs/>
                <w:sz w:val="22"/>
                <w:szCs w:val="22"/>
              </w:rPr>
              <w:t> </w:t>
            </w:r>
          </w:p>
        </w:tc>
        <w:tc>
          <w:tcPr>
            <w:tcW w:w="1627" w:type="dxa"/>
            <w:shd w:val="clear" w:color="auto" w:fill="auto"/>
            <w:noWrap/>
          </w:tcPr>
          <w:p w14:paraId="64803681" w14:textId="297A748C" w:rsidR="0067063A" w:rsidRPr="00795F17" w:rsidRDefault="0067063A" w:rsidP="0065243A">
            <w:pPr>
              <w:pStyle w:val="Teksttabelisrodek"/>
            </w:pPr>
            <w:r w:rsidRPr="00795F17">
              <w:t>535</w:t>
            </w:r>
          </w:p>
        </w:tc>
        <w:tc>
          <w:tcPr>
            <w:tcW w:w="1628" w:type="dxa"/>
            <w:shd w:val="clear" w:color="auto" w:fill="auto"/>
            <w:noWrap/>
          </w:tcPr>
          <w:p w14:paraId="25B7EA9A" w14:textId="69601F46" w:rsidR="0067063A" w:rsidRPr="00795F17" w:rsidRDefault="0067063A" w:rsidP="0065243A">
            <w:pPr>
              <w:pStyle w:val="Teksttabelisrodek"/>
            </w:pPr>
            <w:r w:rsidRPr="00795F17">
              <w:t>42,06</w:t>
            </w:r>
          </w:p>
        </w:tc>
      </w:tr>
      <w:tr w:rsidR="0067063A" w:rsidRPr="00795F17" w14:paraId="7092EF76" w14:textId="77777777" w:rsidTr="0067063A">
        <w:trPr>
          <w:trHeight w:val="454"/>
        </w:trPr>
        <w:tc>
          <w:tcPr>
            <w:tcW w:w="5807" w:type="dxa"/>
            <w:shd w:val="clear" w:color="auto" w:fill="auto"/>
            <w:noWrap/>
            <w:hideMark/>
          </w:tcPr>
          <w:p w14:paraId="43503494" w14:textId="400CFE8D" w:rsidR="0067063A" w:rsidRPr="00795F17" w:rsidRDefault="0067063A" w:rsidP="00597D57">
            <w:pPr>
              <w:pStyle w:val="Teksttabelilewy"/>
            </w:pPr>
            <w:r w:rsidRPr="00795F17">
              <w:t xml:space="preserve">Cel środowiskowy dla stanu/potencjału ekologicznego nieosiągnięty </w:t>
            </w:r>
            <w:r w:rsidR="003F2700">
              <w:t>–</w:t>
            </w:r>
            <w:r w:rsidRPr="00795F17">
              <w:t xml:space="preserve"> pogorszenie do stanu/potencjału poniżej dobrego</w:t>
            </w:r>
          </w:p>
        </w:tc>
        <w:tc>
          <w:tcPr>
            <w:tcW w:w="1627" w:type="dxa"/>
            <w:shd w:val="clear" w:color="auto" w:fill="auto"/>
            <w:noWrap/>
            <w:hideMark/>
          </w:tcPr>
          <w:p w14:paraId="76FDDC04" w14:textId="77777777" w:rsidR="0067063A" w:rsidRPr="00795F17" w:rsidRDefault="0067063A" w:rsidP="0065243A">
            <w:pPr>
              <w:pStyle w:val="Teksttabelisrodek"/>
            </w:pPr>
            <w:r w:rsidRPr="00795F17">
              <w:t>217</w:t>
            </w:r>
          </w:p>
        </w:tc>
        <w:tc>
          <w:tcPr>
            <w:tcW w:w="1628" w:type="dxa"/>
            <w:shd w:val="clear" w:color="auto" w:fill="auto"/>
            <w:noWrap/>
            <w:hideMark/>
          </w:tcPr>
          <w:p w14:paraId="03EE85E2" w14:textId="40A89A47" w:rsidR="0067063A" w:rsidRPr="00795F17" w:rsidRDefault="0067063A" w:rsidP="0065243A">
            <w:pPr>
              <w:pStyle w:val="Teksttabelisrodek"/>
            </w:pPr>
            <w:r w:rsidRPr="00795F17">
              <w:t>17,06</w:t>
            </w:r>
          </w:p>
        </w:tc>
      </w:tr>
      <w:tr w:rsidR="0067063A" w:rsidRPr="00795F17" w14:paraId="6E865CC6" w14:textId="77777777" w:rsidTr="0067063A">
        <w:trPr>
          <w:trHeight w:val="454"/>
        </w:trPr>
        <w:tc>
          <w:tcPr>
            <w:tcW w:w="5807" w:type="dxa"/>
            <w:shd w:val="clear" w:color="auto" w:fill="auto"/>
            <w:noWrap/>
            <w:hideMark/>
          </w:tcPr>
          <w:p w14:paraId="4FF98331" w14:textId="4D8E2E7B" w:rsidR="0067063A" w:rsidRPr="00795F17" w:rsidRDefault="0067063A" w:rsidP="00597D57">
            <w:pPr>
              <w:pStyle w:val="Teksttabelilewy"/>
            </w:pPr>
            <w:r w:rsidRPr="00795F17">
              <w:t xml:space="preserve">Cel środowiskowy dla stanu/potencjału ekologicznego nieosiągnięty </w:t>
            </w:r>
            <w:r w:rsidR="003F2700">
              <w:t>–</w:t>
            </w:r>
            <w:r w:rsidRPr="00795F17">
              <w:t xml:space="preserve"> ale poprawa stanu/potencjału </w:t>
            </w:r>
          </w:p>
        </w:tc>
        <w:tc>
          <w:tcPr>
            <w:tcW w:w="1627" w:type="dxa"/>
            <w:shd w:val="clear" w:color="auto" w:fill="auto"/>
            <w:noWrap/>
            <w:hideMark/>
          </w:tcPr>
          <w:p w14:paraId="322ADC6C" w14:textId="77777777" w:rsidR="0067063A" w:rsidRPr="00795F17" w:rsidRDefault="0067063A" w:rsidP="0065243A">
            <w:pPr>
              <w:pStyle w:val="Teksttabelisrodek"/>
            </w:pPr>
            <w:r w:rsidRPr="00795F17">
              <w:t>9</w:t>
            </w:r>
          </w:p>
        </w:tc>
        <w:tc>
          <w:tcPr>
            <w:tcW w:w="1628" w:type="dxa"/>
            <w:shd w:val="clear" w:color="auto" w:fill="auto"/>
            <w:noWrap/>
            <w:hideMark/>
          </w:tcPr>
          <w:p w14:paraId="3156EB1C" w14:textId="1373C9D8" w:rsidR="0067063A" w:rsidRPr="00795F17" w:rsidRDefault="0067063A" w:rsidP="0065243A">
            <w:pPr>
              <w:pStyle w:val="Teksttabelisrodek"/>
            </w:pPr>
            <w:r w:rsidRPr="00795F17">
              <w:t>0,71</w:t>
            </w:r>
          </w:p>
        </w:tc>
      </w:tr>
      <w:tr w:rsidR="0067063A" w:rsidRPr="00795F17" w14:paraId="2FA0090A" w14:textId="77777777" w:rsidTr="0067063A">
        <w:trPr>
          <w:trHeight w:val="454"/>
        </w:trPr>
        <w:tc>
          <w:tcPr>
            <w:tcW w:w="5807" w:type="dxa"/>
            <w:shd w:val="clear" w:color="auto" w:fill="auto"/>
            <w:noWrap/>
            <w:hideMark/>
          </w:tcPr>
          <w:p w14:paraId="33A1FC56" w14:textId="6299F48E" w:rsidR="0067063A" w:rsidRPr="00795F17" w:rsidRDefault="0067063A" w:rsidP="00597D57">
            <w:pPr>
              <w:pStyle w:val="Teksttabelilewy"/>
            </w:pPr>
            <w:r w:rsidRPr="00795F17">
              <w:t xml:space="preserve">Cel środowiskowy dla stanu/potencjału ekologicznego osiągnięty </w:t>
            </w:r>
            <w:r w:rsidRPr="00795F17">
              <w:br/>
            </w:r>
            <w:r w:rsidR="003F2700">
              <w:t>–</w:t>
            </w:r>
            <w:r w:rsidRPr="00795F17">
              <w:t xml:space="preserve"> utrzymanie dobrego stanu</w:t>
            </w:r>
            <w:r w:rsidRPr="00795F17">
              <w:rPr>
                <w:rStyle w:val="Nagwek3Znak"/>
                <w:rFonts w:cs="Calibri"/>
                <w:b w:val="0"/>
                <w:bCs/>
                <w:sz w:val="22"/>
                <w:szCs w:val="22"/>
              </w:rPr>
              <w:t> </w:t>
            </w:r>
          </w:p>
        </w:tc>
        <w:tc>
          <w:tcPr>
            <w:tcW w:w="1627" w:type="dxa"/>
            <w:shd w:val="clear" w:color="auto" w:fill="auto"/>
            <w:noWrap/>
            <w:hideMark/>
          </w:tcPr>
          <w:p w14:paraId="685A3200" w14:textId="77777777" w:rsidR="0067063A" w:rsidRPr="00795F17" w:rsidRDefault="0067063A" w:rsidP="0065243A">
            <w:pPr>
              <w:pStyle w:val="Teksttabelisrodek"/>
            </w:pPr>
            <w:r w:rsidRPr="00795F17">
              <w:t>37</w:t>
            </w:r>
          </w:p>
        </w:tc>
        <w:tc>
          <w:tcPr>
            <w:tcW w:w="1628" w:type="dxa"/>
            <w:shd w:val="clear" w:color="auto" w:fill="auto"/>
            <w:noWrap/>
            <w:hideMark/>
          </w:tcPr>
          <w:p w14:paraId="673D2422" w14:textId="66CB0C66" w:rsidR="0067063A" w:rsidRPr="00795F17" w:rsidRDefault="0067063A" w:rsidP="0065243A">
            <w:pPr>
              <w:pStyle w:val="Teksttabelisrodek"/>
            </w:pPr>
            <w:r w:rsidRPr="00795F17">
              <w:t>2,91</w:t>
            </w:r>
          </w:p>
        </w:tc>
      </w:tr>
      <w:tr w:rsidR="0067063A" w:rsidRPr="00795F17" w14:paraId="56F70BB9" w14:textId="77777777" w:rsidTr="0067063A">
        <w:trPr>
          <w:trHeight w:val="454"/>
        </w:trPr>
        <w:tc>
          <w:tcPr>
            <w:tcW w:w="5807" w:type="dxa"/>
            <w:shd w:val="clear" w:color="auto" w:fill="auto"/>
            <w:noWrap/>
            <w:hideMark/>
          </w:tcPr>
          <w:p w14:paraId="2987928F" w14:textId="4747DD8D" w:rsidR="0067063A" w:rsidRPr="00795F17" w:rsidRDefault="0067063A" w:rsidP="00597D57">
            <w:pPr>
              <w:pStyle w:val="Teksttabelilewy"/>
            </w:pPr>
            <w:r w:rsidRPr="00795F17">
              <w:t xml:space="preserve">Cel środowiskowy dla stanu/potencjału ekologicznego osiągnięty </w:t>
            </w:r>
            <w:r w:rsidRPr="00795F17">
              <w:br/>
            </w:r>
            <w:r w:rsidR="003F2700">
              <w:t>–</w:t>
            </w:r>
            <w:r w:rsidRPr="00795F17">
              <w:t xml:space="preserve"> poprawa stanu</w:t>
            </w:r>
            <w:r w:rsidRPr="00795F17">
              <w:rPr>
                <w:rStyle w:val="Nagwek3Znak"/>
                <w:rFonts w:cs="Calibri"/>
                <w:b w:val="0"/>
                <w:bCs/>
                <w:sz w:val="22"/>
                <w:szCs w:val="22"/>
              </w:rPr>
              <w:t> </w:t>
            </w:r>
          </w:p>
        </w:tc>
        <w:tc>
          <w:tcPr>
            <w:tcW w:w="1627" w:type="dxa"/>
            <w:shd w:val="clear" w:color="auto" w:fill="auto"/>
            <w:noWrap/>
            <w:hideMark/>
          </w:tcPr>
          <w:p w14:paraId="510E4E31" w14:textId="77777777" w:rsidR="0067063A" w:rsidRPr="00795F17" w:rsidRDefault="0067063A" w:rsidP="0065243A">
            <w:pPr>
              <w:pStyle w:val="Teksttabelisrodek"/>
            </w:pPr>
            <w:r w:rsidRPr="00795F17">
              <w:t>28</w:t>
            </w:r>
          </w:p>
        </w:tc>
        <w:tc>
          <w:tcPr>
            <w:tcW w:w="1628" w:type="dxa"/>
            <w:shd w:val="clear" w:color="auto" w:fill="auto"/>
            <w:noWrap/>
            <w:hideMark/>
          </w:tcPr>
          <w:p w14:paraId="2CDA8A44" w14:textId="3542ABC4" w:rsidR="0067063A" w:rsidRPr="00795F17" w:rsidRDefault="0067063A" w:rsidP="0065243A">
            <w:pPr>
              <w:pStyle w:val="Teksttabelisrodek"/>
            </w:pPr>
            <w:r w:rsidRPr="00795F17">
              <w:t>2,20</w:t>
            </w:r>
          </w:p>
        </w:tc>
      </w:tr>
      <w:tr w:rsidR="0067063A" w:rsidRPr="00795F17" w14:paraId="1ABB1D90" w14:textId="77777777" w:rsidTr="0067063A">
        <w:trPr>
          <w:trHeight w:val="454"/>
        </w:trPr>
        <w:tc>
          <w:tcPr>
            <w:tcW w:w="5807" w:type="dxa"/>
            <w:shd w:val="clear" w:color="auto" w:fill="auto"/>
            <w:noWrap/>
            <w:hideMark/>
          </w:tcPr>
          <w:p w14:paraId="5E899AD0" w14:textId="77777777" w:rsidR="0067063A" w:rsidRPr="00795F17" w:rsidRDefault="0067063A" w:rsidP="00597D57">
            <w:pPr>
              <w:pStyle w:val="Teksttabelilewy"/>
            </w:pPr>
            <w:r w:rsidRPr="00795F17">
              <w:t>Brak możliwości oceny postępu w osiąganiu celów środowiskowych</w:t>
            </w:r>
            <w:r w:rsidRPr="00795F17">
              <w:rPr>
                <w:rStyle w:val="Nagwek3Znak"/>
                <w:rFonts w:cs="Calibri"/>
                <w:b w:val="0"/>
                <w:bCs/>
                <w:sz w:val="22"/>
                <w:szCs w:val="22"/>
              </w:rPr>
              <w:t> </w:t>
            </w:r>
          </w:p>
        </w:tc>
        <w:tc>
          <w:tcPr>
            <w:tcW w:w="1627" w:type="dxa"/>
            <w:shd w:val="clear" w:color="auto" w:fill="auto"/>
            <w:noWrap/>
            <w:hideMark/>
          </w:tcPr>
          <w:p w14:paraId="6004F8E6" w14:textId="77777777" w:rsidR="0067063A" w:rsidRPr="00795F17" w:rsidRDefault="0067063A" w:rsidP="0065243A">
            <w:pPr>
              <w:pStyle w:val="Teksttabelisrodek"/>
            </w:pPr>
            <w:r w:rsidRPr="00795F17">
              <w:t>446</w:t>
            </w:r>
          </w:p>
        </w:tc>
        <w:tc>
          <w:tcPr>
            <w:tcW w:w="1628" w:type="dxa"/>
            <w:shd w:val="clear" w:color="auto" w:fill="auto"/>
            <w:noWrap/>
            <w:hideMark/>
          </w:tcPr>
          <w:p w14:paraId="39CD7981" w14:textId="5B671BB2" w:rsidR="0067063A" w:rsidRPr="00795F17" w:rsidRDefault="0067063A" w:rsidP="0065243A">
            <w:pPr>
              <w:pStyle w:val="Teksttabelisrodek"/>
            </w:pPr>
            <w:r w:rsidRPr="00795F17">
              <w:t>35,06</w:t>
            </w:r>
          </w:p>
        </w:tc>
      </w:tr>
      <w:tr w:rsidR="00896ED4" w:rsidRPr="00795F17" w14:paraId="6F562A94" w14:textId="77777777" w:rsidTr="00896ED4">
        <w:trPr>
          <w:trHeight w:val="454"/>
        </w:trPr>
        <w:tc>
          <w:tcPr>
            <w:tcW w:w="5807" w:type="dxa"/>
            <w:shd w:val="clear" w:color="auto" w:fill="BFBFBF" w:themeFill="background1" w:themeFillShade="BF"/>
            <w:noWrap/>
            <w:hideMark/>
          </w:tcPr>
          <w:p w14:paraId="6DA5972C" w14:textId="2CB57709" w:rsidR="00896ED4" w:rsidRPr="00795F17" w:rsidRDefault="00896ED4" w:rsidP="005573CA">
            <w:pPr>
              <w:pStyle w:val="Teksttabelinaglowek"/>
              <w:rPr>
                <w:rFonts w:eastAsia="Times New Roman" w:cstheme="minorHAnsi"/>
              </w:rPr>
            </w:pPr>
            <w:r w:rsidRPr="00795F17">
              <w:t xml:space="preserve">Liczba </w:t>
            </w:r>
            <w:r w:rsidR="00DF005E">
              <w:t>JCWP</w:t>
            </w:r>
            <w:r w:rsidRPr="00795F17">
              <w:t xml:space="preserve"> RW </w:t>
            </w:r>
            <w:r w:rsidR="00F74A68">
              <w:t>na</w:t>
            </w:r>
            <w:r w:rsidRPr="00795F17">
              <w:t xml:space="preserve"> obszarze dorzecza</w:t>
            </w:r>
            <w:r w:rsidRPr="00795F17">
              <w:rPr>
                <w:rFonts w:eastAsia="Times New Roman" w:cstheme="minorHAnsi"/>
              </w:rPr>
              <w:t xml:space="preserve"> </w:t>
            </w:r>
          </w:p>
        </w:tc>
        <w:tc>
          <w:tcPr>
            <w:tcW w:w="1627" w:type="dxa"/>
            <w:shd w:val="clear" w:color="auto" w:fill="BFBFBF" w:themeFill="background1" w:themeFillShade="BF"/>
            <w:noWrap/>
            <w:hideMark/>
          </w:tcPr>
          <w:p w14:paraId="04A561F5" w14:textId="1E5A5F9A" w:rsidR="00896ED4" w:rsidRPr="00795F17" w:rsidRDefault="00896ED4" w:rsidP="005573CA">
            <w:pPr>
              <w:pStyle w:val="Teksttabelinaglowek"/>
            </w:pPr>
            <w:r w:rsidRPr="00795F17">
              <w:t>1</w:t>
            </w:r>
            <w:r w:rsidR="0067063A" w:rsidRPr="00795F17">
              <w:t> </w:t>
            </w:r>
            <w:r w:rsidRPr="00795F17">
              <w:t>272</w:t>
            </w:r>
          </w:p>
        </w:tc>
        <w:tc>
          <w:tcPr>
            <w:tcW w:w="1628" w:type="dxa"/>
            <w:shd w:val="clear" w:color="auto" w:fill="BFBFBF" w:themeFill="background1" w:themeFillShade="BF"/>
            <w:noWrap/>
            <w:hideMark/>
          </w:tcPr>
          <w:p w14:paraId="57ABA7EE" w14:textId="2301CE74" w:rsidR="00896ED4" w:rsidRPr="00795F17" w:rsidRDefault="00896ED4" w:rsidP="005573CA">
            <w:pPr>
              <w:pStyle w:val="Teksttabelinaglowek"/>
            </w:pPr>
            <w:r w:rsidRPr="00795F17">
              <w:t>100</w:t>
            </w:r>
          </w:p>
        </w:tc>
      </w:tr>
    </w:tbl>
    <w:p w14:paraId="1769CCAC" w14:textId="2E1793BA" w:rsidR="00CE597F" w:rsidRPr="00795F17" w:rsidRDefault="00CE597F" w:rsidP="0044393D">
      <w:pPr>
        <w:pStyle w:val="rdo"/>
      </w:pPr>
      <w:r w:rsidRPr="00795F17">
        <w:t xml:space="preserve">Źródło: </w:t>
      </w:r>
      <w:r w:rsidR="00724997" w:rsidRPr="00795F17">
        <w:t>opracowanie własne</w:t>
      </w:r>
      <w:r w:rsidRPr="00795F17">
        <w:t xml:space="preserve"> na podstawie danych GIOŚ </w:t>
      </w:r>
    </w:p>
    <w:p w14:paraId="4F74E465" w14:textId="1ADBD624" w:rsidR="00CE597F" w:rsidRPr="00795F17" w:rsidRDefault="00CE597F" w:rsidP="0044393D">
      <w:r w:rsidRPr="00795F17">
        <w:t xml:space="preserve">Najczęstszą przyczyną nieosiągnięcia celów środowiskowych w 761 </w:t>
      </w:r>
      <w:r w:rsidR="00DF005E">
        <w:t>JCWP</w:t>
      </w:r>
      <w:r w:rsidR="00175E71" w:rsidRPr="00795F17">
        <w:t xml:space="preserve"> RW</w:t>
      </w:r>
      <w:r w:rsidRPr="00795F17">
        <w:t xml:space="preserve"> na obszarze dorzecza Odry było utrzymujące się oddziaływanie presji. Działania zaplanowane w aPWŚK miały niski stopień realizacji, lub działania zrealizowane nie były dość skuteczne. W efekcie 535 spośród tych </w:t>
      </w:r>
      <w:r w:rsidR="00DF005E">
        <w:t>JCWP</w:t>
      </w:r>
      <w:r w:rsidR="008122F8" w:rsidRPr="00795F17">
        <w:t xml:space="preserve"> RW</w:t>
      </w:r>
      <w:r w:rsidRPr="00795F17">
        <w:t xml:space="preserve"> (42,</w:t>
      </w:r>
      <w:r w:rsidR="0059447E" w:rsidRPr="00795F17">
        <w:t>1</w:t>
      </w:r>
      <w:r w:rsidRPr="00795F17">
        <w:t xml:space="preserve">%) nie osiągnęło stanu dobrego, a dla dalszych 217 </w:t>
      </w:r>
      <w:r w:rsidR="00DF005E">
        <w:t>JCWP</w:t>
      </w:r>
      <w:r w:rsidRPr="00795F17">
        <w:t xml:space="preserve"> </w:t>
      </w:r>
      <w:r w:rsidR="008122F8" w:rsidRPr="00795F17">
        <w:t xml:space="preserve">RW </w:t>
      </w:r>
      <w:r w:rsidRPr="00795F17">
        <w:t>(17,</w:t>
      </w:r>
      <w:r w:rsidR="0059447E" w:rsidRPr="00795F17">
        <w:t>1</w:t>
      </w:r>
      <w:r w:rsidRPr="00795F17">
        <w:t>%) nastąpiło pogorszenie do</w:t>
      </w:r>
      <w:r w:rsidR="00175E71" w:rsidRPr="00795F17">
        <w:t> </w:t>
      </w:r>
      <w:r w:rsidRPr="00795F17">
        <w:t xml:space="preserve">stanu/potencjału ekologicznego poniżej dobrego. W pozostałych 9 </w:t>
      </w:r>
      <w:r w:rsidR="00DF005E">
        <w:t>JCWP</w:t>
      </w:r>
      <w:r w:rsidRPr="00795F17">
        <w:t xml:space="preserve"> </w:t>
      </w:r>
      <w:r w:rsidR="008122F8" w:rsidRPr="00795F17">
        <w:t xml:space="preserve">RW </w:t>
      </w:r>
      <w:r w:rsidRPr="00795F17">
        <w:t>(0,7%), w których także nie osiągnięto celów środowiskowych, doszło do poprawy stanu/potencjału ekologicznego. Na</w:t>
      </w:r>
      <w:r w:rsidR="00175E71" w:rsidRPr="00795F17">
        <w:t> </w:t>
      </w:r>
      <w:r w:rsidRPr="00795F17">
        <w:t>nieosiągnięcie celów środowiskowych w sumie</w:t>
      </w:r>
      <w:r w:rsidR="008122F8" w:rsidRPr="00795F17">
        <w:t xml:space="preserve"> </w:t>
      </w:r>
      <w:r w:rsidRPr="00795F17">
        <w:t xml:space="preserve">w 886 </w:t>
      </w:r>
      <w:r w:rsidR="00DF005E">
        <w:t>JCWP</w:t>
      </w:r>
      <w:r w:rsidRPr="00795F17">
        <w:t xml:space="preserve"> </w:t>
      </w:r>
      <w:r w:rsidR="008122F8" w:rsidRPr="00795F17">
        <w:t xml:space="preserve">RW </w:t>
      </w:r>
      <w:r w:rsidRPr="00795F17">
        <w:t xml:space="preserve">(51,4%) </w:t>
      </w:r>
      <w:r w:rsidR="00F74A68">
        <w:t>na</w:t>
      </w:r>
      <w:r w:rsidRPr="00795F17">
        <w:t xml:space="preserve"> obszarze dorzecza Odry mogły mieć także wpływ warunki panujące w zlewni (dopływ zanieczyszczeń z innej </w:t>
      </w:r>
      <w:r w:rsidR="00DF005E">
        <w:t>JCWP</w:t>
      </w:r>
      <w:r w:rsidRPr="00795F17">
        <w:t xml:space="preserve">, niski potencjał sorpcyjny </w:t>
      </w:r>
      <w:r w:rsidR="00DF005E">
        <w:t>JCWP</w:t>
      </w:r>
      <w:r w:rsidRPr="00795F17">
        <w:t>, zanik przepływu wody w korycie lub zagrożenie suszą). W efekcie wymienionych uwarunkowań brak postępu w osiąganiu stanu dobrego i pogorszenie do</w:t>
      </w:r>
      <w:r w:rsidR="00175E71" w:rsidRPr="00795F17">
        <w:t> </w:t>
      </w:r>
      <w:r w:rsidRPr="00795F17">
        <w:t>stanu/potencjału ekologicznego poniżej dobrego wskazano odpowiednio, dla 451</w:t>
      </w:r>
      <w:r w:rsidR="008122F8" w:rsidRPr="00795F17">
        <w:t xml:space="preserve"> </w:t>
      </w:r>
      <w:r w:rsidR="00DF005E">
        <w:t>JCWP</w:t>
      </w:r>
      <w:r w:rsidR="008122F8" w:rsidRPr="00795F17">
        <w:t xml:space="preserve"> RW</w:t>
      </w:r>
      <w:r w:rsidRPr="00795F17">
        <w:t xml:space="preserve"> (35,5%) i 170 </w:t>
      </w:r>
      <w:r w:rsidR="00DF005E">
        <w:t>JCWP</w:t>
      </w:r>
      <w:r w:rsidR="008122F8" w:rsidRPr="00795F17">
        <w:t xml:space="preserve"> RW </w:t>
      </w:r>
      <w:r w:rsidRPr="00795F17">
        <w:t xml:space="preserve">(13,4%). Poza wymienionymi, także zmiany legislacyjne, takie jak zmiana wartości granicznych klas i typologii abiotycznej były podstawą wskazania pogorszenia się stanu/potencjału ekologicznego w 217 </w:t>
      </w:r>
      <w:r w:rsidR="00DF005E">
        <w:t>JCWP</w:t>
      </w:r>
      <w:r w:rsidRPr="00795F17">
        <w:t xml:space="preserve"> </w:t>
      </w:r>
      <w:r w:rsidR="008122F8" w:rsidRPr="00795F17">
        <w:t xml:space="preserve">RW </w:t>
      </w:r>
      <w:r w:rsidRPr="00795F17">
        <w:t>(17,</w:t>
      </w:r>
      <w:r w:rsidR="0059447E" w:rsidRPr="00795F17">
        <w:t>1</w:t>
      </w:r>
      <w:r w:rsidRPr="00795F17">
        <w:t>%) na obszarze dorzecza Odry.</w:t>
      </w:r>
    </w:p>
    <w:p w14:paraId="079DD0B3" w14:textId="2D931A9F" w:rsidR="00674315" w:rsidRPr="00795F17" w:rsidRDefault="00674315" w:rsidP="0044393D">
      <w:pPr>
        <w:rPr>
          <w:i/>
        </w:rPr>
      </w:pPr>
      <w:r w:rsidRPr="00795F17">
        <w:t xml:space="preserve">Wyniki analizy przyczyn nieosiągnięcia celów środowiskowych przez </w:t>
      </w:r>
      <w:r w:rsidR="00DF005E">
        <w:t>JCWP</w:t>
      </w:r>
      <w:r w:rsidRPr="00795F17">
        <w:t xml:space="preserve"> RW przedstawiono w poniższej tabeli (tabela 9-3).</w:t>
      </w:r>
    </w:p>
    <w:p w14:paraId="02891384" w14:textId="3F4A5750" w:rsidR="00236752" w:rsidRPr="00795F17" w:rsidRDefault="00236752" w:rsidP="004D7705">
      <w:pPr>
        <w:pStyle w:val="Tabela"/>
      </w:pPr>
      <w:bookmarkStart w:id="462" w:name="_Toc66341906"/>
      <w:bookmarkStart w:id="463" w:name="_Toc105512827"/>
      <w:r w:rsidRPr="00795F17">
        <w:t xml:space="preserve">Tabela </w:t>
      </w:r>
      <w:fldSimple w:instr=" STYLEREF 1 \s ">
        <w:r w:rsidR="001F774D">
          <w:rPr>
            <w:noProof/>
          </w:rPr>
          <w:t>9</w:t>
        </w:r>
      </w:fldSimple>
      <w:r w:rsidR="00BB3B21" w:rsidRPr="00795F17">
        <w:noBreakHyphen/>
      </w:r>
      <w:fldSimple w:instr=" SEQ Tabela \* ARABIC \s 1 ">
        <w:r w:rsidR="001F774D">
          <w:rPr>
            <w:noProof/>
          </w:rPr>
          <w:t>3</w:t>
        </w:r>
      </w:fldSimple>
      <w:r w:rsidR="00E76356">
        <w:rPr>
          <w:noProof/>
        </w:rPr>
        <w:t>.</w:t>
      </w:r>
      <w:r w:rsidRPr="00795F17">
        <w:tab/>
        <w:t>Analiza przyczyn wpływających na brak postępu w osiąganiu celów środowiskowych dla</w:t>
      </w:r>
      <w:r w:rsidR="009C7D92" w:rsidRPr="00795F17">
        <w:t> </w:t>
      </w:r>
      <w:r w:rsidRPr="00795F17">
        <w:t xml:space="preserve">stanu/potencjału ekologicznego </w:t>
      </w:r>
      <w:r w:rsidR="00F74A68">
        <w:t>na</w:t>
      </w:r>
      <w:r w:rsidRPr="00795F17">
        <w:t xml:space="preserve"> </w:t>
      </w:r>
      <w:r w:rsidR="00807298" w:rsidRPr="00795F17">
        <w:t xml:space="preserve">obszarze </w:t>
      </w:r>
      <w:r w:rsidRPr="00795F17">
        <w:t>dorzecz</w:t>
      </w:r>
      <w:r w:rsidR="00807298" w:rsidRPr="00795F17">
        <w:t>a</w:t>
      </w:r>
      <w:r w:rsidRPr="00795F17">
        <w:t xml:space="preserve"> Odry</w:t>
      </w:r>
      <w:r w:rsidR="00674315" w:rsidRPr="00795F17">
        <w:t xml:space="preserve"> (bazując na nowym </w:t>
      </w:r>
      <w:r w:rsidR="00674315" w:rsidRPr="00795F17">
        <w:rPr>
          <w:rFonts w:asciiTheme="minorHAnsi" w:hAnsiTheme="minorHAnsi"/>
        </w:rPr>
        <w:t xml:space="preserve">układzie planistycznym </w:t>
      </w:r>
      <w:r w:rsidR="00674315" w:rsidRPr="00795F17">
        <w:rPr>
          <w:rFonts w:asciiTheme="minorHAnsi" w:hAnsiTheme="minorHAnsi" w:cstheme="minorHAnsi"/>
        </w:rPr>
        <w:t>IIaPGW)</w:t>
      </w:r>
      <w:r w:rsidRPr="00795F17">
        <w:t xml:space="preserve"> </w:t>
      </w:r>
      <w:r w:rsidR="003F2700">
        <w:t>–</w:t>
      </w:r>
      <w:r w:rsidRPr="00795F17">
        <w:t xml:space="preserve"> </w:t>
      </w:r>
      <w:r w:rsidR="00DF005E">
        <w:t>JCWP</w:t>
      </w:r>
      <w:r w:rsidRPr="00795F17">
        <w:t xml:space="preserve"> RW</w:t>
      </w:r>
      <w:bookmarkEnd w:id="462"/>
      <w:bookmarkEnd w:id="4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559"/>
        <w:gridCol w:w="1696"/>
      </w:tblGrid>
      <w:tr w:rsidR="00CE597F" w:rsidRPr="00795F17" w14:paraId="6E494379" w14:textId="77777777" w:rsidTr="0059447E">
        <w:trPr>
          <w:trHeight w:val="454"/>
          <w:tblHeader/>
        </w:trPr>
        <w:tc>
          <w:tcPr>
            <w:tcW w:w="9062" w:type="dxa"/>
            <w:gridSpan w:val="3"/>
            <w:shd w:val="clear" w:color="auto" w:fill="BFBFBF" w:themeFill="background1" w:themeFillShade="BF"/>
            <w:noWrap/>
            <w:vAlign w:val="center"/>
            <w:hideMark/>
          </w:tcPr>
          <w:p w14:paraId="64FA3828" w14:textId="68465BC8" w:rsidR="00CE597F" w:rsidRPr="00795F17" w:rsidRDefault="009C7D92" w:rsidP="004E056A">
            <w:pPr>
              <w:pStyle w:val="Teksttabelinaglowek"/>
              <w:keepNext/>
            </w:pPr>
            <w:r w:rsidRPr="00795F17">
              <w:t>Analiza przyczyn braku postępu w osiąganiu celu środowiskowego dla stanu/potencjału ekologicznego</w:t>
            </w:r>
          </w:p>
        </w:tc>
      </w:tr>
      <w:tr w:rsidR="00CE597F" w:rsidRPr="00795F17" w14:paraId="4867F63E" w14:textId="77777777" w:rsidTr="001C59F9">
        <w:trPr>
          <w:trHeight w:val="454"/>
          <w:tblHeader/>
        </w:trPr>
        <w:tc>
          <w:tcPr>
            <w:tcW w:w="5807" w:type="dxa"/>
            <w:shd w:val="clear" w:color="auto" w:fill="BFBFBF" w:themeFill="background1" w:themeFillShade="BF"/>
            <w:noWrap/>
            <w:vAlign w:val="center"/>
            <w:hideMark/>
          </w:tcPr>
          <w:p w14:paraId="0BAE7D36" w14:textId="536B0674" w:rsidR="00CE597F" w:rsidRPr="00795F17" w:rsidRDefault="009C7D92" w:rsidP="004E056A">
            <w:pPr>
              <w:pStyle w:val="Teksttabelinaglowek"/>
              <w:keepNext/>
            </w:pPr>
            <w:r w:rsidRPr="00795F17">
              <w:t>Przyczyna braku postępu</w:t>
            </w:r>
          </w:p>
        </w:tc>
        <w:tc>
          <w:tcPr>
            <w:tcW w:w="1559" w:type="dxa"/>
            <w:shd w:val="clear" w:color="auto" w:fill="BFBFBF" w:themeFill="background1" w:themeFillShade="BF"/>
            <w:noWrap/>
            <w:vAlign w:val="center"/>
            <w:hideMark/>
          </w:tcPr>
          <w:p w14:paraId="400624A8" w14:textId="06A3D2A5" w:rsidR="00CE597F" w:rsidRPr="00795F17" w:rsidRDefault="009C7D92" w:rsidP="004E056A">
            <w:pPr>
              <w:pStyle w:val="Teksttabelinaglowek"/>
              <w:keepNext/>
            </w:pPr>
            <w:r w:rsidRPr="00795F17">
              <w:t>L</w:t>
            </w:r>
            <w:r w:rsidR="00CE597F" w:rsidRPr="00795F17">
              <w:t xml:space="preserve">iczba </w:t>
            </w:r>
            <w:r w:rsidR="00DF005E">
              <w:t>JCWP</w:t>
            </w:r>
            <w:r w:rsidR="00CE597F" w:rsidRPr="00795F17">
              <w:t xml:space="preserve"> RW</w:t>
            </w:r>
          </w:p>
        </w:tc>
        <w:tc>
          <w:tcPr>
            <w:tcW w:w="1696" w:type="dxa"/>
            <w:shd w:val="clear" w:color="auto" w:fill="BFBFBF" w:themeFill="background1" w:themeFillShade="BF"/>
            <w:noWrap/>
            <w:vAlign w:val="center"/>
            <w:hideMark/>
          </w:tcPr>
          <w:p w14:paraId="46B92908" w14:textId="5AD2A975" w:rsidR="00CE597F" w:rsidRPr="00795F17" w:rsidRDefault="00CE597F" w:rsidP="004E056A">
            <w:pPr>
              <w:pStyle w:val="Teksttabelinaglowek"/>
              <w:keepNext/>
            </w:pPr>
            <w:r w:rsidRPr="00795F17">
              <w:t xml:space="preserve">Udział </w:t>
            </w:r>
            <w:r w:rsidR="00DF005E">
              <w:t>JCWP</w:t>
            </w:r>
            <w:r w:rsidR="009C7D92" w:rsidRPr="00795F17">
              <w:t xml:space="preserve"> </w:t>
            </w:r>
            <w:r w:rsidR="00EA4FF5" w:rsidRPr="00795F17">
              <w:t>(%)</w:t>
            </w:r>
          </w:p>
        </w:tc>
      </w:tr>
      <w:tr w:rsidR="00CE597F" w:rsidRPr="00795F17" w14:paraId="5DED3047" w14:textId="77777777" w:rsidTr="009C7D92">
        <w:trPr>
          <w:trHeight w:val="454"/>
        </w:trPr>
        <w:tc>
          <w:tcPr>
            <w:tcW w:w="9062" w:type="dxa"/>
            <w:gridSpan w:val="3"/>
            <w:shd w:val="clear" w:color="auto" w:fill="D9D9D9" w:themeFill="background1" w:themeFillShade="D9"/>
            <w:vAlign w:val="center"/>
            <w:hideMark/>
          </w:tcPr>
          <w:p w14:paraId="575E764C" w14:textId="77777777" w:rsidR="00CE597F" w:rsidRPr="00795F17" w:rsidRDefault="00CE597F" w:rsidP="001C59F9">
            <w:pPr>
              <w:pStyle w:val="Teksttabelisrodek"/>
            </w:pPr>
            <w:r w:rsidRPr="00795F17">
              <w:t>Zmiany legislacyjne (zmiana wartości granicznych klas, typologii abiotycznej)</w:t>
            </w:r>
          </w:p>
        </w:tc>
      </w:tr>
      <w:tr w:rsidR="00CE597F" w:rsidRPr="00795F17" w14:paraId="577FBD09" w14:textId="77777777" w:rsidTr="009C7D92">
        <w:trPr>
          <w:trHeight w:val="454"/>
        </w:trPr>
        <w:tc>
          <w:tcPr>
            <w:tcW w:w="5807" w:type="dxa"/>
            <w:noWrap/>
            <w:vAlign w:val="center"/>
            <w:hideMark/>
          </w:tcPr>
          <w:p w14:paraId="6F61F87E" w14:textId="708DF23A" w:rsidR="00CE597F" w:rsidRPr="00795F17" w:rsidRDefault="009C7D92" w:rsidP="0065243A">
            <w:pPr>
              <w:pStyle w:val="Teksttabelilewy"/>
            </w:pPr>
            <w:r w:rsidRPr="00795F17">
              <w:t>Analizowana przyczyna łącznie</w:t>
            </w:r>
          </w:p>
        </w:tc>
        <w:tc>
          <w:tcPr>
            <w:tcW w:w="1559" w:type="dxa"/>
            <w:noWrap/>
            <w:vAlign w:val="center"/>
            <w:hideMark/>
          </w:tcPr>
          <w:p w14:paraId="1C86FEC6" w14:textId="77777777" w:rsidR="00CE597F" w:rsidRPr="00795F17" w:rsidRDefault="00CE597F" w:rsidP="0065243A">
            <w:pPr>
              <w:pStyle w:val="Teksttabelisrodek"/>
            </w:pPr>
            <w:r w:rsidRPr="00795F17">
              <w:t>217</w:t>
            </w:r>
          </w:p>
        </w:tc>
        <w:tc>
          <w:tcPr>
            <w:tcW w:w="1696" w:type="dxa"/>
            <w:noWrap/>
            <w:vAlign w:val="center"/>
            <w:hideMark/>
          </w:tcPr>
          <w:p w14:paraId="01E8B54B" w14:textId="77777777" w:rsidR="00CE597F" w:rsidRPr="00795F17" w:rsidRDefault="00CE597F" w:rsidP="0065243A">
            <w:pPr>
              <w:pStyle w:val="Teksttabelisrodek"/>
            </w:pPr>
            <w:r w:rsidRPr="00795F17">
              <w:t>17,1</w:t>
            </w:r>
          </w:p>
        </w:tc>
      </w:tr>
      <w:tr w:rsidR="00CE597F" w:rsidRPr="00795F17" w14:paraId="0305DAE4" w14:textId="77777777" w:rsidTr="009C7D92">
        <w:trPr>
          <w:trHeight w:val="454"/>
        </w:trPr>
        <w:tc>
          <w:tcPr>
            <w:tcW w:w="5807" w:type="dxa"/>
            <w:noWrap/>
            <w:vAlign w:val="center"/>
            <w:hideMark/>
          </w:tcPr>
          <w:p w14:paraId="5A83E45A" w14:textId="2105EB0D" w:rsidR="00CE597F" w:rsidRPr="00795F17" w:rsidRDefault="009C7D92" w:rsidP="0065243A">
            <w:pPr>
              <w:pStyle w:val="Teksttabelilewy"/>
            </w:pPr>
            <w:r w:rsidRPr="00795F17">
              <w:t>Stan</w:t>
            </w:r>
            <w:r w:rsidR="00CE597F" w:rsidRPr="00795F17">
              <w:t xml:space="preserve">/potencjał poniżej dobrego </w:t>
            </w:r>
            <w:r w:rsidR="003F2700">
              <w:t>–</w:t>
            </w:r>
            <w:r w:rsidR="00CE597F" w:rsidRPr="00795F17">
              <w:t xml:space="preserve"> brak postępu w osiąganiu dobrego stanu/potencjału</w:t>
            </w:r>
          </w:p>
        </w:tc>
        <w:tc>
          <w:tcPr>
            <w:tcW w:w="1559" w:type="dxa"/>
            <w:noWrap/>
            <w:vAlign w:val="center"/>
            <w:hideMark/>
          </w:tcPr>
          <w:p w14:paraId="10DC38A0" w14:textId="77777777" w:rsidR="00CE597F" w:rsidRPr="00795F17" w:rsidRDefault="00CE597F" w:rsidP="0065243A">
            <w:pPr>
              <w:pStyle w:val="Teksttabelisrodek"/>
            </w:pPr>
            <w:r w:rsidRPr="00795F17">
              <w:t>0</w:t>
            </w:r>
          </w:p>
        </w:tc>
        <w:tc>
          <w:tcPr>
            <w:tcW w:w="1696" w:type="dxa"/>
            <w:noWrap/>
            <w:vAlign w:val="center"/>
            <w:hideMark/>
          </w:tcPr>
          <w:p w14:paraId="6B750320" w14:textId="6522DD59" w:rsidR="00CE597F" w:rsidRPr="00795F17" w:rsidRDefault="008122F8" w:rsidP="0065243A">
            <w:pPr>
              <w:pStyle w:val="Teksttabelisrodek"/>
            </w:pPr>
            <w:r w:rsidRPr="00795F17">
              <w:t>0,0</w:t>
            </w:r>
          </w:p>
        </w:tc>
      </w:tr>
      <w:tr w:rsidR="00CE597F" w:rsidRPr="00795F17" w14:paraId="630B6529" w14:textId="77777777" w:rsidTr="009C7D92">
        <w:trPr>
          <w:trHeight w:val="454"/>
        </w:trPr>
        <w:tc>
          <w:tcPr>
            <w:tcW w:w="5807" w:type="dxa"/>
            <w:noWrap/>
            <w:vAlign w:val="center"/>
            <w:hideMark/>
          </w:tcPr>
          <w:p w14:paraId="12AAFE79" w14:textId="522F2A37" w:rsidR="00CE597F" w:rsidRPr="00795F17" w:rsidRDefault="009C7D92" w:rsidP="0065243A">
            <w:pPr>
              <w:pStyle w:val="Teksttabelilewy"/>
            </w:pPr>
            <w:r w:rsidRPr="00795F17">
              <w:t>Pogorszenie do stanu/potencjału poniżej dobrego</w:t>
            </w:r>
          </w:p>
        </w:tc>
        <w:tc>
          <w:tcPr>
            <w:tcW w:w="1559" w:type="dxa"/>
            <w:noWrap/>
            <w:vAlign w:val="center"/>
            <w:hideMark/>
          </w:tcPr>
          <w:p w14:paraId="44F130CA" w14:textId="77777777" w:rsidR="00CE597F" w:rsidRPr="00795F17" w:rsidRDefault="00CE597F" w:rsidP="0065243A">
            <w:pPr>
              <w:pStyle w:val="Teksttabelisrodek"/>
            </w:pPr>
            <w:r w:rsidRPr="00795F17">
              <w:t>217</w:t>
            </w:r>
          </w:p>
        </w:tc>
        <w:tc>
          <w:tcPr>
            <w:tcW w:w="1696" w:type="dxa"/>
            <w:noWrap/>
            <w:vAlign w:val="center"/>
            <w:hideMark/>
          </w:tcPr>
          <w:p w14:paraId="73E99523" w14:textId="77777777" w:rsidR="00CE597F" w:rsidRPr="00795F17" w:rsidRDefault="00CE597F" w:rsidP="0065243A">
            <w:pPr>
              <w:pStyle w:val="Teksttabelisrodek"/>
            </w:pPr>
            <w:r w:rsidRPr="00795F17">
              <w:t>17,1</w:t>
            </w:r>
          </w:p>
        </w:tc>
      </w:tr>
      <w:tr w:rsidR="00CE597F" w:rsidRPr="00795F17" w14:paraId="5E5C5E96" w14:textId="77777777" w:rsidTr="009C7D92">
        <w:trPr>
          <w:trHeight w:val="454"/>
        </w:trPr>
        <w:tc>
          <w:tcPr>
            <w:tcW w:w="5807" w:type="dxa"/>
            <w:noWrap/>
            <w:vAlign w:val="center"/>
            <w:hideMark/>
          </w:tcPr>
          <w:p w14:paraId="4734C311" w14:textId="2AA6266B" w:rsidR="00CE597F" w:rsidRPr="00795F17" w:rsidRDefault="009C7D92" w:rsidP="0065243A">
            <w:pPr>
              <w:pStyle w:val="Teksttabelilewy"/>
            </w:pPr>
            <w:r w:rsidRPr="00795F17">
              <w:t xml:space="preserve">Brak postępu </w:t>
            </w:r>
            <w:r w:rsidR="003F2700">
              <w:t>–</w:t>
            </w:r>
            <w:r w:rsidR="003F2700" w:rsidRPr="00795F17">
              <w:t xml:space="preserve"> </w:t>
            </w:r>
            <w:r w:rsidRPr="00795F17">
              <w:t xml:space="preserve">ale </w:t>
            </w:r>
            <w:r w:rsidR="00CE597F" w:rsidRPr="00795F17">
              <w:t>poprawa stanu/potencjału</w:t>
            </w:r>
          </w:p>
        </w:tc>
        <w:tc>
          <w:tcPr>
            <w:tcW w:w="1559" w:type="dxa"/>
            <w:noWrap/>
            <w:vAlign w:val="center"/>
            <w:hideMark/>
          </w:tcPr>
          <w:p w14:paraId="4E2C2F9A" w14:textId="77777777" w:rsidR="00CE597F" w:rsidRPr="00795F17" w:rsidRDefault="00CE597F" w:rsidP="0065243A">
            <w:pPr>
              <w:pStyle w:val="Teksttabelisrodek"/>
            </w:pPr>
            <w:r w:rsidRPr="00795F17">
              <w:t>0</w:t>
            </w:r>
          </w:p>
        </w:tc>
        <w:tc>
          <w:tcPr>
            <w:tcW w:w="1696" w:type="dxa"/>
            <w:noWrap/>
            <w:vAlign w:val="center"/>
            <w:hideMark/>
          </w:tcPr>
          <w:p w14:paraId="102B0B47" w14:textId="447C27B5" w:rsidR="00CE597F" w:rsidRPr="00795F17" w:rsidRDefault="008122F8" w:rsidP="0065243A">
            <w:pPr>
              <w:pStyle w:val="Teksttabelisrodek"/>
            </w:pPr>
            <w:r w:rsidRPr="00795F17">
              <w:t>0,0</w:t>
            </w:r>
          </w:p>
        </w:tc>
      </w:tr>
      <w:tr w:rsidR="00CE597F" w:rsidRPr="00795F17" w14:paraId="1F0823EA" w14:textId="77777777" w:rsidTr="009C7D92">
        <w:trPr>
          <w:trHeight w:val="454"/>
        </w:trPr>
        <w:tc>
          <w:tcPr>
            <w:tcW w:w="9062" w:type="dxa"/>
            <w:gridSpan w:val="3"/>
            <w:shd w:val="clear" w:color="auto" w:fill="D9D9D9" w:themeFill="background1" w:themeFillShade="D9"/>
            <w:vAlign w:val="center"/>
            <w:hideMark/>
          </w:tcPr>
          <w:p w14:paraId="18A57863" w14:textId="77777777" w:rsidR="00CE597F" w:rsidRPr="00795F17" w:rsidRDefault="00CE597F" w:rsidP="001C59F9">
            <w:pPr>
              <w:pStyle w:val="Teksttabelisrodek"/>
            </w:pPr>
            <w:r w:rsidRPr="00795F17">
              <w:t>Dalsze występowanie presji lub niewystarczające ograniczenie jej negatywnego wpływu na stan wód</w:t>
            </w:r>
          </w:p>
        </w:tc>
      </w:tr>
      <w:tr w:rsidR="00CE597F" w:rsidRPr="00795F17" w14:paraId="14C7D622" w14:textId="77777777" w:rsidTr="009C7D92">
        <w:trPr>
          <w:trHeight w:val="454"/>
        </w:trPr>
        <w:tc>
          <w:tcPr>
            <w:tcW w:w="5807" w:type="dxa"/>
            <w:noWrap/>
            <w:vAlign w:val="center"/>
            <w:hideMark/>
          </w:tcPr>
          <w:p w14:paraId="16569975" w14:textId="101D9ACA" w:rsidR="00CE597F" w:rsidRPr="00795F17" w:rsidRDefault="009C7D92" w:rsidP="0065243A">
            <w:pPr>
              <w:pStyle w:val="Teksttabelilewy"/>
            </w:pPr>
            <w:r w:rsidRPr="00795F17">
              <w:t>Anal</w:t>
            </w:r>
            <w:r w:rsidR="00CE597F" w:rsidRPr="00795F17">
              <w:t>izowana przyczyna łącznie</w:t>
            </w:r>
          </w:p>
        </w:tc>
        <w:tc>
          <w:tcPr>
            <w:tcW w:w="1559" w:type="dxa"/>
            <w:noWrap/>
            <w:vAlign w:val="center"/>
            <w:hideMark/>
          </w:tcPr>
          <w:p w14:paraId="1349E1FE" w14:textId="77777777" w:rsidR="00CE597F" w:rsidRPr="00795F17" w:rsidRDefault="00CE597F" w:rsidP="0065243A">
            <w:pPr>
              <w:pStyle w:val="Teksttabelisrodek"/>
            </w:pPr>
            <w:r w:rsidRPr="00795F17">
              <w:t>761</w:t>
            </w:r>
          </w:p>
        </w:tc>
        <w:tc>
          <w:tcPr>
            <w:tcW w:w="1696" w:type="dxa"/>
            <w:vAlign w:val="center"/>
            <w:hideMark/>
          </w:tcPr>
          <w:p w14:paraId="146F8180" w14:textId="00F2C422" w:rsidR="00CE597F" w:rsidRPr="00795F17" w:rsidRDefault="00CE597F" w:rsidP="0065243A">
            <w:pPr>
              <w:pStyle w:val="Teksttabelisrodek"/>
            </w:pPr>
            <w:r w:rsidRPr="00795F17">
              <w:t>59,</w:t>
            </w:r>
            <w:r w:rsidR="009C7D92" w:rsidRPr="00795F17">
              <w:t>9</w:t>
            </w:r>
          </w:p>
        </w:tc>
      </w:tr>
      <w:tr w:rsidR="00CE597F" w:rsidRPr="00795F17" w14:paraId="41A1C3D2" w14:textId="77777777" w:rsidTr="009C7D92">
        <w:trPr>
          <w:trHeight w:val="454"/>
        </w:trPr>
        <w:tc>
          <w:tcPr>
            <w:tcW w:w="5807" w:type="dxa"/>
            <w:noWrap/>
            <w:vAlign w:val="center"/>
            <w:hideMark/>
          </w:tcPr>
          <w:p w14:paraId="516E8688" w14:textId="00112116" w:rsidR="00CE597F" w:rsidRPr="00795F17" w:rsidRDefault="009C7D92" w:rsidP="0065243A">
            <w:pPr>
              <w:pStyle w:val="Teksttabelilewy"/>
            </w:pPr>
            <w:r w:rsidRPr="00795F17">
              <w:t>Stan/pot</w:t>
            </w:r>
            <w:r w:rsidR="00CE597F" w:rsidRPr="00795F17">
              <w:t xml:space="preserve">encjał poniżej dobrego </w:t>
            </w:r>
            <w:r w:rsidR="003F2700">
              <w:t>–</w:t>
            </w:r>
            <w:r w:rsidR="00CE597F" w:rsidRPr="00795F17">
              <w:t xml:space="preserve"> brak postępu w osiąganiu dobrego stanu/potencjału</w:t>
            </w:r>
          </w:p>
        </w:tc>
        <w:tc>
          <w:tcPr>
            <w:tcW w:w="1559" w:type="dxa"/>
            <w:noWrap/>
            <w:vAlign w:val="center"/>
            <w:hideMark/>
          </w:tcPr>
          <w:p w14:paraId="182BE161" w14:textId="77777777" w:rsidR="00CE597F" w:rsidRPr="00795F17" w:rsidRDefault="00CE597F" w:rsidP="0065243A">
            <w:pPr>
              <w:pStyle w:val="Teksttabelisrodek"/>
            </w:pPr>
            <w:r w:rsidRPr="00795F17">
              <w:t>535</w:t>
            </w:r>
          </w:p>
        </w:tc>
        <w:tc>
          <w:tcPr>
            <w:tcW w:w="1696" w:type="dxa"/>
            <w:vAlign w:val="center"/>
            <w:hideMark/>
          </w:tcPr>
          <w:p w14:paraId="66721523" w14:textId="77777777" w:rsidR="00CE597F" w:rsidRPr="00795F17" w:rsidRDefault="00CE597F" w:rsidP="0065243A">
            <w:pPr>
              <w:pStyle w:val="Teksttabelisrodek"/>
            </w:pPr>
            <w:r w:rsidRPr="00795F17">
              <w:t>42,1</w:t>
            </w:r>
          </w:p>
        </w:tc>
      </w:tr>
      <w:tr w:rsidR="00CE597F" w:rsidRPr="00795F17" w14:paraId="1BDDEF00" w14:textId="77777777" w:rsidTr="009C7D92">
        <w:trPr>
          <w:trHeight w:val="454"/>
        </w:trPr>
        <w:tc>
          <w:tcPr>
            <w:tcW w:w="5807" w:type="dxa"/>
            <w:noWrap/>
            <w:vAlign w:val="center"/>
            <w:hideMark/>
          </w:tcPr>
          <w:p w14:paraId="75E21C8A" w14:textId="2DA44215" w:rsidR="00CE597F" w:rsidRPr="00795F17" w:rsidRDefault="009C7D92" w:rsidP="0065243A">
            <w:pPr>
              <w:pStyle w:val="Teksttabelilewy"/>
            </w:pPr>
            <w:r w:rsidRPr="00795F17">
              <w:t>Pogorszenie do stanu/po</w:t>
            </w:r>
            <w:r w:rsidR="00CE597F" w:rsidRPr="00795F17">
              <w:t>tencjału poniżej dobrego</w:t>
            </w:r>
          </w:p>
        </w:tc>
        <w:tc>
          <w:tcPr>
            <w:tcW w:w="1559" w:type="dxa"/>
            <w:noWrap/>
            <w:vAlign w:val="center"/>
            <w:hideMark/>
          </w:tcPr>
          <w:p w14:paraId="7E6DBE62" w14:textId="77777777" w:rsidR="00CE597F" w:rsidRPr="00795F17" w:rsidRDefault="00CE597F" w:rsidP="0065243A">
            <w:pPr>
              <w:pStyle w:val="Teksttabelisrodek"/>
            </w:pPr>
            <w:r w:rsidRPr="00795F17">
              <w:t>217</w:t>
            </w:r>
          </w:p>
        </w:tc>
        <w:tc>
          <w:tcPr>
            <w:tcW w:w="1696" w:type="dxa"/>
            <w:vAlign w:val="center"/>
            <w:hideMark/>
          </w:tcPr>
          <w:p w14:paraId="532DB74D" w14:textId="77777777" w:rsidR="00CE597F" w:rsidRPr="00795F17" w:rsidRDefault="00CE597F" w:rsidP="0065243A">
            <w:pPr>
              <w:pStyle w:val="Teksttabelisrodek"/>
            </w:pPr>
            <w:r w:rsidRPr="00795F17">
              <w:t>17,1</w:t>
            </w:r>
          </w:p>
        </w:tc>
      </w:tr>
      <w:tr w:rsidR="00CE597F" w:rsidRPr="00795F17" w14:paraId="7ED29E36" w14:textId="77777777" w:rsidTr="009C7D92">
        <w:trPr>
          <w:trHeight w:val="454"/>
        </w:trPr>
        <w:tc>
          <w:tcPr>
            <w:tcW w:w="5807" w:type="dxa"/>
            <w:noWrap/>
            <w:vAlign w:val="center"/>
            <w:hideMark/>
          </w:tcPr>
          <w:p w14:paraId="2C26874D" w14:textId="2C2F0323" w:rsidR="00CE597F" w:rsidRPr="00795F17" w:rsidRDefault="009C7D92" w:rsidP="0065243A">
            <w:pPr>
              <w:pStyle w:val="Teksttabelilewy"/>
            </w:pPr>
            <w:r w:rsidRPr="00795F17">
              <w:t xml:space="preserve">Brak postępu </w:t>
            </w:r>
            <w:r w:rsidR="003F2700">
              <w:t>–</w:t>
            </w:r>
            <w:r w:rsidRPr="00795F17">
              <w:t xml:space="preserve"> ale poprawa st</w:t>
            </w:r>
            <w:r w:rsidR="00CE597F" w:rsidRPr="00795F17">
              <w:t>anu/potencjału</w:t>
            </w:r>
          </w:p>
        </w:tc>
        <w:tc>
          <w:tcPr>
            <w:tcW w:w="1559" w:type="dxa"/>
            <w:noWrap/>
            <w:vAlign w:val="center"/>
            <w:hideMark/>
          </w:tcPr>
          <w:p w14:paraId="5D216691" w14:textId="77777777" w:rsidR="00CE597F" w:rsidRPr="00795F17" w:rsidRDefault="00CE597F" w:rsidP="0065243A">
            <w:pPr>
              <w:pStyle w:val="Teksttabelisrodek"/>
            </w:pPr>
            <w:r w:rsidRPr="00795F17">
              <w:t>9</w:t>
            </w:r>
          </w:p>
        </w:tc>
        <w:tc>
          <w:tcPr>
            <w:tcW w:w="1696" w:type="dxa"/>
            <w:vAlign w:val="center"/>
            <w:hideMark/>
          </w:tcPr>
          <w:p w14:paraId="6568C175" w14:textId="77777777" w:rsidR="00CE597F" w:rsidRPr="00795F17" w:rsidRDefault="00CE597F" w:rsidP="0065243A">
            <w:pPr>
              <w:pStyle w:val="Teksttabelisrodek"/>
            </w:pPr>
            <w:r w:rsidRPr="00795F17">
              <w:t>0,7</w:t>
            </w:r>
          </w:p>
        </w:tc>
      </w:tr>
      <w:tr w:rsidR="00CE597F" w:rsidRPr="00795F17" w14:paraId="0518EC13" w14:textId="77777777" w:rsidTr="009C7D92">
        <w:trPr>
          <w:trHeight w:val="454"/>
        </w:trPr>
        <w:tc>
          <w:tcPr>
            <w:tcW w:w="9062" w:type="dxa"/>
            <w:gridSpan w:val="3"/>
            <w:shd w:val="clear" w:color="auto" w:fill="D9D9D9" w:themeFill="background1" w:themeFillShade="D9"/>
            <w:vAlign w:val="center"/>
            <w:hideMark/>
          </w:tcPr>
          <w:p w14:paraId="710C6F5B" w14:textId="52321778" w:rsidR="00CE597F" w:rsidRPr="00795F17" w:rsidRDefault="00CE597F" w:rsidP="001C59F9">
            <w:pPr>
              <w:pStyle w:val="Teksttabelisrodek"/>
            </w:pPr>
            <w:r w:rsidRPr="00795F17">
              <w:t xml:space="preserve">Uwarunkowania zlewni (dopływ zanieczyszczeń z innego </w:t>
            </w:r>
            <w:r w:rsidR="00DF005E">
              <w:t>JCWP</w:t>
            </w:r>
            <w:r w:rsidRPr="00795F17">
              <w:t xml:space="preserve">, niski potencjał sorpcyjny </w:t>
            </w:r>
            <w:r w:rsidR="00DF005E">
              <w:t>JCWP</w:t>
            </w:r>
            <w:r w:rsidRPr="00795F17">
              <w:t>, zanik przepływu wody w korycie lub zagrożenie suszą)</w:t>
            </w:r>
          </w:p>
        </w:tc>
      </w:tr>
      <w:tr w:rsidR="00CE597F" w:rsidRPr="00795F17" w14:paraId="0484366C" w14:textId="77777777" w:rsidTr="009C7D92">
        <w:trPr>
          <w:trHeight w:val="454"/>
        </w:trPr>
        <w:tc>
          <w:tcPr>
            <w:tcW w:w="5807" w:type="dxa"/>
            <w:noWrap/>
            <w:vAlign w:val="center"/>
            <w:hideMark/>
          </w:tcPr>
          <w:p w14:paraId="28254BAD" w14:textId="1F961267" w:rsidR="00CE597F" w:rsidRPr="00795F17" w:rsidRDefault="009C7D92" w:rsidP="0065243A">
            <w:pPr>
              <w:pStyle w:val="Teksttabelilewy"/>
            </w:pPr>
            <w:r w:rsidRPr="00795F17">
              <w:t>Analizowana przyczyna łąc</w:t>
            </w:r>
            <w:r w:rsidR="00CE597F" w:rsidRPr="00795F17">
              <w:t>znie</w:t>
            </w:r>
          </w:p>
        </w:tc>
        <w:tc>
          <w:tcPr>
            <w:tcW w:w="1559" w:type="dxa"/>
            <w:noWrap/>
            <w:vAlign w:val="center"/>
            <w:hideMark/>
          </w:tcPr>
          <w:p w14:paraId="39D4FD38" w14:textId="77777777" w:rsidR="00CE597F" w:rsidRPr="00795F17" w:rsidRDefault="00CE597F" w:rsidP="0065243A">
            <w:pPr>
              <w:pStyle w:val="Teksttabelisrodek"/>
            </w:pPr>
            <w:r w:rsidRPr="00795F17">
              <w:t>629</w:t>
            </w:r>
          </w:p>
        </w:tc>
        <w:tc>
          <w:tcPr>
            <w:tcW w:w="1696" w:type="dxa"/>
            <w:vAlign w:val="center"/>
            <w:hideMark/>
          </w:tcPr>
          <w:p w14:paraId="3B033139" w14:textId="5396CFC4" w:rsidR="00CE597F" w:rsidRPr="00795F17" w:rsidRDefault="00CE597F" w:rsidP="0065243A">
            <w:pPr>
              <w:pStyle w:val="Teksttabelisrodek"/>
            </w:pPr>
            <w:r w:rsidRPr="00795F17">
              <w:t>49,</w:t>
            </w:r>
            <w:r w:rsidR="009C7D92" w:rsidRPr="00795F17">
              <w:t>5</w:t>
            </w:r>
          </w:p>
        </w:tc>
      </w:tr>
      <w:tr w:rsidR="00CE597F" w:rsidRPr="00795F17" w14:paraId="4686C4FB" w14:textId="77777777" w:rsidTr="009C7D92">
        <w:trPr>
          <w:trHeight w:val="454"/>
        </w:trPr>
        <w:tc>
          <w:tcPr>
            <w:tcW w:w="5807" w:type="dxa"/>
            <w:noWrap/>
            <w:vAlign w:val="center"/>
            <w:hideMark/>
          </w:tcPr>
          <w:p w14:paraId="5F287120" w14:textId="22982DC2" w:rsidR="00CE597F" w:rsidRPr="00795F17" w:rsidRDefault="009C7D92" w:rsidP="0065243A">
            <w:pPr>
              <w:pStyle w:val="Teksttabelilewy"/>
            </w:pPr>
            <w:r w:rsidRPr="00795F17">
              <w:t xml:space="preserve">Stan/potencjał poniżej dobrego </w:t>
            </w:r>
            <w:r w:rsidR="003F2700">
              <w:t>–</w:t>
            </w:r>
            <w:r w:rsidRPr="00795F17">
              <w:t xml:space="preserve"> brak postępu w o</w:t>
            </w:r>
            <w:r w:rsidR="00CE597F" w:rsidRPr="00795F17">
              <w:t>siąganiu dobrego stanu/potencjału</w:t>
            </w:r>
          </w:p>
        </w:tc>
        <w:tc>
          <w:tcPr>
            <w:tcW w:w="1559" w:type="dxa"/>
            <w:noWrap/>
            <w:vAlign w:val="center"/>
            <w:hideMark/>
          </w:tcPr>
          <w:p w14:paraId="2D88B2B1" w14:textId="77777777" w:rsidR="00CE597F" w:rsidRPr="00795F17" w:rsidRDefault="00CE597F" w:rsidP="0065243A">
            <w:pPr>
              <w:pStyle w:val="Teksttabelisrodek"/>
            </w:pPr>
            <w:r w:rsidRPr="00795F17">
              <w:t>451</w:t>
            </w:r>
          </w:p>
        </w:tc>
        <w:tc>
          <w:tcPr>
            <w:tcW w:w="1696" w:type="dxa"/>
            <w:vAlign w:val="center"/>
            <w:hideMark/>
          </w:tcPr>
          <w:p w14:paraId="703BF083" w14:textId="77777777" w:rsidR="00CE597F" w:rsidRPr="00795F17" w:rsidRDefault="00CE597F" w:rsidP="0065243A">
            <w:pPr>
              <w:pStyle w:val="Teksttabelisrodek"/>
            </w:pPr>
            <w:r w:rsidRPr="00795F17">
              <w:t>35,5</w:t>
            </w:r>
          </w:p>
        </w:tc>
      </w:tr>
      <w:tr w:rsidR="00CE597F" w:rsidRPr="00795F17" w14:paraId="2C3E6655" w14:textId="77777777" w:rsidTr="009C7D92">
        <w:trPr>
          <w:trHeight w:val="454"/>
        </w:trPr>
        <w:tc>
          <w:tcPr>
            <w:tcW w:w="5807" w:type="dxa"/>
            <w:noWrap/>
            <w:vAlign w:val="center"/>
            <w:hideMark/>
          </w:tcPr>
          <w:p w14:paraId="3B3FA089" w14:textId="2C00C541" w:rsidR="00CE597F" w:rsidRPr="00795F17" w:rsidRDefault="009C7D92" w:rsidP="0065243A">
            <w:pPr>
              <w:pStyle w:val="Teksttabelilewy"/>
            </w:pPr>
            <w:r w:rsidRPr="00795F17">
              <w:t>Pogorszenie do stanu/potencja</w:t>
            </w:r>
            <w:r w:rsidR="00CE597F" w:rsidRPr="00795F17">
              <w:t>łu poniżej dobrego</w:t>
            </w:r>
          </w:p>
        </w:tc>
        <w:tc>
          <w:tcPr>
            <w:tcW w:w="1559" w:type="dxa"/>
            <w:noWrap/>
            <w:vAlign w:val="center"/>
            <w:hideMark/>
          </w:tcPr>
          <w:p w14:paraId="12FE68F6" w14:textId="77777777" w:rsidR="00CE597F" w:rsidRPr="00795F17" w:rsidRDefault="00CE597F" w:rsidP="0065243A">
            <w:pPr>
              <w:pStyle w:val="Teksttabelisrodek"/>
            </w:pPr>
            <w:r w:rsidRPr="00795F17">
              <w:t>170</w:t>
            </w:r>
          </w:p>
        </w:tc>
        <w:tc>
          <w:tcPr>
            <w:tcW w:w="1696" w:type="dxa"/>
            <w:vAlign w:val="center"/>
            <w:hideMark/>
          </w:tcPr>
          <w:p w14:paraId="450D59E4" w14:textId="77777777" w:rsidR="00CE597F" w:rsidRPr="00795F17" w:rsidRDefault="00CE597F" w:rsidP="0065243A">
            <w:pPr>
              <w:pStyle w:val="Teksttabelisrodek"/>
            </w:pPr>
            <w:r w:rsidRPr="00795F17">
              <w:t>13,4</w:t>
            </w:r>
          </w:p>
        </w:tc>
      </w:tr>
      <w:tr w:rsidR="00CE597F" w:rsidRPr="00795F17" w14:paraId="48633D68" w14:textId="77777777" w:rsidTr="009C7D92">
        <w:trPr>
          <w:trHeight w:val="454"/>
        </w:trPr>
        <w:tc>
          <w:tcPr>
            <w:tcW w:w="5807" w:type="dxa"/>
            <w:noWrap/>
            <w:vAlign w:val="center"/>
            <w:hideMark/>
          </w:tcPr>
          <w:p w14:paraId="70E890EF" w14:textId="43203D00" w:rsidR="00CE597F" w:rsidRPr="00795F17" w:rsidRDefault="009C7D92" w:rsidP="0065243A">
            <w:pPr>
              <w:pStyle w:val="Teksttabelilewy"/>
            </w:pPr>
            <w:r w:rsidRPr="00795F17">
              <w:t xml:space="preserve">Brak postępu </w:t>
            </w:r>
            <w:r w:rsidR="003F2700">
              <w:t>–</w:t>
            </w:r>
            <w:r w:rsidRPr="00795F17">
              <w:t xml:space="preserve"> ale poprawa </w:t>
            </w:r>
            <w:r w:rsidR="00CE597F" w:rsidRPr="00795F17">
              <w:t>stanu/potencjału</w:t>
            </w:r>
          </w:p>
        </w:tc>
        <w:tc>
          <w:tcPr>
            <w:tcW w:w="1559" w:type="dxa"/>
            <w:noWrap/>
            <w:vAlign w:val="center"/>
            <w:hideMark/>
          </w:tcPr>
          <w:p w14:paraId="250D1AA9" w14:textId="77777777" w:rsidR="00CE597F" w:rsidRPr="00795F17" w:rsidRDefault="00CE597F" w:rsidP="0065243A">
            <w:pPr>
              <w:pStyle w:val="Teksttabelisrodek"/>
            </w:pPr>
            <w:r w:rsidRPr="00795F17">
              <w:t>8</w:t>
            </w:r>
          </w:p>
        </w:tc>
        <w:tc>
          <w:tcPr>
            <w:tcW w:w="1696" w:type="dxa"/>
            <w:vAlign w:val="center"/>
            <w:hideMark/>
          </w:tcPr>
          <w:p w14:paraId="02C4865D" w14:textId="77777777" w:rsidR="00CE597F" w:rsidRPr="00795F17" w:rsidRDefault="00CE597F" w:rsidP="0065243A">
            <w:pPr>
              <w:pStyle w:val="Teksttabelisrodek"/>
            </w:pPr>
            <w:r w:rsidRPr="00795F17">
              <w:t>0,6</w:t>
            </w:r>
          </w:p>
        </w:tc>
      </w:tr>
    </w:tbl>
    <w:p w14:paraId="22378B4A" w14:textId="1C28206F" w:rsidR="00CE597F" w:rsidRPr="00795F17" w:rsidRDefault="00CE597F" w:rsidP="0044393D">
      <w:pPr>
        <w:pStyle w:val="rdo"/>
      </w:pPr>
      <w:r w:rsidRPr="00795F17">
        <w:t xml:space="preserve">Źródło: </w:t>
      </w:r>
      <w:r w:rsidR="00FD7248" w:rsidRPr="00795F17">
        <w:t>opracowanie własne</w:t>
      </w:r>
      <w:r w:rsidRPr="00795F17">
        <w:t xml:space="preserve"> na podstawie danych GIOŚ i opracowania Ustalenie celów środowiskowych</w:t>
      </w:r>
      <w:r w:rsidR="00FD5F26" w:rsidRPr="00795F17">
        <w:t xml:space="preserve"> (…)</w:t>
      </w:r>
    </w:p>
    <w:p w14:paraId="47E74B75" w14:textId="3A0F3807" w:rsidR="00CE597F" w:rsidRPr="00795F17" w:rsidRDefault="00CE597F" w:rsidP="00C53C86">
      <w:pPr>
        <w:pStyle w:val="Nagwek3"/>
      </w:pPr>
      <w:bookmarkStart w:id="464" w:name="_Toc105512667"/>
      <w:r w:rsidRPr="00795F17">
        <w:t xml:space="preserve">Ocena postępu w osiąganiu celów środowiskowych dla stanu chemicznego </w:t>
      </w:r>
      <w:r w:rsidR="00DF005E">
        <w:t>JCWP</w:t>
      </w:r>
      <w:r w:rsidRPr="00795F17">
        <w:t xml:space="preserve"> RW w okresie od 2016</w:t>
      </w:r>
      <w:r w:rsidR="005A6124" w:rsidRPr="00795F17">
        <w:t xml:space="preserve"> r. do </w:t>
      </w:r>
      <w:r w:rsidRPr="00795F17">
        <w:t>2021 r. wraz z wyjaśnieniem przyczyn nieosiągnięcia celów środowiskowych</w:t>
      </w:r>
      <w:bookmarkEnd w:id="464"/>
      <w:r w:rsidRPr="00795F17">
        <w:t xml:space="preserve"> </w:t>
      </w:r>
    </w:p>
    <w:p w14:paraId="0F469C7A" w14:textId="16836AB6" w:rsidR="00CE597F" w:rsidRPr="00795F17" w:rsidRDefault="00CE597F" w:rsidP="0044393D">
      <w:pPr>
        <w:pStyle w:val="Nagwek5"/>
      </w:pPr>
      <w:r w:rsidRPr="00795F17">
        <w:t xml:space="preserve">Ocena postępu w osiąganiu celów środowiskowych dla stanu chemicznego </w:t>
      </w:r>
      <w:r w:rsidR="00DF005E">
        <w:t>JCWP</w:t>
      </w:r>
      <w:r w:rsidRPr="00795F17">
        <w:t xml:space="preserve"> RW (układ planistyczny aPGW)</w:t>
      </w:r>
    </w:p>
    <w:p w14:paraId="22EDA70D" w14:textId="3CAA735A" w:rsidR="00CE597F" w:rsidRPr="00795F17" w:rsidRDefault="00B5687A" w:rsidP="0044393D">
      <w:r w:rsidRPr="00795F17">
        <w:t xml:space="preserve">353 </w:t>
      </w:r>
      <w:r w:rsidR="00DF005E">
        <w:t>JCWP</w:t>
      </w:r>
      <w:r w:rsidRPr="00795F17">
        <w:t xml:space="preserve"> RW (20,5% wszystkich </w:t>
      </w:r>
      <w:r w:rsidR="00DF005E">
        <w:t>JCWP</w:t>
      </w:r>
      <w:r w:rsidRPr="00795F17">
        <w:t xml:space="preserve"> </w:t>
      </w:r>
      <w:r w:rsidR="005E726B" w:rsidRPr="00795F17">
        <w:t xml:space="preserve">RW </w:t>
      </w:r>
      <w:r w:rsidRPr="00795F17">
        <w:t>w obszarze dorzecza Odry) o</w:t>
      </w:r>
      <w:r w:rsidR="00CE597F" w:rsidRPr="00795F17">
        <w:t>siągn</w:t>
      </w:r>
      <w:r w:rsidRPr="00795F17">
        <w:t>ęło cele</w:t>
      </w:r>
      <w:r w:rsidR="002E327E" w:rsidRPr="00795F17">
        <w:t xml:space="preserve"> środowiskowe</w:t>
      </w:r>
      <w:r w:rsidRPr="00795F17">
        <w:t xml:space="preserve">. Dobry stan/potencjał </w:t>
      </w:r>
      <w:r w:rsidR="002E327E" w:rsidRPr="00795F17">
        <w:t>chemiczn</w:t>
      </w:r>
      <w:r w:rsidRPr="00795F17">
        <w:t>y utrzymało</w:t>
      </w:r>
      <w:r w:rsidR="00CE597F" w:rsidRPr="00795F17">
        <w:t xml:space="preserve"> 30 </w:t>
      </w:r>
      <w:r w:rsidR="00DF005E">
        <w:t>JCWP</w:t>
      </w:r>
      <w:r w:rsidR="008122F8" w:rsidRPr="00795F17">
        <w:t xml:space="preserve"> RW </w:t>
      </w:r>
      <w:r w:rsidR="00CE597F" w:rsidRPr="00795F17">
        <w:t>(1,7%), natomiast dla 323 wykazano poprawę (18,8%). W 1</w:t>
      </w:r>
      <w:r w:rsidR="002E327E" w:rsidRPr="00795F17">
        <w:t> </w:t>
      </w:r>
      <w:r w:rsidR="00CE597F" w:rsidRPr="00795F17">
        <w:t xml:space="preserve">028 </w:t>
      </w:r>
      <w:r w:rsidR="00DF005E">
        <w:t>JCWP</w:t>
      </w:r>
      <w:r w:rsidR="00CE597F" w:rsidRPr="00795F17">
        <w:t xml:space="preserve"> </w:t>
      </w:r>
      <w:r w:rsidR="008122F8" w:rsidRPr="00795F17">
        <w:t xml:space="preserve">RW </w:t>
      </w:r>
      <w:r w:rsidR="00CE597F" w:rsidRPr="00795F17">
        <w:t>(59,8%) spośród wszystkich 1</w:t>
      </w:r>
      <w:r w:rsidR="005E726B" w:rsidRPr="00795F17">
        <w:t> </w:t>
      </w:r>
      <w:r w:rsidR="00CE597F" w:rsidRPr="00795F17">
        <w:t xml:space="preserve">719 </w:t>
      </w:r>
      <w:r w:rsidR="00DF005E">
        <w:t>JCWP</w:t>
      </w:r>
      <w:r w:rsidR="00CE597F" w:rsidRPr="00795F17">
        <w:t xml:space="preserve"> RW zlokalizowanych na obszarze dorzecza Odry cele środowiskowe nie zostały osiągnięte, w tym w 488 </w:t>
      </w:r>
      <w:r w:rsidR="00DF005E">
        <w:t>JCWP</w:t>
      </w:r>
      <w:r w:rsidR="00CE597F" w:rsidRPr="00795F17">
        <w:t xml:space="preserve"> </w:t>
      </w:r>
      <w:r w:rsidR="008122F8" w:rsidRPr="00795F17">
        <w:t xml:space="preserve">RW </w:t>
      </w:r>
      <w:r w:rsidR="00CE597F" w:rsidRPr="00795F17">
        <w:t xml:space="preserve">(28,4% spośród wszystkich </w:t>
      </w:r>
      <w:r w:rsidR="00DF005E">
        <w:t>JCWP</w:t>
      </w:r>
      <w:r w:rsidR="008122F8" w:rsidRPr="00795F17">
        <w:t xml:space="preserve"> RW</w:t>
      </w:r>
      <w:r w:rsidR="00CE597F" w:rsidRPr="00795F17">
        <w:t xml:space="preserve">) z powodu braku poprawy stanu chemicznego i w 540 (31,4%) z powodu obniżenia stanu </w:t>
      </w:r>
      <w:r w:rsidR="005E726B" w:rsidRPr="00795F17">
        <w:t xml:space="preserve">do stanu </w:t>
      </w:r>
      <w:r w:rsidR="00CE597F" w:rsidRPr="00795F17">
        <w:t xml:space="preserve">poniżej dobrego. W odniesieniu do 338 </w:t>
      </w:r>
      <w:r w:rsidR="00DF005E">
        <w:t>JCWP</w:t>
      </w:r>
      <w:r w:rsidR="00CE597F" w:rsidRPr="00795F17">
        <w:t xml:space="preserve"> </w:t>
      </w:r>
      <w:r w:rsidR="008122F8" w:rsidRPr="00795F17">
        <w:t xml:space="preserve">RW </w:t>
      </w:r>
      <w:r w:rsidR="00CE597F" w:rsidRPr="00795F17">
        <w:t xml:space="preserve">(19,7% wszystkich </w:t>
      </w:r>
      <w:r w:rsidR="00DF005E">
        <w:t>JCWP</w:t>
      </w:r>
      <w:r w:rsidR="00CE597F" w:rsidRPr="00795F17">
        <w:t xml:space="preserve"> w obszarze dorzecza Odry) nie sporządzono oceny postępu w osiąganiu celów środowiskowych ze względu na brak danych monitoringowych i brak celu środowiskowego z przeniesienia dla nowo powstałych </w:t>
      </w:r>
      <w:r w:rsidR="00DF005E">
        <w:t>JCWP</w:t>
      </w:r>
      <w:r w:rsidR="008122F8" w:rsidRPr="00795F17">
        <w:t xml:space="preserve"> RW</w:t>
      </w:r>
      <w:r w:rsidR="00CE597F" w:rsidRPr="00795F17">
        <w:t>.</w:t>
      </w:r>
    </w:p>
    <w:p w14:paraId="6B7B58F6" w14:textId="581F1CB8" w:rsidR="005E726B" w:rsidRPr="00795F17" w:rsidRDefault="005E726B" w:rsidP="0044393D">
      <w:r w:rsidRPr="00795F17">
        <w:t>Wyżej opisane wyniki oceny postępu zaprezentowano w tabeli poniżej (tabela 9-4).</w:t>
      </w:r>
    </w:p>
    <w:p w14:paraId="03A965C2" w14:textId="22047E44" w:rsidR="003B2D14" w:rsidRPr="00795F17" w:rsidRDefault="003B2D14" w:rsidP="004D7705">
      <w:pPr>
        <w:pStyle w:val="Tabela"/>
      </w:pPr>
      <w:bookmarkStart w:id="465" w:name="_Toc66341907"/>
      <w:bookmarkStart w:id="466" w:name="_Toc105512828"/>
      <w:r w:rsidRPr="00795F17">
        <w:t xml:space="preserve">Tabela </w:t>
      </w:r>
      <w:fldSimple w:instr=" STYLEREF 1 \s ">
        <w:r w:rsidR="001F774D">
          <w:rPr>
            <w:noProof/>
          </w:rPr>
          <w:t>9</w:t>
        </w:r>
      </w:fldSimple>
      <w:r w:rsidR="00BB3B21" w:rsidRPr="00795F17">
        <w:noBreakHyphen/>
      </w:r>
      <w:fldSimple w:instr=" SEQ Tabela \* ARABIC \s 1 ">
        <w:r w:rsidR="001F774D">
          <w:rPr>
            <w:noProof/>
          </w:rPr>
          <w:t>4</w:t>
        </w:r>
      </w:fldSimple>
      <w:r w:rsidR="00E76356">
        <w:rPr>
          <w:noProof/>
        </w:rPr>
        <w:t>.</w:t>
      </w:r>
      <w:r w:rsidRPr="00795F17">
        <w:tab/>
      </w:r>
      <w:bookmarkEnd w:id="465"/>
      <w:r w:rsidR="0059447E" w:rsidRPr="00795F17">
        <w:t xml:space="preserve">Ocena postępu w osiąganiu celów środowiskowych dla stanu chemicznego na obszarze dorzecza </w:t>
      </w:r>
      <w:r w:rsidR="005E726B" w:rsidRPr="00795F17">
        <w:t>Odr</w:t>
      </w:r>
      <w:r w:rsidR="0059447E" w:rsidRPr="00795F17">
        <w:t>y w układzie planistycznym aPGW (2016</w:t>
      </w:r>
      <w:r w:rsidR="003F2700">
        <w:t>–</w:t>
      </w:r>
      <w:r w:rsidR="0059447E" w:rsidRPr="00795F17">
        <w:t>2021)</w:t>
      </w:r>
      <w:r w:rsidR="001451A8">
        <w:t xml:space="preserve"> – </w:t>
      </w:r>
      <w:r w:rsidR="00DF005E">
        <w:t>JCWP</w:t>
      </w:r>
      <w:r w:rsidR="001451A8" w:rsidRPr="008368C5">
        <w:t xml:space="preserve"> RW</w:t>
      </w:r>
      <w:bookmarkEnd w:id="466"/>
    </w:p>
    <w:tbl>
      <w:tblPr>
        <w:tblW w:w="5000" w:type="pct"/>
        <w:tblLook w:val="04A0" w:firstRow="1" w:lastRow="0" w:firstColumn="1" w:lastColumn="0" w:noHBand="0" w:noVBand="1"/>
      </w:tblPr>
      <w:tblGrid>
        <w:gridCol w:w="5805"/>
        <w:gridCol w:w="1563"/>
        <w:gridCol w:w="1694"/>
      </w:tblGrid>
      <w:tr w:rsidR="00CE597F" w:rsidRPr="00795F17" w14:paraId="3F437FE0" w14:textId="77777777" w:rsidTr="0059447E">
        <w:trPr>
          <w:cantSplit/>
          <w:trHeight w:val="454"/>
          <w:tblHeader/>
        </w:trPr>
        <w:tc>
          <w:tcPr>
            <w:tcW w:w="3204"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5C2C524" w14:textId="06EA420B" w:rsidR="00CE597F" w:rsidRPr="00795F17" w:rsidRDefault="0059447E" w:rsidP="0044393D">
            <w:pPr>
              <w:pStyle w:val="Teksttabelinaglowek"/>
            </w:pPr>
            <w:r w:rsidRPr="00795F17">
              <w:t>Stopień osiągnięcia celu</w:t>
            </w:r>
          </w:p>
        </w:tc>
        <w:tc>
          <w:tcPr>
            <w:tcW w:w="860"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C11C08E" w14:textId="7E1A8C36" w:rsidR="00CE597F" w:rsidRPr="00795F17" w:rsidRDefault="00CE597F" w:rsidP="0044393D">
            <w:pPr>
              <w:pStyle w:val="Teksttabelinaglowek"/>
            </w:pPr>
            <w:r w:rsidRPr="00795F17">
              <w:t xml:space="preserve">Liczba </w:t>
            </w:r>
            <w:r w:rsidR="00DF005E">
              <w:t>JCWP</w:t>
            </w:r>
            <w:r w:rsidRPr="00795F17">
              <w:t xml:space="preserve"> RW</w:t>
            </w:r>
          </w:p>
        </w:tc>
        <w:tc>
          <w:tcPr>
            <w:tcW w:w="93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014F68F" w14:textId="24C6C1C7" w:rsidR="00CE597F" w:rsidRPr="00795F17" w:rsidRDefault="00CE597F" w:rsidP="0044393D">
            <w:pPr>
              <w:pStyle w:val="Teksttabelinaglowek"/>
              <w:rPr>
                <w:rFonts w:eastAsia="Times New Roman" w:cs="Calibri"/>
                <w:bCs/>
                <w:color w:val="000000"/>
              </w:rPr>
            </w:pPr>
            <w:r w:rsidRPr="00795F17">
              <w:t xml:space="preserve">Udział </w:t>
            </w:r>
            <w:r w:rsidR="00DF005E">
              <w:t>JCWP</w:t>
            </w:r>
            <w:r w:rsidRPr="00795F17">
              <w:t xml:space="preserve"> </w:t>
            </w:r>
            <w:r w:rsidR="00EA4FF5" w:rsidRPr="00795F17">
              <w:t>(%)</w:t>
            </w:r>
          </w:p>
        </w:tc>
      </w:tr>
      <w:tr w:rsidR="00CE597F" w:rsidRPr="00795F17" w14:paraId="73D38A6D" w14:textId="77777777" w:rsidTr="0059447E">
        <w:trPr>
          <w:trHeight w:val="454"/>
        </w:trPr>
        <w:tc>
          <w:tcPr>
            <w:tcW w:w="32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6FFC2" w14:textId="23614C17" w:rsidR="00CE597F" w:rsidRPr="00795F17" w:rsidRDefault="00CE597F" w:rsidP="0044393D">
            <w:pPr>
              <w:pStyle w:val="Teksttabelilewy"/>
            </w:pPr>
            <w:r w:rsidRPr="00795F17">
              <w:t xml:space="preserve">Cel nieosiągnięty </w:t>
            </w:r>
            <w:r w:rsidR="003F2700">
              <w:t>–</w:t>
            </w:r>
            <w:r w:rsidRPr="00795F17">
              <w:t xml:space="preserve"> brak postępu</w:t>
            </w:r>
          </w:p>
        </w:tc>
        <w:tc>
          <w:tcPr>
            <w:tcW w:w="8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E7AC9" w14:textId="77777777" w:rsidR="00CE597F" w:rsidRPr="00795F17" w:rsidRDefault="00CE597F" w:rsidP="0065243A">
            <w:pPr>
              <w:pStyle w:val="Teksttabelisrodek"/>
            </w:pPr>
            <w:r w:rsidRPr="00795F17">
              <w:t>488</w:t>
            </w:r>
          </w:p>
        </w:tc>
        <w:tc>
          <w:tcPr>
            <w:tcW w:w="9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94B89" w14:textId="78BDD92A" w:rsidR="00CE597F" w:rsidRPr="00795F17" w:rsidRDefault="00CE597F" w:rsidP="0065243A">
            <w:pPr>
              <w:pStyle w:val="Teksttabelisrodek"/>
            </w:pPr>
            <w:r w:rsidRPr="00795F17">
              <w:t>28,</w:t>
            </w:r>
            <w:r w:rsidR="00E51B54">
              <w:t>39</w:t>
            </w:r>
          </w:p>
        </w:tc>
      </w:tr>
      <w:tr w:rsidR="00CE597F" w:rsidRPr="00795F17" w14:paraId="09CD009F" w14:textId="77777777" w:rsidTr="0059447E">
        <w:trPr>
          <w:trHeight w:val="454"/>
        </w:trPr>
        <w:tc>
          <w:tcPr>
            <w:tcW w:w="32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278A1" w14:textId="66B0C188" w:rsidR="00CE597F" w:rsidRPr="00795F17" w:rsidRDefault="00CE597F" w:rsidP="0044393D">
            <w:pPr>
              <w:pStyle w:val="Teksttabelilewy"/>
            </w:pPr>
            <w:r w:rsidRPr="00795F17">
              <w:t xml:space="preserve">Cel nieosiągnięty </w:t>
            </w:r>
            <w:r w:rsidR="003F2700">
              <w:t>–</w:t>
            </w:r>
            <w:r w:rsidRPr="00795F17">
              <w:t xml:space="preserve"> pogorszenie stanu </w:t>
            </w:r>
          </w:p>
        </w:tc>
        <w:tc>
          <w:tcPr>
            <w:tcW w:w="8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8A63DF" w14:textId="77777777" w:rsidR="00CE597F" w:rsidRPr="00795F17" w:rsidRDefault="00CE597F" w:rsidP="0065243A">
            <w:pPr>
              <w:pStyle w:val="Teksttabelisrodek"/>
            </w:pPr>
            <w:r w:rsidRPr="00795F17">
              <w:t>540</w:t>
            </w:r>
          </w:p>
        </w:tc>
        <w:tc>
          <w:tcPr>
            <w:tcW w:w="9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6425E" w14:textId="2641203D" w:rsidR="00CE597F" w:rsidRPr="00795F17" w:rsidRDefault="00CE597F" w:rsidP="0065243A">
            <w:pPr>
              <w:pStyle w:val="Teksttabelisrodek"/>
            </w:pPr>
            <w:r w:rsidRPr="00795F17">
              <w:t>31,4</w:t>
            </w:r>
            <w:r w:rsidR="00E51B54">
              <w:t>1</w:t>
            </w:r>
          </w:p>
        </w:tc>
      </w:tr>
      <w:tr w:rsidR="0059447E" w:rsidRPr="00795F17" w14:paraId="4E374402" w14:textId="77777777" w:rsidTr="0059447E">
        <w:trPr>
          <w:trHeight w:val="454"/>
        </w:trPr>
        <w:tc>
          <w:tcPr>
            <w:tcW w:w="3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ED8A53" w14:textId="25FD5A92" w:rsidR="0059447E" w:rsidRPr="00795F17" w:rsidRDefault="0059447E" w:rsidP="0044393D">
            <w:pPr>
              <w:pStyle w:val="Teksttabelilewy"/>
            </w:pPr>
            <w:r w:rsidRPr="00795F17">
              <w:t xml:space="preserve">Cel osiągnięty </w:t>
            </w:r>
            <w:r w:rsidR="003F2700">
              <w:t>–</w:t>
            </w:r>
            <w:r w:rsidRPr="00795F17">
              <w:t xml:space="preserve"> utrzymanie dobrego stanu </w:t>
            </w:r>
          </w:p>
        </w:tc>
        <w:tc>
          <w:tcPr>
            <w:tcW w:w="8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E098A6" w14:textId="1DA58D41" w:rsidR="0059447E" w:rsidRPr="00795F17" w:rsidRDefault="0059447E" w:rsidP="0065243A">
            <w:pPr>
              <w:pStyle w:val="Teksttabelisrodek"/>
            </w:pPr>
            <w:r w:rsidRPr="00795F17">
              <w:t>30</w:t>
            </w:r>
          </w:p>
        </w:tc>
        <w:tc>
          <w:tcPr>
            <w:tcW w:w="93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4CF3F2" w14:textId="2B7E80EE" w:rsidR="0059447E" w:rsidRPr="00795F17" w:rsidRDefault="0059447E" w:rsidP="0065243A">
            <w:pPr>
              <w:pStyle w:val="Teksttabelisrodek"/>
            </w:pPr>
            <w:r w:rsidRPr="00795F17">
              <w:t>1,7</w:t>
            </w:r>
            <w:r w:rsidR="00E51B54">
              <w:t>5</w:t>
            </w:r>
          </w:p>
        </w:tc>
      </w:tr>
      <w:tr w:rsidR="0059447E" w:rsidRPr="00795F17" w14:paraId="5AA232D5" w14:textId="77777777" w:rsidTr="0059447E">
        <w:trPr>
          <w:trHeight w:val="454"/>
        </w:trPr>
        <w:tc>
          <w:tcPr>
            <w:tcW w:w="32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D7987" w14:textId="0388568E" w:rsidR="0059447E" w:rsidRPr="00795F17" w:rsidRDefault="0059447E" w:rsidP="0044393D">
            <w:pPr>
              <w:pStyle w:val="Teksttabelilewy"/>
            </w:pPr>
            <w:r w:rsidRPr="00795F17">
              <w:t xml:space="preserve">Cel osiągnięty </w:t>
            </w:r>
            <w:r w:rsidR="003F2700">
              <w:t>–</w:t>
            </w:r>
            <w:r w:rsidRPr="00795F17">
              <w:t xml:space="preserve"> poprawa stanu </w:t>
            </w:r>
          </w:p>
        </w:tc>
        <w:tc>
          <w:tcPr>
            <w:tcW w:w="8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BF87F" w14:textId="77777777" w:rsidR="0059447E" w:rsidRPr="00795F17" w:rsidRDefault="0059447E" w:rsidP="0065243A">
            <w:pPr>
              <w:pStyle w:val="Teksttabelisrodek"/>
            </w:pPr>
            <w:r w:rsidRPr="00795F17">
              <w:t>323</w:t>
            </w:r>
          </w:p>
        </w:tc>
        <w:tc>
          <w:tcPr>
            <w:tcW w:w="9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912C7" w14:textId="556CC2ED" w:rsidR="0059447E" w:rsidRPr="00795F17" w:rsidRDefault="0059447E" w:rsidP="0065243A">
            <w:pPr>
              <w:pStyle w:val="Teksttabelisrodek"/>
            </w:pPr>
            <w:r w:rsidRPr="00795F17">
              <w:t>18,</w:t>
            </w:r>
            <w:r w:rsidR="00E51B54">
              <w:t>79</w:t>
            </w:r>
          </w:p>
        </w:tc>
      </w:tr>
      <w:tr w:rsidR="0059447E" w:rsidRPr="00795F17" w14:paraId="059EDDE2" w14:textId="77777777" w:rsidTr="0059447E">
        <w:trPr>
          <w:trHeight w:val="454"/>
        </w:trPr>
        <w:tc>
          <w:tcPr>
            <w:tcW w:w="3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AF898C" w14:textId="75FFD276" w:rsidR="0059447E" w:rsidRPr="00795F17" w:rsidRDefault="0059447E" w:rsidP="0044393D">
            <w:pPr>
              <w:pStyle w:val="Teksttabelilewy"/>
            </w:pPr>
            <w:r w:rsidRPr="00795F17">
              <w:t>Brak możliwości oceny postępu </w:t>
            </w:r>
          </w:p>
        </w:tc>
        <w:tc>
          <w:tcPr>
            <w:tcW w:w="8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3CA875" w14:textId="7239F94B" w:rsidR="0059447E" w:rsidRPr="00795F17" w:rsidRDefault="0059447E" w:rsidP="0065243A">
            <w:pPr>
              <w:pStyle w:val="Teksttabelisrodek"/>
            </w:pPr>
            <w:r w:rsidRPr="00795F17">
              <w:t>338</w:t>
            </w:r>
          </w:p>
        </w:tc>
        <w:tc>
          <w:tcPr>
            <w:tcW w:w="93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178039" w14:textId="561D3A51" w:rsidR="0059447E" w:rsidRPr="00795F17" w:rsidRDefault="0059447E" w:rsidP="0065243A">
            <w:pPr>
              <w:pStyle w:val="Teksttabelisrodek"/>
            </w:pPr>
            <w:r w:rsidRPr="00795F17">
              <w:t>19,</w:t>
            </w:r>
            <w:r w:rsidR="00E51B54">
              <w:t>66</w:t>
            </w:r>
          </w:p>
        </w:tc>
      </w:tr>
      <w:tr w:rsidR="0059447E" w:rsidRPr="00795F17" w14:paraId="712E371B" w14:textId="77777777" w:rsidTr="0059447E">
        <w:trPr>
          <w:trHeight w:val="454"/>
        </w:trPr>
        <w:tc>
          <w:tcPr>
            <w:tcW w:w="3204"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E1D2383" w14:textId="67BC7084" w:rsidR="0059447E" w:rsidRPr="00795F17" w:rsidRDefault="0059447E" w:rsidP="005573CA">
            <w:pPr>
              <w:pStyle w:val="Teksttabelinaglowek"/>
            </w:pPr>
            <w:r w:rsidRPr="00795F17">
              <w:t xml:space="preserve">Liczba </w:t>
            </w:r>
            <w:r w:rsidR="00DF005E">
              <w:t>JCWP</w:t>
            </w:r>
            <w:r w:rsidRPr="00795F17">
              <w:t xml:space="preserve"> RW </w:t>
            </w:r>
            <w:r w:rsidR="00C46E3D">
              <w:t>na</w:t>
            </w:r>
            <w:r w:rsidRPr="00795F17">
              <w:t xml:space="preserve"> obszarze dorzecza</w:t>
            </w:r>
          </w:p>
        </w:tc>
        <w:tc>
          <w:tcPr>
            <w:tcW w:w="860"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EE84456" w14:textId="3181FA05" w:rsidR="0059447E" w:rsidRPr="00795F17" w:rsidRDefault="0059447E" w:rsidP="005573CA">
            <w:pPr>
              <w:pStyle w:val="Teksttabelinaglowek"/>
            </w:pPr>
            <w:r w:rsidRPr="00795F17">
              <w:t>1 719</w:t>
            </w:r>
          </w:p>
        </w:tc>
        <w:tc>
          <w:tcPr>
            <w:tcW w:w="93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3F9278B9" w14:textId="6FA55E96" w:rsidR="0059447E" w:rsidRPr="00795F17" w:rsidRDefault="0059447E" w:rsidP="005573CA">
            <w:pPr>
              <w:pStyle w:val="Teksttabelinaglowek"/>
            </w:pPr>
            <w:r w:rsidRPr="00795F17">
              <w:t>100</w:t>
            </w:r>
          </w:p>
        </w:tc>
      </w:tr>
    </w:tbl>
    <w:p w14:paraId="60D18AAC" w14:textId="2AE1AB7A" w:rsidR="00CE597F" w:rsidRPr="00795F17" w:rsidRDefault="00CE597F" w:rsidP="0044393D">
      <w:pPr>
        <w:pStyle w:val="rdo"/>
      </w:pPr>
      <w:r w:rsidRPr="00795F17">
        <w:t xml:space="preserve">Źródło: </w:t>
      </w:r>
      <w:r w:rsidR="00FD7248" w:rsidRPr="00795F17">
        <w:t>opracowanie własn</w:t>
      </w:r>
      <w:r w:rsidR="008122F8" w:rsidRPr="00795F17">
        <w:t>e</w:t>
      </w:r>
    </w:p>
    <w:p w14:paraId="6287CD78" w14:textId="743B749E" w:rsidR="00CE597F" w:rsidRPr="00795F17" w:rsidRDefault="00CE597F" w:rsidP="0044393D">
      <w:pPr>
        <w:pStyle w:val="Nagwek5"/>
      </w:pPr>
      <w:r w:rsidRPr="00795F17">
        <w:t xml:space="preserve">Ocena postępu w osiąganiu celów środowiskowych dla stanu chemicznego </w:t>
      </w:r>
      <w:r w:rsidR="00DF005E">
        <w:t>JCWP</w:t>
      </w:r>
      <w:r w:rsidRPr="00795F17">
        <w:t xml:space="preserve"> RW (</w:t>
      </w:r>
      <w:r w:rsidRPr="00795F17">
        <w:rPr>
          <w:rFonts w:cstheme="minorBidi"/>
        </w:rPr>
        <w:t xml:space="preserve">aktualny </w:t>
      </w:r>
      <w:r w:rsidRPr="00795F17">
        <w:t>układ planistyczny IIaPGW)</w:t>
      </w:r>
    </w:p>
    <w:p w14:paraId="0EE250E9" w14:textId="7536E4E8" w:rsidR="005B5489" w:rsidRPr="00795F17" w:rsidRDefault="00CE597F" w:rsidP="0044393D">
      <w:r w:rsidRPr="00795F17">
        <w:t>Zgodnie z przeprowadzonymi analizami cel środowiskowy</w:t>
      </w:r>
      <w:r w:rsidR="005E726B" w:rsidRPr="00795F17">
        <w:t>,</w:t>
      </w:r>
      <w:r w:rsidRPr="00795F17">
        <w:t xml:space="preserve"> tj. dobry stan chemiczny został osiągnięty w 5,5</w:t>
      </w:r>
      <w:r w:rsidR="005E726B" w:rsidRPr="00795F17">
        <w:t>8</w:t>
      </w:r>
      <w:r w:rsidRPr="00795F17">
        <w:t xml:space="preserve">% </w:t>
      </w:r>
      <w:r w:rsidR="00DF005E">
        <w:t>JCWP</w:t>
      </w:r>
      <w:r w:rsidRPr="00795F17">
        <w:t xml:space="preserve"> </w:t>
      </w:r>
      <w:r w:rsidR="008122F8" w:rsidRPr="00795F17">
        <w:t>RW</w:t>
      </w:r>
      <w:r w:rsidRPr="00795F17">
        <w:t xml:space="preserve"> na obszarze dorzecza Odry. W przypadku 37,7</w:t>
      </w:r>
      <w:r w:rsidR="005E726B" w:rsidRPr="00795F17">
        <w:t>4</w:t>
      </w:r>
      <w:r w:rsidRPr="00795F17">
        <w:t xml:space="preserve">% </w:t>
      </w:r>
      <w:r w:rsidR="00DF005E">
        <w:t>JCWP</w:t>
      </w:r>
      <w:r w:rsidRPr="00795F17">
        <w:t xml:space="preserve"> </w:t>
      </w:r>
      <w:r w:rsidR="008122F8" w:rsidRPr="00795F17">
        <w:t xml:space="preserve">RW </w:t>
      </w:r>
      <w:r w:rsidRPr="00795F17">
        <w:t>odnotowano stan chemiczny poniżej dobrego, co powoduje nieosiągnięcie wyznaczonego w aPGW celu środowiskowego.</w:t>
      </w:r>
    </w:p>
    <w:p w14:paraId="66151782" w14:textId="44B6E8A6" w:rsidR="005E726B" w:rsidRPr="00795F17" w:rsidRDefault="005E726B" w:rsidP="0044393D">
      <w:r w:rsidRPr="00795F17">
        <w:t>Wyżej opisane wyniki oceny postępu zaprezentowano w tabeli poniżej (tabela 9-5).</w:t>
      </w:r>
    </w:p>
    <w:p w14:paraId="48B97BF6" w14:textId="216CC741" w:rsidR="00B602E8" w:rsidRPr="00795F17" w:rsidRDefault="00B602E8" w:rsidP="004D7705">
      <w:pPr>
        <w:pStyle w:val="Tabela"/>
      </w:pPr>
      <w:bookmarkStart w:id="467" w:name="_Toc66341908"/>
      <w:bookmarkStart w:id="468" w:name="_Toc105512829"/>
      <w:r w:rsidRPr="00795F17">
        <w:t xml:space="preserve">Tabela </w:t>
      </w:r>
      <w:fldSimple w:instr=" STYLEREF 1 \s ">
        <w:r w:rsidR="001F774D">
          <w:rPr>
            <w:noProof/>
          </w:rPr>
          <w:t>9</w:t>
        </w:r>
      </w:fldSimple>
      <w:r w:rsidR="00BB3B21" w:rsidRPr="00795F17">
        <w:noBreakHyphen/>
      </w:r>
      <w:fldSimple w:instr=" SEQ Tabela \* ARABIC \s 1 ">
        <w:r w:rsidR="001F774D">
          <w:rPr>
            <w:noProof/>
          </w:rPr>
          <w:t>5</w:t>
        </w:r>
      </w:fldSimple>
      <w:r w:rsidR="00E76356">
        <w:rPr>
          <w:noProof/>
        </w:rPr>
        <w:t>.</w:t>
      </w:r>
      <w:r w:rsidRPr="00795F17">
        <w:tab/>
      </w:r>
      <w:bookmarkEnd w:id="467"/>
      <w:r w:rsidR="005E726B" w:rsidRPr="00795F17">
        <w:t>Ocena postępu w osiąganiu celów środowiskowych dla stanu chemicznego na obszarze dorzecza Odry w układzie planistycznym IIaPGW (2022</w:t>
      </w:r>
      <w:r w:rsidR="003F2700">
        <w:t>–</w:t>
      </w:r>
      <w:r w:rsidR="005E726B" w:rsidRPr="00795F17">
        <w:t>2027</w:t>
      </w:r>
      <w:r w:rsidR="003B43DD" w:rsidRPr="00795F17">
        <w:t>)</w:t>
      </w:r>
      <w:r w:rsidR="00026D72">
        <w:t xml:space="preserve"> – </w:t>
      </w:r>
      <w:r w:rsidR="00DF005E">
        <w:t>JCWP</w:t>
      </w:r>
      <w:r w:rsidR="00026D72" w:rsidRPr="008368C5">
        <w:t xml:space="preserve"> RW</w:t>
      </w:r>
      <w:bookmarkEnd w:id="468"/>
    </w:p>
    <w:tbl>
      <w:tblPr>
        <w:tblW w:w="5000" w:type="pct"/>
        <w:tblCellMar>
          <w:left w:w="10" w:type="dxa"/>
          <w:right w:w="10" w:type="dxa"/>
        </w:tblCellMar>
        <w:tblLook w:val="04A0" w:firstRow="1" w:lastRow="0" w:firstColumn="1" w:lastColumn="0" w:noHBand="0" w:noVBand="1"/>
      </w:tblPr>
      <w:tblGrid>
        <w:gridCol w:w="5805"/>
        <w:gridCol w:w="1563"/>
        <w:gridCol w:w="1694"/>
      </w:tblGrid>
      <w:tr w:rsidR="005E726B" w:rsidRPr="00795F17" w14:paraId="48B28E7D" w14:textId="77777777" w:rsidTr="003D121A">
        <w:trPr>
          <w:trHeight w:val="454"/>
        </w:trPr>
        <w:tc>
          <w:tcPr>
            <w:tcW w:w="3204" w:type="pct"/>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26620285" w14:textId="11D0BCEA" w:rsidR="005E726B" w:rsidRPr="00795F17" w:rsidRDefault="005E726B" w:rsidP="00FD5F26">
            <w:pPr>
              <w:pStyle w:val="Teksttabelinaglowek"/>
            </w:pPr>
            <w:r w:rsidRPr="00795F17">
              <w:t>Stopień osiągnięcia celu</w:t>
            </w:r>
          </w:p>
        </w:tc>
        <w:tc>
          <w:tcPr>
            <w:tcW w:w="860" w:type="pct"/>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19076ED4" w14:textId="537EA681" w:rsidR="005E726B" w:rsidRPr="00795F17" w:rsidRDefault="005E726B" w:rsidP="00FD5F26">
            <w:pPr>
              <w:pStyle w:val="Teksttabelinaglowek"/>
            </w:pPr>
            <w:r w:rsidRPr="00795F17">
              <w:t xml:space="preserve">Liczba </w:t>
            </w:r>
            <w:r w:rsidR="00DF005E">
              <w:t>JCWP</w:t>
            </w:r>
            <w:r w:rsidRPr="00795F17">
              <w:t xml:space="preserve"> RW</w:t>
            </w:r>
          </w:p>
        </w:tc>
        <w:tc>
          <w:tcPr>
            <w:tcW w:w="936"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4D336B92" w14:textId="24F5BF36" w:rsidR="005E726B" w:rsidRPr="00795F17" w:rsidRDefault="005E726B" w:rsidP="00FD5F26">
            <w:pPr>
              <w:pStyle w:val="Teksttabelinaglowek"/>
            </w:pPr>
            <w:r w:rsidRPr="00795F17">
              <w:t xml:space="preserve">Udział </w:t>
            </w:r>
            <w:r w:rsidR="00DF005E">
              <w:t>JCWP</w:t>
            </w:r>
            <w:r w:rsidRPr="00795F17">
              <w:t xml:space="preserve"> </w:t>
            </w:r>
            <w:r w:rsidR="00EA4FF5" w:rsidRPr="00795F17">
              <w:t>(%)</w:t>
            </w:r>
          </w:p>
        </w:tc>
      </w:tr>
      <w:tr w:rsidR="005E726B" w:rsidRPr="00795F17" w14:paraId="2B2D964E" w14:textId="77777777" w:rsidTr="003D121A">
        <w:trPr>
          <w:trHeight w:val="454"/>
        </w:trPr>
        <w:tc>
          <w:tcPr>
            <w:tcW w:w="320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113212" w14:textId="4541A9AB" w:rsidR="005E726B" w:rsidRPr="00795F17" w:rsidRDefault="005E726B" w:rsidP="0044393D">
            <w:pPr>
              <w:pStyle w:val="Teksttabelilewy"/>
            </w:pPr>
            <w:r w:rsidRPr="00795F17">
              <w:t xml:space="preserve">Cel nieosiągnięty </w:t>
            </w:r>
            <w:r w:rsidR="003F2700">
              <w:t>–</w:t>
            </w:r>
            <w:r w:rsidRPr="00795F17">
              <w:t xml:space="preserve"> brak postępu</w:t>
            </w:r>
          </w:p>
        </w:tc>
        <w:tc>
          <w:tcPr>
            <w:tcW w:w="86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BA9C26" w14:textId="77777777" w:rsidR="005E726B" w:rsidRPr="00795F17" w:rsidRDefault="005E726B" w:rsidP="0065243A">
            <w:pPr>
              <w:pStyle w:val="Teksttabelisrodek"/>
            </w:pPr>
            <w:r w:rsidRPr="00795F17">
              <w:t>480</w:t>
            </w:r>
          </w:p>
        </w:tc>
        <w:tc>
          <w:tcPr>
            <w:tcW w:w="936"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05662D" w14:textId="0676FE78" w:rsidR="005E726B" w:rsidRPr="00795F17" w:rsidRDefault="005E726B" w:rsidP="0065243A">
            <w:pPr>
              <w:pStyle w:val="Teksttabelisrodek"/>
            </w:pPr>
            <w:r w:rsidRPr="00795F17">
              <w:t>37,74</w:t>
            </w:r>
          </w:p>
        </w:tc>
      </w:tr>
      <w:tr w:rsidR="005E726B" w:rsidRPr="00795F17" w14:paraId="1F43F1A9" w14:textId="77777777" w:rsidTr="003D121A">
        <w:trPr>
          <w:trHeight w:val="454"/>
        </w:trPr>
        <w:tc>
          <w:tcPr>
            <w:tcW w:w="320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EBEC88" w14:textId="0316E675" w:rsidR="005E726B" w:rsidRPr="00795F17" w:rsidRDefault="005E726B" w:rsidP="0044393D">
            <w:pPr>
              <w:pStyle w:val="Teksttabelilewy"/>
            </w:pPr>
            <w:r w:rsidRPr="00795F17">
              <w:t xml:space="preserve">Cel nieosiągnięty </w:t>
            </w:r>
            <w:r w:rsidR="003F2700">
              <w:t>–</w:t>
            </w:r>
            <w:r w:rsidRPr="00795F17">
              <w:t xml:space="preserve"> pogorszenie stanu</w:t>
            </w:r>
          </w:p>
        </w:tc>
        <w:tc>
          <w:tcPr>
            <w:tcW w:w="86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DDC7BF" w14:textId="77777777" w:rsidR="005E726B" w:rsidRPr="00795F17" w:rsidRDefault="005E726B" w:rsidP="0065243A">
            <w:pPr>
              <w:pStyle w:val="Teksttabelisrodek"/>
            </w:pPr>
            <w:r w:rsidRPr="00795F17">
              <w:t>0</w:t>
            </w:r>
          </w:p>
        </w:tc>
        <w:tc>
          <w:tcPr>
            <w:tcW w:w="936"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448F8D" w14:textId="10E01BA5" w:rsidR="005E726B" w:rsidRPr="00795F17" w:rsidRDefault="00377DD3" w:rsidP="0065243A">
            <w:pPr>
              <w:pStyle w:val="Teksttabelisrodek"/>
            </w:pPr>
            <w:r w:rsidRPr="00795F17">
              <w:t>0,00</w:t>
            </w:r>
          </w:p>
        </w:tc>
      </w:tr>
      <w:tr w:rsidR="005E726B" w:rsidRPr="00795F17" w14:paraId="03BA7B7A" w14:textId="77777777" w:rsidTr="003D121A">
        <w:trPr>
          <w:trHeight w:val="454"/>
        </w:trPr>
        <w:tc>
          <w:tcPr>
            <w:tcW w:w="320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9AA748" w14:textId="2093C81C" w:rsidR="005E726B" w:rsidRPr="00795F17" w:rsidRDefault="005E726B" w:rsidP="0044393D">
            <w:pPr>
              <w:pStyle w:val="Teksttabelilewy"/>
            </w:pPr>
            <w:r w:rsidRPr="00795F17">
              <w:t xml:space="preserve">Cel osiągnięty </w:t>
            </w:r>
            <w:r w:rsidR="003F2700">
              <w:t>–</w:t>
            </w:r>
            <w:r w:rsidRPr="00795F17">
              <w:t xml:space="preserve"> utrzymanie dobrego stanu</w:t>
            </w:r>
          </w:p>
        </w:tc>
        <w:tc>
          <w:tcPr>
            <w:tcW w:w="86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102231" w14:textId="77777777" w:rsidR="005E726B" w:rsidRPr="00795F17" w:rsidRDefault="005E726B" w:rsidP="0065243A">
            <w:pPr>
              <w:pStyle w:val="Teksttabelisrodek"/>
            </w:pPr>
            <w:r w:rsidRPr="00795F17">
              <w:t>45</w:t>
            </w:r>
          </w:p>
        </w:tc>
        <w:tc>
          <w:tcPr>
            <w:tcW w:w="936"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FC6BA6" w14:textId="62FA84D7" w:rsidR="005E726B" w:rsidRPr="00795F17" w:rsidRDefault="005E726B" w:rsidP="0065243A">
            <w:pPr>
              <w:pStyle w:val="Teksttabelisrodek"/>
            </w:pPr>
            <w:r w:rsidRPr="00795F17">
              <w:t>3,54</w:t>
            </w:r>
          </w:p>
        </w:tc>
      </w:tr>
      <w:tr w:rsidR="005E726B" w:rsidRPr="00795F17" w14:paraId="2D9C12C9" w14:textId="77777777" w:rsidTr="003D121A">
        <w:trPr>
          <w:trHeight w:val="454"/>
        </w:trPr>
        <w:tc>
          <w:tcPr>
            <w:tcW w:w="320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1FA554" w14:textId="60709717" w:rsidR="005E726B" w:rsidRPr="00795F17" w:rsidRDefault="005E726B" w:rsidP="0044393D">
            <w:pPr>
              <w:pStyle w:val="Teksttabelilewy"/>
            </w:pPr>
            <w:r w:rsidRPr="00795F17">
              <w:t xml:space="preserve">Cel osiągnięty </w:t>
            </w:r>
            <w:r w:rsidR="003F2700">
              <w:t>–</w:t>
            </w:r>
            <w:r w:rsidRPr="00795F17">
              <w:t xml:space="preserve"> poprawa stanu</w:t>
            </w:r>
          </w:p>
        </w:tc>
        <w:tc>
          <w:tcPr>
            <w:tcW w:w="86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164F38" w14:textId="77777777" w:rsidR="005E726B" w:rsidRPr="00795F17" w:rsidRDefault="005E726B" w:rsidP="0065243A">
            <w:pPr>
              <w:pStyle w:val="Teksttabelisrodek"/>
            </w:pPr>
            <w:r w:rsidRPr="00795F17">
              <w:t>26</w:t>
            </w:r>
          </w:p>
        </w:tc>
        <w:tc>
          <w:tcPr>
            <w:tcW w:w="936"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EA1108" w14:textId="54FEDB43" w:rsidR="005E726B" w:rsidRPr="00795F17" w:rsidRDefault="005E726B" w:rsidP="0065243A">
            <w:pPr>
              <w:pStyle w:val="Teksttabelisrodek"/>
            </w:pPr>
            <w:r w:rsidRPr="00795F17">
              <w:t>2,04</w:t>
            </w:r>
          </w:p>
        </w:tc>
      </w:tr>
      <w:tr w:rsidR="005E726B" w:rsidRPr="00795F17" w14:paraId="40C5D4C1" w14:textId="77777777" w:rsidTr="003D121A">
        <w:trPr>
          <w:trHeight w:val="454"/>
        </w:trPr>
        <w:tc>
          <w:tcPr>
            <w:tcW w:w="320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89694F" w14:textId="77777777" w:rsidR="005E726B" w:rsidRPr="00795F17" w:rsidRDefault="005E726B" w:rsidP="0044393D">
            <w:pPr>
              <w:pStyle w:val="Teksttabelilewy"/>
            </w:pPr>
            <w:r w:rsidRPr="00795F17">
              <w:t>Brak możliwości oceny postępu</w:t>
            </w:r>
          </w:p>
        </w:tc>
        <w:tc>
          <w:tcPr>
            <w:tcW w:w="86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99CFB1" w14:textId="77777777" w:rsidR="005E726B" w:rsidRPr="00795F17" w:rsidRDefault="005E726B" w:rsidP="0065243A">
            <w:pPr>
              <w:pStyle w:val="Teksttabelisrodek"/>
            </w:pPr>
            <w:r w:rsidRPr="00795F17">
              <w:t>721</w:t>
            </w:r>
          </w:p>
        </w:tc>
        <w:tc>
          <w:tcPr>
            <w:tcW w:w="936"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C1AAE5" w14:textId="21085D41" w:rsidR="005E726B" w:rsidRPr="00795F17" w:rsidRDefault="005E726B" w:rsidP="0065243A">
            <w:pPr>
              <w:pStyle w:val="Teksttabelisrodek"/>
            </w:pPr>
            <w:r w:rsidRPr="00795F17">
              <w:t>56,68</w:t>
            </w:r>
          </w:p>
        </w:tc>
      </w:tr>
      <w:tr w:rsidR="005E726B" w:rsidRPr="00795F17" w14:paraId="66C14CC0" w14:textId="77777777" w:rsidTr="003D121A">
        <w:trPr>
          <w:trHeight w:val="454"/>
        </w:trPr>
        <w:tc>
          <w:tcPr>
            <w:tcW w:w="3204"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3BE6ED21" w14:textId="000E8E59" w:rsidR="005E726B" w:rsidRPr="00795F17" w:rsidRDefault="005E726B" w:rsidP="005573CA">
            <w:pPr>
              <w:pStyle w:val="Teksttabelinaglowek"/>
            </w:pPr>
            <w:r w:rsidRPr="00795F17">
              <w:t xml:space="preserve">Liczba </w:t>
            </w:r>
            <w:r w:rsidR="00DF005E">
              <w:t>JCWP</w:t>
            </w:r>
            <w:r w:rsidRPr="00795F17">
              <w:t xml:space="preserve"> </w:t>
            </w:r>
            <w:r w:rsidR="00026D72">
              <w:t xml:space="preserve">RW </w:t>
            </w:r>
            <w:r w:rsidR="00C46E3D">
              <w:t>na</w:t>
            </w:r>
            <w:r w:rsidRPr="00795F17">
              <w:t xml:space="preserve"> obszarze dorzecza</w:t>
            </w:r>
          </w:p>
        </w:tc>
        <w:tc>
          <w:tcPr>
            <w:tcW w:w="86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2523ED72" w14:textId="48D12B67" w:rsidR="005E726B" w:rsidRPr="00795F17" w:rsidRDefault="005E726B" w:rsidP="005573CA">
            <w:pPr>
              <w:pStyle w:val="Teksttabelinaglowek"/>
            </w:pPr>
            <w:r w:rsidRPr="00795F17">
              <w:t>1 272</w:t>
            </w:r>
          </w:p>
        </w:tc>
        <w:tc>
          <w:tcPr>
            <w:tcW w:w="936"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6E58FBD0" w14:textId="56C9BF15" w:rsidR="005E726B" w:rsidRPr="00795F17" w:rsidRDefault="005E726B" w:rsidP="005573CA">
            <w:pPr>
              <w:pStyle w:val="Teksttabelinaglowek"/>
            </w:pPr>
            <w:r w:rsidRPr="00795F17">
              <w:t>100</w:t>
            </w:r>
          </w:p>
        </w:tc>
      </w:tr>
    </w:tbl>
    <w:p w14:paraId="73382111" w14:textId="585728F5" w:rsidR="00AD7869" w:rsidRPr="00795F17" w:rsidRDefault="00AD7869" w:rsidP="0044393D">
      <w:pPr>
        <w:pStyle w:val="rdo"/>
      </w:pPr>
      <w:r w:rsidRPr="00795F17">
        <w:t xml:space="preserve">Źródło: </w:t>
      </w:r>
      <w:r w:rsidR="00FD7248" w:rsidRPr="00795F17">
        <w:t>opracowanie własn</w:t>
      </w:r>
      <w:r w:rsidR="008122F8" w:rsidRPr="00795F17">
        <w:t>e</w:t>
      </w:r>
      <w:r w:rsidR="00FE25FC" w:rsidRPr="00795F17">
        <w:t xml:space="preserve"> na podstawie danych GIOŚ</w:t>
      </w:r>
    </w:p>
    <w:p w14:paraId="1B46A5BB" w14:textId="310824AF" w:rsidR="00CE597F" w:rsidRPr="00795F17" w:rsidRDefault="00CE597F" w:rsidP="0044393D">
      <w:r w:rsidRPr="00795F17">
        <w:t xml:space="preserve">Powodów wpływających na nieosiągnięcie dobrego stanu chemicznego </w:t>
      </w:r>
      <w:r w:rsidR="00DF005E">
        <w:t>JCWP</w:t>
      </w:r>
      <w:r w:rsidRPr="00795F17">
        <w:t xml:space="preserve"> jest wiele. Począwszy od</w:t>
      </w:r>
      <w:r w:rsidR="00674315" w:rsidRPr="00795F17">
        <w:t> </w:t>
      </w:r>
      <w:r w:rsidRPr="00795F17">
        <w:t>niskiej skuteczności wprowadzanych działań przez uwarunkowania środowiskowe zlewni</w:t>
      </w:r>
      <w:r w:rsidR="00674315" w:rsidRPr="00795F17">
        <w:t>,</w:t>
      </w:r>
      <w:r w:rsidRPr="00795F17">
        <w:t xml:space="preserve"> a kończąc na dopływie zanieczyszczeń antropogenicznych, co zostało przedstawione w rozdziale 7 IIaPGW. Biorąc pod uwagę aspekty niezwiązane z bezpośrednim dopływem zanieczyszczeń do zlewni, najczęstszą przyczyną nieosiągnięcia celów środowiskowych w </w:t>
      </w:r>
      <w:r w:rsidR="00DF005E">
        <w:t>JCWP</w:t>
      </w:r>
      <w:r w:rsidRPr="00795F17">
        <w:t xml:space="preserve"> było przekroczenie wartości granicznych w</w:t>
      </w:r>
      <w:r w:rsidR="00674315" w:rsidRPr="00795F17">
        <w:t> </w:t>
      </w:r>
      <w:r w:rsidRPr="00795F17">
        <w:t xml:space="preserve">biocie, czyli </w:t>
      </w:r>
      <w:r w:rsidRPr="00F94265">
        <w:t>matrycy</w:t>
      </w:r>
      <w:r w:rsidRPr="00795F17">
        <w:t xml:space="preserve"> wprowadzonej do Państwowego Monitoringu Środowiska w 2016</w:t>
      </w:r>
      <w:r w:rsidR="00674315" w:rsidRPr="00795F17">
        <w:t> r</w:t>
      </w:r>
      <w:r w:rsidRPr="00795F17">
        <w:t>. Dodatkowo wykazano także przekroczenia EQS w stosunku do</w:t>
      </w:r>
      <w:r w:rsidR="00674315" w:rsidRPr="00795F17">
        <w:t xml:space="preserve"> </w:t>
      </w:r>
      <w:r w:rsidRPr="00795F17">
        <w:t xml:space="preserve">nowych substancji, dodanych do grupy wskaźników chemicznych w myśl dyrektywy </w:t>
      </w:r>
      <w:r w:rsidRPr="00795F17">
        <w:rPr>
          <w:rFonts w:cs="Calibri"/>
          <w:color w:val="000000"/>
        </w:rPr>
        <w:t xml:space="preserve">2013/39/UE (25,6% </w:t>
      </w:r>
      <w:r w:rsidR="00DF005E">
        <w:rPr>
          <w:rFonts w:cs="Calibri"/>
          <w:color w:val="000000"/>
        </w:rPr>
        <w:t>JCWP</w:t>
      </w:r>
      <w:r w:rsidRPr="00795F17">
        <w:rPr>
          <w:rFonts w:cs="Calibri"/>
          <w:color w:val="000000"/>
        </w:rPr>
        <w:t>). Ponadto</w:t>
      </w:r>
      <w:r w:rsidRPr="00795F17">
        <w:t xml:space="preserve"> na obniżenie stanu chemicznego </w:t>
      </w:r>
      <w:r w:rsidR="00DF005E">
        <w:t>JCWP</w:t>
      </w:r>
      <w:r w:rsidRPr="00795F17">
        <w:t xml:space="preserve"> w znacznym stopniu wpłynęły także zmiany legislacyjne, w tym przypadku rozumiane jako obniżenie wartości granicznych mierzonych wskaźników </w:t>
      </w:r>
      <w:r w:rsidR="00674315" w:rsidRPr="00795F17">
        <w:t>(</w:t>
      </w:r>
      <w:r w:rsidRPr="00795F17">
        <w:t xml:space="preserve">30,7% </w:t>
      </w:r>
      <w:r w:rsidR="00DF005E">
        <w:t>JCWP</w:t>
      </w:r>
      <w:r w:rsidRPr="00795F17">
        <w:t xml:space="preserve">). </w:t>
      </w:r>
      <w:r w:rsidRPr="00795F17">
        <w:rPr>
          <w:rFonts w:cs="Calibri"/>
          <w:color w:val="000000"/>
        </w:rPr>
        <w:t>Ponadto, podobnie jak</w:t>
      </w:r>
      <w:r w:rsidR="00057D5C" w:rsidRPr="00795F17">
        <w:rPr>
          <w:rFonts w:cs="Calibri"/>
          <w:color w:val="000000"/>
        </w:rPr>
        <w:t> </w:t>
      </w:r>
      <w:r w:rsidR="00C46E3D">
        <w:rPr>
          <w:rFonts w:cs="Calibri"/>
          <w:color w:val="000000"/>
        </w:rPr>
        <w:t>na</w:t>
      </w:r>
      <w:r w:rsidR="00674315" w:rsidRPr="00795F17">
        <w:rPr>
          <w:rFonts w:cs="Calibri"/>
          <w:color w:val="000000"/>
        </w:rPr>
        <w:t> </w:t>
      </w:r>
      <w:r w:rsidR="009D25B6" w:rsidRPr="00795F17">
        <w:rPr>
          <w:rFonts w:cs="Calibri"/>
          <w:color w:val="000000"/>
        </w:rPr>
        <w:t xml:space="preserve">obszarze </w:t>
      </w:r>
      <w:r w:rsidRPr="00795F17">
        <w:rPr>
          <w:rFonts w:cs="Calibri"/>
          <w:color w:val="000000"/>
        </w:rPr>
        <w:t>dorzecz</w:t>
      </w:r>
      <w:r w:rsidR="009D25B6" w:rsidRPr="00795F17">
        <w:rPr>
          <w:rFonts w:cs="Calibri"/>
          <w:color w:val="000000"/>
        </w:rPr>
        <w:t>a</w:t>
      </w:r>
      <w:r w:rsidRPr="00795F17">
        <w:rPr>
          <w:rFonts w:cs="Calibri"/>
          <w:color w:val="000000"/>
        </w:rPr>
        <w:t xml:space="preserve"> Wisły, istotnym powodem nieosiągnięcia celów środowiskowych </w:t>
      </w:r>
      <w:r w:rsidR="00C46E3D">
        <w:rPr>
          <w:rFonts w:cs="Calibri"/>
          <w:color w:val="000000"/>
        </w:rPr>
        <w:t>na </w:t>
      </w:r>
      <w:r w:rsidR="009D25B6" w:rsidRPr="00795F17">
        <w:rPr>
          <w:rFonts w:cs="Calibri"/>
          <w:color w:val="000000"/>
        </w:rPr>
        <w:t xml:space="preserve">obszarze </w:t>
      </w:r>
      <w:r w:rsidRPr="00795F17">
        <w:rPr>
          <w:rFonts w:cs="Calibri"/>
          <w:color w:val="000000"/>
        </w:rPr>
        <w:t>dorzecz</w:t>
      </w:r>
      <w:r w:rsidR="009D25B6" w:rsidRPr="00795F17">
        <w:rPr>
          <w:rFonts w:cs="Calibri"/>
          <w:color w:val="000000"/>
        </w:rPr>
        <w:t>a</w:t>
      </w:r>
      <w:r w:rsidRPr="00795F17">
        <w:rPr>
          <w:rFonts w:cs="Calibri"/>
          <w:color w:val="000000"/>
        </w:rPr>
        <w:t xml:space="preserve"> Odry był</w:t>
      </w:r>
      <w:r w:rsidRPr="00795F17">
        <w:rPr>
          <w:color w:val="000000"/>
        </w:rPr>
        <w:t xml:space="preserve"> </w:t>
      </w:r>
      <w:r w:rsidRPr="00795F17">
        <w:t xml:space="preserve">słaby stopień realizacji lub skuteczności działań z aPWŚK (21,9% </w:t>
      </w:r>
      <w:r w:rsidR="00DF005E">
        <w:t>JCWP</w:t>
      </w:r>
      <w:r w:rsidRPr="00795F17">
        <w:t xml:space="preserve">), co związane było między innymi z niedopasowaniem działań do źródła presji. Dodatkowo w niektórych przypadkach wykazano, iż zestaw wdrożonych działań powoduje obniżenie stężeń substancji priorytetowych oraz innych substancji zanieczyszczających. Jednak ze względu np. na znaczne przekroczenie wartości granicznej, nie odnotowuje się wystarczającego obniżenia stężeń w jednym cyklu planistycznym. </w:t>
      </w:r>
      <w:r w:rsidR="00C46E3D">
        <w:t>P</w:t>
      </w:r>
      <w:r w:rsidRPr="00795F17">
        <w:t>rzeprowadzone analizy wykazały, że stopień osiągnięcia celów środowiskowych w</w:t>
      </w:r>
      <w:r w:rsidR="00674315" w:rsidRPr="00795F17">
        <w:t> </w:t>
      </w:r>
      <w:r w:rsidRPr="00795F17">
        <w:t>rzekach jest także zależny od uwarunkowań zlewni. Pomimo wprowadzanych działań mających na</w:t>
      </w:r>
      <w:r w:rsidR="00674315" w:rsidRPr="00795F17">
        <w:t> </w:t>
      </w:r>
      <w:r w:rsidRPr="00795F17">
        <w:t xml:space="preserve">celu ograniczanie dopływu zanieczyszczeń do </w:t>
      </w:r>
      <w:r w:rsidR="00DF005E">
        <w:t>JCWP</w:t>
      </w:r>
      <w:r w:rsidRPr="00795F17">
        <w:t xml:space="preserve">, niski potencjał sorpcyjny zlewni (na poziomie 5) nie sprzyjał poprawie stanu chemicznego jednolitych części wód powierzchniowych. Ponadto odnotowuje się także znaczny udział dopływu zanieczyszczeń ze zlewni powyżej, co łącznie wpłynęło na utrzymanie bądź doprowadzenie do przekroczenia wartości granicznych w 76 </w:t>
      </w:r>
      <w:r w:rsidR="00DF005E">
        <w:t>JCWP</w:t>
      </w:r>
      <w:r w:rsidRPr="00795F17">
        <w:t>.</w:t>
      </w:r>
    </w:p>
    <w:p w14:paraId="006DF58F" w14:textId="21753210" w:rsidR="00674315" w:rsidRPr="00795F17" w:rsidRDefault="00674315" w:rsidP="0044393D">
      <w:pPr>
        <w:rPr>
          <w:i/>
        </w:rPr>
      </w:pPr>
      <w:r w:rsidRPr="00795F17">
        <w:t xml:space="preserve">Wyniki analizy przyczyn nieosiągnięcia celów środowiskowych przez </w:t>
      </w:r>
      <w:r w:rsidR="00DF005E">
        <w:t>JCWP</w:t>
      </w:r>
      <w:r w:rsidRPr="00795F17">
        <w:t xml:space="preserve"> RW przedstawiono w poniższej tabeli (tabela 9-6).</w:t>
      </w:r>
    </w:p>
    <w:p w14:paraId="4D55E5EF" w14:textId="6524C634" w:rsidR="003B2D14" w:rsidRPr="00795F17" w:rsidRDefault="003B2D14" w:rsidP="004D7705">
      <w:pPr>
        <w:pStyle w:val="Tabela"/>
      </w:pPr>
      <w:bookmarkStart w:id="469" w:name="_Toc66341909"/>
      <w:bookmarkStart w:id="470" w:name="_Toc105512830"/>
      <w:r w:rsidRPr="00795F17">
        <w:t xml:space="preserve">Tabela </w:t>
      </w:r>
      <w:fldSimple w:instr=" STYLEREF 1 \s ">
        <w:r w:rsidR="001F774D">
          <w:rPr>
            <w:noProof/>
          </w:rPr>
          <w:t>9</w:t>
        </w:r>
      </w:fldSimple>
      <w:r w:rsidR="00BB3B21" w:rsidRPr="00795F17">
        <w:noBreakHyphen/>
      </w:r>
      <w:fldSimple w:instr=" SEQ Tabela \* ARABIC \s 1 ">
        <w:r w:rsidR="001F774D">
          <w:rPr>
            <w:noProof/>
          </w:rPr>
          <w:t>6</w:t>
        </w:r>
      </w:fldSimple>
      <w:r w:rsidR="00E76356">
        <w:rPr>
          <w:noProof/>
        </w:rPr>
        <w:t>.</w:t>
      </w:r>
      <w:r w:rsidRPr="00795F17">
        <w:tab/>
        <w:t xml:space="preserve">Analiza przyczyn wpływających na brak postępu w osiąganiu celów środowiskowych dla stanu chemicznego na obszarze dorzecza Odry </w:t>
      </w:r>
      <w:r w:rsidR="00674315" w:rsidRPr="00795F17">
        <w:t>(</w:t>
      </w:r>
      <w:r w:rsidRPr="00795F17">
        <w:t xml:space="preserve">bazując na nowym </w:t>
      </w:r>
      <w:r w:rsidRPr="00795F17">
        <w:rPr>
          <w:rFonts w:asciiTheme="minorHAnsi" w:hAnsiTheme="minorHAnsi"/>
        </w:rPr>
        <w:t xml:space="preserve">układzie planistycznym </w:t>
      </w:r>
      <w:r w:rsidRPr="00795F17">
        <w:rPr>
          <w:rFonts w:asciiTheme="minorHAnsi" w:hAnsiTheme="minorHAnsi" w:cstheme="minorHAnsi"/>
        </w:rPr>
        <w:t>IIaPGW</w:t>
      </w:r>
      <w:r w:rsidR="00674315" w:rsidRPr="00795F17">
        <w:rPr>
          <w:rFonts w:asciiTheme="minorHAnsi" w:hAnsiTheme="minorHAnsi" w:cstheme="minorHAnsi"/>
        </w:rPr>
        <w:t>)</w:t>
      </w:r>
      <w:r w:rsidRPr="00795F17">
        <w:rPr>
          <w:rFonts w:asciiTheme="minorHAnsi" w:hAnsiTheme="minorHAnsi" w:cstheme="minorHAnsi"/>
        </w:rPr>
        <w:t xml:space="preserve"> </w:t>
      </w:r>
      <w:r w:rsidR="003F2700">
        <w:t>–</w:t>
      </w:r>
      <w:r w:rsidRPr="00795F17">
        <w:t xml:space="preserve"> </w:t>
      </w:r>
      <w:r w:rsidR="00EA2A1C">
        <w:t> </w:t>
      </w:r>
      <w:r w:rsidR="00DF005E">
        <w:t>JCWP</w:t>
      </w:r>
      <w:r w:rsidRPr="00795F17">
        <w:t xml:space="preserve"> RW</w:t>
      </w:r>
      <w:bookmarkEnd w:id="469"/>
      <w:bookmarkEnd w:id="4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5"/>
        <w:gridCol w:w="1564"/>
        <w:gridCol w:w="1693"/>
      </w:tblGrid>
      <w:tr w:rsidR="00CE597F" w:rsidRPr="00795F17" w14:paraId="785A3B4B" w14:textId="77777777" w:rsidTr="00674315">
        <w:trPr>
          <w:trHeight w:val="454"/>
          <w:tblHeader/>
        </w:trPr>
        <w:tc>
          <w:tcPr>
            <w:tcW w:w="5000" w:type="pct"/>
            <w:gridSpan w:val="3"/>
            <w:shd w:val="clear" w:color="auto" w:fill="BFBFBF" w:themeFill="background1" w:themeFillShade="BF"/>
            <w:noWrap/>
            <w:vAlign w:val="center"/>
          </w:tcPr>
          <w:p w14:paraId="2AC5910C" w14:textId="4166D1CC" w:rsidR="00CE597F" w:rsidRPr="00795F17" w:rsidRDefault="00CE597F" w:rsidP="0065243A">
            <w:pPr>
              <w:pStyle w:val="Teksttabelinaglowek"/>
            </w:pPr>
            <w:r w:rsidRPr="00795F17">
              <w:t>A</w:t>
            </w:r>
            <w:r w:rsidR="00674315" w:rsidRPr="00795F17">
              <w:t>naliza przyczyn braku postępu w osiąganiu celu środowiskowego</w:t>
            </w:r>
            <w:r w:rsidR="008D43F1" w:rsidRPr="00795F17">
              <w:t xml:space="preserve"> dla stanu chemicznego</w:t>
            </w:r>
          </w:p>
        </w:tc>
      </w:tr>
      <w:tr w:rsidR="00CE597F" w:rsidRPr="00795F17" w14:paraId="2D45CB84" w14:textId="77777777" w:rsidTr="00674315">
        <w:trPr>
          <w:trHeight w:val="454"/>
          <w:tblHeader/>
        </w:trPr>
        <w:tc>
          <w:tcPr>
            <w:tcW w:w="3204" w:type="pct"/>
            <w:shd w:val="clear" w:color="auto" w:fill="BFBFBF" w:themeFill="background1" w:themeFillShade="BF"/>
            <w:noWrap/>
            <w:vAlign w:val="center"/>
          </w:tcPr>
          <w:p w14:paraId="38A1A674" w14:textId="0946F631" w:rsidR="00CE597F" w:rsidRPr="00795F17" w:rsidRDefault="00674315" w:rsidP="0065243A">
            <w:pPr>
              <w:pStyle w:val="Teksttabelinaglowek"/>
            </w:pPr>
            <w:r w:rsidRPr="00795F17">
              <w:t>Przyczyna braku postępu</w:t>
            </w:r>
          </w:p>
        </w:tc>
        <w:tc>
          <w:tcPr>
            <w:tcW w:w="861" w:type="pct"/>
            <w:shd w:val="clear" w:color="auto" w:fill="BFBFBF" w:themeFill="background1" w:themeFillShade="BF"/>
            <w:noWrap/>
            <w:vAlign w:val="center"/>
          </w:tcPr>
          <w:p w14:paraId="2C7B93DF" w14:textId="1F9021CD" w:rsidR="00CE597F" w:rsidRPr="00795F17" w:rsidRDefault="00CE597F" w:rsidP="0065243A">
            <w:pPr>
              <w:pStyle w:val="Teksttabelinaglowek"/>
            </w:pPr>
            <w:r w:rsidRPr="00795F17">
              <w:t xml:space="preserve">Liczba </w:t>
            </w:r>
            <w:r w:rsidR="00DF005E">
              <w:t>JCWP</w:t>
            </w:r>
            <w:r w:rsidR="008D43F1" w:rsidRPr="00795F17">
              <w:t xml:space="preserve"> RW</w:t>
            </w:r>
          </w:p>
        </w:tc>
        <w:tc>
          <w:tcPr>
            <w:tcW w:w="935" w:type="pct"/>
            <w:shd w:val="clear" w:color="auto" w:fill="BFBFBF" w:themeFill="background1" w:themeFillShade="BF"/>
            <w:noWrap/>
            <w:vAlign w:val="center"/>
          </w:tcPr>
          <w:p w14:paraId="1BE4A2C9" w14:textId="3BB08054" w:rsidR="00CE597F" w:rsidRPr="00795F17" w:rsidRDefault="00CE597F" w:rsidP="0065243A">
            <w:pPr>
              <w:pStyle w:val="Teksttabelinaglowek"/>
            </w:pPr>
            <w:r w:rsidRPr="00795F17">
              <w:t xml:space="preserve">Udział </w:t>
            </w:r>
            <w:r w:rsidR="00DF005E">
              <w:t>JCWP</w:t>
            </w:r>
            <w:r w:rsidRPr="00795F17">
              <w:t xml:space="preserve"> </w:t>
            </w:r>
            <w:r w:rsidR="00EA4FF5" w:rsidRPr="00795F17">
              <w:t>(%)</w:t>
            </w:r>
          </w:p>
        </w:tc>
      </w:tr>
      <w:tr w:rsidR="00CE597F" w:rsidRPr="00795F17" w14:paraId="5582FE52" w14:textId="77777777" w:rsidTr="00674315">
        <w:trPr>
          <w:trHeight w:val="454"/>
        </w:trPr>
        <w:tc>
          <w:tcPr>
            <w:tcW w:w="5000" w:type="pct"/>
            <w:gridSpan w:val="3"/>
            <w:shd w:val="clear" w:color="auto" w:fill="D9D9D9" w:themeFill="background1" w:themeFillShade="D9"/>
            <w:vAlign w:val="center"/>
          </w:tcPr>
          <w:p w14:paraId="699D6044" w14:textId="77777777" w:rsidR="00CE597F" w:rsidRPr="00795F17" w:rsidRDefault="00CE597F" w:rsidP="00FD5F26">
            <w:pPr>
              <w:pStyle w:val="Teksttabelinaglowek"/>
            </w:pPr>
            <w:r w:rsidRPr="00795F17">
              <w:t>Zmiany legislacyjne (zmiana wartości granicznych klas)</w:t>
            </w:r>
          </w:p>
        </w:tc>
      </w:tr>
      <w:tr w:rsidR="00CE597F" w:rsidRPr="00795F17" w14:paraId="1151D099" w14:textId="77777777" w:rsidTr="00674315">
        <w:trPr>
          <w:trHeight w:val="454"/>
        </w:trPr>
        <w:tc>
          <w:tcPr>
            <w:tcW w:w="3204" w:type="pct"/>
            <w:noWrap/>
            <w:vAlign w:val="center"/>
          </w:tcPr>
          <w:p w14:paraId="1D638607" w14:textId="77777777" w:rsidR="00CE597F" w:rsidRPr="00795F17" w:rsidRDefault="00CE597F" w:rsidP="0065243A">
            <w:pPr>
              <w:pStyle w:val="Teksttabelilewy"/>
            </w:pPr>
            <w:r w:rsidRPr="00795F17">
              <w:t>Analizowana przyczyna łącznie</w:t>
            </w:r>
          </w:p>
        </w:tc>
        <w:tc>
          <w:tcPr>
            <w:tcW w:w="861" w:type="pct"/>
            <w:noWrap/>
            <w:vAlign w:val="center"/>
          </w:tcPr>
          <w:p w14:paraId="0E198626" w14:textId="77777777" w:rsidR="00CE597F" w:rsidRPr="00795F17" w:rsidRDefault="00CE597F" w:rsidP="0065243A">
            <w:pPr>
              <w:pStyle w:val="Teksttabelisrodek"/>
            </w:pPr>
            <w:r w:rsidRPr="00795F17">
              <w:t>391</w:t>
            </w:r>
          </w:p>
        </w:tc>
        <w:tc>
          <w:tcPr>
            <w:tcW w:w="935" w:type="pct"/>
            <w:noWrap/>
            <w:vAlign w:val="center"/>
          </w:tcPr>
          <w:p w14:paraId="043C1DD9" w14:textId="77777777" w:rsidR="00CE597F" w:rsidRPr="00795F17" w:rsidRDefault="00CE597F" w:rsidP="0065243A">
            <w:pPr>
              <w:pStyle w:val="Teksttabelisrodek"/>
            </w:pPr>
            <w:r w:rsidRPr="00795F17">
              <w:t>30,7</w:t>
            </w:r>
          </w:p>
        </w:tc>
      </w:tr>
      <w:tr w:rsidR="00CE597F" w:rsidRPr="00795F17" w14:paraId="2A658878" w14:textId="77777777" w:rsidTr="00674315">
        <w:trPr>
          <w:trHeight w:val="454"/>
        </w:trPr>
        <w:tc>
          <w:tcPr>
            <w:tcW w:w="3204" w:type="pct"/>
            <w:noWrap/>
            <w:vAlign w:val="center"/>
          </w:tcPr>
          <w:p w14:paraId="0ABC2AFE" w14:textId="5851B1E3" w:rsidR="00CE597F" w:rsidRPr="00795F17" w:rsidRDefault="00CE597F" w:rsidP="0065243A">
            <w:pPr>
              <w:pStyle w:val="Teksttabelilewy"/>
            </w:pPr>
            <w:r w:rsidRPr="00795F17">
              <w:t xml:space="preserve">Cel nieosiągnięty </w:t>
            </w:r>
            <w:r w:rsidR="003F2700">
              <w:t>–</w:t>
            </w:r>
            <w:r w:rsidRPr="00795F17">
              <w:t xml:space="preserve"> brak postępu</w:t>
            </w:r>
          </w:p>
        </w:tc>
        <w:tc>
          <w:tcPr>
            <w:tcW w:w="861" w:type="pct"/>
            <w:noWrap/>
            <w:vAlign w:val="center"/>
          </w:tcPr>
          <w:p w14:paraId="6FCA0898" w14:textId="77777777" w:rsidR="00CE597F" w:rsidRPr="00795F17" w:rsidRDefault="00CE597F" w:rsidP="0065243A">
            <w:pPr>
              <w:pStyle w:val="Teksttabelisrodek"/>
            </w:pPr>
            <w:r w:rsidRPr="00795F17">
              <w:t>391</w:t>
            </w:r>
          </w:p>
        </w:tc>
        <w:tc>
          <w:tcPr>
            <w:tcW w:w="935" w:type="pct"/>
            <w:noWrap/>
            <w:vAlign w:val="center"/>
          </w:tcPr>
          <w:p w14:paraId="34B8A382" w14:textId="77777777" w:rsidR="00CE597F" w:rsidRPr="00795F17" w:rsidRDefault="00CE597F" w:rsidP="0065243A">
            <w:pPr>
              <w:pStyle w:val="Teksttabelisrodek"/>
            </w:pPr>
            <w:r w:rsidRPr="00795F17">
              <w:t>30,7</w:t>
            </w:r>
          </w:p>
        </w:tc>
      </w:tr>
      <w:tr w:rsidR="00CE597F" w:rsidRPr="00795F17" w14:paraId="7D0E1DDD" w14:textId="77777777" w:rsidTr="00674315">
        <w:trPr>
          <w:trHeight w:val="454"/>
        </w:trPr>
        <w:tc>
          <w:tcPr>
            <w:tcW w:w="3204" w:type="pct"/>
            <w:noWrap/>
            <w:vAlign w:val="center"/>
          </w:tcPr>
          <w:p w14:paraId="1431400F" w14:textId="431CA938" w:rsidR="00CE597F" w:rsidRPr="00795F17" w:rsidRDefault="00CE597F" w:rsidP="0065243A">
            <w:pPr>
              <w:pStyle w:val="Teksttabelilewy"/>
            </w:pPr>
            <w:r w:rsidRPr="00795F17">
              <w:t xml:space="preserve">Cel nieosiągnięty </w:t>
            </w:r>
            <w:r w:rsidR="003F2700">
              <w:t>–</w:t>
            </w:r>
            <w:r w:rsidR="003F2700" w:rsidRPr="00795F17">
              <w:t xml:space="preserve"> </w:t>
            </w:r>
            <w:r w:rsidRPr="00795F17">
              <w:t>obniżenie stanu</w:t>
            </w:r>
          </w:p>
        </w:tc>
        <w:tc>
          <w:tcPr>
            <w:tcW w:w="861" w:type="pct"/>
            <w:noWrap/>
            <w:vAlign w:val="center"/>
          </w:tcPr>
          <w:p w14:paraId="40733878" w14:textId="77777777" w:rsidR="00CE597F" w:rsidRPr="00795F17" w:rsidRDefault="00CE597F" w:rsidP="0065243A">
            <w:pPr>
              <w:pStyle w:val="Teksttabelisrodek"/>
            </w:pPr>
            <w:r w:rsidRPr="00795F17">
              <w:t>0</w:t>
            </w:r>
          </w:p>
        </w:tc>
        <w:tc>
          <w:tcPr>
            <w:tcW w:w="935" w:type="pct"/>
            <w:noWrap/>
            <w:vAlign w:val="center"/>
          </w:tcPr>
          <w:p w14:paraId="1F4A3634" w14:textId="7C3CCF1B" w:rsidR="00CE597F" w:rsidRPr="00795F17" w:rsidRDefault="00377DD3" w:rsidP="0065243A">
            <w:pPr>
              <w:pStyle w:val="Teksttabelisrodek"/>
            </w:pPr>
            <w:r w:rsidRPr="00795F17">
              <w:t>0,0</w:t>
            </w:r>
          </w:p>
        </w:tc>
      </w:tr>
      <w:tr w:rsidR="00CE597F" w:rsidRPr="00795F17" w14:paraId="0E7C7EA5" w14:textId="77777777" w:rsidTr="00674315">
        <w:trPr>
          <w:trHeight w:val="454"/>
        </w:trPr>
        <w:tc>
          <w:tcPr>
            <w:tcW w:w="5000" w:type="pct"/>
            <w:gridSpan w:val="3"/>
            <w:shd w:val="clear" w:color="auto" w:fill="D9D9D9" w:themeFill="background1" w:themeFillShade="D9"/>
            <w:vAlign w:val="center"/>
          </w:tcPr>
          <w:p w14:paraId="219C913C" w14:textId="77777777" w:rsidR="00CE597F" w:rsidRPr="00795F17" w:rsidRDefault="00CE597F" w:rsidP="00FD5F26">
            <w:pPr>
              <w:pStyle w:val="Teksttabelinaglowek"/>
            </w:pPr>
            <w:r w:rsidRPr="00795F17">
              <w:t>Zmiana zakresu monitoringu</w:t>
            </w:r>
          </w:p>
        </w:tc>
      </w:tr>
      <w:tr w:rsidR="00CE597F" w:rsidRPr="00795F17" w14:paraId="28F6DF41" w14:textId="77777777" w:rsidTr="00674315">
        <w:trPr>
          <w:trHeight w:val="454"/>
        </w:trPr>
        <w:tc>
          <w:tcPr>
            <w:tcW w:w="3204" w:type="pct"/>
            <w:noWrap/>
            <w:vAlign w:val="center"/>
          </w:tcPr>
          <w:p w14:paraId="59133D3B" w14:textId="77777777" w:rsidR="00CE597F" w:rsidRPr="00795F17" w:rsidRDefault="00CE597F" w:rsidP="0065243A">
            <w:pPr>
              <w:pStyle w:val="Teksttabelilewy"/>
            </w:pPr>
            <w:r w:rsidRPr="00795F17">
              <w:t>Analizowana przyczyna łącznie</w:t>
            </w:r>
          </w:p>
        </w:tc>
        <w:tc>
          <w:tcPr>
            <w:tcW w:w="861" w:type="pct"/>
            <w:noWrap/>
            <w:vAlign w:val="center"/>
          </w:tcPr>
          <w:p w14:paraId="5220F09A" w14:textId="77777777" w:rsidR="00CE597F" w:rsidRPr="00795F17" w:rsidRDefault="00CE597F" w:rsidP="0065243A">
            <w:pPr>
              <w:pStyle w:val="Teksttabelisrodek"/>
            </w:pPr>
            <w:r w:rsidRPr="00795F17">
              <w:t>326</w:t>
            </w:r>
          </w:p>
        </w:tc>
        <w:tc>
          <w:tcPr>
            <w:tcW w:w="935" w:type="pct"/>
            <w:vAlign w:val="center"/>
          </w:tcPr>
          <w:p w14:paraId="54BB1A90" w14:textId="77777777" w:rsidR="00CE597F" w:rsidRPr="00795F17" w:rsidRDefault="00CE597F" w:rsidP="0065243A">
            <w:pPr>
              <w:pStyle w:val="Teksttabelisrodek"/>
            </w:pPr>
            <w:r w:rsidRPr="00795F17">
              <w:t>25,6</w:t>
            </w:r>
          </w:p>
        </w:tc>
      </w:tr>
      <w:tr w:rsidR="00CE597F" w:rsidRPr="00795F17" w14:paraId="56E6E71C" w14:textId="77777777" w:rsidTr="00674315">
        <w:trPr>
          <w:trHeight w:val="454"/>
        </w:trPr>
        <w:tc>
          <w:tcPr>
            <w:tcW w:w="3204" w:type="pct"/>
            <w:noWrap/>
            <w:vAlign w:val="center"/>
          </w:tcPr>
          <w:p w14:paraId="21DF8B65" w14:textId="274B9C5B" w:rsidR="00CE597F" w:rsidRPr="00795F17" w:rsidRDefault="00CE597F" w:rsidP="0065243A">
            <w:pPr>
              <w:pStyle w:val="Teksttabelilewy"/>
            </w:pPr>
            <w:r w:rsidRPr="00795F17">
              <w:t xml:space="preserve">Cel nieosiągnięty </w:t>
            </w:r>
            <w:r w:rsidR="003F2700">
              <w:t>–</w:t>
            </w:r>
            <w:r w:rsidRPr="00795F17">
              <w:t xml:space="preserve"> brak postępu</w:t>
            </w:r>
          </w:p>
        </w:tc>
        <w:tc>
          <w:tcPr>
            <w:tcW w:w="861" w:type="pct"/>
            <w:noWrap/>
            <w:vAlign w:val="center"/>
          </w:tcPr>
          <w:p w14:paraId="17F35FCF" w14:textId="77777777" w:rsidR="00CE597F" w:rsidRPr="00795F17" w:rsidRDefault="00CE597F" w:rsidP="0065243A">
            <w:pPr>
              <w:pStyle w:val="Teksttabelisrodek"/>
            </w:pPr>
            <w:r w:rsidRPr="00795F17">
              <w:t>326</w:t>
            </w:r>
          </w:p>
        </w:tc>
        <w:tc>
          <w:tcPr>
            <w:tcW w:w="935" w:type="pct"/>
            <w:vAlign w:val="center"/>
          </w:tcPr>
          <w:p w14:paraId="6EAF51ED" w14:textId="77777777" w:rsidR="00CE597F" w:rsidRPr="00795F17" w:rsidRDefault="00CE597F" w:rsidP="0065243A">
            <w:pPr>
              <w:pStyle w:val="Teksttabelisrodek"/>
            </w:pPr>
            <w:r w:rsidRPr="00795F17">
              <w:t>25,6</w:t>
            </w:r>
          </w:p>
        </w:tc>
      </w:tr>
      <w:tr w:rsidR="00CE597F" w:rsidRPr="00795F17" w14:paraId="03F4EF53" w14:textId="77777777" w:rsidTr="00674315">
        <w:trPr>
          <w:trHeight w:val="454"/>
        </w:trPr>
        <w:tc>
          <w:tcPr>
            <w:tcW w:w="3204" w:type="pct"/>
            <w:noWrap/>
            <w:vAlign w:val="center"/>
          </w:tcPr>
          <w:p w14:paraId="733CFA4E" w14:textId="1ABA072F" w:rsidR="00CE597F" w:rsidRPr="00795F17" w:rsidRDefault="00CE597F" w:rsidP="0065243A">
            <w:pPr>
              <w:pStyle w:val="Teksttabelilewy"/>
            </w:pPr>
            <w:r w:rsidRPr="00795F17">
              <w:t xml:space="preserve">Cel nieosiągnięty </w:t>
            </w:r>
            <w:r w:rsidR="003F2700">
              <w:t>–</w:t>
            </w:r>
            <w:r w:rsidRPr="00795F17">
              <w:t xml:space="preserve"> obniżenie stanu</w:t>
            </w:r>
          </w:p>
        </w:tc>
        <w:tc>
          <w:tcPr>
            <w:tcW w:w="861" w:type="pct"/>
            <w:noWrap/>
            <w:vAlign w:val="center"/>
          </w:tcPr>
          <w:p w14:paraId="055B7A13" w14:textId="77777777" w:rsidR="00CE597F" w:rsidRPr="00795F17" w:rsidRDefault="00CE597F" w:rsidP="0065243A">
            <w:pPr>
              <w:pStyle w:val="Teksttabelisrodek"/>
            </w:pPr>
            <w:r w:rsidRPr="00795F17">
              <w:t>0</w:t>
            </w:r>
          </w:p>
        </w:tc>
        <w:tc>
          <w:tcPr>
            <w:tcW w:w="935" w:type="pct"/>
            <w:vAlign w:val="center"/>
          </w:tcPr>
          <w:p w14:paraId="2166E892" w14:textId="2D480CCA" w:rsidR="00CE597F" w:rsidRPr="00795F17" w:rsidRDefault="00377DD3" w:rsidP="0065243A">
            <w:pPr>
              <w:pStyle w:val="Teksttabelisrodek"/>
            </w:pPr>
            <w:r w:rsidRPr="00795F17">
              <w:t>0,0</w:t>
            </w:r>
          </w:p>
        </w:tc>
      </w:tr>
      <w:tr w:rsidR="00333A47" w:rsidRPr="00795F17" w14:paraId="7D357E40" w14:textId="77777777" w:rsidTr="00674315">
        <w:trPr>
          <w:trHeight w:val="454"/>
        </w:trPr>
        <w:tc>
          <w:tcPr>
            <w:tcW w:w="5000" w:type="pct"/>
            <w:gridSpan w:val="3"/>
            <w:shd w:val="clear" w:color="auto" w:fill="D9D9D9" w:themeFill="background1" w:themeFillShade="D9"/>
            <w:noWrap/>
            <w:vAlign w:val="center"/>
          </w:tcPr>
          <w:p w14:paraId="7573F972" w14:textId="21F8B18B" w:rsidR="00333A47" w:rsidRPr="00795F17" w:rsidRDefault="00333A47" w:rsidP="00A94587">
            <w:pPr>
              <w:pStyle w:val="Teksttabelinaglowek"/>
              <w:keepNext/>
            </w:pPr>
            <w:r w:rsidRPr="00795F17">
              <w:t>Dalsze występowanie presji lub niewystarczające ograniczenie jej negatywnego wpływu na stan wód</w:t>
            </w:r>
          </w:p>
        </w:tc>
      </w:tr>
      <w:tr w:rsidR="00CE597F" w:rsidRPr="00795F17" w14:paraId="5E1AA1CB" w14:textId="77777777" w:rsidTr="00674315">
        <w:trPr>
          <w:trHeight w:val="454"/>
        </w:trPr>
        <w:tc>
          <w:tcPr>
            <w:tcW w:w="3204" w:type="pct"/>
            <w:noWrap/>
            <w:vAlign w:val="center"/>
          </w:tcPr>
          <w:p w14:paraId="62DB4D12" w14:textId="77777777" w:rsidR="00CE597F" w:rsidRPr="00795F17" w:rsidRDefault="00CE597F" w:rsidP="0065243A">
            <w:pPr>
              <w:pStyle w:val="Teksttabelilewy"/>
            </w:pPr>
            <w:r w:rsidRPr="00795F17">
              <w:t>Analizowana przyczyna łącznie</w:t>
            </w:r>
          </w:p>
        </w:tc>
        <w:tc>
          <w:tcPr>
            <w:tcW w:w="861" w:type="pct"/>
            <w:noWrap/>
            <w:vAlign w:val="center"/>
          </w:tcPr>
          <w:p w14:paraId="12289C29" w14:textId="77777777" w:rsidR="00CE597F" w:rsidRPr="00795F17" w:rsidRDefault="00CE597F" w:rsidP="0065243A">
            <w:pPr>
              <w:pStyle w:val="Teksttabelisrodek"/>
            </w:pPr>
            <w:r w:rsidRPr="00795F17">
              <w:t>279</w:t>
            </w:r>
          </w:p>
        </w:tc>
        <w:tc>
          <w:tcPr>
            <w:tcW w:w="935" w:type="pct"/>
            <w:vAlign w:val="center"/>
          </w:tcPr>
          <w:p w14:paraId="3AFB8498" w14:textId="77777777" w:rsidR="00CE597F" w:rsidRPr="00795F17" w:rsidRDefault="00CE597F" w:rsidP="0065243A">
            <w:pPr>
              <w:pStyle w:val="Teksttabelisrodek"/>
            </w:pPr>
            <w:r w:rsidRPr="00795F17">
              <w:t>21,9</w:t>
            </w:r>
          </w:p>
        </w:tc>
      </w:tr>
      <w:tr w:rsidR="00CE597F" w:rsidRPr="00795F17" w14:paraId="1E300DAD" w14:textId="77777777" w:rsidTr="00674315">
        <w:trPr>
          <w:trHeight w:val="454"/>
        </w:trPr>
        <w:tc>
          <w:tcPr>
            <w:tcW w:w="3204" w:type="pct"/>
            <w:noWrap/>
            <w:vAlign w:val="center"/>
          </w:tcPr>
          <w:p w14:paraId="3EBDDC23" w14:textId="6DB24B6C" w:rsidR="00CE597F" w:rsidRPr="00795F17" w:rsidRDefault="00CE597F" w:rsidP="0065243A">
            <w:pPr>
              <w:pStyle w:val="Teksttabelilewy"/>
            </w:pPr>
            <w:r w:rsidRPr="00795F17">
              <w:t xml:space="preserve">Cel nieosiągnięty </w:t>
            </w:r>
            <w:r w:rsidR="003F2700">
              <w:t>–</w:t>
            </w:r>
            <w:r w:rsidRPr="00795F17">
              <w:t xml:space="preserve"> brak postępu</w:t>
            </w:r>
          </w:p>
        </w:tc>
        <w:tc>
          <w:tcPr>
            <w:tcW w:w="861" w:type="pct"/>
            <w:noWrap/>
            <w:vAlign w:val="center"/>
          </w:tcPr>
          <w:p w14:paraId="14B2FA11" w14:textId="77777777" w:rsidR="00CE597F" w:rsidRPr="00795F17" w:rsidRDefault="00CE597F" w:rsidP="0065243A">
            <w:pPr>
              <w:pStyle w:val="Teksttabelisrodek"/>
            </w:pPr>
            <w:r w:rsidRPr="00795F17">
              <w:t>279</w:t>
            </w:r>
          </w:p>
        </w:tc>
        <w:tc>
          <w:tcPr>
            <w:tcW w:w="935" w:type="pct"/>
            <w:vAlign w:val="center"/>
          </w:tcPr>
          <w:p w14:paraId="31301F5D" w14:textId="77777777" w:rsidR="00CE597F" w:rsidRPr="00795F17" w:rsidRDefault="00CE597F" w:rsidP="0065243A">
            <w:pPr>
              <w:pStyle w:val="Teksttabelisrodek"/>
            </w:pPr>
            <w:r w:rsidRPr="00795F17">
              <w:t>21,9</w:t>
            </w:r>
          </w:p>
        </w:tc>
      </w:tr>
      <w:tr w:rsidR="00CE597F" w:rsidRPr="00795F17" w14:paraId="5B6EC47D" w14:textId="77777777" w:rsidTr="00674315">
        <w:trPr>
          <w:trHeight w:val="454"/>
        </w:trPr>
        <w:tc>
          <w:tcPr>
            <w:tcW w:w="3204" w:type="pct"/>
            <w:noWrap/>
            <w:vAlign w:val="center"/>
          </w:tcPr>
          <w:p w14:paraId="348965FD" w14:textId="6C0454A9" w:rsidR="00CE597F" w:rsidRPr="00795F17" w:rsidRDefault="00CE597F" w:rsidP="0065243A">
            <w:pPr>
              <w:pStyle w:val="Teksttabelilewy"/>
            </w:pPr>
            <w:r w:rsidRPr="00795F17">
              <w:t xml:space="preserve">Cel nieosiągnięty </w:t>
            </w:r>
            <w:r w:rsidR="003F2700">
              <w:t>–</w:t>
            </w:r>
            <w:r w:rsidRPr="00795F17">
              <w:t xml:space="preserve"> obniżenie stanu</w:t>
            </w:r>
          </w:p>
        </w:tc>
        <w:tc>
          <w:tcPr>
            <w:tcW w:w="861" w:type="pct"/>
            <w:noWrap/>
            <w:vAlign w:val="center"/>
          </w:tcPr>
          <w:p w14:paraId="161A60F9" w14:textId="77777777" w:rsidR="00CE597F" w:rsidRPr="00795F17" w:rsidRDefault="00CE597F" w:rsidP="0065243A">
            <w:pPr>
              <w:pStyle w:val="Teksttabelisrodek"/>
            </w:pPr>
            <w:r w:rsidRPr="00795F17">
              <w:t>0</w:t>
            </w:r>
          </w:p>
        </w:tc>
        <w:tc>
          <w:tcPr>
            <w:tcW w:w="935" w:type="pct"/>
            <w:vAlign w:val="center"/>
          </w:tcPr>
          <w:p w14:paraId="0D06DD91" w14:textId="61D7C7A4" w:rsidR="00CE597F" w:rsidRPr="00795F17" w:rsidRDefault="008D43F1" w:rsidP="0065243A">
            <w:pPr>
              <w:pStyle w:val="Teksttabelisrodek"/>
            </w:pPr>
            <w:r w:rsidRPr="00795F17">
              <w:t>0,0</w:t>
            </w:r>
          </w:p>
        </w:tc>
      </w:tr>
      <w:tr w:rsidR="00CE597F" w:rsidRPr="00795F17" w14:paraId="7308C608" w14:textId="77777777" w:rsidTr="00674315">
        <w:trPr>
          <w:trHeight w:val="454"/>
        </w:trPr>
        <w:tc>
          <w:tcPr>
            <w:tcW w:w="5000" w:type="pct"/>
            <w:gridSpan w:val="3"/>
            <w:shd w:val="clear" w:color="auto" w:fill="D9D9D9" w:themeFill="background1" w:themeFillShade="D9"/>
            <w:noWrap/>
            <w:vAlign w:val="center"/>
          </w:tcPr>
          <w:p w14:paraId="4374CDD2" w14:textId="40B0437F" w:rsidR="00CE597F" w:rsidRPr="00795F17" w:rsidRDefault="00CE597F" w:rsidP="00FD5F26">
            <w:pPr>
              <w:pStyle w:val="Teksttabelinaglowek"/>
            </w:pPr>
            <w:r w:rsidRPr="00795F17">
              <w:t xml:space="preserve">Uwarunkowania zlewni (dopływ zanieczyszczeń z innego </w:t>
            </w:r>
            <w:r w:rsidR="00DF005E">
              <w:t>JCWP</w:t>
            </w:r>
            <w:r w:rsidRPr="00795F17">
              <w:t xml:space="preserve">, niski potencjał sorpcyjny </w:t>
            </w:r>
            <w:r w:rsidR="00DF005E">
              <w:t>JCWP</w:t>
            </w:r>
            <w:r w:rsidRPr="00795F17">
              <w:t>)</w:t>
            </w:r>
          </w:p>
        </w:tc>
      </w:tr>
      <w:tr w:rsidR="00CE597F" w:rsidRPr="00795F17" w14:paraId="3AB00A54" w14:textId="77777777" w:rsidTr="00674315">
        <w:trPr>
          <w:trHeight w:val="454"/>
        </w:trPr>
        <w:tc>
          <w:tcPr>
            <w:tcW w:w="3204" w:type="pct"/>
            <w:noWrap/>
            <w:vAlign w:val="center"/>
          </w:tcPr>
          <w:p w14:paraId="32A20B75" w14:textId="77777777" w:rsidR="00CE597F" w:rsidRPr="00795F17" w:rsidRDefault="00CE597F" w:rsidP="0065243A">
            <w:pPr>
              <w:pStyle w:val="Teksttabelilewy"/>
            </w:pPr>
            <w:r w:rsidRPr="00795F17">
              <w:t>Analizowana przyczyna łącznie</w:t>
            </w:r>
          </w:p>
        </w:tc>
        <w:tc>
          <w:tcPr>
            <w:tcW w:w="861" w:type="pct"/>
            <w:noWrap/>
            <w:vAlign w:val="center"/>
          </w:tcPr>
          <w:p w14:paraId="0D9E465F" w14:textId="77777777" w:rsidR="00CE597F" w:rsidRPr="00795F17" w:rsidRDefault="00CE597F" w:rsidP="0065243A">
            <w:pPr>
              <w:pStyle w:val="Teksttabelisrodek"/>
            </w:pPr>
            <w:r w:rsidRPr="00795F17">
              <w:t>76</w:t>
            </w:r>
          </w:p>
        </w:tc>
        <w:tc>
          <w:tcPr>
            <w:tcW w:w="935" w:type="pct"/>
            <w:vAlign w:val="center"/>
          </w:tcPr>
          <w:p w14:paraId="0BFE6D34" w14:textId="77777777" w:rsidR="00CE597F" w:rsidRPr="00795F17" w:rsidRDefault="00CE597F" w:rsidP="0065243A">
            <w:pPr>
              <w:pStyle w:val="Teksttabelisrodek"/>
            </w:pPr>
            <w:r w:rsidRPr="00795F17">
              <w:t>6,0</w:t>
            </w:r>
          </w:p>
        </w:tc>
      </w:tr>
      <w:tr w:rsidR="00CE597F" w:rsidRPr="00795F17" w14:paraId="4CEBD23C" w14:textId="77777777" w:rsidTr="00674315">
        <w:trPr>
          <w:trHeight w:val="454"/>
        </w:trPr>
        <w:tc>
          <w:tcPr>
            <w:tcW w:w="3204" w:type="pct"/>
            <w:noWrap/>
            <w:vAlign w:val="center"/>
          </w:tcPr>
          <w:p w14:paraId="0E891954" w14:textId="7D30BCEB" w:rsidR="00CE597F" w:rsidRPr="00795F17" w:rsidRDefault="00CE597F" w:rsidP="0065243A">
            <w:pPr>
              <w:pStyle w:val="Teksttabelilewy"/>
            </w:pPr>
            <w:r w:rsidRPr="00795F17">
              <w:t xml:space="preserve">Cel nieosiągnięty </w:t>
            </w:r>
            <w:r w:rsidR="003F2700">
              <w:t>–</w:t>
            </w:r>
            <w:r w:rsidRPr="00795F17">
              <w:t xml:space="preserve"> brak postępu</w:t>
            </w:r>
          </w:p>
        </w:tc>
        <w:tc>
          <w:tcPr>
            <w:tcW w:w="861" w:type="pct"/>
            <w:noWrap/>
            <w:vAlign w:val="center"/>
          </w:tcPr>
          <w:p w14:paraId="3C9D52B4" w14:textId="77777777" w:rsidR="00CE597F" w:rsidRPr="00795F17" w:rsidRDefault="00CE597F" w:rsidP="0065243A">
            <w:pPr>
              <w:pStyle w:val="Teksttabelisrodek"/>
            </w:pPr>
            <w:r w:rsidRPr="00795F17">
              <w:t>76</w:t>
            </w:r>
          </w:p>
        </w:tc>
        <w:tc>
          <w:tcPr>
            <w:tcW w:w="935" w:type="pct"/>
            <w:vAlign w:val="center"/>
          </w:tcPr>
          <w:p w14:paraId="7A7A9D27" w14:textId="77777777" w:rsidR="00CE597F" w:rsidRPr="00795F17" w:rsidRDefault="00CE597F" w:rsidP="0065243A">
            <w:pPr>
              <w:pStyle w:val="Teksttabelisrodek"/>
            </w:pPr>
            <w:r w:rsidRPr="00795F17">
              <w:t>6,0</w:t>
            </w:r>
          </w:p>
        </w:tc>
      </w:tr>
      <w:tr w:rsidR="00CE597F" w:rsidRPr="00795F17" w14:paraId="6056E5EC" w14:textId="77777777" w:rsidTr="00674315">
        <w:trPr>
          <w:trHeight w:val="454"/>
        </w:trPr>
        <w:tc>
          <w:tcPr>
            <w:tcW w:w="3204" w:type="pct"/>
            <w:noWrap/>
            <w:vAlign w:val="center"/>
          </w:tcPr>
          <w:p w14:paraId="0DED2563" w14:textId="51CC885E" w:rsidR="00CE597F" w:rsidRPr="00795F17" w:rsidRDefault="00CE597F" w:rsidP="0065243A">
            <w:pPr>
              <w:pStyle w:val="Teksttabelilewy"/>
            </w:pPr>
            <w:r w:rsidRPr="00795F17">
              <w:t xml:space="preserve">Cel nieosiągnięty </w:t>
            </w:r>
            <w:r w:rsidR="003F2700">
              <w:t>–</w:t>
            </w:r>
            <w:r w:rsidRPr="00795F17">
              <w:t xml:space="preserve"> obniżenie stanu</w:t>
            </w:r>
          </w:p>
        </w:tc>
        <w:tc>
          <w:tcPr>
            <w:tcW w:w="861" w:type="pct"/>
            <w:noWrap/>
            <w:vAlign w:val="center"/>
          </w:tcPr>
          <w:p w14:paraId="5DBFF56B" w14:textId="77777777" w:rsidR="00CE597F" w:rsidRPr="00795F17" w:rsidRDefault="00CE597F" w:rsidP="0065243A">
            <w:pPr>
              <w:pStyle w:val="Teksttabelisrodek"/>
            </w:pPr>
            <w:r w:rsidRPr="00795F17">
              <w:t>0</w:t>
            </w:r>
          </w:p>
        </w:tc>
        <w:tc>
          <w:tcPr>
            <w:tcW w:w="935" w:type="pct"/>
            <w:vAlign w:val="center"/>
          </w:tcPr>
          <w:p w14:paraId="2836FB64" w14:textId="28BE1A3F" w:rsidR="00CE597F" w:rsidRPr="00795F17" w:rsidRDefault="008D43F1" w:rsidP="0065243A">
            <w:pPr>
              <w:pStyle w:val="Teksttabelisrodek"/>
            </w:pPr>
            <w:r w:rsidRPr="00795F17">
              <w:t>0,0</w:t>
            </w:r>
          </w:p>
        </w:tc>
      </w:tr>
      <w:tr w:rsidR="00CE597F" w:rsidRPr="00795F17" w14:paraId="4A5ADE3B" w14:textId="77777777" w:rsidTr="00674315">
        <w:trPr>
          <w:trHeight w:val="454"/>
        </w:trPr>
        <w:tc>
          <w:tcPr>
            <w:tcW w:w="5000" w:type="pct"/>
            <w:gridSpan w:val="3"/>
            <w:shd w:val="clear" w:color="auto" w:fill="D9D9D9" w:themeFill="background1" w:themeFillShade="D9"/>
            <w:noWrap/>
            <w:vAlign w:val="center"/>
          </w:tcPr>
          <w:p w14:paraId="00BF6A3A" w14:textId="77777777" w:rsidR="00CE597F" w:rsidRPr="00795F17" w:rsidRDefault="00CE597F" w:rsidP="00FD5F26">
            <w:pPr>
              <w:pStyle w:val="Teksttabelinaglowek"/>
            </w:pPr>
            <w:r w:rsidRPr="00795F17">
              <w:t>Inne (w tym działania niewystarczające do obniżenia presji w jednym cyklu planistycznym)</w:t>
            </w:r>
          </w:p>
        </w:tc>
      </w:tr>
      <w:tr w:rsidR="00CE597F" w:rsidRPr="00795F17" w14:paraId="2724C24F" w14:textId="77777777" w:rsidTr="00674315">
        <w:trPr>
          <w:trHeight w:val="454"/>
        </w:trPr>
        <w:tc>
          <w:tcPr>
            <w:tcW w:w="3204" w:type="pct"/>
            <w:noWrap/>
            <w:vAlign w:val="center"/>
          </w:tcPr>
          <w:p w14:paraId="1B0C48E4" w14:textId="77777777" w:rsidR="00CE597F" w:rsidRPr="00795F17" w:rsidRDefault="00CE597F" w:rsidP="0065243A">
            <w:pPr>
              <w:pStyle w:val="Teksttabelilewy"/>
            </w:pPr>
            <w:r w:rsidRPr="00795F17">
              <w:t>Analizowana przyczyna łącznie</w:t>
            </w:r>
          </w:p>
        </w:tc>
        <w:tc>
          <w:tcPr>
            <w:tcW w:w="861" w:type="pct"/>
            <w:noWrap/>
            <w:vAlign w:val="center"/>
          </w:tcPr>
          <w:p w14:paraId="41550E65" w14:textId="77777777" w:rsidR="00CE597F" w:rsidRPr="00795F17" w:rsidRDefault="00CE597F" w:rsidP="0065243A">
            <w:pPr>
              <w:pStyle w:val="Teksttabelisrodek"/>
            </w:pPr>
            <w:r w:rsidRPr="00795F17">
              <w:t>201</w:t>
            </w:r>
          </w:p>
        </w:tc>
        <w:tc>
          <w:tcPr>
            <w:tcW w:w="935" w:type="pct"/>
            <w:vAlign w:val="center"/>
          </w:tcPr>
          <w:p w14:paraId="7716220A" w14:textId="77777777" w:rsidR="00CE597F" w:rsidRPr="00795F17" w:rsidRDefault="00CE597F" w:rsidP="0065243A">
            <w:pPr>
              <w:pStyle w:val="Teksttabelisrodek"/>
            </w:pPr>
            <w:r w:rsidRPr="00795F17">
              <w:t>15,8</w:t>
            </w:r>
          </w:p>
        </w:tc>
      </w:tr>
      <w:tr w:rsidR="00CE597F" w:rsidRPr="00795F17" w14:paraId="00D366C0" w14:textId="77777777" w:rsidTr="00674315">
        <w:trPr>
          <w:trHeight w:val="454"/>
        </w:trPr>
        <w:tc>
          <w:tcPr>
            <w:tcW w:w="3204" w:type="pct"/>
            <w:noWrap/>
            <w:vAlign w:val="center"/>
          </w:tcPr>
          <w:p w14:paraId="483F2119" w14:textId="2E9867E0" w:rsidR="00CE597F" w:rsidRPr="00795F17" w:rsidRDefault="00CE597F" w:rsidP="0065243A">
            <w:pPr>
              <w:pStyle w:val="Teksttabelilewy"/>
            </w:pPr>
            <w:r w:rsidRPr="00795F17">
              <w:t xml:space="preserve">Cel nieosiągnięty </w:t>
            </w:r>
            <w:r w:rsidR="003F2700">
              <w:t>–</w:t>
            </w:r>
            <w:r w:rsidRPr="00795F17">
              <w:t xml:space="preserve"> brak postępu</w:t>
            </w:r>
          </w:p>
        </w:tc>
        <w:tc>
          <w:tcPr>
            <w:tcW w:w="861" w:type="pct"/>
            <w:noWrap/>
            <w:vAlign w:val="center"/>
          </w:tcPr>
          <w:p w14:paraId="38E5921A" w14:textId="77777777" w:rsidR="00CE597F" w:rsidRPr="00795F17" w:rsidRDefault="00CE597F" w:rsidP="0065243A">
            <w:pPr>
              <w:pStyle w:val="Teksttabelisrodek"/>
            </w:pPr>
            <w:r w:rsidRPr="00795F17">
              <w:t>201</w:t>
            </w:r>
          </w:p>
        </w:tc>
        <w:tc>
          <w:tcPr>
            <w:tcW w:w="935" w:type="pct"/>
            <w:vAlign w:val="center"/>
          </w:tcPr>
          <w:p w14:paraId="5A22B700" w14:textId="77777777" w:rsidR="00CE597F" w:rsidRPr="00795F17" w:rsidRDefault="00CE597F" w:rsidP="0065243A">
            <w:pPr>
              <w:pStyle w:val="Teksttabelisrodek"/>
            </w:pPr>
            <w:r w:rsidRPr="00795F17">
              <w:t>15,8</w:t>
            </w:r>
          </w:p>
        </w:tc>
      </w:tr>
      <w:tr w:rsidR="00CE597F" w:rsidRPr="00795F17" w14:paraId="343FF0A1" w14:textId="77777777" w:rsidTr="00674315">
        <w:trPr>
          <w:trHeight w:val="454"/>
        </w:trPr>
        <w:tc>
          <w:tcPr>
            <w:tcW w:w="3204" w:type="pct"/>
            <w:noWrap/>
            <w:vAlign w:val="center"/>
          </w:tcPr>
          <w:p w14:paraId="49198EDE" w14:textId="27D5BB2B" w:rsidR="00CE597F" w:rsidRPr="00795F17" w:rsidRDefault="00CE597F" w:rsidP="0065243A">
            <w:pPr>
              <w:pStyle w:val="Teksttabelilewy"/>
            </w:pPr>
            <w:r w:rsidRPr="00795F17">
              <w:t xml:space="preserve">Cel nieosiągnięty </w:t>
            </w:r>
            <w:r w:rsidR="003F2700">
              <w:t>–</w:t>
            </w:r>
            <w:r w:rsidRPr="00795F17">
              <w:t xml:space="preserve"> obniżenie stanu</w:t>
            </w:r>
          </w:p>
        </w:tc>
        <w:tc>
          <w:tcPr>
            <w:tcW w:w="861" w:type="pct"/>
            <w:noWrap/>
            <w:vAlign w:val="center"/>
          </w:tcPr>
          <w:p w14:paraId="748AC08D" w14:textId="77777777" w:rsidR="00CE597F" w:rsidRPr="00795F17" w:rsidRDefault="00CE597F" w:rsidP="0065243A">
            <w:pPr>
              <w:pStyle w:val="Teksttabelisrodek"/>
            </w:pPr>
            <w:r w:rsidRPr="00795F17">
              <w:t>0</w:t>
            </w:r>
          </w:p>
        </w:tc>
        <w:tc>
          <w:tcPr>
            <w:tcW w:w="935" w:type="pct"/>
            <w:vAlign w:val="center"/>
          </w:tcPr>
          <w:p w14:paraId="0A09C7BA" w14:textId="44D7D77E" w:rsidR="00CE597F" w:rsidRPr="00795F17" w:rsidRDefault="008D43F1" w:rsidP="0065243A">
            <w:pPr>
              <w:pStyle w:val="Teksttabelisrodek"/>
            </w:pPr>
            <w:r w:rsidRPr="00795F17">
              <w:t>0,0</w:t>
            </w:r>
          </w:p>
        </w:tc>
      </w:tr>
    </w:tbl>
    <w:p w14:paraId="13FF23F6" w14:textId="423C4ABC" w:rsidR="00CE597F" w:rsidRPr="00795F17" w:rsidRDefault="00CE597F" w:rsidP="0044393D">
      <w:pPr>
        <w:pStyle w:val="rdo"/>
      </w:pPr>
      <w:r w:rsidRPr="00795F17">
        <w:t xml:space="preserve">Źródło: </w:t>
      </w:r>
      <w:r w:rsidR="00FD7248" w:rsidRPr="00795F17">
        <w:t>opracowanie własne</w:t>
      </w:r>
    </w:p>
    <w:p w14:paraId="697746CF" w14:textId="1AE8D668" w:rsidR="00DA4B81" w:rsidRPr="00795F17" w:rsidRDefault="00DA4B81" w:rsidP="00C53C86">
      <w:pPr>
        <w:pStyle w:val="Nagwek3"/>
      </w:pPr>
      <w:bookmarkStart w:id="471" w:name="_Toc105512668"/>
      <w:r w:rsidRPr="00795F17">
        <w:t xml:space="preserve">Ocena postępu w osiąganiu celów środowiskowych dla stanu/potencjału ekologicznego </w:t>
      </w:r>
      <w:r w:rsidR="00DF005E">
        <w:t>JCWP</w:t>
      </w:r>
      <w:r w:rsidRPr="00795F17">
        <w:t xml:space="preserve"> RWr w okresie od 2016 r. do 2021 r. wraz z wyjaśnieniem przyczyn nieosiągnięcia celów środowiskowych</w:t>
      </w:r>
      <w:bookmarkEnd w:id="471"/>
    </w:p>
    <w:p w14:paraId="1FE45EA6" w14:textId="5B82184C" w:rsidR="00DA4B81" w:rsidRPr="00795F17" w:rsidRDefault="00DA4B81" w:rsidP="00DA4B81">
      <w:pPr>
        <w:pStyle w:val="Nagwek5"/>
      </w:pPr>
      <w:bookmarkStart w:id="472" w:name="_Hlk67195608"/>
      <w:r w:rsidRPr="00795F17">
        <w:t xml:space="preserve">Ocena postępu w osiąganiu celów środowiskowych dla stanu/potencjału ekologicznego </w:t>
      </w:r>
      <w:r w:rsidR="00DF005E">
        <w:t>JCWP</w:t>
      </w:r>
      <w:r w:rsidRPr="00795F17">
        <w:t xml:space="preserve"> RW</w:t>
      </w:r>
      <w:r w:rsidR="00613564" w:rsidRPr="00795F17">
        <w:t>r</w:t>
      </w:r>
      <w:r w:rsidRPr="00795F17">
        <w:t xml:space="preserve"> (układ planistyczny aPGW</w:t>
      </w:r>
      <w:r w:rsidRPr="00795F17">
        <w:rPr>
          <w:rFonts w:cstheme="minorBidi"/>
        </w:rPr>
        <w:t>)</w:t>
      </w:r>
    </w:p>
    <w:bookmarkEnd w:id="472"/>
    <w:p w14:paraId="1F1CAFE0" w14:textId="20906AF6" w:rsidR="00117851" w:rsidRPr="00795F17" w:rsidRDefault="00613564" w:rsidP="00117851">
      <w:pPr>
        <w:spacing w:before="0" w:after="0"/>
        <w:textAlignment w:val="baseline"/>
        <w:rPr>
          <w:rFonts w:eastAsia="Times New Roman" w:cs="Calibri"/>
          <w:lang w:eastAsia="pl-PL"/>
        </w:rPr>
      </w:pPr>
      <w:r w:rsidRPr="00795F17">
        <w:rPr>
          <w:rFonts w:eastAsia="Times New Roman" w:cs="Calibri"/>
          <w:lang w:eastAsia="pl-PL"/>
        </w:rPr>
        <w:t xml:space="preserve">Jedna </w:t>
      </w:r>
      <w:r w:rsidR="00DF005E">
        <w:rPr>
          <w:rFonts w:eastAsia="Times New Roman" w:cs="Calibri"/>
          <w:lang w:eastAsia="pl-PL"/>
        </w:rPr>
        <w:t>JCWP</w:t>
      </w:r>
      <w:r w:rsidRPr="00795F17">
        <w:rPr>
          <w:rFonts w:eastAsia="Times New Roman" w:cs="Calibri"/>
          <w:lang w:eastAsia="pl-PL"/>
        </w:rPr>
        <w:t xml:space="preserve"> RWr (6% wszystkich </w:t>
      </w:r>
      <w:r w:rsidR="00DF005E">
        <w:rPr>
          <w:rFonts w:eastAsia="Times New Roman" w:cs="Calibri"/>
          <w:lang w:eastAsia="pl-PL"/>
        </w:rPr>
        <w:t>JCWP</w:t>
      </w:r>
      <w:r w:rsidRPr="00795F17">
        <w:rPr>
          <w:rFonts w:eastAsia="Times New Roman" w:cs="Calibri"/>
          <w:lang w:eastAsia="pl-PL"/>
        </w:rPr>
        <w:t xml:space="preserve"> w tym obszarze dorzecza) osiągnęła cele środowiskowe. Dobry potencjał ekologiczny utrzymała 1 </w:t>
      </w:r>
      <w:r w:rsidR="00DF005E">
        <w:rPr>
          <w:rFonts w:eastAsia="Times New Roman" w:cs="Calibri"/>
          <w:lang w:eastAsia="pl-PL"/>
        </w:rPr>
        <w:t>JCWP</w:t>
      </w:r>
      <w:r w:rsidRPr="00795F17">
        <w:rPr>
          <w:rFonts w:eastAsia="Times New Roman" w:cs="Calibri"/>
          <w:lang w:eastAsia="pl-PL"/>
        </w:rPr>
        <w:t xml:space="preserve"> </w:t>
      </w:r>
      <w:r w:rsidR="008122F8" w:rsidRPr="00795F17">
        <w:rPr>
          <w:rFonts w:eastAsia="Times New Roman" w:cs="Calibri"/>
          <w:lang w:eastAsia="pl-PL"/>
        </w:rPr>
        <w:t xml:space="preserve">RWr </w:t>
      </w:r>
      <w:r w:rsidRPr="00795F17">
        <w:rPr>
          <w:rFonts w:eastAsia="Times New Roman" w:cs="Calibri"/>
          <w:lang w:eastAsia="pl-PL"/>
        </w:rPr>
        <w:t xml:space="preserve">(3% wszystkich </w:t>
      </w:r>
      <w:r w:rsidR="00DF005E">
        <w:rPr>
          <w:rFonts w:eastAsia="Times New Roman" w:cs="Calibri"/>
          <w:lang w:eastAsia="pl-PL"/>
        </w:rPr>
        <w:t>JCWP</w:t>
      </w:r>
      <w:r w:rsidRPr="00795F17">
        <w:rPr>
          <w:rFonts w:eastAsia="Times New Roman" w:cs="Calibri"/>
          <w:lang w:eastAsia="pl-PL"/>
        </w:rPr>
        <w:t xml:space="preserve"> RWr na obszarze dorzecza Odry). W</w:t>
      </w:r>
      <w:r w:rsidR="00262FA9">
        <w:rPr>
          <w:rFonts w:eastAsia="Times New Roman" w:cs="Calibri"/>
          <w:lang w:eastAsia="pl-PL"/>
        </w:rPr>
        <w:t> </w:t>
      </w:r>
      <w:r w:rsidRPr="00795F17">
        <w:rPr>
          <w:rFonts w:eastAsia="Times New Roman" w:cs="Calibri"/>
          <w:lang w:eastAsia="pl-PL"/>
        </w:rPr>
        <w:t xml:space="preserve">przypadku 14 </w:t>
      </w:r>
      <w:r w:rsidR="00DF005E">
        <w:rPr>
          <w:rFonts w:eastAsia="Times New Roman" w:cs="Calibri"/>
          <w:lang w:eastAsia="pl-PL"/>
        </w:rPr>
        <w:t>JCWP</w:t>
      </w:r>
      <w:r w:rsidRPr="00795F17">
        <w:rPr>
          <w:rFonts w:eastAsia="Times New Roman" w:cs="Calibri"/>
          <w:lang w:eastAsia="pl-PL"/>
        </w:rPr>
        <w:t xml:space="preserve"> RWr (88%) spośród wszystkich 16 </w:t>
      </w:r>
      <w:r w:rsidR="00DF005E">
        <w:rPr>
          <w:rFonts w:eastAsia="Times New Roman" w:cs="Calibri"/>
          <w:lang w:eastAsia="pl-PL"/>
        </w:rPr>
        <w:t>JCWP</w:t>
      </w:r>
      <w:r w:rsidRPr="00795F17">
        <w:rPr>
          <w:rFonts w:eastAsia="Times New Roman" w:cs="Calibri"/>
          <w:lang w:eastAsia="pl-PL"/>
        </w:rPr>
        <w:t xml:space="preserve"> RWr </w:t>
      </w:r>
      <w:r w:rsidR="006D63D9">
        <w:rPr>
          <w:rFonts w:eastAsia="Times New Roman" w:cs="Calibri"/>
          <w:lang w:eastAsia="pl-PL"/>
        </w:rPr>
        <w:t>na</w:t>
      </w:r>
      <w:r w:rsidRPr="00795F17">
        <w:rPr>
          <w:rFonts w:eastAsia="Times New Roman" w:cs="Calibri"/>
          <w:lang w:eastAsia="pl-PL"/>
        </w:rPr>
        <w:t xml:space="preserve"> obszarze dorzecza cele środowiskowe nie zostały osiągnięte, w tym w 9 </w:t>
      </w:r>
      <w:r w:rsidR="00DF005E">
        <w:rPr>
          <w:rFonts w:eastAsia="Times New Roman" w:cs="Calibri"/>
          <w:lang w:eastAsia="pl-PL"/>
        </w:rPr>
        <w:t>JCWP</w:t>
      </w:r>
      <w:r w:rsidRPr="00795F17">
        <w:rPr>
          <w:rFonts w:eastAsia="Times New Roman" w:cs="Calibri"/>
          <w:lang w:eastAsia="pl-PL"/>
        </w:rPr>
        <w:t xml:space="preserve"> RWr (56% spośród wszystkich </w:t>
      </w:r>
      <w:r w:rsidR="00DF005E">
        <w:rPr>
          <w:rFonts w:eastAsia="Times New Roman" w:cs="Calibri"/>
          <w:lang w:eastAsia="pl-PL"/>
        </w:rPr>
        <w:t>JCWP</w:t>
      </w:r>
      <w:r w:rsidRPr="00795F17">
        <w:rPr>
          <w:rFonts w:eastAsia="Times New Roman" w:cs="Calibri"/>
          <w:lang w:eastAsia="pl-PL"/>
        </w:rPr>
        <w:t xml:space="preserve">) z powodu braku poprawy potencjału ekologicznego do dobrego i w 3 </w:t>
      </w:r>
      <w:r w:rsidR="00DF005E">
        <w:rPr>
          <w:rFonts w:eastAsia="Times New Roman" w:cs="Calibri"/>
          <w:lang w:eastAsia="pl-PL"/>
        </w:rPr>
        <w:t>JCWP</w:t>
      </w:r>
      <w:r w:rsidRPr="00795F17">
        <w:rPr>
          <w:rFonts w:eastAsia="Times New Roman" w:cs="Calibri"/>
          <w:lang w:eastAsia="pl-PL"/>
        </w:rPr>
        <w:t xml:space="preserve"> RWr (19%) z powodu pogorszenia się do potencjału ekologicznego poniżej dobrego. W przypadku 2 </w:t>
      </w:r>
      <w:r w:rsidR="00DF005E">
        <w:rPr>
          <w:rFonts w:eastAsia="Times New Roman" w:cs="Calibri"/>
          <w:lang w:eastAsia="pl-PL"/>
        </w:rPr>
        <w:t>JCWP</w:t>
      </w:r>
      <w:r w:rsidRPr="00795F17">
        <w:rPr>
          <w:rFonts w:eastAsia="Times New Roman" w:cs="Calibri"/>
          <w:lang w:eastAsia="pl-PL"/>
        </w:rPr>
        <w:t xml:space="preserve"> RWr, pomimo nieosiągnięcia celów środowiskowych, odnotowano poprawę potencjału ekologicznego.</w:t>
      </w:r>
    </w:p>
    <w:p w14:paraId="549BBB8A" w14:textId="6EF66DD7" w:rsidR="00613564" w:rsidRPr="00795F17" w:rsidRDefault="00613564" w:rsidP="00613564">
      <w:r w:rsidRPr="00795F17">
        <w:t>Wyżej opisane wyniki oceny postępu zaprezentowano w tabeli poniżej (tabela 9-</w:t>
      </w:r>
      <w:r w:rsidR="008122F8" w:rsidRPr="00795F17">
        <w:t>7</w:t>
      </w:r>
      <w:r w:rsidRPr="00795F17">
        <w:t>).</w:t>
      </w:r>
    </w:p>
    <w:p w14:paraId="127ED025" w14:textId="4ED49E91" w:rsidR="00746F81" w:rsidRPr="00795F17" w:rsidRDefault="00746F81" w:rsidP="004D7705">
      <w:pPr>
        <w:pStyle w:val="Tabela"/>
      </w:pPr>
      <w:bookmarkStart w:id="473" w:name="_Toc105512831"/>
      <w:r w:rsidRPr="00795F17">
        <w:t xml:space="preserve">Tabela </w:t>
      </w:r>
      <w:fldSimple w:instr=" STYLEREF 1 \s ">
        <w:r w:rsidR="001F774D">
          <w:rPr>
            <w:noProof/>
          </w:rPr>
          <w:t>9</w:t>
        </w:r>
      </w:fldSimple>
      <w:r w:rsidR="00BB3B21" w:rsidRPr="00795F17">
        <w:noBreakHyphen/>
      </w:r>
      <w:fldSimple w:instr=" SEQ Tabela \* ARABIC \s 1 ">
        <w:r w:rsidR="001F774D">
          <w:rPr>
            <w:noProof/>
          </w:rPr>
          <w:t>7</w:t>
        </w:r>
      </w:fldSimple>
      <w:r w:rsidR="00E76356">
        <w:rPr>
          <w:noProof/>
        </w:rPr>
        <w:t>.</w:t>
      </w:r>
      <w:r w:rsidRPr="00795F17">
        <w:tab/>
        <w:t>Ocena postępu w osiąganiu celów środowiskowych dla stanu/potencjału ekologicznego na obszarze dorzecza Odry w układzie planistycznym aPGW (2016-2021)</w:t>
      </w:r>
      <w:r w:rsidR="00026D72" w:rsidRPr="00026D72">
        <w:t xml:space="preserve"> </w:t>
      </w:r>
      <w:r w:rsidR="00026D72">
        <w:t xml:space="preserve">– </w:t>
      </w:r>
      <w:r w:rsidR="00DF005E">
        <w:t>JCWP</w:t>
      </w:r>
      <w:r w:rsidR="00026D72" w:rsidRPr="008368C5">
        <w:t xml:space="preserve"> RW</w:t>
      </w:r>
      <w:r w:rsidR="00026D72">
        <w:t>r</w:t>
      </w:r>
      <w:bookmarkEnd w:id="473"/>
    </w:p>
    <w:tbl>
      <w:tblPr>
        <w:tblW w:w="5000" w:type="pct"/>
        <w:tblLook w:val="04A0" w:firstRow="1" w:lastRow="0" w:firstColumn="1" w:lastColumn="0" w:noHBand="0" w:noVBand="1"/>
      </w:tblPr>
      <w:tblGrid>
        <w:gridCol w:w="4512"/>
        <w:gridCol w:w="1985"/>
        <w:gridCol w:w="2565"/>
      </w:tblGrid>
      <w:tr w:rsidR="00613564" w:rsidRPr="00795F17" w14:paraId="06303161" w14:textId="77777777" w:rsidTr="00D3543E">
        <w:trPr>
          <w:cantSplit/>
          <w:trHeight w:val="397"/>
          <w:tblHeader/>
        </w:trPr>
        <w:tc>
          <w:tcPr>
            <w:tcW w:w="2490"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CB82E6D" w14:textId="77777777" w:rsidR="00613564" w:rsidRPr="00795F17" w:rsidRDefault="00613564" w:rsidP="00A94587">
            <w:pPr>
              <w:pStyle w:val="Teksttabelinaglowek"/>
              <w:keepNext/>
              <w:rPr>
                <w:rFonts w:eastAsia="Times New Roman" w:cs="Calibri"/>
                <w:color w:val="000000"/>
              </w:rPr>
            </w:pPr>
            <w:r w:rsidRPr="00795F17">
              <w:t>Stopień osiągnięcia celu</w:t>
            </w:r>
          </w:p>
        </w:tc>
        <w:tc>
          <w:tcPr>
            <w:tcW w:w="109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0D9E751" w14:textId="0112A05E" w:rsidR="00613564" w:rsidRPr="00795F17" w:rsidRDefault="00613564" w:rsidP="00A94587">
            <w:pPr>
              <w:pStyle w:val="Teksttabelinaglowek"/>
              <w:keepNext/>
              <w:rPr>
                <w:rFonts w:eastAsia="Times New Roman" w:cs="Calibri"/>
                <w:color w:val="000000"/>
              </w:rPr>
            </w:pPr>
            <w:r w:rsidRPr="00795F17">
              <w:rPr>
                <w:rFonts w:cs="Calibri"/>
                <w:color w:val="000000" w:themeColor="text1"/>
                <w:lang w:val="en-US"/>
              </w:rPr>
              <w:t xml:space="preserve">Liczba </w:t>
            </w:r>
            <w:r w:rsidR="00DF005E">
              <w:rPr>
                <w:rFonts w:cs="Calibri"/>
                <w:color w:val="000000" w:themeColor="text1"/>
                <w:lang w:val="en-US"/>
              </w:rPr>
              <w:t>JCWP</w:t>
            </w:r>
            <w:r w:rsidRPr="00795F17">
              <w:rPr>
                <w:rFonts w:cs="Calibri"/>
                <w:color w:val="000000" w:themeColor="text1"/>
                <w:lang w:val="en-US"/>
              </w:rPr>
              <w:t xml:space="preserve"> RWr</w:t>
            </w:r>
          </w:p>
        </w:tc>
        <w:tc>
          <w:tcPr>
            <w:tcW w:w="14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28BBF21" w14:textId="651C54CE" w:rsidR="00613564" w:rsidRPr="00795F17" w:rsidRDefault="00613564" w:rsidP="00A94587">
            <w:pPr>
              <w:pStyle w:val="Teksttabelinaglowek"/>
              <w:keepNext/>
              <w:rPr>
                <w:rFonts w:eastAsia="Times New Roman" w:cs="Calibri"/>
                <w:color w:val="000000"/>
              </w:rPr>
            </w:pPr>
            <w:r w:rsidRPr="00795F17">
              <w:rPr>
                <w:rFonts w:cstheme="minorHAnsi"/>
              </w:rPr>
              <w:t xml:space="preserve">Udział </w:t>
            </w:r>
            <w:r w:rsidR="00DF005E">
              <w:rPr>
                <w:rFonts w:cstheme="minorHAnsi"/>
              </w:rPr>
              <w:t>JCWP</w:t>
            </w:r>
            <w:r w:rsidRPr="00795F17">
              <w:rPr>
                <w:rFonts w:cstheme="minorHAnsi"/>
              </w:rPr>
              <w:t xml:space="preserve"> (%)</w:t>
            </w:r>
          </w:p>
        </w:tc>
      </w:tr>
      <w:tr w:rsidR="001203DF" w:rsidRPr="00795F17" w14:paraId="7C728C98" w14:textId="77777777" w:rsidTr="006808CA">
        <w:trPr>
          <w:trHeight w:val="397"/>
        </w:trPr>
        <w:tc>
          <w:tcPr>
            <w:tcW w:w="2490" w:type="pct"/>
            <w:tcBorders>
              <w:top w:val="nil"/>
              <w:left w:val="single" w:sz="4" w:space="0" w:color="auto"/>
              <w:bottom w:val="single" w:sz="4" w:space="0" w:color="auto"/>
              <w:right w:val="single" w:sz="4" w:space="0" w:color="auto"/>
            </w:tcBorders>
            <w:shd w:val="clear" w:color="auto" w:fill="auto"/>
            <w:noWrap/>
            <w:vAlign w:val="center"/>
            <w:hideMark/>
          </w:tcPr>
          <w:p w14:paraId="399B11EB" w14:textId="2F63D800" w:rsidR="001203DF" w:rsidRPr="00795F17" w:rsidRDefault="001203DF" w:rsidP="001203DF">
            <w:pPr>
              <w:pStyle w:val="Teksttabelilewy"/>
              <w:keepNext/>
            </w:pPr>
            <w:r w:rsidRPr="00795F17">
              <w:t xml:space="preserve">Cel nieosiągnięty </w:t>
            </w:r>
            <w:r>
              <w:t>–</w:t>
            </w:r>
            <w:r w:rsidRPr="00795F17">
              <w:t xml:space="preserve"> brak postępu</w:t>
            </w:r>
          </w:p>
        </w:tc>
        <w:tc>
          <w:tcPr>
            <w:tcW w:w="1095" w:type="pct"/>
            <w:tcBorders>
              <w:top w:val="nil"/>
              <w:left w:val="nil"/>
              <w:bottom w:val="single" w:sz="4" w:space="0" w:color="auto"/>
              <w:right w:val="single" w:sz="4" w:space="0" w:color="auto"/>
            </w:tcBorders>
            <w:shd w:val="clear" w:color="auto" w:fill="auto"/>
            <w:noWrap/>
            <w:vAlign w:val="center"/>
            <w:hideMark/>
          </w:tcPr>
          <w:p w14:paraId="0D0B3931" w14:textId="77777777" w:rsidR="001203DF" w:rsidRPr="00795F17" w:rsidRDefault="001203DF" w:rsidP="001203DF">
            <w:pPr>
              <w:pStyle w:val="Teksttabelisrodek"/>
              <w:keepNext/>
            </w:pPr>
            <w:r w:rsidRPr="00795F17">
              <w:t>9</w:t>
            </w:r>
          </w:p>
        </w:tc>
        <w:tc>
          <w:tcPr>
            <w:tcW w:w="1415" w:type="pct"/>
            <w:tcBorders>
              <w:top w:val="nil"/>
              <w:left w:val="nil"/>
              <w:bottom w:val="single" w:sz="4" w:space="0" w:color="auto"/>
              <w:right w:val="single" w:sz="4" w:space="0" w:color="auto"/>
            </w:tcBorders>
            <w:shd w:val="clear" w:color="auto" w:fill="auto"/>
            <w:noWrap/>
            <w:vAlign w:val="bottom"/>
            <w:hideMark/>
          </w:tcPr>
          <w:p w14:paraId="029DD7F5" w14:textId="01153308" w:rsidR="001203DF" w:rsidRPr="00795F17" w:rsidRDefault="001203DF" w:rsidP="001203DF">
            <w:pPr>
              <w:pStyle w:val="Teksttabelisrodek"/>
              <w:keepNext/>
            </w:pPr>
            <w:r w:rsidRPr="001203DF">
              <w:t>56,25</w:t>
            </w:r>
          </w:p>
        </w:tc>
      </w:tr>
      <w:tr w:rsidR="001203DF" w:rsidRPr="00795F17" w14:paraId="7688AD9A" w14:textId="77777777" w:rsidTr="006808CA">
        <w:trPr>
          <w:trHeight w:val="397"/>
        </w:trPr>
        <w:tc>
          <w:tcPr>
            <w:tcW w:w="2490" w:type="pct"/>
            <w:tcBorders>
              <w:top w:val="nil"/>
              <w:left w:val="single" w:sz="4" w:space="0" w:color="auto"/>
              <w:bottom w:val="single" w:sz="4" w:space="0" w:color="auto"/>
              <w:right w:val="single" w:sz="4" w:space="0" w:color="auto"/>
            </w:tcBorders>
            <w:shd w:val="clear" w:color="auto" w:fill="auto"/>
            <w:noWrap/>
            <w:vAlign w:val="center"/>
            <w:hideMark/>
          </w:tcPr>
          <w:p w14:paraId="5188A512" w14:textId="24623DE9" w:rsidR="001203DF" w:rsidRPr="00795F17" w:rsidRDefault="001203DF" w:rsidP="001203DF">
            <w:pPr>
              <w:pStyle w:val="Teksttabelilewy"/>
            </w:pPr>
            <w:r w:rsidRPr="00795F17">
              <w:t xml:space="preserve">Cel nieosiągnięty </w:t>
            </w:r>
            <w:r>
              <w:t>–</w:t>
            </w:r>
            <w:r w:rsidRPr="00795F17">
              <w:t xml:space="preserve"> pogorszenie do stanu złego</w:t>
            </w:r>
          </w:p>
        </w:tc>
        <w:tc>
          <w:tcPr>
            <w:tcW w:w="1095" w:type="pct"/>
            <w:tcBorders>
              <w:top w:val="nil"/>
              <w:left w:val="nil"/>
              <w:bottom w:val="single" w:sz="4" w:space="0" w:color="auto"/>
              <w:right w:val="single" w:sz="4" w:space="0" w:color="auto"/>
            </w:tcBorders>
            <w:shd w:val="clear" w:color="auto" w:fill="auto"/>
            <w:noWrap/>
            <w:vAlign w:val="center"/>
            <w:hideMark/>
          </w:tcPr>
          <w:p w14:paraId="02318C11" w14:textId="77777777" w:rsidR="001203DF" w:rsidRPr="00795F17" w:rsidRDefault="001203DF" w:rsidP="001203DF">
            <w:pPr>
              <w:pStyle w:val="Teksttabelisrodek"/>
            </w:pPr>
            <w:r w:rsidRPr="00795F17">
              <w:t>3</w:t>
            </w:r>
          </w:p>
        </w:tc>
        <w:tc>
          <w:tcPr>
            <w:tcW w:w="1415" w:type="pct"/>
            <w:tcBorders>
              <w:top w:val="nil"/>
              <w:left w:val="nil"/>
              <w:bottom w:val="single" w:sz="4" w:space="0" w:color="auto"/>
              <w:right w:val="single" w:sz="4" w:space="0" w:color="auto"/>
            </w:tcBorders>
            <w:shd w:val="clear" w:color="auto" w:fill="auto"/>
            <w:noWrap/>
            <w:vAlign w:val="bottom"/>
            <w:hideMark/>
          </w:tcPr>
          <w:p w14:paraId="41D72A90" w14:textId="0A2E1615" w:rsidR="001203DF" w:rsidRPr="00795F17" w:rsidRDefault="001203DF" w:rsidP="001203DF">
            <w:pPr>
              <w:pStyle w:val="Teksttabelisrodek"/>
              <w:keepNext/>
            </w:pPr>
            <w:r w:rsidRPr="001203DF">
              <w:t>18,75</w:t>
            </w:r>
          </w:p>
        </w:tc>
      </w:tr>
      <w:tr w:rsidR="001203DF" w:rsidRPr="00795F17" w14:paraId="7C49218E" w14:textId="77777777" w:rsidTr="006808CA">
        <w:trPr>
          <w:trHeight w:val="397"/>
        </w:trPr>
        <w:tc>
          <w:tcPr>
            <w:tcW w:w="2490" w:type="pct"/>
            <w:tcBorders>
              <w:top w:val="nil"/>
              <w:left w:val="single" w:sz="4" w:space="0" w:color="auto"/>
              <w:bottom w:val="single" w:sz="4" w:space="0" w:color="auto"/>
              <w:right w:val="single" w:sz="4" w:space="0" w:color="auto"/>
            </w:tcBorders>
            <w:shd w:val="clear" w:color="auto" w:fill="auto"/>
            <w:noWrap/>
            <w:vAlign w:val="center"/>
          </w:tcPr>
          <w:p w14:paraId="30E3AFA0" w14:textId="67EDD92D" w:rsidR="001203DF" w:rsidRPr="00795F17" w:rsidRDefault="001203DF" w:rsidP="001203DF">
            <w:pPr>
              <w:pStyle w:val="Teksttabelilewy"/>
            </w:pPr>
            <w:r w:rsidRPr="00795F17">
              <w:t xml:space="preserve">Cel nieosiągnięty </w:t>
            </w:r>
            <w:r>
              <w:t>–</w:t>
            </w:r>
            <w:r w:rsidRPr="00795F17">
              <w:t xml:space="preserve"> ale poprawa stanu/potencjału</w:t>
            </w:r>
          </w:p>
        </w:tc>
        <w:tc>
          <w:tcPr>
            <w:tcW w:w="1095" w:type="pct"/>
            <w:tcBorders>
              <w:top w:val="nil"/>
              <w:left w:val="nil"/>
              <w:bottom w:val="single" w:sz="4" w:space="0" w:color="auto"/>
              <w:right w:val="single" w:sz="4" w:space="0" w:color="auto"/>
            </w:tcBorders>
            <w:shd w:val="clear" w:color="auto" w:fill="auto"/>
            <w:noWrap/>
            <w:vAlign w:val="center"/>
          </w:tcPr>
          <w:p w14:paraId="29D565C4" w14:textId="1F2A07EC" w:rsidR="001203DF" w:rsidRPr="00795F17" w:rsidRDefault="001203DF" w:rsidP="001203DF">
            <w:pPr>
              <w:pStyle w:val="Teksttabelisrodek"/>
            </w:pPr>
            <w:r w:rsidRPr="00795F17">
              <w:t>2</w:t>
            </w:r>
          </w:p>
        </w:tc>
        <w:tc>
          <w:tcPr>
            <w:tcW w:w="1415" w:type="pct"/>
            <w:tcBorders>
              <w:top w:val="nil"/>
              <w:left w:val="nil"/>
              <w:bottom w:val="single" w:sz="4" w:space="0" w:color="auto"/>
              <w:right w:val="single" w:sz="4" w:space="0" w:color="auto"/>
            </w:tcBorders>
            <w:shd w:val="clear" w:color="auto" w:fill="auto"/>
            <w:noWrap/>
            <w:vAlign w:val="bottom"/>
          </w:tcPr>
          <w:p w14:paraId="7AADE578" w14:textId="3AAACF12" w:rsidR="001203DF" w:rsidRPr="00795F17" w:rsidRDefault="001203DF" w:rsidP="001203DF">
            <w:pPr>
              <w:pStyle w:val="Teksttabelisrodek"/>
              <w:keepNext/>
            </w:pPr>
            <w:r w:rsidRPr="001203DF">
              <w:t>12,5</w:t>
            </w:r>
          </w:p>
        </w:tc>
      </w:tr>
      <w:tr w:rsidR="001203DF" w:rsidRPr="00795F17" w14:paraId="590F3127" w14:textId="77777777" w:rsidTr="006808CA">
        <w:trPr>
          <w:trHeight w:val="397"/>
        </w:trPr>
        <w:tc>
          <w:tcPr>
            <w:tcW w:w="2490" w:type="pct"/>
            <w:tcBorders>
              <w:top w:val="nil"/>
              <w:left w:val="single" w:sz="4" w:space="0" w:color="auto"/>
              <w:bottom w:val="single" w:sz="4" w:space="0" w:color="auto"/>
              <w:right w:val="single" w:sz="4" w:space="0" w:color="auto"/>
            </w:tcBorders>
            <w:shd w:val="clear" w:color="auto" w:fill="auto"/>
            <w:noWrap/>
            <w:vAlign w:val="center"/>
          </w:tcPr>
          <w:p w14:paraId="198FCD9C" w14:textId="2AB182C5" w:rsidR="001203DF" w:rsidRPr="00795F17" w:rsidRDefault="001203DF" w:rsidP="001203DF">
            <w:pPr>
              <w:pStyle w:val="Teksttabelilewy"/>
            </w:pPr>
            <w:r w:rsidRPr="00795F17">
              <w:t xml:space="preserve">Cel osiągnięty </w:t>
            </w:r>
            <w:r>
              <w:t>–</w:t>
            </w:r>
            <w:r w:rsidRPr="00795F17">
              <w:t xml:space="preserve"> utrzymanie dobrego stanu</w:t>
            </w:r>
          </w:p>
        </w:tc>
        <w:tc>
          <w:tcPr>
            <w:tcW w:w="1095" w:type="pct"/>
            <w:tcBorders>
              <w:top w:val="nil"/>
              <w:left w:val="nil"/>
              <w:bottom w:val="single" w:sz="4" w:space="0" w:color="auto"/>
              <w:right w:val="single" w:sz="4" w:space="0" w:color="auto"/>
            </w:tcBorders>
            <w:shd w:val="clear" w:color="auto" w:fill="auto"/>
            <w:noWrap/>
            <w:vAlign w:val="center"/>
          </w:tcPr>
          <w:p w14:paraId="3CCF9B3C" w14:textId="43900982" w:rsidR="001203DF" w:rsidRPr="00795F17" w:rsidRDefault="001203DF" w:rsidP="001203DF">
            <w:pPr>
              <w:pStyle w:val="Teksttabelisrodek"/>
            </w:pPr>
            <w:r w:rsidRPr="00795F17">
              <w:t>1</w:t>
            </w:r>
          </w:p>
        </w:tc>
        <w:tc>
          <w:tcPr>
            <w:tcW w:w="1415" w:type="pct"/>
            <w:tcBorders>
              <w:top w:val="nil"/>
              <w:left w:val="nil"/>
              <w:bottom w:val="single" w:sz="4" w:space="0" w:color="auto"/>
              <w:right w:val="single" w:sz="4" w:space="0" w:color="auto"/>
            </w:tcBorders>
            <w:shd w:val="clear" w:color="auto" w:fill="auto"/>
            <w:noWrap/>
            <w:vAlign w:val="bottom"/>
          </w:tcPr>
          <w:p w14:paraId="0383242B" w14:textId="56E816EF" w:rsidR="001203DF" w:rsidRPr="00795F17" w:rsidRDefault="001203DF" w:rsidP="001203DF">
            <w:pPr>
              <w:pStyle w:val="Teksttabelisrodek"/>
              <w:keepNext/>
            </w:pPr>
            <w:r w:rsidRPr="001203DF">
              <w:t>6,25</w:t>
            </w:r>
          </w:p>
        </w:tc>
      </w:tr>
      <w:tr w:rsidR="001203DF" w:rsidRPr="00795F17" w14:paraId="269CAD01" w14:textId="77777777" w:rsidTr="006808CA">
        <w:trPr>
          <w:trHeight w:val="397"/>
        </w:trPr>
        <w:tc>
          <w:tcPr>
            <w:tcW w:w="2490" w:type="pct"/>
            <w:tcBorders>
              <w:top w:val="nil"/>
              <w:left w:val="single" w:sz="4" w:space="0" w:color="auto"/>
              <w:bottom w:val="single" w:sz="4" w:space="0" w:color="auto"/>
              <w:right w:val="single" w:sz="4" w:space="0" w:color="auto"/>
            </w:tcBorders>
            <w:shd w:val="clear" w:color="auto" w:fill="auto"/>
            <w:noWrap/>
            <w:vAlign w:val="center"/>
            <w:hideMark/>
          </w:tcPr>
          <w:p w14:paraId="7478F53D" w14:textId="76F276DC" w:rsidR="001203DF" w:rsidRPr="00795F17" w:rsidRDefault="001203DF" w:rsidP="001203DF">
            <w:pPr>
              <w:pStyle w:val="Teksttabelilewy"/>
            </w:pPr>
            <w:r w:rsidRPr="00795F17">
              <w:t xml:space="preserve">Cel osiągnięty </w:t>
            </w:r>
            <w:r>
              <w:t>–</w:t>
            </w:r>
            <w:r w:rsidRPr="00795F17">
              <w:t xml:space="preserve"> poprawa stanu</w:t>
            </w:r>
          </w:p>
        </w:tc>
        <w:tc>
          <w:tcPr>
            <w:tcW w:w="1095" w:type="pct"/>
            <w:tcBorders>
              <w:top w:val="nil"/>
              <w:left w:val="nil"/>
              <w:bottom w:val="single" w:sz="4" w:space="0" w:color="auto"/>
              <w:right w:val="single" w:sz="4" w:space="0" w:color="auto"/>
            </w:tcBorders>
            <w:shd w:val="clear" w:color="auto" w:fill="auto"/>
            <w:noWrap/>
            <w:vAlign w:val="center"/>
            <w:hideMark/>
          </w:tcPr>
          <w:p w14:paraId="5F650E95" w14:textId="77777777" w:rsidR="001203DF" w:rsidRPr="00795F17" w:rsidRDefault="001203DF" w:rsidP="001203DF">
            <w:pPr>
              <w:pStyle w:val="Teksttabelisrodek"/>
            </w:pPr>
            <w:r w:rsidRPr="00795F17">
              <w:t>1</w:t>
            </w:r>
          </w:p>
        </w:tc>
        <w:tc>
          <w:tcPr>
            <w:tcW w:w="1415" w:type="pct"/>
            <w:tcBorders>
              <w:top w:val="nil"/>
              <w:left w:val="nil"/>
              <w:bottom w:val="single" w:sz="4" w:space="0" w:color="auto"/>
              <w:right w:val="single" w:sz="4" w:space="0" w:color="auto"/>
            </w:tcBorders>
            <w:shd w:val="clear" w:color="auto" w:fill="auto"/>
            <w:noWrap/>
            <w:vAlign w:val="bottom"/>
            <w:hideMark/>
          </w:tcPr>
          <w:p w14:paraId="42ED59D9" w14:textId="338D132C" w:rsidR="001203DF" w:rsidRPr="00795F17" w:rsidRDefault="001203DF" w:rsidP="001203DF">
            <w:pPr>
              <w:pStyle w:val="Teksttabelisrodek"/>
              <w:keepNext/>
            </w:pPr>
            <w:r w:rsidRPr="001203DF">
              <w:t>6,25</w:t>
            </w:r>
          </w:p>
        </w:tc>
      </w:tr>
      <w:tr w:rsidR="001203DF" w:rsidRPr="00795F17" w14:paraId="0C94DC5C" w14:textId="77777777" w:rsidTr="006808CA">
        <w:trPr>
          <w:trHeight w:val="397"/>
        </w:trPr>
        <w:tc>
          <w:tcPr>
            <w:tcW w:w="2490" w:type="pct"/>
            <w:tcBorders>
              <w:top w:val="nil"/>
              <w:left w:val="single" w:sz="4" w:space="0" w:color="auto"/>
              <w:bottom w:val="single" w:sz="4" w:space="0" w:color="auto"/>
              <w:right w:val="single" w:sz="4" w:space="0" w:color="auto"/>
            </w:tcBorders>
            <w:shd w:val="clear" w:color="auto" w:fill="auto"/>
            <w:noWrap/>
            <w:vAlign w:val="center"/>
          </w:tcPr>
          <w:p w14:paraId="6540487A" w14:textId="010A6047" w:rsidR="001203DF" w:rsidRPr="00795F17" w:rsidRDefault="001203DF" w:rsidP="001203DF">
            <w:pPr>
              <w:pStyle w:val="Teksttabelilewy"/>
            </w:pPr>
            <w:r w:rsidRPr="00795F17">
              <w:t>Brak możliwości oceny postępu</w:t>
            </w:r>
          </w:p>
        </w:tc>
        <w:tc>
          <w:tcPr>
            <w:tcW w:w="1095" w:type="pct"/>
            <w:tcBorders>
              <w:top w:val="nil"/>
              <w:left w:val="nil"/>
              <w:bottom w:val="single" w:sz="4" w:space="0" w:color="auto"/>
              <w:right w:val="single" w:sz="4" w:space="0" w:color="auto"/>
            </w:tcBorders>
            <w:shd w:val="clear" w:color="auto" w:fill="auto"/>
            <w:noWrap/>
            <w:vAlign w:val="center"/>
          </w:tcPr>
          <w:p w14:paraId="6E29614F" w14:textId="55621D4D" w:rsidR="001203DF" w:rsidRPr="00795F17" w:rsidRDefault="001203DF" w:rsidP="001203DF">
            <w:pPr>
              <w:pStyle w:val="Teksttabelisrodek"/>
            </w:pPr>
            <w:r w:rsidRPr="00795F17">
              <w:t>0</w:t>
            </w:r>
          </w:p>
        </w:tc>
        <w:tc>
          <w:tcPr>
            <w:tcW w:w="1415" w:type="pct"/>
            <w:tcBorders>
              <w:top w:val="nil"/>
              <w:left w:val="nil"/>
              <w:bottom w:val="single" w:sz="4" w:space="0" w:color="auto"/>
              <w:right w:val="single" w:sz="4" w:space="0" w:color="auto"/>
            </w:tcBorders>
            <w:shd w:val="clear" w:color="auto" w:fill="auto"/>
            <w:noWrap/>
            <w:vAlign w:val="bottom"/>
          </w:tcPr>
          <w:p w14:paraId="4487109B" w14:textId="5253F889" w:rsidR="001203DF" w:rsidRPr="00795F17" w:rsidRDefault="001203DF" w:rsidP="001203DF">
            <w:pPr>
              <w:pStyle w:val="Teksttabelisrodek"/>
              <w:keepNext/>
            </w:pPr>
            <w:r w:rsidRPr="001203DF">
              <w:t>0,00</w:t>
            </w:r>
          </w:p>
        </w:tc>
      </w:tr>
      <w:tr w:rsidR="00746F81" w:rsidRPr="00795F17" w14:paraId="363EB464" w14:textId="77777777" w:rsidTr="009D729B">
        <w:trPr>
          <w:trHeight w:val="397"/>
        </w:trPr>
        <w:tc>
          <w:tcPr>
            <w:tcW w:w="2490" w:type="pct"/>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614A1959" w14:textId="7426E1A6" w:rsidR="00746F81" w:rsidRPr="00795F17" w:rsidRDefault="00746F81" w:rsidP="00746F81">
            <w:pPr>
              <w:pStyle w:val="Teksttabelinaglowek"/>
            </w:pPr>
            <w:r w:rsidRPr="00795F17">
              <w:t xml:space="preserve">Liczba </w:t>
            </w:r>
            <w:r w:rsidR="00DF005E">
              <w:t>JCWP</w:t>
            </w:r>
            <w:r w:rsidRPr="00795F17">
              <w:t xml:space="preserve"> RWr </w:t>
            </w:r>
            <w:r w:rsidR="00F728A8">
              <w:t>na</w:t>
            </w:r>
            <w:r w:rsidRPr="00795F17">
              <w:t xml:space="preserve"> obszarze dorzecza</w:t>
            </w:r>
          </w:p>
        </w:tc>
        <w:tc>
          <w:tcPr>
            <w:tcW w:w="1095" w:type="pct"/>
            <w:tcBorders>
              <w:top w:val="nil"/>
              <w:left w:val="nil"/>
              <w:bottom w:val="single" w:sz="4" w:space="0" w:color="auto"/>
              <w:right w:val="single" w:sz="4" w:space="0" w:color="auto"/>
            </w:tcBorders>
            <w:shd w:val="clear" w:color="auto" w:fill="BFBFBF" w:themeFill="background1" w:themeFillShade="BF"/>
            <w:noWrap/>
            <w:vAlign w:val="center"/>
            <w:hideMark/>
          </w:tcPr>
          <w:p w14:paraId="72BB4ED6" w14:textId="77777777" w:rsidR="00746F81" w:rsidRPr="00795F17" w:rsidRDefault="00746F81" w:rsidP="00746F81">
            <w:pPr>
              <w:pStyle w:val="Teksttabelinaglowek"/>
              <w:rPr>
                <w:rFonts w:eastAsia="Times New Roman" w:cs="Calibri"/>
                <w:color w:val="000000"/>
              </w:rPr>
            </w:pPr>
            <w:r w:rsidRPr="00795F17">
              <w:rPr>
                <w:rFonts w:eastAsia="Times New Roman" w:cs="Calibri"/>
                <w:color w:val="000000"/>
              </w:rPr>
              <w:t>16</w:t>
            </w:r>
          </w:p>
        </w:tc>
        <w:tc>
          <w:tcPr>
            <w:tcW w:w="1415" w:type="pct"/>
            <w:tcBorders>
              <w:top w:val="nil"/>
              <w:left w:val="nil"/>
              <w:bottom w:val="single" w:sz="4" w:space="0" w:color="auto"/>
              <w:right w:val="single" w:sz="4" w:space="0" w:color="auto"/>
            </w:tcBorders>
            <w:shd w:val="clear" w:color="auto" w:fill="BFBFBF" w:themeFill="background1" w:themeFillShade="BF"/>
            <w:noWrap/>
            <w:vAlign w:val="center"/>
            <w:hideMark/>
          </w:tcPr>
          <w:p w14:paraId="16CC49FA" w14:textId="3F17C51D" w:rsidR="00746F81" w:rsidRPr="00795F17" w:rsidRDefault="00746F81" w:rsidP="00746F81">
            <w:pPr>
              <w:pStyle w:val="Teksttabelinaglowek"/>
              <w:rPr>
                <w:rFonts w:eastAsia="Times New Roman" w:cs="Calibri"/>
                <w:color w:val="000000"/>
              </w:rPr>
            </w:pPr>
            <w:r w:rsidRPr="00795F17">
              <w:rPr>
                <w:rFonts w:eastAsia="Times New Roman" w:cs="Calibri"/>
                <w:color w:val="000000"/>
              </w:rPr>
              <w:t>100</w:t>
            </w:r>
          </w:p>
        </w:tc>
      </w:tr>
    </w:tbl>
    <w:p w14:paraId="53FFA37A" w14:textId="2AAAF6EE" w:rsidR="00613564" w:rsidRPr="00795F17" w:rsidRDefault="00746F81" w:rsidP="00746F81">
      <w:pPr>
        <w:pStyle w:val="rdo"/>
      </w:pPr>
      <w:r w:rsidRPr="00795F17">
        <w:t>Źródło: opracowanie własne</w:t>
      </w:r>
      <w:r w:rsidR="00FE25FC" w:rsidRPr="00795F17">
        <w:t xml:space="preserve"> na podstawie danych GIOŚ</w:t>
      </w:r>
    </w:p>
    <w:p w14:paraId="1FE68FCD" w14:textId="5D059320" w:rsidR="00DA4B81" w:rsidRPr="00795F17" w:rsidRDefault="00DA4B81" w:rsidP="00DA4B81">
      <w:pPr>
        <w:pStyle w:val="Nagwek5"/>
      </w:pPr>
      <w:r w:rsidRPr="00795F17">
        <w:t xml:space="preserve">Ocena postępu w osiąganiu celów środowiskowych dla stanu/potencjału ekologicznego </w:t>
      </w:r>
      <w:r w:rsidR="00DF005E">
        <w:t>JCWP</w:t>
      </w:r>
      <w:r w:rsidRPr="00795F17">
        <w:t xml:space="preserve"> RWr (</w:t>
      </w:r>
      <w:r w:rsidRPr="00795F17">
        <w:rPr>
          <w:rFonts w:cstheme="minorBidi"/>
        </w:rPr>
        <w:t xml:space="preserve">aktualny </w:t>
      </w:r>
      <w:r w:rsidRPr="00795F17">
        <w:t>układ planistyczny IIaPGW)</w:t>
      </w:r>
    </w:p>
    <w:p w14:paraId="6B27659D" w14:textId="3E74F709" w:rsidR="00DA4B81" w:rsidRPr="00795F17" w:rsidRDefault="00DA4B81" w:rsidP="00DA4B81">
      <w:r w:rsidRPr="00795F17">
        <w:t xml:space="preserve">Osiągnięcie celów środowiskowych miało miejsce w 7 </w:t>
      </w:r>
      <w:r w:rsidR="00DF005E">
        <w:t>JCWP</w:t>
      </w:r>
      <w:r w:rsidRPr="00795F17">
        <w:t xml:space="preserve"> </w:t>
      </w:r>
      <w:r w:rsidR="008122F8" w:rsidRPr="00795F17">
        <w:t xml:space="preserve">RWr </w:t>
      </w:r>
      <w:r w:rsidRPr="00795F17">
        <w:t xml:space="preserve">(36,8% wszystkich </w:t>
      </w:r>
      <w:r w:rsidR="00DF005E">
        <w:t>JCWP</w:t>
      </w:r>
      <w:r w:rsidRPr="00795F17">
        <w:t xml:space="preserve"> </w:t>
      </w:r>
      <w:r w:rsidR="008122F8" w:rsidRPr="00795F17">
        <w:t>RWr</w:t>
      </w:r>
      <w:r w:rsidRPr="00795F17">
        <w:t xml:space="preserve"> w</w:t>
      </w:r>
      <w:r w:rsidR="001B15D5">
        <w:t xml:space="preserve"> </w:t>
      </w:r>
      <w:r w:rsidRPr="00795F17">
        <w:t xml:space="preserve">tym </w:t>
      </w:r>
      <w:r w:rsidR="00562274">
        <w:t xml:space="preserve">obszarze </w:t>
      </w:r>
      <w:r w:rsidRPr="00795F17">
        <w:t>dorzecz</w:t>
      </w:r>
      <w:r w:rsidR="00562274">
        <w:t>a</w:t>
      </w:r>
      <w:r w:rsidRPr="00795F17">
        <w:t xml:space="preserve">), w tym w efekcie utrzymania i poprawy do dobrego potencjału ekologicznego </w:t>
      </w:r>
      <w:r w:rsidR="003F2700">
        <w:t>–</w:t>
      </w:r>
      <w:r w:rsidRPr="00795F17">
        <w:t xml:space="preserve"> odpowiednio 3 i 4 </w:t>
      </w:r>
      <w:r w:rsidR="00DF005E">
        <w:t>JCWP</w:t>
      </w:r>
      <w:r w:rsidRPr="00795F17">
        <w:t xml:space="preserve">. Cele środowiskowe nie zostały osiągnięte w </w:t>
      </w:r>
      <w:r w:rsidR="00771046" w:rsidRPr="00795F17">
        <w:t xml:space="preserve">10 </w:t>
      </w:r>
      <w:r w:rsidR="00DF005E">
        <w:t>JCWP</w:t>
      </w:r>
      <w:r w:rsidRPr="00795F17">
        <w:t xml:space="preserve"> </w:t>
      </w:r>
      <w:r w:rsidR="00C04C70" w:rsidRPr="00795F17">
        <w:t>RWr</w:t>
      </w:r>
      <w:r w:rsidRPr="00795F17">
        <w:t xml:space="preserve"> </w:t>
      </w:r>
      <w:r w:rsidR="00F728A8">
        <w:t>na</w:t>
      </w:r>
      <w:r w:rsidR="008122F8" w:rsidRPr="00795F17">
        <w:t xml:space="preserve"> obszarze </w:t>
      </w:r>
      <w:r w:rsidRPr="00795F17">
        <w:t>dorzecz</w:t>
      </w:r>
      <w:r w:rsidR="008122F8" w:rsidRPr="00795F17">
        <w:t>a</w:t>
      </w:r>
      <w:r w:rsidRPr="00795F17">
        <w:t xml:space="preserve"> Odry, w tym w </w:t>
      </w:r>
      <w:r w:rsidR="00771046" w:rsidRPr="00795F17">
        <w:t xml:space="preserve">9 </w:t>
      </w:r>
      <w:r w:rsidR="00DF005E">
        <w:t>JCWP</w:t>
      </w:r>
      <w:r w:rsidR="008122F8" w:rsidRPr="00795F17">
        <w:t xml:space="preserve"> RWr</w:t>
      </w:r>
      <w:r w:rsidRPr="00795F17">
        <w:t xml:space="preserve"> z powodu braku postępu w ich osiąganiu i w 1 </w:t>
      </w:r>
      <w:r w:rsidR="00DF005E">
        <w:t>JCWP</w:t>
      </w:r>
      <w:r w:rsidR="008122F8" w:rsidRPr="00795F17">
        <w:t xml:space="preserve"> RWr </w:t>
      </w:r>
      <w:r w:rsidRPr="00795F17">
        <w:t>z</w:t>
      </w:r>
      <w:r w:rsidR="00771046" w:rsidRPr="00795F17">
        <w:t> </w:t>
      </w:r>
      <w:r w:rsidRPr="00795F17">
        <w:t xml:space="preserve">powodu pogorszenia się potencjału ekologicznego. W odniesieniu do 2 </w:t>
      </w:r>
      <w:r w:rsidR="00DF005E">
        <w:t>JCWP</w:t>
      </w:r>
      <w:r w:rsidRPr="00795F17">
        <w:t xml:space="preserve"> </w:t>
      </w:r>
      <w:r w:rsidR="008122F8" w:rsidRPr="00795F17">
        <w:t xml:space="preserve">RWr </w:t>
      </w:r>
      <w:r w:rsidRPr="00795F17">
        <w:t>(10,5%</w:t>
      </w:r>
      <w:r w:rsidR="001B15D5">
        <w:t> </w:t>
      </w:r>
      <w:r w:rsidRPr="00795F17">
        <w:t xml:space="preserve">wszystkich </w:t>
      </w:r>
      <w:r w:rsidR="00DF005E">
        <w:t>JCWP</w:t>
      </w:r>
      <w:r w:rsidRPr="00795F17">
        <w:t xml:space="preserve"> </w:t>
      </w:r>
      <w:r w:rsidR="008122F8" w:rsidRPr="00795F17">
        <w:t xml:space="preserve">RWr </w:t>
      </w:r>
      <w:r w:rsidR="00F728A8">
        <w:t>na</w:t>
      </w:r>
      <w:r w:rsidRPr="00795F17">
        <w:t xml:space="preserve"> </w:t>
      </w:r>
      <w:r w:rsidR="00562274">
        <w:t xml:space="preserve">obszarze </w:t>
      </w:r>
      <w:r w:rsidRPr="00795F17">
        <w:t>dorzecz</w:t>
      </w:r>
      <w:r w:rsidR="00562274">
        <w:t>a</w:t>
      </w:r>
      <w:r w:rsidRPr="00795F17">
        <w:t xml:space="preserve"> Odry) brak było możliwości oceny postępu w osiąganiu celów środowiskowych. </w:t>
      </w:r>
    </w:p>
    <w:p w14:paraId="61723670" w14:textId="5426DCFD" w:rsidR="00DA4B81" w:rsidRPr="00795F17" w:rsidRDefault="00DA4B81" w:rsidP="00DA4B81">
      <w:pPr>
        <w:rPr>
          <w:i/>
        </w:rPr>
      </w:pPr>
      <w:r w:rsidRPr="00795F17">
        <w:t>Wyżej opisane wyniki oceny postępu zaprezentowano w tabeli poniżej (tabela 9-</w:t>
      </w:r>
      <w:r w:rsidR="008122F8" w:rsidRPr="00795F17">
        <w:t>8</w:t>
      </w:r>
      <w:r w:rsidRPr="00795F17">
        <w:t>).</w:t>
      </w:r>
    </w:p>
    <w:p w14:paraId="759F5102" w14:textId="4DD40D2C" w:rsidR="00DA4B81" w:rsidRPr="00795F17" w:rsidRDefault="00DA4B81" w:rsidP="004D7705">
      <w:pPr>
        <w:pStyle w:val="Tabela"/>
      </w:pPr>
      <w:bookmarkStart w:id="474" w:name="_Toc105512832"/>
      <w:r w:rsidRPr="00795F17">
        <w:t xml:space="preserve">Tabela </w:t>
      </w:r>
      <w:fldSimple w:instr=" STYLEREF 1 \s ">
        <w:r w:rsidR="001F774D">
          <w:rPr>
            <w:noProof/>
          </w:rPr>
          <w:t>9</w:t>
        </w:r>
      </w:fldSimple>
      <w:r w:rsidR="00BB3B21" w:rsidRPr="00795F17">
        <w:noBreakHyphen/>
      </w:r>
      <w:fldSimple w:instr=" SEQ Tabela \* ARABIC \s 1 ">
        <w:r w:rsidR="001F774D">
          <w:rPr>
            <w:noProof/>
          </w:rPr>
          <w:t>8</w:t>
        </w:r>
      </w:fldSimple>
      <w:r w:rsidR="00E76356">
        <w:rPr>
          <w:noProof/>
        </w:rPr>
        <w:t>.</w:t>
      </w:r>
      <w:r w:rsidRPr="00795F17">
        <w:tab/>
        <w:t>Ocena postępu w osiąganiu celów środowiskowych dla stanu/potencjału ekologicznego na obszarze dorzecza Odry w układzie planistycznym IIaPGW (cykl planistyczny 2022</w:t>
      </w:r>
      <w:r w:rsidR="003F2700">
        <w:t>–</w:t>
      </w:r>
      <w:r w:rsidRPr="00795F17">
        <w:t>2027)</w:t>
      </w:r>
      <w:r w:rsidR="00026D72">
        <w:t xml:space="preserve"> – </w:t>
      </w:r>
      <w:r w:rsidR="006E71B4">
        <w:t> </w:t>
      </w:r>
      <w:r w:rsidR="00DF005E">
        <w:t>JCWP</w:t>
      </w:r>
      <w:r w:rsidR="00026D72" w:rsidRPr="008368C5">
        <w:t xml:space="preserve"> RW</w:t>
      </w:r>
      <w:r w:rsidR="00026D72">
        <w:t>r</w:t>
      </w:r>
      <w:bookmarkEnd w:id="474"/>
    </w:p>
    <w:tbl>
      <w:tblPr>
        <w:tblStyle w:val="Tabela-Siatka"/>
        <w:tblW w:w="5000" w:type="pct"/>
        <w:tblLayout w:type="fixed"/>
        <w:tblLook w:val="04A0" w:firstRow="1" w:lastRow="0" w:firstColumn="1" w:lastColumn="0" w:noHBand="0" w:noVBand="1"/>
      </w:tblPr>
      <w:tblGrid>
        <w:gridCol w:w="5801"/>
        <w:gridCol w:w="1630"/>
        <w:gridCol w:w="1631"/>
      </w:tblGrid>
      <w:tr w:rsidR="00DA4B81" w:rsidRPr="00795F17" w14:paraId="457716BE" w14:textId="77777777" w:rsidTr="00113002">
        <w:trPr>
          <w:cnfStyle w:val="100000000000" w:firstRow="1" w:lastRow="0" w:firstColumn="0" w:lastColumn="0" w:oddVBand="0" w:evenVBand="0" w:oddHBand="0" w:evenHBand="0" w:firstRowFirstColumn="0" w:firstRowLastColumn="0" w:lastRowFirstColumn="0" w:lastRowLastColumn="0"/>
          <w:trHeight w:val="454"/>
        </w:trPr>
        <w:tc>
          <w:tcPr>
            <w:tcW w:w="5801" w:type="dxa"/>
            <w:noWrap/>
            <w:hideMark/>
          </w:tcPr>
          <w:p w14:paraId="7BF3B043" w14:textId="77777777" w:rsidR="00DA4B81" w:rsidRPr="00795F17" w:rsidRDefault="00DA4B81" w:rsidP="00DA4B81">
            <w:pPr>
              <w:pStyle w:val="Teksttabelinaglowek"/>
              <w:rPr>
                <w:b/>
              </w:rPr>
            </w:pPr>
            <w:r w:rsidRPr="00795F17">
              <w:rPr>
                <w:b/>
              </w:rPr>
              <w:t>Stopień osiągnięcia celu</w:t>
            </w:r>
          </w:p>
        </w:tc>
        <w:tc>
          <w:tcPr>
            <w:tcW w:w="1630" w:type="dxa"/>
            <w:noWrap/>
            <w:hideMark/>
          </w:tcPr>
          <w:p w14:paraId="4EBDE1F7" w14:textId="4317A0F3" w:rsidR="00DA4B81" w:rsidRPr="00795F17" w:rsidRDefault="00DA4B81" w:rsidP="00DA4B81">
            <w:pPr>
              <w:pStyle w:val="Teksttabelinaglowek"/>
              <w:rPr>
                <w:b/>
              </w:rPr>
            </w:pPr>
            <w:r w:rsidRPr="00795F17">
              <w:rPr>
                <w:b/>
              </w:rPr>
              <w:t xml:space="preserve">Liczba </w:t>
            </w:r>
            <w:r w:rsidR="00DF005E">
              <w:rPr>
                <w:b/>
              </w:rPr>
              <w:t>JCWP</w:t>
            </w:r>
            <w:r w:rsidRPr="00795F17">
              <w:rPr>
                <w:b/>
              </w:rPr>
              <w:t xml:space="preserve"> RW</w:t>
            </w:r>
            <w:r w:rsidR="00285D58" w:rsidRPr="00795F17">
              <w:rPr>
                <w:b/>
              </w:rPr>
              <w:t>r</w:t>
            </w:r>
          </w:p>
        </w:tc>
        <w:tc>
          <w:tcPr>
            <w:tcW w:w="1631" w:type="dxa"/>
            <w:noWrap/>
            <w:hideMark/>
          </w:tcPr>
          <w:p w14:paraId="6592A2A9" w14:textId="4A570919" w:rsidR="00DA4B81" w:rsidRPr="00795F17" w:rsidRDefault="00DA4B81" w:rsidP="00DA4B81">
            <w:pPr>
              <w:pStyle w:val="Teksttabelinaglowek"/>
              <w:rPr>
                <w:b/>
              </w:rPr>
            </w:pPr>
            <w:r w:rsidRPr="00795F17">
              <w:rPr>
                <w:b/>
              </w:rPr>
              <w:t xml:space="preserve">Udział </w:t>
            </w:r>
            <w:r w:rsidR="00DF005E">
              <w:rPr>
                <w:b/>
              </w:rPr>
              <w:t>JCWP</w:t>
            </w:r>
            <w:r w:rsidRPr="00795F17">
              <w:rPr>
                <w:b/>
              </w:rPr>
              <w:t xml:space="preserve"> (%)</w:t>
            </w:r>
          </w:p>
        </w:tc>
      </w:tr>
      <w:tr w:rsidR="00771046" w:rsidRPr="00795F17" w14:paraId="3BF88024" w14:textId="77777777" w:rsidTr="00795F17">
        <w:trPr>
          <w:trHeight w:val="454"/>
        </w:trPr>
        <w:tc>
          <w:tcPr>
            <w:tcW w:w="5801" w:type="dxa"/>
            <w:shd w:val="clear" w:color="auto" w:fill="auto"/>
            <w:noWrap/>
          </w:tcPr>
          <w:p w14:paraId="04B05FB4" w14:textId="4C81FA2E" w:rsidR="00771046" w:rsidRPr="00795F17" w:rsidRDefault="00771046" w:rsidP="00771046">
            <w:pPr>
              <w:pStyle w:val="Teksttabelilewy"/>
            </w:pPr>
            <w:r w:rsidRPr="00795F17">
              <w:t xml:space="preserve">Cel środowiskowy dla stanu/potencjału ekologicznego nieosiągnięty </w:t>
            </w:r>
            <w:r w:rsidR="003F2700">
              <w:t>–</w:t>
            </w:r>
            <w:r w:rsidRPr="00795F17">
              <w:t xml:space="preserve"> brak postępu</w:t>
            </w:r>
            <w:r w:rsidRPr="00795F17">
              <w:rPr>
                <w:rStyle w:val="Nagwek3Znak"/>
                <w:rFonts w:cs="Calibri"/>
                <w:b w:val="0"/>
                <w:bCs/>
                <w:sz w:val="22"/>
                <w:szCs w:val="22"/>
              </w:rPr>
              <w:t> </w:t>
            </w:r>
          </w:p>
        </w:tc>
        <w:tc>
          <w:tcPr>
            <w:tcW w:w="1630" w:type="dxa"/>
            <w:shd w:val="clear" w:color="auto" w:fill="auto"/>
            <w:noWrap/>
          </w:tcPr>
          <w:p w14:paraId="7D542659" w14:textId="29214B93" w:rsidR="00771046" w:rsidRPr="00795F17" w:rsidRDefault="00771046" w:rsidP="00771046">
            <w:pPr>
              <w:pStyle w:val="Teksttabelisrodek"/>
            </w:pPr>
            <w:r w:rsidRPr="00795F17">
              <w:t>9</w:t>
            </w:r>
          </w:p>
        </w:tc>
        <w:tc>
          <w:tcPr>
            <w:tcW w:w="1631" w:type="dxa"/>
            <w:shd w:val="clear" w:color="auto" w:fill="auto"/>
            <w:noWrap/>
          </w:tcPr>
          <w:p w14:paraId="205019BF" w14:textId="4353FCF4" w:rsidR="00771046" w:rsidRPr="00795F17" w:rsidRDefault="00771046" w:rsidP="00771046">
            <w:pPr>
              <w:pStyle w:val="Teksttabelisrodek"/>
            </w:pPr>
            <w:r w:rsidRPr="00795F17">
              <w:t>47,37</w:t>
            </w:r>
          </w:p>
        </w:tc>
      </w:tr>
      <w:tr w:rsidR="00771046" w:rsidRPr="00795F17" w14:paraId="0D9B98AE" w14:textId="77777777" w:rsidTr="00795F17">
        <w:trPr>
          <w:trHeight w:val="454"/>
        </w:trPr>
        <w:tc>
          <w:tcPr>
            <w:tcW w:w="5801" w:type="dxa"/>
            <w:shd w:val="clear" w:color="auto" w:fill="auto"/>
            <w:noWrap/>
            <w:hideMark/>
          </w:tcPr>
          <w:p w14:paraId="4758B10E" w14:textId="316787A2" w:rsidR="00771046" w:rsidRPr="00795F17" w:rsidRDefault="00771046" w:rsidP="00771046">
            <w:pPr>
              <w:pStyle w:val="Teksttabelilewy"/>
            </w:pPr>
            <w:r w:rsidRPr="00795F17">
              <w:t xml:space="preserve">Cel środowiskowy dla stanu/potencjału ekologicznego nieosiągnięty </w:t>
            </w:r>
            <w:r w:rsidR="003F2700">
              <w:t>–</w:t>
            </w:r>
            <w:r w:rsidRPr="00795F17">
              <w:t xml:space="preserve"> pogorszenie do stanu/potencjału poniżej dobrego</w:t>
            </w:r>
          </w:p>
        </w:tc>
        <w:tc>
          <w:tcPr>
            <w:tcW w:w="1630" w:type="dxa"/>
            <w:shd w:val="clear" w:color="auto" w:fill="auto"/>
            <w:noWrap/>
            <w:hideMark/>
          </w:tcPr>
          <w:p w14:paraId="308D46F8" w14:textId="7CCF15F8" w:rsidR="00771046" w:rsidRPr="00795F17" w:rsidRDefault="00771046" w:rsidP="00771046">
            <w:pPr>
              <w:pStyle w:val="Teksttabelisrodek"/>
            </w:pPr>
            <w:r w:rsidRPr="00795F17">
              <w:t>1</w:t>
            </w:r>
          </w:p>
        </w:tc>
        <w:tc>
          <w:tcPr>
            <w:tcW w:w="1631" w:type="dxa"/>
            <w:shd w:val="clear" w:color="auto" w:fill="auto"/>
            <w:noWrap/>
            <w:hideMark/>
          </w:tcPr>
          <w:p w14:paraId="36E86C9D" w14:textId="081C00E6" w:rsidR="00771046" w:rsidRPr="00795F17" w:rsidRDefault="00771046" w:rsidP="00771046">
            <w:pPr>
              <w:pStyle w:val="Teksttabelisrodek"/>
            </w:pPr>
            <w:r w:rsidRPr="00795F17">
              <w:t>5,26</w:t>
            </w:r>
          </w:p>
        </w:tc>
      </w:tr>
      <w:tr w:rsidR="00771046" w:rsidRPr="00795F17" w14:paraId="714E64E8" w14:textId="77777777" w:rsidTr="00795F17">
        <w:trPr>
          <w:trHeight w:val="454"/>
        </w:trPr>
        <w:tc>
          <w:tcPr>
            <w:tcW w:w="5801" w:type="dxa"/>
            <w:shd w:val="clear" w:color="auto" w:fill="auto"/>
            <w:noWrap/>
            <w:hideMark/>
          </w:tcPr>
          <w:p w14:paraId="253D164B" w14:textId="6BCB3248" w:rsidR="00771046" w:rsidRPr="00795F17" w:rsidRDefault="00771046" w:rsidP="00771046">
            <w:pPr>
              <w:pStyle w:val="Teksttabelilewy"/>
            </w:pPr>
            <w:r w:rsidRPr="00795F17">
              <w:t xml:space="preserve">Cel środowiskowy dla stanu/potencjału ekologicznego nieosiągnięty </w:t>
            </w:r>
            <w:r w:rsidR="003F2700">
              <w:t>–</w:t>
            </w:r>
            <w:r w:rsidRPr="00795F17">
              <w:t xml:space="preserve"> ale poprawa stanu/potencjału </w:t>
            </w:r>
          </w:p>
        </w:tc>
        <w:tc>
          <w:tcPr>
            <w:tcW w:w="1630" w:type="dxa"/>
            <w:shd w:val="clear" w:color="auto" w:fill="auto"/>
            <w:noWrap/>
            <w:hideMark/>
          </w:tcPr>
          <w:p w14:paraId="338CEEDF" w14:textId="355B2C61" w:rsidR="00771046" w:rsidRPr="00795F17" w:rsidRDefault="00771046" w:rsidP="00771046">
            <w:pPr>
              <w:pStyle w:val="Teksttabelisrodek"/>
            </w:pPr>
            <w:r w:rsidRPr="00795F17">
              <w:t>0</w:t>
            </w:r>
          </w:p>
        </w:tc>
        <w:tc>
          <w:tcPr>
            <w:tcW w:w="1631" w:type="dxa"/>
            <w:shd w:val="clear" w:color="auto" w:fill="auto"/>
            <w:noWrap/>
            <w:hideMark/>
          </w:tcPr>
          <w:p w14:paraId="40B4C09F" w14:textId="05C26141" w:rsidR="00771046" w:rsidRPr="00795F17" w:rsidRDefault="00771046" w:rsidP="00771046">
            <w:pPr>
              <w:pStyle w:val="Teksttabelisrodek"/>
            </w:pPr>
            <w:r w:rsidRPr="00795F17">
              <w:t>0,00</w:t>
            </w:r>
          </w:p>
        </w:tc>
      </w:tr>
      <w:tr w:rsidR="00771046" w:rsidRPr="00795F17" w14:paraId="7B5FFC67" w14:textId="77777777" w:rsidTr="00795F17">
        <w:trPr>
          <w:trHeight w:val="454"/>
        </w:trPr>
        <w:tc>
          <w:tcPr>
            <w:tcW w:w="5801" w:type="dxa"/>
            <w:shd w:val="clear" w:color="auto" w:fill="auto"/>
            <w:noWrap/>
            <w:hideMark/>
          </w:tcPr>
          <w:p w14:paraId="67820D9E" w14:textId="6D54EB97" w:rsidR="00771046" w:rsidRPr="00795F17" w:rsidRDefault="00771046" w:rsidP="00771046">
            <w:pPr>
              <w:pStyle w:val="Teksttabelilewy"/>
            </w:pPr>
            <w:r w:rsidRPr="00795F17">
              <w:t xml:space="preserve">Cel środowiskowy dla stanu/potencjału ekologicznego osiągnięty </w:t>
            </w:r>
            <w:r w:rsidRPr="00795F17">
              <w:br/>
            </w:r>
            <w:r w:rsidR="003F2700">
              <w:t>–</w:t>
            </w:r>
            <w:r w:rsidRPr="00795F17">
              <w:t xml:space="preserve"> utrzymanie dobrego stanu</w:t>
            </w:r>
            <w:r w:rsidRPr="00795F17">
              <w:rPr>
                <w:rStyle w:val="Nagwek3Znak"/>
                <w:rFonts w:cs="Calibri"/>
                <w:b w:val="0"/>
                <w:bCs/>
                <w:sz w:val="22"/>
                <w:szCs w:val="22"/>
              </w:rPr>
              <w:t> </w:t>
            </w:r>
          </w:p>
        </w:tc>
        <w:tc>
          <w:tcPr>
            <w:tcW w:w="1630" w:type="dxa"/>
            <w:shd w:val="clear" w:color="auto" w:fill="auto"/>
            <w:noWrap/>
            <w:hideMark/>
          </w:tcPr>
          <w:p w14:paraId="035151A0" w14:textId="1C8F2566" w:rsidR="00771046" w:rsidRPr="00795F17" w:rsidRDefault="00771046" w:rsidP="00771046">
            <w:pPr>
              <w:pStyle w:val="Teksttabelisrodek"/>
            </w:pPr>
            <w:r w:rsidRPr="00795F17">
              <w:t>3</w:t>
            </w:r>
          </w:p>
        </w:tc>
        <w:tc>
          <w:tcPr>
            <w:tcW w:w="1631" w:type="dxa"/>
            <w:shd w:val="clear" w:color="auto" w:fill="auto"/>
            <w:noWrap/>
            <w:hideMark/>
          </w:tcPr>
          <w:p w14:paraId="61B517D4" w14:textId="0D19B031" w:rsidR="00771046" w:rsidRPr="00795F17" w:rsidRDefault="00771046" w:rsidP="00771046">
            <w:pPr>
              <w:pStyle w:val="Teksttabelisrodek"/>
            </w:pPr>
            <w:r w:rsidRPr="00795F17">
              <w:t>15,79</w:t>
            </w:r>
          </w:p>
        </w:tc>
      </w:tr>
      <w:tr w:rsidR="00771046" w:rsidRPr="00795F17" w14:paraId="6C3D9A2D" w14:textId="77777777" w:rsidTr="00795F17">
        <w:trPr>
          <w:trHeight w:val="454"/>
        </w:trPr>
        <w:tc>
          <w:tcPr>
            <w:tcW w:w="5801" w:type="dxa"/>
            <w:shd w:val="clear" w:color="auto" w:fill="auto"/>
            <w:noWrap/>
            <w:hideMark/>
          </w:tcPr>
          <w:p w14:paraId="2C62EAD6" w14:textId="6DDEEE5F" w:rsidR="00771046" w:rsidRPr="00795F17" w:rsidRDefault="00771046" w:rsidP="00771046">
            <w:pPr>
              <w:pStyle w:val="Teksttabelilewy"/>
            </w:pPr>
            <w:r w:rsidRPr="00795F17">
              <w:t xml:space="preserve">Cel środowiskowy dla stanu/potencjału ekologicznego osiągnięty </w:t>
            </w:r>
            <w:r w:rsidRPr="00795F17">
              <w:br/>
            </w:r>
            <w:r w:rsidR="003F2700">
              <w:t>–</w:t>
            </w:r>
            <w:r w:rsidRPr="00795F17">
              <w:t xml:space="preserve"> poprawa stanu</w:t>
            </w:r>
            <w:r w:rsidRPr="00795F17">
              <w:rPr>
                <w:rStyle w:val="Nagwek3Znak"/>
                <w:rFonts w:cs="Calibri"/>
                <w:b w:val="0"/>
                <w:bCs/>
                <w:sz w:val="22"/>
                <w:szCs w:val="22"/>
              </w:rPr>
              <w:t> </w:t>
            </w:r>
          </w:p>
        </w:tc>
        <w:tc>
          <w:tcPr>
            <w:tcW w:w="1630" w:type="dxa"/>
            <w:shd w:val="clear" w:color="auto" w:fill="auto"/>
            <w:noWrap/>
            <w:hideMark/>
          </w:tcPr>
          <w:p w14:paraId="69D7F17A" w14:textId="225B3AF0" w:rsidR="00771046" w:rsidRPr="00795F17" w:rsidRDefault="00771046" w:rsidP="00771046">
            <w:pPr>
              <w:pStyle w:val="Teksttabelisrodek"/>
            </w:pPr>
            <w:r w:rsidRPr="00795F17">
              <w:t>4</w:t>
            </w:r>
          </w:p>
        </w:tc>
        <w:tc>
          <w:tcPr>
            <w:tcW w:w="1631" w:type="dxa"/>
            <w:shd w:val="clear" w:color="auto" w:fill="auto"/>
            <w:noWrap/>
            <w:hideMark/>
          </w:tcPr>
          <w:p w14:paraId="1C57B814" w14:textId="2D88F668" w:rsidR="00771046" w:rsidRPr="00795F17" w:rsidRDefault="00771046" w:rsidP="00771046">
            <w:pPr>
              <w:pStyle w:val="Teksttabelisrodek"/>
            </w:pPr>
            <w:r w:rsidRPr="00795F17">
              <w:t>21,05</w:t>
            </w:r>
          </w:p>
        </w:tc>
      </w:tr>
      <w:tr w:rsidR="00771046" w:rsidRPr="00795F17" w14:paraId="1D9253D5" w14:textId="77777777" w:rsidTr="00795F17">
        <w:trPr>
          <w:trHeight w:val="454"/>
        </w:trPr>
        <w:tc>
          <w:tcPr>
            <w:tcW w:w="5801" w:type="dxa"/>
            <w:shd w:val="clear" w:color="auto" w:fill="auto"/>
            <w:noWrap/>
            <w:hideMark/>
          </w:tcPr>
          <w:p w14:paraId="1250920F" w14:textId="77777777" w:rsidR="00771046" w:rsidRPr="00795F17" w:rsidRDefault="00771046" w:rsidP="00771046">
            <w:pPr>
              <w:pStyle w:val="Teksttabelilewy"/>
            </w:pPr>
            <w:r w:rsidRPr="00795F17">
              <w:t>Brak możliwości oceny postępu w osiąganiu celów środowiskowych</w:t>
            </w:r>
            <w:r w:rsidRPr="00795F17">
              <w:rPr>
                <w:rStyle w:val="Nagwek3Znak"/>
                <w:rFonts w:cs="Calibri"/>
                <w:b w:val="0"/>
                <w:bCs/>
                <w:sz w:val="22"/>
                <w:szCs w:val="22"/>
              </w:rPr>
              <w:t> </w:t>
            </w:r>
          </w:p>
        </w:tc>
        <w:tc>
          <w:tcPr>
            <w:tcW w:w="1630" w:type="dxa"/>
            <w:shd w:val="clear" w:color="auto" w:fill="auto"/>
            <w:noWrap/>
            <w:hideMark/>
          </w:tcPr>
          <w:p w14:paraId="37FFF788" w14:textId="59326DD1" w:rsidR="00771046" w:rsidRPr="00795F17" w:rsidRDefault="00771046" w:rsidP="00771046">
            <w:pPr>
              <w:pStyle w:val="Teksttabelisrodek"/>
            </w:pPr>
            <w:r w:rsidRPr="00795F17">
              <w:t>2</w:t>
            </w:r>
          </w:p>
        </w:tc>
        <w:tc>
          <w:tcPr>
            <w:tcW w:w="1631" w:type="dxa"/>
            <w:shd w:val="clear" w:color="auto" w:fill="auto"/>
            <w:noWrap/>
            <w:hideMark/>
          </w:tcPr>
          <w:p w14:paraId="71C7EB14" w14:textId="7A61CCDE" w:rsidR="00771046" w:rsidRPr="00795F17" w:rsidRDefault="00771046" w:rsidP="00771046">
            <w:pPr>
              <w:pStyle w:val="Teksttabelisrodek"/>
            </w:pPr>
            <w:r w:rsidRPr="00795F17">
              <w:t>10,53</w:t>
            </w:r>
          </w:p>
        </w:tc>
      </w:tr>
      <w:tr w:rsidR="00DA4B81" w:rsidRPr="00795F17" w14:paraId="49EA9079" w14:textId="77777777" w:rsidTr="00113002">
        <w:trPr>
          <w:trHeight w:val="454"/>
        </w:trPr>
        <w:tc>
          <w:tcPr>
            <w:tcW w:w="5801" w:type="dxa"/>
            <w:shd w:val="clear" w:color="auto" w:fill="BFBFBF" w:themeFill="background1" w:themeFillShade="BF"/>
            <w:noWrap/>
            <w:hideMark/>
          </w:tcPr>
          <w:p w14:paraId="11A6C5B5" w14:textId="3C5288F6" w:rsidR="00DA4B81" w:rsidRPr="00795F17" w:rsidRDefault="00DA4B81" w:rsidP="00DA4B81">
            <w:pPr>
              <w:pStyle w:val="Teksttabelinaglowek"/>
              <w:rPr>
                <w:rFonts w:eastAsia="Times New Roman" w:cstheme="minorHAnsi"/>
              </w:rPr>
            </w:pPr>
            <w:r w:rsidRPr="00795F17">
              <w:t xml:space="preserve">Liczba </w:t>
            </w:r>
            <w:r w:rsidR="00DF005E">
              <w:t>JCWP</w:t>
            </w:r>
            <w:r w:rsidRPr="00795F17">
              <w:t xml:space="preserve"> RW</w:t>
            </w:r>
            <w:r w:rsidR="00746F81" w:rsidRPr="00795F17">
              <w:t>r</w:t>
            </w:r>
            <w:r w:rsidRPr="00795F17">
              <w:t xml:space="preserve"> </w:t>
            </w:r>
            <w:r w:rsidR="00F728A8">
              <w:t>na</w:t>
            </w:r>
            <w:r w:rsidRPr="00795F17">
              <w:t xml:space="preserve"> obszarze dorzecza</w:t>
            </w:r>
            <w:r w:rsidRPr="00795F17">
              <w:rPr>
                <w:rFonts w:eastAsia="Times New Roman" w:cstheme="minorHAnsi"/>
              </w:rPr>
              <w:t xml:space="preserve"> </w:t>
            </w:r>
          </w:p>
        </w:tc>
        <w:tc>
          <w:tcPr>
            <w:tcW w:w="1630" w:type="dxa"/>
            <w:shd w:val="clear" w:color="auto" w:fill="BFBFBF" w:themeFill="background1" w:themeFillShade="BF"/>
            <w:noWrap/>
            <w:hideMark/>
          </w:tcPr>
          <w:p w14:paraId="45FB747D" w14:textId="574E3ECE" w:rsidR="00DA4B81" w:rsidRPr="00795F17" w:rsidRDefault="00771046" w:rsidP="00DA4B81">
            <w:pPr>
              <w:pStyle w:val="Teksttabelinaglowek"/>
            </w:pPr>
            <w:r w:rsidRPr="00795F17">
              <w:t>19</w:t>
            </w:r>
          </w:p>
        </w:tc>
        <w:tc>
          <w:tcPr>
            <w:tcW w:w="1631" w:type="dxa"/>
            <w:shd w:val="clear" w:color="auto" w:fill="BFBFBF" w:themeFill="background1" w:themeFillShade="BF"/>
            <w:noWrap/>
            <w:hideMark/>
          </w:tcPr>
          <w:p w14:paraId="5AB0C10A" w14:textId="6B1ABA42" w:rsidR="00DA4B81" w:rsidRPr="00795F17" w:rsidRDefault="00DA4B81" w:rsidP="00DA4B81">
            <w:pPr>
              <w:pStyle w:val="Teksttabelinaglowek"/>
            </w:pPr>
            <w:r w:rsidRPr="00795F17">
              <w:t>100</w:t>
            </w:r>
          </w:p>
        </w:tc>
      </w:tr>
    </w:tbl>
    <w:p w14:paraId="46B544C1" w14:textId="49309046" w:rsidR="00DA4B81" w:rsidRPr="00795F17" w:rsidRDefault="00DA4B81" w:rsidP="00DA4B81">
      <w:pPr>
        <w:pStyle w:val="rdo"/>
      </w:pPr>
      <w:r w:rsidRPr="00795F17">
        <w:t xml:space="preserve">Źródło: </w:t>
      </w:r>
      <w:r w:rsidR="00724997" w:rsidRPr="00795F17">
        <w:t>opracowanie własne</w:t>
      </w:r>
      <w:r w:rsidRPr="00795F17">
        <w:t xml:space="preserve"> na podstawie danych GIOŚ </w:t>
      </w:r>
    </w:p>
    <w:p w14:paraId="331B6EF0" w14:textId="2E0E3940" w:rsidR="00DA4B81" w:rsidRPr="00795F17" w:rsidRDefault="00D511B0" w:rsidP="00DA4B81">
      <w:r w:rsidRPr="00795F17">
        <w:t xml:space="preserve">Najczęstszą przyczyną nieosiągnięcia celów środowiskowych w 9 </w:t>
      </w:r>
      <w:r w:rsidR="00DF005E">
        <w:t>JCWP</w:t>
      </w:r>
      <w:r w:rsidRPr="00795F17">
        <w:t xml:space="preserve"> </w:t>
      </w:r>
      <w:r w:rsidR="008122F8" w:rsidRPr="00795F17">
        <w:t xml:space="preserve">RWr </w:t>
      </w:r>
      <w:r w:rsidRPr="00795F17">
        <w:t xml:space="preserve">położonych </w:t>
      </w:r>
      <w:r w:rsidR="00F728A8">
        <w:t>na</w:t>
      </w:r>
      <w:r w:rsidR="008122F8" w:rsidRPr="00795F17">
        <w:t xml:space="preserve"> obszarze</w:t>
      </w:r>
      <w:r w:rsidRPr="00795F17">
        <w:t xml:space="preserve"> dorzecz</w:t>
      </w:r>
      <w:r w:rsidR="008122F8" w:rsidRPr="00795F17">
        <w:t>a</w:t>
      </w:r>
      <w:r w:rsidRPr="00795F17">
        <w:t xml:space="preserve"> Odry był zbyt krótki okres od wdrożenia działań, które nie doprowadziły do wystarczającej redukcji presji. W 3 </w:t>
      </w:r>
      <w:r w:rsidR="00DF005E">
        <w:t>JCWP</w:t>
      </w:r>
      <w:r w:rsidRPr="00795F17">
        <w:t xml:space="preserve"> </w:t>
      </w:r>
      <w:r w:rsidR="008122F8" w:rsidRPr="00795F17">
        <w:t xml:space="preserve">RWr </w:t>
      </w:r>
      <w:r w:rsidRPr="00795F17">
        <w:t>(33,3%) przyczyną był brak postępu w osiąganiu dobrego potencjału</w:t>
      </w:r>
      <w:r w:rsidR="008122F8" w:rsidRPr="00795F17">
        <w:t>,</w:t>
      </w:r>
      <w:r w:rsidRPr="00795F17">
        <w:t xml:space="preserve"> a</w:t>
      </w:r>
      <w:r w:rsidR="008122F8" w:rsidRPr="00795F17">
        <w:t> </w:t>
      </w:r>
      <w:r w:rsidRPr="00795F17">
        <w:t xml:space="preserve">dla kolejnych 6 </w:t>
      </w:r>
      <w:r w:rsidR="00DF005E">
        <w:t>JCWP</w:t>
      </w:r>
      <w:r w:rsidRPr="00795F17">
        <w:t xml:space="preserve"> </w:t>
      </w:r>
      <w:r w:rsidR="00DB7515" w:rsidRPr="00795F17">
        <w:t xml:space="preserve">RWr </w:t>
      </w:r>
      <w:r w:rsidRPr="00795F17">
        <w:t xml:space="preserve">(66,7%) przyczyną było obniżenie potencjału ekologicznego. Kolejną przyczyną, która miała wpływ na nieosiągnięcie celów środowiskowych 4 </w:t>
      </w:r>
      <w:r w:rsidR="00DF005E">
        <w:t>JCWP</w:t>
      </w:r>
      <w:r w:rsidRPr="00795F17">
        <w:t xml:space="preserve"> </w:t>
      </w:r>
      <w:r w:rsidR="00DB7515" w:rsidRPr="00795F17">
        <w:t>RWr</w:t>
      </w:r>
      <w:r w:rsidRPr="00795F17">
        <w:t xml:space="preserve"> były słaby stopień realizacji lub skuteczności działań z aPWŚK, który dla 1 spośród tych </w:t>
      </w:r>
      <w:r w:rsidR="00DF005E">
        <w:t>JCWP</w:t>
      </w:r>
      <w:r w:rsidRPr="00795F17">
        <w:t xml:space="preserve"> </w:t>
      </w:r>
      <w:r w:rsidR="00DB7515" w:rsidRPr="00795F17">
        <w:t xml:space="preserve">RWr </w:t>
      </w:r>
      <w:r w:rsidR="003F2700">
        <w:t>–</w:t>
      </w:r>
      <w:r w:rsidRPr="00795F17">
        <w:t xml:space="preserve"> 25%, był przyczyną braku postępu w osiąganiu dobrego potencjału, a dla kolejnych 3 </w:t>
      </w:r>
      <w:r w:rsidR="00DF005E">
        <w:t>JCWP</w:t>
      </w:r>
      <w:r w:rsidRPr="00795F17">
        <w:t xml:space="preserve"> </w:t>
      </w:r>
      <w:r w:rsidR="00DB7515" w:rsidRPr="00795F17">
        <w:t xml:space="preserve">RWr </w:t>
      </w:r>
      <w:r w:rsidR="003F2700">
        <w:t>–</w:t>
      </w:r>
      <w:r w:rsidRPr="00795F17">
        <w:t xml:space="preserve"> 75%</w:t>
      </w:r>
      <w:r w:rsidR="00DB7515" w:rsidRPr="00795F17">
        <w:t>,</w:t>
      </w:r>
      <w:r w:rsidRPr="00795F17">
        <w:t xml:space="preserve"> obniżenia potencjału ekologicznego. W efekcie uwarunkowań środowiskowych (naturalnych) takich jak dopływ zanieczyszczeń z innych </w:t>
      </w:r>
      <w:r w:rsidR="00DF005E">
        <w:t>JCWP</w:t>
      </w:r>
      <w:r w:rsidRPr="00795F17">
        <w:t xml:space="preserve"> i niski potencjał sorpcyjny, nastąpił brak postępu w osiąganiu dobrego potencjału w 2 </w:t>
      </w:r>
      <w:r w:rsidR="00DF005E">
        <w:t>JCWP</w:t>
      </w:r>
      <w:r w:rsidR="00DB7515" w:rsidRPr="00795F17">
        <w:t xml:space="preserve"> RWr</w:t>
      </w:r>
      <w:r w:rsidRPr="00795F17">
        <w:t xml:space="preserve"> i obniżenie potencjału ekologicznego w kolejnych 2 </w:t>
      </w:r>
      <w:r w:rsidR="00DF005E">
        <w:t>JCWP</w:t>
      </w:r>
      <w:r w:rsidR="00DB7515" w:rsidRPr="00795F17">
        <w:t xml:space="preserve"> RWr</w:t>
      </w:r>
      <w:r w:rsidRPr="00795F17">
        <w:t xml:space="preserve">. Poza wymienionymi, także zmiany legislacyjne, takie jak zmiana wartości granicznych klas i typologii abiotycznej przyczyniły się do nieosiągnięcia celów środowiskowych w 2 </w:t>
      </w:r>
      <w:r w:rsidR="00DF005E">
        <w:t>JCWP</w:t>
      </w:r>
      <w:r w:rsidRPr="00795F17">
        <w:t xml:space="preserve"> </w:t>
      </w:r>
      <w:r w:rsidR="00DB7515" w:rsidRPr="00795F17">
        <w:t>RWr</w:t>
      </w:r>
      <w:r w:rsidRPr="00795F17">
        <w:t>.</w:t>
      </w:r>
    </w:p>
    <w:p w14:paraId="3E7BCA53" w14:textId="74857CD3" w:rsidR="00DA4B81" w:rsidRPr="00795F17" w:rsidRDefault="00DA4B81" w:rsidP="00DA4B81">
      <w:pPr>
        <w:rPr>
          <w:i/>
        </w:rPr>
      </w:pPr>
      <w:r w:rsidRPr="00795F17">
        <w:t xml:space="preserve">Wyniki analizy przyczyn nieosiągnięcia celów środowiskowych przez </w:t>
      </w:r>
      <w:r w:rsidR="00DF005E">
        <w:t>JCWP</w:t>
      </w:r>
      <w:r w:rsidRPr="00795F17">
        <w:t xml:space="preserve"> RW</w:t>
      </w:r>
      <w:r w:rsidR="00DB7515" w:rsidRPr="00795F17">
        <w:t>r</w:t>
      </w:r>
      <w:r w:rsidRPr="00795F17">
        <w:t xml:space="preserve"> przedstawiono w poniższej tabeli (tabela 9-</w:t>
      </w:r>
      <w:r w:rsidR="00B3309A" w:rsidRPr="00795F17">
        <w:t>9</w:t>
      </w:r>
      <w:r w:rsidRPr="00795F17">
        <w:t>).</w:t>
      </w:r>
    </w:p>
    <w:p w14:paraId="2E0DA387" w14:textId="5B0A2B6C" w:rsidR="00DA4B81" w:rsidRPr="00795F17" w:rsidRDefault="00DA4B81" w:rsidP="004D7705">
      <w:pPr>
        <w:pStyle w:val="Tabela"/>
      </w:pPr>
      <w:bookmarkStart w:id="475" w:name="_Toc105512833"/>
      <w:r w:rsidRPr="00795F17">
        <w:t xml:space="preserve">Tabela </w:t>
      </w:r>
      <w:fldSimple w:instr=" STYLEREF 1 \s ">
        <w:r w:rsidR="001F774D">
          <w:rPr>
            <w:noProof/>
          </w:rPr>
          <w:t>9</w:t>
        </w:r>
      </w:fldSimple>
      <w:r w:rsidR="00BB3B21" w:rsidRPr="00795F17">
        <w:noBreakHyphen/>
      </w:r>
      <w:fldSimple w:instr=" SEQ Tabela \* ARABIC \s 1 ">
        <w:r w:rsidR="001F774D">
          <w:rPr>
            <w:noProof/>
          </w:rPr>
          <w:t>9</w:t>
        </w:r>
      </w:fldSimple>
      <w:r w:rsidR="00E76356">
        <w:rPr>
          <w:noProof/>
        </w:rPr>
        <w:t>.</w:t>
      </w:r>
      <w:r w:rsidRPr="00795F17">
        <w:tab/>
        <w:t xml:space="preserve">Analiza przyczyn wpływających na brak postępu w osiąganiu celów środowiskowych dla stanu/potencjału ekologicznego </w:t>
      </w:r>
      <w:r w:rsidR="00F728A8">
        <w:t>na</w:t>
      </w:r>
      <w:r w:rsidRPr="00795F17">
        <w:t xml:space="preserve"> obszarze dorzecza Odry (bazując na nowym </w:t>
      </w:r>
      <w:r w:rsidRPr="00795F17">
        <w:rPr>
          <w:rFonts w:asciiTheme="minorHAnsi" w:hAnsiTheme="minorHAnsi"/>
        </w:rPr>
        <w:t xml:space="preserve">układzie planistycznym </w:t>
      </w:r>
      <w:r w:rsidRPr="00795F17">
        <w:rPr>
          <w:rFonts w:asciiTheme="minorHAnsi" w:hAnsiTheme="minorHAnsi" w:cstheme="minorHAnsi"/>
        </w:rPr>
        <w:t>IIaPGW)</w:t>
      </w:r>
      <w:r w:rsidRPr="00795F17">
        <w:t xml:space="preserve"> </w:t>
      </w:r>
      <w:r w:rsidR="003F2700">
        <w:t>–</w:t>
      </w:r>
      <w:r w:rsidRPr="00795F17">
        <w:t xml:space="preserve"> </w:t>
      </w:r>
      <w:r w:rsidR="00DF005E">
        <w:t>JCWP</w:t>
      </w:r>
      <w:r w:rsidRPr="00795F17">
        <w:t xml:space="preserve"> RW</w:t>
      </w:r>
      <w:r w:rsidR="00D511B0" w:rsidRPr="00795F17">
        <w:t>r</w:t>
      </w:r>
      <w:bookmarkEnd w:id="4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1"/>
        <w:gridCol w:w="1440"/>
        <w:gridCol w:w="1371"/>
      </w:tblGrid>
      <w:tr w:rsidR="008D43F1" w:rsidRPr="00795F17" w14:paraId="31F85FA9" w14:textId="77777777" w:rsidTr="008D43F1">
        <w:trPr>
          <w:trHeight w:val="454"/>
          <w:tblHeader/>
        </w:trPr>
        <w:tc>
          <w:tcPr>
            <w:tcW w:w="5000" w:type="pct"/>
            <w:gridSpan w:val="3"/>
            <w:shd w:val="clear" w:color="auto" w:fill="BFBFBF" w:themeFill="background1" w:themeFillShade="BF"/>
            <w:noWrap/>
            <w:vAlign w:val="center"/>
            <w:hideMark/>
          </w:tcPr>
          <w:p w14:paraId="5C472F8F" w14:textId="77777777" w:rsidR="008D43F1" w:rsidRPr="00795F17" w:rsidRDefault="008D43F1" w:rsidP="00DA4B81">
            <w:pPr>
              <w:pStyle w:val="Teksttabelinaglowek"/>
              <w:keepNext/>
            </w:pPr>
            <w:r w:rsidRPr="00795F17">
              <w:t>Analiza przyczyn braku postępu w osiąganiu celu środowiskowego dla stanu/potencjału ekologicznego</w:t>
            </w:r>
          </w:p>
        </w:tc>
      </w:tr>
      <w:tr w:rsidR="008D43F1" w:rsidRPr="00795F17" w14:paraId="35B46299" w14:textId="77777777" w:rsidTr="008D43F1">
        <w:trPr>
          <w:trHeight w:val="454"/>
          <w:tblHeader/>
        </w:trPr>
        <w:tc>
          <w:tcPr>
            <w:tcW w:w="3299" w:type="pct"/>
            <w:shd w:val="clear" w:color="auto" w:fill="BFBFBF" w:themeFill="background1" w:themeFillShade="BF"/>
            <w:noWrap/>
            <w:vAlign w:val="center"/>
            <w:hideMark/>
          </w:tcPr>
          <w:p w14:paraId="207AA0A7" w14:textId="77777777" w:rsidR="008D43F1" w:rsidRPr="00795F17" w:rsidRDefault="008D43F1" w:rsidP="00DA4B81">
            <w:pPr>
              <w:pStyle w:val="Teksttabelinaglowek"/>
              <w:keepNext/>
            </w:pPr>
            <w:r w:rsidRPr="00795F17">
              <w:t>Przyczyna braku postępu</w:t>
            </w:r>
          </w:p>
        </w:tc>
        <w:tc>
          <w:tcPr>
            <w:tcW w:w="898" w:type="pct"/>
            <w:shd w:val="clear" w:color="auto" w:fill="BFBFBF" w:themeFill="background1" w:themeFillShade="BF"/>
            <w:noWrap/>
            <w:vAlign w:val="center"/>
            <w:hideMark/>
          </w:tcPr>
          <w:p w14:paraId="1B71DA5F" w14:textId="04379213" w:rsidR="008D43F1" w:rsidRPr="00795F17" w:rsidRDefault="008D43F1" w:rsidP="00DA4B81">
            <w:pPr>
              <w:pStyle w:val="Teksttabelinaglowek"/>
              <w:keepNext/>
            </w:pPr>
            <w:r w:rsidRPr="00795F17">
              <w:t xml:space="preserve">Liczba </w:t>
            </w:r>
            <w:r w:rsidR="00DF005E">
              <w:t>JCWP</w:t>
            </w:r>
            <w:r w:rsidRPr="00795F17">
              <w:t xml:space="preserve"> RWr</w:t>
            </w:r>
          </w:p>
        </w:tc>
        <w:tc>
          <w:tcPr>
            <w:tcW w:w="803" w:type="pct"/>
            <w:shd w:val="clear" w:color="auto" w:fill="BFBFBF" w:themeFill="background1" w:themeFillShade="BF"/>
            <w:noWrap/>
            <w:vAlign w:val="center"/>
            <w:hideMark/>
          </w:tcPr>
          <w:p w14:paraId="79D32EB9" w14:textId="052B1F70" w:rsidR="008D43F1" w:rsidRPr="00795F17" w:rsidRDefault="008D43F1" w:rsidP="00DA4B81">
            <w:pPr>
              <w:pStyle w:val="Teksttabelinaglowek"/>
              <w:keepNext/>
            </w:pPr>
            <w:r w:rsidRPr="00795F17">
              <w:t xml:space="preserve">Udział </w:t>
            </w:r>
            <w:r w:rsidR="00DF005E">
              <w:t>JCWP</w:t>
            </w:r>
            <w:r w:rsidRPr="00795F17">
              <w:t xml:space="preserve"> (%)</w:t>
            </w:r>
          </w:p>
        </w:tc>
      </w:tr>
      <w:tr w:rsidR="008D43F1" w:rsidRPr="00795F17" w14:paraId="3A0ED003" w14:textId="77777777" w:rsidTr="008D43F1">
        <w:trPr>
          <w:trHeight w:val="454"/>
        </w:trPr>
        <w:tc>
          <w:tcPr>
            <w:tcW w:w="5000" w:type="pct"/>
            <w:gridSpan w:val="3"/>
            <w:shd w:val="clear" w:color="auto" w:fill="D9D9D9" w:themeFill="background1" w:themeFillShade="D9"/>
            <w:vAlign w:val="center"/>
            <w:hideMark/>
          </w:tcPr>
          <w:p w14:paraId="643756EE" w14:textId="77777777" w:rsidR="008D43F1" w:rsidRPr="00795F17" w:rsidRDefault="008D43F1" w:rsidP="00DA4B81">
            <w:pPr>
              <w:pStyle w:val="Teksttabelisrodek"/>
            </w:pPr>
            <w:r w:rsidRPr="00795F17">
              <w:t>Zmiany legislacyjne (zmiana wartości granicznych klas, typologii abiotycznej)</w:t>
            </w:r>
          </w:p>
        </w:tc>
      </w:tr>
      <w:tr w:rsidR="008D43F1" w:rsidRPr="00795F17" w14:paraId="5BA7DF16" w14:textId="77777777" w:rsidTr="008D43F1">
        <w:trPr>
          <w:trHeight w:val="454"/>
        </w:trPr>
        <w:tc>
          <w:tcPr>
            <w:tcW w:w="3299" w:type="pct"/>
            <w:noWrap/>
            <w:vAlign w:val="center"/>
            <w:hideMark/>
          </w:tcPr>
          <w:p w14:paraId="654EDDFA" w14:textId="77777777" w:rsidR="008D43F1" w:rsidRPr="00795F17" w:rsidRDefault="008D43F1" w:rsidP="00DA4B81">
            <w:pPr>
              <w:pStyle w:val="Teksttabelilewy"/>
            </w:pPr>
            <w:r w:rsidRPr="00795F17">
              <w:t>Analizowana przyczyna łącznie</w:t>
            </w:r>
          </w:p>
        </w:tc>
        <w:tc>
          <w:tcPr>
            <w:tcW w:w="898" w:type="pct"/>
            <w:noWrap/>
            <w:vAlign w:val="center"/>
            <w:hideMark/>
          </w:tcPr>
          <w:p w14:paraId="1DA6A653" w14:textId="131171D4" w:rsidR="008D43F1" w:rsidRPr="00795F17" w:rsidRDefault="008D43F1" w:rsidP="00DA4B81">
            <w:pPr>
              <w:pStyle w:val="Teksttabelisrodek"/>
            </w:pPr>
            <w:r w:rsidRPr="00795F17">
              <w:t>2</w:t>
            </w:r>
          </w:p>
        </w:tc>
        <w:tc>
          <w:tcPr>
            <w:tcW w:w="803" w:type="pct"/>
            <w:noWrap/>
            <w:vAlign w:val="center"/>
            <w:hideMark/>
          </w:tcPr>
          <w:p w14:paraId="1D478436" w14:textId="4BB28B1E" w:rsidR="008D43F1" w:rsidRPr="00795F17" w:rsidRDefault="008D43F1" w:rsidP="00DA4B81">
            <w:pPr>
              <w:pStyle w:val="Teksttabelisrodek"/>
            </w:pPr>
            <w:r w:rsidRPr="00795F17">
              <w:t>100</w:t>
            </w:r>
          </w:p>
        </w:tc>
      </w:tr>
      <w:tr w:rsidR="008D43F1" w:rsidRPr="00795F17" w14:paraId="2F7133DB" w14:textId="77777777" w:rsidTr="008D43F1">
        <w:trPr>
          <w:trHeight w:val="454"/>
        </w:trPr>
        <w:tc>
          <w:tcPr>
            <w:tcW w:w="3299" w:type="pct"/>
            <w:noWrap/>
            <w:vAlign w:val="center"/>
            <w:hideMark/>
          </w:tcPr>
          <w:p w14:paraId="5226362B" w14:textId="783F8303" w:rsidR="008D43F1" w:rsidRPr="00795F17" w:rsidRDefault="008D43F1" w:rsidP="00DA4B81">
            <w:pPr>
              <w:pStyle w:val="Teksttabelilewy"/>
            </w:pPr>
            <w:r w:rsidRPr="00795F17">
              <w:t xml:space="preserve">Stan/potencjał poniżej dobrego </w:t>
            </w:r>
            <w:r w:rsidR="003F2700">
              <w:t>–</w:t>
            </w:r>
            <w:r w:rsidRPr="00795F17">
              <w:t xml:space="preserve"> brak postępu w osiąganiu dobrego stanu/potencjału</w:t>
            </w:r>
          </w:p>
        </w:tc>
        <w:tc>
          <w:tcPr>
            <w:tcW w:w="898" w:type="pct"/>
            <w:noWrap/>
            <w:vAlign w:val="center"/>
            <w:hideMark/>
          </w:tcPr>
          <w:p w14:paraId="1EF8EE08" w14:textId="7438D2DE" w:rsidR="008D43F1" w:rsidRPr="00795F17" w:rsidRDefault="008D43F1" w:rsidP="00DA4B81">
            <w:pPr>
              <w:pStyle w:val="Teksttabelisrodek"/>
            </w:pPr>
            <w:r w:rsidRPr="00795F17">
              <w:t>1</w:t>
            </w:r>
          </w:p>
        </w:tc>
        <w:tc>
          <w:tcPr>
            <w:tcW w:w="803" w:type="pct"/>
            <w:noWrap/>
            <w:vAlign w:val="center"/>
            <w:hideMark/>
          </w:tcPr>
          <w:p w14:paraId="4ED07DA6" w14:textId="067374A5" w:rsidR="008D43F1" w:rsidRPr="00795F17" w:rsidRDefault="008D43F1" w:rsidP="00DA4B81">
            <w:pPr>
              <w:pStyle w:val="Teksttabelisrodek"/>
            </w:pPr>
            <w:r w:rsidRPr="00795F17">
              <w:t>50</w:t>
            </w:r>
          </w:p>
        </w:tc>
      </w:tr>
      <w:tr w:rsidR="008D43F1" w:rsidRPr="00795F17" w14:paraId="16117E32" w14:textId="77777777" w:rsidTr="008D43F1">
        <w:trPr>
          <w:trHeight w:val="454"/>
        </w:trPr>
        <w:tc>
          <w:tcPr>
            <w:tcW w:w="3299" w:type="pct"/>
            <w:noWrap/>
            <w:vAlign w:val="center"/>
            <w:hideMark/>
          </w:tcPr>
          <w:p w14:paraId="24DF1747" w14:textId="77777777" w:rsidR="008D43F1" w:rsidRPr="00795F17" w:rsidRDefault="008D43F1" w:rsidP="00DA4B81">
            <w:pPr>
              <w:pStyle w:val="Teksttabelilewy"/>
            </w:pPr>
            <w:r w:rsidRPr="00795F17">
              <w:t>Pogorszenie do stanu/potencjału poniżej dobrego</w:t>
            </w:r>
          </w:p>
        </w:tc>
        <w:tc>
          <w:tcPr>
            <w:tcW w:w="898" w:type="pct"/>
            <w:noWrap/>
            <w:vAlign w:val="center"/>
            <w:hideMark/>
          </w:tcPr>
          <w:p w14:paraId="1D8CB38B" w14:textId="3BFD0475" w:rsidR="008D43F1" w:rsidRPr="00795F17" w:rsidRDefault="008D43F1" w:rsidP="00DA4B81">
            <w:pPr>
              <w:pStyle w:val="Teksttabelisrodek"/>
            </w:pPr>
            <w:r w:rsidRPr="00795F17">
              <w:t>1</w:t>
            </w:r>
          </w:p>
        </w:tc>
        <w:tc>
          <w:tcPr>
            <w:tcW w:w="803" w:type="pct"/>
            <w:noWrap/>
            <w:vAlign w:val="center"/>
            <w:hideMark/>
          </w:tcPr>
          <w:p w14:paraId="39D0B08A" w14:textId="2826B69A" w:rsidR="008D43F1" w:rsidRPr="00795F17" w:rsidRDefault="008D43F1" w:rsidP="00DA4B81">
            <w:pPr>
              <w:pStyle w:val="Teksttabelisrodek"/>
            </w:pPr>
            <w:r w:rsidRPr="00795F17">
              <w:t>50</w:t>
            </w:r>
          </w:p>
        </w:tc>
      </w:tr>
      <w:tr w:rsidR="008D43F1" w:rsidRPr="00795F17" w14:paraId="25A2439D" w14:textId="77777777" w:rsidTr="008D43F1">
        <w:trPr>
          <w:trHeight w:val="454"/>
        </w:trPr>
        <w:tc>
          <w:tcPr>
            <w:tcW w:w="3299" w:type="pct"/>
            <w:noWrap/>
            <w:vAlign w:val="center"/>
            <w:hideMark/>
          </w:tcPr>
          <w:p w14:paraId="3822F265" w14:textId="3792087F" w:rsidR="008D43F1" w:rsidRPr="00795F17" w:rsidRDefault="008D43F1" w:rsidP="00DA4B81">
            <w:pPr>
              <w:pStyle w:val="Teksttabelilewy"/>
            </w:pPr>
            <w:r w:rsidRPr="00795F17">
              <w:t xml:space="preserve">Brak postępu </w:t>
            </w:r>
            <w:r w:rsidR="003F2700">
              <w:t>–</w:t>
            </w:r>
            <w:r w:rsidRPr="00795F17">
              <w:t xml:space="preserve"> ale poprawa stanu/potencjału</w:t>
            </w:r>
          </w:p>
        </w:tc>
        <w:tc>
          <w:tcPr>
            <w:tcW w:w="898" w:type="pct"/>
            <w:noWrap/>
            <w:vAlign w:val="center"/>
            <w:hideMark/>
          </w:tcPr>
          <w:p w14:paraId="2FB9E94E" w14:textId="77777777" w:rsidR="008D43F1" w:rsidRPr="00795F17" w:rsidRDefault="008D43F1" w:rsidP="00DA4B81">
            <w:pPr>
              <w:pStyle w:val="Teksttabelisrodek"/>
            </w:pPr>
            <w:r w:rsidRPr="00795F17">
              <w:t>0</w:t>
            </w:r>
          </w:p>
        </w:tc>
        <w:tc>
          <w:tcPr>
            <w:tcW w:w="803" w:type="pct"/>
            <w:noWrap/>
            <w:vAlign w:val="center"/>
            <w:hideMark/>
          </w:tcPr>
          <w:p w14:paraId="0A381C4C" w14:textId="1355DA75" w:rsidR="008D43F1" w:rsidRPr="00795F17" w:rsidRDefault="00746F81" w:rsidP="00DA4B81">
            <w:pPr>
              <w:pStyle w:val="Teksttabelisrodek"/>
            </w:pPr>
            <w:r w:rsidRPr="00795F17">
              <w:t>0</w:t>
            </w:r>
          </w:p>
        </w:tc>
      </w:tr>
      <w:tr w:rsidR="008D43F1" w:rsidRPr="00795F17" w14:paraId="77DB3E4A" w14:textId="77777777" w:rsidTr="008D43F1">
        <w:trPr>
          <w:trHeight w:val="454"/>
        </w:trPr>
        <w:tc>
          <w:tcPr>
            <w:tcW w:w="5000" w:type="pct"/>
            <w:gridSpan w:val="3"/>
            <w:shd w:val="clear" w:color="auto" w:fill="D9D9D9" w:themeFill="background1" w:themeFillShade="D9"/>
            <w:vAlign w:val="center"/>
            <w:hideMark/>
          </w:tcPr>
          <w:p w14:paraId="5D0893C2" w14:textId="6518FD48" w:rsidR="008D43F1" w:rsidRPr="00795F17" w:rsidRDefault="008D43F1" w:rsidP="00DA4B81">
            <w:pPr>
              <w:pStyle w:val="Teksttabelisrodek"/>
            </w:pPr>
            <w:r w:rsidRPr="00795F17">
              <w:t>Słaby stopień realizacji lub skuteczności działań z aPWŚK</w:t>
            </w:r>
          </w:p>
        </w:tc>
      </w:tr>
      <w:tr w:rsidR="008D43F1" w:rsidRPr="00795F17" w14:paraId="6F2CB679" w14:textId="77777777" w:rsidTr="008D43F1">
        <w:trPr>
          <w:trHeight w:val="454"/>
        </w:trPr>
        <w:tc>
          <w:tcPr>
            <w:tcW w:w="3299" w:type="pct"/>
            <w:noWrap/>
            <w:vAlign w:val="center"/>
            <w:hideMark/>
          </w:tcPr>
          <w:p w14:paraId="40F9EC73" w14:textId="77777777" w:rsidR="008D43F1" w:rsidRPr="00795F17" w:rsidRDefault="008D43F1" w:rsidP="00DA4B81">
            <w:pPr>
              <w:pStyle w:val="Teksttabelilewy"/>
            </w:pPr>
            <w:r w:rsidRPr="00795F17">
              <w:t>Analizowana przyczyna łącznie</w:t>
            </w:r>
          </w:p>
        </w:tc>
        <w:tc>
          <w:tcPr>
            <w:tcW w:w="898" w:type="pct"/>
            <w:noWrap/>
            <w:vAlign w:val="center"/>
            <w:hideMark/>
          </w:tcPr>
          <w:p w14:paraId="4EF0D13E" w14:textId="0C6B586A" w:rsidR="008D43F1" w:rsidRPr="00795F17" w:rsidRDefault="008D43F1" w:rsidP="00DA4B81">
            <w:pPr>
              <w:pStyle w:val="Teksttabelisrodek"/>
            </w:pPr>
            <w:r w:rsidRPr="00795F17">
              <w:t>4</w:t>
            </w:r>
          </w:p>
        </w:tc>
        <w:tc>
          <w:tcPr>
            <w:tcW w:w="803" w:type="pct"/>
            <w:vAlign w:val="center"/>
            <w:hideMark/>
          </w:tcPr>
          <w:p w14:paraId="07980CB8" w14:textId="72C9CFE4" w:rsidR="008D43F1" w:rsidRPr="00795F17" w:rsidRDefault="008D43F1" w:rsidP="00DA4B81">
            <w:pPr>
              <w:pStyle w:val="Teksttabelisrodek"/>
            </w:pPr>
            <w:r w:rsidRPr="00795F17">
              <w:t>100</w:t>
            </w:r>
          </w:p>
        </w:tc>
      </w:tr>
      <w:tr w:rsidR="008D43F1" w:rsidRPr="00795F17" w14:paraId="619C89CB" w14:textId="77777777" w:rsidTr="008D43F1">
        <w:trPr>
          <w:trHeight w:val="454"/>
        </w:trPr>
        <w:tc>
          <w:tcPr>
            <w:tcW w:w="3299" w:type="pct"/>
            <w:noWrap/>
            <w:vAlign w:val="center"/>
            <w:hideMark/>
          </w:tcPr>
          <w:p w14:paraId="216132AD" w14:textId="785CB418" w:rsidR="008D43F1" w:rsidRPr="00795F17" w:rsidRDefault="008D43F1" w:rsidP="00DA4B81">
            <w:pPr>
              <w:pStyle w:val="Teksttabelilewy"/>
            </w:pPr>
            <w:r w:rsidRPr="00795F17">
              <w:t xml:space="preserve">Stan/potencjał poniżej dobrego </w:t>
            </w:r>
            <w:r w:rsidR="003F2700">
              <w:t>–</w:t>
            </w:r>
            <w:r w:rsidRPr="00795F17">
              <w:t xml:space="preserve"> brak postępu w osiąganiu dobrego stanu/potencjału</w:t>
            </w:r>
          </w:p>
        </w:tc>
        <w:tc>
          <w:tcPr>
            <w:tcW w:w="898" w:type="pct"/>
            <w:noWrap/>
            <w:vAlign w:val="center"/>
            <w:hideMark/>
          </w:tcPr>
          <w:p w14:paraId="28E1CDEC" w14:textId="5B8E073C" w:rsidR="008D43F1" w:rsidRPr="00795F17" w:rsidRDefault="008D43F1" w:rsidP="00DA4B81">
            <w:pPr>
              <w:pStyle w:val="Teksttabelisrodek"/>
            </w:pPr>
            <w:r w:rsidRPr="00795F17">
              <w:t>1</w:t>
            </w:r>
          </w:p>
        </w:tc>
        <w:tc>
          <w:tcPr>
            <w:tcW w:w="803" w:type="pct"/>
            <w:vAlign w:val="center"/>
            <w:hideMark/>
          </w:tcPr>
          <w:p w14:paraId="79A59D9D" w14:textId="3A335A3C" w:rsidR="008D43F1" w:rsidRPr="00795F17" w:rsidRDefault="008D43F1" w:rsidP="00DA4B81">
            <w:pPr>
              <w:pStyle w:val="Teksttabelisrodek"/>
            </w:pPr>
            <w:r w:rsidRPr="00795F17">
              <w:t>25</w:t>
            </w:r>
          </w:p>
        </w:tc>
      </w:tr>
      <w:tr w:rsidR="008D43F1" w:rsidRPr="00795F17" w14:paraId="769291F7" w14:textId="77777777" w:rsidTr="008D43F1">
        <w:trPr>
          <w:trHeight w:val="454"/>
        </w:trPr>
        <w:tc>
          <w:tcPr>
            <w:tcW w:w="3299" w:type="pct"/>
            <w:noWrap/>
            <w:vAlign w:val="center"/>
            <w:hideMark/>
          </w:tcPr>
          <w:p w14:paraId="4D5F1107" w14:textId="77777777" w:rsidR="008D43F1" w:rsidRPr="00795F17" w:rsidRDefault="008D43F1" w:rsidP="00DA4B81">
            <w:pPr>
              <w:pStyle w:val="Teksttabelilewy"/>
            </w:pPr>
            <w:r w:rsidRPr="00795F17">
              <w:t>Pogorszenie do stanu/potencjału poniżej dobrego</w:t>
            </w:r>
          </w:p>
        </w:tc>
        <w:tc>
          <w:tcPr>
            <w:tcW w:w="898" w:type="pct"/>
            <w:noWrap/>
            <w:vAlign w:val="center"/>
            <w:hideMark/>
          </w:tcPr>
          <w:p w14:paraId="531D230B" w14:textId="47E501D6" w:rsidR="008D43F1" w:rsidRPr="00795F17" w:rsidRDefault="008D43F1" w:rsidP="00DA4B81">
            <w:pPr>
              <w:pStyle w:val="Teksttabelisrodek"/>
            </w:pPr>
            <w:r w:rsidRPr="00795F17">
              <w:t>3</w:t>
            </w:r>
          </w:p>
        </w:tc>
        <w:tc>
          <w:tcPr>
            <w:tcW w:w="803" w:type="pct"/>
            <w:vAlign w:val="center"/>
            <w:hideMark/>
          </w:tcPr>
          <w:p w14:paraId="1FD62D3F" w14:textId="30B7F975" w:rsidR="008D43F1" w:rsidRPr="00795F17" w:rsidRDefault="008D43F1" w:rsidP="00DA4B81">
            <w:pPr>
              <w:pStyle w:val="Teksttabelisrodek"/>
            </w:pPr>
            <w:r w:rsidRPr="00795F17">
              <w:t>75</w:t>
            </w:r>
          </w:p>
        </w:tc>
      </w:tr>
      <w:tr w:rsidR="008D43F1" w:rsidRPr="00795F17" w14:paraId="7D8DB6DB" w14:textId="77777777" w:rsidTr="008D43F1">
        <w:trPr>
          <w:trHeight w:val="454"/>
        </w:trPr>
        <w:tc>
          <w:tcPr>
            <w:tcW w:w="3299" w:type="pct"/>
            <w:noWrap/>
            <w:vAlign w:val="center"/>
            <w:hideMark/>
          </w:tcPr>
          <w:p w14:paraId="6FF6A6E4" w14:textId="1775F342" w:rsidR="008D43F1" w:rsidRPr="00795F17" w:rsidRDefault="008D43F1" w:rsidP="00DA4B81">
            <w:pPr>
              <w:pStyle w:val="Teksttabelilewy"/>
            </w:pPr>
            <w:r w:rsidRPr="00795F17">
              <w:t xml:space="preserve">Brak postępu </w:t>
            </w:r>
            <w:r w:rsidR="003F2700">
              <w:t>–</w:t>
            </w:r>
            <w:r w:rsidRPr="00795F17">
              <w:t xml:space="preserve"> ale poprawa stanu/potencjału</w:t>
            </w:r>
          </w:p>
        </w:tc>
        <w:tc>
          <w:tcPr>
            <w:tcW w:w="898" w:type="pct"/>
            <w:noWrap/>
            <w:vAlign w:val="center"/>
            <w:hideMark/>
          </w:tcPr>
          <w:p w14:paraId="646D63E6" w14:textId="69A7A4E0" w:rsidR="008D43F1" w:rsidRPr="00795F17" w:rsidRDefault="008D43F1" w:rsidP="00DA4B81">
            <w:pPr>
              <w:pStyle w:val="Teksttabelisrodek"/>
            </w:pPr>
            <w:r w:rsidRPr="00795F17">
              <w:t>0</w:t>
            </w:r>
          </w:p>
        </w:tc>
        <w:tc>
          <w:tcPr>
            <w:tcW w:w="803" w:type="pct"/>
            <w:vAlign w:val="center"/>
            <w:hideMark/>
          </w:tcPr>
          <w:p w14:paraId="539E5E1F" w14:textId="271395D3" w:rsidR="008D43F1" w:rsidRPr="00795F17" w:rsidRDefault="00746F81" w:rsidP="00DA4B81">
            <w:pPr>
              <w:pStyle w:val="Teksttabelisrodek"/>
            </w:pPr>
            <w:r w:rsidRPr="00795F17">
              <w:t>0</w:t>
            </w:r>
          </w:p>
        </w:tc>
      </w:tr>
      <w:tr w:rsidR="008D43F1" w:rsidRPr="00795F17" w14:paraId="44856873" w14:textId="77777777" w:rsidTr="008D43F1">
        <w:trPr>
          <w:trHeight w:val="454"/>
        </w:trPr>
        <w:tc>
          <w:tcPr>
            <w:tcW w:w="5000" w:type="pct"/>
            <w:gridSpan w:val="3"/>
            <w:shd w:val="clear" w:color="auto" w:fill="D9D9D9" w:themeFill="background1" w:themeFillShade="D9"/>
            <w:vAlign w:val="center"/>
            <w:hideMark/>
          </w:tcPr>
          <w:p w14:paraId="40ACE978" w14:textId="0184E561" w:rsidR="008D43F1" w:rsidRPr="00795F17" w:rsidRDefault="008D43F1" w:rsidP="00DA4B81">
            <w:pPr>
              <w:pStyle w:val="Teksttabelisrodek"/>
            </w:pPr>
            <w:r w:rsidRPr="00795F17">
              <w:t xml:space="preserve">Uwarunkowania naturalne (dopływ zanieczyszczeń z innego </w:t>
            </w:r>
            <w:r w:rsidR="00DF005E">
              <w:t>JCWP</w:t>
            </w:r>
            <w:r w:rsidRPr="00795F17">
              <w:t xml:space="preserve">, niski potencjał sorpcyjny </w:t>
            </w:r>
            <w:r w:rsidR="00DF005E">
              <w:t>JCWP</w:t>
            </w:r>
            <w:r w:rsidRPr="00795F17">
              <w:t>)</w:t>
            </w:r>
          </w:p>
        </w:tc>
      </w:tr>
      <w:tr w:rsidR="008D43F1" w:rsidRPr="00795F17" w14:paraId="7C2603C2" w14:textId="77777777" w:rsidTr="008D43F1">
        <w:trPr>
          <w:trHeight w:val="454"/>
        </w:trPr>
        <w:tc>
          <w:tcPr>
            <w:tcW w:w="3299" w:type="pct"/>
            <w:noWrap/>
            <w:vAlign w:val="center"/>
            <w:hideMark/>
          </w:tcPr>
          <w:p w14:paraId="4D04E509" w14:textId="77777777" w:rsidR="008D43F1" w:rsidRPr="00795F17" w:rsidRDefault="008D43F1" w:rsidP="00DA4B81">
            <w:pPr>
              <w:pStyle w:val="Teksttabelilewy"/>
            </w:pPr>
            <w:r w:rsidRPr="00795F17">
              <w:t>Analizowana przyczyna łącznie</w:t>
            </w:r>
          </w:p>
        </w:tc>
        <w:tc>
          <w:tcPr>
            <w:tcW w:w="898" w:type="pct"/>
            <w:noWrap/>
            <w:vAlign w:val="center"/>
            <w:hideMark/>
          </w:tcPr>
          <w:p w14:paraId="4FD35B44" w14:textId="76B84367" w:rsidR="008D43F1" w:rsidRPr="00795F17" w:rsidRDefault="008D43F1" w:rsidP="00DA4B81">
            <w:pPr>
              <w:pStyle w:val="Teksttabelisrodek"/>
            </w:pPr>
            <w:r w:rsidRPr="00795F17">
              <w:t>4</w:t>
            </w:r>
          </w:p>
        </w:tc>
        <w:tc>
          <w:tcPr>
            <w:tcW w:w="803" w:type="pct"/>
            <w:vAlign w:val="center"/>
            <w:hideMark/>
          </w:tcPr>
          <w:p w14:paraId="7A61271A" w14:textId="6D662CF1" w:rsidR="008D43F1" w:rsidRPr="00795F17" w:rsidRDefault="008D43F1" w:rsidP="00DA4B81">
            <w:pPr>
              <w:pStyle w:val="Teksttabelisrodek"/>
            </w:pPr>
            <w:r w:rsidRPr="00795F17">
              <w:t>100</w:t>
            </w:r>
          </w:p>
        </w:tc>
      </w:tr>
      <w:tr w:rsidR="008D43F1" w:rsidRPr="00795F17" w14:paraId="415CB6FF" w14:textId="77777777" w:rsidTr="008D43F1">
        <w:trPr>
          <w:trHeight w:val="454"/>
        </w:trPr>
        <w:tc>
          <w:tcPr>
            <w:tcW w:w="3299" w:type="pct"/>
            <w:noWrap/>
            <w:vAlign w:val="center"/>
            <w:hideMark/>
          </w:tcPr>
          <w:p w14:paraId="596B184B" w14:textId="2301EC3E" w:rsidR="008D43F1" w:rsidRPr="00795F17" w:rsidRDefault="008D43F1" w:rsidP="00DA4B81">
            <w:pPr>
              <w:pStyle w:val="Teksttabelilewy"/>
            </w:pPr>
            <w:r w:rsidRPr="00795F17">
              <w:t xml:space="preserve">Stan/potencjał poniżej dobrego </w:t>
            </w:r>
            <w:r w:rsidR="003F2700">
              <w:t>–</w:t>
            </w:r>
            <w:r w:rsidRPr="00795F17">
              <w:t xml:space="preserve"> brak postępu w osiąganiu dobrego stanu/potencjału</w:t>
            </w:r>
          </w:p>
        </w:tc>
        <w:tc>
          <w:tcPr>
            <w:tcW w:w="898" w:type="pct"/>
            <w:noWrap/>
            <w:vAlign w:val="center"/>
            <w:hideMark/>
          </w:tcPr>
          <w:p w14:paraId="7C8FE7F5" w14:textId="6D4EBAEE" w:rsidR="008D43F1" w:rsidRPr="00795F17" w:rsidRDefault="008D43F1" w:rsidP="00DA4B81">
            <w:pPr>
              <w:pStyle w:val="Teksttabelisrodek"/>
            </w:pPr>
            <w:r w:rsidRPr="00795F17">
              <w:t>2</w:t>
            </w:r>
          </w:p>
        </w:tc>
        <w:tc>
          <w:tcPr>
            <w:tcW w:w="803" w:type="pct"/>
            <w:vAlign w:val="center"/>
            <w:hideMark/>
          </w:tcPr>
          <w:p w14:paraId="37C2A5BB" w14:textId="5D5DBBC2" w:rsidR="008D43F1" w:rsidRPr="00795F17" w:rsidRDefault="008D43F1" w:rsidP="00DA4B81">
            <w:pPr>
              <w:pStyle w:val="Teksttabelisrodek"/>
            </w:pPr>
            <w:r w:rsidRPr="00795F17">
              <w:t>50</w:t>
            </w:r>
          </w:p>
        </w:tc>
      </w:tr>
      <w:tr w:rsidR="008D43F1" w:rsidRPr="00795F17" w14:paraId="78B90369" w14:textId="77777777" w:rsidTr="008D43F1">
        <w:trPr>
          <w:trHeight w:val="454"/>
        </w:trPr>
        <w:tc>
          <w:tcPr>
            <w:tcW w:w="3299" w:type="pct"/>
            <w:noWrap/>
            <w:vAlign w:val="center"/>
            <w:hideMark/>
          </w:tcPr>
          <w:p w14:paraId="1CE53A18" w14:textId="77777777" w:rsidR="008D43F1" w:rsidRPr="00795F17" w:rsidRDefault="008D43F1" w:rsidP="00DA4B81">
            <w:pPr>
              <w:pStyle w:val="Teksttabelilewy"/>
            </w:pPr>
            <w:r w:rsidRPr="00795F17">
              <w:t>Pogorszenie do stanu/potencjału poniżej dobrego</w:t>
            </w:r>
          </w:p>
        </w:tc>
        <w:tc>
          <w:tcPr>
            <w:tcW w:w="898" w:type="pct"/>
            <w:noWrap/>
            <w:vAlign w:val="center"/>
            <w:hideMark/>
          </w:tcPr>
          <w:p w14:paraId="20F25BF3" w14:textId="3CAB99F0" w:rsidR="008D43F1" w:rsidRPr="00795F17" w:rsidRDefault="008D43F1" w:rsidP="00DA4B81">
            <w:pPr>
              <w:pStyle w:val="Teksttabelisrodek"/>
            </w:pPr>
            <w:r w:rsidRPr="00795F17">
              <w:t>2</w:t>
            </w:r>
          </w:p>
        </w:tc>
        <w:tc>
          <w:tcPr>
            <w:tcW w:w="803" w:type="pct"/>
            <w:vAlign w:val="center"/>
            <w:hideMark/>
          </w:tcPr>
          <w:p w14:paraId="0CBE39B8" w14:textId="462F351F" w:rsidR="008D43F1" w:rsidRPr="00795F17" w:rsidRDefault="008D43F1" w:rsidP="00DA4B81">
            <w:pPr>
              <w:pStyle w:val="Teksttabelisrodek"/>
            </w:pPr>
            <w:r w:rsidRPr="00795F17">
              <w:t>50</w:t>
            </w:r>
          </w:p>
        </w:tc>
      </w:tr>
      <w:tr w:rsidR="008D43F1" w:rsidRPr="00795F17" w14:paraId="08220A27" w14:textId="77777777" w:rsidTr="008D43F1">
        <w:trPr>
          <w:trHeight w:val="454"/>
        </w:trPr>
        <w:tc>
          <w:tcPr>
            <w:tcW w:w="3299" w:type="pct"/>
            <w:noWrap/>
            <w:vAlign w:val="center"/>
            <w:hideMark/>
          </w:tcPr>
          <w:p w14:paraId="6CC4BC7E" w14:textId="1BD0C205" w:rsidR="008D43F1" w:rsidRPr="00795F17" w:rsidRDefault="008D43F1" w:rsidP="00DA4B81">
            <w:pPr>
              <w:pStyle w:val="Teksttabelilewy"/>
            </w:pPr>
            <w:r w:rsidRPr="00795F17">
              <w:t xml:space="preserve">Brak postępu </w:t>
            </w:r>
            <w:r w:rsidR="003F2700">
              <w:t>–</w:t>
            </w:r>
            <w:r w:rsidRPr="00795F17">
              <w:t xml:space="preserve"> ale poprawa stanu/potencjału</w:t>
            </w:r>
          </w:p>
        </w:tc>
        <w:tc>
          <w:tcPr>
            <w:tcW w:w="898" w:type="pct"/>
            <w:noWrap/>
            <w:vAlign w:val="center"/>
            <w:hideMark/>
          </w:tcPr>
          <w:p w14:paraId="52801699" w14:textId="06D3F583" w:rsidR="008D43F1" w:rsidRPr="00795F17" w:rsidRDefault="008D43F1" w:rsidP="00DA4B81">
            <w:pPr>
              <w:pStyle w:val="Teksttabelisrodek"/>
            </w:pPr>
            <w:r w:rsidRPr="00795F17">
              <w:t>0</w:t>
            </w:r>
          </w:p>
        </w:tc>
        <w:tc>
          <w:tcPr>
            <w:tcW w:w="803" w:type="pct"/>
            <w:vAlign w:val="center"/>
            <w:hideMark/>
          </w:tcPr>
          <w:p w14:paraId="16EFC9EB" w14:textId="601CA39A" w:rsidR="008D43F1" w:rsidRPr="00795F17" w:rsidRDefault="00746F81" w:rsidP="00DA4B81">
            <w:pPr>
              <w:pStyle w:val="Teksttabelisrodek"/>
            </w:pPr>
            <w:r w:rsidRPr="00795F17">
              <w:t>0</w:t>
            </w:r>
          </w:p>
        </w:tc>
      </w:tr>
      <w:tr w:rsidR="008D43F1" w:rsidRPr="00795F17" w14:paraId="229E5D7E" w14:textId="77777777" w:rsidTr="008D43F1">
        <w:trPr>
          <w:trHeight w:val="454"/>
        </w:trPr>
        <w:tc>
          <w:tcPr>
            <w:tcW w:w="5000" w:type="pct"/>
            <w:gridSpan w:val="3"/>
            <w:shd w:val="clear" w:color="auto" w:fill="D9D9D9" w:themeFill="background1" w:themeFillShade="D9"/>
            <w:vAlign w:val="center"/>
            <w:hideMark/>
          </w:tcPr>
          <w:p w14:paraId="525BB0E7" w14:textId="0E9D2CF6" w:rsidR="008D43F1" w:rsidRPr="00795F17" w:rsidRDefault="008D43F1" w:rsidP="003B4886">
            <w:pPr>
              <w:pStyle w:val="Teksttabelisrodek"/>
              <w:keepNext/>
            </w:pPr>
            <w:r w:rsidRPr="00795F17">
              <w:t>Inne (w tym działania niewystarczające do obniżenia presji w jednym cyklu planistycznym)</w:t>
            </w:r>
          </w:p>
        </w:tc>
      </w:tr>
      <w:tr w:rsidR="008D43F1" w:rsidRPr="00795F17" w14:paraId="1C92D088" w14:textId="77777777" w:rsidTr="008D43F1">
        <w:trPr>
          <w:trHeight w:val="454"/>
        </w:trPr>
        <w:tc>
          <w:tcPr>
            <w:tcW w:w="3299" w:type="pct"/>
            <w:noWrap/>
            <w:vAlign w:val="center"/>
            <w:hideMark/>
          </w:tcPr>
          <w:p w14:paraId="307580DE" w14:textId="77777777" w:rsidR="008D43F1" w:rsidRPr="00795F17" w:rsidRDefault="008D43F1" w:rsidP="00967761">
            <w:pPr>
              <w:pStyle w:val="Teksttabelilewy"/>
            </w:pPr>
            <w:r w:rsidRPr="00795F17">
              <w:t>Analizowana przyczyna łącznie</w:t>
            </w:r>
          </w:p>
        </w:tc>
        <w:tc>
          <w:tcPr>
            <w:tcW w:w="898" w:type="pct"/>
            <w:noWrap/>
            <w:vAlign w:val="center"/>
            <w:hideMark/>
          </w:tcPr>
          <w:p w14:paraId="26DD932D" w14:textId="30AE1268" w:rsidR="008D43F1" w:rsidRPr="00795F17" w:rsidRDefault="008D43F1" w:rsidP="00967761">
            <w:pPr>
              <w:pStyle w:val="Teksttabelisrodek"/>
            </w:pPr>
            <w:r w:rsidRPr="00795F17">
              <w:t>9</w:t>
            </w:r>
          </w:p>
        </w:tc>
        <w:tc>
          <w:tcPr>
            <w:tcW w:w="803" w:type="pct"/>
            <w:vAlign w:val="center"/>
            <w:hideMark/>
          </w:tcPr>
          <w:p w14:paraId="1D63E69D" w14:textId="77777777" w:rsidR="008D43F1" w:rsidRPr="00795F17" w:rsidRDefault="008D43F1" w:rsidP="00967761">
            <w:pPr>
              <w:pStyle w:val="Teksttabelisrodek"/>
            </w:pPr>
            <w:r w:rsidRPr="00795F17">
              <w:t>100</w:t>
            </w:r>
          </w:p>
        </w:tc>
      </w:tr>
      <w:tr w:rsidR="008D43F1" w:rsidRPr="00795F17" w14:paraId="61F0BB21" w14:textId="77777777" w:rsidTr="008D43F1">
        <w:trPr>
          <w:trHeight w:val="454"/>
        </w:trPr>
        <w:tc>
          <w:tcPr>
            <w:tcW w:w="3299" w:type="pct"/>
            <w:noWrap/>
            <w:vAlign w:val="center"/>
            <w:hideMark/>
          </w:tcPr>
          <w:p w14:paraId="4756AD6C" w14:textId="32AFF5D6" w:rsidR="008D43F1" w:rsidRPr="00795F17" w:rsidRDefault="008D43F1" w:rsidP="00967761">
            <w:pPr>
              <w:pStyle w:val="Teksttabelilewy"/>
            </w:pPr>
            <w:r w:rsidRPr="00795F17">
              <w:t xml:space="preserve">Stan/potencjał poniżej dobrego </w:t>
            </w:r>
            <w:r w:rsidR="003F2700">
              <w:t>–</w:t>
            </w:r>
            <w:r w:rsidRPr="00795F17">
              <w:t xml:space="preserve"> brak postępu w osiąganiu dobrego stanu/potencjału</w:t>
            </w:r>
          </w:p>
        </w:tc>
        <w:tc>
          <w:tcPr>
            <w:tcW w:w="898" w:type="pct"/>
            <w:noWrap/>
            <w:vAlign w:val="center"/>
            <w:hideMark/>
          </w:tcPr>
          <w:p w14:paraId="6347F507" w14:textId="54AD142B" w:rsidR="008D43F1" w:rsidRPr="00795F17" w:rsidRDefault="008D43F1" w:rsidP="00967761">
            <w:pPr>
              <w:pStyle w:val="Teksttabelisrodek"/>
            </w:pPr>
            <w:r w:rsidRPr="00795F17">
              <w:t>3</w:t>
            </w:r>
          </w:p>
        </w:tc>
        <w:tc>
          <w:tcPr>
            <w:tcW w:w="803" w:type="pct"/>
            <w:vAlign w:val="center"/>
            <w:hideMark/>
          </w:tcPr>
          <w:p w14:paraId="5A9003DA" w14:textId="2EBCCD6D" w:rsidR="008D43F1" w:rsidRPr="00795F17" w:rsidRDefault="008D43F1" w:rsidP="00967761">
            <w:pPr>
              <w:pStyle w:val="Teksttabelisrodek"/>
            </w:pPr>
            <w:r w:rsidRPr="00795F17">
              <w:t>33.3</w:t>
            </w:r>
          </w:p>
        </w:tc>
      </w:tr>
      <w:tr w:rsidR="008D43F1" w:rsidRPr="00795F17" w14:paraId="00E8732F" w14:textId="77777777" w:rsidTr="008D43F1">
        <w:trPr>
          <w:trHeight w:val="454"/>
        </w:trPr>
        <w:tc>
          <w:tcPr>
            <w:tcW w:w="3299" w:type="pct"/>
            <w:noWrap/>
            <w:vAlign w:val="center"/>
            <w:hideMark/>
          </w:tcPr>
          <w:p w14:paraId="6B47C145" w14:textId="77777777" w:rsidR="008D43F1" w:rsidRPr="00795F17" w:rsidRDefault="008D43F1" w:rsidP="00967761">
            <w:pPr>
              <w:pStyle w:val="Teksttabelilewy"/>
            </w:pPr>
            <w:r w:rsidRPr="00795F17">
              <w:t>Pogorszenie do stanu/potencjału poniżej dobrego</w:t>
            </w:r>
          </w:p>
        </w:tc>
        <w:tc>
          <w:tcPr>
            <w:tcW w:w="898" w:type="pct"/>
            <w:noWrap/>
            <w:vAlign w:val="center"/>
            <w:hideMark/>
          </w:tcPr>
          <w:p w14:paraId="3ACE5D91" w14:textId="0004FB5C" w:rsidR="008D43F1" w:rsidRPr="00795F17" w:rsidRDefault="008D43F1" w:rsidP="00967761">
            <w:pPr>
              <w:pStyle w:val="Teksttabelisrodek"/>
            </w:pPr>
            <w:r w:rsidRPr="00795F17">
              <w:t>6</w:t>
            </w:r>
          </w:p>
        </w:tc>
        <w:tc>
          <w:tcPr>
            <w:tcW w:w="803" w:type="pct"/>
            <w:vAlign w:val="center"/>
            <w:hideMark/>
          </w:tcPr>
          <w:p w14:paraId="19E853ED" w14:textId="426E0E82" w:rsidR="008D43F1" w:rsidRPr="00795F17" w:rsidRDefault="008D43F1" w:rsidP="00967761">
            <w:pPr>
              <w:pStyle w:val="Teksttabelisrodek"/>
            </w:pPr>
            <w:r w:rsidRPr="00795F17">
              <w:t>66,7</w:t>
            </w:r>
          </w:p>
        </w:tc>
      </w:tr>
      <w:tr w:rsidR="008D43F1" w:rsidRPr="00795F17" w14:paraId="6078B057" w14:textId="77777777" w:rsidTr="008D43F1">
        <w:trPr>
          <w:trHeight w:val="454"/>
        </w:trPr>
        <w:tc>
          <w:tcPr>
            <w:tcW w:w="3299" w:type="pct"/>
            <w:noWrap/>
            <w:vAlign w:val="center"/>
            <w:hideMark/>
          </w:tcPr>
          <w:p w14:paraId="70977B82" w14:textId="2376D92D" w:rsidR="008D43F1" w:rsidRPr="00795F17" w:rsidRDefault="008D43F1" w:rsidP="00967761">
            <w:pPr>
              <w:pStyle w:val="Teksttabelilewy"/>
            </w:pPr>
            <w:r w:rsidRPr="00795F17">
              <w:t xml:space="preserve">Brak postępu </w:t>
            </w:r>
            <w:r w:rsidR="003F2700">
              <w:t>–</w:t>
            </w:r>
            <w:r w:rsidRPr="00795F17">
              <w:t xml:space="preserve"> ale poprawa stanu/potencjału</w:t>
            </w:r>
          </w:p>
        </w:tc>
        <w:tc>
          <w:tcPr>
            <w:tcW w:w="898" w:type="pct"/>
            <w:noWrap/>
            <w:vAlign w:val="center"/>
            <w:hideMark/>
          </w:tcPr>
          <w:p w14:paraId="7E6A1539" w14:textId="77777777" w:rsidR="008D43F1" w:rsidRPr="00795F17" w:rsidRDefault="008D43F1" w:rsidP="00967761">
            <w:pPr>
              <w:pStyle w:val="Teksttabelisrodek"/>
            </w:pPr>
            <w:r w:rsidRPr="00795F17">
              <w:t>0</w:t>
            </w:r>
          </w:p>
        </w:tc>
        <w:tc>
          <w:tcPr>
            <w:tcW w:w="803" w:type="pct"/>
            <w:vAlign w:val="center"/>
            <w:hideMark/>
          </w:tcPr>
          <w:p w14:paraId="46BD1FC5" w14:textId="075DE07C" w:rsidR="008D43F1" w:rsidRPr="00795F17" w:rsidRDefault="00746F81" w:rsidP="00967761">
            <w:pPr>
              <w:pStyle w:val="Teksttabelisrodek"/>
            </w:pPr>
            <w:r w:rsidRPr="00795F17">
              <w:t>0</w:t>
            </w:r>
          </w:p>
        </w:tc>
      </w:tr>
    </w:tbl>
    <w:p w14:paraId="5A402278" w14:textId="7B788BC0" w:rsidR="00DA4B81" w:rsidRPr="00795F17" w:rsidRDefault="00DA4B81" w:rsidP="00DA4B81">
      <w:pPr>
        <w:pStyle w:val="rdo"/>
      </w:pPr>
      <w:r w:rsidRPr="00795F17">
        <w:t>Źródło: opracowanie własne na podstawie danych GIOŚ i opracowania Ustalenie celów środowiskowych (…)</w:t>
      </w:r>
    </w:p>
    <w:p w14:paraId="1C512B5D" w14:textId="273B8438" w:rsidR="00CE597F" w:rsidRPr="00795F17" w:rsidRDefault="00CE597F" w:rsidP="00C53C86">
      <w:pPr>
        <w:pStyle w:val="Nagwek3"/>
      </w:pPr>
      <w:bookmarkStart w:id="476" w:name="_Toc105512669"/>
      <w:r w:rsidRPr="00795F17">
        <w:t xml:space="preserve">Ocena postępu w osiąganiu celów środowiskowych dla stanu chemicznego </w:t>
      </w:r>
      <w:r w:rsidR="00DF005E">
        <w:t>JCWP</w:t>
      </w:r>
      <w:r w:rsidRPr="00795F17">
        <w:t xml:space="preserve"> RWr w okresie od 2016</w:t>
      </w:r>
      <w:r w:rsidR="005A6124" w:rsidRPr="00795F17">
        <w:t xml:space="preserve"> r. do </w:t>
      </w:r>
      <w:r w:rsidRPr="00795F17">
        <w:t>2021 r. wraz z wyjaśnieniem przyczyn nieosiągnięcia celów środowiskowych</w:t>
      </w:r>
      <w:bookmarkEnd w:id="476"/>
      <w:r w:rsidRPr="00795F17">
        <w:t xml:space="preserve"> </w:t>
      </w:r>
    </w:p>
    <w:p w14:paraId="70F942DC" w14:textId="4E377FE8" w:rsidR="00CE597F" w:rsidRPr="00795F17" w:rsidRDefault="00CE597F" w:rsidP="0044393D">
      <w:pPr>
        <w:pStyle w:val="Nagwek5"/>
      </w:pPr>
      <w:r w:rsidRPr="00795F17">
        <w:t xml:space="preserve">Ocena postępu w osiąganiu celów środowiskowych dla stanu chemicznego </w:t>
      </w:r>
      <w:r w:rsidR="00DF005E">
        <w:t>JCWP</w:t>
      </w:r>
      <w:r w:rsidRPr="00795F17">
        <w:t xml:space="preserve"> RWr (układ planistyczny aPGW)</w:t>
      </w:r>
    </w:p>
    <w:p w14:paraId="2586D4FB" w14:textId="590C9ABD" w:rsidR="00CE597F" w:rsidRPr="00795F17" w:rsidRDefault="002E327E" w:rsidP="0044393D">
      <w:r w:rsidRPr="00795F17">
        <w:t>Jedna</w:t>
      </w:r>
      <w:r w:rsidR="00224472" w:rsidRPr="00795F17">
        <w:t xml:space="preserve"> </w:t>
      </w:r>
      <w:r w:rsidR="00DF005E">
        <w:t>JCWP</w:t>
      </w:r>
      <w:r w:rsidRPr="00795F17">
        <w:t xml:space="preserve"> RWr (6,2</w:t>
      </w:r>
      <w:r w:rsidR="003B43DD" w:rsidRPr="00795F17">
        <w:t>5</w:t>
      </w:r>
      <w:r w:rsidRPr="00795F17">
        <w:t xml:space="preserve">% wszystkich </w:t>
      </w:r>
      <w:r w:rsidR="00DF005E">
        <w:t>JCWP</w:t>
      </w:r>
      <w:r w:rsidRPr="00795F17">
        <w:t xml:space="preserve"> RWr </w:t>
      </w:r>
      <w:r w:rsidR="00A3062B">
        <w:t>na</w:t>
      </w:r>
      <w:r w:rsidRPr="00795F17">
        <w:t xml:space="preserve"> obszarze dorzecza Odry) osiągnęł</w:t>
      </w:r>
      <w:r w:rsidR="003B43DD" w:rsidRPr="00795F17">
        <w:t>a</w:t>
      </w:r>
      <w:r w:rsidRPr="00795F17">
        <w:t xml:space="preserve"> c</w:t>
      </w:r>
      <w:r w:rsidR="00CE597F" w:rsidRPr="00795F17">
        <w:t>el</w:t>
      </w:r>
      <w:r w:rsidRPr="00795F17">
        <w:t>e</w:t>
      </w:r>
      <w:r w:rsidR="00CE597F" w:rsidRPr="00795F17">
        <w:t xml:space="preserve"> środowiskow</w:t>
      </w:r>
      <w:r w:rsidRPr="00795F17">
        <w:t>e</w:t>
      </w:r>
      <w:r w:rsidR="00CE597F" w:rsidRPr="00795F17">
        <w:t xml:space="preserve">, co związane było z utrzymaniem dobrego stanu. W 5 </w:t>
      </w:r>
      <w:r w:rsidR="00DF005E">
        <w:t>JCWP</w:t>
      </w:r>
      <w:r w:rsidR="00CE597F" w:rsidRPr="00795F17">
        <w:t xml:space="preserve"> (31,2</w:t>
      </w:r>
      <w:r w:rsidR="003B43DD" w:rsidRPr="00795F17">
        <w:t>5</w:t>
      </w:r>
      <w:r w:rsidR="00CE597F" w:rsidRPr="00795F17">
        <w:t xml:space="preserve">%) spośród wszystkich 16 </w:t>
      </w:r>
      <w:r w:rsidR="00DF005E">
        <w:t>JCWP</w:t>
      </w:r>
      <w:r w:rsidR="00CE597F" w:rsidRPr="00795F17">
        <w:t xml:space="preserve"> RWr na obszarze dorzecza Odry cele środowiskowe nie zostały osiągnięte. Było</w:t>
      </w:r>
      <w:r w:rsidR="00113002" w:rsidRPr="00795F17">
        <w:t> </w:t>
      </w:r>
      <w:r w:rsidR="00CE597F" w:rsidRPr="00795F17">
        <w:t>to</w:t>
      </w:r>
      <w:r w:rsidR="00613564" w:rsidRPr="00795F17">
        <w:t> </w:t>
      </w:r>
      <w:r w:rsidR="00CE597F" w:rsidRPr="00795F17">
        <w:t>spowodowane utrzymaniem stanu chemicznego poniżej dobrego.</w:t>
      </w:r>
    </w:p>
    <w:p w14:paraId="73CB1EB3" w14:textId="1AD9EEE6" w:rsidR="003B43DD" w:rsidRPr="00795F17" w:rsidRDefault="003B43DD" w:rsidP="0044393D">
      <w:r w:rsidRPr="00795F17">
        <w:t>Wyżej opisane wyniki oceny postępu zaprezentowano w tabeli poniżej (tabela 9-</w:t>
      </w:r>
      <w:r w:rsidR="00DB7515" w:rsidRPr="00795F17">
        <w:t>10</w:t>
      </w:r>
      <w:r w:rsidRPr="00795F17">
        <w:t>).</w:t>
      </w:r>
    </w:p>
    <w:p w14:paraId="0C07269C" w14:textId="3030B14A" w:rsidR="003B2D14" w:rsidRPr="00795F17" w:rsidRDefault="003B2D14" w:rsidP="004D7705">
      <w:pPr>
        <w:pStyle w:val="Tabela"/>
      </w:pPr>
      <w:bookmarkStart w:id="477" w:name="_Toc66341912"/>
      <w:bookmarkStart w:id="478" w:name="_Toc105512834"/>
      <w:r w:rsidRPr="00795F17">
        <w:t xml:space="preserve">Tabela </w:t>
      </w:r>
      <w:fldSimple w:instr=" STYLEREF 1 \s ">
        <w:r w:rsidR="001F774D">
          <w:rPr>
            <w:noProof/>
          </w:rPr>
          <w:t>9</w:t>
        </w:r>
      </w:fldSimple>
      <w:r w:rsidR="00BB3B21" w:rsidRPr="00795F17">
        <w:noBreakHyphen/>
      </w:r>
      <w:fldSimple w:instr=" SEQ Tabela \* ARABIC \s 1 ">
        <w:r w:rsidR="001F774D">
          <w:rPr>
            <w:noProof/>
          </w:rPr>
          <w:t>10</w:t>
        </w:r>
      </w:fldSimple>
      <w:r w:rsidR="00E76356">
        <w:rPr>
          <w:noProof/>
        </w:rPr>
        <w:t>.</w:t>
      </w:r>
      <w:r w:rsidRPr="00795F17">
        <w:tab/>
      </w:r>
      <w:bookmarkEnd w:id="477"/>
      <w:r w:rsidR="003B43DD" w:rsidRPr="00795F17">
        <w:t>Ocena postępu w osiąganiu celów środowiskowych dla stanu chemicznego na obszarze dorzecza Odry w układzie planistycznym aPGW (cykl planistyczny 2016</w:t>
      </w:r>
      <w:r w:rsidR="003F2700">
        <w:t>–</w:t>
      </w:r>
      <w:r w:rsidR="003B43DD" w:rsidRPr="00795F17">
        <w:t>2021)</w:t>
      </w:r>
      <w:r w:rsidR="00BD0637">
        <w:t xml:space="preserve"> – </w:t>
      </w:r>
      <w:r w:rsidR="00DF005E">
        <w:t>JCWP</w:t>
      </w:r>
      <w:r w:rsidR="00BD0637" w:rsidRPr="008368C5">
        <w:t xml:space="preserve"> RW</w:t>
      </w:r>
      <w:r w:rsidR="00BD0637">
        <w:t>r</w:t>
      </w:r>
      <w:bookmarkEnd w:id="4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9"/>
        <w:gridCol w:w="1635"/>
        <w:gridCol w:w="1658"/>
      </w:tblGrid>
      <w:tr w:rsidR="00CE597F" w:rsidRPr="00795F17" w14:paraId="70B7A0C2" w14:textId="77777777" w:rsidTr="003D121A">
        <w:trPr>
          <w:trHeight w:val="454"/>
          <w:tblHeader/>
        </w:trPr>
        <w:tc>
          <w:tcPr>
            <w:tcW w:w="3204" w:type="pct"/>
            <w:shd w:val="clear" w:color="auto" w:fill="BFBFBF" w:themeFill="background1" w:themeFillShade="BF"/>
            <w:noWrap/>
            <w:vAlign w:val="center"/>
            <w:hideMark/>
          </w:tcPr>
          <w:p w14:paraId="22712046" w14:textId="737EAFDF" w:rsidR="00CE597F" w:rsidRPr="00795F17" w:rsidRDefault="003B43DD" w:rsidP="0044393D">
            <w:pPr>
              <w:pStyle w:val="Teksttabelinaglowek"/>
            </w:pPr>
            <w:r w:rsidRPr="00795F17">
              <w:t>Stopień osiągnięcia celu</w:t>
            </w:r>
          </w:p>
        </w:tc>
        <w:tc>
          <w:tcPr>
            <w:tcW w:w="860" w:type="pct"/>
            <w:shd w:val="clear" w:color="auto" w:fill="BFBFBF" w:themeFill="background1" w:themeFillShade="BF"/>
            <w:noWrap/>
            <w:vAlign w:val="center"/>
            <w:hideMark/>
          </w:tcPr>
          <w:p w14:paraId="68EFEB21" w14:textId="2DAD5B62" w:rsidR="00CE597F" w:rsidRPr="00795F17" w:rsidRDefault="00CE597F" w:rsidP="0044393D">
            <w:pPr>
              <w:pStyle w:val="Teksttabelinaglowek"/>
              <w:rPr>
                <w:rFonts w:eastAsia="Times New Roman" w:cs="Calibri"/>
                <w:color w:val="000000"/>
              </w:rPr>
            </w:pPr>
            <w:r w:rsidRPr="00795F17">
              <w:t xml:space="preserve">Liczba </w:t>
            </w:r>
            <w:r w:rsidR="00DF005E">
              <w:t>JCWP</w:t>
            </w:r>
            <w:r w:rsidRPr="00795F17">
              <w:rPr>
                <w:rFonts w:eastAsia="Times New Roman" w:cs="Calibri"/>
                <w:color w:val="000000"/>
              </w:rPr>
              <w:t xml:space="preserve"> RWr</w:t>
            </w:r>
          </w:p>
        </w:tc>
        <w:tc>
          <w:tcPr>
            <w:tcW w:w="936" w:type="pct"/>
            <w:shd w:val="clear" w:color="auto" w:fill="BFBFBF" w:themeFill="background1" w:themeFillShade="BF"/>
            <w:noWrap/>
            <w:vAlign w:val="center"/>
            <w:hideMark/>
          </w:tcPr>
          <w:p w14:paraId="571C38B0" w14:textId="4655F487" w:rsidR="00CE597F" w:rsidRPr="00795F17" w:rsidRDefault="00CE597F" w:rsidP="0044393D">
            <w:pPr>
              <w:pStyle w:val="Teksttabelinaglowek"/>
              <w:rPr>
                <w:rFonts w:eastAsia="Times New Roman" w:cs="Calibri"/>
                <w:bCs/>
                <w:color w:val="000000"/>
              </w:rPr>
            </w:pPr>
            <w:r w:rsidRPr="00795F17">
              <w:t xml:space="preserve">Udział </w:t>
            </w:r>
            <w:r w:rsidR="00DF005E">
              <w:t>JCWP</w:t>
            </w:r>
            <w:r w:rsidRPr="00795F17">
              <w:t xml:space="preserve"> </w:t>
            </w:r>
            <w:r w:rsidR="00EA4FF5" w:rsidRPr="00795F17">
              <w:t>(%)</w:t>
            </w:r>
          </w:p>
        </w:tc>
      </w:tr>
      <w:tr w:rsidR="003B43DD" w:rsidRPr="00795F17" w14:paraId="3F6ACFA6" w14:textId="77777777" w:rsidTr="003D121A">
        <w:trPr>
          <w:trHeight w:val="454"/>
        </w:trPr>
        <w:tc>
          <w:tcPr>
            <w:tcW w:w="3204" w:type="pct"/>
            <w:shd w:val="clear" w:color="auto" w:fill="auto"/>
            <w:noWrap/>
            <w:vAlign w:val="center"/>
            <w:hideMark/>
          </w:tcPr>
          <w:p w14:paraId="2C76F206" w14:textId="77FC4614" w:rsidR="003B43DD" w:rsidRPr="00795F17" w:rsidRDefault="003B43DD" w:rsidP="0044393D">
            <w:pPr>
              <w:pStyle w:val="Teksttabelilewy"/>
            </w:pPr>
            <w:r w:rsidRPr="00795F17">
              <w:t xml:space="preserve">Cel nieosiągnięty </w:t>
            </w:r>
            <w:r w:rsidR="003F2700">
              <w:t>–</w:t>
            </w:r>
            <w:r w:rsidRPr="00795F17">
              <w:t xml:space="preserve"> brak postępu</w:t>
            </w:r>
          </w:p>
        </w:tc>
        <w:tc>
          <w:tcPr>
            <w:tcW w:w="860" w:type="pct"/>
            <w:shd w:val="clear" w:color="auto" w:fill="auto"/>
            <w:noWrap/>
            <w:vAlign w:val="center"/>
            <w:hideMark/>
          </w:tcPr>
          <w:p w14:paraId="6A2F9590" w14:textId="77777777" w:rsidR="003B43DD" w:rsidRPr="00795F17" w:rsidRDefault="003B43DD" w:rsidP="0065243A">
            <w:pPr>
              <w:pStyle w:val="Teksttabelisrodek"/>
            </w:pPr>
            <w:r w:rsidRPr="00795F17">
              <w:t>5</w:t>
            </w:r>
          </w:p>
        </w:tc>
        <w:tc>
          <w:tcPr>
            <w:tcW w:w="936" w:type="pct"/>
            <w:shd w:val="clear" w:color="auto" w:fill="auto"/>
            <w:noWrap/>
            <w:vAlign w:val="center"/>
            <w:hideMark/>
          </w:tcPr>
          <w:p w14:paraId="3E8996CB" w14:textId="3D7571BC" w:rsidR="003B43DD" w:rsidRPr="00795F17" w:rsidRDefault="003B43DD" w:rsidP="0065243A">
            <w:pPr>
              <w:pStyle w:val="Teksttabelisrodek"/>
            </w:pPr>
            <w:r w:rsidRPr="00795F17">
              <w:t>31,25</w:t>
            </w:r>
          </w:p>
        </w:tc>
      </w:tr>
      <w:tr w:rsidR="003B43DD" w:rsidRPr="00795F17" w14:paraId="541C884F" w14:textId="77777777" w:rsidTr="003D121A">
        <w:trPr>
          <w:trHeight w:val="454"/>
        </w:trPr>
        <w:tc>
          <w:tcPr>
            <w:tcW w:w="3204" w:type="pct"/>
            <w:shd w:val="clear" w:color="auto" w:fill="auto"/>
            <w:noWrap/>
            <w:vAlign w:val="center"/>
            <w:hideMark/>
          </w:tcPr>
          <w:p w14:paraId="7FACEE57" w14:textId="241956C4" w:rsidR="003B43DD" w:rsidRPr="00795F17" w:rsidRDefault="003B43DD" w:rsidP="0044393D">
            <w:pPr>
              <w:pStyle w:val="Teksttabelilewy"/>
            </w:pPr>
            <w:r w:rsidRPr="00795F17">
              <w:t xml:space="preserve">Cel nieosiągnięty </w:t>
            </w:r>
            <w:r w:rsidR="003F2700">
              <w:t>–</w:t>
            </w:r>
            <w:r w:rsidRPr="00795F17">
              <w:t xml:space="preserve"> pogorszenie do stanu złego </w:t>
            </w:r>
          </w:p>
        </w:tc>
        <w:tc>
          <w:tcPr>
            <w:tcW w:w="860" w:type="pct"/>
            <w:shd w:val="clear" w:color="auto" w:fill="auto"/>
            <w:noWrap/>
            <w:vAlign w:val="center"/>
            <w:hideMark/>
          </w:tcPr>
          <w:p w14:paraId="2840740C" w14:textId="77777777" w:rsidR="003B43DD" w:rsidRPr="00795F17" w:rsidRDefault="003B43DD" w:rsidP="0065243A">
            <w:pPr>
              <w:pStyle w:val="Teksttabelisrodek"/>
            </w:pPr>
            <w:r w:rsidRPr="00795F17">
              <w:t>10</w:t>
            </w:r>
          </w:p>
        </w:tc>
        <w:tc>
          <w:tcPr>
            <w:tcW w:w="936" w:type="pct"/>
            <w:shd w:val="clear" w:color="auto" w:fill="auto"/>
            <w:noWrap/>
            <w:vAlign w:val="center"/>
            <w:hideMark/>
          </w:tcPr>
          <w:p w14:paraId="4BB0AE53" w14:textId="52ED897E" w:rsidR="003B43DD" w:rsidRPr="00795F17" w:rsidRDefault="003B43DD" w:rsidP="0065243A">
            <w:pPr>
              <w:pStyle w:val="Teksttabelisrodek"/>
            </w:pPr>
            <w:r w:rsidRPr="00795F17">
              <w:t>62,50</w:t>
            </w:r>
          </w:p>
        </w:tc>
      </w:tr>
      <w:tr w:rsidR="003B43DD" w:rsidRPr="00795F17" w14:paraId="71956105" w14:textId="77777777" w:rsidTr="003D121A">
        <w:trPr>
          <w:trHeight w:val="454"/>
        </w:trPr>
        <w:tc>
          <w:tcPr>
            <w:tcW w:w="3204" w:type="pct"/>
            <w:shd w:val="clear" w:color="auto" w:fill="auto"/>
            <w:noWrap/>
            <w:vAlign w:val="center"/>
            <w:hideMark/>
          </w:tcPr>
          <w:p w14:paraId="65A61697" w14:textId="7B226D73" w:rsidR="003B43DD" w:rsidRPr="00795F17" w:rsidRDefault="003B43DD" w:rsidP="0044393D">
            <w:pPr>
              <w:pStyle w:val="Teksttabelilewy"/>
            </w:pPr>
            <w:r w:rsidRPr="00795F17">
              <w:t xml:space="preserve">Cel osiągnięty </w:t>
            </w:r>
            <w:r w:rsidR="003F2700">
              <w:t>–</w:t>
            </w:r>
            <w:r w:rsidRPr="00795F17">
              <w:t xml:space="preserve"> utrzymanie dobrego stanu </w:t>
            </w:r>
          </w:p>
        </w:tc>
        <w:tc>
          <w:tcPr>
            <w:tcW w:w="860" w:type="pct"/>
            <w:shd w:val="clear" w:color="auto" w:fill="auto"/>
            <w:noWrap/>
            <w:vAlign w:val="center"/>
            <w:hideMark/>
          </w:tcPr>
          <w:p w14:paraId="2FBD7B2B" w14:textId="77777777" w:rsidR="003B43DD" w:rsidRPr="00795F17" w:rsidRDefault="003B43DD" w:rsidP="0065243A">
            <w:pPr>
              <w:pStyle w:val="Teksttabelisrodek"/>
            </w:pPr>
            <w:r w:rsidRPr="00795F17">
              <w:t>1</w:t>
            </w:r>
          </w:p>
        </w:tc>
        <w:tc>
          <w:tcPr>
            <w:tcW w:w="936" w:type="pct"/>
            <w:shd w:val="clear" w:color="auto" w:fill="auto"/>
            <w:noWrap/>
            <w:vAlign w:val="center"/>
            <w:hideMark/>
          </w:tcPr>
          <w:p w14:paraId="132AF212" w14:textId="5D3B16E5" w:rsidR="003B43DD" w:rsidRPr="00795F17" w:rsidRDefault="003B43DD" w:rsidP="0065243A">
            <w:pPr>
              <w:pStyle w:val="Teksttabelisrodek"/>
            </w:pPr>
            <w:r w:rsidRPr="00795F17">
              <w:t>6,25</w:t>
            </w:r>
          </w:p>
        </w:tc>
      </w:tr>
      <w:tr w:rsidR="003B43DD" w:rsidRPr="00795F17" w14:paraId="67DA0BC1" w14:textId="77777777" w:rsidTr="003D121A">
        <w:trPr>
          <w:trHeight w:val="454"/>
        </w:trPr>
        <w:tc>
          <w:tcPr>
            <w:tcW w:w="3204" w:type="pct"/>
            <w:shd w:val="clear" w:color="auto" w:fill="auto"/>
            <w:noWrap/>
            <w:vAlign w:val="center"/>
          </w:tcPr>
          <w:p w14:paraId="26E3FD9F" w14:textId="2596BAFE" w:rsidR="003B43DD" w:rsidRPr="00795F17" w:rsidRDefault="003B43DD" w:rsidP="0044393D">
            <w:pPr>
              <w:pStyle w:val="Teksttabelilewy"/>
            </w:pPr>
            <w:r w:rsidRPr="00795F17">
              <w:t>Brak możliwości oceny postępu </w:t>
            </w:r>
          </w:p>
        </w:tc>
        <w:tc>
          <w:tcPr>
            <w:tcW w:w="860" w:type="pct"/>
            <w:shd w:val="clear" w:color="auto" w:fill="auto"/>
            <w:noWrap/>
            <w:vAlign w:val="center"/>
          </w:tcPr>
          <w:p w14:paraId="13859541" w14:textId="229067BC" w:rsidR="003B43DD" w:rsidRPr="00795F17" w:rsidRDefault="003B43DD" w:rsidP="0065243A">
            <w:pPr>
              <w:pStyle w:val="Teksttabelisrodek"/>
            </w:pPr>
            <w:r w:rsidRPr="00795F17">
              <w:t>0</w:t>
            </w:r>
          </w:p>
        </w:tc>
        <w:tc>
          <w:tcPr>
            <w:tcW w:w="936" w:type="pct"/>
            <w:shd w:val="clear" w:color="auto" w:fill="auto"/>
            <w:noWrap/>
            <w:vAlign w:val="center"/>
          </w:tcPr>
          <w:p w14:paraId="06BBA5F3" w14:textId="766BC17A" w:rsidR="003B43DD" w:rsidRPr="00795F17" w:rsidRDefault="00DB7515" w:rsidP="0065243A">
            <w:pPr>
              <w:pStyle w:val="Teksttabelisrodek"/>
            </w:pPr>
            <w:r w:rsidRPr="00795F17">
              <w:t>0,00</w:t>
            </w:r>
          </w:p>
        </w:tc>
      </w:tr>
      <w:tr w:rsidR="003B43DD" w:rsidRPr="00795F17" w14:paraId="3FBC90C5" w14:textId="77777777" w:rsidTr="003D121A">
        <w:trPr>
          <w:trHeight w:val="454"/>
        </w:trPr>
        <w:tc>
          <w:tcPr>
            <w:tcW w:w="3204" w:type="pct"/>
            <w:shd w:val="clear" w:color="auto" w:fill="BFBFBF" w:themeFill="background1" w:themeFillShade="BF"/>
            <w:noWrap/>
            <w:vAlign w:val="center"/>
          </w:tcPr>
          <w:p w14:paraId="54DD094E" w14:textId="1A4A0216" w:rsidR="003B43DD" w:rsidRPr="00795F17" w:rsidRDefault="003B43DD" w:rsidP="005573CA">
            <w:pPr>
              <w:pStyle w:val="Teksttabelinaglowek"/>
            </w:pPr>
            <w:r w:rsidRPr="00795F17">
              <w:t xml:space="preserve">Liczba </w:t>
            </w:r>
            <w:r w:rsidR="00DF005E">
              <w:t>JCWP</w:t>
            </w:r>
            <w:r w:rsidRPr="00795F17">
              <w:t xml:space="preserve"> </w:t>
            </w:r>
            <w:r w:rsidR="00677E27" w:rsidRPr="00795F17">
              <w:t xml:space="preserve">RWr </w:t>
            </w:r>
            <w:r w:rsidR="00A3062B">
              <w:t>na</w:t>
            </w:r>
            <w:r w:rsidRPr="00795F17">
              <w:t xml:space="preserve"> obszarze dorzecza</w:t>
            </w:r>
          </w:p>
        </w:tc>
        <w:tc>
          <w:tcPr>
            <w:tcW w:w="860" w:type="pct"/>
            <w:shd w:val="clear" w:color="auto" w:fill="BFBFBF" w:themeFill="background1" w:themeFillShade="BF"/>
            <w:noWrap/>
            <w:vAlign w:val="center"/>
          </w:tcPr>
          <w:p w14:paraId="3EBAD445" w14:textId="7C82F980" w:rsidR="003B43DD" w:rsidRPr="00795F17" w:rsidRDefault="003B43DD" w:rsidP="005573CA">
            <w:pPr>
              <w:pStyle w:val="Teksttabelinaglowek"/>
            </w:pPr>
            <w:r w:rsidRPr="00795F17">
              <w:t>16</w:t>
            </w:r>
          </w:p>
        </w:tc>
        <w:tc>
          <w:tcPr>
            <w:tcW w:w="936" w:type="pct"/>
            <w:shd w:val="clear" w:color="auto" w:fill="BFBFBF" w:themeFill="background1" w:themeFillShade="BF"/>
            <w:noWrap/>
            <w:vAlign w:val="center"/>
          </w:tcPr>
          <w:p w14:paraId="206E3A3A" w14:textId="04B96159" w:rsidR="003B43DD" w:rsidRPr="00795F17" w:rsidRDefault="003B43DD" w:rsidP="005573CA">
            <w:pPr>
              <w:pStyle w:val="Teksttabelinaglowek"/>
            </w:pPr>
            <w:r w:rsidRPr="00795F17">
              <w:t>100</w:t>
            </w:r>
          </w:p>
        </w:tc>
      </w:tr>
    </w:tbl>
    <w:p w14:paraId="0AB7FDC6" w14:textId="7499D7A8" w:rsidR="00CE597F" w:rsidRPr="00795F17" w:rsidRDefault="00CE597F" w:rsidP="00893245">
      <w:pPr>
        <w:pStyle w:val="rdo"/>
      </w:pPr>
      <w:r w:rsidRPr="00795F17">
        <w:t xml:space="preserve">Źródło: </w:t>
      </w:r>
      <w:r w:rsidR="00FD7248" w:rsidRPr="00795F17">
        <w:t>opracowanie własne</w:t>
      </w:r>
      <w:r w:rsidRPr="00795F17">
        <w:t xml:space="preserve"> na podstawie danych </w:t>
      </w:r>
      <w:r w:rsidR="00FE25FC" w:rsidRPr="00795F17">
        <w:t>GIOŚ</w:t>
      </w:r>
    </w:p>
    <w:p w14:paraId="4F8F3945" w14:textId="16DF30F0" w:rsidR="00CE597F" w:rsidRPr="00795F17" w:rsidRDefault="00CE597F" w:rsidP="0044393D">
      <w:pPr>
        <w:pStyle w:val="Nagwek5"/>
        <w:rPr>
          <w:bCs/>
        </w:rPr>
      </w:pPr>
      <w:r w:rsidRPr="00795F17">
        <w:t xml:space="preserve">Ocena postępu w osiąganiu celów środowiskowych dla stanu chemicznego </w:t>
      </w:r>
      <w:r w:rsidR="00DF005E">
        <w:t>JCWP</w:t>
      </w:r>
      <w:r w:rsidRPr="00795F17">
        <w:t xml:space="preserve"> RWr (</w:t>
      </w:r>
      <w:r w:rsidR="00613564" w:rsidRPr="00795F17">
        <w:t xml:space="preserve">aktualny </w:t>
      </w:r>
      <w:r w:rsidRPr="00795F17">
        <w:t>układ planistyczny IIaPGW)</w:t>
      </w:r>
    </w:p>
    <w:p w14:paraId="37868665" w14:textId="6C85EFF1" w:rsidR="00663AC8" w:rsidRPr="00795F17" w:rsidRDefault="00FB46B6" w:rsidP="0044393D">
      <w:r w:rsidRPr="00795F17">
        <w:t xml:space="preserve">W stosunku do </w:t>
      </w:r>
      <w:r w:rsidR="00DF005E">
        <w:t>JCWP</w:t>
      </w:r>
      <w:r w:rsidRPr="00795F17">
        <w:t xml:space="preserve"> </w:t>
      </w:r>
      <w:r w:rsidR="00DB7515" w:rsidRPr="00795F17">
        <w:t>RWr</w:t>
      </w:r>
      <w:r w:rsidRPr="00795F17">
        <w:t xml:space="preserve">, stwierdzono </w:t>
      </w:r>
      <w:r w:rsidR="002920BD" w:rsidRPr="00795F17">
        <w:t>osiągnięcie</w:t>
      </w:r>
      <w:r w:rsidRPr="00795F17">
        <w:t xml:space="preserve"> celów środowiskowych dla 1 </w:t>
      </w:r>
      <w:r w:rsidR="00DF005E">
        <w:t>JCWP</w:t>
      </w:r>
      <w:r w:rsidR="00DB7515" w:rsidRPr="00795F17">
        <w:t xml:space="preserve"> RWr</w:t>
      </w:r>
      <w:r w:rsidRPr="00795F17">
        <w:t>. W</w:t>
      </w:r>
      <w:r w:rsidR="001B15D5">
        <w:t xml:space="preserve"> </w:t>
      </w:r>
      <w:r w:rsidRPr="00795F17">
        <w:t xml:space="preserve">stosunku do 94,7% </w:t>
      </w:r>
      <w:r w:rsidR="00DF005E">
        <w:t>JCWP</w:t>
      </w:r>
      <w:r w:rsidRPr="00795F17">
        <w:t xml:space="preserve"> </w:t>
      </w:r>
      <w:r w:rsidR="00DB7515" w:rsidRPr="00795F17">
        <w:t xml:space="preserve">RWr, </w:t>
      </w:r>
      <w:r w:rsidRPr="00795F17">
        <w:t>stwierdzono przekroczenie wartości granicznych, co doprowadziło do</w:t>
      </w:r>
      <w:r w:rsidR="00DB7515" w:rsidRPr="00795F17">
        <w:t xml:space="preserve"> </w:t>
      </w:r>
      <w:r w:rsidRPr="00795F17">
        <w:t xml:space="preserve">pogorszenia się/utrzymania złego stanu. </w:t>
      </w:r>
    </w:p>
    <w:p w14:paraId="36900CB2" w14:textId="43B77ADC" w:rsidR="00663AC8" w:rsidRPr="00795F17" w:rsidRDefault="00663AC8" w:rsidP="0044393D">
      <w:r w:rsidRPr="00795F17">
        <w:t>Wyżej opisane wyniki oceny postępu zaprezentowano w tabeli poniżej (tabela 9-</w:t>
      </w:r>
      <w:r w:rsidR="00B3309A" w:rsidRPr="00795F17">
        <w:t>11</w:t>
      </w:r>
      <w:r w:rsidRPr="00795F17">
        <w:t>).</w:t>
      </w:r>
    </w:p>
    <w:p w14:paraId="42F4D2E2" w14:textId="570E42AB" w:rsidR="003B2D14" w:rsidRPr="00795F17" w:rsidRDefault="003B2D14" w:rsidP="004D7705">
      <w:pPr>
        <w:pStyle w:val="Tabela"/>
      </w:pPr>
      <w:bookmarkStart w:id="479" w:name="_Toc66341913"/>
      <w:bookmarkStart w:id="480" w:name="_Toc105512835"/>
      <w:r w:rsidRPr="00795F17">
        <w:t xml:space="preserve">Tabela </w:t>
      </w:r>
      <w:fldSimple w:instr=" STYLEREF 1 \s ">
        <w:r w:rsidR="001F774D">
          <w:rPr>
            <w:noProof/>
          </w:rPr>
          <w:t>9</w:t>
        </w:r>
      </w:fldSimple>
      <w:r w:rsidR="00BB3B21" w:rsidRPr="00795F17">
        <w:noBreakHyphen/>
      </w:r>
      <w:fldSimple w:instr=" SEQ Tabela \* ARABIC \s 1 ">
        <w:r w:rsidR="001F774D">
          <w:rPr>
            <w:noProof/>
          </w:rPr>
          <w:t>11</w:t>
        </w:r>
      </w:fldSimple>
      <w:r w:rsidR="00E76356">
        <w:rPr>
          <w:noProof/>
        </w:rPr>
        <w:t>.</w:t>
      </w:r>
      <w:r w:rsidRPr="00795F17">
        <w:tab/>
        <w:t xml:space="preserve">Ocena postępu w osiąganiu celów środowiskowych dla stanu chemicznego </w:t>
      </w:r>
      <w:r w:rsidRPr="00795F17">
        <w:rPr>
          <w:rFonts w:cstheme="minorHAnsi"/>
          <w:szCs w:val="20"/>
        </w:rPr>
        <w:t>w</w:t>
      </w:r>
      <w:r w:rsidRPr="00795F17">
        <w:t xml:space="preserve"> obszarze dorzecza </w:t>
      </w:r>
      <w:r w:rsidR="00D635B0" w:rsidRPr="00795F17">
        <w:rPr>
          <w:rFonts w:cstheme="minorHAnsi"/>
          <w:szCs w:val="20"/>
        </w:rPr>
        <w:t>Odry</w:t>
      </w:r>
      <w:r w:rsidRPr="00795F17">
        <w:t xml:space="preserve"> bazujące na nowym układzie planistycznym </w:t>
      </w:r>
      <w:r w:rsidRPr="00795F17">
        <w:rPr>
          <w:rFonts w:cstheme="minorHAnsi"/>
          <w:szCs w:val="20"/>
        </w:rPr>
        <w:t xml:space="preserve">IIaPGW </w:t>
      </w:r>
      <w:r w:rsidR="00FB2F57">
        <w:t>–</w:t>
      </w:r>
      <w:r w:rsidRPr="00795F17">
        <w:t xml:space="preserve"> </w:t>
      </w:r>
      <w:r w:rsidR="00DF005E">
        <w:t>JCWP</w:t>
      </w:r>
      <w:r w:rsidRPr="00795F17">
        <w:t xml:space="preserve"> RWr</w:t>
      </w:r>
      <w:bookmarkEnd w:id="479"/>
      <w:bookmarkEnd w:id="480"/>
    </w:p>
    <w:tbl>
      <w:tblPr>
        <w:tblW w:w="5000" w:type="pct"/>
        <w:tblCellMar>
          <w:left w:w="10" w:type="dxa"/>
          <w:right w:w="10" w:type="dxa"/>
        </w:tblCellMar>
        <w:tblLook w:val="04A0" w:firstRow="1" w:lastRow="0" w:firstColumn="1" w:lastColumn="0" w:noHBand="0" w:noVBand="1"/>
      </w:tblPr>
      <w:tblGrid>
        <w:gridCol w:w="5800"/>
        <w:gridCol w:w="1635"/>
        <w:gridCol w:w="1627"/>
      </w:tblGrid>
      <w:tr w:rsidR="00CE597F" w:rsidRPr="00795F17" w14:paraId="39AACEEF" w14:textId="77777777" w:rsidTr="003D121A">
        <w:trPr>
          <w:trHeight w:val="454"/>
        </w:trPr>
        <w:tc>
          <w:tcPr>
            <w:tcW w:w="3202" w:type="pct"/>
            <w:tcBorders>
              <w:top w:val="single" w:sz="4" w:space="0" w:color="000000"/>
              <w:left w:val="single" w:sz="4" w:space="0" w:color="000000"/>
              <w:bottom w:val="single" w:sz="4" w:space="0" w:color="000000"/>
              <w:right w:val="single" w:sz="4" w:space="0" w:color="000000"/>
            </w:tcBorders>
            <w:shd w:val="clear" w:color="auto" w:fill="BFBFBF"/>
            <w:noWrap/>
            <w:tcMar>
              <w:top w:w="0" w:type="dxa"/>
              <w:left w:w="108" w:type="dxa"/>
              <w:bottom w:w="0" w:type="dxa"/>
              <w:right w:w="108" w:type="dxa"/>
            </w:tcMar>
            <w:vAlign w:val="center"/>
          </w:tcPr>
          <w:p w14:paraId="00865312" w14:textId="78A1EF65" w:rsidR="00CE597F" w:rsidRPr="00795F17" w:rsidRDefault="003B43DD" w:rsidP="0044393D">
            <w:pPr>
              <w:pStyle w:val="Teksttabelinaglowek"/>
            </w:pPr>
            <w:r w:rsidRPr="00795F17">
              <w:t>Stopień osiągnięcia celu</w:t>
            </w:r>
          </w:p>
        </w:tc>
        <w:tc>
          <w:tcPr>
            <w:tcW w:w="899" w:type="pct"/>
            <w:tcBorders>
              <w:top w:val="single" w:sz="4" w:space="0" w:color="000000"/>
              <w:left w:val="single" w:sz="4" w:space="0" w:color="000000"/>
              <w:bottom w:val="single" w:sz="4" w:space="0" w:color="000000"/>
              <w:right w:val="single" w:sz="4" w:space="0" w:color="000000"/>
            </w:tcBorders>
            <w:shd w:val="clear" w:color="auto" w:fill="BFBFBF"/>
            <w:noWrap/>
            <w:tcMar>
              <w:top w:w="0" w:type="dxa"/>
              <w:left w:w="108" w:type="dxa"/>
              <w:bottom w:w="0" w:type="dxa"/>
              <w:right w:w="108" w:type="dxa"/>
            </w:tcMar>
            <w:vAlign w:val="center"/>
          </w:tcPr>
          <w:p w14:paraId="3C2D922F" w14:textId="48688419" w:rsidR="00CE597F" w:rsidRPr="00795F17" w:rsidRDefault="00CE597F" w:rsidP="0044393D">
            <w:pPr>
              <w:pStyle w:val="Teksttabelinaglowek"/>
            </w:pPr>
            <w:r w:rsidRPr="00795F17">
              <w:t xml:space="preserve">Liczba </w:t>
            </w:r>
            <w:r w:rsidR="00DF005E">
              <w:t>JCWP</w:t>
            </w:r>
            <w:r w:rsidRPr="00795F17">
              <w:t xml:space="preserve"> RWr</w:t>
            </w:r>
          </w:p>
        </w:tc>
        <w:tc>
          <w:tcPr>
            <w:tcW w:w="899" w:type="pct"/>
            <w:tcBorders>
              <w:top w:val="single" w:sz="4" w:space="0" w:color="000000"/>
              <w:left w:val="single" w:sz="4" w:space="0" w:color="000000"/>
              <w:bottom w:val="single" w:sz="4" w:space="0" w:color="000000"/>
              <w:right w:val="single" w:sz="4" w:space="0" w:color="000000"/>
            </w:tcBorders>
            <w:shd w:val="clear" w:color="auto" w:fill="BFBFBF"/>
            <w:noWrap/>
            <w:tcMar>
              <w:top w:w="0" w:type="dxa"/>
              <w:left w:w="108" w:type="dxa"/>
              <w:bottom w:w="0" w:type="dxa"/>
              <w:right w:w="108" w:type="dxa"/>
            </w:tcMar>
            <w:vAlign w:val="center"/>
          </w:tcPr>
          <w:p w14:paraId="3B4DFB34" w14:textId="685913BD" w:rsidR="00CE597F" w:rsidRPr="00795F17" w:rsidRDefault="00CE597F" w:rsidP="0044393D">
            <w:pPr>
              <w:pStyle w:val="Teksttabelinaglowek"/>
            </w:pPr>
            <w:r w:rsidRPr="00795F17">
              <w:t xml:space="preserve">Udział </w:t>
            </w:r>
            <w:r w:rsidR="00DF005E">
              <w:t>JCWP</w:t>
            </w:r>
            <w:r w:rsidRPr="00795F17">
              <w:t xml:space="preserve"> </w:t>
            </w:r>
            <w:r w:rsidR="00EA4FF5" w:rsidRPr="00795F17">
              <w:t>(%)</w:t>
            </w:r>
          </w:p>
        </w:tc>
      </w:tr>
      <w:tr w:rsidR="00CE597F" w:rsidRPr="00795F17" w14:paraId="7EEC21D6" w14:textId="77777777" w:rsidTr="003D121A">
        <w:trPr>
          <w:trHeight w:val="454"/>
        </w:trPr>
        <w:tc>
          <w:tcPr>
            <w:tcW w:w="320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88931C" w14:textId="55CE837E" w:rsidR="00CE597F" w:rsidRPr="00795F17" w:rsidRDefault="00CE597F" w:rsidP="00597D57">
            <w:pPr>
              <w:pStyle w:val="Teksttabelilewy"/>
            </w:pPr>
            <w:r w:rsidRPr="00795F17">
              <w:t xml:space="preserve">Cel nieosiągnięty </w:t>
            </w:r>
            <w:r w:rsidR="00BA657A">
              <w:t>–</w:t>
            </w:r>
            <w:r w:rsidRPr="00795F17">
              <w:t xml:space="preserve"> brak postępu</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809B9F" w14:textId="77777777" w:rsidR="00CE597F" w:rsidRPr="00795F17" w:rsidRDefault="00CE597F" w:rsidP="0065243A">
            <w:pPr>
              <w:pStyle w:val="Teksttabelisrodek"/>
            </w:pPr>
            <w:r w:rsidRPr="00795F17">
              <w:t>5</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DF05BE" w14:textId="77777777" w:rsidR="00CE597F" w:rsidRPr="00795F17" w:rsidRDefault="00CE597F" w:rsidP="0065243A">
            <w:pPr>
              <w:pStyle w:val="Teksttabelisrodek"/>
            </w:pPr>
            <w:r w:rsidRPr="00795F17">
              <w:t>26,3</w:t>
            </w:r>
          </w:p>
        </w:tc>
      </w:tr>
      <w:tr w:rsidR="00CE597F" w:rsidRPr="00795F17" w14:paraId="1EFB340E" w14:textId="77777777" w:rsidTr="003D121A">
        <w:trPr>
          <w:trHeight w:val="454"/>
        </w:trPr>
        <w:tc>
          <w:tcPr>
            <w:tcW w:w="320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DB0A73" w14:textId="6E974BB7" w:rsidR="00CE597F" w:rsidRPr="00795F17" w:rsidRDefault="00CE597F" w:rsidP="00597D57">
            <w:pPr>
              <w:pStyle w:val="Teksttabelilewy"/>
            </w:pPr>
            <w:r w:rsidRPr="00795F17">
              <w:t xml:space="preserve">Cel nieosiągnięty </w:t>
            </w:r>
            <w:r w:rsidR="00BA657A">
              <w:t>–</w:t>
            </w:r>
            <w:r w:rsidRPr="00795F17">
              <w:t xml:space="preserve"> pogorszenie stanu</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2CB36C" w14:textId="77777777" w:rsidR="00CE597F" w:rsidRPr="00795F17" w:rsidRDefault="00CE597F" w:rsidP="0065243A">
            <w:pPr>
              <w:pStyle w:val="Teksttabelisrodek"/>
            </w:pPr>
            <w:r w:rsidRPr="00795F17">
              <w:t>13</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EC0150" w14:textId="77777777" w:rsidR="00CE597F" w:rsidRPr="00795F17" w:rsidRDefault="00CE597F" w:rsidP="0065243A">
            <w:pPr>
              <w:pStyle w:val="Teksttabelisrodek"/>
            </w:pPr>
            <w:r w:rsidRPr="00795F17">
              <w:t>68,4</w:t>
            </w:r>
          </w:p>
        </w:tc>
      </w:tr>
      <w:tr w:rsidR="00CE597F" w:rsidRPr="00795F17" w14:paraId="22ED4E07" w14:textId="77777777" w:rsidTr="003D121A">
        <w:trPr>
          <w:trHeight w:val="454"/>
        </w:trPr>
        <w:tc>
          <w:tcPr>
            <w:tcW w:w="320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608B655" w14:textId="3D40AE9B" w:rsidR="00CE597F" w:rsidRPr="00795F17" w:rsidRDefault="00CE597F" w:rsidP="00597D57">
            <w:pPr>
              <w:pStyle w:val="Teksttabelilewy"/>
            </w:pPr>
            <w:r w:rsidRPr="00795F17">
              <w:t xml:space="preserve">Cel osiągnięty </w:t>
            </w:r>
            <w:r w:rsidR="00BA657A">
              <w:t>–</w:t>
            </w:r>
            <w:r w:rsidRPr="00795F17">
              <w:t xml:space="preserve"> utrzymanie dobrego stanu</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47AC07" w14:textId="77777777" w:rsidR="00CE597F" w:rsidRPr="00795F17" w:rsidRDefault="00CE597F" w:rsidP="0065243A">
            <w:pPr>
              <w:pStyle w:val="Teksttabelisrodek"/>
            </w:pPr>
            <w:r w:rsidRPr="00795F17">
              <w:t>1</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9F5784" w14:textId="77777777" w:rsidR="00CE597F" w:rsidRPr="00795F17" w:rsidRDefault="00CE597F" w:rsidP="0065243A">
            <w:pPr>
              <w:pStyle w:val="Teksttabelisrodek"/>
            </w:pPr>
            <w:r w:rsidRPr="00795F17">
              <w:t>5,3</w:t>
            </w:r>
          </w:p>
        </w:tc>
      </w:tr>
      <w:tr w:rsidR="00CE597F" w:rsidRPr="00795F17" w14:paraId="12DA1C4D" w14:textId="77777777" w:rsidTr="003D121A">
        <w:trPr>
          <w:trHeight w:val="454"/>
        </w:trPr>
        <w:tc>
          <w:tcPr>
            <w:tcW w:w="320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D72BAD" w14:textId="75774559" w:rsidR="00CE597F" w:rsidRPr="00795F17" w:rsidRDefault="00CE597F" w:rsidP="00597D57">
            <w:pPr>
              <w:pStyle w:val="Teksttabelilewy"/>
            </w:pPr>
            <w:r w:rsidRPr="00795F17">
              <w:t xml:space="preserve">Cel osiągnięty </w:t>
            </w:r>
            <w:r w:rsidR="00BA657A">
              <w:t>–</w:t>
            </w:r>
            <w:r w:rsidRPr="00795F17">
              <w:t xml:space="preserve"> poprawa stanu</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B34A1D" w14:textId="77777777" w:rsidR="00CE597F" w:rsidRPr="00795F17" w:rsidRDefault="00CE597F" w:rsidP="0065243A">
            <w:pPr>
              <w:pStyle w:val="Teksttabelisrodek"/>
            </w:pPr>
            <w:r w:rsidRPr="00795F17">
              <w:t>0</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2F1233" w14:textId="74E2DE46" w:rsidR="00CE597F" w:rsidRPr="00795F17" w:rsidRDefault="00DB7515" w:rsidP="0065243A">
            <w:pPr>
              <w:pStyle w:val="Teksttabelisrodek"/>
            </w:pPr>
            <w:r w:rsidRPr="00795F17">
              <w:t>0,0</w:t>
            </w:r>
          </w:p>
        </w:tc>
      </w:tr>
      <w:tr w:rsidR="00CE597F" w:rsidRPr="00795F17" w14:paraId="2EDF0DCC" w14:textId="77777777" w:rsidTr="003D121A">
        <w:trPr>
          <w:trHeight w:val="454"/>
        </w:trPr>
        <w:tc>
          <w:tcPr>
            <w:tcW w:w="320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7C6D7E" w14:textId="77777777" w:rsidR="00CE597F" w:rsidRPr="00795F17" w:rsidRDefault="00CE597F" w:rsidP="00597D57">
            <w:pPr>
              <w:pStyle w:val="Teksttabelilewy"/>
            </w:pPr>
            <w:r w:rsidRPr="00795F17">
              <w:t>Brak możliwości oceny postępu</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816B77" w14:textId="77777777" w:rsidR="00CE597F" w:rsidRPr="00795F17" w:rsidRDefault="00CE597F" w:rsidP="0065243A">
            <w:pPr>
              <w:pStyle w:val="Teksttabelisrodek"/>
            </w:pPr>
            <w:r w:rsidRPr="00795F17">
              <w:t>0</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049543" w14:textId="3A1D2864" w:rsidR="00CE597F" w:rsidRPr="00795F17" w:rsidRDefault="00DB7515" w:rsidP="0065243A">
            <w:pPr>
              <w:pStyle w:val="Teksttabelisrodek"/>
            </w:pPr>
            <w:r w:rsidRPr="00795F17">
              <w:t>0,0</w:t>
            </w:r>
          </w:p>
        </w:tc>
      </w:tr>
      <w:tr w:rsidR="003B43DD" w:rsidRPr="00795F17" w14:paraId="7E18EE7C" w14:textId="77777777" w:rsidTr="003D121A">
        <w:trPr>
          <w:trHeight w:val="454"/>
        </w:trPr>
        <w:tc>
          <w:tcPr>
            <w:tcW w:w="3202"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45C53705" w14:textId="757C912F" w:rsidR="003B43DD" w:rsidRPr="00795F17" w:rsidRDefault="003B43DD" w:rsidP="00597D57">
            <w:pPr>
              <w:pStyle w:val="Teksttabelinaglowek"/>
            </w:pPr>
            <w:r w:rsidRPr="00795F17">
              <w:t xml:space="preserve">Liczba </w:t>
            </w:r>
            <w:r w:rsidR="00DF005E">
              <w:t>JCWP</w:t>
            </w:r>
            <w:r w:rsidRPr="00795F17">
              <w:t xml:space="preserve"> </w:t>
            </w:r>
            <w:r w:rsidR="00677E27" w:rsidRPr="00795F17">
              <w:t xml:space="preserve">RWr </w:t>
            </w:r>
            <w:r w:rsidR="00B80AC8">
              <w:t>na</w:t>
            </w:r>
            <w:r w:rsidRPr="00795F17">
              <w:t xml:space="preserve"> obszarze dorzecza</w:t>
            </w:r>
          </w:p>
        </w:tc>
        <w:tc>
          <w:tcPr>
            <w:tcW w:w="899"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39DC9FD2" w14:textId="2F909E3C" w:rsidR="003B43DD" w:rsidRPr="00795F17" w:rsidRDefault="003B43DD" w:rsidP="00597D57">
            <w:pPr>
              <w:pStyle w:val="Teksttabelinaglowek"/>
            </w:pPr>
            <w:r w:rsidRPr="00795F17">
              <w:t>19</w:t>
            </w:r>
          </w:p>
        </w:tc>
        <w:tc>
          <w:tcPr>
            <w:tcW w:w="899"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5FEC0F6F" w14:textId="40C57485" w:rsidR="003B43DD" w:rsidRPr="00795F17" w:rsidRDefault="003B43DD" w:rsidP="00597D57">
            <w:pPr>
              <w:pStyle w:val="Teksttabelinaglowek"/>
            </w:pPr>
            <w:r w:rsidRPr="00795F17">
              <w:t>100</w:t>
            </w:r>
          </w:p>
        </w:tc>
      </w:tr>
    </w:tbl>
    <w:p w14:paraId="3E211883" w14:textId="226D55E4" w:rsidR="00CE597F" w:rsidRPr="00795F17" w:rsidRDefault="00CE597F" w:rsidP="0044393D">
      <w:pPr>
        <w:pStyle w:val="rdo"/>
      </w:pPr>
      <w:r w:rsidRPr="00795F17">
        <w:t xml:space="preserve">Źródło: </w:t>
      </w:r>
      <w:r w:rsidR="00FD7248" w:rsidRPr="00795F17">
        <w:t>opracowanie własne</w:t>
      </w:r>
      <w:r w:rsidRPr="00795F17">
        <w:t xml:space="preserve"> na podstawie danych GIOŚ</w:t>
      </w:r>
    </w:p>
    <w:p w14:paraId="61C30D3C" w14:textId="4678C979" w:rsidR="00663AC8" w:rsidRPr="00795F17" w:rsidRDefault="00663AC8" w:rsidP="0044393D">
      <w:pPr>
        <w:rPr>
          <w:color w:val="000000"/>
        </w:rPr>
      </w:pPr>
      <w:r w:rsidRPr="00795F17">
        <w:t>Najczęstszą przyczyną nieosiągnięcia celu środowiskowego było przekroczenie wartości granicznych w</w:t>
      </w:r>
      <w:r w:rsidR="00FB46B6" w:rsidRPr="00795F17">
        <w:t> </w:t>
      </w:r>
      <w:r w:rsidRPr="00795F17">
        <w:t xml:space="preserve">nowej </w:t>
      </w:r>
      <w:r w:rsidRPr="001A77ED">
        <w:t>matrycy</w:t>
      </w:r>
      <w:r w:rsidRPr="00795F17">
        <w:t xml:space="preserve"> </w:t>
      </w:r>
      <w:r w:rsidR="00BA657A">
        <w:t>–</w:t>
      </w:r>
      <w:r w:rsidRPr="00795F17">
        <w:t xml:space="preserve"> biocie (84,2% </w:t>
      </w:r>
      <w:r w:rsidR="00DF005E">
        <w:t>JCWP</w:t>
      </w:r>
      <w:r w:rsidR="00DB7515" w:rsidRPr="00795F17">
        <w:t xml:space="preserve"> RWr</w:t>
      </w:r>
      <w:r w:rsidRPr="00795F17">
        <w:t>). Wraz z rozpoczęciem pomiarów substancji chemicznych w</w:t>
      </w:r>
      <w:r w:rsidR="00FB46B6" w:rsidRPr="00795F17">
        <w:t> </w:t>
      </w:r>
      <w:r w:rsidRPr="00795F17">
        <w:t xml:space="preserve">biocie, stan chemiczny </w:t>
      </w:r>
      <w:r w:rsidR="00DF005E">
        <w:t>JCWP</w:t>
      </w:r>
      <w:r w:rsidRPr="00795F17">
        <w:t xml:space="preserve"> uległ pogorszeniu ze stanu dobrego na zły, co jest wynikiem kumulowania się zanieczyszczeń w faunie i florze. Ponadto obniżenie wartości granicznych między innymi substancji pochodzących ze spalania paliw stałych/płynnych spowodowało wzrost przekroczeń EQS (63,2%). </w:t>
      </w:r>
      <w:r w:rsidRPr="00795F17">
        <w:rPr>
          <w:color w:val="000000"/>
        </w:rPr>
        <w:t xml:space="preserve">Podobnie jak w przypadku rzek i jezior, niski stopień realizacji/skuteczności działań również przyczynił się do nieosiągnięcia dobrego stanu chemicznego </w:t>
      </w:r>
      <w:r w:rsidR="00DF005E">
        <w:rPr>
          <w:color w:val="000000"/>
        </w:rPr>
        <w:t>JCWP</w:t>
      </w:r>
      <w:r w:rsidR="00DB7515" w:rsidRPr="00795F17">
        <w:rPr>
          <w:color w:val="000000"/>
        </w:rPr>
        <w:t xml:space="preserve"> RWr</w:t>
      </w:r>
      <w:r w:rsidRPr="00795F17">
        <w:rPr>
          <w:color w:val="000000"/>
        </w:rPr>
        <w:t xml:space="preserve"> (36,8%)</w:t>
      </w:r>
      <w:r w:rsidR="00FB46B6" w:rsidRPr="00795F17">
        <w:rPr>
          <w:color w:val="000000"/>
        </w:rPr>
        <w:t>,</w:t>
      </w:r>
      <w:r w:rsidRPr="00795F17">
        <w:rPr>
          <w:color w:val="000000"/>
        </w:rPr>
        <w:t xml:space="preserve"> a niektóre z</w:t>
      </w:r>
      <w:r w:rsidR="00DB7515" w:rsidRPr="00795F17">
        <w:rPr>
          <w:color w:val="000000"/>
        </w:rPr>
        <w:t> </w:t>
      </w:r>
      <w:r w:rsidRPr="00795F17">
        <w:rPr>
          <w:color w:val="000000"/>
        </w:rPr>
        <w:t>działań pomimo skutecznego wdrożeni</w:t>
      </w:r>
      <w:r w:rsidR="00FB46B6" w:rsidRPr="00795F17">
        <w:rPr>
          <w:color w:val="000000"/>
        </w:rPr>
        <w:t>a</w:t>
      </w:r>
      <w:r w:rsidRPr="00795F17">
        <w:rPr>
          <w:color w:val="000000"/>
        </w:rPr>
        <w:t xml:space="preserve"> nie doprowadziły do wystarczającej redukcji stężeń substancji (57,9%). W przypadku zbiorników </w:t>
      </w:r>
      <w:r w:rsidR="00B80AC8">
        <w:rPr>
          <w:color w:val="000000"/>
        </w:rPr>
        <w:t>na</w:t>
      </w:r>
      <w:r w:rsidR="00FB46B6" w:rsidRPr="00795F17">
        <w:rPr>
          <w:color w:val="000000"/>
        </w:rPr>
        <w:t xml:space="preserve"> </w:t>
      </w:r>
      <w:r w:rsidRPr="00795F17">
        <w:rPr>
          <w:color w:val="000000"/>
        </w:rPr>
        <w:t xml:space="preserve">obszarze dorzecza Odry, uwarunkowania środowiskowe rozumiane jako niski potencjał sorpcyjny oraz dopływ zanieczyszczeń ze zlewni powyżej wpłynęły na nieosiągnięcie celu środowiskowego w czterech </w:t>
      </w:r>
      <w:r w:rsidR="00DF005E">
        <w:rPr>
          <w:color w:val="000000"/>
        </w:rPr>
        <w:t>JCWP</w:t>
      </w:r>
      <w:r w:rsidR="00DB7515" w:rsidRPr="00795F17">
        <w:rPr>
          <w:color w:val="000000"/>
        </w:rPr>
        <w:t xml:space="preserve"> RWr</w:t>
      </w:r>
      <w:r w:rsidRPr="00795F17">
        <w:rPr>
          <w:color w:val="000000"/>
        </w:rPr>
        <w:t xml:space="preserve">. </w:t>
      </w:r>
    </w:p>
    <w:p w14:paraId="490536C6" w14:textId="70F133CB" w:rsidR="00663AC8" w:rsidRPr="00795F17" w:rsidRDefault="00663AC8" w:rsidP="0044393D">
      <w:r w:rsidRPr="00795F17">
        <w:t>Wyżej opisane wyniki oceny postępu zaprezentowano w tabeli poniżej (tabela 9-</w:t>
      </w:r>
      <w:r w:rsidR="00B3309A" w:rsidRPr="00795F17">
        <w:t>12</w:t>
      </w:r>
      <w:r w:rsidRPr="00795F17">
        <w:t>).</w:t>
      </w:r>
    </w:p>
    <w:p w14:paraId="5C01A1D2" w14:textId="59206B58" w:rsidR="003B2D14" w:rsidRPr="00795F17" w:rsidRDefault="003B2D14" w:rsidP="004D7705">
      <w:pPr>
        <w:pStyle w:val="Tabela"/>
      </w:pPr>
      <w:bookmarkStart w:id="481" w:name="_Toc66341914"/>
      <w:bookmarkStart w:id="482" w:name="_Toc105512836"/>
      <w:r w:rsidRPr="00795F17">
        <w:t xml:space="preserve">Tabela </w:t>
      </w:r>
      <w:fldSimple w:instr=" STYLEREF 1 \s ">
        <w:r w:rsidR="001F774D">
          <w:rPr>
            <w:noProof/>
          </w:rPr>
          <w:t>9</w:t>
        </w:r>
      </w:fldSimple>
      <w:r w:rsidR="00BB3B21" w:rsidRPr="00795F17">
        <w:noBreakHyphen/>
      </w:r>
      <w:fldSimple w:instr=" SEQ Tabela \* ARABIC \s 1 ">
        <w:r w:rsidR="001F774D">
          <w:rPr>
            <w:noProof/>
          </w:rPr>
          <w:t>12</w:t>
        </w:r>
      </w:fldSimple>
      <w:r w:rsidR="00E76356">
        <w:rPr>
          <w:noProof/>
        </w:rPr>
        <w:t>.</w:t>
      </w:r>
      <w:r w:rsidRPr="00795F17">
        <w:tab/>
      </w:r>
      <w:bookmarkEnd w:id="481"/>
      <w:r w:rsidR="00FB46B6" w:rsidRPr="00795F17">
        <w:t xml:space="preserve">Analiza przyczyn wpływających na brak postępu w osiąganiu celów środowiskowych dla stanu chemicznego na obszarze dorzecza Odry (bazując na nowym </w:t>
      </w:r>
      <w:r w:rsidR="00FB46B6" w:rsidRPr="00795F17">
        <w:rPr>
          <w:rFonts w:asciiTheme="minorHAnsi" w:hAnsiTheme="minorHAnsi"/>
        </w:rPr>
        <w:t xml:space="preserve">układzie planistycznym </w:t>
      </w:r>
      <w:r w:rsidR="00FB46B6" w:rsidRPr="00795F17">
        <w:rPr>
          <w:rFonts w:asciiTheme="minorHAnsi" w:hAnsiTheme="minorHAnsi" w:cstheme="minorHAnsi"/>
        </w:rPr>
        <w:t xml:space="preserve">IIaPGW) </w:t>
      </w:r>
      <w:r w:rsidR="00BA657A">
        <w:t>–</w:t>
      </w:r>
      <w:r w:rsidR="006E71B4">
        <w:t> </w:t>
      </w:r>
      <w:r w:rsidR="00FB46B6" w:rsidRPr="00795F17">
        <w:t xml:space="preserve"> </w:t>
      </w:r>
      <w:r w:rsidR="00DF005E">
        <w:t>JCWP</w:t>
      </w:r>
      <w:r w:rsidR="00FB46B6" w:rsidRPr="00795F17">
        <w:t xml:space="preserve"> RWr</w:t>
      </w:r>
      <w:bookmarkEnd w:id="4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6"/>
        <w:gridCol w:w="1701"/>
        <w:gridCol w:w="1555"/>
      </w:tblGrid>
      <w:tr w:rsidR="00CE597F" w:rsidRPr="00795F17" w14:paraId="267DCAB0" w14:textId="77777777" w:rsidTr="00FB46B6">
        <w:trPr>
          <w:trHeight w:val="454"/>
          <w:tblHeader/>
        </w:trPr>
        <w:tc>
          <w:tcPr>
            <w:tcW w:w="5000" w:type="pct"/>
            <w:gridSpan w:val="3"/>
            <w:shd w:val="clear" w:color="auto" w:fill="BFBFBF" w:themeFill="background1" w:themeFillShade="BF"/>
            <w:noWrap/>
            <w:vAlign w:val="center"/>
          </w:tcPr>
          <w:p w14:paraId="64C64CD1" w14:textId="30E67DF6" w:rsidR="00CE597F" w:rsidRPr="00795F17" w:rsidRDefault="00CE597F" w:rsidP="0065243A">
            <w:pPr>
              <w:pStyle w:val="Teksttabelinaglowek"/>
            </w:pPr>
            <w:r w:rsidRPr="00795F17">
              <w:t>A</w:t>
            </w:r>
            <w:r w:rsidR="00FB46B6" w:rsidRPr="00795F17">
              <w:t>naliza przyczyn braku postępu w osiąganiu celu środowiskowego</w:t>
            </w:r>
            <w:r w:rsidR="008D43F1" w:rsidRPr="00795F17">
              <w:t xml:space="preserve"> dla stanu chemicznego</w:t>
            </w:r>
          </w:p>
        </w:tc>
      </w:tr>
      <w:tr w:rsidR="00FB46B6" w:rsidRPr="00795F17" w14:paraId="6565111A" w14:textId="77777777" w:rsidTr="00FB46B6">
        <w:trPr>
          <w:trHeight w:val="454"/>
          <w:tblHeader/>
        </w:trPr>
        <w:tc>
          <w:tcPr>
            <w:tcW w:w="3204" w:type="pct"/>
            <w:shd w:val="clear" w:color="auto" w:fill="BFBFBF" w:themeFill="background1" w:themeFillShade="BF"/>
            <w:noWrap/>
            <w:vAlign w:val="center"/>
          </w:tcPr>
          <w:p w14:paraId="42D596D5" w14:textId="736BC459" w:rsidR="00CE597F" w:rsidRPr="00795F17" w:rsidRDefault="00FB46B6" w:rsidP="0065243A">
            <w:pPr>
              <w:pStyle w:val="Teksttabelinaglowek"/>
            </w:pPr>
            <w:r w:rsidRPr="00795F17">
              <w:t>Przyczyna braku postępu</w:t>
            </w:r>
          </w:p>
        </w:tc>
        <w:tc>
          <w:tcPr>
            <w:tcW w:w="939" w:type="pct"/>
            <w:shd w:val="clear" w:color="auto" w:fill="BFBFBF" w:themeFill="background1" w:themeFillShade="BF"/>
            <w:noWrap/>
            <w:vAlign w:val="center"/>
          </w:tcPr>
          <w:p w14:paraId="17083B81" w14:textId="2B9D5AC6" w:rsidR="00CE597F" w:rsidRPr="00795F17" w:rsidRDefault="00CE597F" w:rsidP="0065243A">
            <w:pPr>
              <w:pStyle w:val="Teksttabelinaglowek"/>
            </w:pPr>
            <w:r w:rsidRPr="00795F17">
              <w:t xml:space="preserve">Liczba </w:t>
            </w:r>
            <w:r w:rsidR="00DF005E">
              <w:t>JCWP</w:t>
            </w:r>
            <w:r w:rsidR="008D43F1" w:rsidRPr="00795F17">
              <w:t xml:space="preserve"> RWr</w:t>
            </w:r>
          </w:p>
        </w:tc>
        <w:tc>
          <w:tcPr>
            <w:tcW w:w="857" w:type="pct"/>
            <w:shd w:val="clear" w:color="auto" w:fill="BFBFBF" w:themeFill="background1" w:themeFillShade="BF"/>
            <w:noWrap/>
            <w:vAlign w:val="center"/>
          </w:tcPr>
          <w:p w14:paraId="31DF7A56" w14:textId="59CE43F0" w:rsidR="00CE597F" w:rsidRPr="00795F17" w:rsidRDefault="00CE597F" w:rsidP="0065243A">
            <w:pPr>
              <w:pStyle w:val="Teksttabelinaglowek"/>
            </w:pPr>
            <w:r w:rsidRPr="00795F17">
              <w:t xml:space="preserve">Udział </w:t>
            </w:r>
            <w:r w:rsidR="00DF005E">
              <w:t>JCWP</w:t>
            </w:r>
            <w:r w:rsidRPr="00795F17">
              <w:t xml:space="preserve"> </w:t>
            </w:r>
            <w:r w:rsidR="00EA4FF5" w:rsidRPr="00795F17">
              <w:t>(%)</w:t>
            </w:r>
          </w:p>
        </w:tc>
      </w:tr>
      <w:tr w:rsidR="00CE597F" w:rsidRPr="00795F17" w14:paraId="59681069" w14:textId="77777777" w:rsidTr="00FB46B6">
        <w:trPr>
          <w:trHeight w:val="454"/>
        </w:trPr>
        <w:tc>
          <w:tcPr>
            <w:tcW w:w="5000" w:type="pct"/>
            <w:gridSpan w:val="3"/>
            <w:shd w:val="clear" w:color="auto" w:fill="D9D9D9" w:themeFill="background1" w:themeFillShade="D9"/>
            <w:vAlign w:val="center"/>
          </w:tcPr>
          <w:p w14:paraId="714E06CE" w14:textId="77777777" w:rsidR="00CE597F" w:rsidRPr="00795F17" w:rsidRDefault="00CE597F" w:rsidP="0065243A">
            <w:pPr>
              <w:pStyle w:val="Teksttabelisrodek"/>
            </w:pPr>
            <w:r w:rsidRPr="00795F17">
              <w:t>Zmiany legislacyjne (zmiana wartości granicznych klas)</w:t>
            </w:r>
          </w:p>
        </w:tc>
      </w:tr>
      <w:tr w:rsidR="00CE597F" w:rsidRPr="00795F17" w14:paraId="3C0BD578" w14:textId="77777777" w:rsidTr="00FB46B6">
        <w:trPr>
          <w:trHeight w:val="454"/>
        </w:trPr>
        <w:tc>
          <w:tcPr>
            <w:tcW w:w="3204" w:type="pct"/>
            <w:noWrap/>
            <w:vAlign w:val="center"/>
          </w:tcPr>
          <w:p w14:paraId="084A647D" w14:textId="77777777" w:rsidR="00CE597F" w:rsidRPr="00795F17" w:rsidRDefault="00CE597F" w:rsidP="0065243A">
            <w:pPr>
              <w:pStyle w:val="Teksttabelilewy"/>
            </w:pPr>
            <w:r w:rsidRPr="00795F17">
              <w:t>Analizowana przyczyna łącznie</w:t>
            </w:r>
          </w:p>
        </w:tc>
        <w:tc>
          <w:tcPr>
            <w:tcW w:w="939" w:type="pct"/>
            <w:noWrap/>
            <w:vAlign w:val="center"/>
          </w:tcPr>
          <w:p w14:paraId="28FDC8CF" w14:textId="77777777" w:rsidR="00CE597F" w:rsidRPr="00795F17" w:rsidRDefault="00CE597F" w:rsidP="0065243A">
            <w:pPr>
              <w:pStyle w:val="Teksttabelisrodek"/>
            </w:pPr>
            <w:r w:rsidRPr="00795F17">
              <w:t>12</w:t>
            </w:r>
          </w:p>
        </w:tc>
        <w:tc>
          <w:tcPr>
            <w:tcW w:w="857" w:type="pct"/>
            <w:noWrap/>
            <w:vAlign w:val="center"/>
          </w:tcPr>
          <w:p w14:paraId="2B0D65EC" w14:textId="77777777" w:rsidR="00CE597F" w:rsidRPr="00795F17" w:rsidRDefault="00CE597F" w:rsidP="0065243A">
            <w:pPr>
              <w:pStyle w:val="Teksttabelisrodek"/>
            </w:pPr>
            <w:r w:rsidRPr="00795F17">
              <w:t>63,2</w:t>
            </w:r>
          </w:p>
        </w:tc>
      </w:tr>
      <w:tr w:rsidR="00CE597F" w:rsidRPr="00795F17" w14:paraId="7A49CC9D" w14:textId="77777777" w:rsidTr="00FB46B6">
        <w:trPr>
          <w:trHeight w:val="454"/>
        </w:trPr>
        <w:tc>
          <w:tcPr>
            <w:tcW w:w="3204" w:type="pct"/>
            <w:noWrap/>
            <w:vAlign w:val="center"/>
          </w:tcPr>
          <w:p w14:paraId="2D09220E" w14:textId="5D3AEAD4" w:rsidR="00CE597F" w:rsidRPr="00795F17" w:rsidRDefault="00CE597F" w:rsidP="0065243A">
            <w:pPr>
              <w:pStyle w:val="Teksttabelilewy"/>
            </w:pPr>
            <w:r w:rsidRPr="00795F17">
              <w:t xml:space="preserve">Cel nieosiągnięty </w:t>
            </w:r>
            <w:r w:rsidR="00BA657A">
              <w:t>–</w:t>
            </w:r>
            <w:r w:rsidRPr="00795F17">
              <w:t xml:space="preserve"> brak postępu</w:t>
            </w:r>
          </w:p>
        </w:tc>
        <w:tc>
          <w:tcPr>
            <w:tcW w:w="939" w:type="pct"/>
            <w:noWrap/>
            <w:vAlign w:val="center"/>
          </w:tcPr>
          <w:p w14:paraId="526C352C" w14:textId="77777777" w:rsidR="00CE597F" w:rsidRPr="00795F17" w:rsidRDefault="00CE597F" w:rsidP="0065243A">
            <w:pPr>
              <w:pStyle w:val="Teksttabelisrodek"/>
            </w:pPr>
            <w:r w:rsidRPr="00795F17">
              <w:t>3</w:t>
            </w:r>
          </w:p>
        </w:tc>
        <w:tc>
          <w:tcPr>
            <w:tcW w:w="857" w:type="pct"/>
            <w:noWrap/>
            <w:vAlign w:val="center"/>
          </w:tcPr>
          <w:p w14:paraId="1C40BAC5" w14:textId="77777777" w:rsidR="00CE597F" w:rsidRPr="00795F17" w:rsidRDefault="00CE597F" w:rsidP="0065243A">
            <w:pPr>
              <w:pStyle w:val="Teksttabelisrodek"/>
            </w:pPr>
            <w:r w:rsidRPr="00795F17">
              <w:t>15,8</w:t>
            </w:r>
          </w:p>
        </w:tc>
      </w:tr>
      <w:tr w:rsidR="00CE597F" w:rsidRPr="00795F17" w14:paraId="0F9F7431" w14:textId="77777777" w:rsidTr="00FB46B6">
        <w:trPr>
          <w:trHeight w:val="454"/>
        </w:trPr>
        <w:tc>
          <w:tcPr>
            <w:tcW w:w="3204" w:type="pct"/>
            <w:noWrap/>
            <w:vAlign w:val="center"/>
          </w:tcPr>
          <w:p w14:paraId="7C3B93F3" w14:textId="4F3DEF51" w:rsidR="00CE597F" w:rsidRPr="00795F17" w:rsidRDefault="00CE597F" w:rsidP="0065243A">
            <w:pPr>
              <w:pStyle w:val="Teksttabelilewy"/>
            </w:pPr>
            <w:r w:rsidRPr="00795F17">
              <w:t xml:space="preserve">Cel nieosiągnięty </w:t>
            </w:r>
            <w:r w:rsidR="00BA657A">
              <w:t>–</w:t>
            </w:r>
            <w:r w:rsidRPr="00795F17">
              <w:t xml:space="preserve"> obniżenie stanu</w:t>
            </w:r>
          </w:p>
        </w:tc>
        <w:tc>
          <w:tcPr>
            <w:tcW w:w="939" w:type="pct"/>
            <w:noWrap/>
            <w:vAlign w:val="center"/>
          </w:tcPr>
          <w:p w14:paraId="14A7C74B" w14:textId="77777777" w:rsidR="00CE597F" w:rsidRPr="00795F17" w:rsidRDefault="00CE597F" w:rsidP="0065243A">
            <w:pPr>
              <w:pStyle w:val="Teksttabelisrodek"/>
            </w:pPr>
            <w:r w:rsidRPr="00795F17">
              <w:t>9</w:t>
            </w:r>
          </w:p>
        </w:tc>
        <w:tc>
          <w:tcPr>
            <w:tcW w:w="857" w:type="pct"/>
            <w:noWrap/>
            <w:vAlign w:val="center"/>
          </w:tcPr>
          <w:p w14:paraId="03953F06" w14:textId="77777777" w:rsidR="00CE597F" w:rsidRPr="00795F17" w:rsidRDefault="00CE597F" w:rsidP="0065243A">
            <w:pPr>
              <w:pStyle w:val="Teksttabelisrodek"/>
            </w:pPr>
            <w:r w:rsidRPr="00795F17">
              <w:t>47,4</w:t>
            </w:r>
          </w:p>
        </w:tc>
      </w:tr>
      <w:tr w:rsidR="00CE597F" w:rsidRPr="00795F17" w14:paraId="7558B722" w14:textId="77777777" w:rsidTr="00FB46B6">
        <w:trPr>
          <w:trHeight w:val="454"/>
        </w:trPr>
        <w:tc>
          <w:tcPr>
            <w:tcW w:w="5000" w:type="pct"/>
            <w:gridSpan w:val="3"/>
            <w:shd w:val="clear" w:color="auto" w:fill="D9D9D9" w:themeFill="background1" w:themeFillShade="D9"/>
            <w:vAlign w:val="center"/>
          </w:tcPr>
          <w:p w14:paraId="73393950" w14:textId="77777777" w:rsidR="00CE597F" w:rsidRPr="00795F17" w:rsidRDefault="00CE597F" w:rsidP="0065243A">
            <w:pPr>
              <w:pStyle w:val="Teksttabelisrodek"/>
            </w:pPr>
            <w:r w:rsidRPr="00795F17">
              <w:t>Zmiana zakresu monitoringu</w:t>
            </w:r>
          </w:p>
        </w:tc>
      </w:tr>
      <w:tr w:rsidR="00CE597F" w:rsidRPr="00795F17" w14:paraId="05144D18" w14:textId="77777777" w:rsidTr="00FB46B6">
        <w:trPr>
          <w:trHeight w:val="454"/>
        </w:trPr>
        <w:tc>
          <w:tcPr>
            <w:tcW w:w="3204" w:type="pct"/>
            <w:noWrap/>
            <w:vAlign w:val="center"/>
          </w:tcPr>
          <w:p w14:paraId="677683F7" w14:textId="77777777" w:rsidR="00CE597F" w:rsidRPr="00795F17" w:rsidRDefault="00CE597F" w:rsidP="0065243A">
            <w:pPr>
              <w:pStyle w:val="Teksttabelilewy"/>
            </w:pPr>
            <w:r w:rsidRPr="00795F17">
              <w:t>Analizowana przyczyna łącznie</w:t>
            </w:r>
          </w:p>
        </w:tc>
        <w:tc>
          <w:tcPr>
            <w:tcW w:w="939" w:type="pct"/>
            <w:noWrap/>
            <w:vAlign w:val="center"/>
          </w:tcPr>
          <w:p w14:paraId="48B19B3B" w14:textId="77777777" w:rsidR="00CE597F" w:rsidRPr="00795F17" w:rsidRDefault="00CE597F" w:rsidP="0065243A">
            <w:pPr>
              <w:pStyle w:val="Teksttabelisrodek"/>
            </w:pPr>
            <w:r w:rsidRPr="00795F17">
              <w:t>16</w:t>
            </w:r>
          </w:p>
        </w:tc>
        <w:tc>
          <w:tcPr>
            <w:tcW w:w="857" w:type="pct"/>
            <w:vAlign w:val="center"/>
          </w:tcPr>
          <w:p w14:paraId="609D13FA" w14:textId="5A1E0FA0" w:rsidR="00CE597F" w:rsidRPr="00795F17" w:rsidRDefault="00CE597F" w:rsidP="0065243A">
            <w:pPr>
              <w:pStyle w:val="Teksttabelisrodek"/>
            </w:pPr>
            <w:r w:rsidRPr="00795F17">
              <w:t>84,</w:t>
            </w:r>
            <w:r w:rsidR="00DB7515" w:rsidRPr="00795F17">
              <w:t>3</w:t>
            </w:r>
          </w:p>
        </w:tc>
      </w:tr>
      <w:tr w:rsidR="00CE597F" w:rsidRPr="00795F17" w14:paraId="718E3A12" w14:textId="77777777" w:rsidTr="00FB46B6">
        <w:trPr>
          <w:trHeight w:val="454"/>
        </w:trPr>
        <w:tc>
          <w:tcPr>
            <w:tcW w:w="3204" w:type="pct"/>
            <w:noWrap/>
            <w:vAlign w:val="center"/>
          </w:tcPr>
          <w:p w14:paraId="76DE3B13" w14:textId="1612E074" w:rsidR="00CE597F" w:rsidRPr="00795F17" w:rsidRDefault="00CE597F" w:rsidP="0065243A">
            <w:pPr>
              <w:pStyle w:val="Teksttabelilewy"/>
            </w:pPr>
            <w:r w:rsidRPr="00795F17">
              <w:t xml:space="preserve">Cel nieosiągnięty </w:t>
            </w:r>
            <w:r w:rsidR="00BA657A">
              <w:t>–</w:t>
            </w:r>
            <w:r w:rsidRPr="00795F17">
              <w:t xml:space="preserve"> brak postępu</w:t>
            </w:r>
          </w:p>
        </w:tc>
        <w:tc>
          <w:tcPr>
            <w:tcW w:w="939" w:type="pct"/>
            <w:noWrap/>
            <w:vAlign w:val="center"/>
          </w:tcPr>
          <w:p w14:paraId="468D524B" w14:textId="77777777" w:rsidR="00CE597F" w:rsidRPr="00795F17" w:rsidRDefault="00CE597F" w:rsidP="0065243A">
            <w:pPr>
              <w:pStyle w:val="Teksttabelisrodek"/>
            </w:pPr>
            <w:r w:rsidRPr="00795F17">
              <w:t>4</w:t>
            </w:r>
          </w:p>
        </w:tc>
        <w:tc>
          <w:tcPr>
            <w:tcW w:w="857" w:type="pct"/>
            <w:vAlign w:val="center"/>
          </w:tcPr>
          <w:p w14:paraId="369AF3F8" w14:textId="77777777" w:rsidR="00CE597F" w:rsidRPr="00795F17" w:rsidRDefault="00CE597F" w:rsidP="0065243A">
            <w:pPr>
              <w:pStyle w:val="Teksttabelisrodek"/>
            </w:pPr>
            <w:r w:rsidRPr="00795F17">
              <w:t>21,1</w:t>
            </w:r>
          </w:p>
        </w:tc>
      </w:tr>
      <w:tr w:rsidR="00CE597F" w:rsidRPr="00795F17" w14:paraId="6DF1A48E" w14:textId="77777777" w:rsidTr="00FB46B6">
        <w:trPr>
          <w:trHeight w:val="454"/>
        </w:trPr>
        <w:tc>
          <w:tcPr>
            <w:tcW w:w="3204" w:type="pct"/>
            <w:noWrap/>
            <w:vAlign w:val="center"/>
          </w:tcPr>
          <w:p w14:paraId="7856C197" w14:textId="6D397670" w:rsidR="00CE597F" w:rsidRPr="00795F17" w:rsidRDefault="00CE597F" w:rsidP="0065243A">
            <w:pPr>
              <w:pStyle w:val="Teksttabelilewy"/>
            </w:pPr>
            <w:r w:rsidRPr="00795F17">
              <w:t xml:space="preserve">Cel nieosiągnięty </w:t>
            </w:r>
            <w:r w:rsidR="00BA657A">
              <w:t>–</w:t>
            </w:r>
            <w:r w:rsidRPr="00795F17">
              <w:t xml:space="preserve"> obniżenie stanu</w:t>
            </w:r>
          </w:p>
        </w:tc>
        <w:tc>
          <w:tcPr>
            <w:tcW w:w="939" w:type="pct"/>
            <w:noWrap/>
            <w:vAlign w:val="center"/>
          </w:tcPr>
          <w:p w14:paraId="334DC434" w14:textId="77777777" w:rsidR="00CE597F" w:rsidRPr="00795F17" w:rsidRDefault="00CE597F" w:rsidP="0065243A">
            <w:pPr>
              <w:pStyle w:val="Teksttabelisrodek"/>
            </w:pPr>
            <w:r w:rsidRPr="00795F17">
              <w:t>12</w:t>
            </w:r>
          </w:p>
        </w:tc>
        <w:tc>
          <w:tcPr>
            <w:tcW w:w="857" w:type="pct"/>
            <w:vAlign w:val="center"/>
          </w:tcPr>
          <w:p w14:paraId="496CCC97" w14:textId="77777777" w:rsidR="00CE597F" w:rsidRPr="00795F17" w:rsidRDefault="00CE597F" w:rsidP="0065243A">
            <w:pPr>
              <w:pStyle w:val="Teksttabelisrodek"/>
            </w:pPr>
            <w:r w:rsidRPr="00795F17">
              <w:t>63,2</w:t>
            </w:r>
          </w:p>
        </w:tc>
      </w:tr>
      <w:tr w:rsidR="009A5AF5" w:rsidRPr="00795F17" w14:paraId="4879FB1A" w14:textId="77777777" w:rsidTr="00FB46B6">
        <w:trPr>
          <w:trHeight w:val="454"/>
        </w:trPr>
        <w:tc>
          <w:tcPr>
            <w:tcW w:w="5000" w:type="pct"/>
            <w:gridSpan w:val="3"/>
            <w:shd w:val="clear" w:color="auto" w:fill="D9D9D9" w:themeFill="background1" w:themeFillShade="D9"/>
            <w:noWrap/>
            <w:vAlign w:val="center"/>
          </w:tcPr>
          <w:p w14:paraId="598E7060" w14:textId="6E415115" w:rsidR="009A5AF5" w:rsidRPr="00795F17" w:rsidRDefault="009A5AF5" w:rsidP="0065243A">
            <w:pPr>
              <w:pStyle w:val="Teksttabelisrodek"/>
            </w:pPr>
            <w:r w:rsidRPr="00795F17">
              <w:t>Dalsze występowanie presji lub niewystarczające ograniczenie jej negatywnego wpływu na stan wód</w:t>
            </w:r>
          </w:p>
        </w:tc>
      </w:tr>
      <w:tr w:rsidR="00CE597F" w:rsidRPr="00795F17" w14:paraId="4DF51392" w14:textId="77777777" w:rsidTr="00FB46B6">
        <w:trPr>
          <w:trHeight w:val="454"/>
        </w:trPr>
        <w:tc>
          <w:tcPr>
            <w:tcW w:w="3204" w:type="pct"/>
            <w:noWrap/>
            <w:vAlign w:val="center"/>
          </w:tcPr>
          <w:p w14:paraId="287F1276" w14:textId="77777777" w:rsidR="00CE597F" w:rsidRPr="00795F17" w:rsidRDefault="00CE597F" w:rsidP="0065243A">
            <w:pPr>
              <w:pStyle w:val="Teksttabelilewy"/>
            </w:pPr>
            <w:r w:rsidRPr="00795F17">
              <w:t>Analizowana przyczyna łącznie</w:t>
            </w:r>
          </w:p>
        </w:tc>
        <w:tc>
          <w:tcPr>
            <w:tcW w:w="939" w:type="pct"/>
            <w:noWrap/>
            <w:vAlign w:val="center"/>
          </w:tcPr>
          <w:p w14:paraId="2DF4012D" w14:textId="77777777" w:rsidR="00CE597F" w:rsidRPr="00795F17" w:rsidRDefault="00CE597F" w:rsidP="0065243A">
            <w:pPr>
              <w:pStyle w:val="Teksttabelisrodek"/>
            </w:pPr>
            <w:r w:rsidRPr="00795F17">
              <w:t>7</w:t>
            </w:r>
          </w:p>
        </w:tc>
        <w:tc>
          <w:tcPr>
            <w:tcW w:w="857" w:type="pct"/>
            <w:vAlign w:val="center"/>
          </w:tcPr>
          <w:p w14:paraId="04DDD9B1" w14:textId="12C50114" w:rsidR="00CE597F" w:rsidRPr="00795F17" w:rsidRDefault="00CE597F" w:rsidP="0065243A">
            <w:pPr>
              <w:pStyle w:val="Teksttabelisrodek"/>
            </w:pPr>
            <w:r w:rsidRPr="00795F17">
              <w:t>36,</w:t>
            </w:r>
            <w:r w:rsidR="00DB7515" w:rsidRPr="00795F17">
              <w:t>9</w:t>
            </w:r>
          </w:p>
        </w:tc>
      </w:tr>
      <w:tr w:rsidR="00CE597F" w:rsidRPr="00795F17" w14:paraId="6AED47C7" w14:textId="77777777" w:rsidTr="00FB46B6">
        <w:trPr>
          <w:trHeight w:val="454"/>
        </w:trPr>
        <w:tc>
          <w:tcPr>
            <w:tcW w:w="3204" w:type="pct"/>
            <w:noWrap/>
            <w:vAlign w:val="center"/>
          </w:tcPr>
          <w:p w14:paraId="4DFCB1B0" w14:textId="6BABF1C7" w:rsidR="00CE597F" w:rsidRPr="00795F17" w:rsidRDefault="00CE597F" w:rsidP="0065243A">
            <w:pPr>
              <w:pStyle w:val="Teksttabelilewy"/>
            </w:pPr>
            <w:r w:rsidRPr="00795F17">
              <w:t xml:space="preserve">Cel nieosiągnięty </w:t>
            </w:r>
            <w:r w:rsidR="00BA657A">
              <w:t>–</w:t>
            </w:r>
            <w:r w:rsidRPr="00795F17">
              <w:t xml:space="preserve"> brak postępu</w:t>
            </w:r>
          </w:p>
        </w:tc>
        <w:tc>
          <w:tcPr>
            <w:tcW w:w="939" w:type="pct"/>
            <w:noWrap/>
            <w:vAlign w:val="center"/>
          </w:tcPr>
          <w:p w14:paraId="72398B1F" w14:textId="77777777" w:rsidR="00CE597F" w:rsidRPr="00795F17" w:rsidRDefault="00CE597F" w:rsidP="0065243A">
            <w:pPr>
              <w:pStyle w:val="Teksttabelisrodek"/>
            </w:pPr>
            <w:r w:rsidRPr="00795F17">
              <w:t>1</w:t>
            </w:r>
          </w:p>
        </w:tc>
        <w:tc>
          <w:tcPr>
            <w:tcW w:w="857" w:type="pct"/>
            <w:vAlign w:val="center"/>
          </w:tcPr>
          <w:p w14:paraId="249B0A77" w14:textId="77777777" w:rsidR="00CE597F" w:rsidRPr="00795F17" w:rsidRDefault="00CE597F" w:rsidP="0065243A">
            <w:pPr>
              <w:pStyle w:val="Teksttabelisrodek"/>
            </w:pPr>
            <w:r w:rsidRPr="00795F17">
              <w:t>5,3</w:t>
            </w:r>
          </w:p>
        </w:tc>
      </w:tr>
      <w:tr w:rsidR="00CE597F" w:rsidRPr="00795F17" w14:paraId="69963E91" w14:textId="77777777" w:rsidTr="00FB46B6">
        <w:trPr>
          <w:trHeight w:val="454"/>
        </w:trPr>
        <w:tc>
          <w:tcPr>
            <w:tcW w:w="3204" w:type="pct"/>
            <w:noWrap/>
            <w:vAlign w:val="center"/>
          </w:tcPr>
          <w:p w14:paraId="2BE78140" w14:textId="3E674FC3" w:rsidR="00CE597F" w:rsidRPr="00795F17" w:rsidRDefault="00CE597F" w:rsidP="0065243A">
            <w:pPr>
              <w:pStyle w:val="Teksttabelilewy"/>
            </w:pPr>
            <w:r w:rsidRPr="00795F17">
              <w:t xml:space="preserve">Cel nieosiągnięty </w:t>
            </w:r>
            <w:r w:rsidR="00BA657A">
              <w:t>–</w:t>
            </w:r>
            <w:r w:rsidRPr="00795F17">
              <w:t xml:space="preserve"> obniżenie stanu</w:t>
            </w:r>
          </w:p>
        </w:tc>
        <w:tc>
          <w:tcPr>
            <w:tcW w:w="939" w:type="pct"/>
            <w:noWrap/>
            <w:vAlign w:val="center"/>
          </w:tcPr>
          <w:p w14:paraId="6B5633B6" w14:textId="77777777" w:rsidR="00CE597F" w:rsidRPr="00795F17" w:rsidRDefault="00CE597F" w:rsidP="0065243A">
            <w:pPr>
              <w:pStyle w:val="Teksttabelisrodek"/>
            </w:pPr>
            <w:r w:rsidRPr="00795F17">
              <w:t>6</w:t>
            </w:r>
          </w:p>
        </w:tc>
        <w:tc>
          <w:tcPr>
            <w:tcW w:w="857" w:type="pct"/>
            <w:vAlign w:val="center"/>
          </w:tcPr>
          <w:p w14:paraId="650AC78C" w14:textId="77777777" w:rsidR="00CE597F" w:rsidRPr="00795F17" w:rsidRDefault="00CE597F" w:rsidP="0065243A">
            <w:pPr>
              <w:pStyle w:val="Teksttabelisrodek"/>
            </w:pPr>
            <w:r w:rsidRPr="00795F17">
              <w:t>31,6</w:t>
            </w:r>
          </w:p>
        </w:tc>
      </w:tr>
      <w:tr w:rsidR="00CE597F" w:rsidRPr="00795F17" w14:paraId="30FA025F" w14:textId="77777777" w:rsidTr="00FB46B6">
        <w:trPr>
          <w:trHeight w:val="454"/>
        </w:trPr>
        <w:tc>
          <w:tcPr>
            <w:tcW w:w="5000" w:type="pct"/>
            <w:gridSpan w:val="3"/>
            <w:shd w:val="clear" w:color="auto" w:fill="D9D9D9" w:themeFill="background1" w:themeFillShade="D9"/>
            <w:noWrap/>
            <w:vAlign w:val="center"/>
          </w:tcPr>
          <w:p w14:paraId="43EB326B" w14:textId="179D3FD5" w:rsidR="00CE597F" w:rsidRPr="00795F17" w:rsidRDefault="00CE597F" w:rsidP="0065243A">
            <w:pPr>
              <w:pStyle w:val="Teksttabelisrodek"/>
            </w:pPr>
            <w:r w:rsidRPr="00795F17">
              <w:t xml:space="preserve">Uwarunkowania zlewni (dopływ zanieczyszczeń z innego </w:t>
            </w:r>
            <w:r w:rsidR="00DF005E">
              <w:t>JCWP</w:t>
            </w:r>
            <w:r w:rsidRPr="00795F17">
              <w:t xml:space="preserve">, niski potencjał sorpcyjny </w:t>
            </w:r>
            <w:r w:rsidR="00DF005E">
              <w:t>JCWP</w:t>
            </w:r>
            <w:r w:rsidRPr="00795F17">
              <w:t>)</w:t>
            </w:r>
          </w:p>
        </w:tc>
      </w:tr>
      <w:tr w:rsidR="00CE597F" w:rsidRPr="00795F17" w14:paraId="26A1E771" w14:textId="77777777" w:rsidTr="00FB46B6">
        <w:trPr>
          <w:trHeight w:val="454"/>
        </w:trPr>
        <w:tc>
          <w:tcPr>
            <w:tcW w:w="3204" w:type="pct"/>
            <w:noWrap/>
            <w:vAlign w:val="center"/>
          </w:tcPr>
          <w:p w14:paraId="0239C5A4" w14:textId="77777777" w:rsidR="00CE597F" w:rsidRPr="00795F17" w:rsidRDefault="00CE597F" w:rsidP="0065243A">
            <w:pPr>
              <w:pStyle w:val="Teksttabelilewy"/>
            </w:pPr>
            <w:r w:rsidRPr="00795F17">
              <w:t>Analizowana przyczyna łącznie</w:t>
            </w:r>
          </w:p>
        </w:tc>
        <w:tc>
          <w:tcPr>
            <w:tcW w:w="939" w:type="pct"/>
            <w:noWrap/>
            <w:vAlign w:val="center"/>
          </w:tcPr>
          <w:p w14:paraId="7D5FD0DB" w14:textId="77777777" w:rsidR="00CE597F" w:rsidRPr="00795F17" w:rsidRDefault="00CE597F" w:rsidP="0065243A">
            <w:pPr>
              <w:pStyle w:val="Teksttabelisrodek"/>
            </w:pPr>
            <w:r w:rsidRPr="00795F17">
              <w:t>4</w:t>
            </w:r>
          </w:p>
        </w:tc>
        <w:tc>
          <w:tcPr>
            <w:tcW w:w="857" w:type="pct"/>
            <w:vAlign w:val="center"/>
          </w:tcPr>
          <w:p w14:paraId="5FDC6F2C" w14:textId="32043A13" w:rsidR="00CE597F" w:rsidRPr="00795F17" w:rsidRDefault="00CE597F" w:rsidP="0065243A">
            <w:pPr>
              <w:pStyle w:val="Teksttabelisrodek"/>
            </w:pPr>
            <w:r w:rsidRPr="00795F17">
              <w:t>21,</w:t>
            </w:r>
            <w:r w:rsidR="00DB7515" w:rsidRPr="00795F17">
              <w:t>0</w:t>
            </w:r>
          </w:p>
        </w:tc>
      </w:tr>
      <w:tr w:rsidR="00CE597F" w:rsidRPr="00795F17" w14:paraId="02BB9071" w14:textId="77777777" w:rsidTr="00FB46B6">
        <w:trPr>
          <w:trHeight w:val="454"/>
        </w:trPr>
        <w:tc>
          <w:tcPr>
            <w:tcW w:w="3204" w:type="pct"/>
            <w:noWrap/>
            <w:vAlign w:val="center"/>
          </w:tcPr>
          <w:p w14:paraId="2C38A894" w14:textId="1C6BB80B" w:rsidR="00CE597F" w:rsidRPr="00795F17" w:rsidRDefault="00CE597F" w:rsidP="0065243A">
            <w:pPr>
              <w:pStyle w:val="Teksttabelilewy"/>
            </w:pPr>
            <w:r w:rsidRPr="00795F17">
              <w:t xml:space="preserve">Cel nieosiągnięty </w:t>
            </w:r>
            <w:r w:rsidR="00BA657A">
              <w:t>–</w:t>
            </w:r>
            <w:r w:rsidRPr="00795F17">
              <w:t xml:space="preserve"> brak postępu</w:t>
            </w:r>
          </w:p>
        </w:tc>
        <w:tc>
          <w:tcPr>
            <w:tcW w:w="939" w:type="pct"/>
            <w:noWrap/>
            <w:vAlign w:val="center"/>
          </w:tcPr>
          <w:p w14:paraId="14A7F708" w14:textId="77777777" w:rsidR="00CE597F" w:rsidRPr="00795F17" w:rsidRDefault="00CE597F" w:rsidP="0065243A">
            <w:pPr>
              <w:pStyle w:val="Teksttabelisrodek"/>
            </w:pPr>
            <w:r w:rsidRPr="00795F17">
              <w:t>2</w:t>
            </w:r>
          </w:p>
        </w:tc>
        <w:tc>
          <w:tcPr>
            <w:tcW w:w="857" w:type="pct"/>
            <w:vAlign w:val="center"/>
          </w:tcPr>
          <w:p w14:paraId="0ABCA967" w14:textId="77777777" w:rsidR="00CE597F" w:rsidRPr="00795F17" w:rsidRDefault="00CE597F" w:rsidP="0065243A">
            <w:pPr>
              <w:pStyle w:val="Teksttabelisrodek"/>
            </w:pPr>
            <w:r w:rsidRPr="00795F17">
              <w:t>10,5</w:t>
            </w:r>
          </w:p>
        </w:tc>
      </w:tr>
      <w:tr w:rsidR="00CE597F" w:rsidRPr="00795F17" w14:paraId="2D4DC405" w14:textId="77777777" w:rsidTr="00FB46B6">
        <w:trPr>
          <w:trHeight w:val="454"/>
        </w:trPr>
        <w:tc>
          <w:tcPr>
            <w:tcW w:w="3204" w:type="pct"/>
            <w:noWrap/>
            <w:vAlign w:val="center"/>
          </w:tcPr>
          <w:p w14:paraId="70A0DF1E" w14:textId="6B804D6B" w:rsidR="00CE597F" w:rsidRPr="00795F17" w:rsidRDefault="00CE597F" w:rsidP="0065243A">
            <w:pPr>
              <w:pStyle w:val="Teksttabelilewy"/>
            </w:pPr>
            <w:r w:rsidRPr="00795F17">
              <w:t xml:space="preserve">Cel nieosiągnięty </w:t>
            </w:r>
            <w:r w:rsidR="00BA657A">
              <w:t>–</w:t>
            </w:r>
            <w:r w:rsidRPr="00795F17">
              <w:t xml:space="preserve"> obniżenie stanu</w:t>
            </w:r>
          </w:p>
        </w:tc>
        <w:tc>
          <w:tcPr>
            <w:tcW w:w="939" w:type="pct"/>
            <w:noWrap/>
            <w:vAlign w:val="center"/>
          </w:tcPr>
          <w:p w14:paraId="669C7836" w14:textId="77777777" w:rsidR="00CE597F" w:rsidRPr="00795F17" w:rsidRDefault="00CE597F" w:rsidP="0065243A">
            <w:pPr>
              <w:pStyle w:val="Teksttabelisrodek"/>
            </w:pPr>
            <w:r w:rsidRPr="00795F17">
              <w:t>2</w:t>
            </w:r>
          </w:p>
        </w:tc>
        <w:tc>
          <w:tcPr>
            <w:tcW w:w="857" w:type="pct"/>
            <w:vAlign w:val="center"/>
          </w:tcPr>
          <w:p w14:paraId="1BBC9932" w14:textId="77777777" w:rsidR="00CE597F" w:rsidRPr="00795F17" w:rsidRDefault="00CE597F" w:rsidP="0065243A">
            <w:pPr>
              <w:pStyle w:val="Teksttabelisrodek"/>
            </w:pPr>
            <w:r w:rsidRPr="00795F17">
              <w:t>10,5</w:t>
            </w:r>
          </w:p>
        </w:tc>
      </w:tr>
      <w:tr w:rsidR="00CE597F" w:rsidRPr="00795F17" w14:paraId="28481D78" w14:textId="77777777" w:rsidTr="00FB46B6">
        <w:trPr>
          <w:trHeight w:val="454"/>
        </w:trPr>
        <w:tc>
          <w:tcPr>
            <w:tcW w:w="5000" w:type="pct"/>
            <w:gridSpan w:val="3"/>
            <w:shd w:val="clear" w:color="auto" w:fill="D9D9D9" w:themeFill="background1" w:themeFillShade="D9"/>
            <w:noWrap/>
            <w:vAlign w:val="center"/>
          </w:tcPr>
          <w:p w14:paraId="1B65B7C7" w14:textId="77777777" w:rsidR="00CE597F" w:rsidRPr="00795F17" w:rsidRDefault="00CE597F" w:rsidP="0065243A">
            <w:pPr>
              <w:pStyle w:val="Teksttabelisrodek"/>
            </w:pPr>
            <w:r w:rsidRPr="00795F17">
              <w:t>Inne (w tym działania niewystarczające do obniżenia presji w jednym cyklu planistycznym)</w:t>
            </w:r>
          </w:p>
        </w:tc>
      </w:tr>
      <w:tr w:rsidR="00CE597F" w:rsidRPr="00795F17" w14:paraId="592E68DB" w14:textId="77777777" w:rsidTr="00FB46B6">
        <w:trPr>
          <w:trHeight w:val="454"/>
        </w:trPr>
        <w:tc>
          <w:tcPr>
            <w:tcW w:w="3204" w:type="pct"/>
            <w:noWrap/>
            <w:vAlign w:val="center"/>
          </w:tcPr>
          <w:p w14:paraId="719F45B4" w14:textId="77777777" w:rsidR="00CE597F" w:rsidRPr="00795F17" w:rsidRDefault="00CE597F" w:rsidP="0065243A">
            <w:pPr>
              <w:pStyle w:val="Teksttabelilewy"/>
            </w:pPr>
            <w:r w:rsidRPr="00795F17">
              <w:t>Analizowana przyczyna łącznie</w:t>
            </w:r>
          </w:p>
        </w:tc>
        <w:tc>
          <w:tcPr>
            <w:tcW w:w="939" w:type="pct"/>
            <w:noWrap/>
            <w:vAlign w:val="center"/>
          </w:tcPr>
          <w:p w14:paraId="064204AD" w14:textId="77777777" w:rsidR="00CE597F" w:rsidRPr="00795F17" w:rsidRDefault="00CE597F" w:rsidP="0065243A">
            <w:pPr>
              <w:pStyle w:val="Teksttabelisrodek"/>
            </w:pPr>
            <w:r w:rsidRPr="00795F17">
              <w:t>11</w:t>
            </w:r>
          </w:p>
        </w:tc>
        <w:tc>
          <w:tcPr>
            <w:tcW w:w="857" w:type="pct"/>
            <w:vAlign w:val="center"/>
          </w:tcPr>
          <w:p w14:paraId="2DBA251C" w14:textId="77777777" w:rsidR="00CE597F" w:rsidRPr="00795F17" w:rsidRDefault="00CE597F" w:rsidP="0065243A">
            <w:pPr>
              <w:pStyle w:val="Teksttabelisrodek"/>
            </w:pPr>
            <w:r w:rsidRPr="00795F17">
              <w:t>57,9</w:t>
            </w:r>
          </w:p>
        </w:tc>
      </w:tr>
      <w:tr w:rsidR="00CE597F" w:rsidRPr="00795F17" w14:paraId="167244E4" w14:textId="77777777" w:rsidTr="00FB46B6">
        <w:trPr>
          <w:trHeight w:val="454"/>
        </w:trPr>
        <w:tc>
          <w:tcPr>
            <w:tcW w:w="3204" w:type="pct"/>
            <w:noWrap/>
            <w:vAlign w:val="center"/>
          </w:tcPr>
          <w:p w14:paraId="6479708C" w14:textId="3426F064" w:rsidR="00CE597F" w:rsidRPr="00795F17" w:rsidRDefault="00CE597F" w:rsidP="0065243A">
            <w:pPr>
              <w:pStyle w:val="Teksttabelilewy"/>
            </w:pPr>
            <w:r w:rsidRPr="00795F17">
              <w:t xml:space="preserve">Cel nieosiągnięty </w:t>
            </w:r>
            <w:r w:rsidR="00BA657A">
              <w:t>–</w:t>
            </w:r>
            <w:r w:rsidRPr="00795F17">
              <w:t xml:space="preserve"> brak postępu</w:t>
            </w:r>
          </w:p>
        </w:tc>
        <w:tc>
          <w:tcPr>
            <w:tcW w:w="939" w:type="pct"/>
            <w:noWrap/>
            <w:vAlign w:val="center"/>
          </w:tcPr>
          <w:p w14:paraId="21DFA6A5" w14:textId="77777777" w:rsidR="00CE597F" w:rsidRPr="00795F17" w:rsidRDefault="00CE597F" w:rsidP="0065243A">
            <w:pPr>
              <w:pStyle w:val="Teksttabelisrodek"/>
            </w:pPr>
            <w:r w:rsidRPr="00795F17">
              <w:t>4</w:t>
            </w:r>
          </w:p>
        </w:tc>
        <w:tc>
          <w:tcPr>
            <w:tcW w:w="857" w:type="pct"/>
            <w:vAlign w:val="center"/>
          </w:tcPr>
          <w:p w14:paraId="1C08BE1E" w14:textId="77777777" w:rsidR="00CE597F" w:rsidRPr="00795F17" w:rsidRDefault="00CE597F" w:rsidP="0065243A">
            <w:pPr>
              <w:pStyle w:val="Teksttabelisrodek"/>
            </w:pPr>
            <w:r w:rsidRPr="00795F17">
              <w:t>21,1</w:t>
            </w:r>
          </w:p>
        </w:tc>
      </w:tr>
      <w:tr w:rsidR="00CE597F" w:rsidRPr="00795F17" w14:paraId="772F73B1" w14:textId="77777777" w:rsidTr="00FB46B6">
        <w:trPr>
          <w:trHeight w:val="454"/>
        </w:trPr>
        <w:tc>
          <w:tcPr>
            <w:tcW w:w="3204" w:type="pct"/>
            <w:noWrap/>
            <w:vAlign w:val="center"/>
          </w:tcPr>
          <w:p w14:paraId="38C996F3" w14:textId="54E1032B" w:rsidR="00CE597F" w:rsidRPr="00795F17" w:rsidRDefault="00CE597F" w:rsidP="0065243A">
            <w:pPr>
              <w:pStyle w:val="Teksttabelilewy"/>
            </w:pPr>
            <w:r w:rsidRPr="00795F17">
              <w:t xml:space="preserve">Cel nieosiągnięty </w:t>
            </w:r>
            <w:r w:rsidR="00BA657A">
              <w:t>–</w:t>
            </w:r>
            <w:r w:rsidRPr="00795F17">
              <w:t xml:space="preserve"> obniżenie stanu</w:t>
            </w:r>
          </w:p>
        </w:tc>
        <w:tc>
          <w:tcPr>
            <w:tcW w:w="939" w:type="pct"/>
            <w:noWrap/>
            <w:vAlign w:val="center"/>
          </w:tcPr>
          <w:p w14:paraId="28B0C3FE" w14:textId="77777777" w:rsidR="00CE597F" w:rsidRPr="00795F17" w:rsidRDefault="00CE597F" w:rsidP="0065243A">
            <w:pPr>
              <w:pStyle w:val="Teksttabelisrodek"/>
            </w:pPr>
            <w:r w:rsidRPr="00795F17">
              <w:t>7</w:t>
            </w:r>
          </w:p>
        </w:tc>
        <w:tc>
          <w:tcPr>
            <w:tcW w:w="857" w:type="pct"/>
            <w:vAlign w:val="center"/>
          </w:tcPr>
          <w:p w14:paraId="205BA757" w14:textId="77777777" w:rsidR="00CE597F" w:rsidRPr="00795F17" w:rsidRDefault="00CE597F" w:rsidP="0065243A">
            <w:pPr>
              <w:pStyle w:val="Teksttabelisrodek"/>
            </w:pPr>
            <w:r w:rsidRPr="00795F17">
              <w:t>36,8</w:t>
            </w:r>
          </w:p>
        </w:tc>
      </w:tr>
    </w:tbl>
    <w:p w14:paraId="72764B41" w14:textId="3DD976B9" w:rsidR="00CE597F" w:rsidRPr="00795F17" w:rsidRDefault="00CE597F" w:rsidP="0044393D">
      <w:pPr>
        <w:pStyle w:val="rdo"/>
      </w:pPr>
      <w:r w:rsidRPr="00795F17">
        <w:t xml:space="preserve">Źródło: </w:t>
      </w:r>
      <w:r w:rsidR="00FD7248" w:rsidRPr="00795F17">
        <w:t>opracowanie własne</w:t>
      </w:r>
      <w:r w:rsidRPr="00795F17">
        <w:t xml:space="preserve"> na podstawie danych GIOŚ</w:t>
      </w:r>
      <w:r w:rsidR="00FE25FC" w:rsidRPr="00795F17">
        <w:t xml:space="preserve"> i aPGW</w:t>
      </w:r>
    </w:p>
    <w:p w14:paraId="77F11B62" w14:textId="3E7FACD5" w:rsidR="00CE597F" w:rsidRPr="00795F17" w:rsidRDefault="00CE597F" w:rsidP="00C53C86">
      <w:pPr>
        <w:pStyle w:val="Nagwek3"/>
      </w:pPr>
      <w:bookmarkStart w:id="483" w:name="_Toc105512670"/>
      <w:r w:rsidRPr="00795F17">
        <w:rPr>
          <w:shd w:val="clear" w:color="auto" w:fill="FFFFFF" w:themeFill="background1"/>
        </w:rPr>
        <w:t xml:space="preserve">Ocena postępu w osiąganiu celów środowiskowych dla potencjału ekologicznego </w:t>
      </w:r>
      <w:r w:rsidR="00DF005E">
        <w:rPr>
          <w:shd w:val="clear" w:color="auto" w:fill="FFFFFF" w:themeFill="background1"/>
        </w:rPr>
        <w:t>JCWP</w:t>
      </w:r>
      <w:r w:rsidRPr="00795F17">
        <w:rPr>
          <w:shd w:val="clear" w:color="auto" w:fill="FFFFFF" w:themeFill="background1"/>
        </w:rPr>
        <w:t xml:space="preserve"> LW w</w:t>
      </w:r>
      <w:r w:rsidRPr="00795F17">
        <w:t xml:space="preserve"> okresie od 2016</w:t>
      </w:r>
      <w:r w:rsidR="005A6124" w:rsidRPr="00795F17">
        <w:t xml:space="preserve"> r. do </w:t>
      </w:r>
      <w:r w:rsidRPr="00795F17">
        <w:t>2021 r. wraz z wyjaśnieniem przyczyn nieosiągnięcia celów środowiskowych</w:t>
      </w:r>
      <w:bookmarkEnd w:id="483"/>
    </w:p>
    <w:p w14:paraId="0097686F" w14:textId="4718DB4B" w:rsidR="00C001DE" w:rsidRPr="00795F17" w:rsidRDefault="00C001DE" w:rsidP="0044393D">
      <w:pPr>
        <w:pStyle w:val="Nagwek5"/>
      </w:pPr>
      <w:r w:rsidRPr="00795F17">
        <w:t xml:space="preserve">Ocena postępu w osiąganiu celów środowiskowych dla stanu/potencjału ekologicznego </w:t>
      </w:r>
      <w:r w:rsidR="00DF005E">
        <w:t>JCWP</w:t>
      </w:r>
      <w:r w:rsidRPr="00795F17">
        <w:t xml:space="preserve"> LW (układ planistyczny aPGW</w:t>
      </w:r>
      <w:r w:rsidRPr="00795F17">
        <w:rPr>
          <w:rFonts w:cstheme="minorBidi"/>
        </w:rPr>
        <w:t>)</w:t>
      </w:r>
    </w:p>
    <w:p w14:paraId="77B46ACC" w14:textId="51805A52" w:rsidR="00CE597F" w:rsidRPr="00795F17" w:rsidRDefault="0004437D" w:rsidP="0044393D">
      <w:r>
        <w:t>Na </w:t>
      </w:r>
      <w:r w:rsidR="00F51D7F" w:rsidRPr="00795F17">
        <w:t xml:space="preserve">obszarze </w:t>
      </w:r>
      <w:r w:rsidR="00CE597F" w:rsidRPr="00795F17">
        <w:t>dorzecz</w:t>
      </w:r>
      <w:r w:rsidR="00F51D7F" w:rsidRPr="00795F17">
        <w:t>a</w:t>
      </w:r>
      <w:r w:rsidR="00CE597F" w:rsidRPr="00795F17">
        <w:t xml:space="preserve"> Odry ocenie poddano 288 </w:t>
      </w:r>
      <w:r w:rsidR="00DF005E">
        <w:t>JCWP</w:t>
      </w:r>
      <w:r w:rsidR="00DB7515" w:rsidRPr="00795F17">
        <w:t xml:space="preserve"> LW </w:t>
      </w:r>
      <w:r w:rsidR="00CE597F" w:rsidRPr="00795F17">
        <w:t xml:space="preserve">(68,2%) spośród wszystkich 422 </w:t>
      </w:r>
      <w:r w:rsidR="00DF005E">
        <w:t>JCWP</w:t>
      </w:r>
      <w:r w:rsidR="00CE597F" w:rsidRPr="00795F17">
        <w:t xml:space="preserve"> </w:t>
      </w:r>
      <w:r w:rsidR="00DB7515" w:rsidRPr="00795F17">
        <w:t>LW</w:t>
      </w:r>
      <w:r w:rsidR="00CE597F" w:rsidRPr="00795F17">
        <w:t>. Dla</w:t>
      </w:r>
      <w:r w:rsidR="00C001DE" w:rsidRPr="00795F17">
        <w:t> </w:t>
      </w:r>
      <w:r w:rsidR="00CE597F" w:rsidRPr="00795F17">
        <w:t xml:space="preserve">134 </w:t>
      </w:r>
      <w:r w:rsidR="00DF005E">
        <w:t>JCWP</w:t>
      </w:r>
      <w:r w:rsidR="00DB7515" w:rsidRPr="00795F17">
        <w:t xml:space="preserve"> LW</w:t>
      </w:r>
      <w:r w:rsidR="00CE597F" w:rsidRPr="00795F17">
        <w:t xml:space="preserve"> (31,8%) z uwagi na ograniczone dane monitoringowe i brak możliwości porównania stanów/potencjałów ekologicznych na początku i na końcu okresu porównawczego, ocena postępu była niemożliwa do przeprowadzenia. W okresie od 2016</w:t>
      </w:r>
      <w:r w:rsidR="00C001DE" w:rsidRPr="00795F17">
        <w:t> r.</w:t>
      </w:r>
      <w:r w:rsidR="00CE597F" w:rsidRPr="00795F17">
        <w:t xml:space="preserve"> do 2021 r</w:t>
      </w:r>
      <w:r w:rsidR="00C001DE" w:rsidRPr="00795F17">
        <w:t>.</w:t>
      </w:r>
      <w:r w:rsidR="00CE597F" w:rsidRPr="00795F17">
        <w:t xml:space="preserve"> cel środowiskowy został utrzymany lub osiągnięty w przypadku 92 jezior, co stanowi 21,8% </w:t>
      </w:r>
      <w:r w:rsidR="00DF005E">
        <w:t>JCWP</w:t>
      </w:r>
      <w:r w:rsidR="00CE597F" w:rsidRPr="00795F17">
        <w:t xml:space="preserve"> </w:t>
      </w:r>
      <w:r w:rsidR="00DB7515" w:rsidRPr="00795F17">
        <w:t>LW</w:t>
      </w:r>
      <w:r w:rsidR="00CE597F" w:rsidRPr="00795F17">
        <w:t xml:space="preserve"> </w:t>
      </w:r>
      <w:r>
        <w:t>na</w:t>
      </w:r>
      <w:r w:rsidR="00CE597F" w:rsidRPr="00795F17">
        <w:t xml:space="preserve"> </w:t>
      </w:r>
      <w:r w:rsidR="00F51D7F" w:rsidRPr="00795F17">
        <w:t xml:space="preserve">obszarze </w:t>
      </w:r>
      <w:r w:rsidR="00CE597F" w:rsidRPr="00795F17">
        <w:t>dorzecz</w:t>
      </w:r>
      <w:r w:rsidR="00F51D7F" w:rsidRPr="00795F17">
        <w:t>a</w:t>
      </w:r>
      <w:r w:rsidR="00CE597F" w:rsidRPr="00795F17">
        <w:t>. 72</w:t>
      </w:r>
      <w:r w:rsidR="009D729B" w:rsidRPr="00795F17">
        <w:t> </w:t>
      </w:r>
      <w:r w:rsidR="00DF005E">
        <w:t>JCWP</w:t>
      </w:r>
      <w:r w:rsidR="009D729B" w:rsidRPr="00795F17">
        <w:t xml:space="preserve"> LW </w:t>
      </w:r>
      <w:r w:rsidR="00CE597F" w:rsidRPr="00795F17">
        <w:t xml:space="preserve">(17,1%) utrzymały co najmniej dobry stan/potencjał ekologiczny. Dla 20 </w:t>
      </w:r>
      <w:r w:rsidR="00DF005E">
        <w:t>JCWP</w:t>
      </w:r>
      <w:r w:rsidR="00DB7515" w:rsidRPr="00795F17">
        <w:t xml:space="preserve"> LW </w:t>
      </w:r>
      <w:r w:rsidR="00CE597F" w:rsidRPr="00795F17">
        <w:t xml:space="preserve">(4,7%) osiągnięcie celu środowiskowego spowodowane było poprawą stanu/potencjału ekologicznego. </w:t>
      </w:r>
    </w:p>
    <w:p w14:paraId="5F71F909" w14:textId="75381957" w:rsidR="00CE597F" w:rsidRPr="00795F17" w:rsidRDefault="00CE597F" w:rsidP="0044393D">
      <w:r w:rsidRPr="00795F17">
        <w:t xml:space="preserve">Założone cele środowiskowe dla stanu/potencjału ekologicznego nie zostały osiągnięte dla 196 </w:t>
      </w:r>
      <w:r w:rsidR="00DF005E">
        <w:t>JCWP</w:t>
      </w:r>
      <w:r w:rsidR="00DB7515" w:rsidRPr="00795F17">
        <w:t xml:space="preserve"> LW</w:t>
      </w:r>
      <w:r w:rsidRPr="00795F17">
        <w:t xml:space="preserve">, tj. dla 46,4% jezior w </w:t>
      </w:r>
      <w:r w:rsidR="00F51D7F" w:rsidRPr="00795F17">
        <w:t xml:space="preserve">obszarze </w:t>
      </w:r>
      <w:r w:rsidRPr="00795F17">
        <w:t>dorzecz</w:t>
      </w:r>
      <w:r w:rsidR="00F51D7F" w:rsidRPr="00795F17">
        <w:t>a</w:t>
      </w:r>
      <w:r w:rsidRPr="00795F17">
        <w:t xml:space="preserve">. W 98 przypadkach (23,2% ogólnej liczby </w:t>
      </w:r>
      <w:r w:rsidR="00DF005E">
        <w:t>JCWP</w:t>
      </w:r>
      <w:r w:rsidR="00DB7515" w:rsidRPr="00795F17">
        <w:t xml:space="preserve"> LW</w:t>
      </w:r>
      <w:r w:rsidRPr="00795F17">
        <w:t xml:space="preserve">) powodem nieosiągnięcia celów środowiskowych był brak poprawy stanu/potencjału ekologicznego. Niewystarczającą do osiągnięcia celów środowiskowych poprawę klasy stanu/potencjału ekologicznego stwierdzono w przypadku 20 </w:t>
      </w:r>
      <w:r w:rsidR="00DF005E">
        <w:t>JCWP</w:t>
      </w:r>
      <w:r w:rsidRPr="00795F17">
        <w:t xml:space="preserve"> </w:t>
      </w:r>
      <w:r w:rsidR="00DB7515" w:rsidRPr="00795F17">
        <w:t>LW</w:t>
      </w:r>
      <w:r w:rsidRPr="00795F17">
        <w:t xml:space="preserve">, tj. 4,7% ogółu jezior </w:t>
      </w:r>
      <w:r w:rsidR="0004437D">
        <w:t>na</w:t>
      </w:r>
      <w:r w:rsidRPr="00795F17">
        <w:t xml:space="preserve"> </w:t>
      </w:r>
      <w:r w:rsidR="00F51D7F" w:rsidRPr="00795F17">
        <w:t xml:space="preserve">obszarze </w:t>
      </w:r>
      <w:r w:rsidRPr="00795F17">
        <w:t>dorzecz</w:t>
      </w:r>
      <w:r w:rsidR="00F51D7F" w:rsidRPr="00795F17">
        <w:t>a</w:t>
      </w:r>
      <w:r w:rsidRPr="00795F17">
        <w:t>, a</w:t>
      </w:r>
      <w:r w:rsidR="00DB7515" w:rsidRPr="00795F17">
        <w:t> </w:t>
      </w:r>
      <w:r w:rsidRPr="00795F17">
        <w:t xml:space="preserve">pogorszenie do złego stanu/potencjału ekologicznego w 78 kolejnych (18,5%). </w:t>
      </w:r>
    </w:p>
    <w:p w14:paraId="62BBA11B" w14:textId="11FF598D" w:rsidR="00F932DF" w:rsidRPr="00795F17" w:rsidRDefault="00F932DF" w:rsidP="0044393D">
      <w:r w:rsidRPr="00795F17">
        <w:t>Wyżej opisane wyniki oceny postępu zaprezentowano w tabeli poniżej (tabela 9-1</w:t>
      </w:r>
      <w:r w:rsidR="00DB7515" w:rsidRPr="00795F17">
        <w:t>3</w:t>
      </w:r>
      <w:r w:rsidRPr="00795F17">
        <w:t>).</w:t>
      </w:r>
    </w:p>
    <w:p w14:paraId="2B61312D" w14:textId="4BC2E4E9" w:rsidR="003B2D14" w:rsidRPr="00795F17" w:rsidRDefault="00CE597F" w:rsidP="004D7705">
      <w:pPr>
        <w:pStyle w:val="Tabela"/>
      </w:pPr>
      <w:bookmarkStart w:id="484" w:name="_Toc66341915"/>
      <w:bookmarkStart w:id="485" w:name="_Toc105512837"/>
      <w:r w:rsidRPr="00795F17">
        <w:t xml:space="preserve">Tabela </w:t>
      </w:r>
      <w:fldSimple w:instr=" STYLEREF 1 \s ">
        <w:r w:rsidR="001F774D">
          <w:rPr>
            <w:noProof/>
          </w:rPr>
          <w:t>9</w:t>
        </w:r>
      </w:fldSimple>
      <w:r w:rsidR="00BB3B21" w:rsidRPr="00795F17">
        <w:noBreakHyphen/>
      </w:r>
      <w:fldSimple w:instr=" SEQ Tabela \* ARABIC \s 1 ">
        <w:r w:rsidR="001F774D">
          <w:rPr>
            <w:noProof/>
          </w:rPr>
          <w:t>13</w:t>
        </w:r>
      </w:fldSimple>
      <w:r w:rsidR="00E76356">
        <w:rPr>
          <w:noProof/>
        </w:rPr>
        <w:t>.</w:t>
      </w:r>
      <w:r w:rsidR="003B2D14" w:rsidRPr="00795F17">
        <w:tab/>
      </w:r>
      <w:bookmarkEnd w:id="484"/>
      <w:r w:rsidR="00C001DE" w:rsidRPr="00795F17">
        <w:t>Ocena postępu w osiąganiu celów środowiskowych dla stanu/potencjału ekologicznego na obszarze dorzecza Odry w układzie planistycznym aPGW (cykl planistyczny 2016</w:t>
      </w:r>
      <w:r w:rsidR="00BA657A">
        <w:t>–</w:t>
      </w:r>
      <w:r w:rsidR="00C001DE" w:rsidRPr="00795F17">
        <w:t>2021)</w:t>
      </w:r>
      <w:r w:rsidR="00BD0637">
        <w:t xml:space="preserve"> –  </w:t>
      </w:r>
      <w:r w:rsidR="00DF005E">
        <w:t>JCWP</w:t>
      </w:r>
      <w:r w:rsidR="00BD0637" w:rsidRPr="008368C5">
        <w:t xml:space="preserve"> </w:t>
      </w:r>
      <w:r w:rsidR="00BD0637">
        <w:t>LW</w:t>
      </w:r>
      <w:bookmarkEnd w:id="485"/>
    </w:p>
    <w:tbl>
      <w:tblPr>
        <w:tblW w:w="9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7"/>
        <w:gridCol w:w="1656"/>
        <w:gridCol w:w="1657"/>
      </w:tblGrid>
      <w:tr w:rsidR="00CE597F" w:rsidRPr="00795F17" w14:paraId="313378A2" w14:textId="77777777" w:rsidTr="00677E27">
        <w:trPr>
          <w:cantSplit/>
          <w:trHeight w:val="454"/>
          <w:tblHeader/>
        </w:trPr>
        <w:tc>
          <w:tcPr>
            <w:tcW w:w="5807" w:type="dxa"/>
            <w:shd w:val="clear" w:color="auto" w:fill="BFBFBF" w:themeFill="background1" w:themeFillShade="BF"/>
            <w:noWrap/>
            <w:vAlign w:val="center"/>
            <w:hideMark/>
          </w:tcPr>
          <w:p w14:paraId="0EFA8140" w14:textId="3D3868EB" w:rsidR="00CE597F" w:rsidRPr="00795F17" w:rsidRDefault="00677E27" w:rsidP="0065243A">
            <w:pPr>
              <w:pStyle w:val="Teksttabelinaglowek"/>
            </w:pPr>
            <w:r w:rsidRPr="00795F17">
              <w:t>Stopień osiągnięcia celu</w:t>
            </w:r>
          </w:p>
        </w:tc>
        <w:tc>
          <w:tcPr>
            <w:tcW w:w="1656" w:type="dxa"/>
            <w:shd w:val="clear" w:color="auto" w:fill="BFBFBF" w:themeFill="background1" w:themeFillShade="BF"/>
            <w:noWrap/>
            <w:vAlign w:val="center"/>
            <w:hideMark/>
          </w:tcPr>
          <w:p w14:paraId="3B3D29F9" w14:textId="57CB042B" w:rsidR="00CE597F" w:rsidRPr="00795F17" w:rsidRDefault="00CE597F" w:rsidP="0065243A">
            <w:pPr>
              <w:pStyle w:val="Teksttabelinaglowek"/>
            </w:pPr>
            <w:r w:rsidRPr="00795F17">
              <w:t xml:space="preserve">Liczba </w:t>
            </w:r>
            <w:r w:rsidR="00DF005E">
              <w:t>JCWP</w:t>
            </w:r>
            <w:r w:rsidRPr="00795F17">
              <w:t xml:space="preserve"> </w:t>
            </w:r>
            <w:r w:rsidR="00677E27" w:rsidRPr="00795F17">
              <w:t>LW</w:t>
            </w:r>
          </w:p>
        </w:tc>
        <w:tc>
          <w:tcPr>
            <w:tcW w:w="1657" w:type="dxa"/>
            <w:shd w:val="clear" w:color="auto" w:fill="BFBFBF" w:themeFill="background1" w:themeFillShade="BF"/>
            <w:noWrap/>
            <w:vAlign w:val="center"/>
            <w:hideMark/>
          </w:tcPr>
          <w:p w14:paraId="3480185D" w14:textId="1E379A07" w:rsidR="00CE597F" w:rsidRPr="00795F17" w:rsidRDefault="00677E27" w:rsidP="0065243A">
            <w:pPr>
              <w:pStyle w:val="Teksttabelinaglowek"/>
            </w:pPr>
            <w:r w:rsidRPr="00795F17">
              <w:t xml:space="preserve">Udział </w:t>
            </w:r>
            <w:r w:rsidR="00DF005E">
              <w:t>JCWP</w:t>
            </w:r>
            <w:r w:rsidRPr="00795F17">
              <w:t xml:space="preserve"> </w:t>
            </w:r>
            <w:r w:rsidR="00EA4FF5" w:rsidRPr="00795F17">
              <w:t>(%)</w:t>
            </w:r>
          </w:p>
        </w:tc>
      </w:tr>
      <w:tr w:rsidR="00ED5268" w:rsidRPr="00795F17" w14:paraId="090BF066" w14:textId="77777777" w:rsidTr="00677E27">
        <w:trPr>
          <w:trHeight w:val="454"/>
        </w:trPr>
        <w:tc>
          <w:tcPr>
            <w:tcW w:w="5807" w:type="dxa"/>
            <w:shd w:val="clear" w:color="auto" w:fill="auto"/>
            <w:noWrap/>
            <w:vAlign w:val="center"/>
          </w:tcPr>
          <w:p w14:paraId="6AB226E5" w14:textId="03E84307" w:rsidR="00ED5268" w:rsidRPr="00795F17" w:rsidRDefault="00ED5268" w:rsidP="00ED5268">
            <w:pPr>
              <w:pStyle w:val="Teksttabelilewy"/>
            </w:pPr>
            <w:r w:rsidRPr="00795F17">
              <w:t xml:space="preserve">Cel nieosiągnięty </w:t>
            </w:r>
            <w:r>
              <w:t>–</w:t>
            </w:r>
            <w:r w:rsidRPr="00795F17">
              <w:t xml:space="preserve"> brak postępu</w:t>
            </w:r>
          </w:p>
        </w:tc>
        <w:tc>
          <w:tcPr>
            <w:tcW w:w="1656" w:type="dxa"/>
            <w:shd w:val="clear" w:color="auto" w:fill="auto"/>
            <w:noWrap/>
            <w:vAlign w:val="center"/>
          </w:tcPr>
          <w:p w14:paraId="4F8B1F3E" w14:textId="6F8D5871" w:rsidR="00ED5268" w:rsidRPr="00795F17" w:rsidRDefault="00ED5268" w:rsidP="00ED5268">
            <w:pPr>
              <w:pStyle w:val="Teksttabelisrodek"/>
            </w:pPr>
            <w:r w:rsidRPr="00795F17">
              <w:t>98</w:t>
            </w:r>
          </w:p>
        </w:tc>
        <w:tc>
          <w:tcPr>
            <w:tcW w:w="1657" w:type="dxa"/>
            <w:shd w:val="clear" w:color="auto" w:fill="auto"/>
            <w:noWrap/>
            <w:vAlign w:val="center"/>
          </w:tcPr>
          <w:p w14:paraId="273A77A0" w14:textId="194ED9B2" w:rsidR="00ED5268" w:rsidRPr="00795F17" w:rsidRDefault="00ED5268" w:rsidP="00ED5268">
            <w:pPr>
              <w:pStyle w:val="Teksttabelisrodek"/>
            </w:pPr>
            <w:r>
              <w:rPr>
                <w:rFonts w:cs="Calibri"/>
                <w:color w:val="000000"/>
                <w:szCs w:val="20"/>
              </w:rPr>
              <w:t>23,2</w:t>
            </w:r>
          </w:p>
        </w:tc>
      </w:tr>
      <w:tr w:rsidR="00ED5268" w:rsidRPr="00795F17" w14:paraId="06683291" w14:textId="77777777" w:rsidTr="00677E27">
        <w:trPr>
          <w:trHeight w:val="454"/>
        </w:trPr>
        <w:tc>
          <w:tcPr>
            <w:tcW w:w="5807" w:type="dxa"/>
            <w:shd w:val="clear" w:color="auto" w:fill="auto"/>
            <w:noWrap/>
            <w:vAlign w:val="center"/>
          </w:tcPr>
          <w:p w14:paraId="1330C036" w14:textId="00600D6F" w:rsidR="00ED5268" w:rsidRPr="00795F17" w:rsidRDefault="00ED5268" w:rsidP="00ED5268">
            <w:pPr>
              <w:pStyle w:val="Teksttabelilewy"/>
            </w:pPr>
            <w:r w:rsidRPr="00795F17">
              <w:t xml:space="preserve">Cel nieosiągnięty </w:t>
            </w:r>
            <w:r>
              <w:t>–</w:t>
            </w:r>
            <w:r w:rsidRPr="00795F17">
              <w:t xml:space="preserve"> pogorszenie do stanu złego</w:t>
            </w:r>
          </w:p>
        </w:tc>
        <w:tc>
          <w:tcPr>
            <w:tcW w:w="1656" w:type="dxa"/>
            <w:shd w:val="clear" w:color="auto" w:fill="auto"/>
            <w:noWrap/>
            <w:vAlign w:val="center"/>
          </w:tcPr>
          <w:p w14:paraId="504A8DF1" w14:textId="0AA1B2E4" w:rsidR="00ED5268" w:rsidRPr="00795F17" w:rsidRDefault="00ED5268" w:rsidP="00ED5268">
            <w:pPr>
              <w:pStyle w:val="Teksttabelisrodek"/>
            </w:pPr>
            <w:r w:rsidRPr="00795F17">
              <w:t>78</w:t>
            </w:r>
          </w:p>
        </w:tc>
        <w:tc>
          <w:tcPr>
            <w:tcW w:w="1657" w:type="dxa"/>
            <w:shd w:val="clear" w:color="auto" w:fill="auto"/>
            <w:noWrap/>
            <w:vAlign w:val="center"/>
          </w:tcPr>
          <w:p w14:paraId="5734247A" w14:textId="749528E5" w:rsidR="00ED5268" w:rsidRPr="00795F17" w:rsidRDefault="00ED5268" w:rsidP="00ED5268">
            <w:pPr>
              <w:pStyle w:val="Teksttabelisrodek"/>
            </w:pPr>
            <w:r>
              <w:rPr>
                <w:rFonts w:cs="Calibri"/>
                <w:color w:val="000000"/>
                <w:szCs w:val="20"/>
              </w:rPr>
              <w:t>18,5</w:t>
            </w:r>
          </w:p>
        </w:tc>
      </w:tr>
      <w:tr w:rsidR="00ED5268" w:rsidRPr="00795F17" w14:paraId="55327184" w14:textId="77777777" w:rsidTr="00677E27">
        <w:trPr>
          <w:trHeight w:val="454"/>
        </w:trPr>
        <w:tc>
          <w:tcPr>
            <w:tcW w:w="5807" w:type="dxa"/>
            <w:shd w:val="clear" w:color="auto" w:fill="auto"/>
            <w:noWrap/>
            <w:vAlign w:val="center"/>
          </w:tcPr>
          <w:p w14:paraId="68984E7F" w14:textId="7FEFFD0A" w:rsidR="00ED5268" w:rsidRPr="00795F17" w:rsidRDefault="00ED5268" w:rsidP="00ED5268">
            <w:pPr>
              <w:pStyle w:val="Teksttabelilewy"/>
            </w:pPr>
            <w:r w:rsidRPr="00795F17">
              <w:t xml:space="preserve">Cel nieosiągnięty </w:t>
            </w:r>
            <w:r>
              <w:t>–</w:t>
            </w:r>
            <w:r w:rsidRPr="00795F17">
              <w:t xml:space="preserve"> ale poprawa stanu/potencjału</w:t>
            </w:r>
          </w:p>
        </w:tc>
        <w:tc>
          <w:tcPr>
            <w:tcW w:w="1656" w:type="dxa"/>
            <w:shd w:val="clear" w:color="auto" w:fill="auto"/>
            <w:noWrap/>
            <w:vAlign w:val="center"/>
          </w:tcPr>
          <w:p w14:paraId="36084B9C" w14:textId="681CAF25" w:rsidR="00ED5268" w:rsidRPr="00795F17" w:rsidRDefault="00ED5268" w:rsidP="00ED5268">
            <w:pPr>
              <w:pStyle w:val="Teksttabelisrodek"/>
            </w:pPr>
            <w:r w:rsidRPr="00795F17">
              <w:t>20</w:t>
            </w:r>
          </w:p>
        </w:tc>
        <w:tc>
          <w:tcPr>
            <w:tcW w:w="1657" w:type="dxa"/>
            <w:shd w:val="clear" w:color="auto" w:fill="auto"/>
            <w:noWrap/>
            <w:vAlign w:val="center"/>
          </w:tcPr>
          <w:p w14:paraId="7749619B" w14:textId="0F1A0742" w:rsidR="00ED5268" w:rsidRPr="00795F17" w:rsidRDefault="00ED5268" w:rsidP="00ED5268">
            <w:pPr>
              <w:pStyle w:val="Teksttabelisrodek"/>
            </w:pPr>
            <w:r>
              <w:rPr>
                <w:rFonts w:cs="Calibri"/>
                <w:color w:val="000000"/>
                <w:szCs w:val="20"/>
              </w:rPr>
              <w:t>4,7</w:t>
            </w:r>
          </w:p>
        </w:tc>
      </w:tr>
      <w:tr w:rsidR="00ED5268" w:rsidRPr="00795F17" w14:paraId="14115841" w14:textId="77777777" w:rsidTr="00677E27">
        <w:trPr>
          <w:trHeight w:val="454"/>
        </w:trPr>
        <w:tc>
          <w:tcPr>
            <w:tcW w:w="5807" w:type="dxa"/>
            <w:shd w:val="clear" w:color="auto" w:fill="auto"/>
            <w:noWrap/>
            <w:vAlign w:val="center"/>
            <w:hideMark/>
          </w:tcPr>
          <w:p w14:paraId="186A91D9" w14:textId="34CB5ECC" w:rsidR="00ED5268" w:rsidRPr="00795F17" w:rsidRDefault="00ED5268" w:rsidP="00ED5268">
            <w:pPr>
              <w:pStyle w:val="Teksttabelilewy"/>
            </w:pPr>
            <w:r w:rsidRPr="00795F17">
              <w:t xml:space="preserve">Cel osiągnięty </w:t>
            </w:r>
            <w:r>
              <w:t>–</w:t>
            </w:r>
            <w:r w:rsidRPr="00795F17">
              <w:t xml:space="preserve"> utrzymanie dobrego stanu</w:t>
            </w:r>
          </w:p>
        </w:tc>
        <w:tc>
          <w:tcPr>
            <w:tcW w:w="1656" w:type="dxa"/>
            <w:shd w:val="clear" w:color="auto" w:fill="auto"/>
            <w:noWrap/>
            <w:vAlign w:val="center"/>
            <w:hideMark/>
          </w:tcPr>
          <w:p w14:paraId="4B69EF59" w14:textId="0CEECD83" w:rsidR="00ED5268" w:rsidRPr="00795F17" w:rsidRDefault="00ED5268" w:rsidP="00ED5268">
            <w:pPr>
              <w:pStyle w:val="Teksttabelisrodek"/>
            </w:pPr>
            <w:r>
              <w:t>72</w:t>
            </w:r>
          </w:p>
        </w:tc>
        <w:tc>
          <w:tcPr>
            <w:tcW w:w="1657" w:type="dxa"/>
            <w:shd w:val="clear" w:color="auto" w:fill="auto"/>
            <w:noWrap/>
            <w:vAlign w:val="center"/>
            <w:hideMark/>
          </w:tcPr>
          <w:p w14:paraId="3A10080B" w14:textId="01ED7E7C" w:rsidR="00ED5268" w:rsidRPr="00795F17" w:rsidRDefault="00ED5268" w:rsidP="00ED5268">
            <w:pPr>
              <w:pStyle w:val="Teksttabelisrodek"/>
            </w:pPr>
            <w:r>
              <w:rPr>
                <w:rFonts w:cs="Calibri"/>
                <w:color w:val="000000"/>
                <w:szCs w:val="20"/>
              </w:rPr>
              <w:t>17,1</w:t>
            </w:r>
          </w:p>
        </w:tc>
      </w:tr>
      <w:tr w:rsidR="00ED5268" w:rsidRPr="00795F17" w14:paraId="1665119B" w14:textId="77777777" w:rsidTr="00677E27">
        <w:trPr>
          <w:trHeight w:val="454"/>
        </w:trPr>
        <w:tc>
          <w:tcPr>
            <w:tcW w:w="5807" w:type="dxa"/>
            <w:shd w:val="clear" w:color="auto" w:fill="auto"/>
            <w:noWrap/>
            <w:vAlign w:val="center"/>
          </w:tcPr>
          <w:p w14:paraId="78736950" w14:textId="21935182" w:rsidR="00ED5268" w:rsidRPr="00795F17" w:rsidRDefault="00ED5268" w:rsidP="00ED5268">
            <w:pPr>
              <w:pStyle w:val="Teksttabelilewy"/>
            </w:pPr>
            <w:r w:rsidRPr="00795F17">
              <w:t xml:space="preserve">Cel osiągnięty </w:t>
            </w:r>
            <w:r>
              <w:t>–</w:t>
            </w:r>
            <w:r w:rsidRPr="00795F17">
              <w:t xml:space="preserve"> poprawa stanu</w:t>
            </w:r>
          </w:p>
        </w:tc>
        <w:tc>
          <w:tcPr>
            <w:tcW w:w="1656" w:type="dxa"/>
            <w:shd w:val="clear" w:color="auto" w:fill="auto"/>
            <w:noWrap/>
            <w:vAlign w:val="center"/>
          </w:tcPr>
          <w:p w14:paraId="7E9C08A3" w14:textId="382D2098" w:rsidR="00ED5268" w:rsidRPr="00795F17" w:rsidRDefault="00ED5268" w:rsidP="00ED5268">
            <w:pPr>
              <w:pStyle w:val="Teksttabelisrodek"/>
            </w:pPr>
            <w:r w:rsidRPr="00795F17">
              <w:t>20</w:t>
            </w:r>
          </w:p>
        </w:tc>
        <w:tc>
          <w:tcPr>
            <w:tcW w:w="1657" w:type="dxa"/>
            <w:shd w:val="clear" w:color="auto" w:fill="auto"/>
            <w:noWrap/>
            <w:vAlign w:val="center"/>
          </w:tcPr>
          <w:p w14:paraId="430448AE" w14:textId="693A7027" w:rsidR="00ED5268" w:rsidRPr="00795F17" w:rsidRDefault="00ED5268" w:rsidP="00ED5268">
            <w:pPr>
              <w:pStyle w:val="Teksttabelisrodek"/>
            </w:pPr>
            <w:r>
              <w:rPr>
                <w:rFonts w:cs="Calibri"/>
                <w:color w:val="000000"/>
                <w:szCs w:val="20"/>
              </w:rPr>
              <w:t>4,7</w:t>
            </w:r>
          </w:p>
        </w:tc>
      </w:tr>
      <w:tr w:rsidR="00ED5268" w:rsidRPr="00795F17" w14:paraId="23CD58E9" w14:textId="77777777" w:rsidTr="00677E27">
        <w:trPr>
          <w:trHeight w:val="454"/>
        </w:trPr>
        <w:tc>
          <w:tcPr>
            <w:tcW w:w="5807" w:type="dxa"/>
            <w:shd w:val="clear" w:color="auto" w:fill="auto"/>
            <w:noWrap/>
            <w:vAlign w:val="center"/>
          </w:tcPr>
          <w:p w14:paraId="360F472D" w14:textId="655757AF" w:rsidR="00ED5268" w:rsidRPr="00795F17" w:rsidRDefault="00ED5268" w:rsidP="00ED5268">
            <w:pPr>
              <w:pStyle w:val="Teksttabelilewy"/>
            </w:pPr>
            <w:r w:rsidRPr="00795F17">
              <w:t>Brak możliwości oceny postępu</w:t>
            </w:r>
          </w:p>
        </w:tc>
        <w:tc>
          <w:tcPr>
            <w:tcW w:w="1656" w:type="dxa"/>
            <w:shd w:val="clear" w:color="auto" w:fill="auto"/>
            <w:noWrap/>
            <w:vAlign w:val="center"/>
          </w:tcPr>
          <w:p w14:paraId="032A63A4" w14:textId="55B1AEA0" w:rsidR="00ED5268" w:rsidRPr="00795F17" w:rsidRDefault="00ED5268" w:rsidP="00ED5268">
            <w:pPr>
              <w:pStyle w:val="Teksttabelisrodek"/>
            </w:pPr>
            <w:r>
              <w:t>134</w:t>
            </w:r>
          </w:p>
        </w:tc>
        <w:tc>
          <w:tcPr>
            <w:tcW w:w="1657" w:type="dxa"/>
            <w:shd w:val="clear" w:color="auto" w:fill="auto"/>
            <w:noWrap/>
            <w:vAlign w:val="center"/>
          </w:tcPr>
          <w:p w14:paraId="0C3D3956" w14:textId="63D1230C" w:rsidR="00ED5268" w:rsidRPr="00795F17" w:rsidRDefault="00ED5268" w:rsidP="00ED5268">
            <w:pPr>
              <w:pStyle w:val="Teksttabelisrodek"/>
            </w:pPr>
            <w:r>
              <w:rPr>
                <w:rFonts w:cs="Calibri"/>
                <w:color w:val="000000"/>
                <w:szCs w:val="20"/>
              </w:rPr>
              <w:t>31,8</w:t>
            </w:r>
          </w:p>
        </w:tc>
      </w:tr>
      <w:tr w:rsidR="00677E27" w:rsidRPr="00795F17" w14:paraId="28893C52" w14:textId="77777777" w:rsidTr="00677E27">
        <w:trPr>
          <w:trHeight w:val="454"/>
        </w:trPr>
        <w:tc>
          <w:tcPr>
            <w:tcW w:w="5807" w:type="dxa"/>
            <w:shd w:val="clear" w:color="auto" w:fill="BFBFBF" w:themeFill="background1" w:themeFillShade="BF"/>
            <w:noWrap/>
            <w:vAlign w:val="center"/>
          </w:tcPr>
          <w:p w14:paraId="6E017E38" w14:textId="28CEB9FF" w:rsidR="00677E27" w:rsidRPr="00795F17" w:rsidRDefault="00677E27" w:rsidP="0065243A">
            <w:pPr>
              <w:pStyle w:val="Teksttabelinaglowek"/>
            </w:pPr>
            <w:r w:rsidRPr="00795F17">
              <w:t xml:space="preserve">Liczba </w:t>
            </w:r>
            <w:r w:rsidR="00DF005E">
              <w:t>JCWP</w:t>
            </w:r>
            <w:r w:rsidRPr="00795F17">
              <w:t xml:space="preserve"> LW </w:t>
            </w:r>
            <w:r w:rsidR="0004437D">
              <w:t>na</w:t>
            </w:r>
            <w:r w:rsidRPr="00795F17">
              <w:t xml:space="preserve"> obszarze dorzecza</w:t>
            </w:r>
          </w:p>
        </w:tc>
        <w:tc>
          <w:tcPr>
            <w:tcW w:w="1656" w:type="dxa"/>
            <w:shd w:val="clear" w:color="auto" w:fill="BFBFBF" w:themeFill="background1" w:themeFillShade="BF"/>
            <w:noWrap/>
            <w:vAlign w:val="center"/>
          </w:tcPr>
          <w:p w14:paraId="4A54254D" w14:textId="7E5BF445" w:rsidR="00677E27" w:rsidRPr="00795F17" w:rsidRDefault="00677E27" w:rsidP="0065243A">
            <w:pPr>
              <w:pStyle w:val="Teksttabelinaglowek"/>
            </w:pPr>
            <w:r w:rsidRPr="00795F17">
              <w:t>422</w:t>
            </w:r>
          </w:p>
        </w:tc>
        <w:tc>
          <w:tcPr>
            <w:tcW w:w="1657" w:type="dxa"/>
            <w:shd w:val="clear" w:color="auto" w:fill="BFBFBF" w:themeFill="background1" w:themeFillShade="BF"/>
            <w:noWrap/>
            <w:vAlign w:val="center"/>
          </w:tcPr>
          <w:p w14:paraId="1927D7A9" w14:textId="01436D1D" w:rsidR="00677E27" w:rsidRPr="00795F17" w:rsidRDefault="00677E27" w:rsidP="0065243A">
            <w:pPr>
              <w:pStyle w:val="Teksttabelinaglowek"/>
            </w:pPr>
            <w:r w:rsidRPr="00795F17">
              <w:t>100</w:t>
            </w:r>
          </w:p>
        </w:tc>
      </w:tr>
    </w:tbl>
    <w:p w14:paraId="6DDBF857" w14:textId="077C2CE9" w:rsidR="00CE597F" w:rsidRPr="00795F17" w:rsidRDefault="00CE597F" w:rsidP="0044393D">
      <w:pPr>
        <w:pStyle w:val="rdo"/>
      </w:pPr>
      <w:r w:rsidRPr="00795F17">
        <w:t xml:space="preserve">Źródło: </w:t>
      </w:r>
      <w:r w:rsidR="00FD7248" w:rsidRPr="00795F17">
        <w:t>opracowanie własne</w:t>
      </w:r>
    </w:p>
    <w:p w14:paraId="7B50C021" w14:textId="3C24C237" w:rsidR="00C001DE" w:rsidRPr="00795F17" w:rsidRDefault="00C001DE" w:rsidP="0044393D">
      <w:pPr>
        <w:pStyle w:val="Nagwek5"/>
      </w:pPr>
      <w:r w:rsidRPr="00795F17">
        <w:t xml:space="preserve">Ocena postępu w osiąganiu celów środowiskowych dla stanu/potencjału ekologicznego </w:t>
      </w:r>
      <w:r w:rsidR="00DF005E">
        <w:t>JCWP</w:t>
      </w:r>
      <w:r w:rsidRPr="00795F17">
        <w:t xml:space="preserve"> </w:t>
      </w:r>
      <w:r w:rsidR="00F932DF" w:rsidRPr="00795F17">
        <w:t>L</w:t>
      </w:r>
      <w:r w:rsidRPr="00795F17">
        <w:t>W (</w:t>
      </w:r>
      <w:r w:rsidRPr="00795F17">
        <w:rPr>
          <w:rFonts w:cstheme="minorBidi"/>
        </w:rPr>
        <w:t xml:space="preserve">aktualny </w:t>
      </w:r>
      <w:r w:rsidRPr="00795F17">
        <w:t>układ planistyczny IIaPGW)</w:t>
      </w:r>
    </w:p>
    <w:p w14:paraId="6AFAD55C" w14:textId="256A2B14" w:rsidR="00F932DF" w:rsidRPr="00795F17" w:rsidRDefault="00F932DF" w:rsidP="0044393D">
      <w:r w:rsidRPr="00795F17">
        <w:t>Analiza przyczyn nieosiągnięcia celów środowiskowych w latach 2016</w:t>
      </w:r>
      <w:r w:rsidR="00363DD6">
        <w:t>–</w:t>
      </w:r>
      <w:r w:rsidRPr="00795F17">
        <w:t>2021 stanowi podstawę do planowania działań naprawczych w ramach IIaPGW, tym samym koni</w:t>
      </w:r>
      <w:r w:rsidR="0004437D">
        <w:t>e</w:t>
      </w:r>
      <w:r w:rsidRPr="00795F17">
        <w:t>cznym jest odwołanie się do nowego układu planistycznego z jednoczesnym uwzględnieniem zmian w sposobie klasyfikacji stanu potencjału/ekologicznego, wprowadzonych rozporządzeniem klasyfikacyjnym z 2019 r.</w:t>
      </w:r>
    </w:p>
    <w:p w14:paraId="0A2A98F4" w14:textId="059645E7" w:rsidR="00F932DF" w:rsidRPr="00795F17" w:rsidRDefault="00F932DF" w:rsidP="0044393D">
      <w:r w:rsidRPr="00795F17">
        <w:t xml:space="preserve">W poniższej tabeli zamieszczono wyniki oceny stopnia osiągnięcia celów środowiskowych w odniesieniu do nowego układu planistycznego, tj. w podziale na </w:t>
      </w:r>
      <w:r w:rsidR="001C59F9" w:rsidRPr="00795F17">
        <w:t>427</w:t>
      </w:r>
      <w:r w:rsidRPr="00795F17">
        <w:t xml:space="preserve"> </w:t>
      </w:r>
      <w:r w:rsidR="00DF005E">
        <w:t>JCWP</w:t>
      </w:r>
      <w:r w:rsidR="005E3B67" w:rsidRPr="00795F17">
        <w:t xml:space="preserve"> LW</w:t>
      </w:r>
      <w:r w:rsidRPr="00795F17">
        <w:t>. Dla celów porównawczych wprowadzono dodatkowe kategorie;</w:t>
      </w:r>
      <w:r w:rsidRPr="00795F17">
        <w:rPr>
          <w:i/>
          <w:iCs/>
        </w:rPr>
        <w:t xml:space="preserve"> </w:t>
      </w:r>
      <w:r w:rsidRPr="004F64FB">
        <w:t xml:space="preserve">Cel osiągnięty </w:t>
      </w:r>
      <w:r w:rsidR="00BA657A">
        <w:rPr>
          <w:i/>
          <w:iCs/>
        </w:rPr>
        <w:t>–</w:t>
      </w:r>
      <w:r w:rsidRPr="00795F17">
        <w:rPr>
          <w:i/>
          <w:iCs/>
        </w:rPr>
        <w:t xml:space="preserve"> </w:t>
      </w:r>
      <w:r w:rsidRPr="00795F17">
        <w:rPr>
          <w:rFonts w:asciiTheme="minorHAnsi" w:eastAsia="Times New Roman" w:hAnsiTheme="minorHAnsi"/>
          <w:lang w:eastAsia="pl-PL"/>
        </w:rPr>
        <w:t>aktualizacja oceny stanu/potencjału</w:t>
      </w:r>
      <w:r w:rsidRPr="00795F17">
        <w:rPr>
          <w:i/>
          <w:iCs/>
        </w:rPr>
        <w:t xml:space="preserve">, </w:t>
      </w:r>
      <w:r w:rsidRPr="004F64FB">
        <w:t xml:space="preserve">Cel nieosiągnięty </w:t>
      </w:r>
      <w:r w:rsidR="00BA657A">
        <w:rPr>
          <w:i/>
          <w:iCs/>
        </w:rPr>
        <w:t>–</w:t>
      </w:r>
      <w:r w:rsidRPr="00795F17">
        <w:rPr>
          <w:i/>
          <w:iCs/>
        </w:rPr>
        <w:t xml:space="preserve"> </w:t>
      </w:r>
      <w:r w:rsidRPr="00795F17">
        <w:rPr>
          <w:rFonts w:asciiTheme="minorHAnsi" w:eastAsia="Times New Roman" w:hAnsiTheme="minorHAnsi"/>
          <w:lang w:eastAsia="pl-PL"/>
        </w:rPr>
        <w:t>aktualizacja oceny stanu/potencjału</w:t>
      </w:r>
      <w:r w:rsidRPr="00795F17">
        <w:rPr>
          <w:i/>
          <w:iCs/>
        </w:rPr>
        <w:t xml:space="preserve"> </w:t>
      </w:r>
      <w:r w:rsidRPr="00795F17">
        <w:t xml:space="preserve">dla nowych </w:t>
      </w:r>
      <w:r w:rsidR="00DF005E">
        <w:t>JCWP</w:t>
      </w:r>
      <w:r w:rsidRPr="00795F17">
        <w:t xml:space="preserve">, dla których zaktualizowano ocenę stanu/potencjału ekologicznego w ramach IIaPGW. </w:t>
      </w:r>
    </w:p>
    <w:p w14:paraId="5987110E" w14:textId="1A2E0509" w:rsidR="00C7386F" w:rsidRPr="00795F17" w:rsidRDefault="00EC1E5F" w:rsidP="0044393D">
      <w:r w:rsidRPr="00795F17">
        <w:t>W</w:t>
      </w:r>
      <w:r w:rsidR="00C7386F" w:rsidRPr="00795F17">
        <w:t>yniki oceny postępu zaprezentowano w tabeli poniżej (tabela 9-1</w:t>
      </w:r>
      <w:r w:rsidRPr="00795F17">
        <w:t>4</w:t>
      </w:r>
      <w:r w:rsidR="00C7386F" w:rsidRPr="00795F17">
        <w:t>).</w:t>
      </w:r>
    </w:p>
    <w:p w14:paraId="56A5BEC4" w14:textId="0ED4A599" w:rsidR="003B2D14" w:rsidRPr="00795F17" w:rsidRDefault="00CE597F" w:rsidP="004D7705">
      <w:pPr>
        <w:pStyle w:val="Tabela"/>
      </w:pPr>
      <w:bookmarkStart w:id="486" w:name="_Toc66341916"/>
      <w:bookmarkStart w:id="487" w:name="_Toc105512838"/>
      <w:r w:rsidRPr="00795F17">
        <w:t xml:space="preserve">Tabela </w:t>
      </w:r>
      <w:fldSimple w:instr=" STYLEREF 1 \s ">
        <w:r w:rsidR="001F774D">
          <w:rPr>
            <w:noProof/>
          </w:rPr>
          <w:t>9</w:t>
        </w:r>
      </w:fldSimple>
      <w:r w:rsidR="00BB3B21" w:rsidRPr="00795F17">
        <w:noBreakHyphen/>
      </w:r>
      <w:fldSimple w:instr=" SEQ Tabela \* ARABIC \s 1 ">
        <w:r w:rsidR="001F774D">
          <w:rPr>
            <w:noProof/>
          </w:rPr>
          <w:t>14</w:t>
        </w:r>
      </w:fldSimple>
      <w:r w:rsidR="00E76356">
        <w:rPr>
          <w:noProof/>
        </w:rPr>
        <w:t>.</w:t>
      </w:r>
      <w:r w:rsidR="003B2D14" w:rsidRPr="00795F17">
        <w:tab/>
      </w:r>
      <w:bookmarkEnd w:id="486"/>
      <w:r w:rsidR="00F932DF" w:rsidRPr="00795F17">
        <w:t>Ocena postępu w osiąganiu celów środowiskowych dla stanu/potencjału ekologicznego na obszarze dorzecza Odry w układzie planistycznym IIaPGW (cykl planistyczny 2022</w:t>
      </w:r>
      <w:r w:rsidR="00BA657A">
        <w:t>–</w:t>
      </w:r>
      <w:r w:rsidR="00F932DF" w:rsidRPr="00795F17">
        <w:t>2027)</w:t>
      </w:r>
      <w:r w:rsidR="00BD0637">
        <w:t xml:space="preserve"> –  </w:t>
      </w:r>
      <w:r w:rsidR="00DF005E">
        <w:t>JCWP</w:t>
      </w:r>
      <w:r w:rsidR="00BD0637" w:rsidRPr="008368C5">
        <w:t xml:space="preserve"> </w:t>
      </w:r>
      <w:r w:rsidR="00BD0637">
        <w:t>LW</w:t>
      </w:r>
      <w:bookmarkEnd w:id="487"/>
    </w:p>
    <w:tbl>
      <w:tblPr>
        <w:tblStyle w:val="Tabela-Siatka"/>
        <w:tblW w:w="5000" w:type="pct"/>
        <w:tblLook w:val="04A0" w:firstRow="1" w:lastRow="0" w:firstColumn="1" w:lastColumn="0" w:noHBand="0" w:noVBand="1"/>
      </w:tblPr>
      <w:tblGrid>
        <w:gridCol w:w="5900"/>
        <w:gridCol w:w="1581"/>
        <w:gridCol w:w="1581"/>
      </w:tblGrid>
      <w:tr w:rsidR="00F932DF" w:rsidRPr="00795F17" w14:paraId="0B6529DA" w14:textId="77777777" w:rsidTr="00402B98">
        <w:trPr>
          <w:cnfStyle w:val="100000000000" w:firstRow="1" w:lastRow="0" w:firstColumn="0" w:lastColumn="0" w:oddVBand="0" w:evenVBand="0" w:oddHBand="0" w:evenHBand="0" w:firstRowFirstColumn="0" w:firstRowLastColumn="0" w:lastRowFirstColumn="0" w:lastRowLastColumn="0"/>
          <w:trHeight w:val="454"/>
        </w:trPr>
        <w:tc>
          <w:tcPr>
            <w:tcW w:w="3234" w:type="pct"/>
            <w:noWrap/>
            <w:hideMark/>
          </w:tcPr>
          <w:p w14:paraId="1558A72D" w14:textId="77777777" w:rsidR="00F932DF" w:rsidRPr="00795F17" w:rsidRDefault="00F932DF" w:rsidP="0044393D">
            <w:pPr>
              <w:pStyle w:val="Teksttabelinaglowek"/>
              <w:rPr>
                <w:rFonts w:eastAsia="Times New Roman"/>
                <w:b/>
              </w:rPr>
            </w:pPr>
            <w:r w:rsidRPr="00795F17">
              <w:rPr>
                <w:b/>
              </w:rPr>
              <w:t>Stopień osiągnięcia celu</w:t>
            </w:r>
          </w:p>
        </w:tc>
        <w:tc>
          <w:tcPr>
            <w:tcW w:w="883" w:type="pct"/>
            <w:noWrap/>
            <w:hideMark/>
          </w:tcPr>
          <w:p w14:paraId="05122E6F" w14:textId="015D821F" w:rsidR="00F932DF" w:rsidRPr="00795F17" w:rsidRDefault="00F932DF" w:rsidP="0044393D">
            <w:pPr>
              <w:pStyle w:val="Teksttabelinaglowek"/>
              <w:rPr>
                <w:rFonts w:eastAsia="Times New Roman"/>
                <w:b/>
              </w:rPr>
            </w:pPr>
            <w:r w:rsidRPr="00795F17">
              <w:rPr>
                <w:b/>
              </w:rPr>
              <w:t xml:space="preserve">Liczba </w:t>
            </w:r>
            <w:r w:rsidR="00DF005E">
              <w:rPr>
                <w:b/>
              </w:rPr>
              <w:t>JCWP</w:t>
            </w:r>
            <w:r w:rsidRPr="00795F17">
              <w:rPr>
                <w:b/>
              </w:rPr>
              <w:t xml:space="preserve"> LW</w:t>
            </w:r>
          </w:p>
        </w:tc>
        <w:tc>
          <w:tcPr>
            <w:tcW w:w="883" w:type="pct"/>
            <w:noWrap/>
            <w:hideMark/>
          </w:tcPr>
          <w:p w14:paraId="258C1DEF" w14:textId="1BEE39B7" w:rsidR="00F932DF" w:rsidRPr="00795F17" w:rsidRDefault="00F932DF" w:rsidP="0044393D">
            <w:pPr>
              <w:pStyle w:val="Teksttabelinaglowek"/>
              <w:rPr>
                <w:rFonts w:eastAsia="Times New Roman"/>
                <w:b/>
              </w:rPr>
            </w:pPr>
            <w:r w:rsidRPr="00795F17">
              <w:rPr>
                <w:b/>
              </w:rPr>
              <w:t xml:space="preserve">Udział </w:t>
            </w:r>
            <w:r w:rsidR="00DF005E">
              <w:rPr>
                <w:b/>
              </w:rPr>
              <w:t>JCWP</w:t>
            </w:r>
            <w:r w:rsidRPr="00795F17">
              <w:rPr>
                <w:b/>
              </w:rPr>
              <w:t xml:space="preserve"> </w:t>
            </w:r>
            <w:r w:rsidR="00EA4FF5" w:rsidRPr="00795F17">
              <w:rPr>
                <w:b/>
              </w:rPr>
              <w:t>(%)</w:t>
            </w:r>
          </w:p>
        </w:tc>
      </w:tr>
      <w:tr w:rsidR="00402B98" w:rsidRPr="00795F17" w14:paraId="7BAEAD38" w14:textId="77777777" w:rsidTr="00402B98">
        <w:trPr>
          <w:trHeight w:val="454"/>
        </w:trPr>
        <w:tc>
          <w:tcPr>
            <w:tcW w:w="3234" w:type="pct"/>
            <w:noWrap/>
          </w:tcPr>
          <w:p w14:paraId="4303435F" w14:textId="11298B36" w:rsidR="00402B98" w:rsidRPr="00795F17" w:rsidRDefault="00402B98" w:rsidP="0065243A">
            <w:pPr>
              <w:pStyle w:val="Teksttabelilewy"/>
            </w:pPr>
            <w:r w:rsidRPr="00795F17">
              <w:t xml:space="preserve">Cel nieosiągnięty </w:t>
            </w:r>
            <w:r w:rsidR="00BA657A">
              <w:t>–</w:t>
            </w:r>
            <w:r w:rsidRPr="00795F17">
              <w:t xml:space="preserve"> brak postępu</w:t>
            </w:r>
          </w:p>
        </w:tc>
        <w:tc>
          <w:tcPr>
            <w:tcW w:w="883" w:type="pct"/>
            <w:noWrap/>
          </w:tcPr>
          <w:p w14:paraId="6F3C6FAC" w14:textId="0CE38891" w:rsidR="00402B98" w:rsidRPr="00795F17" w:rsidRDefault="00402B98" w:rsidP="0065243A">
            <w:pPr>
              <w:pStyle w:val="Teksttabelisrodek"/>
            </w:pPr>
            <w:r w:rsidRPr="00795F17">
              <w:t>105</w:t>
            </w:r>
          </w:p>
        </w:tc>
        <w:tc>
          <w:tcPr>
            <w:tcW w:w="883" w:type="pct"/>
            <w:noWrap/>
          </w:tcPr>
          <w:p w14:paraId="7C95035B" w14:textId="0FFAD64E" w:rsidR="00402B98" w:rsidRPr="00795F17" w:rsidRDefault="00402B98" w:rsidP="0065243A">
            <w:pPr>
              <w:pStyle w:val="Teksttabelisrodek"/>
            </w:pPr>
            <w:r w:rsidRPr="00795F17">
              <w:t>24,6</w:t>
            </w:r>
          </w:p>
        </w:tc>
      </w:tr>
      <w:tr w:rsidR="00402B98" w:rsidRPr="00795F17" w14:paraId="6F182BBF" w14:textId="77777777" w:rsidTr="00402B98">
        <w:trPr>
          <w:trHeight w:val="454"/>
        </w:trPr>
        <w:tc>
          <w:tcPr>
            <w:tcW w:w="3234" w:type="pct"/>
            <w:noWrap/>
          </w:tcPr>
          <w:p w14:paraId="25E8846D" w14:textId="01CE557C" w:rsidR="00402B98" w:rsidRPr="00795F17" w:rsidRDefault="00402B98" w:rsidP="0065243A">
            <w:pPr>
              <w:pStyle w:val="Teksttabelilewy"/>
            </w:pPr>
            <w:r w:rsidRPr="00795F17">
              <w:t xml:space="preserve">Cel nieosiągnięty </w:t>
            </w:r>
            <w:r w:rsidR="00BA657A">
              <w:t>–</w:t>
            </w:r>
            <w:r w:rsidRPr="00795F17">
              <w:t xml:space="preserve"> pogorszenie stanu/potencjału ekologicznego</w:t>
            </w:r>
          </w:p>
        </w:tc>
        <w:tc>
          <w:tcPr>
            <w:tcW w:w="883" w:type="pct"/>
            <w:noWrap/>
          </w:tcPr>
          <w:p w14:paraId="642D20BD" w14:textId="1B9653ED" w:rsidR="00402B98" w:rsidRPr="00795F17" w:rsidRDefault="00402B98" w:rsidP="0065243A">
            <w:pPr>
              <w:pStyle w:val="Teksttabelisrodek"/>
            </w:pPr>
            <w:r w:rsidRPr="00795F17">
              <w:t>23</w:t>
            </w:r>
          </w:p>
        </w:tc>
        <w:tc>
          <w:tcPr>
            <w:tcW w:w="883" w:type="pct"/>
            <w:noWrap/>
          </w:tcPr>
          <w:p w14:paraId="324DD604" w14:textId="711E68B0" w:rsidR="00402B98" w:rsidRPr="00795F17" w:rsidRDefault="00402B98" w:rsidP="0065243A">
            <w:pPr>
              <w:pStyle w:val="Teksttabelisrodek"/>
            </w:pPr>
            <w:r w:rsidRPr="00795F17">
              <w:t>5,4</w:t>
            </w:r>
          </w:p>
        </w:tc>
      </w:tr>
      <w:tr w:rsidR="00402B98" w:rsidRPr="00795F17" w14:paraId="32C7D6FE" w14:textId="77777777" w:rsidTr="00402B98">
        <w:trPr>
          <w:trHeight w:val="454"/>
        </w:trPr>
        <w:tc>
          <w:tcPr>
            <w:tcW w:w="3234" w:type="pct"/>
            <w:noWrap/>
          </w:tcPr>
          <w:p w14:paraId="0324A66B" w14:textId="63B238BB" w:rsidR="00402B98" w:rsidRPr="00795F17" w:rsidRDefault="00402B98" w:rsidP="0065243A">
            <w:pPr>
              <w:pStyle w:val="Teksttabelilewy"/>
            </w:pPr>
            <w:r w:rsidRPr="00795F17">
              <w:t xml:space="preserve">Cel nieosiągnięty </w:t>
            </w:r>
            <w:r w:rsidR="00BA657A">
              <w:rPr>
                <w:lang w:eastAsia="pl-PL"/>
              </w:rPr>
              <w:t>–</w:t>
            </w:r>
            <w:r w:rsidRPr="00795F17">
              <w:rPr>
                <w:lang w:eastAsia="pl-PL"/>
              </w:rPr>
              <w:t xml:space="preserve"> aktualizacja oceny stanu/potencjału ekologicznego</w:t>
            </w:r>
          </w:p>
        </w:tc>
        <w:tc>
          <w:tcPr>
            <w:tcW w:w="883" w:type="pct"/>
            <w:noWrap/>
          </w:tcPr>
          <w:p w14:paraId="30110FAB" w14:textId="0A5747F4" w:rsidR="00402B98" w:rsidRPr="00795F17" w:rsidRDefault="00402B98" w:rsidP="0065243A">
            <w:pPr>
              <w:pStyle w:val="Teksttabelisrodek"/>
            </w:pPr>
            <w:r w:rsidRPr="00795F17">
              <w:t>79</w:t>
            </w:r>
          </w:p>
        </w:tc>
        <w:tc>
          <w:tcPr>
            <w:tcW w:w="883" w:type="pct"/>
            <w:noWrap/>
          </w:tcPr>
          <w:p w14:paraId="1992E0D4" w14:textId="51700633" w:rsidR="00402B98" w:rsidRPr="00795F17" w:rsidRDefault="00402B98" w:rsidP="0065243A">
            <w:pPr>
              <w:pStyle w:val="Teksttabelisrodek"/>
            </w:pPr>
            <w:r w:rsidRPr="00795F17">
              <w:t>18,5</w:t>
            </w:r>
          </w:p>
        </w:tc>
      </w:tr>
      <w:tr w:rsidR="00402B98" w:rsidRPr="00795F17" w14:paraId="763CF749" w14:textId="77777777" w:rsidTr="00402B98">
        <w:trPr>
          <w:trHeight w:val="454"/>
        </w:trPr>
        <w:tc>
          <w:tcPr>
            <w:tcW w:w="3234" w:type="pct"/>
            <w:noWrap/>
          </w:tcPr>
          <w:p w14:paraId="351C745E" w14:textId="4737511A" w:rsidR="00402B98" w:rsidRPr="00795F17" w:rsidRDefault="00402B98" w:rsidP="0065243A">
            <w:pPr>
              <w:pStyle w:val="Teksttabelilewy"/>
            </w:pPr>
            <w:r w:rsidRPr="00795F17">
              <w:t xml:space="preserve">Cel osiągnięty </w:t>
            </w:r>
            <w:r w:rsidR="00BA657A">
              <w:t>–</w:t>
            </w:r>
            <w:r w:rsidRPr="00795F17">
              <w:t xml:space="preserve"> utrzymanie stanu/potencjału ekologicznego</w:t>
            </w:r>
          </w:p>
        </w:tc>
        <w:tc>
          <w:tcPr>
            <w:tcW w:w="883" w:type="pct"/>
            <w:noWrap/>
          </w:tcPr>
          <w:p w14:paraId="1FA900F5" w14:textId="14B2EE30" w:rsidR="00402B98" w:rsidRPr="00795F17" w:rsidRDefault="00402B98" w:rsidP="0065243A">
            <w:pPr>
              <w:pStyle w:val="Teksttabelisrodek"/>
            </w:pPr>
            <w:r w:rsidRPr="00795F17">
              <w:t>9</w:t>
            </w:r>
          </w:p>
        </w:tc>
        <w:tc>
          <w:tcPr>
            <w:tcW w:w="883" w:type="pct"/>
            <w:noWrap/>
          </w:tcPr>
          <w:p w14:paraId="3196836F" w14:textId="2F6876DD" w:rsidR="00402B98" w:rsidRPr="00795F17" w:rsidRDefault="00402B98" w:rsidP="0065243A">
            <w:pPr>
              <w:pStyle w:val="Teksttabelisrodek"/>
            </w:pPr>
            <w:r w:rsidRPr="00795F17">
              <w:t>2,1</w:t>
            </w:r>
          </w:p>
        </w:tc>
      </w:tr>
      <w:tr w:rsidR="00402B98" w:rsidRPr="00795F17" w14:paraId="090E8C29" w14:textId="77777777" w:rsidTr="00402B98">
        <w:trPr>
          <w:trHeight w:val="454"/>
        </w:trPr>
        <w:tc>
          <w:tcPr>
            <w:tcW w:w="3234" w:type="pct"/>
            <w:noWrap/>
            <w:hideMark/>
          </w:tcPr>
          <w:p w14:paraId="77384496" w14:textId="302F23E5" w:rsidR="00402B98" w:rsidRPr="00795F17" w:rsidRDefault="00402B98" w:rsidP="0065243A">
            <w:pPr>
              <w:pStyle w:val="Teksttabelilewy"/>
            </w:pPr>
            <w:r w:rsidRPr="00795F17">
              <w:t xml:space="preserve">Cel osiągnięty </w:t>
            </w:r>
            <w:r w:rsidR="00BA657A">
              <w:t>–</w:t>
            </w:r>
            <w:r w:rsidRPr="00795F17">
              <w:t xml:space="preserve"> poprawa stanu/potencjału ekologicznego</w:t>
            </w:r>
          </w:p>
        </w:tc>
        <w:tc>
          <w:tcPr>
            <w:tcW w:w="883" w:type="pct"/>
            <w:noWrap/>
          </w:tcPr>
          <w:p w14:paraId="44AC2973" w14:textId="77777777" w:rsidR="00402B98" w:rsidRPr="00795F17" w:rsidRDefault="00402B98" w:rsidP="0065243A">
            <w:pPr>
              <w:pStyle w:val="Teksttabelisrodek"/>
            </w:pPr>
            <w:r w:rsidRPr="00795F17">
              <w:t>6</w:t>
            </w:r>
          </w:p>
        </w:tc>
        <w:tc>
          <w:tcPr>
            <w:tcW w:w="883" w:type="pct"/>
            <w:noWrap/>
          </w:tcPr>
          <w:p w14:paraId="1BBEFD77" w14:textId="37EA9847" w:rsidR="00402B98" w:rsidRPr="00795F17" w:rsidRDefault="00402B98" w:rsidP="0065243A">
            <w:pPr>
              <w:pStyle w:val="Teksttabelisrodek"/>
            </w:pPr>
            <w:r w:rsidRPr="00795F17">
              <w:t>1,4</w:t>
            </w:r>
          </w:p>
        </w:tc>
      </w:tr>
      <w:tr w:rsidR="00402B98" w:rsidRPr="00795F17" w14:paraId="01C7EFBA" w14:textId="77777777" w:rsidTr="00402B98">
        <w:trPr>
          <w:trHeight w:val="454"/>
        </w:trPr>
        <w:tc>
          <w:tcPr>
            <w:tcW w:w="3234" w:type="pct"/>
            <w:noWrap/>
            <w:hideMark/>
          </w:tcPr>
          <w:p w14:paraId="0E23B0C7" w14:textId="1B80CCAE" w:rsidR="00402B98" w:rsidRPr="00795F17" w:rsidRDefault="00402B98" w:rsidP="0065243A">
            <w:pPr>
              <w:pStyle w:val="Teksttabelilewy"/>
            </w:pPr>
            <w:r w:rsidRPr="00795F17">
              <w:t xml:space="preserve">Cel osiągnięty </w:t>
            </w:r>
            <w:r w:rsidR="00BA657A">
              <w:t>–</w:t>
            </w:r>
            <w:r w:rsidRPr="00795F17">
              <w:t xml:space="preserve"> aktualizacja oceny stanu/potencjału ekologicznego</w:t>
            </w:r>
          </w:p>
        </w:tc>
        <w:tc>
          <w:tcPr>
            <w:tcW w:w="883" w:type="pct"/>
            <w:noWrap/>
          </w:tcPr>
          <w:p w14:paraId="0A417865" w14:textId="77777777" w:rsidR="00402B98" w:rsidRPr="00795F17" w:rsidRDefault="00402B98" w:rsidP="0065243A">
            <w:pPr>
              <w:pStyle w:val="Teksttabelisrodek"/>
            </w:pPr>
            <w:r w:rsidRPr="00795F17">
              <w:t>10</w:t>
            </w:r>
          </w:p>
        </w:tc>
        <w:tc>
          <w:tcPr>
            <w:tcW w:w="883" w:type="pct"/>
            <w:noWrap/>
          </w:tcPr>
          <w:p w14:paraId="0CB473B7" w14:textId="3DE0A419" w:rsidR="00402B98" w:rsidRPr="00795F17" w:rsidRDefault="00402B98" w:rsidP="0065243A">
            <w:pPr>
              <w:pStyle w:val="Teksttabelisrodek"/>
            </w:pPr>
            <w:r w:rsidRPr="00795F17">
              <w:t>2,3</w:t>
            </w:r>
          </w:p>
        </w:tc>
      </w:tr>
      <w:tr w:rsidR="00402B98" w:rsidRPr="00795F17" w14:paraId="1475EC3F" w14:textId="77777777" w:rsidTr="00402B98">
        <w:trPr>
          <w:trHeight w:val="454"/>
        </w:trPr>
        <w:tc>
          <w:tcPr>
            <w:tcW w:w="3234" w:type="pct"/>
            <w:noWrap/>
            <w:hideMark/>
          </w:tcPr>
          <w:p w14:paraId="1AB7F017" w14:textId="77777777" w:rsidR="00402B98" w:rsidRPr="00795F17" w:rsidRDefault="00402B98" w:rsidP="0065243A">
            <w:pPr>
              <w:pStyle w:val="Teksttabelilewy"/>
              <w:rPr>
                <w:rFonts w:eastAsia="Times New Roman"/>
                <w:b/>
                <w:bCs/>
                <w:lang w:eastAsia="pl-PL"/>
              </w:rPr>
            </w:pPr>
            <w:r w:rsidRPr="00795F17">
              <w:t>Brak możliwości oceny stopnia osiągnięcia celu</w:t>
            </w:r>
          </w:p>
        </w:tc>
        <w:tc>
          <w:tcPr>
            <w:tcW w:w="883" w:type="pct"/>
            <w:noWrap/>
          </w:tcPr>
          <w:p w14:paraId="1D8264D2" w14:textId="77777777" w:rsidR="00402B98" w:rsidRPr="00795F17" w:rsidRDefault="00402B98" w:rsidP="0065243A">
            <w:pPr>
              <w:pStyle w:val="Teksttabelisrodek"/>
              <w:rPr>
                <w:rFonts w:eastAsia="Times New Roman"/>
              </w:rPr>
            </w:pPr>
            <w:r w:rsidRPr="00795F17">
              <w:t>195</w:t>
            </w:r>
          </w:p>
        </w:tc>
        <w:tc>
          <w:tcPr>
            <w:tcW w:w="883" w:type="pct"/>
            <w:noWrap/>
          </w:tcPr>
          <w:p w14:paraId="2E628430" w14:textId="341AC97B" w:rsidR="00402B98" w:rsidRPr="00795F17" w:rsidRDefault="00402B98" w:rsidP="0065243A">
            <w:pPr>
              <w:pStyle w:val="Teksttabelisrodek"/>
              <w:rPr>
                <w:rFonts w:eastAsia="Times New Roman"/>
              </w:rPr>
            </w:pPr>
            <w:r w:rsidRPr="00795F17">
              <w:t>45,7</w:t>
            </w:r>
          </w:p>
        </w:tc>
      </w:tr>
      <w:tr w:rsidR="00402B98" w:rsidRPr="00795F17" w14:paraId="6F299916" w14:textId="77777777" w:rsidTr="00402B98">
        <w:trPr>
          <w:trHeight w:val="454"/>
        </w:trPr>
        <w:tc>
          <w:tcPr>
            <w:tcW w:w="3234" w:type="pct"/>
            <w:shd w:val="clear" w:color="auto" w:fill="BFBFBF" w:themeFill="background1" w:themeFillShade="BF"/>
            <w:noWrap/>
            <w:hideMark/>
          </w:tcPr>
          <w:p w14:paraId="0AF4F951" w14:textId="46C2DB88" w:rsidR="00402B98" w:rsidRPr="00795F17" w:rsidRDefault="00402B98" w:rsidP="0065243A">
            <w:pPr>
              <w:pStyle w:val="Teksttabelinaglowek"/>
              <w:rPr>
                <w:rFonts w:eastAsia="Times New Roman"/>
              </w:rPr>
            </w:pPr>
            <w:r w:rsidRPr="00795F17">
              <w:t xml:space="preserve">Liczba </w:t>
            </w:r>
            <w:r w:rsidR="00DF005E">
              <w:t>JCWP</w:t>
            </w:r>
            <w:r w:rsidRPr="00795F17">
              <w:t xml:space="preserve"> LW </w:t>
            </w:r>
            <w:r w:rsidR="0004437D">
              <w:t xml:space="preserve">na </w:t>
            </w:r>
            <w:r w:rsidRPr="00795F17">
              <w:t>obszarze dorzecza</w:t>
            </w:r>
          </w:p>
        </w:tc>
        <w:tc>
          <w:tcPr>
            <w:tcW w:w="883" w:type="pct"/>
            <w:shd w:val="clear" w:color="auto" w:fill="BFBFBF" w:themeFill="background1" w:themeFillShade="BF"/>
            <w:noWrap/>
          </w:tcPr>
          <w:p w14:paraId="730D5664" w14:textId="77777777" w:rsidR="00402B98" w:rsidRPr="00795F17" w:rsidRDefault="00402B98" w:rsidP="0065243A">
            <w:pPr>
              <w:pStyle w:val="Teksttabelinaglowek"/>
              <w:rPr>
                <w:rFonts w:eastAsia="Times New Roman"/>
              </w:rPr>
            </w:pPr>
            <w:r w:rsidRPr="00795F17">
              <w:t>427</w:t>
            </w:r>
          </w:p>
        </w:tc>
        <w:tc>
          <w:tcPr>
            <w:tcW w:w="883" w:type="pct"/>
            <w:shd w:val="clear" w:color="auto" w:fill="BFBFBF" w:themeFill="background1" w:themeFillShade="BF"/>
            <w:noWrap/>
          </w:tcPr>
          <w:p w14:paraId="61B81C7C" w14:textId="3A8B28E0" w:rsidR="00402B98" w:rsidRPr="00795F17" w:rsidRDefault="00402B98" w:rsidP="0065243A">
            <w:pPr>
              <w:pStyle w:val="Teksttabelinaglowek"/>
              <w:rPr>
                <w:rFonts w:eastAsia="Times New Roman"/>
              </w:rPr>
            </w:pPr>
            <w:r w:rsidRPr="00795F17">
              <w:t>100</w:t>
            </w:r>
          </w:p>
        </w:tc>
      </w:tr>
    </w:tbl>
    <w:p w14:paraId="29E2CB3E" w14:textId="3B9EA2BB" w:rsidR="00CE597F" w:rsidRPr="00795F17" w:rsidRDefault="00CE597F" w:rsidP="0044393D">
      <w:pPr>
        <w:pStyle w:val="rdo"/>
      </w:pPr>
      <w:r w:rsidRPr="00795F17">
        <w:t xml:space="preserve">Źródło: </w:t>
      </w:r>
      <w:r w:rsidR="00FD7248" w:rsidRPr="00795F17">
        <w:t>opracowanie własne</w:t>
      </w:r>
      <w:r w:rsidRPr="00795F17">
        <w:rPr>
          <w:sz w:val="20"/>
          <w:szCs w:val="20"/>
        </w:rPr>
        <w:t xml:space="preserve"> </w:t>
      </w:r>
      <w:r w:rsidRPr="00795F17">
        <w:t>na podstawie danych GIOŚ</w:t>
      </w:r>
    </w:p>
    <w:p w14:paraId="66D37351" w14:textId="7AC5EF48" w:rsidR="00402B98" w:rsidRPr="00795F17" w:rsidRDefault="00CE597F" w:rsidP="0044393D">
      <w:r w:rsidRPr="00795F17">
        <w:t xml:space="preserve">Do zasadniczych przyczyn złego stanu/potencjału ekologicznego </w:t>
      </w:r>
      <w:r w:rsidR="00DF005E">
        <w:t>JCWP</w:t>
      </w:r>
      <w:r w:rsidRPr="00795F17">
        <w:t xml:space="preserve"> jeziornych zaliczyć należy uwarunkowania środowiskowe, w tym sposób użytkowania zlewni, jej potencjał sorpcyjny oraz</w:t>
      </w:r>
      <w:r w:rsidR="004E2052">
        <w:t> </w:t>
      </w:r>
      <w:r w:rsidRPr="00795F17">
        <w:t>zasilanie wewnętrzne, które są źródłem głównych presji fizyczno-chemicznych, w tym w</w:t>
      </w:r>
      <w:r w:rsidR="004E2052">
        <w:t> </w:t>
      </w:r>
      <w:r w:rsidRPr="00795F17">
        <w:t>szczególności związków biogennych niekorzystnie oddziałujących na elementy biologiczne jeziora. Część z presji decydujących o niskiej klasie elementów fizyczno-chemicznych jest trudna zarówno do monitorowania (np. zasilanie wewnętrzne jeziora, spływy obszarowe), jak i do całkowitego wyeliminowania, pomimo wdrożenia działań naprawczych. W analizie przyczyn braku postępu w</w:t>
      </w:r>
      <w:r w:rsidR="004E2052">
        <w:t> </w:t>
      </w:r>
      <w:r w:rsidRPr="00795F17">
        <w:t>osiąganiu celów środowiskowych, niski stopień realizacji i słabą skuteczność zaplanowanych w</w:t>
      </w:r>
      <w:r w:rsidR="004E2052">
        <w:t> </w:t>
      </w:r>
      <w:r w:rsidRPr="00795F17">
        <w:t xml:space="preserve">aPWŚK działań naprawczych potwierdzono dla </w:t>
      </w:r>
      <w:r w:rsidRPr="00795F17">
        <w:rPr>
          <w:rFonts w:eastAsia="Times New Roman"/>
          <w:sz w:val="20"/>
          <w:szCs w:val="20"/>
          <w:lang w:eastAsia="pl-PL"/>
        </w:rPr>
        <w:t>196</w:t>
      </w:r>
      <w:r w:rsidRPr="00795F17">
        <w:t xml:space="preserve"> </w:t>
      </w:r>
      <w:r w:rsidR="00DF005E">
        <w:t>JCWP</w:t>
      </w:r>
      <w:r w:rsidRPr="00795F17">
        <w:t xml:space="preserve"> </w:t>
      </w:r>
      <w:r w:rsidR="00332CA3" w:rsidRPr="00795F17">
        <w:t>LW</w:t>
      </w:r>
      <w:r w:rsidRPr="00795F17">
        <w:t xml:space="preserve"> (</w:t>
      </w:r>
      <w:r w:rsidR="00402B98" w:rsidRPr="00795F17">
        <w:t>46,4</w:t>
      </w:r>
      <w:r w:rsidRPr="00795F17">
        <w:t xml:space="preserve">% </w:t>
      </w:r>
      <w:r w:rsidR="00DF005E">
        <w:t>JCWP</w:t>
      </w:r>
      <w:r w:rsidRPr="00795F17">
        <w:t xml:space="preserve"> </w:t>
      </w:r>
      <w:r w:rsidR="00332CA3" w:rsidRPr="00795F17">
        <w:t xml:space="preserve">LW </w:t>
      </w:r>
      <w:r w:rsidR="00295DBC">
        <w:t>na</w:t>
      </w:r>
      <w:r w:rsidRPr="00795F17">
        <w:t xml:space="preserve"> </w:t>
      </w:r>
      <w:r w:rsidR="00F51D7F" w:rsidRPr="00795F17">
        <w:t xml:space="preserve">obszarze </w:t>
      </w:r>
      <w:r w:rsidRPr="00795F17">
        <w:t>dorzecz</w:t>
      </w:r>
      <w:r w:rsidR="00F51D7F" w:rsidRPr="00795F17">
        <w:t>a</w:t>
      </w:r>
      <w:r w:rsidRPr="00795F17">
        <w:t>).</w:t>
      </w:r>
    </w:p>
    <w:p w14:paraId="7C9BD2E0" w14:textId="7734C68E" w:rsidR="00CE597F" w:rsidRPr="00795F17" w:rsidRDefault="00CE597F" w:rsidP="0044393D">
      <w:r w:rsidRPr="00795F17">
        <w:t xml:space="preserve">Uwarunkowania zlewniowe, w tym niski potencjał sorbcyjny, ograniczone zasilanie wodami podziemnymi oraz dopływ zanieczyszczeń z </w:t>
      </w:r>
      <w:r w:rsidR="00DF005E">
        <w:t>JCWP</w:t>
      </w:r>
      <w:r w:rsidRPr="00795F17">
        <w:t xml:space="preserve"> powiązanych zaliczono do przyczyn nieosiągnięcia co</w:t>
      </w:r>
      <w:r w:rsidR="00402B98" w:rsidRPr="00795F17">
        <w:t> </w:t>
      </w:r>
      <w:r w:rsidRPr="00795F17">
        <w:t xml:space="preserve">najmniej dobrego stanu/potencjału ekologicznego w przypadku </w:t>
      </w:r>
      <w:r w:rsidRPr="00795F17">
        <w:rPr>
          <w:rFonts w:eastAsia="Times New Roman"/>
          <w:sz w:val="20"/>
          <w:szCs w:val="20"/>
          <w:lang w:eastAsia="pl-PL"/>
        </w:rPr>
        <w:t>64</w:t>
      </w:r>
      <w:r w:rsidRPr="00795F17">
        <w:t xml:space="preserve"> </w:t>
      </w:r>
      <w:r w:rsidR="00DF005E">
        <w:t>JCWP</w:t>
      </w:r>
      <w:r w:rsidRPr="00795F17">
        <w:t xml:space="preserve"> </w:t>
      </w:r>
      <w:r w:rsidR="00332CA3" w:rsidRPr="00795F17">
        <w:t>LW</w:t>
      </w:r>
      <w:r w:rsidRPr="00795F17">
        <w:t xml:space="preserve"> (15%), a</w:t>
      </w:r>
      <w:r w:rsidR="00402B98" w:rsidRPr="00795F17">
        <w:t> </w:t>
      </w:r>
      <w:r w:rsidRPr="00795F17">
        <w:t xml:space="preserve">zmiany legislacyjne i zakresu monitoringu odpowiednio dla 21 </w:t>
      </w:r>
      <w:r w:rsidR="00DF005E">
        <w:t>JCWP</w:t>
      </w:r>
      <w:r w:rsidR="00332CA3" w:rsidRPr="00795F17">
        <w:t xml:space="preserve"> LW </w:t>
      </w:r>
      <w:r w:rsidRPr="00795F17">
        <w:t>(</w:t>
      </w:r>
      <w:r w:rsidR="00FE453B" w:rsidRPr="00795F17">
        <w:t>4,9</w:t>
      </w:r>
      <w:r w:rsidRPr="00795F17">
        <w:t xml:space="preserve">%) i 79 </w:t>
      </w:r>
      <w:r w:rsidR="00DF005E">
        <w:t>JCWP</w:t>
      </w:r>
      <w:r w:rsidR="00332CA3" w:rsidRPr="00795F17">
        <w:t xml:space="preserve"> LW </w:t>
      </w:r>
      <w:r w:rsidRPr="00795F17">
        <w:t>(18,</w:t>
      </w:r>
      <w:r w:rsidR="009A2A0C" w:rsidRPr="00795F17">
        <w:t>5</w:t>
      </w:r>
      <w:r w:rsidRPr="00795F17">
        <w:t xml:space="preserve">%). </w:t>
      </w:r>
    </w:p>
    <w:p w14:paraId="14621151" w14:textId="527C1E19" w:rsidR="00402B98" w:rsidRPr="00795F17" w:rsidRDefault="00402B98" w:rsidP="0044393D">
      <w:pPr>
        <w:rPr>
          <w:i/>
        </w:rPr>
      </w:pPr>
      <w:r w:rsidRPr="00795F17">
        <w:t xml:space="preserve">Wyniki analizy przyczyn nieosiągnięcia celów środowiskowych przez </w:t>
      </w:r>
      <w:r w:rsidR="00DF005E">
        <w:t>JCWP</w:t>
      </w:r>
      <w:r w:rsidRPr="00795F17">
        <w:t xml:space="preserve"> </w:t>
      </w:r>
      <w:r w:rsidR="00332CA3" w:rsidRPr="00795F17">
        <w:t>LW</w:t>
      </w:r>
      <w:r w:rsidRPr="00795F17">
        <w:t xml:space="preserve"> przedstawiono w poniższej tabeli (tabela 9-1</w:t>
      </w:r>
      <w:r w:rsidR="00332CA3" w:rsidRPr="00795F17">
        <w:t>5</w:t>
      </w:r>
      <w:r w:rsidRPr="00795F17">
        <w:t>).</w:t>
      </w:r>
    </w:p>
    <w:p w14:paraId="1DA903A0" w14:textId="0EE1A817" w:rsidR="003B2D14" w:rsidRPr="00795F17" w:rsidRDefault="00CE597F" w:rsidP="004D7705">
      <w:pPr>
        <w:pStyle w:val="Tabela"/>
      </w:pPr>
      <w:bookmarkStart w:id="488" w:name="_Toc66341917"/>
      <w:bookmarkStart w:id="489" w:name="_Toc105512839"/>
      <w:r w:rsidRPr="00795F17">
        <w:t xml:space="preserve">Tabela </w:t>
      </w:r>
      <w:fldSimple w:instr=" STYLEREF 1 \s ">
        <w:r w:rsidR="001F774D">
          <w:rPr>
            <w:noProof/>
          </w:rPr>
          <w:t>9</w:t>
        </w:r>
      </w:fldSimple>
      <w:r w:rsidR="00BB3B21" w:rsidRPr="00795F17">
        <w:noBreakHyphen/>
      </w:r>
      <w:fldSimple w:instr=" SEQ Tabela \* ARABIC \s 1 ">
        <w:r w:rsidR="001F774D">
          <w:rPr>
            <w:noProof/>
          </w:rPr>
          <w:t>15</w:t>
        </w:r>
      </w:fldSimple>
      <w:r w:rsidR="00E76356">
        <w:rPr>
          <w:noProof/>
        </w:rPr>
        <w:t>.</w:t>
      </w:r>
      <w:r w:rsidR="003B2D14" w:rsidRPr="00795F17">
        <w:tab/>
      </w:r>
      <w:bookmarkEnd w:id="488"/>
      <w:r w:rsidR="00C7386F" w:rsidRPr="00795F17">
        <w:t xml:space="preserve">Analiza przyczyn wpływających na brak postępu w osiąganiu celów środowiskowych dla stanu/potencjału ekologicznego </w:t>
      </w:r>
      <w:r w:rsidR="00295DBC">
        <w:t>na</w:t>
      </w:r>
      <w:r w:rsidR="00C7386F" w:rsidRPr="00795F17">
        <w:t xml:space="preserve"> obszarze dorzecza Odry (bazując na nowym </w:t>
      </w:r>
      <w:r w:rsidR="00C7386F" w:rsidRPr="00795F17">
        <w:rPr>
          <w:rFonts w:asciiTheme="minorHAnsi" w:hAnsiTheme="minorHAnsi"/>
        </w:rPr>
        <w:t xml:space="preserve">układzie planistycznym </w:t>
      </w:r>
      <w:r w:rsidR="00C7386F" w:rsidRPr="00795F17">
        <w:rPr>
          <w:rFonts w:asciiTheme="minorHAnsi" w:hAnsiTheme="minorHAnsi" w:cstheme="minorHAnsi"/>
        </w:rPr>
        <w:t>IIaPGW)</w:t>
      </w:r>
      <w:r w:rsidR="00C7386F" w:rsidRPr="00795F17">
        <w:t xml:space="preserve"> </w:t>
      </w:r>
      <w:r w:rsidR="00BA657A">
        <w:t>–</w:t>
      </w:r>
      <w:r w:rsidR="00C7386F" w:rsidRPr="00795F17">
        <w:t xml:space="preserve"> </w:t>
      </w:r>
      <w:r w:rsidR="00DF005E">
        <w:t>JCWP</w:t>
      </w:r>
      <w:r w:rsidR="00C7386F" w:rsidRPr="00795F17">
        <w:t xml:space="preserve"> LW</w:t>
      </w:r>
      <w:bookmarkEnd w:id="489"/>
    </w:p>
    <w:tbl>
      <w:tblPr>
        <w:tblStyle w:val="Tabela-Siatka"/>
        <w:tblW w:w="5000" w:type="pct"/>
        <w:tblLayout w:type="fixed"/>
        <w:tblLook w:val="04A0" w:firstRow="1" w:lastRow="0" w:firstColumn="1" w:lastColumn="0" w:noHBand="0" w:noVBand="1"/>
      </w:tblPr>
      <w:tblGrid>
        <w:gridCol w:w="4248"/>
        <w:gridCol w:w="1559"/>
        <w:gridCol w:w="3255"/>
      </w:tblGrid>
      <w:tr w:rsidR="00CE597F" w:rsidRPr="00795F17" w14:paraId="108722C5" w14:textId="77777777" w:rsidTr="0065243A">
        <w:trPr>
          <w:cnfStyle w:val="100000000000" w:firstRow="1" w:lastRow="0" w:firstColumn="0" w:lastColumn="0" w:oddVBand="0" w:evenVBand="0" w:oddHBand="0" w:evenHBand="0" w:firstRowFirstColumn="0" w:firstRowLastColumn="0" w:lastRowFirstColumn="0" w:lastRowLastColumn="0"/>
          <w:trHeight w:val="454"/>
        </w:trPr>
        <w:tc>
          <w:tcPr>
            <w:tcW w:w="5000" w:type="pct"/>
            <w:gridSpan w:val="3"/>
            <w:noWrap/>
            <w:hideMark/>
          </w:tcPr>
          <w:p w14:paraId="7AF1278C" w14:textId="1956B4BE" w:rsidR="00CE597F" w:rsidRPr="00795F17" w:rsidRDefault="00CE597F" w:rsidP="0065243A">
            <w:pPr>
              <w:pStyle w:val="Teksttabelinaglowek"/>
              <w:rPr>
                <w:b/>
              </w:rPr>
            </w:pPr>
            <w:r w:rsidRPr="00795F17">
              <w:rPr>
                <w:b/>
              </w:rPr>
              <w:t>Analiza przyczyn braku postępu w osiąganiu celów środowiskowych</w:t>
            </w:r>
            <w:r w:rsidR="00C50B47" w:rsidRPr="00795F17">
              <w:rPr>
                <w:b/>
              </w:rPr>
              <w:t xml:space="preserve"> dla stanu/potencjału ekologicznego</w:t>
            </w:r>
          </w:p>
        </w:tc>
      </w:tr>
      <w:tr w:rsidR="00CE597F" w:rsidRPr="00795F17" w14:paraId="28A21DBB" w14:textId="77777777" w:rsidTr="00597D57">
        <w:trPr>
          <w:trHeight w:val="454"/>
        </w:trPr>
        <w:tc>
          <w:tcPr>
            <w:tcW w:w="2344" w:type="pct"/>
            <w:shd w:val="clear" w:color="auto" w:fill="D9D9D9" w:themeFill="background1" w:themeFillShade="D9"/>
            <w:noWrap/>
            <w:hideMark/>
          </w:tcPr>
          <w:p w14:paraId="2B4D8B40" w14:textId="1F5D19AE" w:rsidR="00CE597F" w:rsidRPr="00795F17" w:rsidRDefault="00CE597F" w:rsidP="0065243A">
            <w:pPr>
              <w:pStyle w:val="Teksttabelinaglowek"/>
            </w:pPr>
            <w:r w:rsidRPr="00795F17">
              <w:t>Przyczyna</w:t>
            </w:r>
            <w:r w:rsidR="00597D57" w:rsidRPr="00795F17">
              <w:t xml:space="preserve"> braku postępu</w:t>
            </w:r>
          </w:p>
        </w:tc>
        <w:tc>
          <w:tcPr>
            <w:tcW w:w="860" w:type="pct"/>
            <w:shd w:val="clear" w:color="auto" w:fill="D9D9D9" w:themeFill="background1" w:themeFillShade="D9"/>
            <w:noWrap/>
            <w:hideMark/>
          </w:tcPr>
          <w:p w14:paraId="58E3EC1E" w14:textId="515E1409" w:rsidR="00CE597F" w:rsidRPr="00795F17" w:rsidRDefault="00CE597F" w:rsidP="0065243A">
            <w:pPr>
              <w:pStyle w:val="Teksttabelinaglowek"/>
            </w:pPr>
            <w:r w:rsidRPr="00795F17">
              <w:t xml:space="preserve">Liczba </w:t>
            </w:r>
            <w:r w:rsidR="00DF005E">
              <w:t>JCWP</w:t>
            </w:r>
            <w:r w:rsidR="00332CA3" w:rsidRPr="00795F17">
              <w:t xml:space="preserve"> LW</w:t>
            </w:r>
          </w:p>
        </w:tc>
        <w:tc>
          <w:tcPr>
            <w:tcW w:w="1796" w:type="pct"/>
            <w:shd w:val="clear" w:color="auto" w:fill="D9D9D9" w:themeFill="background1" w:themeFillShade="D9"/>
            <w:hideMark/>
          </w:tcPr>
          <w:p w14:paraId="3AE61AE2" w14:textId="69408BF2" w:rsidR="00CE597F" w:rsidRPr="00795F17" w:rsidRDefault="00402B98" w:rsidP="0065243A">
            <w:pPr>
              <w:pStyle w:val="Teksttabelinaglowek"/>
            </w:pPr>
            <w:r w:rsidRPr="00795F17">
              <w:t xml:space="preserve">Udział </w:t>
            </w:r>
            <w:r w:rsidR="00DF005E">
              <w:t>JCWP</w:t>
            </w:r>
            <w:r w:rsidRPr="00795F17">
              <w:t xml:space="preserve"> </w:t>
            </w:r>
            <w:r w:rsidR="00F80758" w:rsidRPr="00795F17">
              <w:t xml:space="preserve">LW </w:t>
            </w:r>
            <w:r w:rsidR="00597D57" w:rsidRPr="00795F17">
              <w:t xml:space="preserve">w </w:t>
            </w:r>
            <w:r w:rsidR="00F80758" w:rsidRPr="00795F17">
              <w:t xml:space="preserve">ogólnej liczbie </w:t>
            </w:r>
            <w:r w:rsidR="00DF005E">
              <w:t>JCWP</w:t>
            </w:r>
            <w:r w:rsidR="00F80758" w:rsidRPr="00795F17">
              <w:t xml:space="preserve"> LW</w:t>
            </w:r>
            <w:r w:rsidR="00295DBC">
              <w:t xml:space="preserve"> na</w:t>
            </w:r>
            <w:r w:rsidR="00F80758" w:rsidRPr="00795F17">
              <w:t xml:space="preserve"> </w:t>
            </w:r>
            <w:r w:rsidR="00597D57" w:rsidRPr="00795F17">
              <w:t>obszarze dorzecza</w:t>
            </w:r>
            <w:r w:rsidR="00EA4FF5" w:rsidRPr="00795F17">
              <w:t>(%)</w:t>
            </w:r>
          </w:p>
        </w:tc>
      </w:tr>
      <w:tr w:rsidR="00CE597F" w:rsidRPr="00795F17" w14:paraId="21D5220D" w14:textId="77777777" w:rsidTr="00597D57">
        <w:trPr>
          <w:trHeight w:val="454"/>
        </w:trPr>
        <w:tc>
          <w:tcPr>
            <w:tcW w:w="2344" w:type="pct"/>
            <w:noWrap/>
            <w:hideMark/>
          </w:tcPr>
          <w:p w14:paraId="6E5B494D" w14:textId="046353F7" w:rsidR="00CE597F" w:rsidRPr="00795F17" w:rsidRDefault="00CE597F" w:rsidP="0065243A">
            <w:pPr>
              <w:pStyle w:val="Teksttabelilewy"/>
            </w:pPr>
            <w:r w:rsidRPr="00795F17">
              <w:t xml:space="preserve">Zmiana zakresu </w:t>
            </w:r>
            <w:r w:rsidR="00BA657A">
              <w:t>–</w:t>
            </w:r>
            <w:r w:rsidRPr="00795F17">
              <w:t xml:space="preserve"> rozszerzenie monitoringu</w:t>
            </w:r>
          </w:p>
        </w:tc>
        <w:tc>
          <w:tcPr>
            <w:tcW w:w="860" w:type="pct"/>
            <w:noWrap/>
            <w:hideMark/>
          </w:tcPr>
          <w:p w14:paraId="3F17FBEB" w14:textId="77777777" w:rsidR="00CE597F" w:rsidRPr="00795F17" w:rsidRDefault="00CE597F" w:rsidP="0065243A">
            <w:pPr>
              <w:pStyle w:val="Teksttabelisrodek"/>
            </w:pPr>
            <w:r w:rsidRPr="00795F17">
              <w:t>79</w:t>
            </w:r>
          </w:p>
        </w:tc>
        <w:tc>
          <w:tcPr>
            <w:tcW w:w="1796" w:type="pct"/>
            <w:noWrap/>
            <w:hideMark/>
          </w:tcPr>
          <w:p w14:paraId="16284469" w14:textId="560A8BEA" w:rsidR="00CE597F" w:rsidRPr="00795F17" w:rsidRDefault="00CE597F" w:rsidP="0065243A">
            <w:pPr>
              <w:pStyle w:val="Teksttabelisrodek"/>
            </w:pPr>
            <w:r w:rsidRPr="00795F17">
              <w:t>18,</w:t>
            </w:r>
            <w:r w:rsidR="009A2A0C" w:rsidRPr="00795F17">
              <w:t>5</w:t>
            </w:r>
          </w:p>
        </w:tc>
      </w:tr>
      <w:tr w:rsidR="00CE597F" w:rsidRPr="00795F17" w14:paraId="20D9B1C2" w14:textId="77777777" w:rsidTr="00597D57">
        <w:trPr>
          <w:trHeight w:val="454"/>
        </w:trPr>
        <w:tc>
          <w:tcPr>
            <w:tcW w:w="2344" w:type="pct"/>
            <w:noWrap/>
            <w:hideMark/>
          </w:tcPr>
          <w:p w14:paraId="0887FF27" w14:textId="77777777" w:rsidR="00CE597F" w:rsidRPr="00795F17" w:rsidRDefault="00CE597F" w:rsidP="0065243A">
            <w:pPr>
              <w:pStyle w:val="Teksttabelilewy"/>
            </w:pPr>
            <w:r w:rsidRPr="00795F17">
              <w:t>Zmiany legislacyjne</w:t>
            </w:r>
          </w:p>
        </w:tc>
        <w:tc>
          <w:tcPr>
            <w:tcW w:w="860" w:type="pct"/>
            <w:noWrap/>
            <w:hideMark/>
          </w:tcPr>
          <w:p w14:paraId="64543802" w14:textId="77777777" w:rsidR="00CE597F" w:rsidRPr="00795F17" w:rsidRDefault="00CE597F" w:rsidP="0065243A">
            <w:pPr>
              <w:pStyle w:val="Teksttabelisrodek"/>
            </w:pPr>
            <w:r w:rsidRPr="00795F17">
              <w:t>21</w:t>
            </w:r>
          </w:p>
        </w:tc>
        <w:tc>
          <w:tcPr>
            <w:tcW w:w="1796" w:type="pct"/>
            <w:noWrap/>
            <w:hideMark/>
          </w:tcPr>
          <w:p w14:paraId="0DF59173" w14:textId="487F9271" w:rsidR="00CE597F" w:rsidRPr="00795F17" w:rsidRDefault="009A2A0C" w:rsidP="0065243A">
            <w:pPr>
              <w:pStyle w:val="Teksttabelisrodek"/>
            </w:pPr>
            <w:r w:rsidRPr="00795F17">
              <w:t>4,9</w:t>
            </w:r>
          </w:p>
        </w:tc>
      </w:tr>
      <w:tr w:rsidR="00CE597F" w:rsidRPr="00795F17" w14:paraId="2ECC79AB" w14:textId="77777777" w:rsidTr="00597D57">
        <w:trPr>
          <w:trHeight w:val="454"/>
        </w:trPr>
        <w:tc>
          <w:tcPr>
            <w:tcW w:w="2344" w:type="pct"/>
            <w:noWrap/>
            <w:hideMark/>
          </w:tcPr>
          <w:p w14:paraId="5A85362B" w14:textId="77777777" w:rsidR="00CE597F" w:rsidRPr="00795F17" w:rsidRDefault="00CE597F" w:rsidP="0065243A">
            <w:pPr>
              <w:pStyle w:val="Teksttabelilewy"/>
            </w:pPr>
            <w:r w:rsidRPr="00795F17">
              <w:t>Uwarunkowania zlewni</w:t>
            </w:r>
          </w:p>
        </w:tc>
        <w:tc>
          <w:tcPr>
            <w:tcW w:w="860" w:type="pct"/>
            <w:noWrap/>
            <w:hideMark/>
          </w:tcPr>
          <w:p w14:paraId="437BEF88" w14:textId="77777777" w:rsidR="00CE597F" w:rsidRPr="00795F17" w:rsidRDefault="00CE597F" w:rsidP="0065243A">
            <w:pPr>
              <w:pStyle w:val="Teksttabelisrodek"/>
            </w:pPr>
            <w:r w:rsidRPr="00795F17">
              <w:t>64</w:t>
            </w:r>
          </w:p>
        </w:tc>
        <w:tc>
          <w:tcPr>
            <w:tcW w:w="1796" w:type="pct"/>
            <w:noWrap/>
            <w:hideMark/>
          </w:tcPr>
          <w:p w14:paraId="04A0FB11" w14:textId="6AF7773D" w:rsidR="00CE597F" w:rsidRPr="00795F17" w:rsidRDefault="00CE597F" w:rsidP="0065243A">
            <w:pPr>
              <w:pStyle w:val="Teksttabelisrodek"/>
            </w:pPr>
            <w:r w:rsidRPr="00795F17">
              <w:t>15,</w:t>
            </w:r>
            <w:r w:rsidR="009A2A0C" w:rsidRPr="00795F17">
              <w:t>0</w:t>
            </w:r>
          </w:p>
        </w:tc>
      </w:tr>
      <w:tr w:rsidR="00CE597F" w:rsidRPr="00795F17" w14:paraId="347B8148" w14:textId="77777777" w:rsidTr="00597D57">
        <w:trPr>
          <w:trHeight w:val="454"/>
        </w:trPr>
        <w:tc>
          <w:tcPr>
            <w:tcW w:w="2344" w:type="pct"/>
            <w:noWrap/>
            <w:hideMark/>
          </w:tcPr>
          <w:p w14:paraId="75645B53" w14:textId="77777777" w:rsidR="00CE597F" w:rsidRPr="00795F17" w:rsidRDefault="00CE597F" w:rsidP="0065243A">
            <w:pPr>
              <w:pStyle w:val="Teksttabelilewy"/>
            </w:pPr>
            <w:r w:rsidRPr="00795F17">
              <w:t>Stopień realizacji oraz skuteczność zestawu działań</w:t>
            </w:r>
          </w:p>
        </w:tc>
        <w:tc>
          <w:tcPr>
            <w:tcW w:w="860" w:type="pct"/>
            <w:noWrap/>
            <w:hideMark/>
          </w:tcPr>
          <w:p w14:paraId="261086ED" w14:textId="77777777" w:rsidR="00CE597F" w:rsidRPr="00795F17" w:rsidRDefault="00CE597F" w:rsidP="0065243A">
            <w:pPr>
              <w:pStyle w:val="Teksttabelisrodek"/>
            </w:pPr>
            <w:r w:rsidRPr="00795F17">
              <w:t>196</w:t>
            </w:r>
          </w:p>
        </w:tc>
        <w:tc>
          <w:tcPr>
            <w:tcW w:w="1796" w:type="pct"/>
            <w:noWrap/>
            <w:hideMark/>
          </w:tcPr>
          <w:p w14:paraId="6314EAAB" w14:textId="28ECE2EF" w:rsidR="00CE597F" w:rsidRPr="00795F17" w:rsidRDefault="00CE597F" w:rsidP="0065243A">
            <w:pPr>
              <w:pStyle w:val="Teksttabelisrodek"/>
            </w:pPr>
            <w:r w:rsidRPr="00795F17">
              <w:t>4</w:t>
            </w:r>
            <w:r w:rsidR="009A2A0C" w:rsidRPr="00795F17">
              <w:t>5</w:t>
            </w:r>
            <w:r w:rsidRPr="00795F17">
              <w:t>,</w:t>
            </w:r>
            <w:r w:rsidR="009A2A0C" w:rsidRPr="00795F17">
              <w:t>9</w:t>
            </w:r>
          </w:p>
        </w:tc>
      </w:tr>
    </w:tbl>
    <w:p w14:paraId="011B74DC" w14:textId="6D7C4D76" w:rsidR="00CE597F" w:rsidRPr="00795F17" w:rsidRDefault="00CE597F" w:rsidP="0044393D">
      <w:pPr>
        <w:pStyle w:val="rdo"/>
      </w:pPr>
      <w:r w:rsidRPr="00795F17">
        <w:t xml:space="preserve">Źródło: </w:t>
      </w:r>
      <w:r w:rsidR="00FD7248" w:rsidRPr="00795F17">
        <w:t>opracowanie własne</w:t>
      </w:r>
    </w:p>
    <w:p w14:paraId="155EDD43" w14:textId="4B134ACE" w:rsidR="00CE597F" w:rsidRPr="00795F17" w:rsidRDefault="00CE597F" w:rsidP="00C53C86">
      <w:pPr>
        <w:pStyle w:val="Nagwek3"/>
      </w:pPr>
      <w:bookmarkStart w:id="490" w:name="_Toc105512671"/>
      <w:r w:rsidRPr="00795F17">
        <w:t xml:space="preserve">Ocena postępu w osiąganiu celów środowiskowych dla stanu chemicznego </w:t>
      </w:r>
      <w:r w:rsidR="00DF005E">
        <w:t>JCWP</w:t>
      </w:r>
      <w:r w:rsidRPr="00795F17">
        <w:t xml:space="preserve"> LW w okresie od 2016</w:t>
      </w:r>
      <w:r w:rsidR="005A6124" w:rsidRPr="00795F17">
        <w:t xml:space="preserve"> r. do </w:t>
      </w:r>
      <w:r w:rsidRPr="00795F17">
        <w:t>2021 r. wraz z wyjaśnieniem przyczyn nieosiągnięcia celów środowiskowych</w:t>
      </w:r>
      <w:bookmarkEnd w:id="490"/>
    </w:p>
    <w:p w14:paraId="735B15CD" w14:textId="5B4285FC" w:rsidR="00CE597F" w:rsidRPr="00795F17" w:rsidRDefault="00402B98" w:rsidP="0044393D">
      <w:pPr>
        <w:pStyle w:val="Nagwek5"/>
        <w:rPr>
          <w:bCs/>
        </w:rPr>
      </w:pPr>
      <w:r w:rsidRPr="00795F17">
        <w:t xml:space="preserve">Ocena postępu w osiąganiu celów środowiskowych dla stanu chemicznego </w:t>
      </w:r>
      <w:r w:rsidR="00DF005E">
        <w:t>JCWP</w:t>
      </w:r>
      <w:r w:rsidRPr="00795F17">
        <w:t xml:space="preserve"> LW (układ planistyczny aPGW)</w:t>
      </w:r>
    </w:p>
    <w:p w14:paraId="0860433D" w14:textId="49BFAC45" w:rsidR="00CE597F" w:rsidRPr="00795F17" w:rsidRDefault="002E327E" w:rsidP="0044393D">
      <w:r w:rsidRPr="00795F17">
        <w:t xml:space="preserve">6 </w:t>
      </w:r>
      <w:r w:rsidR="00DF005E">
        <w:t>JCWP</w:t>
      </w:r>
      <w:r w:rsidRPr="00795F17">
        <w:t xml:space="preserve"> LW (1,4% wszystkich </w:t>
      </w:r>
      <w:r w:rsidR="00DF005E">
        <w:t>JCWP</w:t>
      </w:r>
      <w:r w:rsidRPr="00795F17">
        <w:t xml:space="preserve"> </w:t>
      </w:r>
      <w:r w:rsidR="00295DBC">
        <w:t>na</w:t>
      </w:r>
      <w:r w:rsidRPr="00795F17">
        <w:t xml:space="preserve"> obszarze dorzecza Odry) o</w:t>
      </w:r>
      <w:r w:rsidR="00CE597F" w:rsidRPr="00795F17">
        <w:t>siągn</w:t>
      </w:r>
      <w:r w:rsidRPr="00795F17">
        <w:t>ęło cele środowiskowe</w:t>
      </w:r>
      <w:r w:rsidR="00CE597F" w:rsidRPr="00795F17">
        <w:t xml:space="preserve">. Dobry stan chemiczny został utrzymany w stosunku do 4 </w:t>
      </w:r>
      <w:r w:rsidR="00DF005E">
        <w:t>JCWP</w:t>
      </w:r>
      <w:r w:rsidR="00C50B47" w:rsidRPr="00795F17">
        <w:t xml:space="preserve"> LW </w:t>
      </w:r>
      <w:r w:rsidR="00CE597F" w:rsidRPr="00795F17">
        <w:t xml:space="preserve">(0,9%), natomiast </w:t>
      </w:r>
      <w:r w:rsidRPr="00795F17">
        <w:t>w przypadku</w:t>
      </w:r>
      <w:r w:rsidR="00CE597F" w:rsidRPr="00795F17">
        <w:t xml:space="preserve"> 2 </w:t>
      </w:r>
      <w:r w:rsidRPr="00795F17">
        <w:t>osiągnięto</w:t>
      </w:r>
      <w:r w:rsidR="00CE597F" w:rsidRPr="00795F17">
        <w:t xml:space="preserve"> poprawę (0,5%). W 73 </w:t>
      </w:r>
      <w:r w:rsidR="00DF005E">
        <w:t>JCWP</w:t>
      </w:r>
      <w:r w:rsidR="00C50B47" w:rsidRPr="00795F17">
        <w:t xml:space="preserve"> LW</w:t>
      </w:r>
      <w:r w:rsidR="00CE597F" w:rsidRPr="00795F17">
        <w:t xml:space="preserve"> (17,3%) spośród wszystkich 422 </w:t>
      </w:r>
      <w:r w:rsidR="00DF005E">
        <w:t>JCWP</w:t>
      </w:r>
      <w:r w:rsidR="00CE597F" w:rsidRPr="00795F17">
        <w:t xml:space="preserve"> LW na obszarze dorzecza Odry cele środowiskowe nie zostały osiągnięte, w tym w 32 </w:t>
      </w:r>
      <w:r w:rsidR="00DF005E">
        <w:t>JCWP</w:t>
      </w:r>
      <w:r w:rsidR="00C50B47" w:rsidRPr="00795F17">
        <w:t xml:space="preserve"> LW</w:t>
      </w:r>
      <w:r w:rsidR="00CE597F" w:rsidRPr="00795F17">
        <w:t xml:space="preserve"> (7,6% spośród wszystkich </w:t>
      </w:r>
      <w:r w:rsidR="00DF005E">
        <w:t>JCWP</w:t>
      </w:r>
      <w:r w:rsidR="00C50B47" w:rsidRPr="00795F17">
        <w:t xml:space="preserve"> LW</w:t>
      </w:r>
      <w:r w:rsidR="00CE597F" w:rsidRPr="00795F17">
        <w:t xml:space="preserve">) z powodu braku poprawy stanu chemicznego i w 41 </w:t>
      </w:r>
      <w:r w:rsidR="00DF005E">
        <w:t>JCWP</w:t>
      </w:r>
      <w:r w:rsidR="00C50B47" w:rsidRPr="00795F17">
        <w:t xml:space="preserve"> LW </w:t>
      </w:r>
      <w:r w:rsidR="00CE597F" w:rsidRPr="00795F17">
        <w:t xml:space="preserve">(9,7%) z powodu obniżenia stanu do poniżej dobrego. W odniesieniu do 343 </w:t>
      </w:r>
      <w:r w:rsidR="00DF005E">
        <w:t>JCWP</w:t>
      </w:r>
      <w:r w:rsidR="00CE597F" w:rsidRPr="00795F17">
        <w:t xml:space="preserve"> </w:t>
      </w:r>
      <w:r w:rsidR="00C50B47" w:rsidRPr="00795F17">
        <w:t xml:space="preserve">LW </w:t>
      </w:r>
      <w:r w:rsidR="00CE597F" w:rsidRPr="00795F17">
        <w:t xml:space="preserve">(81,3% wszystkich </w:t>
      </w:r>
      <w:r w:rsidR="00DF005E">
        <w:t>JCWP</w:t>
      </w:r>
      <w:r w:rsidR="00CE597F" w:rsidRPr="00795F17">
        <w:t xml:space="preserve"> </w:t>
      </w:r>
      <w:r w:rsidR="00C50B47" w:rsidRPr="00795F17">
        <w:t xml:space="preserve">LW </w:t>
      </w:r>
      <w:r w:rsidR="005949D5">
        <w:t>na</w:t>
      </w:r>
      <w:r w:rsidR="00CE597F" w:rsidRPr="00795F17">
        <w:t xml:space="preserve"> obszarze dorzecza Odry) nie sporządzono oceny postępu w osiąganiu celów środowiskowych ze względu na brak danych monitoringowych i brak celu środowiskowego z przeniesienia dla nowo powstałych </w:t>
      </w:r>
      <w:r w:rsidR="00DF005E">
        <w:t>JCWP</w:t>
      </w:r>
      <w:r w:rsidR="00C50B47" w:rsidRPr="00795F17">
        <w:t xml:space="preserve"> LW</w:t>
      </w:r>
      <w:r w:rsidR="00CE597F" w:rsidRPr="00795F17">
        <w:t>.</w:t>
      </w:r>
    </w:p>
    <w:p w14:paraId="6E481B36" w14:textId="68691C94" w:rsidR="00C7386F" w:rsidRPr="00795F17" w:rsidRDefault="00C7386F" w:rsidP="0044393D">
      <w:r w:rsidRPr="00795F17">
        <w:t>Wyżej opisane wyniki oceny postępu zaprezentowano w tabeli poniżej (tabela 9-1</w:t>
      </w:r>
      <w:r w:rsidR="00C50B47" w:rsidRPr="00795F17">
        <w:t>6</w:t>
      </w:r>
      <w:r w:rsidRPr="00795F17">
        <w:t>).</w:t>
      </w:r>
    </w:p>
    <w:p w14:paraId="33858965" w14:textId="01FA351A" w:rsidR="00E5108B" w:rsidRPr="00795F17" w:rsidRDefault="00E5108B" w:rsidP="004D7705">
      <w:pPr>
        <w:pStyle w:val="Tabela"/>
      </w:pPr>
      <w:bookmarkStart w:id="491" w:name="_Toc66341918"/>
      <w:bookmarkStart w:id="492" w:name="_Toc105512840"/>
      <w:r w:rsidRPr="00795F17">
        <w:t xml:space="preserve">Tabela </w:t>
      </w:r>
      <w:fldSimple w:instr=" STYLEREF 1 \s ">
        <w:r w:rsidR="001F774D">
          <w:rPr>
            <w:noProof/>
          </w:rPr>
          <w:t>9</w:t>
        </w:r>
      </w:fldSimple>
      <w:r w:rsidR="00BB3B21" w:rsidRPr="00795F17">
        <w:noBreakHyphen/>
      </w:r>
      <w:fldSimple w:instr=" SEQ Tabela \* ARABIC \s 1 ">
        <w:r w:rsidR="001F774D">
          <w:rPr>
            <w:noProof/>
          </w:rPr>
          <w:t>16</w:t>
        </w:r>
      </w:fldSimple>
      <w:r w:rsidR="00E76356">
        <w:rPr>
          <w:noProof/>
        </w:rPr>
        <w:t>.</w:t>
      </w:r>
      <w:r w:rsidRPr="00795F17">
        <w:tab/>
      </w:r>
      <w:bookmarkEnd w:id="491"/>
      <w:r w:rsidR="00C7386F" w:rsidRPr="00795F17">
        <w:t>Ocena postępu w osiąganiu celów środowiskowych dla stanu chemicznego na obszarze dorzecza Odry w układzie planistycznym aPGW (cykl planistyczny 2016</w:t>
      </w:r>
      <w:r w:rsidR="00BA657A">
        <w:t>–</w:t>
      </w:r>
      <w:r w:rsidR="00C7386F" w:rsidRPr="00795F17">
        <w:t>2021)</w:t>
      </w:r>
      <w:r w:rsidR="00BD0637">
        <w:t xml:space="preserve"> – </w:t>
      </w:r>
      <w:r w:rsidR="00DF005E">
        <w:t>JCWP</w:t>
      </w:r>
      <w:r w:rsidR="00BD0637" w:rsidRPr="008368C5">
        <w:t xml:space="preserve"> </w:t>
      </w:r>
      <w:r w:rsidR="00BD0637">
        <w:t>LW</w:t>
      </w:r>
      <w:bookmarkEnd w:id="4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7"/>
        <w:gridCol w:w="2168"/>
        <w:gridCol w:w="1927"/>
      </w:tblGrid>
      <w:tr w:rsidR="00CE597F" w:rsidRPr="00795F17" w14:paraId="10AD2B60" w14:textId="77777777" w:rsidTr="00C001DE">
        <w:trPr>
          <w:trHeight w:val="454"/>
        </w:trPr>
        <w:tc>
          <w:tcPr>
            <w:tcW w:w="2741" w:type="pct"/>
            <w:shd w:val="clear" w:color="auto" w:fill="BFBFBF" w:themeFill="background1" w:themeFillShade="BF"/>
            <w:noWrap/>
            <w:vAlign w:val="center"/>
            <w:hideMark/>
          </w:tcPr>
          <w:p w14:paraId="51633C63" w14:textId="376E6131" w:rsidR="00CE597F" w:rsidRPr="00795F17" w:rsidRDefault="00C001DE" w:rsidP="0044393D">
            <w:pPr>
              <w:pStyle w:val="Teksttabelinaglowek"/>
            </w:pPr>
            <w:r w:rsidRPr="00795F17">
              <w:t>Stopień osiągnięcia celu</w:t>
            </w:r>
          </w:p>
        </w:tc>
        <w:tc>
          <w:tcPr>
            <w:tcW w:w="1196" w:type="pct"/>
            <w:shd w:val="clear" w:color="auto" w:fill="BFBFBF" w:themeFill="background1" w:themeFillShade="BF"/>
            <w:noWrap/>
            <w:vAlign w:val="center"/>
            <w:hideMark/>
          </w:tcPr>
          <w:p w14:paraId="67108432" w14:textId="638FE9F0" w:rsidR="00CE597F" w:rsidRPr="00795F17" w:rsidRDefault="00CE597F" w:rsidP="0044393D">
            <w:pPr>
              <w:pStyle w:val="Teksttabelinaglowek"/>
              <w:rPr>
                <w:rFonts w:eastAsia="Times New Roman" w:cs="Calibri"/>
                <w:bCs/>
                <w:color w:val="000000"/>
              </w:rPr>
            </w:pPr>
            <w:r w:rsidRPr="00795F17">
              <w:t xml:space="preserve">Liczba </w:t>
            </w:r>
            <w:r w:rsidR="00DF005E">
              <w:t>JCWP</w:t>
            </w:r>
            <w:r w:rsidRPr="00795F17">
              <w:t xml:space="preserve"> LW</w:t>
            </w:r>
          </w:p>
        </w:tc>
        <w:tc>
          <w:tcPr>
            <w:tcW w:w="1064" w:type="pct"/>
            <w:shd w:val="clear" w:color="auto" w:fill="BFBFBF" w:themeFill="background1" w:themeFillShade="BF"/>
            <w:noWrap/>
            <w:vAlign w:val="center"/>
            <w:hideMark/>
          </w:tcPr>
          <w:p w14:paraId="7FAC5105" w14:textId="7D9ED307" w:rsidR="00CE597F" w:rsidRPr="00795F17" w:rsidRDefault="00CE597F" w:rsidP="0044393D">
            <w:pPr>
              <w:pStyle w:val="Teksttabelinaglowek"/>
              <w:rPr>
                <w:rFonts w:eastAsia="Times New Roman" w:cs="Calibri"/>
                <w:bCs/>
                <w:color w:val="000000"/>
              </w:rPr>
            </w:pPr>
            <w:r w:rsidRPr="00795F17">
              <w:t xml:space="preserve">Udział </w:t>
            </w:r>
            <w:r w:rsidR="00DF005E">
              <w:t>JCWP</w:t>
            </w:r>
            <w:r w:rsidRPr="00795F17">
              <w:t xml:space="preserve"> </w:t>
            </w:r>
            <w:r w:rsidR="00EA4FF5" w:rsidRPr="00795F17">
              <w:t>(%)</w:t>
            </w:r>
          </w:p>
        </w:tc>
      </w:tr>
      <w:tr w:rsidR="00CE597F" w:rsidRPr="00795F17" w14:paraId="2637F8B3" w14:textId="77777777" w:rsidTr="00C001DE">
        <w:trPr>
          <w:trHeight w:val="454"/>
        </w:trPr>
        <w:tc>
          <w:tcPr>
            <w:tcW w:w="2741" w:type="pct"/>
            <w:shd w:val="clear" w:color="auto" w:fill="auto"/>
            <w:noWrap/>
            <w:vAlign w:val="center"/>
            <w:hideMark/>
          </w:tcPr>
          <w:p w14:paraId="4B2C0602" w14:textId="567E70D9" w:rsidR="00CE597F" w:rsidRPr="00795F17" w:rsidRDefault="00CE597F" w:rsidP="0044393D">
            <w:pPr>
              <w:pStyle w:val="Teksttabelilewy"/>
            </w:pPr>
            <w:r w:rsidRPr="00795F17">
              <w:t xml:space="preserve">Cel nieosiągnięty </w:t>
            </w:r>
            <w:r w:rsidR="00BA657A">
              <w:t>–</w:t>
            </w:r>
            <w:r w:rsidRPr="00795F17">
              <w:t xml:space="preserve"> brak postępu</w:t>
            </w:r>
          </w:p>
        </w:tc>
        <w:tc>
          <w:tcPr>
            <w:tcW w:w="1196" w:type="pct"/>
            <w:shd w:val="clear" w:color="auto" w:fill="auto"/>
            <w:noWrap/>
            <w:vAlign w:val="center"/>
            <w:hideMark/>
          </w:tcPr>
          <w:p w14:paraId="72EF619A" w14:textId="77777777" w:rsidR="00CE597F" w:rsidRPr="00795F17" w:rsidRDefault="00CE597F" w:rsidP="0065243A">
            <w:pPr>
              <w:pStyle w:val="Teksttabelisrodek"/>
            </w:pPr>
            <w:r w:rsidRPr="00795F17">
              <w:t>32</w:t>
            </w:r>
          </w:p>
        </w:tc>
        <w:tc>
          <w:tcPr>
            <w:tcW w:w="1064" w:type="pct"/>
            <w:shd w:val="clear" w:color="auto" w:fill="auto"/>
            <w:noWrap/>
            <w:vAlign w:val="center"/>
            <w:hideMark/>
          </w:tcPr>
          <w:p w14:paraId="648039D8" w14:textId="13F0C8EC" w:rsidR="00CE597F" w:rsidRPr="00795F17" w:rsidRDefault="00CE597F" w:rsidP="0065243A">
            <w:pPr>
              <w:pStyle w:val="Teksttabelisrodek"/>
            </w:pPr>
            <w:r w:rsidRPr="00795F17">
              <w:t>7,</w:t>
            </w:r>
            <w:r w:rsidR="005B1DB8">
              <w:t>58</w:t>
            </w:r>
          </w:p>
        </w:tc>
      </w:tr>
      <w:tr w:rsidR="00CE597F" w:rsidRPr="00795F17" w14:paraId="7D57B547" w14:textId="77777777" w:rsidTr="00C001DE">
        <w:trPr>
          <w:trHeight w:val="454"/>
        </w:trPr>
        <w:tc>
          <w:tcPr>
            <w:tcW w:w="2741" w:type="pct"/>
            <w:shd w:val="clear" w:color="auto" w:fill="auto"/>
            <w:noWrap/>
            <w:vAlign w:val="center"/>
            <w:hideMark/>
          </w:tcPr>
          <w:p w14:paraId="4C4CADB7" w14:textId="4BBC077A" w:rsidR="00CE597F" w:rsidRPr="00795F17" w:rsidRDefault="00CE597F" w:rsidP="0044393D">
            <w:pPr>
              <w:pStyle w:val="Teksttabelilewy"/>
            </w:pPr>
            <w:r w:rsidRPr="00795F17">
              <w:t xml:space="preserve">Cel nieosiągnięty </w:t>
            </w:r>
            <w:r w:rsidR="00BA657A">
              <w:t>–</w:t>
            </w:r>
            <w:r w:rsidRPr="00795F17">
              <w:t xml:space="preserve"> pogorszenie stanu </w:t>
            </w:r>
          </w:p>
        </w:tc>
        <w:tc>
          <w:tcPr>
            <w:tcW w:w="1196" w:type="pct"/>
            <w:shd w:val="clear" w:color="auto" w:fill="auto"/>
            <w:noWrap/>
            <w:vAlign w:val="center"/>
            <w:hideMark/>
          </w:tcPr>
          <w:p w14:paraId="34B11248" w14:textId="77777777" w:rsidR="00CE597F" w:rsidRPr="00795F17" w:rsidRDefault="00CE597F" w:rsidP="0065243A">
            <w:pPr>
              <w:pStyle w:val="Teksttabelisrodek"/>
            </w:pPr>
            <w:r w:rsidRPr="00795F17">
              <w:t>41</w:t>
            </w:r>
          </w:p>
        </w:tc>
        <w:tc>
          <w:tcPr>
            <w:tcW w:w="1064" w:type="pct"/>
            <w:shd w:val="clear" w:color="auto" w:fill="auto"/>
            <w:noWrap/>
            <w:vAlign w:val="center"/>
            <w:hideMark/>
          </w:tcPr>
          <w:p w14:paraId="081734F8" w14:textId="4549D5CF" w:rsidR="00CE597F" w:rsidRPr="00795F17" w:rsidRDefault="00CE597F" w:rsidP="0065243A">
            <w:pPr>
              <w:pStyle w:val="Teksttabelisrodek"/>
            </w:pPr>
            <w:r w:rsidRPr="00795F17">
              <w:t>9,</w:t>
            </w:r>
            <w:r w:rsidR="005B1DB8">
              <w:t>2</w:t>
            </w:r>
          </w:p>
        </w:tc>
      </w:tr>
      <w:tr w:rsidR="00CE597F" w:rsidRPr="00795F17" w14:paraId="0C9DF02A" w14:textId="77777777" w:rsidTr="00C001DE">
        <w:trPr>
          <w:trHeight w:val="454"/>
        </w:trPr>
        <w:tc>
          <w:tcPr>
            <w:tcW w:w="2741" w:type="pct"/>
            <w:shd w:val="clear" w:color="auto" w:fill="auto"/>
            <w:noWrap/>
            <w:vAlign w:val="center"/>
            <w:hideMark/>
          </w:tcPr>
          <w:p w14:paraId="28D264EC" w14:textId="0777BA93" w:rsidR="00CE597F" w:rsidRPr="00795F17" w:rsidRDefault="00CE597F" w:rsidP="0044393D">
            <w:pPr>
              <w:pStyle w:val="Teksttabelilewy"/>
            </w:pPr>
            <w:r w:rsidRPr="00795F17">
              <w:t xml:space="preserve">Cel osiągnięty </w:t>
            </w:r>
            <w:r w:rsidR="00BA657A">
              <w:t>–</w:t>
            </w:r>
            <w:r w:rsidRPr="00795F17">
              <w:t xml:space="preserve"> poprawa stanu </w:t>
            </w:r>
          </w:p>
        </w:tc>
        <w:tc>
          <w:tcPr>
            <w:tcW w:w="1196" w:type="pct"/>
            <w:shd w:val="clear" w:color="auto" w:fill="auto"/>
            <w:noWrap/>
            <w:vAlign w:val="center"/>
            <w:hideMark/>
          </w:tcPr>
          <w:p w14:paraId="2A767C97" w14:textId="77777777" w:rsidR="00CE597F" w:rsidRPr="00795F17" w:rsidRDefault="00CE597F" w:rsidP="0065243A">
            <w:pPr>
              <w:pStyle w:val="Teksttabelisrodek"/>
            </w:pPr>
            <w:r w:rsidRPr="00795F17">
              <w:t>2</w:t>
            </w:r>
          </w:p>
        </w:tc>
        <w:tc>
          <w:tcPr>
            <w:tcW w:w="1064" w:type="pct"/>
            <w:shd w:val="clear" w:color="auto" w:fill="auto"/>
            <w:noWrap/>
            <w:vAlign w:val="center"/>
            <w:hideMark/>
          </w:tcPr>
          <w:p w14:paraId="1E9671F1" w14:textId="4EAF9047" w:rsidR="00CE597F" w:rsidRPr="00795F17" w:rsidRDefault="00CE597F" w:rsidP="0065243A">
            <w:pPr>
              <w:pStyle w:val="Teksttabelisrodek"/>
            </w:pPr>
            <w:r w:rsidRPr="00795F17">
              <w:t>0,</w:t>
            </w:r>
            <w:r w:rsidR="005B1DB8">
              <w:t>47</w:t>
            </w:r>
          </w:p>
        </w:tc>
      </w:tr>
      <w:tr w:rsidR="00CE597F" w:rsidRPr="00795F17" w14:paraId="21F6FAB6" w14:textId="77777777" w:rsidTr="00C001DE">
        <w:trPr>
          <w:trHeight w:val="454"/>
        </w:trPr>
        <w:tc>
          <w:tcPr>
            <w:tcW w:w="2741" w:type="pct"/>
            <w:shd w:val="clear" w:color="auto" w:fill="auto"/>
            <w:noWrap/>
            <w:vAlign w:val="center"/>
            <w:hideMark/>
          </w:tcPr>
          <w:p w14:paraId="221324EC" w14:textId="173D586B" w:rsidR="00CE597F" w:rsidRPr="00795F17" w:rsidRDefault="00CE597F" w:rsidP="0044393D">
            <w:pPr>
              <w:pStyle w:val="Teksttabelilewy"/>
            </w:pPr>
            <w:r w:rsidRPr="00795F17">
              <w:t xml:space="preserve">Cel osiągnięty </w:t>
            </w:r>
            <w:r w:rsidR="00BA657A">
              <w:t>–</w:t>
            </w:r>
            <w:r w:rsidRPr="00795F17">
              <w:t xml:space="preserve"> utrzymanie dobrego stanu </w:t>
            </w:r>
          </w:p>
        </w:tc>
        <w:tc>
          <w:tcPr>
            <w:tcW w:w="1196" w:type="pct"/>
            <w:shd w:val="clear" w:color="auto" w:fill="auto"/>
            <w:noWrap/>
            <w:vAlign w:val="center"/>
            <w:hideMark/>
          </w:tcPr>
          <w:p w14:paraId="537C24E9" w14:textId="77777777" w:rsidR="00CE597F" w:rsidRPr="00795F17" w:rsidRDefault="00CE597F" w:rsidP="0065243A">
            <w:pPr>
              <w:pStyle w:val="Teksttabelisrodek"/>
            </w:pPr>
            <w:r w:rsidRPr="00795F17">
              <w:t>4</w:t>
            </w:r>
          </w:p>
        </w:tc>
        <w:tc>
          <w:tcPr>
            <w:tcW w:w="1064" w:type="pct"/>
            <w:shd w:val="clear" w:color="auto" w:fill="auto"/>
            <w:noWrap/>
            <w:vAlign w:val="center"/>
            <w:hideMark/>
          </w:tcPr>
          <w:p w14:paraId="5CA0DACE" w14:textId="13E4E017" w:rsidR="00CE597F" w:rsidRPr="00795F17" w:rsidRDefault="00CE597F" w:rsidP="0065243A">
            <w:pPr>
              <w:pStyle w:val="Teksttabelisrodek"/>
            </w:pPr>
            <w:r w:rsidRPr="00795F17">
              <w:t>0,</w:t>
            </w:r>
            <w:r w:rsidR="00627B94">
              <w:t>95</w:t>
            </w:r>
          </w:p>
        </w:tc>
      </w:tr>
      <w:tr w:rsidR="00C001DE" w:rsidRPr="00795F17" w14:paraId="2EC604E6" w14:textId="77777777" w:rsidTr="00C001DE">
        <w:trPr>
          <w:trHeight w:val="454"/>
        </w:trPr>
        <w:tc>
          <w:tcPr>
            <w:tcW w:w="2741" w:type="pct"/>
            <w:shd w:val="clear" w:color="auto" w:fill="auto"/>
            <w:noWrap/>
            <w:vAlign w:val="center"/>
          </w:tcPr>
          <w:p w14:paraId="15C5C3B8" w14:textId="1B038A8A" w:rsidR="00C001DE" w:rsidRPr="00795F17" w:rsidRDefault="00C001DE" w:rsidP="0044393D">
            <w:pPr>
              <w:pStyle w:val="Teksttabelilewy"/>
            </w:pPr>
            <w:r w:rsidRPr="00795F17">
              <w:t>Brak możliwości oceny postępu </w:t>
            </w:r>
          </w:p>
        </w:tc>
        <w:tc>
          <w:tcPr>
            <w:tcW w:w="1196" w:type="pct"/>
            <w:shd w:val="clear" w:color="auto" w:fill="auto"/>
            <w:noWrap/>
            <w:vAlign w:val="center"/>
          </w:tcPr>
          <w:p w14:paraId="5EF2384B" w14:textId="71E6A16D" w:rsidR="00C001DE" w:rsidRPr="00795F17" w:rsidRDefault="00C001DE" w:rsidP="0065243A">
            <w:pPr>
              <w:pStyle w:val="Teksttabelisrodek"/>
            </w:pPr>
            <w:r w:rsidRPr="00795F17">
              <w:t>343</w:t>
            </w:r>
          </w:p>
        </w:tc>
        <w:tc>
          <w:tcPr>
            <w:tcW w:w="1064" w:type="pct"/>
            <w:shd w:val="clear" w:color="auto" w:fill="auto"/>
            <w:noWrap/>
            <w:vAlign w:val="center"/>
          </w:tcPr>
          <w:p w14:paraId="0D6675E8" w14:textId="1972B969" w:rsidR="00C001DE" w:rsidRPr="00795F17" w:rsidRDefault="00C001DE" w:rsidP="0065243A">
            <w:pPr>
              <w:pStyle w:val="Teksttabelisrodek"/>
            </w:pPr>
            <w:r w:rsidRPr="00795F17">
              <w:t>81,</w:t>
            </w:r>
            <w:r w:rsidR="00627B94">
              <w:t>28</w:t>
            </w:r>
          </w:p>
        </w:tc>
      </w:tr>
      <w:tr w:rsidR="00C001DE" w:rsidRPr="00795F17" w14:paraId="612092C6" w14:textId="77777777" w:rsidTr="00C001DE">
        <w:trPr>
          <w:trHeight w:val="454"/>
        </w:trPr>
        <w:tc>
          <w:tcPr>
            <w:tcW w:w="2741" w:type="pct"/>
            <w:shd w:val="clear" w:color="auto" w:fill="BFBFBF" w:themeFill="background1" w:themeFillShade="BF"/>
            <w:noWrap/>
            <w:vAlign w:val="center"/>
          </w:tcPr>
          <w:p w14:paraId="09ED98EB" w14:textId="579A4022" w:rsidR="00C001DE" w:rsidRPr="00795F17" w:rsidRDefault="00C001DE" w:rsidP="0065243A">
            <w:pPr>
              <w:pStyle w:val="Teksttabelinaglowek"/>
            </w:pPr>
            <w:r w:rsidRPr="00795F17">
              <w:t xml:space="preserve">Liczba </w:t>
            </w:r>
            <w:r w:rsidR="00DF005E">
              <w:t>JCWP</w:t>
            </w:r>
            <w:r w:rsidRPr="00795F17">
              <w:t xml:space="preserve"> </w:t>
            </w:r>
            <w:r w:rsidR="00BD0637">
              <w:t xml:space="preserve">LW </w:t>
            </w:r>
            <w:r w:rsidR="005949D5">
              <w:t>na</w:t>
            </w:r>
            <w:r w:rsidRPr="00795F17">
              <w:t xml:space="preserve"> obszarze dorzecza</w:t>
            </w:r>
          </w:p>
        </w:tc>
        <w:tc>
          <w:tcPr>
            <w:tcW w:w="1196" w:type="pct"/>
            <w:shd w:val="clear" w:color="auto" w:fill="BFBFBF" w:themeFill="background1" w:themeFillShade="BF"/>
            <w:noWrap/>
            <w:vAlign w:val="center"/>
          </w:tcPr>
          <w:p w14:paraId="7B101FD9" w14:textId="4C12A2C4" w:rsidR="00C001DE" w:rsidRPr="00795F17" w:rsidRDefault="00C001DE" w:rsidP="0065243A">
            <w:pPr>
              <w:pStyle w:val="Teksttabelinaglowek"/>
            </w:pPr>
            <w:r w:rsidRPr="00795F17">
              <w:t>422</w:t>
            </w:r>
          </w:p>
        </w:tc>
        <w:tc>
          <w:tcPr>
            <w:tcW w:w="1064" w:type="pct"/>
            <w:shd w:val="clear" w:color="auto" w:fill="BFBFBF" w:themeFill="background1" w:themeFillShade="BF"/>
            <w:noWrap/>
            <w:vAlign w:val="center"/>
          </w:tcPr>
          <w:p w14:paraId="34A2B5AE" w14:textId="77C90069" w:rsidR="00C001DE" w:rsidRPr="00795F17" w:rsidRDefault="00C001DE" w:rsidP="0065243A">
            <w:pPr>
              <w:pStyle w:val="Teksttabelinaglowek"/>
            </w:pPr>
            <w:r w:rsidRPr="00795F17">
              <w:t>100</w:t>
            </w:r>
          </w:p>
        </w:tc>
      </w:tr>
    </w:tbl>
    <w:p w14:paraId="1AFCE4D9" w14:textId="531CCB6E" w:rsidR="00CE597F" w:rsidRPr="00795F17" w:rsidRDefault="00CE597F" w:rsidP="0044393D">
      <w:pPr>
        <w:pStyle w:val="rdo"/>
      </w:pPr>
      <w:r w:rsidRPr="00795F17">
        <w:t xml:space="preserve">Źródło: </w:t>
      </w:r>
      <w:r w:rsidR="00FD7248" w:rsidRPr="00795F17">
        <w:t>opracowanie własne</w:t>
      </w:r>
      <w:r w:rsidRPr="00795F17">
        <w:t xml:space="preserve"> na podstawie danych GIOŚ</w:t>
      </w:r>
    </w:p>
    <w:p w14:paraId="280544BC" w14:textId="048AEBD9" w:rsidR="009247CF" w:rsidRPr="00795F17" w:rsidRDefault="00402B98" w:rsidP="0044393D">
      <w:pPr>
        <w:pStyle w:val="Nagwek5"/>
        <w:rPr>
          <w:rFonts w:asciiTheme="minorHAnsi" w:hAnsiTheme="minorHAnsi" w:cstheme="minorBidi"/>
          <w:bCs/>
        </w:rPr>
      </w:pPr>
      <w:r w:rsidRPr="00795F17">
        <w:t xml:space="preserve">Ocena postępu w osiąganiu celów środowiskowych dla stanu chemicznego </w:t>
      </w:r>
      <w:r w:rsidR="00DF005E">
        <w:t>JCWP</w:t>
      </w:r>
      <w:r w:rsidRPr="00795F17">
        <w:t xml:space="preserve"> LW (</w:t>
      </w:r>
      <w:r w:rsidRPr="00795F17">
        <w:rPr>
          <w:rFonts w:cstheme="minorBidi"/>
        </w:rPr>
        <w:t xml:space="preserve">aktualny </w:t>
      </w:r>
      <w:r w:rsidRPr="00795F17">
        <w:t>układ planistyczny IIaPGW)</w:t>
      </w:r>
    </w:p>
    <w:p w14:paraId="72E40C4E" w14:textId="2038EE86" w:rsidR="00CE597F" w:rsidRPr="00795F17" w:rsidRDefault="00CE597F" w:rsidP="0044393D">
      <w:r w:rsidRPr="00795F17">
        <w:t xml:space="preserve">W przypadku </w:t>
      </w:r>
      <w:r w:rsidR="00DF005E">
        <w:t>JCWP</w:t>
      </w:r>
      <w:r w:rsidRPr="00795F17">
        <w:t xml:space="preserve"> </w:t>
      </w:r>
      <w:r w:rsidR="00C50B47" w:rsidRPr="00795F17">
        <w:t>LW</w:t>
      </w:r>
      <w:r w:rsidRPr="00795F17">
        <w:t xml:space="preserve">, cel środowiskowy został osiągnięty dla 3,7% z nich. Stan chemiczny poniżej dobrego powodujący nieosiągnięcie celu środowiskowego stwierdzono w 16% </w:t>
      </w:r>
      <w:r w:rsidR="00DF005E">
        <w:t>JCWP</w:t>
      </w:r>
      <w:r w:rsidR="00C50B47" w:rsidRPr="00795F17">
        <w:t xml:space="preserve"> LW</w:t>
      </w:r>
      <w:r w:rsidRPr="00795F17">
        <w:t>. Ze względu na</w:t>
      </w:r>
      <w:r w:rsidR="00C50B47" w:rsidRPr="00795F17">
        <w:t> </w:t>
      </w:r>
      <w:r w:rsidRPr="00795F17">
        <w:t xml:space="preserve">duży stopień braku </w:t>
      </w:r>
      <w:r w:rsidR="00C12087">
        <w:t>klasyfikacji stanu chemicznego</w:t>
      </w:r>
      <w:r w:rsidRPr="00795F17">
        <w:t xml:space="preserve"> w </w:t>
      </w:r>
      <w:r w:rsidR="00DF005E">
        <w:t>JCWP</w:t>
      </w:r>
      <w:r w:rsidRPr="00795F17">
        <w:t xml:space="preserve"> przeprowadzonego w ramach aPGW (po</w:t>
      </w:r>
      <w:r w:rsidR="00C50B47" w:rsidRPr="00795F17">
        <w:t> </w:t>
      </w:r>
      <w:r w:rsidRPr="00795F17">
        <w:t xml:space="preserve">przejściu na nowy układ planistyczny) nie ma możliwości oceny postępu </w:t>
      </w:r>
      <w:r w:rsidR="002920BD" w:rsidRPr="00795F17">
        <w:t>w osiąganiu</w:t>
      </w:r>
      <w:r w:rsidRPr="00795F17">
        <w:t xml:space="preserve"> celów środowiskowych w stosunku do</w:t>
      </w:r>
      <w:r w:rsidR="00C7386F" w:rsidRPr="00795F17">
        <w:t> </w:t>
      </w:r>
      <w:r w:rsidRPr="00795F17">
        <w:t xml:space="preserve">80,3% </w:t>
      </w:r>
      <w:r w:rsidR="00DF005E">
        <w:t>JCWP</w:t>
      </w:r>
      <w:r w:rsidR="00C50B47" w:rsidRPr="00795F17">
        <w:t xml:space="preserve"> LW</w:t>
      </w:r>
      <w:r w:rsidRPr="00795F17">
        <w:t xml:space="preserve">. </w:t>
      </w:r>
    </w:p>
    <w:p w14:paraId="1C41C536" w14:textId="2F767A59" w:rsidR="00B23A17" w:rsidRPr="00795F17" w:rsidRDefault="00B23A17" w:rsidP="0044393D">
      <w:r w:rsidRPr="00795F17">
        <w:t>Wyżej opisane wyniki oceny postępu zaprezentowano w tabeli poniżej (tabela 9-1</w:t>
      </w:r>
      <w:r w:rsidR="00C50B47" w:rsidRPr="00795F17">
        <w:t>7</w:t>
      </w:r>
      <w:r w:rsidRPr="00795F17">
        <w:t>).</w:t>
      </w:r>
    </w:p>
    <w:p w14:paraId="76EF8DD4" w14:textId="76D3E981" w:rsidR="002049E1" w:rsidRPr="00795F17" w:rsidRDefault="002049E1" w:rsidP="004D7705">
      <w:pPr>
        <w:pStyle w:val="Tabela"/>
      </w:pPr>
      <w:bookmarkStart w:id="493" w:name="_Toc66341919"/>
      <w:bookmarkStart w:id="494" w:name="_Toc105512841"/>
      <w:r w:rsidRPr="00795F17">
        <w:t xml:space="preserve">Tabela </w:t>
      </w:r>
      <w:fldSimple w:instr=" STYLEREF 1 \s ">
        <w:r w:rsidR="001F774D">
          <w:rPr>
            <w:noProof/>
          </w:rPr>
          <w:t>9</w:t>
        </w:r>
      </w:fldSimple>
      <w:r w:rsidR="00BB3B21" w:rsidRPr="00795F17">
        <w:noBreakHyphen/>
      </w:r>
      <w:fldSimple w:instr=" SEQ Tabela \* ARABIC \s 1 ">
        <w:r w:rsidR="001F774D">
          <w:rPr>
            <w:noProof/>
          </w:rPr>
          <w:t>17</w:t>
        </w:r>
      </w:fldSimple>
      <w:r w:rsidR="00E76356">
        <w:rPr>
          <w:noProof/>
        </w:rPr>
        <w:t>.</w:t>
      </w:r>
      <w:r w:rsidRPr="00795F17">
        <w:tab/>
      </w:r>
      <w:bookmarkEnd w:id="493"/>
      <w:r w:rsidR="00C7386F" w:rsidRPr="00795F17">
        <w:t>Ocena postępu w osiąganiu celów środowiskowych dla stanu chemicznego na obszarze dorzecza Odry w układzie planistycznym IIaPGW (cykl planistyczny 2022</w:t>
      </w:r>
      <w:r w:rsidR="00BA657A">
        <w:t>–</w:t>
      </w:r>
      <w:r w:rsidR="00C7386F" w:rsidRPr="00795F17">
        <w:t>2027)</w:t>
      </w:r>
      <w:r w:rsidR="00BD0637">
        <w:t xml:space="preserve"> – </w:t>
      </w:r>
      <w:r w:rsidR="00DF005E">
        <w:t>JCWP</w:t>
      </w:r>
      <w:r w:rsidR="00BD0637" w:rsidRPr="008368C5">
        <w:t xml:space="preserve"> </w:t>
      </w:r>
      <w:r w:rsidR="00BD0637">
        <w:t>LW</w:t>
      </w:r>
      <w:bookmarkEnd w:id="494"/>
    </w:p>
    <w:tbl>
      <w:tblPr>
        <w:tblW w:w="5000" w:type="pct"/>
        <w:tblCellMar>
          <w:left w:w="10" w:type="dxa"/>
          <w:right w:w="10" w:type="dxa"/>
        </w:tblCellMar>
        <w:tblLook w:val="04A0" w:firstRow="1" w:lastRow="0" w:firstColumn="1" w:lastColumn="0" w:noHBand="0" w:noVBand="1"/>
      </w:tblPr>
      <w:tblGrid>
        <w:gridCol w:w="4900"/>
        <w:gridCol w:w="1784"/>
        <w:gridCol w:w="2378"/>
      </w:tblGrid>
      <w:tr w:rsidR="00CE597F" w:rsidRPr="00795F17" w14:paraId="26CFFE8C" w14:textId="77777777" w:rsidTr="00C001DE">
        <w:trPr>
          <w:cantSplit/>
          <w:trHeight w:val="454"/>
          <w:tblHeader/>
        </w:trPr>
        <w:tc>
          <w:tcPr>
            <w:tcW w:w="490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21E98A0E" w14:textId="1A1BC09B" w:rsidR="00CE597F" w:rsidRPr="00795F17" w:rsidRDefault="00C7386F" w:rsidP="0044393D">
            <w:pPr>
              <w:pStyle w:val="Teksttabelinaglowek"/>
            </w:pPr>
            <w:r w:rsidRPr="00795F17">
              <w:t>Stopień osiągnięcia celu</w:t>
            </w:r>
          </w:p>
        </w:tc>
        <w:tc>
          <w:tcPr>
            <w:tcW w:w="178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1761F0E3" w14:textId="15B4E64B" w:rsidR="00CE597F" w:rsidRPr="00795F17" w:rsidRDefault="00CE597F" w:rsidP="0044393D">
            <w:pPr>
              <w:pStyle w:val="Teksttabelinaglowek"/>
            </w:pPr>
            <w:r w:rsidRPr="00795F17">
              <w:t xml:space="preserve">Liczba </w:t>
            </w:r>
            <w:r w:rsidR="00DF005E">
              <w:t>JCWP</w:t>
            </w:r>
            <w:r w:rsidRPr="00795F17">
              <w:t xml:space="preserve"> LW</w:t>
            </w:r>
          </w:p>
        </w:tc>
        <w:tc>
          <w:tcPr>
            <w:tcW w:w="237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2362F7FA" w14:textId="3414C816" w:rsidR="00CE597F" w:rsidRPr="00795F17" w:rsidRDefault="00CE597F" w:rsidP="0044393D">
            <w:pPr>
              <w:pStyle w:val="Teksttabelinaglowek"/>
            </w:pPr>
            <w:r w:rsidRPr="00795F17">
              <w:t xml:space="preserve">Udział </w:t>
            </w:r>
            <w:r w:rsidR="00DF005E">
              <w:t>JCWP</w:t>
            </w:r>
            <w:r w:rsidRPr="00795F17">
              <w:t xml:space="preserve"> </w:t>
            </w:r>
            <w:r w:rsidR="00EA4FF5" w:rsidRPr="00795F17">
              <w:t>(%)</w:t>
            </w:r>
          </w:p>
        </w:tc>
      </w:tr>
      <w:tr w:rsidR="00CE597F" w:rsidRPr="00795F17" w14:paraId="3DFE5AD5" w14:textId="77777777" w:rsidTr="00C7386F">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7D1FD5" w14:textId="1F22FD91" w:rsidR="00CE597F" w:rsidRPr="00795F17" w:rsidRDefault="00CE597F" w:rsidP="00387031">
            <w:pPr>
              <w:pStyle w:val="Teksttabelilewy"/>
            </w:pPr>
            <w:r w:rsidRPr="00795F17">
              <w:t xml:space="preserve">Cel nieosiągnięty </w:t>
            </w:r>
            <w:r w:rsidR="00BA657A">
              <w:rPr>
                <w:rFonts w:cs="Calibri"/>
              </w:rPr>
              <w:t>–</w:t>
            </w:r>
            <w:r w:rsidRPr="00795F17">
              <w:rPr>
                <w:rFonts w:cs="Calibri"/>
              </w:rPr>
              <w:t xml:space="preserve"> brak postępu</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3B20B9" w14:textId="77777777" w:rsidR="00CE597F" w:rsidRPr="00795F17" w:rsidRDefault="00CE597F" w:rsidP="0065243A">
            <w:pPr>
              <w:pStyle w:val="Teksttabelisrodek"/>
            </w:pPr>
            <w:r w:rsidRPr="00795F17">
              <w:t>28</w:t>
            </w:r>
          </w:p>
        </w:tc>
        <w:tc>
          <w:tcPr>
            <w:tcW w:w="23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6313E0" w14:textId="77777777" w:rsidR="00CE597F" w:rsidRPr="00795F17" w:rsidRDefault="00CE597F" w:rsidP="0065243A">
            <w:pPr>
              <w:pStyle w:val="Teksttabelisrodek"/>
            </w:pPr>
            <w:r w:rsidRPr="00795F17">
              <w:t>6,6</w:t>
            </w:r>
          </w:p>
        </w:tc>
      </w:tr>
      <w:tr w:rsidR="00CE597F" w:rsidRPr="00795F17" w14:paraId="14AA4E0A" w14:textId="77777777" w:rsidTr="00C7386F">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EF6AC7" w14:textId="1C667187" w:rsidR="00CE597F" w:rsidRPr="00795F17" w:rsidRDefault="00CE597F" w:rsidP="00387031">
            <w:pPr>
              <w:pStyle w:val="Teksttabelilewy"/>
            </w:pPr>
            <w:r w:rsidRPr="00795F17">
              <w:t xml:space="preserve">Cel nieosiągnięty </w:t>
            </w:r>
            <w:r w:rsidR="00BA657A">
              <w:rPr>
                <w:rFonts w:cs="Calibri"/>
              </w:rPr>
              <w:t>–</w:t>
            </w:r>
            <w:r w:rsidRPr="00795F17">
              <w:rPr>
                <w:rFonts w:cs="Calibri"/>
              </w:rPr>
              <w:t xml:space="preserve"> pogorszenie stanu</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8E0467C" w14:textId="77777777" w:rsidR="00CE597F" w:rsidRPr="00795F17" w:rsidRDefault="00CE597F" w:rsidP="0065243A">
            <w:pPr>
              <w:pStyle w:val="Teksttabelisrodek"/>
            </w:pPr>
            <w:r w:rsidRPr="00795F17">
              <w:t>40</w:t>
            </w:r>
          </w:p>
        </w:tc>
        <w:tc>
          <w:tcPr>
            <w:tcW w:w="23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FCD5FF" w14:textId="77777777" w:rsidR="00CE597F" w:rsidRPr="00795F17" w:rsidRDefault="00CE597F" w:rsidP="0065243A">
            <w:pPr>
              <w:pStyle w:val="Teksttabelisrodek"/>
            </w:pPr>
            <w:r w:rsidRPr="00795F17">
              <w:t>9,4</w:t>
            </w:r>
          </w:p>
        </w:tc>
      </w:tr>
      <w:tr w:rsidR="00CE597F" w:rsidRPr="00795F17" w14:paraId="30351BC4" w14:textId="77777777" w:rsidTr="00C7386F">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808429" w14:textId="211E1752" w:rsidR="00CE597F" w:rsidRPr="00795F17" w:rsidRDefault="00CE597F" w:rsidP="00387031">
            <w:pPr>
              <w:pStyle w:val="Teksttabelilewy"/>
            </w:pPr>
            <w:r w:rsidRPr="00795F17">
              <w:t xml:space="preserve">Cel osiągnięty </w:t>
            </w:r>
            <w:r w:rsidR="00BA657A">
              <w:t>–</w:t>
            </w:r>
            <w:r w:rsidRPr="00795F17">
              <w:t xml:space="preserve"> utrzymanie dobrego stanu</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5B1161" w14:textId="77777777" w:rsidR="00CE597F" w:rsidRPr="00795F17" w:rsidRDefault="00CE597F" w:rsidP="0065243A">
            <w:pPr>
              <w:pStyle w:val="Teksttabelisrodek"/>
            </w:pPr>
            <w:r w:rsidRPr="00795F17">
              <w:t>13</w:t>
            </w:r>
          </w:p>
        </w:tc>
        <w:tc>
          <w:tcPr>
            <w:tcW w:w="23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B69314" w14:textId="77777777" w:rsidR="00CE597F" w:rsidRPr="00795F17" w:rsidRDefault="00CE597F" w:rsidP="0065243A">
            <w:pPr>
              <w:pStyle w:val="Teksttabelisrodek"/>
            </w:pPr>
            <w:r w:rsidRPr="00795F17">
              <w:t>3,0</w:t>
            </w:r>
          </w:p>
        </w:tc>
      </w:tr>
      <w:tr w:rsidR="00CE597F" w:rsidRPr="00795F17" w14:paraId="72C08764" w14:textId="77777777" w:rsidTr="00C7386F">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76FC35" w14:textId="1A715F03" w:rsidR="00CE597F" w:rsidRPr="00795F17" w:rsidRDefault="00CE597F" w:rsidP="00387031">
            <w:pPr>
              <w:pStyle w:val="Teksttabelilewy"/>
            </w:pPr>
            <w:r w:rsidRPr="00795F17">
              <w:t xml:space="preserve">Cel osiągnięty </w:t>
            </w:r>
            <w:r w:rsidR="00BA657A">
              <w:rPr>
                <w:rFonts w:cs="Calibri"/>
              </w:rPr>
              <w:t>–</w:t>
            </w:r>
            <w:r w:rsidRPr="00795F17">
              <w:rPr>
                <w:rFonts w:cs="Calibri"/>
              </w:rPr>
              <w:t xml:space="preserve"> poprawa stanu</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B63419" w14:textId="77777777" w:rsidR="00CE597F" w:rsidRPr="00795F17" w:rsidRDefault="00CE597F" w:rsidP="0065243A">
            <w:pPr>
              <w:pStyle w:val="Teksttabelisrodek"/>
            </w:pPr>
            <w:r w:rsidRPr="00795F17">
              <w:t>3</w:t>
            </w:r>
          </w:p>
        </w:tc>
        <w:tc>
          <w:tcPr>
            <w:tcW w:w="23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BF9A1CA" w14:textId="77777777" w:rsidR="00CE597F" w:rsidRPr="00795F17" w:rsidRDefault="00CE597F" w:rsidP="0065243A">
            <w:pPr>
              <w:pStyle w:val="Teksttabelisrodek"/>
            </w:pPr>
            <w:r w:rsidRPr="00795F17">
              <w:t>0,7</w:t>
            </w:r>
          </w:p>
        </w:tc>
      </w:tr>
      <w:tr w:rsidR="00CE597F" w:rsidRPr="00795F17" w14:paraId="1764E7A8" w14:textId="77777777" w:rsidTr="00C7386F">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16EC54" w14:textId="77777777" w:rsidR="00CE597F" w:rsidRPr="00795F17" w:rsidRDefault="00CE597F" w:rsidP="00387031">
            <w:pPr>
              <w:pStyle w:val="Teksttabelilewy"/>
            </w:pPr>
            <w:r w:rsidRPr="00795F17">
              <w:t>Brak możliwości oceny postępu</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754D07" w14:textId="77777777" w:rsidR="00CE597F" w:rsidRPr="00795F17" w:rsidRDefault="00CE597F" w:rsidP="0065243A">
            <w:pPr>
              <w:pStyle w:val="Teksttabelisrodek"/>
            </w:pPr>
            <w:r w:rsidRPr="00795F17">
              <w:t>343</w:t>
            </w:r>
          </w:p>
        </w:tc>
        <w:tc>
          <w:tcPr>
            <w:tcW w:w="23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18B858" w14:textId="77777777" w:rsidR="00CE597F" w:rsidRPr="00795F17" w:rsidRDefault="00CE597F" w:rsidP="0065243A">
            <w:pPr>
              <w:pStyle w:val="Teksttabelisrodek"/>
            </w:pPr>
            <w:r w:rsidRPr="00795F17">
              <w:t>80,3</w:t>
            </w:r>
          </w:p>
        </w:tc>
      </w:tr>
      <w:tr w:rsidR="00C7386F" w:rsidRPr="00795F17" w14:paraId="007B104D" w14:textId="77777777" w:rsidTr="00C7386F">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7390FD53" w14:textId="47AF8B00" w:rsidR="00C7386F" w:rsidRPr="00795F17" w:rsidRDefault="00C7386F" w:rsidP="005573CA">
            <w:pPr>
              <w:pStyle w:val="Teksttabelinaglowek"/>
            </w:pPr>
            <w:r w:rsidRPr="00795F17">
              <w:t xml:space="preserve">Liczba </w:t>
            </w:r>
            <w:r w:rsidR="00DF005E">
              <w:t>JCWP</w:t>
            </w:r>
            <w:r w:rsidRPr="00795F17">
              <w:t xml:space="preserve"> </w:t>
            </w:r>
            <w:r w:rsidR="00BD0637">
              <w:t>LW</w:t>
            </w:r>
            <w:r w:rsidRPr="00795F17">
              <w:t xml:space="preserve"> </w:t>
            </w:r>
            <w:r w:rsidR="005949D5">
              <w:t>na</w:t>
            </w:r>
            <w:r w:rsidRPr="00795F17">
              <w:t xml:space="preserve"> obszarze dorzecza</w:t>
            </w:r>
          </w:p>
        </w:tc>
        <w:tc>
          <w:tcPr>
            <w:tcW w:w="178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1C535516" w14:textId="788DEC5E" w:rsidR="00C7386F" w:rsidRPr="00795F17" w:rsidRDefault="00C7386F" w:rsidP="005573CA">
            <w:pPr>
              <w:pStyle w:val="Teksttabelinaglowek"/>
            </w:pPr>
            <w:r w:rsidRPr="00795F17">
              <w:t>427</w:t>
            </w:r>
          </w:p>
        </w:tc>
        <w:tc>
          <w:tcPr>
            <w:tcW w:w="237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43F3F140" w14:textId="26CE1BEA" w:rsidR="00C7386F" w:rsidRPr="00795F17" w:rsidRDefault="00C7386F" w:rsidP="005573CA">
            <w:pPr>
              <w:pStyle w:val="Teksttabelinaglowek"/>
            </w:pPr>
            <w:r w:rsidRPr="00795F17">
              <w:t>100</w:t>
            </w:r>
          </w:p>
        </w:tc>
      </w:tr>
    </w:tbl>
    <w:p w14:paraId="4ACD4E0D" w14:textId="77777777" w:rsidR="00E11336" w:rsidRPr="00795F17" w:rsidRDefault="00E11336" w:rsidP="00E11336">
      <w:pPr>
        <w:pStyle w:val="rdo"/>
        <w:rPr>
          <w:color w:val="000099"/>
          <w:sz w:val="20"/>
          <w:szCs w:val="20"/>
        </w:rPr>
      </w:pPr>
      <w:r w:rsidRPr="00795F17">
        <w:t>Źródło: opracowanie własne</w:t>
      </w:r>
    </w:p>
    <w:p w14:paraId="1517C9C9" w14:textId="0996ECE2" w:rsidR="00CE597F" w:rsidRPr="00795F17" w:rsidRDefault="00C001DE" w:rsidP="0044393D">
      <w:r w:rsidRPr="00795F17">
        <w:t xml:space="preserve">Tak samo jak w przypadku </w:t>
      </w:r>
      <w:r w:rsidR="00DF005E">
        <w:t>JCWP</w:t>
      </w:r>
      <w:r w:rsidRPr="00795F17">
        <w:t xml:space="preserve"> </w:t>
      </w:r>
      <w:r w:rsidR="00C50B47" w:rsidRPr="00795F17">
        <w:t>RW</w:t>
      </w:r>
      <w:r w:rsidRPr="00795F17">
        <w:t xml:space="preserve">, w </w:t>
      </w:r>
      <w:r w:rsidR="00DF005E">
        <w:t>JCWP</w:t>
      </w:r>
      <w:r w:rsidRPr="00795F17">
        <w:t xml:space="preserve"> </w:t>
      </w:r>
      <w:r w:rsidR="00C50B47" w:rsidRPr="00795F17">
        <w:t>LW</w:t>
      </w:r>
      <w:r w:rsidRPr="00795F17">
        <w:t xml:space="preserve"> stwierdzono wiele czynników powodujących nieosiągnięcie celów środowiskowych. Najczęstszą przyczyną było przekroczenie EQS w biocie </w:t>
      </w:r>
      <w:r w:rsidR="00BA657A">
        <w:t>–</w:t>
      </w:r>
      <w:r w:rsidRPr="00795F17">
        <w:t xml:space="preserve"> nowej </w:t>
      </w:r>
      <w:r w:rsidRPr="001C6219">
        <w:t>matrycy</w:t>
      </w:r>
      <w:r w:rsidRPr="00795F17">
        <w:t xml:space="preserve"> wprowadzonej do monitoringu w 2016 r., jak również w wodzie w stosunku do nowych substancji wskazanych w dyrektywie 2013/39/UE. Zostało to odnotowane szczególnie w</w:t>
      </w:r>
      <w:r w:rsidR="00C50B47" w:rsidRPr="00795F17">
        <w:t xml:space="preserve"> </w:t>
      </w:r>
      <w:r w:rsidRPr="00795F17">
        <w:t>stosunku do</w:t>
      </w:r>
      <w:r w:rsidR="00C50B47" w:rsidRPr="00795F17">
        <w:t> </w:t>
      </w:r>
      <w:r w:rsidRPr="00795F17">
        <w:t xml:space="preserve">zlewni, w których po rozpoczęciu monitoringu bioty stwierdzono stan chemiczny poniżej dobrego. </w:t>
      </w:r>
      <w:r w:rsidRPr="00795F17">
        <w:rPr>
          <w:rFonts w:cs="Calibri"/>
        </w:rPr>
        <w:t>Nie bez znaczenia pozostaje także</w:t>
      </w:r>
      <w:r w:rsidRPr="00795F17">
        <w:t xml:space="preserve"> obniżenie wartości granicznych wielu </w:t>
      </w:r>
      <w:r w:rsidRPr="00795F17">
        <w:rPr>
          <w:rFonts w:cs="Calibri"/>
        </w:rPr>
        <w:t>substancji, co powoduje iż</w:t>
      </w:r>
      <w:r w:rsidR="005949D5">
        <w:rPr>
          <w:rFonts w:cs="Calibri"/>
        </w:rPr>
        <w:t> </w:t>
      </w:r>
      <w:r w:rsidRPr="00795F17">
        <w:t>nie</w:t>
      </w:r>
      <w:r w:rsidR="005949D5">
        <w:t> </w:t>
      </w:r>
      <w:r w:rsidRPr="00795F17">
        <w:t xml:space="preserve">odnotowuje się poprawy stanu </w:t>
      </w:r>
      <w:r w:rsidRPr="00795F17">
        <w:rPr>
          <w:rFonts w:cs="Calibri"/>
        </w:rPr>
        <w:t xml:space="preserve">chemicznego </w:t>
      </w:r>
      <w:r w:rsidR="00DF005E">
        <w:t>JCWP</w:t>
      </w:r>
      <w:r w:rsidRPr="00795F17">
        <w:t xml:space="preserve"> pomimo spadku </w:t>
      </w:r>
      <w:r w:rsidRPr="00795F17">
        <w:rPr>
          <w:rFonts w:cs="Calibri"/>
        </w:rPr>
        <w:t>stężenia wskaźników</w:t>
      </w:r>
      <w:r w:rsidRPr="00795F17">
        <w:t>. Podobnie jak w przypadku rzek, niski stopień realizacji/skuteczności działań również przyczynił się do</w:t>
      </w:r>
      <w:r w:rsidR="00C50B47" w:rsidRPr="00795F17">
        <w:t> </w:t>
      </w:r>
      <w:r w:rsidRPr="00795F17">
        <w:t xml:space="preserve">nieosiągnięcia dobrego stanu chemicznego </w:t>
      </w:r>
      <w:r w:rsidR="00DF005E">
        <w:t>JCWP</w:t>
      </w:r>
      <w:r w:rsidRPr="00795F17">
        <w:t>. Natomiast niektóre z działań, doprowadziły do</w:t>
      </w:r>
      <w:r w:rsidR="00C50B47" w:rsidRPr="00795F17">
        <w:t> </w:t>
      </w:r>
      <w:r w:rsidRPr="00795F17">
        <w:t xml:space="preserve">redukcji stężeń substancji w wodzie, jednak nie doprowadziły do obniżenia wartości poniżej EQS. W stosunku do </w:t>
      </w:r>
      <w:r w:rsidR="00DF005E">
        <w:t>JCWP</w:t>
      </w:r>
      <w:r w:rsidRPr="00795F17">
        <w:t xml:space="preserve"> </w:t>
      </w:r>
      <w:r w:rsidR="00C50B47" w:rsidRPr="00795F17">
        <w:t>LW</w:t>
      </w:r>
      <w:r w:rsidRPr="00795F17">
        <w:t xml:space="preserve">, istotny wpływ odgrywają także uwarunkowania środowiskowe </w:t>
      </w:r>
      <w:r w:rsidR="00BA657A">
        <w:t>–</w:t>
      </w:r>
      <w:r w:rsidRPr="00795F17">
        <w:t xml:space="preserve"> przede wszystkim niski potencjał sorpcyjny, który był jedną z przyczyn złego stanu chemicznego 6 </w:t>
      </w:r>
      <w:r w:rsidR="00DF005E">
        <w:t>JCWP</w:t>
      </w:r>
      <w:r w:rsidR="00C50B47" w:rsidRPr="00795F17">
        <w:t xml:space="preserve"> LW</w:t>
      </w:r>
      <w:r w:rsidRPr="00795F17">
        <w:t>.</w:t>
      </w:r>
    </w:p>
    <w:p w14:paraId="5CA9C59C" w14:textId="6CB0B40A" w:rsidR="00C001DE" w:rsidRPr="00795F17" w:rsidRDefault="00C001DE" w:rsidP="0044393D">
      <w:r w:rsidRPr="00795F17">
        <w:t xml:space="preserve">Wyniki analizy przyczyn nieosiągnięcia celów środowiskowych przez </w:t>
      </w:r>
      <w:r w:rsidR="00DF005E">
        <w:t>JCWP</w:t>
      </w:r>
      <w:r w:rsidRPr="00795F17">
        <w:t xml:space="preserve"> LW przedstawiono w poniższej tabeli (tabela 9-</w:t>
      </w:r>
      <w:r w:rsidR="00B23A17" w:rsidRPr="00795F17">
        <w:t>1</w:t>
      </w:r>
      <w:r w:rsidR="00C50B47" w:rsidRPr="00795F17">
        <w:t>8</w:t>
      </w:r>
      <w:r w:rsidRPr="00795F17">
        <w:t>).</w:t>
      </w:r>
    </w:p>
    <w:p w14:paraId="7F7A5302" w14:textId="3AB1E982" w:rsidR="002049E1" w:rsidRPr="00795F17" w:rsidRDefault="002049E1" w:rsidP="004D7705">
      <w:pPr>
        <w:pStyle w:val="Tabela"/>
      </w:pPr>
      <w:bookmarkStart w:id="495" w:name="_Toc66341920"/>
      <w:bookmarkStart w:id="496" w:name="_Toc105512842"/>
      <w:r w:rsidRPr="00795F17">
        <w:t xml:space="preserve">Tabela </w:t>
      </w:r>
      <w:fldSimple w:instr=" STYLEREF 1 \s ">
        <w:r w:rsidR="001F774D">
          <w:rPr>
            <w:noProof/>
          </w:rPr>
          <w:t>9</w:t>
        </w:r>
      </w:fldSimple>
      <w:r w:rsidR="00BB3B21" w:rsidRPr="00795F17">
        <w:noBreakHyphen/>
      </w:r>
      <w:fldSimple w:instr=" SEQ Tabela \* ARABIC \s 1 ">
        <w:r w:rsidR="001F774D">
          <w:rPr>
            <w:noProof/>
          </w:rPr>
          <w:t>18</w:t>
        </w:r>
      </w:fldSimple>
      <w:r w:rsidR="00E76356">
        <w:rPr>
          <w:noProof/>
        </w:rPr>
        <w:t>.</w:t>
      </w:r>
      <w:r w:rsidRPr="00795F17">
        <w:tab/>
      </w:r>
      <w:bookmarkEnd w:id="495"/>
      <w:r w:rsidR="00C7386F" w:rsidRPr="00795F17">
        <w:t xml:space="preserve">Analiza przyczyn wpływających na brak postępu w osiąganiu celów środowiskowych dla stanu chemicznego na obszarze dorzecza Odry (bazując na nowym </w:t>
      </w:r>
      <w:r w:rsidR="00C7386F" w:rsidRPr="00795F17">
        <w:rPr>
          <w:rFonts w:asciiTheme="minorHAnsi" w:hAnsiTheme="minorHAnsi"/>
        </w:rPr>
        <w:t xml:space="preserve">układzie planistycznym </w:t>
      </w:r>
      <w:r w:rsidR="00C7386F" w:rsidRPr="00795F17">
        <w:rPr>
          <w:rFonts w:asciiTheme="minorHAnsi" w:hAnsiTheme="minorHAnsi" w:cstheme="minorHAnsi"/>
        </w:rPr>
        <w:t xml:space="preserve">IIaPGW) </w:t>
      </w:r>
      <w:r w:rsidR="00BA657A">
        <w:t>–</w:t>
      </w:r>
      <w:r w:rsidR="00C7386F" w:rsidRPr="00795F17">
        <w:t xml:space="preserve"> </w:t>
      </w:r>
      <w:r w:rsidR="00DF005E">
        <w:t>JCWP</w:t>
      </w:r>
      <w:r w:rsidR="00C7386F" w:rsidRPr="00795F17">
        <w:t xml:space="preserve"> LW</w:t>
      </w:r>
      <w:bookmarkEnd w:id="4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1559"/>
        <w:gridCol w:w="1554"/>
      </w:tblGrid>
      <w:tr w:rsidR="00CE597F" w:rsidRPr="00795F17" w14:paraId="5EEC9079" w14:textId="77777777" w:rsidTr="003D121A">
        <w:trPr>
          <w:trHeight w:val="454"/>
        </w:trPr>
        <w:tc>
          <w:tcPr>
            <w:tcW w:w="9062" w:type="dxa"/>
            <w:gridSpan w:val="3"/>
            <w:shd w:val="clear" w:color="auto" w:fill="BFBFBF" w:themeFill="background1" w:themeFillShade="BF"/>
            <w:noWrap/>
            <w:vAlign w:val="center"/>
          </w:tcPr>
          <w:p w14:paraId="6E6CCC75" w14:textId="2BB56225" w:rsidR="00CE597F" w:rsidRPr="00795F17" w:rsidRDefault="00CE597F" w:rsidP="004E056A">
            <w:pPr>
              <w:pStyle w:val="Teksttabelinaglowek"/>
              <w:keepNext/>
            </w:pPr>
            <w:r w:rsidRPr="00795F17">
              <w:t>A</w:t>
            </w:r>
            <w:r w:rsidR="00C001DE" w:rsidRPr="00795F17">
              <w:t>naliza przyczyn braku postępu w osiąganiu celu środowiskowego</w:t>
            </w:r>
            <w:r w:rsidR="00C50B47" w:rsidRPr="00795F17">
              <w:t xml:space="preserve"> dla stanu chemicznego</w:t>
            </w:r>
          </w:p>
        </w:tc>
      </w:tr>
      <w:tr w:rsidR="00CE597F" w:rsidRPr="00795F17" w14:paraId="4494C40B" w14:textId="77777777" w:rsidTr="003D121A">
        <w:trPr>
          <w:trHeight w:val="454"/>
        </w:trPr>
        <w:tc>
          <w:tcPr>
            <w:tcW w:w="5949" w:type="dxa"/>
            <w:shd w:val="clear" w:color="auto" w:fill="BFBFBF" w:themeFill="background1" w:themeFillShade="BF"/>
            <w:noWrap/>
            <w:vAlign w:val="center"/>
          </w:tcPr>
          <w:p w14:paraId="346F686B" w14:textId="6FD55F90" w:rsidR="00CE597F" w:rsidRPr="00795F17" w:rsidRDefault="00C001DE" w:rsidP="004E056A">
            <w:pPr>
              <w:pStyle w:val="Teksttabelinaglowek"/>
              <w:keepNext/>
            </w:pPr>
            <w:r w:rsidRPr="00795F17">
              <w:t>Przyczyna braku postępu</w:t>
            </w:r>
          </w:p>
        </w:tc>
        <w:tc>
          <w:tcPr>
            <w:tcW w:w="1559" w:type="dxa"/>
            <w:shd w:val="clear" w:color="auto" w:fill="BFBFBF" w:themeFill="background1" w:themeFillShade="BF"/>
            <w:noWrap/>
            <w:vAlign w:val="center"/>
          </w:tcPr>
          <w:p w14:paraId="3105B161" w14:textId="7851C3BA" w:rsidR="00CE597F" w:rsidRPr="00795F17" w:rsidRDefault="00CE597F" w:rsidP="004E056A">
            <w:pPr>
              <w:pStyle w:val="Teksttabelinaglowek"/>
              <w:keepNext/>
            </w:pPr>
            <w:r w:rsidRPr="00795F17">
              <w:t xml:space="preserve">Liczba </w:t>
            </w:r>
            <w:r w:rsidR="00DF005E">
              <w:t>JCWP</w:t>
            </w:r>
            <w:r w:rsidR="00C50B47" w:rsidRPr="00795F17">
              <w:t xml:space="preserve"> LW</w:t>
            </w:r>
          </w:p>
        </w:tc>
        <w:tc>
          <w:tcPr>
            <w:tcW w:w="1554" w:type="dxa"/>
            <w:shd w:val="clear" w:color="auto" w:fill="BFBFBF" w:themeFill="background1" w:themeFillShade="BF"/>
            <w:noWrap/>
            <w:vAlign w:val="center"/>
          </w:tcPr>
          <w:p w14:paraId="4272AE47" w14:textId="5B6F054D" w:rsidR="00CE597F" w:rsidRPr="00795F17" w:rsidRDefault="00CE597F" w:rsidP="004E056A">
            <w:pPr>
              <w:pStyle w:val="Teksttabelinaglowek"/>
              <w:keepNext/>
            </w:pPr>
            <w:r w:rsidRPr="00795F17">
              <w:t xml:space="preserve">Udział </w:t>
            </w:r>
            <w:r w:rsidR="00DF005E">
              <w:t>JCWP</w:t>
            </w:r>
            <w:r w:rsidRPr="00795F17">
              <w:t xml:space="preserve"> </w:t>
            </w:r>
            <w:r w:rsidR="00EA4FF5" w:rsidRPr="00795F17">
              <w:t>(%)</w:t>
            </w:r>
          </w:p>
        </w:tc>
      </w:tr>
      <w:tr w:rsidR="00CE597F" w:rsidRPr="00795F17" w14:paraId="7D4EC71F" w14:textId="77777777" w:rsidTr="003D121A">
        <w:trPr>
          <w:trHeight w:val="454"/>
        </w:trPr>
        <w:tc>
          <w:tcPr>
            <w:tcW w:w="9062" w:type="dxa"/>
            <w:gridSpan w:val="3"/>
            <w:shd w:val="clear" w:color="auto" w:fill="D9D9D9" w:themeFill="background1" w:themeFillShade="D9"/>
            <w:vAlign w:val="center"/>
          </w:tcPr>
          <w:p w14:paraId="1A31A334" w14:textId="77777777" w:rsidR="00CE597F" w:rsidRPr="00795F17" w:rsidRDefault="00CE597F" w:rsidP="004E056A">
            <w:pPr>
              <w:pStyle w:val="Teksttabelisrodek"/>
            </w:pPr>
            <w:r w:rsidRPr="00795F17">
              <w:t>Zmiany legislacyjne (zmiana wartości granicznych klas)</w:t>
            </w:r>
          </w:p>
        </w:tc>
      </w:tr>
      <w:tr w:rsidR="00CE597F" w:rsidRPr="00795F17" w14:paraId="547CFEC8" w14:textId="77777777" w:rsidTr="003D121A">
        <w:trPr>
          <w:trHeight w:val="454"/>
        </w:trPr>
        <w:tc>
          <w:tcPr>
            <w:tcW w:w="5949" w:type="dxa"/>
            <w:noWrap/>
            <w:vAlign w:val="center"/>
          </w:tcPr>
          <w:p w14:paraId="5239EA2B" w14:textId="77777777" w:rsidR="00CE597F" w:rsidRPr="00795F17" w:rsidRDefault="00CE597F" w:rsidP="004E056A">
            <w:pPr>
              <w:pStyle w:val="Teksttabelilewy"/>
            </w:pPr>
            <w:r w:rsidRPr="00795F17">
              <w:t>Analizowana przyczyna łącznie</w:t>
            </w:r>
          </w:p>
        </w:tc>
        <w:tc>
          <w:tcPr>
            <w:tcW w:w="1559" w:type="dxa"/>
            <w:noWrap/>
            <w:vAlign w:val="center"/>
          </w:tcPr>
          <w:p w14:paraId="12D961D8" w14:textId="77777777" w:rsidR="00CE597F" w:rsidRPr="00795F17" w:rsidRDefault="00CE597F" w:rsidP="004E056A">
            <w:pPr>
              <w:pStyle w:val="Teksttabelisrodek"/>
            </w:pPr>
            <w:r w:rsidRPr="00795F17">
              <w:t>36</w:t>
            </w:r>
          </w:p>
        </w:tc>
        <w:tc>
          <w:tcPr>
            <w:tcW w:w="1554" w:type="dxa"/>
            <w:noWrap/>
            <w:vAlign w:val="center"/>
          </w:tcPr>
          <w:p w14:paraId="388B565D" w14:textId="77777777" w:rsidR="00CE597F" w:rsidRPr="00795F17" w:rsidRDefault="00CE597F" w:rsidP="004E056A">
            <w:pPr>
              <w:pStyle w:val="Teksttabelisrodek"/>
            </w:pPr>
            <w:r w:rsidRPr="00795F17">
              <w:t>8,4</w:t>
            </w:r>
          </w:p>
        </w:tc>
      </w:tr>
      <w:tr w:rsidR="00CE597F" w:rsidRPr="00795F17" w14:paraId="1E55A2EF" w14:textId="77777777" w:rsidTr="003D121A">
        <w:trPr>
          <w:trHeight w:val="454"/>
        </w:trPr>
        <w:tc>
          <w:tcPr>
            <w:tcW w:w="5949" w:type="dxa"/>
            <w:noWrap/>
            <w:vAlign w:val="center"/>
          </w:tcPr>
          <w:p w14:paraId="5A47260E" w14:textId="7E0B0FA8" w:rsidR="00CE597F" w:rsidRPr="00795F17" w:rsidRDefault="00CE597F" w:rsidP="004E056A">
            <w:pPr>
              <w:pStyle w:val="Teksttabelilewy"/>
            </w:pPr>
            <w:r w:rsidRPr="00795F17">
              <w:t xml:space="preserve">Cel nieosiągnięty </w:t>
            </w:r>
            <w:r w:rsidR="00BA657A">
              <w:t>–</w:t>
            </w:r>
            <w:r w:rsidRPr="00795F17">
              <w:t xml:space="preserve"> brak postępu</w:t>
            </w:r>
          </w:p>
        </w:tc>
        <w:tc>
          <w:tcPr>
            <w:tcW w:w="1559" w:type="dxa"/>
            <w:noWrap/>
            <w:vAlign w:val="center"/>
          </w:tcPr>
          <w:p w14:paraId="768BDA66" w14:textId="77777777" w:rsidR="00CE597F" w:rsidRPr="00795F17" w:rsidRDefault="00CE597F" w:rsidP="004E056A">
            <w:pPr>
              <w:pStyle w:val="Teksttabelisrodek"/>
            </w:pPr>
            <w:r w:rsidRPr="00795F17">
              <w:t>12</w:t>
            </w:r>
          </w:p>
        </w:tc>
        <w:tc>
          <w:tcPr>
            <w:tcW w:w="1554" w:type="dxa"/>
            <w:noWrap/>
            <w:vAlign w:val="center"/>
          </w:tcPr>
          <w:p w14:paraId="6E4669CC" w14:textId="77777777" w:rsidR="00CE597F" w:rsidRPr="00795F17" w:rsidRDefault="00CE597F" w:rsidP="004E056A">
            <w:pPr>
              <w:pStyle w:val="Teksttabelisrodek"/>
            </w:pPr>
            <w:r w:rsidRPr="00795F17">
              <w:t>2,8</w:t>
            </w:r>
          </w:p>
        </w:tc>
      </w:tr>
      <w:tr w:rsidR="00CE597F" w:rsidRPr="00795F17" w14:paraId="6B77A2D8" w14:textId="77777777" w:rsidTr="003D121A">
        <w:trPr>
          <w:trHeight w:val="454"/>
        </w:trPr>
        <w:tc>
          <w:tcPr>
            <w:tcW w:w="5949" w:type="dxa"/>
            <w:noWrap/>
            <w:vAlign w:val="center"/>
          </w:tcPr>
          <w:p w14:paraId="56586CFC" w14:textId="0964A110" w:rsidR="00CE597F" w:rsidRPr="00795F17" w:rsidRDefault="00CE597F" w:rsidP="004E056A">
            <w:pPr>
              <w:pStyle w:val="Teksttabelilewy"/>
            </w:pPr>
            <w:r w:rsidRPr="00795F17">
              <w:t xml:space="preserve">Cel nieosiągnięty </w:t>
            </w:r>
            <w:r w:rsidR="00BA657A">
              <w:t>–</w:t>
            </w:r>
            <w:r w:rsidRPr="00795F17">
              <w:t xml:space="preserve"> obniżenie stanu</w:t>
            </w:r>
          </w:p>
        </w:tc>
        <w:tc>
          <w:tcPr>
            <w:tcW w:w="1559" w:type="dxa"/>
            <w:noWrap/>
            <w:vAlign w:val="center"/>
          </w:tcPr>
          <w:p w14:paraId="1959E84D" w14:textId="77777777" w:rsidR="00CE597F" w:rsidRPr="00795F17" w:rsidRDefault="00CE597F" w:rsidP="004E056A">
            <w:pPr>
              <w:pStyle w:val="Teksttabelisrodek"/>
            </w:pPr>
            <w:r w:rsidRPr="00795F17">
              <w:t>24</w:t>
            </w:r>
          </w:p>
        </w:tc>
        <w:tc>
          <w:tcPr>
            <w:tcW w:w="1554" w:type="dxa"/>
            <w:noWrap/>
            <w:vAlign w:val="center"/>
          </w:tcPr>
          <w:p w14:paraId="293182E7" w14:textId="77777777" w:rsidR="00CE597F" w:rsidRPr="00795F17" w:rsidRDefault="00CE597F" w:rsidP="004E056A">
            <w:pPr>
              <w:pStyle w:val="Teksttabelisrodek"/>
            </w:pPr>
            <w:r w:rsidRPr="00795F17">
              <w:t>5,6</w:t>
            </w:r>
          </w:p>
        </w:tc>
      </w:tr>
      <w:tr w:rsidR="00CE597F" w:rsidRPr="00795F17" w14:paraId="460D0807" w14:textId="77777777" w:rsidTr="003D121A">
        <w:trPr>
          <w:trHeight w:val="454"/>
        </w:trPr>
        <w:tc>
          <w:tcPr>
            <w:tcW w:w="9062" w:type="dxa"/>
            <w:gridSpan w:val="3"/>
            <w:shd w:val="clear" w:color="auto" w:fill="D9D9D9" w:themeFill="background1" w:themeFillShade="D9"/>
            <w:vAlign w:val="center"/>
          </w:tcPr>
          <w:p w14:paraId="67AF2AE2" w14:textId="77777777" w:rsidR="00CE597F" w:rsidRPr="00795F17" w:rsidRDefault="00CE597F" w:rsidP="004F64FB">
            <w:pPr>
              <w:pStyle w:val="Teksttabelisrodek"/>
              <w:keepNext/>
            </w:pPr>
            <w:r w:rsidRPr="00795F17">
              <w:t>Zmiana zakresu monitoringu</w:t>
            </w:r>
          </w:p>
        </w:tc>
      </w:tr>
      <w:tr w:rsidR="00CE597F" w:rsidRPr="00795F17" w14:paraId="363D5CB2" w14:textId="77777777" w:rsidTr="003D121A">
        <w:trPr>
          <w:trHeight w:val="454"/>
        </w:trPr>
        <w:tc>
          <w:tcPr>
            <w:tcW w:w="5949" w:type="dxa"/>
            <w:noWrap/>
            <w:vAlign w:val="center"/>
          </w:tcPr>
          <w:p w14:paraId="7CF9CBE8" w14:textId="77777777" w:rsidR="00CE597F" w:rsidRPr="00795F17" w:rsidRDefault="00CE597F" w:rsidP="004F64FB">
            <w:pPr>
              <w:pStyle w:val="Teksttabelilewy"/>
              <w:keepNext/>
            </w:pPr>
            <w:r w:rsidRPr="00795F17">
              <w:t>Analizowana przyczyna łącznie</w:t>
            </w:r>
          </w:p>
        </w:tc>
        <w:tc>
          <w:tcPr>
            <w:tcW w:w="1559" w:type="dxa"/>
            <w:noWrap/>
            <w:vAlign w:val="center"/>
          </w:tcPr>
          <w:p w14:paraId="16107B8B" w14:textId="77777777" w:rsidR="00CE597F" w:rsidRPr="00795F17" w:rsidRDefault="00CE597F" w:rsidP="004E056A">
            <w:pPr>
              <w:pStyle w:val="Teksttabelisrodek"/>
            </w:pPr>
            <w:r w:rsidRPr="00795F17">
              <w:t>65</w:t>
            </w:r>
          </w:p>
        </w:tc>
        <w:tc>
          <w:tcPr>
            <w:tcW w:w="1554" w:type="dxa"/>
            <w:vAlign w:val="center"/>
          </w:tcPr>
          <w:p w14:paraId="11604B81" w14:textId="77777777" w:rsidR="00CE597F" w:rsidRPr="00795F17" w:rsidRDefault="00CE597F" w:rsidP="004E056A">
            <w:pPr>
              <w:pStyle w:val="Teksttabelisrodek"/>
            </w:pPr>
            <w:r w:rsidRPr="00795F17">
              <w:t>15,2</w:t>
            </w:r>
          </w:p>
        </w:tc>
      </w:tr>
      <w:tr w:rsidR="00CE597F" w:rsidRPr="00795F17" w14:paraId="2F8511A2" w14:textId="77777777" w:rsidTr="003D121A">
        <w:trPr>
          <w:trHeight w:val="454"/>
        </w:trPr>
        <w:tc>
          <w:tcPr>
            <w:tcW w:w="5949" w:type="dxa"/>
            <w:noWrap/>
            <w:vAlign w:val="center"/>
          </w:tcPr>
          <w:p w14:paraId="6B19E16B" w14:textId="74838E31" w:rsidR="00CE597F" w:rsidRPr="00795F17" w:rsidRDefault="00CE597F" w:rsidP="004E056A">
            <w:pPr>
              <w:pStyle w:val="Teksttabelilewy"/>
            </w:pPr>
            <w:r w:rsidRPr="00795F17">
              <w:t xml:space="preserve">Cel nieosiągnięty </w:t>
            </w:r>
            <w:r w:rsidR="004B1517">
              <w:t>–</w:t>
            </w:r>
            <w:r w:rsidRPr="00795F17">
              <w:t xml:space="preserve"> brak postępu</w:t>
            </w:r>
          </w:p>
        </w:tc>
        <w:tc>
          <w:tcPr>
            <w:tcW w:w="1559" w:type="dxa"/>
            <w:noWrap/>
            <w:vAlign w:val="center"/>
          </w:tcPr>
          <w:p w14:paraId="5AE9AE05" w14:textId="77777777" w:rsidR="00CE597F" w:rsidRPr="00795F17" w:rsidRDefault="00CE597F" w:rsidP="004E056A">
            <w:pPr>
              <w:pStyle w:val="Teksttabelisrodek"/>
            </w:pPr>
            <w:r w:rsidRPr="00795F17">
              <w:t>27</w:t>
            </w:r>
          </w:p>
        </w:tc>
        <w:tc>
          <w:tcPr>
            <w:tcW w:w="1554" w:type="dxa"/>
            <w:vAlign w:val="center"/>
          </w:tcPr>
          <w:p w14:paraId="51C5E23D" w14:textId="77777777" w:rsidR="00CE597F" w:rsidRPr="00795F17" w:rsidRDefault="00CE597F" w:rsidP="004E056A">
            <w:pPr>
              <w:pStyle w:val="Teksttabelisrodek"/>
            </w:pPr>
            <w:r w:rsidRPr="00795F17">
              <w:t>6,3</w:t>
            </w:r>
          </w:p>
        </w:tc>
      </w:tr>
      <w:tr w:rsidR="00CE597F" w:rsidRPr="00795F17" w14:paraId="453D6455" w14:textId="77777777" w:rsidTr="003D121A">
        <w:trPr>
          <w:trHeight w:val="454"/>
        </w:trPr>
        <w:tc>
          <w:tcPr>
            <w:tcW w:w="5949" w:type="dxa"/>
            <w:noWrap/>
            <w:vAlign w:val="center"/>
          </w:tcPr>
          <w:p w14:paraId="1F0234AB" w14:textId="75F2F485" w:rsidR="00CE597F" w:rsidRPr="00795F17" w:rsidRDefault="00CE597F" w:rsidP="004E056A">
            <w:pPr>
              <w:pStyle w:val="Teksttabelilewy"/>
            </w:pPr>
            <w:r w:rsidRPr="00795F17">
              <w:t xml:space="preserve">Cel nieosiągnięty </w:t>
            </w:r>
            <w:r w:rsidR="00BA657A">
              <w:t>–</w:t>
            </w:r>
            <w:r w:rsidRPr="00795F17">
              <w:t xml:space="preserve"> obniżenie stanu</w:t>
            </w:r>
          </w:p>
        </w:tc>
        <w:tc>
          <w:tcPr>
            <w:tcW w:w="1559" w:type="dxa"/>
            <w:noWrap/>
            <w:vAlign w:val="center"/>
          </w:tcPr>
          <w:p w14:paraId="32AB3C2B" w14:textId="77777777" w:rsidR="00CE597F" w:rsidRPr="00795F17" w:rsidRDefault="00CE597F" w:rsidP="004E056A">
            <w:pPr>
              <w:pStyle w:val="Teksttabelisrodek"/>
            </w:pPr>
            <w:r w:rsidRPr="00795F17">
              <w:t>38</w:t>
            </w:r>
          </w:p>
        </w:tc>
        <w:tc>
          <w:tcPr>
            <w:tcW w:w="1554" w:type="dxa"/>
            <w:vAlign w:val="center"/>
          </w:tcPr>
          <w:p w14:paraId="6E30125D" w14:textId="77777777" w:rsidR="00CE597F" w:rsidRPr="00795F17" w:rsidRDefault="00CE597F" w:rsidP="004E056A">
            <w:pPr>
              <w:pStyle w:val="Teksttabelisrodek"/>
            </w:pPr>
            <w:r w:rsidRPr="00795F17">
              <w:t>8,9</w:t>
            </w:r>
          </w:p>
        </w:tc>
      </w:tr>
      <w:tr w:rsidR="00186D9B" w:rsidRPr="00795F17" w14:paraId="4698798C" w14:textId="77777777" w:rsidTr="003D121A">
        <w:trPr>
          <w:trHeight w:val="454"/>
        </w:trPr>
        <w:tc>
          <w:tcPr>
            <w:tcW w:w="9062" w:type="dxa"/>
            <w:gridSpan w:val="3"/>
            <w:shd w:val="clear" w:color="auto" w:fill="D9D9D9" w:themeFill="background1" w:themeFillShade="D9"/>
            <w:noWrap/>
            <w:vAlign w:val="center"/>
          </w:tcPr>
          <w:p w14:paraId="454A1871" w14:textId="1341326A" w:rsidR="00186D9B" w:rsidRPr="00795F17" w:rsidRDefault="00186D9B" w:rsidP="004E056A">
            <w:pPr>
              <w:pStyle w:val="Teksttabelisrodek"/>
            </w:pPr>
            <w:r w:rsidRPr="00795F17">
              <w:t>Dalsze występowanie presji lub niewystarczające ograniczenie jej negatywnego wpływu na stan wód</w:t>
            </w:r>
          </w:p>
        </w:tc>
      </w:tr>
      <w:tr w:rsidR="00CE597F" w:rsidRPr="00795F17" w14:paraId="7CC21B20" w14:textId="77777777" w:rsidTr="003D121A">
        <w:trPr>
          <w:trHeight w:val="454"/>
        </w:trPr>
        <w:tc>
          <w:tcPr>
            <w:tcW w:w="5949" w:type="dxa"/>
            <w:noWrap/>
            <w:vAlign w:val="center"/>
          </w:tcPr>
          <w:p w14:paraId="429B8EB9" w14:textId="77777777" w:rsidR="00CE597F" w:rsidRPr="00795F17" w:rsidRDefault="00CE597F" w:rsidP="004E056A">
            <w:pPr>
              <w:pStyle w:val="Teksttabelilewy"/>
            </w:pPr>
            <w:r w:rsidRPr="00795F17">
              <w:t>Analizowana przyczyna łącznie</w:t>
            </w:r>
          </w:p>
        </w:tc>
        <w:tc>
          <w:tcPr>
            <w:tcW w:w="1559" w:type="dxa"/>
            <w:noWrap/>
            <w:vAlign w:val="center"/>
          </w:tcPr>
          <w:p w14:paraId="64BF3003" w14:textId="77777777" w:rsidR="00CE597F" w:rsidRPr="00795F17" w:rsidRDefault="00CE597F" w:rsidP="004E056A">
            <w:pPr>
              <w:pStyle w:val="Teksttabelisrodek"/>
            </w:pPr>
            <w:r w:rsidRPr="00795F17">
              <w:t>33</w:t>
            </w:r>
          </w:p>
        </w:tc>
        <w:tc>
          <w:tcPr>
            <w:tcW w:w="1554" w:type="dxa"/>
            <w:vAlign w:val="center"/>
          </w:tcPr>
          <w:p w14:paraId="15A1D702" w14:textId="77777777" w:rsidR="00CE597F" w:rsidRPr="00795F17" w:rsidRDefault="00CE597F" w:rsidP="004E056A">
            <w:pPr>
              <w:pStyle w:val="Teksttabelisrodek"/>
            </w:pPr>
            <w:r w:rsidRPr="00795F17">
              <w:t>7,7</w:t>
            </w:r>
          </w:p>
        </w:tc>
      </w:tr>
      <w:tr w:rsidR="00CE597F" w:rsidRPr="00795F17" w14:paraId="5BE402AC" w14:textId="77777777" w:rsidTr="003D121A">
        <w:trPr>
          <w:trHeight w:val="454"/>
        </w:trPr>
        <w:tc>
          <w:tcPr>
            <w:tcW w:w="5949" w:type="dxa"/>
            <w:noWrap/>
            <w:vAlign w:val="center"/>
          </w:tcPr>
          <w:p w14:paraId="3D978BB1" w14:textId="049B82F0" w:rsidR="00CE597F" w:rsidRPr="00795F17" w:rsidRDefault="00CE597F" w:rsidP="004E056A">
            <w:pPr>
              <w:pStyle w:val="Teksttabelilewy"/>
            </w:pPr>
            <w:r w:rsidRPr="00795F17">
              <w:t xml:space="preserve">Cel nieosiągnięty </w:t>
            </w:r>
            <w:r w:rsidR="00BA657A">
              <w:t>–</w:t>
            </w:r>
            <w:r w:rsidRPr="00795F17">
              <w:t xml:space="preserve"> brak postępu</w:t>
            </w:r>
          </w:p>
        </w:tc>
        <w:tc>
          <w:tcPr>
            <w:tcW w:w="1559" w:type="dxa"/>
            <w:noWrap/>
            <w:vAlign w:val="center"/>
          </w:tcPr>
          <w:p w14:paraId="79D6E2E2" w14:textId="77777777" w:rsidR="00CE597F" w:rsidRPr="00795F17" w:rsidRDefault="00CE597F" w:rsidP="004E056A">
            <w:pPr>
              <w:pStyle w:val="Teksttabelisrodek"/>
            </w:pPr>
            <w:r w:rsidRPr="00795F17">
              <w:t>13</w:t>
            </w:r>
          </w:p>
        </w:tc>
        <w:tc>
          <w:tcPr>
            <w:tcW w:w="1554" w:type="dxa"/>
            <w:vAlign w:val="center"/>
          </w:tcPr>
          <w:p w14:paraId="43CAF349" w14:textId="77777777" w:rsidR="00CE597F" w:rsidRPr="00795F17" w:rsidRDefault="00CE597F" w:rsidP="004E056A">
            <w:pPr>
              <w:pStyle w:val="Teksttabelisrodek"/>
            </w:pPr>
            <w:r w:rsidRPr="00795F17">
              <w:t>3,0</w:t>
            </w:r>
          </w:p>
        </w:tc>
      </w:tr>
      <w:tr w:rsidR="00CE597F" w:rsidRPr="00795F17" w14:paraId="4EDD9A7C" w14:textId="77777777" w:rsidTr="003D121A">
        <w:trPr>
          <w:trHeight w:val="454"/>
        </w:trPr>
        <w:tc>
          <w:tcPr>
            <w:tcW w:w="5949" w:type="dxa"/>
            <w:noWrap/>
            <w:vAlign w:val="center"/>
          </w:tcPr>
          <w:p w14:paraId="55476171" w14:textId="5CFAE4F6" w:rsidR="00CE597F" w:rsidRPr="00795F17" w:rsidRDefault="00CE597F" w:rsidP="004E056A">
            <w:pPr>
              <w:pStyle w:val="Teksttabelilewy"/>
            </w:pPr>
            <w:r w:rsidRPr="00795F17">
              <w:t xml:space="preserve">Cel nieosiągnięty </w:t>
            </w:r>
            <w:r w:rsidR="00BA657A">
              <w:t>–</w:t>
            </w:r>
            <w:r w:rsidRPr="00795F17">
              <w:t xml:space="preserve"> obniżenie stanu</w:t>
            </w:r>
          </w:p>
        </w:tc>
        <w:tc>
          <w:tcPr>
            <w:tcW w:w="1559" w:type="dxa"/>
            <w:noWrap/>
            <w:vAlign w:val="center"/>
          </w:tcPr>
          <w:p w14:paraId="2E72078A" w14:textId="77777777" w:rsidR="00CE597F" w:rsidRPr="00795F17" w:rsidRDefault="00CE597F" w:rsidP="004E056A">
            <w:pPr>
              <w:pStyle w:val="Teksttabelisrodek"/>
            </w:pPr>
            <w:r w:rsidRPr="00795F17">
              <w:t>20</w:t>
            </w:r>
          </w:p>
        </w:tc>
        <w:tc>
          <w:tcPr>
            <w:tcW w:w="1554" w:type="dxa"/>
            <w:vAlign w:val="center"/>
          </w:tcPr>
          <w:p w14:paraId="67980AA7" w14:textId="77777777" w:rsidR="00CE597F" w:rsidRPr="00795F17" w:rsidRDefault="00CE597F" w:rsidP="004E056A">
            <w:pPr>
              <w:pStyle w:val="Teksttabelisrodek"/>
            </w:pPr>
            <w:r w:rsidRPr="00795F17">
              <w:t>4,7</w:t>
            </w:r>
          </w:p>
        </w:tc>
      </w:tr>
      <w:tr w:rsidR="00CE597F" w:rsidRPr="00795F17" w14:paraId="0C1C5BF6" w14:textId="77777777" w:rsidTr="003D121A">
        <w:trPr>
          <w:trHeight w:val="454"/>
        </w:trPr>
        <w:tc>
          <w:tcPr>
            <w:tcW w:w="9062" w:type="dxa"/>
            <w:gridSpan w:val="3"/>
            <w:shd w:val="clear" w:color="auto" w:fill="D9D9D9" w:themeFill="background1" w:themeFillShade="D9"/>
            <w:noWrap/>
            <w:vAlign w:val="center"/>
          </w:tcPr>
          <w:p w14:paraId="267C5D84" w14:textId="2FDF4888" w:rsidR="00CE597F" w:rsidRPr="00795F17" w:rsidRDefault="00CE597F" w:rsidP="004E056A">
            <w:pPr>
              <w:pStyle w:val="Teksttabelisrodek"/>
            </w:pPr>
            <w:r w:rsidRPr="00795F17">
              <w:t xml:space="preserve">Uwarunkowania zlewni (dopływ zanieczyszczeń z innego </w:t>
            </w:r>
            <w:r w:rsidR="00DF005E">
              <w:t>JCWP</w:t>
            </w:r>
            <w:r w:rsidRPr="00795F17">
              <w:t xml:space="preserve">, niski potencjał sorpcyjny </w:t>
            </w:r>
            <w:r w:rsidR="00DF005E">
              <w:t>JCWP</w:t>
            </w:r>
            <w:r w:rsidRPr="00795F17">
              <w:t>)</w:t>
            </w:r>
          </w:p>
        </w:tc>
      </w:tr>
      <w:tr w:rsidR="00CE597F" w:rsidRPr="00795F17" w14:paraId="18F8985F" w14:textId="77777777" w:rsidTr="003D121A">
        <w:trPr>
          <w:trHeight w:val="454"/>
        </w:trPr>
        <w:tc>
          <w:tcPr>
            <w:tcW w:w="5949" w:type="dxa"/>
            <w:noWrap/>
            <w:vAlign w:val="center"/>
          </w:tcPr>
          <w:p w14:paraId="37009906" w14:textId="77777777" w:rsidR="00CE597F" w:rsidRPr="00795F17" w:rsidRDefault="00CE597F" w:rsidP="004E056A">
            <w:pPr>
              <w:pStyle w:val="Teksttabelilewy"/>
            </w:pPr>
            <w:r w:rsidRPr="00795F17">
              <w:t>Analizowana przyczyna łącznie</w:t>
            </w:r>
          </w:p>
        </w:tc>
        <w:tc>
          <w:tcPr>
            <w:tcW w:w="1559" w:type="dxa"/>
            <w:noWrap/>
            <w:vAlign w:val="center"/>
          </w:tcPr>
          <w:p w14:paraId="2CFB5EE9" w14:textId="77777777" w:rsidR="00CE597F" w:rsidRPr="00795F17" w:rsidRDefault="00CE597F" w:rsidP="004E056A">
            <w:pPr>
              <w:pStyle w:val="Teksttabelisrodek"/>
            </w:pPr>
            <w:r w:rsidRPr="00795F17">
              <w:t>6</w:t>
            </w:r>
          </w:p>
        </w:tc>
        <w:tc>
          <w:tcPr>
            <w:tcW w:w="1554" w:type="dxa"/>
            <w:vAlign w:val="center"/>
          </w:tcPr>
          <w:p w14:paraId="4274E16B" w14:textId="77777777" w:rsidR="00CE597F" w:rsidRPr="00795F17" w:rsidRDefault="00CE597F" w:rsidP="004E056A">
            <w:pPr>
              <w:pStyle w:val="Teksttabelisrodek"/>
            </w:pPr>
            <w:r w:rsidRPr="00795F17">
              <w:t>1,4</w:t>
            </w:r>
          </w:p>
        </w:tc>
      </w:tr>
      <w:tr w:rsidR="00CE597F" w:rsidRPr="00795F17" w14:paraId="63BE7A45" w14:textId="77777777" w:rsidTr="003D121A">
        <w:trPr>
          <w:trHeight w:val="454"/>
        </w:trPr>
        <w:tc>
          <w:tcPr>
            <w:tcW w:w="5949" w:type="dxa"/>
            <w:noWrap/>
            <w:vAlign w:val="center"/>
          </w:tcPr>
          <w:p w14:paraId="13FA2777" w14:textId="202E9EEA" w:rsidR="00CE597F" w:rsidRPr="00795F17" w:rsidRDefault="00CE597F" w:rsidP="004E056A">
            <w:pPr>
              <w:pStyle w:val="Teksttabelilewy"/>
            </w:pPr>
            <w:r w:rsidRPr="00795F17">
              <w:t xml:space="preserve">Cel nieosiągnięty </w:t>
            </w:r>
            <w:r w:rsidR="00BA657A">
              <w:t>–</w:t>
            </w:r>
            <w:r w:rsidRPr="00795F17">
              <w:t xml:space="preserve"> brak postępu</w:t>
            </w:r>
          </w:p>
        </w:tc>
        <w:tc>
          <w:tcPr>
            <w:tcW w:w="1559" w:type="dxa"/>
            <w:noWrap/>
            <w:vAlign w:val="center"/>
          </w:tcPr>
          <w:p w14:paraId="7EC8C77C" w14:textId="77777777" w:rsidR="00CE597F" w:rsidRPr="00795F17" w:rsidRDefault="00CE597F" w:rsidP="004E056A">
            <w:pPr>
              <w:pStyle w:val="Teksttabelisrodek"/>
            </w:pPr>
            <w:r w:rsidRPr="00795F17">
              <w:t>2</w:t>
            </w:r>
          </w:p>
        </w:tc>
        <w:tc>
          <w:tcPr>
            <w:tcW w:w="1554" w:type="dxa"/>
            <w:vAlign w:val="center"/>
          </w:tcPr>
          <w:p w14:paraId="7799D648" w14:textId="77777777" w:rsidR="00CE597F" w:rsidRPr="00795F17" w:rsidRDefault="00CE597F" w:rsidP="004E056A">
            <w:pPr>
              <w:pStyle w:val="Teksttabelisrodek"/>
            </w:pPr>
            <w:r w:rsidRPr="00795F17">
              <w:t>0,5</w:t>
            </w:r>
          </w:p>
        </w:tc>
      </w:tr>
      <w:tr w:rsidR="00CE597F" w:rsidRPr="00795F17" w14:paraId="366CCCA4" w14:textId="77777777" w:rsidTr="003D121A">
        <w:trPr>
          <w:trHeight w:val="454"/>
        </w:trPr>
        <w:tc>
          <w:tcPr>
            <w:tcW w:w="5949" w:type="dxa"/>
            <w:noWrap/>
            <w:vAlign w:val="center"/>
          </w:tcPr>
          <w:p w14:paraId="1D659B7C" w14:textId="37933FEA" w:rsidR="00CE597F" w:rsidRPr="00795F17" w:rsidRDefault="00CE597F" w:rsidP="004E056A">
            <w:pPr>
              <w:pStyle w:val="Teksttabelilewy"/>
            </w:pPr>
            <w:r w:rsidRPr="00795F17">
              <w:t xml:space="preserve">Cel nieosiągnięty </w:t>
            </w:r>
            <w:r w:rsidR="00BA657A">
              <w:t>–</w:t>
            </w:r>
            <w:r w:rsidRPr="00795F17">
              <w:t xml:space="preserve"> obniżenie stanu</w:t>
            </w:r>
          </w:p>
        </w:tc>
        <w:tc>
          <w:tcPr>
            <w:tcW w:w="1559" w:type="dxa"/>
            <w:noWrap/>
            <w:vAlign w:val="center"/>
          </w:tcPr>
          <w:p w14:paraId="5E0AA588" w14:textId="77777777" w:rsidR="00CE597F" w:rsidRPr="00795F17" w:rsidRDefault="00CE597F" w:rsidP="004E056A">
            <w:pPr>
              <w:pStyle w:val="Teksttabelisrodek"/>
            </w:pPr>
            <w:r w:rsidRPr="00795F17">
              <w:t>4</w:t>
            </w:r>
          </w:p>
        </w:tc>
        <w:tc>
          <w:tcPr>
            <w:tcW w:w="1554" w:type="dxa"/>
            <w:vAlign w:val="center"/>
          </w:tcPr>
          <w:p w14:paraId="597D492B" w14:textId="77777777" w:rsidR="00CE597F" w:rsidRPr="00795F17" w:rsidRDefault="00CE597F" w:rsidP="004E056A">
            <w:pPr>
              <w:pStyle w:val="Teksttabelisrodek"/>
            </w:pPr>
            <w:r w:rsidRPr="00795F17">
              <w:t>0,9</w:t>
            </w:r>
          </w:p>
        </w:tc>
      </w:tr>
      <w:tr w:rsidR="00CE597F" w:rsidRPr="00795F17" w14:paraId="452E3F19" w14:textId="77777777" w:rsidTr="003D121A">
        <w:trPr>
          <w:trHeight w:val="454"/>
        </w:trPr>
        <w:tc>
          <w:tcPr>
            <w:tcW w:w="9062" w:type="dxa"/>
            <w:gridSpan w:val="3"/>
            <w:shd w:val="clear" w:color="auto" w:fill="D9D9D9" w:themeFill="background1" w:themeFillShade="D9"/>
            <w:noWrap/>
            <w:vAlign w:val="center"/>
          </w:tcPr>
          <w:p w14:paraId="06F37723" w14:textId="77777777" w:rsidR="00CE597F" w:rsidRPr="00795F17" w:rsidRDefault="00CE597F" w:rsidP="009D729B">
            <w:pPr>
              <w:pStyle w:val="Teksttabelisrodek"/>
              <w:keepNext/>
            </w:pPr>
            <w:r w:rsidRPr="00795F17">
              <w:t>Inne (w tym działania niewystarczające do obniżenia presji w jednym cyklu planistycznym)</w:t>
            </w:r>
          </w:p>
        </w:tc>
      </w:tr>
      <w:tr w:rsidR="00CE597F" w:rsidRPr="00795F17" w14:paraId="35FEFBE5" w14:textId="77777777" w:rsidTr="003D121A">
        <w:trPr>
          <w:trHeight w:val="454"/>
        </w:trPr>
        <w:tc>
          <w:tcPr>
            <w:tcW w:w="5949" w:type="dxa"/>
            <w:noWrap/>
            <w:vAlign w:val="center"/>
          </w:tcPr>
          <w:p w14:paraId="1A378391" w14:textId="77777777" w:rsidR="00CE597F" w:rsidRPr="00795F17" w:rsidRDefault="00CE597F" w:rsidP="004E056A">
            <w:pPr>
              <w:pStyle w:val="Teksttabelilewy"/>
            </w:pPr>
            <w:r w:rsidRPr="00795F17">
              <w:t>Analizowana przyczyna łącznie</w:t>
            </w:r>
          </w:p>
        </w:tc>
        <w:tc>
          <w:tcPr>
            <w:tcW w:w="1559" w:type="dxa"/>
            <w:noWrap/>
            <w:vAlign w:val="center"/>
          </w:tcPr>
          <w:p w14:paraId="5EBF1137" w14:textId="77777777" w:rsidR="00CE597F" w:rsidRPr="00795F17" w:rsidRDefault="00CE597F" w:rsidP="004E056A">
            <w:pPr>
              <w:pStyle w:val="Teksttabelisrodek"/>
            </w:pPr>
            <w:r w:rsidRPr="00795F17">
              <w:t>18</w:t>
            </w:r>
          </w:p>
        </w:tc>
        <w:tc>
          <w:tcPr>
            <w:tcW w:w="1554" w:type="dxa"/>
            <w:vAlign w:val="center"/>
          </w:tcPr>
          <w:p w14:paraId="63044604" w14:textId="77777777" w:rsidR="00CE597F" w:rsidRPr="00795F17" w:rsidRDefault="00CE597F" w:rsidP="004E056A">
            <w:pPr>
              <w:pStyle w:val="Teksttabelisrodek"/>
            </w:pPr>
            <w:r w:rsidRPr="00795F17">
              <w:t>4,2</w:t>
            </w:r>
          </w:p>
        </w:tc>
      </w:tr>
      <w:tr w:rsidR="00CE597F" w:rsidRPr="00795F17" w14:paraId="49FA11EC" w14:textId="77777777" w:rsidTr="003D121A">
        <w:trPr>
          <w:trHeight w:val="454"/>
        </w:trPr>
        <w:tc>
          <w:tcPr>
            <w:tcW w:w="5949" w:type="dxa"/>
            <w:noWrap/>
            <w:vAlign w:val="center"/>
          </w:tcPr>
          <w:p w14:paraId="12123E03" w14:textId="2707C3BC" w:rsidR="00CE597F" w:rsidRPr="00795F17" w:rsidRDefault="00CE597F" w:rsidP="004E056A">
            <w:pPr>
              <w:pStyle w:val="Teksttabelilewy"/>
            </w:pPr>
            <w:r w:rsidRPr="00795F17">
              <w:t xml:space="preserve">Cel nieosiągnięty </w:t>
            </w:r>
            <w:r w:rsidR="00BA657A">
              <w:t>–</w:t>
            </w:r>
            <w:r w:rsidRPr="00795F17">
              <w:t xml:space="preserve"> brak postępu</w:t>
            </w:r>
          </w:p>
        </w:tc>
        <w:tc>
          <w:tcPr>
            <w:tcW w:w="1559" w:type="dxa"/>
            <w:noWrap/>
            <w:vAlign w:val="center"/>
          </w:tcPr>
          <w:p w14:paraId="60E1A6F2" w14:textId="77777777" w:rsidR="00CE597F" w:rsidRPr="00795F17" w:rsidRDefault="00CE597F" w:rsidP="004E056A">
            <w:pPr>
              <w:pStyle w:val="Teksttabelisrodek"/>
            </w:pPr>
            <w:r w:rsidRPr="00795F17">
              <w:t>5</w:t>
            </w:r>
          </w:p>
        </w:tc>
        <w:tc>
          <w:tcPr>
            <w:tcW w:w="1554" w:type="dxa"/>
            <w:vAlign w:val="center"/>
          </w:tcPr>
          <w:p w14:paraId="4BCE720C" w14:textId="77777777" w:rsidR="00CE597F" w:rsidRPr="00795F17" w:rsidRDefault="00CE597F" w:rsidP="004E056A">
            <w:pPr>
              <w:pStyle w:val="Teksttabelisrodek"/>
            </w:pPr>
            <w:r w:rsidRPr="00795F17">
              <w:t>1,2</w:t>
            </w:r>
          </w:p>
        </w:tc>
      </w:tr>
      <w:tr w:rsidR="00CE597F" w:rsidRPr="00795F17" w14:paraId="225366D3" w14:textId="77777777" w:rsidTr="003D121A">
        <w:trPr>
          <w:trHeight w:val="454"/>
        </w:trPr>
        <w:tc>
          <w:tcPr>
            <w:tcW w:w="5949" w:type="dxa"/>
            <w:noWrap/>
            <w:vAlign w:val="center"/>
          </w:tcPr>
          <w:p w14:paraId="198E633A" w14:textId="6FECC0F6" w:rsidR="00CE597F" w:rsidRPr="00795F17" w:rsidRDefault="00CE597F" w:rsidP="004E056A">
            <w:pPr>
              <w:pStyle w:val="Teksttabelilewy"/>
            </w:pPr>
            <w:r w:rsidRPr="00795F17">
              <w:t xml:space="preserve">Cel nieosiągnięty </w:t>
            </w:r>
            <w:r w:rsidR="00BA657A">
              <w:t>–</w:t>
            </w:r>
            <w:r w:rsidRPr="00795F17">
              <w:t xml:space="preserve"> obniżenie stanu</w:t>
            </w:r>
          </w:p>
        </w:tc>
        <w:tc>
          <w:tcPr>
            <w:tcW w:w="1559" w:type="dxa"/>
            <w:noWrap/>
            <w:vAlign w:val="center"/>
          </w:tcPr>
          <w:p w14:paraId="06816F68" w14:textId="77777777" w:rsidR="00CE597F" w:rsidRPr="00795F17" w:rsidRDefault="00CE597F" w:rsidP="004E056A">
            <w:pPr>
              <w:pStyle w:val="Teksttabelisrodek"/>
            </w:pPr>
            <w:r w:rsidRPr="00795F17">
              <w:t>13</w:t>
            </w:r>
          </w:p>
        </w:tc>
        <w:tc>
          <w:tcPr>
            <w:tcW w:w="1554" w:type="dxa"/>
            <w:vAlign w:val="center"/>
          </w:tcPr>
          <w:p w14:paraId="2E9B9943" w14:textId="77777777" w:rsidR="00CE597F" w:rsidRPr="00795F17" w:rsidRDefault="00CE597F" w:rsidP="004E056A">
            <w:pPr>
              <w:pStyle w:val="Teksttabelisrodek"/>
            </w:pPr>
            <w:r w:rsidRPr="00795F17">
              <w:t>3,0</w:t>
            </w:r>
          </w:p>
        </w:tc>
      </w:tr>
    </w:tbl>
    <w:p w14:paraId="749C6B11" w14:textId="2B17F1CD" w:rsidR="00CE597F" w:rsidRPr="00795F17" w:rsidRDefault="00CE597F" w:rsidP="0044393D">
      <w:pPr>
        <w:pStyle w:val="rdo"/>
        <w:rPr>
          <w:b/>
          <w:bCs/>
        </w:rPr>
      </w:pPr>
      <w:r w:rsidRPr="00795F17">
        <w:rPr>
          <w:shd w:val="clear" w:color="auto" w:fill="FFFFFF" w:themeFill="background1"/>
        </w:rPr>
        <w:t xml:space="preserve">Źródło: </w:t>
      </w:r>
      <w:r w:rsidR="00724997" w:rsidRPr="00795F17">
        <w:rPr>
          <w:shd w:val="clear" w:color="auto" w:fill="FFFFFF" w:themeFill="background1"/>
        </w:rPr>
        <w:t>opracowanie własne</w:t>
      </w:r>
      <w:r w:rsidRPr="00795F17">
        <w:rPr>
          <w:shd w:val="clear" w:color="auto" w:fill="FFFFFF" w:themeFill="background1"/>
        </w:rPr>
        <w:t xml:space="preserve"> na podstawie danych GIOŚ i aPGW</w:t>
      </w:r>
    </w:p>
    <w:p w14:paraId="195BC7D3" w14:textId="081ADF53" w:rsidR="00CE597F" w:rsidRPr="00795F17" w:rsidRDefault="00CE597F" w:rsidP="00C53C86">
      <w:pPr>
        <w:pStyle w:val="Nagwek3"/>
      </w:pPr>
      <w:bookmarkStart w:id="497" w:name="_Toc105512672"/>
      <w:r w:rsidRPr="00795F17">
        <w:t xml:space="preserve">Ocena postępu w osiąganiu celów środowiskowych dla stanu/potencjału ekologicznego </w:t>
      </w:r>
      <w:r w:rsidR="00DF005E">
        <w:t>JCWP</w:t>
      </w:r>
      <w:r w:rsidRPr="00795F17">
        <w:t xml:space="preserve"> TW i CW w okresie od 2016</w:t>
      </w:r>
      <w:r w:rsidR="005A6124" w:rsidRPr="00795F17">
        <w:t xml:space="preserve"> r. do </w:t>
      </w:r>
      <w:r w:rsidRPr="00795F17">
        <w:t>2021 r. wraz z wyjaśnieniem przyczyn nieosiągnięcia celów środowiskowych</w:t>
      </w:r>
      <w:bookmarkEnd w:id="497"/>
      <w:r w:rsidRPr="00795F17">
        <w:t xml:space="preserve"> </w:t>
      </w:r>
    </w:p>
    <w:p w14:paraId="2E03EB7A" w14:textId="453FE89F" w:rsidR="003278BA" w:rsidRPr="00795F17" w:rsidRDefault="003278BA" w:rsidP="003278BA">
      <w:pPr>
        <w:pStyle w:val="Nagwek5"/>
      </w:pPr>
      <w:r w:rsidRPr="00795F17">
        <w:t xml:space="preserve">Ocena postępu w osiąganiu celów środowiskowych dla stanu/potencjału ekologicznego </w:t>
      </w:r>
      <w:r w:rsidR="00DF005E">
        <w:t>JCWP</w:t>
      </w:r>
      <w:r w:rsidRPr="00795F17">
        <w:t xml:space="preserve"> TW i</w:t>
      </w:r>
      <w:r w:rsidR="00C50B47" w:rsidRPr="00795F17">
        <w:t> </w:t>
      </w:r>
      <w:r w:rsidRPr="00795F17">
        <w:t>CW (układ planistyczny aPGW)</w:t>
      </w:r>
    </w:p>
    <w:p w14:paraId="710DA1D9" w14:textId="17B1F7B2" w:rsidR="00CE597F" w:rsidRPr="00795F17" w:rsidRDefault="00CE597F" w:rsidP="0044393D">
      <w:r w:rsidRPr="00795F17">
        <w:t>Przeprowadzając ocenę postępu w osiągnięciu celów środowiskowych ustalonych w aPGW dla</w:t>
      </w:r>
      <w:r w:rsidR="001B15D5">
        <w:t> </w:t>
      </w:r>
      <w:r w:rsidRPr="00795F17">
        <w:t xml:space="preserve">stanu/potencjału </w:t>
      </w:r>
      <w:r w:rsidR="00DF005E">
        <w:t>JCWP</w:t>
      </w:r>
      <w:r w:rsidRPr="00795F17">
        <w:t xml:space="preserve"> </w:t>
      </w:r>
      <w:r w:rsidR="00C50B47" w:rsidRPr="00795F17">
        <w:t>TW i CW</w:t>
      </w:r>
      <w:r w:rsidRPr="00795F17">
        <w:t xml:space="preserve">, dla potrzeb opracowania IIaPGW wykorzystano najnowszą ocenę stanu </w:t>
      </w:r>
      <w:r w:rsidR="00DF005E">
        <w:t>JCWP</w:t>
      </w:r>
      <w:r w:rsidRPr="00795F17">
        <w:t xml:space="preserve"> przejściowych i przybrzeżnych </w:t>
      </w:r>
      <w:r w:rsidRPr="00795F17">
        <w:rPr>
          <w:rFonts w:ascii="Segoe UI" w:eastAsia="Segoe UI" w:hAnsi="Segoe UI" w:cs="Segoe UI"/>
          <w:color w:val="333333"/>
          <w:sz w:val="18"/>
          <w:szCs w:val="18"/>
        </w:rPr>
        <w:t>z</w:t>
      </w:r>
      <w:r w:rsidRPr="00795F17">
        <w:t>a lata 2014</w:t>
      </w:r>
      <w:r w:rsidR="00BA657A">
        <w:t>–</w:t>
      </w:r>
      <w:r w:rsidRPr="00795F17">
        <w:t>2019 zawartą w pracy GIOŚ z</w:t>
      </w:r>
      <w:r w:rsidR="00C7386F" w:rsidRPr="00795F17">
        <w:t> </w:t>
      </w:r>
      <w:r w:rsidRPr="00795F17">
        <w:t>września 2020</w:t>
      </w:r>
      <w:r w:rsidR="00C7386F" w:rsidRPr="00795F17">
        <w:t> r.</w:t>
      </w:r>
      <w:r w:rsidR="006D242F" w:rsidRPr="00795F17">
        <w:t xml:space="preserve"> </w:t>
      </w:r>
      <w:r w:rsidRPr="004F64FB">
        <w:t>Syntetyczny raport z klasyfikacji i oceny stanu jednolitych części wód powierzchniowych wykonanej za</w:t>
      </w:r>
      <w:r w:rsidR="00C50B47" w:rsidRPr="004F64FB">
        <w:t> </w:t>
      </w:r>
      <w:r w:rsidRPr="004F64FB">
        <w:t>2019 rok na podstawie danych z lat 2014</w:t>
      </w:r>
      <w:r w:rsidR="00BA657A" w:rsidRPr="004F64FB">
        <w:t>–</w:t>
      </w:r>
      <w:r w:rsidRPr="004F64FB">
        <w:t>2019</w:t>
      </w:r>
      <w:r w:rsidRPr="00795F17">
        <w:t>, prz</w:t>
      </w:r>
      <w:r w:rsidR="00C7386F" w:rsidRPr="00795F17">
        <w:t>e</w:t>
      </w:r>
      <w:r w:rsidRPr="00795F17">
        <w:t>niesioną na</w:t>
      </w:r>
      <w:r w:rsidR="00C7386F" w:rsidRPr="00795F17">
        <w:t> </w:t>
      </w:r>
      <w:r w:rsidRPr="00795F17">
        <w:t xml:space="preserve">zaktualizowany podział typologiczny </w:t>
      </w:r>
      <w:r w:rsidR="00DF005E">
        <w:t>JCWP</w:t>
      </w:r>
      <w:r w:rsidRPr="00795F17">
        <w:t xml:space="preserve"> przejściowych i przybrzeżnych.</w:t>
      </w:r>
    </w:p>
    <w:p w14:paraId="3306E484" w14:textId="1F0B6F2B" w:rsidR="00CE597F" w:rsidRPr="00795F17" w:rsidRDefault="00CE597F" w:rsidP="0044393D">
      <w:pPr>
        <w:rPr>
          <w:color w:val="000000" w:themeColor="text1"/>
        </w:rPr>
      </w:pPr>
      <w:r w:rsidRPr="00795F17">
        <w:t xml:space="preserve">Ocena postępu została wykonana dla </w:t>
      </w:r>
      <w:r w:rsidR="00DF005E">
        <w:t>JCWP</w:t>
      </w:r>
      <w:r w:rsidRPr="00795F17">
        <w:t xml:space="preserve"> </w:t>
      </w:r>
      <w:r w:rsidR="00C50B47" w:rsidRPr="00795F17">
        <w:t xml:space="preserve">TW i CW </w:t>
      </w:r>
      <w:r w:rsidRPr="00795F17">
        <w:t>w zaktualizowanym podziale typologicznym, w</w:t>
      </w:r>
      <w:r w:rsidR="00C50B47" w:rsidRPr="00795F17">
        <w:t> </w:t>
      </w:r>
      <w:r w:rsidRPr="00795F17">
        <w:t xml:space="preserve">którym występują nowe </w:t>
      </w:r>
      <w:r w:rsidR="00DF005E">
        <w:t>JCWP</w:t>
      </w:r>
      <w:r w:rsidRPr="00795F17">
        <w:t xml:space="preserve"> (Polskie wody przybrzeżne Basenu Bornholmskiego CW60001WB3 oraz Wody przybrzeżne Zatoki Pomorskiej CW60001WB4), dla których nie ustalono celu w aPGW.</w:t>
      </w:r>
      <w:r w:rsidRPr="00795F17">
        <w:rPr>
          <w:color w:val="000000" w:themeColor="text1"/>
        </w:rPr>
        <w:t xml:space="preserve"> </w:t>
      </w:r>
    </w:p>
    <w:p w14:paraId="2A7957F9" w14:textId="0B8AA5F0" w:rsidR="00CE597F" w:rsidRPr="00795F17" w:rsidRDefault="00CE597F" w:rsidP="0044393D">
      <w:r w:rsidRPr="00795F17">
        <w:t xml:space="preserve">Na podstawie analizy stanu ekologicznego </w:t>
      </w:r>
      <w:r w:rsidR="00DF005E">
        <w:t>JCWP</w:t>
      </w:r>
      <w:r w:rsidRPr="00795F17">
        <w:t xml:space="preserve"> </w:t>
      </w:r>
      <w:r w:rsidR="00C50B47" w:rsidRPr="00795F17">
        <w:t xml:space="preserve">TW i CW </w:t>
      </w:r>
      <w:r w:rsidRPr="00795F17">
        <w:t xml:space="preserve">(GIOŚ </w:t>
      </w:r>
      <w:r w:rsidR="00781C3A" w:rsidRPr="00795F17">
        <w:t>20</w:t>
      </w:r>
      <w:r w:rsidR="00781C3A">
        <w:t>19</w:t>
      </w:r>
      <w:r w:rsidRPr="00795F17">
        <w:t>) stwierdzono, że stan ekologiczny wszystkich ocenianych wód przejściowych i</w:t>
      </w:r>
      <w:r w:rsidR="00C50B47" w:rsidRPr="00795F17">
        <w:t xml:space="preserve"> </w:t>
      </w:r>
      <w:r w:rsidRPr="00795F17">
        <w:t xml:space="preserve">przybrzeżnych </w:t>
      </w:r>
      <w:r w:rsidR="00C566BE">
        <w:t>na</w:t>
      </w:r>
      <w:r w:rsidR="00C7386F" w:rsidRPr="00795F17">
        <w:t> </w:t>
      </w:r>
      <w:r w:rsidRPr="00795F17">
        <w:t xml:space="preserve">obszarze dorzecza Odry jest poniżej stanu dobrego, co oznacza nieosiągnięcie celu środowiskowego dla 100% ocenianych </w:t>
      </w:r>
      <w:r w:rsidR="00DF005E">
        <w:t>JCWP</w:t>
      </w:r>
      <w:r w:rsidRPr="00795F17">
        <w:t xml:space="preserve"> </w:t>
      </w:r>
      <w:r w:rsidR="00C50B47" w:rsidRPr="00795F17">
        <w:t xml:space="preserve">TW i CW </w:t>
      </w:r>
      <w:r w:rsidRPr="00795F17">
        <w:t xml:space="preserve">zarówno w starym (tabela </w:t>
      </w:r>
      <w:r w:rsidR="00D81B0B" w:rsidRPr="00795F17">
        <w:t>9-1</w:t>
      </w:r>
      <w:r w:rsidR="003278BA" w:rsidRPr="00795F17">
        <w:t>9</w:t>
      </w:r>
      <w:r w:rsidRPr="00795F17">
        <w:t xml:space="preserve">), jak i w nowym układzie typologicznym (tabela </w:t>
      </w:r>
      <w:r w:rsidR="00D81B0B" w:rsidRPr="00795F17">
        <w:t>9-</w:t>
      </w:r>
      <w:r w:rsidR="003278BA" w:rsidRPr="00795F17">
        <w:t>20</w:t>
      </w:r>
      <w:r w:rsidRPr="00795F17">
        <w:t>)</w:t>
      </w:r>
      <w:r w:rsidR="00614FB6" w:rsidRPr="00795F17">
        <w:t>.</w:t>
      </w:r>
    </w:p>
    <w:p w14:paraId="3217EB4D" w14:textId="56580381" w:rsidR="00EF4628" w:rsidRPr="00795F17" w:rsidRDefault="00EF4628" w:rsidP="004D7705">
      <w:pPr>
        <w:pStyle w:val="Tabela"/>
      </w:pPr>
      <w:bookmarkStart w:id="498" w:name="_Toc66341921"/>
      <w:bookmarkStart w:id="499" w:name="_Toc105512843"/>
      <w:r w:rsidRPr="00795F17">
        <w:t xml:space="preserve">Tabela </w:t>
      </w:r>
      <w:fldSimple w:instr=" STYLEREF 1 \s ">
        <w:r w:rsidR="001F774D">
          <w:rPr>
            <w:noProof/>
          </w:rPr>
          <w:t>9</w:t>
        </w:r>
      </w:fldSimple>
      <w:r w:rsidR="00BB3B21" w:rsidRPr="00795F17">
        <w:noBreakHyphen/>
      </w:r>
      <w:fldSimple w:instr=" SEQ Tabela \* ARABIC \s 1 ">
        <w:r w:rsidR="001F774D">
          <w:rPr>
            <w:noProof/>
          </w:rPr>
          <w:t>19</w:t>
        </w:r>
      </w:fldSimple>
      <w:r w:rsidR="00E76356">
        <w:rPr>
          <w:noProof/>
        </w:rPr>
        <w:t>.</w:t>
      </w:r>
      <w:r w:rsidRPr="00795F17">
        <w:tab/>
      </w:r>
      <w:bookmarkEnd w:id="498"/>
      <w:r w:rsidR="00B23A17" w:rsidRPr="00795F17">
        <w:t>Ocena postępu w osiąganiu celów środowiskowych dla stanu/potencjału ekologicznego na obszarze dorzecza Odry w układzie planistycznym aPGW (cykl planistyczny 2016</w:t>
      </w:r>
      <w:r w:rsidR="00BA657A">
        <w:t>–</w:t>
      </w:r>
      <w:r w:rsidR="00B23A17" w:rsidRPr="00795F17">
        <w:t>2021)</w:t>
      </w:r>
      <w:r w:rsidR="008071A9">
        <w:t xml:space="preserve"> –  </w:t>
      </w:r>
      <w:r w:rsidR="00DF005E">
        <w:t>JCWP</w:t>
      </w:r>
      <w:r w:rsidR="008071A9" w:rsidRPr="008368C5">
        <w:t xml:space="preserve"> </w:t>
      </w:r>
      <w:r w:rsidR="008071A9">
        <w:t>TW i CW</w:t>
      </w:r>
      <w:bookmarkEnd w:id="4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4"/>
        <w:gridCol w:w="1986"/>
        <w:gridCol w:w="1552"/>
      </w:tblGrid>
      <w:tr w:rsidR="00CE597F" w:rsidRPr="00795F17" w14:paraId="0761A4BE" w14:textId="77777777" w:rsidTr="00D3543E">
        <w:trPr>
          <w:cantSplit/>
          <w:trHeight w:val="454"/>
          <w:tblHeader/>
        </w:trPr>
        <w:tc>
          <w:tcPr>
            <w:tcW w:w="5524" w:type="dxa"/>
            <w:shd w:val="clear" w:color="auto" w:fill="BFBFBF" w:themeFill="background1" w:themeFillShade="BF"/>
            <w:vAlign w:val="center"/>
          </w:tcPr>
          <w:p w14:paraId="04B35192" w14:textId="3B56696B" w:rsidR="00CE597F" w:rsidRPr="00795F17" w:rsidRDefault="00B23A17" w:rsidP="0044393D">
            <w:pPr>
              <w:pStyle w:val="Teksttabelinaglowek"/>
            </w:pPr>
            <w:r w:rsidRPr="00795F17">
              <w:t>Stopień osiągnięcia celu</w:t>
            </w:r>
          </w:p>
        </w:tc>
        <w:tc>
          <w:tcPr>
            <w:tcW w:w="1986" w:type="dxa"/>
            <w:shd w:val="clear" w:color="auto" w:fill="BFBFBF" w:themeFill="background1" w:themeFillShade="BF"/>
            <w:vAlign w:val="center"/>
          </w:tcPr>
          <w:p w14:paraId="6E4D112C" w14:textId="388BBBFC" w:rsidR="00CE597F" w:rsidRPr="00795F17" w:rsidRDefault="00CE597F" w:rsidP="0044393D">
            <w:pPr>
              <w:pStyle w:val="Teksttabelinaglowek"/>
            </w:pPr>
            <w:r w:rsidRPr="00795F17">
              <w:t xml:space="preserve">Liczba </w:t>
            </w:r>
            <w:r w:rsidR="00DF005E">
              <w:t>JCWP</w:t>
            </w:r>
            <w:r w:rsidR="00EB777F" w:rsidRPr="00795F17">
              <w:t xml:space="preserve"> </w:t>
            </w:r>
            <w:r w:rsidRPr="00795F17">
              <w:t>TW i CW</w:t>
            </w:r>
          </w:p>
        </w:tc>
        <w:tc>
          <w:tcPr>
            <w:tcW w:w="1552" w:type="dxa"/>
            <w:shd w:val="clear" w:color="auto" w:fill="BFBFBF" w:themeFill="background1" w:themeFillShade="BF"/>
            <w:vAlign w:val="center"/>
          </w:tcPr>
          <w:p w14:paraId="1D98BB99" w14:textId="14521AFA" w:rsidR="00CE597F" w:rsidRPr="00795F17" w:rsidRDefault="00B23A17" w:rsidP="0044393D">
            <w:pPr>
              <w:pStyle w:val="Teksttabelinaglowek"/>
            </w:pPr>
            <w:r w:rsidRPr="00795F17">
              <w:t xml:space="preserve">Udział </w:t>
            </w:r>
            <w:r w:rsidR="00DF005E">
              <w:t>JCWP</w:t>
            </w:r>
            <w:r w:rsidRPr="00795F17">
              <w:t xml:space="preserve"> </w:t>
            </w:r>
            <w:r w:rsidR="00EA4FF5" w:rsidRPr="00795F17">
              <w:t>(%)</w:t>
            </w:r>
          </w:p>
        </w:tc>
      </w:tr>
      <w:tr w:rsidR="00B23A17" w:rsidRPr="00795F17" w14:paraId="7EB925C9" w14:textId="77777777" w:rsidTr="00C50B47">
        <w:trPr>
          <w:trHeight w:val="454"/>
        </w:trPr>
        <w:tc>
          <w:tcPr>
            <w:tcW w:w="5524" w:type="dxa"/>
            <w:shd w:val="clear" w:color="auto" w:fill="auto"/>
            <w:vAlign w:val="center"/>
          </w:tcPr>
          <w:p w14:paraId="47F9BD6D" w14:textId="09EE5C12" w:rsidR="00B23A17" w:rsidRPr="00795F17" w:rsidRDefault="00B23A17" w:rsidP="00597D57">
            <w:pPr>
              <w:pStyle w:val="Teksttabelilewy"/>
            </w:pPr>
            <w:r w:rsidRPr="00795F17">
              <w:rPr>
                <w:lang w:val="en-US"/>
              </w:rPr>
              <w:t xml:space="preserve">Cel nieosiągnięty </w:t>
            </w:r>
            <w:r w:rsidR="00BA657A">
              <w:rPr>
                <w:lang w:val="en-US"/>
              </w:rPr>
              <w:t>–</w:t>
            </w:r>
            <w:r w:rsidRPr="00795F17">
              <w:rPr>
                <w:lang w:val="en-US"/>
              </w:rPr>
              <w:t xml:space="preserve"> brak postępu</w:t>
            </w:r>
          </w:p>
        </w:tc>
        <w:tc>
          <w:tcPr>
            <w:tcW w:w="1986" w:type="dxa"/>
            <w:vAlign w:val="center"/>
          </w:tcPr>
          <w:p w14:paraId="52E4E579" w14:textId="33E36446" w:rsidR="00B23A17" w:rsidRPr="00795F17" w:rsidRDefault="00B23A17" w:rsidP="0065243A">
            <w:pPr>
              <w:pStyle w:val="Teksttabelisrodek"/>
            </w:pPr>
            <w:r w:rsidRPr="00795F17">
              <w:rPr>
                <w:lang w:val="en-US"/>
              </w:rPr>
              <w:t>7</w:t>
            </w:r>
          </w:p>
        </w:tc>
        <w:tc>
          <w:tcPr>
            <w:tcW w:w="1552" w:type="dxa"/>
            <w:vAlign w:val="center"/>
          </w:tcPr>
          <w:p w14:paraId="32443BDC" w14:textId="358A9B29" w:rsidR="00B23A17" w:rsidRPr="00795F17" w:rsidRDefault="00B23A17" w:rsidP="0065243A">
            <w:pPr>
              <w:pStyle w:val="Teksttabelisrodek"/>
            </w:pPr>
            <w:r w:rsidRPr="00795F17">
              <w:rPr>
                <w:lang w:val="en-US"/>
              </w:rPr>
              <w:t>87,5</w:t>
            </w:r>
          </w:p>
        </w:tc>
      </w:tr>
      <w:tr w:rsidR="00B23A17" w:rsidRPr="00795F17" w14:paraId="6ADE99D6" w14:textId="77777777" w:rsidTr="00C50B47">
        <w:trPr>
          <w:trHeight w:val="454"/>
        </w:trPr>
        <w:tc>
          <w:tcPr>
            <w:tcW w:w="5524" w:type="dxa"/>
            <w:vAlign w:val="center"/>
          </w:tcPr>
          <w:p w14:paraId="1FEB7912" w14:textId="184ED9A9" w:rsidR="00B23A17" w:rsidRPr="00795F17" w:rsidRDefault="00B23A17" w:rsidP="0044393D">
            <w:pPr>
              <w:pStyle w:val="Teksttabelilewy"/>
            </w:pPr>
            <w:r w:rsidRPr="00795F17">
              <w:t xml:space="preserve">Cel nieosiągnięty </w:t>
            </w:r>
            <w:r w:rsidR="00BA657A">
              <w:t>–</w:t>
            </w:r>
            <w:r w:rsidRPr="00795F17">
              <w:t xml:space="preserve"> ale poprawa stanu/potencjału </w:t>
            </w:r>
          </w:p>
        </w:tc>
        <w:tc>
          <w:tcPr>
            <w:tcW w:w="1986" w:type="dxa"/>
            <w:vAlign w:val="center"/>
          </w:tcPr>
          <w:p w14:paraId="2790747E" w14:textId="1272EFAA" w:rsidR="00B23A17" w:rsidRPr="00795F17" w:rsidRDefault="00B23A17" w:rsidP="0065243A">
            <w:pPr>
              <w:pStyle w:val="Teksttabelisrodek"/>
            </w:pPr>
            <w:r w:rsidRPr="00795F17">
              <w:t>1</w:t>
            </w:r>
          </w:p>
        </w:tc>
        <w:tc>
          <w:tcPr>
            <w:tcW w:w="1552" w:type="dxa"/>
            <w:vAlign w:val="center"/>
          </w:tcPr>
          <w:p w14:paraId="6BD1CE27" w14:textId="4EB42C5C" w:rsidR="00B23A17" w:rsidRPr="00795F17" w:rsidRDefault="00B23A17" w:rsidP="0065243A">
            <w:pPr>
              <w:pStyle w:val="Teksttabelisrodek"/>
            </w:pPr>
            <w:r w:rsidRPr="00795F17">
              <w:rPr>
                <w:lang w:val="en-US"/>
              </w:rPr>
              <w:t>12,5</w:t>
            </w:r>
          </w:p>
        </w:tc>
      </w:tr>
      <w:tr w:rsidR="00B23A17" w:rsidRPr="00795F17" w14:paraId="5677DED5" w14:textId="77777777" w:rsidTr="00C50B47">
        <w:trPr>
          <w:trHeight w:val="454"/>
        </w:trPr>
        <w:tc>
          <w:tcPr>
            <w:tcW w:w="5524" w:type="dxa"/>
            <w:shd w:val="clear" w:color="auto" w:fill="BFBFBF" w:themeFill="background1" w:themeFillShade="BF"/>
            <w:vAlign w:val="center"/>
          </w:tcPr>
          <w:p w14:paraId="17618347" w14:textId="65024F1E" w:rsidR="00B23A17" w:rsidRPr="00795F17" w:rsidRDefault="0065243A" w:rsidP="0065243A">
            <w:pPr>
              <w:pStyle w:val="Teksttabelinaglowek"/>
            </w:pPr>
            <w:r w:rsidRPr="00795F17">
              <w:t>L</w:t>
            </w:r>
            <w:r w:rsidR="00B23A17" w:rsidRPr="00795F17">
              <w:t xml:space="preserve">iczba </w:t>
            </w:r>
            <w:r w:rsidR="00DF005E">
              <w:t>JCWP</w:t>
            </w:r>
            <w:r w:rsidR="00B23A17" w:rsidRPr="00795F17">
              <w:t xml:space="preserve"> TW i CW </w:t>
            </w:r>
            <w:r w:rsidR="0080114D">
              <w:t>na</w:t>
            </w:r>
            <w:r w:rsidR="0080114D" w:rsidRPr="00795F17">
              <w:t xml:space="preserve"> </w:t>
            </w:r>
            <w:r w:rsidR="00B23A17" w:rsidRPr="00795F17">
              <w:t>obszarze dorzecza</w:t>
            </w:r>
          </w:p>
        </w:tc>
        <w:tc>
          <w:tcPr>
            <w:tcW w:w="1986" w:type="dxa"/>
            <w:shd w:val="clear" w:color="auto" w:fill="BFBFBF" w:themeFill="background1" w:themeFillShade="BF"/>
            <w:vAlign w:val="center"/>
          </w:tcPr>
          <w:p w14:paraId="12F5F338" w14:textId="12D5CABD" w:rsidR="00B23A17" w:rsidRPr="00795F17" w:rsidRDefault="00B23A17" w:rsidP="0065243A">
            <w:pPr>
              <w:pStyle w:val="Teksttabelinaglowek"/>
              <w:rPr>
                <w:lang w:val="en-US"/>
              </w:rPr>
            </w:pPr>
            <w:r w:rsidRPr="00795F17">
              <w:rPr>
                <w:lang w:val="en-US"/>
              </w:rPr>
              <w:t>8</w:t>
            </w:r>
          </w:p>
        </w:tc>
        <w:tc>
          <w:tcPr>
            <w:tcW w:w="1552" w:type="dxa"/>
            <w:shd w:val="clear" w:color="auto" w:fill="BFBFBF" w:themeFill="background1" w:themeFillShade="BF"/>
            <w:vAlign w:val="center"/>
          </w:tcPr>
          <w:p w14:paraId="00805635" w14:textId="2ECF6909" w:rsidR="00B23A17" w:rsidRPr="00795F17" w:rsidRDefault="00B23A17" w:rsidP="0065243A">
            <w:pPr>
              <w:pStyle w:val="Teksttabelinaglowek"/>
              <w:rPr>
                <w:lang w:val="en-US"/>
              </w:rPr>
            </w:pPr>
            <w:r w:rsidRPr="00795F17">
              <w:rPr>
                <w:lang w:val="en-US"/>
              </w:rPr>
              <w:t>100</w:t>
            </w:r>
          </w:p>
        </w:tc>
      </w:tr>
    </w:tbl>
    <w:p w14:paraId="73E31C0C" w14:textId="3FBD1AFD" w:rsidR="00CE597F" w:rsidRPr="00795F17" w:rsidRDefault="00CE597F" w:rsidP="003278BA">
      <w:pPr>
        <w:pStyle w:val="rdo"/>
      </w:pPr>
      <w:r w:rsidRPr="00795F17">
        <w:t xml:space="preserve">Źródło: </w:t>
      </w:r>
      <w:r w:rsidR="00724997" w:rsidRPr="00795F17">
        <w:t>opracowanie własne</w:t>
      </w:r>
      <w:r w:rsidRPr="00795F17">
        <w:t xml:space="preserve"> na podstawie danych GIOŚ i aPGW</w:t>
      </w:r>
    </w:p>
    <w:p w14:paraId="3B24C826" w14:textId="7A6F2363" w:rsidR="003278BA" w:rsidRPr="00795F17" w:rsidRDefault="003278BA" w:rsidP="003278BA">
      <w:pPr>
        <w:pStyle w:val="Nagwek5"/>
      </w:pPr>
      <w:r w:rsidRPr="00795F17">
        <w:t xml:space="preserve">Ocena postępu w osiąganiu celów środowiskowych dla stanu/potencjału ekologicznego </w:t>
      </w:r>
      <w:r w:rsidR="00DF005E">
        <w:t>JCWP</w:t>
      </w:r>
      <w:r w:rsidRPr="00795F17">
        <w:t xml:space="preserve"> TW i CW (aktualny układ planistyczny IIaPGW)</w:t>
      </w:r>
    </w:p>
    <w:p w14:paraId="0D1F2D47" w14:textId="5DEB8060" w:rsidR="003278BA" w:rsidRPr="00795F17" w:rsidRDefault="003278BA" w:rsidP="003278BA">
      <w:r w:rsidRPr="00795F17">
        <w:t xml:space="preserve">W wodach przejściowych i przybrzeżnych nie stwierdzono osiągnięcia celów środowiskowych. W stosunku do dwóch </w:t>
      </w:r>
      <w:r w:rsidR="00DF005E">
        <w:t>JCWP</w:t>
      </w:r>
      <w:r w:rsidRPr="00795F17">
        <w:t xml:space="preserve"> (50%) stwierdzono brak możliwości oceny postępu. </w:t>
      </w:r>
    </w:p>
    <w:p w14:paraId="0F33E936" w14:textId="4CEE41DD" w:rsidR="003278BA" w:rsidRPr="00795F17" w:rsidRDefault="003278BA" w:rsidP="003278BA">
      <w:r w:rsidRPr="00795F17">
        <w:t>Wyżej opisane wyniki oceny postępu zaprezentowano w tabeli poniżej (tabela 9-20).</w:t>
      </w:r>
    </w:p>
    <w:p w14:paraId="3B21BAEC" w14:textId="098B5F8E" w:rsidR="00902141" w:rsidRPr="00795F17" w:rsidRDefault="00902141" w:rsidP="004D7705">
      <w:pPr>
        <w:pStyle w:val="Tabela"/>
      </w:pPr>
      <w:bookmarkStart w:id="500" w:name="_Toc66341922"/>
      <w:bookmarkStart w:id="501" w:name="_Toc105512844"/>
      <w:r w:rsidRPr="00795F17">
        <w:t xml:space="preserve">Tabela </w:t>
      </w:r>
      <w:fldSimple w:instr=" STYLEREF 1 \s ">
        <w:r w:rsidR="001F774D">
          <w:rPr>
            <w:noProof/>
          </w:rPr>
          <w:t>9</w:t>
        </w:r>
      </w:fldSimple>
      <w:r w:rsidR="00BB3B21" w:rsidRPr="00795F17">
        <w:noBreakHyphen/>
      </w:r>
      <w:fldSimple w:instr=" SEQ Tabela \* ARABIC \s 1 ">
        <w:r w:rsidR="001F774D">
          <w:rPr>
            <w:noProof/>
          </w:rPr>
          <w:t>20</w:t>
        </w:r>
      </w:fldSimple>
      <w:r w:rsidR="00E76356">
        <w:rPr>
          <w:noProof/>
        </w:rPr>
        <w:t>.</w:t>
      </w:r>
      <w:r w:rsidRPr="00795F17">
        <w:tab/>
      </w:r>
      <w:bookmarkEnd w:id="500"/>
      <w:r w:rsidR="00EB777F" w:rsidRPr="00795F17">
        <w:t>Ocena postępu w osiąganiu celów środowiskowych dla stanu/potencjału ekologicznego na obszarze dorzecza Odry w układzie planistycznym IIaPGW (cykl planistyczny 2022</w:t>
      </w:r>
      <w:r w:rsidR="00BA657A">
        <w:t>–</w:t>
      </w:r>
      <w:r w:rsidR="00EB777F" w:rsidRPr="00795F17">
        <w:t>2027)</w:t>
      </w:r>
      <w:r w:rsidR="008071A9">
        <w:t xml:space="preserve"> –  </w:t>
      </w:r>
      <w:r w:rsidR="00DF005E">
        <w:t>JCWP</w:t>
      </w:r>
      <w:r w:rsidR="008071A9" w:rsidRPr="008368C5">
        <w:t xml:space="preserve"> </w:t>
      </w:r>
      <w:r w:rsidR="008071A9">
        <w:t>TW i CW</w:t>
      </w:r>
      <w:bookmarkEnd w:id="501"/>
    </w:p>
    <w:tbl>
      <w:tblPr>
        <w:tblW w:w="5000" w:type="pct"/>
        <w:jc w:val="center"/>
        <w:tblCellMar>
          <w:left w:w="10" w:type="dxa"/>
          <w:right w:w="10" w:type="dxa"/>
        </w:tblCellMar>
        <w:tblLook w:val="0000" w:firstRow="0" w:lastRow="0" w:firstColumn="0" w:lastColumn="0" w:noHBand="0" w:noVBand="0"/>
      </w:tblPr>
      <w:tblGrid>
        <w:gridCol w:w="5524"/>
        <w:gridCol w:w="1984"/>
        <w:gridCol w:w="1554"/>
      </w:tblGrid>
      <w:tr w:rsidR="00CE597F" w:rsidRPr="00795F17" w14:paraId="1BD0B8B9" w14:textId="77777777" w:rsidTr="00C50B47">
        <w:trPr>
          <w:cantSplit/>
          <w:trHeight w:val="454"/>
          <w:tblHeader/>
          <w:jc w:val="center"/>
        </w:trPr>
        <w:tc>
          <w:tcPr>
            <w:tcW w:w="55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2FD891D9" w14:textId="48219DC8" w:rsidR="00CE597F" w:rsidRPr="00795F17" w:rsidRDefault="00EB777F" w:rsidP="0044393D">
            <w:pPr>
              <w:pStyle w:val="Teksttabelinaglowek"/>
            </w:pPr>
            <w:r w:rsidRPr="00795F17">
              <w:t>Stopień osiągnięcia celu</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2260114B" w14:textId="6C7A4EEA" w:rsidR="00CE597F" w:rsidRPr="00795F17" w:rsidRDefault="00CE597F" w:rsidP="0044393D">
            <w:pPr>
              <w:pStyle w:val="Teksttabelinaglowek"/>
            </w:pPr>
            <w:r w:rsidRPr="00795F17">
              <w:t xml:space="preserve">Liczba </w:t>
            </w:r>
            <w:r w:rsidR="00DF005E">
              <w:t>JCWP</w:t>
            </w:r>
            <w:r w:rsidRPr="00795F17">
              <w:t xml:space="preserve"> TW i CW</w:t>
            </w:r>
          </w:p>
        </w:tc>
        <w:tc>
          <w:tcPr>
            <w:tcW w:w="15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5A842D75" w14:textId="4527918A" w:rsidR="00CE597F" w:rsidRPr="00795F17" w:rsidRDefault="00CE597F" w:rsidP="0044393D">
            <w:pPr>
              <w:pStyle w:val="Teksttabelinaglowek"/>
            </w:pPr>
            <w:r w:rsidRPr="00795F17">
              <w:t xml:space="preserve">Udział </w:t>
            </w:r>
            <w:r w:rsidR="00DF005E">
              <w:t>JCWP</w:t>
            </w:r>
            <w:r w:rsidRPr="00795F17">
              <w:t xml:space="preserve"> </w:t>
            </w:r>
            <w:r w:rsidR="00EA4FF5" w:rsidRPr="00795F17">
              <w:t>(%)</w:t>
            </w:r>
          </w:p>
        </w:tc>
      </w:tr>
      <w:tr w:rsidR="00CE597F" w:rsidRPr="00795F17" w14:paraId="7F476BD7" w14:textId="77777777" w:rsidTr="00C50B47">
        <w:trPr>
          <w:trHeight w:val="454"/>
          <w:jc w:val="center"/>
        </w:trPr>
        <w:tc>
          <w:tcPr>
            <w:tcW w:w="55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2F02DFC0" w14:textId="4EA771F1" w:rsidR="00CE597F" w:rsidRPr="00795F17" w:rsidRDefault="00CE597F" w:rsidP="0044393D">
            <w:pPr>
              <w:pStyle w:val="Teksttabelilewy"/>
            </w:pPr>
            <w:r w:rsidRPr="00795F17">
              <w:t xml:space="preserve">Cel nieosiągnięty </w:t>
            </w:r>
            <w:r w:rsidR="00BA657A">
              <w:t>–</w:t>
            </w:r>
            <w:r w:rsidRPr="00795F17">
              <w:t xml:space="preserve"> brak postępu</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1C4E8E70" w14:textId="1095321F" w:rsidR="00CE597F" w:rsidRPr="00795F17" w:rsidRDefault="005E3B67" w:rsidP="0065243A">
            <w:pPr>
              <w:pStyle w:val="Teksttabelisrodek"/>
            </w:pPr>
            <w:r w:rsidRPr="00795F17">
              <w:t>2</w:t>
            </w:r>
          </w:p>
        </w:tc>
        <w:tc>
          <w:tcPr>
            <w:tcW w:w="15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0CBB0F52" w14:textId="4EFDCB58" w:rsidR="00CE597F" w:rsidRPr="00795F17" w:rsidRDefault="00CE597F" w:rsidP="0065243A">
            <w:pPr>
              <w:pStyle w:val="Teksttabelisrodek"/>
            </w:pPr>
            <w:r w:rsidRPr="00795F17">
              <w:t>50</w:t>
            </w:r>
          </w:p>
        </w:tc>
      </w:tr>
      <w:tr w:rsidR="00CE597F" w:rsidRPr="00795F17" w14:paraId="3989F934" w14:textId="77777777" w:rsidTr="00C50B47">
        <w:trPr>
          <w:trHeight w:val="454"/>
          <w:jc w:val="center"/>
        </w:trPr>
        <w:tc>
          <w:tcPr>
            <w:tcW w:w="55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72011A01" w14:textId="08CB02BF" w:rsidR="00CE597F" w:rsidRPr="00795F17" w:rsidRDefault="00CE597F" w:rsidP="0044393D">
            <w:pPr>
              <w:pStyle w:val="Teksttabelilewy"/>
            </w:pPr>
            <w:r w:rsidRPr="00795F17">
              <w:t xml:space="preserve">Cel nieosiągnięty </w:t>
            </w:r>
            <w:r w:rsidR="00BA657A">
              <w:t>–</w:t>
            </w:r>
            <w:r w:rsidRPr="00795F17">
              <w:t xml:space="preserve"> pogorszenie</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2F4F7ECB" w14:textId="77777777" w:rsidR="00CE597F" w:rsidRPr="00795F17" w:rsidRDefault="00CE597F" w:rsidP="0065243A">
            <w:pPr>
              <w:pStyle w:val="Teksttabelisrodek"/>
            </w:pPr>
            <w:r w:rsidRPr="00795F17">
              <w:t>0</w:t>
            </w:r>
          </w:p>
        </w:tc>
        <w:tc>
          <w:tcPr>
            <w:tcW w:w="15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17BFF0EA" w14:textId="36922BE8" w:rsidR="00CE597F" w:rsidRPr="00795F17" w:rsidRDefault="00CE597F" w:rsidP="0065243A">
            <w:pPr>
              <w:pStyle w:val="Teksttabelisrodek"/>
            </w:pPr>
            <w:r w:rsidRPr="00795F17">
              <w:t>0</w:t>
            </w:r>
          </w:p>
        </w:tc>
      </w:tr>
      <w:tr w:rsidR="00CE597F" w:rsidRPr="00795F17" w14:paraId="2A67CC2E" w14:textId="77777777" w:rsidTr="00C50B47">
        <w:trPr>
          <w:trHeight w:val="454"/>
          <w:jc w:val="center"/>
        </w:trPr>
        <w:tc>
          <w:tcPr>
            <w:tcW w:w="55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7D2A2291" w14:textId="6F3504D8" w:rsidR="00CE597F" w:rsidRPr="00795F17" w:rsidRDefault="00CE597F" w:rsidP="0044393D">
            <w:pPr>
              <w:pStyle w:val="Teksttabelilewy"/>
            </w:pPr>
            <w:r w:rsidRPr="00795F17">
              <w:t xml:space="preserve">Cel osiągnięty </w:t>
            </w:r>
            <w:r w:rsidR="00BA657A">
              <w:t>–</w:t>
            </w:r>
            <w:r w:rsidRPr="00795F17">
              <w:t xml:space="preserve"> utrzymanie dobrego stanu</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547D1D58" w14:textId="77777777" w:rsidR="00CE597F" w:rsidRPr="00795F17" w:rsidRDefault="00CE597F" w:rsidP="0065243A">
            <w:pPr>
              <w:pStyle w:val="Teksttabelisrodek"/>
            </w:pPr>
            <w:r w:rsidRPr="00795F17">
              <w:t>0</w:t>
            </w:r>
          </w:p>
        </w:tc>
        <w:tc>
          <w:tcPr>
            <w:tcW w:w="15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5EDB9ECB" w14:textId="3B89912F" w:rsidR="00CE597F" w:rsidRPr="00795F17" w:rsidRDefault="00CE597F" w:rsidP="0065243A">
            <w:pPr>
              <w:pStyle w:val="Teksttabelisrodek"/>
            </w:pPr>
            <w:r w:rsidRPr="00795F17">
              <w:t>0</w:t>
            </w:r>
          </w:p>
        </w:tc>
      </w:tr>
      <w:tr w:rsidR="00CE597F" w:rsidRPr="00795F17" w14:paraId="060EB3C0" w14:textId="77777777" w:rsidTr="00C50B47">
        <w:trPr>
          <w:trHeight w:val="454"/>
          <w:jc w:val="center"/>
        </w:trPr>
        <w:tc>
          <w:tcPr>
            <w:tcW w:w="55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6B10D2E8" w14:textId="6007B9CB" w:rsidR="00CE597F" w:rsidRPr="00795F17" w:rsidRDefault="00CE597F" w:rsidP="0044393D">
            <w:pPr>
              <w:pStyle w:val="Teksttabelilewy"/>
            </w:pPr>
            <w:r w:rsidRPr="00795F17">
              <w:t xml:space="preserve">Cel osiągnięty </w:t>
            </w:r>
            <w:r w:rsidR="00BA657A">
              <w:t>–</w:t>
            </w:r>
            <w:r w:rsidRPr="00795F17">
              <w:t xml:space="preserve"> poprawa stanu</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7F77F215" w14:textId="77777777" w:rsidR="00CE597F" w:rsidRPr="00795F17" w:rsidRDefault="00CE597F" w:rsidP="0065243A">
            <w:pPr>
              <w:pStyle w:val="Teksttabelisrodek"/>
            </w:pPr>
            <w:r w:rsidRPr="00795F17">
              <w:t>0</w:t>
            </w:r>
          </w:p>
        </w:tc>
        <w:tc>
          <w:tcPr>
            <w:tcW w:w="15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378F0DBC" w14:textId="40F334D7" w:rsidR="00CE597F" w:rsidRPr="00795F17" w:rsidRDefault="00CE597F" w:rsidP="0065243A">
            <w:pPr>
              <w:pStyle w:val="Teksttabelisrodek"/>
            </w:pPr>
            <w:r w:rsidRPr="00795F17">
              <w:t>0</w:t>
            </w:r>
          </w:p>
        </w:tc>
      </w:tr>
      <w:tr w:rsidR="00CE597F" w:rsidRPr="00795F17" w14:paraId="4FA86F0E" w14:textId="77777777" w:rsidTr="00C50B47">
        <w:trPr>
          <w:trHeight w:val="454"/>
          <w:jc w:val="center"/>
        </w:trPr>
        <w:tc>
          <w:tcPr>
            <w:tcW w:w="55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7D12870A" w14:textId="77777777" w:rsidR="00CE597F" w:rsidRPr="00795F17" w:rsidRDefault="00CE597F" w:rsidP="0044393D">
            <w:pPr>
              <w:pStyle w:val="Teksttabelilewy"/>
            </w:pPr>
            <w:r w:rsidRPr="00795F17">
              <w:t>Brak możliwości oceny postępu</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4AD396F9" w14:textId="77777777" w:rsidR="00CE597F" w:rsidRPr="00795F17" w:rsidRDefault="00CE597F" w:rsidP="0065243A">
            <w:pPr>
              <w:pStyle w:val="Teksttabelisrodek"/>
            </w:pPr>
            <w:r w:rsidRPr="00795F17">
              <w:t>2</w:t>
            </w:r>
          </w:p>
        </w:tc>
        <w:tc>
          <w:tcPr>
            <w:tcW w:w="15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3253B08A" w14:textId="0B84206D" w:rsidR="00CE597F" w:rsidRPr="00795F17" w:rsidRDefault="00CE597F" w:rsidP="0065243A">
            <w:pPr>
              <w:pStyle w:val="Teksttabelisrodek"/>
            </w:pPr>
            <w:r w:rsidRPr="00795F17">
              <w:t>50</w:t>
            </w:r>
          </w:p>
        </w:tc>
      </w:tr>
      <w:tr w:rsidR="00EB777F" w:rsidRPr="00795F17" w14:paraId="4DD473F1" w14:textId="77777777" w:rsidTr="00C50B47">
        <w:trPr>
          <w:trHeight w:val="454"/>
          <w:jc w:val="center"/>
        </w:trPr>
        <w:tc>
          <w:tcPr>
            <w:tcW w:w="55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680FDA8D" w14:textId="1EC7C5D1" w:rsidR="00EB777F" w:rsidRPr="00795F17" w:rsidRDefault="00EB777F" w:rsidP="0065243A">
            <w:pPr>
              <w:pStyle w:val="Teksttabelinaglowek"/>
            </w:pPr>
            <w:r w:rsidRPr="00795F17">
              <w:t xml:space="preserve">Liczba </w:t>
            </w:r>
            <w:r w:rsidR="00DF005E">
              <w:t>JCWP</w:t>
            </w:r>
            <w:r w:rsidRPr="00795F17">
              <w:t xml:space="preserve"> TW i CW </w:t>
            </w:r>
            <w:r w:rsidR="00C566BE">
              <w:t>na</w:t>
            </w:r>
            <w:r w:rsidRPr="00795F17">
              <w:t xml:space="preserve"> obszarze dorzecza</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43403441" w14:textId="1230E85F" w:rsidR="00EB777F" w:rsidRPr="00795F17" w:rsidRDefault="00EB777F" w:rsidP="0065243A">
            <w:pPr>
              <w:pStyle w:val="Teksttabelinaglowek"/>
            </w:pPr>
            <w:r w:rsidRPr="00795F17">
              <w:t>4</w:t>
            </w:r>
          </w:p>
        </w:tc>
        <w:tc>
          <w:tcPr>
            <w:tcW w:w="15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11218412" w14:textId="794F2EFE" w:rsidR="00EB777F" w:rsidRPr="00795F17" w:rsidRDefault="00EB777F" w:rsidP="0065243A">
            <w:pPr>
              <w:pStyle w:val="Teksttabelinaglowek"/>
            </w:pPr>
            <w:r w:rsidRPr="00795F17">
              <w:t>100</w:t>
            </w:r>
          </w:p>
        </w:tc>
      </w:tr>
    </w:tbl>
    <w:p w14:paraId="0BB94C86" w14:textId="54C13F90" w:rsidR="00CE597F" w:rsidRPr="00795F17" w:rsidRDefault="00CE597F" w:rsidP="0044393D">
      <w:pPr>
        <w:pStyle w:val="rdo"/>
      </w:pPr>
      <w:r w:rsidRPr="00795F17">
        <w:t xml:space="preserve">Źródło: </w:t>
      </w:r>
      <w:r w:rsidR="00724997" w:rsidRPr="00795F17">
        <w:t>opracowanie własne</w:t>
      </w:r>
      <w:r w:rsidRPr="00795F17">
        <w:t xml:space="preserve"> na podstawie danych GIOŚ</w:t>
      </w:r>
    </w:p>
    <w:p w14:paraId="5EB95B63" w14:textId="26E60ACA" w:rsidR="000C697B" w:rsidRPr="00795F17" w:rsidRDefault="00CE597F" w:rsidP="0044393D">
      <w:r w:rsidRPr="00795F17">
        <w:t xml:space="preserve">Wśród przyczyn nieosiągnięcia celu środowiskowego jakim jest co najmniej dobry stan/potencjał ekologiczny, można uznać za niewystarczające dotychczasowe działania w zakresie ograniczania odpływu azotu i fosforu ze zlewni rzecznych (działania w obrębie jednolitych części wód rzecznych) oraz z systemów oczyszczania wód (realizacja PWŚK). Dodatkowy udział w zasilaniu wód morskich biogenami ma uwalnianie ich z osadów oraz depozycja atmosferyczna związana z transportem morskim, czyli odpowiednio czynnikami naturalnymi oraz czynnikami antropogenicznymi występującymi głównie poza obszarem </w:t>
      </w:r>
      <w:r w:rsidR="00DF005E">
        <w:t>JCWP</w:t>
      </w:r>
      <w:r w:rsidRPr="00795F17">
        <w:t xml:space="preserve"> przejściowych i przybrzeżnych. Do czynników niezależnych od Polski należy także transport transgraniczny zanieczyszczeń.</w:t>
      </w:r>
    </w:p>
    <w:p w14:paraId="6AF2E7CC" w14:textId="3151B351" w:rsidR="00EB777F" w:rsidRPr="00795F17" w:rsidRDefault="00EB777F" w:rsidP="0044393D">
      <w:pPr>
        <w:rPr>
          <w:i/>
        </w:rPr>
      </w:pPr>
      <w:r w:rsidRPr="00795F17">
        <w:t xml:space="preserve">Wyniki analizy przyczyn nieosiągnięcia celów środowiskowych przez </w:t>
      </w:r>
      <w:r w:rsidR="00DF005E">
        <w:t>JCWP</w:t>
      </w:r>
      <w:r w:rsidRPr="00795F17">
        <w:t xml:space="preserve"> </w:t>
      </w:r>
      <w:r w:rsidR="00C50B47" w:rsidRPr="00795F17">
        <w:t xml:space="preserve">TW i CW </w:t>
      </w:r>
      <w:r w:rsidRPr="00795F17">
        <w:t>przedstawiono w poniższej tabeli (tabela 9-</w:t>
      </w:r>
      <w:r w:rsidR="003278BA" w:rsidRPr="00795F17">
        <w:t>21</w:t>
      </w:r>
      <w:r w:rsidRPr="00795F17">
        <w:t>).</w:t>
      </w:r>
    </w:p>
    <w:p w14:paraId="32ECAD17" w14:textId="42DD8F72" w:rsidR="00B00D68" w:rsidRPr="00795F17" w:rsidRDefault="00B00D68" w:rsidP="004D7705">
      <w:pPr>
        <w:pStyle w:val="Tabela"/>
      </w:pPr>
      <w:bookmarkStart w:id="502" w:name="_Toc66341923"/>
      <w:bookmarkStart w:id="503" w:name="_Toc105512845"/>
      <w:r w:rsidRPr="00795F17">
        <w:t xml:space="preserve">Tabela </w:t>
      </w:r>
      <w:fldSimple w:instr=" STYLEREF 1 \s ">
        <w:r w:rsidR="001F774D">
          <w:rPr>
            <w:noProof/>
          </w:rPr>
          <w:t>9</w:t>
        </w:r>
      </w:fldSimple>
      <w:r w:rsidR="00BB3B21" w:rsidRPr="00795F17">
        <w:noBreakHyphen/>
      </w:r>
      <w:fldSimple w:instr=" SEQ Tabela \* ARABIC \s 1 ">
        <w:r w:rsidR="001F774D">
          <w:rPr>
            <w:noProof/>
          </w:rPr>
          <w:t>21</w:t>
        </w:r>
      </w:fldSimple>
      <w:r w:rsidR="00E76356">
        <w:rPr>
          <w:noProof/>
        </w:rPr>
        <w:t>.</w:t>
      </w:r>
      <w:r w:rsidRPr="00795F17">
        <w:tab/>
      </w:r>
      <w:bookmarkEnd w:id="502"/>
      <w:r w:rsidR="00EB777F" w:rsidRPr="00795F17">
        <w:t xml:space="preserve">Analiza przyczyn wpływających na brak postępu w osiąganiu celów środowiskowych dla stanu/potencjału ekologicznego </w:t>
      </w:r>
      <w:r w:rsidR="009C2EB3">
        <w:t>na</w:t>
      </w:r>
      <w:r w:rsidR="00EB777F" w:rsidRPr="00795F17">
        <w:t xml:space="preserve"> obszarze dorzecza Odry (bazując na nowym </w:t>
      </w:r>
      <w:r w:rsidR="00EB777F" w:rsidRPr="00795F17">
        <w:rPr>
          <w:rFonts w:asciiTheme="minorHAnsi" w:hAnsiTheme="minorHAnsi"/>
        </w:rPr>
        <w:t xml:space="preserve">układzie planistycznym </w:t>
      </w:r>
      <w:r w:rsidR="00EB777F" w:rsidRPr="00795F17">
        <w:rPr>
          <w:rFonts w:asciiTheme="minorHAnsi" w:hAnsiTheme="minorHAnsi" w:cstheme="minorHAnsi"/>
        </w:rPr>
        <w:t>IIaPGW)</w:t>
      </w:r>
      <w:r w:rsidR="00EB777F" w:rsidRPr="00795F17">
        <w:t xml:space="preserve"> </w:t>
      </w:r>
      <w:r w:rsidR="00BA657A">
        <w:t>–</w:t>
      </w:r>
      <w:r w:rsidR="00EB777F" w:rsidRPr="00795F17">
        <w:t xml:space="preserve"> </w:t>
      </w:r>
      <w:r w:rsidR="00DF005E">
        <w:t>JCWP</w:t>
      </w:r>
      <w:r w:rsidR="000A77C5" w:rsidRPr="00795F17">
        <w:t xml:space="preserve"> TW i CW</w:t>
      </w:r>
      <w:bookmarkEnd w:id="503"/>
    </w:p>
    <w:tbl>
      <w:tblPr>
        <w:tblStyle w:val="Tabela-Siatka"/>
        <w:tblW w:w="5000" w:type="pct"/>
        <w:tblLayout w:type="fixed"/>
        <w:tblLook w:val="04A0" w:firstRow="1" w:lastRow="0" w:firstColumn="1" w:lastColumn="0" w:noHBand="0" w:noVBand="1"/>
      </w:tblPr>
      <w:tblGrid>
        <w:gridCol w:w="4815"/>
        <w:gridCol w:w="2268"/>
        <w:gridCol w:w="1979"/>
      </w:tblGrid>
      <w:tr w:rsidR="00CE597F" w:rsidRPr="00795F17" w14:paraId="7122C8A8" w14:textId="77777777" w:rsidTr="000A77C5">
        <w:trPr>
          <w:cnfStyle w:val="100000000000" w:firstRow="1" w:lastRow="0" w:firstColumn="0" w:lastColumn="0" w:oddVBand="0" w:evenVBand="0" w:oddHBand="0" w:evenHBand="0" w:firstRowFirstColumn="0" w:firstRowLastColumn="0" w:lastRowFirstColumn="0" w:lastRowLastColumn="0"/>
          <w:cantSplit/>
          <w:trHeight w:val="454"/>
        </w:trPr>
        <w:tc>
          <w:tcPr>
            <w:tcW w:w="9062" w:type="dxa"/>
            <w:gridSpan w:val="3"/>
          </w:tcPr>
          <w:p w14:paraId="2FFF5313" w14:textId="3816F1CF" w:rsidR="00CE597F" w:rsidRPr="00795F17" w:rsidRDefault="00CE597F" w:rsidP="00D3543E">
            <w:pPr>
              <w:pStyle w:val="Teksttabelinaglowek"/>
              <w:keepNext/>
              <w:rPr>
                <w:b/>
              </w:rPr>
            </w:pPr>
            <w:r w:rsidRPr="00795F17">
              <w:rPr>
                <w:b/>
              </w:rPr>
              <w:t>A</w:t>
            </w:r>
            <w:r w:rsidR="000A77C5" w:rsidRPr="00795F17">
              <w:rPr>
                <w:b/>
              </w:rPr>
              <w:t>naliza przyczyn braku postępu w osiąganiu celu środowiskowego</w:t>
            </w:r>
            <w:r w:rsidR="00C50B47" w:rsidRPr="00795F17">
              <w:t xml:space="preserve"> </w:t>
            </w:r>
            <w:r w:rsidR="00C50B47" w:rsidRPr="00795F17">
              <w:rPr>
                <w:b/>
              </w:rPr>
              <w:t>dla stanu/potencjału ekologicznego</w:t>
            </w:r>
          </w:p>
        </w:tc>
      </w:tr>
      <w:tr w:rsidR="00CE597F" w:rsidRPr="00795F17" w14:paraId="5F708877" w14:textId="77777777" w:rsidTr="000A77C5">
        <w:trPr>
          <w:cantSplit/>
          <w:trHeight w:val="454"/>
        </w:trPr>
        <w:tc>
          <w:tcPr>
            <w:tcW w:w="4815" w:type="dxa"/>
            <w:shd w:val="clear" w:color="auto" w:fill="BFBFBF" w:themeFill="background1" w:themeFillShade="BF"/>
          </w:tcPr>
          <w:p w14:paraId="5E78BD2E" w14:textId="716A6859" w:rsidR="00CE597F" w:rsidRPr="00795F17" w:rsidRDefault="000A77C5" w:rsidP="00D3543E">
            <w:pPr>
              <w:pStyle w:val="Teksttabelinaglowek"/>
              <w:keepNext/>
            </w:pPr>
            <w:r w:rsidRPr="00795F17">
              <w:t>Przyczyna braku postępu</w:t>
            </w:r>
          </w:p>
        </w:tc>
        <w:tc>
          <w:tcPr>
            <w:tcW w:w="2268" w:type="dxa"/>
            <w:shd w:val="clear" w:color="auto" w:fill="BFBFBF" w:themeFill="background1" w:themeFillShade="BF"/>
          </w:tcPr>
          <w:p w14:paraId="58FE7A22" w14:textId="14959CB1" w:rsidR="00CE597F" w:rsidRPr="00795F17" w:rsidRDefault="00CE597F" w:rsidP="00D3543E">
            <w:pPr>
              <w:pStyle w:val="Teksttabelinaglowek"/>
              <w:keepNext/>
            </w:pPr>
            <w:r w:rsidRPr="00795F17">
              <w:t xml:space="preserve">Liczba </w:t>
            </w:r>
            <w:r w:rsidR="00DF005E">
              <w:t>JCWP</w:t>
            </w:r>
            <w:r w:rsidRPr="00795F17">
              <w:t xml:space="preserve"> TW i CW</w:t>
            </w:r>
          </w:p>
        </w:tc>
        <w:tc>
          <w:tcPr>
            <w:tcW w:w="1979" w:type="dxa"/>
            <w:shd w:val="clear" w:color="auto" w:fill="BFBFBF" w:themeFill="background1" w:themeFillShade="BF"/>
          </w:tcPr>
          <w:p w14:paraId="35A03DD3" w14:textId="4E4A0088" w:rsidR="00CE597F" w:rsidRPr="00795F17" w:rsidRDefault="00CE597F" w:rsidP="00D3543E">
            <w:pPr>
              <w:pStyle w:val="Teksttabelinaglowek"/>
              <w:keepNext/>
            </w:pPr>
            <w:r w:rsidRPr="00795F17">
              <w:t xml:space="preserve">Udział </w:t>
            </w:r>
            <w:r w:rsidR="00DF005E">
              <w:t>JCWP</w:t>
            </w:r>
            <w:r w:rsidRPr="00795F17">
              <w:t xml:space="preserve"> </w:t>
            </w:r>
            <w:r w:rsidR="00EA4FF5" w:rsidRPr="00795F17">
              <w:t>(%)</w:t>
            </w:r>
          </w:p>
        </w:tc>
      </w:tr>
      <w:tr w:rsidR="00CE597F" w:rsidRPr="00795F17" w14:paraId="7FA13752" w14:textId="77777777" w:rsidTr="000A77C5">
        <w:trPr>
          <w:trHeight w:val="454"/>
        </w:trPr>
        <w:tc>
          <w:tcPr>
            <w:tcW w:w="9062" w:type="dxa"/>
            <w:gridSpan w:val="3"/>
            <w:shd w:val="clear" w:color="auto" w:fill="D9D9D9" w:themeFill="background1" w:themeFillShade="D9"/>
          </w:tcPr>
          <w:p w14:paraId="7B301BA3" w14:textId="77777777" w:rsidR="00CE597F" w:rsidRPr="00795F17" w:rsidRDefault="00CE597F" w:rsidP="0065243A">
            <w:pPr>
              <w:pStyle w:val="Teksttabelisrodek"/>
            </w:pPr>
            <w:r w:rsidRPr="00795F17">
              <w:t>Niski stopień realizacji lub skuteczności działań z aPWŚK</w:t>
            </w:r>
          </w:p>
        </w:tc>
      </w:tr>
      <w:tr w:rsidR="00CE597F" w:rsidRPr="00795F17" w14:paraId="2BFF3435" w14:textId="77777777" w:rsidTr="000A77C5">
        <w:trPr>
          <w:trHeight w:val="454"/>
        </w:trPr>
        <w:tc>
          <w:tcPr>
            <w:tcW w:w="4815" w:type="dxa"/>
          </w:tcPr>
          <w:p w14:paraId="66D42F69" w14:textId="77777777" w:rsidR="00CE597F" w:rsidRPr="00795F17" w:rsidRDefault="00CE597F" w:rsidP="0065243A">
            <w:pPr>
              <w:pStyle w:val="Teksttabelilewy"/>
            </w:pPr>
            <w:r w:rsidRPr="00795F17">
              <w:t>Analizowana przyczyna łącznie</w:t>
            </w:r>
          </w:p>
        </w:tc>
        <w:tc>
          <w:tcPr>
            <w:tcW w:w="2268" w:type="dxa"/>
          </w:tcPr>
          <w:p w14:paraId="752BBB43" w14:textId="77777777" w:rsidR="00CE597F" w:rsidRPr="00795F17" w:rsidRDefault="00CE597F" w:rsidP="0065243A">
            <w:pPr>
              <w:pStyle w:val="Teksttabelisrodek"/>
            </w:pPr>
            <w:r w:rsidRPr="00795F17">
              <w:t>2</w:t>
            </w:r>
          </w:p>
        </w:tc>
        <w:tc>
          <w:tcPr>
            <w:tcW w:w="1979" w:type="dxa"/>
          </w:tcPr>
          <w:p w14:paraId="29BBFDAA" w14:textId="77777777" w:rsidR="00CE597F" w:rsidRPr="00795F17" w:rsidRDefault="00CE597F" w:rsidP="0065243A">
            <w:pPr>
              <w:pStyle w:val="Teksttabelisrodek"/>
            </w:pPr>
            <w:r w:rsidRPr="00795F17">
              <w:t>100</w:t>
            </w:r>
          </w:p>
        </w:tc>
      </w:tr>
      <w:tr w:rsidR="00CE597F" w:rsidRPr="00795F17" w14:paraId="0E5AFD28" w14:textId="77777777" w:rsidTr="000A77C5">
        <w:trPr>
          <w:trHeight w:val="454"/>
        </w:trPr>
        <w:tc>
          <w:tcPr>
            <w:tcW w:w="4815" w:type="dxa"/>
          </w:tcPr>
          <w:p w14:paraId="788299BC" w14:textId="29580734" w:rsidR="00CE597F" w:rsidRPr="00795F17" w:rsidRDefault="00CE597F" w:rsidP="0065243A">
            <w:pPr>
              <w:pStyle w:val="Teksttabelilewy"/>
            </w:pPr>
            <w:r w:rsidRPr="00795F17">
              <w:t xml:space="preserve">Cel nieosiągnięty </w:t>
            </w:r>
            <w:r w:rsidR="00BA657A">
              <w:t>–</w:t>
            </w:r>
            <w:r w:rsidRPr="00795F17">
              <w:t xml:space="preserve"> brak postępu</w:t>
            </w:r>
          </w:p>
        </w:tc>
        <w:tc>
          <w:tcPr>
            <w:tcW w:w="2268" w:type="dxa"/>
          </w:tcPr>
          <w:p w14:paraId="4550C240" w14:textId="77777777" w:rsidR="00CE597F" w:rsidRPr="00795F17" w:rsidRDefault="00CE597F" w:rsidP="0065243A">
            <w:pPr>
              <w:pStyle w:val="Teksttabelisrodek"/>
            </w:pPr>
            <w:r w:rsidRPr="00795F17">
              <w:t>2</w:t>
            </w:r>
          </w:p>
        </w:tc>
        <w:tc>
          <w:tcPr>
            <w:tcW w:w="1979" w:type="dxa"/>
          </w:tcPr>
          <w:p w14:paraId="4638DBF4" w14:textId="77777777" w:rsidR="00CE597F" w:rsidRPr="00795F17" w:rsidRDefault="00CE597F" w:rsidP="0065243A">
            <w:pPr>
              <w:pStyle w:val="Teksttabelisrodek"/>
            </w:pPr>
            <w:r w:rsidRPr="00795F17">
              <w:t>100</w:t>
            </w:r>
          </w:p>
        </w:tc>
      </w:tr>
      <w:tr w:rsidR="00CE597F" w:rsidRPr="00795F17" w14:paraId="2CA3B233" w14:textId="77777777" w:rsidTr="000A77C5">
        <w:trPr>
          <w:trHeight w:val="454"/>
        </w:trPr>
        <w:tc>
          <w:tcPr>
            <w:tcW w:w="4815" w:type="dxa"/>
          </w:tcPr>
          <w:p w14:paraId="53AE8F05" w14:textId="311921A5" w:rsidR="00CE597F" w:rsidRPr="00795F17" w:rsidRDefault="00CE597F" w:rsidP="0065243A">
            <w:pPr>
              <w:pStyle w:val="Teksttabelilewy"/>
            </w:pPr>
            <w:r w:rsidRPr="00795F17">
              <w:t xml:space="preserve">Cel nieosiągnięty </w:t>
            </w:r>
            <w:r w:rsidR="00BA657A">
              <w:t>–</w:t>
            </w:r>
            <w:r w:rsidRPr="00795F17">
              <w:t xml:space="preserve"> obniżenie stanu</w:t>
            </w:r>
          </w:p>
        </w:tc>
        <w:tc>
          <w:tcPr>
            <w:tcW w:w="2268" w:type="dxa"/>
          </w:tcPr>
          <w:p w14:paraId="6AB18217" w14:textId="77777777" w:rsidR="00CE597F" w:rsidRPr="00795F17" w:rsidRDefault="00CE597F" w:rsidP="0065243A">
            <w:pPr>
              <w:pStyle w:val="Teksttabelisrodek"/>
            </w:pPr>
            <w:r w:rsidRPr="00795F17">
              <w:t>0</w:t>
            </w:r>
          </w:p>
        </w:tc>
        <w:tc>
          <w:tcPr>
            <w:tcW w:w="1979" w:type="dxa"/>
          </w:tcPr>
          <w:p w14:paraId="36D88CF0" w14:textId="6E27C742" w:rsidR="00CE597F" w:rsidRPr="00795F17" w:rsidRDefault="00F47E98" w:rsidP="0065243A">
            <w:pPr>
              <w:pStyle w:val="Teksttabelisrodek"/>
            </w:pPr>
            <w:r w:rsidRPr="00795F17">
              <w:t>0</w:t>
            </w:r>
          </w:p>
        </w:tc>
      </w:tr>
      <w:tr w:rsidR="00CE597F" w:rsidRPr="00795F17" w14:paraId="2D491CD4" w14:textId="77777777" w:rsidTr="000A77C5">
        <w:trPr>
          <w:trHeight w:val="454"/>
        </w:trPr>
        <w:tc>
          <w:tcPr>
            <w:tcW w:w="9062" w:type="dxa"/>
            <w:gridSpan w:val="3"/>
            <w:shd w:val="clear" w:color="auto" w:fill="D9D9D9" w:themeFill="background1" w:themeFillShade="D9"/>
          </w:tcPr>
          <w:p w14:paraId="1EF80E4B" w14:textId="7F1BB085" w:rsidR="00CE597F" w:rsidRPr="00795F17" w:rsidRDefault="00CE597F" w:rsidP="0065243A">
            <w:pPr>
              <w:pStyle w:val="Teksttabelisrodek"/>
            </w:pPr>
            <w:r w:rsidRPr="00795F17">
              <w:t xml:space="preserve">Uwarunkowania zlewni (dopływ zanieczyszczeń z innej </w:t>
            </w:r>
            <w:r w:rsidR="00DF005E">
              <w:t>JCWP</w:t>
            </w:r>
            <w:r w:rsidRPr="00795F17">
              <w:t>)</w:t>
            </w:r>
          </w:p>
        </w:tc>
      </w:tr>
      <w:tr w:rsidR="00CE597F" w:rsidRPr="00795F17" w14:paraId="299F6897" w14:textId="77777777" w:rsidTr="000A77C5">
        <w:trPr>
          <w:trHeight w:val="454"/>
        </w:trPr>
        <w:tc>
          <w:tcPr>
            <w:tcW w:w="4815" w:type="dxa"/>
          </w:tcPr>
          <w:p w14:paraId="68E3B2BA" w14:textId="77777777" w:rsidR="00CE597F" w:rsidRPr="00795F17" w:rsidRDefault="00CE597F" w:rsidP="0065243A">
            <w:pPr>
              <w:pStyle w:val="Teksttabelilewy"/>
            </w:pPr>
            <w:r w:rsidRPr="00795F17">
              <w:t>Analizowana przyczyna łącznie</w:t>
            </w:r>
          </w:p>
        </w:tc>
        <w:tc>
          <w:tcPr>
            <w:tcW w:w="2268" w:type="dxa"/>
          </w:tcPr>
          <w:p w14:paraId="024C6EE1" w14:textId="77777777" w:rsidR="00CE597F" w:rsidRPr="00795F17" w:rsidRDefault="00CE597F" w:rsidP="0065243A">
            <w:pPr>
              <w:pStyle w:val="Teksttabelisrodek"/>
            </w:pPr>
            <w:r w:rsidRPr="00795F17">
              <w:t>2</w:t>
            </w:r>
          </w:p>
        </w:tc>
        <w:tc>
          <w:tcPr>
            <w:tcW w:w="1979" w:type="dxa"/>
          </w:tcPr>
          <w:p w14:paraId="49465107" w14:textId="77777777" w:rsidR="00CE597F" w:rsidRPr="00795F17" w:rsidRDefault="00CE597F" w:rsidP="0065243A">
            <w:pPr>
              <w:pStyle w:val="Teksttabelisrodek"/>
            </w:pPr>
            <w:r w:rsidRPr="00795F17">
              <w:t>100</w:t>
            </w:r>
          </w:p>
        </w:tc>
      </w:tr>
      <w:tr w:rsidR="00CE597F" w:rsidRPr="00795F17" w14:paraId="4B861361" w14:textId="77777777" w:rsidTr="000A77C5">
        <w:trPr>
          <w:trHeight w:val="454"/>
        </w:trPr>
        <w:tc>
          <w:tcPr>
            <w:tcW w:w="4815" w:type="dxa"/>
          </w:tcPr>
          <w:p w14:paraId="637C3AAD" w14:textId="2C2C82EC" w:rsidR="00CE597F" w:rsidRPr="00795F17" w:rsidRDefault="00CE597F" w:rsidP="0065243A">
            <w:pPr>
              <w:pStyle w:val="Teksttabelilewy"/>
            </w:pPr>
            <w:r w:rsidRPr="00795F17">
              <w:t xml:space="preserve">Cel nieosiągnięty </w:t>
            </w:r>
            <w:r w:rsidR="00BA657A">
              <w:t>–</w:t>
            </w:r>
            <w:r w:rsidRPr="00795F17">
              <w:t xml:space="preserve"> brak postępu</w:t>
            </w:r>
          </w:p>
        </w:tc>
        <w:tc>
          <w:tcPr>
            <w:tcW w:w="2268" w:type="dxa"/>
          </w:tcPr>
          <w:p w14:paraId="2FE3E62D" w14:textId="77777777" w:rsidR="00CE597F" w:rsidRPr="00795F17" w:rsidRDefault="00CE597F" w:rsidP="0065243A">
            <w:pPr>
              <w:pStyle w:val="Teksttabelisrodek"/>
            </w:pPr>
            <w:r w:rsidRPr="00795F17">
              <w:t>2</w:t>
            </w:r>
          </w:p>
        </w:tc>
        <w:tc>
          <w:tcPr>
            <w:tcW w:w="1979" w:type="dxa"/>
          </w:tcPr>
          <w:p w14:paraId="55021254" w14:textId="77777777" w:rsidR="00CE597F" w:rsidRPr="00795F17" w:rsidRDefault="00CE597F" w:rsidP="0065243A">
            <w:pPr>
              <w:pStyle w:val="Teksttabelisrodek"/>
            </w:pPr>
            <w:r w:rsidRPr="00795F17">
              <w:t>100</w:t>
            </w:r>
          </w:p>
        </w:tc>
      </w:tr>
      <w:tr w:rsidR="00CE597F" w:rsidRPr="00795F17" w14:paraId="572C2D2E" w14:textId="77777777" w:rsidTr="000A77C5">
        <w:trPr>
          <w:trHeight w:val="454"/>
        </w:trPr>
        <w:tc>
          <w:tcPr>
            <w:tcW w:w="4815" w:type="dxa"/>
          </w:tcPr>
          <w:p w14:paraId="71A25B88" w14:textId="42A75241" w:rsidR="00CE597F" w:rsidRPr="00795F17" w:rsidRDefault="00CE597F" w:rsidP="0065243A">
            <w:pPr>
              <w:pStyle w:val="Teksttabelilewy"/>
            </w:pPr>
            <w:r w:rsidRPr="00795F17">
              <w:t xml:space="preserve">Cel nieosiągnięty </w:t>
            </w:r>
            <w:r w:rsidR="00BA657A">
              <w:t>–</w:t>
            </w:r>
            <w:r w:rsidRPr="00795F17">
              <w:t xml:space="preserve"> obniżenie stanu</w:t>
            </w:r>
          </w:p>
        </w:tc>
        <w:tc>
          <w:tcPr>
            <w:tcW w:w="2268" w:type="dxa"/>
          </w:tcPr>
          <w:p w14:paraId="7C9E74CD" w14:textId="77777777" w:rsidR="00CE597F" w:rsidRPr="00795F17" w:rsidRDefault="00CE597F" w:rsidP="0065243A">
            <w:pPr>
              <w:pStyle w:val="Teksttabelisrodek"/>
            </w:pPr>
            <w:r w:rsidRPr="00795F17">
              <w:t>0</w:t>
            </w:r>
          </w:p>
        </w:tc>
        <w:tc>
          <w:tcPr>
            <w:tcW w:w="1979" w:type="dxa"/>
          </w:tcPr>
          <w:p w14:paraId="65F3DB2D" w14:textId="2BE16F5B" w:rsidR="00CE597F" w:rsidRPr="00795F17" w:rsidRDefault="00F47E98" w:rsidP="0065243A">
            <w:pPr>
              <w:pStyle w:val="Teksttabelisrodek"/>
            </w:pPr>
            <w:r w:rsidRPr="00795F17">
              <w:t>0</w:t>
            </w:r>
          </w:p>
        </w:tc>
      </w:tr>
      <w:tr w:rsidR="00CE597F" w:rsidRPr="00795F17" w14:paraId="033ED8D2" w14:textId="77777777" w:rsidTr="000A77C5">
        <w:trPr>
          <w:trHeight w:val="454"/>
        </w:trPr>
        <w:tc>
          <w:tcPr>
            <w:tcW w:w="9062" w:type="dxa"/>
            <w:gridSpan w:val="3"/>
            <w:shd w:val="clear" w:color="auto" w:fill="D9D9D9" w:themeFill="background1" w:themeFillShade="D9"/>
          </w:tcPr>
          <w:p w14:paraId="54CE23C3" w14:textId="77777777" w:rsidR="00CE597F" w:rsidRPr="00795F17" w:rsidRDefault="00CE597F" w:rsidP="0065243A">
            <w:pPr>
              <w:pStyle w:val="Teksttabelisrodek"/>
            </w:pPr>
            <w:r w:rsidRPr="00795F17">
              <w:t>Inne (czynniki naturalne, transport transgraniczny, depozycja atmosferyczna)</w:t>
            </w:r>
          </w:p>
        </w:tc>
      </w:tr>
      <w:tr w:rsidR="00CE597F" w:rsidRPr="00795F17" w14:paraId="24D86097" w14:textId="77777777" w:rsidTr="000A77C5">
        <w:trPr>
          <w:trHeight w:val="454"/>
        </w:trPr>
        <w:tc>
          <w:tcPr>
            <w:tcW w:w="4815" w:type="dxa"/>
          </w:tcPr>
          <w:p w14:paraId="1D108FC3" w14:textId="77777777" w:rsidR="00CE597F" w:rsidRPr="00795F17" w:rsidRDefault="00CE597F" w:rsidP="0065243A">
            <w:pPr>
              <w:pStyle w:val="Teksttabelilewy"/>
            </w:pPr>
            <w:r w:rsidRPr="00795F17">
              <w:t>Analizowana przyczyna łącznie</w:t>
            </w:r>
          </w:p>
        </w:tc>
        <w:tc>
          <w:tcPr>
            <w:tcW w:w="2268" w:type="dxa"/>
          </w:tcPr>
          <w:p w14:paraId="1F67EA69" w14:textId="59EC6AD9" w:rsidR="00CE597F" w:rsidRPr="00795F17" w:rsidRDefault="005E3B67" w:rsidP="0065243A">
            <w:pPr>
              <w:pStyle w:val="Teksttabelisrodek"/>
            </w:pPr>
            <w:r w:rsidRPr="00795F17">
              <w:t>1</w:t>
            </w:r>
          </w:p>
        </w:tc>
        <w:tc>
          <w:tcPr>
            <w:tcW w:w="1979" w:type="dxa"/>
          </w:tcPr>
          <w:p w14:paraId="70987BF5" w14:textId="2DF2876A" w:rsidR="00CE597F" w:rsidRPr="00795F17" w:rsidRDefault="005E3B67" w:rsidP="0065243A">
            <w:pPr>
              <w:pStyle w:val="Teksttabelisrodek"/>
            </w:pPr>
            <w:r w:rsidRPr="00795F17">
              <w:t>5</w:t>
            </w:r>
            <w:r w:rsidR="00CE597F" w:rsidRPr="00795F17">
              <w:t>0</w:t>
            </w:r>
          </w:p>
        </w:tc>
      </w:tr>
      <w:tr w:rsidR="00CE597F" w:rsidRPr="00795F17" w14:paraId="2E1FFA4C" w14:textId="77777777" w:rsidTr="000A77C5">
        <w:trPr>
          <w:trHeight w:val="454"/>
        </w:trPr>
        <w:tc>
          <w:tcPr>
            <w:tcW w:w="4815" w:type="dxa"/>
          </w:tcPr>
          <w:p w14:paraId="1BFE3AA1" w14:textId="280B5C22" w:rsidR="00CE597F" w:rsidRPr="00795F17" w:rsidRDefault="00CE597F" w:rsidP="0065243A">
            <w:pPr>
              <w:pStyle w:val="Teksttabelilewy"/>
            </w:pPr>
            <w:r w:rsidRPr="00795F17">
              <w:t xml:space="preserve">Cel nieosiągnięty </w:t>
            </w:r>
            <w:r w:rsidR="00BA657A">
              <w:t>–</w:t>
            </w:r>
            <w:r w:rsidRPr="00795F17">
              <w:t xml:space="preserve"> brak postępu</w:t>
            </w:r>
          </w:p>
        </w:tc>
        <w:tc>
          <w:tcPr>
            <w:tcW w:w="2268" w:type="dxa"/>
          </w:tcPr>
          <w:p w14:paraId="031BE7B1" w14:textId="77777777" w:rsidR="00CE597F" w:rsidRPr="00795F17" w:rsidRDefault="00CE597F" w:rsidP="0065243A">
            <w:pPr>
              <w:pStyle w:val="Teksttabelisrodek"/>
            </w:pPr>
            <w:r w:rsidRPr="00795F17">
              <w:t>1</w:t>
            </w:r>
          </w:p>
        </w:tc>
        <w:tc>
          <w:tcPr>
            <w:tcW w:w="1979" w:type="dxa"/>
          </w:tcPr>
          <w:p w14:paraId="6094236D" w14:textId="77777777" w:rsidR="00CE597F" w:rsidRPr="00795F17" w:rsidRDefault="00CE597F" w:rsidP="0065243A">
            <w:pPr>
              <w:pStyle w:val="Teksttabelisrodek"/>
            </w:pPr>
            <w:r w:rsidRPr="00795F17">
              <w:t>50</w:t>
            </w:r>
          </w:p>
        </w:tc>
      </w:tr>
      <w:tr w:rsidR="00CE597F" w:rsidRPr="00795F17" w14:paraId="75199F2A" w14:textId="77777777" w:rsidTr="000A77C5">
        <w:trPr>
          <w:trHeight w:val="454"/>
        </w:trPr>
        <w:tc>
          <w:tcPr>
            <w:tcW w:w="4815" w:type="dxa"/>
          </w:tcPr>
          <w:p w14:paraId="1BD1FD18" w14:textId="56DA59FE" w:rsidR="00CE597F" w:rsidRPr="00795F17" w:rsidRDefault="00CE597F" w:rsidP="0065243A">
            <w:pPr>
              <w:pStyle w:val="Teksttabelilewy"/>
            </w:pPr>
            <w:r w:rsidRPr="00795F17">
              <w:t xml:space="preserve">Cel nieosiągnięty </w:t>
            </w:r>
            <w:r w:rsidR="00BA657A">
              <w:t>–</w:t>
            </w:r>
            <w:r w:rsidRPr="00795F17">
              <w:t xml:space="preserve"> obniżenie stanu</w:t>
            </w:r>
          </w:p>
        </w:tc>
        <w:tc>
          <w:tcPr>
            <w:tcW w:w="2268" w:type="dxa"/>
          </w:tcPr>
          <w:p w14:paraId="61E74022" w14:textId="77777777" w:rsidR="00CE597F" w:rsidRPr="00795F17" w:rsidRDefault="00CE597F" w:rsidP="0065243A">
            <w:pPr>
              <w:pStyle w:val="Teksttabelisrodek"/>
            </w:pPr>
            <w:r w:rsidRPr="00795F17">
              <w:t>0</w:t>
            </w:r>
          </w:p>
        </w:tc>
        <w:tc>
          <w:tcPr>
            <w:tcW w:w="1979" w:type="dxa"/>
          </w:tcPr>
          <w:p w14:paraId="7F943DF3" w14:textId="117AD229" w:rsidR="00CE597F" w:rsidRPr="00795F17" w:rsidRDefault="00F47E98" w:rsidP="0065243A">
            <w:pPr>
              <w:pStyle w:val="Teksttabelisrodek"/>
            </w:pPr>
            <w:r w:rsidRPr="00795F17">
              <w:t>0</w:t>
            </w:r>
          </w:p>
        </w:tc>
      </w:tr>
    </w:tbl>
    <w:p w14:paraId="72FC1341" w14:textId="14B0677C" w:rsidR="00CE597F" w:rsidRPr="00795F17" w:rsidRDefault="00CE597F" w:rsidP="0044393D">
      <w:pPr>
        <w:pStyle w:val="rdo"/>
        <w:rPr>
          <w:color w:val="000099"/>
        </w:rPr>
      </w:pPr>
      <w:r w:rsidRPr="00795F17">
        <w:t xml:space="preserve">Źródło: </w:t>
      </w:r>
      <w:r w:rsidR="00724997" w:rsidRPr="00795F17">
        <w:t>opracowanie własne</w:t>
      </w:r>
      <w:r w:rsidRPr="00795F17">
        <w:t xml:space="preserve"> na podstawie danych GIOŚ</w:t>
      </w:r>
    </w:p>
    <w:p w14:paraId="5E105E78" w14:textId="67D61D87" w:rsidR="00CE597F" w:rsidRPr="00795F17" w:rsidRDefault="00CE597F" w:rsidP="00C53C86">
      <w:pPr>
        <w:pStyle w:val="Nagwek3"/>
      </w:pPr>
      <w:bookmarkStart w:id="504" w:name="_Toc105512673"/>
      <w:r w:rsidRPr="00795F17">
        <w:t xml:space="preserve">Ocena postępu w osiąganiu celów środowiskowych dla stanu chemicznego </w:t>
      </w:r>
      <w:r w:rsidR="00DF005E">
        <w:t>JCWP</w:t>
      </w:r>
      <w:r w:rsidRPr="00795F17">
        <w:t xml:space="preserve"> TW</w:t>
      </w:r>
      <w:r w:rsidR="00C50B47" w:rsidRPr="00795F17">
        <w:t> </w:t>
      </w:r>
      <w:r w:rsidRPr="00795F17">
        <w:t>i</w:t>
      </w:r>
      <w:r w:rsidR="009C2EB3">
        <w:t> </w:t>
      </w:r>
      <w:r w:rsidRPr="00795F17">
        <w:t>CW w okresie od 2016</w:t>
      </w:r>
      <w:r w:rsidR="005A6124" w:rsidRPr="00795F17">
        <w:t xml:space="preserve"> r. do </w:t>
      </w:r>
      <w:r w:rsidRPr="00795F17">
        <w:t>2021 r. wraz z wyjaśnieniem przyczyn nieosiągnięcia celów środowiskowych</w:t>
      </w:r>
      <w:bookmarkEnd w:id="504"/>
      <w:r w:rsidRPr="00795F17">
        <w:t xml:space="preserve"> </w:t>
      </w:r>
    </w:p>
    <w:p w14:paraId="2A35721B" w14:textId="1D269379" w:rsidR="00294BEF" w:rsidRPr="00795F17" w:rsidRDefault="00294BEF" w:rsidP="00294BEF">
      <w:pPr>
        <w:pStyle w:val="Nagwek5"/>
      </w:pPr>
      <w:r w:rsidRPr="00795F17">
        <w:t xml:space="preserve">Ocena postępu w osiąganiu celów środowiskowych dla stanu chemicznego </w:t>
      </w:r>
      <w:r w:rsidR="00DF005E">
        <w:t>JCWP</w:t>
      </w:r>
      <w:r w:rsidRPr="00795F17">
        <w:t xml:space="preserve"> TW i CW (układ planistyczny aPGW)</w:t>
      </w:r>
    </w:p>
    <w:p w14:paraId="290D3DDB" w14:textId="0007E100" w:rsidR="00294BEF" w:rsidRPr="00795F17" w:rsidRDefault="00294BEF" w:rsidP="00294BEF">
      <w:r w:rsidRPr="00795F17">
        <w:t xml:space="preserve">W stosunku do 7 </w:t>
      </w:r>
      <w:r w:rsidR="00DF005E">
        <w:t>JCWP</w:t>
      </w:r>
      <w:r w:rsidRPr="00795F17">
        <w:t xml:space="preserve"> TW i CW (87,5% wszystkich </w:t>
      </w:r>
      <w:r w:rsidR="00DF005E">
        <w:t>JCWP</w:t>
      </w:r>
      <w:r w:rsidRPr="00795F17">
        <w:t xml:space="preserve"> </w:t>
      </w:r>
      <w:r w:rsidR="00C50B47" w:rsidRPr="00795F17">
        <w:t xml:space="preserve">TW i CW </w:t>
      </w:r>
      <w:r w:rsidRPr="00795F17">
        <w:t>na obszarze dorzecza Odry) nie</w:t>
      </w:r>
      <w:r w:rsidR="00F80758" w:rsidRPr="00795F17">
        <w:t> </w:t>
      </w:r>
      <w:r w:rsidRPr="00795F17">
        <w:t xml:space="preserve">stwierdzono osiągnięcia celów środowiskowych, co związane było z utrzymaniem się stanu chemicznego poniżej dobrego. Dla jednego </w:t>
      </w:r>
      <w:r w:rsidR="00DF005E">
        <w:t>JCWP</w:t>
      </w:r>
      <w:r w:rsidRPr="00795F17">
        <w:t xml:space="preserve"> CW (12,5%) nie było możliwości oceny postępu w</w:t>
      </w:r>
      <w:r w:rsidR="00C50B47" w:rsidRPr="00795F17">
        <w:t> </w:t>
      </w:r>
      <w:r w:rsidRPr="00795F17">
        <w:t xml:space="preserve">osiąganiu celów środowiskowych ze względu na brak </w:t>
      </w:r>
      <w:r w:rsidR="00C12087">
        <w:t>klasyfikacji stanu chemicznego</w:t>
      </w:r>
      <w:r w:rsidRPr="00795F17">
        <w:t xml:space="preserve"> w aPGW.</w:t>
      </w:r>
    </w:p>
    <w:p w14:paraId="419F7BF2" w14:textId="47CA4E65" w:rsidR="003278BA" w:rsidRPr="00795F17" w:rsidRDefault="003278BA" w:rsidP="00294BEF">
      <w:r w:rsidRPr="00795F17">
        <w:t>Wyżej opisane wyniki oceny postępu zaprezentowano w tabeli poniżej (tabela 9-22).</w:t>
      </w:r>
    </w:p>
    <w:p w14:paraId="0FD7EEA9" w14:textId="48D4DF7B" w:rsidR="006C0306" w:rsidRPr="00795F17" w:rsidRDefault="00CE597F" w:rsidP="004D7705">
      <w:pPr>
        <w:pStyle w:val="Tabela"/>
      </w:pPr>
      <w:bookmarkStart w:id="505" w:name="_Toc105512846"/>
      <w:r w:rsidRPr="00795F17">
        <w:t xml:space="preserve">Tabela </w:t>
      </w:r>
      <w:bookmarkStart w:id="506" w:name="_Toc66341924"/>
      <w:r w:rsidR="00BB3B21" w:rsidRPr="00795F17">
        <w:fldChar w:fldCharType="begin"/>
      </w:r>
      <w:r w:rsidR="00BB3B21" w:rsidRPr="00795F17">
        <w:instrText xml:space="preserve"> STYLEREF 1 \s </w:instrText>
      </w:r>
      <w:r w:rsidR="00BB3B21" w:rsidRPr="00795F17">
        <w:fldChar w:fldCharType="separate"/>
      </w:r>
      <w:r w:rsidR="001F774D">
        <w:rPr>
          <w:noProof/>
        </w:rPr>
        <w:t>9</w:t>
      </w:r>
      <w:r w:rsidR="00BB3B21" w:rsidRPr="00795F17">
        <w:fldChar w:fldCharType="end"/>
      </w:r>
      <w:r w:rsidR="00BB3B21" w:rsidRPr="00795F17">
        <w:noBreakHyphen/>
      </w:r>
      <w:fldSimple w:instr=" SEQ Tabela \* ARABIC \s 1 ">
        <w:r w:rsidR="001F774D">
          <w:rPr>
            <w:noProof/>
          </w:rPr>
          <w:t>22</w:t>
        </w:r>
      </w:fldSimple>
      <w:r w:rsidR="00E76356">
        <w:rPr>
          <w:noProof/>
        </w:rPr>
        <w:t>.</w:t>
      </w:r>
      <w:r w:rsidR="006C0306" w:rsidRPr="00795F17">
        <w:tab/>
      </w:r>
      <w:bookmarkEnd w:id="506"/>
      <w:r w:rsidR="00EB777F" w:rsidRPr="00795F17">
        <w:t>Ocena postępu w osiąganiu celów środowiskowych dla stanu chemicznego na obszarze dorzecza Odry w układzie planistycznym aPGW (cykl planistyczny 2016</w:t>
      </w:r>
      <w:r w:rsidR="00BA657A">
        <w:t>–</w:t>
      </w:r>
      <w:r w:rsidR="00EB777F" w:rsidRPr="00795F17">
        <w:t>2021)</w:t>
      </w:r>
      <w:r w:rsidR="008071A9">
        <w:t xml:space="preserve"> – </w:t>
      </w:r>
      <w:r w:rsidR="00DF005E">
        <w:t>JCWP</w:t>
      </w:r>
      <w:r w:rsidR="008071A9" w:rsidRPr="008368C5">
        <w:t xml:space="preserve"> </w:t>
      </w:r>
      <w:r w:rsidR="008071A9">
        <w:t>TW i CW</w:t>
      </w:r>
      <w:bookmarkEnd w:id="5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3"/>
        <w:gridCol w:w="2164"/>
        <w:gridCol w:w="1925"/>
      </w:tblGrid>
      <w:tr w:rsidR="00CE597F" w:rsidRPr="00795F17" w14:paraId="19274CC7" w14:textId="77777777" w:rsidTr="00EB777F">
        <w:trPr>
          <w:trHeight w:val="454"/>
        </w:trPr>
        <w:tc>
          <w:tcPr>
            <w:tcW w:w="4973" w:type="dxa"/>
            <w:shd w:val="clear" w:color="auto" w:fill="BFBFBF" w:themeFill="background1" w:themeFillShade="BF"/>
            <w:vAlign w:val="center"/>
          </w:tcPr>
          <w:p w14:paraId="5905E1D4" w14:textId="69CDCF85" w:rsidR="00CE597F" w:rsidRPr="00795F17" w:rsidRDefault="00EB777F" w:rsidP="00D3543E">
            <w:pPr>
              <w:pStyle w:val="Teksttabelinaglowek"/>
              <w:keepNext/>
            </w:pPr>
            <w:r w:rsidRPr="00795F17">
              <w:t>Stopień osiągnięcia celu</w:t>
            </w:r>
          </w:p>
        </w:tc>
        <w:tc>
          <w:tcPr>
            <w:tcW w:w="2164" w:type="dxa"/>
            <w:shd w:val="clear" w:color="auto" w:fill="BFBFBF" w:themeFill="background1" w:themeFillShade="BF"/>
            <w:vAlign w:val="center"/>
          </w:tcPr>
          <w:p w14:paraId="51B575EE" w14:textId="3A196669" w:rsidR="00CE597F" w:rsidRPr="00795F17" w:rsidRDefault="00CE597F" w:rsidP="00D3543E">
            <w:pPr>
              <w:pStyle w:val="Teksttabelinaglowek"/>
              <w:keepNext/>
            </w:pPr>
            <w:r w:rsidRPr="00795F17">
              <w:t xml:space="preserve">Liczba </w:t>
            </w:r>
            <w:r w:rsidR="00DF005E">
              <w:t>JCWP</w:t>
            </w:r>
            <w:r w:rsidRPr="00795F17">
              <w:t xml:space="preserve"> TW </w:t>
            </w:r>
            <w:r w:rsidR="005E3B67" w:rsidRPr="00795F17">
              <w:rPr>
                <w:rFonts w:cs="Calibri"/>
              </w:rPr>
              <w:t>i</w:t>
            </w:r>
            <w:r w:rsidRPr="00795F17">
              <w:t xml:space="preserve"> CW</w:t>
            </w:r>
          </w:p>
        </w:tc>
        <w:tc>
          <w:tcPr>
            <w:tcW w:w="1925" w:type="dxa"/>
            <w:shd w:val="clear" w:color="auto" w:fill="BFBFBF" w:themeFill="background1" w:themeFillShade="BF"/>
            <w:vAlign w:val="center"/>
          </w:tcPr>
          <w:p w14:paraId="397A053A" w14:textId="289067A3" w:rsidR="00CE597F" w:rsidRPr="00795F17" w:rsidRDefault="00CE597F" w:rsidP="00D3543E">
            <w:pPr>
              <w:pStyle w:val="Teksttabelinaglowek"/>
              <w:keepNext/>
              <w:rPr>
                <w:lang w:val="en-US"/>
              </w:rPr>
            </w:pPr>
            <w:r w:rsidRPr="00795F17">
              <w:rPr>
                <w:lang w:val="en-US"/>
              </w:rPr>
              <w:t xml:space="preserve">Udział </w:t>
            </w:r>
            <w:r w:rsidR="00DF005E">
              <w:rPr>
                <w:lang w:val="en-US"/>
              </w:rPr>
              <w:t>JCWP</w:t>
            </w:r>
            <w:r w:rsidRPr="00795F17">
              <w:rPr>
                <w:lang w:val="en-US"/>
              </w:rPr>
              <w:t xml:space="preserve"> </w:t>
            </w:r>
            <w:r w:rsidR="00EA4FF5" w:rsidRPr="00795F17">
              <w:t>(%)</w:t>
            </w:r>
          </w:p>
        </w:tc>
      </w:tr>
      <w:tr w:rsidR="00EB777F" w:rsidRPr="00795F17" w14:paraId="0E272663" w14:textId="77777777" w:rsidTr="00EB777F">
        <w:trPr>
          <w:trHeight w:val="454"/>
        </w:trPr>
        <w:tc>
          <w:tcPr>
            <w:tcW w:w="4973" w:type="dxa"/>
            <w:shd w:val="clear" w:color="auto" w:fill="auto"/>
            <w:vAlign w:val="center"/>
          </w:tcPr>
          <w:p w14:paraId="13B92571" w14:textId="62FD32BB" w:rsidR="00EB777F" w:rsidRPr="00795F17" w:rsidRDefault="00EB777F" w:rsidP="00D3543E">
            <w:pPr>
              <w:pStyle w:val="Teksttabelilewy"/>
              <w:keepNext/>
            </w:pPr>
            <w:r w:rsidRPr="00795F17">
              <w:t xml:space="preserve">Cel nieosiągnięty </w:t>
            </w:r>
            <w:r w:rsidR="00BA657A">
              <w:t>–</w:t>
            </w:r>
            <w:r w:rsidRPr="00795F17">
              <w:t xml:space="preserve"> brak postępu</w:t>
            </w:r>
          </w:p>
        </w:tc>
        <w:tc>
          <w:tcPr>
            <w:tcW w:w="2164" w:type="dxa"/>
            <w:shd w:val="clear" w:color="auto" w:fill="FFFFFF" w:themeFill="background1"/>
            <w:vAlign w:val="center"/>
          </w:tcPr>
          <w:p w14:paraId="40DE2DE7" w14:textId="51005848" w:rsidR="00EB777F" w:rsidRPr="00795F17" w:rsidRDefault="00EB777F" w:rsidP="00D3543E">
            <w:pPr>
              <w:pStyle w:val="Teksttabelisrodek"/>
              <w:keepNext/>
            </w:pPr>
            <w:r w:rsidRPr="00795F17">
              <w:rPr>
                <w:lang w:val="en-US"/>
              </w:rPr>
              <w:t>7</w:t>
            </w:r>
          </w:p>
        </w:tc>
        <w:tc>
          <w:tcPr>
            <w:tcW w:w="1925" w:type="dxa"/>
            <w:shd w:val="clear" w:color="auto" w:fill="FFFFFF" w:themeFill="background1"/>
            <w:vAlign w:val="center"/>
          </w:tcPr>
          <w:p w14:paraId="2693C632" w14:textId="154797E1" w:rsidR="00EB777F" w:rsidRPr="00795F17" w:rsidRDefault="00EB777F" w:rsidP="00D3543E">
            <w:pPr>
              <w:pStyle w:val="Teksttabelisrodek"/>
              <w:keepNext/>
            </w:pPr>
            <w:r w:rsidRPr="00795F17">
              <w:rPr>
                <w:lang w:val="en-US"/>
              </w:rPr>
              <w:t>87,5</w:t>
            </w:r>
          </w:p>
        </w:tc>
      </w:tr>
      <w:tr w:rsidR="00EB777F" w:rsidRPr="00795F17" w14:paraId="670BD6CC" w14:textId="77777777" w:rsidTr="00EB777F">
        <w:trPr>
          <w:trHeight w:val="454"/>
        </w:trPr>
        <w:tc>
          <w:tcPr>
            <w:tcW w:w="4973" w:type="dxa"/>
            <w:vAlign w:val="center"/>
          </w:tcPr>
          <w:p w14:paraId="0EF85C9D" w14:textId="77777777" w:rsidR="00EB777F" w:rsidRPr="00795F17" w:rsidRDefault="00EB777F" w:rsidP="0044393D">
            <w:pPr>
              <w:pStyle w:val="Teksttabelilewy"/>
            </w:pPr>
            <w:r w:rsidRPr="00795F17">
              <w:t>Brak możliwości oceny postępu </w:t>
            </w:r>
          </w:p>
        </w:tc>
        <w:tc>
          <w:tcPr>
            <w:tcW w:w="2164" w:type="dxa"/>
            <w:shd w:val="clear" w:color="auto" w:fill="FFFFFF" w:themeFill="background1"/>
            <w:vAlign w:val="center"/>
          </w:tcPr>
          <w:p w14:paraId="6905B2CC" w14:textId="77777777" w:rsidR="00EB777F" w:rsidRPr="00795F17" w:rsidRDefault="00EB777F" w:rsidP="0065243A">
            <w:pPr>
              <w:pStyle w:val="Teksttabelisrodek"/>
            </w:pPr>
            <w:r w:rsidRPr="00795F17">
              <w:rPr>
                <w:lang w:val="en-US"/>
              </w:rPr>
              <w:t>1</w:t>
            </w:r>
          </w:p>
        </w:tc>
        <w:tc>
          <w:tcPr>
            <w:tcW w:w="1925" w:type="dxa"/>
            <w:shd w:val="clear" w:color="auto" w:fill="FFFFFF" w:themeFill="background1"/>
            <w:vAlign w:val="center"/>
          </w:tcPr>
          <w:p w14:paraId="1AA92C0E" w14:textId="75CBB83B" w:rsidR="00EB777F" w:rsidRPr="00795F17" w:rsidRDefault="00EB777F" w:rsidP="0065243A">
            <w:pPr>
              <w:pStyle w:val="Teksttabelisrodek"/>
            </w:pPr>
            <w:r w:rsidRPr="00795F17">
              <w:rPr>
                <w:lang w:val="en-US"/>
              </w:rPr>
              <w:t>12,5</w:t>
            </w:r>
          </w:p>
        </w:tc>
      </w:tr>
      <w:tr w:rsidR="00EB777F" w:rsidRPr="00795F17" w14:paraId="3D701555" w14:textId="77777777" w:rsidTr="00EB777F">
        <w:trPr>
          <w:trHeight w:val="454"/>
        </w:trPr>
        <w:tc>
          <w:tcPr>
            <w:tcW w:w="4973" w:type="dxa"/>
            <w:shd w:val="clear" w:color="auto" w:fill="BFBFBF" w:themeFill="background1" w:themeFillShade="BF"/>
            <w:vAlign w:val="center"/>
          </w:tcPr>
          <w:p w14:paraId="6663EB7D" w14:textId="4D36A447" w:rsidR="00EB777F" w:rsidRPr="00795F17" w:rsidRDefault="00EB777F" w:rsidP="0065243A">
            <w:pPr>
              <w:pStyle w:val="Teksttabelinaglowek"/>
            </w:pPr>
            <w:r w:rsidRPr="00795F17">
              <w:t xml:space="preserve">Liczba </w:t>
            </w:r>
            <w:r w:rsidR="00DF005E">
              <w:t>JCWP</w:t>
            </w:r>
            <w:r w:rsidRPr="00795F17">
              <w:t xml:space="preserve"> TW i CW </w:t>
            </w:r>
            <w:r w:rsidR="0054495A">
              <w:t>na</w:t>
            </w:r>
            <w:r w:rsidR="0054495A" w:rsidRPr="00795F17">
              <w:t xml:space="preserve"> </w:t>
            </w:r>
            <w:r w:rsidRPr="00795F17">
              <w:t>obszarze dorzecza</w:t>
            </w:r>
          </w:p>
        </w:tc>
        <w:tc>
          <w:tcPr>
            <w:tcW w:w="2164" w:type="dxa"/>
            <w:shd w:val="clear" w:color="auto" w:fill="BFBFBF" w:themeFill="background1" w:themeFillShade="BF"/>
            <w:vAlign w:val="center"/>
          </w:tcPr>
          <w:p w14:paraId="224E191E" w14:textId="735B0BF6" w:rsidR="00EB777F" w:rsidRPr="00795F17" w:rsidRDefault="00EB777F" w:rsidP="0065243A">
            <w:pPr>
              <w:pStyle w:val="Teksttabelinaglowek"/>
              <w:rPr>
                <w:lang w:val="en-US"/>
              </w:rPr>
            </w:pPr>
            <w:r w:rsidRPr="00795F17">
              <w:rPr>
                <w:lang w:val="en-US"/>
              </w:rPr>
              <w:t>8</w:t>
            </w:r>
          </w:p>
        </w:tc>
        <w:tc>
          <w:tcPr>
            <w:tcW w:w="1925" w:type="dxa"/>
            <w:shd w:val="clear" w:color="auto" w:fill="BFBFBF" w:themeFill="background1" w:themeFillShade="BF"/>
            <w:vAlign w:val="center"/>
          </w:tcPr>
          <w:p w14:paraId="29264D4C" w14:textId="204B57CA" w:rsidR="00EB777F" w:rsidRPr="00795F17" w:rsidRDefault="00EB777F" w:rsidP="0065243A">
            <w:pPr>
              <w:pStyle w:val="Teksttabelinaglowek"/>
              <w:rPr>
                <w:lang w:val="en-US"/>
              </w:rPr>
            </w:pPr>
            <w:r w:rsidRPr="00795F17">
              <w:rPr>
                <w:lang w:val="en-US"/>
              </w:rPr>
              <w:t>100</w:t>
            </w:r>
          </w:p>
        </w:tc>
      </w:tr>
    </w:tbl>
    <w:p w14:paraId="08540A8B" w14:textId="4E7EB04D" w:rsidR="00CE597F" w:rsidRPr="00795F17" w:rsidRDefault="00CE597F" w:rsidP="0044393D">
      <w:pPr>
        <w:pStyle w:val="rdo"/>
      </w:pPr>
      <w:r w:rsidRPr="00795F17">
        <w:t xml:space="preserve">Źródło: </w:t>
      </w:r>
      <w:r w:rsidR="00724997" w:rsidRPr="00795F17">
        <w:t>opracowanie własne</w:t>
      </w:r>
      <w:r w:rsidRPr="00795F17">
        <w:t xml:space="preserve"> na podstawie danych GIOŚ</w:t>
      </w:r>
    </w:p>
    <w:p w14:paraId="64373553" w14:textId="41840D8B" w:rsidR="00F47E98" w:rsidRPr="00795F17" w:rsidRDefault="00F47E98" w:rsidP="00F47E98">
      <w:pPr>
        <w:pStyle w:val="Nagwek5"/>
      </w:pPr>
      <w:bookmarkStart w:id="507" w:name="_Toc66341925"/>
      <w:r w:rsidRPr="00795F17">
        <w:t xml:space="preserve">Ocena postępu w osiąganiu celów środowiskowych dla stanu chemicznego </w:t>
      </w:r>
      <w:r w:rsidR="00DF005E">
        <w:t>JCWP</w:t>
      </w:r>
      <w:r w:rsidRPr="00795F17">
        <w:t xml:space="preserve"> TW i CW (aktualny układ planistyczny IIaPGW)</w:t>
      </w:r>
    </w:p>
    <w:p w14:paraId="2411C0FA" w14:textId="156BB732" w:rsidR="00F47E98" w:rsidRPr="00795F17" w:rsidRDefault="00444639" w:rsidP="00F47E98">
      <w:r w:rsidRPr="00795F17">
        <w:t xml:space="preserve">W wodach przejściowych i przybrzeżnych nie stwierdzono osiągnięcia celów środowiskowych. W stosunku do trzech </w:t>
      </w:r>
      <w:r w:rsidR="00DF005E">
        <w:t>JCWP</w:t>
      </w:r>
      <w:r w:rsidRPr="00795F17">
        <w:t xml:space="preserve"> TW i CW (75%) stwierdzono stan chemiczny poniżej dobrego, co głównie związane było z brakiem poprawy stanu.</w:t>
      </w:r>
    </w:p>
    <w:p w14:paraId="58C560B2" w14:textId="3D25A570" w:rsidR="003278BA" w:rsidRPr="00795F17" w:rsidRDefault="003278BA" w:rsidP="00F47E98">
      <w:r w:rsidRPr="00795F17">
        <w:t>Wyżej opisane wyniki oceny postępu zaprezentowano w tabeli poniżej (tabela 9-23).</w:t>
      </w:r>
    </w:p>
    <w:p w14:paraId="11E05EFC" w14:textId="298E4E12" w:rsidR="006C0306" w:rsidRPr="00795F17" w:rsidRDefault="006C0306" w:rsidP="004D7705">
      <w:pPr>
        <w:pStyle w:val="Tabela"/>
      </w:pPr>
      <w:bookmarkStart w:id="508" w:name="_Toc105512847"/>
      <w:r w:rsidRPr="00795F17">
        <w:t xml:space="preserve">Tabela </w:t>
      </w:r>
      <w:fldSimple w:instr=" STYLEREF 1 \s ">
        <w:r w:rsidR="001F774D">
          <w:rPr>
            <w:noProof/>
          </w:rPr>
          <w:t>9</w:t>
        </w:r>
      </w:fldSimple>
      <w:r w:rsidR="00BB3B21" w:rsidRPr="00795F17">
        <w:noBreakHyphen/>
      </w:r>
      <w:fldSimple w:instr=" SEQ Tabela \* ARABIC \s 1 ">
        <w:r w:rsidR="001F774D">
          <w:rPr>
            <w:noProof/>
          </w:rPr>
          <w:t>23</w:t>
        </w:r>
      </w:fldSimple>
      <w:r w:rsidR="00E76356">
        <w:rPr>
          <w:noProof/>
        </w:rPr>
        <w:t>.</w:t>
      </w:r>
      <w:r w:rsidRPr="00795F17">
        <w:tab/>
      </w:r>
      <w:bookmarkEnd w:id="507"/>
      <w:r w:rsidR="00EB777F" w:rsidRPr="00795F17">
        <w:t>Ocena postępu w osiąganiu celów środowiskowych dla stanu chemicznego na obszarze dorzecza Odry w układzie planistycznym IIaPGW (cykl planistyczny 2022</w:t>
      </w:r>
      <w:r w:rsidR="00BA657A">
        <w:t>–</w:t>
      </w:r>
      <w:r w:rsidR="00EB777F" w:rsidRPr="00795F17">
        <w:t>2027)</w:t>
      </w:r>
      <w:r w:rsidR="008071A9">
        <w:t xml:space="preserve"> – </w:t>
      </w:r>
      <w:r w:rsidR="00DF005E">
        <w:t>JCWP</w:t>
      </w:r>
      <w:r w:rsidR="008071A9" w:rsidRPr="008368C5">
        <w:t xml:space="preserve"> </w:t>
      </w:r>
      <w:r w:rsidR="008071A9">
        <w:t>TW i CW</w:t>
      </w:r>
      <w:bookmarkEnd w:id="50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900"/>
        <w:gridCol w:w="2229"/>
        <w:gridCol w:w="1933"/>
      </w:tblGrid>
      <w:tr w:rsidR="00CE597F" w:rsidRPr="00795F17" w14:paraId="6D782D02" w14:textId="77777777" w:rsidTr="00EB777F">
        <w:trPr>
          <w:trHeight w:val="454"/>
          <w:tblHeader/>
          <w:jc w:val="center"/>
        </w:trPr>
        <w:tc>
          <w:tcPr>
            <w:tcW w:w="4900" w:type="dxa"/>
            <w:shd w:val="clear" w:color="auto" w:fill="BFBFBF" w:themeFill="background1" w:themeFillShade="BF"/>
            <w:noWrap/>
            <w:tcMar>
              <w:top w:w="0" w:type="dxa"/>
              <w:left w:w="108" w:type="dxa"/>
              <w:bottom w:w="0" w:type="dxa"/>
              <w:right w:w="108" w:type="dxa"/>
            </w:tcMar>
            <w:vAlign w:val="center"/>
          </w:tcPr>
          <w:p w14:paraId="7E6E689B" w14:textId="2E090673" w:rsidR="00CE597F" w:rsidRPr="00795F17" w:rsidRDefault="00EB777F" w:rsidP="0065243A">
            <w:pPr>
              <w:pStyle w:val="Teksttabelinaglowek"/>
            </w:pPr>
            <w:r w:rsidRPr="00795F17">
              <w:t>Stopień osiągnięcia celu</w:t>
            </w:r>
          </w:p>
        </w:tc>
        <w:tc>
          <w:tcPr>
            <w:tcW w:w="2229" w:type="dxa"/>
            <w:shd w:val="clear" w:color="auto" w:fill="BFBFBF" w:themeFill="background1" w:themeFillShade="BF"/>
            <w:noWrap/>
            <w:tcMar>
              <w:top w:w="0" w:type="dxa"/>
              <w:left w:w="108" w:type="dxa"/>
              <w:bottom w:w="0" w:type="dxa"/>
              <w:right w:w="108" w:type="dxa"/>
            </w:tcMar>
            <w:vAlign w:val="center"/>
          </w:tcPr>
          <w:p w14:paraId="6CAFF492" w14:textId="5404B8E5" w:rsidR="00CE597F" w:rsidRPr="00795F17" w:rsidRDefault="00CE597F" w:rsidP="0065243A">
            <w:pPr>
              <w:pStyle w:val="Teksttabelinaglowek"/>
            </w:pPr>
            <w:r w:rsidRPr="00795F17">
              <w:t xml:space="preserve">Liczba </w:t>
            </w:r>
            <w:r w:rsidR="00DF005E">
              <w:t>JCWP</w:t>
            </w:r>
            <w:r w:rsidRPr="00795F17">
              <w:t xml:space="preserve"> TW i CW</w:t>
            </w:r>
          </w:p>
        </w:tc>
        <w:tc>
          <w:tcPr>
            <w:tcW w:w="1933" w:type="dxa"/>
            <w:shd w:val="clear" w:color="auto" w:fill="BFBFBF" w:themeFill="background1" w:themeFillShade="BF"/>
            <w:noWrap/>
            <w:tcMar>
              <w:top w:w="0" w:type="dxa"/>
              <w:left w:w="108" w:type="dxa"/>
              <w:bottom w:w="0" w:type="dxa"/>
              <w:right w:w="108" w:type="dxa"/>
            </w:tcMar>
            <w:vAlign w:val="center"/>
          </w:tcPr>
          <w:p w14:paraId="35468564" w14:textId="3960E196" w:rsidR="00CE597F" w:rsidRPr="00795F17" w:rsidRDefault="00CE597F" w:rsidP="0065243A">
            <w:pPr>
              <w:pStyle w:val="Teksttabelinaglowek"/>
            </w:pPr>
            <w:r w:rsidRPr="00795F17">
              <w:t xml:space="preserve">Udział </w:t>
            </w:r>
            <w:r w:rsidR="00DF005E">
              <w:t>JCWP</w:t>
            </w:r>
            <w:r w:rsidRPr="00795F17">
              <w:t xml:space="preserve"> </w:t>
            </w:r>
            <w:r w:rsidR="00EA4FF5" w:rsidRPr="00795F17">
              <w:t>(%)</w:t>
            </w:r>
          </w:p>
        </w:tc>
      </w:tr>
      <w:tr w:rsidR="00CE597F" w:rsidRPr="00795F17" w14:paraId="66E8B2B2" w14:textId="77777777" w:rsidTr="00EB777F">
        <w:trPr>
          <w:trHeight w:val="454"/>
          <w:jc w:val="center"/>
        </w:trPr>
        <w:tc>
          <w:tcPr>
            <w:tcW w:w="4900" w:type="dxa"/>
            <w:shd w:val="clear" w:color="auto" w:fill="auto"/>
            <w:noWrap/>
            <w:tcMar>
              <w:top w:w="0" w:type="dxa"/>
              <w:left w:w="108" w:type="dxa"/>
              <w:bottom w:w="0" w:type="dxa"/>
              <w:right w:w="108" w:type="dxa"/>
            </w:tcMar>
            <w:vAlign w:val="center"/>
          </w:tcPr>
          <w:p w14:paraId="0BBE2E85" w14:textId="7DB54805" w:rsidR="00CE597F" w:rsidRPr="00795F17" w:rsidRDefault="00CE597F" w:rsidP="0065243A">
            <w:pPr>
              <w:pStyle w:val="Teksttabelilewy"/>
            </w:pPr>
            <w:r w:rsidRPr="00795F17">
              <w:t xml:space="preserve">Cel nieosiągnięty </w:t>
            </w:r>
            <w:r w:rsidR="00BA657A">
              <w:t>–</w:t>
            </w:r>
            <w:r w:rsidRPr="00795F17">
              <w:t xml:space="preserve"> brak postępu</w:t>
            </w:r>
          </w:p>
        </w:tc>
        <w:tc>
          <w:tcPr>
            <w:tcW w:w="2229" w:type="dxa"/>
            <w:shd w:val="clear" w:color="auto" w:fill="auto"/>
            <w:noWrap/>
            <w:tcMar>
              <w:top w:w="0" w:type="dxa"/>
              <w:left w:w="108" w:type="dxa"/>
              <w:bottom w:w="0" w:type="dxa"/>
              <w:right w:w="108" w:type="dxa"/>
            </w:tcMar>
            <w:vAlign w:val="center"/>
          </w:tcPr>
          <w:p w14:paraId="1A0B577F" w14:textId="1DD4E1A2" w:rsidR="00CE597F" w:rsidRPr="00795F17" w:rsidRDefault="00444639" w:rsidP="0065243A">
            <w:pPr>
              <w:pStyle w:val="Teksttabelisrodek"/>
            </w:pPr>
            <w:r w:rsidRPr="00795F17">
              <w:t>3</w:t>
            </w:r>
          </w:p>
        </w:tc>
        <w:tc>
          <w:tcPr>
            <w:tcW w:w="1933" w:type="dxa"/>
            <w:shd w:val="clear" w:color="auto" w:fill="auto"/>
            <w:noWrap/>
            <w:tcMar>
              <w:top w:w="0" w:type="dxa"/>
              <w:left w:w="108" w:type="dxa"/>
              <w:bottom w:w="0" w:type="dxa"/>
              <w:right w:w="108" w:type="dxa"/>
            </w:tcMar>
            <w:vAlign w:val="center"/>
          </w:tcPr>
          <w:p w14:paraId="402858F0" w14:textId="1E922B46" w:rsidR="00CE597F" w:rsidRPr="00795F17" w:rsidRDefault="00444639" w:rsidP="0065243A">
            <w:pPr>
              <w:pStyle w:val="Teksttabelisrodek"/>
            </w:pPr>
            <w:r w:rsidRPr="00795F17">
              <w:t>75</w:t>
            </w:r>
          </w:p>
        </w:tc>
      </w:tr>
      <w:tr w:rsidR="00CE597F" w:rsidRPr="00795F17" w14:paraId="62678A73" w14:textId="77777777" w:rsidTr="00EB777F">
        <w:trPr>
          <w:trHeight w:val="454"/>
          <w:jc w:val="center"/>
        </w:trPr>
        <w:tc>
          <w:tcPr>
            <w:tcW w:w="4900" w:type="dxa"/>
            <w:shd w:val="clear" w:color="auto" w:fill="auto"/>
            <w:noWrap/>
            <w:tcMar>
              <w:top w:w="0" w:type="dxa"/>
              <w:left w:w="108" w:type="dxa"/>
              <w:bottom w:w="0" w:type="dxa"/>
              <w:right w:w="108" w:type="dxa"/>
            </w:tcMar>
            <w:vAlign w:val="center"/>
          </w:tcPr>
          <w:p w14:paraId="081C49C2" w14:textId="2E98E120" w:rsidR="00CE597F" w:rsidRPr="00795F17" w:rsidRDefault="00CE597F" w:rsidP="0065243A">
            <w:pPr>
              <w:pStyle w:val="Teksttabelilewy"/>
            </w:pPr>
            <w:r w:rsidRPr="00795F17">
              <w:t xml:space="preserve">Cel nieosiągnięty </w:t>
            </w:r>
            <w:r w:rsidR="00BA657A">
              <w:t>–</w:t>
            </w:r>
            <w:r w:rsidRPr="00795F17">
              <w:t xml:space="preserve"> pogorszenie</w:t>
            </w:r>
          </w:p>
        </w:tc>
        <w:tc>
          <w:tcPr>
            <w:tcW w:w="2229" w:type="dxa"/>
            <w:shd w:val="clear" w:color="auto" w:fill="auto"/>
            <w:noWrap/>
            <w:tcMar>
              <w:top w:w="0" w:type="dxa"/>
              <w:left w:w="108" w:type="dxa"/>
              <w:bottom w:w="0" w:type="dxa"/>
              <w:right w:w="108" w:type="dxa"/>
            </w:tcMar>
            <w:vAlign w:val="center"/>
          </w:tcPr>
          <w:p w14:paraId="40464AF4" w14:textId="77777777" w:rsidR="00CE597F" w:rsidRPr="00795F17" w:rsidRDefault="00CE597F" w:rsidP="0065243A">
            <w:pPr>
              <w:pStyle w:val="Teksttabelisrodek"/>
            </w:pPr>
            <w:r w:rsidRPr="00795F17">
              <w:t>0</w:t>
            </w:r>
          </w:p>
        </w:tc>
        <w:tc>
          <w:tcPr>
            <w:tcW w:w="1933" w:type="dxa"/>
            <w:shd w:val="clear" w:color="auto" w:fill="auto"/>
            <w:noWrap/>
            <w:tcMar>
              <w:top w:w="0" w:type="dxa"/>
              <w:left w:w="108" w:type="dxa"/>
              <w:bottom w:w="0" w:type="dxa"/>
              <w:right w:w="108" w:type="dxa"/>
            </w:tcMar>
            <w:vAlign w:val="center"/>
          </w:tcPr>
          <w:p w14:paraId="63B64450" w14:textId="73467C3E" w:rsidR="00CE597F" w:rsidRPr="00795F17" w:rsidRDefault="00F47E98" w:rsidP="0065243A">
            <w:pPr>
              <w:pStyle w:val="Teksttabelisrodek"/>
            </w:pPr>
            <w:r w:rsidRPr="00795F17">
              <w:t>0</w:t>
            </w:r>
          </w:p>
        </w:tc>
      </w:tr>
      <w:tr w:rsidR="00CE597F" w:rsidRPr="00795F17" w14:paraId="705A9A12" w14:textId="77777777" w:rsidTr="00EB777F">
        <w:trPr>
          <w:trHeight w:val="454"/>
          <w:jc w:val="center"/>
        </w:trPr>
        <w:tc>
          <w:tcPr>
            <w:tcW w:w="4900" w:type="dxa"/>
            <w:shd w:val="clear" w:color="auto" w:fill="auto"/>
            <w:noWrap/>
            <w:tcMar>
              <w:top w:w="0" w:type="dxa"/>
              <w:left w:w="108" w:type="dxa"/>
              <w:bottom w:w="0" w:type="dxa"/>
              <w:right w:w="108" w:type="dxa"/>
            </w:tcMar>
            <w:vAlign w:val="center"/>
          </w:tcPr>
          <w:p w14:paraId="3937525E" w14:textId="3A016576" w:rsidR="00CE597F" w:rsidRPr="00795F17" w:rsidRDefault="00CE597F" w:rsidP="0065243A">
            <w:pPr>
              <w:pStyle w:val="Teksttabelilewy"/>
            </w:pPr>
            <w:r w:rsidRPr="00795F17">
              <w:t xml:space="preserve">Cel osiągnięty </w:t>
            </w:r>
            <w:r w:rsidR="00BA657A">
              <w:t>–</w:t>
            </w:r>
            <w:r w:rsidRPr="00795F17">
              <w:t xml:space="preserve"> utrzymanie dobrego stanu</w:t>
            </w:r>
          </w:p>
        </w:tc>
        <w:tc>
          <w:tcPr>
            <w:tcW w:w="2229" w:type="dxa"/>
            <w:shd w:val="clear" w:color="auto" w:fill="auto"/>
            <w:noWrap/>
            <w:tcMar>
              <w:top w:w="0" w:type="dxa"/>
              <w:left w:w="108" w:type="dxa"/>
              <w:bottom w:w="0" w:type="dxa"/>
              <w:right w:w="108" w:type="dxa"/>
            </w:tcMar>
            <w:vAlign w:val="center"/>
          </w:tcPr>
          <w:p w14:paraId="1A5FABE7" w14:textId="77777777" w:rsidR="00CE597F" w:rsidRPr="00795F17" w:rsidRDefault="00CE597F" w:rsidP="0065243A">
            <w:pPr>
              <w:pStyle w:val="Teksttabelisrodek"/>
            </w:pPr>
            <w:r w:rsidRPr="00795F17">
              <w:t>0</w:t>
            </w:r>
          </w:p>
        </w:tc>
        <w:tc>
          <w:tcPr>
            <w:tcW w:w="1933" w:type="dxa"/>
            <w:shd w:val="clear" w:color="auto" w:fill="auto"/>
            <w:noWrap/>
            <w:tcMar>
              <w:top w:w="0" w:type="dxa"/>
              <w:left w:w="108" w:type="dxa"/>
              <w:bottom w:w="0" w:type="dxa"/>
              <w:right w:w="108" w:type="dxa"/>
            </w:tcMar>
            <w:vAlign w:val="center"/>
          </w:tcPr>
          <w:p w14:paraId="635288E5" w14:textId="4FA8602F" w:rsidR="00CE597F" w:rsidRPr="00795F17" w:rsidRDefault="00F47E98" w:rsidP="0065243A">
            <w:pPr>
              <w:pStyle w:val="Teksttabelisrodek"/>
            </w:pPr>
            <w:r w:rsidRPr="00795F17">
              <w:t>0</w:t>
            </w:r>
          </w:p>
        </w:tc>
      </w:tr>
      <w:tr w:rsidR="00CE597F" w:rsidRPr="00795F17" w14:paraId="5F7DA4EA" w14:textId="77777777" w:rsidTr="00EB777F">
        <w:trPr>
          <w:trHeight w:val="454"/>
          <w:jc w:val="center"/>
        </w:trPr>
        <w:tc>
          <w:tcPr>
            <w:tcW w:w="4900" w:type="dxa"/>
            <w:shd w:val="clear" w:color="auto" w:fill="auto"/>
            <w:noWrap/>
            <w:tcMar>
              <w:top w:w="0" w:type="dxa"/>
              <w:left w:w="108" w:type="dxa"/>
              <w:bottom w:w="0" w:type="dxa"/>
              <w:right w:w="108" w:type="dxa"/>
            </w:tcMar>
            <w:vAlign w:val="center"/>
          </w:tcPr>
          <w:p w14:paraId="5ED59F6B" w14:textId="629E3BBA" w:rsidR="00CE597F" w:rsidRPr="00795F17" w:rsidRDefault="00CE597F" w:rsidP="0065243A">
            <w:pPr>
              <w:pStyle w:val="Teksttabelilewy"/>
            </w:pPr>
            <w:r w:rsidRPr="00795F17">
              <w:t xml:space="preserve">Cel osiągnięty </w:t>
            </w:r>
            <w:r w:rsidR="00BA657A">
              <w:t>–</w:t>
            </w:r>
            <w:r w:rsidRPr="00795F17">
              <w:t xml:space="preserve"> poprawa stanu</w:t>
            </w:r>
          </w:p>
        </w:tc>
        <w:tc>
          <w:tcPr>
            <w:tcW w:w="2229" w:type="dxa"/>
            <w:shd w:val="clear" w:color="auto" w:fill="auto"/>
            <w:noWrap/>
            <w:tcMar>
              <w:top w:w="0" w:type="dxa"/>
              <w:left w:w="108" w:type="dxa"/>
              <w:bottom w:w="0" w:type="dxa"/>
              <w:right w:w="108" w:type="dxa"/>
            </w:tcMar>
            <w:vAlign w:val="center"/>
          </w:tcPr>
          <w:p w14:paraId="4451C7E1" w14:textId="77777777" w:rsidR="00CE597F" w:rsidRPr="00795F17" w:rsidRDefault="00CE597F" w:rsidP="0065243A">
            <w:pPr>
              <w:pStyle w:val="Teksttabelisrodek"/>
            </w:pPr>
            <w:r w:rsidRPr="00795F17">
              <w:t>0</w:t>
            </w:r>
          </w:p>
        </w:tc>
        <w:tc>
          <w:tcPr>
            <w:tcW w:w="1933" w:type="dxa"/>
            <w:shd w:val="clear" w:color="auto" w:fill="auto"/>
            <w:noWrap/>
            <w:tcMar>
              <w:top w:w="0" w:type="dxa"/>
              <w:left w:w="108" w:type="dxa"/>
              <w:bottom w:w="0" w:type="dxa"/>
              <w:right w:w="108" w:type="dxa"/>
            </w:tcMar>
            <w:vAlign w:val="center"/>
          </w:tcPr>
          <w:p w14:paraId="106DCDD2" w14:textId="5FB1128A" w:rsidR="00CE597F" w:rsidRPr="00795F17" w:rsidRDefault="00F47E98" w:rsidP="0065243A">
            <w:pPr>
              <w:pStyle w:val="Teksttabelisrodek"/>
            </w:pPr>
            <w:r w:rsidRPr="00795F17">
              <w:t>0</w:t>
            </w:r>
          </w:p>
        </w:tc>
      </w:tr>
      <w:tr w:rsidR="00CE597F" w:rsidRPr="00795F17" w14:paraId="0AF73D53" w14:textId="77777777" w:rsidTr="00EB777F">
        <w:trPr>
          <w:trHeight w:val="454"/>
          <w:jc w:val="center"/>
        </w:trPr>
        <w:tc>
          <w:tcPr>
            <w:tcW w:w="4900" w:type="dxa"/>
            <w:shd w:val="clear" w:color="auto" w:fill="auto"/>
            <w:noWrap/>
            <w:tcMar>
              <w:top w:w="0" w:type="dxa"/>
              <w:left w:w="108" w:type="dxa"/>
              <w:bottom w:w="0" w:type="dxa"/>
              <w:right w:w="108" w:type="dxa"/>
            </w:tcMar>
            <w:vAlign w:val="center"/>
          </w:tcPr>
          <w:p w14:paraId="722C849D" w14:textId="77777777" w:rsidR="00CE597F" w:rsidRPr="00795F17" w:rsidRDefault="00CE597F" w:rsidP="0065243A">
            <w:pPr>
              <w:pStyle w:val="Teksttabelilewy"/>
            </w:pPr>
            <w:r w:rsidRPr="00795F17">
              <w:t>Brak możliwości oceny postępu</w:t>
            </w:r>
          </w:p>
        </w:tc>
        <w:tc>
          <w:tcPr>
            <w:tcW w:w="2229" w:type="dxa"/>
            <w:shd w:val="clear" w:color="auto" w:fill="auto"/>
            <w:noWrap/>
            <w:tcMar>
              <w:top w:w="0" w:type="dxa"/>
              <w:left w:w="108" w:type="dxa"/>
              <w:bottom w:w="0" w:type="dxa"/>
              <w:right w:w="108" w:type="dxa"/>
            </w:tcMar>
            <w:vAlign w:val="center"/>
          </w:tcPr>
          <w:p w14:paraId="30E8728C" w14:textId="6B9DAF66" w:rsidR="00CE597F" w:rsidRPr="00795F17" w:rsidRDefault="00444639" w:rsidP="0065243A">
            <w:pPr>
              <w:pStyle w:val="Teksttabelisrodek"/>
            </w:pPr>
            <w:r w:rsidRPr="00795F17">
              <w:t>1</w:t>
            </w:r>
          </w:p>
        </w:tc>
        <w:tc>
          <w:tcPr>
            <w:tcW w:w="1933" w:type="dxa"/>
            <w:shd w:val="clear" w:color="auto" w:fill="auto"/>
            <w:noWrap/>
            <w:tcMar>
              <w:top w:w="0" w:type="dxa"/>
              <w:left w:w="108" w:type="dxa"/>
              <w:bottom w:w="0" w:type="dxa"/>
              <w:right w:w="108" w:type="dxa"/>
            </w:tcMar>
            <w:vAlign w:val="center"/>
          </w:tcPr>
          <w:p w14:paraId="607F33E8" w14:textId="56333D79" w:rsidR="00CE597F" w:rsidRPr="00795F17" w:rsidRDefault="00444639" w:rsidP="0065243A">
            <w:pPr>
              <w:pStyle w:val="Teksttabelisrodek"/>
            </w:pPr>
            <w:r w:rsidRPr="00795F17">
              <w:t>25</w:t>
            </w:r>
          </w:p>
        </w:tc>
      </w:tr>
      <w:tr w:rsidR="00EB777F" w:rsidRPr="00795F17" w14:paraId="3EF5B228" w14:textId="77777777" w:rsidTr="00EB777F">
        <w:trPr>
          <w:trHeight w:val="454"/>
          <w:jc w:val="center"/>
        </w:trPr>
        <w:tc>
          <w:tcPr>
            <w:tcW w:w="4900" w:type="dxa"/>
            <w:shd w:val="clear" w:color="auto" w:fill="BFBFBF" w:themeFill="background1" w:themeFillShade="BF"/>
            <w:noWrap/>
            <w:tcMar>
              <w:top w:w="0" w:type="dxa"/>
              <w:left w:w="108" w:type="dxa"/>
              <w:bottom w:w="0" w:type="dxa"/>
              <w:right w:w="108" w:type="dxa"/>
            </w:tcMar>
            <w:vAlign w:val="center"/>
          </w:tcPr>
          <w:p w14:paraId="07BF9000" w14:textId="241C8384" w:rsidR="00EB777F" w:rsidRPr="00795F17" w:rsidRDefault="00EB777F" w:rsidP="0065243A">
            <w:pPr>
              <w:pStyle w:val="Teksttabelinaglowek"/>
            </w:pPr>
            <w:r w:rsidRPr="00795F17">
              <w:t xml:space="preserve">Liczba </w:t>
            </w:r>
            <w:r w:rsidR="00DF005E">
              <w:t>JCWP</w:t>
            </w:r>
            <w:r w:rsidRPr="00795F17">
              <w:t xml:space="preserve"> TW i CW w obszarze dorzecza</w:t>
            </w:r>
          </w:p>
        </w:tc>
        <w:tc>
          <w:tcPr>
            <w:tcW w:w="2229" w:type="dxa"/>
            <w:shd w:val="clear" w:color="auto" w:fill="BFBFBF" w:themeFill="background1" w:themeFillShade="BF"/>
            <w:noWrap/>
            <w:tcMar>
              <w:top w:w="0" w:type="dxa"/>
              <w:left w:w="108" w:type="dxa"/>
              <w:bottom w:w="0" w:type="dxa"/>
              <w:right w:w="108" w:type="dxa"/>
            </w:tcMar>
            <w:vAlign w:val="center"/>
          </w:tcPr>
          <w:p w14:paraId="5B03F2B1" w14:textId="7A608A9C" w:rsidR="00EB777F" w:rsidRPr="00795F17" w:rsidRDefault="00EB777F" w:rsidP="0065243A">
            <w:pPr>
              <w:pStyle w:val="Teksttabelinaglowek"/>
            </w:pPr>
            <w:r w:rsidRPr="00795F17">
              <w:t>4</w:t>
            </w:r>
          </w:p>
        </w:tc>
        <w:tc>
          <w:tcPr>
            <w:tcW w:w="1933" w:type="dxa"/>
            <w:shd w:val="clear" w:color="auto" w:fill="BFBFBF" w:themeFill="background1" w:themeFillShade="BF"/>
            <w:noWrap/>
            <w:tcMar>
              <w:top w:w="0" w:type="dxa"/>
              <w:left w:w="108" w:type="dxa"/>
              <w:bottom w:w="0" w:type="dxa"/>
              <w:right w:w="108" w:type="dxa"/>
            </w:tcMar>
            <w:vAlign w:val="center"/>
          </w:tcPr>
          <w:p w14:paraId="41824DF6" w14:textId="64B27217" w:rsidR="00EB777F" w:rsidRPr="00795F17" w:rsidRDefault="00EB777F" w:rsidP="0065243A">
            <w:pPr>
              <w:pStyle w:val="Teksttabelinaglowek"/>
            </w:pPr>
            <w:r w:rsidRPr="00795F17">
              <w:t>100</w:t>
            </w:r>
          </w:p>
        </w:tc>
      </w:tr>
    </w:tbl>
    <w:p w14:paraId="49F85E29" w14:textId="6D3E52E9" w:rsidR="00CE597F" w:rsidRPr="00795F17" w:rsidRDefault="00CE597F" w:rsidP="0044393D">
      <w:pPr>
        <w:pStyle w:val="rdo"/>
      </w:pPr>
      <w:r w:rsidRPr="00795F17">
        <w:t xml:space="preserve">Źródło: </w:t>
      </w:r>
      <w:r w:rsidR="00724997" w:rsidRPr="00795F17">
        <w:t>opracowanie własne</w:t>
      </w:r>
      <w:r w:rsidRPr="00795F17">
        <w:t xml:space="preserve"> na podstawie danych GIOŚ</w:t>
      </w:r>
    </w:p>
    <w:p w14:paraId="356444E1" w14:textId="6D512B9A" w:rsidR="0065243A" w:rsidRPr="00795F17" w:rsidRDefault="00F47E98" w:rsidP="00F47E98">
      <w:r w:rsidRPr="00795F17">
        <w:t xml:space="preserve">Nie biorąc pod uwagę aspektów związanych z położeniem jednolitych części wód oraz czynników powodujących presję (opisane w rozdziale 7 IIaPGW) głównymi przyczynami nieosiągnięcia celów środowiskowych było stwierdzenie przekroczeń wartości granicznych w biocie </w:t>
      </w:r>
      <w:r w:rsidR="00BA657A">
        <w:t>–</w:t>
      </w:r>
      <w:r w:rsidRPr="00795F17">
        <w:t xml:space="preserve"> nowej matrycy wprowadzonej do Państwowego Monitoringu Środowiska w 2016 roku. Ponadto nie bez znaczenia pozostaje także obniżenie wartości granicznych (Dz.U. </w:t>
      </w:r>
      <w:r w:rsidR="00BA657A">
        <w:t xml:space="preserve">z </w:t>
      </w:r>
      <w:r w:rsidRPr="00795F17">
        <w:t>2016</w:t>
      </w:r>
      <w:r w:rsidR="00BA657A">
        <w:t xml:space="preserve"> r.</w:t>
      </w:r>
      <w:r w:rsidRPr="00795F17">
        <w:t xml:space="preserve"> poz. 1187) wielu substancji, co</w:t>
      </w:r>
      <w:r w:rsidR="004E2052">
        <w:t> </w:t>
      </w:r>
      <w:r w:rsidRPr="00795F17">
        <w:t xml:space="preserve">powoduje iż nie odnotowuje się poprawy stanu chemicznego </w:t>
      </w:r>
      <w:r w:rsidR="00DF005E">
        <w:t>JCWP</w:t>
      </w:r>
      <w:r w:rsidRPr="00795F17">
        <w:t xml:space="preserve"> pomimo spadku stężenia wskaźników (tabela 9-24)</w:t>
      </w:r>
      <w:r w:rsidR="003278BA" w:rsidRPr="00795F17">
        <w:t>.</w:t>
      </w:r>
    </w:p>
    <w:p w14:paraId="4148D1E3" w14:textId="5355E0F4" w:rsidR="00EE325E" w:rsidRPr="00795F17" w:rsidRDefault="00EE325E" w:rsidP="004D7705">
      <w:pPr>
        <w:pStyle w:val="Tabela"/>
      </w:pPr>
      <w:bookmarkStart w:id="509" w:name="_Toc66341926"/>
      <w:bookmarkStart w:id="510" w:name="_Toc105512848"/>
      <w:r w:rsidRPr="00795F17">
        <w:t xml:space="preserve">Tabela </w:t>
      </w:r>
      <w:fldSimple w:instr=" STYLEREF 1 \s ">
        <w:r w:rsidR="001F774D">
          <w:rPr>
            <w:noProof/>
          </w:rPr>
          <w:t>9</w:t>
        </w:r>
      </w:fldSimple>
      <w:r w:rsidR="00BB3B21" w:rsidRPr="00795F17">
        <w:noBreakHyphen/>
      </w:r>
      <w:fldSimple w:instr=" SEQ Tabela \* ARABIC \s 1 ">
        <w:r w:rsidR="001F774D">
          <w:rPr>
            <w:noProof/>
          </w:rPr>
          <w:t>24</w:t>
        </w:r>
      </w:fldSimple>
      <w:r w:rsidR="00E76356">
        <w:rPr>
          <w:noProof/>
        </w:rPr>
        <w:t>.</w:t>
      </w:r>
      <w:r w:rsidRPr="00795F17">
        <w:tab/>
      </w:r>
      <w:bookmarkEnd w:id="509"/>
      <w:r w:rsidR="00EB777F" w:rsidRPr="00795F17">
        <w:t xml:space="preserve">Analiza przyczyn wpływających na brak postępu w osiąganiu celów środowiskowych dla stanu chemicznego na obszarze dorzecza Odry (bazując na nowym układzie planistycznym IIaPGW) </w:t>
      </w:r>
      <w:r w:rsidR="00BA657A">
        <w:t>–</w:t>
      </w:r>
      <w:r w:rsidR="00EB777F" w:rsidRPr="00795F17">
        <w:t xml:space="preserve"> </w:t>
      </w:r>
      <w:r w:rsidR="00DF005E">
        <w:t>JCWP</w:t>
      </w:r>
      <w:r w:rsidR="00EB777F" w:rsidRPr="00795F17">
        <w:t xml:space="preserve"> TW i CW</w:t>
      </w:r>
      <w:bookmarkEnd w:id="510"/>
    </w:p>
    <w:tbl>
      <w:tblPr>
        <w:tblW w:w="5000" w:type="pct"/>
        <w:jc w:val="center"/>
        <w:tblCellMar>
          <w:left w:w="10" w:type="dxa"/>
          <w:right w:w="10" w:type="dxa"/>
        </w:tblCellMar>
        <w:tblLook w:val="0000" w:firstRow="0" w:lastRow="0" w:firstColumn="0" w:lastColumn="0" w:noHBand="0" w:noVBand="0"/>
      </w:tblPr>
      <w:tblGrid>
        <w:gridCol w:w="4900"/>
        <w:gridCol w:w="2183"/>
        <w:gridCol w:w="1979"/>
      </w:tblGrid>
      <w:tr w:rsidR="00CE597F" w:rsidRPr="00795F17" w14:paraId="7C58D230" w14:textId="77777777" w:rsidTr="0065243A">
        <w:trPr>
          <w:trHeight w:val="454"/>
          <w:tblHeader/>
          <w:jc w:val="center"/>
        </w:trPr>
        <w:tc>
          <w:tcPr>
            <w:tcW w:w="906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noWrap/>
            <w:tcMar>
              <w:top w:w="0" w:type="dxa"/>
              <w:left w:w="108" w:type="dxa"/>
              <w:bottom w:w="0" w:type="dxa"/>
              <w:right w:w="108" w:type="dxa"/>
            </w:tcMar>
            <w:vAlign w:val="center"/>
          </w:tcPr>
          <w:p w14:paraId="57D75EB3" w14:textId="4F627169" w:rsidR="00CE597F" w:rsidRPr="00795F17" w:rsidRDefault="00CE597F" w:rsidP="0065243A">
            <w:pPr>
              <w:pStyle w:val="Teksttabelinaglowek"/>
            </w:pPr>
            <w:r w:rsidRPr="00795F17">
              <w:t>A</w:t>
            </w:r>
            <w:r w:rsidR="00EB777F" w:rsidRPr="00795F17">
              <w:t>naliza przyczyn braku postępu w osiąganiu celu środowiskowego</w:t>
            </w:r>
            <w:r w:rsidR="00F47E98" w:rsidRPr="00795F17">
              <w:t xml:space="preserve"> dla stanu chemicznego</w:t>
            </w:r>
          </w:p>
        </w:tc>
      </w:tr>
      <w:tr w:rsidR="00CE597F" w:rsidRPr="00795F17" w14:paraId="2F117F62" w14:textId="77777777" w:rsidTr="0065243A">
        <w:trPr>
          <w:trHeight w:val="454"/>
          <w:tblHeader/>
          <w:jc w:val="center"/>
        </w:trPr>
        <w:tc>
          <w:tcPr>
            <w:tcW w:w="49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7684817B" w14:textId="235550E5" w:rsidR="00CE597F" w:rsidRPr="00795F17" w:rsidRDefault="00EB777F" w:rsidP="0065243A">
            <w:pPr>
              <w:pStyle w:val="Teksttabelinaglowek"/>
            </w:pPr>
            <w:r w:rsidRPr="00795F17">
              <w:t>Przyczyna braku postępu</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54684A3D" w14:textId="26C8D53C" w:rsidR="00CE597F" w:rsidRPr="00795F17" w:rsidRDefault="00CE597F" w:rsidP="0065243A">
            <w:pPr>
              <w:pStyle w:val="Teksttabelinaglowek"/>
            </w:pPr>
            <w:r w:rsidRPr="00795F17">
              <w:t xml:space="preserve">Liczba </w:t>
            </w:r>
            <w:r w:rsidR="00DF005E">
              <w:t>JCWP</w:t>
            </w:r>
            <w:r w:rsidRPr="00795F17">
              <w:t xml:space="preserve"> </w:t>
            </w:r>
            <w:r w:rsidR="001C3A0F" w:rsidRPr="00795F17">
              <w:t>TW i CW</w:t>
            </w:r>
          </w:p>
        </w:tc>
        <w:tc>
          <w:tcPr>
            <w:tcW w:w="19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3FF4D80F" w14:textId="51E08E8D" w:rsidR="00CE597F" w:rsidRPr="00795F17" w:rsidRDefault="00CE597F" w:rsidP="0065243A">
            <w:pPr>
              <w:pStyle w:val="Teksttabelinaglowek"/>
            </w:pPr>
            <w:r w:rsidRPr="00795F17">
              <w:t xml:space="preserve">Udział </w:t>
            </w:r>
            <w:r w:rsidR="00DF005E">
              <w:t>JCWP</w:t>
            </w:r>
            <w:r w:rsidRPr="00795F17">
              <w:t xml:space="preserve"> </w:t>
            </w:r>
            <w:r w:rsidR="00EA4FF5" w:rsidRPr="00795F17">
              <w:t>(%)</w:t>
            </w:r>
          </w:p>
        </w:tc>
      </w:tr>
      <w:tr w:rsidR="00CE597F" w:rsidRPr="00795F17" w14:paraId="275C661C" w14:textId="77777777" w:rsidTr="00EB777F">
        <w:trPr>
          <w:trHeight w:val="454"/>
          <w:jc w:val="center"/>
        </w:trPr>
        <w:tc>
          <w:tcPr>
            <w:tcW w:w="906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0" w:type="dxa"/>
              <w:left w:w="108" w:type="dxa"/>
              <w:bottom w:w="0" w:type="dxa"/>
              <w:right w:w="108" w:type="dxa"/>
            </w:tcMar>
            <w:vAlign w:val="center"/>
          </w:tcPr>
          <w:p w14:paraId="4D509477" w14:textId="77777777" w:rsidR="00CE597F" w:rsidRPr="00795F17" w:rsidRDefault="00CE597F" w:rsidP="0065243A">
            <w:pPr>
              <w:pStyle w:val="Teksttabelisrodek"/>
            </w:pPr>
            <w:r w:rsidRPr="00795F17">
              <w:t>Zmiany legislacyjne (zmiana wartości granicznych klas)</w:t>
            </w:r>
          </w:p>
        </w:tc>
      </w:tr>
      <w:tr w:rsidR="00CE597F" w:rsidRPr="00795F17" w14:paraId="15A8F38F" w14:textId="77777777" w:rsidTr="00EB777F">
        <w:trPr>
          <w:trHeight w:val="454"/>
          <w:jc w:val="center"/>
        </w:trPr>
        <w:tc>
          <w:tcPr>
            <w:tcW w:w="49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1EC60196" w14:textId="77777777" w:rsidR="00CE597F" w:rsidRPr="00795F17" w:rsidRDefault="00CE597F" w:rsidP="0065243A">
            <w:pPr>
              <w:pStyle w:val="Teksttabelilewy"/>
            </w:pPr>
            <w:r w:rsidRPr="00795F17">
              <w:t>Analizowana przyczyna łącznie</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2D37A0EC" w14:textId="77777777" w:rsidR="00CE597F" w:rsidRPr="00795F17" w:rsidRDefault="00CE597F" w:rsidP="0065243A">
            <w:pPr>
              <w:pStyle w:val="Teksttabelisrodek"/>
            </w:pPr>
            <w:r w:rsidRPr="00795F17">
              <w:t>1</w:t>
            </w:r>
          </w:p>
        </w:tc>
        <w:tc>
          <w:tcPr>
            <w:tcW w:w="19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4A2557DF" w14:textId="692AB4EC" w:rsidR="00CE597F" w:rsidRPr="00795F17" w:rsidRDefault="00CE597F" w:rsidP="0065243A">
            <w:pPr>
              <w:pStyle w:val="Teksttabelisrodek"/>
            </w:pPr>
            <w:r w:rsidRPr="00795F17">
              <w:t>25</w:t>
            </w:r>
          </w:p>
        </w:tc>
      </w:tr>
      <w:tr w:rsidR="00CE597F" w:rsidRPr="00795F17" w14:paraId="68C107B8" w14:textId="77777777" w:rsidTr="00EB777F">
        <w:trPr>
          <w:trHeight w:val="454"/>
          <w:jc w:val="center"/>
        </w:trPr>
        <w:tc>
          <w:tcPr>
            <w:tcW w:w="49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0D947DDC" w14:textId="06E1012E" w:rsidR="00CE597F" w:rsidRPr="00795F17" w:rsidRDefault="00CE597F" w:rsidP="0065243A">
            <w:pPr>
              <w:pStyle w:val="Teksttabelilewy"/>
            </w:pPr>
            <w:r w:rsidRPr="00795F17">
              <w:t xml:space="preserve">Cel nieosiągnięty </w:t>
            </w:r>
            <w:r w:rsidR="00BA657A">
              <w:t>–</w:t>
            </w:r>
            <w:r w:rsidRPr="00795F17">
              <w:t xml:space="preserve"> brak postępu</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14AD0A49" w14:textId="77777777" w:rsidR="00CE597F" w:rsidRPr="00795F17" w:rsidRDefault="00CE597F" w:rsidP="0065243A">
            <w:pPr>
              <w:pStyle w:val="Teksttabelisrodek"/>
            </w:pPr>
            <w:r w:rsidRPr="00795F17">
              <w:t>1</w:t>
            </w:r>
          </w:p>
        </w:tc>
        <w:tc>
          <w:tcPr>
            <w:tcW w:w="19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4D70502F" w14:textId="28CCF3AF" w:rsidR="00CE597F" w:rsidRPr="00795F17" w:rsidRDefault="00CE597F" w:rsidP="0065243A">
            <w:pPr>
              <w:pStyle w:val="Teksttabelisrodek"/>
            </w:pPr>
            <w:r w:rsidRPr="00795F17">
              <w:t>25</w:t>
            </w:r>
          </w:p>
        </w:tc>
      </w:tr>
      <w:tr w:rsidR="00CE597F" w:rsidRPr="00795F17" w14:paraId="4A59916E" w14:textId="77777777" w:rsidTr="00EB777F">
        <w:trPr>
          <w:trHeight w:val="454"/>
          <w:jc w:val="center"/>
        </w:trPr>
        <w:tc>
          <w:tcPr>
            <w:tcW w:w="49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50520638" w14:textId="00F703CD" w:rsidR="00CE597F" w:rsidRPr="00795F17" w:rsidRDefault="00CE597F" w:rsidP="0065243A">
            <w:pPr>
              <w:pStyle w:val="Teksttabelilewy"/>
            </w:pPr>
            <w:r w:rsidRPr="00795F17">
              <w:t xml:space="preserve">Cel nieosiągnięty </w:t>
            </w:r>
            <w:r w:rsidR="00BA657A">
              <w:t>–</w:t>
            </w:r>
            <w:r w:rsidRPr="00795F17">
              <w:t xml:space="preserve"> obniżenie stanu</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75C56D27" w14:textId="77777777" w:rsidR="00CE597F" w:rsidRPr="00795F17" w:rsidRDefault="00CE597F" w:rsidP="0065243A">
            <w:pPr>
              <w:pStyle w:val="Teksttabelisrodek"/>
            </w:pPr>
            <w:r w:rsidRPr="00795F17">
              <w:t>0</w:t>
            </w:r>
          </w:p>
        </w:tc>
        <w:tc>
          <w:tcPr>
            <w:tcW w:w="19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31F97711" w14:textId="04C35FB4" w:rsidR="00CE597F" w:rsidRPr="00795F17" w:rsidRDefault="00F47E98" w:rsidP="0065243A">
            <w:pPr>
              <w:pStyle w:val="Teksttabelisrodek"/>
            </w:pPr>
            <w:r w:rsidRPr="00795F17">
              <w:t>0</w:t>
            </w:r>
          </w:p>
        </w:tc>
      </w:tr>
      <w:tr w:rsidR="00CE597F" w:rsidRPr="00795F17" w14:paraId="7ED9E3C1" w14:textId="77777777" w:rsidTr="00EB777F">
        <w:trPr>
          <w:trHeight w:val="454"/>
          <w:jc w:val="center"/>
        </w:trPr>
        <w:tc>
          <w:tcPr>
            <w:tcW w:w="906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0" w:type="dxa"/>
              <w:left w:w="108" w:type="dxa"/>
              <w:bottom w:w="0" w:type="dxa"/>
              <w:right w:w="108" w:type="dxa"/>
            </w:tcMar>
            <w:vAlign w:val="center"/>
          </w:tcPr>
          <w:p w14:paraId="692D0306" w14:textId="77777777" w:rsidR="00CE597F" w:rsidRPr="00795F17" w:rsidRDefault="00CE597F" w:rsidP="0065243A">
            <w:pPr>
              <w:pStyle w:val="Teksttabelisrodek"/>
            </w:pPr>
            <w:r w:rsidRPr="00795F17">
              <w:t>Zmiana zakresu monitoringu</w:t>
            </w:r>
          </w:p>
        </w:tc>
      </w:tr>
      <w:tr w:rsidR="00CE597F" w:rsidRPr="00795F17" w14:paraId="179EE184" w14:textId="77777777" w:rsidTr="00EB777F">
        <w:trPr>
          <w:trHeight w:val="454"/>
          <w:jc w:val="center"/>
        </w:trPr>
        <w:tc>
          <w:tcPr>
            <w:tcW w:w="49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08035682" w14:textId="77777777" w:rsidR="00CE597F" w:rsidRPr="00795F17" w:rsidRDefault="00CE597F" w:rsidP="0065243A">
            <w:pPr>
              <w:pStyle w:val="Teksttabelilewy"/>
            </w:pPr>
            <w:r w:rsidRPr="00795F17">
              <w:t>Analizowana przyczyna łącznie</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031A6237" w14:textId="77777777" w:rsidR="00CE597F" w:rsidRPr="00795F17" w:rsidRDefault="00CE597F" w:rsidP="0065243A">
            <w:pPr>
              <w:pStyle w:val="Teksttabelisrodek"/>
            </w:pPr>
            <w:r w:rsidRPr="00795F17">
              <w:t>3</w:t>
            </w:r>
          </w:p>
        </w:tc>
        <w:tc>
          <w:tcPr>
            <w:tcW w:w="19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636992C" w14:textId="0A95188F" w:rsidR="00CE597F" w:rsidRPr="00795F17" w:rsidRDefault="00CE597F" w:rsidP="0065243A">
            <w:pPr>
              <w:pStyle w:val="Teksttabelisrodek"/>
            </w:pPr>
            <w:r w:rsidRPr="00795F17">
              <w:t>75</w:t>
            </w:r>
          </w:p>
        </w:tc>
      </w:tr>
      <w:tr w:rsidR="00CE597F" w:rsidRPr="00795F17" w14:paraId="0068FE87" w14:textId="77777777" w:rsidTr="00EB777F">
        <w:trPr>
          <w:trHeight w:val="454"/>
          <w:jc w:val="center"/>
        </w:trPr>
        <w:tc>
          <w:tcPr>
            <w:tcW w:w="49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453E35BB" w14:textId="1F598AE5" w:rsidR="00CE597F" w:rsidRPr="00795F17" w:rsidRDefault="00CE597F" w:rsidP="0065243A">
            <w:pPr>
              <w:pStyle w:val="Teksttabelilewy"/>
            </w:pPr>
            <w:r w:rsidRPr="00795F17">
              <w:t xml:space="preserve">Cel nieosiągnięty </w:t>
            </w:r>
            <w:r w:rsidR="00BA657A">
              <w:t>–</w:t>
            </w:r>
            <w:r w:rsidRPr="00795F17">
              <w:t xml:space="preserve"> brak postępu</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7EA02A49" w14:textId="77777777" w:rsidR="00CE597F" w:rsidRPr="00795F17" w:rsidRDefault="00CE597F" w:rsidP="0065243A">
            <w:pPr>
              <w:pStyle w:val="Teksttabelisrodek"/>
            </w:pPr>
            <w:r w:rsidRPr="00795F17">
              <w:t>3</w:t>
            </w:r>
          </w:p>
        </w:tc>
        <w:tc>
          <w:tcPr>
            <w:tcW w:w="19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1832D2D" w14:textId="51C0B5CD" w:rsidR="00CE597F" w:rsidRPr="00795F17" w:rsidRDefault="00CE597F" w:rsidP="0065243A">
            <w:pPr>
              <w:pStyle w:val="Teksttabelisrodek"/>
            </w:pPr>
            <w:r w:rsidRPr="00795F17">
              <w:t>75</w:t>
            </w:r>
          </w:p>
        </w:tc>
      </w:tr>
      <w:tr w:rsidR="00CE597F" w:rsidRPr="00795F17" w14:paraId="0B092DBD" w14:textId="77777777" w:rsidTr="00EB777F">
        <w:trPr>
          <w:trHeight w:val="454"/>
          <w:jc w:val="center"/>
        </w:trPr>
        <w:tc>
          <w:tcPr>
            <w:tcW w:w="49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56F93917" w14:textId="4932283E" w:rsidR="00CE597F" w:rsidRPr="00795F17" w:rsidRDefault="00CE597F" w:rsidP="0065243A">
            <w:pPr>
              <w:pStyle w:val="Teksttabelilewy"/>
            </w:pPr>
            <w:r w:rsidRPr="00795F17">
              <w:t xml:space="preserve">Cel nieosiągnięty </w:t>
            </w:r>
            <w:r w:rsidR="00BA657A">
              <w:t>–</w:t>
            </w:r>
            <w:r w:rsidRPr="00795F17">
              <w:t xml:space="preserve"> obniżenie stanu</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320FFC1A" w14:textId="77777777" w:rsidR="00CE597F" w:rsidRPr="00795F17" w:rsidRDefault="00CE597F" w:rsidP="0065243A">
            <w:pPr>
              <w:pStyle w:val="Teksttabelisrodek"/>
            </w:pPr>
            <w:r w:rsidRPr="00795F17">
              <w:t>0</w:t>
            </w:r>
          </w:p>
        </w:tc>
        <w:tc>
          <w:tcPr>
            <w:tcW w:w="19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A474405" w14:textId="3837E2DB" w:rsidR="00CE597F" w:rsidRPr="00795F17" w:rsidRDefault="00F47E98" w:rsidP="0065243A">
            <w:pPr>
              <w:pStyle w:val="Teksttabelisrodek"/>
            </w:pPr>
            <w:r w:rsidRPr="00795F17">
              <w:t>0</w:t>
            </w:r>
          </w:p>
        </w:tc>
      </w:tr>
    </w:tbl>
    <w:p w14:paraId="7A2C6ECB" w14:textId="0AFFA5CA" w:rsidR="00CE597F" w:rsidRPr="00795F17" w:rsidRDefault="00CE597F" w:rsidP="0044393D">
      <w:pPr>
        <w:pStyle w:val="rdo"/>
        <w:rPr>
          <w:color w:val="000099"/>
        </w:rPr>
      </w:pPr>
      <w:r w:rsidRPr="00795F17">
        <w:t xml:space="preserve">Źródło: </w:t>
      </w:r>
      <w:r w:rsidR="0049030B" w:rsidRPr="00795F17">
        <w:t>opracowanie własne</w:t>
      </w:r>
      <w:r w:rsidRPr="00795F17">
        <w:t xml:space="preserve"> na podstawie danych GIOŚ</w:t>
      </w:r>
    </w:p>
    <w:p w14:paraId="0A7D29D2" w14:textId="09866525" w:rsidR="00CE597F" w:rsidRPr="00795F17" w:rsidRDefault="00CE597F" w:rsidP="00C53C86">
      <w:pPr>
        <w:pStyle w:val="Nagwek2"/>
        <w:rPr>
          <w:rFonts w:asciiTheme="minorHAnsi" w:hAnsiTheme="minorHAnsi" w:cstheme="minorHAnsi"/>
        </w:rPr>
      </w:pPr>
      <w:bookmarkStart w:id="511" w:name="_Toc66347811"/>
      <w:bookmarkStart w:id="512" w:name="_Toc105512674"/>
      <w:r w:rsidRPr="00795F17">
        <w:t xml:space="preserve">Ocena postępu w osiąganiu celów środowiskowych </w:t>
      </w:r>
      <w:r w:rsidR="00DF005E">
        <w:t>JCWP</w:t>
      </w:r>
      <w:r w:rsidRPr="00795F17">
        <w:rPr>
          <w:rFonts w:asciiTheme="minorHAnsi" w:hAnsiTheme="minorHAnsi" w:cstheme="minorHAnsi"/>
        </w:rPr>
        <w:t>d</w:t>
      </w:r>
      <w:bookmarkEnd w:id="511"/>
      <w:bookmarkEnd w:id="512"/>
      <w:r w:rsidRPr="00795F17">
        <w:rPr>
          <w:rFonts w:asciiTheme="minorHAnsi" w:hAnsiTheme="minorHAnsi" w:cstheme="minorHAnsi"/>
        </w:rPr>
        <w:t xml:space="preserve"> </w:t>
      </w:r>
    </w:p>
    <w:p w14:paraId="7EBA09DE" w14:textId="35628D4D" w:rsidR="00CE597F" w:rsidRPr="00795F17" w:rsidRDefault="00CE597F" w:rsidP="0044393D">
      <w:r w:rsidRPr="00795F17">
        <w:t xml:space="preserve">Przedstawiony w ocenie stanu </w:t>
      </w:r>
      <w:r w:rsidR="00DF005E">
        <w:t>JCWP</w:t>
      </w:r>
      <w:r w:rsidRPr="00795F17">
        <w:t>d zakres pomiarów, wyników analiz fizykochemicznych, innych danych uzyskanych od wykonawców zewnętrznych i ich interpretacja, umożliwiła ocenę stanu wód podziemnych zgodnie z przyjętą metodyką nawiązującą r.m.jcw, RDW (2000/60/WE) i DWP (2006/118/WE)</w:t>
      </w:r>
      <w:r w:rsidR="00AD06D9" w:rsidRPr="00795F17">
        <w:rPr>
          <w:rStyle w:val="Odwoanieprzypisudolnego"/>
        </w:rPr>
        <w:footnoteReference w:id="69"/>
      </w:r>
      <w:r w:rsidR="00AD06D9" w:rsidRPr="00795F17">
        <w:t>.</w:t>
      </w:r>
    </w:p>
    <w:p w14:paraId="42198CC6" w14:textId="633BE7FC" w:rsidR="00CE597F" w:rsidRPr="00795F17" w:rsidRDefault="00CE597F" w:rsidP="0044393D">
      <w:r w:rsidRPr="00795F17">
        <w:t xml:space="preserve">Porównania oceny stanu </w:t>
      </w:r>
      <w:r w:rsidR="00DF005E">
        <w:t>JCWP</w:t>
      </w:r>
      <w:r w:rsidRPr="00795F17">
        <w:t>d na podstawie danych z 2019 r. dokonano w odniesieniu do oceny stanu z 2016</w:t>
      </w:r>
      <w:r w:rsidR="00CD24D6" w:rsidRPr="00795F17">
        <w:t> r.</w:t>
      </w:r>
      <w:r w:rsidRPr="00795F17">
        <w:t xml:space="preserve">, którą wykonano w podziale na 172 </w:t>
      </w:r>
      <w:r w:rsidR="00DF005E">
        <w:t>JCWP</w:t>
      </w:r>
      <w:r w:rsidRPr="00795F17">
        <w:t>d, obowiązującego w cyklu planistycznym 2016</w:t>
      </w:r>
      <w:r w:rsidR="00F760DE" w:rsidRPr="00795F17">
        <w:t>-</w:t>
      </w:r>
      <w:r w:rsidRPr="00795F17">
        <w:t xml:space="preserve">2021. Ocena stanu na podstawie danych z 2019 r. wykonana została według zmodyfikowanej względem obowiązującej w 2016 r. metodyki oceny stanu </w:t>
      </w:r>
      <w:r w:rsidR="00DF005E">
        <w:t>JCWP</w:t>
      </w:r>
      <w:r w:rsidRPr="00795F17">
        <w:t>d</w:t>
      </w:r>
      <w:r w:rsidR="0046578F">
        <w:rPr>
          <w:rStyle w:val="Odwoanieprzypisudolnego"/>
        </w:rPr>
        <w:footnoteReference w:id="70"/>
      </w:r>
      <w:r w:rsidRPr="00795F17">
        <w:t>, co wpłynęło na interpretację i</w:t>
      </w:r>
      <w:r w:rsidR="00CD24D6" w:rsidRPr="00795F17">
        <w:t xml:space="preserve"> </w:t>
      </w:r>
      <w:r w:rsidRPr="00795F17">
        <w:t xml:space="preserve">końcową ocenę stanu </w:t>
      </w:r>
      <w:r w:rsidR="00DF005E">
        <w:t>JCWP</w:t>
      </w:r>
      <w:r w:rsidRPr="00795F17">
        <w:t xml:space="preserve">d. Szczególnie zauważalne jest to w wynikach testów: C.3/I.3 </w:t>
      </w:r>
      <w:r w:rsidR="00F760DE" w:rsidRPr="00795F17">
        <w:t>-</w:t>
      </w:r>
      <w:r w:rsidRPr="00795F17">
        <w:t xml:space="preserve"> Ochrona ekosystemów zależnych od wód podziemnych; C.4 </w:t>
      </w:r>
      <w:r w:rsidR="00F760DE" w:rsidRPr="00795F17">
        <w:t>-</w:t>
      </w:r>
      <w:r w:rsidR="005A6124" w:rsidRPr="00795F17">
        <w:t> </w:t>
      </w:r>
      <w:r w:rsidRPr="00795F17">
        <w:t>Ochrona wód powierzchniowych; C.5</w:t>
      </w:r>
      <w:r w:rsidR="005A6124" w:rsidRPr="00795F17">
        <w:t> </w:t>
      </w:r>
      <w:r w:rsidR="00F760DE" w:rsidRPr="00795F17">
        <w:t>-</w:t>
      </w:r>
      <w:r w:rsidR="005A6124" w:rsidRPr="00795F17">
        <w:t> </w:t>
      </w:r>
      <w:r w:rsidRPr="00795F17">
        <w:t>Ochrona wód przeznaczonych do spożycia.</w:t>
      </w:r>
    </w:p>
    <w:p w14:paraId="693A5CF9" w14:textId="29505342" w:rsidR="00CE597F" w:rsidRPr="00795F17" w:rsidRDefault="00CE597F" w:rsidP="0044393D">
      <w:r w:rsidRPr="00795F17">
        <w:t xml:space="preserve">Wyniki i wnioski z kolejnych raportów oceny stanu </w:t>
      </w:r>
      <w:r w:rsidR="00DF005E">
        <w:t>JCWP</w:t>
      </w:r>
      <w:r w:rsidRPr="00795F17">
        <w:t>d są na bieżąco analizowane, a</w:t>
      </w:r>
      <w:r w:rsidR="00CD24D6" w:rsidRPr="00795F17">
        <w:t xml:space="preserve"> </w:t>
      </w:r>
      <w:r w:rsidRPr="00795F17">
        <w:t xml:space="preserve">potrzeby wykonania bardziej rozbudowanych analiz umożliwiających lepsze rozpoznanie sytuacji hydrogeologicznej w </w:t>
      </w:r>
      <w:r w:rsidR="00DF005E">
        <w:t>JCWP</w:t>
      </w:r>
      <w:r w:rsidRPr="00795F17">
        <w:t xml:space="preserve">d i wybiegających poza zakres metodyki oceny stanu </w:t>
      </w:r>
      <w:r w:rsidR="00DF005E">
        <w:t>JCWP</w:t>
      </w:r>
      <w:r w:rsidRPr="00795F17">
        <w:t xml:space="preserve">d, są uwzględniane w realizacjach prac zespołu </w:t>
      </w:r>
      <w:r w:rsidR="00D11509" w:rsidRPr="00795F17">
        <w:t>PSH</w:t>
      </w:r>
      <w:r w:rsidRPr="00795F17">
        <w:t xml:space="preserve">. </w:t>
      </w:r>
    </w:p>
    <w:p w14:paraId="7F0D9C83" w14:textId="178422F8" w:rsidR="00CE597F" w:rsidRPr="00795F17" w:rsidRDefault="00CE597F" w:rsidP="0044393D">
      <w:r w:rsidRPr="00795F17">
        <w:t xml:space="preserve">Stan rozpoznania budowy geologicznej, warunków hydrodynamicznych i hydrogeochemicznych </w:t>
      </w:r>
      <w:r w:rsidR="00DF005E">
        <w:t>JCWP</w:t>
      </w:r>
      <w:r w:rsidRPr="00795F17">
        <w:t xml:space="preserve">d z roku na rok jest coraz lepszy i ma to znaczący wpływ na końcowy wynik oceny stanu </w:t>
      </w:r>
      <w:r w:rsidR="00DF005E">
        <w:t>JCWP</w:t>
      </w:r>
      <w:r w:rsidRPr="00795F17">
        <w:t>d i</w:t>
      </w:r>
      <w:r w:rsidR="00CD24D6" w:rsidRPr="00795F17">
        <w:t> </w:t>
      </w:r>
      <w:r w:rsidRPr="00795F17">
        <w:t xml:space="preserve">porównanie wyników ocen pomiędzy kolejnymi edycjami raportu oceny stanu </w:t>
      </w:r>
      <w:r w:rsidR="00DF005E">
        <w:t>JCWP</w:t>
      </w:r>
      <w:r w:rsidRPr="00795F17">
        <w:t>d. Informacje są</w:t>
      </w:r>
      <w:r w:rsidR="00CD24D6" w:rsidRPr="00795F17">
        <w:t> </w:t>
      </w:r>
      <w:r w:rsidRPr="00795F17">
        <w:t>uaktualniane i uzupełniane, w związku z czym zmiany wyniku oceny stanu nie zawsze będą świadectwem faktycznej poprawy lub pogorszenia się stanu środowiska wodnego, a związane będą ze</w:t>
      </w:r>
      <w:r w:rsidR="00CD24D6" w:rsidRPr="00795F17">
        <w:t> </w:t>
      </w:r>
      <w:r w:rsidRPr="00795F17">
        <w:t>zmianą stopnia rozpoznania badanej jednostki. Dla</w:t>
      </w:r>
      <w:r w:rsidR="00CD24D6" w:rsidRPr="00795F17">
        <w:t xml:space="preserve"> </w:t>
      </w:r>
      <w:r w:rsidRPr="00795F17">
        <w:t>przykładu, w ostatnich latach wzrosła liczba oznaczeń tych samych par wskaźników w</w:t>
      </w:r>
      <w:r w:rsidR="00CD24D6" w:rsidRPr="00795F17">
        <w:t xml:space="preserve"> </w:t>
      </w:r>
      <w:r w:rsidRPr="00795F17">
        <w:t xml:space="preserve">monitoringu wód podziemnych i powierzchniowych, które podlegały ocenie w teście C.4 </w:t>
      </w:r>
      <w:r w:rsidR="00F760DE" w:rsidRPr="00795F17">
        <w:t>-</w:t>
      </w:r>
      <w:r w:rsidRPr="00795F17">
        <w:t xml:space="preserve"> Ochrona wód powierzchniowych. Spowodowało to, że stan niektórych </w:t>
      </w:r>
      <w:r w:rsidR="00DF005E">
        <w:t>JCWP</w:t>
      </w:r>
      <w:r w:rsidRPr="00795F17">
        <w:t>d został określony z większą wiarygodnością.</w:t>
      </w:r>
    </w:p>
    <w:p w14:paraId="483A488C" w14:textId="736DE237" w:rsidR="00CE597F" w:rsidRPr="00795F17" w:rsidRDefault="00CE597F" w:rsidP="0044393D">
      <w:r w:rsidRPr="00795F17">
        <w:t>W 2019</w:t>
      </w:r>
      <w:r w:rsidR="00CD24D6" w:rsidRPr="00795F17">
        <w:t> r.</w:t>
      </w:r>
      <w:r w:rsidRPr="00795F17">
        <w:t xml:space="preserve"> liczba </w:t>
      </w:r>
      <w:r w:rsidR="00DF005E">
        <w:t>JCWP</w:t>
      </w:r>
      <w:r w:rsidRPr="00795F17">
        <w:t xml:space="preserve">d o dobrym stanie chemicznym wyniosła </w:t>
      </w:r>
      <w:r w:rsidR="00CD24D6" w:rsidRPr="00795F17">
        <w:t>59</w:t>
      </w:r>
      <w:r w:rsidRPr="00795F17">
        <w:t>, a w 2016</w:t>
      </w:r>
      <w:r w:rsidR="00CD24D6" w:rsidRPr="00795F17">
        <w:t> r.</w:t>
      </w:r>
      <w:r w:rsidRPr="00795F17">
        <w:t xml:space="preserve"> </w:t>
      </w:r>
      <w:r w:rsidR="00BA657A">
        <w:t>–</w:t>
      </w:r>
      <w:r w:rsidRPr="00795F17">
        <w:t xml:space="preserve"> 61, natomiast liczba </w:t>
      </w:r>
      <w:r w:rsidR="00DF005E">
        <w:t>JCWP</w:t>
      </w:r>
      <w:r w:rsidRPr="00795F17">
        <w:t xml:space="preserve">d w stanie słabym wyniosła </w:t>
      </w:r>
      <w:r w:rsidR="00CD24D6" w:rsidRPr="00795F17">
        <w:t xml:space="preserve">odpowiednio 7 i </w:t>
      </w:r>
      <w:r w:rsidRPr="00795F17">
        <w:t>5. Dobry stan ilościowy w 2019</w:t>
      </w:r>
      <w:r w:rsidR="00CD24D6" w:rsidRPr="00795F17">
        <w:t> r.</w:t>
      </w:r>
      <w:r w:rsidRPr="00795F17">
        <w:t xml:space="preserve"> stwierdzono w</w:t>
      </w:r>
      <w:r w:rsidR="00EC73AA">
        <w:t> </w:t>
      </w:r>
      <w:r w:rsidRPr="00795F17">
        <w:t xml:space="preserve">56 </w:t>
      </w:r>
      <w:r w:rsidR="00DF005E">
        <w:t>JCWP</w:t>
      </w:r>
      <w:r w:rsidRPr="00795F17">
        <w:t>d, w 2016 r</w:t>
      </w:r>
      <w:r w:rsidR="00CD24D6" w:rsidRPr="00795F17">
        <w:t>.</w:t>
      </w:r>
      <w:r w:rsidRPr="00795F17">
        <w:t xml:space="preserve"> w</w:t>
      </w:r>
      <w:r w:rsidR="00CD24D6" w:rsidRPr="00795F17">
        <w:t> </w:t>
      </w:r>
      <w:r w:rsidR="005A6124" w:rsidRPr="00795F17">
        <w:t>61</w:t>
      </w:r>
      <w:r w:rsidRPr="00795F17">
        <w:t xml:space="preserve"> </w:t>
      </w:r>
      <w:r w:rsidR="00DF005E">
        <w:t>JCWP</w:t>
      </w:r>
      <w:r w:rsidRPr="00795F17">
        <w:t>d, a stan słaby w 2019 r</w:t>
      </w:r>
      <w:r w:rsidR="00BA657A">
        <w:t>.</w:t>
      </w:r>
      <w:r w:rsidRPr="00795F17">
        <w:t xml:space="preserve"> </w:t>
      </w:r>
      <w:r w:rsidR="00BA657A">
        <w:t>–</w:t>
      </w:r>
      <w:r w:rsidRPr="00795F17">
        <w:t xml:space="preserve"> 10, w 2016 r</w:t>
      </w:r>
      <w:r w:rsidR="00BA657A">
        <w:t>.</w:t>
      </w:r>
      <w:r w:rsidRPr="00795F17">
        <w:t xml:space="preserve"> </w:t>
      </w:r>
      <w:r w:rsidR="00BA657A">
        <w:t>–</w:t>
      </w:r>
      <w:r w:rsidRPr="00795F17">
        <w:t xml:space="preserve"> </w:t>
      </w:r>
      <w:r w:rsidR="005A6124" w:rsidRPr="00795F17">
        <w:t>5</w:t>
      </w:r>
      <w:r w:rsidRPr="00795F17">
        <w:t xml:space="preserve">. </w:t>
      </w:r>
    </w:p>
    <w:p w14:paraId="7EFDFF8B" w14:textId="75D84EFF" w:rsidR="00CE597F" w:rsidRPr="00795F17" w:rsidRDefault="00CE597F" w:rsidP="0044393D">
      <w:r w:rsidRPr="00795F17">
        <w:t xml:space="preserve">Poniżej w tabeli </w:t>
      </w:r>
      <w:r w:rsidR="00302BF2" w:rsidRPr="00795F17">
        <w:t>9-2</w:t>
      </w:r>
      <w:r w:rsidR="001A7902" w:rsidRPr="00795F17">
        <w:t>5</w:t>
      </w:r>
      <w:r w:rsidRPr="00795F17">
        <w:t xml:space="preserve"> znajduje się zestawienie wyników ocen stanu chemicznego i ilościowego </w:t>
      </w:r>
      <w:r w:rsidR="00DF005E">
        <w:t>JCWP</w:t>
      </w:r>
      <w:r w:rsidRPr="00795F17">
        <w:t>d z</w:t>
      </w:r>
      <w:r w:rsidR="005A6124" w:rsidRPr="00795F17">
        <w:t> </w:t>
      </w:r>
      <w:r w:rsidRPr="00795F17">
        <w:t>lat 2016 i 2019 w odniesieniu do regionów wodnych.</w:t>
      </w:r>
    </w:p>
    <w:p w14:paraId="12483215" w14:textId="20A3D75F" w:rsidR="00F961CD" w:rsidRPr="00795F17" w:rsidRDefault="00F961CD" w:rsidP="004D7705">
      <w:pPr>
        <w:pStyle w:val="Tabela"/>
      </w:pPr>
      <w:bookmarkStart w:id="513" w:name="_Toc66341928"/>
      <w:bookmarkStart w:id="514" w:name="_Toc105512849"/>
      <w:r w:rsidRPr="00795F17">
        <w:t xml:space="preserve">Tabela </w:t>
      </w:r>
      <w:fldSimple w:instr=" STYLEREF 1 \s ">
        <w:r w:rsidR="001F774D">
          <w:rPr>
            <w:noProof/>
          </w:rPr>
          <w:t>9</w:t>
        </w:r>
      </w:fldSimple>
      <w:r w:rsidR="00BB3B21" w:rsidRPr="00795F17">
        <w:noBreakHyphen/>
      </w:r>
      <w:fldSimple w:instr=" SEQ Tabela \* ARABIC \s 1 ">
        <w:r w:rsidR="001F774D">
          <w:rPr>
            <w:noProof/>
          </w:rPr>
          <w:t>25</w:t>
        </w:r>
      </w:fldSimple>
      <w:r w:rsidR="00E76356">
        <w:rPr>
          <w:noProof/>
        </w:rPr>
        <w:t>.</w:t>
      </w:r>
      <w:r w:rsidRPr="00795F17">
        <w:tab/>
      </w:r>
      <w:r w:rsidR="000B1A45" w:rsidRPr="00795F17">
        <w:t xml:space="preserve">Porównanie wyniku oceny stanu </w:t>
      </w:r>
      <w:r w:rsidR="00DF005E">
        <w:t>JCWP</w:t>
      </w:r>
      <w:r w:rsidR="000B1A45" w:rsidRPr="00795F17">
        <w:t xml:space="preserve">d w latach 2016 i 2019 w podziale na regiony wodne </w:t>
      </w:r>
      <w:r w:rsidR="006C26A1" w:rsidRPr="00795F17">
        <w:t xml:space="preserve">obszaru </w:t>
      </w:r>
      <w:r w:rsidR="000B1A45" w:rsidRPr="00795F17">
        <w:t>dorzecza Odry</w:t>
      </w:r>
      <w:bookmarkEnd w:id="513"/>
      <w:bookmarkEnd w:id="5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85"/>
        <w:gridCol w:w="820"/>
        <w:gridCol w:w="685"/>
        <w:gridCol w:w="681"/>
        <w:gridCol w:w="823"/>
        <w:gridCol w:w="683"/>
        <w:gridCol w:w="683"/>
        <w:gridCol w:w="683"/>
        <w:gridCol w:w="819"/>
      </w:tblGrid>
      <w:tr w:rsidR="00BD2181" w:rsidRPr="00795F17" w14:paraId="0EBF13D1" w14:textId="77777777" w:rsidTr="00BD2181">
        <w:trPr>
          <w:trHeight w:val="454"/>
          <w:tblHeader/>
        </w:trPr>
        <w:tc>
          <w:tcPr>
            <w:tcW w:w="1757" w:type="pct"/>
            <w:vMerge w:val="restart"/>
            <w:shd w:val="clear" w:color="auto" w:fill="BFBFBF"/>
            <w:noWrap/>
            <w:vAlign w:val="center"/>
            <w:hideMark/>
          </w:tcPr>
          <w:p w14:paraId="767E007D" w14:textId="77777777" w:rsidR="00BD2181" w:rsidRPr="00795F17" w:rsidRDefault="00BD2181" w:rsidP="00BD2181">
            <w:pPr>
              <w:pStyle w:val="Teksttabelinaglowek"/>
            </w:pPr>
            <w:r w:rsidRPr="00795F17">
              <w:t>Region wodny</w:t>
            </w:r>
          </w:p>
        </w:tc>
        <w:tc>
          <w:tcPr>
            <w:tcW w:w="1660" w:type="pct"/>
            <w:gridSpan w:val="4"/>
            <w:shd w:val="clear" w:color="auto" w:fill="BFBFBF"/>
            <w:vAlign w:val="center"/>
            <w:hideMark/>
          </w:tcPr>
          <w:p w14:paraId="5AE5A056" w14:textId="2773E24B" w:rsidR="00BD2181" w:rsidRPr="00795F17" w:rsidRDefault="00BD2181" w:rsidP="00BD2181">
            <w:pPr>
              <w:pStyle w:val="Teksttabelinaglowek"/>
            </w:pPr>
            <w:r w:rsidRPr="00795F17">
              <w:t xml:space="preserve">Porównanie wyników oceny stanu chemicznego </w:t>
            </w:r>
            <w:r w:rsidR="00DF005E">
              <w:t>JCWP</w:t>
            </w:r>
            <w:r w:rsidRPr="00795F17">
              <w:t>d</w:t>
            </w:r>
          </w:p>
        </w:tc>
        <w:tc>
          <w:tcPr>
            <w:tcW w:w="1582" w:type="pct"/>
            <w:gridSpan w:val="4"/>
            <w:shd w:val="clear" w:color="auto" w:fill="BFBFBF"/>
            <w:vAlign w:val="center"/>
            <w:hideMark/>
          </w:tcPr>
          <w:p w14:paraId="3644F6DC" w14:textId="2A0B81F2" w:rsidR="00BD2181" w:rsidRPr="00795F17" w:rsidRDefault="00BD2181" w:rsidP="00BD2181">
            <w:pPr>
              <w:pStyle w:val="Teksttabelinaglowek"/>
            </w:pPr>
            <w:r w:rsidRPr="00795F17">
              <w:t xml:space="preserve">Porównanie wyników oceny stanu ilościowego </w:t>
            </w:r>
            <w:r w:rsidR="00DF005E">
              <w:t>JCWP</w:t>
            </w:r>
            <w:r w:rsidRPr="00795F17">
              <w:t>d</w:t>
            </w:r>
          </w:p>
        </w:tc>
      </w:tr>
      <w:tr w:rsidR="00BD2181" w:rsidRPr="00795F17" w14:paraId="526028AD" w14:textId="77777777" w:rsidTr="00BD2181">
        <w:trPr>
          <w:trHeight w:val="454"/>
          <w:tblHeader/>
        </w:trPr>
        <w:tc>
          <w:tcPr>
            <w:tcW w:w="1757" w:type="pct"/>
            <w:vMerge/>
            <w:vAlign w:val="center"/>
            <w:hideMark/>
          </w:tcPr>
          <w:p w14:paraId="5367EDC0" w14:textId="77777777" w:rsidR="00BD2181" w:rsidRPr="00795F17" w:rsidRDefault="00BD2181" w:rsidP="00BD2181">
            <w:pPr>
              <w:pStyle w:val="Teksttabelinaglowek"/>
            </w:pPr>
          </w:p>
        </w:tc>
        <w:tc>
          <w:tcPr>
            <w:tcW w:w="830" w:type="pct"/>
            <w:gridSpan w:val="2"/>
            <w:shd w:val="clear" w:color="auto" w:fill="BFBFBF"/>
            <w:noWrap/>
            <w:vAlign w:val="center"/>
            <w:hideMark/>
          </w:tcPr>
          <w:p w14:paraId="5518BAC3" w14:textId="77777777" w:rsidR="00BD2181" w:rsidRPr="00795F17" w:rsidRDefault="00BD2181" w:rsidP="00BD2181">
            <w:pPr>
              <w:pStyle w:val="Teksttabelinaglowek"/>
            </w:pPr>
            <w:r w:rsidRPr="00795F17">
              <w:t>2016</w:t>
            </w:r>
          </w:p>
        </w:tc>
        <w:tc>
          <w:tcPr>
            <w:tcW w:w="830" w:type="pct"/>
            <w:gridSpan w:val="2"/>
            <w:shd w:val="clear" w:color="auto" w:fill="BFBFBF"/>
            <w:noWrap/>
            <w:vAlign w:val="center"/>
            <w:hideMark/>
          </w:tcPr>
          <w:p w14:paraId="30C1A6C7" w14:textId="77777777" w:rsidR="00BD2181" w:rsidRPr="00795F17" w:rsidRDefault="00BD2181" w:rsidP="00BD2181">
            <w:pPr>
              <w:pStyle w:val="Teksttabelinaglowek"/>
            </w:pPr>
            <w:r w:rsidRPr="00795F17">
              <w:t>2019</w:t>
            </w:r>
          </w:p>
        </w:tc>
        <w:tc>
          <w:tcPr>
            <w:tcW w:w="754" w:type="pct"/>
            <w:gridSpan w:val="2"/>
            <w:shd w:val="clear" w:color="auto" w:fill="BFBFBF"/>
            <w:noWrap/>
            <w:vAlign w:val="center"/>
            <w:hideMark/>
          </w:tcPr>
          <w:p w14:paraId="1027F544" w14:textId="77777777" w:rsidR="00BD2181" w:rsidRPr="00795F17" w:rsidRDefault="00BD2181" w:rsidP="00BD2181">
            <w:pPr>
              <w:pStyle w:val="Teksttabelinaglowek"/>
            </w:pPr>
            <w:r w:rsidRPr="00795F17">
              <w:t>2016</w:t>
            </w:r>
          </w:p>
        </w:tc>
        <w:tc>
          <w:tcPr>
            <w:tcW w:w="829" w:type="pct"/>
            <w:gridSpan w:val="2"/>
            <w:shd w:val="clear" w:color="auto" w:fill="BFBFBF"/>
            <w:noWrap/>
            <w:vAlign w:val="center"/>
            <w:hideMark/>
          </w:tcPr>
          <w:p w14:paraId="67F8E46D" w14:textId="77777777" w:rsidR="00BD2181" w:rsidRPr="00795F17" w:rsidRDefault="00BD2181" w:rsidP="00BD2181">
            <w:pPr>
              <w:pStyle w:val="Teksttabelinaglowek"/>
            </w:pPr>
            <w:r w:rsidRPr="00795F17">
              <w:t>2019</w:t>
            </w:r>
          </w:p>
        </w:tc>
      </w:tr>
      <w:tr w:rsidR="00BD2181" w:rsidRPr="00795F17" w14:paraId="0510703C" w14:textId="77777777" w:rsidTr="00BD2181">
        <w:trPr>
          <w:trHeight w:val="454"/>
          <w:tblHeader/>
        </w:trPr>
        <w:tc>
          <w:tcPr>
            <w:tcW w:w="1757" w:type="pct"/>
            <w:vMerge/>
            <w:vAlign w:val="center"/>
            <w:hideMark/>
          </w:tcPr>
          <w:p w14:paraId="4E055115" w14:textId="77777777" w:rsidR="00BD2181" w:rsidRPr="00795F17" w:rsidRDefault="00BD2181" w:rsidP="00BD2181">
            <w:pPr>
              <w:pStyle w:val="Teksttabelinaglowek"/>
            </w:pPr>
          </w:p>
        </w:tc>
        <w:tc>
          <w:tcPr>
            <w:tcW w:w="452" w:type="pct"/>
            <w:shd w:val="clear" w:color="auto" w:fill="70A800"/>
            <w:vAlign w:val="center"/>
            <w:hideMark/>
          </w:tcPr>
          <w:p w14:paraId="3D048379" w14:textId="77777777" w:rsidR="00BD2181" w:rsidRPr="00795F17" w:rsidRDefault="00BD2181" w:rsidP="00BD2181">
            <w:pPr>
              <w:pStyle w:val="Teksttabelinaglowek"/>
            </w:pPr>
            <w:r w:rsidRPr="00795F17">
              <w:t>dobry</w:t>
            </w:r>
          </w:p>
        </w:tc>
        <w:tc>
          <w:tcPr>
            <w:tcW w:w="378" w:type="pct"/>
            <w:shd w:val="clear" w:color="auto" w:fill="E60000"/>
            <w:vAlign w:val="center"/>
            <w:hideMark/>
          </w:tcPr>
          <w:p w14:paraId="7134818F" w14:textId="77777777" w:rsidR="00BD2181" w:rsidRPr="00795F17" w:rsidRDefault="00BD2181" w:rsidP="00BD2181">
            <w:pPr>
              <w:pStyle w:val="Teksttabelinaglowek"/>
            </w:pPr>
            <w:r w:rsidRPr="00795F17">
              <w:t>słaby</w:t>
            </w:r>
          </w:p>
        </w:tc>
        <w:tc>
          <w:tcPr>
            <w:tcW w:w="376" w:type="pct"/>
            <w:shd w:val="clear" w:color="auto" w:fill="70A800"/>
            <w:vAlign w:val="center"/>
            <w:hideMark/>
          </w:tcPr>
          <w:p w14:paraId="065B4B88" w14:textId="77777777" w:rsidR="00BD2181" w:rsidRPr="00795F17" w:rsidRDefault="00BD2181" w:rsidP="00BD2181">
            <w:pPr>
              <w:pStyle w:val="Teksttabelinaglowek"/>
            </w:pPr>
            <w:r w:rsidRPr="00795F17">
              <w:t>dobry</w:t>
            </w:r>
          </w:p>
        </w:tc>
        <w:tc>
          <w:tcPr>
            <w:tcW w:w="454" w:type="pct"/>
            <w:shd w:val="clear" w:color="auto" w:fill="E60000"/>
            <w:vAlign w:val="center"/>
            <w:hideMark/>
          </w:tcPr>
          <w:p w14:paraId="776D4831" w14:textId="77777777" w:rsidR="00BD2181" w:rsidRPr="00795F17" w:rsidRDefault="00BD2181" w:rsidP="00BD2181">
            <w:pPr>
              <w:pStyle w:val="Teksttabelinaglowek"/>
            </w:pPr>
            <w:r w:rsidRPr="00795F17">
              <w:t>słaby</w:t>
            </w:r>
          </w:p>
        </w:tc>
        <w:tc>
          <w:tcPr>
            <w:tcW w:w="377" w:type="pct"/>
            <w:shd w:val="clear" w:color="auto" w:fill="70A800"/>
            <w:vAlign w:val="center"/>
            <w:hideMark/>
          </w:tcPr>
          <w:p w14:paraId="36776AF3" w14:textId="77777777" w:rsidR="00BD2181" w:rsidRPr="00795F17" w:rsidRDefault="00BD2181" w:rsidP="00BD2181">
            <w:pPr>
              <w:pStyle w:val="Teksttabelinaglowek"/>
            </w:pPr>
            <w:r w:rsidRPr="00795F17">
              <w:t>dobry</w:t>
            </w:r>
          </w:p>
        </w:tc>
        <w:tc>
          <w:tcPr>
            <w:tcW w:w="377" w:type="pct"/>
            <w:shd w:val="clear" w:color="auto" w:fill="E60000"/>
            <w:vAlign w:val="center"/>
            <w:hideMark/>
          </w:tcPr>
          <w:p w14:paraId="1E4EBC87" w14:textId="77777777" w:rsidR="00BD2181" w:rsidRPr="00795F17" w:rsidRDefault="00BD2181" w:rsidP="00BD2181">
            <w:pPr>
              <w:pStyle w:val="Teksttabelinaglowek"/>
            </w:pPr>
            <w:r w:rsidRPr="00795F17">
              <w:t>słaby</w:t>
            </w:r>
          </w:p>
        </w:tc>
        <w:tc>
          <w:tcPr>
            <w:tcW w:w="377" w:type="pct"/>
            <w:shd w:val="clear" w:color="auto" w:fill="70A800"/>
            <w:vAlign w:val="center"/>
            <w:hideMark/>
          </w:tcPr>
          <w:p w14:paraId="4DA34F20" w14:textId="77777777" w:rsidR="00BD2181" w:rsidRPr="00795F17" w:rsidRDefault="00BD2181" w:rsidP="00BD2181">
            <w:pPr>
              <w:pStyle w:val="Teksttabelinaglowek"/>
            </w:pPr>
            <w:r w:rsidRPr="00795F17">
              <w:t>dobry</w:t>
            </w:r>
          </w:p>
        </w:tc>
        <w:tc>
          <w:tcPr>
            <w:tcW w:w="452" w:type="pct"/>
            <w:shd w:val="clear" w:color="auto" w:fill="E60000"/>
            <w:vAlign w:val="center"/>
            <w:hideMark/>
          </w:tcPr>
          <w:p w14:paraId="0D1F4E6D" w14:textId="77777777" w:rsidR="00BD2181" w:rsidRPr="00795F17" w:rsidRDefault="00BD2181" w:rsidP="00BD2181">
            <w:pPr>
              <w:pStyle w:val="Teksttabelinaglowek"/>
            </w:pPr>
            <w:r w:rsidRPr="00795F17">
              <w:t>słaby</w:t>
            </w:r>
          </w:p>
        </w:tc>
      </w:tr>
      <w:tr w:rsidR="00BD2181" w:rsidRPr="00795F17" w14:paraId="1A70C869" w14:textId="77777777" w:rsidTr="00BD2181">
        <w:trPr>
          <w:trHeight w:val="454"/>
        </w:trPr>
        <w:tc>
          <w:tcPr>
            <w:tcW w:w="1757" w:type="pct"/>
            <w:noWrap/>
            <w:vAlign w:val="center"/>
            <w:hideMark/>
          </w:tcPr>
          <w:p w14:paraId="62AE6FF5" w14:textId="77777777" w:rsidR="00BD2181" w:rsidRPr="00795F17" w:rsidRDefault="00BD2181" w:rsidP="00BD2181">
            <w:pPr>
              <w:pStyle w:val="Teksttabelilewy"/>
            </w:pPr>
            <w:r w:rsidRPr="00795F17">
              <w:t>Górnej Odry</w:t>
            </w:r>
          </w:p>
        </w:tc>
        <w:tc>
          <w:tcPr>
            <w:tcW w:w="452" w:type="pct"/>
            <w:noWrap/>
            <w:vAlign w:val="center"/>
            <w:hideMark/>
          </w:tcPr>
          <w:p w14:paraId="5909F2C1" w14:textId="77777777" w:rsidR="00BD2181" w:rsidRPr="00795F17" w:rsidRDefault="00BD2181" w:rsidP="00BD2181">
            <w:pPr>
              <w:pStyle w:val="Teksttabelisrodek"/>
            </w:pPr>
            <w:r w:rsidRPr="00795F17">
              <w:t>12</w:t>
            </w:r>
          </w:p>
        </w:tc>
        <w:tc>
          <w:tcPr>
            <w:tcW w:w="378" w:type="pct"/>
            <w:noWrap/>
            <w:vAlign w:val="center"/>
            <w:hideMark/>
          </w:tcPr>
          <w:p w14:paraId="6DB2AD67" w14:textId="77777777" w:rsidR="00BD2181" w:rsidRPr="00795F17" w:rsidRDefault="00BD2181" w:rsidP="00BD2181">
            <w:pPr>
              <w:pStyle w:val="Teksttabelisrodek"/>
            </w:pPr>
            <w:r w:rsidRPr="00795F17">
              <w:t>1</w:t>
            </w:r>
          </w:p>
        </w:tc>
        <w:tc>
          <w:tcPr>
            <w:tcW w:w="376" w:type="pct"/>
            <w:noWrap/>
            <w:vAlign w:val="center"/>
            <w:hideMark/>
          </w:tcPr>
          <w:p w14:paraId="7AB339B5" w14:textId="77777777" w:rsidR="00BD2181" w:rsidRPr="00795F17" w:rsidRDefault="00BD2181" w:rsidP="00BD2181">
            <w:pPr>
              <w:pStyle w:val="Teksttabelisrodek"/>
            </w:pPr>
            <w:r w:rsidRPr="00795F17">
              <w:t>12</w:t>
            </w:r>
          </w:p>
        </w:tc>
        <w:tc>
          <w:tcPr>
            <w:tcW w:w="454" w:type="pct"/>
            <w:noWrap/>
            <w:vAlign w:val="center"/>
            <w:hideMark/>
          </w:tcPr>
          <w:p w14:paraId="48B9C72B" w14:textId="77777777" w:rsidR="00BD2181" w:rsidRPr="00795F17" w:rsidRDefault="00BD2181" w:rsidP="00BD2181">
            <w:pPr>
              <w:pStyle w:val="Teksttabelisrodek"/>
            </w:pPr>
            <w:r w:rsidRPr="00795F17">
              <w:t>1</w:t>
            </w:r>
          </w:p>
        </w:tc>
        <w:tc>
          <w:tcPr>
            <w:tcW w:w="377" w:type="pct"/>
            <w:noWrap/>
            <w:vAlign w:val="center"/>
            <w:hideMark/>
          </w:tcPr>
          <w:p w14:paraId="1A1AA48D" w14:textId="77777777" w:rsidR="00BD2181" w:rsidRPr="00795F17" w:rsidRDefault="00BD2181" w:rsidP="00BD2181">
            <w:pPr>
              <w:pStyle w:val="Teksttabelisrodek"/>
            </w:pPr>
            <w:r w:rsidRPr="00795F17">
              <w:t>11</w:t>
            </w:r>
          </w:p>
        </w:tc>
        <w:tc>
          <w:tcPr>
            <w:tcW w:w="377" w:type="pct"/>
            <w:noWrap/>
            <w:vAlign w:val="center"/>
            <w:hideMark/>
          </w:tcPr>
          <w:p w14:paraId="0B27663B" w14:textId="77777777" w:rsidR="00BD2181" w:rsidRPr="00795F17" w:rsidRDefault="00BD2181" w:rsidP="00BD2181">
            <w:pPr>
              <w:pStyle w:val="Teksttabelisrodek"/>
            </w:pPr>
            <w:r w:rsidRPr="00795F17">
              <w:t>2</w:t>
            </w:r>
          </w:p>
        </w:tc>
        <w:tc>
          <w:tcPr>
            <w:tcW w:w="377" w:type="pct"/>
            <w:noWrap/>
            <w:vAlign w:val="center"/>
            <w:hideMark/>
          </w:tcPr>
          <w:p w14:paraId="018990F9" w14:textId="77777777" w:rsidR="00BD2181" w:rsidRPr="00795F17" w:rsidRDefault="00BD2181" w:rsidP="00BD2181">
            <w:pPr>
              <w:pStyle w:val="Teksttabelisrodek"/>
            </w:pPr>
            <w:r w:rsidRPr="00795F17">
              <w:t>11</w:t>
            </w:r>
          </w:p>
        </w:tc>
        <w:tc>
          <w:tcPr>
            <w:tcW w:w="452" w:type="pct"/>
            <w:noWrap/>
            <w:vAlign w:val="center"/>
            <w:hideMark/>
          </w:tcPr>
          <w:p w14:paraId="158B4207" w14:textId="77777777" w:rsidR="00BD2181" w:rsidRPr="00795F17" w:rsidRDefault="00BD2181" w:rsidP="00BD2181">
            <w:pPr>
              <w:pStyle w:val="Teksttabelisrodek"/>
            </w:pPr>
            <w:r w:rsidRPr="00795F17">
              <w:t>2</w:t>
            </w:r>
          </w:p>
        </w:tc>
      </w:tr>
      <w:tr w:rsidR="00BD2181" w:rsidRPr="00795F17" w14:paraId="1B262452" w14:textId="77777777" w:rsidTr="00BD2181">
        <w:trPr>
          <w:trHeight w:val="454"/>
        </w:trPr>
        <w:tc>
          <w:tcPr>
            <w:tcW w:w="1757" w:type="pct"/>
            <w:noWrap/>
            <w:vAlign w:val="center"/>
            <w:hideMark/>
          </w:tcPr>
          <w:p w14:paraId="73C51628" w14:textId="77777777" w:rsidR="00BD2181" w:rsidRPr="00795F17" w:rsidRDefault="00BD2181" w:rsidP="00BD2181">
            <w:pPr>
              <w:pStyle w:val="Teksttabelilewy"/>
            </w:pPr>
            <w:r w:rsidRPr="00795F17">
              <w:t>Środkowej Odry</w:t>
            </w:r>
          </w:p>
        </w:tc>
        <w:tc>
          <w:tcPr>
            <w:tcW w:w="452" w:type="pct"/>
            <w:noWrap/>
            <w:vAlign w:val="center"/>
            <w:hideMark/>
          </w:tcPr>
          <w:p w14:paraId="6AEFF2F4" w14:textId="77777777" w:rsidR="00BD2181" w:rsidRPr="00795F17" w:rsidRDefault="00BD2181" w:rsidP="00BD2181">
            <w:pPr>
              <w:pStyle w:val="Teksttabelisrodek"/>
            </w:pPr>
            <w:r w:rsidRPr="00795F17">
              <w:t>21*</w:t>
            </w:r>
          </w:p>
        </w:tc>
        <w:tc>
          <w:tcPr>
            <w:tcW w:w="378" w:type="pct"/>
            <w:noWrap/>
            <w:vAlign w:val="center"/>
            <w:hideMark/>
          </w:tcPr>
          <w:p w14:paraId="12486AF6" w14:textId="0573A7A5" w:rsidR="00BD2181" w:rsidRPr="00795F17" w:rsidRDefault="00BD2181" w:rsidP="00BD2181">
            <w:pPr>
              <w:pStyle w:val="Teksttabelisrodek"/>
            </w:pPr>
            <w:r w:rsidRPr="00795F17">
              <w:t> </w:t>
            </w:r>
            <w:r w:rsidR="00F80758" w:rsidRPr="00795F17">
              <w:t>0</w:t>
            </w:r>
          </w:p>
        </w:tc>
        <w:tc>
          <w:tcPr>
            <w:tcW w:w="376" w:type="pct"/>
            <w:noWrap/>
            <w:vAlign w:val="center"/>
            <w:hideMark/>
          </w:tcPr>
          <w:p w14:paraId="7F3C1DA1" w14:textId="77777777" w:rsidR="00BD2181" w:rsidRPr="00795F17" w:rsidRDefault="00BD2181" w:rsidP="00BD2181">
            <w:pPr>
              <w:pStyle w:val="Teksttabelisrodek"/>
            </w:pPr>
            <w:r w:rsidRPr="00795F17">
              <w:t>20*</w:t>
            </w:r>
          </w:p>
        </w:tc>
        <w:tc>
          <w:tcPr>
            <w:tcW w:w="454" w:type="pct"/>
            <w:noWrap/>
            <w:vAlign w:val="center"/>
            <w:hideMark/>
          </w:tcPr>
          <w:p w14:paraId="4049A785" w14:textId="77777777" w:rsidR="00BD2181" w:rsidRPr="00795F17" w:rsidRDefault="00BD2181" w:rsidP="00BD2181">
            <w:pPr>
              <w:pStyle w:val="Teksttabelisrodek"/>
            </w:pPr>
            <w:r w:rsidRPr="00795F17">
              <w:t>1</w:t>
            </w:r>
          </w:p>
        </w:tc>
        <w:tc>
          <w:tcPr>
            <w:tcW w:w="377" w:type="pct"/>
            <w:noWrap/>
            <w:vAlign w:val="center"/>
            <w:hideMark/>
          </w:tcPr>
          <w:p w14:paraId="64AC60DF" w14:textId="77777777" w:rsidR="00BD2181" w:rsidRPr="00795F17" w:rsidRDefault="00BD2181" w:rsidP="00BD2181">
            <w:pPr>
              <w:pStyle w:val="Teksttabelisrodek"/>
            </w:pPr>
            <w:r w:rsidRPr="00795F17">
              <w:t>20*</w:t>
            </w:r>
          </w:p>
        </w:tc>
        <w:tc>
          <w:tcPr>
            <w:tcW w:w="377" w:type="pct"/>
            <w:noWrap/>
            <w:vAlign w:val="center"/>
            <w:hideMark/>
          </w:tcPr>
          <w:p w14:paraId="440D36C2" w14:textId="77777777" w:rsidR="00BD2181" w:rsidRPr="00795F17" w:rsidRDefault="00BD2181" w:rsidP="00BD2181">
            <w:pPr>
              <w:pStyle w:val="Teksttabelisrodek"/>
            </w:pPr>
            <w:r w:rsidRPr="00795F17">
              <w:t>1</w:t>
            </w:r>
          </w:p>
        </w:tc>
        <w:tc>
          <w:tcPr>
            <w:tcW w:w="377" w:type="pct"/>
            <w:noWrap/>
            <w:vAlign w:val="center"/>
            <w:hideMark/>
          </w:tcPr>
          <w:p w14:paraId="49FA91F5" w14:textId="77777777" w:rsidR="00BD2181" w:rsidRPr="00795F17" w:rsidRDefault="00BD2181" w:rsidP="00BD2181">
            <w:pPr>
              <w:pStyle w:val="Teksttabelisrodek"/>
            </w:pPr>
            <w:r w:rsidRPr="00795F17">
              <w:t>18*</w:t>
            </w:r>
          </w:p>
        </w:tc>
        <w:tc>
          <w:tcPr>
            <w:tcW w:w="452" w:type="pct"/>
            <w:noWrap/>
            <w:vAlign w:val="center"/>
            <w:hideMark/>
          </w:tcPr>
          <w:p w14:paraId="2CBE49E8" w14:textId="77777777" w:rsidR="00BD2181" w:rsidRPr="00795F17" w:rsidRDefault="00BD2181" w:rsidP="00BD2181">
            <w:pPr>
              <w:pStyle w:val="Teksttabelisrodek"/>
            </w:pPr>
            <w:r w:rsidRPr="00795F17">
              <w:t>3</w:t>
            </w:r>
          </w:p>
        </w:tc>
      </w:tr>
      <w:tr w:rsidR="00BD2181" w:rsidRPr="00795F17" w14:paraId="6A2455D1" w14:textId="77777777" w:rsidTr="00BD2181">
        <w:trPr>
          <w:trHeight w:val="454"/>
        </w:trPr>
        <w:tc>
          <w:tcPr>
            <w:tcW w:w="1757" w:type="pct"/>
            <w:noWrap/>
            <w:vAlign w:val="center"/>
            <w:hideMark/>
          </w:tcPr>
          <w:p w14:paraId="214C2BDE" w14:textId="77777777" w:rsidR="00BD2181" w:rsidRPr="00795F17" w:rsidRDefault="00BD2181" w:rsidP="00BD2181">
            <w:pPr>
              <w:pStyle w:val="Teksttabelilewy"/>
            </w:pPr>
            <w:r w:rsidRPr="00795F17">
              <w:t>Dolnej Odry i Przymorza Zachodniego</w:t>
            </w:r>
          </w:p>
        </w:tc>
        <w:tc>
          <w:tcPr>
            <w:tcW w:w="452" w:type="pct"/>
            <w:noWrap/>
            <w:vAlign w:val="center"/>
            <w:hideMark/>
          </w:tcPr>
          <w:p w14:paraId="023BA178" w14:textId="77777777" w:rsidR="00BD2181" w:rsidRPr="00795F17" w:rsidRDefault="00BD2181" w:rsidP="00BD2181">
            <w:pPr>
              <w:pStyle w:val="Teksttabelisrodek"/>
            </w:pPr>
            <w:r w:rsidRPr="00795F17">
              <w:t>11</w:t>
            </w:r>
          </w:p>
        </w:tc>
        <w:tc>
          <w:tcPr>
            <w:tcW w:w="378" w:type="pct"/>
            <w:noWrap/>
            <w:vAlign w:val="center"/>
            <w:hideMark/>
          </w:tcPr>
          <w:p w14:paraId="44AE2673" w14:textId="77777777" w:rsidR="00BD2181" w:rsidRPr="00795F17" w:rsidRDefault="00BD2181" w:rsidP="00BD2181">
            <w:pPr>
              <w:pStyle w:val="Teksttabelisrodek"/>
            </w:pPr>
            <w:r w:rsidRPr="00795F17">
              <w:t>1</w:t>
            </w:r>
          </w:p>
        </w:tc>
        <w:tc>
          <w:tcPr>
            <w:tcW w:w="376" w:type="pct"/>
            <w:noWrap/>
            <w:vAlign w:val="center"/>
            <w:hideMark/>
          </w:tcPr>
          <w:p w14:paraId="6805E9E9" w14:textId="77777777" w:rsidR="00BD2181" w:rsidRPr="00795F17" w:rsidRDefault="00BD2181" w:rsidP="00BD2181">
            <w:pPr>
              <w:pStyle w:val="Teksttabelisrodek"/>
            </w:pPr>
            <w:r w:rsidRPr="00795F17">
              <w:t>11</w:t>
            </w:r>
          </w:p>
        </w:tc>
        <w:tc>
          <w:tcPr>
            <w:tcW w:w="454" w:type="pct"/>
            <w:noWrap/>
            <w:vAlign w:val="center"/>
            <w:hideMark/>
          </w:tcPr>
          <w:p w14:paraId="45EB8236" w14:textId="77777777" w:rsidR="00BD2181" w:rsidRPr="00795F17" w:rsidRDefault="00BD2181" w:rsidP="00BD2181">
            <w:pPr>
              <w:pStyle w:val="Teksttabelisrodek"/>
            </w:pPr>
            <w:r w:rsidRPr="00795F17">
              <w:t>1</w:t>
            </w:r>
          </w:p>
        </w:tc>
        <w:tc>
          <w:tcPr>
            <w:tcW w:w="377" w:type="pct"/>
            <w:noWrap/>
            <w:vAlign w:val="center"/>
            <w:hideMark/>
          </w:tcPr>
          <w:p w14:paraId="76EF210A" w14:textId="77777777" w:rsidR="00BD2181" w:rsidRPr="00795F17" w:rsidRDefault="00BD2181" w:rsidP="00BD2181">
            <w:pPr>
              <w:pStyle w:val="Teksttabelisrodek"/>
            </w:pPr>
            <w:r w:rsidRPr="00795F17">
              <w:t>11</w:t>
            </w:r>
          </w:p>
        </w:tc>
        <w:tc>
          <w:tcPr>
            <w:tcW w:w="377" w:type="pct"/>
            <w:noWrap/>
            <w:vAlign w:val="center"/>
            <w:hideMark/>
          </w:tcPr>
          <w:p w14:paraId="4ED36B27" w14:textId="77777777" w:rsidR="00BD2181" w:rsidRPr="00795F17" w:rsidRDefault="00BD2181" w:rsidP="00BD2181">
            <w:pPr>
              <w:pStyle w:val="Teksttabelisrodek"/>
            </w:pPr>
            <w:r w:rsidRPr="00795F17">
              <w:t>1</w:t>
            </w:r>
          </w:p>
        </w:tc>
        <w:tc>
          <w:tcPr>
            <w:tcW w:w="377" w:type="pct"/>
            <w:noWrap/>
            <w:vAlign w:val="center"/>
            <w:hideMark/>
          </w:tcPr>
          <w:p w14:paraId="1FC28E03" w14:textId="77777777" w:rsidR="00BD2181" w:rsidRPr="00795F17" w:rsidRDefault="00BD2181" w:rsidP="00BD2181">
            <w:pPr>
              <w:pStyle w:val="Teksttabelisrodek"/>
            </w:pPr>
            <w:r w:rsidRPr="00795F17">
              <w:t>10</w:t>
            </w:r>
          </w:p>
        </w:tc>
        <w:tc>
          <w:tcPr>
            <w:tcW w:w="452" w:type="pct"/>
            <w:noWrap/>
            <w:vAlign w:val="center"/>
            <w:hideMark/>
          </w:tcPr>
          <w:p w14:paraId="05CED093" w14:textId="77777777" w:rsidR="00BD2181" w:rsidRPr="00795F17" w:rsidRDefault="00BD2181" w:rsidP="00BD2181">
            <w:pPr>
              <w:pStyle w:val="Teksttabelisrodek"/>
            </w:pPr>
            <w:r w:rsidRPr="00795F17">
              <w:t>2</w:t>
            </w:r>
          </w:p>
        </w:tc>
      </w:tr>
      <w:tr w:rsidR="00BD2181" w:rsidRPr="00795F17" w14:paraId="5D072AF3" w14:textId="77777777" w:rsidTr="00BD2181">
        <w:trPr>
          <w:trHeight w:val="454"/>
        </w:trPr>
        <w:tc>
          <w:tcPr>
            <w:tcW w:w="1757" w:type="pct"/>
            <w:noWrap/>
            <w:vAlign w:val="center"/>
            <w:hideMark/>
          </w:tcPr>
          <w:p w14:paraId="0EFD1888" w14:textId="77777777" w:rsidR="00BD2181" w:rsidRPr="00795F17" w:rsidRDefault="00BD2181" w:rsidP="00BD2181">
            <w:pPr>
              <w:pStyle w:val="Teksttabelilewy"/>
            </w:pPr>
            <w:r w:rsidRPr="00795F17">
              <w:t>Warty</w:t>
            </w:r>
          </w:p>
        </w:tc>
        <w:tc>
          <w:tcPr>
            <w:tcW w:w="452" w:type="pct"/>
            <w:noWrap/>
            <w:vAlign w:val="center"/>
            <w:hideMark/>
          </w:tcPr>
          <w:p w14:paraId="1EA2D893" w14:textId="77777777" w:rsidR="00BD2181" w:rsidRPr="00795F17" w:rsidRDefault="00BD2181" w:rsidP="00BD2181">
            <w:pPr>
              <w:pStyle w:val="Teksttabelisrodek"/>
            </w:pPr>
            <w:r w:rsidRPr="00795F17">
              <w:t>14*</w:t>
            </w:r>
          </w:p>
        </w:tc>
        <w:tc>
          <w:tcPr>
            <w:tcW w:w="378" w:type="pct"/>
            <w:noWrap/>
            <w:vAlign w:val="center"/>
            <w:hideMark/>
          </w:tcPr>
          <w:p w14:paraId="685B3799" w14:textId="77777777" w:rsidR="00BD2181" w:rsidRPr="00795F17" w:rsidRDefault="00BD2181" w:rsidP="00BD2181">
            <w:pPr>
              <w:pStyle w:val="Teksttabelisrodek"/>
            </w:pPr>
            <w:r w:rsidRPr="00795F17">
              <w:t>2</w:t>
            </w:r>
          </w:p>
        </w:tc>
        <w:tc>
          <w:tcPr>
            <w:tcW w:w="376" w:type="pct"/>
            <w:noWrap/>
            <w:vAlign w:val="center"/>
            <w:hideMark/>
          </w:tcPr>
          <w:p w14:paraId="0E70CB44" w14:textId="77777777" w:rsidR="00BD2181" w:rsidRPr="00795F17" w:rsidRDefault="00BD2181" w:rsidP="00BD2181">
            <w:pPr>
              <w:pStyle w:val="Teksttabelisrodek"/>
            </w:pPr>
            <w:r w:rsidRPr="00795F17">
              <w:t>15*</w:t>
            </w:r>
          </w:p>
        </w:tc>
        <w:tc>
          <w:tcPr>
            <w:tcW w:w="454" w:type="pct"/>
            <w:noWrap/>
            <w:vAlign w:val="center"/>
            <w:hideMark/>
          </w:tcPr>
          <w:p w14:paraId="1832ABA6" w14:textId="77777777" w:rsidR="00BD2181" w:rsidRPr="00795F17" w:rsidRDefault="00BD2181" w:rsidP="00BD2181">
            <w:pPr>
              <w:pStyle w:val="Teksttabelisrodek"/>
            </w:pPr>
            <w:r w:rsidRPr="00795F17">
              <w:t>1</w:t>
            </w:r>
          </w:p>
        </w:tc>
        <w:tc>
          <w:tcPr>
            <w:tcW w:w="377" w:type="pct"/>
            <w:noWrap/>
            <w:vAlign w:val="center"/>
            <w:hideMark/>
          </w:tcPr>
          <w:p w14:paraId="6AEFBEC4" w14:textId="77777777" w:rsidR="00BD2181" w:rsidRPr="00795F17" w:rsidRDefault="00BD2181" w:rsidP="00BD2181">
            <w:pPr>
              <w:pStyle w:val="Teksttabelisrodek"/>
            </w:pPr>
            <w:r w:rsidRPr="00795F17">
              <w:t>14*</w:t>
            </w:r>
          </w:p>
        </w:tc>
        <w:tc>
          <w:tcPr>
            <w:tcW w:w="377" w:type="pct"/>
            <w:noWrap/>
            <w:vAlign w:val="center"/>
            <w:hideMark/>
          </w:tcPr>
          <w:p w14:paraId="0A765FA4" w14:textId="77777777" w:rsidR="00BD2181" w:rsidRPr="00795F17" w:rsidRDefault="00BD2181" w:rsidP="00BD2181">
            <w:pPr>
              <w:pStyle w:val="Teksttabelisrodek"/>
            </w:pPr>
            <w:r w:rsidRPr="00795F17">
              <w:t>2</w:t>
            </w:r>
          </w:p>
        </w:tc>
        <w:tc>
          <w:tcPr>
            <w:tcW w:w="377" w:type="pct"/>
            <w:noWrap/>
            <w:vAlign w:val="center"/>
            <w:hideMark/>
          </w:tcPr>
          <w:p w14:paraId="7A3FC28F" w14:textId="77777777" w:rsidR="00BD2181" w:rsidRPr="00795F17" w:rsidRDefault="00BD2181" w:rsidP="00BD2181">
            <w:pPr>
              <w:pStyle w:val="Teksttabelisrodek"/>
            </w:pPr>
            <w:r w:rsidRPr="00795F17">
              <w:t>14*</w:t>
            </w:r>
          </w:p>
        </w:tc>
        <w:tc>
          <w:tcPr>
            <w:tcW w:w="452" w:type="pct"/>
            <w:noWrap/>
            <w:vAlign w:val="center"/>
            <w:hideMark/>
          </w:tcPr>
          <w:p w14:paraId="7B17D9B0" w14:textId="77777777" w:rsidR="00BD2181" w:rsidRPr="00795F17" w:rsidRDefault="00BD2181" w:rsidP="00BD2181">
            <w:pPr>
              <w:pStyle w:val="Teksttabelisrodek"/>
            </w:pPr>
            <w:r w:rsidRPr="00795F17">
              <w:t>2</w:t>
            </w:r>
          </w:p>
        </w:tc>
      </w:tr>
      <w:tr w:rsidR="00BD2181" w:rsidRPr="00795F17" w14:paraId="5630C38E" w14:textId="77777777" w:rsidTr="00BD2181">
        <w:trPr>
          <w:trHeight w:val="454"/>
        </w:trPr>
        <w:tc>
          <w:tcPr>
            <w:tcW w:w="1757" w:type="pct"/>
            <w:noWrap/>
            <w:vAlign w:val="center"/>
            <w:hideMark/>
          </w:tcPr>
          <w:p w14:paraId="77078969" w14:textId="77777777" w:rsidR="00BD2181" w:rsidRPr="00795F17" w:rsidRDefault="00BD2181" w:rsidP="00BD2181">
            <w:pPr>
              <w:pStyle w:val="Teksttabelilewy"/>
            </w:pPr>
            <w:r w:rsidRPr="00795F17">
              <w:t>Noteci</w:t>
            </w:r>
          </w:p>
        </w:tc>
        <w:tc>
          <w:tcPr>
            <w:tcW w:w="452" w:type="pct"/>
            <w:noWrap/>
            <w:vAlign w:val="center"/>
            <w:hideMark/>
          </w:tcPr>
          <w:p w14:paraId="772F78E0" w14:textId="77777777" w:rsidR="00BD2181" w:rsidRPr="00795F17" w:rsidRDefault="00BD2181" w:rsidP="00BD2181">
            <w:pPr>
              <w:pStyle w:val="Teksttabelisrodek"/>
            </w:pPr>
            <w:r w:rsidRPr="00795F17">
              <w:t>5*</w:t>
            </w:r>
          </w:p>
        </w:tc>
        <w:tc>
          <w:tcPr>
            <w:tcW w:w="378" w:type="pct"/>
            <w:noWrap/>
            <w:vAlign w:val="center"/>
            <w:hideMark/>
          </w:tcPr>
          <w:p w14:paraId="733D33C4" w14:textId="77777777" w:rsidR="00BD2181" w:rsidRPr="00795F17" w:rsidRDefault="00BD2181" w:rsidP="00BD2181">
            <w:pPr>
              <w:pStyle w:val="Teksttabelisrodek"/>
            </w:pPr>
            <w:r w:rsidRPr="00795F17">
              <w:t>1*</w:t>
            </w:r>
          </w:p>
        </w:tc>
        <w:tc>
          <w:tcPr>
            <w:tcW w:w="376" w:type="pct"/>
            <w:noWrap/>
            <w:vAlign w:val="center"/>
            <w:hideMark/>
          </w:tcPr>
          <w:p w14:paraId="0DF7D2ED" w14:textId="77777777" w:rsidR="00BD2181" w:rsidRPr="00795F17" w:rsidRDefault="00BD2181" w:rsidP="00BD2181">
            <w:pPr>
              <w:pStyle w:val="Teksttabelisrodek"/>
            </w:pPr>
            <w:r w:rsidRPr="00795F17">
              <w:t>5*</w:t>
            </w:r>
          </w:p>
        </w:tc>
        <w:tc>
          <w:tcPr>
            <w:tcW w:w="454" w:type="pct"/>
            <w:noWrap/>
            <w:vAlign w:val="center"/>
            <w:hideMark/>
          </w:tcPr>
          <w:p w14:paraId="77639726" w14:textId="77777777" w:rsidR="00BD2181" w:rsidRPr="00795F17" w:rsidRDefault="00BD2181" w:rsidP="00BD2181">
            <w:pPr>
              <w:pStyle w:val="Teksttabelisrodek"/>
            </w:pPr>
            <w:r w:rsidRPr="00795F17">
              <w:t>1*</w:t>
            </w:r>
          </w:p>
        </w:tc>
        <w:tc>
          <w:tcPr>
            <w:tcW w:w="377" w:type="pct"/>
            <w:noWrap/>
            <w:vAlign w:val="center"/>
            <w:hideMark/>
          </w:tcPr>
          <w:p w14:paraId="42AA90D4" w14:textId="77777777" w:rsidR="00BD2181" w:rsidRPr="00795F17" w:rsidRDefault="00BD2181" w:rsidP="00BD2181">
            <w:pPr>
              <w:pStyle w:val="Teksttabelisrodek"/>
            </w:pPr>
            <w:r w:rsidRPr="00795F17">
              <w:t>4*</w:t>
            </w:r>
          </w:p>
        </w:tc>
        <w:tc>
          <w:tcPr>
            <w:tcW w:w="377" w:type="pct"/>
            <w:noWrap/>
            <w:vAlign w:val="center"/>
            <w:hideMark/>
          </w:tcPr>
          <w:p w14:paraId="2482F0F4" w14:textId="77777777" w:rsidR="00BD2181" w:rsidRPr="00795F17" w:rsidRDefault="00BD2181" w:rsidP="00BD2181">
            <w:pPr>
              <w:pStyle w:val="Teksttabelisrodek"/>
            </w:pPr>
            <w:r w:rsidRPr="00795F17">
              <w:t>2*</w:t>
            </w:r>
          </w:p>
        </w:tc>
        <w:tc>
          <w:tcPr>
            <w:tcW w:w="377" w:type="pct"/>
            <w:noWrap/>
            <w:vAlign w:val="center"/>
            <w:hideMark/>
          </w:tcPr>
          <w:p w14:paraId="4E62959C" w14:textId="77777777" w:rsidR="00BD2181" w:rsidRPr="00795F17" w:rsidRDefault="00BD2181" w:rsidP="00BD2181">
            <w:pPr>
              <w:pStyle w:val="Teksttabelisrodek"/>
            </w:pPr>
            <w:r w:rsidRPr="00795F17">
              <w:t>4*</w:t>
            </w:r>
          </w:p>
        </w:tc>
        <w:tc>
          <w:tcPr>
            <w:tcW w:w="452" w:type="pct"/>
            <w:noWrap/>
            <w:vAlign w:val="center"/>
            <w:hideMark/>
          </w:tcPr>
          <w:p w14:paraId="37125AC3" w14:textId="77777777" w:rsidR="00BD2181" w:rsidRPr="00795F17" w:rsidRDefault="00BD2181" w:rsidP="00BD2181">
            <w:pPr>
              <w:pStyle w:val="Teksttabelisrodek"/>
            </w:pPr>
            <w:r w:rsidRPr="00795F17">
              <w:t>2*</w:t>
            </w:r>
          </w:p>
        </w:tc>
      </w:tr>
      <w:tr w:rsidR="00BD2181" w:rsidRPr="00795F17" w14:paraId="6543C07B" w14:textId="77777777" w:rsidTr="00BD2181">
        <w:trPr>
          <w:trHeight w:val="454"/>
        </w:trPr>
        <w:tc>
          <w:tcPr>
            <w:tcW w:w="1757" w:type="pct"/>
            <w:shd w:val="clear" w:color="auto" w:fill="BFBFBF"/>
            <w:noWrap/>
            <w:vAlign w:val="center"/>
            <w:hideMark/>
          </w:tcPr>
          <w:p w14:paraId="27CAFAD3" w14:textId="77777777" w:rsidR="00BD2181" w:rsidRPr="00795F17" w:rsidRDefault="00BD2181" w:rsidP="003D121A">
            <w:pPr>
              <w:pStyle w:val="Teksttabelinaglowek"/>
              <w:rPr>
                <w:bCs/>
              </w:rPr>
            </w:pPr>
            <w:r w:rsidRPr="00795F17">
              <w:t>Suma końcowa</w:t>
            </w:r>
          </w:p>
        </w:tc>
        <w:tc>
          <w:tcPr>
            <w:tcW w:w="452" w:type="pct"/>
            <w:shd w:val="clear" w:color="auto" w:fill="BFBFBF"/>
            <w:noWrap/>
            <w:vAlign w:val="center"/>
            <w:hideMark/>
          </w:tcPr>
          <w:p w14:paraId="31053B22" w14:textId="77777777" w:rsidR="00BD2181" w:rsidRPr="00795F17" w:rsidRDefault="00BD2181" w:rsidP="003D121A">
            <w:pPr>
              <w:pStyle w:val="Teksttabelinaglowek"/>
              <w:rPr>
                <w:bCs/>
              </w:rPr>
            </w:pPr>
            <w:r w:rsidRPr="00795F17">
              <w:t>61</w:t>
            </w:r>
          </w:p>
        </w:tc>
        <w:tc>
          <w:tcPr>
            <w:tcW w:w="378" w:type="pct"/>
            <w:shd w:val="clear" w:color="auto" w:fill="BFBFBF"/>
            <w:noWrap/>
            <w:vAlign w:val="center"/>
            <w:hideMark/>
          </w:tcPr>
          <w:p w14:paraId="30BA4FF5" w14:textId="77777777" w:rsidR="00BD2181" w:rsidRPr="00795F17" w:rsidRDefault="00BD2181" w:rsidP="003D121A">
            <w:pPr>
              <w:pStyle w:val="Teksttabelinaglowek"/>
              <w:rPr>
                <w:bCs/>
              </w:rPr>
            </w:pPr>
            <w:r w:rsidRPr="00795F17">
              <w:t>5</w:t>
            </w:r>
          </w:p>
        </w:tc>
        <w:tc>
          <w:tcPr>
            <w:tcW w:w="376" w:type="pct"/>
            <w:shd w:val="clear" w:color="auto" w:fill="BFBFBF"/>
            <w:noWrap/>
            <w:vAlign w:val="center"/>
            <w:hideMark/>
          </w:tcPr>
          <w:p w14:paraId="769A4437" w14:textId="77777777" w:rsidR="00BD2181" w:rsidRPr="00795F17" w:rsidRDefault="00BD2181" w:rsidP="003D121A">
            <w:pPr>
              <w:pStyle w:val="Teksttabelinaglowek"/>
              <w:rPr>
                <w:bCs/>
              </w:rPr>
            </w:pPr>
            <w:r w:rsidRPr="00795F17">
              <w:t>59</w:t>
            </w:r>
          </w:p>
        </w:tc>
        <w:tc>
          <w:tcPr>
            <w:tcW w:w="454" w:type="pct"/>
            <w:shd w:val="clear" w:color="auto" w:fill="BFBFBF"/>
            <w:noWrap/>
            <w:vAlign w:val="center"/>
            <w:hideMark/>
          </w:tcPr>
          <w:p w14:paraId="1737E67F" w14:textId="77777777" w:rsidR="00BD2181" w:rsidRPr="00795F17" w:rsidRDefault="00BD2181" w:rsidP="003D121A">
            <w:pPr>
              <w:pStyle w:val="Teksttabelinaglowek"/>
              <w:rPr>
                <w:bCs/>
              </w:rPr>
            </w:pPr>
            <w:r w:rsidRPr="00795F17">
              <w:t>7</w:t>
            </w:r>
          </w:p>
        </w:tc>
        <w:tc>
          <w:tcPr>
            <w:tcW w:w="377" w:type="pct"/>
            <w:shd w:val="clear" w:color="auto" w:fill="BFBFBF"/>
            <w:noWrap/>
            <w:vAlign w:val="center"/>
            <w:hideMark/>
          </w:tcPr>
          <w:p w14:paraId="56925AFF" w14:textId="77777777" w:rsidR="00BD2181" w:rsidRPr="00795F17" w:rsidRDefault="00BD2181" w:rsidP="003D121A">
            <w:pPr>
              <w:pStyle w:val="Teksttabelinaglowek"/>
              <w:rPr>
                <w:bCs/>
              </w:rPr>
            </w:pPr>
            <w:r w:rsidRPr="00795F17">
              <w:t>61</w:t>
            </w:r>
          </w:p>
        </w:tc>
        <w:tc>
          <w:tcPr>
            <w:tcW w:w="377" w:type="pct"/>
            <w:shd w:val="clear" w:color="auto" w:fill="BFBFBF"/>
            <w:noWrap/>
            <w:vAlign w:val="center"/>
            <w:hideMark/>
          </w:tcPr>
          <w:p w14:paraId="47B9BFB4" w14:textId="77777777" w:rsidR="00BD2181" w:rsidRPr="00795F17" w:rsidRDefault="00BD2181" w:rsidP="003D121A">
            <w:pPr>
              <w:pStyle w:val="Teksttabelinaglowek"/>
              <w:rPr>
                <w:bCs/>
              </w:rPr>
            </w:pPr>
            <w:r w:rsidRPr="00795F17">
              <w:t>5</w:t>
            </w:r>
          </w:p>
        </w:tc>
        <w:tc>
          <w:tcPr>
            <w:tcW w:w="377" w:type="pct"/>
            <w:shd w:val="clear" w:color="auto" w:fill="BFBFBF"/>
            <w:noWrap/>
            <w:vAlign w:val="center"/>
            <w:hideMark/>
          </w:tcPr>
          <w:p w14:paraId="3BFC38C7" w14:textId="77777777" w:rsidR="00BD2181" w:rsidRPr="00795F17" w:rsidRDefault="00BD2181" w:rsidP="003D121A">
            <w:pPr>
              <w:pStyle w:val="Teksttabelinaglowek"/>
              <w:rPr>
                <w:bCs/>
              </w:rPr>
            </w:pPr>
            <w:r w:rsidRPr="00795F17">
              <w:t>56</w:t>
            </w:r>
          </w:p>
        </w:tc>
        <w:tc>
          <w:tcPr>
            <w:tcW w:w="452" w:type="pct"/>
            <w:shd w:val="clear" w:color="auto" w:fill="BFBFBF"/>
            <w:noWrap/>
            <w:vAlign w:val="center"/>
            <w:hideMark/>
          </w:tcPr>
          <w:p w14:paraId="561B02B5" w14:textId="77777777" w:rsidR="00BD2181" w:rsidRPr="00795F17" w:rsidRDefault="00BD2181" w:rsidP="003D121A">
            <w:pPr>
              <w:pStyle w:val="Teksttabelinaglowek"/>
              <w:rPr>
                <w:bCs/>
              </w:rPr>
            </w:pPr>
            <w:r w:rsidRPr="00795F17">
              <w:t>10</w:t>
            </w:r>
          </w:p>
        </w:tc>
      </w:tr>
    </w:tbl>
    <w:p w14:paraId="48A82AC7" w14:textId="3434CB65" w:rsidR="00BD2181" w:rsidRPr="00795F17" w:rsidRDefault="00B4426A" w:rsidP="00E10F0E">
      <w:pPr>
        <w:pStyle w:val="Tabela-wyjasnieniapod"/>
        <w:spacing w:after="0"/>
      </w:pPr>
      <w:r w:rsidRPr="00795F17">
        <w:t xml:space="preserve">Objaśnienia: </w:t>
      </w:r>
      <w:r w:rsidR="00936220">
        <w:br/>
      </w:r>
      <w:r w:rsidR="00BD2181" w:rsidRPr="00795F17">
        <w:t xml:space="preserve">*Z uwagi na to, że </w:t>
      </w:r>
      <w:r w:rsidR="00DF005E">
        <w:t>JCWP</w:t>
      </w:r>
      <w:r w:rsidR="00BD2181" w:rsidRPr="00795F17">
        <w:t xml:space="preserve">d nr 40 i 62 są położone na obszarze dwóch regionów wodnych, suma </w:t>
      </w:r>
      <w:r w:rsidR="00DF005E">
        <w:t>JCWP</w:t>
      </w:r>
      <w:r w:rsidR="00BD2181" w:rsidRPr="00795F17">
        <w:t xml:space="preserve">d jest wyższa od ogólnej liczby </w:t>
      </w:r>
      <w:r w:rsidR="00DF005E">
        <w:t>JCWP</w:t>
      </w:r>
      <w:r w:rsidR="00BD2181" w:rsidRPr="00795F17">
        <w:t>d na obszarze dorzecza Odry wynoszącej 66.</w:t>
      </w:r>
    </w:p>
    <w:p w14:paraId="6838B1DB" w14:textId="4B726589" w:rsidR="00200226" w:rsidRPr="00795F17" w:rsidRDefault="00200226" w:rsidP="00E10F0E">
      <w:pPr>
        <w:pStyle w:val="rdo"/>
        <w:spacing w:before="0"/>
      </w:pPr>
      <w:r w:rsidRPr="00795F17">
        <w:t xml:space="preserve">Źródło: </w:t>
      </w:r>
      <w:r w:rsidR="00FD7248" w:rsidRPr="00795F17">
        <w:t>opracowanie własne</w:t>
      </w:r>
    </w:p>
    <w:p w14:paraId="0A29ADA6" w14:textId="7845D00C" w:rsidR="00CE597F" w:rsidRPr="00795F17" w:rsidRDefault="00CE597F" w:rsidP="0044393D">
      <w:r w:rsidRPr="00795F17">
        <w:t xml:space="preserve">W porównaniu z oceną wykonaną </w:t>
      </w:r>
      <w:r w:rsidR="00442820">
        <w:t>według</w:t>
      </w:r>
      <w:r w:rsidRPr="00795F17">
        <w:t xml:space="preserve"> danych z 2016</w:t>
      </w:r>
      <w:r w:rsidR="00CD24D6" w:rsidRPr="00795F17">
        <w:t> </w:t>
      </w:r>
      <w:r w:rsidRPr="00795F17">
        <w:t xml:space="preserve">r. stan </w:t>
      </w:r>
      <w:r w:rsidR="00DF005E">
        <w:t>JCWP</w:t>
      </w:r>
      <w:r w:rsidRPr="00795F17">
        <w:t xml:space="preserve">d uległ zmianie w </w:t>
      </w:r>
      <w:r w:rsidR="004D0CC7">
        <w:t>następujących</w:t>
      </w:r>
      <w:r w:rsidRPr="00795F17">
        <w:t xml:space="preserve"> </w:t>
      </w:r>
      <w:r w:rsidR="00DF005E">
        <w:t>JCWP</w:t>
      </w:r>
      <w:r w:rsidRPr="00795F17">
        <w:t>d o</w:t>
      </w:r>
      <w:r w:rsidR="00CD24D6" w:rsidRPr="00795F17">
        <w:t> </w:t>
      </w:r>
      <w:r w:rsidRPr="00795F17">
        <w:t>n</w:t>
      </w:r>
      <w:r w:rsidR="001A7902" w:rsidRPr="00795F17">
        <w:t>r:</w:t>
      </w:r>
      <w:r w:rsidRPr="00795F17">
        <w:t xml:space="preserve"> 9, </w:t>
      </w:r>
      <w:r w:rsidR="00FE453B" w:rsidRPr="00795F17">
        <w:t xml:space="preserve">60, </w:t>
      </w:r>
      <w:r w:rsidRPr="00795F17">
        <w:t>79</w:t>
      </w:r>
      <w:r w:rsidR="00FE453B" w:rsidRPr="00795F17">
        <w:t>, 110,</w:t>
      </w:r>
      <w:r w:rsidRPr="00795F17">
        <w:t xml:space="preserve"> 124</w:t>
      </w:r>
      <w:r w:rsidR="00FE453B" w:rsidRPr="00795F17">
        <w:t xml:space="preserve"> i 127</w:t>
      </w:r>
      <w:r w:rsidRPr="00795F17">
        <w:t>.</w:t>
      </w:r>
    </w:p>
    <w:p w14:paraId="7BF772C5" w14:textId="4817357F" w:rsidR="00CE597F" w:rsidRPr="00795F17" w:rsidRDefault="00DF005E" w:rsidP="0044393D">
      <w:r>
        <w:rPr>
          <w:b/>
        </w:rPr>
        <w:t>JCWP</w:t>
      </w:r>
      <w:r w:rsidR="00CE597F" w:rsidRPr="00795F17">
        <w:rPr>
          <w:b/>
        </w:rPr>
        <w:t xml:space="preserve">d nr 9 </w:t>
      </w:r>
      <w:r w:rsidR="00E2281D">
        <w:t>–</w:t>
      </w:r>
      <w:r w:rsidR="00CE597F" w:rsidRPr="00795F17">
        <w:t xml:space="preserve"> zmiana oceny stanu chemicznego z dobrego na słaby wynika ze zidentyfikowania w tej jednostce obniżenia zwierciadła wód podziemnych pod wpływem intensywnej eksploatacji wód o</w:t>
      </w:r>
      <w:r w:rsidR="00CD24D6" w:rsidRPr="00795F17">
        <w:t> </w:t>
      </w:r>
      <w:r w:rsidR="00CE597F" w:rsidRPr="00795F17">
        <w:t>zwierciadle swobodnym, w obrębie którego znajdują się torfowiska zlokalizowane na tarasie zalewowym rz</w:t>
      </w:r>
      <w:r w:rsidR="00E11075">
        <w:t xml:space="preserve">eki </w:t>
      </w:r>
      <w:r w:rsidR="00CE597F" w:rsidRPr="00795F17">
        <w:t>Parsęt</w:t>
      </w:r>
      <w:r w:rsidR="00E11075">
        <w:t>y</w:t>
      </w:r>
      <w:r w:rsidR="00CE597F" w:rsidRPr="00795F17">
        <w:t xml:space="preserve"> w obrębie zlewni elementarnej o numerze 44979 (Zlewnia Parsęty od Niecieczy do Wielkiego Rowu (l)) </w:t>
      </w:r>
      <w:r w:rsidR="00442820">
        <w:t>według</w:t>
      </w:r>
      <w:r w:rsidR="00CE597F" w:rsidRPr="00795F17">
        <w:t xml:space="preserve"> Mapy Hydrograficznej Polski w skali 1:10</w:t>
      </w:r>
      <w:r w:rsidR="005A6124" w:rsidRPr="00795F17">
        <w:t> </w:t>
      </w:r>
      <w:r w:rsidR="00CE597F" w:rsidRPr="00795F17">
        <w:t>000. Punkt monitoringu chemicznego 202 to jedna z czynnych studni ujęcia w Bogucinie. Zasoby eksploatacyjne ujęcia to</w:t>
      </w:r>
      <w:r w:rsidR="00CD24D6" w:rsidRPr="00795F17">
        <w:t> </w:t>
      </w:r>
      <w:r w:rsidR="00CE597F" w:rsidRPr="00795F17">
        <w:t>2</w:t>
      </w:r>
      <w:r w:rsidR="00CD24D6" w:rsidRPr="00795F17" w:rsidDel="00E11075">
        <w:t> </w:t>
      </w:r>
      <w:r w:rsidR="00CE597F" w:rsidRPr="00795F17">
        <w:t>072</w:t>
      </w:r>
      <w:r w:rsidR="00E11075">
        <w:t xml:space="preserve"> </w:t>
      </w:r>
      <w:r w:rsidR="00CE597F" w:rsidRPr="00795F17">
        <w:t>m</w:t>
      </w:r>
      <w:r w:rsidR="00CE597F" w:rsidRPr="00795F17">
        <w:rPr>
          <w:vertAlign w:val="superscript"/>
        </w:rPr>
        <w:t>3</w:t>
      </w:r>
      <w:r w:rsidR="00CE597F" w:rsidRPr="00795F17">
        <w:t>/h przy depresji 7,5 m pobór w sezonie 1</w:t>
      </w:r>
      <w:r w:rsidR="00E11075">
        <w:t> </w:t>
      </w:r>
      <w:r w:rsidR="00CE597F" w:rsidRPr="00795F17">
        <w:t>700 m</w:t>
      </w:r>
      <w:r w:rsidR="00CE597F" w:rsidRPr="00795F17">
        <w:rPr>
          <w:vertAlign w:val="superscript"/>
        </w:rPr>
        <w:t>3</w:t>
      </w:r>
      <w:r w:rsidR="00CE597F" w:rsidRPr="00795F17">
        <w:t>/h (</w:t>
      </w:r>
      <w:r w:rsidR="00442820">
        <w:t>według</w:t>
      </w:r>
      <w:r w:rsidR="00CE597F" w:rsidRPr="00795F17">
        <w:t xml:space="preserve"> pozwolenia wodnoprawnego)</w:t>
      </w:r>
      <w:r w:rsidR="00E11075">
        <w:t>.</w:t>
      </w:r>
      <w:r w:rsidR="00CE597F" w:rsidRPr="00795F17">
        <w:t xml:space="preserve"> Ujęcie Rościęcino-Bogucino zaopatruje w wodę Kołobrzeg oraz miejscowości Stramnica, Bogucino, Niekanin, Budzistowo, Zieleniewo, Rościęcino, Stary Borek, Nowy Borek, Sarbia, Grzybowo, Dźwirzyno, Nowogardek, Karcino, Drzonowo, Błotnica, Obroty, Przećmino, Głowaczewo.</w:t>
      </w:r>
    </w:p>
    <w:p w14:paraId="4944588E" w14:textId="578C942B" w:rsidR="00FE453B" w:rsidRPr="00795F17" w:rsidRDefault="00DF005E" w:rsidP="0044393D">
      <w:r>
        <w:rPr>
          <w:b/>
          <w:bCs/>
        </w:rPr>
        <w:t>JCWP</w:t>
      </w:r>
      <w:r w:rsidR="00FE453B" w:rsidRPr="00795F17">
        <w:rPr>
          <w:b/>
          <w:bCs/>
        </w:rPr>
        <w:t>d nr 60</w:t>
      </w:r>
      <w:r w:rsidR="00FE453B" w:rsidRPr="00795F17">
        <w:t xml:space="preserve"> </w:t>
      </w:r>
      <w:r w:rsidR="00E2281D">
        <w:t>–</w:t>
      </w:r>
      <w:r w:rsidR="00FE453B" w:rsidRPr="00795F17">
        <w:t xml:space="preserve"> zmiana oceny stanu chemicznego ze słabego na dobry wynika z wartości szacowanego zasięgu przekroczeń TV nieprzekraczającego 40% całej </w:t>
      </w:r>
      <w:r>
        <w:t>JCWP</w:t>
      </w:r>
      <w:r w:rsidR="00FE453B" w:rsidRPr="00795F17">
        <w:t>d. Odnotowano przekroczenie wartości progowej dobrego stanu chemicznego wód po</w:t>
      </w:r>
      <w:r w:rsidR="00F33E3B">
        <w:t>d</w:t>
      </w:r>
      <w:r w:rsidR="00FE453B" w:rsidRPr="00795F17">
        <w:t>ziemnych następujących wskaźników: SO</w:t>
      </w:r>
      <w:r w:rsidR="00FE453B" w:rsidRPr="00A32D4C">
        <w:rPr>
          <w:vertAlign w:val="subscript"/>
        </w:rPr>
        <w:t>4</w:t>
      </w:r>
      <w:r w:rsidR="00FE453B" w:rsidRPr="00795F17">
        <w:t>, Zn, Fe, HCO</w:t>
      </w:r>
      <w:r w:rsidR="00FE453B" w:rsidRPr="00A32D4C">
        <w:rPr>
          <w:vertAlign w:val="subscript"/>
        </w:rPr>
        <w:t>3</w:t>
      </w:r>
      <w:r w:rsidR="00FE453B" w:rsidRPr="00795F17">
        <w:t>. Ze względu na brak danych nie udało się przeprowadzić testu C.3, który w ocenie za 2016 r. zdecydował o stanie słabym. W przypadku Testu C.4, wspólnym wskaźnikiem, dla którego odnotowano przekroczenie wartości TV stanu dobrego w wodach podziemnych i powierzchniowych były siarczany. W punkcie monitoringu stanu chemicznego nr 1459 stwierdzono w 2019 r. wielokrotnie mniejsze stężenia jonów siarczanowych (wody podziemne: SO</w:t>
      </w:r>
      <w:r w:rsidR="00FE453B" w:rsidRPr="00A32D4C">
        <w:rPr>
          <w:vertAlign w:val="subscript"/>
        </w:rPr>
        <w:t>4</w:t>
      </w:r>
      <w:r w:rsidR="00FE453B" w:rsidRPr="00795F17">
        <w:t xml:space="preserve">: 46,8 mg/l; śr. z lat 2014-2019 to: 49,2 mg/l) niż w </w:t>
      </w:r>
      <w:r>
        <w:t>JCWP</w:t>
      </w:r>
      <w:r w:rsidR="00FE453B" w:rsidRPr="00795F17">
        <w:t xml:space="preserve"> o kodzie PLRW 600017185694 (SO</w:t>
      </w:r>
      <w:r w:rsidR="00FE453B" w:rsidRPr="00A32D4C">
        <w:rPr>
          <w:vertAlign w:val="subscript"/>
        </w:rPr>
        <w:t>4</w:t>
      </w:r>
      <w:r w:rsidR="00FE453B" w:rsidRPr="00795F17">
        <w:t>: 235 mg/l; 2019 r.). W tym przypadku to wody powierzchniowe (nazwa cieku Samica Stęszowska) mogą być ogniskiem zanieczyszczenia dla wód podziemnych, a nie odwrotnie. Stan ilościowy pozostaje dobry.</w:t>
      </w:r>
    </w:p>
    <w:p w14:paraId="5EFAFBFB" w14:textId="43007B5B" w:rsidR="00CE597F" w:rsidRPr="00795F17" w:rsidRDefault="00DF005E" w:rsidP="0044393D">
      <w:r>
        <w:rPr>
          <w:b/>
        </w:rPr>
        <w:t>JCWP</w:t>
      </w:r>
      <w:r w:rsidR="00CE597F" w:rsidRPr="00795F17">
        <w:rPr>
          <w:b/>
        </w:rPr>
        <w:t xml:space="preserve">d nr 79 </w:t>
      </w:r>
      <w:r w:rsidR="00E2281D">
        <w:t>–</w:t>
      </w:r>
      <w:r w:rsidR="00CE597F" w:rsidRPr="00795F17">
        <w:t xml:space="preserve"> zmiana oceny stanu chemicznego z dobrego na słaby ze względu na ascenzję wód słonych dopływających z niżej położonych poziomów wodonośnych mezozoiku (jura) do użytkowego mioceńskiego poziomu wodonośnego piętra neogeńsko</w:t>
      </w:r>
      <w:r w:rsidR="00F760DE" w:rsidRPr="00795F17">
        <w:t>-</w:t>
      </w:r>
      <w:r w:rsidR="00CE597F" w:rsidRPr="00795F17">
        <w:t>paleogeńskiego. O ocenie zadecydowały przekroczenia wartości kryterialnych: Cl, Na oraz PEW (punkt nr 2632). Nie stwierdzono statystycznie istotnego trendu wzrostowego przekroczonych wskaźników indykatywnych zasolenia (Cl, Na i PEW). W</w:t>
      </w:r>
      <w:r w:rsidR="00AC6F6E">
        <w:t> </w:t>
      </w:r>
      <w:r w:rsidR="00CE597F" w:rsidRPr="00795F17">
        <w:t>otworze obserwacyjnym został ujęty poziom wodonośny miocenu (neogen), występujący w</w:t>
      </w:r>
      <w:r w:rsidR="00CD24D6" w:rsidRPr="00795F17">
        <w:t> </w:t>
      </w:r>
      <w:r w:rsidR="00CE597F" w:rsidRPr="00795F17">
        <w:t>przedziale głębokości od 122 do 140 m, wykształcony w warstwie piasków gruboziarnistych. W</w:t>
      </w:r>
      <w:r w:rsidR="00CD24D6" w:rsidRPr="00795F17">
        <w:t> </w:t>
      </w:r>
      <w:r w:rsidR="00CE597F" w:rsidRPr="00795F17">
        <w:t>podłożu utworów kenozoicznych występują utwory wodonośne jury dolnej. Występujące w nich wody są zmineralizowane. Ascenzyjne dopływy zmineralizowanych wód z utworów triasu (kajpru i</w:t>
      </w:r>
      <w:r w:rsidR="00CD24D6" w:rsidRPr="00795F17">
        <w:t> </w:t>
      </w:r>
      <w:r w:rsidR="00CE597F" w:rsidRPr="00795F17">
        <w:t>retyku) wpływają na chemizm wód w piętrach wodonośnych jury oraz paleogenu-neogenu związanych z antropopresją. Mioceński poziom wodonośny monitorowany w punkcie monitoringu stanu chemicznego 2632 ma charakter użytkowy i na rozpatrywanym terenie stanowi podstawę zbiorowego zaopatrzenia w wodę do spożycia. Ze względu na wysoką mineralizację woda z</w:t>
      </w:r>
      <w:r w:rsidR="00CD24D6" w:rsidRPr="00795F17">
        <w:t xml:space="preserve"> </w:t>
      </w:r>
      <w:r w:rsidR="00CE597F" w:rsidRPr="00795F17">
        <w:t>punktu 2632 jest mieszana w stosunku 50/50 z wodą z ujęcia w Mierzejewie, w którym ujmowane są wody czwartorzędowego poziomu wodonośnego.</w:t>
      </w:r>
    </w:p>
    <w:p w14:paraId="35A0E80E" w14:textId="1CD34ED3" w:rsidR="00FE453B" w:rsidRPr="00795F17" w:rsidRDefault="00DF005E" w:rsidP="00FE453B">
      <w:r>
        <w:rPr>
          <w:b/>
          <w:bCs/>
        </w:rPr>
        <w:t>JCWP</w:t>
      </w:r>
      <w:r w:rsidR="00FE453B" w:rsidRPr="00795F17">
        <w:rPr>
          <w:b/>
          <w:bCs/>
        </w:rPr>
        <w:t>d nr 110</w:t>
      </w:r>
      <w:r w:rsidR="00FE453B" w:rsidRPr="00795F17">
        <w:t xml:space="preserve"> </w:t>
      </w:r>
      <w:r w:rsidR="00E2281D">
        <w:t>–</w:t>
      </w:r>
      <w:r w:rsidR="00FE453B" w:rsidRPr="00795F17">
        <w:t xml:space="preserve"> zmiana oceny stanu chemicznego ze słabego na dobry wynika ze zmiany kryteriów w teście C.5 - Ochrona wód przeznaczonych do spożycia</w:t>
      </w:r>
      <w:r w:rsidR="00AC6F6E">
        <w:t>,</w:t>
      </w:r>
      <w:r w:rsidR="00FE453B" w:rsidRPr="00795F17">
        <w:t xml:space="preserve"> a także z większej liczby punktów wziętych do analizy </w:t>
      </w:r>
      <w:r w:rsidR="00E2281D">
        <w:t>–</w:t>
      </w:r>
      <w:r w:rsidR="00FE453B" w:rsidRPr="00795F17">
        <w:t xml:space="preserve"> ocena na podstawie 16 punktów (w 2016 r. wzięto 10 punktów). Stan ilościowy pozostaje dobry.</w:t>
      </w:r>
    </w:p>
    <w:p w14:paraId="567452BF" w14:textId="6584CCC0" w:rsidR="00FE453B" w:rsidRPr="00795F17" w:rsidRDefault="00DF005E" w:rsidP="00FE453B">
      <w:r>
        <w:rPr>
          <w:b/>
        </w:rPr>
        <w:t>JCWP</w:t>
      </w:r>
      <w:r w:rsidR="00CE597F" w:rsidRPr="00795F17">
        <w:rPr>
          <w:b/>
        </w:rPr>
        <w:t>d nr 124</w:t>
      </w:r>
      <w:r w:rsidR="00CE597F" w:rsidRPr="00795F17">
        <w:t xml:space="preserve"> </w:t>
      </w:r>
      <w:r w:rsidR="00E2281D">
        <w:t>–</w:t>
      </w:r>
      <w:r w:rsidR="00CE597F" w:rsidRPr="00795F17">
        <w:t xml:space="preserve"> zmiana oceny stanu ilościowego z dobrego na słaby wynika z przekroczenia zasobów dyspozycyjnych w skali roku. Stopień wykorzystania zasobów jest wyższy niż w 2016 r., z uwagi na</w:t>
      </w:r>
      <w:r w:rsidR="00CD24D6" w:rsidRPr="00795F17">
        <w:t> </w:t>
      </w:r>
      <w:r w:rsidR="00CE597F" w:rsidRPr="00795F17">
        <w:t>zmniejszenie wielkości zasobów. Zmiana nastąpiła ponieważ została zatwierdzona dokumentacja zasobowa w obrębie tej jednostki (poprzednio dostępne były dane szacunkowe). Antropopresji nie</w:t>
      </w:r>
      <w:r w:rsidR="00CD24D6" w:rsidRPr="00795F17">
        <w:t> </w:t>
      </w:r>
      <w:r w:rsidR="00CE597F" w:rsidRPr="00795F17">
        <w:t xml:space="preserve">potwierdza analiza położenia zwierciadła wody, jednak wartość poboru na przestrzeni wielolecia jest zmienna i z tego względu </w:t>
      </w:r>
      <w:r w:rsidR="00700FB4">
        <w:t>przyję</w:t>
      </w:r>
      <w:r w:rsidR="00E0550E">
        <w:t>to</w:t>
      </w:r>
      <w:r w:rsidR="00CE597F" w:rsidRPr="00700FB4">
        <w:t xml:space="preserve"> wynik słaby</w:t>
      </w:r>
      <w:r w:rsidR="00CE597F" w:rsidRPr="00795F17">
        <w:t xml:space="preserve"> o niskiej wiarygodności.</w:t>
      </w:r>
    </w:p>
    <w:p w14:paraId="0D0304A6" w14:textId="0027DAA5" w:rsidR="00FE453B" w:rsidRPr="00795F17" w:rsidRDefault="00DF005E" w:rsidP="00FE453B">
      <w:r>
        <w:rPr>
          <w:b/>
          <w:bCs/>
        </w:rPr>
        <w:t>JCWP</w:t>
      </w:r>
      <w:r w:rsidR="00FE453B" w:rsidRPr="00795F17">
        <w:rPr>
          <w:b/>
          <w:bCs/>
        </w:rPr>
        <w:t>d nr 127</w:t>
      </w:r>
      <w:r w:rsidR="00FE453B" w:rsidRPr="00795F17">
        <w:t xml:space="preserve"> </w:t>
      </w:r>
      <w:r w:rsidR="00E2281D">
        <w:t>–</w:t>
      </w:r>
      <w:r w:rsidR="00FE453B" w:rsidRPr="00795F17">
        <w:t xml:space="preserve"> zmiana oceny stanu chemicznego z dobrego na słaby wynika z wartości szacowanego zasięgu przekroczeń TV powyżej 40% całej </w:t>
      </w:r>
      <w:r>
        <w:t>JCWP</w:t>
      </w:r>
      <w:r w:rsidR="00FE453B" w:rsidRPr="00795F17">
        <w:t>d. Odnotowano przekroczenie wartości progowej dobrego stanu chemicznego wód po</w:t>
      </w:r>
      <w:r w:rsidR="00F33E3B">
        <w:t>d</w:t>
      </w:r>
      <w:r w:rsidR="00FE453B" w:rsidRPr="00795F17">
        <w:t>ziemnych następujących wskaźników: NO</w:t>
      </w:r>
      <w:r w:rsidR="00FE453B" w:rsidRPr="00A32D4C">
        <w:rPr>
          <w:vertAlign w:val="subscript"/>
        </w:rPr>
        <w:t>3</w:t>
      </w:r>
      <w:r w:rsidR="00FE453B" w:rsidRPr="00795F17">
        <w:t xml:space="preserve">, Zn, </w:t>
      </w:r>
      <w:r w:rsidR="00E80A6B">
        <w:t>b</w:t>
      </w:r>
      <w:r w:rsidR="00FE453B" w:rsidRPr="00795F17">
        <w:t>enzo(a)piren, Fe, pH, K, Ni, brak przekroczeń TV w kompleksie drugim i trzecim. Odnotowano także przekroczenie wartości kryterialnych CVRMZ (test C.5 - Ochrona wód przeznaczonych do spożycia przez ludzi) w przypadku NO</w:t>
      </w:r>
      <w:r w:rsidR="00FE453B" w:rsidRPr="00A32D4C">
        <w:rPr>
          <w:vertAlign w:val="subscript"/>
        </w:rPr>
        <w:t>3</w:t>
      </w:r>
      <w:r w:rsidR="00FE453B" w:rsidRPr="00795F17">
        <w:t>. W trzech punktach (1867, 1868, 2664) prognoza wykonana na podstawie analizy tendencji zmian wykazuje przekroczenia wartości CVRMZ przez azotany na koniec cyklu planistycznego 2016</w:t>
      </w:r>
      <w:r w:rsidR="00E2281D">
        <w:t>–</w:t>
      </w:r>
      <w:r w:rsidR="00FE453B" w:rsidRPr="00795F17">
        <w:t>2021. Ponadto w punkcie 2664 stan słaby utrzymuje się od czasu ostatniej oceny wykonanej na</w:t>
      </w:r>
      <w:r w:rsidR="00F80758" w:rsidRPr="00795F17">
        <w:t> </w:t>
      </w:r>
      <w:r w:rsidR="00FE453B" w:rsidRPr="00795F17">
        <w:t>podstawie wyników z 2016 roku. Jest to studnia na ujęciu komunalnym, gdzie ze względu na wysokie stężenia azotanów, stosuje się mieszanie wód z wodami ujmowanymi z innych ujęć. Stan chemiczny w tym punkcie określono jako słaby o wysokiej wiarygodności oceny. Punkty o numerach 1867 i 1868 zostały uwzględnione w teście C5 po raz pierwszy. Są to otwor</w:t>
      </w:r>
      <w:r w:rsidR="00E80A6B">
        <w:t>y</w:t>
      </w:r>
      <w:r w:rsidR="00FE453B" w:rsidRPr="00795F17">
        <w:t xml:space="preserve"> obserwacyjne monitorujące główny użytkowy poziom wodonośny. Stan w obu punktach określono jako słaby o niskiej wiarygodności oceny. Punkty o stanie słabym rozłożone są równomiernie na obszarze </w:t>
      </w:r>
      <w:r>
        <w:t>JCWP</w:t>
      </w:r>
      <w:r w:rsidR="00FE453B" w:rsidRPr="00795F17">
        <w:t>d. Stan ilościowy pozostaje dobry.</w:t>
      </w:r>
    </w:p>
    <w:p w14:paraId="0DE8B749" w14:textId="33426650" w:rsidR="00CE597F" w:rsidRPr="00795F17" w:rsidRDefault="00CE597F" w:rsidP="0044393D">
      <w:r w:rsidRPr="00795F17">
        <w:t xml:space="preserve">Porównanie oceny stanu </w:t>
      </w:r>
      <w:r w:rsidR="00DF005E">
        <w:t>JCWP</w:t>
      </w:r>
      <w:r w:rsidRPr="00795F17">
        <w:t xml:space="preserve">d z roku 2016 z oceną stanu </w:t>
      </w:r>
      <w:r w:rsidR="00DF005E">
        <w:t>JCWP</w:t>
      </w:r>
      <w:r w:rsidRPr="00795F17">
        <w:t>d z roku 2019 przedstawia załącznik nr</w:t>
      </w:r>
      <w:r w:rsidR="001A7902" w:rsidRPr="00795F17">
        <w:t> </w:t>
      </w:r>
      <w:r w:rsidR="00617195">
        <w:t>8</w:t>
      </w:r>
      <w:r w:rsidRPr="00795F17">
        <w:t xml:space="preserve"> </w:t>
      </w:r>
      <w:r w:rsidR="00521BAF" w:rsidRPr="00795F17">
        <w:t xml:space="preserve">(Porównanie oceny stanu </w:t>
      </w:r>
      <w:r w:rsidR="00DF005E">
        <w:t>JCWP</w:t>
      </w:r>
      <w:r w:rsidR="003C103D" w:rsidRPr="00795F17">
        <w:t>d 2016, 2019)</w:t>
      </w:r>
      <w:r w:rsidRPr="00795F17">
        <w:t>.</w:t>
      </w:r>
    </w:p>
    <w:p w14:paraId="3E7D9746" w14:textId="77777777" w:rsidR="001A7902" w:rsidRPr="00795F17" w:rsidRDefault="001A7902" w:rsidP="00C53C86">
      <w:pPr>
        <w:pStyle w:val="Nagwek2"/>
      </w:pPr>
      <w:bookmarkStart w:id="515" w:name="_Toc66347810"/>
      <w:bookmarkStart w:id="516" w:name="_Toc105512675"/>
      <w:bookmarkStart w:id="517" w:name="_Hlk66040980"/>
      <w:r w:rsidRPr="00795F17">
        <w:t>Ocena postępu w osiąganiu celów środowiskowych dla obszarów chronionych</w:t>
      </w:r>
      <w:bookmarkEnd w:id="515"/>
      <w:bookmarkEnd w:id="516"/>
      <w:r w:rsidRPr="00795F17">
        <w:t xml:space="preserve"> </w:t>
      </w:r>
    </w:p>
    <w:p w14:paraId="732132CA" w14:textId="3D9494B9" w:rsidR="001A7902" w:rsidRPr="00795F17" w:rsidRDefault="001A7902" w:rsidP="001A7902">
      <w:r w:rsidRPr="00795F17">
        <w:t>Dla obszarów chronionych, o których mowa w art. 317 ust. 4 pr.w.:</w:t>
      </w:r>
    </w:p>
    <w:p w14:paraId="5BA671D5" w14:textId="081A4CB6" w:rsidR="001A7902" w:rsidRPr="00795F17" w:rsidRDefault="00CA2EFF" w:rsidP="002757E9">
      <w:pPr>
        <w:pStyle w:val="Numerowanie"/>
        <w:numPr>
          <w:ilvl w:val="0"/>
          <w:numId w:val="62"/>
        </w:numPr>
      </w:pPr>
      <w:bookmarkStart w:id="518" w:name="_Hlk66038946"/>
      <w:r>
        <w:t>jcw</w:t>
      </w:r>
      <w:r w:rsidR="001A7902" w:rsidRPr="00795F17">
        <w:t xml:space="preserve"> przeznaczonych do poboru wody na potrzeby zaopatrzenia ludności w</w:t>
      </w:r>
      <w:r w:rsidR="00B919F3">
        <w:t> </w:t>
      </w:r>
      <w:r w:rsidR="001A7902" w:rsidRPr="00795F17">
        <w:t>wodę przeznaczoną do spożycia przez ludzi</w:t>
      </w:r>
      <w:bookmarkEnd w:id="518"/>
      <w:r w:rsidR="001A7902" w:rsidRPr="00795F17">
        <w:t>, o których mowa w art. 71 pr.w.;</w:t>
      </w:r>
    </w:p>
    <w:p w14:paraId="1B69DB5D" w14:textId="056CF1F3" w:rsidR="001A7902" w:rsidRPr="00795F17" w:rsidRDefault="00CA2EFF" w:rsidP="002757E9">
      <w:pPr>
        <w:pStyle w:val="Numerowanie"/>
        <w:numPr>
          <w:ilvl w:val="0"/>
          <w:numId w:val="62"/>
        </w:numPr>
      </w:pPr>
      <w:r>
        <w:t>jcw</w:t>
      </w:r>
      <w:r w:rsidR="001A7902" w:rsidRPr="00795F17">
        <w:t xml:space="preserve"> przeznaczonych do celów rekreacyjnych, w tym kąpieliskowych;</w:t>
      </w:r>
    </w:p>
    <w:p w14:paraId="4711303D" w14:textId="541D7344" w:rsidR="001A7902" w:rsidRPr="00795F17" w:rsidRDefault="001A7902" w:rsidP="002757E9">
      <w:pPr>
        <w:pStyle w:val="Numerowanie"/>
        <w:numPr>
          <w:ilvl w:val="0"/>
          <w:numId w:val="62"/>
        </w:numPr>
      </w:pPr>
      <w:r w:rsidRPr="00795F17">
        <w:t>obszarów wrażliwych na eutrofizację wywołaną zanieczyszczeniami pochodzącymi ze źródeł komunalnych rozumianą jako wzbogacanie wód biogenami, w szczególności związkami azotu lub</w:t>
      </w:r>
      <w:r w:rsidR="00F80758" w:rsidRPr="00795F17">
        <w:t> </w:t>
      </w:r>
      <w:r w:rsidRPr="00795F17">
        <w:t>fosforu, powodującymi przyspieszony wzrost glonów oraz wyższych form życia roślinnego, w wyniku którego następują niepożądane zakłócenia biologicznych stosunków w środowisku wodnym oraz pogorszenie jakości tych wód</w:t>
      </w:r>
      <w:r w:rsidR="0075564B">
        <w:t>;</w:t>
      </w:r>
    </w:p>
    <w:p w14:paraId="79746980" w14:textId="0046F0A8" w:rsidR="001A7902" w:rsidRPr="00795F17" w:rsidRDefault="0075564B" w:rsidP="001A7902">
      <w:bookmarkStart w:id="519" w:name="_Hlk66041446"/>
      <w:r>
        <w:t>p</w:t>
      </w:r>
      <w:r w:rsidR="001A7902" w:rsidRPr="00795F17">
        <w:t xml:space="preserve">odstawowym celem jest osiągnięcie dobrego stanu/potencjału ekologicznego i dobrego stanu chemicznego, zatem ocena postępu w osiąganiu celów dla tych obszarów będzie równoznaczna z oceną postępu w osiąganiu celów dla </w:t>
      </w:r>
      <w:r w:rsidR="00DF005E">
        <w:t>JCWP</w:t>
      </w:r>
      <w:r w:rsidR="001A7902" w:rsidRPr="00795F17">
        <w:t>. W III cyklu planistycznym aPGW (2016</w:t>
      </w:r>
      <w:r w:rsidR="00E2281D">
        <w:t>–</w:t>
      </w:r>
      <w:r w:rsidR="001A7902" w:rsidRPr="00795F17">
        <w:t>2021):</w:t>
      </w:r>
    </w:p>
    <w:p w14:paraId="02004F6F" w14:textId="4D5A047B" w:rsidR="001A7902" w:rsidRPr="00795F17" w:rsidRDefault="001A7902" w:rsidP="00117E86">
      <w:pPr>
        <w:pStyle w:val="Listapunktowana2"/>
      </w:pPr>
      <w:r w:rsidRPr="00795F17">
        <w:t xml:space="preserve">Przepisy rozporządzenia w sprawie jakości </w:t>
      </w:r>
      <w:r w:rsidR="00DF005E">
        <w:t>JCWP</w:t>
      </w:r>
      <w:r w:rsidRPr="00795F17">
        <w:t xml:space="preserve"> wykorzystywanych do spożycia (rozporządzenie Ministra Gospodarki Morskiej i Żeglugi Śródlądowej z dnia 29 sierpnia 2019 roku w sprawie wymagań, jakim powinny odpowiadać wody powierzchniowe wykorzystywane do zaopatrzenia ludności w wodę przeznaczoną do spożycia (Dz.U. </w:t>
      </w:r>
      <w:r w:rsidR="00E2281D">
        <w:t xml:space="preserve">z </w:t>
      </w:r>
      <w:r w:rsidRPr="00795F17">
        <w:t>2019</w:t>
      </w:r>
      <w:r w:rsidR="00E2281D">
        <w:t xml:space="preserve"> r.</w:t>
      </w:r>
      <w:r w:rsidRPr="00795F17">
        <w:t xml:space="preserve"> poz. 1747) zawierają wymagania nieprzekraczania wartości granicznych wskaźników fizykochemicznych i bakteriologicznych jakości wody, odpowiadających ustalonym kategoriom jakości wody w zależności od tego, jakim procesom uzdatniania woda musi być poddawana, aby nadawała się do spożycia: A1, A2, A3. Jednakże spośród 37 wskaźników służących ocenie kategorii jakości znakomita większość jest również podstawą </w:t>
      </w:r>
      <w:r w:rsidR="00C12087">
        <w:t>klasyfikacji stanu ekologicznego</w:t>
      </w:r>
      <w:r w:rsidRPr="00795F17">
        <w:t xml:space="preserve"> i chemicznego wód, ale wartości graniczne dla kategorii wód przeznaczonych do uzdatniania są dużo bardziej liberalne w stosunku do wartości służących ocenie stanu wód, nawet uwzględniając zróżnicowanie typologiczne. W tej sytuacji również dość powszechnym zjawiskiem jest występowanie ujęcia na </w:t>
      </w:r>
      <w:r w:rsidR="00DF005E">
        <w:t>JCWP</w:t>
      </w:r>
      <w:r w:rsidRPr="00795F17">
        <w:t xml:space="preserve"> o złym stanie, co w żaden sposób nie jest podstawą zamknięcia ujęcia. Nieznane są przypadki wyłączania dużych ujęć komunalnych z powodów pogarszania się jakości wód płynących. W takim przypadku dostosowuje się technologie na Stacji Uzdatniania Wody (SUW). </w:t>
      </w:r>
    </w:p>
    <w:p w14:paraId="60F41995" w14:textId="0466F9EF" w:rsidR="001A7902" w:rsidRPr="00795F17" w:rsidRDefault="001A7902" w:rsidP="00117E86">
      <w:pPr>
        <w:pStyle w:val="Listapunktowana2"/>
      </w:pPr>
      <w:r w:rsidRPr="00795F17">
        <w:t xml:space="preserve">Ze względu na powyższe uwarunkowania w przypadku </w:t>
      </w:r>
      <w:r w:rsidR="00DF005E">
        <w:t>JCWP</w:t>
      </w:r>
      <w:r w:rsidRPr="00795F17">
        <w:t xml:space="preserve"> przeznaczonych do poboru wody na potrzeby zaopatrzenia ludności w wodę przeznaczoną do spożycia przy ocenie stopnia osiągnięcia celów środowiskowych zgodnie z metodyką przyjętą w opracowaniu </w:t>
      </w:r>
      <w:r w:rsidRPr="00795F17">
        <w:rPr>
          <w:i/>
          <w:iCs/>
        </w:rPr>
        <w:t>Ustalenie celów środowiskowych (…)</w:t>
      </w:r>
      <w:r w:rsidR="0032003A">
        <w:rPr>
          <w:rStyle w:val="Odwoanieprzypisudolnego"/>
          <w:i/>
          <w:iCs/>
        </w:rPr>
        <w:footnoteReference w:id="71"/>
      </w:r>
      <w:r w:rsidRPr="00795F17">
        <w:t xml:space="preserve"> jest porównanie wykazu </w:t>
      </w:r>
      <w:r w:rsidR="00DF005E">
        <w:t>JCWP</w:t>
      </w:r>
      <w:r w:rsidRPr="00795F17">
        <w:t xml:space="preserve"> z aPGW, na których zlokalizowane były ujęcia ze zaktualizowanym wykazem opracowanym na potrzeby cyklu planistycznego IIaPGW 2022</w:t>
      </w:r>
      <w:r w:rsidR="00E2281D">
        <w:t>–</w:t>
      </w:r>
      <w:r w:rsidRPr="00795F17">
        <w:t xml:space="preserve">2027. Porównanie tych dwóch wykazów pozwala na identyfikację </w:t>
      </w:r>
      <w:r w:rsidR="00DF005E">
        <w:t>JCWP</w:t>
      </w:r>
      <w:r w:rsidRPr="00795F17">
        <w:t xml:space="preserve">, które utrzymały swoje funkcje w tym zakresie, co oznacza że spełniają one cel środowiskowy obszaru chronionego. </w:t>
      </w:r>
    </w:p>
    <w:p w14:paraId="0F86552E" w14:textId="4AD61EEC" w:rsidR="001A7902" w:rsidRPr="00795F17" w:rsidRDefault="00A2035E" w:rsidP="00117E86">
      <w:pPr>
        <w:pStyle w:val="Listapunktowana2"/>
      </w:pPr>
      <w:r>
        <w:t>Na</w:t>
      </w:r>
      <w:r w:rsidR="001A7902" w:rsidRPr="00795F17">
        <w:t xml:space="preserve"> obszarze dorzecza Odry: </w:t>
      </w:r>
    </w:p>
    <w:p w14:paraId="2F7E8D58" w14:textId="22734340" w:rsidR="001A7902" w:rsidRPr="001D33CA" w:rsidRDefault="001A7902" w:rsidP="0050009F">
      <w:pPr>
        <w:pStyle w:val="Listapunktowana3"/>
      </w:pPr>
      <w:r w:rsidRPr="001D33CA">
        <w:t xml:space="preserve">42 </w:t>
      </w:r>
      <w:r w:rsidR="00DF005E">
        <w:t>JCWP</w:t>
      </w:r>
      <w:r w:rsidRPr="001D33CA">
        <w:t xml:space="preserve"> RW wskazane w aPGW ponownie wyznaczono jako </w:t>
      </w:r>
      <w:r w:rsidR="00DF005E">
        <w:t>JCWP</w:t>
      </w:r>
      <w:r w:rsidRPr="001D33CA">
        <w:t xml:space="preserve"> przeznaczone do poboru wody do spożycia</w:t>
      </w:r>
      <w:r w:rsidR="00363DD6" w:rsidRPr="001D33CA">
        <w:t>;</w:t>
      </w:r>
      <w:r w:rsidRPr="001D33CA">
        <w:t xml:space="preserve"> </w:t>
      </w:r>
    </w:p>
    <w:p w14:paraId="25013553" w14:textId="427CC584" w:rsidR="001A7902" w:rsidRPr="00795F17" w:rsidRDefault="001A7902" w:rsidP="0050009F">
      <w:pPr>
        <w:pStyle w:val="Listapunktowana3"/>
      </w:pPr>
      <w:r w:rsidRPr="00795F17">
        <w:t xml:space="preserve">4 </w:t>
      </w:r>
      <w:r w:rsidR="00DF005E">
        <w:t>JCWP</w:t>
      </w:r>
      <w:r w:rsidRPr="00795F17">
        <w:t xml:space="preserve"> RW wskazane w aPGW nie zostały ponownie wyznaczone jako </w:t>
      </w:r>
      <w:r w:rsidR="00DF005E">
        <w:t>JCWP</w:t>
      </w:r>
      <w:r w:rsidRPr="00795F17">
        <w:t xml:space="preserve"> przeznaczone do poboru wody do spożycia, bowiem na obszarze ich zlewni nie zlokalizowano ujęć wód powierzchniowych. W tym przypadku ocena osiągnięcia celu jest niemożliwa do wykonania, bowiem nieznane są przyczyny utraty funkcji przez </w:t>
      </w:r>
      <w:r w:rsidR="00DF005E">
        <w:t>JCWP</w:t>
      </w:r>
      <w:r w:rsidR="00363DD6">
        <w:t>;</w:t>
      </w:r>
      <w:r w:rsidRPr="00795F17">
        <w:t xml:space="preserve"> </w:t>
      </w:r>
    </w:p>
    <w:p w14:paraId="3A676826" w14:textId="3094EEC4" w:rsidR="001A7902" w:rsidRPr="00795F17" w:rsidRDefault="001A7902" w:rsidP="0050009F">
      <w:pPr>
        <w:pStyle w:val="Listapunktowana3"/>
      </w:pPr>
      <w:r w:rsidRPr="00795F17">
        <w:t xml:space="preserve">1 </w:t>
      </w:r>
      <w:r w:rsidR="00DF005E">
        <w:t>JCWP</w:t>
      </w:r>
      <w:r w:rsidRPr="00795F17">
        <w:t xml:space="preserve"> LW ponownie wyznaczono jako </w:t>
      </w:r>
      <w:r w:rsidR="00DF005E">
        <w:t>JCWP</w:t>
      </w:r>
      <w:r w:rsidRPr="00795F17">
        <w:t xml:space="preserve"> przeznaczona do poboru wody do spożycia.</w:t>
      </w:r>
    </w:p>
    <w:p w14:paraId="2C136015" w14:textId="23E5AE42" w:rsidR="001A7902" w:rsidRPr="00795F17" w:rsidRDefault="001A7902" w:rsidP="00117E86">
      <w:pPr>
        <w:pStyle w:val="Listapunktowana2"/>
      </w:pPr>
      <w:r w:rsidRPr="00795F17">
        <w:t xml:space="preserve">Dla obszarów chronionych wód przeznaczonych do poboru wody na potrzeby zaopatrzenia ludności w wodę przeznaczoną do spożycia przez ludzi </w:t>
      </w:r>
      <w:r w:rsidR="00A2035E">
        <w:t>na</w:t>
      </w:r>
      <w:r w:rsidRPr="00795F17">
        <w:t xml:space="preserve"> obszarze dorzecza Odry cel dla stanu/potencjału został osiągnięty dla 3 </w:t>
      </w:r>
      <w:r w:rsidR="00DF005E">
        <w:t>JCWP</w:t>
      </w:r>
      <w:r w:rsidRPr="00795F17">
        <w:t xml:space="preserve"> (6,5%), a dla stanu chemicznego dla 25 </w:t>
      </w:r>
      <w:r w:rsidR="00DF005E">
        <w:t>JCWP</w:t>
      </w:r>
      <w:r w:rsidRPr="00795F17">
        <w:t xml:space="preserve"> (54,3%) spośród 46 </w:t>
      </w:r>
      <w:r w:rsidR="00DF005E">
        <w:t>JCWP</w:t>
      </w:r>
      <w:r w:rsidRPr="00795F17">
        <w:t xml:space="preserve"> z tym typem obszaru chronionego.</w:t>
      </w:r>
    </w:p>
    <w:p w14:paraId="7E59DD24" w14:textId="47BFB66C" w:rsidR="001A7902" w:rsidRPr="00795F17" w:rsidRDefault="001A7902" w:rsidP="00117E86">
      <w:pPr>
        <w:pStyle w:val="Listapunktowana2"/>
      </w:pPr>
      <w:r w:rsidRPr="00795F17">
        <w:t xml:space="preserve">Przepisy rozporządzenia w sprawie jakości </w:t>
      </w:r>
      <w:r w:rsidR="00DF005E">
        <w:t>JCWP</w:t>
      </w:r>
      <w:r w:rsidRPr="00795F17">
        <w:t xml:space="preserve"> wykorzystywanych do spożycia (rozporządzenie Ministra Gospodarki Morskiej i Żeglugi Śródlądowej z dnia 29 sierpnia 2019 roku w sprawie wymagań, jakim powinny odpowiadać wody powierzchniowe wykorzystywane do zaopatrzenia ludności w wodę przeznaczoną do spożycia (Dz.U. </w:t>
      </w:r>
      <w:r w:rsidR="00E2281D">
        <w:t xml:space="preserve">z </w:t>
      </w:r>
      <w:r w:rsidRPr="00795F17">
        <w:t>2019</w:t>
      </w:r>
      <w:r w:rsidR="00E2281D">
        <w:t xml:space="preserve"> r.</w:t>
      </w:r>
      <w:r w:rsidRPr="00795F17">
        <w:t xml:space="preserve"> poz. 1747) zawierają wymagania nieprzekraczania wartości granicznych wskaźników fizykochemicznych i bakteriologicznych jakości wody, odpowiadających ustalonym kategoriom jakości wody w zależności od tego, jakim procesom uzdatniania woda musi być poddawana, aby nadawała się do spożycia: A1, A2, A3. Jednakże spośród 37 wskaźników służących ocenie kategorii jakości znakomita większość jest również podstawą </w:t>
      </w:r>
      <w:r w:rsidR="00C12087">
        <w:t>klasyfikacji stanu ekologicznego</w:t>
      </w:r>
      <w:r w:rsidRPr="00795F17">
        <w:t xml:space="preserve"> i chemicznego wód, ale wartości graniczne dla kategorii wód przeznaczonych do uzdatniania są dużo bardziej liberalne w stosunku do wartości służących ocenie stanu wód, nawet uwzględniając zróżnicowanie typologiczne. W tej sytuacji również dość powszechnym zjawiskiem jest występowanie ujęcia na </w:t>
      </w:r>
      <w:r w:rsidR="00DF005E">
        <w:t>JCWP</w:t>
      </w:r>
      <w:r w:rsidRPr="00795F17">
        <w:t xml:space="preserve"> o złym stanie, co w żaden sposób nie jest podstawą zamknięcia ujęcia. Nieznane są przypadki wyłączania dużych ujęć komunalnych z powodów pogarszania się jakości wód płynących. W takim przypadku dostosowuje się</w:t>
      </w:r>
      <w:r w:rsidR="00F80758" w:rsidRPr="00795F17">
        <w:t> </w:t>
      </w:r>
      <w:r w:rsidRPr="00795F17">
        <w:t xml:space="preserve">technologie na Stacji Uzdatniania Wody (SUW). </w:t>
      </w:r>
    </w:p>
    <w:p w14:paraId="5885B446" w14:textId="1BF4CA79" w:rsidR="001A7902" w:rsidRPr="00795F17" w:rsidRDefault="001A7902" w:rsidP="00117E86">
      <w:pPr>
        <w:pStyle w:val="Listapunktowana2"/>
      </w:pPr>
      <w:r w:rsidRPr="00795F17">
        <w:t xml:space="preserve">Wynikiem nieosiągnięcia celów środowiskowych </w:t>
      </w:r>
      <w:r w:rsidR="00DF005E">
        <w:t>JCWP</w:t>
      </w:r>
      <w:r w:rsidRPr="00795F17">
        <w:t xml:space="preserve"> w zakresie obszaru ochronnego o przeznaczeniu wód na cele rekreacyjne, w tym kąpieliskowe (zgodnie z wytycznymi rozporządzenia Ministra Zdrowia z dnia 17 stycznia 2019 roku w sprawie nadzoru nad jakością wody w kąpielisku i miejscu okazjonalnie wykorzystywanym do kąpieli (Dz.U. </w:t>
      </w:r>
      <w:r w:rsidR="00843864">
        <w:t xml:space="preserve">z </w:t>
      </w:r>
      <w:r w:rsidRPr="00795F17">
        <w:t xml:space="preserve">2019 r. poz. 255), jest w prosty sposób zamknięcie kąpieliska, co może być działaniem trwałym bądź chwilowym. W związku z tym zgodnie z metodyką przyjętą w opracowaniu </w:t>
      </w:r>
      <w:r w:rsidRPr="00795F17">
        <w:rPr>
          <w:i/>
          <w:iCs/>
        </w:rPr>
        <w:t>Ustalenie celów środowiskowych (…)</w:t>
      </w:r>
      <w:r w:rsidR="0032003A">
        <w:rPr>
          <w:rStyle w:val="Odwoanieprzypisudolnego"/>
          <w:i/>
          <w:iCs/>
        </w:rPr>
        <w:footnoteReference w:id="72"/>
      </w:r>
      <w:r w:rsidRPr="00795F17">
        <w:t xml:space="preserve"> na potrzeby oceny osiągnięcia celów środowiskowych przez jednolite części wód powierzchniowych przeznaczone do celów rekreacyjnych, w tym kąpieliskowych jest porównanie wykazu </w:t>
      </w:r>
      <w:r w:rsidR="00DF005E">
        <w:t>JCWP</w:t>
      </w:r>
      <w:r w:rsidRPr="00795F17">
        <w:t xml:space="preserve"> z aPGW, na których zlokalizowany był ten typ obszaru chronionego ze</w:t>
      </w:r>
      <w:r w:rsidR="00FF4FE6">
        <w:t> </w:t>
      </w:r>
      <w:r w:rsidRPr="00795F17">
        <w:t>zaktualizowanym wykazem opracowanym na potrzeby cyklu planistycznego IIaPGW (2022</w:t>
      </w:r>
      <w:r w:rsidR="00E2281D">
        <w:t>–</w:t>
      </w:r>
      <w:r w:rsidRPr="00795F17">
        <w:t xml:space="preserve">2027). Porównanie tych dwóch wykazów pozwala na identyfikację </w:t>
      </w:r>
      <w:r w:rsidR="00DF005E">
        <w:t>JCWP</w:t>
      </w:r>
      <w:r w:rsidRPr="00795F17">
        <w:t>, które utrzymały swoje funkcje w tym zakresie, co oznacza że spełniają one cel środowiskowy obszaru chronionego.</w:t>
      </w:r>
    </w:p>
    <w:p w14:paraId="1C61C78F" w14:textId="77777777" w:rsidR="001A7902" w:rsidRPr="00795F17" w:rsidRDefault="001A7902" w:rsidP="00A32D4C">
      <w:pPr>
        <w:ind w:left="284"/>
      </w:pPr>
      <w:r w:rsidRPr="00795F17">
        <w:t xml:space="preserve">Na obszarze dorzecza Odry: </w:t>
      </w:r>
    </w:p>
    <w:p w14:paraId="6E318287" w14:textId="6C71416A" w:rsidR="001A7902" w:rsidRPr="00795F17" w:rsidRDefault="001A7902" w:rsidP="00117E86">
      <w:pPr>
        <w:pStyle w:val="Listapunktowana2"/>
      </w:pPr>
      <w:r w:rsidRPr="00795F17">
        <w:t xml:space="preserve">Dla </w:t>
      </w:r>
      <w:r w:rsidR="00DF005E">
        <w:t>JCWP</w:t>
      </w:r>
      <w:r w:rsidRPr="00795F17">
        <w:t xml:space="preserve"> RW:</w:t>
      </w:r>
    </w:p>
    <w:p w14:paraId="7C695D1D" w14:textId="7D6EEE34" w:rsidR="001A7902" w:rsidRPr="00795F17" w:rsidRDefault="001A7902" w:rsidP="0050009F">
      <w:pPr>
        <w:pStyle w:val="Listapunktowana3"/>
      </w:pPr>
      <w:r w:rsidRPr="00795F17">
        <w:t xml:space="preserve">20 </w:t>
      </w:r>
      <w:r w:rsidR="00DF005E">
        <w:t>JCWP</w:t>
      </w:r>
      <w:r w:rsidRPr="00795F17">
        <w:t xml:space="preserve"> RW wskazanych w aPGW osiągnęło cel środowiskowy</w:t>
      </w:r>
      <w:r w:rsidR="00E2281D">
        <w:t>,</w:t>
      </w:r>
    </w:p>
    <w:p w14:paraId="71262D46" w14:textId="092F2EA0" w:rsidR="001A7902" w:rsidRPr="00795F17" w:rsidRDefault="001A7902" w:rsidP="0050009F">
      <w:pPr>
        <w:pStyle w:val="Listapunktowana3"/>
      </w:pPr>
      <w:r w:rsidRPr="00795F17">
        <w:t xml:space="preserve">7 </w:t>
      </w:r>
      <w:r w:rsidR="00DF005E">
        <w:t>JCWP</w:t>
      </w:r>
      <w:r w:rsidRPr="00795F17">
        <w:t xml:space="preserve"> RW wskazane w aPGW, które nie zostały ponownie wyznaczone w IIaPGW jako </w:t>
      </w:r>
      <w:r w:rsidR="00DF005E">
        <w:t>JCWP</w:t>
      </w:r>
      <w:r w:rsidRPr="00795F17">
        <w:t xml:space="preserve"> przeznaczone do celów kapieliskowych, i na obszarze ich zlewni nie zlokalizowano kąpielisk (brak w serwisie kąpieliskowym w 2020 r.) </w:t>
      </w:r>
      <w:r w:rsidR="00E2281D">
        <w:t>–</w:t>
      </w:r>
      <w:r w:rsidRPr="00795F17">
        <w:t xml:space="preserve"> ocena osiągnięcia celu jest niemożliwa do wykonania, bowiem nieznane są przyczyny utraty funkcji rekreacyjne przez </w:t>
      </w:r>
      <w:r w:rsidR="00DF005E">
        <w:t>JCWP</w:t>
      </w:r>
      <w:r w:rsidRPr="00795F17">
        <w:t>. Powody braku wyznaczenia kąpielisk najczęściej mają charakter formalno</w:t>
      </w:r>
      <w:r w:rsidR="00E2281D">
        <w:t>–</w:t>
      </w:r>
      <w:r w:rsidRPr="00795F17">
        <w:t>organizacyjny lub</w:t>
      </w:r>
      <w:r w:rsidR="00FF4FE6">
        <w:t> </w:t>
      </w:r>
      <w:r w:rsidRPr="00795F17">
        <w:t>finansowy, niekoniecznie wynikający z pogorszenia jakości wód.</w:t>
      </w:r>
    </w:p>
    <w:p w14:paraId="60A3CD7D" w14:textId="4684B859" w:rsidR="001A7902" w:rsidRPr="00795F17" w:rsidRDefault="001A7902" w:rsidP="00117E86">
      <w:pPr>
        <w:pStyle w:val="Listapunktowana2"/>
      </w:pPr>
      <w:r w:rsidRPr="00795F17">
        <w:t xml:space="preserve">Dla </w:t>
      </w:r>
      <w:r w:rsidR="00DF005E">
        <w:t>JCWP</w:t>
      </w:r>
      <w:r w:rsidRPr="00795F17">
        <w:t xml:space="preserve"> LW</w:t>
      </w:r>
      <w:r w:rsidR="009B0EDB">
        <w:t>:</w:t>
      </w:r>
    </w:p>
    <w:p w14:paraId="070F2661" w14:textId="7FF5F281" w:rsidR="001A7902" w:rsidRPr="00795F17" w:rsidRDefault="001A7902" w:rsidP="0050009F">
      <w:pPr>
        <w:pStyle w:val="Listapunktowana3"/>
      </w:pPr>
      <w:r w:rsidRPr="00795F17">
        <w:t xml:space="preserve">15 </w:t>
      </w:r>
      <w:r w:rsidR="00DF005E">
        <w:t>JCWP</w:t>
      </w:r>
      <w:r w:rsidRPr="00795F17">
        <w:t xml:space="preserve"> LW wskazanych w aPGW zostało ponownie wyznaczonych jako </w:t>
      </w:r>
      <w:r w:rsidR="00DF005E">
        <w:t>JCWP</w:t>
      </w:r>
      <w:r w:rsidRPr="00795F17">
        <w:t xml:space="preserve"> przeznaczone do celów kąpieliskowych </w:t>
      </w:r>
      <w:r w:rsidR="00E2281D">
        <w:t>–</w:t>
      </w:r>
      <w:r w:rsidRPr="00795F17">
        <w:t xml:space="preserve"> osiągnęły cel środowiskowy</w:t>
      </w:r>
      <w:r w:rsidR="00E2281D">
        <w:t>,</w:t>
      </w:r>
    </w:p>
    <w:p w14:paraId="6B401547" w14:textId="73FD8AE0" w:rsidR="001A7902" w:rsidRPr="00795F17" w:rsidRDefault="001A7902" w:rsidP="0050009F">
      <w:pPr>
        <w:pStyle w:val="Listapunktowana3"/>
      </w:pPr>
      <w:r w:rsidRPr="00795F17">
        <w:t xml:space="preserve">2 </w:t>
      </w:r>
      <w:r w:rsidR="00DF005E">
        <w:t>JCWP</w:t>
      </w:r>
      <w:r w:rsidRPr="00795F17">
        <w:t xml:space="preserve"> LW wskazane w aPGW, pomimo, że nie zostały wyznaczone w </w:t>
      </w:r>
      <w:r w:rsidR="00843864">
        <w:t>II</w:t>
      </w:r>
      <w:r w:rsidRPr="00795F17">
        <w:t xml:space="preserve">aPGW jako </w:t>
      </w:r>
      <w:r w:rsidR="00DF005E">
        <w:t>JCWP</w:t>
      </w:r>
      <w:r w:rsidRPr="00795F17">
        <w:t xml:space="preserve"> przeznaczone do celów kapieliskowych, to na obszarze ich zlewni </w:t>
      </w:r>
      <w:r w:rsidR="00DF005E">
        <w:t>JCWP</w:t>
      </w:r>
      <w:r w:rsidRPr="00795F17">
        <w:t xml:space="preserve"> zlokalizowano kąpieliska, które są objęte kontrolą Państwowej Inspekcji Sanitarnej (</w:t>
      </w:r>
      <w:r w:rsidR="00442820">
        <w:t>według</w:t>
      </w:r>
      <w:r w:rsidRPr="00795F17">
        <w:t xml:space="preserve"> serwisu kąpieliskowego rok 2020) </w:t>
      </w:r>
      <w:r w:rsidR="00E2281D">
        <w:t>–</w:t>
      </w:r>
      <w:r w:rsidRPr="00795F17">
        <w:t xml:space="preserve"> osiągnęły cel środowiskowy</w:t>
      </w:r>
      <w:r w:rsidR="00E2281D">
        <w:t>,</w:t>
      </w:r>
    </w:p>
    <w:p w14:paraId="147D2DEC" w14:textId="7ACDE733" w:rsidR="001A7902" w:rsidRPr="00795F17" w:rsidRDefault="001A7902" w:rsidP="0050009F">
      <w:pPr>
        <w:pStyle w:val="Listapunktowana3"/>
      </w:pPr>
      <w:r w:rsidRPr="00795F17">
        <w:t xml:space="preserve">3 </w:t>
      </w:r>
      <w:r w:rsidR="00DF005E">
        <w:t>JCWP</w:t>
      </w:r>
      <w:r w:rsidRPr="00795F17">
        <w:t xml:space="preserve"> LW wskazane w aPGW, które nie zostały ponownie wyznaczone w 2aPGW jako </w:t>
      </w:r>
      <w:r w:rsidR="00DF005E">
        <w:t>JCWP</w:t>
      </w:r>
      <w:r w:rsidRPr="00795F17">
        <w:t xml:space="preserve"> przeznaczone do celów kapieliskowych, i na obszarze ich zlewni nie zlokalizowano kąpielisk (brak w serwisie kąpieliskowym w 2020 r.) </w:t>
      </w:r>
      <w:r w:rsidR="00E2281D">
        <w:t>–</w:t>
      </w:r>
      <w:r w:rsidRPr="00795F17">
        <w:t xml:space="preserve"> ocena osiągnięcia celu jest niemożliwa do wykonania, bowiem nieznane są przyczyny utraty funkcji rekreacyjne przez </w:t>
      </w:r>
      <w:r w:rsidR="00DF005E">
        <w:t>JCWP</w:t>
      </w:r>
      <w:r w:rsidRPr="00795F17">
        <w:t>. Powody braku wyznaczenia kąpielisk najczęściej mają charakter formalno</w:t>
      </w:r>
      <w:r w:rsidR="00E2281D">
        <w:t>–</w:t>
      </w:r>
      <w:r w:rsidRPr="00795F17">
        <w:t>organizacyjny lub</w:t>
      </w:r>
      <w:r w:rsidR="00FF4FE6">
        <w:t> </w:t>
      </w:r>
      <w:r w:rsidRPr="00795F17">
        <w:t>finansowy, niekoniecznie wynikający z pogorszenia jakości wód</w:t>
      </w:r>
      <w:r w:rsidR="009B0EDB">
        <w:t>.</w:t>
      </w:r>
    </w:p>
    <w:p w14:paraId="21576438" w14:textId="4B77BC32" w:rsidR="001A7902" w:rsidRPr="00795F17" w:rsidRDefault="001A7902" w:rsidP="00117E86">
      <w:pPr>
        <w:pStyle w:val="Listapunktowana2"/>
      </w:pPr>
      <w:r w:rsidRPr="00795F17">
        <w:t xml:space="preserve">Dla </w:t>
      </w:r>
      <w:r w:rsidR="00DF005E">
        <w:t>JCWP</w:t>
      </w:r>
      <w:r w:rsidRPr="00795F17">
        <w:t xml:space="preserve"> TW i CW</w:t>
      </w:r>
      <w:r w:rsidR="009B0EDB">
        <w:t>:</w:t>
      </w:r>
    </w:p>
    <w:p w14:paraId="30AC75A3" w14:textId="0AB57605" w:rsidR="001A7902" w:rsidRPr="00795F17" w:rsidRDefault="00DF005E" w:rsidP="0050009F">
      <w:pPr>
        <w:pStyle w:val="Listapunktowana3"/>
      </w:pPr>
      <w:r>
        <w:t>JCWP</w:t>
      </w:r>
      <w:r w:rsidR="001A7902" w:rsidRPr="00795F17">
        <w:t xml:space="preserve"> TW i CW wskazane w aPGW zostało ponownie wyznaczonych jako </w:t>
      </w:r>
      <w:r>
        <w:t>JCWP</w:t>
      </w:r>
      <w:r w:rsidR="001A7902" w:rsidRPr="00795F17">
        <w:t xml:space="preserve"> przeznaczone do celów kąpieliskowych </w:t>
      </w:r>
      <w:r w:rsidR="00E2281D">
        <w:t>–</w:t>
      </w:r>
      <w:r w:rsidR="001A7902" w:rsidRPr="00795F17">
        <w:t xml:space="preserve"> osiągnęły cel środowiskowy</w:t>
      </w:r>
      <w:r w:rsidR="00E2281D">
        <w:t>,</w:t>
      </w:r>
    </w:p>
    <w:p w14:paraId="6329B804" w14:textId="2DEB071F" w:rsidR="001A7902" w:rsidRPr="00795F17" w:rsidRDefault="001A7902" w:rsidP="00117E86">
      <w:pPr>
        <w:pStyle w:val="Listapunktowana2"/>
      </w:pPr>
      <w:r w:rsidRPr="00795F17">
        <w:t xml:space="preserve">Dla obszarów chronionych wód przeznaczonych do celów rekreacyjnych, w tym kąpieliskowych </w:t>
      </w:r>
      <w:r w:rsidR="00A973FF">
        <w:t>na</w:t>
      </w:r>
      <w:r w:rsidRPr="00795F17">
        <w:t xml:space="preserve"> obszarze dorzecza Odry cel dla stanu/potencjału został osiągnięty dla 8 </w:t>
      </w:r>
      <w:r w:rsidR="00DF005E">
        <w:t>JCWP</w:t>
      </w:r>
      <w:r w:rsidRPr="00795F17">
        <w:t xml:space="preserve"> (14,8%), jak</w:t>
      </w:r>
      <w:r w:rsidR="00FF4FE6">
        <w:t> </w:t>
      </w:r>
      <w:r w:rsidRPr="00795F17">
        <w:t xml:space="preserve">również 8 </w:t>
      </w:r>
      <w:r w:rsidR="00DF005E">
        <w:t>JCWP</w:t>
      </w:r>
      <w:r w:rsidRPr="00795F17">
        <w:t xml:space="preserve"> (14,8%) dla stanu chemicznego, spośród 54 </w:t>
      </w:r>
      <w:r w:rsidR="00DF005E">
        <w:t>JCWP</w:t>
      </w:r>
      <w:r w:rsidRPr="00795F17">
        <w:t xml:space="preserve"> z tym typem obszaru chronionego.</w:t>
      </w:r>
    </w:p>
    <w:p w14:paraId="52856E6F" w14:textId="629DBE62" w:rsidR="001A7902" w:rsidRPr="00795F17" w:rsidRDefault="001A7902" w:rsidP="00117E86">
      <w:pPr>
        <w:pStyle w:val="Listapunktowana2"/>
      </w:pPr>
      <w:r w:rsidRPr="00795F17">
        <w:t xml:space="preserve">Dla obszarów chronionych wód wrażliwych na eutrofizację wywołaną zanieczyszczeniami pochodzącymi ze źródeł komunalnych, </w:t>
      </w:r>
      <w:r w:rsidR="006841E9" w:rsidRPr="00A30692">
        <w:rPr>
          <w:shd w:val="clear" w:color="auto" w:fill="FFFFFF"/>
        </w:rPr>
        <w:t>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r w:rsidRPr="00795F17">
        <w:t xml:space="preserve">, </w:t>
      </w:r>
      <w:r w:rsidR="00A973FF">
        <w:t>na</w:t>
      </w:r>
      <w:r w:rsidRPr="00795F17">
        <w:t xml:space="preserve"> obszarze dorzecza Odry cel dla stanu/potencjału został osiągnięty dla 176 </w:t>
      </w:r>
      <w:r w:rsidR="00DF005E">
        <w:t>JCWP</w:t>
      </w:r>
      <w:r w:rsidRPr="00795F17">
        <w:t xml:space="preserve"> (8,2%), a</w:t>
      </w:r>
      <w:r w:rsidR="00A973FF">
        <w:t> </w:t>
      </w:r>
      <w:r w:rsidRPr="00795F17">
        <w:t xml:space="preserve">dla stanu chemicznego dla 360 </w:t>
      </w:r>
      <w:r w:rsidR="00DF005E">
        <w:t>JCWP</w:t>
      </w:r>
      <w:r w:rsidRPr="00795F17">
        <w:t xml:space="preserve"> (16,7%) spośród 2 159 </w:t>
      </w:r>
      <w:r w:rsidR="00DF005E">
        <w:t>JCWP</w:t>
      </w:r>
      <w:r w:rsidRPr="00795F17">
        <w:t xml:space="preserve"> z tym typem obszaru chronionego.</w:t>
      </w:r>
    </w:p>
    <w:p w14:paraId="63EA7143" w14:textId="3069298F" w:rsidR="001A7902" w:rsidRPr="00795F17" w:rsidRDefault="001A7902" w:rsidP="001A7902">
      <w:r w:rsidRPr="00795F17">
        <w:t>Wyżej opisane wyniki oceny postępu zaprezentowano w tabeli poniżej (tabela 9-26).</w:t>
      </w:r>
    </w:p>
    <w:p w14:paraId="3408087C" w14:textId="488A0C1C" w:rsidR="001A7902" w:rsidRPr="00795F17" w:rsidRDefault="001A7902" w:rsidP="004D7705">
      <w:pPr>
        <w:pStyle w:val="Tabela"/>
      </w:pPr>
      <w:bookmarkStart w:id="520" w:name="_Ref66040176"/>
      <w:bookmarkStart w:id="521" w:name="_Toc66341927"/>
      <w:bookmarkStart w:id="522" w:name="_Toc105512850"/>
      <w:bookmarkEnd w:id="519"/>
      <w:r w:rsidRPr="00795F17">
        <w:t xml:space="preserve">Tabela </w:t>
      </w:r>
      <w:bookmarkEnd w:id="520"/>
      <w:r w:rsidR="00BB3B21" w:rsidRPr="00795F17">
        <w:fldChar w:fldCharType="begin"/>
      </w:r>
      <w:r w:rsidR="00BB3B21" w:rsidRPr="00795F17">
        <w:instrText xml:space="preserve"> STYLEREF 1 \s </w:instrText>
      </w:r>
      <w:r w:rsidR="00BB3B21" w:rsidRPr="00795F17">
        <w:fldChar w:fldCharType="separate"/>
      </w:r>
      <w:r w:rsidR="001F774D">
        <w:rPr>
          <w:noProof/>
        </w:rPr>
        <w:t>9</w:t>
      </w:r>
      <w:r w:rsidR="00BB3B21" w:rsidRPr="00795F17">
        <w:fldChar w:fldCharType="end"/>
      </w:r>
      <w:r w:rsidR="00BB3B21" w:rsidRPr="00795F17">
        <w:noBreakHyphen/>
      </w:r>
      <w:fldSimple w:instr=" SEQ Tabela \* ARABIC \s 1 ">
        <w:r w:rsidR="001F774D">
          <w:rPr>
            <w:noProof/>
          </w:rPr>
          <w:t>26</w:t>
        </w:r>
      </w:fldSimple>
      <w:r w:rsidR="00E76356">
        <w:rPr>
          <w:noProof/>
        </w:rPr>
        <w:t>.</w:t>
      </w:r>
      <w:r w:rsidRPr="00795F17">
        <w:tab/>
        <w:t xml:space="preserve">Ocena postępu w osiąganiu podstawowych celów środowiskowych dla obszarów chronionych wód przeznaczonych do poboru wody na potrzeby zaopatrzenia ludności w wodę przeznaczoną do spożycia przez ludzi; wód przeznaczonych do celów rekreacyjnych, w tym kąpieliskowych; wrażliwych na eutrofizację wywołaną zanieczyszczeniami pochodzącymi ze źródeł komunalnych </w:t>
      </w:r>
      <w:r w:rsidR="00C31955" w:rsidRPr="004A4C0B">
        <w:t>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r w:rsidRPr="00795F17">
        <w:t xml:space="preserve"> </w:t>
      </w:r>
      <w:r w:rsidR="006711F9">
        <w:t>na</w:t>
      </w:r>
      <w:r w:rsidRPr="00795F17">
        <w:t xml:space="preserve"> obszarze dorzecza Odry</w:t>
      </w:r>
      <w:bookmarkEnd w:id="521"/>
      <w:bookmarkEnd w:id="5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8"/>
        <w:gridCol w:w="54"/>
        <w:gridCol w:w="1329"/>
        <w:gridCol w:w="55"/>
        <w:gridCol w:w="1489"/>
        <w:gridCol w:w="56"/>
        <w:gridCol w:w="1372"/>
        <w:gridCol w:w="54"/>
        <w:gridCol w:w="1435"/>
      </w:tblGrid>
      <w:tr w:rsidR="001A7902" w:rsidRPr="00795F17" w14:paraId="66FF5B02" w14:textId="77777777" w:rsidTr="00806CC6">
        <w:trPr>
          <w:trHeight w:val="454"/>
          <w:tblHeader/>
        </w:trPr>
        <w:tc>
          <w:tcPr>
            <w:tcW w:w="1831" w:type="pct"/>
            <w:gridSpan w:val="2"/>
            <w:vMerge w:val="restart"/>
            <w:shd w:val="clear" w:color="auto" w:fill="BFBFBF" w:themeFill="background1" w:themeFillShade="BF"/>
            <w:noWrap/>
            <w:vAlign w:val="center"/>
            <w:hideMark/>
          </w:tcPr>
          <w:p w14:paraId="333A3B2A" w14:textId="77777777" w:rsidR="001A7902" w:rsidRPr="00795F17" w:rsidRDefault="001A7902" w:rsidP="00D3543E">
            <w:pPr>
              <w:pStyle w:val="Teksttabelinaglowek"/>
              <w:keepNext/>
            </w:pPr>
            <w:bookmarkStart w:id="523" w:name="_Hlk66041089"/>
            <w:r w:rsidRPr="00795F17">
              <w:t>Stopień osiągnięcia celu</w:t>
            </w:r>
          </w:p>
        </w:tc>
        <w:tc>
          <w:tcPr>
            <w:tcW w:w="1588" w:type="pct"/>
            <w:gridSpan w:val="4"/>
            <w:shd w:val="clear" w:color="auto" w:fill="BFBFBF" w:themeFill="background1" w:themeFillShade="BF"/>
            <w:noWrap/>
            <w:vAlign w:val="center"/>
            <w:hideMark/>
          </w:tcPr>
          <w:p w14:paraId="5BFC83FC" w14:textId="77777777" w:rsidR="001A7902" w:rsidRPr="00795F17" w:rsidRDefault="001A7902" w:rsidP="00D3543E">
            <w:pPr>
              <w:pStyle w:val="Teksttabelinaglowek"/>
              <w:keepNext/>
            </w:pPr>
            <w:r w:rsidRPr="00795F17">
              <w:t>Stan/potencjał ekologiczny</w:t>
            </w:r>
          </w:p>
        </w:tc>
        <w:tc>
          <w:tcPr>
            <w:tcW w:w="1581" w:type="pct"/>
            <w:gridSpan w:val="3"/>
            <w:shd w:val="clear" w:color="auto" w:fill="BFBFBF" w:themeFill="background1" w:themeFillShade="BF"/>
            <w:noWrap/>
            <w:vAlign w:val="center"/>
            <w:hideMark/>
          </w:tcPr>
          <w:p w14:paraId="01605090" w14:textId="77777777" w:rsidR="001A7902" w:rsidRPr="00795F17" w:rsidRDefault="001A7902" w:rsidP="00D3543E">
            <w:pPr>
              <w:pStyle w:val="Teksttabelinaglowek"/>
              <w:keepNext/>
            </w:pPr>
            <w:r w:rsidRPr="00795F17">
              <w:t>Stan chemiczny</w:t>
            </w:r>
          </w:p>
        </w:tc>
      </w:tr>
      <w:tr w:rsidR="001A7902" w:rsidRPr="00795F17" w14:paraId="11551E63" w14:textId="77777777" w:rsidTr="00806CC6">
        <w:trPr>
          <w:trHeight w:val="454"/>
          <w:tblHeader/>
        </w:trPr>
        <w:tc>
          <w:tcPr>
            <w:tcW w:w="1831" w:type="pct"/>
            <w:gridSpan w:val="2"/>
            <w:vMerge/>
            <w:shd w:val="clear" w:color="auto" w:fill="BFBFBF" w:themeFill="background1" w:themeFillShade="BF"/>
            <w:noWrap/>
            <w:vAlign w:val="center"/>
            <w:hideMark/>
          </w:tcPr>
          <w:p w14:paraId="6D534C7E" w14:textId="77777777" w:rsidR="001A7902" w:rsidRPr="00795F17" w:rsidRDefault="001A7902" w:rsidP="00D3543E">
            <w:pPr>
              <w:pStyle w:val="Teksttabelinaglowek"/>
              <w:keepNext/>
            </w:pPr>
          </w:p>
        </w:tc>
        <w:tc>
          <w:tcPr>
            <w:tcW w:w="747" w:type="pct"/>
            <w:gridSpan w:val="2"/>
            <w:shd w:val="clear" w:color="auto" w:fill="BFBFBF" w:themeFill="background1" w:themeFillShade="BF"/>
            <w:vAlign w:val="center"/>
            <w:hideMark/>
          </w:tcPr>
          <w:p w14:paraId="2FAA713D" w14:textId="3274929E" w:rsidR="001A7902" w:rsidRPr="00795F17" w:rsidRDefault="001C4CF2" w:rsidP="00D3543E">
            <w:pPr>
              <w:pStyle w:val="Teksttabelinaglowek"/>
              <w:keepNext/>
            </w:pPr>
            <w:r>
              <w:t>L</w:t>
            </w:r>
            <w:r w:rsidR="001A7902" w:rsidRPr="00795F17">
              <w:t xml:space="preserve">iczba </w:t>
            </w:r>
            <w:r w:rsidR="00DF005E">
              <w:t>JCWP</w:t>
            </w:r>
          </w:p>
        </w:tc>
        <w:tc>
          <w:tcPr>
            <w:tcW w:w="841" w:type="pct"/>
            <w:gridSpan w:val="2"/>
            <w:shd w:val="clear" w:color="auto" w:fill="BFBFBF" w:themeFill="background1" w:themeFillShade="BF"/>
            <w:vAlign w:val="center"/>
            <w:hideMark/>
          </w:tcPr>
          <w:p w14:paraId="38C7078E" w14:textId="7BC484B6" w:rsidR="001A7902" w:rsidRPr="00795F17" w:rsidRDefault="001C4CF2" w:rsidP="00D3543E">
            <w:pPr>
              <w:pStyle w:val="Teksttabelinaglowek"/>
              <w:keepNext/>
            </w:pPr>
            <w:r>
              <w:t>U</w:t>
            </w:r>
            <w:r w:rsidR="001A7902" w:rsidRPr="00795F17">
              <w:t xml:space="preserve">dział </w:t>
            </w:r>
            <w:r w:rsidR="00DF005E">
              <w:t>JCWP</w:t>
            </w:r>
            <w:r w:rsidR="001A7902" w:rsidRPr="00795F17">
              <w:t xml:space="preserve"> </w:t>
            </w:r>
            <w:r w:rsidR="00CC23BA">
              <w:t>na</w:t>
            </w:r>
            <w:r w:rsidR="00806CC6">
              <w:t> </w:t>
            </w:r>
            <w:r w:rsidR="001A7902" w:rsidRPr="00795F17">
              <w:t>obszarze dorzecza</w:t>
            </w:r>
          </w:p>
          <w:p w14:paraId="4679969F" w14:textId="77777777" w:rsidR="001A7902" w:rsidRPr="00795F17" w:rsidRDefault="001A7902" w:rsidP="00D3543E">
            <w:pPr>
              <w:pStyle w:val="Teksttabelinaglowek"/>
              <w:keepNext/>
            </w:pPr>
            <w:r w:rsidRPr="00795F17">
              <w:t>(%)</w:t>
            </w:r>
          </w:p>
        </w:tc>
        <w:tc>
          <w:tcPr>
            <w:tcW w:w="772" w:type="pct"/>
            <w:gridSpan w:val="2"/>
            <w:shd w:val="clear" w:color="auto" w:fill="BFBFBF" w:themeFill="background1" w:themeFillShade="BF"/>
            <w:vAlign w:val="center"/>
            <w:hideMark/>
          </w:tcPr>
          <w:p w14:paraId="419428E7" w14:textId="32A1A4BE" w:rsidR="001A7902" w:rsidRPr="00795F17" w:rsidRDefault="001C4CF2" w:rsidP="00D3543E">
            <w:pPr>
              <w:pStyle w:val="Teksttabelinaglowek"/>
              <w:keepNext/>
            </w:pPr>
            <w:r>
              <w:t>L</w:t>
            </w:r>
            <w:r w:rsidR="001A7902" w:rsidRPr="00795F17">
              <w:t xml:space="preserve">iczba </w:t>
            </w:r>
            <w:r w:rsidR="00DF005E">
              <w:t>JCWP</w:t>
            </w:r>
          </w:p>
        </w:tc>
        <w:tc>
          <w:tcPr>
            <w:tcW w:w="809" w:type="pct"/>
            <w:shd w:val="clear" w:color="auto" w:fill="BFBFBF" w:themeFill="background1" w:themeFillShade="BF"/>
            <w:vAlign w:val="center"/>
            <w:hideMark/>
          </w:tcPr>
          <w:p w14:paraId="6BF20945" w14:textId="0D9426E2" w:rsidR="001A7902" w:rsidRPr="00795F17" w:rsidRDefault="001C4CF2" w:rsidP="00D3543E">
            <w:pPr>
              <w:pStyle w:val="Teksttabelinaglowek"/>
              <w:keepNext/>
            </w:pPr>
            <w:r>
              <w:t>U</w:t>
            </w:r>
            <w:r w:rsidR="001A7902" w:rsidRPr="00795F17">
              <w:t xml:space="preserve">dział </w:t>
            </w:r>
            <w:r w:rsidR="00DF005E">
              <w:t>JCWP</w:t>
            </w:r>
            <w:r w:rsidR="001A7902" w:rsidRPr="00795F17">
              <w:t xml:space="preserve"> </w:t>
            </w:r>
            <w:r w:rsidR="00CC23BA">
              <w:t>na</w:t>
            </w:r>
            <w:r w:rsidR="00806CC6">
              <w:t> </w:t>
            </w:r>
            <w:r w:rsidR="001A7902" w:rsidRPr="00795F17">
              <w:t>obszarze dorzecza</w:t>
            </w:r>
          </w:p>
          <w:p w14:paraId="3F5A96B9" w14:textId="77777777" w:rsidR="001A7902" w:rsidRPr="00795F17" w:rsidRDefault="001A7902" w:rsidP="00D3543E">
            <w:pPr>
              <w:pStyle w:val="Teksttabelinaglowek"/>
              <w:keepNext/>
            </w:pPr>
            <w:r w:rsidRPr="00795F17">
              <w:t>(%)</w:t>
            </w:r>
          </w:p>
        </w:tc>
      </w:tr>
      <w:tr w:rsidR="001A7902" w:rsidRPr="00795F17" w14:paraId="601E6BD5" w14:textId="77777777" w:rsidTr="009B66ED">
        <w:trPr>
          <w:trHeight w:val="454"/>
        </w:trPr>
        <w:tc>
          <w:tcPr>
            <w:tcW w:w="5000" w:type="pct"/>
            <w:gridSpan w:val="9"/>
            <w:shd w:val="clear" w:color="auto" w:fill="D9D9D9" w:themeFill="background1" w:themeFillShade="D9"/>
            <w:noWrap/>
            <w:vAlign w:val="center"/>
          </w:tcPr>
          <w:p w14:paraId="097B7404" w14:textId="77777777" w:rsidR="001A7902" w:rsidRPr="00795F17" w:rsidRDefault="001A7902" w:rsidP="009B66ED">
            <w:pPr>
              <w:pStyle w:val="Teksttabelisrodek"/>
            </w:pPr>
            <w:r w:rsidRPr="00795F17">
              <w:t>Obszary chronione wód przeznaczonych do poboru wody na potrzeby zaopatrzenia ludności w wodę przeznaczoną do spożycia przez ludzi</w:t>
            </w:r>
          </w:p>
        </w:tc>
      </w:tr>
      <w:tr w:rsidR="001A7902" w:rsidRPr="00795F17" w14:paraId="6CB06522" w14:textId="77777777" w:rsidTr="00D6377E">
        <w:trPr>
          <w:trHeight w:val="454"/>
        </w:trPr>
        <w:tc>
          <w:tcPr>
            <w:tcW w:w="1831" w:type="pct"/>
            <w:noWrap/>
            <w:vAlign w:val="center"/>
          </w:tcPr>
          <w:p w14:paraId="0A1BB4EE" w14:textId="4F1ECCA6" w:rsidR="001A7902" w:rsidRPr="00795F17" w:rsidRDefault="001A7902" w:rsidP="009B66ED">
            <w:pPr>
              <w:pStyle w:val="Teksttabelilewy"/>
            </w:pPr>
            <w:r w:rsidRPr="00795F17">
              <w:t xml:space="preserve">Cel nieosiągnięty </w:t>
            </w:r>
            <w:r w:rsidR="00E2281D">
              <w:t>–</w:t>
            </w:r>
            <w:r w:rsidRPr="00795F17">
              <w:t xml:space="preserve"> brak postępu</w:t>
            </w:r>
          </w:p>
        </w:tc>
        <w:tc>
          <w:tcPr>
            <w:tcW w:w="747" w:type="pct"/>
            <w:gridSpan w:val="2"/>
            <w:noWrap/>
            <w:vAlign w:val="center"/>
          </w:tcPr>
          <w:p w14:paraId="63F8CD2D" w14:textId="77777777" w:rsidR="001A7902" w:rsidRPr="00795F17" w:rsidRDefault="001A7902" w:rsidP="009B66ED">
            <w:pPr>
              <w:pStyle w:val="Teksttabelisrodek"/>
            </w:pPr>
            <w:r w:rsidRPr="00795F17">
              <w:t>26</w:t>
            </w:r>
          </w:p>
        </w:tc>
        <w:tc>
          <w:tcPr>
            <w:tcW w:w="841" w:type="pct"/>
            <w:gridSpan w:val="2"/>
            <w:noWrap/>
            <w:vAlign w:val="center"/>
          </w:tcPr>
          <w:p w14:paraId="5AE41276" w14:textId="77777777" w:rsidR="001A7902" w:rsidRPr="00795F17" w:rsidRDefault="001A7902" w:rsidP="009B66ED">
            <w:pPr>
              <w:pStyle w:val="Teksttabelisrodek"/>
            </w:pPr>
            <w:r w:rsidRPr="00795F17">
              <w:t>56,5</w:t>
            </w:r>
          </w:p>
        </w:tc>
        <w:tc>
          <w:tcPr>
            <w:tcW w:w="772" w:type="pct"/>
            <w:gridSpan w:val="2"/>
            <w:noWrap/>
            <w:vAlign w:val="center"/>
          </w:tcPr>
          <w:p w14:paraId="7AA50DE8" w14:textId="77777777" w:rsidR="001A7902" w:rsidRPr="00795F17" w:rsidRDefault="001A7902" w:rsidP="009B66ED">
            <w:pPr>
              <w:pStyle w:val="Teksttabelisrodek"/>
            </w:pPr>
            <w:r w:rsidRPr="00795F17">
              <w:t>18</w:t>
            </w:r>
          </w:p>
        </w:tc>
        <w:tc>
          <w:tcPr>
            <w:tcW w:w="809" w:type="pct"/>
            <w:gridSpan w:val="2"/>
            <w:noWrap/>
            <w:vAlign w:val="center"/>
          </w:tcPr>
          <w:p w14:paraId="291383B4" w14:textId="77777777" w:rsidR="001A7902" w:rsidRPr="00795F17" w:rsidRDefault="001A7902" w:rsidP="009B66ED">
            <w:pPr>
              <w:pStyle w:val="Teksttabelisrodek"/>
            </w:pPr>
            <w:r w:rsidRPr="00795F17">
              <w:t>39,1</w:t>
            </w:r>
          </w:p>
        </w:tc>
      </w:tr>
      <w:tr w:rsidR="001A7902" w:rsidRPr="00795F17" w14:paraId="2FC2FC3E" w14:textId="77777777" w:rsidTr="00D6377E">
        <w:trPr>
          <w:trHeight w:val="454"/>
        </w:trPr>
        <w:tc>
          <w:tcPr>
            <w:tcW w:w="1831" w:type="pct"/>
            <w:noWrap/>
            <w:vAlign w:val="center"/>
          </w:tcPr>
          <w:p w14:paraId="4624B3E6" w14:textId="6B9DDB3D" w:rsidR="001A7902" w:rsidRPr="00795F17" w:rsidRDefault="001A7902" w:rsidP="009B66ED">
            <w:pPr>
              <w:pStyle w:val="Teksttabelilewy"/>
            </w:pPr>
            <w:r w:rsidRPr="00795F17">
              <w:t xml:space="preserve">Cel nieosiągnięty </w:t>
            </w:r>
            <w:r w:rsidR="00E2281D">
              <w:t>–</w:t>
            </w:r>
            <w:r w:rsidRPr="00795F17">
              <w:t xml:space="preserve"> pogorszenie do stanu złego</w:t>
            </w:r>
          </w:p>
        </w:tc>
        <w:tc>
          <w:tcPr>
            <w:tcW w:w="747" w:type="pct"/>
            <w:gridSpan w:val="2"/>
            <w:noWrap/>
            <w:vAlign w:val="center"/>
          </w:tcPr>
          <w:p w14:paraId="091663C9" w14:textId="77777777" w:rsidR="001A7902" w:rsidRPr="00795F17" w:rsidRDefault="001A7902" w:rsidP="009B66ED">
            <w:pPr>
              <w:pStyle w:val="Teksttabelisrodek"/>
            </w:pPr>
            <w:r w:rsidRPr="00795F17">
              <w:t>15</w:t>
            </w:r>
          </w:p>
        </w:tc>
        <w:tc>
          <w:tcPr>
            <w:tcW w:w="841" w:type="pct"/>
            <w:gridSpan w:val="2"/>
            <w:noWrap/>
            <w:vAlign w:val="center"/>
          </w:tcPr>
          <w:p w14:paraId="3AFED8B5" w14:textId="77777777" w:rsidR="001A7902" w:rsidRPr="00795F17" w:rsidRDefault="001A7902" w:rsidP="009B66ED">
            <w:pPr>
              <w:pStyle w:val="Teksttabelisrodek"/>
            </w:pPr>
            <w:r w:rsidRPr="00795F17">
              <w:t>32,6</w:t>
            </w:r>
          </w:p>
        </w:tc>
        <w:tc>
          <w:tcPr>
            <w:tcW w:w="772" w:type="pct"/>
            <w:gridSpan w:val="2"/>
            <w:noWrap/>
            <w:vAlign w:val="center"/>
          </w:tcPr>
          <w:p w14:paraId="5DCC648E" w14:textId="77777777" w:rsidR="001A7902" w:rsidRPr="00795F17" w:rsidRDefault="001A7902" w:rsidP="009B66ED">
            <w:pPr>
              <w:pStyle w:val="Teksttabelisrodek"/>
            </w:pPr>
            <w:r w:rsidRPr="00795F17">
              <w:t>18</w:t>
            </w:r>
          </w:p>
        </w:tc>
        <w:tc>
          <w:tcPr>
            <w:tcW w:w="809" w:type="pct"/>
            <w:gridSpan w:val="2"/>
            <w:noWrap/>
            <w:vAlign w:val="center"/>
          </w:tcPr>
          <w:p w14:paraId="053A7C66" w14:textId="77777777" w:rsidR="001A7902" w:rsidRPr="00795F17" w:rsidRDefault="001A7902" w:rsidP="009B66ED">
            <w:pPr>
              <w:pStyle w:val="Teksttabelisrodek"/>
            </w:pPr>
            <w:r w:rsidRPr="00795F17">
              <w:t>39,1</w:t>
            </w:r>
          </w:p>
        </w:tc>
      </w:tr>
      <w:tr w:rsidR="001A7902" w:rsidRPr="00795F17" w14:paraId="422D2424" w14:textId="77777777" w:rsidTr="00D6377E">
        <w:trPr>
          <w:trHeight w:val="454"/>
        </w:trPr>
        <w:tc>
          <w:tcPr>
            <w:tcW w:w="1831" w:type="pct"/>
            <w:noWrap/>
            <w:vAlign w:val="center"/>
            <w:hideMark/>
          </w:tcPr>
          <w:p w14:paraId="6653B049" w14:textId="21F09252" w:rsidR="001A7902" w:rsidRPr="00795F17" w:rsidRDefault="001A7902" w:rsidP="009B66ED">
            <w:pPr>
              <w:pStyle w:val="Teksttabelilewy"/>
            </w:pPr>
            <w:r w:rsidRPr="00795F17">
              <w:t xml:space="preserve">Cel nieosiągnięty </w:t>
            </w:r>
            <w:r w:rsidR="00E2281D">
              <w:t>–</w:t>
            </w:r>
            <w:r w:rsidRPr="00795F17">
              <w:t xml:space="preserve"> ale poprawa stanu/potencjału</w:t>
            </w:r>
          </w:p>
        </w:tc>
        <w:tc>
          <w:tcPr>
            <w:tcW w:w="747" w:type="pct"/>
            <w:gridSpan w:val="2"/>
            <w:noWrap/>
            <w:vAlign w:val="center"/>
            <w:hideMark/>
          </w:tcPr>
          <w:p w14:paraId="339ED196" w14:textId="77777777" w:rsidR="001A7902" w:rsidRPr="00795F17" w:rsidRDefault="001A7902" w:rsidP="009B66ED">
            <w:pPr>
              <w:pStyle w:val="Teksttabelisrodek"/>
            </w:pPr>
            <w:r w:rsidRPr="00795F17">
              <w:t>2</w:t>
            </w:r>
          </w:p>
        </w:tc>
        <w:tc>
          <w:tcPr>
            <w:tcW w:w="841" w:type="pct"/>
            <w:gridSpan w:val="2"/>
            <w:noWrap/>
            <w:vAlign w:val="center"/>
            <w:hideMark/>
          </w:tcPr>
          <w:p w14:paraId="6EDB4500" w14:textId="77777777" w:rsidR="001A7902" w:rsidRPr="00795F17" w:rsidRDefault="001A7902" w:rsidP="009B66ED">
            <w:pPr>
              <w:pStyle w:val="Teksttabelisrodek"/>
            </w:pPr>
            <w:r w:rsidRPr="00795F17">
              <w:t>4,3</w:t>
            </w:r>
          </w:p>
        </w:tc>
        <w:tc>
          <w:tcPr>
            <w:tcW w:w="772" w:type="pct"/>
            <w:gridSpan w:val="2"/>
            <w:noWrap/>
            <w:vAlign w:val="center"/>
            <w:hideMark/>
          </w:tcPr>
          <w:p w14:paraId="6CF30536" w14:textId="77777777" w:rsidR="001A7902" w:rsidRPr="00795F17" w:rsidRDefault="001A7902" w:rsidP="009B66ED">
            <w:pPr>
              <w:pStyle w:val="Teksttabelisrodek"/>
            </w:pPr>
            <w:r w:rsidRPr="00795F17">
              <w:t>0</w:t>
            </w:r>
          </w:p>
        </w:tc>
        <w:tc>
          <w:tcPr>
            <w:tcW w:w="809" w:type="pct"/>
            <w:gridSpan w:val="2"/>
            <w:noWrap/>
            <w:vAlign w:val="center"/>
            <w:hideMark/>
          </w:tcPr>
          <w:p w14:paraId="421BDE54" w14:textId="77777777" w:rsidR="001A7902" w:rsidRPr="00795F17" w:rsidRDefault="001A7902" w:rsidP="009B66ED">
            <w:pPr>
              <w:pStyle w:val="Teksttabelisrodek"/>
            </w:pPr>
            <w:r w:rsidRPr="00795F17">
              <w:t>0,0</w:t>
            </w:r>
          </w:p>
        </w:tc>
      </w:tr>
      <w:tr w:rsidR="001A7902" w:rsidRPr="00795F17" w14:paraId="5C95438D" w14:textId="77777777" w:rsidTr="00D6377E">
        <w:trPr>
          <w:trHeight w:val="454"/>
        </w:trPr>
        <w:tc>
          <w:tcPr>
            <w:tcW w:w="1831" w:type="pct"/>
            <w:noWrap/>
            <w:vAlign w:val="center"/>
          </w:tcPr>
          <w:p w14:paraId="58D05AEF" w14:textId="252A21A4" w:rsidR="001A7902" w:rsidRPr="00795F17" w:rsidRDefault="001A7902" w:rsidP="009B66ED">
            <w:pPr>
              <w:pStyle w:val="Teksttabelilewy"/>
            </w:pPr>
            <w:r w:rsidRPr="00795F17">
              <w:t xml:space="preserve">Cel osiągnięty </w:t>
            </w:r>
            <w:r w:rsidR="00E2281D">
              <w:t>–</w:t>
            </w:r>
            <w:r w:rsidRPr="00795F17">
              <w:t xml:space="preserve"> utrzymanie dobrego stanu</w:t>
            </w:r>
          </w:p>
        </w:tc>
        <w:tc>
          <w:tcPr>
            <w:tcW w:w="747" w:type="pct"/>
            <w:gridSpan w:val="2"/>
            <w:noWrap/>
            <w:vAlign w:val="center"/>
          </w:tcPr>
          <w:p w14:paraId="4C3D6534" w14:textId="77777777" w:rsidR="001A7902" w:rsidRPr="00795F17" w:rsidRDefault="001A7902" w:rsidP="009B66ED">
            <w:pPr>
              <w:pStyle w:val="Teksttabelisrodek"/>
            </w:pPr>
            <w:r w:rsidRPr="00795F17">
              <w:t>2</w:t>
            </w:r>
          </w:p>
        </w:tc>
        <w:tc>
          <w:tcPr>
            <w:tcW w:w="841" w:type="pct"/>
            <w:gridSpan w:val="2"/>
            <w:noWrap/>
            <w:vAlign w:val="center"/>
          </w:tcPr>
          <w:p w14:paraId="6A6068AF" w14:textId="77777777" w:rsidR="001A7902" w:rsidRPr="00795F17" w:rsidRDefault="001A7902" w:rsidP="009B66ED">
            <w:pPr>
              <w:pStyle w:val="Teksttabelisrodek"/>
            </w:pPr>
            <w:r w:rsidRPr="00795F17">
              <w:t>4,3</w:t>
            </w:r>
          </w:p>
        </w:tc>
        <w:tc>
          <w:tcPr>
            <w:tcW w:w="772" w:type="pct"/>
            <w:gridSpan w:val="2"/>
            <w:noWrap/>
            <w:vAlign w:val="center"/>
          </w:tcPr>
          <w:p w14:paraId="0F9CF7E4" w14:textId="77777777" w:rsidR="001A7902" w:rsidRPr="00795F17" w:rsidRDefault="001A7902" w:rsidP="009B66ED">
            <w:pPr>
              <w:pStyle w:val="Teksttabelisrodek"/>
            </w:pPr>
            <w:r w:rsidRPr="00795F17">
              <w:t>0</w:t>
            </w:r>
          </w:p>
        </w:tc>
        <w:tc>
          <w:tcPr>
            <w:tcW w:w="809" w:type="pct"/>
            <w:gridSpan w:val="2"/>
            <w:noWrap/>
            <w:vAlign w:val="center"/>
          </w:tcPr>
          <w:p w14:paraId="13DE920A" w14:textId="77777777" w:rsidR="001A7902" w:rsidRPr="00795F17" w:rsidRDefault="001A7902" w:rsidP="009B66ED">
            <w:pPr>
              <w:pStyle w:val="Teksttabelisrodek"/>
            </w:pPr>
            <w:r w:rsidRPr="00795F17">
              <w:t>0,0</w:t>
            </w:r>
          </w:p>
        </w:tc>
      </w:tr>
      <w:tr w:rsidR="001A7902" w:rsidRPr="00795F17" w14:paraId="60914D43" w14:textId="77777777" w:rsidTr="00D6377E">
        <w:trPr>
          <w:trHeight w:val="454"/>
        </w:trPr>
        <w:tc>
          <w:tcPr>
            <w:tcW w:w="1831" w:type="pct"/>
            <w:noWrap/>
            <w:vAlign w:val="center"/>
            <w:hideMark/>
          </w:tcPr>
          <w:p w14:paraId="654D61B8" w14:textId="5C595FDA" w:rsidR="001A7902" w:rsidRPr="00795F17" w:rsidRDefault="001A7902" w:rsidP="009B66ED">
            <w:pPr>
              <w:pStyle w:val="Teksttabelilewy"/>
            </w:pPr>
            <w:r w:rsidRPr="00795F17">
              <w:t xml:space="preserve">Cel osiągnięty </w:t>
            </w:r>
            <w:r w:rsidR="00E2281D">
              <w:t>–</w:t>
            </w:r>
            <w:r w:rsidRPr="00795F17">
              <w:t xml:space="preserve"> poprawa stanu</w:t>
            </w:r>
          </w:p>
        </w:tc>
        <w:tc>
          <w:tcPr>
            <w:tcW w:w="747" w:type="pct"/>
            <w:gridSpan w:val="2"/>
            <w:noWrap/>
            <w:vAlign w:val="center"/>
            <w:hideMark/>
          </w:tcPr>
          <w:p w14:paraId="64AAC674" w14:textId="77777777" w:rsidR="001A7902" w:rsidRPr="00795F17" w:rsidRDefault="001A7902" w:rsidP="009B66ED">
            <w:pPr>
              <w:pStyle w:val="Teksttabelisrodek"/>
            </w:pPr>
            <w:r w:rsidRPr="00795F17">
              <w:t>1</w:t>
            </w:r>
          </w:p>
        </w:tc>
        <w:tc>
          <w:tcPr>
            <w:tcW w:w="841" w:type="pct"/>
            <w:gridSpan w:val="2"/>
            <w:noWrap/>
            <w:vAlign w:val="center"/>
            <w:hideMark/>
          </w:tcPr>
          <w:p w14:paraId="068C3E97" w14:textId="77777777" w:rsidR="001A7902" w:rsidRPr="00795F17" w:rsidRDefault="001A7902" w:rsidP="009B66ED">
            <w:pPr>
              <w:pStyle w:val="Teksttabelisrodek"/>
            </w:pPr>
            <w:r w:rsidRPr="00795F17">
              <w:t>2,2</w:t>
            </w:r>
          </w:p>
        </w:tc>
        <w:tc>
          <w:tcPr>
            <w:tcW w:w="772" w:type="pct"/>
            <w:gridSpan w:val="2"/>
            <w:noWrap/>
            <w:vAlign w:val="center"/>
            <w:hideMark/>
          </w:tcPr>
          <w:p w14:paraId="4D49D04A" w14:textId="77777777" w:rsidR="001A7902" w:rsidRPr="00795F17" w:rsidRDefault="001A7902" w:rsidP="009B66ED">
            <w:pPr>
              <w:pStyle w:val="Teksttabelisrodek"/>
            </w:pPr>
            <w:r w:rsidRPr="00795F17">
              <w:t>2</w:t>
            </w:r>
          </w:p>
        </w:tc>
        <w:tc>
          <w:tcPr>
            <w:tcW w:w="809" w:type="pct"/>
            <w:gridSpan w:val="2"/>
            <w:noWrap/>
            <w:vAlign w:val="center"/>
            <w:hideMark/>
          </w:tcPr>
          <w:p w14:paraId="23C891E2" w14:textId="77777777" w:rsidR="001A7902" w:rsidRPr="00795F17" w:rsidRDefault="001A7902" w:rsidP="009B66ED">
            <w:pPr>
              <w:pStyle w:val="Teksttabelisrodek"/>
            </w:pPr>
            <w:r w:rsidRPr="00795F17">
              <w:t>4,3</w:t>
            </w:r>
          </w:p>
        </w:tc>
      </w:tr>
      <w:tr w:rsidR="001A7902" w:rsidRPr="00795F17" w14:paraId="4BA1831F" w14:textId="77777777" w:rsidTr="00D6377E">
        <w:trPr>
          <w:trHeight w:val="454"/>
        </w:trPr>
        <w:tc>
          <w:tcPr>
            <w:tcW w:w="1831" w:type="pct"/>
            <w:noWrap/>
            <w:vAlign w:val="center"/>
          </w:tcPr>
          <w:p w14:paraId="414DEC17" w14:textId="77777777" w:rsidR="001A7902" w:rsidRPr="00795F17" w:rsidRDefault="001A7902" w:rsidP="009B66ED">
            <w:pPr>
              <w:pStyle w:val="Teksttabelilewy"/>
            </w:pPr>
            <w:r w:rsidRPr="00795F17">
              <w:t>Brak możliwości oceny postępu</w:t>
            </w:r>
          </w:p>
        </w:tc>
        <w:tc>
          <w:tcPr>
            <w:tcW w:w="747" w:type="pct"/>
            <w:gridSpan w:val="2"/>
            <w:noWrap/>
            <w:vAlign w:val="center"/>
          </w:tcPr>
          <w:p w14:paraId="656705A5" w14:textId="77777777" w:rsidR="001A7902" w:rsidRPr="00795F17" w:rsidRDefault="001A7902" w:rsidP="009B66ED">
            <w:pPr>
              <w:pStyle w:val="Teksttabelisrodek"/>
            </w:pPr>
            <w:r w:rsidRPr="00795F17">
              <w:t>0</w:t>
            </w:r>
          </w:p>
        </w:tc>
        <w:tc>
          <w:tcPr>
            <w:tcW w:w="841" w:type="pct"/>
            <w:gridSpan w:val="2"/>
            <w:noWrap/>
            <w:vAlign w:val="center"/>
          </w:tcPr>
          <w:p w14:paraId="3C507C3C" w14:textId="77777777" w:rsidR="001A7902" w:rsidRPr="00795F17" w:rsidRDefault="001A7902" w:rsidP="009B66ED">
            <w:pPr>
              <w:pStyle w:val="Teksttabelisrodek"/>
            </w:pPr>
            <w:r w:rsidRPr="00795F17">
              <w:t>0,0</w:t>
            </w:r>
          </w:p>
        </w:tc>
        <w:tc>
          <w:tcPr>
            <w:tcW w:w="772" w:type="pct"/>
            <w:gridSpan w:val="2"/>
            <w:noWrap/>
            <w:vAlign w:val="center"/>
          </w:tcPr>
          <w:p w14:paraId="76BAD5D9" w14:textId="77777777" w:rsidR="001A7902" w:rsidRPr="00795F17" w:rsidRDefault="001A7902" w:rsidP="009B66ED">
            <w:pPr>
              <w:pStyle w:val="Teksttabelisrodek"/>
            </w:pPr>
            <w:r w:rsidRPr="00795F17">
              <w:t>8</w:t>
            </w:r>
          </w:p>
        </w:tc>
        <w:tc>
          <w:tcPr>
            <w:tcW w:w="809" w:type="pct"/>
            <w:gridSpan w:val="2"/>
            <w:noWrap/>
            <w:vAlign w:val="center"/>
          </w:tcPr>
          <w:p w14:paraId="78AACDAE" w14:textId="77777777" w:rsidR="001A7902" w:rsidRPr="00795F17" w:rsidRDefault="001A7902" w:rsidP="009B66ED">
            <w:pPr>
              <w:pStyle w:val="Teksttabelisrodek"/>
            </w:pPr>
            <w:r w:rsidRPr="00795F17">
              <w:t>17,4</w:t>
            </w:r>
          </w:p>
        </w:tc>
      </w:tr>
      <w:tr w:rsidR="001A7902" w:rsidRPr="00795F17" w14:paraId="661B0E59" w14:textId="77777777" w:rsidTr="00D6377E">
        <w:trPr>
          <w:trHeight w:val="454"/>
        </w:trPr>
        <w:tc>
          <w:tcPr>
            <w:tcW w:w="1831" w:type="pct"/>
            <w:shd w:val="clear" w:color="auto" w:fill="BFBFBF" w:themeFill="background1" w:themeFillShade="BF"/>
            <w:noWrap/>
            <w:vAlign w:val="center"/>
          </w:tcPr>
          <w:p w14:paraId="0E30204B" w14:textId="4A43A7CC" w:rsidR="001A7902" w:rsidRPr="00795F17" w:rsidRDefault="001A7902" w:rsidP="009B66ED">
            <w:pPr>
              <w:pStyle w:val="Teksttabelinaglowek"/>
            </w:pPr>
            <w:r w:rsidRPr="00795F17">
              <w:t xml:space="preserve">Łączna liczba </w:t>
            </w:r>
            <w:r w:rsidR="00DF005E">
              <w:t>JCWP</w:t>
            </w:r>
            <w:r w:rsidRPr="00795F17">
              <w:t xml:space="preserve"> </w:t>
            </w:r>
            <w:r w:rsidR="00FC5A5C">
              <w:t>na</w:t>
            </w:r>
            <w:r w:rsidRPr="00795F17">
              <w:t xml:space="preserve"> obszarze dorzecza</w:t>
            </w:r>
          </w:p>
        </w:tc>
        <w:tc>
          <w:tcPr>
            <w:tcW w:w="747" w:type="pct"/>
            <w:gridSpan w:val="2"/>
            <w:shd w:val="clear" w:color="auto" w:fill="BFBFBF" w:themeFill="background1" w:themeFillShade="BF"/>
            <w:noWrap/>
            <w:vAlign w:val="center"/>
          </w:tcPr>
          <w:p w14:paraId="6753A387" w14:textId="77777777" w:rsidR="001A7902" w:rsidRPr="00795F17" w:rsidRDefault="001A7902" w:rsidP="009B66ED">
            <w:pPr>
              <w:pStyle w:val="Teksttabelinaglowek"/>
            </w:pPr>
            <w:r w:rsidRPr="00795F17">
              <w:t>46</w:t>
            </w:r>
          </w:p>
        </w:tc>
        <w:tc>
          <w:tcPr>
            <w:tcW w:w="841" w:type="pct"/>
            <w:gridSpan w:val="2"/>
            <w:shd w:val="clear" w:color="auto" w:fill="BFBFBF" w:themeFill="background1" w:themeFillShade="BF"/>
            <w:noWrap/>
            <w:vAlign w:val="center"/>
          </w:tcPr>
          <w:p w14:paraId="0EB55A6C" w14:textId="2D72E125" w:rsidR="001A7902" w:rsidRPr="00795F17" w:rsidRDefault="001A7902" w:rsidP="009B66ED">
            <w:pPr>
              <w:pStyle w:val="Teksttabelinaglowek"/>
            </w:pPr>
            <w:r w:rsidRPr="00795F17">
              <w:t>100</w:t>
            </w:r>
          </w:p>
        </w:tc>
        <w:tc>
          <w:tcPr>
            <w:tcW w:w="772" w:type="pct"/>
            <w:gridSpan w:val="2"/>
            <w:shd w:val="clear" w:color="auto" w:fill="BFBFBF" w:themeFill="background1" w:themeFillShade="BF"/>
            <w:noWrap/>
            <w:vAlign w:val="center"/>
          </w:tcPr>
          <w:p w14:paraId="5E5A95AF" w14:textId="77777777" w:rsidR="001A7902" w:rsidRPr="00795F17" w:rsidRDefault="001A7902" w:rsidP="009B66ED">
            <w:pPr>
              <w:pStyle w:val="Teksttabelinaglowek"/>
            </w:pPr>
            <w:r w:rsidRPr="00795F17">
              <w:t>46</w:t>
            </w:r>
          </w:p>
        </w:tc>
        <w:tc>
          <w:tcPr>
            <w:tcW w:w="809" w:type="pct"/>
            <w:gridSpan w:val="2"/>
            <w:shd w:val="clear" w:color="auto" w:fill="BFBFBF" w:themeFill="background1" w:themeFillShade="BF"/>
            <w:noWrap/>
            <w:vAlign w:val="center"/>
          </w:tcPr>
          <w:p w14:paraId="542D3A1B" w14:textId="07BB30DC" w:rsidR="001A7902" w:rsidRPr="00795F17" w:rsidRDefault="001A7902" w:rsidP="009B66ED">
            <w:pPr>
              <w:pStyle w:val="Teksttabelinaglowek"/>
            </w:pPr>
            <w:r w:rsidRPr="00795F17">
              <w:t>100</w:t>
            </w:r>
          </w:p>
        </w:tc>
      </w:tr>
      <w:tr w:rsidR="001A7902" w:rsidRPr="00795F17" w14:paraId="7207E114" w14:textId="77777777" w:rsidTr="009B66ED">
        <w:trPr>
          <w:trHeight w:val="454"/>
        </w:trPr>
        <w:tc>
          <w:tcPr>
            <w:tcW w:w="5000" w:type="pct"/>
            <w:gridSpan w:val="9"/>
            <w:shd w:val="clear" w:color="auto" w:fill="D9D9D9" w:themeFill="background1" w:themeFillShade="D9"/>
            <w:vAlign w:val="center"/>
            <w:hideMark/>
          </w:tcPr>
          <w:p w14:paraId="370265CB" w14:textId="77777777" w:rsidR="001A7902" w:rsidRPr="00795F17" w:rsidRDefault="001A7902" w:rsidP="009B66ED">
            <w:pPr>
              <w:pStyle w:val="Teksttabelisrodek"/>
            </w:pPr>
            <w:r w:rsidRPr="00795F17">
              <w:t>Obszary chronione wód przeznaczonych do celów rekreacyjnych, w tym kąpieliskowych</w:t>
            </w:r>
          </w:p>
        </w:tc>
      </w:tr>
      <w:tr w:rsidR="001A7902" w:rsidRPr="00795F17" w14:paraId="753F67EE" w14:textId="77777777" w:rsidTr="00D6377E">
        <w:trPr>
          <w:trHeight w:val="454"/>
        </w:trPr>
        <w:tc>
          <w:tcPr>
            <w:tcW w:w="1831" w:type="pct"/>
            <w:noWrap/>
            <w:vAlign w:val="center"/>
            <w:hideMark/>
          </w:tcPr>
          <w:p w14:paraId="3352AF48" w14:textId="1BA6C74E" w:rsidR="001A7902" w:rsidRPr="00795F17" w:rsidRDefault="001A7902" w:rsidP="009B66ED">
            <w:pPr>
              <w:pStyle w:val="Teksttabelilewy"/>
            </w:pPr>
            <w:r w:rsidRPr="00795F17">
              <w:t xml:space="preserve">Cel nieosiągnięty </w:t>
            </w:r>
            <w:r w:rsidR="00E2281D">
              <w:t>–</w:t>
            </w:r>
            <w:r w:rsidRPr="00795F17">
              <w:t xml:space="preserve"> brak postępu</w:t>
            </w:r>
          </w:p>
        </w:tc>
        <w:tc>
          <w:tcPr>
            <w:tcW w:w="747" w:type="pct"/>
            <w:gridSpan w:val="2"/>
            <w:noWrap/>
            <w:vAlign w:val="center"/>
            <w:hideMark/>
          </w:tcPr>
          <w:p w14:paraId="061B301B" w14:textId="77777777" w:rsidR="001A7902" w:rsidRPr="00795F17" w:rsidRDefault="001A7902" w:rsidP="009B66ED">
            <w:pPr>
              <w:pStyle w:val="Teksttabelisrodek"/>
            </w:pPr>
            <w:r w:rsidRPr="00795F17">
              <w:t>32</w:t>
            </w:r>
          </w:p>
        </w:tc>
        <w:tc>
          <w:tcPr>
            <w:tcW w:w="841" w:type="pct"/>
            <w:gridSpan w:val="2"/>
            <w:noWrap/>
            <w:vAlign w:val="center"/>
            <w:hideMark/>
          </w:tcPr>
          <w:p w14:paraId="5C113235" w14:textId="77777777" w:rsidR="001A7902" w:rsidRPr="00795F17" w:rsidRDefault="001A7902" w:rsidP="009B66ED">
            <w:pPr>
              <w:pStyle w:val="Teksttabelisrodek"/>
            </w:pPr>
            <w:r w:rsidRPr="00795F17">
              <w:t>59,26</w:t>
            </w:r>
          </w:p>
        </w:tc>
        <w:tc>
          <w:tcPr>
            <w:tcW w:w="772" w:type="pct"/>
            <w:gridSpan w:val="2"/>
            <w:noWrap/>
            <w:vAlign w:val="center"/>
            <w:hideMark/>
          </w:tcPr>
          <w:p w14:paraId="1ABFF026" w14:textId="77777777" w:rsidR="001A7902" w:rsidRPr="00795F17" w:rsidRDefault="001A7902" w:rsidP="009B66ED">
            <w:pPr>
              <w:pStyle w:val="Teksttabelisrodek"/>
            </w:pPr>
            <w:r w:rsidRPr="00795F17">
              <w:t>12</w:t>
            </w:r>
          </w:p>
        </w:tc>
        <w:tc>
          <w:tcPr>
            <w:tcW w:w="809" w:type="pct"/>
            <w:gridSpan w:val="2"/>
            <w:noWrap/>
            <w:vAlign w:val="center"/>
            <w:hideMark/>
          </w:tcPr>
          <w:p w14:paraId="506CB3ED" w14:textId="77777777" w:rsidR="001A7902" w:rsidRPr="00795F17" w:rsidRDefault="001A7902" w:rsidP="009B66ED">
            <w:pPr>
              <w:pStyle w:val="Teksttabelisrodek"/>
            </w:pPr>
            <w:r w:rsidRPr="00795F17">
              <w:t>22,22</w:t>
            </w:r>
          </w:p>
        </w:tc>
      </w:tr>
      <w:tr w:rsidR="001A7902" w:rsidRPr="00795F17" w14:paraId="76C36C61" w14:textId="77777777" w:rsidTr="00D6377E">
        <w:trPr>
          <w:trHeight w:val="454"/>
        </w:trPr>
        <w:tc>
          <w:tcPr>
            <w:tcW w:w="1831" w:type="pct"/>
            <w:noWrap/>
            <w:vAlign w:val="center"/>
          </w:tcPr>
          <w:p w14:paraId="1C8317B0" w14:textId="6838BB19" w:rsidR="001A7902" w:rsidRPr="00795F17" w:rsidRDefault="001A7902" w:rsidP="009B66ED">
            <w:pPr>
              <w:pStyle w:val="Teksttabelilewy"/>
            </w:pPr>
            <w:r w:rsidRPr="00795F17">
              <w:t xml:space="preserve">Cel nieosiągnięty </w:t>
            </w:r>
            <w:r w:rsidR="00E2281D">
              <w:t>–</w:t>
            </w:r>
            <w:r w:rsidRPr="00795F17">
              <w:t xml:space="preserve"> pogorszenie do stanu złego</w:t>
            </w:r>
          </w:p>
        </w:tc>
        <w:tc>
          <w:tcPr>
            <w:tcW w:w="747" w:type="pct"/>
            <w:gridSpan w:val="2"/>
            <w:noWrap/>
            <w:vAlign w:val="center"/>
          </w:tcPr>
          <w:p w14:paraId="6C308916" w14:textId="77777777" w:rsidR="001A7902" w:rsidRPr="00795F17" w:rsidRDefault="001A7902" w:rsidP="009B66ED">
            <w:pPr>
              <w:pStyle w:val="Teksttabelisrodek"/>
            </w:pPr>
            <w:r w:rsidRPr="00795F17">
              <w:t>8</w:t>
            </w:r>
          </w:p>
        </w:tc>
        <w:tc>
          <w:tcPr>
            <w:tcW w:w="841" w:type="pct"/>
            <w:gridSpan w:val="2"/>
            <w:noWrap/>
            <w:vAlign w:val="center"/>
          </w:tcPr>
          <w:p w14:paraId="1D07FC24" w14:textId="77777777" w:rsidR="001A7902" w:rsidRPr="00795F17" w:rsidRDefault="001A7902" w:rsidP="009B66ED">
            <w:pPr>
              <w:pStyle w:val="Teksttabelisrodek"/>
            </w:pPr>
            <w:r w:rsidRPr="00795F17">
              <w:t>14,81</w:t>
            </w:r>
          </w:p>
        </w:tc>
        <w:tc>
          <w:tcPr>
            <w:tcW w:w="772" w:type="pct"/>
            <w:gridSpan w:val="2"/>
            <w:noWrap/>
            <w:vAlign w:val="center"/>
          </w:tcPr>
          <w:p w14:paraId="5660C153" w14:textId="77777777" w:rsidR="001A7902" w:rsidRPr="00795F17" w:rsidRDefault="001A7902" w:rsidP="009B66ED">
            <w:pPr>
              <w:pStyle w:val="Teksttabelisrodek"/>
            </w:pPr>
            <w:r w:rsidRPr="00795F17">
              <w:t>15</w:t>
            </w:r>
          </w:p>
        </w:tc>
        <w:tc>
          <w:tcPr>
            <w:tcW w:w="809" w:type="pct"/>
            <w:gridSpan w:val="2"/>
            <w:noWrap/>
            <w:vAlign w:val="center"/>
          </w:tcPr>
          <w:p w14:paraId="58E57B98" w14:textId="77777777" w:rsidR="001A7902" w:rsidRPr="00795F17" w:rsidRDefault="001A7902" w:rsidP="009B66ED">
            <w:pPr>
              <w:pStyle w:val="Teksttabelisrodek"/>
            </w:pPr>
            <w:r w:rsidRPr="00795F17">
              <w:t>27,78</w:t>
            </w:r>
          </w:p>
        </w:tc>
      </w:tr>
      <w:tr w:rsidR="001A7902" w:rsidRPr="00795F17" w14:paraId="3E60C418" w14:textId="77777777" w:rsidTr="00D6377E">
        <w:trPr>
          <w:trHeight w:val="454"/>
        </w:trPr>
        <w:tc>
          <w:tcPr>
            <w:tcW w:w="1831" w:type="pct"/>
            <w:noWrap/>
            <w:vAlign w:val="center"/>
            <w:hideMark/>
          </w:tcPr>
          <w:p w14:paraId="4221B03C" w14:textId="636E9E06" w:rsidR="001A7902" w:rsidRPr="00795F17" w:rsidRDefault="001A7902" w:rsidP="009B66ED">
            <w:pPr>
              <w:pStyle w:val="Teksttabelilewy"/>
            </w:pPr>
            <w:r w:rsidRPr="00795F17">
              <w:t xml:space="preserve">Cel nieosiągnięty </w:t>
            </w:r>
            <w:r w:rsidR="00E2281D">
              <w:t>–</w:t>
            </w:r>
            <w:r w:rsidRPr="00795F17">
              <w:t xml:space="preserve"> ale poprawa stanu/potencjału</w:t>
            </w:r>
          </w:p>
        </w:tc>
        <w:tc>
          <w:tcPr>
            <w:tcW w:w="747" w:type="pct"/>
            <w:gridSpan w:val="2"/>
            <w:noWrap/>
            <w:vAlign w:val="center"/>
            <w:hideMark/>
          </w:tcPr>
          <w:p w14:paraId="2172D653" w14:textId="77777777" w:rsidR="001A7902" w:rsidRPr="00795F17" w:rsidRDefault="001A7902" w:rsidP="009B66ED">
            <w:pPr>
              <w:pStyle w:val="Teksttabelisrodek"/>
            </w:pPr>
            <w:r w:rsidRPr="00795F17">
              <w:t>2</w:t>
            </w:r>
          </w:p>
        </w:tc>
        <w:tc>
          <w:tcPr>
            <w:tcW w:w="841" w:type="pct"/>
            <w:gridSpan w:val="2"/>
            <w:noWrap/>
            <w:vAlign w:val="center"/>
            <w:hideMark/>
          </w:tcPr>
          <w:p w14:paraId="4D94F08A" w14:textId="77777777" w:rsidR="001A7902" w:rsidRPr="00795F17" w:rsidRDefault="001A7902" w:rsidP="009B66ED">
            <w:pPr>
              <w:pStyle w:val="Teksttabelisrodek"/>
            </w:pPr>
            <w:r w:rsidRPr="00795F17">
              <w:t>3,70</w:t>
            </w:r>
          </w:p>
        </w:tc>
        <w:tc>
          <w:tcPr>
            <w:tcW w:w="772" w:type="pct"/>
            <w:gridSpan w:val="2"/>
            <w:noWrap/>
            <w:vAlign w:val="center"/>
            <w:hideMark/>
          </w:tcPr>
          <w:p w14:paraId="65DCB56C" w14:textId="77777777" w:rsidR="001A7902" w:rsidRPr="00795F17" w:rsidRDefault="001A7902" w:rsidP="009B66ED">
            <w:pPr>
              <w:pStyle w:val="Teksttabelisrodek"/>
            </w:pPr>
            <w:r w:rsidRPr="00795F17">
              <w:t>0</w:t>
            </w:r>
          </w:p>
        </w:tc>
        <w:tc>
          <w:tcPr>
            <w:tcW w:w="809" w:type="pct"/>
            <w:gridSpan w:val="2"/>
            <w:noWrap/>
            <w:vAlign w:val="center"/>
            <w:hideMark/>
          </w:tcPr>
          <w:p w14:paraId="5F28E186" w14:textId="77777777" w:rsidR="001A7902" w:rsidRPr="00795F17" w:rsidRDefault="001A7902" w:rsidP="009B66ED">
            <w:pPr>
              <w:pStyle w:val="Teksttabelisrodek"/>
            </w:pPr>
            <w:r w:rsidRPr="00795F17">
              <w:t>0,00</w:t>
            </w:r>
          </w:p>
        </w:tc>
      </w:tr>
      <w:tr w:rsidR="001A7902" w:rsidRPr="00795F17" w14:paraId="194F0AE6" w14:textId="77777777" w:rsidTr="00D6377E">
        <w:trPr>
          <w:trHeight w:val="454"/>
        </w:trPr>
        <w:tc>
          <w:tcPr>
            <w:tcW w:w="1831" w:type="pct"/>
            <w:noWrap/>
            <w:vAlign w:val="center"/>
            <w:hideMark/>
          </w:tcPr>
          <w:p w14:paraId="214FB492" w14:textId="25B13442" w:rsidR="001A7902" w:rsidRPr="00795F17" w:rsidRDefault="001A7902" w:rsidP="009B66ED">
            <w:pPr>
              <w:pStyle w:val="Teksttabelilewy"/>
            </w:pPr>
            <w:r w:rsidRPr="00795F17">
              <w:t xml:space="preserve">Cel osiągnięty </w:t>
            </w:r>
            <w:r w:rsidR="00E2281D">
              <w:t>–</w:t>
            </w:r>
            <w:r w:rsidRPr="00795F17">
              <w:t xml:space="preserve"> poprawa stanu</w:t>
            </w:r>
          </w:p>
        </w:tc>
        <w:tc>
          <w:tcPr>
            <w:tcW w:w="747" w:type="pct"/>
            <w:gridSpan w:val="2"/>
            <w:noWrap/>
            <w:vAlign w:val="center"/>
            <w:hideMark/>
          </w:tcPr>
          <w:p w14:paraId="09CF1571" w14:textId="77777777" w:rsidR="001A7902" w:rsidRPr="00795F17" w:rsidRDefault="001A7902" w:rsidP="009B66ED">
            <w:pPr>
              <w:pStyle w:val="Teksttabelisrodek"/>
            </w:pPr>
            <w:r w:rsidRPr="00795F17">
              <w:t>3</w:t>
            </w:r>
          </w:p>
        </w:tc>
        <w:tc>
          <w:tcPr>
            <w:tcW w:w="841" w:type="pct"/>
            <w:gridSpan w:val="2"/>
            <w:noWrap/>
            <w:vAlign w:val="center"/>
            <w:hideMark/>
          </w:tcPr>
          <w:p w14:paraId="68763FB4" w14:textId="77777777" w:rsidR="001A7902" w:rsidRPr="00795F17" w:rsidRDefault="001A7902" w:rsidP="009B66ED">
            <w:pPr>
              <w:pStyle w:val="Teksttabelisrodek"/>
            </w:pPr>
            <w:r w:rsidRPr="00795F17">
              <w:t>5,56</w:t>
            </w:r>
          </w:p>
        </w:tc>
        <w:tc>
          <w:tcPr>
            <w:tcW w:w="772" w:type="pct"/>
            <w:gridSpan w:val="2"/>
            <w:noWrap/>
            <w:vAlign w:val="center"/>
            <w:hideMark/>
          </w:tcPr>
          <w:p w14:paraId="1B76CA50" w14:textId="77777777" w:rsidR="001A7902" w:rsidRPr="00795F17" w:rsidRDefault="001A7902" w:rsidP="009B66ED">
            <w:pPr>
              <w:pStyle w:val="Teksttabelisrodek"/>
            </w:pPr>
            <w:r w:rsidRPr="00795F17">
              <w:t>5</w:t>
            </w:r>
          </w:p>
        </w:tc>
        <w:tc>
          <w:tcPr>
            <w:tcW w:w="809" w:type="pct"/>
            <w:gridSpan w:val="2"/>
            <w:noWrap/>
            <w:vAlign w:val="center"/>
            <w:hideMark/>
          </w:tcPr>
          <w:p w14:paraId="373C2472" w14:textId="77777777" w:rsidR="001A7902" w:rsidRPr="00795F17" w:rsidRDefault="001A7902" w:rsidP="009B66ED">
            <w:pPr>
              <w:pStyle w:val="Teksttabelisrodek"/>
            </w:pPr>
            <w:r w:rsidRPr="00795F17">
              <w:t>9,26</w:t>
            </w:r>
          </w:p>
        </w:tc>
      </w:tr>
      <w:tr w:rsidR="001A7902" w:rsidRPr="00795F17" w14:paraId="5E38B959" w14:textId="77777777" w:rsidTr="00D6377E">
        <w:trPr>
          <w:trHeight w:val="454"/>
        </w:trPr>
        <w:tc>
          <w:tcPr>
            <w:tcW w:w="1831" w:type="pct"/>
            <w:noWrap/>
            <w:vAlign w:val="center"/>
            <w:hideMark/>
          </w:tcPr>
          <w:p w14:paraId="0861D919" w14:textId="1A2E86EB" w:rsidR="001A7902" w:rsidRPr="00795F17" w:rsidRDefault="001A7902" w:rsidP="009B66ED">
            <w:pPr>
              <w:pStyle w:val="Teksttabelilewy"/>
            </w:pPr>
            <w:r w:rsidRPr="00795F17">
              <w:t xml:space="preserve">Cel osiągnięty </w:t>
            </w:r>
            <w:r w:rsidR="00E2281D">
              <w:t>–</w:t>
            </w:r>
            <w:r w:rsidRPr="00795F17">
              <w:t xml:space="preserve"> utrzymanie dobrego stanu</w:t>
            </w:r>
          </w:p>
        </w:tc>
        <w:tc>
          <w:tcPr>
            <w:tcW w:w="747" w:type="pct"/>
            <w:gridSpan w:val="2"/>
            <w:noWrap/>
            <w:vAlign w:val="center"/>
            <w:hideMark/>
          </w:tcPr>
          <w:p w14:paraId="2CD248C2" w14:textId="77777777" w:rsidR="001A7902" w:rsidRPr="00795F17" w:rsidRDefault="001A7902" w:rsidP="009B66ED">
            <w:pPr>
              <w:pStyle w:val="Teksttabelisrodek"/>
            </w:pPr>
            <w:r w:rsidRPr="00795F17">
              <w:t>5</w:t>
            </w:r>
          </w:p>
        </w:tc>
        <w:tc>
          <w:tcPr>
            <w:tcW w:w="841" w:type="pct"/>
            <w:gridSpan w:val="2"/>
            <w:noWrap/>
            <w:vAlign w:val="center"/>
            <w:hideMark/>
          </w:tcPr>
          <w:p w14:paraId="1A3E088E" w14:textId="77777777" w:rsidR="001A7902" w:rsidRPr="00795F17" w:rsidRDefault="001A7902" w:rsidP="009B66ED">
            <w:pPr>
              <w:pStyle w:val="Teksttabelisrodek"/>
            </w:pPr>
            <w:r w:rsidRPr="00795F17">
              <w:t>9,26</w:t>
            </w:r>
          </w:p>
        </w:tc>
        <w:tc>
          <w:tcPr>
            <w:tcW w:w="772" w:type="pct"/>
            <w:gridSpan w:val="2"/>
            <w:noWrap/>
            <w:vAlign w:val="center"/>
            <w:hideMark/>
          </w:tcPr>
          <w:p w14:paraId="58DAED67" w14:textId="77777777" w:rsidR="001A7902" w:rsidRPr="00795F17" w:rsidRDefault="001A7902" w:rsidP="009B66ED">
            <w:pPr>
              <w:pStyle w:val="Teksttabelisrodek"/>
            </w:pPr>
            <w:r w:rsidRPr="00795F17">
              <w:t>3</w:t>
            </w:r>
          </w:p>
        </w:tc>
        <w:tc>
          <w:tcPr>
            <w:tcW w:w="809" w:type="pct"/>
            <w:gridSpan w:val="2"/>
            <w:noWrap/>
            <w:vAlign w:val="center"/>
            <w:hideMark/>
          </w:tcPr>
          <w:p w14:paraId="61D25CA3" w14:textId="77777777" w:rsidR="001A7902" w:rsidRPr="00795F17" w:rsidRDefault="001A7902" w:rsidP="009B66ED">
            <w:pPr>
              <w:pStyle w:val="Teksttabelisrodek"/>
            </w:pPr>
            <w:r w:rsidRPr="00795F17">
              <w:t>5,56</w:t>
            </w:r>
          </w:p>
        </w:tc>
      </w:tr>
      <w:tr w:rsidR="001A7902" w:rsidRPr="00795F17" w14:paraId="01ECF197" w14:textId="77777777" w:rsidTr="00D6377E">
        <w:trPr>
          <w:trHeight w:val="454"/>
        </w:trPr>
        <w:tc>
          <w:tcPr>
            <w:tcW w:w="1831" w:type="pct"/>
            <w:noWrap/>
            <w:vAlign w:val="center"/>
          </w:tcPr>
          <w:p w14:paraId="412B66E5" w14:textId="77777777" w:rsidR="001A7902" w:rsidRPr="00795F17" w:rsidRDefault="001A7902" w:rsidP="009B66ED">
            <w:pPr>
              <w:pStyle w:val="Teksttabelilewy"/>
            </w:pPr>
            <w:r w:rsidRPr="00795F17">
              <w:t>Brak możliwości oceny postępu</w:t>
            </w:r>
          </w:p>
        </w:tc>
        <w:tc>
          <w:tcPr>
            <w:tcW w:w="747" w:type="pct"/>
            <w:gridSpan w:val="2"/>
            <w:noWrap/>
            <w:vAlign w:val="center"/>
          </w:tcPr>
          <w:p w14:paraId="391737AF" w14:textId="77777777" w:rsidR="001A7902" w:rsidRPr="00795F17" w:rsidRDefault="001A7902" w:rsidP="009B66ED">
            <w:pPr>
              <w:pStyle w:val="Teksttabelisrodek"/>
            </w:pPr>
            <w:r w:rsidRPr="00795F17">
              <w:t>4</w:t>
            </w:r>
          </w:p>
        </w:tc>
        <w:tc>
          <w:tcPr>
            <w:tcW w:w="841" w:type="pct"/>
            <w:gridSpan w:val="2"/>
            <w:noWrap/>
            <w:vAlign w:val="center"/>
          </w:tcPr>
          <w:p w14:paraId="4ABFFBE8" w14:textId="77777777" w:rsidR="001A7902" w:rsidRPr="00795F17" w:rsidRDefault="001A7902" w:rsidP="009B66ED">
            <w:pPr>
              <w:pStyle w:val="Teksttabelisrodek"/>
            </w:pPr>
            <w:r w:rsidRPr="00795F17">
              <w:t>7,41</w:t>
            </w:r>
          </w:p>
        </w:tc>
        <w:tc>
          <w:tcPr>
            <w:tcW w:w="772" w:type="pct"/>
            <w:gridSpan w:val="2"/>
            <w:noWrap/>
            <w:vAlign w:val="center"/>
          </w:tcPr>
          <w:p w14:paraId="422FCA20" w14:textId="77777777" w:rsidR="001A7902" w:rsidRPr="00795F17" w:rsidRDefault="001A7902" w:rsidP="009B66ED">
            <w:pPr>
              <w:pStyle w:val="Teksttabelisrodek"/>
            </w:pPr>
            <w:r w:rsidRPr="00795F17">
              <w:t>19</w:t>
            </w:r>
          </w:p>
        </w:tc>
        <w:tc>
          <w:tcPr>
            <w:tcW w:w="809" w:type="pct"/>
            <w:gridSpan w:val="2"/>
            <w:noWrap/>
            <w:vAlign w:val="center"/>
          </w:tcPr>
          <w:p w14:paraId="3E69F51B" w14:textId="77777777" w:rsidR="001A7902" w:rsidRPr="00795F17" w:rsidRDefault="001A7902" w:rsidP="009B66ED">
            <w:pPr>
              <w:pStyle w:val="Teksttabelisrodek"/>
            </w:pPr>
            <w:r w:rsidRPr="00795F17">
              <w:t>35,19</w:t>
            </w:r>
          </w:p>
        </w:tc>
      </w:tr>
      <w:tr w:rsidR="001A7902" w:rsidRPr="00795F17" w14:paraId="083A9D27" w14:textId="77777777" w:rsidTr="00D6377E">
        <w:trPr>
          <w:trHeight w:val="454"/>
        </w:trPr>
        <w:tc>
          <w:tcPr>
            <w:tcW w:w="1831" w:type="pct"/>
            <w:shd w:val="clear" w:color="auto" w:fill="BFBFBF" w:themeFill="background1" w:themeFillShade="BF"/>
            <w:noWrap/>
            <w:vAlign w:val="center"/>
          </w:tcPr>
          <w:p w14:paraId="79FCED17" w14:textId="45734343" w:rsidR="001A7902" w:rsidRPr="00795F17" w:rsidRDefault="001A7902" w:rsidP="009B66ED">
            <w:pPr>
              <w:pStyle w:val="Teksttabelisrodek"/>
              <w:rPr>
                <w:b/>
                <w:bCs w:val="0"/>
              </w:rPr>
            </w:pPr>
            <w:r w:rsidRPr="00795F17">
              <w:rPr>
                <w:b/>
                <w:bCs w:val="0"/>
              </w:rPr>
              <w:t xml:space="preserve">Łączna liczba </w:t>
            </w:r>
            <w:r w:rsidR="00DF005E">
              <w:rPr>
                <w:b/>
                <w:bCs w:val="0"/>
              </w:rPr>
              <w:t>JCWP</w:t>
            </w:r>
            <w:r w:rsidRPr="00795F17">
              <w:rPr>
                <w:b/>
                <w:bCs w:val="0"/>
              </w:rPr>
              <w:t xml:space="preserve"> </w:t>
            </w:r>
            <w:r w:rsidR="00CC23BA">
              <w:rPr>
                <w:b/>
                <w:bCs w:val="0"/>
              </w:rPr>
              <w:t>na</w:t>
            </w:r>
            <w:r w:rsidRPr="00795F17">
              <w:rPr>
                <w:b/>
                <w:bCs w:val="0"/>
              </w:rPr>
              <w:t xml:space="preserve"> obszarze dorzecza</w:t>
            </w:r>
          </w:p>
        </w:tc>
        <w:tc>
          <w:tcPr>
            <w:tcW w:w="747" w:type="pct"/>
            <w:gridSpan w:val="2"/>
            <w:shd w:val="clear" w:color="auto" w:fill="BFBFBF" w:themeFill="background1" w:themeFillShade="BF"/>
            <w:noWrap/>
            <w:vAlign w:val="center"/>
          </w:tcPr>
          <w:p w14:paraId="7720973F" w14:textId="77777777" w:rsidR="001A7902" w:rsidRPr="00795F17" w:rsidRDefault="001A7902" w:rsidP="009B66ED">
            <w:pPr>
              <w:pStyle w:val="Teksttabelisrodek"/>
              <w:rPr>
                <w:b/>
                <w:bCs w:val="0"/>
              </w:rPr>
            </w:pPr>
            <w:r w:rsidRPr="00795F17">
              <w:rPr>
                <w:b/>
                <w:bCs w:val="0"/>
              </w:rPr>
              <w:t>54</w:t>
            </w:r>
          </w:p>
        </w:tc>
        <w:tc>
          <w:tcPr>
            <w:tcW w:w="841" w:type="pct"/>
            <w:gridSpan w:val="2"/>
            <w:shd w:val="clear" w:color="auto" w:fill="BFBFBF" w:themeFill="background1" w:themeFillShade="BF"/>
            <w:noWrap/>
            <w:vAlign w:val="center"/>
          </w:tcPr>
          <w:p w14:paraId="38574173" w14:textId="235F6F5C" w:rsidR="001A7902" w:rsidRPr="00795F17" w:rsidRDefault="001A7902" w:rsidP="009B66ED">
            <w:pPr>
              <w:pStyle w:val="Teksttabelisrodek"/>
              <w:rPr>
                <w:b/>
                <w:bCs w:val="0"/>
              </w:rPr>
            </w:pPr>
            <w:r w:rsidRPr="00795F17">
              <w:rPr>
                <w:b/>
                <w:bCs w:val="0"/>
              </w:rPr>
              <w:t>100</w:t>
            </w:r>
          </w:p>
        </w:tc>
        <w:tc>
          <w:tcPr>
            <w:tcW w:w="772" w:type="pct"/>
            <w:gridSpan w:val="2"/>
            <w:shd w:val="clear" w:color="auto" w:fill="BFBFBF" w:themeFill="background1" w:themeFillShade="BF"/>
            <w:noWrap/>
            <w:vAlign w:val="center"/>
          </w:tcPr>
          <w:p w14:paraId="0676B278" w14:textId="77777777" w:rsidR="001A7902" w:rsidRPr="00795F17" w:rsidRDefault="001A7902" w:rsidP="009B66ED">
            <w:pPr>
              <w:pStyle w:val="Teksttabelisrodek"/>
              <w:rPr>
                <w:b/>
                <w:bCs w:val="0"/>
              </w:rPr>
            </w:pPr>
            <w:r w:rsidRPr="00795F17">
              <w:rPr>
                <w:b/>
                <w:bCs w:val="0"/>
              </w:rPr>
              <w:t>54</w:t>
            </w:r>
          </w:p>
        </w:tc>
        <w:tc>
          <w:tcPr>
            <w:tcW w:w="809" w:type="pct"/>
            <w:gridSpan w:val="2"/>
            <w:shd w:val="clear" w:color="auto" w:fill="BFBFBF" w:themeFill="background1" w:themeFillShade="BF"/>
            <w:noWrap/>
            <w:vAlign w:val="center"/>
          </w:tcPr>
          <w:p w14:paraId="12A96955" w14:textId="5FFF0862" w:rsidR="001A7902" w:rsidRPr="00795F17" w:rsidRDefault="001A7902" w:rsidP="009B66ED">
            <w:pPr>
              <w:pStyle w:val="Teksttabelisrodek"/>
              <w:rPr>
                <w:b/>
                <w:bCs w:val="0"/>
              </w:rPr>
            </w:pPr>
            <w:r w:rsidRPr="00795F17">
              <w:rPr>
                <w:b/>
                <w:bCs w:val="0"/>
              </w:rPr>
              <w:t>100</w:t>
            </w:r>
          </w:p>
        </w:tc>
      </w:tr>
      <w:tr w:rsidR="001A7902" w:rsidRPr="00795F17" w14:paraId="0E9804F5" w14:textId="77777777" w:rsidTr="009B66ED">
        <w:trPr>
          <w:trHeight w:val="454"/>
        </w:trPr>
        <w:tc>
          <w:tcPr>
            <w:tcW w:w="5000" w:type="pct"/>
            <w:gridSpan w:val="9"/>
            <w:shd w:val="clear" w:color="auto" w:fill="D9D9D9" w:themeFill="background1" w:themeFillShade="D9"/>
            <w:vAlign w:val="center"/>
            <w:hideMark/>
          </w:tcPr>
          <w:p w14:paraId="4BAB8848" w14:textId="77777777" w:rsidR="001A7902" w:rsidRPr="00795F17" w:rsidRDefault="001A7902" w:rsidP="00D3543E">
            <w:pPr>
              <w:pStyle w:val="Teksttabelisrodek"/>
              <w:keepNext/>
              <w:keepLines/>
            </w:pPr>
            <w:r w:rsidRPr="00795F17">
              <w:t>Obszary chronione wód wrażliwych na eutrofizację wywołaną zanieczyszczeniami pochodzącymi ze źródeł komunalnych</w:t>
            </w:r>
          </w:p>
        </w:tc>
      </w:tr>
      <w:tr w:rsidR="001A7902" w:rsidRPr="00795F17" w14:paraId="51DA8FB9" w14:textId="77777777" w:rsidTr="00D6377E">
        <w:trPr>
          <w:trHeight w:val="454"/>
        </w:trPr>
        <w:tc>
          <w:tcPr>
            <w:tcW w:w="1831" w:type="pct"/>
            <w:noWrap/>
            <w:vAlign w:val="center"/>
            <w:hideMark/>
          </w:tcPr>
          <w:p w14:paraId="7902D376" w14:textId="047202FD" w:rsidR="001A7902" w:rsidRPr="00795F17" w:rsidRDefault="001A7902" w:rsidP="00D3543E">
            <w:pPr>
              <w:pStyle w:val="Teksttabelilewy"/>
              <w:keepNext/>
              <w:keepLines/>
            </w:pPr>
            <w:r w:rsidRPr="00795F17">
              <w:t xml:space="preserve">Cel nieosiągnięty </w:t>
            </w:r>
            <w:r w:rsidR="00E2281D">
              <w:t>–</w:t>
            </w:r>
            <w:r w:rsidRPr="00795F17">
              <w:t xml:space="preserve"> brak postępu</w:t>
            </w:r>
          </w:p>
        </w:tc>
        <w:tc>
          <w:tcPr>
            <w:tcW w:w="747" w:type="pct"/>
            <w:gridSpan w:val="2"/>
            <w:noWrap/>
            <w:vAlign w:val="center"/>
            <w:hideMark/>
          </w:tcPr>
          <w:p w14:paraId="7C77595D" w14:textId="77777777" w:rsidR="001A7902" w:rsidRPr="00795F17" w:rsidRDefault="001A7902" w:rsidP="00D3543E">
            <w:pPr>
              <w:pStyle w:val="Teksttabelisrodek"/>
              <w:keepNext/>
              <w:keepLines/>
            </w:pPr>
            <w:r w:rsidRPr="00795F17">
              <w:t>1 136</w:t>
            </w:r>
          </w:p>
        </w:tc>
        <w:tc>
          <w:tcPr>
            <w:tcW w:w="841" w:type="pct"/>
            <w:gridSpan w:val="2"/>
            <w:noWrap/>
            <w:vAlign w:val="center"/>
            <w:hideMark/>
          </w:tcPr>
          <w:p w14:paraId="09AC3C99" w14:textId="77777777" w:rsidR="001A7902" w:rsidRPr="00795F17" w:rsidRDefault="001A7902" w:rsidP="00D3543E">
            <w:pPr>
              <w:pStyle w:val="Teksttabelisrodek"/>
              <w:keepNext/>
              <w:keepLines/>
            </w:pPr>
            <w:r w:rsidRPr="00795F17">
              <w:t>52,6</w:t>
            </w:r>
          </w:p>
        </w:tc>
        <w:tc>
          <w:tcPr>
            <w:tcW w:w="772" w:type="pct"/>
            <w:gridSpan w:val="2"/>
            <w:noWrap/>
            <w:vAlign w:val="center"/>
            <w:hideMark/>
          </w:tcPr>
          <w:p w14:paraId="2F9D7E25" w14:textId="77777777" w:rsidR="001A7902" w:rsidRPr="00795F17" w:rsidRDefault="001A7902" w:rsidP="00D3543E">
            <w:pPr>
              <w:pStyle w:val="Teksttabelisrodek"/>
              <w:keepNext/>
              <w:keepLines/>
            </w:pPr>
            <w:r w:rsidRPr="00795F17">
              <w:t>527</w:t>
            </w:r>
          </w:p>
        </w:tc>
        <w:tc>
          <w:tcPr>
            <w:tcW w:w="809" w:type="pct"/>
            <w:gridSpan w:val="2"/>
            <w:noWrap/>
            <w:vAlign w:val="center"/>
            <w:hideMark/>
          </w:tcPr>
          <w:p w14:paraId="47FD0CA2" w14:textId="77777777" w:rsidR="001A7902" w:rsidRPr="00795F17" w:rsidRDefault="001A7902" w:rsidP="00D3543E">
            <w:pPr>
              <w:pStyle w:val="Teksttabelisrodek"/>
              <w:keepNext/>
              <w:keepLines/>
            </w:pPr>
            <w:r w:rsidRPr="00795F17">
              <w:t>24,4</w:t>
            </w:r>
          </w:p>
        </w:tc>
      </w:tr>
      <w:tr w:rsidR="001A7902" w:rsidRPr="00795F17" w14:paraId="22078CB6" w14:textId="77777777" w:rsidTr="00D6377E">
        <w:trPr>
          <w:trHeight w:val="454"/>
        </w:trPr>
        <w:tc>
          <w:tcPr>
            <w:tcW w:w="1831" w:type="pct"/>
            <w:noWrap/>
            <w:vAlign w:val="center"/>
            <w:hideMark/>
          </w:tcPr>
          <w:p w14:paraId="48C88320" w14:textId="24E96061" w:rsidR="001A7902" w:rsidRPr="00795F17" w:rsidRDefault="001A7902" w:rsidP="00D3543E">
            <w:pPr>
              <w:pStyle w:val="Teksttabelilewy"/>
              <w:keepNext/>
              <w:keepLines/>
            </w:pPr>
            <w:r w:rsidRPr="00795F17">
              <w:t xml:space="preserve">Cel nieosiągnięty </w:t>
            </w:r>
            <w:r w:rsidR="00E2281D">
              <w:t>–</w:t>
            </w:r>
            <w:r w:rsidRPr="00795F17">
              <w:t xml:space="preserve"> ale poprawa stanu/potencjału</w:t>
            </w:r>
          </w:p>
        </w:tc>
        <w:tc>
          <w:tcPr>
            <w:tcW w:w="747" w:type="pct"/>
            <w:gridSpan w:val="2"/>
            <w:noWrap/>
            <w:vAlign w:val="center"/>
            <w:hideMark/>
          </w:tcPr>
          <w:p w14:paraId="4F5B3113" w14:textId="77777777" w:rsidR="001A7902" w:rsidRPr="00795F17" w:rsidRDefault="001A7902" w:rsidP="00D3543E">
            <w:pPr>
              <w:pStyle w:val="Teksttabelisrodek"/>
              <w:keepNext/>
              <w:keepLines/>
            </w:pPr>
            <w:r w:rsidRPr="00795F17">
              <w:t>104</w:t>
            </w:r>
          </w:p>
        </w:tc>
        <w:tc>
          <w:tcPr>
            <w:tcW w:w="841" w:type="pct"/>
            <w:gridSpan w:val="2"/>
            <w:noWrap/>
            <w:vAlign w:val="center"/>
            <w:hideMark/>
          </w:tcPr>
          <w:p w14:paraId="7876868F" w14:textId="77777777" w:rsidR="001A7902" w:rsidRPr="00795F17" w:rsidRDefault="001A7902" w:rsidP="00D3543E">
            <w:pPr>
              <w:pStyle w:val="Teksttabelisrodek"/>
              <w:keepNext/>
              <w:keepLines/>
            </w:pPr>
            <w:r w:rsidRPr="00795F17">
              <w:t>4,8</w:t>
            </w:r>
          </w:p>
        </w:tc>
        <w:tc>
          <w:tcPr>
            <w:tcW w:w="772" w:type="pct"/>
            <w:gridSpan w:val="2"/>
            <w:noWrap/>
            <w:vAlign w:val="center"/>
            <w:hideMark/>
          </w:tcPr>
          <w:p w14:paraId="761501EC" w14:textId="77777777" w:rsidR="001A7902" w:rsidRPr="00795F17" w:rsidRDefault="001A7902" w:rsidP="00D3543E">
            <w:pPr>
              <w:pStyle w:val="Teksttabelisrodek"/>
              <w:keepNext/>
              <w:keepLines/>
            </w:pPr>
            <w:r w:rsidRPr="00795F17">
              <w:t>0</w:t>
            </w:r>
          </w:p>
        </w:tc>
        <w:tc>
          <w:tcPr>
            <w:tcW w:w="809" w:type="pct"/>
            <w:gridSpan w:val="2"/>
            <w:noWrap/>
            <w:vAlign w:val="center"/>
            <w:hideMark/>
          </w:tcPr>
          <w:p w14:paraId="1EF7C32E" w14:textId="77777777" w:rsidR="001A7902" w:rsidRPr="00795F17" w:rsidRDefault="001A7902" w:rsidP="00D3543E">
            <w:pPr>
              <w:pStyle w:val="Teksttabelisrodek"/>
              <w:keepNext/>
              <w:keepLines/>
            </w:pPr>
            <w:r w:rsidRPr="00795F17">
              <w:t>0,0</w:t>
            </w:r>
          </w:p>
        </w:tc>
      </w:tr>
      <w:tr w:rsidR="001A7902" w:rsidRPr="00795F17" w14:paraId="7AC3A0C9" w14:textId="77777777" w:rsidTr="00D6377E">
        <w:trPr>
          <w:trHeight w:val="454"/>
        </w:trPr>
        <w:tc>
          <w:tcPr>
            <w:tcW w:w="1831" w:type="pct"/>
            <w:noWrap/>
            <w:vAlign w:val="center"/>
            <w:hideMark/>
          </w:tcPr>
          <w:p w14:paraId="16ADE328" w14:textId="199FB141" w:rsidR="001A7902" w:rsidRPr="00795F17" w:rsidRDefault="001A7902" w:rsidP="009B66ED">
            <w:pPr>
              <w:pStyle w:val="Teksttabelilewy"/>
            </w:pPr>
            <w:r w:rsidRPr="00795F17">
              <w:t xml:space="preserve">Cel nieosiągnięty </w:t>
            </w:r>
            <w:r w:rsidR="00E2281D">
              <w:t>–</w:t>
            </w:r>
            <w:r w:rsidRPr="00795F17">
              <w:t xml:space="preserve"> pogorszenie do stanu złego</w:t>
            </w:r>
          </w:p>
        </w:tc>
        <w:tc>
          <w:tcPr>
            <w:tcW w:w="747" w:type="pct"/>
            <w:gridSpan w:val="2"/>
            <w:noWrap/>
            <w:vAlign w:val="center"/>
            <w:hideMark/>
          </w:tcPr>
          <w:p w14:paraId="27F0427C" w14:textId="77777777" w:rsidR="001A7902" w:rsidRPr="00795F17" w:rsidRDefault="001A7902" w:rsidP="009B66ED">
            <w:pPr>
              <w:pStyle w:val="Teksttabelisrodek"/>
            </w:pPr>
            <w:r w:rsidRPr="00795F17">
              <w:t>583</w:t>
            </w:r>
          </w:p>
        </w:tc>
        <w:tc>
          <w:tcPr>
            <w:tcW w:w="841" w:type="pct"/>
            <w:gridSpan w:val="2"/>
            <w:noWrap/>
            <w:vAlign w:val="center"/>
            <w:hideMark/>
          </w:tcPr>
          <w:p w14:paraId="4733576D" w14:textId="77777777" w:rsidR="001A7902" w:rsidRPr="00795F17" w:rsidRDefault="001A7902" w:rsidP="009B66ED">
            <w:pPr>
              <w:pStyle w:val="Teksttabelisrodek"/>
            </w:pPr>
            <w:r w:rsidRPr="00795F17">
              <w:t>27,0</w:t>
            </w:r>
          </w:p>
        </w:tc>
        <w:tc>
          <w:tcPr>
            <w:tcW w:w="772" w:type="pct"/>
            <w:gridSpan w:val="2"/>
            <w:noWrap/>
            <w:vAlign w:val="center"/>
            <w:hideMark/>
          </w:tcPr>
          <w:p w14:paraId="17ADDC46" w14:textId="77777777" w:rsidR="001A7902" w:rsidRPr="00795F17" w:rsidRDefault="001A7902" w:rsidP="009B66ED">
            <w:pPr>
              <w:pStyle w:val="Teksttabelisrodek"/>
            </w:pPr>
            <w:r w:rsidRPr="00795F17">
              <w:t>591</w:t>
            </w:r>
          </w:p>
        </w:tc>
        <w:tc>
          <w:tcPr>
            <w:tcW w:w="809" w:type="pct"/>
            <w:gridSpan w:val="2"/>
            <w:noWrap/>
            <w:vAlign w:val="center"/>
            <w:hideMark/>
          </w:tcPr>
          <w:p w14:paraId="03E81D95" w14:textId="77777777" w:rsidR="001A7902" w:rsidRPr="00795F17" w:rsidRDefault="001A7902" w:rsidP="009B66ED">
            <w:pPr>
              <w:pStyle w:val="Teksttabelisrodek"/>
            </w:pPr>
            <w:r w:rsidRPr="00795F17">
              <w:t>27,4</w:t>
            </w:r>
          </w:p>
        </w:tc>
      </w:tr>
      <w:tr w:rsidR="001A7902" w:rsidRPr="00795F17" w14:paraId="19B4E77C" w14:textId="77777777" w:rsidTr="00D6377E">
        <w:trPr>
          <w:trHeight w:val="454"/>
        </w:trPr>
        <w:tc>
          <w:tcPr>
            <w:tcW w:w="1831" w:type="pct"/>
            <w:noWrap/>
            <w:vAlign w:val="center"/>
            <w:hideMark/>
          </w:tcPr>
          <w:p w14:paraId="3DFC400C" w14:textId="1E5FD58B" w:rsidR="001A7902" w:rsidRPr="00795F17" w:rsidRDefault="001A7902" w:rsidP="009B66ED">
            <w:pPr>
              <w:pStyle w:val="Teksttabelilewy"/>
            </w:pPr>
            <w:r w:rsidRPr="00795F17">
              <w:t xml:space="preserve">Cel osiągnięty </w:t>
            </w:r>
            <w:r w:rsidR="00E2281D">
              <w:t>–</w:t>
            </w:r>
            <w:r w:rsidRPr="00795F17">
              <w:t xml:space="preserve"> poprawa stanu</w:t>
            </w:r>
          </w:p>
        </w:tc>
        <w:tc>
          <w:tcPr>
            <w:tcW w:w="747" w:type="pct"/>
            <w:gridSpan w:val="2"/>
            <w:noWrap/>
            <w:vAlign w:val="center"/>
            <w:hideMark/>
          </w:tcPr>
          <w:p w14:paraId="1131DE1C" w14:textId="77777777" w:rsidR="001A7902" w:rsidRPr="00795F17" w:rsidRDefault="001A7902" w:rsidP="009B66ED">
            <w:pPr>
              <w:pStyle w:val="Teksttabelisrodek"/>
            </w:pPr>
            <w:r w:rsidRPr="00795F17">
              <w:t>54</w:t>
            </w:r>
          </w:p>
        </w:tc>
        <w:tc>
          <w:tcPr>
            <w:tcW w:w="841" w:type="pct"/>
            <w:gridSpan w:val="2"/>
            <w:noWrap/>
            <w:vAlign w:val="center"/>
            <w:hideMark/>
          </w:tcPr>
          <w:p w14:paraId="4122922B" w14:textId="77777777" w:rsidR="001A7902" w:rsidRPr="00795F17" w:rsidRDefault="001A7902" w:rsidP="009B66ED">
            <w:pPr>
              <w:pStyle w:val="Teksttabelisrodek"/>
            </w:pPr>
            <w:r w:rsidRPr="00795F17">
              <w:t>2,5</w:t>
            </w:r>
          </w:p>
        </w:tc>
        <w:tc>
          <w:tcPr>
            <w:tcW w:w="772" w:type="pct"/>
            <w:gridSpan w:val="2"/>
            <w:noWrap/>
            <w:vAlign w:val="center"/>
            <w:hideMark/>
          </w:tcPr>
          <w:p w14:paraId="664E45B9" w14:textId="77777777" w:rsidR="001A7902" w:rsidRPr="00795F17" w:rsidRDefault="001A7902" w:rsidP="009B66ED">
            <w:pPr>
              <w:pStyle w:val="Teksttabelisrodek"/>
            </w:pPr>
            <w:r w:rsidRPr="00795F17">
              <w:t>325</w:t>
            </w:r>
          </w:p>
        </w:tc>
        <w:tc>
          <w:tcPr>
            <w:tcW w:w="809" w:type="pct"/>
            <w:gridSpan w:val="2"/>
            <w:noWrap/>
            <w:vAlign w:val="center"/>
            <w:hideMark/>
          </w:tcPr>
          <w:p w14:paraId="63D5BCB2" w14:textId="77777777" w:rsidR="001A7902" w:rsidRPr="00795F17" w:rsidRDefault="001A7902" w:rsidP="009B66ED">
            <w:pPr>
              <w:pStyle w:val="Teksttabelisrodek"/>
            </w:pPr>
            <w:r w:rsidRPr="00795F17">
              <w:t>15,1</w:t>
            </w:r>
          </w:p>
        </w:tc>
      </w:tr>
      <w:tr w:rsidR="001A7902" w:rsidRPr="00795F17" w14:paraId="613B9217" w14:textId="77777777" w:rsidTr="00D6377E">
        <w:trPr>
          <w:trHeight w:val="454"/>
        </w:trPr>
        <w:tc>
          <w:tcPr>
            <w:tcW w:w="1831" w:type="pct"/>
            <w:noWrap/>
            <w:vAlign w:val="center"/>
            <w:hideMark/>
          </w:tcPr>
          <w:p w14:paraId="4C214C53" w14:textId="5D90018C" w:rsidR="001A7902" w:rsidRPr="00795F17" w:rsidRDefault="001A7902" w:rsidP="009B66ED">
            <w:pPr>
              <w:pStyle w:val="Teksttabelilewy"/>
            </w:pPr>
            <w:r w:rsidRPr="00795F17">
              <w:t xml:space="preserve">Cel osiągnięty </w:t>
            </w:r>
            <w:r w:rsidR="005157C7">
              <w:t>–</w:t>
            </w:r>
            <w:r w:rsidRPr="00795F17">
              <w:t xml:space="preserve"> utrzymanie dobrego stanu</w:t>
            </w:r>
          </w:p>
        </w:tc>
        <w:tc>
          <w:tcPr>
            <w:tcW w:w="747" w:type="pct"/>
            <w:gridSpan w:val="2"/>
            <w:noWrap/>
            <w:vAlign w:val="center"/>
            <w:hideMark/>
          </w:tcPr>
          <w:p w14:paraId="3479E28C" w14:textId="77777777" w:rsidR="001A7902" w:rsidRPr="00795F17" w:rsidRDefault="001A7902" w:rsidP="009B66ED">
            <w:pPr>
              <w:pStyle w:val="Teksttabelisrodek"/>
            </w:pPr>
            <w:r w:rsidRPr="00795F17">
              <w:t>122</w:t>
            </w:r>
          </w:p>
        </w:tc>
        <w:tc>
          <w:tcPr>
            <w:tcW w:w="841" w:type="pct"/>
            <w:gridSpan w:val="2"/>
            <w:noWrap/>
            <w:vAlign w:val="center"/>
            <w:hideMark/>
          </w:tcPr>
          <w:p w14:paraId="42F4D8E5" w14:textId="77777777" w:rsidR="001A7902" w:rsidRPr="00795F17" w:rsidRDefault="001A7902" w:rsidP="009B66ED">
            <w:pPr>
              <w:pStyle w:val="Teksttabelisrodek"/>
            </w:pPr>
            <w:r w:rsidRPr="00795F17">
              <w:t>5,7</w:t>
            </w:r>
          </w:p>
        </w:tc>
        <w:tc>
          <w:tcPr>
            <w:tcW w:w="772" w:type="pct"/>
            <w:gridSpan w:val="2"/>
            <w:noWrap/>
            <w:vAlign w:val="center"/>
            <w:hideMark/>
          </w:tcPr>
          <w:p w14:paraId="4631A055" w14:textId="77777777" w:rsidR="001A7902" w:rsidRPr="00795F17" w:rsidRDefault="001A7902" w:rsidP="009B66ED">
            <w:pPr>
              <w:pStyle w:val="Teksttabelisrodek"/>
            </w:pPr>
            <w:r w:rsidRPr="00795F17">
              <w:t>35</w:t>
            </w:r>
          </w:p>
        </w:tc>
        <w:tc>
          <w:tcPr>
            <w:tcW w:w="809" w:type="pct"/>
            <w:gridSpan w:val="2"/>
            <w:noWrap/>
            <w:vAlign w:val="center"/>
            <w:hideMark/>
          </w:tcPr>
          <w:p w14:paraId="78E0C03B" w14:textId="77777777" w:rsidR="001A7902" w:rsidRPr="00795F17" w:rsidRDefault="001A7902" w:rsidP="009B66ED">
            <w:pPr>
              <w:pStyle w:val="Teksttabelisrodek"/>
            </w:pPr>
            <w:r w:rsidRPr="00795F17">
              <w:t>1,6</w:t>
            </w:r>
          </w:p>
        </w:tc>
      </w:tr>
      <w:tr w:rsidR="001A7902" w:rsidRPr="00795F17" w14:paraId="75EEFEA3" w14:textId="77777777" w:rsidTr="00D6377E">
        <w:trPr>
          <w:trHeight w:val="454"/>
        </w:trPr>
        <w:tc>
          <w:tcPr>
            <w:tcW w:w="1831" w:type="pct"/>
            <w:noWrap/>
            <w:vAlign w:val="center"/>
          </w:tcPr>
          <w:p w14:paraId="45606388" w14:textId="77777777" w:rsidR="001A7902" w:rsidRPr="00795F17" w:rsidRDefault="001A7902" w:rsidP="009B66ED">
            <w:pPr>
              <w:pStyle w:val="Teksttabelilewy"/>
            </w:pPr>
            <w:r w:rsidRPr="00795F17">
              <w:t>Brak możliwości oceny postępu</w:t>
            </w:r>
          </w:p>
        </w:tc>
        <w:tc>
          <w:tcPr>
            <w:tcW w:w="747" w:type="pct"/>
            <w:gridSpan w:val="2"/>
            <w:noWrap/>
            <w:vAlign w:val="center"/>
          </w:tcPr>
          <w:p w14:paraId="1DD736D1" w14:textId="77777777" w:rsidR="001A7902" w:rsidRPr="00795F17" w:rsidRDefault="001A7902" w:rsidP="009B66ED">
            <w:pPr>
              <w:pStyle w:val="Teksttabelisrodek"/>
            </w:pPr>
            <w:r w:rsidRPr="00795F17">
              <w:t>160</w:t>
            </w:r>
          </w:p>
        </w:tc>
        <w:tc>
          <w:tcPr>
            <w:tcW w:w="841" w:type="pct"/>
            <w:gridSpan w:val="2"/>
            <w:noWrap/>
            <w:vAlign w:val="center"/>
          </w:tcPr>
          <w:p w14:paraId="645EC4AB" w14:textId="77777777" w:rsidR="001A7902" w:rsidRPr="00795F17" w:rsidRDefault="001A7902" w:rsidP="009B66ED">
            <w:pPr>
              <w:pStyle w:val="Teksttabelisrodek"/>
            </w:pPr>
            <w:r w:rsidRPr="00795F17">
              <w:t>7,4</w:t>
            </w:r>
          </w:p>
        </w:tc>
        <w:tc>
          <w:tcPr>
            <w:tcW w:w="772" w:type="pct"/>
            <w:gridSpan w:val="2"/>
            <w:noWrap/>
            <w:vAlign w:val="center"/>
          </w:tcPr>
          <w:p w14:paraId="22ABBEAC" w14:textId="77777777" w:rsidR="001A7902" w:rsidRPr="00795F17" w:rsidRDefault="001A7902" w:rsidP="009B66ED">
            <w:pPr>
              <w:pStyle w:val="Teksttabelisrodek"/>
            </w:pPr>
            <w:r w:rsidRPr="00795F17">
              <w:t>681</w:t>
            </w:r>
          </w:p>
        </w:tc>
        <w:tc>
          <w:tcPr>
            <w:tcW w:w="809" w:type="pct"/>
            <w:gridSpan w:val="2"/>
            <w:noWrap/>
            <w:vAlign w:val="center"/>
          </w:tcPr>
          <w:p w14:paraId="31BE8B33" w14:textId="77777777" w:rsidR="001A7902" w:rsidRPr="00795F17" w:rsidRDefault="001A7902" w:rsidP="009B66ED">
            <w:pPr>
              <w:pStyle w:val="Teksttabelisrodek"/>
            </w:pPr>
            <w:r w:rsidRPr="00795F17">
              <w:t>31,5</w:t>
            </w:r>
          </w:p>
        </w:tc>
      </w:tr>
      <w:tr w:rsidR="001A7902" w:rsidRPr="00795F17" w14:paraId="1E2A10A0" w14:textId="77777777" w:rsidTr="00D6377E">
        <w:trPr>
          <w:trHeight w:val="454"/>
        </w:trPr>
        <w:tc>
          <w:tcPr>
            <w:tcW w:w="1831" w:type="pct"/>
            <w:shd w:val="clear" w:color="auto" w:fill="BFBFBF" w:themeFill="background1" w:themeFillShade="BF"/>
            <w:noWrap/>
            <w:vAlign w:val="center"/>
          </w:tcPr>
          <w:p w14:paraId="6CABAE9F" w14:textId="739AF7BF" w:rsidR="001A7902" w:rsidRPr="00795F17" w:rsidRDefault="001A7902" w:rsidP="009B66ED">
            <w:pPr>
              <w:pStyle w:val="Teksttabelinaglowek"/>
            </w:pPr>
            <w:r w:rsidRPr="00795F17">
              <w:t xml:space="preserve">Łączna liczba </w:t>
            </w:r>
            <w:r w:rsidR="00DF005E">
              <w:t>JCWP</w:t>
            </w:r>
            <w:r w:rsidRPr="00795F17">
              <w:t xml:space="preserve"> </w:t>
            </w:r>
            <w:r w:rsidR="0091346E">
              <w:t>na</w:t>
            </w:r>
            <w:r w:rsidRPr="00795F17">
              <w:t xml:space="preserve"> obszarze dorzecza</w:t>
            </w:r>
          </w:p>
        </w:tc>
        <w:tc>
          <w:tcPr>
            <w:tcW w:w="747" w:type="pct"/>
            <w:gridSpan w:val="2"/>
            <w:shd w:val="clear" w:color="auto" w:fill="BFBFBF" w:themeFill="background1" w:themeFillShade="BF"/>
            <w:noWrap/>
            <w:vAlign w:val="center"/>
          </w:tcPr>
          <w:p w14:paraId="1156E9E6" w14:textId="77777777" w:rsidR="001A7902" w:rsidRPr="00795F17" w:rsidRDefault="001A7902" w:rsidP="009B66ED">
            <w:pPr>
              <w:pStyle w:val="Teksttabelinaglowek"/>
            </w:pPr>
            <w:r w:rsidRPr="00795F17">
              <w:t>2 159</w:t>
            </w:r>
          </w:p>
        </w:tc>
        <w:tc>
          <w:tcPr>
            <w:tcW w:w="841" w:type="pct"/>
            <w:gridSpan w:val="2"/>
            <w:shd w:val="clear" w:color="auto" w:fill="BFBFBF" w:themeFill="background1" w:themeFillShade="BF"/>
            <w:noWrap/>
            <w:vAlign w:val="center"/>
          </w:tcPr>
          <w:p w14:paraId="4E57D1D4" w14:textId="2B96C258" w:rsidR="001A7902" w:rsidRPr="00795F17" w:rsidRDefault="001A7902" w:rsidP="009B66ED">
            <w:pPr>
              <w:pStyle w:val="Teksttabelinaglowek"/>
            </w:pPr>
            <w:r w:rsidRPr="00795F17">
              <w:t>100</w:t>
            </w:r>
          </w:p>
        </w:tc>
        <w:tc>
          <w:tcPr>
            <w:tcW w:w="772" w:type="pct"/>
            <w:gridSpan w:val="2"/>
            <w:shd w:val="clear" w:color="auto" w:fill="BFBFBF" w:themeFill="background1" w:themeFillShade="BF"/>
            <w:noWrap/>
            <w:vAlign w:val="center"/>
          </w:tcPr>
          <w:p w14:paraId="1A19917A" w14:textId="77777777" w:rsidR="001A7902" w:rsidRPr="00795F17" w:rsidRDefault="001A7902" w:rsidP="009B66ED">
            <w:pPr>
              <w:pStyle w:val="Teksttabelinaglowek"/>
            </w:pPr>
            <w:r w:rsidRPr="00795F17">
              <w:t>2 159</w:t>
            </w:r>
          </w:p>
        </w:tc>
        <w:tc>
          <w:tcPr>
            <w:tcW w:w="809" w:type="pct"/>
            <w:gridSpan w:val="2"/>
            <w:shd w:val="clear" w:color="auto" w:fill="BFBFBF" w:themeFill="background1" w:themeFillShade="BF"/>
            <w:noWrap/>
            <w:vAlign w:val="center"/>
          </w:tcPr>
          <w:p w14:paraId="61EEB887" w14:textId="12E34CA7" w:rsidR="001A7902" w:rsidRPr="00795F17" w:rsidRDefault="001A7902" w:rsidP="009B66ED">
            <w:pPr>
              <w:pStyle w:val="Teksttabelinaglowek"/>
            </w:pPr>
            <w:r w:rsidRPr="00795F17">
              <w:t>100</w:t>
            </w:r>
          </w:p>
        </w:tc>
      </w:tr>
    </w:tbl>
    <w:bookmarkEnd w:id="517"/>
    <w:bookmarkEnd w:id="523"/>
    <w:p w14:paraId="74D3FEF9" w14:textId="4ECC8E16" w:rsidR="001A7902" w:rsidRPr="00795F17" w:rsidRDefault="001A7902" w:rsidP="001A7902">
      <w:pPr>
        <w:pStyle w:val="rdo"/>
      </w:pPr>
      <w:r w:rsidRPr="00795F17">
        <w:t xml:space="preserve">Źródło: opracowanie własne na podstawie danych </w:t>
      </w:r>
      <w:bookmarkStart w:id="524" w:name="_Hlk66042100"/>
      <w:r w:rsidRPr="00795F17">
        <w:t>GIOŚ i aPGW</w:t>
      </w:r>
      <w:bookmarkEnd w:id="524"/>
    </w:p>
    <w:p w14:paraId="278C8CFC" w14:textId="4A8A130E" w:rsidR="00035198" w:rsidRPr="00795F17" w:rsidRDefault="005A12D4" w:rsidP="00BA6B41">
      <w:pPr>
        <w:pStyle w:val="Nagwek1"/>
      </w:pPr>
      <w:bookmarkStart w:id="525" w:name="_Toc66272275"/>
      <w:bookmarkStart w:id="526" w:name="_Toc51050192"/>
      <w:bookmarkStart w:id="527" w:name="_Toc51050090"/>
      <w:bookmarkEnd w:id="453"/>
      <w:r w:rsidRPr="00795F17">
        <w:br w:type="column"/>
      </w:r>
      <w:bookmarkStart w:id="528" w:name="_Toc66347812"/>
      <w:bookmarkStart w:id="529" w:name="_Toc105512676"/>
      <w:r w:rsidR="00035198" w:rsidRPr="00795F17">
        <w:t>Podsumowanie działań zawartych w aPGW</w:t>
      </w:r>
      <w:bookmarkEnd w:id="525"/>
      <w:bookmarkEnd w:id="528"/>
      <w:bookmarkEnd w:id="529"/>
    </w:p>
    <w:p w14:paraId="0834F850" w14:textId="0FC60F37" w:rsidR="00382740" w:rsidRPr="00795F17" w:rsidRDefault="00382740" w:rsidP="00C53C86">
      <w:pPr>
        <w:pStyle w:val="Nagwek2"/>
      </w:pPr>
      <w:bookmarkStart w:id="530" w:name="_Toc55856438"/>
      <w:bookmarkStart w:id="531" w:name="_Toc66305711"/>
      <w:bookmarkStart w:id="532" w:name="_Toc66347813"/>
      <w:bookmarkStart w:id="533" w:name="_Toc105512677"/>
      <w:r w:rsidRPr="00795F17">
        <w:t>Podsumowanie informacji uzyskanych w</w:t>
      </w:r>
      <w:r w:rsidR="00B37F03" w:rsidRPr="00795F17">
        <w:t xml:space="preserve"> </w:t>
      </w:r>
      <w:r w:rsidRPr="00795F17">
        <w:t>wyniku monitorowania realizacji działań zawartych w</w:t>
      </w:r>
      <w:r w:rsidR="00B37F03" w:rsidRPr="00795F17">
        <w:t xml:space="preserve"> </w:t>
      </w:r>
      <w:r w:rsidRPr="00795F17">
        <w:t>ostatnim planie gospodarowania wodami na</w:t>
      </w:r>
      <w:r w:rsidR="0077358D" w:rsidRPr="00795F17">
        <w:t> </w:t>
      </w:r>
      <w:r w:rsidRPr="00795F17">
        <w:t xml:space="preserve">obszarze dorzecza, pozyskanych na podstawie art. 328 ust. 2 </w:t>
      </w:r>
      <w:bookmarkEnd w:id="530"/>
      <w:r w:rsidRPr="00795F17">
        <w:t xml:space="preserve">ustawy </w:t>
      </w:r>
      <w:r w:rsidR="005157C7">
        <w:t xml:space="preserve">– </w:t>
      </w:r>
      <w:r w:rsidRPr="00795F17">
        <w:t>Prawo wodne</w:t>
      </w:r>
      <w:bookmarkEnd w:id="531"/>
      <w:bookmarkEnd w:id="532"/>
      <w:bookmarkEnd w:id="533"/>
    </w:p>
    <w:p w14:paraId="7326C4DD" w14:textId="31EFC864" w:rsidR="00382740" w:rsidRPr="00795F17" w:rsidRDefault="00382740" w:rsidP="0044393D">
      <w:r w:rsidRPr="00795F17">
        <w:t>Podsumowanie działań zawartych w aPGW przygotowane zostało na podstawie dokumentów, przy</w:t>
      </w:r>
      <w:r w:rsidR="0077358D" w:rsidRPr="00795F17">
        <w:t> </w:t>
      </w:r>
      <w:r w:rsidRPr="00795F17">
        <w:t>sporządzaniu których wykorzystano dane z monitoringu realizacji działań (w ramach sprawozdawczości podmiotów odpowiedzialnych za realizację działań):</w:t>
      </w:r>
    </w:p>
    <w:p w14:paraId="315B4E25" w14:textId="09A1D3C5" w:rsidR="00382740" w:rsidRPr="001B15D5" w:rsidRDefault="00382740" w:rsidP="00117E86">
      <w:pPr>
        <w:pStyle w:val="Listapunktowana2"/>
      </w:pPr>
      <w:r w:rsidRPr="00E0550E">
        <w:rPr>
          <w:i/>
          <w:iCs/>
        </w:rPr>
        <w:t xml:space="preserve">Ocena postępu we wdrażaniu programów działań dla </w:t>
      </w:r>
      <w:r w:rsidR="00DF005E">
        <w:rPr>
          <w:i/>
          <w:iCs/>
        </w:rPr>
        <w:t>JCWP</w:t>
      </w:r>
      <w:r w:rsidRPr="00E0550E">
        <w:rPr>
          <w:i/>
          <w:iCs/>
        </w:rPr>
        <w:t xml:space="preserve"> i </w:t>
      </w:r>
      <w:r w:rsidR="00DF005E">
        <w:rPr>
          <w:i/>
          <w:iCs/>
        </w:rPr>
        <w:t>JCWP</w:t>
      </w:r>
      <w:r w:rsidRPr="00E0550E">
        <w:rPr>
          <w:i/>
          <w:iCs/>
        </w:rPr>
        <w:t>d wynikających z aPWŚK</w:t>
      </w:r>
      <w:r w:rsidRPr="001B15D5">
        <w:t xml:space="preserve"> (2018)</w:t>
      </w:r>
      <w:r w:rsidR="00057369">
        <w:rPr>
          <w:rStyle w:val="Odwoanieprzypisudolnego"/>
        </w:rPr>
        <w:footnoteReference w:id="73"/>
      </w:r>
      <w:r w:rsidRPr="001B15D5">
        <w:t>, który syntetycznie przedstawia informacje na temat stopnia realizacji działań w latach 2016</w:t>
      </w:r>
      <w:r w:rsidR="005157C7">
        <w:t>–</w:t>
      </w:r>
      <w:r w:rsidRPr="001B15D5">
        <w:t>2018.</w:t>
      </w:r>
    </w:p>
    <w:p w14:paraId="3C68D486" w14:textId="5B4481E2" w:rsidR="00625973" w:rsidRPr="001B15D5" w:rsidRDefault="00625973" w:rsidP="00117E86">
      <w:pPr>
        <w:pStyle w:val="Listapunktowana2"/>
      </w:pPr>
      <w:r w:rsidRPr="001B15D5">
        <w:t>Sprawozdania roczne z realizacji działań za lata 2018</w:t>
      </w:r>
      <w:r w:rsidR="005157C7">
        <w:t>–</w:t>
      </w:r>
      <w:r w:rsidRPr="001B15D5">
        <w:t xml:space="preserve">2019. </w:t>
      </w:r>
    </w:p>
    <w:p w14:paraId="02C07C3C" w14:textId="60C5AC62" w:rsidR="00382740" w:rsidRPr="00795F17" w:rsidRDefault="00382740" w:rsidP="0044393D">
      <w:r w:rsidRPr="00795F17">
        <w:t>Obowiązek prawny w</w:t>
      </w:r>
      <w:r w:rsidR="0077358D" w:rsidRPr="00795F17">
        <w:t xml:space="preserve"> </w:t>
      </w:r>
      <w:r w:rsidRPr="00795F17">
        <w:t>zakresie monitorowania działań zawartych m.in. w</w:t>
      </w:r>
      <w:r w:rsidR="0077358D" w:rsidRPr="00795F17">
        <w:t xml:space="preserve"> </w:t>
      </w:r>
      <w:r w:rsidRPr="00795F17">
        <w:t>planach gospodarowania wodami na obszarach dorzeczy wynika z art. 328 ust. 2 pr.w., który wskazuje organy zobowiązane do</w:t>
      </w:r>
      <w:r w:rsidR="0077358D" w:rsidRPr="00795F17">
        <w:t xml:space="preserve"> </w:t>
      </w:r>
      <w:r w:rsidRPr="00795F17">
        <w:t>sprawozdawania realizacji działań zawartych w</w:t>
      </w:r>
      <w:r w:rsidR="0077358D" w:rsidRPr="00795F17">
        <w:t xml:space="preserve"> </w:t>
      </w:r>
      <w:r w:rsidRPr="00795F17">
        <w:t>dokumentach planistycznych z</w:t>
      </w:r>
      <w:r w:rsidR="0077358D" w:rsidRPr="00795F17">
        <w:t xml:space="preserve"> </w:t>
      </w:r>
      <w:r w:rsidRPr="00795F17">
        <w:t xml:space="preserve">zakresu gospodarki wodnej: </w:t>
      </w:r>
      <w:r w:rsidR="0028234C" w:rsidRPr="00795F17">
        <w:t>PGW WP</w:t>
      </w:r>
      <w:r w:rsidRPr="00795F17">
        <w:t xml:space="preserve"> oraz</w:t>
      </w:r>
      <w:r w:rsidR="0077358D" w:rsidRPr="00795F17">
        <w:t xml:space="preserve"> </w:t>
      </w:r>
      <w:r w:rsidRPr="00795F17">
        <w:t>wojewodowie, marszałkowie województw, dyrektorzy urzędów morskich oraz wójtowie, burmistrzowie lub</w:t>
      </w:r>
      <w:r w:rsidR="0077358D" w:rsidRPr="00795F17">
        <w:t xml:space="preserve"> </w:t>
      </w:r>
      <w:r w:rsidRPr="00795F17">
        <w:t xml:space="preserve">prezydenci miast. </w:t>
      </w:r>
    </w:p>
    <w:p w14:paraId="2D6ABE2C" w14:textId="3E0256C8" w:rsidR="00382740" w:rsidRPr="00795F17" w:rsidRDefault="00382740" w:rsidP="0044393D">
      <w:r w:rsidRPr="00795F17">
        <w:t>Sprawozdania z realizacji PGW powinny być sporządzane w</w:t>
      </w:r>
      <w:r w:rsidR="0077358D" w:rsidRPr="00795F17">
        <w:t xml:space="preserve"> </w:t>
      </w:r>
      <w:r w:rsidRPr="00795F17">
        <w:t>oparciu o</w:t>
      </w:r>
      <w:r w:rsidR="0077358D" w:rsidRPr="00795F17">
        <w:t xml:space="preserve"> </w:t>
      </w:r>
      <w:r w:rsidRPr="00795F17">
        <w:t>zakres informacji wskazany w</w:t>
      </w:r>
      <w:r w:rsidR="00E13AEE" w:rsidRPr="00795F17">
        <w:t> </w:t>
      </w:r>
      <w:r w:rsidRPr="00795F17">
        <w:t>rozporządzeniu Ministra Gospodarki Morskiej i</w:t>
      </w:r>
      <w:r w:rsidR="0077358D" w:rsidRPr="00795F17">
        <w:t xml:space="preserve"> </w:t>
      </w:r>
      <w:r w:rsidRPr="00795F17">
        <w:t>Żeglugi Śródlądowej z</w:t>
      </w:r>
      <w:r w:rsidR="0077358D" w:rsidRPr="00795F17">
        <w:t xml:space="preserve"> </w:t>
      </w:r>
      <w:r w:rsidRPr="00795F17">
        <w:t>dnia 14 grudnia 2018 r. w sprawie zakresu informacji z</w:t>
      </w:r>
      <w:r w:rsidR="0077358D" w:rsidRPr="00795F17">
        <w:t xml:space="preserve"> </w:t>
      </w:r>
      <w:r w:rsidRPr="00795F17">
        <w:t>realizacji działań zawartych w</w:t>
      </w:r>
      <w:r w:rsidR="0077358D" w:rsidRPr="00795F17">
        <w:t xml:space="preserve"> </w:t>
      </w:r>
      <w:r w:rsidRPr="00795F17">
        <w:t>planach gospodarowania wodami na obszarach dorzeczy, planach zarządzania ryzykiem powodziowym i</w:t>
      </w:r>
      <w:r w:rsidR="0077358D" w:rsidRPr="00795F17">
        <w:t xml:space="preserve"> </w:t>
      </w:r>
      <w:r w:rsidRPr="00795F17">
        <w:t xml:space="preserve">programie ochrony wód morskich (Dz.U. </w:t>
      </w:r>
      <w:r w:rsidR="005157C7">
        <w:t xml:space="preserve">z </w:t>
      </w:r>
      <w:r w:rsidRPr="00795F17">
        <w:t>2018</w:t>
      </w:r>
      <w:r w:rsidR="005157C7">
        <w:t xml:space="preserve"> r.</w:t>
      </w:r>
      <w:r w:rsidRPr="00795F17">
        <w:t xml:space="preserve"> poz. 2390). </w:t>
      </w:r>
    </w:p>
    <w:p w14:paraId="730E768D" w14:textId="17B04090" w:rsidR="00382740" w:rsidRPr="00795F17" w:rsidRDefault="00382740" w:rsidP="0044393D">
      <w:r w:rsidRPr="00795F17">
        <w:t>Informacje dotyczące statusu realizacji działań zaplanowanych w poprzednim cyklu planistycznym stanowiły element prac analitycznych mających na celu zbudowanie skutecznych zestawów działań dla</w:t>
      </w:r>
      <w:r w:rsidR="0077358D" w:rsidRPr="00795F17">
        <w:t> </w:t>
      </w:r>
      <w:r w:rsidRPr="00795F17">
        <w:t>jcw w IIaPGW.</w:t>
      </w:r>
    </w:p>
    <w:p w14:paraId="455D32A8" w14:textId="6E37A2BA" w:rsidR="004A6CD4" w:rsidRPr="00795F17" w:rsidRDefault="004A6CD4" w:rsidP="004A6CD4">
      <w:pPr>
        <w:rPr>
          <w:rFonts w:asciiTheme="minorHAnsi" w:hAnsiTheme="minorHAnsi" w:cstheme="minorHAnsi"/>
        </w:rPr>
      </w:pPr>
      <w:bookmarkStart w:id="534" w:name="_Hlk67528065"/>
      <w:r w:rsidRPr="00795F17">
        <w:rPr>
          <w:rFonts w:cstheme="minorHAnsi"/>
        </w:rPr>
        <w:t>W poprzednim cyklu planistycznym (2016</w:t>
      </w:r>
      <w:r w:rsidR="005157C7">
        <w:rPr>
          <w:rFonts w:cstheme="minorHAnsi"/>
        </w:rPr>
        <w:t>–</w:t>
      </w:r>
      <w:r w:rsidRPr="00795F17">
        <w:rPr>
          <w:rFonts w:cstheme="minorHAnsi"/>
        </w:rPr>
        <w:t>2021) w</w:t>
      </w:r>
      <w:r w:rsidR="0077358D" w:rsidRPr="00795F17">
        <w:rPr>
          <w:rFonts w:cstheme="minorHAnsi"/>
        </w:rPr>
        <w:t xml:space="preserve"> </w:t>
      </w:r>
      <w:r w:rsidRPr="00795F17">
        <w:rPr>
          <w:rFonts w:cstheme="minorHAnsi"/>
        </w:rPr>
        <w:t>aPWŚK (stanowiącym „program działań” w rozumieniu RDW), podobnie jak w</w:t>
      </w:r>
      <w:r w:rsidR="0077358D" w:rsidRPr="00795F17">
        <w:rPr>
          <w:rFonts w:cstheme="minorHAnsi"/>
        </w:rPr>
        <w:t xml:space="preserve"> </w:t>
      </w:r>
      <w:r w:rsidRPr="00795F17">
        <w:rPr>
          <w:rFonts w:cstheme="minorHAnsi"/>
        </w:rPr>
        <w:t>IIaPGW, zaplanowano działania podstawowe i</w:t>
      </w:r>
      <w:r w:rsidR="0077358D" w:rsidRPr="00795F17">
        <w:rPr>
          <w:rFonts w:cstheme="minorHAnsi"/>
        </w:rPr>
        <w:t xml:space="preserve"> </w:t>
      </w:r>
      <w:r w:rsidRPr="00795F17">
        <w:rPr>
          <w:rFonts w:cstheme="minorHAnsi"/>
        </w:rPr>
        <w:t>uzupełniające, przy</w:t>
      </w:r>
      <w:r w:rsidR="0077358D" w:rsidRPr="00795F17">
        <w:rPr>
          <w:rFonts w:cstheme="minorHAnsi"/>
        </w:rPr>
        <w:t> </w:t>
      </w:r>
      <w:r w:rsidRPr="00795F17">
        <w:rPr>
          <w:rFonts w:cstheme="minorHAnsi"/>
        </w:rPr>
        <w:t>jednoczesnym wydzieleniu działań podstawowych na</w:t>
      </w:r>
      <w:r w:rsidR="0077358D" w:rsidRPr="00795F17">
        <w:rPr>
          <w:rFonts w:cstheme="minorHAnsi"/>
        </w:rPr>
        <w:t xml:space="preserve"> </w:t>
      </w:r>
      <w:r w:rsidRPr="00795F17">
        <w:rPr>
          <w:rFonts w:cstheme="minorHAnsi"/>
        </w:rPr>
        <w:t>poziomie krajowym i na</w:t>
      </w:r>
      <w:r w:rsidR="0077358D" w:rsidRPr="00795F17">
        <w:rPr>
          <w:rFonts w:cstheme="minorHAnsi"/>
        </w:rPr>
        <w:t xml:space="preserve"> </w:t>
      </w:r>
      <w:r w:rsidRPr="00795F17">
        <w:rPr>
          <w:rFonts w:cstheme="minorHAnsi"/>
        </w:rPr>
        <w:t>poziomie konkretnych jcw. Te ostatnie łącznie z</w:t>
      </w:r>
      <w:r w:rsidR="0077358D" w:rsidRPr="00795F17">
        <w:rPr>
          <w:rFonts w:cstheme="minorHAnsi"/>
        </w:rPr>
        <w:t xml:space="preserve"> </w:t>
      </w:r>
      <w:r w:rsidRPr="00795F17">
        <w:rPr>
          <w:rFonts w:cstheme="minorHAnsi"/>
        </w:rPr>
        <w:t xml:space="preserve">działaniami </w:t>
      </w:r>
      <w:bookmarkEnd w:id="534"/>
      <w:r w:rsidRPr="00795F17">
        <w:rPr>
          <w:rFonts w:asciiTheme="minorHAnsi" w:hAnsiTheme="minorHAnsi" w:cstheme="minorHAnsi"/>
        </w:rPr>
        <w:t>uzupełniającymi stanowiły katalog, z</w:t>
      </w:r>
      <w:r w:rsidR="0077358D" w:rsidRPr="00795F17">
        <w:rPr>
          <w:rFonts w:asciiTheme="minorHAnsi" w:hAnsiTheme="minorHAnsi" w:cstheme="minorHAnsi"/>
        </w:rPr>
        <w:t xml:space="preserve"> </w:t>
      </w:r>
      <w:r w:rsidRPr="00795F17">
        <w:rPr>
          <w:rFonts w:asciiTheme="minorHAnsi" w:hAnsiTheme="minorHAnsi" w:cstheme="minorHAnsi"/>
        </w:rPr>
        <w:t>którego dokonywano wyboru działań na</w:t>
      </w:r>
      <w:r w:rsidR="0077358D" w:rsidRPr="00795F17">
        <w:rPr>
          <w:rFonts w:asciiTheme="minorHAnsi" w:hAnsiTheme="minorHAnsi" w:cstheme="minorHAnsi"/>
        </w:rPr>
        <w:t xml:space="preserve"> </w:t>
      </w:r>
      <w:r w:rsidRPr="00795F17">
        <w:rPr>
          <w:rFonts w:asciiTheme="minorHAnsi" w:hAnsiTheme="minorHAnsi" w:cstheme="minorHAnsi"/>
        </w:rPr>
        <w:t>potrzeby budowy zestawu działań dla poszczególnych jcw. Działania podstawowe krajowe odnosiły się do wymagań dyrektyw wskazujących zasady wpływające na</w:t>
      </w:r>
      <w:r w:rsidR="0077358D" w:rsidRPr="00795F17">
        <w:rPr>
          <w:rFonts w:asciiTheme="minorHAnsi" w:hAnsiTheme="minorHAnsi" w:cstheme="minorHAnsi"/>
        </w:rPr>
        <w:t> </w:t>
      </w:r>
      <w:r w:rsidRPr="00795F17">
        <w:rPr>
          <w:rFonts w:asciiTheme="minorHAnsi" w:hAnsiTheme="minorHAnsi" w:cstheme="minorHAnsi"/>
        </w:rPr>
        <w:t>zapewnienie osiągnięcia celów środowiskowych, do obowiązku wypełniania obowiązujących przepisów prawnych oraz opracowania programów i</w:t>
      </w:r>
      <w:r w:rsidR="0077358D" w:rsidRPr="00795F17">
        <w:rPr>
          <w:rFonts w:asciiTheme="minorHAnsi" w:hAnsiTheme="minorHAnsi" w:cstheme="minorHAnsi"/>
        </w:rPr>
        <w:t xml:space="preserve"> </w:t>
      </w:r>
      <w:r w:rsidRPr="00795F17">
        <w:rPr>
          <w:rFonts w:asciiTheme="minorHAnsi" w:hAnsiTheme="minorHAnsi" w:cstheme="minorHAnsi"/>
        </w:rPr>
        <w:t xml:space="preserve">dokumentów dobrych praktyk, wspierających osiągnięcie celów środowiskowych. </w:t>
      </w:r>
    </w:p>
    <w:p w14:paraId="236D40FB" w14:textId="0840A5BC" w:rsidR="004A6CD4" w:rsidRPr="00795F17" w:rsidRDefault="004A6CD4" w:rsidP="004A6CD4">
      <w:pPr>
        <w:rPr>
          <w:rFonts w:asciiTheme="minorHAnsi" w:hAnsiTheme="minorHAnsi" w:cstheme="minorHAnsi"/>
        </w:rPr>
      </w:pPr>
      <w:r w:rsidRPr="00795F17">
        <w:rPr>
          <w:rFonts w:cstheme="minorHAnsi"/>
        </w:rPr>
        <w:t>W katalogu działań podstawowych krajowych aPWŚK, w którym znajdowało się łącznie 131 działań wśród których 7 posiadało określony termin realizacji Stopień realizacji działań określony został dla</w:t>
      </w:r>
      <w:r w:rsidR="0077358D" w:rsidRPr="00795F17">
        <w:rPr>
          <w:rFonts w:cstheme="minorHAnsi"/>
        </w:rPr>
        <w:t> </w:t>
      </w:r>
      <w:r w:rsidRPr="00795F17">
        <w:rPr>
          <w:rFonts w:cstheme="minorHAnsi"/>
        </w:rPr>
        <w:t>działań innych, niż ciągłe (tabela 10-1).</w:t>
      </w:r>
      <w:bookmarkStart w:id="535" w:name="_Hlk67528011"/>
      <w:r w:rsidRPr="00795F17">
        <w:rPr>
          <w:rFonts w:cstheme="minorHAnsi"/>
        </w:rPr>
        <w:t xml:space="preserve"> </w:t>
      </w:r>
      <w:bookmarkEnd w:id="535"/>
    </w:p>
    <w:p w14:paraId="3162B0E1" w14:textId="72FF7BA4" w:rsidR="004A6CD4" w:rsidRPr="00795F17" w:rsidRDefault="004A6CD4" w:rsidP="004D7705">
      <w:pPr>
        <w:pStyle w:val="Tabela"/>
      </w:pPr>
      <w:bookmarkStart w:id="536" w:name="_Toc105512851"/>
      <w:r w:rsidRPr="00795F17">
        <w:t xml:space="preserve">Tabela </w:t>
      </w:r>
      <w:fldSimple w:instr=" STYLEREF 1 \s ">
        <w:r w:rsidR="001F774D">
          <w:rPr>
            <w:noProof/>
          </w:rPr>
          <w:t>10</w:t>
        </w:r>
      </w:fldSimple>
      <w:r w:rsidR="00BB3B21" w:rsidRPr="00795F17">
        <w:noBreakHyphen/>
      </w:r>
      <w:fldSimple w:instr=" SEQ Tabela \* ARABIC \s 1 ">
        <w:r w:rsidR="001F774D">
          <w:rPr>
            <w:noProof/>
          </w:rPr>
          <w:t>1</w:t>
        </w:r>
      </w:fldSimple>
      <w:r w:rsidR="00E76356">
        <w:rPr>
          <w:noProof/>
        </w:rPr>
        <w:t>.</w:t>
      </w:r>
      <w:r w:rsidRPr="00795F17">
        <w:tab/>
        <w:t>Stopień realizacji działań podstawowych krajowych</w:t>
      </w:r>
      <w:bookmarkEnd w:id="536"/>
    </w:p>
    <w:tbl>
      <w:tblPr>
        <w:tblStyle w:val="Tabela-Siatka"/>
        <w:tblW w:w="5000" w:type="pct"/>
        <w:tblLayout w:type="fixed"/>
        <w:tblLook w:val="04A0" w:firstRow="1" w:lastRow="0" w:firstColumn="1" w:lastColumn="0" w:noHBand="0" w:noVBand="1"/>
      </w:tblPr>
      <w:tblGrid>
        <w:gridCol w:w="562"/>
        <w:gridCol w:w="3547"/>
        <w:gridCol w:w="1651"/>
        <w:gridCol w:w="1651"/>
        <w:gridCol w:w="1651"/>
      </w:tblGrid>
      <w:tr w:rsidR="004A6CD4" w:rsidRPr="00795F17" w14:paraId="24A71B1D" w14:textId="77777777" w:rsidTr="0077358D">
        <w:trPr>
          <w:cnfStyle w:val="100000000000" w:firstRow="1" w:lastRow="0" w:firstColumn="0" w:lastColumn="0" w:oddVBand="0" w:evenVBand="0" w:oddHBand="0" w:evenHBand="0" w:firstRowFirstColumn="0" w:firstRowLastColumn="0" w:lastRowFirstColumn="0" w:lastRowLastColumn="0"/>
          <w:trHeight w:val="454"/>
        </w:trPr>
        <w:tc>
          <w:tcPr>
            <w:tcW w:w="310" w:type="pct"/>
            <w:noWrap/>
            <w:hideMark/>
          </w:tcPr>
          <w:p w14:paraId="32287D75" w14:textId="77777777" w:rsidR="004A6CD4" w:rsidRPr="00795F17" w:rsidRDefault="004A6CD4" w:rsidP="0077358D">
            <w:pPr>
              <w:pStyle w:val="Teksttabelinaglowek"/>
              <w:rPr>
                <w:b/>
              </w:rPr>
            </w:pPr>
            <w:r w:rsidRPr="00795F17">
              <w:rPr>
                <w:b/>
              </w:rPr>
              <w:t>Lp.</w:t>
            </w:r>
          </w:p>
        </w:tc>
        <w:tc>
          <w:tcPr>
            <w:tcW w:w="1957" w:type="pct"/>
            <w:hideMark/>
          </w:tcPr>
          <w:p w14:paraId="5661C38D" w14:textId="77777777" w:rsidR="004A6CD4" w:rsidRPr="00795F17" w:rsidRDefault="004A6CD4" w:rsidP="0077358D">
            <w:pPr>
              <w:pStyle w:val="Teksttabelinaglowek"/>
              <w:rPr>
                <w:b/>
              </w:rPr>
            </w:pPr>
            <w:r w:rsidRPr="00795F17">
              <w:rPr>
                <w:b/>
              </w:rPr>
              <w:t>Działanie</w:t>
            </w:r>
          </w:p>
        </w:tc>
        <w:tc>
          <w:tcPr>
            <w:tcW w:w="911" w:type="pct"/>
            <w:hideMark/>
          </w:tcPr>
          <w:p w14:paraId="7F97CE16" w14:textId="77777777" w:rsidR="004A6CD4" w:rsidRPr="00795F17" w:rsidRDefault="004A6CD4" w:rsidP="0077358D">
            <w:pPr>
              <w:pStyle w:val="Teksttabelinaglowek"/>
              <w:rPr>
                <w:b/>
              </w:rPr>
            </w:pPr>
            <w:r w:rsidRPr="00795F17">
              <w:rPr>
                <w:b/>
              </w:rPr>
              <w:t>Jednostka odpowiedzialna</w:t>
            </w:r>
          </w:p>
        </w:tc>
        <w:tc>
          <w:tcPr>
            <w:tcW w:w="911" w:type="pct"/>
            <w:hideMark/>
          </w:tcPr>
          <w:p w14:paraId="7DCA2856" w14:textId="77777777" w:rsidR="004A6CD4" w:rsidRPr="00795F17" w:rsidRDefault="004A6CD4" w:rsidP="0077358D">
            <w:pPr>
              <w:pStyle w:val="Teksttabelinaglowek"/>
              <w:rPr>
                <w:b/>
              </w:rPr>
            </w:pPr>
            <w:r w:rsidRPr="00795F17">
              <w:rPr>
                <w:b/>
              </w:rPr>
              <w:t>Harmonogram realizacji</w:t>
            </w:r>
          </w:p>
        </w:tc>
        <w:tc>
          <w:tcPr>
            <w:tcW w:w="911" w:type="pct"/>
            <w:hideMark/>
          </w:tcPr>
          <w:p w14:paraId="4F7A5F4E" w14:textId="77777777" w:rsidR="004A6CD4" w:rsidRPr="00795F17" w:rsidRDefault="004A6CD4" w:rsidP="0077358D">
            <w:pPr>
              <w:pStyle w:val="Teksttabelinaglowek"/>
              <w:rPr>
                <w:b/>
              </w:rPr>
            </w:pPr>
            <w:r w:rsidRPr="00795F17">
              <w:rPr>
                <w:b/>
              </w:rPr>
              <w:t>Stopień realizacji</w:t>
            </w:r>
          </w:p>
        </w:tc>
      </w:tr>
      <w:tr w:rsidR="004A6CD4" w:rsidRPr="00795F17" w14:paraId="1C4F5E3E" w14:textId="77777777" w:rsidTr="0077358D">
        <w:trPr>
          <w:trHeight w:val="454"/>
        </w:trPr>
        <w:tc>
          <w:tcPr>
            <w:tcW w:w="310" w:type="pct"/>
            <w:noWrap/>
            <w:hideMark/>
          </w:tcPr>
          <w:p w14:paraId="39C7F0F7" w14:textId="77777777" w:rsidR="004A6CD4" w:rsidRPr="00795F17" w:rsidRDefault="004A6CD4" w:rsidP="0077358D">
            <w:pPr>
              <w:pStyle w:val="Teksttabelisrodek"/>
            </w:pPr>
            <w:r w:rsidRPr="00795F17">
              <w:t>1.</w:t>
            </w:r>
          </w:p>
        </w:tc>
        <w:tc>
          <w:tcPr>
            <w:tcW w:w="1957" w:type="pct"/>
            <w:hideMark/>
          </w:tcPr>
          <w:p w14:paraId="46740DDE" w14:textId="77777777" w:rsidR="004A6CD4" w:rsidRPr="00795F17" w:rsidRDefault="004A6CD4" w:rsidP="0077358D">
            <w:pPr>
              <w:pStyle w:val="Teksttabelilewy"/>
            </w:pPr>
            <w:r w:rsidRPr="00795F17">
              <w:t>Obowiązek opracowania i weryfikacji warunków korzystania z wód regionu, jako aktu prawa miejscowego wspomagającego osiągnięcie celów środowiskowych</w:t>
            </w:r>
          </w:p>
        </w:tc>
        <w:tc>
          <w:tcPr>
            <w:tcW w:w="911" w:type="pct"/>
            <w:noWrap/>
            <w:hideMark/>
          </w:tcPr>
          <w:p w14:paraId="6D44EB31" w14:textId="04BE1F29" w:rsidR="004A6CD4" w:rsidRPr="00795F17" w:rsidRDefault="004A6CD4" w:rsidP="0077358D">
            <w:pPr>
              <w:pStyle w:val="Teksttabelisrodek"/>
            </w:pPr>
            <w:r w:rsidRPr="00795F17">
              <w:t>dyrektor</w:t>
            </w:r>
            <w:r w:rsidR="00BA6B41">
              <w:t xml:space="preserve"> </w:t>
            </w:r>
            <w:r w:rsidRPr="00795F17">
              <w:t>RZGW WP</w:t>
            </w:r>
          </w:p>
        </w:tc>
        <w:tc>
          <w:tcPr>
            <w:tcW w:w="911" w:type="pct"/>
            <w:hideMark/>
          </w:tcPr>
          <w:p w14:paraId="07FFA613" w14:textId="77777777" w:rsidR="004A6CD4" w:rsidRPr="00795F17" w:rsidRDefault="004A6CD4" w:rsidP="0077358D">
            <w:pPr>
              <w:pStyle w:val="Teksttabelisrodek"/>
            </w:pPr>
            <w:r w:rsidRPr="00795F17">
              <w:t>do końca</w:t>
            </w:r>
            <w:r w:rsidRPr="00795F17">
              <w:br/>
              <w:t>IV kw. 2016 r.</w:t>
            </w:r>
          </w:p>
        </w:tc>
        <w:tc>
          <w:tcPr>
            <w:tcW w:w="911" w:type="pct"/>
            <w:noWrap/>
            <w:hideMark/>
          </w:tcPr>
          <w:p w14:paraId="7592D056" w14:textId="77777777" w:rsidR="004A6CD4" w:rsidRPr="00795F17" w:rsidRDefault="004A6CD4" w:rsidP="0077358D">
            <w:pPr>
              <w:pStyle w:val="Teksttabelisrodek"/>
            </w:pPr>
            <w:r w:rsidRPr="00795F17">
              <w:t>zróżnicowany stopień realizacji</w:t>
            </w:r>
          </w:p>
        </w:tc>
      </w:tr>
      <w:tr w:rsidR="004A6CD4" w:rsidRPr="00795F17" w14:paraId="3FAB82AB" w14:textId="77777777" w:rsidTr="0077358D">
        <w:trPr>
          <w:trHeight w:val="454"/>
        </w:trPr>
        <w:tc>
          <w:tcPr>
            <w:tcW w:w="310" w:type="pct"/>
            <w:noWrap/>
            <w:hideMark/>
          </w:tcPr>
          <w:p w14:paraId="2BDF32B0" w14:textId="77777777" w:rsidR="004A6CD4" w:rsidRPr="00795F17" w:rsidRDefault="004A6CD4" w:rsidP="0077358D">
            <w:pPr>
              <w:pStyle w:val="Teksttabelisrodek"/>
            </w:pPr>
            <w:r w:rsidRPr="00795F17">
              <w:t>2.</w:t>
            </w:r>
          </w:p>
        </w:tc>
        <w:tc>
          <w:tcPr>
            <w:tcW w:w="1957" w:type="pct"/>
            <w:hideMark/>
          </w:tcPr>
          <w:p w14:paraId="2CA84C53" w14:textId="4DA7427D" w:rsidR="004A6CD4" w:rsidRPr="00795F17" w:rsidRDefault="004A6CD4" w:rsidP="0077358D">
            <w:pPr>
              <w:pStyle w:val="Teksttabelilewy"/>
            </w:pPr>
            <w:r w:rsidRPr="00795F17">
              <w:t xml:space="preserve">Uporządkowanie gospodarki wodami opadowymi lub roztopowymi </w:t>
            </w:r>
            <w:r w:rsidR="005157C7">
              <w:t>–</w:t>
            </w:r>
            <w:r w:rsidRPr="00795F17">
              <w:t xml:space="preserve"> przygotowanie opracowania dotyczącego zaostrzenia warunków, jakie należy spełnić przy wprowadzaniu do jezior i zbiorników retencyjnych wód opadowych lub roztopowych w zakresie oczyszczania z substancji biogennych, celem przedłożenia Ministrowi Środowiska na potrzeby zmiany rozporządzenia M</w:t>
            </w:r>
            <w:r w:rsidR="00316B5E">
              <w:t xml:space="preserve">inistra </w:t>
            </w:r>
            <w:r w:rsidRPr="00795F17">
              <w:t>Ś</w:t>
            </w:r>
            <w:r w:rsidR="00316B5E">
              <w:t>rodowiska</w:t>
            </w:r>
            <w:r w:rsidRPr="00795F17">
              <w:t xml:space="preserve"> z dnia 18 listopada 2014 r. w sprawie warunków, jakie należy spełnić przy wprowadzaniu ścieków do wód lub do ziemi oraz w sprawie substancji szczególnie szkodliwych dla środowiska wodnego</w:t>
            </w:r>
          </w:p>
        </w:tc>
        <w:tc>
          <w:tcPr>
            <w:tcW w:w="911" w:type="pct"/>
            <w:hideMark/>
          </w:tcPr>
          <w:p w14:paraId="4F84E371" w14:textId="77777777" w:rsidR="004A6CD4" w:rsidRPr="00795F17" w:rsidRDefault="004A6CD4" w:rsidP="0077358D">
            <w:pPr>
              <w:pStyle w:val="Teksttabelisrodek"/>
            </w:pPr>
            <w:r w:rsidRPr="00795F17">
              <w:t>Minister Środowiska</w:t>
            </w:r>
          </w:p>
        </w:tc>
        <w:tc>
          <w:tcPr>
            <w:tcW w:w="911" w:type="pct"/>
            <w:noWrap/>
            <w:hideMark/>
          </w:tcPr>
          <w:p w14:paraId="38165758" w14:textId="575F382C" w:rsidR="004A6CD4" w:rsidRPr="00795F17" w:rsidRDefault="004A6CD4" w:rsidP="0077358D">
            <w:pPr>
              <w:pStyle w:val="Teksttabelisrodek"/>
            </w:pPr>
            <w:r w:rsidRPr="00795F17">
              <w:t>IV kw. 2018</w:t>
            </w:r>
            <w:r w:rsidR="00C440E2">
              <w:t xml:space="preserve"> r.</w:t>
            </w:r>
          </w:p>
        </w:tc>
        <w:tc>
          <w:tcPr>
            <w:tcW w:w="911" w:type="pct"/>
            <w:noWrap/>
            <w:hideMark/>
          </w:tcPr>
          <w:p w14:paraId="4C219705" w14:textId="77777777" w:rsidR="004A6CD4" w:rsidRPr="00795F17" w:rsidRDefault="004A6CD4" w:rsidP="0077358D">
            <w:pPr>
              <w:pStyle w:val="Teksttabelisrodek"/>
            </w:pPr>
            <w:r w:rsidRPr="00795F17">
              <w:t xml:space="preserve">nie zrealizowano; zmiana podstawy prawnej </w:t>
            </w:r>
            <w:r w:rsidRPr="00795F17">
              <w:br/>
              <w:t>w 2017 r.</w:t>
            </w:r>
          </w:p>
        </w:tc>
      </w:tr>
      <w:tr w:rsidR="004A6CD4" w:rsidRPr="00795F17" w14:paraId="15D00948" w14:textId="77777777" w:rsidTr="0077358D">
        <w:trPr>
          <w:trHeight w:val="454"/>
        </w:trPr>
        <w:tc>
          <w:tcPr>
            <w:tcW w:w="310" w:type="pct"/>
            <w:noWrap/>
            <w:hideMark/>
          </w:tcPr>
          <w:p w14:paraId="31C0AA85" w14:textId="77777777" w:rsidR="004A6CD4" w:rsidRPr="00795F17" w:rsidRDefault="004A6CD4" w:rsidP="0077358D">
            <w:pPr>
              <w:pStyle w:val="Teksttabelisrodek"/>
            </w:pPr>
            <w:r w:rsidRPr="00795F17">
              <w:t>3.</w:t>
            </w:r>
          </w:p>
        </w:tc>
        <w:tc>
          <w:tcPr>
            <w:tcW w:w="1957" w:type="pct"/>
            <w:hideMark/>
          </w:tcPr>
          <w:p w14:paraId="475A8655" w14:textId="77777777" w:rsidR="004A6CD4" w:rsidRPr="00795F17" w:rsidRDefault="004A6CD4" w:rsidP="0077358D">
            <w:pPr>
              <w:pStyle w:val="Teksttabelilewy"/>
            </w:pPr>
            <w:r w:rsidRPr="00795F17">
              <w:t>Weryfikacja sposobu oceny potencjału ekologicznego dla SZCW i SCW</w:t>
            </w:r>
          </w:p>
        </w:tc>
        <w:tc>
          <w:tcPr>
            <w:tcW w:w="911" w:type="pct"/>
            <w:hideMark/>
          </w:tcPr>
          <w:p w14:paraId="76E058CC" w14:textId="77777777" w:rsidR="004A6CD4" w:rsidRPr="00795F17" w:rsidRDefault="004A6CD4" w:rsidP="0077358D">
            <w:pPr>
              <w:pStyle w:val="Teksttabelisrodek"/>
            </w:pPr>
            <w:r w:rsidRPr="00795F17">
              <w:t>Minister Środowiska</w:t>
            </w:r>
          </w:p>
        </w:tc>
        <w:tc>
          <w:tcPr>
            <w:tcW w:w="911" w:type="pct"/>
            <w:noWrap/>
            <w:hideMark/>
          </w:tcPr>
          <w:p w14:paraId="17BB75DC" w14:textId="7190D533" w:rsidR="004A6CD4" w:rsidRPr="00795F17" w:rsidRDefault="004A6CD4" w:rsidP="0077358D">
            <w:pPr>
              <w:pStyle w:val="Teksttabelisrodek"/>
            </w:pPr>
            <w:r w:rsidRPr="00795F17">
              <w:t>IV kw. 2021</w:t>
            </w:r>
            <w:r w:rsidR="00C440E2">
              <w:t xml:space="preserve"> r.</w:t>
            </w:r>
          </w:p>
        </w:tc>
        <w:tc>
          <w:tcPr>
            <w:tcW w:w="911" w:type="pct"/>
            <w:noWrap/>
            <w:hideMark/>
          </w:tcPr>
          <w:p w14:paraId="0DA53432" w14:textId="77777777" w:rsidR="004A6CD4" w:rsidRPr="00795F17" w:rsidRDefault="004A6CD4" w:rsidP="0077358D">
            <w:pPr>
              <w:pStyle w:val="Teksttabelisrodek"/>
            </w:pPr>
            <w:r w:rsidRPr="00795F17">
              <w:t>zrealizowano</w:t>
            </w:r>
          </w:p>
        </w:tc>
      </w:tr>
      <w:tr w:rsidR="004A6CD4" w:rsidRPr="00795F17" w14:paraId="788E8BC6" w14:textId="77777777" w:rsidTr="0077358D">
        <w:trPr>
          <w:trHeight w:val="454"/>
        </w:trPr>
        <w:tc>
          <w:tcPr>
            <w:tcW w:w="310" w:type="pct"/>
            <w:noWrap/>
            <w:hideMark/>
          </w:tcPr>
          <w:p w14:paraId="6900BB96" w14:textId="77777777" w:rsidR="004A6CD4" w:rsidRPr="00795F17" w:rsidRDefault="004A6CD4" w:rsidP="0077358D">
            <w:pPr>
              <w:pStyle w:val="Teksttabelisrodek"/>
            </w:pPr>
            <w:r w:rsidRPr="00795F17">
              <w:t>4.</w:t>
            </w:r>
          </w:p>
        </w:tc>
        <w:tc>
          <w:tcPr>
            <w:tcW w:w="1957" w:type="pct"/>
            <w:hideMark/>
          </w:tcPr>
          <w:p w14:paraId="5C295EAE" w14:textId="77777777" w:rsidR="004A6CD4" w:rsidRPr="00795F17" w:rsidRDefault="004A6CD4" w:rsidP="0077358D">
            <w:pPr>
              <w:pStyle w:val="Teksttabelilewy"/>
            </w:pPr>
            <w:r w:rsidRPr="00795F17">
              <w:t>Opracowanie Kodeksu Dobrej Praktyki wędkarskiej regulujących m.in. stosowanie zanęt</w:t>
            </w:r>
          </w:p>
        </w:tc>
        <w:tc>
          <w:tcPr>
            <w:tcW w:w="911" w:type="pct"/>
            <w:hideMark/>
          </w:tcPr>
          <w:p w14:paraId="3A221659" w14:textId="77777777" w:rsidR="004A6CD4" w:rsidRPr="00795F17" w:rsidRDefault="004A6CD4" w:rsidP="0077358D">
            <w:pPr>
              <w:pStyle w:val="Teksttabelisrodek"/>
            </w:pPr>
            <w:r w:rsidRPr="00795F17">
              <w:t>Minister Rolnictwa i Rozwoju Wsi, Minister Środowiska</w:t>
            </w:r>
          </w:p>
        </w:tc>
        <w:tc>
          <w:tcPr>
            <w:tcW w:w="911" w:type="pct"/>
            <w:noWrap/>
            <w:hideMark/>
          </w:tcPr>
          <w:p w14:paraId="48C025B4" w14:textId="0A2D32B1" w:rsidR="004A6CD4" w:rsidRPr="00795F17" w:rsidRDefault="004A6CD4" w:rsidP="0077358D">
            <w:pPr>
              <w:pStyle w:val="Teksttabelisrodek"/>
            </w:pPr>
            <w:r w:rsidRPr="00795F17">
              <w:t>IV kw. 2018</w:t>
            </w:r>
            <w:r w:rsidR="00C440E2">
              <w:t xml:space="preserve"> r.</w:t>
            </w:r>
          </w:p>
        </w:tc>
        <w:tc>
          <w:tcPr>
            <w:tcW w:w="911" w:type="pct"/>
            <w:noWrap/>
            <w:hideMark/>
          </w:tcPr>
          <w:p w14:paraId="0E734E46" w14:textId="77777777" w:rsidR="004A6CD4" w:rsidRPr="00795F17" w:rsidRDefault="004A6CD4" w:rsidP="0077358D">
            <w:pPr>
              <w:pStyle w:val="Teksttabelisrodek"/>
            </w:pPr>
            <w:r w:rsidRPr="00795F17">
              <w:t>nie zrealizowano</w:t>
            </w:r>
          </w:p>
        </w:tc>
      </w:tr>
      <w:tr w:rsidR="004A6CD4" w:rsidRPr="00795F17" w14:paraId="7CCB362E" w14:textId="77777777" w:rsidTr="0077358D">
        <w:trPr>
          <w:trHeight w:val="454"/>
        </w:trPr>
        <w:tc>
          <w:tcPr>
            <w:tcW w:w="310" w:type="pct"/>
            <w:noWrap/>
            <w:hideMark/>
          </w:tcPr>
          <w:p w14:paraId="0F951B8D" w14:textId="77777777" w:rsidR="004A6CD4" w:rsidRPr="00795F17" w:rsidRDefault="004A6CD4" w:rsidP="0077358D">
            <w:pPr>
              <w:pStyle w:val="Teksttabelisrodek"/>
            </w:pPr>
            <w:r w:rsidRPr="00795F17">
              <w:t>5.</w:t>
            </w:r>
          </w:p>
        </w:tc>
        <w:tc>
          <w:tcPr>
            <w:tcW w:w="1957" w:type="pct"/>
            <w:hideMark/>
          </w:tcPr>
          <w:p w14:paraId="664EA3FF" w14:textId="77777777" w:rsidR="004A6CD4" w:rsidRPr="00795F17" w:rsidRDefault="004A6CD4" w:rsidP="0077358D">
            <w:pPr>
              <w:pStyle w:val="Teksttabelilewy"/>
            </w:pPr>
            <w:r w:rsidRPr="00795F17">
              <w:t>Przygotowanie dobrych praktyk dotyczących ochrony środowiska wodnego przy zrzucie wody ze stawów hodowlanych w celu wsparcia merytorycznego dla inwestorów oraz organów wydających decyzje administracyjne</w:t>
            </w:r>
          </w:p>
        </w:tc>
        <w:tc>
          <w:tcPr>
            <w:tcW w:w="911" w:type="pct"/>
            <w:hideMark/>
          </w:tcPr>
          <w:p w14:paraId="71F65B2E" w14:textId="77777777" w:rsidR="004A6CD4" w:rsidRPr="00795F17" w:rsidRDefault="004A6CD4" w:rsidP="0077358D">
            <w:pPr>
              <w:pStyle w:val="Teksttabelisrodek"/>
            </w:pPr>
            <w:r w:rsidRPr="00795F17">
              <w:t>Minister Rolnictwa i Rozwoju Wsi, Minister Środowiska</w:t>
            </w:r>
          </w:p>
        </w:tc>
        <w:tc>
          <w:tcPr>
            <w:tcW w:w="911" w:type="pct"/>
            <w:noWrap/>
            <w:hideMark/>
          </w:tcPr>
          <w:p w14:paraId="1314E2FC" w14:textId="69AE3161" w:rsidR="004A6CD4" w:rsidRPr="00795F17" w:rsidRDefault="004A6CD4" w:rsidP="0077358D">
            <w:pPr>
              <w:pStyle w:val="Teksttabelisrodek"/>
            </w:pPr>
            <w:r w:rsidRPr="00795F17">
              <w:t>IV kw. 2018</w:t>
            </w:r>
            <w:r w:rsidR="00C440E2">
              <w:t xml:space="preserve"> r.</w:t>
            </w:r>
          </w:p>
        </w:tc>
        <w:tc>
          <w:tcPr>
            <w:tcW w:w="911" w:type="pct"/>
            <w:noWrap/>
            <w:hideMark/>
          </w:tcPr>
          <w:p w14:paraId="235486FC" w14:textId="77777777" w:rsidR="004A6CD4" w:rsidRPr="00795F17" w:rsidRDefault="004A6CD4" w:rsidP="0077358D">
            <w:pPr>
              <w:pStyle w:val="Teksttabelisrodek"/>
            </w:pPr>
            <w:r w:rsidRPr="00795F17">
              <w:t>zrealizowano</w:t>
            </w:r>
          </w:p>
        </w:tc>
      </w:tr>
      <w:tr w:rsidR="004A6CD4" w:rsidRPr="00795F17" w14:paraId="0E0D4093" w14:textId="77777777" w:rsidTr="0077358D">
        <w:trPr>
          <w:trHeight w:val="454"/>
        </w:trPr>
        <w:tc>
          <w:tcPr>
            <w:tcW w:w="310" w:type="pct"/>
            <w:noWrap/>
            <w:hideMark/>
          </w:tcPr>
          <w:p w14:paraId="1AEA6B3D" w14:textId="77777777" w:rsidR="004A6CD4" w:rsidRPr="00795F17" w:rsidRDefault="004A6CD4" w:rsidP="0077358D">
            <w:pPr>
              <w:pStyle w:val="Teksttabelisrodek"/>
            </w:pPr>
            <w:r w:rsidRPr="00795F17">
              <w:t>6.</w:t>
            </w:r>
          </w:p>
        </w:tc>
        <w:tc>
          <w:tcPr>
            <w:tcW w:w="1957" w:type="pct"/>
            <w:hideMark/>
          </w:tcPr>
          <w:p w14:paraId="2E20C59F" w14:textId="77777777" w:rsidR="004A6CD4" w:rsidRPr="00795F17" w:rsidRDefault="004A6CD4" w:rsidP="0077358D">
            <w:pPr>
              <w:pStyle w:val="Teksttabelilewy"/>
            </w:pPr>
            <w:r w:rsidRPr="00795F17">
              <w:t>Opracowanie dobrych praktyk w zakresie robót hydrotechnicznych i prac utrzymaniowych wraz z ustaleniem zasad ich wdrażania</w:t>
            </w:r>
          </w:p>
        </w:tc>
        <w:tc>
          <w:tcPr>
            <w:tcW w:w="911" w:type="pct"/>
            <w:noWrap/>
            <w:hideMark/>
          </w:tcPr>
          <w:p w14:paraId="3A4A4306" w14:textId="77777777" w:rsidR="004A6CD4" w:rsidRPr="00795F17" w:rsidRDefault="004A6CD4" w:rsidP="0077358D">
            <w:pPr>
              <w:pStyle w:val="Teksttabelisrodek"/>
            </w:pPr>
            <w:r w:rsidRPr="00795F17">
              <w:t>Minister Środowiska</w:t>
            </w:r>
          </w:p>
        </w:tc>
        <w:tc>
          <w:tcPr>
            <w:tcW w:w="911" w:type="pct"/>
            <w:noWrap/>
            <w:hideMark/>
          </w:tcPr>
          <w:p w14:paraId="4DFA03FD" w14:textId="17654F46" w:rsidR="004A6CD4" w:rsidRPr="00795F17" w:rsidRDefault="004A6CD4" w:rsidP="0077358D">
            <w:pPr>
              <w:pStyle w:val="Teksttabelisrodek"/>
            </w:pPr>
            <w:r w:rsidRPr="00795F17">
              <w:t>IV kw. 2018</w:t>
            </w:r>
            <w:r w:rsidR="00C440E2">
              <w:t xml:space="preserve"> r.</w:t>
            </w:r>
          </w:p>
        </w:tc>
        <w:tc>
          <w:tcPr>
            <w:tcW w:w="911" w:type="pct"/>
            <w:noWrap/>
            <w:hideMark/>
          </w:tcPr>
          <w:p w14:paraId="0B77CD57" w14:textId="77777777" w:rsidR="004A6CD4" w:rsidRPr="00795F17" w:rsidRDefault="004A6CD4" w:rsidP="0077358D">
            <w:pPr>
              <w:pStyle w:val="Teksttabelisrodek"/>
            </w:pPr>
            <w:r w:rsidRPr="00795F17">
              <w:t>zrealizowano</w:t>
            </w:r>
          </w:p>
        </w:tc>
      </w:tr>
      <w:tr w:rsidR="004A6CD4" w:rsidRPr="00795F17" w14:paraId="6B5075EB" w14:textId="77777777" w:rsidTr="0077358D">
        <w:trPr>
          <w:trHeight w:val="454"/>
        </w:trPr>
        <w:tc>
          <w:tcPr>
            <w:tcW w:w="310" w:type="pct"/>
            <w:noWrap/>
            <w:hideMark/>
          </w:tcPr>
          <w:p w14:paraId="2D730332" w14:textId="77777777" w:rsidR="004A6CD4" w:rsidRPr="00795F17" w:rsidRDefault="004A6CD4" w:rsidP="0077358D">
            <w:pPr>
              <w:pStyle w:val="Teksttabelisrodek"/>
            </w:pPr>
            <w:r w:rsidRPr="00795F17">
              <w:t>7.</w:t>
            </w:r>
          </w:p>
        </w:tc>
        <w:tc>
          <w:tcPr>
            <w:tcW w:w="1957" w:type="pct"/>
            <w:hideMark/>
          </w:tcPr>
          <w:p w14:paraId="304E6D0E" w14:textId="77777777" w:rsidR="004A6CD4" w:rsidRPr="00795F17" w:rsidRDefault="004A6CD4" w:rsidP="0077358D">
            <w:pPr>
              <w:pStyle w:val="Teksttabelilewy"/>
            </w:pPr>
            <w:r w:rsidRPr="00795F17">
              <w:t>Opracowanie krajowego programu renaturyzacji wód powierzchniowych</w:t>
            </w:r>
          </w:p>
        </w:tc>
        <w:tc>
          <w:tcPr>
            <w:tcW w:w="911" w:type="pct"/>
            <w:noWrap/>
            <w:hideMark/>
          </w:tcPr>
          <w:p w14:paraId="4BBA8E66" w14:textId="77777777" w:rsidR="004A6CD4" w:rsidRPr="00795F17" w:rsidRDefault="004A6CD4" w:rsidP="0077358D">
            <w:pPr>
              <w:pStyle w:val="Teksttabelisrodek"/>
            </w:pPr>
            <w:r w:rsidRPr="00795F17">
              <w:t>Prezes KZGW</w:t>
            </w:r>
          </w:p>
        </w:tc>
        <w:tc>
          <w:tcPr>
            <w:tcW w:w="911" w:type="pct"/>
            <w:noWrap/>
            <w:hideMark/>
          </w:tcPr>
          <w:p w14:paraId="4EF5B080" w14:textId="424ED3AB" w:rsidR="004A6CD4" w:rsidRPr="00795F17" w:rsidRDefault="004A6CD4" w:rsidP="0077358D">
            <w:pPr>
              <w:pStyle w:val="Teksttabelisrodek"/>
            </w:pPr>
            <w:r w:rsidRPr="00795F17">
              <w:t>IV kw. 2021</w:t>
            </w:r>
            <w:r w:rsidR="00C440E2">
              <w:t xml:space="preserve"> r.</w:t>
            </w:r>
          </w:p>
        </w:tc>
        <w:tc>
          <w:tcPr>
            <w:tcW w:w="911" w:type="pct"/>
            <w:noWrap/>
            <w:hideMark/>
          </w:tcPr>
          <w:p w14:paraId="42810959" w14:textId="77777777" w:rsidR="004A6CD4" w:rsidRPr="00795F17" w:rsidRDefault="004A6CD4" w:rsidP="0077358D">
            <w:pPr>
              <w:pStyle w:val="Teksttabelisrodek"/>
            </w:pPr>
            <w:r w:rsidRPr="00795F17">
              <w:t>zrealizowano</w:t>
            </w:r>
          </w:p>
        </w:tc>
      </w:tr>
    </w:tbl>
    <w:p w14:paraId="08C8A95E" w14:textId="77777777" w:rsidR="004A6CD4" w:rsidRPr="00795F17" w:rsidRDefault="004A6CD4" w:rsidP="004A6CD4">
      <w:pPr>
        <w:pStyle w:val="rdo"/>
        <w:rPr>
          <w:color w:val="4472C4"/>
        </w:rPr>
      </w:pPr>
      <w:r w:rsidRPr="00795F17">
        <w:t>Źródło: opracowanie własne</w:t>
      </w:r>
    </w:p>
    <w:p w14:paraId="40050593" w14:textId="0905D68E" w:rsidR="007A047F" w:rsidRPr="00795F17" w:rsidRDefault="004A6CD4" w:rsidP="004A6CD4">
      <w:pPr>
        <w:rPr>
          <w:rFonts w:cstheme="minorHAnsi"/>
        </w:rPr>
      </w:pPr>
      <w:r w:rsidRPr="00795F17">
        <w:rPr>
          <w:rFonts w:cstheme="minorHAnsi"/>
        </w:rPr>
        <w:t>Spośród zidentyfikowanych 7 działań z</w:t>
      </w:r>
      <w:r w:rsidR="0077358D" w:rsidRPr="00795F17">
        <w:rPr>
          <w:rFonts w:cstheme="minorHAnsi"/>
        </w:rPr>
        <w:t xml:space="preserve"> </w:t>
      </w:r>
      <w:r w:rsidRPr="00795F17">
        <w:rPr>
          <w:rFonts w:cstheme="minorHAnsi"/>
        </w:rPr>
        <w:t>określonym terminem realizacji, zrealizowano 5 z</w:t>
      </w:r>
      <w:r w:rsidR="0077358D" w:rsidRPr="00795F17">
        <w:rPr>
          <w:rFonts w:cstheme="minorHAnsi"/>
        </w:rPr>
        <w:t xml:space="preserve"> </w:t>
      </w:r>
      <w:r w:rsidRPr="00795F17">
        <w:rPr>
          <w:rFonts w:cstheme="minorHAnsi"/>
        </w:rPr>
        <w:t>nich</w:t>
      </w:r>
      <w:r w:rsidR="0077358D" w:rsidRPr="00795F17">
        <w:rPr>
          <w:rFonts w:cstheme="minorHAnsi"/>
        </w:rPr>
        <w:t>,</w:t>
      </w:r>
      <w:r w:rsidRPr="00795F17">
        <w:rPr>
          <w:rFonts w:cstheme="minorHAnsi"/>
        </w:rPr>
        <w:t xml:space="preserve"> co</w:t>
      </w:r>
      <w:r w:rsidR="0077358D" w:rsidRPr="00795F17">
        <w:rPr>
          <w:rFonts w:cstheme="minorHAnsi"/>
        </w:rPr>
        <w:t> </w:t>
      </w:r>
      <w:r w:rsidRPr="00795F17">
        <w:rPr>
          <w:rFonts w:cstheme="minorHAnsi"/>
        </w:rPr>
        <w:t xml:space="preserve">stanowi 71% wszystkich działań </w:t>
      </w:r>
      <w:r w:rsidR="0047162A">
        <w:rPr>
          <w:rFonts w:cstheme="minorHAnsi"/>
        </w:rPr>
        <w:t xml:space="preserve">katalogu działań krajowych </w:t>
      </w:r>
      <w:r w:rsidRPr="00795F17">
        <w:rPr>
          <w:rFonts w:cstheme="minorHAnsi"/>
        </w:rPr>
        <w:t>z</w:t>
      </w:r>
      <w:r w:rsidR="0077358D" w:rsidRPr="00795F17">
        <w:rPr>
          <w:rFonts w:cstheme="minorHAnsi"/>
        </w:rPr>
        <w:t xml:space="preserve"> </w:t>
      </w:r>
      <w:r w:rsidRPr="00795F17">
        <w:rPr>
          <w:rFonts w:cstheme="minorHAnsi"/>
        </w:rPr>
        <w:t>określonym terminem realizacji (wykres 10-</w:t>
      </w:r>
      <w:r w:rsidR="00CC13DE">
        <w:rPr>
          <w:rFonts w:cstheme="minorHAnsi"/>
        </w:rPr>
        <w:t xml:space="preserve">1 i </w:t>
      </w:r>
      <w:r w:rsidR="00524DA0">
        <w:rPr>
          <w:rFonts w:cstheme="minorHAnsi"/>
        </w:rPr>
        <w:t xml:space="preserve">wykres </w:t>
      </w:r>
      <w:r w:rsidR="00CC13DE">
        <w:rPr>
          <w:rFonts w:cstheme="minorHAnsi"/>
        </w:rPr>
        <w:t>10-2</w:t>
      </w:r>
      <w:r w:rsidRPr="00795F17">
        <w:rPr>
          <w:rFonts w:cstheme="minorHAnsi"/>
        </w:rPr>
        <w:t>).</w:t>
      </w:r>
    </w:p>
    <w:p w14:paraId="15162B55" w14:textId="153E462B" w:rsidR="004A6CD4" w:rsidRPr="00795F17" w:rsidRDefault="004A6CD4" w:rsidP="004A6CD4">
      <w:pPr>
        <w:rPr>
          <w:rFonts w:cstheme="minorHAnsi"/>
        </w:rPr>
      </w:pPr>
      <w:r w:rsidRPr="00795F17">
        <w:rPr>
          <w:rFonts w:cstheme="minorHAnsi"/>
        </w:rPr>
        <w:t xml:space="preserve">Wskazany w przypadku działania: </w:t>
      </w:r>
      <w:r w:rsidRPr="00795F17">
        <w:rPr>
          <w:rFonts w:cstheme="minorHAnsi"/>
          <w:color w:val="000000"/>
        </w:rPr>
        <w:t>Obowiązek opracowania i</w:t>
      </w:r>
      <w:r w:rsidR="0077358D" w:rsidRPr="00795F17">
        <w:rPr>
          <w:rFonts w:cstheme="minorHAnsi"/>
          <w:color w:val="000000"/>
        </w:rPr>
        <w:t xml:space="preserve"> </w:t>
      </w:r>
      <w:r w:rsidRPr="00795F17">
        <w:rPr>
          <w:rFonts w:cstheme="minorHAnsi"/>
          <w:color w:val="000000"/>
        </w:rPr>
        <w:t>weryfikacji warunków korzystania z</w:t>
      </w:r>
      <w:r w:rsidR="0077358D" w:rsidRPr="00795F17">
        <w:rPr>
          <w:rFonts w:cstheme="minorHAnsi"/>
          <w:color w:val="000000"/>
        </w:rPr>
        <w:t xml:space="preserve"> </w:t>
      </w:r>
      <w:r w:rsidRPr="00795F17">
        <w:rPr>
          <w:rFonts w:cstheme="minorHAnsi"/>
          <w:color w:val="000000"/>
        </w:rPr>
        <w:t>wód regionu, jako aktu prawa miejscowego wspomagającego osiągnięcie celów środowiskowych</w:t>
      </w:r>
      <w:r w:rsidRPr="00795F17">
        <w:rPr>
          <w:rFonts w:cstheme="minorHAnsi"/>
        </w:rPr>
        <w:t xml:space="preserve">, zróżnicowany stopień realizacji, wynika ze zmiany </w:t>
      </w:r>
      <w:r w:rsidR="008C5E88">
        <w:rPr>
          <w:rFonts w:cstheme="minorHAnsi"/>
        </w:rPr>
        <w:t>postanowień</w:t>
      </w:r>
      <w:r w:rsidRPr="00795F17">
        <w:rPr>
          <w:rFonts w:cstheme="minorHAnsi"/>
        </w:rPr>
        <w:t xml:space="preserve"> w pr.w., która nie</w:t>
      </w:r>
      <w:r w:rsidR="00DC1C81">
        <w:rPr>
          <w:rFonts w:cstheme="minorHAnsi"/>
        </w:rPr>
        <w:t> </w:t>
      </w:r>
      <w:r w:rsidRPr="00795F17">
        <w:rPr>
          <w:rFonts w:cstheme="minorHAnsi"/>
        </w:rPr>
        <w:t>przewiduje wydawania przez dyrektorów RZGW WP rozporządzeń ustalających warunki korzystania z</w:t>
      </w:r>
      <w:r w:rsidR="00FF4FE6">
        <w:rPr>
          <w:rFonts w:cstheme="minorHAnsi"/>
        </w:rPr>
        <w:t> </w:t>
      </w:r>
      <w:r w:rsidRPr="00795F17">
        <w:rPr>
          <w:rFonts w:cstheme="minorHAnsi"/>
        </w:rPr>
        <w:t>wód. Rozporządzenia, zgodnie z zapisami aPWŚK stanowią efekt rzeczowy działania, którego realizacja w</w:t>
      </w:r>
      <w:r w:rsidR="0077358D" w:rsidRPr="00795F17">
        <w:rPr>
          <w:rFonts w:cstheme="minorHAnsi"/>
        </w:rPr>
        <w:t> </w:t>
      </w:r>
      <w:r w:rsidRPr="00795F17">
        <w:rPr>
          <w:rFonts w:cstheme="minorHAnsi"/>
        </w:rPr>
        <w:t>tym kontekście stała się bezprzedmiotowa.</w:t>
      </w:r>
      <w:r w:rsidR="00DE749C">
        <w:rPr>
          <w:rFonts w:cstheme="minorHAnsi"/>
        </w:rPr>
        <w:t xml:space="preserve"> </w:t>
      </w:r>
    </w:p>
    <w:p w14:paraId="39F1154F" w14:textId="10D9BDF8" w:rsidR="004A6CD4" w:rsidRPr="003D121A" w:rsidRDefault="00445120" w:rsidP="003D121A">
      <w:pPr>
        <w:jc w:val="center"/>
      </w:pPr>
      <w:r>
        <w:rPr>
          <w:noProof/>
        </w:rPr>
        <w:drawing>
          <wp:inline distT="0" distB="0" distL="0" distR="0" wp14:anchorId="0C598D3E" wp14:editId="628C3533">
            <wp:extent cx="4460631" cy="2497016"/>
            <wp:effectExtent l="0" t="0" r="16510" b="17780"/>
            <wp:docPr id="7" name="Wykres 7">
              <a:extLst xmlns:a="http://schemas.openxmlformats.org/drawingml/2006/main">
                <a:ext uri="{FF2B5EF4-FFF2-40B4-BE49-F238E27FC236}">
                  <a16:creationId xmlns:a16="http://schemas.microsoft.com/office/drawing/2014/main" id="{81A0DB2B-549D-47BB-A184-6B107BEE3C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70CB5BCD" w14:textId="0B27DFF7" w:rsidR="004A6CD4" w:rsidRPr="00795F17" w:rsidRDefault="004A6CD4" w:rsidP="00B479EE">
      <w:pPr>
        <w:pStyle w:val="Wykres"/>
      </w:pPr>
      <w:bookmarkStart w:id="537" w:name="_Toc105513003"/>
      <w:r w:rsidRPr="00795F17">
        <w:t xml:space="preserve">Wykres </w:t>
      </w:r>
      <w:fldSimple w:instr=" STYLEREF 1 \s ">
        <w:r w:rsidR="001F774D">
          <w:rPr>
            <w:noProof/>
          </w:rPr>
          <w:t>10</w:t>
        </w:r>
      </w:fldSimple>
      <w:r w:rsidR="00FF20D3">
        <w:noBreakHyphen/>
      </w:r>
      <w:fldSimple w:instr=" SEQ Wykres \* ARABIC \s 1 ">
        <w:r w:rsidR="001F774D">
          <w:rPr>
            <w:noProof/>
          </w:rPr>
          <w:t>1</w:t>
        </w:r>
      </w:fldSimple>
      <w:r w:rsidR="00A2734E">
        <w:rPr>
          <w:noProof/>
        </w:rPr>
        <w:t>.</w:t>
      </w:r>
      <w:r w:rsidRPr="00795F17">
        <w:tab/>
        <w:t>Udział działań krajowych z</w:t>
      </w:r>
      <w:r w:rsidR="0077358D" w:rsidRPr="00795F17">
        <w:t xml:space="preserve"> </w:t>
      </w:r>
      <w:r w:rsidRPr="00795F17">
        <w:t>określonym terminem realizacji (aPGW)</w:t>
      </w:r>
      <w:bookmarkEnd w:id="537"/>
      <w:r w:rsidRPr="00795F17">
        <w:t xml:space="preserve"> </w:t>
      </w:r>
    </w:p>
    <w:p w14:paraId="448DBB16" w14:textId="7249DEC8" w:rsidR="004A6CD4" w:rsidRPr="00795F17" w:rsidRDefault="004A6CD4" w:rsidP="0077358D">
      <w:pPr>
        <w:pStyle w:val="rdo"/>
        <w:ind w:left="2268" w:firstLine="1134"/>
      </w:pPr>
      <w:r w:rsidRPr="00795F17">
        <w:t xml:space="preserve">Źródło: opracowanie własne na podstawie Oceny postępu we wdrażaniu programów działań dla </w:t>
      </w:r>
      <w:r w:rsidR="00DF005E">
        <w:t>JCWP</w:t>
      </w:r>
      <w:r w:rsidRPr="00795F17">
        <w:t xml:space="preserve"> i </w:t>
      </w:r>
      <w:r w:rsidR="00DF005E">
        <w:t>JCWP</w:t>
      </w:r>
      <w:r w:rsidRPr="00795F17">
        <w:t>d wynikających z aPWŚK (2018)</w:t>
      </w:r>
    </w:p>
    <w:p w14:paraId="0C4F1F53" w14:textId="77777777" w:rsidR="004A6CD4" w:rsidRPr="00795F17" w:rsidRDefault="004A6CD4" w:rsidP="004A6CD4">
      <w:pPr>
        <w:jc w:val="center"/>
      </w:pPr>
      <w:r w:rsidRPr="00795F17">
        <w:rPr>
          <w:noProof/>
        </w:rPr>
        <w:drawing>
          <wp:inline distT="0" distB="0" distL="0" distR="0" wp14:anchorId="2B914119" wp14:editId="72B0C2B0">
            <wp:extent cx="4010400" cy="2340000"/>
            <wp:effectExtent l="0" t="0" r="9525" b="3175"/>
            <wp:docPr id="1866059346" name="Wykres 1866059346">
              <a:extLst xmlns:a="http://schemas.openxmlformats.org/drawingml/2006/main">
                <a:ext uri="{FF2B5EF4-FFF2-40B4-BE49-F238E27FC236}">
                  <a16:creationId xmlns:a16="http://schemas.microsoft.com/office/drawing/2014/main" id="{C154F5BF-10C2-489B-8316-956345FCDE8B}"/>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2716EF2" w14:textId="13C7C898" w:rsidR="004A6CD4" w:rsidRPr="00795F17" w:rsidRDefault="004A6CD4" w:rsidP="00B479EE">
      <w:pPr>
        <w:pStyle w:val="Wykres"/>
      </w:pPr>
      <w:bookmarkStart w:id="538" w:name="_Toc67505444"/>
      <w:bookmarkStart w:id="539" w:name="_Toc105513004"/>
      <w:r w:rsidRPr="00795F17">
        <w:t xml:space="preserve">Wykres </w:t>
      </w:r>
      <w:fldSimple w:instr=" STYLEREF 1 \s ">
        <w:r w:rsidR="001F774D">
          <w:rPr>
            <w:noProof/>
          </w:rPr>
          <w:t>10</w:t>
        </w:r>
      </w:fldSimple>
      <w:r w:rsidR="00FF20D3">
        <w:noBreakHyphen/>
      </w:r>
      <w:fldSimple w:instr=" SEQ Wykres \* ARABIC \s 1 ">
        <w:r w:rsidR="001F774D">
          <w:rPr>
            <w:noProof/>
          </w:rPr>
          <w:t>2</w:t>
        </w:r>
      </w:fldSimple>
      <w:r w:rsidR="00A2734E">
        <w:rPr>
          <w:noProof/>
        </w:rPr>
        <w:t>.</w:t>
      </w:r>
      <w:r w:rsidRPr="00795F17">
        <w:tab/>
        <w:t>Stan realizacji działań krajowych ze wskazanym terminem realizacji (aPGW)</w:t>
      </w:r>
      <w:bookmarkEnd w:id="538"/>
      <w:bookmarkEnd w:id="539"/>
    </w:p>
    <w:p w14:paraId="64BA11CE" w14:textId="4906842D" w:rsidR="004A6CD4" w:rsidRPr="00795F17" w:rsidRDefault="004A6CD4" w:rsidP="00583E3B">
      <w:pPr>
        <w:pStyle w:val="rdo"/>
        <w:ind w:left="2268" w:firstLine="1134"/>
      </w:pPr>
      <w:r w:rsidRPr="00795F17">
        <w:t xml:space="preserve">Źródło: opracowanie własne na podstawie Oceny postępu we wdrażaniu programów działań dla </w:t>
      </w:r>
      <w:r w:rsidR="00DF005E">
        <w:t>JCWP</w:t>
      </w:r>
      <w:r w:rsidRPr="00795F17">
        <w:t xml:space="preserve"> i </w:t>
      </w:r>
      <w:r w:rsidR="00DF005E">
        <w:t>JCWP</w:t>
      </w:r>
      <w:r w:rsidRPr="00795F17">
        <w:t>d wynikających z aPWŚK (2018)</w:t>
      </w:r>
    </w:p>
    <w:p w14:paraId="7E6E139A" w14:textId="7934978C" w:rsidR="00382740" w:rsidRPr="00795F17" w:rsidRDefault="0061242E" w:rsidP="0044393D">
      <w:r w:rsidRPr="00795F17">
        <w:t>Ogólna liczba działań zaplanowanych do realizacji w cyklu planistycznym 2016</w:t>
      </w:r>
      <w:r w:rsidR="00843864">
        <w:t>–</w:t>
      </w:r>
      <w:r w:rsidRPr="00795F17">
        <w:t>2021 w aPGW wyniosła łącznie ok</w:t>
      </w:r>
      <w:r w:rsidR="00E84F38">
        <w:t xml:space="preserve">oło </w:t>
      </w:r>
      <w:r w:rsidR="00382740" w:rsidRPr="00795F17">
        <w:t xml:space="preserve">25 tys. działań, w tym ponad 82% stanowiły działania dotyczące </w:t>
      </w:r>
      <w:r w:rsidR="00DF005E">
        <w:t>JCWP</w:t>
      </w:r>
      <w:r w:rsidR="00382740" w:rsidRPr="00795F17">
        <w:t xml:space="preserve"> RW. Udział działań poszczególnych kategorii wód w ogólnej liczbie działań aPGW prezentuje poniższy wykres 10-3.</w:t>
      </w:r>
    </w:p>
    <w:p w14:paraId="5FF30722" w14:textId="0A05F22C" w:rsidR="00382740" w:rsidRPr="00795F17" w:rsidRDefault="00D30843" w:rsidP="003D121A">
      <w:pPr>
        <w:jc w:val="center"/>
        <w:rPr>
          <w:rFonts w:cs="Calibri"/>
          <w:color w:val="000000"/>
        </w:rPr>
      </w:pPr>
      <w:r w:rsidRPr="00544887">
        <w:rPr>
          <w:noProof/>
          <w:lang w:eastAsia="pl-PL"/>
        </w:rPr>
        <w:drawing>
          <wp:inline distT="0" distB="0" distL="0" distR="0" wp14:anchorId="2128463F" wp14:editId="211BA492">
            <wp:extent cx="4552950" cy="2686050"/>
            <wp:effectExtent l="0" t="0" r="0" b="0"/>
            <wp:docPr id="225" name="Wykres 225">
              <a:extLst xmlns:a="http://schemas.openxmlformats.org/drawingml/2006/main">
                <a:ext uri="{FF2B5EF4-FFF2-40B4-BE49-F238E27FC236}">
                  <a16:creationId xmlns:a16="http://schemas.microsoft.com/office/drawing/2014/main" id="{F2AFF814-BE75-4164-B444-D2C13D804C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09659DDD" w14:textId="2485A2E9" w:rsidR="00382740" w:rsidRPr="00795F17" w:rsidRDefault="00382740" w:rsidP="00B479EE">
      <w:pPr>
        <w:pStyle w:val="Wykres"/>
        <w:rPr>
          <w:rFonts w:eastAsia="Times New Roman"/>
          <w:i/>
        </w:rPr>
      </w:pPr>
      <w:bookmarkStart w:id="540" w:name="_Toc66305990"/>
      <w:bookmarkStart w:id="541" w:name="_Toc105513005"/>
      <w:r w:rsidRPr="00795F17">
        <w:t xml:space="preserve">Wykres </w:t>
      </w:r>
      <w:fldSimple w:instr=" STYLEREF 1 \s ">
        <w:r w:rsidR="001F774D">
          <w:rPr>
            <w:noProof/>
          </w:rPr>
          <w:t>10</w:t>
        </w:r>
      </w:fldSimple>
      <w:r w:rsidR="00FF20D3">
        <w:noBreakHyphen/>
      </w:r>
      <w:fldSimple w:instr=" SEQ Wykres \* ARABIC \s 1 ">
        <w:r w:rsidR="001F774D">
          <w:rPr>
            <w:noProof/>
          </w:rPr>
          <w:t>3</w:t>
        </w:r>
      </w:fldSimple>
      <w:r w:rsidR="00A2734E">
        <w:rPr>
          <w:noProof/>
        </w:rPr>
        <w:t>.</w:t>
      </w:r>
      <w:r w:rsidRPr="00795F17">
        <w:tab/>
        <w:t>Udział działań zaplanowanych dla poszczególnych kategorii wód w ogólnej liczbie działań aPGW (w skali kraju)</w:t>
      </w:r>
      <w:bookmarkEnd w:id="540"/>
      <w:bookmarkEnd w:id="541"/>
      <w:r w:rsidRPr="00795F17">
        <w:t xml:space="preserve"> </w:t>
      </w:r>
    </w:p>
    <w:p w14:paraId="1A65DA17" w14:textId="00497800" w:rsidR="00382740" w:rsidRPr="00795F17" w:rsidRDefault="00382740" w:rsidP="00325793">
      <w:pPr>
        <w:pStyle w:val="rdo"/>
        <w:ind w:left="2268" w:firstLine="1134"/>
      </w:pPr>
      <w:r w:rsidRPr="00795F17">
        <w:t xml:space="preserve">Źródło: </w:t>
      </w:r>
      <w:r w:rsidR="00FD7248" w:rsidRPr="00795F17">
        <w:t>opracowanie własne</w:t>
      </w:r>
      <w:r w:rsidRPr="00795F17">
        <w:t xml:space="preserve"> na podstawie Oceny postępu we wdrażaniu programów działań dla </w:t>
      </w:r>
      <w:r w:rsidR="00DF005E">
        <w:t>JCWP</w:t>
      </w:r>
      <w:r w:rsidRPr="00795F17">
        <w:t xml:space="preserve"> i </w:t>
      </w:r>
      <w:r w:rsidR="00DF005E">
        <w:t>JCWP</w:t>
      </w:r>
      <w:r w:rsidRPr="00795F17">
        <w:t>d wynikających z aPWŚK (2018)</w:t>
      </w:r>
    </w:p>
    <w:p w14:paraId="5CB73AF3" w14:textId="29669857" w:rsidR="00DA3A8E" w:rsidRDefault="00DA3A8E" w:rsidP="0044393D">
      <w:pPr>
        <w:rPr>
          <w:rFonts w:eastAsia="Times New Roman" w:cs="Calibri"/>
          <w:color w:val="000000"/>
          <w:sz w:val="20"/>
          <w:szCs w:val="20"/>
          <w:lang w:eastAsia="pl-PL"/>
        </w:rPr>
      </w:pPr>
      <w:r w:rsidRPr="002D6624">
        <w:rPr>
          <w:rFonts w:cs="Calibri"/>
          <w:color w:val="000000"/>
        </w:rPr>
        <w:t>Stopień zaawansowania realizacji działań w</w:t>
      </w:r>
      <w:r>
        <w:rPr>
          <w:rFonts w:cs="Calibri"/>
          <w:color w:val="000000"/>
        </w:rPr>
        <w:t> </w:t>
      </w:r>
      <w:r w:rsidRPr="002D6624">
        <w:rPr>
          <w:rFonts w:cs="Calibri"/>
          <w:color w:val="000000"/>
        </w:rPr>
        <w:t>poszczególnych kategoriach wód wyniósł średnio ok</w:t>
      </w:r>
      <w:r w:rsidR="0000508D">
        <w:rPr>
          <w:rFonts w:cs="Calibri"/>
          <w:color w:val="000000"/>
        </w:rPr>
        <w:t>oło</w:t>
      </w:r>
      <w:r w:rsidRPr="002D6624">
        <w:rPr>
          <w:rFonts w:cs="Calibri"/>
          <w:color w:val="000000"/>
        </w:rPr>
        <w:t xml:space="preserve"> 10%.</w:t>
      </w:r>
      <w:r>
        <w:rPr>
          <w:rFonts w:cs="Calibri"/>
          <w:color w:val="000000"/>
        </w:rPr>
        <w:t xml:space="preserve"> </w:t>
      </w:r>
      <w:r w:rsidRPr="00BB556C">
        <w:rPr>
          <w:rFonts w:cs="Calibri"/>
          <w:color w:val="000000"/>
        </w:rPr>
        <w:t xml:space="preserve">Średni stopień zaawansowania realizacji działań w poszczególnych kategoriach odnosi się do uzyskanej informacji co do zaawansowania realizacji w stosunku do wszystkich działań zaplanowanych w aPWŚK (zgodnie z przyjętym sposobem prezentacji danych w opracowaniu </w:t>
      </w:r>
      <w:r w:rsidRPr="00BB556C">
        <w:rPr>
          <w:rFonts w:cs="Calibri"/>
          <w:i/>
          <w:iCs/>
          <w:color w:val="000000"/>
        </w:rPr>
        <w:t>Ocena postępu we wdrażaniu działań (...)</w:t>
      </w:r>
      <w:r w:rsidR="00D57C25">
        <w:rPr>
          <w:rStyle w:val="Odwoanieprzypisudolnego"/>
          <w:i/>
          <w:iCs/>
          <w:color w:val="000000"/>
        </w:rPr>
        <w:footnoteReference w:id="74"/>
      </w:r>
      <w:r>
        <w:rPr>
          <w:rFonts w:cs="Calibri"/>
          <w:i/>
          <w:iCs/>
          <w:color w:val="000000"/>
        </w:rPr>
        <w:t xml:space="preserve">, </w:t>
      </w:r>
      <w:r w:rsidRPr="009269A1">
        <w:rPr>
          <w:rFonts w:cs="Calibri"/>
          <w:color w:val="000000"/>
        </w:rPr>
        <w:t>który</w:t>
      </w:r>
      <w:r>
        <w:rPr>
          <w:rFonts w:cs="Calibri"/>
          <w:color w:val="000000"/>
        </w:rPr>
        <w:t xml:space="preserve"> zakłada włączenie do grupy działań niezrealizowanych również działań dla których nie uzyskano informacji o statusie zaawansowania)</w:t>
      </w:r>
      <w:r>
        <w:rPr>
          <w:rFonts w:cs="Calibri"/>
          <w:i/>
          <w:iCs/>
          <w:color w:val="000000"/>
        </w:rPr>
        <w:t xml:space="preserve">. </w:t>
      </w:r>
      <w:r w:rsidRPr="00BB556C">
        <w:rPr>
          <w:rFonts w:cs="Calibri"/>
          <w:color w:val="000000"/>
        </w:rPr>
        <w:t>Należy zauważyć, że wartość ta jest pesymistycznym szacunkiem stopnia zaawansowania realizacji działań, gdyż w przypadku braku odpowiedzi na ankiety, działania zostały potraktowane jako niezrealizowane</w:t>
      </w:r>
      <w:r>
        <w:rPr>
          <w:rFonts w:cs="Calibri"/>
          <w:color w:val="000000"/>
        </w:rPr>
        <w:t xml:space="preserve"> (uzyskany zwrot ankiet dotyczących działań innych, niż działania krajowe, wyniósł 67</w:t>
      </w:r>
      <w:r w:rsidR="006C0DF0" w:rsidRPr="00F43682">
        <w:rPr>
          <w:rFonts w:cs="Calibri"/>
          <w:color w:val="000000"/>
        </w:rPr>
        <w:t>%</w:t>
      </w:r>
      <w:r w:rsidR="006C0DF0">
        <w:rPr>
          <w:rFonts w:cs="Calibri"/>
          <w:color w:val="000000"/>
        </w:rPr>
        <w:t xml:space="preserve">, </w:t>
      </w:r>
      <w:r w:rsidR="006C0DF0" w:rsidRPr="00F43682">
        <w:rPr>
          <w:rFonts w:cs="Calibri"/>
          <w:color w:val="000000"/>
        </w:rPr>
        <w:t>jednakże analiza ankiet wykazała jednak dość znaczny udział ankiet pustych lub bez podawania konkretnych odpowiedzi). Ponadto średni stopień zaawansowania realizacji działań</w:t>
      </w:r>
      <w:r w:rsidR="00BA6B41">
        <w:rPr>
          <w:rFonts w:cs="Calibri"/>
          <w:color w:val="000000"/>
        </w:rPr>
        <w:t xml:space="preserve"> </w:t>
      </w:r>
      <w:r w:rsidRPr="00BB556C">
        <w:rPr>
          <w:rFonts w:cs="Calibri"/>
          <w:color w:val="000000"/>
        </w:rPr>
        <w:t>nie uwzględnia działań zrealizowanych od 2019</w:t>
      </w:r>
      <w:r w:rsidRPr="00F43682">
        <w:rPr>
          <w:rFonts w:cs="Calibri"/>
          <w:color w:val="000000"/>
        </w:rPr>
        <w:t xml:space="preserve"> r.</w:t>
      </w:r>
      <w:r>
        <w:rPr>
          <w:rFonts w:eastAsia="Times New Roman"/>
          <w:sz w:val="24"/>
          <w:szCs w:val="24"/>
        </w:rPr>
        <w:t xml:space="preserve"> </w:t>
      </w:r>
      <w:r w:rsidR="006C0DF0" w:rsidRPr="00F43682">
        <w:rPr>
          <w:rFonts w:cs="Calibri"/>
          <w:color w:val="000000"/>
        </w:rPr>
        <w:t>Informacje dotyczące stopnia realizacji działań z wyszczególnieniem zastosowanego podziału statusu, przedstawia poniższa tabela (tabela 10-2).</w:t>
      </w:r>
    </w:p>
    <w:p w14:paraId="506C5DAD" w14:textId="14FD83D5" w:rsidR="00382740" w:rsidRPr="00795F17" w:rsidRDefault="00382740" w:rsidP="0044393D">
      <w:pPr>
        <w:rPr>
          <w:lang w:eastAsia="pl-PL"/>
        </w:rPr>
      </w:pPr>
      <w:r w:rsidRPr="00795F17">
        <w:t>Informacje dotyczące stopnia realizacji działań z wyszczególnieniem zastosowanego podziału statusu, przedstawia poniższa tabela.</w:t>
      </w:r>
    </w:p>
    <w:p w14:paraId="68528DF6" w14:textId="4E372AE1" w:rsidR="00382740" w:rsidRPr="00795F17" w:rsidRDefault="00382740" w:rsidP="004D7705">
      <w:pPr>
        <w:pStyle w:val="Tabela"/>
      </w:pPr>
      <w:bookmarkStart w:id="543" w:name="_Toc105512852"/>
      <w:bookmarkStart w:id="544" w:name="_Toc66261843"/>
      <w:bookmarkStart w:id="545" w:name="_Toc66305848"/>
      <w:bookmarkStart w:id="546" w:name="_Toc66341930"/>
      <w:r w:rsidRPr="00795F17">
        <w:t xml:space="preserve">Tabela </w:t>
      </w:r>
      <w:fldSimple w:instr=" STYLEREF 1 \s ">
        <w:r w:rsidR="001F774D">
          <w:rPr>
            <w:noProof/>
          </w:rPr>
          <w:t>10</w:t>
        </w:r>
      </w:fldSimple>
      <w:r w:rsidR="00BB3B21" w:rsidRPr="00795F17">
        <w:noBreakHyphen/>
      </w:r>
      <w:fldSimple w:instr=" SEQ Tabela \* ARABIC \s 1 ">
        <w:r w:rsidR="001F774D">
          <w:rPr>
            <w:noProof/>
          </w:rPr>
          <w:t>2</w:t>
        </w:r>
      </w:fldSimple>
      <w:r w:rsidR="00E76356">
        <w:rPr>
          <w:noProof/>
        </w:rPr>
        <w:t>.</w:t>
      </w:r>
      <w:r w:rsidRPr="00795F17">
        <w:tab/>
        <w:t>Stopień realizacji działań wynikających z aPWŚK</w:t>
      </w:r>
      <w:bookmarkEnd w:id="543"/>
      <w:r w:rsidRPr="00795F17">
        <w:t xml:space="preserve"> </w:t>
      </w:r>
      <w:bookmarkEnd w:id="544"/>
      <w:bookmarkEnd w:id="545"/>
      <w:bookmarkEnd w:id="546"/>
    </w:p>
    <w:tbl>
      <w:tblPr>
        <w:tblStyle w:val="Tabela-Siatka"/>
        <w:tblW w:w="5159" w:type="pct"/>
        <w:jc w:val="center"/>
        <w:tblLook w:val="04A0" w:firstRow="1" w:lastRow="0" w:firstColumn="1" w:lastColumn="0" w:noHBand="0" w:noVBand="1"/>
      </w:tblPr>
      <w:tblGrid>
        <w:gridCol w:w="1428"/>
        <w:gridCol w:w="1188"/>
        <w:gridCol w:w="1088"/>
        <w:gridCol w:w="1088"/>
        <w:gridCol w:w="875"/>
        <w:gridCol w:w="1088"/>
        <w:gridCol w:w="1088"/>
        <w:gridCol w:w="1507"/>
      </w:tblGrid>
      <w:tr w:rsidR="00382740" w:rsidRPr="00795F17" w14:paraId="391813F9" w14:textId="77777777" w:rsidTr="00ED044C">
        <w:trPr>
          <w:cnfStyle w:val="100000000000" w:firstRow="1" w:lastRow="0" w:firstColumn="0" w:lastColumn="0" w:oddVBand="0" w:evenVBand="0" w:oddHBand="0" w:evenHBand="0" w:firstRowFirstColumn="0" w:firstRowLastColumn="0" w:lastRowFirstColumn="0" w:lastRowLastColumn="0"/>
          <w:trHeight w:val="454"/>
          <w:jc w:val="center"/>
        </w:trPr>
        <w:tc>
          <w:tcPr>
            <w:tcW w:w="763" w:type="pct"/>
            <w:vMerge w:val="restart"/>
            <w:tcBorders>
              <w:top w:val="single" w:sz="4" w:space="0" w:color="auto"/>
              <w:left w:val="single" w:sz="4" w:space="0" w:color="auto"/>
              <w:bottom w:val="single" w:sz="4" w:space="0" w:color="auto"/>
              <w:right w:val="single" w:sz="4" w:space="0" w:color="auto"/>
            </w:tcBorders>
            <w:noWrap/>
            <w:hideMark/>
          </w:tcPr>
          <w:p w14:paraId="421D0796" w14:textId="77777777" w:rsidR="00382740" w:rsidRPr="00795F17" w:rsidRDefault="00382740" w:rsidP="0044393D">
            <w:pPr>
              <w:pStyle w:val="Teksttabelinaglowek"/>
              <w:rPr>
                <w:b/>
              </w:rPr>
            </w:pPr>
            <w:r w:rsidRPr="00795F17">
              <w:rPr>
                <w:b/>
              </w:rPr>
              <w:t>Kategoria wód</w:t>
            </w:r>
          </w:p>
        </w:tc>
        <w:tc>
          <w:tcPr>
            <w:tcW w:w="635" w:type="pct"/>
            <w:vMerge w:val="restart"/>
            <w:tcBorders>
              <w:top w:val="single" w:sz="4" w:space="0" w:color="auto"/>
              <w:left w:val="single" w:sz="4" w:space="0" w:color="auto"/>
              <w:bottom w:val="single" w:sz="4" w:space="0" w:color="auto"/>
              <w:right w:val="single" w:sz="4" w:space="0" w:color="auto"/>
            </w:tcBorders>
            <w:hideMark/>
          </w:tcPr>
          <w:p w14:paraId="6EB8CA93" w14:textId="16AE36D7" w:rsidR="00382740" w:rsidRPr="00795F17" w:rsidRDefault="00AC203B" w:rsidP="0044393D">
            <w:pPr>
              <w:pStyle w:val="Teksttabelinaglowek"/>
              <w:rPr>
                <w:b/>
              </w:rPr>
            </w:pPr>
            <w:r>
              <w:rPr>
                <w:b/>
              </w:rPr>
              <w:t>L</w:t>
            </w:r>
            <w:r w:rsidR="00382740" w:rsidRPr="00795F17">
              <w:rPr>
                <w:b/>
              </w:rPr>
              <w:t>iczba działań w</w:t>
            </w:r>
            <w:r w:rsidR="006C35E7">
              <w:rPr>
                <w:b/>
              </w:rPr>
              <w:t> </w:t>
            </w:r>
            <w:r w:rsidR="00382740" w:rsidRPr="00795F17">
              <w:rPr>
                <w:b/>
              </w:rPr>
              <w:t>aPWŚK</w:t>
            </w:r>
          </w:p>
        </w:tc>
        <w:tc>
          <w:tcPr>
            <w:tcW w:w="3602" w:type="pct"/>
            <w:gridSpan w:val="6"/>
            <w:tcBorders>
              <w:top w:val="single" w:sz="4" w:space="0" w:color="auto"/>
              <w:left w:val="single" w:sz="4" w:space="0" w:color="auto"/>
              <w:bottom w:val="single" w:sz="4" w:space="0" w:color="auto"/>
              <w:right w:val="single" w:sz="4" w:space="0" w:color="auto"/>
            </w:tcBorders>
            <w:noWrap/>
            <w:hideMark/>
          </w:tcPr>
          <w:p w14:paraId="42405560" w14:textId="13C9C310" w:rsidR="002C6942" w:rsidRPr="00795F17" w:rsidRDefault="00382740" w:rsidP="00E13AEE">
            <w:pPr>
              <w:pStyle w:val="Teksttabelinaglowek"/>
              <w:rPr>
                <w:b/>
              </w:rPr>
            </w:pPr>
            <w:r w:rsidRPr="00795F17">
              <w:rPr>
                <w:b/>
              </w:rPr>
              <w:t>Stopień realizacji działań wynikających z aPWŚK</w:t>
            </w:r>
            <w:r w:rsidR="00E13AEE" w:rsidRPr="00795F17">
              <w:rPr>
                <w:b/>
              </w:rPr>
              <w:br/>
            </w:r>
            <w:r w:rsidR="00EA4FF5" w:rsidRPr="00795F17">
              <w:rPr>
                <w:b/>
              </w:rPr>
              <w:t>(%)</w:t>
            </w:r>
          </w:p>
        </w:tc>
      </w:tr>
      <w:tr w:rsidR="00282A1E" w:rsidRPr="00795F17" w14:paraId="751D6961" w14:textId="77777777" w:rsidTr="00ED044C">
        <w:trPr>
          <w:trHeight w:val="2297"/>
          <w:jc w:val="center"/>
        </w:trPr>
        <w:tc>
          <w:tcPr>
            <w:tcW w:w="763" w:type="pct"/>
            <w:vMerge/>
            <w:tcBorders>
              <w:top w:val="single" w:sz="4" w:space="0" w:color="auto"/>
              <w:left w:val="single" w:sz="4" w:space="0" w:color="auto"/>
              <w:bottom w:val="single" w:sz="4" w:space="0" w:color="auto"/>
              <w:right w:val="single" w:sz="4" w:space="0" w:color="auto"/>
            </w:tcBorders>
            <w:hideMark/>
          </w:tcPr>
          <w:p w14:paraId="6BC317F6" w14:textId="77777777" w:rsidR="00382740" w:rsidRPr="00795F17" w:rsidRDefault="00382740" w:rsidP="0044393D"/>
        </w:tc>
        <w:tc>
          <w:tcPr>
            <w:tcW w:w="635" w:type="pct"/>
            <w:vMerge/>
            <w:tcBorders>
              <w:top w:val="single" w:sz="4" w:space="0" w:color="auto"/>
              <w:left w:val="single" w:sz="4" w:space="0" w:color="auto"/>
              <w:bottom w:val="single" w:sz="4" w:space="0" w:color="auto"/>
              <w:right w:val="single" w:sz="4" w:space="0" w:color="auto"/>
            </w:tcBorders>
            <w:hideMark/>
          </w:tcPr>
          <w:p w14:paraId="367B36C6" w14:textId="77777777" w:rsidR="00382740" w:rsidRPr="00795F17" w:rsidRDefault="00382740" w:rsidP="0044393D"/>
        </w:tc>
        <w:tc>
          <w:tcPr>
            <w:tcW w:w="58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hideMark/>
          </w:tcPr>
          <w:p w14:paraId="2FF10DE4" w14:textId="77777777" w:rsidR="00382740" w:rsidRPr="00795F17" w:rsidRDefault="00382740" w:rsidP="00955BC5">
            <w:pPr>
              <w:pStyle w:val="Teksttabelinaglowek"/>
              <w:ind w:left="57"/>
              <w:jc w:val="left"/>
              <w:rPr>
                <w:rFonts w:cs="Calibri"/>
              </w:rPr>
            </w:pPr>
            <w:r w:rsidRPr="00795F17">
              <w:t>Działania, dla których podmioty sprawozdające się n</w:t>
            </w:r>
            <w:r w:rsidRPr="00795F17">
              <w:rPr>
                <w:rFonts w:cs="Calibri"/>
              </w:rPr>
              <w:t>ie przekazały danych</w:t>
            </w:r>
          </w:p>
        </w:tc>
        <w:tc>
          <w:tcPr>
            <w:tcW w:w="58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hideMark/>
          </w:tcPr>
          <w:p w14:paraId="4DAEB400" w14:textId="77777777" w:rsidR="00382740" w:rsidRPr="00795F17" w:rsidRDefault="00382740" w:rsidP="00955BC5">
            <w:pPr>
              <w:pStyle w:val="Teksttabelinaglowek"/>
              <w:ind w:left="57"/>
              <w:jc w:val="left"/>
              <w:rPr>
                <w:rFonts w:cs="Calibri"/>
              </w:rPr>
            </w:pPr>
            <w:r w:rsidRPr="00795F17">
              <w:t>Nierozpoczęte</w:t>
            </w:r>
          </w:p>
        </w:tc>
        <w:tc>
          <w:tcPr>
            <w:tcW w:w="46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hideMark/>
          </w:tcPr>
          <w:p w14:paraId="423C4B7A" w14:textId="77777777" w:rsidR="00382740" w:rsidRPr="00795F17" w:rsidRDefault="00382740" w:rsidP="00955BC5">
            <w:pPr>
              <w:pStyle w:val="Teksttabelinaglowek"/>
              <w:ind w:left="57"/>
              <w:jc w:val="left"/>
              <w:rPr>
                <w:rFonts w:cs="Calibri"/>
              </w:rPr>
            </w:pPr>
            <w:r w:rsidRPr="00795F17">
              <w:t>W trakcie przygotowania</w:t>
            </w:r>
          </w:p>
        </w:tc>
        <w:tc>
          <w:tcPr>
            <w:tcW w:w="58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hideMark/>
          </w:tcPr>
          <w:p w14:paraId="1E285B3E" w14:textId="77777777" w:rsidR="00382740" w:rsidRPr="00795F17" w:rsidRDefault="00382740" w:rsidP="00955BC5">
            <w:pPr>
              <w:pStyle w:val="Teksttabelinaglowek"/>
              <w:ind w:left="57"/>
              <w:jc w:val="left"/>
              <w:rPr>
                <w:rFonts w:cs="Calibri"/>
              </w:rPr>
            </w:pPr>
            <w:r w:rsidRPr="00795F17">
              <w:t>W trakcie realizacji</w:t>
            </w:r>
          </w:p>
        </w:tc>
        <w:tc>
          <w:tcPr>
            <w:tcW w:w="58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hideMark/>
          </w:tcPr>
          <w:p w14:paraId="0D411DC9" w14:textId="77777777" w:rsidR="00382740" w:rsidRPr="00795F17" w:rsidRDefault="00382740" w:rsidP="00955BC5">
            <w:pPr>
              <w:pStyle w:val="Teksttabelinaglowek"/>
              <w:ind w:left="57"/>
              <w:jc w:val="left"/>
              <w:rPr>
                <w:rFonts w:cs="Calibri"/>
              </w:rPr>
            </w:pPr>
            <w:r w:rsidRPr="00795F17">
              <w:t>Zakończone</w:t>
            </w:r>
          </w:p>
        </w:tc>
        <w:tc>
          <w:tcPr>
            <w:tcW w:w="805"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hideMark/>
          </w:tcPr>
          <w:p w14:paraId="16206DB5" w14:textId="5FAAE090" w:rsidR="00382740" w:rsidRPr="00795F17" w:rsidRDefault="00407C69" w:rsidP="00955BC5">
            <w:pPr>
              <w:pStyle w:val="Teksttabelinaglowek"/>
              <w:ind w:left="57"/>
              <w:jc w:val="left"/>
              <w:rPr>
                <w:rFonts w:cs="Calibri"/>
              </w:rPr>
            </w:pPr>
            <w:r w:rsidRPr="00407C69">
              <w:rPr>
                <w:rFonts w:eastAsiaTheme="minorHAnsi" w:cs="Calibri"/>
                <w:szCs w:val="20"/>
                <w:lang w:eastAsia="en-US"/>
              </w:rPr>
              <w:t>Stan zaawansowania realizacji (przy traktowaniu braku odpowiedzi jako działania niezrealizowane)</w:t>
            </w:r>
          </w:p>
        </w:tc>
      </w:tr>
      <w:tr w:rsidR="00382740" w:rsidRPr="00795F17" w14:paraId="78ED9B3B" w14:textId="77777777" w:rsidTr="00D6377E">
        <w:trPr>
          <w:trHeight w:val="454"/>
          <w:jc w:val="center"/>
        </w:trPr>
        <w:tc>
          <w:tcPr>
            <w:tcW w:w="763" w:type="pct"/>
            <w:tcBorders>
              <w:top w:val="single" w:sz="4" w:space="0" w:color="auto"/>
              <w:left w:val="single" w:sz="4" w:space="0" w:color="auto"/>
              <w:bottom w:val="single" w:sz="4" w:space="0" w:color="auto"/>
              <w:right w:val="single" w:sz="4" w:space="0" w:color="auto"/>
            </w:tcBorders>
            <w:noWrap/>
            <w:hideMark/>
          </w:tcPr>
          <w:p w14:paraId="0460AA06" w14:textId="4FBAE2D2" w:rsidR="00382740" w:rsidRPr="00795F17" w:rsidRDefault="00DF005E" w:rsidP="0044393D">
            <w:pPr>
              <w:pStyle w:val="Teksttabelilewy"/>
              <w:rPr>
                <w:rFonts w:cs="Calibri"/>
                <w:szCs w:val="20"/>
              </w:rPr>
            </w:pPr>
            <w:r>
              <w:t>JCWP</w:t>
            </w:r>
            <w:r w:rsidR="00382740" w:rsidRPr="00795F17">
              <w:t xml:space="preserve"> RW</w:t>
            </w:r>
          </w:p>
        </w:tc>
        <w:tc>
          <w:tcPr>
            <w:tcW w:w="635" w:type="pct"/>
            <w:tcBorders>
              <w:top w:val="single" w:sz="4" w:space="0" w:color="auto"/>
              <w:left w:val="single" w:sz="4" w:space="0" w:color="auto"/>
              <w:bottom w:val="single" w:sz="4" w:space="0" w:color="auto"/>
              <w:right w:val="single" w:sz="4" w:space="0" w:color="auto"/>
            </w:tcBorders>
            <w:hideMark/>
          </w:tcPr>
          <w:p w14:paraId="0B675E5B" w14:textId="0CFD4406" w:rsidR="00382740" w:rsidRPr="00795F17" w:rsidRDefault="00382740" w:rsidP="0065243A">
            <w:pPr>
              <w:pStyle w:val="Teksttabelisrodek"/>
            </w:pPr>
            <w:r w:rsidRPr="00795F17">
              <w:t>20</w:t>
            </w:r>
            <w:r w:rsidR="002C6942" w:rsidRPr="00795F17">
              <w:t> </w:t>
            </w:r>
            <w:r w:rsidRPr="00795F17">
              <w:t>504</w:t>
            </w:r>
          </w:p>
        </w:tc>
        <w:tc>
          <w:tcPr>
            <w:tcW w:w="582" w:type="pct"/>
            <w:tcBorders>
              <w:top w:val="single" w:sz="4" w:space="0" w:color="auto"/>
              <w:left w:val="single" w:sz="4" w:space="0" w:color="auto"/>
              <w:bottom w:val="single" w:sz="4" w:space="0" w:color="auto"/>
              <w:right w:val="single" w:sz="4" w:space="0" w:color="auto"/>
            </w:tcBorders>
            <w:noWrap/>
            <w:hideMark/>
          </w:tcPr>
          <w:p w14:paraId="179B890D" w14:textId="04E577B9" w:rsidR="00382740" w:rsidRPr="00795F17" w:rsidRDefault="00382740" w:rsidP="0065243A">
            <w:pPr>
              <w:pStyle w:val="Teksttabelisrodek"/>
              <w:rPr>
                <w:rFonts w:cs="Calibri"/>
                <w:szCs w:val="20"/>
              </w:rPr>
            </w:pPr>
            <w:r w:rsidRPr="00795F17">
              <w:t>12,4</w:t>
            </w:r>
          </w:p>
        </w:tc>
        <w:tc>
          <w:tcPr>
            <w:tcW w:w="582" w:type="pct"/>
            <w:tcBorders>
              <w:top w:val="single" w:sz="4" w:space="0" w:color="auto"/>
              <w:left w:val="single" w:sz="4" w:space="0" w:color="auto"/>
              <w:bottom w:val="single" w:sz="4" w:space="0" w:color="auto"/>
              <w:right w:val="single" w:sz="4" w:space="0" w:color="auto"/>
            </w:tcBorders>
            <w:noWrap/>
            <w:hideMark/>
          </w:tcPr>
          <w:p w14:paraId="44E56FD8" w14:textId="2EAD260A" w:rsidR="00382740" w:rsidRPr="00795F17" w:rsidRDefault="00382740" w:rsidP="0065243A">
            <w:pPr>
              <w:pStyle w:val="Teksttabelisrodek"/>
            </w:pPr>
            <w:r w:rsidRPr="00795F17">
              <w:t>23,7</w:t>
            </w:r>
          </w:p>
        </w:tc>
        <w:tc>
          <w:tcPr>
            <w:tcW w:w="468" w:type="pct"/>
            <w:tcBorders>
              <w:top w:val="single" w:sz="4" w:space="0" w:color="auto"/>
              <w:left w:val="single" w:sz="4" w:space="0" w:color="auto"/>
              <w:bottom w:val="single" w:sz="4" w:space="0" w:color="auto"/>
              <w:right w:val="single" w:sz="4" w:space="0" w:color="auto"/>
            </w:tcBorders>
            <w:noWrap/>
            <w:hideMark/>
          </w:tcPr>
          <w:p w14:paraId="31008D2F" w14:textId="2460CFB0" w:rsidR="00382740" w:rsidRPr="00795F17" w:rsidRDefault="00382740" w:rsidP="0065243A">
            <w:pPr>
              <w:pStyle w:val="Teksttabelisrodek"/>
              <w:rPr>
                <w:rFonts w:cs="Calibri"/>
                <w:szCs w:val="20"/>
              </w:rPr>
            </w:pPr>
            <w:r w:rsidRPr="00795F17">
              <w:t>3,5</w:t>
            </w:r>
          </w:p>
        </w:tc>
        <w:tc>
          <w:tcPr>
            <w:tcW w:w="582" w:type="pct"/>
            <w:tcBorders>
              <w:top w:val="single" w:sz="4" w:space="0" w:color="auto"/>
              <w:left w:val="single" w:sz="4" w:space="0" w:color="auto"/>
              <w:bottom w:val="single" w:sz="4" w:space="0" w:color="auto"/>
              <w:right w:val="single" w:sz="4" w:space="0" w:color="auto"/>
            </w:tcBorders>
            <w:noWrap/>
            <w:hideMark/>
          </w:tcPr>
          <w:p w14:paraId="7D350422" w14:textId="54E0BC25" w:rsidR="00382740" w:rsidRPr="00795F17" w:rsidRDefault="00382740" w:rsidP="0065243A">
            <w:pPr>
              <w:pStyle w:val="Teksttabelisrodek"/>
              <w:rPr>
                <w:rFonts w:cs="Calibri"/>
                <w:szCs w:val="20"/>
              </w:rPr>
            </w:pPr>
            <w:r w:rsidRPr="00795F17">
              <w:t>20,9</w:t>
            </w:r>
          </w:p>
        </w:tc>
        <w:tc>
          <w:tcPr>
            <w:tcW w:w="582" w:type="pct"/>
            <w:tcBorders>
              <w:top w:val="single" w:sz="4" w:space="0" w:color="auto"/>
              <w:left w:val="single" w:sz="4" w:space="0" w:color="auto"/>
              <w:bottom w:val="single" w:sz="4" w:space="0" w:color="auto"/>
              <w:right w:val="single" w:sz="4" w:space="0" w:color="auto"/>
            </w:tcBorders>
            <w:noWrap/>
            <w:hideMark/>
          </w:tcPr>
          <w:p w14:paraId="75EC982A" w14:textId="3E16603D" w:rsidR="00382740" w:rsidRPr="00795F17" w:rsidRDefault="00382740" w:rsidP="0065243A">
            <w:pPr>
              <w:pStyle w:val="Teksttabelisrodek"/>
              <w:rPr>
                <w:rFonts w:cs="Calibri"/>
                <w:szCs w:val="20"/>
              </w:rPr>
            </w:pPr>
            <w:r w:rsidRPr="00795F17">
              <w:t>39,5</w:t>
            </w:r>
          </w:p>
        </w:tc>
        <w:tc>
          <w:tcPr>
            <w:tcW w:w="805" w:type="pct"/>
            <w:tcBorders>
              <w:top w:val="single" w:sz="4" w:space="0" w:color="auto"/>
              <w:left w:val="single" w:sz="4" w:space="0" w:color="auto"/>
              <w:bottom w:val="single" w:sz="4" w:space="0" w:color="auto"/>
              <w:right w:val="single" w:sz="4" w:space="0" w:color="auto"/>
            </w:tcBorders>
            <w:noWrap/>
            <w:hideMark/>
          </w:tcPr>
          <w:p w14:paraId="1096815E" w14:textId="77777777" w:rsidR="00382740" w:rsidRPr="00795F17" w:rsidRDefault="00382740" w:rsidP="0065243A">
            <w:pPr>
              <w:pStyle w:val="Teksttabelisrodek"/>
              <w:rPr>
                <w:rFonts w:cs="Calibri"/>
                <w:szCs w:val="20"/>
              </w:rPr>
            </w:pPr>
            <w:r w:rsidRPr="00795F17">
              <w:t>10,2</w:t>
            </w:r>
          </w:p>
        </w:tc>
      </w:tr>
      <w:tr w:rsidR="00382740" w:rsidRPr="00795F17" w14:paraId="6195A262" w14:textId="77777777" w:rsidTr="00D6377E">
        <w:trPr>
          <w:trHeight w:val="454"/>
          <w:jc w:val="center"/>
        </w:trPr>
        <w:tc>
          <w:tcPr>
            <w:tcW w:w="763" w:type="pct"/>
            <w:tcBorders>
              <w:top w:val="single" w:sz="4" w:space="0" w:color="auto"/>
              <w:left w:val="single" w:sz="4" w:space="0" w:color="auto"/>
              <w:bottom w:val="single" w:sz="4" w:space="0" w:color="auto"/>
              <w:right w:val="single" w:sz="4" w:space="0" w:color="auto"/>
            </w:tcBorders>
            <w:noWrap/>
            <w:hideMark/>
          </w:tcPr>
          <w:p w14:paraId="4E692D74" w14:textId="41F51CBE" w:rsidR="00382740" w:rsidRPr="00795F17" w:rsidRDefault="00DF005E" w:rsidP="0044393D">
            <w:pPr>
              <w:pStyle w:val="Teksttabelilewy"/>
              <w:rPr>
                <w:rFonts w:cs="Calibri"/>
                <w:szCs w:val="20"/>
              </w:rPr>
            </w:pPr>
            <w:r>
              <w:t>JCWP</w:t>
            </w:r>
            <w:r w:rsidR="00382740" w:rsidRPr="00795F17">
              <w:t xml:space="preserve"> LW</w:t>
            </w:r>
          </w:p>
        </w:tc>
        <w:tc>
          <w:tcPr>
            <w:tcW w:w="635" w:type="pct"/>
            <w:tcBorders>
              <w:top w:val="single" w:sz="4" w:space="0" w:color="auto"/>
              <w:left w:val="single" w:sz="4" w:space="0" w:color="auto"/>
              <w:bottom w:val="single" w:sz="4" w:space="0" w:color="auto"/>
              <w:right w:val="single" w:sz="4" w:space="0" w:color="auto"/>
            </w:tcBorders>
            <w:hideMark/>
          </w:tcPr>
          <w:p w14:paraId="3401A145" w14:textId="77777777" w:rsidR="00382740" w:rsidRPr="00795F17" w:rsidRDefault="00382740" w:rsidP="0065243A">
            <w:pPr>
              <w:pStyle w:val="Teksttabelisrodek"/>
              <w:rPr>
                <w:rFonts w:cs="Calibri"/>
                <w:szCs w:val="20"/>
              </w:rPr>
            </w:pPr>
            <w:r w:rsidRPr="00795F17">
              <w:t>780</w:t>
            </w:r>
          </w:p>
        </w:tc>
        <w:tc>
          <w:tcPr>
            <w:tcW w:w="582" w:type="pct"/>
            <w:tcBorders>
              <w:top w:val="single" w:sz="4" w:space="0" w:color="auto"/>
              <w:left w:val="single" w:sz="4" w:space="0" w:color="auto"/>
              <w:bottom w:val="single" w:sz="4" w:space="0" w:color="auto"/>
              <w:right w:val="single" w:sz="4" w:space="0" w:color="auto"/>
            </w:tcBorders>
            <w:noWrap/>
            <w:hideMark/>
          </w:tcPr>
          <w:p w14:paraId="3D949DA5" w14:textId="722EA642" w:rsidR="00382740" w:rsidRPr="00795F17" w:rsidRDefault="00382740" w:rsidP="0065243A">
            <w:pPr>
              <w:pStyle w:val="Teksttabelisrodek"/>
              <w:rPr>
                <w:rFonts w:cs="Calibri"/>
                <w:szCs w:val="20"/>
              </w:rPr>
            </w:pPr>
            <w:r w:rsidRPr="00795F17">
              <w:t>40,0</w:t>
            </w:r>
          </w:p>
        </w:tc>
        <w:tc>
          <w:tcPr>
            <w:tcW w:w="582" w:type="pct"/>
            <w:tcBorders>
              <w:top w:val="single" w:sz="4" w:space="0" w:color="auto"/>
              <w:left w:val="single" w:sz="4" w:space="0" w:color="auto"/>
              <w:bottom w:val="single" w:sz="4" w:space="0" w:color="auto"/>
              <w:right w:val="single" w:sz="4" w:space="0" w:color="auto"/>
            </w:tcBorders>
            <w:noWrap/>
            <w:hideMark/>
          </w:tcPr>
          <w:p w14:paraId="0970AB05" w14:textId="0EE2A6AC" w:rsidR="00382740" w:rsidRPr="00795F17" w:rsidRDefault="00382740" w:rsidP="0065243A">
            <w:pPr>
              <w:pStyle w:val="Teksttabelisrodek"/>
              <w:rPr>
                <w:rFonts w:cs="Calibri"/>
                <w:szCs w:val="20"/>
              </w:rPr>
            </w:pPr>
            <w:r w:rsidRPr="00795F17">
              <w:t>1</w:t>
            </w:r>
          </w:p>
        </w:tc>
        <w:tc>
          <w:tcPr>
            <w:tcW w:w="468" w:type="pct"/>
            <w:tcBorders>
              <w:top w:val="single" w:sz="4" w:space="0" w:color="auto"/>
              <w:left w:val="single" w:sz="4" w:space="0" w:color="auto"/>
              <w:bottom w:val="single" w:sz="4" w:space="0" w:color="auto"/>
              <w:right w:val="single" w:sz="4" w:space="0" w:color="auto"/>
            </w:tcBorders>
            <w:noWrap/>
            <w:hideMark/>
          </w:tcPr>
          <w:p w14:paraId="425D9DC2" w14:textId="1E68CB36" w:rsidR="00382740" w:rsidRPr="00795F17" w:rsidRDefault="00382740" w:rsidP="0065243A">
            <w:pPr>
              <w:pStyle w:val="Teksttabelisrodek"/>
              <w:rPr>
                <w:rFonts w:cs="Calibri"/>
                <w:szCs w:val="20"/>
              </w:rPr>
            </w:pPr>
            <w:r w:rsidRPr="00795F17">
              <w:t>0</w:t>
            </w:r>
          </w:p>
        </w:tc>
        <w:tc>
          <w:tcPr>
            <w:tcW w:w="582" w:type="pct"/>
            <w:tcBorders>
              <w:top w:val="single" w:sz="4" w:space="0" w:color="auto"/>
              <w:left w:val="single" w:sz="4" w:space="0" w:color="auto"/>
              <w:bottom w:val="single" w:sz="4" w:space="0" w:color="auto"/>
              <w:right w:val="single" w:sz="4" w:space="0" w:color="auto"/>
            </w:tcBorders>
            <w:noWrap/>
            <w:hideMark/>
          </w:tcPr>
          <w:p w14:paraId="1C79E522" w14:textId="4C9EC25D" w:rsidR="00382740" w:rsidRPr="00795F17" w:rsidRDefault="00382740" w:rsidP="0065243A">
            <w:pPr>
              <w:pStyle w:val="Teksttabelisrodek"/>
              <w:rPr>
                <w:rFonts w:cs="Calibri"/>
                <w:szCs w:val="20"/>
              </w:rPr>
            </w:pPr>
            <w:r w:rsidRPr="00795F17">
              <w:t>57,9</w:t>
            </w:r>
          </w:p>
        </w:tc>
        <w:tc>
          <w:tcPr>
            <w:tcW w:w="582" w:type="pct"/>
            <w:tcBorders>
              <w:top w:val="single" w:sz="4" w:space="0" w:color="auto"/>
              <w:left w:val="single" w:sz="4" w:space="0" w:color="auto"/>
              <w:bottom w:val="single" w:sz="4" w:space="0" w:color="auto"/>
              <w:right w:val="single" w:sz="4" w:space="0" w:color="auto"/>
            </w:tcBorders>
            <w:noWrap/>
            <w:hideMark/>
          </w:tcPr>
          <w:p w14:paraId="0B581209" w14:textId="4F79E9CB" w:rsidR="00382740" w:rsidRPr="00795F17" w:rsidRDefault="00382740" w:rsidP="0065243A">
            <w:pPr>
              <w:pStyle w:val="Teksttabelisrodek"/>
              <w:rPr>
                <w:rFonts w:cs="Calibri"/>
                <w:szCs w:val="20"/>
              </w:rPr>
            </w:pPr>
            <w:r w:rsidRPr="00795F17">
              <w:t>1</w:t>
            </w:r>
          </w:p>
        </w:tc>
        <w:tc>
          <w:tcPr>
            <w:tcW w:w="805" w:type="pct"/>
            <w:tcBorders>
              <w:top w:val="single" w:sz="4" w:space="0" w:color="auto"/>
              <w:left w:val="single" w:sz="4" w:space="0" w:color="auto"/>
              <w:bottom w:val="single" w:sz="4" w:space="0" w:color="auto"/>
              <w:right w:val="single" w:sz="4" w:space="0" w:color="auto"/>
            </w:tcBorders>
            <w:noWrap/>
            <w:hideMark/>
          </w:tcPr>
          <w:p w14:paraId="4CB89E16" w14:textId="77777777" w:rsidR="00382740" w:rsidRPr="00795F17" w:rsidRDefault="00382740" w:rsidP="0065243A">
            <w:pPr>
              <w:pStyle w:val="Teksttabelisrodek"/>
              <w:rPr>
                <w:rFonts w:cs="Calibri"/>
                <w:szCs w:val="20"/>
              </w:rPr>
            </w:pPr>
            <w:r w:rsidRPr="00795F17">
              <w:t>-</w:t>
            </w:r>
          </w:p>
        </w:tc>
      </w:tr>
      <w:tr w:rsidR="00382740" w:rsidRPr="00795F17" w14:paraId="0A62C510" w14:textId="77777777" w:rsidTr="00D6377E">
        <w:trPr>
          <w:trHeight w:val="454"/>
          <w:jc w:val="center"/>
        </w:trPr>
        <w:tc>
          <w:tcPr>
            <w:tcW w:w="763" w:type="pct"/>
            <w:tcBorders>
              <w:top w:val="single" w:sz="4" w:space="0" w:color="auto"/>
              <w:left w:val="single" w:sz="4" w:space="0" w:color="auto"/>
              <w:bottom w:val="single" w:sz="4" w:space="0" w:color="auto"/>
              <w:right w:val="single" w:sz="4" w:space="0" w:color="auto"/>
            </w:tcBorders>
            <w:noWrap/>
            <w:hideMark/>
          </w:tcPr>
          <w:p w14:paraId="44837520" w14:textId="3E64B6FE" w:rsidR="00382740" w:rsidRPr="00795F17" w:rsidRDefault="00DF005E" w:rsidP="0044393D">
            <w:pPr>
              <w:pStyle w:val="Teksttabelilewy"/>
              <w:rPr>
                <w:rFonts w:cs="Calibri"/>
                <w:szCs w:val="20"/>
              </w:rPr>
            </w:pPr>
            <w:r>
              <w:t>JCWP</w:t>
            </w:r>
            <w:r w:rsidR="00382740" w:rsidRPr="00795F17">
              <w:t xml:space="preserve"> TW i CW</w:t>
            </w:r>
          </w:p>
        </w:tc>
        <w:tc>
          <w:tcPr>
            <w:tcW w:w="635" w:type="pct"/>
            <w:tcBorders>
              <w:top w:val="single" w:sz="4" w:space="0" w:color="auto"/>
              <w:left w:val="single" w:sz="4" w:space="0" w:color="auto"/>
              <w:bottom w:val="single" w:sz="4" w:space="0" w:color="auto"/>
              <w:right w:val="single" w:sz="4" w:space="0" w:color="auto"/>
            </w:tcBorders>
            <w:hideMark/>
          </w:tcPr>
          <w:p w14:paraId="02311935" w14:textId="77777777" w:rsidR="00382740" w:rsidRPr="00795F17" w:rsidRDefault="00382740" w:rsidP="0065243A">
            <w:pPr>
              <w:pStyle w:val="Teksttabelisrodek"/>
              <w:rPr>
                <w:rFonts w:cs="Calibri"/>
                <w:szCs w:val="20"/>
              </w:rPr>
            </w:pPr>
            <w:r w:rsidRPr="00795F17">
              <w:t>173</w:t>
            </w:r>
          </w:p>
        </w:tc>
        <w:tc>
          <w:tcPr>
            <w:tcW w:w="582" w:type="pct"/>
            <w:tcBorders>
              <w:top w:val="single" w:sz="4" w:space="0" w:color="auto"/>
              <w:left w:val="single" w:sz="4" w:space="0" w:color="auto"/>
              <w:bottom w:val="single" w:sz="4" w:space="0" w:color="auto"/>
              <w:right w:val="single" w:sz="4" w:space="0" w:color="auto"/>
            </w:tcBorders>
            <w:noWrap/>
            <w:hideMark/>
          </w:tcPr>
          <w:p w14:paraId="30A0ABCB" w14:textId="02AD18B5" w:rsidR="00382740" w:rsidRPr="00795F17" w:rsidRDefault="00382740" w:rsidP="0065243A">
            <w:pPr>
              <w:pStyle w:val="Teksttabelisrodek"/>
              <w:rPr>
                <w:rFonts w:cs="Calibri"/>
                <w:szCs w:val="20"/>
              </w:rPr>
            </w:pPr>
            <w:r w:rsidRPr="00795F17">
              <w:t>0,6</w:t>
            </w:r>
          </w:p>
        </w:tc>
        <w:tc>
          <w:tcPr>
            <w:tcW w:w="582" w:type="pct"/>
            <w:tcBorders>
              <w:top w:val="single" w:sz="4" w:space="0" w:color="auto"/>
              <w:left w:val="single" w:sz="4" w:space="0" w:color="auto"/>
              <w:bottom w:val="single" w:sz="4" w:space="0" w:color="auto"/>
              <w:right w:val="single" w:sz="4" w:space="0" w:color="auto"/>
            </w:tcBorders>
            <w:noWrap/>
            <w:hideMark/>
          </w:tcPr>
          <w:p w14:paraId="1EEB64AA" w14:textId="059FB92B" w:rsidR="00382740" w:rsidRPr="00795F17" w:rsidRDefault="00382740" w:rsidP="0065243A">
            <w:pPr>
              <w:pStyle w:val="Teksttabelisrodek"/>
              <w:rPr>
                <w:rFonts w:cs="Calibri"/>
                <w:szCs w:val="20"/>
              </w:rPr>
            </w:pPr>
            <w:r w:rsidRPr="00795F17">
              <w:t>17,3</w:t>
            </w:r>
          </w:p>
        </w:tc>
        <w:tc>
          <w:tcPr>
            <w:tcW w:w="468" w:type="pct"/>
            <w:tcBorders>
              <w:top w:val="single" w:sz="4" w:space="0" w:color="auto"/>
              <w:left w:val="single" w:sz="4" w:space="0" w:color="auto"/>
              <w:bottom w:val="single" w:sz="4" w:space="0" w:color="auto"/>
              <w:right w:val="single" w:sz="4" w:space="0" w:color="auto"/>
            </w:tcBorders>
            <w:noWrap/>
            <w:hideMark/>
          </w:tcPr>
          <w:p w14:paraId="4781970A" w14:textId="35489782" w:rsidR="00382740" w:rsidRPr="00795F17" w:rsidRDefault="00382740" w:rsidP="0065243A">
            <w:pPr>
              <w:pStyle w:val="Teksttabelisrodek"/>
              <w:rPr>
                <w:rFonts w:cs="Calibri"/>
                <w:szCs w:val="20"/>
              </w:rPr>
            </w:pPr>
            <w:r w:rsidRPr="00795F17">
              <w:t>1,2</w:t>
            </w:r>
          </w:p>
        </w:tc>
        <w:tc>
          <w:tcPr>
            <w:tcW w:w="582" w:type="pct"/>
            <w:tcBorders>
              <w:top w:val="single" w:sz="4" w:space="0" w:color="auto"/>
              <w:left w:val="single" w:sz="4" w:space="0" w:color="auto"/>
              <w:bottom w:val="single" w:sz="4" w:space="0" w:color="auto"/>
              <w:right w:val="single" w:sz="4" w:space="0" w:color="auto"/>
            </w:tcBorders>
            <w:noWrap/>
            <w:hideMark/>
          </w:tcPr>
          <w:p w14:paraId="518C26D6" w14:textId="01934B59" w:rsidR="00382740" w:rsidRPr="00795F17" w:rsidRDefault="00382740" w:rsidP="0065243A">
            <w:pPr>
              <w:pStyle w:val="Teksttabelisrodek"/>
              <w:rPr>
                <w:rFonts w:cs="Calibri"/>
                <w:szCs w:val="20"/>
              </w:rPr>
            </w:pPr>
            <w:r w:rsidRPr="00795F17">
              <w:t>20,8</w:t>
            </w:r>
          </w:p>
        </w:tc>
        <w:tc>
          <w:tcPr>
            <w:tcW w:w="582" w:type="pct"/>
            <w:tcBorders>
              <w:top w:val="single" w:sz="4" w:space="0" w:color="auto"/>
              <w:left w:val="single" w:sz="4" w:space="0" w:color="auto"/>
              <w:bottom w:val="single" w:sz="4" w:space="0" w:color="auto"/>
              <w:right w:val="single" w:sz="4" w:space="0" w:color="auto"/>
            </w:tcBorders>
            <w:noWrap/>
            <w:hideMark/>
          </w:tcPr>
          <w:p w14:paraId="08BAAF2B" w14:textId="130AFE98" w:rsidR="00382740" w:rsidRPr="00795F17" w:rsidRDefault="00382740" w:rsidP="0065243A">
            <w:pPr>
              <w:pStyle w:val="Teksttabelisrodek"/>
              <w:rPr>
                <w:rFonts w:cs="Calibri"/>
                <w:szCs w:val="20"/>
              </w:rPr>
            </w:pPr>
            <w:r w:rsidRPr="00795F17">
              <w:t>60,</w:t>
            </w:r>
            <w:r w:rsidRPr="00795F17">
              <w:rPr>
                <w:rFonts w:cs="Calibri"/>
                <w:szCs w:val="20"/>
              </w:rPr>
              <w:t>1</w:t>
            </w:r>
          </w:p>
        </w:tc>
        <w:tc>
          <w:tcPr>
            <w:tcW w:w="805" w:type="pct"/>
            <w:tcBorders>
              <w:top w:val="single" w:sz="4" w:space="0" w:color="auto"/>
              <w:left w:val="single" w:sz="4" w:space="0" w:color="auto"/>
              <w:bottom w:val="single" w:sz="4" w:space="0" w:color="auto"/>
              <w:right w:val="single" w:sz="4" w:space="0" w:color="auto"/>
            </w:tcBorders>
            <w:noWrap/>
            <w:hideMark/>
          </w:tcPr>
          <w:p w14:paraId="7CDECCC6" w14:textId="77777777" w:rsidR="00382740" w:rsidRPr="00795F17" w:rsidRDefault="00382740" w:rsidP="0065243A">
            <w:pPr>
              <w:pStyle w:val="Teksttabelisrodek"/>
              <w:rPr>
                <w:rFonts w:cs="Calibri"/>
                <w:szCs w:val="20"/>
              </w:rPr>
            </w:pPr>
            <w:r w:rsidRPr="00795F17">
              <w:t>10,3</w:t>
            </w:r>
          </w:p>
        </w:tc>
      </w:tr>
      <w:tr w:rsidR="00382740" w:rsidRPr="00795F17" w14:paraId="1EAA4962" w14:textId="77777777" w:rsidTr="00D6377E">
        <w:trPr>
          <w:trHeight w:val="454"/>
          <w:jc w:val="center"/>
        </w:trPr>
        <w:tc>
          <w:tcPr>
            <w:tcW w:w="763" w:type="pct"/>
            <w:tcBorders>
              <w:top w:val="single" w:sz="4" w:space="0" w:color="auto"/>
              <w:left w:val="single" w:sz="4" w:space="0" w:color="auto"/>
              <w:bottom w:val="single" w:sz="4" w:space="0" w:color="auto"/>
              <w:right w:val="single" w:sz="4" w:space="0" w:color="auto"/>
            </w:tcBorders>
            <w:noWrap/>
            <w:hideMark/>
          </w:tcPr>
          <w:p w14:paraId="0A2EB77B" w14:textId="2BE29C0A" w:rsidR="00382740" w:rsidRPr="00795F17" w:rsidRDefault="00DF005E" w:rsidP="0044393D">
            <w:pPr>
              <w:pStyle w:val="Teksttabelilewy"/>
              <w:rPr>
                <w:rFonts w:cs="Calibri"/>
                <w:szCs w:val="20"/>
              </w:rPr>
            </w:pPr>
            <w:r>
              <w:t>JCWP</w:t>
            </w:r>
            <w:r w:rsidR="00382740" w:rsidRPr="00795F17">
              <w:t>d</w:t>
            </w:r>
          </w:p>
        </w:tc>
        <w:tc>
          <w:tcPr>
            <w:tcW w:w="635" w:type="pct"/>
            <w:tcBorders>
              <w:top w:val="single" w:sz="4" w:space="0" w:color="auto"/>
              <w:left w:val="single" w:sz="4" w:space="0" w:color="auto"/>
              <w:bottom w:val="single" w:sz="4" w:space="0" w:color="auto"/>
              <w:right w:val="single" w:sz="4" w:space="0" w:color="auto"/>
            </w:tcBorders>
            <w:noWrap/>
            <w:hideMark/>
          </w:tcPr>
          <w:p w14:paraId="3D4193CB" w14:textId="5F1A0959" w:rsidR="00382740" w:rsidRPr="00795F17" w:rsidRDefault="00382740" w:rsidP="0065243A">
            <w:pPr>
              <w:pStyle w:val="Teksttabelisrodek"/>
            </w:pPr>
            <w:r w:rsidRPr="00795F17">
              <w:t>3</w:t>
            </w:r>
            <w:r w:rsidR="002C6942" w:rsidRPr="00795F17">
              <w:t> </w:t>
            </w:r>
            <w:r w:rsidRPr="00795F17">
              <w:rPr>
                <w:color w:val="000000"/>
              </w:rPr>
              <w:t>485</w:t>
            </w:r>
          </w:p>
        </w:tc>
        <w:tc>
          <w:tcPr>
            <w:tcW w:w="582" w:type="pct"/>
            <w:tcBorders>
              <w:top w:val="single" w:sz="4" w:space="0" w:color="auto"/>
              <w:left w:val="single" w:sz="4" w:space="0" w:color="auto"/>
              <w:bottom w:val="single" w:sz="4" w:space="0" w:color="auto"/>
              <w:right w:val="single" w:sz="4" w:space="0" w:color="auto"/>
            </w:tcBorders>
            <w:noWrap/>
            <w:hideMark/>
          </w:tcPr>
          <w:p w14:paraId="17CFAFBC" w14:textId="45998C6E" w:rsidR="00382740" w:rsidRPr="00795F17" w:rsidRDefault="00382740" w:rsidP="0065243A">
            <w:pPr>
              <w:pStyle w:val="Teksttabelisrodek"/>
              <w:rPr>
                <w:rFonts w:cs="Calibri"/>
                <w:szCs w:val="20"/>
              </w:rPr>
            </w:pPr>
            <w:r w:rsidRPr="00795F17">
              <w:t>12,4</w:t>
            </w:r>
          </w:p>
        </w:tc>
        <w:tc>
          <w:tcPr>
            <w:tcW w:w="582" w:type="pct"/>
            <w:tcBorders>
              <w:top w:val="single" w:sz="4" w:space="0" w:color="auto"/>
              <w:left w:val="single" w:sz="4" w:space="0" w:color="auto"/>
              <w:bottom w:val="single" w:sz="4" w:space="0" w:color="auto"/>
              <w:right w:val="single" w:sz="4" w:space="0" w:color="auto"/>
            </w:tcBorders>
            <w:noWrap/>
            <w:hideMark/>
          </w:tcPr>
          <w:p w14:paraId="159582BC" w14:textId="5B8F529A" w:rsidR="00382740" w:rsidRPr="00795F17" w:rsidRDefault="00382740" w:rsidP="0065243A">
            <w:pPr>
              <w:pStyle w:val="Teksttabelisrodek"/>
              <w:rPr>
                <w:rFonts w:cs="Calibri"/>
                <w:szCs w:val="20"/>
              </w:rPr>
            </w:pPr>
            <w:r w:rsidRPr="00795F17">
              <w:t>25,2</w:t>
            </w:r>
          </w:p>
        </w:tc>
        <w:tc>
          <w:tcPr>
            <w:tcW w:w="468" w:type="pct"/>
            <w:tcBorders>
              <w:top w:val="single" w:sz="4" w:space="0" w:color="auto"/>
              <w:left w:val="single" w:sz="4" w:space="0" w:color="auto"/>
              <w:bottom w:val="single" w:sz="4" w:space="0" w:color="auto"/>
              <w:right w:val="single" w:sz="4" w:space="0" w:color="auto"/>
            </w:tcBorders>
            <w:noWrap/>
            <w:hideMark/>
          </w:tcPr>
          <w:p w14:paraId="23C52C0F" w14:textId="3CE9153E" w:rsidR="00382740" w:rsidRPr="00795F17" w:rsidRDefault="00382740" w:rsidP="0065243A">
            <w:pPr>
              <w:pStyle w:val="Teksttabelisrodek"/>
              <w:rPr>
                <w:rFonts w:cs="Calibri"/>
                <w:szCs w:val="20"/>
              </w:rPr>
            </w:pPr>
            <w:r w:rsidRPr="00795F17">
              <w:t>1,1</w:t>
            </w:r>
          </w:p>
        </w:tc>
        <w:tc>
          <w:tcPr>
            <w:tcW w:w="582" w:type="pct"/>
            <w:tcBorders>
              <w:top w:val="single" w:sz="4" w:space="0" w:color="auto"/>
              <w:left w:val="single" w:sz="4" w:space="0" w:color="auto"/>
              <w:bottom w:val="single" w:sz="4" w:space="0" w:color="auto"/>
              <w:right w:val="single" w:sz="4" w:space="0" w:color="auto"/>
            </w:tcBorders>
            <w:noWrap/>
            <w:hideMark/>
          </w:tcPr>
          <w:p w14:paraId="5E37F30B" w14:textId="0ABE357B" w:rsidR="00382740" w:rsidRPr="00795F17" w:rsidRDefault="00382740" w:rsidP="0065243A">
            <w:pPr>
              <w:pStyle w:val="Teksttabelisrodek"/>
              <w:rPr>
                <w:rFonts w:cs="Calibri"/>
                <w:szCs w:val="20"/>
              </w:rPr>
            </w:pPr>
            <w:r w:rsidRPr="00795F17">
              <w:t>14,7</w:t>
            </w:r>
          </w:p>
        </w:tc>
        <w:tc>
          <w:tcPr>
            <w:tcW w:w="582" w:type="pct"/>
            <w:tcBorders>
              <w:top w:val="single" w:sz="4" w:space="0" w:color="auto"/>
              <w:left w:val="single" w:sz="4" w:space="0" w:color="auto"/>
              <w:bottom w:val="single" w:sz="4" w:space="0" w:color="auto"/>
              <w:right w:val="single" w:sz="4" w:space="0" w:color="auto"/>
            </w:tcBorders>
            <w:noWrap/>
            <w:hideMark/>
          </w:tcPr>
          <w:p w14:paraId="2373E4A9" w14:textId="27D5CBA3" w:rsidR="00382740" w:rsidRPr="00795F17" w:rsidRDefault="00382740" w:rsidP="0065243A">
            <w:pPr>
              <w:pStyle w:val="Teksttabelisrodek"/>
              <w:rPr>
                <w:rFonts w:cs="Calibri"/>
                <w:szCs w:val="20"/>
              </w:rPr>
            </w:pPr>
            <w:r w:rsidRPr="00795F17">
              <w:t>46,6</w:t>
            </w:r>
          </w:p>
        </w:tc>
        <w:tc>
          <w:tcPr>
            <w:tcW w:w="805" w:type="pct"/>
            <w:tcBorders>
              <w:top w:val="single" w:sz="4" w:space="0" w:color="auto"/>
              <w:left w:val="single" w:sz="4" w:space="0" w:color="auto"/>
              <w:bottom w:val="single" w:sz="4" w:space="0" w:color="auto"/>
              <w:right w:val="single" w:sz="4" w:space="0" w:color="auto"/>
            </w:tcBorders>
            <w:noWrap/>
            <w:hideMark/>
          </w:tcPr>
          <w:p w14:paraId="3017DDF2" w14:textId="77777777" w:rsidR="00382740" w:rsidRPr="00795F17" w:rsidRDefault="00382740" w:rsidP="0065243A">
            <w:pPr>
              <w:pStyle w:val="Teksttabelisrodek"/>
              <w:rPr>
                <w:rFonts w:cs="Calibri"/>
                <w:szCs w:val="20"/>
              </w:rPr>
            </w:pPr>
            <w:r w:rsidRPr="00795F17">
              <w:t>11,82</w:t>
            </w:r>
          </w:p>
        </w:tc>
      </w:tr>
    </w:tbl>
    <w:p w14:paraId="05CDFE7C" w14:textId="677BE6F6" w:rsidR="00382740" w:rsidRPr="00795F17" w:rsidRDefault="00382740" w:rsidP="00325793">
      <w:pPr>
        <w:pStyle w:val="rdo"/>
        <w:ind w:left="3402" w:firstLine="1134"/>
        <w:rPr>
          <w:rFonts w:eastAsia="Times New Roman"/>
        </w:rPr>
      </w:pPr>
      <w:r w:rsidRPr="00795F17">
        <w:t xml:space="preserve">Źródło: </w:t>
      </w:r>
      <w:r w:rsidR="00FD7248" w:rsidRPr="00795F17">
        <w:t>opracowanie własne</w:t>
      </w:r>
      <w:r w:rsidRPr="00795F17">
        <w:t xml:space="preserve"> na podstawie Oceny postępu we wdrażaniu programów działań dla </w:t>
      </w:r>
      <w:r w:rsidR="00DF005E">
        <w:t>JCWP</w:t>
      </w:r>
      <w:r w:rsidRPr="00795F17">
        <w:t xml:space="preserve"> i </w:t>
      </w:r>
      <w:r w:rsidR="00DF005E">
        <w:t>JCWP</w:t>
      </w:r>
      <w:r w:rsidRPr="00795F17">
        <w:t>d wynikających z aPWŚK (2018)</w:t>
      </w:r>
    </w:p>
    <w:p w14:paraId="41472E3F" w14:textId="0DDAAD26" w:rsidR="007A047F" w:rsidRPr="00795F17" w:rsidRDefault="007A047F" w:rsidP="007A047F">
      <w:pPr>
        <w:rPr>
          <w:rFonts w:cs="Calibri"/>
          <w:color w:val="000000"/>
          <w:lang w:eastAsia="pl-PL"/>
        </w:rPr>
      </w:pPr>
      <w:bookmarkStart w:id="547" w:name="_Hlk67549160"/>
      <w:r w:rsidRPr="00795F17">
        <w:rPr>
          <w:rFonts w:cs="Calibri"/>
          <w:color w:val="000000"/>
        </w:rPr>
        <w:t>Poniżej przedstawiony został opis stopnia realizacji zaplanowanych działań w</w:t>
      </w:r>
      <w:r w:rsidR="00325793" w:rsidRPr="00795F17">
        <w:rPr>
          <w:rFonts w:cs="Calibri"/>
          <w:color w:val="000000"/>
        </w:rPr>
        <w:t xml:space="preserve"> </w:t>
      </w:r>
      <w:r w:rsidRPr="00795F17">
        <w:rPr>
          <w:rFonts w:cs="Calibri"/>
          <w:color w:val="000000"/>
        </w:rPr>
        <w:t>podziale na</w:t>
      </w:r>
      <w:r w:rsidR="00325793" w:rsidRPr="00795F17">
        <w:rPr>
          <w:rFonts w:cs="Calibri"/>
          <w:color w:val="000000"/>
        </w:rPr>
        <w:t xml:space="preserve"> </w:t>
      </w:r>
      <w:r w:rsidRPr="00795F17">
        <w:rPr>
          <w:rFonts w:cs="Calibri"/>
          <w:color w:val="000000"/>
        </w:rPr>
        <w:t xml:space="preserve">poszczególne kategorie wód. Szczegółowe informacje dotyczące postępu wdrożenia poszczególnych działań dla </w:t>
      </w:r>
      <w:r w:rsidR="00DF005E">
        <w:rPr>
          <w:rFonts w:cs="Calibri"/>
          <w:color w:val="000000"/>
        </w:rPr>
        <w:t>JCWP</w:t>
      </w:r>
      <w:r w:rsidRPr="00795F17">
        <w:rPr>
          <w:rFonts w:cs="Calibri"/>
          <w:color w:val="000000"/>
        </w:rPr>
        <w:t xml:space="preserve"> i</w:t>
      </w:r>
      <w:r w:rsidR="004200F0">
        <w:rPr>
          <w:rFonts w:cs="Calibri"/>
          <w:color w:val="000000"/>
        </w:rPr>
        <w:t> </w:t>
      </w:r>
      <w:r w:rsidR="00DF005E">
        <w:rPr>
          <w:rFonts w:cs="Calibri"/>
          <w:color w:val="000000"/>
        </w:rPr>
        <w:t>JCWP</w:t>
      </w:r>
      <w:r w:rsidRPr="00795F17">
        <w:rPr>
          <w:rFonts w:cs="Calibri"/>
          <w:color w:val="000000"/>
        </w:rPr>
        <w:t xml:space="preserve">d wynikających z aPWŚK zawarte są w pracy </w:t>
      </w:r>
      <w:r w:rsidRPr="00795F17">
        <w:rPr>
          <w:rFonts w:cs="Calibri"/>
          <w:i/>
          <w:iCs/>
          <w:color w:val="000000"/>
        </w:rPr>
        <w:t xml:space="preserve">Ocena postępu we wdrażaniu programów działań dla </w:t>
      </w:r>
      <w:r w:rsidR="00DF005E">
        <w:rPr>
          <w:rFonts w:cs="Calibri"/>
          <w:i/>
          <w:iCs/>
          <w:color w:val="000000"/>
        </w:rPr>
        <w:t>JCWP</w:t>
      </w:r>
      <w:r w:rsidRPr="00795F17">
        <w:rPr>
          <w:rFonts w:cs="Calibri"/>
          <w:i/>
          <w:iCs/>
          <w:color w:val="000000"/>
        </w:rPr>
        <w:t xml:space="preserve"> i </w:t>
      </w:r>
      <w:r w:rsidR="00DF005E">
        <w:rPr>
          <w:rFonts w:cs="Calibri"/>
          <w:i/>
          <w:iCs/>
          <w:color w:val="000000"/>
        </w:rPr>
        <w:t>JCWP</w:t>
      </w:r>
      <w:r w:rsidRPr="00795F17">
        <w:rPr>
          <w:rFonts w:cs="Calibri"/>
          <w:i/>
          <w:iCs/>
          <w:color w:val="000000"/>
        </w:rPr>
        <w:t>d wynikających z aPWŚK</w:t>
      </w:r>
      <w:r w:rsidR="00D57C25">
        <w:rPr>
          <w:rStyle w:val="Odwoanieprzypisudolnego"/>
          <w:color w:val="000000"/>
        </w:rPr>
        <w:footnoteReference w:id="75"/>
      </w:r>
      <w:r w:rsidR="000D555E">
        <w:rPr>
          <w:rFonts w:cs="Calibri"/>
          <w:color w:val="000000"/>
        </w:rPr>
        <w:t xml:space="preserve"> </w:t>
      </w:r>
      <w:r w:rsidRPr="00795F17">
        <w:rPr>
          <w:rFonts w:cs="Calibri"/>
          <w:color w:val="000000"/>
        </w:rPr>
        <w:t xml:space="preserve">oraz </w:t>
      </w:r>
      <w:r w:rsidRPr="00795F17">
        <w:rPr>
          <w:rFonts w:cs="Calibri"/>
          <w:i/>
          <w:iCs/>
          <w:color w:val="000000"/>
        </w:rPr>
        <w:t>Ocena skuteczności działań z aPWŚK kategorii Gospodarka komunalna</w:t>
      </w:r>
      <w:r w:rsidRPr="00795F17">
        <w:rPr>
          <w:rFonts w:cs="Calibri"/>
          <w:color w:val="000000"/>
        </w:rPr>
        <w:t xml:space="preserve">. </w:t>
      </w:r>
      <w:r w:rsidRPr="00795F17">
        <w:rPr>
          <w:rFonts w:asciiTheme="minorHAnsi" w:hAnsiTheme="minorHAnsi" w:cstheme="minorHAnsi"/>
          <w:iCs/>
        </w:rPr>
        <w:t>Podsumowani</w:t>
      </w:r>
      <w:r w:rsidR="00325793" w:rsidRPr="00795F17">
        <w:rPr>
          <w:rFonts w:asciiTheme="minorHAnsi" w:hAnsiTheme="minorHAnsi" w:cstheme="minorHAnsi"/>
          <w:iCs/>
        </w:rPr>
        <w:t>e</w:t>
      </w:r>
      <w:r w:rsidRPr="00795F17">
        <w:rPr>
          <w:rFonts w:asciiTheme="minorHAnsi" w:hAnsiTheme="minorHAnsi" w:cstheme="minorHAnsi"/>
          <w:iCs/>
        </w:rPr>
        <w:t xml:space="preserve"> działań </w:t>
      </w:r>
      <w:r w:rsidRPr="00795F17">
        <w:t>podjętych i planowanych w podziale na poszczególne kategorie przedstawia rozdział 13 IIaPGW.</w:t>
      </w:r>
      <w:bookmarkEnd w:id="547"/>
    </w:p>
    <w:p w14:paraId="400035E3" w14:textId="111DE29B" w:rsidR="00382740" w:rsidRPr="00795F17" w:rsidRDefault="00DF005E" w:rsidP="0044393D">
      <w:pPr>
        <w:pStyle w:val="Nagwek5"/>
        <w:rPr>
          <w:rFonts w:cs="Calibri"/>
          <w:color w:val="000000"/>
        </w:rPr>
      </w:pPr>
      <w:r>
        <w:t>JCWP</w:t>
      </w:r>
      <w:r w:rsidR="00382740" w:rsidRPr="00795F17">
        <w:t xml:space="preserve"> RW</w:t>
      </w:r>
    </w:p>
    <w:p w14:paraId="6320109E" w14:textId="6E59D1CA" w:rsidR="00382740" w:rsidRPr="00795F17" w:rsidRDefault="00382740" w:rsidP="0044393D">
      <w:pPr>
        <w:rPr>
          <w:sz w:val="24"/>
          <w:szCs w:val="24"/>
        </w:rPr>
      </w:pPr>
      <w:r w:rsidRPr="00795F17">
        <w:t xml:space="preserve">W aPWŚK dla </w:t>
      </w:r>
      <w:r w:rsidR="00DF005E">
        <w:t>JCWP</w:t>
      </w:r>
      <w:r w:rsidRPr="00795F17">
        <w:t xml:space="preserve"> RW zaplanowanych zostało ponad 20 tys. działań podzielonych na 7 kategorii:</w:t>
      </w:r>
    </w:p>
    <w:p w14:paraId="602A5E5B" w14:textId="77777777" w:rsidR="00382740" w:rsidRPr="00795F17" w:rsidRDefault="00382740" w:rsidP="00117E86">
      <w:pPr>
        <w:pStyle w:val="Listapunktowana2"/>
      </w:pPr>
      <w:r w:rsidRPr="00795F17">
        <w:t>gospodarka komunalna,</w:t>
      </w:r>
    </w:p>
    <w:p w14:paraId="5472A48C" w14:textId="77777777" w:rsidR="00382740" w:rsidRPr="00795F17" w:rsidRDefault="00382740" w:rsidP="00117E86">
      <w:pPr>
        <w:pStyle w:val="Listapunktowana2"/>
      </w:pPr>
      <w:r w:rsidRPr="00795F17">
        <w:t>rolnictwo,</w:t>
      </w:r>
    </w:p>
    <w:p w14:paraId="4D1F6062" w14:textId="77777777" w:rsidR="00382740" w:rsidRPr="00795F17" w:rsidRDefault="00382740" w:rsidP="00117E86">
      <w:pPr>
        <w:pStyle w:val="Listapunktowana2"/>
      </w:pPr>
      <w:r w:rsidRPr="00795F17">
        <w:t xml:space="preserve">kształtowanie stosunków wodnych oraz ochrona ekosystemów od wód zależnych (w tym morfologia i zachowanie ciągłości biologicznej cieków), </w:t>
      </w:r>
    </w:p>
    <w:p w14:paraId="47C15B0E" w14:textId="77777777" w:rsidR="00382740" w:rsidRPr="00795F17" w:rsidRDefault="00382740" w:rsidP="00117E86">
      <w:pPr>
        <w:pStyle w:val="Listapunktowana2"/>
      </w:pPr>
      <w:r w:rsidRPr="00795F17">
        <w:t>monitoring,</w:t>
      </w:r>
    </w:p>
    <w:p w14:paraId="5FCEFE8D" w14:textId="77777777" w:rsidR="00382740" w:rsidRPr="00795F17" w:rsidRDefault="00382740" w:rsidP="00117E86">
      <w:pPr>
        <w:pStyle w:val="Listapunktowana2"/>
      </w:pPr>
      <w:r w:rsidRPr="00795F17">
        <w:t>działania kontrolne,</w:t>
      </w:r>
    </w:p>
    <w:p w14:paraId="23085897" w14:textId="77777777" w:rsidR="00382740" w:rsidRPr="00795F17" w:rsidRDefault="00382740" w:rsidP="00117E86">
      <w:pPr>
        <w:pStyle w:val="Listapunktowana2"/>
      </w:pPr>
      <w:r w:rsidRPr="00795F17">
        <w:t>działania organizacyjno-prawne i edukacyjne,</w:t>
      </w:r>
    </w:p>
    <w:p w14:paraId="123B6BE1" w14:textId="77777777" w:rsidR="00382740" w:rsidRPr="00795F17" w:rsidRDefault="00382740" w:rsidP="00117E86">
      <w:pPr>
        <w:pStyle w:val="Listapunktowana2"/>
      </w:pPr>
      <w:r w:rsidRPr="00795F17">
        <w:t>rekultywacja.</w:t>
      </w:r>
    </w:p>
    <w:p w14:paraId="0CA6541C" w14:textId="4439EC4C" w:rsidR="00382740" w:rsidRPr="00795F17" w:rsidRDefault="00382740" w:rsidP="0044393D">
      <w:r w:rsidRPr="00795F17">
        <w:t xml:space="preserve">Średni stopień realizacji działań dla </w:t>
      </w:r>
      <w:r w:rsidR="00DF005E">
        <w:t>JCWP</w:t>
      </w:r>
      <w:r w:rsidRPr="00795F17">
        <w:t xml:space="preserve"> RW zgodnie z deklaracjami podmiotów realizujących prace, wyniósł 10,2%. W większym stopniu zaawansowane są działania podstawowe, niż działania uzupełniające. Dla działań uzupełniających w większym stopniu jednostki zadeklarowały brak danych pozwalających na określenie statusu realizacji. Udział działań nierozpoczętych jest podobny dla obu rodzajów działań (wykres 10-4).</w:t>
      </w:r>
      <w:r w:rsidR="00166A55">
        <w:t xml:space="preserve"> </w:t>
      </w:r>
      <w:r w:rsidR="00166A55">
        <w:rPr>
          <w:rFonts w:cs="Calibri"/>
          <w:color w:val="000000"/>
        </w:rPr>
        <w:t>Kategorią działań o najmniejszym stwierdzonym stopniu zaawansowania są działania organizacyjno-prawne i edukacyjne, których stopień zaawansowania określony został na poziomie ok. 20%.</w:t>
      </w:r>
    </w:p>
    <w:p w14:paraId="63F56094" w14:textId="3E4CF0D0" w:rsidR="00382740" w:rsidRPr="00795F17" w:rsidRDefault="00382740" w:rsidP="0044393D">
      <w:pPr>
        <w:rPr>
          <w:rFonts w:cstheme="minorHAnsi"/>
          <w:bCs/>
        </w:rPr>
      </w:pPr>
      <w:r w:rsidRPr="00795F17">
        <w:rPr>
          <w:noProof/>
          <w:lang w:eastAsia="pl-PL"/>
        </w:rPr>
        <w:drawing>
          <wp:inline distT="0" distB="0" distL="0" distR="0" wp14:anchorId="3B27E9E3" wp14:editId="4A969FAD">
            <wp:extent cx="5743575" cy="2886075"/>
            <wp:effectExtent l="0" t="0" r="9525" b="9525"/>
            <wp:docPr id="861924051" name="Obraz 86192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61924051"/>
                    <pic:cNvPicPr/>
                  </pic:nvPicPr>
                  <pic:blipFill>
                    <a:blip r:embed="rId95">
                      <a:extLst>
                        <a:ext uri="{28A0092B-C50C-407E-A947-70E740481C1C}">
                          <a14:useLocalDpi xmlns:a14="http://schemas.microsoft.com/office/drawing/2010/main" val="0"/>
                        </a:ext>
                      </a:extLst>
                    </a:blip>
                    <a:stretch>
                      <a:fillRect/>
                    </a:stretch>
                  </pic:blipFill>
                  <pic:spPr>
                    <a:xfrm>
                      <a:off x="0" y="0"/>
                      <a:ext cx="5743575" cy="2886075"/>
                    </a:xfrm>
                    <a:prstGeom prst="rect">
                      <a:avLst/>
                    </a:prstGeom>
                  </pic:spPr>
                </pic:pic>
              </a:graphicData>
            </a:graphic>
          </wp:inline>
        </w:drawing>
      </w:r>
    </w:p>
    <w:p w14:paraId="578706A0" w14:textId="51A983BE" w:rsidR="00382740" w:rsidRPr="00795F17" w:rsidRDefault="00382740" w:rsidP="00B479EE">
      <w:pPr>
        <w:pStyle w:val="Wykres"/>
        <w:rPr>
          <w:rFonts w:eastAsia="Times New Roman"/>
          <w:i/>
          <w:iCs/>
          <w:lang w:eastAsia="pl-PL"/>
        </w:rPr>
      </w:pPr>
      <w:bookmarkStart w:id="548" w:name="_Toc66305991"/>
      <w:bookmarkStart w:id="549" w:name="_Toc105513006"/>
      <w:r w:rsidRPr="00795F17">
        <w:t xml:space="preserve">Wykres </w:t>
      </w:r>
      <w:fldSimple w:instr=" STYLEREF 1 \s ">
        <w:r w:rsidR="001F774D">
          <w:rPr>
            <w:noProof/>
          </w:rPr>
          <w:t>10</w:t>
        </w:r>
      </w:fldSimple>
      <w:r w:rsidR="00FF20D3">
        <w:noBreakHyphen/>
      </w:r>
      <w:fldSimple w:instr=" SEQ Wykres \* ARABIC \s 1 ">
        <w:r w:rsidR="001F774D">
          <w:rPr>
            <w:noProof/>
          </w:rPr>
          <w:t>4</w:t>
        </w:r>
      </w:fldSimple>
      <w:r w:rsidR="001D534F">
        <w:rPr>
          <w:noProof/>
        </w:rPr>
        <w:t>.</w:t>
      </w:r>
      <w:r w:rsidRPr="00795F17">
        <w:tab/>
        <w:t xml:space="preserve">Udział działań o określonym statusie w podziale na działania podstawowe i uzupełniające - </w:t>
      </w:r>
      <w:r w:rsidR="00DF005E">
        <w:t>JCWP</w:t>
      </w:r>
      <w:r w:rsidRPr="00795F17">
        <w:t xml:space="preserve"> RW (w skali kraju)</w:t>
      </w:r>
      <w:bookmarkEnd w:id="548"/>
      <w:bookmarkEnd w:id="549"/>
    </w:p>
    <w:p w14:paraId="72160170" w14:textId="74D9BE19" w:rsidR="00382740" w:rsidRPr="00795F17" w:rsidRDefault="00382740" w:rsidP="0044393D">
      <w:pPr>
        <w:pStyle w:val="rdo"/>
      </w:pPr>
      <w:r w:rsidRPr="00795F17">
        <w:t xml:space="preserve">Źródło: Ocena postępu we wdrażaniu programów działań dla </w:t>
      </w:r>
      <w:r w:rsidR="00DF005E">
        <w:t>JCWP</w:t>
      </w:r>
      <w:r w:rsidRPr="00795F17">
        <w:t xml:space="preserve"> i </w:t>
      </w:r>
      <w:r w:rsidR="00DF005E">
        <w:t>JCWP</w:t>
      </w:r>
      <w:r w:rsidRPr="00795F17">
        <w:t>d wynikających z aPWŚK (2018)</w:t>
      </w:r>
    </w:p>
    <w:p w14:paraId="5142134F" w14:textId="2E3C3945" w:rsidR="00382740" w:rsidRPr="00795F17" w:rsidRDefault="00DF005E" w:rsidP="0044393D">
      <w:pPr>
        <w:pStyle w:val="Nagwek5"/>
        <w:rPr>
          <w:rFonts w:cs="Calibri"/>
          <w:color w:val="000000"/>
          <w:lang w:eastAsia="pl-PL"/>
        </w:rPr>
      </w:pPr>
      <w:r>
        <w:t>JCWP</w:t>
      </w:r>
      <w:r w:rsidR="00382740" w:rsidRPr="00795F17">
        <w:t xml:space="preserve"> LW</w:t>
      </w:r>
    </w:p>
    <w:p w14:paraId="6EEB8DA5" w14:textId="2E50647F" w:rsidR="00382740" w:rsidRPr="00795F17" w:rsidRDefault="00382740" w:rsidP="0044393D">
      <w:pPr>
        <w:rPr>
          <w:sz w:val="24"/>
          <w:szCs w:val="24"/>
        </w:rPr>
      </w:pPr>
      <w:r w:rsidRPr="00795F17">
        <w:t xml:space="preserve">Program działań w aPWŚK, dotyczących </w:t>
      </w:r>
      <w:r w:rsidR="00DF005E">
        <w:t>JCWP</w:t>
      </w:r>
      <w:r w:rsidRPr="00795F17">
        <w:t xml:space="preserve"> LW obejmował 33 działania zgrupowane w sześciu kategoriach:</w:t>
      </w:r>
    </w:p>
    <w:p w14:paraId="5DA5EBE0" w14:textId="77777777" w:rsidR="00382740" w:rsidRPr="00795F17" w:rsidRDefault="00382740" w:rsidP="00117E86">
      <w:pPr>
        <w:pStyle w:val="Listapunktowana2"/>
      </w:pPr>
      <w:r w:rsidRPr="00795F17">
        <w:t>gospodarka komunalna</w:t>
      </w:r>
    </w:p>
    <w:p w14:paraId="4156D0CF" w14:textId="77777777" w:rsidR="00382740" w:rsidRPr="00795F17" w:rsidRDefault="00382740" w:rsidP="00117E86">
      <w:pPr>
        <w:pStyle w:val="Listapunktowana2"/>
      </w:pPr>
      <w:r w:rsidRPr="00795F17">
        <w:t>rolnictwo,</w:t>
      </w:r>
    </w:p>
    <w:p w14:paraId="3A956646" w14:textId="77777777" w:rsidR="00382740" w:rsidRPr="00795F17" w:rsidRDefault="00382740" w:rsidP="00117E86">
      <w:pPr>
        <w:pStyle w:val="Listapunktowana2"/>
      </w:pPr>
      <w:r w:rsidRPr="00795F17">
        <w:t xml:space="preserve">działania organizacyjno-prawne i edukacyjne, </w:t>
      </w:r>
    </w:p>
    <w:p w14:paraId="10815370" w14:textId="77777777" w:rsidR="00382740" w:rsidRPr="00795F17" w:rsidRDefault="00382740" w:rsidP="00117E86">
      <w:pPr>
        <w:pStyle w:val="Listapunktowana2"/>
      </w:pPr>
      <w:r w:rsidRPr="00795F17">
        <w:t>rekultywacja,</w:t>
      </w:r>
    </w:p>
    <w:p w14:paraId="4C6AB884" w14:textId="77777777" w:rsidR="00382740" w:rsidRPr="00795F17" w:rsidRDefault="00382740" w:rsidP="00117E86">
      <w:pPr>
        <w:pStyle w:val="Listapunktowana2"/>
      </w:pPr>
      <w:r w:rsidRPr="00795F17">
        <w:t>monitoring,</w:t>
      </w:r>
    </w:p>
    <w:p w14:paraId="35358F13" w14:textId="77777777" w:rsidR="00382740" w:rsidRPr="00795F17" w:rsidRDefault="00382740" w:rsidP="00117E86">
      <w:pPr>
        <w:pStyle w:val="Listapunktowana2"/>
      </w:pPr>
      <w:r w:rsidRPr="00795F17">
        <w:t>działania kontrolne.</w:t>
      </w:r>
    </w:p>
    <w:p w14:paraId="62BE8DB0" w14:textId="1F229EDB" w:rsidR="00382740" w:rsidRPr="00795F17" w:rsidRDefault="00382740" w:rsidP="0044393D">
      <w:r w:rsidRPr="00795F17">
        <w:t xml:space="preserve">Łącznie, wszystkim 769 </w:t>
      </w:r>
      <w:r w:rsidR="00DF005E">
        <w:t>JCWP</w:t>
      </w:r>
      <w:r w:rsidRPr="00795F17">
        <w:t xml:space="preserve"> LW (układ planistyczny aPGW) ze wskazanymi działaniami, przypisane zostały 1</w:t>
      </w:r>
      <w:r w:rsidR="00325793" w:rsidRPr="00795F17">
        <w:t> </w:t>
      </w:r>
      <w:r w:rsidRPr="00795F17">
        <w:t xml:space="preserve">842 działania. Dodatkowo, 215 </w:t>
      </w:r>
      <w:r w:rsidR="00DF005E">
        <w:t>JCWP</w:t>
      </w:r>
      <w:r w:rsidRPr="00795F17">
        <w:t xml:space="preserve"> przypisano działanie o brzmieniu „część wód przepływowa, niezagrożona </w:t>
      </w:r>
      <w:r w:rsidR="005157C7">
        <w:t>–</w:t>
      </w:r>
      <w:r w:rsidR="00325793" w:rsidRPr="00795F17">
        <w:t xml:space="preserve"> </w:t>
      </w:r>
      <w:r w:rsidRPr="00795F17">
        <w:t xml:space="preserve">tylko działania na poziomie krajowym oraz dla </w:t>
      </w:r>
      <w:r w:rsidR="00DF005E">
        <w:t>JCWP</w:t>
      </w:r>
      <w:r w:rsidRPr="00795F17">
        <w:t xml:space="preserve"> rzek”, co oznacza, że</w:t>
      </w:r>
      <w:r w:rsidR="00325793" w:rsidRPr="00795F17">
        <w:t> </w:t>
      </w:r>
      <w:r w:rsidRPr="00795F17">
        <w:t xml:space="preserve">nie miały one wskazanych żadnych dedykowanych działań dla </w:t>
      </w:r>
      <w:r w:rsidR="00DF005E">
        <w:t>JCWP</w:t>
      </w:r>
      <w:r w:rsidRPr="00795F17">
        <w:t xml:space="preserve"> LW.</w:t>
      </w:r>
      <w:r w:rsidR="00166A55">
        <w:t xml:space="preserve"> W przypadku </w:t>
      </w:r>
      <w:r w:rsidR="00DF005E">
        <w:t>JCWP</w:t>
      </w:r>
      <w:r w:rsidR="00166A55">
        <w:t xml:space="preserve"> LW kategorią działań o najniższym stopniu zaawansowania stanowi kategoria monitoring.</w:t>
      </w:r>
    </w:p>
    <w:p w14:paraId="434E8536" w14:textId="22F51E3B" w:rsidR="00382740" w:rsidRPr="00795F17" w:rsidRDefault="00382740" w:rsidP="0044393D">
      <w:r w:rsidRPr="00795F17">
        <w:t xml:space="preserve">Największej liczbie jezior zostały przypisane działania kontrolne (wszystkie </w:t>
      </w:r>
      <w:r w:rsidR="00DF005E">
        <w:t>JCWP</w:t>
      </w:r>
      <w:r w:rsidRPr="00795F17">
        <w:t xml:space="preserve"> wskazane do</w:t>
      </w:r>
      <w:r w:rsidR="00325793" w:rsidRPr="00795F17">
        <w:t> </w:t>
      </w:r>
      <w:r w:rsidRPr="00795F17">
        <w:t>przypisania działań</w:t>
      </w:r>
      <w:r w:rsidR="00325793" w:rsidRPr="00795F17">
        <w:t>,</w:t>
      </w:r>
      <w:r w:rsidRPr="00795F17">
        <w:t xml:space="preserve"> tj. 769 w skali kraju) i z zakresu gospodarki komunalnej, najmniejszej zaś działania z kategorii rolnictwa i działań organizacyjno-prawnych i edukacyjnych (wykres 10-5).</w:t>
      </w:r>
    </w:p>
    <w:p w14:paraId="164C573A" w14:textId="77777777" w:rsidR="00382740" w:rsidRPr="00795F17" w:rsidRDefault="00382740" w:rsidP="003D121A">
      <w:pPr>
        <w:jc w:val="center"/>
        <w:rPr>
          <w:rFonts w:cs="Calibri"/>
          <w:color w:val="000000"/>
        </w:rPr>
      </w:pPr>
      <w:r w:rsidRPr="00795F17">
        <w:rPr>
          <w:noProof/>
          <w:lang w:eastAsia="pl-PL"/>
        </w:rPr>
        <w:drawing>
          <wp:inline distT="0" distB="0" distL="0" distR="0" wp14:anchorId="31E3C832" wp14:editId="0B130343">
            <wp:extent cx="4010400" cy="2340000"/>
            <wp:effectExtent l="0" t="0" r="9525" b="3175"/>
            <wp:docPr id="861924052" name="Wykres 861924052">
              <a:extLst xmlns:a="http://schemas.openxmlformats.org/drawingml/2006/main">
                <a:ext uri="{FF2B5EF4-FFF2-40B4-BE49-F238E27FC236}">
                  <a16:creationId xmlns:a16="http://schemas.microsoft.com/office/drawing/2014/main" id="{DD8C3A37-433C-4ECA-B89A-968189985B9E}"/>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09BB035F" w14:textId="6F2FF2ED" w:rsidR="00382740" w:rsidRPr="00795F17" w:rsidRDefault="00382740" w:rsidP="00B479EE">
      <w:pPr>
        <w:pStyle w:val="Wykres"/>
      </w:pPr>
      <w:bookmarkStart w:id="550" w:name="_Toc66305992"/>
      <w:bookmarkStart w:id="551" w:name="_Toc105513007"/>
      <w:r w:rsidRPr="00795F17">
        <w:t xml:space="preserve">Wykres </w:t>
      </w:r>
      <w:fldSimple w:instr=" STYLEREF 1 \s ">
        <w:r w:rsidR="001F774D">
          <w:rPr>
            <w:noProof/>
          </w:rPr>
          <w:t>10</w:t>
        </w:r>
      </w:fldSimple>
      <w:r w:rsidR="00FF20D3">
        <w:noBreakHyphen/>
      </w:r>
      <w:fldSimple w:instr=" SEQ Wykres \* ARABIC \s 1 ">
        <w:r w:rsidR="001F774D">
          <w:rPr>
            <w:noProof/>
          </w:rPr>
          <w:t>5</w:t>
        </w:r>
      </w:fldSimple>
      <w:r w:rsidR="001D534F">
        <w:rPr>
          <w:noProof/>
        </w:rPr>
        <w:t>.</w:t>
      </w:r>
      <w:r w:rsidRPr="00795F17">
        <w:tab/>
      </w:r>
      <w:r w:rsidR="004D33EC">
        <w:t>Udział</w:t>
      </w:r>
      <w:r w:rsidR="004D33EC" w:rsidRPr="00795F17">
        <w:t xml:space="preserve"> </w:t>
      </w:r>
      <w:r w:rsidR="00DF005E">
        <w:t>JCWP</w:t>
      </w:r>
      <w:r w:rsidRPr="00795F17">
        <w:t xml:space="preserve"> LW z przypisanymi działaniami danej kategorii</w:t>
      </w:r>
      <w:bookmarkEnd w:id="550"/>
      <w:bookmarkEnd w:id="551"/>
      <w:r w:rsidRPr="00795F17">
        <w:t xml:space="preserve"> </w:t>
      </w:r>
    </w:p>
    <w:p w14:paraId="667D08EF" w14:textId="57480D0A" w:rsidR="00382740" w:rsidRPr="00795F17" w:rsidRDefault="00382740" w:rsidP="0044393D">
      <w:pPr>
        <w:pStyle w:val="rdo"/>
      </w:pPr>
      <w:r w:rsidRPr="00795F17">
        <w:t xml:space="preserve">Źródło: </w:t>
      </w:r>
      <w:r w:rsidR="00FD7248" w:rsidRPr="00795F17">
        <w:t>opracowanie własne</w:t>
      </w:r>
      <w:r w:rsidRPr="00795F17">
        <w:t xml:space="preserve"> na podstawie Oceny postępu we wdrażaniu programów działań dla </w:t>
      </w:r>
      <w:r w:rsidR="00DF005E">
        <w:t>JCWP</w:t>
      </w:r>
      <w:r w:rsidRPr="00795F17">
        <w:t xml:space="preserve"> i </w:t>
      </w:r>
      <w:r w:rsidR="00DF005E">
        <w:t>JCWP</w:t>
      </w:r>
      <w:r w:rsidRPr="00795F17">
        <w:t xml:space="preserve">d </w:t>
      </w:r>
      <w:r w:rsidR="00893245" w:rsidRPr="00795F17">
        <w:br/>
      </w:r>
      <w:r w:rsidRPr="00795F17">
        <w:t>wynikających z aPWŚK (2018)</w:t>
      </w:r>
    </w:p>
    <w:p w14:paraId="2ED65507" w14:textId="570095E1" w:rsidR="00325793" w:rsidRPr="00795F17" w:rsidRDefault="00325793" w:rsidP="00325793">
      <w:pPr>
        <w:rPr>
          <w:sz w:val="24"/>
          <w:szCs w:val="24"/>
        </w:rPr>
      </w:pPr>
      <w:r w:rsidRPr="00795F17">
        <w:t xml:space="preserve">W przypadku </w:t>
      </w:r>
      <w:r w:rsidR="00DF005E">
        <w:t>JCWP</w:t>
      </w:r>
      <w:r w:rsidRPr="00795F17">
        <w:t xml:space="preserve"> LW działania ciągłe, dla których nie ma możliwości określenia stopnia ich realizacji, z powodu braku danych przekazanych przez podmioty odpowiedzialne za sprawozdawczość, stanowią 58% wszystkich działań zaplanowanych w obszarze dorzecza Odry dla </w:t>
      </w:r>
      <w:r w:rsidR="00DF005E">
        <w:t>JCWP</w:t>
      </w:r>
      <w:r w:rsidRPr="00795F17">
        <w:t xml:space="preserve"> LW.</w:t>
      </w:r>
    </w:p>
    <w:p w14:paraId="65CCA638" w14:textId="4F2EBC33" w:rsidR="00382740" w:rsidRPr="00795F17" w:rsidRDefault="00DF005E" w:rsidP="0044393D">
      <w:pPr>
        <w:pStyle w:val="Nagwek5"/>
        <w:rPr>
          <w:rFonts w:cs="Calibri"/>
          <w:color w:val="000000"/>
        </w:rPr>
      </w:pPr>
      <w:r>
        <w:t>JCWP</w:t>
      </w:r>
      <w:r w:rsidR="00382740" w:rsidRPr="00795F17">
        <w:t xml:space="preserve"> TW i CW</w:t>
      </w:r>
    </w:p>
    <w:p w14:paraId="771193AC" w14:textId="77777777" w:rsidR="00382740" w:rsidRPr="00795F17" w:rsidRDefault="00382740" w:rsidP="0044393D">
      <w:pPr>
        <w:rPr>
          <w:sz w:val="24"/>
          <w:szCs w:val="24"/>
        </w:rPr>
      </w:pPr>
      <w:r w:rsidRPr="00795F17">
        <w:t>Działania przypisane do wód przejściowych i przybrzeżnych w programie działań aPWŚK zgrupowane zostały w 7 kategorii:</w:t>
      </w:r>
    </w:p>
    <w:p w14:paraId="785B2BCF" w14:textId="77777777" w:rsidR="00382740" w:rsidRPr="00795F17" w:rsidRDefault="00382740" w:rsidP="00117E86">
      <w:pPr>
        <w:pStyle w:val="Listapunktowana2"/>
      </w:pPr>
      <w:r w:rsidRPr="00795F17">
        <w:t>gospodarka komunalna,</w:t>
      </w:r>
    </w:p>
    <w:p w14:paraId="5CACADFE" w14:textId="77777777" w:rsidR="00382740" w:rsidRPr="00795F17" w:rsidRDefault="00382740" w:rsidP="00117E86">
      <w:pPr>
        <w:pStyle w:val="Listapunktowana2"/>
      </w:pPr>
      <w:r w:rsidRPr="00795F17">
        <w:t>rolnictwo,</w:t>
      </w:r>
    </w:p>
    <w:p w14:paraId="679BC49C" w14:textId="77777777" w:rsidR="00382740" w:rsidRPr="00795F17" w:rsidRDefault="00382740" w:rsidP="00117E86">
      <w:pPr>
        <w:pStyle w:val="Listapunktowana2"/>
      </w:pPr>
      <w:r w:rsidRPr="00795F17">
        <w:t>kształtowanie naturalnych warunków hydrologicznych,</w:t>
      </w:r>
    </w:p>
    <w:p w14:paraId="5DD27E9E" w14:textId="77777777" w:rsidR="00382740" w:rsidRPr="00795F17" w:rsidRDefault="00382740" w:rsidP="00117E86">
      <w:pPr>
        <w:pStyle w:val="Listapunktowana2"/>
      </w:pPr>
      <w:r w:rsidRPr="00795F17">
        <w:t xml:space="preserve">kształtowanie naturalnych warunków hydrodynamicznych, </w:t>
      </w:r>
    </w:p>
    <w:p w14:paraId="6F506D74" w14:textId="77777777" w:rsidR="00382740" w:rsidRPr="00795F17" w:rsidRDefault="00382740" w:rsidP="00117E86">
      <w:pPr>
        <w:pStyle w:val="Listapunktowana2"/>
      </w:pPr>
      <w:r w:rsidRPr="00795F17">
        <w:t>monitoring,</w:t>
      </w:r>
    </w:p>
    <w:p w14:paraId="7B83F738" w14:textId="77777777" w:rsidR="00382740" w:rsidRPr="00795F17" w:rsidRDefault="00382740" w:rsidP="00117E86">
      <w:pPr>
        <w:pStyle w:val="Listapunktowana2"/>
      </w:pPr>
      <w:r w:rsidRPr="00795F17">
        <w:t>działania organizacyjno-prawne i edukacyjne,</w:t>
      </w:r>
    </w:p>
    <w:p w14:paraId="10B017C2" w14:textId="77777777" w:rsidR="00382740" w:rsidRPr="00795F17" w:rsidRDefault="00382740" w:rsidP="00117E86">
      <w:pPr>
        <w:pStyle w:val="Listapunktowana2"/>
      </w:pPr>
      <w:r w:rsidRPr="00795F17">
        <w:t>projekt badawczy.</w:t>
      </w:r>
    </w:p>
    <w:p w14:paraId="4E8C1D0E" w14:textId="74CA45EF" w:rsidR="00382740" w:rsidRPr="00795F17" w:rsidRDefault="00325793" w:rsidP="0044393D">
      <w:r w:rsidRPr="00795F17">
        <w:t>Ww. k</w:t>
      </w:r>
      <w:r w:rsidR="00382740" w:rsidRPr="00795F17">
        <w:t>ategori</w:t>
      </w:r>
      <w:r w:rsidRPr="00795F17">
        <w:t>e</w:t>
      </w:r>
      <w:r w:rsidR="00382740" w:rsidRPr="00795F17">
        <w:t xml:space="preserve"> podzielone są dodatkow</w:t>
      </w:r>
      <w:r w:rsidRPr="00795F17">
        <w:t>o</w:t>
      </w:r>
      <w:r w:rsidR="00382740" w:rsidRPr="00795F17">
        <w:t xml:space="preserve"> na 12 grup obejmujących łącznie 30 typów działań.</w:t>
      </w:r>
    </w:p>
    <w:p w14:paraId="70438909" w14:textId="1C849AAF" w:rsidR="00382740" w:rsidRPr="00795F17" w:rsidRDefault="00382740" w:rsidP="0044393D">
      <w:r w:rsidRPr="00795F17">
        <w:t xml:space="preserve">Dla </w:t>
      </w:r>
      <w:r w:rsidR="00DF005E">
        <w:t>JCWP</w:t>
      </w:r>
      <w:r w:rsidRPr="00795F17">
        <w:t xml:space="preserve"> TW i CW ogólny stopień realizacji działań zaplanowanych dla </w:t>
      </w:r>
      <w:r w:rsidR="00DF005E">
        <w:t>JCWP</w:t>
      </w:r>
      <w:r w:rsidRPr="00795F17">
        <w:t xml:space="preserve"> występujących na obszarze dorzecza </w:t>
      </w:r>
      <w:r w:rsidR="00D635B0" w:rsidRPr="00795F17">
        <w:t>Odry</w:t>
      </w:r>
      <w:r w:rsidRPr="00795F17">
        <w:t xml:space="preserve"> wynosi 10,3%. Więcej zadeklarowanych ukończonych działań dotyczy działań podstawowych. Wśród działań nierozpoczętych dominują działania podstawowe. Żadne z działań uzupełniających nie jest zaklasyfikowane jako w trakcie przygotowania.</w:t>
      </w:r>
    </w:p>
    <w:p w14:paraId="69ED0E23" w14:textId="38B0A576" w:rsidR="00382740" w:rsidRPr="00795F17" w:rsidRDefault="00BD50C0" w:rsidP="003D121A">
      <w:pPr>
        <w:jc w:val="center"/>
        <w:rPr>
          <w:rFonts w:cs="Calibri"/>
        </w:rPr>
      </w:pPr>
      <w:r w:rsidRPr="00797F74">
        <w:rPr>
          <w:rFonts w:cs="Calibri"/>
          <w:noProof/>
        </w:rPr>
        <w:drawing>
          <wp:inline distT="0" distB="0" distL="0" distR="0" wp14:anchorId="6BC87FD9" wp14:editId="05DD9BD3">
            <wp:extent cx="4706007" cy="2829320"/>
            <wp:effectExtent l="0" t="0" r="0" b="9525"/>
            <wp:docPr id="1866059331" name="Obraz 186605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706007" cy="2829320"/>
                    </a:xfrm>
                    <a:prstGeom prst="rect">
                      <a:avLst/>
                    </a:prstGeom>
                  </pic:spPr>
                </pic:pic>
              </a:graphicData>
            </a:graphic>
          </wp:inline>
        </w:drawing>
      </w:r>
    </w:p>
    <w:p w14:paraId="464435E6" w14:textId="1D876550" w:rsidR="00382740" w:rsidRPr="00795F17" w:rsidRDefault="00382740" w:rsidP="00B479EE">
      <w:pPr>
        <w:pStyle w:val="Wykres"/>
      </w:pPr>
      <w:bookmarkStart w:id="552" w:name="_Toc66305993"/>
      <w:bookmarkStart w:id="553" w:name="_Toc105513008"/>
      <w:r w:rsidRPr="00795F17">
        <w:t xml:space="preserve">Wykres </w:t>
      </w:r>
      <w:fldSimple w:instr=" STYLEREF 1 \s ">
        <w:r w:rsidR="001F774D">
          <w:rPr>
            <w:noProof/>
          </w:rPr>
          <w:t>10</w:t>
        </w:r>
      </w:fldSimple>
      <w:r w:rsidR="00FF20D3">
        <w:noBreakHyphen/>
      </w:r>
      <w:fldSimple w:instr=" SEQ Wykres \* ARABIC \s 1 ">
        <w:r w:rsidR="001F774D">
          <w:rPr>
            <w:noProof/>
          </w:rPr>
          <w:t>6</w:t>
        </w:r>
      </w:fldSimple>
      <w:r w:rsidR="001D534F">
        <w:rPr>
          <w:noProof/>
        </w:rPr>
        <w:t>.</w:t>
      </w:r>
      <w:r w:rsidRPr="00795F17">
        <w:tab/>
        <w:t xml:space="preserve">Udział działań o określonym statusie w podziale na działania podstawowe i uzupełniające </w:t>
      </w:r>
      <w:r w:rsidR="005157C7">
        <w:t>–</w:t>
      </w:r>
      <w:r w:rsidRPr="00795F17">
        <w:t xml:space="preserve"> </w:t>
      </w:r>
      <w:r w:rsidR="00DF005E">
        <w:t>JCWP</w:t>
      </w:r>
      <w:r w:rsidRPr="00795F17">
        <w:t xml:space="preserve"> TW i CW (w skali kraju)</w:t>
      </w:r>
      <w:bookmarkEnd w:id="552"/>
      <w:bookmarkEnd w:id="553"/>
    </w:p>
    <w:p w14:paraId="41D48296" w14:textId="6B72BC6E" w:rsidR="00382740" w:rsidRPr="00795F17" w:rsidRDefault="00382740" w:rsidP="0044393D">
      <w:pPr>
        <w:pStyle w:val="rdo"/>
      </w:pPr>
      <w:r w:rsidRPr="00795F17">
        <w:t xml:space="preserve">Źródło: Ocena postępu we wdrażaniu programów działań dla </w:t>
      </w:r>
      <w:r w:rsidR="00DF005E">
        <w:t>JCWP</w:t>
      </w:r>
      <w:r w:rsidRPr="00795F17">
        <w:t xml:space="preserve"> i </w:t>
      </w:r>
      <w:r w:rsidR="00DF005E">
        <w:t>JCWP</w:t>
      </w:r>
      <w:r w:rsidRPr="00795F17">
        <w:t>d wynikających z aPWŚK (2018)</w:t>
      </w:r>
    </w:p>
    <w:p w14:paraId="10A279A7" w14:textId="2B382340" w:rsidR="00382740" w:rsidRPr="00795F17" w:rsidRDefault="00DF005E" w:rsidP="0044393D">
      <w:pPr>
        <w:pStyle w:val="Nagwek5"/>
        <w:rPr>
          <w:rFonts w:asciiTheme="minorHAnsi" w:hAnsiTheme="minorHAnsi" w:cstheme="minorHAnsi"/>
        </w:rPr>
      </w:pPr>
      <w:r>
        <w:t>JCWP</w:t>
      </w:r>
      <w:r w:rsidR="00382740" w:rsidRPr="00795F17">
        <w:t>d</w:t>
      </w:r>
    </w:p>
    <w:p w14:paraId="4421C83F" w14:textId="428F070E" w:rsidR="00382740" w:rsidRPr="00795F17" w:rsidRDefault="00382740" w:rsidP="0044393D">
      <w:pPr>
        <w:rPr>
          <w:sz w:val="24"/>
          <w:szCs w:val="24"/>
        </w:rPr>
      </w:pPr>
      <w:r w:rsidRPr="00795F17">
        <w:t xml:space="preserve">Działania przypisane do </w:t>
      </w:r>
      <w:r w:rsidR="00DF005E">
        <w:t>JCWP</w:t>
      </w:r>
      <w:r w:rsidRPr="00795F17">
        <w:t xml:space="preserve">d w aPWŚK zgrupowano w 7 kategorii: </w:t>
      </w:r>
    </w:p>
    <w:p w14:paraId="5F0BE4CA" w14:textId="77777777" w:rsidR="00382740" w:rsidRPr="00795F17" w:rsidRDefault="00382740" w:rsidP="00117E86">
      <w:pPr>
        <w:pStyle w:val="Listapunktowana2"/>
      </w:pPr>
      <w:r w:rsidRPr="00795F17">
        <w:t>działania kontrolne,</w:t>
      </w:r>
    </w:p>
    <w:p w14:paraId="6654F34B" w14:textId="77777777" w:rsidR="00382740" w:rsidRPr="00795F17" w:rsidRDefault="00382740" w:rsidP="00117E86">
      <w:pPr>
        <w:pStyle w:val="Listapunktowana2"/>
      </w:pPr>
      <w:r w:rsidRPr="00795F17">
        <w:t>działania organizacyjno-prawne i edukacyjne,</w:t>
      </w:r>
    </w:p>
    <w:p w14:paraId="6406833F" w14:textId="77777777" w:rsidR="00382740" w:rsidRPr="00795F17" w:rsidRDefault="00382740" w:rsidP="00117E86">
      <w:pPr>
        <w:pStyle w:val="Listapunktowana2"/>
      </w:pPr>
      <w:r w:rsidRPr="00795F17">
        <w:t>gospodarka komunalna,</w:t>
      </w:r>
    </w:p>
    <w:p w14:paraId="68E60384" w14:textId="77777777" w:rsidR="00382740" w:rsidRPr="00795F17" w:rsidRDefault="00382740" w:rsidP="00117E86">
      <w:pPr>
        <w:pStyle w:val="Listapunktowana2"/>
      </w:pPr>
      <w:r w:rsidRPr="00795F17">
        <w:t>gospodarka komunalna/przemysł,</w:t>
      </w:r>
    </w:p>
    <w:p w14:paraId="5B21D3EA" w14:textId="77777777" w:rsidR="00382740" w:rsidRPr="00795F17" w:rsidRDefault="00382740" w:rsidP="00117E86">
      <w:pPr>
        <w:pStyle w:val="Listapunktowana2"/>
      </w:pPr>
      <w:r w:rsidRPr="00795F17">
        <w:t>przemysł,</w:t>
      </w:r>
    </w:p>
    <w:p w14:paraId="3BCBA69A" w14:textId="77777777" w:rsidR="00382740" w:rsidRPr="00795F17" w:rsidRDefault="00382740" w:rsidP="00117E86">
      <w:pPr>
        <w:pStyle w:val="Listapunktowana2"/>
      </w:pPr>
      <w:r w:rsidRPr="00795F17">
        <w:t>monitoring,</w:t>
      </w:r>
    </w:p>
    <w:p w14:paraId="0EC33FAF" w14:textId="77777777" w:rsidR="00382740" w:rsidRPr="00795F17" w:rsidRDefault="00382740" w:rsidP="00117E86">
      <w:pPr>
        <w:pStyle w:val="Listapunktowana2"/>
      </w:pPr>
      <w:r w:rsidRPr="00795F17">
        <w:t>rolnictwo.</w:t>
      </w:r>
    </w:p>
    <w:p w14:paraId="736ED8F7" w14:textId="1A7312EE" w:rsidR="00382740" w:rsidRPr="00795F17" w:rsidRDefault="00382740" w:rsidP="0044393D">
      <w:r w:rsidRPr="00795F17">
        <w:t>W</w:t>
      </w:r>
      <w:r w:rsidR="00955BC5">
        <w:t xml:space="preserve">yżej wymienione </w:t>
      </w:r>
      <w:r w:rsidRPr="00795F17">
        <w:t>kategorie zostały dodatkowo podzielone na 9 grup działań obejmujących łącznie 31 typów działań.</w:t>
      </w:r>
    </w:p>
    <w:p w14:paraId="17895F9A" w14:textId="2937635E" w:rsidR="00C52CC5" w:rsidRPr="00795F17" w:rsidRDefault="00382740" w:rsidP="00C52CC5">
      <w:r w:rsidRPr="00795F17">
        <w:t xml:space="preserve">Dla wszystkich 172 </w:t>
      </w:r>
      <w:r w:rsidR="00DF005E">
        <w:t>JCWP</w:t>
      </w:r>
      <w:r w:rsidRPr="00795F17">
        <w:t xml:space="preserve">d (układ planistyczny aPGW) i zaplanowanych dla nich działań uśredniona wartość stopnia zaawansowania realizacji działań wynosi 12%. </w:t>
      </w:r>
      <w:r w:rsidRPr="00795F17">
        <w:rPr>
          <w:rFonts w:cs="Calibri"/>
        </w:rPr>
        <w:t>Działania zakończone stanowią 4</w:t>
      </w:r>
      <w:r w:rsidR="006F06F5">
        <w:rPr>
          <w:rFonts w:cs="Calibri"/>
        </w:rPr>
        <w:t>7</w:t>
      </w:r>
      <w:r w:rsidRPr="00795F17">
        <w:rPr>
          <w:rFonts w:cs="Calibri"/>
        </w:rPr>
        <w:t>%, natomiast działania nierozpoczęte 2</w:t>
      </w:r>
      <w:r w:rsidR="006F06F5">
        <w:rPr>
          <w:rFonts w:cs="Calibri"/>
        </w:rPr>
        <w:t>5</w:t>
      </w:r>
      <w:r w:rsidRPr="00795F17">
        <w:rPr>
          <w:rFonts w:cs="Calibri"/>
        </w:rPr>
        <w:t>%. Istotne znaczenie ma też fakt, iż dla 678 działań pomimo wypełnienia ankiety nie było możliwe określenie postępu w realizacji.</w:t>
      </w:r>
      <w:r w:rsidR="00C52CC5">
        <w:rPr>
          <w:rFonts w:cs="Calibri"/>
        </w:rPr>
        <w:t xml:space="preserve"> </w:t>
      </w:r>
      <w:r w:rsidR="00C52CC5">
        <w:t xml:space="preserve">W przypadku </w:t>
      </w:r>
      <w:r w:rsidR="00DF005E">
        <w:t>JCWP</w:t>
      </w:r>
      <w:r w:rsidR="00C52CC5">
        <w:t xml:space="preserve">d najmniejszy stopień zaawansowania realizacji działań stwierdzono w przypadku działań z grupy Ograniczanie rozprzestrzeniania zanieczyszczeń w </w:t>
      </w:r>
      <w:r w:rsidR="00DF005E">
        <w:t>JCWP</w:t>
      </w:r>
      <w:r w:rsidR="00C52CC5">
        <w:t>d (ok. 28% działań zrealizowanych).</w:t>
      </w:r>
    </w:p>
    <w:p w14:paraId="04DDB926" w14:textId="31B129C8" w:rsidR="00382740" w:rsidRPr="00795F17" w:rsidRDefault="00382740" w:rsidP="0044393D">
      <w:r w:rsidRPr="00795F17">
        <w:t>Udział działań zakończonych jest większy dla działań podstawowych i wynosi około 45% -w przypadku działań uzupełniających - 35%. Natomiast nie rozpoczęto wdrażania 26% działań podstawowych i 42% działań uzupełniających (wykres 10-7).</w:t>
      </w:r>
      <w:r w:rsidR="00166A55">
        <w:t xml:space="preserve"> </w:t>
      </w:r>
    </w:p>
    <w:p w14:paraId="49149BEE" w14:textId="77777777" w:rsidR="00382740" w:rsidRPr="00795F17" w:rsidRDefault="00382740" w:rsidP="003D121A">
      <w:pPr>
        <w:jc w:val="center"/>
        <w:rPr>
          <w:rFonts w:cs="Calibri"/>
          <w:sz w:val="24"/>
          <w:szCs w:val="24"/>
        </w:rPr>
      </w:pPr>
      <w:r w:rsidRPr="00795F17">
        <w:rPr>
          <w:noProof/>
          <w:lang w:eastAsia="pl-PL"/>
        </w:rPr>
        <w:drawing>
          <wp:inline distT="0" distB="0" distL="0" distR="0" wp14:anchorId="5F28C60D" wp14:editId="27309D69">
            <wp:extent cx="4600575" cy="3609975"/>
            <wp:effectExtent l="0" t="0" r="9525" b="9525"/>
            <wp:docPr id="861924054" name="Obraz 861924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61924054"/>
                    <pic:cNvPicPr/>
                  </pic:nvPicPr>
                  <pic:blipFill>
                    <a:blip r:embed="rId98">
                      <a:extLst>
                        <a:ext uri="{28A0092B-C50C-407E-A947-70E740481C1C}">
                          <a14:useLocalDpi xmlns:a14="http://schemas.microsoft.com/office/drawing/2010/main" val="0"/>
                        </a:ext>
                      </a:extLst>
                    </a:blip>
                    <a:stretch>
                      <a:fillRect/>
                    </a:stretch>
                  </pic:blipFill>
                  <pic:spPr>
                    <a:xfrm>
                      <a:off x="0" y="0"/>
                      <a:ext cx="4600575" cy="3609975"/>
                    </a:xfrm>
                    <a:prstGeom prst="rect">
                      <a:avLst/>
                    </a:prstGeom>
                  </pic:spPr>
                </pic:pic>
              </a:graphicData>
            </a:graphic>
          </wp:inline>
        </w:drawing>
      </w:r>
    </w:p>
    <w:p w14:paraId="36AECAFC" w14:textId="6E46613C" w:rsidR="00382740" w:rsidRPr="00795F17" w:rsidRDefault="00382740" w:rsidP="00B479EE">
      <w:pPr>
        <w:pStyle w:val="Wykres"/>
      </w:pPr>
      <w:bookmarkStart w:id="554" w:name="_Toc66305994"/>
      <w:bookmarkStart w:id="555" w:name="_Toc105513009"/>
      <w:r w:rsidRPr="00795F17">
        <w:t xml:space="preserve">Wykres </w:t>
      </w:r>
      <w:fldSimple w:instr=" STYLEREF 1 \s ">
        <w:r w:rsidR="001F774D">
          <w:rPr>
            <w:noProof/>
          </w:rPr>
          <w:t>10</w:t>
        </w:r>
      </w:fldSimple>
      <w:r w:rsidR="00FF20D3">
        <w:noBreakHyphen/>
      </w:r>
      <w:fldSimple w:instr=" SEQ Wykres \* ARABIC \s 1 ">
        <w:r w:rsidR="001F774D">
          <w:rPr>
            <w:noProof/>
          </w:rPr>
          <w:t>7</w:t>
        </w:r>
      </w:fldSimple>
      <w:r w:rsidR="001D534F">
        <w:rPr>
          <w:noProof/>
        </w:rPr>
        <w:t>.</w:t>
      </w:r>
      <w:r w:rsidRPr="00795F17">
        <w:tab/>
        <w:t xml:space="preserve">Udział działań o określonym statusie w podziale na działania podstawowe i uzupełniające </w:t>
      </w:r>
      <w:r w:rsidR="00843864">
        <w:t>–</w:t>
      </w:r>
      <w:r w:rsidRPr="00795F17">
        <w:t xml:space="preserve"> </w:t>
      </w:r>
      <w:r w:rsidR="00DF005E">
        <w:t>JCWP</w:t>
      </w:r>
      <w:r w:rsidRPr="00795F17">
        <w:t>d (w skali kraju)</w:t>
      </w:r>
      <w:bookmarkEnd w:id="554"/>
      <w:bookmarkEnd w:id="555"/>
    </w:p>
    <w:p w14:paraId="6AADF0FF" w14:textId="5C9385FD" w:rsidR="00382740" w:rsidRPr="00795F17" w:rsidRDefault="00382740" w:rsidP="0044393D">
      <w:pPr>
        <w:pStyle w:val="rdo"/>
      </w:pPr>
      <w:r w:rsidRPr="00795F17">
        <w:t xml:space="preserve">Źródło: Ocena postępu we wdrażaniu programów działań dla </w:t>
      </w:r>
      <w:r w:rsidR="00DF005E">
        <w:t>JCWP</w:t>
      </w:r>
      <w:r w:rsidRPr="00795F17">
        <w:t xml:space="preserve"> i </w:t>
      </w:r>
      <w:r w:rsidR="00DF005E">
        <w:t>JCWP</w:t>
      </w:r>
      <w:r w:rsidRPr="00795F17">
        <w:t>d wynikających z aPWŚK (2018)</w:t>
      </w:r>
    </w:p>
    <w:p w14:paraId="2E036378" w14:textId="77777777" w:rsidR="00382740" w:rsidRPr="00795F17" w:rsidRDefault="00382740" w:rsidP="00C53C86">
      <w:pPr>
        <w:pStyle w:val="Nagwek2"/>
      </w:pPr>
      <w:bookmarkStart w:id="556" w:name="_Toc55856439"/>
      <w:bookmarkStart w:id="557" w:name="_Toc66305712"/>
      <w:bookmarkStart w:id="558" w:name="_Toc66347814"/>
      <w:bookmarkStart w:id="559" w:name="_Toc105512678"/>
      <w:r w:rsidRPr="00795F17">
        <w:t xml:space="preserve">Działania z aPGW, które nie zostały </w:t>
      </w:r>
      <w:bookmarkEnd w:id="556"/>
      <w:r w:rsidRPr="00795F17">
        <w:t>zrealizowane</w:t>
      </w:r>
      <w:bookmarkEnd w:id="557"/>
      <w:bookmarkEnd w:id="558"/>
      <w:bookmarkEnd w:id="559"/>
    </w:p>
    <w:p w14:paraId="530BBD99" w14:textId="43F8D43A" w:rsidR="00382740" w:rsidRPr="00795F17" w:rsidRDefault="00382740" w:rsidP="0044393D">
      <w:r w:rsidRPr="00795F17">
        <w:t>Działania zaplanowane w aPWŚK zostały zrealizowane w</w:t>
      </w:r>
      <w:r w:rsidR="00325793" w:rsidRPr="00795F17">
        <w:t xml:space="preserve"> </w:t>
      </w:r>
      <w:r w:rsidRPr="00795F17">
        <w:t>zróżnicowanym stopniu. Rozpoczęto (lub</w:t>
      </w:r>
      <w:r w:rsidR="00325793" w:rsidRPr="00795F17">
        <w:t> </w:t>
      </w:r>
      <w:r w:rsidRPr="00795F17">
        <w:t xml:space="preserve">kontynuowano) wdrażanie wszystkich kluczowych działań (zwłaszcza w dziedzinie gospodarki komunalnej w aglomeracjach, w związku z wdrażaniem KPOŚK). </w:t>
      </w:r>
    </w:p>
    <w:p w14:paraId="0475699B" w14:textId="4BA9FA72" w:rsidR="00382740" w:rsidRPr="00795F17" w:rsidRDefault="00382740" w:rsidP="0044393D">
      <w:r w:rsidRPr="00795F17">
        <w:t>Wprowadzone pr.w. zmiany miały na celu pełne wdrożenie przepisów UE w tym przede wszystkim RDW. Przejęcie kompetencji przez jeden organ (</w:t>
      </w:r>
      <w:r w:rsidR="0028234C" w:rsidRPr="00795F17">
        <w:t>PGW WP</w:t>
      </w:r>
      <w:r w:rsidRPr="00795F17">
        <w:t xml:space="preserve">) pozwoliło na skuteczniejsze monitorowanie realizacji działań, przy jednoczesnym zapewnieniu weryfikacji ich zasadności. </w:t>
      </w:r>
    </w:p>
    <w:p w14:paraId="27611CAD" w14:textId="2CB0D9C0" w:rsidR="00382740" w:rsidRPr="00795F17" w:rsidRDefault="00EC076C" w:rsidP="0044393D">
      <w:r>
        <w:t>P</w:t>
      </w:r>
      <w:r w:rsidR="00382740" w:rsidRPr="00795F17">
        <w:t>r.w. była kompleksową zmianą uregulowań prawnych, która zmieniała kompetencje organów właściwych w sprawach gospodarowania wodami, w tym organ</w:t>
      </w:r>
      <w:r w:rsidR="00325793" w:rsidRPr="00795F17">
        <w:t>ów</w:t>
      </w:r>
      <w:r w:rsidR="00382740" w:rsidRPr="00795F17">
        <w:t xml:space="preserve"> odpowiedzialn</w:t>
      </w:r>
      <w:r w:rsidR="00325793" w:rsidRPr="00795F17">
        <w:t>ych</w:t>
      </w:r>
      <w:r w:rsidR="00382740" w:rsidRPr="00795F17">
        <w:t xml:space="preserve"> za wykonanie przeglądów pozwoleń wodnoprawnych. Dodatkowo zmiany legislacyjne te unieważniły zasadność dalszej realizacji działań polegających na opracowaniu warunków korzystania z wód. Dokonane zmiany wpłynęły jednocześnie na brak możliwości pełnego zrealizowania zaplanowanych w aPGW działań. </w:t>
      </w:r>
    </w:p>
    <w:p w14:paraId="404CFF9C" w14:textId="5056B31E" w:rsidR="007A047F" w:rsidRPr="00795F17" w:rsidRDefault="00382740" w:rsidP="007A047F">
      <w:pPr>
        <w:rPr>
          <w:rFonts w:asciiTheme="minorHAnsi" w:hAnsiTheme="minorHAnsi" w:cstheme="minorHAnsi"/>
        </w:rPr>
      </w:pPr>
      <w:r w:rsidRPr="00795F17">
        <w:t xml:space="preserve">Wśród działań w przypadku których nie otrzymano odpowiedniego zwrotu informacji od podmiotów odpowiedzialnych za ich wdrożenie, znajdują się </w:t>
      </w:r>
      <w:r w:rsidR="007A047F" w:rsidRPr="00795F17">
        <w:rPr>
          <w:rFonts w:asciiTheme="minorHAnsi" w:hAnsiTheme="minorHAnsi" w:cstheme="minorHAnsi"/>
        </w:rPr>
        <w:t>gminne działania inwestycyjne z</w:t>
      </w:r>
      <w:r w:rsidR="008D2702" w:rsidRPr="00795F17">
        <w:rPr>
          <w:rFonts w:asciiTheme="minorHAnsi" w:hAnsiTheme="minorHAnsi" w:cstheme="minorHAnsi"/>
        </w:rPr>
        <w:t xml:space="preserve"> </w:t>
      </w:r>
      <w:r w:rsidR="007A047F" w:rsidRPr="00795F17">
        <w:rPr>
          <w:rFonts w:asciiTheme="minorHAnsi" w:hAnsiTheme="minorHAnsi" w:cstheme="minorHAnsi"/>
        </w:rPr>
        <w:t>zakresu porządkowania gospodarki komunalnej na</w:t>
      </w:r>
      <w:r w:rsidR="008D2702" w:rsidRPr="00795F17">
        <w:rPr>
          <w:rFonts w:asciiTheme="minorHAnsi" w:hAnsiTheme="minorHAnsi" w:cstheme="minorHAnsi"/>
        </w:rPr>
        <w:t xml:space="preserve"> </w:t>
      </w:r>
      <w:r w:rsidR="007A047F" w:rsidRPr="00795F17">
        <w:rPr>
          <w:rFonts w:asciiTheme="minorHAnsi" w:hAnsiTheme="minorHAnsi" w:cstheme="minorHAnsi"/>
        </w:rPr>
        <w:t>obszarach pozaaglomeracyjnych</w:t>
      </w:r>
      <w:r w:rsidR="00053DF8">
        <w:rPr>
          <w:rStyle w:val="Odwoanieprzypisudolnego"/>
          <w:rFonts w:asciiTheme="minorHAnsi" w:hAnsiTheme="minorHAnsi"/>
        </w:rPr>
        <w:footnoteReference w:id="76"/>
      </w:r>
      <w:r w:rsidR="007A047F" w:rsidRPr="00795F17">
        <w:rPr>
          <w:rFonts w:asciiTheme="minorHAnsi" w:hAnsiTheme="minorHAnsi" w:cstheme="minorHAnsi"/>
        </w:rPr>
        <w:t xml:space="preserve">. </w:t>
      </w:r>
    </w:p>
    <w:p w14:paraId="64F6EB72" w14:textId="39CAF834" w:rsidR="007A047F" w:rsidRPr="008E3F39" w:rsidRDefault="007A047F" w:rsidP="008E3F39">
      <w:r w:rsidRPr="00795F17">
        <w:rPr>
          <w:rFonts w:asciiTheme="minorHAnsi" w:hAnsiTheme="minorHAnsi" w:cstheme="minorHAnsi"/>
        </w:rPr>
        <w:t xml:space="preserve">Według ustaleń opracowania pn. </w:t>
      </w:r>
      <w:r w:rsidRPr="00795F17">
        <w:rPr>
          <w:rFonts w:asciiTheme="minorHAnsi" w:hAnsiTheme="minorHAnsi" w:cstheme="minorHAnsi"/>
          <w:i/>
        </w:rPr>
        <w:t>Ocena postępu (…)</w:t>
      </w:r>
      <w:r w:rsidR="008E3F39">
        <w:rPr>
          <w:rStyle w:val="Odwoanieprzypisudolnego"/>
          <w:rFonts w:asciiTheme="minorHAnsi" w:hAnsiTheme="minorHAnsi"/>
          <w:i/>
        </w:rPr>
        <w:footnoteReference w:id="77"/>
      </w:r>
      <w:r w:rsidR="008E3F39">
        <w:rPr>
          <w:rFonts w:ascii="Times New Roman" w:hAnsi="Times New Roman"/>
          <w:sz w:val="24"/>
          <w:szCs w:val="24"/>
          <w:lang w:eastAsia="pl-PL"/>
        </w:rPr>
        <w:t xml:space="preserve"> </w:t>
      </w:r>
      <w:r w:rsidRPr="00D6377E">
        <w:rPr>
          <w:rFonts w:asciiTheme="minorHAnsi" w:hAnsiTheme="minorHAnsi" w:cstheme="minorHAnsi"/>
        </w:rPr>
        <w:t>g</w:t>
      </w:r>
      <w:r w:rsidRPr="00795F17">
        <w:rPr>
          <w:rFonts w:asciiTheme="minorHAnsi" w:hAnsiTheme="minorHAnsi" w:cstheme="minorHAnsi"/>
        </w:rPr>
        <w:t>łównymi przeszkodami w</w:t>
      </w:r>
      <w:r w:rsidR="008D2702" w:rsidRPr="00795F17">
        <w:rPr>
          <w:rFonts w:asciiTheme="minorHAnsi" w:hAnsiTheme="minorHAnsi" w:cstheme="minorHAnsi"/>
        </w:rPr>
        <w:t xml:space="preserve"> </w:t>
      </w:r>
      <w:r w:rsidRPr="00795F17">
        <w:rPr>
          <w:rFonts w:asciiTheme="minorHAnsi" w:hAnsiTheme="minorHAnsi" w:cstheme="minorHAnsi"/>
        </w:rPr>
        <w:t>realizacji działań zgłoszonymi przez podmioty były brak zapewnienia finansowania oraz brak mechanizmów wdrażania. Pośród innych przeszkód wskazywano także na</w:t>
      </w:r>
      <w:r w:rsidR="008D2702" w:rsidRPr="00795F17">
        <w:rPr>
          <w:rFonts w:asciiTheme="minorHAnsi" w:hAnsiTheme="minorHAnsi" w:cstheme="minorHAnsi"/>
        </w:rPr>
        <w:t xml:space="preserve"> </w:t>
      </w:r>
      <w:r w:rsidRPr="00795F17">
        <w:rPr>
          <w:rFonts w:asciiTheme="minorHAnsi" w:hAnsiTheme="minorHAnsi" w:cstheme="minorHAnsi"/>
        </w:rPr>
        <w:t xml:space="preserve">braki kadrowe, brak świadomości potrzeby realizacji działań, bariery infrastrukturalne, problemy przy procedurach przetargowych oraz zmiany administracyjne. Szczegółowe informacje dotyczące poszczególnych działań zawarte są w pracy </w:t>
      </w:r>
      <w:r w:rsidRPr="00795F17">
        <w:rPr>
          <w:rFonts w:asciiTheme="minorHAnsi" w:hAnsiTheme="minorHAnsi" w:cstheme="minorHAnsi"/>
          <w:i/>
        </w:rPr>
        <w:t>Ocena postępu (…)</w:t>
      </w:r>
      <w:r w:rsidRPr="00795F17">
        <w:rPr>
          <w:rFonts w:asciiTheme="minorHAnsi" w:hAnsiTheme="minorHAnsi" w:cstheme="minorHAnsi"/>
          <w:iCs/>
        </w:rPr>
        <w:t xml:space="preserve"> </w:t>
      </w:r>
      <w:r w:rsidR="001F0E03">
        <w:rPr>
          <w:rStyle w:val="Odwoanieprzypisudolnego"/>
          <w:rFonts w:asciiTheme="minorHAnsi" w:hAnsiTheme="minorHAnsi"/>
          <w:iCs/>
        </w:rPr>
        <w:footnoteReference w:id="78"/>
      </w:r>
      <w:r w:rsidRPr="00795F17">
        <w:rPr>
          <w:rFonts w:asciiTheme="minorHAnsi" w:hAnsiTheme="minorHAnsi" w:cstheme="minorHAnsi"/>
          <w:iCs/>
        </w:rPr>
        <w:t xml:space="preserve">oraz </w:t>
      </w:r>
      <w:r w:rsidRPr="00795F17">
        <w:rPr>
          <w:rFonts w:asciiTheme="minorHAnsi" w:hAnsiTheme="minorHAnsi" w:cstheme="minorHAnsi"/>
          <w:i/>
        </w:rPr>
        <w:t>Ocena skuteczności działań z aPWŚK</w:t>
      </w:r>
      <w:r w:rsidRPr="00795F17">
        <w:rPr>
          <w:rFonts w:asciiTheme="minorHAnsi" w:hAnsiTheme="minorHAnsi" w:cstheme="minorHAnsi"/>
          <w:iCs/>
        </w:rPr>
        <w:t xml:space="preserve"> </w:t>
      </w:r>
      <w:r w:rsidRPr="00D6377E">
        <w:rPr>
          <w:rFonts w:asciiTheme="minorHAnsi" w:hAnsiTheme="minorHAnsi" w:cstheme="minorHAnsi"/>
          <w:i/>
        </w:rPr>
        <w:t xml:space="preserve">kategorii gospodarka </w:t>
      </w:r>
      <w:r w:rsidR="002A3363">
        <w:rPr>
          <w:rFonts w:asciiTheme="minorHAnsi" w:hAnsiTheme="minorHAnsi" w:cstheme="minorHAnsi"/>
          <w:i/>
        </w:rPr>
        <w:t>komun</w:t>
      </w:r>
      <w:r w:rsidR="00E72586">
        <w:rPr>
          <w:rFonts w:asciiTheme="minorHAnsi" w:hAnsiTheme="minorHAnsi" w:cstheme="minorHAnsi"/>
          <w:i/>
        </w:rPr>
        <w:t>alna</w:t>
      </w:r>
      <w:r w:rsidR="00CE3672" w:rsidRPr="00CE3672">
        <w:rPr>
          <w:rStyle w:val="Nagwek4Znak"/>
          <w:rFonts w:asciiTheme="minorHAnsi" w:hAnsiTheme="minorHAnsi"/>
          <w:i/>
        </w:rPr>
        <w:t xml:space="preserve"> </w:t>
      </w:r>
      <w:r w:rsidR="00CE3672">
        <w:rPr>
          <w:rStyle w:val="Odwoanieprzypisudolnego"/>
          <w:rFonts w:asciiTheme="minorHAnsi" w:hAnsiTheme="minorHAnsi"/>
          <w:i/>
        </w:rPr>
        <w:footnoteReference w:id="79"/>
      </w:r>
      <w:r w:rsidRPr="00795F17">
        <w:rPr>
          <w:rFonts w:asciiTheme="minorHAnsi" w:hAnsiTheme="minorHAnsi" w:cstheme="minorHAnsi"/>
          <w:iCs/>
        </w:rPr>
        <w:t xml:space="preserve">. </w:t>
      </w:r>
    </w:p>
    <w:p w14:paraId="39304B42" w14:textId="14D2C092" w:rsidR="00382740" w:rsidRPr="00795F17" w:rsidRDefault="007A047F" w:rsidP="007A047F">
      <w:r w:rsidRPr="00795F17">
        <w:rPr>
          <w:rFonts w:asciiTheme="minorHAnsi" w:hAnsiTheme="minorHAnsi" w:cstheme="minorHAnsi"/>
          <w:iCs/>
        </w:rPr>
        <w:t xml:space="preserve">Podsumowania działań </w:t>
      </w:r>
      <w:r w:rsidRPr="00795F17">
        <w:t xml:space="preserve">podjętych i planowanych w podziale na poszczególne kategorie przedstawia rozdział 13 IIaPGW, </w:t>
      </w:r>
      <w:r w:rsidR="008D2702" w:rsidRPr="00795F17">
        <w:t xml:space="preserve">w </w:t>
      </w:r>
      <w:r w:rsidRPr="00795F17">
        <w:t>tym podsumowanie działań podjętych w</w:t>
      </w:r>
      <w:r w:rsidR="008D2702" w:rsidRPr="00795F17">
        <w:t xml:space="preserve"> </w:t>
      </w:r>
      <w:r w:rsidRPr="00795F17">
        <w:t>celu eliminowania stężeń substancji priorytetowych</w:t>
      </w:r>
      <w:r w:rsidR="008D2702" w:rsidRPr="00795F17">
        <w:t>,</w:t>
      </w:r>
      <w:r w:rsidRPr="00795F17">
        <w:t xml:space="preserve"> do których zalicza się działania kategorii gospodarka komunalna (rozdział 13.5 IIaPGW).</w:t>
      </w:r>
    </w:p>
    <w:p w14:paraId="0CC3FC4B" w14:textId="77777777" w:rsidR="00382740" w:rsidRPr="00795F17" w:rsidRDefault="00382740" w:rsidP="0044393D">
      <w:r w:rsidRPr="00795F17">
        <w:t>Dla zapewnienia pełnej informacji o statusie realizowanych działań IIaPGW niezbędne jest skuteczne informowanie podmiotów odpowiedzialnych za realizację działań o zaplanowanych w ramach IIaPGW działaniach wraz ze skutecznym egzekwowaniem informacji sprawozdawczych z realizacji.</w:t>
      </w:r>
    </w:p>
    <w:p w14:paraId="55B29080" w14:textId="4899269D" w:rsidR="00382740" w:rsidRPr="00795F17" w:rsidRDefault="00035198" w:rsidP="00C53C86">
      <w:pPr>
        <w:pStyle w:val="Nagwek2"/>
      </w:pPr>
      <w:bookmarkStart w:id="560" w:name="_Toc55856440"/>
      <w:bookmarkStart w:id="561" w:name="_Toc66305713"/>
      <w:bookmarkStart w:id="562" w:name="_Toc66347815"/>
      <w:bookmarkStart w:id="563" w:name="_Toc105512679"/>
      <w:bookmarkEnd w:id="526"/>
      <w:r w:rsidRPr="00795F17">
        <w:t xml:space="preserve">Konieczne, dodatkowe działania podjęte w trakcie realizacji </w:t>
      </w:r>
      <w:r w:rsidR="006F1978">
        <w:t>aPGW</w:t>
      </w:r>
      <w:r w:rsidRPr="00795F17">
        <w:t xml:space="preserve"> na</w:t>
      </w:r>
      <w:r w:rsidR="001B15D5">
        <w:t> </w:t>
      </w:r>
      <w:r w:rsidRPr="00795F17">
        <w:t>obszarze dorzecza</w:t>
      </w:r>
      <w:bookmarkEnd w:id="560"/>
      <w:bookmarkEnd w:id="561"/>
      <w:bookmarkEnd w:id="562"/>
      <w:bookmarkEnd w:id="563"/>
    </w:p>
    <w:p w14:paraId="3E5E74BD" w14:textId="77777777" w:rsidR="00382740" w:rsidRPr="00795F17" w:rsidRDefault="00382740" w:rsidP="0044393D">
      <w:r w:rsidRPr="00795F17">
        <w:t>Zgodnie z art. 11 ust. 5 RDW, jeżeli monitorowanie (lub inne dane) wskazują, że cele środowiskowe prawdopodobnie nie będą osiągnięte, państwa UE zapewniają:</w:t>
      </w:r>
    </w:p>
    <w:p w14:paraId="48B14243" w14:textId="77777777" w:rsidR="00382740" w:rsidRPr="00795F17" w:rsidRDefault="00382740" w:rsidP="002757E9">
      <w:pPr>
        <w:pStyle w:val="Numerowanie"/>
        <w:numPr>
          <w:ilvl w:val="0"/>
          <w:numId w:val="54"/>
        </w:numPr>
      </w:pPr>
      <w:r w:rsidRPr="00795F17">
        <w:t>zbadanie przyczyn możliwego niepowodzenia;</w:t>
      </w:r>
    </w:p>
    <w:p w14:paraId="5347E8BE" w14:textId="77777777" w:rsidR="00382740" w:rsidRPr="00795F17" w:rsidRDefault="00382740" w:rsidP="0044393D">
      <w:pPr>
        <w:pStyle w:val="Numerowanie"/>
      </w:pPr>
      <w:r w:rsidRPr="00795F17">
        <w:t>zbadanie i kontrolę odpowiednich pozwoleń i zezwoleń, w oparciu o które wywierana jest presja na stan wód;</w:t>
      </w:r>
    </w:p>
    <w:p w14:paraId="08B8AA27" w14:textId="75C8DBA6" w:rsidR="00382740" w:rsidRPr="00795F17" w:rsidRDefault="00382740" w:rsidP="0044393D">
      <w:pPr>
        <w:pStyle w:val="Numerowanie"/>
      </w:pPr>
      <w:r w:rsidRPr="00795F17">
        <w:t>przegląd i dostosowani</w:t>
      </w:r>
      <w:r w:rsidR="00C30BEB">
        <w:t>e</w:t>
      </w:r>
      <w:r w:rsidRPr="00795F17">
        <w:t xml:space="preserve"> programów monitorowania;</w:t>
      </w:r>
    </w:p>
    <w:p w14:paraId="2F644793" w14:textId="0F0F3C72" w:rsidR="00382740" w:rsidRPr="00795F17" w:rsidRDefault="00382740" w:rsidP="0044393D">
      <w:pPr>
        <w:pStyle w:val="Numerowanie"/>
      </w:pPr>
      <w:r w:rsidRPr="00795F17">
        <w:t xml:space="preserve">podjęcie dodatkowych środków, jakie mogą być konieczne do osiągnięcia celów, </w:t>
      </w:r>
      <w:r w:rsidR="0089054F">
        <w:t xml:space="preserve">które </w:t>
      </w:r>
      <w:r w:rsidRPr="00795F17">
        <w:t>zostaną ustalone, włączając, jeżeli to stosowne, ustalenie bardziej restrykcyjnych środowiskowych norm jakości.</w:t>
      </w:r>
    </w:p>
    <w:p w14:paraId="351AAF17" w14:textId="179E7724" w:rsidR="00382740" w:rsidRPr="00795F17" w:rsidRDefault="00EC076C" w:rsidP="0044393D">
      <w:r>
        <w:t>P</w:t>
      </w:r>
      <w:r w:rsidR="00382740" w:rsidRPr="00795F17">
        <w:t>r.w. w art. 325 ust. 1 stanowi, że jeżeli wyniki monitoringu wód lub innych danych wskazują, że jest zagrożone osiągnięcie celów środowiskowych:</w:t>
      </w:r>
    </w:p>
    <w:p w14:paraId="5BBBD348" w14:textId="52F9B3EA" w:rsidR="00382740" w:rsidRPr="00795F17" w:rsidRDefault="00382740" w:rsidP="002757E9">
      <w:pPr>
        <w:pStyle w:val="Numerowanie"/>
        <w:numPr>
          <w:ilvl w:val="0"/>
          <w:numId w:val="55"/>
        </w:numPr>
      </w:pPr>
      <w:r w:rsidRPr="00795F17">
        <w:t>dokonuje się analizy przyczyn tych zagrożeń i wprowadza do planu gospodarowania wodami na</w:t>
      </w:r>
      <w:r w:rsidR="00F94A5C" w:rsidRPr="00795F17">
        <w:t> </w:t>
      </w:r>
      <w:r w:rsidRPr="00795F17">
        <w:t>obszarze dorzecza lub jego aktualizacji działania uzupełniające, o których mowa w</w:t>
      </w:r>
      <w:r w:rsidR="002C0F35">
        <w:t> </w:t>
      </w:r>
      <w:r w:rsidRPr="00795F17">
        <w:t>art.</w:t>
      </w:r>
      <w:r w:rsidR="002C0F35">
        <w:t> </w:t>
      </w:r>
      <w:r w:rsidRPr="00795F17">
        <w:t>324</w:t>
      </w:r>
      <w:r w:rsidR="002C0F35">
        <w:t> </w:t>
      </w:r>
      <w:r w:rsidRPr="00795F17">
        <w:t>ust.</w:t>
      </w:r>
      <w:r w:rsidR="002C0F35">
        <w:t> </w:t>
      </w:r>
      <w:r w:rsidRPr="00795F17">
        <w:t>4</w:t>
      </w:r>
      <w:r w:rsidR="004D62F7">
        <w:t xml:space="preserve"> </w:t>
      </w:r>
      <w:r w:rsidR="004D62F7">
        <w:rPr>
          <w:lang w:eastAsia="pl-PL"/>
        </w:rPr>
        <w:t>pr.w.</w:t>
      </w:r>
      <w:r w:rsidRPr="00795F17">
        <w:t>, w tym, jeżeli jest to uzasadnione, ustala się bardziej restrykcyjne środowiskowe normy jakości; w takim przypadku minister właściwy do spraw gospodarki wodnej dokonuje analizy przyczyny zagrożeń i wprowadza do planu gospodarowania wodami na obszarze dorzecza lub jego aktualizacji działania uzupełniające</w:t>
      </w:r>
      <w:r w:rsidR="0054777F" w:rsidRPr="00795F17">
        <w:t>;</w:t>
      </w:r>
    </w:p>
    <w:p w14:paraId="4FA54766" w14:textId="77777777" w:rsidR="00382740" w:rsidRPr="00795F17" w:rsidRDefault="00382740" w:rsidP="0044393D">
      <w:pPr>
        <w:pStyle w:val="Numerowanie"/>
      </w:pPr>
      <w:r w:rsidRPr="00795F17">
        <w:t>dokonuje się dodatkowego przeglądu udzielonych pozwoleń wodnoprawnych;</w:t>
      </w:r>
    </w:p>
    <w:p w14:paraId="12B0F085" w14:textId="77777777" w:rsidR="00382740" w:rsidRPr="00795F17" w:rsidRDefault="00382740" w:rsidP="0044393D">
      <w:pPr>
        <w:pStyle w:val="Numerowanie"/>
      </w:pPr>
      <w:r w:rsidRPr="00795F17">
        <w:t>poddaje się przeglądowi programy monitoringu wód i w razie potrzeby właściwie je dostosowuje w celu zapewnienia osiągnięcia celów środowiskowych.</w:t>
      </w:r>
    </w:p>
    <w:p w14:paraId="2907D757" w14:textId="1FC67C16" w:rsidR="00382740" w:rsidRPr="00795F17" w:rsidRDefault="00382740" w:rsidP="0044393D">
      <w:r w:rsidRPr="00795F17">
        <w:t xml:space="preserve">Ponadto, art. 416 ust. 2 </w:t>
      </w:r>
      <w:r w:rsidR="00EE534C">
        <w:t>pr.w.</w:t>
      </w:r>
      <w:r w:rsidRPr="00795F17">
        <w:t xml:space="preserve"> wskazuje, że jeżeli na podstawie wyników monitoringu wód lub innych danych (w tym danych uzyskanych w toku opracowywania projektu planu gospodarowania wodami na obszarze dorzecza lub jego aktualizacji) minister właściwy do spraw gospodarki wodnej stwierdził, że jest zagrożone osiągnięcie celów środowiskowych, to organ właściwy w sprawach pozwoleń wodnoprawnych dokonuje (w oparciu o dane wskazane przez ministra </w:t>
      </w:r>
      <w:r w:rsidR="005157C7">
        <w:t>–</w:t>
      </w:r>
      <w:r w:rsidRPr="00795F17">
        <w:t xml:space="preserve"> art. 325 ust. 4</w:t>
      </w:r>
      <w:r w:rsidR="00234C9D">
        <w:t xml:space="preserve"> pr.w.</w:t>
      </w:r>
      <w:r w:rsidRPr="00795F17">
        <w:t xml:space="preserve">) dodatkowego przeglądu pozwoleń wodnoprawnych na pobór wód lub wprowadzanie ścieków do wód lub do ziemi. </w:t>
      </w:r>
    </w:p>
    <w:p w14:paraId="4361D866" w14:textId="51931C19" w:rsidR="004F6082" w:rsidRDefault="00382740" w:rsidP="0044393D">
      <w:r w:rsidRPr="00795F17">
        <w:t>Oprócz przeglądu dodatkowego, o którym mowa powyżej, organy właściwe w sprawach pozwoleń wodnoprawnych w myśl art. 416 ust. 1 pr.w. dokonują systematycznie, co najmniej raz na 4 lata, przeglądu pozwoleń wodnoprawnych na pobór wód lub wprowadzanie ścieków do wód lub</w:t>
      </w:r>
      <w:r w:rsidR="002C0F35">
        <w:t> </w:t>
      </w:r>
      <w:r w:rsidRPr="00795F17">
        <w:t>do</w:t>
      </w:r>
      <w:r w:rsidR="002C0F35">
        <w:t> </w:t>
      </w:r>
      <w:r w:rsidRPr="00795F17">
        <w:t>ziemi, lub do urządzeń kanalizacyjnych, a także realizacji tych pozwoleń. Konsekwencją takiego przeglądu może być również cofnięcie lub ograniczenie pozwolenia (bez odszkodowania), jednak z</w:t>
      </w:r>
      <w:r w:rsidR="00BD2181" w:rsidRPr="00795F17">
        <w:t> </w:t>
      </w:r>
      <w:r w:rsidRPr="00795F17">
        <w:t>innych względów niż w przypadku przeglądu dodatkowego. Powodem cofnięcia lub ograniczenia pozwolenia może być np. zmiana celu i zakresu korzystania z wód lub</w:t>
      </w:r>
      <w:r w:rsidR="00BD2181" w:rsidRPr="00795F17">
        <w:t xml:space="preserve"> </w:t>
      </w:r>
      <w:r w:rsidRPr="00795F17">
        <w:rPr>
          <w:bCs/>
        </w:rPr>
        <w:t>warunków wykonywania uprawnień ustalonych w pozwoleniu wodnoprawnym</w:t>
      </w:r>
      <w:r w:rsidRPr="00795F17">
        <w:t xml:space="preserve"> bądź wykonanie urządzenia wodnego niezgodnie</w:t>
      </w:r>
      <w:r w:rsidR="0001156D" w:rsidRPr="00795F17">
        <w:t xml:space="preserve"> </w:t>
      </w:r>
      <w:r w:rsidRPr="00795F17">
        <w:t xml:space="preserve">z warunkami ustalonymi w pozwoleniu (por. art. 415 pr.w.). </w:t>
      </w:r>
    </w:p>
    <w:p w14:paraId="4C0B9FD9" w14:textId="749CA6DC" w:rsidR="00D5010D" w:rsidRPr="00D6377E" w:rsidRDefault="004D737F" w:rsidP="0044393D">
      <w:pPr>
        <w:rPr>
          <w:rFonts w:asciiTheme="minorHAnsi" w:hAnsiTheme="minorHAnsi" w:cstheme="minorHAnsi"/>
        </w:rPr>
      </w:pPr>
      <w:r>
        <w:rPr>
          <w:rFonts w:asciiTheme="minorHAnsi" w:hAnsiTheme="minorHAnsi" w:cstheme="minorHAnsi"/>
          <w:iCs/>
        </w:rPr>
        <w:t>Zestawienie liczby postępowań będących wynikiem przeglądów pozwoleń wodnoprawnych przeprowadzonych przez organy Wód Polskich wg danych za rok 2019 na obszarze dorzecza Odry przedstawia poniższa tabela 10-</w:t>
      </w:r>
      <w:r w:rsidR="00FF4536">
        <w:rPr>
          <w:rFonts w:asciiTheme="minorHAnsi" w:hAnsiTheme="minorHAnsi" w:cstheme="minorHAnsi"/>
          <w:iCs/>
        </w:rPr>
        <w:t>3</w:t>
      </w:r>
      <w:r>
        <w:rPr>
          <w:rFonts w:asciiTheme="minorHAnsi" w:hAnsiTheme="minorHAnsi" w:cstheme="minorHAnsi"/>
          <w:iCs/>
        </w:rPr>
        <w:t>.</w:t>
      </w:r>
    </w:p>
    <w:p w14:paraId="30AAC02C" w14:textId="3574CD96" w:rsidR="00382740" w:rsidRPr="00795F17" w:rsidRDefault="00382740" w:rsidP="004D7705">
      <w:pPr>
        <w:pStyle w:val="Tabela"/>
      </w:pPr>
      <w:bookmarkStart w:id="564" w:name="_Toc66261844"/>
      <w:bookmarkStart w:id="565" w:name="_Toc66305849"/>
      <w:bookmarkStart w:id="566" w:name="_Toc66341931"/>
      <w:bookmarkStart w:id="567" w:name="_Toc105512853"/>
      <w:r w:rsidRPr="00795F17">
        <w:t xml:space="preserve">Tabela </w:t>
      </w:r>
      <w:fldSimple w:instr=" STYLEREF 1 \s ">
        <w:r w:rsidR="001F774D">
          <w:rPr>
            <w:noProof/>
          </w:rPr>
          <w:t>10</w:t>
        </w:r>
      </w:fldSimple>
      <w:r w:rsidR="00BB3B21" w:rsidRPr="00795F17">
        <w:noBreakHyphen/>
      </w:r>
      <w:fldSimple w:instr=" SEQ Tabela \* ARABIC \s 1 ">
        <w:r w:rsidR="001F774D">
          <w:rPr>
            <w:noProof/>
          </w:rPr>
          <w:t>3</w:t>
        </w:r>
      </w:fldSimple>
      <w:r w:rsidR="00E76356">
        <w:rPr>
          <w:noProof/>
        </w:rPr>
        <w:t>.</w:t>
      </w:r>
      <w:r w:rsidRPr="00795F17">
        <w:tab/>
        <w:t xml:space="preserve">Liczba postępowań będących wynikiem przeglądów pozwoleń wodnoprawnych przeprowadzonych przez organy Wód Polskich </w:t>
      </w:r>
      <w:r w:rsidR="00EE534C">
        <w:t>–</w:t>
      </w:r>
      <w:r w:rsidRPr="00795F17">
        <w:t xml:space="preserve"> dane za 2019 rok</w:t>
      </w:r>
      <w:bookmarkEnd w:id="564"/>
      <w:bookmarkEnd w:id="565"/>
      <w:bookmarkEnd w:id="566"/>
      <w:bookmarkEnd w:id="567"/>
    </w:p>
    <w:tbl>
      <w:tblPr>
        <w:tblStyle w:val="Tabela-Siatka"/>
        <w:tblW w:w="5000" w:type="pct"/>
        <w:tblLook w:val="04A0" w:firstRow="1" w:lastRow="0" w:firstColumn="1" w:lastColumn="0" w:noHBand="0" w:noVBand="1"/>
      </w:tblPr>
      <w:tblGrid>
        <w:gridCol w:w="1556"/>
        <w:gridCol w:w="2639"/>
        <w:gridCol w:w="1439"/>
        <w:gridCol w:w="1765"/>
        <w:gridCol w:w="1663"/>
      </w:tblGrid>
      <w:tr w:rsidR="00382740" w:rsidRPr="00795F17" w14:paraId="64666A21" w14:textId="77777777" w:rsidTr="00B53F7C">
        <w:trPr>
          <w:cnfStyle w:val="100000000000" w:firstRow="1" w:lastRow="0" w:firstColumn="0" w:lastColumn="0" w:oddVBand="0" w:evenVBand="0" w:oddHBand="0" w:evenHBand="0" w:firstRowFirstColumn="0" w:firstRowLastColumn="0" w:lastRowFirstColumn="0" w:lastRowLastColumn="0"/>
          <w:trHeight w:val="454"/>
        </w:trPr>
        <w:tc>
          <w:tcPr>
            <w:tcW w:w="1555" w:type="dxa"/>
            <w:hideMark/>
          </w:tcPr>
          <w:p w14:paraId="219B1B92" w14:textId="77777777" w:rsidR="00382740" w:rsidRPr="00795F17" w:rsidRDefault="00382740" w:rsidP="0044393D">
            <w:pPr>
              <w:pStyle w:val="Teksttabelinaglowek"/>
            </w:pPr>
            <w:r w:rsidRPr="00795F17">
              <w:rPr>
                <w:b/>
              </w:rPr>
              <w:t>Obszar działania</w:t>
            </w:r>
          </w:p>
        </w:tc>
        <w:tc>
          <w:tcPr>
            <w:tcW w:w="2639" w:type="dxa"/>
            <w:hideMark/>
          </w:tcPr>
          <w:p w14:paraId="567D83BC" w14:textId="77777777" w:rsidR="00382740" w:rsidRPr="00795F17" w:rsidRDefault="00382740" w:rsidP="0044393D">
            <w:pPr>
              <w:pStyle w:val="Teksttabelinaglowek"/>
            </w:pPr>
            <w:r w:rsidRPr="00795F17">
              <w:rPr>
                <w:b/>
              </w:rPr>
              <w:t>Liczba zakończonych postępowań w sprawie cofnięcia lub ograniczenia pozwolenia wodnoprawnego</w:t>
            </w:r>
          </w:p>
        </w:tc>
        <w:tc>
          <w:tcPr>
            <w:tcW w:w="0" w:type="auto"/>
            <w:hideMark/>
          </w:tcPr>
          <w:p w14:paraId="28339904" w14:textId="77777777" w:rsidR="00382740" w:rsidRPr="00795F17" w:rsidRDefault="00382740" w:rsidP="0044393D">
            <w:pPr>
              <w:pStyle w:val="Teksttabelinaglowek"/>
            </w:pPr>
            <w:r w:rsidRPr="00795F17">
              <w:rPr>
                <w:b/>
              </w:rPr>
              <w:t>Liczba cofniętych pozwoleń</w:t>
            </w:r>
          </w:p>
        </w:tc>
        <w:tc>
          <w:tcPr>
            <w:tcW w:w="0" w:type="auto"/>
            <w:hideMark/>
          </w:tcPr>
          <w:p w14:paraId="5E820080" w14:textId="77777777" w:rsidR="00382740" w:rsidRPr="00795F17" w:rsidRDefault="00382740" w:rsidP="0044393D">
            <w:pPr>
              <w:pStyle w:val="Teksttabelinaglowek"/>
            </w:pPr>
            <w:r w:rsidRPr="00795F17">
              <w:rPr>
                <w:b/>
              </w:rPr>
              <w:t>Liczba ograniczonych pozwoleń</w:t>
            </w:r>
          </w:p>
        </w:tc>
        <w:tc>
          <w:tcPr>
            <w:tcW w:w="0" w:type="auto"/>
            <w:hideMark/>
          </w:tcPr>
          <w:p w14:paraId="3C5A045E" w14:textId="77777777" w:rsidR="00382740" w:rsidRPr="00795F17" w:rsidRDefault="00382740" w:rsidP="0044393D">
            <w:pPr>
              <w:pStyle w:val="Teksttabelinaglowek"/>
            </w:pPr>
            <w:r w:rsidRPr="00795F17">
              <w:rPr>
                <w:b/>
              </w:rPr>
              <w:t>Liczba postępowań umorzonych</w:t>
            </w:r>
          </w:p>
        </w:tc>
      </w:tr>
      <w:tr w:rsidR="00382740" w:rsidRPr="00795F17" w14:paraId="1E30AAB9" w14:textId="77777777" w:rsidTr="00B53F7C">
        <w:trPr>
          <w:trHeight w:val="454"/>
        </w:trPr>
        <w:tc>
          <w:tcPr>
            <w:tcW w:w="1555" w:type="dxa"/>
            <w:hideMark/>
          </w:tcPr>
          <w:p w14:paraId="3DB6D7DB" w14:textId="77777777" w:rsidR="00382740" w:rsidRPr="00795F17" w:rsidRDefault="00382740" w:rsidP="0065243A">
            <w:pPr>
              <w:pStyle w:val="Teksttabelisrodek"/>
            </w:pPr>
            <w:r w:rsidRPr="00795F17">
              <w:t>RZGW Szczecin</w:t>
            </w:r>
          </w:p>
        </w:tc>
        <w:tc>
          <w:tcPr>
            <w:tcW w:w="2639" w:type="dxa"/>
            <w:hideMark/>
          </w:tcPr>
          <w:p w14:paraId="2A83B9F6" w14:textId="77777777" w:rsidR="00382740" w:rsidRPr="00795F17" w:rsidRDefault="00382740" w:rsidP="0065243A">
            <w:pPr>
              <w:pStyle w:val="Teksttabelisrodek"/>
            </w:pPr>
            <w:r w:rsidRPr="00795F17">
              <w:t>3</w:t>
            </w:r>
          </w:p>
        </w:tc>
        <w:tc>
          <w:tcPr>
            <w:tcW w:w="0" w:type="auto"/>
            <w:hideMark/>
          </w:tcPr>
          <w:p w14:paraId="1A81DE32" w14:textId="77777777" w:rsidR="00382740" w:rsidRPr="00795F17" w:rsidRDefault="00382740" w:rsidP="0065243A">
            <w:pPr>
              <w:pStyle w:val="Teksttabelisrodek"/>
            </w:pPr>
            <w:r w:rsidRPr="00795F17">
              <w:t>3</w:t>
            </w:r>
          </w:p>
        </w:tc>
        <w:tc>
          <w:tcPr>
            <w:tcW w:w="0" w:type="auto"/>
            <w:hideMark/>
          </w:tcPr>
          <w:p w14:paraId="0335F71D" w14:textId="77777777" w:rsidR="00382740" w:rsidRPr="00795F17" w:rsidRDefault="00382740" w:rsidP="0065243A">
            <w:pPr>
              <w:pStyle w:val="Teksttabelisrodek"/>
            </w:pPr>
            <w:r w:rsidRPr="00795F17">
              <w:t>0</w:t>
            </w:r>
          </w:p>
        </w:tc>
        <w:tc>
          <w:tcPr>
            <w:tcW w:w="0" w:type="auto"/>
            <w:hideMark/>
          </w:tcPr>
          <w:p w14:paraId="4855C9EF" w14:textId="77777777" w:rsidR="00382740" w:rsidRPr="00795F17" w:rsidRDefault="00382740" w:rsidP="0065243A">
            <w:pPr>
              <w:pStyle w:val="Teksttabelisrodek"/>
            </w:pPr>
            <w:r w:rsidRPr="00795F17">
              <w:t>0</w:t>
            </w:r>
          </w:p>
        </w:tc>
      </w:tr>
    </w:tbl>
    <w:p w14:paraId="4C123DF8" w14:textId="084D6FC5" w:rsidR="00382740" w:rsidRPr="00795F17" w:rsidRDefault="00382740" w:rsidP="0044393D">
      <w:pPr>
        <w:pStyle w:val="rdo"/>
        <w:rPr>
          <w:rFonts w:eastAsia="Times New Roman"/>
        </w:rPr>
      </w:pPr>
      <w:r w:rsidRPr="00795F17">
        <w:t xml:space="preserve">Źródło: </w:t>
      </w:r>
      <w:r w:rsidR="00F0645E" w:rsidRPr="00795F17">
        <w:t>opracowanie własne</w:t>
      </w:r>
    </w:p>
    <w:p w14:paraId="6C41D275" w14:textId="77777777" w:rsidR="00E353D1" w:rsidRPr="00795F17" w:rsidRDefault="00E353D1" w:rsidP="00E353D1">
      <w:r w:rsidRPr="00795F17">
        <w:t>Działania w ww. zakresie są prowadzone zgodnie z prawem krajowym, w aPGW przyjęte jako działania o charakterze ciągłym, nie podlegające miarodajnemu systemowi sprawozdawczości i monitorowania.</w:t>
      </w:r>
    </w:p>
    <w:p w14:paraId="4EDD2C95" w14:textId="4979305D" w:rsidR="00035198" w:rsidRPr="00795F17" w:rsidRDefault="00E353D1" w:rsidP="00E353D1">
      <w:r w:rsidRPr="00795F17">
        <w:t>IIaPGW wprowadza działania polegające na przeprowadzeniu dodatkowych przeglądów pozwoleń wodnoprawnych (</w:t>
      </w:r>
      <w:r w:rsidR="00DF005E">
        <w:t>JCWP</w:t>
      </w:r>
      <w:r w:rsidRPr="00795F17">
        <w:t xml:space="preserve"> i </w:t>
      </w:r>
      <w:r w:rsidR="00DF005E">
        <w:t>JCWP</w:t>
      </w:r>
      <w:r w:rsidRPr="00795F17">
        <w:t>d), jako działania uzupełniające indywidualne dla poszczególnych jcw w zestawach działań. W obecnym cyklu planistycznym dobór działań oparty był między innymi na ocenie stanu wód z okresu 2014</w:t>
      </w:r>
      <w:r w:rsidR="005157C7">
        <w:t>–</w:t>
      </w:r>
      <w:r w:rsidRPr="00795F17">
        <w:t>2019, która w stosunku do oceny stanu stanowiącej podstawę aPGW jest oparta na bardziej rozbudowanym monitoringu stanu wód.</w:t>
      </w:r>
    </w:p>
    <w:p w14:paraId="30E41D57" w14:textId="13A9DA6E" w:rsidR="007A047F" w:rsidRPr="00795F17" w:rsidRDefault="007A047F" w:rsidP="007A047F">
      <w:pPr>
        <w:rPr>
          <w:rFonts w:asciiTheme="minorHAnsi" w:hAnsiTheme="minorHAnsi" w:cstheme="minorHAnsi"/>
        </w:rPr>
      </w:pPr>
      <w:r w:rsidRPr="00795F17">
        <w:rPr>
          <w:rFonts w:asciiTheme="minorHAnsi" w:hAnsiTheme="minorHAnsi" w:cstheme="minorHAnsi"/>
        </w:rPr>
        <w:t>Podsumowanie działań</w:t>
      </w:r>
      <w:r w:rsidRPr="00795F17">
        <w:t>, o</w:t>
      </w:r>
      <w:r w:rsidR="00BD2181" w:rsidRPr="00795F17">
        <w:t xml:space="preserve"> </w:t>
      </w:r>
      <w:r w:rsidRPr="00795F17">
        <w:t>których mowa w</w:t>
      </w:r>
      <w:r w:rsidR="00BD2181" w:rsidRPr="00795F17">
        <w:t xml:space="preserve"> </w:t>
      </w:r>
      <w:r w:rsidRPr="00795F17">
        <w:t xml:space="preserve">art. 325 ust. 1 </w:t>
      </w:r>
      <w:r w:rsidR="00BD2181" w:rsidRPr="00795F17">
        <w:t>pr.w.</w:t>
      </w:r>
      <w:r w:rsidRPr="00795F17">
        <w:t xml:space="preserve"> przedstawiające informacje o</w:t>
      </w:r>
      <w:r w:rsidR="00BD2181" w:rsidRPr="00795F17">
        <w:t> </w:t>
      </w:r>
      <w:r w:rsidRPr="00795F17">
        <w:t xml:space="preserve">działaniach podjętych i planowanych </w:t>
      </w:r>
      <w:r w:rsidR="00BD2181" w:rsidRPr="00795F17">
        <w:t>zawiera</w:t>
      </w:r>
      <w:r w:rsidRPr="00795F17">
        <w:t xml:space="preserve"> rozdział 13.7 IIaPGW.</w:t>
      </w:r>
    </w:p>
    <w:p w14:paraId="51152C56" w14:textId="5408ECC9" w:rsidR="004133C0" w:rsidRPr="00795F17" w:rsidRDefault="004133C0" w:rsidP="0044393D">
      <w:r w:rsidRPr="00795F17">
        <w:br w:type="page"/>
      </w:r>
    </w:p>
    <w:p w14:paraId="1497A092" w14:textId="7DFFE382" w:rsidR="00E4721F" w:rsidRPr="00795F17" w:rsidRDefault="00E4721F" w:rsidP="00BA6B41">
      <w:pPr>
        <w:pStyle w:val="Nagwek1"/>
      </w:pPr>
      <w:bookmarkStart w:id="568" w:name="_Toc66272279"/>
      <w:bookmarkStart w:id="569" w:name="_Toc66347816"/>
      <w:bookmarkStart w:id="570" w:name="_Toc105512680"/>
      <w:bookmarkStart w:id="571" w:name="_Hlk67273557"/>
      <w:r w:rsidRPr="00795F17">
        <w:t>Analizy ekonomiczne związane z korzystaniem z wód</w:t>
      </w:r>
      <w:bookmarkEnd w:id="568"/>
      <w:bookmarkEnd w:id="569"/>
      <w:bookmarkEnd w:id="570"/>
    </w:p>
    <w:p w14:paraId="18DB13D6" w14:textId="7428BB0E" w:rsidR="005E5391" w:rsidRPr="00795F17" w:rsidRDefault="005E5391" w:rsidP="0044393D">
      <w:r w:rsidRPr="00795F17">
        <w:t xml:space="preserve">Punktem wyjścia do analiz ekonomicznych są wymogi określone w </w:t>
      </w:r>
      <w:r w:rsidR="00822DC2" w:rsidRPr="00795F17">
        <w:t>z</w:t>
      </w:r>
      <w:r w:rsidRPr="00795F17">
        <w:t>ałączniku III RDW, zgodnie z którym analiza ekonomiczna zawiera wystarczające informacje o odpowiedniej szczegółowości (uwzględniając koszty związane z zebraniem odpowiednich danych) w celu:</w:t>
      </w:r>
    </w:p>
    <w:p w14:paraId="2794B4D6" w14:textId="1EBD8404" w:rsidR="005E5391" w:rsidRPr="00795F17" w:rsidRDefault="005E5391" w:rsidP="002757E9">
      <w:pPr>
        <w:pStyle w:val="Numerowanie"/>
        <w:numPr>
          <w:ilvl w:val="0"/>
          <w:numId w:val="74"/>
        </w:numPr>
      </w:pPr>
      <w:r w:rsidRPr="00795F17">
        <w:t>wykonania odpowiednich obliczeń niezbędnych dla uwzględnienia określonej na mocy art. 9</w:t>
      </w:r>
      <w:r w:rsidR="003A418D">
        <w:t xml:space="preserve"> RDW</w:t>
      </w:r>
      <w:r w:rsidRPr="00795F17">
        <w:t xml:space="preserve"> zasady zwrotu kosztów za usługi wodne z włączeniem prognoz długoterminowych dotyczących zaopatrzenia i zapotrzebowania na wodę </w:t>
      </w:r>
      <w:r w:rsidR="00E545FC">
        <w:t>na</w:t>
      </w:r>
      <w:r w:rsidRPr="00795F17">
        <w:t xml:space="preserve"> obszarze dorzecza oraz w miarę potrzeby:</w:t>
      </w:r>
    </w:p>
    <w:p w14:paraId="0EEA4325" w14:textId="77777777" w:rsidR="005E5391" w:rsidRPr="00795F17" w:rsidRDefault="005E5391" w:rsidP="00117E86">
      <w:pPr>
        <w:pStyle w:val="Listapunktowana2"/>
      </w:pPr>
      <w:r w:rsidRPr="00795F17">
        <w:t>oszacowania dotyczące wielkości, cen i kosztów związanych z usługami wodnymi;</w:t>
      </w:r>
    </w:p>
    <w:p w14:paraId="4C1EAE45" w14:textId="77777777" w:rsidR="005E5391" w:rsidRPr="00795F17" w:rsidRDefault="005E5391" w:rsidP="00117E86">
      <w:pPr>
        <w:pStyle w:val="Listapunktowana2"/>
      </w:pPr>
      <w:r w:rsidRPr="00795F17">
        <w:t>oszacowania odpowiednich inwestycji, obejmujące prognozowanie takich inwestycji;</w:t>
      </w:r>
    </w:p>
    <w:p w14:paraId="50106003" w14:textId="4C20E149" w:rsidR="005E5391" w:rsidRPr="00795F17" w:rsidRDefault="005E5391" w:rsidP="00E13AEE">
      <w:pPr>
        <w:pStyle w:val="Numerowanie"/>
      </w:pPr>
      <w:r w:rsidRPr="00795F17">
        <w:t>dokonania oceny najbardziej efektywnego ekonomicznie połączenia środków w odniesieniu do</w:t>
      </w:r>
      <w:r w:rsidR="00E13AEE" w:rsidRPr="00795F17">
        <w:t> </w:t>
      </w:r>
      <w:r w:rsidRPr="00795F17">
        <w:t>korzystania z wód, które będą zawarte w programie środków działania na mocy art. 11</w:t>
      </w:r>
      <w:r w:rsidR="003A418D">
        <w:t xml:space="preserve"> RDW</w:t>
      </w:r>
      <w:r w:rsidRPr="00795F17">
        <w:t>, opartego na oszacowaniach potencjalnych kosztów takich środków.</w:t>
      </w:r>
    </w:p>
    <w:p w14:paraId="1F402FDA" w14:textId="6B685E67" w:rsidR="005E5391" w:rsidRPr="00795F17" w:rsidRDefault="005E5391" w:rsidP="0044393D">
      <w:r w:rsidRPr="00795F17">
        <w:rPr>
          <w:rFonts w:cs="Lucida Grande"/>
        </w:rPr>
        <w:t xml:space="preserve">Powyższe </w:t>
      </w:r>
      <w:r w:rsidR="008C5E88">
        <w:rPr>
          <w:rFonts w:cs="Lucida Grande"/>
        </w:rPr>
        <w:t>postanowienia</w:t>
      </w:r>
      <w:r w:rsidRPr="00795F17">
        <w:rPr>
          <w:rFonts w:cs="Lucida Grande"/>
        </w:rPr>
        <w:t xml:space="preserve"> znalazły swoje odzwierciedlenie w prawodawstwie krajowym. Zgodnie z art. 324 ust.</w:t>
      </w:r>
      <w:r w:rsidR="0086410E">
        <w:rPr>
          <w:rFonts w:cs="Lucida Grande"/>
        </w:rPr>
        <w:t xml:space="preserve"> </w:t>
      </w:r>
      <w:r w:rsidRPr="00795F17">
        <w:t>6 pr.w. dla potrzeb sporządzania planów gospodarowania wodami przeprowadza się analizy ekonomiczne związane z korzystaniem z wód z uwzględnieniem zasady zwrotu kosztów usług wodnych oraz długoterminowych prognoz, dotyczących możliwości zaspokojenia potrzeb w</w:t>
      </w:r>
      <w:r w:rsidR="002C0F35">
        <w:t> </w:t>
      </w:r>
      <w:r w:rsidRPr="00795F17">
        <w:t>zakresie korzystania z zasobów wodnych na obszarze dorzecza, obejmujących śródlądowe wody powierzchniowe i wody podziemne, morskie wody wewnętrzne oraz wody przejściowe i wody przybrzeżne znajdujące się na obszarze dorzecza.</w:t>
      </w:r>
    </w:p>
    <w:p w14:paraId="7C789316" w14:textId="1DFA7A46" w:rsidR="005E5391" w:rsidRPr="00795F17" w:rsidRDefault="005E5391" w:rsidP="0044393D">
      <w:r w:rsidRPr="00795F17">
        <w:t xml:space="preserve">Z kolei w </w:t>
      </w:r>
      <w:r w:rsidR="006F4AAB">
        <w:t>§</w:t>
      </w:r>
      <w:r w:rsidRPr="00795F17">
        <w:t xml:space="preserve"> 5 pkt 1 r.p.g.w. wskazuje się, że zakres analiz ekonomicznych, o których mowa w art.</w:t>
      </w:r>
      <w:r w:rsidR="00614FB6" w:rsidRPr="00795F17">
        <w:t> </w:t>
      </w:r>
      <w:r w:rsidRPr="00795F17">
        <w:t>324 ust. 6 pr.w., związanych z korzystaniem z wód, obejmuje:</w:t>
      </w:r>
    </w:p>
    <w:p w14:paraId="38AFAB7A" w14:textId="77777777" w:rsidR="005E5391" w:rsidRPr="00795F17" w:rsidRDefault="005E5391" w:rsidP="00117E86">
      <w:pPr>
        <w:pStyle w:val="Listapunktowana2"/>
      </w:pPr>
      <w:r w:rsidRPr="00795F17">
        <w:t>analizę usług wodnych na obszarze dorzecza i stopnia zwrotu ich kosztów przy uwzględnieniu wkładu wniesionego przez użytkowników wód oraz kosztów środowiskowych i zasobowych;</w:t>
      </w:r>
    </w:p>
    <w:p w14:paraId="46524428" w14:textId="2D3195CA" w:rsidR="005E5391" w:rsidRPr="00795F17" w:rsidRDefault="005E5391" w:rsidP="00117E86">
      <w:pPr>
        <w:pStyle w:val="Listapunktowana2"/>
      </w:pPr>
      <w:r w:rsidRPr="00795F17">
        <w:t>informacje związane z dokonaniem wyboru najefektywniejszych ekonomicznie kombinacji działań odnoszących się do sposobów korzystania z wód i zawartych w zestawie działań, o którym mowa w art. 318 ust. 1 pkt 7 pr.w., opartego na oszacowaniach potencjalnych kosztów tych działań i uwzględniającego wkład wniesiony przez użytkowników wód.</w:t>
      </w:r>
    </w:p>
    <w:p w14:paraId="5D0D8E64" w14:textId="4749D1D1" w:rsidR="005E5391" w:rsidRPr="00795F17" w:rsidRDefault="005E5391" w:rsidP="0044393D">
      <w:r w:rsidRPr="00795F17">
        <w:t>Mając powyższe na uwadze, koncepcja podejścia do analiz została przedstawiona w podziale na</w:t>
      </w:r>
      <w:r w:rsidR="00E13AEE" w:rsidRPr="00795F17">
        <w:t> </w:t>
      </w:r>
      <w:r w:rsidRPr="00795F17">
        <w:t>następujące obszary:</w:t>
      </w:r>
    </w:p>
    <w:p w14:paraId="6C1C86B0" w14:textId="77777777" w:rsidR="005E5391" w:rsidRPr="00795F17" w:rsidRDefault="005E5391" w:rsidP="00117E86">
      <w:pPr>
        <w:pStyle w:val="Listapunktowana2"/>
      </w:pPr>
      <w:r w:rsidRPr="00795F17">
        <w:t>analiza zwrotu kosztów usług wodnych,</w:t>
      </w:r>
    </w:p>
    <w:p w14:paraId="1D681184" w14:textId="378E7879" w:rsidR="005E5391" w:rsidRPr="00795F17" w:rsidRDefault="005E5391" w:rsidP="00117E86">
      <w:pPr>
        <w:pStyle w:val="Listapunktowana2"/>
      </w:pPr>
      <w:r w:rsidRPr="00795F17">
        <w:t xml:space="preserve">analiza efektywności kosztowej poszczególnych działań w celu wyboru najefektywniejszej ekonomicznie kombinacji działań </w:t>
      </w:r>
      <w:r w:rsidR="005157C7">
        <w:t>–</w:t>
      </w:r>
      <w:r w:rsidRPr="00795F17">
        <w:t xml:space="preserve"> stanowiąca element opracowywania zestawów działań,</w:t>
      </w:r>
    </w:p>
    <w:p w14:paraId="3C74A6EE" w14:textId="6DE89F3F" w:rsidR="005E5391" w:rsidRPr="00795F17" w:rsidRDefault="005E5391" w:rsidP="00117E86">
      <w:pPr>
        <w:pStyle w:val="Listapunktowana2"/>
      </w:pPr>
      <w:r w:rsidRPr="00795F17">
        <w:t>analiza ekonomiczna kosztów i korzyści, będąca uzupełnieniem procesu decyzyjnego w</w:t>
      </w:r>
      <w:r w:rsidR="00E13AEE" w:rsidRPr="00795F17">
        <w:t> </w:t>
      </w:r>
      <w:r w:rsidRPr="00795F17">
        <w:t>zakresie wyboru najefektywniejszej ekonomicznie kombinacji działań.</w:t>
      </w:r>
    </w:p>
    <w:p w14:paraId="6234D838" w14:textId="39FB0BCB" w:rsidR="005E5391" w:rsidRPr="00795F17" w:rsidRDefault="005E5391" w:rsidP="00C53C86">
      <w:pPr>
        <w:pStyle w:val="Nagwek2"/>
      </w:pPr>
      <w:bookmarkStart w:id="572" w:name="_Toc63632746"/>
      <w:bookmarkStart w:id="573" w:name="_Toc66347817"/>
      <w:bookmarkStart w:id="574" w:name="_Toc105512681"/>
      <w:r w:rsidRPr="00795F17">
        <w:t>Analiza zwrotu kosztów usług wodnych</w:t>
      </w:r>
      <w:bookmarkEnd w:id="572"/>
      <w:bookmarkEnd w:id="573"/>
      <w:bookmarkEnd w:id="574"/>
    </w:p>
    <w:p w14:paraId="2057BB6E" w14:textId="6FB085EF" w:rsidR="005E5391" w:rsidRPr="00795F17" w:rsidRDefault="005E5391" w:rsidP="00C53C86">
      <w:pPr>
        <w:pStyle w:val="Nagwek3"/>
      </w:pPr>
      <w:bookmarkStart w:id="575" w:name="_Toc63632747"/>
      <w:bookmarkStart w:id="576" w:name="_Toc105512682"/>
      <w:r w:rsidRPr="00795F17">
        <w:t xml:space="preserve">Zinternalizowane koszty zasobowe </w:t>
      </w:r>
      <w:r w:rsidR="00843864">
        <w:t>–</w:t>
      </w:r>
      <w:r w:rsidRPr="00795F17">
        <w:t xml:space="preserve"> opłaty za usługi wodne w Polsce w 2019 r.</w:t>
      </w:r>
      <w:bookmarkEnd w:id="575"/>
      <w:bookmarkEnd w:id="576"/>
    </w:p>
    <w:p w14:paraId="60BE31B1" w14:textId="062FCBBF" w:rsidR="005E5391" w:rsidRPr="00795F17" w:rsidRDefault="005E5391" w:rsidP="0044393D">
      <w:r w:rsidRPr="00795F17">
        <w:t>W 2019 r. użytkownicy wód uiścili łącznie 568,3 mln zł tytułem opłat za usługi wodne, z czego opłaty stałe</w:t>
      </w:r>
      <w:r w:rsidR="00221C7F" w:rsidRPr="00795F17">
        <w:t>, których podstawę stanowi pozwolenie wodnoprawne lub pozwolenie zintegrowane,</w:t>
      </w:r>
      <w:r w:rsidRPr="00795F17">
        <w:t xml:space="preserve"> wyniosły 15,8 mln zł</w:t>
      </w:r>
      <w:r w:rsidR="0055565E">
        <w:t xml:space="preserve"> (tabela 11-1),</w:t>
      </w:r>
      <w:r w:rsidR="00221C7F" w:rsidRPr="00795F17">
        <w:t xml:space="preserve"> </w:t>
      </w:r>
      <w:r w:rsidRPr="00795F17">
        <w:t>a opłaty zmienne</w:t>
      </w:r>
      <w:r w:rsidR="00221C7F" w:rsidRPr="00795F17">
        <w:t xml:space="preserve">, które zależą od faktycznego zakresu korzystania z wód </w:t>
      </w:r>
      <w:r w:rsidR="005157C7">
        <w:t>–</w:t>
      </w:r>
      <w:r w:rsidRPr="00795F17">
        <w:t xml:space="preserve"> 552,5 mln zł</w:t>
      </w:r>
      <w:r w:rsidR="0055565E">
        <w:t xml:space="preserve"> (tabela 11-2)</w:t>
      </w:r>
      <w:r w:rsidRPr="00795F17">
        <w:t>.</w:t>
      </w:r>
      <w:r w:rsidR="0055565E">
        <w:t xml:space="preserve"> Wysokość opłat jednostkowych za usługi wodne w 2019 r. przedstawia tabela 11-3.</w:t>
      </w:r>
    </w:p>
    <w:p w14:paraId="307A1528" w14:textId="5CFFB0C8" w:rsidR="00D12A02" w:rsidRPr="00795F17" w:rsidRDefault="005E5391" w:rsidP="004D7705">
      <w:pPr>
        <w:pStyle w:val="Tabela"/>
      </w:pPr>
      <w:bookmarkStart w:id="577" w:name="_Toc66341932"/>
      <w:bookmarkStart w:id="578" w:name="_Toc105512854"/>
      <w:r w:rsidRPr="00795F17">
        <w:t xml:space="preserve">Tabela </w:t>
      </w:r>
      <w:fldSimple w:instr=" STYLEREF 1 \s ">
        <w:r w:rsidR="001F774D">
          <w:rPr>
            <w:noProof/>
          </w:rPr>
          <w:t>11</w:t>
        </w:r>
      </w:fldSimple>
      <w:r w:rsidR="00BB3B21" w:rsidRPr="00795F17">
        <w:noBreakHyphen/>
      </w:r>
      <w:fldSimple w:instr=" SEQ Tabela \* ARABIC \s 1 ">
        <w:r w:rsidR="001F774D">
          <w:rPr>
            <w:noProof/>
          </w:rPr>
          <w:t>1</w:t>
        </w:r>
      </w:fldSimple>
      <w:r w:rsidR="00E76356">
        <w:rPr>
          <w:noProof/>
        </w:rPr>
        <w:t>.</w:t>
      </w:r>
      <w:r w:rsidR="00D12A02" w:rsidRPr="00795F17">
        <w:tab/>
      </w:r>
      <w:r w:rsidR="00D12A02" w:rsidRPr="00795F17">
        <w:rPr>
          <w:szCs w:val="20"/>
        </w:rPr>
        <w:t>Opłaty stałe za usługi wodne, uiszczone w 2019 r.</w:t>
      </w:r>
      <w:bookmarkEnd w:id="577"/>
      <w:bookmarkEnd w:id="5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5"/>
        <w:gridCol w:w="2007"/>
      </w:tblGrid>
      <w:tr w:rsidR="005E5391" w:rsidRPr="00795F17" w14:paraId="47482DB5" w14:textId="77777777" w:rsidTr="00913851">
        <w:trPr>
          <w:trHeight w:val="454"/>
          <w:tblHeader/>
        </w:trPr>
        <w:tc>
          <w:tcPr>
            <w:tcW w:w="6946" w:type="dxa"/>
            <w:shd w:val="clear" w:color="auto" w:fill="BFBFBF" w:themeFill="background1" w:themeFillShade="BF"/>
            <w:vAlign w:val="center"/>
          </w:tcPr>
          <w:p w14:paraId="41D370B6" w14:textId="77777777" w:rsidR="005E5391" w:rsidRPr="00795F17" w:rsidRDefault="005E5391" w:rsidP="0044393D">
            <w:pPr>
              <w:pStyle w:val="Teksttabelinaglowek"/>
            </w:pPr>
            <w:r w:rsidRPr="00795F17">
              <w:t>Rodzaj usługi wodnej</w:t>
            </w:r>
          </w:p>
        </w:tc>
        <w:tc>
          <w:tcPr>
            <w:tcW w:w="1976" w:type="dxa"/>
            <w:shd w:val="clear" w:color="auto" w:fill="BFBFBF" w:themeFill="background1" w:themeFillShade="BF"/>
            <w:vAlign w:val="center"/>
          </w:tcPr>
          <w:p w14:paraId="6797D80C" w14:textId="56816063" w:rsidR="005E5391" w:rsidRPr="00795F17" w:rsidRDefault="005E5391" w:rsidP="00D6377E">
            <w:pPr>
              <w:pStyle w:val="Teksttabelinaglowek"/>
            </w:pPr>
            <w:r w:rsidRPr="00795F17">
              <w:t xml:space="preserve">Suma </w:t>
            </w:r>
            <w:r w:rsidR="00E13AEE" w:rsidRPr="00795F17">
              <w:t>(</w:t>
            </w:r>
            <w:r w:rsidRPr="00795F17">
              <w:t>zł</w:t>
            </w:r>
            <w:r w:rsidR="00E13AEE" w:rsidRPr="00795F17">
              <w:t>)</w:t>
            </w:r>
          </w:p>
        </w:tc>
      </w:tr>
      <w:tr w:rsidR="005E5391" w:rsidRPr="00795F17" w14:paraId="04EB8493" w14:textId="77777777" w:rsidTr="00913851">
        <w:trPr>
          <w:trHeight w:val="454"/>
        </w:trPr>
        <w:tc>
          <w:tcPr>
            <w:tcW w:w="6946" w:type="dxa"/>
            <w:shd w:val="clear" w:color="auto" w:fill="auto"/>
            <w:vAlign w:val="center"/>
          </w:tcPr>
          <w:p w14:paraId="370E616E" w14:textId="77777777" w:rsidR="005E5391" w:rsidRPr="00795F17" w:rsidRDefault="005E5391" w:rsidP="0044393D">
            <w:pPr>
              <w:pStyle w:val="Teksttabelilewy"/>
              <w:rPr>
                <w:bCs/>
              </w:rPr>
            </w:pPr>
            <w:r w:rsidRPr="00795F17">
              <w:t>Pobór wód powierzchniowych</w:t>
            </w:r>
          </w:p>
        </w:tc>
        <w:tc>
          <w:tcPr>
            <w:tcW w:w="1976" w:type="dxa"/>
            <w:shd w:val="clear" w:color="auto" w:fill="auto"/>
            <w:vAlign w:val="center"/>
          </w:tcPr>
          <w:p w14:paraId="3DBC8949" w14:textId="77777777" w:rsidR="005E5391" w:rsidRPr="00795F17" w:rsidRDefault="005E5391" w:rsidP="00D6377E">
            <w:pPr>
              <w:pStyle w:val="Teksttabelisrodek"/>
              <w:rPr>
                <w:szCs w:val="20"/>
              </w:rPr>
            </w:pPr>
            <w:r w:rsidRPr="00795F17">
              <w:t>2 875 126</w:t>
            </w:r>
          </w:p>
        </w:tc>
      </w:tr>
      <w:tr w:rsidR="005E5391" w:rsidRPr="00795F17" w14:paraId="14ADCB34" w14:textId="77777777" w:rsidTr="00913851">
        <w:trPr>
          <w:trHeight w:val="454"/>
        </w:trPr>
        <w:tc>
          <w:tcPr>
            <w:tcW w:w="6946" w:type="dxa"/>
            <w:shd w:val="clear" w:color="auto" w:fill="auto"/>
            <w:vAlign w:val="center"/>
          </w:tcPr>
          <w:p w14:paraId="5A49A0B7" w14:textId="77777777" w:rsidR="005E5391" w:rsidRPr="00795F17" w:rsidRDefault="005E5391" w:rsidP="0044393D">
            <w:pPr>
              <w:pStyle w:val="Teksttabelilewy"/>
              <w:rPr>
                <w:bCs/>
                <w:szCs w:val="20"/>
              </w:rPr>
            </w:pPr>
            <w:r w:rsidRPr="00795F17">
              <w:t>Pobór wód podzi</w:t>
            </w:r>
            <w:r w:rsidRPr="00795F17">
              <w:rPr>
                <w:rFonts w:cs="Calibri"/>
                <w:szCs w:val="20"/>
              </w:rPr>
              <w:t>emnych</w:t>
            </w:r>
          </w:p>
        </w:tc>
        <w:tc>
          <w:tcPr>
            <w:tcW w:w="1976" w:type="dxa"/>
            <w:shd w:val="clear" w:color="auto" w:fill="auto"/>
            <w:vAlign w:val="center"/>
          </w:tcPr>
          <w:p w14:paraId="55A777DA" w14:textId="77777777" w:rsidR="005E5391" w:rsidRPr="00795F17" w:rsidRDefault="005E5391" w:rsidP="00D6377E">
            <w:pPr>
              <w:pStyle w:val="Teksttabelisrodek"/>
              <w:rPr>
                <w:szCs w:val="20"/>
              </w:rPr>
            </w:pPr>
            <w:r w:rsidRPr="00795F17">
              <w:t>6 223 589</w:t>
            </w:r>
          </w:p>
        </w:tc>
      </w:tr>
      <w:tr w:rsidR="005E5391" w:rsidRPr="00795F17" w14:paraId="1A6EB1FE" w14:textId="77777777" w:rsidTr="00913851">
        <w:trPr>
          <w:trHeight w:val="454"/>
        </w:trPr>
        <w:tc>
          <w:tcPr>
            <w:tcW w:w="6946" w:type="dxa"/>
            <w:shd w:val="clear" w:color="auto" w:fill="auto"/>
            <w:vAlign w:val="center"/>
          </w:tcPr>
          <w:p w14:paraId="6A5937AB" w14:textId="77777777" w:rsidR="005E5391" w:rsidRPr="00795F17" w:rsidRDefault="005E5391" w:rsidP="0044393D">
            <w:pPr>
              <w:pStyle w:val="Teksttabelilewy"/>
              <w:rPr>
                <w:bCs/>
                <w:szCs w:val="20"/>
              </w:rPr>
            </w:pPr>
            <w:r w:rsidRPr="00795F17">
              <w:t>Wprowadzanie ścieków</w:t>
            </w:r>
          </w:p>
        </w:tc>
        <w:tc>
          <w:tcPr>
            <w:tcW w:w="1976" w:type="dxa"/>
            <w:shd w:val="clear" w:color="auto" w:fill="auto"/>
            <w:vAlign w:val="center"/>
          </w:tcPr>
          <w:p w14:paraId="7BB99AA5" w14:textId="77777777" w:rsidR="005E5391" w:rsidRPr="00795F17" w:rsidRDefault="005E5391" w:rsidP="00D6377E">
            <w:pPr>
              <w:pStyle w:val="Teksttabelisrodek"/>
              <w:rPr>
                <w:szCs w:val="20"/>
              </w:rPr>
            </w:pPr>
            <w:r w:rsidRPr="00795F17">
              <w:t>5 033 857</w:t>
            </w:r>
          </w:p>
        </w:tc>
      </w:tr>
      <w:tr w:rsidR="005E5391" w:rsidRPr="00795F17" w14:paraId="5ED95A07" w14:textId="77777777" w:rsidTr="00913851">
        <w:trPr>
          <w:trHeight w:val="454"/>
        </w:trPr>
        <w:tc>
          <w:tcPr>
            <w:tcW w:w="6946" w:type="dxa"/>
            <w:shd w:val="clear" w:color="auto" w:fill="auto"/>
            <w:vAlign w:val="center"/>
          </w:tcPr>
          <w:p w14:paraId="23AF0F1A" w14:textId="5355E401" w:rsidR="005E5391" w:rsidRPr="00795F17" w:rsidRDefault="005E5391" w:rsidP="0044393D">
            <w:pPr>
              <w:pStyle w:val="Teksttabelilewy"/>
              <w:rPr>
                <w:bCs/>
                <w:szCs w:val="20"/>
              </w:rPr>
            </w:pPr>
            <w:r w:rsidRPr="00795F17">
              <w:t xml:space="preserve">Odprowadzanie do wód </w:t>
            </w:r>
            <w:r w:rsidR="000533AF">
              <w:t xml:space="preserve">wód </w:t>
            </w:r>
            <w:r w:rsidRPr="00795F17">
              <w:t>pochodzących z odwodnienia gruntów</w:t>
            </w:r>
          </w:p>
        </w:tc>
        <w:tc>
          <w:tcPr>
            <w:tcW w:w="1976" w:type="dxa"/>
            <w:shd w:val="clear" w:color="auto" w:fill="auto"/>
            <w:vAlign w:val="center"/>
          </w:tcPr>
          <w:p w14:paraId="0DE32A45" w14:textId="77777777" w:rsidR="005E5391" w:rsidRPr="00795F17" w:rsidRDefault="005E5391" w:rsidP="00D6377E">
            <w:pPr>
              <w:pStyle w:val="Teksttabelisrodek"/>
              <w:rPr>
                <w:szCs w:val="20"/>
              </w:rPr>
            </w:pPr>
            <w:r w:rsidRPr="00795F17">
              <w:t>104</w:t>
            </w:r>
          </w:p>
        </w:tc>
      </w:tr>
      <w:tr w:rsidR="005E5391" w:rsidRPr="00795F17" w14:paraId="6071B6D0" w14:textId="77777777" w:rsidTr="00913851">
        <w:trPr>
          <w:trHeight w:val="454"/>
        </w:trPr>
        <w:tc>
          <w:tcPr>
            <w:tcW w:w="6946" w:type="dxa"/>
            <w:shd w:val="clear" w:color="auto" w:fill="auto"/>
            <w:vAlign w:val="center"/>
          </w:tcPr>
          <w:p w14:paraId="535FAAE3" w14:textId="626C8F73" w:rsidR="005E5391" w:rsidRPr="00795F17" w:rsidRDefault="005E5391" w:rsidP="0044393D">
            <w:pPr>
              <w:pStyle w:val="Teksttabelilewy"/>
              <w:rPr>
                <w:bCs/>
                <w:szCs w:val="20"/>
              </w:rPr>
            </w:pPr>
            <w:r w:rsidRPr="00795F17">
              <w:t xml:space="preserve">Odprowadzanie do wód </w:t>
            </w:r>
            <w:r w:rsidR="000533AF">
              <w:t xml:space="preserve">wód </w:t>
            </w:r>
            <w:r w:rsidRPr="00795F17">
              <w:t>opadowych lub roztopowych</w:t>
            </w:r>
          </w:p>
        </w:tc>
        <w:tc>
          <w:tcPr>
            <w:tcW w:w="1976" w:type="dxa"/>
            <w:shd w:val="clear" w:color="auto" w:fill="auto"/>
            <w:vAlign w:val="center"/>
          </w:tcPr>
          <w:p w14:paraId="182BB955" w14:textId="77777777" w:rsidR="005E5391" w:rsidRPr="00795F17" w:rsidRDefault="005E5391" w:rsidP="00D6377E">
            <w:pPr>
              <w:pStyle w:val="Teksttabelisrodek"/>
            </w:pPr>
            <w:r w:rsidRPr="00795F17">
              <w:t>840 170</w:t>
            </w:r>
          </w:p>
        </w:tc>
      </w:tr>
      <w:tr w:rsidR="005E5391" w:rsidRPr="00795F17" w14:paraId="100A8DA0" w14:textId="77777777" w:rsidTr="00913851">
        <w:trPr>
          <w:trHeight w:val="454"/>
        </w:trPr>
        <w:tc>
          <w:tcPr>
            <w:tcW w:w="6946" w:type="dxa"/>
            <w:shd w:val="clear" w:color="auto" w:fill="auto"/>
            <w:vAlign w:val="center"/>
          </w:tcPr>
          <w:p w14:paraId="057F279A" w14:textId="77777777" w:rsidR="005E5391" w:rsidRPr="00795F17" w:rsidRDefault="005E5391" w:rsidP="0044393D">
            <w:pPr>
              <w:pStyle w:val="Teksttabelilewy"/>
              <w:rPr>
                <w:bCs/>
              </w:rPr>
            </w:pPr>
            <w:r w:rsidRPr="00795F17">
              <w:t>Pobór wód podziemnych do wytwarzania energii</w:t>
            </w:r>
          </w:p>
        </w:tc>
        <w:tc>
          <w:tcPr>
            <w:tcW w:w="1976" w:type="dxa"/>
            <w:shd w:val="clear" w:color="auto" w:fill="auto"/>
            <w:vAlign w:val="center"/>
          </w:tcPr>
          <w:p w14:paraId="7A1EF0D8" w14:textId="77777777" w:rsidR="005E5391" w:rsidRPr="00795F17" w:rsidRDefault="005E5391" w:rsidP="00D6377E">
            <w:pPr>
              <w:pStyle w:val="Teksttabelisrodek"/>
              <w:rPr>
                <w:szCs w:val="20"/>
              </w:rPr>
            </w:pPr>
            <w:r w:rsidRPr="00795F17">
              <w:t>1325</w:t>
            </w:r>
          </w:p>
        </w:tc>
      </w:tr>
      <w:tr w:rsidR="005E5391" w:rsidRPr="00795F17" w14:paraId="4DB66C03" w14:textId="77777777" w:rsidTr="00913851">
        <w:trPr>
          <w:trHeight w:val="454"/>
        </w:trPr>
        <w:tc>
          <w:tcPr>
            <w:tcW w:w="6946" w:type="dxa"/>
            <w:shd w:val="clear" w:color="auto" w:fill="auto"/>
            <w:vAlign w:val="center"/>
          </w:tcPr>
          <w:p w14:paraId="7FE7F00A" w14:textId="77777777" w:rsidR="005E5391" w:rsidRPr="00795F17" w:rsidRDefault="005E5391" w:rsidP="0044393D">
            <w:pPr>
              <w:pStyle w:val="Teksttabelilewy"/>
              <w:rPr>
                <w:bCs/>
                <w:szCs w:val="20"/>
              </w:rPr>
            </w:pPr>
            <w:r w:rsidRPr="00795F17">
              <w:t xml:space="preserve">Pobór wód powierzchniowych do </w:t>
            </w:r>
            <w:r w:rsidRPr="00795F17">
              <w:rPr>
                <w:rFonts w:cs="Calibri"/>
                <w:szCs w:val="20"/>
              </w:rPr>
              <w:t>wytwarzania energii</w:t>
            </w:r>
          </w:p>
        </w:tc>
        <w:tc>
          <w:tcPr>
            <w:tcW w:w="1976" w:type="dxa"/>
            <w:shd w:val="clear" w:color="auto" w:fill="auto"/>
            <w:vAlign w:val="center"/>
          </w:tcPr>
          <w:p w14:paraId="7FF0A352" w14:textId="77777777" w:rsidR="005E5391" w:rsidRPr="00795F17" w:rsidRDefault="005E5391" w:rsidP="00D6377E">
            <w:pPr>
              <w:pStyle w:val="Teksttabelisrodek"/>
              <w:rPr>
                <w:szCs w:val="20"/>
              </w:rPr>
            </w:pPr>
            <w:r w:rsidRPr="00795F17">
              <w:t>812 241</w:t>
            </w:r>
          </w:p>
        </w:tc>
      </w:tr>
      <w:tr w:rsidR="005E5391" w:rsidRPr="00795F17" w14:paraId="7BACE1AC" w14:textId="77777777" w:rsidTr="00E13AEE">
        <w:trPr>
          <w:trHeight w:val="454"/>
        </w:trPr>
        <w:tc>
          <w:tcPr>
            <w:tcW w:w="6946" w:type="dxa"/>
            <w:shd w:val="clear" w:color="auto" w:fill="BFBFBF" w:themeFill="background1" w:themeFillShade="BF"/>
            <w:vAlign w:val="center"/>
          </w:tcPr>
          <w:p w14:paraId="6A5A863B" w14:textId="52320A0F" w:rsidR="005E5391" w:rsidRPr="00795F17" w:rsidRDefault="005E5391" w:rsidP="00E13AEE">
            <w:pPr>
              <w:pStyle w:val="Teksttabelinaglowek"/>
            </w:pPr>
            <w:r w:rsidRPr="00795F17">
              <w:t>R</w:t>
            </w:r>
            <w:r w:rsidR="00E545FC" w:rsidRPr="00795F17">
              <w:t>azem</w:t>
            </w:r>
            <w:r w:rsidRPr="00795F17">
              <w:t xml:space="preserve"> opłaty stałe</w:t>
            </w:r>
          </w:p>
        </w:tc>
        <w:tc>
          <w:tcPr>
            <w:tcW w:w="1976" w:type="dxa"/>
            <w:shd w:val="clear" w:color="auto" w:fill="BFBFBF" w:themeFill="background1" w:themeFillShade="BF"/>
            <w:vAlign w:val="center"/>
          </w:tcPr>
          <w:p w14:paraId="2DDC68CA" w14:textId="77777777" w:rsidR="005E5391" w:rsidRPr="00795F17" w:rsidRDefault="005E5391" w:rsidP="00D6377E">
            <w:pPr>
              <w:pStyle w:val="Teksttabelinaglowek"/>
            </w:pPr>
            <w:r w:rsidRPr="00795F17">
              <w:t>15 786 412</w:t>
            </w:r>
          </w:p>
        </w:tc>
      </w:tr>
    </w:tbl>
    <w:p w14:paraId="325A90F3" w14:textId="4EB3CF18" w:rsidR="005E5391" w:rsidRPr="00795F17" w:rsidRDefault="005E5391" w:rsidP="0044393D">
      <w:pPr>
        <w:pStyle w:val="rdo"/>
        <w:rPr>
          <w:lang w:eastAsia="zh-CN"/>
        </w:rPr>
      </w:pPr>
      <w:r w:rsidRPr="00795F17">
        <w:rPr>
          <w:lang w:eastAsia="zh-CN"/>
        </w:rPr>
        <w:t>Źródło: opracowanie własne</w:t>
      </w:r>
    </w:p>
    <w:p w14:paraId="6F5BC809" w14:textId="77777777" w:rsidR="00E13AEE" w:rsidRPr="00795F17" w:rsidRDefault="00E13AEE" w:rsidP="00221C7F"/>
    <w:p w14:paraId="577791B8" w14:textId="493C55A6" w:rsidR="005E5391" w:rsidRPr="00795F17" w:rsidRDefault="005E5391" w:rsidP="004D7705">
      <w:pPr>
        <w:pStyle w:val="Tabela"/>
      </w:pPr>
      <w:bookmarkStart w:id="579" w:name="_Toc66341933"/>
      <w:bookmarkStart w:id="580" w:name="_Toc105512855"/>
      <w:r w:rsidRPr="00795F17">
        <w:t xml:space="preserve">Tabela </w:t>
      </w:r>
      <w:fldSimple w:instr=" STYLEREF 1 \s ">
        <w:r w:rsidR="001F774D">
          <w:rPr>
            <w:noProof/>
          </w:rPr>
          <w:t>11</w:t>
        </w:r>
      </w:fldSimple>
      <w:r w:rsidR="00BB3B21" w:rsidRPr="00795F17">
        <w:noBreakHyphen/>
      </w:r>
      <w:fldSimple w:instr=" SEQ Tabela \* ARABIC \s 1 ">
        <w:r w:rsidR="001F774D">
          <w:rPr>
            <w:noProof/>
          </w:rPr>
          <w:t>2</w:t>
        </w:r>
      </w:fldSimple>
      <w:r w:rsidR="003F2A77">
        <w:rPr>
          <w:noProof/>
        </w:rPr>
        <w:t>.</w:t>
      </w:r>
      <w:r w:rsidR="00D12A02" w:rsidRPr="00795F17">
        <w:tab/>
      </w:r>
      <w:r w:rsidRPr="00795F17">
        <w:t>Opłaty zmienne za usługi wodne, uiszczone w 2019 r.</w:t>
      </w:r>
      <w:bookmarkEnd w:id="579"/>
      <w:bookmarkEnd w:id="5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5"/>
        <w:gridCol w:w="2007"/>
      </w:tblGrid>
      <w:tr w:rsidR="005E5391" w:rsidRPr="00795F17" w14:paraId="0A6A89B3" w14:textId="77777777" w:rsidTr="004175DD">
        <w:trPr>
          <w:trHeight w:val="454"/>
        </w:trPr>
        <w:tc>
          <w:tcPr>
            <w:tcW w:w="6946" w:type="dxa"/>
            <w:shd w:val="clear" w:color="auto" w:fill="BFBFBF" w:themeFill="background1" w:themeFillShade="BF"/>
            <w:vAlign w:val="center"/>
          </w:tcPr>
          <w:p w14:paraId="211E18B6" w14:textId="77777777" w:rsidR="005E5391" w:rsidRPr="00795F17" w:rsidRDefault="005E5391" w:rsidP="0044393D">
            <w:pPr>
              <w:pStyle w:val="Teksttabelinaglowek"/>
            </w:pPr>
            <w:r w:rsidRPr="00795F17">
              <w:t>Rodzaj usługi wodnej</w:t>
            </w:r>
          </w:p>
        </w:tc>
        <w:tc>
          <w:tcPr>
            <w:tcW w:w="1976" w:type="dxa"/>
            <w:shd w:val="clear" w:color="auto" w:fill="BFBFBF" w:themeFill="background1" w:themeFillShade="BF"/>
            <w:vAlign w:val="center"/>
          </w:tcPr>
          <w:p w14:paraId="1AA6C1EE" w14:textId="4CACC2CA" w:rsidR="005E5391" w:rsidRPr="00795F17" w:rsidRDefault="005E5391" w:rsidP="00D6377E">
            <w:pPr>
              <w:pStyle w:val="Teksttabelinaglowek"/>
            </w:pPr>
            <w:r w:rsidRPr="00795F17">
              <w:t xml:space="preserve">Suma </w:t>
            </w:r>
            <w:r w:rsidR="00E13AEE" w:rsidRPr="00795F17">
              <w:t>(</w:t>
            </w:r>
            <w:r w:rsidRPr="00795F17">
              <w:t>zł</w:t>
            </w:r>
            <w:r w:rsidR="00E13AEE" w:rsidRPr="00795F17">
              <w:t>)</w:t>
            </w:r>
          </w:p>
        </w:tc>
      </w:tr>
      <w:tr w:rsidR="005E5391" w:rsidRPr="00795F17" w14:paraId="57D6DA3B" w14:textId="77777777" w:rsidTr="004175DD">
        <w:trPr>
          <w:trHeight w:val="454"/>
        </w:trPr>
        <w:tc>
          <w:tcPr>
            <w:tcW w:w="6946" w:type="dxa"/>
            <w:shd w:val="clear" w:color="auto" w:fill="auto"/>
            <w:vAlign w:val="center"/>
          </w:tcPr>
          <w:p w14:paraId="34316162" w14:textId="77777777" w:rsidR="005E5391" w:rsidRPr="00795F17" w:rsidRDefault="005E5391" w:rsidP="0044393D">
            <w:pPr>
              <w:pStyle w:val="Teksttabelilewy"/>
              <w:rPr>
                <w:bCs/>
              </w:rPr>
            </w:pPr>
            <w:r w:rsidRPr="00795F17">
              <w:t>Pobór wód powierzchniowych</w:t>
            </w:r>
          </w:p>
        </w:tc>
        <w:tc>
          <w:tcPr>
            <w:tcW w:w="1976" w:type="dxa"/>
            <w:shd w:val="clear" w:color="auto" w:fill="auto"/>
            <w:vAlign w:val="center"/>
          </w:tcPr>
          <w:p w14:paraId="6571BFC5" w14:textId="77777777" w:rsidR="005E5391" w:rsidRPr="00795F17" w:rsidRDefault="005E5391" w:rsidP="00D6377E">
            <w:pPr>
              <w:pStyle w:val="Teksttabelisrodek"/>
              <w:rPr>
                <w:szCs w:val="20"/>
              </w:rPr>
            </w:pPr>
            <w:r w:rsidRPr="00795F17">
              <w:t>80 444 061</w:t>
            </w:r>
          </w:p>
        </w:tc>
      </w:tr>
      <w:tr w:rsidR="005E5391" w:rsidRPr="00795F17" w14:paraId="09C3E81D" w14:textId="77777777" w:rsidTr="004175DD">
        <w:trPr>
          <w:trHeight w:val="454"/>
        </w:trPr>
        <w:tc>
          <w:tcPr>
            <w:tcW w:w="6946" w:type="dxa"/>
            <w:shd w:val="clear" w:color="auto" w:fill="auto"/>
            <w:vAlign w:val="center"/>
          </w:tcPr>
          <w:p w14:paraId="687EF853" w14:textId="77777777" w:rsidR="005E5391" w:rsidRPr="00795F17" w:rsidRDefault="005E5391" w:rsidP="0044393D">
            <w:pPr>
              <w:pStyle w:val="Teksttabelilewy"/>
              <w:rPr>
                <w:bCs/>
                <w:szCs w:val="20"/>
              </w:rPr>
            </w:pPr>
            <w:r w:rsidRPr="00795F17">
              <w:t>Pobór wód podziemnych</w:t>
            </w:r>
          </w:p>
        </w:tc>
        <w:tc>
          <w:tcPr>
            <w:tcW w:w="1976" w:type="dxa"/>
            <w:shd w:val="clear" w:color="auto" w:fill="auto"/>
            <w:vAlign w:val="center"/>
          </w:tcPr>
          <w:p w14:paraId="6A0981C2" w14:textId="77777777" w:rsidR="005E5391" w:rsidRPr="00795F17" w:rsidRDefault="005E5391" w:rsidP="00D6377E">
            <w:pPr>
              <w:pStyle w:val="Teksttabelisrodek"/>
              <w:rPr>
                <w:szCs w:val="20"/>
              </w:rPr>
            </w:pPr>
            <w:r w:rsidRPr="00795F17">
              <w:t>159 489 989</w:t>
            </w:r>
          </w:p>
        </w:tc>
      </w:tr>
      <w:tr w:rsidR="005E5391" w:rsidRPr="00795F17" w14:paraId="018F3586" w14:textId="77777777" w:rsidTr="004175DD">
        <w:trPr>
          <w:trHeight w:val="454"/>
        </w:trPr>
        <w:tc>
          <w:tcPr>
            <w:tcW w:w="6946" w:type="dxa"/>
            <w:shd w:val="clear" w:color="auto" w:fill="auto"/>
            <w:vAlign w:val="center"/>
          </w:tcPr>
          <w:p w14:paraId="3BAC64F2" w14:textId="77777777" w:rsidR="005E5391" w:rsidRPr="00795F17" w:rsidRDefault="005E5391" w:rsidP="0044393D">
            <w:pPr>
              <w:pStyle w:val="Teksttabelilewy"/>
              <w:rPr>
                <w:bCs/>
                <w:szCs w:val="20"/>
              </w:rPr>
            </w:pPr>
            <w:r w:rsidRPr="00795F17">
              <w:t>Wprowadzanie ścieków</w:t>
            </w:r>
          </w:p>
        </w:tc>
        <w:tc>
          <w:tcPr>
            <w:tcW w:w="1976" w:type="dxa"/>
            <w:shd w:val="clear" w:color="auto" w:fill="auto"/>
            <w:vAlign w:val="center"/>
          </w:tcPr>
          <w:p w14:paraId="5FA96B88" w14:textId="77777777" w:rsidR="005E5391" w:rsidRPr="00795F17" w:rsidRDefault="005E5391" w:rsidP="00D6377E">
            <w:pPr>
              <w:pStyle w:val="Teksttabelisrodek"/>
              <w:rPr>
                <w:szCs w:val="20"/>
              </w:rPr>
            </w:pPr>
            <w:r w:rsidRPr="00795F17">
              <w:t>202 163 173</w:t>
            </w:r>
          </w:p>
        </w:tc>
      </w:tr>
      <w:tr w:rsidR="005E5391" w:rsidRPr="00795F17" w14:paraId="70E90C40" w14:textId="77777777" w:rsidTr="004175DD">
        <w:trPr>
          <w:trHeight w:val="454"/>
        </w:trPr>
        <w:tc>
          <w:tcPr>
            <w:tcW w:w="6946" w:type="dxa"/>
            <w:shd w:val="clear" w:color="auto" w:fill="auto"/>
            <w:vAlign w:val="center"/>
          </w:tcPr>
          <w:p w14:paraId="6E05057B" w14:textId="1492F672" w:rsidR="005E5391" w:rsidRPr="00795F17" w:rsidRDefault="005E5391" w:rsidP="0044393D">
            <w:pPr>
              <w:pStyle w:val="Teksttabelilewy"/>
              <w:rPr>
                <w:bCs/>
                <w:szCs w:val="20"/>
              </w:rPr>
            </w:pPr>
            <w:r w:rsidRPr="00795F17">
              <w:t xml:space="preserve">Odprowadzanie do wód </w:t>
            </w:r>
            <w:r w:rsidR="00E545FC">
              <w:t xml:space="preserve">wód </w:t>
            </w:r>
            <w:r w:rsidRPr="00795F17">
              <w:t>opadowych lub roztopowych</w:t>
            </w:r>
          </w:p>
        </w:tc>
        <w:tc>
          <w:tcPr>
            <w:tcW w:w="1976" w:type="dxa"/>
            <w:shd w:val="clear" w:color="auto" w:fill="auto"/>
            <w:vAlign w:val="center"/>
          </w:tcPr>
          <w:p w14:paraId="51B03B8A" w14:textId="77777777" w:rsidR="005E5391" w:rsidRPr="00795F17" w:rsidRDefault="005E5391" w:rsidP="00D6377E">
            <w:pPr>
              <w:pStyle w:val="Teksttabelisrodek"/>
              <w:rPr>
                <w:szCs w:val="20"/>
              </w:rPr>
            </w:pPr>
            <w:r w:rsidRPr="00795F17">
              <w:t>108 534</w:t>
            </w:r>
            <w:r w:rsidRPr="00795F17">
              <w:rPr>
                <w:rFonts w:cs="Calibri"/>
                <w:szCs w:val="20"/>
              </w:rPr>
              <w:t xml:space="preserve"> 260</w:t>
            </w:r>
          </w:p>
        </w:tc>
      </w:tr>
      <w:tr w:rsidR="005E5391" w:rsidRPr="00795F17" w14:paraId="6F964FCA" w14:textId="77777777" w:rsidTr="004175DD">
        <w:trPr>
          <w:trHeight w:val="454"/>
        </w:trPr>
        <w:tc>
          <w:tcPr>
            <w:tcW w:w="6946" w:type="dxa"/>
            <w:shd w:val="clear" w:color="auto" w:fill="auto"/>
            <w:vAlign w:val="center"/>
          </w:tcPr>
          <w:p w14:paraId="3787DB67" w14:textId="77777777" w:rsidR="005E5391" w:rsidRPr="00795F17" w:rsidRDefault="005E5391" w:rsidP="0044393D">
            <w:pPr>
              <w:pStyle w:val="Teksttabelilewy"/>
              <w:rPr>
                <w:bCs/>
              </w:rPr>
            </w:pPr>
            <w:r w:rsidRPr="00795F17">
              <w:t>Pobór wód na potrzeby chowu i hodowli ryb</w:t>
            </w:r>
          </w:p>
        </w:tc>
        <w:tc>
          <w:tcPr>
            <w:tcW w:w="1976" w:type="dxa"/>
            <w:shd w:val="clear" w:color="auto" w:fill="auto"/>
            <w:vAlign w:val="center"/>
          </w:tcPr>
          <w:p w14:paraId="71F8C479" w14:textId="77777777" w:rsidR="005E5391" w:rsidRPr="00795F17" w:rsidRDefault="005E5391" w:rsidP="00D6377E">
            <w:pPr>
              <w:pStyle w:val="Teksttabelisrodek"/>
              <w:rPr>
                <w:szCs w:val="20"/>
              </w:rPr>
            </w:pPr>
            <w:r w:rsidRPr="00795F17">
              <w:t>548 500</w:t>
            </w:r>
          </w:p>
        </w:tc>
      </w:tr>
      <w:tr w:rsidR="005E5391" w:rsidRPr="00795F17" w14:paraId="2B7104E5" w14:textId="77777777" w:rsidTr="004175DD">
        <w:trPr>
          <w:trHeight w:val="454"/>
        </w:trPr>
        <w:tc>
          <w:tcPr>
            <w:tcW w:w="6946" w:type="dxa"/>
            <w:shd w:val="clear" w:color="auto" w:fill="auto"/>
            <w:vAlign w:val="center"/>
          </w:tcPr>
          <w:p w14:paraId="747FDFB5" w14:textId="77777777" w:rsidR="005E5391" w:rsidRPr="00795F17" w:rsidRDefault="005E5391" w:rsidP="0044393D">
            <w:pPr>
              <w:pStyle w:val="Teksttabelilewy"/>
              <w:rPr>
                <w:bCs/>
              </w:rPr>
            </w:pPr>
            <w:r w:rsidRPr="00795F17">
              <w:t>Wydobywanie z wód kamieni, żwir</w:t>
            </w:r>
            <w:r w:rsidRPr="00795F17">
              <w:rPr>
                <w:rFonts w:cs="Calibri"/>
              </w:rPr>
              <w:t>u i piasku oraz wycinanie roślin</w:t>
            </w:r>
          </w:p>
        </w:tc>
        <w:tc>
          <w:tcPr>
            <w:tcW w:w="1976" w:type="dxa"/>
            <w:shd w:val="clear" w:color="auto" w:fill="auto"/>
            <w:vAlign w:val="center"/>
          </w:tcPr>
          <w:p w14:paraId="68B60F2C" w14:textId="77777777" w:rsidR="005E5391" w:rsidRPr="00795F17" w:rsidRDefault="005E5391" w:rsidP="00D6377E">
            <w:pPr>
              <w:pStyle w:val="Teksttabelisrodek"/>
              <w:rPr>
                <w:szCs w:val="20"/>
              </w:rPr>
            </w:pPr>
            <w:r w:rsidRPr="00795F17">
              <w:t>1 323 679</w:t>
            </w:r>
          </w:p>
        </w:tc>
      </w:tr>
      <w:tr w:rsidR="005E5391" w:rsidRPr="00795F17" w14:paraId="63A5A281" w14:textId="77777777" w:rsidTr="00E13AEE">
        <w:trPr>
          <w:trHeight w:val="454"/>
        </w:trPr>
        <w:tc>
          <w:tcPr>
            <w:tcW w:w="6946" w:type="dxa"/>
            <w:shd w:val="clear" w:color="auto" w:fill="BFBFBF" w:themeFill="background1" w:themeFillShade="BF"/>
            <w:vAlign w:val="center"/>
          </w:tcPr>
          <w:p w14:paraId="29D58CF9" w14:textId="11E5882D" w:rsidR="005E5391" w:rsidRPr="00795F17" w:rsidRDefault="005E5391" w:rsidP="0044393D">
            <w:pPr>
              <w:pStyle w:val="Teksttabelinaglowek"/>
            </w:pPr>
            <w:r w:rsidRPr="00795F17">
              <w:t>R</w:t>
            </w:r>
            <w:r w:rsidR="00E545FC" w:rsidRPr="00795F17">
              <w:t xml:space="preserve">azem </w:t>
            </w:r>
            <w:r w:rsidRPr="00795F17">
              <w:t>opłaty zmienne</w:t>
            </w:r>
          </w:p>
        </w:tc>
        <w:tc>
          <w:tcPr>
            <w:tcW w:w="1976" w:type="dxa"/>
            <w:shd w:val="clear" w:color="auto" w:fill="BFBFBF" w:themeFill="background1" w:themeFillShade="BF"/>
            <w:vAlign w:val="center"/>
          </w:tcPr>
          <w:p w14:paraId="008E06C0" w14:textId="77777777" w:rsidR="005E5391" w:rsidRPr="00795F17" w:rsidRDefault="005E5391" w:rsidP="00D6377E">
            <w:pPr>
              <w:pStyle w:val="Teksttabelinaglowek"/>
            </w:pPr>
            <w:r w:rsidRPr="00795F17">
              <w:t>552 503 662</w:t>
            </w:r>
          </w:p>
        </w:tc>
      </w:tr>
    </w:tbl>
    <w:p w14:paraId="645815E4" w14:textId="65DE0CE3" w:rsidR="005E5391" w:rsidRPr="00795F17" w:rsidRDefault="005E5391" w:rsidP="0044393D">
      <w:pPr>
        <w:pStyle w:val="rdo"/>
        <w:rPr>
          <w:lang w:eastAsia="zh-CN"/>
        </w:rPr>
      </w:pPr>
      <w:r w:rsidRPr="00795F17">
        <w:rPr>
          <w:lang w:eastAsia="zh-CN"/>
        </w:rPr>
        <w:t>Źródło: opracowanie własne</w:t>
      </w:r>
    </w:p>
    <w:p w14:paraId="6E32B31D" w14:textId="77777777" w:rsidR="00E13AEE" w:rsidRPr="00795F17" w:rsidRDefault="00E13AEE" w:rsidP="00221C7F">
      <w:pPr>
        <w:rPr>
          <w:lang w:eastAsia="zh-CN"/>
        </w:rPr>
      </w:pPr>
    </w:p>
    <w:p w14:paraId="5B9A7413" w14:textId="2AAE9646" w:rsidR="005E5391" w:rsidRPr="00795F17" w:rsidRDefault="005E5391" w:rsidP="004D7705">
      <w:pPr>
        <w:pStyle w:val="Tabela"/>
      </w:pPr>
      <w:bookmarkStart w:id="581" w:name="_Toc66341934"/>
      <w:bookmarkStart w:id="582" w:name="_Toc105512856"/>
      <w:r w:rsidRPr="00795F17">
        <w:t xml:space="preserve">Tabela </w:t>
      </w:r>
      <w:fldSimple w:instr=" STYLEREF 1 \s ">
        <w:r w:rsidR="001F774D">
          <w:rPr>
            <w:noProof/>
          </w:rPr>
          <w:t>11</w:t>
        </w:r>
      </w:fldSimple>
      <w:r w:rsidR="00BB3B21" w:rsidRPr="00795F17">
        <w:noBreakHyphen/>
      </w:r>
      <w:fldSimple w:instr=" SEQ Tabela \* ARABIC \s 1 ">
        <w:r w:rsidR="001F774D">
          <w:rPr>
            <w:noProof/>
          </w:rPr>
          <w:t>3</w:t>
        </w:r>
      </w:fldSimple>
      <w:r w:rsidR="003F2A77">
        <w:rPr>
          <w:noProof/>
        </w:rPr>
        <w:t>.</w:t>
      </w:r>
      <w:r w:rsidR="00040BB6" w:rsidRPr="00795F17">
        <w:tab/>
      </w:r>
      <w:r w:rsidRPr="00795F17">
        <w:t>Wysokość jednostkowych opłat za usługi wodne w 2019 r.</w:t>
      </w:r>
      <w:bookmarkEnd w:id="581"/>
      <w:bookmarkEnd w:id="5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2"/>
        <w:gridCol w:w="1049"/>
        <w:gridCol w:w="1598"/>
        <w:gridCol w:w="1708"/>
        <w:gridCol w:w="1405"/>
      </w:tblGrid>
      <w:tr w:rsidR="005E5391" w:rsidRPr="00795F17" w14:paraId="48A0DEA3" w14:textId="77777777" w:rsidTr="004E24D2">
        <w:trPr>
          <w:trHeight w:val="454"/>
          <w:tblHeader/>
        </w:trPr>
        <w:tc>
          <w:tcPr>
            <w:tcW w:w="3302" w:type="dxa"/>
            <w:shd w:val="clear" w:color="auto" w:fill="BFBFBF" w:themeFill="background1" w:themeFillShade="BF"/>
            <w:vAlign w:val="center"/>
          </w:tcPr>
          <w:p w14:paraId="4F63D5B1" w14:textId="77777777" w:rsidR="005E5391" w:rsidRPr="00795F17" w:rsidRDefault="005E5391" w:rsidP="0044393D">
            <w:pPr>
              <w:pStyle w:val="Teksttabelinaglowek"/>
            </w:pPr>
            <w:r w:rsidRPr="00795F17">
              <w:t>Rodzaj usługi wodnej</w:t>
            </w:r>
          </w:p>
        </w:tc>
        <w:tc>
          <w:tcPr>
            <w:tcW w:w="1049" w:type="dxa"/>
            <w:shd w:val="clear" w:color="auto" w:fill="BFBFBF" w:themeFill="background1" w:themeFillShade="BF"/>
            <w:vAlign w:val="center"/>
          </w:tcPr>
          <w:p w14:paraId="4409CA82" w14:textId="77777777" w:rsidR="005E5391" w:rsidRPr="00795F17" w:rsidRDefault="005E5391" w:rsidP="0044393D">
            <w:pPr>
              <w:pStyle w:val="Teksttabelinaglowek"/>
            </w:pPr>
            <w:r w:rsidRPr="00795F17">
              <w:t>Jednostka</w:t>
            </w:r>
          </w:p>
        </w:tc>
        <w:tc>
          <w:tcPr>
            <w:tcW w:w="1598" w:type="dxa"/>
            <w:shd w:val="clear" w:color="auto" w:fill="BFBFBF" w:themeFill="background1" w:themeFillShade="BF"/>
            <w:vAlign w:val="center"/>
          </w:tcPr>
          <w:p w14:paraId="46AAA396" w14:textId="77777777" w:rsidR="005E5391" w:rsidRPr="00795F17" w:rsidRDefault="005E5391" w:rsidP="0044393D">
            <w:pPr>
              <w:pStyle w:val="Teksttabelinaglowek"/>
            </w:pPr>
            <w:r w:rsidRPr="00795F17">
              <w:t>Liczba jednostek</w:t>
            </w:r>
          </w:p>
        </w:tc>
        <w:tc>
          <w:tcPr>
            <w:tcW w:w="1708" w:type="dxa"/>
            <w:shd w:val="clear" w:color="auto" w:fill="BFBFBF" w:themeFill="background1" w:themeFillShade="BF"/>
            <w:vAlign w:val="center"/>
          </w:tcPr>
          <w:p w14:paraId="1B527A7A" w14:textId="77777777" w:rsidR="005E5391" w:rsidRPr="00795F17" w:rsidRDefault="005E5391" w:rsidP="0044393D">
            <w:pPr>
              <w:pStyle w:val="Teksttabelinaglowek"/>
            </w:pPr>
            <w:r w:rsidRPr="00795F17">
              <w:t>Suma opłat</w:t>
            </w:r>
          </w:p>
          <w:p w14:paraId="46314AA6" w14:textId="530B890C" w:rsidR="005E5391" w:rsidRPr="00795F17" w:rsidRDefault="00E13AEE" w:rsidP="0044393D">
            <w:pPr>
              <w:pStyle w:val="Teksttabelinaglowek"/>
            </w:pPr>
            <w:r w:rsidRPr="00795F17">
              <w:t>(</w:t>
            </w:r>
            <w:r w:rsidR="005E5391" w:rsidRPr="00795F17">
              <w:t>zł</w:t>
            </w:r>
            <w:r w:rsidRPr="00795F17">
              <w:t>)</w:t>
            </w:r>
          </w:p>
        </w:tc>
        <w:tc>
          <w:tcPr>
            <w:tcW w:w="1405" w:type="dxa"/>
            <w:shd w:val="clear" w:color="auto" w:fill="BFBFBF" w:themeFill="background1" w:themeFillShade="BF"/>
            <w:vAlign w:val="center"/>
          </w:tcPr>
          <w:p w14:paraId="6C09A236" w14:textId="77777777" w:rsidR="005E5391" w:rsidRPr="00795F17" w:rsidRDefault="005E5391" w:rsidP="00D6377E">
            <w:pPr>
              <w:pStyle w:val="Teksttabelinaglowek"/>
            </w:pPr>
            <w:r w:rsidRPr="00795F17">
              <w:t>Cena jednostkowa</w:t>
            </w:r>
          </w:p>
        </w:tc>
      </w:tr>
      <w:tr w:rsidR="005E5391" w:rsidRPr="00795F17" w14:paraId="240BCB03" w14:textId="77777777" w:rsidTr="00D6377E">
        <w:trPr>
          <w:trHeight w:val="454"/>
        </w:trPr>
        <w:tc>
          <w:tcPr>
            <w:tcW w:w="3302" w:type="dxa"/>
            <w:shd w:val="clear" w:color="auto" w:fill="auto"/>
            <w:vAlign w:val="center"/>
          </w:tcPr>
          <w:p w14:paraId="5E89F824" w14:textId="77777777" w:rsidR="005E5391" w:rsidRPr="00795F17" w:rsidRDefault="005E5391" w:rsidP="0044393D">
            <w:pPr>
              <w:pStyle w:val="Teksttabelilewy"/>
              <w:rPr>
                <w:bCs/>
                <w:szCs w:val="20"/>
              </w:rPr>
            </w:pPr>
            <w:r w:rsidRPr="00795F17">
              <w:t>Pobór wód powierzchniowych</w:t>
            </w:r>
          </w:p>
        </w:tc>
        <w:tc>
          <w:tcPr>
            <w:tcW w:w="1049" w:type="dxa"/>
            <w:vAlign w:val="center"/>
          </w:tcPr>
          <w:p w14:paraId="6E01709D" w14:textId="77777777" w:rsidR="005E5391" w:rsidRPr="00795F17" w:rsidRDefault="005E5391" w:rsidP="0065243A">
            <w:pPr>
              <w:pStyle w:val="Teksttabelisrodek"/>
            </w:pPr>
            <w:r w:rsidRPr="00795F17">
              <w:t>m</w:t>
            </w:r>
            <w:r w:rsidRPr="00795F17">
              <w:rPr>
                <w:vertAlign w:val="superscript"/>
              </w:rPr>
              <w:t>3</w:t>
            </w:r>
          </w:p>
        </w:tc>
        <w:tc>
          <w:tcPr>
            <w:tcW w:w="1598" w:type="dxa"/>
            <w:vAlign w:val="center"/>
          </w:tcPr>
          <w:p w14:paraId="484A3AAF" w14:textId="77777777" w:rsidR="005E5391" w:rsidRPr="00795F17" w:rsidRDefault="005E5391" w:rsidP="0065243A">
            <w:pPr>
              <w:pStyle w:val="Teksttabelisrodek"/>
              <w:rPr>
                <w:rFonts w:cs="Calibri"/>
                <w:szCs w:val="20"/>
              </w:rPr>
            </w:pPr>
            <w:r w:rsidRPr="00795F17">
              <w:t xml:space="preserve">1 223 206 974 </w:t>
            </w:r>
          </w:p>
        </w:tc>
        <w:tc>
          <w:tcPr>
            <w:tcW w:w="1708" w:type="dxa"/>
            <w:vAlign w:val="center"/>
          </w:tcPr>
          <w:p w14:paraId="62BA2AF5" w14:textId="77777777" w:rsidR="005E5391" w:rsidRPr="00795F17" w:rsidRDefault="005E5391" w:rsidP="0065243A">
            <w:pPr>
              <w:pStyle w:val="Teksttabelisrodek"/>
              <w:rPr>
                <w:szCs w:val="20"/>
              </w:rPr>
            </w:pPr>
            <w:r w:rsidRPr="00795F17">
              <w:t>83 319 188</w:t>
            </w:r>
          </w:p>
        </w:tc>
        <w:tc>
          <w:tcPr>
            <w:tcW w:w="1405" w:type="dxa"/>
            <w:shd w:val="clear" w:color="auto" w:fill="auto"/>
            <w:vAlign w:val="center"/>
          </w:tcPr>
          <w:p w14:paraId="1B0EDB9D" w14:textId="77777777" w:rsidR="005E5391" w:rsidRPr="00795F17" w:rsidRDefault="005E5391" w:rsidP="00D6377E">
            <w:pPr>
              <w:pStyle w:val="Teksttabelisrodek"/>
              <w:rPr>
                <w:szCs w:val="20"/>
              </w:rPr>
            </w:pPr>
            <w:r w:rsidRPr="00795F17">
              <w:t>0,07 zł/m</w:t>
            </w:r>
            <w:r w:rsidRPr="00795F17">
              <w:rPr>
                <w:rFonts w:cs="Calibri"/>
                <w:szCs w:val="20"/>
                <w:vertAlign w:val="superscript"/>
              </w:rPr>
              <w:t>3</w:t>
            </w:r>
          </w:p>
        </w:tc>
      </w:tr>
      <w:tr w:rsidR="005E5391" w:rsidRPr="00795F17" w14:paraId="7AAE7954" w14:textId="77777777" w:rsidTr="00D6377E">
        <w:trPr>
          <w:trHeight w:val="454"/>
        </w:trPr>
        <w:tc>
          <w:tcPr>
            <w:tcW w:w="3302" w:type="dxa"/>
            <w:shd w:val="clear" w:color="auto" w:fill="auto"/>
            <w:vAlign w:val="center"/>
          </w:tcPr>
          <w:p w14:paraId="7377F5AC" w14:textId="77777777" w:rsidR="005E5391" w:rsidRPr="00795F17" w:rsidRDefault="005E5391" w:rsidP="0044393D">
            <w:pPr>
              <w:pStyle w:val="Teksttabelilewy"/>
              <w:rPr>
                <w:bCs/>
              </w:rPr>
            </w:pPr>
            <w:r w:rsidRPr="00795F17">
              <w:t xml:space="preserve">Pobór wód </w:t>
            </w:r>
            <w:r w:rsidRPr="00795F17">
              <w:rPr>
                <w:rFonts w:cs="Calibri"/>
              </w:rPr>
              <w:t>podziemnych</w:t>
            </w:r>
          </w:p>
        </w:tc>
        <w:tc>
          <w:tcPr>
            <w:tcW w:w="1049" w:type="dxa"/>
            <w:vAlign w:val="center"/>
          </w:tcPr>
          <w:p w14:paraId="5C18C18B" w14:textId="77777777" w:rsidR="005E5391" w:rsidRPr="00795F17" w:rsidRDefault="005E5391" w:rsidP="0065243A">
            <w:pPr>
              <w:pStyle w:val="Teksttabelisrodek"/>
            </w:pPr>
            <w:r w:rsidRPr="00795F17">
              <w:t>m</w:t>
            </w:r>
            <w:r w:rsidRPr="00795F17">
              <w:rPr>
                <w:vertAlign w:val="superscript"/>
              </w:rPr>
              <w:t>3</w:t>
            </w:r>
          </w:p>
        </w:tc>
        <w:tc>
          <w:tcPr>
            <w:tcW w:w="1598" w:type="dxa"/>
            <w:vAlign w:val="center"/>
          </w:tcPr>
          <w:p w14:paraId="3CC5C74A" w14:textId="77777777" w:rsidR="005E5391" w:rsidRPr="00795F17" w:rsidRDefault="005E5391" w:rsidP="0065243A">
            <w:pPr>
              <w:pStyle w:val="Teksttabelisrodek"/>
              <w:rPr>
                <w:rFonts w:cs="Calibri"/>
                <w:szCs w:val="20"/>
              </w:rPr>
            </w:pPr>
            <w:r w:rsidRPr="00795F17">
              <w:t>1 926 291 168</w:t>
            </w:r>
          </w:p>
        </w:tc>
        <w:tc>
          <w:tcPr>
            <w:tcW w:w="1708" w:type="dxa"/>
            <w:vAlign w:val="center"/>
          </w:tcPr>
          <w:p w14:paraId="0A7B3AE7" w14:textId="77777777" w:rsidR="005E5391" w:rsidRPr="00795F17" w:rsidRDefault="005E5391" w:rsidP="0065243A">
            <w:pPr>
              <w:pStyle w:val="Teksttabelisrodek"/>
              <w:rPr>
                <w:szCs w:val="20"/>
              </w:rPr>
            </w:pPr>
            <w:r w:rsidRPr="00795F17">
              <w:t>165 713 578</w:t>
            </w:r>
          </w:p>
        </w:tc>
        <w:tc>
          <w:tcPr>
            <w:tcW w:w="1405" w:type="dxa"/>
            <w:shd w:val="clear" w:color="auto" w:fill="auto"/>
            <w:vAlign w:val="center"/>
          </w:tcPr>
          <w:p w14:paraId="348F5B4D" w14:textId="77777777" w:rsidR="005E5391" w:rsidRPr="00795F17" w:rsidRDefault="005E5391" w:rsidP="00D7005F">
            <w:pPr>
              <w:pStyle w:val="Teksttabelisrodek"/>
              <w:rPr>
                <w:szCs w:val="20"/>
              </w:rPr>
            </w:pPr>
            <w:r w:rsidRPr="00795F17">
              <w:t>0,09 zł/m</w:t>
            </w:r>
            <w:r w:rsidRPr="00795F17">
              <w:rPr>
                <w:rFonts w:cs="Calibri"/>
                <w:szCs w:val="20"/>
                <w:vertAlign w:val="superscript"/>
              </w:rPr>
              <w:t>3</w:t>
            </w:r>
          </w:p>
        </w:tc>
      </w:tr>
      <w:tr w:rsidR="005E5391" w:rsidRPr="00795F17" w14:paraId="24E3635E" w14:textId="77777777" w:rsidTr="00D6377E">
        <w:trPr>
          <w:trHeight w:val="454"/>
        </w:trPr>
        <w:tc>
          <w:tcPr>
            <w:tcW w:w="3302" w:type="dxa"/>
            <w:shd w:val="clear" w:color="auto" w:fill="auto"/>
            <w:vAlign w:val="center"/>
          </w:tcPr>
          <w:p w14:paraId="12717BFC" w14:textId="77777777" w:rsidR="005E5391" w:rsidRPr="00795F17" w:rsidRDefault="005E5391" w:rsidP="0044393D">
            <w:pPr>
              <w:pStyle w:val="Teksttabelilewy"/>
              <w:rPr>
                <w:bCs/>
              </w:rPr>
            </w:pPr>
            <w:r w:rsidRPr="00795F17">
              <w:t>Wprowadzanie ścieków*</w:t>
            </w:r>
          </w:p>
        </w:tc>
        <w:tc>
          <w:tcPr>
            <w:tcW w:w="1049" w:type="dxa"/>
            <w:vAlign w:val="center"/>
          </w:tcPr>
          <w:p w14:paraId="26AE3EC0" w14:textId="77777777" w:rsidR="005E5391" w:rsidRPr="00795F17" w:rsidRDefault="005E5391" w:rsidP="0065243A">
            <w:pPr>
              <w:pStyle w:val="Teksttabelisrodek"/>
            </w:pPr>
            <w:r w:rsidRPr="00795F17">
              <w:t>m</w:t>
            </w:r>
            <w:r w:rsidRPr="00795F17">
              <w:rPr>
                <w:vertAlign w:val="superscript"/>
              </w:rPr>
              <w:t>3</w:t>
            </w:r>
          </w:p>
        </w:tc>
        <w:tc>
          <w:tcPr>
            <w:tcW w:w="1598" w:type="dxa"/>
            <w:vAlign w:val="center"/>
          </w:tcPr>
          <w:p w14:paraId="05AA1B2E" w14:textId="77777777" w:rsidR="005E5391" w:rsidRPr="00795F17" w:rsidRDefault="005E5391" w:rsidP="0065243A">
            <w:pPr>
              <w:pStyle w:val="Teksttabelisrodek"/>
              <w:rPr>
                <w:rFonts w:cs="Calibri"/>
                <w:szCs w:val="20"/>
              </w:rPr>
            </w:pPr>
            <w:r w:rsidRPr="00795F17">
              <w:t>7 689 100 000</w:t>
            </w:r>
          </w:p>
        </w:tc>
        <w:tc>
          <w:tcPr>
            <w:tcW w:w="1708" w:type="dxa"/>
            <w:vAlign w:val="center"/>
          </w:tcPr>
          <w:p w14:paraId="69E15580" w14:textId="77777777" w:rsidR="005E5391" w:rsidRPr="00795F17" w:rsidRDefault="005E5391" w:rsidP="0065243A">
            <w:pPr>
              <w:pStyle w:val="Teksttabelisrodek"/>
              <w:rPr>
                <w:szCs w:val="20"/>
              </w:rPr>
            </w:pPr>
            <w:r w:rsidRPr="00795F17">
              <w:t>207 197 0</w:t>
            </w:r>
            <w:r w:rsidRPr="00795F17">
              <w:rPr>
                <w:rFonts w:cs="Calibri"/>
                <w:szCs w:val="20"/>
              </w:rPr>
              <w:t>31</w:t>
            </w:r>
          </w:p>
        </w:tc>
        <w:tc>
          <w:tcPr>
            <w:tcW w:w="1405" w:type="dxa"/>
            <w:shd w:val="clear" w:color="auto" w:fill="auto"/>
            <w:vAlign w:val="center"/>
          </w:tcPr>
          <w:p w14:paraId="049A0CA2" w14:textId="77777777" w:rsidR="005E5391" w:rsidRPr="00795F17" w:rsidRDefault="005E5391" w:rsidP="00D7005F">
            <w:pPr>
              <w:pStyle w:val="Teksttabelisrodek"/>
              <w:rPr>
                <w:szCs w:val="20"/>
              </w:rPr>
            </w:pPr>
            <w:r w:rsidRPr="00795F17">
              <w:t>0,03 zł/m</w:t>
            </w:r>
            <w:r w:rsidRPr="00795F17">
              <w:rPr>
                <w:rFonts w:cs="Calibri"/>
                <w:szCs w:val="20"/>
                <w:vertAlign w:val="superscript"/>
              </w:rPr>
              <w:t>3</w:t>
            </w:r>
          </w:p>
        </w:tc>
      </w:tr>
      <w:tr w:rsidR="005E5391" w:rsidRPr="00795F17" w14:paraId="6DEC3131" w14:textId="77777777" w:rsidTr="00D6377E">
        <w:trPr>
          <w:trHeight w:val="454"/>
        </w:trPr>
        <w:tc>
          <w:tcPr>
            <w:tcW w:w="3302" w:type="dxa"/>
            <w:shd w:val="clear" w:color="auto" w:fill="auto"/>
            <w:vAlign w:val="center"/>
          </w:tcPr>
          <w:p w14:paraId="4267CFAF" w14:textId="15D91A67" w:rsidR="005E5391" w:rsidRPr="00795F17" w:rsidRDefault="005E5391" w:rsidP="0044393D">
            <w:pPr>
              <w:pStyle w:val="Teksttabelilewy"/>
              <w:rPr>
                <w:bCs/>
                <w:szCs w:val="20"/>
              </w:rPr>
            </w:pPr>
            <w:r w:rsidRPr="00795F17">
              <w:t xml:space="preserve">Odprowadzanie do wód </w:t>
            </w:r>
            <w:r w:rsidR="00E545FC">
              <w:t xml:space="preserve">wód </w:t>
            </w:r>
            <w:r w:rsidRPr="00795F17">
              <w:t>opadowych lub roztopowych</w:t>
            </w:r>
          </w:p>
        </w:tc>
        <w:tc>
          <w:tcPr>
            <w:tcW w:w="1049" w:type="dxa"/>
            <w:vAlign w:val="center"/>
          </w:tcPr>
          <w:p w14:paraId="239751CE" w14:textId="77777777" w:rsidR="005E5391" w:rsidRPr="00795F17" w:rsidRDefault="005E5391" w:rsidP="0065243A">
            <w:pPr>
              <w:pStyle w:val="Teksttabelisrodek"/>
            </w:pPr>
            <w:r w:rsidRPr="00795F17">
              <w:t>m</w:t>
            </w:r>
            <w:r w:rsidRPr="00795F17">
              <w:rPr>
                <w:vertAlign w:val="superscript"/>
              </w:rPr>
              <w:t>3</w:t>
            </w:r>
          </w:p>
        </w:tc>
        <w:tc>
          <w:tcPr>
            <w:tcW w:w="1598" w:type="dxa"/>
            <w:vAlign w:val="center"/>
          </w:tcPr>
          <w:p w14:paraId="7F2A0E85" w14:textId="77777777" w:rsidR="005E5391" w:rsidRPr="00795F17" w:rsidRDefault="005E5391" w:rsidP="0065243A">
            <w:pPr>
              <w:pStyle w:val="Teksttabelisrodek"/>
              <w:rPr>
                <w:rFonts w:cs="Calibri"/>
                <w:szCs w:val="20"/>
              </w:rPr>
            </w:pPr>
            <w:r w:rsidRPr="00795F17">
              <w:t>190 698 712</w:t>
            </w:r>
          </w:p>
        </w:tc>
        <w:tc>
          <w:tcPr>
            <w:tcW w:w="1708" w:type="dxa"/>
            <w:vAlign w:val="center"/>
          </w:tcPr>
          <w:p w14:paraId="0B7BF77C" w14:textId="77777777" w:rsidR="005E5391" w:rsidRPr="00795F17" w:rsidRDefault="005E5391" w:rsidP="0065243A">
            <w:pPr>
              <w:pStyle w:val="Teksttabelisrodek"/>
              <w:rPr>
                <w:szCs w:val="20"/>
              </w:rPr>
            </w:pPr>
            <w:r w:rsidRPr="00795F17">
              <w:t>109 374 430</w:t>
            </w:r>
          </w:p>
        </w:tc>
        <w:tc>
          <w:tcPr>
            <w:tcW w:w="1405" w:type="dxa"/>
            <w:shd w:val="clear" w:color="auto" w:fill="auto"/>
            <w:vAlign w:val="center"/>
          </w:tcPr>
          <w:p w14:paraId="2DD20A91" w14:textId="77777777" w:rsidR="005E5391" w:rsidRPr="00795F17" w:rsidRDefault="005E5391" w:rsidP="00D7005F">
            <w:pPr>
              <w:pStyle w:val="Teksttabelisrodek"/>
              <w:rPr>
                <w:szCs w:val="20"/>
              </w:rPr>
            </w:pPr>
            <w:r w:rsidRPr="00795F17">
              <w:t>0,57 zł/m</w:t>
            </w:r>
            <w:r w:rsidRPr="00795F17">
              <w:rPr>
                <w:rFonts w:cs="Calibri"/>
                <w:szCs w:val="20"/>
                <w:vertAlign w:val="superscript"/>
              </w:rPr>
              <w:t>3</w:t>
            </w:r>
          </w:p>
        </w:tc>
      </w:tr>
      <w:tr w:rsidR="005E5391" w:rsidRPr="00795F17" w14:paraId="3AA3278A" w14:textId="77777777" w:rsidTr="00D6377E">
        <w:trPr>
          <w:trHeight w:val="454"/>
        </w:trPr>
        <w:tc>
          <w:tcPr>
            <w:tcW w:w="3302" w:type="dxa"/>
            <w:shd w:val="clear" w:color="auto" w:fill="auto"/>
            <w:vAlign w:val="center"/>
          </w:tcPr>
          <w:p w14:paraId="192820CF" w14:textId="797EB076" w:rsidR="005E5391" w:rsidRPr="00795F17" w:rsidRDefault="005E5391" w:rsidP="0044393D">
            <w:pPr>
              <w:pStyle w:val="Teksttabelilewy"/>
              <w:rPr>
                <w:bCs/>
                <w:szCs w:val="20"/>
              </w:rPr>
            </w:pPr>
            <w:r w:rsidRPr="00795F17">
              <w:t>Pobór wód na potrzeby chowu i</w:t>
            </w:r>
            <w:r w:rsidR="00E545FC">
              <w:t> </w:t>
            </w:r>
            <w:r w:rsidRPr="00795F17">
              <w:t>hodowli ryb</w:t>
            </w:r>
          </w:p>
        </w:tc>
        <w:tc>
          <w:tcPr>
            <w:tcW w:w="1049" w:type="dxa"/>
            <w:vAlign w:val="center"/>
          </w:tcPr>
          <w:p w14:paraId="337F705A" w14:textId="77777777" w:rsidR="005E5391" w:rsidRPr="00795F17" w:rsidRDefault="005E5391" w:rsidP="0065243A">
            <w:pPr>
              <w:pStyle w:val="Teksttabelisrodek"/>
              <w:rPr>
                <w:rFonts w:cs="Calibri"/>
                <w:szCs w:val="20"/>
              </w:rPr>
            </w:pPr>
            <w:r w:rsidRPr="00795F17">
              <w:t>ha</w:t>
            </w:r>
          </w:p>
        </w:tc>
        <w:tc>
          <w:tcPr>
            <w:tcW w:w="1598" w:type="dxa"/>
            <w:vAlign w:val="center"/>
          </w:tcPr>
          <w:p w14:paraId="3B060DA7" w14:textId="77777777" w:rsidR="005E5391" w:rsidRPr="00795F17" w:rsidRDefault="005E5391" w:rsidP="0065243A">
            <w:pPr>
              <w:pStyle w:val="Teksttabelisrodek"/>
              <w:rPr>
                <w:rFonts w:cs="Calibri"/>
                <w:szCs w:val="20"/>
              </w:rPr>
            </w:pPr>
            <w:r w:rsidRPr="00795F17">
              <w:t>158 806</w:t>
            </w:r>
          </w:p>
        </w:tc>
        <w:tc>
          <w:tcPr>
            <w:tcW w:w="1708" w:type="dxa"/>
            <w:vAlign w:val="center"/>
          </w:tcPr>
          <w:p w14:paraId="72469B27" w14:textId="77777777" w:rsidR="005E5391" w:rsidRPr="00795F17" w:rsidRDefault="005E5391" w:rsidP="0065243A">
            <w:pPr>
              <w:pStyle w:val="Teksttabelisrodek"/>
              <w:rPr>
                <w:szCs w:val="20"/>
              </w:rPr>
            </w:pPr>
            <w:r w:rsidRPr="00795F17">
              <w:t>548 500</w:t>
            </w:r>
          </w:p>
        </w:tc>
        <w:tc>
          <w:tcPr>
            <w:tcW w:w="1405" w:type="dxa"/>
            <w:shd w:val="clear" w:color="auto" w:fill="auto"/>
            <w:vAlign w:val="center"/>
          </w:tcPr>
          <w:p w14:paraId="19BB1F0E" w14:textId="77777777" w:rsidR="005E5391" w:rsidRPr="00795F17" w:rsidRDefault="005E5391" w:rsidP="00D7005F">
            <w:pPr>
              <w:pStyle w:val="Teksttabelisrodek"/>
            </w:pPr>
            <w:r w:rsidRPr="00795F17">
              <w:t>3,45 zł/ha</w:t>
            </w:r>
          </w:p>
        </w:tc>
      </w:tr>
      <w:tr w:rsidR="005E5391" w:rsidRPr="00795F17" w14:paraId="1224BEBD" w14:textId="77777777" w:rsidTr="00D6377E">
        <w:trPr>
          <w:trHeight w:val="454"/>
        </w:trPr>
        <w:tc>
          <w:tcPr>
            <w:tcW w:w="3302" w:type="dxa"/>
            <w:shd w:val="clear" w:color="auto" w:fill="auto"/>
            <w:vAlign w:val="center"/>
          </w:tcPr>
          <w:p w14:paraId="2030AF9A" w14:textId="0C448D8B" w:rsidR="005E5391" w:rsidRPr="00795F17" w:rsidRDefault="005E5391" w:rsidP="0044393D">
            <w:pPr>
              <w:pStyle w:val="Teksttabelilewy"/>
              <w:rPr>
                <w:bCs/>
                <w:szCs w:val="20"/>
              </w:rPr>
            </w:pPr>
            <w:r w:rsidRPr="00795F17">
              <w:t>Wydobywanie z wód kamieni, żwiru i</w:t>
            </w:r>
            <w:r w:rsidR="00E545FC">
              <w:t> </w:t>
            </w:r>
            <w:r w:rsidRPr="00795F17">
              <w:rPr>
                <w:rFonts w:cs="Calibri"/>
                <w:szCs w:val="20"/>
              </w:rPr>
              <w:t>piasku oraz wycinanie roślin**</w:t>
            </w:r>
          </w:p>
        </w:tc>
        <w:tc>
          <w:tcPr>
            <w:tcW w:w="1049" w:type="dxa"/>
            <w:vAlign w:val="center"/>
          </w:tcPr>
          <w:p w14:paraId="06CD71F4" w14:textId="77777777" w:rsidR="005E5391" w:rsidRPr="00795F17" w:rsidRDefault="005E5391" w:rsidP="0065243A">
            <w:pPr>
              <w:pStyle w:val="Teksttabelisrodek"/>
              <w:rPr>
                <w:rFonts w:cs="Calibri"/>
                <w:szCs w:val="20"/>
              </w:rPr>
            </w:pPr>
            <w:r w:rsidRPr="00795F17">
              <w:t>t</w:t>
            </w:r>
          </w:p>
        </w:tc>
        <w:tc>
          <w:tcPr>
            <w:tcW w:w="1598" w:type="dxa"/>
            <w:vAlign w:val="center"/>
          </w:tcPr>
          <w:p w14:paraId="12994A4D" w14:textId="77777777" w:rsidR="005E5391" w:rsidRPr="00795F17" w:rsidRDefault="005E5391" w:rsidP="0065243A">
            <w:pPr>
              <w:pStyle w:val="Teksttabelisrodek"/>
              <w:rPr>
                <w:rFonts w:cs="Calibri"/>
                <w:szCs w:val="20"/>
              </w:rPr>
            </w:pPr>
            <w:r w:rsidRPr="00795F17">
              <w:t>5 731 091</w:t>
            </w:r>
          </w:p>
        </w:tc>
        <w:tc>
          <w:tcPr>
            <w:tcW w:w="1708" w:type="dxa"/>
            <w:vAlign w:val="center"/>
          </w:tcPr>
          <w:p w14:paraId="1DC42957" w14:textId="77777777" w:rsidR="005E5391" w:rsidRPr="00795F17" w:rsidRDefault="005E5391" w:rsidP="0065243A">
            <w:pPr>
              <w:pStyle w:val="Teksttabelisrodek"/>
            </w:pPr>
            <w:r w:rsidRPr="00795F17">
              <w:t>1 323 679</w:t>
            </w:r>
          </w:p>
        </w:tc>
        <w:tc>
          <w:tcPr>
            <w:tcW w:w="1405" w:type="dxa"/>
            <w:shd w:val="clear" w:color="auto" w:fill="auto"/>
            <w:vAlign w:val="center"/>
          </w:tcPr>
          <w:p w14:paraId="0972BF62" w14:textId="77777777" w:rsidR="005E5391" w:rsidRPr="00795F17" w:rsidRDefault="005E5391" w:rsidP="00D7005F">
            <w:pPr>
              <w:pStyle w:val="Teksttabelisrodek"/>
              <w:rPr>
                <w:szCs w:val="20"/>
              </w:rPr>
            </w:pPr>
            <w:r w:rsidRPr="00795F17">
              <w:t>0,23 zł/t</w:t>
            </w:r>
          </w:p>
        </w:tc>
      </w:tr>
    </w:tbl>
    <w:p w14:paraId="7B83D86F" w14:textId="354D5222" w:rsidR="00335224" w:rsidRPr="009F7F19" w:rsidRDefault="00F30B65" w:rsidP="00E13AEE">
      <w:pPr>
        <w:pStyle w:val="Tabela-wyjasnieniapod"/>
        <w:rPr>
          <w:i w:val="0"/>
        </w:rPr>
      </w:pPr>
      <w:r>
        <w:t>Objaśnienia:</w:t>
      </w:r>
    </w:p>
    <w:p w14:paraId="26B60B9D" w14:textId="276F7FBA" w:rsidR="005E5391" w:rsidRPr="00795F17" w:rsidRDefault="005E5391" w:rsidP="00E13AEE">
      <w:pPr>
        <w:pStyle w:val="Tabela-wyjasnieniapod"/>
      </w:pPr>
      <w:r w:rsidRPr="00795F17">
        <w:t>* Dane o ilości wprowadzonych ścieków za 2019 r. podane na podstawie opracowania GUS Ochrona środowiska 2020.</w:t>
      </w:r>
    </w:p>
    <w:p w14:paraId="30E84D4B" w14:textId="77777777" w:rsidR="005E5391" w:rsidRPr="00795F17" w:rsidRDefault="005E5391" w:rsidP="00E13AEE">
      <w:pPr>
        <w:pStyle w:val="Tabela-wyjasnieniapod"/>
      </w:pPr>
      <w:r w:rsidRPr="00795F17">
        <w:t>** Przyjęto założenie, że średnia masa nasypowa trzciny wynosi 135 kg/m</w:t>
      </w:r>
      <w:r w:rsidRPr="00795F17">
        <w:rPr>
          <w:vertAlign w:val="superscript"/>
        </w:rPr>
        <w:t>3</w:t>
      </w:r>
      <w:r w:rsidRPr="00795F17">
        <w:t>.</w:t>
      </w:r>
    </w:p>
    <w:p w14:paraId="5AEA061E" w14:textId="0EDBEB8F" w:rsidR="005E5391" w:rsidRPr="00795F17" w:rsidRDefault="005E5391" w:rsidP="0044393D">
      <w:pPr>
        <w:pStyle w:val="rdo"/>
      </w:pPr>
      <w:r w:rsidRPr="00795F17">
        <w:rPr>
          <w:lang w:eastAsia="zh-CN"/>
        </w:rPr>
        <w:t>Źródło: opracowanie własne</w:t>
      </w:r>
    </w:p>
    <w:p w14:paraId="5EF99EDD" w14:textId="77777777" w:rsidR="005E5391" w:rsidRPr="00795F17" w:rsidRDefault="005E5391" w:rsidP="00C53C86">
      <w:pPr>
        <w:pStyle w:val="Nagwek3"/>
      </w:pPr>
      <w:bookmarkStart w:id="583" w:name="_Toc63632748"/>
      <w:bookmarkStart w:id="584" w:name="_Toc105512683"/>
      <w:r w:rsidRPr="00795F17">
        <w:t>Koszty środowiskowe</w:t>
      </w:r>
      <w:bookmarkEnd w:id="583"/>
      <w:bookmarkEnd w:id="584"/>
    </w:p>
    <w:p w14:paraId="295068B1" w14:textId="0A012120" w:rsidR="005E5391" w:rsidRPr="00795F17" w:rsidRDefault="005E5391" w:rsidP="0044393D">
      <w:r w:rsidRPr="00795F17">
        <w:t>Koszty środowiskowe</w:t>
      </w:r>
      <w:r w:rsidRPr="00795F17">
        <w:rPr>
          <w:rStyle w:val="Odwoanieprzypisudolnego"/>
          <w:rFonts w:cs="Lucida Grande"/>
        </w:rPr>
        <w:footnoteReference w:id="80"/>
      </w:r>
      <w:r w:rsidRPr="00795F17">
        <w:t xml:space="preserve"> zostały oszacowane za pomocą metody wyceny warunkowej, a dokładnie poprzez pomiar wskaźnika WTP (skłonności do ponoszenia wydatków). Zadeklarowana gotowość do</w:t>
      </w:r>
      <w:r w:rsidR="00E13AEE" w:rsidRPr="00795F17">
        <w:t> </w:t>
      </w:r>
      <w:r w:rsidRPr="00795F17">
        <w:t>płacenia na rzecz poprawy jakości wód jest utożsamiana z wartością utraconych korzyści wynikających z nieprawidłowego stanu zasobów wodnych. Podstawowe badania zostały zrealizowane na Uniwersytecie Warszawskim w 2004 r.</w:t>
      </w:r>
      <w:r w:rsidRPr="00795F17">
        <w:rPr>
          <w:vertAlign w:val="superscript"/>
        </w:rPr>
        <w:footnoteReference w:id="81"/>
      </w:r>
      <w:r w:rsidRPr="00795F17">
        <w:t>, a w 2007 r. opracowano metodę aktualizacji wyników w</w:t>
      </w:r>
      <w:r w:rsidR="00E13AEE" w:rsidRPr="00795F17">
        <w:t> </w:t>
      </w:r>
      <w:r w:rsidRPr="00795F17">
        <w:t>oparciu o zmianę podstawowych parametrów socjoekonomicznych oraz postępu prac w zakresie poprawy jakości wód.</w:t>
      </w:r>
    </w:p>
    <w:p w14:paraId="0CCD1111" w14:textId="3CF6B3EF" w:rsidR="005E5391" w:rsidRPr="00795F17" w:rsidRDefault="005E5391" w:rsidP="0044393D">
      <w:r w:rsidRPr="00795F17">
        <w:t>Finalnie przyjęto wartość WTP w wysokości 1</w:t>
      </w:r>
      <w:bookmarkStart w:id="585" w:name="_Hlk63631344"/>
      <w:r w:rsidRPr="00795F17">
        <w:t>34,3 zł/os.</w:t>
      </w:r>
      <w:r w:rsidR="007C0729" w:rsidRPr="00795F17">
        <w:t>/rok</w:t>
      </w:r>
      <w:r w:rsidRPr="00795F17">
        <w:t xml:space="preserve"> w 2017 r. </w:t>
      </w:r>
      <w:r w:rsidR="005157C7">
        <w:t>–</w:t>
      </w:r>
      <w:r w:rsidRPr="00795F17">
        <w:t xml:space="preserve"> jako średnią dla całej Polski. Na</w:t>
      </w:r>
      <w:r w:rsidR="0044393D" w:rsidRPr="00795F17">
        <w:t> </w:t>
      </w:r>
      <w:r w:rsidRPr="00795F17">
        <w:t>potrzeby IIaPGW wartość ta została dodatkowo skorygowana o wskaźnik wzrostu dochodu rozporządzalnego w 2018 r. (według danych GUS wyniósł on 5,94%) celem uwzględnienia tych danych w szacowaniu stopy zwrotu kosztów usług wodnych w 2018 r. Dlatego też wartość wskaźnika WTP dla</w:t>
      </w:r>
      <w:r w:rsidR="001B15D5">
        <w:t> </w:t>
      </w:r>
      <w:r w:rsidRPr="00795F17">
        <w:t>2018 r. wyniosła średnio 149,2 zł/os.</w:t>
      </w:r>
      <w:r w:rsidR="007C0729" w:rsidRPr="00795F17">
        <w:t>/rok</w:t>
      </w:r>
      <w:r w:rsidRPr="00795F17">
        <w:t xml:space="preserve"> dla obszaru całej Polski</w:t>
      </w:r>
      <w:r w:rsidRPr="00795F17">
        <w:rPr>
          <w:rStyle w:val="Odwoanieprzypisudolnego"/>
          <w:rFonts w:cs="Lucida Grande"/>
        </w:rPr>
        <w:footnoteReference w:id="82"/>
      </w:r>
      <w:r w:rsidRPr="00795F17">
        <w:t>.</w:t>
      </w:r>
    </w:p>
    <w:bookmarkEnd w:id="585"/>
    <w:p w14:paraId="32146695" w14:textId="77777777" w:rsidR="005E5391" w:rsidRPr="00795F17" w:rsidRDefault="005E5391" w:rsidP="0044393D">
      <w:r w:rsidRPr="00795F17">
        <w:t>Łączne koszty środowiskowe dla całego kraju w 2018 r. wyniosły 5726,6 mln zł, przy czym dla obszaru dorzecza Odry koszty środowiskowe w 2018 r. wyniosły 2099,5 mln zł.</w:t>
      </w:r>
    </w:p>
    <w:p w14:paraId="53B03ED0" w14:textId="6DBE8146" w:rsidR="005E5391" w:rsidRPr="00795F17" w:rsidRDefault="005E5391" w:rsidP="0044393D">
      <w:r w:rsidRPr="00795F17">
        <w:t>Powyższe koszty środowiskowe zostały podzielone na sektor komunalny, przemysłowy oraz rolnictwo według zrzutu ładunków oszacowanego dla sektora komunalnego oraz przemysłu na podstawie danych GUS, a w przypadku rolnictwa według presji mierzonej w DJP przy założeniu określonego współczynnika spływu ładunku</w:t>
      </w:r>
      <w:r w:rsidR="0055565E">
        <w:t xml:space="preserve"> (tabela 11-4)</w:t>
      </w:r>
      <w:r w:rsidRPr="00795F17">
        <w:t>.</w:t>
      </w:r>
    </w:p>
    <w:p w14:paraId="5CED095C" w14:textId="70883F7E" w:rsidR="0047728F" w:rsidRPr="00795F17" w:rsidRDefault="005E5391" w:rsidP="004D7705">
      <w:pPr>
        <w:pStyle w:val="Tabela"/>
      </w:pPr>
      <w:bookmarkStart w:id="586" w:name="_Toc66341935"/>
      <w:bookmarkStart w:id="587" w:name="_Toc105512857"/>
      <w:r w:rsidRPr="00795F17">
        <w:t xml:space="preserve">Tabela </w:t>
      </w:r>
      <w:fldSimple w:instr=" STYLEREF 1 \s ">
        <w:r w:rsidR="001F774D">
          <w:rPr>
            <w:noProof/>
          </w:rPr>
          <w:t>11</w:t>
        </w:r>
      </w:fldSimple>
      <w:r w:rsidR="00BB3B21" w:rsidRPr="00795F17">
        <w:noBreakHyphen/>
      </w:r>
      <w:fldSimple w:instr=" SEQ Tabela \* ARABIC \s 1 ">
        <w:r w:rsidR="001F774D">
          <w:rPr>
            <w:noProof/>
          </w:rPr>
          <w:t>4</w:t>
        </w:r>
      </w:fldSimple>
      <w:r w:rsidR="00EB4B7B">
        <w:rPr>
          <w:noProof/>
        </w:rPr>
        <w:t>.</w:t>
      </w:r>
      <w:r w:rsidR="0047728F" w:rsidRPr="00795F17">
        <w:tab/>
      </w:r>
      <w:r w:rsidR="0047728F" w:rsidRPr="00795F17">
        <w:rPr>
          <w:szCs w:val="20"/>
        </w:rPr>
        <w:t>Podział kosztów środowiskowych pomiędzy sektory w 2018 r.</w:t>
      </w:r>
      <w:bookmarkEnd w:id="586"/>
      <w:bookmarkEnd w:id="5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2"/>
        <w:gridCol w:w="1559"/>
        <w:gridCol w:w="2690"/>
        <w:gridCol w:w="2831"/>
      </w:tblGrid>
      <w:tr w:rsidR="005E5391" w:rsidRPr="00795F17" w14:paraId="723A4BD3" w14:textId="77777777" w:rsidTr="004E24D2">
        <w:trPr>
          <w:trHeight w:val="454"/>
          <w:tblHeader/>
        </w:trPr>
        <w:tc>
          <w:tcPr>
            <w:tcW w:w="1959" w:type="dxa"/>
            <w:shd w:val="clear" w:color="auto" w:fill="BFBFBF" w:themeFill="background1" w:themeFillShade="BF"/>
            <w:vAlign w:val="center"/>
          </w:tcPr>
          <w:p w14:paraId="32340F26" w14:textId="77777777" w:rsidR="005E5391" w:rsidRPr="00795F17" w:rsidRDefault="005E5391" w:rsidP="0044393D">
            <w:pPr>
              <w:pStyle w:val="Teksttabelinaglowek"/>
              <w:rPr>
                <w:szCs w:val="20"/>
              </w:rPr>
            </w:pPr>
            <w:r w:rsidRPr="00795F17">
              <w:t>Sektor</w:t>
            </w:r>
          </w:p>
        </w:tc>
        <w:tc>
          <w:tcPr>
            <w:tcW w:w="1540" w:type="dxa"/>
            <w:shd w:val="clear" w:color="auto" w:fill="BFBFBF" w:themeFill="background1" w:themeFillShade="BF"/>
            <w:vAlign w:val="center"/>
          </w:tcPr>
          <w:p w14:paraId="12360431" w14:textId="789D89F6" w:rsidR="002D3015" w:rsidRPr="00795F17" w:rsidRDefault="005E5391" w:rsidP="00221C7F">
            <w:pPr>
              <w:pStyle w:val="Teksttabelinaglowek"/>
              <w:rPr>
                <w:szCs w:val="20"/>
              </w:rPr>
            </w:pPr>
            <w:r w:rsidRPr="00795F17">
              <w:t>Klucz podziału</w:t>
            </w:r>
            <w:r w:rsidR="00221C7F" w:rsidRPr="00795F17">
              <w:rPr>
                <w:rStyle w:val="Odwoanieprzypisudolnego"/>
              </w:rPr>
              <w:footnoteReference w:id="83"/>
            </w:r>
            <w:r w:rsidR="00221C7F" w:rsidRPr="00795F17">
              <w:br/>
            </w:r>
            <w:r w:rsidR="00EA4FF5" w:rsidRPr="00795F17">
              <w:t>(%)</w:t>
            </w:r>
          </w:p>
        </w:tc>
        <w:tc>
          <w:tcPr>
            <w:tcW w:w="2658" w:type="dxa"/>
            <w:shd w:val="clear" w:color="auto" w:fill="BFBFBF" w:themeFill="background1" w:themeFillShade="BF"/>
            <w:vAlign w:val="center"/>
          </w:tcPr>
          <w:p w14:paraId="3D4B880B" w14:textId="4CCE7D6D" w:rsidR="005E5391" w:rsidRPr="00795F17" w:rsidRDefault="005E5391" w:rsidP="0044393D">
            <w:pPr>
              <w:pStyle w:val="Teksttabelinaglowek"/>
              <w:rPr>
                <w:rFonts w:cs="Calibri"/>
                <w:szCs w:val="20"/>
              </w:rPr>
            </w:pPr>
            <w:r w:rsidRPr="00795F17">
              <w:t xml:space="preserve">Wartość kosztów środowiskowych w Polsce </w:t>
            </w:r>
            <w:r w:rsidR="00E457FB" w:rsidRPr="00795F17">
              <w:t>(</w:t>
            </w:r>
            <w:r w:rsidRPr="00795F17">
              <w:t>mln zł</w:t>
            </w:r>
            <w:r w:rsidR="00E457FB" w:rsidRPr="00795F17">
              <w:t>)</w:t>
            </w:r>
          </w:p>
        </w:tc>
        <w:tc>
          <w:tcPr>
            <w:tcW w:w="2797" w:type="dxa"/>
            <w:shd w:val="clear" w:color="auto" w:fill="BFBFBF" w:themeFill="background1" w:themeFillShade="BF"/>
            <w:vAlign w:val="center"/>
          </w:tcPr>
          <w:p w14:paraId="15AEE956" w14:textId="2A46475E" w:rsidR="005E5391" w:rsidRPr="00795F17" w:rsidRDefault="005E5391" w:rsidP="00E457FB">
            <w:pPr>
              <w:pStyle w:val="Teksttabelinaglowek"/>
            </w:pPr>
            <w:r w:rsidRPr="00795F17">
              <w:t xml:space="preserve">Wartość kosztów środowiskowych obszar dorzecza Odry </w:t>
            </w:r>
            <w:r w:rsidR="00E457FB" w:rsidRPr="00795F17">
              <w:br/>
              <w:t>(</w:t>
            </w:r>
            <w:r w:rsidRPr="00795F17">
              <w:t>mln zł</w:t>
            </w:r>
            <w:r w:rsidR="00E457FB" w:rsidRPr="00795F17">
              <w:t>)</w:t>
            </w:r>
          </w:p>
        </w:tc>
      </w:tr>
      <w:tr w:rsidR="005E5391" w:rsidRPr="00795F17" w14:paraId="015EDF71" w14:textId="77777777" w:rsidTr="004175DD">
        <w:trPr>
          <w:trHeight w:val="454"/>
        </w:trPr>
        <w:tc>
          <w:tcPr>
            <w:tcW w:w="1959" w:type="dxa"/>
            <w:shd w:val="clear" w:color="auto" w:fill="auto"/>
            <w:vAlign w:val="center"/>
          </w:tcPr>
          <w:p w14:paraId="417BD7B6" w14:textId="1FB9A6C8" w:rsidR="005E5391" w:rsidRPr="00795F17" w:rsidRDefault="00E539AD" w:rsidP="0044393D">
            <w:pPr>
              <w:pStyle w:val="Teksttabelilewy"/>
              <w:rPr>
                <w:bCs/>
                <w:szCs w:val="20"/>
              </w:rPr>
            </w:pPr>
            <w:r>
              <w:t>k</w:t>
            </w:r>
            <w:r w:rsidR="005E5391" w:rsidRPr="00795F17">
              <w:t>omunalny</w:t>
            </w:r>
          </w:p>
        </w:tc>
        <w:tc>
          <w:tcPr>
            <w:tcW w:w="1540" w:type="dxa"/>
            <w:vAlign w:val="center"/>
          </w:tcPr>
          <w:p w14:paraId="470F36E9" w14:textId="547BBAD9" w:rsidR="005E5391" w:rsidRPr="00795F17" w:rsidRDefault="005E5391" w:rsidP="0065243A">
            <w:pPr>
              <w:pStyle w:val="Teksttabelisrodek"/>
              <w:rPr>
                <w:rFonts w:cs="Calibri"/>
                <w:szCs w:val="20"/>
              </w:rPr>
            </w:pPr>
            <w:r w:rsidRPr="00795F17">
              <w:t>33</w:t>
            </w:r>
          </w:p>
        </w:tc>
        <w:tc>
          <w:tcPr>
            <w:tcW w:w="2658" w:type="dxa"/>
            <w:vAlign w:val="center"/>
          </w:tcPr>
          <w:p w14:paraId="2DBA61A9" w14:textId="6D5B47A4" w:rsidR="005E5391" w:rsidRPr="00795F17" w:rsidRDefault="005E5391" w:rsidP="0065243A">
            <w:pPr>
              <w:pStyle w:val="Teksttabelisrodek"/>
              <w:rPr>
                <w:rFonts w:cs="Calibri"/>
                <w:szCs w:val="20"/>
              </w:rPr>
            </w:pPr>
            <w:r w:rsidRPr="00795F17">
              <w:t>1</w:t>
            </w:r>
            <w:r w:rsidR="002D3015" w:rsidRPr="00795F17">
              <w:t> </w:t>
            </w:r>
            <w:r w:rsidRPr="00795F17">
              <w:t>889,78</w:t>
            </w:r>
          </w:p>
        </w:tc>
        <w:tc>
          <w:tcPr>
            <w:tcW w:w="2797" w:type="dxa"/>
            <w:vAlign w:val="center"/>
          </w:tcPr>
          <w:p w14:paraId="62416224" w14:textId="77777777" w:rsidR="005E5391" w:rsidRPr="00795F17" w:rsidRDefault="005E5391" w:rsidP="0065243A">
            <w:pPr>
              <w:pStyle w:val="Teksttabelisrodek"/>
              <w:rPr>
                <w:rFonts w:cs="Calibri"/>
                <w:szCs w:val="20"/>
              </w:rPr>
            </w:pPr>
            <w:r w:rsidRPr="00795F17">
              <w:t>692,84</w:t>
            </w:r>
          </w:p>
        </w:tc>
      </w:tr>
      <w:tr w:rsidR="005E5391" w:rsidRPr="00795F17" w14:paraId="1E2C0594" w14:textId="77777777" w:rsidTr="004175DD">
        <w:trPr>
          <w:trHeight w:val="454"/>
        </w:trPr>
        <w:tc>
          <w:tcPr>
            <w:tcW w:w="1959" w:type="dxa"/>
            <w:shd w:val="clear" w:color="auto" w:fill="auto"/>
            <w:vAlign w:val="center"/>
          </w:tcPr>
          <w:p w14:paraId="2FAE95CB" w14:textId="303FFDCE" w:rsidR="005E5391" w:rsidRPr="00795F17" w:rsidRDefault="00E539AD" w:rsidP="0044393D">
            <w:pPr>
              <w:pStyle w:val="Teksttabelilewy"/>
              <w:rPr>
                <w:bCs/>
              </w:rPr>
            </w:pPr>
            <w:r>
              <w:t>p</w:t>
            </w:r>
            <w:r w:rsidR="005E5391" w:rsidRPr="00795F17">
              <w:t>rzemysł</w:t>
            </w:r>
          </w:p>
        </w:tc>
        <w:tc>
          <w:tcPr>
            <w:tcW w:w="1540" w:type="dxa"/>
            <w:vAlign w:val="center"/>
          </w:tcPr>
          <w:p w14:paraId="57B558E0" w14:textId="29BBE80E" w:rsidR="005E5391" w:rsidRPr="00795F17" w:rsidRDefault="005E5391" w:rsidP="0065243A">
            <w:pPr>
              <w:pStyle w:val="Teksttabelisrodek"/>
              <w:rPr>
                <w:rFonts w:cs="Calibri"/>
                <w:szCs w:val="20"/>
              </w:rPr>
            </w:pPr>
            <w:r w:rsidRPr="00795F17">
              <w:t>8</w:t>
            </w:r>
          </w:p>
        </w:tc>
        <w:tc>
          <w:tcPr>
            <w:tcW w:w="2658" w:type="dxa"/>
            <w:vAlign w:val="center"/>
          </w:tcPr>
          <w:p w14:paraId="631F5D55" w14:textId="77777777" w:rsidR="005E5391" w:rsidRPr="00795F17" w:rsidRDefault="005E5391" w:rsidP="0065243A">
            <w:pPr>
              <w:pStyle w:val="Teksttabelisrodek"/>
              <w:rPr>
                <w:rFonts w:cs="Calibri"/>
                <w:szCs w:val="20"/>
              </w:rPr>
            </w:pPr>
            <w:r w:rsidRPr="00795F17">
              <w:t>458,13</w:t>
            </w:r>
          </w:p>
        </w:tc>
        <w:tc>
          <w:tcPr>
            <w:tcW w:w="2797" w:type="dxa"/>
            <w:vAlign w:val="center"/>
          </w:tcPr>
          <w:p w14:paraId="454C60D8" w14:textId="77777777" w:rsidR="005E5391" w:rsidRPr="00795F17" w:rsidRDefault="005E5391" w:rsidP="0065243A">
            <w:pPr>
              <w:pStyle w:val="Teksttabelisrodek"/>
              <w:rPr>
                <w:rFonts w:cs="Calibri"/>
                <w:szCs w:val="20"/>
              </w:rPr>
            </w:pPr>
            <w:r w:rsidRPr="00795F17">
              <w:t>167,96</w:t>
            </w:r>
          </w:p>
        </w:tc>
      </w:tr>
      <w:tr w:rsidR="005E5391" w:rsidRPr="00795F17" w14:paraId="0EDD2389" w14:textId="77777777" w:rsidTr="004175DD">
        <w:trPr>
          <w:trHeight w:val="454"/>
        </w:trPr>
        <w:tc>
          <w:tcPr>
            <w:tcW w:w="1959" w:type="dxa"/>
            <w:shd w:val="clear" w:color="auto" w:fill="auto"/>
            <w:vAlign w:val="center"/>
          </w:tcPr>
          <w:p w14:paraId="19DEC0B5" w14:textId="21F895B0" w:rsidR="005E5391" w:rsidRPr="00795F17" w:rsidRDefault="00E539AD" w:rsidP="0044393D">
            <w:pPr>
              <w:pStyle w:val="Teksttabelilewy"/>
              <w:rPr>
                <w:rFonts w:cs="Calibri"/>
                <w:szCs w:val="20"/>
              </w:rPr>
            </w:pPr>
            <w:r>
              <w:t>r</w:t>
            </w:r>
            <w:r w:rsidR="005E5391" w:rsidRPr="00795F17">
              <w:t>olnictwo</w:t>
            </w:r>
          </w:p>
        </w:tc>
        <w:tc>
          <w:tcPr>
            <w:tcW w:w="1540" w:type="dxa"/>
            <w:vAlign w:val="center"/>
          </w:tcPr>
          <w:p w14:paraId="11938D3D" w14:textId="28C23708" w:rsidR="005E5391" w:rsidRPr="00795F17" w:rsidRDefault="005E5391" w:rsidP="0065243A">
            <w:pPr>
              <w:pStyle w:val="Teksttabelisrodek"/>
              <w:rPr>
                <w:rFonts w:cs="Calibri"/>
                <w:szCs w:val="20"/>
              </w:rPr>
            </w:pPr>
            <w:r w:rsidRPr="00795F17">
              <w:t>59</w:t>
            </w:r>
          </w:p>
        </w:tc>
        <w:tc>
          <w:tcPr>
            <w:tcW w:w="2658" w:type="dxa"/>
            <w:vAlign w:val="center"/>
          </w:tcPr>
          <w:p w14:paraId="649E1A73" w14:textId="61D83FAF" w:rsidR="005E5391" w:rsidRPr="00795F17" w:rsidRDefault="005E5391" w:rsidP="0065243A">
            <w:pPr>
              <w:pStyle w:val="Teksttabelisrodek"/>
              <w:rPr>
                <w:rFonts w:cs="Calibri"/>
                <w:szCs w:val="20"/>
              </w:rPr>
            </w:pPr>
            <w:r w:rsidRPr="00795F17">
              <w:t>3</w:t>
            </w:r>
            <w:r w:rsidR="002D3015" w:rsidRPr="00795F17">
              <w:t> </w:t>
            </w:r>
            <w:r w:rsidRPr="00795F17">
              <w:t>378,70</w:t>
            </w:r>
          </w:p>
        </w:tc>
        <w:tc>
          <w:tcPr>
            <w:tcW w:w="2797" w:type="dxa"/>
            <w:vAlign w:val="center"/>
          </w:tcPr>
          <w:p w14:paraId="20699DF2" w14:textId="6F95515B" w:rsidR="005E5391" w:rsidRPr="00795F17" w:rsidRDefault="005E5391" w:rsidP="0065243A">
            <w:pPr>
              <w:pStyle w:val="Teksttabelisrodek"/>
              <w:rPr>
                <w:rFonts w:cs="Calibri"/>
                <w:szCs w:val="20"/>
              </w:rPr>
            </w:pPr>
            <w:r w:rsidRPr="00795F17">
              <w:t>1</w:t>
            </w:r>
            <w:r w:rsidR="002D3015" w:rsidRPr="00795F17">
              <w:t> </w:t>
            </w:r>
            <w:r w:rsidRPr="00795F17">
              <w:t>238,72</w:t>
            </w:r>
          </w:p>
        </w:tc>
      </w:tr>
      <w:tr w:rsidR="005E5391" w:rsidRPr="00795F17" w14:paraId="37923493" w14:textId="77777777" w:rsidTr="004175DD">
        <w:trPr>
          <w:trHeight w:val="454"/>
        </w:trPr>
        <w:tc>
          <w:tcPr>
            <w:tcW w:w="1959" w:type="dxa"/>
            <w:shd w:val="clear" w:color="auto" w:fill="BFBFBF" w:themeFill="background1" w:themeFillShade="BF"/>
            <w:vAlign w:val="center"/>
          </w:tcPr>
          <w:p w14:paraId="54A8F158" w14:textId="77777777" w:rsidR="005E5391" w:rsidRPr="00795F17" w:rsidRDefault="005E5391" w:rsidP="00E457FB">
            <w:pPr>
              <w:pStyle w:val="Teksttabelinaglowek"/>
            </w:pPr>
            <w:r w:rsidRPr="00795F17">
              <w:t>RAZEM</w:t>
            </w:r>
          </w:p>
        </w:tc>
        <w:tc>
          <w:tcPr>
            <w:tcW w:w="1540" w:type="dxa"/>
            <w:shd w:val="clear" w:color="auto" w:fill="BFBFBF" w:themeFill="background1" w:themeFillShade="BF"/>
            <w:vAlign w:val="center"/>
          </w:tcPr>
          <w:p w14:paraId="703FAE1C" w14:textId="3DC5EE7F" w:rsidR="005E5391" w:rsidRPr="00795F17" w:rsidRDefault="005E5391" w:rsidP="00E457FB">
            <w:pPr>
              <w:pStyle w:val="Teksttabelinaglowek"/>
            </w:pPr>
            <w:r w:rsidRPr="00795F17">
              <w:t>100</w:t>
            </w:r>
          </w:p>
        </w:tc>
        <w:tc>
          <w:tcPr>
            <w:tcW w:w="2658" w:type="dxa"/>
            <w:shd w:val="clear" w:color="auto" w:fill="BFBFBF" w:themeFill="background1" w:themeFillShade="BF"/>
            <w:vAlign w:val="center"/>
          </w:tcPr>
          <w:p w14:paraId="56074CA6" w14:textId="40100600" w:rsidR="005E5391" w:rsidRPr="00795F17" w:rsidRDefault="005E5391" w:rsidP="00E457FB">
            <w:pPr>
              <w:pStyle w:val="Teksttabelinaglowek"/>
            </w:pPr>
            <w:r w:rsidRPr="00795F17">
              <w:t>5</w:t>
            </w:r>
            <w:r w:rsidR="002D3015" w:rsidRPr="00795F17">
              <w:t> </w:t>
            </w:r>
            <w:r w:rsidRPr="00795F17">
              <w:t>726,61</w:t>
            </w:r>
          </w:p>
        </w:tc>
        <w:tc>
          <w:tcPr>
            <w:tcW w:w="2797" w:type="dxa"/>
            <w:shd w:val="clear" w:color="auto" w:fill="BFBFBF" w:themeFill="background1" w:themeFillShade="BF"/>
            <w:vAlign w:val="center"/>
          </w:tcPr>
          <w:p w14:paraId="71146C78" w14:textId="2E701DFD" w:rsidR="005E5391" w:rsidRPr="00795F17" w:rsidRDefault="005E5391" w:rsidP="00E457FB">
            <w:pPr>
              <w:pStyle w:val="Teksttabelinaglowek"/>
            </w:pPr>
            <w:r w:rsidRPr="00795F17">
              <w:t>2</w:t>
            </w:r>
            <w:r w:rsidR="002D3015" w:rsidRPr="00795F17">
              <w:t> </w:t>
            </w:r>
            <w:r w:rsidRPr="00795F17">
              <w:t>099,53</w:t>
            </w:r>
          </w:p>
        </w:tc>
      </w:tr>
    </w:tbl>
    <w:p w14:paraId="7EF7C457" w14:textId="77777777" w:rsidR="005E5391" w:rsidRPr="00795F17" w:rsidRDefault="005E5391" w:rsidP="0044393D">
      <w:pPr>
        <w:pStyle w:val="rdo"/>
        <w:rPr>
          <w:rFonts w:cs="Calibri"/>
        </w:rPr>
      </w:pPr>
      <w:r w:rsidRPr="00795F17">
        <w:rPr>
          <w:lang w:eastAsia="zh-CN"/>
        </w:rPr>
        <w:t xml:space="preserve">Źródło: </w:t>
      </w:r>
      <w:r w:rsidRPr="00795F17">
        <w:t>opracowanie własne</w:t>
      </w:r>
      <w:r w:rsidRPr="00795F17">
        <w:rPr>
          <w:lang w:eastAsia="zh-CN"/>
        </w:rPr>
        <w:t xml:space="preserve"> </w:t>
      </w:r>
    </w:p>
    <w:p w14:paraId="02342EC0" w14:textId="77777777" w:rsidR="005E5391" w:rsidRPr="00795F17" w:rsidRDefault="005E5391" w:rsidP="00C53C86">
      <w:pPr>
        <w:pStyle w:val="Nagwek3"/>
      </w:pPr>
      <w:bookmarkStart w:id="588" w:name="_Toc63632749"/>
      <w:bookmarkStart w:id="589" w:name="_Toc105512684"/>
      <w:r w:rsidRPr="00795F17">
        <w:t>Zwrot kosztów usług wodnych w sektorze komunalnym</w:t>
      </w:r>
      <w:bookmarkEnd w:id="588"/>
      <w:bookmarkEnd w:id="589"/>
    </w:p>
    <w:p w14:paraId="26F23A04" w14:textId="416A8991" w:rsidR="005E5391" w:rsidRPr="00795F17" w:rsidRDefault="005E5391" w:rsidP="0044393D">
      <w:r w:rsidRPr="00795F17">
        <w:t xml:space="preserve">Zwrot kosztów usług wodnych w sektorze komunalnym został oszacowany na podstawie próby pochodzących z całego kraju 1899 podmiotów odpowiedzialnych za świadczenie usług w sektorze wodno-kanalizacyjnym, które w 2018 r. złożyły do </w:t>
      </w:r>
      <w:r w:rsidR="0028234C" w:rsidRPr="00795F17">
        <w:t>PGW WP</w:t>
      </w:r>
      <w:r w:rsidRPr="00795F17">
        <w:t xml:space="preserve"> wnioski w przedmiocie akceptacji taryf za</w:t>
      </w:r>
      <w:r w:rsidR="002D3015" w:rsidRPr="00795F17">
        <w:t> </w:t>
      </w:r>
      <w:r w:rsidRPr="00795F17">
        <w:t>usługi wodno-kanalizacyjne.</w:t>
      </w:r>
    </w:p>
    <w:p w14:paraId="35A8831F" w14:textId="77777777" w:rsidR="005E5391" w:rsidRPr="00795F17" w:rsidRDefault="005E5391" w:rsidP="0044393D">
      <w:r w:rsidRPr="00795F17">
        <w:t>Szczegółowe dane finansowe sektora komunalnego zostały przedstawione w poniższej tabeli.</w:t>
      </w:r>
    </w:p>
    <w:p w14:paraId="1CBB1AAD" w14:textId="35F8B59E" w:rsidR="005E5391" w:rsidRPr="00795F17" w:rsidRDefault="005E5391" w:rsidP="004D7705">
      <w:pPr>
        <w:pStyle w:val="Tabela"/>
        <w:rPr>
          <w:szCs w:val="20"/>
        </w:rPr>
      </w:pPr>
      <w:bookmarkStart w:id="590" w:name="_Toc66341936"/>
      <w:bookmarkStart w:id="591" w:name="_Toc105512858"/>
      <w:r w:rsidRPr="00795F17">
        <w:t xml:space="preserve">Tabela </w:t>
      </w:r>
      <w:fldSimple w:instr=" STYLEREF 1 \s ">
        <w:r w:rsidR="001F774D">
          <w:rPr>
            <w:noProof/>
          </w:rPr>
          <w:t>11</w:t>
        </w:r>
      </w:fldSimple>
      <w:r w:rsidR="00BB3B21" w:rsidRPr="00795F17">
        <w:noBreakHyphen/>
      </w:r>
      <w:fldSimple w:instr=" SEQ Tabela \* ARABIC \s 1 ">
        <w:r w:rsidR="001F774D">
          <w:rPr>
            <w:noProof/>
          </w:rPr>
          <w:t>5</w:t>
        </w:r>
      </w:fldSimple>
      <w:r w:rsidR="00EB4B7B">
        <w:rPr>
          <w:noProof/>
        </w:rPr>
        <w:t>.</w:t>
      </w:r>
      <w:r w:rsidR="0047728F" w:rsidRPr="00795F17">
        <w:tab/>
      </w:r>
      <w:r w:rsidRPr="00795F17">
        <w:t>Dane finansowe sektora komunalnego w Polsce w 2018 r.</w:t>
      </w:r>
      <w:bookmarkEnd w:id="590"/>
      <w:bookmarkEnd w:id="5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23"/>
        <w:gridCol w:w="1514"/>
        <w:gridCol w:w="2025"/>
      </w:tblGrid>
      <w:tr w:rsidR="0053632E" w:rsidRPr="00795F17" w14:paraId="47B6167A" w14:textId="77777777" w:rsidTr="00D11892">
        <w:trPr>
          <w:trHeight w:val="397"/>
        </w:trPr>
        <w:tc>
          <w:tcPr>
            <w:tcW w:w="5523" w:type="dxa"/>
            <w:shd w:val="clear" w:color="auto" w:fill="BFBFBF" w:themeFill="background1" w:themeFillShade="BF"/>
            <w:vAlign w:val="center"/>
            <w:hideMark/>
          </w:tcPr>
          <w:p w14:paraId="50FB0D3A" w14:textId="77777777" w:rsidR="0053632E" w:rsidRPr="005842B5" w:rsidRDefault="0053632E" w:rsidP="00AA2367">
            <w:pPr>
              <w:pStyle w:val="Teksttabelilewybold"/>
            </w:pPr>
            <w:r w:rsidRPr="005842B5">
              <w:t>Liczba przedsiębiorstw wodno-kanalizacyjnych</w:t>
            </w:r>
          </w:p>
        </w:tc>
        <w:tc>
          <w:tcPr>
            <w:tcW w:w="1514" w:type="dxa"/>
            <w:shd w:val="clear" w:color="auto" w:fill="BFBFBF" w:themeFill="background1" w:themeFillShade="BF"/>
            <w:vAlign w:val="center"/>
          </w:tcPr>
          <w:p w14:paraId="78841D2B" w14:textId="26781C5B" w:rsidR="0053632E" w:rsidRPr="00795F17" w:rsidRDefault="0053632E" w:rsidP="0065243A">
            <w:pPr>
              <w:pStyle w:val="Teksttabelisrodek"/>
              <w:rPr>
                <w:b/>
                <w:bCs w:val="0"/>
              </w:rPr>
            </w:pPr>
            <w:r w:rsidRPr="00795F17">
              <w:rPr>
                <w:b/>
                <w:bCs w:val="0"/>
              </w:rPr>
              <w:t>-</w:t>
            </w:r>
          </w:p>
        </w:tc>
        <w:tc>
          <w:tcPr>
            <w:tcW w:w="2025" w:type="dxa"/>
            <w:shd w:val="clear" w:color="auto" w:fill="auto"/>
            <w:noWrap/>
            <w:vAlign w:val="center"/>
            <w:hideMark/>
          </w:tcPr>
          <w:p w14:paraId="4A37549E" w14:textId="69317990" w:rsidR="0053632E" w:rsidRPr="00795F17" w:rsidRDefault="0053632E" w:rsidP="00D7005F">
            <w:pPr>
              <w:pStyle w:val="Teksttabelisrodek"/>
              <w:rPr>
                <w:rFonts w:cs="Calibri"/>
                <w:color w:val="000000"/>
                <w:szCs w:val="20"/>
              </w:rPr>
            </w:pPr>
            <w:r w:rsidRPr="00795F17">
              <w:t>1 899</w:t>
            </w:r>
          </w:p>
        </w:tc>
      </w:tr>
      <w:tr w:rsidR="0053632E" w:rsidRPr="00795F17" w14:paraId="03811A36" w14:textId="77777777" w:rsidTr="00D11892">
        <w:trPr>
          <w:trHeight w:val="397"/>
        </w:trPr>
        <w:tc>
          <w:tcPr>
            <w:tcW w:w="5523" w:type="dxa"/>
            <w:shd w:val="clear" w:color="auto" w:fill="BFBFBF" w:themeFill="background1" w:themeFillShade="BF"/>
            <w:vAlign w:val="center"/>
            <w:hideMark/>
          </w:tcPr>
          <w:p w14:paraId="2F89216F" w14:textId="5267BE78" w:rsidR="0053632E" w:rsidRPr="005842B5" w:rsidRDefault="0053632E" w:rsidP="00AA2367">
            <w:pPr>
              <w:pStyle w:val="Teksttabelilewybold"/>
            </w:pPr>
            <w:r w:rsidRPr="005842B5">
              <w:t xml:space="preserve">Suma przychodów </w:t>
            </w:r>
          </w:p>
        </w:tc>
        <w:tc>
          <w:tcPr>
            <w:tcW w:w="1514" w:type="dxa"/>
            <w:shd w:val="clear" w:color="auto" w:fill="BFBFBF" w:themeFill="background1" w:themeFillShade="BF"/>
            <w:vAlign w:val="center"/>
          </w:tcPr>
          <w:p w14:paraId="1E3D9863" w14:textId="7FC9F813" w:rsidR="0053632E" w:rsidRPr="00795F17" w:rsidRDefault="0053632E" w:rsidP="0065243A">
            <w:pPr>
              <w:pStyle w:val="Teksttabelisrodek"/>
              <w:rPr>
                <w:b/>
                <w:bCs w:val="0"/>
              </w:rPr>
            </w:pPr>
            <w:r w:rsidRPr="00795F17">
              <w:rPr>
                <w:b/>
                <w:bCs w:val="0"/>
              </w:rPr>
              <w:t>mln zł</w:t>
            </w:r>
          </w:p>
        </w:tc>
        <w:tc>
          <w:tcPr>
            <w:tcW w:w="2025" w:type="dxa"/>
            <w:shd w:val="clear" w:color="auto" w:fill="auto"/>
            <w:noWrap/>
            <w:vAlign w:val="center"/>
            <w:hideMark/>
          </w:tcPr>
          <w:p w14:paraId="3AD4745E" w14:textId="440AA6AD" w:rsidR="0053632E" w:rsidRPr="00795F17" w:rsidRDefault="0053632E" w:rsidP="00D7005F">
            <w:pPr>
              <w:pStyle w:val="Teksttabelisrodek"/>
              <w:rPr>
                <w:rFonts w:cs="Calibri"/>
                <w:color w:val="000000"/>
                <w:szCs w:val="20"/>
              </w:rPr>
            </w:pPr>
            <w:r w:rsidRPr="00795F17">
              <w:t>24 483,30</w:t>
            </w:r>
          </w:p>
        </w:tc>
      </w:tr>
      <w:tr w:rsidR="0053632E" w:rsidRPr="00795F17" w14:paraId="2695485F" w14:textId="77777777" w:rsidTr="00D11892">
        <w:trPr>
          <w:trHeight w:val="397"/>
        </w:trPr>
        <w:tc>
          <w:tcPr>
            <w:tcW w:w="5523" w:type="dxa"/>
            <w:shd w:val="clear" w:color="auto" w:fill="BFBFBF" w:themeFill="background1" w:themeFillShade="BF"/>
            <w:vAlign w:val="center"/>
          </w:tcPr>
          <w:p w14:paraId="0AD737DA" w14:textId="7102E35F" w:rsidR="0053632E" w:rsidRPr="005842B5" w:rsidRDefault="0053632E" w:rsidP="00AA2367">
            <w:pPr>
              <w:pStyle w:val="Teksttabelilewybold"/>
            </w:pPr>
            <w:r w:rsidRPr="005842B5">
              <w:t xml:space="preserve">Suma kosztów </w:t>
            </w:r>
          </w:p>
        </w:tc>
        <w:tc>
          <w:tcPr>
            <w:tcW w:w="1514" w:type="dxa"/>
            <w:shd w:val="clear" w:color="auto" w:fill="BFBFBF" w:themeFill="background1" w:themeFillShade="BF"/>
            <w:vAlign w:val="center"/>
          </w:tcPr>
          <w:p w14:paraId="2C870104" w14:textId="18923DC0" w:rsidR="0053632E" w:rsidRPr="00795F17" w:rsidRDefault="0053632E" w:rsidP="0065243A">
            <w:pPr>
              <w:pStyle w:val="Teksttabelisrodek"/>
              <w:rPr>
                <w:b/>
                <w:bCs w:val="0"/>
              </w:rPr>
            </w:pPr>
            <w:r w:rsidRPr="00795F17">
              <w:rPr>
                <w:b/>
                <w:bCs w:val="0"/>
              </w:rPr>
              <w:t>mln zł</w:t>
            </w:r>
          </w:p>
        </w:tc>
        <w:tc>
          <w:tcPr>
            <w:tcW w:w="2025" w:type="dxa"/>
            <w:shd w:val="clear" w:color="auto" w:fill="auto"/>
            <w:noWrap/>
            <w:vAlign w:val="center"/>
          </w:tcPr>
          <w:p w14:paraId="7D865C71" w14:textId="5C3DF01A" w:rsidR="0053632E" w:rsidRPr="00795F17" w:rsidRDefault="0053632E" w:rsidP="00D7005F">
            <w:pPr>
              <w:pStyle w:val="Teksttabelisrodek"/>
              <w:rPr>
                <w:rFonts w:cs="Calibri"/>
                <w:color w:val="000000"/>
                <w:szCs w:val="20"/>
              </w:rPr>
            </w:pPr>
            <w:r w:rsidRPr="00795F17">
              <w:t>23 228,87</w:t>
            </w:r>
          </w:p>
        </w:tc>
      </w:tr>
      <w:tr w:rsidR="0053632E" w:rsidRPr="00795F17" w14:paraId="381D42AA" w14:textId="77777777" w:rsidTr="00D11892">
        <w:trPr>
          <w:trHeight w:val="397"/>
        </w:trPr>
        <w:tc>
          <w:tcPr>
            <w:tcW w:w="5523" w:type="dxa"/>
            <w:shd w:val="clear" w:color="auto" w:fill="BFBFBF" w:themeFill="background1" w:themeFillShade="BF"/>
            <w:vAlign w:val="center"/>
            <w:hideMark/>
          </w:tcPr>
          <w:p w14:paraId="48063EF3" w14:textId="16D9B54A" w:rsidR="0053632E" w:rsidRPr="005842B5" w:rsidRDefault="0053632E" w:rsidP="00AA2367">
            <w:pPr>
              <w:pStyle w:val="Teksttabelilewybold"/>
            </w:pPr>
            <w:r w:rsidRPr="005842B5">
              <w:t xml:space="preserve">Suma zysku </w:t>
            </w:r>
          </w:p>
        </w:tc>
        <w:tc>
          <w:tcPr>
            <w:tcW w:w="1514" w:type="dxa"/>
            <w:shd w:val="clear" w:color="auto" w:fill="BFBFBF" w:themeFill="background1" w:themeFillShade="BF"/>
            <w:vAlign w:val="center"/>
          </w:tcPr>
          <w:p w14:paraId="49D8D7D2" w14:textId="3D57A91F" w:rsidR="0053632E" w:rsidRPr="00795F17" w:rsidRDefault="0053632E" w:rsidP="0065243A">
            <w:pPr>
              <w:pStyle w:val="Teksttabelisrodek"/>
              <w:rPr>
                <w:b/>
                <w:bCs w:val="0"/>
              </w:rPr>
            </w:pPr>
            <w:r w:rsidRPr="00795F17">
              <w:rPr>
                <w:b/>
                <w:bCs w:val="0"/>
              </w:rPr>
              <w:t>mln zł</w:t>
            </w:r>
          </w:p>
        </w:tc>
        <w:tc>
          <w:tcPr>
            <w:tcW w:w="2025" w:type="dxa"/>
            <w:shd w:val="clear" w:color="auto" w:fill="auto"/>
            <w:noWrap/>
            <w:vAlign w:val="center"/>
            <w:hideMark/>
          </w:tcPr>
          <w:p w14:paraId="32A9D355" w14:textId="4F31084F" w:rsidR="0053632E" w:rsidRPr="00795F17" w:rsidRDefault="0053632E" w:rsidP="00D7005F">
            <w:pPr>
              <w:pStyle w:val="Teksttabelisrodek"/>
              <w:rPr>
                <w:rFonts w:cs="Calibri"/>
                <w:color w:val="000000"/>
                <w:szCs w:val="20"/>
              </w:rPr>
            </w:pPr>
            <w:r w:rsidRPr="00795F17">
              <w:t>1 254,44</w:t>
            </w:r>
          </w:p>
        </w:tc>
      </w:tr>
      <w:tr w:rsidR="0053632E" w:rsidRPr="00795F17" w14:paraId="1F4BDD94" w14:textId="77777777" w:rsidTr="00D11892">
        <w:trPr>
          <w:trHeight w:val="397"/>
        </w:trPr>
        <w:tc>
          <w:tcPr>
            <w:tcW w:w="5523" w:type="dxa"/>
            <w:shd w:val="clear" w:color="auto" w:fill="BFBFBF" w:themeFill="background1" w:themeFillShade="BF"/>
            <w:vAlign w:val="center"/>
            <w:hideMark/>
          </w:tcPr>
          <w:p w14:paraId="559344FB" w14:textId="34C07243" w:rsidR="0053632E" w:rsidRPr="005842B5" w:rsidRDefault="0053632E" w:rsidP="00AA2367">
            <w:pPr>
              <w:pStyle w:val="Teksttabelilewybold"/>
            </w:pPr>
            <w:r w:rsidRPr="005842B5">
              <w:t>Średnia stopa zysku</w:t>
            </w:r>
          </w:p>
        </w:tc>
        <w:tc>
          <w:tcPr>
            <w:tcW w:w="1514" w:type="dxa"/>
            <w:shd w:val="clear" w:color="auto" w:fill="BFBFBF" w:themeFill="background1" w:themeFillShade="BF"/>
            <w:vAlign w:val="center"/>
          </w:tcPr>
          <w:p w14:paraId="0AC90BDA" w14:textId="66FFD0D8" w:rsidR="0053632E" w:rsidRPr="00795F17" w:rsidRDefault="0053632E" w:rsidP="0065243A">
            <w:pPr>
              <w:pStyle w:val="Teksttabelisrodek"/>
              <w:rPr>
                <w:b/>
                <w:bCs w:val="0"/>
              </w:rPr>
            </w:pPr>
            <w:r w:rsidRPr="00795F17">
              <w:rPr>
                <w:b/>
                <w:bCs w:val="0"/>
              </w:rPr>
              <w:t>%</w:t>
            </w:r>
          </w:p>
        </w:tc>
        <w:tc>
          <w:tcPr>
            <w:tcW w:w="2025" w:type="dxa"/>
            <w:shd w:val="clear" w:color="auto" w:fill="auto"/>
            <w:noWrap/>
            <w:vAlign w:val="center"/>
            <w:hideMark/>
          </w:tcPr>
          <w:p w14:paraId="0DCA2721" w14:textId="2718AA00" w:rsidR="0053632E" w:rsidRPr="00795F17" w:rsidRDefault="0053632E" w:rsidP="00D7005F">
            <w:pPr>
              <w:pStyle w:val="Teksttabelisrodek"/>
              <w:rPr>
                <w:rFonts w:cs="Calibri"/>
                <w:color w:val="000000"/>
                <w:szCs w:val="20"/>
              </w:rPr>
            </w:pPr>
            <w:r w:rsidRPr="00795F17">
              <w:t>5,12</w:t>
            </w:r>
          </w:p>
        </w:tc>
      </w:tr>
      <w:tr w:rsidR="0053632E" w:rsidRPr="00795F17" w14:paraId="54C51968" w14:textId="77777777" w:rsidTr="00D11892">
        <w:trPr>
          <w:trHeight w:val="397"/>
        </w:trPr>
        <w:tc>
          <w:tcPr>
            <w:tcW w:w="5523" w:type="dxa"/>
            <w:shd w:val="clear" w:color="auto" w:fill="BFBFBF" w:themeFill="background1" w:themeFillShade="BF"/>
            <w:vAlign w:val="center"/>
            <w:hideMark/>
          </w:tcPr>
          <w:p w14:paraId="3C804045" w14:textId="77777777" w:rsidR="0053632E" w:rsidRPr="005842B5" w:rsidRDefault="0053632E" w:rsidP="00AA2367">
            <w:pPr>
              <w:pStyle w:val="Teksttabelilewybold"/>
            </w:pPr>
            <w:r w:rsidRPr="005842B5">
              <w:t>Liczba przedsiębiorstw ze stratą</w:t>
            </w:r>
          </w:p>
        </w:tc>
        <w:tc>
          <w:tcPr>
            <w:tcW w:w="1514" w:type="dxa"/>
            <w:shd w:val="clear" w:color="auto" w:fill="BFBFBF" w:themeFill="background1" w:themeFillShade="BF"/>
            <w:vAlign w:val="center"/>
          </w:tcPr>
          <w:p w14:paraId="50B0DF9B" w14:textId="1DC83693" w:rsidR="0053632E" w:rsidRPr="00795F17" w:rsidRDefault="0053632E" w:rsidP="0065243A">
            <w:pPr>
              <w:pStyle w:val="Teksttabelisrodek"/>
              <w:rPr>
                <w:b/>
                <w:bCs w:val="0"/>
              </w:rPr>
            </w:pPr>
            <w:r w:rsidRPr="00795F17">
              <w:rPr>
                <w:b/>
                <w:bCs w:val="0"/>
              </w:rPr>
              <w:t>-</w:t>
            </w:r>
          </w:p>
        </w:tc>
        <w:tc>
          <w:tcPr>
            <w:tcW w:w="2025" w:type="dxa"/>
            <w:shd w:val="clear" w:color="auto" w:fill="auto"/>
            <w:noWrap/>
            <w:vAlign w:val="center"/>
            <w:hideMark/>
          </w:tcPr>
          <w:p w14:paraId="1F2E782D" w14:textId="5DD85E92" w:rsidR="0053632E" w:rsidRPr="00795F17" w:rsidRDefault="0053632E" w:rsidP="00D7005F">
            <w:pPr>
              <w:pStyle w:val="Teksttabelisrodek"/>
              <w:rPr>
                <w:rFonts w:cs="Calibri"/>
                <w:color w:val="000000"/>
                <w:szCs w:val="20"/>
              </w:rPr>
            </w:pPr>
            <w:r w:rsidRPr="00795F17">
              <w:t>700</w:t>
            </w:r>
          </w:p>
        </w:tc>
      </w:tr>
      <w:tr w:rsidR="0053632E" w:rsidRPr="00795F17" w14:paraId="189D6EE6" w14:textId="77777777" w:rsidTr="00D11892">
        <w:trPr>
          <w:trHeight w:val="397"/>
        </w:trPr>
        <w:tc>
          <w:tcPr>
            <w:tcW w:w="5523" w:type="dxa"/>
            <w:shd w:val="clear" w:color="auto" w:fill="BFBFBF" w:themeFill="background1" w:themeFillShade="BF"/>
            <w:vAlign w:val="center"/>
            <w:hideMark/>
          </w:tcPr>
          <w:p w14:paraId="286C9A6D" w14:textId="55EC4A6E" w:rsidR="0053632E" w:rsidRPr="005842B5" w:rsidRDefault="0053632E" w:rsidP="00AA2367">
            <w:pPr>
              <w:pStyle w:val="Teksttabelilewybold"/>
            </w:pPr>
            <w:r w:rsidRPr="005842B5">
              <w:t xml:space="preserve">Udział przedsiębiorstw ze stratą </w:t>
            </w:r>
          </w:p>
        </w:tc>
        <w:tc>
          <w:tcPr>
            <w:tcW w:w="1514" w:type="dxa"/>
            <w:shd w:val="clear" w:color="auto" w:fill="BFBFBF" w:themeFill="background1" w:themeFillShade="BF"/>
            <w:vAlign w:val="center"/>
          </w:tcPr>
          <w:p w14:paraId="20ED3265" w14:textId="68E487C7" w:rsidR="0053632E" w:rsidRPr="00795F17" w:rsidRDefault="0053632E" w:rsidP="0065243A">
            <w:pPr>
              <w:pStyle w:val="Teksttabelisrodek"/>
              <w:rPr>
                <w:b/>
                <w:bCs w:val="0"/>
              </w:rPr>
            </w:pPr>
            <w:r w:rsidRPr="00795F17">
              <w:rPr>
                <w:b/>
                <w:bCs w:val="0"/>
              </w:rPr>
              <w:t>%</w:t>
            </w:r>
          </w:p>
        </w:tc>
        <w:tc>
          <w:tcPr>
            <w:tcW w:w="2025" w:type="dxa"/>
            <w:shd w:val="clear" w:color="auto" w:fill="auto"/>
            <w:noWrap/>
            <w:vAlign w:val="center"/>
            <w:hideMark/>
          </w:tcPr>
          <w:p w14:paraId="696D13CC" w14:textId="783E79AB" w:rsidR="0053632E" w:rsidRPr="00795F17" w:rsidRDefault="0053632E" w:rsidP="00D7005F">
            <w:pPr>
              <w:pStyle w:val="Teksttabelisrodek"/>
              <w:rPr>
                <w:rFonts w:cs="Calibri"/>
                <w:color w:val="000000"/>
                <w:szCs w:val="20"/>
              </w:rPr>
            </w:pPr>
            <w:r w:rsidRPr="00795F17">
              <w:t>36,86</w:t>
            </w:r>
          </w:p>
        </w:tc>
      </w:tr>
      <w:tr w:rsidR="0053632E" w:rsidRPr="00795F17" w14:paraId="4A878DFA" w14:textId="77777777" w:rsidTr="00D11892">
        <w:trPr>
          <w:trHeight w:val="397"/>
        </w:trPr>
        <w:tc>
          <w:tcPr>
            <w:tcW w:w="5523" w:type="dxa"/>
            <w:shd w:val="clear" w:color="auto" w:fill="BFBFBF" w:themeFill="background1" w:themeFillShade="BF"/>
            <w:vAlign w:val="center"/>
            <w:hideMark/>
          </w:tcPr>
          <w:p w14:paraId="6AB435B5" w14:textId="77777777" w:rsidR="0053632E" w:rsidRPr="005842B5" w:rsidRDefault="0053632E" w:rsidP="00AA2367">
            <w:pPr>
              <w:pStyle w:val="Teksttabelilewybold"/>
            </w:pPr>
            <w:r w:rsidRPr="005842B5">
              <w:t>Liczba przedsiębiorstw generujących zysk</w:t>
            </w:r>
          </w:p>
        </w:tc>
        <w:tc>
          <w:tcPr>
            <w:tcW w:w="1514" w:type="dxa"/>
            <w:shd w:val="clear" w:color="auto" w:fill="BFBFBF" w:themeFill="background1" w:themeFillShade="BF"/>
            <w:vAlign w:val="center"/>
          </w:tcPr>
          <w:p w14:paraId="5F28201D" w14:textId="2239CA64" w:rsidR="0053632E" w:rsidRPr="00795F17" w:rsidRDefault="0053632E" w:rsidP="0065243A">
            <w:pPr>
              <w:pStyle w:val="Teksttabelisrodek"/>
              <w:rPr>
                <w:b/>
                <w:bCs w:val="0"/>
              </w:rPr>
            </w:pPr>
            <w:r w:rsidRPr="00795F17">
              <w:rPr>
                <w:b/>
                <w:bCs w:val="0"/>
              </w:rPr>
              <w:t>-</w:t>
            </w:r>
          </w:p>
        </w:tc>
        <w:tc>
          <w:tcPr>
            <w:tcW w:w="2025" w:type="dxa"/>
            <w:shd w:val="clear" w:color="auto" w:fill="auto"/>
            <w:noWrap/>
            <w:vAlign w:val="center"/>
            <w:hideMark/>
          </w:tcPr>
          <w:p w14:paraId="1E7D5DE3" w14:textId="0FCE93C1" w:rsidR="0053632E" w:rsidRPr="00795F17" w:rsidRDefault="0053632E" w:rsidP="00D7005F">
            <w:pPr>
              <w:pStyle w:val="Teksttabelisrodek"/>
              <w:rPr>
                <w:rFonts w:cs="Calibri"/>
                <w:color w:val="000000"/>
                <w:szCs w:val="20"/>
              </w:rPr>
            </w:pPr>
            <w:r w:rsidRPr="00795F17">
              <w:t>1 199</w:t>
            </w:r>
          </w:p>
        </w:tc>
      </w:tr>
      <w:tr w:rsidR="0053632E" w:rsidRPr="00795F17" w14:paraId="78108B96" w14:textId="77777777" w:rsidTr="00D11892">
        <w:trPr>
          <w:trHeight w:val="397"/>
        </w:trPr>
        <w:tc>
          <w:tcPr>
            <w:tcW w:w="5523" w:type="dxa"/>
            <w:shd w:val="clear" w:color="auto" w:fill="BFBFBF" w:themeFill="background1" w:themeFillShade="BF"/>
            <w:vAlign w:val="center"/>
            <w:hideMark/>
          </w:tcPr>
          <w:p w14:paraId="4D5E98B8" w14:textId="64F052D9" w:rsidR="0053632E" w:rsidRPr="005842B5" w:rsidRDefault="0053632E" w:rsidP="00AA2367">
            <w:pPr>
              <w:pStyle w:val="Teksttabelilewybold"/>
            </w:pPr>
            <w:r w:rsidRPr="005842B5">
              <w:t xml:space="preserve">Udział przedsiębiorstw generujących zysk </w:t>
            </w:r>
          </w:p>
        </w:tc>
        <w:tc>
          <w:tcPr>
            <w:tcW w:w="1514" w:type="dxa"/>
            <w:shd w:val="clear" w:color="auto" w:fill="BFBFBF" w:themeFill="background1" w:themeFillShade="BF"/>
            <w:vAlign w:val="center"/>
          </w:tcPr>
          <w:p w14:paraId="38540B98" w14:textId="1E1623CA" w:rsidR="0053632E" w:rsidRPr="00795F17" w:rsidRDefault="0053632E" w:rsidP="0065243A">
            <w:pPr>
              <w:pStyle w:val="Teksttabelisrodek"/>
              <w:rPr>
                <w:b/>
                <w:bCs w:val="0"/>
              </w:rPr>
            </w:pPr>
            <w:r w:rsidRPr="00795F17">
              <w:rPr>
                <w:b/>
                <w:bCs w:val="0"/>
              </w:rPr>
              <w:t>%</w:t>
            </w:r>
          </w:p>
        </w:tc>
        <w:tc>
          <w:tcPr>
            <w:tcW w:w="2025" w:type="dxa"/>
            <w:shd w:val="clear" w:color="auto" w:fill="auto"/>
            <w:noWrap/>
            <w:vAlign w:val="center"/>
            <w:hideMark/>
          </w:tcPr>
          <w:p w14:paraId="4115B012" w14:textId="030705B2" w:rsidR="0053632E" w:rsidRPr="00795F17" w:rsidRDefault="0053632E" w:rsidP="00D7005F">
            <w:pPr>
              <w:pStyle w:val="Teksttabelisrodek"/>
              <w:rPr>
                <w:rFonts w:cs="Calibri"/>
                <w:color w:val="000000"/>
                <w:szCs w:val="20"/>
              </w:rPr>
            </w:pPr>
            <w:r w:rsidRPr="00795F17">
              <w:t>63,14</w:t>
            </w:r>
          </w:p>
        </w:tc>
      </w:tr>
    </w:tbl>
    <w:p w14:paraId="2DC7ECA9" w14:textId="7E50C1A0" w:rsidR="005E5391" w:rsidRPr="00795F17" w:rsidRDefault="005E5391" w:rsidP="0044393D">
      <w:pPr>
        <w:pStyle w:val="rdo"/>
      </w:pPr>
      <w:r w:rsidRPr="00795F17">
        <w:rPr>
          <w:lang w:eastAsia="zh-CN"/>
        </w:rPr>
        <w:t>Źródło: opracowanie własne</w:t>
      </w:r>
    </w:p>
    <w:p w14:paraId="69CEC9E9" w14:textId="04F64CE7" w:rsidR="005E5391" w:rsidRPr="00795F17" w:rsidRDefault="005E5391" w:rsidP="0044393D">
      <w:r w:rsidRPr="00795F17">
        <w:t>Łączna stopa zysku osiągniętego w 2018 r. wyniosła 5,12%, co oznacza, że przychody generowane z</w:t>
      </w:r>
      <w:r w:rsidR="002D3015" w:rsidRPr="00795F17">
        <w:t> </w:t>
      </w:r>
      <w:r w:rsidRPr="00795F17">
        <w:t>taryf za usługi wodno-kanalizacyjne pokryły z nadwyżką koszty finansowe świadczenia usług wodno-kanalizacyjnych, przy czym należy wskazać, że ok</w:t>
      </w:r>
      <w:r w:rsidR="00E545FC">
        <w:t>oło</w:t>
      </w:r>
      <w:r w:rsidRPr="00795F17">
        <w:t xml:space="preserve"> 37% podmiotów wykazało stratę, a 63% odnotowało zysk. Łączne przychody sektora komunalnego oszacowane na wspomnianej próbie wyniosły 24,5</w:t>
      </w:r>
      <w:r w:rsidR="00E457FB" w:rsidRPr="00795F17">
        <w:t> </w:t>
      </w:r>
      <w:r w:rsidRPr="00795F17">
        <w:t>mld</w:t>
      </w:r>
      <w:r w:rsidR="00E457FB" w:rsidRPr="00795F17">
        <w:t> </w:t>
      </w:r>
      <w:r w:rsidRPr="00795F17">
        <w:t>zł, a koszty finansowe 23,2 mld zł.</w:t>
      </w:r>
    </w:p>
    <w:p w14:paraId="3D24EA87" w14:textId="77F0DD22" w:rsidR="005E5391" w:rsidRPr="00795F17" w:rsidRDefault="005E5391" w:rsidP="0044393D">
      <w:r w:rsidRPr="00795F17">
        <w:t>Ekonomiczna stopa zwrotu usług wodnych w sektorze komunalnym została wyliczona po</w:t>
      </w:r>
      <w:r w:rsidR="00E457FB" w:rsidRPr="00795F17">
        <w:t> </w:t>
      </w:r>
      <w:r w:rsidRPr="00795F17">
        <w:t>uwzględnieniu kosztów środowiskowych</w:t>
      </w:r>
      <w:r w:rsidRPr="00795F17">
        <w:rPr>
          <w:rStyle w:val="Odwoanieprzypisudolnego"/>
        </w:rPr>
        <w:footnoteReference w:id="84"/>
      </w:r>
      <w:r w:rsidRPr="00795F17">
        <w:t>, które dla sektora komunalnego wynoszą 1</w:t>
      </w:r>
      <w:r w:rsidR="00E457FB" w:rsidRPr="00795F17">
        <w:t> </w:t>
      </w:r>
      <w:r w:rsidRPr="00795F17">
        <w:t>889,78 mln</w:t>
      </w:r>
      <w:r w:rsidR="00E545FC">
        <w:t> </w:t>
      </w:r>
      <w:r w:rsidRPr="00795F17">
        <w:t>zł.</w:t>
      </w:r>
    </w:p>
    <w:p w14:paraId="4C4612B0" w14:textId="215C3728" w:rsidR="005E5391" w:rsidRPr="00795F17" w:rsidRDefault="005E5391" w:rsidP="004D7705">
      <w:pPr>
        <w:pStyle w:val="Tabela"/>
        <w:rPr>
          <w:szCs w:val="20"/>
        </w:rPr>
      </w:pPr>
      <w:bookmarkStart w:id="592" w:name="_Toc66341937"/>
      <w:bookmarkStart w:id="593" w:name="_Toc105512859"/>
      <w:r w:rsidRPr="00795F17">
        <w:t xml:space="preserve">Tabela </w:t>
      </w:r>
      <w:fldSimple w:instr=" STYLEREF 1 \s ">
        <w:r w:rsidR="001F774D">
          <w:rPr>
            <w:noProof/>
          </w:rPr>
          <w:t>11</w:t>
        </w:r>
      </w:fldSimple>
      <w:r w:rsidR="00BB3B21" w:rsidRPr="00795F17">
        <w:noBreakHyphen/>
      </w:r>
      <w:fldSimple w:instr=" SEQ Tabela \* ARABIC \s 1 ">
        <w:r w:rsidR="001F774D">
          <w:rPr>
            <w:noProof/>
          </w:rPr>
          <w:t>6</w:t>
        </w:r>
      </w:fldSimple>
      <w:r w:rsidR="00EB4B7B">
        <w:rPr>
          <w:noProof/>
        </w:rPr>
        <w:t>.</w:t>
      </w:r>
      <w:r w:rsidR="0047728F" w:rsidRPr="00795F17">
        <w:tab/>
      </w:r>
      <w:r w:rsidRPr="00795F17">
        <w:t>Stopa zwrotu kosztów usług wodnych w sektorze komunalnym w 2018 r.</w:t>
      </w:r>
      <w:bookmarkEnd w:id="592"/>
      <w:bookmarkEnd w:id="5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746"/>
        <w:gridCol w:w="1448"/>
        <w:gridCol w:w="1868"/>
      </w:tblGrid>
      <w:tr w:rsidR="002D3015" w:rsidRPr="00795F17" w14:paraId="5100B2A9" w14:textId="77777777" w:rsidTr="002D3015">
        <w:trPr>
          <w:trHeight w:val="454"/>
        </w:trPr>
        <w:tc>
          <w:tcPr>
            <w:tcW w:w="3048" w:type="pct"/>
            <w:shd w:val="clear" w:color="auto" w:fill="BFBFBF" w:themeFill="background1" w:themeFillShade="BF"/>
            <w:noWrap/>
            <w:vAlign w:val="center"/>
            <w:hideMark/>
          </w:tcPr>
          <w:p w14:paraId="3747B504" w14:textId="77777777" w:rsidR="002D3015" w:rsidRPr="005842B5" w:rsidRDefault="002D3015" w:rsidP="00AA2367">
            <w:pPr>
              <w:pStyle w:val="Teksttabelilewybold"/>
            </w:pPr>
            <w:r w:rsidRPr="005842B5">
              <w:t>Finansowa stopa zwrotu usług wodnych w sektorze komunalnym</w:t>
            </w:r>
          </w:p>
        </w:tc>
        <w:tc>
          <w:tcPr>
            <w:tcW w:w="860" w:type="pct"/>
            <w:shd w:val="clear" w:color="auto" w:fill="BFBFBF" w:themeFill="background1" w:themeFillShade="BF"/>
            <w:vAlign w:val="center"/>
          </w:tcPr>
          <w:p w14:paraId="5EDD0C56" w14:textId="5617929C" w:rsidR="002D3015" w:rsidRPr="00795F17" w:rsidRDefault="002D3015" w:rsidP="00AA2367">
            <w:pPr>
              <w:pStyle w:val="Teksttabelinaglowek"/>
            </w:pPr>
            <w:r w:rsidRPr="00795F17">
              <w:t>%</w:t>
            </w:r>
          </w:p>
        </w:tc>
        <w:tc>
          <w:tcPr>
            <w:tcW w:w="1092" w:type="pct"/>
            <w:shd w:val="clear" w:color="auto" w:fill="auto"/>
            <w:noWrap/>
            <w:vAlign w:val="center"/>
            <w:hideMark/>
          </w:tcPr>
          <w:p w14:paraId="54F83471" w14:textId="41CA5F71" w:rsidR="002D3015" w:rsidRPr="00795F17" w:rsidRDefault="002D3015" w:rsidP="00D7005F">
            <w:pPr>
              <w:pStyle w:val="Teksttabelisrodek"/>
              <w:rPr>
                <w:rFonts w:cs="Calibri"/>
                <w:color w:val="000000"/>
                <w:szCs w:val="20"/>
              </w:rPr>
            </w:pPr>
            <w:r w:rsidRPr="00795F17">
              <w:t>105,12</w:t>
            </w:r>
          </w:p>
        </w:tc>
      </w:tr>
      <w:tr w:rsidR="002D3015" w:rsidRPr="00795F17" w14:paraId="2022DBAB" w14:textId="77777777" w:rsidTr="002D3015">
        <w:trPr>
          <w:trHeight w:val="454"/>
        </w:trPr>
        <w:tc>
          <w:tcPr>
            <w:tcW w:w="3048" w:type="pct"/>
            <w:shd w:val="clear" w:color="auto" w:fill="BFBFBF" w:themeFill="background1" w:themeFillShade="BF"/>
            <w:noWrap/>
            <w:vAlign w:val="center"/>
            <w:hideMark/>
          </w:tcPr>
          <w:p w14:paraId="22D2CE8B" w14:textId="15DFE306" w:rsidR="002D3015" w:rsidRPr="005842B5" w:rsidRDefault="002D3015" w:rsidP="00AA2367">
            <w:pPr>
              <w:pStyle w:val="Teksttabelilewybold"/>
            </w:pPr>
            <w:r w:rsidRPr="005842B5">
              <w:t>Koszty środowiskowe w sektorze komunalnym</w:t>
            </w:r>
          </w:p>
        </w:tc>
        <w:tc>
          <w:tcPr>
            <w:tcW w:w="860" w:type="pct"/>
            <w:shd w:val="clear" w:color="auto" w:fill="BFBFBF" w:themeFill="background1" w:themeFillShade="BF"/>
            <w:vAlign w:val="center"/>
          </w:tcPr>
          <w:p w14:paraId="6AC77F6C" w14:textId="6E038FDF" w:rsidR="002D3015" w:rsidRPr="00795F17" w:rsidRDefault="002D3015" w:rsidP="00AA2367">
            <w:pPr>
              <w:pStyle w:val="Teksttabelinaglowek"/>
            </w:pPr>
            <w:r w:rsidRPr="00795F17">
              <w:t>mln zł</w:t>
            </w:r>
          </w:p>
        </w:tc>
        <w:tc>
          <w:tcPr>
            <w:tcW w:w="1092" w:type="pct"/>
            <w:shd w:val="clear" w:color="auto" w:fill="auto"/>
            <w:noWrap/>
            <w:vAlign w:val="center"/>
            <w:hideMark/>
          </w:tcPr>
          <w:p w14:paraId="0C4A7979" w14:textId="612F3314" w:rsidR="002D3015" w:rsidRPr="00795F17" w:rsidRDefault="002D3015" w:rsidP="00D7005F">
            <w:pPr>
              <w:pStyle w:val="Teksttabelisrodek"/>
              <w:rPr>
                <w:rFonts w:cs="Calibri"/>
                <w:color w:val="000000"/>
                <w:szCs w:val="20"/>
              </w:rPr>
            </w:pPr>
            <w:r w:rsidRPr="00795F17">
              <w:t>1 889,78</w:t>
            </w:r>
          </w:p>
        </w:tc>
      </w:tr>
      <w:tr w:rsidR="002D3015" w:rsidRPr="00795F17" w14:paraId="290EF67B" w14:textId="77777777" w:rsidTr="002D3015">
        <w:trPr>
          <w:trHeight w:val="454"/>
        </w:trPr>
        <w:tc>
          <w:tcPr>
            <w:tcW w:w="3048" w:type="pct"/>
            <w:shd w:val="clear" w:color="auto" w:fill="BFBFBF" w:themeFill="background1" w:themeFillShade="BF"/>
            <w:noWrap/>
            <w:vAlign w:val="center"/>
            <w:hideMark/>
          </w:tcPr>
          <w:p w14:paraId="7451F840" w14:textId="77777777" w:rsidR="002D3015" w:rsidRPr="005842B5" w:rsidRDefault="002D3015" w:rsidP="00AA2367">
            <w:pPr>
              <w:pStyle w:val="Teksttabelilewybold"/>
            </w:pPr>
            <w:r w:rsidRPr="005842B5">
              <w:t>Ekonomiczna stopa zwrotu usług wodnych w sektorze komunalnym</w:t>
            </w:r>
          </w:p>
        </w:tc>
        <w:tc>
          <w:tcPr>
            <w:tcW w:w="860" w:type="pct"/>
            <w:shd w:val="clear" w:color="auto" w:fill="BFBFBF" w:themeFill="background1" w:themeFillShade="BF"/>
            <w:vAlign w:val="center"/>
          </w:tcPr>
          <w:p w14:paraId="2870D75F" w14:textId="7233A192" w:rsidR="002D3015" w:rsidRPr="00795F17" w:rsidRDefault="002D3015" w:rsidP="00AA2367">
            <w:pPr>
              <w:pStyle w:val="Teksttabelinaglowek"/>
            </w:pPr>
            <w:r w:rsidRPr="00795F17">
              <w:t>%</w:t>
            </w:r>
          </w:p>
        </w:tc>
        <w:tc>
          <w:tcPr>
            <w:tcW w:w="1092" w:type="pct"/>
            <w:shd w:val="clear" w:color="auto" w:fill="auto"/>
            <w:noWrap/>
            <w:vAlign w:val="center"/>
            <w:hideMark/>
          </w:tcPr>
          <w:p w14:paraId="07AD93E2" w14:textId="0BBC4034" w:rsidR="002D3015" w:rsidRPr="00795F17" w:rsidRDefault="002D3015" w:rsidP="00D7005F">
            <w:pPr>
              <w:pStyle w:val="Teksttabelisrodek"/>
              <w:rPr>
                <w:rFonts w:cs="Calibri"/>
                <w:color w:val="000000"/>
                <w:szCs w:val="20"/>
              </w:rPr>
            </w:pPr>
            <w:r w:rsidRPr="00795F17">
              <w:t>97,40</w:t>
            </w:r>
          </w:p>
        </w:tc>
      </w:tr>
    </w:tbl>
    <w:p w14:paraId="3E129B0F" w14:textId="77777777" w:rsidR="005E5391" w:rsidRPr="00795F17" w:rsidRDefault="005E5391" w:rsidP="0044393D">
      <w:pPr>
        <w:pStyle w:val="rdo"/>
        <w:rPr>
          <w:rFonts w:cs="Calibri"/>
        </w:rPr>
      </w:pPr>
      <w:r w:rsidRPr="00795F17">
        <w:rPr>
          <w:lang w:eastAsia="zh-CN"/>
        </w:rPr>
        <w:t xml:space="preserve">Źródło: opracowanie własne </w:t>
      </w:r>
    </w:p>
    <w:p w14:paraId="6AD36823" w14:textId="668FF76B" w:rsidR="005E5391" w:rsidRPr="00795F17" w:rsidRDefault="005E5391" w:rsidP="0044393D">
      <w:r w:rsidRPr="00795F17">
        <w:t>Ekonomiczna stopa zwrotu usług wodnych w sektorze komunalnym była na poziomie 97,4%, co</w:t>
      </w:r>
      <w:r w:rsidR="002D3015" w:rsidRPr="00795F17">
        <w:t> </w:t>
      </w:r>
      <w:r w:rsidRPr="00795F17">
        <w:t>oznacza, że przychody z opłat za usługi wodno-kanalizacyjne uiszczane przez odbiorców końcowych pokryły koszty finansowe, zinternalizowane koszty zasobowe oraz koszty środowiskowe w 97,4%.</w:t>
      </w:r>
    </w:p>
    <w:p w14:paraId="4B4EF0D0" w14:textId="77777777" w:rsidR="005E5391" w:rsidRPr="00795F17" w:rsidRDefault="005E5391" w:rsidP="00C53C86">
      <w:pPr>
        <w:pStyle w:val="Nagwek3"/>
      </w:pPr>
      <w:bookmarkStart w:id="594" w:name="_Toc63632750"/>
      <w:bookmarkStart w:id="595" w:name="_Toc105512685"/>
      <w:r w:rsidRPr="00795F17">
        <w:t>Zwrot kosztów usług wodnych w przemyśle</w:t>
      </w:r>
      <w:bookmarkEnd w:id="594"/>
      <w:bookmarkEnd w:id="595"/>
    </w:p>
    <w:p w14:paraId="2E793D32" w14:textId="3833C4E7" w:rsidR="005E5391" w:rsidRPr="00795F17" w:rsidRDefault="005E5391" w:rsidP="0044393D">
      <w:r w:rsidRPr="00795F17">
        <w:t>Przedsiębiorstwa sektora przemysłowego ponoszą pełne koszty działalności w zakresie poboru wód i</w:t>
      </w:r>
      <w:r w:rsidR="00E457FB" w:rsidRPr="00795F17">
        <w:t> </w:t>
      </w:r>
      <w:r w:rsidRPr="00795F17">
        <w:t xml:space="preserve">zrzutu ścieków. Finansowa stopa zwrotu dla sektora przemysłowego wynosi zatem 100%, co wskazuje na pełne wdrożenie zasady, zgodnie z którą płacą użytkownik oraz zanieczyszczający. </w:t>
      </w:r>
    </w:p>
    <w:p w14:paraId="7C2D74A3" w14:textId="229C7BEC" w:rsidR="005E5391" w:rsidRPr="00795F17" w:rsidRDefault="005E5391" w:rsidP="0044393D">
      <w:r w:rsidRPr="00795F17">
        <w:t xml:space="preserve">Dla poziomu ekonomicznego stopa zwrotu jest inna </w:t>
      </w:r>
      <w:r w:rsidR="00B857A9">
        <w:t>–</w:t>
      </w:r>
      <w:r w:rsidRPr="00795F17">
        <w:t xml:space="preserve"> niższa. Aby oszacować ekonomiczną stopę zwrotu kosztów ponoszonych na bieżącą ochronę wód, należy oszacować zewnętrzne koszty środowiskowe. Łączne koszty (środowiskowe, zasobowe oraz ochrony netto</w:t>
      </w:r>
      <w:r w:rsidRPr="00795F17">
        <w:rPr>
          <w:rStyle w:val="Odwoanieprzypisudolnego"/>
        </w:rPr>
        <w:footnoteReference w:id="85"/>
      </w:r>
      <w:r w:rsidRPr="00795F17">
        <w:t>) w sektorze przemysłu, związane z</w:t>
      </w:r>
      <w:r w:rsidR="00E457FB" w:rsidRPr="00795F17">
        <w:t> </w:t>
      </w:r>
      <w:r w:rsidRPr="00795F17">
        <w:t>gospodarką wodną, oszacowano na poziomie 3331,1 mln zł</w:t>
      </w:r>
      <w:r w:rsidR="007C0729" w:rsidRPr="00795F17">
        <w:t>/rok</w:t>
      </w:r>
      <w:r w:rsidRPr="00795F17">
        <w:t xml:space="preserve"> (dane za 2019 r.). W ramach analiz uwzględniono dwa podstawowe źródła kosztów związanych z gospodarką wodną w sektorze przemysłu. Największe są koszty ochrony netto, które GUS oszacował na poziomie 2873 mln zł</w:t>
      </w:r>
      <w:r w:rsidR="007C0729" w:rsidRPr="00795F17">
        <w:t>/rok</w:t>
      </w:r>
      <w:r w:rsidRPr="00795F17">
        <w:rPr>
          <w:rStyle w:val="Odwoanieprzypisudolnego"/>
        </w:rPr>
        <w:footnoteReference w:id="86"/>
      </w:r>
      <w:r w:rsidRPr="00795F17">
        <w:t>. Drugą pozycją są koszty środowiskowe i zasobowe. Wysokość tych kosztów oszacowano na poziomie 458,1 mln zł</w:t>
      </w:r>
      <w:r w:rsidR="007C0729" w:rsidRPr="00795F17">
        <w:t>/rok</w:t>
      </w:r>
      <w:r w:rsidRPr="00795F17">
        <w:t xml:space="preserve">, przy czym faktycznie jest to oszacowanie kosztów środowiskowych, gdyż kosztom </w:t>
      </w:r>
      <w:r w:rsidR="00221C7F" w:rsidRPr="00795F17">
        <w:t xml:space="preserve">niezinternalizowanym </w:t>
      </w:r>
      <w:r w:rsidRPr="00795F17">
        <w:t>zasobowym przypisano umowną wartość 0</w:t>
      </w:r>
      <w:r w:rsidR="00B25F88" w:rsidRPr="00795F17">
        <w:rPr>
          <w:rStyle w:val="Odwoanieprzypisudolnego"/>
        </w:rPr>
        <w:footnoteReference w:id="87"/>
      </w:r>
      <w:r w:rsidRPr="00795F17">
        <w:t>.</w:t>
      </w:r>
    </w:p>
    <w:p w14:paraId="76E08A5F" w14:textId="77777777" w:rsidR="005E5391" w:rsidRPr="00795F17" w:rsidRDefault="005E5391" w:rsidP="0044393D">
      <w:r w:rsidRPr="00795F17">
        <w:t>Ekonomiczną stopę zwrotu w 2017 r. dla sektora przemysłu oszacowano na poziomie 82,6%.</w:t>
      </w:r>
    </w:p>
    <w:p w14:paraId="1F2953C7" w14:textId="77777777" w:rsidR="005E5391" w:rsidRPr="00795F17" w:rsidRDefault="005E5391" w:rsidP="00C53C86">
      <w:pPr>
        <w:pStyle w:val="Nagwek3"/>
      </w:pPr>
      <w:bookmarkStart w:id="596" w:name="_Toc63632751"/>
      <w:bookmarkStart w:id="597" w:name="_Toc105512686"/>
      <w:r w:rsidRPr="00795F17">
        <w:t>Zwrot kosztów usług wodnych w rolnictwie</w:t>
      </w:r>
      <w:bookmarkEnd w:id="596"/>
      <w:bookmarkEnd w:id="597"/>
    </w:p>
    <w:p w14:paraId="0F7FB71D" w14:textId="08CC2ABA" w:rsidR="005E5391" w:rsidRPr="00795F17" w:rsidRDefault="005E5391" w:rsidP="0044393D">
      <w:r w:rsidRPr="00795F17">
        <w:t>W prowadzonych badaniach zidentyfikowano dwa podstawowe źródła kosztów związanych z</w:t>
      </w:r>
      <w:r w:rsidR="002D3015" w:rsidRPr="00795F17">
        <w:t> </w:t>
      </w:r>
      <w:r w:rsidRPr="00795F17">
        <w:t>gospodarką wodną w sektorze rolnictwa. Dominujące są koszty środowiskowe, które dla obszaru całego kraju oszacowano na poziomie 3027,3 mln zł</w:t>
      </w:r>
      <w:r w:rsidR="007C0729" w:rsidRPr="00795F17">
        <w:t>/rok</w:t>
      </w:r>
      <w:r w:rsidR="00F91F72">
        <w:t>.</w:t>
      </w:r>
      <w:r w:rsidRPr="00795F17">
        <w:t xml:space="preserve"> Drugim co do wielkości źródłem kosztów są</w:t>
      </w:r>
      <w:r w:rsidR="00E457FB" w:rsidRPr="00795F17">
        <w:t> </w:t>
      </w:r>
      <w:r w:rsidRPr="00795F17">
        <w:t>koszty związane z działalnością melioracyjną. Wysokość tych kosztów oszacowano na poziomie 485</w:t>
      </w:r>
      <w:r w:rsidR="00E457FB" w:rsidRPr="00795F17">
        <w:t> </w:t>
      </w:r>
      <w:r w:rsidRPr="00795F17">
        <w:t xml:space="preserve">mln zł (za 2017 r.). Pozostałe koszty to opłaty wniesione z tytułu poboru wód oraz zrzutu ładunków zanieczyszczeń. </w:t>
      </w:r>
    </w:p>
    <w:p w14:paraId="31A08164" w14:textId="69BCBB51" w:rsidR="005E5391" w:rsidRPr="00795F17" w:rsidRDefault="005E5391" w:rsidP="004D7705">
      <w:pPr>
        <w:pStyle w:val="Tabela"/>
        <w:rPr>
          <w:szCs w:val="20"/>
        </w:rPr>
      </w:pPr>
      <w:bookmarkStart w:id="598" w:name="_Toc66341938"/>
      <w:bookmarkStart w:id="599" w:name="_Toc105512860"/>
      <w:r w:rsidRPr="00795F17">
        <w:t xml:space="preserve">Tabela </w:t>
      </w:r>
      <w:fldSimple w:instr=" STYLEREF 1 \s ">
        <w:r w:rsidR="001F774D">
          <w:rPr>
            <w:noProof/>
          </w:rPr>
          <w:t>11</w:t>
        </w:r>
      </w:fldSimple>
      <w:r w:rsidR="00BB3B21" w:rsidRPr="00795F17">
        <w:noBreakHyphen/>
      </w:r>
      <w:fldSimple w:instr=" SEQ Tabela \* ARABIC \s 1 ">
        <w:r w:rsidR="001F774D">
          <w:rPr>
            <w:noProof/>
          </w:rPr>
          <w:t>7</w:t>
        </w:r>
      </w:fldSimple>
      <w:r w:rsidR="00EB4B7B">
        <w:rPr>
          <w:noProof/>
        </w:rPr>
        <w:t>.</w:t>
      </w:r>
      <w:r w:rsidR="0047728F" w:rsidRPr="00795F17">
        <w:tab/>
      </w:r>
      <w:r w:rsidRPr="00795F17">
        <w:t>Wielkość kosztów związanych z gospodarką wodną w rolnictwie w Polsce, dane w mln zł za</w:t>
      </w:r>
      <w:r w:rsidR="00B53F7C" w:rsidRPr="00795F17">
        <w:t> </w:t>
      </w:r>
      <w:r w:rsidRPr="00795F17">
        <w:t>2017 r.</w:t>
      </w:r>
      <w:bookmarkEnd w:id="598"/>
      <w:bookmarkEnd w:id="5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83"/>
        <w:gridCol w:w="2679"/>
      </w:tblGrid>
      <w:tr w:rsidR="005E5391" w:rsidRPr="00795F17" w14:paraId="2BE7B79A" w14:textId="77777777" w:rsidTr="002D3015">
        <w:trPr>
          <w:trHeight w:val="454"/>
        </w:trPr>
        <w:tc>
          <w:tcPr>
            <w:tcW w:w="6384" w:type="dxa"/>
            <w:shd w:val="clear" w:color="auto" w:fill="BFBFBF" w:themeFill="background1" w:themeFillShade="BF"/>
            <w:vAlign w:val="center"/>
          </w:tcPr>
          <w:p w14:paraId="7590B975" w14:textId="77777777" w:rsidR="005E5391" w:rsidRPr="005842B5" w:rsidRDefault="005E5391" w:rsidP="00AA2367">
            <w:pPr>
              <w:pStyle w:val="Teksttabelilewybold"/>
            </w:pPr>
            <w:r w:rsidRPr="005842B5">
              <w:t>Rodzaj kosztów</w:t>
            </w:r>
          </w:p>
        </w:tc>
        <w:tc>
          <w:tcPr>
            <w:tcW w:w="2679" w:type="dxa"/>
            <w:shd w:val="clear" w:color="auto" w:fill="BFBFBF" w:themeFill="background1" w:themeFillShade="BF"/>
            <w:vAlign w:val="center"/>
          </w:tcPr>
          <w:p w14:paraId="4C27BF6E" w14:textId="3D31E696" w:rsidR="005E5391" w:rsidRPr="00795F17" w:rsidRDefault="005E5391" w:rsidP="0044393D">
            <w:pPr>
              <w:pStyle w:val="Teksttabelinaglowek"/>
              <w:rPr>
                <w:rFonts w:ascii="Calibri" w:hAnsi="Calibri"/>
                <w:szCs w:val="20"/>
              </w:rPr>
            </w:pPr>
            <w:r w:rsidRPr="00795F17">
              <w:t xml:space="preserve">Wartość </w:t>
            </w:r>
            <w:r w:rsidR="00E457FB" w:rsidRPr="00795F17">
              <w:t>(</w:t>
            </w:r>
            <w:r w:rsidRPr="00795F17">
              <w:t>mln zł</w:t>
            </w:r>
            <w:r w:rsidR="00E457FB" w:rsidRPr="00795F17">
              <w:t>)</w:t>
            </w:r>
          </w:p>
        </w:tc>
      </w:tr>
      <w:tr w:rsidR="005E5391" w:rsidRPr="00795F17" w14:paraId="7245FC6F" w14:textId="77777777" w:rsidTr="002D3015">
        <w:trPr>
          <w:trHeight w:val="454"/>
        </w:trPr>
        <w:tc>
          <w:tcPr>
            <w:tcW w:w="6384" w:type="dxa"/>
            <w:shd w:val="clear" w:color="auto" w:fill="BFBFBF" w:themeFill="background1" w:themeFillShade="BF"/>
            <w:vAlign w:val="center"/>
          </w:tcPr>
          <w:p w14:paraId="737B6436" w14:textId="77777777" w:rsidR="005E5391" w:rsidRPr="005842B5" w:rsidRDefault="005E5391" w:rsidP="00AA2367">
            <w:pPr>
              <w:pStyle w:val="Teksttabelilewybold"/>
            </w:pPr>
            <w:r w:rsidRPr="005842B5">
              <w:t>Koszty środowiskowe przypisane do rolnictwa</w:t>
            </w:r>
          </w:p>
        </w:tc>
        <w:tc>
          <w:tcPr>
            <w:tcW w:w="2679" w:type="dxa"/>
            <w:vAlign w:val="center"/>
          </w:tcPr>
          <w:p w14:paraId="5FC06094" w14:textId="64395955" w:rsidR="005E5391" w:rsidRPr="00795F17" w:rsidRDefault="005E5391" w:rsidP="0065243A">
            <w:pPr>
              <w:pStyle w:val="Teksttabelisrodek"/>
              <w:rPr>
                <w:szCs w:val="20"/>
              </w:rPr>
            </w:pPr>
            <w:r w:rsidRPr="00795F17">
              <w:t>3</w:t>
            </w:r>
            <w:r w:rsidR="00ED5E7F" w:rsidRPr="00795F17">
              <w:t> </w:t>
            </w:r>
            <w:r w:rsidRPr="00795F17">
              <w:t>027,3</w:t>
            </w:r>
          </w:p>
        </w:tc>
      </w:tr>
      <w:tr w:rsidR="005E5391" w:rsidRPr="00795F17" w14:paraId="6C1BF1FF" w14:textId="77777777" w:rsidTr="002D3015">
        <w:trPr>
          <w:trHeight w:val="454"/>
        </w:trPr>
        <w:tc>
          <w:tcPr>
            <w:tcW w:w="6384" w:type="dxa"/>
            <w:shd w:val="clear" w:color="auto" w:fill="BFBFBF" w:themeFill="background1" w:themeFillShade="BF"/>
            <w:vAlign w:val="center"/>
          </w:tcPr>
          <w:p w14:paraId="01F21308" w14:textId="77777777" w:rsidR="005E5391" w:rsidRPr="005842B5" w:rsidRDefault="005E5391" w:rsidP="00AA2367">
            <w:pPr>
              <w:pStyle w:val="Teksttabelilewybold"/>
            </w:pPr>
            <w:r w:rsidRPr="005842B5">
              <w:t>Wydatki na działalność melioracyjną ogółem</w:t>
            </w:r>
          </w:p>
        </w:tc>
        <w:tc>
          <w:tcPr>
            <w:tcW w:w="2679" w:type="dxa"/>
            <w:vAlign w:val="center"/>
          </w:tcPr>
          <w:p w14:paraId="3ED0D22E" w14:textId="77777777" w:rsidR="005E5391" w:rsidRPr="00795F17" w:rsidRDefault="005E5391" w:rsidP="0065243A">
            <w:pPr>
              <w:pStyle w:val="Teksttabelisrodek"/>
              <w:rPr>
                <w:szCs w:val="20"/>
              </w:rPr>
            </w:pPr>
            <w:r w:rsidRPr="00795F17">
              <w:t>484,8</w:t>
            </w:r>
          </w:p>
        </w:tc>
      </w:tr>
      <w:tr w:rsidR="005E5391" w:rsidRPr="00795F17" w14:paraId="642EF8FE" w14:textId="77777777" w:rsidTr="002D3015">
        <w:trPr>
          <w:trHeight w:val="454"/>
        </w:trPr>
        <w:tc>
          <w:tcPr>
            <w:tcW w:w="6384" w:type="dxa"/>
            <w:shd w:val="clear" w:color="auto" w:fill="BFBFBF" w:themeFill="background1" w:themeFillShade="BF"/>
            <w:vAlign w:val="center"/>
          </w:tcPr>
          <w:p w14:paraId="071FB8D4" w14:textId="77777777" w:rsidR="005E5391" w:rsidRPr="005842B5" w:rsidRDefault="005E5391" w:rsidP="00AA2367">
            <w:pPr>
              <w:pStyle w:val="Teksttabelilewybold"/>
            </w:pPr>
            <w:r w:rsidRPr="005842B5">
              <w:t xml:space="preserve">W tym: </w:t>
            </w:r>
          </w:p>
          <w:p w14:paraId="670253C9" w14:textId="77777777" w:rsidR="005E5391" w:rsidRPr="005842B5" w:rsidRDefault="005E5391" w:rsidP="00AA2367">
            <w:pPr>
              <w:pStyle w:val="Teksttabelilewybold"/>
            </w:pPr>
            <w:r w:rsidRPr="005842B5">
              <w:t xml:space="preserve">Partycypacja w kosztach utrzymania melioracji szczegółowych </w:t>
            </w:r>
          </w:p>
        </w:tc>
        <w:tc>
          <w:tcPr>
            <w:tcW w:w="2679" w:type="dxa"/>
            <w:vAlign w:val="center"/>
          </w:tcPr>
          <w:p w14:paraId="5F553DC1" w14:textId="77777777" w:rsidR="005E5391" w:rsidRPr="00795F17" w:rsidRDefault="005E5391" w:rsidP="0065243A">
            <w:pPr>
              <w:pStyle w:val="Teksttabelisrodek"/>
              <w:rPr>
                <w:szCs w:val="20"/>
              </w:rPr>
            </w:pPr>
            <w:r w:rsidRPr="00795F17">
              <w:t>94,7</w:t>
            </w:r>
          </w:p>
        </w:tc>
      </w:tr>
      <w:tr w:rsidR="005E5391" w:rsidRPr="00795F17" w14:paraId="12D4819D" w14:textId="77777777" w:rsidTr="002D3015">
        <w:trPr>
          <w:trHeight w:val="454"/>
        </w:trPr>
        <w:tc>
          <w:tcPr>
            <w:tcW w:w="6384" w:type="dxa"/>
            <w:shd w:val="clear" w:color="auto" w:fill="BFBFBF" w:themeFill="background1" w:themeFillShade="BF"/>
            <w:vAlign w:val="center"/>
          </w:tcPr>
          <w:p w14:paraId="791306FB" w14:textId="77777777" w:rsidR="005E5391" w:rsidRPr="005842B5" w:rsidRDefault="005E5391" w:rsidP="00AA2367">
            <w:pPr>
              <w:pStyle w:val="Teksttabelilewybold"/>
            </w:pPr>
            <w:r w:rsidRPr="005842B5">
              <w:t>Opłaty za pobór wód</w:t>
            </w:r>
          </w:p>
        </w:tc>
        <w:tc>
          <w:tcPr>
            <w:tcW w:w="2679" w:type="dxa"/>
            <w:vAlign w:val="center"/>
          </w:tcPr>
          <w:p w14:paraId="69FFBBCC" w14:textId="77777777" w:rsidR="005E5391" w:rsidRPr="00795F17" w:rsidRDefault="005E5391" w:rsidP="0065243A">
            <w:pPr>
              <w:pStyle w:val="Teksttabelisrodek"/>
              <w:rPr>
                <w:szCs w:val="20"/>
              </w:rPr>
            </w:pPr>
            <w:r w:rsidRPr="00795F17">
              <w:t>brak danych</w:t>
            </w:r>
          </w:p>
        </w:tc>
      </w:tr>
      <w:tr w:rsidR="005E5391" w:rsidRPr="00795F17" w14:paraId="1B7B830D" w14:textId="77777777" w:rsidTr="002D3015">
        <w:trPr>
          <w:trHeight w:val="454"/>
        </w:trPr>
        <w:tc>
          <w:tcPr>
            <w:tcW w:w="6384" w:type="dxa"/>
            <w:shd w:val="clear" w:color="auto" w:fill="BFBFBF" w:themeFill="background1" w:themeFillShade="BF"/>
            <w:vAlign w:val="center"/>
          </w:tcPr>
          <w:p w14:paraId="7D7D2B37" w14:textId="77777777" w:rsidR="005E5391" w:rsidRPr="005842B5" w:rsidRDefault="005E5391" w:rsidP="00AA2367">
            <w:pPr>
              <w:pStyle w:val="Teksttabelilewybold"/>
            </w:pPr>
            <w:r w:rsidRPr="005842B5">
              <w:t>Opłaty za zrzut ładunków zanieczyszczeń</w:t>
            </w:r>
          </w:p>
        </w:tc>
        <w:tc>
          <w:tcPr>
            <w:tcW w:w="2679" w:type="dxa"/>
            <w:vAlign w:val="center"/>
          </w:tcPr>
          <w:p w14:paraId="45EFCC40" w14:textId="77777777" w:rsidR="005E5391" w:rsidRPr="00795F17" w:rsidRDefault="005E5391" w:rsidP="0065243A">
            <w:pPr>
              <w:pStyle w:val="Teksttabelisrodek"/>
              <w:rPr>
                <w:szCs w:val="20"/>
              </w:rPr>
            </w:pPr>
            <w:r w:rsidRPr="00795F17">
              <w:t>brak danych</w:t>
            </w:r>
          </w:p>
        </w:tc>
      </w:tr>
      <w:tr w:rsidR="005E5391" w:rsidRPr="00795F17" w14:paraId="09D3F9F5" w14:textId="77777777" w:rsidTr="002D3015">
        <w:trPr>
          <w:trHeight w:val="454"/>
        </w:trPr>
        <w:tc>
          <w:tcPr>
            <w:tcW w:w="6384" w:type="dxa"/>
            <w:shd w:val="clear" w:color="auto" w:fill="BFBFBF" w:themeFill="background1" w:themeFillShade="BF"/>
            <w:vAlign w:val="center"/>
          </w:tcPr>
          <w:p w14:paraId="6C5F4E5B" w14:textId="77777777" w:rsidR="005E5391" w:rsidRPr="005842B5" w:rsidRDefault="005E5391" w:rsidP="00AA2367">
            <w:pPr>
              <w:pStyle w:val="Teksttabelilewybold"/>
            </w:pPr>
            <w:r w:rsidRPr="005842B5">
              <w:t>Nienaliczone opłaty za pobór wód powierzchniowych</w:t>
            </w:r>
          </w:p>
        </w:tc>
        <w:tc>
          <w:tcPr>
            <w:tcW w:w="2679" w:type="dxa"/>
            <w:vAlign w:val="center"/>
          </w:tcPr>
          <w:p w14:paraId="1F4DE196" w14:textId="77777777" w:rsidR="005E5391" w:rsidRPr="00795F17" w:rsidRDefault="005E5391" w:rsidP="0065243A">
            <w:pPr>
              <w:pStyle w:val="Teksttabelisrodek"/>
              <w:rPr>
                <w:szCs w:val="20"/>
              </w:rPr>
            </w:pPr>
            <w:r w:rsidRPr="00795F17">
              <w:t>24,4-40,7</w:t>
            </w:r>
          </w:p>
        </w:tc>
      </w:tr>
    </w:tbl>
    <w:p w14:paraId="2428E3E7" w14:textId="77777777" w:rsidR="005E5391" w:rsidRPr="00795F17" w:rsidRDefault="005E5391" w:rsidP="0044393D">
      <w:pPr>
        <w:pStyle w:val="rdo"/>
        <w:rPr>
          <w:lang w:eastAsia="zh-CN"/>
        </w:rPr>
      </w:pPr>
      <w:r w:rsidRPr="00795F17">
        <w:rPr>
          <w:lang w:eastAsia="zh-CN"/>
        </w:rPr>
        <w:t>Źródło: Analiza zwrotu kosztów za usługi wodne wraz z prognozą rozwoju oraz analiza zwrotu kosztów środowiskowych i zasobowych w regionach wodnych i na obszarach dorzeczy (konkluzje), Gliwice 2019.</w:t>
      </w:r>
    </w:p>
    <w:p w14:paraId="4FBBDBB9" w14:textId="77777777" w:rsidR="005E5391" w:rsidRPr="00795F17" w:rsidRDefault="005E5391" w:rsidP="0044393D">
      <w:r w:rsidRPr="00795F17">
        <w:t>Finansowa stopa zwrotu dla sektora rolniczego za 2017 r. wyniosła 19,5%, natomiast ekonomiczna stopa zwrotu uwzględniająca koszty środowiskowe i nienaliczone opłaty za pobór wód wyniosła 2,7%.</w:t>
      </w:r>
    </w:p>
    <w:p w14:paraId="74E93AFF" w14:textId="05C2957A" w:rsidR="005E5391" w:rsidRPr="00795F17" w:rsidRDefault="005E5391" w:rsidP="00C53C86">
      <w:pPr>
        <w:pStyle w:val="Nagwek2"/>
      </w:pPr>
      <w:bookmarkStart w:id="600" w:name="_Toc63632752"/>
      <w:bookmarkStart w:id="601" w:name="_Toc66347818"/>
      <w:bookmarkStart w:id="602" w:name="_Toc105512687"/>
      <w:r w:rsidRPr="00795F17">
        <w:t xml:space="preserve">Analiza efektywności </w:t>
      </w:r>
      <w:r w:rsidR="009225AD">
        <w:t xml:space="preserve">jakościowej i </w:t>
      </w:r>
      <w:r w:rsidRPr="00795F17">
        <w:t>kosztowej zestawu działań</w:t>
      </w:r>
      <w:bookmarkEnd w:id="600"/>
      <w:bookmarkEnd w:id="601"/>
      <w:bookmarkEnd w:id="602"/>
    </w:p>
    <w:p w14:paraId="0BD5A79A" w14:textId="77777777" w:rsidR="00B25F88" w:rsidRPr="00795F17" w:rsidRDefault="00B25F88" w:rsidP="00C53C86">
      <w:pPr>
        <w:pStyle w:val="Nagwek3"/>
      </w:pPr>
      <w:bookmarkStart w:id="603" w:name="_Toc105512688"/>
      <w:r w:rsidRPr="00795F17">
        <w:t>Metodyka</w:t>
      </w:r>
      <w:bookmarkEnd w:id="603"/>
    </w:p>
    <w:p w14:paraId="150D270D" w14:textId="77777777" w:rsidR="00B25F88" w:rsidRPr="00795F17" w:rsidRDefault="00B25F88" w:rsidP="00B25F88">
      <w:r w:rsidRPr="00795F17">
        <w:t>Punktem wyjścia do przeprowadzenia analizy efektywności kosztowej poszczególnych działań jest ocena jakościowa oparta o:</w:t>
      </w:r>
    </w:p>
    <w:p w14:paraId="349FD89E" w14:textId="1CE1E0C1" w:rsidR="00B25F88" w:rsidRPr="00795F17" w:rsidRDefault="00B25F88" w:rsidP="00117E86">
      <w:pPr>
        <w:pStyle w:val="Listapunktowana2"/>
      </w:pPr>
      <w:r w:rsidRPr="00795F17">
        <w:t>skuteczność działań w odniesieniu do realizacji celów RDW (Ks1), celów środowiskowych obszarów i gatunków chronionych (Ks2) oraz prognozowanych zmian klimatu i wpływu na łagodzenie skutków zmian klimatu (Ks3);</w:t>
      </w:r>
    </w:p>
    <w:p w14:paraId="7345F665" w14:textId="3B3B1FFD" w:rsidR="00B25F88" w:rsidRPr="00795F17" w:rsidRDefault="00B25F88" w:rsidP="00117E86">
      <w:pPr>
        <w:pStyle w:val="Listapunktowana2"/>
      </w:pPr>
      <w:r w:rsidRPr="00795F17">
        <w:t>realność wdrożenia poszczególnych działań w perspektywie do 2027 roku (Kr);</w:t>
      </w:r>
    </w:p>
    <w:p w14:paraId="5E0A6817" w14:textId="49C855AE" w:rsidR="00B25F88" w:rsidRPr="00795F17" w:rsidRDefault="00B25F88" w:rsidP="00117E86">
      <w:pPr>
        <w:pStyle w:val="Listapunktowana2"/>
      </w:pPr>
      <w:r w:rsidRPr="00795F17">
        <w:t>liczb</w:t>
      </w:r>
      <w:r w:rsidR="009E0BBB">
        <w:t>ę</w:t>
      </w:r>
      <w:r w:rsidRPr="00795F17">
        <w:t xml:space="preserve"> rodzajów presji, na redukcję których wpływa dane działanie;</w:t>
      </w:r>
    </w:p>
    <w:p w14:paraId="50482DAB" w14:textId="698163F5" w:rsidR="00B25F88" w:rsidRPr="00795F17" w:rsidRDefault="00B25F88" w:rsidP="00117E86">
      <w:pPr>
        <w:pStyle w:val="Listapunktowana2"/>
      </w:pPr>
      <w:r w:rsidRPr="00795F17">
        <w:t>czas osiągnięcia efektu przez dane działanie.</w:t>
      </w:r>
    </w:p>
    <w:p w14:paraId="7C0CE7DD" w14:textId="7DA0AF15" w:rsidR="00B25F88" w:rsidRPr="00795F17" w:rsidRDefault="00B25F88" w:rsidP="00B25F88">
      <w:r w:rsidRPr="00795F17">
        <w:t>Wynik oceny jakościowej reprezentowany jest poprzez wskaźnik efektywności (Ke) oceniony w</w:t>
      </w:r>
      <w:r w:rsidR="00F91F72">
        <w:t> </w:t>
      </w:r>
      <w:r w:rsidRPr="00795F17">
        <w:t>5-stopniowej skali od efektywności bardzo niskiej (1) do efektywności bardzo wysokiej (5).</w:t>
      </w:r>
    </w:p>
    <w:p w14:paraId="1627F4F6" w14:textId="1869BF94" w:rsidR="00B25F88" w:rsidRPr="00795F17" w:rsidRDefault="00B25F88" w:rsidP="00B25F88">
      <w:r w:rsidRPr="00795F17">
        <w:t xml:space="preserve">Następnie, tak wykonana analiza jakościowa zestawiona została z kosztami danego działania, również ocenianymi w 5-stopniowej skali według uszeregowania danego działania w określonej grupie centylowej w zestawie działań dla danego typu </w:t>
      </w:r>
      <w:r w:rsidR="000F6AA1">
        <w:t>jcw</w:t>
      </w:r>
      <w:r w:rsidRPr="00795F17">
        <w:t>.</w:t>
      </w:r>
    </w:p>
    <w:p w14:paraId="15ED3598" w14:textId="0362A943" w:rsidR="00B25F88" w:rsidRPr="00795F17" w:rsidRDefault="00B25F88" w:rsidP="00B25F88">
      <w:r w:rsidRPr="00795F17">
        <w:t>Analiza efektywności kosztowej poszczególnych działań w zestawie przeprowadzona została zgodnie z</w:t>
      </w:r>
      <w:r w:rsidR="001B15D5">
        <w:t> </w:t>
      </w:r>
      <w:r w:rsidRPr="00795F17">
        <w:t>poniższym schematem:</w:t>
      </w:r>
    </w:p>
    <w:p w14:paraId="3BBC6C30" w14:textId="77777777" w:rsidR="00B25F88" w:rsidRPr="00795F17" w:rsidRDefault="00B25F88" w:rsidP="00AA2367">
      <w:pPr>
        <w:jc w:val="center"/>
      </w:pPr>
      <w:r w:rsidRPr="00795F17">
        <w:rPr>
          <w:noProof/>
          <w:lang w:eastAsia="pl-PL"/>
        </w:rPr>
        <w:drawing>
          <wp:inline distT="0" distB="0" distL="0" distR="0" wp14:anchorId="6FBBCFE4" wp14:editId="7F67750E">
            <wp:extent cx="4497900" cy="5524500"/>
            <wp:effectExtent l="0" t="0" r="0" b="0"/>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05143" cy="5533397"/>
                    </a:xfrm>
                    <a:prstGeom prst="rect">
                      <a:avLst/>
                    </a:prstGeom>
                    <a:noFill/>
                    <a:ln>
                      <a:noFill/>
                    </a:ln>
                  </pic:spPr>
                </pic:pic>
              </a:graphicData>
            </a:graphic>
          </wp:inline>
        </w:drawing>
      </w:r>
    </w:p>
    <w:p w14:paraId="5CEFF588" w14:textId="4172CA74" w:rsidR="00B25F88" w:rsidRPr="00795F17" w:rsidRDefault="00B25F88" w:rsidP="00A3686C">
      <w:pPr>
        <w:pStyle w:val="Rysunek"/>
      </w:pPr>
      <w:bookmarkStart w:id="604" w:name="_Toc105512934"/>
      <w:r w:rsidRPr="00795F17">
        <w:t xml:space="preserve">Rysunek </w:t>
      </w:r>
      <w:r>
        <w:fldChar w:fldCharType="begin"/>
      </w:r>
      <w:r>
        <w:instrText>STYLEREF 1 \s</w:instrText>
      </w:r>
      <w:r>
        <w:fldChar w:fldCharType="separate"/>
      </w:r>
      <w:r w:rsidR="001F774D">
        <w:rPr>
          <w:noProof/>
        </w:rPr>
        <w:t>11</w:t>
      </w:r>
      <w:r>
        <w:fldChar w:fldCharType="end"/>
      </w:r>
      <w:r w:rsidR="00881BAC">
        <w:noBreakHyphen/>
      </w:r>
      <w:fldSimple w:instr=" SEQ Rysunek \* ARABIC \s 1 ">
        <w:r w:rsidR="001F774D">
          <w:rPr>
            <w:noProof/>
          </w:rPr>
          <w:t>1</w:t>
        </w:r>
      </w:fldSimple>
      <w:r w:rsidR="00342921">
        <w:rPr>
          <w:noProof/>
        </w:rPr>
        <w:t>.</w:t>
      </w:r>
      <w:r w:rsidRPr="00795F17">
        <w:tab/>
        <w:t>Schemat analizy efektywności kosztowej</w:t>
      </w:r>
      <w:bookmarkEnd w:id="604"/>
    </w:p>
    <w:p w14:paraId="5909CAFB" w14:textId="424EC880" w:rsidR="00B25F88" w:rsidRPr="00795F17" w:rsidRDefault="00B25F88" w:rsidP="00B25F88">
      <w:pPr>
        <w:pStyle w:val="rdo"/>
      </w:pPr>
      <w:r w:rsidRPr="00795F17">
        <w:t>Źródło: opracowanie własne</w:t>
      </w:r>
    </w:p>
    <w:p w14:paraId="67BCD918" w14:textId="77777777" w:rsidR="00B25F88" w:rsidRPr="00795F17" w:rsidRDefault="00B25F88" w:rsidP="00AA2367">
      <w:pPr>
        <w:keepNext/>
      </w:pPr>
      <w:r w:rsidRPr="00795F17">
        <w:t>Efektywność kosztowa każdego z działań została określona w oparciu o koszty oraz wskaźnik efektywności zgodnie z poniższą macierzą:</w:t>
      </w:r>
    </w:p>
    <w:p w14:paraId="0A091C41" w14:textId="086AFEB3" w:rsidR="00B25F88" w:rsidRPr="00795F17" w:rsidRDefault="00B25F88" w:rsidP="00A3686C">
      <w:pPr>
        <w:pStyle w:val="Tabela"/>
      </w:pPr>
      <w:bookmarkStart w:id="605" w:name="_Toc105512861"/>
      <w:r w:rsidRPr="00795F17">
        <w:t xml:space="preserve">Tabela </w:t>
      </w:r>
      <w:fldSimple w:instr=" STYLEREF 1 \s ">
        <w:r w:rsidR="001F774D">
          <w:rPr>
            <w:noProof/>
          </w:rPr>
          <w:t>11</w:t>
        </w:r>
      </w:fldSimple>
      <w:r w:rsidR="00BB3B21" w:rsidRPr="00795F17">
        <w:noBreakHyphen/>
      </w:r>
      <w:fldSimple w:instr=" SEQ Tabela \* ARABIC \s 1 ">
        <w:r w:rsidR="001F774D">
          <w:rPr>
            <w:noProof/>
          </w:rPr>
          <w:t>8</w:t>
        </w:r>
      </w:fldSimple>
      <w:r w:rsidR="00EB4B7B">
        <w:rPr>
          <w:noProof/>
        </w:rPr>
        <w:t>.</w:t>
      </w:r>
      <w:r w:rsidRPr="00795F17">
        <w:tab/>
        <w:t>Macierz efektywności kosztowej</w:t>
      </w:r>
      <w:bookmarkEnd w:id="6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9"/>
        <w:gridCol w:w="736"/>
        <w:gridCol w:w="1386"/>
        <w:gridCol w:w="1387"/>
        <w:gridCol w:w="1387"/>
        <w:gridCol w:w="1387"/>
        <w:gridCol w:w="1390"/>
      </w:tblGrid>
      <w:tr w:rsidR="00B25F88" w:rsidRPr="00795F17" w14:paraId="10ED48CD" w14:textId="77777777" w:rsidTr="00AA2367">
        <w:trPr>
          <w:trHeight w:val="454"/>
        </w:trPr>
        <w:tc>
          <w:tcPr>
            <w:tcW w:w="2130" w:type="dxa"/>
            <w:gridSpan w:val="2"/>
            <w:vMerge w:val="restart"/>
            <w:shd w:val="clear" w:color="auto" w:fill="auto"/>
            <w:vAlign w:val="center"/>
            <w:hideMark/>
          </w:tcPr>
          <w:p w14:paraId="1B581F04" w14:textId="77777777" w:rsidR="00B25F88" w:rsidRPr="00795F17" w:rsidRDefault="00B25F88" w:rsidP="00AA2367">
            <w:pPr>
              <w:pStyle w:val="Teksttabelinaglowek"/>
              <w:keepNext/>
            </w:pPr>
            <w:r w:rsidRPr="00795F17">
              <w:t>Efektywność kosztowa</w:t>
            </w:r>
          </w:p>
        </w:tc>
        <w:tc>
          <w:tcPr>
            <w:tcW w:w="6967" w:type="dxa"/>
            <w:gridSpan w:val="5"/>
            <w:shd w:val="clear" w:color="auto" w:fill="auto"/>
            <w:vAlign w:val="center"/>
            <w:hideMark/>
          </w:tcPr>
          <w:p w14:paraId="1EAA939A" w14:textId="77777777" w:rsidR="00B25F88" w:rsidRPr="00795F17" w:rsidRDefault="00B25F88" w:rsidP="00AA2367">
            <w:pPr>
              <w:pStyle w:val="Teksttabelinaglowek"/>
              <w:keepNext/>
            </w:pPr>
            <w:r w:rsidRPr="00795F17">
              <w:t>Wskaźnik efektywności</w:t>
            </w:r>
          </w:p>
        </w:tc>
      </w:tr>
      <w:tr w:rsidR="00F50083" w:rsidRPr="00795F17" w14:paraId="2CE6EC91" w14:textId="77777777" w:rsidTr="00AA2367">
        <w:trPr>
          <w:trHeight w:val="454"/>
        </w:trPr>
        <w:tc>
          <w:tcPr>
            <w:tcW w:w="0" w:type="auto"/>
            <w:gridSpan w:val="2"/>
            <w:vMerge/>
            <w:shd w:val="clear" w:color="auto" w:fill="auto"/>
            <w:vAlign w:val="center"/>
            <w:hideMark/>
          </w:tcPr>
          <w:p w14:paraId="7A0E8961" w14:textId="77777777" w:rsidR="00B25F88" w:rsidRPr="00795F17" w:rsidRDefault="00B25F88" w:rsidP="00B25F88">
            <w:pPr>
              <w:pStyle w:val="Teksttabelinaglowek"/>
            </w:pPr>
          </w:p>
        </w:tc>
        <w:tc>
          <w:tcPr>
            <w:tcW w:w="1392" w:type="dxa"/>
            <w:shd w:val="clear" w:color="auto" w:fill="auto"/>
            <w:vAlign w:val="center"/>
            <w:hideMark/>
          </w:tcPr>
          <w:p w14:paraId="1AB95530" w14:textId="77777777" w:rsidR="00B25F88" w:rsidRPr="00795F17" w:rsidRDefault="00B25F88" w:rsidP="00B25F88">
            <w:pPr>
              <w:pStyle w:val="Teksttabelinaglowek"/>
            </w:pPr>
            <w:r w:rsidRPr="00795F17">
              <w:t>5</w:t>
            </w:r>
          </w:p>
        </w:tc>
        <w:tc>
          <w:tcPr>
            <w:tcW w:w="1393" w:type="dxa"/>
            <w:shd w:val="clear" w:color="auto" w:fill="auto"/>
            <w:vAlign w:val="center"/>
            <w:hideMark/>
          </w:tcPr>
          <w:p w14:paraId="5305CB28" w14:textId="77777777" w:rsidR="00B25F88" w:rsidRPr="00795F17" w:rsidRDefault="00B25F88" w:rsidP="00B25F88">
            <w:pPr>
              <w:pStyle w:val="Teksttabelinaglowek"/>
            </w:pPr>
            <w:r w:rsidRPr="00795F17">
              <w:t>4</w:t>
            </w:r>
          </w:p>
        </w:tc>
        <w:tc>
          <w:tcPr>
            <w:tcW w:w="1393" w:type="dxa"/>
            <w:shd w:val="clear" w:color="auto" w:fill="auto"/>
            <w:vAlign w:val="center"/>
            <w:hideMark/>
          </w:tcPr>
          <w:p w14:paraId="204FAAA1" w14:textId="77777777" w:rsidR="00B25F88" w:rsidRPr="00795F17" w:rsidRDefault="00B25F88" w:rsidP="00B25F88">
            <w:pPr>
              <w:pStyle w:val="Teksttabelinaglowek"/>
            </w:pPr>
            <w:r w:rsidRPr="00795F17">
              <w:t>3</w:t>
            </w:r>
          </w:p>
        </w:tc>
        <w:tc>
          <w:tcPr>
            <w:tcW w:w="1393" w:type="dxa"/>
            <w:shd w:val="clear" w:color="auto" w:fill="auto"/>
            <w:vAlign w:val="center"/>
            <w:hideMark/>
          </w:tcPr>
          <w:p w14:paraId="2B51A7F3" w14:textId="77777777" w:rsidR="00B25F88" w:rsidRPr="00795F17" w:rsidRDefault="00B25F88" w:rsidP="00B25F88">
            <w:pPr>
              <w:pStyle w:val="Teksttabelinaglowek"/>
            </w:pPr>
            <w:r w:rsidRPr="00795F17">
              <w:t>2</w:t>
            </w:r>
          </w:p>
        </w:tc>
        <w:tc>
          <w:tcPr>
            <w:tcW w:w="1396" w:type="dxa"/>
            <w:shd w:val="clear" w:color="auto" w:fill="auto"/>
            <w:vAlign w:val="center"/>
            <w:hideMark/>
          </w:tcPr>
          <w:p w14:paraId="76A4D75C" w14:textId="77777777" w:rsidR="00B25F88" w:rsidRPr="00795F17" w:rsidRDefault="00B25F88" w:rsidP="00B25F88">
            <w:pPr>
              <w:pStyle w:val="Teksttabelinaglowek"/>
            </w:pPr>
            <w:r w:rsidRPr="00795F17">
              <w:t>1</w:t>
            </w:r>
          </w:p>
        </w:tc>
      </w:tr>
      <w:tr w:rsidR="00B25F88" w:rsidRPr="00795F17" w14:paraId="394E608B" w14:textId="77777777" w:rsidTr="00AA2367">
        <w:trPr>
          <w:trHeight w:val="454"/>
        </w:trPr>
        <w:tc>
          <w:tcPr>
            <w:tcW w:w="1392" w:type="dxa"/>
            <w:vMerge w:val="restart"/>
            <w:vAlign w:val="center"/>
            <w:hideMark/>
          </w:tcPr>
          <w:p w14:paraId="320E522A" w14:textId="77777777" w:rsidR="00B25F88" w:rsidRPr="00795F17" w:rsidRDefault="00B25F88" w:rsidP="00B25F88">
            <w:pPr>
              <w:pStyle w:val="Teksttabelilewy"/>
              <w:rPr>
                <w:b/>
                <w:bCs/>
              </w:rPr>
            </w:pPr>
            <w:r w:rsidRPr="00795F17">
              <w:rPr>
                <w:b/>
                <w:bCs/>
              </w:rPr>
              <w:t>Wskaźnik kosztowy</w:t>
            </w:r>
          </w:p>
        </w:tc>
        <w:tc>
          <w:tcPr>
            <w:tcW w:w="738" w:type="dxa"/>
            <w:vAlign w:val="center"/>
            <w:hideMark/>
          </w:tcPr>
          <w:p w14:paraId="6A72E6C7" w14:textId="77777777" w:rsidR="00B25F88" w:rsidRPr="00795F17" w:rsidRDefault="00B25F88" w:rsidP="006E4DD0">
            <w:pPr>
              <w:pStyle w:val="Teksttabelisrodek"/>
              <w:rPr>
                <w:b/>
                <w:bCs w:val="0"/>
              </w:rPr>
            </w:pPr>
            <w:r w:rsidRPr="00795F17">
              <w:rPr>
                <w:b/>
                <w:bCs w:val="0"/>
              </w:rPr>
              <w:t>1</w:t>
            </w:r>
          </w:p>
        </w:tc>
        <w:tc>
          <w:tcPr>
            <w:tcW w:w="1392" w:type="dxa"/>
            <w:shd w:val="clear" w:color="auto" w:fill="BFBFBF" w:themeFill="background1" w:themeFillShade="BF"/>
            <w:vAlign w:val="center"/>
            <w:hideMark/>
          </w:tcPr>
          <w:p w14:paraId="550C521C" w14:textId="77777777" w:rsidR="00B25F88" w:rsidRPr="00795F17" w:rsidRDefault="00B25F88" w:rsidP="00B25F88">
            <w:pPr>
              <w:pStyle w:val="Teksttabelisrodek"/>
            </w:pPr>
            <w:r w:rsidRPr="00795F17">
              <w:t>3</w:t>
            </w:r>
          </w:p>
        </w:tc>
        <w:tc>
          <w:tcPr>
            <w:tcW w:w="1393" w:type="dxa"/>
            <w:shd w:val="clear" w:color="auto" w:fill="BFBFBF" w:themeFill="background1" w:themeFillShade="BF"/>
            <w:vAlign w:val="center"/>
            <w:hideMark/>
          </w:tcPr>
          <w:p w14:paraId="54B6D2A3" w14:textId="77777777" w:rsidR="00B25F88" w:rsidRPr="00795F17" w:rsidRDefault="00B25F88" w:rsidP="00B25F88">
            <w:pPr>
              <w:pStyle w:val="Teksttabelisrodek"/>
            </w:pPr>
            <w:r w:rsidRPr="00795F17">
              <w:t>3</w:t>
            </w:r>
          </w:p>
        </w:tc>
        <w:tc>
          <w:tcPr>
            <w:tcW w:w="1393" w:type="dxa"/>
            <w:shd w:val="clear" w:color="auto" w:fill="D9D9D9" w:themeFill="background1" w:themeFillShade="D9"/>
            <w:vAlign w:val="center"/>
            <w:hideMark/>
          </w:tcPr>
          <w:p w14:paraId="04BBA896" w14:textId="77777777" w:rsidR="00B25F88" w:rsidRPr="00795F17" w:rsidRDefault="00B25F88" w:rsidP="00B25F88">
            <w:pPr>
              <w:pStyle w:val="Teksttabelisrodek"/>
            </w:pPr>
            <w:r w:rsidRPr="00795F17">
              <w:t>2</w:t>
            </w:r>
          </w:p>
        </w:tc>
        <w:tc>
          <w:tcPr>
            <w:tcW w:w="1393" w:type="dxa"/>
            <w:shd w:val="clear" w:color="auto" w:fill="F2F2F2" w:themeFill="background1" w:themeFillShade="F2"/>
            <w:vAlign w:val="center"/>
            <w:hideMark/>
          </w:tcPr>
          <w:p w14:paraId="2E3F2F27" w14:textId="77777777" w:rsidR="00B25F88" w:rsidRPr="00795F17" w:rsidRDefault="00B25F88" w:rsidP="00B25F88">
            <w:pPr>
              <w:pStyle w:val="Teksttabelisrodek"/>
            </w:pPr>
            <w:r w:rsidRPr="00795F17">
              <w:t>1</w:t>
            </w:r>
          </w:p>
        </w:tc>
        <w:tc>
          <w:tcPr>
            <w:tcW w:w="1396" w:type="dxa"/>
            <w:shd w:val="clear" w:color="auto" w:fill="F2F2F2" w:themeFill="background1" w:themeFillShade="F2"/>
            <w:vAlign w:val="center"/>
            <w:hideMark/>
          </w:tcPr>
          <w:p w14:paraId="4900A889" w14:textId="77777777" w:rsidR="00B25F88" w:rsidRPr="00795F17" w:rsidRDefault="00B25F88" w:rsidP="00B25F88">
            <w:pPr>
              <w:pStyle w:val="Teksttabelisrodek"/>
            </w:pPr>
            <w:r w:rsidRPr="00795F17">
              <w:t>1</w:t>
            </w:r>
          </w:p>
        </w:tc>
      </w:tr>
      <w:tr w:rsidR="00B25F88" w:rsidRPr="00795F17" w14:paraId="1BF7DD26" w14:textId="77777777" w:rsidTr="00AA2367">
        <w:trPr>
          <w:trHeight w:val="454"/>
        </w:trPr>
        <w:tc>
          <w:tcPr>
            <w:tcW w:w="0" w:type="auto"/>
            <w:vMerge/>
            <w:vAlign w:val="center"/>
            <w:hideMark/>
          </w:tcPr>
          <w:p w14:paraId="0EDA86FF" w14:textId="77777777" w:rsidR="00B25F88" w:rsidRPr="00795F17" w:rsidRDefault="00B25F88" w:rsidP="00B25F88">
            <w:pPr>
              <w:pStyle w:val="Teksttabelilewy"/>
              <w:rPr>
                <w:b/>
                <w:bCs/>
              </w:rPr>
            </w:pPr>
          </w:p>
        </w:tc>
        <w:tc>
          <w:tcPr>
            <w:tcW w:w="738" w:type="dxa"/>
            <w:vAlign w:val="center"/>
            <w:hideMark/>
          </w:tcPr>
          <w:p w14:paraId="70799796" w14:textId="77777777" w:rsidR="00B25F88" w:rsidRPr="00795F17" w:rsidRDefault="00B25F88" w:rsidP="006E4DD0">
            <w:pPr>
              <w:pStyle w:val="Teksttabelisrodek"/>
              <w:rPr>
                <w:b/>
                <w:bCs w:val="0"/>
              </w:rPr>
            </w:pPr>
            <w:r w:rsidRPr="00795F17">
              <w:rPr>
                <w:b/>
                <w:bCs w:val="0"/>
              </w:rPr>
              <w:t>2</w:t>
            </w:r>
          </w:p>
        </w:tc>
        <w:tc>
          <w:tcPr>
            <w:tcW w:w="1392" w:type="dxa"/>
            <w:shd w:val="clear" w:color="auto" w:fill="BFBFBF" w:themeFill="background1" w:themeFillShade="BF"/>
            <w:vAlign w:val="center"/>
            <w:hideMark/>
          </w:tcPr>
          <w:p w14:paraId="03B9431E" w14:textId="77777777" w:rsidR="00B25F88" w:rsidRPr="00795F17" w:rsidRDefault="00B25F88" w:rsidP="00B25F88">
            <w:pPr>
              <w:pStyle w:val="Teksttabelisrodek"/>
            </w:pPr>
            <w:r w:rsidRPr="00795F17">
              <w:t>3</w:t>
            </w:r>
          </w:p>
        </w:tc>
        <w:tc>
          <w:tcPr>
            <w:tcW w:w="1393" w:type="dxa"/>
            <w:shd w:val="clear" w:color="auto" w:fill="BFBFBF" w:themeFill="background1" w:themeFillShade="BF"/>
            <w:vAlign w:val="center"/>
            <w:hideMark/>
          </w:tcPr>
          <w:p w14:paraId="75507F7B" w14:textId="77777777" w:rsidR="00B25F88" w:rsidRPr="00795F17" w:rsidRDefault="00B25F88" w:rsidP="00B25F88">
            <w:pPr>
              <w:pStyle w:val="Teksttabelisrodek"/>
            </w:pPr>
            <w:r w:rsidRPr="00795F17">
              <w:t>3</w:t>
            </w:r>
          </w:p>
        </w:tc>
        <w:tc>
          <w:tcPr>
            <w:tcW w:w="1393" w:type="dxa"/>
            <w:shd w:val="clear" w:color="auto" w:fill="BFBFBF" w:themeFill="background1" w:themeFillShade="BF"/>
            <w:vAlign w:val="center"/>
            <w:hideMark/>
          </w:tcPr>
          <w:p w14:paraId="2C378A9F" w14:textId="77777777" w:rsidR="00B25F88" w:rsidRPr="00795F17" w:rsidRDefault="00B25F88" w:rsidP="00B25F88">
            <w:pPr>
              <w:pStyle w:val="Teksttabelisrodek"/>
            </w:pPr>
            <w:r w:rsidRPr="00795F17">
              <w:t>3</w:t>
            </w:r>
          </w:p>
        </w:tc>
        <w:tc>
          <w:tcPr>
            <w:tcW w:w="1393" w:type="dxa"/>
            <w:shd w:val="clear" w:color="auto" w:fill="D9D9D9" w:themeFill="background1" w:themeFillShade="D9"/>
            <w:vAlign w:val="center"/>
            <w:hideMark/>
          </w:tcPr>
          <w:p w14:paraId="69CDAFD4" w14:textId="77777777" w:rsidR="00B25F88" w:rsidRPr="00795F17" w:rsidRDefault="00B25F88" w:rsidP="00B25F88">
            <w:pPr>
              <w:pStyle w:val="Teksttabelisrodek"/>
            </w:pPr>
            <w:r w:rsidRPr="00795F17">
              <w:t>2</w:t>
            </w:r>
          </w:p>
        </w:tc>
        <w:tc>
          <w:tcPr>
            <w:tcW w:w="1396" w:type="dxa"/>
            <w:shd w:val="clear" w:color="auto" w:fill="D9D9D9" w:themeFill="background1" w:themeFillShade="D9"/>
            <w:vAlign w:val="center"/>
            <w:hideMark/>
          </w:tcPr>
          <w:p w14:paraId="12DF4F74" w14:textId="77777777" w:rsidR="00B25F88" w:rsidRPr="00795F17" w:rsidRDefault="00B25F88" w:rsidP="00B25F88">
            <w:pPr>
              <w:pStyle w:val="Teksttabelisrodek"/>
            </w:pPr>
            <w:r w:rsidRPr="00795F17">
              <w:t>1</w:t>
            </w:r>
          </w:p>
        </w:tc>
      </w:tr>
      <w:tr w:rsidR="00B25F88" w:rsidRPr="00795F17" w14:paraId="0A813466" w14:textId="77777777" w:rsidTr="00AA2367">
        <w:trPr>
          <w:trHeight w:val="454"/>
        </w:trPr>
        <w:tc>
          <w:tcPr>
            <w:tcW w:w="0" w:type="auto"/>
            <w:vMerge/>
            <w:vAlign w:val="center"/>
            <w:hideMark/>
          </w:tcPr>
          <w:p w14:paraId="0EEBC3A3" w14:textId="77777777" w:rsidR="00B25F88" w:rsidRPr="00795F17" w:rsidRDefault="00B25F88" w:rsidP="00B25F88">
            <w:pPr>
              <w:pStyle w:val="Teksttabelilewy"/>
              <w:rPr>
                <w:b/>
                <w:bCs/>
              </w:rPr>
            </w:pPr>
          </w:p>
        </w:tc>
        <w:tc>
          <w:tcPr>
            <w:tcW w:w="738" w:type="dxa"/>
            <w:vAlign w:val="center"/>
            <w:hideMark/>
          </w:tcPr>
          <w:p w14:paraId="05BD0CF9" w14:textId="77777777" w:rsidR="00B25F88" w:rsidRPr="00795F17" w:rsidRDefault="00B25F88" w:rsidP="006E4DD0">
            <w:pPr>
              <w:pStyle w:val="Teksttabelisrodek"/>
              <w:rPr>
                <w:b/>
                <w:bCs w:val="0"/>
              </w:rPr>
            </w:pPr>
            <w:r w:rsidRPr="00795F17">
              <w:rPr>
                <w:b/>
                <w:bCs w:val="0"/>
              </w:rPr>
              <w:t>3</w:t>
            </w:r>
          </w:p>
        </w:tc>
        <w:tc>
          <w:tcPr>
            <w:tcW w:w="1392" w:type="dxa"/>
            <w:shd w:val="clear" w:color="auto" w:fill="A6A6A6" w:themeFill="background1" w:themeFillShade="A6"/>
            <w:vAlign w:val="center"/>
            <w:hideMark/>
          </w:tcPr>
          <w:p w14:paraId="40A76E3F" w14:textId="77777777" w:rsidR="00B25F88" w:rsidRPr="00795F17" w:rsidRDefault="00B25F88" w:rsidP="00B25F88">
            <w:pPr>
              <w:pStyle w:val="Teksttabelisrodek"/>
            </w:pPr>
            <w:r w:rsidRPr="00795F17">
              <w:t>4</w:t>
            </w:r>
          </w:p>
        </w:tc>
        <w:tc>
          <w:tcPr>
            <w:tcW w:w="1393" w:type="dxa"/>
            <w:shd w:val="clear" w:color="auto" w:fill="A6A6A6" w:themeFill="background1" w:themeFillShade="A6"/>
            <w:vAlign w:val="center"/>
            <w:hideMark/>
          </w:tcPr>
          <w:p w14:paraId="723D2CCB" w14:textId="77777777" w:rsidR="00B25F88" w:rsidRPr="00795F17" w:rsidRDefault="00B25F88" w:rsidP="00B25F88">
            <w:pPr>
              <w:pStyle w:val="Teksttabelisrodek"/>
            </w:pPr>
            <w:r w:rsidRPr="00795F17">
              <w:t>4</w:t>
            </w:r>
          </w:p>
        </w:tc>
        <w:tc>
          <w:tcPr>
            <w:tcW w:w="1393" w:type="dxa"/>
            <w:shd w:val="clear" w:color="auto" w:fill="BFBFBF" w:themeFill="background1" w:themeFillShade="BF"/>
            <w:vAlign w:val="center"/>
            <w:hideMark/>
          </w:tcPr>
          <w:p w14:paraId="2FEC53A5" w14:textId="77777777" w:rsidR="00B25F88" w:rsidRPr="00795F17" w:rsidRDefault="00B25F88" w:rsidP="00B25F88">
            <w:pPr>
              <w:pStyle w:val="Teksttabelisrodek"/>
            </w:pPr>
            <w:r w:rsidRPr="00795F17">
              <w:t>3</w:t>
            </w:r>
          </w:p>
        </w:tc>
        <w:tc>
          <w:tcPr>
            <w:tcW w:w="1393" w:type="dxa"/>
            <w:shd w:val="clear" w:color="auto" w:fill="D9D9D9" w:themeFill="background1" w:themeFillShade="D9"/>
            <w:vAlign w:val="center"/>
            <w:hideMark/>
          </w:tcPr>
          <w:p w14:paraId="1851AA00" w14:textId="77777777" w:rsidR="00B25F88" w:rsidRPr="00795F17" w:rsidRDefault="00B25F88" w:rsidP="00B25F88">
            <w:pPr>
              <w:pStyle w:val="Teksttabelisrodek"/>
            </w:pPr>
            <w:r w:rsidRPr="00795F17">
              <w:t>2</w:t>
            </w:r>
          </w:p>
        </w:tc>
        <w:tc>
          <w:tcPr>
            <w:tcW w:w="1396" w:type="dxa"/>
            <w:shd w:val="clear" w:color="auto" w:fill="D9D9D9" w:themeFill="background1" w:themeFillShade="D9"/>
            <w:vAlign w:val="center"/>
            <w:hideMark/>
          </w:tcPr>
          <w:p w14:paraId="0FF3794D" w14:textId="77777777" w:rsidR="00B25F88" w:rsidRPr="00795F17" w:rsidRDefault="00B25F88" w:rsidP="00B25F88">
            <w:pPr>
              <w:pStyle w:val="Teksttabelisrodek"/>
            </w:pPr>
            <w:r w:rsidRPr="00795F17">
              <w:t>2</w:t>
            </w:r>
          </w:p>
        </w:tc>
      </w:tr>
      <w:tr w:rsidR="00B25F88" w:rsidRPr="00795F17" w14:paraId="7C46DD7D" w14:textId="77777777" w:rsidTr="00AA2367">
        <w:trPr>
          <w:trHeight w:val="454"/>
        </w:trPr>
        <w:tc>
          <w:tcPr>
            <w:tcW w:w="0" w:type="auto"/>
            <w:vMerge/>
            <w:vAlign w:val="center"/>
            <w:hideMark/>
          </w:tcPr>
          <w:p w14:paraId="19C3F417" w14:textId="77777777" w:rsidR="00B25F88" w:rsidRPr="00795F17" w:rsidRDefault="00B25F88" w:rsidP="00B25F88">
            <w:pPr>
              <w:pStyle w:val="Teksttabelilewy"/>
              <w:rPr>
                <w:b/>
                <w:bCs/>
              </w:rPr>
            </w:pPr>
          </w:p>
        </w:tc>
        <w:tc>
          <w:tcPr>
            <w:tcW w:w="738" w:type="dxa"/>
            <w:vAlign w:val="center"/>
            <w:hideMark/>
          </w:tcPr>
          <w:p w14:paraId="0D77D154" w14:textId="77777777" w:rsidR="00B25F88" w:rsidRPr="00795F17" w:rsidRDefault="00B25F88" w:rsidP="006E4DD0">
            <w:pPr>
              <w:pStyle w:val="Teksttabelisrodek"/>
              <w:rPr>
                <w:b/>
                <w:bCs w:val="0"/>
              </w:rPr>
            </w:pPr>
            <w:r w:rsidRPr="00795F17">
              <w:rPr>
                <w:b/>
                <w:bCs w:val="0"/>
              </w:rPr>
              <w:t>4</w:t>
            </w:r>
          </w:p>
        </w:tc>
        <w:tc>
          <w:tcPr>
            <w:tcW w:w="1392" w:type="dxa"/>
            <w:shd w:val="clear" w:color="auto" w:fill="808080"/>
            <w:vAlign w:val="center"/>
            <w:hideMark/>
          </w:tcPr>
          <w:p w14:paraId="48A6351E" w14:textId="77777777" w:rsidR="00B25F88" w:rsidRPr="00795F17" w:rsidRDefault="00B25F88" w:rsidP="00B25F88">
            <w:pPr>
              <w:pStyle w:val="Teksttabelisrodek"/>
            </w:pPr>
            <w:r w:rsidRPr="00795F17">
              <w:t>5</w:t>
            </w:r>
          </w:p>
        </w:tc>
        <w:tc>
          <w:tcPr>
            <w:tcW w:w="1393" w:type="dxa"/>
            <w:shd w:val="clear" w:color="auto" w:fill="A6A6A6" w:themeFill="background1" w:themeFillShade="A6"/>
            <w:vAlign w:val="center"/>
            <w:hideMark/>
          </w:tcPr>
          <w:p w14:paraId="2B50A32E" w14:textId="77777777" w:rsidR="00B25F88" w:rsidRPr="00795F17" w:rsidRDefault="00B25F88" w:rsidP="00B25F88">
            <w:pPr>
              <w:pStyle w:val="Teksttabelisrodek"/>
            </w:pPr>
            <w:r w:rsidRPr="00795F17">
              <w:t>4</w:t>
            </w:r>
          </w:p>
        </w:tc>
        <w:tc>
          <w:tcPr>
            <w:tcW w:w="1393" w:type="dxa"/>
            <w:shd w:val="clear" w:color="auto" w:fill="BFBFBF" w:themeFill="background1" w:themeFillShade="BF"/>
            <w:vAlign w:val="center"/>
            <w:hideMark/>
          </w:tcPr>
          <w:p w14:paraId="4F90E909" w14:textId="77777777" w:rsidR="00B25F88" w:rsidRPr="00795F17" w:rsidRDefault="00B25F88" w:rsidP="00B25F88">
            <w:pPr>
              <w:pStyle w:val="Teksttabelisrodek"/>
            </w:pPr>
            <w:r w:rsidRPr="00795F17">
              <w:t>3</w:t>
            </w:r>
          </w:p>
        </w:tc>
        <w:tc>
          <w:tcPr>
            <w:tcW w:w="1393" w:type="dxa"/>
            <w:shd w:val="clear" w:color="auto" w:fill="BFBFBF" w:themeFill="background1" w:themeFillShade="BF"/>
            <w:vAlign w:val="center"/>
            <w:hideMark/>
          </w:tcPr>
          <w:p w14:paraId="0548E97F" w14:textId="77777777" w:rsidR="00B25F88" w:rsidRPr="00795F17" w:rsidRDefault="00B25F88" w:rsidP="00B25F88">
            <w:pPr>
              <w:pStyle w:val="Teksttabelisrodek"/>
            </w:pPr>
            <w:r w:rsidRPr="00795F17">
              <w:t>3</w:t>
            </w:r>
          </w:p>
        </w:tc>
        <w:tc>
          <w:tcPr>
            <w:tcW w:w="1396" w:type="dxa"/>
            <w:shd w:val="clear" w:color="auto" w:fill="BFBFBF" w:themeFill="background1" w:themeFillShade="BF"/>
            <w:vAlign w:val="center"/>
            <w:hideMark/>
          </w:tcPr>
          <w:p w14:paraId="59325DD7" w14:textId="77777777" w:rsidR="00B25F88" w:rsidRPr="00795F17" w:rsidRDefault="00B25F88" w:rsidP="00B25F88">
            <w:pPr>
              <w:pStyle w:val="Teksttabelisrodek"/>
            </w:pPr>
            <w:r w:rsidRPr="00795F17">
              <w:t>3</w:t>
            </w:r>
          </w:p>
        </w:tc>
      </w:tr>
      <w:tr w:rsidR="00B25F88" w:rsidRPr="00795F17" w14:paraId="16C8A6B3" w14:textId="77777777" w:rsidTr="00AA2367">
        <w:trPr>
          <w:trHeight w:val="454"/>
        </w:trPr>
        <w:tc>
          <w:tcPr>
            <w:tcW w:w="0" w:type="auto"/>
            <w:vMerge/>
            <w:vAlign w:val="center"/>
            <w:hideMark/>
          </w:tcPr>
          <w:p w14:paraId="45AC0330" w14:textId="77777777" w:rsidR="00B25F88" w:rsidRPr="00795F17" w:rsidRDefault="00B25F88" w:rsidP="00B25F88">
            <w:pPr>
              <w:pStyle w:val="Teksttabelilewy"/>
              <w:rPr>
                <w:b/>
                <w:bCs/>
              </w:rPr>
            </w:pPr>
          </w:p>
        </w:tc>
        <w:tc>
          <w:tcPr>
            <w:tcW w:w="738" w:type="dxa"/>
            <w:vAlign w:val="center"/>
            <w:hideMark/>
          </w:tcPr>
          <w:p w14:paraId="73032F29" w14:textId="77777777" w:rsidR="00B25F88" w:rsidRPr="00795F17" w:rsidRDefault="00B25F88" w:rsidP="006E4DD0">
            <w:pPr>
              <w:pStyle w:val="Teksttabelisrodek"/>
              <w:rPr>
                <w:b/>
                <w:bCs w:val="0"/>
              </w:rPr>
            </w:pPr>
            <w:r w:rsidRPr="00795F17">
              <w:rPr>
                <w:b/>
                <w:bCs w:val="0"/>
              </w:rPr>
              <w:t>5</w:t>
            </w:r>
          </w:p>
        </w:tc>
        <w:tc>
          <w:tcPr>
            <w:tcW w:w="1392" w:type="dxa"/>
            <w:shd w:val="clear" w:color="auto" w:fill="808080"/>
            <w:vAlign w:val="center"/>
            <w:hideMark/>
          </w:tcPr>
          <w:p w14:paraId="5C353938" w14:textId="77777777" w:rsidR="00B25F88" w:rsidRPr="00795F17" w:rsidRDefault="00B25F88" w:rsidP="00B25F88">
            <w:pPr>
              <w:pStyle w:val="Teksttabelisrodek"/>
            </w:pPr>
            <w:r w:rsidRPr="00795F17">
              <w:t>5</w:t>
            </w:r>
          </w:p>
        </w:tc>
        <w:tc>
          <w:tcPr>
            <w:tcW w:w="1393" w:type="dxa"/>
            <w:shd w:val="clear" w:color="auto" w:fill="808080" w:themeFill="background1" w:themeFillShade="80"/>
            <w:vAlign w:val="center"/>
            <w:hideMark/>
          </w:tcPr>
          <w:p w14:paraId="00E106F8" w14:textId="77777777" w:rsidR="00B25F88" w:rsidRPr="00795F17" w:rsidRDefault="00B25F88" w:rsidP="00B25F88">
            <w:pPr>
              <w:pStyle w:val="Teksttabelisrodek"/>
            </w:pPr>
            <w:r w:rsidRPr="00795F17">
              <w:t>5</w:t>
            </w:r>
          </w:p>
        </w:tc>
        <w:tc>
          <w:tcPr>
            <w:tcW w:w="1393" w:type="dxa"/>
            <w:shd w:val="clear" w:color="auto" w:fill="A6A6A6" w:themeFill="background1" w:themeFillShade="A6"/>
            <w:vAlign w:val="center"/>
            <w:hideMark/>
          </w:tcPr>
          <w:p w14:paraId="53D5019A" w14:textId="77777777" w:rsidR="00B25F88" w:rsidRPr="00795F17" w:rsidRDefault="00B25F88" w:rsidP="00B25F88">
            <w:pPr>
              <w:pStyle w:val="Teksttabelisrodek"/>
            </w:pPr>
            <w:r w:rsidRPr="00795F17">
              <w:t>4</w:t>
            </w:r>
          </w:p>
        </w:tc>
        <w:tc>
          <w:tcPr>
            <w:tcW w:w="1393" w:type="dxa"/>
            <w:shd w:val="clear" w:color="auto" w:fill="BFBFBF" w:themeFill="background1" w:themeFillShade="BF"/>
            <w:vAlign w:val="center"/>
            <w:hideMark/>
          </w:tcPr>
          <w:p w14:paraId="2DAB62EA" w14:textId="77777777" w:rsidR="00B25F88" w:rsidRPr="00795F17" w:rsidRDefault="00B25F88" w:rsidP="00B25F88">
            <w:pPr>
              <w:pStyle w:val="Teksttabelisrodek"/>
            </w:pPr>
            <w:r w:rsidRPr="00795F17">
              <w:t>3</w:t>
            </w:r>
          </w:p>
        </w:tc>
        <w:tc>
          <w:tcPr>
            <w:tcW w:w="1396" w:type="dxa"/>
            <w:shd w:val="clear" w:color="auto" w:fill="BFBFBF" w:themeFill="background1" w:themeFillShade="BF"/>
            <w:vAlign w:val="center"/>
            <w:hideMark/>
          </w:tcPr>
          <w:p w14:paraId="22FE7484" w14:textId="77777777" w:rsidR="00B25F88" w:rsidRPr="00795F17" w:rsidRDefault="00B25F88" w:rsidP="00B25F88">
            <w:pPr>
              <w:pStyle w:val="Teksttabelisrodek"/>
            </w:pPr>
            <w:r w:rsidRPr="00795F17">
              <w:t>3</w:t>
            </w:r>
          </w:p>
        </w:tc>
      </w:tr>
    </w:tbl>
    <w:p w14:paraId="210A0CF8" w14:textId="77777777" w:rsidR="00B25F88" w:rsidRPr="00795F17" w:rsidRDefault="00B25F88" w:rsidP="00B25F88">
      <w:pPr>
        <w:pStyle w:val="rdo"/>
      </w:pPr>
      <w:r w:rsidRPr="00795F17">
        <w:t>Źródło: opracowanie własne</w:t>
      </w:r>
    </w:p>
    <w:p w14:paraId="1FA00A60" w14:textId="14EFBED9" w:rsidR="00B25F88" w:rsidRPr="00795F17" w:rsidRDefault="00B25F88" w:rsidP="00C53C86">
      <w:pPr>
        <w:pStyle w:val="Nagwek3"/>
      </w:pPr>
      <w:bookmarkStart w:id="606" w:name="_Toc105512689"/>
      <w:r w:rsidRPr="00795F17">
        <w:t xml:space="preserve">Wyniki analizy efektywności </w:t>
      </w:r>
      <w:r w:rsidR="0055061E">
        <w:t xml:space="preserve">jakościowej i </w:t>
      </w:r>
      <w:r w:rsidRPr="00795F17">
        <w:t>kosztowej</w:t>
      </w:r>
      <w:bookmarkEnd w:id="606"/>
    </w:p>
    <w:p w14:paraId="061F0390" w14:textId="157C8DAB" w:rsidR="0019248A" w:rsidRDefault="005E5391" w:rsidP="0044393D">
      <w:r w:rsidRPr="00795F17">
        <w:t xml:space="preserve">W ramach zestawu działań dla </w:t>
      </w:r>
      <w:r w:rsidR="006C26A1" w:rsidRPr="00795F17">
        <w:t xml:space="preserve">obszaru </w:t>
      </w:r>
      <w:r w:rsidRPr="00795F17">
        <w:t>dorzecza Odry zidentyfikowano łącznie 1</w:t>
      </w:r>
      <w:r w:rsidR="00B25F88" w:rsidRPr="00795F17">
        <w:t>0</w:t>
      </w:r>
      <w:r w:rsidR="00CB48F0">
        <w:t xml:space="preserve"> </w:t>
      </w:r>
      <w:r w:rsidR="00F173AB" w:rsidRPr="00ED2945">
        <w:t>5</w:t>
      </w:r>
      <w:r w:rsidR="000025B2">
        <w:t>55</w:t>
      </w:r>
      <w:r w:rsidR="00F173AB">
        <w:t xml:space="preserve"> </w:t>
      </w:r>
      <w:r w:rsidRPr="00795F17">
        <w:t xml:space="preserve">działań, które zostały ocenione pod kątem efektywności </w:t>
      </w:r>
      <w:r w:rsidR="00597F45">
        <w:t>ja</w:t>
      </w:r>
      <w:r w:rsidR="005E52ED">
        <w:t>k</w:t>
      </w:r>
      <w:r w:rsidR="00597F45">
        <w:t>ościowej i</w:t>
      </w:r>
      <w:r w:rsidRPr="00795F17">
        <w:t xml:space="preserve"> kosztowej w skali od 1 do 5 (zgodnie z tabel</w:t>
      </w:r>
      <w:r w:rsidR="0019248A">
        <w:t xml:space="preserve">ami </w:t>
      </w:r>
      <w:r w:rsidRPr="00795F17">
        <w:t xml:space="preserve">poniżej). </w:t>
      </w:r>
    </w:p>
    <w:p w14:paraId="32892CF8" w14:textId="3B85BB9A" w:rsidR="005E5391" w:rsidRPr="00795F17" w:rsidRDefault="005E5391" w:rsidP="0044393D">
      <w:r w:rsidRPr="00795F17">
        <w:t xml:space="preserve">Statystyki liczby działań w odniesieniu do poszczególnych poziomów efektywności </w:t>
      </w:r>
      <w:r w:rsidR="006230DB">
        <w:t xml:space="preserve">jakościowej </w:t>
      </w:r>
      <w:r w:rsidRPr="00795F17">
        <w:t>przedstawiają poniższe tabele.</w:t>
      </w:r>
    </w:p>
    <w:p w14:paraId="538EE1F6" w14:textId="0BB9DE90" w:rsidR="005E5391" w:rsidRPr="00795F17" w:rsidRDefault="005E5391" w:rsidP="004D7705">
      <w:pPr>
        <w:pStyle w:val="Tabela"/>
        <w:rPr>
          <w:szCs w:val="20"/>
        </w:rPr>
      </w:pPr>
      <w:bookmarkStart w:id="607" w:name="_Toc57291742"/>
      <w:bookmarkStart w:id="608" w:name="_Toc66341939"/>
      <w:bookmarkStart w:id="609" w:name="_Toc105512862"/>
      <w:bookmarkStart w:id="610" w:name="_Hlk53157285"/>
      <w:r w:rsidRPr="00795F17">
        <w:t xml:space="preserve">Tabela </w:t>
      </w:r>
      <w:fldSimple w:instr=" STYLEREF 1 \s ">
        <w:r w:rsidR="001F774D">
          <w:rPr>
            <w:noProof/>
          </w:rPr>
          <w:t>11</w:t>
        </w:r>
      </w:fldSimple>
      <w:r w:rsidR="00BB3B21" w:rsidRPr="00795F17">
        <w:noBreakHyphen/>
      </w:r>
      <w:fldSimple w:instr=" SEQ Tabela \* ARABIC \s 1 ">
        <w:r w:rsidR="001F774D">
          <w:rPr>
            <w:noProof/>
          </w:rPr>
          <w:t>9</w:t>
        </w:r>
      </w:fldSimple>
      <w:bookmarkEnd w:id="607"/>
      <w:r w:rsidR="00EB4B7B">
        <w:rPr>
          <w:noProof/>
        </w:rPr>
        <w:t>.</w:t>
      </w:r>
      <w:r w:rsidR="0047728F" w:rsidRPr="00795F17">
        <w:tab/>
      </w:r>
      <w:r w:rsidRPr="00795F17">
        <w:t xml:space="preserve">Wyniki analizy efektywności jakościowej </w:t>
      </w:r>
      <w:r w:rsidR="00B857A9">
        <w:rPr>
          <w:szCs w:val="20"/>
        </w:rPr>
        <w:t>–</w:t>
      </w:r>
      <w:r w:rsidRPr="00795F17">
        <w:rPr>
          <w:szCs w:val="20"/>
        </w:rPr>
        <w:t xml:space="preserve"> wskaźnik efektywności</w:t>
      </w:r>
      <w:r w:rsidR="00C468A8">
        <w:rPr>
          <w:szCs w:val="20"/>
        </w:rPr>
        <w:t xml:space="preserve"> dla wód powierzchniowych</w:t>
      </w:r>
      <w:bookmarkEnd w:id="608"/>
      <w:bookmarkEnd w:id="6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2384"/>
        <w:gridCol w:w="2232"/>
        <w:gridCol w:w="2045"/>
      </w:tblGrid>
      <w:tr w:rsidR="005E5391" w:rsidRPr="00795F17" w14:paraId="405BDEB1" w14:textId="77777777" w:rsidTr="00B25F88">
        <w:trPr>
          <w:trHeight w:val="454"/>
          <w:tblHeader/>
        </w:trPr>
        <w:tc>
          <w:tcPr>
            <w:tcW w:w="2401" w:type="dxa"/>
            <w:shd w:val="clear" w:color="auto" w:fill="BFBFBF" w:themeFill="background1" w:themeFillShade="BF"/>
            <w:vAlign w:val="center"/>
          </w:tcPr>
          <w:bookmarkEnd w:id="610"/>
          <w:p w14:paraId="2B7F793A" w14:textId="77777777" w:rsidR="005E5391" w:rsidRPr="00795F17" w:rsidRDefault="005E5391" w:rsidP="0044393D">
            <w:pPr>
              <w:pStyle w:val="Teksttabelinaglowek"/>
            </w:pPr>
            <w:r w:rsidRPr="00795F17">
              <w:t>Stopień efektywności jakościowej</w:t>
            </w:r>
          </w:p>
        </w:tc>
        <w:tc>
          <w:tcPr>
            <w:tcW w:w="2384" w:type="dxa"/>
            <w:shd w:val="clear" w:color="auto" w:fill="BFBFBF" w:themeFill="background1" w:themeFillShade="BF"/>
            <w:vAlign w:val="center"/>
          </w:tcPr>
          <w:p w14:paraId="545A7E43" w14:textId="77777777" w:rsidR="005E5391" w:rsidRPr="00795F17" w:rsidRDefault="005E5391" w:rsidP="0044393D">
            <w:pPr>
              <w:pStyle w:val="Teksttabelinaglowek"/>
            </w:pPr>
            <w:r w:rsidRPr="00795F17">
              <w:t>Ocena jakościowa</w:t>
            </w:r>
          </w:p>
        </w:tc>
        <w:tc>
          <w:tcPr>
            <w:tcW w:w="2232" w:type="dxa"/>
            <w:shd w:val="clear" w:color="auto" w:fill="BFBFBF" w:themeFill="background1" w:themeFillShade="BF"/>
            <w:vAlign w:val="center"/>
          </w:tcPr>
          <w:p w14:paraId="2EAAA22A" w14:textId="77777777" w:rsidR="005E5391" w:rsidRPr="00795F17" w:rsidRDefault="005E5391" w:rsidP="0044393D">
            <w:pPr>
              <w:pStyle w:val="Teksttabelinaglowek"/>
            </w:pPr>
            <w:r w:rsidRPr="00795F17">
              <w:t>Liczba działań</w:t>
            </w:r>
          </w:p>
        </w:tc>
        <w:tc>
          <w:tcPr>
            <w:tcW w:w="2045" w:type="dxa"/>
            <w:shd w:val="clear" w:color="auto" w:fill="BFBFBF" w:themeFill="background1" w:themeFillShade="BF"/>
            <w:vAlign w:val="center"/>
          </w:tcPr>
          <w:p w14:paraId="631BE638" w14:textId="7EFC771D" w:rsidR="005E5391" w:rsidRPr="00795F17" w:rsidRDefault="005E5391" w:rsidP="0039301D">
            <w:pPr>
              <w:pStyle w:val="Teksttabelinaglowek"/>
              <w:spacing w:before="240" w:after="0"/>
            </w:pPr>
            <w:r w:rsidRPr="00795F17">
              <w:t xml:space="preserve">Udział </w:t>
            </w:r>
            <w:r w:rsidR="004749B9" w:rsidRPr="00795F17">
              <w:t>(%)</w:t>
            </w:r>
            <w:r w:rsidR="00E457FB" w:rsidRPr="00795F17">
              <w:br/>
            </w:r>
          </w:p>
        </w:tc>
      </w:tr>
      <w:tr w:rsidR="00D92C25" w:rsidRPr="00795F17" w14:paraId="6DE70E8E" w14:textId="77777777" w:rsidTr="00B25F88">
        <w:trPr>
          <w:trHeight w:val="454"/>
        </w:trPr>
        <w:tc>
          <w:tcPr>
            <w:tcW w:w="2401" w:type="dxa"/>
            <w:shd w:val="clear" w:color="auto" w:fill="auto"/>
            <w:vAlign w:val="center"/>
            <w:hideMark/>
          </w:tcPr>
          <w:p w14:paraId="1F7AF8CE" w14:textId="77777777" w:rsidR="00D92C25" w:rsidRPr="00795F17" w:rsidRDefault="00D92C25" w:rsidP="00D92C25">
            <w:pPr>
              <w:pStyle w:val="Teksttabelisrodek"/>
              <w:rPr>
                <w:rFonts w:cs="Calibri"/>
                <w:szCs w:val="20"/>
                <w:lang w:eastAsia="zh-CN"/>
              </w:rPr>
            </w:pPr>
            <w:r w:rsidRPr="00795F17">
              <w:t>1</w:t>
            </w:r>
          </w:p>
        </w:tc>
        <w:tc>
          <w:tcPr>
            <w:tcW w:w="2384" w:type="dxa"/>
            <w:shd w:val="clear" w:color="auto" w:fill="auto"/>
            <w:vAlign w:val="center"/>
            <w:hideMark/>
          </w:tcPr>
          <w:p w14:paraId="4BA7BBC5" w14:textId="77777777" w:rsidR="00D92C25" w:rsidRPr="00795F17" w:rsidRDefault="00D92C25" w:rsidP="00D92C25">
            <w:pPr>
              <w:pStyle w:val="Teksttabelisrodek"/>
              <w:rPr>
                <w:rFonts w:cs="Calibri"/>
                <w:szCs w:val="20"/>
                <w:lang w:eastAsia="zh-CN"/>
              </w:rPr>
            </w:pPr>
            <w:r w:rsidRPr="00795F17">
              <w:t xml:space="preserve">Bardzo niska efektywność </w:t>
            </w:r>
          </w:p>
        </w:tc>
        <w:tc>
          <w:tcPr>
            <w:tcW w:w="2232" w:type="dxa"/>
            <w:shd w:val="clear" w:color="auto" w:fill="FFFFFF"/>
            <w:vAlign w:val="center"/>
          </w:tcPr>
          <w:p w14:paraId="7CDB5299" w14:textId="168D45BE" w:rsidR="00D92C25" w:rsidRPr="00795F17" w:rsidRDefault="00D92C25" w:rsidP="00D92C25">
            <w:pPr>
              <w:pStyle w:val="Teksttabelisrodek"/>
              <w:rPr>
                <w:rFonts w:cs="Calibri"/>
                <w:szCs w:val="20"/>
                <w:lang w:eastAsia="zh-CN"/>
              </w:rPr>
            </w:pPr>
            <w:r>
              <w:rPr>
                <w:rFonts w:cs="Calibri"/>
                <w:szCs w:val="20"/>
              </w:rPr>
              <w:t>0</w:t>
            </w:r>
          </w:p>
        </w:tc>
        <w:tc>
          <w:tcPr>
            <w:tcW w:w="2045" w:type="dxa"/>
            <w:shd w:val="clear" w:color="auto" w:fill="FFFFFF"/>
            <w:vAlign w:val="center"/>
          </w:tcPr>
          <w:p w14:paraId="04FCB637" w14:textId="6723E8A6" w:rsidR="00D92C25" w:rsidRPr="00795F17" w:rsidRDefault="00D92C25" w:rsidP="00D92C25">
            <w:pPr>
              <w:pStyle w:val="Teksttabelisrodek"/>
              <w:rPr>
                <w:rFonts w:cs="Calibri"/>
                <w:szCs w:val="20"/>
                <w:lang w:eastAsia="zh-CN"/>
              </w:rPr>
            </w:pPr>
            <w:r>
              <w:rPr>
                <w:rFonts w:cs="Calibri"/>
                <w:color w:val="000000"/>
                <w:szCs w:val="20"/>
              </w:rPr>
              <w:t>0,00</w:t>
            </w:r>
          </w:p>
        </w:tc>
      </w:tr>
      <w:tr w:rsidR="00D92C25" w:rsidRPr="00795F17" w14:paraId="23F2ADDA" w14:textId="77777777" w:rsidTr="00B25F88">
        <w:trPr>
          <w:trHeight w:val="454"/>
        </w:trPr>
        <w:tc>
          <w:tcPr>
            <w:tcW w:w="2401" w:type="dxa"/>
            <w:shd w:val="clear" w:color="auto" w:fill="auto"/>
            <w:vAlign w:val="center"/>
            <w:hideMark/>
          </w:tcPr>
          <w:p w14:paraId="54264EBA" w14:textId="77777777" w:rsidR="00D92C25" w:rsidRPr="00795F17" w:rsidRDefault="00D92C25" w:rsidP="00D92C25">
            <w:pPr>
              <w:pStyle w:val="Teksttabelisrodek"/>
              <w:rPr>
                <w:rFonts w:cs="Calibri"/>
                <w:szCs w:val="20"/>
                <w:lang w:eastAsia="zh-CN"/>
              </w:rPr>
            </w:pPr>
            <w:r w:rsidRPr="00795F17">
              <w:t>2</w:t>
            </w:r>
          </w:p>
        </w:tc>
        <w:tc>
          <w:tcPr>
            <w:tcW w:w="2384" w:type="dxa"/>
            <w:shd w:val="clear" w:color="auto" w:fill="auto"/>
            <w:vAlign w:val="center"/>
            <w:hideMark/>
          </w:tcPr>
          <w:p w14:paraId="5CA71A33" w14:textId="77777777" w:rsidR="00D92C25" w:rsidRPr="00795F17" w:rsidRDefault="00D92C25" w:rsidP="00D92C25">
            <w:pPr>
              <w:pStyle w:val="Teksttabelisrodek"/>
              <w:rPr>
                <w:rFonts w:cs="Calibri"/>
                <w:szCs w:val="20"/>
                <w:lang w:eastAsia="zh-CN"/>
              </w:rPr>
            </w:pPr>
            <w:r w:rsidRPr="00795F17">
              <w:t>Niska efektywność</w:t>
            </w:r>
          </w:p>
        </w:tc>
        <w:tc>
          <w:tcPr>
            <w:tcW w:w="2232" w:type="dxa"/>
            <w:shd w:val="clear" w:color="auto" w:fill="FFFFFF"/>
            <w:vAlign w:val="center"/>
          </w:tcPr>
          <w:p w14:paraId="11A4EE32" w14:textId="5106501F" w:rsidR="00D92C25" w:rsidRPr="00795F17" w:rsidRDefault="00D92C25" w:rsidP="00D92C25">
            <w:pPr>
              <w:pStyle w:val="Teksttabelisrodek"/>
              <w:rPr>
                <w:rFonts w:cs="Calibri"/>
                <w:szCs w:val="20"/>
                <w:lang w:eastAsia="zh-CN"/>
              </w:rPr>
            </w:pPr>
            <w:r>
              <w:rPr>
                <w:rFonts w:cs="Calibri"/>
                <w:szCs w:val="20"/>
              </w:rPr>
              <w:t>1 977</w:t>
            </w:r>
          </w:p>
        </w:tc>
        <w:tc>
          <w:tcPr>
            <w:tcW w:w="2045" w:type="dxa"/>
            <w:shd w:val="clear" w:color="auto" w:fill="FFFFFF"/>
            <w:vAlign w:val="center"/>
          </w:tcPr>
          <w:p w14:paraId="7F52BB91" w14:textId="67A1109A" w:rsidR="00D92C25" w:rsidRPr="00795F17" w:rsidRDefault="00D92C25" w:rsidP="00D92C25">
            <w:pPr>
              <w:pStyle w:val="Teksttabelisrodek"/>
              <w:rPr>
                <w:rFonts w:cs="Calibri"/>
                <w:szCs w:val="20"/>
                <w:lang w:eastAsia="zh-CN"/>
              </w:rPr>
            </w:pPr>
            <w:r>
              <w:rPr>
                <w:rFonts w:cs="Calibri"/>
                <w:color w:val="000000"/>
                <w:szCs w:val="20"/>
              </w:rPr>
              <w:t>19,22</w:t>
            </w:r>
          </w:p>
        </w:tc>
      </w:tr>
      <w:tr w:rsidR="00D92C25" w:rsidRPr="00795F17" w14:paraId="6EDE5058" w14:textId="77777777" w:rsidTr="00B25F88">
        <w:trPr>
          <w:trHeight w:val="454"/>
        </w:trPr>
        <w:tc>
          <w:tcPr>
            <w:tcW w:w="2401" w:type="dxa"/>
            <w:shd w:val="clear" w:color="auto" w:fill="auto"/>
            <w:vAlign w:val="center"/>
            <w:hideMark/>
          </w:tcPr>
          <w:p w14:paraId="3004478F" w14:textId="77777777" w:rsidR="00D92C25" w:rsidRPr="00795F17" w:rsidRDefault="00D92C25" w:rsidP="00D92C25">
            <w:pPr>
              <w:pStyle w:val="Teksttabelisrodek"/>
              <w:rPr>
                <w:rFonts w:cs="Calibri"/>
                <w:szCs w:val="20"/>
                <w:lang w:eastAsia="zh-CN"/>
              </w:rPr>
            </w:pPr>
            <w:r w:rsidRPr="00795F17">
              <w:t>3</w:t>
            </w:r>
          </w:p>
        </w:tc>
        <w:tc>
          <w:tcPr>
            <w:tcW w:w="2384" w:type="dxa"/>
            <w:shd w:val="clear" w:color="auto" w:fill="auto"/>
            <w:vAlign w:val="center"/>
            <w:hideMark/>
          </w:tcPr>
          <w:p w14:paraId="2F39F7BE" w14:textId="77777777" w:rsidR="00D92C25" w:rsidRPr="00795F17" w:rsidRDefault="00D92C25" w:rsidP="00D92C25">
            <w:pPr>
              <w:pStyle w:val="Teksttabelisrodek"/>
            </w:pPr>
            <w:r w:rsidRPr="00795F17">
              <w:t>Średnia efektywność</w:t>
            </w:r>
          </w:p>
        </w:tc>
        <w:tc>
          <w:tcPr>
            <w:tcW w:w="2232" w:type="dxa"/>
            <w:shd w:val="clear" w:color="auto" w:fill="FFFFFF"/>
            <w:vAlign w:val="center"/>
          </w:tcPr>
          <w:p w14:paraId="5DE1EFBD" w14:textId="7A3C8E33" w:rsidR="00D92C25" w:rsidRPr="00795F17" w:rsidRDefault="00D92C25" w:rsidP="00D92C25">
            <w:pPr>
              <w:pStyle w:val="Teksttabelisrodek"/>
              <w:rPr>
                <w:rFonts w:cs="Calibri"/>
                <w:szCs w:val="20"/>
                <w:lang w:eastAsia="zh-CN"/>
              </w:rPr>
            </w:pPr>
            <w:r>
              <w:rPr>
                <w:rFonts w:cs="Calibri"/>
                <w:szCs w:val="20"/>
              </w:rPr>
              <w:t>3 286</w:t>
            </w:r>
          </w:p>
        </w:tc>
        <w:tc>
          <w:tcPr>
            <w:tcW w:w="2045" w:type="dxa"/>
            <w:shd w:val="clear" w:color="auto" w:fill="FFFFFF"/>
            <w:vAlign w:val="center"/>
          </w:tcPr>
          <w:p w14:paraId="3FB71CF2" w14:textId="2906DE28" w:rsidR="00D92C25" w:rsidRPr="00795F17" w:rsidRDefault="00D92C25" w:rsidP="00D92C25">
            <w:pPr>
              <w:pStyle w:val="Teksttabelisrodek"/>
              <w:rPr>
                <w:rFonts w:cs="Calibri"/>
                <w:szCs w:val="20"/>
                <w:lang w:eastAsia="zh-CN"/>
              </w:rPr>
            </w:pPr>
            <w:r>
              <w:rPr>
                <w:rFonts w:cs="Calibri"/>
                <w:color w:val="000000"/>
                <w:szCs w:val="20"/>
              </w:rPr>
              <w:t>31,95</w:t>
            </w:r>
          </w:p>
        </w:tc>
      </w:tr>
      <w:tr w:rsidR="00D92C25" w:rsidRPr="00795F17" w14:paraId="4B3D98DA" w14:textId="77777777" w:rsidTr="00B25F88">
        <w:trPr>
          <w:trHeight w:val="454"/>
        </w:trPr>
        <w:tc>
          <w:tcPr>
            <w:tcW w:w="2401" w:type="dxa"/>
            <w:shd w:val="clear" w:color="auto" w:fill="auto"/>
            <w:vAlign w:val="center"/>
            <w:hideMark/>
          </w:tcPr>
          <w:p w14:paraId="61BD3767" w14:textId="77777777" w:rsidR="00D92C25" w:rsidRPr="00795F17" w:rsidRDefault="00D92C25" w:rsidP="00D92C25">
            <w:pPr>
              <w:pStyle w:val="Teksttabelisrodek"/>
              <w:rPr>
                <w:rFonts w:cs="Calibri"/>
                <w:szCs w:val="20"/>
                <w:lang w:eastAsia="zh-CN"/>
              </w:rPr>
            </w:pPr>
            <w:r w:rsidRPr="00795F17">
              <w:t>4</w:t>
            </w:r>
          </w:p>
        </w:tc>
        <w:tc>
          <w:tcPr>
            <w:tcW w:w="2384" w:type="dxa"/>
            <w:shd w:val="clear" w:color="auto" w:fill="auto"/>
            <w:vAlign w:val="center"/>
            <w:hideMark/>
          </w:tcPr>
          <w:p w14:paraId="330358F0" w14:textId="77777777" w:rsidR="00D92C25" w:rsidRPr="00795F17" w:rsidRDefault="00D92C25" w:rsidP="00D92C25">
            <w:pPr>
              <w:pStyle w:val="Teksttabelisrodek"/>
              <w:rPr>
                <w:rFonts w:cs="Calibri"/>
                <w:szCs w:val="20"/>
                <w:lang w:eastAsia="zh-CN"/>
              </w:rPr>
            </w:pPr>
            <w:r w:rsidRPr="00795F17">
              <w:t>Wysoka efektywność</w:t>
            </w:r>
          </w:p>
        </w:tc>
        <w:tc>
          <w:tcPr>
            <w:tcW w:w="2232" w:type="dxa"/>
            <w:shd w:val="clear" w:color="auto" w:fill="FFFFFF"/>
            <w:vAlign w:val="center"/>
          </w:tcPr>
          <w:p w14:paraId="2277C5F5" w14:textId="00282BAC" w:rsidR="00D92C25" w:rsidRPr="00795F17" w:rsidRDefault="00D92C25" w:rsidP="00D92C25">
            <w:pPr>
              <w:pStyle w:val="Teksttabelisrodek"/>
              <w:rPr>
                <w:rFonts w:cs="Calibri"/>
                <w:szCs w:val="20"/>
                <w:lang w:eastAsia="zh-CN"/>
              </w:rPr>
            </w:pPr>
            <w:r>
              <w:rPr>
                <w:rFonts w:cs="Calibri"/>
                <w:szCs w:val="20"/>
              </w:rPr>
              <w:t>3 379</w:t>
            </w:r>
          </w:p>
        </w:tc>
        <w:tc>
          <w:tcPr>
            <w:tcW w:w="2045" w:type="dxa"/>
            <w:shd w:val="clear" w:color="auto" w:fill="FFFFFF"/>
            <w:vAlign w:val="center"/>
          </w:tcPr>
          <w:p w14:paraId="67F20884" w14:textId="078561D4" w:rsidR="00D92C25" w:rsidRPr="00795F17" w:rsidRDefault="00D92C25" w:rsidP="00D92C25">
            <w:pPr>
              <w:pStyle w:val="Teksttabelisrodek"/>
              <w:rPr>
                <w:rFonts w:cs="Calibri"/>
                <w:szCs w:val="20"/>
                <w:lang w:eastAsia="zh-CN"/>
              </w:rPr>
            </w:pPr>
            <w:r>
              <w:rPr>
                <w:rFonts w:cs="Calibri"/>
                <w:color w:val="000000"/>
                <w:szCs w:val="20"/>
              </w:rPr>
              <w:t>32,86</w:t>
            </w:r>
          </w:p>
        </w:tc>
      </w:tr>
      <w:tr w:rsidR="00D92C25" w:rsidRPr="00795F17" w14:paraId="41CA2222" w14:textId="77777777" w:rsidTr="00B25F88">
        <w:trPr>
          <w:trHeight w:val="454"/>
        </w:trPr>
        <w:tc>
          <w:tcPr>
            <w:tcW w:w="2401" w:type="dxa"/>
            <w:shd w:val="clear" w:color="auto" w:fill="auto"/>
            <w:vAlign w:val="center"/>
            <w:hideMark/>
          </w:tcPr>
          <w:p w14:paraId="151DC86D" w14:textId="77777777" w:rsidR="00D92C25" w:rsidRPr="00795F17" w:rsidRDefault="00D92C25" w:rsidP="00D92C25">
            <w:pPr>
              <w:pStyle w:val="Teksttabelisrodek"/>
              <w:rPr>
                <w:rFonts w:cs="Calibri"/>
                <w:szCs w:val="20"/>
                <w:lang w:eastAsia="zh-CN"/>
              </w:rPr>
            </w:pPr>
            <w:r w:rsidRPr="00795F17">
              <w:t>5</w:t>
            </w:r>
          </w:p>
        </w:tc>
        <w:tc>
          <w:tcPr>
            <w:tcW w:w="2384" w:type="dxa"/>
            <w:shd w:val="clear" w:color="auto" w:fill="auto"/>
            <w:vAlign w:val="center"/>
            <w:hideMark/>
          </w:tcPr>
          <w:p w14:paraId="329EC049" w14:textId="77777777" w:rsidR="00D92C25" w:rsidRPr="00795F17" w:rsidRDefault="00D92C25" w:rsidP="00D92C25">
            <w:pPr>
              <w:pStyle w:val="Teksttabelisrodek"/>
              <w:rPr>
                <w:rFonts w:cs="Calibri"/>
                <w:szCs w:val="20"/>
                <w:lang w:eastAsia="zh-CN"/>
              </w:rPr>
            </w:pPr>
            <w:r w:rsidRPr="00795F17">
              <w:t xml:space="preserve">Bardzo wysoka </w:t>
            </w:r>
            <w:r w:rsidRPr="00795F17">
              <w:rPr>
                <w:rFonts w:cs="Calibri"/>
                <w:szCs w:val="20"/>
                <w:lang w:eastAsia="zh-CN"/>
              </w:rPr>
              <w:t>efektywność</w:t>
            </w:r>
          </w:p>
        </w:tc>
        <w:tc>
          <w:tcPr>
            <w:tcW w:w="2232" w:type="dxa"/>
            <w:shd w:val="clear" w:color="auto" w:fill="FFFFFF"/>
            <w:vAlign w:val="center"/>
          </w:tcPr>
          <w:p w14:paraId="0F437D53" w14:textId="202023C1" w:rsidR="00D92C25" w:rsidRPr="00795F17" w:rsidRDefault="00D92C25" w:rsidP="00D92C25">
            <w:pPr>
              <w:pStyle w:val="Teksttabelisrodek"/>
              <w:rPr>
                <w:rFonts w:cs="Calibri"/>
                <w:szCs w:val="20"/>
                <w:lang w:eastAsia="zh-CN"/>
              </w:rPr>
            </w:pPr>
            <w:r>
              <w:rPr>
                <w:rFonts w:cs="Calibri"/>
                <w:szCs w:val="20"/>
              </w:rPr>
              <w:t>1 642</w:t>
            </w:r>
          </w:p>
        </w:tc>
        <w:tc>
          <w:tcPr>
            <w:tcW w:w="2045" w:type="dxa"/>
            <w:shd w:val="clear" w:color="auto" w:fill="FFFFFF"/>
            <w:vAlign w:val="center"/>
          </w:tcPr>
          <w:p w14:paraId="2B2B9399" w14:textId="2306A575" w:rsidR="00D92C25" w:rsidRPr="00795F17" w:rsidRDefault="00D92C25" w:rsidP="00D92C25">
            <w:pPr>
              <w:pStyle w:val="Teksttabelisrodek"/>
              <w:rPr>
                <w:rFonts w:cs="Calibri"/>
                <w:szCs w:val="20"/>
                <w:lang w:eastAsia="zh-CN"/>
              </w:rPr>
            </w:pPr>
            <w:r>
              <w:rPr>
                <w:rFonts w:cs="Calibri"/>
                <w:color w:val="000000"/>
                <w:szCs w:val="20"/>
              </w:rPr>
              <w:t>15,97</w:t>
            </w:r>
          </w:p>
        </w:tc>
      </w:tr>
    </w:tbl>
    <w:p w14:paraId="718B33E4" w14:textId="0B785F3D" w:rsidR="005E5391" w:rsidRPr="00795F17" w:rsidRDefault="005E5391" w:rsidP="0044393D">
      <w:pPr>
        <w:pStyle w:val="rdo"/>
        <w:rPr>
          <w:lang w:eastAsia="zh-CN"/>
        </w:rPr>
      </w:pPr>
      <w:r w:rsidRPr="00795F17">
        <w:rPr>
          <w:lang w:eastAsia="zh-CN"/>
        </w:rPr>
        <w:t xml:space="preserve">Źródło: </w:t>
      </w:r>
      <w:r w:rsidR="00FD7248" w:rsidRPr="00795F17">
        <w:rPr>
          <w:lang w:eastAsia="zh-CN"/>
        </w:rPr>
        <w:t>opracowanie własne</w:t>
      </w:r>
    </w:p>
    <w:p w14:paraId="0452B721" w14:textId="749C035D" w:rsidR="005E5391" w:rsidRPr="00795F17" w:rsidRDefault="005E5391" w:rsidP="004D7705">
      <w:pPr>
        <w:pStyle w:val="Tabela"/>
        <w:rPr>
          <w:szCs w:val="20"/>
        </w:rPr>
      </w:pPr>
      <w:bookmarkStart w:id="611" w:name="_Toc66341940"/>
      <w:bookmarkStart w:id="612" w:name="_Toc105512863"/>
      <w:r w:rsidRPr="00795F17">
        <w:t xml:space="preserve">Tabela </w:t>
      </w:r>
      <w:fldSimple w:instr=" STYLEREF 1 \s ">
        <w:r w:rsidR="001F774D">
          <w:rPr>
            <w:noProof/>
          </w:rPr>
          <w:t>11</w:t>
        </w:r>
      </w:fldSimple>
      <w:r w:rsidR="00BB3B21" w:rsidRPr="00795F17">
        <w:noBreakHyphen/>
      </w:r>
      <w:fldSimple w:instr=" SEQ Tabela \* ARABIC \s 1 ">
        <w:r w:rsidR="001F774D">
          <w:rPr>
            <w:noProof/>
          </w:rPr>
          <w:t>10</w:t>
        </w:r>
      </w:fldSimple>
      <w:r w:rsidR="00EB4B7B">
        <w:rPr>
          <w:noProof/>
        </w:rPr>
        <w:t>.</w:t>
      </w:r>
      <w:r w:rsidR="0047728F" w:rsidRPr="00795F17">
        <w:tab/>
      </w:r>
      <w:r w:rsidRPr="00795F17">
        <w:t xml:space="preserve">Wyniki analizy </w:t>
      </w:r>
      <w:r w:rsidRPr="00795F17">
        <w:rPr>
          <w:szCs w:val="20"/>
        </w:rPr>
        <w:t xml:space="preserve">efektywności </w:t>
      </w:r>
      <w:bookmarkEnd w:id="611"/>
      <w:r w:rsidR="00B25F88" w:rsidRPr="00795F17">
        <w:rPr>
          <w:szCs w:val="20"/>
        </w:rPr>
        <w:t xml:space="preserve">jakościowej </w:t>
      </w:r>
      <w:r w:rsidR="00B857A9">
        <w:rPr>
          <w:szCs w:val="20"/>
        </w:rPr>
        <w:t>–</w:t>
      </w:r>
      <w:r w:rsidR="00B25F88" w:rsidRPr="00795F17">
        <w:rPr>
          <w:szCs w:val="20"/>
        </w:rPr>
        <w:t xml:space="preserve"> wskaźnik efektywności dla wód podziemnych</w:t>
      </w:r>
      <w:bookmarkEnd w:id="6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2386"/>
        <w:gridCol w:w="2231"/>
        <w:gridCol w:w="2044"/>
      </w:tblGrid>
      <w:tr w:rsidR="005E5391" w:rsidRPr="00795F17" w14:paraId="40701759" w14:textId="77777777" w:rsidTr="00AA2367">
        <w:trPr>
          <w:trHeight w:val="454"/>
          <w:tblHeader/>
        </w:trPr>
        <w:tc>
          <w:tcPr>
            <w:tcW w:w="2401" w:type="dxa"/>
            <w:shd w:val="clear" w:color="auto" w:fill="BFBFBF" w:themeFill="background1" w:themeFillShade="BF"/>
            <w:vAlign w:val="center"/>
          </w:tcPr>
          <w:p w14:paraId="744825DB" w14:textId="23124A45" w:rsidR="005E5391" w:rsidRPr="00795F17" w:rsidRDefault="005E5391" w:rsidP="0044393D">
            <w:pPr>
              <w:pStyle w:val="Teksttabelinaglowek"/>
              <w:rPr>
                <w:rFonts w:cs="Calibri"/>
                <w:bCs/>
                <w:szCs w:val="20"/>
                <w:lang w:eastAsia="zh-CN"/>
              </w:rPr>
            </w:pPr>
            <w:r w:rsidRPr="00795F17">
              <w:t xml:space="preserve">Stopień efektywności </w:t>
            </w:r>
            <w:r w:rsidR="00B25F88" w:rsidRPr="00795F17">
              <w:t>jakościowej</w:t>
            </w:r>
          </w:p>
        </w:tc>
        <w:tc>
          <w:tcPr>
            <w:tcW w:w="2386" w:type="dxa"/>
            <w:shd w:val="clear" w:color="auto" w:fill="BFBFBF" w:themeFill="background1" w:themeFillShade="BF"/>
            <w:vAlign w:val="center"/>
          </w:tcPr>
          <w:p w14:paraId="0EE13D98" w14:textId="77777777" w:rsidR="005E5391" w:rsidRPr="00795F17" w:rsidRDefault="005E5391" w:rsidP="0044393D">
            <w:pPr>
              <w:pStyle w:val="Teksttabelinaglowek"/>
              <w:rPr>
                <w:rFonts w:cs="Calibri"/>
                <w:szCs w:val="20"/>
                <w:lang w:eastAsia="zh-CN"/>
              </w:rPr>
            </w:pPr>
            <w:r w:rsidRPr="00795F17">
              <w:t>Ocena jakościowa</w:t>
            </w:r>
          </w:p>
        </w:tc>
        <w:tc>
          <w:tcPr>
            <w:tcW w:w="2231" w:type="dxa"/>
            <w:shd w:val="clear" w:color="auto" w:fill="BFBFBF" w:themeFill="background1" w:themeFillShade="BF"/>
            <w:vAlign w:val="center"/>
          </w:tcPr>
          <w:p w14:paraId="7204AD95" w14:textId="77777777" w:rsidR="005E5391" w:rsidRPr="00795F17" w:rsidRDefault="005E5391" w:rsidP="0044393D">
            <w:pPr>
              <w:pStyle w:val="Teksttabelinaglowek"/>
              <w:rPr>
                <w:rFonts w:cs="Calibri"/>
                <w:szCs w:val="20"/>
                <w:lang w:eastAsia="zh-CN"/>
              </w:rPr>
            </w:pPr>
            <w:r w:rsidRPr="00795F17">
              <w:t>Liczba działań</w:t>
            </w:r>
          </w:p>
        </w:tc>
        <w:tc>
          <w:tcPr>
            <w:tcW w:w="2044" w:type="dxa"/>
            <w:shd w:val="clear" w:color="auto" w:fill="BFBFBF" w:themeFill="background1" w:themeFillShade="BF"/>
            <w:vAlign w:val="center"/>
          </w:tcPr>
          <w:p w14:paraId="38842444" w14:textId="5871D145" w:rsidR="005E5391" w:rsidRPr="00795F17" w:rsidRDefault="005E5391" w:rsidP="001C6219">
            <w:pPr>
              <w:pStyle w:val="Teksttabelinaglowek"/>
              <w:spacing w:after="0"/>
              <w:rPr>
                <w:rFonts w:cs="Calibri"/>
                <w:bCs/>
                <w:szCs w:val="20"/>
                <w:lang w:eastAsia="zh-CN"/>
              </w:rPr>
            </w:pPr>
            <w:r w:rsidRPr="00795F17">
              <w:t xml:space="preserve">Udział </w:t>
            </w:r>
            <w:r w:rsidR="004749B9" w:rsidRPr="00795F17">
              <w:t>(%)</w:t>
            </w:r>
          </w:p>
        </w:tc>
      </w:tr>
      <w:tr w:rsidR="00352A73" w:rsidRPr="00795F17" w14:paraId="42B738AC" w14:textId="77777777" w:rsidTr="00AA2367">
        <w:trPr>
          <w:trHeight w:val="454"/>
        </w:trPr>
        <w:tc>
          <w:tcPr>
            <w:tcW w:w="2401" w:type="dxa"/>
            <w:shd w:val="clear" w:color="auto" w:fill="auto"/>
            <w:vAlign w:val="center"/>
            <w:hideMark/>
          </w:tcPr>
          <w:p w14:paraId="273C9896" w14:textId="77777777" w:rsidR="00352A73" w:rsidRPr="00795F17" w:rsidRDefault="00352A73" w:rsidP="00352A73">
            <w:pPr>
              <w:pStyle w:val="Teksttabelisrodek"/>
              <w:rPr>
                <w:rFonts w:cs="Calibri"/>
                <w:szCs w:val="20"/>
                <w:lang w:eastAsia="zh-CN"/>
              </w:rPr>
            </w:pPr>
            <w:r w:rsidRPr="00795F17">
              <w:t>1</w:t>
            </w:r>
          </w:p>
        </w:tc>
        <w:tc>
          <w:tcPr>
            <w:tcW w:w="2386" w:type="dxa"/>
            <w:shd w:val="clear" w:color="auto" w:fill="auto"/>
            <w:vAlign w:val="center"/>
            <w:hideMark/>
          </w:tcPr>
          <w:p w14:paraId="5AB67181" w14:textId="77777777" w:rsidR="00352A73" w:rsidRPr="00795F17" w:rsidRDefault="00352A73" w:rsidP="00352A73">
            <w:pPr>
              <w:pStyle w:val="Teksttabelisrodek"/>
              <w:rPr>
                <w:rFonts w:cs="Calibri"/>
                <w:szCs w:val="20"/>
                <w:lang w:eastAsia="zh-CN"/>
              </w:rPr>
            </w:pPr>
            <w:r w:rsidRPr="00795F17">
              <w:t xml:space="preserve">Bardzo niska efektywność </w:t>
            </w:r>
          </w:p>
        </w:tc>
        <w:tc>
          <w:tcPr>
            <w:tcW w:w="2231" w:type="dxa"/>
            <w:shd w:val="clear" w:color="auto" w:fill="FFFFFF"/>
            <w:vAlign w:val="center"/>
          </w:tcPr>
          <w:p w14:paraId="242D58DA" w14:textId="1D4D3E08" w:rsidR="00352A73" w:rsidRPr="00795F17" w:rsidRDefault="00352A73" w:rsidP="00352A73">
            <w:pPr>
              <w:pStyle w:val="Teksttabelisrodek"/>
              <w:rPr>
                <w:rFonts w:cs="Calibri"/>
                <w:szCs w:val="20"/>
                <w:lang w:eastAsia="zh-CN"/>
              </w:rPr>
            </w:pPr>
            <w:r>
              <w:rPr>
                <w:rFonts w:cs="Calibri"/>
                <w:szCs w:val="20"/>
              </w:rPr>
              <w:t>0</w:t>
            </w:r>
          </w:p>
        </w:tc>
        <w:tc>
          <w:tcPr>
            <w:tcW w:w="2044" w:type="dxa"/>
            <w:shd w:val="clear" w:color="auto" w:fill="FFFFFF"/>
            <w:vAlign w:val="center"/>
          </w:tcPr>
          <w:p w14:paraId="7AB667C0" w14:textId="6ED6EA42" w:rsidR="00352A73" w:rsidRPr="00795F17" w:rsidRDefault="00352A73" w:rsidP="00352A73">
            <w:pPr>
              <w:pStyle w:val="Teksttabelisrodek"/>
              <w:rPr>
                <w:rFonts w:cs="Calibri"/>
                <w:szCs w:val="20"/>
                <w:lang w:eastAsia="zh-CN"/>
              </w:rPr>
            </w:pPr>
            <w:r>
              <w:rPr>
                <w:rFonts w:cs="Calibri"/>
                <w:color w:val="000000"/>
                <w:szCs w:val="20"/>
              </w:rPr>
              <w:t>0,00</w:t>
            </w:r>
          </w:p>
        </w:tc>
      </w:tr>
      <w:tr w:rsidR="00352A73" w:rsidRPr="00795F17" w14:paraId="11261100" w14:textId="77777777" w:rsidTr="00AA2367">
        <w:trPr>
          <w:trHeight w:val="454"/>
        </w:trPr>
        <w:tc>
          <w:tcPr>
            <w:tcW w:w="2401" w:type="dxa"/>
            <w:shd w:val="clear" w:color="auto" w:fill="auto"/>
            <w:vAlign w:val="center"/>
            <w:hideMark/>
          </w:tcPr>
          <w:p w14:paraId="0A05E525" w14:textId="77777777" w:rsidR="00352A73" w:rsidRPr="00795F17" w:rsidRDefault="00352A73" w:rsidP="00352A73">
            <w:pPr>
              <w:pStyle w:val="Teksttabelisrodek"/>
              <w:rPr>
                <w:rFonts w:cs="Calibri"/>
                <w:szCs w:val="20"/>
                <w:lang w:eastAsia="zh-CN"/>
              </w:rPr>
            </w:pPr>
            <w:r w:rsidRPr="00795F17">
              <w:t>2</w:t>
            </w:r>
          </w:p>
        </w:tc>
        <w:tc>
          <w:tcPr>
            <w:tcW w:w="2386" w:type="dxa"/>
            <w:shd w:val="clear" w:color="auto" w:fill="auto"/>
            <w:vAlign w:val="center"/>
            <w:hideMark/>
          </w:tcPr>
          <w:p w14:paraId="1F347AEF" w14:textId="77777777" w:rsidR="00352A73" w:rsidRPr="00795F17" w:rsidRDefault="00352A73" w:rsidP="00352A73">
            <w:pPr>
              <w:pStyle w:val="Teksttabelisrodek"/>
              <w:rPr>
                <w:rFonts w:cs="Calibri"/>
                <w:szCs w:val="20"/>
                <w:lang w:eastAsia="zh-CN"/>
              </w:rPr>
            </w:pPr>
            <w:r w:rsidRPr="00795F17">
              <w:t>Niska efektywność</w:t>
            </w:r>
          </w:p>
        </w:tc>
        <w:tc>
          <w:tcPr>
            <w:tcW w:w="2231" w:type="dxa"/>
            <w:shd w:val="clear" w:color="auto" w:fill="FFFFFF"/>
            <w:vAlign w:val="center"/>
          </w:tcPr>
          <w:p w14:paraId="3B5CE908" w14:textId="009CB9C2" w:rsidR="00352A73" w:rsidRPr="00795F17" w:rsidRDefault="00352A73" w:rsidP="00352A73">
            <w:pPr>
              <w:pStyle w:val="Teksttabelisrodek"/>
              <w:rPr>
                <w:rFonts w:cs="Calibri"/>
                <w:szCs w:val="20"/>
                <w:lang w:eastAsia="zh-CN"/>
              </w:rPr>
            </w:pPr>
            <w:r>
              <w:rPr>
                <w:rFonts w:cs="Calibri"/>
                <w:szCs w:val="20"/>
              </w:rPr>
              <w:t>181</w:t>
            </w:r>
          </w:p>
        </w:tc>
        <w:tc>
          <w:tcPr>
            <w:tcW w:w="2044" w:type="dxa"/>
            <w:shd w:val="clear" w:color="auto" w:fill="FFFFFF"/>
            <w:vAlign w:val="center"/>
          </w:tcPr>
          <w:p w14:paraId="7664B94F" w14:textId="0DB188B9" w:rsidR="00352A73" w:rsidRPr="00795F17" w:rsidRDefault="00352A73" w:rsidP="00352A73">
            <w:pPr>
              <w:pStyle w:val="Teksttabelisrodek"/>
              <w:rPr>
                <w:rFonts w:cs="Calibri"/>
                <w:szCs w:val="20"/>
                <w:lang w:eastAsia="zh-CN"/>
              </w:rPr>
            </w:pPr>
            <w:r>
              <w:rPr>
                <w:rFonts w:cs="Calibri"/>
                <w:color w:val="000000"/>
                <w:szCs w:val="20"/>
              </w:rPr>
              <w:t>66,79</w:t>
            </w:r>
          </w:p>
        </w:tc>
      </w:tr>
      <w:tr w:rsidR="00352A73" w:rsidRPr="00795F17" w14:paraId="0AAC0EA7" w14:textId="77777777" w:rsidTr="00AA2367">
        <w:trPr>
          <w:trHeight w:val="454"/>
        </w:trPr>
        <w:tc>
          <w:tcPr>
            <w:tcW w:w="2401" w:type="dxa"/>
            <w:shd w:val="clear" w:color="auto" w:fill="auto"/>
            <w:vAlign w:val="center"/>
            <w:hideMark/>
          </w:tcPr>
          <w:p w14:paraId="7C66E5DE" w14:textId="77777777" w:rsidR="00352A73" w:rsidRPr="00795F17" w:rsidRDefault="00352A73" w:rsidP="00352A73">
            <w:pPr>
              <w:pStyle w:val="Teksttabelisrodek"/>
              <w:rPr>
                <w:rFonts w:cs="Calibri"/>
                <w:szCs w:val="20"/>
                <w:lang w:eastAsia="zh-CN"/>
              </w:rPr>
            </w:pPr>
            <w:r w:rsidRPr="00795F17">
              <w:t>3</w:t>
            </w:r>
          </w:p>
        </w:tc>
        <w:tc>
          <w:tcPr>
            <w:tcW w:w="2386" w:type="dxa"/>
            <w:shd w:val="clear" w:color="auto" w:fill="auto"/>
            <w:vAlign w:val="center"/>
            <w:hideMark/>
          </w:tcPr>
          <w:p w14:paraId="128D70AF" w14:textId="77777777" w:rsidR="00352A73" w:rsidRPr="00795F17" w:rsidRDefault="00352A73" w:rsidP="00352A73">
            <w:pPr>
              <w:pStyle w:val="Teksttabelisrodek"/>
              <w:rPr>
                <w:rFonts w:cs="Calibri"/>
                <w:szCs w:val="20"/>
                <w:lang w:eastAsia="zh-CN"/>
              </w:rPr>
            </w:pPr>
            <w:r w:rsidRPr="00795F17">
              <w:t>Średnia efektywność</w:t>
            </w:r>
          </w:p>
        </w:tc>
        <w:tc>
          <w:tcPr>
            <w:tcW w:w="2231" w:type="dxa"/>
            <w:shd w:val="clear" w:color="auto" w:fill="FFFFFF"/>
            <w:vAlign w:val="center"/>
          </w:tcPr>
          <w:p w14:paraId="5728A6F0" w14:textId="0785F255" w:rsidR="00352A73" w:rsidRPr="00795F17" w:rsidRDefault="00352A73" w:rsidP="00352A73">
            <w:pPr>
              <w:pStyle w:val="Teksttabelisrodek"/>
              <w:rPr>
                <w:rFonts w:cs="Calibri"/>
                <w:szCs w:val="20"/>
                <w:lang w:eastAsia="zh-CN"/>
              </w:rPr>
            </w:pPr>
            <w:r>
              <w:rPr>
                <w:rFonts w:cs="Calibri"/>
                <w:szCs w:val="20"/>
              </w:rPr>
              <w:t>71</w:t>
            </w:r>
          </w:p>
        </w:tc>
        <w:tc>
          <w:tcPr>
            <w:tcW w:w="2044" w:type="dxa"/>
            <w:shd w:val="clear" w:color="auto" w:fill="FFFFFF"/>
            <w:vAlign w:val="center"/>
          </w:tcPr>
          <w:p w14:paraId="4D993C53" w14:textId="115F3CF0" w:rsidR="00352A73" w:rsidRPr="00795F17" w:rsidRDefault="00352A73" w:rsidP="00352A73">
            <w:pPr>
              <w:pStyle w:val="Teksttabelisrodek"/>
              <w:rPr>
                <w:rFonts w:cs="Calibri"/>
                <w:szCs w:val="20"/>
                <w:lang w:eastAsia="zh-CN"/>
              </w:rPr>
            </w:pPr>
            <w:r>
              <w:rPr>
                <w:rFonts w:cs="Calibri"/>
                <w:color w:val="000000"/>
                <w:szCs w:val="20"/>
              </w:rPr>
              <w:t>26,20</w:t>
            </w:r>
          </w:p>
        </w:tc>
      </w:tr>
      <w:tr w:rsidR="00352A73" w:rsidRPr="00795F17" w14:paraId="58513C52" w14:textId="77777777" w:rsidTr="00AA2367">
        <w:trPr>
          <w:trHeight w:val="454"/>
        </w:trPr>
        <w:tc>
          <w:tcPr>
            <w:tcW w:w="2401" w:type="dxa"/>
            <w:shd w:val="clear" w:color="auto" w:fill="auto"/>
            <w:vAlign w:val="center"/>
            <w:hideMark/>
          </w:tcPr>
          <w:p w14:paraId="05BACFA0" w14:textId="77777777" w:rsidR="00352A73" w:rsidRPr="00795F17" w:rsidRDefault="00352A73" w:rsidP="00352A73">
            <w:pPr>
              <w:pStyle w:val="Teksttabelisrodek"/>
              <w:rPr>
                <w:rFonts w:cs="Calibri"/>
                <w:szCs w:val="20"/>
                <w:lang w:eastAsia="zh-CN"/>
              </w:rPr>
            </w:pPr>
            <w:r w:rsidRPr="00795F17">
              <w:t>4</w:t>
            </w:r>
          </w:p>
        </w:tc>
        <w:tc>
          <w:tcPr>
            <w:tcW w:w="2386" w:type="dxa"/>
            <w:shd w:val="clear" w:color="auto" w:fill="auto"/>
            <w:vAlign w:val="center"/>
            <w:hideMark/>
          </w:tcPr>
          <w:p w14:paraId="6ABBCE04" w14:textId="77777777" w:rsidR="00352A73" w:rsidRPr="00795F17" w:rsidRDefault="00352A73" w:rsidP="00352A73">
            <w:pPr>
              <w:pStyle w:val="Teksttabelisrodek"/>
            </w:pPr>
            <w:r w:rsidRPr="00795F17">
              <w:t>Wysoka efektywność</w:t>
            </w:r>
          </w:p>
        </w:tc>
        <w:tc>
          <w:tcPr>
            <w:tcW w:w="2231" w:type="dxa"/>
            <w:shd w:val="clear" w:color="auto" w:fill="FFFFFF"/>
            <w:vAlign w:val="center"/>
          </w:tcPr>
          <w:p w14:paraId="41DB65B1" w14:textId="6E469769" w:rsidR="00352A73" w:rsidRPr="00795F17" w:rsidRDefault="00352A73" w:rsidP="00352A73">
            <w:pPr>
              <w:pStyle w:val="Teksttabelisrodek"/>
              <w:rPr>
                <w:rFonts w:cs="Calibri"/>
                <w:szCs w:val="20"/>
                <w:lang w:eastAsia="zh-CN"/>
              </w:rPr>
            </w:pPr>
            <w:r>
              <w:rPr>
                <w:rFonts w:cs="Calibri"/>
                <w:szCs w:val="20"/>
              </w:rPr>
              <w:t>19</w:t>
            </w:r>
          </w:p>
        </w:tc>
        <w:tc>
          <w:tcPr>
            <w:tcW w:w="2044" w:type="dxa"/>
            <w:shd w:val="clear" w:color="auto" w:fill="FFFFFF"/>
            <w:vAlign w:val="center"/>
          </w:tcPr>
          <w:p w14:paraId="18D902E8" w14:textId="4FD3F4B2" w:rsidR="00352A73" w:rsidRPr="00795F17" w:rsidRDefault="00352A73" w:rsidP="00352A73">
            <w:pPr>
              <w:pStyle w:val="Teksttabelisrodek"/>
              <w:rPr>
                <w:rFonts w:cs="Calibri"/>
                <w:szCs w:val="20"/>
                <w:lang w:eastAsia="zh-CN"/>
              </w:rPr>
            </w:pPr>
            <w:r>
              <w:rPr>
                <w:rFonts w:cs="Calibri"/>
                <w:color w:val="000000"/>
                <w:szCs w:val="20"/>
              </w:rPr>
              <w:t>7,01</w:t>
            </w:r>
          </w:p>
        </w:tc>
      </w:tr>
      <w:tr w:rsidR="00352A73" w:rsidRPr="00795F17" w14:paraId="3540576A" w14:textId="77777777" w:rsidTr="00AA2367">
        <w:trPr>
          <w:trHeight w:val="454"/>
        </w:trPr>
        <w:tc>
          <w:tcPr>
            <w:tcW w:w="2401" w:type="dxa"/>
            <w:shd w:val="clear" w:color="auto" w:fill="auto"/>
            <w:vAlign w:val="center"/>
            <w:hideMark/>
          </w:tcPr>
          <w:p w14:paraId="3F83FEEA" w14:textId="77777777" w:rsidR="00352A73" w:rsidRPr="00795F17" w:rsidRDefault="00352A73" w:rsidP="00352A73">
            <w:pPr>
              <w:pStyle w:val="Teksttabelisrodek"/>
              <w:rPr>
                <w:rFonts w:cs="Calibri"/>
                <w:szCs w:val="20"/>
                <w:lang w:eastAsia="zh-CN"/>
              </w:rPr>
            </w:pPr>
            <w:r w:rsidRPr="00795F17">
              <w:t>5</w:t>
            </w:r>
          </w:p>
        </w:tc>
        <w:tc>
          <w:tcPr>
            <w:tcW w:w="2386" w:type="dxa"/>
            <w:shd w:val="clear" w:color="auto" w:fill="auto"/>
            <w:vAlign w:val="center"/>
            <w:hideMark/>
          </w:tcPr>
          <w:p w14:paraId="45D72AC7" w14:textId="77777777" w:rsidR="00352A73" w:rsidRPr="00795F17" w:rsidRDefault="00352A73" w:rsidP="00352A73">
            <w:pPr>
              <w:pStyle w:val="Teksttabelisrodek"/>
              <w:rPr>
                <w:rFonts w:cs="Calibri"/>
                <w:szCs w:val="20"/>
                <w:lang w:eastAsia="zh-CN"/>
              </w:rPr>
            </w:pPr>
            <w:r w:rsidRPr="00795F17">
              <w:t>Bardzo wysoka efek</w:t>
            </w:r>
            <w:r w:rsidRPr="00795F17">
              <w:rPr>
                <w:rFonts w:cs="Calibri"/>
                <w:szCs w:val="20"/>
                <w:lang w:eastAsia="zh-CN"/>
              </w:rPr>
              <w:t>tywność</w:t>
            </w:r>
          </w:p>
        </w:tc>
        <w:tc>
          <w:tcPr>
            <w:tcW w:w="2231" w:type="dxa"/>
            <w:shd w:val="clear" w:color="auto" w:fill="FFFFFF"/>
            <w:vAlign w:val="center"/>
          </w:tcPr>
          <w:p w14:paraId="6A90F0FA" w14:textId="5092CF9C" w:rsidR="00352A73" w:rsidRPr="00795F17" w:rsidRDefault="00352A73" w:rsidP="00352A73">
            <w:pPr>
              <w:pStyle w:val="Teksttabelisrodek"/>
              <w:rPr>
                <w:rFonts w:cs="Calibri"/>
                <w:szCs w:val="20"/>
                <w:lang w:eastAsia="zh-CN"/>
              </w:rPr>
            </w:pPr>
            <w:r>
              <w:rPr>
                <w:rFonts w:cs="Calibri"/>
                <w:szCs w:val="20"/>
              </w:rPr>
              <w:t>0</w:t>
            </w:r>
          </w:p>
        </w:tc>
        <w:tc>
          <w:tcPr>
            <w:tcW w:w="2044" w:type="dxa"/>
            <w:shd w:val="clear" w:color="auto" w:fill="FFFFFF"/>
            <w:vAlign w:val="center"/>
          </w:tcPr>
          <w:p w14:paraId="55799B1C" w14:textId="435FDDFC" w:rsidR="00352A73" w:rsidRPr="00795F17" w:rsidRDefault="00352A73" w:rsidP="00352A73">
            <w:pPr>
              <w:pStyle w:val="Teksttabelisrodek"/>
              <w:rPr>
                <w:rFonts w:cs="Calibri"/>
                <w:szCs w:val="20"/>
                <w:lang w:eastAsia="zh-CN"/>
              </w:rPr>
            </w:pPr>
            <w:r>
              <w:rPr>
                <w:rFonts w:cs="Calibri"/>
                <w:color w:val="000000"/>
                <w:szCs w:val="20"/>
              </w:rPr>
              <w:t>0,00</w:t>
            </w:r>
          </w:p>
        </w:tc>
      </w:tr>
    </w:tbl>
    <w:p w14:paraId="7688BF21" w14:textId="0B5BEF6F" w:rsidR="005E5391" w:rsidRPr="00795F17" w:rsidRDefault="005E5391" w:rsidP="0044393D">
      <w:pPr>
        <w:pStyle w:val="rdo"/>
        <w:rPr>
          <w:lang w:eastAsia="zh-CN"/>
        </w:rPr>
      </w:pPr>
      <w:r w:rsidRPr="00795F17">
        <w:rPr>
          <w:lang w:eastAsia="zh-CN"/>
        </w:rPr>
        <w:t xml:space="preserve">Źródło: </w:t>
      </w:r>
      <w:r w:rsidR="00FD7248" w:rsidRPr="00795F17">
        <w:rPr>
          <w:lang w:eastAsia="zh-CN"/>
        </w:rPr>
        <w:t>opracowanie własne</w:t>
      </w:r>
    </w:p>
    <w:p w14:paraId="6F716DE8" w14:textId="0AF474EE" w:rsidR="0020184D" w:rsidRPr="00795F17" w:rsidRDefault="0020184D" w:rsidP="0020184D">
      <w:pPr>
        <w:rPr>
          <w:lang w:eastAsia="zh-CN"/>
        </w:rPr>
      </w:pPr>
      <w:r w:rsidRPr="00795F17">
        <w:rPr>
          <w:lang w:eastAsia="zh-CN"/>
        </w:rPr>
        <w:t>Podsumowanie analizy efektywności jakościowej wskazuje, że w przypadku wód powierzchniowych średnią i wysoką efektywnością jakościową wykazuje się odpowiednio ok</w:t>
      </w:r>
      <w:r w:rsidR="00FF3270">
        <w:rPr>
          <w:lang w:eastAsia="zh-CN"/>
        </w:rPr>
        <w:t>oło</w:t>
      </w:r>
      <w:r w:rsidRPr="00795F17">
        <w:rPr>
          <w:lang w:eastAsia="zh-CN"/>
        </w:rPr>
        <w:t xml:space="preserve"> </w:t>
      </w:r>
      <w:r w:rsidR="00C468A8">
        <w:rPr>
          <w:lang w:eastAsia="zh-CN"/>
        </w:rPr>
        <w:t>32</w:t>
      </w:r>
      <w:r w:rsidRPr="00795F17">
        <w:rPr>
          <w:lang w:eastAsia="zh-CN"/>
        </w:rPr>
        <w:t xml:space="preserve">% i </w:t>
      </w:r>
      <w:r w:rsidR="008F3BD3" w:rsidRPr="00795F17">
        <w:rPr>
          <w:lang w:eastAsia="zh-CN"/>
        </w:rPr>
        <w:t>3</w:t>
      </w:r>
      <w:r w:rsidR="00C468A8">
        <w:rPr>
          <w:lang w:eastAsia="zh-CN"/>
        </w:rPr>
        <w:t>3</w:t>
      </w:r>
      <w:r w:rsidRPr="00795F17">
        <w:rPr>
          <w:lang w:eastAsia="zh-CN"/>
        </w:rPr>
        <w:t>% działań, które obejmują następujące grupy działań:</w:t>
      </w:r>
    </w:p>
    <w:p w14:paraId="6D926280" w14:textId="554CD9F5" w:rsidR="0020184D" w:rsidRPr="00795F17" w:rsidRDefault="0020184D" w:rsidP="00117E86">
      <w:pPr>
        <w:pStyle w:val="Listapunktowana2"/>
        <w:rPr>
          <w:lang w:eastAsia="zh-CN"/>
        </w:rPr>
      </w:pPr>
      <w:r w:rsidRPr="00795F17">
        <w:rPr>
          <w:lang w:eastAsia="zh-CN"/>
        </w:rPr>
        <w:t>w zakresie zapewnienia drożności i ciągłości biologicznej,</w:t>
      </w:r>
    </w:p>
    <w:p w14:paraId="23D9C735" w14:textId="76A943A7" w:rsidR="0020184D" w:rsidRPr="00795F17" w:rsidRDefault="0020184D" w:rsidP="00117E86">
      <w:pPr>
        <w:pStyle w:val="Listapunktowana2"/>
        <w:rPr>
          <w:lang w:eastAsia="zh-CN"/>
        </w:rPr>
      </w:pPr>
      <w:r w:rsidRPr="00795F17">
        <w:rPr>
          <w:lang w:eastAsia="zh-CN"/>
        </w:rPr>
        <w:t>kontrolne i monitoringowe (w tym w zakresie kontroli pozwoleń wodno-prawnych),</w:t>
      </w:r>
    </w:p>
    <w:p w14:paraId="74BBF5B9" w14:textId="6785053D" w:rsidR="0020184D" w:rsidRPr="00795F17" w:rsidRDefault="0020184D" w:rsidP="00117E86">
      <w:pPr>
        <w:pStyle w:val="Listapunktowana2"/>
        <w:rPr>
          <w:lang w:eastAsia="zh-CN"/>
        </w:rPr>
      </w:pPr>
      <w:r w:rsidRPr="00795F17">
        <w:rPr>
          <w:lang w:eastAsia="zh-CN"/>
        </w:rPr>
        <w:t xml:space="preserve">naprawcze dla obszarów chronionych, w tym wynikające </w:t>
      </w:r>
      <w:r w:rsidR="00FF3270">
        <w:rPr>
          <w:lang w:eastAsia="zh-CN"/>
        </w:rPr>
        <w:t xml:space="preserve">z </w:t>
      </w:r>
      <w:r w:rsidRPr="00795F17">
        <w:rPr>
          <w:lang w:eastAsia="zh-CN"/>
        </w:rPr>
        <w:t xml:space="preserve">planów ochrony i planów zadań ochronnych dla obszarów chronionych, </w:t>
      </w:r>
    </w:p>
    <w:p w14:paraId="69CEA042" w14:textId="5B68498A" w:rsidR="0020184D" w:rsidRPr="00795F17" w:rsidRDefault="0020184D" w:rsidP="00117E86">
      <w:pPr>
        <w:pStyle w:val="Listapunktowana2"/>
        <w:rPr>
          <w:lang w:eastAsia="zh-CN"/>
        </w:rPr>
      </w:pPr>
      <w:r w:rsidRPr="00795F17">
        <w:rPr>
          <w:lang w:eastAsia="zh-CN"/>
        </w:rPr>
        <w:t>z zakresu retencji,</w:t>
      </w:r>
    </w:p>
    <w:p w14:paraId="36E6ED1A" w14:textId="2B5890CF" w:rsidR="0020184D" w:rsidRPr="00795F17" w:rsidRDefault="0020184D" w:rsidP="00117E86">
      <w:pPr>
        <w:pStyle w:val="Listapunktowana2"/>
        <w:rPr>
          <w:lang w:eastAsia="zh-CN"/>
        </w:rPr>
      </w:pPr>
      <w:r w:rsidRPr="00795F17">
        <w:rPr>
          <w:lang w:eastAsia="zh-CN"/>
        </w:rPr>
        <w:t>w zakresie gospodarki ściekowej,</w:t>
      </w:r>
    </w:p>
    <w:p w14:paraId="5422D237" w14:textId="57814959" w:rsidR="0020184D" w:rsidRPr="00795F17" w:rsidRDefault="0020184D" w:rsidP="00117E86">
      <w:pPr>
        <w:pStyle w:val="Listapunktowana2"/>
        <w:rPr>
          <w:lang w:eastAsia="zh-CN"/>
        </w:rPr>
      </w:pPr>
      <w:r w:rsidRPr="00795F17">
        <w:rPr>
          <w:lang w:eastAsia="zh-CN"/>
        </w:rPr>
        <w:t>obejmujące realizację programów renaturyzacji,</w:t>
      </w:r>
    </w:p>
    <w:p w14:paraId="56E764AA" w14:textId="76269EC1" w:rsidR="0020184D" w:rsidRPr="00795F17" w:rsidRDefault="0020184D" w:rsidP="00117E86">
      <w:pPr>
        <w:pStyle w:val="Listapunktowana2"/>
        <w:rPr>
          <w:lang w:eastAsia="zh-CN"/>
        </w:rPr>
      </w:pPr>
      <w:r w:rsidRPr="00795F17">
        <w:rPr>
          <w:lang w:eastAsia="zh-CN"/>
        </w:rPr>
        <w:t>w zakresie rekultywacji jezior,</w:t>
      </w:r>
    </w:p>
    <w:p w14:paraId="060DC20D" w14:textId="5BEEF830" w:rsidR="0020184D" w:rsidRPr="00795F17" w:rsidRDefault="0020184D" w:rsidP="00117E86">
      <w:pPr>
        <w:pStyle w:val="Listapunktowana2"/>
        <w:rPr>
          <w:lang w:eastAsia="zh-CN"/>
        </w:rPr>
      </w:pPr>
      <w:r w:rsidRPr="00795F17">
        <w:rPr>
          <w:lang w:eastAsia="zh-CN"/>
        </w:rPr>
        <w:t>obejmujące weryfikację programów ochrony środowiska,</w:t>
      </w:r>
    </w:p>
    <w:p w14:paraId="58DA1C9A" w14:textId="697DFC76" w:rsidR="0020184D" w:rsidRPr="00795F17" w:rsidRDefault="0020184D" w:rsidP="00117E86">
      <w:pPr>
        <w:pStyle w:val="Listapunktowana2"/>
        <w:rPr>
          <w:lang w:eastAsia="zh-CN"/>
        </w:rPr>
      </w:pPr>
      <w:r w:rsidRPr="00795F17">
        <w:rPr>
          <w:lang w:eastAsia="zh-CN"/>
        </w:rPr>
        <w:t>w zakresie monitoringu suszy</w:t>
      </w:r>
      <w:r w:rsidR="00843864">
        <w:rPr>
          <w:lang w:eastAsia="zh-CN"/>
        </w:rPr>
        <w:t>,</w:t>
      </w:r>
      <w:r w:rsidRPr="00795F17">
        <w:rPr>
          <w:lang w:eastAsia="zh-CN"/>
        </w:rPr>
        <w:t xml:space="preserve"> </w:t>
      </w:r>
    </w:p>
    <w:p w14:paraId="42881C68" w14:textId="49207A2E" w:rsidR="0020184D" w:rsidRPr="00795F17" w:rsidRDefault="0020184D" w:rsidP="00117E86">
      <w:pPr>
        <w:pStyle w:val="Listapunktowana2"/>
        <w:rPr>
          <w:lang w:eastAsia="zh-CN"/>
        </w:rPr>
      </w:pPr>
      <w:r w:rsidRPr="00795F17">
        <w:rPr>
          <w:lang w:eastAsia="zh-CN"/>
        </w:rPr>
        <w:t>edukacyjne i doradcze dla rolników,</w:t>
      </w:r>
    </w:p>
    <w:p w14:paraId="7AB6A129" w14:textId="39A1AB08" w:rsidR="0020184D" w:rsidRPr="00795F17" w:rsidRDefault="0020184D" w:rsidP="00117E86">
      <w:pPr>
        <w:pStyle w:val="Listapunktowana2"/>
        <w:rPr>
          <w:lang w:eastAsia="zh-CN"/>
        </w:rPr>
      </w:pPr>
      <w:r w:rsidRPr="00795F17">
        <w:rPr>
          <w:lang w:eastAsia="zh-CN"/>
        </w:rPr>
        <w:t>związane z zapobieganiem dalszym antropogenicznym zmianom strefy brzegowej,</w:t>
      </w:r>
    </w:p>
    <w:p w14:paraId="4B51AADD" w14:textId="31549CF0" w:rsidR="0020184D" w:rsidRPr="00795F17" w:rsidRDefault="0020184D" w:rsidP="00117E86">
      <w:pPr>
        <w:pStyle w:val="Listapunktowana2"/>
        <w:rPr>
          <w:lang w:eastAsia="zh-CN"/>
        </w:rPr>
      </w:pPr>
      <w:r w:rsidRPr="00795F17">
        <w:rPr>
          <w:lang w:eastAsia="zh-CN"/>
        </w:rPr>
        <w:t>usuwanie zanieczyszczeń i odpadów z wód.</w:t>
      </w:r>
    </w:p>
    <w:p w14:paraId="1714BBA0" w14:textId="32BD2715" w:rsidR="0020184D" w:rsidRPr="00795F17" w:rsidRDefault="0020184D" w:rsidP="0020184D">
      <w:pPr>
        <w:rPr>
          <w:lang w:eastAsia="zh-CN"/>
        </w:rPr>
      </w:pPr>
      <w:r w:rsidRPr="00795F17">
        <w:rPr>
          <w:lang w:eastAsia="zh-CN"/>
        </w:rPr>
        <w:t xml:space="preserve">W przypadku wód podziemnych </w:t>
      </w:r>
      <w:r w:rsidR="007E0250">
        <w:rPr>
          <w:lang w:eastAsia="zh-CN"/>
        </w:rPr>
        <w:t xml:space="preserve">blisko </w:t>
      </w:r>
      <w:r w:rsidR="00C468A8" w:rsidRPr="00795F17">
        <w:rPr>
          <w:lang w:eastAsia="zh-CN"/>
        </w:rPr>
        <w:t>6</w:t>
      </w:r>
      <w:r w:rsidR="00C468A8">
        <w:rPr>
          <w:lang w:eastAsia="zh-CN"/>
        </w:rPr>
        <w:t>7</w:t>
      </w:r>
      <w:r w:rsidRPr="00795F17">
        <w:rPr>
          <w:lang w:eastAsia="zh-CN"/>
        </w:rPr>
        <w:t>% działań charakteryzuje się niską efektywnością</w:t>
      </w:r>
      <w:r w:rsidR="00947E7B">
        <w:rPr>
          <w:lang w:eastAsia="zh-CN"/>
        </w:rPr>
        <w:t xml:space="preserve"> jakościową</w:t>
      </w:r>
      <w:r w:rsidRPr="00795F17">
        <w:rPr>
          <w:lang w:eastAsia="zh-CN"/>
        </w:rPr>
        <w:t xml:space="preserve">, a </w:t>
      </w:r>
      <w:r w:rsidR="00C468A8">
        <w:rPr>
          <w:lang w:eastAsia="zh-CN"/>
        </w:rPr>
        <w:t>26</w:t>
      </w:r>
      <w:r w:rsidRPr="00795F17">
        <w:rPr>
          <w:lang w:eastAsia="zh-CN"/>
        </w:rPr>
        <w:t>% wykazuje efektywność średnią. Są to działania administracyjne, edukacyjne, związane z monitoringiem środowiska oraz organizacyjno-prawne.</w:t>
      </w:r>
    </w:p>
    <w:p w14:paraId="116EACB7" w14:textId="77777777" w:rsidR="0020184D" w:rsidRPr="00795F17" w:rsidRDefault="0020184D" w:rsidP="0020184D">
      <w:pPr>
        <w:rPr>
          <w:lang w:eastAsia="zh-CN"/>
        </w:rPr>
      </w:pPr>
      <w:r w:rsidRPr="00795F17">
        <w:rPr>
          <w:lang w:eastAsia="zh-CN"/>
        </w:rPr>
        <w:t>W poniższych tabelach zaprezentowano wyniki analizy efektywności kosztowej:</w:t>
      </w:r>
    </w:p>
    <w:p w14:paraId="1A71D5DA" w14:textId="203A0AD0" w:rsidR="0020184D" w:rsidRPr="00795F17" w:rsidRDefault="0020184D" w:rsidP="004D7705">
      <w:pPr>
        <w:pStyle w:val="Tabela"/>
      </w:pPr>
      <w:bookmarkStart w:id="613" w:name="_Toc105512864"/>
      <w:r w:rsidRPr="00795F17">
        <w:t xml:space="preserve">Tabela </w:t>
      </w:r>
      <w:fldSimple w:instr=" STYLEREF 1 \s ">
        <w:r w:rsidR="001F774D">
          <w:rPr>
            <w:noProof/>
          </w:rPr>
          <w:t>11</w:t>
        </w:r>
      </w:fldSimple>
      <w:r w:rsidR="00BB3B21" w:rsidRPr="00795F17">
        <w:noBreakHyphen/>
      </w:r>
      <w:fldSimple w:instr=" SEQ Tabela \* ARABIC \s 1 ">
        <w:r w:rsidR="001F774D">
          <w:rPr>
            <w:noProof/>
          </w:rPr>
          <w:t>11</w:t>
        </w:r>
      </w:fldSimple>
      <w:r w:rsidR="00EB4B7B">
        <w:rPr>
          <w:noProof/>
        </w:rPr>
        <w:t>.</w:t>
      </w:r>
      <w:r w:rsidRPr="00795F17">
        <w:tab/>
      </w:r>
      <w:r w:rsidRPr="00795F17">
        <w:rPr>
          <w:lang w:eastAsia="zh-CN"/>
        </w:rPr>
        <w:t xml:space="preserve">Wyniki analizy efektywności kosztowej </w:t>
      </w:r>
      <w:r w:rsidR="00B857A9">
        <w:rPr>
          <w:lang w:eastAsia="zh-CN"/>
        </w:rPr>
        <w:t>–</w:t>
      </w:r>
      <w:r w:rsidRPr="00795F17">
        <w:rPr>
          <w:lang w:eastAsia="zh-CN"/>
        </w:rPr>
        <w:t xml:space="preserve"> wody powierzchniowe</w:t>
      </w:r>
      <w:bookmarkEnd w:id="6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0"/>
        <w:gridCol w:w="2385"/>
        <w:gridCol w:w="2230"/>
        <w:gridCol w:w="2047"/>
      </w:tblGrid>
      <w:tr w:rsidR="0020184D" w:rsidRPr="00795F17" w14:paraId="3BA640C0" w14:textId="77777777" w:rsidTr="0020184D">
        <w:trPr>
          <w:trHeight w:val="454"/>
          <w:tblHeader/>
        </w:trPr>
        <w:tc>
          <w:tcPr>
            <w:tcW w:w="2400" w:type="dxa"/>
            <w:shd w:val="clear" w:color="auto" w:fill="BFBFBF" w:themeFill="background1" w:themeFillShade="BF"/>
            <w:vAlign w:val="center"/>
          </w:tcPr>
          <w:p w14:paraId="2BC06131" w14:textId="77777777" w:rsidR="0020184D" w:rsidRPr="00795F17" w:rsidRDefault="0020184D" w:rsidP="0020184D">
            <w:pPr>
              <w:pStyle w:val="Teksttabelinaglowek"/>
            </w:pPr>
            <w:r w:rsidRPr="00795F17">
              <w:t>Stopień efektywności kosztowej</w:t>
            </w:r>
          </w:p>
        </w:tc>
        <w:tc>
          <w:tcPr>
            <w:tcW w:w="2385" w:type="dxa"/>
            <w:shd w:val="clear" w:color="auto" w:fill="BFBFBF" w:themeFill="background1" w:themeFillShade="BF"/>
            <w:vAlign w:val="center"/>
          </w:tcPr>
          <w:p w14:paraId="0E5D6D25" w14:textId="77777777" w:rsidR="0020184D" w:rsidRPr="00795F17" w:rsidRDefault="0020184D" w:rsidP="0020184D">
            <w:pPr>
              <w:pStyle w:val="Teksttabelinaglowek"/>
            </w:pPr>
            <w:r w:rsidRPr="00795F17">
              <w:t>Ocena jakościowa</w:t>
            </w:r>
          </w:p>
        </w:tc>
        <w:tc>
          <w:tcPr>
            <w:tcW w:w="2230" w:type="dxa"/>
            <w:shd w:val="clear" w:color="auto" w:fill="BFBFBF" w:themeFill="background1" w:themeFillShade="BF"/>
            <w:vAlign w:val="center"/>
          </w:tcPr>
          <w:p w14:paraId="3130DDD6" w14:textId="77777777" w:rsidR="0020184D" w:rsidRPr="00795F17" w:rsidRDefault="0020184D" w:rsidP="0020184D">
            <w:pPr>
              <w:pStyle w:val="Teksttabelinaglowek"/>
            </w:pPr>
            <w:r w:rsidRPr="00795F17">
              <w:t>Liczba działań</w:t>
            </w:r>
          </w:p>
        </w:tc>
        <w:tc>
          <w:tcPr>
            <w:tcW w:w="2047" w:type="dxa"/>
            <w:shd w:val="clear" w:color="auto" w:fill="BFBFBF" w:themeFill="background1" w:themeFillShade="BF"/>
            <w:vAlign w:val="center"/>
          </w:tcPr>
          <w:p w14:paraId="3ABB39D4" w14:textId="43484B29" w:rsidR="0020184D" w:rsidRPr="00795F17" w:rsidRDefault="0020184D" w:rsidP="0020184D">
            <w:pPr>
              <w:pStyle w:val="Teksttabelinaglowek"/>
            </w:pPr>
            <w:r w:rsidRPr="00795F17">
              <w:t>Udział (%)</w:t>
            </w:r>
          </w:p>
        </w:tc>
      </w:tr>
      <w:tr w:rsidR="00600986" w:rsidRPr="00795F17" w14:paraId="14797943" w14:textId="77777777" w:rsidTr="0020184D">
        <w:trPr>
          <w:trHeight w:val="454"/>
        </w:trPr>
        <w:tc>
          <w:tcPr>
            <w:tcW w:w="2400" w:type="dxa"/>
            <w:shd w:val="clear" w:color="auto" w:fill="auto"/>
            <w:vAlign w:val="center"/>
            <w:hideMark/>
          </w:tcPr>
          <w:p w14:paraId="740ECB35" w14:textId="77777777" w:rsidR="00600986" w:rsidRPr="00795F17" w:rsidRDefault="00600986" w:rsidP="00600986">
            <w:pPr>
              <w:pStyle w:val="Teksttabelisrodek"/>
            </w:pPr>
            <w:r w:rsidRPr="00795F17">
              <w:t>1</w:t>
            </w:r>
          </w:p>
        </w:tc>
        <w:tc>
          <w:tcPr>
            <w:tcW w:w="2385" w:type="dxa"/>
            <w:shd w:val="clear" w:color="auto" w:fill="auto"/>
            <w:vAlign w:val="center"/>
            <w:hideMark/>
          </w:tcPr>
          <w:p w14:paraId="769698B3" w14:textId="77777777" w:rsidR="00600986" w:rsidRPr="00795F17" w:rsidRDefault="00600986" w:rsidP="00600986">
            <w:pPr>
              <w:pStyle w:val="Teksttabelisrodek"/>
            </w:pPr>
            <w:r w:rsidRPr="00795F17">
              <w:t xml:space="preserve">Bardzo niska efektywność </w:t>
            </w:r>
          </w:p>
        </w:tc>
        <w:tc>
          <w:tcPr>
            <w:tcW w:w="2230" w:type="dxa"/>
            <w:shd w:val="clear" w:color="auto" w:fill="FFFFFF"/>
            <w:vAlign w:val="center"/>
          </w:tcPr>
          <w:p w14:paraId="0A6D1353" w14:textId="345CDC26" w:rsidR="00600986" w:rsidRPr="00795F17" w:rsidRDefault="00600986" w:rsidP="00600986">
            <w:pPr>
              <w:pStyle w:val="Teksttabelisrodek"/>
            </w:pPr>
            <w:r>
              <w:rPr>
                <w:rFonts w:cs="Calibri"/>
                <w:color w:val="000000"/>
                <w:szCs w:val="20"/>
              </w:rPr>
              <w:t>78</w:t>
            </w:r>
          </w:p>
        </w:tc>
        <w:tc>
          <w:tcPr>
            <w:tcW w:w="2047" w:type="dxa"/>
            <w:shd w:val="clear" w:color="auto" w:fill="FFFFFF"/>
            <w:vAlign w:val="center"/>
          </w:tcPr>
          <w:p w14:paraId="158B1A37" w14:textId="6A3A0148" w:rsidR="00600986" w:rsidRPr="00795F17" w:rsidRDefault="00600986" w:rsidP="00600986">
            <w:pPr>
              <w:pStyle w:val="Teksttabelisrodek"/>
            </w:pPr>
            <w:r>
              <w:rPr>
                <w:rFonts w:cs="Calibri"/>
                <w:color w:val="000000"/>
                <w:szCs w:val="20"/>
              </w:rPr>
              <w:t>0,76</w:t>
            </w:r>
          </w:p>
        </w:tc>
      </w:tr>
      <w:tr w:rsidR="00600986" w:rsidRPr="00795F17" w14:paraId="118B0219" w14:textId="77777777" w:rsidTr="0020184D">
        <w:trPr>
          <w:trHeight w:val="454"/>
        </w:trPr>
        <w:tc>
          <w:tcPr>
            <w:tcW w:w="2400" w:type="dxa"/>
            <w:shd w:val="clear" w:color="auto" w:fill="auto"/>
            <w:vAlign w:val="center"/>
            <w:hideMark/>
          </w:tcPr>
          <w:p w14:paraId="132DCB8C" w14:textId="77777777" w:rsidR="00600986" w:rsidRPr="00795F17" w:rsidRDefault="00600986" w:rsidP="00600986">
            <w:pPr>
              <w:pStyle w:val="Teksttabelisrodek"/>
            </w:pPr>
            <w:r w:rsidRPr="00795F17">
              <w:t>2</w:t>
            </w:r>
          </w:p>
        </w:tc>
        <w:tc>
          <w:tcPr>
            <w:tcW w:w="2385" w:type="dxa"/>
            <w:shd w:val="clear" w:color="auto" w:fill="auto"/>
            <w:vAlign w:val="center"/>
            <w:hideMark/>
          </w:tcPr>
          <w:p w14:paraId="5EE662EB" w14:textId="77777777" w:rsidR="00600986" w:rsidRPr="00795F17" w:rsidRDefault="00600986" w:rsidP="00600986">
            <w:pPr>
              <w:pStyle w:val="Teksttabelisrodek"/>
            </w:pPr>
            <w:r w:rsidRPr="00795F17">
              <w:t>Niska efektywność</w:t>
            </w:r>
          </w:p>
        </w:tc>
        <w:tc>
          <w:tcPr>
            <w:tcW w:w="2230" w:type="dxa"/>
            <w:shd w:val="clear" w:color="auto" w:fill="FFFFFF"/>
            <w:vAlign w:val="center"/>
          </w:tcPr>
          <w:p w14:paraId="476DBFE4" w14:textId="4E5005B7" w:rsidR="00600986" w:rsidRPr="00795F17" w:rsidRDefault="00600986" w:rsidP="00600986">
            <w:pPr>
              <w:pStyle w:val="Teksttabelisrodek"/>
            </w:pPr>
            <w:r>
              <w:rPr>
                <w:rFonts w:cs="Calibri"/>
                <w:color w:val="000000"/>
                <w:szCs w:val="20"/>
              </w:rPr>
              <w:t>1 100</w:t>
            </w:r>
          </w:p>
        </w:tc>
        <w:tc>
          <w:tcPr>
            <w:tcW w:w="2047" w:type="dxa"/>
            <w:shd w:val="clear" w:color="auto" w:fill="FFFFFF"/>
            <w:vAlign w:val="center"/>
          </w:tcPr>
          <w:p w14:paraId="58676498" w14:textId="2EC22CB6" w:rsidR="00600986" w:rsidRPr="00795F17" w:rsidRDefault="00600986" w:rsidP="00600986">
            <w:pPr>
              <w:pStyle w:val="Teksttabelisrodek"/>
            </w:pPr>
            <w:r>
              <w:rPr>
                <w:rFonts w:cs="Calibri"/>
                <w:color w:val="000000"/>
                <w:szCs w:val="20"/>
              </w:rPr>
              <w:t>10,70</w:t>
            </w:r>
          </w:p>
        </w:tc>
      </w:tr>
      <w:tr w:rsidR="00600986" w:rsidRPr="00795F17" w14:paraId="3BAB519D" w14:textId="77777777" w:rsidTr="0020184D">
        <w:trPr>
          <w:trHeight w:val="454"/>
        </w:trPr>
        <w:tc>
          <w:tcPr>
            <w:tcW w:w="2400" w:type="dxa"/>
            <w:shd w:val="clear" w:color="auto" w:fill="auto"/>
            <w:vAlign w:val="center"/>
            <w:hideMark/>
          </w:tcPr>
          <w:p w14:paraId="1CDC3B9F" w14:textId="77777777" w:rsidR="00600986" w:rsidRPr="00795F17" w:rsidRDefault="00600986" w:rsidP="00600986">
            <w:pPr>
              <w:pStyle w:val="Teksttabelisrodek"/>
            </w:pPr>
            <w:r w:rsidRPr="00795F17">
              <w:t>3</w:t>
            </w:r>
          </w:p>
        </w:tc>
        <w:tc>
          <w:tcPr>
            <w:tcW w:w="2385" w:type="dxa"/>
            <w:shd w:val="clear" w:color="auto" w:fill="auto"/>
            <w:vAlign w:val="center"/>
            <w:hideMark/>
          </w:tcPr>
          <w:p w14:paraId="47E801A0" w14:textId="77777777" w:rsidR="00600986" w:rsidRPr="00795F17" w:rsidRDefault="00600986" w:rsidP="00600986">
            <w:pPr>
              <w:pStyle w:val="Teksttabelisrodek"/>
            </w:pPr>
            <w:r w:rsidRPr="00795F17">
              <w:t>Średnia efektywność</w:t>
            </w:r>
          </w:p>
        </w:tc>
        <w:tc>
          <w:tcPr>
            <w:tcW w:w="2230" w:type="dxa"/>
            <w:shd w:val="clear" w:color="auto" w:fill="FFFFFF"/>
            <w:vAlign w:val="center"/>
          </w:tcPr>
          <w:p w14:paraId="2A93402D" w14:textId="6EF82029" w:rsidR="00600986" w:rsidRPr="00795F17" w:rsidRDefault="00600986" w:rsidP="00600986">
            <w:pPr>
              <w:pStyle w:val="Teksttabelisrodek"/>
            </w:pPr>
            <w:r>
              <w:rPr>
                <w:rFonts w:cs="Calibri"/>
                <w:color w:val="000000"/>
                <w:szCs w:val="20"/>
              </w:rPr>
              <w:t>1 740</w:t>
            </w:r>
          </w:p>
        </w:tc>
        <w:tc>
          <w:tcPr>
            <w:tcW w:w="2047" w:type="dxa"/>
            <w:shd w:val="clear" w:color="auto" w:fill="FFFFFF"/>
            <w:vAlign w:val="center"/>
          </w:tcPr>
          <w:p w14:paraId="6E11CB26" w14:textId="1A9A5BD8" w:rsidR="00600986" w:rsidRPr="00795F17" w:rsidRDefault="00600986" w:rsidP="00600986">
            <w:pPr>
              <w:pStyle w:val="Teksttabelisrodek"/>
            </w:pPr>
            <w:r>
              <w:rPr>
                <w:rFonts w:cs="Calibri"/>
                <w:color w:val="000000"/>
                <w:szCs w:val="20"/>
              </w:rPr>
              <w:t>16,92</w:t>
            </w:r>
          </w:p>
        </w:tc>
      </w:tr>
      <w:tr w:rsidR="00600986" w:rsidRPr="00795F17" w14:paraId="540D8A0E" w14:textId="77777777" w:rsidTr="0020184D">
        <w:trPr>
          <w:trHeight w:val="454"/>
        </w:trPr>
        <w:tc>
          <w:tcPr>
            <w:tcW w:w="2400" w:type="dxa"/>
            <w:shd w:val="clear" w:color="auto" w:fill="auto"/>
            <w:vAlign w:val="center"/>
            <w:hideMark/>
          </w:tcPr>
          <w:p w14:paraId="3666C196" w14:textId="77777777" w:rsidR="00600986" w:rsidRPr="00795F17" w:rsidRDefault="00600986" w:rsidP="00600986">
            <w:pPr>
              <w:pStyle w:val="Teksttabelisrodek"/>
            </w:pPr>
            <w:r w:rsidRPr="00795F17">
              <w:t>4</w:t>
            </w:r>
          </w:p>
        </w:tc>
        <w:tc>
          <w:tcPr>
            <w:tcW w:w="2385" w:type="dxa"/>
            <w:shd w:val="clear" w:color="auto" w:fill="auto"/>
            <w:vAlign w:val="center"/>
            <w:hideMark/>
          </w:tcPr>
          <w:p w14:paraId="1F1D7142" w14:textId="77777777" w:rsidR="00600986" w:rsidRPr="00795F17" w:rsidRDefault="00600986" w:rsidP="00600986">
            <w:pPr>
              <w:pStyle w:val="Teksttabelisrodek"/>
            </w:pPr>
            <w:r w:rsidRPr="00795F17">
              <w:t>Wysoka efektywność</w:t>
            </w:r>
          </w:p>
        </w:tc>
        <w:tc>
          <w:tcPr>
            <w:tcW w:w="2230" w:type="dxa"/>
            <w:shd w:val="clear" w:color="auto" w:fill="FFFFFF"/>
            <w:vAlign w:val="center"/>
          </w:tcPr>
          <w:p w14:paraId="478EBBAE" w14:textId="0ED24102" w:rsidR="00600986" w:rsidRPr="00795F17" w:rsidRDefault="00600986" w:rsidP="00600986">
            <w:pPr>
              <w:pStyle w:val="Teksttabelisrodek"/>
            </w:pPr>
            <w:r>
              <w:rPr>
                <w:rFonts w:cs="Calibri"/>
                <w:color w:val="000000"/>
                <w:szCs w:val="20"/>
              </w:rPr>
              <w:t>703</w:t>
            </w:r>
          </w:p>
        </w:tc>
        <w:tc>
          <w:tcPr>
            <w:tcW w:w="2047" w:type="dxa"/>
            <w:shd w:val="clear" w:color="auto" w:fill="FFFFFF"/>
            <w:vAlign w:val="center"/>
          </w:tcPr>
          <w:p w14:paraId="49C2DFB9" w14:textId="073BC251" w:rsidR="00600986" w:rsidRPr="00795F17" w:rsidRDefault="00600986" w:rsidP="00600986">
            <w:pPr>
              <w:pStyle w:val="Teksttabelisrodek"/>
            </w:pPr>
            <w:r>
              <w:rPr>
                <w:rFonts w:cs="Calibri"/>
                <w:color w:val="000000"/>
                <w:szCs w:val="20"/>
              </w:rPr>
              <w:t>6,84</w:t>
            </w:r>
          </w:p>
        </w:tc>
      </w:tr>
      <w:tr w:rsidR="00600986" w:rsidRPr="00795F17" w14:paraId="705EDD15" w14:textId="77777777" w:rsidTr="0020184D">
        <w:trPr>
          <w:trHeight w:val="454"/>
        </w:trPr>
        <w:tc>
          <w:tcPr>
            <w:tcW w:w="2400" w:type="dxa"/>
            <w:shd w:val="clear" w:color="auto" w:fill="auto"/>
            <w:vAlign w:val="center"/>
            <w:hideMark/>
          </w:tcPr>
          <w:p w14:paraId="267630BA" w14:textId="77777777" w:rsidR="00600986" w:rsidRPr="00795F17" w:rsidRDefault="00600986" w:rsidP="00600986">
            <w:pPr>
              <w:pStyle w:val="Teksttabelisrodek"/>
            </w:pPr>
            <w:r w:rsidRPr="00795F17">
              <w:t>5</w:t>
            </w:r>
          </w:p>
        </w:tc>
        <w:tc>
          <w:tcPr>
            <w:tcW w:w="2385" w:type="dxa"/>
            <w:shd w:val="clear" w:color="auto" w:fill="auto"/>
            <w:vAlign w:val="center"/>
            <w:hideMark/>
          </w:tcPr>
          <w:p w14:paraId="1F3809CB" w14:textId="77777777" w:rsidR="00600986" w:rsidRPr="00795F17" w:rsidRDefault="00600986" w:rsidP="00600986">
            <w:pPr>
              <w:pStyle w:val="Teksttabelisrodek"/>
            </w:pPr>
            <w:r w:rsidRPr="00795F17">
              <w:t>Bardzo wysoka efektywność</w:t>
            </w:r>
          </w:p>
        </w:tc>
        <w:tc>
          <w:tcPr>
            <w:tcW w:w="2230" w:type="dxa"/>
            <w:shd w:val="clear" w:color="auto" w:fill="FFFFFF"/>
            <w:vAlign w:val="center"/>
          </w:tcPr>
          <w:p w14:paraId="43DC6964" w14:textId="2B1DB1A3" w:rsidR="00600986" w:rsidRPr="00795F17" w:rsidRDefault="00600986" w:rsidP="00600986">
            <w:pPr>
              <w:pStyle w:val="Teksttabelisrodek"/>
            </w:pPr>
            <w:r>
              <w:rPr>
                <w:rFonts w:cs="Calibri"/>
                <w:color w:val="000000"/>
                <w:szCs w:val="20"/>
              </w:rPr>
              <w:t>154</w:t>
            </w:r>
          </w:p>
        </w:tc>
        <w:tc>
          <w:tcPr>
            <w:tcW w:w="2047" w:type="dxa"/>
            <w:shd w:val="clear" w:color="auto" w:fill="FFFFFF"/>
            <w:vAlign w:val="center"/>
          </w:tcPr>
          <w:p w14:paraId="79C40774" w14:textId="1BB4EED9" w:rsidR="00600986" w:rsidRPr="00795F17" w:rsidRDefault="00600986" w:rsidP="00600986">
            <w:pPr>
              <w:pStyle w:val="Teksttabelisrodek"/>
            </w:pPr>
            <w:r>
              <w:rPr>
                <w:rFonts w:cs="Calibri"/>
                <w:color w:val="000000"/>
                <w:szCs w:val="20"/>
              </w:rPr>
              <w:t>1,50</w:t>
            </w:r>
          </w:p>
        </w:tc>
      </w:tr>
      <w:tr w:rsidR="00600986" w:rsidRPr="00795F17" w14:paraId="7AAEEFE2" w14:textId="77777777" w:rsidTr="0020184D">
        <w:trPr>
          <w:trHeight w:val="454"/>
        </w:trPr>
        <w:tc>
          <w:tcPr>
            <w:tcW w:w="2400" w:type="dxa"/>
            <w:shd w:val="clear" w:color="auto" w:fill="auto"/>
            <w:vAlign w:val="center"/>
          </w:tcPr>
          <w:p w14:paraId="025456DC" w14:textId="77777777" w:rsidR="00600986" w:rsidRPr="00795F17" w:rsidRDefault="00600986" w:rsidP="00600986">
            <w:pPr>
              <w:pStyle w:val="Teksttabelisrodek"/>
            </w:pPr>
            <w:r w:rsidRPr="00795F17">
              <w:t>0</w:t>
            </w:r>
          </w:p>
        </w:tc>
        <w:tc>
          <w:tcPr>
            <w:tcW w:w="2385" w:type="dxa"/>
            <w:shd w:val="clear" w:color="auto" w:fill="auto"/>
            <w:vAlign w:val="center"/>
          </w:tcPr>
          <w:p w14:paraId="7894DC82" w14:textId="77777777" w:rsidR="00600986" w:rsidRPr="00795F17" w:rsidRDefault="00600986" w:rsidP="00600986">
            <w:pPr>
              <w:pStyle w:val="Teksttabelisrodek"/>
            </w:pPr>
            <w:r w:rsidRPr="00795F17">
              <w:t>Brak danych do analizy efektywności kosztowej</w:t>
            </w:r>
          </w:p>
        </w:tc>
        <w:tc>
          <w:tcPr>
            <w:tcW w:w="2230" w:type="dxa"/>
            <w:shd w:val="clear" w:color="auto" w:fill="FFFFFF"/>
            <w:vAlign w:val="center"/>
          </w:tcPr>
          <w:p w14:paraId="01DC55FA" w14:textId="50AA1F1F" w:rsidR="00600986" w:rsidRPr="00795F17" w:rsidRDefault="00600986" w:rsidP="00600986">
            <w:pPr>
              <w:pStyle w:val="Teksttabelisrodek"/>
            </w:pPr>
            <w:r>
              <w:rPr>
                <w:rFonts w:cs="Calibri"/>
                <w:color w:val="000000"/>
                <w:szCs w:val="20"/>
              </w:rPr>
              <w:t>6 509</w:t>
            </w:r>
          </w:p>
        </w:tc>
        <w:tc>
          <w:tcPr>
            <w:tcW w:w="2047" w:type="dxa"/>
            <w:shd w:val="clear" w:color="auto" w:fill="FFFFFF"/>
            <w:vAlign w:val="center"/>
          </w:tcPr>
          <w:p w14:paraId="7CDB0DD7" w14:textId="2978D5F5" w:rsidR="00600986" w:rsidRPr="00795F17" w:rsidRDefault="00600986" w:rsidP="00600986">
            <w:pPr>
              <w:pStyle w:val="Teksttabelisrodek"/>
            </w:pPr>
            <w:r>
              <w:rPr>
                <w:rFonts w:cs="Calibri"/>
                <w:color w:val="000000"/>
                <w:szCs w:val="20"/>
              </w:rPr>
              <w:t>63,29</w:t>
            </w:r>
          </w:p>
        </w:tc>
      </w:tr>
    </w:tbl>
    <w:p w14:paraId="23C14AAE" w14:textId="77777777" w:rsidR="0020184D" w:rsidRPr="00795F17" w:rsidRDefault="0020184D" w:rsidP="0020184D">
      <w:pPr>
        <w:pStyle w:val="rdo"/>
        <w:rPr>
          <w:lang w:eastAsia="zh-CN"/>
        </w:rPr>
      </w:pPr>
      <w:r w:rsidRPr="00795F17">
        <w:rPr>
          <w:lang w:eastAsia="zh-CN"/>
        </w:rPr>
        <w:t>Źródło: opracowanie własne</w:t>
      </w:r>
    </w:p>
    <w:p w14:paraId="7AD22535" w14:textId="6DBD8322" w:rsidR="0020184D" w:rsidRPr="00795F17" w:rsidRDefault="0020184D" w:rsidP="004D7705">
      <w:pPr>
        <w:pStyle w:val="Tabela"/>
      </w:pPr>
      <w:bookmarkStart w:id="614" w:name="_Toc105512865"/>
      <w:r w:rsidRPr="00795F17">
        <w:t xml:space="preserve">Tabela </w:t>
      </w:r>
      <w:fldSimple w:instr=" STYLEREF 1 \s ">
        <w:r w:rsidR="001F774D">
          <w:rPr>
            <w:noProof/>
          </w:rPr>
          <w:t>11</w:t>
        </w:r>
      </w:fldSimple>
      <w:r w:rsidR="00BB3B21" w:rsidRPr="00795F17">
        <w:noBreakHyphen/>
      </w:r>
      <w:fldSimple w:instr=" SEQ Tabela \* ARABIC \s 1 ">
        <w:r w:rsidR="001F774D">
          <w:rPr>
            <w:noProof/>
          </w:rPr>
          <w:t>12</w:t>
        </w:r>
      </w:fldSimple>
      <w:r w:rsidR="00EB4B7B">
        <w:rPr>
          <w:noProof/>
        </w:rPr>
        <w:t>.</w:t>
      </w:r>
      <w:r w:rsidRPr="00795F17">
        <w:tab/>
        <w:t xml:space="preserve">Wyniki analizy efektywności kosztowej </w:t>
      </w:r>
      <w:r w:rsidR="00B857A9">
        <w:t>–</w:t>
      </w:r>
      <w:r w:rsidRPr="00795F17">
        <w:t xml:space="preserve"> wody podziemne</w:t>
      </w:r>
      <w:bookmarkEnd w:id="6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2"/>
        <w:gridCol w:w="2385"/>
        <w:gridCol w:w="2229"/>
        <w:gridCol w:w="2046"/>
      </w:tblGrid>
      <w:tr w:rsidR="0020184D" w:rsidRPr="00795F17" w14:paraId="37672B6C" w14:textId="77777777" w:rsidTr="0020184D">
        <w:trPr>
          <w:trHeight w:val="454"/>
          <w:tblHeader/>
        </w:trPr>
        <w:tc>
          <w:tcPr>
            <w:tcW w:w="1325" w:type="pct"/>
            <w:shd w:val="clear" w:color="auto" w:fill="BFBFBF" w:themeFill="background1" w:themeFillShade="BF"/>
            <w:vAlign w:val="center"/>
          </w:tcPr>
          <w:p w14:paraId="6A4ADC05" w14:textId="77777777" w:rsidR="0020184D" w:rsidRPr="00795F17" w:rsidRDefault="0020184D" w:rsidP="0020184D">
            <w:pPr>
              <w:pStyle w:val="Teksttabelinaglowek"/>
            </w:pPr>
            <w:r w:rsidRPr="00795F17">
              <w:t>Stopień efektywności kosztowej</w:t>
            </w:r>
          </w:p>
        </w:tc>
        <w:tc>
          <w:tcPr>
            <w:tcW w:w="1316" w:type="pct"/>
            <w:shd w:val="clear" w:color="auto" w:fill="BFBFBF" w:themeFill="background1" w:themeFillShade="BF"/>
            <w:vAlign w:val="center"/>
          </w:tcPr>
          <w:p w14:paraId="54E7A486" w14:textId="77777777" w:rsidR="0020184D" w:rsidRPr="00795F17" w:rsidRDefault="0020184D" w:rsidP="0020184D">
            <w:pPr>
              <w:pStyle w:val="Teksttabelinaglowek"/>
            </w:pPr>
            <w:r w:rsidRPr="00795F17">
              <w:t>Ocena jakościowa</w:t>
            </w:r>
          </w:p>
        </w:tc>
        <w:tc>
          <w:tcPr>
            <w:tcW w:w="1230" w:type="pct"/>
            <w:shd w:val="clear" w:color="auto" w:fill="BFBFBF" w:themeFill="background1" w:themeFillShade="BF"/>
            <w:vAlign w:val="center"/>
          </w:tcPr>
          <w:p w14:paraId="559F9A6B" w14:textId="77777777" w:rsidR="0020184D" w:rsidRPr="00795F17" w:rsidRDefault="0020184D" w:rsidP="0020184D">
            <w:pPr>
              <w:pStyle w:val="Teksttabelinaglowek"/>
            </w:pPr>
            <w:r w:rsidRPr="00795F17">
              <w:t>Liczba działań</w:t>
            </w:r>
          </w:p>
        </w:tc>
        <w:tc>
          <w:tcPr>
            <w:tcW w:w="1129" w:type="pct"/>
            <w:shd w:val="clear" w:color="auto" w:fill="BFBFBF" w:themeFill="background1" w:themeFillShade="BF"/>
            <w:vAlign w:val="center"/>
          </w:tcPr>
          <w:p w14:paraId="66F3F0BB" w14:textId="65CF0A98" w:rsidR="0020184D" w:rsidRPr="00795F17" w:rsidRDefault="0020184D" w:rsidP="0020184D">
            <w:pPr>
              <w:pStyle w:val="Teksttabelinaglowek"/>
            </w:pPr>
            <w:r w:rsidRPr="00795F17">
              <w:t>Udział (%)</w:t>
            </w:r>
          </w:p>
        </w:tc>
      </w:tr>
      <w:tr w:rsidR="000B1038" w:rsidRPr="00795F17" w14:paraId="31557EDD" w14:textId="77777777" w:rsidTr="0020184D">
        <w:trPr>
          <w:trHeight w:val="454"/>
        </w:trPr>
        <w:tc>
          <w:tcPr>
            <w:tcW w:w="1325" w:type="pct"/>
            <w:shd w:val="clear" w:color="auto" w:fill="auto"/>
            <w:vAlign w:val="center"/>
            <w:hideMark/>
          </w:tcPr>
          <w:p w14:paraId="0BF9A0E2" w14:textId="77777777" w:rsidR="000B1038" w:rsidRPr="00795F17" w:rsidRDefault="000B1038" w:rsidP="000B1038">
            <w:pPr>
              <w:pStyle w:val="Teksttabelisrodek"/>
            </w:pPr>
            <w:r w:rsidRPr="00795F17">
              <w:t>1</w:t>
            </w:r>
          </w:p>
        </w:tc>
        <w:tc>
          <w:tcPr>
            <w:tcW w:w="1316" w:type="pct"/>
            <w:shd w:val="clear" w:color="auto" w:fill="auto"/>
            <w:vAlign w:val="center"/>
            <w:hideMark/>
          </w:tcPr>
          <w:p w14:paraId="029DBEFE" w14:textId="77777777" w:rsidR="000B1038" w:rsidRPr="00795F17" w:rsidRDefault="000B1038" w:rsidP="000B1038">
            <w:pPr>
              <w:pStyle w:val="Teksttabelisrodek"/>
            </w:pPr>
            <w:r w:rsidRPr="00795F17">
              <w:t xml:space="preserve">Bardzo niska efektywność </w:t>
            </w:r>
          </w:p>
        </w:tc>
        <w:tc>
          <w:tcPr>
            <w:tcW w:w="1230" w:type="pct"/>
            <w:shd w:val="clear" w:color="auto" w:fill="FFFFFF"/>
            <w:vAlign w:val="center"/>
          </w:tcPr>
          <w:p w14:paraId="78B4D549" w14:textId="09A5E9BA" w:rsidR="000B1038" w:rsidRPr="00795F17" w:rsidRDefault="000B1038" w:rsidP="000B1038">
            <w:pPr>
              <w:pStyle w:val="Teksttabelisrodek"/>
            </w:pPr>
            <w:r>
              <w:rPr>
                <w:rFonts w:cs="Calibri"/>
                <w:color w:val="000000"/>
                <w:szCs w:val="20"/>
              </w:rPr>
              <w:t>44</w:t>
            </w:r>
          </w:p>
        </w:tc>
        <w:tc>
          <w:tcPr>
            <w:tcW w:w="1129" w:type="pct"/>
            <w:shd w:val="clear" w:color="auto" w:fill="FFFFFF"/>
            <w:vAlign w:val="center"/>
          </w:tcPr>
          <w:p w14:paraId="4C674882" w14:textId="16950AC1" w:rsidR="000B1038" w:rsidRPr="00795F17" w:rsidRDefault="000B1038" w:rsidP="000B1038">
            <w:pPr>
              <w:pStyle w:val="Teksttabelisrodek"/>
            </w:pPr>
            <w:r>
              <w:rPr>
                <w:rFonts w:cs="Calibri"/>
                <w:color w:val="000000"/>
                <w:szCs w:val="20"/>
              </w:rPr>
              <w:t>16,24</w:t>
            </w:r>
          </w:p>
        </w:tc>
      </w:tr>
      <w:tr w:rsidR="000B1038" w:rsidRPr="00795F17" w14:paraId="6D7D7F7F" w14:textId="77777777" w:rsidTr="0020184D">
        <w:trPr>
          <w:trHeight w:val="454"/>
        </w:trPr>
        <w:tc>
          <w:tcPr>
            <w:tcW w:w="1325" w:type="pct"/>
            <w:shd w:val="clear" w:color="auto" w:fill="auto"/>
            <w:vAlign w:val="center"/>
            <w:hideMark/>
          </w:tcPr>
          <w:p w14:paraId="37F0C3BF" w14:textId="77777777" w:rsidR="000B1038" w:rsidRPr="00795F17" w:rsidRDefault="000B1038" w:rsidP="000B1038">
            <w:pPr>
              <w:pStyle w:val="Teksttabelisrodek"/>
            </w:pPr>
            <w:r w:rsidRPr="00795F17">
              <w:t>2</w:t>
            </w:r>
          </w:p>
        </w:tc>
        <w:tc>
          <w:tcPr>
            <w:tcW w:w="1316" w:type="pct"/>
            <w:shd w:val="clear" w:color="auto" w:fill="auto"/>
            <w:vAlign w:val="center"/>
            <w:hideMark/>
          </w:tcPr>
          <w:p w14:paraId="2A923999" w14:textId="77777777" w:rsidR="000B1038" w:rsidRPr="00795F17" w:rsidRDefault="000B1038" w:rsidP="000B1038">
            <w:pPr>
              <w:pStyle w:val="Teksttabelisrodek"/>
            </w:pPr>
            <w:r w:rsidRPr="00795F17">
              <w:t>Niska efektywność</w:t>
            </w:r>
          </w:p>
        </w:tc>
        <w:tc>
          <w:tcPr>
            <w:tcW w:w="1230" w:type="pct"/>
            <w:shd w:val="clear" w:color="auto" w:fill="FFFFFF"/>
            <w:vAlign w:val="center"/>
          </w:tcPr>
          <w:p w14:paraId="46B879CC" w14:textId="4D760687" w:rsidR="000B1038" w:rsidRPr="00795F17" w:rsidRDefault="000B1038" w:rsidP="000B1038">
            <w:pPr>
              <w:pStyle w:val="Teksttabelisrodek"/>
            </w:pPr>
            <w:r>
              <w:rPr>
                <w:rFonts w:cs="Calibri"/>
                <w:color w:val="000000"/>
                <w:szCs w:val="20"/>
              </w:rPr>
              <w:t>22</w:t>
            </w:r>
          </w:p>
        </w:tc>
        <w:tc>
          <w:tcPr>
            <w:tcW w:w="1129" w:type="pct"/>
            <w:shd w:val="clear" w:color="auto" w:fill="FFFFFF"/>
            <w:vAlign w:val="center"/>
          </w:tcPr>
          <w:p w14:paraId="2E25716F" w14:textId="6ECA4003" w:rsidR="000B1038" w:rsidRPr="00795F17" w:rsidRDefault="000B1038" w:rsidP="000B1038">
            <w:pPr>
              <w:pStyle w:val="Teksttabelisrodek"/>
            </w:pPr>
            <w:r>
              <w:rPr>
                <w:rFonts w:cs="Calibri"/>
                <w:color w:val="000000"/>
                <w:szCs w:val="20"/>
              </w:rPr>
              <w:t>8,12</w:t>
            </w:r>
          </w:p>
        </w:tc>
      </w:tr>
      <w:tr w:rsidR="000B1038" w:rsidRPr="00795F17" w14:paraId="5B11DA74" w14:textId="77777777" w:rsidTr="0020184D">
        <w:trPr>
          <w:trHeight w:val="454"/>
        </w:trPr>
        <w:tc>
          <w:tcPr>
            <w:tcW w:w="1325" w:type="pct"/>
            <w:shd w:val="clear" w:color="auto" w:fill="auto"/>
            <w:vAlign w:val="center"/>
            <w:hideMark/>
          </w:tcPr>
          <w:p w14:paraId="0291129E" w14:textId="77777777" w:rsidR="000B1038" w:rsidRPr="00795F17" w:rsidRDefault="000B1038" w:rsidP="000B1038">
            <w:pPr>
              <w:pStyle w:val="Teksttabelisrodek"/>
            </w:pPr>
            <w:r w:rsidRPr="00795F17">
              <w:t>3</w:t>
            </w:r>
          </w:p>
        </w:tc>
        <w:tc>
          <w:tcPr>
            <w:tcW w:w="1316" w:type="pct"/>
            <w:shd w:val="clear" w:color="auto" w:fill="auto"/>
            <w:vAlign w:val="center"/>
            <w:hideMark/>
          </w:tcPr>
          <w:p w14:paraId="1283E508" w14:textId="77777777" w:rsidR="000B1038" w:rsidRPr="00795F17" w:rsidRDefault="000B1038" w:rsidP="000B1038">
            <w:pPr>
              <w:pStyle w:val="Teksttabelisrodek"/>
            </w:pPr>
            <w:r w:rsidRPr="00795F17">
              <w:t>Średnia efektywność</w:t>
            </w:r>
          </w:p>
        </w:tc>
        <w:tc>
          <w:tcPr>
            <w:tcW w:w="1230" w:type="pct"/>
            <w:shd w:val="clear" w:color="auto" w:fill="FFFFFF"/>
            <w:vAlign w:val="center"/>
          </w:tcPr>
          <w:p w14:paraId="68F62F22" w14:textId="67E3592A" w:rsidR="000B1038" w:rsidRPr="00795F17" w:rsidRDefault="000B1038" w:rsidP="000B1038">
            <w:pPr>
              <w:pStyle w:val="Teksttabelisrodek"/>
            </w:pPr>
            <w:r>
              <w:rPr>
                <w:rFonts w:cs="Calibri"/>
                <w:color w:val="000000"/>
                <w:szCs w:val="20"/>
              </w:rPr>
              <w:t>127</w:t>
            </w:r>
          </w:p>
        </w:tc>
        <w:tc>
          <w:tcPr>
            <w:tcW w:w="1129" w:type="pct"/>
            <w:shd w:val="clear" w:color="auto" w:fill="FFFFFF"/>
            <w:vAlign w:val="center"/>
          </w:tcPr>
          <w:p w14:paraId="477B2A48" w14:textId="6006B23E" w:rsidR="000B1038" w:rsidRPr="00795F17" w:rsidRDefault="000B1038" w:rsidP="000B1038">
            <w:pPr>
              <w:pStyle w:val="Teksttabelisrodek"/>
            </w:pPr>
            <w:r>
              <w:rPr>
                <w:rFonts w:cs="Calibri"/>
                <w:color w:val="000000"/>
                <w:szCs w:val="20"/>
              </w:rPr>
              <w:t>46,86</w:t>
            </w:r>
          </w:p>
        </w:tc>
      </w:tr>
      <w:tr w:rsidR="000B1038" w:rsidRPr="00795F17" w14:paraId="56A2E67C" w14:textId="77777777" w:rsidTr="0020184D">
        <w:trPr>
          <w:trHeight w:val="454"/>
        </w:trPr>
        <w:tc>
          <w:tcPr>
            <w:tcW w:w="1325" w:type="pct"/>
            <w:shd w:val="clear" w:color="auto" w:fill="auto"/>
            <w:vAlign w:val="center"/>
            <w:hideMark/>
          </w:tcPr>
          <w:p w14:paraId="56F68D39" w14:textId="77777777" w:rsidR="000B1038" w:rsidRPr="00795F17" w:rsidRDefault="000B1038" w:rsidP="000B1038">
            <w:pPr>
              <w:pStyle w:val="Teksttabelisrodek"/>
            </w:pPr>
            <w:r w:rsidRPr="00795F17">
              <w:t>4</w:t>
            </w:r>
          </w:p>
        </w:tc>
        <w:tc>
          <w:tcPr>
            <w:tcW w:w="1316" w:type="pct"/>
            <w:shd w:val="clear" w:color="auto" w:fill="auto"/>
            <w:vAlign w:val="center"/>
            <w:hideMark/>
          </w:tcPr>
          <w:p w14:paraId="4B94B1ED" w14:textId="77777777" w:rsidR="000B1038" w:rsidRPr="00795F17" w:rsidRDefault="000B1038" w:rsidP="000B1038">
            <w:pPr>
              <w:pStyle w:val="Teksttabelisrodek"/>
            </w:pPr>
            <w:r w:rsidRPr="00795F17">
              <w:t>Wysoka efektywność</w:t>
            </w:r>
          </w:p>
        </w:tc>
        <w:tc>
          <w:tcPr>
            <w:tcW w:w="1230" w:type="pct"/>
            <w:shd w:val="clear" w:color="auto" w:fill="FFFFFF"/>
            <w:vAlign w:val="center"/>
          </w:tcPr>
          <w:p w14:paraId="227AB25B" w14:textId="550F9ACF" w:rsidR="000B1038" w:rsidRPr="00795F17" w:rsidRDefault="000B1038" w:rsidP="000B1038">
            <w:pPr>
              <w:pStyle w:val="Teksttabelisrodek"/>
            </w:pPr>
            <w:r>
              <w:rPr>
                <w:rFonts w:cs="Calibri"/>
                <w:color w:val="000000"/>
                <w:szCs w:val="20"/>
              </w:rPr>
              <w:t>40</w:t>
            </w:r>
          </w:p>
        </w:tc>
        <w:tc>
          <w:tcPr>
            <w:tcW w:w="1129" w:type="pct"/>
            <w:shd w:val="clear" w:color="auto" w:fill="FFFFFF"/>
            <w:vAlign w:val="center"/>
          </w:tcPr>
          <w:p w14:paraId="58191E0E" w14:textId="7BF0D7CD" w:rsidR="000B1038" w:rsidRPr="00795F17" w:rsidRDefault="000B1038" w:rsidP="000B1038">
            <w:pPr>
              <w:pStyle w:val="Teksttabelisrodek"/>
            </w:pPr>
            <w:r>
              <w:rPr>
                <w:rFonts w:cs="Calibri"/>
                <w:color w:val="000000"/>
                <w:szCs w:val="20"/>
              </w:rPr>
              <w:t>14,76</w:t>
            </w:r>
          </w:p>
        </w:tc>
      </w:tr>
      <w:tr w:rsidR="000B1038" w:rsidRPr="00795F17" w14:paraId="77D0227A" w14:textId="77777777" w:rsidTr="0020184D">
        <w:trPr>
          <w:trHeight w:val="454"/>
        </w:trPr>
        <w:tc>
          <w:tcPr>
            <w:tcW w:w="1325" w:type="pct"/>
            <w:shd w:val="clear" w:color="auto" w:fill="auto"/>
            <w:vAlign w:val="center"/>
            <w:hideMark/>
          </w:tcPr>
          <w:p w14:paraId="4271165D" w14:textId="77777777" w:rsidR="000B1038" w:rsidRPr="00795F17" w:rsidRDefault="000B1038" w:rsidP="000B1038">
            <w:pPr>
              <w:pStyle w:val="Teksttabelisrodek"/>
            </w:pPr>
            <w:r w:rsidRPr="00795F17">
              <w:t>5</w:t>
            </w:r>
          </w:p>
        </w:tc>
        <w:tc>
          <w:tcPr>
            <w:tcW w:w="1316" w:type="pct"/>
            <w:shd w:val="clear" w:color="auto" w:fill="auto"/>
            <w:vAlign w:val="center"/>
            <w:hideMark/>
          </w:tcPr>
          <w:p w14:paraId="0773B62B" w14:textId="77777777" w:rsidR="000B1038" w:rsidRPr="00795F17" w:rsidRDefault="000B1038" w:rsidP="000B1038">
            <w:pPr>
              <w:pStyle w:val="Teksttabelisrodek"/>
            </w:pPr>
            <w:r w:rsidRPr="00795F17">
              <w:t>Bardzo wysoka efektywność</w:t>
            </w:r>
          </w:p>
        </w:tc>
        <w:tc>
          <w:tcPr>
            <w:tcW w:w="1230" w:type="pct"/>
            <w:shd w:val="clear" w:color="auto" w:fill="FFFFFF"/>
            <w:vAlign w:val="center"/>
          </w:tcPr>
          <w:p w14:paraId="7D2054ED" w14:textId="5E738876" w:rsidR="000B1038" w:rsidRPr="00795F17" w:rsidRDefault="000B1038" w:rsidP="000B1038">
            <w:pPr>
              <w:pStyle w:val="Teksttabelisrodek"/>
            </w:pPr>
            <w:r>
              <w:rPr>
                <w:rFonts w:cs="Calibri"/>
                <w:color w:val="000000"/>
                <w:szCs w:val="20"/>
              </w:rPr>
              <w:t>0</w:t>
            </w:r>
          </w:p>
        </w:tc>
        <w:tc>
          <w:tcPr>
            <w:tcW w:w="1129" w:type="pct"/>
            <w:shd w:val="clear" w:color="auto" w:fill="FFFFFF"/>
            <w:vAlign w:val="center"/>
          </w:tcPr>
          <w:p w14:paraId="5C6708F9" w14:textId="6193C729" w:rsidR="000B1038" w:rsidRPr="00795F17" w:rsidRDefault="000B1038" w:rsidP="000B1038">
            <w:pPr>
              <w:pStyle w:val="Teksttabelisrodek"/>
            </w:pPr>
            <w:r>
              <w:rPr>
                <w:rFonts w:cs="Calibri"/>
                <w:color w:val="000000"/>
                <w:szCs w:val="20"/>
              </w:rPr>
              <w:t>0,00</w:t>
            </w:r>
          </w:p>
        </w:tc>
      </w:tr>
      <w:tr w:rsidR="000B1038" w:rsidRPr="00795F17" w14:paraId="6EF5C98F" w14:textId="77777777" w:rsidTr="0020184D">
        <w:trPr>
          <w:trHeight w:val="454"/>
        </w:trPr>
        <w:tc>
          <w:tcPr>
            <w:tcW w:w="1325" w:type="pct"/>
            <w:shd w:val="clear" w:color="auto" w:fill="auto"/>
            <w:vAlign w:val="center"/>
          </w:tcPr>
          <w:p w14:paraId="06C7A35A" w14:textId="77777777" w:rsidR="000B1038" w:rsidRPr="00795F17" w:rsidRDefault="000B1038" w:rsidP="000B1038">
            <w:pPr>
              <w:pStyle w:val="Teksttabelisrodek"/>
            </w:pPr>
            <w:r w:rsidRPr="00795F17">
              <w:t>0</w:t>
            </w:r>
          </w:p>
        </w:tc>
        <w:tc>
          <w:tcPr>
            <w:tcW w:w="1316" w:type="pct"/>
            <w:shd w:val="clear" w:color="auto" w:fill="auto"/>
            <w:vAlign w:val="center"/>
          </w:tcPr>
          <w:p w14:paraId="33D25F14" w14:textId="77777777" w:rsidR="000B1038" w:rsidRPr="00795F17" w:rsidRDefault="000B1038" w:rsidP="000B1038">
            <w:pPr>
              <w:pStyle w:val="Teksttabelisrodek"/>
            </w:pPr>
            <w:r w:rsidRPr="00795F17">
              <w:t>Brak danych do analizy efektywności kosztowej</w:t>
            </w:r>
          </w:p>
        </w:tc>
        <w:tc>
          <w:tcPr>
            <w:tcW w:w="1230" w:type="pct"/>
            <w:shd w:val="clear" w:color="auto" w:fill="FFFFFF"/>
            <w:vAlign w:val="center"/>
          </w:tcPr>
          <w:p w14:paraId="289662A0" w14:textId="40C45A87" w:rsidR="000B1038" w:rsidRPr="00795F17" w:rsidRDefault="000B1038" w:rsidP="000B1038">
            <w:pPr>
              <w:pStyle w:val="Teksttabelisrodek"/>
            </w:pPr>
            <w:r>
              <w:rPr>
                <w:rFonts w:cs="Calibri"/>
                <w:color w:val="000000"/>
                <w:szCs w:val="20"/>
              </w:rPr>
              <w:t>38</w:t>
            </w:r>
          </w:p>
        </w:tc>
        <w:tc>
          <w:tcPr>
            <w:tcW w:w="1129" w:type="pct"/>
            <w:shd w:val="clear" w:color="auto" w:fill="FFFFFF"/>
            <w:vAlign w:val="center"/>
          </w:tcPr>
          <w:p w14:paraId="2C525E3B" w14:textId="7D4C5B1D" w:rsidR="000B1038" w:rsidRPr="00795F17" w:rsidRDefault="000B1038" w:rsidP="000B1038">
            <w:pPr>
              <w:pStyle w:val="Teksttabelisrodek"/>
            </w:pPr>
            <w:r>
              <w:rPr>
                <w:rFonts w:cs="Calibri"/>
                <w:color w:val="000000"/>
                <w:szCs w:val="20"/>
              </w:rPr>
              <w:t>14,02</w:t>
            </w:r>
          </w:p>
        </w:tc>
      </w:tr>
    </w:tbl>
    <w:p w14:paraId="4C2B9C57" w14:textId="0106DC5C" w:rsidR="0020184D" w:rsidRPr="00795F17" w:rsidRDefault="0020184D" w:rsidP="0020184D">
      <w:pPr>
        <w:pStyle w:val="rdo"/>
        <w:rPr>
          <w:lang w:eastAsia="zh-CN"/>
        </w:rPr>
      </w:pPr>
      <w:r w:rsidRPr="00795F17">
        <w:rPr>
          <w:lang w:eastAsia="zh-CN"/>
        </w:rPr>
        <w:t>Źródło: opracowanie własne</w:t>
      </w:r>
    </w:p>
    <w:p w14:paraId="7F4073C2" w14:textId="722EFB94" w:rsidR="0020184D" w:rsidRPr="00795F17" w:rsidRDefault="0020184D" w:rsidP="0020184D">
      <w:pPr>
        <w:rPr>
          <w:lang w:eastAsia="zh-CN"/>
        </w:rPr>
      </w:pPr>
      <w:r w:rsidRPr="00795F17">
        <w:rPr>
          <w:rFonts w:cs="Lucida Grande"/>
        </w:rPr>
        <w:t xml:space="preserve">Analiza efektywności kosztowej w przypadku </w:t>
      </w:r>
      <w:r w:rsidR="001763B6" w:rsidRPr="00795F17">
        <w:rPr>
          <w:rFonts w:cs="Lucida Grande"/>
        </w:rPr>
        <w:t>6</w:t>
      </w:r>
      <w:r w:rsidR="001763B6">
        <w:rPr>
          <w:rFonts w:cs="Lucida Grande"/>
        </w:rPr>
        <w:t>3</w:t>
      </w:r>
      <w:r w:rsidRPr="00795F17">
        <w:rPr>
          <w:rFonts w:cs="Lucida Grande"/>
        </w:rPr>
        <w:t xml:space="preserve">% działań dla wód powierzchniowych wykazała brak danych kosztowych do przeprowadzenia analizy efektywności kosztowej. W pozostałym zakresie </w:t>
      </w:r>
      <w:r w:rsidR="001763B6">
        <w:rPr>
          <w:rFonts w:cs="Lucida Grande"/>
        </w:rPr>
        <w:t>17</w:t>
      </w:r>
      <w:r w:rsidRPr="00795F17">
        <w:rPr>
          <w:rFonts w:cs="Lucida Grande"/>
        </w:rPr>
        <w:t xml:space="preserve">% działań wykazuje się średnią efektywnością kosztową, a </w:t>
      </w:r>
      <w:r w:rsidR="001763B6">
        <w:rPr>
          <w:rFonts w:cs="Lucida Grande"/>
        </w:rPr>
        <w:t>11</w:t>
      </w:r>
      <w:r w:rsidRPr="00795F17">
        <w:rPr>
          <w:rFonts w:cs="Lucida Grande"/>
        </w:rPr>
        <w:t xml:space="preserve">% wskazuje na niską efektywność. W przypadku wód podziemnych </w:t>
      </w:r>
      <w:r w:rsidR="001763B6">
        <w:rPr>
          <w:rFonts w:cs="Lucida Grande"/>
        </w:rPr>
        <w:t>47</w:t>
      </w:r>
      <w:r w:rsidRPr="00795F17">
        <w:rPr>
          <w:rFonts w:cs="Lucida Grande"/>
        </w:rPr>
        <w:t>% działań wykazuje się przeciętną efektywnością kosztową.</w:t>
      </w:r>
    </w:p>
    <w:p w14:paraId="77194C59" w14:textId="77777777" w:rsidR="005E5391" w:rsidRPr="00795F17" w:rsidRDefault="005E5391" w:rsidP="00C53C86">
      <w:pPr>
        <w:pStyle w:val="Nagwek2"/>
      </w:pPr>
      <w:bookmarkStart w:id="615" w:name="_Toc63632755"/>
      <w:bookmarkStart w:id="616" w:name="_Toc66347819"/>
      <w:bookmarkStart w:id="617" w:name="_Toc105512690"/>
      <w:r w:rsidRPr="00795F17">
        <w:t>Analiza ekonomiczna</w:t>
      </w:r>
      <w:bookmarkEnd w:id="615"/>
      <w:r w:rsidRPr="00795F17">
        <w:t xml:space="preserve"> zestawu działań</w:t>
      </w:r>
      <w:bookmarkEnd w:id="616"/>
      <w:bookmarkEnd w:id="617"/>
    </w:p>
    <w:p w14:paraId="2092D9CF" w14:textId="77777777" w:rsidR="005E5391" w:rsidRPr="00795F17" w:rsidRDefault="005E5391" w:rsidP="00C53C86">
      <w:pPr>
        <w:pStyle w:val="Nagwek3"/>
      </w:pPr>
      <w:bookmarkStart w:id="618" w:name="_Toc63632756"/>
      <w:bookmarkStart w:id="619" w:name="_Toc105512691"/>
      <w:r w:rsidRPr="00795F17">
        <w:t>Ogólne podejście do analiz</w:t>
      </w:r>
      <w:bookmarkEnd w:id="618"/>
      <w:bookmarkEnd w:id="619"/>
    </w:p>
    <w:p w14:paraId="3CBAAE32" w14:textId="1E7F8DDB" w:rsidR="005E5391" w:rsidRPr="00795F17" w:rsidRDefault="005E5391" w:rsidP="0044393D">
      <w:r w:rsidRPr="00795F17">
        <w:t>Analiza ekonomiczna pokazuje i ocenia wpływ zestawu działań na wzrost ekonomicznego dobrobytu środowiska. Wpływ ten określany jest poprzez wycenę efektów społecznych i ekonomicznych. W</w:t>
      </w:r>
      <w:r w:rsidR="00E457FB" w:rsidRPr="00795F17">
        <w:t> </w:t>
      </w:r>
      <w:r w:rsidRPr="00795F17">
        <w:t>odróżnieniu od analizy finansowej, rozpatrującej projekt z punktu widzenia właściciela, analiza ekonomiczna jest rozpatrywana z punktu widzenia interesów społeczności lokalnej i wpływu na</w:t>
      </w:r>
      <w:r w:rsidR="00E457FB" w:rsidRPr="00795F17">
        <w:t> </w:t>
      </w:r>
      <w:r w:rsidRPr="00795F17">
        <w:t>otoczenie społeczno-gospodarcze. Ocena ekonomiczna może zostać przeprowadzona w oparciu o</w:t>
      </w:r>
      <w:r w:rsidR="00E457FB" w:rsidRPr="00795F17">
        <w:t> </w:t>
      </w:r>
      <w:r w:rsidRPr="00795F17">
        <w:t>analizę kosztów i korzyści związanych z realizacją projektu. Nie mniej ważnym od wymiaru ekonomicznego jest wymiar społeczny, w tym przewidywane korzyści społeczne, jakie zostaną uzyskane w wyniku realizacji przyjętego zestawu działań. Analiza ekonomiczna powstała na podstawie przyjętych założeń szacunkowych dotyczących kosztów realizacji i utrzymania poszczególnych działań. W analizie ekonomicznej należy rozpatrywać wszystkie działania w dwojaki sposób:</w:t>
      </w:r>
    </w:p>
    <w:p w14:paraId="60B97F64" w14:textId="466FBABE" w:rsidR="005E5391" w:rsidRPr="00795F17" w:rsidRDefault="005E5391" w:rsidP="00117E86">
      <w:pPr>
        <w:pStyle w:val="Listapunktowana2"/>
      </w:pPr>
      <w:r w:rsidRPr="00795F17">
        <w:t xml:space="preserve">po pierwsze </w:t>
      </w:r>
      <w:r w:rsidR="00B857A9">
        <w:t>–</w:t>
      </w:r>
      <w:r w:rsidRPr="00795F17">
        <w:t xml:space="preserve"> w ujęciu nieco szerszym niż w analizie finansowej, uwzględniając korzyści oraz</w:t>
      </w:r>
      <w:r w:rsidR="006F7894">
        <w:t> </w:t>
      </w:r>
      <w:r w:rsidRPr="00795F17">
        <w:t>koszty związane z wdrożeniem zestawu działań, które pojawią się zarówno dla podmiotu odpowiedzialnego za wdrożenie danego działania, jak i u innych podmiotów, które nie są</w:t>
      </w:r>
      <w:r w:rsidR="00D11892" w:rsidRPr="00795F17">
        <w:t> </w:t>
      </w:r>
      <w:r w:rsidRPr="00795F17">
        <w:t>bezpośrednio zaangażowane w jego realizację (tzw. zewnętrzne otoczenie projektu);</w:t>
      </w:r>
    </w:p>
    <w:p w14:paraId="47590741" w14:textId="475BD44E" w:rsidR="005E5391" w:rsidRPr="00795F17" w:rsidRDefault="005E5391" w:rsidP="00117E86">
      <w:pPr>
        <w:pStyle w:val="Listapunktowana2"/>
      </w:pPr>
      <w:r w:rsidRPr="00795F17">
        <w:t xml:space="preserve">po drugie </w:t>
      </w:r>
      <w:r w:rsidR="00B857A9">
        <w:t>–</w:t>
      </w:r>
      <w:r w:rsidRPr="00795F17">
        <w:t xml:space="preserve"> można także rozważać efektywność wykorzystania posiadanych środków finansowych, m.in. rozpatrując aspekty związane z określeniem maksymalnych korzyści uzyskiwanych dzięki zaangażowaniu konkretnej wielkości środków pieniężnych bądź też z</w:t>
      </w:r>
      <w:r w:rsidR="00D11892" w:rsidRPr="00795F17">
        <w:t> </w:t>
      </w:r>
      <w:r w:rsidRPr="00795F17">
        <w:t>określaniem ich minimalnego zaangażowania celem uzyskania oczekiwanych korzyści.</w:t>
      </w:r>
    </w:p>
    <w:p w14:paraId="3D781FFB" w14:textId="797F9C24" w:rsidR="005E5391" w:rsidRPr="00795F17" w:rsidRDefault="005E5391" w:rsidP="0044393D">
      <w:r w:rsidRPr="00795F17">
        <w:t>Jak wskazują dotychczasowe analizy, wdrożenie zestawu działań nie może być rozpatrywane jako przedsięwzięcie o charakterze komercyjnym, nastawione na korzyści finansowe z zaangażowanego kapitału. W rachunku powinny zostać uwzględnione możliwe do wiarygodnego oszacowania i</w:t>
      </w:r>
      <w:r w:rsidR="00D11892" w:rsidRPr="00795F17">
        <w:t> </w:t>
      </w:r>
      <w:r w:rsidRPr="00795F17">
        <w:t>wyrażenia w wartościach pieniężnych korzyści społeczne realizowane dzięki zestawowi.</w:t>
      </w:r>
    </w:p>
    <w:p w14:paraId="446FB215" w14:textId="28EC808A" w:rsidR="005E5391" w:rsidRPr="00795F17" w:rsidRDefault="005E5391" w:rsidP="0044393D">
      <w:r w:rsidRPr="00795F17">
        <w:t xml:space="preserve">W celu oszacowania korzyści dla wód podziemnych i powierzchniowych został wykorzystany przede wszystkim wskaźnik bazujący na skłonności do ponoszenia wydatków celem osiągnięcia dobrego stanu wód </w:t>
      </w:r>
      <w:r w:rsidR="00B857A9">
        <w:t>–</w:t>
      </w:r>
      <w:r w:rsidRPr="00795F17">
        <w:t xml:space="preserve"> zastosowano wskaźnik WTP, który dla obszaru kraju został określony w wysokości 134,3</w:t>
      </w:r>
      <w:r w:rsidR="00D11892" w:rsidRPr="00795F17">
        <w:t> </w:t>
      </w:r>
      <w:r w:rsidRPr="00795F17">
        <w:t>zł/os.</w:t>
      </w:r>
      <w:r w:rsidR="007C0729" w:rsidRPr="00795F17">
        <w:t>/rok</w:t>
      </w:r>
      <w:r w:rsidRPr="00795F17">
        <w:t xml:space="preserve"> (wartość oszacowana na 2017</w:t>
      </w:r>
      <w:r w:rsidR="006C26A1" w:rsidRPr="00795F17">
        <w:t> </w:t>
      </w:r>
      <w:r w:rsidRPr="00795F17">
        <w:t>r.). Następnie wartość ta została zaprognozowana w</w:t>
      </w:r>
      <w:r w:rsidR="00D11892" w:rsidRPr="00795F17">
        <w:t> </w:t>
      </w:r>
      <w:r w:rsidRPr="00795F17">
        <w:t>oparciu o</w:t>
      </w:r>
      <w:r w:rsidR="006C26A1" w:rsidRPr="00795F17">
        <w:t> </w:t>
      </w:r>
      <w:r w:rsidRPr="00795F17">
        <w:t>przewidywany wzrost dochodu rozporządzalnego w kolejnych latach</w:t>
      </w:r>
      <w:r w:rsidRPr="00795F17">
        <w:rPr>
          <w:rStyle w:val="Odwoanieprzypisudolnego"/>
        </w:rPr>
        <w:footnoteReference w:id="88"/>
      </w:r>
      <w:r w:rsidRPr="00795F17">
        <w:t xml:space="preserve">. Roczne korzyści zostały obliczone jako iloczyn liczby ludności w </w:t>
      </w:r>
      <w:r w:rsidR="006C26A1" w:rsidRPr="00795F17">
        <w:t xml:space="preserve">obszarze </w:t>
      </w:r>
      <w:r w:rsidRPr="00795F17">
        <w:t>dorzecz</w:t>
      </w:r>
      <w:r w:rsidR="006C26A1" w:rsidRPr="00795F17">
        <w:t>a</w:t>
      </w:r>
      <w:r w:rsidRPr="00795F17">
        <w:t xml:space="preserve"> oraz wartości wskaźnika WTP w</w:t>
      </w:r>
      <w:r w:rsidR="00D11892" w:rsidRPr="00795F17">
        <w:t> </w:t>
      </w:r>
      <w:r w:rsidRPr="00795F17">
        <w:t xml:space="preserve">danym roku. </w:t>
      </w:r>
    </w:p>
    <w:p w14:paraId="0C0F9790" w14:textId="10E67402" w:rsidR="005E5391" w:rsidRPr="00795F17" w:rsidRDefault="005E5391" w:rsidP="0044393D">
      <w:r w:rsidRPr="00795F17">
        <w:t>Jako uzupełnienie analizy korzyści dla wód podziemnych przeprowadzono oszacowanie tzw. kosztów unikniętych w wyniku podjęcia proponowanych działań. Takie podejście jest uzasadnione z uwagi na</w:t>
      </w:r>
      <w:r w:rsidR="006C26A1" w:rsidRPr="00795F17">
        <w:t> </w:t>
      </w:r>
      <w:r w:rsidRPr="00795F17">
        <w:t>fakt, że w odniesieniu do wód podziemnych większość działań ma charakter prewencyjny, a nie interwencyjny (naprawczy). Ochrona ilościowa i jakościowa wód podziemnych jest realizowana przede wszystkim poprzez wdrażanie działań ochronnych oraz monitorowanie stanu wód. Analiza została przeprowadzona oddzielnie dla presji chemicznej i ilościowej.</w:t>
      </w:r>
    </w:p>
    <w:p w14:paraId="53E61949" w14:textId="65191615" w:rsidR="0044393D" w:rsidRPr="00795F17" w:rsidRDefault="005E5391" w:rsidP="0044393D">
      <w:r w:rsidRPr="00795F17">
        <w:t>Na potrzeby oszacowania unikniętych kosztów związanych z redukcją skutków spodziewanej presji na</w:t>
      </w:r>
      <w:r w:rsidR="006C26A1" w:rsidRPr="00795F17">
        <w:t> </w:t>
      </w:r>
      <w:r w:rsidRPr="00795F17">
        <w:t xml:space="preserve">stan chemiczny </w:t>
      </w:r>
      <w:r w:rsidR="00DF005E">
        <w:t>JCWP</w:t>
      </w:r>
      <w:r w:rsidRPr="00795F17">
        <w:t>d zostały uwzględnione prawdopodobne koszty remediacji, oszacowane oddzielnie dla presji związanej z przemysłem/urbanizacją i rolnictwem/gospodarką komunalną. Średni koszt remediacji (za km</w:t>
      </w:r>
      <w:r w:rsidRPr="00795F17">
        <w:rPr>
          <w:vertAlign w:val="superscript"/>
        </w:rPr>
        <w:t>2</w:t>
      </w:r>
      <w:r w:rsidRPr="00795F17">
        <w:t xml:space="preserve">) mnożony był przez obliczoną powierzchnię obszaru wymagającego remediacji oraz wskaźnik istotności presji w danej </w:t>
      </w:r>
      <w:r w:rsidR="00DF005E">
        <w:t>JCWP</w:t>
      </w:r>
      <w:r w:rsidRPr="00795F17">
        <w:t>d (Wip)</w:t>
      </w:r>
      <w:r w:rsidR="0020184D" w:rsidRPr="00795F17">
        <w:t xml:space="preserve"> zgodnie z poniższą tabelą</w:t>
      </w:r>
      <w:r w:rsidRPr="00795F17">
        <w:t>.</w:t>
      </w:r>
    </w:p>
    <w:p w14:paraId="3309583A" w14:textId="1A5CAAB0" w:rsidR="005E5391" w:rsidRPr="00795F17" w:rsidRDefault="005E5391" w:rsidP="004D7705">
      <w:pPr>
        <w:pStyle w:val="Tabela"/>
        <w:rPr>
          <w:szCs w:val="20"/>
        </w:rPr>
      </w:pPr>
      <w:bookmarkStart w:id="620" w:name="_Ref53035379"/>
      <w:bookmarkStart w:id="621" w:name="_Toc57291745"/>
      <w:bookmarkStart w:id="622" w:name="_Toc66341941"/>
      <w:bookmarkStart w:id="623" w:name="_Toc105512866"/>
      <w:r w:rsidRPr="00795F17">
        <w:t xml:space="preserve">Tabela </w:t>
      </w:r>
      <w:bookmarkEnd w:id="620"/>
      <w:r w:rsidR="00BB3B21" w:rsidRPr="00795F17">
        <w:fldChar w:fldCharType="begin"/>
      </w:r>
      <w:r w:rsidR="00BB3B21" w:rsidRPr="00795F17">
        <w:instrText xml:space="preserve"> STYLEREF 1 \s </w:instrText>
      </w:r>
      <w:r w:rsidR="00BB3B21" w:rsidRPr="00795F17">
        <w:fldChar w:fldCharType="separate"/>
      </w:r>
      <w:r w:rsidR="001F774D">
        <w:rPr>
          <w:noProof/>
        </w:rPr>
        <w:t>11</w:t>
      </w:r>
      <w:r w:rsidR="00BB3B21" w:rsidRPr="00795F17">
        <w:fldChar w:fldCharType="end"/>
      </w:r>
      <w:r w:rsidR="00BB3B21" w:rsidRPr="00795F17">
        <w:noBreakHyphen/>
      </w:r>
      <w:fldSimple w:instr=" SEQ Tabela \* ARABIC \s 1 ">
        <w:r w:rsidR="001F774D">
          <w:rPr>
            <w:noProof/>
          </w:rPr>
          <w:t>13</w:t>
        </w:r>
      </w:fldSimple>
      <w:r w:rsidR="00EB4B7B">
        <w:rPr>
          <w:noProof/>
        </w:rPr>
        <w:t>.</w:t>
      </w:r>
      <w:r w:rsidR="009F6D79" w:rsidRPr="00795F17">
        <w:tab/>
      </w:r>
      <w:r w:rsidRPr="00795F17">
        <w:t xml:space="preserve">Wskaźnik </w:t>
      </w:r>
      <w:r w:rsidRPr="00795F17">
        <w:rPr>
          <w:szCs w:val="20"/>
        </w:rPr>
        <w:t xml:space="preserve">istotności presji na stan chemiczny </w:t>
      </w:r>
      <w:r w:rsidR="00DF005E">
        <w:rPr>
          <w:szCs w:val="20"/>
        </w:rPr>
        <w:t>JCWP</w:t>
      </w:r>
      <w:r w:rsidRPr="00795F17">
        <w:rPr>
          <w:szCs w:val="20"/>
        </w:rPr>
        <w:t>d (Wip)</w:t>
      </w:r>
      <w:bookmarkEnd w:id="621"/>
      <w:bookmarkEnd w:id="622"/>
      <w:bookmarkEnd w:id="6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7"/>
        <w:gridCol w:w="2823"/>
        <w:gridCol w:w="3122"/>
      </w:tblGrid>
      <w:tr w:rsidR="005E5391" w:rsidRPr="00795F17" w14:paraId="7E576EA5" w14:textId="77777777" w:rsidTr="00AE19E1">
        <w:trPr>
          <w:trHeight w:val="877"/>
        </w:trPr>
        <w:tc>
          <w:tcPr>
            <w:tcW w:w="3131" w:type="dxa"/>
            <w:shd w:val="clear" w:color="auto" w:fill="BFBFBF" w:themeFill="background1" w:themeFillShade="BF"/>
            <w:vAlign w:val="center"/>
            <w:hideMark/>
          </w:tcPr>
          <w:p w14:paraId="088A6A7D" w14:textId="0B08178A" w:rsidR="005E5391" w:rsidRPr="00795F17" w:rsidRDefault="005E5391" w:rsidP="0044393D">
            <w:pPr>
              <w:pStyle w:val="Teksttabelinaglowek"/>
              <w:keepNext/>
            </w:pPr>
            <w:r w:rsidRPr="00795F17">
              <w:t xml:space="preserve">&lt;20% powierzchni </w:t>
            </w:r>
            <w:r w:rsidR="00DF005E">
              <w:t>JCWP</w:t>
            </w:r>
            <w:r w:rsidRPr="00795F17">
              <w:t>d</w:t>
            </w:r>
          </w:p>
          <w:p w14:paraId="4123E07A" w14:textId="77777777" w:rsidR="005E5391" w:rsidRPr="00795F17" w:rsidRDefault="005E5391" w:rsidP="0044393D">
            <w:pPr>
              <w:pStyle w:val="Teksttabelinaglowek"/>
              <w:keepNext/>
            </w:pPr>
            <w:r w:rsidRPr="00795F17">
              <w:t>(znikoma presja na stan chemiczny, zanieczyszczenie wód podziemnych w skali lokalnej)</w:t>
            </w:r>
          </w:p>
        </w:tc>
        <w:tc>
          <w:tcPr>
            <w:tcW w:w="2838" w:type="dxa"/>
            <w:shd w:val="clear" w:color="auto" w:fill="BFBFBF" w:themeFill="background1" w:themeFillShade="BF"/>
            <w:vAlign w:val="center"/>
            <w:hideMark/>
          </w:tcPr>
          <w:p w14:paraId="18678276" w14:textId="34AC4D9B" w:rsidR="005E5391" w:rsidRPr="00795F17" w:rsidRDefault="005E5391" w:rsidP="0044393D">
            <w:pPr>
              <w:pStyle w:val="Teksttabelinaglowek"/>
              <w:keepNext/>
            </w:pPr>
            <w:r w:rsidRPr="00795F17">
              <w:t xml:space="preserve">20-80% powierzchni </w:t>
            </w:r>
            <w:r w:rsidR="00DF005E">
              <w:t>JCWP</w:t>
            </w:r>
            <w:r w:rsidRPr="00795F17">
              <w:t>d</w:t>
            </w:r>
          </w:p>
          <w:p w14:paraId="5604B00C" w14:textId="77777777" w:rsidR="005E5391" w:rsidRPr="00795F17" w:rsidRDefault="005E5391" w:rsidP="0044393D">
            <w:pPr>
              <w:pStyle w:val="Teksttabelinaglowek"/>
              <w:keepNext/>
            </w:pPr>
            <w:r w:rsidRPr="00795F17">
              <w:t>(istotna presja na stan chemiczny)</w:t>
            </w:r>
          </w:p>
        </w:tc>
        <w:tc>
          <w:tcPr>
            <w:tcW w:w="3136" w:type="dxa"/>
            <w:shd w:val="clear" w:color="auto" w:fill="BFBFBF" w:themeFill="background1" w:themeFillShade="BF"/>
            <w:vAlign w:val="center"/>
            <w:hideMark/>
          </w:tcPr>
          <w:p w14:paraId="0CE2ABA2" w14:textId="5358D2B8" w:rsidR="005E5391" w:rsidRPr="00795F17" w:rsidRDefault="005E5391" w:rsidP="0044393D">
            <w:pPr>
              <w:pStyle w:val="Teksttabelinaglowek"/>
              <w:keepNext/>
            </w:pPr>
            <w:r w:rsidRPr="00795F17">
              <w:t xml:space="preserve">&gt;80% powierzchni </w:t>
            </w:r>
            <w:r w:rsidR="00DF005E">
              <w:t>JCWP</w:t>
            </w:r>
            <w:r w:rsidRPr="00795F17">
              <w:t>d</w:t>
            </w:r>
          </w:p>
          <w:p w14:paraId="6EDF0F36" w14:textId="77777777" w:rsidR="005E5391" w:rsidRPr="00795F17" w:rsidRDefault="005E5391" w:rsidP="0044393D">
            <w:pPr>
              <w:pStyle w:val="Teksttabelinaglowek"/>
              <w:keepNext/>
            </w:pPr>
            <w:r w:rsidRPr="00795F17">
              <w:t>(silna presja na stan chemiczny, regionalne zanieczyszczenie wód podziemnych)</w:t>
            </w:r>
          </w:p>
        </w:tc>
      </w:tr>
      <w:tr w:rsidR="005E5391" w:rsidRPr="00795F17" w14:paraId="2740695E" w14:textId="77777777" w:rsidTr="00AE19E1">
        <w:trPr>
          <w:trHeight w:val="454"/>
        </w:trPr>
        <w:tc>
          <w:tcPr>
            <w:tcW w:w="3131" w:type="dxa"/>
            <w:shd w:val="clear" w:color="auto" w:fill="auto"/>
            <w:vAlign w:val="center"/>
            <w:hideMark/>
          </w:tcPr>
          <w:p w14:paraId="7B3C9CA9" w14:textId="77777777" w:rsidR="005E5391" w:rsidRPr="00795F17" w:rsidRDefault="005E5391" w:rsidP="0065243A">
            <w:pPr>
              <w:pStyle w:val="Teksttabelisrodek"/>
              <w:rPr>
                <w:rFonts w:cs="Calibri"/>
                <w:szCs w:val="20"/>
              </w:rPr>
            </w:pPr>
            <w:r w:rsidRPr="00795F17">
              <w:t>1</w:t>
            </w:r>
          </w:p>
        </w:tc>
        <w:tc>
          <w:tcPr>
            <w:tcW w:w="2838" w:type="dxa"/>
            <w:shd w:val="clear" w:color="auto" w:fill="auto"/>
            <w:vAlign w:val="center"/>
            <w:hideMark/>
          </w:tcPr>
          <w:p w14:paraId="5F52EED0" w14:textId="77777777" w:rsidR="005E5391" w:rsidRPr="00795F17" w:rsidRDefault="005E5391" w:rsidP="0065243A">
            <w:pPr>
              <w:pStyle w:val="Teksttabelisrodek"/>
              <w:rPr>
                <w:rFonts w:cs="Calibri"/>
                <w:szCs w:val="20"/>
              </w:rPr>
            </w:pPr>
            <w:r w:rsidRPr="00795F17">
              <w:t>2</w:t>
            </w:r>
          </w:p>
        </w:tc>
        <w:tc>
          <w:tcPr>
            <w:tcW w:w="3136" w:type="dxa"/>
            <w:shd w:val="clear" w:color="auto" w:fill="auto"/>
            <w:vAlign w:val="center"/>
            <w:hideMark/>
          </w:tcPr>
          <w:p w14:paraId="0BA07F4D" w14:textId="77777777" w:rsidR="005E5391" w:rsidRPr="00795F17" w:rsidRDefault="005E5391" w:rsidP="0065243A">
            <w:pPr>
              <w:pStyle w:val="Teksttabelisrodek"/>
              <w:rPr>
                <w:rFonts w:cs="Calibri"/>
                <w:szCs w:val="20"/>
              </w:rPr>
            </w:pPr>
            <w:r w:rsidRPr="00795F17">
              <w:t>3</w:t>
            </w:r>
          </w:p>
        </w:tc>
      </w:tr>
    </w:tbl>
    <w:p w14:paraId="6D16FE0F" w14:textId="3C8E20A7" w:rsidR="005E5391" w:rsidRPr="00795F17" w:rsidRDefault="005E5391" w:rsidP="0044393D">
      <w:pPr>
        <w:pStyle w:val="rdo"/>
        <w:rPr>
          <w:rFonts w:cs="Calibri"/>
          <w:sz w:val="20"/>
          <w:szCs w:val="20"/>
          <w:lang w:eastAsia="zh-CN"/>
        </w:rPr>
      </w:pPr>
      <w:r w:rsidRPr="00795F17">
        <w:rPr>
          <w:lang w:eastAsia="zh-CN"/>
        </w:rPr>
        <w:t>Źródło:</w:t>
      </w:r>
      <w:r w:rsidR="0020184D" w:rsidRPr="00795F17">
        <w:rPr>
          <w:lang w:eastAsia="zh-CN"/>
        </w:rPr>
        <w:t xml:space="preserve"> opracowanie własne</w:t>
      </w:r>
    </w:p>
    <w:p w14:paraId="261D6728" w14:textId="54111547" w:rsidR="005E5391" w:rsidRPr="00795F17" w:rsidRDefault="005E5391" w:rsidP="0044393D">
      <w:r w:rsidRPr="00795F17">
        <w:t xml:space="preserve">W odniesieniu do presji na stan ilościowy </w:t>
      </w:r>
      <w:r w:rsidR="00DF005E">
        <w:t>JCWP</w:t>
      </w:r>
      <w:r w:rsidRPr="00795F17">
        <w:t>d zastosowano wskaźnik prawdopodobieństwa występowania deficytu wody na cele zaopatrzenia ludności w wodę (Wpd)</w:t>
      </w:r>
      <w:r w:rsidR="0020184D" w:rsidRPr="00795F17">
        <w:t xml:space="preserve"> zgodnie z poniższą tabelą</w:t>
      </w:r>
      <w:r w:rsidRPr="00795F17">
        <w:t xml:space="preserve">. Wskaźnik ten został przemnożony przez średni koszt budowy nowego ujęcia oraz szacowaną liczbę nowych ujęć potrzebnych w danej </w:t>
      </w:r>
      <w:r w:rsidR="00DF005E">
        <w:t>JCWP</w:t>
      </w:r>
      <w:r w:rsidRPr="00795F17">
        <w:t>d w celu redukcji presji ilościowej (zaspokojenie potrzeb wodnych).</w:t>
      </w:r>
    </w:p>
    <w:p w14:paraId="510B3DFA" w14:textId="5301AED1" w:rsidR="005E5391" w:rsidRPr="00795F17" w:rsidRDefault="005E5391" w:rsidP="0044393D">
      <w:r w:rsidRPr="00795F17">
        <w:t>Suma uzyskanych kosztów związanych z neutralizacją prawdopodobnych skutków presji zaistniałych w</w:t>
      </w:r>
      <w:r w:rsidR="006E4DD0" w:rsidRPr="00795F17">
        <w:t> </w:t>
      </w:r>
      <w:r w:rsidRPr="00795F17">
        <w:t>przypadku braku wdrożenia działań stanowi tzw. uniknięte koszty, jeżeli działania zostaną wdrożone.</w:t>
      </w:r>
      <w:bookmarkStart w:id="624" w:name="_Ref53035409"/>
    </w:p>
    <w:p w14:paraId="37556E7F" w14:textId="700CD4D0" w:rsidR="005E5391" w:rsidRPr="00795F17" w:rsidRDefault="005E5391" w:rsidP="004D7705">
      <w:pPr>
        <w:pStyle w:val="Tabela"/>
        <w:rPr>
          <w:szCs w:val="20"/>
        </w:rPr>
      </w:pPr>
      <w:bookmarkStart w:id="625" w:name="_Toc57291746"/>
      <w:bookmarkStart w:id="626" w:name="_Toc66341942"/>
      <w:bookmarkStart w:id="627" w:name="_Toc105512867"/>
      <w:r w:rsidRPr="00795F17">
        <w:t xml:space="preserve">Tabela </w:t>
      </w:r>
      <w:bookmarkEnd w:id="624"/>
      <w:r w:rsidR="00BB3B21" w:rsidRPr="00795F17">
        <w:fldChar w:fldCharType="begin"/>
      </w:r>
      <w:r w:rsidR="00BB3B21" w:rsidRPr="00795F17">
        <w:instrText xml:space="preserve"> STYLEREF 1 \s </w:instrText>
      </w:r>
      <w:r w:rsidR="00BB3B21" w:rsidRPr="00795F17">
        <w:fldChar w:fldCharType="separate"/>
      </w:r>
      <w:r w:rsidR="001F774D">
        <w:rPr>
          <w:noProof/>
        </w:rPr>
        <w:t>11</w:t>
      </w:r>
      <w:r w:rsidR="00BB3B21" w:rsidRPr="00795F17">
        <w:fldChar w:fldCharType="end"/>
      </w:r>
      <w:r w:rsidR="00BB3B21" w:rsidRPr="00795F17">
        <w:noBreakHyphen/>
      </w:r>
      <w:fldSimple w:instr=" SEQ Tabela \* ARABIC \s 1 ">
        <w:r w:rsidR="001F774D">
          <w:rPr>
            <w:noProof/>
          </w:rPr>
          <w:t>14</w:t>
        </w:r>
      </w:fldSimple>
      <w:r w:rsidR="00EB4B7B">
        <w:rPr>
          <w:noProof/>
        </w:rPr>
        <w:t>.</w:t>
      </w:r>
      <w:r w:rsidR="009F6D79" w:rsidRPr="00795F17">
        <w:tab/>
      </w:r>
      <w:r w:rsidRPr="00795F17">
        <w:t xml:space="preserve">Wskaźnik prawdopodobieństwa występowania deficytu wody na </w:t>
      </w:r>
      <w:r w:rsidRPr="00795F17">
        <w:rPr>
          <w:szCs w:val="20"/>
        </w:rPr>
        <w:t>cele zaopatrzenia ludności w</w:t>
      </w:r>
      <w:r w:rsidR="003822BD">
        <w:rPr>
          <w:szCs w:val="20"/>
        </w:rPr>
        <w:t> </w:t>
      </w:r>
      <w:r w:rsidRPr="00795F17">
        <w:rPr>
          <w:szCs w:val="20"/>
        </w:rPr>
        <w:t>wodę (Wpd)</w:t>
      </w:r>
      <w:bookmarkEnd w:id="625"/>
      <w:bookmarkEnd w:id="626"/>
      <w:bookmarkEnd w:id="6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6"/>
        <w:gridCol w:w="3485"/>
        <w:gridCol w:w="2631"/>
      </w:tblGrid>
      <w:tr w:rsidR="005E5391" w:rsidRPr="00795F17" w14:paraId="43C4227A" w14:textId="77777777" w:rsidTr="00AE19E1">
        <w:trPr>
          <w:trHeight w:val="454"/>
        </w:trPr>
        <w:tc>
          <w:tcPr>
            <w:tcW w:w="0" w:type="auto"/>
            <w:shd w:val="clear" w:color="auto" w:fill="BFBFBF" w:themeFill="background1" w:themeFillShade="BF"/>
            <w:vAlign w:val="center"/>
            <w:hideMark/>
          </w:tcPr>
          <w:p w14:paraId="637CCD56" w14:textId="36E9CCC0" w:rsidR="005E5391" w:rsidRPr="00795F17" w:rsidRDefault="005E5391" w:rsidP="0044393D">
            <w:pPr>
              <w:pStyle w:val="Teksttabelinaglowek"/>
            </w:pPr>
            <w:r w:rsidRPr="00795F17">
              <w:t xml:space="preserve">&lt;50% wykorzystania zasobów wód podziemnych w </w:t>
            </w:r>
            <w:r w:rsidR="00DF005E">
              <w:t>JCWP</w:t>
            </w:r>
            <w:r w:rsidRPr="00795F17">
              <w:t>d</w:t>
            </w:r>
          </w:p>
          <w:p w14:paraId="45DE35DB" w14:textId="77777777" w:rsidR="005E5391" w:rsidRPr="00795F17" w:rsidRDefault="005E5391" w:rsidP="0044393D">
            <w:pPr>
              <w:pStyle w:val="Teksttabelinaglowek"/>
            </w:pPr>
            <w:r w:rsidRPr="00795F17">
              <w:t>(brak presji ilościowej, niskie prawdopodobieństwo deficytu wody, możliwe lokalne niedobory)</w:t>
            </w:r>
          </w:p>
        </w:tc>
        <w:tc>
          <w:tcPr>
            <w:tcW w:w="0" w:type="auto"/>
            <w:shd w:val="clear" w:color="auto" w:fill="BFBFBF" w:themeFill="background1" w:themeFillShade="BF"/>
            <w:vAlign w:val="center"/>
            <w:hideMark/>
          </w:tcPr>
          <w:p w14:paraId="78C4F5B0" w14:textId="12E9EE77" w:rsidR="005E5391" w:rsidRPr="00795F17" w:rsidRDefault="005E5391" w:rsidP="0044393D">
            <w:pPr>
              <w:pStyle w:val="Teksttabelinaglowek"/>
            </w:pPr>
            <w:r w:rsidRPr="00795F17">
              <w:t>50</w:t>
            </w:r>
            <w:r w:rsidR="003822BD">
              <w:t xml:space="preserve"> </w:t>
            </w:r>
            <w:r w:rsidRPr="00795F17">
              <w:t>-</w:t>
            </w:r>
            <w:r w:rsidR="003822BD">
              <w:t xml:space="preserve"> </w:t>
            </w:r>
            <w:r w:rsidRPr="00795F17">
              <w:t xml:space="preserve">90% wykorzystania zasobów wód podziemnych w </w:t>
            </w:r>
            <w:r w:rsidR="00DF005E">
              <w:t>JCWP</w:t>
            </w:r>
            <w:r w:rsidRPr="00795F17">
              <w:t>d (umiarkowana presja ilościowa, średnie prawdopodobieństwo deficytu wody)</w:t>
            </w:r>
          </w:p>
        </w:tc>
        <w:tc>
          <w:tcPr>
            <w:tcW w:w="0" w:type="auto"/>
            <w:shd w:val="clear" w:color="auto" w:fill="BFBFBF" w:themeFill="background1" w:themeFillShade="BF"/>
            <w:vAlign w:val="center"/>
            <w:hideMark/>
          </w:tcPr>
          <w:p w14:paraId="371246B1" w14:textId="1C448946" w:rsidR="005E5391" w:rsidRPr="00795F17" w:rsidRDefault="005E5391" w:rsidP="0044393D">
            <w:pPr>
              <w:pStyle w:val="Teksttabelinaglowek"/>
            </w:pPr>
            <w:r w:rsidRPr="00795F17">
              <w:t xml:space="preserve">&gt;90% wykorzystania zasobów wód podziemnych w </w:t>
            </w:r>
            <w:r w:rsidR="00DF005E">
              <w:t>JCWP</w:t>
            </w:r>
            <w:r w:rsidRPr="00795F17">
              <w:t>d</w:t>
            </w:r>
          </w:p>
          <w:p w14:paraId="532EC18D" w14:textId="77777777" w:rsidR="005E5391" w:rsidRPr="00795F17" w:rsidRDefault="005E5391" w:rsidP="0044393D">
            <w:pPr>
              <w:pStyle w:val="Teksttabelinaglowek"/>
            </w:pPr>
            <w:r w:rsidRPr="00795F17">
              <w:t>(silna presja ilościowa, wysokie prawdopodobieństwo deficytu wody)</w:t>
            </w:r>
          </w:p>
        </w:tc>
      </w:tr>
      <w:tr w:rsidR="005E5391" w:rsidRPr="00795F17" w14:paraId="7C6F541F" w14:textId="77777777" w:rsidTr="00AE19E1">
        <w:trPr>
          <w:trHeight w:val="454"/>
        </w:trPr>
        <w:tc>
          <w:tcPr>
            <w:tcW w:w="0" w:type="auto"/>
            <w:shd w:val="clear" w:color="auto" w:fill="auto"/>
            <w:vAlign w:val="center"/>
            <w:hideMark/>
          </w:tcPr>
          <w:p w14:paraId="566B7D82" w14:textId="77777777" w:rsidR="005E5391" w:rsidRPr="00795F17" w:rsidRDefault="005E5391" w:rsidP="0065243A">
            <w:pPr>
              <w:pStyle w:val="Teksttabelisrodek"/>
              <w:rPr>
                <w:rFonts w:cs="Calibri"/>
                <w:szCs w:val="20"/>
              </w:rPr>
            </w:pPr>
            <w:r w:rsidRPr="00795F17">
              <w:t>1</w:t>
            </w:r>
          </w:p>
        </w:tc>
        <w:tc>
          <w:tcPr>
            <w:tcW w:w="0" w:type="auto"/>
            <w:shd w:val="clear" w:color="auto" w:fill="auto"/>
            <w:vAlign w:val="center"/>
            <w:hideMark/>
          </w:tcPr>
          <w:p w14:paraId="74BAC03C" w14:textId="77777777" w:rsidR="005E5391" w:rsidRPr="00795F17" w:rsidRDefault="005E5391" w:rsidP="0065243A">
            <w:pPr>
              <w:pStyle w:val="Teksttabelisrodek"/>
              <w:rPr>
                <w:rFonts w:cs="Calibri"/>
                <w:szCs w:val="20"/>
              </w:rPr>
            </w:pPr>
            <w:r w:rsidRPr="00795F17">
              <w:t>2</w:t>
            </w:r>
          </w:p>
        </w:tc>
        <w:tc>
          <w:tcPr>
            <w:tcW w:w="0" w:type="auto"/>
            <w:shd w:val="clear" w:color="auto" w:fill="auto"/>
            <w:vAlign w:val="center"/>
            <w:hideMark/>
          </w:tcPr>
          <w:p w14:paraId="3B6DC019" w14:textId="77777777" w:rsidR="005E5391" w:rsidRPr="00795F17" w:rsidRDefault="005E5391" w:rsidP="0065243A">
            <w:pPr>
              <w:pStyle w:val="Teksttabelisrodek"/>
              <w:rPr>
                <w:rFonts w:cs="Calibri"/>
                <w:szCs w:val="20"/>
              </w:rPr>
            </w:pPr>
            <w:r w:rsidRPr="00795F17">
              <w:t>3</w:t>
            </w:r>
          </w:p>
        </w:tc>
      </w:tr>
    </w:tbl>
    <w:p w14:paraId="55FB2FAF" w14:textId="33878CF2" w:rsidR="005E5391" w:rsidRPr="00795F17" w:rsidRDefault="005E5391" w:rsidP="0044393D">
      <w:pPr>
        <w:pStyle w:val="rdo"/>
        <w:rPr>
          <w:rFonts w:cs="Calibri"/>
          <w:sz w:val="20"/>
          <w:szCs w:val="20"/>
          <w:lang w:eastAsia="zh-CN"/>
        </w:rPr>
      </w:pPr>
      <w:r w:rsidRPr="00795F17">
        <w:rPr>
          <w:lang w:eastAsia="zh-CN"/>
        </w:rPr>
        <w:t xml:space="preserve">Źródło: </w:t>
      </w:r>
      <w:r w:rsidR="00FE25FC" w:rsidRPr="00795F17">
        <w:rPr>
          <w:lang w:eastAsia="zh-CN"/>
        </w:rPr>
        <w:t>opracowanie własne</w:t>
      </w:r>
    </w:p>
    <w:p w14:paraId="20612152" w14:textId="77777777" w:rsidR="005E5391" w:rsidRPr="00795F17" w:rsidRDefault="005E5391" w:rsidP="0044393D">
      <w:r w:rsidRPr="00795F17">
        <w:t>Analiza ekonomiczna została przeprowadzona przy przyjęciu następujących założeń:</w:t>
      </w:r>
    </w:p>
    <w:p w14:paraId="49480AF9" w14:textId="515FC785" w:rsidR="005E5391" w:rsidRPr="00795F17" w:rsidRDefault="005E5391" w:rsidP="00117E86">
      <w:pPr>
        <w:pStyle w:val="Listapunktowana2"/>
      </w:pPr>
      <w:r w:rsidRPr="00795F17">
        <w:t>okres analizy wynosi 15 lat licząc od 2028 r.,</w:t>
      </w:r>
    </w:p>
    <w:p w14:paraId="6BD9D788" w14:textId="08BF8718" w:rsidR="005E5391" w:rsidRPr="00795F17" w:rsidRDefault="005E5391" w:rsidP="00117E86">
      <w:pPr>
        <w:pStyle w:val="Listapunktowana2"/>
      </w:pPr>
      <w:r w:rsidRPr="00795F17">
        <w:t xml:space="preserve">wszelkie obliczenia zostały </w:t>
      </w:r>
      <w:r w:rsidR="009E0BBB">
        <w:t>wykonane</w:t>
      </w:r>
      <w:r w:rsidRPr="00795F17">
        <w:t xml:space="preserve"> w cenach netto (bez uwzględnienia podatku VAT) oraz w cenach stałych (bez uwzględnienia inflacji</w:t>
      </w:r>
      <w:r w:rsidR="001A0476" w:rsidRPr="00795F17">
        <w:t>)</w:t>
      </w:r>
      <w:r w:rsidR="001A0476">
        <w:t>;</w:t>
      </w:r>
    </w:p>
    <w:p w14:paraId="1F2E7DE2" w14:textId="36AE6236" w:rsidR="005E5391" w:rsidRPr="00795F17" w:rsidRDefault="005E5391" w:rsidP="00117E86">
      <w:pPr>
        <w:pStyle w:val="Listapunktowana2"/>
      </w:pPr>
      <w:r w:rsidRPr="00795F17">
        <w:t>przyjęto stopę dyskonta wynoszącą 5</w:t>
      </w:r>
      <w:r w:rsidR="001A0476" w:rsidRPr="00795F17">
        <w:t>%</w:t>
      </w:r>
      <w:r w:rsidR="001A0476">
        <w:t>;</w:t>
      </w:r>
    </w:p>
    <w:p w14:paraId="55A01C25" w14:textId="67D50B2C" w:rsidR="005E5391" w:rsidRPr="00795F17" w:rsidRDefault="005E5391" w:rsidP="00117E86">
      <w:pPr>
        <w:pStyle w:val="Listapunktowana2"/>
      </w:pPr>
      <w:r w:rsidRPr="00795F17">
        <w:t xml:space="preserve">zastosowano metodę kasową analizy </w:t>
      </w:r>
      <w:r w:rsidR="00B857A9">
        <w:t>–</w:t>
      </w:r>
      <w:r w:rsidRPr="00795F17">
        <w:t xml:space="preserve"> pozycje, które nie mają charakteru przepływu (np.</w:t>
      </w:r>
      <w:r w:rsidR="006E4DD0" w:rsidRPr="00795F17">
        <w:t> </w:t>
      </w:r>
      <w:r w:rsidRPr="00795F17">
        <w:t>amortyzacja), nie były brane pod uwagę przy obliczaniu wskaźników efektywności ekonomicznej.</w:t>
      </w:r>
    </w:p>
    <w:p w14:paraId="0014DE19" w14:textId="731A971C" w:rsidR="005E5391" w:rsidRPr="00795F17" w:rsidRDefault="005E5391" w:rsidP="00C53C86">
      <w:pPr>
        <w:pStyle w:val="Nagwek3"/>
      </w:pPr>
      <w:bookmarkStart w:id="628" w:name="_Toc63632757"/>
      <w:bookmarkStart w:id="629" w:name="_Toc105512692"/>
      <w:r w:rsidRPr="00795F17">
        <w:t xml:space="preserve">Wyniki analiz ekonomicznych </w:t>
      </w:r>
      <w:r w:rsidR="00B857A9">
        <w:t>–</w:t>
      </w:r>
      <w:r w:rsidRPr="00795F17">
        <w:t xml:space="preserve"> ocena ilościowa</w:t>
      </w:r>
      <w:bookmarkEnd w:id="628"/>
      <w:bookmarkEnd w:id="629"/>
    </w:p>
    <w:p w14:paraId="3B991B68" w14:textId="268E06A1" w:rsidR="00F24032" w:rsidRDefault="005E5391" w:rsidP="0044393D">
      <w:r w:rsidRPr="00795F17">
        <w:t xml:space="preserve">Analizując zestaw działań dla </w:t>
      </w:r>
      <w:r w:rsidR="006C26A1" w:rsidRPr="00795F17">
        <w:t xml:space="preserve">obszaru </w:t>
      </w:r>
      <w:r w:rsidRPr="00795F17">
        <w:t xml:space="preserve">dorzecza, uzyskano dodatnią </w:t>
      </w:r>
      <w:bookmarkStart w:id="630" w:name="_Hlk67275244"/>
      <w:r w:rsidR="009A63FE" w:rsidRPr="00560209">
        <w:rPr>
          <w:rFonts w:cs="Lucida Grande"/>
        </w:rPr>
        <w:t>ekonomiczną bieżącą wartość netto inwestycji</w:t>
      </w:r>
      <w:r w:rsidR="0020184D" w:rsidRPr="00795F17">
        <w:t xml:space="preserve"> (</w:t>
      </w:r>
      <w:r w:rsidRPr="00795F17">
        <w:t>ENPV</w:t>
      </w:r>
      <w:r w:rsidR="0020184D" w:rsidRPr="00795F17">
        <w:t>)</w:t>
      </w:r>
      <w:bookmarkEnd w:id="630"/>
      <w:r w:rsidRPr="00795F17">
        <w:t xml:space="preserve"> wynoszącą </w:t>
      </w:r>
      <w:r w:rsidR="001763B6">
        <w:t>9,5</w:t>
      </w:r>
      <w:r w:rsidR="001763B6" w:rsidRPr="00795F17">
        <w:t xml:space="preserve"> </w:t>
      </w:r>
      <w:r w:rsidRPr="00795F17">
        <w:t xml:space="preserve">mld zł, świadczącą o tym, że inwestycja generuje korzyści społeczno-ekonomiczne prowadzące do wzrostu dobrobytu społeczeństwa. Z ekonomicznego punktu widzenia realizacja zestawu działań pomimo konieczności poniesienia dużych nakładów inwestycyjnych przyczyni się do wystąpienia znacznych korzyści społeczno-ekonomicznych, przewyższających ponoszone koszty, a wynikających przede wszystkim z poprawy jakości wód powierzchniowych i podziemnych. </w:t>
      </w:r>
      <w:r w:rsidR="0020184D" w:rsidRPr="00795F17">
        <w:t>Podsumowanie wyników analizy ekonomicznej zaprezentowano w</w:t>
      </w:r>
      <w:r w:rsidR="006E4DD0" w:rsidRPr="00795F17">
        <w:t> </w:t>
      </w:r>
      <w:r w:rsidR="0020184D" w:rsidRPr="00795F17">
        <w:t>poniższej tabeli (tabela 11-15).</w:t>
      </w:r>
    </w:p>
    <w:p w14:paraId="31A11958" w14:textId="77777777" w:rsidR="00F24032" w:rsidRDefault="00F24032">
      <w:pPr>
        <w:suppressAutoHyphens w:val="0"/>
        <w:spacing w:before="0" w:after="0"/>
        <w:jc w:val="left"/>
      </w:pPr>
      <w:r>
        <w:br w:type="page"/>
      </w:r>
    </w:p>
    <w:p w14:paraId="7BBD32B4" w14:textId="374D1637" w:rsidR="005E5391" w:rsidRPr="00795F17" w:rsidRDefault="005E5391" w:rsidP="004D7705">
      <w:pPr>
        <w:pStyle w:val="Tabela"/>
        <w:rPr>
          <w:szCs w:val="20"/>
        </w:rPr>
      </w:pPr>
      <w:bookmarkStart w:id="631" w:name="_Toc66341943"/>
      <w:bookmarkStart w:id="632" w:name="_Toc105512868"/>
      <w:r w:rsidRPr="00795F17">
        <w:t xml:space="preserve">Tabela </w:t>
      </w:r>
      <w:fldSimple w:instr=" STYLEREF 1 \s ">
        <w:r w:rsidR="001F774D">
          <w:rPr>
            <w:noProof/>
          </w:rPr>
          <w:t>11</w:t>
        </w:r>
      </w:fldSimple>
      <w:r w:rsidR="00BB3B21" w:rsidRPr="00795F17">
        <w:noBreakHyphen/>
      </w:r>
      <w:fldSimple w:instr=" SEQ Tabela \* ARABIC \s 1 ">
        <w:r w:rsidR="001F774D">
          <w:rPr>
            <w:noProof/>
          </w:rPr>
          <w:t>15</w:t>
        </w:r>
      </w:fldSimple>
      <w:r w:rsidR="00EB4B7B">
        <w:rPr>
          <w:noProof/>
        </w:rPr>
        <w:t>.</w:t>
      </w:r>
      <w:r w:rsidR="009F6D79" w:rsidRPr="00795F17">
        <w:tab/>
      </w:r>
      <w:r w:rsidRPr="00795F17">
        <w:t xml:space="preserve">Analiza ekonomiczna </w:t>
      </w:r>
      <w:r w:rsidR="00B857A9">
        <w:t>–</w:t>
      </w:r>
      <w:r w:rsidRPr="00795F17">
        <w:t xml:space="preserve"> wskaźniki</w:t>
      </w:r>
      <w:bookmarkEnd w:id="631"/>
      <w:bookmarkEnd w:id="6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72"/>
        <w:gridCol w:w="1379"/>
        <w:gridCol w:w="2411"/>
      </w:tblGrid>
      <w:tr w:rsidR="005E5391" w:rsidRPr="00795F17" w14:paraId="7E0812A0" w14:textId="77777777" w:rsidTr="00095068">
        <w:trPr>
          <w:trHeight w:val="454"/>
        </w:trPr>
        <w:tc>
          <w:tcPr>
            <w:tcW w:w="5272" w:type="dxa"/>
            <w:shd w:val="clear" w:color="auto" w:fill="BFBFBF" w:themeFill="background1" w:themeFillShade="BF"/>
            <w:noWrap/>
            <w:vAlign w:val="center"/>
          </w:tcPr>
          <w:p w14:paraId="244F2DA3" w14:textId="77777777" w:rsidR="005E5391" w:rsidRPr="005842B5" w:rsidRDefault="005E5391" w:rsidP="00AA2367">
            <w:pPr>
              <w:pStyle w:val="Teksttabelilewybold"/>
            </w:pPr>
            <w:r w:rsidRPr="005842B5">
              <w:t>Stopa dyskonta</w:t>
            </w:r>
          </w:p>
        </w:tc>
        <w:tc>
          <w:tcPr>
            <w:tcW w:w="1379" w:type="dxa"/>
            <w:shd w:val="clear" w:color="auto" w:fill="BFBFBF" w:themeFill="background1" w:themeFillShade="BF"/>
            <w:noWrap/>
            <w:vAlign w:val="center"/>
          </w:tcPr>
          <w:p w14:paraId="0C967EA4" w14:textId="6618D63C" w:rsidR="005E5391" w:rsidRPr="00795F17" w:rsidRDefault="005E5391" w:rsidP="0065243A">
            <w:pPr>
              <w:pStyle w:val="Teksttabelisrodek"/>
              <w:rPr>
                <w:rFonts w:cs="Calibri"/>
                <w:b/>
                <w:bCs w:val="0"/>
                <w:szCs w:val="20"/>
              </w:rPr>
            </w:pPr>
            <w:r w:rsidRPr="00795F17">
              <w:rPr>
                <w:b/>
                <w:bCs w:val="0"/>
              </w:rPr>
              <w:t>%</w:t>
            </w:r>
          </w:p>
        </w:tc>
        <w:tc>
          <w:tcPr>
            <w:tcW w:w="2411" w:type="dxa"/>
            <w:noWrap/>
            <w:vAlign w:val="center"/>
          </w:tcPr>
          <w:p w14:paraId="04850471" w14:textId="6622878F" w:rsidR="005E5391" w:rsidRPr="00795F17" w:rsidRDefault="005E5391" w:rsidP="0065243A">
            <w:pPr>
              <w:pStyle w:val="Teksttabelisrodek"/>
              <w:rPr>
                <w:rFonts w:cs="Calibri"/>
                <w:szCs w:val="20"/>
              </w:rPr>
            </w:pPr>
            <w:r w:rsidRPr="00795F17">
              <w:t>5</w:t>
            </w:r>
          </w:p>
        </w:tc>
      </w:tr>
      <w:tr w:rsidR="00095068" w:rsidRPr="00795F17" w14:paraId="06401883" w14:textId="77777777" w:rsidTr="00095068">
        <w:trPr>
          <w:trHeight w:val="454"/>
        </w:trPr>
        <w:tc>
          <w:tcPr>
            <w:tcW w:w="5272" w:type="dxa"/>
            <w:shd w:val="clear" w:color="auto" w:fill="BFBFBF" w:themeFill="background1" w:themeFillShade="BF"/>
            <w:noWrap/>
            <w:vAlign w:val="center"/>
          </w:tcPr>
          <w:p w14:paraId="16BF9171" w14:textId="77777777" w:rsidR="00095068" w:rsidRPr="005842B5" w:rsidRDefault="00095068" w:rsidP="00095068">
            <w:pPr>
              <w:pStyle w:val="Teksttabelilewybold"/>
            </w:pPr>
            <w:r w:rsidRPr="005842B5">
              <w:t>ENPV</w:t>
            </w:r>
          </w:p>
        </w:tc>
        <w:tc>
          <w:tcPr>
            <w:tcW w:w="1379" w:type="dxa"/>
            <w:shd w:val="clear" w:color="auto" w:fill="BFBFBF" w:themeFill="background1" w:themeFillShade="BF"/>
            <w:noWrap/>
            <w:vAlign w:val="center"/>
          </w:tcPr>
          <w:p w14:paraId="4E3B65B4" w14:textId="3B098BF8" w:rsidR="00095068" w:rsidRPr="00795F17" w:rsidRDefault="00095068" w:rsidP="00095068">
            <w:pPr>
              <w:pStyle w:val="Teksttabelisrodek"/>
              <w:rPr>
                <w:rFonts w:cs="Calibri"/>
                <w:b/>
                <w:bCs w:val="0"/>
                <w:szCs w:val="20"/>
              </w:rPr>
            </w:pPr>
            <w:r w:rsidRPr="00795F17">
              <w:rPr>
                <w:b/>
                <w:bCs w:val="0"/>
              </w:rPr>
              <w:t>tys. zł</w:t>
            </w:r>
          </w:p>
        </w:tc>
        <w:tc>
          <w:tcPr>
            <w:tcW w:w="2411" w:type="dxa"/>
            <w:noWrap/>
            <w:vAlign w:val="center"/>
          </w:tcPr>
          <w:p w14:paraId="57B9996F" w14:textId="5CCBF4F1" w:rsidR="00095068" w:rsidRPr="00795F17" w:rsidRDefault="00095068" w:rsidP="00095068">
            <w:pPr>
              <w:pStyle w:val="Teksttabelisrodek"/>
              <w:rPr>
                <w:rFonts w:cs="Calibri"/>
                <w:szCs w:val="20"/>
              </w:rPr>
            </w:pPr>
            <w:r>
              <w:rPr>
                <w:rFonts w:cs="Calibri"/>
                <w:color w:val="000000"/>
                <w:szCs w:val="20"/>
              </w:rPr>
              <w:t>9 506 475</w:t>
            </w:r>
          </w:p>
        </w:tc>
      </w:tr>
      <w:tr w:rsidR="00095068" w:rsidRPr="00795F17" w14:paraId="355CAA26" w14:textId="77777777" w:rsidTr="00095068">
        <w:trPr>
          <w:trHeight w:val="454"/>
        </w:trPr>
        <w:tc>
          <w:tcPr>
            <w:tcW w:w="5272" w:type="dxa"/>
            <w:shd w:val="clear" w:color="auto" w:fill="BFBFBF" w:themeFill="background1" w:themeFillShade="BF"/>
            <w:noWrap/>
            <w:vAlign w:val="center"/>
          </w:tcPr>
          <w:p w14:paraId="63F8FD41" w14:textId="77777777" w:rsidR="00095068" w:rsidRPr="005842B5" w:rsidRDefault="00095068" w:rsidP="00095068">
            <w:pPr>
              <w:pStyle w:val="Teksttabelilewybold"/>
            </w:pPr>
            <w:r w:rsidRPr="005842B5">
              <w:t>B/C</w:t>
            </w:r>
          </w:p>
        </w:tc>
        <w:tc>
          <w:tcPr>
            <w:tcW w:w="1379" w:type="dxa"/>
            <w:shd w:val="clear" w:color="auto" w:fill="BFBFBF" w:themeFill="background1" w:themeFillShade="BF"/>
            <w:noWrap/>
            <w:vAlign w:val="center"/>
          </w:tcPr>
          <w:p w14:paraId="62189222" w14:textId="1E71BF89" w:rsidR="00095068" w:rsidRPr="00795F17" w:rsidRDefault="00095068" w:rsidP="00095068">
            <w:pPr>
              <w:pStyle w:val="Teksttabelisrodek"/>
              <w:rPr>
                <w:rFonts w:cs="Calibri"/>
                <w:b/>
                <w:bCs w:val="0"/>
                <w:szCs w:val="20"/>
              </w:rPr>
            </w:pPr>
            <w:r w:rsidRPr="00795F17">
              <w:rPr>
                <w:b/>
                <w:bCs w:val="0"/>
              </w:rPr>
              <w:t>-</w:t>
            </w:r>
          </w:p>
        </w:tc>
        <w:tc>
          <w:tcPr>
            <w:tcW w:w="2411" w:type="dxa"/>
            <w:noWrap/>
            <w:vAlign w:val="center"/>
          </w:tcPr>
          <w:p w14:paraId="63AB154A" w14:textId="3C999435" w:rsidR="00095068" w:rsidRPr="00795F17" w:rsidRDefault="00095068" w:rsidP="00095068">
            <w:pPr>
              <w:pStyle w:val="Teksttabelisrodek"/>
              <w:rPr>
                <w:rFonts w:cs="Calibri"/>
                <w:szCs w:val="20"/>
              </w:rPr>
            </w:pPr>
            <w:r>
              <w:rPr>
                <w:rFonts w:cs="Calibri"/>
                <w:color w:val="000000"/>
                <w:szCs w:val="20"/>
              </w:rPr>
              <w:t>2,37</w:t>
            </w:r>
          </w:p>
        </w:tc>
      </w:tr>
    </w:tbl>
    <w:p w14:paraId="3EF84DB8" w14:textId="706A7378" w:rsidR="005E5391" w:rsidRPr="00795F17" w:rsidRDefault="005E5391" w:rsidP="0044393D">
      <w:pPr>
        <w:pStyle w:val="rdo"/>
        <w:rPr>
          <w:lang w:eastAsia="zh-CN"/>
        </w:rPr>
      </w:pPr>
      <w:r w:rsidRPr="00795F17">
        <w:rPr>
          <w:lang w:eastAsia="zh-CN"/>
        </w:rPr>
        <w:t xml:space="preserve">Źródło: </w:t>
      </w:r>
      <w:r w:rsidR="00FD7248" w:rsidRPr="00795F17">
        <w:rPr>
          <w:lang w:eastAsia="zh-CN"/>
        </w:rPr>
        <w:t>opracowanie własne</w:t>
      </w:r>
    </w:p>
    <w:p w14:paraId="56CA647C" w14:textId="4BDD6B8A" w:rsidR="005E5391" w:rsidRPr="00795F17" w:rsidRDefault="005E5391" w:rsidP="0044393D">
      <w:r w:rsidRPr="00795F17">
        <w:t>Wskaźnik B/C</w:t>
      </w:r>
      <w:r w:rsidR="0054360D" w:rsidRPr="00795F17">
        <w:t xml:space="preserve"> obrazujący stosunek korzyści (B) do kosztów (C)</w:t>
      </w:r>
      <w:r w:rsidRPr="00795F17">
        <w:t xml:space="preserve"> informuje nas, że na każdą złotówkę stanowiącą koszt projektu przypada </w:t>
      </w:r>
      <w:r w:rsidR="001763B6">
        <w:t>2,</w:t>
      </w:r>
      <w:r w:rsidR="002F3BC2">
        <w:t>37</w:t>
      </w:r>
      <w:r w:rsidR="002F3BC2" w:rsidRPr="00795F17">
        <w:t> </w:t>
      </w:r>
      <w:r w:rsidRPr="00795F17">
        <w:t>zł korzyści społecznych wynikających z realizacji zaplanowanych inwestycji.</w:t>
      </w:r>
    </w:p>
    <w:p w14:paraId="2D7DBE51" w14:textId="5BAE98EA" w:rsidR="005E5391" w:rsidRPr="00795F17" w:rsidRDefault="005E5391" w:rsidP="00C53C86">
      <w:pPr>
        <w:pStyle w:val="Nagwek3"/>
      </w:pPr>
      <w:bookmarkStart w:id="633" w:name="_Toc63632758"/>
      <w:bookmarkStart w:id="634" w:name="_Toc105512693"/>
      <w:r w:rsidRPr="00795F17">
        <w:t xml:space="preserve">Wyniki analiz ekonomicznych </w:t>
      </w:r>
      <w:r w:rsidR="00843864">
        <w:t>–</w:t>
      </w:r>
      <w:r w:rsidRPr="00795F17">
        <w:t xml:space="preserve"> ocena jakościowa</w:t>
      </w:r>
      <w:bookmarkEnd w:id="633"/>
      <w:bookmarkEnd w:id="634"/>
    </w:p>
    <w:p w14:paraId="4BFAF806" w14:textId="67FB9BDF" w:rsidR="005E5391" w:rsidRPr="00795F17" w:rsidRDefault="005E5391" w:rsidP="0044393D">
      <w:r w:rsidRPr="00795F17">
        <w:t>W ocenie jakościowej zbadano wpływ poszczególnych działań w zestawie na otoczenie społeczno-gospodarcze w trzech obszarach: środowiskowym, społecznym i gospodarczym. Punktem wyjścia do</w:t>
      </w:r>
      <w:r w:rsidR="00D11892" w:rsidRPr="00795F17">
        <w:t> </w:t>
      </w:r>
      <w:r w:rsidRPr="00795F17">
        <w:t>oceny skutków społeczno-gospodarczych poszczególnych działań była ocena skuteczności poszczególnych działań. Dokonano oceny wpływu każdego działania na skutki społeczno-gospodarcze według poniższej skali:</w:t>
      </w:r>
    </w:p>
    <w:p w14:paraId="7609ECC5" w14:textId="542D2565" w:rsidR="005E5391" w:rsidRPr="00795F17" w:rsidRDefault="005E5391" w:rsidP="00117E86">
      <w:pPr>
        <w:pStyle w:val="Listapunktowana2"/>
      </w:pPr>
      <w:r w:rsidRPr="00795F17">
        <w:t xml:space="preserve">bardzo pozytywny </w:t>
      </w:r>
      <w:r w:rsidR="00B857A9">
        <w:t>–</w:t>
      </w:r>
      <w:r w:rsidRPr="00795F17">
        <w:t xml:space="preserve"> działanie oceniono wysoko lub bardzo wysoko pod względem skuteczności oraz wywołuje ono pozytywne skutki we wszystkich trzech obszarach oceny;</w:t>
      </w:r>
    </w:p>
    <w:p w14:paraId="75CD45A9" w14:textId="63006C1B" w:rsidR="005E5391" w:rsidRPr="00795F17" w:rsidRDefault="005E5391" w:rsidP="00117E86">
      <w:pPr>
        <w:pStyle w:val="Listapunktowana2"/>
      </w:pPr>
      <w:r w:rsidRPr="00795F17">
        <w:t xml:space="preserve">pozytywny </w:t>
      </w:r>
      <w:r w:rsidR="00B857A9">
        <w:t>–</w:t>
      </w:r>
      <w:r w:rsidRPr="00795F17">
        <w:t xml:space="preserve"> działanie oceniono wysoko lub bardzo wysoko pod względem skuteczności oraz wywołuje ono pozytywne skutki w dwóch z trzech obszarów oceny;</w:t>
      </w:r>
    </w:p>
    <w:p w14:paraId="5EF66D96" w14:textId="22402E8A" w:rsidR="005E5391" w:rsidRPr="00795F17" w:rsidRDefault="005E5391" w:rsidP="00117E86">
      <w:pPr>
        <w:pStyle w:val="Listapunktowana2"/>
      </w:pPr>
      <w:r w:rsidRPr="00795F17">
        <w:t xml:space="preserve">umiarkowany </w:t>
      </w:r>
      <w:r w:rsidR="00B857A9">
        <w:t>–</w:t>
      </w:r>
      <w:r w:rsidRPr="00795F17">
        <w:t xml:space="preserve"> skuteczność działania oceniona jako średnia bez względu na liczbę obszarów, w których wywołuje pozytywne skutki, lub działanie, które zostało ocenione jako bardzo pozytywne lub pozytywne, może wywoływać jednocześnie znaczące koszty społeczne (np.</w:t>
      </w:r>
      <w:r w:rsidR="0054360D" w:rsidRPr="00795F17">
        <w:t> </w:t>
      </w:r>
      <w:r w:rsidRPr="00795F17">
        <w:t>zmniejszenie produkcji rolnej);</w:t>
      </w:r>
    </w:p>
    <w:p w14:paraId="2ED703D0" w14:textId="134618BC" w:rsidR="005E5391" w:rsidRPr="00795F17" w:rsidRDefault="005E5391" w:rsidP="00117E86">
      <w:pPr>
        <w:pStyle w:val="Listapunktowana2"/>
      </w:pPr>
      <w:r w:rsidRPr="00795F17">
        <w:t xml:space="preserve">brak znaczącego wpływu </w:t>
      </w:r>
      <w:r w:rsidR="00B857A9">
        <w:t>–</w:t>
      </w:r>
      <w:r w:rsidRPr="00795F17">
        <w:t xml:space="preserve"> skuteczność działania oceniona jako niska lub bardzo niska, bez względu na liczbę obszarów, w których wywołuje pozytywne skutki.</w:t>
      </w:r>
    </w:p>
    <w:p w14:paraId="09BA00C2" w14:textId="77777777" w:rsidR="005E5391" w:rsidRPr="00795F17" w:rsidRDefault="005E5391" w:rsidP="0044393D">
      <w:r w:rsidRPr="00795F17">
        <w:t>Zestawienie liczby działań w podziale na poszczególne poziomy oddziaływania przedstawia tabela poniżej.</w:t>
      </w:r>
    </w:p>
    <w:p w14:paraId="3FBBBCD0" w14:textId="235A1021" w:rsidR="005E5391" w:rsidRPr="00795F17" w:rsidRDefault="005E5391" w:rsidP="004D7705">
      <w:pPr>
        <w:pStyle w:val="Tabela"/>
        <w:rPr>
          <w:szCs w:val="20"/>
        </w:rPr>
      </w:pPr>
      <w:bookmarkStart w:id="635" w:name="_Toc66341944"/>
      <w:bookmarkStart w:id="636" w:name="_Toc105512869"/>
      <w:r w:rsidRPr="00795F17">
        <w:t xml:space="preserve">Tabela </w:t>
      </w:r>
      <w:fldSimple w:instr=" STYLEREF 1 \s ">
        <w:r w:rsidR="001F774D">
          <w:rPr>
            <w:noProof/>
          </w:rPr>
          <w:t>11</w:t>
        </w:r>
      </w:fldSimple>
      <w:r w:rsidR="00BB3B21" w:rsidRPr="00795F17">
        <w:noBreakHyphen/>
      </w:r>
      <w:fldSimple w:instr=" SEQ Tabela \* ARABIC \s 1 ">
        <w:r w:rsidR="001F774D">
          <w:rPr>
            <w:noProof/>
          </w:rPr>
          <w:t>16</w:t>
        </w:r>
      </w:fldSimple>
      <w:r w:rsidR="00EB4B7B">
        <w:rPr>
          <w:noProof/>
        </w:rPr>
        <w:t>.</w:t>
      </w:r>
      <w:r w:rsidR="009F6D79" w:rsidRPr="00795F17">
        <w:tab/>
      </w:r>
      <w:r w:rsidRPr="00795F17">
        <w:t xml:space="preserve">Wyniki analiz ekonomicznych </w:t>
      </w:r>
      <w:r w:rsidR="00B857A9">
        <w:rPr>
          <w:szCs w:val="20"/>
        </w:rPr>
        <w:t>–</w:t>
      </w:r>
      <w:r w:rsidRPr="00795F17">
        <w:rPr>
          <w:szCs w:val="20"/>
        </w:rPr>
        <w:t xml:space="preserve"> ocena jakościowa</w:t>
      </w:r>
      <w:bookmarkEnd w:id="635"/>
      <w:bookmarkEnd w:id="6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850"/>
        <w:gridCol w:w="1135"/>
        <w:gridCol w:w="4814"/>
      </w:tblGrid>
      <w:tr w:rsidR="0054360D" w:rsidRPr="00795F17" w14:paraId="251F73E3" w14:textId="78F4BD1E" w:rsidTr="00A33E43">
        <w:trPr>
          <w:trHeight w:val="454"/>
          <w:tblHeader/>
        </w:trPr>
        <w:tc>
          <w:tcPr>
            <w:tcW w:w="1249" w:type="pct"/>
            <w:shd w:val="clear" w:color="auto" w:fill="BFBFBF" w:themeFill="background1" w:themeFillShade="BF"/>
            <w:vAlign w:val="center"/>
          </w:tcPr>
          <w:p w14:paraId="20474318" w14:textId="77777777" w:rsidR="0054360D" w:rsidRPr="00795F17" w:rsidRDefault="0054360D" w:rsidP="0044393D">
            <w:pPr>
              <w:pStyle w:val="Teksttabelinaglowek"/>
            </w:pPr>
            <w:r w:rsidRPr="00795F17">
              <w:t>Ocena wpływu na skutki społeczno-gospodarcze</w:t>
            </w:r>
          </w:p>
        </w:tc>
        <w:tc>
          <w:tcPr>
            <w:tcW w:w="469" w:type="pct"/>
            <w:shd w:val="clear" w:color="auto" w:fill="BFBFBF" w:themeFill="background1" w:themeFillShade="BF"/>
            <w:vAlign w:val="center"/>
          </w:tcPr>
          <w:p w14:paraId="68E5A6CA" w14:textId="77777777" w:rsidR="0054360D" w:rsidRPr="00795F17" w:rsidRDefault="0054360D" w:rsidP="0044393D">
            <w:pPr>
              <w:pStyle w:val="Teksttabelinaglowek"/>
            </w:pPr>
            <w:r w:rsidRPr="00795F17">
              <w:t>Liczba działań</w:t>
            </w:r>
          </w:p>
        </w:tc>
        <w:tc>
          <w:tcPr>
            <w:tcW w:w="626" w:type="pct"/>
            <w:shd w:val="clear" w:color="auto" w:fill="BFBFBF" w:themeFill="background1" w:themeFillShade="BF"/>
            <w:vAlign w:val="center"/>
          </w:tcPr>
          <w:p w14:paraId="4D3C80A1" w14:textId="0608FDF0" w:rsidR="0054360D" w:rsidRPr="00795F17" w:rsidRDefault="0054360D" w:rsidP="0054360D">
            <w:pPr>
              <w:pStyle w:val="Teksttabelinaglowek"/>
            </w:pPr>
            <w:r w:rsidRPr="00795F17">
              <w:t>Udział (%)</w:t>
            </w:r>
          </w:p>
        </w:tc>
        <w:tc>
          <w:tcPr>
            <w:tcW w:w="2656" w:type="pct"/>
            <w:shd w:val="clear" w:color="auto" w:fill="BFBFBF" w:themeFill="background1" w:themeFillShade="BF"/>
            <w:vAlign w:val="center"/>
          </w:tcPr>
          <w:p w14:paraId="60081DFC" w14:textId="02215933" w:rsidR="0054360D" w:rsidRPr="00795F17" w:rsidRDefault="0054360D" w:rsidP="0054360D">
            <w:pPr>
              <w:pStyle w:val="Teksttabelinaglowek"/>
            </w:pPr>
            <w:r w:rsidRPr="00795F17">
              <w:t>Grupy działań</w:t>
            </w:r>
          </w:p>
        </w:tc>
      </w:tr>
      <w:tr w:rsidR="00167B02" w:rsidRPr="00795F17" w14:paraId="33B69F8B" w14:textId="32733094" w:rsidTr="00A33E43">
        <w:trPr>
          <w:trHeight w:val="454"/>
        </w:trPr>
        <w:tc>
          <w:tcPr>
            <w:tcW w:w="1249" w:type="pct"/>
            <w:shd w:val="clear" w:color="auto" w:fill="auto"/>
            <w:vAlign w:val="center"/>
            <w:hideMark/>
          </w:tcPr>
          <w:p w14:paraId="42AD854F" w14:textId="77777777" w:rsidR="00167B02" w:rsidRPr="00795F17" w:rsidRDefault="00167B02" w:rsidP="00167B02">
            <w:pPr>
              <w:pStyle w:val="Teksttabelilewy"/>
            </w:pPr>
            <w:r w:rsidRPr="00795F17">
              <w:t>Wpływ bardzo pozytywny</w:t>
            </w:r>
          </w:p>
        </w:tc>
        <w:tc>
          <w:tcPr>
            <w:tcW w:w="469" w:type="pct"/>
            <w:shd w:val="clear" w:color="auto" w:fill="FFFFFF"/>
            <w:vAlign w:val="center"/>
          </w:tcPr>
          <w:p w14:paraId="15E00A3C" w14:textId="5672ABFE" w:rsidR="00167B02" w:rsidRPr="00795F17" w:rsidRDefault="00167B02" w:rsidP="00167B02">
            <w:pPr>
              <w:pStyle w:val="Teksttabelisrodek"/>
              <w:rPr>
                <w:rFonts w:cs="Calibri"/>
                <w:szCs w:val="20"/>
                <w:lang w:eastAsia="zh-CN"/>
              </w:rPr>
            </w:pPr>
            <w:r>
              <w:rPr>
                <w:rFonts w:cs="Calibri"/>
                <w:color w:val="000000"/>
                <w:szCs w:val="20"/>
              </w:rPr>
              <w:t>962</w:t>
            </w:r>
          </w:p>
        </w:tc>
        <w:tc>
          <w:tcPr>
            <w:tcW w:w="626" w:type="pct"/>
            <w:shd w:val="clear" w:color="auto" w:fill="FFFFFF"/>
            <w:vAlign w:val="center"/>
          </w:tcPr>
          <w:p w14:paraId="4EF54DCD" w14:textId="45DA4D89" w:rsidR="00167B02" w:rsidRPr="00795F17" w:rsidRDefault="00167B02" w:rsidP="00167B02">
            <w:pPr>
              <w:pStyle w:val="Teksttabelisrodek"/>
              <w:rPr>
                <w:rFonts w:cs="Calibri"/>
                <w:szCs w:val="20"/>
                <w:lang w:eastAsia="zh-CN"/>
              </w:rPr>
            </w:pPr>
            <w:r>
              <w:rPr>
                <w:rFonts w:cs="Calibri"/>
                <w:color w:val="000000"/>
                <w:szCs w:val="20"/>
              </w:rPr>
              <w:t>9,11</w:t>
            </w:r>
          </w:p>
        </w:tc>
        <w:tc>
          <w:tcPr>
            <w:tcW w:w="2656" w:type="pct"/>
            <w:shd w:val="clear" w:color="auto" w:fill="FFFFFF"/>
          </w:tcPr>
          <w:p w14:paraId="081B640D" w14:textId="2DE74AFD" w:rsidR="00167B02" w:rsidRPr="00795F17" w:rsidRDefault="00167B02" w:rsidP="00167B02">
            <w:pPr>
              <w:pStyle w:val="Teksttabelilewy"/>
            </w:pPr>
            <w:r w:rsidRPr="00795F17">
              <w:t>Działania z zakresu gospodarki ściekowej, ochrony i</w:t>
            </w:r>
            <w:r>
              <w:t> </w:t>
            </w:r>
            <w:r w:rsidRPr="00795F17">
              <w:t>zwiększania retencji oraz przebudowy budowli piętrzących, dla których skuteczność wdrożenia jest wysoka lub bardzo wysoka</w:t>
            </w:r>
          </w:p>
        </w:tc>
      </w:tr>
      <w:tr w:rsidR="00167B02" w:rsidRPr="00795F17" w14:paraId="5A0C6E4B" w14:textId="1DDA08BD" w:rsidTr="00A33E43">
        <w:trPr>
          <w:trHeight w:val="454"/>
        </w:trPr>
        <w:tc>
          <w:tcPr>
            <w:tcW w:w="1249" w:type="pct"/>
            <w:shd w:val="clear" w:color="auto" w:fill="auto"/>
            <w:vAlign w:val="center"/>
            <w:hideMark/>
          </w:tcPr>
          <w:p w14:paraId="00136AD2" w14:textId="77777777" w:rsidR="00167B02" w:rsidRPr="00795F17" w:rsidRDefault="00167B02" w:rsidP="00167B02">
            <w:pPr>
              <w:pStyle w:val="Teksttabelilewy"/>
              <w:rPr>
                <w:rFonts w:cs="Calibri"/>
                <w:szCs w:val="20"/>
                <w:lang w:eastAsia="zh-CN"/>
              </w:rPr>
            </w:pPr>
            <w:r w:rsidRPr="00795F17">
              <w:t>Wpływ pozytywny</w:t>
            </w:r>
          </w:p>
        </w:tc>
        <w:tc>
          <w:tcPr>
            <w:tcW w:w="469" w:type="pct"/>
            <w:shd w:val="clear" w:color="auto" w:fill="FFFFFF"/>
            <w:vAlign w:val="center"/>
          </w:tcPr>
          <w:p w14:paraId="03F5AD2B" w14:textId="62DD53CA" w:rsidR="00167B02" w:rsidRPr="00795F17" w:rsidRDefault="00167B02" w:rsidP="00167B02">
            <w:pPr>
              <w:pStyle w:val="Teksttabelisrodek"/>
              <w:rPr>
                <w:rFonts w:cs="Calibri"/>
                <w:szCs w:val="20"/>
                <w:lang w:eastAsia="zh-CN"/>
              </w:rPr>
            </w:pPr>
            <w:r>
              <w:rPr>
                <w:rFonts w:cs="Calibri"/>
                <w:color w:val="000000"/>
                <w:szCs w:val="20"/>
              </w:rPr>
              <w:t>5 398</w:t>
            </w:r>
          </w:p>
        </w:tc>
        <w:tc>
          <w:tcPr>
            <w:tcW w:w="626" w:type="pct"/>
            <w:shd w:val="clear" w:color="auto" w:fill="FFFFFF"/>
            <w:vAlign w:val="center"/>
          </w:tcPr>
          <w:p w14:paraId="03010AEA" w14:textId="31E55428" w:rsidR="00167B02" w:rsidRPr="00795F17" w:rsidRDefault="00167B02" w:rsidP="00167B02">
            <w:pPr>
              <w:pStyle w:val="Teksttabelisrodek"/>
              <w:rPr>
                <w:rFonts w:cs="Calibri"/>
                <w:szCs w:val="20"/>
                <w:lang w:eastAsia="zh-CN"/>
              </w:rPr>
            </w:pPr>
            <w:r>
              <w:rPr>
                <w:rFonts w:cs="Calibri"/>
                <w:color w:val="000000"/>
                <w:szCs w:val="20"/>
              </w:rPr>
              <w:t>51,14</w:t>
            </w:r>
          </w:p>
        </w:tc>
        <w:tc>
          <w:tcPr>
            <w:tcW w:w="2656" w:type="pct"/>
            <w:shd w:val="clear" w:color="auto" w:fill="FFFFFF"/>
          </w:tcPr>
          <w:p w14:paraId="508DEF1C" w14:textId="18B7CBB3" w:rsidR="00167B02" w:rsidRPr="00795F17" w:rsidRDefault="00167B02" w:rsidP="00167B02">
            <w:pPr>
              <w:pStyle w:val="Teksttabelilewy"/>
            </w:pPr>
            <w:r w:rsidRPr="00795F17">
              <w:t>Działania dotyczące obszarów chronionych, z zakresu hydromorfologii, retencji, gospodarki wodami opadowymi, gospodarki ściekowej, udrażniania przegród poprzecznych, renaturyzacji i rekultywacji jezior oraz inne działania organizacyjno-prawne, dla których skuteczność wdrożenia jest wysoka lub bardzo wysoka</w:t>
            </w:r>
          </w:p>
        </w:tc>
      </w:tr>
      <w:tr w:rsidR="00167B02" w:rsidRPr="00795F17" w14:paraId="650EF42F" w14:textId="701AE4B4" w:rsidTr="00A33E43">
        <w:trPr>
          <w:trHeight w:val="454"/>
        </w:trPr>
        <w:tc>
          <w:tcPr>
            <w:tcW w:w="1249" w:type="pct"/>
            <w:shd w:val="clear" w:color="auto" w:fill="auto"/>
            <w:vAlign w:val="center"/>
            <w:hideMark/>
          </w:tcPr>
          <w:p w14:paraId="29F01F3E" w14:textId="77777777" w:rsidR="00167B02" w:rsidRPr="00795F17" w:rsidRDefault="00167B02" w:rsidP="00167B02">
            <w:pPr>
              <w:pStyle w:val="Teksttabelilewy"/>
              <w:rPr>
                <w:rFonts w:cs="Calibri"/>
                <w:szCs w:val="20"/>
                <w:lang w:eastAsia="zh-CN"/>
              </w:rPr>
            </w:pPr>
            <w:r w:rsidRPr="00795F17">
              <w:t>Wpływ umiarkowany</w:t>
            </w:r>
          </w:p>
        </w:tc>
        <w:tc>
          <w:tcPr>
            <w:tcW w:w="469" w:type="pct"/>
            <w:shd w:val="clear" w:color="auto" w:fill="FFFFFF"/>
            <w:vAlign w:val="center"/>
          </w:tcPr>
          <w:p w14:paraId="7BEB4651" w14:textId="583731A0" w:rsidR="00167B02" w:rsidRPr="00795F17" w:rsidRDefault="00167B02" w:rsidP="00167B02">
            <w:pPr>
              <w:pStyle w:val="Teksttabelisrodek"/>
              <w:rPr>
                <w:rFonts w:cs="Calibri"/>
                <w:szCs w:val="20"/>
                <w:lang w:eastAsia="zh-CN"/>
              </w:rPr>
            </w:pPr>
            <w:r>
              <w:rPr>
                <w:rFonts w:cs="Calibri"/>
                <w:color w:val="000000"/>
                <w:szCs w:val="20"/>
              </w:rPr>
              <w:t>644</w:t>
            </w:r>
          </w:p>
        </w:tc>
        <w:tc>
          <w:tcPr>
            <w:tcW w:w="626" w:type="pct"/>
            <w:shd w:val="clear" w:color="auto" w:fill="FFFFFF"/>
            <w:vAlign w:val="center"/>
          </w:tcPr>
          <w:p w14:paraId="0BF5857E" w14:textId="49613970" w:rsidR="00167B02" w:rsidRPr="00795F17" w:rsidRDefault="00167B02" w:rsidP="00167B02">
            <w:pPr>
              <w:pStyle w:val="Teksttabelisrodek"/>
              <w:rPr>
                <w:rFonts w:cs="Calibri"/>
                <w:szCs w:val="20"/>
                <w:lang w:eastAsia="zh-CN"/>
              </w:rPr>
            </w:pPr>
            <w:r>
              <w:rPr>
                <w:rFonts w:cs="Calibri"/>
                <w:color w:val="000000"/>
                <w:szCs w:val="20"/>
              </w:rPr>
              <w:t>6,10</w:t>
            </w:r>
          </w:p>
        </w:tc>
        <w:tc>
          <w:tcPr>
            <w:tcW w:w="2656" w:type="pct"/>
            <w:shd w:val="clear" w:color="auto" w:fill="FFFFFF"/>
          </w:tcPr>
          <w:p w14:paraId="52C4BDEF" w14:textId="27B05F91" w:rsidR="00167B02" w:rsidRPr="00795F17" w:rsidRDefault="00167B02" w:rsidP="00167B02">
            <w:pPr>
              <w:pStyle w:val="Teksttabelilewy"/>
            </w:pPr>
            <w:r w:rsidRPr="00795F17">
              <w:t>Działania edukacyjne, doradcze, z zakresu poprawy warunków wodnych i siedliskowych jezior, dotyczące obszarów chronionych, gospodarki ściekowej, gospodarki wodami opadowymi, realizacji KPOŚK, działania organizacyjno-prawne, edukacyjne, administracyjne i monitoringowe, mogą wykazywać potencjalne negatywne skutki społeczno-gospodarcze niezależnie od skuteczności wdrożenia</w:t>
            </w:r>
          </w:p>
        </w:tc>
      </w:tr>
      <w:tr w:rsidR="00167B02" w:rsidRPr="00795F17" w14:paraId="58FE8394" w14:textId="60B74D11" w:rsidTr="00A33E43">
        <w:trPr>
          <w:trHeight w:val="454"/>
        </w:trPr>
        <w:tc>
          <w:tcPr>
            <w:tcW w:w="1249" w:type="pct"/>
            <w:shd w:val="clear" w:color="auto" w:fill="auto"/>
            <w:vAlign w:val="center"/>
            <w:hideMark/>
          </w:tcPr>
          <w:p w14:paraId="09BA9EDF" w14:textId="77777777" w:rsidR="00167B02" w:rsidRPr="00795F17" w:rsidRDefault="00167B02" w:rsidP="00167B02">
            <w:pPr>
              <w:pStyle w:val="Teksttabelilewy"/>
              <w:rPr>
                <w:rFonts w:cs="Calibri"/>
                <w:szCs w:val="20"/>
                <w:lang w:eastAsia="zh-CN"/>
              </w:rPr>
            </w:pPr>
            <w:r w:rsidRPr="00795F17">
              <w:t>Brak znaczącego wpływu</w:t>
            </w:r>
          </w:p>
        </w:tc>
        <w:tc>
          <w:tcPr>
            <w:tcW w:w="469" w:type="pct"/>
            <w:shd w:val="clear" w:color="auto" w:fill="FFFFFF"/>
            <w:vAlign w:val="center"/>
          </w:tcPr>
          <w:p w14:paraId="576D84C9" w14:textId="5FE4501C" w:rsidR="00167B02" w:rsidRPr="00795F17" w:rsidRDefault="00167B02" w:rsidP="00167B02">
            <w:pPr>
              <w:pStyle w:val="Teksttabelisrodek"/>
              <w:rPr>
                <w:rFonts w:cs="Calibri"/>
                <w:szCs w:val="20"/>
                <w:lang w:eastAsia="zh-CN"/>
              </w:rPr>
            </w:pPr>
            <w:r>
              <w:rPr>
                <w:rFonts w:cs="Calibri"/>
                <w:color w:val="000000"/>
                <w:szCs w:val="20"/>
              </w:rPr>
              <w:t>3 551</w:t>
            </w:r>
          </w:p>
        </w:tc>
        <w:tc>
          <w:tcPr>
            <w:tcW w:w="626" w:type="pct"/>
            <w:shd w:val="clear" w:color="auto" w:fill="FFFFFF"/>
            <w:vAlign w:val="center"/>
          </w:tcPr>
          <w:p w14:paraId="1F8C0091" w14:textId="183BCE2C" w:rsidR="00167B02" w:rsidRPr="00795F17" w:rsidRDefault="00167B02" w:rsidP="00167B02">
            <w:pPr>
              <w:pStyle w:val="Teksttabelisrodek"/>
              <w:rPr>
                <w:rFonts w:cs="Calibri"/>
                <w:szCs w:val="20"/>
                <w:lang w:eastAsia="zh-CN"/>
              </w:rPr>
            </w:pPr>
            <w:r>
              <w:rPr>
                <w:rFonts w:cs="Calibri"/>
                <w:color w:val="000000"/>
                <w:szCs w:val="20"/>
              </w:rPr>
              <w:t>33,64</w:t>
            </w:r>
          </w:p>
        </w:tc>
        <w:tc>
          <w:tcPr>
            <w:tcW w:w="2656" w:type="pct"/>
            <w:shd w:val="clear" w:color="auto" w:fill="FFFFFF"/>
          </w:tcPr>
          <w:p w14:paraId="73147DCF" w14:textId="5CBAD07C" w:rsidR="00167B02" w:rsidRPr="00795F17" w:rsidRDefault="00167B02" w:rsidP="00167B02">
            <w:pPr>
              <w:pStyle w:val="Teksttabelilewy"/>
            </w:pPr>
            <w:r w:rsidRPr="00795F17">
              <w:t>Działania edukacyjne, doradcze, kontrolne i</w:t>
            </w:r>
            <w:r>
              <w:t> </w:t>
            </w:r>
            <w:r w:rsidRPr="00795F17">
              <w:t>monitoringowe, dotyczące obszarów chronionych, działania w zakresu retencji, przebudowy budowli piętrzących, udrażniania przegród, gospodarki ściekowej, ochrony ekosystemów wodnych i od wód zależnych, ograniczania zanieczyszczania pestycydami, renaturyzacji, rekultywacji jezior, z zakresu hydromorfologii, ochrony przez zanieczyszczeniami, weryfikacji i aktualizacji programu ochrony środowiska, działania zapobiegawcze w strefie brzegowej, dotyczące rekultywacji terenów zanieczyszczonych oraz działania naukowo-badawcze, administracyjne i organizacyjno-prawne, dla których skuteczność wdrożenia jest niska lub bardzo niska</w:t>
            </w:r>
          </w:p>
        </w:tc>
      </w:tr>
    </w:tbl>
    <w:p w14:paraId="370ABADA" w14:textId="3EDCC80B" w:rsidR="005E5391" w:rsidRPr="00795F17" w:rsidRDefault="005E5391" w:rsidP="0044393D">
      <w:pPr>
        <w:pStyle w:val="rdo"/>
        <w:rPr>
          <w:lang w:eastAsia="zh-CN"/>
        </w:rPr>
      </w:pPr>
      <w:r w:rsidRPr="00795F17">
        <w:rPr>
          <w:lang w:eastAsia="zh-CN"/>
        </w:rPr>
        <w:t xml:space="preserve">Źródło: </w:t>
      </w:r>
      <w:r w:rsidR="00FD7248" w:rsidRPr="00795F17">
        <w:rPr>
          <w:lang w:eastAsia="zh-CN"/>
        </w:rPr>
        <w:t>opracowanie własne</w:t>
      </w:r>
      <w:bookmarkEnd w:id="571"/>
    </w:p>
    <w:p w14:paraId="5E08958B" w14:textId="5F8A726E" w:rsidR="00E4721F" w:rsidRPr="00795F17" w:rsidRDefault="008C6825" w:rsidP="00BA6B41">
      <w:pPr>
        <w:pStyle w:val="Nagwek1"/>
      </w:pPr>
      <w:bookmarkStart w:id="637" w:name="_Toc66272280"/>
      <w:r w:rsidRPr="00795F17">
        <w:br w:type="column"/>
      </w:r>
      <w:bookmarkStart w:id="638" w:name="_Toc66347820"/>
      <w:bookmarkStart w:id="639" w:name="_Toc105512694"/>
      <w:r w:rsidR="00E4721F" w:rsidRPr="00795F17">
        <w:t>Zestaw działań</w:t>
      </w:r>
      <w:bookmarkEnd w:id="637"/>
      <w:bookmarkEnd w:id="638"/>
      <w:bookmarkEnd w:id="639"/>
    </w:p>
    <w:p w14:paraId="01078A47" w14:textId="5AFA77D3" w:rsidR="00CF60E7" w:rsidRPr="00795F17" w:rsidRDefault="00CF60E7" w:rsidP="00CF60E7">
      <w:r w:rsidRPr="00795F17">
        <w:t xml:space="preserve">Każde </w:t>
      </w:r>
      <w:r w:rsidR="00B1712E">
        <w:t>p</w:t>
      </w:r>
      <w:r w:rsidRPr="00795F17">
        <w:t xml:space="preserve">aństwo </w:t>
      </w:r>
      <w:r w:rsidR="00B1712E">
        <w:t>c</w:t>
      </w:r>
      <w:r w:rsidRPr="00795F17">
        <w:t>złonkowskie zapewnia ustalenie programu</w:t>
      </w:r>
      <w:r w:rsidR="007022CC">
        <w:t xml:space="preserve"> </w:t>
      </w:r>
      <w:r w:rsidRPr="00795F17">
        <w:t xml:space="preserve">środków (działań), dla wszystkich obszarów dorzeczy lub części międzynarodowych obszarów dorzeczy leżących na jego terytorium, uwzględniając wyniki analiz wymaganych art. 5 RDW (w tym przegląd wpływu działalności człowieka na środowisko i analiza ekonomiczna korzystania z wód). Program działań (zgodnie z pr.w. </w:t>
      </w:r>
      <w:r w:rsidR="00B857A9">
        <w:t>–</w:t>
      </w:r>
      <w:r w:rsidRPr="00795F17">
        <w:t xml:space="preserve"> zestaw działań) powinien być ukierunkowany na osiągnięcie celów środowiskowych dla wód powierzchniowych, podziemnych i obszarów chronionych. </w:t>
      </w:r>
    </w:p>
    <w:p w14:paraId="195069D6" w14:textId="675A47C2" w:rsidR="00CF60E7" w:rsidRPr="00795F17" w:rsidRDefault="00CF60E7" w:rsidP="00CF60E7">
      <w:r w:rsidRPr="00795F17">
        <w:t>Niniejszy rozdział przedstawia informacje dotyczące zestawu działań wypracowanego w ramach IIaPGW dla jcw obszaru dorzecza Odry wraz z uwzględnieniem obszarów chronionych. Według pr.w. plan gospodarowania wodami powinien zawierać zestaw działań z uwzględnieniem sposobów osiągania ustanawianych celów środowiskowych wraz z jego podsumowaniem. Szczegółowy zakres informacji koniecznych do sporządzania planów gospodarowania wodami na obszarach dorzeczy obejmuje zestaw działań, o których mowa w art. 324 ust. 1 pr.w., z uwzględnieniem sposobów osiągania ustanawianych celów środowiskowych oraz informacje o działaniach, o których mowa w</w:t>
      </w:r>
      <w:r w:rsidR="00B1712E">
        <w:t> </w:t>
      </w:r>
      <w:r w:rsidRPr="00795F17">
        <w:t>art.</w:t>
      </w:r>
      <w:r w:rsidR="00274C55">
        <w:t> </w:t>
      </w:r>
      <w:r w:rsidRPr="00795F17">
        <w:t>159 ust. 1 i</w:t>
      </w:r>
      <w:r w:rsidR="00EE534C">
        <w:t xml:space="preserve"> ust.</w:t>
      </w:r>
      <w:r w:rsidRPr="00795F17">
        <w:t xml:space="preserve"> 3 pr.w. (§2 ust. 1 pkt 12 r.</w:t>
      </w:r>
      <w:r w:rsidR="00B1712E">
        <w:t xml:space="preserve"> </w:t>
      </w:r>
      <w:r w:rsidRPr="00795F17">
        <w:t xml:space="preserve">p.g.w.). Zestaw działań po raz pierwszy stanowi element planu gospodarowania wodami, do tej pory plan podsumowywał działania zawarte w odrębnym dokumencie, tj. programie wodno-środowiskowym kraju. </w:t>
      </w:r>
    </w:p>
    <w:p w14:paraId="3CF8F862" w14:textId="77777777" w:rsidR="00CF60E7" w:rsidRPr="00795F17" w:rsidRDefault="00CF60E7" w:rsidP="00CF60E7">
      <w:r w:rsidRPr="00795F17">
        <w:t xml:space="preserve">Każdy zestaw działań zawiera „podstawowe” działania określone w art. 11 ust. 3 RDW, oraz, jeśli to stosowne, działania „uzupełniające”, które mogą zostać przyjęte w celu osiągnięcia przez jcw celów środowiskowych, wskazane w art. 11 ust. 4 RDW. </w:t>
      </w:r>
    </w:p>
    <w:p w14:paraId="365D8B13" w14:textId="5BDEDE9F" w:rsidR="00CF60E7" w:rsidRPr="00795F17" w:rsidRDefault="00CF60E7" w:rsidP="00CF60E7">
      <w:r w:rsidRPr="00795F17">
        <w:t>Pomimo, że działania podstawowe określane są mianem wymogów minimalnych to ich zakres jest bardzo szeroki. Po pierwsze obejmują one wszystkie działania wymagane dla wdrożenia prawodawstwa UE dotyczącego ochrony wód wychodzącego poza zakres RDW, po drugie obejmują one działania niezbędne do realizacji celów wskazanych w samej RDW (art. 4, art. 7, art. 9, art.</w:t>
      </w:r>
      <w:r w:rsidR="009D4960">
        <w:t xml:space="preserve"> </w:t>
      </w:r>
      <w:r w:rsidRPr="00795F17">
        <w:t xml:space="preserve">10), w tym precyzyjnie określone w art. 11 ust. 3 </w:t>
      </w:r>
      <w:r w:rsidR="00F65860">
        <w:t>RDW</w:t>
      </w:r>
      <w:r w:rsidRPr="00795F17">
        <w:t xml:space="preserve"> obowiązki i zakazy, które należy wdrożyć do prawodawstwa krajowego. </w:t>
      </w:r>
    </w:p>
    <w:p w14:paraId="3DAD345D" w14:textId="100F68BC" w:rsidR="00CF60E7" w:rsidRPr="00795F17" w:rsidRDefault="00CF60E7" w:rsidP="00CF60E7">
      <w:r w:rsidRPr="00795F17">
        <w:t xml:space="preserve">Katalog działań uzupełniających ma natomiast charakter otwarty </w:t>
      </w:r>
      <w:r w:rsidR="00B857A9">
        <w:t>–</w:t>
      </w:r>
      <w:r w:rsidRPr="00795F17">
        <w:t xml:space="preserve"> przykłady działań uzupełniających wskazano w części B Załącznika VI RDW. Ich zadaniem jest wsparcie działań podstawowych w realizacji celów zasadniczych z art. 4 RDW. </w:t>
      </w:r>
    </w:p>
    <w:p w14:paraId="38BEB32B" w14:textId="18D0F5B7" w:rsidR="00CF60E7" w:rsidRPr="00795F17" w:rsidRDefault="00CF60E7" w:rsidP="00CF60E7">
      <w:r w:rsidRPr="00795F17">
        <w:t xml:space="preserve">Zgodnie z art. 11 oraz załącznikiem VI RDW działania podstawowe to środki wymagane na mocy następujących dyrektyw i rozporządzeń Parlamentu Europejskiego: </w:t>
      </w:r>
    </w:p>
    <w:p w14:paraId="06EC5B3B" w14:textId="4362BB22" w:rsidR="00CF60E7" w:rsidRPr="00795F17" w:rsidRDefault="00843864" w:rsidP="00117E86">
      <w:pPr>
        <w:pStyle w:val="Listapunktowana2"/>
      </w:pPr>
      <w:r>
        <w:t>d</w:t>
      </w:r>
      <w:r w:rsidR="00CF60E7" w:rsidRPr="00795F17">
        <w:t>yrektywa Parlamentu Europejskiego i Rady 2011/92/UE z dnia 13 grudnia 2011 r. w sprawie oceny skutków wywieranych przez niektóre przedsięwzięcia publiczne i prywatne na środowisko (Dz.Urz. UE L 26 z 28</w:t>
      </w:r>
      <w:r w:rsidR="004224EA">
        <w:t>.01.</w:t>
      </w:r>
      <w:r w:rsidR="00CF60E7" w:rsidRPr="00795F17">
        <w:t>201</w:t>
      </w:r>
      <w:r w:rsidR="00F7710A">
        <w:t>2</w:t>
      </w:r>
      <w:r w:rsidR="00CF60E7" w:rsidRPr="00795F17">
        <w:t xml:space="preserve"> r</w:t>
      </w:r>
      <w:r w:rsidR="004224EA" w:rsidRPr="00795F17">
        <w:t>.</w:t>
      </w:r>
      <w:r w:rsidR="004224EA">
        <w:t>, str. 1)</w:t>
      </w:r>
    </w:p>
    <w:p w14:paraId="34749B69" w14:textId="7DD07260" w:rsidR="00CF60E7" w:rsidRPr="00795F17" w:rsidRDefault="00843864" w:rsidP="00117E86">
      <w:pPr>
        <w:pStyle w:val="Listapunktowana2"/>
      </w:pPr>
      <w:r>
        <w:t>r</w:t>
      </w:r>
      <w:r w:rsidR="00CF60E7" w:rsidRPr="00795F17">
        <w:t>ozporządzenie Parlamentu Europejskiego i Rady (WE) nr 1107/2009 z dnia 21 października 2009 r. dotyczące wprowadzania do obrotu środków ochrony roślin i uchylające dyrektywy Rady 79/117/EWG i 91/414/EWG (Dz.Urz. UE L 309 z dnia 24</w:t>
      </w:r>
      <w:r w:rsidR="00130762">
        <w:t>.11</w:t>
      </w:r>
      <w:r w:rsidR="00130762" w:rsidRPr="00795F17">
        <w:t>2009 r.</w:t>
      </w:r>
      <w:r w:rsidR="00130762">
        <w:t>, str. 1</w:t>
      </w:r>
      <w:r w:rsidR="00130762" w:rsidRPr="00795F17">
        <w:t>);</w:t>
      </w:r>
    </w:p>
    <w:p w14:paraId="787ACEBA" w14:textId="75E4B3CE" w:rsidR="00CF60E7" w:rsidRPr="00795F17" w:rsidRDefault="00843864" w:rsidP="00117E86">
      <w:pPr>
        <w:pStyle w:val="Listapunktowana2"/>
      </w:pPr>
      <w:r>
        <w:t>d</w:t>
      </w:r>
      <w:r w:rsidR="00CF60E7" w:rsidRPr="00795F17">
        <w:t>yrektywa Rady z dnia 12 czerwca 1986 r. w sprawie ochrony środowiska, w</w:t>
      </w:r>
      <w:r w:rsidR="00274C55">
        <w:t> </w:t>
      </w:r>
      <w:r w:rsidR="00CF60E7" w:rsidRPr="00795F17">
        <w:t xml:space="preserve">szczególności gleby, w przypadku wykorzystywania osadów ściekowych w rolnictwie </w:t>
      </w:r>
      <w:r w:rsidR="00BC1DF9" w:rsidRPr="00904B54">
        <w:t>86/278/EWG</w:t>
      </w:r>
      <w:r w:rsidR="0086410E">
        <w:t xml:space="preserve"> </w:t>
      </w:r>
      <w:r w:rsidR="00CF60E7" w:rsidRPr="00795F17">
        <w:t xml:space="preserve">(Dz.Urz. </w:t>
      </w:r>
      <w:r w:rsidR="00D9698D">
        <w:t>W</w:t>
      </w:r>
      <w:r w:rsidR="00D9698D" w:rsidRPr="00795F17">
        <w:t xml:space="preserve">E L 181 z </w:t>
      </w:r>
      <w:r w:rsidR="00D9698D">
        <w:t>0</w:t>
      </w:r>
      <w:r w:rsidR="00D9698D" w:rsidRPr="00795F17">
        <w:t>4</w:t>
      </w:r>
      <w:r w:rsidR="00D9698D">
        <w:t>.07.1986</w:t>
      </w:r>
      <w:r w:rsidR="00D9698D" w:rsidRPr="00795F17">
        <w:t xml:space="preserve"> r.</w:t>
      </w:r>
      <w:r w:rsidR="00D9698D">
        <w:t>, z późn. zm.</w:t>
      </w:r>
      <w:r w:rsidR="00D9698D" w:rsidRPr="00795F17">
        <w:t>);</w:t>
      </w:r>
    </w:p>
    <w:p w14:paraId="1A59AFA2" w14:textId="5CA98239" w:rsidR="00CF60E7" w:rsidRPr="00795F17" w:rsidRDefault="00843864" w:rsidP="00117E86">
      <w:pPr>
        <w:pStyle w:val="Listapunktowana2"/>
      </w:pPr>
      <w:r>
        <w:t>d</w:t>
      </w:r>
      <w:r w:rsidR="00CF60E7" w:rsidRPr="00795F17">
        <w:t xml:space="preserve">yrektywa Rady 96/82/WE z dnia 9 grudnia 1996 r. w sprawie kontroli niebezpieczeństwa poważnych awarii związanych z substancjami niebezpiecznymi (Dz.Urz. </w:t>
      </w:r>
      <w:r w:rsidR="00901310">
        <w:t>W</w:t>
      </w:r>
      <w:r w:rsidR="00901310" w:rsidRPr="00795F17">
        <w:t>E L</w:t>
      </w:r>
      <w:r w:rsidR="00901310">
        <w:t xml:space="preserve"> 10</w:t>
      </w:r>
      <w:r w:rsidR="00901310" w:rsidRPr="00795F17">
        <w:t xml:space="preserve"> z 14</w:t>
      </w:r>
      <w:r w:rsidR="00901310">
        <w:t>.01.</w:t>
      </w:r>
      <w:r w:rsidR="00901310" w:rsidRPr="00795F17">
        <w:t>1997 r.</w:t>
      </w:r>
      <w:r w:rsidR="00901310">
        <w:t>, str. 13</w:t>
      </w:r>
      <w:r w:rsidR="00901310" w:rsidRPr="00795F17">
        <w:t xml:space="preserve">) </w:t>
      </w:r>
      <w:r w:rsidR="00CF60E7" w:rsidRPr="00795F17">
        <w:t xml:space="preserve">oraz </w:t>
      </w:r>
      <w:r w:rsidR="00AB116C">
        <w:t>d</w:t>
      </w:r>
      <w:r w:rsidR="00CF60E7" w:rsidRPr="00795F17">
        <w:t>yrektywa Parlamentu Europejskiego i Rady 2012/18/UE z dnia 4</w:t>
      </w:r>
      <w:r w:rsidR="00B1712E">
        <w:t> </w:t>
      </w:r>
      <w:r w:rsidR="00CF60E7" w:rsidRPr="00795F17">
        <w:t>lipca 2012 r. w sprawie kontroli zagrożeń poważnymi awariami związanymi z substancjami niebezpiecznymi, zmieniająca, a następnie uchylająca dyrektywę Rady 96/82/WE (Dz.Urz. UE L 197 z 24</w:t>
      </w:r>
      <w:r w:rsidR="00133D6E">
        <w:t>.07.2002 r., str. 1</w:t>
      </w:r>
      <w:r w:rsidR="00133D6E" w:rsidRPr="00795F17">
        <w:t>);</w:t>
      </w:r>
    </w:p>
    <w:p w14:paraId="7DB38947" w14:textId="67F7086F" w:rsidR="00CF60E7" w:rsidRPr="00795F17" w:rsidRDefault="00843864" w:rsidP="00117E86">
      <w:pPr>
        <w:pStyle w:val="Listapunktowana2"/>
      </w:pPr>
      <w:r>
        <w:t>d</w:t>
      </w:r>
      <w:r w:rsidR="00CF60E7" w:rsidRPr="00795F17">
        <w:t>yrektywa Parlamentu Europejskiego i Rady 2010/75/UE z dnia 24 listopada 2010 r. w</w:t>
      </w:r>
      <w:r w:rsidR="00274C55">
        <w:t> </w:t>
      </w:r>
      <w:r w:rsidR="00CF60E7" w:rsidRPr="00795F17">
        <w:t>sprawie emisji przemysłowych (zintegrowane zapobieganie zanieczyszczeniom i ich kontrola) (Dz.Urz. UE L 334 z 17</w:t>
      </w:r>
      <w:r w:rsidR="00305822">
        <w:t>.12.</w:t>
      </w:r>
      <w:r w:rsidR="00305822" w:rsidRPr="00795F17">
        <w:t>2010</w:t>
      </w:r>
      <w:r w:rsidR="00CF60E7" w:rsidRPr="00795F17">
        <w:t xml:space="preserve"> r</w:t>
      </w:r>
      <w:r w:rsidR="00305822" w:rsidRPr="00795F17">
        <w:t>.</w:t>
      </w:r>
      <w:r w:rsidR="00305822">
        <w:t>,</w:t>
      </w:r>
      <w:r w:rsidR="00010079">
        <w:t xml:space="preserve"> z późn. zm.</w:t>
      </w:r>
      <w:r w:rsidR="00CF60E7" w:rsidRPr="00795F17">
        <w:t>);</w:t>
      </w:r>
    </w:p>
    <w:p w14:paraId="6BA6682B" w14:textId="2E5DE0E1" w:rsidR="00CF60E7" w:rsidRPr="00795F17" w:rsidRDefault="00843864" w:rsidP="00117E86">
      <w:pPr>
        <w:pStyle w:val="Listapunktowana2"/>
      </w:pPr>
      <w:r>
        <w:t>d</w:t>
      </w:r>
      <w:r w:rsidR="00CF60E7" w:rsidRPr="00795F17">
        <w:t xml:space="preserve">yrektywa Rady </w:t>
      </w:r>
      <w:r w:rsidR="00EE497D" w:rsidRPr="00795F17">
        <w:t>91/271/EWG</w:t>
      </w:r>
      <w:r w:rsidR="00EE497D">
        <w:t>;</w:t>
      </w:r>
    </w:p>
    <w:p w14:paraId="69F731BB" w14:textId="35CE901A" w:rsidR="00CF60E7" w:rsidRDefault="00843864" w:rsidP="00117E86">
      <w:pPr>
        <w:pStyle w:val="Listapunktowana2"/>
      </w:pPr>
      <w:r>
        <w:t>d</w:t>
      </w:r>
      <w:r w:rsidR="00CF60E7" w:rsidRPr="00795F17">
        <w:t xml:space="preserve">yrektywa </w:t>
      </w:r>
      <w:r w:rsidR="00702BC3">
        <w:t>dot. jakości wody do spożycia;</w:t>
      </w:r>
    </w:p>
    <w:p w14:paraId="4B3BB35E" w14:textId="03E38279" w:rsidR="00CF60E7" w:rsidRPr="00795F17" w:rsidRDefault="00843864" w:rsidP="00117E86">
      <w:pPr>
        <w:pStyle w:val="Listapunktowana2"/>
      </w:pPr>
      <w:r>
        <w:t>d</w:t>
      </w:r>
      <w:r w:rsidR="00CF60E7" w:rsidRPr="00795F17">
        <w:t>yrektywa 2006/7/WE Parlamentu Europejskiego i Rady z dnia 15 lutego 2006</w:t>
      </w:r>
      <w:r w:rsidR="00B1712E">
        <w:t> </w:t>
      </w:r>
      <w:r w:rsidR="00CF60E7" w:rsidRPr="00795F17">
        <w:t xml:space="preserve">r. dotycząca zarządzania jakością wody w kąpieliskach i uchylająca dyrektywę 76/160/EWG (Dz.Urz. UE L 64/37 z dnia 4 marca 2006 r.); </w:t>
      </w:r>
    </w:p>
    <w:p w14:paraId="4C5CEE38" w14:textId="6043C4BE" w:rsidR="00CF60E7" w:rsidRPr="00795F17" w:rsidRDefault="00843864" w:rsidP="00117E86">
      <w:pPr>
        <w:pStyle w:val="Listapunktowana2"/>
      </w:pPr>
      <w:r>
        <w:t>d</w:t>
      </w:r>
      <w:r w:rsidR="00CF60E7" w:rsidRPr="00795F17">
        <w:t xml:space="preserve">yrektywa Rady 92/43/EWG z dnia 21 maja 1992 r. w sprawie ochrony siedlisk przyrodniczych oraz dzikiej fauny i flory (Dz.Urz. </w:t>
      </w:r>
      <w:r w:rsidR="009515FD">
        <w:t>W</w:t>
      </w:r>
      <w:r w:rsidR="009515FD" w:rsidRPr="00795F17">
        <w:t>E L 206 z</w:t>
      </w:r>
      <w:r w:rsidR="009515FD">
        <w:t xml:space="preserve"> </w:t>
      </w:r>
      <w:r w:rsidR="009515FD" w:rsidRPr="00795F17">
        <w:t>22</w:t>
      </w:r>
      <w:r w:rsidR="009515FD">
        <w:t>.07.</w:t>
      </w:r>
      <w:r w:rsidR="009515FD" w:rsidRPr="00795F17">
        <w:t>1992 r.</w:t>
      </w:r>
      <w:r w:rsidR="009515FD">
        <w:t>, str.7</w:t>
      </w:r>
      <w:r w:rsidR="009515FD" w:rsidRPr="00795F17">
        <w:t>);</w:t>
      </w:r>
    </w:p>
    <w:p w14:paraId="242BC8B7" w14:textId="44B6355B" w:rsidR="00CF60E7" w:rsidRPr="00795F17" w:rsidRDefault="00843864" w:rsidP="00117E86">
      <w:pPr>
        <w:pStyle w:val="Listapunktowana2"/>
      </w:pPr>
      <w:r>
        <w:t>d</w:t>
      </w:r>
      <w:r w:rsidR="00CF60E7" w:rsidRPr="00795F17">
        <w:t>yrektywa Parlamentu Europejskiego i Rady 2009/147/WE z dnia 30 listopada 2009 r. w sprawie ochrony dzikiego ptactwa (Dz.Urz. UE L 20 z 26</w:t>
      </w:r>
      <w:r w:rsidR="00136BDB">
        <w:t>.01.</w:t>
      </w:r>
      <w:r w:rsidR="00CF60E7" w:rsidRPr="00795F17">
        <w:t>2010 r</w:t>
      </w:r>
      <w:r w:rsidR="00136BDB" w:rsidRPr="00795F17">
        <w:t>.</w:t>
      </w:r>
      <w:r w:rsidR="00136BDB">
        <w:t>,. str. 7</w:t>
      </w:r>
      <w:r w:rsidR="00136BDB" w:rsidRPr="00795F17">
        <w:t>);</w:t>
      </w:r>
    </w:p>
    <w:p w14:paraId="619A0ED1" w14:textId="4CFF43C2" w:rsidR="00CF60E7" w:rsidRPr="00795F17" w:rsidRDefault="00267AF7" w:rsidP="00117E86">
      <w:pPr>
        <w:pStyle w:val="Listapunktowana2"/>
      </w:pPr>
      <w:r w:rsidRPr="00795F17">
        <w:t xml:space="preserve">Dyrektywa </w:t>
      </w:r>
      <w:r>
        <w:t>Azotanowa;</w:t>
      </w:r>
      <w:r w:rsidR="00442AC6">
        <w:t>DWP</w:t>
      </w:r>
    </w:p>
    <w:p w14:paraId="6E375013" w14:textId="1115EA61" w:rsidR="00CF60E7" w:rsidRPr="00795F17" w:rsidRDefault="00843864" w:rsidP="00117E86">
      <w:pPr>
        <w:pStyle w:val="Listapunktowana2"/>
      </w:pPr>
      <w:r>
        <w:t>d</w:t>
      </w:r>
      <w:r w:rsidR="00CF60E7" w:rsidRPr="00795F17">
        <w:t>yrektywa Komisji 2009/90/WE z dnia 31 lipca 2009 r. ustanawiająca, na mocy dyrektywy 2000/60/WE Parlamentu Europejskiego i Rady, specyfikacje techniczne w zakresie analizy i</w:t>
      </w:r>
      <w:r w:rsidR="004827B4">
        <w:t> </w:t>
      </w:r>
      <w:r w:rsidR="00CF60E7" w:rsidRPr="00795F17">
        <w:t>monitorowania stanu chemicznego wód (Dz.Urz. UE L 201 z dnia 1</w:t>
      </w:r>
      <w:r w:rsidR="00282C58">
        <w:t>.08.</w:t>
      </w:r>
      <w:r w:rsidR="00282C58" w:rsidRPr="00795F17">
        <w:t>2009 r.</w:t>
      </w:r>
      <w:r w:rsidR="00282C58">
        <w:t>, str. 36</w:t>
      </w:r>
      <w:r w:rsidR="00282C58" w:rsidRPr="00795F17">
        <w:t>).</w:t>
      </w:r>
    </w:p>
    <w:p w14:paraId="5B07D52C" w14:textId="77777777" w:rsidR="00CF60E7" w:rsidRPr="00795F17" w:rsidRDefault="00CF60E7" w:rsidP="00CF60E7">
      <w:bookmarkStart w:id="640" w:name="_Hlk58779949"/>
      <w:r w:rsidRPr="00795F17">
        <w:t xml:space="preserve">Działania podstawowe dla obszarów chronionych obejmują zgodnie z art. 11 ust. 3 RDW środki wymagane dla wdrożenia prawodawstwa wspólnotowego dotyczącego ochrony wód, w tym działań wymaganych w ramach prawodawstwa określonego w art. 10 i części A załącznika VI. </w:t>
      </w:r>
      <w:bookmarkEnd w:id="640"/>
    </w:p>
    <w:p w14:paraId="5689E4F4" w14:textId="10CD4576" w:rsidR="00CF60E7" w:rsidRPr="00795F17" w:rsidRDefault="005B3A33" w:rsidP="00CF60E7">
      <w:r>
        <w:t>Prawo wodne</w:t>
      </w:r>
      <w:r w:rsidR="00CF60E7" w:rsidRPr="00795F17">
        <w:t xml:space="preserve">, implementując przepisy RDW, określa w art. 324 cel i zakres zestawu działań ustalanego w ramach przygotowania planu gospodarowania wodami. </w:t>
      </w:r>
    </w:p>
    <w:p w14:paraId="03215B08" w14:textId="2DEE7884" w:rsidR="00CF60E7" w:rsidRPr="00795F17" w:rsidRDefault="00CF60E7" w:rsidP="00CF60E7">
      <w:r w:rsidRPr="00795F17">
        <w:t>W</w:t>
      </w:r>
      <w:r w:rsidR="00442820">
        <w:t>edłu</w:t>
      </w:r>
      <w:r w:rsidRPr="00795F17">
        <w:t>g pr.w. działania podstawowe ustala się dla wszystkich części wód, zaś uzupełniające dla</w:t>
      </w:r>
      <w:r w:rsidR="00DA7ABA">
        <w:t> </w:t>
      </w:r>
      <w:r w:rsidRPr="00795F17">
        <w:t xml:space="preserve">jcw zagrożonych nieosiągnięciem ustalonych dla nich celów środowiskowych w zależności od ustalenia przyczyn zagrożenia. </w:t>
      </w:r>
    </w:p>
    <w:p w14:paraId="31ADF515" w14:textId="30921FB8" w:rsidR="00CF60E7" w:rsidRPr="00795F17" w:rsidRDefault="00CF60E7" w:rsidP="00AA2367">
      <w:pPr>
        <w:keepNext/>
      </w:pPr>
      <w:r w:rsidRPr="00795F17">
        <w:t xml:space="preserve">Działania uzupełniające, </w:t>
      </w:r>
      <w:r w:rsidR="00442820">
        <w:t>według</w:t>
      </w:r>
      <w:r w:rsidRPr="00795F17">
        <w:t xml:space="preserve"> art. 324 ust. 4 pr.w. ukierunkowane są w szczególności na osiągnięcie celów środowiskowych i mogą wskazywać:</w:t>
      </w:r>
    </w:p>
    <w:p w14:paraId="79A002CA" w14:textId="2FB30E2B" w:rsidR="00CF60E7" w:rsidRPr="00795F17" w:rsidRDefault="00843864" w:rsidP="00117E86">
      <w:pPr>
        <w:pStyle w:val="Listapunktowana2"/>
      </w:pPr>
      <w:r>
        <w:t>ś</w:t>
      </w:r>
      <w:r w:rsidR="00CF60E7" w:rsidRPr="00795F17">
        <w:t>rodki prawne, administracyjne i ekonomiczne niezbędne do zapewnienia optymalnego wdrożenia przyjętych działań;</w:t>
      </w:r>
    </w:p>
    <w:p w14:paraId="0A980043" w14:textId="78E510D4" w:rsidR="00CF60E7" w:rsidRPr="00795F17" w:rsidRDefault="00843864" w:rsidP="00117E86">
      <w:pPr>
        <w:pStyle w:val="Listapunktowana2"/>
      </w:pPr>
      <w:r>
        <w:t>w</w:t>
      </w:r>
      <w:r w:rsidR="00CF60E7" w:rsidRPr="00795F17">
        <w:t>ynegocjowane porozumienia dotyczące korzystania ze środowiska;</w:t>
      </w:r>
    </w:p>
    <w:p w14:paraId="044ECE01" w14:textId="06C39153" w:rsidR="00CF60E7" w:rsidRPr="00795F17" w:rsidRDefault="00843864" w:rsidP="00117E86">
      <w:pPr>
        <w:pStyle w:val="Listapunktowana2"/>
      </w:pPr>
      <w:r>
        <w:t>d</w:t>
      </w:r>
      <w:r w:rsidR="00CF60E7" w:rsidRPr="00795F17">
        <w:t>ziałania na rzecz ograniczenia emisji;</w:t>
      </w:r>
    </w:p>
    <w:p w14:paraId="5E41B0A9" w14:textId="17AADDD1" w:rsidR="00CF60E7" w:rsidRPr="00795F17" w:rsidRDefault="00843864" w:rsidP="00117E86">
      <w:pPr>
        <w:pStyle w:val="Listapunktowana2"/>
      </w:pPr>
      <w:r>
        <w:t>z</w:t>
      </w:r>
      <w:r w:rsidR="00CF60E7" w:rsidRPr="00795F17">
        <w:t>asady dobrej praktyki;</w:t>
      </w:r>
    </w:p>
    <w:p w14:paraId="19233B5B" w14:textId="110C6B67" w:rsidR="00CF60E7" w:rsidRPr="00795F17" w:rsidRDefault="00843864" w:rsidP="00117E86">
      <w:pPr>
        <w:pStyle w:val="Listapunktowana2"/>
      </w:pPr>
      <w:r>
        <w:t>p</w:t>
      </w:r>
      <w:r w:rsidR="00CF60E7" w:rsidRPr="00795F17">
        <w:t>rzywracanie i tworzenie terenów podmokłych;</w:t>
      </w:r>
    </w:p>
    <w:p w14:paraId="77A8E47A" w14:textId="37ED7A15" w:rsidR="00CF60E7" w:rsidRPr="00795F17" w:rsidRDefault="00843864" w:rsidP="00117E86">
      <w:pPr>
        <w:pStyle w:val="Listapunktowana2"/>
      </w:pPr>
      <w:r>
        <w:t>d</w:t>
      </w:r>
      <w:r w:rsidR="00CF60E7" w:rsidRPr="00795F17">
        <w:t>ziałania służące efektywnemu korzystaniu z wody i ponownemu jej wykorzystaniu, przede wszystkim promowanie technologii polegających na efektywnym wykorzystaniu wody w</w:t>
      </w:r>
      <w:r w:rsidR="004827B4">
        <w:t> </w:t>
      </w:r>
      <w:r w:rsidR="00CF60E7" w:rsidRPr="00795F17">
        <w:t>przemyśle i oszczędzających wodę technik nawadniania;</w:t>
      </w:r>
    </w:p>
    <w:p w14:paraId="25521508" w14:textId="2C715597" w:rsidR="00CF60E7" w:rsidRPr="00795F17" w:rsidRDefault="00843864" w:rsidP="00117E86">
      <w:pPr>
        <w:pStyle w:val="Listapunktowana2"/>
      </w:pPr>
      <w:r>
        <w:t>p</w:t>
      </w:r>
      <w:r w:rsidR="00CF60E7" w:rsidRPr="00795F17">
        <w:t>rzedsięwzięcia techniczne, badawcze, rozwojowe, demonstracyjne i edukacyjne.</w:t>
      </w:r>
    </w:p>
    <w:p w14:paraId="58FD9F5C" w14:textId="70D79F6C" w:rsidR="00CF60E7" w:rsidRPr="00795F17" w:rsidRDefault="00CF60E7" w:rsidP="00CF60E7">
      <w:r w:rsidRPr="00795F17">
        <w:t>Ponadto działania uzupełniające mogą być również wdrażane w celu zapewnienia dodatkowej ochrony lub poprawy stanu wód lub dla realizacji umów międzynarodowych mających na celu ochronę wód, w tym ochronę i zapobieganie zanieczyszczaniu środowiska morskiego (art. 324 ust. 5 pr.w.).</w:t>
      </w:r>
    </w:p>
    <w:p w14:paraId="14D762E4" w14:textId="30C2EE14" w:rsidR="00CF60E7" w:rsidRPr="00795F17" w:rsidRDefault="00CF60E7" w:rsidP="00CF60E7">
      <w:r w:rsidRPr="00795F17">
        <w:t>Według art. 325 ust. 1 pr.w. działania uzupełniające, o których mowa w</w:t>
      </w:r>
      <w:r w:rsidR="0041502F">
        <w:t xml:space="preserve"> </w:t>
      </w:r>
      <w:r w:rsidRPr="00795F17">
        <w:t>art. 324 ust. 4</w:t>
      </w:r>
      <w:r w:rsidR="0041502F">
        <w:t xml:space="preserve"> pr.w.</w:t>
      </w:r>
      <w:r w:rsidRPr="00795F17">
        <w:t xml:space="preserve"> wprowadza się do planu gospodarowania wodami lub jego aktualizacji, jeżeli wyniki monitoringu wód lub innych danych wskazują, że zagrożone jest osiągnięcie celów środowiskowych, a jeżeli jest to uzasadnione, ustala się bardziej restrykcyjne środowiskowe normy jakości.</w:t>
      </w:r>
    </w:p>
    <w:p w14:paraId="25F98FD5" w14:textId="369DB786" w:rsidR="00CF60E7" w:rsidRPr="00795F17" w:rsidRDefault="00CF60E7" w:rsidP="00CF60E7">
      <w:r w:rsidRPr="00795F17">
        <w:t xml:space="preserve">Zgodnie z art. 325 ust. 2 </w:t>
      </w:r>
      <w:r w:rsidR="0096315B" w:rsidRPr="00795F17">
        <w:t xml:space="preserve">pr.w. </w:t>
      </w:r>
      <w:r w:rsidRPr="00795F17">
        <w:t>działań uzupełniających, o których mowa w art. 324 ust. 4</w:t>
      </w:r>
      <w:r w:rsidR="00843864">
        <w:t xml:space="preserve"> pr.w.</w:t>
      </w:r>
      <w:r w:rsidRPr="00795F17">
        <w:t>, można nie wprowadzić do planu gospodarowania wodami lub jego aktualizacji, jeżeli zagrożenie osiągnięcia celów środowiskowych spowodowane jest okolicznościami pochodzenia naturalnego lub</w:t>
      </w:r>
      <w:r w:rsidR="00DA7ABA">
        <w:t> </w:t>
      </w:r>
      <w:r w:rsidRPr="00795F17">
        <w:t>sił wyższych, które są wyjątkowymi i nie mogły być przewidziane, w szczególności ekstremalnymi zjawiskami powodziowymi lub długotrwałymi suszami.</w:t>
      </w:r>
    </w:p>
    <w:p w14:paraId="720FB166" w14:textId="77777777" w:rsidR="00CF60E7" w:rsidRPr="00795F17" w:rsidRDefault="00CF60E7" w:rsidP="00CF60E7">
      <w:r w:rsidRPr="00795F17">
        <w:t>Z uwagi na charakter działań podstawowych, na potrzeby IIaPGW, zostały one podzielone na działania na poziomie krajowym (ogólnokrajowy zakres realizacji) oraz na działania skierowane do konkretnych jcw. W ten sposób utworzone zostały dwa odrębne rodzaje katalogów działań:</w:t>
      </w:r>
    </w:p>
    <w:p w14:paraId="5F1579C8" w14:textId="77777777" w:rsidR="00CF60E7" w:rsidRPr="00B95F0B" w:rsidRDefault="00CF60E7" w:rsidP="00117E86">
      <w:pPr>
        <w:pStyle w:val="Listapunktowana2"/>
      </w:pPr>
      <w:r w:rsidRPr="00B95F0B">
        <w:t>katalog działań krajowych (ogólnokrajowy zakres realizacji działań dotyczących wszystkich jcw);</w:t>
      </w:r>
    </w:p>
    <w:p w14:paraId="55EDE4DE" w14:textId="77777777" w:rsidR="00CF60E7" w:rsidRPr="00B95F0B" w:rsidRDefault="00CF60E7" w:rsidP="00117E86">
      <w:pPr>
        <w:pStyle w:val="Listapunktowana2"/>
      </w:pPr>
      <w:r w:rsidRPr="00B95F0B">
        <w:t>katalogi działań dla poszczególnych kategorii wód (zakres realizacji działań ograniczony do konkretnych jcw).</w:t>
      </w:r>
    </w:p>
    <w:p w14:paraId="2271F21D" w14:textId="60C66CBA" w:rsidR="00CF60E7" w:rsidRPr="00795F17" w:rsidRDefault="00CF60E7" w:rsidP="00CF60E7">
      <w:r w:rsidRPr="00795F17">
        <w:t>Katalogi działań dla poszczególnych kategorii wód zawierają zarówno działania podstawowe skierowane do poszczególnych jcw oraz działania uzupełniające, stanowiąc podstawę dla</w:t>
      </w:r>
      <w:r w:rsidR="00D73601" w:rsidRPr="00795F17">
        <w:t> </w:t>
      </w:r>
      <w:r w:rsidRPr="00795F17">
        <w:t xml:space="preserve">zaprojektowanych zestawów działań. W przypadku obszaru dorzecza Odry katalogi działań dotyczą: </w:t>
      </w:r>
      <w:r w:rsidR="00DF005E">
        <w:t>JCWP</w:t>
      </w:r>
      <w:r w:rsidRPr="00795F17">
        <w:t xml:space="preserve"> RW, </w:t>
      </w:r>
      <w:r w:rsidR="00DF005E">
        <w:t>JCWP</w:t>
      </w:r>
      <w:r w:rsidRPr="00795F17">
        <w:t xml:space="preserve"> RWr, </w:t>
      </w:r>
      <w:r w:rsidR="00DF005E">
        <w:t>JCWP</w:t>
      </w:r>
      <w:r w:rsidRPr="00795F17">
        <w:t xml:space="preserve"> LW, </w:t>
      </w:r>
      <w:r w:rsidR="00DF005E">
        <w:t>JCWP</w:t>
      </w:r>
      <w:r w:rsidRPr="00795F17">
        <w:t xml:space="preserve"> TW i CW oraz </w:t>
      </w:r>
      <w:r w:rsidR="00DF005E">
        <w:t>JCWP</w:t>
      </w:r>
      <w:r w:rsidRPr="00795F17">
        <w:t xml:space="preserve">d. </w:t>
      </w:r>
    </w:p>
    <w:p w14:paraId="086217BB" w14:textId="77777777" w:rsidR="00CF60E7" w:rsidRPr="00795F17" w:rsidRDefault="00CF60E7" w:rsidP="00CF60E7">
      <w:r w:rsidRPr="00795F17">
        <w:t>Powiązania pomiędzy katalogiem działań krajowych, katalogami dla poszczególnych kategorii wód i docelowo zestawami działań prezentuje poniższy schemat.</w:t>
      </w:r>
    </w:p>
    <w:p w14:paraId="380E4E86" w14:textId="77777777" w:rsidR="009843A2" w:rsidRDefault="009843A2" w:rsidP="00CF60E7">
      <w:pPr>
        <w:jc w:val="center"/>
        <w:rPr>
          <w:noProof/>
        </w:rPr>
      </w:pPr>
    </w:p>
    <w:p w14:paraId="36352891" w14:textId="4310C7A5" w:rsidR="00CF60E7" w:rsidRPr="00795F17" w:rsidRDefault="00D706B7" w:rsidP="00CF60E7">
      <w:pPr>
        <w:jc w:val="center"/>
      </w:pPr>
      <w:r>
        <w:rPr>
          <w:noProof/>
        </w:rPr>
        <w:drawing>
          <wp:inline distT="0" distB="0" distL="0" distR="0" wp14:anchorId="75C7CE4B" wp14:editId="21025666">
            <wp:extent cx="5909829" cy="4404360"/>
            <wp:effectExtent l="0" t="0" r="0" b="0"/>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12765" cy="4406548"/>
                    </a:xfrm>
                    <a:prstGeom prst="rect">
                      <a:avLst/>
                    </a:prstGeom>
                  </pic:spPr>
                </pic:pic>
              </a:graphicData>
            </a:graphic>
          </wp:inline>
        </w:drawing>
      </w:r>
    </w:p>
    <w:p w14:paraId="30620F07" w14:textId="6BCD97FC" w:rsidR="00CF60E7" w:rsidRPr="00795F17" w:rsidRDefault="00CF60E7" w:rsidP="004D7705">
      <w:pPr>
        <w:pStyle w:val="Rysunek"/>
      </w:pPr>
      <w:bookmarkStart w:id="641" w:name="_Toc105512935"/>
      <w:r w:rsidRPr="00795F17">
        <w:t xml:space="preserve">Rysunek </w:t>
      </w:r>
      <w:r>
        <w:fldChar w:fldCharType="begin"/>
      </w:r>
      <w:r>
        <w:instrText>STYLEREF 1 \s</w:instrText>
      </w:r>
      <w:r>
        <w:fldChar w:fldCharType="separate"/>
      </w:r>
      <w:r w:rsidR="001F774D">
        <w:rPr>
          <w:noProof/>
        </w:rPr>
        <w:t>12</w:t>
      </w:r>
      <w:r>
        <w:fldChar w:fldCharType="end"/>
      </w:r>
      <w:r w:rsidR="00881BAC">
        <w:noBreakHyphen/>
      </w:r>
      <w:fldSimple w:instr=" SEQ Rysunek \* ARABIC \s 1 ">
        <w:r w:rsidR="001F774D">
          <w:rPr>
            <w:noProof/>
          </w:rPr>
          <w:t>1</w:t>
        </w:r>
      </w:fldSimple>
      <w:r w:rsidR="00342921">
        <w:rPr>
          <w:noProof/>
        </w:rPr>
        <w:t>.</w:t>
      </w:r>
      <w:r w:rsidRPr="00795F17">
        <w:tab/>
        <w:t>Powiązania wzajemne katalogów i zestawów</w:t>
      </w:r>
      <w:bookmarkEnd w:id="641"/>
    </w:p>
    <w:p w14:paraId="3CE75CE7" w14:textId="77777777" w:rsidR="00CF60E7" w:rsidRPr="00795F17" w:rsidRDefault="00CF60E7" w:rsidP="00CF60E7">
      <w:pPr>
        <w:pStyle w:val="rdo"/>
      </w:pPr>
      <w:r w:rsidRPr="00795F17">
        <w:t>Źródło: opracowanie własne</w:t>
      </w:r>
    </w:p>
    <w:p w14:paraId="12E3F033" w14:textId="359BDC14" w:rsidR="00CF60E7" w:rsidRPr="00795F17" w:rsidRDefault="00CF60E7" w:rsidP="00CF60E7">
      <w:r w:rsidRPr="00795F17">
        <w:t>Zestawy działań zostały opracowane w ramach kompleksowej analizy dostępnych materiałów oraz</w:t>
      </w:r>
      <w:r w:rsidR="00DA7ABA">
        <w:t> </w:t>
      </w:r>
      <w:r w:rsidRPr="00795F17">
        <w:t xml:space="preserve">uzupełnione o dane pozyskane w procesie ankietyzacji (wykaz materiałów wykorzystanych do przygotowania IIaPGW przedstawia rozdział 24). </w:t>
      </w:r>
    </w:p>
    <w:p w14:paraId="4D8285AE" w14:textId="306D9A0E" w:rsidR="00CF60E7" w:rsidRPr="00795F17" w:rsidRDefault="00CF60E7" w:rsidP="00CF60E7">
      <w:r w:rsidRPr="00795F17">
        <w:t>Podstawą zestawu działań jcw były działania ukierunkowane na ochronę, poprawę stanu wód i sprzyjające osiąganiu celów środowiskowych jcw/</w:t>
      </w:r>
      <w:r w:rsidR="00DF005E">
        <w:t>JCWP</w:t>
      </w:r>
      <w:r w:rsidRPr="00795F17">
        <w:t xml:space="preserve">d oraz obszarów chronionych. Działania uzupełniające wskazane zostały na podstawie oceny ryzyka nieosiągnięcia celów środowiskowych ustalonych dla </w:t>
      </w:r>
      <w:r w:rsidR="00DF005E">
        <w:t>JCWP</w:t>
      </w:r>
      <w:r w:rsidRPr="00795F17">
        <w:t xml:space="preserve"> i </w:t>
      </w:r>
      <w:r w:rsidR="00DF005E">
        <w:t>JCWP</w:t>
      </w:r>
      <w:r w:rsidRPr="00795F17">
        <w:t>d (podsumowanie identyfikacji znaczących oddziaływań antropogenicznych i</w:t>
      </w:r>
      <w:r w:rsidR="00FE25D2">
        <w:t> </w:t>
      </w:r>
      <w:r w:rsidRPr="00795F17">
        <w:t>oceny ich wpływu na stan wód powierzchniowych i podziemnych przedstawia rozdział 7 IIaPGW).</w:t>
      </w:r>
    </w:p>
    <w:p w14:paraId="234F440C" w14:textId="77777777" w:rsidR="00CF60E7" w:rsidRPr="00795F17" w:rsidRDefault="00CF60E7" w:rsidP="00CF60E7">
      <w:bookmarkStart w:id="642" w:name="_Hlk67343256"/>
      <w:r w:rsidRPr="00795F17">
        <w:t xml:space="preserve">Podczas identyfikacji działań wykorzystano: </w:t>
      </w:r>
    </w:p>
    <w:p w14:paraId="32F2400D" w14:textId="77777777" w:rsidR="00CF60E7" w:rsidRPr="00795F17" w:rsidRDefault="00CF60E7" w:rsidP="00117E86">
      <w:pPr>
        <w:pStyle w:val="Listapunktowana2"/>
        <w:rPr>
          <w:rFonts w:eastAsiaTheme="minorEastAsia" w:cstheme="minorBidi"/>
        </w:rPr>
      </w:pPr>
      <w:r w:rsidRPr="00795F17">
        <w:t>Plany przeciwdziałania skutkom suszy;</w:t>
      </w:r>
    </w:p>
    <w:p w14:paraId="128FF556" w14:textId="77777777" w:rsidR="00CF60E7" w:rsidRPr="00795F17" w:rsidRDefault="00CF60E7" w:rsidP="00117E86">
      <w:pPr>
        <w:pStyle w:val="Listapunktowana2"/>
        <w:rPr>
          <w:rFonts w:eastAsiaTheme="minorEastAsia" w:cstheme="minorBidi"/>
        </w:rPr>
      </w:pPr>
      <w:r w:rsidRPr="00795F17">
        <w:t>Krajowy program renaturyzacji wód powierzchniowych;</w:t>
      </w:r>
    </w:p>
    <w:p w14:paraId="37C3AA14" w14:textId="77777777" w:rsidR="00CF60E7" w:rsidRPr="00795F17" w:rsidRDefault="00CF60E7" w:rsidP="00117E86">
      <w:pPr>
        <w:pStyle w:val="Listapunktowana2"/>
        <w:rPr>
          <w:rFonts w:eastAsiaTheme="minorEastAsia" w:cstheme="minorBidi"/>
        </w:rPr>
      </w:pPr>
      <w:r w:rsidRPr="00795F17">
        <w:t>Plany zarządzania ryzykiem powodziowym i ich aktualizacje;</w:t>
      </w:r>
    </w:p>
    <w:p w14:paraId="68607FD4" w14:textId="1FA0E0F4" w:rsidR="00CF60E7" w:rsidRPr="00795F17" w:rsidRDefault="00CF60E7" w:rsidP="00117E86">
      <w:pPr>
        <w:pStyle w:val="Listapunktowana2"/>
        <w:rPr>
          <w:rFonts w:eastAsiaTheme="minorEastAsia" w:cstheme="minorBidi"/>
        </w:rPr>
      </w:pPr>
      <w:r w:rsidRPr="00795F17">
        <w:t xml:space="preserve">Krajowy program oczyszczania ścieków komunalnych </w:t>
      </w:r>
      <w:r w:rsidR="0096315B">
        <w:t>–</w:t>
      </w:r>
      <w:r w:rsidRPr="00795F17">
        <w:t xml:space="preserve"> na podstawie materiałów przedłożonych do konsultacji społecznych w ramach strategicznej oceny oddziaływania na środowisko szóstej aktualizacji Krajowego programu oczyszczania ścieków komunalnych (VI aKPOŚK);</w:t>
      </w:r>
    </w:p>
    <w:p w14:paraId="5914DB8E" w14:textId="77777777" w:rsidR="00CF60E7" w:rsidRPr="00795F17" w:rsidRDefault="00CF60E7" w:rsidP="00117E86">
      <w:pPr>
        <w:pStyle w:val="Listapunktowana2"/>
        <w:rPr>
          <w:rFonts w:eastAsiaTheme="minorEastAsia" w:cstheme="minorBidi"/>
        </w:rPr>
      </w:pPr>
      <w:r w:rsidRPr="00795F17">
        <w:t>Program działań mających na celu zmniejszenie zanieczyszczenia wód azotanami pochodzącymi ze źródeł rolniczych oraz zapobieganie dalszemu zanieczyszczeniu;</w:t>
      </w:r>
    </w:p>
    <w:p w14:paraId="1037B3E0" w14:textId="79E2C575" w:rsidR="00CF60E7" w:rsidRPr="00795F17" w:rsidRDefault="00CF60E7" w:rsidP="00117E86">
      <w:pPr>
        <w:pStyle w:val="Listapunktowana2"/>
        <w:rPr>
          <w:rFonts w:eastAsiaTheme="minorEastAsia" w:cstheme="minorBidi"/>
        </w:rPr>
      </w:pPr>
      <w:r w:rsidRPr="00795F17">
        <w:t xml:space="preserve">Program ochrony wód morskich i jego aktualizację </w:t>
      </w:r>
      <w:r w:rsidR="0096315B">
        <w:t>–</w:t>
      </w:r>
      <w:r w:rsidRPr="00795F17">
        <w:t xml:space="preserve"> wyciąg działań;</w:t>
      </w:r>
    </w:p>
    <w:p w14:paraId="43FC5152" w14:textId="77777777" w:rsidR="00CF60E7" w:rsidRPr="00795F17" w:rsidRDefault="00CF60E7" w:rsidP="00117E86">
      <w:pPr>
        <w:pStyle w:val="Listapunktowana2"/>
        <w:rPr>
          <w:rFonts w:eastAsiaTheme="minorEastAsia" w:cstheme="minorBidi"/>
        </w:rPr>
      </w:pPr>
      <w:r w:rsidRPr="00795F17">
        <w:t>Plany utrzymania wód, opracowane przez dyrektorów RZGW;</w:t>
      </w:r>
    </w:p>
    <w:p w14:paraId="41C8926D" w14:textId="04435EE3" w:rsidR="00CF60E7" w:rsidRPr="00795F17" w:rsidRDefault="00FE25D2" w:rsidP="00117E86">
      <w:pPr>
        <w:pStyle w:val="Listapunktowana2"/>
        <w:rPr>
          <w:rFonts w:eastAsiaTheme="minorEastAsia" w:cstheme="minorBidi"/>
        </w:rPr>
      </w:pPr>
      <w:r>
        <w:t>d</w:t>
      </w:r>
      <w:r w:rsidR="00CF60E7" w:rsidRPr="00795F17">
        <w:t>okumenty źródłowe opracowane na potrzeby realizacji IIaPGW, w tym wskazane w art. 317 pr.w.;</w:t>
      </w:r>
    </w:p>
    <w:p w14:paraId="46A63F0E" w14:textId="77777777" w:rsidR="00CF60E7" w:rsidRPr="00795F17" w:rsidRDefault="00CF60E7" w:rsidP="00117E86">
      <w:pPr>
        <w:pStyle w:val="Listapunktowana2"/>
        <w:rPr>
          <w:rFonts w:eastAsiaTheme="minorEastAsia" w:cstheme="minorBidi"/>
        </w:rPr>
      </w:pPr>
      <w:r w:rsidRPr="00795F17">
        <w:t>Protokoły z posiedzeń Komisji ds. Wód Granicznych, działających w ramach współpracy międzynarodowej na wodach granicznych;</w:t>
      </w:r>
    </w:p>
    <w:p w14:paraId="72CDE5A8" w14:textId="29012649" w:rsidR="00CF60E7" w:rsidRPr="00795F17" w:rsidRDefault="00CF60E7" w:rsidP="00117E86">
      <w:pPr>
        <w:pStyle w:val="Listapunktowana2"/>
        <w:rPr>
          <w:rFonts w:eastAsiaTheme="minorEastAsia" w:cstheme="minorBidi"/>
        </w:rPr>
      </w:pPr>
      <w:r w:rsidRPr="00795F17">
        <w:t>Instrumenty wspierające aktualizację Planów Zarządzania Ryzykiem Powodziowym (aPZRP;</w:t>
      </w:r>
      <w:r w:rsidR="001213AF">
        <w:t xml:space="preserve"> </w:t>
      </w:r>
      <w:r w:rsidRPr="00795F17">
        <w:t xml:space="preserve">zadanie </w:t>
      </w:r>
      <w:r w:rsidR="0096315B">
        <w:t>–</w:t>
      </w:r>
      <w:r w:rsidRPr="00795F17">
        <w:t xml:space="preserve"> zapewnienie ochrony i zwiększania naturalnej retencji oraz przywracania naturalnych warunków przepływu)</w:t>
      </w:r>
      <w:r w:rsidR="0037043C">
        <w:t xml:space="preserve"> </w:t>
      </w:r>
      <w:r w:rsidR="0096315B">
        <w:t>–</w:t>
      </w:r>
      <w:r w:rsidR="0037043C">
        <w:t xml:space="preserve"> </w:t>
      </w:r>
      <w:r w:rsidR="00E66322">
        <w:t>zadanie nr 2</w:t>
      </w:r>
      <w:r w:rsidRPr="00795F17">
        <w:t>;</w:t>
      </w:r>
    </w:p>
    <w:p w14:paraId="5FF05B9C" w14:textId="5D964B47" w:rsidR="00CF60E7" w:rsidRPr="00795F17" w:rsidRDefault="001213AF" w:rsidP="00117E86">
      <w:pPr>
        <w:pStyle w:val="Listapunktowana2"/>
        <w:rPr>
          <w:rFonts w:eastAsiaTheme="minorEastAsia" w:cstheme="minorBidi"/>
        </w:rPr>
      </w:pPr>
      <w:r>
        <w:t>p</w:t>
      </w:r>
      <w:r w:rsidR="00CF60E7" w:rsidRPr="00795F17">
        <w:t xml:space="preserve">rojekt ustawy o inwestycjach w zakresie przeciwdziałania skutkom suszy z dnia 12 sierpnia 2020 r. </w:t>
      </w:r>
      <w:r w:rsidR="0096315B">
        <w:t>–</w:t>
      </w:r>
      <w:r w:rsidR="00CF60E7" w:rsidRPr="00795F17">
        <w:t xml:space="preserve"> wyciąg działań;</w:t>
      </w:r>
    </w:p>
    <w:p w14:paraId="22F759FF" w14:textId="69D2BF8D" w:rsidR="00CF60E7" w:rsidRPr="00795F17" w:rsidRDefault="001213AF" w:rsidP="00117E86">
      <w:pPr>
        <w:pStyle w:val="Listapunktowana2"/>
        <w:rPr>
          <w:rFonts w:eastAsiaTheme="minorEastAsia" w:cstheme="minorBidi"/>
        </w:rPr>
      </w:pPr>
      <w:r>
        <w:t>u</w:t>
      </w:r>
      <w:r w:rsidR="00CF60E7" w:rsidRPr="00795F17">
        <w:t>stanowione plany ochrony i plany zadań ochronnych dla obszarów przeznaczonych do ochrony siedlisk lub gatunków, gdzie utrzymanie lub poprawa stanu wód jest ważnym czynnikiem w ich ochronie;</w:t>
      </w:r>
    </w:p>
    <w:p w14:paraId="06445BD0" w14:textId="77777777" w:rsidR="00CF60E7" w:rsidRPr="00795F17" w:rsidRDefault="00CF60E7" w:rsidP="00117E86">
      <w:pPr>
        <w:pStyle w:val="Listapunktowana2"/>
        <w:rPr>
          <w:rFonts w:eastAsiaTheme="minorEastAsia" w:cstheme="minorBidi"/>
        </w:rPr>
      </w:pPr>
      <w:r w:rsidRPr="00795F17">
        <w:t>Sprawozdania z realizacji Dyrektywy azotanowej;</w:t>
      </w:r>
    </w:p>
    <w:p w14:paraId="0782FBAE" w14:textId="77777777" w:rsidR="00CF60E7" w:rsidRPr="00795F17" w:rsidRDefault="00CF60E7" w:rsidP="00117E86">
      <w:pPr>
        <w:pStyle w:val="Listapunktowana2"/>
        <w:rPr>
          <w:rFonts w:eastAsiaTheme="minorEastAsia" w:cstheme="minorBidi"/>
        </w:rPr>
      </w:pPr>
      <w:r w:rsidRPr="00795F17">
        <w:t xml:space="preserve">Program przeciwdziałania niedoborowi wody. </w:t>
      </w:r>
    </w:p>
    <w:p w14:paraId="46FDEFC4" w14:textId="77777777" w:rsidR="00CF60E7" w:rsidRPr="00795F17" w:rsidRDefault="00CF60E7" w:rsidP="00CF60E7">
      <w:pPr>
        <w:pStyle w:val="Numerowanie"/>
        <w:numPr>
          <w:ilvl w:val="0"/>
          <w:numId w:val="0"/>
        </w:numPr>
        <w:rPr>
          <w:rFonts w:eastAsiaTheme="minorEastAsia" w:cstheme="minorBidi"/>
          <w:color w:val="000000" w:themeColor="text1"/>
        </w:rPr>
      </w:pPr>
      <w:r w:rsidRPr="00795F17">
        <w:t xml:space="preserve">Inne materiały stanowiące źródła danych i informacji: </w:t>
      </w:r>
    </w:p>
    <w:p w14:paraId="16E41CD4" w14:textId="352663CE" w:rsidR="00CF60E7" w:rsidRPr="00795F17" w:rsidRDefault="00CF60E7" w:rsidP="00117E86">
      <w:pPr>
        <w:pStyle w:val="Listapunktowana2"/>
        <w:rPr>
          <w:rFonts w:eastAsiaTheme="minorEastAsia"/>
          <w:color w:val="000000" w:themeColor="text1"/>
        </w:rPr>
      </w:pPr>
      <w:r w:rsidRPr="00795F17">
        <w:t xml:space="preserve">Warunki korzystania z wód regionów wodnych i zlewni </w:t>
      </w:r>
      <w:r w:rsidR="0096315B">
        <w:t>–</w:t>
      </w:r>
      <w:r w:rsidRPr="00795F17">
        <w:t xml:space="preserve"> jako materiał pomocniczy dla</w:t>
      </w:r>
      <w:r w:rsidR="00387031" w:rsidRPr="00795F17">
        <w:t> </w:t>
      </w:r>
      <w:r w:rsidRPr="00795F17">
        <w:t xml:space="preserve">identyfikacji uwarunkowań danego regionu, w tym </w:t>
      </w:r>
      <w:r w:rsidRPr="00795F17">
        <w:rPr>
          <w:rFonts w:cs="Calibri"/>
          <w:color w:val="000000" w:themeColor="text1"/>
        </w:rPr>
        <w:t xml:space="preserve">sformułowane w warunkach korzystania z wód regionu wodnego ograniczenia w korzystaniu z wód jezior lub zbiorników oraz w użytkowaniu ich zlewni </w:t>
      </w:r>
      <w:r w:rsidR="0096315B">
        <w:rPr>
          <w:rFonts w:cs="Calibri"/>
          <w:color w:val="000000" w:themeColor="text1"/>
        </w:rPr>
        <w:t>–</w:t>
      </w:r>
      <w:r w:rsidRPr="00795F17">
        <w:rPr>
          <w:rFonts w:cs="Calibri"/>
          <w:color w:val="000000" w:themeColor="text1"/>
        </w:rPr>
        <w:t xml:space="preserve"> opracowania regionalne;</w:t>
      </w:r>
    </w:p>
    <w:p w14:paraId="4832B6B3" w14:textId="1CCFB2AD" w:rsidR="00CF60E7" w:rsidRPr="00795F17" w:rsidRDefault="00CF60E7" w:rsidP="00117E86">
      <w:pPr>
        <w:pStyle w:val="Listapunktowana2"/>
        <w:rPr>
          <w:rFonts w:eastAsiaTheme="minorEastAsia" w:cstheme="minorBidi"/>
        </w:rPr>
      </w:pPr>
      <w:r w:rsidRPr="00795F17">
        <w:t>Katalog dobrych praktyk w zakresie robót hydrotechnicznych i prac utrzymaniowych wraz</w:t>
      </w:r>
      <w:r w:rsidR="00DA7ABA">
        <w:t> </w:t>
      </w:r>
      <w:r w:rsidRPr="00795F17">
        <w:t>z ustaleniem zasad ich wdrażania;</w:t>
      </w:r>
    </w:p>
    <w:p w14:paraId="5C97C805" w14:textId="67064C58" w:rsidR="00CF60E7" w:rsidRPr="00795F17" w:rsidRDefault="00CF60E7" w:rsidP="00117E86">
      <w:pPr>
        <w:pStyle w:val="Listapunktowana2"/>
        <w:rPr>
          <w:rFonts w:eastAsiaTheme="minorEastAsia" w:cstheme="minorBidi"/>
        </w:rPr>
      </w:pPr>
      <w:r w:rsidRPr="00795F17">
        <w:t xml:space="preserve">Zbiór zaleceń dobrej praktyki rolniczej mający na celu ochronę wód przez zanieczyszczeniem azotanami pochodzącymi ze źródeł rolniczych </w:t>
      </w:r>
      <w:r w:rsidR="0096315B">
        <w:t>–</w:t>
      </w:r>
      <w:r w:rsidRPr="00795F17">
        <w:t xml:space="preserve"> wyciąg działań;</w:t>
      </w:r>
    </w:p>
    <w:p w14:paraId="45E13D3C" w14:textId="77777777" w:rsidR="00CF60E7" w:rsidRPr="00795F17" w:rsidRDefault="00CF60E7" w:rsidP="00117E86">
      <w:pPr>
        <w:pStyle w:val="Listapunktowana2"/>
        <w:rPr>
          <w:rFonts w:eastAsiaTheme="minorEastAsia" w:cstheme="minorBidi"/>
        </w:rPr>
      </w:pPr>
      <w:r w:rsidRPr="00795F17">
        <w:t>Uwagi Komisji Europejskiej do planów gospodarowania wodami opracowanych w poprzednich cyklach planistycznych (PGW, aPGW);</w:t>
      </w:r>
    </w:p>
    <w:p w14:paraId="6CF70355" w14:textId="7ED4238F" w:rsidR="00CF60E7" w:rsidRPr="00795F17" w:rsidRDefault="00CF60E7" w:rsidP="00117E86">
      <w:pPr>
        <w:pStyle w:val="Listapunktowana2"/>
        <w:rPr>
          <w:rFonts w:eastAsiaTheme="minorEastAsia" w:cstheme="minorBidi"/>
        </w:rPr>
      </w:pPr>
      <w:r w:rsidRPr="00795F17">
        <w:t xml:space="preserve">Aktualizacja metodyki oceny stanu </w:t>
      </w:r>
      <w:r w:rsidR="00DF005E">
        <w:t>JCWP</w:t>
      </w:r>
      <w:r w:rsidRPr="00795F17">
        <w:t>d wraz z opracowaniem metodyki analizy odwracania trendów zanieczyszczeń;</w:t>
      </w:r>
    </w:p>
    <w:p w14:paraId="5B47BA3B" w14:textId="77777777" w:rsidR="00CF60E7" w:rsidRPr="00795F17" w:rsidRDefault="00CF60E7" w:rsidP="00117E86">
      <w:pPr>
        <w:pStyle w:val="Listapunktowana2"/>
        <w:rPr>
          <w:rFonts w:eastAsiaTheme="minorEastAsia" w:cstheme="minorBidi"/>
        </w:rPr>
      </w:pPr>
      <w:r w:rsidRPr="00795F17">
        <w:t>Program Państwowego Monitoringu Środowiska;</w:t>
      </w:r>
    </w:p>
    <w:p w14:paraId="69C04811" w14:textId="77777777" w:rsidR="00CF60E7" w:rsidRPr="00795F17" w:rsidRDefault="00CF60E7" w:rsidP="00117E86">
      <w:pPr>
        <w:pStyle w:val="Listapunktowana2"/>
        <w:rPr>
          <w:rFonts w:eastAsiaTheme="minorEastAsia" w:cstheme="minorBidi"/>
        </w:rPr>
      </w:pPr>
      <w:r w:rsidRPr="00795F17">
        <w:t>Program Monitoringu Wód Morskich;</w:t>
      </w:r>
    </w:p>
    <w:p w14:paraId="10999DD4" w14:textId="77777777" w:rsidR="00CF60E7" w:rsidRPr="00795F17" w:rsidRDefault="00CF60E7" w:rsidP="00117E86">
      <w:pPr>
        <w:pStyle w:val="Listapunktowana2"/>
        <w:rPr>
          <w:rFonts w:eastAsiaTheme="minorEastAsia" w:cstheme="minorBidi"/>
        </w:rPr>
      </w:pPr>
      <w:r w:rsidRPr="00795F17">
        <w:t>Aktualizacja wstępnej oceny stanu środowiska wód morskich;</w:t>
      </w:r>
    </w:p>
    <w:p w14:paraId="704885D6" w14:textId="77ABC054" w:rsidR="00CF60E7" w:rsidRPr="00795F17" w:rsidRDefault="00CF60E7" w:rsidP="00117E86">
      <w:pPr>
        <w:pStyle w:val="Listapunktowana2"/>
        <w:rPr>
          <w:rFonts w:eastAsiaTheme="minorEastAsia" w:cstheme="minorBidi"/>
        </w:rPr>
      </w:pPr>
      <w:r w:rsidRPr="00795F17">
        <w:t>Analiza znaczących oddziaływań antropogenicznych wraz z oceną ich wpływu na stan wód oraz</w:t>
      </w:r>
      <w:r w:rsidR="00DA7ABA">
        <w:t> </w:t>
      </w:r>
      <w:r w:rsidRPr="00795F17">
        <w:t>ryzykiem nieosiągnięcia celów środowiskowych;</w:t>
      </w:r>
    </w:p>
    <w:p w14:paraId="294348F2" w14:textId="008E8639" w:rsidR="00CF60E7" w:rsidRPr="00795F17" w:rsidRDefault="00CF60E7" w:rsidP="00117E86">
      <w:pPr>
        <w:pStyle w:val="Listapunktowana2"/>
        <w:rPr>
          <w:rFonts w:eastAsiaTheme="minorEastAsia" w:cstheme="minorBidi"/>
        </w:rPr>
      </w:pPr>
      <w:r w:rsidRPr="003E158D">
        <w:t xml:space="preserve">Ocena postępu we wdrażaniu programów działań dla </w:t>
      </w:r>
      <w:r w:rsidR="00DF005E">
        <w:t>JCWP</w:t>
      </w:r>
      <w:r w:rsidRPr="003E158D">
        <w:t xml:space="preserve"> i </w:t>
      </w:r>
      <w:r w:rsidR="00DF005E">
        <w:t>JCWP</w:t>
      </w:r>
      <w:r w:rsidRPr="003E158D">
        <w:t>d wynikający</w:t>
      </w:r>
      <w:r w:rsidRPr="009D4960">
        <w:t>ch z aPWŚK (</w:t>
      </w:r>
      <w:r w:rsidRPr="00795F17">
        <w:t>dalej</w:t>
      </w:r>
      <w:r w:rsidR="00387031" w:rsidRPr="00795F17">
        <w:t> </w:t>
      </w:r>
      <w:r w:rsidRPr="00795F17">
        <w:t>Ocena postępu we wdrażaniu (…));</w:t>
      </w:r>
    </w:p>
    <w:p w14:paraId="15523C77" w14:textId="3DDCE157" w:rsidR="00CF60E7" w:rsidRPr="00795F17" w:rsidRDefault="00CF60E7" w:rsidP="00117E86">
      <w:pPr>
        <w:pStyle w:val="Listapunktowana2"/>
        <w:rPr>
          <w:rFonts w:eastAsiaTheme="minorEastAsia" w:cstheme="minorBidi"/>
        </w:rPr>
      </w:pPr>
      <w:r w:rsidRPr="00795F17">
        <w:t xml:space="preserve">Ocena stopnia osiągnięcia celów środowiskowych dla </w:t>
      </w:r>
      <w:r w:rsidR="00DF005E">
        <w:t>JCWP</w:t>
      </w:r>
      <w:r w:rsidRPr="00795F17">
        <w:t xml:space="preserve"> przybrzeżnych i przejściowych;</w:t>
      </w:r>
    </w:p>
    <w:p w14:paraId="0EE65ED3" w14:textId="77777777" w:rsidR="00CF60E7" w:rsidRPr="00795F17" w:rsidRDefault="00CF60E7" w:rsidP="00117E86">
      <w:pPr>
        <w:pStyle w:val="Listapunktowana2"/>
        <w:rPr>
          <w:rFonts w:eastAsiaTheme="minorEastAsia" w:cstheme="minorBidi"/>
        </w:rPr>
      </w:pPr>
      <w:r w:rsidRPr="00795F17">
        <w:t>Polski raport do Komisji Europejskiej z postępów w realizacji KPOWM;</w:t>
      </w:r>
    </w:p>
    <w:p w14:paraId="36D083F8" w14:textId="4319E928" w:rsidR="00CF60E7" w:rsidRPr="00795F17" w:rsidRDefault="00CF60E7" w:rsidP="00117E86">
      <w:pPr>
        <w:pStyle w:val="Listapunktowana2"/>
        <w:rPr>
          <w:rFonts w:eastAsiaTheme="minorEastAsia" w:cstheme="minorBidi"/>
        </w:rPr>
      </w:pPr>
      <w:r w:rsidRPr="00795F17">
        <w:t>Materiały robocze: Ocena stanu realizacji KPOŚK (w miarę opracowywania/udostępniania) i</w:t>
      </w:r>
      <w:r w:rsidR="00387031" w:rsidRPr="00795F17">
        <w:t> </w:t>
      </w:r>
      <w:r w:rsidRPr="00795F17">
        <w:t>inne dane związane z jakością wód śródlądowych;</w:t>
      </w:r>
    </w:p>
    <w:p w14:paraId="78638739" w14:textId="12FE5A18" w:rsidR="00CF60E7" w:rsidRPr="00795F17" w:rsidRDefault="00CF60E7" w:rsidP="00117E86">
      <w:pPr>
        <w:pStyle w:val="Listapunktowana2"/>
        <w:rPr>
          <w:rFonts w:eastAsiaTheme="minorEastAsia" w:cstheme="minorBidi"/>
        </w:rPr>
      </w:pPr>
      <w:r w:rsidRPr="00795F17">
        <w:t>Materiały uzupełniające dot. realizowanych i planowanych działań rekultywacyjnych na</w:t>
      </w:r>
      <w:r w:rsidR="00387031" w:rsidRPr="00795F17">
        <w:t> </w:t>
      </w:r>
      <w:r w:rsidRPr="00795F17">
        <w:t xml:space="preserve">jeziorach (pozwolenia wodnoprawne) </w:t>
      </w:r>
      <w:r w:rsidR="0096315B">
        <w:t>–</w:t>
      </w:r>
      <w:r w:rsidRPr="00795F17">
        <w:t xml:space="preserve"> dokumentacja przekazana przez KZGW.</w:t>
      </w:r>
    </w:p>
    <w:p w14:paraId="1D479683" w14:textId="65ABBE02" w:rsidR="00CF60E7" w:rsidRPr="00795F17" w:rsidRDefault="00CF60E7" w:rsidP="00117E86">
      <w:pPr>
        <w:pStyle w:val="Listapunktowana2"/>
        <w:rPr>
          <w:rFonts w:eastAsiaTheme="minorEastAsia" w:cstheme="minorBidi"/>
        </w:rPr>
      </w:pPr>
      <w:r w:rsidRPr="00795F17">
        <w:t xml:space="preserve">Materiały i informacje uzyskane </w:t>
      </w:r>
      <w:r w:rsidR="001213AF">
        <w:t xml:space="preserve">z </w:t>
      </w:r>
      <w:r w:rsidRPr="00795F17">
        <w:t>urzędów morskich:</w:t>
      </w:r>
    </w:p>
    <w:p w14:paraId="5E65DC5B" w14:textId="42D2FCB2" w:rsidR="00CF60E7" w:rsidRPr="00795F17" w:rsidRDefault="00CF60E7" w:rsidP="0050009F">
      <w:pPr>
        <w:pStyle w:val="Listapunktowana3"/>
      </w:pPr>
      <w:r w:rsidRPr="00795F17">
        <w:t>Plan zagospodarowania przestrzennego morskich wód wewnętrznych, morza terytorialnego i wyłącznej strefy ekonomicznej w skali 1:200 000;</w:t>
      </w:r>
      <w:r w:rsidR="008526C7">
        <w:t xml:space="preserve"> </w:t>
      </w:r>
    </w:p>
    <w:p w14:paraId="04C374D1" w14:textId="1D8B2024" w:rsidR="00CF60E7" w:rsidRPr="00795F17" w:rsidRDefault="00CF60E7" w:rsidP="0050009F">
      <w:pPr>
        <w:pStyle w:val="Listapunktowana3"/>
      </w:pPr>
      <w:r w:rsidRPr="00795F17">
        <w:t xml:space="preserve">Plany zagospodarowania przestrzennego morskich wód wewnętrznych </w:t>
      </w:r>
      <w:r w:rsidR="002D3D96">
        <w:t xml:space="preserve">(projekty) </w:t>
      </w:r>
      <w:r w:rsidR="0096315B">
        <w:t>–</w:t>
      </w:r>
      <w:r w:rsidRPr="00795F17">
        <w:t xml:space="preserve"> szczegółowe dla</w:t>
      </w:r>
      <w:r w:rsidR="00387031" w:rsidRPr="00795F17">
        <w:t> </w:t>
      </w:r>
      <w:r w:rsidRPr="00795F17">
        <w:t>portów;</w:t>
      </w:r>
    </w:p>
    <w:p w14:paraId="59651CAA" w14:textId="5F9B90FC" w:rsidR="00CF60E7" w:rsidRPr="00795F17" w:rsidRDefault="00CF60E7" w:rsidP="00117E86">
      <w:pPr>
        <w:pStyle w:val="Listapunktowana2"/>
      </w:pPr>
      <w:r w:rsidRPr="00795F17">
        <w:t>Baza opłat za korzystanie ze środowiska, opłaty za korzystanie z wód;</w:t>
      </w:r>
    </w:p>
    <w:p w14:paraId="17097C14" w14:textId="77777777" w:rsidR="00CF60E7" w:rsidRPr="00795F17" w:rsidRDefault="00CF60E7" w:rsidP="00117E86">
      <w:pPr>
        <w:pStyle w:val="Listapunktowana2"/>
      </w:pPr>
      <w:r w:rsidRPr="00795F17">
        <w:t>Sprawozdania z wykonania KPOŚK;</w:t>
      </w:r>
    </w:p>
    <w:p w14:paraId="61E9C855" w14:textId="77777777" w:rsidR="00CF60E7" w:rsidRPr="00795F17" w:rsidRDefault="00CF60E7" w:rsidP="00117E86">
      <w:pPr>
        <w:pStyle w:val="Listapunktowana2"/>
      </w:pPr>
      <w:r w:rsidRPr="00795F17">
        <w:t>Rejestr E-PRTR.</w:t>
      </w:r>
    </w:p>
    <w:bookmarkEnd w:id="642"/>
    <w:p w14:paraId="60B74024" w14:textId="77777777" w:rsidR="00CF60E7" w:rsidRPr="00795F17" w:rsidRDefault="00CF60E7" w:rsidP="00CF60E7">
      <w:r w:rsidRPr="00795F17">
        <w:t>Działania oceniane były pod kątem realności, skuteczności oraz efektywności kosztowej, na podstawie których określone zostały wszystkie możliwe opcje/warianty działań.</w:t>
      </w:r>
    </w:p>
    <w:p w14:paraId="3AB3A990" w14:textId="2245C3E2" w:rsidR="006D6313" w:rsidRPr="002D309E" w:rsidRDefault="00A43423" w:rsidP="00CF60E7">
      <w:pPr>
        <w:rPr>
          <w:iCs/>
          <w:lang w:eastAsia="pl-PL"/>
        </w:rPr>
      </w:pPr>
      <w:r w:rsidRPr="00287AFA">
        <w:rPr>
          <w:iCs/>
          <w:lang w:eastAsia="pl-PL"/>
        </w:rPr>
        <w:t>Realizacja zestawów działań przyczyni się do ograniczenia lub minimalizacji zidentyfi</w:t>
      </w:r>
      <w:r w:rsidRPr="00FA4B4B">
        <w:rPr>
          <w:iCs/>
          <w:lang w:eastAsia="pl-PL"/>
        </w:rPr>
        <w:t xml:space="preserve">kowanych presji znaczących, a w efekcie do niepogorszenia lub poprawy </w:t>
      </w:r>
      <w:r w:rsidRPr="0012692B">
        <w:rPr>
          <w:iCs/>
          <w:lang w:eastAsia="pl-PL"/>
        </w:rPr>
        <w:t xml:space="preserve">stanu </w:t>
      </w:r>
      <w:r w:rsidRPr="00287AFA">
        <w:rPr>
          <w:iCs/>
          <w:lang w:eastAsia="pl-PL"/>
        </w:rPr>
        <w:t>poszczególnych jcw oraz osiągnięcia celów środowiskowych. Zaplanowane działania w zestawach działań naprawczych nie ograniczają możliwości inwestycyjnych w obrębie poszczególnych j</w:t>
      </w:r>
      <w:r w:rsidRPr="0012692B">
        <w:rPr>
          <w:iCs/>
          <w:lang w:eastAsia="pl-PL"/>
        </w:rPr>
        <w:t>cw, ani nie wpływają na uwarunkowania realizacyjne innych działań. Każda planowana inwestycja wymaga przygotowania zgodnie z  obowiązującymi przepisami prawa</w:t>
      </w:r>
      <w:r w:rsidRPr="00287AFA">
        <w:rPr>
          <w:iCs/>
          <w:lang w:eastAsia="pl-PL"/>
        </w:rPr>
        <w:t xml:space="preserve"> i uwarunkowaniami odpowiednio do swojego zakresu i specyfiki, przy uwzględnieniu, w określonych przypadkach </w:t>
      </w:r>
      <w:r w:rsidRPr="0012692B">
        <w:rPr>
          <w:iCs/>
          <w:lang w:eastAsia="pl-PL"/>
        </w:rPr>
        <w:t>gdy jest to możliwe technologicznie, uzasadnione ekonomicznie</w:t>
      </w:r>
      <w:r w:rsidRPr="00287AFA">
        <w:rPr>
          <w:iCs/>
          <w:lang w:eastAsia="pl-PL"/>
        </w:rPr>
        <w:t xml:space="preserve">, ustaleń planu gospodarowania wodami, w szczególności w zakresie celów środowiskowych dla jcw i odstępstw od tych celów, </w:t>
      </w:r>
      <w:r w:rsidRPr="0012692B">
        <w:rPr>
          <w:iCs/>
          <w:lang w:eastAsia="pl-PL"/>
        </w:rPr>
        <w:t xml:space="preserve">zestawów działań </w:t>
      </w:r>
      <w:r w:rsidRPr="00287AFA">
        <w:rPr>
          <w:iCs/>
          <w:lang w:eastAsia="pl-PL"/>
        </w:rPr>
        <w:t>a także charakterystyk jcw i  </w:t>
      </w:r>
      <w:r w:rsidRPr="00FA4B4B">
        <w:rPr>
          <w:iCs/>
          <w:lang w:eastAsia="pl-PL"/>
        </w:rPr>
        <w:t>wartości granicznych potencjału ekologicznego dla szcw i scw.</w:t>
      </w:r>
    </w:p>
    <w:p w14:paraId="6ECD3BFB" w14:textId="406D4317" w:rsidR="0044636E" w:rsidRPr="00795F17" w:rsidRDefault="00CF60E7" w:rsidP="00CF60E7">
      <w:r w:rsidRPr="00795F17">
        <w:t>Poniższe podrozdziały prezentują informacje podsumowujące w zakresie katalogu działań krajowych, katalogów dla poszczególnych kategorii wód oraz zestawów działań dla jcw na obszarze dorzecza Odry.</w:t>
      </w:r>
    </w:p>
    <w:p w14:paraId="5283074A" w14:textId="1241C8B1" w:rsidR="0044636E" w:rsidRPr="00795F17" w:rsidRDefault="0044636E" w:rsidP="00C53C86">
      <w:pPr>
        <w:pStyle w:val="Nagwek2"/>
      </w:pPr>
      <w:bookmarkStart w:id="643" w:name="_Toc65667252"/>
      <w:bookmarkStart w:id="644" w:name="_Toc66347822"/>
      <w:bookmarkStart w:id="645" w:name="_Toc105512695"/>
      <w:r w:rsidRPr="00795F17">
        <w:t>Katalog działań krajowych</w:t>
      </w:r>
      <w:bookmarkEnd w:id="643"/>
      <w:bookmarkEnd w:id="644"/>
      <w:bookmarkEnd w:id="645"/>
    </w:p>
    <w:p w14:paraId="36FBE8BD" w14:textId="7D5CC729" w:rsidR="00CD024A" w:rsidRPr="00B433E8" w:rsidRDefault="00CD024A" w:rsidP="00CD024A">
      <w:pPr>
        <w:rPr>
          <w:rFonts w:asciiTheme="minorHAnsi" w:hAnsiTheme="minorHAnsi" w:cstheme="minorHAnsi"/>
        </w:rPr>
      </w:pPr>
      <w:bookmarkStart w:id="646" w:name="_Hlk68221803"/>
      <w:bookmarkStart w:id="647" w:name="_Hlk68223517"/>
      <w:bookmarkStart w:id="648" w:name="_Toc66305721"/>
      <w:bookmarkStart w:id="649" w:name="_Toc66324667"/>
      <w:r w:rsidRPr="00B433E8">
        <w:rPr>
          <w:rFonts w:asciiTheme="minorHAnsi" w:hAnsiTheme="minorHAnsi" w:cstheme="minorHAnsi"/>
        </w:rPr>
        <w:t>Katalog działań krajowych stanowi zbiór możliwych do zrealizowania działań na poziomie krajowym, ukierunkowanych na osiągnięcie celów środowiskowych poprzez eliminację presji wpływającej na stan wód. W katalogu znalazły się zarówno działania techniczne, jak i szereg działań wspomagających (nietechnicznych), bez których osiągnięcie celów środowiskowych byłoby niemożliwe. Są to zarówno działania nowe, jaki i prolongowane z poprzedniego cyklu planistycznego (2016</w:t>
      </w:r>
      <w:r w:rsidR="0096315B">
        <w:rPr>
          <w:rFonts w:asciiTheme="minorHAnsi" w:hAnsiTheme="minorHAnsi" w:cstheme="minorHAnsi"/>
        </w:rPr>
        <w:t>–</w:t>
      </w:r>
      <w:r w:rsidRPr="00B433E8">
        <w:rPr>
          <w:rFonts w:asciiTheme="minorHAnsi" w:hAnsiTheme="minorHAnsi" w:cstheme="minorHAnsi"/>
        </w:rPr>
        <w:t>2021).</w:t>
      </w:r>
    </w:p>
    <w:p w14:paraId="791C6F07" w14:textId="5AC188A3" w:rsidR="00CD024A" w:rsidRPr="00B433E8" w:rsidRDefault="00CD024A" w:rsidP="00CD024A">
      <w:pPr>
        <w:rPr>
          <w:rFonts w:asciiTheme="minorHAnsi" w:hAnsiTheme="minorHAnsi" w:cstheme="minorHAnsi"/>
        </w:rPr>
      </w:pPr>
      <w:r w:rsidRPr="00B433E8">
        <w:rPr>
          <w:rFonts w:asciiTheme="minorHAnsi" w:hAnsiTheme="minorHAnsi" w:cstheme="minorHAnsi"/>
        </w:rPr>
        <w:t xml:space="preserve">Katalog działań krajowych zawiera łącznie </w:t>
      </w:r>
      <w:r w:rsidR="008A23A3">
        <w:rPr>
          <w:rFonts w:asciiTheme="minorHAnsi" w:hAnsiTheme="minorHAnsi" w:cstheme="minorHAnsi"/>
        </w:rPr>
        <w:t>171</w:t>
      </w:r>
      <w:r w:rsidR="008A23A3" w:rsidRPr="00B433E8">
        <w:rPr>
          <w:rFonts w:asciiTheme="minorHAnsi" w:hAnsiTheme="minorHAnsi" w:cstheme="minorHAnsi"/>
        </w:rPr>
        <w:t xml:space="preserve"> działa</w:t>
      </w:r>
      <w:r w:rsidR="008A23A3">
        <w:rPr>
          <w:rFonts w:asciiTheme="minorHAnsi" w:hAnsiTheme="minorHAnsi" w:cstheme="minorHAnsi"/>
        </w:rPr>
        <w:t>ń</w:t>
      </w:r>
      <w:r w:rsidR="008A23A3" w:rsidRPr="00B433E8">
        <w:rPr>
          <w:rFonts w:asciiTheme="minorHAnsi" w:hAnsiTheme="minorHAnsi" w:cstheme="minorHAnsi"/>
        </w:rPr>
        <w:t xml:space="preserve"> zgrupowan</w:t>
      </w:r>
      <w:r w:rsidR="008A23A3">
        <w:rPr>
          <w:rFonts w:asciiTheme="minorHAnsi" w:hAnsiTheme="minorHAnsi" w:cstheme="minorHAnsi"/>
        </w:rPr>
        <w:t>ych</w:t>
      </w:r>
      <w:r w:rsidR="008A23A3" w:rsidRPr="00B433E8">
        <w:rPr>
          <w:rFonts w:asciiTheme="minorHAnsi" w:hAnsiTheme="minorHAnsi" w:cstheme="minorHAnsi"/>
        </w:rPr>
        <w:t xml:space="preserve"> </w:t>
      </w:r>
      <w:r w:rsidRPr="00B433E8">
        <w:rPr>
          <w:rFonts w:asciiTheme="minorHAnsi" w:hAnsiTheme="minorHAnsi" w:cstheme="minorHAnsi"/>
        </w:rPr>
        <w:t>w następujące kategorie:</w:t>
      </w:r>
    </w:p>
    <w:p w14:paraId="3DD37AC5" w14:textId="77777777" w:rsidR="00134DF1" w:rsidRPr="001D33CA" w:rsidRDefault="00134DF1" w:rsidP="005635FD">
      <w:pPr>
        <w:pStyle w:val="Numerowanie"/>
        <w:numPr>
          <w:ilvl w:val="0"/>
          <w:numId w:val="93"/>
        </w:numPr>
        <w:rPr>
          <w:b/>
        </w:rPr>
      </w:pPr>
      <w:r w:rsidRPr="00D356A3">
        <w:t>przemysł,</w:t>
      </w:r>
    </w:p>
    <w:p w14:paraId="75199B00" w14:textId="77777777" w:rsidR="00134DF1" w:rsidRDefault="00134DF1" w:rsidP="005842B5">
      <w:pPr>
        <w:pStyle w:val="Numerowanie"/>
        <w:rPr>
          <w:b/>
        </w:rPr>
      </w:pPr>
      <w:r w:rsidRPr="00B67497">
        <w:t xml:space="preserve">gospodarka komunalna, </w:t>
      </w:r>
    </w:p>
    <w:p w14:paraId="725C3B1E" w14:textId="77777777" w:rsidR="00134DF1" w:rsidRDefault="00134DF1" w:rsidP="005842B5">
      <w:pPr>
        <w:pStyle w:val="Numerowanie"/>
        <w:rPr>
          <w:b/>
        </w:rPr>
      </w:pPr>
      <w:r w:rsidRPr="00B67497">
        <w:t xml:space="preserve">rolnictwo, </w:t>
      </w:r>
    </w:p>
    <w:p w14:paraId="5754F24C" w14:textId="77777777" w:rsidR="002011A6" w:rsidRDefault="002011A6" w:rsidP="005842B5">
      <w:pPr>
        <w:pStyle w:val="Numerowanie"/>
        <w:rPr>
          <w:b/>
        </w:rPr>
      </w:pPr>
      <w:r w:rsidRPr="00B67497">
        <w:t>kształtowanie naturalnych warunków hydromorfologicznych,</w:t>
      </w:r>
    </w:p>
    <w:p w14:paraId="70E025F2" w14:textId="77777777" w:rsidR="002011A6" w:rsidRDefault="002011A6" w:rsidP="005842B5">
      <w:pPr>
        <w:pStyle w:val="Numerowanie"/>
        <w:rPr>
          <w:b/>
        </w:rPr>
      </w:pPr>
      <w:r w:rsidRPr="00B67497">
        <w:t>ochrona siedlisk i gatunków,</w:t>
      </w:r>
    </w:p>
    <w:p w14:paraId="621CBB09" w14:textId="77777777" w:rsidR="002011A6" w:rsidRDefault="002011A6" w:rsidP="005842B5">
      <w:pPr>
        <w:pStyle w:val="Numerowanie"/>
        <w:rPr>
          <w:b/>
        </w:rPr>
      </w:pPr>
      <w:r w:rsidRPr="00B67497">
        <w:t>kształtowanie naturalnych warunków hydrologicznych,</w:t>
      </w:r>
    </w:p>
    <w:p w14:paraId="03402782" w14:textId="77777777" w:rsidR="002011A6" w:rsidRDefault="002011A6" w:rsidP="005842B5">
      <w:pPr>
        <w:pStyle w:val="Numerowanie"/>
        <w:rPr>
          <w:b/>
        </w:rPr>
      </w:pPr>
      <w:r w:rsidRPr="00B67497">
        <w:t>monitoring i ewaluacja,</w:t>
      </w:r>
    </w:p>
    <w:p w14:paraId="4F385488" w14:textId="77777777" w:rsidR="002011A6" w:rsidRDefault="002011A6" w:rsidP="005842B5">
      <w:pPr>
        <w:pStyle w:val="Numerowanie"/>
        <w:rPr>
          <w:b/>
        </w:rPr>
      </w:pPr>
      <w:r w:rsidRPr="00B67497">
        <w:t>działania organizacyjno-prawne, informacyjne i edukacyjne,</w:t>
      </w:r>
    </w:p>
    <w:p w14:paraId="3F0FC8FD" w14:textId="1455FF6C" w:rsidR="002011A6" w:rsidRDefault="002011A6" w:rsidP="005842B5">
      <w:pPr>
        <w:pStyle w:val="Numerowanie"/>
        <w:rPr>
          <w:b/>
        </w:rPr>
      </w:pPr>
      <w:r w:rsidRPr="00B67497">
        <w:t>kształtowanie stosunków wodnych oraz ochrona ekosystemów od wód zależnych (w</w:t>
      </w:r>
      <w:r w:rsidR="008526C7">
        <w:t> </w:t>
      </w:r>
      <w:r w:rsidRPr="00B67497">
        <w:t>tym morfologia i zachowanie ciągłości biologicznej cieków),</w:t>
      </w:r>
    </w:p>
    <w:p w14:paraId="5B9E6BBF" w14:textId="77777777" w:rsidR="00134DF1" w:rsidRDefault="00134DF1" w:rsidP="005842B5">
      <w:pPr>
        <w:pStyle w:val="Numerowanie"/>
        <w:rPr>
          <w:b/>
        </w:rPr>
      </w:pPr>
      <w:r w:rsidRPr="00B67497">
        <w:t>działania kontrolne i nadzorcze,</w:t>
      </w:r>
    </w:p>
    <w:p w14:paraId="6798766B" w14:textId="77777777" w:rsidR="00134DF1" w:rsidRPr="00B67497" w:rsidRDefault="00134DF1" w:rsidP="005842B5">
      <w:pPr>
        <w:pStyle w:val="Numerowanie"/>
        <w:rPr>
          <w:b/>
        </w:rPr>
      </w:pPr>
      <w:r w:rsidRPr="00B67497">
        <w:t>projekty badawczo-rozwojowe.</w:t>
      </w:r>
    </w:p>
    <w:p w14:paraId="61682417" w14:textId="77777777" w:rsidR="00134DF1" w:rsidRPr="00795F17" w:rsidRDefault="00134DF1" w:rsidP="00CD024A">
      <w:pPr>
        <w:rPr>
          <w:rFonts w:cs="Calibri"/>
          <w:bCs/>
          <w:iCs/>
        </w:rPr>
      </w:pPr>
      <w:r w:rsidRPr="00795F17">
        <w:rPr>
          <w:rFonts w:cs="Calibri"/>
          <w:bCs/>
          <w:iCs/>
        </w:rPr>
        <w:t>Udział działań poszczególnych kategorii w katalogu działań krajowych przedstawia poniższy wykres.</w:t>
      </w:r>
      <w:bookmarkEnd w:id="646"/>
    </w:p>
    <w:bookmarkEnd w:id="647"/>
    <w:p w14:paraId="0FB1D878" w14:textId="7F292747" w:rsidR="00134DF1" w:rsidRDefault="00D955A1" w:rsidP="00AA2367">
      <w:pPr>
        <w:spacing w:before="0" w:after="0"/>
        <w:jc w:val="center"/>
      </w:pPr>
      <w:r>
        <w:rPr>
          <w:noProof/>
        </w:rPr>
        <w:drawing>
          <wp:inline distT="0" distB="0" distL="0" distR="0" wp14:anchorId="4DEAED84" wp14:editId="7B513191">
            <wp:extent cx="5760720" cy="4146550"/>
            <wp:effectExtent l="0" t="0" r="11430" b="6350"/>
            <wp:docPr id="79" name="Wykres 79">
              <a:extLst xmlns:a="http://schemas.openxmlformats.org/drawingml/2006/main">
                <a:ext uri="{FF2B5EF4-FFF2-40B4-BE49-F238E27FC236}">
                  <a16:creationId xmlns:a16="http://schemas.microsoft.com/office/drawing/2014/main" id="{9577B06B-AAE7-4B7A-BBCE-E39465834F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34CA2712" w14:textId="1D0D3D53" w:rsidR="00134DF1" w:rsidRPr="00795F17" w:rsidRDefault="00134DF1" w:rsidP="00B479EE">
      <w:pPr>
        <w:pStyle w:val="Wykres"/>
      </w:pPr>
      <w:bookmarkStart w:id="650" w:name="_Toc105513010"/>
      <w:r w:rsidRPr="00795F17">
        <w:t xml:space="preserve">Wykres </w:t>
      </w:r>
      <w:fldSimple w:instr=" STYLEREF 1 \s ">
        <w:r w:rsidR="001F774D">
          <w:rPr>
            <w:noProof/>
          </w:rPr>
          <w:t>12</w:t>
        </w:r>
      </w:fldSimple>
      <w:r w:rsidR="00FF20D3">
        <w:noBreakHyphen/>
      </w:r>
      <w:fldSimple w:instr=" SEQ Wykres \* ARABIC \s 1 ">
        <w:r w:rsidR="001F774D">
          <w:rPr>
            <w:noProof/>
          </w:rPr>
          <w:t>1</w:t>
        </w:r>
      </w:fldSimple>
      <w:r w:rsidR="001D534F">
        <w:rPr>
          <w:noProof/>
        </w:rPr>
        <w:t>.</w:t>
      </w:r>
      <w:r w:rsidRPr="00795F17">
        <w:tab/>
        <w:t>Udział działań poszczególnych kategorii w katalogu działań krajowych IIaPGW</w:t>
      </w:r>
      <w:bookmarkEnd w:id="650"/>
    </w:p>
    <w:p w14:paraId="4A49AF36" w14:textId="77777777" w:rsidR="00134DF1" w:rsidRPr="00795F17" w:rsidRDefault="00134DF1" w:rsidP="003D129D">
      <w:pPr>
        <w:pStyle w:val="rdo"/>
        <w:spacing w:before="0" w:after="0"/>
      </w:pPr>
      <w:r w:rsidRPr="00795F17">
        <w:t>Źródło: opracowanie własne</w:t>
      </w:r>
    </w:p>
    <w:p w14:paraId="6DFDB681" w14:textId="77777777" w:rsidR="00B6124E" w:rsidRPr="00B433E8" w:rsidRDefault="00B6124E" w:rsidP="00B6124E">
      <w:pPr>
        <w:spacing w:line="276" w:lineRule="auto"/>
        <w:rPr>
          <w:rFonts w:asciiTheme="minorHAnsi" w:hAnsiTheme="minorHAnsi" w:cstheme="minorHAnsi"/>
        </w:rPr>
      </w:pPr>
      <w:bookmarkStart w:id="651" w:name="_Hlk68221909"/>
      <w:bookmarkStart w:id="652" w:name="_Hlk68219182"/>
      <w:r w:rsidRPr="00B433E8">
        <w:rPr>
          <w:rFonts w:asciiTheme="minorHAnsi" w:hAnsiTheme="minorHAnsi" w:cstheme="minorHAnsi"/>
        </w:rPr>
        <w:t>W wyniku przeprowadzonej analizy uwarunkowań formalno-prawnych zweryfikowane zostały działania katalogu krajowego aPGW (2016</w:t>
      </w:r>
      <w:r w:rsidR="0096315B">
        <w:rPr>
          <w:rFonts w:asciiTheme="minorHAnsi" w:hAnsiTheme="minorHAnsi" w:cstheme="minorHAnsi"/>
        </w:rPr>
        <w:t>–</w:t>
      </w:r>
      <w:r w:rsidRPr="00B433E8">
        <w:rPr>
          <w:rFonts w:asciiTheme="minorHAnsi" w:hAnsiTheme="minorHAnsi" w:cstheme="minorHAnsi"/>
        </w:rPr>
        <w:t>2021) i tym samym wyselekcjonowane zostały działania wskazane do prolongaty (kontynuacji) w obecnym cyklu planistycznym (2022</w:t>
      </w:r>
      <w:r w:rsidR="0096315B">
        <w:rPr>
          <w:rFonts w:asciiTheme="minorHAnsi" w:hAnsiTheme="minorHAnsi" w:cstheme="minorHAnsi"/>
        </w:rPr>
        <w:t>–</w:t>
      </w:r>
      <w:r w:rsidRPr="00B433E8">
        <w:rPr>
          <w:rFonts w:asciiTheme="minorHAnsi" w:hAnsiTheme="minorHAnsi" w:cstheme="minorHAnsi"/>
        </w:rPr>
        <w:t>2027). Katalog uzupełniony został jednocześnie o działania nowe wynikające z obowiązujących przepisów prawa, a nie wskazane w aPGW. Do katalogu wprowadzono działania wynikające z art.</w:t>
      </w:r>
      <w:r w:rsidR="0096315B">
        <w:rPr>
          <w:rFonts w:asciiTheme="minorHAnsi" w:hAnsiTheme="minorHAnsi" w:cstheme="minorHAnsi"/>
        </w:rPr>
        <w:t xml:space="preserve"> </w:t>
      </w:r>
      <w:r w:rsidRPr="00B433E8">
        <w:rPr>
          <w:rFonts w:asciiTheme="minorHAnsi" w:hAnsiTheme="minorHAnsi" w:cstheme="minorHAnsi"/>
        </w:rPr>
        <w:t>324 pr.w. Są to głównie działania organizacyjno-prawne, informacyjne i edukacyjne</w:t>
      </w:r>
      <w:r>
        <w:rPr>
          <w:rFonts w:asciiTheme="minorHAnsi" w:hAnsiTheme="minorHAnsi" w:cstheme="minorHAnsi"/>
        </w:rPr>
        <w:t xml:space="preserve"> oraz</w:t>
      </w:r>
      <w:r w:rsidRPr="00B433E8">
        <w:rPr>
          <w:rFonts w:asciiTheme="minorHAnsi" w:hAnsiTheme="minorHAnsi" w:cstheme="minorHAnsi"/>
        </w:rPr>
        <w:t xml:space="preserve"> dotyczące go</w:t>
      </w:r>
      <w:r>
        <w:rPr>
          <w:rFonts w:asciiTheme="minorHAnsi" w:hAnsiTheme="minorHAnsi" w:cstheme="minorHAnsi"/>
        </w:rPr>
        <w:t>s</w:t>
      </w:r>
      <w:r w:rsidRPr="00B433E8">
        <w:rPr>
          <w:rFonts w:asciiTheme="minorHAnsi" w:hAnsiTheme="minorHAnsi" w:cstheme="minorHAnsi"/>
        </w:rPr>
        <w:t xml:space="preserve">podarki komunalnej. Koszty działań prolongowanych lub wynikających z innych programów wskazane zostały </w:t>
      </w:r>
      <w:r>
        <w:rPr>
          <w:rFonts w:asciiTheme="minorHAnsi" w:hAnsiTheme="minorHAnsi" w:cstheme="minorHAnsi"/>
        </w:rPr>
        <w:t>z</w:t>
      </w:r>
      <w:r w:rsidRPr="00B433E8">
        <w:rPr>
          <w:rFonts w:asciiTheme="minorHAnsi" w:hAnsiTheme="minorHAnsi" w:cstheme="minorHAnsi"/>
        </w:rPr>
        <w:t xml:space="preserve"> tych programów. </w:t>
      </w:r>
    </w:p>
    <w:p w14:paraId="587C0EF3" w14:textId="47AC0BC1" w:rsidR="00134DF1" w:rsidRDefault="00B6124E" w:rsidP="006D6C17">
      <w:pPr>
        <w:spacing w:line="276" w:lineRule="auto"/>
        <w:rPr>
          <w:rFonts w:cs="Calibri"/>
        </w:rPr>
      </w:pPr>
      <w:r w:rsidRPr="00B433E8">
        <w:rPr>
          <w:rFonts w:asciiTheme="minorHAnsi" w:hAnsiTheme="minorHAnsi" w:cstheme="minorHAnsi"/>
        </w:rPr>
        <w:t xml:space="preserve">Wszystkie działania zostały zorganizowane w wyżej wymienionych kategoriach, odnoszących się do sektorów gospodarki mających wpływ na stan jcw, a także powiązanych z rodzajem presji. W ramach 11 kategorii wyznaczono </w:t>
      </w:r>
      <w:r w:rsidR="0084607B" w:rsidRPr="00B433E8">
        <w:rPr>
          <w:rFonts w:asciiTheme="minorHAnsi" w:hAnsiTheme="minorHAnsi" w:cstheme="minorHAnsi"/>
        </w:rPr>
        <w:t>1</w:t>
      </w:r>
      <w:r w:rsidR="0084607B">
        <w:rPr>
          <w:rFonts w:asciiTheme="minorHAnsi" w:hAnsiTheme="minorHAnsi" w:cstheme="minorHAnsi"/>
        </w:rPr>
        <w:t>71</w:t>
      </w:r>
      <w:r w:rsidR="0084607B" w:rsidRPr="00B433E8">
        <w:rPr>
          <w:rFonts w:asciiTheme="minorHAnsi" w:hAnsiTheme="minorHAnsi" w:cstheme="minorHAnsi"/>
        </w:rPr>
        <w:t xml:space="preserve"> działa</w:t>
      </w:r>
      <w:r w:rsidR="0084607B">
        <w:rPr>
          <w:rFonts w:asciiTheme="minorHAnsi" w:hAnsiTheme="minorHAnsi" w:cstheme="minorHAnsi"/>
        </w:rPr>
        <w:t>ń</w:t>
      </w:r>
      <w:r w:rsidR="0084607B" w:rsidRPr="00B433E8">
        <w:rPr>
          <w:rFonts w:asciiTheme="minorHAnsi" w:hAnsiTheme="minorHAnsi" w:cstheme="minorHAnsi"/>
        </w:rPr>
        <w:t xml:space="preserve"> </w:t>
      </w:r>
      <w:r w:rsidR="0096315B">
        <w:rPr>
          <w:rFonts w:asciiTheme="minorHAnsi" w:hAnsiTheme="minorHAnsi" w:cstheme="minorHAnsi"/>
        </w:rPr>
        <w:t>–</w:t>
      </w:r>
      <w:r w:rsidRPr="00B433E8" w:rsidDel="00307383">
        <w:rPr>
          <w:rFonts w:asciiTheme="minorHAnsi" w:hAnsiTheme="minorHAnsi" w:cstheme="minorHAnsi"/>
        </w:rPr>
        <w:t xml:space="preserve"> </w:t>
      </w:r>
      <w:r w:rsidR="00307383" w:rsidRPr="00B433E8">
        <w:rPr>
          <w:rFonts w:asciiTheme="minorHAnsi" w:hAnsiTheme="minorHAnsi" w:cstheme="minorHAnsi"/>
        </w:rPr>
        <w:t>11</w:t>
      </w:r>
      <w:r w:rsidR="00307383">
        <w:rPr>
          <w:rFonts w:asciiTheme="minorHAnsi" w:hAnsiTheme="minorHAnsi" w:cstheme="minorHAnsi"/>
        </w:rPr>
        <w:t>5</w:t>
      </w:r>
      <w:r w:rsidR="00307383" w:rsidRPr="00B433E8">
        <w:rPr>
          <w:rFonts w:asciiTheme="minorHAnsi" w:hAnsiTheme="minorHAnsi" w:cstheme="minorHAnsi"/>
        </w:rPr>
        <w:t xml:space="preserve"> </w:t>
      </w:r>
      <w:r w:rsidRPr="00B433E8">
        <w:rPr>
          <w:rFonts w:asciiTheme="minorHAnsi" w:hAnsiTheme="minorHAnsi" w:cstheme="minorHAnsi"/>
        </w:rPr>
        <w:t>(</w:t>
      </w:r>
      <w:r w:rsidR="00307383">
        <w:rPr>
          <w:rFonts w:asciiTheme="minorHAnsi" w:hAnsiTheme="minorHAnsi" w:cstheme="minorHAnsi"/>
        </w:rPr>
        <w:t>67</w:t>
      </w:r>
      <w:r w:rsidRPr="00B433E8">
        <w:rPr>
          <w:rFonts w:asciiTheme="minorHAnsi" w:hAnsiTheme="minorHAnsi" w:cstheme="minorHAnsi"/>
        </w:rPr>
        <w:t>%) stanowiących działania podstawowe i</w:t>
      </w:r>
      <w:r w:rsidR="003D271B">
        <w:rPr>
          <w:rFonts w:asciiTheme="minorHAnsi" w:hAnsiTheme="minorHAnsi" w:cstheme="minorHAnsi"/>
        </w:rPr>
        <w:t> </w:t>
      </w:r>
      <w:r w:rsidR="000E572B">
        <w:rPr>
          <w:rFonts w:asciiTheme="minorHAnsi" w:hAnsiTheme="minorHAnsi" w:cstheme="minorHAnsi"/>
        </w:rPr>
        <w:t>56</w:t>
      </w:r>
      <w:r w:rsidR="000E572B" w:rsidRPr="00B433E8">
        <w:rPr>
          <w:rFonts w:asciiTheme="minorHAnsi" w:hAnsiTheme="minorHAnsi" w:cstheme="minorHAnsi"/>
        </w:rPr>
        <w:t xml:space="preserve"> </w:t>
      </w:r>
      <w:r w:rsidRPr="00B433E8">
        <w:rPr>
          <w:rFonts w:asciiTheme="minorHAnsi" w:hAnsiTheme="minorHAnsi" w:cstheme="minorHAnsi"/>
        </w:rPr>
        <w:t>(</w:t>
      </w:r>
      <w:r w:rsidRPr="00B433E8" w:rsidDel="00F400D7">
        <w:rPr>
          <w:rFonts w:asciiTheme="minorHAnsi" w:hAnsiTheme="minorHAnsi" w:cstheme="minorHAnsi"/>
        </w:rPr>
        <w:t>33</w:t>
      </w:r>
      <w:r w:rsidRPr="00B433E8">
        <w:rPr>
          <w:rFonts w:asciiTheme="minorHAnsi" w:hAnsiTheme="minorHAnsi" w:cstheme="minorHAnsi"/>
        </w:rPr>
        <w:t>%) uzupełniające. W katalogu krajowym 97 działań to działania z prolongacji (</w:t>
      </w:r>
      <w:r w:rsidR="00CD3EA4" w:rsidRPr="00B433E8">
        <w:rPr>
          <w:rFonts w:asciiTheme="minorHAnsi" w:hAnsiTheme="minorHAnsi" w:cstheme="minorHAnsi"/>
        </w:rPr>
        <w:t>5</w:t>
      </w:r>
      <w:r w:rsidR="00CD3EA4">
        <w:rPr>
          <w:rFonts w:asciiTheme="minorHAnsi" w:hAnsiTheme="minorHAnsi" w:cstheme="minorHAnsi"/>
        </w:rPr>
        <w:t>6</w:t>
      </w:r>
      <w:r w:rsidRPr="00B433E8">
        <w:rPr>
          <w:rFonts w:asciiTheme="minorHAnsi" w:hAnsiTheme="minorHAnsi" w:cstheme="minorHAnsi"/>
        </w:rPr>
        <w:t>%), a</w:t>
      </w:r>
      <w:r w:rsidR="008526C7">
        <w:rPr>
          <w:rFonts w:asciiTheme="minorHAnsi" w:hAnsiTheme="minorHAnsi" w:cstheme="minorHAnsi"/>
        </w:rPr>
        <w:t> </w:t>
      </w:r>
      <w:r w:rsidR="000E572B" w:rsidRPr="00B433E8">
        <w:rPr>
          <w:rFonts w:asciiTheme="minorHAnsi" w:hAnsiTheme="minorHAnsi" w:cstheme="minorHAnsi"/>
        </w:rPr>
        <w:t>7</w:t>
      </w:r>
      <w:r w:rsidR="000E572B">
        <w:rPr>
          <w:rFonts w:asciiTheme="minorHAnsi" w:hAnsiTheme="minorHAnsi" w:cstheme="minorHAnsi"/>
        </w:rPr>
        <w:t>4</w:t>
      </w:r>
      <w:r w:rsidR="000E572B" w:rsidRPr="00B433E8">
        <w:rPr>
          <w:rFonts w:asciiTheme="minorHAnsi" w:hAnsiTheme="minorHAnsi" w:cstheme="minorHAnsi"/>
        </w:rPr>
        <w:t xml:space="preserve"> </w:t>
      </w:r>
      <w:r w:rsidRPr="00B433E8">
        <w:rPr>
          <w:rFonts w:asciiTheme="minorHAnsi" w:hAnsiTheme="minorHAnsi" w:cstheme="minorHAnsi"/>
        </w:rPr>
        <w:t>to działania nowe (</w:t>
      </w:r>
      <w:r w:rsidR="005141E1">
        <w:rPr>
          <w:rFonts w:asciiTheme="minorHAnsi" w:hAnsiTheme="minorHAnsi" w:cstheme="minorHAnsi"/>
        </w:rPr>
        <w:t>44</w:t>
      </w:r>
      <w:r w:rsidRPr="00A20031">
        <w:rPr>
          <w:rFonts w:asciiTheme="minorHAnsi" w:hAnsiTheme="minorHAnsi" w:cstheme="minorHAnsi"/>
        </w:rPr>
        <w:t xml:space="preserve">%) </w:t>
      </w:r>
      <w:r w:rsidR="0096315B">
        <w:rPr>
          <w:rFonts w:asciiTheme="minorHAnsi" w:hAnsiTheme="minorHAnsi" w:cstheme="minorHAnsi"/>
        </w:rPr>
        <w:t>–</w:t>
      </w:r>
      <w:r w:rsidRPr="00A20031">
        <w:rPr>
          <w:rFonts w:asciiTheme="minorHAnsi" w:hAnsiTheme="minorHAnsi" w:cstheme="minorHAnsi"/>
        </w:rPr>
        <w:t xml:space="preserve"> wykres 12-2</w:t>
      </w:r>
      <w:bookmarkEnd w:id="651"/>
      <w:bookmarkEnd w:id="652"/>
    </w:p>
    <w:p w14:paraId="558E7471" w14:textId="1FC6E3CD" w:rsidR="00FA54BC" w:rsidRPr="00AA2367" w:rsidRDefault="00FA54BC" w:rsidP="00AA2367">
      <w:pPr>
        <w:spacing w:before="0" w:after="0"/>
        <w:jc w:val="center"/>
        <w:rPr>
          <w:noProof/>
        </w:rPr>
      </w:pPr>
      <w:r>
        <w:rPr>
          <w:noProof/>
        </w:rPr>
        <w:drawing>
          <wp:inline distT="0" distB="0" distL="0" distR="0" wp14:anchorId="2C1DFF0C" wp14:editId="539F54DC">
            <wp:extent cx="4140000" cy="2407920"/>
            <wp:effectExtent l="0" t="0" r="13335" b="11430"/>
            <wp:docPr id="81" name="Wykres 81">
              <a:extLst xmlns:a="http://schemas.openxmlformats.org/drawingml/2006/main">
                <a:ext uri="{FF2B5EF4-FFF2-40B4-BE49-F238E27FC236}">
                  <a16:creationId xmlns:a16="http://schemas.microsoft.com/office/drawing/2014/main" id="{829834D2-1589-47E3-B1FC-315E3B9088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2A567265" w14:textId="1FF65CD1" w:rsidR="00134DF1" w:rsidRPr="00795F17" w:rsidRDefault="00134DF1" w:rsidP="00B479EE">
      <w:pPr>
        <w:pStyle w:val="Wykres"/>
      </w:pPr>
      <w:bookmarkStart w:id="653" w:name="_Toc105513011"/>
      <w:r w:rsidRPr="00795F17">
        <w:t xml:space="preserve">Wykres </w:t>
      </w:r>
      <w:fldSimple w:instr=" STYLEREF 1 \s ">
        <w:r w:rsidR="001F774D">
          <w:rPr>
            <w:noProof/>
          </w:rPr>
          <w:t>12</w:t>
        </w:r>
      </w:fldSimple>
      <w:r w:rsidR="00FF20D3">
        <w:noBreakHyphen/>
      </w:r>
      <w:fldSimple w:instr=" SEQ Wykres \* ARABIC \s 1 ">
        <w:r w:rsidR="001F774D">
          <w:rPr>
            <w:noProof/>
          </w:rPr>
          <w:t>2</w:t>
        </w:r>
      </w:fldSimple>
      <w:r w:rsidR="001D534F">
        <w:rPr>
          <w:noProof/>
        </w:rPr>
        <w:t>.</w:t>
      </w:r>
      <w:r w:rsidRPr="00795F17">
        <w:tab/>
        <w:t>Udział działań z prolongacji oraz nowych w katalogu działań krajowych IIaPGW</w:t>
      </w:r>
      <w:bookmarkEnd w:id="653"/>
    </w:p>
    <w:p w14:paraId="516F58AB" w14:textId="77777777" w:rsidR="00134DF1" w:rsidRPr="00795F17" w:rsidRDefault="00134DF1" w:rsidP="00800C9B">
      <w:pPr>
        <w:pStyle w:val="rdo"/>
        <w:spacing w:before="0" w:after="0"/>
      </w:pPr>
      <w:r w:rsidRPr="00795F17">
        <w:t>Źródło: opracowanie własne</w:t>
      </w:r>
    </w:p>
    <w:p w14:paraId="19582737" w14:textId="7B018A0B" w:rsidR="00800C9B" w:rsidRPr="00DB2311" w:rsidRDefault="00800C9B" w:rsidP="00800C9B">
      <w:bookmarkStart w:id="654" w:name="_Hlk68221972"/>
      <w:bookmarkStart w:id="655" w:name="_Hlk68219329"/>
      <w:r w:rsidRPr="00B433E8">
        <w:rPr>
          <w:rFonts w:asciiTheme="minorHAnsi" w:hAnsiTheme="minorHAnsi" w:cstheme="minorHAnsi"/>
        </w:rPr>
        <w:t xml:space="preserve">Każde działanie katalogu krajowego zostało scharakteryzowane poprzez informacje dotyczące: opisu działania, podstawy prawnej działania, wskazania jednostek odpowiedzialnych za jego realizację, określenia typu działania (działanie podstawowe, działanie uzupełniające) wraz z określeniem harmonogramu realizacji danego działania. W tym miejscu należy zwrócić uwagę, że </w:t>
      </w:r>
      <w:r w:rsidR="0052673A" w:rsidRPr="00B433E8">
        <w:rPr>
          <w:rFonts w:asciiTheme="minorHAnsi" w:hAnsiTheme="minorHAnsi" w:cstheme="minorHAnsi"/>
        </w:rPr>
        <w:t>9</w:t>
      </w:r>
      <w:r w:rsidR="0052673A">
        <w:rPr>
          <w:rFonts w:asciiTheme="minorHAnsi" w:hAnsiTheme="minorHAnsi" w:cstheme="minorHAnsi"/>
        </w:rPr>
        <w:t>1</w:t>
      </w:r>
      <w:r w:rsidRPr="00B433E8">
        <w:rPr>
          <w:rFonts w:asciiTheme="minorHAnsi" w:hAnsiTheme="minorHAnsi" w:cstheme="minorHAnsi"/>
        </w:rPr>
        <w:t>,9% działań krajowych stanowią działania ciągłe</w:t>
      </w:r>
      <w:r>
        <w:rPr>
          <w:rFonts w:asciiTheme="minorHAnsi" w:hAnsiTheme="minorHAnsi" w:cstheme="minorHAnsi"/>
        </w:rPr>
        <w:t xml:space="preserve"> (wykres 12-3)</w:t>
      </w:r>
      <w:r w:rsidRPr="00DB2311">
        <w:t>.</w:t>
      </w:r>
      <w:bookmarkEnd w:id="654"/>
    </w:p>
    <w:bookmarkEnd w:id="655"/>
    <w:p w14:paraId="7B93EFE1" w14:textId="6EF92971" w:rsidR="00134DF1" w:rsidRPr="00795F17" w:rsidRDefault="002A77D4" w:rsidP="00800C9B">
      <w:pPr>
        <w:spacing w:before="0" w:after="0"/>
        <w:jc w:val="center"/>
        <w:rPr>
          <w:rFonts w:cs="Calibri"/>
          <w:bCs/>
          <w:iCs/>
        </w:rPr>
      </w:pPr>
      <w:r>
        <w:rPr>
          <w:noProof/>
        </w:rPr>
        <w:drawing>
          <wp:inline distT="0" distB="0" distL="0" distR="0" wp14:anchorId="283DBF3B" wp14:editId="47EA70E7">
            <wp:extent cx="4140000" cy="2415000"/>
            <wp:effectExtent l="0" t="0" r="13335" b="4445"/>
            <wp:docPr id="252" name="Wykres 1866059347">
              <a:extLst xmlns:a="http://schemas.openxmlformats.org/drawingml/2006/main">
                <a:ext uri="{FF2B5EF4-FFF2-40B4-BE49-F238E27FC236}">
                  <a16:creationId xmlns:a16="http://schemas.microsoft.com/office/drawing/2014/main" id="{B964F75A-0B16-4033-A7CB-2E2BD97216B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756686BE" w14:textId="4953723A" w:rsidR="00134DF1" w:rsidRPr="00795F17" w:rsidRDefault="00134DF1" w:rsidP="00B479EE">
      <w:pPr>
        <w:pStyle w:val="Wykres"/>
      </w:pPr>
      <w:bookmarkStart w:id="656" w:name="_Toc105513012"/>
      <w:r w:rsidRPr="00795F17">
        <w:t xml:space="preserve">Wykres </w:t>
      </w:r>
      <w:fldSimple w:instr=" STYLEREF 1 \s ">
        <w:r w:rsidR="001F774D">
          <w:rPr>
            <w:noProof/>
          </w:rPr>
          <w:t>12</w:t>
        </w:r>
      </w:fldSimple>
      <w:r w:rsidR="00FF20D3">
        <w:noBreakHyphen/>
      </w:r>
      <w:fldSimple w:instr=" SEQ Wykres \* ARABIC \s 1 ">
        <w:r w:rsidR="001F774D">
          <w:rPr>
            <w:noProof/>
          </w:rPr>
          <w:t>3</w:t>
        </w:r>
      </w:fldSimple>
      <w:r w:rsidR="001D534F">
        <w:rPr>
          <w:noProof/>
        </w:rPr>
        <w:t>.</w:t>
      </w:r>
      <w:r w:rsidRPr="00795F17">
        <w:tab/>
        <w:t xml:space="preserve">Udział działań z </w:t>
      </w:r>
      <w:r w:rsidR="00741A16" w:rsidRPr="00795F17">
        <w:t>określonym terminem realizacji</w:t>
      </w:r>
      <w:r w:rsidRPr="00795F17">
        <w:t xml:space="preserve"> </w:t>
      </w:r>
      <w:r w:rsidR="005B051C">
        <w:t xml:space="preserve">oraz działań ciągłych </w:t>
      </w:r>
      <w:r w:rsidRPr="00795F17">
        <w:t>w katalogu działań krajowych IIaPGW</w:t>
      </w:r>
      <w:bookmarkEnd w:id="656"/>
    </w:p>
    <w:p w14:paraId="794C1889" w14:textId="77777777" w:rsidR="00134DF1" w:rsidRPr="00795F17" w:rsidRDefault="00134DF1" w:rsidP="00800C9B">
      <w:pPr>
        <w:pStyle w:val="rdo"/>
        <w:spacing w:before="0" w:after="0"/>
      </w:pPr>
      <w:r w:rsidRPr="00795F17">
        <w:t>Źródło: opracowanie własne</w:t>
      </w:r>
    </w:p>
    <w:p w14:paraId="77564729" w14:textId="6024BCF8" w:rsidR="00134DF1" w:rsidRPr="00795F17" w:rsidRDefault="00134DF1" w:rsidP="00134DF1">
      <w:pPr>
        <w:rPr>
          <w:rFonts w:cs="Calibri"/>
          <w:bCs/>
          <w:iCs/>
        </w:rPr>
      </w:pPr>
      <w:r w:rsidRPr="00795F17">
        <w:rPr>
          <w:rFonts w:cs="Calibri"/>
          <w:bCs/>
          <w:iCs/>
        </w:rPr>
        <w:t xml:space="preserve">Katalog działań krajowych </w:t>
      </w:r>
      <w:r w:rsidR="00064AE0">
        <w:rPr>
          <w:rFonts w:cs="Calibri"/>
          <w:bCs/>
          <w:iCs/>
        </w:rPr>
        <w:t>prezentuje załącznik</w:t>
      </w:r>
      <w:r w:rsidRPr="00795F17">
        <w:rPr>
          <w:rFonts w:cs="Calibri"/>
          <w:bCs/>
          <w:iCs/>
        </w:rPr>
        <w:t xml:space="preserve"> nr </w:t>
      </w:r>
      <w:r w:rsidR="00CC04BE">
        <w:rPr>
          <w:rFonts w:cs="Calibri"/>
          <w:bCs/>
          <w:iCs/>
        </w:rPr>
        <w:t>11</w:t>
      </w:r>
      <w:r w:rsidRPr="00795F17">
        <w:rPr>
          <w:rFonts w:cs="Calibri"/>
          <w:bCs/>
          <w:iCs/>
        </w:rPr>
        <w:t xml:space="preserve"> (Katalog działań krajowych) do IIaPGW.</w:t>
      </w:r>
    </w:p>
    <w:p w14:paraId="43F4F8CA" w14:textId="627768C3" w:rsidR="00134DF1" w:rsidRPr="00795F17" w:rsidRDefault="00134DF1" w:rsidP="00C53C86">
      <w:pPr>
        <w:pStyle w:val="Nagwek2"/>
      </w:pPr>
      <w:bookmarkStart w:id="657" w:name="_Toc105512696"/>
      <w:r w:rsidRPr="00795F17">
        <w:t>Katalogi działań poszczególnych kategorii wód</w:t>
      </w:r>
      <w:bookmarkEnd w:id="648"/>
      <w:bookmarkEnd w:id="649"/>
      <w:bookmarkEnd w:id="657"/>
    </w:p>
    <w:p w14:paraId="6792343E" w14:textId="3A670F42" w:rsidR="00E73C82" w:rsidRPr="00C80C4D" w:rsidRDefault="00E73C82" w:rsidP="00C80C4D">
      <w:r w:rsidRPr="00B433E8">
        <w:t xml:space="preserve">Dla </w:t>
      </w:r>
      <w:r w:rsidRPr="00C80C4D">
        <w:t>poszczególnych kategorii wód został przygotowany odrębny katalog działań, uwzględniający specyfikę danej kategorii (</w:t>
      </w:r>
      <w:r w:rsidR="00DF005E">
        <w:t>JCWP</w:t>
      </w:r>
      <w:r w:rsidRPr="00C80C4D">
        <w:t xml:space="preserve"> RW, </w:t>
      </w:r>
      <w:r w:rsidR="00DF005E">
        <w:t>JCWP</w:t>
      </w:r>
      <w:r w:rsidRPr="00C80C4D">
        <w:t xml:space="preserve"> RWr, </w:t>
      </w:r>
      <w:r w:rsidR="00DF005E">
        <w:t>JCWP</w:t>
      </w:r>
      <w:r w:rsidRPr="00C80C4D">
        <w:t xml:space="preserve"> LW, </w:t>
      </w:r>
      <w:r w:rsidR="00DF005E">
        <w:t>JCWP</w:t>
      </w:r>
      <w:r w:rsidRPr="00C80C4D">
        <w:t xml:space="preserve"> TW i CW, </w:t>
      </w:r>
      <w:r w:rsidR="00DF005E">
        <w:t>JCWP</w:t>
      </w:r>
      <w:r w:rsidRPr="00C80C4D">
        <w:t>d).</w:t>
      </w:r>
    </w:p>
    <w:p w14:paraId="6EEB0B35" w14:textId="17E73B50" w:rsidR="00E73C82" w:rsidRPr="00B433E8" w:rsidRDefault="00E73C82" w:rsidP="00E73C82">
      <w:pPr>
        <w:rPr>
          <w:rFonts w:asciiTheme="minorHAnsi" w:hAnsiTheme="minorHAnsi" w:cstheme="minorHAnsi"/>
        </w:rPr>
      </w:pPr>
      <w:r w:rsidRPr="00C80C4D">
        <w:rPr>
          <w:rFonts w:asciiTheme="minorHAnsi" w:hAnsiTheme="minorHAnsi" w:cstheme="minorHAnsi"/>
        </w:rPr>
        <w:t>Katalogi dla wszystkich kategorii wód zbudowane zostały na bazie działań zebranych w grupy, zdolnych do eliminacji lub przynajmniej zminimalizowania presji istotnych wskazanych</w:t>
      </w:r>
      <w:r w:rsidRPr="00B433E8">
        <w:rPr>
          <w:rFonts w:asciiTheme="minorHAnsi" w:hAnsiTheme="minorHAnsi" w:cstheme="minorHAnsi"/>
        </w:rPr>
        <w:t xml:space="preserve"> w opracowaniu </w:t>
      </w:r>
      <w:r w:rsidRPr="00B433E8">
        <w:rPr>
          <w:rFonts w:asciiTheme="minorHAnsi" w:hAnsiTheme="minorHAnsi" w:cstheme="minorHAnsi"/>
          <w:i/>
          <w:iCs/>
        </w:rPr>
        <w:t>Analiza presji znaczących (…)</w:t>
      </w:r>
      <w:r w:rsidR="0058311F">
        <w:rPr>
          <w:rStyle w:val="Odwoanieprzypisudolnego"/>
          <w:rFonts w:asciiTheme="minorHAnsi" w:hAnsiTheme="minorHAnsi"/>
          <w:i/>
          <w:iCs/>
        </w:rPr>
        <w:footnoteReference w:id="89"/>
      </w:r>
      <w:r w:rsidRPr="00B433E8">
        <w:rPr>
          <w:rFonts w:asciiTheme="minorHAnsi" w:hAnsiTheme="minorHAnsi" w:cstheme="minorHAnsi"/>
        </w:rPr>
        <w:t xml:space="preserve">, bądź </w:t>
      </w:r>
      <w:r w:rsidR="0096315B">
        <w:rPr>
          <w:rFonts w:asciiTheme="minorHAnsi" w:hAnsiTheme="minorHAnsi" w:cstheme="minorHAnsi"/>
        </w:rPr>
        <w:t>–</w:t>
      </w:r>
      <w:r w:rsidRPr="00B433E8">
        <w:rPr>
          <w:rFonts w:asciiTheme="minorHAnsi" w:hAnsiTheme="minorHAnsi" w:cstheme="minorHAnsi"/>
        </w:rPr>
        <w:t xml:space="preserve"> w przypadku obszarów przeznaczonych do ochrony siedlisk lub</w:t>
      </w:r>
      <w:r w:rsidR="00EA6F0A">
        <w:rPr>
          <w:rFonts w:asciiTheme="minorHAnsi" w:hAnsiTheme="minorHAnsi" w:cstheme="minorHAnsi"/>
        </w:rPr>
        <w:t> </w:t>
      </w:r>
      <w:r w:rsidRPr="00B433E8">
        <w:rPr>
          <w:rFonts w:asciiTheme="minorHAnsi" w:hAnsiTheme="minorHAnsi" w:cstheme="minorHAnsi"/>
        </w:rPr>
        <w:t xml:space="preserve">gatunków, o których mowa w przepisach u.o.p., dla których utrzymanie lub poprawa stanu wód jest ważnym czynnikiem w ich ochronie </w:t>
      </w:r>
      <w:r w:rsidR="00C4272F">
        <w:rPr>
          <w:rFonts w:asciiTheme="minorHAnsi" w:hAnsiTheme="minorHAnsi" w:cstheme="minorHAnsi"/>
        </w:rPr>
        <w:t xml:space="preserve">oraz obszarów przeznaczonych do ochrony gatunków zwierząt wodnych o znaczeniu gospodarczym </w:t>
      </w:r>
      <w:r w:rsidR="0096315B">
        <w:rPr>
          <w:rFonts w:asciiTheme="minorHAnsi" w:hAnsiTheme="minorHAnsi" w:cstheme="minorHAnsi"/>
        </w:rPr>
        <w:t>–</w:t>
      </w:r>
      <w:r w:rsidRPr="00B433E8">
        <w:rPr>
          <w:rFonts w:asciiTheme="minorHAnsi" w:hAnsiTheme="minorHAnsi" w:cstheme="minorHAnsi"/>
        </w:rPr>
        <w:t xml:space="preserve"> bezpośrednio nakierowanych na realizację celów środowiskowych. W katalog</w:t>
      </w:r>
      <w:r>
        <w:rPr>
          <w:rFonts w:asciiTheme="minorHAnsi" w:hAnsiTheme="minorHAnsi" w:cstheme="minorHAnsi"/>
        </w:rPr>
        <w:t>ach</w:t>
      </w:r>
      <w:r w:rsidRPr="00B433E8">
        <w:rPr>
          <w:rFonts w:asciiTheme="minorHAnsi" w:hAnsiTheme="minorHAnsi" w:cstheme="minorHAnsi"/>
        </w:rPr>
        <w:t xml:space="preserve"> zastosowano kodowanie działań odwołujące się bezpośrednio do</w:t>
      </w:r>
      <w:r w:rsidR="00EA6F0A">
        <w:rPr>
          <w:rFonts w:asciiTheme="minorHAnsi" w:hAnsiTheme="minorHAnsi" w:cstheme="minorHAnsi"/>
        </w:rPr>
        <w:t> </w:t>
      </w:r>
      <w:r w:rsidRPr="00B433E8">
        <w:rPr>
          <w:rFonts w:asciiTheme="minorHAnsi" w:hAnsiTheme="minorHAnsi" w:cstheme="minorHAnsi"/>
        </w:rPr>
        <w:t>głównej presji na jaką dane działanie wpływa (jedno działanie może wpływać na eliminację lub</w:t>
      </w:r>
      <w:r w:rsidR="00EA6F0A">
        <w:rPr>
          <w:rFonts w:asciiTheme="minorHAnsi" w:hAnsiTheme="minorHAnsi" w:cstheme="minorHAnsi"/>
        </w:rPr>
        <w:t> </w:t>
      </w:r>
      <w:r w:rsidRPr="00B433E8">
        <w:rPr>
          <w:rFonts w:asciiTheme="minorHAnsi" w:hAnsiTheme="minorHAnsi" w:cstheme="minorHAnsi"/>
        </w:rPr>
        <w:t xml:space="preserve">redukcję więcej niż jednej presji znaczącej). </w:t>
      </w:r>
    </w:p>
    <w:p w14:paraId="4A19E48B" w14:textId="77777777" w:rsidR="00E73C82" w:rsidRPr="0031439A" w:rsidRDefault="00E73C82" w:rsidP="00E73C82">
      <w:pPr>
        <w:rPr>
          <w:rFonts w:asciiTheme="minorHAnsi" w:hAnsiTheme="minorHAnsi"/>
        </w:rPr>
      </w:pPr>
      <w:r w:rsidRPr="0031439A">
        <w:rPr>
          <w:rFonts w:asciiTheme="minorHAnsi" w:hAnsiTheme="minorHAnsi"/>
        </w:rPr>
        <w:t xml:space="preserve">Podczas opracowywania </w:t>
      </w:r>
      <w:r w:rsidRPr="00DB2311">
        <w:t>katalogów</w:t>
      </w:r>
      <w:r>
        <w:rPr>
          <w:rFonts w:asciiTheme="minorHAnsi" w:hAnsiTheme="minorHAnsi" w:cstheme="minorHAnsi"/>
        </w:rPr>
        <w:t xml:space="preserve"> </w:t>
      </w:r>
      <w:r w:rsidRPr="0031439A">
        <w:rPr>
          <w:rFonts w:asciiTheme="minorHAnsi" w:hAnsiTheme="minorHAnsi"/>
        </w:rPr>
        <w:t>działań uwzględniono zalecenia i uwagi KE do aPGW, w tym:</w:t>
      </w:r>
    </w:p>
    <w:p w14:paraId="5E617EBD" w14:textId="77777777" w:rsidR="00E73C82" w:rsidRPr="0031439A" w:rsidRDefault="00E73C82" w:rsidP="00117E86">
      <w:pPr>
        <w:pStyle w:val="Listapunktowana2"/>
      </w:pPr>
      <w:bookmarkStart w:id="658" w:name="_Hlk67343180"/>
      <w:r w:rsidRPr="00B433E8">
        <w:rPr>
          <w:rFonts w:cstheme="minorHAnsi"/>
        </w:rPr>
        <w:t>Sprawozdanie</w:t>
      </w:r>
      <w:r w:rsidRPr="0031439A">
        <w:t xml:space="preserve"> Komisji </w:t>
      </w:r>
      <w:r>
        <w:t xml:space="preserve">dla </w:t>
      </w:r>
      <w:r w:rsidRPr="0031439A">
        <w:t>Parlamentu Europejskiego i Rady w sprawie wykonania Ramowej Dyrektywy Wodnej (2000/60/WE) i Dyrektywy Powodziowej (2007/60/WE); Drugie plany gospodarowania wodami w dorzeczu; Pierwsze plany zarządzania ryzykiem powodziowym; Bruksela, dnia 26 lutego 2019; COM (2019) 95 final;</w:t>
      </w:r>
    </w:p>
    <w:p w14:paraId="5D47F51F" w14:textId="66CA13D7" w:rsidR="00E73C82" w:rsidRPr="0031439A" w:rsidRDefault="00E73C82" w:rsidP="00117E86">
      <w:pPr>
        <w:pStyle w:val="Listapunktowana2"/>
      </w:pPr>
      <w:r w:rsidRPr="00B433E8">
        <w:rPr>
          <w:rFonts w:cstheme="minorHAnsi"/>
        </w:rPr>
        <w:t>Załącznik</w:t>
      </w:r>
      <w:r w:rsidRPr="0031439A">
        <w:t xml:space="preserve"> do sprawozdania Komisji dla Parlamentu Europejskiego i Rady w sprawie wykonania Ramowej Dyrektywy Wodnej (2000/60/WE) i Dyrektywy powodziowej (2007/60/WE); Drugie plany gospodarowania wodami w dorzeczu; Pierwsze plany zarządzania ryzykiem powodziowym; Zalecenia Komisji w sprawie drugich planów gospodarowania wodami w</w:t>
      </w:r>
      <w:r w:rsidR="001B15D5">
        <w:rPr>
          <w:rFonts w:cstheme="minorHAnsi"/>
        </w:rPr>
        <w:t> </w:t>
      </w:r>
      <w:r w:rsidRPr="0031439A">
        <w:t>dorzeczu i pierwszych planów zarządzania ryzykiem powodziowym;</w:t>
      </w:r>
    </w:p>
    <w:p w14:paraId="2C9385A6" w14:textId="77777777" w:rsidR="00E73C82" w:rsidRPr="0031439A" w:rsidRDefault="00E73C82" w:rsidP="00117E86">
      <w:pPr>
        <w:pStyle w:val="Listapunktowana2"/>
      </w:pPr>
      <w:r w:rsidRPr="00B433E8">
        <w:rPr>
          <w:rFonts w:cstheme="minorHAnsi"/>
        </w:rPr>
        <w:t>Dokument</w:t>
      </w:r>
      <w:r w:rsidRPr="0031439A">
        <w:t xml:space="preserve"> roboczy służb Komisji do sprawozdania Komisji dla Parlamentu Europejskiego i Rady w</w:t>
      </w:r>
      <w:r w:rsidRPr="00B433E8">
        <w:rPr>
          <w:rFonts w:cstheme="minorHAnsi"/>
        </w:rPr>
        <w:t> </w:t>
      </w:r>
      <w:r w:rsidRPr="0031439A">
        <w:t>sprawie wykonania Ramowej Dyrektywy Wodnej (2000/60/WE) i Dyrektywy powodziowej (2007/60/WE); Drugie plany gospodarowania wodami w dorzeczu; Pierwsze plany zarządzania ryzykiem powodziowym; Bruksela, dnia 26 lutego 2019; SWD</w:t>
      </w:r>
      <w:r w:rsidRPr="00B433E8">
        <w:rPr>
          <w:rFonts w:cstheme="minorHAnsi"/>
        </w:rPr>
        <w:t xml:space="preserve"> </w:t>
      </w:r>
      <w:r w:rsidRPr="0031439A">
        <w:t xml:space="preserve">(2019) 53 draft. </w:t>
      </w:r>
    </w:p>
    <w:bookmarkEnd w:id="658"/>
    <w:p w14:paraId="327AED8C" w14:textId="1FB72764" w:rsidR="00E73C82" w:rsidRPr="0031439A" w:rsidRDefault="00E73C82" w:rsidP="00A67860">
      <w:r w:rsidRPr="0031439A">
        <w:t>Każde z działań w poszczególnych katalogach zostało ocenione pod kątem możliwości eliminacji lub</w:t>
      </w:r>
      <w:r w:rsidR="002F1AAC">
        <w:rPr>
          <w:rFonts w:cstheme="minorHAnsi"/>
        </w:rPr>
        <w:t> </w:t>
      </w:r>
      <w:r w:rsidRPr="0031439A">
        <w:t>redukcji presji, a tym samym osiągnięcia celów środowiskowych. W katalogach dla</w:t>
      </w:r>
      <w:r w:rsidRPr="00B433E8">
        <w:rPr>
          <w:rFonts w:cstheme="minorHAnsi"/>
        </w:rPr>
        <w:t> </w:t>
      </w:r>
      <w:r w:rsidRPr="0031439A">
        <w:t>poszczególnych kategorii wód znalazły się zarówno działania nowe, jak i prolongowane z</w:t>
      </w:r>
      <w:r w:rsidRPr="00B433E8">
        <w:rPr>
          <w:rFonts w:cstheme="minorHAnsi"/>
        </w:rPr>
        <w:t> </w:t>
      </w:r>
      <w:r w:rsidRPr="0031439A">
        <w:t>poprzedniego cyklu planistycznego (2016</w:t>
      </w:r>
      <w:r w:rsidR="0096315B">
        <w:t>–</w:t>
      </w:r>
      <w:r w:rsidRPr="0031439A">
        <w:t>2021). Wśród działań prolongowanych znalazły się</w:t>
      </w:r>
      <w:r w:rsidRPr="00B433E8">
        <w:rPr>
          <w:rFonts w:cstheme="minorHAnsi"/>
        </w:rPr>
        <w:t> </w:t>
      </w:r>
      <w:r w:rsidRPr="0031439A">
        <w:t>działania niezrealizowane w</w:t>
      </w:r>
      <w:r w:rsidR="002F1AAC">
        <w:rPr>
          <w:rFonts w:cstheme="minorHAnsi"/>
        </w:rPr>
        <w:t> </w:t>
      </w:r>
      <w:r w:rsidRPr="0031439A">
        <w:t>poprzednim cyklu planistycznym (aPGW, 2016</w:t>
      </w:r>
      <w:r w:rsidR="0096315B">
        <w:t>–</w:t>
      </w:r>
      <w:r w:rsidRPr="0031439A">
        <w:t>2021), a także będące w trakcie realizacji i</w:t>
      </w:r>
      <w:r w:rsidR="002F1AAC">
        <w:rPr>
          <w:rFonts w:cstheme="minorHAnsi"/>
        </w:rPr>
        <w:t> </w:t>
      </w:r>
      <w:r w:rsidRPr="0031439A">
        <w:t>wymagające kontynuacji w IIaPGW.</w:t>
      </w:r>
    </w:p>
    <w:p w14:paraId="30F7EF33" w14:textId="74861314" w:rsidR="00E73C82" w:rsidRPr="0031439A" w:rsidRDefault="00E73C82" w:rsidP="00A67860">
      <w:r w:rsidRPr="0031439A">
        <w:t>W katalogach zastosowano kodowanie działań odwołujące się bezpośrednio do głównej presji na</w:t>
      </w:r>
      <w:r w:rsidR="002F1AAC">
        <w:rPr>
          <w:rFonts w:cstheme="minorHAnsi"/>
        </w:rPr>
        <w:t xml:space="preserve"> </w:t>
      </w:r>
      <w:r w:rsidRPr="0031439A">
        <w:t xml:space="preserve">jaką dane działanie wpływa (jedno działanie może wpływać na eliminację lub redukcję więcej niż jednej presji znaczącej). Taki sam sposób kodowania dotyczy wszystkich kategorii wód </w:t>
      </w:r>
      <w:r w:rsidR="00DF005E">
        <w:t>JCWP</w:t>
      </w:r>
      <w:r>
        <w:t xml:space="preserve"> </w:t>
      </w:r>
      <w:r w:rsidRPr="00DB2311">
        <w:t>(tabela 12</w:t>
      </w:r>
      <w:r w:rsidRPr="0031439A">
        <w:t xml:space="preserve">-1). </w:t>
      </w:r>
    </w:p>
    <w:p w14:paraId="32A03B1D" w14:textId="512974CA" w:rsidR="00E73C82" w:rsidRPr="00B433E8" w:rsidRDefault="00E73C82" w:rsidP="004D7705">
      <w:pPr>
        <w:pStyle w:val="Tabela"/>
      </w:pPr>
      <w:bookmarkStart w:id="659" w:name="_Toc68195494"/>
      <w:bookmarkStart w:id="660" w:name="_Toc67488860"/>
      <w:bookmarkStart w:id="661" w:name="_Toc68123670"/>
      <w:bookmarkStart w:id="662" w:name="_Toc105512870"/>
      <w:r w:rsidRPr="00B433E8">
        <w:t xml:space="preserve">Tabela </w:t>
      </w:r>
      <w:fldSimple w:instr=" STYLEREF 1 \s ">
        <w:r w:rsidR="001F774D">
          <w:rPr>
            <w:noProof/>
          </w:rPr>
          <w:t>12</w:t>
        </w:r>
      </w:fldSimple>
      <w:r w:rsidRPr="00B433E8">
        <w:noBreakHyphen/>
      </w:r>
      <w:fldSimple w:instr=" SEQ Tabela \* ARABIC \s 1 ">
        <w:r w:rsidR="001F774D">
          <w:rPr>
            <w:noProof/>
          </w:rPr>
          <w:t>1</w:t>
        </w:r>
      </w:fldSimple>
      <w:r w:rsidR="00EB4B7B">
        <w:rPr>
          <w:noProof/>
        </w:rPr>
        <w:t>.</w:t>
      </w:r>
      <w:r w:rsidRPr="00B433E8">
        <w:tab/>
        <w:t>Kodowanie działań w katalogu</w:t>
      </w:r>
      <w:bookmarkEnd w:id="659"/>
      <w:r w:rsidRPr="00B433E8">
        <w:t xml:space="preserve"> </w:t>
      </w:r>
      <w:bookmarkEnd w:id="660"/>
      <w:bookmarkEnd w:id="661"/>
      <w:r w:rsidR="00DF005E">
        <w:t>JCWP</w:t>
      </w:r>
      <w:bookmarkEnd w:id="662"/>
    </w:p>
    <w:tbl>
      <w:tblPr>
        <w:tblW w:w="8990" w:type="dxa"/>
        <w:tblLook w:val="04A0" w:firstRow="1" w:lastRow="0" w:firstColumn="1" w:lastColumn="0" w:noHBand="0" w:noVBand="1"/>
      </w:tblPr>
      <w:tblGrid>
        <w:gridCol w:w="2829"/>
        <w:gridCol w:w="4112"/>
        <w:gridCol w:w="2049"/>
      </w:tblGrid>
      <w:tr w:rsidR="00E73C82" w:rsidRPr="00B433E8" w14:paraId="7019B1D8" w14:textId="77777777" w:rsidTr="006A37E5">
        <w:trPr>
          <w:trHeight w:val="454"/>
        </w:trPr>
        <w:tc>
          <w:tcPr>
            <w:tcW w:w="282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8089B3B" w14:textId="77777777" w:rsidR="00E73C82" w:rsidRPr="005D58CF" w:rsidRDefault="00E73C82" w:rsidP="006A37E5">
            <w:pPr>
              <w:pStyle w:val="Teksttabelinaglowek"/>
              <w:keepNext/>
            </w:pPr>
            <w:r w:rsidRPr="00290498">
              <w:t>Kod IIaPGW</w:t>
            </w:r>
          </w:p>
        </w:tc>
        <w:tc>
          <w:tcPr>
            <w:tcW w:w="411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D37FC28" w14:textId="77777777" w:rsidR="00E73C82" w:rsidRPr="0031439A" w:rsidRDefault="00E73C82" w:rsidP="006A37E5">
            <w:pPr>
              <w:pStyle w:val="Teksttabelinaglowek"/>
              <w:keepNext/>
            </w:pPr>
            <w:r w:rsidRPr="0031439A">
              <w:t>Objaśnienie</w:t>
            </w:r>
          </w:p>
        </w:tc>
        <w:tc>
          <w:tcPr>
            <w:tcW w:w="204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7D13637" w14:textId="04FD1803" w:rsidR="00E73C82" w:rsidRPr="0031439A" w:rsidRDefault="00E73C82" w:rsidP="006A37E5">
            <w:pPr>
              <w:pStyle w:val="Teksttabelinaglowek"/>
              <w:keepNext/>
            </w:pPr>
            <w:r w:rsidRPr="0031439A">
              <w:t xml:space="preserve">Przykład kodu IIaPGW dla </w:t>
            </w:r>
            <w:r w:rsidR="00DF005E">
              <w:t>JCWP</w:t>
            </w:r>
            <w:r w:rsidRPr="0031439A">
              <w:t xml:space="preserve"> RW</w:t>
            </w:r>
          </w:p>
        </w:tc>
      </w:tr>
      <w:tr w:rsidR="00E73C82" w:rsidRPr="00B433E8" w14:paraId="5FB3107A" w14:textId="77777777" w:rsidTr="006A37E5">
        <w:trPr>
          <w:trHeight w:val="454"/>
        </w:trPr>
        <w:tc>
          <w:tcPr>
            <w:tcW w:w="2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C8B1D1" w14:textId="77777777" w:rsidR="00E73C82" w:rsidRPr="00B433E8" w:rsidRDefault="00E73C82" w:rsidP="005842B5">
            <w:pPr>
              <w:pStyle w:val="Teksttabelilewy"/>
              <w:rPr>
                <w:rFonts w:cstheme="minorHAnsi"/>
              </w:rPr>
            </w:pPr>
            <w:r w:rsidRPr="0031439A">
              <w:t xml:space="preserve">oznaczenie kategorii wód + </w:t>
            </w:r>
            <w:r w:rsidRPr="00B433E8">
              <w:rPr>
                <w:rFonts w:cstheme="minorHAnsi"/>
                <w:b/>
                <w:bCs/>
              </w:rPr>
              <w:t>C</w:t>
            </w:r>
          </w:p>
        </w:tc>
        <w:tc>
          <w:tcPr>
            <w:tcW w:w="41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5A6CA0" w14:textId="77777777" w:rsidR="00E73C82" w:rsidRPr="00B433E8" w:rsidRDefault="00E73C82" w:rsidP="005842B5">
            <w:pPr>
              <w:pStyle w:val="Teksttabelilewy"/>
              <w:rPr>
                <w:rFonts w:cstheme="minorHAnsi"/>
              </w:rPr>
            </w:pPr>
            <w:r w:rsidRPr="0031439A">
              <w:t>presje skumulowane wód</w:t>
            </w:r>
          </w:p>
        </w:tc>
        <w:tc>
          <w:tcPr>
            <w:tcW w:w="20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061DD4" w14:textId="77777777" w:rsidR="00E73C82" w:rsidRPr="0031439A" w:rsidRDefault="00E73C82" w:rsidP="006A37E5">
            <w:pPr>
              <w:pStyle w:val="Teksttabelisrodek"/>
            </w:pPr>
            <w:r w:rsidRPr="0031439A">
              <w:t>RWC</w:t>
            </w:r>
          </w:p>
        </w:tc>
      </w:tr>
      <w:tr w:rsidR="00E73C82" w:rsidRPr="00B433E8" w14:paraId="337D5A3C" w14:textId="77777777" w:rsidTr="006A37E5">
        <w:trPr>
          <w:trHeight w:val="454"/>
        </w:trPr>
        <w:tc>
          <w:tcPr>
            <w:tcW w:w="2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8BF694" w14:textId="77777777" w:rsidR="00E73C82" w:rsidRPr="00B433E8" w:rsidRDefault="00E73C82" w:rsidP="005842B5">
            <w:pPr>
              <w:pStyle w:val="Teksttabelilewy"/>
              <w:rPr>
                <w:rFonts w:cstheme="minorHAnsi"/>
              </w:rPr>
            </w:pPr>
            <w:r w:rsidRPr="0031439A">
              <w:t>oznaczenie kategorii wód</w:t>
            </w:r>
            <w:r w:rsidRPr="00B433E8">
              <w:rPr>
                <w:rFonts w:cstheme="minorHAnsi"/>
              </w:rPr>
              <w:t xml:space="preserve"> + </w:t>
            </w:r>
            <w:r w:rsidRPr="00B433E8">
              <w:rPr>
                <w:rFonts w:cstheme="minorHAnsi"/>
                <w:b/>
                <w:bCs/>
              </w:rPr>
              <w:t>P</w:t>
            </w:r>
          </w:p>
        </w:tc>
        <w:tc>
          <w:tcPr>
            <w:tcW w:w="41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7F78EF" w14:textId="77777777" w:rsidR="00E73C82" w:rsidRPr="00B433E8" w:rsidRDefault="00E73C82" w:rsidP="005842B5">
            <w:pPr>
              <w:pStyle w:val="Teksttabelilewy"/>
              <w:rPr>
                <w:rFonts w:cstheme="minorHAnsi"/>
              </w:rPr>
            </w:pPr>
            <w:r w:rsidRPr="0031439A">
              <w:t>presje chemiczne i fizykochemiczne</w:t>
            </w:r>
          </w:p>
        </w:tc>
        <w:tc>
          <w:tcPr>
            <w:tcW w:w="20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F5BB0" w14:textId="77777777" w:rsidR="00E73C82" w:rsidRPr="0031439A" w:rsidRDefault="00E73C82" w:rsidP="006A37E5">
            <w:pPr>
              <w:pStyle w:val="Teksttabelisrodek"/>
            </w:pPr>
            <w:r w:rsidRPr="0031439A">
              <w:t>RWP</w:t>
            </w:r>
          </w:p>
        </w:tc>
      </w:tr>
      <w:tr w:rsidR="00E73C82" w:rsidRPr="00B433E8" w14:paraId="3EAE8EE1" w14:textId="77777777" w:rsidTr="006A37E5">
        <w:trPr>
          <w:trHeight w:val="454"/>
        </w:trPr>
        <w:tc>
          <w:tcPr>
            <w:tcW w:w="2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FB8DD4" w14:textId="77777777" w:rsidR="00E73C82" w:rsidRPr="00B433E8" w:rsidRDefault="00E73C82" w:rsidP="005842B5">
            <w:pPr>
              <w:pStyle w:val="Teksttabelilewy"/>
              <w:rPr>
                <w:rFonts w:cstheme="minorHAnsi"/>
              </w:rPr>
            </w:pPr>
            <w:r w:rsidRPr="0031439A">
              <w:t>oznaczenie kategorii wód</w:t>
            </w:r>
            <w:r w:rsidRPr="00B433E8">
              <w:rPr>
                <w:rFonts w:cstheme="minorHAnsi"/>
              </w:rPr>
              <w:t xml:space="preserve"> + </w:t>
            </w:r>
            <w:r w:rsidRPr="00B433E8">
              <w:rPr>
                <w:rFonts w:cstheme="minorHAnsi"/>
                <w:b/>
                <w:bCs/>
              </w:rPr>
              <w:t>H</w:t>
            </w:r>
          </w:p>
        </w:tc>
        <w:tc>
          <w:tcPr>
            <w:tcW w:w="41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CFCA5" w14:textId="77777777" w:rsidR="00E73C82" w:rsidRPr="00B433E8" w:rsidRDefault="00E73C82" w:rsidP="005842B5">
            <w:pPr>
              <w:pStyle w:val="Teksttabelilewy"/>
              <w:rPr>
                <w:rFonts w:cstheme="minorHAnsi"/>
              </w:rPr>
            </w:pPr>
            <w:r w:rsidRPr="0031439A">
              <w:t>presje hydrologiczne</w:t>
            </w:r>
          </w:p>
        </w:tc>
        <w:tc>
          <w:tcPr>
            <w:tcW w:w="20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F51EE3" w14:textId="77777777" w:rsidR="00E73C82" w:rsidRPr="0031439A" w:rsidRDefault="00E73C82" w:rsidP="006A37E5">
            <w:pPr>
              <w:pStyle w:val="Teksttabelisrodek"/>
            </w:pPr>
            <w:r w:rsidRPr="0031439A">
              <w:t>RWH</w:t>
            </w:r>
          </w:p>
        </w:tc>
      </w:tr>
      <w:tr w:rsidR="00E73C82" w:rsidRPr="00B433E8" w14:paraId="28C61E5C" w14:textId="77777777" w:rsidTr="006A37E5">
        <w:trPr>
          <w:trHeight w:val="454"/>
        </w:trPr>
        <w:tc>
          <w:tcPr>
            <w:tcW w:w="2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AC3238" w14:textId="77777777" w:rsidR="00E73C82" w:rsidRPr="00B433E8" w:rsidRDefault="00E73C82" w:rsidP="005842B5">
            <w:pPr>
              <w:pStyle w:val="Teksttabelilewy"/>
              <w:rPr>
                <w:rFonts w:cstheme="minorHAnsi"/>
              </w:rPr>
            </w:pPr>
            <w:r w:rsidRPr="0031439A">
              <w:t>oznaczenie kategorii wód</w:t>
            </w:r>
            <w:r w:rsidRPr="00B433E8">
              <w:rPr>
                <w:rFonts w:cstheme="minorHAnsi"/>
              </w:rPr>
              <w:t xml:space="preserve"> + </w:t>
            </w:r>
            <w:r w:rsidRPr="00B433E8">
              <w:rPr>
                <w:rFonts w:cstheme="minorHAnsi"/>
                <w:b/>
                <w:bCs/>
              </w:rPr>
              <w:t>HM</w:t>
            </w:r>
          </w:p>
        </w:tc>
        <w:tc>
          <w:tcPr>
            <w:tcW w:w="41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0F5812" w14:textId="77777777" w:rsidR="00E73C82" w:rsidRPr="00B433E8" w:rsidRDefault="00E73C82" w:rsidP="005842B5">
            <w:pPr>
              <w:pStyle w:val="Teksttabelilewy"/>
            </w:pPr>
            <w:r w:rsidRPr="0031439A">
              <w:t xml:space="preserve">presje </w:t>
            </w:r>
            <w:r w:rsidRPr="00B433E8">
              <w:t>hydromorfologiczne</w:t>
            </w:r>
          </w:p>
        </w:tc>
        <w:tc>
          <w:tcPr>
            <w:tcW w:w="20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B2A08D" w14:textId="77777777" w:rsidR="00E73C82" w:rsidRPr="0031439A" w:rsidRDefault="00E73C82" w:rsidP="006A37E5">
            <w:pPr>
              <w:pStyle w:val="Teksttabelisrodek"/>
            </w:pPr>
            <w:r w:rsidRPr="0031439A">
              <w:t>RWHM</w:t>
            </w:r>
          </w:p>
        </w:tc>
      </w:tr>
    </w:tbl>
    <w:p w14:paraId="538780CB" w14:textId="77777777" w:rsidR="00E73C82" w:rsidRPr="0031439A" w:rsidRDefault="00E73C82" w:rsidP="00E73C82">
      <w:pPr>
        <w:pStyle w:val="rdo"/>
      </w:pPr>
      <w:r w:rsidRPr="0031439A">
        <w:t>Źródło: opracowanie własne</w:t>
      </w:r>
    </w:p>
    <w:p w14:paraId="1064CFA1" w14:textId="1239389D" w:rsidR="00E73C82" w:rsidRPr="0031439A" w:rsidRDefault="00E73C82" w:rsidP="00A67860">
      <w:r w:rsidRPr="0031439A">
        <w:t xml:space="preserve">W przypadku </w:t>
      </w:r>
      <w:r w:rsidR="00DF005E">
        <w:t>JCWP</w:t>
      </w:r>
      <w:r w:rsidRPr="0031439A">
        <w:t>d przypisany kod wskazuje rodzaj presji, na redukcję której działanie jest ukierunkowane (presje ilościowe, presje chemiczne lub presje ilościowe i chemiczne</w:t>
      </w:r>
      <w:r w:rsidRPr="00B433E8">
        <w:rPr>
          <w:rFonts w:cstheme="minorHAnsi"/>
        </w:rPr>
        <w:t xml:space="preserve">) (tabela </w:t>
      </w:r>
      <w:r w:rsidR="00FE118B">
        <w:rPr>
          <w:rFonts w:cstheme="minorHAnsi"/>
        </w:rPr>
        <w:t>12</w:t>
      </w:r>
      <w:r w:rsidRPr="0031439A">
        <w:t>-2).</w:t>
      </w:r>
    </w:p>
    <w:p w14:paraId="067E0BD7" w14:textId="3E724911" w:rsidR="00E73C82" w:rsidRPr="00B433E8" w:rsidRDefault="00E73C82" w:rsidP="004D7705">
      <w:pPr>
        <w:pStyle w:val="Tabela"/>
      </w:pPr>
      <w:bookmarkStart w:id="663" w:name="_Toc68195495"/>
      <w:bookmarkStart w:id="664" w:name="_Toc67488861"/>
      <w:bookmarkStart w:id="665" w:name="_Toc68123671"/>
      <w:bookmarkStart w:id="666" w:name="_Toc105512871"/>
      <w:r w:rsidRPr="00B433E8">
        <w:t xml:space="preserve">Tabela </w:t>
      </w:r>
      <w:fldSimple w:instr=" STYLEREF 1 \s ">
        <w:r w:rsidR="001F774D">
          <w:rPr>
            <w:noProof/>
          </w:rPr>
          <w:t>12</w:t>
        </w:r>
      </w:fldSimple>
      <w:r w:rsidRPr="00B433E8">
        <w:noBreakHyphen/>
      </w:r>
      <w:fldSimple w:instr=" SEQ Tabela \* ARABIC \s 1 ">
        <w:r w:rsidR="001F774D">
          <w:rPr>
            <w:noProof/>
          </w:rPr>
          <w:t>2</w:t>
        </w:r>
      </w:fldSimple>
      <w:r w:rsidR="00EB4B7B">
        <w:rPr>
          <w:noProof/>
        </w:rPr>
        <w:t>.</w:t>
      </w:r>
      <w:r w:rsidRPr="00B433E8">
        <w:tab/>
        <w:t>Kodowanie działań w katalogu</w:t>
      </w:r>
      <w:bookmarkEnd w:id="663"/>
      <w:r w:rsidRPr="00B433E8">
        <w:t xml:space="preserve"> </w:t>
      </w:r>
      <w:bookmarkEnd w:id="664"/>
      <w:r w:rsidR="00DF005E">
        <w:t>JCWP</w:t>
      </w:r>
      <w:r w:rsidRPr="00DB2311">
        <w:t>d</w:t>
      </w:r>
      <w:bookmarkEnd w:id="665"/>
      <w:bookmarkEnd w:id="666"/>
    </w:p>
    <w:tbl>
      <w:tblPr>
        <w:tblW w:w="5000" w:type="pct"/>
        <w:tblLook w:val="00A0" w:firstRow="1" w:lastRow="0" w:firstColumn="1" w:lastColumn="0" w:noHBand="0" w:noVBand="0"/>
      </w:tblPr>
      <w:tblGrid>
        <w:gridCol w:w="2830"/>
        <w:gridCol w:w="4111"/>
        <w:gridCol w:w="2121"/>
      </w:tblGrid>
      <w:tr w:rsidR="00E73C82" w:rsidRPr="00B433E8" w14:paraId="533C0E69" w14:textId="77777777" w:rsidTr="006A37E5">
        <w:trPr>
          <w:trHeight w:val="454"/>
          <w:tblHeader/>
        </w:trPr>
        <w:tc>
          <w:tcPr>
            <w:tcW w:w="283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C98DAFF" w14:textId="77777777" w:rsidR="00E73C82" w:rsidRPr="005D58CF" w:rsidRDefault="00E73C82" w:rsidP="005842B5">
            <w:pPr>
              <w:pStyle w:val="Teksttabelinaglowek"/>
            </w:pPr>
            <w:r w:rsidRPr="00290498">
              <w:t>Kod IIaPGW</w:t>
            </w:r>
          </w:p>
        </w:tc>
        <w:tc>
          <w:tcPr>
            <w:tcW w:w="411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F1642B2" w14:textId="77777777" w:rsidR="00E73C82" w:rsidRPr="0031439A" w:rsidRDefault="00E73C82" w:rsidP="005842B5">
            <w:pPr>
              <w:pStyle w:val="Teksttabelinaglowek"/>
            </w:pPr>
            <w:r w:rsidRPr="0031439A">
              <w:t>Objaśnienie</w:t>
            </w:r>
          </w:p>
        </w:tc>
        <w:tc>
          <w:tcPr>
            <w:tcW w:w="212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409B39B" w14:textId="7B6ACFD3" w:rsidR="00E73C82" w:rsidRPr="00290498" w:rsidRDefault="00E73C82" w:rsidP="005842B5">
            <w:pPr>
              <w:pStyle w:val="Teksttabelinaglowek"/>
            </w:pPr>
            <w:r w:rsidRPr="0031439A">
              <w:t>Przykład kodu IIaPGW</w:t>
            </w:r>
            <w:r w:rsidRPr="00B433E8">
              <w:rPr>
                <w:rFonts w:cstheme="minorHAnsi"/>
              </w:rPr>
              <w:t xml:space="preserve"> dla </w:t>
            </w:r>
            <w:r w:rsidR="00DF005E">
              <w:rPr>
                <w:rFonts w:cstheme="minorHAnsi"/>
              </w:rPr>
              <w:t>JCWP</w:t>
            </w:r>
            <w:r w:rsidRPr="00B433E8">
              <w:rPr>
                <w:rFonts w:cstheme="minorHAnsi"/>
              </w:rPr>
              <w:t>d</w:t>
            </w:r>
          </w:p>
        </w:tc>
      </w:tr>
      <w:tr w:rsidR="00E73C82" w:rsidRPr="00B433E8" w14:paraId="6443BDFD" w14:textId="77777777" w:rsidTr="006A37E5">
        <w:trPr>
          <w:trHeight w:val="454"/>
        </w:trPr>
        <w:tc>
          <w:tcPr>
            <w:tcW w:w="28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01A876" w14:textId="77777777" w:rsidR="00E73C82" w:rsidRPr="00B433E8" w:rsidRDefault="00E73C82" w:rsidP="005842B5">
            <w:pPr>
              <w:pStyle w:val="Teksttabelilewy"/>
              <w:rPr>
                <w:rFonts w:cstheme="minorHAnsi"/>
              </w:rPr>
            </w:pPr>
            <w:r w:rsidRPr="0031439A">
              <w:t>oznaczenie kategorii wód</w:t>
            </w:r>
            <w:r w:rsidRPr="0031439A">
              <w:rPr>
                <w:b/>
              </w:rPr>
              <w:t xml:space="preserve"> </w:t>
            </w:r>
            <w:r w:rsidRPr="0031439A">
              <w:t>+</w:t>
            </w:r>
            <w:r w:rsidRPr="0031439A">
              <w:rPr>
                <w:b/>
              </w:rPr>
              <w:t xml:space="preserve"> </w:t>
            </w:r>
            <w:r w:rsidRPr="00B433E8">
              <w:rPr>
                <w:rFonts w:cstheme="minorHAnsi"/>
                <w:b/>
                <w:bCs/>
              </w:rPr>
              <w:t>I</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A89A4C" w14:textId="77777777" w:rsidR="00E73C82" w:rsidRPr="00B433E8" w:rsidRDefault="00E73C82" w:rsidP="005842B5">
            <w:pPr>
              <w:pStyle w:val="Teksttabelilewy"/>
            </w:pPr>
            <w:r w:rsidRPr="00B433E8">
              <w:t>presje ilościowe</w:t>
            </w:r>
          </w:p>
        </w:tc>
        <w:tc>
          <w:tcPr>
            <w:tcW w:w="2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3430DF" w14:textId="77777777" w:rsidR="00E73C82" w:rsidRPr="00B433E8" w:rsidRDefault="00E73C82" w:rsidP="005842B5">
            <w:pPr>
              <w:pStyle w:val="Teksttabelisrodek"/>
            </w:pPr>
            <w:r w:rsidRPr="00B433E8">
              <w:t>GWI</w:t>
            </w:r>
          </w:p>
        </w:tc>
      </w:tr>
      <w:tr w:rsidR="00E73C82" w:rsidRPr="00B433E8" w14:paraId="5A454DB1" w14:textId="77777777" w:rsidTr="006A37E5">
        <w:trPr>
          <w:trHeight w:val="454"/>
        </w:trPr>
        <w:tc>
          <w:tcPr>
            <w:tcW w:w="28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DC9118" w14:textId="77777777" w:rsidR="00E73C82" w:rsidRPr="00B433E8" w:rsidRDefault="00E73C82" w:rsidP="005842B5">
            <w:pPr>
              <w:pStyle w:val="Teksttabelilewy"/>
              <w:rPr>
                <w:rFonts w:cstheme="minorHAnsi"/>
              </w:rPr>
            </w:pPr>
            <w:r w:rsidRPr="0031439A">
              <w:t>oznaczenie kategorii wód</w:t>
            </w:r>
            <w:r w:rsidRPr="0031439A">
              <w:rPr>
                <w:b/>
              </w:rPr>
              <w:t xml:space="preserve"> </w:t>
            </w:r>
            <w:r w:rsidRPr="0031439A">
              <w:t xml:space="preserve">+ </w:t>
            </w:r>
            <w:r w:rsidRPr="00B433E8">
              <w:rPr>
                <w:rFonts w:cstheme="minorHAnsi"/>
                <w:b/>
                <w:bCs/>
              </w:rPr>
              <w:t>PA</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B6F4B3" w14:textId="77777777" w:rsidR="00E73C82" w:rsidRPr="00B433E8" w:rsidRDefault="00E73C82" w:rsidP="005842B5">
            <w:pPr>
              <w:pStyle w:val="Teksttabelilewy"/>
            </w:pPr>
            <w:r w:rsidRPr="00B433E8">
              <w:t>presje chemiczne A (rolnictwo i gospodarka komunalna)</w:t>
            </w:r>
          </w:p>
        </w:tc>
        <w:tc>
          <w:tcPr>
            <w:tcW w:w="2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D64C99" w14:textId="77777777" w:rsidR="00E73C82" w:rsidRPr="00B433E8" w:rsidRDefault="00E73C82" w:rsidP="005842B5">
            <w:pPr>
              <w:pStyle w:val="Teksttabelisrodek"/>
            </w:pPr>
            <w:r w:rsidRPr="00B433E8">
              <w:t>GWPA</w:t>
            </w:r>
          </w:p>
        </w:tc>
      </w:tr>
      <w:tr w:rsidR="00E73C82" w:rsidRPr="00B433E8" w14:paraId="7F46F4DB" w14:textId="77777777" w:rsidTr="006A37E5">
        <w:trPr>
          <w:trHeight w:val="454"/>
        </w:trPr>
        <w:tc>
          <w:tcPr>
            <w:tcW w:w="28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C25D69" w14:textId="77777777" w:rsidR="00E73C82" w:rsidRPr="00B433E8" w:rsidRDefault="00E73C82" w:rsidP="005842B5">
            <w:pPr>
              <w:pStyle w:val="Teksttabelilewy"/>
              <w:rPr>
                <w:rFonts w:cstheme="minorHAnsi"/>
              </w:rPr>
            </w:pPr>
            <w:r w:rsidRPr="0031439A">
              <w:t xml:space="preserve">oznaczenie kategorii wód </w:t>
            </w:r>
            <w:r w:rsidRPr="00B433E8">
              <w:rPr>
                <w:rFonts w:cstheme="minorHAnsi"/>
              </w:rPr>
              <w:t xml:space="preserve">+ </w:t>
            </w:r>
            <w:r w:rsidRPr="00B433E8">
              <w:rPr>
                <w:rFonts w:cstheme="minorHAnsi"/>
                <w:b/>
                <w:bCs/>
              </w:rPr>
              <w:t>PB</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866461" w14:textId="77777777" w:rsidR="00E73C82" w:rsidRPr="00B433E8" w:rsidRDefault="00E73C82" w:rsidP="005842B5">
            <w:pPr>
              <w:pStyle w:val="Teksttabelilewy"/>
            </w:pPr>
            <w:r w:rsidRPr="00B433E8">
              <w:t>presje chemiczne B (przemysł i urbanizacja)</w:t>
            </w:r>
          </w:p>
        </w:tc>
        <w:tc>
          <w:tcPr>
            <w:tcW w:w="2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C5B1E9" w14:textId="77777777" w:rsidR="00E73C82" w:rsidRPr="00B433E8" w:rsidRDefault="00E73C82" w:rsidP="005842B5">
            <w:pPr>
              <w:pStyle w:val="Teksttabelisrodek"/>
            </w:pPr>
            <w:r w:rsidRPr="00B433E8">
              <w:t>GWPB</w:t>
            </w:r>
          </w:p>
        </w:tc>
      </w:tr>
      <w:tr w:rsidR="00E73C82" w:rsidRPr="00B433E8" w14:paraId="4AE119FA" w14:textId="77777777" w:rsidTr="006A37E5">
        <w:trPr>
          <w:trHeight w:val="454"/>
        </w:trPr>
        <w:tc>
          <w:tcPr>
            <w:tcW w:w="28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2C851F" w14:textId="77777777" w:rsidR="00E73C82" w:rsidRPr="00B433E8" w:rsidRDefault="00E73C82" w:rsidP="005842B5">
            <w:pPr>
              <w:pStyle w:val="Teksttabelilewy"/>
              <w:rPr>
                <w:rFonts w:cstheme="minorHAnsi"/>
              </w:rPr>
            </w:pPr>
            <w:r w:rsidRPr="0031439A">
              <w:t>oznaczenie kategorii wód</w:t>
            </w:r>
            <w:r w:rsidRPr="0031439A">
              <w:rPr>
                <w:b/>
              </w:rPr>
              <w:t xml:space="preserve"> </w:t>
            </w:r>
            <w:r w:rsidRPr="0031439A">
              <w:t xml:space="preserve">+ </w:t>
            </w:r>
            <w:r w:rsidRPr="00B433E8">
              <w:rPr>
                <w:rFonts w:cstheme="minorHAnsi"/>
                <w:b/>
                <w:bCs/>
              </w:rPr>
              <w:t>IC</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BD100" w14:textId="77777777" w:rsidR="00E73C82" w:rsidRPr="00B433E8" w:rsidRDefault="00E73C82" w:rsidP="005842B5">
            <w:pPr>
              <w:pStyle w:val="Teksttabelilewy"/>
            </w:pPr>
            <w:r w:rsidRPr="00B433E8">
              <w:t>presje ilościowe i chemiczne</w:t>
            </w:r>
          </w:p>
        </w:tc>
        <w:tc>
          <w:tcPr>
            <w:tcW w:w="2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8DC591" w14:textId="77777777" w:rsidR="00E73C82" w:rsidRPr="00B433E8" w:rsidRDefault="00E73C82" w:rsidP="005842B5">
            <w:pPr>
              <w:pStyle w:val="Teksttabelisrodek"/>
            </w:pPr>
            <w:r w:rsidRPr="00B433E8">
              <w:t>GWIC</w:t>
            </w:r>
          </w:p>
        </w:tc>
      </w:tr>
      <w:tr w:rsidR="00E73C82" w:rsidRPr="00B433E8" w14:paraId="2DFA7CA4" w14:textId="77777777" w:rsidTr="006A37E5">
        <w:trPr>
          <w:trHeight w:val="454"/>
        </w:trPr>
        <w:tc>
          <w:tcPr>
            <w:tcW w:w="28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E5E8B" w14:textId="77777777" w:rsidR="00E73C82" w:rsidRPr="00B433E8" w:rsidRDefault="00E73C82" w:rsidP="005842B5">
            <w:pPr>
              <w:pStyle w:val="Teksttabelilewy"/>
            </w:pPr>
            <w:r w:rsidRPr="00B433E8">
              <w:t xml:space="preserve">oznaczenie kategorii wód + </w:t>
            </w:r>
            <w:r w:rsidRPr="00B433E8">
              <w:rPr>
                <w:b/>
                <w:bCs/>
              </w:rPr>
              <w:t>C</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6DC25B" w14:textId="77777777" w:rsidR="00E73C82" w:rsidRPr="00B433E8" w:rsidRDefault="00E73C82" w:rsidP="005842B5">
            <w:pPr>
              <w:pStyle w:val="Teksttabelilewy"/>
            </w:pPr>
            <w:r w:rsidRPr="00B433E8">
              <w:t>presje chemiczne</w:t>
            </w:r>
          </w:p>
        </w:tc>
        <w:tc>
          <w:tcPr>
            <w:tcW w:w="2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C5D7F4" w14:textId="77777777" w:rsidR="00E73C82" w:rsidRPr="00B433E8" w:rsidRDefault="00E73C82" w:rsidP="005842B5">
            <w:pPr>
              <w:pStyle w:val="Teksttabelisrodek"/>
            </w:pPr>
            <w:r w:rsidRPr="00B433E8">
              <w:t>GWC</w:t>
            </w:r>
          </w:p>
        </w:tc>
      </w:tr>
    </w:tbl>
    <w:p w14:paraId="7D8C609D" w14:textId="77777777" w:rsidR="00E73C82" w:rsidRPr="00795F17" w:rsidRDefault="00E73C82" w:rsidP="00E73C82">
      <w:pPr>
        <w:pStyle w:val="rdo"/>
        <w:rPr>
          <w:rFonts w:cs="Calibri"/>
          <w:i w:val="0"/>
          <w:sz w:val="20"/>
          <w:szCs w:val="20"/>
        </w:rPr>
      </w:pPr>
      <w:r w:rsidRPr="00C22FBA">
        <w:t>Źródło: opracowanie własne</w:t>
      </w:r>
    </w:p>
    <w:p w14:paraId="0D635A5A" w14:textId="2562B4BE" w:rsidR="00E73C82" w:rsidRPr="0031439A" w:rsidRDefault="00E73C82" w:rsidP="00E73C82">
      <w:pPr>
        <w:spacing w:line="276" w:lineRule="auto"/>
        <w:rPr>
          <w:rFonts w:asciiTheme="minorHAnsi" w:hAnsiTheme="minorHAnsi"/>
        </w:rPr>
      </w:pPr>
      <w:r w:rsidRPr="0031439A">
        <w:rPr>
          <w:rFonts w:asciiTheme="minorHAnsi" w:hAnsiTheme="minorHAnsi"/>
        </w:rPr>
        <w:t xml:space="preserve">Jednocześnie w katalogach zastosowano podział działań na tzw. główne rodzaje środków </w:t>
      </w:r>
      <w:r w:rsidR="0096315B">
        <w:rPr>
          <w:rFonts w:asciiTheme="minorHAnsi" w:hAnsiTheme="minorHAnsi"/>
        </w:rPr>
        <w:t>–</w:t>
      </w:r>
      <w:r w:rsidRPr="0031439A">
        <w:rPr>
          <w:rFonts w:asciiTheme="minorHAnsi" w:hAnsiTheme="minorHAnsi"/>
        </w:rPr>
        <w:t xml:space="preserve"> GRŚ (</w:t>
      </w:r>
      <w:r w:rsidRPr="0031439A">
        <w:rPr>
          <w:rFonts w:asciiTheme="minorHAnsi" w:hAnsiTheme="minorHAnsi"/>
          <w:i/>
        </w:rPr>
        <w:t>Key Types of Measures</w:t>
      </w:r>
      <w:r w:rsidRPr="0031439A">
        <w:rPr>
          <w:rFonts w:asciiTheme="minorHAnsi" w:hAnsiTheme="minorHAnsi"/>
        </w:rPr>
        <w:t xml:space="preserve">; typ działania </w:t>
      </w:r>
      <w:r w:rsidR="0096315B">
        <w:rPr>
          <w:rFonts w:asciiTheme="minorHAnsi" w:hAnsiTheme="minorHAnsi"/>
        </w:rPr>
        <w:t>–</w:t>
      </w:r>
      <w:r w:rsidRPr="0031439A">
        <w:rPr>
          <w:rFonts w:asciiTheme="minorHAnsi" w:hAnsiTheme="minorHAnsi"/>
        </w:rPr>
        <w:t xml:space="preserve"> KTM), zgodny z kodyfikacją wskazaną przez KE, przypisując poszczególnym działaniom odpowiedni kod działania </w:t>
      </w:r>
      <w:r w:rsidR="00442820">
        <w:rPr>
          <w:rFonts w:asciiTheme="minorHAnsi" w:hAnsiTheme="minorHAnsi"/>
        </w:rPr>
        <w:t>według</w:t>
      </w:r>
      <w:r w:rsidRPr="0031439A">
        <w:rPr>
          <w:rFonts w:asciiTheme="minorHAnsi" w:hAnsiTheme="minorHAnsi"/>
        </w:rPr>
        <w:t xml:space="preserve"> KE.</w:t>
      </w:r>
    </w:p>
    <w:p w14:paraId="6556E2C9" w14:textId="378DF727" w:rsidR="00134DF1" w:rsidRPr="00795F17" w:rsidRDefault="00E73C82" w:rsidP="00E73C82">
      <w:pPr>
        <w:rPr>
          <w:rFonts w:cs="Calibri"/>
        </w:rPr>
      </w:pPr>
      <w:r w:rsidRPr="00B433E8">
        <w:rPr>
          <w:rFonts w:asciiTheme="minorHAnsi" w:hAnsiTheme="minorHAnsi" w:cstheme="minorHAnsi"/>
        </w:rPr>
        <w:t>Poniżej przedstawiono</w:t>
      </w:r>
      <w:r w:rsidRPr="0031439A">
        <w:rPr>
          <w:rFonts w:asciiTheme="minorHAnsi" w:hAnsiTheme="minorHAnsi"/>
        </w:rPr>
        <w:t xml:space="preserve"> opisy katalogów działań dla poszczególnych kategorii wód.</w:t>
      </w:r>
    </w:p>
    <w:p w14:paraId="5147225E" w14:textId="4B6CDCFB" w:rsidR="00134DF1" w:rsidRPr="00795F17" w:rsidRDefault="00134DF1" w:rsidP="00C53C86">
      <w:pPr>
        <w:pStyle w:val="Nagwek3"/>
      </w:pPr>
      <w:bookmarkStart w:id="667" w:name="_Toc105512697"/>
      <w:r w:rsidRPr="00795F17">
        <w:t xml:space="preserve">Katalog działań </w:t>
      </w:r>
      <w:r w:rsidR="00DF005E">
        <w:t>JCWP</w:t>
      </w:r>
      <w:r w:rsidRPr="00795F17">
        <w:t xml:space="preserve"> RW</w:t>
      </w:r>
      <w:bookmarkEnd w:id="667"/>
    </w:p>
    <w:p w14:paraId="3C232F9D" w14:textId="0E474B4B" w:rsidR="00A80975" w:rsidRPr="00C22FBA" w:rsidRDefault="00A80975" w:rsidP="00A80975">
      <w:pPr>
        <w:spacing w:line="276" w:lineRule="auto"/>
        <w:rPr>
          <w:rFonts w:asciiTheme="minorHAnsi" w:hAnsiTheme="minorHAnsi"/>
        </w:rPr>
      </w:pPr>
      <w:r w:rsidRPr="00C22FBA">
        <w:rPr>
          <w:rFonts w:asciiTheme="minorHAnsi" w:hAnsiTheme="minorHAnsi"/>
        </w:rPr>
        <w:t xml:space="preserve">Katalog dla </w:t>
      </w:r>
      <w:r w:rsidR="00DF005E">
        <w:rPr>
          <w:rFonts w:asciiTheme="minorHAnsi" w:hAnsiTheme="minorHAnsi"/>
        </w:rPr>
        <w:t>JCWP</w:t>
      </w:r>
      <w:r w:rsidRPr="00C22FBA">
        <w:rPr>
          <w:rFonts w:asciiTheme="minorHAnsi" w:hAnsiTheme="minorHAnsi"/>
        </w:rPr>
        <w:t xml:space="preserve"> rzecznych (RW) zbudowany został na bazie zebranych w grupy działań umożliwiających eliminację lub przynajmniej zminimalizowanie presji znaczących zidentyfikowanych w ramach pracy </w:t>
      </w:r>
      <w:r w:rsidRPr="00C22FBA">
        <w:rPr>
          <w:rFonts w:asciiTheme="minorHAnsi" w:hAnsiTheme="minorHAnsi"/>
          <w:i/>
        </w:rPr>
        <w:t xml:space="preserve">Analiza znaczących oddziaływań </w:t>
      </w:r>
      <w:r w:rsidR="0096315B">
        <w:rPr>
          <w:rFonts w:asciiTheme="minorHAnsi" w:hAnsiTheme="minorHAnsi"/>
          <w:i/>
        </w:rPr>
        <w:t>–</w:t>
      </w:r>
      <w:r w:rsidRPr="00C22FBA">
        <w:rPr>
          <w:rFonts w:asciiTheme="minorHAnsi" w:hAnsiTheme="minorHAnsi"/>
          <w:i/>
        </w:rPr>
        <w:t xml:space="preserve"> </w:t>
      </w:r>
      <w:r w:rsidR="00DF005E">
        <w:rPr>
          <w:rFonts w:asciiTheme="minorHAnsi" w:hAnsiTheme="minorHAnsi"/>
          <w:i/>
        </w:rPr>
        <w:t>JCWP</w:t>
      </w:r>
      <w:r w:rsidRPr="00C22FBA">
        <w:rPr>
          <w:rFonts w:asciiTheme="minorHAnsi" w:hAnsiTheme="minorHAnsi"/>
          <w:i/>
        </w:rPr>
        <w:t xml:space="preserve"> (…)</w:t>
      </w:r>
      <w:r w:rsidR="00A57A31">
        <w:rPr>
          <w:rStyle w:val="Odwoanieprzypisudolnego"/>
          <w:rFonts w:asciiTheme="minorHAnsi" w:hAnsiTheme="minorHAnsi"/>
          <w:i/>
        </w:rPr>
        <w:footnoteReference w:id="90"/>
      </w:r>
      <w:r w:rsidRPr="00C22FBA">
        <w:rPr>
          <w:rFonts w:asciiTheme="minorHAnsi" w:hAnsiTheme="minorHAnsi"/>
        </w:rPr>
        <w:t xml:space="preserve">. </w:t>
      </w:r>
    </w:p>
    <w:p w14:paraId="2CE67320" w14:textId="4D0A66EE" w:rsidR="00A80975" w:rsidRPr="00C22FBA" w:rsidRDefault="00A80975" w:rsidP="006A37E5">
      <w:pPr>
        <w:keepNext/>
        <w:spacing w:line="276" w:lineRule="auto"/>
        <w:rPr>
          <w:rFonts w:asciiTheme="minorHAnsi" w:hAnsiTheme="minorHAnsi"/>
        </w:rPr>
      </w:pPr>
      <w:r w:rsidRPr="00C22FBA">
        <w:rPr>
          <w:rFonts w:asciiTheme="minorHAnsi" w:hAnsiTheme="minorHAnsi"/>
        </w:rPr>
        <w:t>Łącznie 3</w:t>
      </w:r>
      <w:r w:rsidR="00C86F57">
        <w:rPr>
          <w:rFonts w:asciiTheme="minorHAnsi" w:hAnsiTheme="minorHAnsi"/>
        </w:rPr>
        <w:t>2</w:t>
      </w:r>
      <w:r w:rsidRPr="00C22FBA">
        <w:rPr>
          <w:rFonts w:asciiTheme="minorHAnsi" w:hAnsiTheme="minorHAnsi"/>
        </w:rPr>
        <w:t xml:space="preserve"> działa</w:t>
      </w:r>
      <w:r w:rsidR="00C86F57">
        <w:rPr>
          <w:rFonts w:asciiTheme="minorHAnsi" w:hAnsiTheme="minorHAnsi"/>
        </w:rPr>
        <w:t>nia</w:t>
      </w:r>
      <w:r w:rsidRPr="00C22FBA">
        <w:rPr>
          <w:rFonts w:asciiTheme="minorHAnsi" w:hAnsiTheme="minorHAnsi"/>
        </w:rPr>
        <w:t xml:space="preserve"> w katalogu działań </w:t>
      </w:r>
      <w:r w:rsidR="00DF005E">
        <w:rPr>
          <w:rFonts w:asciiTheme="minorHAnsi" w:hAnsiTheme="minorHAnsi"/>
        </w:rPr>
        <w:t>JCWP</w:t>
      </w:r>
      <w:r w:rsidRPr="00C22FBA">
        <w:rPr>
          <w:rFonts w:asciiTheme="minorHAnsi" w:hAnsiTheme="minorHAnsi"/>
        </w:rPr>
        <w:t xml:space="preserve"> RW zgrupowano w następujących kategoriach:</w:t>
      </w:r>
    </w:p>
    <w:p w14:paraId="1FDB6B58" w14:textId="2E4BD3B7" w:rsidR="00A80975" w:rsidRPr="00C22FBA" w:rsidRDefault="00A80975" w:rsidP="00117E86">
      <w:pPr>
        <w:pStyle w:val="Listapunktowana2"/>
      </w:pPr>
      <w:r w:rsidRPr="00C22FBA">
        <w:t>adaptacja do zmian klimatu</w:t>
      </w:r>
      <w:r w:rsidR="00403711">
        <w:t>;</w:t>
      </w:r>
    </w:p>
    <w:p w14:paraId="3FB1C4D8" w14:textId="2E05DCD6" w:rsidR="00A80975" w:rsidRPr="00C22FBA" w:rsidRDefault="00A80975" w:rsidP="00117E86">
      <w:pPr>
        <w:pStyle w:val="Listapunktowana2"/>
      </w:pPr>
      <w:r w:rsidRPr="00C22FBA">
        <w:t>edukacja i informacja</w:t>
      </w:r>
      <w:r w:rsidR="00403711">
        <w:t>;</w:t>
      </w:r>
    </w:p>
    <w:p w14:paraId="21D95CF3" w14:textId="31F5D0EA" w:rsidR="00A80975" w:rsidRPr="00C22FBA" w:rsidRDefault="00A80975" w:rsidP="00117E86">
      <w:pPr>
        <w:pStyle w:val="Listapunktowana2"/>
      </w:pPr>
      <w:r w:rsidRPr="00C22FBA">
        <w:t>gospodarka ściekowa</w:t>
      </w:r>
      <w:r w:rsidR="00403711">
        <w:t>;</w:t>
      </w:r>
    </w:p>
    <w:p w14:paraId="2ACF9EE2" w14:textId="3E5C6C50" w:rsidR="00A80975" w:rsidRPr="00C22FBA" w:rsidRDefault="00A80975" w:rsidP="00117E86">
      <w:pPr>
        <w:pStyle w:val="Listapunktowana2"/>
      </w:pPr>
      <w:r w:rsidRPr="00C22FBA">
        <w:t xml:space="preserve">kształtowanie stosunków wodnych w zlewni </w:t>
      </w:r>
      <w:r w:rsidR="00DF005E">
        <w:t>JCWP</w:t>
      </w:r>
      <w:r w:rsidR="00403711">
        <w:t>;</w:t>
      </w:r>
    </w:p>
    <w:p w14:paraId="7A0F1E50" w14:textId="7AB40197" w:rsidR="00A80975" w:rsidRPr="00C22FBA" w:rsidRDefault="00A80975" w:rsidP="00117E86">
      <w:pPr>
        <w:pStyle w:val="Listapunktowana2"/>
      </w:pPr>
      <w:r w:rsidRPr="00C22FBA">
        <w:t>ograniczenie zanieczyszczeń rozproszonych z rolnictwa</w:t>
      </w:r>
      <w:r w:rsidR="00403711">
        <w:t>;</w:t>
      </w:r>
    </w:p>
    <w:p w14:paraId="310AD794" w14:textId="66ADF776" w:rsidR="00A80975" w:rsidRPr="00C22FBA" w:rsidRDefault="00A80975" w:rsidP="00117E86">
      <w:pPr>
        <w:pStyle w:val="Listapunktowana2"/>
      </w:pPr>
      <w:r w:rsidRPr="00C22FBA">
        <w:t>poprawa warunków dla obszarów chronionych</w:t>
      </w:r>
      <w:r w:rsidR="00403711">
        <w:t>;</w:t>
      </w:r>
    </w:p>
    <w:p w14:paraId="07FD0DA1" w14:textId="3AFB6294" w:rsidR="00A80975" w:rsidRPr="00C22FBA" w:rsidRDefault="00A80975" w:rsidP="00117E86">
      <w:pPr>
        <w:pStyle w:val="Listapunktowana2"/>
      </w:pPr>
      <w:r w:rsidRPr="00C22FBA">
        <w:t>poprawa warunków hydromorfologicznych rzek i potoków</w:t>
      </w:r>
      <w:r w:rsidR="00403711">
        <w:t>;</w:t>
      </w:r>
    </w:p>
    <w:p w14:paraId="12008A32" w14:textId="59019324" w:rsidR="00A80975" w:rsidRPr="00C22FBA" w:rsidRDefault="00A80975" w:rsidP="00117E86">
      <w:pPr>
        <w:pStyle w:val="Listapunktowana2"/>
      </w:pPr>
      <w:r w:rsidRPr="00C22FBA">
        <w:t>redukcja emisji i zrzutów substancji priorytetowych</w:t>
      </w:r>
      <w:r w:rsidR="00403711">
        <w:t>;</w:t>
      </w:r>
    </w:p>
    <w:p w14:paraId="39C25630" w14:textId="2C76C1F1" w:rsidR="00A80975" w:rsidRPr="00C22FBA" w:rsidRDefault="00C86F57" w:rsidP="00117E86">
      <w:pPr>
        <w:pStyle w:val="Listapunktowana2"/>
      </w:pPr>
      <w:r>
        <w:t xml:space="preserve">aktualizacja </w:t>
      </w:r>
      <w:r w:rsidR="00A80975" w:rsidRPr="00C22FBA">
        <w:t>programu ochrony środowiska</w:t>
      </w:r>
      <w:r w:rsidR="00403711">
        <w:t>;</w:t>
      </w:r>
    </w:p>
    <w:p w14:paraId="6F7147DA" w14:textId="62FB09AC" w:rsidR="00A80975" w:rsidRPr="00C22FBA" w:rsidRDefault="00A80975" w:rsidP="00117E86">
      <w:pPr>
        <w:pStyle w:val="Listapunktowana2"/>
      </w:pPr>
      <w:r w:rsidRPr="00C22FBA">
        <w:t>zapewnienie ciągłości biologicznej i morfologicznej rzek i potoków</w:t>
      </w:r>
      <w:r w:rsidR="00403711">
        <w:t>;</w:t>
      </w:r>
    </w:p>
    <w:p w14:paraId="67DE5CEB" w14:textId="77777777" w:rsidR="00A80975" w:rsidRPr="00C22FBA" w:rsidRDefault="00A80975" w:rsidP="00117E86">
      <w:pPr>
        <w:pStyle w:val="Listapunktowana2"/>
      </w:pPr>
      <w:r w:rsidRPr="00C22FBA">
        <w:t>zapewnienie ciągłości biologicznej rzek i potoków.</w:t>
      </w:r>
    </w:p>
    <w:p w14:paraId="589FA4C5" w14:textId="29F6552C" w:rsidR="00A80975" w:rsidRPr="00C22FBA" w:rsidRDefault="00A80975" w:rsidP="00A80975">
      <w:pPr>
        <w:spacing w:line="276" w:lineRule="auto"/>
        <w:rPr>
          <w:rFonts w:asciiTheme="minorHAnsi" w:hAnsiTheme="minorHAnsi"/>
        </w:rPr>
      </w:pPr>
      <w:r w:rsidRPr="00C22FBA">
        <w:rPr>
          <w:rFonts w:asciiTheme="minorHAnsi" w:hAnsiTheme="minorHAnsi"/>
        </w:rPr>
        <w:t xml:space="preserve">Najliczniejszą kategorię działań stanowi: zapewnienie ciągłości biologicznej rzek i potoków </w:t>
      </w:r>
      <w:r w:rsidRPr="00B433E8">
        <w:rPr>
          <w:rFonts w:asciiTheme="minorHAnsi" w:hAnsiTheme="minorHAnsi" w:cstheme="minorHAnsi"/>
        </w:rPr>
        <w:t>(22</w:t>
      </w:r>
      <w:r w:rsidRPr="00C22FBA">
        <w:rPr>
          <w:rFonts w:asciiTheme="minorHAnsi" w:hAnsiTheme="minorHAnsi"/>
        </w:rPr>
        <w:t>% wszystkich działań w katalogu), drugą pod względem liczby działań jest kategoria: adaptacja do</w:t>
      </w:r>
      <w:r w:rsidRPr="00B433E8">
        <w:rPr>
          <w:rFonts w:asciiTheme="minorHAnsi" w:hAnsiTheme="minorHAnsi" w:cstheme="minorHAnsi"/>
        </w:rPr>
        <w:t xml:space="preserve"> </w:t>
      </w:r>
      <w:r w:rsidRPr="00C22FBA">
        <w:rPr>
          <w:rFonts w:asciiTheme="minorHAnsi" w:hAnsiTheme="minorHAnsi"/>
        </w:rPr>
        <w:t xml:space="preserve">zmian klimatu (19% wszystkich działań w katalogu), natomiast </w:t>
      </w:r>
      <w:r w:rsidRPr="00B433E8">
        <w:rPr>
          <w:rFonts w:asciiTheme="minorHAnsi" w:hAnsiTheme="minorHAnsi" w:cstheme="minorHAnsi"/>
        </w:rPr>
        <w:t>najmniejsz</w:t>
      </w:r>
      <w:r w:rsidR="008526C7">
        <w:rPr>
          <w:rFonts w:asciiTheme="minorHAnsi" w:hAnsiTheme="minorHAnsi" w:cstheme="minorHAnsi"/>
        </w:rPr>
        <w:t>a</w:t>
      </w:r>
      <w:r w:rsidRPr="00B433E8">
        <w:rPr>
          <w:rFonts w:asciiTheme="minorHAnsi" w:hAnsiTheme="minorHAnsi" w:cstheme="minorHAnsi"/>
        </w:rPr>
        <w:t xml:space="preserve"> liczb</w:t>
      </w:r>
      <w:r w:rsidR="008526C7">
        <w:rPr>
          <w:rFonts w:asciiTheme="minorHAnsi" w:hAnsiTheme="minorHAnsi" w:cstheme="minorHAnsi"/>
        </w:rPr>
        <w:t>a</w:t>
      </w:r>
      <w:r w:rsidRPr="00B433E8">
        <w:rPr>
          <w:rFonts w:asciiTheme="minorHAnsi" w:hAnsiTheme="minorHAnsi" w:cstheme="minorHAnsi"/>
        </w:rPr>
        <w:t xml:space="preserve"> działań </w:t>
      </w:r>
      <w:r w:rsidR="008526C7">
        <w:rPr>
          <w:rFonts w:asciiTheme="minorHAnsi" w:hAnsiTheme="minorHAnsi" w:cstheme="minorHAnsi"/>
        </w:rPr>
        <w:t xml:space="preserve">jest w </w:t>
      </w:r>
      <w:r w:rsidRPr="00B433E8">
        <w:rPr>
          <w:rFonts w:asciiTheme="minorHAnsi" w:hAnsiTheme="minorHAnsi" w:cstheme="minorHAnsi"/>
        </w:rPr>
        <w:t>kategori</w:t>
      </w:r>
      <w:r w:rsidR="008526C7">
        <w:rPr>
          <w:rFonts w:asciiTheme="minorHAnsi" w:hAnsiTheme="minorHAnsi" w:cstheme="minorHAnsi"/>
        </w:rPr>
        <w:t>ach</w:t>
      </w:r>
      <w:r w:rsidRPr="00C22FBA">
        <w:rPr>
          <w:rFonts w:asciiTheme="minorHAnsi" w:hAnsiTheme="minorHAnsi"/>
        </w:rPr>
        <w:t xml:space="preserve">: weryfikacja programu ochrony środowiska, </w:t>
      </w:r>
      <w:r w:rsidRPr="00B433E8">
        <w:rPr>
          <w:rFonts w:asciiTheme="minorHAnsi" w:hAnsiTheme="minorHAnsi" w:cstheme="minorHAnsi"/>
        </w:rPr>
        <w:t>redukcja emisji i zrzutów substancji priorytetowych</w:t>
      </w:r>
      <w:r w:rsidRPr="00C22FBA">
        <w:rPr>
          <w:rFonts w:asciiTheme="minorHAnsi" w:hAnsiTheme="minorHAnsi"/>
        </w:rPr>
        <w:t xml:space="preserve"> oraz edukacja i</w:t>
      </w:r>
      <w:r w:rsidRPr="00B433E8">
        <w:rPr>
          <w:rFonts w:asciiTheme="minorHAnsi" w:hAnsiTheme="minorHAnsi" w:cstheme="minorHAnsi"/>
        </w:rPr>
        <w:t xml:space="preserve"> </w:t>
      </w:r>
      <w:r w:rsidRPr="00C22FBA">
        <w:rPr>
          <w:rFonts w:asciiTheme="minorHAnsi" w:hAnsiTheme="minorHAnsi"/>
        </w:rPr>
        <w:t xml:space="preserve">informacja (wykres </w:t>
      </w:r>
      <w:r w:rsidR="009E3EC0">
        <w:rPr>
          <w:rFonts w:asciiTheme="minorHAnsi" w:hAnsiTheme="minorHAnsi" w:cstheme="minorHAnsi"/>
        </w:rPr>
        <w:t>12</w:t>
      </w:r>
      <w:r w:rsidRPr="00C22FBA">
        <w:rPr>
          <w:rFonts w:asciiTheme="minorHAnsi" w:hAnsiTheme="minorHAnsi"/>
        </w:rPr>
        <w:t>-4).</w:t>
      </w:r>
      <w:r w:rsidRPr="00B433E8">
        <w:rPr>
          <w:rFonts w:asciiTheme="minorHAnsi" w:hAnsiTheme="minorHAnsi" w:cstheme="minorHAnsi"/>
        </w:rPr>
        <w:t xml:space="preserve"> </w:t>
      </w:r>
    </w:p>
    <w:p w14:paraId="5F3C9D4D" w14:textId="6A2E3FDE" w:rsidR="00D3543E" w:rsidRPr="00AB5553" w:rsidRDefault="00DB1046" w:rsidP="006A37E5">
      <w:pPr>
        <w:pStyle w:val="Wykres"/>
        <w:keepNext/>
        <w:jc w:val="center"/>
      </w:pPr>
      <w:bookmarkStart w:id="668" w:name="_Toc68195513"/>
      <w:bookmarkStart w:id="669" w:name="_Toc67643659"/>
      <w:r>
        <w:rPr>
          <w:noProof/>
        </w:rPr>
        <w:drawing>
          <wp:inline distT="0" distB="0" distL="0" distR="0" wp14:anchorId="0F675DFB" wp14:editId="0B8D2D5E">
            <wp:extent cx="5759450" cy="3625850"/>
            <wp:effectExtent l="0" t="0" r="12700" b="12700"/>
            <wp:docPr id="63" name="Wykres 63">
              <a:extLst xmlns:a="http://schemas.openxmlformats.org/drawingml/2006/main">
                <a:ext uri="{FF2B5EF4-FFF2-40B4-BE49-F238E27FC236}">
                  <a16:creationId xmlns:a16="http://schemas.microsoft.com/office/drawing/2014/main" id="{CBA508A2-A95F-417D-B0B5-7B165E7D4F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7E29A138" w14:textId="2151ECAB" w:rsidR="00A80975" w:rsidRPr="00B6737C" w:rsidRDefault="00A80975" w:rsidP="00B479EE">
      <w:pPr>
        <w:pStyle w:val="Wykres"/>
      </w:pPr>
      <w:bookmarkStart w:id="670" w:name="_Toc105513013"/>
      <w:r w:rsidRPr="00B433E8">
        <w:t xml:space="preserve">Wykres </w:t>
      </w:r>
      <w:fldSimple w:instr=" STYLEREF 1 \s ">
        <w:r w:rsidR="001F774D">
          <w:rPr>
            <w:noProof/>
          </w:rPr>
          <w:t>12</w:t>
        </w:r>
      </w:fldSimple>
      <w:r w:rsidR="00FF20D3">
        <w:noBreakHyphen/>
      </w:r>
      <w:fldSimple w:instr=" SEQ Wykres \* ARABIC \s 1 ">
        <w:r w:rsidR="001F774D">
          <w:rPr>
            <w:noProof/>
          </w:rPr>
          <w:t>4</w:t>
        </w:r>
      </w:fldSimple>
      <w:r w:rsidR="001D534F">
        <w:rPr>
          <w:noProof/>
        </w:rPr>
        <w:t>.</w:t>
      </w:r>
      <w:r w:rsidRPr="00B433E8">
        <w:tab/>
        <w:t xml:space="preserve">Udział działań w poszczególnych kategoriach katalogu działań </w:t>
      </w:r>
      <w:r w:rsidR="00DF005E">
        <w:t>JCWP</w:t>
      </w:r>
      <w:r w:rsidRPr="00B433E8">
        <w:t xml:space="preserve"> RW</w:t>
      </w:r>
      <w:bookmarkEnd w:id="668"/>
      <w:bookmarkEnd w:id="669"/>
      <w:bookmarkEnd w:id="670"/>
    </w:p>
    <w:p w14:paraId="340448CB" w14:textId="77777777" w:rsidR="00A80975" w:rsidRPr="00C22FBA" w:rsidRDefault="00A80975" w:rsidP="00A80975">
      <w:pPr>
        <w:pStyle w:val="rdo"/>
      </w:pPr>
      <w:r w:rsidRPr="00C22FBA">
        <w:t>Źródło: opracowanie własne</w:t>
      </w:r>
    </w:p>
    <w:p w14:paraId="2369547C" w14:textId="10CB4FDC" w:rsidR="00A80975" w:rsidRPr="00C22FBA" w:rsidRDefault="00A80975" w:rsidP="00D3543E">
      <w:pPr>
        <w:keepNext/>
        <w:spacing w:line="276" w:lineRule="auto"/>
        <w:rPr>
          <w:rFonts w:asciiTheme="minorHAnsi" w:hAnsiTheme="minorHAnsi"/>
        </w:rPr>
      </w:pPr>
      <w:r w:rsidRPr="00B433E8">
        <w:rPr>
          <w:rFonts w:asciiTheme="minorHAnsi" w:hAnsiTheme="minorHAnsi" w:cstheme="minorHAnsi"/>
        </w:rPr>
        <w:t>Dla</w:t>
      </w:r>
      <w:r w:rsidRPr="00C22FBA">
        <w:rPr>
          <w:rFonts w:asciiTheme="minorHAnsi" w:hAnsiTheme="minorHAnsi"/>
        </w:rPr>
        <w:t xml:space="preserve"> </w:t>
      </w:r>
      <w:r w:rsidR="00DF005E">
        <w:rPr>
          <w:rFonts w:asciiTheme="minorHAnsi" w:hAnsiTheme="minorHAnsi"/>
        </w:rPr>
        <w:t>JCWP</w:t>
      </w:r>
      <w:r w:rsidRPr="00C22FBA">
        <w:rPr>
          <w:rFonts w:asciiTheme="minorHAnsi" w:hAnsiTheme="minorHAnsi"/>
        </w:rPr>
        <w:t xml:space="preserve"> </w:t>
      </w:r>
      <w:r w:rsidRPr="00B433E8">
        <w:rPr>
          <w:rFonts w:asciiTheme="minorHAnsi" w:hAnsiTheme="minorHAnsi" w:cstheme="minorHAnsi"/>
        </w:rPr>
        <w:t>6</w:t>
      </w:r>
      <w:r w:rsidR="00DB1046">
        <w:rPr>
          <w:rFonts w:asciiTheme="minorHAnsi" w:hAnsiTheme="minorHAnsi" w:cstheme="minorHAnsi"/>
        </w:rPr>
        <w:t>2</w:t>
      </w:r>
      <w:r w:rsidRPr="00B433E8">
        <w:rPr>
          <w:rFonts w:asciiTheme="minorHAnsi" w:hAnsiTheme="minorHAnsi" w:cstheme="minorHAnsi"/>
        </w:rPr>
        <w:t>% stanowią</w:t>
      </w:r>
      <w:r w:rsidRPr="00C22FBA">
        <w:rPr>
          <w:rFonts w:asciiTheme="minorHAnsi" w:hAnsiTheme="minorHAnsi"/>
        </w:rPr>
        <w:t xml:space="preserve"> działania podstawowe i </w:t>
      </w:r>
      <w:r w:rsidRPr="00B433E8">
        <w:rPr>
          <w:rFonts w:asciiTheme="minorHAnsi" w:hAnsiTheme="minorHAnsi" w:cstheme="minorHAnsi"/>
        </w:rPr>
        <w:t>3</w:t>
      </w:r>
      <w:r w:rsidR="00DB1046">
        <w:rPr>
          <w:rFonts w:asciiTheme="minorHAnsi" w:hAnsiTheme="minorHAnsi" w:cstheme="minorHAnsi"/>
        </w:rPr>
        <w:t>8</w:t>
      </w:r>
      <w:r w:rsidRPr="00B433E8">
        <w:rPr>
          <w:rFonts w:asciiTheme="minorHAnsi" w:hAnsiTheme="minorHAnsi" w:cstheme="minorHAnsi"/>
        </w:rPr>
        <w:t>% uzupełniające</w:t>
      </w:r>
      <w:r w:rsidRPr="00C22FBA">
        <w:rPr>
          <w:rFonts w:asciiTheme="minorHAnsi" w:hAnsiTheme="minorHAnsi"/>
        </w:rPr>
        <w:t xml:space="preserve"> (wykres </w:t>
      </w:r>
      <w:r>
        <w:rPr>
          <w:rFonts w:asciiTheme="minorHAnsi" w:hAnsiTheme="minorHAnsi" w:cstheme="minorHAnsi"/>
        </w:rPr>
        <w:t>12</w:t>
      </w:r>
      <w:r w:rsidRPr="00C22FBA">
        <w:rPr>
          <w:rFonts w:asciiTheme="minorHAnsi" w:hAnsiTheme="minorHAnsi"/>
        </w:rPr>
        <w:t>-5).</w:t>
      </w:r>
    </w:p>
    <w:p w14:paraId="6F850D5D" w14:textId="49DDEF74" w:rsidR="00F71326" w:rsidRDefault="0033254A" w:rsidP="006A37E5">
      <w:pPr>
        <w:jc w:val="center"/>
      </w:pPr>
      <w:bookmarkStart w:id="671" w:name="_Toc68195514"/>
      <w:bookmarkStart w:id="672" w:name="_Toc67643660"/>
      <w:r>
        <w:rPr>
          <w:noProof/>
        </w:rPr>
        <w:drawing>
          <wp:inline distT="0" distB="0" distL="0" distR="0" wp14:anchorId="735B872A" wp14:editId="195D3A4A">
            <wp:extent cx="4429645" cy="2112471"/>
            <wp:effectExtent l="0" t="0" r="9525" b="2540"/>
            <wp:docPr id="69" name="Wykres 69">
              <a:extLst xmlns:a="http://schemas.openxmlformats.org/drawingml/2006/main">
                <a:ext uri="{FF2B5EF4-FFF2-40B4-BE49-F238E27FC236}">
                  <a16:creationId xmlns:a16="http://schemas.microsoft.com/office/drawing/2014/main" id="{5DB0EB52-E10B-4F73-B387-2F19D4C204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6E9E9B9A" w14:textId="4169E94B" w:rsidR="00A80975" w:rsidRPr="00B433E8" w:rsidRDefault="00A80975" w:rsidP="00B479EE">
      <w:pPr>
        <w:pStyle w:val="Wykres"/>
      </w:pPr>
      <w:bookmarkStart w:id="673" w:name="_Toc105513014"/>
      <w:r w:rsidRPr="00B433E8">
        <w:t xml:space="preserve">Wykres </w:t>
      </w:r>
      <w:fldSimple w:instr=" STYLEREF 1 \s ">
        <w:r w:rsidR="001F774D">
          <w:rPr>
            <w:noProof/>
          </w:rPr>
          <w:t>12</w:t>
        </w:r>
      </w:fldSimple>
      <w:r w:rsidR="00FF20D3">
        <w:noBreakHyphen/>
      </w:r>
      <w:fldSimple w:instr=" SEQ Wykres \* ARABIC \s 1 ">
        <w:r w:rsidR="001F774D">
          <w:rPr>
            <w:noProof/>
          </w:rPr>
          <w:t>5</w:t>
        </w:r>
      </w:fldSimple>
      <w:r w:rsidR="00EB4B7B">
        <w:rPr>
          <w:noProof/>
        </w:rPr>
        <w:t>.</w:t>
      </w:r>
      <w:r w:rsidRPr="00B433E8">
        <w:tab/>
        <w:t xml:space="preserve">Udział działań podstawowych oraz uzupełniających w katalogu działań </w:t>
      </w:r>
      <w:r w:rsidR="00DF005E">
        <w:t>JCWP</w:t>
      </w:r>
      <w:r w:rsidRPr="00B433E8">
        <w:t xml:space="preserve"> RW</w:t>
      </w:r>
      <w:bookmarkEnd w:id="671"/>
      <w:bookmarkEnd w:id="672"/>
      <w:bookmarkEnd w:id="673"/>
    </w:p>
    <w:p w14:paraId="55C44B8B" w14:textId="77777777" w:rsidR="00A80975" w:rsidRPr="00C22FBA" w:rsidRDefault="00A80975" w:rsidP="00A80975">
      <w:pPr>
        <w:pStyle w:val="rdo"/>
      </w:pPr>
      <w:r w:rsidRPr="00C22FBA">
        <w:t>Źródło: opracowanie własne</w:t>
      </w:r>
    </w:p>
    <w:p w14:paraId="30EF2827" w14:textId="3FD1E809" w:rsidR="00A80975" w:rsidRPr="009F0B50" w:rsidRDefault="00A80975" w:rsidP="00A80975">
      <w:pPr>
        <w:spacing w:after="240"/>
        <w:rPr>
          <w:color w:val="000000"/>
        </w:rPr>
      </w:pPr>
      <w:r w:rsidRPr="009F0B50">
        <w:rPr>
          <w:color w:val="000000"/>
        </w:rPr>
        <w:t xml:space="preserve">Każde działanie otrzymało kod IIaPGW wskazujący na rodzaj presji. Zestawienie liczby działań poszczególnych kodów IIaPGW </w:t>
      </w:r>
      <w:r w:rsidR="00DF005E">
        <w:rPr>
          <w:color w:val="000000"/>
        </w:rPr>
        <w:t>JCWP</w:t>
      </w:r>
      <w:r w:rsidRPr="009F0B50">
        <w:rPr>
          <w:color w:val="000000"/>
        </w:rPr>
        <w:t xml:space="preserve"> RW przedstawia tabela </w:t>
      </w:r>
      <w:r w:rsidRPr="00DB2311">
        <w:rPr>
          <w:color w:val="000000"/>
        </w:rPr>
        <w:t>12-3</w:t>
      </w:r>
      <w:r>
        <w:rPr>
          <w:color w:val="000000"/>
        </w:rPr>
        <w:t xml:space="preserve"> i wykres 12-6</w:t>
      </w:r>
      <w:r w:rsidRPr="009F0B50">
        <w:rPr>
          <w:color w:val="000000"/>
        </w:rPr>
        <w:t>.</w:t>
      </w:r>
    </w:p>
    <w:p w14:paraId="0964897E" w14:textId="1727AD1A" w:rsidR="00A80975" w:rsidRPr="00B433E8" w:rsidRDefault="00A80975" w:rsidP="004D7705">
      <w:pPr>
        <w:pStyle w:val="Tabela"/>
      </w:pPr>
      <w:bookmarkStart w:id="674" w:name="_Toc67488862"/>
      <w:bookmarkStart w:id="675" w:name="_Toc68195496"/>
      <w:bookmarkStart w:id="676" w:name="_Toc68123672"/>
      <w:bookmarkStart w:id="677" w:name="_Toc105512872"/>
      <w:r w:rsidRPr="00B433E8">
        <w:t xml:space="preserve">Tabela </w:t>
      </w:r>
      <w:fldSimple w:instr=" STYLEREF 1 \s ">
        <w:r w:rsidR="001F774D">
          <w:rPr>
            <w:noProof/>
          </w:rPr>
          <w:t>12</w:t>
        </w:r>
      </w:fldSimple>
      <w:r w:rsidRPr="00B433E8">
        <w:noBreakHyphen/>
      </w:r>
      <w:fldSimple w:instr=" SEQ Tabela \* ARABIC \s 1 ">
        <w:r w:rsidR="001F774D">
          <w:rPr>
            <w:noProof/>
          </w:rPr>
          <w:t>3</w:t>
        </w:r>
      </w:fldSimple>
      <w:r w:rsidR="00EB4B7B">
        <w:rPr>
          <w:noProof/>
        </w:rPr>
        <w:t>.</w:t>
      </w:r>
      <w:r w:rsidRPr="00B433E8">
        <w:tab/>
        <w:t xml:space="preserve">Liczba działań poszczególnych kodów IIaPGW </w:t>
      </w:r>
      <w:r w:rsidR="00DF005E">
        <w:t>JCWP</w:t>
      </w:r>
      <w:bookmarkEnd w:id="674"/>
      <w:bookmarkEnd w:id="675"/>
      <w:r w:rsidRPr="00DB2311">
        <w:t xml:space="preserve"> RW</w:t>
      </w:r>
      <w:bookmarkEnd w:id="676"/>
      <w:bookmarkEnd w:id="677"/>
    </w:p>
    <w:tbl>
      <w:tblPr>
        <w:tblW w:w="5000" w:type="pct"/>
        <w:jc w:val="center"/>
        <w:tblLook w:val="00A0" w:firstRow="1" w:lastRow="0" w:firstColumn="1" w:lastColumn="0" w:noHBand="0" w:noVBand="0"/>
      </w:tblPr>
      <w:tblGrid>
        <w:gridCol w:w="1704"/>
        <w:gridCol w:w="5684"/>
        <w:gridCol w:w="1674"/>
      </w:tblGrid>
      <w:tr w:rsidR="00A80975" w:rsidRPr="00B433E8" w14:paraId="2A222CD3" w14:textId="77777777" w:rsidTr="008D5A1C">
        <w:trPr>
          <w:trHeight w:val="454"/>
          <w:tblHeader/>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0FB53A7" w14:textId="494A8FC4" w:rsidR="00A80975" w:rsidRPr="00B433E8" w:rsidRDefault="00A80975" w:rsidP="005842B5">
            <w:pPr>
              <w:pStyle w:val="Teksttabelinaglowek"/>
              <w:rPr>
                <w:rFonts w:cstheme="minorHAnsi"/>
              </w:rPr>
            </w:pPr>
            <w:r w:rsidRPr="00290498">
              <w:t xml:space="preserve">Kod </w:t>
            </w:r>
            <w:r w:rsidRPr="00B433E8">
              <w:rPr>
                <w:rFonts w:cstheme="minorHAnsi"/>
              </w:rPr>
              <w:t>dzia</w:t>
            </w:r>
            <w:r w:rsidR="00F768AE">
              <w:rPr>
                <w:rFonts w:cstheme="minorHAnsi"/>
              </w:rPr>
              <w:t>ła</w:t>
            </w:r>
            <w:r w:rsidRPr="00B433E8">
              <w:rPr>
                <w:rFonts w:cstheme="minorHAnsi"/>
              </w:rPr>
              <w:t xml:space="preserve">nia </w:t>
            </w:r>
            <w:r w:rsidRPr="00290498">
              <w:t>IIaPGW</w:t>
            </w:r>
          </w:p>
        </w:tc>
        <w:tc>
          <w:tcPr>
            <w:tcW w:w="569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4C5264D" w14:textId="77777777" w:rsidR="00A80975" w:rsidRPr="00B433E8" w:rsidRDefault="00A80975" w:rsidP="005842B5">
            <w:pPr>
              <w:pStyle w:val="Teksttabelinaglowek"/>
              <w:rPr>
                <w:rFonts w:cstheme="minorHAnsi"/>
              </w:rPr>
            </w:pPr>
            <w:r w:rsidRPr="00290498">
              <w:t>Rodzaj presji</w:t>
            </w:r>
          </w:p>
        </w:tc>
        <w:tc>
          <w:tcPr>
            <w:tcW w:w="167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A5B42E5" w14:textId="77777777" w:rsidR="00A80975" w:rsidRPr="00B433E8" w:rsidRDefault="00A80975" w:rsidP="005842B5">
            <w:pPr>
              <w:pStyle w:val="Teksttabelinaglowek"/>
              <w:rPr>
                <w:rFonts w:cstheme="minorHAnsi"/>
              </w:rPr>
            </w:pPr>
            <w:r w:rsidRPr="00290498">
              <w:t>Liczba działań</w:t>
            </w:r>
          </w:p>
        </w:tc>
      </w:tr>
      <w:tr w:rsidR="00A80975" w:rsidRPr="00B433E8" w14:paraId="59752079"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1E6820" w14:textId="77777777" w:rsidR="00A80975" w:rsidRPr="00B433E8" w:rsidRDefault="00A80975" w:rsidP="005842B5">
            <w:pPr>
              <w:pStyle w:val="Teksttabelilewy"/>
            </w:pPr>
            <w:r w:rsidRPr="00B433E8">
              <w:t>RWC</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8D8CC9" w14:textId="77777777" w:rsidR="00A80975" w:rsidRPr="00B433E8" w:rsidRDefault="00A80975" w:rsidP="005842B5">
            <w:pPr>
              <w:pStyle w:val="Teksttabelilewy"/>
            </w:pPr>
            <w:r w:rsidRPr="009F0B50">
              <w:t xml:space="preserve">presje </w:t>
            </w:r>
            <w:r w:rsidRPr="00B433E8">
              <w:t>skumulowane wód</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5EC9EC" w14:textId="77777777" w:rsidR="00A80975" w:rsidRPr="00B433E8" w:rsidRDefault="00A80975" w:rsidP="005842B5">
            <w:pPr>
              <w:pStyle w:val="Teksttabelisrodek"/>
            </w:pPr>
            <w:r w:rsidRPr="00B433E8">
              <w:t>8</w:t>
            </w:r>
          </w:p>
        </w:tc>
      </w:tr>
      <w:tr w:rsidR="00A80975" w:rsidRPr="00B433E8" w14:paraId="42B42C14"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6BB591" w14:textId="77777777" w:rsidR="00A80975" w:rsidRPr="009F0B50" w:rsidRDefault="00A80975" w:rsidP="005842B5">
            <w:pPr>
              <w:pStyle w:val="Teksttabelilewy"/>
            </w:pPr>
            <w:r w:rsidRPr="009F0B50">
              <w:t>RWP</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21864B" w14:textId="77777777" w:rsidR="00A80975" w:rsidRPr="009F0B50" w:rsidRDefault="00A80975" w:rsidP="005842B5">
            <w:pPr>
              <w:pStyle w:val="Teksttabelilewy"/>
            </w:pPr>
            <w:r w:rsidRPr="009F0B50">
              <w:t>presje chemiczne i fizykochemiczne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29C696" w14:textId="4801157D" w:rsidR="00A80975" w:rsidRPr="009F0B50" w:rsidRDefault="004068C3" w:rsidP="005842B5">
            <w:pPr>
              <w:pStyle w:val="Teksttabelisrodek"/>
            </w:pPr>
            <w:r>
              <w:t>9</w:t>
            </w:r>
          </w:p>
        </w:tc>
      </w:tr>
      <w:tr w:rsidR="00A80975" w:rsidRPr="00B433E8" w14:paraId="58B4CC80"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0BCEF7" w14:textId="77777777" w:rsidR="00A80975" w:rsidRPr="00B433E8" w:rsidRDefault="00A80975" w:rsidP="005842B5">
            <w:pPr>
              <w:pStyle w:val="Teksttabelilewy"/>
            </w:pPr>
            <w:r w:rsidRPr="00B433E8">
              <w:t>RWH</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0F8917" w14:textId="77777777" w:rsidR="00A80975" w:rsidRPr="00B433E8" w:rsidRDefault="00A80975" w:rsidP="005842B5">
            <w:pPr>
              <w:pStyle w:val="Teksttabelilewy"/>
            </w:pPr>
            <w:r w:rsidRPr="009F0B50">
              <w:t xml:space="preserve">presje </w:t>
            </w:r>
            <w:r w:rsidRPr="00B433E8">
              <w:t>hydrologiczne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0AE30A" w14:textId="77777777" w:rsidR="00A80975" w:rsidRPr="00B433E8" w:rsidRDefault="00A80975" w:rsidP="005842B5">
            <w:pPr>
              <w:pStyle w:val="Teksttabelisrodek"/>
            </w:pPr>
            <w:r w:rsidRPr="00B433E8">
              <w:t>2</w:t>
            </w:r>
          </w:p>
        </w:tc>
      </w:tr>
      <w:tr w:rsidR="00A80975" w:rsidRPr="00B433E8" w14:paraId="08C288F4"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1635F3" w14:textId="77777777" w:rsidR="00A80975" w:rsidRPr="00B433E8" w:rsidRDefault="00A80975" w:rsidP="005842B5">
            <w:pPr>
              <w:pStyle w:val="Teksttabelilewy"/>
            </w:pPr>
            <w:r w:rsidRPr="00B433E8">
              <w:t>RWHM</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2070E4" w14:textId="77777777" w:rsidR="00A80975" w:rsidRPr="00B433E8" w:rsidRDefault="00A80975" w:rsidP="005842B5">
            <w:pPr>
              <w:pStyle w:val="Teksttabelilewy"/>
            </w:pPr>
            <w:r w:rsidRPr="00B433E8">
              <w:t>presje hydromorfologiczne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97847E" w14:textId="77777777" w:rsidR="00A80975" w:rsidRPr="00B433E8" w:rsidRDefault="00A80975" w:rsidP="005842B5">
            <w:pPr>
              <w:pStyle w:val="Teksttabelisrodek"/>
            </w:pPr>
            <w:r w:rsidRPr="00B433E8">
              <w:t>13</w:t>
            </w:r>
          </w:p>
        </w:tc>
      </w:tr>
      <w:tr w:rsidR="00A80975" w:rsidRPr="00B433E8" w14:paraId="0FC2A90B" w14:textId="77777777" w:rsidTr="008D5A1C">
        <w:trPr>
          <w:trHeight w:val="454"/>
          <w:jc w:val="center"/>
        </w:trPr>
        <w:tc>
          <w:tcPr>
            <w:tcW w:w="7397" w:type="dxa"/>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A0CAE71" w14:textId="77777777" w:rsidR="00A80975" w:rsidRPr="009F0B50" w:rsidRDefault="00A80975" w:rsidP="005842B5">
            <w:pPr>
              <w:pStyle w:val="Teksttabelinaglowek"/>
            </w:pPr>
            <w:r w:rsidRPr="009F0B50">
              <w:t>Razem</w:t>
            </w:r>
          </w:p>
        </w:tc>
        <w:tc>
          <w:tcPr>
            <w:tcW w:w="167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38CE890" w14:textId="282D0E39" w:rsidR="00A80975" w:rsidRPr="00290498" w:rsidRDefault="00A80975" w:rsidP="005842B5">
            <w:pPr>
              <w:pStyle w:val="Teksttabelinaglowek"/>
            </w:pPr>
            <w:r w:rsidRPr="00290498">
              <w:t>3</w:t>
            </w:r>
            <w:r w:rsidR="004068C3">
              <w:t>2</w:t>
            </w:r>
          </w:p>
        </w:tc>
      </w:tr>
    </w:tbl>
    <w:p w14:paraId="39DBBE79" w14:textId="77777777" w:rsidR="00A80975" w:rsidRPr="00795F17" w:rsidRDefault="00A80975" w:rsidP="00A80975">
      <w:pPr>
        <w:pStyle w:val="rdo"/>
        <w:rPr>
          <w:rFonts w:cs="Calibri"/>
          <w:i w:val="0"/>
        </w:rPr>
      </w:pPr>
      <w:r w:rsidRPr="00C22FBA">
        <w:t>Źródło: opracowanie własne</w:t>
      </w:r>
    </w:p>
    <w:p w14:paraId="3E26F9A1" w14:textId="77777777" w:rsidR="00A80975" w:rsidRPr="006A37E5" w:rsidRDefault="00A80975" w:rsidP="006A37E5"/>
    <w:p w14:paraId="209EF5A1" w14:textId="14D04D79" w:rsidR="001D57EC" w:rsidRPr="00AB5553" w:rsidRDefault="00AB7630" w:rsidP="006A37E5">
      <w:pPr>
        <w:jc w:val="center"/>
      </w:pPr>
      <w:r>
        <w:rPr>
          <w:noProof/>
        </w:rPr>
        <w:drawing>
          <wp:inline distT="0" distB="0" distL="0" distR="0" wp14:anchorId="689EBA72" wp14:editId="4C9D6BBB">
            <wp:extent cx="4572000" cy="2743200"/>
            <wp:effectExtent l="0" t="0" r="0" b="0"/>
            <wp:docPr id="83" name="Wykres 83">
              <a:extLst xmlns:a="http://schemas.openxmlformats.org/drawingml/2006/main">
                <a:ext uri="{FF2B5EF4-FFF2-40B4-BE49-F238E27FC236}">
                  <a16:creationId xmlns:a16="http://schemas.microsoft.com/office/drawing/2014/main" id="{C89AE639-8016-4A98-9512-EB2FA2258E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78436EE0" w14:textId="5EF12E8A" w:rsidR="00A80975" w:rsidRPr="00AB5553" w:rsidRDefault="001D57EC" w:rsidP="001D57EC">
      <w:pPr>
        <w:pStyle w:val="Wykres"/>
      </w:pPr>
      <w:bookmarkStart w:id="678" w:name="_Toc105513015"/>
      <w:r w:rsidRPr="00AB5553">
        <w:t xml:space="preserve">Wykres </w:t>
      </w:r>
      <w:fldSimple w:instr=" STYLEREF 1 \s ">
        <w:r w:rsidR="001F774D">
          <w:rPr>
            <w:noProof/>
          </w:rPr>
          <w:t>12</w:t>
        </w:r>
      </w:fldSimple>
      <w:r w:rsidR="00FF20D3">
        <w:noBreakHyphen/>
      </w:r>
      <w:fldSimple w:instr=" SEQ Wykres \* ARABIC \s 1 ">
        <w:r w:rsidR="001F774D">
          <w:rPr>
            <w:noProof/>
          </w:rPr>
          <w:t>6</w:t>
        </w:r>
      </w:fldSimple>
      <w:r w:rsidR="001D534F">
        <w:rPr>
          <w:noProof/>
        </w:rPr>
        <w:t>.</w:t>
      </w:r>
      <w:r w:rsidRPr="00AB5553">
        <w:tab/>
        <w:t>Udział działań ukierunkowanych na redukcję poszczególnych rodzajów presji</w:t>
      </w:r>
      <w:bookmarkEnd w:id="678"/>
    </w:p>
    <w:p w14:paraId="29FD7E7C" w14:textId="77777777" w:rsidR="00A80975" w:rsidRPr="00C22FBA" w:rsidRDefault="00A80975" w:rsidP="00A80975">
      <w:pPr>
        <w:pStyle w:val="rdo"/>
      </w:pPr>
      <w:r w:rsidRPr="00C22FBA">
        <w:t>Źródło: opracowanie własne</w:t>
      </w:r>
    </w:p>
    <w:p w14:paraId="7CEA2705" w14:textId="13ECF51A" w:rsidR="00A80975" w:rsidRPr="009F0B50" w:rsidRDefault="00A80975" w:rsidP="00A80975">
      <w:pPr>
        <w:spacing w:line="276" w:lineRule="auto"/>
        <w:rPr>
          <w:rFonts w:asciiTheme="minorHAnsi" w:hAnsiTheme="minorHAnsi"/>
        </w:rPr>
      </w:pPr>
      <w:r w:rsidRPr="00B433E8">
        <w:rPr>
          <w:rFonts w:asciiTheme="minorHAnsi" w:hAnsiTheme="minorHAnsi" w:cstheme="minorHAnsi"/>
        </w:rPr>
        <w:t xml:space="preserve">Wśród </w:t>
      </w:r>
      <w:r w:rsidRPr="009F0B50">
        <w:rPr>
          <w:rFonts w:asciiTheme="minorHAnsi" w:hAnsiTheme="minorHAnsi"/>
        </w:rPr>
        <w:t>działań</w:t>
      </w:r>
      <w:r w:rsidRPr="00B433E8">
        <w:rPr>
          <w:rFonts w:asciiTheme="minorHAnsi" w:hAnsiTheme="minorHAnsi" w:cstheme="minorHAnsi"/>
        </w:rPr>
        <w:t xml:space="preserve"> zaproponowanych dla </w:t>
      </w:r>
      <w:r w:rsidR="00DF005E">
        <w:rPr>
          <w:rFonts w:asciiTheme="minorHAnsi" w:hAnsiTheme="minorHAnsi" w:cstheme="minorHAnsi"/>
        </w:rPr>
        <w:t>JCWP</w:t>
      </w:r>
      <w:r w:rsidRPr="00B433E8">
        <w:rPr>
          <w:rFonts w:asciiTheme="minorHAnsi" w:hAnsiTheme="minorHAnsi" w:cstheme="minorHAnsi"/>
        </w:rPr>
        <w:t xml:space="preserve"> rzecznych wskazano: </w:t>
      </w:r>
    </w:p>
    <w:p w14:paraId="3DE7F210" w14:textId="7C4C3D05" w:rsidR="00A80975" w:rsidRPr="009F0B50" w:rsidRDefault="00A80975" w:rsidP="00A80975">
      <w:pPr>
        <w:spacing w:line="276" w:lineRule="auto"/>
        <w:rPr>
          <w:rFonts w:asciiTheme="minorHAnsi" w:hAnsiTheme="minorHAnsi"/>
        </w:rPr>
      </w:pPr>
      <w:r w:rsidRPr="009F0B50">
        <w:rPr>
          <w:rFonts w:asciiTheme="minorHAnsi" w:hAnsiTheme="minorHAnsi"/>
          <w:b/>
        </w:rPr>
        <w:t>RWHM_01:</w:t>
      </w:r>
      <w:r w:rsidRPr="009F0B50">
        <w:rPr>
          <w:rFonts w:asciiTheme="minorHAnsi" w:hAnsiTheme="minorHAnsi"/>
        </w:rPr>
        <w:t xml:space="preserve"> działania służące zapewnieniu ciągłości biologicznej oraz morfologicznej rzek i potoków. </w:t>
      </w:r>
      <w:r w:rsidRPr="00B433E8">
        <w:rPr>
          <w:rFonts w:asciiTheme="minorHAnsi" w:hAnsiTheme="minorHAnsi" w:cstheme="minorHAnsi"/>
        </w:rPr>
        <w:t>W obrębie niniejszej kategorii wskazano dwie grupy działań. Pierwsza z nich uwzględnia</w:t>
      </w:r>
      <w:r w:rsidRPr="009F0B50">
        <w:rPr>
          <w:rFonts w:asciiTheme="minorHAnsi" w:hAnsiTheme="minorHAnsi"/>
        </w:rPr>
        <w:t xml:space="preserve"> działania polegające na analizie możliwości likwidacji budowli poprzecznych</w:t>
      </w:r>
      <w:r w:rsidRPr="00B433E8">
        <w:rPr>
          <w:rFonts w:asciiTheme="minorHAnsi" w:hAnsiTheme="minorHAnsi" w:cstheme="minorHAnsi"/>
        </w:rPr>
        <w:t xml:space="preserve"> lub możliwości ich przebudowy</w:t>
      </w:r>
      <w:r w:rsidRPr="009F0B50">
        <w:rPr>
          <w:rFonts w:asciiTheme="minorHAnsi" w:hAnsiTheme="minorHAnsi"/>
        </w:rPr>
        <w:t xml:space="preserve"> na</w:t>
      </w:r>
      <w:r w:rsidR="00F71326">
        <w:rPr>
          <w:rFonts w:asciiTheme="minorHAnsi" w:hAnsiTheme="minorHAnsi"/>
        </w:rPr>
        <w:t> </w:t>
      </w:r>
      <w:r w:rsidRPr="009F0B50">
        <w:rPr>
          <w:rFonts w:asciiTheme="minorHAnsi" w:hAnsiTheme="minorHAnsi"/>
        </w:rPr>
        <w:t>bystrza</w:t>
      </w:r>
      <w:r w:rsidRPr="00B433E8">
        <w:rPr>
          <w:rFonts w:asciiTheme="minorHAnsi" w:hAnsiTheme="minorHAnsi" w:cstheme="minorHAnsi"/>
        </w:rPr>
        <w:t>. Działanie</w:t>
      </w:r>
      <w:r w:rsidRPr="009F0B50">
        <w:rPr>
          <w:rFonts w:asciiTheme="minorHAnsi" w:hAnsiTheme="minorHAnsi"/>
        </w:rPr>
        <w:t xml:space="preserve"> przypisano do </w:t>
      </w:r>
      <w:r w:rsidR="00DF005E">
        <w:rPr>
          <w:rFonts w:asciiTheme="minorHAnsi" w:hAnsiTheme="minorHAnsi"/>
        </w:rPr>
        <w:t>JCWP</w:t>
      </w:r>
      <w:r w:rsidRPr="009F0B50">
        <w:rPr>
          <w:rFonts w:asciiTheme="minorHAnsi" w:hAnsiTheme="minorHAnsi"/>
        </w:rPr>
        <w:t>, dla których potrzeby udrożnienia wynikały z opracowania pn.</w:t>
      </w:r>
      <w:r w:rsidR="007115E7">
        <w:rPr>
          <w:rFonts w:asciiTheme="minorHAnsi" w:hAnsiTheme="minorHAnsi"/>
        </w:rPr>
        <w:t> </w:t>
      </w:r>
      <w:r w:rsidRPr="009F0B50">
        <w:rPr>
          <w:rFonts w:asciiTheme="minorHAnsi" w:hAnsiTheme="minorHAnsi"/>
          <w:i/>
        </w:rPr>
        <w:t>Ocena potrzeb i priorytetów udrożnienia ciągłości (…)</w:t>
      </w:r>
      <w:r w:rsidR="00925673">
        <w:rPr>
          <w:rStyle w:val="Odwoanieprzypisudolnego"/>
          <w:rFonts w:asciiTheme="minorHAnsi" w:hAnsiTheme="minorHAnsi"/>
        </w:rPr>
        <w:footnoteReference w:id="91"/>
      </w:r>
      <w:r w:rsidR="008526C7">
        <w:rPr>
          <w:rFonts w:asciiTheme="minorHAnsi" w:hAnsiTheme="minorHAnsi"/>
        </w:rPr>
        <w:t xml:space="preserve"> </w:t>
      </w:r>
      <w:r w:rsidRPr="009F0B50">
        <w:rPr>
          <w:rFonts w:asciiTheme="minorHAnsi" w:hAnsiTheme="minorHAnsi"/>
        </w:rPr>
        <w:t>lub</w:t>
      </w:r>
      <w:r w:rsidRPr="00B433E8">
        <w:rPr>
          <w:rFonts w:asciiTheme="minorHAnsi" w:hAnsiTheme="minorHAnsi" w:cstheme="minorHAnsi"/>
        </w:rPr>
        <w:t xml:space="preserve"> </w:t>
      </w:r>
      <w:r w:rsidRPr="009F0B50">
        <w:rPr>
          <w:rFonts w:asciiTheme="minorHAnsi" w:hAnsiTheme="minorHAnsi"/>
        </w:rPr>
        <w:t xml:space="preserve">wymagania gatunków chronionych zidentyfikowanych w opracowaniu pn. </w:t>
      </w:r>
      <w:r w:rsidRPr="009F0B50">
        <w:rPr>
          <w:rFonts w:asciiTheme="minorHAnsi" w:hAnsiTheme="minorHAnsi"/>
          <w:i/>
        </w:rPr>
        <w:t>Ustalenie celów środowiskowych (…)</w:t>
      </w:r>
      <w:r w:rsidR="0032003A">
        <w:rPr>
          <w:rStyle w:val="Odwoanieprzypisudolnego"/>
          <w:rFonts w:asciiTheme="minorHAnsi" w:hAnsiTheme="minorHAnsi"/>
          <w:i/>
        </w:rPr>
        <w:footnoteReference w:id="92"/>
      </w:r>
      <w:r w:rsidR="008526C7">
        <w:rPr>
          <w:rFonts w:asciiTheme="minorHAnsi" w:hAnsiTheme="minorHAnsi"/>
          <w:i/>
        </w:rPr>
        <w:t xml:space="preserve"> </w:t>
      </w:r>
      <w:r w:rsidRPr="009F0B50">
        <w:rPr>
          <w:rFonts w:asciiTheme="minorHAnsi" w:hAnsiTheme="minorHAnsi"/>
        </w:rPr>
        <w:t>albo wartości indeksu D badań ichtiofauny przeprowadzonych w ramach PMŚ, o</w:t>
      </w:r>
      <w:r w:rsidRPr="00B433E8">
        <w:rPr>
          <w:rFonts w:asciiTheme="minorHAnsi" w:hAnsiTheme="minorHAnsi" w:cstheme="minorHAnsi"/>
        </w:rPr>
        <w:t xml:space="preserve"> </w:t>
      </w:r>
      <w:r w:rsidRPr="009F0B50">
        <w:rPr>
          <w:rFonts w:asciiTheme="minorHAnsi" w:hAnsiTheme="minorHAnsi"/>
        </w:rPr>
        <w:t>ile ichtiofauna była jedynym elementem oceny stanu/potencjału ekologicznego pozostającym poniżej dobrego</w:t>
      </w:r>
      <w:r w:rsidR="007565B9">
        <w:rPr>
          <w:rFonts w:asciiTheme="minorHAnsi" w:hAnsiTheme="minorHAnsi"/>
        </w:rPr>
        <w:t xml:space="preserve"> </w:t>
      </w:r>
      <w:r w:rsidR="007565B9" w:rsidRPr="00CE6A94">
        <w:rPr>
          <w:rFonts w:cs="Calibri"/>
        </w:rPr>
        <w:t xml:space="preserve">lub </w:t>
      </w:r>
      <w:r w:rsidR="00793BC1">
        <w:rPr>
          <w:rFonts w:cs="Calibri"/>
        </w:rPr>
        <w:t>r.g.z.w</w:t>
      </w:r>
      <w:r w:rsidRPr="000412D6">
        <w:rPr>
          <w:rFonts w:asciiTheme="minorHAnsi" w:hAnsiTheme="minorHAnsi"/>
        </w:rPr>
        <w:t>.</w:t>
      </w:r>
      <w:r>
        <w:rPr>
          <w:rFonts w:asciiTheme="minorHAnsi" w:hAnsiTheme="minorHAnsi"/>
        </w:rPr>
        <w:t xml:space="preserve"> </w:t>
      </w:r>
      <w:r w:rsidRPr="00B433E8">
        <w:rPr>
          <w:rFonts w:asciiTheme="minorHAnsi" w:hAnsiTheme="minorHAnsi" w:cstheme="minorHAnsi"/>
        </w:rPr>
        <w:t>Drugą grupę</w:t>
      </w:r>
      <w:r w:rsidRPr="009F0B50">
        <w:rPr>
          <w:rFonts w:asciiTheme="minorHAnsi" w:hAnsiTheme="minorHAnsi"/>
        </w:rPr>
        <w:t xml:space="preserve"> stanowi działanie mające na celu realizację działań naprawczych dla obszarów chronionych</w:t>
      </w:r>
      <w:r w:rsidRPr="00B433E8">
        <w:rPr>
          <w:rFonts w:asciiTheme="minorHAnsi" w:hAnsiTheme="minorHAnsi" w:cstheme="minorHAnsi"/>
        </w:rPr>
        <w:t>. Było ono</w:t>
      </w:r>
      <w:r w:rsidRPr="009F0B50">
        <w:rPr>
          <w:rFonts w:asciiTheme="minorHAnsi" w:hAnsiTheme="minorHAnsi"/>
        </w:rPr>
        <w:t xml:space="preserve"> przypisane do </w:t>
      </w:r>
      <w:r w:rsidR="00DF005E">
        <w:rPr>
          <w:rFonts w:asciiTheme="minorHAnsi" w:hAnsiTheme="minorHAnsi"/>
        </w:rPr>
        <w:t>JCWP</w:t>
      </w:r>
      <w:r w:rsidRPr="009F0B50">
        <w:rPr>
          <w:rFonts w:asciiTheme="minorHAnsi" w:hAnsiTheme="minorHAnsi"/>
        </w:rPr>
        <w:t xml:space="preserve"> w</w:t>
      </w:r>
      <w:r w:rsidRPr="00B433E8">
        <w:rPr>
          <w:rFonts w:asciiTheme="minorHAnsi" w:hAnsiTheme="minorHAnsi" w:cstheme="minorHAnsi"/>
        </w:rPr>
        <w:t> </w:t>
      </w:r>
      <w:r w:rsidRPr="009F0B50">
        <w:rPr>
          <w:rFonts w:asciiTheme="minorHAnsi" w:hAnsiTheme="minorHAnsi"/>
        </w:rPr>
        <w:t>obrębie obszarów chronionych, dla</w:t>
      </w:r>
      <w:r w:rsidRPr="00B433E8">
        <w:rPr>
          <w:rFonts w:asciiTheme="minorHAnsi" w:hAnsiTheme="minorHAnsi" w:cstheme="minorHAnsi"/>
        </w:rPr>
        <w:t xml:space="preserve"> </w:t>
      </w:r>
      <w:r w:rsidRPr="009F0B50">
        <w:rPr>
          <w:rFonts w:asciiTheme="minorHAnsi" w:hAnsiTheme="minorHAnsi"/>
        </w:rPr>
        <w:t xml:space="preserve">których utrzymanie lub poprawa stanu wód jest ważnym czynnikiem w ich ochronie </w:t>
      </w:r>
      <w:r w:rsidRPr="00B433E8">
        <w:rPr>
          <w:rFonts w:asciiTheme="minorHAnsi" w:hAnsiTheme="minorHAnsi" w:cstheme="minorHAnsi"/>
        </w:rPr>
        <w:t>i jednocześnie</w:t>
      </w:r>
      <w:r w:rsidRPr="009F0B50">
        <w:rPr>
          <w:rFonts w:asciiTheme="minorHAnsi" w:hAnsiTheme="minorHAnsi"/>
        </w:rPr>
        <w:t xml:space="preserve"> stwierdzono ryzyko presji w zakresie kryterium: utrzymanie naturalnego charakteru koryta</w:t>
      </w:r>
      <w:r w:rsidR="004068C3">
        <w:rPr>
          <w:rFonts w:asciiTheme="minorHAnsi" w:hAnsiTheme="minorHAnsi"/>
        </w:rPr>
        <w:t>;</w:t>
      </w:r>
    </w:p>
    <w:p w14:paraId="063E2469" w14:textId="5F2BE2A5" w:rsidR="00A80975" w:rsidRPr="009F0B50" w:rsidRDefault="00A80975" w:rsidP="00A80975">
      <w:pPr>
        <w:spacing w:line="276" w:lineRule="auto"/>
        <w:rPr>
          <w:rFonts w:asciiTheme="minorHAnsi" w:hAnsiTheme="minorHAnsi"/>
        </w:rPr>
      </w:pPr>
      <w:r w:rsidRPr="009F0B50">
        <w:rPr>
          <w:rFonts w:asciiTheme="minorHAnsi" w:hAnsiTheme="minorHAnsi"/>
          <w:b/>
        </w:rPr>
        <w:t>RWHM_02:</w:t>
      </w:r>
      <w:r w:rsidRPr="009F0B50">
        <w:rPr>
          <w:rFonts w:asciiTheme="minorHAnsi" w:hAnsiTheme="minorHAnsi"/>
        </w:rPr>
        <w:t xml:space="preserve"> działania ukierunkowane na przywrócenie ciągłości biologicznej poprzez przebudowę budowli poprzecznych. W tym przypadku działania przypisywano na podstawie weryfikacji dostępnych informacji na temat budowli poprzecznych (baza HYMO, </w:t>
      </w:r>
      <w:r w:rsidRPr="00B433E8">
        <w:rPr>
          <w:rFonts w:asciiTheme="minorHAnsi" w:hAnsiTheme="minorHAnsi" w:cstheme="minorHAnsi"/>
        </w:rPr>
        <w:t>ortofotomapy</w:t>
      </w:r>
      <w:r w:rsidRPr="009F0B50">
        <w:rPr>
          <w:rFonts w:asciiTheme="minorHAnsi" w:hAnsiTheme="minorHAnsi"/>
        </w:rPr>
        <w:t xml:space="preserve">) oraz wyników ankietyzacji przeprowadzonej w celu uzupełnienia informacji na temat obiektów. Działania przypisano do </w:t>
      </w:r>
      <w:r w:rsidR="00DF005E">
        <w:rPr>
          <w:rFonts w:asciiTheme="minorHAnsi" w:hAnsiTheme="minorHAnsi"/>
        </w:rPr>
        <w:t>JCWP</w:t>
      </w:r>
      <w:r w:rsidRPr="009F0B50">
        <w:rPr>
          <w:rFonts w:asciiTheme="minorHAnsi" w:hAnsiTheme="minorHAnsi"/>
        </w:rPr>
        <w:t>, dla</w:t>
      </w:r>
      <w:r w:rsidR="0098159F">
        <w:rPr>
          <w:rFonts w:asciiTheme="minorHAnsi" w:hAnsiTheme="minorHAnsi" w:cstheme="minorHAnsi"/>
        </w:rPr>
        <w:t> </w:t>
      </w:r>
      <w:r w:rsidRPr="009F0B50">
        <w:rPr>
          <w:rFonts w:asciiTheme="minorHAnsi" w:hAnsiTheme="minorHAnsi"/>
        </w:rPr>
        <w:t xml:space="preserve">których potrzeby udrożnienia wynikały z opracowania pn. </w:t>
      </w:r>
      <w:r w:rsidRPr="009F0B50">
        <w:rPr>
          <w:rFonts w:asciiTheme="minorHAnsi" w:hAnsiTheme="minorHAnsi"/>
          <w:i/>
        </w:rPr>
        <w:t>Ocena potrzeb i priorytetów udrożnienia ciągłości (…)</w:t>
      </w:r>
      <w:r w:rsidR="00925673">
        <w:rPr>
          <w:rStyle w:val="Odwoanieprzypisudolnego"/>
          <w:rFonts w:asciiTheme="minorHAnsi" w:hAnsiTheme="minorHAnsi"/>
        </w:rPr>
        <w:footnoteReference w:id="93"/>
      </w:r>
      <w:r w:rsidR="008526C7">
        <w:rPr>
          <w:rFonts w:asciiTheme="minorHAnsi" w:hAnsiTheme="minorHAnsi"/>
        </w:rPr>
        <w:t xml:space="preserve"> </w:t>
      </w:r>
      <w:r w:rsidRPr="009F0B50">
        <w:rPr>
          <w:rFonts w:asciiTheme="minorHAnsi" w:hAnsiTheme="minorHAnsi"/>
        </w:rPr>
        <w:t xml:space="preserve">lub wymagania gatunków chronionych zidentyfikowanych w opracowaniu pn. </w:t>
      </w:r>
      <w:r w:rsidRPr="009F0B50">
        <w:rPr>
          <w:rFonts w:asciiTheme="minorHAnsi" w:hAnsiTheme="minorHAnsi"/>
          <w:i/>
        </w:rPr>
        <w:t>Ustalenie celów środowiskowych (…)</w:t>
      </w:r>
      <w:r w:rsidR="0032003A">
        <w:rPr>
          <w:rStyle w:val="Odwoanieprzypisudolnego"/>
          <w:rFonts w:asciiTheme="minorHAnsi" w:hAnsiTheme="minorHAnsi"/>
          <w:i/>
        </w:rPr>
        <w:footnoteReference w:id="94"/>
      </w:r>
      <w:r w:rsidRPr="009F0B50">
        <w:rPr>
          <w:rFonts w:asciiTheme="minorHAnsi" w:hAnsiTheme="minorHAnsi"/>
          <w:i/>
        </w:rPr>
        <w:t xml:space="preserve"> </w:t>
      </w:r>
      <w:r w:rsidRPr="009F0B50">
        <w:rPr>
          <w:rFonts w:asciiTheme="minorHAnsi" w:hAnsiTheme="minorHAnsi"/>
        </w:rPr>
        <w:t>albo wartości indeksu D badań ichtiofauny przeprowadzonych w ramach PMŚ, o ile ichtiofauna była jedynym elementem oceny stanu/potencjału ekologicznego pozostającym poniżej dobrego</w:t>
      </w:r>
      <w:r w:rsidR="007565B9">
        <w:rPr>
          <w:rFonts w:asciiTheme="minorHAnsi" w:hAnsiTheme="minorHAnsi"/>
        </w:rPr>
        <w:t xml:space="preserve"> </w:t>
      </w:r>
      <w:r w:rsidR="007565B9" w:rsidRPr="00CE6A94">
        <w:rPr>
          <w:rFonts w:cs="Calibri"/>
        </w:rPr>
        <w:t xml:space="preserve">lub </w:t>
      </w:r>
      <w:r w:rsidR="00793BC1">
        <w:rPr>
          <w:rFonts w:cs="Calibri"/>
        </w:rPr>
        <w:t>r.g.z.w</w:t>
      </w:r>
      <w:r w:rsidRPr="000412D6">
        <w:rPr>
          <w:rFonts w:asciiTheme="minorHAnsi" w:hAnsiTheme="minorHAnsi"/>
        </w:rPr>
        <w:t>.</w:t>
      </w:r>
      <w:r w:rsidRPr="009F0B50">
        <w:rPr>
          <w:rFonts w:asciiTheme="minorHAnsi" w:hAnsiTheme="minorHAnsi"/>
        </w:rPr>
        <w:t xml:space="preserve"> W obrębie grupy działań z kategorii RWHM_02 uwzględniono także działania kontrolno-administracyjne ukierunkowane na ocenę wpływu obiektów na ciągłość biologiczną i kontrolę użytkowania i funkcjonowania istniejących urządzeń do migracji ryb</w:t>
      </w:r>
      <w:r w:rsidR="004068C3">
        <w:rPr>
          <w:rFonts w:asciiTheme="minorHAnsi" w:hAnsiTheme="minorHAnsi"/>
        </w:rPr>
        <w:t>;</w:t>
      </w:r>
    </w:p>
    <w:p w14:paraId="19078665" w14:textId="37EEA34E" w:rsidR="00A80975" w:rsidRPr="00B433E8" w:rsidRDefault="00A80975" w:rsidP="00A80975">
      <w:pPr>
        <w:spacing w:line="276" w:lineRule="auto"/>
        <w:rPr>
          <w:rFonts w:asciiTheme="minorHAnsi" w:hAnsiTheme="minorHAnsi" w:cstheme="minorHAnsi"/>
          <w:b/>
          <w:bCs/>
        </w:rPr>
      </w:pPr>
      <w:r w:rsidRPr="009F0B50">
        <w:rPr>
          <w:rFonts w:asciiTheme="minorHAnsi" w:hAnsiTheme="minorHAnsi"/>
          <w:b/>
        </w:rPr>
        <w:t>RWHM_03</w:t>
      </w:r>
      <w:r w:rsidRPr="00B433E8">
        <w:rPr>
          <w:rFonts w:asciiTheme="minorHAnsi" w:hAnsiTheme="minorHAnsi" w:cstheme="minorHAnsi"/>
          <w:b/>
          <w:bCs/>
        </w:rPr>
        <w:t>:</w:t>
      </w:r>
      <w:r w:rsidRPr="00B433E8">
        <w:rPr>
          <w:rFonts w:asciiTheme="minorHAnsi" w:hAnsiTheme="minorHAnsi" w:cstheme="minorHAnsi"/>
        </w:rPr>
        <w:t xml:space="preserve"> działania nakierowane na ochronę i odtwarzanie naturalnych procesów hydromorfologicznych w korycie w zakresie spełnienia celów środowiskowych obszarów chronionych w zakresie utrzymania naturalnego charakteru koryta</w:t>
      </w:r>
      <w:r w:rsidR="004068C3">
        <w:rPr>
          <w:rFonts w:asciiTheme="minorHAnsi" w:hAnsiTheme="minorHAnsi" w:cstheme="minorHAnsi"/>
        </w:rPr>
        <w:t>;</w:t>
      </w:r>
    </w:p>
    <w:p w14:paraId="50BB97A6" w14:textId="4BECBB81" w:rsidR="00A80975" w:rsidRPr="00B433E8" w:rsidRDefault="00A80975" w:rsidP="00A80975">
      <w:pPr>
        <w:spacing w:line="276" w:lineRule="auto"/>
        <w:rPr>
          <w:rFonts w:asciiTheme="minorHAnsi" w:hAnsiTheme="minorHAnsi" w:cstheme="minorHAnsi"/>
        </w:rPr>
      </w:pPr>
      <w:r w:rsidRPr="009F0B50">
        <w:rPr>
          <w:rFonts w:asciiTheme="minorHAnsi" w:hAnsiTheme="minorHAnsi"/>
          <w:b/>
        </w:rPr>
        <w:t xml:space="preserve">RWHM_04: </w:t>
      </w:r>
      <w:r w:rsidRPr="009F0B50">
        <w:rPr>
          <w:rFonts w:asciiTheme="minorHAnsi" w:hAnsiTheme="minorHAnsi"/>
        </w:rPr>
        <w:t xml:space="preserve">działania służące poprawie </w:t>
      </w:r>
      <w:r w:rsidRPr="00B433E8">
        <w:rPr>
          <w:rFonts w:asciiTheme="minorHAnsi" w:hAnsiTheme="minorHAnsi" w:cstheme="minorHAnsi"/>
        </w:rPr>
        <w:t>stanu elementów hydromorfologicznych w zakresie spełnienia celów środowiskowych, w tym działania renaturyzacyjne uwzględniające status oraz funkcje cieku, a także działania naprawcze dla obszarów chronionych</w:t>
      </w:r>
      <w:r w:rsidR="004068C3">
        <w:rPr>
          <w:rFonts w:asciiTheme="minorHAnsi" w:hAnsiTheme="minorHAnsi" w:cstheme="minorHAnsi"/>
        </w:rPr>
        <w:t>;</w:t>
      </w:r>
    </w:p>
    <w:p w14:paraId="47B595AB" w14:textId="31EDF1C6" w:rsidR="00A80975" w:rsidRPr="009F0B50" w:rsidRDefault="00A80975" w:rsidP="00A80975">
      <w:pPr>
        <w:spacing w:line="276" w:lineRule="auto"/>
        <w:rPr>
          <w:rFonts w:asciiTheme="minorHAnsi" w:hAnsiTheme="minorHAnsi"/>
        </w:rPr>
      </w:pPr>
      <w:r w:rsidRPr="00B433E8">
        <w:rPr>
          <w:rFonts w:asciiTheme="minorHAnsi" w:hAnsiTheme="minorHAnsi" w:cstheme="minorHAnsi"/>
          <w:b/>
          <w:bCs/>
        </w:rPr>
        <w:t>RWH_01:</w:t>
      </w:r>
      <w:r w:rsidRPr="00B433E8">
        <w:rPr>
          <w:rFonts w:asciiTheme="minorHAnsi" w:hAnsiTheme="minorHAnsi" w:cstheme="minorHAnsi"/>
        </w:rPr>
        <w:t xml:space="preserve"> działania nakierowane na kształtowanie stosunków wodnych w zlewni </w:t>
      </w:r>
      <w:r w:rsidR="00DF005E">
        <w:rPr>
          <w:rFonts w:asciiTheme="minorHAnsi" w:hAnsiTheme="minorHAnsi" w:cstheme="minorHAnsi"/>
        </w:rPr>
        <w:t>JCWP</w:t>
      </w:r>
      <w:r w:rsidRPr="00B433E8">
        <w:rPr>
          <w:rFonts w:asciiTheme="minorHAnsi" w:hAnsiTheme="minorHAnsi" w:cstheme="minorHAnsi"/>
        </w:rPr>
        <w:t xml:space="preserve">, w tym ochronę ekosystemów wodnych i od wód zależnych oraz odtwarzanie </w:t>
      </w:r>
      <w:r w:rsidRPr="009F0B50">
        <w:rPr>
          <w:rFonts w:asciiTheme="minorHAnsi" w:hAnsiTheme="minorHAnsi"/>
        </w:rPr>
        <w:t>warunków siedliskowych z</w:t>
      </w:r>
      <w:r w:rsidRPr="00B433E8">
        <w:rPr>
          <w:rFonts w:asciiTheme="minorHAnsi" w:hAnsiTheme="minorHAnsi" w:cstheme="minorHAnsi"/>
        </w:rPr>
        <w:t> uwzględnieniem celów środowiskowych wskazanych dla obszarów chronionych</w:t>
      </w:r>
      <w:r w:rsidR="004068C3">
        <w:rPr>
          <w:rFonts w:asciiTheme="minorHAnsi" w:hAnsiTheme="minorHAnsi" w:cstheme="minorHAnsi"/>
        </w:rPr>
        <w:t>;</w:t>
      </w:r>
    </w:p>
    <w:p w14:paraId="1C3B9D36" w14:textId="781C9599" w:rsidR="00A80975" w:rsidRPr="009F0B50" w:rsidRDefault="00A80975" w:rsidP="00A80975">
      <w:pPr>
        <w:spacing w:line="276" w:lineRule="auto"/>
        <w:rPr>
          <w:rFonts w:asciiTheme="minorHAnsi" w:hAnsiTheme="minorHAnsi"/>
        </w:rPr>
      </w:pPr>
      <w:r w:rsidRPr="009F0B50">
        <w:rPr>
          <w:rFonts w:asciiTheme="minorHAnsi" w:hAnsiTheme="minorHAnsi"/>
          <w:b/>
        </w:rPr>
        <w:t>RWH</w:t>
      </w:r>
      <w:r w:rsidRPr="00B433E8">
        <w:rPr>
          <w:rFonts w:asciiTheme="minorHAnsi" w:hAnsiTheme="minorHAnsi" w:cstheme="minorHAnsi"/>
          <w:b/>
          <w:bCs/>
        </w:rPr>
        <w:t>_03</w:t>
      </w:r>
      <w:r w:rsidRPr="009F0B50">
        <w:rPr>
          <w:rFonts w:asciiTheme="minorHAnsi" w:hAnsiTheme="minorHAnsi"/>
          <w:b/>
        </w:rPr>
        <w:t>:</w:t>
      </w:r>
      <w:r w:rsidRPr="009F0B50">
        <w:rPr>
          <w:rFonts w:asciiTheme="minorHAnsi" w:hAnsiTheme="minorHAnsi"/>
        </w:rPr>
        <w:t xml:space="preserve"> działania nakierowane na </w:t>
      </w:r>
      <w:r w:rsidRPr="00B433E8">
        <w:rPr>
          <w:rFonts w:asciiTheme="minorHAnsi" w:hAnsiTheme="minorHAnsi" w:cstheme="minorHAnsi"/>
        </w:rPr>
        <w:t>kształtowanie</w:t>
      </w:r>
      <w:r w:rsidRPr="009F0B50">
        <w:rPr>
          <w:rFonts w:asciiTheme="minorHAnsi" w:hAnsiTheme="minorHAnsi"/>
        </w:rPr>
        <w:t xml:space="preserve"> stosunków wodnych w zlewni </w:t>
      </w:r>
      <w:r w:rsidR="00DF005E">
        <w:rPr>
          <w:rFonts w:asciiTheme="minorHAnsi" w:hAnsiTheme="minorHAnsi"/>
        </w:rPr>
        <w:t>JCWP</w:t>
      </w:r>
      <w:r w:rsidRPr="00B433E8">
        <w:rPr>
          <w:rFonts w:asciiTheme="minorHAnsi" w:hAnsiTheme="minorHAnsi" w:cstheme="minorHAnsi"/>
        </w:rPr>
        <w:t>, w tym stworzenie zintegrowanego systemu monitoringu</w:t>
      </w:r>
      <w:r w:rsidRPr="009F0B50">
        <w:rPr>
          <w:rFonts w:asciiTheme="minorHAnsi" w:hAnsiTheme="minorHAnsi"/>
        </w:rPr>
        <w:t xml:space="preserve"> wód</w:t>
      </w:r>
      <w:r w:rsidR="004068C3">
        <w:rPr>
          <w:rFonts w:asciiTheme="minorHAnsi" w:hAnsiTheme="minorHAnsi"/>
        </w:rPr>
        <w:t>;</w:t>
      </w:r>
    </w:p>
    <w:p w14:paraId="360ADD29" w14:textId="4BD841B6" w:rsidR="00A80975" w:rsidRPr="009F0B50" w:rsidRDefault="00A80975" w:rsidP="00A80975">
      <w:pPr>
        <w:spacing w:line="276" w:lineRule="auto"/>
        <w:rPr>
          <w:rFonts w:asciiTheme="minorHAnsi" w:hAnsiTheme="minorHAnsi"/>
        </w:rPr>
      </w:pPr>
      <w:r w:rsidRPr="00B433E8">
        <w:rPr>
          <w:rFonts w:asciiTheme="minorHAnsi" w:hAnsiTheme="minorHAnsi" w:cstheme="minorHAnsi"/>
          <w:b/>
          <w:bCs/>
        </w:rPr>
        <w:t xml:space="preserve">RWC_01: </w:t>
      </w:r>
      <w:r w:rsidRPr="00B433E8">
        <w:rPr>
          <w:rFonts w:asciiTheme="minorHAnsi" w:hAnsiTheme="minorHAnsi" w:cstheme="minorHAnsi"/>
        </w:rPr>
        <w:t xml:space="preserve">działania </w:t>
      </w:r>
      <w:r w:rsidRPr="009F0B50">
        <w:rPr>
          <w:rFonts w:asciiTheme="minorHAnsi" w:hAnsiTheme="minorHAnsi"/>
        </w:rPr>
        <w:t>nakierowane na adaptację do zmian klimatu oraz poprawę warunków dla obszarów chronionych</w:t>
      </w:r>
      <w:r w:rsidRPr="00B433E8">
        <w:rPr>
          <w:rFonts w:asciiTheme="minorHAnsi" w:hAnsiTheme="minorHAnsi" w:cstheme="minorHAnsi"/>
        </w:rPr>
        <w:t xml:space="preserve"> </w:t>
      </w:r>
      <w:r w:rsidRPr="009F0B50">
        <w:rPr>
          <w:rFonts w:asciiTheme="minorHAnsi" w:hAnsiTheme="minorHAnsi"/>
        </w:rPr>
        <w:t>mające na celu opracowanie oraz realizację przedsięwzięć zmierzających do</w:t>
      </w:r>
      <w:r w:rsidRPr="00B433E8">
        <w:rPr>
          <w:rFonts w:asciiTheme="minorHAnsi" w:hAnsiTheme="minorHAnsi" w:cstheme="minorHAnsi"/>
        </w:rPr>
        <w:t xml:space="preserve"> </w:t>
      </w:r>
      <w:r w:rsidRPr="009F0B50">
        <w:rPr>
          <w:rFonts w:asciiTheme="minorHAnsi" w:hAnsiTheme="minorHAnsi"/>
        </w:rPr>
        <w:t>poprawy retencji na terenach leśnych, rolniczych</w:t>
      </w:r>
      <w:r w:rsidR="004068C3">
        <w:rPr>
          <w:rFonts w:asciiTheme="minorHAnsi" w:hAnsiTheme="minorHAnsi"/>
        </w:rPr>
        <w:t>;</w:t>
      </w:r>
    </w:p>
    <w:p w14:paraId="59D33EBE" w14:textId="5BEFB3C5" w:rsidR="00A80975" w:rsidRPr="009F0B50" w:rsidRDefault="00A80975" w:rsidP="00A80975">
      <w:pPr>
        <w:spacing w:line="276" w:lineRule="auto"/>
        <w:rPr>
          <w:rFonts w:asciiTheme="minorHAnsi" w:hAnsiTheme="minorHAnsi"/>
        </w:rPr>
      </w:pPr>
      <w:r w:rsidRPr="009F0B50">
        <w:rPr>
          <w:rFonts w:asciiTheme="minorHAnsi" w:hAnsiTheme="minorHAnsi"/>
          <w:b/>
        </w:rPr>
        <w:t>RWC_02:</w:t>
      </w:r>
      <w:r w:rsidRPr="009F0B50">
        <w:rPr>
          <w:rFonts w:asciiTheme="minorHAnsi" w:hAnsiTheme="minorHAnsi"/>
        </w:rPr>
        <w:t xml:space="preserve"> działania </w:t>
      </w:r>
      <w:r w:rsidRPr="00B433E8">
        <w:rPr>
          <w:rFonts w:asciiTheme="minorHAnsi" w:hAnsiTheme="minorHAnsi" w:cstheme="minorHAnsi"/>
        </w:rPr>
        <w:t>służące poprawie</w:t>
      </w:r>
      <w:r w:rsidRPr="009F0B50">
        <w:rPr>
          <w:rFonts w:asciiTheme="minorHAnsi" w:hAnsiTheme="minorHAnsi"/>
        </w:rPr>
        <w:t xml:space="preserve"> warunków dla obszarów chronionych. Wśród tych działań wyróżniono dwie grupy działań. Pierwszą z nich stanowią działania wynikające z planów ochrony/planów zadań ochronnych ustanowionych dla</w:t>
      </w:r>
      <w:r w:rsidRPr="00B433E8">
        <w:rPr>
          <w:rFonts w:asciiTheme="minorHAnsi" w:hAnsiTheme="minorHAnsi" w:cstheme="minorHAnsi"/>
        </w:rPr>
        <w:t xml:space="preserve"> </w:t>
      </w:r>
      <w:r w:rsidRPr="009F0B50">
        <w:rPr>
          <w:rFonts w:asciiTheme="minorHAnsi" w:hAnsiTheme="minorHAnsi"/>
        </w:rPr>
        <w:t xml:space="preserve">obszarów przeznaczonych do ochrony siedlisk lub gatunków, dla których utrzymanie lub poprawa stanu wód jest ważnym czynnikiem w ich ochronie. Drugą natomiast działania naprawcze ukierunkowane na redukcję dopływu zanieczyszczeń, przypisane do </w:t>
      </w:r>
      <w:r w:rsidR="00DF005E">
        <w:rPr>
          <w:rFonts w:asciiTheme="minorHAnsi" w:hAnsiTheme="minorHAnsi"/>
        </w:rPr>
        <w:t>JCWP</w:t>
      </w:r>
      <w:r w:rsidRPr="009F0B50">
        <w:rPr>
          <w:rFonts w:asciiTheme="minorHAnsi" w:hAnsiTheme="minorHAnsi"/>
        </w:rPr>
        <w:t xml:space="preserve">, znajdujące się w zasięgu obszarów chronionych, dla których w opracowaniu </w:t>
      </w:r>
      <w:r w:rsidRPr="009F0B50">
        <w:rPr>
          <w:rFonts w:asciiTheme="minorHAnsi" w:hAnsiTheme="minorHAnsi"/>
          <w:i/>
        </w:rPr>
        <w:t>Analiza presji znaczących (…)</w:t>
      </w:r>
      <w:r w:rsidR="006C01A4">
        <w:rPr>
          <w:rStyle w:val="Odwoanieprzypisudolnego"/>
          <w:rFonts w:asciiTheme="minorHAnsi" w:hAnsiTheme="minorHAnsi"/>
          <w:i/>
        </w:rPr>
        <w:footnoteReference w:id="95"/>
      </w:r>
      <w:r w:rsidRPr="009F0B50">
        <w:rPr>
          <w:rFonts w:asciiTheme="minorHAnsi" w:hAnsiTheme="minorHAnsi"/>
          <w:i/>
        </w:rPr>
        <w:t xml:space="preserve"> </w:t>
      </w:r>
      <w:r w:rsidRPr="009F0B50">
        <w:rPr>
          <w:rFonts w:asciiTheme="minorHAnsi" w:hAnsiTheme="minorHAnsi"/>
        </w:rPr>
        <w:t>zidentyfikowano ryzyko w</w:t>
      </w:r>
      <w:r w:rsidRPr="00B433E8">
        <w:rPr>
          <w:rFonts w:asciiTheme="minorHAnsi" w:hAnsiTheme="minorHAnsi" w:cstheme="minorHAnsi"/>
        </w:rPr>
        <w:t> </w:t>
      </w:r>
      <w:r w:rsidRPr="009F0B50">
        <w:rPr>
          <w:rFonts w:asciiTheme="minorHAnsi" w:hAnsiTheme="minorHAnsi"/>
        </w:rPr>
        <w:t>zakresie presji zrzutów lub/oraz presji na elementy fizykochemiczne.</w:t>
      </w:r>
    </w:p>
    <w:p w14:paraId="181AD87E" w14:textId="77777777" w:rsidR="00A80975" w:rsidRPr="009F0B50" w:rsidRDefault="00A80975" w:rsidP="00A80975">
      <w:pPr>
        <w:spacing w:line="276" w:lineRule="auto"/>
        <w:rPr>
          <w:rFonts w:asciiTheme="minorHAnsi" w:hAnsiTheme="minorHAnsi"/>
        </w:rPr>
      </w:pPr>
      <w:r w:rsidRPr="009F0B50">
        <w:rPr>
          <w:rFonts w:asciiTheme="minorHAnsi" w:hAnsiTheme="minorHAnsi"/>
          <w:b/>
        </w:rPr>
        <w:t>RWP:</w:t>
      </w:r>
      <w:r w:rsidRPr="009F0B50">
        <w:rPr>
          <w:rFonts w:asciiTheme="minorHAnsi" w:hAnsiTheme="minorHAnsi"/>
        </w:rPr>
        <w:t xml:space="preserve"> działania nakierowane na poprawę jakości wody dla wskaźników fizykochemicznych i chemicznych (substancje priorytetowe oraz inne substancje zanieczyszczające). Działania zawarte w tej grupie nastawione są na ograniczenie presji u źródła powstania zanieczyszczeń, aby zapewnić efektywną ochronę wód powierzchniowych, a w przypadku niektórych działań także wód podziemnych. W tej kategorii wyróżniono 5 grup działań:</w:t>
      </w:r>
    </w:p>
    <w:p w14:paraId="58F0089A" w14:textId="0358F4B7" w:rsidR="00A80975" w:rsidRPr="00B433E8" w:rsidRDefault="00A80975" w:rsidP="00A80975">
      <w:pPr>
        <w:spacing w:line="276" w:lineRule="auto"/>
        <w:rPr>
          <w:rFonts w:asciiTheme="minorHAnsi" w:hAnsiTheme="minorHAnsi" w:cstheme="minorHAnsi"/>
        </w:rPr>
      </w:pPr>
      <w:r w:rsidRPr="00B433E8">
        <w:rPr>
          <w:rFonts w:asciiTheme="minorHAnsi" w:hAnsiTheme="minorHAnsi" w:cstheme="minorHAnsi"/>
          <w:b/>
          <w:bCs/>
        </w:rPr>
        <w:t>RWP_01:</w:t>
      </w:r>
      <w:r w:rsidRPr="00B433E8">
        <w:rPr>
          <w:rFonts w:asciiTheme="minorHAnsi" w:hAnsiTheme="minorHAnsi" w:cstheme="minorHAnsi"/>
        </w:rPr>
        <w:t xml:space="preserve"> działania z zakresu gospodarki ściekowej związane z ograniczeniem presji komunalnej (w aglomeracjach i </w:t>
      </w:r>
      <w:r w:rsidR="008526C7">
        <w:rPr>
          <w:rFonts w:asciiTheme="minorHAnsi" w:hAnsiTheme="minorHAnsi" w:cstheme="minorHAnsi"/>
        </w:rPr>
        <w:t xml:space="preserve">na </w:t>
      </w:r>
      <w:r w:rsidRPr="00B433E8">
        <w:rPr>
          <w:rFonts w:asciiTheme="minorHAnsi" w:hAnsiTheme="minorHAnsi" w:cstheme="minorHAnsi"/>
        </w:rPr>
        <w:t>obszarach niezurbanizowanych);</w:t>
      </w:r>
    </w:p>
    <w:p w14:paraId="0B86E9F2" w14:textId="6C4C954C" w:rsidR="00A80975" w:rsidRPr="00B433E8" w:rsidRDefault="00A80975" w:rsidP="00A80975">
      <w:pPr>
        <w:spacing w:line="276" w:lineRule="auto"/>
        <w:rPr>
          <w:rFonts w:asciiTheme="minorHAnsi" w:hAnsiTheme="minorHAnsi" w:cstheme="minorHAnsi"/>
        </w:rPr>
      </w:pPr>
      <w:r w:rsidRPr="00B433E8">
        <w:rPr>
          <w:rFonts w:asciiTheme="minorHAnsi" w:hAnsiTheme="minorHAnsi" w:cstheme="minorHAnsi"/>
          <w:b/>
          <w:bCs/>
        </w:rPr>
        <w:t>RWP_02:</w:t>
      </w:r>
      <w:r w:rsidRPr="00B433E8">
        <w:rPr>
          <w:rFonts w:asciiTheme="minorHAnsi" w:hAnsiTheme="minorHAnsi" w:cstheme="minorHAnsi"/>
        </w:rPr>
        <w:t xml:space="preserve"> działania kontrolne działalności rolniczej </w:t>
      </w:r>
      <w:r w:rsidR="0096315B">
        <w:rPr>
          <w:rFonts w:asciiTheme="minorHAnsi" w:hAnsiTheme="minorHAnsi" w:cstheme="minorHAnsi"/>
        </w:rPr>
        <w:t>–</w:t>
      </w:r>
      <w:r w:rsidRPr="00B433E8" w:rsidDel="00C8171D">
        <w:rPr>
          <w:rFonts w:asciiTheme="minorHAnsi" w:hAnsiTheme="minorHAnsi" w:cstheme="minorHAnsi"/>
        </w:rPr>
        <w:t xml:space="preserve"> </w:t>
      </w:r>
      <w:r w:rsidR="00C8171D">
        <w:rPr>
          <w:rFonts w:asciiTheme="minorHAnsi" w:hAnsiTheme="minorHAnsi" w:cstheme="minorHAnsi"/>
        </w:rPr>
        <w:t>d</w:t>
      </w:r>
      <w:r w:rsidR="00C8171D" w:rsidRPr="00B433E8">
        <w:rPr>
          <w:rFonts w:asciiTheme="minorHAnsi" w:hAnsiTheme="minorHAnsi" w:cstheme="minorHAnsi"/>
        </w:rPr>
        <w:t xml:space="preserve">ziałania </w:t>
      </w:r>
      <w:r w:rsidRPr="00B433E8">
        <w:rPr>
          <w:rFonts w:asciiTheme="minorHAnsi" w:hAnsiTheme="minorHAnsi" w:cstheme="minorHAnsi"/>
        </w:rPr>
        <w:t>kontrolne realizacji Programu azotanowego oraz związane ze stosowaniem środków ochrony roślin;</w:t>
      </w:r>
    </w:p>
    <w:p w14:paraId="51C98EE7" w14:textId="7A25D0B9" w:rsidR="00A80975" w:rsidRPr="00B433E8" w:rsidRDefault="00A80975" w:rsidP="00A80975">
      <w:pPr>
        <w:spacing w:line="276" w:lineRule="auto"/>
        <w:rPr>
          <w:rFonts w:asciiTheme="minorHAnsi" w:hAnsiTheme="minorHAnsi" w:cstheme="minorHAnsi"/>
        </w:rPr>
      </w:pPr>
      <w:r w:rsidRPr="00B433E8">
        <w:rPr>
          <w:rFonts w:asciiTheme="minorHAnsi" w:hAnsiTheme="minorHAnsi" w:cstheme="minorHAnsi"/>
          <w:b/>
          <w:bCs/>
        </w:rPr>
        <w:t>RWP_04:</w:t>
      </w:r>
      <w:r w:rsidRPr="00B433E8">
        <w:rPr>
          <w:rFonts w:asciiTheme="minorHAnsi" w:hAnsiTheme="minorHAnsi" w:cstheme="minorHAnsi"/>
        </w:rPr>
        <w:t xml:space="preserve"> działania edukacyjne dla rolników dedykowane </w:t>
      </w:r>
      <w:r w:rsidR="00DF005E">
        <w:rPr>
          <w:rFonts w:asciiTheme="minorHAnsi" w:hAnsiTheme="minorHAnsi" w:cstheme="minorHAnsi"/>
        </w:rPr>
        <w:t>JCWP</w:t>
      </w:r>
      <w:r w:rsidRPr="00B433E8">
        <w:rPr>
          <w:rFonts w:asciiTheme="minorHAnsi" w:hAnsiTheme="minorHAnsi" w:cstheme="minorHAnsi"/>
        </w:rPr>
        <w:t xml:space="preserve">, w których zidentyfikowano źródła presji rolniczej przyczyniające się do złego stanu wód; </w:t>
      </w:r>
    </w:p>
    <w:p w14:paraId="3C7C1147" w14:textId="77777777" w:rsidR="00A80975" w:rsidRPr="00B433E8" w:rsidRDefault="00A80975" w:rsidP="00A80975">
      <w:pPr>
        <w:spacing w:line="276" w:lineRule="auto"/>
        <w:rPr>
          <w:rFonts w:asciiTheme="minorHAnsi" w:hAnsiTheme="minorHAnsi" w:cstheme="minorHAnsi"/>
        </w:rPr>
      </w:pPr>
      <w:r w:rsidRPr="00B433E8">
        <w:rPr>
          <w:rFonts w:asciiTheme="minorHAnsi" w:hAnsiTheme="minorHAnsi" w:cstheme="minorHAnsi"/>
          <w:b/>
          <w:bCs/>
        </w:rPr>
        <w:t>RWP_06:</w:t>
      </w:r>
      <w:r w:rsidRPr="00B433E8">
        <w:rPr>
          <w:rFonts w:asciiTheme="minorHAnsi" w:hAnsiTheme="minorHAnsi" w:cstheme="minorHAnsi"/>
        </w:rPr>
        <w:t xml:space="preserve"> działania nastawione na k</w:t>
      </w:r>
      <w:r w:rsidRPr="00B433E8">
        <w:rPr>
          <w:rFonts w:asciiTheme="minorHAnsi" w:hAnsiTheme="minorHAnsi" w:cstheme="minorHAnsi"/>
          <w:color w:val="444444"/>
          <w:shd w:val="clear" w:color="auto" w:fill="FFFFFF"/>
        </w:rPr>
        <w:t>ontrole gospodarowania wodami oraz przeglądy pozwoleń wodnoprawnych</w:t>
      </w:r>
      <w:r w:rsidRPr="00B433E8">
        <w:rPr>
          <w:rFonts w:asciiTheme="minorHAnsi" w:hAnsiTheme="minorHAnsi" w:cstheme="minorHAnsi"/>
        </w:rPr>
        <w:t xml:space="preserve">; </w:t>
      </w:r>
    </w:p>
    <w:p w14:paraId="7EAFB711" w14:textId="03A1754C" w:rsidR="00A80975" w:rsidRPr="009F0B50" w:rsidRDefault="00A80975" w:rsidP="00A80975">
      <w:pPr>
        <w:spacing w:line="276" w:lineRule="auto"/>
        <w:rPr>
          <w:rFonts w:asciiTheme="minorHAnsi" w:hAnsiTheme="minorHAnsi"/>
        </w:rPr>
      </w:pPr>
      <w:r w:rsidRPr="009F0B50">
        <w:rPr>
          <w:rFonts w:asciiTheme="minorHAnsi" w:hAnsiTheme="minorHAnsi"/>
          <w:b/>
        </w:rPr>
        <w:t>RWP_09:</w:t>
      </w:r>
      <w:r w:rsidRPr="009F0B50">
        <w:rPr>
          <w:rFonts w:asciiTheme="minorHAnsi" w:hAnsiTheme="minorHAnsi"/>
        </w:rPr>
        <w:t xml:space="preserve"> działania związane z </w:t>
      </w:r>
      <w:r w:rsidR="00E91730" w:rsidRPr="6BD1002D">
        <w:rPr>
          <w:rFonts w:asciiTheme="minorHAnsi" w:hAnsiTheme="minorHAnsi"/>
        </w:rPr>
        <w:t xml:space="preserve">aktualizacją programu ochrony środowiska pod kątem poprawy efektywności dotyczącej ograniczania dopływu zanieczyszczeń do </w:t>
      </w:r>
      <w:r w:rsidR="00DF005E">
        <w:rPr>
          <w:rFonts w:asciiTheme="minorHAnsi" w:hAnsiTheme="minorHAnsi"/>
        </w:rPr>
        <w:t>JCWP</w:t>
      </w:r>
      <w:r w:rsidR="00E91730" w:rsidRPr="6BD1002D">
        <w:rPr>
          <w:rFonts w:asciiTheme="minorHAnsi" w:hAnsiTheme="minorHAnsi"/>
        </w:rPr>
        <w:t>.</w:t>
      </w:r>
    </w:p>
    <w:p w14:paraId="507F5A4C" w14:textId="5CE7C69B" w:rsidR="00134DF1" w:rsidRPr="00795F17" w:rsidRDefault="00A80975" w:rsidP="00134DF1">
      <w:r w:rsidRPr="004F1390">
        <w:rPr>
          <w:rFonts w:asciiTheme="minorHAnsi" w:hAnsiTheme="minorHAnsi"/>
        </w:rPr>
        <w:t xml:space="preserve">Katalog działań </w:t>
      </w:r>
      <w:r w:rsidR="00DF005E">
        <w:rPr>
          <w:rFonts w:asciiTheme="minorHAnsi" w:hAnsiTheme="minorHAnsi"/>
        </w:rPr>
        <w:t>JCWP</w:t>
      </w:r>
      <w:r w:rsidRPr="004F1390">
        <w:rPr>
          <w:rFonts w:asciiTheme="minorHAnsi" w:hAnsiTheme="minorHAnsi"/>
        </w:rPr>
        <w:t xml:space="preserve"> RW </w:t>
      </w:r>
      <w:r w:rsidR="00064AE0">
        <w:rPr>
          <w:rFonts w:asciiTheme="minorHAnsi" w:hAnsiTheme="minorHAnsi"/>
        </w:rPr>
        <w:t>prezentuje załącznik</w:t>
      </w:r>
      <w:r w:rsidRPr="004F1390">
        <w:rPr>
          <w:rFonts w:asciiTheme="minorHAnsi" w:hAnsiTheme="minorHAnsi"/>
        </w:rPr>
        <w:t xml:space="preserve"> nr </w:t>
      </w:r>
      <w:r w:rsidR="00B154F9">
        <w:rPr>
          <w:rFonts w:asciiTheme="minorHAnsi" w:hAnsiTheme="minorHAnsi" w:cstheme="minorHAnsi"/>
        </w:rPr>
        <w:t>12</w:t>
      </w:r>
      <w:r w:rsidR="004F1390" w:rsidRPr="004F1390">
        <w:rPr>
          <w:rFonts w:asciiTheme="minorHAnsi" w:hAnsiTheme="minorHAnsi"/>
        </w:rPr>
        <w:t xml:space="preserve"> (</w:t>
      </w:r>
      <w:r w:rsidR="004F1390">
        <w:rPr>
          <w:rFonts w:asciiTheme="minorHAnsi" w:hAnsiTheme="minorHAnsi"/>
        </w:rPr>
        <w:t>K</w:t>
      </w:r>
      <w:r w:rsidR="004F1390" w:rsidRPr="004F1390">
        <w:rPr>
          <w:rFonts w:asciiTheme="minorHAnsi" w:hAnsiTheme="minorHAnsi"/>
        </w:rPr>
        <w:t>atalog działań</w:t>
      </w:r>
      <w:r w:rsidR="00AD3F8A">
        <w:rPr>
          <w:rFonts w:asciiTheme="minorHAnsi" w:hAnsiTheme="minorHAnsi"/>
        </w:rPr>
        <w:t xml:space="preserve"> dla</w:t>
      </w:r>
      <w:r w:rsidR="004F1390" w:rsidRPr="004F1390">
        <w:rPr>
          <w:rFonts w:asciiTheme="minorHAnsi" w:hAnsiTheme="minorHAnsi"/>
        </w:rPr>
        <w:t xml:space="preserve"> poszczególnych kategorii wód) </w:t>
      </w:r>
      <w:r w:rsidRPr="004F1390">
        <w:rPr>
          <w:rFonts w:asciiTheme="minorHAnsi" w:hAnsiTheme="minorHAnsi" w:cstheme="minorHAnsi"/>
        </w:rPr>
        <w:t>IIaPGW.</w:t>
      </w:r>
    </w:p>
    <w:p w14:paraId="40B8003C" w14:textId="1BA75978" w:rsidR="00134DF1" w:rsidRPr="00795F17" w:rsidRDefault="00134DF1" w:rsidP="00C53C86">
      <w:pPr>
        <w:pStyle w:val="Nagwek3"/>
      </w:pPr>
      <w:bookmarkStart w:id="679" w:name="_Toc105512698"/>
      <w:r w:rsidRPr="00795F17">
        <w:t xml:space="preserve">Katalog działań </w:t>
      </w:r>
      <w:r w:rsidR="00DF005E">
        <w:t>JCWP</w:t>
      </w:r>
      <w:r w:rsidRPr="00795F17">
        <w:t xml:space="preserve"> RWr</w:t>
      </w:r>
      <w:bookmarkEnd w:id="679"/>
    </w:p>
    <w:p w14:paraId="50FA2017" w14:textId="5A49D427" w:rsidR="00A57A31" w:rsidRPr="009F0B50" w:rsidRDefault="003D4DC3" w:rsidP="003D4DC3">
      <w:pPr>
        <w:spacing w:line="276" w:lineRule="auto"/>
        <w:rPr>
          <w:rFonts w:asciiTheme="minorHAnsi" w:hAnsiTheme="minorHAnsi"/>
        </w:rPr>
      </w:pPr>
      <w:r w:rsidRPr="009F0B50">
        <w:rPr>
          <w:rFonts w:asciiTheme="minorHAnsi" w:hAnsiTheme="minorHAnsi"/>
        </w:rPr>
        <w:t xml:space="preserve">Katalog dla </w:t>
      </w:r>
      <w:r w:rsidR="00DF005E">
        <w:rPr>
          <w:rFonts w:asciiTheme="minorHAnsi" w:hAnsiTheme="minorHAnsi"/>
        </w:rPr>
        <w:t>JCWP</w:t>
      </w:r>
      <w:r w:rsidRPr="009F0B50">
        <w:rPr>
          <w:rFonts w:asciiTheme="minorHAnsi" w:hAnsiTheme="minorHAnsi"/>
        </w:rPr>
        <w:t xml:space="preserve"> zbiornikowych (RWr) zbudowany został na bazie zebranych w grupy działań umożliwiających eliminację lub przynajmniej zminimalizowanie presji znaczących zidentyfikowanych w ramach pracy </w:t>
      </w:r>
      <w:r w:rsidRPr="009F0B50">
        <w:rPr>
          <w:rFonts w:asciiTheme="minorHAnsi" w:hAnsiTheme="minorHAnsi"/>
          <w:i/>
        </w:rPr>
        <w:t xml:space="preserve">Analiza znaczących oddziaływań </w:t>
      </w:r>
      <w:r w:rsidR="0096315B">
        <w:rPr>
          <w:rFonts w:asciiTheme="minorHAnsi" w:hAnsiTheme="minorHAnsi"/>
          <w:i/>
        </w:rPr>
        <w:t>–</w:t>
      </w:r>
      <w:r w:rsidRPr="009F0B50">
        <w:rPr>
          <w:rFonts w:asciiTheme="minorHAnsi" w:hAnsiTheme="minorHAnsi"/>
          <w:i/>
        </w:rPr>
        <w:t xml:space="preserve"> </w:t>
      </w:r>
      <w:r w:rsidR="00DF005E">
        <w:rPr>
          <w:rFonts w:asciiTheme="minorHAnsi" w:hAnsiTheme="minorHAnsi"/>
          <w:i/>
        </w:rPr>
        <w:t>JCWP</w:t>
      </w:r>
      <w:r w:rsidRPr="009F0B50">
        <w:rPr>
          <w:rFonts w:asciiTheme="minorHAnsi" w:hAnsiTheme="minorHAnsi"/>
          <w:i/>
        </w:rPr>
        <w:t xml:space="preserve"> (…)</w:t>
      </w:r>
      <w:r w:rsidR="00A57A31">
        <w:rPr>
          <w:rStyle w:val="Odwoanieprzypisudolnego"/>
          <w:rFonts w:asciiTheme="minorHAnsi" w:hAnsiTheme="minorHAnsi"/>
          <w:i/>
        </w:rPr>
        <w:footnoteReference w:id="96"/>
      </w:r>
      <w:r w:rsidRPr="009F0B50">
        <w:rPr>
          <w:rFonts w:asciiTheme="minorHAnsi" w:hAnsiTheme="minorHAnsi"/>
        </w:rPr>
        <w:t>.</w:t>
      </w:r>
    </w:p>
    <w:p w14:paraId="78282664" w14:textId="4C235557" w:rsidR="003D4DC3" w:rsidRPr="009F0B50" w:rsidRDefault="003D4DC3" w:rsidP="003D4DC3">
      <w:pPr>
        <w:spacing w:line="276" w:lineRule="auto"/>
        <w:rPr>
          <w:rFonts w:asciiTheme="minorHAnsi" w:hAnsiTheme="minorHAnsi"/>
        </w:rPr>
      </w:pPr>
      <w:r w:rsidRPr="009F0B50">
        <w:rPr>
          <w:rFonts w:asciiTheme="minorHAnsi" w:hAnsiTheme="minorHAnsi"/>
        </w:rPr>
        <w:t xml:space="preserve">Łącznie 15 działań w katalogu działań </w:t>
      </w:r>
      <w:r w:rsidR="00DF005E">
        <w:rPr>
          <w:rFonts w:asciiTheme="minorHAnsi" w:hAnsiTheme="minorHAnsi"/>
        </w:rPr>
        <w:t>JCWP</w:t>
      </w:r>
      <w:r w:rsidRPr="009F0B50">
        <w:rPr>
          <w:rFonts w:asciiTheme="minorHAnsi" w:hAnsiTheme="minorHAnsi"/>
        </w:rPr>
        <w:t xml:space="preserve"> RWr zgrupowano w następujących kategoriach:</w:t>
      </w:r>
    </w:p>
    <w:p w14:paraId="3755C91C" w14:textId="31A2C5D5" w:rsidR="003D4DC3" w:rsidRPr="009F0B50" w:rsidRDefault="003D4DC3" w:rsidP="00117E86">
      <w:pPr>
        <w:pStyle w:val="Listapunktowana2"/>
      </w:pPr>
      <w:r w:rsidRPr="009F0B50">
        <w:t>adaptacja do zmian klimatu</w:t>
      </w:r>
      <w:r w:rsidR="00A92321">
        <w:t>;</w:t>
      </w:r>
    </w:p>
    <w:p w14:paraId="7110F788" w14:textId="4C8C59D0" w:rsidR="003D4DC3" w:rsidRPr="009F0B50" w:rsidRDefault="003D4DC3" w:rsidP="00117E86">
      <w:pPr>
        <w:pStyle w:val="Listapunktowana2"/>
      </w:pPr>
      <w:r w:rsidRPr="009F0B50">
        <w:t>edukacja i informacja</w:t>
      </w:r>
      <w:r w:rsidR="00A92321">
        <w:t>;</w:t>
      </w:r>
    </w:p>
    <w:p w14:paraId="32F51DBC" w14:textId="3F5E6DCF" w:rsidR="003D4DC3" w:rsidRPr="009F0B50" w:rsidRDefault="003D4DC3" w:rsidP="00117E86">
      <w:pPr>
        <w:pStyle w:val="Listapunktowana2"/>
      </w:pPr>
      <w:r w:rsidRPr="009F0B50">
        <w:t>gospodarka ściekowa</w:t>
      </w:r>
      <w:r w:rsidR="00A92321">
        <w:t>;</w:t>
      </w:r>
    </w:p>
    <w:p w14:paraId="00827C8F" w14:textId="24A77199" w:rsidR="003D4DC3" w:rsidRPr="009F0B50" w:rsidRDefault="003D4DC3" w:rsidP="00117E86">
      <w:pPr>
        <w:pStyle w:val="Listapunktowana2"/>
      </w:pPr>
      <w:r w:rsidRPr="009F0B50">
        <w:t>ograniczenie zanieczyszczeń rozproszonych z rolnictwa</w:t>
      </w:r>
      <w:r w:rsidR="00A92321">
        <w:t>;</w:t>
      </w:r>
    </w:p>
    <w:p w14:paraId="28F12376" w14:textId="46BDB46D" w:rsidR="003D4DC3" w:rsidRPr="009F0B50" w:rsidRDefault="003D4DC3" w:rsidP="00117E86">
      <w:pPr>
        <w:pStyle w:val="Listapunktowana2"/>
      </w:pPr>
      <w:r w:rsidRPr="009F0B50">
        <w:t>ograniczenie zanieczyszczeń rozproszonych związanych z rozwojem obszarów zurbanizowanych, turystyki i transportu</w:t>
      </w:r>
      <w:r w:rsidR="00A92321">
        <w:t>;</w:t>
      </w:r>
    </w:p>
    <w:p w14:paraId="45EA3179" w14:textId="76BF9C20" w:rsidR="003D4DC3" w:rsidRPr="009F0B50" w:rsidRDefault="003D4DC3" w:rsidP="00117E86">
      <w:pPr>
        <w:pStyle w:val="Listapunktowana2"/>
      </w:pPr>
      <w:r w:rsidRPr="009F0B50">
        <w:t>poprawa warunków dla obszarów chronionych</w:t>
      </w:r>
      <w:r w:rsidR="00A92321">
        <w:t>;</w:t>
      </w:r>
    </w:p>
    <w:p w14:paraId="4478B880" w14:textId="2FD5725C" w:rsidR="003D4DC3" w:rsidRPr="009F0B50" w:rsidRDefault="003D4DC3" w:rsidP="00117E86">
      <w:pPr>
        <w:pStyle w:val="Listapunktowana2"/>
      </w:pPr>
      <w:r w:rsidRPr="009F0B50">
        <w:t>redukcja emisji i zrzutów substancji priorytetowych</w:t>
      </w:r>
      <w:r w:rsidR="00A92321">
        <w:t>;</w:t>
      </w:r>
    </w:p>
    <w:p w14:paraId="664AD7DF" w14:textId="2A90FB48" w:rsidR="003D4DC3" w:rsidRPr="009F0B50" w:rsidRDefault="003D4DC3" w:rsidP="00117E86">
      <w:pPr>
        <w:pStyle w:val="Listapunktowana2"/>
      </w:pPr>
      <w:r w:rsidRPr="009F0B50">
        <w:t>weryfikacja programu ochrony środowiska</w:t>
      </w:r>
      <w:r w:rsidR="00A92321">
        <w:t>;</w:t>
      </w:r>
    </w:p>
    <w:p w14:paraId="604869E4" w14:textId="77777777" w:rsidR="003D4DC3" w:rsidRPr="009F0B50" w:rsidRDefault="003D4DC3" w:rsidP="00117E86">
      <w:pPr>
        <w:pStyle w:val="Listapunktowana2"/>
      </w:pPr>
      <w:r w:rsidRPr="009F0B50">
        <w:t>zapewnienie ciągłości biologicznej rzek i potoków.</w:t>
      </w:r>
    </w:p>
    <w:p w14:paraId="55132E89" w14:textId="4B6A1C85" w:rsidR="003D4DC3" w:rsidRPr="009F0B50" w:rsidRDefault="003D4DC3" w:rsidP="003D4DC3">
      <w:pPr>
        <w:spacing w:line="276" w:lineRule="auto"/>
      </w:pPr>
      <w:r w:rsidRPr="009F0B50">
        <w:rPr>
          <w:rFonts w:asciiTheme="minorHAnsi" w:hAnsiTheme="minorHAnsi"/>
        </w:rPr>
        <w:t xml:space="preserve">Najliczniejszą kategorię działań stanowią: zapewnienie ciągłości biologicznej rzek i potoków </w:t>
      </w:r>
      <w:r w:rsidRPr="00B433E8">
        <w:rPr>
          <w:rFonts w:asciiTheme="minorHAnsi" w:hAnsiTheme="minorHAnsi" w:cstheme="minorHAnsi"/>
        </w:rPr>
        <w:t>oraz</w:t>
      </w:r>
      <w:r w:rsidR="006938C2">
        <w:rPr>
          <w:rFonts w:asciiTheme="minorHAnsi" w:hAnsiTheme="minorHAnsi" w:cstheme="minorHAnsi"/>
        </w:rPr>
        <w:t> </w:t>
      </w:r>
      <w:r w:rsidRPr="009F0B50">
        <w:rPr>
          <w:rFonts w:asciiTheme="minorHAnsi" w:hAnsiTheme="minorHAnsi"/>
        </w:rPr>
        <w:t>gospodarka wodno-ściekowa (po 20% wszystkich działań w katalogu), drugą pod względem liczby działań jest kategoria: ograniczenie zanieczyszczeń rozproszonych z rolnictwa i ograniczenie zanieczyszczeń rozproszonych związanych z rozwojem obszarów zurbanizowanych, turystyki i transportu (po 13</w:t>
      </w:r>
      <w:r w:rsidRPr="00B433E8">
        <w:rPr>
          <w:rFonts w:asciiTheme="minorHAnsi" w:hAnsiTheme="minorHAnsi" w:cstheme="minorHAnsi"/>
        </w:rPr>
        <w:t>,33</w:t>
      </w:r>
      <w:r w:rsidRPr="009F0B50">
        <w:rPr>
          <w:rFonts w:asciiTheme="minorHAnsi" w:hAnsiTheme="minorHAnsi"/>
        </w:rPr>
        <w:t xml:space="preserve">% wszystkich działań w katalogu), pozostałe kategorie stanowią po </w:t>
      </w:r>
      <w:r w:rsidRPr="00B433E8">
        <w:rPr>
          <w:rFonts w:asciiTheme="minorHAnsi" w:hAnsiTheme="minorHAnsi" w:cstheme="minorHAnsi"/>
        </w:rPr>
        <w:t>6,67</w:t>
      </w:r>
      <w:r w:rsidRPr="009F0B50">
        <w:rPr>
          <w:rFonts w:asciiTheme="minorHAnsi" w:hAnsiTheme="minorHAnsi"/>
        </w:rPr>
        <w:t xml:space="preserve">% </w:t>
      </w:r>
      <w:r w:rsidRPr="009F0B50">
        <w:t xml:space="preserve">wszystkich działań w katalogu (wykres </w:t>
      </w:r>
      <w:r w:rsidRPr="00DB2311">
        <w:t>12-</w:t>
      </w:r>
      <w:r>
        <w:t>7</w:t>
      </w:r>
      <w:r w:rsidR="00FE020D">
        <w:t>, dane prezentow</w:t>
      </w:r>
      <w:r w:rsidR="006136EF">
        <w:t>ane w za</w:t>
      </w:r>
      <w:r w:rsidR="00BA6FC1">
        <w:t>o</w:t>
      </w:r>
      <w:r w:rsidR="006136EF">
        <w:t>krągleniu</w:t>
      </w:r>
      <w:r w:rsidRPr="00DB2311">
        <w:t>).</w:t>
      </w:r>
    </w:p>
    <w:p w14:paraId="5BED2E63" w14:textId="574BD803" w:rsidR="003D4DC3" w:rsidRDefault="003D4DC3" w:rsidP="006A37E5">
      <w:pPr>
        <w:jc w:val="center"/>
      </w:pPr>
      <w:r w:rsidRPr="00DB2311">
        <w:rPr>
          <w:noProof/>
        </w:rPr>
        <w:drawing>
          <wp:inline distT="0" distB="0" distL="0" distR="0" wp14:anchorId="724F203E" wp14:editId="2B79DE09">
            <wp:extent cx="5760000" cy="3600000"/>
            <wp:effectExtent l="0" t="0" r="12700" b="635"/>
            <wp:docPr id="1069510222" name="Wykres 1069510222">
              <a:extLst xmlns:a="http://schemas.openxmlformats.org/drawingml/2006/main">
                <a:ext uri="{FF2B5EF4-FFF2-40B4-BE49-F238E27FC236}">
                  <a16:creationId xmlns:a16="http://schemas.microsoft.com/office/drawing/2014/main" id="{35EE64E3-1687-4079-945E-CD3771D3C856}"/>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35196608" w14:textId="65935CD7" w:rsidR="003D4DC3" w:rsidRPr="009F0B50" w:rsidRDefault="003D4DC3" w:rsidP="00B479EE">
      <w:pPr>
        <w:pStyle w:val="Wykres"/>
      </w:pPr>
      <w:bookmarkStart w:id="680" w:name="_Toc68195516"/>
      <w:bookmarkStart w:id="681" w:name="_Toc67643661"/>
      <w:bookmarkStart w:id="682" w:name="_Toc105513016"/>
      <w:r w:rsidRPr="004F1390">
        <w:t xml:space="preserve">Wykres </w:t>
      </w:r>
      <w:fldSimple w:instr=" STYLEREF 1 \s ">
        <w:r w:rsidR="001F774D">
          <w:rPr>
            <w:noProof/>
          </w:rPr>
          <w:t>12</w:t>
        </w:r>
      </w:fldSimple>
      <w:r w:rsidR="00FF20D3">
        <w:noBreakHyphen/>
      </w:r>
      <w:fldSimple w:instr=" SEQ Wykres \* ARABIC \s 1 ">
        <w:r w:rsidR="001F774D">
          <w:rPr>
            <w:noProof/>
          </w:rPr>
          <w:t>7</w:t>
        </w:r>
      </w:fldSimple>
      <w:r w:rsidR="001D534F">
        <w:rPr>
          <w:noProof/>
        </w:rPr>
        <w:t>.</w:t>
      </w:r>
      <w:r w:rsidRPr="004F1390">
        <w:tab/>
        <w:t>Udział</w:t>
      </w:r>
      <w:r w:rsidRPr="00B433E8">
        <w:t xml:space="preserve"> działań w poszczególnych kategoriach katalogu działań </w:t>
      </w:r>
      <w:r w:rsidR="00DF005E">
        <w:t>JCWP</w:t>
      </w:r>
      <w:r w:rsidRPr="00B433E8">
        <w:t xml:space="preserve"> RWr</w:t>
      </w:r>
      <w:bookmarkEnd w:id="680"/>
      <w:bookmarkEnd w:id="681"/>
      <w:bookmarkEnd w:id="682"/>
    </w:p>
    <w:p w14:paraId="2A6C011F" w14:textId="77777777" w:rsidR="003D4DC3" w:rsidRPr="00C22FBA" w:rsidRDefault="003D4DC3" w:rsidP="003D4DC3">
      <w:pPr>
        <w:pStyle w:val="rdo"/>
      </w:pPr>
      <w:r w:rsidRPr="00C22FBA">
        <w:t>Źródło: opracowanie własne</w:t>
      </w:r>
    </w:p>
    <w:p w14:paraId="0C73CF4B" w14:textId="01D8F19C" w:rsidR="003D4DC3" w:rsidRPr="009F0B50" w:rsidRDefault="003D4DC3" w:rsidP="003D4DC3">
      <w:pPr>
        <w:spacing w:line="276" w:lineRule="auto"/>
        <w:rPr>
          <w:rFonts w:asciiTheme="minorHAnsi" w:hAnsiTheme="minorHAnsi"/>
        </w:rPr>
      </w:pPr>
      <w:r w:rsidRPr="00B433E8">
        <w:rPr>
          <w:rFonts w:asciiTheme="minorHAnsi" w:hAnsiTheme="minorHAnsi" w:cstheme="minorHAnsi"/>
        </w:rPr>
        <w:t>Dla</w:t>
      </w:r>
      <w:r w:rsidRPr="009F0B50">
        <w:rPr>
          <w:rFonts w:asciiTheme="minorHAnsi" w:hAnsiTheme="minorHAnsi"/>
        </w:rPr>
        <w:t xml:space="preserve"> </w:t>
      </w:r>
      <w:r w:rsidR="00DF005E">
        <w:rPr>
          <w:rFonts w:asciiTheme="minorHAnsi" w:hAnsiTheme="minorHAnsi"/>
        </w:rPr>
        <w:t>JCWP</w:t>
      </w:r>
      <w:r w:rsidRPr="009F0B50">
        <w:rPr>
          <w:rFonts w:asciiTheme="minorHAnsi" w:hAnsiTheme="minorHAnsi"/>
        </w:rPr>
        <w:t xml:space="preserve"> RWr wyznaczono 6 działań </w:t>
      </w:r>
      <w:r w:rsidRPr="00B433E8">
        <w:rPr>
          <w:rFonts w:asciiTheme="minorHAnsi" w:hAnsiTheme="minorHAnsi" w:cstheme="minorHAnsi"/>
        </w:rPr>
        <w:t>podstawowych (40%)</w:t>
      </w:r>
      <w:r w:rsidRPr="009F0B50">
        <w:rPr>
          <w:rFonts w:asciiTheme="minorHAnsi" w:hAnsiTheme="minorHAnsi"/>
        </w:rPr>
        <w:t xml:space="preserve"> i 9 działań uzupełniających (</w:t>
      </w:r>
      <w:r w:rsidRPr="00B433E8">
        <w:rPr>
          <w:rFonts w:asciiTheme="minorHAnsi" w:hAnsiTheme="minorHAnsi" w:cstheme="minorHAnsi"/>
        </w:rPr>
        <w:t>60%) (</w:t>
      </w:r>
      <w:r w:rsidRPr="009F0B50">
        <w:rPr>
          <w:rFonts w:asciiTheme="minorHAnsi" w:hAnsiTheme="minorHAnsi"/>
        </w:rPr>
        <w:t xml:space="preserve">wykres </w:t>
      </w:r>
      <w:r>
        <w:rPr>
          <w:rFonts w:asciiTheme="minorHAnsi" w:hAnsiTheme="minorHAnsi" w:cstheme="minorHAnsi"/>
        </w:rPr>
        <w:t>12-</w:t>
      </w:r>
      <w:r w:rsidRPr="00B433E8">
        <w:rPr>
          <w:rFonts w:asciiTheme="minorHAnsi" w:hAnsiTheme="minorHAnsi" w:cstheme="minorHAnsi"/>
        </w:rPr>
        <w:t>8</w:t>
      </w:r>
      <w:r w:rsidRPr="009F0B50">
        <w:rPr>
          <w:rFonts w:asciiTheme="minorHAnsi" w:hAnsiTheme="minorHAnsi"/>
        </w:rPr>
        <w:t>).</w:t>
      </w:r>
    </w:p>
    <w:p w14:paraId="51E4193B" w14:textId="40D50670" w:rsidR="003D4DC3" w:rsidRDefault="009A1C46" w:rsidP="006A37E5">
      <w:pPr>
        <w:jc w:val="center"/>
      </w:pPr>
      <w:r w:rsidRPr="00DB2311">
        <w:rPr>
          <w:noProof/>
        </w:rPr>
        <w:drawing>
          <wp:inline distT="0" distB="0" distL="0" distR="0" wp14:anchorId="5D3AA060" wp14:editId="2D27639C">
            <wp:extent cx="4320000" cy="2520000"/>
            <wp:effectExtent l="0" t="0" r="4445" b="13970"/>
            <wp:docPr id="84" name="Wykres 84">
              <a:extLst xmlns:a="http://schemas.openxmlformats.org/drawingml/2006/main">
                <a:ext uri="{FF2B5EF4-FFF2-40B4-BE49-F238E27FC236}">
                  <a16:creationId xmlns:a16="http://schemas.microsoft.com/office/drawing/2014/main" id="{0A9BFD1B-A24D-4C76-85F2-ED1EBAB6B96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36A8D3FC" w14:textId="615D95D8" w:rsidR="003D4DC3" w:rsidRPr="00B433E8" w:rsidRDefault="003D4DC3" w:rsidP="00B479EE">
      <w:pPr>
        <w:pStyle w:val="Wykres"/>
      </w:pPr>
      <w:bookmarkStart w:id="683" w:name="_Toc66324941"/>
      <w:bookmarkStart w:id="684" w:name="_Toc68195517"/>
      <w:bookmarkStart w:id="685" w:name="_Toc67643662"/>
      <w:bookmarkStart w:id="686" w:name="_Toc105513017"/>
      <w:r w:rsidRPr="004F1390">
        <w:t xml:space="preserve">Wykres </w:t>
      </w:r>
      <w:fldSimple w:instr=" STYLEREF 1 \s ">
        <w:r w:rsidR="001F774D">
          <w:rPr>
            <w:noProof/>
          </w:rPr>
          <w:t>12</w:t>
        </w:r>
      </w:fldSimple>
      <w:r w:rsidR="00FF20D3">
        <w:noBreakHyphen/>
      </w:r>
      <w:fldSimple w:instr=" SEQ Wykres \* ARABIC \s 1 ">
        <w:r w:rsidR="001F774D">
          <w:rPr>
            <w:noProof/>
          </w:rPr>
          <w:t>8</w:t>
        </w:r>
      </w:fldSimple>
      <w:r w:rsidR="001D534F">
        <w:rPr>
          <w:noProof/>
        </w:rPr>
        <w:t>.</w:t>
      </w:r>
      <w:r w:rsidRPr="00B433E8">
        <w:tab/>
        <w:t xml:space="preserve">Udział działań podstawowych oraz uzupełniających w katalogu działań </w:t>
      </w:r>
      <w:r w:rsidR="00DF005E">
        <w:t>JCWP</w:t>
      </w:r>
      <w:r w:rsidRPr="00B433E8">
        <w:t xml:space="preserve"> RWr</w:t>
      </w:r>
      <w:bookmarkEnd w:id="683"/>
      <w:bookmarkEnd w:id="684"/>
      <w:bookmarkEnd w:id="685"/>
      <w:bookmarkEnd w:id="686"/>
    </w:p>
    <w:p w14:paraId="01BF6FB2" w14:textId="77777777" w:rsidR="004F1390" w:rsidRDefault="003D4DC3" w:rsidP="004F1390">
      <w:pPr>
        <w:pStyle w:val="rdo"/>
      </w:pPr>
      <w:r w:rsidRPr="00C22FBA">
        <w:t>Źródło: opracowanie własne</w:t>
      </w:r>
    </w:p>
    <w:p w14:paraId="519F2013" w14:textId="59AA59CE" w:rsidR="003D4DC3" w:rsidRPr="009F0B50" w:rsidRDefault="003D4DC3" w:rsidP="004F1390">
      <w:r w:rsidRPr="009F0B50">
        <w:t xml:space="preserve">Każde działanie otrzymało kod IIaPGW wskazujący na rodzaj presji. Zestawienie liczby działań poszczególnych kodów IIaPGW </w:t>
      </w:r>
      <w:r w:rsidR="00DF005E">
        <w:t>JCWP</w:t>
      </w:r>
      <w:r w:rsidRPr="009F0B50">
        <w:t xml:space="preserve"> RWr przedstawia tabela </w:t>
      </w:r>
      <w:r w:rsidRPr="00DB2311">
        <w:t>12-4</w:t>
      </w:r>
      <w:r>
        <w:t xml:space="preserve"> i wykres 12-9</w:t>
      </w:r>
      <w:r w:rsidRPr="009F0B50">
        <w:t>.</w:t>
      </w:r>
    </w:p>
    <w:p w14:paraId="609E4C72" w14:textId="68288387" w:rsidR="003D4DC3" w:rsidRPr="00B433E8" w:rsidRDefault="003D4DC3" w:rsidP="004D7705">
      <w:pPr>
        <w:pStyle w:val="Tabela"/>
      </w:pPr>
      <w:bookmarkStart w:id="687" w:name="_Toc68195497"/>
      <w:bookmarkStart w:id="688" w:name="_Toc67488863"/>
      <w:bookmarkStart w:id="689" w:name="_Toc68123673"/>
      <w:bookmarkStart w:id="690" w:name="_Toc105512873"/>
      <w:r w:rsidRPr="00B433E8">
        <w:t xml:space="preserve">Tabela </w:t>
      </w:r>
      <w:fldSimple w:instr=" STYLEREF 1 \s ">
        <w:r w:rsidR="001F774D">
          <w:rPr>
            <w:noProof/>
          </w:rPr>
          <w:t>12</w:t>
        </w:r>
      </w:fldSimple>
      <w:r w:rsidRPr="00B433E8">
        <w:noBreakHyphen/>
      </w:r>
      <w:fldSimple w:instr=" SEQ Tabela \* ARABIC \s 1 ">
        <w:r w:rsidR="001F774D">
          <w:rPr>
            <w:noProof/>
          </w:rPr>
          <w:t>4</w:t>
        </w:r>
      </w:fldSimple>
      <w:r w:rsidR="00EB4B7B">
        <w:rPr>
          <w:noProof/>
        </w:rPr>
        <w:t>.</w:t>
      </w:r>
      <w:r w:rsidRPr="00B433E8">
        <w:tab/>
        <w:t xml:space="preserve">Liczba działań poszczególnych kodów IIaPGW </w:t>
      </w:r>
      <w:r w:rsidR="00DF005E">
        <w:t>JCWP</w:t>
      </w:r>
      <w:bookmarkEnd w:id="687"/>
      <w:r w:rsidRPr="00B433E8">
        <w:t xml:space="preserve"> </w:t>
      </w:r>
      <w:bookmarkEnd w:id="688"/>
      <w:bookmarkEnd w:id="689"/>
      <w:r>
        <w:t>RWr</w:t>
      </w:r>
      <w:bookmarkEnd w:id="690"/>
    </w:p>
    <w:tbl>
      <w:tblPr>
        <w:tblW w:w="5000" w:type="pct"/>
        <w:jc w:val="center"/>
        <w:tblLook w:val="00A0" w:firstRow="1" w:lastRow="0" w:firstColumn="1" w:lastColumn="0" w:noHBand="0" w:noVBand="0"/>
      </w:tblPr>
      <w:tblGrid>
        <w:gridCol w:w="1704"/>
        <w:gridCol w:w="5684"/>
        <w:gridCol w:w="1674"/>
      </w:tblGrid>
      <w:tr w:rsidR="003D4DC3" w:rsidRPr="00B433E8" w14:paraId="0ED9A2D3" w14:textId="77777777" w:rsidTr="008D5A1C">
        <w:trPr>
          <w:trHeight w:val="454"/>
          <w:tblHeader/>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3E79F8F" w14:textId="2DB79FE8" w:rsidR="003D4DC3" w:rsidRPr="00B433E8" w:rsidRDefault="003D4DC3" w:rsidP="005842B5">
            <w:pPr>
              <w:pStyle w:val="Teksttabelinaglowek"/>
              <w:rPr>
                <w:rFonts w:cstheme="minorHAnsi"/>
              </w:rPr>
            </w:pPr>
            <w:r w:rsidRPr="00290498">
              <w:t xml:space="preserve">Kod </w:t>
            </w:r>
            <w:r w:rsidRPr="00B433E8">
              <w:rPr>
                <w:rFonts w:cstheme="minorHAnsi"/>
              </w:rPr>
              <w:t>dzia</w:t>
            </w:r>
            <w:r w:rsidR="003326A0">
              <w:rPr>
                <w:rFonts w:cstheme="minorHAnsi"/>
              </w:rPr>
              <w:t>ła</w:t>
            </w:r>
            <w:r w:rsidRPr="00B433E8">
              <w:rPr>
                <w:rFonts w:cstheme="minorHAnsi"/>
              </w:rPr>
              <w:t xml:space="preserve">nia </w:t>
            </w:r>
            <w:r w:rsidRPr="00290498">
              <w:t>IIaPGW</w:t>
            </w:r>
          </w:p>
        </w:tc>
        <w:tc>
          <w:tcPr>
            <w:tcW w:w="569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7E10B3D" w14:textId="77777777" w:rsidR="003D4DC3" w:rsidRPr="00B433E8" w:rsidRDefault="003D4DC3" w:rsidP="005842B5">
            <w:pPr>
              <w:pStyle w:val="Teksttabelinaglowek"/>
              <w:rPr>
                <w:rFonts w:cstheme="minorHAnsi"/>
              </w:rPr>
            </w:pPr>
            <w:r w:rsidRPr="00290498">
              <w:t>Rodzaj presji</w:t>
            </w:r>
          </w:p>
        </w:tc>
        <w:tc>
          <w:tcPr>
            <w:tcW w:w="167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6F78F847" w14:textId="77777777" w:rsidR="003D4DC3" w:rsidRPr="00B433E8" w:rsidRDefault="003D4DC3" w:rsidP="005842B5">
            <w:pPr>
              <w:pStyle w:val="Teksttabelinaglowek"/>
              <w:rPr>
                <w:rFonts w:cstheme="minorHAnsi"/>
              </w:rPr>
            </w:pPr>
            <w:r w:rsidRPr="00290498">
              <w:t>Liczba działań</w:t>
            </w:r>
          </w:p>
        </w:tc>
      </w:tr>
      <w:tr w:rsidR="003D4DC3" w:rsidRPr="00B433E8" w14:paraId="124C071B"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4822D6" w14:textId="77777777" w:rsidR="003D4DC3" w:rsidRPr="00B433E8" w:rsidRDefault="003D4DC3" w:rsidP="005842B5">
            <w:pPr>
              <w:pStyle w:val="Teksttabelilewy"/>
              <w:rPr>
                <w:rFonts w:cstheme="minorHAnsi"/>
              </w:rPr>
            </w:pPr>
            <w:r w:rsidRPr="009F0B50">
              <w:t>RWrC</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6D4FB2" w14:textId="77777777" w:rsidR="003D4DC3" w:rsidRPr="00B433E8" w:rsidRDefault="003D4DC3" w:rsidP="005842B5">
            <w:pPr>
              <w:pStyle w:val="Teksttabelilewy"/>
            </w:pPr>
            <w:r w:rsidRPr="009F0B50">
              <w:t xml:space="preserve">presje </w:t>
            </w:r>
            <w:r w:rsidRPr="00B433E8">
              <w:t>skumulowane wód</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974558" w14:textId="77777777" w:rsidR="003D4DC3" w:rsidRPr="00B433E8" w:rsidRDefault="003D4DC3" w:rsidP="005842B5">
            <w:pPr>
              <w:pStyle w:val="Teksttabelisrodek"/>
              <w:rPr>
                <w:rFonts w:cstheme="minorHAnsi"/>
              </w:rPr>
            </w:pPr>
            <w:r w:rsidRPr="009F0B50">
              <w:t>3</w:t>
            </w:r>
          </w:p>
        </w:tc>
      </w:tr>
      <w:tr w:rsidR="003D4DC3" w:rsidRPr="00B433E8" w14:paraId="096238A7"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B94AE3" w14:textId="77777777" w:rsidR="003D4DC3" w:rsidRPr="009F0B50" w:rsidRDefault="003D4DC3" w:rsidP="005842B5">
            <w:pPr>
              <w:pStyle w:val="Teksttabelilewy"/>
            </w:pPr>
            <w:r w:rsidRPr="009F0B50">
              <w:t>RWrP</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7AA329" w14:textId="77777777" w:rsidR="003D4DC3" w:rsidRPr="009F0B50" w:rsidRDefault="003D4DC3" w:rsidP="005842B5">
            <w:pPr>
              <w:pStyle w:val="Teksttabelilewy"/>
            </w:pPr>
            <w:r w:rsidRPr="009F0B50">
              <w:t>presje chemiczne i fizykochemiczne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D21452" w14:textId="77777777" w:rsidR="003D4DC3" w:rsidRPr="009F0B50" w:rsidRDefault="003D4DC3" w:rsidP="005842B5">
            <w:pPr>
              <w:pStyle w:val="Teksttabelisrodek"/>
            </w:pPr>
            <w:r w:rsidRPr="009F0B50">
              <w:t>9</w:t>
            </w:r>
          </w:p>
        </w:tc>
      </w:tr>
      <w:tr w:rsidR="003D4DC3" w:rsidRPr="00B433E8" w14:paraId="020D33C8"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240E40" w14:textId="77777777" w:rsidR="003D4DC3" w:rsidRPr="00B433E8" w:rsidRDefault="003D4DC3" w:rsidP="005842B5">
            <w:pPr>
              <w:pStyle w:val="Teksttabelilewy"/>
            </w:pPr>
            <w:r w:rsidRPr="00B433E8">
              <w:t>RWrH</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436DD7" w14:textId="77777777" w:rsidR="003D4DC3" w:rsidRPr="00B433E8" w:rsidRDefault="003D4DC3" w:rsidP="005842B5">
            <w:pPr>
              <w:pStyle w:val="Teksttabelilewy"/>
            </w:pPr>
            <w:r w:rsidRPr="00B433E8">
              <w:t>presje hydrologiczne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D99A9C" w14:textId="77777777" w:rsidR="003D4DC3" w:rsidRPr="00B433E8" w:rsidRDefault="003D4DC3" w:rsidP="005842B5">
            <w:pPr>
              <w:pStyle w:val="Teksttabelisrodek"/>
            </w:pPr>
            <w:r w:rsidRPr="00B433E8">
              <w:t>0</w:t>
            </w:r>
          </w:p>
        </w:tc>
      </w:tr>
      <w:tr w:rsidR="003D4DC3" w:rsidRPr="00B433E8" w14:paraId="3A426DBD"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8842B7" w14:textId="77777777" w:rsidR="003D4DC3" w:rsidRPr="009F0B50" w:rsidRDefault="003D4DC3" w:rsidP="005842B5">
            <w:pPr>
              <w:pStyle w:val="Teksttabelilewy"/>
            </w:pPr>
            <w:r w:rsidRPr="009F0B50">
              <w:t>RWrHM</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745620" w14:textId="77777777" w:rsidR="003D4DC3" w:rsidRPr="009F0B50" w:rsidRDefault="003D4DC3" w:rsidP="005842B5">
            <w:pPr>
              <w:pStyle w:val="Teksttabelilewy"/>
            </w:pPr>
            <w:r w:rsidRPr="009F0B50">
              <w:t xml:space="preserve">presje </w:t>
            </w:r>
            <w:r w:rsidRPr="00B433E8">
              <w:t>hydromorfologiczne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18ECD5" w14:textId="77777777" w:rsidR="003D4DC3" w:rsidRPr="009F0B50" w:rsidRDefault="003D4DC3" w:rsidP="005842B5">
            <w:pPr>
              <w:pStyle w:val="Teksttabelisrodek"/>
            </w:pPr>
            <w:r w:rsidRPr="009F0B50">
              <w:t>3</w:t>
            </w:r>
          </w:p>
        </w:tc>
      </w:tr>
      <w:tr w:rsidR="003D4DC3" w:rsidRPr="00B433E8" w14:paraId="36140CFA" w14:textId="77777777" w:rsidTr="008D5A1C">
        <w:trPr>
          <w:trHeight w:val="454"/>
          <w:jc w:val="center"/>
        </w:trPr>
        <w:tc>
          <w:tcPr>
            <w:tcW w:w="7397" w:type="dxa"/>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178B4A4" w14:textId="77777777" w:rsidR="003D4DC3" w:rsidRPr="00FC597C" w:rsidRDefault="003D4DC3" w:rsidP="005842B5">
            <w:pPr>
              <w:pStyle w:val="Teksttabelinaglowek"/>
            </w:pPr>
            <w:r w:rsidRPr="00FC597C">
              <w:t>Razem</w:t>
            </w:r>
          </w:p>
        </w:tc>
        <w:tc>
          <w:tcPr>
            <w:tcW w:w="167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EB6CE46" w14:textId="77777777" w:rsidR="003D4DC3" w:rsidRPr="00290498" w:rsidRDefault="003D4DC3" w:rsidP="005842B5">
            <w:pPr>
              <w:pStyle w:val="Teksttabelinaglowek"/>
            </w:pPr>
            <w:r w:rsidRPr="00290498">
              <w:t>15</w:t>
            </w:r>
          </w:p>
        </w:tc>
      </w:tr>
    </w:tbl>
    <w:p w14:paraId="3A42997A" w14:textId="77777777" w:rsidR="003D4DC3" w:rsidRDefault="003D4DC3" w:rsidP="003D4DC3">
      <w:pPr>
        <w:pStyle w:val="rdo"/>
      </w:pPr>
      <w:r w:rsidRPr="00C22FBA">
        <w:t>Źródło: opracowanie własne</w:t>
      </w:r>
    </w:p>
    <w:p w14:paraId="2806C22D" w14:textId="77777777" w:rsidR="003D4DC3" w:rsidRPr="006A37E5" w:rsidRDefault="003D4DC3" w:rsidP="006A37E5"/>
    <w:p w14:paraId="21A04653" w14:textId="77777777" w:rsidR="007A1419" w:rsidRPr="00AB5553" w:rsidRDefault="003D4DC3" w:rsidP="006A37E5">
      <w:pPr>
        <w:jc w:val="center"/>
      </w:pPr>
      <w:r>
        <w:rPr>
          <w:noProof/>
        </w:rPr>
        <w:drawing>
          <wp:inline distT="0" distB="0" distL="0" distR="0" wp14:anchorId="192C72C2" wp14:editId="17FCED84">
            <wp:extent cx="4320000" cy="2520000"/>
            <wp:effectExtent l="0" t="0" r="4445" b="13970"/>
            <wp:docPr id="1866059353" name="Wykres 1866059353">
              <a:extLst xmlns:a="http://schemas.openxmlformats.org/drawingml/2006/main">
                <a:ext uri="{FF2B5EF4-FFF2-40B4-BE49-F238E27FC236}">
                  <a16:creationId xmlns:a16="http://schemas.microsoft.com/office/drawing/2014/main" id="{186D10D4-FBEB-4234-9391-B142967DB9C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2653FE8F" w14:textId="313DAA2F" w:rsidR="003D4DC3" w:rsidRPr="00B433E8" w:rsidRDefault="007A1419" w:rsidP="007A1419">
      <w:pPr>
        <w:pStyle w:val="Wykres"/>
      </w:pPr>
      <w:bookmarkStart w:id="691" w:name="_Toc105513018"/>
      <w:r w:rsidRPr="00AB5553">
        <w:t xml:space="preserve">Wykres </w:t>
      </w:r>
      <w:fldSimple w:instr=" STYLEREF 1 \s ">
        <w:r w:rsidR="001F774D">
          <w:rPr>
            <w:noProof/>
          </w:rPr>
          <w:t>12</w:t>
        </w:r>
      </w:fldSimple>
      <w:r w:rsidR="00FF20D3">
        <w:noBreakHyphen/>
      </w:r>
      <w:fldSimple w:instr=" SEQ Wykres \* ARABIC \s 1 ">
        <w:r w:rsidR="001F774D">
          <w:rPr>
            <w:noProof/>
          </w:rPr>
          <w:t>9</w:t>
        </w:r>
      </w:fldSimple>
      <w:r w:rsidR="002B6022">
        <w:rPr>
          <w:noProof/>
        </w:rPr>
        <w:t>.</w:t>
      </w:r>
      <w:r w:rsidRPr="00AB5553">
        <w:tab/>
        <w:t>Udział działań ukierunkowanych na redukcję poszczególnych rodzajów presji</w:t>
      </w:r>
      <w:bookmarkEnd w:id="691"/>
    </w:p>
    <w:p w14:paraId="2503E536" w14:textId="77777777" w:rsidR="003D4DC3" w:rsidRPr="00B433E8" w:rsidRDefault="003D4DC3" w:rsidP="003D4DC3">
      <w:pPr>
        <w:pStyle w:val="rdo"/>
      </w:pPr>
      <w:r w:rsidRPr="00B433E8">
        <w:t>Źródło: opracowanie własne</w:t>
      </w:r>
    </w:p>
    <w:p w14:paraId="53AEED14" w14:textId="26EA4EE0" w:rsidR="003D4DC3" w:rsidRPr="00FC597C" w:rsidRDefault="003D4DC3" w:rsidP="003D4DC3">
      <w:pPr>
        <w:spacing w:line="276" w:lineRule="auto"/>
        <w:rPr>
          <w:rFonts w:asciiTheme="minorHAnsi" w:hAnsiTheme="minorHAnsi"/>
        </w:rPr>
      </w:pPr>
      <w:r w:rsidRPr="00FC597C">
        <w:rPr>
          <w:rFonts w:asciiTheme="minorHAnsi" w:hAnsiTheme="minorHAnsi"/>
        </w:rPr>
        <w:t xml:space="preserve">Wśród </w:t>
      </w:r>
      <w:r w:rsidRPr="00B433E8">
        <w:rPr>
          <w:rFonts w:asciiTheme="minorHAnsi" w:hAnsiTheme="minorHAnsi" w:cstheme="minorHAnsi"/>
        </w:rPr>
        <w:t xml:space="preserve">działań zaproponowanych dla </w:t>
      </w:r>
      <w:r w:rsidR="00DF005E">
        <w:rPr>
          <w:rFonts w:asciiTheme="minorHAnsi" w:hAnsiTheme="minorHAnsi" w:cstheme="minorHAnsi"/>
        </w:rPr>
        <w:t>JCWP</w:t>
      </w:r>
      <w:r w:rsidRPr="00B433E8">
        <w:rPr>
          <w:rFonts w:asciiTheme="minorHAnsi" w:hAnsiTheme="minorHAnsi" w:cstheme="minorHAnsi"/>
        </w:rPr>
        <w:t xml:space="preserve"> </w:t>
      </w:r>
      <w:r>
        <w:rPr>
          <w:rFonts w:asciiTheme="minorHAnsi" w:hAnsiTheme="minorHAnsi" w:cstheme="minorHAnsi"/>
        </w:rPr>
        <w:t>RWr</w:t>
      </w:r>
      <w:r w:rsidRPr="00FC597C">
        <w:rPr>
          <w:rFonts w:asciiTheme="minorHAnsi" w:hAnsiTheme="minorHAnsi"/>
        </w:rPr>
        <w:t xml:space="preserve"> wskazano: </w:t>
      </w:r>
    </w:p>
    <w:p w14:paraId="78C9FBD8" w14:textId="66B90164" w:rsidR="003D4DC3" w:rsidRPr="00FC597C" w:rsidRDefault="003D4DC3" w:rsidP="003D4DC3">
      <w:pPr>
        <w:spacing w:line="276" w:lineRule="auto"/>
        <w:rPr>
          <w:rFonts w:asciiTheme="minorHAnsi" w:hAnsiTheme="minorHAnsi"/>
        </w:rPr>
      </w:pPr>
      <w:r w:rsidRPr="00FC597C">
        <w:rPr>
          <w:rFonts w:asciiTheme="minorHAnsi" w:hAnsiTheme="minorHAnsi"/>
          <w:b/>
        </w:rPr>
        <w:t>RWrHM_02</w:t>
      </w:r>
      <w:r w:rsidRPr="00FC597C">
        <w:rPr>
          <w:rFonts w:asciiTheme="minorHAnsi" w:hAnsiTheme="minorHAnsi"/>
        </w:rPr>
        <w:t>: działania służące zapewnieniu ciągłości biologicznej rzek. Są to działania polegające na: udrażnianiu przegród poprzecznych i</w:t>
      </w:r>
      <w:r w:rsidRPr="00B433E8">
        <w:rPr>
          <w:rFonts w:asciiTheme="minorHAnsi" w:hAnsiTheme="minorHAnsi" w:cstheme="minorHAnsi"/>
        </w:rPr>
        <w:t> </w:t>
      </w:r>
      <w:r w:rsidRPr="00FC597C">
        <w:rPr>
          <w:rFonts w:asciiTheme="minorHAnsi" w:hAnsiTheme="minorHAnsi"/>
        </w:rPr>
        <w:t xml:space="preserve">dostosowaniu ich do wymagań budowli proekologicznych z uwzględnieniem spełnienia celów środowiskowych oraz </w:t>
      </w:r>
      <w:r w:rsidRPr="00B433E8">
        <w:rPr>
          <w:rFonts w:asciiTheme="minorHAnsi" w:hAnsiTheme="minorHAnsi" w:cstheme="minorHAnsi"/>
        </w:rPr>
        <w:t>kontroli funkcjonowania urządzeń do</w:t>
      </w:r>
      <w:r w:rsidR="00C93D4C">
        <w:rPr>
          <w:rFonts w:asciiTheme="minorHAnsi" w:hAnsiTheme="minorHAnsi" w:cstheme="minorHAnsi"/>
        </w:rPr>
        <w:t> </w:t>
      </w:r>
      <w:r w:rsidRPr="00B433E8">
        <w:rPr>
          <w:rFonts w:asciiTheme="minorHAnsi" w:hAnsiTheme="minorHAnsi" w:cstheme="minorHAnsi"/>
        </w:rPr>
        <w:t>migracji ryb</w:t>
      </w:r>
      <w:r w:rsidR="0041502F">
        <w:rPr>
          <w:rFonts w:asciiTheme="minorHAnsi" w:hAnsiTheme="minorHAnsi" w:cstheme="minorHAnsi"/>
        </w:rPr>
        <w:t>;</w:t>
      </w:r>
    </w:p>
    <w:p w14:paraId="77CF76AA" w14:textId="77777777" w:rsidR="003D4DC3" w:rsidRPr="00B433E8" w:rsidRDefault="003D4DC3" w:rsidP="003D4DC3">
      <w:pPr>
        <w:spacing w:line="276" w:lineRule="auto"/>
        <w:rPr>
          <w:rFonts w:asciiTheme="minorHAnsi" w:hAnsiTheme="minorHAnsi" w:cstheme="minorHAnsi"/>
        </w:rPr>
      </w:pPr>
      <w:r w:rsidRPr="00FC597C">
        <w:rPr>
          <w:rFonts w:asciiTheme="minorHAnsi" w:hAnsiTheme="minorHAnsi"/>
          <w:b/>
        </w:rPr>
        <w:t xml:space="preserve">RWrC: </w:t>
      </w:r>
      <w:r w:rsidRPr="00FC597C">
        <w:rPr>
          <w:rFonts w:asciiTheme="minorHAnsi" w:hAnsiTheme="minorHAnsi"/>
        </w:rPr>
        <w:t xml:space="preserve">działania nakierowane na adaptację do zmian klimatu oraz poprawę warunków dla obszarów chronionych. </w:t>
      </w:r>
      <w:r w:rsidRPr="00B433E8">
        <w:rPr>
          <w:rFonts w:asciiTheme="minorHAnsi" w:hAnsiTheme="minorHAnsi" w:cstheme="minorHAnsi"/>
        </w:rPr>
        <w:t xml:space="preserve">Wśród tej kategorii zostały zaproponowane dwie grupy działań: </w:t>
      </w:r>
    </w:p>
    <w:p w14:paraId="6D0858DB" w14:textId="1524CABA" w:rsidR="003D4DC3" w:rsidRPr="00B433E8" w:rsidRDefault="003D4DC3" w:rsidP="003D4DC3">
      <w:pPr>
        <w:spacing w:line="276" w:lineRule="auto"/>
        <w:rPr>
          <w:rFonts w:asciiTheme="minorHAnsi" w:hAnsiTheme="minorHAnsi" w:cstheme="minorHAnsi"/>
        </w:rPr>
      </w:pPr>
      <w:r w:rsidRPr="00B433E8">
        <w:rPr>
          <w:rFonts w:asciiTheme="minorHAnsi" w:hAnsiTheme="minorHAnsi" w:cstheme="minorHAnsi"/>
          <w:b/>
          <w:bCs/>
        </w:rPr>
        <w:t xml:space="preserve">RWrC_01: </w:t>
      </w:r>
      <w:r w:rsidRPr="00B433E8">
        <w:rPr>
          <w:rFonts w:asciiTheme="minorHAnsi" w:hAnsiTheme="minorHAnsi" w:cstheme="minorHAnsi"/>
        </w:rPr>
        <w:t>działania mające na celu opracowanie oraz realizację przedsięwzięć zmierzających do</w:t>
      </w:r>
      <w:r w:rsidR="00C93D4C">
        <w:rPr>
          <w:rFonts w:asciiTheme="minorHAnsi" w:hAnsiTheme="minorHAnsi" w:cstheme="minorHAnsi"/>
        </w:rPr>
        <w:t> </w:t>
      </w:r>
      <w:r w:rsidRPr="00B433E8">
        <w:rPr>
          <w:rFonts w:asciiTheme="minorHAnsi" w:hAnsiTheme="minorHAnsi" w:cstheme="minorHAnsi"/>
        </w:rPr>
        <w:t>poprawy retencji na obszarach rolniczych;</w:t>
      </w:r>
    </w:p>
    <w:p w14:paraId="7445C88F" w14:textId="62773A35" w:rsidR="003D4DC3" w:rsidRPr="00B433E8" w:rsidRDefault="003D4DC3" w:rsidP="003D4DC3">
      <w:pPr>
        <w:spacing w:line="276" w:lineRule="auto"/>
        <w:rPr>
          <w:rFonts w:asciiTheme="minorHAnsi" w:hAnsiTheme="minorHAnsi" w:cstheme="minorHAnsi"/>
        </w:rPr>
      </w:pPr>
      <w:r w:rsidRPr="00B433E8">
        <w:rPr>
          <w:rFonts w:asciiTheme="minorHAnsi" w:hAnsiTheme="minorHAnsi" w:cstheme="minorHAnsi"/>
          <w:b/>
          <w:bCs/>
        </w:rPr>
        <w:t>RWrC_02:</w:t>
      </w:r>
      <w:r w:rsidRPr="00B433E8">
        <w:rPr>
          <w:rFonts w:asciiTheme="minorHAnsi" w:hAnsiTheme="minorHAnsi" w:cstheme="minorHAnsi"/>
        </w:rPr>
        <w:t xml:space="preserve"> działania mające na celu osiągniecie celów środowiskowych poprzez poprawę warunków dla obszarów chronionych. Do tej grupy należą działania wynikające z planów ochrony/planów zadań ochronnych ustanowionych dla obszarów przeznaczonych do ochrony siedlisk lub gatunków, dla</w:t>
      </w:r>
      <w:r w:rsidR="00C93D4C">
        <w:rPr>
          <w:rFonts w:asciiTheme="minorHAnsi" w:hAnsiTheme="minorHAnsi" w:cstheme="minorHAnsi"/>
        </w:rPr>
        <w:t> </w:t>
      </w:r>
      <w:r w:rsidRPr="00B433E8">
        <w:rPr>
          <w:rFonts w:asciiTheme="minorHAnsi" w:hAnsiTheme="minorHAnsi" w:cstheme="minorHAnsi"/>
        </w:rPr>
        <w:t>których utrzymanie lub poprawa stanu wód jest ważnym czynnikiem w ich ochronie</w:t>
      </w:r>
      <w:r w:rsidR="0041502F">
        <w:rPr>
          <w:rFonts w:asciiTheme="minorHAnsi" w:hAnsiTheme="minorHAnsi" w:cstheme="minorHAnsi"/>
        </w:rPr>
        <w:t>;</w:t>
      </w:r>
      <w:r w:rsidRPr="00B433E8">
        <w:rPr>
          <w:rFonts w:asciiTheme="minorHAnsi" w:hAnsiTheme="minorHAnsi" w:cstheme="minorHAnsi"/>
        </w:rPr>
        <w:t xml:space="preserve"> </w:t>
      </w:r>
    </w:p>
    <w:p w14:paraId="342C11A8" w14:textId="77777777" w:rsidR="003D4DC3" w:rsidRPr="00FC597C" w:rsidRDefault="003D4DC3" w:rsidP="003D4DC3">
      <w:pPr>
        <w:spacing w:line="276" w:lineRule="auto"/>
        <w:rPr>
          <w:rFonts w:asciiTheme="minorHAnsi" w:hAnsiTheme="minorHAnsi"/>
        </w:rPr>
      </w:pPr>
      <w:r w:rsidRPr="00FC597C">
        <w:rPr>
          <w:rFonts w:asciiTheme="minorHAnsi" w:hAnsiTheme="minorHAnsi"/>
          <w:b/>
        </w:rPr>
        <w:t>RWrP:</w:t>
      </w:r>
      <w:r w:rsidRPr="00FC597C">
        <w:rPr>
          <w:rFonts w:asciiTheme="minorHAnsi" w:hAnsiTheme="minorHAnsi"/>
        </w:rPr>
        <w:t xml:space="preserve"> działania nakierowane na poprawę jakości wody dla wskaźników fizykochemicznych i chemicznych (substancje priorytetowe oraz inne substancje zanieczyszczające). Działania zawarte w tej grupie nastawione są na ograniczenie presji u źródła powstania zanieczyszczeń, aby zapewnić efektywną ochronę wód powierzchniowych, a w przypadku niektórych działań także wód podziemnych. W tej kategorii wyróżniono 6 grup działań:</w:t>
      </w:r>
    </w:p>
    <w:p w14:paraId="19AE2FAD" w14:textId="77777777" w:rsidR="003D4DC3" w:rsidRPr="00FC597C" w:rsidRDefault="003D4DC3" w:rsidP="003D4DC3">
      <w:pPr>
        <w:spacing w:line="276" w:lineRule="auto"/>
        <w:rPr>
          <w:rFonts w:asciiTheme="minorHAnsi" w:hAnsiTheme="minorHAnsi"/>
        </w:rPr>
      </w:pPr>
      <w:r w:rsidRPr="00FC597C">
        <w:rPr>
          <w:rFonts w:asciiTheme="minorHAnsi" w:hAnsiTheme="minorHAnsi"/>
          <w:b/>
        </w:rPr>
        <w:t>RWrP_01:</w:t>
      </w:r>
      <w:r w:rsidRPr="00FC597C">
        <w:rPr>
          <w:rFonts w:asciiTheme="minorHAnsi" w:hAnsiTheme="minorHAnsi"/>
        </w:rPr>
        <w:t xml:space="preserve"> działania z zakresu gospodarki ściekowej związane z</w:t>
      </w:r>
      <w:r w:rsidRPr="00B433E8">
        <w:rPr>
          <w:rFonts w:asciiTheme="minorHAnsi" w:hAnsiTheme="minorHAnsi" w:cstheme="minorHAnsi"/>
        </w:rPr>
        <w:t> </w:t>
      </w:r>
      <w:r w:rsidRPr="00FC597C">
        <w:rPr>
          <w:rFonts w:asciiTheme="minorHAnsi" w:hAnsiTheme="minorHAnsi"/>
        </w:rPr>
        <w:t>ograniczeniem presji komunalnej (w aglomeracjach i obszarach niezurbanizowanych);</w:t>
      </w:r>
    </w:p>
    <w:p w14:paraId="4A67CAED" w14:textId="1300FE24" w:rsidR="003D4DC3" w:rsidRPr="00FC597C" w:rsidRDefault="003D4DC3" w:rsidP="003D4DC3">
      <w:pPr>
        <w:spacing w:line="276" w:lineRule="auto"/>
        <w:rPr>
          <w:rFonts w:asciiTheme="minorHAnsi" w:hAnsiTheme="minorHAnsi"/>
        </w:rPr>
      </w:pPr>
      <w:r w:rsidRPr="00FC597C">
        <w:rPr>
          <w:rFonts w:asciiTheme="minorHAnsi" w:hAnsiTheme="minorHAnsi"/>
          <w:b/>
        </w:rPr>
        <w:t>RWrP_02:</w:t>
      </w:r>
      <w:r w:rsidRPr="00FC597C">
        <w:rPr>
          <w:rFonts w:asciiTheme="minorHAnsi" w:hAnsiTheme="minorHAnsi"/>
        </w:rPr>
        <w:t xml:space="preserve"> działania kontrolne działalności rolniczej </w:t>
      </w:r>
      <w:r w:rsidR="0096315B">
        <w:rPr>
          <w:rFonts w:asciiTheme="minorHAnsi" w:hAnsiTheme="minorHAnsi"/>
        </w:rPr>
        <w:t>–</w:t>
      </w:r>
      <w:r w:rsidRPr="00FC597C">
        <w:rPr>
          <w:rFonts w:asciiTheme="minorHAnsi" w:hAnsiTheme="minorHAnsi"/>
        </w:rPr>
        <w:t xml:space="preserve"> dodatkowe działania kontrolne realizacji Programu azotanowego oraz związane ze stosowaniem środków ochrony roślin;</w:t>
      </w:r>
    </w:p>
    <w:p w14:paraId="0AE0C017" w14:textId="77777777" w:rsidR="003D4DC3" w:rsidRPr="001A7560" w:rsidRDefault="003D4DC3" w:rsidP="003D4DC3">
      <w:pPr>
        <w:spacing w:line="276" w:lineRule="auto"/>
        <w:rPr>
          <w:rFonts w:asciiTheme="minorHAnsi" w:hAnsiTheme="minorHAnsi"/>
        </w:rPr>
      </w:pPr>
      <w:r w:rsidRPr="001A7560">
        <w:rPr>
          <w:rFonts w:asciiTheme="minorHAnsi" w:hAnsiTheme="minorHAnsi"/>
          <w:b/>
        </w:rPr>
        <w:t>RWrP_03:</w:t>
      </w:r>
      <w:r w:rsidRPr="001A7560">
        <w:rPr>
          <w:rFonts w:asciiTheme="minorHAnsi" w:hAnsiTheme="minorHAnsi"/>
        </w:rPr>
        <w:t xml:space="preserve"> </w:t>
      </w:r>
      <w:r w:rsidRPr="001A7560">
        <w:rPr>
          <w:rFonts w:asciiTheme="minorHAnsi" w:hAnsiTheme="minorHAnsi" w:cstheme="minorHAnsi"/>
        </w:rPr>
        <w:t>działanie</w:t>
      </w:r>
      <w:r w:rsidRPr="001A7560">
        <w:rPr>
          <w:rFonts w:asciiTheme="minorHAnsi" w:hAnsiTheme="minorHAnsi"/>
        </w:rPr>
        <w:t xml:space="preserve"> nakierowane na ograniczanie spływu zanieczyszczeń z terenów zurbanizowanych;</w:t>
      </w:r>
    </w:p>
    <w:p w14:paraId="6B35EB99" w14:textId="17984CBA" w:rsidR="003D4DC3" w:rsidRPr="001A7560" w:rsidRDefault="003D4DC3" w:rsidP="003D4DC3">
      <w:pPr>
        <w:spacing w:line="276" w:lineRule="auto"/>
        <w:rPr>
          <w:rFonts w:asciiTheme="minorHAnsi" w:hAnsiTheme="minorHAnsi"/>
        </w:rPr>
      </w:pPr>
      <w:r w:rsidRPr="001A7560">
        <w:rPr>
          <w:rFonts w:asciiTheme="minorHAnsi" w:hAnsiTheme="minorHAnsi"/>
          <w:b/>
        </w:rPr>
        <w:t>RWrP_04:</w:t>
      </w:r>
      <w:r w:rsidRPr="001A7560">
        <w:rPr>
          <w:rFonts w:asciiTheme="minorHAnsi" w:hAnsiTheme="minorHAnsi"/>
        </w:rPr>
        <w:t xml:space="preserve"> działania edukacyjne dla rolników dedykowane </w:t>
      </w:r>
      <w:r w:rsidR="00DF005E">
        <w:rPr>
          <w:rFonts w:asciiTheme="minorHAnsi" w:hAnsiTheme="minorHAnsi"/>
        </w:rPr>
        <w:t>JCWP</w:t>
      </w:r>
      <w:r w:rsidRPr="001A7560">
        <w:rPr>
          <w:rFonts w:asciiTheme="minorHAnsi" w:hAnsiTheme="minorHAnsi"/>
        </w:rPr>
        <w:t>, w których zidentyfikowano źródła presji rolniczej przyczyniające się do złego stanu wód</w:t>
      </w:r>
      <w:r w:rsidRPr="001A7560">
        <w:rPr>
          <w:rFonts w:asciiTheme="minorHAnsi" w:hAnsiTheme="minorHAnsi" w:cstheme="minorHAnsi"/>
        </w:rPr>
        <w:t>;</w:t>
      </w:r>
      <w:r w:rsidRPr="001A7560">
        <w:rPr>
          <w:rFonts w:asciiTheme="minorHAnsi" w:hAnsiTheme="minorHAnsi"/>
        </w:rPr>
        <w:t xml:space="preserve"> </w:t>
      </w:r>
    </w:p>
    <w:p w14:paraId="0E9C4419" w14:textId="77777777" w:rsidR="003D4DC3" w:rsidRPr="001A7560" w:rsidRDefault="003D4DC3" w:rsidP="003D4DC3">
      <w:pPr>
        <w:spacing w:line="276" w:lineRule="auto"/>
        <w:rPr>
          <w:rFonts w:asciiTheme="minorHAnsi" w:hAnsiTheme="minorHAnsi"/>
        </w:rPr>
      </w:pPr>
      <w:r w:rsidRPr="001A7560">
        <w:rPr>
          <w:rFonts w:asciiTheme="minorHAnsi" w:hAnsiTheme="minorHAnsi"/>
          <w:b/>
        </w:rPr>
        <w:t>RWrP_06:</w:t>
      </w:r>
      <w:r w:rsidRPr="001A7560">
        <w:rPr>
          <w:rFonts w:asciiTheme="minorHAnsi" w:hAnsiTheme="minorHAnsi"/>
        </w:rPr>
        <w:t xml:space="preserve"> działania nastawione na kontrole gospodarowania wodami oraz przeglądy pozwoleń wodnoprawnych;</w:t>
      </w:r>
    </w:p>
    <w:p w14:paraId="74AD5C94" w14:textId="2CEB4764" w:rsidR="00134DF1" w:rsidRPr="001A7560" w:rsidRDefault="003D4DC3" w:rsidP="003D4DC3">
      <w:r w:rsidRPr="001A7560">
        <w:rPr>
          <w:rFonts w:asciiTheme="minorHAnsi" w:hAnsiTheme="minorHAnsi"/>
          <w:b/>
        </w:rPr>
        <w:t>RWrP_09:</w:t>
      </w:r>
      <w:r w:rsidRPr="001A7560">
        <w:rPr>
          <w:rFonts w:asciiTheme="minorHAnsi" w:hAnsiTheme="minorHAnsi"/>
        </w:rPr>
        <w:t xml:space="preserve"> działania związane z </w:t>
      </w:r>
      <w:r w:rsidR="00534B30" w:rsidRPr="00CE6A94">
        <w:rPr>
          <w:rFonts w:cs="Calibri"/>
        </w:rPr>
        <w:t xml:space="preserve">aktualizacją programu ochrony środowiska pod kątem poprawy efektywności dotyczącej ograniczania dopływu zanieczyszczeń do </w:t>
      </w:r>
      <w:r w:rsidR="00DF005E">
        <w:rPr>
          <w:rFonts w:cs="Calibri"/>
        </w:rPr>
        <w:t>JCWP</w:t>
      </w:r>
      <w:r w:rsidR="00534B30" w:rsidRPr="000412D6">
        <w:rPr>
          <w:rFonts w:asciiTheme="minorHAnsi" w:hAnsiTheme="minorHAnsi"/>
        </w:rPr>
        <w:t>.</w:t>
      </w:r>
    </w:p>
    <w:p w14:paraId="39C58118" w14:textId="03A46821" w:rsidR="00134DF1" w:rsidRPr="001A7560" w:rsidRDefault="00134DF1" w:rsidP="00134DF1">
      <w:r w:rsidRPr="001A7560">
        <w:t xml:space="preserve">Katalog działań </w:t>
      </w:r>
      <w:r w:rsidR="00DF005E">
        <w:t>JCWP</w:t>
      </w:r>
      <w:r w:rsidRPr="001A7560">
        <w:t xml:space="preserve"> RWr </w:t>
      </w:r>
      <w:r w:rsidR="00064AE0">
        <w:t>prezentuje załącznik</w:t>
      </w:r>
      <w:r w:rsidRPr="001A7560">
        <w:t xml:space="preserve"> nr </w:t>
      </w:r>
      <w:r w:rsidR="00F22207">
        <w:t>12</w:t>
      </w:r>
      <w:r w:rsidRPr="001A7560">
        <w:t xml:space="preserve"> (Katalog działań dla poszczególnych kategorii wód)</w:t>
      </w:r>
      <w:r w:rsidR="00AD3F8A" w:rsidRPr="001A7560">
        <w:t xml:space="preserve"> IIaPGW</w:t>
      </w:r>
      <w:r w:rsidRPr="001A7560">
        <w:t>.</w:t>
      </w:r>
    </w:p>
    <w:p w14:paraId="68F63BC6" w14:textId="64507AFC" w:rsidR="00134DF1" w:rsidRPr="00795F17" w:rsidRDefault="00134DF1" w:rsidP="00C53C86">
      <w:pPr>
        <w:pStyle w:val="Nagwek3"/>
      </w:pPr>
      <w:bookmarkStart w:id="692" w:name="_Toc105512699"/>
      <w:r w:rsidRPr="00795F17">
        <w:t xml:space="preserve">Katalog działań </w:t>
      </w:r>
      <w:r w:rsidR="00DF005E">
        <w:t>JCWP</w:t>
      </w:r>
      <w:r w:rsidRPr="00795F17">
        <w:t xml:space="preserve"> LW</w:t>
      </w:r>
      <w:bookmarkEnd w:id="692"/>
    </w:p>
    <w:p w14:paraId="56C0E05A" w14:textId="46D95E5C" w:rsidR="00AD3F8A" w:rsidRPr="00FC597C" w:rsidRDefault="00AD3F8A" w:rsidP="00AD3F8A">
      <w:pPr>
        <w:spacing w:line="276" w:lineRule="auto"/>
        <w:rPr>
          <w:rFonts w:asciiTheme="minorHAnsi" w:hAnsiTheme="minorHAnsi"/>
        </w:rPr>
      </w:pPr>
      <w:r w:rsidRPr="00FC597C">
        <w:rPr>
          <w:rFonts w:asciiTheme="minorHAnsi" w:hAnsiTheme="minorHAnsi"/>
        </w:rPr>
        <w:t xml:space="preserve">Katalog dla </w:t>
      </w:r>
      <w:r w:rsidR="00DF005E">
        <w:rPr>
          <w:rFonts w:asciiTheme="minorHAnsi" w:hAnsiTheme="minorHAnsi"/>
        </w:rPr>
        <w:t>JCWP</w:t>
      </w:r>
      <w:r w:rsidRPr="00FC597C">
        <w:rPr>
          <w:rFonts w:asciiTheme="minorHAnsi" w:hAnsiTheme="minorHAnsi"/>
        </w:rPr>
        <w:t xml:space="preserve"> jeziornych (LW) zbudowany został na bazie zebranych w grupy działań umożliwiających eliminację lub przynajmniej zminimalizowanie presji znaczących zidentyfikowanych w ramach pracy </w:t>
      </w:r>
      <w:r w:rsidRPr="00FC597C">
        <w:rPr>
          <w:rFonts w:asciiTheme="minorHAnsi" w:hAnsiTheme="minorHAnsi"/>
          <w:i/>
        </w:rPr>
        <w:t xml:space="preserve">Analiza znaczących oddziaływań </w:t>
      </w:r>
      <w:r w:rsidR="0096315B">
        <w:rPr>
          <w:rFonts w:asciiTheme="minorHAnsi" w:hAnsiTheme="minorHAnsi"/>
          <w:i/>
        </w:rPr>
        <w:t>–</w:t>
      </w:r>
      <w:r w:rsidRPr="00FC597C">
        <w:rPr>
          <w:rFonts w:asciiTheme="minorHAnsi" w:hAnsiTheme="minorHAnsi"/>
          <w:i/>
        </w:rPr>
        <w:t xml:space="preserve"> </w:t>
      </w:r>
      <w:r w:rsidR="00DF005E">
        <w:rPr>
          <w:rFonts w:asciiTheme="minorHAnsi" w:hAnsiTheme="minorHAnsi"/>
          <w:i/>
        </w:rPr>
        <w:t>JCWP</w:t>
      </w:r>
      <w:r w:rsidRPr="00FC597C">
        <w:rPr>
          <w:rFonts w:asciiTheme="minorHAnsi" w:hAnsiTheme="minorHAnsi"/>
          <w:i/>
        </w:rPr>
        <w:t xml:space="preserve"> (…)</w:t>
      </w:r>
      <w:r w:rsidR="00A57A31">
        <w:rPr>
          <w:rStyle w:val="Odwoanieprzypisudolnego"/>
          <w:rFonts w:asciiTheme="minorHAnsi" w:hAnsiTheme="minorHAnsi"/>
          <w:i/>
        </w:rPr>
        <w:footnoteReference w:id="97"/>
      </w:r>
      <w:r w:rsidRPr="00FC597C">
        <w:rPr>
          <w:rFonts w:asciiTheme="minorHAnsi" w:hAnsiTheme="minorHAnsi"/>
        </w:rPr>
        <w:t xml:space="preserve">. </w:t>
      </w:r>
    </w:p>
    <w:p w14:paraId="406BC0F3" w14:textId="24042CA7" w:rsidR="00AD3F8A" w:rsidRPr="00FC597C" w:rsidRDefault="00AD3F8A" w:rsidP="00AD3F8A">
      <w:pPr>
        <w:spacing w:line="276" w:lineRule="auto"/>
        <w:rPr>
          <w:rFonts w:asciiTheme="minorHAnsi" w:hAnsiTheme="minorHAnsi"/>
        </w:rPr>
      </w:pPr>
      <w:r w:rsidRPr="00FC597C">
        <w:rPr>
          <w:rFonts w:asciiTheme="minorHAnsi" w:hAnsiTheme="minorHAnsi"/>
        </w:rPr>
        <w:t xml:space="preserve">Łącznie 24 działania w katalogu działań </w:t>
      </w:r>
      <w:r w:rsidR="00DF005E">
        <w:rPr>
          <w:rFonts w:asciiTheme="minorHAnsi" w:hAnsiTheme="minorHAnsi"/>
        </w:rPr>
        <w:t>JCWP</w:t>
      </w:r>
      <w:r w:rsidRPr="00FC597C">
        <w:rPr>
          <w:rFonts w:asciiTheme="minorHAnsi" w:hAnsiTheme="minorHAnsi"/>
        </w:rPr>
        <w:t xml:space="preserve"> LW zgrupowano w następujących kategoriach:</w:t>
      </w:r>
    </w:p>
    <w:p w14:paraId="00D60578" w14:textId="1704B40D" w:rsidR="00AD3F8A" w:rsidRPr="00FC597C" w:rsidRDefault="00AD3F8A" w:rsidP="00117E86">
      <w:pPr>
        <w:pStyle w:val="Listapunktowana2"/>
      </w:pPr>
      <w:r w:rsidRPr="00FC597C">
        <w:t>kształtowanie stref buforowych</w:t>
      </w:r>
      <w:r w:rsidR="00FD0102">
        <w:t>;</w:t>
      </w:r>
    </w:p>
    <w:p w14:paraId="2D9C823E" w14:textId="2A7C27B9" w:rsidR="00AD3F8A" w:rsidRPr="00FC597C" w:rsidRDefault="00AD3F8A" w:rsidP="00117E86">
      <w:pPr>
        <w:pStyle w:val="Listapunktowana2"/>
      </w:pPr>
      <w:r w:rsidRPr="00FC597C">
        <w:t>zintegrowany system monitoringu suszy</w:t>
      </w:r>
      <w:r w:rsidR="00FD0102">
        <w:t>;</w:t>
      </w:r>
    </w:p>
    <w:p w14:paraId="683D6076" w14:textId="780CA53E" w:rsidR="00AD3F8A" w:rsidRPr="00FC597C" w:rsidRDefault="00AD3F8A" w:rsidP="00117E86">
      <w:pPr>
        <w:pStyle w:val="Listapunktowana2"/>
      </w:pPr>
      <w:r w:rsidRPr="00FC597C">
        <w:t xml:space="preserve">indywidualne programy poprawy stanu </w:t>
      </w:r>
      <w:r w:rsidR="00DF005E">
        <w:t>JCWP</w:t>
      </w:r>
      <w:r w:rsidR="00FD0102">
        <w:rPr>
          <w:rFonts w:cstheme="minorHAnsi"/>
        </w:rPr>
        <w:t>;</w:t>
      </w:r>
    </w:p>
    <w:p w14:paraId="15AA6F57" w14:textId="182C2ED7" w:rsidR="00AD3F8A" w:rsidRPr="00FC597C" w:rsidRDefault="00AD3F8A" w:rsidP="00117E86">
      <w:pPr>
        <w:pStyle w:val="Listapunktowana2"/>
      </w:pPr>
      <w:r w:rsidRPr="00FC597C">
        <w:t>edukacja i informacja</w:t>
      </w:r>
      <w:r w:rsidR="00FD0102">
        <w:t>;</w:t>
      </w:r>
    </w:p>
    <w:p w14:paraId="467E1DF1" w14:textId="720DB68F" w:rsidR="00AD3F8A" w:rsidRPr="00FC597C" w:rsidRDefault="00AD3F8A" w:rsidP="00117E86">
      <w:pPr>
        <w:pStyle w:val="Listapunktowana2"/>
      </w:pPr>
      <w:r w:rsidRPr="00FC597C">
        <w:t>gospodarka ściekowa</w:t>
      </w:r>
      <w:r w:rsidR="00FD0102">
        <w:t>;</w:t>
      </w:r>
    </w:p>
    <w:p w14:paraId="6F4F8F5F" w14:textId="13217E98" w:rsidR="00AD3F8A" w:rsidRPr="00B433E8" w:rsidRDefault="00AD3F8A" w:rsidP="00117E86">
      <w:pPr>
        <w:pStyle w:val="Listapunktowana2"/>
      </w:pPr>
      <w:r w:rsidRPr="00B433E8">
        <w:t>redukcja emisji i zrzutów substancji priorytetowych</w:t>
      </w:r>
      <w:r w:rsidR="00FD0102">
        <w:t>;</w:t>
      </w:r>
    </w:p>
    <w:p w14:paraId="5A3C3422" w14:textId="07023D67" w:rsidR="00AD3F8A" w:rsidRPr="00FC597C" w:rsidRDefault="00AD3F8A" w:rsidP="00117E86">
      <w:pPr>
        <w:pStyle w:val="Listapunktowana2"/>
      </w:pPr>
      <w:r w:rsidRPr="00FC597C">
        <w:t>ograniczenie zanieczyszczeń rozproszonych z rolnictwa</w:t>
      </w:r>
      <w:r w:rsidR="00FD0102">
        <w:t>;</w:t>
      </w:r>
    </w:p>
    <w:p w14:paraId="52A8E9AC" w14:textId="7BFA4406" w:rsidR="00AD3F8A" w:rsidRPr="00FC597C" w:rsidRDefault="00534B30" w:rsidP="00117E86">
      <w:pPr>
        <w:pStyle w:val="Listapunktowana2"/>
      </w:pPr>
      <w:r>
        <w:t>aktualizacja</w:t>
      </w:r>
      <w:r w:rsidRPr="00FC597C">
        <w:t xml:space="preserve"> </w:t>
      </w:r>
      <w:r w:rsidR="00AD3F8A" w:rsidRPr="00FC597C">
        <w:t>programu ochrony środowiska</w:t>
      </w:r>
      <w:r w:rsidR="00FD0102">
        <w:t>;</w:t>
      </w:r>
    </w:p>
    <w:p w14:paraId="351945D9" w14:textId="4B108F71" w:rsidR="00AD3F8A" w:rsidRPr="00FC597C" w:rsidRDefault="00AD3F8A" w:rsidP="00117E86">
      <w:pPr>
        <w:pStyle w:val="Listapunktowana2"/>
      </w:pPr>
      <w:r w:rsidRPr="00FC597C">
        <w:t>monitoring</w:t>
      </w:r>
      <w:r w:rsidR="00FD0102">
        <w:rPr>
          <w:rFonts w:cstheme="minorHAnsi"/>
        </w:rPr>
        <w:t>;</w:t>
      </w:r>
    </w:p>
    <w:p w14:paraId="259971EC" w14:textId="3EC323B5" w:rsidR="00AD3F8A" w:rsidRPr="00B433E8" w:rsidRDefault="00AD3F8A" w:rsidP="00117E86">
      <w:pPr>
        <w:pStyle w:val="Listapunktowana2"/>
      </w:pPr>
      <w:r w:rsidRPr="00B433E8">
        <w:t>popraw</w:t>
      </w:r>
      <w:r w:rsidR="00442826">
        <w:t>a</w:t>
      </w:r>
      <w:r w:rsidRPr="00B433E8">
        <w:t xml:space="preserve"> warunków dla obszarów chronionych.</w:t>
      </w:r>
    </w:p>
    <w:p w14:paraId="0AB42748" w14:textId="691AF673" w:rsidR="00AD3F8A" w:rsidRPr="00FC597C" w:rsidRDefault="00AD3F8A" w:rsidP="00AD3F8A">
      <w:pPr>
        <w:spacing w:line="276" w:lineRule="auto"/>
        <w:rPr>
          <w:rFonts w:asciiTheme="minorHAnsi" w:hAnsiTheme="minorHAnsi"/>
        </w:rPr>
      </w:pPr>
      <w:r w:rsidRPr="00FC597C">
        <w:rPr>
          <w:rFonts w:asciiTheme="minorHAnsi" w:hAnsiTheme="minorHAnsi"/>
        </w:rPr>
        <w:t xml:space="preserve">Najliczniejszą kategorią działań są indywidualne programy poprawy stanu </w:t>
      </w:r>
      <w:r w:rsidR="00DF005E">
        <w:rPr>
          <w:rFonts w:asciiTheme="minorHAnsi" w:hAnsiTheme="minorHAnsi"/>
        </w:rPr>
        <w:t>JCWP</w:t>
      </w:r>
      <w:r w:rsidRPr="00FC597C">
        <w:rPr>
          <w:rFonts w:asciiTheme="minorHAnsi" w:hAnsiTheme="minorHAnsi"/>
        </w:rPr>
        <w:t xml:space="preserve"> (</w:t>
      </w:r>
      <w:r w:rsidRPr="00B433E8">
        <w:rPr>
          <w:rFonts w:asciiTheme="minorHAnsi" w:hAnsiTheme="minorHAnsi" w:cstheme="minorHAnsi"/>
        </w:rPr>
        <w:t>25</w:t>
      </w:r>
      <w:r w:rsidRPr="00FC597C">
        <w:rPr>
          <w:rFonts w:asciiTheme="minorHAnsi" w:hAnsiTheme="minorHAnsi"/>
        </w:rPr>
        <w:t>% wszystkich działań w katalogu</w:t>
      </w:r>
      <w:r w:rsidRPr="00B433E8">
        <w:rPr>
          <w:rFonts w:asciiTheme="minorHAnsi" w:hAnsiTheme="minorHAnsi" w:cstheme="minorHAnsi"/>
        </w:rPr>
        <w:t>). Drugą kategorią są działania związane z poprawą warunków dla obszarów chronionych, a</w:t>
      </w:r>
      <w:r w:rsidR="00A47F01">
        <w:rPr>
          <w:rFonts w:asciiTheme="minorHAnsi" w:hAnsiTheme="minorHAnsi"/>
        </w:rPr>
        <w:t> </w:t>
      </w:r>
      <w:r w:rsidRPr="00FC597C">
        <w:rPr>
          <w:rFonts w:asciiTheme="minorHAnsi" w:hAnsiTheme="minorHAnsi"/>
        </w:rPr>
        <w:t>kolejnymi pod względem liczby działań są kategorie: gospodarka ściekowa oraz kształtowanie stref buforowych (</w:t>
      </w:r>
      <w:r w:rsidRPr="00B433E8">
        <w:rPr>
          <w:rFonts w:asciiTheme="minorHAnsi" w:hAnsiTheme="minorHAnsi" w:cstheme="minorHAnsi"/>
        </w:rPr>
        <w:t>po 12,5</w:t>
      </w:r>
      <w:r w:rsidRPr="00FC597C">
        <w:rPr>
          <w:rFonts w:asciiTheme="minorHAnsi" w:hAnsiTheme="minorHAnsi"/>
        </w:rPr>
        <w:t xml:space="preserve">%) (wykres </w:t>
      </w:r>
      <w:r>
        <w:rPr>
          <w:rFonts w:asciiTheme="minorHAnsi" w:hAnsiTheme="minorHAnsi" w:cstheme="minorHAnsi"/>
        </w:rPr>
        <w:t>12</w:t>
      </w:r>
      <w:r w:rsidRPr="00B433E8">
        <w:rPr>
          <w:rFonts w:asciiTheme="minorHAnsi" w:hAnsiTheme="minorHAnsi" w:cstheme="minorHAnsi"/>
        </w:rPr>
        <w:t xml:space="preserve">-10). </w:t>
      </w:r>
    </w:p>
    <w:p w14:paraId="40DFEB31" w14:textId="5F3D9B76" w:rsidR="00AD3F8A" w:rsidRDefault="00EF50AA" w:rsidP="006A37E5">
      <w:pPr>
        <w:jc w:val="center"/>
        <w:rPr>
          <w:rFonts w:asciiTheme="minorHAnsi" w:hAnsiTheme="minorHAnsi" w:cstheme="minorHAnsi"/>
        </w:rPr>
      </w:pPr>
      <w:r w:rsidRPr="005E1443">
        <w:rPr>
          <w:noProof/>
        </w:rPr>
        <w:drawing>
          <wp:inline distT="0" distB="0" distL="0" distR="0" wp14:anchorId="14CA2092" wp14:editId="3D5DCC47">
            <wp:extent cx="5760720" cy="3590290"/>
            <wp:effectExtent l="0" t="0" r="11430" b="10160"/>
            <wp:docPr id="85" name="Wykres 85">
              <a:extLst xmlns:a="http://schemas.openxmlformats.org/drawingml/2006/main">
                <a:ext uri="{FF2B5EF4-FFF2-40B4-BE49-F238E27FC236}">
                  <a16:creationId xmlns:a16="http://schemas.microsoft.com/office/drawing/2014/main" id="{452F544F-6CB3-47AB-8A1E-169AAD014D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694E7E81" w14:textId="25B69036" w:rsidR="00AD3F8A" w:rsidRPr="00B433E8" w:rsidRDefault="00AD3F8A" w:rsidP="00B479EE">
      <w:pPr>
        <w:pStyle w:val="Wykres"/>
      </w:pPr>
      <w:bookmarkStart w:id="693" w:name="_Toc68195519"/>
      <w:bookmarkStart w:id="694" w:name="_Toc67643663"/>
      <w:bookmarkStart w:id="695" w:name="_Toc105513019"/>
      <w:r w:rsidRPr="00B433E8">
        <w:t xml:space="preserve">Wykres </w:t>
      </w:r>
      <w:fldSimple w:instr=" STYLEREF 1 \s ">
        <w:r w:rsidR="001F774D">
          <w:rPr>
            <w:noProof/>
          </w:rPr>
          <w:t>12</w:t>
        </w:r>
      </w:fldSimple>
      <w:r w:rsidR="00FF20D3">
        <w:noBreakHyphen/>
      </w:r>
      <w:fldSimple w:instr=" SEQ Wykres \* ARABIC \s 1 ">
        <w:r w:rsidR="001F774D">
          <w:rPr>
            <w:noProof/>
          </w:rPr>
          <w:t>10</w:t>
        </w:r>
      </w:fldSimple>
      <w:r w:rsidR="002B6022">
        <w:rPr>
          <w:noProof/>
        </w:rPr>
        <w:t>.</w:t>
      </w:r>
      <w:r w:rsidRPr="00B433E8">
        <w:tab/>
        <w:t xml:space="preserve">Udział działań w poszczególnych kategoriach katalogu działań </w:t>
      </w:r>
      <w:r w:rsidR="00DF005E">
        <w:t>JCWP</w:t>
      </w:r>
      <w:bookmarkEnd w:id="693"/>
      <w:r w:rsidRPr="00DB2311">
        <w:t xml:space="preserve"> LW</w:t>
      </w:r>
      <w:bookmarkEnd w:id="694"/>
      <w:bookmarkEnd w:id="695"/>
      <w:r w:rsidR="00442826">
        <w:t xml:space="preserve"> </w:t>
      </w:r>
    </w:p>
    <w:p w14:paraId="0358148D" w14:textId="77777777" w:rsidR="00AD3F8A" w:rsidRPr="003F0E01" w:rsidRDefault="00AD3F8A" w:rsidP="00AD3F8A">
      <w:pPr>
        <w:pStyle w:val="rdo"/>
      </w:pPr>
      <w:r w:rsidRPr="003F0E01">
        <w:t>Źródło: opracowanie własne</w:t>
      </w:r>
    </w:p>
    <w:p w14:paraId="65191819" w14:textId="344C7F9B" w:rsidR="00AD3F8A" w:rsidRPr="003F0E01" w:rsidRDefault="00AD3F8A" w:rsidP="00AD3F8A">
      <w:pPr>
        <w:spacing w:line="276" w:lineRule="auto"/>
        <w:rPr>
          <w:rFonts w:asciiTheme="minorHAnsi" w:hAnsiTheme="minorHAnsi"/>
        </w:rPr>
      </w:pPr>
      <w:r w:rsidRPr="003F0E01">
        <w:rPr>
          <w:rFonts w:asciiTheme="minorHAnsi" w:hAnsiTheme="minorHAnsi"/>
        </w:rPr>
        <w:t xml:space="preserve">W ramach </w:t>
      </w:r>
      <w:r w:rsidRPr="00B433E8">
        <w:rPr>
          <w:rFonts w:asciiTheme="minorHAnsi" w:hAnsiTheme="minorHAnsi" w:cstheme="minorHAnsi"/>
        </w:rPr>
        <w:t>10</w:t>
      </w:r>
      <w:r w:rsidRPr="003F0E01">
        <w:rPr>
          <w:rFonts w:asciiTheme="minorHAnsi" w:hAnsiTheme="minorHAnsi"/>
        </w:rPr>
        <w:t xml:space="preserve"> kategorii działań zaproponowanych dla </w:t>
      </w:r>
      <w:r w:rsidR="00DF005E">
        <w:rPr>
          <w:rFonts w:asciiTheme="minorHAnsi" w:hAnsiTheme="minorHAnsi"/>
        </w:rPr>
        <w:t>JCWP</w:t>
      </w:r>
      <w:r w:rsidRPr="003F0E01">
        <w:rPr>
          <w:rFonts w:asciiTheme="minorHAnsi" w:hAnsiTheme="minorHAnsi"/>
        </w:rPr>
        <w:t xml:space="preserve"> LW wyznaczono </w:t>
      </w:r>
      <w:r w:rsidRPr="00B433E8">
        <w:rPr>
          <w:rFonts w:asciiTheme="minorHAnsi" w:hAnsiTheme="minorHAnsi" w:cstheme="minorHAnsi"/>
        </w:rPr>
        <w:t>9</w:t>
      </w:r>
      <w:r w:rsidRPr="003F0E01">
        <w:rPr>
          <w:rFonts w:asciiTheme="minorHAnsi" w:hAnsiTheme="minorHAnsi"/>
        </w:rPr>
        <w:t xml:space="preserve"> działań stanowiących działania podstawowe </w:t>
      </w:r>
      <w:r w:rsidRPr="00B433E8">
        <w:rPr>
          <w:rFonts w:asciiTheme="minorHAnsi" w:hAnsiTheme="minorHAnsi" w:cstheme="minorHAnsi"/>
        </w:rPr>
        <w:t xml:space="preserve">(37,5%) </w:t>
      </w:r>
      <w:r w:rsidRPr="003F0E01">
        <w:rPr>
          <w:rFonts w:asciiTheme="minorHAnsi" w:hAnsiTheme="minorHAnsi"/>
        </w:rPr>
        <w:t xml:space="preserve">i </w:t>
      </w:r>
      <w:r w:rsidRPr="00B433E8">
        <w:rPr>
          <w:rFonts w:asciiTheme="minorHAnsi" w:hAnsiTheme="minorHAnsi" w:cstheme="minorHAnsi"/>
        </w:rPr>
        <w:t>15</w:t>
      </w:r>
      <w:r w:rsidRPr="003F0E01">
        <w:rPr>
          <w:rFonts w:asciiTheme="minorHAnsi" w:hAnsiTheme="minorHAnsi"/>
        </w:rPr>
        <w:t xml:space="preserve"> działań uzupełniających (</w:t>
      </w:r>
      <w:r w:rsidRPr="00B433E8">
        <w:rPr>
          <w:rFonts w:asciiTheme="minorHAnsi" w:hAnsiTheme="minorHAnsi" w:cstheme="minorHAnsi"/>
        </w:rPr>
        <w:t>62,5%) (</w:t>
      </w:r>
      <w:r w:rsidRPr="003F0E01">
        <w:rPr>
          <w:rFonts w:asciiTheme="minorHAnsi" w:hAnsiTheme="minorHAnsi"/>
        </w:rPr>
        <w:t xml:space="preserve">wykres </w:t>
      </w:r>
      <w:r>
        <w:rPr>
          <w:rFonts w:asciiTheme="minorHAnsi" w:hAnsiTheme="minorHAnsi" w:cstheme="minorHAnsi"/>
        </w:rPr>
        <w:t>12-</w:t>
      </w:r>
      <w:r w:rsidRPr="00B433E8">
        <w:rPr>
          <w:rFonts w:asciiTheme="minorHAnsi" w:hAnsiTheme="minorHAnsi" w:cstheme="minorHAnsi"/>
        </w:rPr>
        <w:t>11</w:t>
      </w:r>
      <w:r w:rsidR="00113E7F">
        <w:rPr>
          <w:rFonts w:asciiTheme="minorHAnsi" w:hAnsiTheme="minorHAnsi" w:cstheme="minorHAnsi"/>
        </w:rPr>
        <w:t>, dane</w:t>
      </w:r>
      <w:r w:rsidR="00125041">
        <w:rPr>
          <w:rFonts w:asciiTheme="minorHAnsi" w:hAnsiTheme="minorHAnsi" w:cstheme="minorHAnsi"/>
        </w:rPr>
        <w:t xml:space="preserve"> prezentowane w zaokrągleniu</w:t>
      </w:r>
      <w:r w:rsidRPr="003F0E01">
        <w:rPr>
          <w:rFonts w:asciiTheme="minorHAnsi" w:hAnsiTheme="minorHAnsi"/>
        </w:rPr>
        <w:t>).</w:t>
      </w:r>
    </w:p>
    <w:p w14:paraId="381EC94B" w14:textId="5981ED5C" w:rsidR="00AD3F8A" w:rsidRDefault="00286561" w:rsidP="00AD3F8A">
      <w:pPr>
        <w:spacing w:line="276" w:lineRule="auto"/>
        <w:jc w:val="center"/>
        <w:rPr>
          <w:rFonts w:asciiTheme="minorHAnsi" w:hAnsiTheme="minorHAnsi" w:cstheme="minorHAnsi"/>
        </w:rPr>
      </w:pPr>
      <w:bookmarkStart w:id="696" w:name="_Toc66324942"/>
      <w:r>
        <w:rPr>
          <w:noProof/>
        </w:rPr>
        <w:drawing>
          <wp:inline distT="0" distB="0" distL="0" distR="0" wp14:anchorId="625CAEE4" wp14:editId="18AE3EB7">
            <wp:extent cx="4320000" cy="2520000"/>
            <wp:effectExtent l="0" t="0" r="4445" b="13970"/>
            <wp:docPr id="86" name="Wykres 86">
              <a:extLst xmlns:a="http://schemas.openxmlformats.org/drawingml/2006/main">
                <a:ext uri="{FF2B5EF4-FFF2-40B4-BE49-F238E27FC236}">
                  <a16:creationId xmlns:a16="http://schemas.microsoft.com/office/drawing/2014/main" id="{7E702322-81B7-4005-92D3-8C055694489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101D0D7A" w14:textId="67C737DD" w:rsidR="00AD3F8A" w:rsidRPr="00B433E8" w:rsidRDefault="00AD3F8A" w:rsidP="00B479EE">
      <w:pPr>
        <w:pStyle w:val="Wykres"/>
      </w:pPr>
      <w:bookmarkStart w:id="697" w:name="_Toc68195520"/>
      <w:bookmarkStart w:id="698" w:name="_Toc67643664"/>
      <w:bookmarkStart w:id="699" w:name="_Toc105513020"/>
      <w:r w:rsidRPr="00B433E8">
        <w:t xml:space="preserve">Wykres </w:t>
      </w:r>
      <w:fldSimple w:instr=" STYLEREF 1 \s ">
        <w:r w:rsidR="001F774D">
          <w:rPr>
            <w:noProof/>
          </w:rPr>
          <w:t>12</w:t>
        </w:r>
      </w:fldSimple>
      <w:r w:rsidR="00FF20D3">
        <w:noBreakHyphen/>
      </w:r>
      <w:fldSimple w:instr=" SEQ Wykres \* ARABIC \s 1 ">
        <w:r w:rsidR="001F774D">
          <w:rPr>
            <w:noProof/>
          </w:rPr>
          <w:t>11</w:t>
        </w:r>
      </w:fldSimple>
      <w:r w:rsidR="002B6022">
        <w:rPr>
          <w:noProof/>
        </w:rPr>
        <w:t>.</w:t>
      </w:r>
      <w:r w:rsidRPr="00B433E8">
        <w:tab/>
        <w:t xml:space="preserve">Udział działań podstawowych oraz uzupełniających w katalogu działań </w:t>
      </w:r>
      <w:r w:rsidR="00DF005E">
        <w:t>JCWP</w:t>
      </w:r>
      <w:r w:rsidRPr="00B433E8">
        <w:t xml:space="preserve"> LW</w:t>
      </w:r>
      <w:bookmarkEnd w:id="696"/>
      <w:bookmarkEnd w:id="697"/>
      <w:bookmarkEnd w:id="698"/>
      <w:bookmarkEnd w:id="699"/>
    </w:p>
    <w:p w14:paraId="70991CE2" w14:textId="77777777" w:rsidR="00FA706E" w:rsidRPr="003F0E01" w:rsidRDefault="00FA706E" w:rsidP="00FA706E">
      <w:pPr>
        <w:pStyle w:val="rdo"/>
      </w:pPr>
      <w:r w:rsidRPr="003F0E01">
        <w:t>Źródło: opracowanie własne</w:t>
      </w:r>
    </w:p>
    <w:p w14:paraId="5D332F77" w14:textId="4D5B100B" w:rsidR="00AD3F8A" w:rsidRPr="003F0E01" w:rsidRDefault="00AD3F8A" w:rsidP="00AD3F8A">
      <w:pPr>
        <w:spacing w:line="276" w:lineRule="auto"/>
        <w:rPr>
          <w:rFonts w:asciiTheme="minorHAnsi" w:hAnsiTheme="minorHAnsi"/>
        </w:rPr>
      </w:pPr>
      <w:r w:rsidRPr="003F0E01">
        <w:rPr>
          <w:rFonts w:asciiTheme="minorHAnsi" w:hAnsiTheme="minorHAnsi"/>
        </w:rPr>
        <w:t xml:space="preserve">Każde działanie otrzymało kod IIaPGW wskazujący na rodzaj presji. Zestawienie liczby działań poszczególnych kodów IIaPGW </w:t>
      </w:r>
      <w:r w:rsidR="00DF005E">
        <w:rPr>
          <w:rFonts w:asciiTheme="minorHAnsi" w:hAnsiTheme="minorHAnsi"/>
        </w:rPr>
        <w:t>JCWP</w:t>
      </w:r>
      <w:r w:rsidRPr="003F0E01">
        <w:rPr>
          <w:rFonts w:asciiTheme="minorHAnsi" w:hAnsiTheme="minorHAnsi"/>
        </w:rPr>
        <w:t xml:space="preserve"> LW przedstawia tabela </w:t>
      </w:r>
      <w:r>
        <w:rPr>
          <w:rFonts w:asciiTheme="minorHAnsi" w:hAnsiTheme="minorHAnsi" w:cstheme="minorHAnsi"/>
        </w:rPr>
        <w:t>12</w:t>
      </w:r>
      <w:r w:rsidRPr="00B433E8">
        <w:rPr>
          <w:rFonts w:asciiTheme="minorHAnsi" w:hAnsiTheme="minorHAnsi" w:cstheme="minorHAnsi"/>
        </w:rPr>
        <w:t xml:space="preserve">-5 i wykres </w:t>
      </w:r>
      <w:r>
        <w:rPr>
          <w:rFonts w:asciiTheme="minorHAnsi" w:hAnsiTheme="minorHAnsi" w:cstheme="minorHAnsi"/>
        </w:rPr>
        <w:t>12</w:t>
      </w:r>
      <w:r w:rsidRPr="00B433E8">
        <w:rPr>
          <w:rFonts w:asciiTheme="minorHAnsi" w:hAnsiTheme="minorHAnsi" w:cstheme="minorHAnsi"/>
        </w:rPr>
        <w:t>-</w:t>
      </w:r>
      <w:r w:rsidRPr="003F0E01">
        <w:rPr>
          <w:rFonts w:asciiTheme="minorHAnsi" w:hAnsiTheme="minorHAnsi"/>
        </w:rPr>
        <w:t>12.</w:t>
      </w:r>
    </w:p>
    <w:p w14:paraId="0FB0E07E" w14:textId="754ABE03" w:rsidR="00AD3F8A" w:rsidRPr="00B433E8" w:rsidRDefault="00AD3F8A" w:rsidP="004D7705">
      <w:pPr>
        <w:pStyle w:val="Tabela"/>
      </w:pPr>
      <w:bookmarkStart w:id="700" w:name="_Toc67488864"/>
      <w:bookmarkStart w:id="701" w:name="_Toc68195498"/>
      <w:bookmarkStart w:id="702" w:name="_Toc68123674"/>
      <w:bookmarkStart w:id="703" w:name="_Toc105512874"/>
      <w:r w:rsidRPr="00B433E8">
        <w:t xml:space="preserve">Tabela </w:t>
      </w:r>
      <w:fldSimple w:instr=" STYLEREF 1 \s ">
        <w:r w:rsidR="001F774D">
          <w:rPr>
            <w:noProof/>
          </w:rPr>
          <w:t>12</w:t>
        </w:r>
      </w:fldSimple>
      <w:r w:rsidRPr="00B433E8">
        <w:noBreakHyphen/>
      </w:r>
      <w:fldSimple w:instr=" SEQ Tabela \* ARABIC \s 1 ">
        <w:r w:rsidR="001F774D">
          <w:rPr>
            <w:noProof/>
          </w:rPr>
          <w:t>5</w:t>
        </w:r>
      </w:fldSimple>
      <w:r w:rsidR="00EB4B7B">
        <w:rPr>
          <w:noProof/>
        </w:rPr>
        <w:t>.</w:t>
      </w:r>
      <w:r w:rsidRPr="00B433E8">
        <w:tab/>
        <w:t xml:space="preserve">Liczba działań poszczególnych kodów IIaPGW </w:t>
      </w:r>
      <w:r w:rsidR="00DF005E">
        <w:t>JCWP</w:t>
      </w:r>
      <w:r w:rsidRPr="00B433E8">
        <w:t xml:space="preserve"> LW</w:t>
      </w:r>
      <w:bookmarkEnd w:id="700"/>
      <w:bookmarkEnd w:id="701"/>
      <w:bookmarkEnd w:id="702"/>
      <w:bookmarkEnd w:id="703"/>
    </w:p>
    <w:tbl>
      <w:tblPr>
        <w:tblW w:w="5000" w:type="pct"/>
        <w:jc w:val="center"/>
        <w:tblLook w:val="00A0" w:firstRow="1" w:lastRow="0" w:firstColumn="1" w:lastColumn="0" w:noHBand="0" w:noVBand="0"/>
      </w:tblPr>
      <w:tblGrid>
        <w:gridCol w:w="1704"/>
        <w:gridCol w:w="5684"/>
        <w:gridCol w:w="1674"/>
      </w:tblGrid>
      <w:tr w:rsidR="00AD3F8A" w:rsidRPr="00B433E8" w14:paraId="0C0D8D35" w14:textId="77777777" w:rsidTr="008D5A1C">
        <w:trPr>
          <w:trHeight w:val="454"/>
          <w:tblHeader/>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FA109B5" w14:textId="7608101D" w:rsidR="00AD3F8A" w:rsidRPr="00B433E8" w:rsidRDefault="00AD3F8A" w:rsidP="005842B5">
            <w:pPr>
              <w:pStyle w:val="Teksttabelinaglowek"/>
              <w:rPr>
                <w:rFonts w:cstheme="minorHAnsi"/>
              </w:rPr>
            </w:pPr>
            <w:r w:rsidRPr="00290498">
              <w:t xml:space="preserve">Kod </w:t>
            </w:r>
            <w:r w:rsidRPr="00B433E8">
              <w:rPr>
                <w:rFonts w:cstheme="minorHAnsi"/>
              </w:rPr>
              <w:t>dzia</w:t>
            </w:r>
            <w:r w:rsidR="003326A0">
              <w:rPr>
                <w:rFonts w:cstheme="minorHAnsi"/>
              </w:rPr>
              <w:t>ła</w:t>
            </w:r>
            <w:r w:rsidRPr="00B433E8">
              <w:rPr>
                <w:rFonts w:cstheme="minorHAnsi"/>
              </w:rPr>
              <w:t xml:space="preserve">nia </w:t>
            </w:r>
            <w:r w:rsidRPr="00290498">
              <w:t>IIaPGW</w:t>
            </w:r>
          </w:p>
        </w:tc>
        <w:tc>
          <w:tcPr>
            <w:tcW w:w="569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FFE269E" w14:textId="77777777" w:rsidR="00AD3F8A" w:rsidRPr="00B433E8" w:rsidRDefault="00AD3F8A" w:rsidP="005842B5">
            <w:pPr>
              <w:pStyle w:val="Teksttabelinaglowek"/>
              <w:rPr>
                <w:rFonts w:cstheme="minorHAnsi"/>
              </w:rPr>
            </w:pPr>
            <w:r w:rsidRPr="00290498">
              <w:t>Rodzaj presji</w:t>
            </w:r>
          </w:p>
        </w:tc>
        <w:tc>
          <w:tcPr>
            <w:tcW w:w="167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41C4846" w14:textId="77777777" w:rsidR="00AD3F8A" w:rsidRPr="00B433E8" w:rsidRDefault="00AD3F8A" w:rsidP="005842B5">
            <w:pPr>
              <w:pStyle w:val="Teksttabelinaglowek"/>
              <w:rPr>
                <w:rFonts w:cstheme="minorHAnsi"/>
              </w:rPr>
            </w:pPr>
            <w:r w:rsidRPr="00290498">
              <w:t>Liczba działań</w:t>
            </w:r>
          </w:p>
        </w:tc>
      </w:tr>
      <w:tr w:rsidR="00AD3F8A" w:rsidRPr="00B433E8" w14:paraId="398D5389"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EEF3AE" w14:textId="77777777" w:rsidR="00AD3F8A" w:rsidRPr="00B433E8" w:rsidRDefault="00AD3F8A" w:rsidP="005842B5">
            <w:pPr>
              <w:pStyle w:val="Teksttabelilewy"/>
            </w:pPr>
            <w:r w:rsidRPr="00B433E8">
              <w:t>LWC</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075AB7" w14:textId="77777777" w:rsidR="00AD3F8A" w:rsidRPr="00B433E8" w:rsidRDefault="00AD3F8A" w:rsidP="005842B5">
            <w:pPr>
              <w:pStyle w:val="Teksttabelilewy"/>
            </w:pPr>
            <w:r w:rsidRPr="003F0E01">
              <w:t xml:space="preserve">presje </w:t>
            </w:r>
            <w:r w:rsidRPr="00B433E8">
              <w:t>skumulowane wód</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2FE5BD" w14:textId="77777777" w:rsidR="00AD3F8A" w:rsidRPr="00B433E8" w:rsidRDefault="00AD3F8A" w:rsidP="005842B5">
            <w:pPr>
              <w:pStyle w:val="Teksttabelisrodek"/>
            </w:pPr>
            <w:r w:rsidRPr="00B433E8">
              <w:t>12</w:t>
            </w:r>
          </w:p>
        </w:tc>
      </w:tr>
      <w:tr w:rsidR="00AD3F8A" w:rsidRPr="00B433E8" w14:paraId="7BCC401E"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CA7A5E" w14:textId="77777777" w:rsidR="00AD3F8A" w:rsidRPr="003F0E01" w:rsidRDefault="00AD3F8A" w:rsidP="005842B5">
            <w:pPr>
              <w:pStyle w:val="Teksttabelilewy"/>
            </w:pPr>
            <w:r w:rsidRPr="003F0E01">
              <w:t>LWP</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C572EA" w14:textId="77777777" w:rsidR="00AD3F8A" w:rsidRPr="003F0E01" w:rsidRDefault="00AD3F8A" w:rsidP="005842B5">
            <w:pPr>
              <w:pStyle w:val="Teksttabelilewy"/>
            </w:pPr>
            <w:r w:rsidRPr="003F0E01">
              <w:t>presje chemiczne i fizykochemiczne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D66422" w14:textId="77777777" w:rsidR="00AD3F8A" w:rsidRPr="003F0E01" w:rsidRDefault="00AD3F8A" w:rsidP="005842B5">
            <w:pPr>
              <w:pStyle w:val="Teksttabelisrodek"/>
            </w:pPr>
            <w:r w:rsidRPr="003F0E01">
              <w:t>7</w:t>
            </w:r>
          </w:p>
        </w:tc>
      </w:tr>
      <w:tr w:rsidR="00AD3F8A" w:rsidRPr="00B433E8" w14:paraId="2E5998B5"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C4C1F2" w14:textId="77777777" w:rsidR="00AD3F8A" w:rsidRPr="003F0E01" w:rsidRDefault="00AD3F8A" w:rsidP="005842B5">
            <w:pPr>
              <w:pStyle w:val="Teksttabelilewy"/>
            </w:pPr>
            <w:r w:rsidRPr="00B433E8">
              <w:t>LWH</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515547" w14:textId="77777777" w:rsidR="00AD3F8A" w:rsidRPr="003F0E01" w:rsidRDefault="00AD3F8A" w:rsidP="005842B5">
            <w:pPr>
              <w:pStyle w:val="Teksttabelilewy"/>
            </w:pPr>
            <w:r w:rsidRPr="003F0E01">
              <w:t xml:space="preserve">presje </w:t>
            </w:r>
            <w:r w:rsidRPr="00B433E8">
              <w:t>hydrologiczne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416200" w14:textId="77777777" w:rsidR="00AD3F8A" w:rsidRPr="003F0E01" w:rsidRDefault="00AD3F8A" w:rsidP="005842B5">
            <w:pPr>
              <w:pStyle w:val="Teksttabelisrodek"/>
            </w:pPr>
            <w:r w:rsidRPr="00B433E8">
              <w:t>2</w:t>
            </w:r>
          </w:p>
        </w:tc>
      </w:tr>
      <w:tr w:rsidR="00AD3F8A" w:rsidRPr="00B433E8" w14:paraId="43C19BF9"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441139" w14:textId="77777777" w:rsidR="00AD3F8A" w:rsidRPr="00B433E8" w:rsidRDefault="00AD3F8A" w:rsidP="005842B5">
            <w:pPr>
              <w:pStyle w:val="Teksttabelilewy"/>
            </w:pPr>
            <w:r w:rsidRPr="00B433E8">
              <w:t>LWHM</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559DC2" w14:textId="77777777" w:rsidR="00AD3F8A" w:rsidRPr="00B433E8" w:rsidRDefault="00AD3F8A" w:rsidP="005842B5">
            <w:pPr>
              <w:pStyle w:val="Teksttabelilewy"/>
            </w:pPr>
            <w:r w:rsidRPr="00B433E8">
              <w:t>presje hydromorfologiczne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920473" w14:textId="77777777" w:rsidR="00AD3F8A" w:rsidRPr="00B433E8" w:rsidRDefault="00AD3F8A" w:rsidP="005842B5">
            <w:pPr>
              <w:pStyle w:val="Teksttabelisrodek"/>
            </w:pPr>
            <w:r w:rsidRPr="00B433E8">
              <w:t>3</w:t>
            </w:r>
          </w:p>
        </w:tc>
      </w:tr>
      <w:tr w:rsidR="00AD3F8A" w:rsidRPr="00B433E8" w14:paraId="59BB1D83" w14:textId="77777777" w:rsidTr="008D5A1C">
        <w:trPr>
          <w:trHeight w:val="454"/>
          <w:jc w:val="center"/>
        </w:trPr>
        <w:tc>
          <w:tcPr>
            <w:tcW w:w="7397" w:type="dxa"/>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5898462" w14:textId="77777777" w:rsidR="00AD3F8A" w:rsidRPr="003F0E01" w:rsidRDefault="00AD3F8A" w:rsidP="005842B5">
            <w:pPr>
              <w:pStyle w:val="Teksttabelinaglowek"/>
            </w:pPr>
            <w:r w:rsidRPr="003F0E01">
              <w:t>Razem</w:t>
            </w:r>
          </w:p>
        </w:tc>
        <w:tc>
          <w:tcPr>
            <w:tcW w:w="167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7A89724" w14:textId="77777777" w:rsidR="00AD3F8A" w:rsidRPr="00290498" w:rsidRDefault="00AD3F8A" w:rsidP="005842B5">
            <w:pPr>
              <w:pStyle w:val="Teksttabelinaglowek"/>
            </w:pPr>
            <w:r w:rsidRPr="00290498">
              <w:t>24</w:t>
            </w:r>
          </w:p>
        </w:tc>
      </w:tr>
    </w:tbl>
    <w:p w14:paraId="7A6817D5" w14:textId="77777777" w:rsidR="00AD3F8A" w:rsidRDefault="00AD3F8A" w:rsidP="00AD3F8A">
      <w:pPr>
        <w:pStyle w:val="rdo"/>
      </w:pPr>
      <w:r w:rsidRPr="00C22FBA">
        <w:t>Źródło: opracowanie własne</w:t>
      </w:r>
    </w:p>
    <w:p w14:paraId="06674024" w14:textId="77777777" w:rsidR="00AD3F8A" w:rsidRPr="00C22FBA" w:rsidRDefault="00AD3F8A" w:rsidP="00DB7356"/>
    <w:p w14:paraId="374C4F0F" w14:textId="77777777" w:rsidR="001D57EC" w:rsidRPr="00AB5553" w:rsidRDefault="00AD3F8A" w:rsidP="001D57EC">
      <w:pPr>
        <w:keepNext/>
        <w:spacing w:line="276" w:lineRule="auto"/>
        <w:jc w:val="center"/>
      </w:pPr>
      <w:r>
        <w:rPr>
          <w:noProof/>
        </w:rPr>
        <w:drawing>
          <wp:inline distT="0" distB="0" distL="0" distR="0" wp14:anchorId="17D5C593" wp14:editId="31E6ACA8">
            <wp:extent cx="4320000" cy="2520000"/>
            <wp:effectExtent l="0" t="0" r="4445" b="13970"/>
            <wp:docPr id="1866059356" name="Wykres 1866059356">
              <a:extLst xmlns:a="http://schemas.openxmlformats.org/drawingml/2006/main">
                <a:ext uri="{FF2B5EF4-FFF2-40B4-BE49-F238E27FC236}">
                  <a16:creationId xmlns:a16="http://schemas.microsoft.com/office/drawing/2014/main" id="{2A72F3B5-F73B-4682-8C12-7C317B65F8A1}"/>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42145EFF" w14:textId="60B707BA" w:rsidR="00AD3F8A" w:rsidRPr="00AB5553" w:rsidRDefault="001D57EC" w:rsidP="001D57EC">
      <w:pPr>
        <w:pStyle w:val="Wykres"/>
      </w:pPr>
      <w:bookmarkStart w:id="704" w:name="_Toc105513021"/>
      <w:r w:rsidRPr="00AB5553">
        <w:t xml:space="preserve">Wykres </w:t>
      </w:r>
      <w:fldSimple w:instr=" STYLEREF 1 \s ">
        <w:r w:rsidR="001F774D">
          <w:rPr>
            <w:noProof/>
          </w:rPr>
          <w:t>12</w:t>
        </w:r>
      </w:fldSimple>
      <w:r w:rsidR="00FF20D3">
        <w:noBreakHyphen/>
      </w:r>
      <w:fldSimple w:instr=" SEQ Wykres \* ARABIC \s 1 ">
        <w:r w:rsidR="001F774D">
          <w:rPr>
            <w:noProof/>
          </w:rPr>
          <w:t>12</w:t>
        </w:r>
      </w:fldSimple>
      <w:r w:rsidR="002B6022">
        <w:rPr>
          <w:noProof/>
        </w:rPr>
        <w:t>.</w:t>
      </w:r>
      <w:r w:rsidRPr="00AB5553">
        <w:tab/>
        <w:t>Udział działań ukierunkowanych na redukcję poszczególnych rodzajów presji</w:t>
      </w:r>
      <w:bookmarkEnd w:id="704"/>
    </w:p>
    <w:p w14:paraId="20C87CF7" w14:textId="77777777" w:rsidR="00AD3F8A" w:rsidRPr="00B433E8" w:rsidRDefault="00AD3F8A" w:rsidP="00AD3F8A">
      <w:pPr>
        <w:pStyle w:val="rdo"/>
      </w:pPr>
      <w:r w:rsidRPr="00B433E8">
        <w:t>Źródło: opracowanie własne</w:t>
      </w:r>
    </w:p>
    <w:p w14:paraId="466ED7D0" w14:textId="77777777" w:rsidR="00AD3F8A" w:rsidRPr="003F0E01" w:rsidRDefault="00AD3F8A" w:rsidP="00AD3F8A">
      <w:pPr>
        <w:spacing w:line="276" w:lineRule="auto"/>
        <w:rPr>
          <w:rFonts w:asciiTheme="minorHAnsi" w:hAnsiTheme="minorHAnsi"/>
        </w:rPr>
      </w:pPr>
      <w:r w:rsidRPr="00B433E8">
        <w:rPr>
          <w:rFonts w:asciiTheme="minorHAnsi" w:hAnsiTheme="minorHAnsi" w:cstheme="minorHAnsi"/>
        </w:rPr>
        <w:t>Do</w:t>
      </w:r>
      <w:r w:rsidRPr="003F0E01">
        <w:rPr>
          <w:rFonts w:asciiTheme="minorHAnsi" w:hAnsiTheme="minorHAnsi"/>
        </w:rPr>
        <w:t xml:space="preserve"> działań </w:t>
      </w:r>
      <w:r w:rsidRPr="00B433E8">
        <w:rPr>
          <w:rFonts w:asciiTheme="minorHAnsi" w:hAnsiTheme="minorHAnsi" w:cstheme="minorHAnsi"/>
        </w:rPr>
        <w:t>z</w:t>
      </w:r>
      <w:r w:rsidRPr="003F0E01">
        <w:rPr>
          <w:rFonts w:asciiTheme="minorHAnsi" w:hAnsiTheme="minorHAnsi"/>
        </w:rPr>
        <w:t xml:space="preserve"> kategorii </w:t>
      </w:r>
      <w:r w:rsidRPr="00B433E8">
        <w:rPr>
          <w:rFonts w:asciiTheme="minorHAnsi" w:hAnsiTheme="minorHAnsi" w:cstheme="minorHAnsi"/>
        </w:rPr>
        <w:t>oznaczonej kodem LWHM należą</w:t>
      </w:r>
      <w:r w:rsidRPr="003F0E01">
        <w:rPr>
          <w:rFonts w:asciiTheme="minorHAnsi" w:hAnsiTheme="minorHAnsi"/>
        </w:rPr>
        <w:t xml:space="preserve"> działania ukierunkowane na eliminację presji hydromorfologicznych. Wśród nich wskazano następujące grupy działań:</w:t>
      </w:r>
    </w:p>
    <w:p w14:paraId="255A165D" w14:textId="0529CE02" w:rsidR="00AD3F8A" w:rsidRPr="003F0E01" w:rsidRDefault="00AD3F8A" w:rsidP="00AD3F8A">
      <w:pPr>
        <w:spacing w:line="276" w:lineRule="auto"/>
        <w:rPr>
          <w:rFonts w:asciiTheme="minorHAnsi" w:hAnsiTheme="minorHAnsi"/>
        </w:rPr>
      </w:pPr>
      <w:r w:rsidRPr="003F0E01">
        <w:rPr>
          <w:rFonts w:asciiTheme="minorHAnsi" w:hAnsiTheme="minorHAnsi"/>
          <w:b/>
        </w:rPr>
        <w:t>LWHM_01:</w:t>
      </w:r>
      <w:r w:rsidRPr="003F0E01">
        <w:rPr>
          <w:rFonts w:asciiTheme="minorHAnsi" w:hAnsiTheme="minorHAnsi"/>
        </w:rPr>
        <w:t xml:space="preserve"> </w:t>
      </w:r>
      <w:r w:rsidR="00CB325A">
        <w:rPr>
          <w:rFonts w:asciiTheme="minorHAnsi" w:hAnsiTheme="minorHAnsi" w:cstheme="minorHAnsi"/>
        </w:rPr>
        <w:t>g</w:t>
      </w:r>
      <w:r w:rsidRPr="00B433E8">
        <w:rPr>
          <w:rFonts w:asciiTheme="minorHAnsi" w:hAnsiTheme="minorHAnsi" w:cstheme="minorHAnsi"/>
        </w:rPr>
        <w:t>rupa</w:t>
      </w:r>
      <w:r w:rsidRPr="003F0E01">
        <w:rPr>
          <w:rFonts w:asciiTheme="minorHAnsi" w:hAnsiTheme="minorHAnsi"/>
        </w:rPr>
        <w:t xml:space="preserve"> działań mająca na celu poprawę warunków siedliskowych w strefie brzegowej jezior, w tym także stworzenie strefy ekotonowej i buforowej. Działania te wskazane są do</w:t>
      </w:r>
      <w:r w:rsidR="006938C2">
        <w:rPr>
          <w:rFonts w:asciiTheme="minorHAnsi" w:hAnsiTheme="minorHAnsi"/>
        </w:rPr>
        <w:t> </w:t>
      </w:r>
      <w:r w:rsidRPr="003F0E01">
        <w:rPr>
          <w:rFonts w:asciiTheme="minorHAnsi" w:hAnsiTheme="minorHAnsi"/>
        </w:rPr>
        <w:t xml:space="preserve">realizacji na brzegu zbiorników, w odległości do 15 m od linii brzegowej i mają na celu optymalizację funkcjonowania strefy buforowej, w tym zwiększenie różnorodności biologicznej oraz ograniczenie negatywnych oddziaływań związanych ze spływem powierzchniowym </w:t>
      </w:r>
      <w:r w:rsidR="00254584" w:rsidRPr="003F0E01">
        <w:rPr>
          <w:rFonts w:asciiTheme="minorHAnsi" w:hAnsiTheme="minorHAnsi"/>
        </w:rPr>
        <w:t xml:space="preserve">odkładanej materii organicznej </w:t>
      </w:r>
      <w:r w:rsidRPr="003F0E01">
        <w:rPr>
          <w:rFonts w:asciiTheme="minorHAnsi" w:hAnsiTheme="minorHAnsi"/>
        </w:rPr>
        <w:t xml:space="preserve">z terenów sąsiednich </w:t>
      </w:r>
      <w:r w:rsidR="0049279B">
        <w:rPr>
          <w:rFonts w:asciiTheme="minorHAnsi" w:hAnsiTheme="minorHAnsi"/>
        </w:rPr>
        <w:t>do</w:t>
      </w:r>
      <w:r w:rsidRPr="003F0E01">
        <w:rPr>
          <w:rFonts w:asciiTheme="minorHAnsi" w:hAnsiTheme="minorHAnsi"/>
        </w:rPr>
        <w:t xml:space="preserve"> jezior. Prawidłowo zorganizowana strefa pozwala na ograniczenie rozwoju gatunków inwazyjnych oraz zarastania jeziora</w:t>
      </w:r>
      <w:r w:rsidR="00417982">
        <w:rPr>
          <w:rFonts w:asciiTheme="minorHAnsi" w:hAnsiTheme="minorHAnsi"/>
        </w:rPr>
        <w:t>;</w:t>
      </w:r>
      <w:r w:rsidRPr="003F0E01">
        <w:rPr>
          <w:rFonts w:asciiTheme="minorHAnsi" w:hAnsiTheme="minorHAnsi"/>
        </w:rPr>
        <w:t xml:space="preserve"> </w:t>
      </w:r>
    </w:p>
    <w:p w14:paraId="0C18B26C" w14:textId="7A267584" w:rsidR="00AD3F8A" w:rsidRPr="003F0E01" w:rsidRDefault="00AD3F8A" w:rsidP="00AD3F8A">
      <w:pPr>
        <w:spacing w:line="276" w:lineRule="auto"/>
        <w:rPr>
          <w:rFonts w:asciiTheme="minorHAnsi" w:hAnsiTheme="minorHAnsi"/>
        </w:rPr>
      </w:pPr>
      <w:r w:rsidRPr="003F0E01">
        <w:rPr>
          <w:rFonts w:asciiTheme="minorHAnsi" w:hAnsiTheme="minorHAnsi"/>
          <w:b/>
        </w:rPr>
        <w:t>LWHM_02:</w:t>
      </w:r>
      <w:r w:rsidRPr="003F0E01">
        <w:rPr>
          <w:rFonts w:asciiTheme="minorHAnsi" w:hAnsiTheme="minorHAnsi"/>
        </w:rPr>
        <w:t xml:space="preserve"> </w:t>
      </w:r>
      <w:r w:rsidR="00CB325A">
        <w:rPr>
          <w:rFonts w:asciiTheme="minorHAnsi" w:hAnsiTheme="minorHAnsi"/>
        </w:rPr>
        <w:t>p</w:t>
      </w:r>
      <w:r w:rsidRPr="003F0E01">
        <w:rPr>
          <w:rFonts w:asciiTheme="minorHAnsi" w:hAnsiTheme="minorHAnsi"/>
        </w:rPr>
        <w:t>oprawa warunków siedliskowych w strefie litoralnej to działania wskazane do realizacji w</w:t>
      </w:r>
      <w:r w:rsidRPr="00B433E8">
        <w:rPr>
          <w:rFonts w:asciiTheme="minorHAnsi" w:hAnsiTheme="minorHAnsi" w:cstheme="minorHAnsi"/>
        </w:rPr>
        <w:t> </w:t>
      </w:r>
      <w:r w:rsidRPr="003F0E01">
        <w:rPr>
          <w:rFonts w:asciiTheme="minorHAnsi" w:hAnsiTheme="minorHAnsi"/>
        </w:rPr>
        <w:t>strefie litoralnej jezior, mające na celu optymalizację funkcjonowania litoralu pod względem zróżnicowania warunków siedliskowych, w tym ichtiofauny, a także zdolności absorpcji związków biogennych. Działania z tej grupy dedykowane są również jeziorom zarastającym lub z dominacją monokultur trzcinowych</w:t>
      </w:r>
      <w:r w:rsidR="00417982">
        <w:rPr>
          <w:rFonts w:asciiTheme="minorHAnsi" w:hAnsiTheme="minorHAnsi"/>
        </w:rPr>
        <w:t>;</w:t>
      </w:r>
    </w:p>
    <w:p w14:paraId="2A819B66" w14:textId="30774170" w:rsidR="00AD3F8A" w:rsidRPr="003F0E01" w:rsidRDefault="00AD3F8A" w:rsidP="00AD3F8A">
      <w:pPr>
        <w:spacing w:line="276" w:lineRule="auto"/>
        <w:rPr>
          <w:rFonts w:asciiTheme="minorHAnsi" w:hAnsiTheme="minorHAnsi"/>
        </w:rPr>
      </w:pPr>
      <w:r w:rsidRPr="00B433E8">
        <w:rPr>
          <w:rFonts w:asciiTheme="minorHAnsi" w:hAnsiTheme="minorHAnsi" w:cstheme="minorHAnsi"/>
        </w:rPr>
        <w:t>Kolejną kategorię działań stanowią</w:t>
      </w:r>
      <w:r w:rsidRPr="003F0E01">
        <w:rPr>
          <w:rFonts w:asciiTheme="minorHAnsi" w:hAnsiTheme="minorHAnsi"/>
        </w:rPr>
        <w:t xml:space="preserve"> działania ukierunkowane na ograniczenie presji hydrologicznych</w:t>
      </w:r>
      <w:r w:rsidRPr="00B433E8">
        <w:rPr>
          <w:rFonts w:asciiTheme="minorHAnsi" w:hAnsiTheme="minorHAnsi" w:cstheme="minorHAnsi"/>
        </w:rPr>
        <w:t xml:space="preserve"> tj. grupa </w:t>
      </w:r>
      <w:r w:rsidRPr="00B433E8">
        <w:rPr>
          <w:rFonts w:asciiTheme="minorHAnsi" w:hAnsiTheme="minorHAnsi" w:cstheme="minorHAnsi"/>
          <w:b/>
        </w:rPr>
        <w:t>LWH_</w:t>
      </w:r>
      <w:r w:rsidR="000B754A">
        <w:rPr>
          <w:rFonts w:asciiTheme="minorHAnsi" w:hAnsiTheme="minorHAnsi" w:cstheme="minorHAnsi"/>
          <w:b/>
        </w:rPr>
        <w:t>0</w:t>
      </w:r>
      <w:r w:rsidRPr="00B433E8">
        <w:rPr>
          <w:rFonts w:asciiTheme="minorHAnsi" w:hAnsiTheme="minorHAnsi" w:cstheme="minorHAnsi"/>
          <w:b/>
        </w:rPr>
        <w:t>2</w:t>
      </w:r>
      <w:r w:rsidR="00417982">
        <w:rPr>
          <w:rFonts w:asciiTheme="minorHAnsi" w:hAnsiTheme="minorHAnsi"/>
          <w:b/>
        </w:rPr>
        <w:t>;</w:t>
      </w:r>
    </w:p>
    <w:p w14:paraId="49335A71" w14:textId="77777777" w:rsidR="00AD3F8A" w:rsidRPr="003F0E01" w:rsidRDefault="00AD3F8A" w:rsidP="00AD3F8A">
      <w:pPr>
        <w:spacing w:line="276" w:lineRule="auto"/>
        <w:rPr>
          <w:rFonts w:asciiTheme="minorHAnsi" w:hAnsiTheme="minorHAnsi"/>
        </w:rPr>
      </w:pPr>
      <w:r w:rsidRPr="00B433E8">
        <w:rPr>
          <w:rFonts w:asciiTheme="minorHAnsi" w:hAnsiTheme="minorHAnsi" w:cstheme="minorHAnsi"/>
        </w:rPr>
        <w:t xml:space="preserve">Działania z grup </w:t>
      </w:r>
      <w:r w:rsidRPr="003F0E01">
        <w:rPr>
          <w:rFonts w:asciiTheme="minorHAnsi" w:hAnsiTheme="minorHAnsi"/>
        </w:rPr>
        <w:t>LWP</w:t>
      </w:r>
      <w:r w:rsidRPr="00B433E8">
        <w:rPr>
          <w:rFonts w:asciiTheme="minorHAnsi" w:hAnsiTheme="minorHAnsi" w:cstheme="minorHAnsi"/>
        </w:rPr>
        <w:t xml:space="preserve"> to</w:t>
      </w:r>
      <w:r w:rsidRPr="003F0E01">
        <w:rPr>
          <w:rFonts w:asciiTheme="minorHAnsi" w:hAnsiTheme="minorHAnsi"/>
        </w:rPr>
        <w:t xml:space="preserve"> działania ukierunkowane na likwidację presji fizykochemicznych i</w:t>
      </w:r>
      <w:r w:rsidRPr="00B433E8">
        <w:rPr>
          <w:rFonts w:asciiTheme="minorHAnsi" w:hAnsiTheme="minorHAnsi" w:cstheme="minorHAnsi"/>
        </w:rPr>
        <w:t> </w:t>
      </w:r>
      <w:r w:rsidRPr="003F0E01">
        <w:rPr>
          <w:rFonts w:asciiTheme="minorHAnsi" w:hAnsiTheme="minorHAnsi"/>
        </w:rPr>
        <w:t>chemicznych. Wśród nich wskazano następujące grupy działań:</w:t>
      </w:r>
    </w:p>
    <w:p w14:paraId="52217857" w14:textId="51ECA47F" w:rsidR="00AD3F8A" w:rsidRPr="003F0E01" w:rsidRDefault="00AD3F8A" w:rsidP="00AD3F8A">
      <w:pPr>
        <w:spacing w:line="276" w:lineRule="auto"/>
        <w:rPr>
          <w:rFonts w:asciiTheme="minorHAnsi" w:hAnsiTheme="minorHAnsi"/>
        </w:rPr>
      </w:pPr>
      <w:r w:rsidRPr="003F0E01">
        <w:rPr>
          <w:rFonts w:asciiTheme="minorHAnsi" w:hAnsiTheme="minorHAnsi"/>
          <w:b/>
        </w:rPr>
        <w:t>LWP_01 i LWP_02:</w:t>
      </w:r>
      <w:r w:rsidRPr="003F0E01">
        <w:rPr>
          <w:rFonts w:asciiTheme="minorHAnsi" w:hAnsiTheme="minorHAnsi"/>
        </w:rPr>
        <w:t xml:space="preserve"> ukierunkowane na presje związane z</w:t>
      </w:r>
      <w:r w:rsidRPr="00B433E8">
        <w:rPr>
          <w:rFonts w:asciiTheme="minorHAnsi" w:hAnsiTheme="minorHAnsi" w:cstheme="minorHAnsi"/>
        </w:rPr>
        <w:t> </w:t>
      </w:r>
      <w:r w:rsidRPr="003F0E01">
        <w:rPr>
          <w:rFonts w:asciiTheme="minorHAnsi" w:hAnsiTheme="minorHAnsi"/>
        </w:rPr>
        <w:t xml:space="preserve">działalnością rolniczą. </w:t>
      </w:r>
      <w:r w:rsidRPr="00B433E8">
        <w:rPr>
          <w:rFonts w:asciiTheme="minorHAnsi" w:hAnsiTheme="minorHAnsi" w:cstheme="minorHAnsi"/>
        </w:rPr>
        <w:t>LWP_01 dotyczy promocji</w:t>
      </w:r>
      <w:r w:rsidRPr="003F0E01">
        <w:rPr>
          <w:rFonts w:asciiTheme="minorHAnsi" w:hAnsiTheme="minorHAnsi"/>
        </w:rPr>
        <w:t xml:space="preserve"> działań wynikające ze zbioru zaleceń dobrych praktyk rolniczych dotyczących ograniczenia zanieczyszczenia związkami azotu, w tym w szczególności działania ograniczające migrację biogenów wraz ze spływem powierzchniowym oraz działania wynikające z</w:t>
      </w:r>
      <w:r w:rsidRPr="00B433E8">
        <w:rPr>
          <w:rFonts w:asciiTheme="minorHAnsi" w:hAnsiTheme="minorHAnsi" w:cstheme="minorHAnsi"/>
        </w:rPr>
        <w:t xml:space="preserve"> </w:t>
      </w:r>
      <w:r w:rsidRPr="003F0E01">
        <w:rPr>
          <w:rFonts w:asciiTheme="minorHAnsi" w:hAnsiTheme="minorHAnsi"/>
        </w:rPr>
        <w:t xml:space="preserve">Kodeksu doradczego dobrej praktyki rolniczej dotyczące ograniczenia emisji amoniaku </w:t>
      </w:r>
      <w:r w:rsidRPr="00B433E8">
        <w:rPr>
          <w:rFonts w:asciiTheme="minorHAnsi" w:hAnsiTheme="minorHAnsi" w:cstheme="minorHAnsi"/>
        </w:rPr>
        <w:t>m</w:t>
      </w:r>
      <w:r w:rsidRPr="003F0E01">
        <w:rPr>
          <w:rFonts w:asciiTheme="minorHAnsi" w:hAnsiTheme="minorHAnsi"/>
        </w:rPr>
        <w:t>.in. poprzez edukację</w:t>
      </w:r>
      <w:r w:rsidR="0096315B">
        <w:rPr>
          <w:rFonts w:asciiTheme="minorHAnsi" w:hAnsiTheme="minorHAnsi" w:cstheme="minorHAnsi"/>
        </w:rPr>
        <w:t>;</w:t>
      </w:r>
      <w:r w:rsidR="00524178">
        <w:rPr>
          <w:rFonts w:asciiTheme="minorHAnsi" w:hAnsiTheme="minorHAnsi" w:cstheme="minorHAnsi"/>
        </w:rPr>
        <w:t xml:space="preserve"> </w:t>
      </w:r>
      <w:r w:rsidRPr="00B433E8">
        <w:rPr>
          <w:rFonts w:asciiTheme="minorHAnsi" w:hAnsiTheme="minorHAnsi" w:cstheme="minorHAnsi"/>
        </w:rPr>
        <w:t>LWP_02 dotyczy</w:t>
      </w:r>
      <w:r w:rsidRPr="003F0E01">
        <w:rPr>
          <w:rFonts w:asciiTheme="minorHAnsi" w:hAnsiTheme="minorHAnsi"/>
        </w:rPr>
        <w:t xml:space="preserve"> działań</w:t>
      </w:r>
      <w:r w:rsidRPr="00B433E8">
        <w:rPr>
          <w:rFonts w:asciiTheme="minorHAnsi" w:hAnsiTheme="minorHAnsi" w:cstheme="minorHAnsi"/>
        </w:rPr>
        <w:t xml:space="preserve"> kontrolnych przestrzegania warunków stosowania środków ochrony roślin</w:t>
      </w:r>
      <w:r w:rsidR="00417982">
        <w:rPr>
          <w:rFonts w:asciiTheme="minorHAnsi" w:hAnsiTheme="minorHAnsi" w:cstheme="minorHAnsi"/>
        </w:rPr>
        <w:t>;</w:t>
      </w:r>
      <w:r w:rsidRPr="00B433E8">
        <w:rPr>
          <w:rFonts w:asciiTheme="minorHAnsi" w:hAnsiTheme="minorHAnsi" w:cstheme="minorHAnsi"/>
        </w:rPr>
        <w:t xml:space="preserve"> </w:t>
      </w:r>
    </w:p>
    <w:p w14:paraId="691292E5" w14:textId="7E6F796B" w:rsidR="00AD3F8A" w:rsidRPr="003F0E01" w:rsidRDefault="00AD3F8A" w:rsidP="00AD3F8A">
      <w:pPr>
        <w:spacing w:line="276" w:lineRule="auto"/>
        <w:rPr>
          <w:rFonts w:asciiTheme="minorHAnsi" w:hAnsiTheme="minorHAnsi"/>
        </w:rPr>
      </w:pPr>
      <w:r w:rsidRPr="003F0E01">
        <w:rPr>
          <w:rFonts w:asciiTheme="minorHAnsi" w:hAnsiTheme="minorHAnsi"/>
          <w:b/>
        </w:rPr>
        <w:t>LWP_06, LWP_07, LWP_10:</w:t>
      </w:r>
      <w:r w:rsidRPr="003F0E01">
        <w:rPr>
          <w:rFonts w:asciiTheme="minorHAnsi" w:hAnsiTheme="minorHAnsi"/>
        </w:rPr>
        <w:t xml:space="preserve"> grupy działań dedykowane poprawie stanu gospodarki wodnościekowej na terenie zlewni jeziornych</w:t>
      </w:r>
      <w:r w:rsidR="00BB73F4">
        <w:rPr>
          <w:rFonts w:asciiTheme="minorHAnsi" w:hAnsiTheme="minorHAnsi"/>
        </w:rPr>
        <w:t>;</w:t>
      </w:r>
    </w:p>
    <w:p w14:paraId="089A4D9C" w14:textId="7FF93D3F" w:rsidR="00AD3F8A" w:rsidRPr="003F0E01" w:rsidRDefault="00AD3F8A" w:rsidP="00AD3F8A">
      <w:pPr>
        <w:spacing w:line="276" w:lineRule="auto"/>
        <w:rPr>
          <w:rFonts w:asciiTheme="minorHAnsi" w:hAnsiTheme="minorHAnsi"/>
        </w:rPr>
      </w:pPr>
      <w:r w:rsidRPr="003F0E01">
        <w:rPr>
          <w:rFonts w:asciiTheme="minorHAnsi" w:hAnsiTheme="minorHAnsi"/>
          <w:b/>
        </w:rPr>
        <w:t xml:space="preserve">LWP_08: </w:t>
      </w:r>
      <w:r w:rsidRPr="003F0E01">
        <w:rPr>
          <w:rFonts w:asciiTheme="minorHAnsi" w:hAnsiTheme="minorHAnsi"/>
        </w:rPr>
        <w:t xml:space="preserve">grupa działań obejmująca wskazanie do </w:t>
      </w:r>
      <w:r w:rsidR="00286561">
        <w:rPr>
          <w:rFonts w:asciiTheme="minorHAnsi" w:hAnsiTheme="minorHAnsi"/>
        </w:rPr>
        <w:t xml:space="preserve">aktualizacji </w:t>
      </w:r>
      <w:r w:rsidRPr="003F0E01">
        <w:rPr>
          <w:rFonts w:asciiTheme="minorHAnsi" w:hAnsiTheme="minorHAnsi"/>
        </w:rPr>
        <w:t xml:space="preserve">programu ochrony środowiska pod kątem poprawy efektywności ograniczania dopływu zanieczyszczeń do </w:t>
      </w:r>
      <w:r w:rsidR="00DF005E">
        <w:rPr>
          <w:rFonts w:asciiTheme="minorHAnsi" w:hAnsiTheme="minorHAnsi"/>
        </w:rPr>
        <w:t>JCWP</w:t>
      </w:r>
      <w:r w:rsidR="00BB73F4">
        <w:rPr>
          <w:rFonts w:asciiTheme="minorHAnsi" w:hAnsiTheme="minorHAnsi"/>
        </w:rPr>
        <w:t>;</w:t>
      </w:r>
    </w:p>
    <w:p w14:paraId="22A01B29" w14:textId="0EF1E8C7" w:rsidR="00AD3F8A" w:rsidRPr="003F0E01" w:rsidRDefault="00AD3F8A" w:rsidP="00AD3F8A">
      <w:pPr>
        <w:spacing w:line="276" w:lineRule="auto"/>
        <w:rPr>
          <w:rFonts w:asciiTheme="minorHAnsi" w:hAnsiTheme="minorHAnsi"/>
        </w:rPr>
      </w:pPr>
      <w:r w:rsidRPr="003F0E01">
        <w:rPr>
          <w:rFonts w:asciiTheme="minorHAnsi" w:hAnsiTheme="minorHAnsi"/>
          <w:b/>
        </w:rPr>
        <w:t>LWP_09</w:t>
      </w:r>
      <w:r w:rsidRPr="003F0E01">
        <w:rPr>
          <w:rFonts w:asciiTheme="minorHAnsi" w:hAnsiTheme="minorHAnsi"/>
        </w:rPr>
        <w:t xml:space="preserve">: działania </w:t>
      </w:r>
      <w:r w:rsidRPr="00B433E8">
        <w:rPr>
          <w:rFonts w:asciiTheme="minorHAnsi" w:hAnsiTheme="minorHAnsi" w:cstheme="minorHAnsi"/>
        </w:rPr>
        <w:t xml:space="preserve">nastawione na </w:t>
      </w:r>
      <w:r w:rsidRPr="003F0E01">
        <w:rPr>
          <w:rFonts w:asciiTheme="minorHAnsi" w:hAnsiTheme="minorHAnsi"/>
        </w:rPr>
        <w:t>k</w:t>
      </w:r>
      <w:r w:rsidRPr="009F7F19">
        <w:rPr>
          <w:rFonts w:asciiTheme="minorHAnsi" w:hAnsiTheme="minorHAnsi"/>
          <w:shd w:val="clear" w:color="auto" w:fill="FFFFFF"/>
        </w:rPr>
        <w:t xml:space="preserve">ontrole </w:t>
      </w:r>
      <w:r w:rsidRPr="009F7F19">
        <w:rPr>
          <w:rFonts w:asciiTheme="minorHAnsi" w:hAnsiTheme="minorHAnsi" w:cstheme="minorHAnsi"/>
          <w:shd w:val="clear" w:color="auto" w:fill="FFFFFF"/>
        </w:rPr>
        <w:t>gospodarowania wodami</w:t>
      </w:r>
      <w:r w:rsidRPr="009F7F19">
        <w:rPr>
          <w:rFonts w:asciiTheme="minorHAnsi" w:hAnsiTheme="minorHAnsi"/>
          <w:shd w:val="clear" w:color="auto" w:fill="FFFFFF"/>
        </w:rPr>
        <w:t xml:space="preserve"> oraz przeglądy pozwoleń </w:t>
      </w:r>
      <w:r w:rsidRPr="009F7F19">
        <w:rPr>
          <w:rFonts w:asciiTheme="minorHAnsi" w:hAnsiTheme="minorHAnsi" w:cstheme="minorHAnsi"/>
          <w:shd w:val="clear" w:color="auto" w:fill="FFFFFF"/>
        </w:rPr>
        <w:t>wodnoprawnych</w:t>
      </w:r>
      <w:r w:rsidR="00524178">
        <w:rPr>
          <w:rFonts w:asciiTheme="minorHAnsi" w:hAnsiTheme="minorHAnsi"/>
        </w:rPr>
        <w:t>.</w:t>
      </w:r>
    </w:p>
    <w:p w14:paraId="733EC44A" w14:textId="77777777" w:rsidR="00AD3F8A" w:rsidRPr="003F0E01" w:rsidRDefault="00AD3F8A" w:rsidP="00AD3F8A">
      <w:pPr>
        <w:spacing w:line="276" w:lineRule="auto"/>
        <w:rPr>
          <w:rFonts w:asciiTheme="minorHAnsi" w:hAnsiTheme="minorHAnsi"/>
        </w:rPr>
      </w:pPr>
      <w:r w:rsidRPr="00B433E8">
        <w:rPr>
          <w:rFonts w:asciiTheme="minorHAnsi" w:hAnsiTheme="minorHAnsi" w:cstheme="minorHAnsi"/>
        </w:rPr>
        <w:t xml:space="preserve">Działania z kategorii </w:t>
      </w:r>
      <w:r w:rsidRPr="003F0E01">
        <w:rPr>
          <w:rFonts w:asciiTheme="minorHAnsi" w:hAnsiTheme="minorHAnsi"/>
        </w:rPr>
        <w:t>LWC</w:t>
      </w:r>
      <w:r w:rsidRPr="00B433E8">
        <w:rPr>
          <w:rFonts w:asciiTheme="minorHAnsi" w:hAnsiTheme="minorHAnsi" w:cstheme="minorHAnsi"/>
        </w:rPr>
        <w:t xml:space="preserve"> to</w:t>
      </w:r>
      <w:r w:rsidRPr="003F0E01">
        <w:rPr>
          <w:rFonts w:asciiTheme="minorHAnsi" w:hAnsiTheme="minorHAnsi"/>
        </w:rPr>
        <w:t xml:space="preserve"> działania ukierunkowane na presje skumulowane. Wśród nich wskazano następujące grupy działań:</w:t>
      </w:r>
    </w:p>
    <w:p w14:paraId="49FD4743" w14:textId="353014A3" w:rsidR="00AD3F8A" w:rsidRPr="003F0E01" w:rsidRDefault="00AD3F8A" w:rsidP="00AD3F8A">
      <w:pPr>
        <w:spacing w:line="276" w:lineRule="auto"/>
        <w:rPr>
          <w:rFonts w:asciiTheme="minorHAnsi" w:hAnsiTheme="minorHAnsi"/>
          <w:b/>
        </w:rPr>
      </w:pPr>
      <w:r w:rsidRPr="003F0E01">
        <w:rPr>
          <w:rFonts w:asciiTheme="minorHAnsi" w:hAnsiTheme="minorHAnsi"/>
          <w:b/>
        </w:rPr>
        <w:t xml:space="preserve">LWC_01: </w:t>
      </w:r>
      <w:r w:rsidRPr="00B433E8">
        <w:rPr>
          <w:rFonts w:asciiTheme="minorHAnsi" w:hAnsiTheme="minorHAnsi" w:cstheme="minorHAnsi"/>
        </w:rPr>
        <w:t>działani</w:t>
      </w:r>
      <w:r w:rsidR="00524178">
        <w:rPr>
          <w:rFonts w:asciiTheme="minorHAnsi" w:hAnsiTheme="minorHAnsi" w:cstheme="minorHAnsi"/>
        </w:rPr>
        <w:t>a</w:t>
      </w:r>
      <w:r w:rsidRPr="003F0E01">
        <w:rPr>
          <w:rFonts w:asciiTheme="minorHAnsi" w:hAnsiTheme="minorHAnsi"/>
        </w:rPr>
        <w:t xml:space="preserve"> z tej grupy zasługują na szczególną uwagę,</w:t>
      </w:r>
      <w:r w:rsidRPr="00CE6A94">
        <w:rPr>
          <w:rFonts w:asciiTheme="minorHAnsi" w:hAnsiTheme="minorHAnsi"/>
        </w:rPr>
        <w:t xml:space="preserve"> </w:t>
      </w:r>
      <w:r w:rsidRPr="003F0E01">
        <w:rPr>
          <w:rFonts w:asciiTheme="minorHAnsi" w:hAnsiTheme="minorHAnsi"/>
        </w:rPr>
        <w:t xml:space="preserve">gdyż obejmują działania z zakresu zarówno opracowywania, </w:t>
      </w:r>
      <w:r w:rsidRPr="00B433E8">
        <w:rPr>
          <w:rFonts w:asciiTheme="minorHAnsi" w:hAnsiTheme="minorHAnsi" w:cstheme="minorHAnsi"/>
        </w:rPr>
        <w:t>jak</w:t>
      </w:r>
      <w:r w:rsidRPr="003F0E01">
        <w:rPr>
          <w:rFonts w:asciiTheme="minorHAnsi" w:hAnsiTheme="minorHAnsi"/>
        </w:rPr>
        <w:t xml:space="preserve"> i wdrażana programów rekultywacji jezior. Są to działania, sensu stricte ukierunkowane na osiągnięcie dobrego stanu wód, a ich zakres uzależniony jest od indywidualnych warunków jeziora (jego stanu wyjściowego) i zlewni (presje). Z uwagi za zindywidualizowany charakter rekultywacji każdego jeziora, a także skomplikowanie procesów rekultywacji konieczny jest ich stały monitoring. Monitoring rekultywacji dedykowany działaniom rekultywacyjnym wskazano w grupie </w:t>
      </w:r>
      <w:r w:rsidRPr="003F0E01">
        <w:rPr>
          <w:rFonts w:asciiTheme="minorHAnsi" w:hAnsiTheme="minorHAnsi"/>
          <w:b/>
        </w:rPr>
        <w:t>LWC_12</w:t>
      </w:r>
      <w:r w:rsidR="00BB73F4" w:rsidRPr="009F7F19">
        <w:rPr>
          <w:rFonts w:asciiTheme="minorHAnsi" w:hAnsiTheme="minorHAnsi"/>
        </w:rPr>
        <w:t>;</w:t>
      </w:r>
    </w:p>
    <w:p w14:paraId="14A3C343" w14:textId="10947D45" w:rsidR="00AD3F8A" w:rsidRPr="003F0E01" w:rsidRDefault="00AD3F8A" w:rsidP="00AD3F8A">
      <w:pPr>
        <w:spacing w:line="276" w:lineRule="auto"/>
        <w:rPr>
          <w:rFonts w:asciiTheme="minorHAnsi" w:hAnsiTheme="minorHAnsi"/>
          <w:u w:val="single"/>
        </w:rPr>
      </w:pPr>
      <w:bookmarkStart w:id="705" w:name="_Hlk67374966"/>
      <w:r w:rsidRPr="003F0E01">
        <w:rPr>
          <w:rFonts w:asciiTheme="minorHAnsi" w:hAnsiTheme="minorHAnsi"/>
          <w:b/>
        </w:rPr>
        <w:t>LWC_02:</w:t>
      </w:r>
      <w:r w:rsidRPr="003F0E01">
        <w:rPr>
          <w:rFonts w:asciiTheme="minorHAnsi" w:hAnsiTheme="minorHAnsi"/>
        </w:rPr>
        <w:t xml:space="preserve"> </w:t>
      </w:r>
      <w:r w:rsidRPr="00B433E8">
        <w:rPr>
          <w:rFonts w:asciiTheme="minorHAnsi" w:hAnsiTheme="minorHAnsi" w:cstheme="minorHAnsi"/>
        </w:rPr>
        <w:t>działania</w:t>
      </w:r>
      <w:r w:rsidRPr="003F0E01">
        <w:rPr>
          <w:rFonts w:asciiTheme="minorHAnsi" w:hAnsiTheme="minorHAnsi"/>
        </w:rPr>
        <w:t xml:space="preserve"> związane z opracowaniem i wdrożeniem programów renaturyzacji. Działanie to</w:t>
      </w:r>
      <w:r w:rsidR="000B754A">
        <w:rPr>
          <w:rFonts w:asciiTheme="minorHAnsi" w:hAnsiTheme="minorHAnsi" w:cstheme="minorHAnsi"/>
        </w:rPr>
        <w:t> </w:t>
      </w:r>
      <w:r w:rsidRPr="003F0E01">
        <w:rPr>
          <w:rFonts w:asciiTheme="minorHAnsi" w:hAnsiTheme="minorHAnsi"/>
        </w:rPr>
        <w:t>ukierunkowane jest na osiągnięcie dobrego stanu elementów hydromorfologicznych, stworzenie odpowiednich warunków siedliskowych dla elementów biologicznych, pośrednio także odtworzenie naturalnych zdolności regeneracyjnych ekosystemu jeziornego</w:t>
      </w:r>
      <w:bookmarkEnd w:id="705"/>
      <w:r w:rsidR="00BB73F4">
        <w:rPr>
          <w:rFonts w:asciiTheme="minorHAnsi" w:hAnsiTheme="minorHAnsi"/>
        </w:rPr>
        <w:t>;</w:t>
      </w:r>
    </w:p>
    <w:p w14:paraId="6986A6B9" w14:textId="2B96818E" w:rsidR="00AD3F8A" w:rsidRPr="003F0E01" w:rsidRDefault="00AD3F8A" w:rsidP="00AD3F8A">
      <w:pPr>
        <w:spacing w:line="276" w:lineRule="auto"/>
        <w:rPr>
          <w:rFonts w:asciiTheme="minorHAnsi" w:hAnsiTheme="minorHAnsi"/>
        </w:rPr>
      </w:pPr>
      <w:r w:rsidRPr="003F0E01">
        <w:rPr>
          <w:rFonts w:asciiTheme="minorHAnsi" w:hAnsiTheme="minorHAnsi"/>
          <w:b/>
        </w:rPr>
        <w:t>LWC_08</w:t>
      </w:r>
      <w:r w:rsidRPr="003F0E01">
        <w:rPr>
          <w:rFonts w:asciiTheme="minorHAnsi" w:hAnsiTheme="minorHAnsi"/>
        </w:rPr>
        <w:t xml:space="preserve"> oraz </w:t>
      </w:r>
      <w:r w:rsidRPr="003F0E01">
        <w:rPr>
          <w:rFonts w:asciiTheme="minorHAnsi" w:hAnsiTheme="minorHAnsi"/>
          <w:b/>
        </w:rPr>
        <w:t>LWC_09:</w:t>
      </w:r>
      <w:r w:rsidRPr="003F0E01">
        <w:rPr>
          <w:rFonts w:asciiTheme="minorHAnsi" w:hAnsiTheme="minorHAnsi"/>
        </w:rPr>
        <w:t xml:space="preserve"> działania dedykowane obszarom chronionym, ukierunkowane na osiągniecie ustanowionych dla nich celów środowiskowych. Grupa LWC_08 to działania wynikające z planów ochrony/planów zadań ochronnych ustanowionych dla obszarów przeznaczonych do ochrony siedlisk lub gatunków, dla których utrzymanie lub poprawa stanu wód jest ważnym czynnikiem ich ochrony.</w:t>
      </w:r>
      <w:r w:rsidRPr="00B433E8">
        <w:rPr>
          <w:rFonts w:asciiTheme="minorHAnsi" w:hAnsiTheme="minorHAnsi" w:cstheme="minorHAnsi"/>
        </w:rPr>
        <w:t xml:space="preserve"> </w:t>
      </w:r>
      <w:r w:rsidRPr="003F0E01">
        <w:rPr>
          <w:rFonts w:asciiTheme="minorHAnsi" w:hAnsiTheme="minorHAnsi"/>
        </w:rPr>
        <w:t>Działania z grupy LWC_09 to działania naprawcze przypisane na podstawie stwierdzonego ryzyka presji w zakresie dopływu zanieczyszczeń, utrzymania naturalnego charakteru jeziora bądź utrzymania wysokiego poziomu wód gruntowych</w:t>
      </w:r>
      <w:r w:rsidR="00BB73F4">
        <w:rPr>
          <w:rFonts w:asciiTheme="minorHAnsi" w:hAnsiTheme="minorHAnsi"/>
        </w:rPr>
        <w:t>;</w:t>
      </w:r>
    </w:p>
    <w:p w14:paraId="55160872" w14:textId="6DB6E8B0" w:rsidR="00134DF1" w:rsidRPr="00795F17" w:rsidRDefault="00AD3F8A" w:rsidP="00AD3F8A">
      <w:r w:rsidRPr="003F0E01">
        <w:rPr>
          <w:rFonts w:asciiTheme="minorHAnsi" w:hAnsiTheme="minorHAnsi"/>
          <w:b/>
        </w:rPr>
        <w:t xml:space="preserve">LWC_11: </w:t>
      </w:r>
      <w:r w:rsidRPr="003F0E01">
        <w:rPr>
          <w:rFonts w:asciiTheme="minorHAnsi" w:hAnsiTheme="minorHAnsi"/>
        </w:rPr>
        <w:t>działania kontrolne</w:t>
      </w:r>
      <w:r w:rsidRPr="00B433E8">
        <w:rPr>
          <w:rFonts w:asciiTheme="minorHAnsi" w:hAnsiTheme="minorHAnsi" w:cstheme="minorHAnsi"/>
        </w:rPr>
        <w:t xml:space="preserve"> </w:t>
      </w:r>
      <w:r w:rsidRPr="009F7F19">
        <w:rPr>
          <w:rFonts w:asciiTheme="minorHAnsi" w:hAnsiTheme="minorHAnsi" w:cstheme="minorHAnsi"/>
        </w:rPr>
        <w:t>dotyczące stosowania</w:t>
      </w:r>
      <w:r w:rsidRPr="009F7F19">
        <w:rPr>
          <w:rFonts w:asciiTheme="minorHAnsi" w:hAnsiTheme="minorHAnsi"/>
        </w:rPr>
        <w:t xml:space="preserve"> programu </w:t>
      </w:r>
      <w:r w:rsidRPr="009F7F19">
        <w:rPr>
          <w:rFonts w:asciiTheme="minorHAnsi" w:hAnsiTheme="minorHAnsi" w:cstheme="minorHAnsi"/>
        </w:rPr>
        <w:t>działań mających na celu zmniejszenie zanieczyszczenia wód azotanami pochodzącymi ze źródeł rolniczych</w:t>
      </w:r>
      <w:r w:rsidRPr="009F7F19">
        <w:rPr>
          <w:rFonts w:asciiTheme="minorHAnsi" w:hAnsiTheme="minorHAnsi"/>
        </w:rPr>
        <w:t xml:space="preserve"> oraz </w:t>
      </w:r>
      <w:r w:rsidRPr="009F7F19">
        <w:rPr>
          <w:rFonts w:asciiTheme="minorHAnsi" w:hAnsiTheme="minorHAnsi" w:cstheme="minorHAnsi"/>
        </w:rPr>
        <w:t>zapobieganie dalszemu zanieczyszczeniu przez podmioty prowadzące produkcję rolną i działalność</w:t>
      </w:r>
      <w:r w:rsidRPr="00B433E8">
        <w:rPr>
          <w:rFonts w:asciiTheme="minorHAnsi" w:hAnsiTheme="minorHAnsi" w:cstheme="minorHAnsi"/>
        </w:rPr>
        <w:t>.</w:t>
      </w:r>
    </w:p>
    <w:p w14:paraId="494EEC4F" w14:textId="47F647D2" w:rsidR="00134DF1" w:rsidRPr="00795F17" w:rsidRDefault="00134DF1" w:rsidP="00134DF1">
      <w:r w:rsidRPr="00795F17">
        <w:t xml:space="preserve">Katalog działań </w:t>
      </w:r>
      <w:r w:rsidR="00DF005E">
        <w:t>JCWP</w:t>
      </w:r>
      <w:r w:rsidRPr="00795F17">
        <w:t xml:space="preserve"> LW </w:t>
      </w:r>
      <w:r w:rsidR="00064AE0">
        <w:t>prezentuje załącznik</w:t>
      </w:r>
      <w:r w:rsidRPr="00795F17">
        <w:t xml:space="preserve"> nr </w:t>
      </w:r>
      <w:r w:rsidR="00F22207">
        <w:t>12</w:t>
      </w:r>
      <w:r w:rsidRPr="00795F17">
        <w:t xml:space="preserve"> (Katalog działań dla poszczególnych kategorii wód)</w:t>
      </w:r>
      <w:r w:rsidR="000B754A">
        <w:t xml:space="preserve"> IIapGW</w:t>
      </w:r>
      <w:r w:rsidRPr="00795F17">
        <w:t>.</w:t>
      </w:r>
    </w:p>
    <w:p w14:paraId="73CC65F1" w14:textId="5C95D056" w:rsidR="00134DF1" w:rsidRPr="00795F17" w:rsidRDefault="00134DF1" w:rsidP="00C53C86">
      <w:pPr>
        <w:pStyle w:val="Nagwek3"/>
      </w:pPr>
      <w:bookmarkStart w:id="706" w:name="_Toc105512700"/>
      <w:r w:rsidRPr="00795F17">
        <w:t xml:space="preserve">Katalog działań </w:t>
      </w:r>
      <w:r w:rsidR="00DF005E">
        <w:t>JCWP</w:t>
      </w:r>
      <w:r w:rsidRPr="00795F17">
        <w:t xml:space="preserve"> TW i CW</w:t>
      </w:r>
      <w:bookmarkEnd w:id="706"/>
    </w:p>
    <w:p w14:paraId="3FA63BBF" w14:textId="385D44F0" w:rsidR="00163BB6" w:rsidRPr="003F0E01" w:rsidRDefault="00163BB6" w:rsidP="00163BB6">
      <w:pPr>
        <w:spacing w:line="276" w:lineRule="auto"/>
        <w:rPr>
          <w:rFonts w:asciiTheme="minorHAnsi" w:hAnsiTheme="minorHAnsi"/>
        </w:rPr>
      </w:pPr>
      <w:r w:rsidRPr="003F0E01">
        <w:rPr>
          <w:rFonts w:asciiTheme="minorHAnsi" w:hAnsiTheme="minorHAnsi"/>
        </w:rPr>
        <w:t xml:space="preserve">Katalog dla </w:t>
      </w:r>
      <w:r w:rsidR="00DF005E">
        <w:rPr>
          <w:rFonts w:asciiTheme="minorHAnsi" w:hAnsiTheme="minorHAnsi"/>
        </w:rPr>
        <w:t>JCWP</w:t>
      </w:r>
      <w:r w:rsidRPr="003F0E01">
        <w:rPr>
          <w:rFonts w:asciiTheme="minorHAnsi" w:hAnsiTheme="minorHAnsi"/>
        </w:rPr>
        <w:t xml:space="preserve"> </w:t>
      </w:r>
      <w:r>
        <w:rPr>
          <w:rFonts w:asciiTheme="minorHAnsi" w:hAnsiTheme="minorHAnsi"/>
        </w:rPr>
        <w:t>TW i CW</w:t>
      </w:r>
      <w:r w:rsidRPr="003F0E01">
        <w:rPr>
          <w:rFonts w:asciiTheme="minorHAnsi" w:hAnsiTheme="minorHAnsi"/>
        </w:rPr>
        <w:t xml:space="preserve"> zbudowany został na bazie zebranych w grupy działań umożliwiających eliminację lub przynajmniej zminimalizowanie presji znaczących zidentyfikowanych w ramach pracy </w:t>
      </w:r>
      <w:r w:rsidRPr="003F0E01">
        <w:rPr>
          <w:rFonts w:asciiTheme="minorHAnsi" w:hAnsiTheme="minorHAnsi"/>
          <w:i/>
        </w:rPr>
        <w:t xml:space="preserve">Analiza znaczących oddziaływań </w:t>
      </w:r>
      <w:r w:rsidR="0096315B">
        <w:rPr>
          <w:rFonts w:asciiTheme="minorHAnsi" w:hAnsiTheme="minorHAnsi"/>
          <w:i/>
        </w:rPr>
        <w:t>–</w:t>
      </w:r>
      <w:r w:rsidRPr="003F0E01">
        <w:rPr>
          <w:rFonts w:asciiTheme="minorHAnsi" w:hAnsiTheme="minorHAnsi"/>
          <w:i/>
        </w:rPr>
        <w:t xml:space="preserve"> </w:t>
      </w:r>
      <w:r w:rsidR="00DF005E">
        <w:rPr>
          <w:rFonts w:asciiTheme="minorHAnsi" w:hAnsiTheme="minorHAnsi"/>
          <w:i/>
        </w:rPr>
        <w:t>JCWP</w:t>
      </w:r>
      <w:r w:rsidRPr="003F0E01">
        <w:rPr>
          <w:rFonts w:asciiTheme="minorHAnsi" w:hAnsiTheme="minorHAnsi"/>
          <w:i/>
        </w:rPr>
        <w:t xml:space="preserve"> (…)</w:t>
      </w:r>
      <w:r w:rsidR="00A57A31">
        <w:rPr>
          <w:rStyle w:val="Odwoanieprzypisudolnego"/>
          <w:rFonts w:asciiTheme="minorHAnsi" w:hAnsiTheme="minorHAnsi"/>
          <w:i/>
        </w:rPr>
        <w:footnoteReference w:id="98"/>
      </w:r>
      <w:r w:rsidRPr="003F0E01">
        <w:rPr>
          <w:rFonts w:asciiTheme="minorHAnsi" w:hAnsiTheme="minorHAnsi"/>
        </w:rPr>
        <w:t xml:space="preserve">. </w:t>
      </w:r>
    </w:p>
    <w:p w14:paraId="674ED258" w14:textId="29A37BCD" w:rsidR="00163BB6" w:rsidRPr="003F0E01" w:rsidRDefault="00163BB6" w:rsidP="00163BB6">
      <w:pPr>
        <w:spacing w:line="276" w:lineRule="auto"/>
        <w:rPr>
          <w:rFonts w:asciiTheme="minorHAnsi" w:hAnsiTheme="minorHAnsi"/>
        </w:rPr>
      </w:pPr>
      <w:r w:rsidRPr="003F0E01">
        <w:rPr>
          <w:rFonts w:asciiTheme="minorHAnsi" w:hAnsiTheme="minorHAnsi"/>
        </w:rPr>
        <w:t xml:space="preserve">Łącznie </w:t>
      </w:r>
      <w:r w:rsidR="00367C0A" w:rsidRPr="003F0E01">
        <w:rPr>
          <w:rFonts w:asciiTheme="minorHAnsi" w:hAnsiTheme="minorHAnsi"/>
        </w:rPr>
        <w:t>1</w:t>
      </w:r>
      <w:r w:rsidR="00367C0A">
        <w:rPr>
          <w:rFonts w:asciiTheme="minorHAnsi" w:hAnsiTheme="minorHAnsi"/>
        </w:rPr>
        <w:t>2</w:t>
      </w:r>
      <w:r w:rsidR="00367C0A" w:rsidRPr="003F0E01">
        <w:rPr>
          <w:rFonts w:asciiTheme="minorHAnsi" w:hAnsiTheme="minorHAnsi"/>
        </w:rPr>
        <w:t xml:space="preserve"> </w:t>
      </w:r>
      <w:r w:rsidRPr="003F0E01">
        <w:rPr>
          <w:rFonts w:asciiTheme="minorHAnsi" w:hAnsiTheme="minorHAnsi"/>
        </w:rPr>
        <w:t xml:space="preserve">działań w katalogu działań </w:t>
      </w:r>
      <w:r w:rsidR="00DF005E">
        <w:rPr>
          <w:rFonts w:asciiTheme="minorHAnsi" w:hAnsiTheme="minorHAnsi"/>
        </w:rPr>
        <w:t>JCWP</w:t>
      </w:r>
      <w:r w:rsidRPr="003F0E01">
        <w:rPr>
          <w:rFonts w:asciiTheme="minorHAnsi" w:hAnsiTheme="minorHAnsi"/>
        </w:rPr>
        <w:t xml:space="preserve"> TW i CW zgrupowano w następujących kategoriach:</w:t>
      </w:r>
    </w:p>
    <w:p w14:paraId="55E87081" w14:textId="7FD14308" w:rsidR="00163BB6" w:rsidRPr="003F0E01" w:rsidRDefault="00163BB6" w:rsidP="00117E86">
      <w:pPr>
        <w:pStyle w:val="Listapunktowana2"/>
      </w:pPr>
      <w:r w:rsidRPr="003F0E01">
        <w:t>gospodarka ściekowa</w:t>
      </w:r>
      <w:r w:rsidR="00CF425F">
        <w:t>;</w:t>
      </w:r>
    </w:p>
    <w:p w14:paraId="5130EC57" w14:textId="1A0588C3" w:rsidR="00163BB6" w:rsidRPr="003F0E01" w:rsidRDefault="00163BB6" w:rsidP="00117E86">
      <w:pPr>
        <w:pStyle w:val="Listapunktowana2"/>
      </w:pPr>
      <w:r w:rsidRPr="003F0E01">
        <w:t>gospodarka odpadami</w:t>
      </w:r>
      <w:r w:rsidR="00CF425F">
        <w:t>;</w:t>
      </w:r>
    </w:p>
    <w:p w14:paraId="5CE79986" w14:textId="615C683F" w:rsidR="00163BB6" w:rsidRPr="003F0E01" w:rsidRDefault="00163BB6" w:rsidP="00117E86">
      <w:pPr>
        <w:pStyle w:val="Listapunktowana2"/>
      </w:pPr>
      <w:r w:rsidRPr="003F0E01">
        <w:t>gospodarowanie wodami opadowymi</w:t>
      </w:r>
      <w:r w:rsidR="00CF425F">
        <w:t>;</w:t>
      </w:r>
    </w:p>
    <w:p w14:paraId="3BF9944E" w14:textId="311816B3" w:rsidR="00163BB6" w:rsidRPr="003F0E01" w:rsidRDefault="00163BB6" w:rsidP="00117E86">
      <w:pPr>
        <w:pStyle w:val="Listapunktowana2"/>
      </w:pPr>
      <w:r w:rsidRPr="003F0E01">
        <w:t>ograniczenie zanieczyszczeń rozproszonych związanych z rozwojem obszarów zurbanizowanych, turystyki i transportu</w:t>
      </w:r>
      <w:r w:rsidR="00CF425F">
        <w:t>;</w:t>
      </w:r>
    </w:p>
    <w:p w14:paraId="70BB3A04" w14:textId="042B9464" w:rsidR="00163BB6" w:rsidRPr="003F0E01" w:rsidRDefault="00163BB6" w:rsidP="00117E86">
      <w:pPr>
        <w:pStyle w:val="Listapunktowana2"/>
      </w:pPr>
      <w:r w:rsidRPr="003F0E01">
        <w:t>poprawa stanu elementów hydromorfologicznych i warunków siedliskowych strefy brzegowej</w:t>
      </w:r>
      <w:r w:rsidR="00CF425F">
        <w:t>;</w:t>
      </w:r>
    </w:p>
    <w:p w14:paraId="59ADA8CF" w14:textId="0EB69658" w:rsidR="00163BB6" w:rsidRPr="003F0E01" w:rsidRDefault="00163BB6" w:rsidP="00117E86">
      <w:pPr>
        <w:pStyle w:val="Listapunktowana2"/>
      </w:pPr>
      <w:r w:rsidRPr="003F0E01">
        <w:t>ochrona i odtwarzanie naturalnych procesów hydromorfologicznych w strefie brzegowej</w:t>
      </w:r>
      <w:r w:rsidR="00524178">
        <w:t>,</w:t>
      </w:r>
    </w:p>
    <w:p w14:paraId="7631E2B0" w14:textId="16E87F1F" w:rsidR="00163BB6" w:rsidRPr="003F0E01" w:rsidRDefault="00163BB6" w:rsidP="00117E86">
      <w:pPr>
        <w:pStyle w:val="Listapunktowana2"/>
      </w:pPr>
      <w:r w:rsidRPr="003F0E01">
        <w:t>adaptacja do zmian klimatu</w:t>
      </w:r>
      <w:r w:rsidR="00CF425F">
        <w:t>;</w:t>
      </w:r>
    </w:p>
    <w:p w14:paraId="72D283CE" w14:textId="77777777" w:rsidR="00163BB6" w:rsidRPr="003F0E01" w:rsidRDefault="00163BB6" w:rsidP="00117E86">
      <w:pPr>
        <w:pStyle w:val="Listapunktowana2"/>
      </w:pPr>
      <w:r w:rsidRPr="003F0E01">
        <w:t xml:space="preserve">poprawa warunków </w:t>
      </w:r>
      <w:r w:rsidRPr="00B433E8">
        <w:rPr>
          <w:rFonts w:cstheme="minorHAnsi"/>
        </w:rPr>
        <w:t xml:space="preserve">dla </w:t>
      </w:r>
      <w:r w:rsidRPr="003F0E01">
        <w:t>obszarów chronionych.</w:t>
      </w:r>
    </w:p>
    <w:p w14:paraId="11175812" w14:textId="062016B1" w:rsidR="00163BB6" w:rsidRPr="003F0E01" w:rsidRDefault="00163BB6" w:rsidP="00163BB6">
      <w:pPr>
        <w:spacing w:line="276" w:lineRule="auto"/>
        <w:rPr>
          <w:rFonts w:asciiTheme="minorHAnsi" w:hAnsiTheme="minorHAnsi"/>
        </w:rPr>
      </w:pPr>
      <w:r w:rsidRPr="003F0E01">
        <w:rPr>
          <w:rFonts w:asciiTheme="minorHAnsi" w:hAnsiTheme="minorHAnsi"/>
        </w:rPr>
        <w:t xml:space="preserve">Najliczniejszą kategorię działań stanowi </w:t>
      </w:r>
      <w:r w:rsidR="00520CA4">
        <w:rPr>
          <w:rFonts w:asciiTheme="minorHAnsi" w:hAnsiTheme="minorHAnsi"/>
        </w:rPr>
        <w:t xml:space="preserve">gospodarka ściekowa (23% wszystkich działań w katalogu), </w:t>
      </w:r>
      <w:r w:rsidR="00520CA4" w:rsidRPr="003F0E01">
        <w:rPr>
          <w:rFonts w:asciiTheme="minorHAnsi" w:hAnsiTheme="minorHAnsi"/>
        </w:rPr>
        <w:t>kolejnymi pod względem liczby działań są kategorie: poprawa stanu elementów hydromorfologicznych i warunków siedliskowych strefy brzegowej</w:t>
      </w:r>
      <w:r w:rsidR="00520CA4" w:rsidRPr="00B433E8">
        <w:rPr>
          <w:rFonts w:asciiTheme="minorHAnsi" w:hAnsiTheme="minorHAnsi" w:cstheme="minorHAnsi"/>
        </w:rPr>
        <w:t xml:space="preserve"> gospodarka ściekowa, </w:t>
      </w:r>
      <w:r w:rsidR="00520CA4" w:rsidRPr="003F0E01">
        <w:rPr>
          <w:rFonts w:asciiTheme="minorHAnsi" w:hAnsiTheme="minorHAnsi"/>
        </w:rPr>
        <w:t>gospodarowanie wodami opadowymi oraz</w:t>
      </w:r>
      <w:r w:rsidR="00520CA4">
        <w:rPr>
          <w:rFonts w:asciiTheme="minorHAnsi" w:hAnsiTheme="minorHAnsi"/>
        </w:rPr>
        <w:t> </w:t>
      </w:r>
      <w:r w:rsidR="00520CA4" w:rsidRPr="00B433E8">
        <w:rPr>
          <w:rFonts w:asciiTheme="minorHAnsi" w:hAnsiTheme="minorHAnsi" w:cstheme="minorHAnsi"/>
        </w:rPr>
        <w:t>poprawa warunków dla obszarów chronionych (</w:t>
      </w:r>
      <w:r w:rsidR="00520CA4" w:rsidRPr="003F0E01">
        <w:rPr>
          <w:rFonts w:asciiTheme="minorHAnsi" w:hAnsiTheme="minorHAnsi"/>
        </w:rPr>
        <w:t xml:space="preserve">po </w:t>
      </w:r>
      <w:r w:rsidR="00520CA4">
        <w:rPr>
          <w:rFonts w:asciiTheme="minorHAnsi" w:hAnsiTheme="minorHAnsi" w:cstheme="minorHAnsi"/>
        </w:rPr>
        <w:t>15</w:t>
      </w:r>
      <w:r w:rsidR="00520CA4" w:rsidRPr="003F0E01">
        <w:rPr>
          <w:rFonts w:asciiTheme="minorHAnsi" w:hAnsiTheme="minorHAnsi"/>
        </w:rPr>
        <w:t xml:space="preserve">% wszystkich działań w katalogu), pozostałe kategorie stanowią po </w:t>
      </w:r>
      <w:r w:rsidR="00520CA4">
        <w:rPr>
          <w:rFonts w:asciiTheme="minorHAnsi" w:hAnsiTheme="minorHAnsi"/>
        </w:rPr>
        <w:t>8</w:t>
      </w:r>
      <w:r w:rsidR="00520CA4" w:rsidRPr="003F0E01">
        <w:rPr>
          <w:rFonts w:asciiTheme="minorHAnsi" w:hAnsiTheme="minorHAnsi"/>
        </w:rPr>
        <w:t xml:space="preserve">% wszystkich działań (wykres </w:t>
      </w:r>
      <w:r w:rsidR="00520CA4">
        <w:rPr>
          <w:rFonts w:asciiTheme="minorHAnsi" w:hAnsiTheme="minorHAnsi" w:cstheme="minorHAnsi"/>
        </w:rPr>
        <w:t>12</w:t>
      </w:r>
      <w:r w:rsidR="00520CA4" w:rsidRPr="00B433E8">
        <w:rPr>
          <w:rFonts w:asciiTheme="minorHAnsi" w:hAnsiTheme="minorHAnsi" w:cstheme="minorHAnsi"/>
        </w:rPr>
        <w:t>-13</w:t>
      </w:r>
      <w:r w:rsidR="00520CA4" w:rsidRPr="003F0E01">
        <w:rPr>
          <w:rFonts w:asciiTheme="minorHAnsi" w:hAnsiTheme="minorHAnsi"/>
        </w:rPr>
        <w:t>).</w:t>
      </w:r>
      <w:r w:rsidR="00520CA4">
        <w:rPr>
          <w:rFonts w:asciiTheme="minorHAnsi" w:hAnsiTheme="minorHAnsi"/>
        </w:rPr>
        <w:t xml:space="preserve"> </w:t>
      </w:r>
    </w:p>
    <w:p w14:paraId="479A631C" w14:textId="35B40EEE" w:rsidR="00163BB6" w:rsidRDefault="00163BB6" w:rsidP="00163BB6">
      <w:pPr>
        <w:spacing w:line="276" w:lineRule="auto"/>
        <w:rPr>
          <w:rFonts w:asciiTheme="minorHAnsi" w:hAnsiTheme="minorHAnsi" w:cstheme="minorHAnsi"/>
        </w:rPr>
      </w:pPr>
    </w:p>
    <w:p w14:paraId="7FD5E554" w14:textId="686B5B9E" w:rsidR="00A70CAB" w:rsidRDefault="009B6052" w:rsidP="00163BB6">
      <w:pPr>
        <w:spacing w:line="276" w:lineRule="auto"/>
        <w:rPr>
          <w:rFonts w:asciiTheme="minorHAnsi" w:hAnsiTheme="minorHAnsi" w:cstheme="minorHAnsi"/>
        </w:rPr>
      </w:pPr>
      <w:r>
        <w:rPr>
          <w:noProof/>
        </w:rPr>
        <w:drawing>
          <wp:inline distT="0" distB="0" distL="0" distR="0" wp14:anchorId="79A6A140" wp14:editId="7EAA314C">
            <wp:extent cx="6163509" cy="4164037"/>
            <wp:effectExtent l="0" t="0" r="8890" b="8255"/>
            <wp:docPr id="77" name="Wykres 77">
              <a:extLst xmlns:a="http://schemas.openxmlformats.org/drawingml/2006/main">
                <a:ext uri="{FF2B5EF4-FFF2-40B4-BE49-F238E27FC236}">
                  <a16:creationId xmlns:a16="http://schemas.microsoft.com/office/drawing/2014/main" id="{62FDD7FB-C06D-479F-948F-5CBF38C078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08D90856" w14:textId="68B060BB" w:rsidR="00163BB6" w:rsidRPr="00B433E8" w:rsidRDefault="00163BB6" w:rsidP="00B479EE">
      <w:pPr>
        <w:pStyle w:val="Wykres"/>
      </w:pPr>
      <w:bookmarkStart w:id="707" w:name="_Toc68195522"/>
      <w:bookmarkStart w:id="708" w:name="_Toc67643665"/>
      <w:bookmarkStart w:id="709" w:name="_Toc105513022"/>
      <w:r w:rsidRPr="00B433E8">
        <w:t xml:space="preserve">Wykres </w:t>
      </w:r>
      <w:fldSimple w:instr=" STYLEREF 1 \s ">
        <w:r w:rsidR="001F774D">
          <w:rPr>
            <w:noProof/>
          </w:rPr>
          <w:t>12</w:t>
        </w:r>
      </w:fldSimple>
      <w:r w:rsidR="00FF20D3">
        <w:noBreakHyphen/>
      </w:r>
      <w:fldSimple w:instr=" SEQ Wykres \* ARABIC \s 1 ">
        <w:r w:rsidR="001F774D">
          <w:rPr>
            <w:noProof/>
          </w:rPr>
          <w:t>13</w:t>
        </w:r>
      </w:fldSimple>
      <w:r w:rsidR="002B6022">
        <w:rPr>
          <w:noProof/>
        </w:rPr>
        <w:t>.</w:t>
      </w:r>
      <w:r w:rsidRPr="00B433E8">
        <w:tab/>
        <w:t xml:space="preserve">Udział działań w poszczególnych kategoriach katalogu działań </w:t>
      </w:r>
      <w:r w:rsidR="00DF005E">
        <w:t>JCWP</w:t>
      </w:r>
      <w:r w:rsidRPr="00B433E8">
        <w:t xml:space="preserve"> TW i CW</w:t>
      </w:r>
      <w:bookmarkEnd w:id="707"/>
      <w:bookmarkEnd w:id="708"/>
      <w:bookmarkEnd w:id="709"/>
    </w:p>
    <w:p w14:paraId="09217295" w14:textId="77777777" w:rsidR="00163BB6" w:rsidRPr="00795F17" w:rsidRDefault="00163BB6" w:rsidP="00163BB6">
      <w:pPr>
        <w:pStyle w:val="rdo"/>
        <w:rPr>
          <w:rFonts w:cs="Calibri"/>
          <w:i w:val="0"/>
          <w:sz w:val="20"/>
          <w:szCs w:val="20"/>
        </w:rPr>
      </w:pPr>
      <w:r w:rsidRPr="00C22FBA">
        <w:t>Źródło: opracowanie własne</w:t>
      </w:r>
    </w:p>
    <w:p w14:paraId="63357F77" w14:textId="2D322567" w:rsidR="00163BB6" w:rsidRPr="003F0E01" w:rsidRDefault="00163BB6" w:rsidP="00163BB6">
      <w:pPr>
        <w:spacing w:line="276" w:lineRule="auto"/>
        <w:rPr>
          <w:rFonts w:asciiTheme="minorHAnsi" w:hAnsiTheme="minorHAnsi"/>
        </w:rPr>
      </w:pPr>
      <w:r w:rsidRPr="003F0E01">
        <w:rPr>
          <w:rFonts w:asciiTheme="minorHAnsi" w:hAnsiTheme="minorHAnsi"/>
        </w:rPr>
        <w:t xml:space="preserve">W ramach </w:t>
      </w:r>
      <w:r w:rsidRPr="00B433E8">
        <w:rPr>
          <w:rFonts w:asciiTheme="minorHAnsi" w:hAnsiTheme="minorHAnsi" w:cstheme="minorHAnsi"/>
        </w:rPr>
        <w:t>8</w:t>
      </w:r>
      <w:r w:rsidRPr="003F0E01">
        <w:rPr>
          <w:rFonts w:asciiTheme="minorHAnsi" w:hAnsiTheme="minorHAnsi"/>
        </w:rPr>
        <w:t xml:space="preserve"> kategorii działań zaproponowanych dla </w:t>
      </w:r>
      <w:r w:rsidR="00DF005E">
        <w:rPr>
          <w:rFonts w:asciiTheme="minorHAnsi" w:hAnsiTheme="minorHAnsi"/>
        </w:rPr>
        <w:t>JCWP</w:t>
      </w:r>
      <w:r w:rsidRPr="003F0E01">
        <w:rPr>
          <w:rFonts w:asciiTheme="minorHAnsi" w:hAnsiTheme="minorHAnsi"/>
        </w:rPr>
        <w:t xml:space="preserve"> TW i CW wyznaczono </w:t>
      </w:r>
      <w:r w:rsidRPr="00B433E8">
        <w:rPr>
          <w:rFonts w:asciiTheme="minorHAnsi" w:hAnsiTheme="minorHAnsi" w:cstheme="minorHAnsi"/>
        </w:rPr>
        <w:t>3</w:t>
      </w:r>
      <w:r w:rsidRPr="003F0E01">
        <w:rPr>
          <w:rFonts w:asciiTheme="minorHAnsi" w:hAnsiTheme="minorHAnsi"/>
        </w:rPr>
        <w:t xml:space="preserve"> stanowiące działania podstawowe </w:t>
      </w:r>
      <w:r w:rsidRPr="00B433E8">
        <w:rPr>
          <w:rFonts w:asciiTheme="minorHAnsi" w:hAnsiTheme="minorHAnsi" w:cstheme="minorHAnsi"/>
        </w:rPr>
        <w:t>(</w:t>
      </w:r>
      <w:r w:rsidR="00257B83">
        <w:rPr>
          <w:rFonts w:asciiTheme="minorHAnsi" w:hAnsiTheme="minorHAnsi" w:cstheme="minorHAnsi"/>
        </w:rPr>
        <w:t>2</w:t>
      </w:r>
      <w:r w:rsidR="000F0115">
        <w:rPr>
          <w:rFonts w:asciiTheme="minorHAnsi" w:hAnsiTheme="minorHAnsi" w:cstheme="minorHAnsi"/>
        </w:rPr>
        <w:t>5</w:t>
      </w:r>
      <w:r w:rsidRPr="00B433E8">
        <w:rPr>
          <w:rFonts w:asciiTheme="minorHAnsi" w:hAnsiTheme="minorHAnsi" w:cstheme="minorHAnsi"/>
        </w:rPr>
        <w:t xml:space="preserve">%) oraz </w:t>
      </w:r>
      <w:r w:rsidR="003F20BE">
        <w:rPr>
          <w:rFonts w:asciiTheme="minorHAnsi" w:hAnsiTheme="minorHAnsi" w:cstheme="minorHAnsi"/>
        </w:rPr>
        <w:t>9</w:t>
      </w:r>
      <w:r w:rsidR="00257B83" w:rsidRPr="003F0E01">
        <w:rPr>
          <w:rFonts w:asciiTheme="minorHAnsi" w:hAnsiTheme="minorHAnsi"/>
        </w:rPr>
        <w:t xml:space="preserve"> </w:t>
      </w:r>
      <w:r w:rsidRPr="003F0E01">
        <w:rPr>
          <w:rFonts w:asciiTheme="minorHAnsi" w:hAnsiTheme="minorHAnsi"/>
        </w:rPr>
        <w:t>działań uzupełniających (</w:t>
      </w:r>
      <w:r w:rsidR="001909E6">
        <w:rPr>
          <w:rFonts w:asciiTheme="minorHAnsi" w:hAnsiTheme="minorHAnsi" w:cstheme="minorHAnsi"/>
        </w:rPr>
        <w:t>7</w:t>
      </w:r>
      <w:r w:rsidR="000F0115">
        <w:rPr>
          <w:rFonts w:asciiTheme="minorHAnsi" w:hAnsiTheme="minorHAnsi" w:cstheme="minorHAnsi"/>
        </w:rPr>
        <w:t>5</w:t>
      </w:r>
      <w:r w:rsidRPr="00B433E8">
        <w:rPr>
          <w:rFonts w:asciiTheme="minorHAnsi" w:hAnsiTheme="minorHAnsi" w:cstheme="minorHAnsi"/>
        </w:rPr>
        <w:t>%) (</w:t>
      </w:r>
      <w:r w:rsidRPr="003F0E01">
        <w:rPr>
          <w:rFonts w:asciiTheme="minorHAnsi" w:hAnsiTheme="minorHAnsi"/>
        </w:rPr>
        <w:t xml:space="preserve">wykres </w:t>
      </w:r>
      <w:r>
        <w:rPr>
          <w:rFonts w:asciiTheme="minorHAnsi" w:hAnsiTheme="minorHAnsi" w:cstheme="minorHAnsi"/>
        </w:rPr>
        <w:t>12</w:t>
      </w:r>
      <w:r w:rsidRPr="00B433E8">
        <w:rPr>
          <w:rFonts w:asciiTheme="minorHAnsi" w:hAnsiTheme="minorHAnsi" w:cstheme="minorHAnsi"/>
        </w:rPr>
        <w:t>-14</w:t>
      </w:r>
      <w:r w:rsidRPr="003F0E01">
        <w:rPr>
          <w:rFonts w:asciiTheme="minorHAnsi" w:hAnsiTheme="minorHAnsi"/>
        </w:rPr>
        <w:t>).</w:t>
      </w:r>
      <w:r w:rsidR="00741CDF">
        <w:rPr>
          <w:rFonts w:asciiTheme="minorHAnsi" w:hAnsiTheme="minorHAnsi"/>
        </w:rPr>
        <w:t xml:space="preserve"> </w:t>
      </w:r>
    </w:p>
    <w:p w14:paraId="1667E10F" w14:textId="5FD1EC31" w:rsidR="00163BB6" w:rsidRDefault="00F654AE" w:rsidP="00163BB6">
      <w:pPr>
        <w:spacing w:line="276" w:lineRule="auto"/>
        <w:jc w:val="center"/>
        <w:rPr>
          <w:rFonts w:asciiTheme="minorHAnsi" w:hAnsiTheme="minorHAnsi" w:cstheme="minorHAnsi"/>
        </w:rPr>
      </w:pPr>
      <w:r>
        <w:rPr>
          <w:noProof/>
        </w:rPr>
        <w:drawing>
          <wp:inline distT="0" distB="0" distL="0" distR="0" wp14:anchorId="04C8C06D" wp14:editId="4FBE886E">
            <wp:extent cx="4259580" cy="2270760"/>
            <wp:effectExtent l="0" t="0" r="7620" b="15240"/>
            <wp:docPr id="91" name="Wykres 91">
              <a:extLst xmlns:a="http://schemas.openxmlformats.org/drawingml/2006/main">
                <a:ext uri="{FF2B5EF4-FFF2-40B4-BE49-F238E27FC236}">
                  <a16:creationId xmlns:a16="http://schemas.microsoft.com/office/drawing/2014/main" id="{434B9917-CFF8-4AE0-813F-66B877C5B5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A31B459" w14:textId="4F686F7A" w:rsidR="00163BB6" w:rsidRPr="00F85C68" w:rsidRDefault="00163BB6" w:rsidP="00B479EE">
      <w:pPr>
        <w:pStyle w:val="Wykres"/>
      </w:pPr>
      <w:bookmarkStart w:id="710" w:name="_Toc66324943"/>
      <w:bookmarkStart w:id="711" w:name="_Toc68195523"/>
      <w:bookmarkStart w:id="712" w:name="_Toc67643666"/>
      <w:bookmarkStart w:id="713" w:name="_Toc105513023"/>
      <w:r w:rsidRPr="00B433E8">
        <w:t xml:space="preserve">Wykres </w:t>
      </w:r>
      <w:fldSimple w:instr=" STYLEREF 1 \s ">
        <w:r w:rsidR="001F774D">
          <w:rPr>
            <w:noProof/>
          </w:rPr>
          <w:t>12</w:t>
        </w:r>
      </w:fldSimple>
      <w:r w:rsidR="00FF20D3">
        <w:noBreakHyphen/>
      </w:r>
      <w:fldSimple w:instr=" SEQ Wykres \* ARABIC \s 1 ">
        <w:r w:rsidR="001F774D">
          <w:rPr>
            <w:noProof/>
          </w:rPr>
          <w:t>14</w:t>
        </w:r>
      </w:fldSimple>
      <w:r w:rsidR="00EB4B7B">
        <w:rPr>
          <w:noProof/>
        </w:rPr>
        <w:t>.</w:t>
      </w:r>
      <w:r w:rsidRPr="00B433E8">
        <w:tab/>
        <w:t xml:space="preserve">Udział działań podstawowych oraz uzupełniających w katalogu działań </w:t>
      </w:r>
      <w:r w:rsidR="00DF005E">
        <w:t>JCWP</w:t>
      </w:r>
      <w:r w:rsidRPr="00B433E8">
        <w:t xml:space="preserve"> </w:t>
      </w:r>
      <w:bookmarkEnd w:id="710"/>
      <w:r w:rsidRPr="00B433E8">
        <w:t>TW i CW</w:t>
      </w:r>
      <w:bookmarkEnd w:id="711"/>
      <w:bookmarkEnd w:id="712"/>
      <w:bookmarkEnd w:id="713"/>
    </w:p>
    <w:p w14:paraId="4FE08123" w14:textId="77777777" w:rsidR="00163BB6" w:rsidRPr="00B433E8" w:rsidRDefault="00163BB6" w:rsidP="00163BB6">
      <w:pPr>
        <w:pStyle w:val="rdo"/>
      </w:pPr>
      <w:r w:rsidRPr="00C22FBA">
        <w:t>Źródło: opracowanie własne</w:t>
      </w:r>
    </w:p>
    <w:p w14:paraId="59844F31" w14:textId="77777777" w:rsidR="00163BB6" w:rsidRPr="003F0E01" w:rsidRDefault="00163BB6" w:rsidP="00163BB6">
      <w:pPr>
        <w:spacing w:line="276" w:lineRule="auto"/>
        <w:rPr>
          <w:rFonts w:asciiTheme="minorHAnsi" w:hAnsiTheme="minorHAnsi"/>
        </w:rPr>
      </w:pPr>
      <w:r w:rsidRPr="003F0E01">
        <w:rPr>
          <w:rFonts w:asciiTheme="minorHAnsi" w:hAnsiTheme="minorHAnsi"/>
        </w:rPr>
        <w:t xml:space="preserve">Każde działanie otrzymało kod IIaPGW wskazujący na rodzaj presji. Zestawienie liczby działań poszczególnych kodów IIaPGW przedstawia tabela </w:t>
      </w:r>
      <w:r>
        <w:rPr>
          <w:rFonts w:asciiTheme="minorHAnsi" w:hAnsiTheme="minorHAnsi" w:cstheme="minorHAnsi"/>
        </w:rPr>
        <w:t>12</w:t>
      </w:r>
      <w:r w:rsidRPr="00B433E8">
        <w:rPr>
          <w:rFonts w:asciiTheme="minorHAnsi" w:hAnsiTheme="minorHAnsi" w:cstheme="minorHAnsi"/>
        </w:rPr>
        <w:t xml:space="preserve">-6 oraz wykres </w:t>
      </w:r>
      <w:r>
        <w:rPr>
          <w:rFonts w:asciiTheme="minorHAnsi" w:hAnsiTheme="minorHAnsi" w:cstheme="minorHAnsi"/>
        </w:rPr>
        <w:t>12</w:t>
      </w:r>
      <w:r w:rsidRPr="00B433E8">
        <w:rPr>
          <w:rFonts w:asciiTheme="minorHAnsi" w:hAnsiTheme="minorHAnsi" w:cstheme="minorHAnsi"/>
        </w:rPr>
        <w:t>-15</w:t>
      </w:r>
      <w:r w:rsidRPr="003F0E01">
        <w:rPr>
          <w:rFonts w:asciiTheme="minorHAnsi" w:hAnsiTheme="minorHAnsi"/>
        </w:rPr>
        <w:t>.</w:t>
      </w:r>
    </w:p>
    <w:p w14:paraId="43DEED08" w14:textId="748974DB" w:rsidR="00163BB6" w:rsidRPr="00B433E8" w:rsidRDefault="00163BB6" w:rsidP="004D7705">
      <w:pPr>
        <w:pStyle w:val="Tabela"/>
      </w:pPr>
      <w:bookmarkStart w:id="714" w:name="_Toc68195499"/>
      <w:bookmarkStart w:id="715" w:name="_Toc67488865"/>
      <w:bookmarkStart w:id="716" w:name="_Toc68123675"/>
      <w:bookmarkStart w:id="717" w:name="_Toc105512875"/>
      <w:r w:rsidRPr="00B433E8">
        <w:t xml:space="preserve">Tabela </w:t>
      </w:r>
      <w:fldSimple w:instr=" STYLEREF 1 \s ">
        <w:r w:rsidR="001F774D">
          <w:rPr>
            <w:noProof/>
          </w:rPr>
          <w:t>12</w:t>
        </w:r>
      </w:fldSimple>
      <w:r w:rsidRPr="00B433E8">
        <w:noBreakHyphen/>
      </w:r>
      <w:fldSimple w:instr=" SEQ Tabela \* ARABIC \s 1 ">
        <w:r w:rsidR="001F774D">
          <w:rPr>
            <w:noProof/>
          </w:rPr>
          <w:t>6</w:t>
        </w:r>
      </w:fldSimple>
      <w:r w:rsidR="00EB4B7B">
        <w:rPr>
          <w:noProof/>
        </w:rPr>
        <w:t>.</w:t>
      </w:r>
      <w:r w:rsidRPr="00B433E8">
        <w:tab/>
        <w:t>Liczba działań poszczególnych kodów</w:t>
      </w:r>
      <w:bookmarkEnd w:id="714"/>
      <w:r w:rsidRPr="00B433E8">
        <w:t xml:space="preserve"> </w:t>
      </w:r>
      <w:bookmarkEnd w:id="715"/>
      <w:r w:rsidRPr="00DB2311">
        <w:t>IIaPGW</w:t>
      </w:r>
      <w:bookmarkEnd w:id="716"/>
      <w:r>
        <w:t xml:space="preserve"> </w:t>
      </w:r>
      <w:r w:rsidR="00DF005E">
        <w:t>JCWP</w:t>
      </w:r>
      <w:r>
        <w:t xml:space="preserve"> TW i CW</w:t>
      </w:r>
      <w:bookmarkEnd w:id="717"/>
    </w:p>
    <w:tbl>
      <w:tblPr>
        <w:tblW w:w="5000" w:type="pct"/>
        <w:jc w:val="center"/>
        <w:tblLook w:val="00A0" w:firstRow="1" w:lastRow="0" w:firstColumn="1" w:lastColumn="0" w:noHBand="0" w:noVBand="0"/>
      </w:tblPr>
      <w:tblGrid>
        <w:gridCol w:w="2263"/>
        <w:gridCol w:w="5125"/>
        <w:gridCol w:w="1674"/>
      </w:tblGrid>
      <w:tr w:rsidR="00163BB6" w:rsidRPr="00B433E8" w14:paraId="64292DEA" w14:textId="77777777" w:rsidTr="008D5A1C">
        <w:trPr>
          <w:trHeight w:val="454"/>
          <w:tblHeader/>
          <w:jc w:val="center"/>
        </w:trPr>
        <w:tc>
          <w:tcPr>
            <w:tcW w:w="226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A382AC4" w14:textId="7DC5E915" w:rsidR="00163BB6" w:rsidRPr="00B433E8" w:rsidRDefault="00163BB6" w:rsidP="005842B5">
            <w:pPr>
              <w:pStyle w:val="Teksttabelinaglowek"/>
              <w:rPr>
                <w:rFonts w:cstheme="minorHAnsi"/>
              </w:rPr>
            </w:pPr>
            <w:r w:rsidRPr="00290498">
              <w:t xml:space="preserve">Kod </w:t>
            </w:r>
            <w:r w:rsidRPr="00B433E8">
              <w:rPr>
                <w:rFonts w:cstheme="minorHAnsi"/>
              </w:rPr>
              <w:t>dzia</w:t>
            </w:r>
            <w:r w:rsidR="00EE0BB3">
              <w:rPr>
                <w:rFonts w:cstheme="minorHAnsi"/>
              </w:rPr>
              <w:t>ła</w:t>
            </w:r>
            <w:r w:rsidRPr="00B433E8">
              <w:rPr>
                <w:rFonts w:cstheme="minorHAnsi"/>
              </w:rPr>
              <w:t xml:space="preserve">nia </w:t>
            </w:r>
            <w:r w:rsidRPr="00290498">
              <w:t>IIaPGW</w:t>
            </w:r>
          </w:p>
        </w:tc>
        <w:tc>
          <w:tcPr>
            <w:tcW w:w="513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7CD7965" w14:textId="77777777" w:rsidR="00163BB6" w:rsidRPr="00B433E8" w:rsidRDefault="00163BB6" w:rsidP="005842B5">
            <w:pPr>
              <w:pStyle w:val="Teksttabelinaglowek"/>
              <w:rPr>
                <w:rFonts w:cstheme="minorHAnsi"/>
              </w:rPr>
            </w:pPr>
            <w:r w:rsidRPr="00290498">
              <w:t>Rodzaj presji</w:t>
            </w:r>
          </w:p>
        </w:tc>
        <w:tc>
          <w:tcPr>
            <w:tcW w:w="167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0B6E983" w14:textId="77777777" w:rsidR="00163BB6" w:rsidRPr="00B433E8" w:rsidRDefault="00163BB6" w:rsidP="005842B5">
            <w:pPr>
              <w:pStyle w:val="Teksttabelinaglowek"/>
              <w:rPr>
                <w:rFonts w:cstheme="minorHAnsi"/>
              </w:rPr>
            </w:pPr>
            <w:r w:rsidRPr="00290498">
              <w:t>Liczba działań</w:t>
            </w:r>
          </w:p>
        </w:tc>
      </w:tr>
      <w:tr w:rsidR="00163BB6" w:rsidRPr="00B433E8" w14:paraId="2FCB78EC" w14:textId="77777777" w:rsidTr="008D5A1C">
        <w:trPr>
          <w:trHeight w:val="454"/>
          <w:jc w:val="center"/>
        </w:trPr>
        <w:tc>
          <w:tcPr>
            <w:tcW w:w="2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D3565B" w14:textId="77777777" w:rsidR="00163BB6" w:rsidRPr="00B433E8" w:rsidRDefault="00163BB6" w:rsidP="005842B5">
            <w:pPr>
              <w:pStyle w:val="Teksttabelilewy"/>
            </w:pPr>
            <w:r w:rsidRPr="00B433E8">
              <w:t>TWCWC</w:t>
            </w:r>
          </w:p>
        </w:tc>
        <w:tc>
          <w:tcPr>
            <w:tcW w:w="51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4AD90" w14:textId="77777777" w:rsidR="00163BB6" w:rsidRPr="00B433E8" w:rsidRDefault="00163BB6" w:rsidP="005842B5">
            <w:pPr>
              <w:pStyle w:val="Teksttabelilewy"/>
            </w:pPr>
            <w:r w:rsidRPr="000075D6">
              <w:t xml:space="preserve">presje </w:t>
            </w:r>
            <w:r w:rsidRPr="00B433E8">
              <w:t>skumulowane wód</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A33240" w14:textId="77777777" w:rsidR="00163BB6" w:rsidRPr="00B433E8" w:rsidRDefault="00163BB6" w:rsidP="005842B5">
            <w:pPr>
              <w:pStyle w:val="Teksttabelisrodek"/>
            </w:pPr>
            <w:r w:rsidRPr="00B433E8">
              <w:t>3</w:t>
            </w:r>
          </w:p>
        </w:tc>
      </w:tr>
      <w:tr w:rsidR="00163BB6" w:rsidRPr="00B433E8" w14:paraId="58D48D36" w14:textId="77777777" w:rsidTr="008D5A1C">
        <w:trPr>
          <w:trHeight w:val="454"/>
          <w:jc w:val="center"/>
        </w:trPr>
        <w:tc>
          <w:tcPr>
            <w:tcW w:w="2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EACE00" w14:textId="77777777" w:rsidR="00163BB6" w:rsidRPr="00B433E8" w:rsidRDefault="00163BB6" w:rsidP="005842B5">
            <w:pPr>
              <w:pStyle w:val="Teksttabelilewy"/>
            </w:pPr>
            <w:r w:rsidRPr="00B433E8">
              <w:t>TWCWP</w:t>
            </w:r>
          </w:p>
        </w:tc>
        <w:tc>
          <w:tcPr>
            <w:tcW w:w="51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EDAECA" w14:textId="77777777" w:rsidR="00163BB6" w:rsidRPr="00B433E8" w:rsidRDefault="00163BB6" w:rsidP="005842B5">
            <w:pPr>
              <w:pStyle w:val="Teksttabelilewy"/>
              <w:rPr>
                <w:rFonts w:cstheme="minorHAnsi"/>
              </w:rPr>
            </w:pPr>
            <w:r w:rsidRPr="000075D6">
              <w:t>presje chemiczne i fizykochemiczne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575E96" w14:textId="6E39E104" w:rsidR="00163BB6" w:rsidRPr="00B433E8" w:rsidRDefault="005F0F12" w:rsidP="005842B5">
            <w:pPr>
              <w:pStyle w:val="Teksttabelisrodek"/>
              <w:rPr>
                <w:rFonts w:cstheme="minorHAnsi"/>
              </w:rPr>
            </w:pPr>
            <w:r>
              <w:t>6</w:t>
            </w:r>
          </w:p>
        </w:tc>
      </w:tr>
      <w:tr w:rsidR="00163BB6" w:rsidRPr="00B433E8" w14:paraId="167B4207" w14:textId="77777777" w:rsidTr="008D5A1C">
        <w:trPr>
          <w:trHeight w:val="454"/>
          <w:jc w:val="center"/>
        </w:trPr>
        <w:tc>
          <w:tcPr>
            <w:tcW w:w="2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3A3FF5" w14:textId="77777777" w:rsidR="00163BB6" w:rsidRPr="00B433E8" w:rsidRDefault="00163BB6" w:rsidP="005842B5">
            <w:pPr>
              <w:pStyle w:val="Teksttabelilewy"/>
            </w:pPr>
            <w:r w:rsidRPr="00B433E8">
              <w:t>TWCWH</w:t>
            </w:r>
          </w:p>
        </w:tc>
        <w:tc>
          <w:tcPr>
            <w:tcW w:w="51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B4970F" w14:textId="77777777" w:rsidR="00163BB6" w:rsidRPr="00B433E8" w:rsidRDefault="00163BB6" w:rsidP="005842B5">
            <w:pPr>
              <w:pStyle w:val="Teksttabelilewy"/>
            </w:pPr>
            <w:r w:rsidRPr="000075D6">
              <w:t xml:space="preserve">presje </w:t>
            </w:r>
            <w:r w:rsidRPr="00B433E8">
              <w:t>hydrologiczne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13FA6F" w14:textId="77777777" w:rsidR="00163BB6" w:rsidRPr="00B433E8" w:rsidRDefault="00163BB6" w:rsidP="005842B5">
            <w:pPr>
              <w:pStyle w:val="Teksttabelisrodek"/>
            </w:pPr>
            <w:r w:rsidRPr="00B433E8">
              <w:t>0</w:t>
            </w:r>
          </w:p>
        </w:tc>
      </w:tr>
      <w:tr w:rsidR="00163BB6" w:rsidRPr="00B433E8" w14:paraId="2FE9BB36" w14:textId="77777777" w:rsidTr="008D5A1C">
        <w:trPr>
          <w:trHeight w:val="454"/>
          <w:jc w:val="center"/>
        </w:trPr>
        <w:tc>
          <w:tcPr>
            <w:tcW w:w="2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A0C7E2" w14:textId="77777777" w:rsidR="00163BB6" w:rsidRPr="00B433E8" w:rsidRDefault="00163BB6" w:rsidP="005842B5">
            <w:pPr>
              <w:pStyle w:val="Teksttabelilewy"/>
            </w:pPr>
            <w:r w:rsidRPr="00B433E8">
              <w:t>TWCWHM</w:t>
            </w:r>
          </w:p>
        </w:tc>
        <w:tc>
          <w:tcPr>
            <w:tcW w:w="51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20EB90" w14:textId="77777777" w:rsidR="00163BB6" w:rsidRPr="00B433E8" w:rsidRDefault="00163BB6" w:rsidP="005842B5">
            <w:pPr>
              <w:pStyle w:val="Teksttabelilewy"/>
            </w:pPr>
            <w:r w:rsidRPr="00B433E8">
              <w:t>presje hydromorfologiczne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F9D192" w14:textId="41999B74" w:rsidR="00163BB6" w:rsidRPr="00B433E8" w:rsidRDefault="00F654AE" w:rsidP="005842B5">
            <w:pPr>
              <w:pStyle w:val="Teksttabelisrodek"/>
            </w:pPr>
            <w:r>
              <w:t>3</w:t>
            </w:r>
          </w:p>
        </w:tc>
      </w:tr>
      <w:tr w:rsidR="00163BB6" w:rsidRPr="00B433E8" w14:paraId="0E411F50" w14:textId="77777777" w:rsidTr="008D5A1C">
        <w:trPr>
          <w:trHeight w:val="454"/>
          <w:jc w:val="center"/>
        </w:trPr>
        <w:tc>
          <w:tcPr>
            <w:tcW w:w="7397" w:type="dxa"/>
            <w:gridSpan w:val="2"/>
            <w:tcBorders>
              <w:top w:val="single" w:sz="4" w:space="0" w:color="000000"/>
              <w:left w:val="single" w:sz="4" w:space="0" w:color="000000"/>
              <w:bottom w:val="single" w:sz="4" w:space="0" w:color="000000"/>
              <w:right w:val="single" w:sz="4" w:space="0" w:color="000000"/>
            </w:tcBorders>
            <w:shd w:val="clear" w:color="auto" w:fill="BFBFBF"/>
            <w:vAlign w:val="center"/>
          </w:tcPr>
          <w:p w14:paraId="34BFD30C" w14:textId="77777777" w:rsidR="00163BB6" w:rsidRPr="000075D6" w:rsidRDefault="00163BB6" w:rsidP="005842B5">
            <w:pPr>
              <w:pStyle w:val="Teksttabelinaglowek"/>
            </w:pPr>
            <w:r w:rsidRPr="000075D6">
              <w:t>Razem</w:t>
            </w:r>
          </w:p>
        </w:tc>
        <w:tc>
          <w:tcPr>
            <w:tcW w:w="167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E103153" w14:textId="16A67C06" w:rsidR="00163BB6" w:rsidRPr="005D58CF" w:rsidRDefault="00F654AE" w:rsidP="005842B5">
            <w:pPr>
              <w:pStyle w:val="Teksttabelinaglowek"/>
            </w:pPr>
            <w:r w:rsidRPr="00290498">
              <w:t>1</w:t>
            </w:r>
            <w:r w:rsidR="005F0F12">
              <w:t>2</w:t>
            </w:r>
          </w:p>
        </w:tc>
      </w:tr>
    </w:tbl>
    <w:p w14:paraId="735AF196" w14:textId="77777777" w:rsidR="00163BB6" w:rsidRPr="00C22FBA" w:rsidRDefault="00163BB6" w:rsidP="00163BB6">
      <w:pPr>
        <w:pStyle w:val="rdo"/>
      </w:pPr>
      <w:r w:rsidRPr="00C22FBA">
        <w:t>Źródło: opracowanie własne</w:t>
      </w:r>
    </w:p>
    <w:p w14:paraId="581CCD6C" w14:textId="00C8878C" w:rsidR="001D57EC" w:rsidRPr="00AB5553" w:rsidRDefault="00344F72" w:rsidP="001D57EC">
      <w:pPr>
        <w:keepNext/>
        <w:spacing w:line="276" w:lineRule="auto"/>
        <w:jc w:val="center"/>
      </w:pPr>
      <w:r>
        <w:rPr>
          <w:noProof/>
        </w:rPr>
        <w:drawing>
          <wp:inline distT="0" distB="0" distL="0" distR="0" wp14:anchorId="425B7C09" wp14:editId="1643AC45">
            <wp:extent cx="4319905" cy="2519680"/>
            <wp:effectExtent l="0" t="0" r="4445" b="13970"/>
            <wp:docPr id="93" name="Wykres 93">
              <a:extLst xmlns:a="http://schemas.openxmlformats.org/drawingml/2006/main">
                <a:ext uri="{FF2B5EF4-FFF2-40B4-BE49-F238E27FC236}">
                  <a16:creationId xmlns:a16="http://schemas.microsoft.com/office/drawing/2014/main" id="{AC9ED0CA-0653-48C4-8792-C29937BE4D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02F30A2C" w14:textId="517BD0EE" w:rsidR="00163BB6" w:rsidRPr="00AB5553" w:rsidRDefault="001D57EC" w:rsidP="001D57EC">
      <w:pPr>
        <w:pStyle w:val="Wykres"/>
      </w:pPr>
      <w:bookmarkStart w:id="718" w:name="_Toc105513024"/>
      <w:r w:rsidRPr="00AB5553">
        <w:t xml:space="preserve">Wykres </w:t>
      </w:r>
      <w:fldSimple w:instr=" STYLEREF 1 \s ">
        <w:r w:rsidR="001F774D">
          <w:rPr>
            <w:noProof/>
          </w:rPr>
          <w:t>12</w:t>
        </w:r>
      </w:fldSimple>
      <w:r w:rsidR="00FF20D3">
        <w:noBreakHyphen/>
      </w:r>
      <w:fldSimple w:instr=" SEQ Wykres \* ARABIC \s 1 ">
        <w:r w:rsidR="001F774D">
          <w:rPr>
            <w:noProof/>
          </w:rPr>
          <w:t>15</w:t>
        </w:r>
      </w:fldSimple>
      <w:r w:rsidR="002B6022">
        <w:rPr>
          <w:noProof/>
        </w:rPr>
        <w:t>.</w:t>
      </w:r>
      <w:r w:rsidRPr="00AB5553">
        <w:tab/>
        <w:t>Udział działań ukierunkowanych na redukcję poszczególnych rodzajów presji</w:t>
      </w:r>
      <w:bookmarkEnd w:id="718"/>
    </w:p>
    <w:p w14:paraId="0235A808" w14:textId="77777777" w:rsidR="00163BB6" w:rsidRPr="00B433E8" w:rsidRDefault="00163BB6" w:rsidP="00163BB6">
      <w:pPr>
        <w:pStyle w:val="rdo"/>
      </w:pPr>
      <w:r w:rsidRPr="00B433E8">
        <w:t>Źródło: opracowanie własne</w:t>
      </w:r>
    </w:p>
    <w:p w14:paraId="5F7BDFC5" w14:textId="425EE283" w:rsidR="00163BB6" w:rsidRPr="000075D6" w:rsidRDefault="00163BB6" w:rsidP="00163BB6">
      <w:pPr>
        <w:spacing w:line="276" w:lineRule="auto"/>
        <w:rPr>
          <w:rFonts w:asciiTheme="minorHAnsi" w:hAnsiTheme="minorHAnsi"/>
        </w:rPr>
      </w:pPr>
      <w:r w:rsidRPr="000075D6">
        <w:rPr>
          <w:rFonts w:asciiTheme="minorHAnsi" w:hAnsiTheme="minorHAnsi"/>
        </w:rPr>
        <w:t xml:space="preserve">Poniżej wskazano opisy poszczególnych kodów działań </w:t>
      </w:r>
      <w:r w:rsidR="00DF005E">
        <w:rPr>
          <w:rFonts w:asciiTheme="minorHAnsi" w:hAnsiTheme="minorHAnsi"/>
        </w:rPr>
        <w:t>JCWP</w:t>
      </w:r>
      <w:r w:rsidRPr="000075D6">
        <w:rPr>
          <w:rFonts w:asciiTheme="minorHAnsi" w:hAnsiTheme="minorHAnsi"/>
        </w:rPr>
        <w:t xml:space="preserve"> TW i CW w odniesieniu do kategorii działań.</w:t>
      </w:r>
    </w:p>
    <w:p w14:paraId="2E44707F" w14:textId="77777777" w:rsidR="00163BB6" w:rsidRPr="000075D6" w:rsidRDefault="00163BB6" w:rsidP="00163BB6">
      <w:pPr>
        <w:spacing w:line="276" w:lineRule="auto"/>
        <w:rPr>
          <w:rFonts w:asciiTheme="minorHAnsi" w:hAnsiTheme="minorHAnsi"/>
          <w:u w:val="single"/>
        </w:rPr>
      </w:pPr>
      <w:r w:rsidRPr="00B433E8">
        <w:rPr>
          <w:rFonts w:asciiTheme="minorHAnsi" w:hAnsiTheme="minorHAnsi" w:cstheme="minorHAnsi"/>
        </w:rPr>
        <w:t>Do</w:t>
      </w:r>
      <w:r w:rsidRPr="000075D6">
        <w:rPr>
          <w:rFonts w:asciiTheme="minorHAnsi" w:hAnsiTheme="minorHAnsi"/>
        </w:rPr>
        <w:t xml:space="preserve"> katalogu włączono cztery grupy działań </w:t>
      </w:r>
      <w:r w:rsidRPr="00B433E8">
        <w:rPr>
          <w:rFonts w:asciiTheme="minorHAnsi" w:hAnsiTheme="minorHAnsi" w:cstheme="minorHAnsi"/>
        </w:rPr>
        <w:t>w zakresie redukcji presji fizykochemicznych i chemicznych</w:t>
      </w:r>
      <w:r w:rsidRPr="000075D6">
        <w:rPr>
          <w:rFonts w:asciiTheme="minorHAnsi" w:hAnsiTheme="minorHAnsi"/>
        </w:rPr>
        <w:t xml:space="preserve"> obejmujących łącznie </w:t>
      </w:r>
      <w:r w:rsidRPr="00B433E8">
        <w:rPr>
          <w:rFonts w:asciiTheme="minorHAnsi" w:hAnsiTheme="minorHAnsi" w:cstheme="minorHAnsi"/>
        </w:rPr>
        <w:t>6</w:t>
      </w:r>
      <w:r w:rsidRPr="000075D6">
        <w:rPr>
          <w:rFonts w:asciiTheme="minorHAnsi" w:hAnsiTheme="minorHAnsi"/>
        </w:rPr>
        <w:t xml:space="preserve"> działań na terenach przylegających do tych wód:</w:t>
      </w:r>
      <w:r w:rsidRPr="000075D6">
        <w:rPr>
          <w:rFonts w:asciiTheme="minorHAnsi" w:hAnsiTheme="minorHAnsi"/>
          <w:u w:val="single"/>
        </w:rPr>
        <w:t xml:space="preserve"> </w:t>
      </w:r>
    </w:p>
    <w:p w14:paraId="129C8025" w14:textId="59BC991A" w:rsidR="00163BB6" w:rsidRPr="000075D6" w:rsidRDefault="00163BB6" w:rsidP="00117E86">
      <w:pPr>
        <w:pStyle w:val="Listapunktowana2"/>
      </w:pPr>
      <w:r w:rsidRPr="00B433E8">
        <w:rPr>
          <w:b/>
        </w:rPr>
        <w:t>TWCWP01</w:t>
      </w:r>
      <w:r w:rsidRPr="000075D6">
        <w:rPr>
          <w:b/>
        </w:rPr>
        <w:t>:</w:t>
      </w:r>
      <w:r w:rsidRPr="000075D6">
        <w:t xml:space="preserve"> gospodarka ściekowa w aglomeracjach </w:t>
      </w:r>
      <w:r w:rsidR="0096315B">
        <w:t>–</w:t>
      </w:r>
      <w:r w:rsidRPr="000075D6">
        <w:t xml:space="preserve"> działanie związane z realizacją KPOŚK</w:t>
      </w:r>
      <w:r w:rsidRPr="00B433E8">
        <w:t xml:space="preserve"> (grupy</w:t>
      </w:r>
      <w:r w:rsidR="00491975">
        <w:t> </w:t>
      </w:r>
      <w:r w:rsidRPr="00B433E8">
        <w:t>działań związane z poprawą jakości wód i ograniczeniem dopływu zanieczyszczeń ze</w:t>
      </w:r>
      <w:r w:rsidR="002640DE">
        <w:t> </w:t>
      </w:r>
      <w:r w:rsidRPr="00B433E8">
        <w:t>źródeł komunalnych);</w:t>
      </w:r>
    </w:p>
    <w:p w14:paraId="18ECD446" w14:textId="476C00D3" w:rsidR="00163BB6" w:rsidRPr="000075D6" w:rsidRDefault="00163BB6" w:rsidP="00117E86">
      <w:pPr>
        <w:pStyle w:val="Listapunktowana2"/>
        <w:rPr>
          <w:color w:val="000000"/>
        </w:rPr>
      </w:pPr>
      <w:r w:rsidRPr="00B433E8">
        <w:rPr>
          <w:b/>
        </w:rPr>
        <w:t>TWCWP03</w:t>
      </w:r>
      <w:r w:rsidRPr="000075D6">
        <w:rPr>
          <w:b/>
        </w:rPr>
        <w:t>:</w:t>
      </w:r>
      <w:r w:rsidRPr="000075D6">
        <w:t xml:space="preserve"> gospodarka ściekowa </w:t>
      </w:r>
      <w:r w:rsidR="0096315B">
        <w:t>–</w:t>
      </w:r>
      <w:r w:rsidRPr="000075D6">
        <w:t xml:space="preserve"> działanie dotyczące terenów niezurbanizowanych</w:t>
      </w:r>
      <w:r w:rsidRPr="00B433E8">
        <w:t xml:space="preserve"> (grupa</w:t>
      </w:r>
      <w:r w:rsidR="00491975">
        <w:t> </w:t>
      </w:r>
      <w:r w:rsidRPr="00B433E8">
        <w:t>działań związana z poprawą jakości wód i ograniczeniem dopływu zanieczyszczeń ze</w:t>
      </w:r>
      <w:r w:rsidR="002640DE">
        <w:t> </w:t>
      </w:r>
      <w:r w:rsidRPr="00B433E8">
        <w:t>źródeł komunalnych);</w:t>
      </w:r>
    </w:p>
    <w:p w14:paraId="50984A2F" w14:textId="15688409" w:rsidR="00163BB6" w:rsidRPr="000075D6" w:rsidRDefault="00163BB6" w:rsidP="00117E86">
      <w:pPr>
        <w:pStyle w:val="Listapunktowana2"/>
        <w:rPr>
          <w:color w:val="000000"/>
        </w:rPr>
      </w:pPr>
      <w:r w:rsidRPr="00B433E8">
        <w:rPr>
          <w:b/>
        </w:rPr>
        <w:t>TWCWP04</w:t>
      </w:r>
      <w:r w:rsidRPr="000075D6">
        <w:rPr>
          <w:b/>
        </w:rPr>
        <w:t>:</w:t>
      </w:r>
      <w:r w:rsidRPr="000075D6">
        <w:t xml:space="preserve"> gospodarowanie wodami opadowymi </w:t>
      </w:r>
      <w:r w:rsidR="0096315B">
        <w:t>–</w:t>
      </w:r>
      <w:r w:rsidRPr="000075D6">
        <w:t xml:space="preserve"> działanie dotyczące terenów niezurbanizowanych</w:t>
      </w:r>
      <w:r w:rsidRPr="00B433E8">
        <w:t xml:space="preserve"> (grupy działań związane z poprawą jakości wód i ograniczeniem dopływu zanieczyszczeń ze źródeł komunalnych i przemysłowych);</w:t>
      </w:r>
    </w:p>
    <w:p w14:paraId="7D62D539" w14:textId="37DD2241" w:rsidR="00163BB6" w:rsidRPr="000075D6" w:rsidRDefault="00163BB6" w:rsidP="00117E86">
      <w:pPr>
        <w:pStyle w:val="Listapunktowana2"/>
        <w:rPr>
          <w:color w:val="000000"/>
        </w:rPr>
      </w:pPr>
      <w:r w:rsidRPr="00B433E8">
        <w:rPr>
          <w:b/>
        </w:rPr>
        <w:t>TWCWP06</w:t>
      </w:r>
      <w:r w:rsidRPr="00B433E8">
        <w:t>: ograniczenie</w:t>
      </w:r>
      <w:r w:rsidRPr="000075D6">
        <w:t xml:space="preserve"> zanieczyszczeń rozproszonych związanych z rozwojem obszarów zurbanizowanych, turystyki i transportu</w:t>
      </w:r>
      <w:r w:rsidRPr="00B433E8">
        <w:t xml:space="preserve"> (grupa działań związana z poprawą jakości wód i</w:t>
      </w:r>
      <w:r w:rsidR="00F85C68">
        <w:t> </w:t>
      </w:r>
      <w:r w:rsidRPr="00B433E8">
        <w:t>ograniczeniem dopływu zanieczyszczeń ze źródeł komunalnych i przemysłowych).</w:t>
      </w:r>
    </w:p>
    <w:p w14:paraId="539AD7FA" w14:textId="77777777" w:rsidR="00163BB6" w:rsidRPr="00B433E8" w:rsidRDefault="00163BB6" w:rsidP="00163BB6">
      <w:pPr>
        <w:spacing w:line="276" w:lineRule="auto"/>
        <w:rPr>
          <w:rFonts w:asciiTheme="minorHAnsi" w:hAnsiTheme="minorHAnsi" w:cstheme="minorHAnsi"/>
          <w:color w:val="000000"/>
        </w:rPr>
      </w:pPr>
      <w:r w:rsidRPr="00B433E8">
        <w:rPr>
          <w:rFonts w:asciiTheme="minorHAnsi" w:hAnsiTheme="minorHAnsi" w:cstheme="minorHAnsi"/>
        </w:rPr>
        <w:t xml:space="preserve">Dla działań związanych z presjami wpływającymi na elementy hydromorfologiczne wskazano dwie grupy działań: </w:t>
      </w:r>
    </w:p>
    <w:p w14:paraId="765C7DCA" w14:textId="48E42768" w:rsidR="00163BB6" w:rsidRPr="00B433E8" w:rsidRDefault="00163BB6" w:rsidP="00117E86">
      <w:pPr>
        <w:pStyle w:val="Listapunktowana2"/>
        <w:rPr>
          <w:color w:val="000000"/>
        </w:rPr>
      </w:pPr>
      <w:r w:rsidRPr="00B433E8">
        <w:rPr>
          <w:b/>
        </w:rPr>
        <w:t>TWCWHM01:</w:t>
      </w:r>
      <w:r w:rsidRPr="00B433E8">
        <w:t xml:space="preserve"> grupa działań skierowanych na poprawę stanu elementów hydromorfologicznych i</w:t>
      </w:r>
      <w:r w:rsidR="00F85C68">
        <w:t> </w:t>
      </w:r>
      <w:r w:rsidRPr="00B433E8">
        <w:t>warunków siedliskowych strefy brzegowej;</w:t>
      </w:r>
    </w:p>
    <w:p w14:paraId="5552A4C5" w14:textId="77777777" w:rsidR="00163BB6" w:rsidRPr="00B433E8" w:rsidRDefault="00163BB6" w:rsidP="00117E86">
      <w:pPr>
        <w:pStyle w:val="Listapunktowana2"/>
        <w:rPr>
          <w:color w:val="000000"/>
        </w:rPr>
      </w:pPr>
      <w:r w:rsidRPr="00B433E8">
        <w:rPr>
          <w:b/>
        </w:rPr>
        <w:t>TWCWHM02:</w:t>
      </w:r>
      <w:r w:rsidRPr="00B433E8">
        <w:t xml:space="preserve"> grupa działań mająca na celu ochronę i odtwarzanie naturalnych procesów hydromorfologicznych w strefie brzegowej.</w:t>
      </w:r>
    </w:p>
    <w:p w14:paraId="5E87F31B" w14:textId="77777777" w:rsidR="00163BB6" w:rsidRPr="000075D6" w:rsidRDefault="00163BB6" w:rsidP="001D57EC">
      <w:pPr>
        <w:keepNext/>
        <w:spacing w:line="276" w:lineRule="auto"/>
        <w:rPr>
          <w:rFonts w:asciiTheme="minorHAnsi" w:hAnsiTheme="minorHAnsi"/>
        </w:rPr>
      </w:pPr>
      <w:r w:rsidRPr="00B433E8">
        <w:rPr>
          <w:rFonts w:asciiTheme="minorHAnsi" w:hAnsiTheme="minorHAnsi" w:cstheme="minorHAnsi"/>
        </w:rPr>
        <w:t>Grupa</w:t>
      </w:r>
      <w:r w:rsidRPr="000075D6">
        <w:rPr>
          <w:rFonts w:asciiTheme="minorHAnsi" w:hAnsiTheme="minorHAnsi"/>
        </w:rPr>
        <w:t xml:space="preserve"> działań skumulowanych </w:t>
      </w:r>
      <w:r w:rsidRPr="00B433E8">
        <w:rPr>
          <w:rFonts w:asciiTheme="minorHAnsi" w:hAnsiTheme="minorHAnsi" w:cstheme="minorHAnsi"/>
        </w:rPr>
        <w:t>obejmuje</w:t>
      </w:r>
      <w:r w:rsidRPr="000075D6">
        <w:rPr>
          <w:rFonts w:asciiTheme="minorHAnsi" w:hAnsiTheme="minorHAnsi"/>
        </w:rPr>
        <w:t xml:space="preserve"> dwa rodzaje działań:</w:t>
      </w:r>
    </w:p>
    <w:p w14:paraId="20862EF9" w14:textId="77777777" w:rsidR="00163BB6" w:rsidRPr="000075D6" w:rsidRDefault="00163BB6" w:rsidP="00117E86">
      <w:pPr>
        <w:pStyle w:val="Listapunktowana2"/>
        <w:rPr>
          <w:color w:val="000000"/>
        </w:rPr>
      </w:pPr>
      <w:r w:rsidRPr="00B433E8">
        <w:rPr>
          <w:rFonts w:cstheme="minorHAnsi"/>
          <w:b/>
        </w:rPr>
        <w:t>TWCWC01</w:t>
      </w:r>
      <w:r w:rsidRPr="00B433E8">
        <w:rPr>
          <w:rFonts w:cstheme="minorHAnsi"/>
        </w:rPr>
        <w:t>: działanie</w:t>
      </w:r>
      <w:r w:rsidRPr="000075D6">
        <w:t xml:space="preserve"> skierowane na adaptację do zmian klimatu w zakresie retencji i zagospodarowania wód opadowych i roztopowych na terenach zurbanizowanych;</w:t>
      </w:r>
    </w:p>
    <w:p w14:paraId="56C4C9F7" w14:textId="1156D9AD" w:rsidR="00163BB6" w:rsidRPr="000075D6" w:rsidRDefault="00163BB6" w:rsidP="00117E86">
      <w:pPr>
        <w:pStyle w:val="Listapunktowana2"/>
      </w:pPr>
      <w:r w:rsidRPr="00B433E8">
        <w:rPr>
          <w:rFonts w:cstheme="minorHAnsi"/>
          <w:b/>
        </w:rPr>
        <w:t>TWCWC04:</w:t>
      </w:r>
      <w:r w:rsidRPr="00B433E8">
        <w:rPr>
          <w:rFonts w:cstheme="minorHAnsi"/>
        </w:rPr>
        <w:t xml:space="preserve"> działanie</w:t>
      </w:r>
      <w:r w:rsidRPr="000075D6">
        <w:t xml:space="preserve"> związane z poprawą warunków dla obszarów chronionych. Działania w</w:t>
      </w:r>
      <w:r w:rsidR="000D05E9">
        <w:t> </w:t>
      </w:r>
      <w:r w:rsidRPr="000075D6">
        <w:t>tej grupie są ukierunkowane</w:t>
      </w:r>
      <w:r w:rsidRPr="00B433E8">
        <w:rPr>
          <w:rFonts w:cstheme="minorHAnsi"/>
        </w:rPr>
        <w:t xml:space="preserve"> są</w:t>
      </w:r>
      <w:r w:rsidRPr="000075D6">
        <w:t xml:space="preserve"> na realizację zadań wynikających z planów ochrony lub planów zadań ochronnych ustanowionych dla obszarów przeznaczonych do ochrony siedlisk lub</w:t>
      </w:r>
      <w:r w:rsidR="00491975">
        <w:t> </w:t>
      </w:r>
      <w:r w:rsidRPr="000075D6">
        <w:t>gatunków, ustanowion</w:t>
      </w:r>
      <w:r w:rsidR="008C612B">
        <w:t>y</w:t>
      </w:r>
      <w:r w:rsidR="00EB54BB">
        <w:t>ch</w:t>
      </w:r>
      <w:r w:rsidRPr="000075D6">
        <w:t xml:space="preserve"> w</w:t>
      </w:r>
      <w:r w:rsidRPr="00B433E8">
        <w:rPr>
          <w:rFonts w:cstheme="minorHAnsi"/>
        </w:rPr>
        <w:t xml:space="preserve"> </w:t>
      </w:r>
      <w:r w:rsidR="00D01128">
        <w:t>u.o.p</w:t>
      </w:r>
      <w:r w:rsidRPr="000075D6">
        <w:t xml:space="preserve">, dla których utrzymanie lub poprawa stanu wód jest ważnym czynnikiem w ich ochronie oraz działania ukierunkowane na opracowanie indywidualnych programów renaturyzacji mających na celu odbudowę słonych mokradeł w strefie brzegowej wód przejściowych zasilanych wodami morskimi </w:t>
      </w:r>
      <w:r w:rsidR="0096315B">
        <w:t>–</w:t>
      </w:r>
      <w:r w:rsidRPr="000075D6">
        <w:t xml:space="preserve"> ze</w:t>
      </w:r>
      <w:r w:rsidR="00DA4F98">
        <w:t> </w:t>
      </w:r>
      <w:r w:rsidRPr="000075D6">
        <w:t>wskazaniem konkretnych obszarów chronionych, dla</w:t>
      </w:r>
      <w:r w:rsidRPr="00B433E8">
        <w:rPr>
          <w:rFonts w:cstheme="minorHAnsi"/>
        </w:rPr>
        <w:t xml:space="preserve"> </w:t>
      </w:r>
      <w:r w:rsidRPr="000075D6">
        <w:t xml:space="preserve">których powinny być one zrealizowane, </w:t>
      </w:r>
      <w:r w:rsidRPr="00254584">
        <w:t xml:space="preserve">ponieważ w okresie sporządzania IIaPGW </w:t>
      </w:r>
      <w:r w:rsidRPr="00254584">
        <w:rPr>
          <w:rFonts w:cstheme="minorHAnsi"/>
        </w:rPr>
        <w:t>(</w:t>
      </w:r>
      <w:r w:rsidR="008D48C3" w:rsidRPr="00F86241">
        <w:rPr>
          <w:rFonts w:cstheme="minorHAnsi"/>
        </w:rPr>
        <w:t xml:space="preserve">sierpień 2020 r. - </w:t>
      </w:r>
      <w:r w:rsidRPr="00254584">
        <w:rPr>
          <w:rFonts w:cstheme="minorHAnsi"/>
        </w:rPr>
        <w:t>marzec 202</w:t>
      </w:r>
      <w:r w:rsidR="008D48C3" w:rsidRPr="00F86241">
        <w:rPr>
          <w:rFonts w:cstheme="minorHAnsi"/>
        </w:rPr>
        <w:t>2</w:t>
      </w:r>
      <w:r w:rsidRPr="00254584">
        <w:rPr>
          <w:rFonts w:cstheme="minorHAnsi"/>
        </w:rPr>
        <w:t xml:space="preserve"> r.)</w:t>
      </w:r>
      <w:r w:rsidRPr="00B433E8">
        <w:rPr>
          <w:rFonts w:cstheme="minorHAnsi"/>
        </w:rPr>
        <w:t xml:space="preserve"> nie wszystkie </w:t>
      </w:r>
      <w:r w:rsidRPr="000075D6">
        <w:t xml:space="preserve">obszary Natura 2000 wyznaczone na wodach przejściowych i przybrzeżnych oraz w ich zlewniach </w:t>
      </w:r>
      <w:r w:rsidRPr="00B433E8">
        <w:rPr>
          <w:rFonts w:cstheme="minorHAnsi"/>
        </w:rPr>
        <w:t>mają ustanowione plany</w:t>
      </w:r>
      <w:r w:rsidRPr="000075D6">
        <w:t xml:space="preserve"> ochrony</w:t>
      </w:r>
      <w:r w:rsidRPr="00B433E8">
        <w:rPr>
          <w:rFonts w:cstheme="minorHAnsi"/>
        </w:rPr>
        <w:t xml:space="preserve"> </w:t>
      </w:r>
      <w:r w:rsidR="00D67985">
        <w:rPr>
          <w:rFonts w:cstheme="minorHAnsi"/>
        </w:rPr>
        <w:t xml:space="preserve">lub </w:t>
      </w:r>
      <w:r w:rsidRPr="00B433E8">
        <w:rPr>
          <w:rFonts w:cstheme="minorHAnsi"/>
        </w:rPr>
        <w:t>plany zadań ochronnych (grupy działań wynikające z</w:t>
      </w:r>
      <w:r w:rsidR="00D67985">
        <w:rPr>
          <w:rFonts w:cstheme="minorHAnsi"/>
        </w:rPr>
        <w:t> </w:t>
      </w:r>
      <w:r w:rsidRPr="00B433E8">
        <w:rPr>
          <w:rFonts w:cstheme="minorHAnsi"/>
        </w:rPr>
        <w:t>wymagań dla obszarów chronionych).</w:t>
      </w:r>
    </w:p>
    <w:p w14:paraId="0CB4686D" w14:textId="0D1E4A50" w:rsidR="00134DF1" w:rsidRPr="00795F17" w:rsidRDefault="00134DF1" w:rsidP="00134DF1">
      <w:r w:rsidRPr="00795F17">
        <w:t xml:space="preserve">Katalog działań </w:t>
      </w:r>
      <w:r w:rsidR="00DF005E">
        <w:t>JCWP</w:t>
      </w:r>
      <w:r w:rsidRPr="00795F17">
        <w:t xml:space="preserve"> TW i CW </w:t>
      </w:r>
      <w:r w:rsidR="00064AE0">
        <w:t>prezentuje załącznik</w:t>
      </w:r>
      <w:r w:rsidRPr="00795F17">
        <w:t xml:space="preserve"> nr </w:t>
      </w:r>
      <w:r w:rsidR="00CC04BE">
        <w:t>12</w:t>
      </w:r>
      <w:r w:rsidRPr="00795F17">
        <w:t xml:space="preserve"> (Katalog działań dla poszczególnych kategorii wód)</w:t>
      </w:r>
      <w:r w:rsidR="00163BB6">
        <w:t xml:space="preserve"> IIaPGW</w:t>
      </w:r>
      <w:r w:rsidRPr="00795F17">
        <w:t>.</w:t>
      </w:r>
    </w:p>
    <w:p w14:paraId="0016D7AC" w14:textId="7C810B5A" w:rsidR="00134DF1" w:rsidRPr="00795F17" w:rsidRDefault="00134DF1" w:rsidP="00C53C86">
      <w:pPr>
        <w:pStyle w:val="Nagwek3"/>
      </w:pPr>
      <w:bookmarkStart w:id="719" w:name="_Toc105512701"/>
      <w:r w:rsidRPr="00795F17">
        <w:t xml:space="preserve">Katalog działań </w:t>
      </w:r>
      <w:r w:rsidR="00DF005E">
        <w:t>JCWP</w:t>
      </w:r>
      <w:r w:rsidRPr="00795F17">
        <w:t>d (GW)</w:t>
      </w:r>
      <w:bookmarkEnd w:id="719"/>
    </w:p>
    <w:p w14:paraId="299D1CBA" w14:textId="7C3C1DA5" w:rsidR="00754B2D" w:rsidRPr="00B433E8" w:rsidRDefault="00754B2D" w:rsidP="00754B2D">
      <w:pPr>
        <w:spacing w:line="276" w:lineRule="auto"/>
        <w:rPr>
          <w:rFonts w:asciiTheme="minorHAnsi" w:hAnsiTheme="minorHAnsi" w:cstheme="minorHAnsi"/>
        </w:rPr>
      </w:pPr>
      <w:r w:rsidRPr="000075D6">
        <w:rPr>
          <w:rFonts w:asciiTheme="minorHAnsi" w:hAnsiTheme="minorHAnsi"/>
        </w:rPr>
        <w:t xml:space="preserve">Katalog dla </w:t>
      </w:r>
      <w:r w:rsidR="00DF005E">
        <w:rPr>
          <w:rFonts w:asciiTheme="minorHAnsi" w:hAnsiTheme="minorHAnsi"/>
        </w:rPr>
        <w:t>JCWP</w:t>
      </w:r>
      <w:r w:rsidRPr="000075D6">
        <w:rPr>
          <w:rFonts w:asciiTheme="minorHAnsi" w:hAnsiTheme="minorHAnsi"/>
        </w:rPr>
        <w:t xml:space="preserve">d </w:t>
      </w:r>
      <w:r w:rsidRPr="00B433E8">
        <w:rPr>
          <w:rFonts w:asciiTheme="minorHAnsi" w:hAnsiTheme="minorHAnsi" w:cstheme="minorHAnsi"/>
        </w:rPr>
        <w:t xml:space="preserve">(GW) </w:t>
      </w:r>
      <w:r w:rsidRPr="000075D6">
        <w:rPr>
          <w:rFonts w:asciiTheme="minorHAnsi" w:hAnsiTheme="minorHAnsi"/>
        </w:rPr>
        <w:t xml:space="preserve">zbudowany został na bazie zebranych w grupy działań </w:t>
      </w:r>
      <w:r w:rsidRPr="00B433E8">
        <w:rPr>
          <w:rFonts w:asciiTheme="minorHAnsi" w:hAnsiTheme="minorHAnsi" w:cstheme="minorHAnsi"/>
        </w:rPr>
        <w:t>umożliwiających</w:t>
      </w:r>
      <w:r w:rsidRPr="000075D6">
        <w:rPr>
          <w:rFonts w:asciiTheme="minorHAnsi" w:hAnsiTheme="minorHAnsi"/>
        </w:rPr>
        <w:t xml:space="preserve"> redukcję wpływu presji zidentyfikowanych w ramach </w:t>
      </w:r>
      <w:r w:rsidRPr="00B433E8">
        <w:rPr>
          <w:rFonts w:asciiTheme="minorHAnsi" w:hAnsiTheme="minorHAnsi" w:cstheme="minorHAnsi"/>
        </w:rPr>
        <w:t>opracowania</w:t>
      </w:r>
      <w:r w:rsidRPr="000075D6">
        <w:rPr>
          <w:rFonts w:asciiTheme="minorHAnsi" w:hAnsiTheme="minorHAnsi"/>
        </w:rPr>
        <w:t xml:space="preserve"> </w:t>
      </w:r>
      <w:r w:rsidRPr="000075D6">
        <w:rPr>
          <w:rFonts w:asciiTheme="minorHAnsi" w:hAnsiTheme="minorHAnsi"/>
          <w:i/>
        </w:rPr>
        <w:t xml:space="preserve">Dalsza charakterystyka </w:t>
      </w:r>
      <w:r w:rsidR="00DF005E">
        <w:rPr>
          <w:rFonts w:asciiTheme="minorHAnsi" w:hAnsiTheme="minorHAnsi"/>
          <w:i/>
        </w:rPr>
        <w:t>JCWP</w:t>
      </w:r>
      <w:r w:rsidRPr="000075D6">
        <w:rPr>
          <w:rFonts w:asciiTheme="minorHAnsi" w:hAnsiTheme="minorHAnsi"/>
          <w:i/>
        </w:rPr>
        <w:t>d</w:t>
      </w:r>
      <w:r w:rsidR="00FE7EF1">
        <w:rPr>
          <w:rFonts w:asciiTheme="minorHAnsi" w:hAnsiTheme="minorHAnsi"/>
          <w:i/>
        </w:rPr>
        <w:t xml:space="preserve"> </w:t>
      </w:r>
      <w:r w:rsidR="00FE7EF1" w:rsidRPr="00B433E8">
        <w:rPr>
          <w:rFonts w:asciiTheme="minorHAnsi" w:hAnsiTheme="minorHAnsi" w:cstheme="minorHAnsi"/>
          <w:i/>
        </w:rPr>
        <w:t>(…)</w:t>
      </w:r>
      <w:r w:rsidR="001F0E03">
        <w:rPr>
          <w:rStyle w:val="Odwoanieprzypisudolnego"/>
          <w:rFonts w:asciiTheme="minorHAnsi" w:hAnsiTheme="minorHAnsi"/>
          <w:i/>
        </w:rPr>
        <w:footnoteReference w:id="99"/>
      </w:r>
      <w:r w:rsidRPr="00B433E8">
        <w:rPr>
          <w:rFonts w:asciiTheme="minorHAnsi" w:hAnsiTheme="minorHAnsi" w:cstheme="minorHAnsi"/>
        </w:rPr>
        <w:t>.</w:t>
      </w:r>
    </w:p>
    <w:p w14:paraId="0B63E6C3" w14:textId="5E8AA94E" w:rsidR="00754B2D" w:rsidRPr="000075D6" w:rsidRDefault="00754B2D" w:rsidP="00754B2D">
      <w:pPr>
        <w:spacing w:line="276" w:lineRule="auto"/>
        <w:rPr>
          <w:rFonts w:asciiTheme="minorHAnsi" w:hAnsiTheme="minorHAnsi"/>
        </w:rPr>
      </w:pPr>
      <w:r w:rsidRPr="00B433E8">
        <w:rPr>
          <w:rFonts w:asciiTheme="minorHAnsi" w:hAnsiTheme="minorHAnsi" w:cstheme="minorHAnsi"/>
        </w:rPr>
        <w:t xml:space="preserve">Katalog działań dla </w:t>
      </w:r>
      <w:r w:rsidR="00DF005E">
        <w:rPr>
          <w:rFonts w:asciiTheme="minorHAnsi" w:hAnsiTheme="minorHAnsi" w:cstheme="minorHAnsi"/>
        </w:rPr>
        <w:t>JCWP</w:t>
      </w:r>
      <w:r w:rsidRPr="00B433E8">
        <w:rPr>
          <w:rFonts w:asciiTheme="minorHAnsi" w:hAnsiTheme="minorHAnsi" w:cstheme="minorHAnsi"/>
        </w:rPr>
        <w:t xml:space="preserve">d </w:t>
      </w:r>
      <w:r w:rsidRPr="000075D6">
        <w:rPr>
          <w:rFonts w:asciiTheme="minorHAnsi" w:hAnsiTheme="minorHAnsi"/>
        </w:rPr>
        <w:t xml:space="preserve">(GW) obejmuje </w:t>
      </w:r>
      <w:r w:rsidR="005453DB">
        <w:rPr>
          <w:rFonts w:asciiTheme="minorHAnsi" w:hAnsiTheme="minorHAnsi" w:cstheme="minorHAnsi"/>
        </w:rPr>
        <w:t>37</w:t>
      </w:r>
      <w:r w:rsidR="005453DB" w:rsidRPr="000075D6">
        <w:rPr>
          <w:rFonts w:asciiTheme="minorHAnsi" w:hAnsiTheme="minorHAnsi"/>
        </w:rPr>
        <w:t xml:space="preserve"> </w:t>
      </w:r>
      <w:r w:rsidRPr="000075D6">
        <w:rPr>
          <w:rFonts w:asciiTheme="minorHAnsi" w:hAnsiTheme="minorHAnsi"/>
        </w:rPr>
        <w:t xml:space="preserve">działań, w tym </w:t>
      </w:r>
      <w:r w:rsidR="00E319A3" w:rsidRPr="00B433E8">
        <w:rPr>
          <w:rFonts w:asciiTheme="minorHAnsi" w:hAnsiTheme="minorHAnsi" w:cstheme="minorHAnsi"/>
        </w:rPr>
        <w:t>3</w:t>
      </w:r>
      <w:r w:rsidR="00E319A3">
        <w:rPr>
          <w:rFonts w:asciiTheme="minorHAnsi" w:hAnsiTheme="minorHAnsi" w:cstheme="minorHAnsi"/>
        </w:rPr>
        <w:t>4</w:t>
      </w:r>
      <w:r w:rsidRPr="000075D6">
        <w:rPr>
          <w:rFonts w:asciiTheme="minorHAnsi" w:hAnsiTheme="minorHAnsi"/>
        </w:rPr>
        <w:t xml:space="preserve"> now</w:t>
      </w:r>
      <w:r w:rsidR="00BB318E">
        <w:rPr>
          <w:rFonts w:asciiTheme="minorHAnsi" w:hAnsiTheme="minorHAnsi"/>
        </w:rPr>
        <w:t>e</w:t>
      </w:r>
      <w:r w:rsidRPr="000075D6">
        <w:rPr>
          <w:rFonts w:asciiTheme="minorHAnsi" w:hAnsiTheme="minorHAnsi"/>
        </w:rPr>
        <w:t xml:space="preserve"> działa</w:t>
      </w:r>
      <w:r w:rsidR="00BB318E">
        <w:rPr>
          <w:rFonts w:asciiTheme="minorHAnsi" w:hAnsiTheme="minorHAnsi"/>
        </w:rPr>
        <w:t>nia</w:t>
      </w:r>
      <w:r w:rsidRPr="000075D6">
        <w:rPr>
          <w:rFonts w:asciiTheme="minorHAnsi" w:hAnsiTheme="minorHAnsi"/>
        </w:rPr>
        <w:t xml:space="preserve"> oraz 3 działania kontynuowane z aPGW, które zgrupowano w </w:t>
      </w:r>
      <w:r w:rsidRPr="00B433E8">
        <w:rPr>
          <w:rFonts w:asciiTheme="minorHAnsi" w:hAnsiTheme="minorHAnsi" w:cstheme="minorHAnsi"/>
        </w:rPr>
        <w:t xml:space="preserve">pięciu </w:t>
      </w:r>
      <w:r w:rsidRPr="000075D6">
        <w:rPr>
          <w:rFonts w:asciiTheme="minorHAnsi" w:hAnsiTheme="minorHAnsi"/>
        </w:rPr>
        <w:t>kategoriach</w:t>
      </w:r>
      <w:r w:rsidRPr="00B433E8">
        <w:rPr>
          <w:rFonts w:asciiTheme="minorHAnsi" w:hAnsiTheme="minorHAnsi" w:cstheme="minorHAnsi"/>
        </w:rPr>
        <w:t>,</w:t>
      </w:r>
      <w:r w:rsidRPr="000075D6">
        <w:rPr>
          <w:rFonts w:asciiTheme="minorHAnsi" w:hAnsiTheme="minorHAnsi"/>
        </w:rPr>
        <w:t xml:space="preserve"> odnoszących się do sektorów gospodarki mających wpływ na stan </w:t>
      </w:r>
      <w:r w:rsidR="00DF005E">
        <w:rPr>
          <w:rFonts w:asciiTheme="minorHAnsi" w:hAnsiTheme="minorHAnsi"/>
        </w:rPr>
        <w:t>JCWP</w:t>
      </w:r>
      <w:r w:rsidRPr="000075D6">
        <w:rPr>
          <w:rFonts w:asciiTheme="minorHAnsi" w:hAnsiTheme="minorHAnsi"/>
        </w:rPr>
        <w:t>d, co jest powiązane także z rodzajem presji</w:t>
      </w:r>
      <w:r w:rsidRPr="00B433E8">
        <w:rPr>
          <w:rFonts w:asciiTheme="minorHAnsi" w:hAnsiTheme="minorHAnsi" w:cstheme="minorHAnsi"/>
        </w:rPr>
        <w:t xml:space="preserve"> (wykres </w:t>
      </w:r>
      <w:r>
        <w:rPr>
          <w:rFonts w:asciiTheme="minorHAnsi" w:hAnsiTheme="minorHAnsi" w:cstheme="minorHAnsi"/>
        </w:rPr>
        <w:t>12</w:t>
      </w:r>
      <w:r w:rsidRPr="00B433E8">
        <w:rPr>
          <w:rFonts w:asciiTheme="minorHAnsi" w:hAnsiTheme="minorHAnsi" w:cstheme="minorHAnsi"/>
        </w:rPr>
        <w:t xml:space="preserve">-16): </w:t>
      </w:r>
    </w:p>
    <w:p w14:paraId="12987C7E" w14:textId="77777777" w:rsidR="00754B2D" w:rsidRPr="000075D6" w:rsidRDefault="00754B2D" w:rsidP="00117E86">
      <w:pPr>
        <w:pStyle w:val="Listapunktowana2"/>
      </w:pPr>
      <w:r w:rsidRPr="000075D6">
        <w:t>gospodarka komunalna,</w:t>
      </w:r>
    </w:p>
    <w:p w14:paraId="7EECA358" w14:textId="77777777" w:rsidR="00754B2D" w:rsidRPr="000075D6" w:rsidRDefault="00754B2D" w:rsidP="00117E86">
      <w:pPr>
        <w:pStyle w:val="Listapunktowana2"/>
      </w:pPr>
      <w:r w:rsidRPr="000075D6">
        <w:t>leśnictwo,</w:t>
      </w:r>
    </w:p>
    <w:p w14:paraId="5743624D" w14:textId="77777777" w:rsidR="00754B2D" w:rsidRPr="000075D6" w:rsidRDefault="00754B2D" w:rsidP="00117E86">
      <w:pPr>
        <w:pStyle w:val="Listapunktowana2"/>
      </w:pPr>
      <w:r w:rsidRPr="000075D6">
        <w:t>przemysł,</w:t>
      </w:r>
    </w:p>
    <w:p w14:paraId="4F1EFD36" w14:textId="77777777" w:rsidR="00754B2D" w:rsidRPr="000075D6" w:rsidRDefault="00754B2D" w:rsidP="00117E86">
      <w:pPr>
        <w:pStyle w:val="Listapunktowana2"/>
      </w:pPr>
      <w:r w:rsidRPr="000075D6">
        <w:t>rolnictwo,</w:t>
      </w:r>
    </w:p>
    <w:p w14:paraId="72E4E744" w14:textId="77777777" w:rsidR="00754B2D" w:rsidRPr="000075D6" w:rsidRDefault="00754B2D" w:rsidP="00117E86">
      <w:pPr>
        <w:pStyle w:val="Listapunktowana2"/>
      </w:pPr>
      <w:r w:rsidRPr="000075D6">
        <w:t>inne.</w:t>
      </w:r>
    </w:p>
    <w:p w14:paraId="5289160F" w14:textId="49218954" w:rsidR="00754B2D" w:rsidRPr="000075D6" w:rsidRDefault="00754B2D" w:rsidP="00754B2D">
      <w:pPr>
        <w:spacing w:line="276" w:lineRule="auto"/>
        <w:rPr>
          <w:rFonts w:asciiTheme="minorHAnsi" w:hAnsiTheme="minorHAnsi"/>
        </w:rPr>
      </w:pPr>
      <w:r w:rsidRPr="00B433E8">
        <w:rPr>
          <w:rFonts w:asciiTheme="minorHAnsi" w:hAnsiTheme="minorHAnsi" w:cstheme="minorHAnsi"/>
        </w:rPr>
        <w:t>Największa liczba</w:t>
      </w:r>
      <w:r w:rsidRPr="000075D6">
        <w:rPr>
          <w:rFonts w:asciiTheme="minorHAnsi" w:hAnsiTheme="minorHAnsi"/>
        </w:rPr>
        <w:t xml:space="preserve"> działań </w:t>
      </w:r>
      <w:r w:rsidRPr="00B433E8">
        <w:rPr>
          <w:rFonts w:asciiTheme="minorHAnsi" w:hAnsiTheme="minorHAnsi" w:cstheme="minorHAnsi"/>
        </w:rPr>
        <w:t>została ustalona w kategorii</w:t>
      </w:r>
      <w:r w:rsidRPr="000075D6">
        <w:rPr>
          <w:rFonts w:asciiTheme="minorHAnsi" w:hAnsiTheme="minorHAnsi"/>
        </w:rPr>
        <w:t xml:space="preserve"> gospodarka komunalna (</w:t>
      </w:r>
      <w:r w:rsidR="00E319A3">
        <w:rPr>
          <w:rFonts w:asciiTheme="minorHAnsi" w:hAnsiTheme="minorHAnsi" w:cstheme="minorHAnsi"/>
        </w:rPr>
        <w:t>35</w:t>
      </w:r>
      <w:r w:rsidRPr="000075D6">
        <w:rPr>
          <w:rFonts w:asciiTheme="minorHAnsi" w:hAnsiTheme="minorHAnsi"/>
        </w:rPr>
        <w:t xml:space="preserve">% wszystkich działań w katalogu), </w:t>
      </w:r>
      <w:r w:rsidRPr="00B433E8">
        <w:rPr>
          <w:rFonts w:asciiTheme="minorHAnsi" w:hAnsiTheme="minorHAnsi" w:cstheme="minorHAnsi"/>
        </w:rPr>
        <w:t>zaś najmniejsza w</w:t>
      </w:r>
      <w:r w:rsidR="00491975">
        <w:rPr>
          <w:rFonts w:asciiTheme="minorHAnsi" w:hAnsiTheme="minorHAnsi" w:cstheme="minorHAnsi"/>
        </w:rPr>
        <w:t xml:space="preserve"> </w:t>
      </w:r>
      <w:r w:rsidRPr="00B433E8">
        <w:rPr>
          <w:rFonts w:asciiTheme="minorHAnsi" w:hAnsiTheme="minorHAnsi" w:cstheme="minorHAnsi"/>
        </w:rPr>
        <w:t>obszarze</w:t>
      </w:r>
      <w:r w:rsidRPr="000075D6">
        <w:rPr>
          <w:rFonts w:asciiTheme="minorHAnsi" w:hAnsiTheme="minorHAnsi"/>
        </w:rPr>
        <w:t xml:space="preserve"> leśnictwo</w:t>
      </w:r>
      <w:r w:rsidRPr="00B433E8">
        <w:rPr>
          <w:rFonts w:asciiTheme="minorHAnsi" w:hAnsiTheme="minorHAnsi" w:cstheme="minorHAnsi"/>
        </w:rPr>
        <w:t xml:space="preserve"> (</w:t>
      </w:r>
      <w:r w:rsidR="00E319A3">
        <w:rPr>
          <w:rFonts w:asciiTheme="minorHAnsi" w:hAnsiTheme="minorHAnsi" w:cstheme="minorHAnsi"/>
        </w:rPr>
        <w:t>3</w:t>
      </w:r>
      <w:r w:rsidRPr="00B433E8">
        <w:rPr>
          <w:rFonts w:asciiTheme="minorHAnsi" w:hAnsiTheme="minorHAnsi" w:cstheme="minorHAnsi"/>
        </w:rPr>
        <w:t>%)</w:t>
      </w:r>
      <w:r w:rsidR="0091368C">
        <w:rPr>
          <w:rFonts w:asciiTheme="minorHAnsi" w:hAnsiTheme="minorHAnsi" w:cstheme="minorHAnsi"/>
        </w:rPr>
        <w:t xml:space="preserve"> – wykres 12-16</w:t>
      </w:r>
      <w:r w:rsidR="005F72B5">
        <w:rPr>
          <w:rFonts w:asciiTheme="minorHAnsi" w:hAnsiTheme="minorHAnsi" w:cstheme="minorHAnsi"/>
        </w:rPr>
        <w:t>)</w:t>
      </w:r>
      <w:r w:rsidRPr="00B433E8">
        <w:rPr>
          <w:rFonts w:asciiTheme="minorHAnsi" w:hAnsiTheme="minorHAnsi" w:cstheme="minorHAnsi"/>
        </w:rPr>
        <w:t>.</w:t>
      </w:r>
    </w:p>
    <w:p w14:paraId="23BEC336" w14:textId="3C2737BD" w:rsidR="001D57EC" w:rsidRPr="00AB5553" w:rsidRDefault="00500E62" w:rsidP="001D57EC">
      <w:pPr>
        <w:pStyle w:val="Wykres"/>
        <w:keepNext/>
      </w:pPr>
      <w:r>
        <w:rPr>
          <w:noProof/>
          <w:lang w:eastAsia="pl-PL"/>
        </w:rPr>
        <w:drawing>
          <wp:inline distT="0" distB="0" distL="0" distR="0" wp14:anchorId="2992874F" wp14:editId="755D9DCA">
            <wp:extent cx="5553986" cy="2934032"/>
            <wp:effectExtent l="0" t="0" r="8890" b="0"/>
            <wp:docPr id="1692861440" name="Wykres 16928614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bookmarkStart w:id="720" w:name="_Toc68195525"/>
      <w:bookmarkStart w:id="721" w:name="_Toc67643667"/>
    </w:p>
    <w:p w14:paraId="1C1EAE68" w14:textId="160B22FD" w:rsidR="0070208F" w:rsidRDefault="001D57EC" w:rsidP="00B479EE">
      <w:pPr>
        <w:pStyle w:val="Wykres"/>
        <w:rPr>
          <w:rStyle w:val="WykresZnak"/>
          <w:b/>
          <w:bCs/>
        </w:rPr>
      </w:pPr>
      <w:bookmarkStart w:id="722" w:name="_Toc105513025"/>
      <w:r w:rsidRPr="00AB5553">
        <w:t xml:space="preserve">Wykres </w:t>
      </w:r>
      <w:fldSimple w:instr=" STYLEREF 1 \s ">
        <w:r w:rsidR="001F774D">
          <w:rPr>
            <w:noProof/>
          </w:rPr>
          <w:t>12</w:t>
        </w:r>
      </w:fldSimple>
      <w:r w:rsidR="00FF20D3">
        <w:noBreakHyphen/>
      </w:r>
      <w:fldSimple w:instr=" SEQ Wykres \* ARABIC \s 1 ">
        <w:r w:rsidR="001F774D">
          <w:rPr>
            <w:noProof/>
          </w:rPr>
          <w:t>16</w:t>
        </w:r>
      </w:fldSimple>
      <w:r w:rsidR="002B6022">
        <w:rPr>
          <w:noProof/>
        </w:rPr>
        <w:t>.</w:t>
      </w:r>
      <w:r w:rsidRPr="00AB5553">
        <w:tab/>
      </w:r>
      <w:r w:rsidRPr="00AB5553">
        <w:rPr>
          <w:rStyle w:val="WykresZnak"/>
          <w:b/>
          <w:bCs/>
        </w:rPr>
        <w:t xml:space="preserve">Udział działań w poszczególnych kategoriach katalogu działań </w:t>
      </w:r>
      <w:r w:rsidR="00DF005E">
        <w:rPr>
          <w:rStyle w:val="WykresZnak"/>
          <w:b/>
          <w:bCs/>
        </w:rPr>
        <w:t>JCWP</w:t>
      </w:r>
      <w:r w:rsidRPr="00AB5553">
        <w:rPr>
          <w:rStyle w:val="WykresZnak"/>
          <w:b/>
          <w:bCs/>
        </w:rPr>
        <w:t>d</w:t>
      </w:r>
      <w:bookmarkEnd w:id="722"/>
    </w:p>
    <w:bookmarkEnd w:id="720"/>
    <w:bookmarkEnd w:id="721"/>
    <w:p w14:paraId="1DBC5A6E" w14:textId="77777777" w:rsidR="00754B2D" w:rsidRPr="00795F17" w:rsidRDefault="00754B2D" w:rsidP="00754B2D">
      <w:pPr>
        <w:pStyle w:val="rdo"/>
        <w:rPr>
          <w:rFonts w:cs="Calibri"/>
          <w:i w:val="0"/>
          <w:sz w:val="20"/>
          <w:szCs w:val="20"/>
        </w:rPr>
      </w:pPr>
      <w:r w:rsidRPr="00C22FBA">
        <w:t>Źródło: opracowanie własne</w:t>
      </w:r>
    </w:p>
    <w:p w14:paraId="5DE60134" w14:textId="0D5BFE7D" w:rsidR="00754B2D" w:rsidRPr="000075D6" w:rsidRDefault="00754B2D" w:rsidP="00754B2D">
      <w:pPr>
        <w:spacing w:line="276" w:lineRule="auto"/>
        <w:rPr>
          <w:rFonts w:asciiTheme="minorHAnsi" w:hAnsiTheme="minorHAnsi"/>
        </w:rPr>
      </w:pPr>
      <w:r w:rsidRPr="000075D6">
        <w:rPr>
          <w:rFonts w:asciiTheme="minorHAnsi" w:hAnsiTheme="minorHAnsi"/>
        </w:rPr>
        <w:t xml:space="preserve">W katalogu wydzielono </w:t>
      </w:r>
      <w:r w:rsidR="00D65D32">
        <w:rPr>
          <w:rFonts w:asciiTheme="minorHAnsi" w:hAnsiTheme="minorHAnsi"/>
        </w:rPr>
        <w:t>9</w:t>
      </w:r>
      <w:r w:rsidR="00D65D32" w:rsidRPr="000075D6">
        <w:rPr>
          <w:rFonts w:asciiTheme="minorHAnsi" w:hAnsiTheme="minorHAnsi"/>
        </w:rPr>
        <w:t xml:space="preserve"> </w:t>
      </w:r>
      <w:r w:rsidRPr="000075D6">
        <w:rPr>
          <w:rFonts w:asciiTheme="minorHAnsi" w:hAnsiTheme="minorHAnsi"/>
        </w:rPr>
        <w:t>działań podstawowych</w:t>
      </w:r>
      <w:r w:rsidRPr="00B433E8">
        <w:rPr>
          <w:rFonts w:asciiTheme="minorHAnsi" w:hAnsiTheme="minorHAnsi" w:cstheme="minorHAnsi"/>
        </w:rPr>
        <w:t xml:space="preserve"> (</w:t>
      </w:r>
      <w:r w:rsidR="00D65D32">
        <w:rPr>
          <w:rFonts w:asciiTheme="minorHAnsi" w:hAnsiTheme="minorHAnsi" w:cstheme="minorHAnsi"/>
        </w:rPr>
        <w:t>24</w:t>
      </w:r>
      <w:r w:rsidRPr="00B433E8">
        <w:rPr>
          <w:rFonts w:asciiTheme="minorHAnsi" w:hAnsiTheme="minorHAnsi" w:cstheme="minorHAnsi"/>
        </w:rPr>
        <w:t>%),</w:t>
      </w:r>
      <w:r w:rsidRPr="000075D6">
        <w:rPr>
          <w:rFonts w:asciiTheme="minorHAnsi" w:hAnsiTheme="minorHAnsi"/>
        </w:rPr>
        <w:t xml:space="preserve"> przypisanych do wszystkich </w:t>
      </w:r>
      <w:r w:rsidR="00DF005E">
        <w:rPr>
          <w:rFonts w:asciiTheme="minorHAnsi" w:hAnsiTheme="minorHAnsi"/>
        </w:rPr>
        <w:t>JCWP</w:t>
      </w:r>
      <w:r w:rsidRPr="000075D6">
        <w:rPr>
          <w:rFonts w:asciiTheme="minorHAnsi" w:hAnsiTheme="minorHAnsi"/>
        </w:rPr>
        <w:t>d na</w:t>
      </w:r>
      <w:r w:rsidR="0070208F">
        <w:rPr>
          <w:rFonts w:asciiTheme="minorHAnsi" w:hAnsiTheme="minorHAnsi" w:cstheme="minorHAnsi"/>
        </w:rPr>
        <w:t> </w:t>
      </w:r>
      <w:r w:rsidRPr="000075D6">
        <w:rPr>
          <w:rFonts w:asciiTheme="minorHAnsi" w:hAnsiTheme="minorHAnsi"/>
        </w:rPr>
        <w:t xml:space="preserve">obszarze kraju oraz </w:t>
      </w:r>
      <w:r w:rsidR="00D65D32">
        <w:rPr>
          <w:rFonts w:asciiTheme="minorHAnsi" w:hAnsiTheme="minorHAnsi" w:cstheme="minorHAnsi"/>
        </w:rPr>
        <w:t>28</w:t>
      </w:r>
      <w:r w:rsidR="00D65D32" w:rsidRPr="000075D6">
        <w:rPr>
          <w:rFonts w:asciiTheme="minorHAnsi" w:hAnsiTheme="minorHAnsi"/>
        </w:rPr>
        <w:t xml:space="preserve"> </w:t>
      </w:r>
      <w:r w:rsidRPr="000075D6">
        <w:rPr>
          <w:rFonts w:asciiTheme="minorHAnsi" w:hAnsiTheme="minorHAnsi"/>
        </w:rPr>
        <w:t>działań uzupełniających</w:t>
      </w:r>
      <w:r w:rsidRPr="00B433E8">
        <w:rPr>
          <w:rFonts w:asciiTheme="minorHAnsi" w:hAnsiTheme="minorHAnsi" w:cstheme="minorHAnsi"/>
        </w:rPr>
        <w:t xml:space="preserve"> (</w:t>
      </w:r>
      <w:r w:rsidR="00D65D32">
        <w:rPr>
          <w:rFonts w:asciiTheme="minorHAnsi" w:hAnsiTheme="minorHAnsi" w:cstheme="minorHAnsi"/>
        </w:rPr>
        <w:t>76</w:t>
      </w:r>
      <w:r w:rsidRPr="00B433E8">
        <w:rPr>
          <w:rFonts w:asciiTheme="minorHAnsi" w:hAnsiTheme="minorHAnsi" w:cstheme="minorHAnsi"/>
        </w:rPr>
        <w:t>%),</w:t>
      </w:r>
      <w:r w:rsidRPr="000075D6">
        <w:rPr>
          <w:rFonts w:asciiTheme="minorHAnsi" w:hAnsiTheme="minorHAnsi"/>
        </w:rPr>
        <w:t xml:space="preserve"> przypisywanych do </w:t>
      </w:r>
      <w:r w:rsidR="00DF005E">
        <w:rPr>
          <w:rFonts w:asciiTheme="minorHAnsi" w:hAnsiTheme="minorHAnsi"/>
        </w:rPr>
        <w:t>JCWP</w:t>
      </w:r>
      <w:r w:rsidRPr="000075D6">
        <w:rPr>
          <w:rFonts w:asciiTheme="minorHAnsi" w:hAnsiTheme="minorHAnsi"/>
        </w:rPr>
        <w:t xml:space="preserve">d, w których osiągnięcie ustalonego celu środowiskowego jest zagrożone w zależności od przyczyny stanu słabego bądź zagrożenia (wykres </w:t>
      </w:r>
      <w:r>
        <w:rPr>
          <w:rFonts w:asciiTheme="minorHAnsi" w:hAnsiTheme="minorHAnsi" w:cstheme="minorHAnsi"/>
        </w:rPr>
        <w:t>12</w:t>
      </w:r>
      <w:r w:rsidRPr="00B433E8">
        <w:rPr>
          <w:rFonts w:asciiTheme="minorHAnsi" w:hAnsiTheme="minorHAnsi" w:cstheme="minorHAnsi"/>
        </w:rPr>
        <w:t>-17</w:t>
      </w:r>
      <w:r w:rsidRPr="000075D6">
        <w:rPr>
          <w:rFonts w:asciiTheme="minorHAnsi" w:hAnsiTheme="minorHAnsi"/>
        </w:rPr>
        <w:t xml:space="preserve">). W uzasadnionych przypadkach działania uzupełniające były także przypisywane </w:t>
      </w:r>
      <w:r w:rsidRPr="00B433E8">
        <w:rPr>
          <w:rFonts w:asciiTheme="minorHAnsi" w:hAnsiTheme="minorHAnsi" w:cstheme="minorHAnsi"/>
        </w:rPr>
        <w:t>do</w:t>
      </w:r>
      <w:r w:rsidR="00491975">
        <w:rPr>
          <w:rFonts w:asciiTheme="minorHAnsi" w:hAnsiTheme="minorHAnsi" w:cstheme="minorHAnsi"/>
        </w:rPr>
        <w:t xml:space="preserve"> </w:t>
      </w:r>
      <w:r w:rsidR="00DF005E">
        <w:rPr>
          <w:rFonts w:asciiTheme="minorHAnsi" w:hAnsiTheme="minorHAnsi"/>
        </w:rPr>
        <w:t>JCWP</w:t>
      </w:r>
      <w:r w:rsidRPr="000075D6">
        <w:rPr>
          <w:rFonts w:asciiTheme="minorHAnsi" w:hAnsiTheme="minorHAnsi"/>
        </w:rPr>
        <w:t xml:space="preserve">d, w których </w:t>
      </w:r>
      <w:r w:rsidRPr="00B433E8">
        <w:rPr>
          <w:rFonts w:asciiTheme="minorHAnsi" w:hAnsiTheme="minorHAnsi" w:cstheme="minorHAnsi"/>
        </w:rPr>
        <w:t>osiągniecie</w:t>
      </w:r>
      <w:r w:rsidRPr="000075D6">
        <w:rPr>
          <w:rFonts w:asciiTheme="minorHAnsi" w:hAnsiTheme="minorHAnsi"/>
        </w:rPr>
        <w:t xml:space="preserve"> celu środowiskowego nie jest zagrożone.</w:t>
      </w:r>
      <w:r w:rsidRPr="00B433E8">
        <w:rPr>
          <w:rFonts w:asciiTheme="minorHAnsi" w:hAnsiTheme="minorHAnsi" w:cstheme="minorHAnsi"/>
        </w:rPr>
        <w:t xml:space="preserve"> Spośród wszystkich działań w katalogu </w:t>
      </w:r>
      <w:r w:rsidR="00D65D32">
        <w:rPr>
          <w:rFonts w:asciiTheme="minorHAnsi" w:hAnsiTheme="minorHAnsi" w:cstheme="minorHAnsi"/>
        </w:rPr>
        <w:t>5</w:t>
      </w:r>
      <w:r w:rsidR="00D65D32" w:rsidRPr="00B433E8">
        <w:rPr>
          <w:rFonts w:asciiTheme="minorHAnsi" w:hAnsiTheme="minorHAnsi" w:cstheme="minorHAnsi"/>
        </w:rPr>
        <w:t xml:space="preserve"> </w:t>
      </w:r>
      <w:r w:rsidRPr="00B433E8">
        <w:rPr>
          <w:rFonts w:asciiTheme="minorHAnsi" w:hAnsiTheme="minorHAnsi" w:cstheme="minorHAnsi"/>
        </w:rPr>
        <w:t>zostało zakwalifikowanych jako działania ciągłe z uwagi na</w:t>
      </w:r>
      <w:r w:rsidR="0070208F">
        <w:rPr>
          <w:rFonts w:asciiTheme="minorHAnsi" w:hAnsiTheme="minorHAnsi" w:cstheme="minorHAnsi"/>
        </w:rPr>
        <w:t> </w:t>
      </w:r>
      <w:r w:rsidRPr="00B433E8">
        <w:rPr>
          <w:rFonts w:asciiTheme="minorHAnsi" w:hAnsiTheme="minorHAnsi" w:cstheme="minorHAnsi"/>
        </w:rPr>
        <w:t>harmonogram ich realizacji. Pozostałym został wskazany rok, do którego powinno nastąpić wdrożenie działania.</w:t>
      </w:r>
    </w:p>
    <w:p w14:paraId="5BC92086" w14:textId="248129C0" w:rsidR="00754B2D" w:rsidRDefault="00035C66" w:rsidP="00754B2D">
      <w:pPr>
        <w:spacing w:line="276" w:lineRule="auto"/>
        <w:jc w:val="center"/>
        <w:rPr>
          <w:rFonts w:asciiTheme="minorHAnsi" w:hAnsiTheme="minorHAnsi" w:cstheme="minorHAnsi"/>
        </w:rPr>
      </w:pPr>
      <w:r>
        <w:rPr>
          <w:noProof/>
          <w:lang w:eastAsia="pl-PL"/>
        </w:rPr>
        <w:drawing>
          <wp:inline distT="0" distB="0" distL="0" distR="0" wp14:anchorId="6918862C" wp14:editId="6CE03CE5">
            <wp:extent cx="4431242" cy="2548466"/>
            <wp:effectExtent l="0" t="0" r="7620" b="4445"/>
            <wp:docPr id="1692861445" name="Wykres 1692861445">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4DF19F74" w14:textId="444A064C" w:rsidR="00754B2D" w:rsidRPr="00B433E8" w:rsidRDefault="00754B2D" w:rsidP="00B479EE">
      <w:pPr>
        <w:pStyle w:val="Wykres"/>
      </w:pPr>
      <w:bookmarkStart w:id="723" w:name="_Toc68195526"/>
      <w:bookmarkStart w:id="724" w:name="_Toc67643668"/>
      <w:bookmarkStart w:id="725" w:name="_Toc105513026"/>
      <w:r w:rsidRPr="00B433E8">
        <w:t xml:space="preserve">Wykres </w:t>
      </w:r>
      <w:fldSimple w:instr=" STYLEREF 1 \s ">
        <w:r w:rsidR="001F774D">
          <w:rPr>
            <w:noProof/>
          </w:rPr>
          <w:t>12</w:t>
        </w:r>
      </w:fldSimple>
      <w:r w:rsidR="00FF20D3">
        <w:noBreakHyphen/>
      </w:r>
      <w:fldSimple w:instr=" SEQ Wykres \* ARABIC \s 1 ">
        <w:r w:rsidR="001F774D">
          <w:rPr>
            <w:noProof/>
          </w:rPr>
          <w:t>17</w:t>
        </w:r>
      </w:fldSimple>
      <w:r w:rsidR="002B6022">
        <w:rPr>
          <w:noProof/>
        </w:rPr>
        <w:t>.</w:t>
      </w:r>
      <w:r w:rsidRPr="00B433E8">
        <w:tab/>
        <w:t xml:space="preserve">Udział działań podstawowych oraz uzupełniających w katalogu działań </w:t>
      </w:r>
      <w:r w:rsidR="00DF005E">
        <w:t>JCWP</w:t>
      </w:r>
      <w:r w:rsidRPr="00B433E8">
        <w:t>d</w:t>
      </w:r>
      <w:bookmarkEnd w:id="723"/>
      <w:bookmarkEnd w:id="724"/>
      <w:bookmarkEnd w:id="725"/>
    </w:p>
    <w:p w14:paraId="497EF8C3" w14:textId="602BD11D" w:rsidR="00754B2D" w:rsidRPr="000075D6" w:rsidRDefault="00754B2D" w:rsidP="00754B2D">
      <w:pPr>
        <w:pStyle w:val="rdo"/>
        <w:rPr>
          <w:b/>
          <w:sz w:val="20"/>
        </w:rPr>
      </w:pPr>
      <w:r w:rsidRPr="00C22FBA">
        <w:t>Źródło: opracowanie własne</w:t>
      </w:r>
    </w:p>
    <w:p w14:paraId="6BE582A9" w14:textId="1C445C05" w:rsidR="000856DA" w:rsidRDefault="00754B2D" w:rsidP="00754B2D">
      <w:pPr>
        <w:spacing w:line="276" w:lineRule="auto"/>
        <w:rPr>
          <w:rFonts w:asciiTheme="minorHAnsi" w:hAnsiTheme="minorHAnsi"/>
        </w:rPr>
      </w:pPr>
      <w:r w:rsidRPr="000075D6">
        <w:rPr>
          <w:rFonts w:asciiTheme="minorHAnsi" w:hAnsiTheme="minorHAnsi"/>
        </w:rPr>
        <w:t xml:space="preserve">Działania </w:t>
      </w:r>
      <w:r w:rsidRPr="00B433E8">
        <w:rPr>
          <w:rFonts w:asciiTheme="minorHAnsi" w:hAnsiTheme="minorHAnsi" w:cstheme="minorHAnsi"/>
        </w:rPr>
        <w:t xml:space="preserve">w katalogu dla </w:t>
      </w:r>
      <w:r w:rsidR="00DF005E">
        <w:rPr>
          <w:rFonts w:asciiTheme="minorHAnsi" w:hAnsiTheme="minorHAnsi" w:cstheme="minorHAnsi"/>
        </w:rPr>
        <w:t>JCWP</w:t>
      </w:r>
      <w:r w:rsidRPr="00B433E8">
        <w:rPr>
          <w:rFonts w:asciiTheme="minorHAnsi" w:hAnsiTheme="minorHAnsi" w:cstheme="minorHAnsi"/>
        </w:rPr>
        <w:t xml:space="preserve">d (GW) </w:t>
      </w:r>
      <w:r w:rsidRPr="000075D6">
        <w:rPr>
          <w:rFonts w:asciiTheme="minorHAnsi" w:hAnsiTheme="minorHAnsi"/>
        </w:rPr>
        <w:t>zostały przypisane do sześciu grup wydzielonych ze względu na</w:t>
      </w:r>
      <w:r w:rsidRPr="00B433E8">
        <w:rPr>
          <w:rFonts w:asciiTheme="minorHAnsi" w:hAnsiTheme="minorHAnsi" w:cstheme="minorHAnsi"/>
        </w:rPr>
        <w:t> </w:t>
      </w:r>
      <w:r w:rsidRPr="000075D6">
        <w:rPr>
          <w:rFonts w:asciiTheme="minorHAnsi" w:hAnsiTheme="minorHAnsi"/>
        </w:rPr>
        <w:t xml:space="preserve">rodzaj działania (wykres </w:t>
      </w:r>
      <w:r>
        <w:rPr>
          <w:rFonts w:asciiTheme="minorHAnsi" w:hAnsiTheme="minorHAnsi" w:cstheme="minorHAnsi"/>
        </w:rPr>
        <w:t>12-</w:t>
      </w:r>
      <w:r w:rsidRPr="00B433E8">
        <w:rPr>
          <w:rFonts w:asciiTheme="minorHAnsi" w:hAnsiTheme="minorHAnsi" w:cstheme="minorHAnsi"/>
        </w:rPr>
        <w:t>18</w:t>
      </w:r>
      <w:r w:rsidRPr="000075D6">
        <w:rPr>
          <w:rFonts w:asciiTheme="minorHAnsi" w:hAnsiTheme="minorHAnsi"/>
        </w:rPr>
        <w:t>). Najwięcej działań jest związanych z grupą pozostałe</w:t>
      </w:r>
      <w:r w:rsidRPr="00B433E8">
        <w:rPr>
          <w:rFonts w:asciiTheme="minorHAnsi" w:hAnsiTheme="minorHAnsi" w:cstheme="minorHAnsi"/>
        </w:rPr>
        <w:t>,</w:t>
      </w:r>
      <w:r w:rsidRPr="000075D6">
        <w:rPr>
          <w:rFonts w:asciiTheme="minorHAnsi" w:hAnsiTheme="minorHAnsi"/>
        </w:rPr>
        <w:t xml:space="preserve"> zaś najmniej jest działań naukowo-badawczych</w:t>
      </w:r>
      <w:r w:rsidRPr="00B433E8">
        <w:rPr>
          <w:rFonts w:asciiTheme="minorHAnsi" w:hAnsiTheme="minorHAnsi" w:cstheme="minorHAnsi"/>
        </w:rPr>
        <w:t>.</w:t>
      </w:r>
      <w:r w:rsidRPr="000075D6">
        <w:rPr>
          <w:rFonts w:asciiTheme="minorHAnsi" w:hAnsiTheme="minorHAnsi"/>
        </w:rPr>
        <w:t xml:space="preserve"> </w:t>
      </w:r>
    </w:p>
    <w:p w14:paraId="3439A480" w14:textId="17F1F044" w:rsidR="001D57EC" w:rsidRPr="00AB5553" w:rsidRDefault="002B6D14" w:rsidP="006A37E5">
      <w:pPr>
        <w:jc w:val="center"/>
      </w:pPr>
      <w:r>
        <w:rPr>
          <w:noProof/>
        </w:rPr>
        <w:drawing>
          <wp:inline distT="0" distB="0" distL="0" distR="0" wp14:anchorId="379B250A" wp14:editId="55E8BD49">
            <wp:extent cx="4468483" cy="2466807"/>
            <wp:effectExtent l="0" t="0" r="8890" b="10160"/>
            <wp:docPr id="6" name="Wykres 6">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271A1F97" w14:textId="4EBE27A7" w:rsidR="00754B2D" w:rsidRPr="00AB5553" w:rsidRDefault="001D57EC" w:rsidP="001D57EC">
      <w:pPr>
        <w:pStyle w:val="Wykres"/>
      </w:pPr>
      <w:bookmarkStart w:id="726" w:name="_Toc105513027"/>
      <w:r w:rsidRPr="00AB5553">
        <w:t xml:space="preserve">Wykres </w:t>
      </w:r>
      <w:fldSimple w:instr=" STYLEREF 1 \s ">
        <w:r w:rsidR="001F774D">
          <w:rPr>
            <w:noProof/>
          </w:rPr>
          <w:t>12</w:t>
        </w:r>
      </w:fldSimple>
      <w:r w:rsidR="00FF20D3">
        <w:noBreakHyphen/>
      </w:r>
      <w:fldSimple w:instr=" SEQ Wykres \* ARABIC \s 1 ">
        <w:r w:rsidR="001F774D">
          <w:rPr>
            <w:noProof/>
          </w:rPr>
          <w:t>18</w:t>
        </w:r>
      </w:fldSimple>
      <w:r w:rsidR="00EB4B7B">
        <w:rPr>
          <w:noProof/>
        </w:rPr>
        <w:t>.</w:t>
      </w:r>
      <w:r w:rsidRPr="00AB5553">
        <w:tab/>
        <w:t xml:space="preserve">Udział działań dla </w:t>
      </w:r>
      <w:r w:rsidR="00DF005E">
        <w:t>JCWP</w:t>
      </w:r>
      <w:r w:rsidRPr="00AB5553">
        <w:t>d w poszczególnych grupach</w:t>
      </w:r>
      <w:bookmarkEnd w:id="726"/>
    </w:p>
    <w:p w14:paraId="7853A2FC" w14:textId="77777777" w:rsidR="00754B2D" w:rsidRPr="00C22FBA" w:rsidRDefault="00754B2D" w:rsidP="00754B2D">
      <w:pPr>
        <w:pStyle w:val="rdo"/>
      </w:pPr>
      <w:r w:rsidRPr="00C22FBA">
        <w:t>Źródło: opracowanie własne</w:t>
      </w:r>
    </w:p>
    <w:p w14:paraId="3BA0A624" w14:textId="252A3D1C" w:rsidR="00754B2D" w:rsidRPr="00347BAE" w:rsidRDefault="00754B2D" w:rsidP="00754B2D">
      <w:pPr>
        <w:spacing w:line="276" w:lineRule="auto"/>
        <w:rPr>
          <w:rFonts w:asciiTheme="minorHAnsi" w:hAnsiTheme="minorHAnsi"/>
        </w:rPr>
      </w:pPr>
      <w:r w:rsidRPr="00347BAE">
        <w:rPr>
          <w:rFonts w:asciiTheme="minorHAnsi" w:hAnsiTheme="minorHAnsi"/>
        </w:rPr>
        <w:t xml:space="preserve">Każde działanie otrzymało kod IIaPGW wskazujący na rodzaj presji, na redukcję której działanie jest ukierunkowane (presje ilościowe, presje chemiczne lub presje ilościowe i chemiczne). Zestawienie liczby działań w poszczególnych grupach IIaPGW przedstawia tabela </w:t>
      </w:r>
      <w:r>
        <w:rPr>
          <w:rFonts w:asciiTheme="minorHAnsi" w:hAnsiTheme="minorHAnsi" w:cstheme="minorHAnsi"/>
        </w:rPr>
        <w:t>12-</w:t>
      </w:r>
      <w:r w:rsidR="00F7735D">
        <w:rPr>
          <w:rFonts w:asciiTheme="minorHAnsi" w:hAnsiTheme="minorHAnsi" w:cstheme="minorHAnsi"/>
        </w:rPr>
        <w:t>7</w:t>
      </w:r>
      <w:r w:rsidRPr="00B433E8">
        <w:rPr>
          <w:rFonts w:asciiTheme="minorHAnsi" w:hAnsiTheme="minorHAnsi" w:cstheme="minorHAnsi"/>
        </w:rPr>
        <w:t xml:space="preserve"> i wykres </w:t>
      </w:r>
      <w:r w:rsidR="00F7735D">
        <w:rPr>
          <w:rFonts w:asciiTheme="minorHAnsi" w:hAnsiTheme="minorHAnsi" w:cstheme="minorHAnsi"/>
        </w:rPr>
        <w:t>12</w:t>
      </w:r>
      <w:r w:rsidRPr="00B433E8">
        <w:rPr>
          <w:rFonts w:asciiTheme="minorHAnsi" w:hAnsiTheme="minorHAnsi" w:cstheme="minorHAnsi"/>
        </w:rPr>
        <w:t>-19</w:t>
      </w:r>
      <w:r w:rsidRPr="00347BAE">
        <w:rPr>
          <w:rFonts w:asciiTheme="minorHAnsi" w:hAnsiTheme="minorHAnsi"/>
        </w:rPr>
        <w:t>.</w:t>
      </w:r>
    </w:p>
    <w:p w14:paraId="1D129204" w14:textId="5854F815" w:rsidR="00754B2D" w:rsidRPr="00B433E8" w:rsidRDefault="00754B2D" w:rsidP="004D7705">
      <w:pPr>
        <w:pStyle w:val="Tabela"/>
      </w:pPr>
      <w:bookmarkStart w:id="727" w:name="_Toc68195500"/>
      <w:bookmarkStart w:id="728" w:name="_Toc68123676"/>
      <w:bookmarkStart w:id="729" w:name="_Toc105512876"/>
      <w:r w:rsidRPr="00B433E8">
        <w:t xml:space="preserve">Tabela </w:t>
      </w:r>
      <w:fldSimple w:instr=" STYLEREF 1 \s ">
        <w:r w:rsidR="001F774D">
          <w:rPr>
            <w:noProof/>
          </w:rPr>
          <w:t>12</w:t>
        </w:r>
      </w:fldSimple>
      <w:r w:rsidRPr="00B433E8">
        <w:noBreakHyphen/>
      </w:r>
      <w:fldSimple w:instr=" SEQ Tabela \* ARABIC \s 1 ">
        <w:r w:rsidR="001F774D">
          <w:rPr>
            <w:noProof/>
          </w:rPr>
          <w:t>7</w:t>
        </w:r>
      </w:fldSimple>
      <w:r w:rsidR="00EB4B7B">
        <w:rPr>
          <w:noProof/>
        </w:rPr>
        <w:t>.</w:t>
      </w:r>
      <w:r w:rsidRPr="00B433E8">
        <w:tab/>
        <w:t>Liczba działań w poszczególnych grupach</w:t>
      </w:r>
      <w:bookmarkEnd w:id="727"/>
      <w:r w:rsidRPr="00B433E8">
        <w:t xml:space="preserve"> </w:t>
      </w:r>
      <w:bookmarkEnd w:id="728"/>
      <w:r>
        <w:t xml:space="preserve">działań </w:t>
      </w:r>
      <w:r w:rsidR="00CB325A">
        <w:t>–</w:t>
      </w:r>
      <w:r>
        <w:t xml:space="preserve"> </w:t>
      </w:r>
      <w:r w:rsidR="00DF005E">
        <w:t>JCWP</w:t>
      </w:r>
      <w:r>
        <w:t>d</w:t>
      </w:r>
      <w:bookmarkEnd w:id="729"/>
    </w:p>
    <w:tbl>
      <w:tblPr>
        <w:tblStyle w:val="Tabela-Siatka"/>
        <w:tblW w:w="5000" w:type="pct"/>
        <w:jc w:val="center"/>
        <w:tblLook w:val="06A0" w:firstRow="1" w:lastRow="0" w:firstColumn="1" w:lastColumn="0" w:noHBand="1" w:noVBand="1"/>
      </w:tblPr>
      <w:tblGrid>
        <w:gridCol w:w="1696"/>
        <w:gridCol w:w="5793"/>
        <w:gridCol w:w="1573"/>
      </w:tblGrid>
      <w:tr w:rsidR="00754B2D" w:rsidRPr="006A37E5" w14:paraId="30C7FC84" w14:textId="77777777" w:rsidTr="00E6609C">
        <w:trPr>
          <w:cnfStyle w:val="100000000000" w:firstRow="1" w:lastRow="0" w:firstColumn="0" w:lastColumn="0" w:oddVBand="0" w:evenVBand="0" w:oddHBand="0" w:evenHBand="0" w:firstRowFirstColumn="0" w:firstRowLastColumn="0" w:lastRowFirstColumn="0" w:lastRowLastColumn="0"/>
          <w:trHeight w:val="454"/>
          <w:jc w:val="center"/>
        </w:trPr>
        <w:tc>
          <w:tcPr>
            <w:tcW w:w="1696" w:type="dxa"/>
          </w:tcPr>
          <w:p w14:paraId="6C785C3F" w14:textId="7CA69CBC" w:rsidR="00754B2D" w:rsidRPr="006A37E5" w:rsidRDefault="00754B2D" w:rsidP="00E6609C">
            <w:pPr>
              <w:jc w:val="left"/>
            </w:pPr>
            <w:r w:rsidRPr="006A37E5">
              <w:t xml:space="preserve">Kod </w:t>
            </w:r>
            <w:r w:rsidR="00E6609C">
              <w:t>działania</w:t>
            </w:r>
            <w:r w:rsidRPr="006A37E5">
              <w:t xml:space="preserve"> IIaPGW</w:t>
            </w:r>
          </w:p>
        </w:tc>
        <w:tc>
          <w:tcPr>
            <w:tcW w:w="5793" w:type="dxa"/>
          </w:tcPr>
          <w:p w14:paraId="6077D0F3" w14:textId="77777777" w:rsidR="00754B2D" w:rsidRPr="006A37E5" w:rsidRDefault="00754B2D" w:rsidP="006A37E5">
            <w:r w:rsidRPr="006A37E5">
              <w:t>Rodzaj presji</w:t>
            </w:r>
          </w:p>
        </w:tc>
        <w:tc>
          <w:tcPr>
            <w:tcW w:w="1573" w:type="dxa"/>
          </w:tcPr>
          <w:p w14:paraId="6F97E20D" w14:textId="77777777" w:rsidR="00754B2D" w:rsidRPr="006A37E5" w:rsidRDefault="00754B2D" w:rsidP="006A37E5">
            <w:r w:rsidRPr="006A37E5">
              <w:t>Liczba działań</w:t>
            </w:r>
          </w:p>
        </w:tc>
      </w:tr>
      <w:tr w:rsidR="00754B2D" w:rsidRPr="00B433E8" w14:paraId="11621062" w14:textId="77777777" w:rsidTr="00E6609C">
        <w:trPr>
          <w:trHeight w:val="454"/>
          <w:jc w:val="center"/>
        </w:trPr>
        <w:tc>
          <w:tcPr>
            <w:tcW w:w="1696" w:type="dxa"/>
            <w:shd w:val="clear" w:color="auto" w:fill="auto"/>
          </w:tcPr>
          <w:p w14:paraId="032F2E19" w14:textId="77777777" w:rsidR="00754B2D" w:rsidRPr="00B433E8" w:rsidRDefault="00754B2D" w:rsidP="005842B5">
            <w:pPr>
              <w:pStyle w:val="Teksttabelilewy"/>
            </w:pPr>
            <w:r w:rsidRPr="00B433E8">
              <w:t>GWI</w:t>
            </w:r>
          </w:p>
        </w:tc>
        <w:tc>
          <w:tcPr>
            <w:tcW w:w="5793" w:type="dxa"/>
            <w:shd w:val="clear" w:color="auto" w:fill="auto"/>
          </w:tcPr>
          <w:p w14:paraId="440815E7" w14:textId="77777777" w:rsidR="00754B2D" w:rsidRPr="00B433E8" w:rsidRDefault="00754B2D" w:rsidP="005842B5">
            <w:pPr>
              <w:pStyle w:val="Teksttabelilewy"/>
            </w:pPr>
            <w:r w:rsidRPr="00B433E8">
              <w:t>Presje ilościowe</w:t>
            </w:r>
          </w:p>
        </w:tc>
        <w:tc>
          <w:tcPr>
            <w:tcW w:w="1573" w:type="dxa"/>
            <w:shd w:val="clear" w:color="auto" w:fill="auto"/>
          </w:tcPr>
          <w:p w14:paraId="053D07D4" w14:textId="7246A504" w:rsidR="00754B2D" w:rsidRPr="00B433E8" w:rsidRDefault="00FA1F8D" w:rsidP="005842B5">
            <w:pPr>
              <w:pStyle w:val="Teksttabelisrodek"/>
            </w:pPr>
            <w:r>
              <w:t>19</w:t>
            </w:r>
          </w:p>
        </w:tc>
      </w:tr>
      <w:tr w:rsidR="00754B2D" w:rsidRPr="00B433E8" w14:paraId="33946DE8" w14:textId="77777777" w:rsidTr="00E6609C">
        <w:trPr>
          <w:trHeight w:val="454"/>
          <w:jc w:val="center"/>
        </w:trPr>
        <w:tc>
          <w:tcPr>
            <w:tcW w:w="1696" w:type="dxa"/>
            <w:shd w:val="clear" w:color="auto" w:fill="auto"/>
          </w:tcPr>
          <w:p w14:paraId="7A1B3433" w14:textId="77777777" w:rsidR="00754B2D" w:rsidRPr="00B433E8" w:rsidRDefault="00754B2D" w:rsidP="005842B5">
            <w:pPr>
              <w:pStyle w:val="Teksttabelilewy"/>
            </w:pPr>
            <w:r w:rsidRPr="00B433E8">
              <w:t>GWC</w:t>
            </w:r>
          </w:p>
        </w:tc>
        <w:tc>
          <w:tcPr>
            <w:tcW w:w="5793" w:type="dxa"/>
            <w:shd w:val="clear" w:color="auto" w:fill="auto"/>
          </w:tcPr>
          <w:p w14:paraId="00AE7600" w14:textId="77777777" w:rsidR="00754B2D" w:rsidRPr="00B433E8" w:rsidRDefault="00754B2D" w:rsidP="005842B5">
            <w:pPr>
              <w:pStyle w:val="Teksttabelilewy"/>
            </w:pPr>
            <w:r w:rsidRPr="00B433E8">
              <w:t>Presje chemiczne</w:t>
            </w:r>
          </w:p>
        </w:tc>
        <w:tc>
          <w:tcPr>
            <w:tcW w:w="1573" w:type="dxa"/>
            <w:shd w:val="clear" w:color="auto" w:fill="auto"/>
          </w:tcPr>
          <w:p w14:paraId="3FF1A003" w14:textId="77777777" w:rsidR="00754B2D" w:rsidRPr="00B433E8" w:rsidRDefault="00754B2D" w:rsidP="005842B5">
            <w:pPr>
              <w:pStyle w:val="Teksttabelisrodek"/>
            </w:pPr>
            <w:r w:rsidRPr="00B433E8">
              <w:t>6</w:t>
            </w:r>
          </w:p>
        </w:tc>
      </w:tr>
      <w:tr w:rsidR="00754B2D" w:rsidRPr="00B433E8" w14:paraId="27DBDDF9" w14:textId="77777777" w:rsidTr="00E6609C">
        <w:trPr>
          <w:trHeight w:val="454"/>
          <w:jc w:val="center"/>
        </w:trPr>
        <w:tc>
          <w:tcPr>
            <w:tcW w:w="1696" w:type="dxa"/>
            <w:shd w:val="clear" w:color="auto" w:fill="auto"/>
          </w:tcPr>
          <w:p w14:paraId="604921EA" w14:textId="77777777" w:rsidR="00754B2D" w:rsidRPr="00B433E8" w:rsidRDefault="00754B2D" w:rsidP="005842B5">
            <w:pPr>
              <w:pStyle w:val="Teksttabelilewy"/>
            </w:pPr>
            <w:r w:rsidRPr="00B433E8">
              <w:t>GWPA</w:t>
            </w:r>
          </w:p>
        </w:tc>
        <w:tc>
          <w:tcPr>
            <w:tcW w:w="5793" w:type="dxa"/>
            <w:shd w:val="clear" w:color="auto" w:fill="auto"/>
          </w:tcPr>
          <w:p w14:paraId="70A6F688" w14:textId="77777777" w:rsidR="00754B2D" w:rsidRPr="00B433E8" w:rsidRDefault="00754B2D" w:rsidP="005842B5">
            <w:pPr>
              <w:pStyle w:val="Teksttabelilewy"/>
            </w:pPr>
            <w:r w:rsidRPr="00B433E8">
              <w:t>Presje chemiczne A (rolnictwo i gospodarka komunalna)</w:t>
            </w:r>
          </w:p>
        </w:tc>
        <w:tc>
          <w:tcPr>
            <w:tcW w:w="1573" w:type="dxa"/>
            <w:shd w:val="clear" w:color="auto" w:fill="auto"/>
          </w:tcPr>
          <w:p w14:paraId="504CA828" w14:textId="77777777" w:rsidR="00754B2D" w:rsidRPr="00B433E8" w:rsidRDefault="00754B2D" w:rsidP="005842B5">
            <w:pPr>
              <w:pStyle w:val="Teksttabelisrodek"/>
            </w:pPr>
            <w:r w:rsidRPr="00B433E8">
              <w:t>3</w:t>
            </w:r>
          </w:p>
        </w:tc>
      </w:tr>
      <w:tr w:rsidR="00754B2D" w:rsidRPr="00B433E8" w14:paraId="7161C972" w14:textId="77777777" w:rsidTr="00E6609C">
        <w:trPr>
          <w:trHeight w:val="454"/>
          <w:jc w:val="center"/>
        </w:trPr>
        <w:tc>
          <w:tcPr>
            <w:tcW w:w="1696" w:type="dxa"/>
            <w:shd w:val="clear" w:color="auto" w:fill="auto"/>
          </w:tcPr>
          <w:p w14:paraId="38DF7253" w14:textId="77777777" w:rsidR="00754B2D" w:rsidRPr="00B433E8" w:rsidRDefault="00754B2D" w:rsidP="005842B5">
            <w:pPr>
              <w:pStyle w:val="Teksttabelilewy"/>
            </w:pPr>
            <w:r w:rsidRPr="00B433E8">
              <w:t>GWPB</w:t>
            </w:r>
          </w:p>
        </w:tc>
        <w:tc>
          <w:tcPr>
            <w:tcW w:w="5793" w:type="dxa"/>
            <w:shd w:val="clear" w:color="auto" w:fill="auto"/>
          </w:tcPr>
          <w:p w14:paraId="6F319DF6" w14:textId="77777777" w:rsidR="00754B2D" w:rsidRPr="00B433E8" w:rsidRDefault="00754B2D" w:rsidP="005842B5">
            <w:pPr>
              <w:pStyle w:val="Teksttabelilewy"/>
            </w:pPr>
            <w:r w:rsidRPr="00B433E8">
              <w:t>Presje chemiczne B (przemysł i urbanizacja)</w:t>
            </w:r>
          </w:p>
        </w:tc>
        <w:tc>
          <w:tcPr>
            <w:tcW w:w="1573" w:type="dxa"/>
            <w:shd w:val="clear" w:color="auto" w:fill="auto"/>
          </w:tcPr>
          <w:p w14:paraId="5D85CEF7" w14:textId="77777777" w:rsidR="00754B2D" w:rsidRPr="00B433E8" w:rsidRDefault="00754B2D" w:rsidP="005842B5">
            <w:pPr>
              <w:pStyle w:val="Teksttabelisrodek"/>
            </w:pPr>
            <w:r w:rsidRPr="00B433E8">
              <w:t>4</w:t>
            </w:r>
          </w:p>
        </w:tc>
      </w:tr>
      <w:tr w:rsidR="00754B2D" w:rsidRPr="00B433E8" w14:paraId="579A226C" w14:textId="77777777" w:rsidTr="00E6609C">
        <w:trPr>
          <w:trHeight w:val="454"/>
          <w:jc w:val="center"/>
        </w:trPr>
        <w:tc>
          <w:tcPr>
            <w:tcW w:w="1696" w:type="dxa"/>
            <w:shd w:val="clear" w:color="auto" w:fill="auto"/>
          </w:tcPr>
          <w:p w14:paraId="4F7A13F2" w14:textId="77777777" w:rsidR="00754B2D" w:rsidRPr="00B433E8" w:rsidRDefault="00754B2D" w:rsidP="005842B5">
            <w:pPr>
              <w:pStyle w:val="Teksttabelilewy"/>
            </w:pPr>
            <w:r w:rsidRPr="00B433E8">
              <w:t>GWIC</w:t>
            </w:r>
          </w:p>
        </w:tc>
        <w:tc>
          <w:tcPr>
            <w:tcW w:w="5793" w:type="dxa"/>
            <w:shd w:val="clear" w:color="auto" w:fill="auto"/>
          </w:tcPr>
          <w:p w14:paraId="195C1CBC" w14:textId="77777777" w:rsidR="00754B2D" w:rsidRPr="00B433E8" w:rsidRDefault="00754B2D" w:rsidP="005842B5">
            <w:pPr>
              <w:pStyle w:val="Teksttabelilewy"/>
            </w:pPr>
            <w:r w:rsidRPr="00B433E8">
              <w:t>Presje ilościowe i chemiczne</w:t>
            </w:r>
          </w:p>
        </w:tc>
        <w:tc>
          <w:tcPr>
            <w:tcW w:w="1573" w:type="dxa"/>
            <w:shd w:val="clear" w:color="auto" w:fill="auto"/>
          </w:tcPr>
          <w:p w14:paraId="7DC70866" w14:textId="77777777" w:rsidR="00754B2D" w:rsidRPr="00B433E8" w:rsidRDefault="00754B2D" w:rsidP="005842B5">
            <w:pPr>
              <w:pStyle w:val="Teksttabelisrodek"/>
            </w:pPr>
            <w:r w:rsidRPr="00B433E8">
              <w:t>5</w:t>
            </w:r>
          </w:p>
        </w:tc>
      </w:tr>
      <w:tr w:rsidR="00754B2D" w:rsidRPr="006A37E5" w14:paraId="155223A3" w14:textId="77777777" w:rsidTr="00E6609C">
        <w:trPr>
          <w:trHeight w:val="454"/>
          <w:jc w:val="center"/>
        </w:trPr>
        <w:tc>
          <w:tcPr>
            <w:tcW w:w="7489" w:type="dxa"/>
            <w:gridSpan w:val="2"/>
            <w:shd w:val="clear" w:color="auto" w:fill="BFBFBF" w:themeFill="background1" w:themeFillShade="BF"/>
          </w:tcPr>
          <w:p w14:paraId="4F275C54" w14:textId="77777777" w:rsidR="00754B2D" w:rsidRPr="006A37E5" w:rsidRDefault="00754B2D" w:rsidP="006A37E5">
            <w:r w:rsidRPr="006A37E5">
              <w:t>Razem</w:t>
            </w:r>
          </w:p>
        </w:tc>
        <w:tc>
          <w:tcPr>
            <w:tcW w:w="1573" w:type="dxa"/>
            <w:shd w:val="clear" w:color="auto" w:fill="BFBFBF" w:themeFill="background1" w:themeFillShade="BF"/>
          </w:tcPr>
          <w:p w14:paraId="340DED37" w14:textId="1B3587E3" w:rsidR="00754B2D" w:rsidRPr="006A37E5" w:rsidRDefault="00FA1F8D" w:rsidP="006A37E5">
            <w:r w:rsidRPr="006A37E5">
              <w:t>37</w:t>
            </w:r>
          </w:p>
        </w:tc>
      </w:tr>
    </w:tbl>
    <w:p w14:paraId="0B2DD0BA" w14:textId="77777777" w:rsidR="00754B2D" w:rsidRPr="00B433E8" w:rsidRDefault="00754B2D" w:rsidP="00754B2D">
      <w:pPr>
        <w:spacing w:line="276" w:lineRule="auto"/>
        <w:ind w:left="708"/>
        <w:jc w:val="right"/>
        <w:rPr>
          <w:rFonts w:asciiTheme="minorHAnsi" w:hAnsiTheme="minorHAnsi" w:cstheme="minorHAnsi"/>
          <w:i/>
          <w:iCs/>
          <w:color w:val="003399"/>
          <w:sz w:val="18"/>
          <w:szCs w:val="18"/>
        </w:rPr>
      </w:pPr>
      <w:r w:rsidRPr="00B433E8">
        <w:rPr>
          <w:rFonts w:asciiTheme="minorHAnsi" w:hAnsiTheme="minorHAnsi" w:cstheme="minorHAnsi"/>
          <w:i/>
          <w:iCs/>
          <w:color w:val="003399"/>
          <w:sz w:val="18"/>
          <w:szCs w:val="18"/>
        </w:rPr>
        <w:t>Źródło: opracowanie własne</w:t>
      </w:r>
    </w:p>
    <w:p w14:paraId="48C289B0" w14:textId="056CE492" w:rsidR="001D57EC" w:rsidRPr="00AB5553" w:rsidRDefault="00485643" w:rsidP="001D57EC">
      <w:pPr>
        <w:keepNext/>
        <w:spacing w:line="276" w:lineRule="auto"/>
        <w:jc w:val="center"/>
      </w:pPr>
      <w:r>
        <w:rPr>
          <w:noProof/>
          <w:lang w:eastAsia="pl-PL"/>
        </w:rPr>
        <w:drawing>
          <wp:inline distT="0" distB="0" distL="0" distR="0" wp14:anchorId="3446B1AA" wp14:editId="3D8E7890">
            <wp:extent cx="4524292" cy="2576223"/>
            <wp:effectExtent l="0" t="0" r="10160" b="14605"/>
            <wp:docPr id="1692861449" name="Wykres 1692861449">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478B1C04" w14:textId="66E068E6" w:rsidR="00754B2D" w:rsidRPr="00AB5553" w:rsidRDefault="001D57EC" w:rsidP="001D57EC">
      <w:pPr>
        <w:pStyle w:val="Wykres"/>
      </w:pPr>
      <w:bookmarkStart w:id="730" w:name="_Toc105513028"/>
      <w:r w:rsidRPr="00AB5553">
        <w:t xml:space="preserve">Wykres </w:t>
      </w:r>
      <w:fldSimple w:instr=" STYLEREF 1 \s ">
        <w:r w:rsidR="001F774D">
          <w:rPr>
            <w:noProof/>
          </w:rPr>
          <w:t>12</w:t>
        </w:r>
      </w:fldSimple>
      <w:r w:rsidR="00FF20D3">
        <w:noBreakHyphen/>
      </w:r>
      <w:fldSimple w:instr=" SEQ Wykres \* ARABIC \s 1 ">
        <w:r w:rsidR="001F774D">
          <w:rPr>
            <w:noProof/>
          </w:rPr>
          <w:t>19</w:t>
        </w:r>
      </w:fldSimple>
      <w:r w:rsidR="002B6022">
        <w:rPr>
          <w:noProof/>
        </w:rPr>
        <w:t>.</w:t>
      </w:r>
      <w:r w:rsidRPr="00AB5553">
        <w:tab/>
        <w:t>Udział działań ukierunkowanych na redukcję poszczególnych rodzajów presji</w:t>
      </w:r>
      <w:bookmarkEnd w:id="730"/>
    </w:p>
    <w:p w14:paraId="30BB5FE3" w14:textId="77777777" w:rsidR="00754B2D" w:rsidRPr="00795F17" w:rsidRDefault="00754B2D" w:rsidP="00754B2D">
      <w:pPr>
        <w:pStyle w:val="rdo"/>
        <w:rPr>
          <w:rFonts w:cs="Calibri"/>
          <w:i w:val="0"/>
        </w:rPr>
      </w:pPr>
      <w:r w:rsidRPr="00C22FBA">
        <w:t>Źródło: opracowanie własne</w:t>
      </w:r>
    </w:p>
    <w:p w14:paraId="1F5A5192" w14:textId="77777777" w:rsidR="00754B2D" w:rsidRPr="001664C9" w:rsidRDefault="00754B2D" w:rsidP="00754B2D">
      <w:pPr>
        <w:spacing w:line="276" w:lineRule="auto"/>
        <w:rPr>
          <w:rFonts w:asciiTheme="minorHAnsi" w:hAnsiTheme="minorHAnsi"/>
        </w:rPr>
      </w:pPr>
      <w:r w:rsidRPr="001664C9">
        <w:rPr>
          <w:rFonts w:asciiTheme="minorHAnsi" w:hAnsiTheme="minorHAnsi"/>
        </w:rPr>
        <w:t>Poszczególne grupy działań IIaPGW obejmują następujące działania:</w:t>
      </w:r>
    </w:p>
    <w:p w14:paraId="66F81A2A" w14:textId="01459615" w:rsidR="00754B2D" w:rsidRPr="001664C9" w:rsidRDefault="00754B2D" w:rsidP="00754B2D">
      <w:pPr>
        <w:spacing w:line="276" w:lineRule="auto"/>
        <w:rPr>
          <w:rFonts w:asciiTheme="minorHAnsi" w:hAnsiTheme="minorHAnsi"/>
        </w:rPr>
      </w:pPr>
      <w:r w:rsidRPr="001664C9">
        <w:rPr>
          <w:rFonts w:asciiTheme="minorHAnsi" w:hAnsiTheme="minorHAnsi"/>
          <w:b/>
        </w:rPr>
        <w:t>GWI:</w:t>
      </w:r>
      <w:r w:rsidRPr="001664C9">
        <w:rPr>
          <w:rFonts w:asciiTheme="minorHAnsi" w:hAnsiTheme="minorHAnsi"/>
        </w:rPr>
        <w:t xml:space="preserve"> działania ukierunkowane na redukcję presji ilościowej, związane z ograniczaniem zużycia wody, stosowaniem </w:t>
      </w:r>
      <w:r w:rsidRPr="00B433E8">
        <w:rPr>
          <w:rFonts w:asciiTheme="minorHAnsi" w:hAnsiTheme="minorHAnsi" w:cstheme="minorHAnsi"/>
        </w:rPr>
        <w:t>oszczędzających wodę</w:t>
      </w:r>
      <w:r w:rsidRPr="001664C9">
        <w:rPr>
          <w:rFonts w:asciiTheme="minorHAnsi" w:hAnsiTheme="minorHAnsi"/>
        </w:rPr>
        <w:t xml:space="preserve"> technik nawadniania gruntów ornych i sposobów retencji oraz</w:t>
      </w:r>
      <w:r w:rsidR="002640DE">
        <w:rPr>
          <w:rFonts w:asciiTheme="minorHAnsi" w:hAnsiTheme="minorHAnsi"/>
        </w:rPr>
        <w:t> </w:t>
      </w:r>
      <w:r w:rsidRPr="001664C9">
        <w:rPr>
          <w:rFonts w:asciiTheme="minorHAnsi" w:hAnsiTheme="minorHAnsi"/>
        </w:rPr>
        <w:t>zagospodarowania wód opadowych w rolnictwie, a także spowolnieniem lub zatrzymaniem odpływu wód ze zlewni oraz zwiększeniem możliwości retencyjnych zlewni, w tym zwiększeniem retencji na</w:t>
      </w:r>
      <w:r w:rsidR="00F7735D">
        <w:rPr>
          <w:rFonts w:asciiTheme="minorHAnsi" w:hAnsiTheme="minorHAnsi"/>
        </w:rPr>
        <w:t> </w:t>
      </w:r>
      <w:r w:rsidRPr="001664C9">
        <w:rPr>
          <w:rFonts w:asciiTheme="minorHAnsi" w:hAnsiTheme="minorHAnsi"/>
        </w:rPr>
        <w:t xml:space="preserve">obszarach zurbanizowanych. </w:t>
      </w:r>
      <w:r w:rsidRPr="00B433E8">
        <w:rPr>
          <w:rFonts w:asciiTheme="minorHAnsi" w:hAnsiTheme="minorHAnsi" w:cstheme="minorHAnsi"/>
        </w:rPr>
        <w:t>Ponadto obejmują</w:t>
      </w:r>
      <w:r w:rsidRPr="001664C9">
        <w:rPr>
          <w:rFonts w:asciiTheme="minorHAnsi" w:hAnsiTheme="minorHAnsi"/>
        </w:rPr>
        <w:t xml:space="preserve"> dokonywanie dodatkowego przeglądu pozwoleń wodnoprawnych oraz weryfikację zasobów dyspozycyjnych wód podziemnych i</w:t>
      </w:r>
      <w:r w:rsidR="001E6458">
        <w:rPr>
          <w:rFonts w:asciiTheme="minorHAnsi" w:hAnsiTheme="minorHAnsi"/>
        </w:rPr>
        <w:t> </w:t>
      </w:r>
      <w:r w:rsidRPr="001664C9">
        <w:rPr>
          <w:rFonts w:asciiTheme="minorHAnsi" w:hAnsiTheme="minorHAnsi"/>
        </w:rPr>
        <w:t>eksploatacyjnych ujęć wód podziemnych, analizę możliwości odbudowy/przebudowy systemów melioracyjnych, a także opracowanie programu monitorowania stanu wód podziemnych w rejonie prowadzonej działalności górniczej i opracowanie programu zagospodarowania wód odwodnieniowych</w:t>
      </w:r>
      <w:r w:rsidR="00D35673">
        <w:rPr>
          <w:rFonts w:asciiTheme="minorHAnsi" w:hAnsiTheme="minorHAnsi"/>
        </w:rPr>
        <w:t>.</w:t>
      </w:r>
    </w:p>
    <w:p w14:paraId="5710AC13" w14:textId="14ED8707" w:rsidR="00754B2D" w:rsidRPr="001664C9" w:rsidRDefault="00754B2D" w:rsidP="00754B2D">
      <w:pPr>
        <w:spacing w:line="276" w:lineRule="auto"/>
        <w:rPr>
          <w:rFonts w:asciiTheme="minorHAnsi" w:hAnsiTheme="minorHAnsi"/>
        </w:rPr>
      </w:pPr>
      <w:r w:rsidRPr="001664C9">
        <w:rPr>
          <w:rFonts w:asciiTheme="minorHAnsi" w:hAnsiTheme="minorHAnsi"/>
          <w:b/>
        </w:rPr>
        <w:t>GWC:</w:t>
      </w:r>
      <w:r w:rsidRPr="001664C9">
        <w:rPr>
          <w:rFonts w:asciiTheme="minorHAnsi" w:hAnsiTheme="minorHAnsi"/>
        </w:rPr>
        <w:t xml:space="preserve"> działania ukierunkowane na redukcję presji chemicznej, związane z </w:t>
      </w:r>
      <w:r w:rsidRPr="00B433E8">
        <w:rPr>
          <w:rFonts w:asciiTheme="minorHAnsi" w:hAnsiTheme="minorHAnsi" w:cstheme="minorHAnsi"/>
        </w:rPr>
        <w:t>opracowaniem</w:t>
      </w:r>
      <w:r w:rsidRPr="001664C9">
        <w:rPr>
          <w:rFonts w:asciiTheme="minorHAnsi" w:hAnsiTheme="minorHAnsi"/>
        </w:rPr>
        <w:t xml:space="preserve"> wniosków na</w:t>
      </w:r>
      <w:r w:rsidR="00F7735D">
        <w:rPr>
          <w:rFonts w:asciiTheme="minorHAnsi" w:hAnsiTheme="minorHAnsi"/>
        </w:rPr>
        <w:t> </w:t>
      </w:r>
      <w:r w:rsidRPr="001664C9">
        <w:rPr>
          <w:rFonts w:asciiTheme="minorHAnsi" w:hAnsiTheme="minorHAnsi"/>
        </w:rPr>
        <w:t>potrzeby ustanawiania obszarów ochronnych zbiorników wód śródlądowych</w:t>
      </w:r>
      <w:r w:rsidRPr="00B433E8">
        <w:rPr>
          <w:rFonts w:asciiTheme="minorHAnsi" w:hAnsiTheme="minorHAnsi" w:cstheme="minorHAnsi"/>
        </w:rPr>
        <w:t xml:space="preserve"> (w tym GZWP)</w:t>
      </w:r>
      <w:r w:rsidRPr="001664C9">
        <w:rPr>
          <w:rFonts w:asciiTheme="minorHAnsi" w:hAnsiTheme="minorHAnsi"/>
        </w:rPr>
        <w:t xml:space="preserve"> oraz</w:t>
      </w:r>
      <w:r w:rsidR="00F7735D">
        <w:rPr>
          <w:rFonts w:asciiTheme="minorHAnsi" w:hAnsiTheme="minorHAnsi"/>
        </w:rPr>
        <w:t> </w:t>
      </w:r>
      <w:r w:rsidRPr="001664C9">
        <w:rPr>
          <w:rFonts w:asciiTheme="minorHAnsi" w:hAnsiTheme="minorHAnsi"/>
        </w:rPr>
        <w:t>rozporządzeń ustanawiających te obszary wraz ze wsparciem merytorycznym związanych z ich ustanawianiem</w:t>
      </w:r>
      <w:r w:rsidR="00E45883">
        <w:rPr>
          <w:rFonts w:asciiTheme="minorHAnsi" w:hAnsiTheme="minorHAnsi"/>
        </w:rPr>
        <w:t>;</w:t>
      </w:r>
      <w:r w:rsidR="00E45883" w:rsidRPr="001664C9">
        <w:rPr>
          <w:rFonts w:asciiTheme="minorHAnsi" w:hAnsiTheme="minorHAnsi"/>
        </w:rPr>
        <w:t xml:space="preserve"> </w:t>
      </w:r>
    </w:p>
    <w:p w14:paraId="35A6478B" w14:textId="3806A478" w:rsidR="00754B2D" w:rsidRPr="001664C9" w:rsidRDefault="00754B2D" w:rsidP="00754B2D">
      <w:pPr>
        <w:spacing w:line="276" w:lineRule="auto"/>
        <w:rPr>
          <w:rFonts w:asciiTheme="minorHAnsi" w:hAnsiTheme="minorHAnsi"/>
        </w:rPr>
      </w:pPr>
      <w:r w:rsidRPr="001664C9">
        <w:rPr>
          <w:rFonts w:asciiTheme="minorHAnsi" w:hAnsiTheme="minorHAnsi"/>
          <w:b/>
        </w:rPr>
        <w:t>GWPA:</w:t>
      </w:r>
      <w:r w:rsidRPr="001664C9">
        <w:rPr>
          <w:rFonts w:asciiTheme="minorHAnsi" w:hAnsiTheme="minorHAnsi"/>
        </w:rPr>
        <w:t xml:space="preserve"> działania ukierunkowane są na </w:t>
      </w:r>
      <w:r w:rsidRPr="00B433E8">
        <w:rPr>
          <w:rFonts w:asciiTheme="minorHAnsi" w:hAnsiTheme="minorHAnsi" w:cstheme="minorHAnsi"/>
        </w:rPr>
        <w:t>rozpoznanie</w:t>
      </w:r>
      <w:r w:rsidRPr="001664C9">
        <w:rPr>
          <w:rFonts w:asciiTheme="minorHAnsi" w:hAnsiTheme="minorHAnsi"/>
        </w:rPr>
        <w:t xml:space="preserve"> występowania nowych zanieczyszczeń w wodach podziemnych w rejonach intensywnej presji urbanizacyjnej, rolniczej i przemysłowej, a także przeprowadzanie szkoleń dla prowadzących działalność rolniczą w zakresie stosowania działań ze</w:t>
      </w:r>
      <w:r w:rsidR="00F7735D">
        <w:rPr>
          <w:rFonts w:asciiTheme="minorHAnsi" w:hAnsiTheme="minorHAnsi"/>
        </w:rPr>
        <w:t> </w:t>
      </w:r>
      <w:r w:rsidRPr="003F658A">
        <w:rPr>
          <w:rFonts w:asciiTheme="minorHAnsi" w:hAnsiTheme="minorHAnsi"/>
        </w:rPr>
        <w:t>Zbioru zaleceń dobrej praktyki rolniczej</w:t>
      </w:r>
      <w:r w:rsidRPr="001664C9">
        <w:rPr>
          <w:rFonts w:asciiTheme="minorHAnsi" w:hAnsiTheme="minorHAnsi"/>
        </w:rPr>
        <w:t xml:space="preserve"> </w:t>
      </w:r>
      <w:r w:rsidR="003872C8">
        <w:rPr>
          <w:rFonts w:asciiTheme="minorHAnsi" w:hAnsiTheme="minorHAnsi"/>
        </w:rPr>
        <w:t xml:space="preserve">do </w:t>
      </w:r>
      <w:r w:rsidRPr="001664C9">
        <w:rPr>
          <w:rFonts w:asciiTheme="minorHAnsi" w:hAnsiTheme="minorHAnsi"/>
        </w:rPr>
        <w:t>dobrowolne</w:t>
      </w:r>
      <w:r w:rsidR="00830903">
        <w:rPr>
          <w:rFonts w:asciiTheme="minorHAnsi" w:hAnsiTheme="minorHAnsi"/>
        </w:rPr>
        <w:t>go</w:t>
      </w:r>
      <w:r w:rsidRPr="001664C9">
        <w:rPr>
          <w:rFonts w:asciiTheme="minorHAnsi" w:hAnsiTheme="minorHAnsi"/>
        </w:rPr>
        <w:t xml:space="preserve"> stosowani</w:t>
      </w:r>
      <w:r w:rsidR="00830903">
        <w:rPr>
          <w:rFonts w:asciiTheme="minorHAnsi" w:hAnsiTheme="minorHAnsi"/>
        </w:rPr>
        <w:t xml:space="preserve">a opracowane dla </w:t>
      </w:r>
      <w:r w:rsidR="00E210CB">
        <w:rPr>
          <w:rFonts w:asciiTheme="minorHAnsi" w:hAnsiTheme="minorHAnsi"/>
        </w:rPr>
        <w:t>potrzeb MRiRW, w 2019</w:t>
      </w:r>
      <w:r w:rsidR="00C713A1">
        <w:rPr>
          <w:rFonts w:asciiTheme="minorHAnsi" w:hAnsiTheme="minorHAnsi"/>
        </w:rPr>
        <w:t xml:space="preserve"> r.</w:t>
      </w:r>
      <w:r w:rsidR="00E45883">
        <w:rPr>
          <w:rFonts w:asciiTheme="minorHAnsi" w:hAnsiTheme="minorHAnsi"/>
        </w:rPr>
        <w:t>;</w:t>
      </w:r>
    </w:p>
    <w:p w14:paraId="471375E3" w14:textId="71E06622" w:rsidR="00754B2D" w:rsidRPr="001664C9" w:rsidRDefault="00754B2D" w:rsidP="00754B2D">
      <w:pPr>
        <w:spacing w:line="276" w:lineRule="auto"/>
        <w:rPr>
          <w:rFonts w:asciiTheme="minorHAnsi" w:hAnsiTheme="minorHAnsi"/>
        </w:rPr>
      </w:pPr>
      <w:r w:rsidRPr="001664C9">
        <w:rPr>
          <w:rFonts w:asciiTheme="minorHAnsi" w:hAnsiTheme="minorHAnsi"/>
          <w:b/>
        </w:rPr>
        <w:t>GWPB:</w:t>
      </w:r>
      <w:r w:rsidRPr="001664C9">
        <w:rPr>
          <w:rFonts w:asciiTheme="minorHAnsi" w:hAnsiTheme="minorHAnsi"/>
        </w:rPr>
        <w:t xml:space="preserve"> działania ukierunkowane na redukcję presji chemicznej związanej z przemysłem i urbanizacją, obejmują prowadzenie monitoringu wód podziemnych w zakresie zanieczyszczeń związkami chlorowcopochodnymi oraz związkami wskazującymi na presję przemysłową, a także opracowanie ekspertyzy mającej na celu określenie zasięgu i źródła zanieczyszczeń na obszarach poprzemysłowych</w:t>
      </w:r>
      <w:r w:rsidR="00E45883">
        <w:rPr>
          <w:rFonts w:asciiTheme="minorHAnsi" w:hAnsiTheme="minorHAnsi"/>
        </w:rPr>
        <w:t>;</w:t>
      </w:r>
    </w:p>
    <w:p w14:paraId="5A5FDDC9" w14:textId="4D9514FD" w:rsidR="00134DF1" w:rsidRPr="00795F17" w:rsidRDefault="00754B2D" w:rsidP="00754B2D">
      <w:pPr>
        <w:rPr>
          <w:szCs w:val="18"/>
        </w:rPr>
      </w:pPr>
      <w:r w:rsidRPr="001664C9">
        <w:rPr>
          <w:rFonts w:asciiTheme="minorHAnsi" w:hAnsiTheme="minorHAnsi"/>
          <w:b/>
        </w:rPr>
        <w:t>GWIC:</w:t>
      </w:r>
      <w:r w:rsidRPr="001664C9">
        <w:rPr>
          <w:rFonts w:asciiTheme="minorHAnsi" w:hAnsiTheme="minorHAnsi"/>
        </w:rPr>
        <w:t xml:space="preserve"> działania ukierunkowane zarówno na redukcję presji ilościowej jak i chemicznej, związane z</w:t>
      </w:r>
      <w:r>
        <w:rPr>
          <w:rFonts w:asciiTheme="minorHAnsi" w:hAnsiTheme="minorHAnsi" w:cstheme="minorHAnsi"/>
        </w:rPr>
        <w:t> </w:t>
      </w:r>
      <w:r w:rsidRPr="001664C9">
        <w:rPr>
          <w:rFonts w:asciiTheme="minorHAnsi" w:hAnsiTheme="minorHAnsi"/>
        </w:rPr>
        <w:t>prowadzeniem monitoringu stanu chemicznego i ilościowego wód podziemnych, a</w:t>
      </w:r>
      <w:r w:rsidR="008B2EC1">
        <w:rPr>
          <w:rFonts w:asciiTheme="minorHAnsi" w:hAnsiTheme="minorHAnsi"/>
        </w:rPr>
        <w:t> </w:t>
      </w:r>
      <w:r w:rsidRPr="001664C9">
        <w:rPr>
          <w:rFonts w:asciiTheme="minorHAnsi" w:hAnsiTheme="minorHAnsi"/>
        </w:rPr>
        <w:t>także wykonaniem dokumentacji hydrogeologicznych określających warunki hydrogeologiczne w</w:t>
      </w:r>
      <w:r w:rsidR="00114742">
        <w:rPr>
          <w:rFonts w:asciiTheme="minorHAnsi" w:hAnsiTheme="minorHAnsi"/>
        </w:rPr>
        <w:t> </w:t>
      </w:r>
      <w:r w:rsidRPr="001664C9">
        <w:rPr>
          <w:rFonts w:asciiTheme="minorHAnsi" w:hAnsiTheme="minorHAnsi"/>
        </w:rPr>
        <w:t>związku z</w:t>
      </w:r>
      <w:r w:rsidR="00114742">
        <w:rPr>
          <w:rFonts w:asciiTheme="minorHAnsi" w:hAnsiTheme="minorHAnsi"/>
        </w:rPr>
        <w:t xml:space="preserve"> </w:t>
      </w:r>
      <w:r w:rsidRPr="001664C9">
        <w:rPr>
          <w:rFonts w:asciiTheme="minorHAnsi" w:hAnsiTheme="minorHAnsi"/>
        </w:rPr>
        <w:t>zakończeniem odwadniania lub/i likwidacji zakładu górniczego.</w:t>
      </w:r>
    </w:p>
    <w:p w14:paraId="63A3CF77" w14:textId="63B698DD" w:rsidR="0044636E" w:rsidRPr="00795F17" w:rsidRDefault="00134DF1" w:rsidP="00134DF1">
      <w:r w:rsidRPr="00795F17">
        <w:t xml:space="preserve">Katalog działań </w:t>
      </w:r>
      <w:r w:rsidR="00DF005E">
        <w:t>JCWP</w:t>
      </w:r>
      <w:r w:rsidRPr="00795F17">
        <w:t xml:space="preserve">d (GW) </w:t>
      </w:r>
      <w:r w:rsidR="00064AE0">
        <w:t>prezentuje załącznik</w:t>
      </w:r>
      <w:r w:rsidRPr="00795F17">
        <w:t xml:space="preserve"> nr </w:t>
      </w:r>
      <w:r w:rsidR="00CC04BE">
        <w:t>12</w:t>
      </w:r>
      <w:r w:rsidRPr="00795F17">
        <w:t xml:space="preserve"> (Katalog działań dla poszczególnych kategorii wód)</w:t>
      </w:r>
      <w:r w:rsidR="00F7735D">
        <w:t xml:space="preserve"> IIaPGW</w:t>
      </w:r>
      <w:r w:rsidRPr="00795F17">
        <w:t>.</w:t>
      </w:r>
    </w:p>
    <w:p w14:paraId="1E5AF661" w14:textId="60EAADFA" w:rsidR="0044636E" w:rsidRPr="00795F17" w:rsidRDefault="0044636E" w:rsidP="00C53C86">
      <w:pPr>
        <w:pStyle w:val="Nagwek2"/>
      </w:pPr>
      <w:bookmarkStart w:id="731" w:name="_Toc65667254"/>
      <w:bookmarkStart w:id="732" w:name="_Toc66347824"/>
      <w:bookmarkStart w:id="733" w:name="_Toc105512702"/>
      <w:r w:rsidRPr="00795F17">
        <w:t>Opis zestawu działań podstawowych i uzupełniających jcw</w:t>
      </w:r>
      <w:bookmarkEnd w:id="731"/>
      <w:bookmarkEnd w:id="732"/>
      <w:bookmarkEnd w:id="733"/>
      <w:r w:rsidRPr="00795F17">
        <w:t xml:space="preserve"> </w:t>
      </w:r>
    </w:p>
    <w:p w14:paraId="0C6B5024" w14:textId="587585E4" w:rsidR="00686304" w:rsidRPr="00795F17" w:rsidRDefault="00686304" w:rsidP="00686304">
      <w:r w:rsidRPr="00795F17">
        <w:t xml:space="preserve">Zestaw działań podstawowych i uzupełniających jcw tworzą działania przypisane z katalogów działań indywidualnie dla </w:t>
      </w:r>
      <w:r w:rsidR="00DF005E">
        <w:t>JCWP</w:t>
      </w:r>
      <w:r w:rsidRPr="00795F17">
        <w:t xml:space="preserve"> i </w:t>
      </w:r>
      <w:r w:rsidR="00DF005E">
        <w:t>JCWP</w:t>
      </w:r>
      <w:r w:rsidRPr="00795F17">
        <w:t xml:space="preserve">d. Wybór działań nastąpił w oparciu o wyniki i ustalenia projektu </w:t>
      </w:r>
      <w:r w:rsidRPr="00795F17">
        <w:rPr>
          <w:i/>
          <w:iCs/>
        </w:rPr>
        <w:t xml:space="preserve">Analizy znaczących oddziaływań </w:t>
      </w:r>
      <w:r w:rsidR="0096315B">
        <w:rPr>
          <w:i/>
          <w:iCs/>
        </w:rPr>
        <w:t>–</w:t>
      </w:r>
      <w:r w:rsidRPr="00795F17">
        <w:rPr>
          <w:i/>
          <w:iCs/>
        </w:rPr>
        <w:t xml:space="preserve"> </w:t>
      </w:r>
      <w:r w:rsidR="00DF005E">
        <w:rPr>
          <w:i/>
          <w:iCs/>
        </w:rPr>
        <w:t>JCWP</w:t>
      </w:r>
      <w:r w:rsidRPr="00795F17">
        <w:rPr>
          <w:i/>
          <w:iCs/>
        </w:rPr>
        <w:t xml:space="preserve"> (…)</w:t>
      </w:r>
      <w:r w:rsidR="00975166">
        <w:rPr>
          <w:rStyle w:val="Odwoanieprzypisudolnego"/>
          <w:i/>
          <w:iCs/>
        </w:rPr>
        <w:footnoteReference w:id="100"/>
      </w:r>
      <w:r w:rsidRPr="00795F17">
        <w:t xml:space="preserve"> oraz projektu </w:t>
      </w:r>
      <w:r w:rsidRPr="00795F17">
        <w:rPr>
          <w:i/>
          <w:iCs/>
        </w:rPr>
        <w:t xml:space="preserve">Dalsza charakterystyka </w:t>
      </w:r>
      <w:r w:rsidR="00DF005E">
        <w:rPr>
          <w:i/>
          <w:iCs/>
        </w:rPr>
        <w:t>JCWP</w:t>
      </w:r>
      <w:r w:rsidRPr="00795F17">
        <w:rPr>
          <w:i/>
          <w:iCs/>
        </w:rPr>
        <w:t>d (...</w:t>
      </w:r>
      <w:r w:rsidR="006544FF">
        <w:rPr>
          <w:i/>
          <w:iCs/>
        </w:rPr>
        <w:t>)</w:t>
      </w:r>
      <w:r w:rsidR="001F0E03">
        <w:rPr>
          <w:rStyle w:val="Odwoanieprzypisudolnego"/>
          <w:i/>
          <w:iCs/>
        </w:rPr>
        <w:footnoteReference w:id="101"/>
      </w:r>
      <w:r w:rsidRPr="00795F17">
        <w:rPr>
          <w:i/>
          <w:iCs/>
        </w:rPr>
        <w:t>,</w:t>
      </w:r>
      <w:r w:rsidRPr="00795F17">
        <w:t xml:space="preserve"> tj. w oparciu o zidentyfikowane presje antropogeniczne i ocenę ryzyka zagrożenia nieosiągnięcia celów środowiskowych (informacje ujęte w rozdziale 7 IIaPGW oraz w załącznikach graficznych nr </w:t>
      </w:r>
      <w:r w:rsidR="00FB0E13">
        <w:t>42-46</w:t>
      </w:r>
      <w:r w:rsidRPr="00795F17">
        <w:t>).</w:t>
      </w:r>
    </w:p>
    <w:p w14:paraId="0BEE2915" w14:textId="220EABB7" w:rsidR="00686304" w:rsidRPr="00795F17" w:rsidRDefault="00686304" w:rsidP="00686304">
      <w:r w:rsidRPr="00795F17">
        <w:t>Katalogi poszczególnych kategorii wód opisane zostały w podrozdziałach 12.</w:t>
      </w:r>
      <w:r w:rsidR="001D4928" w:rsidRPr="00795F17">
        <w:t>3</w:t>
      </w:r>
      <w:r w:rsidRPr="00795F17">
        <w:t>.1</w:t>
      </w:r>
      <w:r w:rsidR="006544FF">
        <w:t xml:space="preserve"> </w:t>
      </w:r>
      <w:r w:rsidRPr="00795F17">
        <w:t>-</w:t>
      </w:r>
      <w:r w:rsidR="006544FF">
        <w:t xml:space="preserve"> </w:t>
      </w:r>
      <w:r w:rsidRPr="00795F17">
        <w:t>12.</w:t>
      </w:r>
      <w:r w:rsidR="001D4928" w:rsidRPr="00795F17">
        <w:t>3</w:t>
      </w:r>
      <w:r w:rsidRPr="00795F17">
        <w:t>.5.</w:t>
      </w:r>
    </w:p>
    <w:p w14:paraId="4AAAC05A" w14:textId="737AE71F" w:rsidR="00686304" w:rsidRPr="00795F17" w:rsidRDefault="009914B2" w:rsidP="00686304">
      <w:pPr>
        <w:spacing w:line="276" w:lineRule="auto"/>
        <w:rPr>
          <w:rFonts w:cs="Calibri"/>
        </w:rPr>
      </w:pPr>
      <w:r>
        <w:t>Na</w:t>
      </w:r>
      <w:r w:rsidR="00686304" w:rsidRPr="00795F17">
        <w:t xml:space="preserve"> obszar</w:t>
      </w:r>
      <w:r>
        <w:t>ze</w:t>
      </w:r>
      <w:r w:rsidR="00686304" w:rsidRPr="00795F17">
        <w:t xml:space="preserve"> dorzecza Odry zestawy działań zbudowane zostały dla wszystkich kategorii wód występujących na obszarze dorzecza, tj. </w:t>
      </w:r>
      <w:r w:rsidR="00DF005E">
        <w:t>JCWP</w:t>
      </w:r>
      <w:r w:rsidR="00686304" w:rsidRPr="00795F17">
        <w:t xml:space="preserve"> RW, </w:t>
      </w:r>
      <w:r w:rsidR="00DF005E">
        <w:t>JCWP</w:t>
      </w:r>
      <w:r w:rsidR="00686304" w:rsidRPr="00795F17">
        <w:t xml:space="preserve"> RWr, </w:t>
      </w:r>
      <w:r w:rsidR="00DF005E">
        <w:t>JCWP</w:t>
      </w:r>
      <w:r w:rsidR="00686304" w:rsidRPr="00795F17">
        <w:t xml:space="preserve"> LW, </w:t>
      </w:r>
      <w:r w:rsidR="00DF005E">
        <w:t>JCWP</w:t>
      </w:r>
      <w:r w:rsidR="00686304" w:rsidRPr="00795F17">
        <w:t xml:space="preserve"> TW i CW oraz </w:t>
      </w:r>
      <w:r w:rsidR="00DF005E">
        <w:t>JCWP</w:t>
      </w:r>
      <w:r w:rsidR="00686304" w:rsidRPr="00795F17">
        <w:t>d.</w:t>
      </w:r>
    </w:p>
    <w:p w14:paraId="13A21F9B" w14:textId="4CF97A77" w:rsidR="00686304" w:rsidRPr="00795F17" w:rsidRDefault="00686304" w:rsidP="00C53C86">
      <w:pPr>
        <w:pStyle w:val="Nagwek3"/>
      </w:pPr>
      <w:bookmarkStart w:id="734" w:name="_Toc105512703"/>
      <w:r w:rsidRPr="00795F17">
        <w:t xml:space="preserve">Zestaw działań podstawowych i uzupełniających </w:t>
      </w:r>
      <w:r w:rsidR="00DF005E">
        <w:t>JCWP</w:t>
      </w:r>
      <w:r w:rsidRPr="00795F17">
        <w:t xml:space="preserve"> RW</w:t>
      </w:r>
      <w:bookmarkEnd w:id="734"/>
    </w:p>
    <w:p w14:paraId="32194B0E" w14:textId="2B2CDE2A" w:rsidR="00877AB0" w:rsidRDefault="00877AB0" w:rsidP="001E2F4D">
      <w:pPr>
        <w:keepNext/>
        <w:rPr>
          <w:bCs/>
        </w:rPr>
      </w:pPr>
      <w:r>
        <w:rPr>
          <w:bCs/>
        </w:rPr>
        <w:t xml:space="preserve">Zestawy działań dla </w:t>
      </w:r>
      <w:r w:rsidR="00DF005E">
        <w:rPr>
          <w:bCs/>
        </w:rPr>
        <w:t>JCWP</w:t>
      </w:r>
      <w:r>
        <w:rPr>
          <w:bCs/>
        </w:rPr>
        <w:t xml:space="preserve"> RW zostały ukierunkowane na likwidację presji znaczących powodujących ryzyko nieosiągnięcia celów środowiskowych, ze szczególnym uwzględnieniem:</w:t>
      </w:r>
    </w:p>
    <w:p w14:paraId="0F6114C8" w14:textId="77777777" w:rsidR="00877AB0" w:rsidRDefault="00877AB0" w:rsidP="00117E86">
      <w:pPr>
        <w:pStyle w:val="Listapunktowana2"/>
      </w:pPr>
      <w:r>
        <w:t>przywrócenia drożności dla migracji ryb oraz połączenia pomiędzy korytem, a terenami zalewowymi;</w:t>
      </w:r>
    </w:p>
    <w:p w14:paraId="1A66F514" w14:textId="77777777" w:rsidR="00877AB0" w:rsidRDefault="00877AB0" w:rsidP="00117E86">
      <w:pPr>
        <w:pStyle w:val="Listapunktowana2"/>
      </w:pPr>
      <w:r>
        <w:t>poprawy warunków morfologicznych (siedliskowych) w korycie oraz warunków przepływu wód w kontekście poprawy stanu elementów biologicznych;</w:t>
      </w:r>
    </w:p>
    <w:p w14:paraId="7AD4D17C" w14:textId="77777777" w:rsidR="00877AB0" w:rsidRDefault="00877AB0" w:rsidP="00117E86">
      <w:pPr>
        <w:pStyle w:val="Listapunktowana2"/>
      </w:pPr>
      <w:r>
        <w:t>poprawy jakości wód i ograniczenia dopływu zanieczyszczeń ze źródeł: rolniczych, komunalnych i przemysłowych;</w:t>
      </w:r>
    </w:p>
    <w:p w14:paraId="51757E5A" w14:textId="77777777" w:rsidR="00877AB0" w:rsidRDefault="00877AB0" w:rsidP="00117E86">
      <w:pPr>
        <w:pStyle w:val="Listapunktowana2"/>
      </w:pPr>
      <w:r>
        <w:t>spełnienia wymagań obszarów przeznaczonych do ochrony siedlisk lub gatunków ustanowionych w u.o.p., dla których utrzymanie lub poprawa stanu wód jest ważnym czynnikiem w ich ochronie.</w:t>
      </w:r>
    </w:p>
    <w:p w14:paraId="237D29B9" w14:textId="6FEE37E6" w:rsidR="00877AB0" w:rsidRDefault="00877AB0" w:rsidP="00877AB0">
      <w:pPr>
        <w:spacing w:line="276" w:lineRule="auto"/>
        <w:rPr>
          <w:rFonts w:cs="Calibri"/>
        </w:rPr>
      </w:pPr>
      <w:r>
        <w:rPr>
          <w:rFonts w:cs="Calibri"/>
        </w:rPr>
        <w:t xml:space="preserve">Na potrzeby przypisywania działań dla </w:t>
      </w:r>
      <w:r w:rsidR="00DF005E">
        <w:rPr>
          <w:rFonts w:cs="Calibri"/>
        </w:rPr>
        <w:t>JCWP</w:t>
      </w:r>
      <w:r>
        <w:rPr>
          <w:rFonts w:cs="Calibri"/>
        </w:rPr>
        <w:t xml:space="preserve"> RW z zakresu zachowania ciągłości biologicznej i morfologicznej uwzględniono opracowanie: </w:t>
      </w:r>
      <w:r>
        <w:rPr>
          <w:rFonts w:cs="Calibri"/>
          <w:i/>
          <w:iCs/>
        </w:rPr>
        <w:t>Ocena potrzeb i priorytetów udrożnienia ciągłości (…)</w:t>
      </w:r>
      <w:r>
        <w:rPr>
          <w:rFonts w:cs="Calibri"/>
        </w:rPr>
        <w:t xml:space="preserve"> </w:t>
      </w:r>
      <w:r w:rsidR="00EF6176">
        <w:rPr>
          <w:rStyle w:val="Odwoanieprzypisudolnego"/>
          <w:i/>
          <w:iCs/>
        </w:rPr>
        <w:footnoteReference w:id="102"/>
      </w:r>
      <w:r w:rsidR="00EF6176">
        <w:rPr>
          <w:rFonts w:cs="Calibri"/>
        </w:rPr>
        <w:t xml:space="preserve">, </w:t>
      </w:r>
      <w:r>
        <w:rPr>
          <w:rFonts w:cs="Calibri"/>
        </w:rPr>
        <w:t xml:space="preserve">lub wymagania gatunków chronionych zidentyfikowanych w opracowaniu pn. </w:t>
      </w:r>
      <w:r>
        <w:rPr>
          <w:rFonts w:cs="Calibri"/>
          <w:i/>
          <w:iCs/>
        </w:rPr>
        <w:t>Ustalenie celów środowiskowych (…)</w:t>
      </w:r>
      <w:r w:rsidR="00925673">
        <w:rPr>
          <w:rStyle w:val="Odwoanieprzypisudolnego"/>
          <w:i/>
          <w:iCs/>
        </w:rPr>
        <w:footnoteReference w:id="103"/>
      </w:r>
      <w:r>
        <w:rPr>
          <w:rFonts w:cs="Calibri"/>
        </w:rPr>
        <w:t>, albo wartości indeksu D badań ichtiofauny przeprowadzonych w ramach PMŚ, o ile ichtiofauna jest jedynym elementem oceny stanu/potencjału ekologicznego pozostającym poniżej dobrego</w:t>
      </w:r>
      <w:r w:rsidR="004A53F8">
        <w:rPr>
          <w:rFonts w:cs="Calibri"/>
        </w:rPr>
        <w:t xml:space="preserve"> </w:t>
      </w:r>
      <w:r w:rsidR="004A53F8" w:rsidRPr="004A53F8">
        <w:rPr>
          <w:rFonts w:cs="Calibri"/>
        </w:rPr>
        <w:t>lub Rozporządzenia Ministra Rolnictwa i Rozwoju Wsi z dnia 6 maja 2021 r. w sprawie określenia gatunków zwierząt wodnych o znaczeniu gospodarczym oraz obszarów</w:t>
      </w:r>
      <w:r w:rsidR="0028236F">
        <w:rPr>
          <w:rFonts w:cs="Calibri"/>
        </w:rPr>
        <w:t xml:space="preserve"> </w:t>
      </w:r>
      <w:r w:rsidR="0028236F" w:rsidRPr="0028236F">
        <w:rPr>
          <w:rFonts w:cs="Calibri"/>
        </w:rPr>
        <w:t>przeznaczonych do ochrony tych gatunków</w:t>
      </w:r>
      <w:r>
        <w:rPr>
          <w:rFonts w:cs="Calibri"/>
        </w:rPr>
        <w:t xml:space="preserve">. Dodatkowo działania dla konkretnych budowli weryfikowano w oparciu o ortofotomapy i wyniki ankietyzacji. Liczba działań z zakresu zachowania ciągłości biologicznej i morfologicznej wyniosła </w:t>
      </w:r>
      <w:r w:rsidR="00B4180A">
        <w:rPr>
          <w:rFonts w:cs="Calibri"/>
        </w:rPr>
        <w:t xml:space="preserve">871 </w:t>
      </w:r>
      <w:r>
        <w:rPr>
          <w:rFonts w:cs="Calibri"/>
        </w:rPr>
        <w:t xml:space="preserve">(RWHM_02 i RWHM_01). </w:t>
      </w:r>
    </w:p>
    <w:p w14:paraId="13B66EAF" w14:textId="77777777" w:rsidR="00877AB0" w:rsidRDefault="00877AB0" w:rsidP="00877AB0">
      <w:pPr>
        <w:spacing w:line="276" w:lineRule="auto"/>
        <w:rPr>
          <w:rFonts w:cs="Calibri"/>
        </w:rPr>
      </w:pPr>
      <w:r>
        <w:rPr>
          <w:rFonts w:cs="Calibri"/>
        </w:rPr>
        <w:t xml:space="preserve">We wszystkich kategoriach wód działania ukierunkowane na likwidację presji fizykochemicznych i chemicznych mają ograniczyć zanieczyszczenia u źródła ich powstania, ze szczególnym uwzględnieniem: </w:t>
      </w:r>
    </w:p>
    <w:p w14:paraId="58C0E632" w14:textId="77777777" w:rsidR="00877AB0" w:rsidRDefault="00877AB0" w:rsidP="00117E86">
      <w:pPr>
        <w:pStyle w:val="Listapunktowana2"/>
      </w:pPr>
      <w:r>
        <w:t>ograniczenia zanieczyszczeń rozproszonych z obszarów rolniczych i z depozycji atmosferycznej;</w:t>
      </w:r>
    </w:p>
    <w:p w14:paraId="7B4BF5F6" w14:textId="77777777" w:rsidR="00877AB0" w:rsidRDefault="00877AB0" w:rsidP="00117E86">
      <w:pPr>
        <w:pStyle w:val="Listapunktowana2"/>
      </w:pPr>
      <w:r>
        <w:t>ograniczenia zanieczyszczeń rozproszonych z obszarów zurbanizowanych (miejskich), turystyki i transportu;</w:t>
      </w:r>
    </w:p>
    <w:p w14:paraId="2C27CA7E" w14:textId="08C34B9A" w:rsidR="00877AB0" w:rsidRDefault="00877AB0" w:rsidP="00117E86">
      <w:pPr>
        <w:pStyle w:val="Listapunktowana2"/>
      </w:pPr>
      <w:r>
        <w:t xml:space="preserve">ograniczenia zanieczyszczeń ze źródeł punktowych </w:t>
      </w:r>
      <w:r w:rsidR="0017773C">
        <w:t>–</w:t>
      </w:r>
      <w:r>
        <w:t xml:space="preserve"> przemysłowych i komunalnych.</w:t>
      </w:r>
    </w:p>
    <w:p w14:paraId="0D8FFB73" w14:textId="7675DFD3" w:rsidR="00877AB0" w:rsidRDefault="00877AB0" w:rsidP="00877AB0">
      <w:pPr>
        <w:spacing w:line="276" w:lineRule="auto"/>
        <w:rPr>
          <w:rFonts w:cs="Calibri"/>
        </w:rPr>
      </w:pPr>
      <w:r>
        <w:rPr>
          <w:rFonts w:cs="Calibri"/>
        </w:rPr>
        <w:t>W zakresie realizacji celów środowiskowych dla obszarów przeznaczonych do ochrony siedlisk lub</w:t>
      </w:r>
      <w:r w:rsidR="00114742">
        <w:rPr>
          <w:rFonts w:cs="Calibri"/>
        </w:rPr>
        <w:t> </w:t>
      </w:r>
      <w:r>
        <w:rPr>
          <w:rFonts w:cs="Calibri"/>
        </w:rPr>
        <w:t>gatunków, dla których utrzymanie lub poprawa stanu wód jest ważnym czynnikiem w ich ochronie zaplanowano realizację:</w:t>
      </w:r>
    </w:p>
    <w:p w14:paraId="67AE1CAD" w14:textId="77777777" w:rsidR="00877AB0" w:rsidRDefault="00877AB0" w:rsidP="00117E86">
      <w:pPr>
        <w:pStyle w:val="Listapunktowana2"/>
      </w:pPr>
      <w:r>
        <w:t>działań wynikających z PO i PZO dla wodozależnych obszarów chronionych uwzględniających zróżnicowane zagrożenia stwierdzone w czasie ich opracowywania;</w:t>
      </w:r>
    </w:p>
    <w:p w14:paraId="1D8F1801" w14:textId="77777777" w:rsidR="00877AB0" w:rsidRDefault="00877AB0" w:rsidP="00117E86">
      <w:pPr>
        <w:pStyle w:val="Listapunktowana2"/>
      </w:pPr>
      <w:r>
        <w:t>działań naprawczych w zakresie dopływu zanieczyszczeń mogących mieć wpływ na stan wodozależnych obszarów chronionych;</w:t>
      </w:r>
    </w:p>
    <w:p w14:paraId="15989B35" w14:textId="77777777" w:rsidR="00877AB0" w:rsidRDefault="00877AB0" w:rsidP="00117E86">
      <w:pPr>
        <w:pStyle w:val="Listapunktowana2"/>
      </w:pPr>
      <w:r>
        <w:t>działań naprawczych w zakresie utrzymania naturalnego charakteru koryta w obrębie obszarów wodozależnych.</w:t>
      </w:r>
    </w:p>
    <w:p w14:paraId="1A87069D" w14:textId="350C6840" w:rsidR="00877AB0" w:rsidRDefault="00877AB0" w:rsidP="00877AB0">
      <w:r w:rsidRPr="004017C7">
        <w:t xml:space="preserve">W zestawie działań dla </w:t>
      </w:r>
      <w:r w:rsidR="00DF005E">
        <w:t>JCWP</w:t>
      </w:r>
      <w:r w:rsidRPr="004017C7">
        <w:t xml:space="preserve"> RW obszaru dorzecza Odry najliczniejszą grupę działań stanowią działania związane z poprawą warunków dla obszarów chronionych (RWC_02) </w:t>
      </w:r>
      <w:r w:rsidR="0017773C" w:rsidRPr="004017C7">
        <w:t>–</w:t>
      </w:r>
      <w:r w:rsidRPr="004017C7">
        <w:t xml:space="preserve"> łączna liczba działań to 3 8</w:t>
      </w:r>
      <w:r w:rsidR="004017C7" w:rsidRPr="004017C7">
        <w:t>20</w:t>
      </w:r>
      <w:r w:rsidRPr="004017C7">
        <w:t xml:space="preserve"> przypisanych do 62</w:t>
      </w:r>
      <w:r w:rsidR="00343FDB">
        <w:t>0</w:t>
      </w:r>
      <w:r w:rsidRPr="004017C7">
        <w:t xml:space="preserve"> </w:t>
      </w:r>
      <w:r w:rsidR="00DF005E">
        <w:t>JCWP</w:t>
      </w:r>
      <w:r w:rsidRPr="004017C7">
        <w:t xml:space="preserve"> RW (55,</w:t>
      </w:r>
      <w:r w:rsidR="004017C7" w:rsidRPr="004017C7">
        <w:t>5</w:t>
      </w:r>
      <w:r w:rsidRPr="004017C7">
        <w:t xml:space="preserve">% </w:t>
      </w:r>
      <w:r w:rsidR="00DF005E">
        <w:t>JCWP</w:t>
      </w:r>
      <w:r w:rsidRPr="004017C7">
        <w:t xml:space="preserve"> RW na obszarze dorzecza Odry ze</w:t>
      </w:r>
      <w:r w:rsidR="00114742" w:rsidRPr="004017C7">
        <w:t> </w:t>
      </w:r>
      <w:r w:rsidRPr="004017C7">
        <w:t xml:space="preserve">zbudowanym zestawem działań). </w:t>
      </w:r>
      <w:r w:rsidRPr="006C28B8">
        <w:t xml:space="preserve">Drugą grupą są działania związane z gospodarką ściekową (RWP_01) o łącznej liczbie działań </w:t>
      </w:r>
      <w:r w:rsidR="00B4180A" w:rsidRPr="006C28B8">
        <w:t>79</w:t>
      </w:r>
      <w:r w:rsidR="004017C7" w:rsidRPr="006C28B8">
        <w:t>8</w:t>
      </w:r>
      <w:r w:rsidRPr="006C28B8">
        <w:t xml:space="preserve"> w </w:t>
      </w:r>
      <w:r w:rsidR="00B4180A" w:rsidRPr="006C28B8">
        <w:t>33</w:t>
      </w:r>
      <w:r w:rsidR="003E0757" w:rsidRPr="006C28B8">
        <w:t>3</w:t>
      </w:r>
      <w:r w:rsidR="00B4180A" w:rsidRPr="006C28B8">
        <w:t xml:space="preserve"> </w:t>
      </w:r>
      <w:r w:rsidR="00DF005E">
        <w:t>JCWP</w:t>
      </w:r>
      <w:r w:rsidRPr="006C28B8">
        <w:t xml:space="preserve"> RW (</w:t>
      </w:r>
      <w:r w:rsidR="00B4180A" w:rsidRPr="006C28B8">
        <w:t>29,</w:t>
      </w:r>
      <w:r w:rsidR="009F0BB5" w:rsidRPr="006C28B8">
        <w:t>8</w:t>
      </w:r>
      <w:r w:rsidRPr="006C28B8">
        <w:t xml:space="preserve">%). Trzecią grupą pod względem liczby działań są działania związane z </w:t>
      </w:r>
      <w:r w:rsidR="006C28B8" w:rsidRPr="006C28B8">
        <w:t>monitoringiem skuteczności istniejących urządzeń do migracji ryb</w:t>
      </w:r>
      <w:r w:rsidRPr="006C28B8">
        <w:t xml:space="preserve"> (RWHM_02) </w:t>
      </w:r>
      <w:r w:rsidR="0017773C" w:rsidRPr="006C28B8">
        <w:t>–</w:t>
      </w:r>
      <w:r w:rsidRPr="006C28B8">
        <w:t xml:space="preserve"> 6</w:t>
      </w:r>
      <w:r w:rsidR="006C28B8" w:rsidRPr="006C28B8">
        <w:t>6</w:t>
      </w:r>
      <w:r w:rsidR="008F27A8">
        <w:t>0</w:t>
      </w:r>
      <w:r w:rsidRPr="006C28B8">
        <w:t xml:space="preserve"> działań w 2</w:t>
      </w:r>
      <w:r w:rsidR="006C28B8" w:rsidRPr="006C28B8">
        <w:t>75</w:t>
      </w:r>
      <w:r w:rsidRPr="006C28B8">
        <w:t xml:space="preserve"> </w:t>
      </w:r>
      <w:r w:rsidR="00DF005E">
        <w:t>JCWP</w:t>
      </w:r>
      <w:r w:rsidRPr="006C28B8">
        <w:t xml:space="preserve"> RW (</w:t>
      </w:r>
      <w:r w:rsidR="006C28B8" w:rsidRPr="006C28B8">
        <w:t>24,6</w:t>
      </w:r>
      <w:r w:rsidRPr="006C28B8">
        <w:t>%) (tabela 12-8).</w:t>
      </w:r>
      <w:r>
        <w:t xml:space="preserve"> </w:t>
      </w:r>
    </w:p>
    <w:p w14:paraId="49157E04" w14:textId="2D77A50E" w:rsidR="00877AB0" w:rsidRDefault="00877AB0" w:rsidP="00877AB0">
      <w:pPr>
        <w:spacing w:after="240"/>
        <w:rPr>
          <w:rFonts w:cs="Calibri"/>
        </w:rPr>
      </w:pPr>
      <w:r>
        <w:rPr>
          <w:rFonts w:cs="Calibri"/>
        </w:rPr>
        <w:t xml:space="preserve">Łącznie zestawy działań na obszarze dorzecza Odry zostały zaplanowane dla </w:t>
      </w:r>
      <w:r w:rsidRPr="00202734">
        <w:rPr>
          <w:rFonts w:cs="Calibri"/>
        </w:rPr>
        <w:t>1 </w:t>
      </w:r>
      <w:r w:rsidR="00202734" w:rsidRPr="00202734">
        <w:rPr>
          <w:rFonts w:cs="Calibri"/>
        </w:rPr>
        <w:t>118</w:t>
      </w:r>
      <w:r>
        <w:rPr>
          <w:rFonts w:cs="Calibri"/>
        </w:rPr>
        <w:t xml:space="preserve"> </w:t>
      </w:r>
      <w:r w:rsidR="00DF005E">
        <w:rPr>
          <w:rFonts w:cs="Calibri"/>
        </w:rPr>
        <w:t>JCWP</w:t>
      </w:r>
      <w:r>
        <w:rPr>
          <w:rFonts w:cs="Calibri"/>
        </w:rPr>
        <w:t xml:space="preserve"> RW.</w:t>
      </w:r>
    </w:p>
    <w:p w14:paraId="58903625" w14:textId="70040C54" w:rsidR="00877AB0" w:rsidRDefault="00877AB0" w:rsidP="004D7705">
      <w:pPr>
        <w:pStyle w:val="Tabela"/>
      </w:pPr>
      <w:bookmarkStart w:id="735" w:name="_Toc66341948"/>
      <w:bookmarkStart w:id="736" w:name="_Toc66706733"/>
      <w:bookmarkStart w:id="737" w:name="_Toc67652432"/>
      <w:bookmarkStart w:id="738" w:name="_Toc105512877"/>
      <w:r>
        <w:t xml:space="preserve">Tabela </w:t>
      </w:r>
      <w:r>
        <w:fldChar w:fldCharType="begin"/>
      </w:r>
      <w:r>
        <w:instrText>STYLEREF 1 \s</w:instrText>
      </w:r>
      <w:r>
        <w:fldChar w:fldCharType="separate"/>
      </w:r>
      <w:r w:rsidR="001F774D">
        <w:rPr>
          <w:noProof/>
        </w:rPr>
        <w:t>12</w:t>
      </w:r>
      <w:r>
        <w:fldChar w:fldCharType="end"/>
      </w:r>
      <w:r w:rsidR="009263D8">
        <w:noBreakHyphen/>
      </w:r>
      <w:fldSimple w:instr=" SEQ Tabela \* ARABIC \s 1 ">
        <w:r w:rsidR="001F774D">
          <w:rPr>
            <w:noProof/>
          </w:rPr>
          <w:t>8</w:t>
        </w:r>
      </w:fldSimple>
      <w:r w:rsidR="00EB4B7B">
        <w:rPr>
          <w:noProof/>
        </w:rPr>
        <w:t>.</w:t>
      </w:r>
      <w:r>
        <w:tab/>
        <w:t xml:space="preserve">Zestawienie działań zalecanych do wdrożenia w </w:t>
      </w:r>
      <w:r w:rsidR="00DF005E">
        <w:t>JCWP</w:t>
      </w:r>
      <w:r>
        <w:t xml:space="preserve"> RW na obszarze dorzecza Odry</w:t>
      </w:r>
      <w:bookmarkEnd w:id="735"/>
      <w:bookmarkEnd w:id="736"/>
      <w:bookmarkEnd w:id="737"/>
      <w:bookmarkEnd w:id="73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A0" w:firstRow="1" w:lastRow="0" w:firstColumn="1" w:lastColumn="0" w:noHBand="1" w:noVBand="1"/>
      </w:tblPr>
      <w:tblGrid>
        <w:gridCol w:w="1240"/>
        <w:gridCol w:w="3399"/>
        <w:gridCol w:w="1298"/>
        <w:gridCol w:w="1459"/>
        <w:gridCol w:w="1619"/>
      </w:tblGrid>
      <w:tr w:rsidR="00877AB0" w14:paraId="3394BDBC" w14:textId="77777777" w:rsidTr="00877AB0">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7A095A" w14:textId="77777777" w:rsidR="00877AB0" w:rsidRDefault="00877AB0">
            <w:pPr>
              <w:pStyle w:val="Teksttabelinaglowek"/>
              <w:spacing w:line="276" w:lineRule="auto"/>
              <w:rPr>
                <w:lang w:eastAsia="en-US"/>
              </w:rPr>
            </w:pPr>
            <w:r>
              <w:rPr>
                <w:lang w:eastAsia="en-US"/>
              </w:rPr>
              <w:t>Kod IIaPGW</w:t>
            </w:r>
          </w:p>
        </w:tc>
        <w:tc>
          <w:tcPr>
            <w:tcW w:w="339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C5885A" w14:textId="77777777" w:rsidR="00877AB0" w:rsidRDefault="00877AB0">
            <w:pPr>
              <w:pStyle w:val="Teksttabelinaglowek"/>
              <w:spacing w:line="276" w:lineRule="auto"/>
              <w:rPr>
                <w:lang w:eastAsia="en-US"/>
              </w:rPr>
            </w:pPr>
            <w:r>
              <w:rPr>
                <w:lang w:eastAsia="en-US"/>
              </w:rPr>
              <w:t>Grupa działań</w:t>
            </w:r>
          </w:p>
        </w:tc>
        <w:tc>
          <w:tcPr>
            <w:tcW w:w="12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0CC98C" w14:textId="77777777" w:rsidR="00877AB0" w:rsidRDefault="00877AB0">
            <w:pPr>
              <w:pStyle w:val="Teksttabelinaglowek"/>
              <w:spacing w:line="276" w:lineRule="auto"/>
              <w:rPr>
                <w:lang w:eastAsia="en-US"/>
              </w:rPr>
            </w:pPr>
            <w:r>
              <w:rPr>
                <w:lang w:eastAsia="en-US"/>
              </w:rPr>
              <w:t>Łączna liczba przypisanych działań</w:t>
            </w:r>
          </w:p>
        </w:tc>
        <w:tc>
          <w:tcPr>
            <w:tcW w:w="145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9CEC95" w14:textId="735F755A" w:rsidR="00877AB0" w:rsidRDefault="00877AB0">
            <w:pPr>
              <w:pStyle w:val="Teksttabelinaglowek"/>
              <w:spacing w:line="276" w:lineRule="auto"/>
              <w:rPr>
                <w:lang w:eastAsia="en-US"/>
              </w:rPr>
            </w:pPr>
            <w:r>
              <w:rPr>
                <w:lang w:eastAsia="en-US"/>
              </w:rPr>
              <w:t>Liczba jcw z</w:t>
            </w:r>
            <w:r w:rsidR="00555B36">
              <w:rPr>
                <w:lang w:eastAsia="en-US"/>
              </w:rPr>
              <w:t> </w:t>
            </w:r>
            <w:r>
              <w:rPr>
                <w:lang w:eastAsia="en-US"/>
              </w:rPr>
              <w:t>przypisanym działaniem</w:t>
            </w:r>
          </w:p>
        </w:tc>
        <w:tc>
          <w:tcPr>
            <w:tcW w:w="161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2CD92F" w14:textId="77777777" w:rsidR="00877AB0" w:rsidRDefault="00877AB0">
            <w:pPr>
              <w:pStyle w:val="Teksttabelinaglowek"/>
              <w:spacing w:line="276" w:lineRule="auto"/>
              <w:rPr>
                <w:lang w:eastAsia="en-US"/>
              </w:rPr>
            </w:pPr>
            <w:r>
              <w:rPr>
                <w:lang w:eastAsia="en-US"/>
              </w:rPr>
              <w:t>Udział w ogólnej liczbie jcw ze zbudowanym zestawem działań</w:t>
            </w:r>
            <w:r>
              <w:rPr>
                <w:lang w:eastAsia="en-US"/>
              </w:rPr>
              <w:br/>
              <w:t>(%)</w:t>
            </w:r>
          </w:p>
        </w:tc>
      </w:tr>
      <w:tr w:rsidR="003F7996" w14:paraId="201B97FA" w14:textId="77777777" w:rsidTr="00770B2E">
        <w:trPr>
          <w:trHeight w:val="454"/>
        </w:trPr>
        <w:tc>
          <w:tcPr>
            <w:tcW w:w="1240" w:type="dxa"/>
            <w:vMerge w:val="restart"/>
            <w:tcBorders>
              <w:top w:val="single" w:sz="4" w:space="0" w:color="auto"/>
              <w:left w:val="single" w:sz="4" w:space="0" w:color="auto"/>
              <w:right w:val="single" w:sz="4" w:space="0" w:color="auto"/>
            </w:tcBorders>
            <w:vAlign w:val="center"/>
            <w:hideMark/>
          </w:tcPr>
          <w:p w14:paraId="6C3FB115" w14:textId="77777777" w:rsidR="003F7996" w:rsidRDefault="003F7996" w:rsidP="00304780">
            <w:pPr>
              <w:pStyle w:val="Teksttabelilewy"/>
              <w:ind w:left="57"/>
            </w:pPr>
            <w:r>
              <w:rPr>
                <w:rFonts w:cs="Calibri"/>
                <w:color w:val="000000"/>
                <w:szCs w:val="20"/>
              </w:rPr>
              <w:t>RWC_01</w:t>
            </w:r>
          </w:p>
        </w:tc>
        <w:tc>
          <w:tcPr>
            <w:tcW w:w="3399" w:type="dxa"/>
            <w:tcBorders>
              <w:top w:val="single" w:sz="4" w:space="0" w:color="auto"/>
              <w:left w:val="single" w:sz="4" w:space="0" w:color="auto"/>
              <w:bottom w:val="single" w:sz="4" w:space="0" w:color="auto"/>
              <w:right w:val="single" w:sz="4" w:space="0" w:color="auto"/>
            </w:tcBorders>
            <w:vAlign w:val="center"/>
            <w:hideMark/>
          </w:tcPr>
          <w:p w14:paraId="62796006" w14:textId="73125F99" w:rsidR="003F7996" w:rsidRDefault="003F7996" w:rsidP="00304780">
            <w:pPr>
              <w:pStyle w:val="Teksttabelilewy"/>
              <w:ind w:left="57"/>
            </w:pPr>
            <w:r>
              <w:rPr>
                <w:rFonts w:cs="Calibri"/>
                <w:szCs w:val="20"/>
              </w:rPr>
              <w:t>Ochrona i zwiększanie retencji leśnej</w:t>
            </w:r>
          </w:p>
        </w:tc>
        <w:tc>
          <w:tcPr>
            <w:tcW w:w="1298" w:type="dxa"/>
            <w:vMerge w:val="restart"/>
            <w:tcBorders>
              <w:top w:val="single" w:sz="4" w:space="0" w:color="auto"/>
              <w:left w:val="single" w:sz="4" w:space="0" w:color="auto"/>
              <w:right w:val="single" w:sz="4" w:space="0" w:color="auto"/>
            </w:tcBorders>
            <w:vAlign w:val="center"/>
            <w:hideMark/>
          </w:tcPr>
          <w:p w14:paraId="6565A782" w14:textId="77777777" w:rsidR="003F7996" w:rsidRDefault="003F7996" w:rsidP="00304780">
            <w:pPr>
              <w:pStyle w:val="Teksttabelisrodek"/>
              <w:rPr>
                <w:lang w:eastAsia="en-US"/>
              </w:rPr>
            </w:pPr>
            <w:r>
              <w:rPr>
                <w:rFonts w:cs="Calibri"/>
                <w:color w:val="000000"/>
                <w:szCs w:val="20"/>
                <w:lang w:eastAsia="en-US"/>
              </w:rPr>
              <w:t>52</w:t>
            </w:r>
          </w:p>
        </w:tc>
        <w:tc>
          <w:tcPr>
            <w:tcW w:w="1459" w:type="dxa"/>
            <w:vMerge w:val="restart"/>
            <w:tcBorders>
              <w:top w:val="single" w:sz="4" w:space="0" w:color="auto"/>
              <w:left w:val="single" w:sz="4" w:space="0" w:color="auto"/>
              <w:right w:val="single" w:sz="4" w:space="0" w:color="auto"/>
            </w:tcBorders>
            <w:vAlign w:val="center"/>
            <w:hideMark/>
          </w:tcPr>
          <w:p w14:paraId="07D8248F" w14:textId="77777777" w:rsidR="003F7996" w:rsidRDefault="003F7996" w:rsidP="00304780">
            <w:pPr>
              <w:pStyle w:val="Teksttabelisrodek"/>
              <w:rPr>
                <w:lang w:eastAsia="en-US"/>
              </w:rPr>
            </w:pPr>
            <w:r>
              <w:rPr>
                <w:rFonts w:cs="Calibri"/>
                <w:color w:val="000000"/>
                <w:szCs w:val="20"/>
                <w:lang w:eastAsia="en-US"/>
              </w:rPr>
              <w:t>17</w:t>
            </w:r>
          </w:p>
        </w:tc>
        <w:tc>
          <w:tcPr>
            <w:tcW w:w="1619" w:type="dxa"/>
            <w:vMerge w:val="restart"/>
            <w:tcBorders>
              <w:top w:val="single" w:sz="4" w:space="0" w:color="auto"/>
              <w:left w:val="single" w:sz="4" w:space="0" w:color="auto"/>
              <w:right w:val="single" w:sz="4" w:space="0" w:color="auto"/>
            </w:tcBorders>
            <w:vAlign w:val="center"/>
            <w:hideMark/>
          </w:tcPr>
          <w:p w14:paraId="09FF3EDF" w14:textId="77777777" w:rsidR="003F7996" w:rsidRDefault="003F7996" w:rsidP="00304780">
            <w:pPr>
              <w:pStyle w:val="Teksttabelisrodek"/>
              <w:rPr>
                <w:lang w:eastAsia="en-US"/>
              </w:rPr>
            </w:pPr>
            <w:r>
              <w:rPr>
                <w:rFonts w:cs="Calibri"/>
                <w:color w:val="000000"/>
                <w:szCs w:val="20"/>
                <w:lang w:eastAsia="en-US"/>
              </w:rPr>
              <w:t>1,5</w:t>
            </w:r>
          </w:p>
        </w:tc>
      </w:tr>
      <w:tr w:rsidR="003F7996" w14:paraId="31591CA6" w14:textId="77777777" w:rsidTr="00770B2E">
        <w:trPr>
          <w:trHeight w:val="454"/>
        </w:trPr>
        <w:tc>
          <w:tcPr>
            <w:tcW w:w="1240" w:type="dxa"/>
            <w:vMerge/>
            <w:tcBorders>
              <w:left w:val="single" w:sz="4" w:space="0" w:color="auto"/>
              <w:right w:val="single" w:sz="4" w:space="0" w:color="auto"/>
            </w:tcBorders>
            <w:vAlign w:val="center"/>
          </w:tcPr>
          <w:p w14:paraId="74C28D5A" w14:textId="77777777" w:rsidR="003F7996" w:rsidRDefault="003F7996" w:rsidP="00304780">
            <w:pPr>
              <w:pStyle w:val="Teksttabelilewy"/>
              <w:ind w:left="57"/>
              <w:rPr>
                <w:rFonts w:cs="Calibri"/>
                <w:color w:val="000000"/>
                <w:szCs w:val="20"/>
              </w:rPr>
            </w:pPr>
          </w:p>
        </w:tc>
        <w:tc>
          <w:tcPr>
            <w:tcW w:w="3399" w:type="dxa"/>
            <w:tcBorders>
              <w:top w:val="single" w:sz="4" w:space="0" w:color="auto"/>
              <w:left w:val="single" w:sz="4" w:space="0" w:color="auto"/>
              <w:bottom w:val="single" w:sz="4" w:space="0" w:color="auto"/>
              <w:right w:val="single" w:sz="4" w:space="0" w:color="auto"/>
            </w:tcBorders>
            <w:vAlign w:val="center"/>
          </w:tcPr>
          <w:p w14:paraId="66B5B85E" w14:textId="22EA5750" w:rsidR="003F7996" w:rsidRDefault="003F7996" w:rsidP="00304780">
            <w:pPr>
              <w:pStyle w:val="Teksttabelilewy"/>
              <w:ind w:left="57"/>
              <w:rPr>
                <w:rFonts w:cs="Calibri"/>
                <w:color w:val="000000"/>
                <w:szCs w:val="20"/>
              </w:rPr>
            </w:pPr>
            <w:r>
              <w:rPr>
                <w:rFonts w:cs="Calibri"/>
                <w:szCs w:val="20"/>
              </w:rPr>
              <w:t>Ochrona i zwiększanie retencji na obszarach rolniczych</w:t>
            </w:r>
          </w:p>
        </w:tc>
        <w:tc>
          <w:tcPr>
            <w:tcW w:w="1298" w:type="dxa"/>
            <w:vMerge/>
            <w:tcBorders>
              <w:left w:val="single" w:sz="4" w:space="0" w:color="auto"/>
              <w:right w:val="single" w:sz="4" w:space="0" w:color="auto"/>
            </w:tcBorders>
            <w:vAlign w:val="center"/>
          </w:tcPr>
          <w:p w14:paraId="646EE5F5" w14:textId="77777777" w:rsidR="003F7996" w:rsidRDefault="003F7996" w:rsidP="00304780">
            <w:pPr>
              <w:pStyle w:val="Teksttabelisrodek"/>
              <w:rPr>
                <w:rFonts w:cs="Calibri"/>
                <w:color w:val="000000"/>
                <w:szCs w:val="20"/>
                <w:lang w:eastAsia="en-US"/>
              </w:rPr>
            </w:pPr>
          </w:p>
        </w:tc>
        <w:tc>
          <w:tcPr>
            <w:tcW w:w="1459" w:type="dxa"/>
            <w:vMerge/>
            <w:tcBorders>
              <w:left w:val="single" w:sz="4" w:space="0" w:color="auto"/>
              <w:right w:val="single" w:sz="4" w:space="0" w:color="auto"/>
            </w:tcBorders>
            <w:vAlign w:val="center"/>
          </w:tcPr>
          <w:p w14:paraId="0D78D2DB" w14:textId="77777777" w:rsidR="003F7996" w:rsidRDefault="003F7996" w:rsidP="00304780">
            <w:pPr>
              <w:pStyle w:val="Teksttabelisrodek"/>
              <w:rPr>
                <w:rFonts w:cs="Calibri"/>
                <w:color w:val="000000"/>
                <w:szCs w:val="20"/>
                <w:lang w:eastAsia="en-US"/>
              </w:rPr>
            </w:pPr>
          </w:p>
        </w:tc>
        <w:tc>
          <w:tcPr>
            <w:tcW w:w="1619" w:type="dxa"/>
            <w:vMerge/>
            <w:tcBorders>
              <w:left w:val="single" w:sz="4" w:space="0" w:color="auto"/>
              <w:right w:val="single" w:sz="4" w:space="0" w:color="auto"/>
            </w:tcBorders>
            <w:vAlign w:val="center"/>
          </w:tcPr>
          <w:p w14:paraId="6F3DCFC8" w14:textId="77777777" w:rsidR="003F7996" w:rsidRDefault="003F7996" w:rsidP="00304780">
            <w:pPr>
              <w:pStyle w:val="Teksttabelisrodek"/>
              <w:rPr>
                <w:rFonts w:cs="Calibri"/>
                <w:color w:val="000000"/>
                <w:szCs w:val="20"/>
                <w:lang w:eastAsia="en-US"/>
              </w:rPr>
            </w:pPr>
          </w:p>
        </w:tc>
      </w:tr>
      <w:tr w:rsidR="003F7996" w14:paraId="3ADCE4A0" w14:textId="77777777" w:rsidTr="00770B2E">
        <w:trPr>
          <w:trHeight w:val="454"/>
        </w:trPr>
        <w:tc>
          <w:tcPr>
            <w:tcW w:w="1240" w:type="dxa"/>
            <w:vMerge/>
            <w:tcBorders>
              <w:left w:val="single" w:sz="4" w:space="0" w:color="auto"/>
              <w:bottom w:val="single" w:sz="4" w:space="0" w:color="auto"/>
              <w:right w:val="single" w:sz="4" w:space="0" w:color="auto"/>
            </w:tcBorders>
            <w:vAlign w:val="center"/>
          </w:tcPr>
          <w:p w14:paraId="68FBEC86" w14:textId="77777777" w:rsidR="003F7996" w:rsidRDefault="003F7996" w:rsidP="004017C7">
            <w:pPr>
              <w:pStyle w:val="Teksttabelilewy"/>
              <w:ind w:left="57"/>
              <w:rPr>
                <w:rFonts w:cs="Calibri"/>
                <w:color w:val="000000"/>
                <w:szCs w:val="20"/>
              </w:rPr>
            </w:pPr>
          </w:p>
        </w:tc>
        <w:tc>
          <w:tcPr>
            <w:tcW w:w="3399" w:type="dxa"/>
            <w:tcBorders>
              <w:top w:val="single" w:sz="4" w:space="0" w:color="auto"/>
              <w:left w:val="single" w:sz="4" w:space="0" w:color="auto"/>
              <w:bottom w:val="single" w:sz="4" w:space="0" w:color="auto"/>
              <w:right w:val="single" w:sz="4" w:space="0" w:color="auto"/>
            </w:tcBorders>
            <w:vAlign w:val="center"/>
          </w:tcPr>
          <w:p w14:paraId="23ADBC0E" w14:textId="29F98884" w:rsidR="003F7996" w:rsidRPr="003F7996" w:rsidRDefault="003F7996" w:rsidP="003F7996">
            <w:pPr>
              <w:suppressAutoHyphens w:val="0"/>
              <w:spacing w:before="0" w:after="0"/>
              <w:jc w:val="left"/>
              <w:rPr>
                <w:rFonts w:cs="Calibri"/>
                <w:sz w:val="20"/>
                <w:szCs w:val="20"/>
                <w:lang w:eastAsia="pl-PL"/>
              </w:rPr>
            </w:pPr>
            <w:r>
              <w:rPr>
                <w:rFonts w:cs="Calibri"/>
                <w:sz w:val="20"/>
                <w:szCs w:val="20"/>
              </w:rPr>
              <w:t>Retencja i zagospodarowanie wód opadowych i roztopowych na terenach zurbanizowanych</w:t>
            </w:r>
          </w:p>
        </w:tc>
        <w:tc>
          <w:tcPr>
            <w:tcW w:w="1298" w:type="dxa"/>
            <w:vMerge/>
            <w:tcBorders>
              <w:left w:val="single" w:sz="4" w:space="0" w:color="auto"/>
              <w:bottom w:val="single" w:sz="4" w:space="0" w:color="auto"/>
              <w:right w:val="single" w:sz="4" w:space="0" w:color="auto"/>
            </w:tcBorders>
            <w:vAlign w:val="center"/>
          </w:tcPr>
          <w:p w14:paraId="5B1423BA" w14:textId="77777777" w:rsidR="003F7996" w:rsidRDefault="003F7996" w:rsidP="004017C7">
            <w:pPr>
              <w:pStyle w:val="Teksttabelisrodek"/>
              <w:rPr>
                <w:rFonts w:cs="Calibri"/>
                <w:color w:val="000000"/>
                <w:szCs w:val="20"/>
                <w:lang w:eastAsia="en-US"/>
              </w:rPr>
            </w:pPr>
          </w:p>
        </w:tc>
        <w:tc>
          <w:tcPr>
            <w:tcW w:w="1459" w:type="dxa"/>
            <w:vMerge/>
            <w:tcBorders>
              <w:left w:val="single" w:sz="4" w:space="0" w:color="auto"/>
              <w:bottom w:val="single" w:sz="4" w:space="0" w:color="auto"/>
              <w:right w:val="single" w:sz="4" w:space="0" w:color="auto"/>
            </w:tcBorders>
            <w:vAlign w:val="center"/>
          </w:tcPr>
          <w:p w14:paraId="2EAB6AB7" w14:textId="77777777" w:rsidR="003F7996" w:rsidRDefault="003F7996" w:rsidP="004017C7">
            <w:pPr>
              <w:pStyle w:val="Teksttabelisrodek"/>
              <w:rPr>
                <w:rFonts w:cs="Calibri"/>
                <w:color w:val="000000"/>
                <w:szCs w:val="20"/>
                <w:lang w:eastAsia="en-US"/>
              </w:rPr>
            </w:pPr>
          </w:p>
        </w:tc>
        <w:tc>
          <w:tcPr>
            <w:tcW w:w="1619" w:type="dxa"/>
            <w:vMerge/>
            <w:tcBorders>
              <w:left w:val="single" w:sz="4" w:space="0" w:color="auto"/>
              <w:bottom w:val="single" w:sz="4" w:space="0" w:color="auto"/>
              <w:right w:val="single" w:sz="4" w:space="0" w:color="auto"/>
            </w:tcBorders>
            <w:vAlign w:val="center"/>
          </w:tcPr>
          <w:p w14:paraId="0129C7A6" w14:textId="77777777" w:rsidR="003F7996" w:rsidRDefault="003F7996" w:rsidP="004017C7">
            <w:pPr>
              <w:pStyle w:val="Teksttabelisrodek"/>
              <w:rPr>
                <w:rFonts w:cs="Calibri"/>
                <w:color w:val="000000"/>
                <w:szCs w:val="20"/>
                <w:lang w:eastAsia="en-US"/>
              </w:rPr>
            </w:pPr>
          </w:p>
        </w:tc>
      </w:tr>
      <w:tr w:rsidR="00965E61" w14:paraId="0A934EA9" w14:textId="77777777" w:rsidTr="00770B2E">
        <w:trPr>
          <w:trHeight w:val="454"/>
        </w:trPr>
        <w:tc>
          <w:tcPr>
            <w:tcW w:w="1240" w:type="dxa"/>
            <w:vMerge w:val="restart"/>
            <w:tcBorders>
              <w:top w:val="single" w:sz="4" w:space="0" w:color="auto"/>
              <w:left w:val="single" w:sz="4" w:space="0" w:color="auto"/>
              <w:right w:val="single" w:sz="4" w:space="0" w:color="auto"/>
            </w:tcBorders>
            <w:vAlign w:val="center"/>
            <w:hideMark/>
          </w:tcPr>
          <w:p w14:paraId="5DA216AE" w14:textId="77777777" w:rsidR="00965E61" w:rsidRDefault="00965E61" w:rsidP="00965E61">
            <w:pPr>
              <w:pStyle w:val="Teksttabelilewy"/>
              <w:ind w:left="57"/>
            </w:pPr>
            <w:r>
              <w:rPr>
                <w:rFonts w:cs="Calibri"/>
                <w:color w:val="000000"/>
                <w:szCs w:val="20"/>
              </w:rPr>
              <w:t>RWC_02</w:t>
            </w:r>
          </w:p>
        </w:tc>
        <w:tc>
          <w:tcPr>
            <w:tcW w:w="3399" w:type="dxa"/>
            <w:tcBorders>
              <w:top w:val="single" w:sz="4" w:space="0" w:color="auto"/>
              <w:left w:val="single" w:sz="4" w:space="0" w:color="auto"/>
              <w:bottom w:val="single" w:sz="4" w:space="0" w:color="auto"/>
              <w:right w:val="single" w:sz="4" w:space="0" w:color="auto"/>
            </w:tcBorders>
            <w:vAlign w:val="center"/>
            <w:hideMark/>
          </w:tcPr>
          <w:p w14:paraId="2E4CE847" w14:textId="45575CF5" w:rsidR="00965E61" w:rsidRDefault="00965E61" w:rsidP="00965E61">
            <w:pPr>
              <w:pStyle w:val="Teksttabelilewy"/>
              <w:ind w:left="57"/>
            </w:pPr>
            <w:r>
              <w:rPr>
                <w:rFonts w:cs="Calibri"/>
                <w:szCs w:val="20"/>
              </w:rPr>
              <w:t>Działania wynikające z planów ochrony/planów zadań ochronnych ustanowionych dla obszarów przeznaczonych do ochrony siedlisk lub gatunków, dla których utrzymanie lub poprawa stanu wód jest ważnym czynnikiem w ich ochronie</w:t>
            </w:r>
          </w:p>
        </w:tc>
        <w:tc>
          <w:tcPr>
            <w:tcW w:w="1298" w:type="dxa"/>
            <w:vMerge w:val="restart"/>
            <w:tcBorders>
              <w:top w:val="single" w:sz="4" w:space="0" w:color="auto"/>
              <w:left w:val="single" w:sz="4" w:space="0" w:color="auto"/>
              <w:right w:val="single" w:sz="4" w:space="0" w:color="auto"/>
            </w:tcBorders>
            <w:vAlign w:val="center"/>
            <w:hideMark/>
          </w:tcPr>
          <w:p w14:paraId="5777C82E" w14:textId="4875E0A7" w:rsidR="00965E61" w:rsidRDefault="00965E61" w:rsidP="00965E61">
            <w:pPr>
              <w:pStyle w:val="Teksttabelisrodek"/>
              <w:rPr>
                <w:lang w:eastAsia="en-US"/>
              </w:rPr>
            </w:pPr>
            <w:r>
              <w:rPr>
                <w:rFonts w:cs="Calibri"/>
                <w:color w:val="000000"/>
                <w:szCs w:val="20"/>
                <w:lang w:eastAsia="en-US"/>
              </w:rPr>
              <w:t>3820</w:t>
            </w:r>
          </w:p>
        </w:tc>
        <w:tc>
          <w:tcPr>
            <w:tcW w:w="1459" w:type="dxa"/>
            <w:vMerge w:val="restart"/>
            <w:tcBorders>
              <w:top w:val="single" w:sz="4" w:space="0" w:color="auto"/>
              <w:left w:val="single" w:sz="4" w:space="0" w:color="auto"/>
              <w:right w:val="single" w:sz="4" w:space="0" w:color="auto"/>
            </w:tcBorders>
            <w:vAlign w:val="center"/>
            <w:hideMark/>
          </w:tcPr>
          <w:p w14:paraId="29476521" w14:textId="24B5EE61" w:rsidR="00965E61" w:rsidRDefault="00965E61" w:rsidP="00965E61">
            <w:pPr>
              <w:pStyle w:val="Teksttabelisrodek"/>
              <w:rPr>
                <w:lang w:eastAsia="en-US"/>
              </w:rPr>
            </w:pPr>
            <w:r>
              <w:rPr>
                <w:rFonts w:cs="Calibri"/>
                <w:color w:val="000000"/>
                <w:szCs w:val="20"/>
                <w:lang w:eastAsia="en-US"/>
              </w:rPr>
              <w:t>620</w:t>
            </w:r>
          </w:p>
        </w:tc>
        <w:tc>
          <w:tcPr>
            <w:tcW w:w="1619" w:type="dxa"/>
            <w:vMerge w:val="restart"/>
            <w:tcBorders>
              <w:top w:val="single" w:sz="4" w:space="0" w:color="auto"/>
              <w:left w:val="single" w:sz="4" w:space="0" w:color="auto"/>
              <w:right w:val="single" w:sz="4" w:space="0" w:color="auto"/>
            </w:tcBorders>
            <w:vAlign w:val="center"/>
            <w:hideMark/>
          </w:tcPr>
          <w:p w14:paraId="32FF635A" w14:textId="00EBF152" w:rsidR="00965E61" w:rsidRDefault="00965E61" w:rsidP="00965E61">
            <w:pPr>
              <w:pStyle w:val="Teksttabelisrodek"/>
              <w:rPr>
                <w:lang w:eastAsia="en-US"/>
              </w:rPr>
            </w:pPr>
            <w:r>
              <w:rPr>
                <w:rFonts w:cs="Calibri"/>
                <w:color w:val="000000"/>
                <w:szCs w:val="20"/>
                <w:lang w:eastAsia="en-US"/>
              </w:rPr>
              <w:t>55,5</w:t>
            </w:r>
          </w:p>
        </w:tc>
      </w:tr>
      <w:tr w:rsidR="00965E61" w14:paraId="171A9C75" w14:textId="77777777" w:rsidTr="00770B2E">
        <w:trPr>
          <w:trHeight w:val="454"/>
        </w:trPr>
        <w:tc>
          <w:tcPr>
            <w:tcW w:w="1240" w:type="dxa"/>
            <w:vMerge/>
            <w:tcBorders>
              <w:left w:val="single" w:sz="4" w:space="0" w:color="auto"/>
              <w:bottom w:val="single" w:sz="4" w:space="0" w:color="auto"/>
              <w:right w:val="single" w:sz="4" w:space="0" w:color="auto"/>
            </w:tcBorders>
            <w:vAlign w:val="center"/>
          </w:tcPr>
          <w:p w14:paraId="2CFD523C" w14:textId="77777777" w:rsidR="00965E61" w:rsidRDefault="00965E61" w:rsidP="00965E61">
            <w:pPr>
              <w:pStyle w:val="Teksttabelilewy"/>
              <w:ind w:left="57"/>
              <w:rPr>
                <w:rFonts w:cs="Calibri"/>
                <w:color w:val="000000"/>
                <w:szCs w:val="20"/>
              </w:rPr>
            </w:pPr>
          </w:p>
        </w:tc>
        <w:tc>
          <w:tcPr>
            <w:tcW w:w="3399" w:type="dxa"/>
            <w:tcBorders>
              <w:top w:val="single" w:sz="4" w:space="0" w:color="auto"/>
              <w:left w:val="single" w:sz="4" w:space="0" w:color="auto"/>
              <w:bottom w:val="single" w:sz="4" w:space="0" w:color="auto"/>
              <w:right w:val="single" w:sz="4" w:space="0" w:color="auto"/>
            </w:tcBorders>
            <w:vAlign w:val="center"/>
          </w:tcPr>
          <w:p w14:paraId="0D489AAC" w14:textId="4395F92D" w:rsidR="00965E61" w:rsidRDefault="00965E61" w:rsidP="00965E61">
            <w:pPr>
              <w:pStyle w:val="Teksttabelilewy"/>
              <w:ind w:left="57"/>
              <w:rPr>
                <w:rFonts w:cs="Calibri"/>
                <w:color w:val="000000"/>
                <w:szCs w:val="20"/>
              </w:rPr>
            </w:pPr>
            <w:r>
              <w:rPr>
                <w:rFonts w:cs="Calibri"/>
                <w:szCs w:val="20"/>
              </w:rPr>
              <w:t>Działania naprawcze dla obszarów chronionych</w:t>
            </w:r>
          </w:p>
        </w:tc>
        <w:tc>
          <w:tcPr>
            <w:tcW w:w="1298" w:type="dxa"/>
            <w:vMerge/>
            <w:tcBorders>
              <w:left w:val="single" w:sz="4" w:space="0" w:color="auto"/>
              <w:bottom w:val="single" w:sz="4" w:space="0" w:color="auto"/>
              <w:right w:val="single" w:sz="4" w:space="0" w:color="auto"/>
            </w:tcBorders>
            <w:vAlign w:val="center"/>
          </w:tcPr>
          <w:p w14:paraId="356267EA" w14:textId="77777777" w:rsidR="00965E61" w:rsidRDefault="00965E61" w:rsidP="00965E61">
            <w:pPr>
              <w:pStyle w:val="Teksttabelisrodek"/>
              <w:rPr>
                <w:rFonts w:cs="Calibri"/>
                <w:color w:val="000000"/>
                <w:szCs w:val="20"/>
                <w:lang w:eastAsia="en-US"/>
              </w:rPr>
            </w:pPr>
          </w:p>
        </w:tc>
        <w:tc>
          <w:tcPr>
            <w:tcW w:w="1459" w:type="dxa"/>
            <w:vMerge/>
            <w:tcBorders>
              <w:left w:val="single" w:sz="4" w:space="0" w:color="auto"/>
              <w:bottom w:val="single" w:sz="4" w:space="0" w:color="auto"/>
              <w:right w:val="single" w:sz="4" w:space="0" w:color="auto"/>
            </w:tcBorders>
            <w:vAlign w:val="center"/>
          </w:tcPr>
          <w:p w14:paraId="1B395506" w14:textId="77777777" w:rsidR="00965E61" w:rsidRDefault="00965E61" w:rsidP="00965E61">
            <w:pPr>
              <w:pStyle w:val="Teksttabelisrodek"/>
              <w:rPr>
                <w:rFonts w:cs="Calibri"/>
                <w:color w:val="000000"/>
                <w:szCs w:val="20"/>
                <w:lang w:eastAsia="en-US"/>
              </w:rPr>
            </w:pPr>
          </w:p>
        </w:tc>
        <w:tc>
          <w:tcPr>
            <w:tcW w:w="1619" w:type="dxa"/>
            <w:vMerge/>
            <w:tcBorders>
              <w:left w:val="single" w:sz="4" w:space="0" w:color="auto"/>
              <w:bottom w:val="single" w:sz="4" w:space="0" w:color="auto"/>
              <w:right w:val="single" w:sz="4" w:space="0" w:color="auto"/>
            </w:tcBorders>
            <w:vAlign w:val="center"/>
          </w:tcPr>
          <w:p w14:paraId="017F98EE" w14:textId="77777777" w:rsidR="00965E61" w:rsidRDefault="00965E61" w:rsidP="00965E61">
            <w:pPr>
              <w:pStyle w:val="Teksttabelisrodek"/>
              <w:rPr>
                <w:rFonts w:cs="Calibri"/>
                <w:color w:val="000000"/>
                <w:szCs w:val="20"/>
                <w:lang w:eastAsia="en-US"/>
              </w:rPr>
            </w:pPr>
          </w:p>
        </w:tc>
      </w:tr>
      <w:tr w:rsidR="004017C7" w14:paraId="0D992CF2"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503D7080" w14:textId="77777777" w:rsidR="004017C7" w:rsidRDefault="004017C7" w:rsidP="004017C7">
            <w:pPr>
              <w:pStyle w:val="Teksttabelilewy"/>
              <w:ind w:left="57"/>
            </w:pPr>
            <w:r>
              <w:rPr>
                <w:rFonts w:cs="Calibri"/>
                <w:color w:val="000000"/>
                <w:szCs w:val="20"/>
              </w:rPr>
              <w:t>RWH_01</w:t>
            </w:r>
          </w:p>
        </w:tc>
        <w:tc>
          <w:tcPr>
            <w:tcW w:w="3399" w:type="dxa"/>
            <w:tcBorders>
              <w:top w:val="single" w:sz="4" w:space="0" w:color="auto"/>
              <w:left w:val="single" w:sz="4" w:space="0" w:color="auto"/>
              <w:bottom w:val="single" w:sz="4" w:space="0" w:color="auto"/>
              <w:right w:val="single" w:sz="4" w:space="0" w:color="auto"/>
            </w:tcBorders>
            <w:vAlign w:val="center"/>
            <w:hideMark/>
          </w:tcPr>
          <w:p w14:paraId="6011C6CC" w14:textId="3025ECAA" w:rsidR="004017C7" w:rsidRDefault="004017C7" w:rsidP="004017C7">
            <w:pPr>
              <w:pStyle w:val="Teksttabelilewy"/>
              <w:ind w:left="57"/>
            </w:pPr>
            <w:r>
              <w:rPr>
                <w:rFonts w:cs="Calibri"/>
                <w:color w:val="000000"/>
                <w:szCs w:val="20"/>
              </w:rPr>
              <w:t>Ochrona ekosystemów wodnych i od wód zależnych/ odtwarzanie warunków siedliskowych z uwzględnieniem celów środowiskowych wskazanych dla obszarów przyrodniczych</w:t>
            </w:r>
          </w:p>
        </w:tc>
        <w:tc>
          <w:tcPr>
            <w:tcW w:w="1298" w:type="dxa"/>
            <w:tcBorders>
              <w:top w:val="single" w:sz="4" w:space="0" w:color="auto"/>
              <w:left w:val="single" w:sz="4" w:space="0" w:color="auto"/>
              <w:bottom w:val="single" w:sz="4" w:space="0" w:color="auto"/>
              <w:right w:val="single" w:sz="4" w:space="0" w:color="auto"/>
            </w:tcBorders>
            <w:vAlign w:val="center"/>
            <w:hideMark/>
          </w:tcPr>
          <w:p w14:paraId="25047A52" w14:textId="610B5638" w:rsidR="004017C7" w:rsidRDefault="004017C7" w:rsidP="004017C7">
            <w:pPr>
              <w:pStyle w:val="Teksttabelisrodek"/>
              <w:rPr>
                <w:lang w:eastAsia="en-US"/>
              </w:rPr>
            </w:pPr>
            <w:r>
              <w:rPr>
                <w:rFonts w:cs="Calibri"/>
                <w:color w:val="000000"/>
                <w:szCs w:val="20"/>
                <w:lang w:eastAsia="en-US"/>
              </w:rPr>
              <w:t>15</w:t>
            </w:r>
            <w:r w:rsidR="009D501B">
              <w:rPr>
                <w:rFonts w:cs="Calibri"/>
                <w:color w:val="000000"/>
                <w:szCs w:val="20"/>
                <w:lang w:eastAsia="en-US"/>
              </w:rPr>
              <w:t>4</w:t>
            </w:r>
          </w:p>
        </w:tc>
        <w:tc>
          <w:tcPr>
            <w:tcW w:w="1459" w:type="dxa"/>
            <w:tcBorders>
              <w:top w:val="single" w:sz="4" w:space="0" w:color="auto"/>
              <w:left w:val="single" w:sz="4" w:space="0" w:color="auto"/>
              <w:bottom w:val="single" w:sz="4" w:space="0" w:color="auto"/>
              <w:right w:val="single" w:sz="4" w:space="0" w:color="auto"/>
            </w:tcBorders>
            <w:vAlign w:val="center"/>
            <w:hideMark/>
          </w:tcPr>
          <w:p w14:paraId="37D55915" w14:textId="77777777" w:rsidR="004017C7" w:rsidRDefault="004017C7" w:rsidP="004017C7">
            <w:pPr>
              <w:pStyle w:val="Teksttabelisrodek"/>
              <w:rPr>
                <w:lang w:eastAsia="en-US"/>
              </w:rPr>
            </w:pPr>
            <w:r>
              <w:rPr>
                <w:rFonts w:cs="Calibri"/>
                <w:color w:val="000000"/>
                <w:szCs w:val="20"/>
                <w:lang w:eastAsia="en-US"/>
              </w:rPr>
              <w:t>154</w:t>
            </w:r>
          </w:p>
        </w:tc>
        <w:tc>
          <w:tcPr>
            <w:tcW w:w="1619" w:type="dxa"/>
            <w:tcBorders>
              <w:top w:val="single" w:sz="4" w:space="0" w:color="auto"/>
              <w:left w:val="single" w:sz="4" w:space="0" w:color="auto"/>
              <w:bottom w:val="single" w:sz="4" w:space="0" w:color="auto"/>
              <w:right w:val="single" w:sz="4" w:space="0" w:color="auto"/>
            </w:tcBorders>
            <w:vAlign w:val="center"/>
            <w:hideMark/>
          </w:tcPr>
          <w:p w14:paraId="0EC74470" w14:textId="76958504" w:rsidR="004017C7" w:rsidRDefault="004017C7" w:rsidP="004017C7">
            <w:pPr>
              <w:pStyle w:val="Teksttabelisrodek"/>
              <w:rPr>
                <w:lang w:eastAsia="en-US"/>
              </w:rPr>
            </w:pPr>
            <w:r>
              <w:rPr>
                <w:rFonts w:cs="Calibri"/>
                <w:color w:val="000000"/>
                <w:szCs w:val="20"/>
                <w:lang w:eastAsia="en-US"/>
              </w:rPr>
              <w:t>13,8</w:t>
            </w:r>
          </w:p>
        </w:tc>
      </w:tr>
      <w:tr w:rsidR="004017C7" w14:paraId="484095B5"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485DF27E" w14:textId="77777777" w:rsidR="004017C7" w:rsidRDefault="004017C7" w:rsidP="004017C7">
            <w:pPr>
              <w:pStyle w:val="Teksttabelilewy"/>
              <w:ind w:left="57"/>
            </w:pPr>
            <w:r>
              <w:rPr>
                <w:rFonts w:cs="Calibri"/>
                <w:color w:val="000000"/>
                <w:szCs w:val="20"/>
              </w:rPr>
              <w:t>RWH_03</w:t>
            </w:r>
          </w:p>
        </w:tc>
        <w:tc>
          <w:tcPr>
            <w:tcW w:w="3399" w:type="dxa"/>
            <w:tcBorders>
              <w:top w:val="single" w:sz="4" w:space="0" w:color="auto"/>
              <w:left w:val="single" w:sz="4" w:space="0" w:color="auto"/>
              <w:bottom w:val="single" w:sz="4" w:space="0" w:color="auto"/>
              <w:right w:val="single" w:sz="4" w:space="0" w:color="auto"/>
            </w:tcBorders>
            <w:vAlign w:val="center"/>
            <w:hideMark/>
          </w:tcPr>
          <w:p w14:paraId="572C968D" w14:textId="77777777" w:rsidR="004017C7" w:rsidRDefault="004017C7" w:rsidP="004017C7">
            <w:pPr>
              <w:pStyle w:val="Teksttabelilewy"/>
              <w:ind w:left="57"/>
            </w:pPr>
            <w:r>
              <w:rPr>
                <w:rFonts w:cs="Calibri"/>
                <w:color w:val="000000"/>
                <w:szCs w:val="20"/>
              </w:rPr>
              <w:t>Zintegrowany system monitoringu stanu wód (suszy)</w:t>
            </w:r>
          </w:p>
        </w:tc>
        <w:tc>
          <w:tcPr>
            <w:tcW w:w="1298" w:type="dxa"/>
            <w:tcBorders>
              <w:top w:val="single" w:sz="4" w:space="0" w:color="auto"/>
              <w:left w:val="single" w:sz="4" w:space="0" w:color="auto"/>
              <w:bottom w:val="single" w:sz="4" w:space="0" w:color="auto"/>
              <w:right w:val="single" w:sz="4" w:space="0" w:color="auto"/>
            </w:tcBorders>
            <w:vAlign w:val="center"/>
            <w:hideMark/>
          </w:tcPr>
          <w:p w14:paraId="649883B3" w14:textId="77777777" w:rsidR="004017C7" w:rsidRDefault="004017C7" w:rsidP="004017C7">
            <w:pPr>
              <w:pStyle w:val="Teksttabelisrodek"/>
              <w:rPr>
                <w:lang w:eastAsia="en-US"/>
              </w:rPr>
            </w:pPr>
            <w:r>
              <w:rPr>
                <w:rFonts w:cs="Calibri"/>
                <w:color w:val="000000"/>
                <w:szCs w:val="20"/>
                <w:lang w:eastAsia="en-US"/>
              </w:rPr>
              <w:t>155</w:t>
            </w:r>
          </w:p>
        </w:tc>
        <w:tc>
          <w:tcPr>
            <w:tcW w:w="1459" w:type="dxa"/>
            <w:tcBorders>
              <w:top w:val="single" w:sz="4" w:space="0" w:color="auto"/>
              <w:left w:val="single" w:sz="4" w:space="0" w:color="auto"/>
              <w:bottom w:val="single" w:sz="4" w:space="0" w:color="auto"/>
              <w:right w:val="single" w:sz="4" w:space="0" w:color="auto"/>
            </w:tcBorders>
            <w:vAlign w:val="center"/>
            <w:hideMark/>
          </w:tcPr>
          <w:p w14:paraId="4A015A1F" w14:textId="77777777" w:rsidR="004017C7" w:rsidRDefault="004017C7" w:rsidP="004017C7">
            <w:pPr>
              <w:pStyle w:val="Teksttabelisrodek"/>
              <w:rPr>
                <w:lang w:eastAsia="en-US"/>
              </w:rPr>
            </w:pPr>
            <w:r>
              <w:rPr>
                <w:rFonts w:cs="Calibri"/>
                <w:color w:val="000000"/>
                <w:szCs w:val="20"/>
                <w:lang w:eastAsia="en-US"/>
              </w:rPr>
              <w:t>153</w:t>
            </w:r>
          </w:p>
        </w:tc>
        <w:tc>
          <w:tcPr>
            <w:tcW w:w="1619" w:type="dxa"/>
            <w:tcBorders>
              <w:top w:val="single" w:sz="4" w:space="0" w:color="auto"/>
              <w:left w:val="single" w:sz="4" w:space="0" w:color="auto"/>
              <w:bottom w:val="single" w:sz="4" w:space="0" w:color="auto"/>
              <w:right w:val="single" w:sz="4" w:space="0" w:color="auto"/>
            </w:tcBorders>
            <w:vAlign w:val="center"/>
            <w:hideMark/>
          </w:tcPr>
          <w:p w14:paraId="30EB26E9" w14:textId="611CED6D" w:rsidR="004017C7" w:rsidRDefault="004017C7" w:rsidP="004017C7">
            <w:pPr>
              <w:pStyle w:val="Teksttabelisrodek"/>
              <w:rPr>
                <w:lang w:eastAsia="en-US"/>
              </w:rPr>
            </w:pPr>
            <w:r>
              <w:rPr>
                <w:rFonts w:cs="Calibri"/>
                <w:color w:val="000000"/>
                <w:szCs w:val="20"/>
                <w:lang w:eastAsia="en-US"/>
              </w:rPr>
              <w:t>13,7</w:t>
            </w:r>
          </w:p>
        </w:tc>
      </w:tr>
      <w:tr w:rsidR="004017C7" w14:paraId="3654C6E3"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70BC0B28" w14:textId="77777777" w:rsidR="004017C7" w:rsidRDefault="004017C7" w:rsidP="004017C7">
            <w:pPr>
              <w:pStyle w:val="Teksttabelilewy"/>
              <w:ind w:left="57"/>
            </w:pPr>
            <w:r>
              <w:rPr>
                <w:rFonts w:cs="Calibri"/>
                <w:color w:val="000000"/>
                <w:szCs w:val="20"/>
              </w:rPr>
              <w:t>RWHM_01</w:t>
            </w:r>
          </w:p>
        </w:tc>
        <w:tc>
          <w:tcPr>
            <w:tcW w:w="3399" w:type="dxa"/>
            <w:tcBorders>
              <w:top w:val="single" w:sz="4" w:space="0" w:color="auto"/>
              <w:left w:val="single" w:sz="4" w:space="0" w:color="auto"/>
              <w:bottom w:val="single" w:sz="4" w:space="0" w:color="auto"/>
              <w:right w:val="single" w:sz="4" w:space="0" w:color="auto"/>
            </w:tcBorders>
            <w:vAlign w:val="center"/>
            <w:hideMark/>
          </w:tcPr>
          <w:p w14:paraId="7904E587" w14:textId="217B88BD" w:rsidR="004017C7" w:rsidRDefault="004017C7" w:rsidP="004017C7">
            <w:pPr>
              <w:pStyle w:val="Teksttabelilewy"/>
              <w:ind w:left="57"/>
            </w:pPr>
            <w:r>
              <w:rPr>
                <w:rFonts w:cs="Calibri"/>
                <w:color w:val="000000"/>
                <w:szCs w:val="20"/>
              </w:rPr>
              <w:t>Udrażnianie przegród poprzecznych i dostosowanie ich do wymagań budowli proekologicznych z uwzględnieniem spełnienia celów środowiskowych</w:t>
            </w:r>
          </w:p>
        </w:tc>
        <w:tc>
          <w:tcPr>
            <w:tcW w:w="1298" w:type="dxa"/>
            <w:tcBorders>
              <w:top w:val="single" w:sz="4" w:space="0" w:color="auto"/>
              <w:left w:val="single" w:sz="4" w:space="0" w:color="auto"/>
              <w:bottom w:val="single" w:sz="4" w:space="0" w:color="auto"/>
              <w:right w:val="single" w:sz="4" w:space="0" w:color="auto"/>
            </w:tcBorders>
            <w:vAlign w:val="center"/>
            <w:hideMark/>
          </w:tcPr>
          <w:p w14:paraId="4BE670BE" w14:textId="32DEAC50" w:rsidR="004017C7" w:rsidRDefault="00D519C0" w:rsidP="004017C7">
            <w:pPr>
              <w:pStyle w:val="Teksttabelisrodek"/>
              <w:rPr>
                <w:lang w:eastAsia="en-US"/>
              </w:rPr>
            </w:pPr>
            <w:r>
              <w:rPr>
                <w:rFonts w:cs="Calibri"/>
                <w:color w:val="000000"/>
                <w:szCs w:val="20"/>
                <w:lang w:eastAsia="en-US"/>
              </w:rPr>
              <w:t>203</w:t>
            </w:r>
          </w:p>
        </w:tc>
        <w:tc>
          <w:tcPr>
            <w:tcW w:w="1459" w:type="dxa"/>
            <w:tcBorders>
              <w:top w:val="single" w:sz="4" w:space="0" w:color="auto"/>
              <w:left w:val="single" w:sz="4" w:space="0" w:color="auto"/>
              <w:bottom w:val="single" w:sz="4" w:space="0" w:color="auto"/>
              <w:right w:val="single" w:sz="4" w:space="0" w:color="auto"/>
            </w:tcBorders>
            <w:vAlign w:val="center"/>
            <w:hideMark/>
          </w:tcPr>
          <w:p w14:paraId="627FF6DF" w14:textId="6ADC6D66" w:rsidR="004017C7" w:rsidRDefault="004017C7" w:rsidP="004017C7">
            <w:pPr>
              <w:pStyle w:val="Teksttabelisrodek"/>
              <w:rPr>
                <w:lang w:eastAsia="en-US"/>
              </w:rPr>
            </w:pPr>
            <w:r>
              <w:rPr>
                <w:rFonts w:cs="Calibri"/>
                <w:color w:val="000000"/>
                <w:szCs w:val="20"/>
                <w:lang w:eastAsia="en-US"/>
              </w:rPr>
              <w:t>186</w:t>
            </w:r>
          </w:p>
        </w:tc>
        <w:tc>
          <w:tcPr>
            <w:tcW w:w="1619" w:type="dxa"/>
            <w:tcBorders>
              <w:top w:val="single" w:sz="4" w:space="0" w:color="auto"/>
              <w:left w:val="single" w:sz="4" w:space="0" w:color="auto"/>
              <w:bottom w:val="single" w:sz="4" w:space="0" w:color="auto"/>
              <w:right w:val="single" w:sz="4" w:space="0" w:color="auto"/>
            </w:tcBorders>
            <w:vAlign w:val="center"/>
            <w:hideMark/>
          </w:tcPr>
          <w:p w14:paraId="622EBEA6" w14:textId="2DCD6775" w:rsidR="004017C7" w:rsidRDefault="004017C7" w:rsidP="004017C7">
            <w:pPr>
              <w:pStyle w:val="Teksttabelisrodek"/>
              <w:rPr>
                <w:lang w:eastAsia="en-US"/>
              </w:rPr>
            </w:pPr>
            <w:r>
              <w:rPr>
                <w:rFonts w:cs="Calibri"/>
                <w:color w:val="000000"/>
                <w:szCs w:val="20"/>
                <w:lang w:eastAsia="en-US"/>
              </w:rPr>
              <w:t>16,6</w:t>
            </w:r>
          </w:p>
        </w:tc>
      </w:tr>
      <w:tr w:rsidR="00F24C85" w14:paraId="6E08BA09" w14:textId="77777777" w:rsidTr="00770B2E">
        <w:trPr>
          <w:trHeight w:val="454"/>
        </w:trPr>
        <w:tc>
          <w:tcPr>
            <w:tcW w:w="1240" w:type="dxa"/>
            <w:vMerge w:val="restart"/>
            <w:tcBorders>
              <w:top w:val="single" w:sz="4" w:space="0" w:color="auto"/>
              <w:left w:val="single" w:sz="4" w:space="0" w:color="auto"/>
              <w:right w:val="single" w:sz="4" w:space="0" w:color="auto"/>
            </w:tcBorders>
            <w:vAlign w:val="center"/>
            <w:hideMark/>
          </w:tcPr>
          <w:p w14:paraId="6D5ED179" w14:textId="77777777" w:rsidR="00F24C85" w:rsidRDefault="00F24C85" w:rsidP="00F24C85">
            <w:pPr>
              <w:pStyle w:val="Teksttabelilewy"/>
              <w:ind w:left="57"/>
            </w:pPr>
            <w:r>
              <w:rPr>
                <w:rFonts w:cs="Calibri"/>
                <w:color w:val="000000"/>
                <w:szCs w:val="20"/>
              </w:rPr>
              <w:t>RWHM_02</w:t>
            </w:r>
          </w:p>
        </w:tc>
        <w:tc>
          <w:tcPr>
            <w:tcW w:w="3399" w:type="dxa"/>
            <w:tcBorders>
              <w:top w:val="single" w:sz="4" w:space="0" w:color="auto"/>
              <w:left w:val="single" w:sz="4" w:space="0" w:color="auto"/>
              <w:bottom w:val="single" w:sz="4" w:space="0" w:color="auto"/>
              <w:right w:val="single" w:sz="4" w:space="0" w:color="auto"/>
            </w:tcBorders>
            <w:vAlign w:val="center"/>
            <w:hideMark/>
          </w:tcPr>
          <w:p w14:paraId="6996F515" w14:textId="53D2F111" w:rsidR="00F24C85" w:rsidRDefault="00F24C85" w:rsidP="00F24C85">
            <w:pPr>
              <w:pStyle w:val="Teksttabelilewy"/>
              <w:ind w:left="57"/>
            </w:pPr>
            <w:r>
              <w:rPr>
                <w:rFonts w:cs="Calibri"/>
                <w:szCs w:val="20"/>
              </w:rPr>
              <w:t>Przebudowa budowli piętrzących w zakresie zapewniającym ciągłość biologiczną i spełnienia celów środowiskowych</w:t>
            </w:r>
          </w:p>
        </w:tc>
        <w:tc>
          <w:tcPr>
            <w:tcW w:w="1298" w:type="dxa"/>
            <w:vMerge w:val="restart"/>
            <w:tcBorders>
              <w:top w:val="single" w:sz="4" w:space="0" w:color="auto"/>
              <w:left w:val="single" w:sz="4" w:space="0" w:color="auto"/>
              <w:right w:val="single" w:sz="4" w:space="0" w:color="auto"/>
            </w:tcBorders>
            <w:vAlign w:val="center"/>
            <w:hideMark/>
          </w:tcPr>
          <w:p w14:paraId="5F4516A5" w14:textId="4FEB251D" w:rsidR="00F24C85" w:rsidRDefault="00F24C85" w:rsidP="00F24C85">
            <w:pPr>
              <w:pStyle w:val="Teksttabelisrodek"/>
              <w:rPr>
                <w:lang w:eastAsia="en-US"/>
              </w:rPr>
            </w:pPr>
            <w:r>
              <w:rPr>
                <w:rFonts w:cs="Calibri"/>
                <w:color w:val="000000"/>
                <w:szCs w:val="20"/>
                <w:lang w:eastAsia="en-US"/>
              </w:rPr>
              <w:t>66</w:t>
            </w:r>
            <w:r w:rsidR="00790146">
              <w:rPr>
                <w:rFonts w:cs="Calibri"/>
                <w:color w:val="000000"/>
                <w:szCs w:val="20"/>
                <w:lang w:eastAsia="en-US"/>
              </w:rPr>
              <w:t>0</w:t>
            </w:r>
          </w:p>
        </w:tc>
        <w:tc>
          <w:tcPr>
            <w:tcW w:w="1459" w:type="dxa"/>
            <w:vMerge w:val="restart"/>
            <w:tcBorders>
              <w:top w:val="single" w:sz="4" w:space="0" w:color="auto"/>
              <w:left w:val="single" w:sz="4" w:space="0" w:color="auto"/>
              <w:right w:val="single" w:sz="4" w:space="0" w:color="auto"/>
            </w:tcBorders>
            <w:vAlign w:val="center"/>
            <w:hideMark/>
          </w:tcPr>
          <w:p w14:paraId="7882A6FB" w14:textId="6E15B75C" w:rsidR="00F24C85" w:rsidRDefault="00F24C85" w:rsidP="00F24C85">
            <w:pPr>
              <w:pStyle w:val="Teksttabelisrodek"/>
              <w:rPr>
                <w:lang w:eastAsia="en-US"/>
              </w:rPr>
            </w:pPr>
            <w:r>
              <w:rPr>
                <w:rFonts w:cs="Calibri"/>
                <w:color w:val="000000"/>
                <w:szCs w:val="20"/>
                <w:lang w:eastAsia="en-US"/>
              </w:rPr>
              <w:t>275</w:t>
            </w:r>
          </w:p>
        </w:tc>
        <w:tc>
          <w:tcPr>
            <w:tcW w:w="1619" w:type="dxa"/>
            <w:vMerge w:val="restart"/>
            <w:tcBorders>
              <w:top w:val="single" w:sz="4" w:space="0" w:color="auto"/>
              <w:left w:val="single" w:sz="4" w:space="0" w:color="auto"/>
              <w:right w:val="single" w:sz="4" w:space="0" w:color="auto"/>
            </w:tcBorders>
            <w:vAlign w:val="center"/>
            <w:hideMark/>
          </w:tcPr>
          <w:p w14:paraId="474CF2BB" w14:textId="3C06CCD2" w:rsidR="00F24C85" w:rsidRDefault="00F24C85" w:rsidP="00F24C85">
            <w:pPr>
              <w:pStyle w:val="Teksttabelisrodek"/>
              <w:rPr>
                <w:lang w:eastAsia="en-US"/>
              </w:rPr>
            </w:pPr>
            <w:r>
              <w:rPr>
                <w:rFonts w:cs="Calibri"/>
                <w:color w:val="000000"/>
                <w:szCs w:val="20"/>
                <w:lang w:eastAsia="en-US"/>
              </w:rPr>
              <w:t>24,6</w:t>
            </w:r>
          </w:p>
        </w:tc>
      </w:tr>
      <w:tr w:rsidR="00F24C85" w14:paraId="47227520" w14:textId="77777777" w:rsidTr="00770B2E">
        <w:trPr>
          <w:trHeight w:val="454"/>
        </w:trPr>
        <w:tc>
          <w:tcPr>
            <w:tcW w:w="1240" w:type="dxa"/>
            <w:vMerge/>
            <w:tcBorders>
              <w:left w:val="single" w:sz="4" w:space="0" w:color="auto"/>
              <w:right w:val="single" w:sz="4" w:space="0" w:color="auto"/>
            </w:tcBorders>
            <w:vAlign w:val="center"/>
          </w:tcPr>
          <w:p w14:paraId="54224395" w14:textId="77777777" w:rsidR="00F24C85" w:rsidRDefault="00F24C85" w:rsidP="00F24C85">
            <w:pPr>
              <w:pStyle w:val="Teksttabelilewy"/>
              <w:ind w:left="57"/>
              <w:rPr>
                <w:rFonts w:cs="Calibri"/>
                <w:color w:val="000000"/>
                <w:szCs w:val="20"/>
              </w:rPr>
            </w:pPr>
          </w:p>
        </w:tc>
        <w:tc>
          <w:tcPr>
            <w:tcW w:w="3399" w:type="dxa"/>
            <w:tcBorders>
              <w:top w:val="single" w:sz="4" w:space="0" w:color="auto"/>
              <w:left w:val="single" w:sz="4" w:space="0" w:color="auto"/>
              <w:bottom w:val="single" w:sz="4" w:space="0" w:color="auto"/>
              <w:right w:val="single" w:sz="4" w:space="0" w:color="auto"/>
            </w:tcBorders>
            <w:vAlign w:val="center"/>
          </w:tcPr>
          <w:p w14:paraId="41879155" w14:textId="1E616500" w:rsidR="00F24C85" w:rsidRDefault="00F24C85" w:rsidP="00F24C85">
            <w:pPr>
              <w:pStyle w:val="Teksttabelilewy"/>
              <w:ind w:left="57"/>
              <w:rPr>
                <w:rFonts w:cs="Calibri"/>
                <w:color w:val="000000"/>
                <w:szCs w:val="20"/>
              </w:rPr>
            </w:pPr>
            <w:r>
              <w:rPr>
                <w:rFonts w:cs="Calibri"/>
                <w:szCs w:val="20"/>
              </w:rPr>
              <w:t xml:space="preserve">Ocena wpływu budowli poprzecznych na ciągłość biologiczną i cele środowiskowe </w:t>
            </w:r>
            <w:r w:rsidR="00DF005E">
              <w:rPr>
                <w:rFonts w:cs="Calibri"/>
                <w:szCs w:val="20"/>
              </w:rPr>
              <w:t>JCWP</w:t>
            </w:r>
          </w:p>
        </w:tc>
        <w:tc>
          <w:tcPr>
            <w:tcW w:w="1298" w:type="dxa"/>
            <w:vMerge/>
            <w:tcBorders>
              <w:left w:val="single" w:sz="4" w:space="0" w:color="auto"/>
              <w:right w:val="single" w:sz="4" w:space="0" w:color="auto"/>
            </w:tcBorders>
            <w:vAlign w:val="center"/>
          </w:tcPr>
          <w:p w14:paraId="08DF3A6E" w14:textId="77777777" w:rsidR="00F24C85" w:rsidRDefault="00F24C85" w:rsidP="00F24C85">
            <w:pPr>
              <w:pStyle w:val="Teksttabelisrodek"/>
              <w:rPr>
                <w:rFonts w:cs="Calibri"/>
                <w:color w:val="000000"/>
                <w:szCs w:val="20"/>
                <w:lang w:eastAsia="en-US"/>
              </w:rPr>
            </w:pPr>
          </w:p>
        </w:tc>
        <w:tc>
          <w:tcPr>
            <w:tcW w:w="1459" w:type="dxa"/>
            <w:vMerge/>
            <w:tcBorders>
              <w:left w:val="single" w:sz="4" w:space="0" w:color="auto"/>
              <w:right w:val="single" w:sz="4" w:space="0" w:color="auto"/>
            </w:tcBorders>
            <w:vAlign w:val="center"/>
          </w:tcPr>
          <w:p w14:paraId="76D14B8D" w14:textId="77777777" w:rsidR="00F24C85" w:rsidRDefault="00F24C85" w:rsidP="00F24C85">
            <w:pPr>
              <w:pStyle w:val="Teksttabelisrodek"/>
              <w:rPr>
                <w:rFonts w:cs="Calibri"/>
                <w:color w:val="000000"/>
                <w:szCs w:val="20"/>
                <w:lang w:eastAsia="en-US"/>
              </w:rPr>
            </w:pPr>
          </w:p>
        </w:tc>
        <w:tc>
          <w:tcPr>
            <w:tcW w:w="1619" w:type="dxa"/>
            <w:vMerge/>
            <w:tcBorders>
              <w:left w:val="single" w:sz="4" w:space="0" w:color="auto"/>
              <w:right w:val="single" w:sz="4" w:space="0" w:color="auto"/>
            </w:tcBorders>
            <w:vAlign w:val="center"/>
          </w:tcPr>
          <w:p w14:paraId="564C45E6" w14:textId="77777777" w:rsidR="00F24C85" w:rsidRDefault="00F24C85" w:rsidP="00F24C85">
            <w:pPr>
              <w:pStyle w:val="Teksttabelisrodek"/>
              <w:rPr>
                <w:rFonts w:cs="Calibri"/>
                <w:color w:val="000000"/>
                <w:szCs w:val="20"/>
                <w:lang w:eastAsia="en-US"/>
              </w:rPr>
            </w:pPr>
          </w:p>
        </w:tc>
      </w:tr>
      <w:tr w:rsidR="00F24C85" w14:paraId="7E9DF1F7" w14:textId="77777777" w:rsidTr="00770B2E">
        <w:trPr>
          <w:trHeight w:val="454"/>
        </w:trPr>
        <w:tc>
          <w:tcPr>
            <w:tcW w:w="1240" w:type="dxa"/>
            <w:vMerge/>
            <w:tcBorders>
              <w:left w:val="single" w:sz="4" w:space="0" w:color="auto"/>
              <w:right w:val="single" w:sz="4" w:space="0" w:color="auto"/>
            </w:tcBorders>
            <w:vAlign w:val="center"/>
          </w:tcPr>
          <w:p w14:paraId="2E628D2E" w14:textId="77777777" w:rsidR="00F24C85" w:rsidRDefault="00F24C85" w:rsidP="00F24C85">
            <w:pPr>
              <w:pStyle w:val="Teksttabelilewy"/>
              <w:ind w:left="57"/>
              <w:rPr>
                <w:rFonts w:cs="Calibri"/>
                <w:color w:val="000000"/>
                <w:szCs w:val="20"/>
              </w:rPr>
            </w:pPr>
          </w:p>
        </w:tc>
        <w:tc>
          <w:tcPr>
            <w:tcW w:w="3399" w:type="dxa"/>
            <w:tcBorders>
              <w:top w:val="single" w:sz="4" w:space="0" w:color="auto"/>
              <w:left w:val="single" w:sz="4" w:space="0" w:color="auto"/>
              <w:bottom w:val="single" w:sz="4" w:space="0" w:color="auto"/>
              <w:right w:val="single" w:sz="4" w:space="0" w:color="auto"/>
            </w:tcBorders>
            <w:vAlign w:val="center"/>
          </w:tcPr>
          <w:p w14:paraId="15CEE2DF" w14:textId="17E7C901" w:rsidR="00F24C85" w:rsidRDefault="00F24C85" w:rsidP="00F24C85">
            <w:pPr>
              <w:pStyle w:val="Teksttabelilewy"/>
              <w:ind w:left="57"/>
              <w:rPr>
                <w:rFonts w:cs="Calibri"/>
                <w:color w:val="000000"/>
                <w:szCs w:val="20"/>
              </w:rPr>
            </w:pPr>
            <w:r>
              <w:rPr>
                <w:rFonts w:cs="Calibri"/>
                <w:szCs w:val="20"/>
              </w:rPr>
              <w:t>Kontrola funkcjonowania urządzeń do migracji ryb.</w:t>
            </w:r>
          </w:p>
        </w:tc>
        <w:tc>
          <w:tcPr>
            <w:tcW w:w="1298" w:type="dxa"/>
            <w:vMerge/>
            <w:tcBorders>
              <w:left w:val="single" w:sz="4" w:space="0" w:color="auto"/>
              <w:right w:val="single" w:sz="4" w:space="0" w:color="auto"/>
            </w:tcBorders>
            <w:vAlign w:val="center"/>
          </w:tcPr>
          <w:p w14:paraId="3CE25197" w14:textId="77777777" w:rsidR="00F24C85" w:rsidRDefault="00F24C85" w:rsidP="00F24C85">
            <w:pPr>
              <w:pStyle w:val="Teksttabelisrodek"/>
              <w:rPr>
                <w:rFonts w:cs="Calibri"/>
                <w:color w:val="000000"/>
                <w:szCs w:val="20"/>
                <w:lang w:eastAsia="en-US"/>
              </w:rPr>
            </w:pPr>
          </w:p>
        </w:tc>
        <w:tc>
          <w:tcPr>
            <w:tcW w:w="1459" w:type="dxa"/>
            <w:vMerge/>
            <w:tcBorders>
              <w:left w:val="single" w:sz="4" w:space="0" w:color="auto"/>
              <w:right w:val="single" w:sz="4" w:space="0" w:color="auto"/>
            </w:tcBorders>
            <w:vAlign w:val="center"/>
          </w:tcPr>
          <w:p w14:paraId="5160D9C2" w14:textId="77777777" w:rsidR="00F24C85" w:rsidRDefault="00F24C85" w:rsidP="00F24C85">
            <w:pPr>
              <w:pStyle w:val="Teksttabelisrodek"/>
              <w:rPr>
                <w:rFonts w:cs="Calibri"/>
                <w:color w:val="000000"/>
                <w:szCs w:val="20"/>
                <w:lang w:eastAsia="en-US"/>
              </w:rPr>
            </w:pPr>
          </w:p>
        </w:tc>
        <w:tc>
          <w:tcPr>
            <w:tcW w:w="1619" w:type="dxa"/>
            <w:vMerge/>
            <w:tcBorders>
              <w:left w:val="single" w:sz="4" w:space="0" w:color="auto"/>
              <w:right w:val="single" w:sz="4" w:space="0" w:color="auto"/>
            </w:tcBorders>
            <w:vAlign w:val="center"/>
          </w:tcPr>
          <w:p w14:paraId="0B8EC165" w14:textId="77777777" w:rsidR="00F24C85" w:rsidRDefault="00F24C85" w:rsidP="00F24C85">
            <w:pPr>
              <w:pStyle w:val="Teksttabelisrodek"/>
              <w:rPr>
                <w:rFonts w:cs="Calibri"/>
                <w:color w:val="000000"/>
                <w:szCs w:val="20"/>
                <w:lang w:eastAsia="en-US"/>
              </w:rPr>
            </w:pPr>
          </w:p>
        </w:tc>
      </w:tr>
      <w:tr w:rsidR="00F24C85" w14:paraId="7444D8A1" w14:textId="77777777" w:rsidTr="00770B2E">
        <w:trPr>
          <w:trHeight w:val="454"/>
        </w:trPr>
        <w:tc>
          <w:tcPr>
            <w:tcW w:w="1240" w:type="dxa"/>
            <w:vMerge/>
            <w:tcBorders>
              <w:left w:val="single" w:sz="4" w:space="0" w:color="auto"/>
              <w:bottom w:val="single" w:sz="4" w:space="0" w:color="auto"/>
              <w:right w:val="single" w:sz="4" w:space="0" w:color="auto"/>
            </w:tcBorders>
            <w:vAlign w:val="center"/>
          </w:tcPr>
          <w:p w14:paraId="39DB9331" w14:textId="77777777" w:rsidR="00F24C85" w:rsidRDefault="00F24C85" w:rsidP="00F24C85">
            <w:pPr>
              <w:pStyle w:val="Teksttabelilewy"/>
              <w:ind w:left="57"/>
              <w:rPr>
                <w:rFonts w:cs="Calibri"/>
                <w:color w:val="000000"/>
                <w:szCs w:val="20"/>
              </w:rPr>
            </w:pPr>
          </w:p>
        </w:tc>
        <w:tc>
          <w:tcPr>
            <w:tcW w:w="3399" w:type="dxa"/>
            <w:tcBorders>
              <w:top w:val="single" w:sz="4" w:space="0" w:color="auto"/>
              <w:left w:val="single" w:sz="4" w:space="0" w:color="auto"/>
              <w:bottom w:val="single" w:sz="4" w:space="0" w:color="auto"/>
              <w:right w:val="single" w:sz="4" w:space="0" w:color="auto"/>
            </w:tcBorders>
            <w:vAlign w:val="center"/>
          </w:tcPr>
          <w:p w14:paraId="37AA9E56" w14:textId="3216D83F" w:rsidR="00F24C85" w:rsidRDefault="00F24C85" w:rsidP="00F24C85">
            <w:pPr>
              <w:pStyle w:val="Teksttabelilewy"/>
              <w:ind w:left="57"/>
              <w:rPr>
                <w:rFonts w:cs="Calibri"/>
                <w:color w:val="000000"/>
                <w:szCs w:val="20"/>
              </w:rPr>
            </w:pPr>
            <w:r>
              <w:rPr>
                <w:rFonts w:cs="Calibri"/>
                <w:szCs w:val="20"/>
              </w:rPr>
              <w:t>Monitoring skuteczności istniejących urządzeń do migracji ryb</w:t>
            </w:r>
          </w:p>
        </w:tc>
        <w:tc>
          <w:tcPr>
            <w:tcW w:w="1298" w:type="dxa"/>
            <w:vMerge/>
            <w:tcBorders>
              <w:left w:val="single" w:sz="4" w:space="0" w:color="auto"/>
              <w:bottom w:val="single" w:sz="4" w:space="0" w:color="auto"/>
              <w:right w:val="single" w:sz="4" w:space="0" w:color="auto"/>
            </w:tcBorders>
            <w:vAlign w:val="center"/>
          </w:tcPr>
          <w:p w14:paraId="2789136C" w14:textId="77777777" w:rsidR="00F24C85" w:rsidRDefault="00F24C85" w:rsidP="00F24C85">
            <w:pPr>
              <w:pStyle w:val="Teksttabelisrodek"/>
              <w:rPr>
                <w:rFonts w:cs="Calibri"/>
                <w:color w:val="000000"/>
                <w:szCs w:val="20"/>
                <w:lang w:eastAsia="en-US"/>
              </w:rPr>
            </w:pPr>
          </w:p>
        </w:tc>
        <w:tc>
          <w:tcPr>
            <w:tcW w:w="1459" w:type="dxa"/>
            <w:vMerge/>
            <w:tcBorders>
              <w:left w:val="single" w:sz="4" w:space="0" w:color="auto"/>
              <w:bottom w:val="single" w:sz="4" w:space="0" w:color="auto"/>
              <w:right w:val="single" w:sz="4" w:space="0" w:color="auto"/>
            </w:tcBorders>
            <w:vAlign w:val="center"/>
          </w:tcPr>
          <w:p w14:paraId="50BAE954" w14:textId="77777777" w:rsidR="00F24C85" w:rsidRDefault="00F24C85" w:rsidP="00F24C85">
            <w:pPr>
              <w:pStyle w:val="Teksttabelisrodek"/>
              <w:rPr>
                <w:rFonts w:cs="Calibri"/>
                <w:color w:val="000000"/>
                <w:szCs w:val="20"/>
                <w:lang w:eastAsia="en-US"/>
              </w:rPr>
            </w:pPr>
          </w:p>
        </w:tc>
        <w:tc>
          <w:tcPr>
            <w:tcW w:w="1619" w:type="dxa"/>
            <w:vMerge/>
            <w:tcBorders>
              <w:left w:val="single" w:sz="4" w:space="0" w:color="auto"/>
              <w:bottom w:val="single" w:sz="4" w:space="0" w:color="auto"/>
              <w:right w:val="single" w:sz="4" w:space="0" w:color="auto"/>
            </w:tcBorders>
            <w:vAlign w:val="center"/>
          </w:tcPr>
          <w:p w14:paraId="2D962637" w14:textId="77777777" w:rsidR="00F24C85" w:rsidRDefault="00F24C85" w:rsidP="00F24C85">
            <w:pPr>
              <w:pStyle w:val="Teksttabelisrodek"/>
              <w:rPr>
                <w:rFonts w:cs="Calibri"/>
                <w:color w:val="000000"/>
                <w:szCs w:val="20"/>
                <w:lang w:eastAsia="en-US"/>
              </w:rPr>
            </w:pPr>
          </w:p>
        </w:tc>
      </w:tr>
      <w:tr w:rsidR="004017C7" w14:paraId="3377FC26"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5FD5DDC2" w14:textId="77777777" w:rsidR="004017C7" w:rsidRDefault="004017C7" w:rsidP="004017C7">
            <w:pPr>
              <w:pStyle w:val="Teksttabelilewy"/>
              <w:ind w:left="57"/>
            </w:pPr>
            <w:r>
              <w:rPr>
                <w:rFonts w:cs="Calibri"/>
                <w:color w:val="000000"/>
                <w:szCs w:val="20"/>
              </w:rPr>
              <w:t>RWHM_03</w:t>
            </w:r>
          </w:p>
        </w:tc>
        <w:tc>
          <w:tcPr>
            <w:tcW w:w="3399" w:type="dxa"/>
            <w:tcBorders>
              <w:top w:val="single" w:sz="4" w:space="0" w:color="auto"/>
              <w:left w:val="single" w:sz="4" w:space="0" w:color="auto"/>
              <w:bottom w:val="single" w:sz="4" w:space="0" w:color="auto"/>
              <w:right w:val="single" w:sz="4" w:space="0" w:color="auto"/>
            </w:tcBorders>
            <w:vAlign w:val="center"/>
            <w:hideMark/>
          </w:tcPr>
          <w:p w14:paraId="2AA94A4C" w14:textId="4A11A5F9" w:rsidR="004017C7" w:rsidRDefault="004017C7" w:rsidP="004017C7">
            <w:pPr>
              <w:pStyle w:val="Teksttabelilewy"/>
              <w:ind w:left="57"/>
            </w:pPr>
            <w:r>
              <w:rPr>
                <w:rFonts w:cs="Calibri"/>
                <w:color w:val="000000"/>
                <w:szCs w:val="20"/>
              </w:rPr>
              <w:t>Ochrona i odtwarzanie naturalnych procesów hydromorfologicznych w  korycie w zakresie spełnienia celów środowiskowych obszarów przyrodniczych</w:t>
            </w:r>
          </w:p>
        </w:tc>
        <w:tc>
          <w:tcPr>
            <w:tcW w:w="1298" w:type="dxa"/>
            <w:tcBorders>
              <w:top w:val="single" w:sz="4" w:space="0" w:color="auto"/>
              <w:left w:val="single" w:sz="4" w:space="0" w:color="auto"/>
              <w:bottom w:val="single" w:sz="4" w:space="0" w:color="auto"/>
              <w:right w:val="single" w:sz="4" w:space="0" w:color="auto"/>
            </w:tcBorders>
            <w:vAlign w:val="center"/>
            <w:hideMark/>
          </w:tcPr>
          <w:p w14:paraId="3B9411E3" w14:textId="52282647" w:rsidR="004017C7" w:rsidRDefault="004017C7" w:rsidP="004017C7">
            <w:pPr>
              <w:pStyle w:val="Teksttabelisrodek"/>
              <w:rPr>
                <w:lang w:eastAsia="en-US"/>
              </w:rPr>
            </w:pPr>
            <w:r>
              <w:rPr>
                <w:rFonts w:cs="Calibri"/>
                <w:color w:val="000000"/>
                <w:szCs w:val="20"/>
                <w:lang w:eastAsia="en-US"/>
              </w:rPr>
              <w:t>340</w:t>
            </w:r>
          </w:p>
        </w:tc>
        <w:tc>
          <w:tcPr>
            <w:tcW w:w="1459" w:type="dxa"/>
            <w:tcBorders>
              <w:top w:val="single" w:sz="4" w:space="0" w:color="auto"/>
              <w:left w:val="single" w:sz="4" w:space="0" w:color="auto"/>
              <w:bottom w:val="single" w:sz="4" w:space="0" w:color="auto"/>
              <w:right w:val="single" w:sz="4" w:space="0" w:color="auto"/>
            </w:tcBorders>
            <w:vAlign w:val="center"/>
            <w:hideMark/>
          </w:tcPr>
          <w:p w14:paraId="3A7F07DC" w14:textId="69515452" w:rsidR="004017C7" w:rsidRDefault="004017C7" w:rsidP="004017C7">
            <w:pPr>
              <w:pStyle w:val="Teksttabelisrodek"/>
              <w:rPr>
                <w:lang w:eastAsia="en-US"/>
              </w:rPr>
            </w:pPr>
            <w:r>
              <w:rPr>
                <w:rFonts w:cs="Calibri"/>
                <w:color w:val="000000"/>
                <w:szCs w:val="20"/>
                <w:lang w:eastAsia="en-US"/>
              </w:rPr>
              <w:t>259</w:t>
            </w:r>
          </w:p>
        </w:tc>
        <w:tc>
          <w:tcPr>
            <w:tcW w:w="1619" w:type="dxa"/>
            <w:tcBorders>
              <w:top w:val="single" w:sz="4" w:space="0" w:color="auto"/>
              <w:left w:val="single" w:sz="4" w:space="0" w:color="auto"/>
              <w:bottom w:val="single" w:sz="4" w:space="0" w:color="auto"/>
              <w:right w:val="single" w:sz="4" w:space="0" w:color="auto"/>
            </w:tcBorders>
            <w:vAlign w:val="center"/>
            <w:hideMark/>
          </w:tcPr>
          <w:p w14:paraId="365D46F5" w14:textId="6BEC5B8B" w:rsidR="004017C7" w:rsidRDefault="004017C7" w:rsidP="004017C7">
            <w:pPr>
              <w:pStyle w:val="Teksttabelisrodek"/>
              <w:rPr>
                <w:lang w:eastAsia="en-US"/>
              </w:rPr>
            </w:pPr>
            <w:r>
              <w:rPr>
                <w:rFonts w:cs="Calibri"/>
                <w:color w:val="000000"/>
                <w:szCs w:val="20"/>
                <w:lang w:eastAsia="en-US"/>
              </w:rPr>
              <w:t>23,2</w:t>
            </w:r>
          </w:p>
        </w:tc>
      </w:tr>
      <w:tr w:rsidR="004017C7" w14:paraId="68E765C7"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1D10FACC" w14:textId="77777777" w:rsidR="004017C7" w:rsidRDefault="004017C7" w:rsidP="004017C7">
            <w:pPr>
              <w:pStyle w:val="Teksttabelilewy"/>
            </w:pPr>
            <w:r>
              <w:rPr>
                <w:rFonts w:cs="Calibri"/>
                <w:color w:val="000000"/>
                <w:szCs w:val="20"/>
              </w:rPr>
              <w:t>RWHM_04</w:t>
            </w:r>
          </w:p>
        </w:tc>
        <w:tc>
          <w:tcPr>
            <w:tcW w:w="3399" w:type="dxa"/>
            <w:tcBorders>
              <w:top w:val="single" w:sz="4" w:space="0" w:color="auto"/>
              <w:left w:val="single" w:sz="4" w:space="0" w:color="auto"/>
              <w:bottom w:val="single" w:sz="4" w:space="0" w:color="auto"/>
              <w:right w:val="single" w:sz="4" w:space="0" w:color="auto"/>
            </w:tcBorders>
            <w:vAlign w:val="center"/>
            <w:hideMark/>
          </w:tcPr>
          <w:p w14:paraId="2F723868" w14:textId="4D2E17B1" w:rsidR="004017C7" w:rsidRDefault="004017C7" w:rsidP="004017C7">
            <w:pPr>
              <w:pStyle w:val="Teksttabelilewy"/>
            </w:pPr>
            <w:r>
              <w:rPr>
                <w:rFonts w:cs="Calibri"/>
                <w:color w:val="000000"/>
                <w:szCs w:val="20"/>
              </w:rPr>
              <w:t>Poprawa stanu elementów hydromorfologicznych w zakresie spełnienia celów środowiskowych</w:t>
            </w:r>
          </w:p>
        </w:tc>
        <w:tc>
          <w:tcPr>
            <w:tcW w:w="1298" w:type="dxa"/>
            <w:tcBorders>
              <w:top w:val="single" w:sz="4" w:space="0" w:color="auto"/>
              <w:left w:val="single" w:sz="4" w:space="0" w:color="auto"/>
              <w:bottom w:val="single" w:sz="4" w:space="0" w:color="auto"/>
              <w:right w:val="single" w:sz="4" w:space="0" w:color="auto"/>
            </w:tcBorders>
            <w:vAlign w:val="center"/>
            <w:hideMark/>
          </w:tcPr>
          <w:p w14:paraId="4BEAAE85" w14:textId="701CC885" w:rsidR="004017C7" w:rsidRDefault="004017C7" w:rsidP="004017C7">
            <w:pPr>
              <w:pStyle w:val="Teksttabelisrodek"/>
              <w:rPr>
                <w:lang w:eastAsia="en-US"/>
              </w:rPr>
            </w:pPr>
            <w:r>
              <w:rPr>
                <w:rFonts w:cs="Calibri"/>
                <w:color w:val="000000"/>
                <w:szCs w:val="20"/>
                <w:lang w:eastAsia="en-US"/>
              </w:rPr>
              <w:t>295</w:t>
            </w:r>
          </w:p>
        </w:tc>
        <w:tc>
          <w:tcPr>
            <w:tcW w:w="1459" w:type="dxa"/>
            <w:tcBorders>
              <w:top w:val="single" w:sz="4" w:space="0" w:color="auto"/>
              <w:left w:val="single" w:sz="4" w:space="0" w:color="auto"/>
              <w:bottom w:val="single" w:sz="4" w:space="0" w:color="auto"/>
              <w:right w:val="single" w:sz="4" w:space="0" w:color="auto"/>
            </w:tcBorders>
            <w:vAlign w:val="center"/>
            <w:hideMark/>
          </w:tcPr>
          <w:p w14:paraId="0535FBC3" w14:textId="1B458463" w:rsidR="004017C7" w:rsidRDefault="004017C7" w:rsidP="004017C7">
            <w:pPr>
              <w:pStyle w:val="Teksttabelisrodek"/>
              <w:rPr>
                <w:lang w:eastAsia="en-US"/>
              </w:rPr>
            </w:pPr>
            <w:r>
              <w:rPr>
                <w:rFonts w:cs="Calibri"/>
                <w:color w:val="000000"/>
                <w:szCs w:val="20"/>
                <w:lang w:eastAsia="en-US"/>
              </w:rPr>
              <w:t>266</w:t>
            </w:r>
          </w:p>
        </w:tc>
        <w:tc>
          <w:tcPr>
            <w:tcW w:w="1619" w:type="dxa"/>
            <w:tcBorders>
              <w:top w:val="single" w:sz="4" w:space="0" w:color="auto"/>
              <w:left w:val="single" w:sz="4" w:space="0" w:color="auto"/>
              <w:bottom w:val="single" w:sz="4" w:space="0" w:color="auto"/>
              <w:right w:val="single" w:sz="4" w:space="0" w:color="auto"/>
            </w:tcBorders>
            <w:vAlign w:val="center"/>
            <w:hideMark/>
          </w:tcPr>
          <w:p w14:paraId="03081A58" w14:textId="6580D9BB" w:rsidR="004017C7" w:rsidRDefault="004017C7" w:rsidP="004017C7">
            <w:pPr>
              <w:pStyle w:val="Teksttabelisrodek"/>
              <w:rPr>
                <w:lang w:eastAsia="en-US"/>
              </w:rPr>
            </w:pPr>
            <w:r>
              <w:rPr>
                <w:rFonts w:cs="Calibri"/>
                <w:color w:val="000000"/>
                <w:szCs w:val="20"/>
                <w:lang w:eastAsia="en-US"/>
              </w:rPr>
              <w:t>23,8</w:t>
            </w:r>
          </w:p>
        </w:tc>
      </w:tr>
      <w:tr w:rsidR="005E6CFA" w14:paraId="5E9EE855" w14:textId="77777777" w:rsidTr="00770B2E">
        <w:trPr>
          <w:trHeight w:val="454"/>
        </w:trPr>
        <w:tc>
          <w:tcPr>
            <w:tcW w:w="1240" w:type="dxa"/>
            <w:vMerge w:val="restart"/>
            <w:tcBorders>
              <w:top w:val="single" w:sz="4" w:space="0" w:color="auto"/>
              <w:left w:val="single" w:sz="4" w:space="0" w:color="auto"/>
              <w:right w:val="single" w:sz="4" w:space="0" w:color="auto"/>
            </w:tcBorders>
            <w:vAlign w:val="center"/>
            <w:hideMark/>
          </w:tcPr>
          <w:p w14:paraId="10386BE6" w14:textId="77777777" w:rsidR="005E6CFA" w:rsidRDefault="005E6CFA" w:rsidP="007B36E4">
            <w:pPr>
              <w:pStyle w:val="Teksttabelilewy"/>
            </w:pPr>
            <w:r>
              <w:rPr>
                <w:rFonts w:cs="Calibri"/>
                <w:color w:val="000000"/>
                <w:szCs w:val="20"/>
              </w:rPr>
              <w:t>RWP_01</w:t>
            </w:r>
          </w:p>
        </w:tc>
        <w:tc>
          <w:tcPr>
            <w:tcW w:w="3399" w:type="dxa"/>
            <w:tcBorders>
              <w:top w:val="single" w:sz="4" w:space="0" w:color="auto"/>
              <w:left w:val="single" w:sz="4" w:space="0" w:color="auto"/>
              <w:bottom w:val="single" w:sz="4" w:space="0" w:color="auto"/>
              <w:right w:val="single" w:sz="4" w:space="0" w:color="auto"/>
            </w:tcBorders>
            <w:vAlign w:val="center"/>
            <w:hideMark/>
          </w:tcPr>
          <w:p w14:paraId="5F90108C" w14:textId="79ABE917" w:rsidR="005E6CFA" w:rsidRDefault="005E6CFA" w:rsidP="007B36E4">
            <w:pPr>
              <w:pStyle w:val="Teksttabelilewy"/>
            </w:pPr>
            <w:r>
              <w:rPr>
                <w:rFonts w:cs="Calibri"/>
                <w:szCs w:val="20"/>
              </w:rPr>
              <w:t>Gospodarka ściekowa w aglomeracjach</w:t>
            </w:r>
          </w:p>
        </w:tc>
        <w:tc>
          <w:tcPr>
            <w:tcW w:w="1298" w:type="dxa"/>
            <w:vMerge w:val="restart"/>
            <w:tcBorders>
              <w:top w:val="single" w:sz="4" w:space="0" w:color="auto"/>
              <w:left w:val="single" w:sz="4" w:space="0" w:color="auto"/>
              <w:right w:val="single" w:sz="4" w:space="0" w:color="auto"/>
            </w:tcBorders>
            <w:vAlign w:val="center"/>
            <w:hideMark/>
          </w:tcPr>
          <w:p w14:paraId="34D7BB54" w14:textId="049EFB21" w:rsidR="005E6CFA" w:rsidRDefault="005E6CFA" w:rsidP="007B36E4">
            <w:pPr>
              <w:pStyle w:val="Teksttabelisrodek"/>
              <w:rPr>
                <w:lang w:eastAsia="en-US"/>
              </w:rPr>
            </w:pPr>
            <w:r>
              <w:rPr>
                <w:rFonts w:cs="Calibri"/>
                <w:color w:val="000000"/>
                <w:szCs w:val="20"/>
                <w:lang w:eastAsia="en-US"/>
              </w:rPr>
              <w:t>798</w:t>
            </w:r>
          </w:p>
        </w:tc>
        <w:tc>
          <w:tcPr>
            <w:tcW w:w="1459" w:type="dxa"/>
            <w:vMerge w:val="restart"/>
            <w:tcBorders>
              <w:top w:val="single" w:sz="4" w:space="0" w:color="auto"/>
              <w:left w:val="single" w:sz="4" w:space="0" w:color="auto"/>
              <w:right w:val="single" w:sz="4" w:space="0" w:color="auto"/>
            </w:tcBorders>
            <w:vAlign w:val="center"/>
            <w:hideMark/>
          </w:tcPr>
          <w:p w14:paraId="533A51A4" w14:textId="532216AC" w:rsidR="005E6CFA" w:rsidRDefault="005E6CFA" w:rsidP="007B36E4">
            <w:pPr>
              <w:pStyle w:val="Teksttabelisrodek"/>
              <w:rPr>
                <w:lang w:eastAsia="en-US"/>
              </w:rPr>
            </w:pPr>
            <w:r>
              <w:rPr>
                <w:rFonts w:cs="Calibri"/>
                <w:color w:val="000000"/>
                <w:szCs w:val="20"/>
                <w:lang w:eastAsia="en-US"/>
              </w:rPr>
              <w:t>333</w:t>
            </w:r>
          </w:p>
        </w:tc>
        <w:tc>
          <w:tcPr>
            <w:tcW w:w="1619" w:type="dxa"/>
            <w:vMerge w:val="restart"/>
            <w:tcBorders>
              <w:top w:val="single" w:sz="4" w:space="0" w:color="auto"/>
              <w:left w:val="single" w:sz="4" w:space="0" w:color="auto"/>
              <w:right w:val="single" w:sz="4" w:space="0" w:color="auto"/>
            </w:tcBorders>
            <w:vAlign w:val="center"/>
            <w:hideMark/>
          </w:tcPr>
          <w:p w14:paraId="7F5AEF65" w14:textId="1B2DCD0D" w:rsidR="005E6CFA" w:rsidRDefault="005E6CFA" w:rsidP="007B36E4">
            <w:pPr>
              <w:pStyle w:val="Teksttabelisrodek"/>
              <w:rPr>
                <w:lang w:eastAsia="en-US"/>
              </w:rPr>
            </w:pPr>
            <w:r>
              <w:rPr>
                <w:rFonts w:cs="Calibri"/>
                <w:color w:val="000000"/>
                <w:szCs w:val="20"/>
                <w:lang w:eastAsia="en-US"/>
              </w:rPr>
              <w:t>29,8</w:t>
            </w:r>
          </w:p>
        </w:tc>
      </w:tr>
      <w:tr w:rsidR="005E6CFA" w14:paraId="17A88EE0" w14:textId="77777777" w:rsidTr="00770B2E">
        <w:trPr>
          <w:trHeight w:val="454"/>
        </w:trPr>
        <w:tc>
          <w:tcPr>
            <w:tcW w:w="1240" w:type="dxa"/>
            <w:vMerge/>
            <w:tcBorders>
              <w:left w:val="single" w:sz="4" w:space="0" w:color="auto"/>
              <w:right w:val="single" w:sz="4" w:space="0" w:color="auto"/>
            </w:tcBorders>
            <w:vAlign w:val="center"/>
          </w:tcPr>
          <w:p w14:paraId="537BDFE6" w14:textId="77777777" w:rsidR="005E6CFA" w:rsidRDefault="005E6CFA" w:rsidP="007B36E4">
            <w:pPr>
              <w:pStyle w:val="Teksttabelilewy"/>
              <w:rPr>
                <w:rFonts w:cs="Calibri"/>
                <w:color w:val="000000"/>
                <w:szCs w:val="20"/>
              </w:rPr>
            </w:pPr>
          </w:p>
        </w:tc>
        <w:tc>
          <w:tcPr>
            <w:tcW w:w="3399" w:type="dxa"/>
            <w:tcBorders>
              <w:top w:val="single" w:sz="4" w:space="0" w:color="auto"/>
              <w:left w:val="single" w:sz="4" w:space="0" w:color="auto"/>
              <w:bottom w:val="single" w:sz="4" w:space="0" w:color="auto"/>
              <w:right w:val="single" w:sz="4" w:space="0" w:color="auto"/>
            </w:tcBorders>
            <w:vAlign w:val="center"/>
          </w:tcPr>
          <w:p w14:paraId="524951B2" w14:textId="531A086C" w:rsidR="005E6CFA" w:rsidRDefault="005E6CFA" w:rsidP="007B36E4">
            <w:pPr>
              <w:pStyle w:val="Teksttabelilewy"/>
              <w:rPr>
                <w:rFonts w:cs="Calibri"/>
                <w:color w:val="000000"/>
                <w:szCs w:val="20"/>
              </w:rPr>
            </w:pPr>
            <w:r>
              <w:rPr>
                <w:rFonts w:cs="Calibri"/>
                <w:szCs w:val="20"/>
              </w:rPr>
              <w:t>Gospodarka ściekowa w obszarach niezurbanizowanych</w:t>
            </w:r>
          </w:p>
        </w:tc>
        <w:tc>
          <w:tcPr>
            <w:tcW w:w="1298" w:type="dxa"/>
            <w:vMerge/>
            <w:tcBorders>
              <w:left w:val="single" w:sz="4" w:space="0" w:color="auto"/>
              <w:right w:val="single" w:sz="4" w:space="0" w:color="auto"/>
            </w:tcBorders>
            <w:vAlign w:val="center"/>
          </w:tcPr>
          <w:p w14:paraId="61CFFD04" w14:textId="77777777" w:rsidR="005E6CFA" w:rsidRDefault="005E6CFA" w:rsidP="007B36E4">
            <w:pPr>
              <w:pStyle w:val="Teksttabelisrodek"/>
              <w:rPr>
                <w:rFonts w:cs="Calibri"/>
                <w:color w:val="000000"/>
                <w:szCs w:val="20"/>
                <w:lang w:eastAsia="en-US"/>
              </w:rPr>
            </w:pPr>
          </w:p>
        </w:tc>
        <w:tc>
          <w:tcPr>
            <w:tcW w:w="1459" w:type="dxa"/>
            <w:vMerge/>
            <w:tcBorders>
              <w:left w:val="single" w:sz="4" w:space="0" w:color="auto"/>
              <w:right w:val="single" w:sz="4" w:space="0" w:color="auto"/>
            </w:tcBorders>
            <w:vAlign w:val="center"/>
          </w:tcPr>
          <w:p w14:paraId="032A7D1D" w14:textId="77777777" w:rsidR="005E6CFA" w:rsidRDefault="005E6CFA" w:rsidP="007B36E4">
            <w:pPr>
              <w:pStyle w:val="Teksttabelisrodek"/>
              <w:rPr>
                <w:rFonts w:cs="Calibri"/>
                <w:color w:val="000000"/>
                <w:szCs w:val="20"/>
                <w:lang w:eastAsia="en-US"/>
              </w:rPr>
            </w:pPr>
          </w:p>
        </w:tc>
        <w:tc>
          <w:tcPr>
            <w:tcW w:w="1619" w:type="dxa"/>
            <w:vMerge/>
            <w:tcBorders>
              <w:left w:val="single" w:sz="4" w:space="0" w:color="auto"/>
              <w:right w:val="single" w:sz="4" w:space="0" w:color="auto"/>
            </w:tcBorders>
            <w:vAlign w:val="center"/>
          </w:tcPr>
          <w:p w14:paraId="100E8247" w14:textId="77777777" w:rsidR="005E6CFA" w:rsidRDefault="005E6CFA" w:rsidP="007B36E4">
            <w:pPr>
              <w:pStyle w:val="Teksttabelisrodek"/>
              <w:rPr>
                <w:rFonts w:cs="Calibri"/>
                <w:color w:val="000000"/>
                <w:szCs w:val="20"/>
                <w:lang w:eastAsia="en-US"/>
              </w:rPr>
            </w:pPr>
          </w:p>
        </w:tc>
      </w:tr>
      <w:tr w:rsidR="005E6CFA" w14:paraId="59FB3D53" w14:textId="77777777" w:rsidTr="00770B2E">
        <w:trPr>
          <w:trHeight w:val="454"/>
        </w:trPr>
        <w:tc>
          <w:tcPr>
            <w:tcW w:w="1240" w:type="dxa"/>
            <w:vMerge/>
            <w:tcBorders>
              <w:left w:val="single" w:sz="4" w:space="0" w:color="auto"/>
              <w:bottom w:val="single" w:sz="4" w:space="0" w:color="auto"/>
              <w:right w:val="single" w:sz="4" w:space="0" w:color="auto"/>
            </w:tcBorders>
            <w:vAlign w:val="center"/>
          </w:tcPr>
          <w:p w14:paraId="0CA6F44B" w14:textId="77777777" w:rsidR="005E6CFA" w:rsidRDefault="005E6CFA" w:rsidP="004017C7">
            <w:pPr>
              <w:pStyle w:val="Teksttabelilewy"/>
              <w:rPr>
                <w:rFonts w:cs="Calibri"/>
                <w:color w:val="000000"/>
                <w:szCs w:val="20"/>
              </w:rPr>
            </w:pPr>
          </w:p>
        </w:tc>
        <w:tc>
          <w:tcPr>
            <w:tcW w:w="3399" w:type="dxa"/>
            <w:tcBorders>
              <w:top w:val="single" w:sz="4" w:space="0" w:color="auto"/>
              <w:left w:val="single" w:sz="4" w:space="0" w:color="auto"/>
              <w:bottom w:val="single" w:sz="4" w:space="0" w:color="auto"/>
              <w:right w:val="single" w:sz="4" w:space="0" w:color="auto"/>
            </w:tcBorders>
            <w:vAlign w:val="center"/>
          </w:tcPr>
          <w:p w14:paraId="7BF690D2" w14:textId="6D1292E5" w:rsidR="005E6CFA" w:rsidRPr="005E6CFA" w:rsidRDefault="005E6CFA" w:rsidP="005E6CFA">
            <w:pPr>
              <w:suppressAutoHyphens w:val="0"/>
              <w:spacing w:before="0" w:after="0"/>
              <w:jc w:val="left"/>
              <w:rPr>
                <w:rFonts w:cs="Calibri"/>
                <w:sz w:val="20"/>
                <w:szCs w:val="20"/>
                <w:lang w:eastAsia="pl-PL"/>
              </w:rPr>
            </w:pPr>
            <w:r>
              <w:rPr>
                <w:rFonts w:cs="Calibri"/>
                <w:sz w:val="20"/>
                <w:szCs w:val="20"/>
              </w:rPr>
              <w:t>Działania kontrolne</w:t>
            </w:r>
          </w:p>
        </w:tc>
        <w:tc>
          <w:tcPr>
            <w:tcW w:w="1298" w:type="dxa"/>
            <w:vMerge/>
            <w:tcBorders>
              <w:left w:val="single" w:sz="4" w:space="0" w:color="auto"/>
              <w:bottom w:val="single" w:sz="4" w:space="0" w:color="auto"/>
              <w:right w:val="single" w:sz="4" w:space="0" w:color="auto"/>
            </w:tcBorders>
            <w:vAlign w:val="center"/>
          </w:tcPr>
          <w:p w14:paraId="3D1ED59B" w14:textId="77777777" w:rsidR="005E6CFA" w:rsidRDefault="005E6CFA" w:rsidP="004017C7">
            <w:pPr>
              <w:pStyle w:val="Teksttabelisrodek"/>
              <w:rPr>
                <w:rFonts w:cs="Calibri"/>
                <w:color w:val="000000"/>
                <w:szCs w:val="20"/>
                <w:lang w:eastAsia="en-US"/>
              </w:rPr>
            </w:pPr>
          </w:p>
        </w:tc>
        <w:tc>
          <w:tcPr>
            <w:tcW w:w="1459" w:type="dxa"/>
            <w:vMerge/>
            <w:tcBorders>
              <w:left w:val="single" w:sz="4" w:space="0" w:color="auto"/>
              <w:bottom w:val="single" w:sz="4" w:space="0" w:color="auto"/>
              <w:right w:val="single" w:sz="4" w:space="0" w:color="auto"/>
            </w:tcBorders>
            <w:vAlign w:val="center"/>
          </w:tcPr>
          <w:p w14:paraId="62F564F6" w14:textId="77777777" w:rsidR="005E6CFA" w:rsidRDefault="005E6CFA" w:rsidP="004017C7">
            <w:pPr>
              <w:pStyle w:val="Teksttabelisrodek"/>
              <w:rPr>
                <w:rFonts w:cs="Calibri"/>
                <w:color w:val="000000"/>
                <w:szCs w:val="20"/>
                <w:lang w:eastAsia="en-US"/>
              </w:rPr>
            </w:pPr>
          </w:p>
        </w:tc>
        <w:tc>
          <w:tcPr>
            <w:tcW w:w="1619" w:type="dxa"/>
            <w:vMerge/>
            <w:tcBorders>
              <w:left w:val="single" w:sz="4" w:space="0" w:color="auto"/>
              <w:bottom w:val="single" w:sz="4" w:space="0" w:color="auto"/>
              <w:right w:val="single" w:sz="4" w:space="0" w:color="auto"/>
            </w:tcBorders>
            <w:vAlign w:val="center"/>
          </w:tcPr>
          <w:p w14:paraId="7B2F2068" w14:textId="77777777" w:rsidR="005E6CFA" w:rsidRDefault="005E6CFA" w:rsidP="004017C7">
            <w:pPr>
              <w:pStyle w:val="Teksttabelisrodek"/>
              <w:rPr>
                <w:rFonts w:cs="Calibri"/>
                <w:color w:val="000000"/>
                <w:szCs w:val="20"/>
                <w:lang w:eastAsia="en-US"/>
              </w:rPr>
            </w:pPr>
          </w:p>
        </w:tc>
      </w:tr>
      <w:tr w:rsidR="004017C7" w14:paraId="46832F5B"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1143DB6D" w14:textId="77777777" w:rsidR="004017C7" w:rsidRDefault="004017C7" w:rsidP="004017C7">
            <w:pPr>
              <w:pStyle w:val="Teksttabelilewy"/>
            </w:pPr>
            <w:r>
              <w:rPr>
                <w:rFonts w:cs="Calibri"/>
                <w:color w:val="000000"/>
                <w:szCs w:val="20"/>
              </w:rPr>
              <w:t>RWP_02</w:t>
            </w:r>
          </w:p>
        </w:tc>
        <w:tc>
          <w:tcPr>
            <w:tcW w:w="3399" w:type="dxa"/>
            <w:tcBorders>
              <w:top w:val="single" w:sz="4" w:space="0" w:color="auto"/>
              <w:left w:val="single" w:sz="4" w:space="0" w:color="auto"/>
              <w:bottom w:val="single" w:sz="4" w:space="0" w:color="auto"/>
              <w:right w:val="single" w:sz="4" w:space="0" w:color="auto"/>
            </w:tcBorders>
            <w:vAlign w:val="center"/>
            <w:hideMark/>
          </w:tcPr>
          <w:p w14:paraId="73459034" w14:textId="77777777" w:rsidR="004017C7" w:rsidRDefault="004017C7" w:rsidP="004017C7">
            <w:pPr>
              <w:pStyle w:val="Teksttabelilewy"/>
            </w:pPr>
            <w:r>
              <w:rPr>
                <w:rFonts w:cs="Calibri"/>
                <w:color w:val="000000"/>
                <w:szCs w:val="20"/>
              </w:rPr>
              <w:t>Działania kontrolne</w:t>
            </w:r>
          </w:p>
        </w:tc>
        <w:tc>
          <w:tcPr>
            <w:tcW w:w="1298" w:type="dxa"/>
            <w:tcBorders>
              <w:top w:val="single" w:sz="4" w:space="0" w:color="auto"/>
              <w:left w:val="single" w:sz="4" w:space="0" w:color="auto"/>
              <w:bottom w:val="single" w:sz="4" w:space="0" w:color="auto"/>
              <w:right w:val="single" w:sz="4" w:space="0" w:color="auto"/>
            </w:tcBorders>
            <w:vAlign w:val="center"/>
            <w:hideMark/>
          </w:tcPr>
          <w:p w14:paraId="4EBA1027" w14:textId="77777777" w:rsidR="004017C7" w:rsidRDefault="004017C7" w:rsidP="004017C7">
            <w:pPr>
              <w:pStyle w:val="Teksttabelisrodek"/>
              <w:rPr>
                <w:lang w:eastAsia="en-US"/>
              </w:rPr>
            </w:pPr>
            <w:r>
              <w:rPr>
                <w:rFonts w:cs="Calibri"/>
                <w:color w:val="000000"/>
                <w:szCs w:val="20"/>
                <w:lang w:eastAsia="en-US"/>
              </w:rPr>
              <w:t>548</w:t>
            </w:r>
          </w:p>
        </w:tc>
        <w:tc>
          <w:tcPr>
            <w:tcW w:w="1459" w:type="dxa"/>
            <w:tcBorders>
              <w:top w:val="single" w:sz="4" w:space="0" w:color="auto"/>
              <w:left w:val="single" w:sz="4" w:space="0" w:color="auto"/>
              <w:bottom w:val="single" w:sz="4" w:space="0" w:color="auto"/>
              <w:right w:val="single" w:sz="4" w:space="0" w:color="auto"/>
            </w:tcBorders>
            <w:vAlign w:val="center"/>
            <w:hideMark/>
          </w:tcPr>
          <w:p w14:paraId="530A8C59" w14:textId="77777777" w:rsidR="004017C7" w:rsidRDefault="004017C7" w:rsidP="004017C7">
            <w:pPr>
              <w:pStyle w:val="Teksttabelisrodek"/>
              <w:rPr>
                <w:lang w:eastAsia="en-US"/>
              </w:rPr>
            </w:pPr>
            <w:r>
              <w:rPr>
                <w:rFonts w:cs="Calibri"/>
                <w:color w:val="000000"/>
                <w:szCs w:val="20"/>
                <w:lang w:eastAsia="en-US"/>
              </w:rPr>
              <w:t>535</w:t>
            </w:r>
          </w:p>
        </w:tc>
        <w:tc>
          <w:tcPr>
            <w:tcW w:w="1619" w:type="dxa"/>
            <w:tcBorders>
              <w:top w:val="single" w:sz="4" w:space="0" w:color="auto"/>
              <w:left w:val="single" w:sz="4" w:space="0" w:color="auto"/>
              <w:bottom w:val="single" w:sz="4" w:space="0" w:color="auto"/>
              <w:right w:val="single" w:sz="4" w:space="0" w:color="auto"/>
            </w:tcBorders>
            <w:vAlign w:val="center"/>
            <w:hideMark/>
          </w:tcPr>
          <w:p w14:paraId="56B7068D" w14:textId="472037B3" w:rsidR="004017C7" w:rsidRDefault="004017C7" w:rsidP="004017C7">
            <w:pPr>
              <w:pStyle w:val="Teksttabelisrodek"/>
              <w:rPr>
                <w:lang w:eastAsia="en-US"/>
              </w:rPr>
            </w:pPr>
            <w:r>
              <w:rPr>
                <w:rFonts w:cs="Calibri"/>
                <w:color w:val="000000"/>
                <w:szCs w:val="20"/>
                <w:lang w:eastAsia="en-US"/>
              </w:rPr>
              <w:t>47,9</w:t>
            </w:r>
          </w:p>
        </w:tc>
      </w:tr>
      <w:tr w:rsidR="004017C7" w14:paraId="181E17C9"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31BC919F" w14:textId="77777777" w:rsidR="004017C7" w:rsidRDefault="004017C7" w:rsidP="004017C7">
            <w:pPr>
              <w:pStyle w:val="Teksttabelilewy"/>
            </w:pPr>
            <w:r>
              <w:rPr>
                <w:rFonts w:cs="Calibri"/>
                <w:color w:val="000000"/>
                <w:szCs w:val="20"/>
              </w:rPr>
              <w:t>RWP_04</w:t>
            </w:r>
          </w:p>
        </w:tc>
        <w:tc>
          <w:tcPr>
            <w:tcW w:w="3399" w:type="dxa"/>
            <w:tcBorders>
              <w:top w:val="single" w:sz="4" w:space="0" w:color="auto"/>
              <w:left w:val="single" w:sz="4" w:space="0" w:color="auto"/>
              <w:bottom w:val="single" w:sz="4" w:space="0" w:color="auto"/>
              <w:right w:val="single" w:sz="4" w:space="0" w:color="auto"/>
            </w:tcBorders>
            <w:vAlign w:val="center"/>
            <w:hideMark/>
          </w:tcPr>
          <w:p w14:paraId="2A2B5941" w14:textId="77777777" w:rsidR="004017C7" w:rsidRDefault="004017C7" w:rsidP="004017C7">
            <w:pPr>
              <w:pStyle w:val="Teksttabelilewy"/>
            </w:pPr>
            <w:r>
              <w:rPr>
                <w:rFonts w:cs="Calibri"/>
                <w:color w:val="000000"/>
                <w:szCs w:val="20"/>
              </w:rPr>
              <w:t>Działania edukacyjne i doradcze dla rolników</w:t>
            </w:r>
          </w:p>
        </w:tc>
        <w:tc>
          <w:tcPr>
            <w:tcW w:w="1298" w:type="dxa"/>
            <w:tcBorders>
              <w:top w:val="single" w:sz="4" w:space="0" w:color="auto"/>
              <w:left w:val="single" w:sz="4" w:space="0" w:color="auto"/>
              <w:bottom w:val="single" w:sz="4" w:space="0" w:color="auto"/>
              <w:right w:val="single" w:sz="4" w:space="0" w:color="auto"/>
            </w:tcBorders>
            <w:vAlign w:val="center"/>
            <w:hideMark/>
          </w:tcPr>
          <w:p w14:paraId="5C0BD9F2" w14:textId="77777777" w:rsidR="004017C7" w:rsidRDefault="004017C7" w:rsidP="004017C7">
            <w:pPr>
              <w:pStyle w:val="Teksttabelisrodek"/>
              <w:rPr>
                <w:lang w:eastAsia="en-US"/>
              </w:rPr>
            </w:pPr>
            <w:r>
              <w:rPr>
                <w:rFonts w:cs="Calibri"/>
                <w:color w:val="000000"/>
                <w:szCs w:val="20"/>
                <w:lang w:eastAsia="en-US"/>
              </w:rPr>
              <w:t>483</w:t>
            </w:r>
          </w:p>
        </w:tc>
        <w:tc>
          <w:tcPr>
            <w:tcW w:w="1459" w:type="dxa"/>
            <w:tcBorders>
              <w:top w:val="single" w:sz="4" w:space="0" w:color="auto"/>
              <w:left w:val="single" w:sz="4" w:space="0" w:color="auto"/>
              <w:bottom w:val="single" w:sz="4" w:space="0" w:color="auto"/>
              <w:right w:val="single" w:sz="4" w:space="0" w:color="auto"/>
            </w:tcBorders>
            <w:vAlign w:val="center"/>
            <w:hideMark/>
          </w:tcPr>
          <w:p w14:paraId="4DB4EFC1" w14:textId="77777777" w:rsidR="004017C7" w:rsidRDefault="004017C7" w:rsidP="004017C7">
            <w:pPr>
              <w:pStyle w:val="Teksttabelisrodek"/>
              <w:rPr>
                <w:lang w:eastAsia="en-US"/>
              </w:rPr>
            </w:pPr>
            <w:r>
              <w:rPr>
                <w:rFonts w:cs="Calibri"/>
                <w:color w:val="000000"/>
                <w:szCs w:val="20"/>
                <w:lang w:eastAsia="en-US"/>
              </w:rPr>
              <w:t>483</w:t>
            </w:r>
          </w:p>
        </w:tc>
        <w:tc>
          <w:tcPr>
            <w:tcW w:w="1619" w:type="dxa"/>
            <w:tcBorders>
              <w:top w:val="single" w:sz="4" w:space="0" w:color="auto"/>
              <w:left w:val="single" w:sz="4" w:space="0" w:color="auto"/>
              <w:bottom w:val="single" w:sz="4" w:space="0" w:color="auto"/>
              <w:right w:val="single" w:sz="4" w:space="0" w:color="auto"/>
            </w:tcBorders>
            <w:vAlign w:val="center"/>
            <w:hideMark/>
          </w:tcPr>
          <w:p w14:paraId="315EACF6" w14:textId="3A05AEE9" w:rsidR="004017C7" w:rsidRDefault="004017C7" w:rsidP="004017C7">
            <w:pPr>
              <w:pStyle w:val="Teksttabelisrodek"/>
              <w:rPr>
                <w:lang w:eastAsia="en-US"/>
              </w:rPr>
            </w:pPr>
            <w:r>
              <w:rPr>
                <w:rFonts w:cs="Calibri"/>
                <w:color w:val="000000"/>
                <w:szCs w:val="20"/>
                <w:lang w:eastAsia="en-US"/>
              </w:rPr>
              <w:t>43,2</w:t>
            </w:r>
          </w:p>
        </w:tc>
      </w:tr>
      <w:tr w:rsidR="004017C7" w14:paraId="6F3F5FE3"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55833942" w14:textId="77777777" w:rsidR="004017C7" w:rsidRDefault="004017C7" w:rsidP="004017C7">
            <w:pPr>
              <w:pStyle w:val="Teksttabelilewy"/>
            </w:pPr>
            <w:r>
              <w:rPr>
                <w:rFonts w:cs="Calibri"/>
                <w:color w:val="000000"/>
                <w:szCs w:val="20"/>
              </w:rPr>
              <w:t>RWP_06</w:t>
            </w:r>
          </w:p>
        </w:tc>
        <w:tc>
          <w:tcPr>
            <w:tcW w:w="3399" w:type="dxa"/>
            <w:tcBorders>
              <w:top w:val="single" w:sz="4" w:space="0" w:color="auto"/>
              <w:left w:val="single" w:sz="4" w:space="0" w:color="auto"/>
              <w:bottom w:val="single" w:sz="4" w:space="0" w:color="auto"/>
              <w:right w:val="single" w:sz="4" w:space="0" w:color="auto"/>
            </w:tcBorders>
            <w:vAlign w:val="center"/>
            <w:hideMark/>
          </w:tcPr>
          <w:p w14:paraId="26387E82" w14:textId="515159E6" w:rsidR="004017C7" w:rsidRDefault="004017C7" w:rsidP="004017C7">
            <w:pPr>
              <w:pStyle w:val="Teksttabelilewy"/>
            </w:pPr>
            <w:r>
              <w:rPr>
                <w:rFonts w:cs="Calibri"/>
                <w:color w:val="000000"/>
                <w:szCs w:val="20"/>
              </w:rPr>
              <w:t>Działania kontrolne związane z przeglądem pozwoleń</w:t>
            </w:r>
          </w:p>
        </w:tc>
        <w:tc>
          <w:tcPr>
            <w:tcW w:w="1298" w:type="dxa"/>
            <w:tcBorders>
              <w:top w:val="single" w:sz="4" w:space="0" w:color="auto"/>
              <w:left w:val="single" w:sz="4" w:space="0" w:color="auto"/>
              <w:bottom w:val="single" w:sz="4" w:space="0" w:color="auto"/>
              <w:right w:val="single" w:sz="4" w:space="0" w:color="auto"/>
            </w:tcBorders>
            <w:vAlign w:val="center"/>
            <w:hideMark/>
          </w:tcPr>
          <w:p w14:paraId="6059F96C" w14:textId="77777777" w:rsidR="004017C7" w:rsidRDefault="004017C7" w:rsidP="004017C7">
            <w:pPr>
              <w:pStyle w:val="Teksttabelisrodek"/>
              <w:rPr>
                <w:lang w:eastAsia="en-US"/>
              </w:rPr>
            </w:pPr>
            <w:r>
              <w:rPr>
                <w:rFonts w:cs="Calibri"/>
                <w:color w:val="000000"/>
                <w:szCs w:val="20"/>
                <w:lang w:eastAsia="en-US"/>
              </w:rPr>
              <w:t>74</w:t>
            </w:r>
          </w:p>
        </w:tc>
        <w:tc>
          <w:tcPr>
            <w:tcW w:w="1459" w:type="dxa"/>
            <w:tcBorders>
              <w:top w:val="single" w:sz="4" w:space="0" w:color="auto"/>
              <w:left w:val="single" w:sz="4" w:space="0" w:color="auto"/>
              <w:bottom w:val="single" w:sz="4" w:space="0" w:color="auto"/>
              <w:right w:val="single" w:sz="4" w:space="0" w:color="auto"/>
            </w:tcBorders>
            <w:vAlign w:val="center"/>
            <w:hideMark/>
          </w:tcPr>
          <w:p w14:paraId="76C286E9" w14:textId="77777777" w:rsidR="004017C7" w:rsidRDefault="004017C7" w:rsidP="004017C7">
            <w:pPr>
              <w:pStyle w:val="Teksttabelisrodek"/>
              <w:rPr>
                <w:lang w:eastAsia="en-US"/>
              </w:rPr>
            </w:pPr>
            <w:r>
              <w:rPr>
                <w:rFonts w:cs="Calibri"/>
                <w:color w:val="000000"/>
                <w:szCs w:val="20"/>
                <w:lang w:eastAsia="en-US"/>
              </w:rPr>
              <w:t>74</w:t>
            </w:r>
          </w:p>
        </w:tc>
        <w:tc>
          <w:tcPr>
            <w:tcW w:w="1619" w:type="dxa"/>
            <w:tcBorders>
              <w:top w:val="single" w:sz="4" w:space="0" w:color="auto"/>
              <w:left w:val="single" w:sz="4" w:space="0" w:color="auto"/>
              <w:bottom w:val="single" w:sz="4" w:space="0" w:color="auto"/>
              <w:right w:val="single" w:sz="4" w:space="0" w:color="auto"/>
            </w:tcBorders>
            <w:vAlign w:val="center"/>
            <w:hideMark/>
          </w:tcPr>
          <w:p w14:paraId="1FBEA151" w14:textId="77777777" w:rsidR="004017C7" w:rsidRDefault="004017C7" w:rsidP="004017C7">
            <w:pPr>
              <w:pStyle w:val="Teksttabelisrodek"/>
              <w:rPr>
                <w:lang w:eastAsia="en-US"/>
              </w:rPr>
            </w:pPr>
            <w:r>
              <w:rPr>
                <w:rFonts w:cs="Calibri"/>
                <w:color w:val="000000"/>
                <w:szCs w:val="20"/>
                <w:lang w:eastAsia="en-US"/>
              </w:rPr>
              <w:t>6,6</w:t>
            </w:r>
          </w:p>
        </w:tc>
      </w:tr>
      <w:tr w:rsidR="004017C7" w14:paraId="13FD6B5A"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6D4E81E5" w14:textId="77777777" w:rsidR="004017C7" w:rsidRDefault="004017C7" w:rsidP="004017C7">
            <w:pPr>
              <w:pStyle w:val="Teksttabelilewy"/>
            </w:pPr>
            <w:r>
              <w:rPr>
                <w:rFonts w:cs="Calibri"/>
                <w:color w:val="000000"/>
                <w:szCs w:val="20"/>
              </w:rPr>
              <w:t>RWP_09</w:t>
            </w:r>
          </w:p>
        </w:tc>
        <w:tc>
          <w:tcPr>
            <w:tcW w:w="3399" w:type="dxa"/>
            <w:tcBorders>
              <w:top w:val="single" w:sz="4" w:space="0" w:color="auto"/>
              <w:left w:val="single" w:sz="4" w:space="0" w:color="auto"/>
              <w:bottom w:val="single" w:sz="4" w:space="0" w:color="auto"/>
              <w:right w:val="single" w:sz="4" w:space="0" w:color="auto"/>
            </w:tcBorders>
            <w:vAlign w:val="center"/>
            <w:hideMark/>
          </w:tcPr>
          <w:p w14:paraId="77DA26E6" w14:textId="2E146D30" w:rsidR="004017C7" w:rsidRDefault="004017C7" w:rsidP="004017C7">
            <w:pPr>
              <w:pStyle w:val="Teksttabelilewy"/>
            </w:pPr>
            <w:r>
              <w:rPr>
                <w:rFonts w:cs="Calibri"/>
                <w:color w:val="000000"/>
                <w:szCs w:val="20"/>
              </w:rPr>
              <w:t>Aktualizacja programu ochrony środowiska</w:t>
            </w:r>
          </w:p>
        </w:tc>
        <w:tc>
          <w:tcPr>
            <w:tcW w:w="1298" w:type="dxa"/>
            <w:tcBorders>
              <w:top w:val="single" w:sz="4" w:space="0" w:color="auto"/>
              <w:left w:val="single" w:sz="4" w:space="0" w:color="auto"/>
              <w:bottom w:val="single" w:sz="4" w:space="0" w:color="auto"/>
              <w:right w:val="single" w:sz="4" w:space="0" w:color="auto"/>
            </w:tcBorders>
            <w:vAlign w:val="center"/>
            <w:hideMark/>
          </w:tcPr>
          <w:p w14:paraId="07133760" w14:textId="77777777" w:rsidR="004017C7" w:rsidRDefault="004017C7" w:rsidP="004017C7">
            <w:pPr>
              <w:pStyle w:val="Teksttabelisrodek"/>
              <w:rPr>
                <w:lang w:eastAsia="en-US"/>
              </w:rPr>
            </w:pPr>
            <w:r>
              <w:rPr>
                <w:rFonts w:cs="Calibri"/>
                <w:color w:val="000000"/>
                <w:szCs w:val="20"/>
                <w:lang w:eastAsia="en-US"/>
              </w:rPr>
              <w:t>201</w:t>
            </w:r>
          </w:p>
        </w:tc>
        <w:tc>
          <w:tcPr>
            <w:tcW w:w="1459" w:type="dxa"/>
            <w:tcBorders>
              <w:top w:val="single" w:sz="4" w:space="0" w:color="auto"/>
              <w:left w:val="single" w:sz="4" w:space="0" w:color="auto"/>
              <w:bottom w:val="single" w:sz="4" w:space="0" w:color="auto"/>
              <w:right w:val="single" w:sz="4" w:space="0" w:color="auto"/>
            </w:tcBorders>
            <w:vAlign w:val="center"/>
            <w:hideMark/>
          </w:tcPr>
          <w:p w14:paraId="07400E0F" w14:textId="77777777" w:rsidR="004017C7" w:rsidRDefault="004017C7" w:rsidP="004017C7">
            <w:pPr>
              <w:pStyle w:val="Teksttabelisrodek"/>
              <w:rPr>
                <w:lang w:eastAsia="en-US"/>
              </w:rPr>
            </w:pPr>
            <w:r>
              <w:rPr>
                <w:rFonts w:cs="Calibri"/>
                <w:color w:val="000000"/>
                <w:szCs w:val="20"/>
                <w:lang w:eastAsia="en-US"/>
              </w:rPr>
              <w:t>201</w:t>
            </w:r>
          </w:p>
        </w:tc>
        <w:tc>
          <w:tcPr>
            <w:tcW w:w="1619" w:type="dxa"/>
            <w:tcBorders>
              <w:top w:val="single" w:sz="4" w:space="0" w:color="auto"/>
              <w:left w:val="single" w:sz="4" w:space="0" w:color="auto"/>
              <w:bottom w:val="single" w:sz="4" w:space="0" w:color="auto"/>
              <w:right w:val="single" w:sz="4" w:space="0" w:color="auto"/>
            </w:tcBorders>
            <w:vAlign w:val="center"/>
            <w:hideMark/>
          </w:tcPr>
          <w:p w14:paraId="3F68010F" w14:textId="23B121E7" w:rsidR="004017C7" w:rsidRDefault="004017C7" w:rsidP="004017C7">
            <w:pPr>
              <w:pStyle w:val="Teksttabelisrodek"/>
              <w:rPr>
                <w:lang w:eastAsia="en-US"/>
              </w:rPr>
            </w:pPr>
            <w:r>
              <w:rPr>
                <w:rFonts w:cs="Calibri"/>
                <w:color w:val="000000"/>
                <w:szCs w:val="20"/>
                <w:lang w:eastAsia="en-US"/>
              </w:rPr>
              <w:t>18,0</w:t>
            </w:r>
          </w:p>
        </w:tc>
      </w:tr>
    </w:tbl>
    <w:p w14:paraId="7C0C196F" w14:textId="77777777" w:rsidR="00877AB0" w:rsidRDefault="00877AB0" w:rsidP="00877AB0">
      <w:pPr>
        <w:pStyle w:val="rdo"/>
      </w:pPr>
      <w:r>
        <w:t>Źródło: opracowanie własne</w:t>
      </w:r>
    </w:p>
    <w:p w14:paraId="7738AAEF" w14:textId="2D6361F4" w:rsidR="00877AB0" w:rsidRDefault="00877AB0" w:rsidP="00877AB0">
      <w:pPr>
        <w:rPr>
          <w:rFonts w:eastAsia="Times New Roman" w:cs="Calibri"/>
        </w:rPr>
      </w:pPr>
      <w:r>
        <w:rPr>
          <w:rFonts w:eastAsia="Times New Roman" w:cs="Calibri"/>
        </w:rPr>
        <w:t xml:space="preserve">W obszarze dorzecza Odry 88% </w:t>
      </w:r>
      <w:r w:rsidR="00DF005E">
        <w:rPr>
          <w:rFonts w:eastAsia="Times New Roman" w:cs="Calibri"/>
        </w:rPr>
        <w:t>JCWP</w:t>
      </w:r>
      <w:r>
        <w:rPr>
          <w:rFonts w:eastAsia="Times New Roman" w:cs="Calibri"/>
        </w:rPr>
        <w:t xml:space="preserve"> RW wymagało zbudowania zestawu działań. Na poniższym wykresie (wykres 12-</w:t>
      </w:r>
      <w:r w:rsidR="00B27A25">
        <w:rPr>
          <w:rFonts w:eastAsia="Times New Roman" w:cs="Calibri"/>
        </w:rPr>
        <w:t>20</w:t>
      </w:r>
      <w:r>
        <w:rPr>
          <w:rFonts w:eastAsia="Times New Roman" w:cs="Calibri"/>
        </w:rPr>
        <w:t xml:space="preserve">) przedstawiono informacje o udziale </w:t>
      </w:r>
      <w:r w:rsidR="00DF005E">
        <w:rPr>
          <w:rFonts w:eastAsia="Times New Roman" w:cs="Calibri"/>
        </w:rPr>
        <w:t>JCWP</w:t>
      </w:r>
      <w:r>
        <w:rPr>
          <w:rFonts w:eastAsia="Times New Roman" w:cs="Calibri"/>
        </w:rPr>
        <w:t xml:space="preserve"> RW z zestawem działań w ogólnej liczbie </w:t>
      </w:r>
      <w:r w:rsidR="00DF005E">
        <w:rPr>
          <w:rFonts w:eastAsia="Times New Roman" w:cs="Calibri"/>
        </w:rPr>
        <w:t>JCWP</w:t>
      </w:r>
      <w:r>
        <w:rPr>
          <w:rFonts w:eastAsia="Times New Roman" w:cs="Calibri"/>
        </w:rPr>
        <w:t xml:space="preserve"> RW </w:t>
      </w:r>
      <w:r w:rsidR="00324DF1">
        <w:rPr>
          <w:rFonts w:eastAsia="Times New Roman" w:cs="Calibri"/>
        </w:rPr>
        <w:t>na</w:t>
      </w:r>
      <w:r>
        <w:rPr>
          <w:rFonts w:eastAsia="Times New Roman" w:cs="Calibri"/>
        </w:rPr>
        <w:t xml:space="preserve"> obszarze dorzecza Odry w podziale na regiony wodne.</w:t>
      </w:r>
    </w:p>
    <w:p w14:paraId="202735BC" w14:textId="67E162EA" w:rsidR="00344404" w:rsidRDefault="00344404" w:rsidP="003F658A">
      <w:pPr>
        <w:keepNext/>
        <w:rPr>
          <w:rFonts w:eastAsia="Times New Roman" w:cs="Calibri"/>
        </w:rPr>
      </w:pPr>
      <w:r>
        <w:rPr>
          <w:noProof/>
        </w:rPr>
        <w:drawing>
          <wp:inline distT="0" distB="0" distL="0" distR="0" wp14:anchorId="4C9C96E7" wp14:editId="3E07C458">
            <wp:extent cx="5760000" cy="3600000"/>
            <wp:effectExtent l="0" t="0" r="12700" b="635"/>
            <wp:docPr id="1069510218" name="Wykres 1069510218">
              <a:extLst xmlns:a="http://schemas.openxmlformats.org/drawingml/2006/main">
                <a:ext uri="{FF2B5EF4-FFF2-40B4-BE49-F238E27FC236}">
                  <a16:creationId xmlns:a16="http://schemas.microsoft.com/office/drawing/2014/main" id="{A5267104-DC81-4ABD-A0A8-00AA887DFD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0361B330" w14:textId="4A2530D9" w:rsidR="00877AB0" w:rsidRDefault="00877AB0" w:rsidP="003F658A">
      <w:pPr>
        <w:pStyle w:val="Wykres"/>
        <w:keepNext/>
        <w:widowControl/>
      </w:pPr>
      <w:bookmarkStart w:id="739" w:name="_Toc105513029"/>
      <w:r>
        <w:t xml:space="preserve">Wykres </w:t>
      </w:r>
      <w:fldSimple w:instr=" STYLEREF 1 \s ">
        <w:r w:rsidR="001F774D">
          <w:rPr>
            <w:noProof/>
          </w:rPr>
          <w:t>12</w:t>
        </w:r>
      </w:fldSimple>
      <w:r w:rsidR="00FF20D3">
        <w:noBreakHyphen/>
      </w:r>
      <w:fldSimple w:instr=" SEQ Wykres \* ARABIC \s 1 ">
        <w:r w:rsidR="001F774D">
          <w:rPr>
            <w:noProof/>
          </w:rPr>
          <w:t>20</w:t>
        </w:r>
      </w:fldSimple>
      <w:r w:rsidR="002B6022">
        <w:rPr>
          <w:noProof/>
        </w:rPr>
        <w:t>.</w:t>
      </w:r>
      <w:r>
        <w:tab/>
        <w:t xml:space="preserve">Udział </w:t>
      </w:r>
      <w:r w:rsidR="00DF005E">
        <w:t>JCWP</w:t>
      </w:r>
      <w:r>
        <w:t xml:space="preserve"> RW z przypisanymi zestawami działań w regionach wodnych obszaru dorzecza Odry</w:t>
      </w:r>
      <w:bookmarkEnd w:id="739"/>
    </w:p>
    <w:p w14:paraId="5623F0EF" w14:textId="77777777" w:rsidR="00877AB0" w:rsidRDefault="00877AB0" w:rsidP="00877AB0">
      <w:pPr>
        <w:pStyle w:val="rdo"/>
      </w:pPr>
      <w:r>
        <w:t>Źródło: opracowanie własne</w:t>
      </w:r>
    </w:p>
    <w:p w14:paraId="3BDED904" w14:textId="56151CF7" w:rsidR="00877AB0" w:rsidRDefault="00877AB0" w:rsidP="00877AB0">
      <w:r>
        <w:t xml:space="preserve">Wśród działań zaplanowanych dla </w:t>
      </w:r>
      <w:r w:rsidR="00DF005E">
        <w:t>JCWP</w:t>
      </w:r>
      <w:r>
        <w:t xml:space="preserve"> RW obszaru dorzecza Odry 7</w:t>
      </w:r>
      <w:r w:rsidR="00CA5930">
        <w:t>5</w:t>
      </w:r>
      <w:r>
        <w:t>% stanowią działania podstawowe, a 2</w:t>
      </w:r>
      <w:r w:rsidR="00CA5930">
        <w:t>5</w:t>
      </w:r>
      <w:r>
        <w:t>% stanowią działania uzupełniające.</w:t>
      </w:r>
    </w:p>
    <w:p w14:paraId="6F384046" w14:textId="4DAD0D12" w:rsidR="00877AB0" w:rsidRDefault="00EA537D" w:rsidP="003F658A">
      <w:pPr>
        <w:keepNext/>
      </w:pPr>
      <w:r>
        <w:rPr>
          <w:noProof/>
        </w:rPr>
        <w:drawing>
          <wp:inline distT="0" distB="0" distL="0" distR="0" wp14:anchorId="02DB3CEA" wp14:editId="37251BD2">
            <wp:extent cx="5760720" cy="3634105"/>
            <wp:effectExtent l="0" t="0" r="11430" b="4445"/>
            <wp:docPr id="1866059334" name="Wykres 1866059334">
              <a:extLst xmlns:a="http://schemas.openxmlformats.org/drawingml/2006/main">
                <a:ext uri="{FF2B5EF4-FFF2-40B4-BE49-F238E27FC236}">
                  <a16:creationId xmlns:a16="http://schemas.microsoft.com/office/drawing/2014/main" id="{6C03720D-5E00-4288-908A-8CEC928553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5C06A4C1" w14:textId="0FCFC0E3" w:rsidR="00877AB0" w:rsidRDefault="00877AB0" w:rsidP="003F658A">
      <w:pPr>
        <w:pStyle w:val="Wykres"/>
        <w:keepNext/>
        <w:widowControl/>
      </w:pPr>
      <w:bookmarkStart w:id="740" w:name="_Toc105513030"/>
      <w:r>
        <w:t xml:space="preserve">Wykres </w:t>
      </w:r>
      <w:fldSimple w:instr=" STYLEREF 1 \s ">
        <w:r w:rsidR="001F774D">
          <w:rPr>
            <w:noProof/>
          </w:rPr>
          <w:t>12</w:t>
        </w:r>
      </w:fldSimple>
      <w:r w:rsidR="00FF20D3">
        <w:noBreakHyphen/>
      </w:r>
      <w:fldSimple w:instr=" SEQ Wykres \* ARABIC \s 1 ">
        <w:r w:rsidR="001F774D">
          <w:rPr>
            <w:noProof/>
          </w:rPr>
          <w:t>21</w:t>
        </w:r>
      </w:fldSimple>
      <w:r w:rsidR="002B6022">
        <w:rPr>
          <w:noProof/>
        </w:rPr>
        <w:t>.</w:t>
      </w:r>
      <w:r>
        <w:tab/>
        <w:t xml:space="preserve">Podział działań w zestawie dla </w:t>
      </w:r>
      <w:r w:rsidR="00DF005E">
        <w:t>JCWP</w:t>
      </w:r>
      <w:r>
        <w:t xml:space="preserve"> RW dla obszaru dorzecza Odry</w:t>
      </w:r>
      <w:bookmarkEnd w:id="740"/>
    </w:p>
    <w:p w14:paraId="05EB6C8A" w14:textId="77777777" w:rsidR="00877AB0" w:rsidRDefault="00877AB0" w:rsidP="00877AB0">
      <w:pPr>
        <w:pStyle w:val="rdo"/>
      </w:pPr>
      <w:r>
        <w:t>Źródło: opracowanie własne</w:t>
      </w:r>
    </w:p>
    <w:p w14:paraId="33AF973E" w14:textId="29B5DCCC" w:rsidR="00877AB0" w:rsidRDefault="00877AB0" w:rsidP="00877AB0">
      <w:pPr>
        <w:rPr>
          <w:rFonts w:eastAsia="Times New Roman" w:cs="Calibri"/>
        </w:rPr>
      </w:pPr>
      <w:r>
        <w:rPr>
          <w:rFonts w:eastAsia="Times New Roman" w:cs="Calibri"/>
        </w:rPr>
        <w:t xml:space="preserve">Informacje o działaniach zaplanowanych dla danej </w:t>
      </w:r>
      <w:r w:rsidR="00DF005E">
        <w:rPr>
          <w:rFonts w:eastAsia="Times New Roman" w:cs="Calibri"/>
        </w:rPr>
        <w:t>JCWP</w:t>
      </w:r>
      <w:r>
        <w:rPr>
          <w:rFonts w:eastAsia="Times New Roman" w:cs="Calibri"/>
        </w:rPr>
        <w:t xml:space="preserve"> uwzględnione zostały w załączniku nr </w:t>
      </w:r>
      <w:r w:rsidR="00BF7B35">
        <w:rPr>
          <w:rFonts w:eastAsia="Times New Roman" w:cs="Calibri"/>
        </w:rPr>
        <w:t>13</w:t>
      </w:r>
      <w:r>
        <w:rPr>
          <w:rFonts w:eastAsia="Times New Roman" w:cs="Calibri"/>
        </w:rPr>
        <w:t xml:space="preserve"> (Zestaw działań RW). Zobrazowanie przestrzenne </w:t>
      </w:r>
      <w:r w:rsidR="00DF005E">
        <w:rPr>
          <w:rFonts w:eastAsia="Times New Roman" w:cs="Calibri"/>
        </w:rPr>
        <w:t>JCWP</w:t>
      </w:r>
      <w:r>
        <w:rPr>
          <w:rFonts w:eastAsia="Times New Roman" w:cs="Calibri"/>
        </w:rPr>
        <w:t xml:space="preserve"> RW </w:t>
      </w:r>
      <w:r w:rsidR="00BA36AB">
        <w:rPr>
          <w:rFonts w:eastAsia="Times New Roman" w:cs="Calibri"/>
        </w:rPr>
        <w:t>na</w:t>
      </w:r>
      <w:r>
        <w:rPr>
          <w:rFonts w:eastAsia="Times New Roman" w:cs="Calibri"/>
        </w:rPr>
        <w:t xml:space="preserve"> obszarze dorzecza Odry z przypisanym zestawem działań </w:t>
      </w:r>
      <w:r w:rsidR="00064AE0">
        <w:rPr>
          <w:rFonts w:eastAsia="Times New Roman" w:cs="Calibri"/>
        </w:rPr>
        <w:t>prezentuje załącznik</w:t>
      </w:r>
      <w:r>
        <w:rPr>
          <w:rFonts w:eastAsia="Times New Roman" w:cs="Calibri"/>
        </w:rPr>
        <w:t xml:space="preserve"> graficzny nr </w:t>
      </w:r>
      <w:r w:rsidR="00B50DF7">
        <w:rPr>
          <w:rFonts w:eastAsia="Times New Roman" w:cs="Calibri"/>
        </w:rPr>
        <w:t>57</w:t>
      </w:r>
      <w:r>
        <w:rPr>
          <w:rFonts w:eastAsia="Times New Roman" w:cs="Calibri"/>
        </w:rPr>
        <w:t>.</w:t>
      </w:r>
    </w:p>
    <w:p w14:paraId="05A09006" w14:textId="11068E5C" w:rsidR="00686304" w:rsidRPr="009007C3" w:rsidRDefault="00877AB0" w:rsidP="009007C3">
      <w:pPr>
        <w:suppressAutoHyphens w:val="0"/>
        <w:spacing w:before="0" w:after="0"/>
        <w:jc w:val="left"/>
        <w:rPr>
          <w:rFonts w:ascii="Times New Roman" w:eastAsiaTheme="minorHAnsi" w:hAnsi="Times New Roman"/>
          <w:sz w:val="24"/>
          <w:szCs w:val="24"/>
          <w:lang w:eastAsia="pl-PL"/>
        </w:rPr>
      </w:pPr>
      <w:r>
        <w:rPr>
          <w:rFonts w:asciiTheme="minorHAnsi" w:hAnsiTheme="minorHAnsi" w:cstheme="minorHAnsi"/>
        </w:rPr>
        <w:t xml:space="preserve">Dodatkowo na odrębnym załączniku graficznym przedstawione zostały </w:t>
      </w:r>
      <w:r w:rsidR="00DF005E">
        <w:rPr>
          <w:rFonts w:asciiTheme="minorHAnsi" w:hAnsiTheme="minorHAnsi" w:cstheme="minorHAnsi"/>
        </w:rPr>
        <w:t>JCWP</w:t>
      </w:r>
      <w:r>
        <w:rPr>
          <w:rFonts w:asciiTheme="minorHAnsi" w:hAnsiTheme="minorHAnsi" w:cstheme="minorHAnsi"/>
        </w:rPr>
        <w:t xml:space="preserve"> RW z zestawem działań zawierającym działania ukierunkowane na drożność (załącznik graficzny nr </w:t>
      </w:r>
      <w:r w:rsidR="00B50DF7">
        <w:rPr>
          <w:rFonts w:asciiTheme="minorHAnsi" w:hAnsiTheme="minorHAnsi" w:cstheme="minorHAnsi"/>
        </w:rPr>
        <w:t>58</w:t>
      </w:r>
      <w:r>
        <w:rPr>
          <w:rFonts w:asciiTheme="minorHAnsi" w:hAnsiTheme="minorHAnsi" w:cstheme="minorHAnsi"/>
        </w:rPr>
        <w:t>).</w:t>
      </w:r>
      <w:r>
        <w:rPr>
          <w:rFonts w:ascii="Times New Roman" w:eastAsiaTheme="minorHAnsi" w:hAnsi="Times New Roman"/>
          <w:sz w:val="24"/>
          <w:szCs w:val="24"/>
          <w:lang w:eastAsia="pl-PL"/>
        </w:rPr>
        <w:t xml:space="preserve"> </w:t>
      </w:r>
    </w:p>
    <w:p w14:paraId="7BC1DF16" w14:textId="0BAD16A6" w:rsidR="00686304" w:rsidRPr="00795F17" w:rsidRDefault="00686304" w:rsidP="00C53C86">
      <w:pPr>
        <w:pStyle w:val="Nagwek3"/>
      </w:pPr>
      <w:bookmarkStart w:id="741" w:name="_Toc105512704"/>
      <w:r w:rsidRPr="00795F17">
        <w:t xml:space="preserve">Zestaw działań podstawowych i uzupełniających </w:t>
      </w:r>
      <w:r w:rsidR="00DF005E">
        <w:t>JCWP</w:t>
      </w:r>
      <w:r w:rsidRPr="00795F17">
        <w:t xml:space="preserve"> RWr</w:t>
      </w:r>
      <w:bookmarkEnd w:id="741"/>
    </w:p>
    <w:p w14:paraId="1E75516B" w14:textId="6B3486E7" w:rsidR="009E154D" w:rsidRDefault="009E154D" w:rsidP="009E154D">
      <w:pPr>
        <w:rPr>
          <w:rFonts w:eastAsiaTheme="minorEastAsia"/>
        </w:rPr>
      </w:pPr>
      <w:r>
        <w:t xml:space="preserve">Zestawy działań dla </w:t>
      </w:r>
      <w:r w:rsidR="00DF005E">
        <w:t>JCWP</w:t>
      </w:r>
      <w:r>
        <w:t xml:space="preserve"> RWr zostały ukierunkowane na likwidację presji znaczących powodujących ryzyko nieosiągnięcia celów środowiskowych, ze szczególnym uwzględnieniem: </w:t>
      </w:r>
    </w:p>
    <w:p w14:paraId="15C12800" w14:textId="3D20F482" w:rsidR="009E154D" w:rsidRDefault="009E154D" w:rsidP="00117E86">
      <w:pPr>
        <w:pStyle w:val="Listapunktowana2"/>
      </w:pPr>
      <w:r>
        <w:t>przywrócenia drożności dla migracji ryb</w:t>
      </w:r>
      <w:r w:rsidR="0017773C">
        <w:t>;</w:t>
      </w:r>
      <w:r>
        <w:t xml:space="preserve"> </w:t>
      </w:r>
    </w:p>
    <w:p w14:paraId="2E284F55" w14:textId="77777777" w:rsidR="009E154D" w:rsidRDefault="009E154D" w:rsidP="00117E86">
      <w:pPr>
        <w:pStyle w:val="Listapunktowana2"/>
      </w:pPr>
      <w:r>
        <w:t xml:space="preserve">poprawy jakości wód i ograniczenia dopływu zanieczyszczeń ze źródeł: rolniczych, komunalnych i przemysłowych; </w:t>
      </w:r>
    </w:p>
    <w:p w14:paraId="5B7846B8" w14:textId="77777777" w:rsidR="009E154D" w:rsidRDefault="009E154D" w:rsidP="00117E86">
      <w:pPr>
        <w:pStyle w:val="Listapunktowana2"/>
      </w:pPr>
      <w:r>
        <w:t>spełnienia wymagań obszarów przeznaczonych do ochrony siedlisk lub gatunków ustanowionych w u.o.p., dla których utrzymanie lub poprawa stanu wód jest ważnym czynnikiem w ich ochronie.</w:t>
      </w:r>
    </w:p>
    <w:p w14:paraId="303DEEB1" w14:textId="763A1E41" w:rsidR="009E154D" w:rsidRDefault="009E154D" w:rsidP="009E154D">
      <w:r>
        <w:t xml:space="preserve">Na potrzeby przypisywania działań dla </w:t>
      </w:r>
      <w:r w:rsidR="00DF005E">
        <w:t>JCWP</w:t>
      </w:r>
      <w:r>
        <w:t xml:space="preserve"> RWr z zakresu zachowania ciągłości biologicznej i morfologicznej uwzględniono opracowanie: </w:t>
      </w:r>
      <w:r>
        <w:rPr>
          <w:i/>
        </w:rPr>
        <w:t>Ocena potrzeb i priorytetów udrożnienia ciągłości (…)</w:t>
      </w:r>
      <w:r w:rsidR="0032003A">
        <w:rPr>
          <w:rStyle w:val="Odwoanieprzypisudolnego"/>
          <w:i/>
        </w:rPr>
        <w:footnoteReference w:id="104"/>
      </w:r>
      <w:r>
        <w:rPr>
          <w:i/>
        </w:rPr>
        <w:t xml:space="preserve"> </w:t>
      </w:r>
      <w:r>
        <w:t xml:space="preserve">lub wymagania gatunków chronionych zidentyfikowanych w opracowaniu pn. </w:t>
      </w:r>
      <w:r>
        <w:rPr>
          <w:i/>
        </w:rPr>
        <w:t>Ustalenie celów środowiskowych (…)</w:t>
      </w:r>
      <w:r w:rsidR="0032003A">
        <w:rPr>
          <w:rStyle w:val="Odwoanieprzypisudolnego"/>
          <w:i/>
        </w:rPr>
        <w:footnoteReference w:id="105"/>
      </w:r>
      <w:r>
        <w:t>, albo wartości indeksu D badań ichtiofauny przeprowadzonych w ramach PMŚ, o ile ichtiofauna jest jedynym elementem oceny stanu/potencjału ekologicznego pozostającym poniżej dobrego</w:t>
      </w:r>
      <w:r w:rsidR="002A46FA">
        <w:t xml:space="preserve"> </w:t>
      </w:r>
      <w:r w:rsidR="002A46FA" w:rsidRPr="004A53F8">
        <w:rPr>
          <w:rFonts w:cs="Calibri"/>
        </w:rPr>
        <w:t>lub Rozporządzenia Ministra Rolnictwa i Rozwoju Wsi z dnia 6 maja 2021 r. w sprawie określenia gatunków zwierząt wodnych o znaczeniu gospodarczym oraz obszarów</w:t>
      </w:r>
      <w:r w:rsidR="002A46FA">
        <w:rPr>
          <w:rFonts w:cs="Calibri"/>
        </w:rPr>
        <w:t xml:space="preserve"> </w:t>
      </w:r>
      <w:r w:rsidR="002A46FA" w:rsidRPr="0028236F">
        <w:rPr>
          <w:rFonts w:cs="Calibri"/>
        </w:rPr>
        <w:t>przeznaczonych do ochrony tych gatunków</w:t>
      </w:r>
      <w:r>
        <w:t>. Dodatkowo działania dla konkretnych budowli weryfikowano w oparciu o ortofotomapy i</w:t>
      </w:r>
      <w:r w:rsidR="00C351AB">
        <w:t> </w:t>
      </w:r>
      <w:r>
        <w:t>wyniki ankietyzacji. Realizację celów (wodno)środowiskowych dla obszarów przeznaczonych do ochrony siedlisk lub gatunków, dla których utrzymanie lub poprawa stanu wód jest ważnym czynnikiem w ich ochronie zaplanowano poprzez realizację działań wynikających z planów ochrony i</w:t>
      </w:r>
      <w:r w:rsidR="002B1B7D">
        <w:t> </w:t>
      </w:r>
      <w:r>
        <w:t xml:space="preserve">planów zadań ochronnych dla wodozależnych obszarów chronionych uwzględniających zróżnicowane zagrożenia stwierdzone w czasie ich opracowywania. </w:t>
      </w:r>
    </w:p>
    <w:p w14:paraId="52FABAB7" w14:textId="34FA46ED" w:rsidR="009E154D" w:rsidRDefault="009E154D" w:rsidP="009E154D">
      <w:pPr>
        <w:rPr>
          <w:rFonts w:eastAsiaTheme="minorEastAsia"/>
        </w:rPr>
      </w:pPr>
      <w:r w:rsidRPr="0032797E">
        <w:t xml:space="preserve">Główną grupę stanowią działania nakierowane na likwidację presji skumulowanych </w:t>
      </w:r>
      <w:r w:rsidR="00D54B71" w:rsidRPr="0032797E">
        <w:t>–</w:t>
      </w:r>
      <w:r w:rsidRPr="0032797E">
        <w:t xml:space="preserve">adaptacja do zmian klimatu (RWrC_01) oraz poprawę warunków dla obszarów chronionych (RWrC_02). Kolejną grupę stanowią działania nakierowane na likwidację presji hydromorfologicznych </w:t>
      </w:r>
      <w:r w:rsidR="0017773C" w:rsidRPr="0032797E">
        <w:t>–</w:t>
      </w:r>
      <w:r w:rsidRPr="0032797E">
        <w:t xml:space="preserve"> zapewnienie ciągłości biologicznej rzek i potoków (RWrHM_02) oraz działania nakierowane na poprawę jakości wód i ograniczenia dopływu zanieczyszczeń, w tym gospodarka ściekowa (RWrP_01), ograniczenie zanieczyszczeń rozproszonych z rolnictwa (RWrP_02), ograniczenie zanieczyszczeń rozproszonych związanych z rozwojem obszarów zurbanizowanych, turystyki i transportu (RWrP_03), edukacja i informacja (RWrP_04), identyfikacja źródeł presji zanieczyszczeń związanych z rozwojem obszarów zurbanizowanych, turystyki i transportu (RWrP_05), redukcja emisji i zrzutów substancji priorytetowych (RWrP_06) oraz </w:t>
      </w:r>
      <w:r w:rsidR="0032797E" w:rsidRPr="0032797E">
        <w:t>aktualizacja</w:t>
      </w:r>
      <w:r w:rsidRPr="0032797E">
        <w:t xml:space="preserve"> programu ochrony środowiska (RWrP_09).</w:t>
      </w:r>
      <w:r>
        <w:t xml:space="preserve"> </w:t>
      </w:r>
    </w:p>
    <w:p w14:paraId="77D9E415" w14:textId="60AFB2FB" w:rsidR="009E154D" w:rsidRDefault="009E154D" w:rsidP="009E154D">
      <w:r>
        <w:t>Łącznie dla obszaru dorzecza Odry przypisano 5</w:t>
      </w:r>
      <w:r w:rsidR="00B50D16">
        <w:t>3 działania</w:t>
      </w:r>
      <w:r>
        <w:t xml:space="preserve"> (tabela 12-9). W tym: </w:t>
      </w:r>
    </w:p>
    <w:p w14:paraId="7D0FDF27" w14:textId="77777777" w:rsidR="009E154D" w:rsidRDefault="009E154D" w:rsidP="00117E86">
      <w:pPr>
        <w:pStyle w:val="Listapunktowana2"/>
      </w:pPr>
      <w:r>
        <w:t>działania nakierowane na likwidację presji hydromorfologicznych: zapewnienie ciągłości biologicznej rzek i potoków (RWrHM_02);</w:t>
      </w:r>
    </w:p>
    <w:p w14:paraId="64F0E02A" w14:textId="77777777" w:rsidR="009E154D" w:rsidRDefault="009E154D" w:rsidP="00117E86">
      <w:pPr>
        <w:pStyle w:val="Listapunktowana2"/>
      </w:pPr>
      <w:r>
        <w:t xml:space="preserve">działania nakierowane na poprawę jakości wód i ograniczenia dopływu zanieczyszczeń: </w:t>
      </w:r>
    </w:p>
    <w:p w14:paraId="07D494FC" w14:textId="77777777" w:rsidR="009E154D" w:rsidRDefault="009E154D" w:rsidP="0050009F">
      <w:pPr>
        <w:pStyle w:val="Listapunktowana3"/>
        <w:rPr>
          <w:rFonts w:eastAsiaTheme="minorEastAsia"/>
        </w:rPr>
      </w:pPr>
      <w:r>
        <w:t>gospodarka ściekowa (RWrP_01);</w:t>
      </w:r>
    </w:p>
    <w:p w14:paraId="01644657" w14:textId="77777777" w:rsidR="009E154D" w:rsidRDefault="009E154D" w:rsidP="0050009F">
      <w:pPr>
        <w:pStyle w:val="Listapunktowana3"/>
        <w:rPr>
          <w:rFonts w:eastAsiaTheme="minorEastAsia"/>
        </w:rPr>
      </w:pPr>
      <w:r>
        <w:t>ograniczenie zanieczyszczeń rozproszonych z rolnictwa (RWrP_02);</w:t>
      </w:r>
    </w:p>
    <w:p w14:paraId="7EEB3352" w14:textId="77777777" w:rsidR="009E154D" w:rsidRDefault="009E154D" w:rsidP="0050009F">
      <w:pPr>
        <w:pStyle w:val="Listapunktowana3"/>
        <w:rPr>
          <w:rFonts w:eastAsiaTheme="minorEastAsia"/>
        </w:rPr>
      </w:pPr>
      <w:r>
        <w:t>ograniczenie zanieczyszczeń rozproszonych związanych z rozwojem obszarów zurbanizowanych, turystyki i transportu (RWrP_03);</w:t>
      </w:r>
    </w:p>
    <w:p w14:paraId="201CC814" w14:textId="77777777" w:rsidR="009E154D" w:rsidRDefault="009E154D" w:rsidP="0050009F">
      <w:pPr>
        <w:pStyle w:val="Listapunktowana3"/>
        <w:rPr>
          <w:rFonts w:eastAsiaTheme="minorEastAsia"/>
        </w:rPr>
      </w:pPr>
      <w:r>
        <w:t>edukacja i informacja (RWrP_04);</w:t>
      </w:r>
    </w:p>
    <w:p w14:paraId="0B346CE1" w14:textId="77777777" w:rsidR="009E154D" w:rsidRDefault="009E154D" w:rsidP="0050009F">
      <w:pPr>
        <w:pStyle w:val="Listapunktowana3"/>
        <w:rPr>
          <w:rFonts w:eastAsiaTheme="minorEastAsia"/>
        </w:rPr>
      </w:pPr>
      <w:r>
        <w:t>redukcja emisji i zrzutów substancji priorytetowych (RWrP_06);</w:t>
      </w:r>
    </w:p>
    <w:p w14:paraId="75419D65" w14:textId="23364C29" w:rsidR="009E154D" w:rsidRDefault="003D680B" w:rsidP="0050009F">
      <w:pPr>
        <w:pStyle w:val="Listapunktowana3"/>
        <w:rPr>
          <w:rFonts w:eastAsiaTheme="minorEastAsia"/>
        </w:rPr>
      </w:pPr>
      <w:r>
        <w:t>aktualizacja</w:t>
      </w:r>
      <w:r w:rsidR="009E154D">
        <w:t xml:space="preserve"> programu ochrony środowiska (RWrP_09)</w:t>
      </w:r>
      <w:r w:rsidR="00D54B71">
        <w:t>.</w:t>
      </w:r>
    </w:p>
    <w:p w14:paraId="71402B97" w14:textId="77777777" w:rsidR="009E154D" w:rsidRDefault="009E154D" w:rsidP="00117E86">
      <w:pPr>
        <w:pStyle w:val="Listapunktowana2"/>
        <w:rPr>
          <w:rFonts w:eastAsiaTheme="minorEastAsia"/>
        </w:rPr>
      </w:pPr>
      <w:r>
        <w:t>działania nakierowane na likwidację presji skumulowanych:</w:t>
      </w:r>
    </w:p>
    <w:p w14:paraId="45D54275" w14:textId="77777777" w:rsidR="009E154D" w:rsidRDefault="009E154D" w:rsidP="0050009F">
      <w:pPr>
        <w:pStyle w:val="Listapunktowana3"/>
        <w:rPr>
          <w:rFonts w:eastAsiaTheme="minorEastAsia"/>
        </w:rPr>
      </w:pPr>
      <w:r>
        <w:t>adaptacja do zmian klimatu (RWrC_01);</w:t>
      </w:r>
    </w:p>
    <w:p w14:paraId="21634D0F" w14:textId="77777777" w:rsidR="009E154D" w:rsidRDefault="009E154D" w:rsidP="0050009F">
      <w:pPr>
        <w:pStyle w:val="Listapunktowana3"/>
        <w:rPr>
          <w:rFonts w:eastAsiaTheme="minorEastAsia"/>
        </w:rPr>
      </w:pPr>
      <w:r>
        <w:t>poprawa warunków dla obszarów chronionych (RWrC_02).</w:t>
      </w:r>
    </w:p>
    <w:p w14:paraId="79900805" w14:textId="6659EA79" w:rsidR="009E154D" w:rsidRDefault="009E154D" w:rsidP="004D7705">
      <w:pPr>
        <w:pStyle w:val="Tabela"/>
      </w:pPr>
      <w:bookmarkStart w:id="742" w:name="_Toc66341949"/>
      <w:bookmarkStart w:id="743" w:name="_Toc66706734"/>
      <w:bookmarkStart w:id="744" w:name="_Toc67652433"/>
      <w:bookmarkStart w:id="745" w:name="_Toc105512878"/>
      <w:r>
        <w:t xml:space="preserve">Tabela </w:t>
      </w:r>
      <w:r>
        <w:fldChar w:fldCharType="begin"/>
      </w:r>
      <w:r>
        <w:instrText>STYLEREF 1 \s</w:instrText>
      </w:r>
      <w:r>
        <w:fldChar w:fldCharType="separate"/>
      </w:r>
      <w:r w:rsidR="001F774D">
        <w:rPr>
          <w:noProof/>
        </w:rPr>
        <w:t>12</w:t>
      </w:r>
      <w:r>
        <w:fldChar w:fldCharType="end"/>
      </w:r>
      <w:r w:rsidR="009263D8">
        <w:noBreakHyphen/>
      </w:r>
      <w:fldSimple w:instr=" SEQ Tabela \* ARABIC \s 1 ">
        <w:r w:rsidR="001F774D">
          <w:rPr>
            <w:noProof/>
          </w:rPr>
          <w:t>9</w:t>
        </w:r>
      </w:fldSimple>
      <w:r w:rsidR="00EB4B7B">
        <w:rPr>
          <w:noProof/>
        </w:rPr>
        <w:t>.</w:t>
      </w:r>
      <w:r>
        <w:tab/>
        <w:t xml:space="preserve">Zestawienie działań zalecanych do wdrożenia w </w:t>
      </w:r>
      <w:r w:rsidR="00DF005E">
        <w:t>JCWP</w:t>
      </w:r>
      <w:r>
        <w:t xml:space="preserve"> RWr na obszarze dorzecza Odry</w:t>
      </w:r>
      <w:bookmarkEnd w:id="742"/>
      <w:bookmarkEnd w:id="743"/>
      <w:bookmarkEnd w:id="744"/>
      <w:bookmarkEnd w:id="7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3521"/>
        <w:gridCol w:w="1390"/>
        <w:gridCol w:w="1394"/>
        <w:gridCol w:w="18"/>
        <w:gridCol w:w="1379"/>
      </w:tblGrid>
      <w:tr w:rsidR="009E154D" w:rsidRPr="00795F17" w14:paraId="3AB8F3AE" w14:textId="77777777" w:rsidTr="00282E8D">
        <w:trPr>
          <w:trHeight w:val="454"/>
          <w:tblHeader/>
        </w:trPr>
        <w:tc>
          <w:tcPr>
            <w:tcW w:w="75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90A446" w14:textId="77777777" w:rsidR="009E154D" w:rsidRDefault="009E154D">
            <w:pPr>
              <w:pStyle w:val="Teksttabelinaglowek"/>
              <w:spacing w:line="276" w:lineRule="auto"/>
              <w:rPr>
                <w:lang w:eastAsia="en-US"/>
              </w:rPr>
            </w:pPr>
            <w:r>
              <w:rPr>
                <w:lang w:eastAsia="en-US"/>
              </w:rPr>
              <w:t>Kod IIaPGW</w:t>
            </w:r>
          </w:p>
        </w:tc>
        <w:tc>
          <w:tcPr>
            <w:tcW w:w="194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FAE008" w14:textId="77777777" w:rsidR="009E154D" w:rsidRDefault="009E154D">
            <w:pPr>
              <w:pStyle w:val="Teksttabelinaglowek"/>
              <w:spacing w:line="276" w:lineRule="auto"/>
              <w:rPr>
                <w:color w:val="000000" w:themeColor="text1"/>
                <w:lang w:eastAsia="en-US"/>
              </w:rPr>
            </w:pPr>
            <w:r>
              <w:rPr>
                <w:color w:val="000000" w:themeColor="text1"/>
                <w:lang w:eastAsia="en-US"/>
              </w:rPr>
              <w:t>Grupa działań</w:t>
            </w:r>
          </w:p>
        </w:tc>
        <w:tc>
          <w:tcPr>
            <w:tcW w:w="76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715B24" w14:textId="77777777" w:rsidR="009E154D" w:rsidRDefault="009E154D">
            <w:pPr>
              <w:pStyle w:val="Teksttabelinaglowek"/>
              <w:spacing w:line="276" w:lineRule="auto"/>
              <w:rPr>
                <w:color w:val="000000" w:themeColor="text1"/>
                <w:lang w:eastAsia="en-US"/>
              </w:rPr>
            </w:pPr>
            <w:r>
              <w:rPr>
                <w:color w:val="000000" w:themeColor="text1"/>
                <w:lang w:eastAsia="en-US"/>
              </w:rPr>
              <w:t>Łączna liczba przypisanych działań</w:t>
            </w:r>
          </w:p>
        </w:tc>
        <w:tc>
          <w:tcPr>
            <w:tcW w:w="76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C22B74" w14:textId="01C8A648" w:rsidR="009E154D" w:rsidRDefault="009E154D">
            <w:pPr>
              <w:pStyle w:val="Teksttabelinaglowek"/>
              <w:spacing w:line="276" w:lineRule="auto"/>
              <w:rPr>
                <w:color w:val="000000" w:themeColor="text1"/>
                <w:lang w:eastAsia="en-US"/>
              </w:rPr>
            </w:pPr>
            <w:r>
              <w:rPr>
                <w:color w:val="000000" w:themeColor="text1"/>
                <w:lang w:eastAsia="en-US"/>
              </w:rPr>
              <w:t>Liczba jcw z</w:t>
            </w:r>
            <w:r w:rsidR="00BA36AB">
              <w:rPr>
                <w:color w:val="000000" w:themeColor="text1"/>
                <w:lang w:eastAsia="en-US"/>
              </w:rPr>
              <w:t> </w:t>
            </w:r>
            <w:r>
              <w:rPr>
                <w:color w:val="000000" w:themeColor="text1"/>
                <w:lang w:eastAsia="en-US"/>
              </w:rPr>
              <w:t>przypisanym działaniem</w:t>
            </w:r>
          </w:p>
        </w:tc>
        <w:tc>
          <w:tcPr>
            <w:tcW w:w="771"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09BD89" w14:textId="099FD53A" w:rsidR="009E154D" w:rsidRDefault="009E154D">
            <w:pPr>
              <w:pStyle w:val="Teksttabelinaglowek"/>
              <w:spacing w:line="276" w:lineRule="auto"/>
              <w:rPr>
                <w:bCs/>
                <w:color w:val="000000" w:themeColor="text1"/>
                <w:lang w:eastAsia="en-US"/>
              </w:rPr>
            </w:pPr>
            <w:r>
              <w:rPr>
                <w:color w:val="000000" w:themeColor="text1"/>
                <w:lang w:eastAsia="en-US"/>
              </w:rPr>
              <w:t>Udział w</w:t>
            </w:r>
            <w:r w:rsidR="00BA36AB">
              <w:rPr>
                <w:color w:val="000000" w:themeColor="text1"/>
                <w:lang w:eastAsia="en-US"/>
              </w:rPr>
              <w:t> </w:t>
            </w:r>
            <w:r>
              <w:rPr>
                <w:color w:val="000000" w:themeColor="text1"/>
                <w:lang w:eastAsia="en-US"/>
              </w:rPr>
              <w:t>ogólnej liczbie jcw ze zbudowanym zestawem działań</w:t>
            </w:r>
            <w:r>
              <w:rPr>
                <w:color w:val="000000" w:themeColor="text1"/>
                <w:lang w:eastAsia="en-US"/>
              </w:rPr>
              <w:br/>
            </w:r>
            <w:r>
              <w:rPr>
                <w:bCs/>
                <w:color w:val="000000" w:themeColor="text1"/>
                <w:lang w:eastAsia="en-US"/>
              </w:rPr>
              <w:t>(%)</w:t>
            </w:r>
          </w:p>
        </w:tc>
      </w:tr>
      <w:tr w:rsidR="00282E8D" w:rsidRPr="00795F17" w14:paraId="74C22237" w14:textId="77777777" w:rsidTr="00282E8D">
        <w:trPr>
          <w:trHeight w:val="454"/>
        </w:trPr>
        <w:tc>
          <w:tcPr>
            <w:tcW w:w="750" w:type="pct"/>
            <w:tcBorders>
              <w:top w:val="single" w:sz="4" w:space="0" w:color="auto"/>
              <w:left w:val="single" w:sz="4" w:space="0" w:color="auto"/>
              <w:bottom w:val="single" w:sz="4" w:space="0" w:color="auto"/>
              <w:right w:val="single" w:sz="4" w:space="0" w:color="auto"/>
            </w:tcBorders>
            <w:vAlign w:val="center"/>
            <w:hideMark/>
          </w:tcPr>
          <w:p w14:paraId="64693BEA" w14:textId="1F114D72" w:rsidR="00282E8D" w:rsidRDefault="00282E8D" w:rsidP="00282E8D">
            <w:pPr>
              <w:pStyle w:val="Teksttabelilewy"/>
            </w:pPr>
            <w:r>
              <w:rPr>
                <w:rFonts w:cs="Calibri"/>
                <w:color w:val="000000"/>
                <w:szCs w:val="20"/>
              </w:rPr>
              <w:t>RWrC_01</w:t>
            </w:r>
          </w:p>
        </w:tc>
        <w:tc>
          <w:tcPr>
            <w:tcW w:w="1943" w:type="pct"/>
            <w:tcBorders>
              <w:top w:val="single" w:sz="4" w:space="0" w:color="auto"/>
              <w:left w:val="single" w:sz="4" w:space="0" w:color="auto"/>
              <w:bottom w:val="single" w:sz="4" w:space="0" w:color="auto"/>
              <w:right w:val="single" w:sz="4" w:space="0" w:color="auto"/>
            </w:tcBorders>
            <w:vAlign w:val="center"/>
            <w:hideMark/>
          </w:tcPr>
          <w:p w14:paraId="342C7AD1" w14:textId="7E5B76C8" w:rsidR="00282E8D" w:rsidRDefault="00282E8D" w:rsidP="00282E8D">
            <w:pPr>
              <w:pStyle w:val="Teksttabelilewy"/>
            </w:pPr>
            <w:r>
              <w:rPr>
                <w:rFonts w:cs="Calibri"/>
                <w:color w:val="000000"/>
                <w:szCs w:val="20"/>
              </w:rPr>
              <w:t>Ochrona i zwiększanie retencji na obszarach rolniczych</w:t>
            </w:r>
          </w:p>
        </w:tc>
        <w:tc>
          <w:tcPr>
            <w:tcW w:w="767" w:type="pct"/>
            <w:tcBorders>
              <w:top w:val="single" w:sz="4" w:space="0" w:color="auto"/>
              <w:left w:val="single" w:sz="4" w:space="0" w:color="auto"/>
              <w:bottom w:val="single" w:sz="4" w:space="0" w:color="auto"/>
              <w:right w:val="single" w:sz="4" w:space="0" w:color="auto"/>
            </w:tcBorders>
            <w:vAlign w:val="center"/>
            <w:hideMark/>
          </w:tcPr>
          <w:p w14:paraId="2970729A" w14:textId="1F009942" w:rsidR="00282E8D" w:rsidRDefault="00282E8D" w:rsidP="00282E8D">
            <w:pPr>
              <w:pStyle w:val="Teksttabelisrodek"/>
              <w:rPr>
                <w:lang w:eastAsia="en-US"/>
              </w:rPr>
            </w:pPr>
            <w:r>
              <w:rPr>
                <w:rFonts w:cs="Calibri"/>
                <w:color w:val="000000"/>
                <w:szCs w:val="20"/>
                <w:lang w:eastAsia="en-US"/>
              </w:rPr>
              <w:t>8</w:t>
            </w:r>
          </w:p>
        </w:tc>
        <w:tc>
          <w:tcPr>
            <w:tcW w:w="779" w:type="pct"/>
            <w:gridSpan w:val="2"/>
            <w:tcBorders>
              <w:top w:val="single" w:sz="4" w:space="0" w:color="auto"/>
              <w:left w:val="single" w:sz="4" w:space="0" w:color="auto"/>
              <w:bottom w:val="single" w:sz="4" w:space="0" w:color="auto"/>
              <w:right w:val="single" w:sz="4" w:space="0" w:color="auto"/>
            </w:tcBorders>
            <w:vAlign w:val="center"/>
            <w:hideMark/>
          </w:tcPr>
          <w:p w14:paraId="59E94D25" w14:textId="40A51C36" w:rsidR="00282E8D" w:rsidRDefault="00282E8D" w:rsidP="00282E8D">
            <w:pPr>
              <w:pStyle w:val="Teksttabelisrodek"/>
              <w:rPr>
                <w:lang w:eastAsia="en-US"/>
              </w:rPr>
            </w:pPr>
            <w:r>
              <w:rPr>
                <w:rFonts w:cs="Calibri"/>
                <w:color w:val="000000"/>
                <w:szCs w:val="20"/>
                <w:lang w:eastAsia="en-US"/>
              </w:rPr>
              <w:t>4</w:t>
            </w:r>
          </w:p>
        </w:tc>
        <w:tc>
          <w:tcPr>
            <w:tcW w:w="761" w:type="pct"/>
            <w:tcBorders>
              <w:top w:val="single" w:sz="4" w:space="0" w:color="auto"/>
              <w:left w:val="single" w:sz="4" w:space="0" w:color="auto"/>
              <w:bottom w:val="single" w:sz="4" w:space="0" w:color="auto"/>
              <w:right w:val="single" w:sz="4" w:space="0" w:color="auto"/>
            </w:tcBorders>
            <w:vAlign w:val="center"/>
            <w:hideMark/>
          </w:tcPr>
          <w:p w14:paraId="66415E0E" w14:textId="5B646023" w:rsidR="00282E8D" w:rsidRDefault="00282E8D" w:rsidP="00282E8D">
            <w:pPr>
              <w:pStyle w:val="Teksttabelisrodek"/>
              <w:rPr>
                <w:lang w:eastAsia="en-US"/>
              </w:rPr>
            </w:pPr>
            <w:r>
              <w:rPr>
                <w:rFonts w:cs="Calibri"/>
                <w:color w:val="000000"/>
                <w:szCs w:val="20"/>
                <w:lang w:eastAsia="en-US"/>
              </w:rPr>
              <w:t>25,0</w:t>
            </w:r>
          </w:p>
        </w:tc>
      </w:tr>
      <w:tr w:rsidR="00282E8D" w:rsidRPr="00795F17" w14:paraId="1E04B411" w14:textId="77777777" w:rsidTr="00282E8D">
        <w:trPr>
          <w:trHeight w:val="454"/>
        </w:trPr>
        <w:tc>
          <w:tcPr>
            <w:tcW w:w="750" w:type="pct"/>
            <w:tcBorders>
              <w:top w:val="single" w:sz="4" w:space="0" w:color="auto"/>
              <w:left w:val="single" w:sz="4" w:space="0" w:color="auto"/>
              <w:bottom w:val="single" w:sz="4" w:space="0" w:color="auto"/>
              <w:right w:val="single" w:sz="4" w:space="0" w:color="auto"/>
            </w:tcBorders>
            <w:vAlign w:val="center"/>
            <w:hideMark/>
          </w:tcPr>
          <w:p w14:paraId="56A77DBB" w14:textId="4864E445" w:rsidR="00282E8D" w:rsidRDefault="00282E8D" w:rsidP="00282E8D">
            <w:pPr>
              <w:pStyle w:val="Teksttabelilewy"/>
            </w:pPr>
            <w:r>
              <w:rPr>
                <w:rFonts w:cs="Calibri"/>
                <w:color w:val="000000"/>
                <w:szCs w:val="20"/>
              </w:rPr>
              <w:t>RWrC_02</w:t>
            </w:r>
          </w:p>
        </w:tc>
        <w:tc>
          <w:tcPr>
            <w:tcW w:w="1943" w:type="pct"/>
            <w:tcBorders>
              <w:top w:val="single" w:sz="4" w:space="0" w:color="auto"/>
              <w:left w:val="single" w:sz="4" w:space="0" w:color="auto"/>
              <w:bottom w:val="single" w:sz="4" w:space="0" w:color="auto"/>
              <w:right w:val="single" w:sz="4" w:space="0" w:color="auto"/>
            </w:tcBorders>
            <w:vAlign w:val="center"/>
            <w:hideMark/>
          </w:tcPr>
          <w:p w14:paraId="728F628C" w14:textId="50D46625" w:rsidR="00282E8D" w:rsidRDefault="00282E8D" w:rsidP="00282E8D">
            <w:pPr>
              <w:pStyle w:val="Teksttabelilewy"/>
            </w:pPr>
            <w:r>
              <w:rPr>
                <w:rFonts w:cs="Calibri"/>
                <w:color w:val="000000"/>
                <w:szCs w:val="20"/>
              </w:rPr>
              <w:t>Działania wynikające z planów ochrony/planów zadań ochronnych ustanowionych dla obszarów przeznaczonych do ochrony siedlisk lub gatunków, dla których utrzymanie lub poprawa stanu wód jest ważnym czynnikiem w ich ochronie</w:t>
            </w:r>
          </w:p>
        </w:tc>
        <w:tc>
          <w:tcPr>
            <w:tcW w:w="767" w:type="pct"/>
            <w:tcBorders>
              <w:top w:val="single" w:sz="4" w:space="0" w:color="auto"/>
              <w:left w:val="single" w:sz="4" w:space="0" w:color="auto"/>
              <w:bottom w:val="single" w:sz="4" w:space="0" w:color="auto"/>
              <w:right w:val="single" w:sz="4" w:space="0" w:color="auto"/>
            </w:tcBorders>
            <w:vAlign w:val="center"/>
            <w:hideMark/>
          </w:tcPr>
          <w:p w14:paraId="01C4791E" w14:textId="0E2C47EF" w:rsidR="00282E8D" w:rsidRDefault="00282E8D" w:rsidP="00282E8D">
            <w:pPr>
              <w:pStyle w:val="Teksttabelisrodek"/>
              <w:rPr>
                <w:lang w:eastAsia="en-US"/>
              </w:rPr>
            </w:pPr>
            <w:r>
              <w:rPr>
                <w:rFonts w:cs="Calibri"/>
                <w:color w:val="000000"/>
                <w:szCs w:val="20"/>
                <w:lang w:eastAsia="en-US"/>
              </w:rPr>
              <w:t>13</w:t>
            </w:r>
          </w:p>
        </w:tc>
        <w:tc>
          <w:tcPr>
            <w:tcW w:w="779" w:type="pct"/>
            <w:gridSpan w:val="2"/>
            <w:tcBorders>
              <w:top w:val="single" w:sz="4" w:space="0" w:color="auto"/>
              <w:left w:val="single" w:sz="4" w:space="0" w:color="auto"/>
              <w:bottom w:val="single" w:sz="4" w:space="0" w:color="auto"/>
              <w:right w:val="single" w:sz="4" w:space="0" w:color="auto"/>
            </w:tcBorders>
            <w:vAlign w:val="center"/>
            <w:hideMark/>
          </w:tcPr>
          <w:p w14:paraId="696728DF" w14:textId="7779A5EC" w:rsidR="00282E8D" w:rsidRDefault="00282E8D" w:rsidP="00282E8D">
            <w:pPr>
              <w:pStyle w:val="Teksttabelisrodek"/>
              <w:rPr>
                <w:lang w:eastAsia="en-US"/>
              </w:rPr>
            </w:pPr>
            <w:r>
              <w:rPr>
                <w:rFonts w:cs="Calibri"/>
                <w:color w:val="000000"/>
                <w:szCs w:val="20"/>
                <w:lang w:eastAsia="en-US"/>
              </w:rPr>
              <w:t>6</w:t>
            </w:r>
          </w:p>
        </w:tc>
        <w:tc>
          <w:tcPr>
            <w:tcW w:w="761" w:type="pct"/>
            <w:tcBorders>
              <w:top w:val="single" w:sz="4" w:space="0" w:color="auto"/>
              <w:left w:val="single" w:sz="4" w:space="0" w:color="auto"/>
              <w:bottom w:val="single" w:sz="4" w:space="0" w:color="auto"/>
              <w:right w:val="single" w:sz="4" w:space="0" w:color="auto"/>
            </w:tcBorders>
            <w:vAlign w:val="center"/>
            <w:hideMark/>
          </w:tcPr>
          <w:p w14:paraId="3597DCF7" w14:textId="34C8F4E2" w:rsidR="00282E8D" w:rsidRDefault="00282E8D" w:rsidP="00282E8D">
            <w:pPr>
              <w:pStyle w:val="Teksttabelisrodek"/>
              <w:rPr>
                <w:lang w:eastAsia="en-US"/>
              </w:rPr>
            </w:pPr>
            <w:r>
              <w:rPr>
                <w:rFonts w:cs="Calibri"/>
                <w:color w:val="000000"/>
                <w:szCs w:val="20"/>
                <w:lang w:eastAsia="en-US"/>
              </w:rPr>
              <w:t>37,5</w:t>
            </w:r>
          </w:p>
        </w:tc>
      </w:tr>
      <w:tr w:rsidR="00306FB7" w:rsidRPr="00795F17" w14:paraId="12A7EB2D" w14:textId="77777777" w:rsidTr="00770B2E">
        <w:trPr>
          <w:trHeight w:val="454"/>
        </w:trPr>
        <w:tc>
          <w:tcPr>
            <w:tcW w:w="750" w:type="pct"/>
            <w:vMerge w:val="restart"/>
            <w:tcBorders>
              <w:top w:val="single" w:sz="4" w:space="0" w:color="auto"/>
              <w:left w:val="single" w:sz="4" w:space="0" w:color="auto"/>
              <w:right w:val="single" w:sz="4" w:space="0" w:color="auto"/>
            </w:tcBorders>
            <w:vAlign w:val="center"/>
            <w:hideMark/>
          </w:tcPr>
          <w:p w14:paraId="357CBCD4" w14:textId="69274A05" w:rsidR="00306FB7" w:rsidRDefault="00306FB7" w:rsidP="00282E8D">
            <w:pPr>
              <w:pStyle w:val="Teksttabelilewy"/>
            </w:pPr>
            <w:r>
              <w:rPr>
                <w:rFonts w:cs="Calibri"/>
                <w:color w:val="000000"/>
                <w:szCs w:val="20"/>
              </w:rPr>
              <w:t>RWrHM_02</w:t>
            </w:r>
          </w:p>
        </w:tc>
        <w:tc>
          <w:tcPr>
            <w:tcW w:w="1943" w:type="pct"/>
            <w:tcBorders>
              <w:top w:val="single" w:sz="4" w:space="0" w:color="auto"/>
              <w:left w:val="single" w:sz="4" w:space="0" w:color="auto"/>
              <w:bottom w:val="single" w:sz="4" w:space="0" w:color="auto"/>
              <w:right w:val="single" w:sz="4" w:space="0" w:color="auto"/>
            </w:tcBorders>
            <w:vAlign w:val="center"/>
            <w:hideMark/>
          </w:tcPr>
          <w:p w14:paraId="0D64E3E4" w14:textId="3D9D92CE" w:rsidR="00306FB7" w:rsidRDefault="00306FB7" w:rsidP="00282E8D">
            <w:pPr>
              <w:pStyle w:val="Teksttabelilewy"/>
            </w:pPr>
            <w:r>
              <w:rPr>
                <w:rFonts w:cs="Calibri"/>
                <w:color w:val="000000"/>
                <w:szCs w:val="20"/>
              </w:rPr>
              <w:t>Przebudowa budowli piętrzących w zakresie zapewniającym ciągłość biologiczną w zakresie spełnienia celów środowiskowych</w:t>
            </w:r>
          </w:p>
        </w:tc>
        <w:tc>
          <w:tcPr>
            <w:tcW w:w="767" w:type="pct"/>
            <w:vMerge w:val="restart"/>
            <w:tcBorders>
              <w:top w:val="single" w:sz="4" w:space="0" w:color="auto"/>
              <w:left w:val="single" w:sz="4" w:space="0" w:color="auto"/>
              <w:right w:val="single" w:sz="4" w:space="0" w:color="auto"/>
            </w:tcBorders>
            <w:vAlign w:val="center"/>
            <w:hideMark/>
          </w:tcPr>
          <w:p w14:paraId="72875141" w14:textId="3F2A2A7C" w:rsidR="00306FB7" w:rsidRDefault="00306FB7" w:rsidP="00282E8D">
            <w:pPr>
              <w:pStyle w:val="Teksttabelisrodek"/>
              <w:rPr>
                <w:lang w:eastAsia="en-US"/>
              </w:rPr>
            </w:pPr>
            <w:r>
              <w:rPr>
                <w:rFonts w:cs="Calibri"/>
                <w:color w:val="000000"/>
                <w:szCs w:val="20"/>
                <w:lang w:eastAsia="en-US"/>
              </w:rPr>
              <w:t>5</w:t>
            </w:r>
          </w:p>
        </w:tc>
        <w:tc>
          <w:tcPr>
            <w:tcW w:w="779" w:type="pct"/>
            <w:gridSpan w:val="2"/>
            <w:vMerge w:val="restart"/>
            <w:tcBorders>
              <w:top w:val="single" w:sz="4" w:space="0" w:color="auto"/>
              <w:left w:val="single" w:sz="4" w:space="0" w:color="auto"/>
              <w:right w:val="single" w:sz="4" w:space="0" w:color="auto"/>
            </w:tcBorders>
            <w:vAlign w:val="center"/>
            <w:hideMark/>
          </w:tcPr>
          <w:p w14:paraId="4C4529FE" w14:textId="5063A1E3" w:rsidR="00306FB7" w:rsidRDefault="00306FB7" w:rsidP="00282E8D">
            <w:pPr>
              <w:pStyle w:val="Teksttabelisrodek"/>
              <w:rPr>
                <w:lang w:eastAsia="en-US"/>
              </w:rPr>
            </w:pPr>
            <w:r>
              <w:rPr>
                <w:rFonts w:cs="Calibri"/>
                <w:color w:val="000000"/>
                <w:szCs w:val="20"/>
                <w:lang w:eastAsia="en-US"/>
              </w:rPr>
              <w:t>4</w:t>
            </w:r>
          </w:p>
        </w:tc>
        <w:tc>
          <w:tcPr>
            <w:tcW w:w="761" w:type="pct"/>
            <w:vMerge w:val="restart"/>
            <w:tcBorders>
              <w:top w:val="single" w:sz="4" w:space="0" w:color="auto"/>
              <w:left w:val="single" w:sz="4" w:space="0" w:color="auto"/>
              <w:right w:val="single" w:sz="4" w:space="0" w:color="auto"/>
            </w:tcBorders>
            <w:vAlign w:val="center"/>
            <w:hideMark/>
          </w:tcPr>
          <w:p w14:paraId="1468C706" w14:textId="0D539AC0" w:rsidR="00306FB7" w:rsidRDefault="00306FB7" w:rsidP="00282E8D">
            <w:pPr>
              <w:pStyle w:val="Teksttabelisrodek"/>
              <w:rPr>
                <w:lang w:eastAsia="en-US"/>
              </w:rPr>
            </w:pPr>
            <w:r>
              <w:rPr>
                <w:rFonts w:cs="Calibri"/>
                <w:color w:val="000000"/>
                <w:szCs w:val="20"/>
                <w:lang w:eastAsia="en-US"/>
              </w:rPr>
              <w:t>25,0</w:t>
            </w:r>
          </w:p>
        </w:tc>
      </w:tr>
      <w:tr w:rsidR="00306FB7" w:rsidRPr="00795F17" w14:paraId="67562A16" w14:textId="77777777" w:rsidTr="00770B2E">
        <w:trPr>
          <w:trHeight w:val="454"/>
        </w:trPr>
        <w:tc>
          <w:tcPr>
            <w:tcW w:w="750" w:type="pct"/>
            <w:vMerge/>
            <w:tcBorders>
              <w:left w:val="single" w:sz="4" w:space="0" w:color="auto"/>
              <w:bottom w:val="single" w:sz="4" w:space="0" w:color="auto"/>
              <w:right w:val="single" w:sz="4" w:space="0" w:color="auto"/>
            </w:tcBorders>
            <w:vAlign w:val="center"/>
            <w:hideMark/>
          </w:tcPr>
          <w:p w14:paraId="4EF5E773" w14:textId="5183EE39" w:rsidR="00306FB7" w:rsidRDefault="00306FB7" w:rsidP="00282E8D">
            <w:pPr>
              <w:pStyle w:val="Teksttabelilewy"/>
            </w:pPr>
          </w:p>
        </w:tc>
        <w:tc>
          <w:tcPr>
            <w:tcW w:w="1943" w:type="pct"/>
            <w:tcBorders>
              <w:top w:val="single" w:sz="4" w:space="0" w:color="auto"/>
              <w:left w:val="single" w:sz="4" w:space="0" w:color="auto"/>
              <w:bottom w:val="single" w:sz="4" w:space="0" w:color="auto"/>
              <w:right w:val="single" w:sz="4" w:space="0" w:color="auto"/>
            </w:tcBorders>
            <w:vAlign w:val="center"/>
            <w:hideMark/>
          </w:tcPr>
          <w:p w14:paraId="4ABD1944" w14:textId="6DE193FE" w:rsidR="00306FB7" w:rsidRDefault="00306FB7" w:rsidP="00282E8D">
            <w:pPr>
              <w:pStyle w:val="Teksttabelilewy"/>
            </w:pPr>
            <w:r>
              <w:rPr>
                <w:rFonts w:cs="Calibri"/>
                <w:color w:val="000000"/>
                <w:szCs w:val="20"/>
              </w:rPr>
              <w:t>Kontrola funkcjonowania urządzeń do migracji ryb</w:t>
            </w:r>
          </w:p>
        </w:tc>
        <w:tc>
          <w:tcPr>
            <w:tcW w:w="767" w:type="pct"/>
            <w:vMerge/>
            <w:tcBorders>
              <w:left w:val="single" w:sz="4" w:space="0" w:color="auto"/>
              <w:bottom w:val="single" w:sz="4" w:space="0" w:color="auto"/>
              <w:right w:val="single" w:sz="4" w:space="0" w:color="auto"/>
            </w:tcBorders>
            <w:vAlign w:val="center"/>
            <w:hideMark/>
          </w:tcPr>
          <w:p w14:paraId="537F3485" w14:textId="0564EE74" w:rsidR="00306FB7" w:rsidRDefault="00306FB7" w:rsidP="00282E8D">
            <w:pPr>
              <w:pStyle w:val="Teksttabelisrodek"/>
              <w:rPr>
                <w:lang w:eastAsia="en-US"/>
              </w:rPr>
            </w:pPr>
          </w:p>
        </w:tc>
        <w:tc>
          <w:tcPr>
            <w:tcW w:w="779" w:type="pct"/>
            <w:gridSpan w:val="2"/>
            <w:vMerge/>
            <w:tcBorders>
              <w:left w:val="single" w:sz="4" w:space="0" w:color="auto"/>
              <w:bottom w:val="single" w:sz="4" w:space="0" w:color="auto"/>
              <w:right w:val="single" w:sz="4" w:space="0" w:color="auto"/>
            </w:tcBorders>
            <w:vAlign w:val="center"/>
            <w:hideMark/>
          </w:tcPr>
          <w:p w14:paraId="520EC4F5" w14:textId="2DE6165D" w:rsidR="00306FB7" w:rsidRDefault="00306FB7" w:rsidP="00282E8D">
            <w:pPr>
              <w:pStyle w:val="Teksttabelisrodek"/>
              <w:rPr>
                <w:lang w:eastAsia="en-US"/>
              </w:rPr>
            </w:pPr>
          </w:p>
        </w:tc>
        <w:tc>
          <w:tcPr>
            <w:tcW w:w="761" w:type="pct"/>
            <w:vMerge/>
            <w:tcBorders>
              <w:left w:val="single" w:sz="4" w:space="0" w:color="auto"/>
              <w:bottom w:val="single" w:sz="4" w:space="0" w:color="auto"/>
              <w:right w:val="single" w:sz="4" w:space="0" w:color="auto"/>
            </w:tcBorders>
            <w:vAlign w:val="center"/>
            <w:hideMark/>
          </w:tcPr>
          <w:p w14:paraId="1BA6C166" w14:textId="797E865A" w:rsidR="00306FB7" w:rsidRDefault="00306FB7" w:rsidP="00282E8D">
            <w:pPr>
              <w:pStyle w:val="Teksttabelisrodek"/>
              <w:rPr>
                <w:lang w:eastAsia="en-US"/>
              </w:rPr>
            </w:pPr>
          </w:p>
        </w:tc>
      </w:tr>
      <w:tr w:rsidR="00282E8D" w:rsidRPr="00795F17" w14:paraId="116AF2F6" w14:textId="77777777" w:rsidTr="00282E8D">
        <w:trPr>
          <w:trHeight w:val="454"/>
        </w:trPr>
        <w:tc>
          <w:tcPr>
            <w:tcW w:w="750" w:type="pct"/>
            <w:tcBorders>
              <w:top w:val="single" w:sz="4" w:space="0" w:color="auto"/>
              <w:left w:val="single" w:sz="4" w:space="0" w:color="auto"/>
              <w:bottom w:val="single" w:sz="4" w:space="0" w:color="auto"/>
              <w:right w:val="single" w:sz="4" w:space="0" w:color="auto"/>
            </w:tcBorders>
            <w:vAlign w:val="center"/>
            <w:hideMark/>
          </w:tcPr>
          <w:p w14:paraId="6F998B7F" w14:textId="17A444DD" w:rsidR="00282E8D" w:rsidRDefault="00282E8D" w:rsidP="00282E8D">
            <w:pPr>
              <w:pStyle w:val="Teksttabelilewy"/>
            </w:pPr>
            <w:r>
              <w:rPr>
                <w:rFonts w:cs="Calibri"/>
                <w:color w:val="000000"/>
                <w:szCs w:val="20"/>
              </w:rPr>
              <w:t>RWrP_01</w:t>
            </w:r>
          </w:p>
        </w:tc>
        <w:tc>
          <w:tcPr>
            <w:tcW w:w="1943" w:type="pct"/>
            <w:tcBorders>
              <w:top w:val="single" w:sz="4" w:space="0" w:color="auto"/>
              <w:left w:val="single" w:sz="4" w:space="0" w:color="auto"/>
              <w:bottom w:val="single" w:sz="4" w:space="0" w:color="auto"/>
              <w:right w:val="single" w:sz="4" w:space="0" w:color="auto"/>
            </w:tcBorders>
            <w:vAlign w:val="center"/>
            <w:hideMark/>
          </w:tcPr>
          <w:p w14:paraId="70896A7D" w14:textId="5CE23A67" w:rsidR="00282E8D" w:rsidRDefault="00282E8D" w:rsidP="00282E8D">
            <w:pPr>
              <w:pStyle w:val="Teksttabelilewy"/>
            </w:pPr>
            <w:r>
              <w:rPr>
                <w:rFonts w:cs="Calibri"/>
                <w:color w:val="000000"/>
                <w:szCs w:val="20"/>
              </w:rPr>
              <w:t>Gospodarka ściekowa w aglomeracjach</w:t>
            </w:r>
          </w:p>
        </w:tc>
        <w:tc>
          <w:tcPr>
            <w:tcW w:w="767" w:type="pct"/>
            <w:tcBorders>
              <w:top w:val="single" w:sz="4" w:space="0" w:color="auto"/>
              <w:left w:val="single" w:sz="4" w:space="0" w:color="auto"/>
              <w:bottom w:val="single" w:sz="4" w:space="0" w:color="auto"/>
              <w:right w:val="single" w:sz="4" w:space="0" w:color="auto"/>
            </w:tcBorders>
            <w:vAlign w:val="center"/>
            <w:hideMark/>
          </w:tcPr>
          <w:p w14:paraId="62C73837" w14:textId="62736451" w:rsidR="00282E8D" w:rsidRDefault="00282E8D" w:rsidP="00282E8D">
            <w:pPr>
              <w:pStyle w:val="Teksttabelisrodek"/>
              <w:rPr>
                <w:lang w:eastAsia="en-US"/>
              </w:rPr>
            </w:pPr>
            <w:r>
              <w:rPr>
                <w:rFonts w:cs="Calibri"/>
                <w:color w:val="000000"/>
                <w:szCs w:val="20"/>
                <w:lang w:eastAsia="en-US"/>
              </w:rPr>
              <w:t>2</w:t>
            </w:r>
          </w:p>
        </w:tc>
        <w:tc>
          <w:tcPr>
            <w:tcW w:w="779" w:type="pct"/>
            <w:gridSpan w:val="2"/>
            <w:tcBorders>
              <w:top w:val="single" w:sz="4" w:space="0" w:color="auto"/>
              <w:left w:val="single" w:sz="4" w:space="0" w:color="auto"/>
              <w:bottom w:val="single" w:sz="4" w:space="0" w:color="auto"/>
              <w:right w:val="single" w:sz="4" w:space="0" w:color="auto"/>
            </w:tcBorders>
            <w:vAlign w:val="center"/>
            <w:hideMark/>
          </w:tcPr>
          <w:p w14:paraId="0FC48B19" w14:textId="42E9E695" w:rsidR="00282E8D" w:rsidRDefault="00282E8D" w:rsidP="00282E8D">
            <w:pPr>
              <w:pStyle w:val="Teksttabelisrodek"/>
              <w:rPr>
                <w:lang w:eastAsia="en-US"/>
              </w:rPr>
            </w:pPr>
            <w:r>
              <w:rPr>
                <w:rFonts w:cs="Calibri"/>
                <w:color w:val="000000"/>
                <w:szCs w:val="20"/>
                <w:lang w:eastAsia="en-US"/>
              </w:rPr>
              <w:t>1</w:t>
            </w:r>
          </w:p>
        </w:tc>
        <w:tc>
          <w:tcPr>
            <w:tcW w:w="761" w:type="pct"/>
            <w:tcBorders>
              <w:top w:val="single" w:sz="4" w:space="0" w:color="auto"/>
              <w:left w:val="single" w:sz="4" w:space="0" w:color="auto"/>
              <w:bottom w:val="single" w:sz="4" w:space="0" w:color="auto"/>
              <w:right w:val="single" w:sz="4" w:space="0" w:color="auto"/>
            </w:tcBorders>
            <w:vAlign w:val="center"/>
            <w:hideMark/>
          </w:tcPr>
          <w:p w14:paraId="0218EDE4" w14:textId="1C675799" w:rsidR="00282E8D" w:rsidRDefault="00282E8D" w:rsidP="00282E8D">
            <w:pPr>
              <w:pStyle w:val="Teksttabelisrodek"/>
              <w:rPr>
                <w:lang w:eastAsia="en-US"/>
              </w:rPr>
            </w:pPr>
            <w:r>
              <w:rPr>
                <w:rFonts w:cs="Calibri"/>
                <w:color w:val="000000"/>
                <w:szCs w:val="20"/>
                <w:lang w:eastAsia="en-US"/>
              </w:rPr>
              <w:t>6,3</w:t>
            </w:r>
          </w:p>
        </w:tc>
      </w:tr>
      <w:tr w:rsidR="00282E8D" w:rsidRPr="00795F17" w14:paraId="7BE94C2F" w14:textId="77777777" w:rsidTr="00282E8D">
        <w:trPr>
          <w:trHeight w:val="454"/>
        </w:trPr>
        <w:tc>
          <w:tcPr>
            <w:tcW w:w="750" w:type="pct"/>
            <w:tcBorders>
              <w:top w:val="single" w:sz="4" w:space="0" w:color="auto"/>
              <w:left w:val="single" w:sz="4" w:space="0" w:color="auto"/>
              <w:bottom w:val="single" w:sz="4" w:space="0" w:color="auto"/>
              <w:right w:val="single" w:sz="4" w:space="0" w:color="auto"/>
            </w:tcBorders>
            <w:vAlign w:val="center"/>
            <w:hideMark/>
          </w:tcPr>
          <w:p w14:paraId="4EF78483" w14:textId="49FB8701" w:rsidR="00282E8D" w:rsidRDefault="00282E8D" w:rsidP="00282E8D">
            <w:pPr>
              <w:pStyle w:val="Teksttabelilewy"/>
            </w:pPr>
            <w:r>
              <w:rPr>
                <w:rFonts w:cs="Calibri"/>
                <w:color w:val="000000"/>
                <w:szCs w:val="20"/>
              </w:rPr>
              <w:t>RWrP_02</w:t>
            </w:r>
          </w:p>
        </w:tc>
        <w:tc>
          <w:tcPr>
            <w:tcW w:w="1943" w:type="pct"/>
            <w:tcBorders>
              <w:top w:val="single" w:sz="4" w:space="0" w:color="auto"/>
              <w:left w:val="single" w:sz="4" w:space="0" w:color="auto"/>
              <w:bottom w:val="single" w:sz="4" w:space="0" w:color="auto"/>
              <w:right w:val="single" w:sz="4" w:space="0" w:color="auto"/>
            </w:tcBorders>
            <w:vAlign w:val="center"/>
            <w:hideMark/>
          </w:tcPr>
          <w:p w14:paraId="08A36877" w14:textId="5D352FBC" w:rsidR="00282E8D" w:rsidRDefault="00282E8D" w:rsidP="00282E8D">
            <w:pPr>
              <w:pStyle w:val="Teksttabelilewy"/>
            </w:pPr>
            <w:r>
              <w:rPr>
                <w:rFonts w:cs="Calibri"/>
                <w:color w:val="000000"/>
                <w:szCs w:val="20"/>
              </w:rPr>
              <w:t>Działania kontrolne</w:t>
            </w:r>
          </w:p>
        </w:tc>
        <w:tc>
          <w:tcPr>
            <w:tcW w:w="767" w:type="pct"/>
            <w:tcBorders>
              <w:top w:val="single" w:sz="4" w:space="0" w:color="auto"/>
              <w:left w:val="single" w:sz="4" w:space="0" w:color="auto"/>
              <w:bottom w:val="single" w:sz="4" w:space="0" w:color="auto"/>
              <w:right w:val="single" w:sz="4" w:space="0" w:color="auto"/>
            </w:tcBorders>
            <w:vAlign w:val="center"/>
            <w:hideMark/>
          </w:tcPr>
          <w:p w14:paraId="7FEB4CA8" w14:textId="179C33FD" w:rsidR="00282E8D" w:rsidRDefault="00282E8D" w:rsidP="00282E8D">
            <w:pPr>
              <w:pStyle w:val="Teksttabelisrodek"/>
              <w:rPr>
                <w:lang w:eastAsia="en-US"/>
              </w:rPr>
            </w:pPr>
            <w:r>
              <w:rPr>
                <w:rFonts w:cs="Calibri"/>
                <w:color w:val="000000"/>
                <w:szCs w:val="20"/>
                <w:lang w:eastAsia="en-US"/>
              </w:rPr>
              <w:t>4</w:t>
            </w:r>
          </w:p>
        </w:tc>
        <w:tc>
          <w:tcPr>
            <w:tcW w:w="779" w:type="pct"/>
            <w:gridSpan w:val="2"/>
            <w:tcBorders>
              <w:top w:val="single" w:sz="4" w:space="0" w:color="auto"/>
              <w:left w:val="single" w:sz="4" w:space="0" w:color="auto"/>
              <w:bottom w:val="single" w:sz="4" w:space="0" w:color="auto"/>
              <w:right w:val="single" w:sz="4" w:space="0" w:color="auto"/>
            </w:tcBorders>
            <w:vAlign w:val="center"/>
            <w:hideMark/>
          </w:tcPr>
          <w:p w14:paraId="00E8C86A" w14:textId="67D2BEBD" w:rsidR="00282E8D" w:rsidRDefault="00282E8D" w:rsidP="00282E8D">
            <w:pPr>
              <w:pStyle w:val="Teksttabelisrodek"/>
              <w:rPr>
                <w:lang w:eastAsia="en-US"/>
              </w:rPr>
            </w:pPr>
            <w:r>
              <w:rPr>
                <w:rFonts w:cs="Calibri"/>
                <w:color w:val="000000"/>
                <w:szCs w:val="20"/>
                <w:lang w:eastAsia="en-US"/>
              </w:rPr>
              <w:t>4</w:t>
            </w:r>
          </w:p>
        </w:tc>
        <w:tc>
          <w:tcPr>
            <w:tcW w:w="761" w:type="pct"/>
            <w:tcBorders>
              <w:top w:val="single" w:sz="4" w:space="0" w:color="auto"/>
              <w:left w:val="single" w:sz="4" w:space="0" w:color="auto"/>
              <w:bottom w:val="single" w:sz="4" w:space="0" w:color="auto"/>
              <w:right w:val="single" w:sz="4" w:space="0" w:color="auto"/>
            </w:tcBorders>
            <w:vAlign w:val="center"/>
            <w:hideMark/>
          </w:tcPr>
          <w:p w14:paraId="7D5D35E3" w14:textId="439845B9" w:rsidR="00282E8D" w:rsidRDefault="00282E8D" w:rsidP="00282E8D">
            <w:pPr>
              <w:pStyle w:val="Teksttabelisrodek"/>
              <w:rPr>
                <w:lang w:eastAsia="en-US"/>
              </w:rPr>
            </w:pPr>
            <w:r>
              <w:rPr>
                <w:rFonts w:cs="Calibri"/>
                <w:color w:val="000000"/>
                <w:szCs w:val="20"/>
                <w:lang w:eastAsia="en-US"/>
              </w:rPr>
              <w:t>25,0</w:t>
            </w:r>
          </w:p>
        </w:tc>
      </w:tr>
      <w:tr w:rsidR="00282E8D" w:rsidRPr="00795F17" w14:paraId="2C3F2A58" w14:textId="77777777" w:rsidTr="00282E8D">
        <w:trPr>
          <w:trHeight w:val="454"/>
        </w:trPr>
        <w:tc>
          <w:tcPr>
            <w:tcW w:w="750" w:type="pct"/>
            <w:tcBorders>
              <w:top w:val="single" w:sz="4" w:space="0" w:color="auto"/>
              <w:left w:val="single" w:sz="4" w:space="0" w:color="auto"/>
              <w:bottom w:val="single" w:sz="4" w:space="0" w:color="auto"/>
              <w:right w:val="single" w:sz="4" w:space="0" w:color="auto"/>
            </w:tcBorders>
            <w:vAlign w:val="center"/>
            <w:hideMark/>
          </w:tcPr>
          <w:p w14:paraId="401CA315" w14:textId="403112FA" w:rsidR="00282E8D" w:rsidRDefault="00282E8D" w:rsidP="00282E8D">
            <w:pPr>
              <w:pStyle w:val="Teksttabelilewy"/>
            </w:pPr>
            <w:r>
              <w:rPr>
                <w:rFonts w:cs="Calibri"/>
                <w:color w:val="000000"/>
                <w:szCs w:val="20"/>
              </w:rPr>
              <w:t>RWrP_03</w:t>
            </w:r>
          </w:p>
        </w:tc>
        <w:tc>
          <w:tcPr>
            <w:tcW w:w="1943" w:type="pct"/>
            <w:tcBorders>
              <w:top w:val="single" w:sz="4" w:space="0" w:color="auto"/>
              <w:left w:val="single" w:sz="4" w:space="0" w:color="auto"/>
              <w:bottom w:val="single" w:sz="4" w:space="0" w:color="auto"/>
              <w:right w:val="single" w:sz="4" w:space="0" w:color="auto"/>
            </w:tcBorders>
            <w:vAlign w:val="center"/>
            <w:hideMark/>
          </w:tcPr>
          <w:p w14:paraId="25A927C9" w14:textId="043DCA23" w:rsidR="00282E8D" w:rsidRDefault="00282E8D" w:rsidP="00282E8D">
            <w:pPr>
              <w:pStyle w:val="Teksttabelilewy"/>
            </w:pPr>
            <w:r>
              <w:rPr>
                <w:rFonts w:cs="Calibri"/>
                <w:color w:val="000000"/>
                <w:szCs w:val="20"/>
              </w:rPr>
              <w:t>Ograniczenie spływu zanieczyszczeń z terenów zurbanizowanych</w:t>
            </w:r>
          </w:p>
        </w:tc>
        <w:tc>
          <w:tcPr>
            <w:tcW w:w="767" w:type="pct"/>
            <w:tcBorders>
              <w:top w:val="single" w:sz="4" w:space="0" w:color="auto"/>
              <w:left w:val="single" w:sz="4" w:space="0" w:color="auto"/>
              <w:bottom w:val="single" w:sz="4" w:space="0" w:color="auto"/>
              <w:right w:val="single" w:sz="4" w:space="0" w:color="auto"/>
            </w:tcBorders>
            <w:vAlign w:val="center"/>
            <w:hideMark/>
          </w:tcPr>
          <w:p w14:paraId="6568049D" w14:textId="4494DD2D" w:rsidR="00282E8D" w:rsidRDefault="00282E8D" w:rsidP="00282E8D">
            <w:pPr>
              <w:pStyle w:val="Teksttabelisrodek"/>
              <w:rPr>
                <w:lang w:eastAsia="en-US"/>
              </w:rPr>
            </w:pPr>
            <w:r>
              <w:rPr>
                <w:rFonts w:cs="Calibri"/>
                <w:color w:val="000000"/>
                <w:szCs w:val="20"/>
                <w:lang w:eastAsia="en-US"/>
              </w:rPr>
              <w:t>1</w:t>
            </w:r>
          </w:p>
        </w:tc>
        <w:tc>
          <w:tcPr>
            <w:tcW w:w="779" w:type="pct"/>
            <w:gridSpan w:val="2"/>
            <w:tcBorders>
              <w:top w:val="single" w:sz="4" w:space="0" w:color="auto"/>
              <w:left w:val="single" w:sz="4" w:space="0" w:color="auto"/>
              <w:bottom w:val="single" w:sz="4" w:space="0" w:color="auto"/>
              <w:right w:val="single" w:sz="4" w:space="0" w:color="auto"/>
            </w:tcBorders>
            <w:vAlign w:val="center"/>
            <w:hideMark/>
          </w:tcPr>
          <w:p w14:paraId="6285D685" w14:textId="7F67A21A" w:rsidR="00282E8D" w:rsidRDefault="00282E8D" w:rsidP="00282E8D">
            <w:pPr>
              <w:pStyle w:val="Teksttabelisrodek"/>
              <w:rPr>
                <w:lang w:eastAsia="en-US"/>
              </w:rPr>
            </w:pPr>
            <w:r>
              <w:rPr>
                <w:rFonts w:cs="Calibri"/>
                <w:color w:val="000000"/>
                <w:szCs w:val="20"/>
                <w:lang w:eastAsia="en-US"/>
              </w:rPr>
              <w:t>1</w:t>
            </w:r>
          </w:p>
        </w:tc>
        <w:tc>
          <w:tcPr>
            <w:tcW w:w="761" w:type="pct"/>
            <w:tcBorders>
              <w:top w:val="single" w:sz="4" w:space="0" w:color="auto"/>
              <w:left w:val="single" w:sz="4" w:space="0" w:color="auto"/>
              <w:bottom w:val="single" w:sz="4" w:space="0" w:color="auto"/>
              <w:right w:val="single" w:sz="4" w:space="0" w:color="auto"/>
            </w:tcBorders>
            <w:vAlign w:val="center"/>
            <w:hideMark/>
          </w:tcPr>
          <w:p w14:paraId="4383A434" w14:textId="43B7AC70" w:rsidR="00282E8D" w:rsidRDefault="00282E8D" w:rsidP="00282E8D">
            <w:pPr>
              <w:pStyle w:val="Teksttabelisrodek"/>
              <w:rPr>
                <w:lang w:eastAsia="en-US"/>
              </w:rPr>
            </w:pPr>
            <w:r>
              <w:rPr>
                <w:rFonts w:cs="Calibri"/>
                <w:color w:val="000000"/>
                <w:szCs w:val="20"/>
                <w:lang w:eastAsia="en-US"/>
              </w:rPr>
              <w:t>6,3</w:t>
            </w:r>
          </w:p>
        </w:tc>
      </w:tr>
      <w:tr w:rsidR="00282E8D" w:rsidRPr="00795F17" w14:paraId="09AE64DB" w14:textId="77777777" w:rsidTr="00282E8D">
        <w:trPr>
          <w:trHeight w:val="454"/>
        </w:trPr>
        <w:tc>
          <w:tcPr>
            <w:tcW w:w="750" w:type="pct"/>
            <w:tcBorders>
              <w:top w:val="single" w:sz="4" w:space="0" w:color="auto"/>
              <w:left w:val="single" w:sz="4" w:space="0" w:color="auto"/>
              <w:bottom w:val="single" w:sz="4" w:space="0" w:color="auto"/>
              <w:right w:val="single" w:sz="4" w:space="0" w:color="auto"/>
            </w:tcBorders>
            <w:vAlign w:val="center"/>
            <w:hideMark/>
          </w:tcPr>
          <w:p w14:paraId="0E484870" w14:textId="74EFBAA0" w:rsidR="00282E8D" w:rsidRDefault="00282E8D" w:rsidP="00282E8D">
            <w:pPr>
              <w:pStyle w:val="Teksttabelilewy"/>
            </w:pPr>
            <w:r>
              <w:rPr>
                <w:rFonts w:cs="Calibri"/>
                <w:color w:val="000000"/>
                <w:szCs w:val="20"/>
              </w:rPr>
              <w:t>RWrP_04</w:t>
            </w:r>
          </w:p>
        </w:tc>
        <w:tc>
          <w:tcPr>
            <w:tcW w:w="1943" w:type="pct"/>
            <w:tcBorders>
              <w:top w:val="single" w:sz="4" w:space="0" w:color="auto"/>
              <w:left w:val="single" w:sz="4" w:space="0" w:color="auto"/>
              <w:bottom w:val="single" w:sz="4" w:space="0" w:color="auto"/>
              <w:right w:val="single" w:sz="4" w:space="0" w:color="auto"/>
            </w:tcBorders>
            <w:vAlign w:val="center"/>
            <w:hideMark/>
          </w:tcPr>
          <w:p w14:paraId="060FBBB2" w14:textId="046F0407" w:rsidR="00282E8D" w:rsidRDefault="00282E8D" w:rsidP="00282E8D">
            <w:pPr>
              <w:pStyle w:val="Teksttabelilewy"/>
            </w:pPr>
            <w:r>
              <w:rPr>
                <w:rFonts w:cs="Calibri"/>
                <w:color w:val="000000"/>
                <w:szCs w:val="20"/>
              </w:rPr>
              <w:t>Działania edukacyjne i doradcze dla rolników</w:t>
            </w:r>
          </w:p>
        </w:tc>
        <w:tc>
          <w:tcPr>
            <w:tcW w:w="767" w:type="pct"/>
            <w:tcBorders>
              <w:top w:val="single" w:sz="4" w:space="0" w:color="auto"/>
              <w:left w:val="single" w:sz="4" w:space="0" w:color="auto"/>
              <w:bottom w:val="single" w:sz="4" w:space="0" w:color="auto"/>
              <w:right w:val="single" w:sz="4" w:space="0" w:color="auto"/>
            </w:tcBorders>
            <w:vAlign w:val="center"/>
            <w:hideMark/>
          </w:tcPr>
          <w:p w14:paraId="24A04853" w14:textId="64C4AB58" w:rsidR="00282E8D" w:rsidRDefault="00282E8D" w:rsidP="00282E8D">
            <w:pPr>
              <w:pStyle w:val="Teksttabelisrodek"/>
              <w:rPr>
                <w:lang w:eastAsia="en-US"/>
              </w:rPr>
            </w:pPr>
            <w:r>
              <w:rPr>
                <w:rFonts w:cs="Calibri"/>
                <w:color w:val="000000"/>
                <w:szCs w:val="20"/>
                <w:lang w:eastAsia="en-US"/>
              </w:rPr>
              <w:t>6</w:t>
            </w:r>
          </w:p>
        </w:tc>
        <w:tc>
          <w:tcPr>
            <w:tcW w:w="779" w:type="pct"/>
            <w:gridSpan w:val="2"/>
            <w:tcBorders>
              <w:top w:val="single" w:sz="4" w:space="0" w:color="auto"/>
              <w:left w:val="single" w:sz="4" w:space="0" w:color="auto"/>
              <w:bottom w:val="single" w:sz="4" w:space="0" w:color="auto"/>
              <w:right w:val="single" w:sz="4" w:space="0" w:color="auto"/>
            </w:tcBorders>
            <w:vAlign w:val="center"/>
            <w:hideMark/>
          </w:tcPr>
          <w:p w14:paraId="34035585" w14:textId="3772356E" w:rsidR="00282E8D" w:rsidRDefault="00282E8D" w:rsidP="00282E8D">
            <w:pPr>
              <w:pStyle w:val="Teksttabelisrodek"/>
              <w:rPr>
                <w:lang w:eastAsia="en-US"/>
              </w:rPr>
            </w:pPr>
            <w:r>
              <w:rPr>
                <w:rFonts w:cs="Calibri"/>
                <w:color w:val="000000"/>
                <w:szCs w:val="20"/>
                <w:lang w:eastAsia="en-US"/>
              </w:rPr>
              <w:t>6</w:t>
            </w:r>
          </w:p>
        </w:tc>
        <w:tc>
          <w:tcPr>
            <w:tcW w:w="761" w:type="pct"/>
            <w:tcBorders>
              <w:top w:val="single" w:sz="4" w:space="0" w:color="auto"/>
              <w:left w:val="single" w:sz="4" w:space="0" w:color="auto"/>
              <w:bottom w:val="single" w:sz="4" w:space="0" w:color="auto"/>
              <w:right w:val="single" w:sz="4" w:space="0" w:color="auto"/>
            </w:tcBorders>
            <w:vAlign w:val="center"/>
            <w:hideMark/>
          </w:tcPr>
          <w:p w14:paraId="7EF4A016" w14:textId="785F238B" w:rsidR="00282E8D" w:rsidRDefault="00282E8D" w:rsidP="00282E8D">
            <w:pPr>
              <w:pStyle w:val="Teksttabelisrodek"/>
              <w:rPr>
                <w:lang w:eastAsia="en-US"/>
              </w:rPr>
            </w:pPr>
            <w:r>
              <w:rPr>
                <w:rFonts w:cs="Calibri"/>
                <w:color w:val="000000"/>
                <w:szCs w:val="20"/>
                <w:lang w:eastAsia="en-US"/>
              </w:rPr>
              <w:t>37,5</w:t>
            </w:r>
          </w:p>
        </w:tc>
      </w:tr>
      <w:tr w:rsidR="00282E8D" w:rsidRPr="00795F17" w14:paraId="4CA6C947" w14:textId="77777777" w:rsidTr="00282E8D">
        <w:trPr>
          <w:trHeight w:val="454"/>
        </w:trPr>
        <w:tc>
          <w:tcPr>
            <w:tcW w:w="750" w:type="pct"/>
            <w:tcBorders>
              <w:top w:val="single" w:sz="4" w:space="0" w:color="auto"/>
              <w:left w:val="single" w:sz="4" w:space="0" w:color="auto"/>
              <w:bottom w:val="single" w:sz="4" w:space="0" w:color="auto"/>
              <w:right w:val="single" w:sz="4" w:space="0" w:color="auto"/>
            </w:tcBorders>
            <w:vAlign w:val="center"/>
            <w:hideMark/>
          </w:tcPr>
          <w:p w14:paraId="025FD897" w14:textId="6BAAD4CF" w:rsidR="00282E8D" w:rsidRDefault="00282E8D" w:rsidP="00282E8D">
            <w:pPr>
              <w:pStyle w:val="Teksttabelilewy"/>
            </w:pPr>
            <w:r>
              <w:rPr>
                <w:rFonts w:cs="Calibri"/>
                <w:color w:val="000000"/>
                <w:szCs w:val="20"/>
              </w:rPr>
              <w:t>RWrP_06</w:t>
            </w:r>
          </w:p>
        </w:tc>
        <w:tc>
          <w:tcPr>
            <w:tcW w:w="1943" w:type="pct"/>
            <w:tcBorders>
              <w:top w:val="single" w:sz="4" w:space="0" w:color="auto"/>
              <w:left w:val="single" w:sz="4" w:space="0" w:color="auto"/>
              <w:bottom w:val="single" w:sz="4" w:space="0" w:color="auto"/>
              <w:right w:val="single" w:sz="4" w:space="0" w:color="auto"/>
            </w:tcBorders>
            <w:vAlign w:val="center"/>
            <w:hideMark/>
          </w:tcPr>
          <w:p w14:paraId="3204C0B8" w14:textId="5509B6EC" w:rsidR="00282E8D" w:rsidRDefault="00282E8D" w:rsidP="00282E8D">
            <w:pPr>
              <w:pStyle w:val="Teksttabelilewy"/>
            </w:pPr>
            <w:r>
              <w:rPr>
                <w:rFonts w:cs="Calibri"/>
                <w:color w:val="000000"/>
                <w:szCs w:val="20"/>
              </w:rPr>
              <w:t>Działania kontrolne związane z przeglądem pozwoleń</w:t>
            </w:r>
          </w:p>
        </w:tc>
        <w:tc>
          <w:tcPr>
            <w:tcW w:w="767" w:type="pct"/>
            <w:tcBorders>
              <w:top w:val="single" w:sz="4" w:space="0" w:color="auto"/>
              <w:left w:val="single" w:sz="4" w:space="0" w:color="auto"/>
              <w:bottom w:val="single" w:sz="4" w:space="0" w:color="auto"/>
              <w:right w:val="single" w:sz="4" w:space="0" w:color="auto"/>
            </w:tcBorders>
            <w:vAlign w:val="center"/>
            <w:hideMark/>
          </w:tcPr>
          <w:p w14:paraId="7B621E98" w14:textId="5F024C3C" w:rsidR="00282E8D" w:rsidRDefault="00282E8D" w:rsidP="00282E8D">
            <w:pPr>
              <w:pStyle w:val="Teksttabelisrodek"/>
              <w:rPr>
                <w:lang w:eastAsia="en-US"/>
              </w:rPr>
            </w:pPr>
            <w:r>
              <w:rPr>
                <w:rFonts w:cs="Calibri"/>
                <w:color w:val="000000"/>
                <w:szCs w:val="20"/>
                <w:lang w:eastAsia="en-US"/>
              </w:rPr>
              <w:t>1</w:t>
            </w:r>
          </w:p>
        </w:tc>
        <w:tc>
          <w:tcPr>
            <w:tcW w:w="779" w:type="pct"/>
            <w:gridSpan w:val="2"/>
            <w:tcBorders>
              <w:top w:val="single" w:sz="4" w:space="0" w:color="auto"/>
              <w:left w:val="single" w:sz="4" w:space="0" w:color="auto"/>
              <w:bottom w:val="single" w:sz="4" w:space="0" w:color="auto"/>
              <w:right w:val="single" w:sz="4" w:space="0" w:color="auto"/>
            </w:tcBorders>
            <w:vAlign w:val="center"/>
            <w:hideMark/>
          </w:tcPr>
          <w:p w14:paraId="7E3CB68F" w14:textId="31C2250A" w:rsidR="00282E8D" w:rsidRDefault="00282E8D" w:rsidP="00282E8D">
            <w:pPr>
              <w:pStyle w:val="Teksttabelisrodek"/>
              <w:rPr>
                <w:lang w:eastAsia="en-US"/>
              </w:rPr>
            </w:pPr>
            <w:r>
              <w:rPr>
                <w:rFonts w:cs="Calibri"/>
                <w:color w:val="000000"/>
                <w:szCs w:val="20"/>
                <w:lang w:eastAsia="en-US"/>
              </w:rPr>
              <w:t>1</w:t>
            </w:r>
          </w:p>
        </w:tc>
        <w:tc>
          <w:tcPr>
            <w:tcW w:w="761" w:type="pct"/>
            <w:tcBorders>
              <w:top w:val="single" w:sz="4" w:space="0" w:color="auto"/>
              <w:left w:val="single" w:sz="4" w:space="0" w:color="auto"/>
              <w:bottom w:val="single" w:sz="4" w:space="0" w:color="auto"/>
              <w:right w:val="single" w:sz="4" w:space="0" w:color="auto"/>
            </w:tcBorders>
            <w:vAlign w:val="center"/>
            <w:hideMark/>
          </w:tcPr>
          <w:p w14:paraId="7A348A33" w14:textId="74E38A0C" w:rsidR="00282E8D" w:rsidRDefault="00282E8D" w:rsidP="00282E8D">
            <w:pPr>
              <w:pStyle w:val="Teksttabelisrodek"/>
              <w:rPr>
                <w:lang w:eastAsia="en-US"/>
              </w:rPr>
            </w:pPr>
            <w:r>
              <w:rPr>
                <w:rFonts w:cs="Calibri"/>
                <w:color w:val="000000"/>
                <w:szCs w:val="20"/>
                <w:lang w:eastAsia="en-US"/>
              </w:rPr>
              <w:t>6,3</w:t>
            </w:r>
          </w:p>
        </w:tc>
      </w:tr>
      <w:tr w:rsidR="00282E8D" w:rsidRPr="00795F17" w14:paraId="0DE328BE" w14:textId="77777777" w:rsidTr="00282E8D">
        <w:trPr>
          <w:trHeight w:val="454"/>
        </w:trPr>
        <w:tc>
          <w:tcPr>
            <w:tcW w:w="750" w:type="pct"/>
            <w:tcBorders>
              <w:top w:val="single" w:sz="4" w:space="0" w:color="auto"/>
              <w:left w:val="single" w:sz="4" w:space="0" w:color="auto"/>
              <w:bottom w:val="single" w:sz="4" w:space="0" w:color="auto"/>
              <w:right w:val="single" w:sz="4" w:space="0" w:color="auto"/>
            </w:tcBorders>
            <w:vAlign w:val="center"/>
            <w:hideMark/>
          </w:tcPr>
          <w:p w14:paraId="35848149" w14:textId="652A26CC" w:rsidR="00282E8D" w:rsidRDefault="00282E8D" w:rsidP="00282E8D">
            <w:pPr>
              <w:pStyle w:val="Teksttabelilewy"/>
            </w:pPr>
            <w:r>
              <w:rPr>
                <w:rFonts w:cs="Calibri"/>
                <w:color w:val="000000"/>
                <w:szCs w:val="20"/>
              </w:rPr>
              <w:t>RWrP_09</w:t>
            </w:r>
          </w:p>
        </w:tc>
        <w:tc>
          <w:tcPr>
            <w:tcW w:w="1943" w:type="pct"/>
            <w:tcBorders>
              <w:top w:val="single" w:sz="4" w:space="0" w:color="auto"/>
              <w:left w:val="single" w:sz="4" w:space="0" w:color="auto"/>
              <w:bottom w:val="single" w:sz="4" w:space="0" w:color="auto"/>
              <w:right w:val="single" w:sz="4" w:space="0" w:color="auto"/>
            </w:tcBorders>
            <w:vAlign w:val="center"/>
            <w:hideMark/>
          </w:tcPr>
          <w:p w14:paraId="376094DA" w14:textId="548893B8" w:rsidR="00282E8D" w:rsidRDefault="00282E8D" w:rsidP="00282E8D">
            <w:pPr>
              <w:pStyle w:val="Teksttabelilewy"/>
            </w:pPr>
            <w:r>
              <w:rPr>
                <w:rFonts w:cs="Calibri"/>
                <w:color w:val="000000"/>
                <w:szCs w:val="20"/>
              </w:rPr>
              <w:t>Aktualizacja programu ochrony środowiska</w:t>
            </w:r>
          </w:p>
        </w:tc>
        <w:tc>
          <w:tcPr>
            <w:tcW w:w="767" w:type="pct"/>
            <w:tcBorders>
              <w:top w:val="single" w:sz="4" w:space="0" w:color="auto"/>
              <w:left w:val="single" w:sz="4" w:space="0" w:color="auto"/>
              <w:bottom w:val="single" w:sz="4" w:space="0" w:color="auto"/>
              <w:right w:val="single" w:sz="4" w:space="0" w:color="auto"/>
            </w:tcBorders>
            <w:vAlign w:val="center"/>
            <w:hideMark/>
          </w:tcPr>
          <w:p w14:paraId="0F3B460A" w14:textId="5DB7032C" w:rsidR="00282E8D" w:rsidRDefault="00282E8D" w:rsidP="00282E8D">
            <w:pPr>
              <w:pStyle w:val="Teksttabelisrodek"/>
              <w:rPr>
                <w:lang w:eastAsia="en-US"/>
              </w:rPr>
            </w:pPr>
            <w:r>
              <w:rPr>
                <w:rFonts w:cs="Calibri"/>
                <w:color w:val="000000"/>
                <w:szCs w:val="20"/>
                <w:lang w:eastAsia="en-US"/>
              </w:rPr>
              <w:t>13</w:t>
            </w:r>
          </w:p>
        </w:tc>
        <w:tc>
          <w:tcPr>
            <w:tcW w:w="779" w:type="pct"/>
            <w:gridSpan w:val="2"/>
            <w:tcBorders>
              <w:top w:val="single" w:sz="4" w:space="0" w:color="auto"/>
              <w:left w:val="single" w:sz="4" w:space="0" w:color="auto"/>
              <w:bottom w:val="single" w:sz="4" w:space="0" w:color="auto"/>
              <w:right w:val="single" w:sz="4" w:space="0" w:color="auto"/>
            </w:tcBorders>
            <w:vAlign w:val="center"/>
            <w:hideMark/>
          </w:tcPr>
          <w:p w14:paraId="6FFAB51D" w14:textId="42441FD3" w:rsidR="00282E8D" w:rsidRDefault="00282E8D" w:rsidP="00282E8D">
            <w:pPr>
              <w:pStyle w:val="Teksttabelisrodek"/>
              <w:rPr>
                <w:lang w:eastAsia="en-US"/>
              </w:rPr>
            </w:pPr>
            <w:r>
              <w:rPr>
                <w:rFonts w:cs="Calibri"/>
                <w:color w:val="000000"/>
                <w:szCs w:val="20"/>
                <w:lang w:eastAsia="en-US"/>
              </w:rPr>
              <w:t>13</w:t>
            </w:r>
          </w:p>
        </w:tc>
        <w:tc>
          <w:tcPr>
            <w:tcW w:w="761" w:type="pct"/>
            <w:tcBorders>
              <w:top w:val="single" w:sz="4" w:space="0" w:color="auto"/>
              <w:left w:val="single" w:sz="4" w:space="0" w:color="auto"/>
              <w:bottom w:val="single" w:sz="4" w:space="0" w:color="auto"/>
              <w:right w:val="single" w:sz="4" w:space="0" w:color="auto"/>
            </w:tcBorders>
            <w:vAlign w:val="center"/>
            <w:hideMark/>
          </w:tcPr>
          <w:p w14:paraId="0002FE51" w14:textId="5833E69E" w:rsidR="00282E8D" w:rsidRDefault="00282E8D" w:rsidP="00282E8D">
            <w:pPr>
              <w:pStyle w:val="Teksttabelisrodek"/>
              <w:rPr>
                <w:lang w:eastAsia="en-US"/>
              </w:rPr>
            </w:pPr>
            <w:r>
              <w:rPr>
                <w:rFonts w:cs="Calibri"/>
                <w:color w:val="000000"/>
                <w:szCs w:val="20"/>
                <w:lang w:eastAsia="en-US"/>
              </w:rPr>
              <w:t>81,3</w:t>
            </w:r>
          </w:p>
        </w:tc>
      </w:tr>
    </w:tbl>
    <w:p w14:paraId="5E9EC728" w14:textId="77777777" w:rsidR="009E154D" w:rsidRDefault="009E154D" w:rsidP="009E154D">
      <w:pPr>
        <w:pStyle w:val="rdo"/>
      </w:pPr>
      <w:r>
        <w:t>Źródło: opracowanie własne</w:t>
      </w:r>
    </w:p>
    <w:p w14:paraId="0C4B31CC" w14:textId="01A9D3CE" w:rsidR="009E154D" w:rsidRDefault="001B6EF4" w:rsidP="009E154D">
      <w:pPr>
        <w:rPr>
          <w:rFonts w:asciiTheme="minorHAnsi" w:eastAsia="Times New Roman" w:hAnsiTheme="minorHAnsi" w:cstheme="minorHAnsi"/>
        </w:rPr>
      </w:pPr>
      <w:r>
        <w:rPr>
          <w:rFonts w:asciiTheme="minorHAnsi" w:eastAsia="Times New Roman" w:hAnsiTheme="minorHAnsi" w:cstheme="minorBidi"/>
        </w:rPr>
        <w:t>Na</w:t>
      </w:r>
      <w:r w:rsidR="009E154D">
        <w:rPr>
          <w:rFonts w:asciiTheme="minorHAnsi" w:eastAsia="Times New Roman" w:hAnsiTheme="minorHAnsi" w:cstheme="minorBidi"/>
        </w:rPr>
        <w:t xml:space="preserve"> obszarze dorzecza Odry 84% </w:t>
      </w:r>
      <w:r w:rsidR="00DF005E">
        <w:rPr>
          <w:rFonts w:asciiTheme="minorHAnsi" w:eastAsia="Times New Roman" w:hAnsiTheme="minorHAnsi" w:cstheme="minorBidi"/>
        </w:rPr>
        <w:t>JCWP</w:t>
      </w:r>
      <w:r w:rsidR="009E154D">
        <w:rPr>
          <w:rFonts w:asciiTheme="minorHAnsi" w:eastAsia="Times New Roman" w:hAnsiTheme="minorHAnsi" w:cstheme="minorBidi"/>
        </w:rPr>
        <w:t xml:space="preserve"> RWr wymagało zbudowania zestawu działań. Na poniższym wykresie (wykres 12-</w:t>
      </w:r>
      <w:r w:rsidR="005B5417">
        <w:rPr>
          <w:rFonts w:asciiTheme="minorHAnsi" w:eastAsia="Times New Roman" w:hAnsiTheme="minorHAnsi" w:cstheme="minorBidi"/>
        </w:rPr>
        <w:t>22</w:t>
      </w:r>
      <w:r w:rsidR="009E154D">
        <w:rPr>
          <w:rFonts w:asciiTheme="minorHAnsi" w:eastAsia="Times New Roman" w:hAnsiTheme="minorHAnsi" w:cstheme="minorBidi"/>
        </w:rPr>
        <w:t xml:space="preserve">) przedstawiono informacje o udziale </w:t>
      </w:r>
      <w:r w:rsidR="00DF005E">
        <w:rPr>
          <w:rFonts w:asciiTheme="minorHAnsi" w:eastAsia="Times New Roman" w:hAnsiTheme="minorHAnsi" w:cstheme="minorBidi"/>
        </w:rPr>
        <w:t>JCWP</w:t>
      </w:r>
      <w:r w:rsidR="009E154D">
        <w:rPr>
          <w:rFonts w:asciiTheme="minorHAnsi" w:eastAsia="Times New Roman" w:hAnsiTheme="minorHAnsi" w:cstheme="minorBidi"/>
        </w:rPr>
        <w:t xml:space="preserve"> RWr z zestawem działań w ogólnej liczbie </w:t>
      </w:r>
      <w:r w:rsidR="00DF005E">
        <w:rPr>
          <w:rFonts w:asciiTheme="minorHAnsi" w:eastAsia="Times New Roman" w:hAnsiTheme="minorHAnsi" w:cstheme="minorBidi"/>
        </w:rPr>
        <w:t>JCWP</w:t>
      </w:r>
      <w:r w:rsidR="009E154D">
        <w:rPr>
          <w:rFonts w:asciiTheme="minorHAnsi" w:eastAsia="Times New Roman" w:hAnsiTheme="minorHAnsi" w:cstheme="minorBidi"/>
        </w:rPr>
        <w:t xml:space="preserve"> RWr na obszarze dorzecza Odry w podziale na regiony wodne.</w:t>
      </w:r>
    </w:p>
    <w:p w14:paraId="3BC21C40" w14:textId="0B8E33B0" w:rsidR="009E154D" w:rsidRDefault="009E154D" w:rsidP="009E154D">
      <w:r>
        <w:rPr>
          <w:noProof/>
        </w:rPr>
        <w:drawing>
          <wp:inline distT="0" distB="0" distL="0" distR="0" wp14:anchorId="5276D180" wp14:editId="5FF343A5">
            <wp:extent cx="5771515" cy="3620770"/>
            <wp:effectExtent l="0" t="0" r="635" b="17780"/>
            <wp:docPr id="1866059339" name="Wykres 1866059339">
              <a:extLst xmlns:a="http://schemas.openxmlformats.org/drawingml/2006/main">
                <a:ext uri="{FF2B5EF4-FFF2-40B4-BE49-F238E27FC236}">
                  <a16:creationId xmlns:a16="http://schemas.microsoft.com/office/drawing/2014/main" id="{B3FD6B56-AE17-4349-91F1-0CDB36AE1167}"/>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20C2A57C" w14:textId="302785F4" w:rsidR="009E154D" w:rsidRDefault="009E154D" w:rsidP="00B479EE">
      <w:pPr>
        <w:pStyle w:val="Wykres"/>
      </w:pPr>
      <w:bookmarkStart w:id="746" w:name="_Toc66706868"/>
      <w:bookmarkStart w:id="747" w:name="_Toc105513031"/>
      <w:r>
        <w:t xml:space="preserve">Wykres </w:t>
      </w:r>
      <w:fldSimple w:instr=" STYLEREF 1 \s ">
        <w:r w:rsidR="001F774D">
          <w:rPr>
            <w:noProof/>
          </w:rPr>
          <w:t>12</w:t>
        </w:r>
      </w:fldSimple>
      <w:r w:rsidR="00FF20D3">
        <w:noBreakHyphen/>
      </w:r>
      <w:fldSimple w:instr=" SEQ Wykres \* ARABIC \s 1 ">
        <w:r w:rsidR="001F774D">
          <w:rPr>
            <w:noProof/>
          </w:rPr>
          <w:t>22</w:t>
        </w:r>
      </w:fldSimple>
      <w:r w:rsidR="002B6022">
        <w:rPr>
          <w:noProof/>
        </w:rPr>
        <w:t>.</w:t>
      </w:r>
      <w:r>
        <w:tab/>
        <w:t xml:space="preserve">Udział </w:t>
      </w:r>
      <w:r w:rsidR="00DF005E">
        <w:t>JCWP</w:t>
      </w:r>
      <w:r>
        <w:t xml:space="preserve"> RWr z przypisanymi zestawami działań w regionach wodnych obszaru dorzecza Odry</w:t>
      </w:r>
      <w:bookmarkEnd w:id="746"/>
      <w:bookmarkEnd w:id="747"/>
    </w:p>
    <w:p w14:paraId="66533E8A" w14:textId="77777777" w:rsidR="009E154D" w:rsidRDefault="009E154D" w:rsidP="009E154D">
      <w:pPr>
        <w:pStyle w:val="rdo"/>
      </w:pPr>
      <w:r>
        <w:t>Źródło: opracowanie własne</w:t>
      </w:r>
    </w:p>
    <w:p w14:paraId="229332B0" w14:textId="769D690C" w:rsidR="009E154D" w:rsidRDefault="009E154D" w:rsidP="009E154D">
      <w:r>
        <w:t xml:space="preserve">Wśród działań zaplanowanych dla </w:t>
      </w:r>
      <w:r w:rsidR="00DF005E">
        <w:t>JCWP</w:t>
      </w:r>
      <w:r>
        <w:t xml:space="preserve"> RWr obszaru dorzecza Odry </w:t>
      </w:r>
      <w:r w:rsidR="003A46B7">
        <w:t>38</w:t>
      </w:r>
      <w:r>
        <w:t xml:space="preserve">% stanowią działania podstawowe, a </w:t>
      </w:r>
      <w:r w:rsidR="003A46B7">
        <w:t>62</w:t>
      </w:r>
      <w:r>
        <w:t>% stanowią działania uzupełniające.</w:t>
      </w:r>
    </w:p>
    <w:p w14:paraId="040C5BC3" w14:textId="4FD585B5" w:rsidR="009E154D" w:rsidRDefault="006C2085" w:rsidP="003B47B2">
      <w:r>
        <w:rPr>
          <w:noProof/>
        </w:rPr>
        <w:drawing>
          <wp:inline distT="0" distB="0" distL="0" distR="0" wp14:anchorId="4D774FB0" wp14:editId="39736800">
            <wp:extent cx="5760720" cy="3680460"/>
            <wp:effectExtent l="0" t="0" r="11430" b="15240"/>
            <wp:docPr id="1866059344" name="Wykres 1866059344">
              <a:extLst xmlns:a="http://schemas.openxmlformats.org/drawingml/2006/main">
                <a:ext uri="{FF2B5EF4-FFF2-40B4-BE49-F238E27FC236}">
                  <a16:creationId xmlns:a16="http://schemas.microsoft.com/office/drawing/2014/main" id="{D4BEE6AE-4804-4235-A8C4-C264D913E3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692908CD" w14:textId="774AB209" w:rsidR="009E154D" w:rsidRDefault="009E154D" w:rsidP="00B479EE">
      <w:pPr>
        <w:pStyle w:val="Wykres"/>
      </w:pPr>
      <w:bookmarkStart w:id="748" w:name="_Toc105513032"/>
      <w:r>
        <w:t xml:space="preserve">Wykres </w:t>
      </w:r>
      <w:fldSimple w:instr=" STYLEREF 1 \s ">
        <w:r w:rsidR="001F774D">
          <w:rPr>
            <w:noProof/>
          </w:rPr>
          <w:t>12</w:t>
        </w:r>
      </w:fldSimple>
      <w:r w:rsidR="00FF20D3">
        <w:noBreakHyphen/>
      </w:r>
      <w:fldSimple w:instr=" SEQ Wykres \* ARABIC \s 1 ">
        <w:r w:rsidR="001F774D">
          <w:rPr>
            <w:noProof/>
          </w:rPr>
          <w:t>23</w:t>
        </w:r>
      </w:fldSimple>
      <w:r w:rsidR="002B6022">
        <w:rPr>
          <w:noProof/>
        </w:rPr>
        <w:t>.</w:t>
      </w:r>
      <w:r>
        <w:tab/>
        <w:t xml:space="preserve">Podział działań w zestawie dla </w:t>
      </w:r>
      <w:r w:rsidR="00DF005E">
        <w:t>JCWP</w:t>
      </w:r>
      <w:r>
        <w:t xml:space="preserve"> RWr dla obszaru dorzecza Odry</w:t>
      </w:r>
      <w:bookmarkEnd w:id="748"/>
    </w:p>
    <w:p w14:paraId="66438CD1" w14:textId="77777777" w:rsidR="009E154D" w:rsidRDefault="009E154D" w:rsidP="009E154D">
      <w:pPr>
        <w:pStyle w:val="rdo"/>
      </w:pPr>
      <w:r>
        <w:t>Źródło: opracowanie własne</w:t>
      </w:r>
    </w:p>
    <w:p w14:paraId="152B4134" w14:textId="5310A9F5" w:rsidR="00686304" w:rsidRPr="00795F17" w:rsidRDefault="009E154D" w:rsidP="009E154D">
      <w:r>
        <w:t xml:space="preserve">Informacje o działaniach zaplanowanych dla danej </w:t>
      </w:r>
      <w:r w:rsidR="00DF005E">
        <w:t>JCWP</w:t>
      </w:r>
      <w:r>
        <w:t xml:space="preserve"> uwzględnione zostały w załączniku nr </w:t>
      </w:r>
      <w:r w:rsidR="00BF7B35">
        <w:t>14</w:t>
      </w:r>
      <w:r>
        <w:t xml:space="preserve"> (Zestaw działań RWr). Zobrazowanie przestrzenne </w:t>
      </w:r>
      <w:r w:rsidR="00DF005E">
        <w:t>JCWP</w:t>
      </w:r>
      <w:r>
        <w:t xml:space="preserve"> RWr </w:t>
      </w:r>
      <w:r w:rsidR="001E676F">
        <w:t>na</w:t>
      </w:r>
      <w:r>
        <w:t xml:space="preserve"> obszarze dorzecza Odry z</w:t>
      </w:r>
      <w:r w:rsidR="007868E4">
        <w:t> </w:t>
      </w:r>
      <w:r>
        <w:t xml:space="preserve">przypisanym zestawem działań </w:t>
      </w:r>
      <w:r w:rsidR="00064AE0">
        <w:t>prezentuje załącznik</w:t>
      </w:r>
      <w:r>
        <w:t xml:space="preserve"> graficzny nr </w:t>
      </w:r>
      <w:r w:rsidR="00B50DF7">
        <w:t>59</w:t>
      </w:r>
      <w:r>
        <w:t>.</w:t>
      </w:r>
    </w:p>
    <w:p w14:paraId="3771330B" w14:textId="71D2E35F" w:rsidR="00686304" w:rsidRPr="00795F17" w:rsidRDefault="00686304" w:rsidP="00C53C86">
      <w:pPr>
        <w:pStyle w:val="Nagwek3"/>
      </w:pPr>
      <w:bookmarkStart w:id="749" w:name="_Toc105512705"/>
      <w:r w:rsidRPr="00795F17">
        <w:t xml:space="preserve">Zestaw działań podstawowych i uzupełniających </w:t>
      </w:r>
      <w:r w:rsidR="00DF005E">
        <w:t>JCWP</w:t>
      </w:r>
      <w:r w:rsidRPr="00795F17">
        <w:t xml:space="preserve"> LW</w:t>
      </w:r>
      <w:bookmarkEnd w:id="749"/>
    </w:p>
    <w:p w14:paraId="5E2C9758" w14:textId="6CE69C3A" w:rsidR="00AB64A1" w:rsidRDefault="00AB64A1" w:rsidP="00AB64A1">
      <w:r>
        <w:t xml:space="preserve">Zestawy działań dla </w:t>
      </w:r>
      <w:r w:rsidR="00DF005E">
        <w:t>JCWP</w:t>
      </w:r>
      <w:r>
        <w:t xml:space="preserve"> LW zostały ukierunkowane na likwidację/zmniejszenie presji znaczących powodujących ryzyko nieosiągnięcia celów środowiskowych, ze szczególnym uwzględnieniem:</w:t>
      </w:r>
    </w:p>
    <w:p w14:paraId="6FB6F5D0" w14:textId="77777777" w:rsidR="00AB64A1" w:rsidRDefault="00AB64A1" w:rsidP="00117E86">
      <w:pPr>
        <w:pStyle w:val="Listapunktowana2"/>
      </w:pPr>
      <w:r>
        <w:t>poprawy jakości wód i ograniczenia dopływu zanieczyszczeń ze źródeł: rolniczych, komunalnych i przemysłowych;</w:t>
      </w:r>
    </w:p>
    <w:p w14:paraId="59012D83" w14:textId="77777777" w:rsidR="00AB64A1" w:rsidRDefault="00AB64A1" w:rsidP="00117E86">
      <w:pPr>
        <w:pStyle w:val="Listapunktowana2"/>
      </w:pPr>
      <w:r>
        <w:t>poprawy warunków morfologicznych (siedliskowych) w kontekście poprawy stanu elementów biologicznych;</w:t>
      </w:r>
    </w:p>
    <w:p w14:paraId="1D3BEBA9" w14:textId="77777777" w:rsidR="00AB64A1" w:rsidRDefault="00AB64A1" w:rsidP="00117E86">
      <w:pPr>
        <w:pStyle w:val="Listapunktowana2"/>
      </w:pPr>
      <w:r>
        <w:t>przywrócenia drożności dla migracji ryb, w tym także poprawa połączeń ekosystemów rzeczno-jeziornych;</w:t>
      </w:r>
    </w:p>
    <w:p w14:paraId="1ECC698B" w14:textId="77777777" w:rsidR="00AB64A1" w:rsidRDefault="00AB64A1" w:rsidP="00117E86">
      <w:pPr>
        <w:pStyle w:val="Listapunktowana2"/>
      </w:pPr>
      <w:r>
        <w:t>spełnienia wymagań obszarów przeznaczonych do ochrony siedlisk lub gatunków ustanowionych w u.o.p., dla których utrzymanie lub poprawa stanu wód jest ważnym czynnikiem w ich ochronie.</w:t>
      </w:r>
    </w:p>
    <w:p w14:paraId="22F9C759" w14:textId="5E0CAED9" w:rsidR="00AB64A1" w:rsidRDefault="00AB64A1" w:rsidP="00AB64A1">
      <w:r w:rsidRPr="009D3021">
        <w:t xml:space="preserve">Największą grupę spośród przypisanych </w:t>
      </w:r>
      <w:r w:rsidR="00DF005E">
        <w:t>JCWP</w:t>
      </w:r>
      <w:r w:rsidR="002C2684">
        <w:t xml:space="preserve"> LW </w:t>
      </w:r>
      <w:r w:rsidRPr="009D3021">
        <w:t xml:space="preserve">działań w obszarze dorzecza </w:t>
      </w:r>
      <w:r w:rsidR="002C2684">
        <w:t xml:space="preserve">Odry </w:t>
      </w:r>
      <w:r w:rsidRPr="009D3021">
        <w:t xml:space="preserve">stanowią działania </w:t>
      </w:r>
      <w:r w:rsidR="002C2684" w:rsidRPr="002C2684">
        <w:t>wynikających z planów ochrony i planów zadań ochronnych dla obszarów chronionych</w:t>
      </w:r>
      <w:r w:rsidR="002C2684" w:rsidRPr="009D3021">
        <w:t xml:space="preserve"> </w:t>
      </w:r>
      <w:r w:rsidR="002C2684">
        <w:t xml:space="preserve">(LWC_08), kolejną pod względem liczby działań jest </w:t>
      </w:r>
      <w:r w:rsidRPr="009D3021">
        <w:t>grup</w:t>
      </w:r>
      <w:r w:rsidR="002C2684">
        <w:t>a</w:t>
      </w:r>
      <w:r w:rsidRPr="009D3021">
        <w:t xml:space="preserve"> LWP_08, tj. wskazując</w:t>
      </w:r>
      <w:r w:rsidR="00A81045">
        <w:t>a</w:t>
      </w:r>
      <w:r w:rsidRPr="009D3021">
        <w:t xml:space="preserve"> </w:t>
      </w:r>
      <w:r w:rsidR="00DF005E">
        <w:t>JCWP</w:t>
      </w:r>
      <w:r w:rsidRPr="009D3021">
        <w:t xml:space="preserve"> do </w:t>
      </w:r>
      <w:r w:rsidR="00E2028D" w:rsidRPr="009D3021">
        <w:t>aktualizacji</w:t>
      </w:r>
      <w:r w:rsidRPr="009D3021">
        <w:t xml:space="preserve"> programu ochrony środowiska pod kątem poprawy efektywności ograniczania dopływu zanieczyszczeń do </w:t>
      </w:r>
      <w:r w:rsidR="00DF005E">
        <w:t>JCWP</w:t>
      </w:r>
      <w:r w:rsidRPr="009D3021">
        <w:t xml:space="preserve"> oraz działania kontrolne i monitoringowe z grupy LWC_</w:t>
      </w:r>
      <w:r w:rsidR="009D3021" w:rsidRPr="009D3021">
        <w:t>09</w:t>
      </w:r>
      <w:r w:rsidRPr="009D3021">
        <w:t xml:space="preserve"> (tabela 12-10).</w:t>
      </w:r>
    </w:p>
    <w:p w14:paraId="6361709B" w14:textId="7D9B4487" w:rsidR="00AB64A1" w:rsidRDefault="00AB64A1" w:rsidP="004D7705">
      <w:pPr>
        <w:pStyle w:val="Tabela"/>
      </w:pPr>
      <w:bookmarkStart w:id="750" w:name="_Toc66341950"/>
      <w:bookmarkStart w:id="751" w:name="_Toc66706735"/>
      <w:bookmarkStart w:id="752" w:name="_Toc67652434"/>
      <w:bookmarkStart w:id="753" w:name="_Toc105512879"/>
      <w:r>
        <w:t xml:space="preserve">Tabela </w:t>
      </w:r>
      <w:r>
        <w:fldChar w:fldCharType="begin"/>
      </w:r>
      <w:r>
        <w:instrText>STYLEREF 1 \s</w:instrText>
      </w:r>
      <w:r>
        <w:fldChar w:fldCharType="separate"/>
      </w:r>
      <w:r w:rsidR="001F774D">
        <w:rPr>
          <w:noProof/>
        </w:rPr>
        <w:t>12</w:t>
      </w:r>
      <w:r>
        <w:fldChar w:fldCharType="end"/>
      </w:r>
      <w:r w:rsidR="009263D8">
        <w:noBreakHyphen/>
      </w:r>
      <w:fldSimple w:instr=" SEQ Tabela \* ARABIC \s 1 ">
        <w:r w:rsidR="001F774D">
          <w:rPr>
            <w:noProof/>
          </w:rPr>
          <w:t>10</w:t>
        </w:r>
      </w:fldSimple>
      <w:r w:rsidR="00EB4B7B">
        <w:rPr>
          <w:noProof/>
        </w:rPr>
        <w:t>.</w:t>
      </w:r>
      <w:r>
        <w:tab/>
        <w:t xml:space="preserve">Zestawienie działań zalecanych do wdrożenia w </w:t>
      </w:r>
      <w:r w:rsidR="00DF005E">
        <w:t>JCWP</w:t>
      </w:r>
      <w:r>
        <w:t xml:space="preserve"> LW na obszarze dorzecza Odry</w:t>
      </w:r>
      <w:bookmarkEnd w:id="750"/>
      <w:bookmarkEnd w:id="751"/>
      <w:bookmarkEnd w:id="752"/>
      <w:bookmarkEnd w:id="75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28"/>
        <w:gridCol w:w="3445"/>
        <w:gridCol w:w="1463"/>
        <w:gridCol w:w="1463"/>
        <w:gridCol w:w="1463"/>
      </w:tblGrid>
      <w:tr w:rsidR="00AB64A1" w14:paraId="57D9F9D6" w14:textId="77777777" w:rsidTr="00AB64A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29CAE5" w14:textId="77777777" w:rsidR="00AB64A1" w:rsidRDefault="00AB64A1">
            <w:pPr>
              <w:pStyle w:val="Teksttabelinaglowek"/>
              <w:spacing w:line="276" w:lineRule="auto"/>
              <w:rPr>
                <w:lang w:eastAsia="en-US"/>
              </w:rPr>
            </w:pPr>
            <w:r>
              <w:rPr>
                <w:lang w:eastAsia="en-US"/>
              </w:rPr>
              <w:t>Kod IIaPGW</w:t>
            </w:r>
          </w:p>
        </w:tc>
        <w:tc>
          <w:tcPr>
            <w:tcW w:w="190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596BD6" w14:textId="77777777" w:rsidR="00AB64A1" w:rsidRDefault="00AB64A1">
            <w:pPr>
              <w:pStyle w:val="Teksttabelinaglowek"/>
              <w:spacing w:line="276" w:lineRule="auto"/>
              <w:rPr>
                <w:lang w:eastAsia="en-US"/>
              </w:rPr>
            </w:pPr>
            <w:r>
              <w:rPr>
                <w:lang w:eastAsia="en-US"/>
              </w:rPr>
              <w:t>Grupa działań</w:t>
            </w:r>
          </w:p>
        </w:tc>
        <w:tc>
          <w:tcPr>
            <w:tcW w:w="80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8AD6DF" w14:textId="77777777" w:rsidR="00AB64A1" w:rsidRDefault="00AB64A1">
            <w:pPr>
              <w:pStyle w:val="Teksttabelinaglowek"/>
              <w:spacing w:line="276" w:lineRule="auto"/>
              <w:rPr>
                <w:lang w:eastAsia="en-US"/>
              </w:rPr>
            </w:pPr>
            <w:r>
              <w:rPr>
                <w:lang w:eastAsia="en-US"/>
              </w:rPr>
              <w:t>Łączna liczba przypisanych działań</w:t>
            </w:r>
          </w:p>
        </w:tc>
        <w:tc>
          <w:tcPr>
            <w:tcW w:w="80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61F297" w14:textId="2253A1E9" w:rsidR="00AB64A1" w:rsidRDefault="00AB64A1">
            <w:pPr>
              <w:pStyle w:val="Teksttabelinaglowek"/>
              <w:spacing w:line="276" w:lineRule="auto"/>
              <w:rPr>
                <w:lang w:eastAsia="en-US"/>
              </w:rPr>
            </w:pPr>
            <w:r>
              <w:rPr>
                <w:lang w:eastAsia="en-US"/>
              </w:rPr>
              <w:t>Liczba jcw z</w:t>
            </w:r>
            <w:r w:rsidR="00C601D6">
              <w:rPr>
                <w:lang w:eastAsia="en-US"/>
              </w:rPr>
              <w:t> </w:t>
            </w:r>
            <w:r>
              <w:rPr>
                <w:lang w:eastAsia="en-US"/>
              </w:rPr>
              <w:t>przypisanym działaniem</w:t>
            </w:r>
          </w:p>
        </w:tc>
        <w:tc>
          <w:tcPr>
            <w:tcW w:w="80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A472EE" w14:textId="7D773378" w:rsidR="00AB64A1" w:rsidRDefault="00AB64A1">
            <w:pPr>
              <w:pStyle w:val="Teksttabelinaglowek"/>
              <w:spacing w:line="276" w:lineRule="auto"/>
              <w:rPr>
                <w:lang w:eastAsia="en-US"/>
              </w:rPr>
            </w:pPr>
            <w:r>
              <w:rPr>
                <w:lang w:eastAsia="en-US"/>
              </w:rPr>
              <w:t>Udział w</w:t>
            </w:r>
            <w:r w:rsidR="00C601D6">
              <w:rPr>
                <w:lang w:eastAsia="en-US"/>
              </w:rPr>
              <w:t> </w:t>
            </w:r>
            <w:r>
              <w:rPr>
                <w:lang w:eastAsia="en-US"/>
              </w:rPr>
              <w:t>ogólnej liczbie jcw ze zbudowanym zestawem działań</w:t>
            </w:r>
            <w:r>
              <w:rPr>
                <w:lang w:eastAsia="en-US"/>
              </w:rPr>
              <w:br/>
              <w:t>(%)</w:t>
            </w:r>
          </w:p>
        </w:tc>
      </w:tr>
      <w:tr w:rsidR="00186237" w14:paraId="4E9CB875"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60527DCD" w14:textId="206FC97F" w:rsidR="00186237" w:rsidRDefault="00186237" w:rsidP="00186237">
            <w:pPr>
              <w:pStyle w:val="Teksttabelilewy"/>
              <w:ind w:left="57"/>
              <w:rPr>
                <w:lang w:eastAsia="pl-PL"/>
              </w:rPr>
            </w:pPr>
            <w:r>
              <w:rPr>
                <w:rFonts w:cs="Calibri"/>
                <w:color w:val="000000"/>
                <w:szCs w:val="20"/>
              </w:rPr>
              <w:t>LWC_01</w:t>
            </w:r>
          </w:p>
        </w:tc>
        <w:tc>
          <w:tcPr>
            <w:tcW w:w="1901" w:type="pct"/>
            <w:tcBorders>
              <w:top w:val="single" w:sz="4" w:space="0" w:color="auto"/>
              <w:left w:val="single" w:sz="4" w:space="0" w:color="auto"/>
              <w:bottom w:val="single" w:sz="4" w:space="0" w:color="auto"/>
              <w:right w:val="single" w:sz="4" w:space="0" w:color="auto"/>
            </w:tcBorders>
            <w:vAlign w:val="center"/>
            <w:hideMark/>
          </w:tcPr>
          <w:p w14:paraId="57B1135D" w14:textId="23E73E11" w:rsidR="00186237" w:rsidRDefault="00186237" w:rsidP="00186237">
            <w:pPr>
              <w:pStyle w:val="Teksttabelilewy"/>
              <w:ind w:left="57"/>
              <w:rPr>
                <w:lang w:eastAsia="pl-PL"/>
              </w:rPr>
            </w:pPr>
            <w:r>
              <w:rPr>
                <w:rFonts w:cs="Calibri"/>
                <w:color w:val="000000"/>
                <w:szCs w:val="20"/>
              </w:rPr>
              <w:t>Programy rekultywacji jezior</w:t>
            </w:r>
          </w:p>
        </w:tc>
        <w:tc>
          <w:tcPr>
            <w:tcW w:w="807" w:type="pct"/>
            <w:tcBorders>
              <w:top w:val="single" w:sz="4" w:space="0" w:color="auto"/>
              <w:left w:val="single" w:sz="4" w:space="0" w:color="auto"/>
              <w:bottom w:val="single" w:sz="4" w:space="0" w:color="auto"/>
              <w:right w:val="single" w:sz="4" w:space="0" w:color="auto"/>
            </w:tcBorders>
            <w:vAlign w:val="center"/>
            <w:hideMark/>
          </w:tcPr>
          <w:p w14:paraId="3F40B439" w14:textId="6350306F" w:rsidR="00186237" w:rsidRDefault="00186237" w:rsidP="00186237">
            <w:pPr>
              <w:pStyle w:val="Teksttabelisrodek"/>
              <w:rPr>
                <w:color w:val="000000"/>
                <w:lang w:eastAsia="en-US"/>
              </w:rPr>
            </w:pPr>
            <w:r>
              <w:rPr>
                <w:rFonts w:cs="Calibri"/>
                <w:color w:val="000000"/>
                <w:szCs w:val="20"/>
                <w:lang w:eastAsia="en-US"/>
              </w:rPr>
              <w:t>68</w:t>
            </w:r>
          </w:p>
        </w:tc>
        <w:tc>
          <w:tcPr>
            <w:tcW w:w="807" w:type="pct"/>
            <w:tcBorders>
              <w:top w:val="single" w:sz="4" w:space="0" w:color="auto"/>
              <w:left w:val="single" w:sz="4" w:space="0" w:color="auto"/>
              <w:bottom w:val="single" w:sz="4" w:space="0" w:color="auto"/>
              <w:right w:val="single" w:sz="4" w:space="0" w:color="auto"/>
            </w:tcBorders>
            <w:vAlign w:val="center"/>
            <w:hideMark/>
          </w:tcPr>
          <w:p w14:paraId="304EB597" w14:textId="56C428D2" w:rsidR="00186237" w:rsidRDefault="00186237" w:rsidP="00186237">
            <w:pPr>
              <w:pStyle w:val="Teksttabelisrodek"/>
              <w:rPr>
                <w:color w:val="000000"/>
                <w:lang w:eastAsia="en-US"/>
              </w:rPr>
            </w:pPr>
            <w:r>
              <w:rPr>
                <w:rFonts w:cs="Calibri"/>
                <w:color w:val="000000"/>
                <w:szCs w:val="20"/>
                <w:lang w:eastAsia="en-US"/>
              </w:rPr>
              <w:t>40</w:t>
            </w:r>
          </w:p>
        </w:tc>
        <w:tc>
          <w:tcPr>
            <w:tcW w:w="807" w:type="pct"/>
            <w:tcBorders>
              <w:top w:val="single" w:sz="4" w:space="0" w:color="auto"/>
              <w:left w:val="single" w:sz="4" w:space="0" w:color="auto"/>
              <w:bottom w:val="single" w:sz="4" w:space="0" w:color="auto"/>
              <w:right w:val="single" w:sz="4" w:space="0" w:color="auto"/>
            </w:tcBorders>
            <w:vAlign w:val="center"/>
            <w:hideMark/>
          </w:tcPr>
          <w:p w14:paraId="56993540" w14:textId="18CF78C0" w:rsidR="00186237" w:rsidRDefault="00186237" w:rsidP="00186237">
            <w:pPr>
              <w:pStyle w:val="Teksttabelisrodek"/>
              <w:rPr>
                <w:color w:val="000000"/>
                <w:lang w:eastAsia="en-US"/>
              </w:rPr>
            </w:pPr>
            <w:r>
              <w:rPr>
                <w:rFonts w:cs="Calibri"/>
                <w:color w:val="000000"/>
                <w:szCs w:val="20"/>
                <w:lang w:eastAsia="en-US"/>
              </w:rPr>
              <w:t>12,1</w:t>
            </w:r>
          </w:p>
        </w:tc>
      </w:tr>
      <w:tr w:rsidR="00186237" w14:paraId="68428A06"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6D5D4308" w14:textId="2BD0A916" w:rsidR="00186237" w:rsidRDefault="00186237" w:rsidP="00186237">
            <w:pPr>
              <w:pStyle w:val="Teksttabelilewy"/>
              <w:ind w:left="57"/>
              <w:rPr>
                <w:lang w:eastAsia="pl-PL"/>
              </w:rPr>
            </w:pPr>
            <w:r>
              <w:rPr>
                <w:rFonts w:cs="Calibri"/>
                <w:color w:val="000000"/>
                <w:szCs w:val="20"/>
              </w:rPr>
              <w:t>LWC_02</w:t>
            </w:r>
          </w:p>
        </w:tc>
        <w:tc>
          <w:tcPr>
            <w:tcW w:w="1901" w:type="pct"/>
            <w:tcBorders>
              <w:top w:val="single" w:sz="4" w:space="0" w:color="auto"/>
              <w:left w:val="single" w:sz="4" w:space="0" w:color="auto"/>
              <w:bottom w:val="single" w:sz="4" w:space="0" w:color="auto"/>
              <w:right w:val="single" w:sz="4" w:space="0" w:color="auto"/>
            </w:tcBorders>
            <w:vAlign w:val="center"/>
            <w:hideMark/>
          </w:tcPr>
          <w:p w14:paraId="2DE184A4" w14:textId="5C61CA3F" w:rsidR="00186237" w:rsidRDefault="00186237" w:rsidP="00186237">
            <w:pPr>
              <w:pStyle w:val="Teksttabelilewy"/>
              <w:ind w:left="57"/>
              <w:rPr>
                <w:lang w:eastAsia="pl-PL"/>
              </w:rPr>
            </w:pPr>
            <w:r>
              <w:rPr>
                <w:rFonts w:cs="Calibri"/>
                <w:color w:val="000000"/>
                <w:szCs w:val="20"/>
              </w:rPr>
              <w:t>Program renaturyzacji</w:t>
            </w:r>
          </w:p>
        </w:tc>
        <w:tc>
          <w:tcPr>
            <w:tcW w:w="807" w:type="pct"/>
            <w:tcBorders>
              <w:top w:val="single" w:sz="4" w:space="0" w:color="auto"/>
              <w:left w:val="single" w:sz="4" w:space="0" w:color="auto"/>
              <w:bottom w:val="single" w:sz="4" w:space="0" w:color="auto"/>
              <w:right w:val="single" w:sz="4" w:space="0" w:color="auto"/>
            </w:tcBorders>
            <w:vAlign w:val="center"/>
            <w:hideMark/>
          </w:tcPr>
          <w:p w14:paraId="3FAA4F6F" w14:textId="3163B60A" w:rsidR="00186237" w:rsidRDefault="00186237" w:rsidP="00186237">
            <w:pPr>
              <w:pStyle w:val="Teksttabelisrodek"/>
              <w:rPr>
                <w:color w:val="000000"/>
                <w:lang w:eastAsia="en-US"/>
              </w:rPr>
            </w:pPr>
            <w:r>
              <w:rPr>
                <w:rFonts w:cs="Calibri"/>
                <w:color w:val="000000"/>
                <w:szCs w:val="20"/>
                <w:lang w:eastAsia="en-US"/>
              </w:rPr>
              <w:t>4</w:t>
            </w:r>
          </w:p>
        </w:tc>
        <w:tc>
          <w:tcPr>
            <w:tcW w:w="807" w:type="pct"/>
            <w:tcBorders>
              <w:top w:val="single" w:sz="4" w:space="0" w:color="auto"/>
              <w:left w:val="single" w:sz="4" w:space="0" w:color="auto"/>
              <w:bottom w:val="single" w:sz="4" w:space="0" w:color="auto"/>
              <w:right w:val="single" w:sz="4" w:space="0" w:color="auto"/>
            </w:tcBorders>
            <w:vAlign w:val="center"/>
            <w:hideMark/>
          </w:tcPr>
          <w:p w14:paraId="03B63696" w14:textId="3B229D72" w:rsidR="00186237" w:rsidRDefault="00186237" w:rsidP="00186237">
            <w:pPr>
              <w:pStyle w:val="Teksttabelisrodek"/>
              <w:rPr>
                <w:color w:val="000000"/>
                <w:lang w:eastAsia="en-US"/>
              </w:rPr>
            </w:pPr>
            <w:r>
              <w:rPr>
                <w:rFonts w:cs="Calibri"/>
                <w:color w:val="000000"/>
                <w:szCs w:val="20"/>
                <w:lang w:eastAsia="en-US"/>
              </w:rPr>
              <w:t>2</w:t>
            </w:r>
          </w:p>
        </w:tc>
        <w:tc>
          <w:tcPr>
            <w:tcW w:w="807" w:type="pct"/>
            <w:tcBorders>
              <w:top w:val="single" w:sz="4" w:space="0" w:color="auto"/>
              <w:left w:val="single" w:sz="4" w:space="0" w:color="auto"/>
              <w:bottom w:val="single" w:sz="4" w:space="0" w:color="auto"/>
              <w:right w:val="single" w:sz="4" w:space="0" w:color="auto"/>
            </w:tcBorders>
            <w:vAlign w:val="center"/>
            <w:hideMark/>
          </w:tcPr>
          <w:p w14:paraId="0058C321" w14:textId="6A581C3D" w:rsidR="00186237" w:rsidRDefault="00186237" w:rsidP="00186237">
            <w:pPr>
              <w:pStyle w:val="Teksttabelisrodek"/>
              <w:rPr>
                <w:color w:val="000000"/>
                <w:lang w:eastAsia="en-US"/>
              </w:rPr>
            </w:pPr>
            <w:r>
              <w:rPr>
                <w:rFonts w:cs="Calibri"/>
                <w:color w:val="000000"/>
                <w:szCs w:val="20"/>
                <w:lang w:eastAsia="en-US"/>
              </w:rPr>
              <w:t>0,6</w:t>
            </w:r>
          </w:p>
        </w:tc>
      </w:tr>
      <w:tr w:rsidR="00186237" w14:paraId="49D8AC90"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5BB5FB7F" w14:textId="0099CFE6" w:rsidR="00186237" w:rsidRDefault="00186237" w:rsidP="00186237">
            <w:pPr>
              <w:pStyle w:val="Teksttabelilewy"/>
              <w:ind w:left="57"/>
              <w:rPr>
                <w:lang w:eastAsia="pl-PL"/>
              </w:rPr>
            </w:pPr>
            <w:r>
              <w:rPr>
                <w:rFonts w:cs="Calibri"/>
                <w:color w:val="000000"/>
                <w:szCs w:val="20"/>
              </w:rPr>
              <w:t>LWC_08</w:t>
            </w:r>
          </w:p>
        </w:tc>
        <w:tc>
          <w:tcPr>
            <w:tcW w:w="1901" w:type="pct"/>
            <w:tcBorders>
              <w:top w:val="single" w:sz="4" w:space="0" w:color="auto"/>
              <w:left w:val="single" w:sz="4" w:space="0" w:color="auto"/>
              <w:bottom w:val="single" w:sz="4" w:space="0" w:color="auto"/>
              <w:right w:val="single" w:sz="4" w:space="0" w:color="auto"/>
            </w:tcBorders>
            <w:vAlign w:val="center"/>
            <w:hideMark/>
          </w:tcPr>
          <w:p w14:paraId="6F7E0DE7" w14:textId="7054CB2B" w:rsidR="00186237" w:rsidRDefault="00186237" w:rsidP="00186237">
            <w:pPr>
              <w:pStyle w:val="Teksttabelilewy"/>
              <w:ind w:left="57"/>
              <w:rPr>
                <w:lang w:eastAsia="pl-PL"/>
              </w:rPr>
            </w:pPr>
            <w:r>
              <w:rPr>
                <w:rFonts w:cs="Calibri"/>
                <w:color w:val="000000"/>
                <w:szCs w:val="20"/>
              </w:rPr>
              <w:t>Realizacja działań wynikających z planów ochrony i planów zadań ochronnych dla obszarów chronionych</w:t>
            </w:r>
          </w:p>
        </w:tc>
        <w:tc>
          <w:tcPr>
            <w:tcW w:w="807" w:type="pct"/>
            <w:tcBorders>
              <w:top w:val="single" w:sz="4" w:space="0" w:color="auto"/>
              <w:left w:val="single" w:sz="4" w:space="0" w:color="auto"/>
              <w:bottom w:val="single" w:sz="4" w:space="0" w:color="auto"/>
              <w:right w:val="single" w:sz="4" w:space="0" w:color="auto"/>
            </w:tcBorders>
            <w:vAlign w:val="center"/>
            <w:hideMark/>
          </w:tcPr>
          <w:p w14:paraId="51E83DCB" w14:textId="2A0EC3C4" w:rsidR="00186237" w:rsidRDefault="00186237" w:rsidP="00186237">
            <w:pPr>
              <w:pStyle w:val="Teksttabelisrodek"/>
              <w:rPr>
                <w:color w:val="000000"/>
                <w:lang w:eastAsia="en-US"/>
              </w:rPr>
            </w:pPr>
            <w:r>
              <w:rPr>
                <w:rFonts w:cs="Calibri"/>
                <w:color w:val="000000"/>
                <w:szCs w:val="20"/>
                <w:lang w:eastAsia="en-US"/>
              </w:rPr>
              <w:t>96</w:t>
            </w:r>
            <w:r w:rsidR="00BF2F10">
              <w:rPr>
                <w:rFonts w:cs="Calibri"/>
                <w:color w:val="000000"/>
                <w:szCs w:val="20"/>
                <w:lang w:eastAsia="en-US"/>
              </w:rPr>
              <w:t>3</w:t>
            </w:r>
          </w:p>
        </w:tc>
        <w:tc>
          <w:tcPr>
            <w:tcW w:w="807" w:type="pct"/>
            <w:tcBorders>
              <w:top w:val="single" w:sz="4" w:space="0" w:color="auto"/>
              <w:left w:val="single" w:sz="4" w:space="0" w:color="auto"/>
              <w:bottom w:val="single" w:sz="4" w:space="0" w:color="auto"/>
              <w:right w:val="single" w:sz="4" w:space="0" w:color="auto"/>
            </w:tcBorders>
            <w:vAlign w:val="center"/>
            <w:hideMark/>
          </w:tcPr>
          <w:p w14:paraId="55977DB8" w14:textId="2047C9C6" w:rsidR="00186237" w:rsidRDefault="00186237" w:rsidP="00186237">
            <w:pPr>
              <w:pStyle w:val="Teksttabelisrodek"/>
              <w:rPr>
                <w:color w:val="000000"/>
                <w:lang w:eastAsia="en-US"/>
              </w:rPr>
            </w:pPr>
            <w:r>
              <w:rPr>
                <w:rFonts w:cs="Calibri"/>
                <w:color w:val="000000"/>
                <w:szCs w:val="20"/>
                <w:lang w:eastAsia="en-US"/>
              </w:rPr>
              <w:t>147</w:t>
            </w:r>
          </w:p>
        </w:tc>
        <w:tc>
          <w:tcPr>
            <w:tcW w:w="807" w:type="pct"/>
            <w:tcBorders>
              <w:top w:val="single" w:sz="4" w:space="0" w:color="auto"/>
              <w:left w:val="single" w:sz="4" w:space="0" w:color="auto"/>
              <w:bottom w:val="single" w:sz="4" w:space="0" w:color="auto"/>
              <w:right w:val="single" w:sz="4" w:space="0" w:color="auto"/>
            </w:tcBorders>
            <w:vAlign w:val="center"/>
            <w:hideMark/>
          </w:tcPr>
          <w:p w14:paraId="2FBEE80B" w14:textId="06FAEF8B" w:rsidR="00186237" w:rsidRDefault="00186237" w:rsidP="00186237">
            <w:pPr>
              <w:pStyle w:val="Teksttabelisrodek"/>
              <w:rPr>
                <w:color w:val="000000"/>
                <w:lang w:eastAsia="en-US"/>
              </w:rPr>
            </w:pPr>
            <w:r>
              <w:rPr>
                <w:rFonts w:cs="Calibri"/>
                <w:color w:val="000000"/>
                <w:szCs w:val="20"/>
                <w:lang w:eastAsia="en-US"/>
              </w:rPr>
              <w:t>44,4</w:t>
            </w:r>
          </w:p>
        </w:tc>
      </w:tr>
      <w:tr w:rsidR="00186237" w14:paraId="5D0933EC"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1860DD7E" w14:textId="370DF60E" w:rsidR="00186237" w:rsidRDefault="00186237" w:rsidP="00186237">
            <w:pPr>
              <w:pStyle w:val="Teksttabelilewy"/>
              <w:ind w:left="57"/>
              <w:rPr>
                <w:lang w:eastAsia="pl-PL"/>
              </w:rPr>
            </w:pPr>
            <w:r>
              <w:rPr>
                <w:rFonts w:cs="Calibri"/>
                <w:color w:val="000000"/>
                <w:szCs w:val="20"/>
              </w:rPr>
              <w:t>LWC_09</w:t>
            </w:r>
          </w:p>
        </w:tc>
        <w:tc>
          <w:tcPr>
            <w:tcW w:w="1901" w:type="pct"/>
            <w:tcBorders>
              <w:top w:val="single" w:sz="4" w:space="0" w:color="auto"/>
              <w:left w:val="single" w:sz="4" w:space="0" w:color="auto"/>
              <w:bottom w:val="single" w:sz="4" w:space="0" w:color="auto"/>
              <w:right w:val="single" w:sz="4" w:space="0" w:color="auto"/>
            </w:tcBorders>
            <w:vAlign w:val="center"/>
            <w:hideMark/>
          </w:tcPr>
          <w:p w14:paraId="571DE1B2" w14:textId="3B88957A" w:rsidR="00186237" w:rsidRDefault="00186237" w:rsidP="00186237">
            <w:pPr>
              <w:pStyle w:val="Teksttabelilewy"/>
              <w:ind w:left="57"/>
              <w:rPr>
                <w:lang w:eastAsia="pl-PL"/>
              </w:rPr>
            </w:pPr>
            <w:r>
              <w:rPr>
                <w:rFonts w:cs="Calibri"/>
                <w:color w:val="000000"/>
                <w:szCs w:val="20"/>
              </w:rPr>
              <w:t>Działania naprawcze dla obszarów chronionych</w:t>
            </w:r>
          </w:p>
        </w:tc>
        <w:tc>
          <w:tcPr>
            <w:tcW w:w="807" w:type="pct"/>
            <w:tcBorders>
              <w:top w:val="single" w:sz="4" w:space="0" w:color="auto"/>
              <w:left w:val="single" w:sz="4" w:space="0" w:color="auto"/>
              <w:bottom w:val="single" w:sz="4" w:space="0" w:color="auto"/>
              <w:right w:val="single" w:sz="4" w:space="0" w:color="auto"/>
            </w:tcBorders>
            <w:vAlign w:val="center"/>
            <w:hideMark/>
          </w:tcPr>
          <w:p w14:paraId="306848F9" w14:textId="59555722" w:rsidR="00186237" w:rsidRDefault="00BF2F10" w:rsidP="00186237">
            <w:pPr>
              <w:pStyle w:val="Teksttabelisrodek"/>
              <w:rPr>
                <w:color w:val="000000"/>
                <w:lang w:eastAsia="en-US"/>
              </w:rPr>
            </w:pPr>
            <w:r>
              <w:rPr>
                <w:rFonts w:cs="Calibri"/>
                <w:color w:val="000000"/>
                <w:szCs w:val="20"/>
                <w:lang w:eastAsia="en-US"/>
              </w:rPr>
              <w:t>89</w:t>
            </w:r>
          </w:p>
        </w:tc>
        <w:tc>
          <w:tcPr>
            <w:tcW w:w="807" w:type="pct"/>
            <w:tcBorders>
              <w:top w:val="single" w:sz="4" w:space="0" w:color="auto"/>
              <w:left w:val="single" w:sz="4" w:space="0" w:color="auto"/>
              <w:bottom w:val="single" w:sz="4" w:space="0" w:color="auto"/>
              <w:right w:val="single" w:sz="4" w:space="0" w:color="auto"/>
            </w:tcBorders>
            <w:vAlign w:val="center"/>
            <w:hideMark/>
          </w:tcPr>
          <w:p w14:paraId="2BC45419" w14:textId="5740F1A1" w:rsidR="00186237" w:rsidRDefault="00186237" w:rsidP="00186237">
            <w:pPr>
              <w:pStyle w:val="Teksttabelisrodek"/>
              <w:rPr>
                <w:color w:val="000000"/>
                <w:lang w:eastAsia="en-US"/>
              </w:rPr>
            </w:pPr>
            <w:r>
              <w:rPr>
                <w:rFonts w:cs="Calibri"/>
                <w:color w:val="000000"/>
                <w:szCs w:val="20"/>
                <w:lang w:eastAsia="en-US"/>
              </w:rPr>
              <w:t>53</w:t>
            </w:r>
          </w:p>
        </w:tc>
        <w:tc>
          <w:tcPr>
            <w:tcW w:w="807" w:type="pct"/>
            <w:tcBorders>
              <w:top w:val="single" w:sz="4" w:space="0" w:color="auto"/>
              <w:left w:val="single" w:sz="4" w:space="0" w:color="auto"/>
              <w:bottom w:val="single" w:sz="4" w:space="0" w:color="auto"/>
              <w:right w:val="single" w:sz="4" w:space="0" w:color="auto"/>
            </w:tcBorders>
            <w:vAlign w:val="center"/>
            <w:hideMark/>
          </w:tcPr>
          <w:p w14:paraId="25DAFC2E" w14:textId="63C4604A" w:rsidR="00186237" w:rsidRDefault="00186237" w:rsidP="00186237">
            <w:pPr>
              <w:pStyle w:val="Teksttabelisrodek"/>
              <w:rPr>
                <w:color w:val="000000"/>
                <w:lang w:eastAsia="en-US"/>
              </w:rPr>
            </w:pPr>
            <w:r>
              <w:rPr>
                <w:rFonts w:cs="Calibri"/>
                <w:color w:val="000000"/>
                <w:szCs w:val="20"/>
                <w:lang w:eastAsia="en-US"/>
              </w:rPr>
              <w:t>16,0</w:t>
            </w:r>
          </w:p>
        </w:tc>
      </w:tr>
      <w:tr w:rsidR="00186237" w14:paraId="3314315F"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4519BBF3" w14:textId="2D358A87" w:rsidR="00186237" w:rsidRDefault="00186237" w:rsidP="00186237">
            <w:pPr>
              <w:pStyle w:val="Teksttabelilewy"/>
              <w:ind w:left="57"/>
              <w:rPr>
                <w:lang w:eastAsia="pl-PL"/>
              </w:rPr>
            </w:pPr>
            <w:r>
              <w:rPr>
                <w:rFonts w:cs="Calibri"/>
                <w:color w:val="000000"/>
                <w:szCs w:val="20"/>
              </w:rPr>
              <w:t>LWC_11</w:t>
            </w:r>
          </w:p>
        </w:tc>
        <w:tc>
          <w:tcPr>
            <w:tcW w:w="1901" w:type="pct"/>
            <w:tcBorders>
              <w:top w:val="single" w:sz="4" w:space="0" w:color="auto"/>
              <w:left w:val="single" w:sz="4" w:space="0" w:color="auto"/>
              <w:bottom w:val="single" w:sz="4" w:space="0" w:color="auto"/>
              <w:right w:val="single" w:sz="4" w:space="0" w:color="auto"/>
            </w:tcBorders>
            <w:vAlign w:val="center"/>
            <w:hideMark/>
          </w:tcPr>
          <w:p w14:paraId="074C439B" w14:textId="590B254F" w:rsidR="00186237" w:rsidRDefault="00186237" w:rsidP="00186237">
            <w:pPr>
              <w:pStyle w:val="Teksttabelilewy"/>
              <w:ind w:left="57"/>
              <w:rPr>
                <w:lang w:eastAsia="pl-PL"/>
              </w:rPr>
            </w:pPr>
            <w:r>
              <w:rPr>
                <w:rFonts w:cs="Calibri"/>
                <w:color w:val="000000"/>
                <w:szCs w:val="20"/>
              </w:rPr>
              <w:t>Działania kontrolne</w:t>
            </w:r>
          </w:p>
        </w:tc>
        <w:tc>
          <w:tcPr>
            <w:tcW w:w="807" w:type="pct"/>
            <w:tcBorders>
              <w:top w:val="single" w:sz="4" w:space="0" w:color="auto"/>
              <w:left w:val="single" w:sz="4" w:space="0" w:color="auto"/>
              <w:bottom w:val="single" w:sz="4" w:space="0" w:color="auto"/>
              <w:right w:val="single" w:sz="4" w:space="0" w:color="auto"/>
            </w:tcBorders>
            <w:vAlign w:val="center"/>
            <w:hideMark/>
          </w:tcPr>
          <w:p w14:paraId="13CA3B1F" w14:textId="5F63D91C" w:rsidR="00186237" w:rsidRDefault="00186237" w:rsidP="00186237">
            <w:pPr>
              <w:pStyle w:val="Teksttabelisrodek"/>
              <w:rPr>
                <w:color w:val="000000"/>
                <w:lang w:eastAsia="en-US"/>
              </w:rPr>
            </w:pPr>
            <w:r>
              <w:rPr>
                <w:rFonts w:cs="Calibri"/>
                <w:color w:val="000000"/>
                <w:szCs w:val="20"/>
                <w:lang w:eastAsia="en-US"/>
              </w:rPr>
              <w:t>165</w:t>
            </w:r>
          </w:p>
        </w:tc>
        <w:tc>
          <w:tcPr>
            <w:tcW w:w="807" w:type="pct"/>
            <w:tcBorders>
              <w:top w:val="single" w:sz="4" w:space="0" w:color="auto"/>
              <w:left w:val="single" w:sz="4" w:space="0" w:color="auto"/>
              <w:bottom w:val="single" w:sz="4" w:space="0" w:color="auto"/>
              <w:right w:val="single" w:sz="4" w:space="0" w:color="auto"/>
            </w:tcBorders>
            <w:vAlign w:val="center"/>
            <w:hideMark/>
          </w:tcPr>
          <w:p w14:paraId="504AD560" w14:textId="7D952B41" w:rsidR="00186237" w:rsidRDefault="00186237" w:rsidP="00186237">
            <w:pPr>
              <w:pStyle w:val="Teksttabelisrodek"/>
              <w:rPr>
                <w:color w:val="000000"/>
                <w:lang w:eastAsia="en-US"/>
              </w:rPr>
            </w:pPr>
            <w:r>
              <w:rPr>
                <w:rFonts w:cs="Calibri"/>
                <w:color w:val="000000"/>
                <w:szCs w:val="20"/>
                <w:lang w:eastAsia="en-US"/>
              </w:rPr>
              <w:t>165</w:t>
            </w:r>
          </w:p>
        </w:tc>
        <w:tc>
          <w:tcPr>
            <w:tcW w:w="807" w:type="pct"/>
            <w:tcBorders>
              <w:top w:val="single" w:sz="4" w:space="0" w:color="auto"/>
              <w:left w:val="single" w:sz="4" w:space="0" w:color="auto"/>
              <w:bottom w:val="single" w:sz="4" w:space="0" w:color="auto"/>
              <w:right w:val="single" w:sz="4" w:space="0" w:color="auto"/>
            </w:tcBorders>
            <w:vAlign w:val="center"/>
            <w:hideMark/>
          </w:tcPr>
          <w:p w14:paraId="61E897CB" w14:textId="7FAEEAF1" w:rsidR="00186237" w:rsidRDefault="00186237" w:rsidP="00186237">
            <w:pPr>
              <w:pStyle w:val="Teksttabelisrodek"/>
              <w:rPr>
                <w:color w:val="000000"/>
                <w:lang w:eastAsia="en-US"/>
              </w:rPr>
            </w:pPr>
            <w:r>
              <w:rPr>
                <w:rFonts w:cs="Calibri"/>
                <w:color w:val="000000"/>
                <w:szCs w:val="20"/>
                <w:lang w:eastAsia="en-US"/>
              </w:rPr>
              <w:t>49,8</w:t>
            </w:r>
          </w:p>
        </w:tc>
      </w:tr>
      <w:tr w:rsidR="00186237" w14:paraId="2B5A397E" w14:textId="77777777" w:rsidTr="0091173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28B6CF32" w14:textId="2FD85C65" w:rsidR="00186237" w:rsidRDefault="00186237" w:rsidP="00186237">
            <w:pPr>
              <w:pStyle w:val="Teksttabelilewy"/>
              <w:ind w:left="57"/>
              <w:rPr>
                <w:lang w:eastAsia="pl-PL"/>
              </w:rPr>
            </w:pPr>
            <w:r>
              <w:rPr>
                <w:rFonts w:cs="Calibri"/>
                <w:color w:val="000000"/>
                <w:szCs w:val="20"/>
              </w:rPr>
              <w:t>LWC_12</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378829" w14:textId="0AB6FB25" w:rsidR="00186237" w:rsidRPr="00BE57F4" w:rsidRDefault="00186237" w:rsidP="00186237">
            <w:pPr>
              <w:pStyle w:val="Teksttabelilewy"/>
              <w:ind w:left="57"/>
              <w:rPr>
                <w:highlight w:val="yellow"/>
                <w:lang w:eastAsia="pl-PL"/>
              </w:rPr>
            </w:pPr>
            <w:r>
              <w:rPr>
                <w:rFonts w:cs="Calibri"/>
                <w:color w:val="000000"/>
                <w:szCs w:val="20"/>
              </w:rPr>
              <w:t>Działania monitoringowe</w:t>
            </w:r>
          </w:p>
        </w:tc>
        <w:tc>
          <w:tcPr>
            <w:tcW w:w="807" w:type="pct"/>
            <w:tcBorders>
              <w:top w:val="single" w:sz="4" w:space="0" w:color="auto"/>
              <w:left w:val="single" w:sz="4" w:space="0" w:color="auto"/>
              <w:bottom w:val="single" w:sz="4" w:space="0" w:color="auto"/>
              <w:right w:val="single" w:sz="4" w:space="0" w:color="auto"/>
            </w:tcBorders>
            <w:vAlign w:val="center"/>
            <w:hideMark/>
          </w:tcPr>
          <w:p w14:paraId="556F3BF3" w14:textId="6E95343B" w:rsidR="00186237" w:rsidRDefault="00186237" w:rsidP="00186237">
            <w:pPr>
              <w:pStyle w:val="Teksttabelisrodek"/>
              <w:rPr>
                <w:color w:val="000000"/>
                <w:lang w:eastAsia="en-US"/>
              </w:rPr>
            </w:pPr>
            <w:r>
              <w:rPr>
                <w:rFonts w:cs="Calibri"/>
                <w:color w:val="000000"/>
                <w:szCs w:val="20"/>
                <w:lang w:eastAsia="en-US"/>
              </w:rPr>
              <w:t>40</w:t>
            </w:r>
          </w:p>
        </w:tc>
        <w:tc>
          <w:tcPr>
            <w:tcW w:w="807" w:type="pct"/>
            <w:tcBorders>
              <w:top w:val="single" w:sz="4" w:space="0" w:color="auto"/>
              <w:left w:val="single" w:sz="4" w:space="0" w:color="auto"/>
              <w:bottom w:val="single" w:sz="4" w:space="0" w:color="auto"/>
              <w:right w:val="single" w:sz="4" w:space="0" w:color="auto"/>
            </w:tcBorders>
            <w:vAlign w:val="center"/>
            <w:hideMark/>
          </w:tcPr>
          <w:p w14:paraId="275BB5D1" w14:textId="74F72FF6" w:rsidR="00186237" w:rsidRDefault="00186237" w:rsidP="00186237">
            <w:pPr>
              <w:pStyle w:val="Teksttabelisrodek"/>
              <w:rPr>
                <w:color w:val="000000"/>
                <w:lang w:eastAsia="en-US"/>
              </w:rPr>
            </w:pPr>
            <w:r>
              <w:rPr>
                <w:rFonts w:cs="Calibri"/>
                <w:color w:val="000000"/>
                <w:szCs w:val="20"/>
                <w:lang w:eastAsia="en-US"/>
              </w:rPr>
              <w:t>40</w:t>
            </w:r>
          </w:p>
        </w:tc>
        <w:tc>
          <w:tcPr>
            <w:tcW w:w="807" w:type="pct"/>
            <w:tcBorders>
              <w:top w:val="single" w:sz="4" w:space="0" w:color="auto"/>
              <w:left w:val="single" w:sz="4" w:space="0" w:color="auto"/>
              <w:bottom w:val="single" w:sz="4" w:space="0" w:color="auto"/>
              <w:right w:val="single" w:sz="4" w:space="0" w:color="auto"/>
            </w:tcBorders>
            <w:vAlign w:val="center"/>
            <w:hideMark/>
          </w:tcPr>
          <w:p w14:paraId="045AD2EB" w14:textId="74782D9D" w:rsidR="00186237" w:rsidRDefault="00186237" w:rsidP="00186237">
            <w:pPr>
              <w:pStyle w:val="Teksttabelisrodek"/>
              <w:rPr>
                <w:color w:val="000000"/>
                <w:lang w:eastAsia="en-US"/>
              </w:rPr>
            </w:pPr>
            <w:r>
              <w:rPr>
                <w:rFonts w:cs="Calibri"/>
                <w:color w:val="000000"/>
                <w:szCs w:val="20"/>
                <w:lang w:eastAsia="en-US"/>
              </w:rPr>
              <w:t>12,1</w:t>
            </w:r>
          </w:p>
        </w:tc>
      </w:tr>
      <w:tr w:rsidR="00186237" w14:paraId="62560B03"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3F5C727C" w14:textId="7AB60F3C" w:rsidR="00186237" w:rsidRPr="00D41C9A" w:rsidRDefault="00186237" w:rsidP="00186237">
            <w:pPr>
              <w:pStyle w:val="Teksttabelilewy"/>
              <w:ind w:left="57"/>
              <w:rPr>
                <w:lang w:eastAsia="pl-PL"/>
              </w:rPr>
            </w:pPr>
            <w:r>
              <w:rPr>
                <w:rFonts w:cs="Calibri"/>
                <w:color w:val="000000"/>
                <w:szCs w:val="20"/>
              </w:rPr>
              <w:t>LWHM_01</w:t>
            </w:r>
          </w:p>
        </w:tc>
        <w:tc>
          <w:tcPr>
            <w:tcW w:w="1901" w:type="pct"/>
            <w:tcBorders>
              <w:top w:val="single" w:sz="4" w:space="0" w:color="auto"/>
              <w:left w:val="single" w:sz="4" w:space="0" w:color="auto"/>
              <w:bottom w:val="single" w:sz="4" w:space="0" w:color="auto"/>
              <w:right w:val="single" w:sz="4" w:space="0" w:color="auto"/>
            </w:tcBorders>
            <w:vAlign w:val="center"/>
            <w:hideMark/>
          </w:tcPr>
          <w:p w14:paraId="58A0E579" w14:textId="26057E4E" w:rsidR="00186237" w:rsidRPr="00D41C9A" w:rsidRDefault="00186237" w:rsidP="00186237">
            <w:pPr>
              <w:pStyle w:val="Teksttabelilewy"/>
              <w:ind w:left="57"/>
              <w:rPr>
                <w:lang w:eastAsia="pl-PL"/>
              </w:rPr>
            </w:pPr>
            <w:r>
              <w:rPr>
                <w:rFonts w:cs="Calibri"/>
                <w:color w:val="000000"/>
                <w:szCs w:val="20"/>
              </w:rPr>
              <w:t>Poprawa warunków wodnych i siedliskowych w obrębie strefy brzegowej jezior</w:t>
            </w:r>
          </w:p>
        </w:tc>
        <w:tc>
          <w:tcPr>
            <w:tcW w:w="807" w:type="pct"/>
            <w:tcBorders>
              <w:top w:val="single" w:sz="4" w:space="0" w:color="auto"/>
              <w:left w:val="single" w:sz="4" w:space="0" w:color="auto"/>
              <w:bottom w:val="single" w:sz="4" w:space="0" w:color="auto"/>
              <w:right w:val="single" w:sz="4" w:space="0" w:color="auto"/>
            </w:tcBorders>
            <w:vAlign w:val="center"/>
            <w:hideMark/>
          </w:tcPr>
          <w:p w14:paraId="2F903869" w14:textId="7E406903" w:rsidR="00186237" w:rsidRDefault="00186237" w:rsidP="00186237">
            <w:pPr>
              <w:pStyle w:val="Teksttabelisrodek"/>
              <w:rPr>
                <w:color w:val="000000"/>
                <w:lang w:eastAsia="en-US"/>
              </w:rPr>
            </w:pPr>
            <w:r>
              <w:rPr>
                <w:rFonts w:cs="Calibri"/>
                <w:color w:val="000000"/>
                <w:szCs w:val="20"/>
                <w:lang w:eastAsia="en-US"/>
              </w:rPr>
              <w:t>27</w:t>
            </w:r>
          </w:p>
        </w:tc>
        <w:tc>
          <w:tcPr>
            <w:tcW w:w="807" w:type="pct"/>
            <w:tcBorders>
              <w:top w:val="single" w:sz="4" w:space="0" w:color="auto"/>
              <w:left w:val="single" w:sz="4" w:space="0" w:color="auto"/>
              <w:bottom w:val="single" w:sz="4" w:space="0" w:color="auto"/>
              <w:right w:val="single" w:sz="4" w:space="0" w:color="auto"/>
            </w:tcBorders>
            <w:vAlign w:val="center"/>
            <w:hideMark/>
          </w:tcPr>
          <w:p w14:paraId="4AD0EBBC" w14:textId="7360A433" w:rsidR="00186237" w:rsidRDefault="00186237" w:rsidP="00186237">
            <w:pPr>
              <w:pStyle w:val="Teksttabelisrodek"/>
              <w:rPr>
                <w:color w:val="000000"/>
                <w:lang w:eastAsia="en-US"/>
              </w:rPr>
            </w:pPr>
            <w:r>
              <w:rPr>
                <w:rFonts w:cs="Calibri"/>
                <w:color w:val="000000"/>
                <w:szCs w:val="20"/>
                <w:lang w:eastAsia="en-US"/>
              </w:rPr>
              <w:t>27</w:t>
            </w:r>
          </w:p>
        </w:tc>
        <w:tc>
          <w:tcPr>
            <w:tcW w:w="807" w:type="pct"/>
            <w:tcBorders>
              <w:top w:val="single" w:sz="4" w:space="0" w:color="auto"/>
              <w:left w:val="single" w:sz="4" w:space="0" w:color="auto"/>
              <w:bottom w:val="single" w:sz="4" w:space="0" w:color="auto"/>
              <w:right w:val="single" w:sz="4" w:space="0" w:color="auto"/>
            </w:tcBorders>
            <w:vAlign w:val="center"/>
            <w:hideMark/>
          </w:tcPr>
          <w:p w14:paraId="4BF07219" w14:textId="417AC8DC" w:rsidR="00186237" w:rsidRDefault="00186237" w:rsidP="00186237">
            <w:pPr>
              <w:pStyle w:val="Teksttabelisrodek"/>
              <w:rPr>
                <w:color w:val="000000"/>
                <w:lang w:eastAsia="en-US"/>
              </w:rPr>
            </w:pPr>
            <w:r>
              <w:rPr>
                <w:rFonts w:cs="Calibri"/>
                <w:color w:val="000000"/>
                <w:szCs w:val="20"/>
                <w:lang w:eastAsia="en-US"/>
              </w:rPr>
              <w:t>8,2</w:t>
            </w:r>
          </w:p>
        </w:tc>
      </w:tr>
      <w:tr w:rsidR="00186237" w14:paraId="29F621FA"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19F15B71" w14:textId="34FF5741" w:rsidR="00186237" w:rsidRDefault="00186237" w:rsidP="00186237">
            <w:pPr>
              <w:pStyle w:val="Teksttabelilewy"/>
              <w:ind w:left="57"/>
              <w:rPr>
                <w:lang w:eastAsia="pl-PL"/>
              </w:rPr>
            </w:pPr>
            <w:r>
              <w:rPr>
                <w:rFonts w:cs="Calibri"/>
                <w:color w:val="000000"/>
                <w:szCs w:val="20"/>
              </w:rPr>
              <w:t>LWHM_02</w:t>
            </w:r>
          </w:p>
        </w:tc>
        <w:tc>
          <w:tcPr>
            <w:tcW w:w="1901" w:type="pct"/>
            <w:tcBorders>
              <w:top w:val="single" w:sz="4" w:space="0" w:color="auto"/>
              <w:left w:val="single" w:sz="4" w:space="0" w:color="auto"/>
              <w:bottom w:val="single" w:sz="4" w:space="0" w:color="auto"/>
              <w:right w:val="single" w:sz="4" w:space="0" w:color="auto"/>
            </w:tcBorders>
            <w:vAlign w:val="center"/>
            <w:hideMark/>
          </w:tcPr>
          <w:p w14:paraId="5B4DC05C" w14:textId="56C3AEAE" w:rsidR="00186237" w:rsidRDefault="00186237" w:rsidP="00186237">
            <w:pPr>
              <w:pStyle w:val="Teksttabelilewy"/>
              <w:ind w:left="57"/>
              <w:rPr>
                <w:lang w:eastAsia="pl-PL"/>
              </w:rPr>
            </w:pPr>
            <w:r>
              <w:rPr>
                <w:rFonts w:cs="Calibri"/>
                <w:color w:val="000000"/>
                <w:szCs w:val="20"/>
              </w:rPr>
              <w:t>Poprawa warunków siedliskowych w strefie litoralnej</w:t>
            </w:r>
          </w:p>
        </w:tc>
        <w:tc>
          <w:tcPr>
            <w:tcW w:w="807" w:type="pct"/>
            <w:tcBorders>
              <w:top w:val="single" w:sz="4" w:space="0" w:color="auto"/>
              <w:left w:val="single" w:sz="4" w:space="0" w:color="auto"/>
              <w:bottom w:val="single" w:sz="4" w:space="0" w:color="auto"/>
              <w:right w:val="single" w:sz="4" w:space="0" w:color="auto"/>
            </w:tcBorders>
            <w:vAlign w:val="center"/>
            <w:hideMark/>
          </w:tcPr>
          <w:p w14:paraId="50D9801C" w14:textId="2AE47F97" w:rsidR="00186237" w:rsidRDefault="00186237" w:rsidP="00186237">
            <w:pPr>
              <w:pStyle w:val="Teksttabelisrodek"/>
              <w:rPr>
                <w:color w:val="000000"/>
                <w:lang w:eastAsia="en-US"/>
              </w:rPr>
            </w:pPr>
            <w:r>
              <w:rPr>
                <w:rFonts w:cs="Calibri"/>
                <w:color w:val="000000"/>
                <w:szCs w:val="20"/>
                <w:lang w:eastAsia="en-US"/>
              </w:rPr>
              <w:t>11</w:t>
            </w:r>
          </w:p>
        </w:tc>
        <w:tc>
          <w:tcPr>
            <w:tcW w:w="807" w:type="pct"/>
            <w:tcBorders>
              <w:top w:val="single" w:sz="4" w:space="0" w:color="auto"/>
              <w:left w:val="single" w:sz="4" w:space="0" w:color="auto"/>
              <w:bottom w:val="single" w:sz="4" w:space="0" w:color="auto"/>
              <w:right w:val="single" w:sz="4" w:space="0" w:color="auto"/>
            </w:tcBorders>
            <w:vAlign w:val="center"/>
            <w:hideMark/>
          </w:tcPr>
          <w:p w14:paraId="43148139" w14:textId="5AB36E73" w:rsidR="00186237" w:rsidRDefault="00186237" w:rsidP="00186237">
            <w:pPr>
              <w:pStyle w:val="Teksttabelisrodek"/>
              <w:rPr>
                <w:color w:val="000000"/>
                <w:lang w:eastAsia="en-US"/>
              </w:rPr>
            </w:pPr>
            <w:r>
              <w:rPr>
                <w:rFonts w:cs="Calibri"/>
                <w:color w:val="000000"/>
                <w:szCs w:val="20"/>
                <w:lang w:eastAsia="en-US"/>
              </w:rPr>
              <w:t>11</w:t>
            </w:r>
          </w:p>
        </w:tc>
        <w:tc>
          <w:tcPr>
            <w:tcW w:w="807" w:type="pct"/>
            <w:tcBorders>
              <w:top w:val="single" w:sz="4" w:space="0" w:color="auto"/>
              <w:left w:val="single" w:sz="4" w:space="0" w:color="auto"/>
              <w:bottom w:val="single" w:sz="4" w:space="0" w:color="auto"/>
              <w:right w:val="single" w:sz="4" w:space="0" w:color="auto"/>
            </w:tcBorders>
            <w:vAlign w:val="center"/>
            <w:hideMark/>
          </w:tcPr>
          <w:p w14:paraId="04AE3363" w14:textId="1E787E42" w:rsidR="00186237" w:rsidRDefault="00186237" w:rsidP="00186237">
            <w:pPr>
              <w:pStyle w:val="Teksttabelisrodek"/>
              <w:rPr>
                <w:color w:val="000000"/>
                <w:lang w:eastAsia="en-US"/>
              </w:rPr>
            </w:pPr>
            <w:r>
              <w:rPr>
                <w:rFonts w:cs="Calibri"/>
                <w:color w:val="000000"/>
                <w:szCs w:val="20"/>
                <w:lang w:eastAsia="en-US"/>
              </w:rPr>
              <w:t>3,3</w:t>
            </w:r>
          </w:p>
        </w:tc>
      </w:tr>
      <w:tr w:rsidR="00186237" w14:paraId="49E3176C"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62823275" w14:textId="66D34AF0" w:rsidR="00186237" w:rsidRDefault="00186237" w:rsidP="00186237">
            <w:pPr>
              <w:pStyle w:val="Teksttabelilewy"/>
              <w:ind w:left="57"/>
              <w:rPr>
                <w:lang w:eastAsia="pl-PL"/>
              </w:rPr>
            </w:pPr>
            <w:r>
              <w:rPr>
                <w:rFonts w:cs="Calibri"/>
                <w:color w:val="000000"/>
                <w:szCs w:val="20"/>
              </w:rPr>
              <w:t>LWH_02</w:t>
            </w:r>
          </w:p>
        </w:tc>
        <w:tc>
          <w:tcPr>
            <w:tcW w:w="1901" w:type="pct"/>
            <w:tcBorders>
              <w:top w:val="single" w:sz="4" w:space="0" w:color="auto"/>
              <w:left w:val="single" w:sz="4" w:space="0" w:color="auto"/>
              <w:bottom w:val="single" w:sz="4" w:space="0" w:color="auto"/>
              <w:right w:val="single" w:sz="4" w:space="0" w:color="auto"/>
            </w:tcBorders>
            <w:vAlign w:val="center"/>
            <w:hideMark/>
          </w:tcPr>
          <w:p w14:paraId="37D6AD03" w14:textId="2D33E43D" w:rsidR="00186237" w:rsidRDefault="00186237" w:rsidP="00186237">
            <w:pPr>
              <w:pStyle w:val="Teksttabelilewy"/>
              <w:ind w:left="57"/>
              <w:rPr>
                <w:lang w:eastAsia="pl-PL"/>
              </w:rPr>
            </w:pPr>
            <w:r>
              <w:rPr>
                <w:rFonts w:cs="Calibri"/>
                <w:color w:val="000000"/>
                <w:szCs w:val="20"/>
              </w:rPr>
              <w:t>Zintegrowany system monitoringu suszy</w:t>
            </w:r>
          </w:p>
        </w:tc>
        <w:tc>
          <w:tcPr>
            <w:tcW w:w="807" w:type="pct"/>
            <w:tcBorders>
              <w:top w:val="single" w:sz="4" w:space="0" w:color="auto"/>
              <w:left w:val="single" w:sz="4" w:space="0" w:color="auto"/>
              <w:bottom w:val="single" w:sz="4" w:space="0" w:color="auto"/>
              <w:right w:val="single" w:sz="4" w:space="0" w:color="auto"/>
            </w:tcBorders>
            <w:vAlign w:val="center"/>
            <w:hideMark/>
          </w:tcPr>
          <w:p w14:paraId="41B82541" w14:textId="1C7D1672" w:rsidR="00186237" w:rsidRDefault="00186237" w:rsidP="00186237">
            <w:pPr>
              <w:pStyle w:val="Teksttabelisrodek"/>
              <w:rPr>
                <w:color w:val="000000"/>
                <w:lang w:eastAsia="en-US"/>
              </w:rPr>
            </w:pPr>
            <w:r>
              <w:rPr>
                <w:rFonts w:cs="Calibri"/>
                <w:color w:val="000000"/>
                <w:szCs w:val="20"/>
                <w:lang w:eastAsia="en-US"/>
              </w:rPr>
              <w:t>13</w:t>
            </w:r>
          </w:p>
        </w:tc>
        <w:tc>
          <w:tcPr>
            <w:tcW w:w="807" w:type="pct"/>
            <w:tcBorders>
              <w:top w:val="single" w:sz="4" w:space="0" w:color="auto"/>
              <w:left w:val="single" w:sz="4" w:space="0" w:color="auto"/>
              <w:bottom w:val="single" w:sz="4" w:space="0" w:color="auto"/>
              <w:right w:val="single" w:sz="4" w:space="0" w:color="auto"/>
            </w:tcBorders>
            <w:vAlign w:val="center"/>
            <w:hideMark/>
          </w:tcPr>
          <w:p w14:paraId="507A0E4C" w14:textId="036F7BA2" w:rsidR="00186237" w:rsidRDefault="00186237" w:rsidP="00186237">
            <w:pPr>
              <w:pStyle w:val="Teksttabelisrodek"/>
              <w:rPr>
                <w:color w:val="000000"/>
                <w:lang w:eastAsia="en-US"/>
              </w:rPr>
            </w:pPr>
            <w:r>
              <w:rPr>
                <w:rFonts w:cs="Calibri"/>
                <w:color w:val="000000"/>
                <w:szCs w:val="20"/>
                <w:lang w:eastAsia="en-US"/>
              </w:rPr>
              <w:t>10</w:t>
            </w:r>
          </w:p>
        </w:tc>
        <w:tc>
          <w:tcPr>
            <w:tcW w:w="807" w:type="pct"/>
            <w:tcBorders>
              <w:top w:val="single" w:sz="4" w:space="0" w:color="auto"/>
              <w:left w:val="single" w:sz="4" w:space="0" w:color="auto"/>
              <w:bottom w:val="single" w:sz="4" w:space="0" w:color="auto"/>
              <w:right w:val="single" w:sz="4" w:space="0" w:color="auto"/>
            </w:tcBorders>
            <w:vAlign w:val="center"/>
            <w:hideMark/>
          </w:tcPr>
          <w:p w14:paraId="758351B9" w14:textId="0F9077C1" w:rsidR="00186237" w:rsidRDefault="00186237" w:rsidP="00186237">
            <w:pPr>
              <w:pStyle w:val="Teksttabelisrodek"/>
              <w:rPr>
                <w:color w:val="000000"/>
                <w:lang w:eastAsia="en-US"/>
              </w:rPr>
            </w:pPr>
            <w:r>
              <w:rPr>
                <w:rFonts w:cs="Calibri"/>
                <w:color w:val="000000"/>
                <w:szCs w:val="20"/>
                <w:lang w:eastAsia="en-US"/>
              </w:rPr>
              <w:t>3,0</w:t>
            </w:r>
          </w:p>
        </w:tc>
      </w:tr>
      <w:tr w:rsidR="00186237" w14:paraId="32F43C84"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280675C2" w14:textId="24759453" w:rsidR="00186237" w:rsidRDefault="00186237" w:rsidP="00186237">
            <w:pPr>
              <w:pStyle w:val="Teksttabelilewy"/>
              <w:ind w:left="57"/>
              <w:rPr>
                <w:lang w:eastAsia="pl-PL"/>
              </w:rPr>
            </w:pPr>
            <w:r>
              <w:rPr>
                <w:rFonts w:cs="Calibri"/>
                <w:color w:val="000000"/>
                <w:szCs w:val="20"/>
              </w:rPr>
              <w:t>LWP_01</w:t>
            </w:r>
          </w:p>
        </w:tc>
        <w:tc>
          <w:tcPr>
            <w:tcW w:w="1901" w:type="pct"/>
            <w:tcBorders>
              <w:top w:val="single" w:sz="4" w:space="0" w:color="auto"/>
              <w:left w:val="single" w:sz="4" w:space="0" w:color="auto"/>
              <w:bottom w:val="single" w:sz="4" w:space="0" w:color="auto"/>
              <w:right w:val="single" w:sz="4" w:space="0" w:color="auto"/>
            </w:tcBorders>
            <w:vAlign w:val="center"/>
            <w:hideMark/>
          </w:tcPr>
          <w:p w14:paraId="1AE0600E" w14:textId="0DA58845" w:rsidR="00186237" w:rsidRDefault="00186237" w:rsidP="00186237">
            <w:pPr>
              <w:pStyle w:val="Teksttabelilewy"/>
              <w:ind w:left="57"/>
              <w:rPr>
                <w:lang w:eastAsia="pl-PL"/>
              </w:rPr>
            </w:pPr>
            <w:r>
              <w:rPr>
                <w:rFonts w:cs="Calibri"/>
                <w:color w:val="000000"/>
                <w:szCs w:val="20"/>
              </w:rPr>
              <w:t>Działania edukacyjne i doradcze dla rolników</w:t>
            </w:r>
          </w:p>
        </w:tc>
        <w:tc>
          <w:tcPr>
            <w:tcW w:w="807" w:type="pct"/>
            <w:tcBorders>
              <w:top w:val="single" w:sz="4" w:space="0" w:color="auto"/>
              <w:left w:val="single" w:sz="4" w:space="0" w:color="auto"/>
              <w:bottom w:val="single" w:sz="4" w:space="0" w:color="auto"/>
              <w:right w:val="single" w:sz="4" w:space="0" w:color="auto"/>
            </w:tcBorders>
            <w:vAlign w:val="center"/>
            <w:hideMark/>
          </w:tcPr>
          <w:p w14:paraId="2CD1C4FD" w14:textId="42A9ACAD" w:rsidR="00186237" w:rsidRDefault="00186237" w:rsidP="00186237">
            <w:pPr>
              <w:pStyle w:val="Teksttabelisrodek"/>
              <w:rPr>
                <w:color w:val="000000"/>
                <w:lang w:eastAsia="en-US"/>
              </w:rPr>
            </w:pPr>
            <w:r>
              <w:rPr>
                <w:rFonts w:cs="Calibri"/>
                <w:color w:val="000000"/>
                <w:szCs w:val="20"/>
                <w:lang w:eastAsia="en-US"/>
              </w:rPr>
              <w:t>165</w:t>
            </w:r>
          </w:p>
        </w:tc>
        <w:tc>
          <w:tcPr>
            <w:tcW w:w="807" w:type="pct"/>
            <w:tcBorders>
              <w:top w:val="single" w:sz="4" w:space="0" w:color="auto"/>
              <w:left w:val="single" w:sz="4" w:space="0" w:color="auto"/>
              <w:bottom w:val="single" w:sz="4" w:space="0" w:color="auto"/>
              <w:right w:val="single" w:sz="4" w:space="0" w:color="auto"/>
            </w:tcBorders>
            <w:vAlign w:val="center"/>
            <w:hideMark/>
          </w:tcPr>
          <w:p w14:paraId="067EF7D4" w14:textId="295685CB" w:rsidR="00186237" w:rsidRDefault="00186237" w:rsidP="00186237">
            <w:pPr>
              <w:pStyle w:val="Teksttabelisrodek"/>
              <w:rPr>
                <w:color w:val="000000"/>
                <w:lang w:eastAsia="en-US"/>
              </w:rPr>
            </w:pPr>
            <w:r>
              <w:rPr>
                <w:rFonts w:cs="Calibri"/>
                <w:color w:val="000000"/>
                <w:szCs w:val="20"/>
                <w:lang w:eastAsia="en-US"/>
              </w:rPr>
              <w:t>165</w:t>
            </w:r>
          </w:p>
        </w:tc>
        <w:tc>
          <w:tcPr>
            <w:tcW w:w="807" w:type="pct"/>
            <w:tcBorders>
              <w:top w:val="single" w:sz="4" w:space="0" w:color="auto"/>
              <w:left w:val="single" w:sz="4" w:space="0" w:color="auto"/>
              <w:bottom w:val="single" w:sz="4" w:space="0" w:color="auto"/>
              <w:right w:val="single" w:sz="4" w:space="0" w:color="auto"/>
            </w:tcBorders>
            <w:vAlign w:val="center"/>
            <w:hideMark/>
          </w:tcPr>
          <w:p w14:paraId="4FF6324B" w14:textId="07B1658F" w:rsidR="00186237" w:rsidRDefault="00186237" w:rsidP="00186237">
            <w:pPr>
              <w:pStyle w:val="Teksttabelisrodek"/>
              <w:rPr>
                <w:color w:val="000000"/>
                <w:lang w:eastAsia="en-US"/>
              </w:rPr>
            </w:pPr>
            <w:r>
              <w:rPr>
                <w:rFonts w:cs="Calibri"/>
                <w:color w:val="000000"/>
                <w:szCs w:val="20"/>
                <w:lang w:eastAsia="en-US"/>
              </w:rPr>
              <w:t>49,8</w:t>
            </w:r>
          </w:p>
        </w:tc>
      </w:tr>
      <w:tr w:rsidR="00186237" w14:paraId="1F0B79F9"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5EC2628D" w14:textId="6887B13D" w:rsidR="00186237" w:rsidRDefault="00186237" w:rsidP="00186237">
            <w:pPr>
              <w:pStyle w:val="Teksttabelilewy"/>
              <w:ind w:left="57"/>
              <w:rPr>
                <w:lang w:eastAsia="pl-PL"/>
              </w:rPr>
            </w:pPr>
            <w:r>
              <w:rPr>
                <w:rFonts w:cs="Calibri"/>
                <w:color w:val="000000"/>
                <w:szCs w:val="20"/>
              </w:rPr>
              <w:t>LWP_02</w:t>
            </w:r>
          </w:p>
        </w:tc>
        <w:tc>
          <w:tcPr>
            <w:tcW w:w="1901" w:type="pct"/>
            <w:tcBorders>
              <w:top w:val="single" w:sz="4" w:space="0" w:color="auto"/>
              <w:left w:val="single" w:sz="4" w:space="0" w:color="auto"/>
              <w:bottom w:val="single" w:sz="4" w:space="0" w:color="auto"/>
              <w:right w:val="single" w:sz="4" w:space="0" w:color="auto"/>
            </w:tcBorders>
            <w:vAlign w:val="center"/>
            <w:hideMark/>
          </w:tcPr>
          <w:p w14:paraId="624BA9D1" w14:textId="0830EB6E" w:rsidR="00186237" w:rsidRDefault="00186237" w:rsidP="00186237">
            <w:pPr>
              <w:pStyle w:val="Teksttabelilewy"/>
              <w:ind w:left="57"/>
              <w:rPr>
                <w:lang w:eastAsia="pl-PL"/>
              </w:rPr>
            </w:pPr>
            <w:r>
              <w:rPr>
                <w:rFonts w:cs="Calibri"/>
                <w:color w:val="000000"/>
                <w:szCs w:val="20"/>
              </w:rPr>
              <w:t>Ograniczenie zanieczyszczenia pestycydami z rolnictwa</w:t>
            </w:r>
          </w:p>
        </w:tc>
        <w:tc>
          <w:tcPr>
            <w:tcW w:w="807" w:type="pct"/>
            <w:tcBorders>
              <w:top w:val="single" w:sz="4" w:space="0" w:color="auto"/>
              <w:left w:val="single" w:sz="4" w:space="0" w:color="auto"/>
              <w:bottom w:val="single" w:sz="4" w:space="0" w:color="auto"/>
              <w:right w:val="single" w:sz="4" w:space="0" w:color="auto"/>
            </w:tcBorders>
            <w:vAlign w:val="center"/>
            <w:hideMark/>
          </w:tcPr>
          <w:p w14:paraId="0BBE94AA" w14:textId="2AE3ED00" w:rsidR="00186237" w:rsidRDefault="00186237" w:rsidP="00186237">
            <w:pPr>
              <w:pStyle w:val="Teksttabelisrodek"/>
              <w:rPr>
                <w:color w:val="000000"/>
                <w:lang w:eastAsia="en-US"/>
              </w:rPr>
            </w:pPr>
            <w:r>
              <w:rPr>
                <w:rFonts w:cs="Calibri"/>
                <w:color w:val="000000"/>
                <w:szCs w:val="20"/>
                <w:lang w:eastAsia="en-US"/>
              </w:rPr>
              <w:t>124</w:t>
            </w:r>
          </w:p>
        </w:tc>
        <w:tc>
          <w:tcPr>
            <w:tcW w:w="807" w:type="pct"/>
            <w:tcBorders>
              <w:top w:val="single" w:sz="4" w:space="0" w:color="auto"/>
              <w:left w:val="single" w:sz="4" w:space="0" w:color="auto"/>
              <w:bottom w:val="single" w:sz="4" w:space="0" w:color="auto"/>
              <w:right w:val="single" w:sz="4" w:space="0" w:color="auto"/>
            </w:tcBorders>
            <w:vAlign w:val="center"/>
            <w:hideMark/>
          </w:tcPr>
          <w:p w14:paraId="2959FA27" w14:textId="185BA910" w:rsidR="00186237" w:rsidRDefault="00186237" w:rsidP="00186237">
            <w:pPr>
              <w:pStyle w:val="Teksttabelisrodek"/>
              <w:rPr>
                <w:color w:val="000000"/>
                <w:lang w:eastAsia="en-US"/>
              </w:rPr>
            </w:pPr>
            <w:r>
              <w:rPr>
                <w:rFonts w:cs="Calibri"/>
                <w:color w:val="000000"/>
                <w:szCs w:val="20"/>
                <w:lang w:eastAsia="en-US"/>
              </w:rPr>
              <w:t>124</w:t>
            </w:r>
          </w:p>
        </w:tc>
        <w:tc>
          <w:tcPr>
            <w:tcW w:w="807" w:type="pct"/>
            <w:tcBorders>
              <w:top w:val="single" w:sz="4" w:space="0" w:color="auto"/>
              <w:left w:val="single" w:sz="4" w:space="0" w:color="auto"/>
              <w:bottom w:val="single" w:sz="4" w:space="0" w:color="auto"/>
              <w:right w:val="single" w:sz="4" w:space="0" w:color="auto"/>
            </w:tcBorders>
            <w:vAlign w:val="center"/>
            <w:hideMark/>
          </w:tcPr>
          <w:p w14:paraId="7BDE6D13" w14:textId="3B91DECA" w:rsidR="00186237" w:rsidRDefault="00186237" w:rsidP="00186237">
            <w:pPr>
              <w:pStyle w:val="Teksttabelisrodek"/>
              <w:rPr>
                <w:color w:val="000000"/>
                <w:lang w:eastAsia="en-US"/>
              </w:rPr>
            </w:pPr>
            <w:r>
              <w:rPr>
                <w:rFonts w:cs="Calibri"/>
                <w:color w:val="000000"/>
                <w:szCs w:val="20"/>
                <w:lang w:eastAsia="en-US"/>
              </w:rPr>
              <w:t>37,5</w:t>
            </w:r>
          </w:p>
        </w:tc>
      </w:tr>
      <w:tr w:rsidR="00186237" w14:paraId="4830ED1A"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165319E7" w14:textId="7C9BFC97" w:rsidR="00186237" w:rsidRDefault="00186237" w:rsidP="00186237">
            <w:pPr>
              <w:pStyle w:val="Teksttabelilewy"/>
              <w:ind w:left="57"/>
              <w:rPr>
                <w:lang w:eastAsia="pl-PL"/>
              </w:rPr>
            </w:pPr>
            <w:r>
              <w:rPr>
                <w:rFonts w:cs="Calibri"/>
                <w:color w:val="000000"/>
                <w:szCs w:val="20"/>
              </w:rPr>
              <w:t>LWP_06</w:t>
            </w:r>
          </w:p>
        </w:tc>
        <w:tc>
          <w:tcPr>
            <w:tcW w:w="1901" w:type="pct"/>
            <w:tcBorders>
              <w:top w:val="single" w:sz="4" w:space="0" w:color="auto"/>
              <w:left w:val="single" w:sz="4" w:space="0" w:color="auto"/>
              <w:bottom w:val="single" w:sz="4" w:space="0" w:color="auto"/>
              <w:right w:val="single" w:sz="4" w:space="0" w:color="auto"/>
            </w:tcBorders>
            <w:vAlign w:val="center"/>
            <w:hideMark/>
          </w:tcPr>
          <w:p w14:paraId="0D158199" w14:textId="44CD25CD" w:rsidR="00186237" w:rsidRDefault="00186237" w:rsidP="00186237">
            <w:pPr>
              <w:pStyle w:val="Teksttabelilewy"/>
              <w:ind w:left="57"/>
              <w:rPr>
                <w:lang w:eastAsia="pl-PL"/>
              </w:rPr>
            </w:pPr>
            <w:r>
              <w:rPr>
                <w:rFonts w:cs="Calibri"/>
                <w:color w:val="000000"/>
                <w:szCs w:val="20"/>
              </w:rPr>
              <w:t>Gospodarka ściekowa na obszarach niezurbanizowanych</w:t>
            </w:r>
          </w:p>
        </w:tc>
        <w:tc>
          <w:tcPr>
            <w:tcW w:w="807" w:type="pct"/>
            <w:tcBorders>
              <w:top w:val="single" w:sz="4" w:space="0" w:color="auto"/>
              <w:left w:val="single" w:sz="4" w:space="0" w:color="auto"/>
              <w:bottom w:val="single" w:sz="4" w:space="0" w:color="auto"/>
              <w:right w:val="single" w:sz="4" w:space="0" w:color="auto"/>
            </w:tcBorders>
            <w:vAlign w:val="center"/>
            <w:hideMark/>
          </w:tcPr>
          <w:p w14:paraId="0D19736C" w14:textId="0335E5AF" w:rsidR="00186237" w:rsidRDefault="00186237" w:rsidP="00186237">
            <w:pPr>
              <w:pStyle w:val="Teksttabelisrodek"/>
              <w:rPr>
                <w:color w:val="000000"/>
                <w:lang w:eastAsia="en-US"/>
              </w:rPr>
            </w:pPr>
            <w:r>
              <w:rPr>
                <w:rFonts w:cs="Calibri"/>
                <w:color w:val="000000"/>
                <w:szCs w:val="20"/>
                <w:lang w:eastAsia="en-US"/>
              </w:rPr>
              <w:t>124</w:t>
            </w:r>
          </w:p>
        </w:tc>
        <w:tc>
          <w:tcPr>
            <w:tcW w:w="807" w:type="pct"/>
            <w:tcBorders>
              <w:top w:val="single" w:sz="4" w:space="0" w:color="auto"/>
              <w:left w:val="single" w:sz="4" w:space="0" w:color="auto"/>
              <w:bottom w:val="single" w:sz="4" w:space="0" w:color="auto"/>
              <w:right w:val="single" w:sz="4" w:space="0" w:color="auto"/>
            </w:tcBorders>
            <w:vAlign w:val="center"/>
            <w:hideMark/>
          </w:tcPr>
          <w:p w14:paraId="246DA97D" w14:textId="67026A14" w:rsidR="00186237" w:rsidRDefault="00186237" w:rsidP="00186237">
            <w:pPr>
              <w:pStyle w:val="Teksttabelisrodek"/>
              <w:rPr>
                <w:color w:val="000000"/>
                <w:lang w:eastAsia="en-US"/>
              </w:rPr>
            </w:pPr>
            <w:r>
              <w:rPr>
                <w:rFonts w:cs="Calibri"/>
                <w:color w:val="000000"/>
                <w:szCs w:val="20"/>
                <w:lang w:eastAsia="en-US"/>
              </w:rPr>
              <w:t>124</w:t>
            </w:r>
          </w:p>
        </w:tc>
        <w:tc>
          <w:tcPr>
            <w:tcW w:w="807" w:type="pct"/>
            <w:tcBorders>
              <w:top w:val="single" w:sz="4" w:space="0" w:color="auto"/>
              <w:left w:val="single" w:sz="4" w:space="0" w:color="auto"/>
              <w:bottom w:val="single" w:sz="4" w:space="0" w:color="auto"/>
              <w:right w:val="single" w:sz="4" w:space="0" w:color="auto"/>
            </w:tcBorders>
            <w:vAlign w:val="center"/>
            <w:hideMark/>
          </w:tcPr>
          <w:p w14:paraId="1E0BDD2E" w14:textId="661CBBEE" w:rsidR="00186237" w:rsidRDefault="00186237" w:rsidP="00186237">
            <w:pPr>
              <w:pStyle w:val="Teksttabelisrodek"/>
              <w:rPr>
                <w:color w:val="000000"/>
                <w:lang w:eastAsia="en-US"/>
              </w:rPr>
            </w:pPr>
            <w:r>
              <w:rPr>
                <w:rFonts w:cs="Calibri"/>
                <w:color w:val="000000"/>
                <w:szCs w:val="20"/>
                <w:lang w:eastAsia="en-US"/>
              </w:rPr>
              <w:t>37,5</w:t>
            </w:r>
          </w:p>
        </w:tc>
      </w:tr>
      <w:tr w:rsidR="00186237" w14:paraId="1F635E7E"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1804CB8D" w14:textId="404A7936" w:rsidR="00186237" w:rsidRDefault="00186237" w:rsidP="00186237">
            <w:pPr>
              <w:pStyle w:val="Teksttabelilewy"/>
              <w:ind w:left="57"/>
              <w:rPr>
                <w:lang w:eastAsia="pl-PL"/>
              </w:rPr>
            </w:pPr>
            <w:r>
              <w:rPr>
                <w:rFonts w:cs="Calibri"/>
                <w:color w:val="000000"/>
                <w:szCs w:val="20"/>
              </w:rPr>
              <w:t>LWP_07</w:t>
            </w:r>
          </w:p>
        </w:tc>
        <w:tc>
          <w:tcPr>
            <w:tcW w:w="1901" w:type="pct"/>
            <w:tcBorders>
              <w:top w:val="single" w:sz="4" w:space="0" w:color="auto"/>
              <w:left w:val="single" w:sz="4" w:space="0" w:color="auto"/>
              <w:bottom w:val="single" w:sz="4" w:space="0" w:color="auto"/>
              <w:right w:val="single" w:sz="4" w:space="0" w:color="auto"/>
            </w:tcBorders>
            <w:vAlign w:val="center"/>
            <w:hideMark/>
          </w:tcPr>
          <w:p w14:paraId="0B01902E" w14:textId="4A876597" w:rsidR="00186237" w:rsidRDefault="00186237" w:rsidP="00186237">
            <w:pPr>
              <w:pStyle w:val="Teksttabelilewy"/>
              <w:ind w:left="57"/>
              <w:rPr>
                <w:lang w:eastAsia="pl-PL"/>
              </w:rPr>
            </w:pPr>
            <w:r>
              <w:rPr>
                <w:rFonts w:cs="Calibri"/>
                <w:color w:val="000000"/>
                <w:szCs w:val="20"/>
              </w:rPr>
              <w:t>Gospodarka ściekowa na obszarach niezurbanizowanych</w:t>
            </w:r>
          </w:p>
        </w:tc>
        <w:tc>
          <w:tcPr>
            <w:tcW w:w="807" w:type="pct"/>
            <w:tcBorders>
              <w:top w:val="single" w:sz="4" w:space="0" w:color="auto"/>
              <w:left w:val="single" w:sz="4" w:space="0" w:color="auto"/>
              <w:bottom w:val="single" w:sz="4" w:space="0" w:color="auto"/>
              <w:right w:val="single" w:sz="4" w:space="0" w:color="auto"/>
            </w:tcBorders>
            <w:vAlign w:val="center"/>
            <w:hideMark/>
          </w:tcPr>
          <w:p w14:paraId="5604F1C7" w14:textId="0F1A67F2" w:rsidR="00186237" w:rsidRDefault="00186237" w:rsidP="00186237">
            <w:pPr>
              <w:pStyle w:val="Teksttabelisrodek"/>
              <w:rPr>
                <w:lang w:eastAsia="en-US"/>
              </w:rPr>
            </w:pPr>
            <w:r>
              <w:rPr>
                <w:rFonts w:cs="Calibri"/>
                <w:color w:val="000000"/>
                <w:szCs w:val="20"/>
                <w:lang w:eastAsia="en-US"/>
              </w:rPr>
              <w:t>124</w:t>
            </w:r>
          </w:p>
        </w:tc>
        <w:tc>
          <w:tcPr>
            <w:tcW w:w="807" w:type="pct"/>
            <w:tcBorders>
              <w:top w:val="single" w:sz="4" w:space="0" w:color="auto"/>
              <w:left w:val="single" w:sz="4" w:space="0" w:color="auto"/>
              <w:bottom w:val="single" w:sz="4" w:space="0" w:color="auto"/>
              <w:right w:val="single" w:sz="4" w:space="0" w:color="auto"/>
            </w:tcBorders>
            <w:vAlign w:val="center"/>
            <w:hideMark/>
          </w:tcPr>
          <w:p w14:paraId="16BC3A8F" w14:textId="722A7572" w:rsidR="00186237" w:rsidRDefault="00186237" w:rsidP="00186237">
            <w:pPr>
              <w:pStyle w:val="Teksttabelisrodek"/>
              <w:rPr>
                <w:color w:val="000000"/>
                <w:lang w:eastAsia="en-US"/>
              </w:rPr>
            </w:pPr>
            <w:r>
              <w:rPr>
                <w:rFonts w:cs="Calibri"/>
                <w:color w:val="000000"/>
                <w:szCs w:val="20"/>
                <w:lang w:eastAsia="en-US"/>
              </w:rPr>
              <w:t>124</w:t>
            </w:r>
          </w:p>
        </w:tc>
        <w:tc>
          <w:tcPr>
            <w:tcW w:w="807" w:type="pct"/>
            <w:tcBorders>
              <w:top w:val="single" w:sz="4" w:space="0" w:color="auto"/>
              <w:left w:val="single" w:sz="4" w:space="0" w:color="auto"/>
              <w:bottom w:val="single" w:sz="4" w:space="0" w:color="auto"/>
              <w:right w:val="single" w:sz="4" w:space="0" w:color="auto"/>
            </w:tcBorders>
            <w:vAlign w:val="center"/>
            <w:hideMark/>
          </w:tcPr>
          <w:p w14:paraId="4E1F3C91" w14:textId="77627D6A" w:rsidR="00186237" w:rsidRDefault="00186237" w:rsidP="00186237">
            <w:pPr>
              <w:pStyle w:val="Teksttabelisrodek"/>
              <w:rPr>
                <w:color w:val="000000"/>
                <w:lang w:eastAsia="en-US"/>
              </w:rPr>
            </w:pPr>
            <w:r>
              <w:rPr>
                <w:rFonts w:cs="Calibri"/>
                <w:color w:val="000000"/>
                <w:szCs w:val="20"/>
                <w:lang w:eastAsia="en-US"/>
              </w:rPr>
              <w:t>37,5</w:t>
            </w:r>
          </w:p>
        </w:tc>
      </w:tr>
      <w:tr w:rsidR="00186237" w14:paraId="545670F7"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422CDD1E" w14:textId="4E8049BF" w:rsidR="00186237" w:rsidRDefault="00186237" w:rsidP="00186237">
            <w:pPr>
              <w:pStyle w:val="Teksttabelilewy"/>
              <w:ind w:left="57"/>
              <w:rPr>
                <w:lang w:eastAsia="pl-PL"/>
              </w:rPr>
            </w:pPr>
            <w:r>
              <w:rPr>
                <w:rFonts w:cs="Calibri"/>
                <w:color w:val="000000"/>
                <w:szCs w:val="20"/>
              </w:rPr>
              <w:t>LWP_08</w:t>
            </w:r>
          </w:p>
        </w:tc>
        <w:tc>
          <w:tcPr>
            <w:tcW w:w="1901" w:type="pct"/>
            <w:tcBorders>
              <w:top w:val="single" w:sz="4" w:space="0" w:color="auto"/>
              <w:left w:val="single" w:sz="4" w:space="0" w:color="auto"/>
              <w:bottom w:val="single" w:sz="4" w:space="0" w:color="auto"/>
              <w:right w:val="single" w:sz="4" w:space="0" w:color="auto"/>
            </w:tcBorders>
            <w:vAlign w:val="center"/>
            <w:hideMark/>
          </w:tcPr>
          <w:p w14:paraId="4E2B9D77" w14:textId="715321E3" w:rsidR="00186237" w:rsidRDefault="00186237" w:rsidP="00186237">
            <w:pPr>
              <w:pStyle w:val="Teksttabelilewy"/>
              <w:ind w:left="57"/>
              <w:rPr>
                <w:lang w:eastAsia="pl-PL"/>
              </w:rPr>
            </w:pPr>
            <w:r>
              <w:rPr>
                <w:rFonts w:cs="Calibri"/>
                <w:color w:val="000000"/>
                <w:szCs w:val="20"/>
              </w:rPr>
              <w:t>Aktualizacja programu ochrony środowiska</w:t>
            </w:r>
          </w:p>
        </w:tc>
        <w:tc>
          <w:tcPr>
            <w:tcW w:w="807" w:type="pct"/>
            <w:tcBorders>
              <w:top w:val="single" w:sz="4" w:space="0" w:color="auto"/>
              <w:left w:val="single" w:sz="4" w:space="0" w:color="auto"/>
              <w:bottom w:val="single" w:sz="4" w:space="0" w:color="auto"/>
              <w:right w:val="single" w:sz="4" w:space="0" w:color="auto"/>
            </w:tcBorders>
            <w:vAlign w:val="center"/>
            <w:hideMark/>
          </w:tcPr>
          <w:p w14:paraId="7A44C8B3" w14:textId="6A671DA1" w:rsidR="00186237" w:rsidRDefault="00186237" w:rsidP="00186237">
            <w:pPr>
              <w:pStyle w:val="Teksttabelisrodek"/>
              <w:rPr>
                <w:lang w:eastAsia="en-US"/>
              </w:rPr>
            </w:pPr>
            <w:r>
              <w:rPr>
                <w:rFonts w:cs="Calibri"/>
                <w:color w:val="000000"/>
                <w:szCs w:val="20"/>
                <w:lang w:eastAsia="en-US"/>
              </w:rPr>
              <w:t>235</w:t>
            </w:r>
          </w:p>
        </w:tc>
        <w:tc>
          <w:tcPr>
            <w:tcW w:w="807" w:type="pct"/>
            <w:tcBorders>
              <w:top w:val="single" w:sz="4" w:space="0" w:color="auto"/>
              <w:left w:val="single" w:sz="4" w:space="0" w:color="auto"/>
              <w:bottom w:val="single" w:sz="4" w:space="0" w:color="auto"/>
              <w:right w:val="single" w:sz="4" w:space="0" w:color="auto"/>
            </w:tcBorders>
            <w:vAlign w:val="center"/>
            <w:hideMark/>
          </w:tcPr>
          <w:p w14:paraId="3BD47F80" w14:textId="43C39686" w:rsidR="00186237" w:rsidRDefault="00186237" w:rsidP="00186237">
            <w:pPr>
              <w:pStyle w:val="Teksttabelisrodek"/>
              <w:rPr>
                <w:color w:val="000000"/>
                <w:lang w:eastAsia="en-US"/>
              </w:rPr>
            </w:pPr>
            <w:r>
              <w:rPr>
                <w:rFonts w:cs="Calibri"/>
                <w:color w:val="000000"/>
                <w:szCs w:val="20"/>
                <w:lang w:eastAsia="en-US"/>
              </w:rPr>
              <w:t>235</w:t>
            </w:r>
          </w:p>
        </w:tc>
        <w:tc>
          <w:tcPr>
            <w:tcW w:w="807" w:type="pct"/>
            <w:tcBorders>
              <w:top w:val="single" w:sz="4" w:space="0" w:color="auto"/>
              <w:left w:val="single" w:sz="4" w:space="0" w:color="auto"/>
              <w:bottom w:val="single" w:sz="4" w:space="0" w:color="auto"/>
              <w:right w:val="single" w:sz="4" w:space="0" w:color="auto"/>
            </w:tcBorders>
            <w:vAlign w:val="center"/>
            <w:hideMark/>
          </w:tcPr>
          <w:p w14:paraId="622C30BB" w14:textId="18723130" w:rsidR="00186237" w:rsidRDefault="00186237" w:rsidP="00186237">
            <w:pPr>
              <w:pStyle w:val="Teksttabelisrodek"/>
              <w:rPr>
                <w:color w:val="000000"/>
                <w:lang w:eastAsia="en-US"/>
              </w:rPr>
            </w:pPr>
            <w:r>
              <w:rPr>
                <w:rFonts w:cs="Calibri"/>
                <w:color w:val="000000"/>
                <w:szCs w:val="20"/>
                <w:lang w:eastAsia="en-US"/>
              </w:rPr>
              <w:t>71,0</w:t>
            </w:r>
          </w:p>
        </w:tc>
      </w:tr>
      <w:tr w:rsidR="00186237" w14:paraId="2E1EA0E6"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13389750" w14:textId="4EEABC80" w:rsidR="00186237" w:rsidRDefault="00186237" w:rsidP="00186237">
            <w:pPr>
              <w:pStyle w:val="Teksttabelilewy"/>
              <w:ind w:left="57"/>
              <w:rPr>
                <w:lang w:eastAsia="pl-PL"/>
              </w:rPr>
            </w:pPr>
            <w:r>
              <w:rPr>
                <w:rFonts w:cs="Calibri"/>
                <w:color w:val="000000"/>
                <w:szCs w:val="20"/>
              </w:rPr>
              <w:t>LWP_09</w:t>
            </w:r>
          </w:p>
        </w:tc>
        <w:tc>
          <w:tcPr>
            <w:tcW w:w="1901" w:type="pct"/>
            <w:tcBorders>
              <w:top w:val="single" w:sz="4" w:space="0" w:color="auto"/>
              <w:left w:val="single" w:sz="4" w:space="0" w:color="auto"/>
              <w:bottom w:val="single" w:sz="4" w:space="0" w:color="auto"/>
              <w:right w:val="single" w:sz="4" w:space="0" w:color="auto"/>
            </w:tcBorders>
            <w:vAlign w:val="center"/>
            <w:hideMark/>
          </w:tcPr>
          <w:p w14:paraId="7D119AE5" w14:textId="40A42125" w:rsidR="00186237" w:rsidRDefault="00186237" w:rsidP="00186237">
            <w:pPr>
              <w:pStyle w:val="Teksttabelilewy"/>
              <w:ind w:left="57"/>
              <w:rPr>
                <w:lang w:eastAsia="pl-PL"/>
              </w:rPr>
            </w:pPr>
            <w:r>
              <w:rPr>
                <w:rFonts w:cs="Calibri"/>
                <w:color w:val="000000"/>
                <w:szCs w:val="20"/>
              </w:rPr>
              <w:t>Działania kontrolne i monitoringowe</w:t>
            </w:r>
          </w:p>
        </w:tc>
        <w:tc>
          <w:tcPr>
            <w:tcW w:w="807" w:type="pct"/>
            <w:tcBorders>
              <w:top w:val="single" w:sz="4" w:space="0" w:color="auto"/>
              <w:left w:val="single" w:sz="4" w:space="0" w:color="auto"/>
              <w:bottom w:val="single" w:sz="4" w:space="0" w:color="auto"/>
              <w:right w:val="single" w:sz="4" w:space="0" w:color="auto"/>
            </w:tcBorders>
            <w:vAlign w:val="center"/>
            <w:hideMark/>
          </w:tcPr>
          <w:p w14:paraId="2770444B" w14:textId="37C2D88B" w:rsidR="00186237" w:rsidRDefault="00186237" w:rsidP="00186237">
            <w:pPr>
              <w:pStyle w:val="Teksttabelisrodek"/>
              <w:rPr>
                <w:color w:val="000000"/>
                <w:lang w:eastAsia="en-US"/>
              </w:rPr>
            </w:pPr>
            <w:r>
              <w:rPr>
                <w:rFonts w:cs="Calibri"/>
                <w:color w:val="000000"/>
                <w:szCs w:val="20"/>
                <w:lang w:eastAsia="en-US"/>
              </w:rPr>
              <w:t>235</w:t>
            </w:r>
          </w:p>
        </w:tc>
        <w:tc>
          <w:tcPr>
            <w:tcW w:w="807" w:type="pct"/>
            <w:tcBorders>
              <w:top w:val="single" w:sz="4" w:space="0" w:color="auto"/>
              <w:left w:val="single" w:sz="4" w:space="0" w:color="auto"/>
              <w:bottom w:val="single" w:sz="4" w:space="0" w:color="auto"/>
              <w:right w:val="single" w:sz="4" w:space="0" w:color="auto"/>
            </w:tcBorders>
            <w:vAlign w:val="center"/>
            <w:hideMark/>
          </w:tcPr>
          <w:p w14:paraId="18F8C9E4" w14:textId="4107B29F" w:rsidR="00186237" w:rsidRDefault="00186237" w:rsidP="00186237">
            <w:pPr>
              <w:pStyle w:val="Teksttabelisrodek"/>
              <w:rPr>
                <w:color w:val="000000"/>
                <w:lang w:eastAsia="en-US"/>
              </w:rPr>
            </w:pPr>
            <w:r>
              <w:rPr>
                <w:rFonts w:cs="Calibri"/>
                <w:color w:val="000000"/>
                <w:szCs w:val="20"/>
                <w:lang w:eastAsia="en-US"/>
              </w:rPr>
              <w:t>235</w:t>
            </w:r>
          </w:p>
        </w:tc>
        <w:tc>
          <w:tcPr>
            <w:tcW w:w="807" w:type="pct"/>
            <w:tcBorders>
              <w:top w:val="single" w:sz="4" w:space="0" w:color="auto"/>
              <w:left w:val="single" w:sz="4" w:space="0" w:color="auto"/>
              <w:bottom w:val="single" w:sz="4" w:space="0" w:color="auto"/>
              <w:right w:val="single" w:sz="4" w:space="0" w:color="auto"/>
            </w:tcBorders>
            <w:vAlign w:val="center"/>
            <w:hideMark/>
          </w:tcPr>
          <w:p w14:paraId="1B65DEBC" w14:textId="6FD5C4A5" w:rsidR="00186237" w:rsidRDefault="00186237" w:rsidP="00186237">
            <w:pPr>
              <w:pStyle w:val="Teksttabelisrodek"/>
              <w:rPr>
                <w:color w:val="000000"/>
                <w:lang w:eastAsia="en-US"/>
              </w:rPr>
            </w:pPr>
            <w:r>
              <w:rPr>
                <w:rFonts w:cs="Calibri"/>
                <w:color w:val="000000"/>
                <w:szCs w:val="20"/>
                <w:lang w:eastAsia="en-US"/>
              </w:rPr>
              <w:t>71,0</w:t>
            </w:r>
          </w:p>
        </w:tc>
      </w:tr>
      <w:tr w:rsidR="00186237" w14:paraId="4CB4B07F"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680F5FC9" w14:textId="27E188E9" w:rsidR="00186237" w:rsidRDefault="00186237" w:rsidP="00186237">
            <w:pPr>
              <w:pStyle w:val="Teksttabelilewy"/>
              <w:ind w:left="57"/>
              <w:rPr>
                <w:lang w:eastAsia="pl-PL"/>
              </w:rPr>
            </w:pPr>
            <w:r>
              <w:rPr>
                <w:rFonts w:cs="Calibri"/>
                <w:color w:val="000000"/>
                <w:szCs w:val="20"/>
              </w:rPr>
              <w:t>LWP_10</w:t>
            </w:r>
          </w:p>
        </w:tc>
        <w:tc>
          <w:tcPr>
            <w:tcW w:w="1901" w:type="pct"/>
            <w:tcBorders>
              <w:top w:val="single" w:sz="4" w:space="0" w:color="auto"/>
              <w:left w:val="single" w:sz="4" w:space="0" w:color="auto"/>
              <w:bottom w:val="single" w:sz="4" w:space="0" w:color="auto"/>
              <w:right w:val="single" w:sz="4" w:space="0" w:color="auto"/>
            </w:tcBorders>
            <w:vAlign w:val="center"/>
            <w:hideMark/>
          </w:tcPr>
          <w:p w14:paraId="30DA7FC2" w14:textId="594762A9" w:rsidR="00186237" w:rsidRDefault="00186237" w:rsidP="00186237">
            <w:pPr>
              <w:pStyle w:val="Teksttabelilewy"/>
              <w:ind w:left="57"/>
              <w:rPr>
                <w:lang w:eastAsia="pl-PL"/>
              </w:rPr>
            </w:pPr>
            <w:r>
              <w:rPr>
                <w:rFonts w:cs="Calibri"/>
                <w:color w:val="000000"/>
                <w:szCs w:val="20"/>
              </w:rPr>
              <w:t>Gospodarka ściekowa w aglomeracjach</w:t>
            </w:r>
          </w:p>
        </w:tc>
        <w:tc>
          <w:tcPr>
            <w:tcW w:w="807" w:type="pct"/>
            <w:tcBorders>
              <w:top w:val="single" w:sz="4" w:space="0" w:color="auto"/>
              <w:left w:val="single" w:sz="4" w:space="0" w:color="auto"/>
              <w:bottom w:val="single" w:sz="4" w:space="0" w:color="auto"/>
              <w:right w:val="single" w:sz="4" w:space="0" w:color="auto"/>
            </w:tcBorders>
            <w:vAlign w:val="center"/>
            <w:hideMark/>
          </w:tcPr>
          <w:p w14:paraId="4963F1DE" w14:textId="100797F1" w:rsidR="00186237" w:rsidRDefault="00186237" w:rsidP="00186237">
            <w:pPr>
              <w:pStyle w:val="Teksttabelisrodek"/>
              <w:rPr>
                <w:color w:val="000000"/>
                <w:lang w:eastAsia="en-US"/>
              </w:rPr>
            </w:pPr>
            <w:r>
              <w:rPr>
                <w:rFonts w:cs="Calibri"/>
                <w:color w:val="000000"/>
                <w:szCs w:val="20"/>
                <w:lang w:eastAsia="en-US"/>
              </w:rPr>
              <w:t>0</w:t>
            </w:r>
          </w:p>
        </w:tc>
        <w:tc>
          <w:tcPr>
            <w:tcW w:w="807" w:type="pct"/>
            <w:tcBorders>
              <w:top w:val="single" w:sz="4" w:space="0" w:color="auto"/>
              <w:left w:val="single" w:sz="4" w:space="0" w:color="auto"/>
              <w:bottom w:val="single" w:sz="4" w:space="0" w:color="auto"/>
              <w:right w:val="single" w:sz="4" w:space="0" w:color="auto"/>
            </w:tcBorders>
            <w:vAlign w:val="center"/>
            <w:hideMark/>
          </w:tcPr>
          <w:p w14:paraId="1A42BAED" w14:textId="1603A5EA" w:rsidR="00186237" w:rsidRDefault="00186237" w:rsidP="00186237">
            <w:pPr>
              <w:pStyle w:val="Teksttabelisrodek"/>
              <w:rPr>
                <w:color w:val="000000"/>
                <w:lang w:eastAsia="en-US"/>
              </w:rPr>
            </w:pPr>
            <w:r>
              <w:rPr>
                <w:rFonts w:cs="Calibri"/>
                <w:color w:val="000000"/>
                <w:szCs w:val="20"/>
                <w:lang w:eastAsia="en-US"/>
              </w:rPr>
              <w:t>0</w:t>
            </w:r>
          </w:p>
        </w:tc>
        <w:tc>
          <w:tcPr>
            <w:tcW w:w="807" w:type="pct"/>
            <w:tcBorders>
              <w:top w:val="single" w:sz="4" w:space="0" w:color="auto"/>
              <w:left w:val="single" w:sz="4" w:space="0" w:color="auto"/>
              <w:bottom w:val="single" w:sz="4" w:space="0" w:color="auto"/>
              <w:right w:val="single" w:sz="4" w:space="0" w:color="auto"/>
            </w:tcBorders>
            <w:vAlign w:val="center"/>
            <w:hideMark/>
          </w:tcPr>
          <w:p w14:paraId="0D09D172" w14:textId="76E5CF58" w:rsidR="00186237" w:rsidRDefault="00186237" w:rsidP="00186237">
            <w:pPr>
              <w:pStyle w:val="Teksttabelisrodek"/>
              <w:rPr>
                <w:color w:val="000000"/>
                <w:lang w:eastAsia="en-US"/>
              </w:rPr>
            </w:pPr>
            <w:r>
              <w:rPr>
                <w:rFonts w:cs="Calibri"/>
                <w:color w:val="000000"/>
                <w:szCs w:val="20"/>
                <w:lang w:eastAsia="en-US"/>
              </w:rPr>
              <w:t>0,0</w:t>
            </w:r>
          </w:p>
        </w:tc>
      </w:tr>
    </w:tbl>
    <w:p w14:paraId="4AE3C6D0" w14:textId="77777777" w:rsidR="00AB64A1" w:rsidRDefault="00AB64A1" w:rsidP="00AB64A1">
      <w:pPr>
        <w:pStyle w:val="rdo"/>
      </w:pPr>
      <w:r>
        <w:t>Źródło: opracowanie własne</w:t>
      </w:r>
    </w:p>
    <w:p w14:paraId="1F4EE8C4" w14:textId="4DD5DD86" w:rsidR="00AB64A1" w:rsidRDefault="00AB64A1" w:rsidP="00AB64A1">
      <w:pPr>
        <w:rPr>
          <w:rFonts w:eastAsia="Times New Roman" w:cs="Calibri"/>
        </w:rPr>
      </w:pPr>
      <w:r>
        <w:rPr>
          <w:rFonts w:eastAsia="Times New Roman" w:cs="Calibri"/>
        </w:rPr>
        <w:t>Na obszarze dorzecza Odry zestaw działań zbudowano dla 3</w:t>
      </w:r>
      <w:r w:rsidR="00966194">
        <w:rPr>
          <w:rFonts w:eastAsia="Times New Roman" w:cs="Calibri"/>
        </w:rPr>
        <w:t>31</w:t>
      </w:r>
      <w:r>
        <w:rPr>
          <w:rFonts w:eastAsia="Times New Roman" w:cs="Calibri"/>
        </w:rPr>
        <w:t xml:space="preserve"> </w:t>
      </w:r>
      <w:r w:rsidR="00DF005E">
        <w:rPr>
          <w:rFonts w:eastAsia="Times New Roman" w:cs="Calibri"/>
        </w:rPr>
        <w:t>JCWP</w:t>
      </w:r>
      <w:r>
        <w:rPr>
          <w:rFonts w:eastAsia="Times New Roman" w:cs="Calibri"/>
        </w:rPr>
        <w:t xml:space="preserve">, co stanowi </w:t>
      </w:r>
      <w:r w:rsidR="00966194">
        <w:rPr>
          <w:rFonts w:eastAsia="Times New Roman" w:cs="Calibri"/>
        </w:rPr>
        <w:t>78</w:t>
      </w:r>
      <w:r>
        <w:rPr>
          <w:rFonts w:eastAsia="Times New Roman" w:cs="Calibri"/>
        </w:rPr>
        <w:t xml:space="preserve">% </w:t>
      </w:r>
      <w:r w:rsidR="00DF005E">
        <w:rPr>
          <w:rFonts w:eastAsia="Times New Roman" w:cs="Calibri"/>
        </w:rPr>
        <w:t>JCWP</w:t>
      </w:r>
      <w:r>
        <w:rPr>
          <w:rFonts w:eastAsia="Times New Roman" w:cs="Calibri"/>
        </w:rPr>
        <w:t xml:space="preserve"> LW </w:t>
      </w:r>
      <w:r w:rsidR="000F3ECD">
        <w:rPr>
          <w:rFonts w:eastAsia="Times New Roman" w:cs="Calibri"/>
        </w:rPr>
        <w:t>na</w:t>
      </w:r>
      <w:r>
        <w:rPr>
          <w:rFonts w:eastAsia="Times New Roman" w:cs="Calibri"/>
        </w:rPr>
        <w:t xml:space="preserve"> obszarze dorzecza. Najwięcej działań dla </w:t>
      </w:r>
      <w:r w:rsidR="00DF005E">
        <w:rPr>
          <w:rFonts w:eastAsia="Times New Roman" w:cs="Calibri"/>
        </w:rPr>
        <w:t>JCWP</w:t>
      </w:r>
      <w:r>
        <w:rPr>
          <w:rFonts w:eastAsia="Times New Roman" w:cs="Calibri"/>
        </w:rPr>
        <w:t xml:space="preserve"> LW przypisano do </w:t>
      </w:r>
      <w:r w:rsidR="00DF005E">
        <w:rPr>
          <w:rFonts w:eastAsia="Times New Roman" w:cs="Calibri"/>
        </w:rPr>
        <w:t>JCWP</w:t>
      </w:r>
      <w:r>
        <w:rPr>
          <w:rFonts w:eastAsia="Times New Roman" w:cs="Calibri"/>
        </w:rPr>
        <w:t xml:space="preserve"> w regionach wodnych Noteci </w:t>
      </w:r>
      <w:r w:rsidR="0017773C">
        <w:rPr>
          <w:rFonts w:eastAsia="Times New Roman" w:cs="Calibri"/>
        </w:rPr>
        <w:t>–</w:t>
      </w:r>
      <w:r>
        <w:rPr>
          <w:rFonts w:eastAsia="Times New Roman" w:cs="Calibri"/>
        </w:rPr>
        <w:t xml:space="preserve"> 1</w:t>
      </w:r>
      <w:r w:rsidR="00EE2665">
        <w:rPr>
          <w:rFonts w:eastAsia="Times New Roman" w:cs="Calibri"/>
        </w:rPr>
        <w:t>22</w:t>
      </w:r>
      <w:r>
        <w:rPr>
          <w:rFonts w:eastAsia="Times New Roman" w:cs="Calibri"/>
        </w:rPr>
        <w:t xml:space="preserve"> </w:t>
      </w:r>
      <w:r w:rsidR="00DF005E">
        <w:rPr>
          <w:rFonts w:eastAsia="Times New Roman" w:cs="Calibri"/>
        </w:rPr>
        <w:t>JCWP</w:t>
      </w:r>
      <w:r>
        <w:rPr>
          <w:rFonts w:eastAsia="Times New Roman" w:cs="Calibri"/>
        </w:rPr>
        <w:t xml:space="preserve"> LW oraz Warty </w:t>
      </w:r>
      <w:r w:rsidR="0017773C">
        <w:rPr>
          <w:rFonts w:eastAsia="Times New Roman" w:cs="Calibri"/>
        </w:rPr>
        <w:t>–</w:t>
      </w:r>
      <w:r>
        <w:rPr>
          <w:rFonts w:eastAsia="Times New Roman" w:cs="Calibri"/>
        </w:rPr>
        <w:t xml:space="preserve"> 10</w:t>
      </w:r>
      <w:r w:rsidR="00EE2665">
        <w:rPr>
          <w:rFonts w:eastAsia="Times New Roman" w:cs="Calibri"/>
        </w:rPr>
        <w:t>5</w:t>
      </w:r>
      <w:r>
        <w:rPr>
          <w:rFonts w:eastAsia="Times New Roman" w:cs="Calibri"/>
        </w:rPr>
        <w:t xml:space="preserve"> </w:t>
      </w:r>
      <w:r w:rsidR="00DF005E">
        <w:rPr>
          <w:rFonts w:eastAsia="Times New Roman" w:cs="Calibri"/>
        </w:rPr>
        <w:t>JCWP</w:t>
      </w:r>
      <w:r>
        <w:rPr>
          <w:rFonts w:eastAsia="Times New Roman" w:cs="Calibri"/>
        </w:rPr>
        <w:t xml:space="preserve"> LW. Na poniższym wykresie (wykres 12-</w:t>
      </w:r>
      <w:r w:rsidR="005B5417">
        <w:rPr>
          <w:rFonts w:eastAsia="Times New Roman" w:cs="Calibri"/>
        </w:rPr>
        <w:t>24</w:t>
      </w:r>
      <w:r>
        <w:rPr>
          <w:rFonts w:eastAsia="Times New Roman" w:cs="Calibri"/>
        </w:rPr>
        <w:t xml:space="preserve">) przedstawiono informacje o udziale </w:t>
      </w:r>
      <w:r w:rsidR="00DF005E">
        <w:rPr>
          <w:rFonts w:eastAsia="Times New Roman" w:cs="Calibri"/>
        </w:rPr>
        <w:t>JCWP</w:t>
      </w:r>
      <w:r>
        <w:rPr>
          <w:rFonts w:eastAsia="Times New Roman" w:cs="Calibri"/>
        </w:rPr>
        <w:t xml:space="preserve"> LW z zestawem działań w ogólnej liczbie </w:t>
      </w:r>
      <w:r w:rsidR="00DF005E">
        <w:rPr>
          <w:rFonts w:eastAsia="Times New Roman" w:cs="Calibri"/>
        </w:rPr>
        <w:t>JCWP</w:t>
      </w:r>
      <w:r>
        <w:rPr>
          <w:rFonts w:eastAsia="Times New Roman" w:cs="Calibri"/>
        </w:rPr>
        <w:t xml:space="preserve"> LW na obszarze dorzecza Odry w podziale na regiony wodne.</w:t>
      </w:r>
    </w:p>
    <w:p w14:paraId="264EF746" w14:textId="61AC3241" w:rsidR="00AB64A1" w:rsidRDefault="00AB64A1" w:rsidP="00AB64A1">
      <w:pPr>
        <w:rPr>
          <w:rFonts w:eastAsia="Times New Roman" w:cs="Calibri"/>
        </w:rPr>
      </w:pPr>
      <w:r>
        <w:rPr>
          <w:noProof/>
        </w:rPr>
        <w:drawing>
          <wp:inline distT="0" distB="0" distL="0" distR="0" wp14:anchorId="5800A926" wp14:editId="09D67F9E">
            <wp:extent cx="5771515" cy="3079750"/>
            <wp:effectExtent l="0" t="0" r="635" b="6350"/>
            <wp:docPr id="1866059341" name="Wykres 1866059341">
              <a:extLst xmlns:a="http://schemas.openxmlformats.org/drawingml/2006/main">
                <a:ext uri="{FF2B5EF4-FFF2-40B4-BE49-F238E27FC236}">
                  <a16:creationId xmlns:a16="http://schemas.microsoft.com/office/drawing/2014/main" id="{93D316FC-496C-4E8A-A7D8-81A7155F78E7}"/>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3E70F7D2" w14:textId="079CFFA7" w:rsidR="00AB64A1" w:rsidRDefault="00AB64A1" w:rsidP="00B479EE">
      <w:pPr>
        <w:pStyle w:val="Wykres"/>
        <w:rPr>
          <w:noProof/>
        </w:rPr>
      </w:pPr>
      <w:bookmarkStart w:id="754" w:name="_Toc66706869"/>
      <w:bookmarkStart w:id="755" w:name="_Toc105513033"/>
      <w:r>
        <w:t xml:space="preserve">Wykres </w:t>
      </w:r>
      <w:fldSimple w:instr=" STYLEREF 1 \s ">
        <w:r w:rsidR="001F774D">
          <w:rPr>
            <w:noProof/>
          </w:rPr>
          <w:t>12</w:t>
        </w:r>
      </w:fldSimple>
      <w:r w:rsidR="00FF20D3">
        <w:noBreakHyphen/>
      </w:r>
      <w:fldSimple w:instr=" SEQ Wykres \* ARABIC \s 1 ">
        <w:r w:rsidR="001F774D">
          <w:rPr>
            <w:noProof/>
          </w:rPr>
          <w:t>24</w:t>
        </w:r>
      </w:fldSimple>
      <w:r w:rsidR="002B6022">
        <w:rPr>
          <w:noProof/>
        </w:rPr>
        <w:t>.</w:t>
      </w:r>
      <w:r>
        <w:tab/>
        <w:t xml:space="preserve">Udział </w:t>
      </w:r>
      <w:r w:rsidR="00DF005E">
        <w:t>JCWP</w:t>
      </w:r>
      <w:r>
        <w:t xml:space="preserve"> LW z przypisanymi zestawami działań w regionach wodnych obszaru dorzecza</w:t>
      </w:r>
      <w:bookmarkEnd w:id="754"/>
      <w:bookmarkEnd w:id="755"/>
    </w:p>
    <w:p w14:paraId="0EE00065" w14:textId="77777777" w:rsidR="00AB64A1" w:rsidRDefault="00AB64A1" w:rsidP="00AB64A1">
      <w:pPr>
        <w:pStyle w:val="rdo"/>
      </w:pPr>
      <w:r>
        <w:t>Źródło: opracowanie własne</w:t>
      </w:r>
    </w:p>
    <w:p w14:paraId="427BD2A5" w14:textId="1204379E" w:rsidR="00AB64A1" w:rsidRDefault="00AB64A1" w:rsidP="00AB64A1">
      <w:r>
        <w:t xml:space="preserve">Wśród działań zaplanowanych dla </w:t>
      </w:r>
      <w:r w:rsidR="00DF005E">
        <w:t>JCWP</w:t>
      </w:r>
      <w:r>
        <w:t xml:space="preserve"> LW obszaru dorzecza Odry 68% stanowią działania podstawowe, a 32% stanowią działania uzupełniające</w:t>
      </w:r>
      <w:r w:rsidR="00090737">
        <w:t xml:space="preserve"> (wykres 12-25)</w:t>
      </w:r>
      <w:r>
        <w:t>.</w:t>
      </w:r>
    </w:p>
    <w:p w14:paraId="234CE760" w14:textId="5F3F10D4" w:rsidR="00AB64A1" w:rsidRDefault="00AF3AF2" w:rsidP="00AB64A1">
      <w:r w:rsidRPr="0043476B">
        <w:rPr>
          <w:noProof/>
          <w:sz w:val="20"/>
          <w:szCs w:val="20"/>
        </w:rPr>
        <w:drawing>
          <wp:inline distT="0" distB="0" distL="0" distR="0" wp14:anchorId="11757BE5" wp14:editId="06F02FA7">
            <wp:extent cx="5771515" cy="3824578"/>
            <wp:effectExtent l="0" t="0" r="635" b="5080"/>
            <wp:docPr id="1866059329" name="Wykres 1866059329">
              <a:extLst xmlns:a="http://schemas.openxmlformats.org/drawingml/2006/main">
                <a:ext uri="{FF2B5EF4-FFF2-40B4-BE49-F238E27FC236}">
                  <a16:creationId xmlns:a16="http://schemas.microsoft.com/office/drawing/2014/main" id="{52F5562F-CAE7-4DAB-8A7B-94E3B1C4CA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585502C6" w14:textId="2D08713A" w:rsidR="00AB64A1" w:rsidRDefault="00AB64A1" w:rsidP="00B479EE">
      <w:pPr>
        <w:pStyle w:val="Wykres"/>
      </w:pPr>
      <w:bookmarkStart w:id="756" w:name="_Toc105513034"/>
      <w:r>
        <w:t xml:space="preserve">Wykres </w:t>
      </w:r>
      <w:fldSimple w:instr=" STYLEREF 1 \s ">
        <w:r w:rsidR="001F774D">
          <w:rPr>
            <w:noProof/>
          </w:rPr>
          <w:t>12</w:t>
        </w:r>
      </w:fldSimple>
      <w:r w:rsidR="00FF20D3">
        <w:noBreakHyphen/>
      </w:r>
      <w:fldSimple w:instr=" SEQ Wykres \* ARABIC \s 1 ">
        <w:r w:rsidR="001F774D">
          <w:rPr>
            <w:noProof/>
          </w:rPr>
          <w:t>25</w:t>
        </w:r>
      </w:fldSimple>
      <w:r w:rsidR="002B6022">
        <w:rPr>
          <w:noProof/>
        </w:rPr>
        <w:t>.</w:t>
      </w:r>
      <w:r>
        <w:tab/>
        <w:t xml:space="preserve">Podział działań w zestawie dla </w:t>
      </w:r>
      <w:r w:rsidR="00DF005E">
        <w:t>JCWP</w:t>
      </w:r>
      <w:r>
        <w:t xml:space="preserve"> LW dla obszaru dorzecza Odry</w:t>
      </w:r>
      <w:bookmarkEnd w:id="756"/>
    </w:p>
    <w:p w14:paraId="505848E9" w14:textId="77777777" w:rsidR="00AB64A1" w:rsidRDefault="00AB64A1" w:rsidP="00AB64A1">
      <w:pPr>
        <w:pStyle w:val="rdo"/>
      </w:pPr>
      <w:r>
        <w:t>Źródło: opracowanie własne</w:t>
      </w:r>
    </w:p>
    <w:p w14:paraId="1470FE3E" w14:textId="6396F7AC" w:rsidR="00686304" w:rsidRPr="00AB64A1" w:rsidRDefault="00AB64A1" w:rsidP="00AB64A1">
      <w:pPr>
        <w:rPr>
          <w:rFonts w:ascii="Times New Roman" w:eastAsiaTheme="minorHAnsi" w:hAnsi="Times New Roman"/>
          <w:sz w:val="24"/>
          <w:szCs w:val="24"/>
          <w:lang w:eastAsia="pl-PL"/>
        </w:rPr>
      </w:pPr>
      <w:r>
        <w:t xml:space="preserve">Informacje o działaniach zaplanowanych dla danej </w:t>
      </w:r>
      <w:r w:rsidR="00DF005E">
        <w:t>JCWP</w:t>
      </w:r>
      <w:r>
        <w:t xml:space="preserve"> uwzględnione zostały w załączniku nr </w:t>
      </w:r>
      <w:r w:rsidR="009B1809">
        <w:t>15</w:t>
      </w:r>
      <w:r>
        <w:t xml:space="preserve"> (Zestaw działań LW). Zobrazowanie przestrzenne </w:t>
      </w:r>
      <w:r w:rsidR="00DF005E">
        <w:t>JCWP</w:t>
      </w:r>
      <w:r>
        <w:t xml:space="preserve"> LW </w:t>
      </w:r>
      <w:r w:rsidR="0014246A">
        <w:t>na</w:t>
      </w:r>
      <w:r>
        <w:t xml:space="preserve"> obszarze dorzecza Odry z przypisanym zestawem działań </w:t>
      </w:r>
      <w:r w:rsidR="00064AE0">
        <w:t>prezentuje załącznik</w:t>
      </w:r>
      <w:r>
        <w:t xml:space="preserve"> graficzny nr </w:t>
      </w:r>
      <w:r w:rsidR="00D24098">
        <w:t>60</w:t>
      </w:r>
      <w:r>
        <w:t>.</w:t>
      </w:r>
      <w:r>
        <w:rPr>
          <w:rFonts w:ascii="Times New Roman" w:eastAsiaTheme="minorHAnsi" w:hAnsi="Times New Roman"/>
          <w:sz w:val="24"/>
          <w:szCs w:val="24"/>
          <w:lang w:eastAsia="pl-PL"/>
        </w:rPr>
        <w:t xml:space="preserve"> </w:t>
      </w:r>
    </w:p>
    <w:p w14:paraId="4DD65BC0" w14:textId="23A1A6DE" w:rsidR="00686304" w:rsidRPr="00795F17" w:rsidRDefault="00686304" w:rsidP="00C53C86">
      <w:pPr>
        <w:pStyle w:val="Nagwek3"/>
      </w:pPr>
      <w:bookmarkStart w:id="757" w:name="_Toc105512706"/>
      <w:r w:rsidRPr="00795F17">
        <w:t xml:space="preserve">Zestaw działań podstawowych i uzupełniających </w:t>
      </w:r>
      <w:r w:rsidR="00DF005E">
        <w:t>JCWP</w:t>
      </w:r>
      <w:r w:rsidRPr="00795F17">
        <w:t xml:space="preserve"> TW i CW</w:t>
      </w:r>
      <w:bookmarkEnd w:id="757"/>
    </w:p>
    <w:p w14:paraId="7A79ED35" w14:textId="657594A3" w:rsidR="00484E73" w:rsidRDefault="00484E73" w:rsidP="00484E73">
      <w:pPr>
        <w:rPr>
          <w:rFonts w:asciiTheme="minorHAnsi" w:hAnsiTheme="minorHAnsi" w:cstheme="minorHAnsi"/>
        </w:rPr>
      </w:pPr>
      <w:r>
        <w:rPr>
          <w:rFonts w:asciiTheme="minorHAnsi" w:hAnsiTheme="minorHAnsi" w:cstheme="minorHAnsi"/>
        </w:rPr>
        <w:t xml:space="preserve">Wszystkie 4 </w:t>
      </w:r>
      <w:r w:rsidR="00DF005E">
        <w:rPr>
          <w:rFonts w:asciiTheme="minorHAnsi" w:hAnsiTheme="minorHAnsi" w:cstheme="minorHAnsi"/>
        </w:rPr>
        <w:t>JCWP</w:t>
      </w:r>
      <w:r>
        <w:rPr>
          <w:rFonts w:asciiTheme="minorHAnsi" w:hAnsiTheme="minorHAnsi" w:cstheme="minorHAnsi"/>
        </w:rPr>
        <w:t xml:space="preserve"> TW i CW </w:t>
      </w:r>
      <w:r w:rsidR="0014246A">
        <w:rPr>
          <w:rFonts w:asciiTheme="minorHAnsi" w:hAnsiTheme="minorHAnsi" w:cstheme="minorHAnsi"/>
        </w:rPr>
        <w:t>na</w:t>
      </w:r>
      <w:r>
        <w:rPr>
          <w:rFonts w:asciiTheme="minorHAnsi" w:hAnsiTheme="minorHAnsi" w:cstheme="minorHAnsi"/>
        </w:rPr>
        <w:t xml:space="preserve"> obszarze dorzecza Odry położone są w regionie wodnym Dolnej Odry i Przymorza Zachodniego. W zestawach działań dla wszystkich (100%) </w:t>
      </w:r>
      <w:r w:rsidR="00DF005E">
        <w:rPr>
          <w:rFonts w:asciiTheme="minorHAnsi" w:hAnsiTheme="minorHAnsi" w:cstheme="minorHAnsi"/>
        </w:rPr>
        <w:t>JCWP</w:t>
      </w:r>
      <w:r>
        <w:rPr>
          <w:rFonts w:asciiTheme="minorHAnsi" w:hAnsiTheme="minorHAnsi" w:cstheme="minorHAnsi"/>
        </w:rPr>
        <w:t xml:space="preserve"> TW i CW na obszarze dorzecza Odry zaplanowano łącznie </w:t>
      </w:r>
      <w:r w:rsidR="00EA3749">
        <w:rPr>
          <w:rFonts w:asciiTheme="minorHAnsi" w:hAnsiTheme="minorHAnsi" w:cstheme="minorHAnsi"/>
        </w:rPr>
        <w:t>6</w:t>
      </w:r>
      <w:r w:rsidR="00A84EE5">
        <w:rPr>
          <w:rFonts w:asciiTheme="minorHAnsi" w:hAnsiTheme="minorHAnsi" w:cstheme="minorHAnsi"/>
        </w:rPr>
        <w:t>1</w:t>
      </w:r>
      <w:r w:rsidR="00EA3749">
        <w:rPr>
          <w:rFonts w:asciiTheme="minorHAnsi" w:hAnsiTheme="minorHAnsi" w:cstheme="minorHAnsi"/>
        </w:rPr>
        <w:t xml:space="preserve"> </w:t>
      </w:r>
      <w:r>
        <w:rPr>
          <w:rFonts w:asciiTheme="minorHAnsi" w:hAnsiTheme="minorHAnsi" w:cstheme="minorHAnsi"/>
        </w:rPr>
        <w:t xml:space="preserve">działań. </w:t>
      </w:r>
    </w:p>
    <w:p w14:paraId="328DF148" w14:textId="69254B4B" w:rsidR="00484E73" w:rsidRDefault="00484E73" w:rsidP="00484E73">
      <w:pPr>
        <w:rPr>
          <w:rFonts w:asciiTheme="minorHAnsi" w:hAnsiTheme="minorHAnsi" w:cstheme="minorHAnsi"/>
        </w:rPr>
      </w:pPr>
      <w:r>
        <w:rPr>
          <w:rFonts w:asciiTheme="minorHAnsi" w:hAnsiTheme="minorHAnsi" w:cstheme="minorHAnsi"/>
        </w:rPr>
        <w:t xml:space="preserve">Dobór działań dla poszczególnych </w:t>
      </w:r>
      <w:r w:rsidR="00DF005E">
        <w:rPr>
          <w:rFonts w:asciiTheme="minorHAnsi" w:hAnsiTheme="minorHAnsi" w:cstheme="minorHAnsi"/>
        </w:rPr>
        <w:t>JCWP</w:t>
      </w:r>
      <w:r>
        <w:rPr>
          <w:rFonts w:asciiTheme="minorHAnsi" w:hAnsiTheme="minorHAnsi" w:cstheme="minorHAnsi"/>
        </w:rPr>
        <w:t xml:space="preserve"> TW i CW wynikał z przeprowadzonej analizy presji (podsumowanie identyfikacji znaczących oddziaływań antropogenicznych i oceny ich wpływu na stan wód powierzchniowych i podziemnych przedstawia rozdział 7) i zidentyfikowanych zagrożeń dla osiągnięcia dobrego stanu wód przejściowych i przybrzeżnych. </w:t>
      </w:r>
    </w:p>
    <w:p w14:paraId="0A6E27B5" w14:textId="127C94AF" w:rsidR="00484E73" w:rsidRDefault="00484E73" w:rsidP="00484E73">
      <w:r>
        <w:t xml:space="preserve">Największą grupę, spośród przypisanych dla </w:t>
      </w:r>
      <w:r w:rsidR="00DF005E">
        <w:t>JCWP</w:t>
      </w:r>
      <w:r>
        <w:t xml:space="preserve"> TW i CW działań </w:t>
      </w:r>
      <w:r w:rsidR="006175A1">
        <w:t>na</w:t>
      </w:r>
      <w:r>
        <w:t xml:space="preserve"> obszarze dorzecza stanowią działania z grupy TWCWC tj. przeciwdziałające presjom </w:t>
      </w:r>
      <w:r w:rsidRPr="00986E29">
        <w:t xml:space="preserve">skumulowanym </w:t>
      </w:r>
      <w:r w:rsidRPr="0077471E">
        <w:t>(41 działań). Drugą grupę stanowią działania przeciwdziałające presjom fizykochemicznym (</w:t>
      </w:r>
      <w:r w:rsidR="003C4241" w:rsidRPr="0077471E">
        <w:t>1</w:t>
      </w:r>
      <w:r w:rsidR="0077471E" w:rsidRPr="0077471E">
        <w:t>5</w:t>
      </w:r>
      <w:r w:rsidR="003C4241" w:rsidRPr="0077471E">
        <w:t xml:space="preserve"> </w:t>
      </w:r>
      <w:r w:rsidRPr="0077471E">
        <w:t xml:space="preserve">działań). </w:t>
      </w:r>
      <w:r w:rsidR="00EA3749" w:rsidRPr="0077471E">
        <w:t>5</w:t>
      </w:r>
      <w:r w:rsidRPr="00986E29">
        <w:t xml:space="preserve"> zaplanowanych działań, to </w:t>
      </w:r>
      <w:r w:rsidR="00EA3749" w:rsidRPr="00986E29">
        <w:t xml:space="preserve">działania </w:t>
      </w:r>
      <w:r w:rsidRPr="00986E29">
        <w:t>z grupy działań przeciwdziałających presjom hydromorfologicznym</w:t>
      </w:r>
      <w:r>
        <w:t xml:space="preserve"> (tabela 12-11).</w:t>
      </w:r>
    </w:p>
    <w:p w14:paraId="3EF60858" w14:textId="37E0C6B7" w:rsidR="00484E73" w:rsidRDefault="00484E73" w:rsidP="004D7705">
      <w:pPr>
        <w:pStyle w:val="Tabela"/>
      </w:pPr>
      <w:bookmarkStart w:id="758" w:name="_Toc67652435"/>
      <w:bookmarkStart w:id="759" w:name="_Toc105512880"/>
      <w:r>
        <w:t xml:space="preserve">Tabela </w:t>
      </w:r>
      <w:r>
        <w:fldChar w:fldCharType="begin"/>
      </w:r>
      <w:r>
        <w:instrText>STYLEREF 1 \s</w:instrText>
      </w:r>
      <w:r>
        <w:fldChar w:fldCharType="separate"/>
      </w:r>
      <w:r w:rsidR="001F774D">
        <w:rPr>
          <w:noProof/>
        </w:rPr>
        <w:t>12</w:t>
      </w:r>
      <w:r>
        <w:fldChar w:fldCharType="end"/>
      </w:r>
      <w:r w:rsidR="009263D8">
        <w:noBreakHyphen/>
      </w:r>
      <w:fldSimple w:instr=" SEQ Tabela \* ARABIC \s 1 ">
        <w:r w:rsidR="001F774D">
          <w:rPr>
            <w:noProof/>
          </w:rPr>
          <w:t>11</w:t>
        </w:r>
      </w:fldSimple>
      <w:r w:rsidR="000B5450">
        <w:rPr>
          <w:noProof/>
        </w:rPr>
        <w:t>.</w:t>
      </w:r>
      <w:r>
        <w:tab/>
        <w:t xml:space="preserve">Zestawienie działań zalecanych do wdrożenia w </w:t>
      </w:r>
      <w:r w:rsidR="00DF005E">
        <w:t>JCWP</w:t>
      </w:r>
      <w:r>
        <w:t xml:space="preserve"> TW i CW na obszarze dorzecza Odry</w:t>
      </w:r>
      <w:bookmarkEnd w:id="758"/>
      <w:bookmarkEnd w:id="759"/>
    </w:p>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47"/>
        <w:gridCol w:w="3509"/>
        <w:gridCol w:w="1221"/>
        <w:gridCol w:w="1290"/>
        <w:gridCol w:w="1395"/>
      </w:tblGrid>
      <w:tr w:rsidR="00484E73" w:rsidRPr="00795F17" w14:paraId="310120EF" w14:textId="77777777" w:rsidTr="001C6219">
        <w:trPr>
          <w:trHeight w:val="454"/>
          <w:tblHeader/>
        </w:trPr>
        <w:tc>
          <w:tcPr>
            <w:tcW w:w="164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AAFDA5" w14:textId="77777777" w:rsidR="00484E73" w:rsidRDefault="00484E73">
            <w:pPr>
              <w:pStyle w:val="Teksttabelinaglowek"/>
              <w:spacing w:line="276" w:lineRule="auto"/>
              <w:rPr>
                <w:lang w:eastAsia="en-US"/>
              </w:rPr>
            </w:pPr>
            <w:r>
              <w:rPr>
                <w:lang w:eastAsia="en-US"/>
              </w:rPr>
              <w:t>Kod IIaPGW</w:t>
            </w:r>
          </w:p>
        </w:tc>
        <w:tc>
          <w:tcPr>
            <w:tcW w:w="35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D18F70" w14:textId="691E4BFD" w:rsidR="00484E73" w:rsidRDefault="00FD79CD">
            <w:pPr>
              <w:pStyle w:val="Teksttabelinaglowek"/>
              <w:spacing w:line="276" w:lineRule="auto"/>
              <w:rPr>
                <w:lang w:eastAsia="en-US"/>
              </w:rPr>
            </w:pPr>
            <w:r>
              <w:rPr>
                <w:lang w:eastAsia="en-US"/>
              </w:rPr>
              <w:t>Grupa działań</w:t>
            </w:r>
          </w:p>
        </w:tc>
        <w:tc>
          <w:tcPr>
            <w:tcW w:w="122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B789620" w14:textId="77777777" w:rsidR="00484E73" w:rsidRDefault="00484E73">
            <w:pPr>
              <w:pStyle w:val="Teksttabelinaglowek"/>
              <w:spacing w:line="276" w:lineRule="auto"/>
              <w:rPr>
                <w:lang w:eastAsia="en-US"/>
              </w:rPr>
            </w:pPr>
            <w:r>
              <w:rPr>
                <w:lang w:eastAsia="en-US"/>
              </w:rPr>
              <w:t>Łączna liczba przypisanych działań</w:t>
            </w: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242CAE" w14:textId="38B7EC52" w:rsidR="00484E73" w:rsidRDefault="00484E73">
            <w:pPr>
              <w:pStyle w:val="Teksttabelinaglowek"/>
              <w:spacing w:line="276" w:lineRule="auto"/>
              <w:rPr>
                <w:lang w:eastAsia="en-US"/>
              </w:rPr>
            </w:pPr>
            <w:r>
              <w:rPr>
                <w:lang w:eastAsia="en-US"/>
              </w:rPr>
              <w:t xml:space="preserve">Liczba </w:t>
            </w:r>
            <w:r w:rsidR="00DF005E">
              <w:rPr>
                <w:lang w:eastAsia="en-US"/>
              </w:rPr>
              <w:t>JCWP</w:t>
            </w:r>
            <w:r>
              <w:rPr>
                <w:lang w:eastAsia="en-US"/>
              </w:rPr>
              <w:t> z przypisanym działaniem</w:t>
            </w:r>
          </w:p>
        </w:tc>
        <w:tc>
          <w:tcPr>
            <w:tcW w:w="13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D2EDFF" w14:textId="13148110" w:rsidR="00484E73" w:rsidRDefault="00484E73">
            <w:pPr>
              <w:pStyle w:val="Teksttabelinaglowek"/>
              <w:spacing w:line="276" w:lineRule="auto"/>
              <w:rPr>
                <w:lang w:eastAsia="en-US"/>
              </w:rPr>
            </w:pPr>
            <w:r>
              <w:rPr>
                <w:lang w:eastAsia="en-US"/>
              </w:rPr>
              <w:t>Udział w</w:t>
            </w:r>
            <w:r w:rsidR="006175A1">
              <w:rPr>
                <w:lang w:eastAsia="en-US"/>
              </w:rPr>
              <w:t> </w:t>
            </w:r>
            <w:r>
              <w:rPr>
                <w:lang w:eastAsia="en-US"/>
              </w:rPr>
              <w:t>ogólnej liczbie </w:t>
            </w:r>
            <w:r w:rsidR="00DF005E">
              <w:rPr>
                <w:lang w:eastAsia="en-US"/>
              </w:rPr>
              <w:t>JCWP</w:t>
            </w:r>
            <w:r>
              <w:rPr>
                <w:lang w:eastAsia="en-US"/>
              </w:rPr>
              <w:t> ze zbudowanym zestawem działań</w:t>
            </w:r>
            <w:r w:rsidR="00911731">
              <w:rPr>
                <w:lang w:eastAsia="en-US"/>
              </w:rPr>
              <w:t xml:space="preserve"> </w:t>
            </w:r>
            <w:r>
              <w:rPr>
                <w:lang w:eastAsia="en-US"/>
              </w:rPr>
              <w:t>(%)</w:t>
            </w:r>
          </w:p>
        </w:tc>
      </w:tr>
      <w:tr w:rsidR="00EE77BD" w:rsidRPr="00795F17" w14:paraId="5BC7A38D" w14:textId="77777777" w:rsidTr="00770B2E">
        <w:trPr>
          <w:trHeight w:val="454"/>
        </w:trPr>
        <w:tc>
          <w:tcPr>
            <w:tcW w:w="1647" w:type="dxa"/>
            <w:vMerge w:val="restart"/>
            <w:tcBorders>
              <w:top w:val="single" w:sz="4" w:space="0" w:color="auto"/>
              <w:left w:val="single" w:sz="4" w:space="0" w:color="auto"/>
              <w:right w:val="single" w:sz="4" w:space="0" w:color="auto"/>
            </w:tcBorders>
            <w:noWrap/>
            <w:vAlign w:val="center"/>
          </w:tcPr>
          <w:p w14:paraId="13594DBD" w14:textId="7C088CB4" w:rsidR="00EE77BD" w:rsidRDefault="00EE77BD" w:rsidP="00BE7640">
            <w:pPr>
              <w:pStyle w:val="Teksttabelilewy"/>
              <w:ind w:left="57"/>
            </w:pPr>
            <w:r>
              <w:rPr>
                <w:rFonts w:cs="Calibri"/>
                <w:color w:val="000000"/>
                <w:szCs w:val="20"/>
              </w:rPr>
              <w:t>TWCWC_04</w:t>
            </w:r>
          </w:p>
        </w:tc>
        <w:tc>
          <w:tcPr>
            <w:tcW w:w="3509" w:type="dxa"/>
            <w:tcBorders>
              <w:top w:val="single" w:sz="4" w:space="0" w:color="auto"/>
              <w:left w:val="single" w:sz="4" w:space="0" w:color="auto"/>
              <w:bottom w:val="single" w:sz="4" w:space="0" w:color="auto"/>
              <w:right w:val="single" w:sz="4" w:space="0" w:color="auto"/>
            </w:tcBorders>
            <w:noWrap/>
            <w:vAlign w:val="center"/>
          </w:tcPr>
          <w:p w14:paraId="64080820" w14:textId="77FCB569" w:rsidR="00EE77BD" w:rsidRDefault="00EE77BD" w:rsidP="00BE7640">
            <w:pPr>
              <w:pStyle w:val="Teksttabelilewy"/>
              <w:ind w:left="57"/>
            </w:pPr>
            <w:r>
              <w:rPr>
                <w:rFonts w:cs="Calibri"/>
                <w:color w:val="000000"/>
                <w:szCs w:val="20"/>
              </w:rPr>
              <w:t>Działania wynikające z planów ochrony/planów zadań ochronnych ustanowionych dla obszarów przeznaczonych do ochrony siedlisk lub gatunków, ustanowione w ustawie o ochronie przyrody, dla których utrzymanie lub poprawa stanu wód jest ważnym czynnikiem w ich ochronie</w:t>
            </w:r>
          </w:p>
        </w:tc>
        <w:tc>
          <w:tcPr>
            <w:tcW w:w="1221" w:type="dxa"/>
            <w:vMerge w:val="restart"/>
            <w:tcBorders>
              <w:top w:val="single" w:sz="4" w:space="0" w:color="auto"/>
              <w:left w:val="single" w:sz="4" w:space="0" w:color="auto"/>
              <w:right w:val="single" w:sz="4" w:space="0" w:color="auto"/>
            </w:tcBorders>
            <w:noWrap/>
            <w:vAlign w:val="center"/>
          </w:tcPr>
          <w:p w14:paraId="232CA3DF" w14:textId="669A47BB" w:rsidR="00EE77BD" w:rsidRDefault="00EE77BD" w:rsidP="00BE7640">
            <w:pPr>
              <w:pStyle w:val="Teksttabelisrodek"/>
              <w:rPr>
                <w:lang w:eastAsia="en-US"/>
              </w:rPr>
            </w:pPr>
            <w:r>
              <w:rPr>
                <w:rFonts w:cs="Calibri"/>
                <w:color w:val="000000"/>
                <w:szCs w:val="20"/>
                <w:lang w:eastAsia="en-US"/>
              </w:rPr>
              <w:t>41</w:t>
            </w:r>
          </w:p>
        </w:tc>
        <w:tc>
          <w:tcPr>
            <w:tcW w:w="1290" w:type="dxa"/>
            <w:vMerge w:val="restart"/>
            <w:tcBorders>
              <w:top w:val="single" w:sz="4" w:space="0" w:color="auto"/>
              <w:left w:val="single" w:sz="4" w:space="0" w:color="auto"/>
              <w:right w:val="single" w:sz="4" w:space="0" w:color="auto"/>
            </w:tcBorders>
            <w:noWrap/>
            <w:vAlign w:val="center"/>
          </w:tcPr>
          <w:p w14:paraId="0297593D" w14:textId="77777777" w:rsidR="00EE77BD" w:rsidRDefault="00EE77BD" w:rsidP="00BE7640">
            <w:pPr>
              <w:pStyle w:val="Teksttabelisrodek"/>
              <w:rPr>
                <w:lang w:eastAsia="en-US"/>
              </w:rPr>
            </w:pPr>
            <w:r>
              <w:rPr>
                <w:rFonts w:cs="Calibri"/>
                <w:color w:val="000000"/>
                <w:szCs w:val="20"/>
                <w:lang w:eastAsia="en-US"/>
              </w:rPr>
              <w:t>4</w:t>
            </w:r>
          </w:p>
        </w:tc>
        <w:tc>
          <w:tcPr>
            <w:tcW w:w="1395" w:type="dxa"/>
            <w:vMerge w:val="restart"/>
            <w:tcBorders>
              <w:top w:val="single" w:sz="4" w:space="0" w:color="auto"/>
              <w:left w:val="single" w:sz="4" w:space="0" w:color="auto"/>
              <w:right w:val="single" w:sz="4" w:space="0" w:color="auto"/>
            </w:tcBorders>
            <w:noWrap/>
            <w:vAlign w:val="center"/>
          </w:tcPr>
          <w:p w14:paraId="0347279F" w14:textId="7B0CB82B" w:rsidR="00EE77BD" w:rsidRDefault="00EE77BD" w:rsidP="00BE7640">
            <w:pPr>
              <w:pStyle w:val="Teksttabelisrodek"/>
              <w:rPr>
                <w:lang w:eastAsia="en-US"/>
              </w:rPr>
            </w:pPr>
            <w:r>
              <w:rPr>
                <w:rFonts w:cs="Calibri"/>
                <w:color w:val="000000"/>
                <w:szCs w:val="20"/>
                <w:lang w:eastAsia="en-US"/>
              </w:rPr>
              <w:t>100,0</w:t>
            </w:r>
          </w:p>
        </w:tc>
      </w:tr>
      <w:tr w:rsidR="00EE77BD" w:rsidRPr="00795F17" w14:paraId="7425FE6B" w14:textId="77777777" w:rsidTr="00770B2E">
        <w:trPr>
          <w:trHeight w:val="454"/>
        </w:trPr>
        <w:tc>
          <w:tcPr>
            <w:tcW w:w="1647" w:type="dxa"/>
            <w:vMerge/>
            <w:tcBorders>
              <w:left w:val="single" w:sz="4" w:space="0" w:color="auto"/>
              <w:bottom w:val="single" w:sz="4" w:space="0" w:color="auto"/>
              <w:right w:val="single" w:sz="4" w:space="0" w:color="auto"/>
            </w:tcBorders>
            <w:noWrap/>
            <w:vAlign w:val="center"/>
          </w:tcPr>
          <w:p w14:paraId="1C23DB73" w14:textId="77777777" w:rsidR="00EE77BD" w:rsidRDefault="00EE77BD" w:rsidP="00BE7640">
            <w:pPr>
              <w:pStyle w:val="Teksttabelilewy"/>
              <w:ind w:left="57"/>
              <w:rPr>
                <w:rFonts w:cs="Calibri"/>
                <w:color w:val="000000"/>
                <w:szCs w:val="20"/>
              </w:rPr>
            </w:pPr>
          </w:p>
        </w:tc>
        <w:tc>
          <w:tcPr>
            <w:tcW w:w="3509" w:type="dxa"/>
            <w:tcBorders>
              <w:top w:val="single" w:sz="4" w:space="0" w:color="auto"/>
              <w:left w:val="single" w:sz="4" w:space="0" w:color="auto"/>
              <w:bottom w:val="single" w:sz="4" w:space="0" w:color="auto"/>
              <w:right w:val="single" w:sz="4" w:space="0" w:color="auto"/>
            </w:tcBorders>
            <w:noWrap/>
            <w:vAlign w:val="center"/>
          </w:tcPr>
          <w:p w14:paraId="26A67ABC" w14:textId="3401A0E7" w:rsidR="00EE77BD" w:rsidRDefault="00EE77BD" w:rsidP="00BE7640">
            <w:pPr>
              <w:pStyle w:val="Teksttabelilewy"/>
              <w:ind w:left="57"/>
              <w:rPr>
                <w:rFonts w:cs="Calibri"/>
                <w:color w:val="000000"/>
                <w:szCs w:val="20"/>
              </w:rPr>
            </w:pPr>
            <w:r>
              <w:rPr>
                <w:rFonts w:cs="Calibri"/>
                <w:color w:val="000000"/>
                <w:szCs w:val="20"/>
              </w:rPr>
              <w:t>Ochrona ekosystemów morskich i od wód morskich zależnych/ zachowanie lub przywracanie właściwego stanu siedlisk i siedlisk gatunków</w:t>
            </w:r>
          </w:p>
        </w:tc>
        <w:tc>
          <w:tcPr>
            <w:tcW w:w="1221" w:type="dxa"/>
            <w:vMerge/>
            <w:tcBorders>
              <w:left w:val="single" w:sz="4" w:space="0" w:color="auto"/>
              <w:bottom w:val="single" w:sz="4" w:space="0" w:color="auto"/>
              <w:right w:val="single" w:sz="4" w:space="0" w:color="auto"/>
            </w:tcBorders>
            <w:noWrap/>
            <w:vAlign w:val="center"/>
          </w:tcPr>
          <w:p w14:paraId="5BBF3B5D" w14:textId="77777777" w:rsidR="00EE77BD" w:rsidRDefault="00EE77BD" w:rsidP="00BE7640">
            <w:pPr>
              <w:pStyle w:val="Teksttabelisrodek"/>
              <w:rPr>
                <w:rFonts w:cs="Calibri"/>
                <w:color w:val="000000"/>
                <w:szCs w:val="20"/>
                <w:lang w:eastAsia="en-US"/>
              </w:rPr>
            </w:pPr>
          </w:p>
        </w:tc>
        <w:tc>
          <w:tcPr>
            <w:tcW w:w="1290" w:type="dxa"/>
            <w:vMerge/>
            <w:tcBorders>
              <w:left w:val="single" w:sz="4" w:space="0" w:color="auto"/>
              <w:bottom w:val="single" w:sz="4" w:space="0" w:color="auto"/>
              <w:right w:val="single" w:sz="4" w:space="0" w:color="auto"/>
            </w:tcBorders>
            <w:noWrap/>
            <w:vAlign w:val="center"/>
          </w:tcPr>
          <w:p w14:paraId="52553A0C" w14:textId="77777777" w:rsidR="00EE77BD" w:rsidRDefault="00EE77BD" w:rsidP="00BE7640">
            <w:pPr>
              <w:pStyle w:val="Teksttabelisrodek"/>
              <w:rPr>
                <w:rFonts w:cs="Calibri"/>
                <w:color w:val="000000"/>
                <w:szCs w:val="20"/>
                <w:lang w:eastAsia="en-US"/>
              </w:rPr>
            </w:pPr>
          </w:p>
        </w:tc>
        <w:tc>
          <w:tcPr>
            <w:tcW w:w="1395" w:type="dxa"/>
            <w:vMerge/>
            <w:tcBorders>
              <w:left w:val="single" w:sz="4" w:space="0" w:color="auto"/>
              <w:bottom w:val="single" w:sz="4" w:space="0" w:color="auto"/>
              <w:right w:val="single" w:sz="4" w:space="0" w:color="auto"/>
            </w:tcBorders>
            <w:noWrap/>
            <w:vAlign w:val="center"/>
          </w:tcPr>
          <w:p w14:paraId="2AA0C157" w14:textId="77777777" w:rsidR="00EE77BD" w:rsidRDefault="00EE77BD" w:rsidP="00BE7640">
            <w:pPr>
              <w:pStyle w:val="Teksttabelisrodek"/>
              <w:rPr>
                <w:rFonts w:cs="Calibri"/>
                <w:color w:val="000000"/>
                <w:szCs w:val="20"/>
                <w:lang w:eastAsia="en-US"/>
              </w:rPr>
            </w:pPr>
          </w:p>
        </w:tc>
      </w:tr>
      <w:tr w:rsidR="00BE7640" w:rsidRPr="00795F17" w14:paraId="49D091A5" w14:textId="77777777" w:rsidTr="00BE7640">
        <w:trPr>
          <w:trHeight w:val="454"/>
        </w:trPr>
        <w:tc>
          <w:tcPr>
            <w:tcW w:w="1647" w:type="dxa"/>
            <w:tcBorders>
              <w:top w:val="single" w:sz="4" w:space="0" w:color="auto"/>
              <w:left w:val="single" w:sz="4" w:space="0" w:color="auto"/>
              <w:bottom w:val="single" w:sz="4" w:space="0" w:color="auto"/>
              <w:right w:val="single" w:sz="4" w:space="0" w:color="auto"/>
            </w:tcBorders>
            <w:noWrap/>
            <w:vAlign w:val="center"/>
          </w:tcPr>
          <w:p w14:paraId="14DA502E" w14:textId="381E974B" w:rsidR="00BE7640" w:rsidRDefault="00BE7640" w:rsidP="00BE7640">
            <w:pPr>
              <w:pStyle w:val="Teksttabelilewy"/>
              <w:ind w:left="57"/>
            </w:pPr>
            <w:r>
              <w:rPr>
                <w:rFonts w:cs="Calibri"/>
                <w:color w:val="000000"/>
                <w:szCs w:val="20"/>
              </w:rPr>
              <w:t>TWCWHM_01</w:t>
            </w:r>
          </w:p>
        </w:tc>
        <w:tc>
          <w:tcPr>
            <w:tcW w:w="3509" w:type="dxa"/>
            <w:tcBorders>
              <w:top w:val="single" w:sz="4" w:space="0" w:color="auto"/>
              <w:left w:val="single" w:sz="4" w:space="0" w:color="auto"/>
              <w:bottom w:val="single" w:sz="4" w:space="0" w:color="auto"/>
              <w:right w:val="single" w:sz="4" w:space="0" w:color="auto"/>
            </w:tcBorders>
            <w:noWrap/>
            <w:vAlign w:val="center"/>
          </w:tcPr>
          <w:p w14:paraId="1642BF7E" w14:textId="1B1003A3" w:rsidR="00BE7640" w:rsidRDefault="00BE7640" w:rsidP="00BE7640">
            <w:pPr>
              <w:pStyle w:val="Teksttabelilewy"/>
              <w:ind w:left="57"/>
            </w:pPr>
            <w:r>
              <w:rPr>
                <w:rFonts w:cs="Calibri"/>
                <w:color w:val="000000"/>
                <w:szCs w:val="20"/>
              </w:rPr>
              <w:t>Zapobieganie dalszym antropogenicznym zmianom strefy brzegowej</w:t>
            </w:r>
          </w:p>
        </w:tc>
        <w:tc>
          <w:tcPr>
            <w:tcW w:w="1221" w:type="dxa"/>
            <w:tcBorders>
              <w:top w:val="single" w:sz="4" w:space="0" w:color="auto"/>
              <w:left w:val="single" w:sz="4" w:space="0" w:color="auto"/>
              <w:bottom w:val="single" w:sz="4" w:space="0" w:color="auto"/>
              <w:right w:val="single" w:sz="4" w:space="0" w:color="auto"/>
            </w:tcBorders>
            <w:noWrap/>
            <w:vAlign w:val="center"/>
          </w:tcPr>
          <w:p w14:paraId="19B902E4" w14:textId="52EE1C5B" w:rsidR="00BE7640" w:rsidRDefault="00BE7640" w:rsidP="00BE7640">
            <w:pPr>
              <w:pStyle w:val="Teksttabelisrodek"/>
              <w:rPr>
                <w:lang w:eastAsia="en-US"/>
              </w:rPr>
            </w:pPr>
            <w:r>
              <w:rPr>
                <w:rFonts w:cs="Calibri"/>
                <w:color w:val="000000"/>
                <w:szCs w:val="20"/>
                <w:lang w:eastAsia="en-US"/>
              </w:rPr>
              <w:t>1</w:t>
            </w:r>
          </w:p>
        </w:tc>
        <w:tc>
          <w:tcPr>
            <w:tcW w:w="1290" w:type="dxa"/>
            <w:tcBorders>
              <w:top w:val="single" w:sz="4" w:space="0" w:color="auto"/>
              <w:left w:val="single" w:sz="4" w:space="0" w:color="auto"/>
              <w:bottom w:val="single" w:sz="4" w:space="0" w:color="auto"/>
              <w:right w:val="single" w:sz="4" w:space="0" w:color="auto"/>
            </w:tcBorders>
            <w:noWrap/>
            <w:vAlign w:val="center"/>
          </w:tcPr>
          <w:p w14:paraId="69B0AE8E" w14:textId="13C2AFA5" w:rsidR="00BE7640" w:rsidRDefault="00BE7640" w:rsidP="00BE7640">
            <w:pPr>
              <w:pStyle w:val="Teksttabelisrodek"/>
              <w:rPr>
                <w:lang w:eastAsia="en-US"/>
              </w:rPr>
            </w:pPr>
            <w:r>
              <w:rPr>
                <w:rFonts w:cs="Calibri"/>
                <w:color w:val="000000"/>
                <w:szCs w:val="20"/>
                <w:lang w:eastAsia="en-US"/>
              </w:rPr>
              <w:t>1</w:t>
            </w:r>
          </w:p>
        </w:tc>
        <w:tc>
          <w:tcPr>
            <w:tcW w:w="1395" w:type="dxa"/>
            <w:tcBorders>
              <w:top w:val="single" w:sz="4" w:space="0" w:color="auto"/>
              <w:left w:val="single" w:sz="4" w:space="0" w:color="auto"/>
              <w:bottom w:val="single" w:sz="4" w:space="0" w:color="auto"/>
              <w:right w:val="single" w:sz="4" w:space="0" w:color="auto"/>
            </w:tcBorders>
            <w:noWrap/>
            <w:vAlign w:val="center"/>
          </w:tcPr>
          <w:p w14:paraId="3A257399" w14:textId="0C0D734B" w:rsidR="00BE7640" w:rsidRDefault="00BE7640" w:rsidP="00BE7640">
            <w:pPr>
              <w:pStyle w:val="Teksttabelisrodek"/>
              <w:rPr>
                <w:lang w:eastAsia="en-US"/>
              </w:rPr>
            </w:pPr>
            <w:r>
              <w:rPr>
                <w:rFonts w:cs="Calibri"/>
                <w:color w:val="000000"/>
                <w:szCs w:val="20"/>
                <w:lang w:eastAsia="en-US"/>
              </w:rPr>
              <w:t>25,0</w:t>
            </w:r>
          </w:p>
        </w:tc>
      </w:tr>
      <w:tr w:rsidR="00BE7640" w:rsidRPr="00795F17" w14:paraId="488DCE86" w14:textId="77777777" w:rsidTr="00BE7640">
        <w:trPr>
          <w:trHeight w:val="454"/>
        </w:trPr>
        <w:tc>
          <w:tcPr>
            <w:tcW w:w="1647" w:type="dxa"/>
            <w:tcBorders>
              <w:top w:val="single" w:sz="4" w:space="0" w:color="auto"/>
              <w:left w:val="single" w:sz="4" w:space="0" w:color="auto"/>
              <w:bottom w:val="single" w:sz="4" w:space="0" w:color="auto"/>
              <w:right w:val="single" w:sz="4" w:space="0" w:color="auto"/>
            </w:tcBorders>
            <w:noWrap/>
            <w:vAlign w:val="center"/>
          </w:tcPr>
          <w:p w14:paraId="36A26342" w14:textId="56B8319E" w:rsidR="00BE7640" w:rsidRDefault="00BE7640" w:rsidP="00BE7640">
            <w:pPr>
              <w:pStyle w:val="Teksttabelilewy"/>
              <w:ind w:left="57"/>
            </w:pPr>
            <w:r>
              <w:rPr>
                <w:rFonts w:cs="Calibri"/>
                <w:color w:val="000000"/>
                <w:szCs w:val="20"/>
              </w:rPr>
              <w:t>TWCWHM_02</w:t>
            </w:r>
          </w:p>
        </w:tc>
        <w:tc>
          <w:tcPr>
            <w:tcW w:w="3509" w:type="dxa"/>
            <w:tcBorders>
              <w:top w:val="single" w:sz="4" w:space="0" w:color="auto"/>
              <w:left w:val="single" w:sz="4" w:space="0" w:color="auto"/>
              <w:bottom w:val="single" w:sz="4" w:space="0" w:color="auto"/>
              <w:right w:val="single" w:sz="4" w:space="0" w:color="auto"/>
            </w:tcBorders>
            <w:noWrap/>
            <w:vAlign w:val="center"/>
          </w:tcPr>
          <w:p w14:paraId="0EC69AE5" w14:textId="73546A57" w:rsidR="00BE7640" w:rsidRDefault="00BE7640" w:rsidP="00BE7640">
            <w:pPr>
              <w:pStyle w:val="Teksttabelilewy"/>
              <w:ind w:left="57"/>
            </w:pPr>
            <w:r>
              <w:rPr>
                <w:rFonts w:cs="Calibri"/>
                <w:color w:val="000000"/>
                <w:szCs w:val="20"/>
              </w:rPr>
              <w:t>Odtwarzanie i poprawa stanu elementów hydromorfologicznych</w:t>
            </w:r>
          </w:p>
        </w:tc>
        <w:tc>
          <w:tcPr>
            <w:tcW w:w="1221" w:type="dxa"/>
            <w:tcBorders>
              <w:top w:val="single" w:sz="4" w:space="0" w:color="auto"/>
              <w:left w:val="single" w:sz="4" w:space="0" w:color="auto"/>
              <w:bottom w:val="single" w:sz="4" w:space="0" w:color="auto"/>
              <w:right w:val="single" w:sz="4" w:space="0" w:color="auto"/>
            </w:tcBorders>
            <w:noWrap/>
            <w:vAlign w:val="center"/>
          </w:tcPr>
          <w:p w14:paraId="7430F457" w14:textId="088073AF" w:rsidR="00BE7640" w:rsidRDefault="00BE7640" w:rsidP="00BE7640">
            <w:pPr>
              <w:pStyle w:val="Teksttabelisrodek"/>
              <w:rPr>
                <w:lang w:eastAsia="en-US"/>
              </w:rPr>
            </w:pPr>
            <w:r>
              <w:rPr>
                <w:rFonts w:cs="Calibri"/>
                <w:color w:val="000000"/>
                <w:szCs w:val="20"/>
                <w:lang w:eastAsia="en-US"/>
              </w:rPr>
              <w:t>4</w:t>
            </w:r>
          </w:p>
        </w:tc>
        <w:tc>
          <w:tcPr>
            <w:tcW w:w="1290" w:type="dxa"/>
            <w:tcBorders>
              <w:top w:val="single" w:sz="4" w:space="0" w:color="auto"/>
              <w:left w:val="single" w:sz="4" w:space="0" w:color="auto"/>
              <w:bottom w:val="single" w:sz="4" w:space="0" w:color="auto"/>
              <w:right w:val="single" w:sz="4" w:space="0" w:color="auto"/>
            </w:tcBorders>
            <w:noWrap/>
            <w:vAlign w:val="center"/>
          </w:tcPr>
          <w:p w14:paraId="151AB3CE" w14:textId="42E2BF97" w:rsidR="00BE7640" w:rsidRDefault="00BE7640" w:rsidP="00BE7640">
            <w:pPr>
              <w:pStyle w:val="Teksttabelisrodek"/>
              <w:rPr>
                <w:lang w:eastAsia="en-US"/>
              </w:rPr>
            </w:pPr>
            <w:r>
              <w:rPr>
                <w:rFonts w:cs="Calibri"/>
                <w:color w:val="000000"/>
                <w:szCs w:val="20"/>
                <w:lang w:eastAsia="en-US"/>
              </w:rPr>
              <w:t>4</w:t>
            </w:r>
          </w:p>
        </w:tc>
        <w:tc>
          <w:tcPr>
            <w:tcW w:w="1395" w:type="dxa"/>
            <w:tcBorders>
              <w:top w:val="single" w:sz="4" w:space="0" w:color="auto"/>
              <w:left w:val="single" w:sz="4" w:space="0" w:color="auto"/>
              <w:bottom w:val="single" w:sz="4" w:space="0" w:color="auto"/>
              <w:right w:val="single" w:sz="4" w:space="0" w:color="auto"/>
            </w:tcBorders>
            <w:noWrap/>
            <w:vAlign w:val="center"/>
          </w:tcPr>
          <w:p w14:paraId="3C70A59A" w14:textId="79CB6C7A" w:rsidR="00BE7640" w:rsidRDefault="00BE7640" w:rsidP="00BE7640">
            <w:pPr>
              <w:pStyle w:val="Teksttabelisrodek"/>
              <w:rPr>
                <w:lang w:eastAsia="en-US"/>
              </w:rPr>
            </w:pPr>
            <w:r>
              <w:rPr>
                <w:rFonts w:cs="Calibri"/>
                <w:color w:val="000000"/>
                <w:szCs w:val="20"/>
                <w:lang w:eastAsia="en-US"/>
              </w:rPr>
              <w:t>100,0</w:t>
            </w:r>
          </w:p>
        </w:tc>
      </w:tr>
      <w:tr w:rsidR="00634A03" w:rsidRPr="00795F17" w14:paraId="5AF834CA" w14:textId="77777777" w:rsidTr="00770B2E">
        <w:trPr>
          <w:trHeight w:val="454"/>
        </w:trPr>
        <w:tc>
          <w:tcPr>
            <w:tcW w:w="1647" w:type="dxa"/>
            <w:vMerge w:val="restart"/>
            <w:tcBorders>
              <w:top w:val="single" w:sz="4" w:space="0" w:color="auto"/>
              <w:left w:val="single" w:sz="4" w:space="0" w:color="auto"/>
              <w:right w:val="single" w:sz="4" w:space="0" w:color="auto"/>
            </w:tcBorders>
            <w:noWrap/>
            <w:vAlign w:val="center"/>
          </w:tcPr>
          <w:p w14:paraId="0338D2C2" w14:textId="25D0373F" w:rsidR="00634A03" w:rsidRDefault="00634A03" w:rsidP="00BE7640">
            <w:pPr>
              <w:pStyle w:val="Teksttabelilewy"/>
              <w:ind w:left="57"/>
            </w:pPr>
            <w:r>
              <w:rPr>
                <w:rFonts w:cs="Calibri"/>
                <w:color w:val="000000"/>
                <w:szCs w:val="20"/>
              </w:rPr>
              <w:t>TWCWP_01</w:t>
            </w:r>
          </w:p>
        </w:tc>
        <w:tc>
          <w:tcPr>
            <w:tcW w:w="3509" w:type="dxa"/>
            <w:tcBorders>
              <w:top w:val="single" w:sz="4" w:space="0" w:color="auto"/>
              <w:left w:val="single" w:sz="4" w:space="0" w:color="auto"/>
              <w:bottom w:val="single" w:sz="4" w:space="0" w:color="auto"/>
              <w:right w:val="single" w:sz="4" w:space="0" w:color="auto"/>
            </w:tcBorders>
            <w:noWrap/>
            <w:vAlign w:val="center"/>
          </w:tcPr>
          <w:p w14:paraId="35FA1B6B" w14:textId="5DBE9B0C" w:rsidR="00634A03" w:rsidRDefault="00634A03" w:rsidP="00BE7640">
            <w:pPr>
              <w:pStyle w:val="Teksttabelilewy"/>
              <w:ind w:left="57"/>
            </w:pPr>
            <w:r>
              <w:rPr>
                <w:rFonts w:cs="Calibri"/>
                <w:color w:val="000000"/>
                <w:szCs w:val="20"/>
              </w:rPr>
              <w:t>Gospodarka ściekowa w aglomeracjach</w:t>
            </w:r>
          </w:p>
        </w:tc>
        <w:tc>
          <w:tcPr>
            <w:tcW w:w="1221" w:type="dxa"/>
            <w:vMerge w:val="restart"/>
            <w:tcBorders>
              <w:top w:val="single" w:sz="4" w:space="0" w:color="auto"/>
              <w:left w:val="single" w:sz="4" w:space="0" w:color="auto"/>
              <w:right w:val="single" w:sz="4" w:space="0" w:color="auto"/>
            </w:tcBorders>
            <w:noWrap/>
            <w:vAlign w:val="center"/>
          </w:tcPr>
          <w:p w14:paraId="56FAA187" w14:textId="2EBC1723" w:rsidR="00634A03" w:rsidRDefault="00634A03" w:rsidP="00BE7640">
            <w:pPr>
              <w:pStyle w:val="Teksttabelisrodek"/>
              <w:rPr>
                <w:lang w:eastAsia="en-US"/>
              </w:rPr>
            </w:pPr>
            <w:r>
              <w:rPr>
                <w:rFonts w:cs="Calibri"/>
                <w:color w:val="000000"/>
                <w:szCs w:val="20"/>
                <w:lang w:eastAsia="en-US"/>
              </w:rPr>
              <w:t>7</w:t>
            </w:r>
          </w:p>
        </w:tc>
        <w:tc>
          <w:tcPr>
            <w:tcW w:w="1290" w:type="dxa"/>
            <w:vMerge w:val="restart"/>
            <w:tcBorders>
              <w:top w:val="single" w:sz="4" w:space="0" w:color="auto"/>
              <w:left w:val="single" w:sz="4" w:space="0" w:color="auto"/>
              <w:right w:val="single" w:sz="4" w:space="0" w:color="auto"/>
            </w:tcBorders>
            <w:noWrap/>
            <w:vAlign w:val="center"/>
          </w:tcPr>
          <w:p w14:paraId="681397B9" w14:textId="77777777" w:rsidR="00634A03" w:rsidRDefault="00634A03" w:rsidP="00BE7640">
            <w:pPr>
              <w:pStyle w:val="Teksttabelisrodek"/>
              <w:rPr>
                <w:lang w:eastAsia="en-US"/>
              </w:rPr>
            </w:pPr>
            <w:r>
              <w:rPr>
                <w:rFonts w:cs="Calibri"/>
                <w:color w:val="000000"/>
                <w:szCs w:val="20"/>
                <w:lang w:eastAsia="en-US"/>
              </w:rPr>
              <w:t>4</w:t>
            </w:r>
          </w:p>
        </w:tc>
        <w:tc>
          <w:tcPr>
            <w:tcW w:w="1395" w:type="dxa"/>
            <w:vMerge w:val="restart"/>
            <w:tcBorders>
              <w:top w:val="single" w:sz="4" w:space="0" w:color="auto"/>
              <w:left w:val="single" w:sz="4" w:space="0" w:color="auto"/>
              <w:right w:val="single" w:sz="4" w:space="0" w:color="auto"/>
            </w:tcBorders>
            <w:noWrap/>
            <w:vAlign w:val="center"/>
          </w:tcPr>
          <w:p w14:paraId="52B092AF" w14:textId="204B0A00" w:rsidR="00634A03" w:rsidRDefault="00634A03" w:rsidP="00BE7640">
            <w:pPr>
              <w:pStyle w:val="Teksttabelisrodek"/>
              <w:rPr>
                <w:lang w:eastAsia="en-US"/>
              </w:rPr>
            </w:pPr>
            <w:r>
              <w:rPr>
                <w:rFonts w:cs="Calibri"/>
                <w:color w:val="000000"/>
                <w:szCs w:val="20"/>
                <w:lang w:eastAsia="en-US"/>
              </w:rPr>
              <w:t>100,0</w:t>
            </w:r>
          </w:p>
        </w:tc>
      </w:tr>
      <w:tr w:rsidR="00634A03" w:rsidRPr="00795F17" w14:paraId="656725F9" w14:textId="77777777" w:rsidTr="00770B2E">
        <w:trPr>
          <w:trHeight w:val="454"/>
        </w:trPr>
        <w:tc>
          <w:tcPr>
            <w:tcW w:w="1647" w:type="dxa"/>
            <w:vMerge/>
            <w:tcBorders>
              <w:left w:val="single" w:sz="4" w:space="0" w:color="auto"/>
              <w:bottom w:val="single" w:sz="4" w:space="0" w:color="auto"/>
              <w:right w:val="single" w:sz="4" w:space="0" w:color="auto"/>
            </w:tcBorders>
            <w:noWrap/>
            <w:vAlign w:val="center"/>
          </w:tcPr>
          <w:p w14:paraId="7B1C2C7F" w14:textId="77777777" w:rsidR="00634A03" w:rsidRDefault="00634A03" w:rsidP="00BE7640">
            <w:pPr>
              <w:pStyle w:val="Teksttabelilewy"/>
              <w:ind w:left="57"/>
              <w:rPr>
                <w:rFonts w:cs="Calibri"/>
                <w:color w:val="000000"/>
                <w:szCs w:val="20"/>
              </w:rPr>
            </w:pPr>
          </w:p>
        </w:tc>
        <w:tc>
          <w:tcPr>
            <w:tcW w:w="3509" w:type="dxa"/>
            <w:tcBorders>
              <w:top w:val="single" w:sz="4" w:space="0" w:color="auto"/>
              <w:left w:val="single" w:sz="4" w:space="0" w:color="auto"/>
              <w:bottom w:val="single" w:sz="4" w:space="0" w:color="auto"/>
              <w:right w:val="single" w:sz="4" w:space="0" w:color="auto"/>
            </w:tcBorders>
            <w:noWrap/>
            <w:vAlign w:val="center"/>
          </w:tcPr>
          <w:p w14:paraId="02E40983" w14:textId="15270B6F" w:rsidR="00634A03" w:rsidRDefault="00634A03" w:rsidP="00BE7640">
            <w:pPr>
              <w:pStyle w:val="Teksttabelilewy"/>
              <w:ind w:left="57"/>
              <w:rPr>
                <w:rFonts w:cs="Calibri"/>
                <w:color w:val="000000"/>
                <w:szCs w:val="20"/>
              </w:rPr>
            </w:pPr>
            <w:r>
              <w:rPr>
                <w:rFonts w:cs="Calibri"/>
                <w:color w:val="000000"/>
                <w:szCs w:val="20"/>
              </w:rPr>
              <w:t>Ochrona przed przedostawaniem się zanieczyszczeń ze statków do wód</w:t>
            </w:r>
          </w:p>
        </w:tc>
        <w:tc>
          <w:tcPr>
            <w:tcW w:w="1221" w:type="dxa"/>
            <w:vMerge/>
            <w:tcBorders>
              <w:left w:val="single" w:sz="4" w:space="0" w:color="auto"/>
              <w:bottom w:val="single" w:sz="4" w:space="0" w:color="auto"/>
              <w:right w:val="single" w:sz="4" w:space="0" w:color="auto"/>
            </w:tcBorders>
            <w:noWrap/>
            <w:vAlign w:val="center"/>
          </w:tcPr>
          <w:p w14:paraId="014DA65C" w14:textId="77777777" w:rsidR="00634A03" w:rsidRDefault="00634A03" w:rsidP="00BE7640">
            <w:pPr>
              <w:pStyle w:val="Teksttabelisrodek"/>
              <w:rPr>
                <w:rFonts w:cs="Calibri"/>
                <w:color w:val="000000"/>
                <w:szCs w:val="20"/>
                <w:lang w:eastAsia="en-US"/>
              </w:rPr>
            </w:pPr>
          </w:p>
        </w:tc>
        <w:tc>
          <w:tcPr>
            <w:tcW w:w="1290" w:type="dxa"/>
            <w:vMerge/>
            <w:tcBorders>
              <w:left w:val="single" w:sz="4" w:space="0" w:color="auto"/>
              <w:bottom w:val="single" w:sz="4" w:space="0" w:color="auto"/>
              <w:right w:val="single" w:sz="4" w:space="0" w:color="auto"/>
            </w:tcBorders>
            <w:noWrap/>
            <w:vAlign w:val="center"/>
          </w:tcPr>
          <w:p w14:paraId="1AF3BAA5" w14:textId="77777777" w:rsidR="00634A03" w:rsidRDefault="00634A03" w:rsidP="00BE7640">
            <w:pPr>
              <w:pStyle w:val="Teksttabelisrodek"/>
              <w:rPr>
                <w:rFonts w:cs="Calibri"/>
                <w:color w:val="000000"/>
                <w:szCs w:val="20"/>
                <w:lang w:eastAsia="en-US"/>
              </w:rPr>
            </w:pPr>
          </w:p>
        </w:tc>
        <w:tc>
          <w:tcPr>
            <w:tcW w:w="1395" w:type="dxa"/>
            <w:vMerge/>
            <w:tcBorders>
              <w:left w:val="single" w:sz="4" w:space="0" w:color="auto"/>
              <w:bottom w:val="single" w:sz="4" w:space="0" w:color="auto"/>
              <w:right w:val="single" w:sz="4" w:space="0" w:color="auto"/>
            </w:tcBorders>
            <w:noWrap/>
            <w:vAlign w:val="center"/>
          </w:tcPr>
          <w:p w14:paraId="134BFE4A" w14:textId="77777777" w:rsidR="00634A03" w:rsidRDefault="00634A03" w:rsidP="00BE7640">
            <w:pPr>
              <w:pStyle w:val="Teksttabelisrodek"/>
              <w:rPr>
                <w:rFonts w:cs="Calibri"/>
                <w:color w:val="000000"/>
                <w:szCs w:val="20"/>
                <w:lang w:eastAsia="en-US"/>
              </w:rPr>
            </w:pPr>
          </w:p>
        </w:tc>
      </w:tr>
      <w:tr w:rsidR="00BE7640" w:rsidRPr="00795F17" w14:paraId="6A9C87FD" w14:textId="77777777" w:rsidTr="00BE7640">
        <w:trPr>
          <w:trHeight w:val="454"/>
        </w:trPr>
        <w:tc>
          <w:tcPr>
            <w:tcW w:w="1647" w:type="dxa"/>
            <w:tcBorders>
              <w:top w:val="single" w:sz="4" w:space="0" w:color="auto"/>
              <w:left w:val="single" w:sz="4" w:space="0" w:color="auto"/>
              <w:bottom w:val="single" w:sz="4" w:space="0" w:color="auto"/>
              <w:right w:val="single" w:sz="4" w:space="0" w:color="auto"/>
            </w:tcBorders>
            <w:noWrap/>
            <w:vAlign w:val="center"/>
          </w:tcPr>
          <w:p w14:paraId="7F0E14D4" w14:textId="0F06FBA2" w:rsidR="00BE7640" w:rsidRDefault="00BE7640" w:rsidP="00BE7640">
            <w:pPr>
              <w:pStyle w:val="Teksttabelilewy"/>
              <w:ind w:left="57"/>
            </w:pPr>
            <w:r>
              <w:rPr>
                <w:rFonts w:cs="Calibri"/>
                <w:color w:val="000000"/>
                <w:szCs w:val="20"/>
              </w:rPr>
              <w:t>TWCWP_03</w:t>
            </w:r>
          </w:p>
        </w:tc>
        <w:tc>
          <w:tcPr>
            <w:tcW w:w="3509" w:type="dxa"/>
            <w:tcBorders>
              <w:top w:val="single" w:sz="4" w:space="0" w:color="auto"/>
              <w:left w:val="single" w:sz="4" w:space="0" w:color="auto"/>
              <w:bottom w:val="single" w:sz="4" w:space="0" w:color="auto"/>
              <w:right w:val="single" w:sz="4" w:space="0" w:color="auto"/>
            </w:tcBorders>
            <w:noWrap/>
            <w:vAlign w:val="center"/>
          </w:tcPr>
          <w:p w14:paraId="5A41F4FC" w14:textId="19F040EF" w:rsidR="00BE7640" w:rsidRDefault="00BE7640" w:rsidP="00BE7640">
            <w:pPr>
              <w:pStyle w:val="Teksttabelilewy"/>
              <w:ind w:left="57"/>
            </w:pPr>
            <w:r>
              <w:rPr>
                <w:rFonts w:cs="Calibri"/>
                <w:color w:val="000000"/>
                <w:szCs w:val="20"/>
              </w:rPr>
              <w:t>Gospodarka ściekowa w obszarach niezurbanizowanych</w:t>
            </w:r>
          </w:p>
        </w:tc>
        <w:tc>
          <w:tcPr>
            <w:tcW w:w="1221" w:type="dxa"/>
            <w:tcBorders>
              <w:top w:val="single" w:sz="4" w:space="0" w:color="auto"/>
              <w:left w:val="single" w:sz="4" w:space="0" w:color="auto"/>
              <w:bottom w:val="single" w:sz="4" w:space="0" w:color="auto"/>
              <w:right w:val="single" w:sz="4" w:space="0" w:color="auto"/>
            </w:tcBorders>
            <w:noWrap/>
            <w:vAlign w:val="center"/>
          </w:tcPr>
          <w:p w14:paraId="2F605E03" w14:textId="30F7C473" w:rsidR="00BE7640" w:rsidRDefault="00BE7640" w:rsidP="00BE7640">
            <w:pPr>
              <w:pStyle w:val="Teksttabelisrodek"/>
              <w:rPr>
                <w:lang w:eastAsia="en-US"/>
              </w:rPr>
            </w:pPr>
            <w:r>
              <w:rPr>
                <w:rFonts w:cs="Calibri"/>
                <w:color w:val="000000"/>
                <w:szCs w:val="20"/>
                <w:lang w:eastAsia="en-US"/>
              </w:rPr>
              <w:t>6</w:t>
            </w:r>
          </w:p>
        </w:tc>
        <w:tc>
          <w:tcPr>
            <w:tcW w:w="1290" w:type="dxa"/>
            <w:tcBorders>
              <w:top w:val="single" w:sz="4" w:space="0" w:color="auto"/>
              <w:left w:val="single" w:sz="4" w:space="0" w:color="auto"/>
              <w:bottom w:val="single" w:sz="4" w:space="0" w:color="auto"/>
              <w:right w:val="single" w:sz="4" w:space="0" w:color="auto"/>
            </w:tcBorders>
            <w:noWrap/>
            <w:vAlign w:val="center"/>
          </w:tcPr>
          <w:p w14:paraId="1F03533D" w14:textId="2C384F63" w:rsidR="00BE7640" w:rsidRDefault="00BE7640" w:rsidP="00BE7640">
            <w:pPr>
              <w:pStyle w:val="Teksttabelisrodek"/>
              <w:rPr>
                <w:lang w:eastAsia="en-US"/>
              </w:rPr>
            </w:pPr>
            <w:r>
              <w:rPr>
                <w:rFonts w:cs="Calibri"/>
                <w:color w:val="000000"/>
                <w:szCs w:val="20"/>
                <w:lang w:eastAsia="en-US"/>
              </w:rPr>
              <w:t>3</w:t>
            </w:r>
          </w:p>
        </w:tc>
        <w:tc>
          <w:tcPr>
            <w:tcW w:w="1395" w:type="dxa"/>
            <w:tcBorders>
              <w:top w:val="single" w:sz="4" w:space="0" w:color="auto"/>
              <w:left w:val="single" w:sz="4" w:space="0" w:color="auto"/>
              <w:bottom w:val="single" w:sz="4" w:space="0" w:color="auto"/>
              <w:right w:val="single" w:sz="4" w:space="0" w:color="auto"/>
            </w:tcBorders>
            <w:noWrap/>
            <w:vAlign w:val="center"/>
          </w:tcPr>
          <w:p w14:paraId="5D9CFCD6" w14:textId="236622A0" w:rsidR="00BE7640" w:rsidRDefault="00BE7640" w:rsidP="00BE7640">
            <w:pPr>
              <w:pStyle w:val="Teksttabelisrodek"/>
              <w:rPr>
                <w:lang w:eastAsia="en-US"/>
              </w:rPr>
            </w:pPr>
            <w:r>
              <w:rPr>
                <w:rFonts w:cs="Calibri"/>
                <w:color w:val="000000"/>
                <w:szCs w:val="20"/>
                <w:lang w:eastAsia="en-US"/>
              </w:rPr>
              <w:t>75,0</w:t>
            </w:r>
          </w:p>
        </w:tc>
      </w:tr>
      <w:tr w:rsidR="00BE7640" w:rsidRPr="00795F17" w14:paraId="5D6D27B2" w14:textId="77777777" w:rsidTr="00BE7640">
        <w:trPr>
          <w:trHeight w:val="454"/>
        </w:trPr>
        <w:tc>
          <w:tcPr>
            <w:tcW w:w="1647" w:type="dxa"/>
            <w:tcBorders>
              <w:top w:val="single" w:sz="4" w:space="0" w:color="auto"/>
              <w:left w:val="single" w:sz="4" w:space="0" w:color="auto"/>
              <w:bottom w:val="single" w:sz="4" w:space="0" w:color="auto"/>
              <w:right w:val="single" w:sz="4" w:space="0" w:color="auto"/>
            </w:tcBorders>
            <w:noWrap/>
            <w:vAlign w:val="center"/>
          </w:tcPr>
          <w:p w14:paraId="1219E47B" w14:textId="4A6FD982" w:rsidR="00BE7640" w:rsidRDefault="00BE7640" w:rsidP="00BE7640">
            <w:pPr>
              <w:pStyle w:val="Teksttabelilewy"/>
              <w:ind w:left="57"/>
            </w:pPr>
            <w:r>
              <w:rPr>
                <w:rFonts w:cs="Calibri"/>
                <w:color w:val="000000"/>
                <w:szCs w:val="20"/>
              </w:rPr>
              <w:t>TWCWP_04</w:t>
            </w:r>
          </w:p>
        </w:tc>
        <w:tc>
          <w:tcPr>
            <w:tcW w:w="3509" w:type="dxa"/>
            <w:tcBorders>
              <w:top w:val="single" w:sz="4" w:space="0" w:color="auto"/>
              <w:left w:val="single" w:sz="4" w:space="0" w:color="auto"/>
              <w:bottom w:val="single" w:sz="4" w:space="0" w:color="auto"/>
              <w:right w:val="single" w:sz="4" w:space="0" w:color="auto"/>
            </w:tcBorders>
            <w:noWrap/>
            <w:vAlign w:val="center"/>
          </w:tcPr>
          <w:p w14:paraId="065F07EC" w14:textId="3FF83B4D" w:rsidR="00BE7640" w:rsidRDefault="00BE7640" w:rsidP="00BE7640">
            <w:pPr>
              <w:pStyle w:val="Teksttabelilewy"/>
              <w:ind w:left="57"/>
            </w:pPr>
            <w:r>
              <w:rPr>
                <w:rFonts w:cs="Calibri"/>
                <w:color w:val="000000"/>
                <w:szCs w:val="20"/>
              </w:rPr>
              <w:t>Gospodarka wodami opadowymi w terenach zurbanizowanych</w:t>
            </w:r>
          </w:p>
        </w:tc>
        <w:tc>
          <w:tcPr>
            <w:tcW w:w="1221" w:type="dxa"/>
            <w:tcBorders>
              <w:top w:val="single" w:sz="4" w:space="0" w:color="auto"/>
              <w:left w:val="single" w:sz="4" w:space="0" w:color="auto"/>
              <w:bottom w:val="single" w:sz="4" w:space="0" w:color="auto"/>
              <w:right w:val="single" w:sz="4" w:space="0" w:color="auto"/>
            </w:tcBorders>
            <w:noWrap/>
            <w:vAlign w:val="center"/>
          </w:tcPr>
          <w:p w14:paraId="06BF95EC" w14:textId="3107C21B" w:rsidR="00BE7640" w:rsidRDefault="00BE7640" w:rsidP="00BE7640">
            <w:pPr>
              <w:pStyle w:val="Teksttabelisrodek"/>
              <w:rPr>
                <w:lang w:eastAsia="en-US"/>
              </w:rPr>
            </w:pPr>
            <w:r>
              <w:rPr>
                <w:rFonts w:cs="Calibri"/>
                <w:color w:val="000000"/>
                <w:szCs w:val="20"/>
                <w:lang w:eastAsia="en-US"/>
              </w:rPr>
              <w:t>2</w:t>
            </w:r>
          </w:p>
        </w:tc>
        <w:tc>
          <w:tcPr>
            <w:tcW w:w="1290" w:type="dxa"/>
            <w:tcBorders>
              <w:top w:val="single" w:sz="4" w:space="0" w:color="auto"/>
              <w:left w:val="single" w:sz="4" w:space="0" w:color="auto"/>
              <w:bottom w:val="single" w:sz="4" w:space="0" w:color="auto"/>
              <w:right w:val="single" w:sz="4" w:space="0" w:color="auto"/>
            </w:tcBorders>
            <w:noWrap/>
            <w:vAlign w:val="center"/>
          </w:tcPr>
          <w:p w14:paraId="7EE72026" w14:textId="11AE4414" w:rsidR="00BE7640" w:rsidRDefault="00BE7640" w:rsidP="00BE7640">
            <w:pPr>
              <w:pStyle w:val="Teksttabelisrodek"/>
              <w:rPr>
                <w:lang w:eastAsia="en-US"/>
              </w:rPr>
            </w:pPr>
            <w:r>
              <w:rPr>
                <w:rFonts w:cs="Calibri"/>
                <w:color w:val="000000"/>
                <w:szCs w:val="20"/>
                <w:lang w:eastAsia="en-US"/>
              </w:rPr>
              <w:t>1</w:t>
            </w:r>
          </w:p>
        </w:tc>
        <w:tc>
          <w:tcPr>
            <w:tcW w:w="1395" w:type="dxa"/>
            <w:tcBorders>
              <w:top w:val="single" w:sz="4" w:space="0" w:color="auto"/>
              <w:left w:val="single" w:sz="4" w:space="0" w:color="auto"/>
              <w:bottom w:val="single" w:sz="4" w:space="0" w:color="auto"/>
              <w:right w:val="single" w:sz="4" w:space="0" w:color="auto"/>
            </w:tcBorders>
            <w:noWrap/>
            <w:vAlign w:val="center"/>
          </w:tcPr>
          <w:p w14:paraId="03C95276" w14:textId="78D52129" w:rsidR="00BE7640" w:rsidRDefault="00BE7640" w:rsidP="00BE7640">
            <w:pPr>
              <w:pStyle w:val="Teksttabelisrodek"/>
              <w:rPr>
                <w:lang w:eastAsia="en-US"/>
              </w:rPr>
            </w:pPr>
            <w:r>
              <w:rPr>
                <w:rFonts w:cs="Calibri"/>
                <w:color w:val="000000"/>
                <w:szCs w:val="20"/>
                <w:lang w:eastAsia="en-US"/>
              </w:rPr>
              <w:t>25,0</w:t>
            </w:r>
          </w:p>
        </w:tc>
      </w:tr>
    </w:tbl>
    <w:p w14:paraId="2523C385" w14:textId="77777777" w:rsidR="00484E73" w:rsidRDefault="00484E73" w:rsidP="00484E73">
      <w:pPr>
        <w:pStyle w:val="rdo"/>
      </w:pPr>
      <w:r>
        <w:t>Źródło: opracowanie własne</w:t>
      </w:r>
    </w:p>
    <w:p w14:paraId="6810836E" w14:textId="09E2A619" w:rsidR="00484E73" w:rsidRDefault="00484E73" w:rsidP="00484E73">
      <w:pPr>
        <w:rPr>
          <w:rFonts w:cs="Calibri"/>
        </w:rPr>
      </w:pPr>
      <w:r>
        <w:t xml:space="preserve">Dla wszystkich </w:t>
      </w:r>
      <w:r w:rsidR="00DF005E">
        <w:t>JCWP</w:t>
      </w:r>
      <w:r>
        <w:t xml:space="preserve"> TW i CW zaplanowano działania, a tym samym wszystkie posiadają zbudowany zestaw działań.</w:t>
      </w:r>
    </w:p>
    <w:p w14:paraId="5C8F030D" w14:textId="51A12A18" w:rsidR="00484E73" w:rsidRDefault="00484E73" w:rsidP="00484E73">
      <w:r>
        <w:t xml:space="preserve">Wśród działań zaplanowanych dla </w:t>
      </w:r>
      <w:r w:rsidR="00DF005E">
        <w:t>JCWP</w:t>
      </w:r>
      <w:r>
        <w:t xml:space="preserve"> TW i CW obszaru dorzecza Odry </w:t>
      </w:r>
      <w:r w:rsidR="00A14C8C">
        <w:t>70</w:t>
      </w:r>
      <w:r>
        <w:t>% stanowią działania podstawowe, a 3</w:t>
      </w:r>
      <w:r w:rsidR="00A14C8C">
        <w:t>0</w:t>
      </w:r>
      <w:r>
        <w:t>% stanowią działania uzupełniające</w:t>
      </w:r>
      <w:r w:rsidR="00090737">
        <w:t xml:space="preserve"> (wykres 12-26)</w:t>
      </w:r>
      <w:r>
        <w:t xml:space="preserve">. </w:t>
      </w:r>
    </w:p>
    <w:p w14:paraId="2483AC5C" w14:textId="0DFD67B2" w:rsidR="00484E73" w:rsidRDefault="00A14C8C" w:rsidP="005842B5">
      <w:bookmarkStart w:id="760" w:name="_Hlk67380181"/>
      <w:r>
        <w:rPr>
          <w:noProof/>
        </w:rPr>
        <w:drawing>
          <wp:inline distT="0" distB="0" distL="0" distR="0" wp14:anchorId="5D403206" wp14:editId="4D7FCFA3">
            <wp:extent cx="5760720" cy="2965450"/>
            <wp:effectExtent l="0" t="0" r="11430" b="6350"/>
            <wp:docPr id="1866059330" name="Wykres 1866059330">
              <a:extLst xmlns:a="http://schemas.openxmlformats.org/drawingml/2006/main">
                <a:ext uri="{FF2B5EF4-FFF2-40B4-BE49-F238E27FC236}">
                  <a16:creationId xmlns:a16="http://schemas.microsoft.com/office/drawing/2014/main" id="{65EB39DD-542D-461E-9B56-60B2B6F21A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6A780FF9" w14:textId="37EC8374" w:rsidR="00484E73" w:rsidRDefault="00484E73" w:rsidP="00B479EE">
      <w:pPr>
        <w:pStyle w:val="Wykres"/>
      </w:pPr>
      <w:bookmarkStart w:id="761" w:name="_Toc105513035"/>
      <w:r>
        <w:t xml:space="preserve">Wykres </w:t>
      </w:r>
      <w:fldSimple w:instr=" STYLEREF 1 \s ">
        <w:r w:rsidR="001F774D">
          <w:rPr>
            <w:noProof/>
          </w:rPr>
          <w:t>12</w:t>
        </w:r>
      </w:fldSimple>
      <w:r w:rsidR="00FF20D3">
        <w:noBreakHyphen/>
      </w:r>
      <w:fldSimple w:instr=" SEQ Wykres \* ARABIC \s 1 ">
        <w:r w:rsidR="001F774D">
          <w:rPr>
            <w:noProof/>
          </w:rPr>
          <w:t>26</w:t>
        </w:r>
      </w:fldSimple>
      <w:r w:rsidR="002B6022">
        <w:rPr>
          <w:noProof/>
        </w:rPr>
        <w:t>.</w:t>
      </w:r>
      <w:r>
        <w:tab/>
        <w:t xml:space="preserve">Podział działań w zestawie dla </w:t>
      </w:r>
      <w:r w:rsidR="00DF005E">
        <w:t>JCWP</w:t>
      </w:r>
      <w:r>
        <w:t xml:space="preserve"> TW i CW dla obszaru dorzecza Odry</w:t>
      </w:r>
      <w:bookmarkEnd w:id="761"/>
    </w:p>
    <w:bookmarkEnd w:id="760"/>
    <w:p w14:paraId="1B09B966" w14:textId="5F5F2AAC" w:rsidR="00484E73" w:rsidRDefault="00484E73" w:rsidP="001E2A34">
      <w:pPr>
        <w:pStyle w:val="rdo"/>
        <w:rPr>
          <w:sz w:val="20"/>
          <w:szCs w:val="20"/>
        </w:rPr>
      </w:pPr>
      <w:r>
        <w:t>Źródło: opracowanie własne</w:t>
      </w:r>
    </w:p>
    <w:p w14:paraId="5F1A2DC8" w14:textId="3DC8635E" w:rsidR="00484E73" w:rsidRDefault="003C20BD" w:rsidP="005C6065">
      <w:pPr>
        <w:rPr>
          <w:rFonts w:ascii="Times New Roman" w:eastAsiaTheme="minorHAnsi" w:hAnsi="Times New Roman"/>
          <w:sz w:val="24"/>
          <w:szCs w:val="24"/>
          <w:lang w:eastAsia="pl-PL"/>
        </w:rPr>
      </w:pPr>
      <w:r>
        <w:t>In</w:t>
      </w:r>
      <w:r w:rsidR="00484E73">
        <w:t xml:space="preserve">formacje o działaniach zaplanowanych dla danej </w:t>
      </w:r>
      <w:r w:rsidR="00DF005E">
        <w:t>JCWP</w:t>
      </w:r>
      <w:r w:rsidR="00484E73">
        <w:t xml:space="preserve"> uwzględnione zostały w załączniku nr </w:t>
      </w:r>
      <w:r w:rsidR="0071152C">
        <w:t>16</w:t>
      </w:r>
      <w:r w:rsidR="00484E73">
        <w:t xml:space="preserve"> (Zestaw działań TW i CW). Zobrazowanie przestrzenne </w:t>
      </w:r>
      <w:r w:rsidR="00DF005E">
        <w:t>JCWP</w:t>
      </w:r>
      <w:r w:rsidR="00484E73">
        <w:t xml:space="preserve"> TW i CW </w:t>
      </w:r>
      <w:r>
        <w:t>na</w:t>
      </w:r>
      <w:r w:rsidR="00484E73">
        <w:t xml:space="preserve"> obszarze dorzecza Odry z przypisanym zestawem działań </w:t>
      </w:r>
      <w:r w:rsidR="00064AE0">
        <w:t>prezentuje załącznik</w:t>
      </w:r>
      <w:r w:rsidR="00484E73">
        <w:t xml:space="preserve"> graficzny nr </w:t>
      </w:r>
      <w:r w:rsidR="00D24098">
        <w:t>61</w:t>
      </w:r>
      <w:r w:rsidR="00484E73">
        <w:t>.</w:t>
      </w:r>
      <w:r w:rsidR="00484E73">
        <w:rPr>
          <w:rFonts w:ascii="Times New Roman" w:eastAsiaTheme="minorHAnsi" w:hAnsi="Times New Roman"/>
          <w:sz w:val="24"/>
          <w:szCs w:val="24"/>
          <w:lang w:eastAsia="pl-PL"/>
        </w:rPr>
        <w:t xml:space="preserve"> </w:t>
      </w:r>
    </w:p>
    <w:p w14:paraId="48D09980" w14:textId="408F6FDD" w:rsidR="00686304" w:rsidRPr="00795F17" w:rsidRDefault="00686304" w:rsidP="00C53C86">
      <w:pPr>
        <w:pStyle w:val="Nagwek3"/>
      </w:pPr>
      <w:bookmarkStart w:id="762" w:name="_Toc105512707"/>
      <w:r w:rsidRPr="00795F17">
        <w:t xml:space="preserve">Zestawy działań dla </w:t>
      </w:r>
      <w:r w:rsidR="00DF005E">
        <w:t>JCWP</w:t>
      </w:r>
      <w:r w:rsidRPr="00795F17">
        <w:t>d (GW)</w:t>
      </w:r>
      <w:bookmarkEnd w:id="762"/>
    </w:p>
    <w:p w14:paraId="459EC6CE" w14:textId="2A443CEC" w:rsidR="0039642D" w:rsidRDefault="0039642D" w:rsidP="0039642D">
      <w:pPr>
        <w:rPr>
          <w:rFonts w:eastAsia="Times New Roman"/>
        </w:rPr>
      </w:pPr>
      <w:r>
        <w:t xml:space="preserve">Zestawy działań dla poszczególnych </w:t>
      </w:r>
      <w:r w:rsidR="00DF005E">
        <w:t>JCWP</w:t>
      </w:r>
      <w:r>
        <w:t xml:space="preserve">d (GW) były konstruowane na podstawie oceny ryzyka </w:t>
      </w:r>
      <w:r>
        <w:rPr>
          <w:rFonts w:eastAsia="Times New Roman"/>
        </w:rPr>
        <w:t xml:space="preserve">nieosiągnięcia celów środowiskowych, a także wyników oceny stanu </w:t>
      </w:r>
      <w:r w:rsidR="00DF005E">
        <w:rPr>
          <w:rFonts w:eastAsia="Times New Roman"/>
        </w:rPr>
        <w:t>JCWP</w:t>
      </w:r>
      <w:r>
        <w:rPr>
          <w:rFonts w:eastAsia="Times New Roman"/>
        </w:rPr>
        <w:t>d.</w:t>
      </w:r>
    </w:p>
    <w:p w14:paraId="773DA300" w14:textId="6811051B" w:rsidR="0039642D" w:rsidRDefault="0039642D" w:rsidP="0039642D">
      <w:pPr>
        <w:rPr>
          <w:rFonts w:eastAsia="Times New Roman"/>
        </w:rPr>
      </w:pPr>
      <w:r>
        <w:rPr>
          <w:rFonts w:eastAsia="Times New Roman"/>
        </w:rPr>
        <w:t xml:space="preserve">Analizie poddano przyczyny stanu słabego </w:t>
      </w:r>
      <w:r w:rsidR="00DF005E">
        <w:rPr>
          <w:rFonts w:eastAsia="Times New Roman"/>
        </w:rPr>
        <w:t>JCWP</w:t>
      </w:r>
      <w:r>
        <w:rPr>
          <w:rFonts w:eastAsia="Times New Roman"/>
        </w:rPr>
        <w:t xml:space="preserve">d oraz zagrożenia w odniesieniu do osiągnięcia ustalonych celów środowiskowych. Dla każdej </w:t>
      </w:r>
      <w:r w:rsidR="00DF005E">
        <w:rPr>
          <w:rFonts w:eastAsia="Times New Roman"/>
        </w:rPr>
        <w:t>JCWP</w:t>
      </w:r>
      <w:r>
        <w:rPr>
          <w:rFonts w:eastAsia="Times New Roman"/>
        </w:rPr>
        <w:t xml:space="preserve">d podano w zestawie informację na temat wyniku najnowszej oceny stanu wykonanej w 2020 r. na podstawie wyników </w:t>
      </w:r>
      <w:r w:rsidR="006B4632">
        <w:rPr>
          <w:rFonts w:eastAsia="Times New Roman"/>
        </w:rPr>
        <w:t>MD</w:t>
      </w:r>
      <w:r>
        <w:rPr>
          <w:rFonts w:eastAsia="Times New Roman"/>
        </w:rPr>
        <w:t xml:space="preserve"> z 2019 r. oraz oceny ryzyka, różnicując z uwagi na rodzaj presji decydującej o stanie słabym bądź zagrożeniu </w:t>
      </w:r>
      <w:r w:rsidR="00DF005E">
        <w:rPr>
          <w:rFonts w:eastAsia="Times New Roman"/>
        </w:rPr>
        <w:t>JCWP</w:t>
      </w:r>
      <w:r>
        <w:rPr>
          <w:rFonts w:eastAsia="Times New Roman"/>
        </w:rPr>
        <w:t xml:space="preserve">d (presje związane ze stanem ilościowym, chemicznym lub ilościowym i chemicznym). Działania dla poszczególnych </w:t>
      </w:r>
      <w:r w:rsidR="00DF005E">
        <w:rPr>
          <w:rFonts w:eastAsia="Times New Roman"/>
        </w:rPr>
        <w:t>JCWP</w:t>
      </w:r>
      <w:r>
        <w:rPr>
          <w:rFonts w:eastAsia="Times New Roman"/>
        </w:rPr>
        <w:t xml:space="preserve">d przypisywano tak, aby były ukierunkowane na redukcję zidentyfikowanych presji decydujących o stanie lub zagrożeniu </w:t>
      </w:r>
      <w:r w:rsidR="00DF005E">
        <w:rPr>
          <w:rFonts w:eastAsia="Times New Roman"/>
        </w:rPr>
        <w:t>JCWP</w:t>
      </w:r>
      <w:r>
        <w:rPr>
          <w:rFonts w:eastAsia="Times New Roman"/>
        </w:rPr>
        <w:t xml:space="preserve">d. W obszarze presji wpływających na stan chemiczny </w:t>
      </w:r>
      <w:r w:rsidR="00DF005E">
        <w:rPr>
          <w:rFonts w:eastAsia="Times New Roman"/>
        </w:rPr>
        <w:t>JCWP</w:t>
      </w:r>
      <w:r>
        <w:rPr>
          <w:rFonts w:eastAsia="Times New Roman"/>
        </w:rPr>
        <w:t>d dodatkowo dokonano rozdzielenia z uwagi na rodzaj presji, wyróżniając:</w:t>
      </w:r>
    </w:p>
    <w:p w14:paraId="12A332DC" w14:textId="77777777" w:rsidR="0039642D" w:rsidRDefault="0039642D" w:rsidP="00117E86">
      <w:pPr>
        <w:pStyle w:val="Listapunktowana2"/>
        <w:rPr>
          <w:rFonts w:eastAsiaTheme="minorEastAsia" w:cstheme="minorBidi"/>
        </w:rPr>
      </w:pPr>
      <w:r>
        <w:t>presje związane z rolnictwem i gospodarką komunalną (presja chemiczna typu A);</w:t>
      </w:r>
    </w:p>
    <w:p w14:paraId="19E2DF24" w14:textId="41224B84" w:rsidR="0039642D" w:rsidRDefault="0039642D" w:rsidP="00117E86">
      <w:pPr>
        <w:pStyle w:val="Listapunktowana2"/>
        <w:rPr>
          <w:rFonts w:eastAsiaTheme="minorEastAsia" w:cstheme="minorBidi"/>
        </w:rPr>
      </w:pPr>
      <w:r>
        <w:t xml:space="preserve">presje związane z przemysłem </w:t>
      </w:r>
      <w:r w:rsidR="003208C7">
        <w:t xml:space="preserve">i urbanizacją </w:t>
      </w:r>
      <w:r>
        <w:t>(presja chemiczna typu B).</w:t>
      </w:r>
    </w:p>
    <w:p w14:paraId="2F972AEA" w14:textId="2BEB46A3" w:rsidR="0039642D" w:rsidRDefault="0039642D" w:rsidP="0039642D">
      <w:r>
        <w:t xml:space="preserve">Z 40 różnego rodzaju działań zdefiniowanych w katalogu działań dla </w:t>
      </w:r>
      <w:r w:rsidR="00DF005E">
        <w:t>JCWP</w:t>
      </w:r>
      <w:r>
        <w:t>d wydzielonych na obszarze dorzecza Odry przypisano 27 działań o zróżnicowanym charakterze. W tej liczbie 6</w:t>
      </w:r>
      <w:r w:rsidR="0061359B">
        <w:t> </w:t>
      </w:r>
      <w:r>
        <w:t>to</w:t>
      </w:r>
      <w:r w:rsidR="0061359B">
        <w:t> </w:t>
      </w:r>
      <w:r>
        <w:t>działania podstawowe, zaś 21 to działania uzupełniające, przypisywane w szczególności do </w:t>
      </w:r>
      <w:r w:rsidR="00DF005E">
        <w:t>JCWP</w:t>
      </w:r>
      <w:r>
        <w:t xml:space="preserve">d zagrożonych </w:t>
      </w:r>
      <w:r>
        <w:rPr>
          <w:rFonts w:eastAsia="Times New Roman"/>
        </w:rPr>
        <w:t>nieosiągnięciem</w:t>
      </w:r>
      <w:r>
        <w:t xml:space="preserve"> celów środowiskowych (tabela 12-12). Dobór działań uzupełniających wynikał z charakterystyki poszczególnych </w:t>
      </w:r>
      <w:r w:rsidR="00DF005E">
        <w:t>JCWP</w:t>
      </w:r>
      <w:r>
        <w:t xml:space="preserve">d, a przede wszystkim z rodzaju zidentyfikowanych presji </w:t>
      </w:r>
      <w:bookmarkStart w:id="763" w:name="_Hlk67490916"/>
      <w:r>
        <w:t>powodujących, że osiągnięcie ustalonych dla nich celów środowiskowych jest zagrożone.</w:t>
      </w:r>
    </w:p>
    <w:p w14:paraId="55562DBF" w14:textId="45341FDD" w:rsidR="0039642D" w:rsidRDefault="0039642D" w:rsidP="004D7705">
      <w:pPr>
        <w:pStyle w:val="Tabela"/>
      </w:pPr>
      <w:bookmarkStart w:id="764" w:name="_Toc66341953"/>
      <w:bookmarkStart w:id="765" w:name="_Toc66706738"/>
      <w:bookmarkStart w:id="766" w:name="_Toc67652436"/>
      <w:bookmarkStart w:id="767" w:name="_Toc105512881"/>
      <w:r>
        <w:t xml:space="preserve">Tabela </w:t>
      </w:r>
      <w:r>
        <w:fldChar w:fldCharType="begin"/>
      </w:r>
      <w:r>
        <w:instrText>STYLEREF 1 \s</w:instrText>
      </w:r>
      <w:r>
        <w:fldChar w:fldCharType="separate"/>
      </w:r>
      <w:r w:rsidR="001F774D">
        <w:rPr>
          <w:noProof/>
        </w:rPr>
        <w:t>12</w:t>
      </w:r>
      <w:r>
        <w:fldChar w:fldCharType="end"/>
      </w:r>
      <w:r w:rsidR="009263D8">
        <w:noBreakHyphen/>
      </w:r>
      <w:fldSimple w:instr=" SEQ Tabela \* ARABIC \s 1 ">
        <w:r w:rsidR="001F774D">
          <w:rPr>
            <w:noProof/>
          </w:rPr>
          <w:t>12</w:t>
        </w:r>
      </w:fldSimple>
      <w:r w:rsidR="000B5450">
        <w:rPr>
          <w:noProof/>
        </w:rPr>
        <w:t>.</w:t>
      </w:r>
      <w:r>
        <w:tab/>
        <w:t xml:space="preserve">Zestawienie działań uzupełniających przypisanych do </w:t>
      </w:r>
      <w:r w:rsidR="00DF005E">
        <w:t>JCWP</w:t>
      </w:r>
      <w:r>
        <w:t>d na obszarze dorzecza Odry</w:t>
      </w:r>
      <w:bookmarkEnd w:id="764"/>
      <w:bookmarkEnd w:id="765"/>
      <w:bookmarkEnd w:id="766"/>
      <w:bookmarkEnd w:id="767"/>
    </w:p>
    <w:tbl>
      <w:tblPr>
        <w:tblW w:w="5000" w:type="pct"/>
        <w:tblLook w:val="00A0" w:firstRow="1" w:lastRow="0" w:firstColumn="1" w:lastColumn="0" w:noHBand="0" w:noVBand="0"/>
      </w:tblPr>
      <w:tblGrid>
        <w:gridCol w:w="1193"/>
        <w:gridCol w:w="5006"/>
        <w:gridCol w:w="1109"/>
        <w:gridCol w:w="1754"/>
      </w:tblGrid>
      <w:tr w:rsidR="0039642D" w14:paraId="205BF8C7" w14:textId="77777777" w:rsidTr="00522E32">
        <w:trPr>
          <w:trHeight w:val="227"/>
          <w:tblHeader/>
        </w:trPr>
        <w:tc>
          <w:tcPr>
            <w:tcW w:w="668"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6625D0F3" w14:textId="77777777" w:rsidR="0039642D" w:rsidRDefault="0039642D">
            <w:pPr>
              <w:pStyle w:val="Teksttabelinaglowek"/>
              <w:spacing w:line="276" w:lineRule="auto"/>
              <w:rPr>
                <w:lang w:eastAsia="en-US"/>
              </w:rPr>
            </w:pPr>
            <w:r>
              <w:rPr>
                <w:lang w:eastAsia="en-US"/>
              </w:rPr>
              <w:t>Kod IIaPGW</w:t>
            </w:r>
          </w:p>
        </w:tc>
        <w:tc>
          <w:tcPr>
            <w:tcW w:w="2772"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53CDEEF1" w14:textId="77777777" w:rsidR="0039642D" w:rsidRDefault="0039642D">
            <w:pPr>
              <w:pStyle w:val="Teksttabelinaglowek"/>
              <w:spacing w:line="276" w:lineRule="auto"/>
              <w:rPr>
                <w:lang w:eastAsia="en-US"/>
              </w:rPr>
            </w:pPr>
            <w:r>
              <w:rPr>
                <w:lang w:eastAsia="en-US"/>
              </w:rPr>
              <w:t>Nazwa działania</w:t>
            </w:r>
          </w:p>
        </w:tc>
        <w:tc>
          <w:tcPr>
            <w:tcW w:w="583"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1E546646" w14:textId="1A499828" w:rsidR="0039642D" w:rsidRDefault="0039642D">
            <w:pPr>
              <w:pStyle w:val="Teksttabelinaglowek"/>
              <w:spacing w:line="276" w:lineRule="auto"/>
              <w:rPr>
                <w:lang w:eastAsia="en-US"/>
              </w:rPr>
            </w:pPr>
            <w:r>
              <w:rPr>
                <w:lang w:eastAsia="en-US"/>
              </w:rPr>
              <w:t xml:space="preserve">Liczba </w:t>
            </w:r>
            <w:r w:rsidR="00DF005E">
              <w:rPr>
                <w:lang w:eastAsia="en-US"/>
              </w:rPr>
              <w:t>JCWP</w:t>
            </w:r>
            <w:r>
              <w:rPr>
                <w:lang w:eastAsia="en-US"/>
              </w:rPr>
              <w:t>d z przypisanym działaniem</w:t>
            </w:r>
          </w:p>
        </w:tc>
        <w:tc>
          <w:tcPr>
            <w:tcW w:w="977"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26E4534A" w14:textId="19DC4E09" w:rsidR="0039642D" w:rsidRDefault="0039642D">
            <w:pPr>
              <w:pStyle w:val="Teksttabelinaglowek"/>
              <w:spacing w:line="276" w:lineRule="auto"/>
              <w:rPr>
                <w:color w:val="000000" w:themeColor="text1"/>
                <w:lang w:eastAsia="en-US"/>
              </w:rPr>
            </w:pPr>
            <w:r>
              <w:rPr>
                <w:color w:val="000000" w:themeColor="text1"/>
                <w:lang w:eastAsia="en-US"/>
              </w:rPr>
              <w:t xml:space="preserve">Udział w ogólnej liczbie </w:t>
            </w:r>
            <w:r w:rsidR="00DF005E">
              <w:rPr>
                <w:color w:val="000000" w:themeColor="text1"/>
                <w:lang w:eastAsia="en-US"/>
              </w:rPr>
              <w:t>JCWP</w:t>
            </w:r>
            <w:r>
              <w:rPr>
                <w:color w:val="000000" w:themeColor="text1"/>
                <w:lang w:eastAsia="en-US"/>
              </w:rPr>
              <w:t>d ze zbudowanym zestawem działań</w:t>
            </w:r>
            <w:r>
              <w:rPr>
                <w:color w:val="000000" w:themeColor="text1"/>
                <w:lang w:eastAsia="en-US"/>
              </w:rPr>
              <w:br/>
              <w:t>(%)</w:t>
            </w:r>
          </w:p>
        </w:tc>
      </w:tr>
      <w:tr w:rsidR="0039642D" w14:paraId="3FCDD6EA"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363BB4B" w14:textId="77777777" w:rsidR="0039642D" w:rsidRDefault="0039642D" w:rsidP="001E2F4D">
            <w:pPr>
              <w:pStyle w:val="Teksttabelilewy"/>
            </w:pPr>
            <w:r>
              <w:t>GWI</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414ED49" w14:textId="77777777" w:rsidR="0039642D" w:rsidRDefault="0039642D" w:rsidP="001E2A34">
            <w:pPr>
              <w:pStyle w:val="Teksttabelilewy"/>
              <w:ind w:left="57"/>
            </w:pPr>
            <w:r>
              <w:t>Analiza możliwości odbudowy/przebudowy systemów melioracyjnych</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1DFD678" w14:textId="77777777" w:rsidR="0039642D" w:rsidRDefault="0039642D">
            <w:pPr>
              <w:pStyle w:val="Teksttabelisrodek"/>
              <w:spacing w:line="276" w:lineRule="auto"/>
              <w:rPr>
                <w:lang w:eastAsia="en-US"/>
              </w:rPr>
            </w:pPr>
            <w:r>
              <w:rPr>
                <w:lang w:eastAsia="en-US"/>
              </w:rPr>
              <w:t>22</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333A857" w14:textId="77777777" w:rsidR="0039642D" w:rsidRDefault="0039642D">
            <w:pPr>
              <w:pStyle w:val="Teksttabelisrodek"/>
              <w:spacing w:line="276" w:lineRule="auto"/>
              <w:rPr>
                <w:lang w:eastAsia="en-US"/>
              </w:rPr>
            </w:pPr>
            <w:r>
              <w:rPr>
                <w:lang w:eastAsia="en-US"/>
              </w:rPr>
              <w:t>40,0</w:t>
            </w:r>
          </w:p>
        </w:tc>
      </w:tr>
      <w:tr w:rsidR="0039642D" w14:paraId="23EF092E"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6BAA985" w14:textId="77777777" w:rsidR="0039642D" w:rsidRDefault="0039642D" w:rsidP="001E2F4D">
            <w:pPr>
              <w:pStyle w:val="Teksttabelilewy"/>
            </w:pPr>
            <w:r>
              <w:t>GWI</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2063D57" w14:textId="26A0EDE2" w:rsidR="0039642D" w:rsidRDefault="00C53ED4" w:rsidP="001E2A34">
            <w:pPr>
              <w:pStyle w:val="Teksttabelilewy"/>
              <w:ind w:left="57"/>
            </w:pPr>
            <w:r>
              <w:t>Poszukiwanie alternatywnych źródeł zaopatrzenia w wodę</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46C0D45" w14:textId="77777777" w:rsidR="0039642D" w:rsidRDefault="0039642D">
            <w:pPr>
              <w:pStyle w:val="Teksttabelisrodek"/>
              <w:spacing w:line="276" w:lineRule="auto"/>
              <w:rPr>
                <w:lang w:eastAsia="en-US"/>
              </w:rPr>
            </w:pPr>
            <w:r>
              <w:rPr>
                <w:lang w:eastAsia="en-US"/>
              </w:rPr>
              <w:t>1</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045E1AA" w14:textId="77777777" w:rsidR="0039642D" w:rsidRDefault="0039642D">
            <w:pPr>
              <w:pStyle w:val="Teksttabelisrodek"/>
              <w:spacing w:line="276" w:lineRule="auto"/>
              <w:rPr>
                <w:lang w:eastAsia="en-US"/>
              </w:rPr>
            </w:pPr>
            <w:r>
              <w:rPr>
                <w:lang w:eastAsia="en-US"/>
              </w:rPr>
              <w:t>1,8</w:t>
            </w:r>
          </w:p>
        </w:tc>
      </w:tr>
      <w:tr w:rsidR="0039642D" w14:paraId="5350CEE9"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43FFC0F" w14:textId="77777777" w:rsidR="0039642D" w:rsidRDefault="0039642D" w:rsidP="001E2F4D">
            <w:pPr>
              <w:pStyle w:val="Teksttabelilewy"/>
            </w:pPr>
            <w:r>
              <w:t>GWPA</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5B596D4" w14:textId="77777777" w:rsidR="0039642D" w:rsidRDefault="0039642D" w:rsidP="001E2A34">
            <w:pPr>
              <w:pStyle w:val="Teksttabelilewy"/>
              <w:ind w:left="57"/>
            </w:pPr>
            <w:r>
              <w:t xml:space="preserve">Dobrowolne stosowanie działań ze </w:t>
            </w:r>
            <w:r>
              <w:rPr>
                <w:i/>
                <w:iCs/>
              </w:rPr>
              <w:t>Zbioru zaleceń dobrej praktyki rolniczej</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2681283" w14:textId="77777777" w:rsidR="0039642D" w:rsidRDefault="0039642D">
            <w:pPr>
              <w:pStyle w:val="Teksttabelisrodek"/>
              <w:spacing w:line="276" w:lineRule="auto"/>
              <w:rPr>
                <w:lang w:eastAsia="en-US"/>
              </w:rPr>
            </w:pPr>
            <w:r>
              <w:rPr>
                <w:lang w:eastAsia="en-US"/>
              </w:rPr>
              <w:t>14</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D9B2114" w14:textId="77777777" w:rsidR="0039642D" w:rsidRDefault="0039642D">
            <w:pPr>
              <w:pStyle w:val="Teksttabelisrodek"/>
              <w:spacing w:line="276" w:lineRule="auto"/>
              <w:rPr>
                <w:lang w:eastAsia="en-US"/>
              </w:rPr>
            </w:pPr>
            <w:r>
              <w:rPr>
                <w:lang w:eastAsia="en-US"/>
              </w:rPr>
              <w:t>25,5</w:t>
            </w:r>
          </w:p>
        </w:tc>
      </w:tr>
      <w:tr w:rsidR="0039642D" w14:paraId="176EE8FC"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E1EA7E5" w14:textId="77777777" w:rsidR="0039642D" w:rsidRDefault="0039642D" w:rsidP="001E2F4D">
            <w:pPr>
              <w:pStyle w:val="Teksttabelilewy"/>
            </w:pPr>
            <w:r>
              <w:t>GWI</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91BE191" w14:textId="77777777" w:rsidR="0039642D" w:rsidRDefault="0039642D" w:rsidP="001E2A34">
            <w:pPr>
              <w:pStyle w:val="Teksttabelilewy"/>
              <w:ind w:left="57"/>
            </w:pPr>
            <w:r>
              <w:t>Dodatkowy przegląd udzielonych pozwoleń wodnoprawnych związanych z poborem wód podziemnych</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DA96EAA" w14:textId="77777777" w:rsidR="0039642D" w:rsidRDefault="0039642D">
            <w:pPr>
              <w:pStyle w:val="Teksttabelisrodek"/>
              <w:spacing w:line="276" w:lineRule="auto"/>
              <w:rPr>
                <w:lang w:eastAsia="en-US"/>
              </w:rPr>
            </w:pPr>
            <w:r>
              <w:rPr>
                <w:lang w:eastAsia="en-US"/>
              </w:rPr>
              <w:t>16</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8073452" w14:textId="77777777" w:rsidR="0039642D" w:rsidRDefault="0039642D">
            <w:pPr>
              <w:pStyle w:val="Teksttabelisrodek"/>
              <w:spacing w:line="276" w:lineRule="auto"/>
              <w:rPr>
                <w:lang w:eastAsia="en-US"/>
              </w:rPr>
            </w:pPr>
            <w:r>
              <w:rPr>
                <w:lang w:eastAsia="en-US"/>
              </w:rPr>
              <w:t>29,1</w:t>
            </w:r>
          </w:p>
        </w:tc>
      </w:tr>
      <w:tr w:rsidR="0039642D" w14:paraId="5AFA0B5C"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A5B97CC" w14:textId="77777777" w:rsidR="0039642D" w:rsidRDefault="0039642D" w:rsidP="001E2F4D">
            <w:pPr>
              <w:pStyle w:val="Teksttabelilewy"/>
            </w:pPr>
            <w:r>
              <w:t>GWI</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6DB3711" w14:textId="77777777" w:rsidR="0039642D" w:rsidRDefault="0039642D" w:rsidP="001E2A34">
            <w:pPr>
              <w:pStyle w:val="Teksttabelilewy"/>
              <w:ind w:left="57"/>
            </w:pPr>
            <w:r>
              <w:t>Ograniczenie zużycia wody w przemyśle</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2DC455F" w14:textId="77777777" w:rsidR="0039642D" w:rsidRDefault="0039642D">
            <w:pPr>
              <w:pStyle w:val="Teksttabelisrodek"/>
              <w:spacing w:line="276" w:lineRule="auto"/>
              <w:rPr>
                <w:lang w:eastAsia="en-US"/>
              </w:rPr>
            </w:pPr>
            <w:r>
              <w:rPr>
                <w:lang w:eastAsia="en-US"/>
              </w:rPr>
              <w:t>16</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75DF7D9" w14:textId="77777777" w:rsidR="0039642D" w:rsidRDefault="0039642D">
            <w:pPr>
              <w:pStyle w:val="Teksttabelisrodek"/>
              <w:spacing w:line="276" w:lineRule="auto"/>
              <w:rPr>
                <w:lang w:eastAsia="en-US"/>
              </w:rPr>
            </w:pPr>
            <w:r>
              <w:rPr>
                <w:lang w:eastAsia="en-US"/>
              </w:rPr>
              <w:t>29,1</w:t>
            </w:r>
          </w:p>
        </w:tc>
      </w:tr>
      <w:tr w:rsidR="0039642D" w14:paraId="5C5C1E1C"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592A5DC" w14:textId="77777777" w:rsidR="0039642D" w:rsidRDefault="0039642D" w:rsidP="001E2F4D">
            <w:pPr>
              <w:pStyle w:val="Teksttabelilewy"/>
            </w:pPr>
            <w:r>
              <w:t>GWI</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5F1AFCE" w14:textId="77777777" w:rsidR="0039642D" w:rsidRDefault="0039642D" w:rsidP="001E2A34">
            <w:pPr>
              <w:pStyle w:val="Teksttabelilewy"/>
              <w:ind w:left="57"/>
            </w:pPr>
            <w:r>
              <w:t>Ograniczenie zużycia wody w rolnictwie</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3F2453B" w14:textId="77777777" w:rsidR="0039642D" w:rsidRDefault="0039642D">
            <w:pPr>
              <w:pStyle w:val="Teksttabelisrodek"/>
              <w:spacing w:line="276" w:lineRule="auto"/>
              <w:rPr>
                <w:lang w:eastAsia="en-US"/>
              </w:rPr>
            </w:pPr>
            <w:r>
              <w:rPr>
                <w:lang w:eastAsia="en-US"/>
              </w:rPr>
              <w:t>15</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056C8A4" w14:textId="77777777" w:rsidR="0039642D" w:rsidRDefault="0039642D">
            <w:pPr>
              <w:pStyle w:val="Teksttabelisrodek"/>
              <w:spacing w:line="276" w:lineRule="auto"/>
              <w:rPr>
                <w:lang w:eastAsia="en-US"/>
              </w:rPr>
            </w:pPr>
            <w:r>
              <w:rPr>
                <w:lang w:eastAsia="en-US"/>
              </w:rPr>
              <w:t>27,3</w:t>
            </w:r>
          </w:p>
        </w:tc>
      </w:tr>
      <w:tr w:rsidR="0039642D" w14:paraId="0666AE37"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4FBEC8A" w14:textId="77777777" w:rsidR="0039642D" w:rsidRDefault="0039642D" w:rsidP="001E2F4D">
            <w:pPr>
              <w:pStyle w:val="Teksttabelilewy"/>
            </w:pPr>
            <w:r>
              <w:t>GWI</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FAE5833" w14:textId="77777777" w:rsidR="0039642D" w:rsidRDefault="0039642D" w:rsidP="001E2A34">
            <w:pPr>
              <w:pStyle w:val="Teksttabelilewy"/>
              <w:ind w:left="57"/>
            </w:pPr>
            <w:r>
              <w:t>Opracowanie dodatku do dokumentacji hydrogeologicznej ustalającej zasoby eksploatacyjne ujęcia wód podziemnych</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E7A9636" w14:textId="77777777" w:rsidR="0039642D" w:rsidRDefault="0039642D">
            <w:pPr>
              <w:pStyle w:val="Teksttabelisrodek"/>
              <w:spacing w:line="276" w:lineRule="auto"/>
              <w:rPr>
                <w:lang w:eastAsia="en-US"/>
              </w:rPr>
            </w:pPr>
            <w:r>
              <w:rPr>
                <w:lang w:eastAsia="en-US"/>
              </w:rPr>
              <w:t>16</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FE16EDA" w14:textId="77777777" w:rsidR="0039642D" w:rsidRDefault="0039642D">
            <w:pPr>
              <w:pStyle w:val="Teksttabelisrodek"/>
              <w:spacing w:line="276" w:lineRule="auto"/>
              <w:rPr>
                <w:lang w:eastAsia="en-US"/>
              </w:rPr>
            </w:pPr>
            <w:r>
              <w:rPr>
                <w:lang w:eastAsia="en-US"/>
              </w:rPr>
              <w:t>29,1</w:t>
            </w:r>
          </w:p>
        </w:tc>
      </w:tr>
      <w:tr w:rsidR="0039642D" w14:paraId="2BCAA82D"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C3621C3" w14:textId="77777777" w:rsidR="0039642D" w:rsidRDefault="0039642D" w:rsidP="001E2F4D">
            <w:pPr>
              <w:pStyle w:val="Teksttabelilewy"/>
            </w:pPr>
            <w:r>
              <w:t>GWI</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3BA0F01" w14:textId="77777777" w:rsidR="0039642D" w:rsidRDefault="0039642D" w:rsidP="001E2A34">
            <w:pPr>
              <w:pStyle w:val="Teksttabelilewy"/>
              <w:ind w:left="57"/>
            </w:pPr>
            <w:r>
              <w:t>Opracowanie planu ochrony torfowisk</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3DE790D" w14:textId="77777777" w:rsidR="0039642D" w:rsidRDefault="0039642D">
            <w:pPr>
              <w:pStyle w:val="Teksttabelisrodek"/>
              <w:spacing w:line="276" w:lineRule="auto"/>
              <w:rPr>
                <w:lang w:eastAsia="en-US"/>
              </w:rPr>
            </w:pPr>
            <w:r>
              <w:rPr>
                <w:lang w:eastAsia="en-US"/>
              </w:rPr>
              <w:t>1</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8D6997B" w14:textId="77777777" w:rsidR="0039642D" w:rsidRDefault="0039642D">
            <w:pPr>
              <w:pStyle w:val="Teksttabelisrodek"/>
              <w:spacing w:line="276" w:lineRule="auto"/>
              <w:rPr>
                <w:lang w:eastAsia="en-US"/>
              </w:rPr>
            </w:pPr>
            <w:r>
              <w:rPr>
                <w:lang w:eastAsia="en-US"/>
              </w:rPr>
              <w:t>1,8</w:t>
            </w:r>
          </w:p>
        </w:tc>
      </w:tr>
      <w:tr w:rsidR="0039642D" w14:paraId="1D835CAD"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8A28B6F" w14:textId="77777777" w:rsidR="0039642D" w:rsidRDefault="0039642D" w:rsidP="001E2F4D">
            <w:pPr>
              <w:pStyle w:val="Teksttabelilewy"/>
            </w:pPr>
            <w:r>
              <w:t>GWI</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ECBE6EF" w14:textId="77777777" w:rsidR="0039642D" w:rsidRDefault="0039642D" w:rsidP="00285823">
            <w:pPr>
              <w:pStyle w:val="Teksttabelilewy"/>
              <w:ind w:left="57"/>
            </w:pPr>
            <w:r>
              <w:t>Opracowanie programu monitorowania stanu wód podziemnych w rejonie prowadzonej działalności górniczej</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F672ED9" w14:textId="77777777" w:rsidR="0039642D" w:rsidRDefault="0039642D">
            <w:pPr>
              <w:pStyle w:val="Teksttabelisrodek"/>
              <w:spacing w:line="276" w:lineRule="auto"/>
              <w:rPr>
                <w:lang w:eastAsia="en-US"/>
              </w:rPr>
            </w:pPr>
            <w:r>
              <w:rPr>
                <w:lang w:eastAsia="en-US"/>
              </w:rPr>
              <w:t>1</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47D1460" w14:textId="77777777" w:rsidR="0039642D" w:rsidRDefault="0039642D">
            <w:pPr>
              <w:pStyle w:val="Teksttabelisrodek"/>
              <w:spacing w:line="276" w:lineRule="auto"/>
              <w:rPr>
                <w:lang w:eastAsia="en-US"/>
              </w:rPr>
            </w:pPr>
            <w:r>
              <w:rPr>
                <w:lang w:eastAsia="en-US"/>
              </w:rPr>
              <w:t>1,8</w:t>
            </w:r>
          </w:p>
        </w:tc>
      </w:tr>
      <w:tr w:rsidR="0039642D" w14:paraId="2DDED7ED"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3871C5B" w14:textId="77777777" w:rsidR="0039642D" w:rsidRDefault="0039642D" w:rsidP="001E2F4D">
            <w:pPr>
              <w:pStyle w:val="Teksttabelilewy"/>
            </w:pPr>
            <w:r>
              <w:t>GWIC</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157C227" w14:textId="5BF21569" w:rsidR="0039642D" w:rsidRDefault="0039642D" w:rsidP="00285823">
            <w:pPr>
              <w:pStyle w:val="Teksttabelilewy"/>
              <w:ind w:left="57"/>
            </w:pPr>
            <w:r>
              <w:t xml:space="preserve">Prowadzenie monitoringu w strefie przygranicznej </w:t>
            </w:r>
            <w:r w:rsidR="00093936">
              <w:t>na</w:t>
            </w:r>
            <w:r w:rsidR="0061359B">
              <w:t> </w:t>
            </w:r>
            <w:r>
              <w:t>obszarze zasilania ujęcia Wydrzany</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EC005A5" w14:textId="77777777" w:rsidR="0039642D" w:rsidRDefault="0039642D">
            <w:pPr>
              <w:pStyle w:val="Teksttabelisrodek"/>
              <w:spacing w:line="276" w:lineRule="auto"/>
              <w:rPr>
                <w:lang w:eastAsia="en-US"/>
              </w:rPr>
            </w:pPr>
            <w:r>
              <w:rPr>
                <w:lang w:eastAsia="en-US"/>
              </w:rPr>
              <w:t>1</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7A55C9D" w14:textId="77777777" w:rsidR="0039642D" w:rsidRDefault="0039642D">
            <w:pPr>
              <w:pStyle w:val="Teksttabelisrodek"/>
              <w:spacing w:line="276" w:lineRule="auto"/>
              <w:rPr>
                <w:lang w:eastAsia="en-US"/>
              </w:rPr>
            </w:pPr>
            <w:r>
              <w:rPr>
                <w:lang w:eastAsia="en-US"/>
              </w:rPr>
              <w:t>1,8</w:t>
            </w:r>
          </w:p>
        </w:tc>
      </w:tr>
      <w:tr w:rsidR="0039642D" w14:paraId="4D9018C3"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90E7C02" w14:textId="77777777" w:rsidR="0039642D" w:rsidRDefault="0039642D" w:rsidP="001E2F4D">
            <w:pPr>
              <w:pStyle w:val="Teksttabelilewy"/>
            </w:pPr>
            <w:r>
              <w:t>GWPB</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BB83B8F" w14:textId="784C8293" w:rsidR="0039642D" w:rsidRDefault="0039642D" w:rsidP="00285823">
            <w:pPr>
              <w:pStyle w:val="Teksttabelilewy"/>
              <w:ind w:left="57"/>
            </w:pPr>
            <w:r>
              <w:t xml:space="preserve">Prowadzenie monitoringu wód podziemnych w zakresie zanieczyszczeń związkami chlorowcopochodnymi w rejonie </w:t>
            </w:r>
            <w:r w:rsidRPr="00F1682F">
              <w:t>Z</w:t>
            </w:r>
            <w:r w:rsidR="007E0AC0" w:rsidRPr="00F86241">
              <w:t>akładów Chemiczny</w:t>
            </w:r>
            <w:r w:rsidRPr="00F1682F">
              <w:t>ch</w:t>
            </w:r>
            <w:r>
              <w:t xml:space="preserve"> Tarnowskie Góry</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5D1A6D5" w14:textId="77777777" w:rsidR="0039642D" w:rsidRDefault="0039642D">
            <w:pPr>
              <w:pStyle w:val="Teksttabelisrodek"/>
              <w:spacing w:line="276" w:lineRule="auto"/>
              <w:rPr>
                <w:lang w:eastAsia="en-US"/>
              </w:rPr>
            </w:pPr>
            <w:r>
              <w:rPr>
                <w:lang w:eastAsia="en-US"/>
              </w:rPr>
              <w:t>2</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6F9F09A" w14:textId="77777777" w:rsidR="0039642D" w:rsidRDefault="0039642D">
            <w:pPr>
              <w:pStyle w:val="Teksttabelisrodek"/>
              <w:spacing w:line="276" w:lineRule="auto"/>
              <w:rPr>
                <w:lang w:eastAsia="en-US"/>
              </w:rPr>
            </w:pPr>
            <w:r>
              <w:rPr>
                <w:lang w:eastAsia="en-US"/>
              </w:rPr>
              <w:t>3,6</w:t>
            </w:r>
          </w:p>
        </w:tc>
      </w:tr>
      <w:tr w:rsidR="0039642D" w14:paraId="5684813A"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C12E25C" w14:textId="77777777" w:rsidR="0039642D" w:rsidRDefault="0039642D" w:rsidP="001E2F4D">
            <w:pPr>
              <w:pStyle w:val="Teksttabelilewy"/>
            </w:pPr>
            <w:r>
              <w:t>GWPA</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B829E03" w14:textId="712C36E8" w:rsidR="0039642D" w:rsidRDefault="0039642D" w:rsidP="00285823">
            <w:pPr>
              <w:pStyle w:val="Teksttabelilewy"/>
              <w:ind w:left="57"/>
            </w:pPr>
            <w:r>
              <w:t>Rozpoznanie występowania nowych zanieczyszczeń w</w:t>
            </w:r>
            <w:r w:rsidR="00F1682F">
              <w:t> </w:t>
            </w:r>
            <w:r>
              <w:t>wodach podziemnych</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CF4DAF2" w14:textId="77777777" w:rsidR="0039642D" w:rsidRDefault="0039642D">
            <w:pPr>
              <w:pStyle w:val="Teksttabelisrodek"/>
              <w:spacing w:line="276" w:lineRule="auto"/>
              <w:rPr>
                <w:lang w:eastAsia="en-US"/>
              </w:rPr>
            </w:pPr>
            <w:r>
              <w:rPr>
                <w:lang w:eastAsia="en-US"/>
              </w:rPr>
              <w:t>15</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8802126" w14:textId="77777777" w:rsidR="0039642D" w:rsidRDefault="0039642D">
            <w:pPr>
              <w:pStyle w:val="Teksttabelisrodek"/>
              <w:spacing w:line="276" w:lineRule="auto"/>
              <w:rPr>
                <w:lang w:eastAsia="en-US"/>
              </w:rPr>
            </w:pPr>
            <w:r>
              <w:rPr>
                <w:lang w:eastAsia="en-US"/>
              </w:rPr>
              <w:t>27,3</w:t>
            </w:r>
          </w:p>
        </w:tc>
      </w:tr>
      <w:tr w:rsidR="0039642D" w14:paraId="1001C206"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45E606B" w14:textId="77777777" w:rsidR="0039642D" w:rsidRDefault="0039642D" w:rsidP="001E2F4D">
            <w:pPr>
              <w:pStyle w:val="Teksttabelilewy"/>
            </w:pPr>
            <w:r>
              <w:t>GWI</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3A5B440" w14:textId="77777777" w:rsidR="0039642D" w:rsidRDefault="0039642D" w:rsidP="00285823">
            <w:pPr>
              <w:pStyle w:val="Teksttabelilewy"/>
              <w:ind w:left="57"/>
            </w:pPr>
            <w:r>
              <w:t>Spowolnienie lub zatrzymanie odpływu wód ze zlewni oraz zwiększenie możliwości retencyjnych zlewni</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700CAC0" w14:textId="77777777" w:rsidR="0039642D" w:rsidRDefault="0039642D">
            <w:pPr>
              <w:pStyle w:val="Teksttabelisrodek"/>
              <w:spacing w:line="276" w:lineRule="auto"/>
              <w:rPr>
                <w:lang w:eastAsia="en-US"/>
              </w:rPr>
            </w:pPr>
            <w:r>
              <w:rPr>
                <w:lang w:eastAsia="en-US"/>
              </w:rPr>
              <w:t>23</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46EF6DF" w14:textId="77777777" w:rsidR="0039642D" w:rsidRDefault="0039642D">
            <w:pPr>
              <w:pStyle w:val="Teksttabelisrodek"/>
              <w:spacing w:line="276" w:lineRule="auto"/>
              <w:rPr>
                <w:lang w:eastAsia="en-US"/>
              </w:rPr>
            </w:pPr>
            <w:r>
              <w:rPr>
                <w:lang w:eastAsia="en-US"/>
              </w:rPr>
              <w:t>41,8</w:t>
            </w:r>
          </w:p>
        </w:tc>
      </w:tr>
      <w:tr w:rsidR="0039642D" w14:paraId="12D089E8"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E7D2112" w14:textId="77777777" w:rsidR="0039642D" w:rsidRDefault="0039642D" w:rsidP="001E2F4D">
            <w:pPr>
              <w:pStyle w:val="Teksttabelilewy"/>
            </w:pPr>
            <w:r>
              <w:t>GWPA</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16A6E8F" w14:textId="77777777" w:rsidR="0039642D" w:rsidRDefault="0039642D" w:rsidP="00285823">
            <w:pPr>
              <w:pStyle w:val="Teksttabelilewy"/>
              <w:ind w:left="57"/>
            </w:pPr>
            <w:r>
              <w:t>Szkolenia w zakresie dobrowolnego stosowania Zbioru zaleceń dobrej praktyki rolniczej mającego na celu ochronę wód przed zanieczyszczeniem azotanami pochodzącymi ze źródeł rolniczych</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B200E36" w14:textId="77777777" w:rsidR="0039642D" w:rsidRDefault="0039642D">
            <w:pPr>
              <w:pStyle w:val="Teksttabelisrodek"/>
              <w:spacing w:line="276" w:lineRule="auto"/>
              <w:rPr>
                <w:lang w:eastAsia="en-US"/>
              </w:rPr>
            </w:pPr>
            <w:r>
              <w:rPr>
                <w:lang w:eastAsia="en-US"/>
              </w:rPr>
              <w:t>14</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7CDF22D" w14:textId="77777777" w:rsidR="0039642D" w:rsidRDefault="0039642D">
            <w:pPr>
              <w:pStyle w:val="Teksttabelisrodek"/>
              <w:spacing w:line="276" w:lineRule="auto"/>
              <w:rPr>
                <w:lang w:eastAsia="en-US"/>
              </w:rPr>
            </w:pPr>
            <w:r>
              <w:rPr>
                <w:lang w:eastAsia="en-US"/>
              </w:rPr>
              <w:t>25,5</w:t>
            </w:r>
          </w:p>
        </w:tc>
      </w:tr>
      <w:tr w:rsidR="0039642D" w14:paraId="35C786C1"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5474FC9" w14:textId="77777777" w:rsidR="0039642D" w:rsidRDefault="0039642D" w:rsidP="001E2F4D">
            <w:pPr>
              <w:pStyle w:val="Teksttabelilewy"/>
            </w:pPr>
            <w:r>
              <w:t>GWI</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BCCCF4C" w14:textId="77777777" w:rsidR="0039642D" w:rsidRDefault="0039642D" w:rsidP="00285823">
            <w:pPr>
              <w:pStyle w:val="Teksttabelilewy"/>
              <w:ind w:left="57"/>
            </w:pPr>
            <w:r>
              <w:t>Wdrożenie planu ochrony torfowisk</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B398B6B" w14:textId="77777777" w:rsidR="0039642D" w:rsidRDefault="0039642D">
            <w:pPr>
              <w:pStyle w:val="Teksttabelisrodek"/>
              <w:spacing w:line="276" w:lineRule="auto"/>
              <w:rPr>
                <w:lang w:eastAsia="en-US"/>
              </w:rPr>
            </w:pPr>
            <w:r>
              <w:rPr>
                <w:lang w:eastAsia="en-US"/>
              </w:rPr>
              <w:t>1</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9A68EF7" w14:textId="77777777" w:rsidR="0039642D" w:rsidRDefault="0039642D">
            <w:pPr>
              <w:pStyle w:val="Teksttabelisrodek"/>
              <w:spacing w:line="276" w:lineRule="auto"/>
              <w:rPr>
                <w:lang w:eastAsia="en-US"/>
              </w:rPr>
            </w:pPr>
            <w:r>
              <w:rPr>
                <w:lang w:eastAsia="en-US"/>
              </w:rPr>
              <w:t>1,8</w:t>
            </w:r>
          </w:p>
        </w:tc>
      </w:tr>
      <w:tr w:rsidR="0039642D" w14:paraId="25601338"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289589B" w14:textId="77777777" w:rsidR="0039642D" w:rsidRDefault="0039642D" w:rsidP="001E2F4D">
            <w:pPr>
              <w:pStyle w:val="Teksttabelilewy"/>
            </w:pPr>
            <w:r>
              <w:t>GW</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A18F885" w14:textId="77777777" w:rsidR="0039642D" w:rsidRDefault="0039642D" w:rsidP="00285823">
            <w:pPr>
              <w:pStyle w:val="Teksttabelilewy"/>
              <w:ind w:left="57"/>
            </w:pPr>
            <w:r>
              <w:t>Weryfikacja zasobów dyspozycyjnych wód podziemnych</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B02C15D" w14:textId="77777777" w:rsidR="0039642D" w:rsidRDefault="0039642D">
            <w:pPr>
              <w:pStyle w:val="Teksttabelisrodek"/>
              <w:spacing w:line="276" w:lineRule="auto"/>
              <w:rPr>
                <w:lang w:eastAsia="en-US"/>
              </w:rPr>
            </w:pPr>
            <w:r>
              <w:rPr>
                <w:lang w:eastAsia="en-US"/>
              </w:rPr>
              <w:t>2</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3C0C55B" w14:textId="77777777" w:rsidR="0039642D" w:rsidRDefault="0039642D">
            <w:pPr>
              <w:pStyle w:val="Teksttabelisrodek"/>
              <w:spacing w:line="276" w:lineRule="auto"/>
              <w:rPr>
                <w:lang w:eastAsia="en-US"/>
              </w:rPr>
            </w:pPr>
            <w:r>
              <w:rPr>
                <w:lang w:eastAsia="en-US"/>
              </w:rPr>
              <w:t>3,6</w:t>
            </w:r>
          </w:p>
        </w:tc>
      </w:tr>
      <w:tr w:rsidR="0039642D" w14:paraId="6E2E494A"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1CE190B" w14:textId="77777777" w:rsidR="0039642D" w:rsidRDefault="0039642D" w:rsidP="001E2F4D">
            <w:pPr>
              <w:pStyle w:val="Teksttabelilewy"/>
            </w:pPr>
            <w:r>
              <w:t>GWI</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AA3A2B3" w14:textId="77777777" w:rsidR="0039642D" w:rsidRDefault="0039642D" w:rsidP="00285823">
            <w:pPr>
              <w:pStyle w:val="Teksttabelilewy"/>
              <w:ind w:left="57"/>
            </w:pPr>
            <w:r>
              <w:t>Weryfikacja zasobów eksploatacyjnych ujęć wód podziemnych ustalonych na podstawie dokumentacji hydrogeologicznych wykonanych przed 2004 r.</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2A56F7D" w14:textId="77777777" w:rsidR="0039642D" w:rsidRDefault="0039642D">
            <w:pPr>
              <w:pStyle w:val="Teksttabelisrodek"/>
              <w:spacing w:line="276" w:lineRule="auto"/>
              <w:rPr>
                <w:lang w:eastAsia="en-US"/>
              </w:rPr>
            </w:pPr>
            <w:r>
              <w:rPr>
                <w:lang w:eastAsia="en-US"/>
              </w:rPr>
              <w:t>16</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FB2ECAB" w14:textId="77777777" w:rsidR="0039642D" w:rsidRDefault="0039642D">
            <w:pPr>
              <w:pStyle w:val="Teksttabelisrodek"/>
              <w:spacing w:line="276" w:lineRule="auto"/>
              <w:rPr>
                <w:lang w:eastAsia="en-US"/>
              </w:rPr>
            </w:pPr>
            <w:r>
              <w:rPr>
                <w:lang w:eastAsia="en-US"/>
              </w:rPr>
              <w:t>29,1</w:t>
            </w:r>
          </w:p>
        </w:tc>
      </w:tr>
      <w:tr w:rsidR="0039642D" w14:paraId="69C13BDE"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0BE8EAD" w14:textId="77777777" w:rsidR="0039642D" w:rsidRDefault="0039642D" w:rsidP="001E2F4D">
            <w:pPr>
              <w:pStyle w:val="Teksttabelilewy"/>
            </w:pPr>
            <w:r>
              <w:t>GWI</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97440D1" w14:textId="77777777" w:rsidR="0039642D" w:rsidRDefault="0039642D" w:rsidP="00285823">
            <w:pPr>
              <w:pStyle w:val="Teksttabelilewy"/>
              <w:ind w:left="57"/>
            </w:pPr>
            <w:r>
              <w:t>Wsparcie działań organów administracji w zakresie ustanawiania obszarów ochronnych GZWP</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BE74DB8" w14:textId="77777777" w:rsidR="0039642D" w:rsidRDefault="0039642D">
            <w:pPr>
              <w:pStyle w:val="Teksttabelisrodek"/>
              <w:spacing w:line="276" w:lineRule="auto"/>
              <w:rPr>
                <w:lang w:eastAsia="en-US"/>
              </w:rPr>
            </w:pPr>
            <w:r>
              <w:rPr>
                <w:lang w:eastAsia="en-US"/>
              </w:rPr>
              <w:t>29</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39D6F3D" w14:textId="77777777" w:rsidR="0039642D" w:rsidRDefault="0039642D">
            <w:pPr>
              <w:pStyle w:val="Teksttabelisrodek"/>
              <w:spacing w:line="276" w:lineRule="auto"/>
              <w:rPr>
                <w:lang w:eastAsia="en-US"/>
              </w:rPr>
            </w:pPr>
            <w:r>
              <w:rPr>
                <w:lang w:eastAsia="en-US"/>
              </w:rPr>
              <w:t>50,9</w:t>
            </w:r>
          </w:p>
        </w:tc>
      </w:tr>
      <w:tr w:rsidR="0039642D" w14:paraId="0A2A3E64"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522A325" w14:textId="77777777" w:rsidR="0039642D" w:rsidRDefault="0039642D" w:rsidP="001E2F4D">
            <w:pPr>
              <w:pStyle w:val="Teksttabelilewy"/>
            </w:pPr>
            <w:r>
              <w:t>GWI</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CD980B6" w14:textId="77777777" w:rsidR="0039642D" w:rsidRDefault="0039642D" w:rsidP="00285823">
            <w:pPr>
              <w:pStyle w:val="Teksttabelilewy"/>
              <w:ind w:left="57"/>
            </w:pPr>
            <w:r>
              <w:t>Wykonanie dokumentacji hydrogeologicznej</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F2B776C" w14:textId="77777777" w:rsidR="0039642D" w:rsidRDefault="0039642D">
            <w:pPr>
              <w:pStyle w:val="Teksttabelisrodek"/>
              <w:spacing w:line="276" w:lineRule="auto"/>
              <w:rPr>
                <w:lang w:eastAsia="en-US"/>
              </w:rPr>
            </w:pPr>
            <w:r>
              <w:rPr>
                <w:lang w:eastAsia="en-US"/>
              </w:rPr>
              <w:t>2</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19131A5" w14:textId="77777777" w:rsidR="0039642D" w:rsidRDefault="0039642D">
            <w:pPr>
              <w:pStyle w:val="Teksttabelisrodek"/>
              <w:spacing w:line="276" w:lineRule="auto"/>
              <w:rPr>
                <w:lang w:eastAsia="en-US"/>
              </w:rPr>
            </w:pPr>
            <w:r>
              <w:rPr>
                <w:lang w:eastAsia="en-US"/>
              </w:rPr>
              <w:t>3,6</w:t>
            </w:r>
          </w:p>
        </w:tc>
      </w:tr>
      <w:tr w:rsidR="0039642D" w14:paraId="264357FA"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1A845B1" w14:textId="77777777" w:rsidR="0039642D" w:rsidRDefault="0039642D" w:rsidP="001E2F4D">
            <w:pPr>
              <w:pStyle w:val="Teksttabelilewy"/>
            </w:pPr>
            <w:r>
              <w:t>GWI</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F865616" w14:textId="59E15AEB" w:rsidR="0039642D" w:rsidRDefault="0039642D" w:rsidP="00285823">
            <w:pPr>
              <w:pStyle w:val="Teksttabelilewy"/>
              <w:ind w:left="57"/>
            </w:pPr>
            <w:r>
              <w:t xml:space="preserve">Wykonanie opracowania </w:t>
            </w:r>
            <w:r w:rsidR="0041502F">
              <w:t>„</w:t>
            </w:r>
            <w:r>
              <w:t>Analiza wpływu zaprzestania odwadniania zakładów górniczych na stan wód powierzchniowych i podziemnych</w:t>
            </w:r>
            <w:r w:rsidR="0041502F">
              <w:t>”</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FA1926F" w14:textId="77777777" w:rsidR="0039642D" w:rsidRDefault="0039642D">
            <w:pPr>
              <w:pStyle w:val="Teksttabelisrodek"/>
              <w:spacing w:line="276" w:lineRule="auto"/>
              <w:rPr>
                <w:lang w:eastAsia="en-US"/>
              </w:rPr>
            </w:pPr>
            <w:r>
              <w:rPr>
                <w:lang w:eastAsia="en-US"/>
              </w:rPr>
              <w:t>2</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47BA3AF" w14:textId="77777777" w:rsidR="0039642D" w:rsidRDefault="0039642D">
            <w:pPr>
              <w:pStyle w:val="Teksttabelisrodek"/>
              <w:spacing w:line="276" w:lineRule="auto"/>
              <w:rPr>
                <w:lang w:eastAsia="en-US"/>
              </w:rPr>
            </w:pPr>
            <w:r>
              <w:rPr>
                <w:lang w:eastAsia="en-US"/>
              </w:rPr>
              <w:t>3,6</w:t>
            </w:r>
          </w:p>
        </w:tc>
      </w:tr>
      <w:tr w:rsidR="0039642D" w14:paraId="64603B50" w14:textId="77777777" w:rsidTr="00522E32">
        <w:trPr>
          <w:trHeight w:val="227"/>
        </w:trPr>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092DEC7" w14:textId="77777777" w:rsidR="0039642D" w:rsidRDefault="0039642D" w:rsidP="001E2F4D">
            <w:pPr>
              <w:pStyle w:val="Teksttabelilewy"/>
            </w:pPr>
            <w:r>
              <w:t>GWI</w:t>
            </w:r>
          </w:p>
        </w:tc>
        <w:tc>
          <w:tcPr>
            <w:tcW w:w="27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D791A50" w14:textId="77777777" w:rsidR="0039642D" w:rsidRDefault="0039642D" w:rsidP="00285823">
            <w:pPr>
              <w:pStyle w:val="Teksttabelilewy"/>
              <w:ind w:left="57"/>
            </w:pPr>
            <w:r>
              <w:t>Zwiększanie retencji na obszarach zurbanizowanych</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9F3345F" w14:textId="77777777" w:rsidR="0039642D" w:rsidRDefault="0039642D">
            <w:pPr>
              <w:pStyle w:val="Teksttabelisrodek"/>
              <w:spacing w:line="276" w:lineRule="auto"/>
              <w:rPr>
                <w:lang w:eastAsia="en-US"/>
              </w:rPr>
            </w:pPr>
            <w:r>
              <w:rPr>
                <w:lang w:eastAsia="en-US"/>
              </w:rPr>
              <w:t>5</w:t>
            </w:r>
          </w:p>
        </w:tc>
        <w:tc>
          <w:tcPr>
            <w:tcW w:w="9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22D0688" w14:textId="77777777" w:rsidR="0039642D" w:rsidRDefault="0039642D">
            <w:pPr>
              <w:pStyle w:val="Teksttabelisrodek"/>
              <w:spacing w:line="276" w:lineRule="auto"/>
              <w:rPr>
                <w:lang w:eastAsia="en-US"/>
              </w:rPr>
            </w:pPr>
            <w:r>
              <w:rPr>
                <w:lang w:eastAsia="en-US"/>
              </w:rPr>
              <w:t>9,1</w:t>
            </w:r>
          </w:p>
        </w:tc>
      </w:tr>
    </w:tbl>
    <w:p w14:paraId="5AD056D6" w14:textId="77777777" w:rsidR="0039642D" w:rsidRDefault="0039642D" w:rsidP="0039642D">
      <w:pPr>
        <w:pStyle w:val="rdo"/>
        <w:rPr>
          <w:rFonts w:cs="Calibri"/>
        </w:rPr>
      </w:pPr>
      <w:r>
        <w:t xml:space="preserve">Źródło: opracowanie własne </w:t>
      </w:r>
    </w:p>
    <w:bookmarkEnd w:id="763"/>
    <w:p w14:paraId="05A0235E" w14:textId="60E93329" w:rsidR="0039642D" w:rsidRDefault="0039642D" w:rsidP="0039642D">
      <w:pPr>
        <w:spacing w:after="0"/>
      </w:pPr>
      <w:r>
        <w:t xml:space="preserve">83% ogólnej liczby </w:t>
      </w:r>
      <w:r w:rsidR="00DF005E">
        <w:t>JCWP</w:t>
      </w:r>
      <w:r>
        <w:t xml:space="preserve">d (55 </w:t>
      </w:r>
      <w:r w:rsidR="00DF005E">
        <w:t>JCWP</w:t>
      </w:r>
      <w:r>
        <w:t>d) wymagało zbudowania zestawu działań. Na poniższym wykresie (wykres 12-2</w:t>
      </w:r>
      <w:r w:rsidR="00C86F0E">
        <w:t>7</w:t>
      </w:r>
      <w:r>
        <w:t xml:space="preserve">) przedstawiono informacje o udziale </w:t>
      </w:r>
      <w:r w:rsidR="00DF005E">
        <w:t>JCWP</w:t>
      </w:r>
      <w:r>
        <w:t xml:space="preserve">d z zestawem działań w ogólnej liczbie </w:t>
      </w:r>
      <w:r w:rsidR="00DF005E">
        <w:t>JCWP</w:t>
      </w:r>
      <w:r>
        <w:t xml:space="preserve">d </w:t>
      </w:r>
      <w:r w:rsidR="001D3B79">
        <w:t>na</w:t>
      </w:r>
      <w:r>
        <w:t xml:space="preserve"> obszarze każdego regionu wodnego obszaru dorzecza Odry.</w:t>
      </w:r>
    </w:p>
    <w:p w14:paraId="6B797588" w14:textId="6EC2A4B0" w:rsidR="0039642D" w:rsidRDefault="0039642D" w:rsidP="005842B5">
      <w:bookmarkStart w:id="768" w:name="_Hlk67491037"/>
      <w:r>
        <w:rPr>
          <w:noProof/>
        </w:rPr>
        <w:drawing>
          <wp:inline distT="0" distB="0" distL="0" distR="0" wp14:anchorId="41615C73" wp14:editId="42E21B0F">
            <wp:extent cx="5771515" cy="3620770"/>
            <wp:effectExtent l="0" t="0" r="635" b="17780"/>
            <wp:docPr id="62" name="Wykres 62">
              <a:extLst xmlns:a="http://schemas.openxmlformats.org/drawingml/2006/main">
                <a:ext uri="{FF2B5EF4-FFF2-40B4-BE49-F238E27FC236}">
                  <a16:creationId xmlns:a16="http://schemas.microsoft.com/office/drawing/2014/main" id="{00000000-0008-0000-0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2D9EDEF0" w14:textId="077BDAA0" w:rsidR="0039642D" w:rsidRDefault="0039642D" w:rsidP="00B479EE">
      <w:pPr>
        <w:pStyle w:val="Wykres"/>
      </w:pPr>
      <w:bookmarkStart w:id="769" w:name="_Toc105513036"/>
      <w:r>
        <w:t xml:space="preserve">Wykres </w:t>
      </w:r>
      <w:fldSimple w:instr=" STYLEREF 1 \s ">
        <w:r w:rsidR="001F774D">
          <w:rPr>
            <w:noProof/>
          </w:rPr>
          <w:t>12</w:t>
        </w:r>
      </w:fldSimple>
      <w:r w:rsidR="00FF20D3">
        <w:noBreakHyphen/>
      </w:r>
      <w:fldSimple w:instr=" SEQ Wykres \* ARABIC \s 1 ">
        <w:r w:rsidR="001F774D">
          <w:rPr>
            <w:noProof/>
          </w:rPr>
          <w:t>27</w:t>
        </w:r>
      </w:fldSimple>
      <w:r w:rsidR="002B6022">
        <w:rPr>
          <w:noProof/>
        </w:rPr>
        <w:t>.</w:t>
      </w:r>
      <w:r>
        <w:tab/>
        <w:t xml:space="preserve">Udział </w:t>
      </w:r>
      <w:r w:rsidR="00DF005E">
        <w:t>JCWP</w:t>
      </w:r>
      <w:r>
        <w:t xml:space="preserve">d z przypisanymi zestawami działań w regionach wodnych obszaru dorzecza Odry </w:t>
      </w:r>
      <w:r w:rsidRPr="00AB5553">
        <w:t xml:space="preserve">(część </w:t>
      </w:r>
      <w:r w:rsidR="00DF005E">
        <w:t>JCWP</w:t>
      </w:r>
      <w:r w:rsidRPr="00AB5553">
        <w:t>d położone jest na obszarze dwóch regionów wodnych)</w:t>
      </w:r>
      <w:bookmarkEnd w:id="769"/>
    </w:p>
    <w:bookmarkEnd w:id="768"/>
    <w:p w14:paraId="42DB72D5" w14:textId="77777777" w:rsidR="0039642D" w:rsidRDefault="0039642D" w:rsidP="0039642D">
      <w:pPr>
        <w:pStyle w:val="rdo"/>
      </w:pPr>
      <w:r>
        <w:t>Źródło: opracowanie własne</w:t>
      </w:r>
    </w:p>
    <w:p w14:paraId="77D12074" w14:textId="2E83EAB8" w:rsidR="0039642D" w:rsidRDefault="0039642D" w:rsidP="0039642D">
      <w:r>
        <w:t xml:space="preserve">Łącznie dla 66 </w:t>
      </w:r>
      <w:r w:rsidR="00DF005E">
        <w:t>JCWP</w:t>
      </w:r>
      <w:r>
        <w:t xml:space="preserve">d wydzielonych na obszarze dorzecza Odry przypisano </w:t>
      </w:r>
      <w:r w:rsidR="002D213F">
        <w:t xml:space="preserve">271 </w:t>
      </w:r>
      <w:r w:rsidR="00725A49">
        <w:t>działań</w:t>
      </w:r>
      <w:r>
        <w:t xml:space="preserve">, w zróżnicowanym zakresie dla poszczególnych </w:t>
      </w:r>
      <w:r w:rsidR="00DF005E">
        <w:t>JCWP</w:t>
      </w:r>
      <w:r>
        <w:t xml:space="preserve">d, w tym sumarycznie </w:t>
      </w:r>
      <w:r w:rsidR="00725A49">
        <w:t xml:space="preserve">58 </w:t>
      </w:r>
      <w:r>
        <w:t xml:space="preserve">działań podstawowych oraz </w:t>
      </w:r>
      <w:r w:rsidR="0059000B">
        <w:t xml:space="preserve">213 </w:t>
      </w:r>
      <w:r>
        <w:t>działań uzupełniających (wykres 12-2</w:t>
      </w:r>
      <w:r w:rsidR="00C86F0E">
        <w:t>8</w:t>
      </w:r>
      <w:r>
        <w:t xml:space="preserve">). W tej liczbie </w:t>
      </w:r>
      <w:r w:rsidR="0059000B">
        <w:t xml:space="preserve">63 </w:t>
      </w:r>
      <w:r>
        <w:t>to działania kontynuowane z aPGW, zaś 2</w:t>
      </w:r>
      <w:r w:rsidR="0059000B">
        <w:t>08</w:t>
      </w:r>
      <w:r>
        <w:t xml:space="preserve"> to działania nowe, dotychczas nie </w:t>
      </w:r>
      <w:r>
        <w:rPr>
          <w:rFonts w:eastAsia="Times New Roman"/>
        </w:rPr>
        <w:t>realizowane</w:t>
      </w:r>
      <w:r>
        <w:t>. Zdecydowana większość działań ma charakter nietechniczny (</w:t>
      </w:r>
      <w:r w:rsidR="001C2F07">
        <w:t xml:space="preserve">233 </w:t>
      </w:r>
      <w:r>
        <w:t xml:space="preserve">działania). Działania techniczne (w łącznej liczbie </w:t>
      </w:r>
      <w:r w:rsidR="001C2F07">
        <w:t>38</w:t>
      </w:r>
      <w:r>
        <w:t>) w większości przypadków związane są z budową lub modernizacją ujęć wód podziemnych, a także ze stosowaniem działań ze </w:t>
      </w:r>
      <w:r w:rsidRPr="001E2A34">
        <w:t>Zbioru zaleceń dobrej praktyki rolniczej</w:t>
      </w:r>
      <w:r w:rsidR="00497387">
        <w:rPr>
          <w:i/>
          <w:iCs/>
        </w:rPr>
        <w:t xml:space="preserve"> </w:t>
      </w:r>
      <w:r w:rsidR="00497387">
        <w:t>opracowanego w 2019 roku</w:t>
      </w:r>
      <w:r w:rsidR="00E27D13">
        <w:t xml:space="preserve"> dla</w:t>
      </w:r>
      <w:r w:rsidR="00073D7C">
        <w:t xml:space="preserve"> </w:t>
      </w:r>
      <w:r w:rsidR="00E27D13">
        <w:t>potr</w:t>
      </w:r>
      <w:r w:rsidR="00073D7C">
        <w:t>z</w:t>
      </w:r>
      <w:r w:rsidR="00E27D13">
        <w:t>eb MRi</w:t>
      </w:r>
      <w:r w:rsidR="00073D7C">
        <w:t>RW</w:t>
      </w:r>
      <w:r>
        <w:t>. W odniesieniu do rodzaju presji najwięcej działań ukierunkowanych jest na redukcję presji ilościowej (</w:t>
      </w:r>
      <w:r w:rsidR="00F37E52">
        <w:t xml:space="preserve">137 </w:t>
      </w:r>
      <w:r>
        <w:t>działań) oraz presji chemicznej (</w:t>
      </w:r>
      <w:r w:rsidR="00942C68">
        <w:t>79 </w:t>
      </w:r>
      <w:r>
        <w:t>działań). Z</w:t>
      </w:r>
      <w:r w:rsidR="00727C8D">
        <w:t> </w:t>
      </w:r>
      <w:r>
        <w:t>presją chemiczną typu A związane są 43 działania, zaś z presją chemiczną typu B 9 działań. Najmniej działań ukierunkowanych jest na redukcję zarówno presji ilościowej, jak i chemicznej (3 działania).</w:t>
      </w:r>
    </w:p>
    <w:p w14:paraId="4583F03E" w14:textId="3801EEBB" w:rsidR="00FB0103" w:rsidRDefault="00EF1A6C" w:rsidP="00B479EE">
      <w:pPr>
        <w:pStyle w:val="Wykres"/>
      </w:pPr>
      <w:bookmarkStart w:id="770" w:name="_Toc66706873"/>
      <w:r>
        <w:rPr>
          <w:noProof/>
        </w:rPr>
        <w:drawing>
          <wp:inline distT="0" distB="0" distL="0" distR="0" wp14:anchorId="3D304690" wp14:editId="09F10078">
            <wp:extent cx="5760720" cy="3359150"/>
            <wp:effectExtent l="0" t="0" r="11430" b="12700"/>
            <wp:docPr id="1866059332" name="Wykres 1866059332">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4F877B75" w14:textId="357EEBAA" w:rsidR="0039642D" w:rsidRDefault="0039642D" w:rsidP="00B479EE">
      <w:pPr>
        <w:pStyle w:val="Wykres"/>
      </w:pPr>
      <w:bookmarkStart w:id="771" w:name="_Toc105513037"/>
      <w:r>
        <w:t xml:space="preserve">Wykres </w:t>
      </w:r>
      <w:fldSimple w:instr=" STYLEREF 1 \s ">
        <w:r w:rsidR="001F774D">
          <w:rPr>
            <w:noProof/>
          </w:rPr>
          <w:t>12</w:t>
        </w:r>
      </w:fldSimple>
      <w:r w:rsidR="00FF20D3">
        <w:noBreakHyphen/>
      </w:r>
      <w:fldSimple w:instr=" SEQ Wykres \* ARABIC \s 1 ">
        <w:r w:rsidR="001F774D">
          <w:rPr>
            <w:noProof/>
          </w:rPr>
          <w:t>28</w:t>
        </w:r>
      </w:fldSimple>
      <w:r w:rsidR="002B6022">
        <w:rPr>
          <w:noProof/>
        </w:rPr>
        <w:t>.</w:t>
      </w:r>
      <w:r>
        <w:tab/>
        <w:t xml:space="preserve">Podział działań w zestawie dla </w:t>
      </w:r>
      <w:r w:rsidR="00DF005E">
        <w:t>JCWP</w:t>
      </w:r>
      <w:r>
        <w:t>d (GW) dla obszaru dorzecza Odry</w:t>
      </w:r>
      <w:bookmarkEnd w:id="770"/>
      <w:bookmarkEnd w:id="771"/>
    </w:p>
    <w:p w14:paraId="1B980F9F" w14:textId="77777777" w:rsidR="0039642D" w:rsidRDefault="0039642D" w:rsidP="0039642D">
      <w:pPr>
        <w:pStyle w:val="rdo"/>
      </w:pPr>
      <w:r>
        <w:t>Źródło: opracowanie własne</w:t>
      </w:r>
    </w:p>
    <w:p w14:paraId="022FD115" w14:textId="5CDF47AB" w:rsidR="0044636E" w:rsidRPr="00795F17" w:rsidRDefault="0039642D" w:rsidP="0039642D">
      <w:r>
        <w:rPr>
          <w:rFonts w:eastAsia="Times New Roman" w:cs="Calibri"/>
        </w:rPr>
        <w:t xml:space="preserve">Informacje o działaniach zaplanowanych dla danej </w:t>
      </w:r>
      <w:r w:rsidR="00DF005E">
        <w:rPr>
          <w:rFonts w:eastAsia="Times New Roman" w:cs="Calibri"/>
        </w:rPr>
        <w:t>JCWP</w:t>
      </w:r>
      <w:r>
        <w:rPr>
          <w:rFonts w:eastAsia="Times New Roman" w:cs="Calibri"/>
        </w:rPr>
        <w:t xml:space="preserve">d uwzględnione zostały w załączniku nr </w:t>
      </w:r>
      <w:r w:rsidR="0071152C">
        <w:rPr>
          <w:rFonts w:eastAsia="Times New Roman" w:cs="Calibri"/>
        </w:rPr>
        <w:t>17</w:t>
      </w:r>
      <w:r>
        <w:rPr>
          <w:rFonts w:eastAsia="Times New Roman" w:cs="Calibri"/>
        </w:rPr>
        <w:t xml:space="preserve"> (Zestaw działań </w:t>
      </w:r>
      <w:r w:rsidR="00DF005E">
        <w:rPr>
          <w:rFonts w:eastAsia="Times New Roman" w:cs="Calibri"/>
        </w:rPr>
        <w:t>JCWP</w:t>
      </w:r>
      <w:r>
        <w:rPr>
          <w:rFonts w:eastAsia="Times New Roman" w:cs="Calibri"/>
        </w:rPr>
        <w:t xml:space="preserve">d). Zobrazowanie przestrzenne </w:t>
      </w:r>
      <w:r w:rsidR="00DF005E">
        <w:rPr>
          <w:rFonts w:eastAsia="Times New Roman" w:cs="Calibri"/>
        </w:rPr>
        <w:t>JCWP</w:t>
      </w:r>
      <w:r>
        <w:rPr>
          <w:rFonts w:eastAsia="Times New Roman" w:cs="Calibri"/>
        </w:rPr>
        <w:t xml:space="preserve">d </w:t>
      </w:r>
      <w:r w:rsidR="00CF4D30">
        <w:rPr>
          <w:rFonts w:eastAsia="Times New Roman" w:cs="Calibri"/>
        </w:rPr>
        <w:t>na</w:t>
      </w:r>
      <w:r>
        <w:rPr>
          <w:rFonts w:eastAsia="Times New Roman" w:cs="Calibri"/>
        </w:rPr>
        <w:t xml:space="preserve"> obszarze dorzecza Odry z przypisanym zestawem działań </w:t>
      </w:r>
      <w:r w:rsidR="00064AE0">
        <w:rPr>
          <w:rFonts w:eastAsia="Times New Roman" w:cs="Calibri"/>
        </w:rPr>
        <w:t>prezentuje załącznik</w:t>
      </w:r>
      <w:r>
        <w:rPr>
          <w:rFonts w:eastAsia="Times New Roman" w:cs="Calibri"/>
        </w:rPr>
        <w:t xml:space="preserve"> graficzny </w:t>
      </w:r>
      <w:r w:rsidR="002B4612">
        <w:rPr>
          <w:rFonts w:eastAsia="Times New Roman" w:cs="Calibri"/>
        </w:rPr>
        <w:t xml:space="preserve">nr </w:t>
      </w:r>
      <w:r w:rsidR="00D24098">
        <w:rPr>
          <w:rFonts w:eastAsia="Times New Roman" w:cs="Calibri"/>
        </w:rPr>
        <w:t>62</w:t>
      </w:r>
      <w:r>
        <w:rPr>
          <w:rFonts w:eastAsia="Times New Roman" w:cs="Calibri"/>
        </w:rPr>
        <w:t>.</w:t>
      </w:r>
    </w:p>
    <w:p w14:paraId="7F74D2C4" w14:textId="322B30B9" w:rsidR="0044636E" w:rsidRPr="00795F17" w:rsidRDefault="0044636E" w:rsidP="00C53C86">
      <w:pPr>
        <w:pStyle w:val="Nagwek2"/>
      </w:pPr>
      <w:bookmarkStart w:id="772" w:name="_Toc66347825"/>
      <w:bookmarkStart w:id="773" w:name="_Toc105512708"/>
      <w:bookmarkStart w:id="774" w:name="_Hlk67444208"/>
      <w:r w:rsidRPr="00795F17">
        <w:t>Koszty zestawu działań</w:t>
      </w:r>
      <w:bookmarkEnd w:id="772"/>
      <w:bookmarkEnd w:id="773"/>
    </w:p>
    <w:p w14:paraId="0E12AC7B" w14:textId="6FFDBD3D" w:rsidR="00E7049B" w:rsidRDefault="00E7049B" w:rsidP="00E7049B">
      <w:r>
        <w:t xml:space="preserve">Łączne koszty zestawu działań </w:t>
      </w:r>
      <w:r w:rsidR="00CF4D30">
        <w:t>na</w:t>
      </w:r>
      <w:r>
        <w:t xml:space="preserve"> obszarze </w:t>
      </w:r>
      <w:r w:rsidR="004F6C1C">
        <w:t xml:space="preserve">dorzecza Odry wynoszą </w:t>
      </w:r>
      <w:r w:rsidR="004F6C1C" w:rsidRPr="00204F0F">
        <w:t>7</w:t>
      </w:r>
      <w:r w:rsidR="004F6C1C">
        <w:t xml:space="preserve"> </w:t>
      </w:r>
      <w:r w:rsidR="004F6C1C" w:rsidRPr="00204F0F">
        <w:t>714,23</w:t>
      </w:r>
      <w:r w:rsidR="004F6C1C">
        <w:t xml:space="preserve"> mln zł. Najwięcej kosztów ponoszonych będzie w regionie wodnym Środkowej Odry (31%), Warty (23%) oraz Górnej Odry (16%). 84% stanowią nakłady w ramach jcw RW, a 14,6% oraz 0,59% dotyczy odpowiednio </w:t>
      </w:r>
      <w:r w:rsidR="00DF005E">
        <w:t>JCWP</w:t>
      </w:r>
      <w:r w:rsidR="004F6C1C">
        <w:t>d oraz jcw LW. Szczegółowe koszty zestawu działań na obszarze dorzecza Odry prezentują poniższe tabele.</w:t>
      </w:r>
    </w:p>
    <w:p w14:paraId="7D6FB3CF" w14:textId="7BB742C3" w:rsidR="00E7049B" w:rsidRDefault="00E7049B" w:rsidP="004D7705">
      <w:pPr>
        <w:pStyle w:val="Tabela"/>
        <w:rPr>
          <w:szCs w:val="20"/>
        </w:rPr>
      </w:pPr>
      <w:bookmarkStart w:id="775" w:name="_Toc66341954"/>
      <w:bookmarkStart w:id="776" w:name="_Toc67652437"/>
      <w:bookmarkStart w:id="777" w:name="_Toc105512882"/>
      <w:r>
        <w:t xml:space="preserve">Tabela </w:t>
      </w:r>
      <w:fldSimple w:instr=" STYLEREF 1 \s ">
        <w:r w:rsidR="001F774D">
          <w:rPr>
            <w:noProof/>
          </w:rPr>
          <w:t>12</w:t>
        </w:r>
      </w:fldSimple>
      <w:r>
        <w:noBreakHyphen/>
      </w:r>
      <w:fldSimple w:instr=" SEQ Tabela \* ARABIC \s 1 ">
        <w:r w:rsidR="001F774D">
          <w:rPr>
            <w:noProof/>
          </w:rPr>
          <w:t>13</w:t>
        </w:r>
      </w:fldSimple>
      <w:r w:rsidR="000B5450">
        <w:rPr>
          <w:noProof/>
        </w:rPr>
        <w:t>.</w:t>
      </w:r>
      <w:r>
        <w:tab/>
      </w:r>
      <w:r>
        <w:rPr>
          <w:szCs w:val="20"/>
        </w:rPr>
        <w:t xml:space="preserve">Koszty zestawu działań </w:t>
      </w:r>
      <w:r w:rsidR="00AF547B">
        <w:rPr>
          <w:szCs w:val="20"/>
        </w:rPr>
        <w:t>na</w:t>
      </w:r>
      <w:r>
        <w:rPr>
          <w:szCs w:val="20"/>
        </w:rPr>
        <w:t xml:space="preserve"> obszarze dorzecza Odry (w tys. zł)</w:t>
      </w:r>
      <w:bookmarkEnd w:id="775"/>
      <w:bookmarkEnd w:id="776"/>
      <w:bookmarkEnd w:id="7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31"/>
        <w:gridCol w:w="1667"/>
        <w:gridCol w:w="1702"/>
        <w:gridCol w:w="1417"/>
        <w:gridCol w:w="1135"/>
        <w:gridCol w:w="1410"/>
      </w:tblGrid>
      <w:tr w:rsidR="00E7049B" w14:paraId="2EC5B158" w14:textId="77777777" w:rsidTr="00A94587">
        <w:trPr>
          <w:trHeight w:val="454"/>
          <w:tblHeader/>
        </w:trPr>
        <w:tc>
          <w:tcPr>
            <w:tcW w:w="955" w:type="pct"/>
            <w:shd w:val="clear" w:color="auto" w:fill="BFBFBF" w:themeFill="background1" w:themeFillShade="BF"/>
            <w:vAlign w:val="center"/>
            <w:hideMark/>
          </w:tcPr>
          <w:p w14:paraId="41521731" w14:textId="77777777" w:rsidR="00E7049B" w:rsidRDefault="00E7049B" w:rsidP="003F3F8F">
            <w:pPr>
              <w:pStyle w:val="Teksttabelinaglowek"/>
              <w:spacing w:line="257" w:lineRule="auto"/>
              <w:ind w:left="57"/>
              <w:rPr>
                <w:rFonts w:ascii="Segoe UI" w:hAnsi="Segoe UI" w:cs="Segoe UI"/>
                <w:sz w:val="18"/>
                <w:szCs w:val="18"/>
                <w:lang w:eastAsia="en-US"/>
              </w:rPr>
            </w:pPr>
            <w:r>
              <w:rPr>
                <w:lang w:eastAsia="en-US"/>
              </w:rPr>
              <w:t>Region wodny</w:t>
            </w:r>
          </w:p>
        </w:tc>
        <w:tc>
          <w:tcPr>
            <w:tcW w:w="920" w:type="pct"/>
            <w:shd w:val="clear" w:color="auto" w:fill="BFBFBF" w:themeFill="background1" w:themeFillShade="BF"/>
            <w:vAlign w:val="center"/>
            <w:hideMark/>
          </w:tcPr>
          <w:p w14:paraId="05508A8C" w14:textId="77777777" w:rsidR="00E7049B" w:rsidRDefault="00E7049B">
            <w:pPr>
              <w:pStyle w:val="Teksttabelinaglowek"/>
              <w:spacing w:line="256" w:lineRule="auto"/>
              <w:rPr>
                <w:rFonts w:ascii="Segoe UI" w:hAnsi="Segoe UI" w:cs="Segoe UI"/>
                <w:sz w:val="18"/>
                <w:szCs w:val="18"/>
                <w:lang w:eastAsia="en-US"/>
              </w:rPr>
            </w:pPr>
            <w:r>
              <w:rPr>
                <w:lang w:eastAsia="en-US"/>
              </w:rPr>
              <w:t>RAZEM</w:t>
            </w:r>
          </w:p>
        </w:tc>
        <w:tc>
          <w:tcPr>
            <w:tcW w:w="939" w:type="pct"/>
            <w:shd w:val="clear" w:color="auto" w:fill="BFBFBF" w:themeFill="background1" w:themeFillShade="BF"/>
            <w:vAlign w:val="center"/>
            <w:hideMark/>
          </w:tcPr>
          <w:p w14:paraId="7DDFC4DE" w14:textId="2895AE5A" w:rsidR="00E7049B" w:rsidRDefault="00DF005E">
            <w:pPr>
              <w:pStyle w:val="Teksttabelinaglowek"/>
              <w:spacing w:line="256" w:lineRule="auto"/>
              <w:rPr>
                <w:rFonts w:ascii="Segoe UI" w:hAnsi="Segoe UI" w:cs="Segoe UI"/>
                <w:sz w:val="18"/>
                <w:szCs w:val="18"/>
                <w:lang w:eastAsia="en-US"/>
              </w:rPr>
            </w:pPr>
            <w:r>
              <w:rPr>
                <w:lang w:eastAsia="en-US"/>
              </w:rPr>
              <w:t>JCWP</w:t>
            </w:r>
            <w:r w:rsidR="00E7049B">
              <w:rPr>
                <w:lang w:eastAsia="en-US"/>
              </w:rPr>
              <w:t xml:space="preserve"> RW</w:t>
            </w:r>
          </w:p>
        </w:tc>
        <w:tc>
          <w:tcPr>
            <w:tcW w:w="782" w:type="pct"/>
            <w:shd w:val="clear" w:color="auto" w:fill="BFBFBF" w:themeFill="background1" w:themeFillShade="BF"/>
            <w:vAlign w:val="center"/>
            <w:hideMark/>
          </w:tcPr>
          <w:p w14:paraId="0C9078B4" w14:textId="0D6F5593" w:rsidR="00E7049B" w:rsidRDefault="00DF005E">
            <w:pPr>
              <w:pStyle w:val="Teksttabelinaglowek"/>
              <w:spacing w:line="256" w:lineRule="auto"/>
              <w:rPr>
                <w:rFonts w:ascii="Segoe UI" w:hAnsi="Segoe UI" w:cs="Segoe UI"/>
                <w:sz w:val="18"/>
                <w:szCs w:val="18"/>
                <w:lang w:eastAsia="en-US"/>
              </w:rPr>
            </w:pPr>
            <w:r>
              <w:rPr>
                <w:lang w:eastAsia="en-US"/>
              </w:rPr>
              <w:t>JCWP</w:t>
            </w:r>
            <w:r w:rsidR="00E7049B">
              <w:rPr>
                <w:lang w:eastAsia="en-US"/>
              </w:rPr>
              <w:t xml:space="preserve"> LW</w:t>
            </w:r>
          </w:p>
        </w:tc>
        <w:tc>
          <w:tcPr>
            <w:tcW w:w="626" w:type="pct"/>
            <w:shd w:val="clear" w:color="auto" w:fill="BFBFBF" w:themeFill="background1" w:themeFillShade="BF"/>
            <w:vAlign w:val="center"/>
            <w:hideMark/>
          </w:tcPr>
          <w:p w14:paraId="1D735534" w14:textId="481FB213" w:rsidR="00E7049B" w:rsidRDefault="00DF005E">
            <w:pPr>
              <w:pStyle w:val="Teksttabelinaglowek"/>
              <w:spacing w:line="256" w:lineRule="auto"/>
              <w:rPr>
                <w:rFonts w:ascii="Segoe UI" w:hAnsi="Segoe UI" w:cs="Segoe UI"/>
                <w:sz w:val="18"/>
                <w:szCs w:val="18"/>
                <w:lang w:eastAsia="en-US"/>
              </w:rPr>
            </w:pPr>
            <w:r>
              <w:rPr>
                <w:lang w:eastAsia="en-US"/>
              </w:rPr>
              <w:t>JCWP</w:t>
            </w:r>
            <w:r w:rsidR="00E7049B">
              <w:rPr>
                <w:lang w:eastAsia="en-US"/>
              </w:rPr>
              <w:t xml:space="preserve"> RWr</w:t>
            </w:r>
          </w:p>
        </w:tc>
        <w:tc>
          <w:tcPr>
            <w:tcW w:w="778" w:type="pct"/>
            <w:shd w:val="clear" w:color="auto" w:fill="BFBFBF" w:themeFill="background1" w:themeFillShade="BF"/>
            <w:vAlign w:val="center"/>
            <w:hideMark/>
          </w:tcPr>
          <w:p w14:paraId="6C986E20" w14:textId="18007FF0" w:rsidR="00E7049B" w:rsidRDefault="00DF005E">
            <w:pPr>
              <w:pStyle w:val="Teksttabelinaglowek"/>
              <w:spacing w:line="256" w:lineRule="auto"/>
              <w:rPr>
                <w:rFonts w:ascii="Segoe UI" w:hAnsi="Segoe UI" w:cs="Segoe UI"/>
                <w:sz w:val="18"/>
                <w:szCs w:val="18"/>
                <w:lang w:eastAsia="en-US"/>
              </w:rPr>
            </w:pPr>
            <w:r>
              <w:rPr>
                <w:lang w:eastAsia="en-US"/>
              </w:rPr>
              <w:t>JCWP</w:t>
            </w:r>
            <w:r w:rsidR="00E7049B">
              <w:rPr>
                <w:lang w:eastAsia="en-US"/>
              </w:rPr>
              <w:t xml:space="preserve"> TW i CW</w:t>
            </w:r>
          </w:p>
        </w:tc>
      </w:tr>
      <w:tr w:rsidR="00AE4F03" w14:paraId="317F5281" w14:textId="77777777" w:rsidTr="00A94587">
        <w:trPr>
          <w:trHeight w:val="454"/>
        </w:trPr>
        <w:tc>
          <w:tcPr>
            <w:tcW w:w="955" w:type="pct"/>
            <w:vAlign w:val="center"/>
          </w:tcPr>
          <w:p w14:paraId="78DBF428" w14:textId="36F75B7A" w:rsidR="00AE4F03" w:rsidRDefault="00AE4F03" w:rsidP="00AE4F03">
            <w:pPr>
              <w:pStyle w:val="Teksttabelilewy"/>
              <w:spacing w:line="257" w:lineRule="auto"/>
              <w:ind w:left="57"/>
              <w:rPr>
                <w:lang w:eastAsia="pl-PL"/>
              </w:rPr>
            </w:pPr>
            <w:r>
              <w:rPr>
                <w:lang w:eastAsia="pl-PL"/>
              </w:rPr>
              <w:t>Dolnej Odry i Przymorza Zachodniego</w:t>
            </w:r>
          </w:p>
        </w:tc>
        <w:tc>
          <w:tcPr>
            <w:tcW w:w="920" w:type="pct"/>
            <w:vAlign w:val="center"/>
          </w:tcPr>
          <w:p w14:paraId="2932AC2D" w14:textId="0DA8E715" w:rsidR="00AE4F03" w:rsidRPr="003F3F8F" w:rsidRDefault="00AE4F03" w:rsidP="00AE4F03">
            <w:pPr>
              <w:pStyle w:val="Teksttabelisrodek"/>
              <w:spacing w:line="256" w:lineRule="auto"/>
              <w:rPr>
                <w:rFonts w:eastAsiaTheme="minorHAnsi" w:cs="Calibri"/>
                <w:color w:val="000000"/>
                <w:szCs w:val="20"/>
                <w:lang w:eastAsia="en-US"/>
              </w:rPr>
            </w:pPr>
            <w:r>
              <w:rPr>
                <w:rFonts w:cs="Calibri"/>
                <w:color w:val="000000"/>
                <w:szCs w:val="20"/>
              </w:rPr>
              <w:t>746 169,14</w:t>
            </w:r>
          </w:p>
        </w:tc>
        <w:tc>
          <w:tcPr>
            <w:tcW w:w="939" w:type="pct"/>
            <w:vAlign w:val="center"/>
          </w:tcPr>
          <w:p w14:paraId="180407C0" w14:textId="10BDBFA3" w:rsidR="00AE4F03" w:rsidRPr="003F3F8F" w:rsidRDefault="00AE4F03" w:rsidP="00AE4F03">
            <w:pPr>
              <w:pStyle w:val="Teksttabelisrodek"/>
              <w:spacing w:line="256" w:lineRule="auto"/>
              <w:rPr>
                <w:rFonts w:eastAsiaTheme="minorHAnsi" w:cs="Calibri"/>
                <w:color w:val="000000"/>
                <w:szCs w:val="20"/>
                <w:lang w:eastAsia="en-US"/>
              </w:rPr>
            </w:pPr>
            <w:r>
              <w:rPr>
                <w:rFonts w:cs="Calibri"/>
                <w:color w:val="000000"/>
                <w:szCs w:val="20"/>
              </w:rPr>
              <w:t>712 018,11</w:t>
            </w:r>
          </w:p>
        </w:tc>
        <w:tc>
          <w:tcPr>
            <w:tcW w:w="782" w:type="pct"/>
            <w:vAlign w:val="center"/>
          </w:tcPr>
          <w:p w14:paraId="6DAA1C93" w14:textId="3753641C" w:rsidR="00AE4F03" w:rsidRPr="003F3F8F" w:rsidRDefault="00AE4F03" w:rsidP="00AE4F03">
            <w:pPr>
              <w:pStyle w:val="Teksttabelisrodek"/>
              <w:spacing w:line="256" w:lineRule="auto"/>
              <w:rPr>
                <w:rFonts w:eastAsiaTheme="minorHAnsi" w:cs="Calibri"/>
                <w:color w:val="000000"/>
                <w:szCs w:val="20"/>
                <w:lang w:eastAsia="en-US"/>
              </w:rPr>
            </w:pPr>
            <w:r>
              <w:rPr>
                <w:rFonts w:cs="Calibri"/>
                <w:color w:val="000000"/>
                <w:szCs w:val="20"/>
              </w:rPr>
              <w:t>6 991,03</w:t>
            </w:r>
          </w:p>
        </w:tc>
        <w:tc>
          <w:tcPr>
            <w:tcW w:w="626" w:type="pct"/>
            <w:vAlign w:val="center"/>
          </w:tcPr>
          <w:p w14:paraId="32172CB6" w14:textId="15206718" w:rsidR="00AE4F03" w:rsidRPr="003F3F8F" w:rsidRDefault="00AE4F03" w:rsidP="00AE4F03">
            <w:pPr>
              <w:pStyle w:val="Teksttabelisrodek"/>
              <w:spacing w:line="256" w:lineRule="auto"/>
              <w:rPr>
                <w:rFonts w:eastAsiaTheme="minorHAnsi" w:cs="Calibri"/>
                <w:color w:val="000000"/>
                <w:szCs w:val="20"/>
                <w:lang w:eastAsia="en-US"/>
              </w:rPr>
            </w:pPr>
            <w:r>
              <w:rPr>
                <w:rFonts w:cs="Calibri"/>
                <w:color w:val="000000"/>
                <w:szCs w:val="20"/>
              </w:rPr>
              <w:t>0,00</w:t>
            </w:r>
          </w:p>
        </w:tc>
        <w:tc>
          <w:tcPr>
            <w:tcW w:w="778" w:type="pct"/>
            <w:vAlign w:val="center"/>
          </w:tcPr>
          <w:p w14:paraId="3E1B1EF4" w14:textId="3650D003" w:rsidR="00AE4F03" w:rsidRPr="003F3F8F" w:rsidRDefault="00AE4F03" w:rsidP="00AE4F03">
            <w:pPr>
              <w:pStyle w:val="Teksttabelisrodek"/>
              <w:spacing w:line="256" w:lineRule="auto"/>
              <w:rPr>
                <w:rFonts w:eastAsiaTheme="minorHAnsi" w:cs="Calibri"/>
                <w:color w:val="000000"/>
                <w:szCs w:val="20"/>
                <w:lang w:eastAsia="en-US"/>
              </w:rPr>
            </w:pPr>
            <w:r>
              <w:rPr>
                <w:rFonts w:cs="Calibri"/>
                <w:color w:val="000000"/>
                <w:szCs w:val="20"/>
              </w:rPr>
              <w:t>27 160,00</w:t>
            </w:r>
          </w:p>
        </w:tc>
      </w:tr>
      <w:tr w:rsidR="00AE4F03" w14:paraId="1BD7539C" w14:textId="77777777" w:rsidTr="00A94587">
        <w:trPr>
          <w:trHeight w:val="454"/>
        </w:trPr>
        <w:tc>
          <w:tcPr>
            <w:tcW w:w="955" w:type="pct"/>
            <w:vAlign w:val="center"/>
          </w:tcPr>
          <w:p w14:paraId="71315036" w14:textId="59ABD379" w:rsidR="00AE4F03" w:rsidRDefault="00AE4F03" w:rsidP="00AE4F03">
            <w:pPr>
              <w:pStyle w:val="Teksttabelilewy"/>
              <w:spacing w:line="257" w:lineRule="auto"/>
              <w:ind w:left="57"/>
              <w:rPr>
                <w:rFonts w:ascii="Segoe UI" w:hAnsi="Segoe UI" w:cs="Segoe UI"/>
                <w:sz w:val="18"/>
                <w:szCs w:val="18"/>
                <w:lang w:eastAsia="pl-PL"/>
              </w:rPr>
            </w:pPr>
            <w:r>
              <w:rPr>
                <w:lang w:eastAsia="pl-PL"/>
              </w:rPr>
              <w:t>Górnej Odry</w:t>
            </w:r>
          </w:p>
        </w:tc>
        <w:tc>
          <w:tcPr>
            <w:tcW w:w="920" w:type="pct"/>
            <w:vAlign w:val="center"/>
          </w:tcPr>
          <w:p w14:paraId="0BDF2041" w14:textId="63345777" w:rsidR="00AE4F03" w:rsidRDefault="00AE4F03" w:rsidP="00AE4F03">
            <w:pPr>
              <w:pStyle w:val="Teksttabelisrodek"/>
              <w:spacing w:line="256" w:lineRule="auto"/>
              <w:rPr>
                <w:rFonts w:ascii="Segoe UI" w:hAnsi="Segoe UI" w:cs="Segoe UI"/>
                <w:sz w:val="18"/>
                <w:szCs w:val="18"/>
                <w:lang w:eastAsia="en-US"/>
              </w:rPr>
            </w:pPr>
            <w:r>
              <w:rPr>
                <w:rFonts w:cs="Calibri"/>
                <w:color w:val="000000"/>
                <w:szCs w:val="20"/>
              </w:rPr>
              <w:t>1 202 140,07</w:t>
            </w:r>
          </w:p>
        </w:tc>
        <w:tc>
          <w:tcPr>
            <w:tcW w:w="939" w:type="pct"/>
            <w:vAlign w:val="center"/>
          </w:tcPr>
          <w:p w14:paraId="09E5222D" w14:textId="7642D208" w:rsidR="00AE4F03" w:rsidRDefault="00AE4F03" w:rsidP="00AE4F03">
            <w:pPr>
              <w:pStyle w:val="Teksttabelisrodek"/>
              <w:spacing w:line="256" w:lineRule="auto"/>
              <w:rPr>
                <w:rFonts w:ascii="Segoe UI" w:hAnsi="Segoe UI" w:cs="Segoe UI"/>
                <w:sz w:val="18"/>
                <w:szCs w:val="18"/>
                <w:lang w:eastAsia="en-US"/>
              </w:rPr>
            </w:pPr>
            <w:r>
              <w:rPr>
                <w:rFonts w:cs="Calibri"/>
                <w:color w:val="000000"/>
                <w:szCs w:val="20"/>
              </w:rPr>
              <w:t>1 201 925,43</w:t>
            </w:r>
          </w:p>
        </w:tc>
        <w:tc>
          <w:tcPr>
            <w:tcW w:w="782" w:type="pct"/>
            <w:vAlign w:val="center"/>
          </w:tcPr>
          <w:p w14:paraId="365CD38B" w14:textId="699F9DA8" w:rsidR="00AE4F03" w:rsidRDefault="00AE4F03" w:rsidP="00AE4F03">
            <w:pPr>
              <w:pStyle w:val="Teksttabelisrodek"/>
              <w:spacing w:line="256" w:lineRule="auto"/>
              <w:rPr>
                <w:rFonts w:ascii="Segoe UI" w:hAnsi="Segoe UI" w:cs="Segoe UI"/>
                <w:sz w:val="18"/>
                <w:szCs w:val="18"/>
                <w:lang w:eastAsia="en-US"/>
              </w:rPr>
            </w:pPr>
            <w:r>
              <w:rPr>
                <w:rFonts w:cs="Calibri"/>
                <w:color w:val="000000"/>
                <w:szCs w:val="20"/>
              </w:rPr>
              <w:t>1,32</w:t>
            </w:r>
          </w:p>
        </w:tc>
        <w:tc>
          <w:tcPr>
            <w:tcW w:w="626" w:type="pct"/>
            <w:vAlign w:val="center"/>
          </w:tcPr>
          <w:p w14:paraId="222C4201" w14:textId="07F7CED7" w:rsidR="00AE4F03" w:rsidRDefault="00AE4F03" w:rsidP="00AE4F03">
            <w:pPr>
              <w:pStyle w:val="Teksttabelisrodek"/>
              <w:spacing w:line="256" w:lineRule="auto"/>
              <w:rPr>
                <w:rFonts w:ascii="Segoe UI" w:hAnsi="Segoe UI" w:cs="Segoe UI"/>
                <w:sz w:val="18"/>
                <w:szCs w:val="18"/>
                <w:lang w:eastAsia="en-US"/>
              </w:rPr>
            </w:pPr>
            <w:r>
              <w:rPr>
                <w:rFonts w:cs="Calibri"/>
                <w:color w:val="000000"/>
                <w:szCs w:val="20"/>
              </w:rPr>
              <w:t>213,32</w:t>
            </w:r>
          </w:p>
        </w:tc>
        <w:tc>
          <w:tcPr>
            <w:tcW w:w="778" w:type="pct"/>
            <w:vAlign w:val="center"/>
          </w:tcPr>
          <w:p w14:paraId="16ECF748" w14:textId="0A485676" w:rsidR="00AE4F03" w:rsidRDefault="00AE4F03" w:rsidP="00AE4F03">
            <w:pPr>
              <w:pStyle w:val="Teksttabelisrodek"/>
              <w:spacing w:line="256" w:lineRule="auto"/>
              <w:rPr>
                <w:rFonts w:ascii="Segoe UI" w:hAnsi="Segoe UI" w:cs="Segoe UI"/>
                <w:sz w:val="18"/>
                <w:szCs w:val="18"/>
                <w:lang w:eastAsia="en-US"/>
              </w:rPr>
            </w:pPr>
            <w:r>
              <w:rPr>
                <w:rFonts w:cs="Calibri"/>
                <w:color w:val="000000"/>
                <w:szCs w:val="20"/>
              </w:rPr>
              <w:t>0,00</w:t>
            </w:r>
          </w:p>
        </w:tc>
      </w:tr>
      <w:tr w:rsidR="00AE4F03" w14:paraId="633A96FC" w14:textId="77777777" w:rsidTr="00A94587">
        <w:trPr>
          <w:trHeight w:val="454"/>
        </w:trPr>
        <w:tc>
          <w:tcPr>
            <w:tcW w:w="955" w:type="pct"/>
            <w:vAlign w:val="center"/>
          </w:tcPr>
          <w:p w14:paraId="5BB27186" w14:textId="5CF3F4D1" w:rsidR="00AE4F03" w:rsidRDefault="00AE4F03" w:rsidP="00AE4F03">
            <w:pPr>
              <w:pStyle w:val="Teksttabelilewy"/>
              <w:spacing w:line="257" w:lineRule="auto"/>
              <w:ind w:left="57"/>
              <w:rPr>
                <w:lang w:eastAsia="pl-PL"/>
              </w:rPr>
            </w:pPr>
            <w:r>
              <w:rPr>
                <w:lang w:eastAsia="pl-PL"/>
              </w:rPr>
              <w:t>Noteci</w:t>
            </w:r>
          </w:p>
        </w:tc>
        <w:tc>
          <w:tcPr>
            <w:tcW w:w="920" w:type="pct"/>
            <w:vAlign w:val="center"/>
          </w:tcPr>
          <w:p w14:paraId="67BA19A3" w14:textId="1DCACCB1" w:rsidR="00AE4F03" w:rsidRDefault="00AE4F03" w:rsidP="00AE4F03">
            <w:pPr>
              <w:pStyle w:val="Teksttabelisrodek"/>
              <w:spacing w:line="256" w:lineRule="auto"/>
              <w:rPr>
                <w:rFonts w:eastAsiaTheme="minorHAnsi" w:cs="Calibri"/>
                <w:color w:val="000000"/>
                <w:szCs w:val="20"/>
                <w:lang w:val="en-US" w:eastAsia="en-US"/>
              </w:rPr>
            </w:pPr>
            <w:r>
              <w:rPr>
                <w:rFonts w:cs="Calibri"/>
                <w:color w:val="000000"/>
                <w:szCs w:val="20"/>
              </w:rPr>
              <w:t>506 479,82</w:t>
            </w:r>
          </w:p>
        </w:tc>
        <w:tc>
          <w:tcPr>
            <w:tcW w:w="939" w:type="pct"/>
            <w:vAlign w:val="center"/>
          </w:tcPr>
          <w:p w14:paraId="69767AFF" w14:textId="1F14DE2B" w:rsidR="00AE4F03" w:rsidRDefault="00AE4F03" w:rsidP="00AE4F03">
            <w:pPr>
              <w:pStyle w:val="Teksttabelisrodek"/>
              <w:spacing w:line="256" w:lineRule="auto"/>
              <w:rPr>
                <w:rFonts w:eastAsiaTheme="minorHAnsi" w:cs="Calibri"/>
                <w:color w:val="000000"/>
                <w:szCs w:val="20"/>
                <w:lang w:val="en-US" w:eastAsia="en-US"/>
              </w:rPr>
            </w:pPr>
            <w:r>
              <w:rPr>
                <w:rFonts w:cs="Calibri"/>
                <w:color w:val="000000"/>
                <w:szCs w:val="20"/>
              </w:rPr>
              <w:t>488 199,58</w:t>
            </w:r>
          </w:p>
        </w:tc>
        <w:tc>
          <w:tcPr>
            <w:tcW w:w="782" w:type="pct"/>
            <w:vAlign w:val="center"/>
          </w:tcPr>
          <w:p w14:paraId="0159815A" w14:textId="3E2C5D51" w:rsidR="00AE4F03" w:rsidRDefault="00AE4F03" w:rsidP="00AE4F03">
            <w:pPr>
              <w:pStyle w:val="Teksttabelisrodek"/>
              <w:spacing w:line="256" w:lineRule="auto"/>
              <w:rPr>
                <w:rFonts w:eastAsiaTheme="minorHAnsi" w:cs="Calibri"/>
                <w:color w:val="000000"/>
                <w:szCs w:val="20"/>
                <w:lang w:val="en-US" w:eastAsia="en-US"/>
              </w:rPr>
            </w:pPr>
            <w:r>
              <w:rPr>
                <w:rFonts w:cs="Calibri"/>
                <w:color w:val="000000"/>
                <w:szCs w:val="20"/>
              </w:rPr>
              <w:t>18 280,24</w:t>
            </w:r>
          </w:p>
        </w:tc>
        <w:tc>
          <w:tcPr>
            <w:tcW w:w="626" w:type="pct"/>
            <w:vAlign w:val="center"/>
          </w:tcPr>
          <w:p w14:paraId="61C3FEB5" w14:textId="1DC0EA2B" w:rsidR="00AE4F03" w:rsidRDefault="00AE4F03" w:rsidP="00AE4F03">
            <w:pPr>
              <w:pStyle w:val="Teksttabelisrodek"/>
              <w:spacing w:line="256" w:lineRule="auto"/>
              <w:rPr>
                <w:rFonts w:eastAsiaTheme="minorHAnsi" w:cs="Calibri"/>
                <w:color w:val="000000"/>
                <w:szCs w:val="20"/>
                <w:lang w:val="en-US" w:eastAsia="en-US"/>
              </w:rPr>
            </w:pPr>
            <w:r>
              <w:rPr>
                <w:rFonts w:cs="Calibri"/>
                <w:color w:val="000000"/>
                <w:szCs w:val="20"/>
              </w:rPr>
              <w:t>0,00</w:t>
            </w:r>
          </w:p>
        </w:tc>
        <w:tc>
          <w:tcPr>
            <w:tcW w:w="778" w:type="pct"/>
            <w:vAlign w:val="center"/>
          </w:tcPr>
          <w:p w14:paraId="370F5B9E" w14:textId="2C8544AA" w:rsidR="00AE4F03" w:rsidRDefault="00AE4F03" w:rsidP="00AE4F03">
            <w:pPr>
              <w:pStyle w:val="Teksttabelisrodek"/>
              <w:spacing w:line="256" w:lineRule="auto"/>
              <w:rPr>
                <w:rFonts w:eastAsiaTheme="minorHAnsi" w:cs="Calibri"/>
                <w:color w:val="000000"/>
                <w:szCs w:val="20"/>
                <w:lang w:val="en-US" w:eastAsia="en-US"/>
              </w:rPr>
            </w:pPr>
            <w:r>
              <w:rPr>
                <w:rFonts w:cs="Calibri"/>
                <w:color w:val="000000"/>
                <w:szCs w:val="20"/>
              </w:rPr>
              <w:t>0,00</w:t>
            </w:r>
          </w:p>
        </w:tc>
      </w:tr>
      <w:tr w:rsidR="00AE4F03" w14:paraId="6E06AEC1" w14:textId="77777777" w:rsidTr="00A94587">
        <w:trPr>
          <w:trHeight w:val="454"/>
        </w:trPr>
        <w:tc>
          <w:tcPr>
            <w:tcW w:w="955" w:type="pct"/>
            <w:vAlign w:val="center"/>
          </w:tcPr>
          <w:p w14:paraId="7FA99969" w14:textId="5B3E0256" w:rsidR="00AE4F03" w:rsidRDefault="00AE4F03" w:rsidP="00AE4F03">
            <w:pPr>
              <w:pStyle w:val="Teksttabelilewy"/>
              <w:spacing w:line="257" w:lineRule="auto"/>
              <w:ind w:left="57"/>
              <w:rPr>
                <w:lang w:eastAsia="pl-PL"/>
              </w:rPr>
            </w:pPr>
            <w:r>
              <w:rPr>
                <w:lang w:eastAsia="pl-PL"/>
              </w:rPr>
              <w:t>Środkowej Odry</w:t>
            </w:r>
          </w:p>
        </w:tc>
        <w:tc>
          <w:tcPr>
            <w:tcW w:w="920" w:type="pct"/>
            <w:vAlign w:val="center"/>
          </w:tcPr>
          <w:p w14:paraId="286F5C10" w14:textId="37C5FD78" w:rsidR="00AE4F03" w:rsidRDefault="00AE4F03" w:rsidP="00AE4F03">
            <w:pPr>
              <w:pStyle w:val="Teksttabelisrodek"/>
              <w:spacing w:line="256" w:lineRule="auto"/>
              <w:rPr>
                <w:rFonts w:eastAsiaTheme="minorHAnsi" w:cs="Calibri"/>
                <w:color w:val="000000"/>
                <w:szCs w:val="20"/>
                <w:lang w:val="en-US" w:eastAsia="en-US"/>
              </w:rPr>
            </w:pPr>
            <w:r>
              <w:rPr>
                <w:rFonts w:cs="Calibri"/>
                <w:color w:val="000000"/>
                <w:szCs w:val="20"/>
              </w:rPr>
              <w:t>2 377 188,40</w:t>
            </w:r>
          </w:p>
        </w:tc>
        <w:tc>
          <w:tcPr>
            <w:tcW w:w="939" w:type="pct"/>
            <w:vAlign w:val="center"/>
          </w:tcPr>
          <w:p w14:paraId="532BA2A9" w14:textId="3F73D94B" w:rsidR="00AE4F03" w:rsidRDefault="00AE4F03" w:rsidP="00AE4F03">
            <w:pPr>
              <w:pStyle w:val="Teksttabelisrodek"/>
              <w:spacing w:line="256" w:lineRule="auto"/>
              <w:rPr>
                <w:rFonts w:eastAsiaTheme="minorHAnsi" w:cs="Calibri"/>
                <w:color w:val="000000"/>
                <w:szCs w:val="20"/>
                <w:lang w:val="en-US" w:eastAsia="en-US"/>
              </w:rPr>
            </w:pPr>
            <w:r>
              <w:rPr>
                <w:rFonts w:cs="Calibri"/>
                <w:color w:val="000000"/>
                <w:szCs w:val="20"/>
              </w:rPr>
              <w:t>2 363 678,11</w:t>
            </w:r>
          </w:p>
        </w:tc>
        <w:tc>
          <w:tcPr>
            <w:tcW w:w="782" w:type="pct"/>
            <w:vAlign w:val="center"/>
          </w:tcPr>
          <w:p w14:paraId="4C0C06DC" w14:textId="464DDAB3" w:rsidR="00AE4F03" w:rsidRDefault="00AE4F03" w:rsidP="00AE4F03">
            <w:pPr>
              <w:pStyle w:val="Teksttabelisrodek"/>
              <w:spacing w:line="256" w:lineRule="auto"/>
              <w:rPr>
                <w:rFonts w:eastAsiaTheme="minorHAnsi" w:cs="Calibri"/>
                <w:color w:val="000000"/>
                <w:szCs w:val="20"/>
                <w:lang w:val="en-US" w:eastAsia="en-US"/>
              </w:rPr>
            </w:pPr>
            <w:r>
              <w:rPr>
                <w:rFonts w:cs="Calibri"/>
                <w:color w:val="000000"/>
                <w:szCs w:val="20"/>
              </w:rPr>
              <w:t>3 122,61</w:t>
            </w:r>
          </w:p>
        </w:tc>
        <w:tc>
          <w:tcPr>
            <w:tcW w:w="626" w:type="pct"/>
            <w:vAlign w:val="center"/>
          </w:tcPr>
          <w:p w14:paraId="046FFB1F" w14:textId="2E518669" w:rsidR="00AE4F03" w:rsidRDefault="00AE4F03" w:rsidP="00AE4F03">
            <w:pPr>
              <w:pStyle w:val="Teksttabelisrodek"/>
              <w:spacing w:line="256" w:lineRule="auto"/>
              <w:rPr>
                <w:rFonts w:eastAsiaTheme="minorHAnsi" w:cs="Calibri"/>
                <w:color w:val="000000"/>
                <w:szCs w:val="20"/>
                <w:lang w:val="en-US" w:eastAsia="en-US"/>
              </w:rPr>
            </w:pPr>
            <w:r>
              <w:rPr>
                <w:rFonts w:cs="Calibri"/>
                <w:color w:val="000000"/>
                <w:szCs w:val="20"/>
              </w:rPr>
              <w:t>10 387,68</w:t>
            </w:r>
          </w:p>
        </w:tc>
        <w:tc>
          <w:tcPr>
            <w:tcW w:w="778" w:type="pct"/>
            <w:vAlign w:val="center"/>
          </w:tcPr>
          <w:p w14:paraId="57017587" w14:textId="36FF961F" w:rsidR="00AE4F03" w:rsidRDefault="00AE4F03" w:rsidP="00AE4F03">
            <w:pPr>
              <w:pStyle w:val="Teksttabelisrodek"/>
              <w:spacing w:line="256" w:lineRule="auto"/>
              <w:rPr>
                <w:rFonts w:eastAsiaTheme="minorHAnsi" w:cs="Calibri"/>
                <w:color w:val="000000"/>
                <w:szCs w:val="20"/>
                <w:lang w:val="en-US" w:eastAsia="en-US"/>
              </w:rPr>
            </w:pPr>
            <w:r>
              <w:rPr>
                <w:rFonts w:cs="Calibri"/>
                <w:color w:val="000000"/>
                <w:szCs w:val="20"/>
              </w:rPr>
              <w:t>0,00</w:t>
            </w:r>
          </w:p>
        </w:tc>
      </w:tr>
      <w:tr w:rsidR="00AE4F03" w14:paraId="271320C9" w14:textId="77777777" w:rsidTr="00A94587">
        <w:trPr>
          <w:trHeight w:val="454"/>
        </w:trPr>
        <w:tc>
          <w:tcPr>
            <w:tcW w:w="955" w:type="pct"/>
            <w:vAlign w:val="center"/>
          </w:tcPr>
          <w:p w14:paraId="1C6F89BB" w14:textId="557513DC" w:rsidR="00AE4F03" w:rsidRDefault="00AE4F03" w:rsidP="00AE4F03">
            <w:pPr>
              <w:pStyle w:val="Teksttabelilewy"/>
              <w:spacing w:line="257" w:lineRule="auto"/>
              <w:ind w:left="57"/>
              <w:rPr>
                <w:rFonts w:ascii="Segoe UI" w:hAnsi="Segoe UI" w:cs="Segoe UI"/>
                <w:sz w:val="18"/>
                <w:szCs w:val="18"/>
                <w:lang w:eastAsia="pl-PL"/>
              </w:rPr>
            </w:pPr>
            <w:r>
              <w:rPr>
                <w:lang w:eastAsia="pl-PL"/>
              </w:rPr>
              <w:t>Warty</w:t>
            </w:r>
          </w:p>
        </w:tc>
        <w:tc>
          <w:tcPr>
            <w:tcW w:w="920" w:type="pct"/>
            <w:vAlign w:val="center"/>
          </w:tcPr>
          <w:p w14:paraId="7E038E4A" w14:textId="527FEDD3" w:rsidR="00AE4F03" w:rsidRDefault="00AE4F03" w:rsidP="00AE4F03">
            <w:pPr>
              <w:pStyle w:val="Teksttabelisrodek"/>
              <w:spacing w:line="256" w:lineRule="auto"/>
              <w:rPr>
                <w:rFonts w:ascii="Segoe UI" w:hAnsi="Segoe UI" w:cs="Segoe UI"/>
                <w:sz w:val="18"/>
                <w:szCs w:val="18"/>
                <w:lang w:eastAsia="en-US"/>
              </w:rPr>
            </w:pPr>
            <w:r>
              <w:rPr>
                <w:rFonts w:cs="Calibri"/>
                <w:color w:val="000000"/>
                <w:szCs w:val="20"/>
              </w:rPr>
              <w:t>1 753 135,75</w:t>
            </w:r>
          </w:p>
        </w:tc>
        <w:tc>
          <w:tcPr>
            <w:tcW w:w="939" w:type="pct"/>
            <w:vAlign w:val="center"/>
          </w:tcPr>
          <w:p w14:paraId="6976B866" w14:textId="21A9479E" w:rsidR="00AE4F03" w:rsidRDefault="00AE4F03" w:rsidP="00AE4F03">
            <w:pPr>
              <w:pStyle w:val="Teksttabelisrodek"/>
              <w:spacing w:line="256" w:lineRule="auto"/>
              <w:rPr>
                <w:rFonts w:ascii="Segoe UI" w:hAnsi="Segoe UI" w:cs="Segoe UI"/>
                <w:sz w:val="18"/>
                <w:szCs w:val="18"/>
                <w:lang w:eastAsia="en-US"/>
              </w:rPr>
            </w:pPr>
            <w:r>
              <w:rPr>
                <w:rFonts w:cs="Calibri"/>
                <w:color w:val="000000"/>
                <w:szCs w:val="20"/>
              </w:rPr>
              <w:t>1 735 583,53</w:t>
            </w:r>
          </w:p>
        </w:tc>
        <w:tc>
          <w:tcPr>
            <w:tcW w:w="782" w:type="pct"/>
            <w:vAlign w:val="center"/>
          </w:tcPr>
          <w:p w14:paraId="0A8D034A" w14:textId="400FA9FE" w:rsidR="00AE4F03" w:rsidRDefault="00AE4F03" w:rsidP="00AE4F03">
            <w:pPr>
              <w:pStyle w:val="Teksttabelisrodek"/>
              <w:spacing w:line="256" w:lineRule="auto"/>
              <w:rPr>
                <w:rFonts w:ascii="Segoe UI" w:hAnsi="Segoe UI" w:cs="Segoe UI"/>
                <w:sz w:val="18"/>
                <w:szCs w:val="18"/>
                <w:lang w:eastAsia="en-US"/>
              </w:rPr>
            </w:pPr>
            <w:r>
              <w:rPr>
                <w:rFonts w:cs="Calibri"/>
                <w:color w:val="000000"/>
                <w:szCs w:val="20"/>
              </w:rPr>
              <w:t>17 244,11</w:t>
            </w:r>
          </w:p>
        </w:tc>
        <w:tc>
          <w:tcPr>
            <w:tcW w:w="626" w:type="pct"/>
            <w:vAlign w:val="center"/>
          </w:tcPr>
          <w:p w14:paraId="5EC3E661" w14:textId="7E685CB0" w:rsidR="00AE4F03" w:rsidRDefault="00AE4F03" w:rsidP="00AE4F03">
            <w:pPr>
              <w:pStyle w:val="Teksttabelisrodek"/>
              <w:spacing w:line="256" w:lineRule="auto"/>
              <w:rPr>
                <w:rFonts w:ascii="Segoe UI" w:hAnsi="Segoe UI" w:cs="Segoe UI"/>
                <w:sz w:val="18"/>
                <w:szCs w:val="18"/>
                <w:lang w:eastAsia="en-US"/>
              </w:rPr>
            </w:pPr>
            <w:r>
              <w:rPr>
                <w:rFonts w:cs="Calibri"/>
                <w:color w:val="000000"/>
                <w:szCs w:val="20"/>
              </w:rPr>
              <w:t>308,11</w:t>
            </w:r>
          </w:p>
        </w:tc>
        <w:tc>
          <w:tcPr>
            <w:tcW w:w="778" w:type="pct"/>
            <w:vAlign w:val="center"/>
          </w:tcPr>
          <w:p w14:paraId="1C69EF6E" w14:textId="3DF2B00E" w:rsidR="00AE4F03" w:rsidRDefault="00AE4F03" w:rsidP="00AE4F03">
            <w:pPr>
              <w:pStyle w:val="Teksttabelisrodek"/>
              <w:spacing w:line="256" w:lineRule="auto"/>
              <w:rPr>
                <w:rFonts w:ascii="Segoe UI" w:hAnsi="Segoe UI" w:cs="Segoe UI"/>
                <w:sz w:val="18"/>
                <w:szCs w:val="18"/>
                <w:lang w:eastAsia="en-US"/>
              </w:rPr>
            </w:pPr>
            <w:r>
              <w:rPr>
                <w:rFonts w:cs="Calibri"/>
                <w:color w:val="000000"/>
                <w:szCs w:val="20"/>
              </w:rPr>
              <w:t>0,00</w:t>
            </w:r>
          </w:p>
        </w:tc>
      </w:tr>
      <w:tr w:rsidR="00AE4F03" w14:paraId="707D4A44" w14:textId="77777777" w:rsidTr="00A94587">
        <w:trPr>
          <w:trHeight w:val="454"/>
        </w:trPr>
        <w:tc>
          <w:tcPr>
            <w:tcW w:w="955" w:type="pct"/>
            <w:shd w:val="clear" w:color="auto" w:fill="BFBFBF" w:themeFill="background1" w:themeFillShade="BF"/>
            <w:vAlign w:val="center"/>
            <w:hideMark/>
          </w:tcPr>
          <w:p w14:paraId="0A47CA12" w14:textId="2BA16229" w:rsidR="00AE4F03" w:rsidRDefault="00AE4F03" w:rsidP="00AE4F03">
            <w:pPr>
              <w:pStyle w:val="Teksttabelilewy"/>
              <w:spacing w:line="257" w:lineRule="auto"/>
              <w:ind w:left="57"/>
              <w:rPr>
                <w:rFonts w:ascii="Segoe UI" w:hAnsi="Segoe UI" w:cs="Segoe UI"/>
                <w:sz w:val="18"/>
                <w:szCs w:val="18"/>
                <w:lang w:eastAsia="pl-PL"/>
              </w:rPr>
            </w:pPr>
            <w:r>
              <w:rPr>
                <w:b/>
                <w:bCs/>
                <w:lang w:eastAsia="pl-PL"/>
              </w:rPr>
              <w:t xml:space="preserve">RAZEM </w:t>
            </w:r>
            <w:r w:rsidR="00DF005E">
              <w:rPr>
                <w:b/>
                <w:bCs/>
                <w:lang w:eastAsia="pl-PL"/>
              </w:rPr>
              <w:t>JCWP</w:t>
            </w:r>
          </w:p>
        </w:tc>
        <w:tc>
          <w:tcPr>
            <w:tcW w:w="920" w:type="pct"/>
            <w:shd w:val="clear" w:color="auto" w:fill="BFBFBF" w:themeFill="background1" w:themeFillShade="BF"/>
            <w:vAlign w:val="center"/>
          </w:tcPr>
          <w:p w14:paraId="7F1FCA69" w14:textId="43D8F45E" w:rsidR="00AE4F03" w:rsidRPr="00AE4F03" w:rsidRDefault="00AE4F03" w:rsidP="00AE4F03">
            <w:pPr>
              <w:pStyle w:val="Teksttabelinaglowek"/>
              <w:spacing w:line="256" w:lineRule="auto"/>
              <w:rPr>
                <w:rFonts w:ascii="Segoe UI" w:hAnsi="Segoe UI" w:cs="Segoe UI"/>
                <w:sz w:val="18"/>
                <w:szCs w:val="18"/>
                <w:lang w:eastAsia="en-US"/>
              </w:rPr>
            </w:pPr>
            <w:r w:rsidRPr="00AE4F03">
              <w:rPr>
                <w:rFonts w:ascii="Calibri" w:hAnsi="Calibri" w:cs="Calibri"/>
                <w:color w:val="000000"/>
                <w:szCs w:val="20"/>
              </w:rPr>
              <w:t>6 585 113,18</w:t>
            </w:r>
          </w:p>
        </w:tc>
        <w:tc>
          <w:tcPr>
            <w:tcW w:w="939" w:type="pct"/>
            <w:shd w:val="clear" w:color="auto" w:fill="BFBFBF" w:themeFill="background1" w:themeFillShade="BF"/>
            <w:vAlign w:val="center"/>
          </w:tcPr>
          <w:p w14:paraId="01A50EFE" w14:textId="732D28D8" w:rsidR="00AE4F03" w:rsidRPr="00AE4F03" w:rsidRDefault="00AE4F03" w:rsidP="00AE4F03">
            <w:pPr>
              <w:pStyle w:val="Teksttabelinaglowek"/>
              <w:spacing w:line="256" w:lineRule="auto"/>
              <w:rPr>
                <w:rFonts w:ascii="Segoe UI" w:hAnsi="Segoe UI" w:cs="Segoe UI"/>
                <w:sz w:val="18"/>
                <w:szCs w:val="18"/>
                <w:lang w:eastAsia="en-US"/>
              </w:rPr>
            </w:pPr>
            <w:r w:rsidRPr="00AE4F03">
              <w:rPr>
                <w:rFonts w:ascii="Calibri" w:hAnsi="Calibri" w:cs="Calibri"/>
                <w:color w:val="000000"/>
                <w:szCs w:val="20"/>
              </w:rPr>
              <w:t>6 501 404,76</w:t>
            </w:r>
          </w:p>
        </w:tc>
        <w:tc>
          <w:tcPr>
            <w:tcW w:w="782" w:type="pct"/>
            <w:shd w:val="clear" w:color="auto" w:fill="BFBFBF" w:themeFill="background1" w:themeFillShade="BF"/>
            <w:vAlign w:val="center"/>
          </w:tcPr>
          <w:p w14:paraId="343CC8AB" w14:textId="5158FFD6" w:rsidR="00AE4F03" w:rsidRPr="00AE4F03" w:rsidRDefault="00AE4F03" w:rsidP="00AE4F03">
            <w:pPr>
              <w:pStyle w:val="Teksttabelinaglowek"/>
              <w:spacing w:line="256" w:lineRule="auto"/>
              <w:rPr>
                <w:rFonts w:ascii="Segoe UI" w:hAnsi="Segoe UI" w:cs="Segoe UI"/>
                <w:sz w:val="18"/>
                <w:szCs w:val="18"/>
                <w:lang w:eastAsia="en-US"/>
              </w:rPr>
            </w:pPr>
            <w:r w:rsidRPr="00AE4F03">
              <w:rPr>
                <w:rFonts w:ascii="Calibri" w:hAnsi="Calibri" w:cs="Calibri"/>
                <w:color w:val="000000"/>
                <w:szCs w:val="20"/>
              </w:rPr>
              <w:t>45 639,31</w:t>
            </w:r>
          </w:p>
        </w:tc>
        <w:tc>
          <w:tcPr>
            <w:tcW w:w="626" w:type="pct"/>
            <w:shd w:val="clear" w:color="auto" w:fill="BFBFBF" w:themeFill="background1" w:themeFillShade="BF"/>
            <w:vAlign w:val="center"/>
          </w:tcPr>
          <w:p w14:paraId="1AEB09E9" w14:textId="7C007EB3" w:rsidR="00AE4F03" w:rsidRPr="00AE4F03" w:rsidRDefault="00AE4F03" w:rsidP="00AE4F03">
            <w:pPr>
              <w:pStyle w:val="Teksttabelinaglowek"/>
              <w:spacing w:line="256" w:lineRule="auto"/>
              <w:rPr>
                <w:rFonts w:ascii="Segoe UI" w:hAnsi="Segoe UI" w:cs="Segoe UI"/>
                <w:sz w:val="18"/>
                <w:szCs w:val="18"/>
                <w:lang w:eastAsia="en-US"/>
              </w:rPr>
            </w:pPr>
            <w:r w:rsidRPr="00AE4F03">
              <w:rPr>
                <w:rFonts w:ascii="Calibri" w:hAnsi="Calibri" w:cs="Calibri"/>
                <w:color w:val="000000"/>
                <w:szCs w:val="20"/>
              </w:rPr>
              <w:t>10 909,11</w:t>
            </w:r>
          </w:p>
        </w:tc>
        <w:tc>
          <w:tcPr>
            <w:tcW w:w="778" w:type="pct"/>
            <w:shd w:val="clear" w:color="auto" w:fill="BFBFBF" w:themeFill="background1" w:themeFillShade="BF"/>
            <w:vAlign w:val="center"/>
          </w:tcPr>
          <w:p w14:paraId="45E8010E" w14:textId="1C3CEA49" w:rsidR="00AE4F03" w:rsidRPr="00AE4F03" w:rsidRDefault="00AE4F03" w:rsidP="00AE4F03">
            <w:pPr>
              <w:pStyle w:val="Teksttabelinaglowek"/>
              <w:spacing w:line="256" w:lineRule="auto"/>
              <w:rPr>
                <w:rFonts w:ascii="Segoe UI" w:hAnsi="Segoe UI" w:cs="Segoe UI"/>
                <w:sz w:val="18"/>
                <w:szCs w:val="18"/>
                <w:lang w:eastAsia="en-US"/>
              </w:rPr>
            </w:pPr>
            <w:r w:rsidRPr="00AE4F03">
              <w:rPr>
                <w:rFonts w:ascii="Calibri" w:hAnsi="Calibri" w:cs="Calibri"/>
                <w:color w:val="000000"/>
                <w:szCs w:val="20"/>
              </w:rPr>
              <w:t>27 160,00</w:t>
            </w:r>
          </w:p>
        </w:tc>
      </w:tr>
      <w:tr w:rsidR="00F5213F" w14:paraId="3978667E" w14:textId="77777777" w:rsidTr="00A94587">
        <w:trPr>
          <w:trHeight w:val="454"/>
        </w:trPr>
        <w:tc>
          <w:tcPr>
            <w:tcW w:w="2814" w:type="pct"/>
            <w:gridSpan w:val="3"/>
            <w:shd w:val="clear" w:color="auto" w:fill="BFBFBF" w:themeFill="background1" w:themeFillShade="BF"/>
            <w:vAlign w:val="center"/>
            <w:hideMark/>
          </w:tcPr>
          <w:p w14:paraId="530DB47B" w14:textId="4404C1CF" w:rsidR="00F5213F" w:rsidRDefault="00DF005E" w:rsidP="00F5213F">
            <w:pPr>
              <w:pStyle w:val="Teksttabelinaglowek"/>
              <w:spacing w:line="256" w:lineRule="auto"/>
              <w:rPr>
                <w:rFonts w:ascii="Segoe UI" w:hAnsi="Segoe UI" w:cs="Segoe UI"/>
                <w:sz w:val="18"/>
                <w:szCs w:val="18"/>
                <w:lang w:eastAsia="en-US"/>
              </w:rPr>
            </w:pPr>
            <w:r>
              <w:rPr>
                <w:lang w:eastAsia="en-US"/>
              </w:rPr>
              <w:t>JCWP</w:t>
            </w:r>
            <w:r w:rsidR="00F5213F">
              <w:rPr>
                <w:lang w:eastAsia="en-US"/>
              </w:rPr>
              <w:t>d</w:t>
            </w:r>
          </w:p>
        </w:tc>
        <w:tc>
          <w:tcPr>
            <w:tcW w:w="2186" w:type="pct"/>
            <w:gridSpan w:val="3"/>
            <w:vAlign w:val="center"/>
          </w:tcPr>
          <w:p w14:paraId="4FD1AA20" w14:textId="77C41D0F" w:rsidR="00F5213F" w:rsidRDefault="00F5213F" w:rsidP="00F5213F">
            <w:pPr>
              <w:suppressAutoHyphens w:val="0"/>
              <w:spacing w:before="0" w:after="0" w:line="256" w:lineRule="auto"/>
              <w:jc w:val="center"/>
              <w:rPr>
                <w:rFonts w:eastAsia="Times New Roman"/>
                <w:b/>
                <w:bCs/>
                <w:color w:val="000000"/>
                <w:sz w:val="20"/>
                <w:szCs w:val="20"/>
                <w:lang w:eastAsia="pl-PL"/>
              </w:rPr>
            </w:pPr>
            <w:r>
              <w:rPr>
                <w:rFonts w:cs="Calibri"/>
                <w:b/>
                <w:bCs/>
                <w:color w:val="000000"/>
                <w:sz w:val="20"/>
                <w:szCs w:val="20"/>
              </w:rPr>
              <w:t>1 129 115,58</w:t>
            </w:r>
          </w:p>
        </w:tc>
      </w:tr>
      <w:tr w:rsidR="00F5213F" w14:paraId="41E901EF" w14:textId="77777777" w:rsidTr="00A94587">
        <w:trPr>
          <w:trHeight w:val="454"/>
        </w:trPr>
        <w:tc>
          <w:tcPr>
            <w:tcW w:w="2814" w:type="pct"/>
            <w:gridSpan w:val="3"/>
            <w:shd w:val="clear" w:color="auto" w:fill="BFBFBF" w:themeFill="background1" w:themeFillShade="BF"/>
            <w:vAlign w:val="center"/>
            <w:hideMark/>
          </w:tcPr>
          <w:p w14:paraId="3CFDFCC9" w14:textId="29E32322" w:rsidR="00F5213F" w:rsidRDefault="00F5213F" w:rsidP="00F5213F">
            <w:pPr>
              <w:pStyle w:val="Teksttabelinaglowek"/>
              <w:spacing w:line="256" w:lineRule="auto"/>
              <w:rPr>
                <w:rFonts w:ascii="Segoe UI" w:hAnsi="Segoe UI" w:cs="Segoe UI"/>
                <w:sz w:val="18"/>
                <w:szCs w:val="18"/>
                <w:lang w:eastAsia="en-US"/>
              </w:rPr>
            </w:pPr>
            <w:r>
              <w:rPr>
                <w:lang w:eastAsia="en-US"/>
              </w:rPr>
              <w:t>RAZEM nakłady inwestycyjne na obszarze dorzecza Odry</w:t>
            </w:r>
          </w:p>
        </w:tc>
        <w:tc>
          <w:tcPr>
            <w:tcW w:w="2186" w:type="pct"/>
            <w:gridSpan w:val="3"/>
            <w:vAlign w:val="center"/>
          </w:tcPr>
          <w:p w14:paraId="76D76FCD" w14:textId="29B8119E" w:rsidR="00F5213F" w:rsidRDefault="00F5213F" w:rsidP="00F5213F">
            <w:pPr>
              <w:suppressAutoHyphens w:val="0"/>
              <w:spacing w:before="0" w:after="0" w:line="256" w:lineRule="auto"/>
              <w:jc w:val="center"/>
              <w:rPr>
                <w:rFonts w:ascii="Segoe UI" w:eastAsia="Times New Roman" w:hAnsi="Segoe UI" w:cs="Segoe UI"/>
                <w:sz w:val="18"/>
                <w:szCs w:val="18"/>
                <w:lang w:eastAsia="pl-PL"/>
              </w:rPr>
            </w:pPr>
            <w:r w:rsidRPr="004A37A5">
              <w:rPr>
                <w:rFonts w:eastAsia="Times New Roman"/>
                <w:b/>
                <w:bCs/>
                <w:color w:val="000000"/>
                <w:sz w:val="20"/>
                <w:szCs w:val="20"/>
                <w:lang w:eastAsia="pl-PL"/>
              </w:rPr>
              <w:t>7 714 228,7</w:t>
            </w:r>
            <w:r>
              <w:rPr>
                <w:rFonts w:eastAsia="Times New Roman"/>
                <w:b/>
                <w:bCs/>
                <w:color w:val="000000"/>
                <w:sz w:val="20"/>
                <w:szCs w:val="20"/>
                <w:lang w:eastAsia="pl-PL"/>
              </w:rPr>
              <w:t>6</w:t>
            </w:r>
          </w:p>
        </w:tc>
      </w:tr>
    </w:tbl>
    <w:p w14:paraId="22FC0E69" w14:textId="77777777" w:rsidR="00E7049B" w:rsidRDefault="00E7049B" w:rsidP="00E7049B">
      <w:pPr>
        <w:pStyle w:val="rdo"/>
        <w:rPr>
          <w:lang w:eastAsia="zh-CN"/>
        </w:rPr>
      </w:pPr>
      <w:r>
        <w:rPr>
          <w:lang w:eastAsia="zh-CN"/>
        </w:rPr>
        <w:t>Źródło: opracowanie własne</w:t>
      </w:r>
    </w:p>
    <w:p w14:paraId="40487834" w14:textId="40893F1B" w:rsidR="005A7B76" w:rsidRDefault="00E7049B" w:rsidP="004D7705">
      <w:pPr>
        <w:pStyle w:val="Tabela"/>
      </w:pPr>
      <w:bookmarkStart w:id="778" w:name="_Toc105512883"/>
      <w:bookmarkStart w:id="779" w:name="_Toc66341955"/>
      <w:bookmarkStart w:id="780" w:name="_Toc67652438"/>
      <w:r>
        <w:t xml:space="preserve">Tabela </w:t>
      </w:r>
      <w:fldSimple w:instr=" STYLEREF 1 \s ">
        <w:r w:rsidR="001F774D">
          <w:rPr>
            <w:noProof/>
          </w:rPr>
          <w:t>12</w:t>
        </w:r>
      </w:fldSimple>
      <w:r>
        <w:noBreakHyphen/>
      </w:r>
      <w:fldSimple w:instr=" SEQ Tabela \* ARABIC \s 1 ">
        <w:r w:rsidR="001F774D">
          <w:rPr>
            <w:noProof/>
          </w:rPr>
          <w:t>14</w:t>
        </w:r>
      </w:fldSimple>
      <w:r w:rsidR="000B5450">
        <w:rPr>
          <w:noProof/>
        </w:rPr>
        <w:t>.</w:t>
      </w:r>
      <w:r>
        <w:tab/>
      </w:r>
      <w:r w:rsidR="00C516C8">
        <w:t xml:space="preserve">Udział poszczególnych kategorii wód w kosztach ogółem zestawu działań </w:t>
      </w:r>
      <w:r w:rsidR="0041502F">
        <w:t>–</w:t>
      </w:r>
      <w:r w:rsidR="00C516C8">
        <w:t xml:space="preserve"> obszar dorzecza Odry</w:t>
      </w:r>
      <w:bookmarkEnd w:id="778"/>
    </w:p>
    <w:tbl>
      <w:tblPr>
        <w:tblW w:w="5000" w:type="pct"/>
        <w:jc w:val="center"/>
        <w:tblCellMar>
          <w:left w:w="70" w:type="dxa"/>
          <w:right w:w="70" w:type="dxa"/>
        </w:tblCellMar>
        <w:tblLook w:val="04A0" w:firstRow="1" w:lastRow="0" w:firstColumn="1" w:lastColumn="0" w:noHBand="0" w:noVBand="1"/>
      </w:tblPr>
      <w:tblGrid>
        <w:gridCol w:w="1717"/>
        <w:gridCol w:w="1146"/>
        <w:gridCol w:w="1551"/>
        <w:gridCol w:w="1551"/>
        <w:gridCol w:w="1551"/>
        <w:gridCol w:w="1546"/>
      </w:tblGrid>
      <w:tr w:rsidR="00622ACC" w:rsidRPr="00795F17" w14:paraId="4D844A69" w14:textId="77777777" w:rsidTr="00834429">
        <w:trPr>
          <w:trHeight w:val="454"/>
          <w:jc w:val="center"/>
        </w:trPr>
        <w:tc>
          <w:tcPr>
            <w:tcW w:w="94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5C1820" w14:textId="77777777" w:rsidR="00622ACC" w:rsidRPr="00795F17" w:rsidRDefault="00622ACC" w:rsidP="005A32E7">
            <w:pPr>
              <w:pStyle w:val="Teksttabelinaglowek"/>
            </w:pPr>
            <w:r w:rsidRPr="00795F17">
              <w:t>Kategorie wód</w:t>
            </w:r>
          </w:p>
        </w:tc>
        <w:tc>
          <w:tcPr>
            <w:tcW w:w="63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916312F" w14:textId="68A3E288" w:rsidR="00622ACC" w:rsidRPr="00795F17" w:rsidRDefault="00DF005E" w:rsidP="005A32E7">
            <w:pPr>
              <w:pStyle w:val="Teksttabelinaglowek"/>
            </w:pPr>
            <w:r>
              <w:t>JCWP</w:t>
            </w:r>
            <w:r w:rsidR="00622ACC" w:rsidRPr="00795F17">
              <w:t>d</w:t>
            </w:r>
          </w:p>
        </w:tc>
        <w:tc>
          <w:tcPr>
            <w:tcW w:w="8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699C56" w14:textId="2DC3D1C5" w:rsidR="00622ACC" w:rsidRPr="00795F17" w:rsidRDefault="00DF005E" w:rsidP="005A32E7">
            <w:pPr>
              <w:pStyle w:val="Teksttabelinaglowek"/>
            </w:pPr>
            <w:r>
              <w:t>JCWP</w:t>
            </w:r>
            <w:r w:rsidR="00622ACC" w:rsidRPr="00795F17">
              <w:t xml:space="preserve"> RW</w:t>
            </w:r>
          </w:p>
        </w:tc>
        <w:tc>
          <w:tcPr>
            <w:tcW w:w="8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9F54EC" w14:textId="308A9BC5" w:rsidR="00622ACC" w:rsidRPr="00795F17" w:rsidRDefault="00DF005E" w:rsidP="005A32E7">
            <w:pPr>
              <w:pStyle w:val="Teksttabelinaglowek"/>
            </w:pPr>
            <w:r>
              <w:t>JCWP</w:t>
            </w:r>
            <w:r w:rsidR="00622ACC" w:rsidRPr="00795F17">
              <w:t xml:space="preserve"> LW</w:t>
            </w:r>
          </w:p>
        </w:tc>
        <w:tc>
          <w:tcPr>
            <w:tcW w:w="8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C89DF16" w14:textId="552C1383" w:rsidR="00622ACC" w:rsidRPr="00795F17" w:rsidRDefault="00DF005E" w:rsidP="005A32E7">
            <w:pPr>
              <w:pStyle w:val="Teksttabelinaglowek"/>
            </w:pPr>
            <w:r>
              <w:t>JCWP</w:t>
            </w:r>
            <w:r w:rsidR="00622ACC" w:rsidRPr="00795F17">
              <w:t xml:space="preserve"> RWr</w:t>
            </w:r>
          </w:p>
        </w:tc>
        <w:tc>
          <w:tcPr>
            <w:tcW w:w="85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404AD9" w14:textId="5E2CEEE0" w:rsidR="00622ACC" w:rsidRPr="00795F17" w:rsidRDefault="00DF005E" w:rsidP="005A32E7">
            <w:pPr>
              <w:pStyle w:val="Teksttabelinaglowek"/>
            </w:pPr>
            <w:r>
              <w:t>JCWP</w:t>
            </w:r>
            <w:r w:rsidR="00622ACC" w:rsidRPr="00795F17">
              <w:t xml:space="preserve"> TW i CW</w:t>
            </w:r>
          </w:p>
        </w:tc>
      </w:tr>
      <w:tr w:rsidR="00834429" w:rsidRPr="00795F17" w14:paraId="0C4CFFED" w14:textId="77777777" w:rsidTr="00834429">
        <w:trPr>
          <w:trHeight w:val="454"/>
          <w:jc w:val="center"/>
        </w:trPr>
        <w:tc>
          <w:tcPr>
            <w:tcW w:w="9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278757" w14:textId="77777777" w:rsidR="00834429" w:rsidRPr="00795F17" w:rsidRDefault="00834429" w:rsidP="00834429">
            <w:pPr>
              <w:pStyle w:val="Teksttabelilewy"/>
            </w:pPr>
            <w:r w:rsidRPr="00795F17">
              <w:t>Udział w kosztach ogółem (%)</w:t>
            </w:r>
          </w:p>
        </w:tc>
        <w:tc>
          <w:tcPr>
            <w:tcW w:w="632" w:type="pct"/>
            <w:tcBorders>
              <w:top w:val="single" w:sz="4" w:space="0" w:color="auto"/>
              <w:left w:val="nil"/>
              <w:bottom w:val="single" w:sz="4" w:space="0" w:color="auto"/>
              <w:right w:val="single" w:sz="4" w:space="0" w:color="auto"/>
            </w:tcBorders>
            <w:shd w:val="clear" w:color="auto" w:fill="auto"/>
            <w:vAlign w:val="center"/>
          </w:tcPr>
          <w:p w14:paraId="728015B4" w14:textId="080347CE" w:rsidR="00834429" w:rsidRPr="00795F17" w:rsidRDefault="00834429" w:rsidP="00834429">
            <w:pPr>
              <w:pStyle w:val="Teksttabelisrodek"/>
            </w:pPr>
            <w:r>
              <w:rPr>
                <w:rFonts w:cs="Calibri"/>
                <w:color w:val="000000"/>
                <w:szCs w:val="20"/>
              </w:rPr>
              <w:t>14,64</w:t>
            </w:r>
          </w:p>
        </w:tc>
        <w:tc>
          <w:tcPr>
            <w:tcW w:w="856" w:type="pct"/>
            <w:tcBorders>
              <w:top w:val="single" w:sz="4" w:space="0" w:color="auto"/>
              <w:left w:val="nil"/>
              <w:bottom w:val="single" w:sz="4" w:space="0" w:color="auto"/>
              <w:right w:val="single" w:sz="4" w:space="0" w:color="auto"/>
            </w:tcBorders>
            <w:shd w:val="clear" w:color="auto" w:fill="auto"/>
            <w:vAlign w:val="center"/>
          </w:tcPr>
          <w:p w14:paraId="36CD9952" w14:textId="00E652C0" w:rsidR="00834429" w:rsidRPr="00795F17" w:rsidRDefault="00834429" w:rsidP="00834429">
            <w:pPr>
              <w:pStyle w:val="Teksttabelisrodek"/>
            </w:pPr>
            <w:r>
              <w:rPr>
                <w:rFonts w:cs="Calibri"/>
                <w:color w:val="000000"/>
                <w:szCs w:val="20"/>
              </w:rPr>
              <w:t>84,28</w:t>
            </w:r>
          </w:p>
        </w:tc>
        <w:tc>
          <w:tcPr>
            <w:tcW w:w="856" w:type="pct"/>
            <w:tcBorders>
              <w:top w:val="single" w:sz="4" w:space="0" w:color="auto"/>
              <w:left w:val="nil"/>
              <w:bottom w:val="single" w:sz="4" w:space="0" w:color="auto"/>
              <w:right w:val="single" w:sz="4" w:space="0" w:color="auto"/>
            </w:tcBorders>
            <w:shd w:val="clear" w:color="auto" w:fill="auto"/>
            <w:vAlign w:val="center"/>
          </w:tcPr>
          <w:p w14:paraId="087FAD3E" w14:textId="1F0149F9" w:rsidR="00834429" w:rsidRPr="00795F17" w:rsidRDefault="00834429" w:rsidP="00834429">
            <w:pPr>
              <w:pStyle w:val="Teksttabelisrodek"/>
            </w:pPr>
            <w:r>
              <w:rPr>
                <w:rFonts w:cs="Calibri"/>
                <w:color w:val="000000"/>
                <w:szCs w:val="20"/>
              </w:rPr>
              <w:t>0,59</w:t>
            </w:r>
          </w:p>
        </w:tc>
        <w:tc>
          <w:tcPr>
            <w:tcW w:w="856" w:type="pct"/>
            <w:tcBorders>
              <w:top w:val="single" w:sz="4" w:space="0" w:color="auto"/>
              <w:left w:val="nil"/>
              <w:bottom w:val="single" w:sz="4" w:space="0" w:color="auto"/>
              <w:right w:val="single" w:sz="4" w:space="0" w:color="auto"/>
            </w:tcBorders>
            <w:shd w:val="clear" w:color="auto" w:fill="auto"/>
            <w:vAlign w:val="center"/>
          </w:tcPr>
          <w:p w14:paraId="2525DDD2" w14:textId="0F7F8E1B" w:rsidR="00834429" w:rsidRPr="00795F17" w:rsidRDefault="00834429" w:rsidP="00834429">
            <w:pPr>
              <w:pStyle w:val="Teksttabelisrodek"/>
            </w:pPr>
            <w:r>
              <w:rPr>
                <w:rFonts w:cs="Calibri"/>
                <w:color w:val="000000"/>
                <w:szCs w:val="20"/>
              </w:rPr>
              <w:t>0,14</w:t>
            </w:r>
          </w:p>
        </w:tc>
        <w:tc>
          <w:tcPr>
            <w:tcW w:w="853" w:type="pct"/>
            <w:tcBorders>
              <w:top w:val="single" w:sz="4" w:space="0" w:color="auto"/>
              <w:left w:val="nil"/>
              <w:bottom w:val="single" w:sz="4" w:space="0" w:color="auto"/>
              <w:right w:val="single" w:sz="4" w:space="0" w:color="auto"/>
            </w:tcBorders>
            <w:shd w:val="clear" w:color="auto" w:fill="auto"/>
            <w:vAlign w:val="center"/>
          </w:tcPr>
          <w:p w14:paraId="38BB80E7" w14:textId="2B7B6D13" w:rsidR="00834429" w:rsidRPr="00795F17" w:rsidRDefault="00834429" w:rsidP="00834429">
            <w:pPr>
              <w:pStyle w:val="Teksttabelisrodek"/>
            </w:pPr>
            <w:r>
              <w:rPr>
                <w:rFonts w:cs="Calibri"/>
                <w:color w:val="000000"/>
                <w:szCs w:val="20"/>
              </w:rPr>
              <w:t>0,35</w:t>
            </w:r>
          </w:p>
        </w:tc>
      </w:tr>
    </w:tbl>
    <w:p w14:paraId="4661C7B5" w14:textId="77777777" w:rsidR="000A66AB" w:rsidRDefault="000A66AB" w:rsidP="000A66AB">
      <w:pPr>
        <w:pStyle w:val="rdo"/>
        <w:rPr>
          <w:lang w:eastAsia="zh-CN"/>
        </w:rPr>
      </w:pPr>
      <w:r w:rsidRPr="00795F17">
        <w:rPr>
          <w:lang w:eastAsia="zh-CN"/>
        </w:rPr>
        <w:t>Źródło: opracowanie własne</w:t>
      </w:r>
    </w:p>
    <w:p w14:paraId="5858653C" w14:textId="32F7BB98" w:rsidR="000E10DE" w:rsidRPr="00361380" w:rsidRDefault="000E10DE" w:rsidP="000E10DE">
      <w:r w:rsidRPr="00B83C5D">
        <w:t xml:space="preserve">Największy udział w kosztach zestawu działań mają działania </w:t>
      </w:r>
      <w:r w:rsidRPr="00827332">
        <w:t xml:space="preserve">podstawowe </w:t>
      </w:r>
      <w:r w:rsidR="0041502F">
        <w:t>–</w:t>
      </w:r>
      <w:r w:rsidRPr="00827332">
        <w:t xml:space="preserve"> </w:t>
      </w:r>
      <w:r w:rsidR="001719BC" w:rsidRPr="00361380">
        <w:t>8</w:t>
      </w:r>
      <w:r w:rsidR="001719BC">
        <w:t>0</w:t>
      </w:r>
      <w:r w:rsidRPr="00361380">
        <w:t xml:space="preserve">%, pozostałe </w:t>
      </w:r>
      <w:r w:rsidR="001719BC">
        <w:t>20</w:t>
      </w:r>
      <w:r w:rsidRPr="00B83C5D">
        <w:t>% stan</w:t>
      </w:r>
      <w:r w:rsidRPr="00827332">
        <w:t>owią działania uzupełniające (</w:t>
      </w:r>
      <w:r>
        <w:t>tabela 12-15</w:t>
      </w:r>
      <w:r w:rsidRPr="00827332">
        <w:t>):</w:t>
      </w:r>
    </w:p>
    <w:p w14:paraId="3AC18ACA" w14:textId="6C46C9D8" w:rsidR="00E7049B" w:rsidRDefault="00E77260" w:rsidP="004D7705">
      <w:pPr>
        <w:pStyle w:val="Tabela"/>
      </w:pPr>
      <w:bookmarkStart w:id="781" w:name="_Toc105512884"/>
      <w:r w:rsidRPr="00795F17">
        <w:t xml:space="preserve">Tabela </w:t>
      </w:r>
      <w:fldSimple w:instr=" STYLEREF 1 \s ">
        <w:r w:rsidR="001F774D">
          <w:rPr>
            <w:noProof/>
          </w:rPr>
          <w:t>12</w:t>
        </w:r>
      </w:fldSimple>
      <w:r w:rsidR="005A7B76">
        <w:noBreakHyphen/>
      </w:r>
      <w:fldSimple w:instr=" SEQ Tabela \* ARABIC \s 1 ">
        <w:r w:rsidR="001F774D">
          <w:rPr>
            <w:noProof/>
          </w:rPr>
          <w:t>15</w:t>
        </w:r>
      </w:fldSimple>
      <w:r w:rsidR="000B5450">
        <w:rPr>
          <w:noProof/>
        </w:rPr>
        <w:t>.</w:t>
      </w:r>
      <w:r w:rsidR="00E7049B">
        <w:tab/>
      </w:r>
      <w:r w:rsidR="00E7049B">
        <w:rPr>
          <w:szCs w:val="20"/>
        </w:rPr>
        <w:t xml:space="preserve">Koszty zestawu działań </w:t>
      </w:r>
      <w:r w:rsidR="00E7049B">
        <w:t xml:space="preserve">według rodzajów działań (w tys. zł) </w:t>
      </w:r>
      <w:r w:rsidR="0041502F">
        <w:t>–</w:t>
      </w:r>
      <w:r w:rsidR="00E7049B">
        <w:t xml:space="preserve"> obszar dorzecza Odry</w:t>
      </w:r>
      <w:bookmarkEnd w:id="779"/>
      <w:bookmarkEnd w:id="780"/>
      <w:bookmarkEnd w:id="781"/>
    </w:p>
    <w:tbl>
      <w:tblPr>
        <w:tblW w:w="9064"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410"/>
        <w:gridCol w:w="1276"/>
        <w:gridCol w:w="1275"/>
        <w:gridCol w:w="1276"/>
        <w:gridCol w:w="1134"/>
        <w:gridCol w:w="1276"/>
        <w:gridCol w:w="1417"/>
      </w:tblGrid>
      <w:tr w:rsidR="00E7049B" w14:paraId="70CEE58B" w14:textId="77777777" w:rsidTr="001C6219">
        <w:trPr>
          <w:trHeight w:val="525"/>
        </w:trPr>
        <w:tc>
          <w:tcPr>
            <w:tcW w:w="1410" w:type="dxa"/>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2DF64D83" w14:textId="77777777" w:rsidR="00E7049B" w:rsidRDefault="00E7049B" w:rsidP="0065720C">
            <w:pPr>
              <w:pStyle w:val="Teksttabelinaglowek"/>
              <w:spacing w:line="257" w:lineRule="auto"/>
              <w:ind w:left="57"/>
              <w:rPr>
                <w:lang w:eastAsia="en-US"/>
              </w:rPr>
            </w:pPr>
            <w:r>
              <w:rPr>
                <w:lang w:eastAsia="en-US"/>
              </w:rPr>
              <w:t>Rodzaj działania</w:t>
            </w:r>
          </w:p>
        </w:tc>
        <w:tc>
          <w:tcPr>
            <w:tcW w:w="1276" w:type="dxa"/>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5D08642B" w14:textId="77777777" w:rsidR="00E7049B" w:rsidRDefault="00E7049B">
            <w:pPr>
              <w:pStyle w:val="Teksttabelinaglowek"/>
              <w:spacing w:line="256" w:lineRule="auto"/>
              <w:rPr>
                <w:lang w:eastAsia="en-US"/>
              </w:rPr>
            </w:pPr>
            <w:r>
              <w:rPr>
                <w:lang w:eastAsia="en-US"/>
              </w:rPr>
              <w:t>RAZEM</w:t>
            </w:r>
          </w:p>
        </w:tc>
        <w:tc>
          <w:tcPr>
            <w:tcW w:w="1275" w:type="dxa"/>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25F7ADB3" w14:textId="0DD68C66" w:rsidR="00E7049B" w:rsidRDefault="00DF005E">
            <w:pPr>
              <w:pStyle w:val="Teksttabelinaglowek"/>
              <w:spacing w:line="256" w:lineRule="auto"/>
              <w:rPr>
                <w:lang w:eastAsia="en-US"/>
              </w:rPr>
            </w:pPr>
            <w:r>
              <w:rPr>
                <w:lang w:eastAsia="en-US"/>
              </w:rPr>
              <w:t>JCWP</w:t>
            </w:r>
            <w:r w:rsidR="00E7049B">
              <w:rPr>
                <w:lang w:eastAsia="en-US"/>
              </w:rPr>
              <w:t>d</w:t>
            </w:r>
          </w:p>
        </w:tc>
        <w:tc>
          <w:tcPr>
            <w:tcW w:w="1276" w:type="dxa"/>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29CF6AF8" w14:textId="51363A14" w:rsidR="00E7049B" w:rsidRDefault="00DF005E">
            <w:pPr>
              <w:pStyle w:val="Teksttabelinaglowek"/>
              <w:spacing w:line="256" w:lineRule="auto"/>
              <w:rPr>
                <w:lang w:eastAsia="en-US"/>
              </w:rPr>
            </w:pPr>
            <w:r>
              <w:rPr>
                <w:lang w:eastAsia="en-US"/>
              </w:rPr>
              <w:t>JCWP</w:t>
            </w:r>
            <w:r w:rsidR="00E7049B">
              <w:rPr>
                <w:lang w:eastAsia="en-US"/>
              </w:rPr>
              <w:t xml:space="preserve"> RW</w:t>
            </w:r>
          </w:p>
        </w:tc>
        <w:tc>
          <w:tcPr>
            <w:tcW w:w="1134" w:type="dxa"/>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154775C0" w14:textId="5F091E7A" w:rsidR="00E7049B" w:rsidRDefault="00DF005E">
            <w:pPr>
              <w:pStyle w:val="Teksttabelinaglowek"/>
              <w:spacing w:line="256" w:lineRule="auto"/>
              <w:rPr>
                <w:lang w:eastAsia="en-US"/>
              </w:rPr>
            </w:pPr>
            <w:r>
              <w:rPr>
                <w:lang w:eastAsia="en-US"/>
              </w:rPr>
              <w:t>JCWP</w:t>
            </w:r>
            <w:r w:rsidR="00E7049B">
              <w:rPr>
                <w:lang w:eastAsia="en-US"/>
              </w:rPr>
              <w:t xml:space="preserve"> LW</w:t>
            </w:r>
          </w:p>
        </w:tc>
        <w:tc>
          <w:tcPr>
            <w:tcW w:w="1276" w:type="dxa"/>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717D0F6E" w14:textId="501E9A2B" w:rsidR="00E7049B" w:rsidRDefault="00DF005E">
            <w:pPr>
              <w:pStyle w:val="Teksttabelinaglowek"/>
              <w:spacing w:line="256" w:lineRule="auto"/>
              <w:rPr>
                <w:lang w:eastAsia="en-US"/>
              </w:rPr>
            </w:pPr>
            <w:r>
              <w:rPr>
                <w:lang w:eastAsia="en-US"/>
              </w:rPr>
              <w:t>JCWP</w:t>
            </w:r>
            <w:r w:rsidR="00E7049B">
              <w:rPr>
                <w:lang w:eastAsia="en-US"/>
              </w:rPr>
              <w:t xml:space="preserve"> RWr</w:t>
            </w:r>
          </w:p>
        </w:tc>
        <w:tc>
          <w:tcPr>
            <w:tcW w:w="1417" w:type="dxa"/>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65C5D024" w14:textId="35EA134C" w:rsidR="00E7049B" w:rsidRDefault="00DF005E">
            <w:pPr>
              <w:pStyle w:val="Teksttabelinaglowek"/>
              <w:spacing w:line="256" w:lineRule="auto"/>
              <w:rPr>
                <w:lang w:eastAsia="en-US"/>
              </w:rPr>
            </w:pPr>
            <w:r>
              <w:rPr>
                <w:lang w:eastAsia="en-US"/>
              </w:rPr>
              <w:t>JCWP</w:t>
            </w:r>
            <w:r w:rsidR="00E7049B">
              <w:rPr>
                <w:lang w:eastAsia="en-US"/>
              </w:rPr>
              <w:t xml:space="preserve"> TW i CW</w:t>
            </w:r>
          </w:p>
        </w:tc>
      </w:tr>
      <w:tr w:rsidR="004F7D93" w14:paraId="00FB452A" w14:textId="77777777" w:rsidTr="001C6219">
        <w:trPr>
          <w:trHeight w:val="525"/>
        </w:trPr>
        <w:tc>
          <w:tcPr>
            <w:tcW w:w="1410" w:type="dxa"/>
            <w:tcBorders>
              <w:top w:val="single" w:sz="6" w:space="0" w:color="auto"/>
              <w:left w:val="single" w:sz="6" w:space="0" w:color="auto"/>
              <w:bottom w:val="single" w:sz="6" w:space="0" w:color="auto"/>
              <w:right w:val="single" w:sz="6" w:space="0" w:color="auto"/>
            </w:tcBorders>
            <w:vAlign w:val="center"/>
            <w:hideMark/>
          </w:tcPr>
          <w:p w14:paraId="4C48F7FC" w14:textId="77777777" w:rsidR="004F7D93" w:rsidRDefault="004F7D93" w:rsidP="004F7D93">
            <w:pPr>
              <w:pStyle w:val="Teksttabelilewy"/>
              <w:spacing w:line="257" w:lineRule="auto"/>
              <w:ind w:left="57"/>
              <w:rPr>
                <w:rFonts w:cs="Segoe UI"/>
                <w:szCs w:val="20"/>
                <w:lang w:eastAsia="pl-PL"/>
              </w:rPr>
            </w:pPr>
            <w:r>
              <w:rPr>
                <w:rFonts w:cs="Segoe UI"/>
                <w:szCs w:val="20"/>
                <w:lang w:eastAsia="pl-PL"/>
              </w:rPr>
              <w:t>Działania podstawowe</w:t>
            </w:r>
          </w:p>
        </w:tc>
        <w:tc>
          <w:tcPr>
            <w:tcW w:w="1276" w:type="dxa"/>
            <w:tcBorders>
              <w:top w:val="single" w:sz="6" w:space="0" w:color="auto"/>
              <w:left w:val="nil"/>
              <w:bottom w:val="single" w:sz="6" w:space="0" w:color="auto"/>
              <w:right w:val="single" w:sz="6" w:space="0" w:color="auto"/>
            </w:tcBorders>
            <w:vAlign w:val="center"/>
          </w:tcPr>
          <w:p w14:paraId="265E6D5E" w14:textId="128976FD" w:rsidR="004F7D93" w:rsidRDefault="004F7D93" w:rsidP="004F7D93">
            <w:pPr>
              <w:pStyle w:val="Teksttabelisrodek"/>
              <w:spacing w:line="256" w:lineRule="auto"/>
              <w:rPr>
                <w:lang w:eastAsia="en-US"/>
              </w:rPr>
            </w:pPr>
            <w:r>
              <w:rPr>
                <w:rFonts w:cs="Calibri"/>
                <w:color w:val="000000"/>
                <w:szCs w:val="20"/>
              </w:rPr>
              <w:t>6 200 085,20</w:t>
            </w:r>
          </w:p>
        </w:tc>
        <w:tc>
          <w:tcPr>
            <w:tcW w:w="1275" w:type="dxa"/>
            <w:tcBorders>
              <w:top w:val="single" w:sz="6" w:space="0" w:color="auto"/>
              <w:left w:val="single" w:sz="6" w:space="0" w:color="auto"/>
              <w:bottom w:val="single" w:sz="6" w:space="0" w:color="auto"/>
              <w:right w:val="single" w:sz="6" w:space="0" w:color="auto"/>
            </w:tcBorders>
            <w:vAlign w:val="center"/>
          </w:tcPr>
          <w:p w14:paraId="0F967B6E" w14:textId="130C3FD2" w:rsidR="004F7D93" w:rsidRDefault="004F7D93" w:rsidP="004F7D93">
            <w:pPr>
              <w:pStyle w:val="Teksttabelisrodek"/>
              <w:spacing w:line="256" w:lineRule="auto"/>
              <w:rPr>
                <w:lang w:eastAsia="en-US"/>
              </w:rPr>
            </w:pPr>
            <w:r>
              <w:rPr>
                <w:rFonts w:cs="Calibri"/>
                <w:color w:val="000000"/>
                <w:szCs w:val="20"/>
              </w:rPr>
              <w:t>72 973,53</w:t>
            </w:r>
          </w:p>
        </w:tc>
        <w:tc>
          <w:tcPr>
            <w:tcW w:w="1276" w:type="dxa"/>
            <w:tcBorders>
              <w:top w:val="single" w:sz="6" w:space="0" w:color="auto"/>
              <w:left w:val="nil"/>
              <w:bottom w:val="single" w:sz="6" w:space="0" w:color="auto"/>
              <w:right w:val="single" w:sz="6" w:space="0" w:color="auto"/>
            </w:tcBorders>
            <w:vAlign w:val="center"/>
          </w:tcPr>
          <w:p w14:paraId="1B09DAFE" w14:textId="0C41BE24" w:rsidR="004F7D93" w:rsidRDefault="004F7D93" w:rsidP="004F7D93">
            <w:pPr>
              <w:pStyle w:val="Teksttabelisrodek"/>
              <w:spacing w:line="256" w:lineRule="auto"/>
              <w:rPr>
                <w:lang w:eastAsia="en-US"/>
              </w:rPr>
            </w:pPr>
            <w:r>
              <w:rPr>
                <w:rFonts w:cs="Calibri"/>
                <w:color w:val="000000"/>
                <w:szCs w:val="20"/>
              </w:rPr>
              <w:t>6 091 913,00</w:t>
            </w:r>
          </w:p>
        </w:tc>
        <w:tc>
          <w:tcPr>
            <w:tcW w:w="1134" w:type="dxa"/>
            <w:tcBorders>
              <w:top w:val="single" w:sz="6" w:space="0" w:color="auto"/>
              <w:left w:val="nil"/>
              <w:bottom w:val="single" w:sz="6" w:space="0" w:color="auto"/>
              <w:right w:val="single" w:sz="6" w:space="0" w:color="auto"/>
            </w:tcBorders>
            <w:vAlign w:val="center"/>
          </w:tcPr>
          <w:p w14:paraId="6423064E" w14:textId="0C06554E" w:rsidR="004F7D93" w:rsidRDefault="004F7D93" w:rsidP="004F7D93">
            <w:pPr>
              <w:pStyle w:val="Teksttabelisrodek"/>
              <w:spacing w:line="256" w:lineRule="auto"/>
              <w:rPr>
                <w:lang w:eastAsia="en-US"/>
              </w:rPr>
            </w:pPr>
            <w:r>
              <w:rPr>
                <w:rFonts w:cs="Calibri"/>
                <w:color w:val="000000"/>
                <w:szCs w:val="20"/>
              </w:rPr>
              <w:t>7 363,11</w:t>
            </w:r>
          </w:p>
        </w:tc>
        <w:tc>
          <w:tcPr>
            <w:tcW w:w="1276" w:type="dxa"/>
            <w:tcBorders>
              <w:top w:val="single" w:sz="6" w:space="0" w:color="auto"/>
              <w:left w:val="nil"/>
              <w:bottom w:val="single" w:sz="6" w:space="0" w:color="auto"/>
              <w:right w:val="single" w:sz="6" w:space="0" w:color="auto"/>
            </w:tcBorders>
            <w:vAlign w:val="center"/>
          </w:tcPr>
          <w:p w14:paraId="2EB5DBD8" w14:textId="18D2E3FD" w:rsidR="004F7D93" w:rsidRDefault="004F7D93" w:rsidP="004F7D93">
            <w:pPr>
              <w:pStyle w:val="Teksttabelisrodek"/>
              <w:spacing w:line="256" w:lineRule="auto"/>
              <w:rPr>
                <w:lang w:eastAsia="en-US"/>
              </w:rPr>
            </w:pPr>
            <w:r>
              <w:rPr>
                <w:rFonts w:cs="Calibri"/>
                <w:color w:val="000000"/>
                <w:szCs w:val="20"/>
              </w:rPr>
              <w:t>3 670,56</w:t>
            </w:r>
          </w:p>
        </w:tc>
        <w:tc>
          <w:tcPr>
            <w:tcW w:w="1417" w:type="dxa"/>
            <w:tcBorders>
              <w:top w:val="single" w:sz="6" w:space="0" w:color="auto"/>
              <w:left w:val="nil"/>
              <w:bottom w:val="single" w:sz="6" w:space="0" w:color="auto"/>
              <w:right w:val="single" w:sz="6" w:space="0" w:color="auto"/>
            </w:tcBorders>
            <w:vAlign w:val="center"/>
          </w:tcPr>
          <w:p w14:paraId="11BFAA77" w14:textId="0F36A644" w:rsidR="004F7D93" w:rsidRDefault="004F7D93" w:rsidP="004F7D93">
            <w:pPr>
              <w:pStyle w:val="Teksttabelisrodek"/>
              <w:spacing w:line="256" w:lineRule="auto"/>
              <w:rPr>
                <w:lang w:eastAsia="en-US"/>
              </w:rPr>
            </w:pPr>
            <w:r>
              <w:rPr>
                <w:rFonts w:cs="Calibri"/>
                <w:szCs w:val="20"/>
              </w:rPr>
              <w:t>24 165,00</w:t>
            </w:r>
          </w:p>
        </w:tc>
      </w:tr>
      <w:tr w:rsidR="004F7D93" w14:paraId="314E07E7" w14:textId="77777777" w:rsidTr="001C6219">
        <w:trPr>
          <w:trHeight w:val="525"/>
        </w:trPr>
        <w:tc>
          <w:tcPr>
            <w:tcW w:w="1410" w:type="dxa"/>
            <w:tcBorders>
              <w:top w:val="single" w:sz="6" w:space="0" w:color="auto"/>
              <w:left w:val="single" w:sz="6" w:space="0" w:color="auto"/>
              <w:bottom w:val="single" w:sz="6" w:space="0" w:color="auto"/>
              <w:right w:val="single" w:sz="6" w:space="0" w:color="auto"/>
            </w:tcBorders>
            <w:vAlign w:val="center"/>
            <w:hideMark/>
          </w:tcPr>
          <w:p w14:paraId="42991CFF" w14:textId="77777777" w:rsidR="004F7D93" w:rsidRDefault="004F7D93" w:rsidP="004F7D93">
            <w:pPr>
              <w:pStyle w:val="Teksttabelilewy"/>
              <w:spacing w:line="257" w:lineRule="auto"/>
              <w:ind w:left="57"/>
              <w:rPr>
                <w:rFonts w:cs="Segoe UI"/>
                <w:szCs w:val="20"/>
                <w:lang w:eastAsia="pl-PL"/>
              </w:rPr>
            </w:pPr>
            <w:r>
              <w:rPr>
                <w:rFonts w:cs="Segoe UI"/>
                <w:szCs w:val="20"/>
                <w:lang w:eastAsia="pl-PL"/>
              </w:rPr>
              <w:t>Działania uzupełniające</w:t>
            </w:r>
          </w:p>
        </w:tc>
        <w:tc>
          <w:tcPr>
            <w:tcW w:w="1276" w:type="dxa"/>
            <w:tcBorders>
              <w:top w:val="single" w:sz="6" w:space="0" w:color="auto"/>
              <w:left w:val="nil"/>
              <w:bottom w:val="single" w:sz="6" w:space="0" w:color="auto"/>
              <w:right w:val="single" w:sz="6" w:space="0" w:color="auto"/>
            </w:tcBorders>
            <w:vAlign w:val="center"/>
          </w:tcPr>
          <w:p w14:paraId="06FA3A15" w14:textId="7C626400" w:rsidR="004F7D93" w:rsidRDefault="004F7D93" w:rsidP="004F7D93">
            <w:pPr>
              <w:pStyle w:val="Teksttabelisrodek"/>
              <w:spacing w:line="256" w:lineRule="auto"/>
              <w:rPr>
                <w:lang w:eastAsia="en-US"/>
              </w:rPr>
            </w:pPr>
            <w:r>
              <w:rPr>
                <w:rFonts w:cs="Calibri"/>
                <w:color w:val="000000"/>
                <w:szCs w:val="20"/>
              </w:rPr>
              <w:t>1 514 143,56</w:t>
            </w:r>
          </w:p>
        </w:tc>
        <w:tc>
          <w:tcPr>
            <w:tcW w:w="1275" w:type="dxa"/>
            <w:tcBorders>
              <w:top w:val="single" w:sz="6" w:space="0" w:color="auto"/>
              <w:left w:val="single" w:sz="6" w:space="0" w:color="auto"/>
              <w:bottom w:val="single" w:sz="6" w:space="0" w:color="auto"/>
              <w:right w:val="single" w:sz="6" w:space="0" w:color="auto"/>
            </w:tcBorders>
            <w:vAlign w:val="center"/>
          </w:tcPr>
          <w:p w14:paraId="4892F598" w14:textId="45DC60E5" w:rsidR="004F7D93" w:rsidRDefault="004F7D93" w:rsidP="004F7D93">
            <w:pPr>
              <w:pStyle w:val="Teksttabelisrodek"/>
              <w:spacing w:line="256" w:lineRule="auto"/>
              <w:rPr>
                <w:lang w:eastAsia="en-US"/>
              </w:rPr>
            </w:pPr>
            <w:r>
              <w:rPr>
                <w:rFonts w:cs="Calibri"/>
                <w:color w:val="000000"/>
                <w:szCs w:val="20"/>
              </w:rPr>
              <w:t>1 056 142,05</w:t>
            </w:r>
          </w:p>
        </w:tc>
        <w:tc>
          <w:tcPr>
            <w:tcW w:w="1276" w:type="dxa"/>
            <w:tcBorders>
              <w:top w:val="single" w:sz="6" w:space="0" w:color="auto"/>
              <w:left w:val="nil"/>
              <w:bottom w:val="single" w:sz="6" w:space="0" w:color="auto"/>
              <w:right w:val="single" w:sz="6" w:space="0" w:color="auto"/>
            </w:tcBorders>
            <w:vAlign w:val="center"/>
          </w:tcPr>
          <w:p w14:paraId="48E4AA60" w14:textId="2AB04A1A" w:rsidR="004F7D93" w:rsidRDefault="004F7D93" w:rsidP="004F7D93">
            <w:pPr>
              <w:pStyle w:val="Teksttabelisrodek"/>
              <w:spacing w:line="256" w:lineRule="auto"/>
              <w:rPr>
                <w:lang w:eastAsia="en-US"/>
              </w:rPr>
            </w:pPr>
            <w:r>
              <w:rPr>
                <w:rFonts w:cs="Calibri"/>
                <w:color w:val="000000"/>
                <w:szCs w:val="20"/>
              </w:rPr>
              <w:t>409 491,76</w:t>
            </w:r>
          </w:p>
        </w:tc>
        <w:tc>
          <w:tcPr>
            <w:tcW w:w="1134" w:type="dxa"/>
            <w:tcBorders>
              <w:top w:val="single" w:sz="6" w:space="0" w:color="auto"/>
              <w:left w:val="nil"/>
              <w:bottom w:val="single" w:sz="6" w:space="0" w:color="auto"/>
              <w:right w:val="single" w:sz="6" w:space="0" w:color="auto"/>
            </w:tcBorders>
            <w:vAlign w:val="center"/>
          </w:tcPr>
          <w:p w14:paraId="0768FCC5" w14:textId="4C936AB3" w:rsidR="004F7D93" w:rsidRDefault="004F7D93" w:rsidP="004F7D93">
            <w:pPr>
              <w:pStyle w:val="Teksttabelisrodek"/>
              <w:spacing w:line="256" w:lineRule="auto"/>
              <w:rPr>
                <w:lang w:eastAsia="en-US"/>
              </w:rPr>
            </w:pPr>
            <w:r>
              <w:rPr>
                <w:rFonts w:cs="Calibri"/>
                <w:color w:val="000000"/>
                <w:szCs w:val="20"/>
              </w:rPr>
              <w:t>38 276,20</w:t>
            </w:r>
          </w:p>
        </w:tc>
        <w:tc>
          <w:tcPr>
            <w:tcW w:w="1276" w:type="dxa"/>
            <w:tcBorders>
              <w:top w:val="single" w:sz="6" w:space="0" w:color="auto"/>
              <w:left w:val="nil"/>
              <w:bottom w:val="single" w:sz="6" w:space="0" w:color="auto"/>
              <w:right w:val="single" w:sz="6" w:space="0" w:color="auto"/>
            </w:tcBorders>
            <w:vAlign w:val="center"/>
          </w:tcPr>
          <w:p w14:paraId="61B5C783" w14:textId="6A4787FA" w:rsidR="004F7D93" w:rsidRDefault="004F7D93" w:rsidP="004F7D93">
            <w:pPr>
              <w:pStyle w:val="Teksttabelisrodek"/>
              <w:spacing w:line="256" w:lineRule="auto"/>
              <w:rPr>
                <w:lang w:eastAsia="en-US"/>
              </w:rPr>
            </w:pPr>
            <w:r>
              <w:rPr>
                <w:rFonts w:cs="Calibri"/>
                <w:color w:val="000000"/>
                <w:szCs w:val="20"/>
              </w:rPr>
              <w:t>7 238,55</w:t>
            </w:r>
          </w:p>
        </w:tc>
        <w:tc>
          <w:tcPr>
            <w:tcW w:w="1417" w:type="dxa"/>
            <w:tcBorders>
              <w:top w:val="single" w:sz="6" w:space="0" w:color="auto"/>
              <w:left w:val="nil"/>
              <w:bottom w:val="single" w:sz="6" w:space="0" w:color="auto"/>
              <w:right w:val="single" w:sz="6" w:space="0" w:color="auto"/>
            </w:tcBorders>
            <w:vAlign w:val="center"/>
          </w:tcPr>
          <w:p w14:paraId="15B3E467" w14:textId="72BE9EE9" w:rsidR="004F7D93" w:rsidRDefault="004F7D93" w:rsidP="004F7D93">
            <w:pPr>
              <w:pStyle w:val="Teksttabelisrodek"/>
              <w:spacing w:line="256" w:lineRule="auto"/>
              <w:rPr>
                <w:lang w:eastAsia="en-US"/>
              </w:rPr>
            </w:pPr>
            <w:r>
              <w:rPr>
                <w:rFonts w:cs="Calibri"/>
                <w:szCs w:val="20"/>
              </w:rPr>
              <w:t>2 995,00</w:t>
            </w:r>
          </w:p>
        </w:tc>
      </w:tr>
    </w:tbl>
    <w:p w14:paraId="19920382" w14:textId="77777777" w:rsidR="00E7049B" w:rsidRDefault="00E7049B" w:rsidP="00E7049B">
      <w:pPr>
        <w:pStyle w:val="rdo"/>
        <w:rPr>
          <w:lang w:eastAsia="zh-CN"/>
        </w:rPr>
      </w:pPr>
      <w:r>
        <w:rPr>
          <w:lang w:eastAsia="zh-CN"/>
        </w:rPr>
        <w:t>Źródło: opracowanie własne</w:t>
      </w:r>
    </w:p>
    <w:p w14:paraId="119D5CDC" w14:textId="30E7B114" w:rsidR="00E7049B" w:rsidRDefault="00E7049B" w:rsidP="00E7049B">
      <w:r>
        <w:t xml:space="preserve">W przypadku kosztów zestawu działań według kategorii działań należy stwierdzić, że największy udział w kosztach mają działania z zakresu gospodarki komunalnej i odpadami </w:t>
      </w:r>
      <w:r w:rsidR="0017773C">
        <w:t>–</w:t>
      </w:r>
      <w:r>
        <w:t xml:space="preserve"> </w:t>
      </w:r>
      <w:r w:rsidR="00180335">
        <w:t>79</w:t>
      </w:r>
      <w:r>
        <w:t xml:space="preserve">%. Drugą w kolejności kategorią są działania z zakresu leśnictwa </w:t>
      </w:r>
      <w:r w:rsidR="0017773C">
        <w:t>–</w:t>
      </w:r>
      <w:r>
        <w:t xml:space="preserve"> </w:t>
      </w:r>
      <w:r w:rsidR="00180335">
        <w:t>13,5</w:t>
      </w:r>
      <w:r>
        <w:t xml:space="preserve">%. Szczegółowe dane w podziale na poszczególne kategorie działań, przedstawia tabela poniżej. </w:t>
      </w:r>
    </w:p>
    <w:p w14:paraId="5D001419" w14:textId="72BA57E8" w:rsidR="00E7049B" w:rsidRDefault="00E7049B" w:rsidP="004D7705">
      <w:pPr>
        <w:pStyle w:val="Tabela"/>
      </w:pPr>
      <w:bookmarkStart w:id="782" w:name="_Toc66341956"/>
      <w:bookmarkStart w:id="783" w:name="_Toc67652439"/>
      <w:bookmarkStart w:id="784" w:name="_Toc105512885"/>
      <w:r>
        <w:t xml:space="preserve">Tabela </w:t>
      </w:r>
      <w:fldSimple w:instr=" STYLEREF 1 \s ">
        <w:r w:rsidR="001F774D">
          <w:rPr>
            <w:noProof/>
          </w:rPr>
          <w:t>12</w:t>
        </w:r>
      </w:fldSimple>
      <w:r>
        <w:noBreakHyphen/>
      </w:r>
      <w:fldSimple w:instr=" SEQ Tabela \* ARABIC \s 1 ">
        <w:r w:rsidR="001F774D">
          <w:rPr>
            <w:noProof/>
          </w:rPr>
          <w:t>16</w:t>
        </w:r>
      </w:fldSimple>
      <w:r w:rsidR="000B5450">
        <w:rPr>
          <w:noProof/>
        </w:rPr>
        <w:t>.</w:t>
      </w:r>
      <w:r>
        <w:tab/>
      </w:r>
      <w:r>
        <w:rPr>
          <w:szCs w:val="20"/>
        </w:rPr>
        <w:t xml:space="preserve">Koszty zestawu działań </w:t>
      </w:r>
      <w:r>
        <w:t xml:space="preserve">według kategorii działań (w tys. zł) </w:t>
      </w:r>
      <w:r w:rsidR="0017773C">
        <w:t xml:space="preserve">– </w:t>
      </w:r>
      <w:bookmarkEnd w:id="782"/>
      <w:r>
        <w:t>obszar dorzecza Odry</w:t>
      </w:r>
      <w:bookmarkEnd w:id="783"/>
      <w:bookmarkEnd w:id="784"/>
    </w:p>
    <w:tbl>
      <w:tblPr>
        <w:tblW w:w="5004" w:type="pct"/>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118"/>
        <w:gridCol w:w="1418"/>
        <w:gridCol w:w="1278"/>
        <w:gridCol w:w="38"/>
        <w:gridCol w:w="953"/>
        <w:gridCol w:w="993"/>
        <w:gridCol w:w="991"/>
        <w:gridCol w:w="1263"/>
        <w:gridCol w:w="11"/>
      </w:tblGrid>
      <w:tr w:rsidR="00CC6E1B" w14:paraId="4B560C78" w14:textId="77777777" w:rsidTr="00CC6E1B">
        <w:trPr>
          <w:gridAfter w:val="1"/>
          <w:wAfter w:w="6" w:type="pct"/>
          <w:trHeight w:val="454"/>
          <w:tblHeader/>
        </w:trPr>
        <w:tc>
          <w:tcPr>
            <w:tcW w:w="1168" w:type="pct"/>
            <w:tcBorders>
              <w:top w:val="single" w:sz="6" w:space="0" w:color="auto"/>
              <w:left w:val="single" w:sz="6" w:space="0" w:color="auto"/>
              <w:bottom w:val="single" w:sz="4" w:space="0" w:color="auto"/>
              <w:right w:val="single" w:sz="6" w:space="0" w:color="auto"/>
            </w:tcBorders>
            <w:shd w:val="clear" w:color="auto" w:fill="BFBFBF" w:themeFill="background1" w:themeFillShade="BF"/>
            <w:vAlign w:val="center"/>
            <w:hideMark/>
          </w:tcPr>
          <w:p w14:paraId="670FFB6A" w14:textId="77777777" w:rsidR="00E7049B" w:rsidRPr="002A304C" w:rsidRDefault="00E7049B" w:rsidP="0065720C">
            <w:pPr>
              <w:pStyle w:val="Teksttabelinaglowek"/>
              <w:keepNext/>
              <w:keepLines/>
              <w:ind w:left="57"/>
              <w:outlineLvl w:val="8"/>
              <w:rPr>
                <w:rFonts w:cstheme="minorHAnsi"/>
                <w:szCs w:val="20"/>
                <w:lang w:eastAsia="en-US"/>
              </w:rPr>
            </w:pPr>
            <w:r w:rsidRPr="002A304C">
              <w:rPr>
                <w:rFonts w:cstheme="minorHAnsi"/>
                <w:szCs w:val="20"/>
                <w:lang w:eastAsia="en-US"/>
              </w:rPr>
              <w:t>Kategoria działań</w:t>
            </w:r>
          </w:p>
        </w:tc>
        <w:tc>
          <w:tcPr>
            <w:tcW w:w="782" w:type="pct"/>
            <w:tcBorders>
              <w:top w:val="single" w:sz="6" w:space="0" w:color="auto"/>
              <w:left w:val="nil"/>
              <w:bottom w:val="single" w:sz="4" w:space="0" w:color="auto"/>
              <w:right w:val="single" w:sz="6" w:space="0" w:color="auto"/>
            </w:tcBorders>
            <w:shd w:val="clear" w:color="auto" w:fill="BFBFBF" w:themeFill="background1" w:themeFillShade="BF"/>
            <w:vAlign w:val="center"/>
            <w:hideMark/>
          </w:tcPr>
          <w:p w14:paraId="6B2D06C5" w14:textId="77777777" w:rsidR="00E7049B" w:rsidRDefault="00E7049B" w:rsidP="002A304C">
            <w:pPr>
              <w:pStyle w:val="Teksttabelinaglowek"/>
              <w:rPr>
                <w:lang w:eastAsia="en-US"/>
              </w:rPr>
            </w:pPr>
            <w:r>
              <w:rPr>
                <w:lang w:eastAsia="en-US"/>
              </w:rPr>
              <w:t>RAZEM</w:t>
            </w:r>
          </w:p>
        </w:tc>
        <w:tc>
          <w:tcPr>
            <w:tcW w:w="726" w:type="pct"/>
            <w:gridSpan w:val="2"/>
            <w:tcBorders>
              <w:top w:val="single" w:sz="6" w:space="0" w:color="auto"/>
              <w:left w:val="nil"/>
              <w:bottom w:val="single" w:sz="4" w:space="0" w:color="auto"/>
              <w:right w:val="single" w:sz="6" w:space="0" w:color="auto"/>
            </w:tcBorders>
            <w:shd w:val="clear" w:color="auto" w:fill="BFBFBF" w:themeFill="background1" w:themeFillShade="BF"/>
            <w:vAlign w:val="center"/>
            <w:hideMark/>
          </w:tcPr>
          <w:p w14:paraId="396997AC" w14:textId="5AFB81C8" w:rsidR="00E7049B" w:rsidRDefault="00DF005E" w:rsidP="002A304C">
            <w:pPr>
              <w:pStyle w:val="Teksttabelinaglowek"/>
              <w:rPr>
                <w:lang w:eastAsia="en-US"/>
              </w:rPr>
            </w:pPr>
            <w:r>
              <w:rPr>
                <w:lang w:eastAsia="en-US"/>
              </w:rPr>
              <w:t>JCWP</w:t>
            </w:r>
            <w:r w:rsidR="00E7049B">
              <w:rPr>
                <w:lang w:eastAsia="en-US"/>
              </w:rPr>
              <w:t xml:space="preserve"> RW</w:t>
            </w:r>
          </w:p>
        </w:tc>
        <w:tc>
          <w:tcPr>
            <w:tcW w:w="526" w:type="pct"/>
            <w:tcBorders>
              <w:top w:val="single" w:sz="6" w:space="0" w:color="auto"/>
              <w:left w:val="nil"/>
              <w:bottom w:val="single" w:sz="4" w:space="0" w:color="auto"/>
              <w:right w:val="single" w:sz="6" w:space="0" w:color="auto"/>
            </w:tcBorders>
            <w:shd w:val="clear" w:color="auto" w:fill="BFBFBF" w:themeFill="background1" w:themeFillShade="BF"/>
            <w:vAlign w:val="center"/>
            <w:hideMark/>
          </w:tcPr>
          <w:p w14:paraId="22EC6EBD" w14:textId="30A97728" w:rsidR="00E7049B" w:rsidRDefault="00DF005E" w:rsidP="002A304C">
            <w:pPr>
              <w:pStyle w:val="Teksttabelinaglowek"/>
              <w:rPr>
                <w:lang w:eastAsia="en-US"/>
              </w:rPr>
            </w:pPr>
            <w:r>
              <w:rPr>
                <w:lang w:eastAsia="en-US"/>
              </w:rPr>
              <w:t>JCWP</w:t>
            </w:r>
            <w:r w:rsidR="00E7049B">
              <w:rPr>
                <w:lang w:eastAsia="en-US"/>
              </w:rPr>
              <w:t xml:space="preserve"> LW</w:t>
            </w:r>
          </w:p>
        </w:tc>
        <w:tc>
          <w:tcPr>
            <w:tcW w:w="548" w:type="pct"/>
            <w:tcBorders>
              <w:top w:val="single" w:sz="6" w:space="0" w:color="auto"/>
              <w:left w:val="nil"/>
              <w:bottom w:val="single" w:sz="4" w:space="0" w:color="auto"/>
              <w:right w:val="single" w:sz="6" w:space="0" w:color="auto"/>
            </w:tcBorders>
            <w:shd w:val="clear" w:color="auto" w:fill="BFBFBF" w:themeFill="background1" w:themeFillShade="BF"/>
            <w:vAlign w:val="center"/>
            <w:hideMark/>
          </w:tcPr>
          <w:p w14:paraId="6361068D" w14:textId="558B909A" w:rsidR="00E7049B" w:rsidRDefault="00DF005E" w:rsidP="002A304C">
            <w:pPr>
              <w:pStyle w:val="Teksttabelinaglowek"/>
              <w:rPr>
                <w:lang w:eastAsia="en-US"/>
              </w:rPr>
            </w:pPr>
            <w:r>
              <w:rPr>
                <w:lang w:eastAsia="en-US"/>
              </w:rPr>
              <w:t>JCWP</w:t>
            </w:r>
            <w:r w:rsidR="00E7049B">
              <w:rPr>
                <w:lang w:eastAsia="en-US"/>
              </w:rPr>
              <w:t xml:space="preserve"> RWr</w:t>
            </w:r>
          </w:p>
        </w:tc>
        <w:tc>
          <w:tcPr>
            <w:tcW w:w="547" w:type="pct"/>
            <w:tcBorders>
              <w:top w:val="single" w:sz="6" w:space="0" w:color="auto"/>
              <w:left w:val="nil"/>
              <w:bottom w:val="single" w:sz="4" w:space="0" w:color="auto"/>
              <w:right w:val="single" w:sz="6" w:space="0" w:color="auto"/>
            </w:tcBorders>
            <w:shd w:val="clear" w:color="auto" w:fill="BFBFBF" w:themeFill="background1" w:themeFillShade="BF"/>
            <w:vAlign w:val="center"/>
            <w:hideMark/>
          </w:tcPr>
          <w:p w14:paraId="1C452A6A" w14:textId="6EF12935" w:rsidR="00E7049B" w:rsidRDefault="00DF005E" w:rsidP="002A304C">
            <w:pPr>
              <w:pStyle w:val="Teksttabelinaglowek"/>
              <w:rPr>
                <w:lang w:eastAsia="en-US"/>
              </w:rPr>
            </w:pPr>
            <w:r>
              <w:rPr>
                <w:lang w:eastAsia="en-US"/>
              </w:rPr>
              <w:t>JCWP</w:t>
            </w:r>
            <w:r w:rsidR="00E7049B">
              <w:rPr>
                <w:lang w:eastAsia="en-US"/>
              </w:rPr>
              <w:t xml:space="preserve"> TW</w:t>
            </w:r>
            <w:r w:rsidR="00826F63">
              <w:rPr>
                <w:lang w:eastAsia="en-US"/>
              </w:rPr>
              <w:t> </w:t>
            </w:r>
            <w:r w:rsidR="00E7049B">
              <w:rPr>
                <w:lang w:eastAsia="en-US"/>
              </w:rPr>
              <w:t>i</w:t>
            </w:r>
            <w:r w:rsidR="00826F63">
              <w:rPr>
                <w:lang w:eastAsia="en-US"/>
              </w:rPr>
              <w:t> </w:t>
            </w:r>
            <w:r w:rsidR="00E7049B">
              <w:rPr>
                <w:lang w:eastAsia="en-US"/>
              </w:rPr>
              <w:t>CW</w:t>
            </w:r>
          </w:p>
        </w:tc>
        <w:tc>
          <w:tcPr>
            <w:tcW w:w="697" w:type="pct"/>
            <w:tcBorders>
              <w:top w:val="single" w:sz="6" w:space="0" w:color="auto"/>
              <w:left w:val="nil"/>
              <w:bottom w:val="single" w:sz="4" w:space="0" w:color="auto"/>
              <w:right w:val="single" w:sz="6" w:space="0" w:color="auto"/>
            </w:tcBorders>
            <w:shd w:val="clear" w:color="auto" w:fill="BFBFBF" w:themeFill="background1" w:themeFillShade="BF"/>
            <w:vAlign w:val="center"/>
            <w:hideMark/>
          </w:tcPr>
          <w:p w14:paraId="2478DA29" w14:textId="4A6BE045" w:rsidR="00E7049B" w:rsidRDefault="00DF005E" w:rsidP="002A304C">
            <w:pPr>
              <w:pStyle w:val="Teksttabelinaglowek"/>
              <w:rPr>
                <w:lang w:eastAsia="en-US"/>
              </w:rPr>
            </w:pPr>
            <w:r>
              <w:rPr>
                <w:lang w:eastAsia="en-US"/>
              </w:rPr>
              <w:t>JCWP</w:t>
            </w:r>
            <w:r w:rsidR="00E7049B">
              <w:rPr>
                <w:lang w:eastAsia="en-US"/>
              </w:rPr>
              <w:t>d</w:t>
            </w:r>
          </w:p>
        </w:tc>
      </w:tr>
      <w:tr w:rsidR="00CC6E1B" w14:paraId="2E179483"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3F292C90" w14:textId="77777777"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Adaptacja do zmian klimatu</w:t>
            </w:r>
          </w:p>
        </w:tc>
        <w:tc>
          <w:tcPr>
            <w:tcW w:w="782" w:type="pct"/>
            <w:tcBorders>
              <w:top w:val="single" w:sz="4" w:space="0" w:color="auto"/>
              <w:left w:val="single" w:sz="4" w:space="0" w:color="auto"/>
              <w:bottom w:val="single" w:sz="4" w:space="0" w:color="auto"/>
              <w:right w:val="single" w:sz="4" w:space="0" w:color="auto"/>
            </w:tcBorders>
            <w:vAlign w:val="center"/>
          </w:tcPr>
          <w:p w14:paraId="299F6967" w14:textId="2EB99EC0"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73 718,75</w:t>
            </w:r>
          </w:p>
        </w:tc>
        <w:tc>
          <w:tcPr>
            <w:tcW w:w="705" w:type="pct"/>
            <w:tcBorders>
              <w:top w:val="single" w:sz="4" w:space="0" w:color="auto"/>
              <w:left w:val="single" w:sz="4" w:space="0" w:color="auto"/>
              <w:bottom w:val="single" w:sz="4" w:space="0" w:color="auto"/>
              <w:right w:val="single" w:sz="4" w:space="0" w:color="auto"/>
            </w:tcBorders>
            <w:vAlign w:val="center"/>
          </w:tcPr>
          <w:p w14:paraId="639B6D22" w14:textId="3E1A9340"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73 593,71</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5CB68D96" w14:textId="533CB4BA"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8" w:type="pct"/>
            <w:tcBorders>
              <w:top w:val="single" w:sz="4" w:space="0" w:color="auto"/>
              <w:left w:val="single" w:sz="4" w:space="0" w:color="auto"/>
              <w:bottom w:val="single" w:sz="4" w:space="0" w:color="auto"/>
              <w:right w:val="single" w:sz="4" w:space="0" w:color="auto"/>
            </w:tcBorders>
            <w:vAlign w:val="center"/>
          </w:tcPr>
          <w:p w14:paraId="6262A455" w14:textId="7ED39551"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125,04</w:t>
            </w:r>
          </w:p>
        </w:tc>
        <w:tc>
          <w:tcPr>
            <w:tcW w:w="547" w:type="pct"/>
            <w:tcBorders>
              <w:top w:val="single" w:sz="4" w:space="0" w:color="auto"/>
              <w:left w:val="single" w:sz="4" w:space="0" w:color="auto"/>
              <w:bottom w:val="single" w:sz="4" w:space="0" w:color="auto"/>
              <w:right w:val="single" w:sz="4" w:space="0" w:color="auto"/>
            </w:tcBorders>
            <w:vAlign w:val="center"/>
          </w:tcPr>
          <w:p w14:paraId="7D473FD8" w14:textId="238DFB2B"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3169420C" w14:textId="4F39FBFB"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r>
      <w:tr w:rsidR="00CC6E1B" w14:paraId="2503B03C"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tcPr>
          <w:p w14:paraId="7A0F7AA9" w14:textId="77DFDE22" w:rsidR="00CC6E1B" w:rsidRPr="002A304C" w:rsidRDefault="00CC6E1B" w:rsidP="00CC6E1B">
            <w:pPr>
              <w:pStyle w:val="Teksttabelilewy"/>
              <w:ind w:left="57"/>
              <w:rPr>
                <w:rFonts w:asciiTheme="minorHAnsi" w:hAnsiTheme="minorHAnsi" w:cstheme="minorHAnsi"/>
                <w:szCs w:val="20"/>
                <w:lang w:eastAsia="pl-PL"/>
              </w:rPr>
            </w:pPr>
            <w:r>
              <w:rPr>
                <w:rFonts w:asciiTheme="minorHAnsi" w:hAnsiTheme="minorHAnsi" w:cstheme="minorHAnsi"/>
                <w:szCs w:val="20"/>
                <w:lang w:eastAsia="pl-PL"/>
              </w:rPr>
              <w:t>Aktualizacja programu ochrony środowiska</w:t>
            </w:r>
          </w:p>
        </w:tc>
        <w:tc>
          <w:tcPr>
            <w:tcW w:w="782" w:type="pct"/>
            <w:tcBorders>
              <w:top w:val="single" w:sz="4" w:space="0" w:color="auto"/>
              <w:left w:val="single" w:sz="4" w:space="0" w:color="auto"/>
              <w:bottom w:val="single" w:sz="4" w:space="0" w:color="auto"/>
              <w:right w:val="single" w:sz="4" w:space="0" w:color="auto"/>
            </w:tcBorders>
            <w:vAlign w:val="center"/>
          </w:tcPr>
          <w:p w14:paraId="3EE18C32" w14:textId="2A8C08BA" w:rsidR="00CC6E1B" w:rsidRDefault="00CC6E1B"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59 500,00</w:t>
            </w:r>
          </w:p>
        </w:tc>
        <w:tc>
          <w:tcPr>
            <w:tcW w:w="705" w:type="pct"/>
            <w:tcBorders>
              <w:top w:val="single" w:sz="4" w:space="0" w:color="auto"/>
              <w:left w:val="single" w:sz="4" w:space="0" w:color="auto"/>
              <w:bottom w:val="single" w:sz="4" w:space="0" w:color="auto"/>
              <w:right w:val="single" w:sz="4" w:space="0" w:color="auto"/>
            </w:tcBorders>
            <w:vAlign w:val="center"/>
          </w:tcPr>
          <w:p w14:paraId="6DCC3C18" w14:textId="43B427C9" w:rsidR="00CC6E1B" w:rsidRDefault="00CC6E1B"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38 275,00</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4F2A4E11" w14:textId="1D223D3C" w:rsidR="00CC6E1B" w:rsidRPr="002A304C" w:rsidDel="00180335" w:rsidRDefault="00CC6E1B"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19 750,00</w:t>
            </w:r>
          </w:p>
        </w:tc>
        <w:tc>
          <w:tcPr>
            <w:tcW w:w="548" w:type="pct"/>
            <w:tcBorders>
              <w:top w:val="single" w:sz="4" w:space="0" w:color="auto"/>
              <w:left w:val="single" w:sz="4" w:space="0" w:color="auto"/>
              <w:bottom w:val="single" w:sz="4" w:space="0" w:color="auto"/>
              <w:right w:val="single" w:sz="4" w:space="0" w:color="auto"/>
            </w:tcBorders>
            <w:vAlign w:val="center"/>
          </w:tcPr>
          <w:p w14:paraId="2501CB01" w14:textId="5548F42B" w:rsidR="00CC6E1B" w:rsidRPr="002A304C" w:rsidDel="00180335" w:rsidRDefault="00CC6E1B"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1 475,00</w:t>
            </w:r>
          </w:p>
        </w:tc>
        <w:tc>
          <w:tcPr>
            <w:tcW w:w="547" w:type="pct"/>
            <w:tcBorders>
              <w:top w:val="single" w:sz="4" w:space="0" w:color="auto"/>
              <w:left w:val="single" w:sz="4" w:space="0" w:color="auto"/>
              <w:bottom w:val="single" w:sz="4" w:space="0" w:color="auto"/>
              <w:right w:val="single" w:sz="4" w:space="0" w:color="auto"/>
            </w:tcBorders>
            <w:vAlign w:val="center"/>
          </w:tcPr>
          <w:p w14:paraId="50D59D42" w14:textId="2E18833F" w:rsidR="00CC6E1B" w:rsidRPr="002A304C" w:rsidDel="00180335" w:rsidRDefault="00CC6E1B" w:rsidP="00CC6E1B">
            <w:pPr>
              <w:pStyle w:val="Teksttabelisrodek"/>
              <w:keepNext/>
              <w:keepLines/>
              <w:ind w:right="146"/>
              <w:jc w:val="right"/>
              <w:outlineLvl w:val="8"/>
              <w:rPr>
                <w:rFonts w:asciiTheme="minorHAnsi" w:eastAsia="Times New Roman" w:hAnsiTheme="minorHAnsi" w:cstheme="minorHAnsi"/>
                <w:szCs w:val="20"/>
                <w:lang w:eastAsia="en-US"/>
              </w:rPr>
            </w:pPr>
            <w:r>
              <w:rPr>
                <w:rFonts w:cs="Calibri"/>
                <w:szCs w:val="20"/>
              </w:rPr>
              <w:t>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2DFEDA26" w14:textId="450E9274" w:rsidR="00CC6E1B" w:rsidRPr="002A304C" w:rsidDel="00180335" w:rsidRDefault="00CC6E1B"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r>
      <w:tr w:rsidR="00CC6E1B" w14:paraId="60308409" w14:textId="77777777" w:rsidTr="00CC6E1B">
        <w:trPr>
          <w:trHeight w:val="454"/>
        </w:trPr>
        <w:tc>
          <w:tcPr>
            <w:tcW w:w="1168" w:type="pct"/>
            <w:tcBorders>
              <w:top w:val="single" w:sz="4" w:space="0" w:color="auto"/>
              <w:left w:val="single" w:sz="6" w:space="0" w:color="auto"/>
              <w:bottom w:val="single" w:sz="4" w:space="0" w:color="auto"/>
              <w:right w:val="single" w:sz="6" w:space="0" w:color="auto"/>
            </w:tcBorders>
            <w:vAlign w:val="center"/>
            <w:hideMark/>
          </w:tcPr>
          <w:p w14:paraId="59A92A5F" w14:textId="1B708D06"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Działania kontrolne i</w:t>
            </w:r>
            <w:r>
              <w:rPr>
                <w:rFonts w:asciiTheme="minorHAnsi" w:hAnsiTheme="minorHAnsi" w:cstheme="minorHAnsi"/>
                <w:szCs w:val="20"/>
                <w:lang w:eastAsia="pl-PL"/>
              </w:rPr>
              <w:t> </w:t>
            </w:r>
            <w:r w:rsidRPr="002A304C">
              <w:rPr>
                <w:rFonts w:asciiTheme="minorHAnsi" w:hAnsiTheme="minorHAnsi" w:cstheme="minorHAnsi"/>
                <w:szCs w:val="20"/>
                <w:lang w:eastAsia="pl-PL"/>
              </w:rPr>
              <w:t>monitoringowe</w:t>
            </w:r>
          </w:p>
        </w:tc>
        <w:tc>
          <w:tcPr>
            <w:tcW w:w="782" w:type="pct"/>
            <w:tcBorders>
              <w:top w:val="single" w:sz="4" w:space="0" w:color="auto"/>
              <w:left w:val="nil"/>
              <w:bottom w:val="single" w:sz="4" w:space="0" w:color="auto"/>
              <w:right w:val="single" w:sz="6" w:space="0" w:color="auto"/>
            </w:tcBorders>
            <w:vAlign w:val="center"/>
          </w:tcPr>
          <w:p w14:paraId="49CB74F9" w14:textId="1E043D46"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921,60</w:t>
            </w:r>
          </w:p>
        </w:tc>
        <w:tc>
          <w:tcPr>
            <w:tcW w:w="705" w:type="pct"/>
            <w:tcBorders>
              <w:top w:val="single" w:sz="4" w:space="0" w:color="auto"/>
              <w:left w:val="nil"/>
              <w:bottom w:val="single" w:sz="4" w:space="0" w:color="auto"/>
              <w:right w:val="single" w:sz="6" w:space="0" w:color="auto"/>
            </w:tcBorders>
            <w:vAlign w:val="center"/>
          </w:tcPr>
          <w:p w14:paraId="1D5354F8" w14:textId="18FC2C40"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gridSpan w:val="2"/>
            <w:tcBorders>
              <w:top w:val="single" w:sz="4" w:space="0" w:color="auto"/>
              <w:left w:val="nil"/>
              <w:bottom w:val="single" w:sz="4" w:space="0" w:color="auto"/>
              <w:right w:val="single" w:sz="6" w:space="0" w:color="auto"/>
            </w:tcBorders>
            <w:vAlign w:val="center"/>
          </w:tcPr>
          <w:p w14:paraId="20EF5FC6" w14:textId="60141B1A"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921,60</w:t>
            </w:r>
          </w:p>
        </w:tc>
        <w:tc>
          <w:tcPr>
            <w:tcW w:w="548" w:type="pct"/>
            <w:tcBorders>
              <w:top w:val="single" w:sz="4" w:space="0" w:color="auto"/>
              <w:left w:val="nil"/>
              <w:bottom w:val="single" w:sz="4" w:space="0" w:color="auto"/>
              <w:right w:val="single" w:sz="6" w:space="0" w:color="auto"/>
            </w:tcBorders>
            <w:vAlign w:val="center"/>
          </w:tcPr>
          <w:p w14:paraId="1A39F2D1" w14:textId="5C69F3B8"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tcBorders>
              <w:top w:val="single" w:sz="4" w:space="0" w:color="auto"/>
              <w:left w:val="nil"/>
              <w:bottom w:val="single" w:sz="4" w:space="0" w:color="auto"/>
              <w:right w:val="single" w:sz="6" w:space="0" w:color="auto"/>
            </w:tcBorders>
            <w:vAlign w:val="center"/>
          </w:tcPr>
          <w:p w14:paraId="3C250522" w14:textId="11746436" w:rsidR="007A6C94" w:rsidRPr="002A304C" w:rsidRDefault="007A6C94" w:rsidP="00CC6E1B">
            <w:pPr>
              <w:pStyle w:val="Teksttabelisrodek"/>
              <w:keepNext/>
              <w:keepLines/>
              <w:ind w:right="146"/>
              <w:jc w:val="right"/>
              <w:outlineLvl w:val="8"/>
              <w:rPr>
                <w:rFonts w:asciiTheme="minorHAnsi" w:eastAsia="Times New Roman" w:hAnsiTheme="minorHAnsi" w:cstheme="minorHAnsi"/>
                <w:szCs w:val="20"/>
                <w:lang w:eastAsia="en-US"/>
              </w:rPr>
            </w:pPr>
            <w:r>
              <w:rPr>
                <w:rFonts w:cs="Calibri"/>
                <w:szCs w:val="20"/>
              </w:rPr>
              <w:t>0,00</w:t>
            </w:r>
          </w:p>
        </w:tc>
        <w:tc>
          <w:tcPr>
            <w:tcW w:w="703" w:type="pct"/>
            <w:gridSpan w:val="2"/>
            <w:tcBorders>
              <w:top w:val="single" w:sz="4" w:space="0" w:color="auto"/>
              <w:left w:val="nil"/>
              <w:bottom w:val="single" w:sz="4" w:space="0" w:color="auto"/>
              <w:right w:val="single" w:sz="6" w:space="0" w:color="auto"/>
            </w:tcBorders>
            <w:vAlign w:val="center"/>
          </w:tcPr>
          <w:p w14:paraId="7342AE95" w14:textId="4480FE34"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r>
      <w:tr w:rsidR="00CC6E1B" w14:paraId="7EB40B8C"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40463B7D" w14:textId="77777777"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Edukacja i informacja</w:t>
            </w:r>
          </w:p>
        </w:tc>
        <w:tc>
          <w:tcPr>
            <w:tcW w:w="782" w:type="pct"/>
            <w:tcBorders>
              <w:top w:val="single" w:sz="4" w:space="0" w:color="auto"/>
              <w:left w:val="single" w:sz="4" w:space="0" w:color="auto"/>
              <w:bottom w:val="single" w:sz="4" w:space="0" w:color="auto"/>
              <w:right w:val="single" w:sz="4" w:space="0" w:color="auto"/>
            </w:tcBorders>
            <w:vAlign w:val="center"/>
          </w:tcPr>
          <w:p w14:paraId="61650BAA" w14:textId="0888DCB7"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11 317,64</w:t>
            </w:r>
          </w:p>
        </w:tc>
        <w:tc>
          <w:tcPr>
            <w:tcW w:w="705" w:type="pct"/>
            <w:tcBorders>
              <w:top w:val="single" w:sz="4" w:space="0" w:color="auto"/>
              <w:left w:val="single" w:sz="4" w:space="0" w:color="auto"/>
              <w:bottom w:val="single" w:sz="4" w:space="0" w:color="auto"/>
              <w:right w:val="single" w:sz="4" w:space="0" w:color="auto"/>
            </w:tcBorders>
            <w:vAlign w:val="center"/>
          </w:tcPr>
          <w:p w14:paraId="7C7D701D" w14:textId="4CC16463"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10 281,84</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7343164C" w14:textId="35EE525F"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999,00</w:t>
            </w:r>
          </w:p>
        </w:tc>
        <w:tc>
          <w:tcPr>
            <w:tcW w:w="548" w:type="pct"/>
            <w:tcBorders>
              <w:top w:val="single" w:sz="4" w:space="0" w:color="auto"/>
              <w:left w:val="single" w:sz="4" w:space="0" w:color="auto"/>
              <w:bottom w:val="single" w:sz="4" w:space="0" w:color="auto"/>
              <w:right w:val="single" w:sz="4" w:space="0" w:color="auto"/>
            </w:tcBorders>
            <w:vAlign w:val="center"/>
          </w:tcPr>
          <w:p w14:paraId="6FBB54EC" w14:textId="71EEED97"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36,80</w:t>
            </w:r>
          </w:p>
        </w:tc>
        <w:tc>
          <w:tcPr>
            <w:tcW w:w="547" w:type="pct"/>
            <w:tcBorders>
              <w:top w:val="single" w:sz="4" w:space="0" w:color="auto"/>
              <w:left w:val="single" w:sz="4" w:space="0" w:color="auto"/>
              <w:bottom w:val="single" w:sz="4" w:space="0" w:color="auto"/>
              <w:right w:val="single" w:sz="4" w:space="0" w:color="auto"/>
            </w:tcBorders>
            <w:vAlign w:val="center"/>
          </w:tcPr>
          <w:p w14:paraId="00B5D08F" w14:textId="69B1CEA6"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5A0EA3F0" w14:textId="069A9B87"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r>
      <w:tr w:rsidR="00CC6E1B" w14:paraId="765B1325"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5C2BEB99" w14:textId="35CF9610"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Gospodarka komunalna i</w:t>
            </w:r>
            <w:r>
              <w:rPr>
                <w:rFonts w:asciiTheme="minorHAnsi" w:hAnsiTheme="minorHAnsi" w:cstheme="minorHAnsi"/>
                <w:szCs w:val="20"/>
                <w:lang w:eastAsia="pl-PL"/>
              </w:rPr>
              <w:t> </w:t>
            </w:r>
            <w:r w:rsidRPr="002A304C">
              <w:rPr>
                <w:rFonts w:asciiTheme="minorHAnsi" w:hAnsiTheme="minorHAnsi" w:cstheme="minorHAnsi"/>
                <w:szCs w:val="20"/>
                <w:lang w:eastAsia="pl-PL"/>
              </w:rPr>
              <w:t>odpadami</w:t>
            </w:r>
          </w:p>
        </w:tc>
        <w:tc>
          <w:tcPr>
            <w:tcW w:w="782" w:type="pct"/>
            <w:tcBorders>
              <w:top w:val="single" w:sz="4" w:space="0" w:color="auto"/>
              <w:left w:val="single" w:sz="4" w:space="0" w:color="auto"/>
              <w:bottom w:val="single" w:sz="4" w:space="0" w:color="auto"/>
              <w:right w:val="single" w:sz="4" w:space="0" w:color="auto"/>
            </w:tcBorders>
            <w:vAlign w:val="center"/>
          </w:tcPr>
          <w:p w14:paraId="1BFA4299" w14:textId="546B8FE6"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6 120 763,79</w:t>
            </w:r>
          </w:p>
        </w:tc>
        <w:tc>
          <w:tcPr>
            <w:tcW w:w="705" w:type="pct"/>
            <w:tcBorders>
              <w:top w:val="single" w:sz="4" w:space="0" w:color="auto"/>
              <w:left w:val="single" w:sz="4" w:space="0" w:color="auto"/>
              <w:bottom w:val="single" w:sz="4" w:space="0" w:color="auto"/>
              <w:right w:val="single" w:sz="4" w:space="0" w:color="auto"/>
            </w:tcBorders>
            <w:vAlign w:val="center"/>
          </w:tcPr>
          <w:p w14:paraId="6AD99E47" w14:textId="64331E88"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6 075 971,80</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3999FA90" w14:textId="34F048FC"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12 149,99</w:t>
            </w:r>
          </w:p>
        </w:tc>
        <w:tc>
          <w:tcPr>
            <w:tcW w:w="548" w:type="pct"/>
            <w:tcBorders>
              <w:top w:val="single" w:sz="4" w:space="0" w:color="auto"/>
              <w:left w:val="single" w:sz="4" w:space="0" w:color="auto"/>
              <w:bottom w:val="single" w:sz="4" w:space="0" w:color="auto"/>
              <w:right w:val="single" w:sz="4" w:space="0" w:color="auto"/>
            </w:tcBorders>
            <w:vAlign w:val="center"/>
          </w:tcPr>
          <w:p w14:paraId="632E2806" w14:textId="2BA34F66"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3 642,00</w:t>
            </w:r>
          </w:p>
        </w:tc>
        <w:tc>
          <w:tcPr>
            <w:tcW w:w="547" w:type="pct"/>
            <w:tcBorders>
              <w:top w:val="single" w:sz="4" w:space="0" w:color="auto"/>
              <w:left w:val="single" w:sz="4" w:space="0" w:color="auto"/>
              <w:bottom w:val="single" w:sz="4" w:space="0" w:color="auto"/>
              <w:right w:val="single" w:sz="4" w:space="0" w:color="auto"/>
            </w:tcBorders>
            <w:vAlign w:val="center"/>
          </w:tcPr>
          <w:p w14:paraId="7CC2537B" w14:textId="66645659"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25 840,00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460985B4" w14:textId="79F7E460"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3 160,00</w:t>
            </w:r>
          </w:p>
        </w:tc>
      </w:tr>
      <w:tr w:rsidR="00CC6E1B" w14:paraId="44DE2BEF"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1EFA5A98" w14:textId="77777777"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Ograniczanie zanieczyszczeń rozproszonych</w:t>
            </w:r>
          </w:p>
        </w:tc>
        <w:tc>
          <w:tcPr>
            <w:tcW w:w="782" w:type="pct"/>
            <w:tcBorders>
              <w:top w:val="single" w:sz="4" w:space="0" w:color="auto"/>
              <w:left w:val="single" w:sz="4" w:space="0" w:color="auto"/>
              <w:bottom w:val="single" w:sz="4" w:space="0" w:color="auto"/>
              <w:right w:val="single" w:sz="4" w:space="0" w:color="auto"/>
            </w:tcBorders>
            <w:vAlign w:val="center"/>
          </w:tcPr>
          <w:p w14:paraId="05723F48" w14:textId="65D36138"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47 907,71</w:t>
            </w:r>
          </w:p>
        </w:tc>
        <w:tc>
          <w:tcPr>
            <w:tcW w:w="705" w:type="pct"/>
            <w:tcBorders>
              <w:top w:val="single" w:sz="4" w:space="0" w:color="auto"/>
              <w:left w:val="single" w:sz="4" w:space="0" w:color="auto"/>
              <w:bottom w:val="single" w:sz="4" w:space="0" w:color="auto"/>
              <w:right w:val="single" w:sz="4" w:space="0" w:color="auto"/>
            </w:tcBorders>
            <w:vAlign w:val="center"/>
          </w:tcPr>
          <w:p w14:paraId="0AF25A44" w14:textId="7E19F7A0"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40 885,92</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0E7DA385" w14:textId="69A77D2D"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6 985,12</w:t>
            </w:r>
          </w:p>
        </w:tc>
        <w:tc>
          <w:tcPr>
            <w:tcW w:w="548" w:type="pct"/>
            <w:tcBorders>
              <w:top w:val="single" w:sz="4" w:space="0" w:color="auto"/>
              <w:left w:val="single" w:sz="4" w:space="0" w:color="auto"/>
              <w:bottom w:val="single" w:sz="4" w:space="0" w:color="auto"/>
              <w:right w:val="single" w:sz="4" w:space="0" w:color="auto"/>
            </w:tcBorders>
            <w:vAlign w:val="center"/>
          </w:tcPr>
          <w:p w14:paraId="04F6DD5E" w14:textId="3CA590E8"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36,67</w:t>
            </w:r>
          </w:p>
        </w:tc>
        <w:tc>
          <w:tcPr>
            <w:tcW w:w="547" w:type="pct"/>
            <w:tcBorders>
              <w:top w:val="single" w:sz="4" w:space="0" w:color="auto"/>
              <w:left w:val="single" w:sz="4" w:space="0" w:color="auto"/>
              <w:bottom w:val="single" w:sz="4" w:space="0" w:color="auto"/>
              <w:right w:val="single" w:sz="4" w:space="0" w:color="auto"/>
            </w:tcBorders>
            <w:vAlign w:val="center"/>
          </w:tcPr>
          <w:p w14:paraId="0D970D88" w14:textId="54DB1B8C"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76EEDE97" w14:textId="049BB34C"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r>
      <w:tr w:rsidR="00CC6E1B" w14:paraId="26B3D6F8"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1A484B04" w14:textId="77777777"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Gospodarowanie wodami opadowymi</w:t>
            </w:r>
          </w:p>
        </w:tc>
        <w:tc>
          <w:tcPr>
            <w:tcW w:w="782" w:type="pct"/>
            <w:tcBorders>
              <w:top w:val="single" w:sz="4" w:space="0" w:color="auto"/>
              <w:left w:val="single" w:sz="4" w:space="0" w:color="auto"/>
              <w:bottom w:val="single" w:sz="4" w:space="0" w:color="auto"/>
              <w:right w:val="single" w:sz="4" w:space="0" w:color="auto"/>
            </w:tcBorders>
            <w:vAlign w:val="center"/>
          </w:tcPr>
          <w:p w14:paraId="62728E1A" w14:textId="24AC8326"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240,00</w:t>
            </w:r>
          </w:p>
        </w:tc>
        <w:tc>
          <w:tcPr>
            <w:tcW w:w="705" w:type="pct"/>
            <w:tcBorders>
              <w:top w:val="single" w:sz="4" w:space="0" w:color="auto"/>
              <w:left w:val="single" w:sz="4" w:space="0" w:color="auto"/>
              <w:bottom w:val="single" w:sz="4" w:space="0" w:color="auto"/>
              <w:right w:val="single" w:sz="4" w:space="0" w:color="auto"/>
            </w:tcBorders>
            <w:vAlign w:val="center"/>
          </w:tcPr>
          <w:p w14:paraId="5FC25761" w14:textId="142442D8"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3D9F1F92" w14:textId="7FCF02FE"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8" w:type="pct"/>
            <w:tcBorders>
              <w:top w:val="single" w:sz="4" w:space="0" w:color="auto"/>
              <w:left w:val="single" w:sz="4" w:space="0" w:color="auto"/>
              <w:bottom w:val="single" w:sz="4" w:space="0" w:color="auto"/>
              <w:right w:val="single" w:sz="4" w:space="0" w:color="auto"/>
            </w:tcBorders>
            <w:vAlign w:val="center"/>
          </w:tcPr>
          <w:p w14:paraId="1C8AFD22" w14:textId="3F3C22FA"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tcBorders>
              <w:top w:val="single" w:sz="4" w:space="0" w:color="auto"/>
              <w:left w:val="single" w:sz="4" w:space="0" w:color="auto"/>
              <w:bottom w:val="single" w:sz="4" w:space="0" w:color="auto"/>
              <w:right w:val="single" w:sz="4" w:space="0" w:color="auto"/>
            </w:tcBorders>
            <w:vAlign w:val="center"/>
          </w:tcPr>
          <w:p w14:paraId="1B1DB3B5" w14:textId="5F83B135"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240,00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5D83DCA0" w14:textId="539E96A2"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r>
      <w:tr w:rsidR="00CC6E1B" w14:paraId="4C557AB2"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5C4AB0B3" w14:textId="15D4D135"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Indywidualne programy poprawy stanu </w:t>
            </w:r>
            <w:r w:rsidR="00DF005E">
              <w:rPr>
                <w:rFonts w:asciiTheme="minorHAnsi" w:hAnsiTheme="minorHAnsi" w:cstheme="minorHAnsi"/>
                <w:szCs w:val="20"/>
                <w:lang w:eastAsia="pl-PL"/>
              </w:rPr>
              <w:t>JCWP</w:t>
            </w:r>
          </w:p>
        </w:tc>
        <w:tc>
          <w:tcPr>
            <w:tcW w:w="782" w:type="pct"/>
            <w:tcBorders>
              <w:top w:val="single" w:sz="4" w:space="0" w:color="auto"/>
              <w:left w:val="single" w:sz="4" w:space="0" w:color="auto"/>
              <w:bottom w:val="single" w:sz="4" w:space="0" w:color="auto"/>
              <w:right w:val="single" w:sz="4" w:space="0" w:color="auto"/>
            </w:tcBorders>
            <w:vAlign w:val="center"/>
          </w:tcPr>
          <w:p w14:paraId="38699D3E" w14:textId="202183ED"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3 280,00</w:t>
            </w:r>
          </w:p>
        </w:tc>
        <w:tc>
          <w:tcPr>
            <w:tcW w:w="705" w:type="pct"/>
            <w:tcBorders>
              <w:top w:val="single" w:sz="4" w:space="0" w:color="auto"/>
              <w:left w:val="single" w:sz="4" w:space="0" w:color="auto"/>
              <w:bottom w:val="single" w:sz="4" w:space="0" w:color="auto"/>
              <w:right w:val="single" w:sz="4" w:space="0" w:color="auto"/>
            </w:tcBorders>
            <w:vAlign w:val="center"/>
          </w:tcPr>
          <w:p w14:paraId="46C221AC" w14:textId="587033BB"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2092AEA2" w14:textId="5C07D52C"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3 280,00</w:t>
            </w:r>
          </w:p>
        </w:tc>
        <w:tc>
          <w:tcPr>
            <w:tcW w:w="548" w:type="pct"/>
            <w:tcBorders>
              <w:top w:val="single" w:sz="4" w:space="0" w:color="auto"/>
              <w:left w:val="single" w:sz="4" w:space="0" w:color="auto"/>
              <w:bottom w:val="single" w:sz="4" w:space="0" w:color="auto"/>
              <w:right w:val="single" w:sz="4" w:space="0" w:color="auto"/>
            </w:tcBorders>
            <w:vAlign w:val="center"/>
          </w:tcPr>
          <w:p w14:paraId="36424CF3" w14:textId="490DBE76"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tcBorders>
              <w:top w:val="single" w:sz="4" w:space="0" w:color="auto"/>
              <w:left w:val="single" w:sz="4" w:space="0" w:color="auto"/>
              <w:bottom w:val="single" w:sz="4" w:space="0" w:color="auto"/>
              <w:right w:val="single" w:sz="4" w:space="0" w:color="auto"/>
            </w:tcBorders>
            <w:vAlign w:val="center"/>
          </w:tcPr>
          <w:p w14:paraId="288EE6C9" w14:textId="42F22B3C"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0D388510" w14:textId="1C68B957"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r>
      <w:tr w:rsidR="00CC6E1B" w14:paraId="493C4318"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0650EE3C" w14:textId="35510E7E"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Kształtowanie stosunków wodnych w zlewni </w:t>
            </w:r>
            <w:r w:rsidR="00DF005E">
              <w:rPr>
                <w:rFonts w:asciiTheme="minorHAnsi" w:hAnsiTheme="minorHAnsi" w:cstheme="minorHAnsi"/>
                <w:szCs w:val="20"/>
                <w:lang w:eastAsia="pl-PL"/>
              </w:rPr>
              <w:t>JCWP</w:t>
            </w:r>
          </w:p>
        </w:tc>
        <w:tc>
          <w:tcPr>
            <w:tcW w:w="782" w:type="pct"/>
            <w:tcBorders>
              <w:top w:val="single" w:sz="4" w:space="0" w:color="auto"/>
              <w:left w:val="single" w:sz="4" w:space="0" w:color="auto"/>
              <w:bottom w:val="single" w:sz="4" w:space="0" w:color="auto"/>
              <w:right w:val="single" w:sz="4" w:space="0" w:color="auto"/>
            </w:tcBorders>
            <w:vAlign w:val="center"/>
          </w:tcPr>
          <w:p w14:paraId="69D03907" w14:textId="6ED7F82C"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2 937,21</w:t>
            </w:r>
          </w:p>
        </w:tc>
        <w:tc>
          <w:tcPr>
            <w:tcW w:w="705" w:type="pct"/>
            <w:tcBorders>
              <w:top w:val="single" w:sz="4" w:space="0" w:color="auto"/>
              <w:left w:val="single" w:sz="4" w:space="0" w:color="auto"/>
              <w:bottom w:val="single" w:sz="4" w:space="0" w:color="auto"/>
              <w:right w:val="single" w:sz="4" w:space="0" w:color="auto"/>
            </w:tcBorders>
            <w:vAlign w:val="center"/>
          </w:tcPr>
          <w:p w14:paraId="7428BB73" w14:textId="5A6EFE90"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2 937,21</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59AC18EC" w14:textId="0B2BE476"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8" w:type="pct"/>
            <w:tcBorders>
              <w:top w:val="single" w:sz="4" w:space="0" w:color="auto"/>
              <w:left w:val="single" w:sz="4" w:space="0" w:color="auto"/>
              <w:bottom w:val="single" w:sz="4" w:space="0" w:color="auto"/>
              <w:right w:val="single" w:sz="4" w:space="0" w:color="auto"/>
            </w:tcBorders>
            <w:vAlign w:val="center"/>
          </w:tcPr>
          <w:p w14:paraId="3A44F02C" w14:textId="3E4638FD"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tcBorders>
              <w:top w:val="single" w:sz="4" w:space="0" w:color="auto"/>
              <w:left w:val="single" w:sz="4" w:space="0" w:color="auto"/>
              <w:bottom w:val="single" w:sz="4" w:space="0" w:color="auto"/>
              <w:right w:val="single" w:sz="4" w:space="0" w:color="auto"/>
            </w:tcBorders>
            <w:vAlign w:val="center"/>
          </w:tcPr>
          <w:p w14:paraId="01BEAB0B" w14:textId="0A45A395"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0AB47D6C" w14:textId="3EC3AAD0"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r>
      <w:tr w:rsidR="00CC6E1B" w14:paraId="63A558DA"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27E6DCA8" w14:textId="77777777"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Kształtowanie stref buforowych</w:t>
            </w:r>
          </w:p>
        </w:tc>
        <w:tc>
          <w:tcPr>
            <w:tcW w:w="782" w:type="pct"/>
            <w:tcBorders>
              <w:top w:val="single" w:sz="4" w:space="0" w:color="auto"/>
              <w:left w:val="single" w:sz="4" w:space="0" w:color="auto"/>
              <w:bottom w:val="single" w:sz="4" w:space="0" w:color="auto"/>
              <w:right w:val="single" w:sz="4" w:space="0" w:color="auto"/>
            </w:tcBorders>
            <w:vAlign w:val="center"/>
          </w:tcPr>
          <w:p w14:paraId="5EABE7A1" w14:textId="12C165B3"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1 175,60</w:t>
            </w:r>
          </w:p>
        </w:tc>
        <w:tc>
          <w:tcPr>
            <w:tcW w:w="705" w:type="pct"/>
            <w:tcBorders>
              <w:top w:val="single" w:sz="4" w:space="0" w:color="auto"/>
              <w:left w:val="single" w:sz="4" w:space="0" w:color="auto"/>
              <w:bottom w:val="single" w:sz="4" w:space="0" w:color="auto"/>
              <w:right w:val="single" w:sz="4" w:space="0" w:color="auto"/>
            </w:tcBorders>
            <w:vAlign w:val="center"/>
          </w:tcPr>
          <w:p w14:paraId="03E1FA16" w14:textId="34449077" w:rsidR="007A6C94" w:rsidRPr="002A304C" w:rsidRDefault="007A6C94" w:rsidP="00CC6E1B">
            <w:pPr>
              <w:pStyle w:val="Teksttabelisrodek"/>
              <w:keepNext/>
              <w:keepLines/>
              <w:ind w:right="146"/>
              <w:jc w:val="right"/>
              <w:outlineLvl w:val="8"/>
              <w:rPr>
                <w:rFonts w:asciiTheme="minorHAnsi" w:eastAsia="Times New Roman" w:hAnsiTheme="minorHAnsi" w:cstheme="minorHAnsi"/>
                <w:szCs w:val="20"/>
                <w:lang w:eastAsia="en-US"/>
              </w:rPr>
            </w:pPr>
            <w:r>
              <w:rPr>
                <w:rFonts w:cs="Calibri"/>
                <w:szCs w:val="20"/>
              </w:rPr>
              <w:t>0,00</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0F43D55E" w14:textId="1A3A73E3"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1 175,60</w:t>
            </w:r>
          </w:p>
        </w:tc>
        <w:tc>
          <w:tcPr>
            <w:tcW w:w="548" w:type="pct"/>
            <w:tcBorders>
              <w:top w:val="single" w:sz="4" w:space="0" w:color="auto"/>
              <w:left w:val="single" w:sz="4" w:space="0" w:color="auto"/>
              <w:bottom w:val="single" w:sz="4" w:space="0" w:color="auto"/>
              <w:right w:val="single" w:sz="4" w:space="0" w:color="auto"/>
            </w:tcBorders>
            <w:vAlign w:val="center"/>
          </w:tcPr>
          <w:p w14:paraId="385D338B" w14:textId="79159314" w:rsidR="007A6C94" w:rsidRPr="002A304C" w:rsidRDefault="007A6C94" w:rsidP="00CC6E1B">
            <w:pPr>
              <w:pStyle w:val="Teksttabelisrodek"/>
              <w:keepNext/>
              <w:keepLines/>
              <w:ind w:right="146"/>
              <w:jc w:val="right"/>
              <w:outlineLvl w:val="8"/>
              <w:rPr>
                <w:rFonts w:asciiTheme="minorHAnsi" w:eastAsia="Times New Roman" w:hAnsiTheme="minorHAnsi" w:cstheme="minorHAnsi"/>
                <w:szCs w:val="20"/>
                <w:lang w:eastAsia="en-US"/>
              </w:rPr>
            </w:pPr>
            <w:r>
              <w:rPr>
                <w:rFonts w:cs="Calibri"/>
                <w:szCs w:val="20"/>
              </w:rPr>
              <w:t>0,00</w:t>
            </w:r>
          </w:p>
        </w:tc>
        <w:tc>
          <w:tcPr>
            <w:tcW w:w="547" w:type="pct"/>
            <w:tcBorders>
              <w:top w:val="single" w:sz="4" w:space="0" w:color="auto"/>
              <w:left w:val="single" w:sz="4" w:space="0" w:color="auto"/>
              <w:bottom w:val="single" w:sz="4" w:space="0" w:color="auto"/>
              <w:right w:val="single" w:sz="4" w:space="0" w:color="auto"/>
            </w:tcBorders>
            <w:vAlign w:val="center"/>
          </w:tcPr>
          <w:p w14:paraId="6A8F1E68" w14:textId="7A1DB3E9"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0F8E5D7E" w14:textId="715FDF4E"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r>
      <w:tr w:rsidR="00CC6E1B" w14:paraId="4AB074BB"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594E983B" w14:textId="77777777"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Leśnictwo</w:t>
            </w:r>
          </w:p>
        </w:tc>
        <w:tc>
          <w:tcPr>
            <w:tcW w:w="782" w:type="pct"/>
            <w:tcBorders>
              <w:top w:val="single" w:sz="4" w:space="0" w:color="auto"/>
              <w:left w:val="single" w:sz="4" w:space="0" w:color="auto"/>
              <w:bottom w:val="single" w:sz="4" w:space="0" w:color="auto"/>
              <w:right w:val="single" w:sz="4" w:space="0" w:color="auto"/>
            </w:tcBorders>
            <w:vAlign w:val="center"/>
          </w:tcPr>
          <w:p w14:paraId="373304FF" w14:textId="4A9E2165"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1 049 472,45</w:t>
            </w:r>
          </w:p>
        </w:tc>
        <w:tc>
          <w:tcPr>
            <w:tcW w:w="705" w:type="pct"/>
            <w:tcBorders>
              <w:top w:val="single" w:sz="4" w:space="0" w:color="auto"/>
              <w:left w:val="single" w:sz="4" w:space="0" w:color="auto"/>
              <w:bottom w:val="single" w:sz="4" w:space="0" w:color="auto"/>
              <w:right w:val="single" w:sz="4" w:space="0" w:color="auto"/>
            </w:tcBorders>
            <w:vAlign w:val="center"/>
          </w:tcPr>
          <w:p w14:paraId="3B538440" w14:textId="0DAED9CD"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0E056E62" w14:textId="25A46F7B"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8" w:type="pct"/>
            <w:tcBorders>
              <w:top w:val="single" w:sz="4" w:space="0" w:color="auto"/>
              <w:left w:val="single" w:sz="4" w:space="0" w:color="auto"/>
              <w:bottom w:val="single" w:sz="4" w:space="0" w:color="auto"/>
              <w:right w:val="single" w:sz="4" w:space="0" w:color="auto"/>
            </w:tcBorders>
            <w:vAlign w:val="center"/>
          </w:tcPr>
          <w:p w14:paraId="016864FF" w14:textId="5AB009BA"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tcBorders>
              <w:top w:val="single" w:sz="4" w:space="0" w:color="auto"/>
              <w:left w:val="single" w:sz="4" w:space="0" w:color="auto"/>
              <w:bottom w:val="single" w:sz="4" w:space="0" w:color="auto"/>
              <w:right w:val="single" w:sz="4" w:space="0" w:color="auto"/>
            </w:tcBorders>
            <w:vAlign w:val="center"/>
          </w:tcPr>
          <w:p w14:paraId="1CF73161" w14:textId="69111318"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522E0631" w14:textId="2C1F7EF4"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1 049 472,45</w:t>
            </w:r>
          </w:p>
        </w:tc>
      </w:tr>
      <w:tr w:rsidR="00CC6E1B" w14:paraId="40464245"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6E7B13E1" w14:textId="177A801F"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Ochrona i odtwarzanie naturalnych procesów hydromorfologicznych</w:t>
            </w:r>
            <w:r>
              <w:rPr>
                <w:rFonts w:asciiTheme="minorHAnsi" w:hAnsiTheme="minorHAnsi" w:cstheme="minorHAnsi"/>
                <w:szCs w:val="20"/>
                <w:lang w:eastAsia="pl-PL"/>
              </w:rPr>
              <w:t xml:space="preserve"> </w:t>
            </w:r>
            <w:r>
              <w:rPr>
                <w:rFonts w:asciiTheme="minorHAnsi" w:hAnsiTheme="minorHAnsi" w:cstheme="minorHAnsi"/>
                <w:szCs w:val="20"/>
                <w:lang w:eastAsia="pl-PL"/>
              </w:rPr>
              <w:br/>
            </w:r>
            <w:r w:rsidRPr="002A304C">
              <w:rPr>
                <w:rFonts w:asciiTheme="minorHAnsi" w:hAnsiTheme="minorHAnsi" w:cstheme="minorHAnsi"/>
                <w:szCs w:val="20"/>
                <w:lang w:eastAsia="pl-PL"/>
              </w:rPr>
              <w:t>w</w:t>
            </w:r>
            <w:r>
              <w:rPr>
                <w:rFonts w:asciiTheme="minorHAnsi" w:hAnsiTheme="minorHAnsi" w:cstheme="minorHAnsi"/>
                <w:szCs w:val="20"/>
                <w:lang w:eastAsia="pl-PL"/>
              </w:rPr>
              <w:t> </w:t>
            </w:r>
            <w:r w:rsidRPr="002A304C">
              <w:rPr>
                <w:rFonts w:asciiTheme="minorHAnsi" w:hAnsiTheme="minorHAnsi" w:cstheme="minorHAnsi"/>
                <w:szCs w:val="20"/>
                <w:lang w:eastAsia="pl-PL"/>
              </w:rPr>
              <w:t>strefie brzegowej</w:t>
            </w:r>
          </w:p>
        </w:tc>
        <w:tc>
          <w:tcPr>
            <w:tcW w:w="782" w:type="pct"/>
            <w:tcBorders>
              <w:top w:val="single" w:sz="4" w:space="0" w:color="auto"/>
              <w:left w:val="single" w:sz="4" w:space="0" w:color="auto"/>
              <w:bottom w:val="single" w:sz="4" w:space="0" w:color="auto"/>
              <w:right w:val="single" w:sz="4" w:space="0" w:color="auto"/>
            </w:tcBorders>
            <w:vAlign w:val="center"/>
          </w:tcPr>
          <w:p w14:paraId="02B698CD" w14:textId="3527B78B"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480,00</w:t>
            </w:r>
          </w:p>
        </w:tc>
        <w:tc>
          <w:tcPr>
            <w:tcW w:w="705" w:type="pct"/>
            <w:tcBorders>
              <w:top w:val="single" w:sz="4" w:space="0" w:color="auto"/>
              <w:left w:val="single" w:sz="4" w:space="0" w:color="auto"/>
              <w:bottom w:val="single" w:sz="4" w:space="0" w:color="auto"/>
              <w:right w:val="single" w:sz="4" w:space="0" w:color="auto"/>
            </w:tcBorders>
            <w:vAlign w:val="center"/>
          </w:tcPr>
          <w:p w14:paraId="32109FE7" w14:textId="0ACA5891"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42D339EF" w14:textId="1951FA3A"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8" w:type="pct"/>
            <w:tcBorders>
              <w:top w:val="single" w:sz="4" w:space="0" w:color="auto"/>
              <w:left w:val="single" w:sz="4" w:space="0" w:color="auto"/>
              <w:bottom w:val="single" w:sz="4" w:space="0" w:color="auto"/>
              <w:right w:val="single" w:sz="4" w:space="0" w:color="auto"/>
            </w:tcBorders>
            <w:vAlign w:val="center"/>
          </w:tcPr>
          <w:p w14:paraId="3C626E93" w14:textId="0DEA70CC"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tcBorders>
              <w:top w:val="single" w:sz="4" w:space="0" w:color="auto"/>
              <w:left w:val="single" w:sz="4" w:space="0" w:color="auto"/>
              <w:bottom w:val="single" w:sz="4" w:space="0" w:color="auto"/>
              <w:right w:val="single" w:sz="4" w:space="0" w:color="auto"/>
            </w:tcBorders>
            <w:vAlign w:val="center"/>
          </w:tcPr>
          <w:p w14:paraId="2738D4B2" w14:textId="7B61E48D"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480,00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4A447B98" w14:textId="4A149746"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r>
      <w:tr w:rsidR="00CC6E1B" w14:paraId="51419B0F"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626938EA" w14:textId="63C735BC"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Poprawa stanu elementów i</w:t>
            </w:r>
            <w:r>
              <w:rPr>
                <w:rFonts w:asciiTheme="minorHAnsi" w:hAnsiTheme="minorHAnsi" w:cstheme="minorHAnsi"/>
                <w:szCs w:val="20"/>
                <w:lang w:eastAsia="pl-PL"/>
              </w:rPr>
              <w:t> </w:t>
            </w:r>
            <w:r w:rsidRPr="002A304C">
              <w:rPr>
                <w:rFonts w:asciiTheme="minorHAnsi" w:hAnsiTheme="minorHAnsi" w:cstheme="minorHAnsi"/>
                <w:szCs w:val="20"/>
                <w:lang w:eastAsia="pl-PL"/>
              </w:rPr>
              <w:t>warunków</w:t>
            </w:r>
            <w:r>
              <w:rPr>
                <w:rFonts w:asciiTheme="minorHAnsi" w:hAnsiTheme="minorHAnsi" w:cstheme="minorHAnsi"/>
                <w:szCs w:val="20"/>
                <w:lang w:eastAsia="pl-PL"/>
              </w:rPr>
              <w:t xml:space="preserve"> </w:t>
            </w:r>
            <w:r w:rsidRPr="002A304C">
              <w:rPr>
                <w:rFonts w:asciiTheme="minorHAnsi" w:hAnsiTheme="minorHAnsi" w:cstheme="minorHAnsi"/>
                <w:szCs w:val="20"/>
                <w:lang w:eastAsia="pl-PL"/>
              </w:rPr>
              <w:t>hydromorfologicznych*</w:t>
            </w:r>
          </w:p>
        </w:tc>
        <w:tc>
          <w:tcPr>
            <w:tcW w:w="782" w:type="pct"/>
            <w:tcBorders>
              <w:top w:val="single" w:sz="4" w:space="0" w:color="auto"/>
              <w:left w:val="single" w:sz="4" w:space="0" w:color="auto"/>
              <w:bottom w:val="single" w:sz="4" w:space="0" w:color="auto"/>
              <w:right w:val="single" w:sz="4" w:space="0" w:color="auto"/>
            </w:tcBorders>
            <w:vAlign w:val="center"/>
          </w:tcPr>
          <w:p w14:paraId="79B95FC4" w14:textId="7015D341"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705" w:type="pct"/>
            <w:tcBorders>
              <w:top w:val="single" w:sz="4" w:space="0" w:color="auto"/>
              <w:left w:val="single" w:sz="4" w:space="0" w:color="auto"/>
              <w:bottom w:val="single" w:sz="4" w:space="0" w:color="auto"/>
              <w:right w:val="single" w:sz="4" w:space="0" w:color="auto"/>
            </w:tcBorders>
            <w:vAlign w:val="center"/>
          </w:tcPr>
          <w:p w14:paraId="579BDE95" w14:textId="5A0DDE36" w:rsidR="007A6C94" w:rsidRPr="00AB5553"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11B6E80D" w14:textId="22548927"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8" w:type="pct"/>
            <w:tcBorders>
              <w:top w:val="single" w:sz="4" w:space="0" w:color="auto"/>
              <w:left w:val="single" w:sz="4" w:space="0" w:color="auto"/>
              <w:bottom w:val="single" w:sz="4" w:space="0" w:color="auto"/>
              <w:right w:val="single" w:sz="4" w:space="0" w:color="auto"/>
            </w:tcBorders>
            <w:vAlign w:val="center"/>
          </w:tcPr>
          <w:p w14:paraId="30F1001C" w14:textId="4605BBBE"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tcBorders>
              <w:top w:val="single" w:sz="4" w:space="0" w:color="auto"/>
              <w:left w:val="single" w:sz="4" w:space="0" w:color="auto"/>
              <w:bottom w:val="single" w:sz="4" w:space="0" w:color="auto"/>
              <w:right w:val="single" w:sz="4" w:space="0" w:color="auto"/>
            </w:tcBorders>
            <w:vAlign w:val="center"/>
          </w:tcPr>
          <w:p w14:paraId="289DED4B" w14:textId="5678669E" w:rsidR="007A6C94" w:rsidRPr="002A304C" w:rsidRDefault="007A6C94" w:rsidP="00CC6E1B">
            <w:pPr>
              <w:pStyle w:val="Teksttabelisrodek"/>
              <w:keepNext/>
              <w:keepLines/>
              <w:ind w:right="146"/>
              <w:jc w:val="right"/>
              <w:outlineLvl w:val="8"/>
              <w:rPr>
                <w:rFonts w:asciiTheme="minorHAnsi" w:eastAsia="Times New Roman" w:hAnsiTheme="minorHAnsi" w:cstheme="minorHAnsi"/>
                <w:szCs w:val="20"/>
                <w:lang w:eastAsia="en-US"/>
              </w:rPr>
            </w:pPr>
            <w:r>
              <w:rPr>
                <w:rFonts w:cs="Calibri"/>
                <w:szCs w:val="20"/>
              </w:rPr>
              <w:t>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4DA515C9" w14:textId="496586DA"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r>
      <w:tr w:rsidR="00CC6E1B" w14:paraId="47D980FB"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5CE65C86" w14:textId="77777777"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Poprawa warunków dla obszarów chronionych</w:t>
            </w:r>
          </w:p>
        </w:tc>
        <w:tc>
          <w:tcPr>
            <w:tcW w:w="782" w:type="pct"/>
            <w:tcBorders>
              <w:top w:val="single" w:sz="4" w:space="0" w:color="auto"/>
              <w:left w:val="single" w:sz="4" w:space="0" w:color="auto"/>
              <w:bottom w:val="single" w:sz="4" w:space="0" w:color="auto"/>
              <w:right w:val="single" w:sz="4" w:space="0" w:color="auto"/>
            </w:tcBorders>
            <w:vAlign w:val="center"/>
          </w:tcPr>
          <w:p w14:paraId="0C7864DD" w14:textId="4BC00904"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600,00</w:t>
            </w:r>
          </w:p>
        </w:tc>
        <w:tc>
          <w:tcPr>
            <w:tcW w:w="705" w:type="pct"/>
            <w:tcBorders>
              <w:top w:val="single" w:sz="4" w:space="0" w:color="auto"/>
              <w:left w:val="single" w:sz="4" w:space="0" w:color="auto"/>
              <w:bottom w:val="single" w:sz="4" w:space="0" w:color="auto"/>
              <w:right w:val="single" w:sz="4" w:space="0" w:color="auto"/>
            </w:tcBorders>
            <w:vAlign w:val="center"/>
          </w:tcPr>
          <w:p w14:paraId="01C22025" w14:textId="68C8E0C4"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0F57E537" w14:textId="72AAD8E1"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8" w:type="pct"/>
            <w:tcBorders>
              <w:top w:val="single" w:sz="4" w:space="0" w:color="auto"/>
              <w:left w:val="single" w:sz="4" w:space="0" w:color="auto"/>
              <w:bottom w:val="single" w:sz="4" w:space="0" w:color="auto"/>
              <w:right w:val="single" w:sz="4" w:space="0" w:color="auto"/>
            </w:tcBorders>
            <w:vAlign w:val="center"/>
          </w:tcPr>
          <w:p w14:paraId="3A01242F" w14:textId="395F9FC9"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tcBorders>
              <w:top w:val="single" w:sz="4" w:space="0" w:color="auto"/>
              <w:left w:val="single" w:sz="4" w:space="0" w:color="auto"/>
              <w:bottom w:val="single" w:sz="4" w:space="0" w:color="auto"/>
              <w:right w:val="single" w:sz="4" w:space="0" w:color="auto"/>
            </w:tcBorders>
            <w:vAlign w:val="center"/>
          </w:tcPr>
          <w:p w14:paraId="58D5E834" w14:textId="1E1F6EF8"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600,00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2139F786" w14:textId="533B93D1"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r>
      <w:tr w:rsidR="00CC6E1B" w14:paraId="5982CFD0"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7E360AF3" w14:textId="77777777"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Przemysł</w:t>
            </w:r>
          </w:p>
        </w:tc>
        <w:tc>
          <w:tcPr>
            <w:tcW w:w="782" w:type="pct"/>
            <w:tcBorders>
              <w:top w:val="single" w:sz="4" w:space="0" w:color="auto"/>
              <w:left w:val="single" w:sz="4" w:space="0" w:color="auto"/>
              <w:bottom w:val="single" w:sz="4" w:space="0" w:color="auto"/>
              <w:right w:val="single" w:sz="4" w:space="0" w:color="auto"/>
            </w:tcBorders>
            <w:vAlign w:val="center"/>
          </w:tcPr>
          <w:p w14:paraId="7A4F1073" w14:textId="0DD938DE"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680,00</w:t>
            </w:r>
          </w:p>
        </w:tc>
        <w:tc>
          <w:tcPr>
            <w:tcW w:w="705" w:type="pct"/>
            <w:tcBorders>
              <w:top w:val="single" w:sz="4" w:space="0" w:color="auto"/>
              <w:left w:val="single" w:sz="4" w:space="0" w:color="auto"/>
              <w:bottom w:val="single" w:sz="4" w:space="0" w:color="auto"/>
              <w:right w:val="single" w:sz="4" w:space="0" w:color="auto"/>
            </w:tcBorders>
            <w:vAlign w:val="center"/>
          </w:tcPr>
          <w:p w14:paraId="4636F580" w14:textId="51F59EC1"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457514BA" w14:textId="40EC80DA"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8" w:type="pct"/>
            <w:tcBorders>
              <w:top w:val="single" w:sz="4" w:space="0" w:color="auto"/>
              <w:left w:val="single" w:sz="4" w:space="0" w:color="auto"/>
              <w:bottom w:val="single" w:sz="4" w:space="0" w:color="auto"/>
              <w:right w:val="single" w:sz="4" w:space="0" w:color="auto"/>
            </w:tcBorders>
            <w:vAlign w:val="center"/>
          </w:tcPr>
          <w:p w14:paraId="37A90C9F" w14:textId="50AB5A42"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tcBorders>
              <w:top w:val="single" w:sz="4" w:space="0" w:color="auto"/>
              <w:left w:val="single" w:sz="4" w:space="0" w:color="auto"/>
              <w:bottom w:val="single" w:sz="4" w:space="0" w:color="auto"/>
              <w:right w:val="single" w:sz="4" w:space="0" w:color="auto"/>
            </w:tcBorders>
            <w:vAlign w:val="center"/>
          </w:tcPr>
          <w:p w14:paraId="6B55FC90" w14:textId="53DF6F69"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5CC7011E" w14:textId="559AA01F"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680,00</w:t>
            </w:r>
          </w:p>
        </w:tc>
      </w:tr>
      <w:tr w:rsidR="00CC6E1B" w14:paraId="3293E9EF"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0A6B3855" w14:textId="77777777"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Redukcja emisji i zrzutów substancji priorytetowych</w:t>
            </w:r>
          </w:p>
        </w:tc>
        <w:tc>
          <w:tcPr>
            <w:tcW w:w="782" w:type="pct"/>
            <w:tcBorders>
              <w:top w:val="single" w:sz="4" w:space="0" w:color="auto"/>
              <w:left w:val="single" w:sz="4" w:space="0" w:color="auto"/>
              <w:bottom w:val="single" w:sz="4" w:space="0" w:color="auto"/>
              <w:right w:val="single" w:sz="4" w:space="0" w:color="auto"/>
            </w:tcBorders>
            <w:vAlign w:val="center"/>
          </w:tcPr>
          <w:p w14:paraId="4E5CB938" w14:textId="46C22625"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150,28</w:t>
            </w:r>
          </w:p>
        </w:tc>
        <w:tc>
          <w:tcPr>
            <w:tcW w:w="705" w:type="pct"/>
            <w:tcBorders>
              <w:top w:val="single" w:sz="4" w:space="0" w:color="auto"/>
              <w:left w:val="single" w:sz="4" w:space="0" w:color="auto"/>
              <w:bottom w:val="single" w:sz="4" w:space="0" w:color="auto"/>
              <w:right w:val="single" w:sz="4" w:space="0" w:color="auto"/>
            </w:tcBorders>
            <w:vAlign w:val="center"/>
          </w:tcPr>
          <w:p w14:paraId="563A76DA" w14:textId="6A228440"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150,28</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1BEE7D69" w14:textId="148509C7"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8" w:type="pct"/>
            <w:tcBorders>
              <w:top w:val="single" w:sz="4" w:space="0" w:color="auto"/>
              <w:left w:val="single" w:sz="4" w:space="0" w:color="auto"/>
              <w:bottom w:val="single" w:sz="4" w:space="0" w:color="auto"/>
              <w:right w:val="single" w:sz="4" w:space="0" w:color="auto"/>
            </w:tcBorders>
            <w:vAlign w:val="center"/>
          </w:tcPr>
          <w:p w14:paraId="274DF46C" w14:textId="58256EB0"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tcBorders>
              <w:top w:val="single" w:sz="4" w:space="0" w:color="auto"/>
              <w:left w:val="single" w:sz="4" w:space="0" w:color="auto"/>
              <w:bottom w:val="single" w:sz="4" w:space="0" w:color="auto"/>
              <w:right w:val="single" w:sz="4" w:space="0" w:color="auto"/>
            </w:tcBorders>
            <w:vAlign w:val="center"/>
          </w:tcPr>
          <w:p w14:paraId="74A68D73" w14:textId="38312C29"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348D7A27" w14:textId="7F965599"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r>
      <w:tr w:rsidR="00CC6E1B" w14:paraId="73F3B24F"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6F823F67" w14:textId="77777777"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Rolnictwo</w:t>
            </w:r>
          </w:p>
        </w:tc>
        <w:tc>
          <w:tcPr>
            <w:tcW w:w="782" w:type="pct"/>
            <w:tcBorders>
              <w:top w:val="single" w:sz="4" w:space="0" w:color="auto"/>
              <w:left w:val="single" w:sz="4" w:space="0" w:color="auto"/>
              <w:bottom w:val="single" w:sz="4" w:space="0" w:color="auto"/>
              <w:right w:val="single" w:sz="4" w:space="0" w:color="auto"/>
            </w:tcBorders>
            <w:vAlign w:val="center"/>
          </w:tcPr>
          <w:p w14:paraId="72C73A7E" w14:textId="629CD66A"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1 254,60</w:t>
            </w:r>
          </w:p>
        </w:tc>
        <w:tc>
          <w:tcPr>
            <w:tcW w:w="705" w:type="pct"/>
            <w:tcBorders>
              <w:top w:val="single" w:sz="4" w:space="0" w:color="auto"/>
              <w:left w:val="single" w:sz="4" w:space="0" w:color="auto"/>
              <w:bottom w:val="single" w:sz="4" w:space="0" w:color="auto"/>
              <w:right w:val="single" w:sz="4" w:space="0" w:color="auto"/>
            </w:tcBorders>
            <w:vAlign w:val="center"/>
          </w:tcPr>
          <w:p w14:paraId="601BD926" w14:textId="1DA7EB10"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27667DDE" w14:textId="4397E0F1"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8" w:type="pct"/>
            <w:tcBorders>
              <w:top w:val="single" w:sz="4" w:space="0" w:color="auto"/>
              <w:left w:val="single" w:sz="4" w:space="0" w:color="auto"/>
              <w:bottom w:val="single" w:sz="4" w:space="0" w:color="auto"/>
              <w:right w:val="single" w:sz="4" w:space="0" w:color="auto"/>
            </w:tcBorders>
            <w:vAlign w:val="center"/>
          </w:tcPr>
          <w:p w14:paraId="21F7792E" w14:textId="14F77471"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tcBorders>
              <w:top w:val="single" w:sz="4" w:space="0" w:color="auto"/>
              <w:left w:val="single" w:sz="4" w:space="0" w:color="auto"/>
              <w:bottom w:val="single" w:sz="4" w:space="0" w:color="auto"/>
              <w:right w:val="single" w:sz="4" w:space="0" w:color="auto"/>
            </w:tcBorders>
            <w:vAlign w:val="center"/>
          </w:tcPr>
          <w:p w14:paraId="2DF090C9" w14:textId="0D57E0CC"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00EF35E8" w14:textId="60B1BA93"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1 254,60</w:t>
            </w:r>
          </w:p>
        </w:tc>
      </w:tr>
      <w:tr w:rsidR="00CC6E1B" w14:paraId="46152F10"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514010AD" w14:textId="075D5EF3"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Zapewnienie ciągłości biologicznej i</w:t>
            </w:r>
            <w:r>
              <w:rPr>
                <w:rFonts w:asciiTheme="minorHAnsi" w:hAnsiTheme="minorHAnsi" w:cstheme="minorHAnsi"/>
                <w:szCs w:val="20"/>
                <w:lang w:eastAsia="pl-PL"/>
              </w:rPr>
              <w:t> </w:t>
            </w:r>
            <w:r w:rsidRPr="002A304C">
              <w:rPr>
                <w:rFonts w:asciiTheme="minorHAnsi" w:hAnsiTheme="minorHAnsi" w:cstheme="minorHAnsi"/>
                <w:szCs w:val="20"/>
                <w:lang w:eastAsia="pl-PL"/>
              </w:rPr>
              <w:t>morfologicznej rzek i potoków</w:t>
            </w:r>
          </w:p>
        </w:tc>
        <w:tc>
          <w:tcPr>
            <w:tcW w:w="782" w:type="pct"/>
            <w:tcBorders>
              <w:top w:val="single" w:sz="4" w:space="0" w:color="auto"/>
              <w:left w:val="single" w:sz="4" w:space="0" w:color="auto"/>
              <w:bottom w:val="single" w:sz="4" w:space="0" w:color="auto"/>
              <w:right w:val="single" w:sz="4" w:space="0" w:color="auto"/>
            </w:tcBorders>
            <w:vAlign w:val="center"/>
          </w:tcPr>
          <w:p w14:paraId="21CC8EBF" w14:textId="10DEAB54"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264 902,60</w:t>
            </w:r>
          </w:p>
        </w:tc>
        <w:tc>
          <w:tcPr>
            <w:tcW w:w="705" w:type="pct"/>
            <w:tcBorders>
              <w:top w:val="single" w:sz="4" w:space="0" w:color="auto"/>
              <w:left w:val="single" w:sz="4" w:space="0" w:color="auto"/>
              <w:bottom w:val="single" w:sz="4" w:space="0" w:color="auto"/>
              <w:right w:val="single" w:sz="4" w:space="0" w:color="auto"/>
            </w:tcBorders>
            <w:vAlign w:val="center"/>
          </w:tcPr>
          <w:p w14:paraId="3F8CFD51" w14:textId="6FA44367"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259 309,00</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1EDEF4A7" w14:textId="17401510"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8" w:type="pct"/>
            <w:tcBorders>
              <w:top w:val="single" w:sz="4" w:space="0" w:color="auto"/>
              <w:left w:val="single" w:sz="4" w:space="0" w:color="auto"/>
              <w:bottom w:val="single" w:sz="4" w:space="0" w:color="auto"/>
              <w:right w:val="single" w:sz="4" w:space="0" w:color="auto"/>
            </w:tcBorders>
            <w:vAlign w:val="center"/>
          </w:tcPr>
          <w:p w14:paraId="6A5C778B" w14:textId="6BBEFC29"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5 593,60</w:t>
            </w:r>
          </w:p>
        </w:tc>
        <w:tc>
          <w:tcPr>
            <w:tcW w:w="547" w:type="pct"/>
            <w:tcBorders>
              <w:top w:val="single" w:sz="4" w:space="0" w:color="auto"/>
              <w:left w:val="single" w:sz="4" w:space="0" w:color="auto"/>
              <w:bottom w:val="single" w:sz="4" w:space="0" w:color="auto"/>
              <w:right w:val="single" w:sz="4" w:space="0" w:color="auto"/>
            </w:tcBorders>
            <w:vAlign w:val="center"/>
          </w:tcPr>
          <w:p w14:paraId="7862F745" w14:textId="640A4EB2"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07B501DD" w14:textId="30662E87"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r>
      <w:tr w:rsidR="00CC6E1B" w14:paraId="12A30659"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35BB3FFF" w14:textId="77777777"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Zintegrowany system monitoringu suszy</w:t>
            </w:r>
          </w:p>
        </w:tc>
        <w:tc>
          <w:tcPr>
            <w:tcW w:w="782" w:type="pct"/>
            <w:tcBorders>
              <w:top w:val="single" w:sz="4" w:space="0" w:color="auto"/>
              <w:left w:val="single" w:sz="4" w:space="0" w:color="auto"/>
              <w:bottom w:val="single" w:sz="4" w:space="0" w:color="auto"/>
              <w:right w:val="single" w:sz="4" w:space="0" w:color="auto"/>
            </w:tcBorders>
            <w:vAlign w:val="center"/>
          </w:tcPr>
          <w:p w14:paraId="6B92E28A" w14:textId="1F66E847"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378,00</w:t>
            </w:r>
          </w:p>
        </w:tc>
        <w:tc>
          <w:tcPr>
            <w:tcW w:w="705" w:type="pct"/>
            <w:tcBorders>
              <w:top w:val="single" w:sz="4" w:space="0" w:color="auto"/>
              <w:left w:val="single" w:sz="4" w:space="0" w:color="auto"/>
              <w:bottom w:val="single" w:sz="4" w:space="0" w:color="auto"/>
              <w:right w:val="single" w:sz="4" w:space="0" w:color="auto"/>
            </w:tcBorders>
            <w:vAlign w:val="center"/>
          </w:tcPr>
          <w:p w14:paraId="7D09BE37" w14:textId="26783EBC" w:rsidR="007A6C94" w:rsidRPr="002A304C" w:rsidRDefault="007A6C94" w:rsidP="00CC6E1B">
            <w:pPr>
              <w:pStyle w:val="Teksttabelisrodek"/>
              <w:keepNext/>
              <w:keepLines/>
              <w:ind w:right="146"/>
              <w:jc w:val="right"/>
              <w:outlineLvl w:val="8"/>
              <w:rPr>
                <w:rFonts w:asciiTheme="minorHAnsi" w:eastAsia="Times New Roman" w:hAnsiTheme="minorHAnsi" w:cstheme="minorHAnsi"/>
                <w:szCs w:val="20"/>
                <w:lang w:eastAsia="en-US"/>
              </w:rPr>
            </w:pPr>
            <w:r>
              <w:rPr>
                <w:rFonts w:cs="Calibri"/>
                <w:szCs w:val="20"/>
              </w:rPr>
              <w:t>0,00</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79D34E5F" w14:textId="49C74683"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378,00</w:t>
            </w:r>
          </w:p>
        </w:tc>
        <w:tc>
          <w:tcPr>
            <w:tcW w:w="548" w:type="pct"/>
            <w:tcBorders>
              <w:top w:val="single" w:sz="4" w:space="0" w:color="auto"/>
              <w:left w:val="single" w:sz="4" w:space="0" w:color="auto"/>
              <w:bottom w:val="single" w:sz="4" w:space="0" w:color="auto"/>
              <w:right w:val="single" w:sz="4" w:space="0" w:color="auto"/>
            </w:tcBorders>
            <w:vAlign w:val="center"/>
          </w:tcPr>
          <w:p w14:paraId="3A727F3C" w14:textId="0C840754" w:rsidR="007A6C94" w:rsidRPr="002A304C" w:rsidRDefault="007A6C94" w:rsidP="00CC6E1B">
            <w:pPr>
              <w:pStyle w:val="Teksttabelisrodek"/>
              <w:keepNext/>
              <w:keepLines/>
              <w:ind w:right="146"/>
              <w:jc w:val="right"/>
              <w:outlineLvl w:val="8"/>
              <w:rPr>
                <w:rFonts w:asciiTheme="minorHAnsi" w:eastAsia="Times New Roman" w:hAnsiTheme="minorHAnsi" w:cstheme="minorHAnsi"/>
                <w:szCs w:val="20"/>
                <w:lang w:eastAsia="en-US"/>
              </w:rPr>
            </w:pPr>
            <w:r>
              <w:rPr>
                <w:rFonts w:cs="Calibri"/>
                <w:szCs w:val="20"/>
              </w:rPr>
              <w:t>0,00</w:t>
            </w:r>
          </w:p>
        </w:tc>
        <w:tc>
          <w:tcPr>
            <w:tcW w:w="547" w:type="pct"/>
            <w:tcBorders>
              <w:top w:val="single" w:sz="4" w:space="0" w:color="auto"/>
              <w:left w:val="single" w:sz="4" w:space="0" w:color="auto"/>
              <w:bottom w:val="single" w:sz="4" w:space="0" w:color="auto"/>
              <w:right w:val="single" w:sz="4" w:space="0" w:color="auto"/>
            </w:tcBorders>
            <w:vAlign w:val="center"/>
          </w:tcPr>
          <w:p w14:paraId="5587E9DA" w14:textId="3B155A0C"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5A232DDB" w14:textId="69DBA737"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r>
      <w:tr w:rsidR="00CC6E1B" w14:paraId="0D2BEF52"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vAlign w:val="center"/>
            <w:hideMark/>
          </w:tcPr>
          <w:p w14:paraId="13374B5E" w14:textId="77777777" w:rsidR="007A6C94" w:rsidRPr="002A304C" w:rsidRDefault="007A6C94" w:rsidP="007A6C94">
            <w:pPr>
              <w:pStyle w:val="Teksttabelilewy"/>
              <w:ind w:left="57"/>
              <w:rPr>
                <w:rFonts w:asciiTheme="minorHAnsi" w:hAnsiTheme="minorHAnsi" w:cstheme="minorHAnsi"/>
                <w:szCs w:val="20"/>
                <w:lang w:eastAsia="pl-PL"/>
              </w:rPr>
            </w:pPr>
            <w:r w:rsidRPr="002A304C">
              <w:rPr>
                <w:rFonts w:asciiTheme="minorHAnsi" w:hAnsiTheme="minorHAnsi" w:cstheme="minorHAnsi"/>
                <w:szCs w:val="20"/>
                <w:lang w:eastAsia="pl-PL"/>
              </w:rPr>
              <w:t>Inne</w:t>
            </w:r>
          </w:p>
        </w:tc>
        <w:tc>
          <w:tcPr>
            <w:tcW w:w="782" w:type="pct"/>
            <w:tcBorders>
              <w:top w:val="single" w:sz="4" w:space="0" w:color="auto"/>
              <w:left w:val="single" w:sz="4" w:space="0" w:color="auto"/>
              <w:bottom w:val="single" w:sz="4" w:space="0" w:color="auto"/>
              <w:right w:val="single" w:sz="4" w:space="0" w:color="auto"/>
            </w:tcBorders>
            <w:vAlign w:val="center"/>
          </w:tcPr>
          <w:p w14:paraId="4B53101E" w14:textId="7514B78B"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74 548,53</w:t>
            </w:r>
          </w:p>
        </w:tc>
        <w:tc>
          <w:tcPr>
            <w:tcW w:w="705" w:type="pct"/>
            <w:tcBorders>
              <w:top w:val="single" w:sz="4" w:space="0" w:color="auto"/>
              <w:left w:val="single" w:sz="4" w:space="0" w:color="auto"/>
              <w:bottom w:val="single" w:sz="4" w:space="0" w:color="auto"/>
              <w:right w:val="single" w:sz="4" w:space="0" w:color="auto"/>
            </w:tcBorders>
            <w:vAlign w:val="center"/>
          </w:tcPr>
          <w:p w14:paraId="4C9E26DD" w14:textId="3B6B2D3E"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gridSpan w:val="2"/>
            <w:tcBorders>
              <w:top w:val="single" w:sz="4" w:space="0" w:color="auto"/>
              <w:left w:val="single" w:sz="4" w:space="0" w:color="auto"/>
              <w:bottom w:val="single" w:sz="4" w:space="0" w:color="auto"/>
              <w:right w:val="single" w:sz="4" w:space="0" w:color="auto"/>
            </w:tcBorders>
            <w:vAlign w:val="center"/>
          </w:tcPr>
          <w:p w14:paraId="6A45CF90" w14:textId="15E00A55"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8" w:type="pct"/>
            <w:tcBorders>
              <w:top w:val="single" w:sz="4" w:space="0" w:color="auto"/>
              <w:left w:val="single" w:sz="4" w:space="0" w:color="auto"/>
              <w:bottom w:val="single" w:sz="4" w:space="0" w:color="auto"/>
              <w:right w:val="single" w:sz="4" w:space="0" w:color="auto"/>
            </w:tcBorders>
            <w:vAlign w:val="center"/>
          </w:tcPr>
          <w:p w14:paraId="1338BB01" w14:textId="4392A69F"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547" w:type="pct"/>
            <w:tcBorders>
              <w:top w:val="single" w:sz="4" w:space="0" w:color="auto"/>
              <w:left w:val="single" w:sz="4" w:space="0" w:color="auto"/>
              <w:bottom w:val="single" w:sz="4" w:space="0" w:color="auto"/>
              <w:right w:val="single" w:sz="4" w:space="0" w:color="auto"/>
            </w:tcBorders>
            <w:vAlign w:val="center"/>
          </w:tcPr>
          <w:p w14:paraId="026ADA3A" w14:textId="13339303"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0,00</w:t>
            </w:r>
          </w:p>
        </w:tc>
        <w:tc>
          <w:tcPr>
            <w:tcW w:w="703" w:type="pct"/>
            <w:gridSpan w:val="2"/>
            <w:tcBorders>
              <w:top w:val="single" w:sz="4" w:space="0" w:color="auto"/>
              <w:left w:val="single" w:sz="4" w:space="0" w:color="auto"/>
              <w:bottom w:val="single" w:sz="4" w:space="0" w:color="auto"/>
              <w:right w:val="single" w:sz="4" w:space="0" w:color="auto"/>
            </w:tcBorders>
            <w:vAlign w:val="center"/>
          </w:tcPr>
          <w:p w14:paraId="584293C6" w14:textId="37EBB5D4" w:rsidR="007A6C94" w:rsidRPr="002A304C" w:rsidRDefault="007A6C94" w:rsidP="00CC6E1B">
            <w:pPr>
              <w:pStyle w:val="Teksttabelisrodek"/>
              <w:keepNext/>
              <w:keepLines/>
              <w:ind w:right="146"/>
              <w:jc w:val="right"/>
              <w:outlineLvl w:val="7"/>
              <w:rPr>
                <w:rFonts w:asciiTheme="minorHAnsi" w:eastAsia="Times New Roman" w:hAnsiTheme="minorHAnsi" w:cstheme="minorHAnsi"/>
                <w:szCs w:val="20"/>
                <w:lang w:eastAsia="en-US"/>
              </w:rPr>
            </w:pPr>
            <w:r>
              <w:rPr>
                <w:rFonts w:cs="Calibri"/>
                <w:szCs w:val="20"/>
              </w:rPr>
              <w:t>74 548,53</w:t>
            </w:r>
          </w:p>
        </w:tc>
      </w:tr>
      <w:tr w:rsidR="00CC6E1B" w14:paraId="3210C8D7" w14:textId="77777777" w:rsidTr="00CC6E1B">
        <w:trPr>
          <w:trHeight w:val="454"/>
        </w:trPr>
        <w:tc>
          <w:tcPr>
            <w:tcW w:w="116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88E5D8" w14:textId="77777777" w:rsidR="007A6C94" w:rsidRPr="002A304C" w:rsidRDefault="007A6C94" w:rsidP="007A6C94">
            <w:pPr>
              <w:pStyle w:val="Teksttabelinaglowek"/>
              <w:keepNext/>
              <w:keepLines/>
              <w:outlineLvl w:val="8"/>
              <w:rPr>
                <w:rFonts w:cstheme="minorHAnsi"/>
                <w:szCs w:val="20"/>
                <w:lang w:eastAsia="en-US"/>
              </w:rPr>
            </w:pPr>
            <w:r w:rsidRPr="002A304C">
              <w:rPr>
                <w:rFonts w:cstheme="minorHAnsi"/>
                <w:szCs w:val="20"/>
                <w:lang w:eastAsia="en-US"/>
              </w:rPr>
              <w:t>RAZEM</w:t>
            </w:r>
          </w:p>
        </w:tc>
        <w:tc>
          <w:tcPr>
            <w:tcW w:w="78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3E66D21" w14:textId="1218DFC4" w:rsidR="007A6C94" w:rsidRPr="006679AD" w:rsidRDefault="007A6C94" w:rsidP="00CC6E1B">
            <w:pPr>
              <w:pStyle w:val="Teksttabelinaglowek"/>
              <w:keepNext/>
              <w:keepLines/>
              <w:ind w:right="146"/>
              <w:jc w:val="right"/>
              <w:outlineLvl w:val="7"/>
              <w:rPr>
                <w:rFonts w:eastAsia="Times New Roman" w:cstheme="minorHAnsi"/>
                <w:szCs w:val="20"/>
                <w:lang w:eastAsia="en-US"/>
              </w:rPr>
            </w:pPr>
            <w:r w:rsidRPr="006679AD">
              <w:rPr>
                <w:rFonts w:ascii="Calibri" w:hAnsi="Calibri" w:cs="Calibri"/>
                <w:szCs w:val="20"/>
              </w:rPr>
              <w:t>7 714 228,76</w:t>
            </w:r>
          </w:p>
        </w:tc>
        <w:tc>
          <w:tcPr>
            <w:tcW w:w="70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9F566C6" w14:textId="2ED1DD04" w:rsidR="007A6C94" w:rsidRPr="006679AD" w:rsidRDefault="007A6C94" w:rsidP="00CC6E1B">
            <w:pPr>
              <w:pStyle w:val="Teksttabelinaglowek"/>
              <w:keepNext/>
              <w:keepLines/>
              <w:ind w:right="146"/>
              <w:jc w:val="right"/>
              <w:outlineLvl w:val="7"/>
              <w:rPr>
                <w:rFonts w:eastAsia="Times New Roman" w:cstheme="minorHAnsi"/>
                <w:szCs w:val="20"/>
                <w:lang w:eastAsia="en-US"/>
              </w:rPr>
            </w:pPr>
            <w:r w:rsidRPr="006679AD">
              <w:rPr>
                <w:rFonts w:ascii="Calibri" w:hAnsi="Calibri" w:cs="Calibri"/>
                <w:szCs w:val="20"/>
              </w:rPr>
              <w:t>6 501 404,76</w:t>
            </w:r>
          </w:p>
        </w:tc>
        <w:tc>
          <w:tcPr>
            <w:tcW w:w="547"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674A753" w14:textId="043B9814" w:rsidR="007A6C94" w:rsidRPr="006679AD" w:rsidRDefault="007A6C94" w:rsidP="00CC6E1B">
            <w:pPr>
              <w:pStyle w:val="Teksttabelinaglowek"/>
              <w:keepNext/>
              <w:keepLines/>
              <w:ind w:right="146"/>
              <w:jc w:val="right"/>
              <w:outlineLvl w:val="7"/>
              <w:rPr>
                <w:rFonts w:eastAsia="Times New Roman" w:cstheme="minorHAnsi"/>
                <w:szCs w:val="20"/>
                <w:lang w:eastAsia="en-US"/>
              </w:rPr>
            </w:pPr>
            <w:r w:rsidRPr="006679AD">
              <w:rPr>
                <w:rFonts w:ascii="Calibri" w:hAnsi="Calibri" w:cs="Calibri"/>
                <w:szCs w:val="20"/>
              </w:rPr>
              <w:t>45 639,31</w:t>
            </w:r>
          </w:p>
        </w:tc>
        <w:tc>
          <w:tcPr>
            <w:tcW w:w="54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443FC7C" w14:textId="7C236586" w:rsidR="007A6C94" w:rsidRPr="006679AD" w:rsidRDefault="007A6C94" w:rsidP="00CC6E1B">
            <w:pPr>
              <w:pStyle w:val="Teksttabelinaglowek"/>
              <w:keepNext/>
              <w:keepLines/>
              <w:ind w:right="146"/>
              <w:jc w:val="right"/>
              <w:outlineLvl w:val="7"/>
              <w:rPr>
                <w:rFonts w:eastAsia="Times New Roman" w:cstheme="minorHAnsi"/>
                <w:szCs w:val="20"/>
                <w:lang w:eastAsia="en-US"/>
              </w:rPr>
            </w:pPr>
            <w:r w:rsidRPr="006679AD">
              <w:rPr>
                <w:rFonts w:ascii="Calibri" w:hAnsi="Calibri" w:cs="Calibri"/>
                <w:szCs w:val="20"/>
              </w:rPr>
              <w:t>10 909,11</w:t>
            </w:r>
          </w:p>
        </w:tc>
        <w:tc>
          <w:tcPr>
            <w:tcW w:w="54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F39F903" w14:textId="5152DA32" w:rsidR="007A6C94" w:rsidRPr="006679AD" w:rsidRDefault="007A6C94" w:rsidP="00CC6E1B">
            <w:pPr>
              <w:pStyle w:val="Teksttabelinaglowek"/>
              <w:keepNext/>
              <w:keepLines/>
              <w:ind w:right="146"/>
              <w:jc w:val="right"/>
              <w:outlineLvl w:val="7"/>
              <w:rPr>
                <w:rFonts w:eastAsia="Times New Roman" w:cstheme="minorHAnsi"/>
                <w:szCs w:val="20"/>
                <w:lang w:eastAsia="en-US"/>
              </w:rPr>
            </w:pPr>
            <w:r w:rsidRPr="006679AD">
              <w:rPr>
                <w:rFonts w:ascii="Calibri" w:hAnsi="Calibri" w:cs="Calibri"/>
                <w:szCs w:val="20"/>
              </w:rPr>
              <w:t>27 160,00</w:t>
            </w:r>
          </w:p>
        </w:tc>
        <w:tc>
          <w:tcPr>
            <w:tcW w:w="703"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E12CB5E" w14:textId="22CD8B09" w:rsidR="007A6C94" w:rsidRPr="006679AD" w:rsidRDefault="007A6C94" w:rsidP="00CC6E1B">
            <w:pPr>
              <w:pStyle w:val="Teksttabelinaglowek"/>
              <w:keepNext/>
              <w:keepLines/>
              <w:ind w:right="146"/>
              <w:jc w:val="right"/>
              <w:outlineLvl w:val="7"/>
              <w:rPr>
                <w:rFonts w:eastAsia="Times New Roman" w:cstheme="minorHAnsi"/>
                <w:szCs w:val="20"/>
                <w:lang w:eastAsia="en-US"/>
              </w:rPr>
            </w:pPr>
            <w:r w:rsidRPr="006679AD">
              <w:rPr>
                <w:rFonts w:ascii="Calibri" w:hAnsi="Calibri" w:cs="Calibri"/>
                <w:szCs w:val="20"/>
              </w:rPr>
              <w:t>1 129 115,58</w:t>
            </w:r>
          </w:p>
        </w:tc>
      </w:tr>
    </w:tbl>
    <w:p w14:paraId="1ACAA192" w14:textId="41E57A06" w:rsidR="0023745B" w:rsidRPr="0023745B" w:rsidRDefault="00FA151A" w:rsidP="002A304C">
      <w:pPr>
        <w:pStyle w:val="Tabela-wyjasnieniapod"/>
      </w:pPr>
      <w:r>
        <w:t>Objaśnienia:</w:t>
      </w:r>
      <w:r>
        <w:br/>
      </w:r>
      <w:r w:rsidR="0023745B">
        <w:t>*</w:t>
      </w:r>
      <w:r w:rsidR="002A304C" w:rsidRPr="002A304C">
        <w:t>koszt nie został okre</w:t>
      </w:r>
      <w:r w:rsidR="008F22DD">
        <w:t>ś</w:t>
      </w:r>
      <w:r w:rsidR="002A304C" w:rsidRPr="002A304C">
        <w:t>lony (w zależności od wyceny potrzeb)</w:t>
      </w:r>
    </w:p>
    <w:p w14:paraId="12C66ECD" w14:textId="05E0E41D" w:rsidR="00E7049B" w:rsidRDefault="00E7049B" w:rsidP="002A304C">
      <w:pPr>
        <w:pStyle w:val="rdo"/>
      </w:pPr>
      <w:r>
        <w:rPr>
          <w:lang w:eastAsia="zh-CN"/>
        </w:rPr>
        <w:t>Źródło: opracowanie własne</w:t>
      </w:r>
    </w:p>
    <w:p w14:paraId="05207025" w14:textId="39CA959E" w:rsidR="003F5E1B" w:rsidRDefault="003F5E1B" w:rsidP="00291C10">
      <w:r>
        <w:t>Działania finansowane wyłącznie ze środków własnych bądź budżetu państwa stanowią 31% w ogólnej liczbie działań. Pozostałe 69% działań stanowią działania, które oprócz środków własnych czy budżetu państwa mogą być finansowane ze środków UE, innych środków krajowych (poprzez NFOŚiGW/WFOŚiGW) oraz środków programu LIFE.</w:t>
      </w:r>
      <w:r>
        <w:rPr>
          <w:rFonts w:cs="Calibri"/>
          <w:i/>
          <w:iCs/>
          <w:color w:val="003399"/>
          <w:sz w:val="20"/>
          <w:szCs w:val="20"/>
          <w:lang w:eastAsia="zh-CN"/>
        </w:rPr>
        <w:t xml:space="preserve"> </w:t>
      </w:r>
      <w:r>
        <w:t>Blisko 38% wszystkich działań jest możliwe do wdrożenia do 2024 roku i posiada zapewnione źródło finansowania. Także 38% wszystkich działań stanowią działania możliwe do wdrożenia do 2024 roku, przy czym nie mają one określonego źródła finansowania. 23% działań jest możliwe do wdrożenia do 2027 roku, ale nie ma określonego źródła finansowania. W poniższej tabeli (tabela 12-17) zaprezentowano zestawienie statystyczne dotyczące realności wdrożenia zestawu działań na obszarze dorzecza</w:t>
      </w:r>
    </w:p>
    <w:p w14:paraId="65BE6974" w14:textId="71CB439C" w:rsidR="00E7049B" w:rsidRDefault="00E7049B" w:rsidP="004D7705">
      <w:pPr>
        <w:pStyle w:val="Tabela"/>
      </w:pPr>
      <w:bookmarkStart w:id="785" w:name="_Toc67652441"/>
      <w:bookmarkStart w:id="786" w:name="_Toc105512886"/>
      <w:r>
        <w:t xml:space="preserve">Tabela </w:t>
      </w:r>
      <w:fldSimple w:instr=" STYLEREF 1 \s ">
        <w:r w:rsidR="001F774D">
          <w:rPr>
            <w:noProof/>
          </w:rPr>
          <w:t>12</w:t>
        </w:r>
      </w:fldSimple>
      <w:r>
        <w:noBreakHyphen/>
      </w:r>
      <w:fldSimple w:instr=" SEQ Tabela \* ARABIC \s 1 ">
        <w:r w:rsidR="001F774D">
          <w:rPr>
            <w:noProof/>
          </w:rPr>
          <w:t>17</w:t>
        </w:r>
      </w:fldSimple>
      <w:r w:rsidR="000B5450">
        <w:rPr>
          <w:noProof/>
        </w:rPr>
        <w:t>.</w:t>
      </w:r>
      <w:r>
        <w:tab/>
        <w:t xml:space="preserve">Ocena realności wdrożenia działań </w:t>
      </w:r>
      <w:r w:rsidR="0041502F">
        <w:t>–</w:t>
      </w:r>
      <w:r>
        <w:t xml:space="preserve"> obszar dorzecza Odry</w:t>
      </w:r>
      <w:bookmarkEnd w:id="785"/>
      <w:bookmarkEnd w:id="786"/>
    </w:p>
    <w:tbl>
      <w:tblPr>
        <w:tblW w:w="5000" w:type="pct"/>
        <w:tblInd w:w="65" w:type="dxa"/>
        <w:tblCellMar>
          <w:left w:w="70" w:type="dxa"/>
          <w:right w:w="70" w:type="dxa"/>
        </w:tblCellMar>
        <w:tblLook w:val="04A0" w:firstRow="1" w:lastRow="0" w:firstColumn="1" w:lastColumn="0" w:noHBand="0" w:noVBand="1"/>
      </w:tblPr>
      <w:tblGrid>
        <w:gridCol w:w="1320"/>
        <w:gridCol w:w="4888"/>
        <w:gridCol w:w="1443"/>
        <w:gridCol w:w="1411"/>
      </w:tblGrid>
      <w:tr w:rsidR="00E7049B" w14:paraId="629A2370" w14:textId="77777777" w:rsidTr="004E24D2">
        <w:trPr>
          <w:trHeight w:val="454"/>
          <w:tblHeader/>
        </w:trPr>
        <w:tc>
          <w:tcPr>
            <w:tcW w:w="13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4E0628D" w14:textId="77777777" w:rsidR="00E7049B" w:rsidRDefault="00E7049B">
            <w:pPr>
              <w:pStyle w:val="Teksttabelinaglowek"/>
              <w:spacing w:line="256" w:lineRule="auto"/>
              <w:rPr>
                <w:lang w:eastAsia="en-US"/>
              </w:rPr>
            </w:pPr>
            <w:r>
              <w:rPr>
                <w:lang w:eastAsia="en-US"/>
              </w:rPr>
              <w:t>Stopień oceny realności</w:t>
            </w:r>
          </w:p>
        </w:tc>
        <w:tc>
          <w:tcPr>
            <w:tcW w:w="488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F31AC24" w14:textId="77777777" w:rsidR="00E7049B" w:rsidRDefault="00E7049B">
            <w:pPr>
              <w:pStyle w:val="Teksttabelinaglowek"/>
              <w:spacing w:line="256" w:lineRule="auto"/>
              <w:rPr>
                <w:lang w:eastAsia="en-US"/>
              </w:rPr>
            </w:pPr>
            <w:r>
              <w:rPr>
                <w:lang w:eastAsia="en-US"/>
              </w:rPr>
              <w:t>Ocena jakościowa</w:t>
            </w:r>
          </w:p>
        </w:tc>
        <w:tc>
          <w:tcPr>
            <w:tcW w:w="144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FA5B0A6" w14:textId="77777777" w:rsidR="00E7049B" w:rsidRDefault="00E7049B">
            <w:pPr>
              <w:pStyle w:val="Teksttabelinaglowek"/>
              <w:spacing w:line="256" w:lineRule="auto"/>
              <w:rPr>
                <w:lang w:eastAsia="en-US"/>
              </w:rPr>
            </w:pPr>
            <w:r>
              <w:rPr>
                <w:lang w:eastAsia="en-US"/>
              </w:rPr>
              <w:t>Liczba działań</w:t>
            </w:r>
          </w:p>
        </w:tc>
        <w:tc>
          <w:tcPr>
            <w:tcW w:w="141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276CCC3" w14:textId="77777777" w:rsidR="00E7049B" w:rsidRDefault="00E7049B">
            <w:pPr>
              <w:pStyle w:val="Teksttabelinaglowek"/>
              <w:spacing w:line="256" w:lineRule="auto"/>
              <w:rPr>
                <w:lang w:eastAsia="en-US"/>
              </w:rPr>
            </w:pPr>
            <w:r>
              <w:rPr>
                <w:lang w:eastAsia="en-US"/>
              </w:rPr>
              <w:t>Udział (%)</w:t>
            </w:r>
          </w:p>
        </w:tc>
      </w:tr>
      <w:tr w:rsidR="00FE7766" w14:paraId="5CB9C01F" w14:textId="77777777" w:rsidTr="00013629">
        <w:trPr>
          <w:trHeight w:val="454"/>
        </w:trPr>
        <w:tc>
          <w:tcPr>
            <w:tcW w:w="1320" w:type="dxa"/>
            <w:tcBorders>
              <w:top w:val="nil"/>
              <w:left w:val="single" w:sz="4" w:space="0" w:color="auto"/>
              <w:bottom w:val="single" w:sz="4" w:space="0" w:color="auto"/>
              <w:right w:val="single" w:sz="4" w:space="0" w:color="auto"/>
            </w:tcBorders>
            <w:vAlign w:val="center"/>
            <w:hideMark/>
          </w:tcPr>
          <w:p w14:paraId="4E4E6E48" w14:textId="77777777" w:rsidR="00FE7766" w:rsidRDefault="00FE7766" w:rsidP="00FE7766">
            <w:pPr>
              <w:pStyle w:val="Teksttabelisrodek"/>
              <w:rPr>
                <w:lang w:eastAsia="en-US"/>
              </w:rPr>
            </w:pPr>
            <w:r>
              <w:rPr>
                <w:lang w:eastAsia="en-US"/>
              </w:rPr>
              <w:t>1</w:t>
            </w:r>
          </w:p>
        </w:tc>
        <w:tc>
          <w:tcPr>
            <w:tcW w:w="4888" w:type="dxa"/>
            <w:tcBorders>
              <w:top w:val="nil"/>
              <w:left w:val="nil"/>
              <w:bottom w:val="single" w:sz="4" w:space="0" w:color="auto"/>
              <w:right w:val="single" w:sz="4" w:space="0" w:color="auto"/>
            </w:tcBorders>
            <w:vAlign w:val="center"/>
            <w:hideMark/>
          </w:tcPr>
          <w:p w14:paraId="31E99DE5" w14:textId="77777777" w:rsidR="00FE7766" w:rsidRDefault="00FE7766" w:rsidP="00FE7766">
            <w:pPr>
              <w:pStyle w:val="Teksttabelilewy"/>
            </w:pPr>
            <w:r>
              <w:t>Działania mało realne do wdrożenia do roku 2027</w:t>
            </w:r>
          </w:p>
        </w:tc>
        <w:tc>
          <w:tcPr>
            <w:tcW w:w="1443" w:type="dxa"/>
            <w:tcBorders>
              <w:top w:val="nil"/>
              <w:left w:val="nil"/>
              <w:bottom w:val="single" w:sz="4" w:space="0" w:color="auto"/>
              <w:right w:val="single" w:sz="4" w:space="0" w:color="auto"/>
            </w:tcBorders>
            <w:shd w:val="clear" w:color="auto" w:fill="FFFFFF"/>
            <w:vAlign w:val="center"/>
            <w:hideMark/>
          </w:tcPr>
          <w:p w14:paraId="6A5B1695" w14:textId="76C5B49A" w:rsidR="00FE7766" w:rsidRDefault="00FE7766" w:rsidP="00FE7766">
            <w:pPr>
              <w:pStyle w:val="Teksttabelisrodek"/>
              <w:rPr>
                <w:lang w:eastAsia="en-US"/>
              </w:rPr>
            </w:pPr>
            <w:r>
              <w:rPr>
                <w:rFonts w:cs="Calibri"/>
                <w:color w:val="000000"/>
                <w:szCs w:val="20"/>
              </w:rPr>
              <w:t>12</w:t>
            </w:r>
          </w:p>
        </w:tc>
        <w:tc>
          <w:tcPr>
            <w:tcW w:w="1411" w:type="dxa"/>
            <w:tcBorders>
              <w:top w:val="nil"/>
              <w:left w:val="nil"/>
              <w:bottom w:val="single" w:sz="4" w:space="0" w:color="auto"/>
              <w:right w:val="single" w:sz="4" w:space="0" w:color="auto"/>
            </w:tcBorders>
            <w:shd w:val="clear" w:color="auto" w:fill="FFFFFF"/>
            <w:vAlign w:val="center"/>
            <w:hideMark/>
          </w:tcPr>
          <w:p w14:paraId="437E3B67" w14:textId="559A9C07" w:rsidR="00FE7766" w:rsidRDefault="00FE7766" w:rsidP="00FE7766">
            <w:pPr>
              <w:pStyle w:val="Teksttabelisrodek"/>
              <w:rPr>
                <w:lang w:eastAsia="en-US"/>
              </w:rPr>
            </w:pPr>
            <w:r>
              <w:rPr>
                <w:rFonts w:cs="Calibri"/>
                <w:color w:val="000000"/>
                <w:szCs w:val="20"/>
              </w:rPr>
              <w:t>0,11</w:t>
            </w:r>
          </w:p>
        </w:tc>
      </w:tr>
      <w:tr w:rsidR="00FE7766" w14:paraId="49697348" w14:textId="77777777" w:rsidTr="00013629">
        <w:trPr>
          <w:trHeight w:val="454"/>
        </w:trPr>
        <w:tc>
          <w:tcPr>
            <w:tcW w:w="1320" w:type="dxa"/>
            <w:tcBorders>
              <w:top w:val="nil"/>
              <w:left w:val="single" w:sz="4" w:space="0" w:color="auto"/>
              <w:bottom w:val="single" w:sz="4" w:space="0" w:color="auto"/>
              <w:right w:val="single" w:sz="4" w:space="0" w:color="auto"/>
            </w:tcBorders>
            <w:vAlign w:val="center"/>
            <w:hideMark/>
          </w:tcPr>
          <w:p w14:paraId="5D0C6011" w14:textId="77777777" w:rsidR="00FE7766" w:rsidRDefault="00FE7766" w:rsidP="00FE7766">
            <w:pPr>
              <w:pStyle w:val="Teksttabelisrodek"/>
              <w:rPr>
                <w:lang w:eastAsia="en-US"/>
              </w:rPr>
            </w:pPr>
            <w:r>
              <w:rPr>
                <w:lang w:eastAsia="en-US"/>
              </w:rPr>
              <w:t>2</w:t>
            </w:r>
          </w:p>
        </w:tc>
        <w:tc>
          <w:tcPr>
            <w:tcW w:w="4888" w:type="dxa"/>
            <w:tcBorders>
              <w:top w:val="nil"/>
              <w:left w:val="nil"/>
              <w:bottom w:val="single" w:sz="4" w:space="0" w:color="auto"/>
              <w:right w:val="single" w:sz="4" w:space="0" w:color="auto"/>
            </w:tcBorders>
            <w:vAlign w:val="center"/>
            <w:hideMark/>
          </w:tcPr>
          <w:p w14:paraId="3ECE6137" w14:textId="77777777" w:rsidR="00FE7766" w:rsidRDefault="00FE7766" w:rsidP="00FE7766">
            <w:pPr>
              <w:pStyle w:val="Teksttabelilewy"/>
            </w:pPr>
            <w:r>
              <w:t>Działania możliwe do wdrożenia do roku 2027, ale brak określonego źródła finansowania lub konieczne zmiany prawne i kompetencyjne</w:t>
            </w:r>
          </w:p>
        </w:tc>
        <w:tc>
          <w:tcPr>
            <w:tcW w:w="1443" w:type="dxa"/>
            <w:tcBorders>
              <w:top w:val="nil"/>
              <w:left w:val="nil"/>
              <w:bottom w:val="single" w:sz="4" w:space="0" w:color="auto"/>
              <w:right w:val="single" w:sz="4" w:space="0" w:color="auto"/>
            </w:tcBorders>
            <w:shd w:val="clear" w:color="auto" w:fill="FFFFFF"/>
            <w:vAlign w:val="center"/>
            <w:hideMark/>
          </w:tcPr>
          <w:p w14:paraId="0E744A2F" w14:textId="4F42ED68" w:rsidR="00FE7766" w:rsidRDefault="00FE7766" w:rsidP="00FE7766">
            <w:pPr>
              <w:pStyle w:val="Teksttabelisrodek"/>
              <w:rPr>
                <w:lang w:eastAsia="en-US"/>
              </w:rPr>
            </w:pPr>
            <w:r>
              <w:rPr>
                <w:rFonts w:cs="Calibri"/>
                <w:color w:val="000000"/>
                <w:szCs w:val="20"/>
              </w:rPr>
              <w:t>2 464</w:t>
            </w:r>
          </w:p>
        </w:tc>
        <w:tc>
          <w:tcPr>
            <w:tcW w:w="1411" w:type="dxa"/>
            <w:tcBorders>
              <w:top w:val="nil"/>
              <w:left w:val="nil"/>
              <w:bottom w:val="single" w:sz="4" w:space="0" w:color="auto"/>
              <w:right w:val="single" w:sz="4" w:space="0" w:color="auto"/>
            </w:tcBorders>
            <w:shd w:val="clear" w:color="auto" w:fill="FFFFFF"/>
            <w:vAlign w:val="center"/>
            <w:hideMark/>
          </w:tcPr>
          <w:p w14:paraId="1E4EA054" w14:textId="27608BF1" w:rsidR="00FE7766" w:rsidRDefault="00FE7766" w:rsidP="00FE7766">
            <w:pPr>
              <w:pStyle w:val="Teksttabelisrodek"/>
              <w:rPr>
                <w:lang w:eastAsia="en-US"/>
              </w:rPr>
            </w:pPr>
            <w:r>
              <w:rPr>
                <w:rFonts w:cs="Calibri"/>
                <w:color w:val="000000"/>
                <w:szCs w:val="20"/>
              </w:rPr>
              <w:t>23,34</w:t>
            </w:r>
          </w:p>
        </w:tc>
      </w:tr>
      <w:tr w:rsidR="00FE7766" w14:paraId="463C6F71" w14:textId="77777777" w:rsidTr="00013629">
        <w:trPr>
          <w:trHeight w:val="454"/>
        </w:trPr>
        <w:tc>
          <w:tcPr>
            <w:tcW w:w="1320" w:type="dxa"/>
            <w:tcBorders>
              <w:top w:val="nil"/>
              <w:left w:val="single" w:sz="4" w:space="0" w:color="auto"/>
              <w:bottom w:val="single" w:sz="4" w:space="0" w:color="auto"/>
              <w:right w:val="single" w:sz="4" w:space="0" w:color="auto"/>
            </w:tcBorders>
            <w:vAlign w:val="center"/>
            <w:hideMark/>
          </w:tcPr>
          <w:p w14:paraId="6D7876E8" w14:textId="77777777" w:rsidR="00FE7766" w:rsidRDefault="00FE7766" w:rsidP="00FE7766">
            <w:pPr>
              <w:pStyle w:val="Teksttabelisrodek"/>
              <w:rPr>
                <w:lang w:eastAsia="en-US"/>
              </w:rPr>
            </w:pPr>
            <w:r>
              <w:rPr>
                <w:lang w:eastAsia="en-US"/>
              </w:rPr>
              <w:t>3</w:t>
            </w:r>
          </w:p>
        </w:tc>
        <w:tc>
          <w:tcPr>
            <w:tcW w:w="4888" w:type="dxa"/>
            <w:tcBorders>
              <w:top w:val="nil"/>
              <w:left w:val="nil"/>
              <w:bottom w:val="single" w:sz="4" w:space="0" w:color="auto"/>
              <w:right w:val="single" w:sz="4" w:space="0" w:color="auto"/>
            </w:tcBorders>
            <w:vAlign w:val="center"/>
            <w:hideMark/>
          </w:tcPr>
          <w:p w14:paraId="417695BF" w14:textId="77777777" w:rsidR="00FE7766" w:rsidRDefault="00FE7766" w:rsidP="00FE7766">
            <w:pPr>
              <w:pStyle w:val="Teksttabelilewy"/>
            </w:pPr>
            <w:r>
              <w:t>Działania możliwe do wdrożenia do roku 2024, ale brak określonego źródła finansowania lub konieczne zmiany prawne i kompetencyjne</w:t>
            </w:r>
          </w:p>
        </w:tc>
        <w:tc>
          <w:tcPr>
            <w:tcW w:w="1443" w:type="dxa"/>
            <w:tcBorders>
              <w:top w:val="nil"/>
              <w:left w:val="nil"/>
              <w:bottom w:val="single" w:sz="4" w:space="0" w:color="auto"/>
              <w:right w:val="single" w:sz="4" w:space="0" w:color="auto"/>
            </w:tcBorders>
            <w:shd w:val="clear" w:color="auto" w:fill="FFFFFF"/>
            <w:vAlign w:val="center"/>
            <w:hideMark/>
          </w:tcPr>
          <w:p w14:paraId="7D5B96C7" w14:textId="68603E4D" w:rsidR="00FE7766" w:rsidRDefault="00FE7766" w:rsidP="00FE7766">
            <w:pPr>
              <w:pStyle w:val="Teksttabelisrodek"/>
              <w:rPr>
                <w:lang w:eastAsia="en-US"/>
              </w:rPr>
            </w:pPr>
            <w:r>
              <w:rPr>
                <w:rFonts w:cs="Calibri"/>
                <w:color w:val="000000"/>
                <w:szCs w:val="20"/>
              </w:rPr>
              <w:t>3 968</w:t>
            </w:r>
          </w:p>
        </w:tc>
        <w:tc>
          <w:tcPr>
            <w:tcW w:w="1411" w:type="dxa"/>
            <w:tcBorders>
              <w:top w:val="nil"/>
              <w:left w:val="nil"/>
              <w:bottom w:val="single" w:sz="4" w:space="0" w:color="auto"/>
              <w:right w:val="single" w:sz="4" w:space="0" w:color="auto"/>
            </w:tcBorders>
            <w:shd w:val="clear" w:color="auto" w:fill="FFFFFF"/>
            <w:vAlign w:val="center"/>
            <w:hideMark/>
          </w:tcPr>
          <w:p w14:paraId="3DB43AB1" w14:textId="3DE55665" w:rsidR="00FE7766" w:rsidRDefault="00FE7766" w:rsidP="00FE7766">
            <w:pPr>
              <w:pStyle w:val="Teksttabelisrodek"/>
              <w:rPr>
                <w:lang w:eastAsia="en-US"/>
              </w:rPr>
            </w:pPr>
            <w:r>
              <w:rPr>
                <w:rFonts w:cs="Calibri"/>
                <w:color w:val="000000"/>
                <w:szCs w:val="20"/>
              </w:rPr>
              <w:t>37,59</w:t>
            </w:r>
          </w:p>
        </w:tc>
      </w:tr>
      <w:tr w:rsidR="00FE7766" w14:paraId="513AA7B3" w14:textId="77777777" w:rsidTr="00013629">
        <w:trPr>
          <w:trHeight w:val="454"/>
        </w:trPr>
        <w:tc>
          <w:tcPr>
            <w:tcW w:w="1320" w:type="dxa"/>
            <w:tcBorders>
              <w:top w:val="nil"/>
              <w:left w:val="single" w:sz="4" w:space="0" w:color="auto"/>
              <w:bottom w:val="single" w:sz="4" w:space="0" w:color="auto"/>
              <w:right w:val="single" w:sz="4" w:space="0" w:color="auto"/>
            </w:tcBorders>
            <w:vAlign w:val="center"/>
            <w:hideMark/>
          </w:tcPr>
          <w:p w14:paraId="178C2569" w14:textId="77777777" w:rsidR="00FE7766" w:rsidRDefault="00FE7766" w:rsidP="00FE7766">
            <w:pPr>
              <w:pStyle w:val="Teksttabelisrodek"/>
              <w:rPr>
                <w:lang w:eastAsia="en-US"/>
              </w:rPr>
            </w:pPr>
            <w:r>
              <w:rPr>
                <w:lang w:eastAsia="en-US"/>
              </w:rPr>
              <w:t>4</w:t>
            </w:r>
          </w:p>
        </w:tc>
        <w:tc>
          <w:tcPr>
            <w:tcW w:w="4888" w:type="dxa"/>
            <w:tcBorders>
              <w:top w:val="nil"/>
              <w:left w:val="nil"/>
              <w:bottom w:val="single" w:sz="4" w:space="0" w:color="auto"/>
              <w:right w:val="single" w:sz="4" w:space="0" w:color="auto"/>
            </w:tcBorders>
            <w:vAlign w:val="center"/>
            <w:hideMark/>
          </w:tcPr>
          <w:p w14:paraId="7683DB13" w14:textId="1DF2BECB" w:rsidR="00FE7766" w:rsidRDefault="00FE7766" w:rsidP="00FE7766">
            <w:pPr>
              <w:pStyle w:val="Teksttabelilewy"/>
            </w:pPr>
            <w:r>
              <w:t>Działania możliwe do wdrożenia do roku 2027 – działanie jest przygotowane i ma zapewnione finansowanie</w:t>
            </w:r>
          </w:p>
        </w:tc>
        <w:tc>
          <w:tcPr>
            <w:tcW w:w="1443" w:type="dxa"/>
            <w:tcBorders>
              <w:top w:val="nil"/>
              <w:left w:val="nil"/>
              <w:bottom w:val="single" w:sz="4" w:space="0" w:color="auto"/>
              <w:right w:val="single" w:sz="4" w:space="0" w:color="auto"/>
            </w:tcBorders>
            <w:shd w:val="clear" w:color="auto" w:fill="FFFFFF"/>
            <w:vAlign w:val="center"/>
            <w:hideMark/>
          </w:tcPr>
          <w:p w14:paraId="3B784F01" w14:textId="23105692" w:rsidR="00FE7766" w:rsidRDefault="00FE7766" w:rsidP="00FE7766">
            <w:pPr>
              <w:pStyle w:val="Teksttabelisrodek"/>
              <w:rPr>
                <w:lang w:eastAsia="en-US"/>
              </w:rPr>
            </w:pPr>
            <w:r>
              <w:rPr>
                <w:rFonts w:cs="Calibri"/>
                <w:color w:val="000000"/>
                <w:szCs w:val="20"/>
              </w:rPr>
              <w:t>105</w:t>
            </w:r>
          </w:p>
        </w:tc>
        <w:tc>
          <w:tcPr>
            <w:tcW w:w="1411" w:type="dxa"/>
            <w:tcBorders>
              <w:top w:val="nil"/>
              <w:left w:val="nil"/>
              <w:bottom w:val="single" w:sz="4" w:space="0" w:color="auto"/>
              <w:right w:val="single" w:sz="4" w:space="0" w:color="auto"/>
            </w:tcBorders>
            <w:shd w:val="clear" w:color="auto" w:fill="FFFFFF"/>
            <w:vAlign w:val="center"/>
            <w:hideMark/>
          </w:tcPr>
          <w:p w14:paraId="117BB0CF" w14:textId="22304339" w:rsidR="00FE7766" w:rsidRDefault="00FE7766" w:rsidP="00FE7766">
            <w:pPr>
              <w:pStyle w:val="Teksttabelisrodek"/>
              <w:rPr>
                <w:lang w:eastAsia="en-US"/>
              </w:rPr>
            </w:pPr>
            <w:r>
              <w:rPr>
                <w:rFonts w:cs="Calibri"/>
                <w:color w:val="000000"/>
                <w:szCs w:val="20"/>
              </w:rPr>
              <w:t>0,99</w:t>
            </w:r>
          </w:p>
        </w:tc>
      </w:tr>
      <w:tr w:rsidR="00FE7766" w14:paraId="09EDC362" w14:textId="77777777" w:rsidTr="00013629">
        <w:trPr>
          <w:trHeight w:val="454"/>
        </w:trPr>
        <w:tc>
          <w:tcPr>
            <w:tcW w:w="1320" w:type="dxa"/>
            <w:tcBorders>
              <w:top w:val="nil"/>
              <w:left w:val="single" w:sz="4" w:space="0" w:color="auto"/>
              <w:bottom w:val="single" w:sz="4" w:space="0" w:color="auto"/>
              <w:right w:val="single" w:sz="4" w:space="0" w:color="auto"/>
            </w:tcBorders>
            <w:vAlign w:val="center"/>
            <w:hideMark/>
          </w:tcPr>
          <w:p w14:paraId="52406833" w14:textId="77777777" w:rsidR="00FE7766" w:rsidRDefault="00FE7766" w:rsidP="00FE7766">
            <w:pPr>
              <w:pStyle w:val="Teksttabelisrodek"/>
              <w:rPr>
                <w:lang w:eastAsia="en-US"/>
              </w:rPr>
            </w:pPr>
            <w:r>
              <w:rPr>
                <w:lang w:eastAsia="en-US"/>
              </w:rPr>
              <w:t>5</w:t>
            </w:r>
          </w:p>
        </w:tc>
        <w:tc>
          <w:tcPr>
            <w:tcW w:w="4888" w:type="dxa"/>
            <w:tcBorders>
              <w:top w:val="nil"/>
              <w:left w:val="nil"/>
              <w:bottom w:val="single" w:sz="4" w:space="0" w:color="auto"/>
              <w:right w:val="single" w:sz="4" w:space="0" w:color="auto"/>
            </w:tcBorders>
            <w:vAlign w:val="center"/>
            <w:hideMark/>
          </w:tcPr>
          <w:p w14:paraId="0BEA5521" w14:textId="5FEB62B3" w:rsidR="00FE7766" w:rsidRDefault="00FE7766" w:rsidP="00FE7766">
            <w:pPr>
              <w:pStyle w:val="Teksttabelilewy"/>
            </w:pPr>
            <w:r>
              <w:t>Działania możliwe do wdrożenia do roku 2024 – działanie jest przygotowane i ma zapewnione finansowanie</w:t>
            </w:r>
          </w:p>
        </w:tc>
        <w:tc>
          <w:tcPr>
            <w:tcW w:w="1443" w:type="dxa"/>
            <w:tcBorders>
              <w:top w:val="nil"/>
              <w:left w:val="nil"/>
              <w:bottom w:val="single" w:sz="4" w:space="0" w:color="auto"/>
              <w:right w:val="single" w:sz="4" w:space="0" w:color="auto"/>
            </w:tcBorders>
            <w:shd w:val="clear" w:color="auto" w:fill="FFFFFF"/>
            <w:vAlign w:val="center"/>
            <w:hideMark/>
          </w:tcPr>
          <w:p w14:paraId="37D09C58" w14:textId="1CF7C57E" w:rsidR="00FE7766" w:rsidRDefault="00FE7766" w:rsidP="00FE7766">
            <w:pPr>
              <w:pStyle w:val="Teksttabelisrodek"/>
              <w:rPr>
                <w:lang w:eastAsia="en-US"/>
              </w:rPr>
            </w:pPr>
            <w:r>
              <w:rPr>
                <w:rFonts w:cs="Calibri"/>
                <w:color w:val="000000"/>
                <w:szCs w:val="20"/>
              </w:rPr>
              <w:t>4 006</w:t>
            </w:r>
          </w:p>
        </w:tc>
        <w:tc>
          <w:tcPr>
            <w:tcW w:w="1411" w:type="dxa"/>
            <w:tcBorders>
              <w:top w:val="nil"/>
              <w:left w:val="nil"/>
              <w:bottom w:val="single" w:sz="4" w:space="0" w:color="auto"/>
              <w:right w:val="single" w:sz="4" w:space="0" w:color="auto"/>
            </w:tcBorders>
            <w:shd w:val="clear" w:color="auto" w:fill="FFFFFF"/>
            <w:vAlign w:val="center"/>
            <w:hideMark/>
          </w:tcPr>
          <w:p w14:paraId="590AAF23" w14:textId="308FB614" w:rsidR="00FE7766" w:rsidRDefault="00FE7766" w:rsidP="00FE7766">
            <w:pPr>
              <w:pStyle w:val="Teksttabelisrodek"/>
              <w:rPr>
                <w:lang w:eastAsia="en-US"/>
              </w:rPr>
            </w:pPr>
            <w:r>
              <w:rPr>
                <w:rFonts w:cs="Calibri"/>
                <w:color w:val="000000"/>
                <w:szCs w:val="20"/>
              </w:rPr>
              <w:t>37,95</w:t>
            </w:r>
          </w:p>
        </w:tc>
      </w:tr>
    </w:tbl>
    <w:p w14:paraId="4A83E542" w14:textId="016D4F23" w:rsidR="00C91214" w:rsidRPr="00795F17" w:rsidRDefault="00E7049B" w:rsidP="000850D6">
      <w:pPr>
        <w:pStyle w:val="rdo"/>
      </w:pPr>
      <w:r>
        <w:t>Źródło: opracowanie własne</w:t>
      </w:r>
    </w:p>
    <w:p w14:paraId="08CCCE00" w14:textId="5DEEA6DB" w:rsidR="004133C0" w:rsidRPr="00795F17" w:rsidRDefault="004133C0" w:rsidP="0044393D">
      <w:r w:rsidRPr="00795F17">
        <w:br w:type="page"/>
      </w:r>
    </w:p>
    <w:p w14:paraId="4C2E11F5" w14:textId="412E2600" w:rsidR="00FC64C2" w:rsidRPr="00795F17" w:rsidRDefault="00FC64C2" w:rsidP="00BA6B41">
      <w:pPr>
        <w:pStyle w:val="Nagwek1"/>
      </w:pPr>
      <w:bookmarkStart w:id="787" w:name="_Toc66272281"/>
      <w:bookmarkStart w:id="788" w:name="_Toc66347826"/>
      <w:bookmarkStart w:id="789" w:name="_Toc105512709"/>
      <w:bookmarkEnd w:id="774"/>
      <w:r w:rsidRPr="00795F17">
        <w:t>Podsumowanie działań</w:t>
      </w:r>
      <w:bookmarkEnd w:id="787"/>
      <w:bookmarkEnd w:id="788"/>
      <w:bookmarkEnd w:id="789"/>
    </w:p>
    <w:p w14:paraId="68A68BD2" w14:textId="5C21A1A7" w:rsidR="00ED47D2" w:rsidRPr="00795F17" w:rsidRDefault="00332A4E" w:rsidP="00C53C86">
      <w:pPr>
        <w:pStyle w:val="Nagwek2"/>
      </w:pPr>
      <w:bookmarkStart w:id="790" w:name="_Toc66272282"/>
      <w:bookmarkStart w:id="791" w:name="_Toc66347827"/>
      <w:bookmarkStart w:id="792" w:name="_Toc105512710"/>
      <w:r w:rsidRPr="00795F17">
        <w:t>Informacje o planowanych i podjętych działaniach, które służą wdrożeniu zasady zwrotu kosztów usług wodnych</w:t>
      </w:r>
      <w:bookmarkEnd w:id="790"/>
      <w:bookmarkEnd w:id="791"/>
      <w:bookmarkEnd w:id="792"/>
    </w:p>
    <w:p w14:paraId="5B5FF095" w14:textId="7FEFE9BC" w:rsidR="00ED47D2" w:rsidRPr="00795F17" w:rsidRDefault="00ED47D2" w:rsidP="0044393D">
      <w:r w:rsidRPr="00795F17">
        <w:t>Zgodnie z art. 9 ust. 2 RDW państwa członkowskie w ramach PGW składają sprawozdanie o</w:t>
      </w:r>
      <w:r w:rsidR="00B1361A" w:rsidRPr="00795F17">
        <w:t> </w:t>
      </w:r>
      <w:r w:rsidRPr="00795F17">
        <w:t>planowanych krokach podjętych dla wdrożenia art. 9 ust. 1 RDW, które mają się przyczyniać do</w:t>
      </w:r>
      <w:r w:rsidR="00B37F03" w:rsidRPr="00795F17">
        <w:t> </w:t>
      </w:r>
      <w:r w:rsidRPr="00795F17">
        <w:t xml:space="preserve">osiągnięcia celów środowiskowych dyrektywy, i o wkładzie uczynionym przez różnych użytkowników do zwrotu kosztów usług wodnych. Analogiczne przepisy transponujące ww. założenia do krajowego porządku prawnego znalazły się w art. 318 ust. 1 pkt 8 </w:t>
      </w:r>
      <w:r w:rsidRPr="00795F17">
        <w:rPr>
          <w:rFonts w:cs="Lucida Grande"/>
        </w:rPr>
        <w:t xml:space="preserve">pr.w., </w:t>
      </w:r>
      <w:r w:rsidRPr="00795F17">
        <w:t>gdzie wskazano, iż</w:t>
      </w:r>
      <w:r w:rsidR="00B37F03" w:rsidRPr="00795F17">
        <w:t> </w:t>
      </w:r>
      <w:r w:rsidRPr="00795F17">
        <w:t>PGW na</w:t>
      </w:r>
      <w:r w:rsidR="00B37F03" w:rsidRPr="00795F17">
        <w:t> </w:t>
      </w:r>
      <w:r w:rsidRPr="00795F17">
        <w:t xml:space="preserve">obszarze dorzecza zawiera m.in.: informacje o planowanych i podjętych działaniach, które służą̨ wdrożeniu zasady zwrotu kosztów usług wodnych, przy uwzględnieniu wkładu wniesionego przez użytkowników wód oraz kosztów środowiskowych i zasobowych, zawierające w szczególności informacje o wynikach tych działań́ oraz ich wpływie na stan wód. W poprzednim cyklu planistycznym w ramach grupy działań mających na celu wypełnienie </w:t>
      </w:r>
      <w:r w:rsidR="0041502F">
        <w:t>postanowień</w:t>
      </w:r>
      <w:r w:rsidRPr="00795F17">
        <w:t xml:space="preserve"> art. 11 ust. 3 pkt b RDW, czyli środków uznanych za odpowiednie do celów art. 9</w:t>
      </w:r>
      <w:r w:rsidR="0041502F">
        <w:t xml:space="preserve"> RDW</w:t>
      </w:r>
      <w:r w:rsidRPr="00795F17">
        <w:t xml:space="preserve">, w załączniku nr 1, </w:t>
      </w:r>
      <w:r w:rsidRPr="00795F17">
        <w:rPr>
          <w:i/>
          <w:iCs/>
        </w:rPr>
        <w:t xml:space="preserve">Katalog działań krajowych </w:t>
      </w:r>
      <w:r w:rsidRPr="00795F17">
        <w:rPr>
          <w:rStyle w:val="Nagwek5Znak"/>
          <w:b w:val="0"/>
          <w:bCs/>
        </w:rPr>
        <w:t xml:space="preserve">aktualizacji Programu wodno-środowiskowego kraju (aPWŚK), zawarto działania </w:t>
      </w:r>
      <w:r w:rsidR="00757CFC" w:rsidRPr="00795F17">
        <w:rPr>
          <w:rStyle w:val="Nagwek5Znak"/>
          <w:b w:val="0"/>
          <w:bCs/>
        </w:rPr>
        <w:t>(tabela 13-1)</w:t>
      </w:r>
      <w:r w:rsidRPr="00291C10">
        <w:rPr>
          <w:rStyle w:val="Nagwek5Znak"/>
          <w:b w:val="0"/>
        </w:rPr>
        <w:t xml:space="preserve"> </w:t>
      </w:r>
      <w:r w:rsidRPr="00795F17">
        <w:t xml:space="preserve">mające na celu wypełnienie </w:t>
      </w:r>
      <w:r w:rsidR="008C5E88">
        <w:t>postanowień</w:t>
      </w:r>
      <w:r w:rsidRPr="00795F17">
        <w:t xml:space="preserve"> art. 11 ust. 3 pkt b RDW</w:t>
      </w:r>
      <w:r w:rsidR="00E34980">
        <w:t>.</w:t>
      </w:r>
    </w:p>
    <w:p w14:paraId="54B74768" w14:textId="1DED99E8" w:rsidR="00ED47D2" w:rsidRPr="001D33CA" w:rsidRDefault="00B1361A" w:rsidP="004D7705">
      <w:pPr>
        <w:pStyle w:val="Tabela"/>
      </w:pPr>
      <w:bookmarkStart w:id="793" w:name="_Toc66341958"/>
      <w:bookmarkStart w:id="794" w:name="_Toc105512887"/>
      <w:r w:rsidRPr="001D33CA">
        <w:t xml:space="preserve">Tabela </w:t>
      </w:r>
      <w:r w:rsidR="007B27D4" w:rsidRPr="005842B5">
        <w:fldChar w:fldCharType="begin"/>
      </w:r>
      <w:r w:rsidR="007B27D4" w:rsidRPr="001D33CA">
        <w:instrText xml:space="preserve"> STYLEREF 1 \s </w:instrText>
      </w:r>
      <w:r w:rsidR="007B27D4" w:rsidRPr="005842B5">
        <w:fldChar w:fldCharType="separate"/>
      </w:r>
      <w:r w:rsidR="001F774D">
        <w:rPr>
          <w:noProof/>
        </w:rPr>
        <w:t>13</w:t>
      </w:r>
      <w:r w:rsidR="007B27D4" w:rsidRPr="005842B5">
        <w:fldChar w:fldCharType="end"/>
      </w:r>
      <w:r w:rsidR="00BB3B21" w:rsidRPr="001D33CA">
        <w:noBreakHyphen/>
      </w:r>
      <w:r w:rsidR="007B27D4" w:rsidRPr="005842B5">
        <w:fldChar w:fldCharType="begin"/>
      </w:r>
      <w:r w:rsidR="007B27D4" w:rsidRPr="001D33CA">
        <w:instrText xml:space="preserve"> SEQ Tabela \* ARABIC \s 1 </w:instrText>
      </w:r>
      <w:r w:rsidR="007B27D4" w:rsidRPr="005842B5">
        <w:fldChar w:fldCharType="separate"/>
      </w:r>
      <w:r w:rsidR="001F774D">
        <w:rPr>
          <w:noProof/>
        </w:rPr>
        <w:t>1</w:t>
      </w:r>
      <w:r w:rsidR="007B27D4" w:rsidRPr="005842B5">
        <w:fldChar w:fldCharType="end"/>
      </w:r>
      <w:r w:rsidR="000B5450">
        <w:t>.</w:t>
      </w:r>
      <w:r w:rsidRPr="001D33CA">
        <w:tab/>
      </w:r>
      <w:r w:rsidR="00ED47D2" w:rsidRPr="001D33CA">
        <w:t xml:space="preserve">Działania związane z wdrażaniem zasady zwrotu kosztów usług wodnych ujęte w </w:t>
      </w:r>
      <w:r w:rsidR="00ED47D2" w:rsidRPr="005842B5">
        <w:t>aPWŚK</w:t>
      </w:r>
      <w:bookmarkEnd w:id="793"/>
      <w:bookmarkEnd w:id="794"/>
    </w:p>
    <w:tbl>
      <w:tblPr>
        <w:tblW w:w="5000"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left w:w="70" w:type="dxa"/>
          <w:right w:w="70" w:type="dxa"/>
        </w:tblCellMar>
        <w:tblLook w:val="04A0" w:firstRow="1" w:lastRow="0" w:firstColumn="1" w:lastColumn="0" w:noHBand="0" w:noVBand="1"/>
      </w:tblPr>
      <w:tblGrid>
        <w:gridCol w:w="4756"/>
        <w:gridCol w:w="2153"/>
        <w:gridCol w:w="2153"/>
      </w:tblGrid>
      <w:tr w:rsidR="004E1029" w:rsidRPr="00795F17" w14:paraId="773BC6ED" w14:textId="1E8F5B4F" w:rsidTr="004E1029">
        <w:trPr>
          <w:trHeight w:val="454"/>
          <w:jc w:val="center"/>
        </w:trPr>
        <w:tc>
          <w:tcPr>
            <w:tcW w:w="2624"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163B51C7" w14:textId="77777777" w:rsidR="004E1029" w:rsidRPr="00795F17" w:rsidRDefault="004E1029" w:rsidP="0044393D">
            <w:pPr>
              <w:pStyle w:val="Teksttabelinaglowek"/>
              <w:rPr>
                <w:rFonts w:asciiTheme="majorHAnsi" w:eastAsia="Times New Roman" w:hAnsiTheme="majorHAnsi" w:cs="Arial"/>
                <w:color w:val="262626" w:themeColor="text1" w:themeTint="D9"/>
              </w:rPr>
            </w:pPr>
            <w:r w:rsidRPr="00795F17">
              <w:t>Działanie</w:t>
            </w:r>
          </w:p>
        </w:tc>
        <w:tc>
          <w:tcPr>
            <w:tcW w:w="1188"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7CBCEF78" w14:textId="77777777" w:rsidR="004E1029" w:rsidRPr="00795F17" w:rsidRDefault="004E1029" w:rsidP="0044393D">
            <w:pPr>
              <w:pStyle w:val="Teksttabelinaglowek"/>
              <w:rPr>
                <w:rFonts w:asciiTheme="majorHAnsi" w:eastAsia="Times New Roman" w:hAnsiTheme="majorHAnsi" w:cs="Arial"/>
                <w:color w:val="262626" w:themeColor="text1" w:themeTint="D9"/>
              </w:rPr>
            </w:pPr>
            <w:r w:rsidRPr="00795F17">
              <w:t>Jednostka odpowiedzialna</w:t>
            </w:r>
          </w:p>
        </w:tc>
        <w:tc>
          <w:tcPr>
            <w:tcW w:w="1188"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tcPr>
          <w:p w14:paraId="7CAEA90E" w14:textId="1A0224F1" w:rsidR="004E1029" w:rsidRPr="00795F17" w:rsidRDefault="004E1029" w:rsidP="004E1029">
            <w:pPr>
              <w:pStyle w:val="Teksttabelinaglowek"/>
            </w:pPr>
            <w:r w:rsidRPr="00795F17">
              <w:t>Harmonogram</w:t>
            </w:r>
          </w:p>
        </w:tc>
      </w:tr>
      <w:tr w:rsidR="004E1029" w:rsidRPr="00795F17" w14:paraId="04968723" w14:textId="5398899A" w:rsidTr="004E1029">
        <w:trPr>
          <w:trHeight w:val="454"/>
          <w:jc w:val="center"/>
        </w:trPr>
        <w:tc>
          <w:tcPr>
            <w:tcW w:w="2624" w:type="pct"/>
            <w:tcBorders>
              <w:top w:val="single" w:sz="4" w:space="0" w:color="002060"/>
              <w:left w:val="single" w:sz="4" w:space="0" w:color="002060"/>
              <w:bottom w:val="single" w:sz="4" w:space="0" w:color="002060"/>
              <w:right w:val="single" w:sz="4" w:space="0" w:color="002060"/>
            </w:tcBorders>
            <w:vAlign w:val="center"/>
            <w:hideMark/>
          </w:tcPr>
          <w:p w14:paraId="4B4B6783" w14:textId="1FB5324A" w:rsidR="004E1029" w:rsidRPr="00795F17" w:rsidRDefault="004E1029" w:rsidP="00291C10">
            <w:pPr>
              <w:pStyle w:val="Teksttabelilewy"/>
              <w:ind w:left="57"/>
            </w:pPr>
            <w:r w:rsidRPr="00795F17">
              <w:t>Ustalanie taryf za zbiorowe zaopatrzenie w wodę i</w:t>
            </w:r>
            <w:r w:rsidR="00E34980">
              <w:t> </w:t>
            </w:r>
            <w:r w:rsidRPr="00795F17">
              <w:t xml:space="preserve">zbiorowe odprowadzanie ścieków z uwzględnieniem: </w:t>
            </w:r>
          </w:p>
          <w:p w14:paraId="26CED858" w14:textId="77777777" w:rsidR="004E1029" w:rsidRPr="00795F17" w:rsidRDefault="004E1029" w:rsidP="005842B5">
            <w:pPr>
              <w:pStyle w:val="Teksttabelipunkty"/>
              <w:rPr>
                <w:rFonts w:asciiTheme="majorHAnsi" w:eastAsiaTheme="majorEastAsia" w:hAnsiTheme="majorHAnsi" w:cstheme="majorBidi"/>
                <w:color w:val="272727" w:themeColor="text1" w:themeTint="D8"/>
              </w:rPr>
            </w:pPr>
            <w:r w:rsidRPr="00795F17">
              <w:t>kosztów związanych ze świadczeniem usług,</w:t>
            </w:r>
          </w:p>
          <w:p w14:paraId="684E73F2" w14:textId="77777777" w:rsidR="004E1029" w:rsidRPr="00795F17" w:rsidRDefault="004E1029" w:rsidP="005842B5">
            <w:pPr>
              <w:pStyle w:val="Teksttabelipunkty"/>
              <w:rPr>
                <w:rFonts w:asciiTheme="majorHAnsi" w:eastAsiaTheme="majorEastAsia" w:hAnsiTheme="majorHAnsi" w:cstheme="majorBidi"/>
                <w:color w:val="272727" w:themeColor="text1" w:themeTint="D8"/>
              </w:rPr>
            </w:pPr>
            <w:r w:rsidRPr="00795F17">
              <w:t>zmian warunków ekonomicznych oraz wielkości usług i warunków ich świadczenia,</w:t>
            </w:r>
          </w:p>
          <w:p w14:paraId="24C2EBCC" w14:textId="77777777" w:rsidR="004E1029" w:rsidRPr="00795F17" w:rsidRDefault="004E1029" w:rsidP="005842B5">
            <w:pPr>
              <w:pStyle w:val="Teksttabelipunkty"/>
              <w:rPr>
                <w:rFonts w:asciiTheme="majorHAnsi" w:eastAsiaTheme="majorEastAsia" w:hAnsiTheme="majorHAnsi" w:cstheme="majorBidi"/>
                <w:color w:val="272727" w:themeColor="text1" w:themeTint="D8"/>
              </w:rPr>
            </w:pPr>
            <w:r w:rsidRPr="00795F17">
              <w:t>kosztów wynikających z planowanych wydatków inwestycyjnych.</w:t>
            </w:r>
          </w:p>
        </w:tc>
        <w:tc>
          <w:tcPr>
            <w:tcW w:w="1188" w:type="pct"/>
            <w:tcBorders>
              <w:top w:val="single" w:sz="4" w:space="0" w:color="002060"/>
              <w:left w:val="single" w:sz="4" w:space="0" w:color="002060"/>
              <w:bottom w:val="single" w:sz="4" w:space="0" w:color="002060"/>
              <w:right w:val="single" w:sz="4" w:space="0" w:color="002060"/>
            </w:tcBorders>
            <w:vAlign w:val="center"/>
            <w:hideMark/>
          </w:tcPr>
          <w:p w14:paraId="64DCC5A0" w14:textId="77777777" w:rsidR="004E1029" w:rsidRPr="00795F17" w:rsidRDefault="004E1029" w:rsidP="00291C10">
            <w:pPr>
              <w:pStyle w:val="Teksttabelilewy"/>
              <w:jc w:val="center"/>
              <w:rPr>
                <w:rFonts w:asciiTheme="majorHAnsi" w:eastAsia="Times New Roman" w:hAnsiTheme="majorHAnsi" w:cs="Arial"/>
                <w:color w:val="262626" w:themeColor="text1" w:themeTint="D9"/>
              </w:rPr>
            </w:pPr>
            <w:r w:rsidRPr="00795F17">
              <w:t>przedsiębiorstwa wodociągowo-kanalizacyjne</w:t>
            </w:r>
          </w:p>
        </w:tc>
        <w:tc>
          <w:tcPr>
            <w:tcW w:w="1188" w:type="pct"/>
            <w:tcBorders>
              <w:top w:val="single" w:sz="4" w:space="0" w:color="002060"/>
              <w:left w:val="single" w:sz="4" w:space="0" w:color="002060"/>
              <w:bottom w:val="single" w:sz="4" w:space="0" w:color="002060"/>
              <w:right w:val="single" w:sz="4" w:space="0" w:color="002060"/>
            </w:tcBorders>
            <w:vAlign w:val="center"/>
          </w:tcPr>
          <w:p w14:paraId="1DE3BB2E" w14:textId="0238D8EE" w:rsidR="004E1029" w:rsidRPr="00795F17" w:rsidRDefault="004E1029" w:rsidP="005D7ABF">
            <w:pPr>
              <w:pStyle w:val="Teksttabelisrodek"/>
            </w:pPr>
            <w:r w:rsidRPr="00795F17">
              <w:t>działanie ciągłe</w:t>
            </w:r>
          </w:p>
        </w:tc>
      </w:tr>
      <w:tr w:rsidR="004E1029" w:rsidRPr="00795F17" w14:paraId="178208E3" w14:textId="44908C35" w:rsidTr="004E1029">
        <w:trPr>
          <w:trHeight w:val="454"/>
          <w:jc w:val="center"/>
        </w:trPr>
        <w:tc>
          <w:tcPr>
            <w:tcW w:w="2624" w:type="pct"/>
            <w:tcBorders>
              <w:top w:val="single" w:sz="4" w:space="0" w:color="002060"/>
              <w:left w:val="single" w:sz="4" w:space="0" w:color="002060"/>
              <w:bottom w:val="single" w:sz="4" w:space="0" w:color="002060"/>
              <w:right w:val="single" w:sz="4" w:space="0" w:color="002060"/>
            </w:tcBorders>
            <w:vAlign w:val="center"/>
            <w:hideMark/>
          </w:tcPr>
          <w:p w14:paraId="1DCAEE6F" w14:textId="77777777" w:rsidR="004E1029" w:rsidRPr="00795F17" w:rsidRDefault="004E1029" w:rsidP="00291C10">
            <w:pPr>
              <w:pStyle w:val="Teksttabelilewy"/>
              <w:ind w:left="57"/>
              <w:rPr>
                <w:rFonts w:asciiTheme="majorHAnsi" w:eastAsia="Times New Roman" w:hAnsiTheme="majorHAnsi" w:cs="Arial"/>
                <w:i/>
                <w:color w:val="262626" w:themeColor="text1" w:themeTint="D9"/>
              </w:rPr>
            </w:pPr>
            <w:r w:rsidRPr="00795F17">
              <w:t>Uwzględnienie zasady zwrotu kosztów w stosunku do administrowanych rzek i obiektów.</w:t>
            </w:r>
          </w:p>
        </w:tc>
        <w:tc>
          <w:tcPr>
            <w:tcW w:w="1188" w:type="pct"/>
            <w:tcBorders>
              <w:top w:val="single" w:sz="4" w:space="0" w:color="002060"/>
              <w:left w:val="single" w:sz="4" w:space="0" w:color="002060"/>
              <w:bottom w:val="single" w:sz="4" w:space="0" w:color="002060"/>
              <w:right w:val="single" w:sz="4" w:space="0" w:color="002060"/>
            </w:tcBorders>
            <w:vAlign w:val="center"/>
            <w:hideMark/>
          </w:tcPr>
          <w:p w14:paraId="0D29CBF4" w14:textId="77777777" w:rsidR="004E1029" w:rsidRPr="00795F17" w:rsidRDefault="004E1029" w:rsidP="00291C10">
            <w:pPr>
              <w:pStyle w:val="Teksttabelilewy"/>
              <w:jc w:val="center"/>
              <w:rPr>
                <w:rFonts w:asciiTheme="majorHAnsi" w:eastAsia="Times New Roman" w:hAnsiTheme="majorHAnsi" w:cs="Arial"/>
                <w:color w:val="262626" w:themeColor="text1" w:themeTint="D9"/>
              </w:rPr>
            </w:pPr>
            <w:r w:rsidRPr="00795F17">
              <w:t>administrator cieku</w:t>
            </w:r>
          </w:p>
        </w:tc>
        <w:tc>
          <w:tcPr>
            <w:tcW w:w="1188" w:type="pct"/>
            <w:tcBorders>
              <w:top w:val="single" w:sz="4" w:space="0" w:color="002060"/>
              <w:left w:val="single" w:sz="4" w:space="0" w:color="002060"/>
              <w:bottom w:val="single" w:sz="4" w:space="0" w:color="002060"/>
              <w:right w:val="single" w:sz="4" w:space="0" w:color="002060"/>
            </w:tcBorders>
            <w:vAlign w:val="center"/>
          </w:tcPr>
          <w:p w14:paraId="785FA571" w14:textId="59E6E140" w:rsidR="004E1029" w:rsidRPr="00795F17" w:rsidRDefault="004E1029" w:rsidP="005D7ABF">
            <w:pPr>
              <w:pStyle w:val="Teksttabelisrodek"/>
            </w:pPr>
            <w:r w:rsidRPr="00795F17">
              <w:t>działanie ciągłe</w:t>
            </w:r>
          </w:p>
        </w:tc>
      </w:tr>
    </w:tbl>
    <w:p w14:paraId="729BBD9C" w14:textId="395C2B47" w:rsidR="00ED47D2" w:rsidRPr="00795F17" w:rsidRDefault="00ED47D2" w:rsidP="0044393D">
      <w:pPr>
        <w:pStyle w:val="rdo"/>
      </w:pPr>
      <w:r w:rsidRPr="00795F17">
        <w:t xml:space="preserve">Źródło: </w:t>
      </w:r>
      <w:r w:rsidR="00FD7248" w:rsidRPr="00795F17">
        <w:t>opracowanie własne</w:t>
      </w:r>
      <w:r w:rsidRPr="00795F17">
        <w:t xml:space="preserve"> na podstawie aPWŚK, 2016</w:t>
      </w:r>
    </w:p>
    <w:p w14:paraId="5BC5FF02" w14:textId="77777777" w:rsidR="00ED47D2" w:rsidRPr="00795F17" w:rsidRDefault="00ED47D2" w:rsidP="0044393D">
      <w:r w:rsidRPr="00795F17">
        <w:t>Aby zrealizować wymienione wyżej działania, dokonano zmian legislacyjnych mających na celu wdrożenie zasady zwrotu kosztów usług wodnych w ramach następujących aktów prawnych:</w:t>
      </w:r>
    </w:p>
    <w:p w14:paraId="61E07358" w14:textId="26404163" w:rsidR="00ED47D2" w:rsidRPr="00795F17" w:rsidRDefault="00ED47D2" w:rsidP="00117E86">
      <w:pPr>
        <w:pStyle w:val="Listapunktowana2"/>
      </w:pPr>
      <w:r w:rsidRPr="00795F17">
        <w:t>Prawo wodne oraz przepisy wykonawcze do tej ustawy</w:t>
      </w:r>
      <w:r w:rsidR="00870E85" w:rsidRPr="00795F17">
        <w:t xml:space="preserve"> </w:t>
      </w:r>
      <w:r w:rsidR="0041502F">
        <w:t>–</w:t>
      </w:r>
      <w:r w:rsidR="00870E85" w:rsidRPr="00795F17">
        <w:t xml:space="preserve"> </w:t>
      </w:r>
      <w:r w:rsidRPr="00795F17">
        <w:t>rozporządzenie Rady Ministrów z dnia 22 grudnia 2017 r. w sprawie jednostkowych stawek opłat za usługi wodne</w:t>
      </w:r>
      <w:r w:rsidR="007C3255">
        <w:t xml:space="preserve"> </w:t>
      </w:r>
      <w:r w:rsidR="007C3255" w:rsidRPr="00291C10">
        <w:t>(Dz. U. z 2021 r. poz. 736</w:t>
      </w:r>
      <w:r w:rsidR="003455E4">
        <w:t>, z późń. zm.)</w:t>
      </w:r>
      <w:r w:rsidR="007C3255" w:rsidRPr="00291C10">
        <w:t>.</w:t>
      </w:r>
    </w:p>
    <w:p w14:paraId="2C7A227A" w14:textId="0BA1CF00" w:rsidR="00ED47D2" w:rsidRPr="00795F17" w:rsidRDefault="00066E0A" w:rsidP="00C53C86">
      <w:pPr>
        <w:pStyle w:val="Nagwek3"/>
      </w:pPr>
      <w:bookmarkStart w:id="795" w:name="_Toc105512711"/>
      <w:r w:rsidRPr="00EF0900">
        <w:t xml:space="preserve">u.z.z.w.o.ś. oraz przepisy wykonawcze do tej ustawy – rozporządzenie Ministra Gospodarki Morskiej i Żeglugi Śródlądowej z dnia 12 lipca 2019 r. w sprawie warunków, jakie należy spełnić przy wprowadzaniu ścieków do wód lub do ziemi, oraz w sprawie substancji szczególnie szkodliwych dla środowiska (Dz. U. poz. </w:t>
      </w:r>
      <w:r w:rsidR="00643238">
        <w:t>1311).</w:t>
      </w:r>
      <w:bookmarkStart w:id="796" w:name="_Toc473375870"/>
      <w:r w:rsidR="00ED47D2" w:rsidRPr="00795F17">
        <w:t xml:space="preserve">Kompleksowe uregulowanie zasady zwrotu kosztów usług wodnych w ustawie </w:t>
      </w:r>
      <w:r w:rsidR="00CB325A">
        <w:t xml:space="preserve">– </w:t>
      </w:r>
      <w:r w:rsidR="00ED47D2" w:rsidRPr="00795F17">
        <w:t>Prawo wodne</w:t>
      </w:r>
      <w:bookmarkEnd w:id="795"/>
      <w:bookmarkEnd w:id="796"/>
    </w:p>
    <w:p w14:paraId="648962AF" w14:textId="4BE96B5C" w:rsidR="00ED47D2" w:rsidRPr="00795F17" w:rsidRDefault="00ED47D2" w:rsidP="0044393D">
      <w:r w:rsidRPr="00795F17">
        <w:t>Przyjęta w lipcu 2017 r. pr.w. była kompleksową zmianą uregulowań prawnych w zakresie gospodarki wodnej. Także w zakresie przepisów dotyczących zwrotu kosztów usług wodnych zmiany i</w:t>
      </w:r>
      <w:r w:rsidR="005D25F3" w:rsidRPr="00795F17">
        <w:t> </w:t>
      </w:r>
      <w:r w:rsidRPr="00795F17">
        <w:t>uregulowania miały znaczący charakter oraz zakres. Ukierunkowane one zostały na wdrożenie do</w:t>
      </w:r>
      <w:r w:rsidR="00B37F03" w:rsidRPr="00795F17">
        <w:t> </w:t>
      </w:r>
      <w:r w:rsidRPr="00795F17">
        <w:t>polskiego porządku prawnego zasady zwrotu kosztów usług wodnych przy jednoczesnym zapewnieniu pełnej ochrony wód zarówno pod względem ilościowym, jak i jakościowym. Do</w:t>
      </w:r>
      <w:r w:rsidR="00B37F03" w:rsidRPr="00795F17">
        <w:t> </w:t>
      </w:r>
      <w:r w:rsidRPr="00795F17">
        <w:t>najważniejszych przepisów ustawy należy zaliczyć uregulowania w zakresie gospodarowania wodami w oparciu o</w:t>
      </w:r>
      <w:r w:rsidR="005D25F3" w:rsidRPr="00795F17">
        <w:t> </w:t>
      </w:r>
      <w:r w:rsidRPr="00795F17">
        <w:t>zasadę zwrotu kosztów usług wodnych z uwzględnieniem kosztów środowiskowych i kosztów zasobowych oraz analizę ekonomiczną (art. 9 ust. 3 pr.w.). Same opłaty za usługi wodne są jednym z</w:t>
      </w:r>
      <w:r w:rsidR="005D25F3" w:rsidRPr="00795F17">
        <w:t> </w:t>
      </w:r>
      <w:r w:rsidRPr="00795F17">
        <w:t>pięciu wskazanych enumeratywnie w ustawie instrumentów zarządzania zasobami wodnymi (art. 11 pkt 3</w:t>
      </w:r>
      <w:r w:rsidR="00777B9F" w:rsidRPr="00795F17">
        <w:t xml:space="preserve"> </w:t>
      </w:r>
      <w:r w:rsidRPr="00795F17">
        <w:t>pr.w.) i jednym z dziewięciu instrumentów ekonomicznych służących gospodarowaniu wodami (art. 267 pkt 1 pr.w.).</w:t>
      </w:r>
    </w:p>
    <w:p w14:paraId="059BAE8B" w14:textId="77777777" w:rsidR="00ED47D2" w:rsidRPr="00291C10" w:rsidRDefault="00ED47D2" w:rsidP="0044393D">
      <w:pPr>
        <w:rPr>
          <w:b/>
        </w:rPr>
      </w:pPr>
      <w:bookmarkStart w:id="797" w:name="_Toc473375872"/>
      <w:r w:rsidRPr="00291C10">
        <w:rPr>
          <w:b/>
        </w:rPr>
        <w:t>Definicja i zakres usług wodnych</w:t>
      </w:r>
      <w:bookmarkEnd w:id="797"/>
      <w:r w:rsidRPr="00291C10">
        <w:rPr>
          <w:b/>
        </w:rPr>
        <w:t xml:space="preserve"> </w:t>
      </w:r>
    </w:p>
    <w:p w14:paraId="4083AB3D" w14:textId="54C87406" w:rsidR="00ED47D2" w:rsidRPr="00795F17" w:rsidRDefault="00ED47D2" w:rsidP="0044393D">
      <w:r w:rsidRPr="00795F17">
        <w:t>Konstrukcja definicji usług wodnych zawarta w pr.w. została oparta na trzech sposobach korzystania z wód: powszechnym, zwykłym i szczególnym.</w:t>
      </w:r>
    </w:p>
    <w:p w14:paraId="164D2B77" w14:textId="317DA0A9" w:rsidR="00ED47D2" w:rsidRPr="00795F17" w:rsidRDefault="00ED47D2" w:rsidP="0044393D">
      <w:r w:rsidRPr="00795F17">
        <w:t>Powszechne korzystanie z wód służy zaspokojeniu potrzeb osobistych, gospodarstwa domowego lub</w:t>
      </w:r>
      <w:r w:rsidR="00B37F03" w:rsidRPr="00795F17">
        <w:t> </w:t>
      </w:r>
      <w:r w:rsidRPr="00795F17">
        <w:t>rolnego, bez stosowania specjalnych urządzeń technicznych, a także do wypoczynku, uprawiania turystyki, sportów wodnych oraz, na zasadach określonych w przepisach odrębnych, amatorskiego połowu ryb. Zwykłe korzystanie z wód służy zaspokojeniu potrzeb własnego gospodarstwa domowego lub własnego gospodarstwa rolnego i obejmuje:</w:t>
      </w:r>
    </w:p>
    <w:p w14:paraId="298921B7" w14:textId="35240D24" w:rsidR="00ED47D2" w:rsidRPr="00795F17" w:rsidRDefault="00ED47D2" w:rsidP="00117E86">
      <w:pPr>
        <w:pStyle w:val="Listapunktowana2"/>
        <w:rPr>
          <w:rFonts w:ascii="Times New Roman" w:hAnsi="Times New Roman"/>
          <w:sz w:val="20"/>
          <w:szCs w:val="20"/>
        </w:rPr>
      </w:pPr>
      <w:r w:rsidRPr="00795F17">
        <w:t>pobór wód podziemnych lub wód powierzchniowych w ilości średniorocznie nieprzekraczającej 5</w:t>
      </w:r>
      <w:r w:rsidR="00E30F75">
        <w:t> </w:t>
      </w:r>
      <w:r w:rsidRPr="00795F17">
        <w:t>m</w:t>
      </w:r>
      <w:r w:rsidRPr="00795F17">
        <w:rPr>
          <w:vertAlign w:val="superscript"/>
        </w:rPr>
        <w:t>3</w:t>
      </w:r>
      <w:r w:rsidRPr="00795F17">
        <w:t xml:space="preserve"> na dobę;</w:t>
      </w:r>
    </w:p>
    <w:p w14:paraId="0CDF26C6" w14:textId="77777777" w:rsidR="00ED47D2" w:rsidRPr="00795F17" w:rsidRDefault="00ED47D2" w:rsidP="00117E86">
      <w:pPr>
        <w:pStyle w:val="Listapunktowana2"/>
        <w:rPr>
          <w:rFonts w:ascii="Times New Roman" w:hAnsi="Times New Roman"/>
          <w:sz w:val="20"/>
          <w:szCs w:val="20"/>
        </w:rPr>
      </w:pPr>
      <w:r w:rsidRPr="00795F17">
        <w:t>wprowadzanie ścieków do wód lub do ziemi w ilości nieprzekraczającej łącznie 5 m</w:t>
      </w:r>
      <w:r w:rsidRPr="00795F17">
        <w:rPr>
          <w:vertAlign w:val="superscript"/>
        </w:rPr>
        <w:t>3</w:t>
      </w:r>
      <w:r w:rsidRPr="00795F17">
        <w:t xml:space="preserve"> na dobę.</w:t>
      </w:r>
    </w:p>
    <w:p w14:paraId="67DF43BB" w14:textId="4BF9C9CF" w:rsidR="00ED47D2" w:rsidRPr="00795F17" w:rsidRDefault="00ED47D2" w:rsidP="0044393D">
      <w:r w:rsidRPr="00795F17">
        <w:t>Szczególnym korzystaniem z wód jest korzystanie z wód wykraczające poza powszechne korzystanie z</w:t>
      </w:r>
      <w:r w:rsidR="005D25F3" w:rsidRPr="00795F17">
        <w:t> </w:t>
      </w:r>
      <w:r w:rsidRPr="00795F17">
        <w:t>wód oraz zwykłe korzystanie z wód, obejmujące:</w:t>
      </w:r>
    </w:p>
    <w:p w14:paraId="7B3659E9" w14:textId="77777777" w:rsidR="00ED47D2" w:rsidRPr="00795F17" w:rsidRDefault="00ED47D2" w:rsidP="00117E86">
      <w:pPr>
        <w:pStyle w:val="Listapunktowana2"/>
        <w:rPr>
          <w:rFonts w:ascii="Times New Roman" w:hAnsi="Times New Roman"/>
          <w:sz w:val="20"/>
          <w:szCs w:val="20"/>
        </w:rPr>
      </w:pPr>
      <w:r w:rsidRPr="00795F17">
        <w:t>odwadnianie gruntów i upraw;</w:t>
      </w:r>
    </w:p>
    <w:p w14:paraId="6F243EF2" w14:textId="77777777" w:rsidR="00ED47D2" w:rsidRPr="00795F17" w:rsidRDefault="00ED47D2" w:rsidP="00117E86">
      <w:pPr>
        <w:pStyle w:val="Listapunktowana2"/>
        <w:rPr>
          <w:rFonts w:ascii="Times New Roman" w:hAnsi="Times New Roman"/>
          <w:sz w:val="20"/>
          <w:szCs w:val="20"/>
        </w:rPr>
      </w:pPr>
      <w:r w:rsidRPr="00795F17">
        <w:t>użytkowanie wody znajdującej się w stawach i rowach;</w:t>
      </w:r>
    </w:p>
    <w:p w14:paraId="5C8FBB21" w14:textId="77777777" w:rsidR="00ED47D2" w:rsidRPr="00795F17" w:rsidRDefault="00ED47D2" w:rsidP="00117E86">
      <w:pPr>
        <w:pStyle w:val="Listapunktowana2"/>
        <w:rPr>
          <w:rFonts w:ascii="Times New Roman" w:hAnsi="Times New Roman"/>
          <w:sz w:val="20"/>
          <w:szCs w:val="20"/>
        </w:rPr>
      </w:pPr>
      <w:r w:rsidRPr="00795F17">
        <w:t>wprowadzanie do urządzeń kanalizacyjnych będących własnością innych podmiotów ścieków przemysłowych zawierających substancje szczególnie szkodliwe dla środowiska wodnego;</w:t>
      </w:r>
    </w:p>
    <w:p w14:paraId="110ACC83" w14:textId="6BA45B35" w:rsidR="00ED47D2" w:rsidRPr="00795F17" w:rsidRDefault="00ED47D2" w:rsidP="00117E86">
      <w:pPr>
        <w:pStyle w:val="Listapunktowana2"/>
        <w:rPr>
          <w:rFonts w:ascii="Times New Roman" w:hAnsi="Times New Roman"/>
          <w:sz w:val="20"/>
          <w:szCs w:val="20"/>
        </w:rPr>
      </w:pPr>
      <w:r w:rsidRPr="00795F17">
        <w:t>wykonywanie na nieruchomości o powierzchni powyżej 3</w:t>
      </w:r>
      <w:r w:rsidR="001A51BA" w:rsidRPr="00795F17">
        <w:t> </w:t>
      </w:r>
      <w:r w:rsidRPr="00795F17">
        <w:t>500</w:t>
      </w:r>
      <w:r w:rsidR="001A51BA" w:rsidRPr="00795F17">
        <w:t> </w:t>
      </w:r>
      <w:r w:rsidRPr="00795F17">
        <w:t>m</w:t>
      </w:r>
      <w:r w:rsidRPr="00795F17">
        <w:rPr>
          <w:vertAlign w:val="superscript"/>
        </w:rPr>
        <w:t>2</w:t>
      </w:r>
      <w:r w:rsidRPr="00795F17">
        <w:t xml:space="preserve"> robót lub obiektów budowlanych trwale związanych z gruntem, mających wpływ na zmniejszenie naturalnej retencji terenowej przez wyłączenie więcej niż 70% powierzchni nieruchomości z powierzchni biologicznie czynnej na obszarach nieujętych w systemy kanalizacji otwartej lub zamkniętej;</w:t>
      </w:r>
    </w:p>
    <w:p w14:paraId="66548A2A" w14:textId="77777777" w:rsidR="00ED47D2" w:rsidRPr="00795F17" w:rsidRDefault="00ED47D2" w:rsidP="00117E86">
      <w:pPr>
        <w:pStyle w:val="Listapunktowana2"/>
        <w:rPr>
          <w:rFonts w:ascii="Times New Roman" w:hAnsi="Times New Roman"/>
          <w:sz w:val="20"/>
          <w:szCs w:val="20"/>
        </w:rPr>
      </w:pPr>
      <w:r w:rsidRPr="00795F17">
        <w:t>rybackie korzystanie ze śródlądowych wód powierzchniowych;</w:t>
      </w:r>
    </w:p>
    <w:p w14:paraId="54455F86" w14:textId="3A93349B" w:rsidR="00ED47D2" w:rsidRPr="00795F17" w:rsidRDefault="00ED47D2" w:rsidP="00117E86">
      <w:pPr>
        <w:pStyle w:val="Listapunktowana2"/>
        <w:rPr>
          <w:rFonts w:ascii="Times New Roman" w:hAnsi="Times New Roman"/>
          <w:sz w:val="20"/>
          <w:szCs w:val="20"/>
        </w:rPr>
      </w:pPr>
      <w:r w:rsidRPr="00795F17">
        <w:t xml:space="preserve">wykorzystywanie wód do celów żeglugi </w:t>
      </w:r>
      <w:r w:rsidR="00DB61CF">
        <w:t>śródlądowej</w:t>
      </w:r>
      <w:r w:rsidR="00DB61CF" w:rsidRPr="00795F17">
        <w:t xml:space="preserve"> </w:t>
      </w:r>
      <w:r w:rsidRPr="00795F17">
        <w:t>oraz spławu;</w:t>
      </w:r>
    </w:p>
    <w:p w14:paraId="046E7199" w14:textId="77777777" w:rsidR="00ED47D2" w:rsidRPr="00795F17" w:rsidRDefault="00ED47D2" w:rsidP="00117E86">
      <w:pPr>
        <w:pStyle w:val="Listapunktowana2"/>
        <w:rPr>
          <w:rFonts w:ascii="Times New Roman" w:hAnsi="Times New Roman"/>
          <w:sz w:val="20"/>
          <w:szCs w:val="20"/>
        </w:rPr>
      </w:pPr>
      <w:r w:rsidRPr="00795F17">
        <w:t>przerzuty wód oraz sztuczne zasilanie wód podziemnych;</w:t>
      </w:r>
    </w:p>
    <w:p w14:paraId="1C08ACDD" w14:textId="4318EA94" w:rsidR="00ED47D2" w:rsidRPr="00795F17" w:rsidRDefault="00ED47D2" w:rsidP="00117E86">
      <w:pPr>
        <w:pStyle w:val="Listapunktowana2"/>
        <w:rPr>
          <w:rFonts w:ascii="Times New Roman" w:hAnsi="Times New Roman"/>
          <w:sz w:val="20"/>
          <w:szCs w:val="20"/>
        </w:rPr>
      </w:pPr>
      <w:r w:rsidRPr="00795F17">
        <w:t>wydobywanie z wód powierzchniowych, w tym z morskich wód wewnętrznych wraz z wodami wewnętrznymi Zatoki Gdańskiej oraz wód morza terytorialnego, kamienia, żwiru, piasku oraz</w:t>
      </w:r>
      <w:r w:rsidR="00A52CEB">
        <w:t> </w:t>
      </w:r>
      <w:r w:rsidRPr="00795F17">
        <w:t>innych materiałów, a także wycinanie roślin z wód lub brzegu;</w:t>
      </w:r>
    </w:p>
    <w:p w14:paraId="13DC4931" w14:textId="77777777" w:rsidR="00ED47D2" w:rsidRPr="00795F17" w:rsidRDefault="00ED47D2" w:rsidP="00117E86">
      <w:pPr>
        <w:pStyle w:val="Listapunktowana2"/>
        <w:rPr>
          <w:rFonts w:ascii="Times New Roman" w:hAnsi="Times New Roman"/>
          <w:sz w:val="20"/>
          <w:szCs w:val="20"/>
        </w:rPr>
      </w:pPr>
      <w:r w:rsidRPr="00795F17">
        <w:t>chów ryb w sadzach;</w:t>
      </w:r>
    </w:p>
    <w:p w14:paraId="04F0AB68" w14:textId="77777777" w:rsidR="00ED47D2" w:rsidRPr="00795F17" w:rsidRDefault="00ED47D2" w:rsidP="00117E86">
      <w:pPr>
        <w:pStyle w:val="Listapunktowana2"/>
        <w:rPr>
          <w:rFonts w:ascii="Times New Roman" w:hAnsi="Times New Roman"/>
          <w:sz w:val="20"/>
          <w:szCs w:val="20"/>
        </w:rPr>
      </w:pPr>
      <w:r w:rsidRPr="00795F17">
        <w:t>zapewnienie wody dla funkcjonowania urządzeń umożliwiających migrację ryb;</w:t>
      </w:r>
    </w:p>
    <w:p w14:paraId="1FEC56A7" w14:textId="77777777" w:rsidR="00ED47D2" w:rsidRPr="00795F17" w:rsidRDefault="00ED47D2" w:rsidP="00117E86">
      <w:pPr>
        <w:pStyle w:val="Listapunktowana2"/>
        <w:rPr>
          <w:rFonts w:ascii="Times New Roman" w:hAnsi="Times New Roman"/>
          <w:sz w:val="20"/>
          <w:szCs w:val="20"/>
        </w:rPr>
      </w:pPr>
      <w:r w:rsidRPr="00795F17">
        <w:t>korzystanie z wód do nawadniania gruntów lub upraw, a także na potrzeby działalności rolniczej, w ilości większej niż średniorocznie 5 m</w:t>
      </w:r>
      <w:r w:rsidRPr="00795F17">
        <w:rPr>
          <w:vertAlign w:val="superscript"/>
        </w:rPr>
        <w:t>3</w:t>
      </w:r>
      <w:r w:rsidRPr="00795F17">
        <w:t xml:space="preserve"> na dobę;</w:t>
      </w:r>
    </w:p>
    <w:p w14:paraId="48C4FC0A" w14:textId="77777777" w:rsidR="00ED47D2" w:rsidRPr="00795F17" w:rsidRDefault="00ED47D2" w:rsidP="00117E86">
      <w:pPr>
        <w:pStyle w:val="Listapunktowana2"/>
        <w:rPr>
          <w:rFonts w:ascii="Times New Roman" w:hAnsi="Times New Roman"/>
          <w:sz w:val="20"/>
          <w:szCs w:val="20"/>
        </w:rPr>
      </w:pPr>
      <w:r w:rsidRPr="00795F17">
        <w:t>korzystanie z wód na potrzeby działalności gospodarczej innej niż działalność rolnicza;</w:t>
      </w:r>
    </w:p>
    <w:p w14:paraId="4805EE63" w14:textId="77777777" w:rsidR="00ED47D2" w:rsidRPr="00795F17" w:rsidRDefault="00ED47D2" w:rsidP="00117E86">
      <w:pPr>
        <w:pStyle w:val="Listapunktowana2"/>
        <w:rPr>
          <w:rFonts w:ascii="Times New Roman" w:hAnsi="Times New Roman"/>
          <w:sz w:val="20"/>
          <w:szCs w:val="20"/>
        </w:rPr>
      </w:pPr>
      <w:r w:rsidRPr="00795F17">
        <w:t>rolnicze wykorzystanie ścieków, jeżeli ich łączna ilość jest większa niż 5 m</w:t>
      </w:r>
      <w:r w:rsidRPr="00795F17">
        <w:rPr>
          <w:vertAlign w:val="superscript"/>
        </w:rPr>
        <w:t>3</w:t>
      </w:r>
      <w:r w:rsidRPr="00795F17">
        <w:t xml:space="preserve"> na dobę;</w:t>
      </w:r>
    </w:p>
    <w:p w14:paraId="2697353E" w14:textId="77777777" w:rsidR="00ED47D2" w:rsidRPr="00795F17" w:rsidRDefault="00ED47D2" w:rsidP="00117E86">
      <w:pPr>
        <w:pStyle w:val="Listapunktowana2"/>
        <w:rPr>
          <w:rFonts w:ascii="Times New Roman" w:hAnsi="Times New Roman"/>
          <w:sz w:val="20"/>
          <w:szCs w:val="20"/>
        </w:rPr>
      </w:pPr>
      <w:r w:rsidRPr="00795F17">
        <w:t>chów lub hodowlę ryb oraz innych organizmów wodnych w sztucznych zbiornikach wodnych usytuowanych na wodach płynących, przeznaczonych na te cele.</w:t>
      </w:r>
    </w:p>
    <w:p w14:paraId="11E246DF" w14:textId="776EC664" w:rsidR="00ED47D2" w:rsidRPr="00795F17" w:rsidRDefault="00ED47D2" w:rsidP="0044393D">
      <w:r w:rsidRPr="00795F17">
        <w:t>Zgodnie z pr.w. usługi wodne obejmują:</w:t>
      </w:r>
    </w:p>
    <w:p w14:paraId="30C58718" w14:textId="77777777" w:rsidR="00ED47D2" w:rsidRPr="00795F17" w:rsidRDefault="00ED47D2" w:rsidP="00117E86">
      <w:pPr>
        <w:pStyle w:val="Listapunktowana2"/>
        <w:rPr>
          <w:rFonts w:ascii="Times New Roman" w:hAnsi="Times New Roman"/>
          <w:sz w:val="20"/>
          <w:szCs w:val="20"/>
        </w:rPr>
      </w:pPr>
      <w:r w:rsidRPr="00795F17">
        <w:t>pobór wód podziemnych lub wód powierzchniowych;</w:t>
      </w:r>
    </w:p>
    <w:p w14:paraId="24DC7265" w14:textId="77777777" w:rsidR="00ED47D2" w:rsidRPr="00795F17" w:rsidRDefault="00ED47D2" w:rsidP="00117E86">
      <w:pPr>
        <w:pStyle w:val="Listapunktowana2"/>
        <w:rPr>
          <w:rFonts w:ascii="Times New Roman" w:hAnsi="Times New Roman"/>
          <w:sz w:val="20"/>
          <w:szCs w:val="20"/>
        </w:rPr>
      </w:pPr>
      <w:r w:rsidRPr="00795F17">
        <w:t>piętrzenie, magazynowanie lub retencjonowanie wód podziemnych i wód powierzchniowych oraz korzystanie z tych wód;</w:t>
      </w:r>
    </w:p>
    <w:p w14:paraId="381D5BE4" w14:textId="77777777" w:rsidR="00ED47D2" w:rsidRPr="00795F17" w:rsidRDefault="00ED47D2" w:rsidP="00117E86">
      <w:pPr>
        <w:pStyle w:val="Listapunktowana2"/>
        <w:rPr>
          <w:rFonts w:ascii="Times New Roman" w:hAnsi="Times New Roman"/>
          <w:sz w:val="20"/>
          <w:szCs w:val="20"/>
        </w:rPr>
      </w:pPr>
      <w:r w:rsidRPr="00795F17">
        <w:t>uzdatnianie wód podziemnych i powierzchniowych oraz ich dystrybucję;</w:t>
      </w:r>
    </w:p>
    <w:p w14:paraId="595B1371" w14:textId="77777777" w:rsidR="00ED47D2" w:rsidRPr="00795F17" w:rsidRDefault="00ED47D2" w:rsidP="00117E86">
      <w:pPr>
        <w:pStyle w:val="Listapunktowana2"/>
        <w:rPr>
          <w:rFonts w:ascii="Times New Roman" w:hAnsi="Times New Roman"/>
          <w:sz w:val="20"/>
          <w:szCs w:val="20"/>
        </w:rPr>
      </w:pPr>
      <w:r w:rsidRPr="00795F17">
        <w:t>odbiór i oczyszczanie ścieków;</w:t>
      </w:r>
    </w:p>
    <w:p w14:paraId="1605B92F" w14:textId="68B02E95" w:rsidR="00ED47D2" w:rsidRPr="00795F17" w:rsidRDefault="00ED47D2" w:rsidP="00117E86">
      <w:pPr>
        <w:pStyle w:val="Listapunktowana2"/>
        <w:rPr>
          <w:rFonts w:ascii="Times New Roman" w:hAnsi="Times New Roman"/>
          <w:sz w:val="20"/>
          <w:szCs w:val="20"/>
        </w:rPr>
      </w:pPr>
      <w:r w:rsidRPr="00795F17">
        <w:t>wprowadzanie ścieków do wód lub do ziemi, obejmujące także wprowadzanie ścieków do</w:t>
      </w:r>
      <w:r w:rsidR="00D11892" w:rsidRPr="00795F17">
        <w:t> </w:t>
      </w:r>
      <w:r w:rsidRPr="00795F17">
        <w:t>urządzeń wodnych;</w:t>
      </w:r>
    </w:p>
    <w:p w14:paraId="749DFF76" w14:textId="77777777" w:rsidR="00ED47D2" w:rsidRPr="00795F17" w:rsidRDefault="00ED47D2" w:rsidP="00117E86">
      <w:pPr>
        <w:pStyle w:val="Listapunktowana2"/>
        <w:rPr>
          <w:rFonts w:ascii="Times New Roman" w:hAnsi="Times New Roman"/>
          <w:sz w:val="20"/>
          <w:szCs w:val="20"/>
        </w:rPr>
      </w:pPr>
      <w:r w:rsidRPr="00795F17">
        <w:t>korzystanie z wód do celów energetyki, w tym energetyki wodnej;</w:t>
      </w:r>
    </w:p>
    <w:p w14:paraId="6C5E4554" w14:textId="2DEC1B10" w:rsidR="00ED47D2" w:rsidRPr="00795F17" w:rsidRDefault="00ED47D2" w:rsidP="00117E86">
      <w:pPr>
        <w:pStyle w:val="Listapunktowana2"/>
        <w:rPr>
          <w:rFonts w:ascii="Times New Roman" w:hAnsi="Times New Roman"/>
          <w:sz w:val="20"/>
          <w:szCs w:val="20"/>
        </w:rPr>
      </w:pPr>
      <w:r w:rsidRPr="00795F17">
        <w:t>odprowadzanie do wód lub do urządzeń wodnych wód opadowych lub roztopowych, ujętych w</w:t>
      </w:r>
      <w:r w:rsidR="00A52CEB">
        <w:t> </w:t>
      </w:r>
      <w:r w:rsidRPr="00795F17">
        <w:t>otwarte lub zamknięte systemy kanalizacji deszczowej służące do odprowadzania opadów atmosferycznych albo w systemy kanalizacji zbiorczej w granicach administracyjnych miast;</w:t>
      </w:r>
    </w:p>
    <w:p w14:paraId="7796A445" w14:textId="55D712D9" w:rsidR="00ED47D2" w:rsidRPr="00795F17" w:rsidRDefault="00ED47D2" w:rsidP="00117E86">
      <w:pPr>
        <w:pStyle w:val="Listapunktowana2"/>
        <w:rPr>
          <w:rFonts w:ascii="Times New Roman" w:hAnsi="Times New Roman"/>
          <w:sz w:val="20"/>
          <w:szCs w:val="20"/>
        </w:rPr>
      </w:pPr>
      <w:r w:rsidRPr="00795F17">
        <w:t xml:space="preserve">trwałe odwadnianie gruntów, obiektów lub wykopów budowlanych oraz zakładów górniczych, a także odprowadzanie do wód </w:t>
      </w:r>
      <w:r w:rsidR="0041502F">
        <w:t>–</w:t>
      </w:r>
      <w:r w:rsidRPr="00795F17">
        <w:t xml:space="preserve"> wód pochodzących z odwodnienia gruntów w granicach administracyjnych miast;</w:t>
      </w:r>
    </w:p>
    <w:p w14:paraId="6928D58A" w14:textId="77777777" w:rsidR="00ED47D2" w:rsidRPr="00795F17" w:rsidRDefault="00ED47D2" w:rsidP="00117E86">
      <w:pPr>
        <w:pStyle w:val="Listapunktowana2"/>
        <w:rPr>
          <w:rFonts w:ascii="Times New Roman" w:hAnsi="Times New Roman"/>
          <w:sz w:val="20"/>
          <w:szCs w:val="20"/>
        </w:rPr>
      </w:pPr>
      <w:r w:rsidRPr="00795F17">
        <w:t>odprowadzanie do wód lub do ziemi wód pobranych i niewykorzystanych.</w:t>
      </w:r>
    </w:p>
    <w:p w14:paraId="5E94ED51" w14:textId="77777777" w:rsidR="00ED47D2" w:rsidRPr="00795F17" w:rsidRDefault="00ED47D2" w:rsidP="0044393D">
      <w:pPr>
        <w:pStyle w:val="Nagwek5"/>
      </w:pPr>
      <w:bookmarkStart w:id="798" w:name="_Toc473375873"/>
      <w:r w:rsidRPr="00795F17">
        <w:t>System opłat za usługi wodne</w:t>
      </w:r>
      <w:bookmarkEnd w:id="798"/>
    </w:p>
    <w:p w14:paraId="126122A2" w14:textId="30C2E3D5" w:rsidR="00ED47D2" w:rsidRPr="00795F17" w:rsidRDefault="002706A9" w:rsidP="0044393D">
      <w:r>
        <w:t>Nowe prawo wodne</w:t>
      </w:r>
      <w:r w:rsidR="00700586">
        <w:t xml:space="preserve"> </w:t>
      </w:r>
      <w:r w:rsidRPr="00795F17">
        <w:t>wprowadził</w:t>
      </w:r>
      <w:r>
        <w:t>o</w:t>
      </w:r>
      <w:r w:rsidR="00ED47D2" w:rsidRPr="00795F17">
        <w:t xml:space="preserve"> nowy system opłat za usługi wodne, które stanowią jeden z</w:t>
      </w:r>
      <w:r w:rsidR="00D11892" w:rsidRPr="00795F17">
        <w:t> </w:t>
      </w:r>
      <w:r w:rsidR="00ED47D2" w:rsidRPr="00795F17">
        <w:t>najważniejszych praktycznych instrumentów ukierunkowanych na wdrożenie postanowień art. 9 RDW, czyli zasady zwrotu kosztów usług wodnych. Przed 2018 r. opłaty za</w:t>
      </w:r>
      <w:r w:rsidR="00A52CEB">
        <w:t> </w:t>
      </w:r>
      <w:r w:rsidR="00ED47D2" w:rsidRPr="00795F17">
        <w:t>korzystanie z wód były w</w:t>
      </w:r>
      <w:r w:rsidR="00D11892" w:rsidRPr="00795F17">
        <w:t> </w:t>
      </w:r>
      <w:r w:rsidR="00ED47D2" w:rsidRPr="00795F17">
        <w:t>Polsce ustalane i</w:t>
      </w:r>
      <w:r w:rsidR="005D25F3" w:rsidRPr="00795F17">
        <w:t> </w:t>
      </w:r>
      <w:r w:rsidR="00ED47D2" w:rsidRPr="00795F17">
        <w:t>ponoszone na rzecz urzędów marszałkowskich. W wyniku wprowadzonych zmian opłaty za usługi wodne zostały wydzielone z szeroko rozumianych opłat środowiskowych i w całości znalazły się w</w:t>
      </w:r>
      <w:r w:rsidR="005D25F3" w:rsidRPr="00795F17">
        <w:t> </w:t>
      </w:r>
      <w:r w:rsidR="00ED47D2" w:rsidRPr="00795F17">
        <w:t xml:space="preserve">zakresie regulacji pr.w. oraz </w:t>
      </w:r>
      <w:r w:rsidR="008F5E29" w:rsidRPr="00795F17">
        <w:t>wdrożonego</w:t>
      </w:r>
      <w:r w:rsidR="00ED47D2" w:rsidRPr="00795F17">
        <w:t xml:space="preserve"> przez tę ustawę systemu instytucjonalnego (w zasadniczej części znalazły się w kompetencjach </w:t>
      </w:r>
      <w:r w:rsidR="0028234C" w:rsidRPr="00795F17">
        <w:t>PGW WP</w:t>
      </w:r>
      <w:r w:rsidR="00ED47D2" w:rsidRPr="00795F17">
        <w:t>).</w:t>
      </w:r>
    </w:p>
    <w:p w14:paraId="337A4B0A" w14:textId="3FAB3433" w:rsidR="00ED47D2" w:rsidRPr="00795F17" w:rsidRDefault="00ED47D2" w:rsidP="0044393D">
      <w:r w:rsidRPr="00795F17">
        <w:t>Zgodnie z pr.w. opłaty za usługi wodne uiszcza się za następujący zakres form korzystania z</w:t>
      </w:r>
      <w:r w:rsidR="005D25F3" w:rsidRPr="00795F17">
        <w:t> </w:t>
      </w:r>
      <w:r w:rsidRPr="00795F17">
        <w:t>wód:</w:t>
      </w:r>
    </w:p>
    <w:p w14:paraId="759D7C39" w14:textId="77777777" w:rsidR="00ED47D2" w:rsidRPr="00795F17" w:rsidRDefault="00ED47D2" w:rsidP="00117E86">
      <w:pPr>
        <w:pStyle w:val="Listapunktowana2"/>
        <w:rPr>
          <w:rFonts w:ascii="Times New Roman" w:hAnsi="Times New Roman"/>
          <w:sz w:val="20"/>
          <w:szCs w:val="20"/>
        </w:rPr>
      </w:pPr>
      <w:r w:rsidRPr="00795F17">
        <w:t>pobór wód podziemnych lub wód powierzchniowych;</w:t>
      </w:r>
    </w:p>
    <w:p w14:paraId="35B37C63" w14:textId="77777777" w:rsidR="00ED47D2" w:rsidRPr="00795F17" w:rsidRDefault="00ED47D2" w:rsidP="00117E86">
      <w:pPr>
        <w:pStyle w:val="Listapunktowana2"/>
        <w:rPr>
          <w:rFonts w:ascii="Times New Roman" w:hAnsi="Times New Roman"/>
          <w:sz w:val="20"/>
          <w:szCs w:val="20"/>
        </w:rPr>
      </w:pPr>
      <w:r w:rsidRPr="00795F17">
        <w:t>wprowadzanie ścieków do wód lub do ziemi;</w:t>
      </w:r>
    </w:p>
    <w:p w14:paraId="41B7A82C" w14:textId="53D71D5A" w:rsidR="00ED47D2" w:rsidRPr="00795F17" w:rsidRDefault="00EC1AA4" w:rsidP="00117E86">
      <w:pPr>
        <w:pStyle w:val="Listapunktowana2"/>
        <w:rPr>
          <w:rFonts w:ascii="Times New Roman" w:hAnsi="Times New Roman"/>
          <w:sz w:val="20"/>
          <w:szCs w:val="20"/>
        </w:rPr>
      </w:pPr>
      <w:r w:rsidRPr="00795F17">
        <w:rPr>
          <w:color w:val="000000"/>
        </w:rPr>
        <w:t>odprowadzenie do wód: wód opadowych lub roztopowych</w:t>
      </w:r>
      <w:r w:rsidR="00ED47D2" w:rsidRPr="00795F17">
        <w:t xml:space="preserve"> ujętych w otwarte lub zamknięte systemy kanalizacji deszczowej służące do odprowadzania opadów atmosferycznych albo</w:t>
      </w:r>
      <w:r w:rsidR="00A52CEB">
        <w:t> </w:t>
      </w:r>
      <w:r w:rsidR="00ED47D2" w:rsidRPr="00795F17">
        <w:t>systemy kanalizacji zbiorczej w granicach administracyjnych miast, a także wód pochodzących z</w:t>
      </w:r>
      <w:r w:rsidR="005D25F3" w:rsidRPr="00795F17">
        <w:t> </w:t>
      </w:r>
      <w:r w:rsidR="00ED47D2" w:rsidRPr="00795F17">
        <w:t>odwodnienia gruntów w granicach administracyjnych miast;</w:t>
      </w:r>
    </w:p>
    <w:p w14:paraId="3DBB8164" w14:textId="77777777" w:rsidR="00ED47D2" w:rsidRPr="00795F17" w:rsidRDefault="00ED47D2" w:rsidP="00117E86">
      <w:pPr>
        <w:pStyle w:val="Listapunktowana2"/>
      </w:pPr>
      <w:r w:rsidRPr="00795F17">
        <w:t>pobór wód podziemnych i wód powierzchniowych na potrzeby chowu i hodowli ryb oraz innych organizmów wodnych;</w:t>
      </w:r>
    </w:p>
    <w:p w14:paraId="5D5FB843" w14:textId="77777777" w:rsidR="00ED47D2" w:rsidRPr="00795F17" w:rsidRDefault="00ED47D2" w:rsidP="00117E86">
      <w:pPr>
        <w:pStyle w:val="Listapunktowana2"/>
      </w:pPr>
      <w:r w:rsidRPr="00795F17">
        <w:t>wprowadzanie do wód lub do ziemi ścieków z chowu lub hodowli ryb oraz innych organizmów wodnych</w:t>
      </w:r>
    </w:p>
    <w:p w14:paraId="3C2CC180" w14:textId="77777777" w:rsidR="00ED47D2" w:rsidRPr="00795F17" w:rsidRDefault="00ED47D2" w:rsidP="0044393D">
      <w:r w:rsidRPr="00795F17">
        <w:t xml:space="preserve">oraz </w:t>
      </w:r>
    </w:p>
    <w:p w14:paraId="1C081934" w14:textId="4E1EAA65" w:rsidR="00ED47D2" w:rsidRPr="00795F17" w:rsidRDefault="00ED47D2" w:rsidP="00117E86">
      <w:pPr>
        <w:pStyle w:val="Listapunktowana2"/>
      </w:pPr>
      <w:r w:rsidRPr="00795F17">
        <w:t>zmniejszenie naturalnej retencji terenowej na skutek wykonywania na nieruchomości o</w:t>
      </w:r>
      <w:r w:rsidR="005D25F3" w:rsidRPr="00795F17">
        <w:t> </w:t>
      </w:r>
      <w:r w:rsidRPr="00795F17">
        <w:t>powierzchni powyżej 3</w:t>
      </w:r>
      <w:r w:rsidR="001A51BA" w:rsidRPr="00795F17">
        <w:t> </w:t>
      </w:r>
      <w:r w:rsidRPr="00795F17">
        <w:t>500</w:t>
      </w:r>
      <w:r w:rsidR="001A51BA" w:rsidRPr="00795F17">
        <w:t> </w:t>
      </w:r>
      <w:r w:rsidRPr="00795F17">
        <w:t>m</w:t>
      </w:r>
      <w:r w:rsidRPr="00795F17">
        <w:rPr>
          <w:vertAlign w:val="superscript"/>
        </w:rPr>
        <w:t>2</w:t>
      </w:r>
      <w:r w:rsidRPr="00795F17">
        <w:t xml:space="preserve"> robót lub obiektów budowlanych trwale związanych z</w:t>
      </w:r>
      <w:r w:rsidR="00D11892" w:rsidRPr="00795F17">
        <w:t> </w:t>
      </w:r>
      <w:r w:rsidRPr="00795F17">
        <w:t>gruntem, mających wpływ na zmniejszenie tej retencji przez wyłączenie więcej niż 70% powierzchni nieruchomości z powierzchni biologicznie czynnej na obszarach nieujętych w</w:t>
      </w:r>
      <w:r w:rsidR="00D11892" w:rsidRPr="00795F17">
        <w:t> </w:t>
      </w:r>
      <w:r w:rsidRPr="00795F17">
        <w:t>systemy kanalizacji otwartej lub zamkniętej;</w:t>
      </w:r>
    </w:p>
    <w:p w14:paraId="7DBBA13A" w14:textId="6AB06C5A" w:rsidR="00ED47D2" w:rsidRPr="00795F17" w:rsidRDefault="00ED47D2" w:rsidP="00117E86">
      <w:pPr>
        <w:pStyle w:val="Listapunktowana2"/>
      </w:pPr>
      <w:r w:rsidRPr="00795F17">
        <w:t>wydobywanie z wód powierzchniowych, w tym z morskich wód wewnętrznych wraz z wodami wewnętrznymi Zatoki Gdańskiej oraz wód morza terytorialnego, kamienia, żwiru, piasku oraz</w:t>
      </w:r>
      <w:r w:rsidR="00A52CEB">
        <w:t> </w:t>
      </w:r>
      <w:r w:rsidRPr="00795F17">
        <w:t>innych materiałów, a także wycinanie roślin z wód lub brzegu.</w:t>
      </w:r>
    </w:p>
    <w:p w14:paraId="222516E6" w14:textId="2C3C54C7" w:rsidR="00ED47D2" w:rsidRPr="00795F17" w:rsidRDefault="00ED47D2" w:rsidP="0044393D">
      <w:r w:rsidRPr="00795F17">
        <w:t>Opłaty za usługi wodne są ustalane w oparciu o część stałą i część zmienną. Podstawę ustalenia opłaty stałej stanowi pozwolenie wodnoprawne lub pozwolenie zintegrowane i jest ona naliczana za</w:t>
      </w:r>
      <w:r w:rsidR="00D11892" w:rsidRPr="00795F17">
        <w:t> </w:t>
      </w:r>
      <w:r w:rsidRPr="00795F17">
        <w:t>maksymalną ilość m</w:t>
      </w:r>
      <w:r w:rsidRPr="00795F17">
        <w:rPr>
          <w:vertAlign w:val="superscript"/>
        </w:rPr>
        <w:t>3</w:t>
      </w:r>
      <w:r w:rsidRPr="00795F17">
        <w:t>/s pobranej wody powierzchniowej lub podziemnej. Ideą stojącą za</w:t>
      </w:r>
      <w:r w:rsidR="00D11892" w:rsidRPr="00795F17">
        <w:t> </w:t>
      </w:r>
      <w:r w:rsidRPr="00795F17">
        <w:t>wprowadzeniem opłaty stałej była racjonalizacja zarządzania zasobami wodnymi (opłata stymulująca do podawania maksymalnych wartości zapotrzebowania na usługi wodne jak najbardziej zbliżonych do faktycznego zapotrzebowania, a nie deklarowanie wartości często znacznie wykraczających poza faktyczne zapotrzebowanie na usługi wodne). Wysokość opłaty zmiennej z kolei zależy od faktycznego zakresu korzystania z wód.</w:t>
      </w:r>
    </w:p>
    <w:p w14:paraId="03EC2D88" w14:textId="2D15EA8B" w:rsidR="00ED47D2" w:rsidRPr="00795F17" w:rsidRDefault="00ED47D2" w:rsidP="0044393D">
      <w:r w:rsidRPr="00795F17">
        <w:t>Szczegóły aktualnie obowiązującego systemu opłat za usługi wodne na podstawie delegacji zawartej w</w:t>
      </w:r>
      <w:r w:rsidR="005D25F3" w:rsidRPr="00795F17">
        <w:t> </w:t>
      </w:r>
      <w:r w:rsidRPr="00795F17">
        <w:t xml:space="preserve">art. 277 pr.w. zostały określone w rozporządzaniach Rady Ministrów wydanych jako akty wykonawcze do pr.w. </w:t>
      </w:r>
      <w:r w:rsidRPr="00795F17" w:rsidDel="0041502F">
        <w:t>R</w:t>
      </w:r>
      <w:r w:rsidRPr="00795F17">
        <w:t>ozporządzenia określiły wysokość jednostkowych stawek opłat za usługi wodne zarówno w formie opłaty stałej, jak i opłaty zmiennej.</w:t>
      </w:r>
    </w:p>
    <w:p w14:paraId="169B61D2" w14:textId="2917EE96" w:rsidR="00ED47D2" w:rsidRPr="00795F17" w:rsidRDefault="00EC076C" w:rsidP="0044393D">
      <w:r>
        <w:t>P</w:t>
      </w:r>
      <w:r w:rsidR="00ED47D2" w:rsidRPr="00795F17">
        <w:t>r.w. określa obszary wyłączeń z obowiązującego systemu opłat, w tym m.in.:</w:t>
      </w:r>
    </w:p>
    <w:p w14:paraId="62047D98" w14:textId="77777777" w:rsidR="00ED47D2" w:rsidRPr="00795F17" w:rsidRDefault="00ED47D2" w:rsidP="00117E86">
      <w:pPr>
        <w:pStyle w:val="Listapunktowana2"/>
      </w:pPr>
      <w:r w:rsidRPr="00795F17">
        <w:t>korzystanie z wód w okresach zdarzeń i zjawisk o nieprzewidywalnym i gwałtownym charakterze oraz zagrażającym innym szczególnie chronionym wartościom i dobrom;</w:t>
      </w:r>
    </w:p>
    <w:p w14:paraId="615314EC" w14:textId="0D39ABA4" w:rsidR="00ED47D2" w:rsidRPr="001C6219" w:rsidRDefault="00ED47D2" w:rsidP="00117E86">
      <w:pPr>
        <w:pStyle w:val="Listapunktowana2"/>
      </w:pPr>
      <w:r w:rsidRPr="001C6219">
        <w:t>zakłady górnicze w przypadku poboru wód</w:t>
      </w:r>
      <w:r w:rsidRPr="001C6219" w:rsidDel="00BC66FE">
        <w:t xml:space="preserve"> </w:t>
      </w:r>
      <w:r w:rsidRPr="001C6219">
        <w:t>w ramach prowadzonych przez nie odwodnień;</w:t>
      </w:r>
    </w:p>
    <w:p w14:paraId="4B56805E" w14:textId="77777777" w:rsidR="00ED47D2" w:rsidRPr="00795F17" w:rsidRDefault="00ED47D2" w:rsidP="00117E86">
      <w:pPr>
        <w:pStyle w:val="Listapunktowana2"/>
      </w:pPr>
      <w:r w:rsidRPr="00795F17">
        <w:t>szczególny charakter poboru wód z morskich wód wewnętrznych;</w:t>
      </w:r>
    </w:p>
    <w:p w14:paraId="50877FCC" w14:textId="5AEF3145" w:rsidR="00ED47D2" w:rsidRPr="00795F17" w:rsidRDefault="00ED47D2" w:rsidP="00117E86">
      <w:pPr>
        <w:pStyle w:val="Listapunktowana2"/>
      </w:pPr>
      <w:r w:rsidRPr="00795F17">
        <w:t>zmniejszenie naturalnej retencji terenowej w przypadku dróg publicznych i dróg kolejowych, z</w:t>
      </w:r>
      <w:r w:rsidR="005D25F3" w:rsidRPr="00795F17">
        <w:t> </w:t>
      </w:r>
      <w:r w:rsidRPr="00795F17">
        <w:t>których wody opadowe lub roztopowe są odprowadzane do wód lub do ziemi za pomocą urządzeń wodnych umożliwiających retencję lub infiltrację tych wód, a także w przypadku kościołów i innych związków wyznaniowych</w:t>
      </w:r>
      <w:r w:rsidR="00EC1AA4" w:rsidRPr="00795F17">
        <w:t xml:space="preserve"> (niższe stawki opłat obowiązują w przypadku istnienia urządzeń do retencjonowania wody z terenów uszczelnionych)</w:t>
      </w:r>
      <w:r w:rsidRPr="00795F17">
        <w:t>;</w:t>
      </w:r>
    </w:p>
    <w:p w14:paraId="793E934B" w14:textId="77777777" w:rsidR="00ED47D2" w:rsidRPr="00795F17" w:rsidRDefault="00ED47D2" w:rsidP="00117E86">
      <w:pPr>
        <w:pStyle w:val="Listapunktowana2"/>
      </w:pPr>
      <w:r w:rsidRPr="00795F17">
        <w:t>wydobywanie kamienia, żwiru, piasku oraz innych materiałów, a także wycinanie roślin z wód lub brzegu przez urzędy morskie;</w:t>
      </w:r>
    </w:p>
    <w:p w14:paraId="70A58A72" w14:textId="77777777" w:rsidR="00ED47D2" w:rsidRPr="00795F17" w:rsidRDefault="00ED47D2" w:rsidP="00117E86">
      <w:pPr>
        <w:pStyle w:val="Listapunktowana2"/>
      </w:pPr>
      <w:r w:rsidRPr="00795F17">
        <w:t>wprowadzanie do ziemi ścieków w celu rolniczego wykorzystania;</w:t>
      </w:r>
    </w:p>
    <w:p w14:paraId="19BD2E54" w14:textId="1628B342" w:rsidR="00ED47D2" w:rsidRPr="00795F17" w:rsidRDefault="00ED47D2" w:rsidP="00117E86">
      <w:pPr>
        <w:pStyle w:val="Listapunktowana2"/>
      </w:pPr>
      <w:r w:rsidRPr="00795F17">
        <w:t>wprowadzanie wód pochodzących z elektrowni, a także wykorzystywanych na potrzeby chowu i</w:t>
      </w:r>
      <w:r w:rsidR="00A52CEB">
        <w:t> </w:t>
      </w:r>
      <w:r w:rsidRPr="00795F17">
        <w:t>hodowli ryb z uwzględnieniem ograniczeń ściśle określonych w pr.w.;</w:t>
      </w:r>
    </w:p>
    <w:p w14:paraId="09A70A2F" w14:textId="77777777" w:rsidR="00ED47D2" w:rsidRPr="00795F17" w:rsidRDefault="00ED47D2" w:rsidP="00117E86">
      <w:pPr>
        <w:pStyle w:val="Listapunktowana2"/>
      </w:pPr>
      <w:r w:rsidRPr="00795F17">
        <w:t>zwolnienia wynikające z praktycznych aspektów związanych z poborem opłat o małej wartości.</w:t>
      </w:r>
    </w:p>
    <w:p w14:paraId="683E735B" w14:textId="77777777" w:rsidR="00ED47D2" w:rsidRPr="00795F17" w:rsidRDefault="00ED47D2" w:rsidP="00C53C86">
      <w:pPr>
        <w:pStyle w:val="Nagwek3"/>
      </w:pPr>
      <w:bookmarkStart w:id="799" w:name="_Toc473375874"/>
      <w:bookmarkStart w:id="800" w:name="_Toc105512712"/>
      <w:r w:rsidRPr="00795F17">
        <w:t>System regulacji i zatwierdzania taryf za usługi wodno-kanalizacyjne</w:t>
      </w:r>
      <w:bookmarkEnd w:id="799"/>
      <w:bookmarkEnd w:id="800"/>
    </w:p>
    <w:p w14:paraId="3EDC526F" w14:textId="50096935" w:rsidR="00ED47D2" w:rsidRPr="00795F17" w:rsidRDefault="00ED47D2" w:rsidP="0044393D">
      <w:r w:rsidRPr="00795F17">
        <w:t>Przed 2018 r. kompetencje w zakresie ustalenia cen za usługi dotyczące zbiorowego zaopatrzenia w</w:t>
      </w:r>
      <w:r w:rsidR="00D11892" w:rsidRPr="00795F17">
        <w:t> </w:t>
      </w:r>
      <w:r w:rsidRPr="00795F17">
        <w:t>wodę i zbiorowego odprowadzania ścieków pozostawały w gestii poszczególnych jednostek samorządu terytorialnego. Kompleksowa zmiana uregulowań w tym obszarze, wynikająca ze</w:t>
      </w:r>
      <w:r w:rsidR="00D11892" w:rsidRPr="00795F17">
        <w:t> </w:t>
      </w:r>
      <w:r w:rsidRPr="00795F17">
        <w:t xml:space="preserve">znowelizowanych przepisów </w:t>
      </w:r>
      <w:r w:rsidR="000B5A51" w:rsidRPr="00795F17">
        <w:t>u.</w:t>
      </w:r>
      <w:r w:rsidRPr="00795F17">
        <w:t xml:space="preserve">z.z.w.o.ś, dotyczyła wprowadzenia przepisów ukierunkowanych na standaryzację usług w sektorze zbiorowego zaopatrzenia w wodę i zbiorowego odprowadzania ścieków, w szczególności dotyczących wprowadzenia efektywnego nadzoru nad ustanawianiem cen i </w:t>
      </w:r>
      <w:r w:rsidR="00581FC7">
        <w:t> </w:t>
      </w:r>
      <w:r w:rsidRPr="00795F17">
        <w:t>opłat za świadczenie usług oraz jednolitych ram prawnych prowadzenia działalności w tym zakresie. W tym świetle do najważniejszych wprowadzonych zmian należy zaliczyć:</w:t>
      </w:r>
    </w:p>
    <w:p w14:paraId="25534724" w14:textId="77777777" w:rsidR="00ED47D2" w:rsidRPr="00795F17" w:rsidRDefault="00ED47D2" w:rsidP="00117E86">
      <w:pPr>
        <w:pStyle w:val="Listapunktowana2"/>
      </w:pPr>
      <w:r w:rsidRPr="00795F17">
        <w:t>wprowadzenie organu regulacyjnego;</w:t>
      </w:r>
    </w:p>
    <w:p w14:paraId="06DCE941" w14:textId="77777777" w:rsidR="00ED47D2" w:rsidRPr="00795F17" w:rsidRDefault="00ED47D2" w:rsidP="00117E86">
      <w:pPr>
        <w:pStyle w:val="Listapunktowana2"/>
      </w:pPr>
      <w:r w:rsidRPr="00795F17">
        <w:t>modyfikacje w systemie ustalania i zatwierdzania taryf;</w:t>
      </w:r>
    </w:p>
    <w:p w14:paraId="63ED066D" w14:textId="77777777" w:rsidR="00ED47D2" w:rsidRPr="00795F17" w:rsidRDefault="00ED47D2" w:rsidP="00117E86">
      <w:pPr>
        <w:pStyle w:val="Listapunktowana2"/>
      </w:pPr>
      <w:r w:rsidRPr="00795F17">
        <w:t xml:space="preserve">wprowadzenie uregulowań w obszarze rozstrzygania sporów pomiędzy przedsiębiorstwami wodociągowo-kanalizacyjnymi a odbiorcami usług. </w:t>
      </w:r>
    </w:p>
    <w:p w14:paraId="171C7D0F" w14:textId="77777777" w:rsidR="00ED47D2" w:rsidRPr="00795F17" w:rsidRDefault="00ED47D2" w:rsidP="0044393D">
      <w:r w:rsidRPr="00795F17">
        <w:t>Dwa pierwsze wymienione powyżej obszary stanowią praktyczne ramy instytucjonalne dla realizacji działań związanych z wdrażaniem przez przedsiębiorstwa wodno-kanalizacyjne zasady zwrotu kosztów usług wodnych.</w:t>
      </w:r>
    </w:p>
    <w:p w14:paraId="3AF66CC9" w14:textId="77777777" w:rsidR="00ED47D2" w:rsidRPr="008C27E6" w:rsidRDefault="00ED47D2" w:rsidP="0044393D">
      <w:pPr>
        <w:rPr>
          <w:b/>
        </w:rPr>
      </w:pPr>
      <w:bookmarkStart w:id="801" w:name="_Toc473375875"/>
      <w:r w:rsidRPr="008C27E6">
        <w:rPr>
          <w:b/>
        </w:rPr>
        <w:t>Wprowadzenie organu regulacyjnego</w:t>
      </w:r>
      <w:bookmarkEnd w:id="801"/>
    </w:p>
    <w:p w14:paraId="1AB827AC" w14:textId="093B0E7F" w:rsidR="00ED47D2" w:rsidRPr="00795F17" w:rsidRDefault="00ED47D2" w:rsidP="0044393D">
      <w:r w:rsidRPr="00795F17">
        <w:t>W przyjętym modelu funkcjonowania rynku dostarczania wody i odbioru ścieków zdecydowano się na</w:t>
      </w:r>
      <w:r w:rsidR="006E4DD0" w:rsidRPr="00795F17">
        <w:t> </w:t>
      </w:r>
      <w:r w:rsidRPr="00795F17">
        <w:t>wprowadzenie organu regulacyjnego, któremu powierzono w szczególności następujące zadania:</w:t>
      </w:r>
    </w:p>
    <w:p w14:paraId="25D6C45B" w14:textId="3CD3A300" w:rsidR="00ED47D2" w:rsidRPr="00795F17" w:rsidRDefault="00ED47D2" w:rsidP="00117E86">
      <w:pPr>
        <w:pStyle w:val="Listapunktowana2"/>
      </w:pPr>
      <w:r w:rsidRPr="00795F17">
        <w:t xml:space="preserve">opiniowanie regulaminów dostarczania wody i odprowadzania ścieków w celu zapewnienia ich zgodności z przepisami </w:t>
      </w:r>
      <w:r w:rsidR="000712DF" w:rsidRPr="00EF0900">
        <w:t>u.z.z.w.o.ś.</w:t>
      </w:r>
      <w:r w:rsidR="000712DF" w:rsidRPr="00795F17">
        <w:t>;</w:t>
      </w:r>
    </w:p>
    <w:p w14:paraId="3B37ACDA" w14:textId="77777777" w:rsidR="00ED47D2" w:rsidRPr="00795F17" w:rsidRDefault="00ED47D2" w:rsidP="00117E86">
      <w:pPr>
        <w:pStyle w:val="Listapunktowana2"/>
      </w:pPr>
      <w:r w:rsidRPr="00795F17">
        <w:t xml:space="preserve">zatwierdzanie taryf; </w:t>
      </w:r>
    </w:p>
    <w:p w14:paraId="61EF0035" w14:textId="78B324F9" w:rsidR="00ED47D2" w:rsidRPr="00795F17" w:rsidRDefault="00ED47D2" w:rsidP="00117E86">
      <w:pPr>
        <w:pStyle w:val="Listapunktowana2"/>
      </w:pPr>
      <w:r w:rsidRPr="00795F17">
        <w:t>rozstrzyganie sporów pomiędzy przedsiębiorstwami wodociągowo-kanalizacyjnymi a</w:t>
      </w:r>
      <w:r w:rsidR="00FF0421" w:rsidRPr="00795F17">
        <w:t> </w:t>
      </w:r>
      <w:r w:rsidRPr="00795F17">
        <w:t xml:space="preserve">odbiorcami tych usług. </w:t>
      </w:r>
    </w:p>
    <w:p w14:paraId="28E7E95E" w14:textId="7B23D299" w:rsidR="00ED47D2" w:rsidRPr="00795F17" w:rsidRDefault="00ED47D2" w:rsidP="0044393D">
      <w:r w:rsidRPr="00795F17">
        <w:t>Funkcja organu regulacyjnego została powierzona właściwemu miejscowo dyrektorowi RZGW</w:t>
      </w:r>
      <w:r w:rsidR="0033591C" w:rsidRPr="00795F17">
        <w:t> WP</w:t>
      </w:r>
      <w:r w:rsidRPr="00795F17">
        <w:t>, w</w:t>
      </w:r>
      <w:r w:rsidR="00FF0421" w:rsidRPr="00795F17">
        <w:t> </w:t>
      </w:r>
      <w:r w:rsidRPr="00795F17">
        <w:t>którego kompetencjach znajdują się ponadto:</w:t>
      </w:r>
    </w:p>
    <w:p w14:paraId="63F07524" w14:textId="6BBA0C44" w:rsidR="00ED47D2" w:rsidRPr="00795F17" w:rsidRDefault="00ED47D2" w:rsidP="00117E86">
      <w:pPr>
        <w:pStyle w:val="Listapunktowana2"/>
      </w:pPr>
      <w:r w:rsidRPr="00795F17">
        <w:t>zbieranie i przetwarzanie informacji dotyczących przedsiębiorstw wodociągowo-kanalizacyjnych, w szczególności obliczanie średnich cen dostaw wody i odbioru ścieków i</w:t>
      </w:r>
      <w:r w:rsidR="00FF0421" w:rsidRPr="00795F17">
        <w:t> </w:t>
      </w:r>
      <w:r w:rsidRPr="00795F17">
        <w:t>publikowanie informacji o tych cenach;</w:t>
      </w:r>
    </w:p>
    <w:p w14:paraId="1ACAD68C" w14:textId="44CE72EE" w:rsidR="00ED47D2" w:rsidRPr="00795F17" w:rsidRDefault="00ED47D2" w:rsidP="00117E86">
      <w:pPr>
        <w:pStyle w:val="Listapunktowana2"/>
      </w:pPr>
      <w:r w:rsidRPr="00795F17">
        <w:t>sporządzanie i publikowanie raportów dotyczących warunków wykonywania działalności w</w:t>
      </w:r>
      <w:r w:rsidR="00FF0421" w:rsidRPr="00795F17">
        <w:t> </w:t>
      </w:r>
      <w:r w:rsidRPr="00795F17">
        <w:t>zakresie zbiorowego zaopatrzenia w wodę i zbiorowego odprowadzania ścieków;</w:t>
      </w:r>
    </w:p>
    <w:p w14:paraId="729584FC" w14:textId="77777777" w:rsidR="00ED47D2" w:rsidRPr="00795F17" w:rsidRDefault="00ED47D2" w:rsidP="00117E86">
      <w:pPr>
        <w:pStyle w:val="Listapunktowana2"/>
      </w:pPr>
      <w:r w:rsidRPr="00795F17">
        <w:t>wymierzanie kar pieniężnych związanych ze stosowaniem taryf.</w:t>
      </w:r>
    </w:p>
    <w:p w14:paraId="6D1BA65D" w14:textId="77777777" w:rsidR="00ED47D2" w:rsidRPr="008C27E6" w:rsidRDefault="00ED47D2" w:rsidP="0044393D">
      <w:pPr>
        <w:rPr>
          <w:b/>
        </w:rPr>
      </w:pPr>
      <w:bookmarkStart w:id="802" w:name="_Toc473375876"/>
      <w:r w:rsidRPr="008C27E6">
        <w:rPr>
          <w:b/>
        </w:rPr>
        <w:t>System ustalania i zatwierdzania taryf</w:t>
      </w:r>
      <w:bookmarkEnd w:id="802"/>
    </w:p>
    <w:p w14:paraId="58CA3080" w14:textId="77777777" w:rsidR="00ED47D2" w:rsidRPr="00795F17" w:rsidRDefault="00ED47D2" w:rsidP="0044393D">
      <w:r w:rsidRPr="00795F17">
        <w:t>Najważniejsze zmiany wprowadzone w zasadach ustalania taryf przez przedsiębiorstwa dotyczyły:</w:t>
      </w:r>
    </w:p>
    <w:p w14:paraId="5FB37BEF" w14:textId="19482DC6" w:rsidR="00ED47D2" w:rsidRPr="00795F17" w:rsidRDefault="00ED47D2" w:rsidP="00117E86">
      <w:pPr>
        <w:pStyle w:val="Listapunktowana2"/>
      </w:pPr>
      <w:r w:rsidRPr="00795F17">
        <w:t>wydłużenia okresu obowiązywania taryf z jednego roku do trzech lat, co miało na celu zapewnienie możliwości bilansowania dostępnych zasobów wodnych w okresie dłuższym niż 1</w:t>
      </w:r>
      <w:r w:rsidR="00D30E2A">
        <w:t> </w:t>
      </w:r>
      <w:r w:rsidRPr="00795F17">
        <w:t>rok (przede wszystkim w odpowiedzi na takie zjawiska jak susza), zagwarantowanie przewidywalnego poziomu cen odbiorcom usług wodnych w dłuższym horyzoncie czasowym, a</w:t>
      </w:r>
      <w:r w:rsidR="00A52CEB">
        <w:t> </w:t>
      </w:r>
      <w:r w:rsidRPr="00795F17">
        <w:t>także zmniejszenie obciążeń administracyjnych zarówno po stronie przedsiębiorstw, jak i</w:t>
      </w:r>
      <w:r w:rsidR="00D11892" w:rsidRPr="00795F17">
        <w:t> </w:t>
      </w:r>
      <w:r w:rsidRPr="00795F17">
        <w:t>organu regulacyjnego;</w:t>
      </w:r>
    </w:p>
    <w:p w14:paraId="03A66D13" w14:textId="77777777" w:rsidR="00ED47D2" w:rsidRPr="00795F17" w:rsidRDefault="00ED47D2" w:rsidP="00117E86">
      <w:pPr>
        <w:pStyle w:val="Listapunktowana2"/>
      </w:pPr>
      <w:r w:rsidRPr="00795F17">
        <w:t>jasnego i precyzyjnego powiązania niezbędnych przychodów do świadczenia usług (stanowiących podstawę do ustalenia taryfy) z ponoszonymi przez to przedsiębiorstwo kosztami (stałymi, zmiennymi i inwestycyjnymi) związanymi bezpośrednio ze świadczeniem usług wodociągowo-kanalizacyjnych, co oznacza obowiązek zapewnienia realizacji zasady zwrotu kosztów usług wodno-kanalizacyjnych;</w:t>
      </w:r>
    </w:p>
    <w:p w14:paraId="22B31EF0" w14:textId="73C39523" w:rsidR="00ED47D2" w:rsidRPr="00795F17" w:rsidRDefault="00ED47D2" w:rsidP="00117E86">
      <w:pPr>
        <w:pStyle w:val="Listapunktowana2"/>
      </w:pPr>
      <w:r w:rsidRPr="00795F17">
        <w:t>wzmocnienia nadzoru nad alokacją kosztów pomiędzy taryfowymi grupami odbiorców usług na podstawie udokumentowanych różnic kosztów zbiorowego zaopatrzenia w wodę i</w:t>
      </w:r>
      <w:r w:rsidR="00D11892" w:rsidRPr="00795F17">
        <w:t> </w:t>
      </w:r>
      <w:r w:rsidRPr="00795F17">
        <w:t xml:space="preserve">zbiorowego odprowadzania ścieków, co zapewnia wdrożenie zasady </w:t>
      </w:r>
      <w:r w:rsidR="0041502F">
        <w:t>„</w:t>
      </w:r>
      <w:r w:rsidRPr="00795F17">
        <w:t>zanieczyszczający płaci</w:t>
      </w:r>
      <w:r w:rsidR="0041502F">
        <w:t>”</w:t>
      </w:r>
      <w:r w:rsidRPr="00795F17">
        <w:t xml:space="preserve"> również na</w:t>
      </w:r>
      <w:r w:rsidR="00A52CEB">
        <w:t> </w:t>
      </w:r>
      <w:r w:rsidRPr="00795F17">
        <w:t>poziomie poszczególnych grup odbiorców.</w:t>
      </w:r>
    </w:p>
    <w:p w14:paraId="4CB69708" w14:textId="1E20FBF0" w:rsidR="00ED47D2" w:rsidRPr="00795F17" w:rsidRDefault="00ED47D2" w:rsidP="0044393D">
      <w:r w:rsidRPr="00795F17">
        <w:t xml:space="preserve">Organ regulacyjny ocenia i weryfikuje projekt taryfy za zbiorowe zaopatrzenie w wodę i zbiorowe odprowadzanie ścieków m.in. pod względem zgodności z przepisami </w:t>
      </w:r>
      <w:r w:rsidRPr="00795F17">
        <w:rPr>
          <w:rFonts w:cs="Lucida Grande"/>
        </w:rPr>
        <w:t xml:space="preserve">pr.w., a zatem również </w:t>
      </w:r>
      <w:r w:rsidRPr="00795F17">
        <w:t>pod kątem spełnienia zasady zwrotu kosztów usług wodnych. Na podstawie przedstawionych informacji i wniosków podejmuje w drodze decyzji jedno z dwóch możliwych rozstrzygnięć:</w:t>
      </w:r>
    </w:p>
    <w:p w14:paraId="13CCF071" w14:textId="77777777" w:rsidR="00ED47D2" w:rsidRPr="00795F17" w:rsidRDefault="00ED47D2" w:rsidP="00117E86">
      <w:pPr>
        <w:pStyle w:val="Listapunktowana2"/>
      </w:pPr>
      <w:r w:rsidRPr="00795F17">
        <w:t>zatwierdza taryfę zaproponowaną przez przedsiębiorstwo wodociągowo-kanalizacyjne;</w:t>
      </w:r>
    </w:p>
    <w:p w14:paraId="3830CD0F" w14:textId="313D4698" w:rsidR="00ED47D2" w:rsidRPr="00795F17" w:rsidRDefault="00ED47D2" w:rsidP="00117E86">
      <w:pPr>
        <w:pStyle w:val="Listapunktowana2"/>
      </w:pPr>
      <w:r w:rsidRPr="00795F17">
        <w:t>odmawia jej zatwierdzenia, jednocześnie wzywając przedsiębiorstwo do przedłożenia poprawionego wniosku (projektu taryfy lub uzasadnienia)</w:t>
      </w:r>
      <w:r w:rsidR="00112057">
        <w:t>.</w:t>
      </w:r>
    </w:p>
    <w:p w14:paraId="43378028" w14:textId="2FC2586D" w:rsidR="00ED47D2" w:rsidRPr="00795F17" w:rsidRDefault="00ED47D2" w:rsidP="0044393D">
      <w:r w:rsidRPr="00795F17">
        <w:t>Dodatkowo, w przypadku nieprzedłożenia w wymaganym terminie poprawionego wniosku wyznacza taryfę tymczasową na podstawie własnej oceny warunków ekonomicznych, w jakich działa dane przedsiębiorstwo, oraz z uwzględnieniem niezbędnego poziomu pokrycia kosztów funkcjonowania i</w:t>
      </w:r>
      <w:r w:rsidR="00FF0421" w:rsidRPr="00795F17">
        <w:t> </w:t>
      </w:r>
      <w:r w:rsidRPr="00795F17">
        <w:t>świadczenia usług.</w:t>
      </w:r>
    </w:p>
    <w:p w14:paraId="433C51DA" w14:textId="1B34A256" w:rsidR="00ED47D2" w:rsidRPr="00795F17" w:rsidRDefault="00ED47D2" w:rsidP="0044393D">
      <w:pPr>
        <w:rPr>
          <w:rFonts w:eastAsia="MS Mincho"/>
          <w:lang w:eastAsia="pl-PL"/>
        </w:rPr>
      </w:pPr>
      <w:r w:rsidRPr="00795F17">
        <w:t>Podsumowując, wprowadzone zmiany w pozytywny sposób przyczyniły się do wsparcia wdrażania zasady zwrotu kosztów usług wodnych, przenosząc kompetencje nadzorcze nad ustalaniem taryf z</w:t>
      </w:r>
      <w:r w:rsidR="00FF0421" w:rsidRPr="00795F17">
        <w:t> </w:t>
      </w:r>
      <w:r w:rsidRPr="00795F17">
        <w:t xml:space="preserve">poziomu jednostek samorządu terytorialnego na poziom organu regulacyjnego, jakim jest </w:t>
      </w:r>
      <w:r w:rsidR="00686357" w:rsidRPr="00795F17">
        <w:t>dyrektor RZGW WP</w:t>
      </w:r>
      <w:r w:rsidRPr="00795F17">
        <w:t>. Dzięki temu zapewniono odpowiedni mechanizm weryfikacyjno-kontrolny pod kątem przestrzegania i</w:t>
      </w:r>
      <w:r w:rsidR="00FF0421" w:rsidRPr="00795F17">
        <w:t> </w:t>
      </w:r>
      <w:r w:rsidRPr="00795F17">
        <w:t>praktycznego wdrażania zasady zwrotu kosztów usług wodnych.</w:t>
      </w:r>
    </w:p>
    <w:p w14:paraId="7C1CF16E" w14:textId="77777777" w:rsidR="00ED47D2" w:rsidRPr="00795F17" w:rsidRDefault="00ED47D2" w:rsidP="0044393D">
      <w:pPr>
        <w:pStyle w:val="Nagwek5"/>
      </w:pPr>
      <w:bookmarkStart w:id="803" w:name="_Toc473375877"/>
      <w:r w:rsidRPr="00795F17">
        <w:t>Praktyczne aspekty funkcjonowania nowego systemu</w:t>
      </w:r>
      <w:bookmarkEnd w:id="803"/>
    </w:p>
    <w:p w14:paraId="7D6715F9" w14:textId="48DEBF67" w:rsidR="00ED47D2" w:rsidRPr="00795F17" w:rsidRDefault="00ED47D2" w:rsidP="0044393D">
      <w:r w:rsidRPr="00795F17">
        <w:t>W 2018 r. w oparciu o nowe przepisy organ regulacyjny zweryfikował w skali kraju 2</w:t>
      </w:r>
      <w:r w:rsidR="006E27AC" w:rsidRPr="00795F17">
        <w:t> </w:t>
      </w:r>
      <w:r w:rsidRPr="00795F17">
        <w:t>794 wnioski taryfowe, w tym 1</w:t>
      </w:r>
      <w:r w:rsidR="009F3729">
        <w:t> </w:t>
      </w:r>
      <w:r w:rsidRPr="00795F17">
        <w:t>150 został</w:t>
      </w:r>
      <w:r w:rsidR="00B22D1E">
        <w:t>o</w:t>
      </w:r>
      <w:r w:rsidRPr="00795F17">
        <w:t xml:space="preserve"> zweryfikowan</w:t>
      </w:r>
      <w:r w:rsidR="00B22D1E">
        <w:t>ych</w:t>
      </w:r>
      <w:r w:rsidRPr="00795F17">
        <w:t xml:space="preserve"> przez RZGW </w:t>
      </w:r>
      <w:r w:rsidR="006E27AC" w:rsidRPr="00795F17">
        <w:t xml:space="preserve">WP </w:t>
      </w:r>
      <w:r w:rsidR="00B22D1E">
        <w:t>w Bydgoszczy, Gliwicach, Poznaniu, Szczecinie i Wrocławiu</w:t>
      </w:r>
      <w:r w:rsidRPr="00795F17">
        <w:t>.</w:t>
      </w:r>
      <w:r w:rsidR="009247CF" w:rsidRPr="00795F17">
        <w:t xml:space="preserve"> Poniższe tabele (tabela 13-2 do 13-4) przedstawiają liczbę złożonych wniosków taryfowych w podziale na typy przedsiębiorstw występujących z wnioskiem.</w:t>
      </w:r>
    </w:p>
    <w:p w14:paraId="76C2EBF6" w14:textId="3F3611DA" w:rsidR="00ED47D2" w:rsidRPr="00795F17" w:rsidRDefault="00FF0421" w:rsidP="004D7705">
      <w:pPr>
        <w:pStyle w:val="Tabela"/>
      </w:pPr>
      <w:bookmarkStart w:id="804" w:name="_Toc66341959"/>
      <w:bookmarkStart w:id="805" w:name="_Toc105512888"/>
      <w:bookmarkStart w:id="806" w:name="_Hlk64022851"/>
      <w:r w:rsidRPr="00795F17">
        <w:t xml:space="preserve">Tabela </w:t>
      </w:r>
      <w:fldSimple w:instr=" STYLEREF 1 \s ">
        <w:r w:rsidR="001F774D">
          <w:rPr>
            <w:noProof/>
          </w:rPr>
          <w:t>13</w:t>
        </w:r>
      </w:fldSimple>
      <w:r w:rsidR="00BB3B21" w:rsidRPr="00795F17">
        <w:noBreakHyphen/>
      </w:r>
      <w:fldSimple w:instr=" SEQ Tabela \* ARABIC \s 1 ">
        <w:r w:rsidR="001F774D">
          <w:rPr>
            <w:noProof/>
          </w:rPr>
          <w:t>2</w:t>
        </w:r>
      </w:fldSimple>
      <w:r w:rsidR="000B5450">
        <w:rPr>
          <w:noProof/>
        </w:rPr>
        <w:t>.</w:t>
      </w:r>
      <w:r w:rsidR="00ED47D2" w:rsidRPr="00795F17">
        <w:tab/>
        <w:t xml:space="preserve">Liczba złożonych wniosków taryfowych </w:t>
      </w:r>
      <w:r w:rsidR="00442820">
        <w:t>według</w:t>
      </w:r>
      <w:r w:rsidR="00ED47D2" w:rsidRPr="00795F17">
        <w:t xml:space="preserve"> organu regulacyjnego (RZGW</w:t>
      </w:r>
      <w:r w:rsidR="006E27AC" w:rsidRPr="00795F17">
        <w:t xml:space="preserve"> WP</w:t>
      </w:r>
      <w:r w:rsidR="00ED47D2" w:rsidRPr="00795F17">
        <w:t>)</w:t>
      </w:r>
      <w:bookmarkEnd w:id="804"/>
      <w:bookmarkEnd w:id="80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7"/>
        <w:gridCol w:w="3642"/>
        <w:gridCol w:w="2688"/>
      </w:tblGrid>
      <w:tr w:rsidR="00950E11" w:rsidRPr="00795F17" w14:paraId="602962B8" w14:textId="77777777" w:rsidTr="008C27E6">
        <w:trPr>
          <w:cantSplit/>
          <w:trHeight w:val="454"/>
          <w:tblHeader/>
        </w:trPr>
        <w:tc>
          <w:tcPr>
            <w:tcW w:w="2737" w:type="dxa"/>
            <w:shd w:val="clear" w:color="auto" w:fill="BFBFBF" w:themeFill="background1" w:themeFillShade="BF"/>
            <w:vAlign w:val="center"/>
            <w:hideMark/>
          </w:tcPr>
          <w:p w14:paraId="2EE33BF9" w14:textId="71F0A0AF" w:rsidR="00ED47D2" w:rsidRPr="00795F17" w:rsidRDefault="00ED47D2" w:rsidP="0044393D">
            <w:pPr>
              <w:pStyle w:val="Teksttabelinaglowek"/>
            </w:pPr>
            <w:r w:rsidRPr="00795F17">
              <w:t>RZGW</w:t>
            </w:r>
            <w:r w:rsidR="009247CF" w:rsidRPr="00795F17">
              <w:t xml:space="preserve"> WP</w:t>
            </w:r>
          </w:p>
        </w:tc>
        <w:tc>
          <w:tcPr>
            <w:tcW w:w="3642" w:type="dxa"/>
            <w:shd w:val="clear" w:color="auto" w:fill="BFBFBF" w:themeFill="background1" w:themeFillShade="BF"/>
            <w:vAlign w:val="center"/>
            <w:hideMark/>
          </w:tcPr>
          <w:p w14:paraId="5E807FD2" w14:textId="77777777" w:rsidR="00ED47D2" w:rsidRPr="00795F17" w:rsidRDefault="00ED47D2" w:rsidP="0044393D">
            <w:pPr>
              <w:pStyle w:val="Teksttabelinaglowek"/>
            </w:pPr>
            <w:r w:rsidRPr="00795F17">
              <w:t>Liczba wniosków taryfowych</w:t>
            </w:r>
          </w:p>
        </w:tc>
        <w:tc>
          <w:tcPr>
            <w:tcW w:w="2688" w:type="dxa"/>
            <w:shd w:val="clear" w:color="auto" w:fill="BFBFBF" w:themeFill="background1" w:themeFillShade="BF"/>
            <w:vAlign w:val="center"/>
            <w:hideMark/>
          </w:tcPr>
          <w:p w14:paraId="02B47642" w14:textId="51F4D68E" w:rsidR="00ED47D2" w:rsidRPr="00795F17" w:rsidRDefault="009247CF" w:rsidP="0044393D">
            <w:pPr>
              <w:pStyle w:val="Teksttabelinaglowek"/>
            </w:pPr>
            <w:r w:rsidRPr="00795F17">
              <w:t>Udział wniosków w</w:t>
            </w:r>
            <w:r w:rsidR="00C42E93">
              <w:t> </w:t>
            </w:r>
            <w:r w:rsidRPr="00795F17">
              <w:t>podziale na RZGW</w:t>
            </w:r>
            <w:r w:rsidR="00AD5CB7" w:rsidRPr="00795F17">
              <w:t xml:space="preserve"> </w:t>
            </w:r>
            <w:r w:rsidRPr="00795F17">
              <w:t xml:space="preserve">WP </w:t>
            </w:r>
            <w:r w:rsidR="00EA4FF5" w:rsidRPr="00795F17">
              <w:t>(%)</w:t>
            </w:r>
          </w:p>
        </w:tc>
      </w:tr>
      <w:tr w:rsidR="00966503" w:rsidRPr="00795F17" w14:paraId="5E4D8896" w14:textId="77777777" w:rsidTr="008C27E6">
        <w:trPr>
          <w:trHeight w:val="454"/>
        </w:trPr>
        <w:tc>
          <w:tcPr>
            <w:tcW w:w="2737" w:type="dxa"/>
            <w:vAlign w:val="center"/>
            <w:hideMark/>
          </w:tcPr>
          <w:p w14:paraId="2EBD1526" w14:textId="38C0B4BB" w:rsidR="00ED47D2" w:rsidRPr="00795F17" w:rsidRDefault="00ED47D2" w:rsidP="0044393D">
            <w:pPr>
              <w:pStyle w:val="Teksttabelilewy"/>
            </w:pPr>
            <w:r w:rsidRPr="00795F17">
              <w:t xml:space="preserve">RZGW </w:t>
            </w:r>
            <w:r w:rsidR="006E27AC" w:rsidRPr="00795F17">
              <w:t xml:space="preserve">WP </w:t>
            </w:r>
            <w:r w:rsidRPr="00795F17">
              <w:t>w Bydgoszczy</w:t>
            </w:r>
          </w:p>
        </w:tc>
        <w:tc>
          <w:tcPr>
            <w:tcW w:w="3642" w:type="dxa"/>
            <w:vAlign w:val="center"/>
            <w:hideMark/>
          </w:tcPr>
          <w:p w14:paraId="26E1174A" w14:textId="77777777" w:rsidR="00ED47D2" w:rsidRPr="00795F17" w:rsidRDefault="00ED47D2" w:rsidP="0065243A">
            <w:pPr>
              <w:pStyle w:val="Teksttabelisrodek"/>
            </w:pPr>
            <w:r w:rsidRPr="00795F17">
              <w:t>101</w:t>
            </w:r>
          </w:p>
        </w:tc>
        <w:tc>
          <w:tcPr>
            <w:tcW w:w="2688" w:type="dxa"/>
            <w:vAlign w:val="center"/>
            <w:hideMark/>
          </w:tcPr>
          <w:p w14:paraId="24474C79" w14:textId="7816980A" w:rsidR="00ED47D2" w:rsidRPr="00795F17" w:rsidRDefault="00ED47D2" w:rsidP="0065243A">
            <w:pPr>
              <w:pStyle w:val="Teksttabelisrodek"/>
            </w:pPr>
            <w:r w:rsidRPr="00795F17">
              <w:t>3,61</w:t>
            </w:r>
          </w:p>
        </w:tc>
      </w:tr>
      <w:tr w:rsidR="00966503" w:rsidRPr="00795F17" w14:paraId="13B5886B" w14:textId="77777777" w:rsidTr="008C27E6">
        <w:trPr>
          <w:trHeight w:val="454"/>
        </w:trPr>
        <w:tc>
          <w:tcPr>
            <w:tcW w:w="2737" w:type="dxa"/>
            <w:vAlign w:val="center"/>
            <w:hideMark/>
          </w:tcPr>
          <w:p w14:paraId="5F7DB908" w14:textId="6DF42927" w:rsidR="00ED47D2" w:rsidRPr="00795F17" w:rsidRDefault="00ED47D2" w:rsidP="0044393D">
            <w:pPr>
              <w:pStyle w:val="Teksttabelilewy"/>
            </w:pPr>
            <w:r w:rsidRPr="00795F17">
              <w:t xml:space="preserve">RZGW </w:t>
            </w:r>
            <w:r w:rsidR="006E27AC" w:rsidRPr="00795F17">
              <w:t xml:space="preserve">WP </w:t>
            </w:r>
            <w:r w:rsidRPr="00795F17">
              <w:t>w Gliwicach</w:t>
            </w:r>
          </w:p>
        </w:tc>
        <w:tc>
          <w:tcPr>
            <w:tcW w:w="3642" w:type="dxa"/>
            <w:vAlign w:val="center"/>
            <w:hideMark/>
          </w:tcPr>
          <w:p w14:paraId="7530603D" w14:textId="77777777" w:rsidR="00ED47D2" w:rsidRPr="00795F17" w:rsidRDefault="00ED47D2" w:rsidP="0065243A">
            <w:pPr>
              <w:pStyle w:val="Teksttabelisrodek"/>
            </w:pPr>
            <w:r w:rsidRPr="00795F17">
              <w:t>259</w:t>
            </w:r>
          </w:p>
        </w:tc>
        <w:tc>
          <w:tcPr>
            <w:tcW w:w="2688" w:type="dxa"/>
            <w:vAlign w:val="center"/>
            <w:hideMark/>
          </w:tcPr>
          <w:p w14:paraId="5BE8F96C" w14:textId="15D3A328" w:rsidR="00ED47D2" w:rsidRPr="00795F17" w:rsidRDefault="00ED47D2" w:rsidP="0065243A">
            <w:pPr>
              <w:pStyle w:val="Teksttabelisrodek"/>
            </w:pPr>
            <w:r w:rsidRPr="00795F17">
              <w:t>9,27</w:t>
            </w:r>
          </w:p>
        </w:tc>
      </w:tr>
      <w:tr w:rsidR="00966503" w:rsidRPr="00795F17" w14:paraId="63CDFA21" w14:textId="77777777" w:rsidTr="008C27E6">
        <w:trPr>
          <w:trHeight w:val="454"/>
        </w:trPr>
        <w:tc>
          <w:tcPr>
            <w:tcW w:w="2737" w:type="dxa"/>
            <w:vAlign w:val="center"/>
            <w:hideMark/>
          </w:tcPr>
          <w:p w14:paraId="363F1EBA" w14:textId="614CC976" w:rsidR="00ED47D2" w:rsidRPr="00795F17" w:rsidRDefault="00ED47D2" w:rsidP="0044393D">
            <w:pPr>
              <w:pStyle w:val="Teksttabelilewy"/>
            </w:pPr>
            <w:r w:rsidRPr="00795F17">
              <w:t xml:space="preserve">RZGW </w:t>
            </w:r>
            <w:r w:rsidR="006E27AC" w:rsidRPr="00795F17">
              <w:t xml:space="preserve">WP </w:t>
            </w:r>
            <w:r w:rsidRPr="00795F17">
              <w:t>w Poznaniu</w:t>
            </w:r>
          </w:p>
        </w:tc>
        <w:tc>
          <w:tcPr>
            <w:tcW w:w="3642" w:type="dxa"/>
            <w:vAlign w:val="center"/>
            <w:hideMark/>
          </w:tcPr>
          <w:p w14:paraId="2E8AA5B4" w14:textId="77777777" w:rsidR="00ED47D2" w:rsidRPr="00795F17" w:rsidRDefault="00ED47D2" w:rsidP="0065243A">
            <w:pPr>
              <w:pStyle w:val="Teksttabelisrodek"/>
            </w:pPr>
            <w:r w:rsidRPr="00795F17">
              <w:t>337</w:t>
            </w:r>
          </w:p>
        </w:tc>
        <w:tc>
          <w:tcPr>
            <w:tcW w:w="2688" w:type="dxa"/>
            <w:vAlign w:val="center"/>
            <w:hideMark/>
          </w:tcPr>
          <w:p w14:paraId="1803C5F5" w14:textId="7327022E" w:rsidR="00ED47D2" w:rsidRPr="00795F17" w:rsidRDefault="00ED47D2" w:rsidP="0065243A">
            <w:pPr>
              <w:pStyle w:val="Teksttabelisrodek"/>
            </w:pPr>
            <w:r w:rsidRPr="00795F17">
              <w:t>12,06</w:t>
            </w:r>
          </w:p>
        </w:tc>
      </w:tr>
      <w:tr w:rsidR="00966503" w:rsidRPr="00795F17" w14:paraId="3940D658" w14:textId="77777777" w:rsidTr="008C27E6">
        <w:trPr>
          <w:trHeight w:val="454"/>
        </w:trPr>
        <w:tc>
          <w:tcPr>
            <w:tcW w:w="2737" w:type="dxa"/>
            <w:vAlign w:val="center"/>
            <w:hideMark/>
          </w:tcPr>
          <w:p w14:paraId="7001B1AE" w14:textId="38114E07" w:rsidR="00ED47D2" w:rsidRPr="00795F17" w:rsidRDefault="00ED47D2" w:rsidP="0044393D">
            <w:pPr>
              <w:pStyle w:val="Teksttabelilewy"/>
            </w:pPr>
            <w:r w:rsidRPr="00795F17">
              <w:t xml:space="preserve">RZGW </w:t>
            </w:r>
            <w:r w:rsidR="006E27AC" w:rsidRPr="00795F17">
              <w:t xml:space="preserve">WP </w:t>
            </w:r>
            <w:r w:rsidRPr="00795F17">
              <w:t>w Szczecinie</w:t>
            </w:r>
          </w:p>
        </w:tc>
        <w:tc>
          <w:tcPr>
            <w:tcW w:w="3642" w:type="dxa"/>
            <w:vAlign w:val="center"/>
            <w:hideMark/>
          </w:tcPr>
          <w:p w14:paraId="0C0A5D6B" w14:textId="77777777" w:rsidR="00ED47D2" w:rsidRPr="00795F17" w:rsidRDefault="00ED47D2" w:rsidP="0065243A">
            <w:pPr>
              <w:pStyle w:val="Teksttabelisrodek"/>
            </w:pPr>
            <w:r w:rsidRPr="00795F17">
              <w:t>141</w:t>
            </w:r>
          </w:p>
        </w:tc>
        <w:tc>
          <w:tcPr>
            <w:tcW w:w="2688" w:type="dxa"/>
            <w:vAlign w:val="center"/>
            <w:hideMark/>
          </w:tcPr>
          <w:p w14:paraId="04AE996E" w14:textId="3A8B97F2" w:rsidR="00ED47D2" w:rsidRPr="00795F17" w:rsidRDefault="00ED47D2" w:rsidP="0065243A">
            <w:pPr>
              <w:pStyle w:val="Teksttabelisrodek"/>
            </w:pPr>
            <w:r w:rsidRPr="00795F17">
              <w:t>5,05</w:t>
            </w:r>
          </w:p>
        </w:tc>
      </w:tr>
      <w:tr w:rsidR="00966503" w:rsidRPr="00795F17" w14:paraId="6366CF53" w14:textId="77777777" w:rsidTr="008C27E6">
        <w:trPr>
          <w:trHeight w:val="454"/>
        </w:trPr>
        <w:tc>
          <w:tcPr>
            <w:tcW w:w="2737" w:type="dxa"/>
            <w:vAlign w:val="center"/>
          </w:tcPr>
          <w:p w14:paraId="076BCF74" w14:textId="79BDF3EC" w:rsidR="00ED47D2" w:rsidRPr="00795F17" w:rsidRDefault="00ED47D2" w:rsidP="0044393D">
            <w:pPr>
              <w:pStyle w:val="Teksttabelilewy"/>
            </w:pPr>
            <w:r w:rsidRPr="00795F17">
              <w:t xml:space="preserve">RZGW </w:t>
            </w:r>
            <w:r w:rsidR="006E27AC" w:rsidRPr="00795F17">
              <w:t xml:space="preserve">WP </w:t>
            </w:r>
            <w:r w:rsidRPr="00795F17">
              <w:t>we Wrocławiu</w:t>
            </w:r>
          </w:p>
        </w:tc>
        <w:tc>
          <w:tcPr>
            <w:tcW w:w="3642" w:type="dxa"/>
            <w:vAlign w:val="center"/>
          </w:tcPr>
          <w:p w14:paraId="4E0254AE" w14:textId="77777777" w:rsidR="00ED47D2" w:rsidRPr="00795F17" w:rsidRDefault="00ED47D2" w:rsidP="0065243A">
            <w:pPr>
              <w:pStyle w:val="Teksttabelisrodek"/>
            </w:pPr>
            <w:r w:rsidRPr="00795F17">
              <w:t>312</w:t>
            </w:r>
          </w:p>
        </w:tc>
        <w:tc>
          <w:tcPr>
            <w:tcW w:w="2688" w:type="dxa"/>
            <w:vAlign w:val="center"/>
          </w:tcPr>
          <w:p w14:paraId="4A777240" w14:textId="1850F4DC" w:rsidR="00ED47D2" w:rsidRPr="00795F17" w:rsidRDefault="00ED47D2" w:rsidP="0065243A">
            <w:pPr>
              <w:pStyle w:val="Teksttabelisrodek"/>
            </w:pPr>
            <w:r w:rsidRPr="00795F17">
              <w:t>11,17</w:t>
            </w:r>
          </w:p>
        </w:tc>
      </w:tr>
      <w:tr w:rsidR="00966503" w:rsidRPr="00795F17" w14:paraId="2F2F588B" w14:textId="77777777" w:rsidTr="008C27E6">
        <w:trPr>
          <w:trHeight w:val="454"/>
        </w:trPr>
        <w:tc>
          <w:tcPr>
            <w:tcW w:w="2737" w:type="dxa"/>
            <w:vAlign w:val="center"/>
          </w:tcPr>
          <w:p w14:paraId="7A2C8754" w14:textId="2A91FCAC" w:rsidR="00ED47D2" w:rsidRPr="00795F17" w:rsidRDefault="00ED47D2" w:rsidP="0044393D">
            <w:pPr>
              <w:pStyle w:val="Teksttabelilewy"/>
            </w:pPr>
            <w:r w:rsidRPr="00795F17">
              <w:t>Pozostałe RZGW</w:t>
            </w:r>
            <w:r w:rsidR="006E27AC" w:rsidRPr="00795F17">
              <w:t xml:space="preserve"> WP</w:t>
            </w:r>
          </w:p>
        </w:tc>
        <w:tc>
          <w:tcPr>
            <w:tcW w:w="3642" w:type="dxa"/>
            <w:vAlign w:val="center"/>
          </w:tcPr>
          <w:p w14:paraId="19509C1A" w14:textId="07017811" w:rsidR="00ED47D2" w:rsidRPr="00795F17" w:rsidRDefault="00ED47D2" w:rsidP="0065243A">
            <w:pPr>
              <w:pStyle w:val="Teksttabelisrodek"/>
            </w:pPr>
            <w:r w:rsidRPr="00795F17">
              <w:t>1</w:t>
            </w:r>
            <w:r w:rsidR="00C817B5" w:rsidRPr="00795F17">
              <w:t> </w:t>
            </w:r>
            <w:r w:rsidRPr="00795F17">
              <w:t>644</w:t>
            </w:r>
          </w:p>
        </w:tc>
        <w:tc>
          <w:tcPr>
            <w:tcW w:w="2688" w:type="dxa"/>
            <w:vAlign w:val="center"/>
          </w:tcPr>
          <w:p w14:paraId="44814B37" w14:textId="74CE5C82" w:rsidR="00ED47D2" w:rsidRPr="00795F17" w:rsidRDefault="00ED47D2" w:rsidP="0065243A">
            <w:pPr>
              <w:pStyle w:val="Teksttabelisrodek"/>
            </w:pPr>
            <w:r w:rsidRPr="00795F17">
              <w:t>58,84</w:t>
            </w:r>
          </w:p>
        </w:tc>
      </w:tr>
      <w:tr w:rsidR="00E41D8B" w:rsidRPr="00795F17" w14:paraId="3D9C07A1" w14:textId="77777777" w:rsidTr="008C27E6">
        <w:trPr>
          <w:trHeight w:val="454"/>
        </w:trPr>
        <w:tc>
          <w:tcPr>
            <w:tcW w:w="2737" w:type="dxa"/>
            <w:shd w:val="clear" w:color="auto" w:fill="BFBFBF" w:themeFill="background1" w:themeFillShade="BF"/>
            <w:vAlign w:val="center"/>
            <w:hideMark/>
          </w:tcPr>
          <w:p w14:paraId="4664A4FD" w14:textId="77777777" w:rsidR="00ED47D2" w:rsidRPr="00795F17" w:rsidRDefault="00ED47D2" w:rsidP="006E27AC">
            <w:pPr>
              <w:pStyle w:val="Teksttabelinaglowek"/>
            </w:pPr>
            <w:r w:rsidRPr="00795F17">
              <w:t xml:space="preserve">Razem </w:t>
            </w:r>
          </w:p>
        </w:tc>
        <w:tc>
          <w:tcPr>
            <w:tcW w:w="3642" w:type="dxa"/>
            <w:shd w:val="clear" w:color="auto" w:fill="BFBFBF" w:themeFill="background1" w:themeFillShade="BF"/>
            <w:vAlign w:val="center"/>
            <w:hideMark/>
          </w:tcPr>
          <w:p w14:paraId="1E1A453F" w14:textId="48069F64" w:rsidR="00ED47D2" w:rsidRPr="00795F17" w:rsidRDefault="00ED47D2" w:rsidP="006E27AC">
            <w:pPr>
              <w:pStyle w:val="Teksttabelinaglowek"/>
            </w:pPr>
            <w:r w:rsidRPr="00795F17">
              <w:t>2</w:t>
            </w:r>
            <w:r w:rsidR="00C817B5" w:rsidRPr="00795F17">
              <w:t> </w:t>
            </w:r>
            <w:r w:rsidRPr="00795F17">
              <w:t>794</w:t>
            </w:r>
          </w:p>
        </w:tc>
        <w:tc>
          <w:tcPr>
            <w:tcW w:w="2688" w:type="dxa"/>
            <w:shd w:val="clear" w:color="auto" w:fill="BFBFBF" w:themeFill="background1" w:themeFillShade="BF"/>
            <w:vAlign w:val="center"/>
            <w:hideMark/>
          </w:tcPr>
          <w:p w14:paraId="70DF325D" w14:textId="2BBFD719" w:rsidR="00ED47D2" w:rsidRPr="00795F17" w:rsidRDefault="00ED47D2" w:rsidP="006E27AC">
            <w:pPr>
              <w:pStyle w:val="Teksttabelinaglowek"/>
            </w:pPr>
            <w:r w:rsidRPr="00795F17">
              <w:t>100,00</w:t>
            </w:r>
          </w:p>
        </w:tc>
      </w:tr>
    </w:tbl>
    <w:p w14:paraId="25DD906B" w14:textId="6A448C91" w:rsidR="00ED47D2" w:rsidRPr="00795F17" w:rsidRDefault="00ED47D2" w:rsidP="0044393D">
      <w:pPr>
        <w:pStyle w:val="rdo"/>
        <w:rPr>
          <w:lang w:eastAsia="zh-CN"/>
        </w:rPr>
      </w:pPr>
      <w:r w:rsidRPr="00795F17">
        <w:rPr>
          <w:lang w:eastAsia="zh-CN"/>
        </w:rPr>
        <w:t xml:space="preserve">Źródło: </w:t>
      </w:r>
      <w:r w:rsidR="00FD7248" w:rsidRPr="00795F17">
        <w:rPr>
          <w:lang w:eastAsia="zh-CN"/>
        </w:rPr>
        <w:t>opracowanie własne</w:t>
      </w:r>
    </w:p>
    <w:p w14:paraId="7A9277A4" w14:textId="1857B75B" w:rsidR="00ED47D2" w:rsidRPr="00795F17" w:rsidRDefault="00ED47D2" w:rsidP="004D7705">
      <w:pPr>
        <w:pStyle w:val="Tabela"/>
      </w:pPr>
      <w:bookmarkStart w:id="807" w:name="_Toc66341960"/>
      <w:bookmarkStart w:id="808" w:name="_Toc105512889"/>
      <w:bookmarkEnd w:id="806"/>
      <w:r w:rsidRPr="00795F17">
        <w:t xml:space="preserve">Tabela </w:t>
      </w:r>
      <w:fldSimple w:instr=" STYLEREF 1 \s ">
        <w:r w:rsidR="001F774D">
          <w:rPr>
            <w:noProof/>
          </w:rPr>
          <w:t>13</w:t>
        </w:r>
      </w:fldSimple>
      <w:r w:rsidR="00BB3B21" w:rsidRPr="00795F17">
        <w:noBreakHyphen/>
      </w:r>
      <w:fldSimple w:instr=" SEQ Tabela \* ARABIC \s 1 ">
        <w:r w:rsidR="001F774D">
          <w:rPr>
            <w:noProof/>
          </w:rPr>
          <w:t>3</w:t>
        </w:r>
      </w:fldSimple>
      <w:r w:rsidR="000B5450">
        <w:rPr>
          <w:noProof/>
        </w:rPr>
        <w:t>.</w:t>
      </w:r>
      <w:r w:rsidRPr="00795F17">
        <w:tab/>
        <w:t>Liczba wniosków taryfowych złożonych do RZGW</w:t>
      </w:r>
      <w:r w:rsidR="0033591C" w:rsidRPr="00795F17">
        <w:t> WP</w:t>
      </w:r>
      <w:r w:rsidRPr="00795F17">
        <w:t xml:space="preserve"> </w:t>
      </w:r>
      <w:r w:rsidR="00672314">
        <w:t>w Bydgoszczy, Gliwicach, Poznaniu, Szczecinie i Wrocławiu</w:t>
      </w:r>
      <w:r w:rsidRPr="00795F17">
        <w:t xml:space="preserve"> </w:t>
      </w:r>
      <w:r w:rsidR="00442820">
        <w:t>według</w:t>
      </w:r>
      <w:r w:rsidRPr="00795F17">
        <w:t xml:space="preserve"> formy organizacyjnej przedsiębiorstwa wodociągowo-kanalizacyjnego występującego z wnioskiem</w:t>
      </w:r>
      <w:bookmarkEnd w:id="807"/>
      <w:bookmarkEnd w:id="8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3"/>
        <w:gridCol w:w="2296"/>
        <w:gridCol w:w="2003"/>
      </w:tblGrid>
      <w:tr w:rsidR="00ED47D2" w:rsidRPr="00795F17" w14:paraId="376C644F" w14:textId="77777777" w:rsidTr="00C34C95">
        <w:trPr>
          <w:trHeight w:val="454"/>
          <w:tblHeader/>
        </w:trPr>
        <w:tc>
          <w:tcPr>
            <w:tcW w:w="2628" w:type="pct"/>
            <w:shd w:val="clear" w:color="auto" w:fill="BFBFBF" w:themeFill="background1" w:themeFillShade="BF"/>
            <w:vAlign w:val="center"/>
            <w:hideMark/>
          </w:tcPr>
          <w:p w14:paraId="6004D440" w14:textId="77777777" w:rsidR="00ED47D2" w:rsidRPr="00795F17" w:rsidRDefault="00ED47D2" w:rsidP="0044393D">
            <w:pPr>
              <w:pStyle w:val="Teksttabelinaglowek"/>
              <w:rPr>
                <w:rFonts w:asciiTheme="majorHAnsi" w:eastAsiaTheme="majorEastAsia" w:hAnsiTheme="majorHAnsi" w:cs="Calibri"/>
                <w:color w:val="262626" w:themeColor="text1" w:themeTint="D9"/>
              </w:rPr>
            </w:pPr>
            <w:r w:rsidRPr="00795F17">
              <w:t xml:space="preserve">Forma organizacyjna </w:t>
            </w:r>
          </w:p>
        </w:tc>
        <w:tc>
          <w:tcPr>
            <w:tcW w:w="1267" w:type="pct"/>
            <w:shd w:val="clear" w:color="auto" w:fill="BFBFBF" w:themeFill="background1" w:themeFillShade="BF"/>
            <w:vAlign w:val="center"/>
            <w:hideMark/>
          </w:tcPr>
          <w:p w14:paraId="344F76E3" w14:textId="77777777" w:rsidR="00ED47D2" w:rsidRPr="00795F17" w:rsidRDefault="00ED47D2" w:rsidP="0044393D">
            <w:pPr>
              <w:pStyle w:val="Teksttabelinaglowek"/>
              <w:rPr>
                <w:rFonts w:asciiTheme="majorHAnsi" w:eastAsiaTheme="majorEastAsia" w:hAnsiTheme="majorHAnsi" w:cs="Calibri"/>
                <w:color w:val="262626" w:themeColor="text1" w:themeTint="D9"/>
              </w:rPr>
            </w:pPr>
            <w:r w:rsidRPr="00795F17">
              <w:t>Liczba wniosków taryfowych</w:t>
            </w:r>
          </w:p>
        </w:tc>
        <w:tc>
          <w:tcPr>
            <w:tcW w:w="1105" w:type="pct"/>
            <w:shd w:val="clear" w:color="auto" w:fill="BFBFBF" w:themeFill="background1" w:themeFillShade="BF"/>
            <w:vAlign w:val="center"/>
            <w:hideMark/>
          </w:tcPr>
          <w:p w14:paraId="6790C1EC" w14:textId="2373FBA0" w:rsidR="00ED47D2" w:rsidRPr="00795F17" w:rsidRDefault="009247CF" w:rsidP="0044393D">
            <w:pPr>
              <w:pStyle w:val="Teksttabelinaglowek"/>
              <w:rPr>
                <w:rFonts w:asciiTheme="majorHAnsi" w:eastAsiaTheme="majorEastAsia" w:hAnsiTheme="majorHAnsi" w:cs="Calibri"/>
                <w:color w:val="262626" w:themeColor="text1" w:themeTint="D9"/>
              </w:rPr>
            </w:pPr>
            <w:r w:rsidRPr="00795F17">
              <w:t>Udział wniosków w</w:t>
            </w:r>
            <w:r w:rsidR="00C42E93">
              <w:t> </w:t>
            </w:r>
            <w:r w:rsidRPr="00795F17">
              <w:t xml:space="preserve">podziale na formę organizacyjną przedsiębiorstwa </w:t>
            </w:r>
            <w:r w:rsidR="00EA4FF5" w:rsidRPr="00795F17">
              <w:t>(%)</w:t>
            </w:r>
          </w:p>
        </w:tc>
      </w:tr>
      <w:tr w:rsidR="00ED47D2" w:rsidRPr="00795F17" w14:paraId="099D2B34" w14:textId="77777777" w:rsidTr="00F45DB0">
        <w:trPr>
          <w:trHeight w:val="454"/>
        </w:trPr>
        <w:tc>
          <w:tcPr>
            <w:tcW w:w="2628" w:type="pct"/>
            <w:vAlign w:val="center"/>
            <w:hideMark/>
          </w:tcPr>
          <w:p w14:paraId="545101EA"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Jednoosobowa działalność gospodarcza</w:t>
            </w:r>
          </w:p>
        </w:tc>
        <w:tc>
          <w:tcPr>
            <w:tcW w:w="1267" w:type="pct"/>
            <w:vAlign w:val="center"/>
            <w:hideMark/>
          </w:tcPr>
          <w:p w14:paraId="42C35855"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6</w:t>
            </w:r>
          </w:p>
        </w:tc>
        <w:tc>
          <w:tcPr>
            <w:tcW w:w="1105" w:type="pct"/>
            <w:vAlign w:val="center"/>
            <w:hideMark/>
          </w:tcPr>
          <w:p w14:paraId="5B20850D" w14:textId="24AECE70"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0,52</w:t>
            </w:r>
          </w:p>
        </w:tc>
      </w:tr>
      <w:tr w:rsidR="00ED47D2" w:rsidRPr="00795F17" w14:paraId="60DA5E49" w14:textId="77777777" w:rsidTr="00F45DB0">
        <w:trPr>
          <w:trHeight w:val="454"/>
        </w:trPr>
        <w:tc>
          <w:tcPr>
            <w:tcW w:w="2628" w:type="pct"/>
            <w:vAlign w:val="center"/>
            <w:hideMark/>
          </w:tcPr>
          <w:p w14:paraId="6D8F1772"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Jednostka budżetowa</w:t>
            </w:r>
          </w:p>
        </w:tc>
        <w:tc>
          <w:tcPr>
            <w:tcW w:w="1267" w:type="pct"/>
            <w:vAlign w:val="center"/>
            <w:hideMark/>
          </w:tcPr>
          <w:p w14:paraId="25835B0A"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61</w:t>
            </w:r>
          </w:p>
        </w:tc>
        <w:tc>
          <w:tcPr>
            <w:tcW w:w="1105" w:type="pct"/>
            <w:vAlign w:val="center"/>
            <w:hideMark/>
          </w:tcPr>
          <w:p w14:paraId="3B485464" w14:textId="61326B43"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5,30</w:t>
            </w:r>
          </w:p>
        </w:tc>
      </w:tr>
      <w:tr w:rsidR="00ED47D2" w:rsidRPr="00795F17" w14:paraId="5C4D7E19" w14:textId="77777777" w:rsidTr="00F45DB0">
        <w:trPr>
          <w:trHeight w:val="454"/>
        </w:trPr>
        <w:tc>
          <w:tcPr>
            <w:tcW w:w="2628" w:type="pct"/>
            <w:vAlign w:val="center"/>
            <w:hideMark/>
          </w:tcPr>
          <w:p w14:paraId="34600E2E"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Jednostka samorządu terytorialnego</w:t>
            </w:r>
          </w:p>
        </w:tc>
        <w:tc>
          <w:tcPr>
            <w:tcW w:w="1267" w:type="pct"/>
            <w:vAlign w:val="center"/>
            <w:hideMark/>
          </w:tcPr>
          <w:p w14:paraId="640CD79F"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164</w:t>
            </w:r>
          </w:p>
        </w:tc>
        <w:tc>
          <w:tcPr>
            <w:tcW w:w="1105" w:type="pct"/>
            <w:vAlign w:val="center"/>
            <w:hideMark/>
          </w:tcPr>
          <w:p w14:paraId="5BB8D197" w14:textId="6649DB9A"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14,26</w:t>
            </w:r>
          </w:p>
        </w:tc>
      </w:tr>
      <w:tr w:rsidR="00ED47D2" w:rsidRPr="00795F17" w14:paraId="5D5A2059" w14:textId="77777777" w:rsidTr="00F45DB0">
        <w:trPr>
          <w:trHeight w:val="454"/>
        </w:trPr>
        <w:tc>
          <w:tcPr>
            <w:tcW w:w="2628" w:type="pct"/>
            <w:vAlign w:val="center"/>
            <w:hideMark/>
          </w:tcPr>
          <w:p w14:paraId="23EB62AB"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Przedsiębiorstwo państwowe</w:t>
            </w:r>
          </w:p>
        </w:tc>
        <w:tc>
          <w:tcPr>
            <w:tcW w:w="1267" w:type="pct"/>
            <w:vAlign w:val="center"/>
            <w:hideMark/>
          </w:tcPr>
          <w:p w14:paraId="18350EF1"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0</w:t>
            </w:r>
          </w:p>
        </w:tc>
        <w:tc>
          <w:tcPr>
            <w:tcW w:w="1105" w:type="pct"/>
            <w:vAlign w:val="center"/>
            <w:hideMark/>
          </w:tcPr>
          <w:p w14:paraId="468AFEB4" w14:textId="3A7AA339"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0,00</w:t>
            </w:r>
          </w:p>
        </w:tc>
      </w:tr>
      <w:tr w:rsidR="00ED47D2" w:rsidRPr="00795F17" w14:paraId="599990EB" w14:textId="77777777" w:rsidTr="00F45DB0">
        <w:trPr>
          <w:trHeight w:val="454"/>
        </w:trPr>
        <w:tc>
          <w:tcPr>
            <w:tcW w:w="2628" w:type="pct"/>
            <w:vAlign w:val="center"/>
            <w:hideMark/>
          </w:tcPr>
          <w:p w14:paraId="6597D1D1"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Samorządowy zakład budżetowy</w:t>
            </w:r>
          </w:p>
        </w:tc>
        <w:tc>
          <w:tcPr>
            <w:tcW w:w="1267" w:type="pct"/>
            <w:vAlign w:val="center"/>
            <w:hideMark/>
          </w:tcPr>
          <w:p w14:paraId="0C5936D1"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205</w:t>
            </w:r>
          </w:p>
        </w:tc>
        <w:tc>
          <w:tcPr>
            <w:tcW w:w="1105" w:type="pct"/>
            <w:vAlign w:val="center"/>
            <w:hideMark/>
          </w:tcPr>
          <w:p w14:paraId="55989504" w14:textId="0DD49A5A"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17,83</w:t>
            </w:r>
          </w:p>
        </w:tc>
      </w:tr>
      <w:tr w:rsidR="00ED47D2" w:rsidRPr="00795F17" w14:paraId="1DFAB153" w14:textId="77777777" w:rsidTr="00F45DB0">
        <w:trPr>
          <w:trHeight w:val="454"/>
        </w:trPr>
        <w:tc>
          <w:tcPr>
            <w:tcW w:w="2628" w:type="pct"/>
            <w:vAlign w:val="center"/>
            <w:hideMark/>
          </w:tcPr>
          <w:p w14:paraId="735978BC"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Spółdzielnia</w:t>
            </w:r>
          </w:p>
        </w:tc>
        <w:tc>
          <w:tcPr>
            <w:tcW w:w="1267" w:type="pct"/>
            <w:vAlign w:val="center"/>
            <w:hideMark/>
          </w:tcPr>
          <w:p w14:paraId="4A79BDAE"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27</w:t>
            </w:r>
          </w:p>
        </w:tc>
        <w:tc>
          <w:tcPr>
            <w:tcW w:w="1105" w:type="pct"/>
            <w:vAlign w:val="center"/>
            <w:hideMark/>
          </w:tcPr>
          <w:p w14:paraId="3B6E9FF1" w14:textId="30321D9A"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2,35</w:t>
            </w:r>
          </w:p>
        </w:tc>
      </w:tr>
      <w:tr w:rsidR="00ED47D2" w:rsidRPr="00795F17" w14:paraId="377EEAB1" w14:textId="77777777" w:rsidTr="00F45DB0">
        <w:trPr>
          <w:trHeight w:val="454"/>
        </w:trPr>
        <w:tc>
          <w:tcPr>
            <w:tcW w:w="2628" w:type="pct"/>
            <w:vAlign w:val="center"/>
            <w:hideMark/>
          </w:tcPr>
          <w:p w14:paraId="35718FA6"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 xml:space="preserve">Spółka akcyjna </w:t>
            </w:r>
          </w:p>
        </w:tc>
        <w:tc>
          <w:tcPr>
            <w:tcW w:w="1267" w:type="pct"/>
            <w:vAlign w:val="center"/>
            <w:hideMark/>
          </w:tcPr>
          <w:p w14:paraId="60A0AC9E"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70</w:t>
            </w:r>
          </w:p>
        </w:tc>
        <w:tc>
          <w:tcPr>
            <w:tcW w:w="1105" w:type="pct"/>
            <w:vAlign w:val="center"/>
            <w:hideMark/>
          </w:tcPr>
          <w:p w14:paraId="0F0B1706" w14:textId="0DA66B8C"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6,09</w:t>
            </w:r>
          </w:p>
        </w:tc>
      </w:tr>
      <w:tr w:rsidR="00ED47D2" w:rsidRPr="00795F17" w14:paraId="3AD9BFC7" w14:textId="77777777" w:rsidTr="00F45DB0">
        <w:trPr>
          <w:trHeight w:val="454"/>
        </w:trPr>
        <w:tc>
          <w:tcPr>
            <w:tcW w:w="2628" w:type="pct"/>
            <w:vAlign w:val="center"/>
            <w:hideMark/>
          </w:tcPr>
          <w:p w14:paraId="1AFE53E8"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Spółka cywilna</w:t>
            </w:r>
          </w:p>
        </w:tc>
        <w:tc>
          <w:tcPr>
            <w:tcW w:w="1267" w:type="pct"/>
            <w:vAlign w:val="center"/>
            <w:hideMark/>
          </w:tcPr>
          <w:p w14:paraId="29E5A953"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1</w:t>
            </w:r>
          </w:p>
        </w:tc>
        <w:tc>
          <w:tcPr>
            <w:tcW w:w="1105" w:type="pct"/>
            <w:vAlign w:val="center"/>
            <w:hideMark/>
          </w:tcPr>
          <w:p w14:paraId="6A9D97E9" w14:textId="4478A21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0,09</w:t>
            </w:r>
          </w:p>
        </w:tc>
      </w:tr>
      <w:tr w:rsidR="00ED47D2" w:rsidRPr="00795F17" w14:paraId="3174FEF8" w14:textId="77777777" w:rsidTr="00F45DB0">
        <w:trPr>
          <w:trHeight w:val="454"/>
        </w:trPr>
        <w:tc>
          <w:tcPr>
            <w:tcW w:w="2628" w:type="pct"/>
            <w:vAlign w:val="center"/>
            <w:hideMark/>
          </w:tcPr>
          <w:p w14:paraId="4E9F11FB"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Spółka jawna</w:t>
            </w:r>
          </w:p>
        </w:tc>
        <w:tc>
          <w:tcPr>
            <w:tcW w:w="1267" w:type="pct"/>
            <w:vAlign w:val="center"/>
            <w:hideMark/>
          </w:tcPr>
          <w:p w14:paraId="4781981C"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2</w:t>
            </w:r>
          </w:p>
        </w:tc>
        <w:tc>
          <w:tcPr>
            <w:tcW w:w="1105" w:type="pct"/>
            <w:vAlign w:val="center"/>
            <w:hideMark/>
          </w:tcPr>
          <w:p w14:paraId="51B5406A" w14:textId="62EF2A1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0,17</w:t>
            </w:r>
          </w:p>
        </w:tc>
      </w:tr>
      <w:tr w:rsidR="00ED47D2" w:rsidRPr="00795F17" w14:paraId="09FB9447" w14:textId="77777777" w:rsidTr="00F45DB0">
        <w:trPr>
          <w:trHeight w:val="454"/>
        </w:trPr>
        <w:tc>
          <w:tcPr>
            <w:tcW w:w="2628" w:type="pct"/>
            <w:vAlign w:val="center"/>
            <w:hideMark/>
          </w:tcPr>
          <w:p w14:paraId="70664F7A"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Spółka wodna</w:t>
            </w:r>
          </w:p>
        </w:tc>
        <w:tc>
          <w:tcPr>
            <w:tcW w:w="1267" w:type="pct"/>
            <w:vAlign w:val="center"/>
            <w:hideMark/>
          </w:tcPr>
          <w:p w14:paraId="2003DDEE"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1</w:t>
            </w:r>
          </w:p>
        </w:tc>
        <w:tc>
          <w:tcPr>
            <w:tcW w:w="1105" w:type="pct"/>
            <w:vAlign w:val="center"/>
            <w:hideMark/>
          </w:tcPr>
          <w:p w14:paraId="4F65A86F" w14:textId="0C2E971D"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0,09</w:t>
            </w:r>
          </w:p>
        </w:tc>
      </w:tr>
      <w:tr w:rsidR="00ED47D2" w:rsidRPr="00795F17" w14:paraId="142CFB53" w14:textId="77777777" w:rsidTr="00F45DB0">
        <w:trPr>
          <w:trHeight w:val="454"/>
        </w:trPr>
        <w:tc>
          <w:tcPr>
            <w:tcW w:w="2628" w:type="pct"/>
            <w:vAlign w:val="center"/>
            <w:hideMark/>
          </w:tcPr>
          <w:p w14:paraId="13741521"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Spółka z ograniczoną odpowiedzialnością</w:t>
            </w:r>
          </w:p>
        </w:tc>
        <w:tc>
          <w:tcPr>
            <w:tcW w:w="1267" w:type="pct"/>
            <w:vAlign w:val="center"/>
            <w:hideMark/>
          </w:tcPr>
          <w:p w14:paraId="675B4257"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600</w:t>
            </w:r>
          </w:p>
        </w:tc>
        <w:tc>
          <w:tcPr>
            <w:tcW w:w="1105" w:type="pct"/>
            <w:vAlign w:val="center"/>
            <w:hideMark/>
          </w:tcPr>
          <w:p w14:paraId="330CFC04" w14:textId="7267F672"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52,17</w:t>
            </w:r>
          </w:p>
        </w:tc>
      </w:tr>
      <w:tr w:rsidR="00ED47D2" w:rsidRPr="00795F17" w14:paraId="6B5B515F" w14:textId="77777777" w:rsidTr="00F45DB0">
        <w:trPr>
          <w:trHeight w:val="454"/>
        </w:trPr>
        <w:tc>
          <w:tcPr>
            <w:tcW w:w="2628" w:type="pct"/>
            <w:vAlign w:val="center"/>
          </w:tcPr>
          <w:p w14:paraId="1CB258C6"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Stowarzyszenie</w:t>
            </w:r>
          </w:p>
        </w:tc>
        <w:tc>
          <w:tcPr>
            <w:tcW w:w="1267" w:type="pct"/>
            <w:vAlign w:val="center"/>
          </w:tcPr>
          <w:p w14:paraId="0104718F"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0</w:t>
            </w:r>
          </w:p>
        </w:tc>
        <w:tc>
          <w:tcPr>
            <w:tcW w:w="1105" w:type="pct"/>
            <w:vAlign w:val="center"/>
          </w:tcPr>
          <w:p w14:paraId="22853552" w14:textId="19665520"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0,00</w:t>
            </w:r>
          </w:p>
        </w:tc>
      </w:tr>
      <w:tr w:rsidR="00ED47D2" w:rsidRPr="00795F17" w14:paraId="4041BD45" w14:textId="77777777" w:rsidTr="00F45DB0">
        <w:trPr>
          <w:trHeight w:val="454"/>
        </w:trPr>
        <w:tc>
          <w:tcPr>
            <w:tcW w:w="2628" w:type="pct"/>
            <w:vAlign w:val="center"/>
          </w:tcPr>
          <w:p w14:paraId="294D92E6"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Związek gmin</w:t>
            </w:r>
          </w:p>
        </w:tc>
        <w:tc>
          <w:tcPr>
            <w:tcW w:w="1267" w:type="pct"/>
            <w:vAlign w:val="center"/>
          </w:tcPr>
          <w:p w14:paraId="20095AA6"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13</w:t>
            </w:r>
          </w:p>
        </w:tc>
        <w:tc>
          <w:tcPr>
            <w:tcW w:w="1105" w:type="pct"/>
            <w:vAlign w:val="center"/>
          </w:tcPr>
          <w:p w14:paraId="21E744A9" w14:textId="05DC5AB6"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1,13</w:t>
            </w:r>
          </w:p>
        </w:tc>
      </w:tr>
      <w:tr w:rsidR="00ED47D2" w:rsidRPr="00795F17" w14:paraId="0FA88391" w14:textId="77777777" w:rsidTr="00C817B5">
        <w:trPr>
          <w:trHeight w:val="454"/>
        </w:trPr>
        <w:tc>
          <w:tcPr>
            <w:tcW w:w="2628" w:type="pct"/>
            <w:shd w:val="clear" w:color="auto" w:fill="BFBFBF" w:themeFill="background1" w:themeFillShade="BF"/>
            <w:vAlign w:val="center"/>
            <w:hideMark/>
          </w:tcPr>
          <w:p w14:paraId="3506CA8C" w14:textId="77777777" w:rsidR="00ED47D2" w:rsidRPr="00795F17" w:rsidRDefault="00ED47D2" w:rsidP="00C817B5">
            <w:pPr>
              <w:pStyle w:val="Teksttabelinaglowek"/>
              <w:rPr>
                <w:rFonts w:asciiTheme="majorHAnsi" w:eastAsiaTheme="majorEastAsia" w:hAnsiTheme="majorHAnsi" w:cs="Calibri"/>
                <w:color w:val="262626" w:themeColor="text1" w:themeTint="D9"/>
              </w:rPr>
            </w:pPr>
            <w:r w:rsidRPr="00795F17">
              <w:t xml:space="preserve">Razem </w:t>
            </w:r>
          </w:p>
        </w:tc>
        <w:tc>
          <w:tcPr>
            <w:tcW w:w="1267" w:type="pct"/>
            <w:shd w:val="clear" w:color="auto" w:fill="BFBFBF" w:themeFill="background1" w:themeFillShade="BF"/>
            <w:vAlign w:val="center"/>
            <w:hideMark/>
          </w:tcPr>
          <w:p w14:paraId="60952577" w14:textId="53BFD132" w:rsidR="00ED47D2" w:rsidRPr="00795F17" w:rsidRDefault="00ED47D2" w:rsidP="00C817B5">
            <w:pPr>
              <w:pStyle w:val="Teksttabelinaglowek"/>
              <w:rPr>
                <w:rFonts w:asciiTheme="majorHAnsi" w:eastAsia="Times New Roman" w:hAnsiTheme="majorHAnsi" w:cs="Calibri"/>
                <w:color w:val="000000"/>
              </w:rPr>
            </w:pPr>
            <w:r w:rsidRPr="00795F17">
              <w:t>1</w:t>
            </w:r>
            <w:r w:rsidR="00C817B5" w:rsidRPr="00795F17">
              <w:t> </w:t>
            </w:r>
            <w:r w:rsidRPr="00795F17">
              <w:t>150</w:t>
            </w:r>
          </w:p>
        </w:tc>
        <w:tc>
          <w:tcPr>
            <w:tcW w:w="1105" w:type="pct"/>
            <w:shd w:val="clear" w:color="auto" w:fill="BFBFBF" w:themeFill="background1" w:themeFillShade="BF"/>
            <w:vAlign w:val="center"/>
            <w:hideMark/>
          </w:tcPr>
          <w:p w14:paraId="54CB2071" w14:textId="7190A06D" w:rsidR="00ED47D2" w:rsidRPr="00795F17" w:rsidRDefault="00ED47D2" w:rsidP="00C817B5">
            <w:pPr>
              <w:pStyle w:val="Teksttabelinaglowek"/>
              <w:rPr>
                <w:rFonts w:asciiTheme="majorHAnsi" w:eastAsia="MS Mincho" w:hAnsiTheme="majorHAnsi" w:cs="Calibri"/>
                <w:color w:val="262626" w:themeColor="text1" w:themeTint="D9"/>
              </w:rPr>
            </w:pPr>
            <w:r w:rsidRPr="00795F17">
              <w:t>100,00</w:t>
            </w:r>
          </w:p>
        </w:tc>
      </w:tr>
    </w:tbl>
    <w:p w14:paraId="4ECC1676" w14:textId="192F3A1C" w:rsidR="00ED47D2" w:rsidRPr="00795F17" w:rsidRDefault="00ED47D2" w:rsidP="0044393D">
      <w:pPr>
        <w:pStyle w:val="rdo"/>
        <w:rPr>
          <w:lang w:eastAsia="zh-CN"/>
        </w:rPr>
      </w:pPr>
      <w:r w:rsidRPr="00795F17">
        <w:rPr>
          <w:lang w:eastAsia="zh-CN"/>
        </w:rPr>
        <w:t xml:space="preserve">Źródło: </w:t>
      </w:r>
      <w:r w:rsidR="00FD7248" w:rsidRPr="00795F17">
        <w:rPr>
          <w:lang w:eastAsia="zh-CN"/>
        </w:rPr>
        <w:t>opracowanie własne</w:t>
      </w:r>
    </w:p>
    <w:p w14:paraId="06867CF8" w14:textId="7821EBC2" w:rsidR="00ED47D2" w:rsidRPr="00795F17" w:rsidRDefault="00ED47D2" w:rsidP="004D7705">
      <w:pPr>
        <w:pStyle w:val="Tabela"/>
      </w:pPr>
      <w:bookmarkStart w:id="809" w:name="_Toc66341961"/>
      <w:bookmarkStart w:id="810" w:name="_Toc105512890"/>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1F774D">
        <w:rPr>
          <w:bCs/>
          <w:noProof/>
        </w:rPr>
        <w:t>13</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1F774D">
        <w:rPr>
          <w:bCs/>
          <w:noProof/>
        </w:rPr>
        <w:t>4</w:t>
      </w:r>
      <w:r w:rsidR="00BB3B21" w:rsidRPr="00795F17">
        <w:rPr>
          <w:bCs/>
        </w:rPr>
        <w:fldChar w:fldCharType="end"/>
      </w:r>
      <w:r w:rsidR="000B5450">
        <w:rPr>
          <w:bCs/>
        </w:rPr>
        <w:t>.</w:t>
      </w:r>
      <w:r w:rsidR="00182A26" w:rsidRPr="00795F17">
        <w:rPr>
          <w:bCs/>
        </w:rPr>
        <w:tab/>
      </w:r>
      <w:r w:rsidRPr="00795F17">
        <w:t xml:space="preserve">Liczba wniosków taryfowych </w:t>
      </w:r>
      <w:r w:rsidRPr="00795F17">
        <w:rPr>
          <w:rFonts w:cs="Calibri"/>
        </w:rPr>
        <w:t xml:space="preserve">złożonych do RZGW </w:t>
      </w:r>
      <w:r w:rsidR="0033591C" w:rsidRPr="00795F17">
        <w:rPr>
          <w:rFonts w:cs="Calibri"/>
        </w:rPr>
        <w:t xml:space="preserve">WP </w:t>
      </w:r>
      <w:r w:rsidR="00672314">
        <w:t>w Bydgoszczy, Gliwicach, Poznaniu, Szczecinie i Wrocławiu</w:t>
      </w:r>
      <w:r w:rsidRPr="00795F17">
        <w:t xml:space="preserve"> </w:t>
      </w:r>
      <w:r w:rsidR="00442820">
        <w:t>według</w:t>
      </w:r>
      <w:r w:rsidRPr="00795F17">
        <w:t xml:space="preserve"> rodzaju działalności przedsiębiorstwa</w:t>
      </w:r>
      <w:bookmarkEnd w:id="809"/>
      <w:bookmarkEnd w:id="8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0"/>
        <w:gridCol w:w="3880"/>
        <w:gridCol w:w="1252"/>
      </w:tblGrid>
      <w:tr w:rsidR="00ED47D2" w:rsidRPr="00795F17" w14:paraId="5FD09D5E" w14:textId="77777777" w:rsidTr="00C34C95">
        <w:trPr>
          <w:cantSplit/>
          <w:trHeight w:val="454"/>
          <w:tblHeader/>
        </w:trPr>
        <w:tc>
          <w:tcPr>
            <w:tcW w:w="2168" w:type="pct"/>
            <w:shd w:val="clear" w:color="auto" w:fill="BFBFBF" w:themeFill="background1" w:themeFillShade="BF"/>
            <w:vAlign w:val="center"/>
            <w:hideMark/>
          </w:tcPr>
          <w:p w14:paraId="7074F03C" w14:textId="77777777" w:rsidR="00ED47D2" w:rsidRPr="00795F17" w:rsidRDefault="00ED47D2" w:rsidP="0044393D">
            <w:pPr>
              <w:pStyle w:val="Teksttabelinaglowek"/>
              <w:rPr>
                <w:rFonts w:asciiTheme="majorHAnsi" w:eastAsiaTheme="majorEastAsia" w:hAnsiTheme="majorHAnsi" w:cstheme="majorBidi"/>
                <w:color w:val="262626" w:themeColor="text1" w:themeTint="D9"/>
              </w:rPr>
            </w:pPr>
            <w:r w:rsidRPr="00795F17">
              <w:t>Rodzaj działalności</w:t>
            </w:r>
          </w:p>
        </w:tc>
        <w:tc>
          <w:tcPr>
            <w:tcW w:w="2141" w:type="pct"/>
            <w:shd w:val="clear" w:color="auto" w:fill="BFBFBF" w:themeFill="background1" w:themeFillShade="BF"/>
            <w:vAlign w:val="center"/>
            <w:hideMark/>
          </w:tcPr>
          <w:p w14:paraId="51312C33" w14:textId="77777777" w:rsidR="00ED47D2" w:rsidRPr="00795F17" w:rsidRDefault="00ED47D2" w:rsidP="0044393D">
            <w:pPr>
              <w:pStyle w:val="Teksttabelinaglowek"/>
              <w:rPr>
                <w:rFonts w:asciiTheme="majorHAnsi" w:eastAsiaTheme="majorEastAsia" w:hAnsiTheme="majorHAnsi" w:cstheme="majorBidi"/>
                <w:color w:val="262626" w:themeColor="text1" w:themeTint="D9"/>
              </w:rPr>
            </w:pPr>
            <w:r w:rsidRPr="00795F17">
              <w:t>Liczba zweryfikowanych wniosków</w:t>
            </w:r>
          </w:p>
        </w:tc>
        <w:tc>
          <w:tcPr>
            <w:tcW w:w="692" w:type="pct"/>
            <w:shd w:val="clear" w:color="auto" w:fill="BFBFBF" w:themeFill="background1" w:themeFillShade="BF"/>
            <w:vAlign w:val="center"/>
            <w:hideMark/>
          </w:tcPr>
          <w:p w14:paraId="66798AD9" w14:textId="464B739A" w:rsidR="00ED47D2" w:rsidRPr="00795F17" w:rsidRDefault="009247CF" w:rsidP="0044393D">
            <w:pPr>
              <w:pStyle w:val="Teksttabelinaglowek"/>
              <w:rPr>
                <w:rFonts w:asciiTheme="majorHAnsi" w:eastAsiaTheme="majorEastAsia" w:hAnsiTheme="majorHAnsi" w:cstheme="majorBidi"/>
                <w:color w:val="262626" w:themeColor="text1" w:themeTint="D9"/>
              </w:rPr>
            </w:pPr>
            <w:r w:rsidRPr="00795F17">
              <w:t>Udział (%)</w:t>
            </w:r>
          </w:p>
        </w:tc>
      </w:tr>
      <w:tr w:rsidR="00ED47D2" w:rsidRPr="00795F17" w14:paraId="3374C572" w14:textId="77777777" w:rsidTr="00870E85">
        <w:trPr>
          <w:trHeight w:val="454"/>
        </w:trPr>
        <w:tc>
          <w:tcPr>
            <w:tcW w:w="2168" w:type="pct"/>
            <w:vAlign w:val="center"/>
            <w:hideMark/>
          </w:tcPr>
          <w:p w14:paraId="6132069F" w14:textId="77777777" w:rsidR="00ED47D2" w:rsidRPr="00795F17" w:rsidRDefault="00ED47D2" w:rsidP="0044393D">
            <w:pPr>
              <w:pStyle w:val="Teksttabelilewy"/>
              <w:rPr>
                <w:rFonts w:asciiTheme="majorHAnsi" w:eastAsiaTheme="majorEastAsia" w:hAnsiTheme="majorHAnsi" w:cstheme="majorBidi"/>
                <w:color w:val="272727" w:themeColor="text1" w:themeTint="D8"/>
              </w:rPr>
            </w:pPr>
            <w:r w:rsidRPr="00795F17">
              <w:t>Odbiór ścieków</w:t>
            </w:r>
          </w:p>
        </w:tc>
        <w:tc>
          <w:tcPr>
            <w:tcW w:w="2141" w:type="pct"/>
            <w:vAlign w:val="center"/>
            <w:hideMark/>
          </w:tcPr>
          <w:p w14:paraId="5734FC0B" w14:textId="77777777" w:rsidR="00ED47D2" w:rsidRPr="00795F17" w:rsidRDefault="00ED47D2" w:rsidP="0065243A">
            <w:pPr>
              <w:pStyle w:val="Teksttabelisrodek"/>
              <w:rPr>
                <w:rFonts w:asciiTheme="majorHAnsi" w:eastAsiaTheme="majorEastAsia" w:hAnsiTheme="majorHAnsi" w:cstheme="majorBidi"/>
                <w:color w:val="272727" w:themeColor="text1" w:themeTint="D8"/>
              </w:rPr>
            </w:pPr>
            <w:r w:rsidRPr="00795F17">
              <w:t>83</w:t>
            </w:r>
          </w:p>
        </w:tc>
        <w:tc>
          <w:tcPr>
            <w:tcW w:w="692" w:type="pct"/>
            <w:vAlign w:val="center"/>
            <w:hideMark/>
          </w:tcPr>
          <w:p w14:paraId="26B61C9F" w14:textId="1E86DD96" w:rsidR="00ED47D2" w:rsidRPr="00795F17" w:rsidRDefault="00ED47D2" w:rsidP="0065243A">
            <w:pPr>
              <w:pStyle w:val="Teksttabelisrodek"/>
              <w:rPr>
                <w:rFonts w:asciiTheme="majorHAnsi" w:eastAsiaTheme="majorEastAsia" w:hAnsiTheme="majorHAnsi" w:cstheme="majorBidi"/>
                <w:color w:val="272727" w:themeColor="text1" w:themeTint="D8"/>
              </w:rPr>
            </w:pPr>
            <w:r w:rsidRPr="00795F17">
              <w:t>7,22</w:t>
            </w:r>
          </w:p>
        </w:tc>
      </w:tr>
      <w:tr w:rsidR="00ED47D2" w:rsidRPr="00795F17" w14:paraId="1F849D3E" w14:textId="77777777" w:rsidTr="00870E85">
        <w:trPr>
          <w:trHeight w:val="454"/>
        </w:trPr>
        <w:tc>
          <w:tcPr>
            <w:tcW w:w="2168" w:type="pct"/>
            <w:vAlign w:val="center"/>
            <w:hideMark/>
          </w:tcPr>
          <w:p w14:paraId="21C77D68" w14:textId="77777777" w:rsidR="00ED47D2" w:rsidRPr="00795F17" w:rsidRDefault="00ED47D2" w:rsidP="0044393D">
            <w:pPr>
              <w:pStyle w:val="Teksttabelilewy"/>
              <w:rPr>
                <w:rFonts w:asciiTheme="majorHAnsi" w:eastAsiaTheme="majorEastAsia" w:hAnsiTheme="majorHAnsi" w:cstheme="majorBidi"/>
                <w:color w:val="272727" w:themeColor="text1" w:themeTint="D8"/>
              </w:rPr>
            </w:pPr>
            <w:r w:rsidRPr="00795F17">
              <w:t>Zaopatrzenie w wodę</w:t>
            </w:r>
          </w:p>
        </w:tc>
        <w:tc>
          <w:tcPr>
            <w:tcW w:w="2141" w:type="pct"/>
            <w:vAlign w:val="center"/>
            <w:hideMark/>
          </w:tcPr>
          <w:p w14:paraId="7D22D432" w14:textId="77777777" w:rsidR="00ED47D2" w:rsidRPr="00795F17" w:rsidRDefault="00ED47D2" w:rsidP="0065243A">
            <w:pPr>
              <w:pStyle w:val="Teksttabelisrodek"/>
              <w:rPr>
                <w:rFonts w:asciiTheme="majorHAnsi" w:eastAsiaTheme="majorEastAsia" w:hAnsiTheme="majorHAnsi" w:cstheme="majorBidi"/>
                <w:color w:val="272727" w:themeColor="text1" w:themeTint="D8"/>
              </w:rPr>
            </w:pPr>
            <w:r w:rsidRPr="00795F17">
              <w:t>143</w:t>
            </w:r>
          </w:p>
        </w:tc>
        <w:tc>
          <w:tcPr>
            <w:tcW w:w="692" w:type="pct"/>
            <w:vAlign w:val="center"/>
            <w:hideMark/>
          </w:tcPr>
          <w:p w14:paraId="3C338510" w14:textId="36EF873A" w:rsidR="00ED47D2" w:rsidRPr="00795F17" w:rsidRDefault="00ED47D2" w:rsidP="0065243A">
            <w:pPr>
              <w:pStyle w:val="Teksttabelisrodek"/>
              <w:rPr>
                <w:rFonts w:asciiTheme="majorHAnsi" w:eastAsiaTheme="majorEastAsia" w:hAnsiTheme="majorHAnsi" w:cstheme="majorBidi"/>
                <w:color w:val="272727" w:themeColor="text1" w:themeTint="D8"/>
              </w:rPr>
            </w:pPr>
            <w:r w:rsidRPr="00795F17">
              <w:t>12,43</w:t>
            </w:r>
          </w:p>
        </w:tc>
      </w:tr>
      <w:tr w:rsidR="00ED47D2" w:rsidRPr="00795F17" w14:paraId="1BAEEE08" w14:textId="77777777" w:rsidTr="00870E85">
        <w:trPr>
          <w:trHeight w:val="454"/>
        </w:trPr>
        <w:tc>
          <w:tcPr>
            <w:tcW w:w="2168" w:type="pct"/>
            <w:vAlign w:val="center"/>
            <w:hideMark/>
          </w:tcPr>
          <w:p w14:paraId="3D91129D" w14:textId="77777777" w:rsidR="00ED47D2" w:rsidRPr="00795F17" w:rsidRDefault="00ED47D2" w:rsidP="0044393D">
            <w:pPr>
              <w:pStyle w:val="Teksttabelilewy"/>
              <w:rPr>
                <w:rFonts w:asciiTheme="majorHAnsi" w:eastAsiaTheme="majorEastAsia" w:hAnsiTheme="majorHAnsi" w:cstheme="majorBidi"/>
                <w:color w:val="272727" w:themeColor="text1" w:themeTint="D8"/>
              </w:rPr>
            </w:pPr>
            <w:r w:rsidRPr="00795F17">
              <w:t>Zaopatrzenie w wodę i odbiór ścieków</w:t>
            </w:r>
          </w:p>
        </w:tc>
        <w:tc>
          <w:tcPr>
            <w:tcW w:w="2141" w:type="pct"/>
            <w:vAlign w:val="center"/>
            <w:hideMark/>
          </w:tcPr>
          <w:p w14:paraId="0183E8A1" w14:textId="77777777" w:rsidR="00ED47D2" w:rsidRPr="00795F17" w:rsidRDefault="00ED47D2" w:rsidP="0065243A">
            <w:pPr>
              <w:pStyle w:val="Teksttabelisrodek"/>
              <w:rPr>
                <w:rFonts w:asciiTheme="majorHAnsi" w:eastAsiaTheme="majorEastAsia" w:hAnsiTheme="majorHAnsi" w:cstheme="majorBidi"/>
                <w:color w:val="272727" w:themeColor="text1" w:themeTint="D8"/>
              </w:rPr>
            </w:pPr>
            <w:r w:rsidRPr="00795F17">
              <w:t>924</w:t>
            </w:r>
          </w:p>
        </w:tc>
        <w:tc>
          <w:tcPr>
            <w:tcW w:w="692" w:type="pct"/>
            <w:vAlign w:val="center"/>
            <w:hideMark/>
          </w:tcPr>
          <w:p w14:paraId="3C8028ED" w14:textId="1E239DB4" w:rsidR="00ED47D2" w:rsidRPr="00795F17" w:rsidRDefault="00ED47D2" w:rsidP="0065243A">
            <w:pPr>
              <w:pStyle w:val="Teksttabelisrodek"/>
              <w:rPr>
                <w:rFonts w:asciiTheme="majorHAnsi" w:eastAsiaTheme="majorEastAsia" w:hAnsiTheme="majorHAnsi" w:cstheme="majorBidi"/>
                <w:color w:val="272727" w:themeColor="text1" w:themeTint="D8"/>
              </w:rPr>
            </w:pPr>
            <w:r w:rsidRPr="00795F17">
              <w:t>80,35</w:t>
            </w:r>
          </w:p>
        </w:tc>
      </w:tr>
      <w:tr w:rsidR="00ED47D2" w:rsidRPr="00795F17" w14:paraId="13186297" w14:textId="77777777" w:rsidTr="00C817B5">
        <w:trPr>
          <w:trHeight w:val="454"/>
        </w:trPr>
        <w:tc>
          <w:tcPr>
            <w:tcW w:w="2168" w:type="pct"/>
            <w:shd w:val="clear" w:color="auto" w:fill="BFBFBF" w:themeFill="background1" w:themeFillShade="BF"/>
            <w:vAlign w:val="center"/>
            <w:hideMark/>
          </w:tcPr>
          <w:p w14:paraId="20EE775C" w14:textId="77777777" w:rsidR="00ED47D2" w:rsidRPr="00795F17" w:rsidRDefault="00ED47D2" w:rsidP="00C817B5">
            <w:pPr>
              <w:pStyle w:val="Teksttabelinaglowek"/>
              <w:rPr>
                <w:rFonts w:asciiTheme="majorHAnsi" w:eastAsiaTheme="majorEastAsia" w:hAnsiTheme="majorHAnsi" w:cstheme="majorBidi"/>
                <w:color w:val="272727" w:themeColor="text1" w:themeTint="D8"/>
              </w:rPr>
            </w:pPr>
            <w:r w:rsidRPr="00795F17">
              <w:t xml:space="preserve">Razem </w:t>
            </w:r>
          </w:p>
        </w:tc>
        <w:tc>
          <w:tcPr>
            <w:tcW w:w="2141" w:type="pct"/>
            <w:shd w:val="clear" w:color="auto" w:fill="BFBFBF" w:themeFill="background1" w:themeFillShade="BF"/>
            <w:vAlign w:val="center"/>
            <w:hideMark/>
          </w:tcPr>
          <w:p w14:paraId="7765BEB7" w14:textId="77777777" w:rsidR="00ED47D2" w:rsidRPr="00795F17" w:rsidRDefault="00ED47D2" w:rsidP="00C817B5">
            <w:pPr>
              <w:pStyle w:val="Teksttabelinaglowek"/>
              <w:rPr>
                <w:rFonts w:asciiTheme="majorHAnsi" w:eastAsiaTheme="majorEastAsia" w:hAnsiTheme="majorHAnsi" w:cstheme="majorBidi"/>
                <w:color w:val="272727" w:themeColor="text1" w:themeTint="D8"/>
              </w:rPr>
            </w:pPr>
            <w:r w:rsidRPr="00795F17">
              <w:t>1150</w:t>
            </w:r>
          </w:p>
        </w:tc>
        <w:tc>
          <w:tcPr>
            <w:tcW w:w="692" w:type="pct"/>
            <w:shd w:val="clear" w:color="auto" w:fill="BFBFBF" w:themeFill="background1" w:themeFillShade="BF"/>
            <w:vAlign w:val="center"/>
            <w:hideMark/>
          </w:tcPr>
          <w:p w14:paraId="15525876" w14:textId="5765CFDE" w:rsidR="00ED47D2" w:rsidRPr="00795F17" w:rsidRDefault="00ED47D2" w:rsidP="00C817B5">
            <w:pPr>
              <w:pStyle w:val="Teksttabelinaglowek"/>
              <w:rPr>
                <w:rFonts w:asciiTheme="majorHAnsi" w:eastAsiaTheme="majorEastAsia" w:hAnsiTheme="majorHAnsi" w:cstheme="majorBidi"/>
                <w:color w:val="272727" w:themeColor="text1" w:themeTint="D8"/>
              </w:rPr>
            </w:pPr>
            <w:r w:rsidRPr="00795F17">
              <w:t>100,00</w:t>
            </w:r>
          </w:p>
        </w:tc>
      </w:tr>
    </w:tbl>
    <w:p w14:paraId="298AE56B" w14:textId="4F1F31B7" w:rsidR="00ED47D2" w:rsidRPr="00795F17" w:rsidRDefault="00ED47D2" w:rsidP="0044393D">
      <w:pPr>
        <w:pStyle w:val="rdo"/>
      </w:pPr>
      <w:r w:rsidRPr="00795F17">
        <w:t xml:space="preserve">Źródło: </w:t>
      </w:r>
      <w:r w:rsidR="00FD7248" w:rsidRPr="00795F17">
        <w:t>opracowanie własne</w:t>
      </w:r>
    </w:p>
    <w:p w14:paraId="3D8E35A0" w14:textId="11F2892D" w:rsidR="00ED47D2" w:rsidRPr="00795F17" w:rsidRDefault="00ED47D2" w:rsidP="0044393D">
      <w:pPr>
        <w:rPr>
          <w:rFonts w:eastAsia="MS Mincho"/>
          <w:lang w:eastAsia="pl-PL"/>
        </w:rPr>
      </w:pPr>
      <w:r w:rsidRPr="00795F17">
        <w:t>Podsumowując, system ustalania taryf za zbiorowe zaopatrzenie w wodę i zbiorowe odprowadzanie ścieków z uwzględnieniem kosztów związanych ze świadczeniem usług, zmian warunków ekonomicznych oraz wielkości usług i warunków ich świadczenia, a także kosztów wynikających z</w:t>
      </w:r>
      <w:r w:rsidR="00FF0421" w:rsidRPr="00795F17">
        <w:t> </w:t>
      </w:r>
      <w:r w:rsidRPr="00795F17">
        <w:t>planowanych wydatków inwestycyjnych został w III cyklu planistycznym zmodyfikowany pod kątem spełnienia zasady zwrotu kosztów usług wodnych.</w:t>
      </w:r>
    </w:p>
    <w:p w14:paraId="13AC0322" w14:textId="77777777" w:rsidR="00ED47D2" w:rsidRPr="00795F17" w:rsidRDefault="00ED47D2" w:rsidP="00C53C86">
      <w:pPr>
        <w:pStyle w:val="Nagwek3"/>
      </w:pPr>
      <w:bookmarkStart w:id="811" w:name="_Toc473375878"/>
      <w:bookmarkStart w:id="812" w:name="_Toc105512713"/>
      <w:r w:rsidRPr="00795F17">
        <w:t>Planowane działania</w:t>
      </w:r>
      <w:bookmarkEnd w:id="811"/>
      <w:bookmarkEnd w:id="812"/>
    </w:p>
    <w:p w14:paraId="4900F82E" w14:textId="579EC6FE" w:rsidR="00ED47D2" w:rsidRPr="00795F17" w:rsidRDefault="00ED47D2" w:rsidP="0044393D">
      <w:r w:rsidRPr="00795F17">
        <w:t>Wyszczególnione i omówione powyżej działania są rekomendowane do kontynuowania i powinny być także podjęte w ramach IV cyklu planistycznego (2022</w:t>
      </w:r>
      <w:r w:rsidR="00112057">
        <w:t>–</w:t>
      </w:r>
      <w:r w:rsidRPr="00795F17">
        <w:t>2027). Działania te zostały zaproponowane i</w:t>
      </w:r>
      <w:r w:rsidR="00FF0421" w:rsidRPr="00795F17">
        <w:t> </w:t>
      </w:r>
      <w:r w:rsidRPr="00795F17">
        <w:t xml:space="preserve">były także ujęte w katalogu działań krajowych w ramach III cyklu planistycznego. Mają one charakter ciągły, a ich ujęcie w katalogu działań krajowych w ramach IV cyklu planistycznego </w:t>
      </w:r>
      <w:r w:rsidR="00305444" w:rsidRPr="00795F17">
        <w:t>(tabela 13-5)</w:t>
      </w:r>
      <w:r w:rsidR="002B2F46" w:rsidRPr="00795F17">
        <w:t xml:space="preserve"> </w:t>
      </w:r>
      <w:r w:rsidRPr="00795F17">
        <w:t>zapewnia, iż zasada zwrotu kosztów usług wodnych jest i będzie wdrażana w sposób trwały zgodnie z</w:t>
      </w:r>
      <w:r w:rsidR="00C817B5" w:rsidRPr="00795F17">
        <w:t> </w:t>
      </w:r>
      <w:r w:rsidRPr="00795F17">
        <w:t>wymogami RDW w</w:t>
      </w:r>
      <w:r w:rsidR="00FF0421" w:rsidRPr="00795F17">
        <w:t> </w:t>
      </w:r>
      <w:r w:rsidRPr="00795F17">
        <w:t>dwóch zasadniczych obszarach funkcjonalnych:</w:t>
      </w:r>
    </w:p>
    <w:p w14:paraId="453DEBD4" w14:textId="0144D545" w:rsidR="00ED47D2" w:rsidRPr="00795F17" w:rsidRDefault="00112057" w:rsidP="00117E86">
      <w:pPr>
        <w:pStyle w:val="Listapunktowana2"/>
      </w:pPr>
      <w:r>
        <w:t>p</w:t>
      </w:r>
      <w:r w:rsidR="00ED47D2" w:rsidRPr="00795F17">
        <w:t>rzez przedsiębiorstwa wodociągowo-kanalizacyjne, świadczące usługi w zakresie zbiorowego dostarczania wody i odprowadzania ścieków dla cały czas rosnącej grupy odbiorców;</w:t>
      </w:r>
    </w:p>
    <w:p w14:paraId="738D0C2A" w14:textId="48B6671F" w:rsidR="00ED47D2" w:rsidRPr="00795F17" w:rsidRDefault="00112057" w:rsidP="00117E86">
      <w:pPr>
        <w:pStyle w:val="Listapunktowana2"/>
      </w:pPr>
      <w:r>
        <w:t>p</w:t>
      </w:r>
      <w:r w:rsidR="00ED47D2" w:rsidRPr="00795F17">
        <w:t>rzez administratora cieku w zakresie administrowanych rzek i obiektów.</w:t>
      </w:r>
    </w:p>
    <w:p w14:paraId="05189388" w14:textId="77777777" w:rsidR="00ED47D2" w:rsidRPr="00795F17" w:rsidRDefault="00ED47D2" w:rsidP="0084311B">
      <w:pPr>
        <w:spacing w:after="0"/>
      </w:pPr>
      <w:r w:rsidRPr="00795F17">
        <w:t xml:space="preserve">Zgodnie z przepisami art. 9 RDW państwa członkowskie powinny zapewnić, aby usługi wodne były realizowane z uwzględnieniem zasady zwrotu ich kosztów. Ujęcie ww. działań jako działań bezpośrednio wspierających realizację ww. zasady jest więc konieczne i uzasadnione. </w:t>
      </w:r>
    </w:p>
    <w:p w14:paraId="33B4FF7A" w14:textId="485E592D" w:rsidR="00ED47D2" w:rsidRPr="00795F17" w:rsidRDefault="00FF0421" w:rsidP="004D7705">
      <w:pPr>
        <w:pStyle w:val="Tabela"/>
      </w:pPr>
      <w:bookmarkStart w:id="813" w:name="_Toc66341962"/>
      <w:bookmarkStart w:id="814" w:name="_Toc105512891"/>
      <w:r w:rsidRPr="00795F17">
        <w:t xml:space="preserve">Tabela </w:t>
      </w:r>
      <w:fldSimple w:instr=" STYLEREF 1 \s ">
        <w:r w:rsidR="001F774D">
          <w:rPr>
            <w:noProof/>
          </w:rPr>
          <w:t>13</w:t>
        </w:r>
      </w:fldSimple>
      <w:r w:rsidR="00BB3B21" w:rsidRPr="00795F17">
        <w:noBreakHyphen/>
      </w:r>
      <w:fldSimple w:instr=" SEQ Tabela \* ARABIC \s 1 ">
        <w:r w:rsidR="001F774D">
          <w:rPr>
            <w:noProof/>
          </w:rPr>
          <w:t>5</w:t>
        </w:r>
      </w:fldSimple>
      <w:r w:rsidR="000B5450">
        <w:rPr>
          <w:noProof/>
        </w:rPr>
        <w:t>.</w:t>
      </w:r>
      <w:r w:rsidR="00182A26" w:rsidRPr="00795F17">
        <w:tab/>
      </w:r>
      <w:r w:rsidR="00ED47D2" w:rsidRPr="00795F17">
        <w:rPr>
          <w:szCs w:val="20"/>
        </w:rPr>
        <w:t>Działania planowane na IV cykl planistyczny (2022</w:t>
      </w:r>
      <w:r w:rsidR="00112057">
        <w:rPr>
          <w:szCs w:val="20"/>
        </w:rPr>
        <w:t>–</w:t>
      </w:r>
      <w:r w:rsidR="00ED47D2" w:rsidRPr="00795F17">
        <w:rPr>
          <w:szCs w:val="20"/>
        </w:rPr>
        <w:t>2027</w:t>
      </w:r>
      <w:bookmarkEnd w:id="813"/>
      <w:r w:rsidR="00ED47D2" w:rsidRPr="00795F17">
        <w:rPr>
          <w:szCs w:val="20"/>
        </w:rPr>
        <w:t>)</w:t>
      </w:r>
      <w:r w:rsidR="00A762CD">
        <w:rPr>
          <w:szCs w:val="20"/>
        </w:rPr>
        <w:t>.</w:t>
      </w:r>
      <w:bookmarkEnd w:id="8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2"/>
        <w:gridCol w:w="2128"/>
        <w:gridCol w:w="2262"/>
      </w:tblGrid>
      <w:tr w:rsidR="004E1029" w:rsidRPr="00795F17" w14:paraId="44BCF781" w14:textId="1F21E964" w:rsidTr="00A94587">
        <w:trPr>
          <w:trHeight w:val="454"/>
          <w:tblHeader/>
        </w:trPr>
        <w:tc>
          <w:tcPr>
            <w:tcW w:w="2578" w:type="pct"/>
            <w:shd w:val="clear" w:color="auto" w:fill="BFBFBF" w:themeFill="background1" w:themeFillShade="BF"/>
            <w:vAlign w:val="center"/>
            <w:hideMark/>
          </w:tcPr>
          <w:p w14:paraId="41B9C4DC" w14:textId="77777777" w:rsidR="004E1029" w:rsidRPr="00795F17" w:rsidRDefault="004E1029" w:rsidP="0084311B">
            <w:pPr>
              <w:pStyle w:val="Teksttabelinaglowek"/>
              <w:spacing w:after="0"/>
              <w:rPr>
                <w:rFonts w:asciiTheme="majorHAnsi" w:eastAsia="Times New Roman" w:hAnsiTheme="majorHAnsi" w:cs="Arial"/>
                <w:color w:val="262626" w:themeColor="text1" w:themeTint="D9"/>
              </w:rPr>
            </w:pPr>
            <w:r w:rsidRPr="00795F17">
              <w:t>Działanie</w:t>
            </w:r>
          </w:p>
        </w:tc>
        <w:tc>
          <w:tcPr>
            <w:tcW w:w="1174" w:type="pct"/>
            <w:shd w:val="clear" w:color="auto" w:fill="BFBFBF" w:themeFill="background1" w:themeFillShade="BF"/>
            <w:vAlign w:val="center"/>
            <w:hideMark/>
          </w:tcPr>
          <w:p w14:paraId="0EC20816" w14:textId="77777777" w:rsidR="004E1029" w:rsidRPr="00795F17" w:rsidRDefault="004E1029" w:rsidP="0084311B">
            <w:pPr>
              <w:pStyle w:val="Teksttabelinaglowek"/>
              <w:spacing w:after="0"/>
              <w:rPr>
                <w:rFonts w:asciiTheme="majorHAnsi" w:eastAsia="Times New Roman" w:hAnsiTheme="majorHAnsi" w:cs="Arial"/>
                <w:color w:val="262626" w:themeColor="text1" w:themeTint="D9"/>
              </w:rPr>
            </w:pPr>
            <w:r w:rsidRPr="00795F17">
              <w:t>Jednostka odpowiedzialna</w:t>
            </w:r>
          </w:p>
        </w:tc>
        <w:tc>
          <w:tcPr>
            <w:tcW w:w="1248" w:type="pct"/>
            <w:shd w:val="clear" w:color="auto" w:fill="BFBFBF" w:themeFill="background1" w:themeFillShade="BF"/>
            <w:vAlign w:val="center"/>
          </w:tcPr>
          <w:p w14:paraId="73036A28" w14:textId="7AE4C637" w:rsidR="004E1029" w:rsidRPr="00795F17" w:rsidRDefault="004E1029" w:rsidP="0084311B">
            <w:pPr>
              <w:pStyle w:val="Teksttabelinaglowek"/>
              <w:spacing w:after="0"/>
            </w:pPr>
            <w:r w:rsidRPr="00795F17">
              <w:t>Harmonogram</w:t>
            </w:r>
          </w:p>
        </w:tc>
      </w:tr>
      <w:tr w:rsidR="004E1029" w:rsidRPr="00795F17" w14:paraId="7F9777AB" w14:textId="650C6FA6" w:rsidTr="00A94587">
        <w:trPr>
          <w:trHeight w:val="454"/>
        </w:trPr>
        <w:tc>
          <w:tcPr>
            <w:tcW w:w="2578" w:type="pct"/>
            <w:vAlign w:val="center"/>
            <w:hideMark/>
          </w:tcPr>
          <w:p w14:paraId="206FDC98" w14:textId="3893E72B" w:rsidR="004E1029" w:rsidRPr="00795F17" w:rsidRDefault="004E1029" w:rsidP="008C27E6">
            <w:pPr>
              <w:pStyle w:val="Teksttabelilewy"/>
              <w:spacing w:after="0"/>
              <w:ind w:left="57"/>
            </w:pPr>
            <w:r w:rsidRPr="00795F17">
              <w:rPr>
                <w:rStyle w:val="TeksttabelilewyZnak"/>
              </w:rPr>
              <w:t>Ustalanie taryf za zbiorowe zaopatrzenie w wodę i</w:t>
            </w:r>
            <w:r w:rsidR="00781F34">
              <w:rPr>
                <w:rStyle w:val="TeksttabelilewyZnak"/>
              </w:rPr>
              <w:t> </w:t>
            </w:r>
            <w:r w:rsidRPr="00795F17">
              <w:rPr>
                <w:rStyle w:val="TeksttabelilewyZnak"/>
              </w:rPr>
              <w:t>zbiorowe odprowadzanie ścieków z</w:t>
            </w:r>
            <w:r w:rsidR="00781F34">
              <w:rPr>
                <w:rStyle w:val="TeksttabelilewyZnak"/>
              </w:rPr>
              <w:t> </w:t>
            </w:r>
            <w:r w:rsidRPr="00795F17">
              <w:rPr>
                <w:rStyle w:val="TeksttabelilewyZnak"/>
              </w:rPr>
              <w:t>uwzględnieniem</w:t>
            </w:r>
            <w:r w:rsidRPr="00795F17">
              <w:t xml:space="preserve">: </w:t>
            </w:r>
          </w:p>
          <w:p w14:paraId="7E6E66B1" w14:textId="77777777" w:rsidR="004E1029" w:rsidRPr="00795F17" w:rsidRDefault="004E1029" w:rsidP="005842B5">
            <w:pPr>
              <w:pStyle w:val="Teksttabelipunkty"/>
              <w:rPr>
                <w:rFonts w:asciiTheme="majorHAnsi" w:eastAsiaTheme="majorEastAsia" w:hAnsiTheme="majorHAnsi" w:cstheme="majorBidi"/>
                <w:color w:val="272727" w:themeColor="text1" w:themeTint="D8"/>
              </w:rPr>
            </w:pPr>
            <w:r w:rsidRPr="00795F17">
              <w:t>kosztów związanych ze świadczeniem usług,</w:t>
            </w:r>
          </w:p>
          <w:p w14:paraId="6C668C55" w14:textId="77777777" w:rsidR="004E1029" w:rsidRPr="00795F17" w:rsidRDefault="004E1029" w:rsidP="005842B5">
            <w:pPr>
              <w:pStyle w:val="Teksttabelipunkty"/>
              <w:rPr>
                <w:rFonts w:asciiTheme="majorHAnsi" w:eastAsiaTheme="majorEastAsia" w:hAnsiTheme="majorHAnsi" w:cstheme="majorBidi"/>
                <w:color w:val="272727" w:themeColor="text1" w:themeTint="D8"/>
              </w:rPr>
            </w:pPr>
            <w:r w:rsidRPr="00795F17">
              <w:t>zmian warunków ekonomicznych oraz wielkości usług i warunków ich świadczenia,</w:t>
            </w:r>
          </w:p>
          <w:p w14:paraId="352298C8" w14:textId="1D181E09" w:rsidR="004E1029" w:rsidRPr="00795F17" w:rsidRDefault="004E1029" w:rsidP="005842B5">
            <w:pPr>
              <w:pStyle w:val="Teksttabelipunkty"/>
              <w:rPr>
                <w:rFonts w:asciiTheme="majorHAnsi" w:eastAsiaTheme="majorEastAsia" w:hAnsiTheme="majorHAnsi" w:cstheme="majorBidi"/>
                <w:color w:val="272727" w:themeColor="text1" w:themeTint="D8"/>
              </w:rPr>
            </w:pPr>
            <w:r w:rsidRPr="00795F17">
              <w:t>kosztów wynikających z planowanych wydatków inwestycyjnych</w:t>
            </w:r>
          </w:p>
        </w:tc>
        <w:tc>
          <w:tcPr>
            <w:tcW w:w="1174" w:type="pct"/>
            <w:vAlign w:val="center"/>
            <w:hideMark/>
          </w:tcPr>
          <w:p w14:paraId="0B4C0CE6" w14:textId="77777777" w:rsidR="004E1029" w:rsidRPr="00795F17" w:rsidRDefault="004E1029" w:rsidP="008C27E6">
            <w:pPr>
              <w:pStyle w:val="Teksttabelilewy"/>
              <w:spacing w:after="0"/>
              <w:jc w:val="center"/>
              <w:rPr>
                <w:rFonts w:asciiTheme="majorHAnsi" w:eastAsia="Times New Roman" w:hAnsiTheme="majorHAnsi" w:cs="Arial"/>
                <w:color w:val="262626" w:themeColor="text1" w:themeTint="D9"/>
              </w:rPr>
            </w:pPr>
            <w:r w:rsidRPr="00795F17">
              <w:t>przedsiębiorstwa wodociągowo-kanalizacyjne</w:t>
            </w:r>
          </w:p>
        </w:tc>
        <w:tc>
          <w:tcPr>
            <w:tcW w:w="1248" w:type="pct"/>
            <w:vAlign w:val="center"/>
          </w:tcPr>
          <w:p w14:paraId="29241B88" w14:textId="44230DB8" w:rsidR="004E1029" w:rsidRPr="00795F17" w:rsidRDefault="004E1029" w:rsidP="0084311B">
            <w:pPr>
              <w:pStyle w:val="Teksttabelisrodek"/>
              <w:spacing w:after="0"/>
            </w:pPr>
            <w:r w:rsidRPr="00795F17">
              <w:t>działanie ciągłe</w:t>
            </w:r>
          </w:p>
        </w:tc>
      </w:tr>
      <w:tr w:rsidR="004E1029" w:rsidRPr="00795F17" w14:paraId="3D1FC523" w14:textId="6940FD48" w:rsidTr="00A94587">
        <w:trPr>
          <w:trHeight w:val="454"/>
        </w:trPr>
        <w:tc>
          <w:tcPr>
            <w:tcW w:w="2578" w:type="pct"/>
            <w:vAlign w:val="center"/>
            <w:hideMark/>
          </w:tcPr>
          <w:p w14:paraId="70D6CA16" w14:textId="414508B3" w:rsidR="004E1029" w:rsidRPr="00795F17" w:rsidRDefault="004E1029" w:rsidP="008C27E6">
            <w:pPr>
              <w:pStyle w:val="Teksttabelilewy"/>
              <w:ind w:left="57"/>
              <w:rPr>
                <w:rFonts w:asciiTheme="majorHAnsi" w:eastAsia="Times New Roman" w:hAnsiTheme="majorHAnsi" w:cs="Arial"/>
                <w:i/>
                <w:color w:val="262626" w:themeColor="text1" w:themeTint="D9"/>
              </w:rPr>
            </w:pPr>
            <w:r w:rsidRPr="00795F17">
              <w:t>Uwzględnienie zasady zwrotu kosztów w stosunku do administrowanych rzek i obiektów</w:t>
            </w:r>
          </w:p>
        </w:tc>
        <w:tc>
          <w:tcPr>
            <w:tcW w:w="1174" w:type="pct"/>
            <w:vAlign w:val="center"/>
            <w:hideMark/>
          </w:tcPr>
          <w:p w14:paraId="7B13AEA4" w14:textId="77777777" w:rsidR="004E1029" w:rsidRPr="00795F17" w:rsidRDefault="004E1029" w:rsidP="0084311B">
            <w:pPr>
              <w:pStyle w:val="Teksttabelisrodek"/>
              <w:spacing w:after="0"/>
              <w:rPr>
                <w:rFonts w:asciiTheme="majorHAnsi" w:eastAsia="Times New Roman" w:hAnsiTheme="majorHAnsi" w:cs="Arial"/>
                <w:color w:val="262626" w:themeColor="text1" w:themeTint="D9"/>
              </w:rPr>
            </w:pPr>
            <w:r w:rsidRPr="00795F17">
              <w:t>administrator cieku</w:t>
            </w:r>
          </w:p>
        </w:tc>
        <w:tc>
          <w:tcPr>
            <w:tcW w:w="1248" w:type="pct"/>
            <w:vAlign w:val="center"/>
          </w:tcPr>
          <w:p w14:paraId="7D419AEE" w14:textId="5D26A4F0" w:rsidR="004E1029" w:rsidRPr="00795F17" w:rsidRDefault="004E1029" w:rsidP="0084311B">
            <w:pPr>
              <w:pStyle w:val="Teksttabelisrodek"/>
              <w:spacing w:after="0"/>
            </w:pPr>
            <w:r w:rsidRPr="00795F17">
              <w:t>działanie ciągłe</w:t>
            </w:r>
          </w:p>
        </w:tc>
      </w:tr>
    </w:tbl>
    <w:p w14:paraId="08310380" w14:textId="02FF9104" w:rsidR="00ED47D2" w:rsidRPr="00795F17" w:rsidRDefault="00ED47D2" w:rsidP="0084311B">
      <w:pPr>
        <w:pStyle w:val="rdo"/>
        <w:spacing w:after="0"/>
        <w:rPr>
          <w:rFonts w:eastAsia="MS Mincho"/>
          <w:sz w:val="24"/>
          <w:szCs w:val="24"/>
        </w:rPr>
      </w:pPr>
      <w:r w:rsidRPr="00795F17">
        <w:rPr>
          <w:lang w:eastAsia="zh-CN"/>
        </w:rPr>
        <w:t xml:space="preserve">Źródło: </w:t>
      </w:r>
      <w:r w:rsidR="00FD7248" w:rsidRPr="00795F17">
        <w:rPr>
          <w:lang w:eastAsia="zh-CN"/>
        </w:rPr>
        <w:t>opracowanie własne</w:t>
      </w:r>
    </w:p>
    <w:p w14:paraId="5BB94A71" w14:textId="6E451258" w:rsidR="00332A4E" w:rsidRPr="00795F17" w:rsidRDefault="00332A4E" w:rsidP="00C53C86">
      <w:pPr>
        <w:pStyle w:val="Nagwek2"/>
      </w:pPr>
      <w:bookmarkStart w:id="815" w:name="_Toc66272283"/>
      <w:bookmarkStart w:id="816" w:name="_Toc66347828"/>
      <w:bookmarkStart w:id="817" w:name="_Toc105512714"/>
      <w:r w:rsidRPr="00795F17">
        <w:t>Podsumowanie działań</w:t>
      </w:r>
      <w:r w:rsidR="00FC64C2" w:rsidRPr="00795F17">
        <w:t xml:space="preserve"> </w:t>
      </w:r>
      <w:r w:rsidR="007F1BE0" w:rsidRPr="00795F17">
        <w:t>podjętych dla realizacji celów środowiskowych i</w:t>
      </w:r>
      <w:r w:rsidR="00D33A08" w:rsidRPr="00795F17">
        <w:t> </w:t>
      </w:r>
      <w:r w:rsidR="007F1BE0" w:rsidRPr="00795F17">
        <w:t>wymagań związanych z zaopatrzeniem w wodę</w:t>
      </w:r>
      <w:bookmarkEnd w:id="815"/>
      <w:bookmarkEnd w:id="816"/>
      <w:bookmarkEnd w:id="817"/>
    </w:p>
    <w:p w14:paraId="46263016" w14:textId="32719862" w:rsidR="00AD1DA1" w:rsidRPr="00795F17" w:rsidRDefault="00AD1DA1" w:rsidP="0044393D">
      <w:r w:rsidRPr="00795F17">
        <w:t xml:space="preserve">Zaopatrzenie w wodę do spożycia przez ludzi stanowi jeden z aspektów uwzględnionych w pr.w. poprzez uznanie </w:t>
      </w:r>
      <w:r w:rsidR="00DF005E">
        <w:t>JCWP</w:t>
      </w:r>
      <w:r w:rsidRPr="00795F17">
        <w:t xml:space="preserve"> przeznaczonych do poboru wody na potrzeby zaopatrzenia ludności w</w:t>
      </w:r>
      <w:r w:rsidR="00C817B5" w:rsidRPr="00795F17">
        <w:t> </w:t>
      </w:r>
      <w:r w:rsidRPr="00795F17">
        <w:t>wodę przeznaczoną do spożycia przez ludzi, jako obszary chronione (art. 16 pkt 32 pr.w.).</w:t>
      </w:r>
    </w:p>
    <w:p w14:paraId="420F88F2" w14:textId="1D2CFA80" w:rsidR="00AD1DA1" w:rsidRPr="00795F17" w:rsidRDefault="00AD1DA1" w:rsidP="0044393D">
      <w:r w:rsidRPr="00795F17">
        <w:t xml:space="preserve">Na obszarze dorzecza </w:t>
      </w:r>
      <w:r w:rsidR="00D635B0" w:rsidRPr="00795F17">
        <w:t>Odry</w:t>
      </w:r>
      <w:r w:rsidRPr="00795F17">
        <w:t xml:space="preserve"> </w:t>
      </w:r>
      <w:r w:rsidR="00DF005E">
        <w:t>JCWP</w:t>
      </w:r>
      <w:r w:rsidRPr="00795F17">
        <w:t xml:space="preserve"> przeznaczonych do poboru wody na potrzeby zaopatrzenia ludności w wodę przeznaczoną do spożycia jest </w:t>
      </w:r>
      <w:r w:rsidR="00066CB7" w:rsidRPr="00795F17">
        <w:t>53</w:t>
      </w:r>
      <w:r w:rsidRPr="00795F17">
        <w:t xml:space="preserve"> </w:t>
      </w:r>
      <w:r w:rsidR="00DF005E">
        <w:t>JCWP</w:t>
      </w:r>
      <w:r w:rsidRPr="00795F17">
        <w:t xml:space="preserve"> RW, co stanowi ok</w:t>
      </w:r>
      <w:r w:rsidR="004B7AE7">
        <w:t>oło</w:t>
      </w:r>
      <w:r w:rsidRPr="00795F17">
        <w:t xml:space="preserve"> </w:t>
      </w:r>
      <w:r w:rsidR="000E50AB" w:rsidRPr="00795F17">
        <w:t>4</w:t>
      </w:r>
      <w:r w:rsidRPr="00795F17">
        <w:t xml:space="preserve">% wszystkich </w:t>
      </w:r>
      <w:r w:rsidR="00DF005E">
        <w:t>JCWP</w:t>
      </w:r>
      <w:r w:rsidRPr="00795F17">
        <w:t xml:space="preserve"> RW obszaru dorzecza. W przypadku </w:t>
      </w:r>
      <w:r w:rsidR="00DF005E">
        <w:t>JCWP</w:t>
      </w:r>
      <w:r w:rsidRPr="00795F17">
        <w:t>d, wszystkie (</w:t>
      </w:r>
      <w:r w:rsidR="00066CB7" w:rsidRPr="00795F17">
        <w:t>66</w:t>
      </w:r>
      <w:r w:rsidRPr="00795F17">
        <w:t xml:space="preserve"> </w:t>
      </w:r>
      <w:r w:rsidR="00DF005E">
        <w:t>JCWP</w:t>
      </w:r>
      <w:r w:rsidRPr="00795F17">
        <w:t>d) są uznane za przeznaczone do poboru wody na</w:t>
      </w:r>
      <w:r w:rsidR="00D2022C">
        <w:t> </w:t>
      </w:r>
      <w:r w:rsidRPr="00795F17">
        <w:t>potrzeby zaopatrzenia ludności w wodę przeznaczoną do spożycia.</w:t>
      </w:r>
    </w:p>
    <w:p w14:paraId="6905744B" w14:textId="5CBFD4BF" w:rsidR="00AD1DA1" w:rsidRPr="00795F17" w:rsidRDefault="00AD1DA1" w:rsidP="0044393D">
      <w:r w:rsidRPr="00795F17">
        <w:t xml:space="preserve">Działania ukierunkowane na zapewnienie odpowiedniej jakości wody na cele zaopatrzenia ludności stanowią podstawowe działania uwzględniane zarówno w poprzednim cyklu planistycznym </w:t>
      </w:r>
      <w:r w:rsidR="00C817B5" w:rsidRPr="00795F17">
        <w:br/>
      </w:r>
      <w:r w:rsidRPr="00795F17">
        <w:t>(2016</w:t>
      </w:r>
      <w:r w:rsidR="008A38E4">
        <w:t>–</w:t>
      </w:r>
      <w:r w:rsidRPr="00795F17">
        <w:t>2021), jak i obecnie (2022</w:t>
      </w:r>
      <w:r w:rsidR="008A38E4">
        <w:t>–</w:t>
      </w:r>
      <w:r w:rsidRPr="00795F17">
        <w:t>2027).</w:t>
      </w:r>
    </w:p>
    <w:p w14:paraId="114B4CEC" w14:textId="7EADBA53" w:rsidR="00AD1DA1" w:rsidRPr="00795F17" w:rsidRDefault="00AD1DA1" w:rsidP="0044393D">
      <w:pPr>
        <w:rPr>
          <w:rFonts w:eastAsiaTheme="minorEastAsia" w:cstheme="minorBidi"/>
          <w:color w:val="000000"/>
        </w:rPr>
      </w:pPr>
      <w:r w:rsidRPr="00795F17">
        <w:t xml:space="preserve">Wszystkie działania dla poszczególnych </w:t>
      </w:r>
      <w:r w:rsidR="00DF005E">
        <w:rPr>
          <w:shd w:val="clear" w:color="auto" w:fill="FFFFFF" w:themeFill="background1"/>
        </w:rPr>
        <w:t>JCWP</w:t>
      </w:r>
      <w:r w:rsidRPr="00795F17">
        <w:rPr>
          <w:shd w:val="clear" w:color="auto" w:fill="FFFFFF" w:themeFill="background1"/>
        </w:rPr>
        <w:t xml:space="preserve"> oraz </w:t>
      </w:r>
      <w:r w:rsidR="00DF005E">
        <w:rPr>
          <w:shd w:val="clear" w:color="auto" w:fill="FFFFFF" w:themeFill="background1"/>
        </w:rPr>
        <w:t>JCWP</w:t>
      </w:r>
      <w:r w:rsidRPr="00795F17">
        <w:rPr>
          <w:shd w:val="clear" w:color="auto" w:fill="FFFFFF" w:themeFill="background1"/>
        </w:rPr>
        <w:t>d znajdują się w zestawie działań załącznik</w:t>
      </w:r>
      <w:r w:rsidR="00BC116B">
        <w:rPr>
          <w:shd w:val="clear" w:color="auto" w:fill="FFFFFF" w:themeFill="background1"/>
        </w:rPr>
        <w:t>i</w:t>
      </w:r>
      <w:r w:rsidRPr="00795F17">
        <w:rPr>
          <w:shd w:val="clear" w:color="auto" w:fill="FFFFFF" w:themeFill="background1"/>
        </w:rPr>
        <w:t xml:space="preserve"> nr </w:t>
      </w:r>
      <w:r w:rsidR="00266D8B">
        <w:rPr>
          <w:shd w:val="clear" w:color="auto" w:fill="FFFFFF" w:themeFill="background1"/>
        </w:rPr>
        <w:t>13-17</w:t>
      </w:r>
      <w:r w:rsidR="000C3619" w:rsidRPr="00795F17">
        <w:rPr>
          <w:shd w:val="clear" w:color="auto" w:fill="FFFFFF" w:themeFill="background1"/>
        </w:rPr>
        <w:t xml:space="preserve"> (Zestaw działań</w:t>
      </w:r>
      <w:r w:rsidR="00216CA3">
        <w:rPr>
          <w:shd w:val="clear" w:color="auto" w:fill="FFFFFF" w:themeFill="background1"/>
        </w:rPr>
        <w:t xml:space="preserve"> RW, RWr, LW, TW i CW, </w:t>
      </w:r>
      <w:r w:rsidR="00DF005E">
        <w:rPr>
          <w:shd w:val="clear" w:color="auto" w:fill="FFFFFF" w:themeFill="background1"/>
        </w:rPr>
        <w:t>JCWP</w:t>
      </w:r>
      <w:r w:rsidR="00216CA3">
        <w:rPr>
          <w:shd w:val="clear" w:color="auto" w:fill="FFFFFF" w:themeFill="background1"/>
        </w:rPr>
        <w:t>d</w:t>
      </w:r>
      <w:r w:rsidR="000C3619" w:rsidRPr="00795F17">
        <w:rPr>
          <w:shd w:val="clear" w:color="auto" w:fill="FFFFFF" w:themeFill="background1"/>
        </w:rPr>
        <w:t>)</w:t>
      </w:r>
      <w:r w:rsidRPr="00795F17">
        <w:rPr>
          <w:shd w:val="clear" w:color="auto" w:fill="FFFFFF" w:themeFill="background1"/>
        </w:rPr>
        <w:t>. Dodatkowo informację dotyczącą przypisanych danej jcw działań prezentuje również załącznik nr 1 (Zestawienie główne). W załączniku nr 1</w:t>
      </w:r>
      <w:r w:rsidRPr="00795F17">
        <w:t xml:space="preserve"> </w:t>
      </w:r>
      <w:r w:rsidR="0015135B" w:rsidRPr="00795F17">
        <w:t>(Zestawienie główne)</w:t>
      </w:r>
      <w:r w:rsidRPr="00795F17">
        <w:t xml:space="preserve"> każda </w:t>
      </w:r>
      <w:r w:rsidR="00DF005E">
        <w:t>JCWP</w:t>
      </w:r>
      <w:r w:rsidRPr="00795F17">
        <w:t xml:space="preserve"> posiada oznaczenie wskazujące, czy zalicza się do grupy </w:t>
      </w:r>
      <w:r w:rsidR="00DF005E">
        <w:t>JCWP</w:t>
      </w:r>
      <w:r w:rsidRPr="00795F17">
        <w:t xml:space="preserve"> przeznaczonych do poboru wody na potrzeby zaopatrzenia ludności w wodę przeznaczoną do spożycia. W przypadku </w:t>
      </w:r>
      <w:r w:rsidR="00DF005E">
        <w:t>JCWP</w:t>
      </w:r>
      <w:r w:rsidRPr="00795F17">
        <w:t xml:space="preserve">d dotyczy to wszystkich </w:t>
      </w:r>
      <w:r w:rsidR="00DF005E">
        <w:t>JCWP</w:t>
      </w:r>
      <w:r w:rsidRPr="00795F17">
        <w:t>d</w:t>
      </w:r>
      <w:r w:rsidR="00AC6CDD" w:rsidRPr="00795F17">
        <w:t>.</w:t>
      </w:r>
    </w:p>
    <w:p w14:paraId="17673292" w14:textId="56C15BF8" w:rsidR="00AC6CDD" w:rsidRPr="00795F17" w:rsidRDefault="00AD1DA1" w:rsidP="0044393D">
      <w:r w:rsidRPr="00795F17">
        <w:t>W poprzednim cyklu planistycznym, działania dotyczące realizacji celów środowiskowych i wymagań związanych z zaopatrzeniem w wodę, uwzględnione zostały w ramach grup działań: dostęp do</w:t>
      </w:r>
      <w:r w:rsidR="00C817B5" w:rsidRPr="00795F17">
        <w:t> </w:t>
      </w:r>
      <w:r w:rsidRPr="00795F17">
        <w:t xml:space="preserve">informacji oraz działania organizacyjno-prawne (tabela 13-6). </w:t>
      </w:r>
    </w:p>
    <w:p w14:paraId="7D65A11F" w14:textId="668FFC2C" w:rsidR="00AD1DA1" w:rsidRPr="00795F17" w:rsidRDefault="00AD1DA1" w:rsidP="004D7705">
      <w:pPr>
        <w:pStyle w:val="Tabela"/>
      </w:pPr>
      <w:bookmarkStart w:id="818" w:name="_Toc66261850"/>
      <w:bookmarkStart w:id="819" w:name="_Toc66288114"/>
      <w:bookmarkStart w:id="820" w:name="_Toc66341963"/>
      <w:bookmarkStart w:id="821" w:name="_Toc105512892"/>
      <w:r w:rsidRPr="00795F17">
        <w:t xml:space="preserve">Tabela </w:t>
      </w:r>
      <w:fldSimple w:instr=" STYLEREF 1 \s ">
        <w:r w:rsidR="001F774D">
          <w:rPr>
            <w:noProof/>
          </w:rPr>
          <w:t>13</w:t>
        </w:r>
      </w:fldSimple>
      <w:r w:rsidR="00BB3B21" w:rsidRPr="00795F17">
        <w:noBreakHyphen/>
      </w:r>
      <w:fldSimple w:instr=" SEQ Tabela \* ARABIC \s 1 ">
        <w:r w:rsidR="001F774D">
          <w:rPr>
            <w:noProof/>
          </w:rPr>
          <w:t>6</w:t>
        </w:r>
      </w:fldSimple>
      <w:r w:rsidR="000B5450">
        <w:rPr>
          <w:noProof/>
        </w:rPr>
        <w:t>.</w:t>
      </w:r>
      <w:r w:rsidRPr="00795F17">
        <w:tab/>
        <w:t>Działania związane z realizacją celów środowiskowych i wymagań związanych z zaopatrzeniem w wodę ujęte w aPWŚK</w:t>
      </w:r>
      <w:bookmarkEnd w:id="818"/>
      <w:bookmarkEnd w:id="819"/>
      <w:bookmarkEnd w:id="820"/>
      <w:bookmarkEnd w:id="821"/>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97"/>
        <w:gridCol w:w="4986"/>
        <w:gridCol w:w="1979"/>
      </w:tblGrid>
      <w:tr w:rsidR="00AD1DA1" w:rsidRPr="00795F17" w14:paraId="007325F1" w14:textId="77777777" w:rsidTr="0084311B">
        <w:trPr>
          <w:trHeight w:val="20"/>
          <w:tblHeader/>
          <w:jc w:val="center"/>
        </w:trPr>
        <w:tc>
          <w:tcPr>
            <w:tcW w:w="2097" w:type="dxa"/>
            <w:shd w:val="clear" w:color="auto" w:fill="BFBFBF" w:themeFill="background1" w:themeFillShade="BF"/>
            <w:vAlign w:val="center"/>
            <w:hideMark/>
          </w:tcPr>
          <w:p w14:paraId="3EE3234A" w14:textId="77777777" w:rsidR="00AD1DA1" w:rsidRPr="00795F17" w:rsidRDefault="00AD1DA1" w:rsidP="0044393D">
            <w:pPr>
              <w:pStyle w:val="Teksttabelinaglowek"/>
            </w:pPr>
            <w:r w:rsidRPr="00795F17">
              <w:t>Grupa działań</w:t>
            </w:r>
          </w:p>
        </w:tc>
        <w:tc>
          <w:tcPr>
            <w:tcW w:w="4986" w:type="dxa"/>
            <w:shd w:val="clear" w:color="auto" w:fill="BFBFBF" w:themeFill="background1" w:themeFillShade="BF"/>
            <w:vAlign w:val="center"/>
          </w:tcPr>
          <w:p w14:paraId="2ACD9FA2" w14:textId="77777777" w:rsidR="00AD1DA1" w:rsidRPr="00795F17" w:rsidRDefault="00AD1DA1" w:rsidP="0044393D">
            <w:pPr>
              <w:pStyle w:val="Teksttabelinaglowek"/>
            </w:pPr>
            <w:r w:rsidRPr="00795F17">
              <w:t>Nazwa działania</w:t>
            </w:r>
          </w:p>
        </w:tc>
        <w:tc>
          <w:tcPr>
            <w:tcW w:w="1979" w:type="dxa"/>
            <w:shd w:val="clear" w:color="auto" w:fill="BFBFBF" w:themeFill="background1" w:themeFillShade="BF"/>
            <w:vAlign w:val="center"/>
          </w:tcPr>
          <w:p w14:paraId="2D71C3D9" w14:textId="51D7D2F8" w:rsidR="00AD1DA1" w:rsidRPr="00795F17" w:rsidRDefault="00AD1DA1" w:rsidP="0044393D">
            <w:pPr>
              <w:pStyle w:val="Teksttabelinaglowek"/>
            </w:pPr>
            <w:r w:rsidRPr="00795F17">
              <w:t>Harmonogram</w:t>
            </w:r>
            <w:r w:rsidR="00E13BD9">
              <w:t xml:space="preserve"> realizacji</w:t>
            </w:r>
          </w:p>
        </w:tc>
      </w:tr>
      <w:tr w:rsidR="00E353D1" w:rsidRPr="00795F17" w14:paraId="164274D9" w14:textId="77777777" w:rsidTr="0084311B">
        <w:trPr>
          <w:trHeight w:val="20"/>
          <w:jc w:val="center"/>
        </w:trPr>
        <w:tc>
          <w:tcPr>
            <w:tcW w:w="2097" w:type="dxa"/>
            <w:vAlign w:val="center"/>
          </w:tcPr>
          <w:p w14:paraId="5C833450" w14:textId="03370806" w:rsidR="00E353D1" w:rsidRPr="00795F17" w:rsidRDefault="00E353D1" w:rsidP="008C27E6">
            <w:pPr>
              <w:pStyle w:val="Teksttabelilewy"/>
              <w:ind w:left="57"/>
            </w:pPr>
            <w:r w:rsidRPr="00795F17">
              <w:t>Dostęp do informacji</w:t>
            </w:r>
          </w:p>
        </w:tc>
        <w:tc>
          <w:tcPr>
            <w:tcW w:w="4986" w:type="dxa"/>
            <w:vAlign w:val="center"/>
          </w:tcPr>
          <w:p w14:paraId="307ACFE2" w14:textId="237AAB7F" w:rsidR="00E353D1" w:rsidRPr="00795F17" w:rsidRDefault="00E13BD9" w:rsidP="008C27E6">
            <w:pPr>
              <w:pStyle w:val="Teksttabelilewy"/>
              <w:ind w:left="57"/>
            </w:pPr>
            <w:r>
              <w:t>O</w:t>
            </w:r>
            <w:r w:rsidR="00E353D1" w:rsidRPr="00795F17">
              <w:t>pracowanie oceny jakości wody wykorzystywanej do zaopatrzenia ludności w wodę przeznaczoną do spożycia (działania podstawowe)</w:t>
            </w:r>
            <w:r w:rsidR="00027D03">
              <w:t>.</w:t>
            </w:r>
          </w:p>
        </w:tc>
        <w:tc>
          <w:tcPr>
            <w:tcW w:w="1979" w:type="dxa"/>
            <w:vAlign w:val="center"/>
          </w:tcPr>
          <w:p w14:paraId="7285E8D7" w14:textId="05C1C70A" w:rsidR="00E353D1" w:rsidRPr="00795F17" w:rsidRDefault="00E353D1" w:rsidP="008C27E6">
            <w:pPr>
              <w:pStyle w:val="Teksttabelisrodek"/>
              <w:ind w:left="57"/>
            </w:pPr>
            <w:r w:rsidRPr="00795F17">
              <w:t>działanie ciągłe</w:t>
            </w:r>
          </w:p>
        </w:tc>
      </w:tr>
      <w:tr w:rsidR="00E353D1" w:rsidRPr="00795F17" w14:paraId="3816C125" w14:textId="77777777" w:rsidTr="0084311B">
        <w:trPr>
          <w:trHeight w:val="20"/>
          <w:jc w:val="center"/>
        </w:trPr>
        <w:tc>
          <w:tcPr>
            <w:tcW w:w="2097" w:type="dxa"/>
            <w:vAlign w:val="center"/>
          </w:tcPr>
          <w:p w14:paraId="0E895C50" w14:textId="195A5B26" w:rsidR="00E353D1" w:rsidRPr="00795F17" w:rsidRDefault="00E353D1" w:rsidP="008C27E6">
            <w:pPr>
              <w:pStyle w:val="Teksttabelilewy"/>
              <w:ind w:left="57"/>
            </w:pPr>
            <w:r w:rsidRPr="00795F17">
              <w:t>Działania organizacyjno-prawne</w:t>
            </w:r>
          </w:p>
        </w:tc>
        <w:tc>
          <w:tcPr>
            <w:tcW w:w="4986" w:type="dxa"/>
            <w:vAlign w:val="center"/>
          </w:tcPr>
          <w:p w14:paraId="46A7145F" w14:textId="2E2471E1" w:rsidR="00E353D1" w:rsidRPr="00795F17" w:rsidRDefault="00E13BD9" w:rsidP="008C27E6">
            <w:pPr>
              <w:pStyle w:val="Teksttabelilewy"/>
              <w:ind w:left="57"/>
            </w:pPr>
            <w:r>
              <w:t>U</w:t>
            </w:r>
            <w:r w:rsidR="00E353D1" w:rsidRPr="00795F17">
              <w:t>stanowienie obszarów ochronnych zbiorników wód śródlądowych (działania podstawowe)</w:t>
            </w:r>
            <w:r w:rsidR="00027D03">
              <w:t>.</w:t>
            </w:r>
          </w:p>
        </w:tc>
        <w:tc>
          <w:tcPr>
            <w:tcW w:w="1979" w:type="dxa"/>
            <w:vAlign w:val="center"/>
          </w:tcPr>
          <w:p w14:paraId="12C559E7" w14:textId="2A5FA24D" w:rsidR="00E353D1" w:rsidRPr="00795F17" w:rsidRDefault="00E353D1" w:rsidP="008C27E6">
            <w:pPr>
              <w:pStyle w:val="Teksttabelisrodek"/>
              <w:ind w:left="57"/>
            </w:pPr>
            <w:r w:rsidRPr="00795F17">
              <w:t>działanie ciągłe</w:t>
            </w:r>
          </w:p>
        </w:tc>
      </w:tr>
      <w:tr w:rsidR="00E353D1" w:rsidRPr="00795F17" w14:paraId="3D3120F6" w14:textId="77777777" w:rsidTr="0084311B">
        <w:trPr>
          <w:trHeight w:val="20"/>
          <w:jc w:val="center"/>
        </w:trPr>
        <w:tc>
          <w:tcPr>
            <w:tcW w:w="2097" w:type="dxa"/>
            <w:vAlign w:val="center"/>
          </w:tcPr>
          <w:p w14:paraId="5BFC7431" w14:textId="4A1D6347" w:rsidR="00E353D1" w:rsidRPr="00795F17" w:rsidRDefault="00E353D1" w:rsidP="008C27E6">
            <w:pPr>
              <w:pStyle w:val="Teksttabelilewy"/>
              <w:ind w:left="57"/>
            </w:pPr>
            <w:r w:rsidRPr="00795F17">
              <w:t>Działania organizacyjno-prawne</w:t>
            </w:r>
          </w:p>
        </w:tc>
        <w:tc>
          <w:tcPr>
            <w:tcW w:w="4986" w:type="dxa"/>
            <w:vAlign w:val="center"/>
          </w:tcPr>
          <w:p w14:paraId="7F026E23" w14:textId="3411E900" w:rsidR="00E353D1" w:rsidRPr="00795F17" w:rsidRDefault="00E13BD9" w:rsidP="008C27E6">
            <w:pPr>
              <w:pStyle w:val="Teksttabelilewy"/>
              <w:ind w:left="57"/>
            </w:pPr>
            <w:r>
              <w:t>O</w:t>
            </w:r>
            <w:r w:rsidR="00E353D1" w:rsidRPr="00795F17">
              <w:t>pracowanie dokumentacji na potrzeby ustanowienia obszaru ochronnego zbiornika wód śródlądowych (GZWP) (działanie podstawowe)</w:t>
            </w:r>
            <w:r w:rsidR="00027D03">
              <w:t>.</w:t>
            </w:r>
          </w:p>
        </w:tc>
        <w:tc>
          <w:tcPr>
            <w:tcW w:w="1979" w:type="dxa"/>
            <w:vAlign w:val="center"/>
          </w:tcPr>
          <w:p w14:paraId="1B483BF7" w14:textId="080892BB" w:rsidR="00E353D1" w:rsidRPr="00795F17" w:rsidRDefault="00E353D1" w:rsidP="008C27E6">
            <w:pPr>
              <w:pStyle w:val="Teksttabelisrodek"/>
              <w:ind w:left="57"/>
              <w:rPr>
                <w:rFonts w:cs="Calibri"/>
                <w:color w:val="000000"/>
              </w:rPr>
            </w:pPr>
            <w:r w:rsidRPr="00795F17">
              <w:t>IV kw. 2021</w:t>
            </w:r>
          </w:p>
        </w:tc>
      </w:tr>
      <w:tr w:rsidR="00E353D1" w:rsidRPr="00795F17" w14:paraId="64F8EF23" w14:textId="77777777" w:rsidTr="0084311B">
        <w:trPr>
          <w:trHeight w:val="20"/>
          <w:jc w:val="center"/>
        </w:trPr>
        <w:tc>
          <w:tcPr>
            <w:tcW w:w="2097" w:type="dxa"/>
            <w:vAlign w:val="center"/>
          </w:tcPr>
          <w:p w14:paraId="20CA59FB" w14:textId="15AB9BC4" w:rsidR="00E353D1" w:rsidRPr="00795F17" w:rsidRDefault="00E353D1" w:rsidP="008C27E6">
            <w:pPr>
              <w:pStyle w:val="Teksttabelilewy"/>
              <w:ind w:left="57"/>
            </w:pPr>
            <w:r w:rsidRPr="00795F17">
              <w:t>Działania organizacyjno-prawne</w:t>
            </w:r>
          </w:p>
        </w:tc>
        <w:tc>
          <w:tcPr>
            <w:tcW w:w="4986" w:type="dxa"/>
            <w:vAlign w:val="center"/>
          </w:tcPr>
          <w:p w14:paraId="0DEAB925" w14:textId="47318627" w:rsidR="00E353D1" w:rsidRPr="00795F17" w:rsidRDefault="00E13BD9" w:rsidP="008C27E6">
            <w:pPr>
              <w:pStyle w:val="Teksttabelilewy"/>
              <w:ind w:left="57"/>
            </w:pPr>
            <w:r>
              <w:t>O</w:t>
            </w:r>
            <w:r w:rsidR="00E353D1" w:rsidRPr="00795F17">
              <w:t>pracowanie projektu rozporządzenia na potrzeby ustanowienia obszaru ochronnego zbiornika wód śródlądowych (GZWP) (działanie podstawowe)</w:t>
            </w:r>
            <w:r w:rsidR="00027D03">
              <w:t>.</w:t>
            </w:r>
          </w:p>
        </w:tc>
        <w:tc>
          <w:tcPr>
            <w:tcW w:w="1979" w:type="dxa"/>
            <w:vAlign w:val="center"/>
          </w:tcPr>
          <w:p w14:paraId="00CD7472" w14:textId="7E090467" w:rsidR="00E353D1" w:rsidRPr="00795F17" w:rsidRDefault="00E353D1" w:rsidP="008C27E6">
            <w:pPr>
              <w:pStyle w:val="Teksttabelisrodek"/>
              <w:ind w:left="57"/>
              <w:rPr>
                <w:rFonts w:cs="Calibri"/>
                <w:color w:val="000000"/>
              </w:rPr>
            </w:pPr>
            <w:r w:rsidRPr="00795F17">
              <w:t>IV kw. 2021</w:t>
            </w:r>
          </w:p>
        </w:tc>
      </w:tr>
      <w:tr w:rsidR="00E353D1" w:rsidRPr="00795F17" w14:paraId="544BF72E" w14:textId="77777777" w:rsidTr="0084311B">
        <w:trPr>
          <w:trHeight w:val="20"/>
          <w:jc w:val="center"/>
        </w:trPr>
        <w:tc>
          <w:tcPr>
            <w:tcW w:w="2097" w:type="dxa"/>
            <w:vAlign w:val="center"/>
          </w:tcPr>
          <w:p w14:paraId="3CFAF49F" w14:textId="4274851E" w:rsidR="00E353D1" w:rsidRPr="00795F17" w:rsidRDefault="00E353D1" w:rsidP="008C27E6">
            <w:pPr>
              <w:pStyle w:val="Teksttabelilewy"/>
              <w:ind w:left="57"/>
            </w:pPr>
            <w:r w:rsidRPr="00795F17">
              <w:t>Działania organizacyjno-prawne</w:t>
            </w:r>
          </w:p>
        </w:tc>
        <w:tc>
          <w:tcPr>
            <w:tcW w:w="4986" w:type="dxa"/>
            <w:vAlign w:val="center"/>
          </w:tcPr>
          <w:p w14:paraId="02875414" w14:textId="51F44F99" w:rsidR="00E353D1" w:rsidRPr="00795F17" w:rsidRDefault="00E13BD9" w:rsidP="008C27E6">
            <w:pPr>
              <w:pStyle w:val="Teksttabelilewy"/>
              <w:ind w:left="57"/>
            </w:pPr>
            <w:r>
              <w:t>W</w:t>
            </w:r>
            <w:r w:rsidR="00E353D1" w:rsidRPr="00795F17">
              <w:t>ydanie rozporządzenia na potrzeby ustanowienia obszaru ochronnego zbiornika wód śródlądowych (GZWP) (działanie podstawowe)</w:t>
            </w:r>
            <w:r w:rsidR="00027D03">
              <w:t>.</w:t>
            </w:r>
          </w:p>
        </w:tc>
        <w:tc>
          <w:tcPr>
            <w:tcW w:w="1979" w:type="dxa"/>
            <w:vAlign w:val="center"/>
          </w:tcPr>
          <w:p w14:paraId="1CB12E5A" w14:textId="050E3A1B" w:rsidR="00E353D1" w:rsidRPr="00795F17" w:rsidRDefault="00E353D1" w:rsidP="008C27E6">
            <w:pPr>
              <w:pStyle w:val="Teksttabelisrodek"/>
              <w:ind w:left="57"/>
              <w:rPr>
                <w:rFonts w:cs="Calibri"/>
                <w:color w:val="000000"/>
              </w:rPr>
            </w:pPr>
            <w:r w:rsidRPr="00795F17">
              <w:t>IV kw. 2021</w:t>
            </w:r>
          </w:p>
        </w:tc>
      </w:tr>
      <w:tr w:rsidR="00E353D1" w:rsidRPr="00795F17" w14:paraId="4C8A1F2B" w14:textId="77777777" w:rsidTr="0084311B">
        <w:trPr>
          <w:trHeight w:val="20"/>
          <w:jc w:val="center"/>
        </w:trPr>
        <w:tc>
          <w:tcPr>
            <w:tcW w:w="2097" w:type="dxa"/>
            <w:vAlign w:val="center"/>
          </w:tcPr>
          <w:p w14:paraId="0156914E" w14:textId="29AA6488" w:rsidR="00E353D1" w:rsidRPr="00795F17" w:rsidRDefault="00E353D1" w:rsidP="008C27E6">
            <w:pPr>
              <w:pStyle w:val="Teksttabelilewy"/>
              <w:ind w:left="57"/>
            </w:pPr>
            <w:r w:rsidRPr="00795F17">
              <w:t>Działania organizacyjno-prawne</w:t>
            </w:r>
          </w:p>
        </w:tc>
        <w:tc>
          <w:tcPr>
            <w:tcW w:w="4986" w:type="dxa"/>
            <w:vAlign w:val="center"/>
          </w:tcPr>
          <w:p w14:paraId="71111EE5" w14:textId="249E7AB9" w:rsidR="00E353D1" w:rsidRPr="00795F17" w:rsidRDefault="00E13BD9" w:rsidP="008C27E6">
            <w:pPr>
              <w:pStyle w:val="Teksttabelilewy"/>
              <w:ind w:left="57"/>
            </w:pPr>
            <w:r>
              <w:t>P</w:t>
            </w:r>
            <w:r w:rsidR="00E353D1" w:rsidRPr="00795F17">
              <w:t>rzegląd pozwoleń wodnoprawnych związanych z</w:t>
            </w:r>
            <w:r w:rsidR="00CF0FA1">
              <w:t> </w:t>
            </w:r>
            <w:r w:rsidR="00E353D1" w:rsidRPr="00795F17">
              <w:t>poborem wód podziemnych (działanie podstawowe)</w:t>
            </w:r>
            <w:r w:rsidR="00027D03">
              <w:t>.</w:t>
            </w:r>
          </w:p>
        </w:tc>
        <w:tc>
          <w:tcPr>
            <w:tcW w:w="1979" w:type="dxa"/>
            <w:vAlign w:val="center"/>
          </w:tcPr>
          <w:p w14:paraId="38DB34EC" w14:textId="4A8F3207" w:rsidR="00E353D1" w:rsidRPr="00795F17" w:rsidRDefault="00E353D1" w:rsidP="008C27E6">
            <w:pPr>
              <w:pStyle w:val="Teksttabelisrodek"/>
              <w:ind w:left="57"/>
              <w:rPr>
                <w:rFonts w:cs="Calibri"/>
                <w:color w:val="000000"/>
              </w:rPr>
            </w:pPr>
            <w:r w:rsidRPr="00795F17">
              <w:t>działanie ciągłe</w:t>
            </w:r>
          </w:p>
        </w:tc>
      </w:tr>
    </w:tbl>
    <w:p w14:paraId="69DAA1DD" w14:textId="6E6909CF" w:rsidR="00AD1DA1" w:rsidRPr="00795F17" w:rsidRDefault="00AD1DA1" w:rsidP="008C27E6">
      <w:pPr>
        <w:pStyle w:val="rdo"/>
        <w:spacing w:after="40"/>
        <w:ind w:left="57"/>
      </w:pPr>
      <w:r w:rsidRPr="00795F17">
        <w:t xml:space="preserve">Źródło: </w:t>
      </w:r>
      <w:r w:rsidR="00FD7248" w:rsidRPr="00795F17">
        <w:t>opracowanie własne</w:t>
      </w:r>
      <w:r w:rsidRPr="00795F17">
        <w:t xml:space="preserve"> na podstawie Ocen</w:t>
      </w:r>
      <w:r w:rsidR="007772C5" w:rsidRPr="00795F17">
        <w:t>y</w:t>
      </w:r>
      <w:r w:rsidRPr="00795F17">
        <w:t xml:space="preserve"> wdrożenia programów działań </w:t>
      </w:r>
      <w:r w:rsidR="00DF005E">
        <w:t>JCWP</w:t>
      </w:r>
      <w:r w:rsidRPr="00795F17">
        <w:t xml:space="preserve"> i </w:t>
      </w:r>
      <w:r w:rsidR="00DF005E">
        <w:t>JCWP</w:t>
      </w:r>
      <w:r w:rsidRPr="00795F17">
        <w:t>d (2020)</w:t>
      </w:r>
    </w:p>
    <w:p w14:paraId="0380950C" w14:textId="2023FB41" w:rsidR="00AD1DA1" w:rsidRPr="00795F17" w:rsidRDefault="00AD1DA1" w:rsidP="008C27E6">
      <w:r w:rsidRPr="00795F17">
        <w:t>Działania z grupy dostęp do informacji są realizowane w trybie ciągłym</w:t>
      </w:r>
      <w:r w:rsidR="0092790D">
        <w:t xml:space="preserve">, spośród których </w:t>
      </w:r>
      <w:r w:rsidRPr="00795F17">
        <w:t xml:space="preserve">29% </w:t>
      </w:r>
      <w:r w:rsidR="0092790D">
        <w:t>to</w:t>
      </w:r>
      <w:r w:rsidR="00D2022C">
        <w:t> </w:t>
      </w:r>
      <w:r w:rsidR="0092790D">
        <w:t xml:space="preserve">działania </w:t>
      </w:r>
      <w:r w:rsidRPr="00795F17">
        <w:t>zakończon</w:t>
      </w:r>
      <w:r w:rsidR="0092790D">
        <w:t>e</w:t>
      </w:r>
      <w:r w:rsidRPr="00795F17">
        <w:t>, oraz ok</w:t>
      </w:r>
      <w:r w:rsidR="006915A0">
        <w:t>oło</w:t>
      </w:r>
      <w:r w:rsidRPr="00795F17">
        <w:t xml:space="preserve"> 52% działa</w:t>
      </w:r>
      <w:r w:rsidR="0092790D">
        <w:t>nia</w:t>
      </w:r>
      <w:r w:rsidRPr="00795F17">
        <w:t xml:space="preserve"> niezrealizowan</w:t>
      </w:r>
      <w:r w:rsidR="0092790D">
        <w:t>e</w:t>
      </w:r>
      <w:r w:rsidR="00DF7189">
        <w:t>, w tym w trakcie realizacji</w:t>
      </w:r>
      <w:r w:rsidRPr="00795F17">
        <w:t xml:space="preserve"> lub dla których nie ma danych (wykres 13-1).</w:t>
      </w:r>
    </w:p>
    <w:p w14:paraId="76E2A733" w14:textId="20834175" w:rsidR="00AD1DA1" w:rsidRPr="00795F17" w:rsidRDefault="00AD1DA1" w:rsidP="00B11299">
      <w:pPr>
        <w:jc w:val="center"/>
        <w:rPr>
          <w:rFonts w:asciiTheme="minorHAnsi" w:hAnsiTheme="minorHAnsi" w:cstheme="minorHAnsi"/>
          <w:color w:val="000000"/>
          <w:sz w:val="20"/>
          <w:szCs w:val="20"/>
        </w:rPr>
      </w:pPr>
      <w:r w:rsidRPr="00795F17">
        <w:rPr>
          <w:noProof/>
          <w:lang w:eastAsia="pl-PL"/>
        </w:rPr>
        <w:drawing>
          <wp:inline distT="0" distB="0" distL="0" distR="0" wp14:anchorId="6887675A" wp14:editId="1C18506C">
            <wp:extent cx="4320000" cy="2520000"/>
            <wp:effectExtent l="0" t="0" r="4445" b="13970"/>
            <wp:docPr id="59" name="Wykres 59">
              <a:extLst xmlns:a="http://schemas.openxmlformats.org/drawingml/2006/main">
                <a:ext uri="{FF2B5EF4-FFF2-40B4-BE49-F238E27FC236}">
                  <a16:creationId xmlns:a16="http://schemas.microsoft.com/office/drawing/2014/main" id="{57D37136-63EF-402D-A050-1F52A7F1D45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7035586B" w14:textId="6123B3CB" w:rsidR="00AD1DA1" w:rsidRPr="00795F17" w:rsidRDefault="00AD1DA1" w:rsidP="00B479EE">
      <w:pPr>
        <w:pStyle w:val="Wykres"/>
        <w:rPr>
          <w:i/>
          <w:iCs/>
        </w:rPr>
      </w:pPr>
      <w:bookmarkStart w:id="822" w:name="_Toc66288221"/>
      <w:bookmarkStart w:id="823" w:name="_Toc105513038"/>
      <w:r w:rsidRPr="00795F17">
        <w:t xml:space="preserve">Wykres </w:t>
      </w:r>
      <w:fldSimple w:instr=" STYLEREF 1 \s ">
        <w:r w:rsidR="001F774D">
          <w:rPr>
            <w:noProof/>
          </w:rPr>
          <w:t>13</w:t>
        </w:r>
      </w:fldSimple>
      <w:r w:rsidR="00FF20D3">
        <w:noBreakHyphen/>
      </w:r>
      <w:fldSimple w:instr=" SEQ Wykres \* ARABIC \s 1 ">
        <w:r w:rsidR="001F774D">
          <w:rPr>
            <w:noProof/>
          </w:rPr>
          <w:t>1</w:t>
        </w:r>
      </w:fldSimple>
      <w:r w:rsidR="002B6022">
        <w:rPr>
          <w:noProof/>
        </w:rPr>
        <w:t>.</w:t>
      </w:r>
      <w:r w:rsidRPr="00795F17">
        <w:tab/>
        <w:t>Stan realizacji działań z grupy dostęp do informacji</w:t>
      </w:r>
      <w:bookmarkEnd w:id="822"/>
      <w:bookmarkEnd w:id="823"/>
    </w:p>
    <w:p w14:paraId="498DFBAE" w14:textId="66E684F1" w:rsidR="00AD1DA1" w:rsidRPr="00795F17" w:rsidRDefault="00AD1DA1" w:rsidP="006E4DD0">
      <w:pPr>
        <w:pStyle w:val="rdo"/>
        <w:spacing w:before="0" w:after="0"/>
      </w:pPr>
      <w:r w:rsidRPr="00795F17">
        <w:t xml:space="preserve">Źródło: </w:t>
      </w:r>
      <w:r w:rsidR="00FD7248" w:rsidRPr="00795F17">
        <w:t>opracowanie własne</w:t>
      </w:r>
      <w:r w:rsidRPr="00795F17">
        <w:t xml:space="preserve"> na podstawie Ocen</w:t>
      </w:r>
      <w:r w:rsidR="0033591C" w:rsidRPr="00795F17">
        <w:t>y</w:t>
      </w:r>
      <w:r w:rsidRPr="00795F17">
        <w:t xml:space="preserve"> wdrożenia programów działań </w:t>
      </w:r>
      <w:r w:rsidR="00DF005E">
        <w:t>JCWP</w:t>
      </w:r>
      <w:r w:rsidRPr="00795F17">
        <w:t xml:space="preserve"> i </w:t>
      </w:r>
      <w:r w:rsidR="00DF005E">
        <w:t>JCWP</w:t>
      </w:r>
      <w:r w:rsidRPr="00795F17">
        <w:t>d (2020)</w:t>
      </w:r>
    </w:p>
    <w:p w14:paraId="66FD10F5" w14:textId="299AA799" w:rsidR="00AD1DA1" w:rsidRDefault="008B6215" w:rsidP="008C27E6">
      <w:r w:rsidRPr="00795F17">
        <w:t xml:space="preserve">Na podstawie wyników pracy </w:t>
      </w:r>
      <w:r w:rsidRPr="00795F17">
        <w:rPr>
          <w:i/>
          <w:iCs/>
        </w:rPr>
        <w:t xml:space="preserve">Ocena postępu we wdrażaniu programów działań dla </w:t>
      </w:r>
      <w:r w:rsidR="00DF005E">
        <w:rPr>
          <w:i/>
          <w:iCs/>
        </w:rPr>
        <w:t>JCWP</w:t>
      </w:r>
      <w:r w:rsidRPr="00795F17">
        <w:rPr>
          <w:i/>
          <w:iCs/>
        </w:rPr>
        <w:t xml:space="preserve"> i </w:t>
      </w:r>
      <w:r w:rsidR="00DF005E">
        <w:rPr>
          <w:i/>
          <w:iCs/>
        </w:rPr>
        <w:t>JCWP</w:t>
      </w:r>
      <w:r w:rsidRPr="00795F17">
        <w:rPr>
          <w:i/>
          <w:iCs/>
        </w:rPr>
        <w:t>d wynikających z aPWŚK</w:t>
      </w:r>
      <w:r w:rsidRPr="00795F17">
        <w:t xml:space="preserve"> w</w:t>
      </w:r>
      <w:r w:rsidR="00AD1DA1" w:rsidRPr="00795F17">
        <w:t xml:space="preserve"> obrębie grupy działań organizacyjno-prawnych stopień wdrożenia działań oszacowano, podobnie jak w przypadku działań z grupy dostęp do informacji, na poziomie 42% (wykres</w:t>
      </w:r>
      <w:r w:rsidR="009C14AE">
        <w:t> </w:t>
      </w:r>
      <w:r w:rsidR="00EE4953" w:rsidRPr="00795F17">
        <w:t>13-</w:t>
      </w:r>
      <w:r w:rsidR="00AD1DA1" w:rsidRPr="00795F17">
        <w:t xml:space="preserve">2). </w:t>
      </w:r>
    </w:p>
    <w:p w14:paraId="0F7E3984" w14:textId="77777777" w:rsidR="0084311B" w:rsidRPr="00795F17" w:rsidRDefault="0084311B" w:rsidP="008C27E6"/>
    <w:p w14:paraId="1580838A" w14:textId="62873DFD" w:rsidR="00AD1DA1" w:rsidRPr="00795F17" w:rsidRDefault="00AD1DA1" w:rsidP="00B11299">
      <w:pPr>
        <w:jc w:val="center"/>
        <w:rPr>
          <w:rFonts w:asciiTheme="minorHAnsi" w:hAnsiTheme="minorHAnsi" w:cstheme="minorHAnsi"/>
          <w:color w:val="000000"/>
          <w:sz w:val="20"/>
          <w:szCs w:val="20"/>
        </w:rPr>
      </w:pPr>
      <w:r w:rsidRPr="00795F17">
        <w:rPr>
          <w:noProof/>
          <w:lang w:eastAsia="pl-PL"/>
        </w:rPr>
        <w:drawing>
          <wp:inline distT="0" distB="0" distL="0" distR="0" wp14:anchorId="441599CA" wp14:editId="0619FC1F">
            <wp:extent cx="4320000" cy="2520000"/>
            <wp:effectExtent l="0" t="0" r="4445" b="13970"/>
            <wp:docPr id="60" name="Wykres 60">
              <a:extLst xmlns:a="http://schemas.openxmlformats.org/drawingml/2006/main">
                <a:ext uri="{FF2B5EF4-FFF2-40B4-BE49-F238E27FC236}">
                  <a16:creationId xmlns:a16="http://schemas.microsoft.com/office/drawing/2014/main" id="{FBCF32C2-1992-4E7F-A2D9-62481014829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7E42F442" w14:textId="31B56730" w:rsidR="00AD1DA1" w:rsidRPr="00795F17" w:rsidRDefault="00AD1DA1" w:rsidP="00B479EE">
      <w:pPr>
        <w:pStyle w:val="Wykres"/>
        <w:rPr>
          <w:i/>
          <w:iCs/>
        </w:rPr>
      </w:pPr>
      <w:bookmarkStart w:id="824" w:name="_Toc66288222"/>
      <w:bookmarkStart w:id="825" w:name="_Toc105513039"/>
      <w:r w:rsidRPr="00795F17">
        <w:t xml:space="preserve">Wykres </w:t>
      </w:r>
      <w:fldSimple w:instr=" STYLEREF 1 \s ">
        <w:r w:rsidR="001F774D">
          <w:rPr>
            <w:noProof/>
          </w:rPr>
          <w:t>13</w:t>
        </w:r>
      </w:fldSimple>
      <w:r w:rsidR="00FF20D3">
        <w:noBreakHyphen/>
      </w:r>
      <w:fldSimple w:instr=" SEQ Wykres \* ARABIC \s 1 ">
        <w:r w:rsidR="001F774D">
          <w:rPr>
            <w:noProof/>
          </w:rPr>
          <w:t>2</w:t>
        </w:r>
      </w:fldSimple>
      <w:r w:rsidR="002B6022">
        <w:rPr>
          <w:noProof/>
        </w:rPr>
        <w:t>.</w:t>
      </w:r>
      <w:r w:rsidRPr="00795F17">
        <w:tab/>
        <w:t>Stan realizacji działań z grupy działania organizacyjno-prawne</w:t>
      </w:r>
      <w:bookmarkEnd w:id="824"/>
      <w:bookmarkEnd w:id="825"/>
    </w:p>
    <w:p w14:paraId="69A191D8" w14:textId="67907A74" w:rsidR="00AD1DA1" w:rsidRPr="00795F17" w:rsidRDefault="00AD1DA1" w:rsidP="006E4DD0">
      <w:pPr>
        <w:pStyle w:val="rdo"/>
        <w:spacing w:before="0" w:after="0"/>
      </w:pPr>
      <w:r w:rsidRPr="00795F17">
        <w:t xml:space="preserve">Źródło: </w:t>
      </w:r>
      <w:r w:rsidR="00FD7248" w:rsidRPr="00795F17">
        <w:t>opracowanie własne</w:t>
      </w:r>
      <w:r w:rsidRPr="00795F17">
        <w:t xml:space="preserve"> na podstawie Ocen</w:t>
      </w:r>
      <w:r w:rsidR="007772C5" w:rsidRPr="00795F17">
        <w:t>y</w:t>
      </w:r>
      <w:r w:rsidRPr="00795F17">
        <w:t xml:space="preserve"> wdrożenia programów działań </w:t>
      </w:r>
      <w:r w:rsidR="00DF005E">
        <w:t>JCWP</w:t>
      </w:r>
      <w:r w:rsidRPr="00795F17">
        <w:t xml:space="preserve"> i </w:t>
      </w:r>
      <w:r w:rsidR="00DF005E">
        <w:t>JCWP</w:t>
      </w:r>
      <w:r w:rsidRPr="00795F17">
        <w:t>d (2020)</w:t>
      </w:r>
    </w:p>
    <w:p w14:paraId="7664EDB2" w14:textId="7BE5192F" w:rsidR="00AD1DA1" w:rsidRPr="00795F17" w:rsidRDefault="00237E00" w:rsidP="0044393D">
      <w:r w:rsidRPr="00795F17">
        <w:t>Uzyskany stopień zaawansowania wynika m.in. z dokonanych pr.w. zmian kompetencyjnych w obrębie tej kategorii, skutkujących wskazywaniem zakończenia realizacji działania przez jednostki, które utraciły kompetencje w zakresie wdrażania działania, nawet w przypadku, gdy nie podjęto faktycznych prac. Zmiany w kompetencjach organów właściwych do spraw czynności podejmowanych w przypadku możliwości nieosiągnięcia celów środowiskowych przedstawia poniższa tabela 13-7.</w:t>
      </w:r>
    </w:p>
    <w:p w14:paraId="18FFCAE4" w14:textId="3CCA023F" w:rsidR="00AD1DA1" w:rsidRPr="00795F17" w:rsidRDefault="00AD1DA1" w:rsidP="004D7705">
      <w:pPr>
        <w:pStyle w:val="Tabela"/>
      </w:pPr>
      <w:bookmarkStart w:id="826" w:name="_Toc66261851"/>
      <w:bookmarkStart w:id="827" w:name="_Toc66288115"/>
      <w:bookmarkStart w:id="828" w:name="_Toc66341964"/>
      <w:bookmarkStart w:id="829" w:name="_Toc105512893"/>
      <w:r w:rsidRPr="00795F17">
        <w:t xml:space="preserve">Tabela </w:t>
      </w:r>
      <w:fldSimple w:instr=" STYLEREF 1 \s ">
        <w:r w:rsidR="001F774D">
          <w:rPr>
            <w:noProof/>
          </w:rPr>
          <w:t>13</w:t>
        </w:r>
      </w:fldSimple>
      <w:r w:rsidR="00BB3B21" w:rsidRPr="00795F17">
        <w:noBreakHyphen/>
      </w:r>
      <w:fldSimple w:instr=" SEQ Tabela \* ARABIC \s 1 ">
        <w:r w:rsidR="001F774D">
          <w:rPr>
            <w:noProof/>
          </w:rPr>
          <w:t>7</w:t>
        </w:r>
      </w:fldSimple>
      <w:r w:rsidR="000B5450">
        <w:rPr>
          <w:noProof/>
        </w:rPr>
        <w:t>.</w:t>
      </w:r>
      <w:r w:rsidRPr="00795F17">
        <w:tab/>
        <w:t>Zmiany w kompetencjach organów właściwych do spraw czynności podejmowanych w</w:t>
      </w:r>
      <w:r w:rsidR="00777B9F" w:rsidRPr="00795F17">
        <w:t> </w:t>
      </w:r>
      <w:r w:rsidRPr="00795F17">
        <w:t>przypadku możliwości nieosiągnięcia celów środowiskowych</w:t>
      </w:r>
      <w:bookmarkEnd w:id="826"/>
      <w:bookmarkEnd w:id="827"/>
      <w:bookmarkEnd w:id="828"/>
      <w:bookmarkEnd w:id="829"/>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9"/>
        <w:gridCol w:w="3537"/>
        <w:gridCol w:w="2410"/>
        <w:gridCol w:w="2546"/>
      </w:tblGrid>
      <w:tr w:rsidR="00AD1DA1" w:rsidRPr="00795F17" w14:paraId="325E5D00" w14:textId="77777777" w:rsidTr="00777B9F">
        <w:trPr>
          <w:cnfStyle w:val="100000000000" w:firstRow="1" w:lastRow="0" w:firstColumn="0" w:lastColumn="0" w:oddVBand="0" w:evenVBand="0" w:oddHBand="0" w:evenHBand="0" w:firstRowFirstColumn="0" w:firstRowLastColumn="0" w:lastRowFirstColumn="0" w:lastRowLastColumn="0"/>
          <w:trHeight w:val="558"/>
        </w:trPr>
        <w:tc>
          <w:tcPr>
            <w:tcW w:w="569" w:type="dxa"/>
            <w:tcBorders>
              <w:top w:val="single" w:sz="4" w:space="0" w:color="auto"/>
              <w:left w:val="single" w:sz="4" w:space="0" w:color="auto"/>
              <w:bottom w:val="single" w:sz="4" w:space="0" w:color="auto"/>
              <w:right w:val="single" w:sz="4" w:space="0" w:color="auto"/>
            </w:tcBorders>
          </w:tcPr>
          <w:p w14:paraId="28173ECF" w14:textId="77777777" w:rsidR="00AD1DA1" w:rsidRPr="00795F17" w:rsidRDefault="00AD1DA1" w:rsidP="0044393D">
            <w:pPr>
              <w:pStyle w:val="Teksttabelinaglowek"/>
              <w:rPr>
                <w:rFonts w:cstheme="minorHAnsi"/>
                <w:b/>
                <w:bCs/>
                <w:szCs w:val="20"/>
              </w:rPr>
            </w:pPr>
            <w:r w:rsidRPr="00795F17">
              <w:rPr>
                <w:b/>
              </w:rPr>
              <w:t>Lp.</w:t>
            </w:r>
          </w:p>
        </w:tc>
        <w:tc>
          <w:tcPr>
            <w:tcW w:w="3537" w:type="dxa"/>
            <w:tcBorders>
              <w:top w:val="single" w:sz="4" w:space="0" w:color="auto"/>
              <w:left w:val="single" w:sz="4" w:space="0" w:color="auto"/>
              <w:bottom w:val="single" w:sz="4" w:space="0" w:color="auto"/>
              <w:right w:val="single" w:sz="4" w:space="0" w:color="auto"/>
            </w:tcBorders>
          </w:tcPr>
          <w:p w14:paraId="1ED14499" w14:textId="77777777" w:rsidR="00AD1DA1" w:rsidRPr="00795F17" w:rsidRDefault="00AD1DA1" w:rsidP="0044393D">
            <w:pPr>
              <w:pStyle w:val="Teksttabelinaglowek"/>
              <w:rPr>
                <w:rFonts w:cstheme="minorHAnsi"/>
                <w:b/>
                <w:bCs/>
                <w:szCs w:val="20"/>
              </w:rPr>
            </w:pPr>
            <w:r w:rsidRPr="00795F17">
              <w:rPr>
                <w:b/>
              </w:rPr>
              <w:t>Czynność</w:t>
            </w:r>
          </w:p>
        </w:tc>
        <w:tc>
          <w:tcPr>
            <w:tcW w:w="2410" w:type="dxa"/>
            <w:tcBorders>
              <w:top w:val="single" w:sz="4" w:space="0" w:color="auto"/>
              <w:left w:val="single" w:sz="4" w:space="0" w:color="auto"/>
              <w:bottom w:val="single" w:sz="4" w:space="0" w:color="auto"/>
              <w:right w:val="single" w:sz="4" w:space="0" w:color="auto"/>
            </w:tcBorders>
          </w:tcPr>
          <w:p w14:paraId="5D415A4D" w14:textId="6B4A18CE" w:rsidR="00777B9F" w:rsidRPr="00795F17" w:rsidRDefault="00EC076C" w:rsidP="0044393D">
            <w:pPr>
              <w:pStyle w:val="Teksttabelinaglowek"/>
              <w:rPr>
                <w:b/>
                <w:szCs w:val="20"/>
              </w:rPr>
            </w:pPr>
            <w:r w:rsidRPr="00795F17">
              <w:rPr>
                <w:b/>
              </w:rPr>
              <w:t>Star</w:t>
            </w:r>
            <w:r>
              <w:rPr>
                <w:b/>
              </w:rPr>
              <w:t>e</w:t>
            </w:r>
            <w:r w:rsidRPr="00795F17">
              <w:rPr>
                <w:b/>
              </w:rPr>
              <w:t xml:space="preserve"> </w:t>
            </w:r>
            <w:r w:rsidR="00AD1DA1" w:rsidRPr="00795F17">
              <w:rPr>
                <w:b/>
              </w:rPr>
              <w:t>pr.w.</w:t>
            </w:r>
            <w:r w:rsidR="001F57C1">
              <w:rPr>
                <w:b/>
              </w:rPr>
              <w:br/>
            </w:r>
            <w:r w:rsidR="00777B9F" w:rsidRPr="00795F17">
              <w:rPr>
                <w:b/>
              </w:rPr>
              <w:t>(s.pr.w.)</w:t>
            </w:r>
          </w:p>
        </w:tc>
        <w:tc>
          <w:tcPr>
            <w:tcW w:w="2546" w:type="dxa"/>
            <w:tcBorders>
              <w:top w:val="single" w:sz="4" w:space="0" w:color="auto"/>
              <w:left w:val="single" w:sz="4" w:space="0" w:color="auto"/>
              <w:bottom w:val="single" w:sz="4" w:space="0" w:color="auto"/>
              <w:right w:val="single" w:sz="4" w:space="0" w:color="auto"/>
            </w:tcBorders>
          </w:tcPr>
          <w:p w14:paraId="2F322912" w14:textId="55733296" w:rsidR="00777B9F" w:rsidRPr="00795F17" w:rsidRDefault="00EC076C" w:rsidP="0044393D">
            <w:pPr>
              <w:pStyle w:val="Teksttabelinaglowek"/>
              <w:rPr>
                <w:b/>
                <w:szCs w:val="20"/>
              </w:rPr>
            </w:pPr>
            <w:r w:rsidRPr="00795F17">
              <w:rPr>
                <w:b/>
              </w:rPr>
              <w:t>Obowiązując</w:t>
            </w:r>
            <w:r>
              <w:rPr>
                <w:b/>
              </w:rPr>
              <w:t>e</w:t>
            </w:r>
            <w:r w:rsidRPr="00795F17">
              <w:rPr>
                <w:b/>
              </w:rPr>
              <w:t xml:space="preserve"> </w:t>
            </w:r>
            <w:r w:rsidR="00AD1DA1" w:rsidRPr="00795F17">
              <w:rPr>
                <w:b/>
              </w:rPr>
              <w:t>pr.w.</w:t>
            </w:r>
            <w:r w:rsidR="001F57C1">
              <w:rPr>
                <w:b/>
              </w:rPr>
              <w:br/>
            </w:r>
            <w:r w:rsidR="00777B9F" w:rsidRPr="00795F17">
              <w:rPr>
                <w:b/>
              </w:rPr>
              <w:t>(pr.w.)</w:t>
            </w:r>
          </w:p>
        </w:tc>
      </w:tr>
      <w:tr w:rsidR="00AD1DA1" w:rsidRPr="00795F17" w14:paraId="1E551142" w14:textId="77777777" w:rsidTr="00777B9F">
        <w:tc>
          <w:tcPr>
            <w:tcW w:w="569" w:type="dxa"/>
            <w:tcBorders>
              <w:top w:val="single" w:sz="4" w:space="0" w:color="auto"/>
              <w:left w:val="single" w:sz="4" w:space="0" w:color="auto"/>
              <w:bottom w:val="single" w:sz="4" w:space="0" w:color="auto"/>
              <w:right w:val="single" w:sz="4" w:space="0" w:color="auto"/>
            </w:tcBorders>
          </w:tcPr>
          <w:p w14:paraId="69228B16" w14:textId="77777777" w:rsidR="00AD1DA1" w:rsidRPr="00795F17" w:rsidRDefault="00AD1DA1" w:rsidP="0065243A">
            <w:pPr>
              <w:pStyle w:val="Teksttabelisrodek"/>
              <w:rPr>
                <w:rFonts w:cstheme="minorHAnsi"/>
                <w:szCs w:val="20"/>
              </w:rPr>
            </w:pPr>
            <w:r w:rsidRPr="00795F17">
              <w:t>1.</w:t>
            </w:r>
          </w:p>
        </w:tc>
        <w:tc>
          <w:tcPr>
            <w:tcW w:w="3537" w:type="dxa"/>
            <w:tcBorders>
              <w:top w:val="single" w:sz="4" w:space="0" w:color="auto"/>
              <w:left w:val="single" w:sz="4" w:space="0" w:color="auto"/>
              <w:bottom w:val="single" w:sz="4" w:space="0" w:color="auto"/>
              <w:right w:val="single" w:sz="4" w:space="0" w:color="auto"/>
            </w:tcBorders>
          </w:tcPr>
          <w:p w14:paraId="6D3EACC5" w14:textId="77777777" w:rsidR="00AD1DA1" w:rsidRPr="00795F17" w:rsidRDefault="00AD1DA1" w:rsidP="0044393D">
            <w:pPr>
              <w:pStyle w:val="Teksttabelilewy"/>
              <w:rPr>
                <w:rFonts w:cstheme="minorHAnsi"/>
                <w:szCs w:val="20"/>
              </w:rPr>
            </w:pPr>
            <w:r w:rsidRPr="00795F17">
              <w:t>Monitoring wód powierzchniowych (śródlądowe i mo</w:t>
            </w:r>
            <w:r w:rsidRPr="00795F17">
              <w:rPr>
                <w:rFonts w:cstheme="minorHAnsi"/>
                <w:szCs w:val="20"/>
              </w:rPr>
              <w:t>rskie)</w:t>
            </w:r>
          </w:p>
        </w:tc>
        <w:tc>
          <w:tcPr>
            <w:tcW w:w="2410" w:type="dxa"/>
            <w:tcBorders>
              <w:top w:val="single" w:sz="4" w:space="0" w:color="auto"/>
              <w:left w:val="single" w:sz="4" w:space="0" w:color="auto"/>
              <w:bottom w:val="single" w:sz="4" w:space="0" w:color="auto"/>
              <w:right w:val="single" w:sz="4" w:space="0" w:color="auto"/>
            </w:tcBorders>
          </w:tcPr>
          <w:p w14:paraId="18770358" w14:textId="77777777" w:rsidR="00AD1DA1" w:rsidRPr="00795F17" w:rsidRDefault="00AD1DA1" w:rsidP="0065243A">
            <w:pPr>
              <w:pStyle w:val="Teksttabelisrodek"/>
              <w:rPr>
                <w:rFonts w:cstheme="minorHAnsi"/>
                <w:szCs w:val="20"/>
              </w:rPr>
            </w:pPr>
            <w:r w:rsidRPr="00795F17">
              <w:t>WIOŚ</w:t>
            </w:r>
          </w:p>
        </w:tc>
        <w:tc>
          <w:tcPr>
            <w:tcW w:w="2546" w:type="dxa"/>
            <w:tcBorders>
              <w:top w:val="single" w:sz="4" w:space="0" w:color="auto"/>
              <w:left w:val="single" w:sz="4" w:space="0" w:color="auto"/>
              <w:bottom w:val="single" w:sz="4" w:space="0" w:color="auto"/>
              <w:right w:val="single" w:sz="4" w:space="0" w:color="auto"/>
            </w:tcBorders>
          </w:tcPr>
          <w:p w14:paraId="28C81186" w14:textId="19472B13" w:rsidR="00AD1DA1" w:rsidRPr="00795F17" w:rsidRDefault="003F1CC9" w:rsidP="0065243A">
            <w:pPr>
              <w:pStyle w:val="Teksttabelisrodek"/>
              <w:rPr>
                <w:rFonts w:cstheme="minorHAnsi"/>
                <w:szCs w:val="20"/>
              </w:rPr>
            </w:pPr>
            <w:r>
              <w:t>G</w:t>
            </w:r>
            <w:r w:rsidR="00AD1DA1" w:rsidRPr="00795F17">
              <w:t>IOŚ</w:t>
            </w:r>
          </w:p>
        </w:tc>
      </w:tr>
      <w:tr w:rsidR="00AD1DA1" w:rsidRPr="00795F17" w14:paraId="2D084CF4" w14:textId="77777777" w:rsidTr="00777B9F">
        <w:tc>
          <w:tcPr>
            <w:tcW w:w="569" w:type="dxa"/>
            <w:tcBorders>
              <w:top w:val="single" w:sz="4" w:space="0" w:color="auto"/>
              <w:left w:val="single" w:sz="4" w:space="0" w:color="auto"/>
              <w:bottom w:val="single" w:sz="4" w:space="0" w:color="auto"/>
              <w:right w:val="single" w:sz="4" w:space="0" w:color="auto"/>
            </w:tcBorders>
          </w:tcPr>
          <w:p w14:paraId="4083C0B5" w14:textId="77777777" w:rsidR="00AD1DA1" w:rsidRPr="00795F17" w:rsidRDefault="00AD1DA1" w:rsidP="0065243A">
            <w:pPr>
              <w:pStyle w:val="Teksttabelisrodek"/>
              <w:rPr>
                <w:rFonts w:cstheme="minorHAnsi"/>
                <w:szCs w:val="20"/>
              </w:rPr>
            </w:pPr>
            <w:r w:rsidRPr="00795F17">
              <w:t>2.</w:t>
            </w:r>
          </w:p>
        </w:tc>
        <w:tc>
          <w:tcPr>
            <w:tcW w:w="3537" w:type="dxa"/>
            <w:tcBorders>
              <w:top w:val="single" w:sz="4" w:space="0" w:color="auto"/>
              <w:left w:val="single" w:sz="4" w:space="0" w:color="auto"/>
              <w:bottom w:val="single" w:sz="4" w:space="0" w:color="auto"/>
              <w:right w:val="single" w:sz="4" w:space="0" w:color="auto"/>
            </w:tcBorders>
          </w:tcPr>
          <w:p w14:paraId="1984AE48" w14:textId="77777777" w:rsidR="00AD1DA1" w:rsidRPr="00795F17" w:rsidRDefault="00AD1DA1" w:rsidP="0044393D">
            <w:pPr>
              <w:pStyle w:val="Teksttabelilewy"/>
              <w:rPr>
                <w:rFonts w:cstheme="minorHAnsi"/>
                <w:szCs w:val="20"/>
              </w:rPr>
            </w:pPr>
            <w:r w:rsidRPr="00795F17">
              <w:t>Monitoring wód podziemnych</w:t>
            </w:r>
          </w:p>
        </w:tc>
        <w:tc>
          <w:tcPr>
            <w:tcW w:w="2410" w:type="dxa"/>
            <w:tcBorders>
              <w:top w:val="single" w:sz="4" w:space="0" w:color="auto"/>
              <w:left w:val="single" w:sz="4" w:space="0" w:color="auto"/>
              <w:bottom w:val="single" w:sz="4" w:space="0" w:color="auto"/>
              <w:right w:val="single" w:sz="4" w:space="0" w:color="auto"/>
            </w:tcBorders>
          </w:tcPr>
          <w:p w14:paraId="121EC16C" w14:textId="2AB8076C" w:rsidR="00AD1DA1" w:rsidRPr="00795F17" w:rsidRDefault="00AD1DA1" w:rsidP="0065243A">
            <w:pPr>
              <w:pStyle w:val="Teksttabelisrodek"/>
              <w:rPr>
                <w:rFonts w:cstheme="minorHAnsi"/>
                <w:szCs w:val="20"/>
              </w:rPr>
            </w:pPr>
            <w:r w:rsidRPr="00795F17">
              <w:t>PIG</w:t>
            </w:r>
            <w:r w:rsidR="00237E00" w:rsidRPr="00795F17">
              <w:t>-</w:t>
            </w:r>
            <w:r w:rsidRPr="00795F17">
              <w:t>PIB</w:t>
            </w:r>
          </w:p>
        </w:tc>
        <w:tc>
          <w:tcPr>
            <w:tcW w:w="2546" w:type="dxa"/>
            <w:tcBorders>
              <w:top w:val="single" w:sz="4" w:space="0" w:color="auto"/>
              <w:left w:val="single" w:sz="4" w:space="0" w:color="auto"/>
              <w:bottom w:val="single" w:sz="4" w:space="0" w:color="auto"/>
              <w:right w:val="single" w:sz="4" w:space="0" w:color="auto"/>
            </w:tcBorders>
          </w:tcPr>
          <w:p w14:paraId="40EF07BA" w14:textId="78111CA6" w:rsidR="00AD1DA1" w:rsidRPr="00795F17" w:rsidRDefault="00AD1DA1" w:rsidP="0065243A">
            <w:pPr>
              <w:pStyle w:val="Teksttabelisrodek"/>
              <w:rPr>
                <w:rFonts w:cstheme="minorHAnsi"/>
                <w:szCs w:val="20"/>
              </w:rPr>
            </w:pPr>
            <w:r w:rsidRPr="00795F17">
              <w:t>PIG</w:t>
            </w:r>
            <w:r w:rsidR="00237E00" w:rsidRPr="00795F17">
              <w:t>-</w:t>
            </w:r>
            <w:r w:rsidRPr="00795F17">
              <w:t>PIB</w:t>
            </w:r>
          </w:p>
        </w:tc>
      </w:tr>
      <w:tr w:rsidR="00AD1DA1" w:rsidRPr="00795F17" w14:paraId="062DF15E" w14:textId="77777777" w:rsidTr="00777B9F">
        <w:tc>
          <w:tcPr>
            <w:tcW w:w="569" w:type="dxa"/>
            <w:tcBorders>
              <w:top w:val="single" w:sz="4" w:space="0" w:color="auto"/>
              <w:left w:val="single" w:sz="4" w:space="0" w:color="auto"/>
              <w:bottom w:val="single" w:sz="4" w:space="0" w:color="auto"/>
              <w:right w:val="single" w:sz="4" w:space="0" w:color="auto"/>
            </w:tcBorders>
          </w:tcPr>
          <w:p w14:paraId="327CF313" w14:textId="77777777" w:rsidR="00AD1DA1" w:rsidRPr="00795F17" w:rsidRDefault="00AD1DA1" w:rsidP="0065243A">
            <w:pPr>
              <w:pStyle w:val="Teksttabelisrodek"/>
              <w:rPr>
                <w:rFonts w:cstheme="minorHAnsi"/>
                <w:szCs w:val="20"/>
              </w:rPr>
            </w:pPr>
            <w:r w:rsidRPr="00795F17">
              <w:t>3.</w:t>
            </w:r>
          </w:p>
        </w:tc>
        <w:tc>
          <w:tcPr>
            <w:tcW w:w="3537" w:type="dxa"/>
            <w:tcBorders>
              <w:top w:val="single" w:sz="4" w:space="0" w:color="auto"/>
              <w:left w:val="single" w:sz="4" w:space="0" w:color="auto"/>
              <w:bottom w:val="single" w:sz="4" w:space="0" w:color="auto"/>
              <w:right w:val="single" w:sz="4" w:space="0" w:color="auto"/>
            </w:tcBorders>
          </w:tcPr>
          <w:p w14:paraId="7E85EFD9" w14:textId="77777777" w:rsidR="00AD1DA1" w:rsidRPr="00795F17" w:rsidRDefault="00AD1DA1" w:rsidP="0044393D">
            <w:pPr>
              <w:pStyle w:val="Teksttabelilewy"/>
              <w:rPr>
                <w:rFonts w:cstheme="minorHAnsi"/>
                <w:szCs w:val="20"/>
              </w:rPr>
            </w:pPr>
            <w:r w:rsidRPr="00795F17">
              <w:t>Przegląd zagrożeń osiągnięcia celów środowiskowych</w:t>
            </w:r>
          </w:p>
        </w:tc>
        <w:tc>
          <w:tcPr>
            <w:tcW w:w="2410" w:type="dxa"/>
            <w:tcBorders>
              <w:top w:val="single" w:sz="4" w:space="0" w:color="auto"/>
              <w:left w:val="single" w:sz="4" w:space="0" w:color="auto"/>
              <w:bottom w:val="single" w:sz="4" w:space="0" w:color="auto"/>
              <w:right w:val="single" w:sz="4" w:space="0" w:color="auto"/>
            </w:tcBorders>
          </w:tcPr>
          <w:p w14:paraId="734F50C3" w14:textId="77777777" w:rsidR="00AD1DA1" w:rsidRPr="00795F17" w:rsidRDefault="00AD1DA1" w:rsidP="0065243A">
            <w:pPr>
              <w:pStyle w:val="Teksttabelisrodek"/>
              <w:rPr>
                <w:rFonts w:cstheme="minorHAnsi"/>
                <w:szCs w:val="20"/>
              </w:rPr>
            </w:pPr>
            <w:r w:rsidRPr="00795F17">
              <w:t>Prezes KZGW</w:t>
            </w:r>
          </w:p>
        </w:tc>
        <w:tc>
          <w:tcPr>
            <w:tcW w:w="2546" w:type="dxa"/>
            <w:tcBorders>
              <w:top w:val="single" w:sz="4" w:space="0" w:color="auto"/>
              <w:left w:val="single" w:sz="4" w:space="0" w:color="auto"/>
              <w:bottom w:val="single" w:sz="4" w:space="0" w:color="auto"/>
              <w:right w:val="single" w:sz="4" w:space="0" w:color="auto"/>
            </w:tcBorders>
          </w:tcPr>
          <w:p w14:paraId="44DA4FA3" w14:textId="77777777" w:rsidR="00AD1DA1" w:rsidRPr="00795F17" w:rsidRDefault="00AD1DA1" w:rsidP="0065243A">
            <w:pPr>
              <w:pStyle w:val="Teksttabelisrodek"/>
              <w:rPr>
                <w:rFonts w:cstheme="minorHAnsi"/>
                <w:szCs w:val="20"/>
              </w:rPr>
            </w:pPr>
            <w:r w:rsidRPr="00795F17">
              <w:t>Minister właściwy ds. gospodarki wodnej</w:t>
            </w:r>
          </w:p>
        </w:tc>
      </w:tr>
      <w:tr w:rsidR="00AD1DA1" w:rsidRPr="00795F17" w14:paraId="0EBC7875" w14:textId="77777777" w:rsidTr="00777B9F">
        <w:tc>
          <w:tcPr>
            <w:tcW w:w="569" w:type="dxa"/>
            <w:tcBorders>
              <w:top w:val="single" w:sz="4" w:space="0" w:color="auto"/>
              <w:left w:val="single" w:sz="4" w:space="0" w:color="auto"/>
              <w:bottom w:val="single" w:sz="4" w:space="0" w:color="auto"/>
              <w:right w:val="single" w:sz="4" w:space="0" w:color="auto"/>
            </w:tcBorders>
          </w:tcPr>
          <w:p w14:paraId="2B914BC3" w14:textId="77777777" w:rsidR="00AD1DA1" w:rsidRPr="00795F17" w:rsidRDefault="00AD1DA1" w:rsidP="0065243A">
            <w:pPr>
              <w:pStyle w:val="Teksttabelisrodek"/>
              <w:rPr>
                <w:rFonts w:cstheme="minorHAnsi"/>
                <w:szCs w:val="20"/>
              </w:rPr>
            </w:pPr>
            <w:r w:rsidRPr="00795F17">
              <w:t>4.</w:t>
            </w:r>
          </w:p>
        </w:tc>
        <w:tc>
          <w:tcPr>
            <w:tcW w:w="3537" w:type="dxa"/>
            <w:tcBorders>
              <w:top w:val="single" w:sz="4" w:space="0" w:color="auto"/>
              <w:left w:val="single" w:sz="4" w:space="0" w:color="auto"/>
              <w:bottom w:val="single" w:sz="4" w:space="0" w:color="auto"/>
              <w:right w:val="single" w:sz="4" w:space="0" w:color="auto"/>
            </w:tcBorders>
          </w:tcPr>
          <w:p w14:paraId="00143C8E" w14:textId="77777777" w:rsidR="00AD1DA1" w:rsidRPr="00795F17" w:rsidRDefault="00AD1DA1" w:rsidP="0044393D">
            <w:pPr>
              <w:pStyle w:val="Teksttabelilewy"/>
            </w:pPr>
            <w:r w:rsidRPr="00795F17">
              <w:t>Przegląd udzielonych pozwoleń wodnoprawnych (organy wydające decyzje administracyjne)</w:t>
            </w:r>
          </w:p>
        </w:tc>
        <w:tc>
          <w:tcPr>
            <w:tcW w:w="2410" w:type="dxa"/>
            <w:tcBorders>
              <w:top w:val="single" w:sz="4" w:space="0" w:color="auto"/>
              <w:left w:val="single" w:sz="4" w:space="0" w:color="auto"/>
              <w:bottom w:val="single" w:sz="4" w:space="0" w:color="auto"/>
              <w:right w:val="single" w:sz="4" w:space="0" w:color="auto"/>
            </w:tcBorders>
          </w:tcPr>
          <w:p w14:paraId="2363B65B" w14:textId="77777777" w:rsidR="00AD1DA1" w:rsidRPr="00795F17" w:rsidRDefault="00AD1DA1" w:rsidP="0065243A">
            <w:pPr>
              <w:pStyle w:val="Teksttabelisrodek"/>
              <w:rPr>
                <w:rFonts w:cstheme="minorHAnsi"/>
                <w:szCs w:val="20"/>
              </w:rPr>
            </w:pPr>
            <w:r w:rsidRPr="00795F17">
              <w:t>Starosta albo marszałek województwa</w:t>
            </w:r>
          </w:p>
        </w:tc>
        <w:tc>
          <w:tcPr>
            <w:tcW w:w="2546" w:type="dxa"/>
            <w:tcBorders>
              <w:top w:val="single" w:sz="4" w:space="0" w:color="auto"/>
              <w:left w:val="single" w:sz="4" w:space="0" w:color="auto"/>
              <w:bottom w:val="single" w:sz="4" w:space="0" w:color="auto"/>
              <w:right w:val="single" w:sz="4" w:space="0" w:color="auto"/>
            </w:tcBorders>
          </w:tcPr>
          <w:p w14:paraId="43577F53" w14:textId="1C6EC743" w:rsidR="00AD1DA1" w:rsidRPr="00795F17" w:rsidRDefault="0028234C" w:rsidP="0065243A">
            <w:pPr>
              <w:pStyle w:val="Teksttabelisrodek"/>
            </w:pPr>
            <w:r w:rsidRPr="00795F17">
              <w:t>PGW WP</w:t>
            </w:r>
            <w:r w:rsidR="00AD1DA1" w:rsidRPr="00795F17">
              <w:t xml:space="preserve"> albo minister właściwy ds. gospodarki wodnej</w:t>
            </w:r>
          </w:p>
        </w:tc>
      </w:tr>
      <w:tr w:rsidR="00AD1DA1" w:rsidRPr="00795F17" w14:paraId="1626349F" w14:textId="77777777" w:rsidTr="00777B9F">
        <w:tc>
          <w:tcPr>
            <w:tcW w:w="569" w:type="dxa"/>
            <w:tcBorders>
              <w:top w:val="single" w:sz="4" w:space="0" w:color="auto"/>
              <w:left w:val="single" w:sz="4" w:space="0" w:color="auto"/>
              <w:bottom w:val="single" w:sz="4" w:space="0" w:color="auto"/>
              <w:right w:val="single" w:sz="4" w:space="0" w:color="auto"/>
            </w:tcBorders>
          </w:tcPr>
          <w:p w14:paraId="6F65EA28" w14:textId="77777777" w:rsidR="00AD1DA1" w:rsidRPr="00795F17" w:rsidRDefault="00AD1DA1" w:rsidP="0065243A">
            <w:pPr>
              <w:pStyle w:val="Teksttabelisrodek"/>
              <w:rPr>
                <w:rFonts w:cstheme="minorHAnsi"/>
                <w:szCs w:val="20"/>
              </w:rPr>
            </w:pPr>
            <w:r w:rsidRPr="00795F17">
              <w:t>5.</w:t>
            </w:r>
          </w:p>
        </w:tc>
        <w:tc>
          <w:tcPr>
            <w:tcW w:w="3537" w:type="dxa"/>
            <w:tcBorders>
              <w:top w:val="single" w:sz="4" w:space="0" w:color="auto"/>
              <w:left w:val="single" w:sz="4" w:space="0" w:color="auto"/>
              <w:bottom w:val="single" w:sz="4" w:space="0" w:color="auto"/>
              <w:right w:val="single" w:sz="4" w:space="0" w:color="auto"/>
            </w:tcBorders>
          </w:tcPr>
          <w:p w14:paraId="33D4EF93" w14:textId="77777777" w:rsidR="00AD1DA1" w:rsidRPr="00795F17" w:rsidRDefault="00AD1DA1" w:rsidP="0044393D">
            <w:pPr>
              <w:pStyle w:val="Teksttabelilewy"/>
              <w:rPr>
                <w:rFonts w:cstheme="minorHAnsi"/>
                <w:szCs w:val="20"/>
              </w:rPr>
            </w:pPr>
            <w:r w:rsidRPr="00795F17">
              <w:t>Przegląd programu monitoringu wód</w:t>
            </w:r>
          </w:p>
        </w:tc>
        <w:tc>
          <w:tcPr>
            <w:tcW w:w="2410" w:type="dxa"/>
            <w:tcBorders>
              <w:top w:val="single" w:sz="4" w:space="0" w:color="auto"/>
              <w:left w:val="single" w:sz="4" w:space="0" w:color="auto"/>
              <w:bottom w:val="single" w:sz="4" w:space="0" w:color="auto"/>
              <w:right w:val="single" w:sz="4" w:space="0" w:color="auto"/>
            </w:tcBorders>
          </w:tcPr>
          <w:p w14:paraId="0AF7BBBD" w14:textId="77777777" w:rsidR="00AD1DA1" w:rsidRPr="00795F17" w:rsidRDefault="00AD1DA1" w:rsidP="0065243A">
            <w:pPr>
              <w:pStyle w:val="Teksttabelisrodek"/>
              <w:rPr>
                <w:rFonts w:cstheme="minorHAnsi"/>
                <w:szCs w:val="20"/>
              </w:rPr>
            </w:pPr>
            <w:r w:rsidRPr="00795F17">
              <w:t>GIOŚ</w:t>
            </w:r>
          </w:p>
        </w:tc>
        <w:tc>
          <w:tcPr>
            <w:tcW w:w="2546" w:type="dxa"/>
            <w:tcBorders>
              <w:top w:val="single" w:sz="4" w:space="0" w:color="auto"/>
              <w:left w:val="single" w:sz="4" w:space="0" w:color="auto"/>
              <w:bottom w:val="single" w:sz="4" w:space="0" w:color="auto"/>
              <w:right w:val="single" w:sz="4" w:space="0" w:color="auto"/>
            </w:tcBorders>
          </w:tcPr>
          <w:p w14:paraId="5CE9F343" w14:textId="39E93A3A" w:rsidR="00AD1DA1" w:rsidRPr="00795F17" w:rsidRDefault="00AD1DA1" w:rsidP="0065243A">
            <w:pPr>
              <w:pStyle w:val="Teksttabelisrodek"/>
              <w:rPr>
                <w:rFonts w:cstheme="minorHAnsi"/>
                <w:szCs w:val="20"/>
              </w:rPr>
            </w:pPr>
            <w:r w:rsidRPr="00795F17">
              <w:t>GIOŚ w porozumieniu z</w:t>
            </w:r>
            <w:r w:rsidR="00862CFD">
              <w:t> </w:t>
            </w:r>
            <w:r w:rsidRPr="00795F17">
              <w:t xml:space="preserve">ministrem </w:t>
            </w:r>
            <w:r w:rsidRPr="00795F17">
              <w:rPr>
                <w:rFonts w:cstheme="minorHAnsi"/>
                <w:szCs w:val="20"/>
              </w:rPr>
              <w:t>właściwym ds.</w:t>
            </w:r>
            <w:r w:rsidR="00862CFD">
              <w:rPr>
                <w:rFonts w:cstheme="minorHAnsi"/>
                <w:szCs w:val="20"/>
              </w:rPr>
              <w:t> </w:t>
            </w:r>
            <w:r w:rsidRPr="00795F17">
              <w:rPr>
                <w:rFonts w:cstheme="minorHAnsi"/>
                <w:szCs w:val="20"/>
              </w:rPr>
              <w:t>gospodarki wodnej</w:t>
            </w:r>
          </w:p>
        </w:tc>
      </w:tr>
    </w:tbl>
    <w:p w14:paraId="52BD8516" w14:textId="268D33C2" w:rsidR="00AD1DA1" w:rsidRPr="00795F17" w:rsidRDefault="00AD1DA1" w:rsidP="0044393D">
      <w:pPr>
        <w:pStyle w:val="rdo"/>
      </w:pPr>
      <w:r w:rsidRPr="00795F17">
        <w:t>Źródło: opracowanie własne</w:t>
      </w:r>
    </w:p>
    <w:p w14:paraId="4BA78837" w14:textId="75EF9FA2" w:rsidR="00AD1DA1" w:rsidRPr="00795F17" w:rsidRDefault="00AD1DA1" w:rsidP="0044393D">
      <w:r w:rsidRPr="00795F17">
        <w:t xml:space="preserve">Ze względu na stan ilościowy </w:t>
      </w:r>
      <w:r w:rsidR="00DF005E">
        <w:t>JCWP</w:t>
      </w:r>
      <w:r w:rsidRPr="00795F17">
        <w:t>d, istotne z punktu widzenia zaopatrzenia w wodę do spożycia są</w:t>
      </w:r>
      <w:r w:rsidR="00237E00" w:rsidRPr="00795F17">
        <w:t> </w:t>
      </w:r>
      <w:r w:rsidRPr="00795F17">
        <w:t>m.in. działania niezrealizowane takie jak:</w:t>
      </w:r>
    </w:p>
    <w:p w14:paraId="75217D0B" w14:textId="72E4FC23" w:rsidR="00AD1DA1" w:rsidRPr="00795F17" w:rsidRDefault="00AD1DA1" w:rsidP="00117E86">
      <w:pPr>
        <w:pStyle w:val="Listapunktowana2"/>
      </w:pPr>
      <w:r w:rsidRPr="00795F17">
        <w:t>przegląd pozwoleń wodnoprawnych związanych z poborem wód podziemnych</w:t>
      </w:r>
      <w:r w:rsidR="00237E00" w:rsidRPr="00795F17">
        <w:t>;</w:t>
      </w:r>
    </w:p>
    <w:p w14:paraId="20C711C0" w14:textId="6DAF4CFB" w:rsidR="00AD1DA1" w:rsidRPr="00795F17" w:rsidRDefault="00AD1DA1" w:rsidP="00117E86">
      <w:pPr>
        <w:pStyle w:val="Listapunktowana2"/>
      </w:pPr>
      <w:r w:rsidRPr="00795F17">
        <w:t>coroczne raportowanie pomiarów ilości eksploatowanych wód podziemnych przez</w:t>
      </w:r>
      <w:r w:rsidR="00D11892" w:rsidRPr="00795F17">
        <w:t> </w:t>
      </w:r>
      <w:r w:rsidRPr="00795F17">
        <w:t>właściciela/użytkownika ujęcia</w:t>
      </w:r>
      <w:r w:rsidR="00237E00" w:rsidRPr="00795F17">
        <w:t>;</w:t>
      </w:r>
    </w:p>
    <w:p w14:paraId="1000A4E1" w14:textId="436B903F" w:rsidR="00AD1DA1" w:rsidRPr="00795F17" w:rsidRDefault="00AD1DA1" w:rsidP="00117E86">
      <w:pPr>
        <w:pStyle w:val="Listapunktowana2"/>
      </w:pPr>
      <w:r w:rsidRPr="00795F17">
        <w:t>inwentaryzacja ujęć wód podziemnych wykorzystywanych do nawodnień rolniczych (dot.</w:t>
      </w:r>
      <w:r w:rsidR="00D11892" w:rsidRPr="00795F17">
        <w:t> </w:t>
      </w:r>
      <w:r w:rsidRPr="00795F17">
        <w:t>studni wykonanych w ramach zwykłego korzystania z wód), kontrola poboru wody z</w:t>
      </w:r>
      <w:r w:rsidR="00D2022C">
        <w:t> </w:t>
      </w:r>
      <w:r w:rsidRPr="00795F17">
        <w:t>tych ujęć.</w:t>
      </w:r>
    </w:p>
    <w:p w14:paraId="03C21313" w14:textId="7C349717" w:rsidR="00AD1DA1" w:rsidRPr="00795F17" w:rsidRDefault="00AD1DA1" w:rsidP="0044393D">
      <w:r w:rsidRPr="00795F17">
        <w:t>Działania te prawdopodobnie nie zostały zrealizowane ze względu na zmiany prawne zachodzące w</w:t>
      </w:r>
      <w:r w:rsidR="00D11892" w:rsidRPr="00795F17">
        <w:t> </w:t>
      </w:r>
      <w:r w:rsidRPr="00795F17">
        <w:t xml:space="preserve">poprzednim cyklu planistycznym (wejście w życie nowej </w:t>
      </w:r>
      <w:r w:rsidR="00FE6304" w:rsidRPr="00795F17">
        <w:t>pr.w.</w:t>
      </w:r>
      <w:r w:rsidRPr="00795F17">
        <w:t xml:space="preserve">) lub zostały zrealizowane pośrednio w ramach innych działań wynikających z pr.w. </w:t>
      </w:r>
    </w:p>
    <w:p w14:paraId="47627061" w14:textId="089538CE" w:rsidR="00AD1DA1" w:rsidRPr="00795F17" w:rsidRDefault="00AD1DA1" w:rsidP="0044393D">
      <w:r w:rsidRPr="00795F17">
        <w:t>W ramach IIaPGW wypracowane katalogi działań zawierają zarówno działania podstawowe, jak</w:t>
      </w:r>
      <w:r w:rsidR="001157BD">
        <w:t> </w:t>
      </w:r>
      <w:r w:rsidRPr="00795F17">
        <w:t>i</w:t>
      </w:r>
      <w:r w:rsidR="001157BD">
        <w:t> </w:t>
      </w:r>
      <w:r w:rsidRPr="00795F17">
        <w:t>uzupełniające w podziale na działania krajowe (realizowane we wszystkich jcw bez względu na</w:t>
      </w:r>
      <w:r w:rsidR="00D11892" w:rsidRPr="00795F17">
        <w:t> </w:t>
      </w:r>
      <w:r w:rsidRPr="00795F17">
        <w:t>zidentyfikowane presje znaczące) oraz działania przypisane do poszczególnych jcw na podstawie analizy znaczących oddziaływań. W przypadku działań dot. aspektu zaopatrzenia w wodę do spożycia, działania z aPWŚK zostały przyjęte do prolongaty</w:t>
      </w:r>
      <w:r w:rsidR="008627D8">
        <w:t xml:space="preserve"> (kontynuacji)</w:t>
      </w:r>
      <w:r w:rsidRPr="00795F17">
        <w:t xml:space="preserve"> przy uwzględnieniu koniecznych modyfikacji wynikających ze zmian wprowadzonych pr.w.</w:t>
      </w:r>
    </w:p>
    <w:p w14:paraId="267E2716" w14:textId="0870F407" w:rsidR="00AD1DA1" w:rsidRPr="00795F17" w:rsidRDefault="00AD1DA1" w:rsidP="0044393D">
      <w:r w:rsidRPr="00795F17">
        <w:t>Zaproponowanie działania w aspekcie realizacji celów środowiskowych i wymagań związanych z</w:t>
      </w:r>
      <w:r w:rsidR="00D11892" w:rsidRPr="00795F17">
        <w:t> </w:t>
      </w:r>
      <w:r w:rsidRPr="00795F17">
        <w:t>zaopatrzeniem w wodę, na poziomie krajowym przedstawione zostały w tabeli 13-8.</w:t>
      </w:r>
    </w:p>
    <w:p w14:paraId="50AE3568" w14:textId="2CC4F1B2" w:rsidR="00AD1DA1" w:rsidRPr="00795F17" w:rsidRDefault="00AD1DA1" w:rsidP="004D7705">
      <w:pPr>
        <w:pStyle w:val="Tabela"/>
      </w:pPr>
      <w:bookmarkStart w:id="830" w:name="_Toc66261852"/>
      <w:bookmarkStart w:id="831" w:name="_Toc66288116"/>
      <w:bookmarkStart w:id="832" w:name="_Toc66341965"/>
      <w:bookmarkStart w:id="833" w:name="_Toc105512894"/>
      <w:r w:rsidRPr="00795F17">
        <w:t xml:space="preserve">Tabela </w:t>
      </w:r>
      <w:fldSimple w:instr=" STYLEREF 1 \s ">
        <w:r w:rsidR="001F774D">
          <w:rPr>
            <w:noProof/>
          </w:rPr>
          <w:t>13</w:t>
        </w:r>
      </w:fldSimple>
      <w:r w:rsidR="00BB3B21" w:rsidRPr="00795F17">
        <w:noBreakHyphen/>
      </w:r>
      <w:fldSimple w:instr=" SEQ Tabela \* ARABIC \s 1 ">
        <w:r w:rsidR="001F774D">
          <w:rPr>
            <w:noProof/>
          </w:rPr>
          <w:t>8</w:t>
        </w:r>
      </w:fldSimple>
      <w:r w:rsidR="000B5450">
        <w:rPr>
          <w:noProof/>
        </w:rPr>
        <w:t>.</w:t>
      </w:r>
      <w:r w:rsidRPr="00795F17">
        <w:tab/>
      </w:r>
      <w:bookmarkEnd w:id="830"/>
      <w:bookmarkEnd w:id="831"/>
      <w:bookmarkEnd w:id="832"/>
      <w:r w:rsidR="00237E00" w:rsidRPr="00795F17">
        <w:t xml:space="preserve">Proponowane działania krajowe, wspólne dla wszystkich jcw </w:t>
      </w:r>
      <w:r w:rsidR="008A38E4">
        <w:t>–</w:t>
      </w:r>
      <w:r w:rsidR="00237E00" w:rsidRPr="00795F17">
        <w:t xml:space="preserve"> obszar dorzecza </w:t>
      </w:r>
      <w:r w:rsidR="008A38E4">
        <w:t>–</w:t>
      </w:r>
      <w:r w:rsidR="00237E00" w:rsidRPr="00795F17">
        <w:t xml:space="preserve"> obszar dorzecza Odry</w:t>
      </w:r>
      <w:bookmarkEnd w:id="833"/>
    </w:p>
    <w:tbl>
      <w:tblPr>
        <w:tblStyle w:val="Tabela-Siatka"/>
        <w:tblW w:w="5000" w:type="pct"/>
        <w:tblLook w:val="04A0" w:firstRow="1" w:lastRow="0" w:firstColumn="1" w:lastColumn="0" w:noHBand="0" w:noVBand="1"/>
      </w:tblPr>
      <w:tblGrid>
        <w:gridCol w:w="1616"/>
        <w:gridCol w:w="4564"/>
        <w:gridCol w:w="1441"/>
        <w:gridCol w:w="1441"/>
      </w:tblGrid>
      <w:tr w:rsidR="0054392B" w:rsidRPr="00795F17" w14:paraId="6BE47010" w14:textId="5F32B101" w:rsidTr="00B11299">
        <w:trPr>
          <w:cnfStyle w:val="100000000000" w:firstRow="1" w:lastRow="0" w:firstColumn="0" w:lastColumn="0" w:oddVBand="0" w:evenVBand="0" w:oddHBand="0" w:evenHBand="0" w:firstRowFirstColumn="0" w:firstRowLastColumn="0" w:lastRowFirstColumn="0" w:lastRowLastColumn="0"/>
          <w:trHeight w:val="454"/>
        </w:trPr>
        <w:tc>
          <w:tcPr>
            <w:tcW w:w="892" w:type="pct"/>
            <w:hideMark/>
          </w:tcPr>
          <w:p w14:paraId="6C67E64E" w14:textId="77777777" w:rsidR="0054392B" w:rsidRPr="00795F17" w:rsidRDefault="0054392B" w:rsidP="00237E00">
            <w:pPr>
              <w:pStyle w:val="Teksttabelinaglowek"/>
              <w:rPr>
                <w:b/>
              </w:rPr>
            </w:pPr>
            <w:r w:rsidRPr="00795F17">
              <w:rPr>
                <w:b/>
              </w:rPr>
              <w:t>Grupa działań</w:t>
            </w:r>
          </w:p>
        </w:tc>
        <w:tc>
          <w:tcPr>
            <w:tcW w:w="2518" w:type="pct"/>
            <w:hideMark/>
          </w:tcPr>
          <w:p w14:paraId="68FB41FC" w14:textId="77777777" w:rsidR="0054392B" w:rsidRPr="00795F17" w:rsidRDefault="0054392B" w:rsidP="00237E00">
            <w:pPr>
              <w:pStyle w:val="Teksttabelinaglowek"/>
              <w:rPr>
                <w:b/>
              </w:rPr>
            </w:pPr>
            <w:r w:rsidRPr="00795F17">
              <w:rPr>
                <w:b/>
              </w:rPr>
              <w:t>Nazwa działania</w:t>
            </w:r>
          </w:p>
        </w:tc>
        <w:tc>
          <w:tcPr>
            <w:tcW w:w="795" w:type="pct"/>
            <w:hideMark/>
          </w:tcPr>
          <w:p w14:paraId="0A1F3FEF" w14:textId="4EBED445" w:rsidR="0054392B" w:rsidRPr="00795F17" w:rsidRDefault="0054392B" w:rsidP="00237E00">
            <w:pPr>
              <w:pStyle w:val="Teksttabelinaglowek"/>
              <w:rPr>
                <w:b/>
              </w:rPr>
            </w:pPr>
            <w:r w:rsidRPr="00795F17">
              <w:rPr>
                <w:b/>
              </w:rPr>
              <w:t>Działanie nowe / prolongata</w:t>
            </w:r>
            <w:r w:rsidR="00D8024A">
              <w:rPr>
                <w:b/>
              </w:rPr>
              <w:t>*</w:t>
            </w:r>
          </w:p>
        </w:tc>
        <w:tc>
          <w:tcPr>
            <w:tcW w:w="795" w:type="pct"/>
          </w:tcPr>
          <w:p w14:paraId="36BD4CAE" w14:textId="29317E0B" w:rsidR="0054392B" w:rsidRPr="0054392B" w:rsidRDefault="0054392B" w:rsidP="0054392B">
            <w:pPr>
              <w:pStyle w:val="Teksttabelinaglowek"/>
              <w:rPr>
                <w:b/>
              </w:rPr>
            </w:pPr>
            <w:r w:rsidRPr="0054392B">
              <w:rPr>
                <w:b/>
              </w:rPr>
              <w:t>Harmonogram realizacji</w:t>
            </w:r>
          </w:p>
        </w:tc>
      </w:tr>
      <w:tr w:rsidR="0054392B" w:rsidRPr="00795F17" w14:paraId="5A277A59" w14:textId="46F62C32" w:rsidTr="00B11299">
        <w:trPr>
          <w:trHeight w:val="454"/>
        </w:trPr>
        <w:tc>
          <w:tcPr>
            <w:tcW w:w="892" w:type="pct"/>
          </w:tcPr>
          <w:p w14:paraId="590B078B" w14:textId="5FB0FC98" w:rsidR="0054392B" w:rsidRPr="00795F17" w:rsidRDefault="00027D03" w:rsidP="008C27E6">
            <w:pPr>
              <w:pStyle w:val="Teksttabelilewy"/>
              <w:ind w:left="57"/>
            </w:pPr>
            <w:r>
              <w:t>g</w:t>
            </w:r>
            <w:r w:rsidRPr="002D6624">
              <w:t xml:space="preserve">ospodarka </w:t>
            </w:r>
            <w:r w:rsidR="0054392B" w:rsidRPr="002D6624">
              <w:t>komunalna</w:t>
            </w:r>
          </w:p>
        </w:tc>
        <w:tc>
          <w:tcPr>
            <w:tcW w:w="2518" w:type="pct"/>
          </w:tcPr>
          <w:p w14:paraId="172D5835" w14:textId="7B54DFD9" w:rsidR="0054392B" w:rsidRPr="00795F17" w:rsidRDefault="0054392B" w:rsidP="008C27E6">
            <w:pPr>
              <w:pStyle w:val="Teksttabelilewy"/>
              <w:ind w:left="57"/>
            </w:pPr>
            <w:r w:rsidRPr="002D6624">
              <w:rPr>
                <w:rFonts w:cs="Calibri"/>
              </w:rPr>
              <w:t>Zakaz wprowadzania wód opadowych lub roztopowych, ujętych w</w:t>
            </w:r>
            <w:r>
              <w:rPr>
                <w:rFonts w:cs="Calibri"/>
              </w:rPr>
              <w:t> </w:t>
            </w:r>
            <w:r w:rsidRPr="002D6624">
              <w:rPr>
                <w:rFonts w:cs="Calibri"/>
              </w:rPr>
              <w:t>otwarte lub zamknięte systemy kanalizacji deszczowej służące do odprowadzania opadów atmosferycznych bezpośrednio do wód podziemnych</w:t>
            </w:r>
          </w:p>
        </w:tc>
        <w:tc>
          <w:tcPr>
            <w:tcW w:w="795" w:type="pct"/>
          </w:tcPr>
          <w:p w14:paraId="419DB4A2" w14:textId="188AD666" w:rsidR="0054392B" w:rsidRPr="00795F17" w:rsidRDefault="0054392B" w:rsidP="0054392B">
            <w:pPr>
              <w:pStyle w:val="Teksttabelilewy"/>
            </w:pPr>
            <w:r>
              <w:t>d</w:t>
            </w:r>
            <w:r w:rsidRPr="002D6624">
              <w:t>ziałanie nowe</w:t>
            </w:r>
          </w:p>
        </w:tc>
        <w:tc>
          <w:tcPr>
            <w:tcW w:w="795" w:type="pct"/>
          </w:tcPr>
          <w:p w14:paraId="6D0A5E91" w14:textId="214FD489" w:rsidR="0054392B" w:rsidRPr="00795F17" w:rsidRDefault="0054392B" w:rsidP="0054392B">
            <w:pPr>
              <w:pStyle w:val="Teksttabelilewy"/>
              <w:jc w:val="center"/>
            </w:pPr>
            <w:r>
              <w:t>działanie ciągłe</w:t>
            </w:r>
          </w:p>
        </w:tc>
      </w:tr>
      <w:tr w:rsidR="00B50F9D" w:rsidRPr="00795F17" w14:paraId="370803BD" w14:textId="77777777" w:rsidTr="00B11299">
        <w:trPr>
          <w:trHeight w:val="454"/>
        </w:trPr>
        <w:tc>
          <w:tcPr>
            <w:tcW w:w="892" w:type="pct"/>
          </w:tcPr>
          <w:p w14:paraId="39D51263" w14:textId="23D7312E" w:rsidR="00B50F9D" w:rsidRPr="002D6624" w:rsidRDefault="00027D03" w:rsidP="00B50F9D">
            <w:pPr>
              <w:pStyle w:val="Teksttabelilewy"/>
              <w:ind w:left="57"/>
            </w:pPr>
            <w:r>
              <w:t>g</w:t>
            </w:r>
            <w:r w:rsidRPr="002D6624">
              <w:t xml:space="preserve">ospodarka </w:t>
            </w:r>
            <w:r w:rsidR="00B50F9D" w:rsidRPr="002D6624">
              <w:t>komunalna</w:t>
            </w:r>
          </w:p>
        </w:tc>
        <w:tc>
          <w:tcPr>
            <w:tcW w:w="2518" w:type="pct"/>
          </w:tcPr>
          <w:p w14:paraId="3E2F4259" w14:textId="1CAA9EF9" w:rsidR="00B50F9D" w:rsidRPr="002D6624" w:rsidRDefault="00B50F9D" w:rsidP="00B50F9D">
            <w:pPr>
              <w:pStyle w:val="Teksttabelilewy"/>
              <w:ind w:left="57"/>
              <w:rPr>
                <w:rFonts w:cs="Calibri"/>
              </w:rPr>
            </w:pPr>
            <w:r w:rsidRPr="00B50F9D">
              <w:rPr>
                <w:rFonts w:cs="Calibri"/>
              </w:rPr>
              <w:t>Ewidencja zbiorników bezodpływowych w celu kontroli częstotliwości ich opróżniania oraz w celu opracowania planu rozwoju sieci kanalizacyjnej</w:t>
            </w:r>
          </w:p>
        </w:tc>
        <w:tc>
          <w:tcPr>
            <w:tcW w:w="795" w:type="pct"/>
          </w:tcPr>
          <w:p w14:paraId="361116C4" w14:textId="36540942" w:rsidR="00B50F9D" w:rsidRDefault="002E1717" w:rsidP="00B50F9D">
            <w:pPr>
              <w:pStyle w:val="Teksttabelilewy"/>
            </w:pPr>
            <w:r>
              <w:t>prolongata</w:t>
            </w:r>
          </w:p>
        </w:tc>
        <w:tc>
          <w:tcPr>
            <w:tcW w:w="795" w:type="pct"/>
          </w:tcPr>
          <w:p w14:paraId="48A32D27" w14:textId="6BBF211E" w:rsidR="00B50F9D" w:rsidRDefault="00B50F9D" w:rsidP="00B50F9D">
            <w:pPr>
              <w:pStyle w:val="Teksttabelilewy"/>
              <w:jc w:val="center"/>
            </w:pPr>
            <w:r>
              <w:t>działanie ciągłe</w:t>
            </w:r>
          </w:p>
        </w:tc>
      </w:tr>
      <w:tr w:rsidR="002E1717" w:rsidRPr="00795F17" w14:paraId="3334DB58" w14:textId="77777777" w:rsidTr="00B11299">
        <w:trPr>
          <w:trHeight w:val="454"/>
        </w:trPr>
        <w:tc>
          <w:tcPr>
            <w:tcW w:w="892" w:type="pct"/>
          </w:tcPr>
          <w:p w14:paraId="219281A6" w14:textId="11868303" w:rsidR="002E1717" w:rsidRPr="002D6624" w:rsidRDefault="00027D03" w:rsidP="002E1717">
            <w:pPr>
              <w:pStyle w:val="Teksttabelilewy"/>
              <w:ind w:left="57"/>
            </w:pPr>
            <w:r>
              <w:t>g</w:t>
            </w:r>
            <w:r w:rsidRPr="002D6624">
              <w:t xml:space="preserve">ospodarka </w:t>
            </w:r>
            <w:r w:rsidR="002E1717" w:rsidRPr="002D6624">
              <w:t>komunalna</w:t>
            </w:r>
          </w:p>
        </w:tc>
        <w:tc>
          <w:tcPr>
            <w:tcW w:w="2518" w:type="pct"/>
          </w:tcPr>
          <w:p w14:paraId="0C848CCF" w14:textId="40A0F315" w:rsidR="002E1717" w:rsidRPr="00B50F9D" w:rsidRDefault="002E1717" w:rsidP="002E1717">
            <w:pPr>
              <w:pStyle w:val="Teksttabelilewy"/>
              <w:ind w:left="57"/>
              <w:rPr>
                <w:rFonts w:cs="Calibri"/>
              </w:rPr>
            </w:pPr>
            <w:r w:rsidRPr="002E1717">
              <w:rPr>
                <w:rFonts w:cs="Calibri"/>
              </w:rPr>
              <w:t xml:space="preserve">Ewidencja umów zawartych na odbieranie odpadów komunalnych od właścicieli nieruchomości w celu kontroli wykonywania przez właścicieli nieruchomości i przedsiębiorców obowiązków wynikających z ustawy o utrzymaniu czystości i </w:t>
            </w:r>
            <w:r w:rsidR="00357AEA">
              <w:rPr>
                <w:rFonts w:cs="Calibri"/>
              </w:rPr>
              <w:t> </w:t>
            </w:r>
            <w:r w:rsidRPr="002E1717">
              <w:rPr>
                <w:rFonts w:cs="Calibri"/>
              </w:rPr>
              <w:t>porządku w gminach</w:t>
            </w:r>
          </w:p>
        </w:tc>
        <w:tc>
          <w:tcPr>
            <w:tcW w:w="795" w:type="pct"/>
          </w:tcPr>
          <w:p w14:paraId="541A89F6" w14:textId="20ED083D" w:rsidR="002E1717" w:rsidRDefault="005E3417" w:rsidP="002E1717">
            <w:pPr>
              <w:pStyle w:val="Teksttabelilewy"/>
            </w:pPr>
            <w:r>
              <w:t>prolongata</w:t>
            </w:r>
          </w:p>
        </w:tc>
        <w:tc>
          <w:tcPr>
            <w:tcW w:w="795" w:type="pct"/>
          </w:tcPr>
          <w:p w14:paraId="192B7504" w14:textId="065D05F7" w:rsidR="002E1717" w:rsidRDefault="002E1717" w:rsidP="002E1717">
            <w:pPr>
              <w:pStyle w:val="Teksttabelilewy"/>
              <w:jc w:val="center"/>
            </w:pPr>
            <w:r>
              <w:t>działanie ciągłe</w:t>
            </w:r>
          </w:p>
        </w:tc>
      </w:tr>
      <w:tr w:rsidR="0054392B" w:rsidRPr="00795F17" w14:paraId="14E6C149" w14:textId="41DAC9CD" w:rsidTr="00B11299">
        <w:trPr>
          <w:trHeight w:val="454"/>
        </w:trPr>
        <w:tc>
          <w:tcPr>
            <w:tcW w:w="892" w:type="pct"/>
          </w:tcPr>
          <w:p w14:paraId="378D9DD2" w14:textId="705CC0A3" w:rsidR="0054392B" w:rsidRPr="00795F17" w:rsidRDefault="00027D03" w:rsidP="008C27E6">
            <w:pPr>
              <w:pStyle w:val="Teksttabelilewy"/>
              <w:ind w:left="57"/>
            </w:pPr>
            <w:r>
              <w:t>k</w:t>
            </w:r>
            <w:r w:rsidRPr="002D6624">
              <w:t xml:space="preserve">ształtowanie </w:t>
            </w:r>
            <w:r w:rsidR="0054392B" w:rsidRPr="002D6624">
              <w:t>stosunków wodnych oraz ochrona ekosystemów od wód zależnych</w:t>
            </w:r>
          </w:p>
        </w:tc>
        <w:tc>
          <w:tcPr>
            <w:tcW w:w="2518" w:type="pct"/>
          </w:tcPr>
          <w:p w14:paraId="4EEC53EF" w14:textId="2C006B05" w:rsidR="0054392B" w:rsidRPr="00795F17" w:rsidRDefault="0054392B" w:rsidP="008C27E6">
            <w:pPr>
              <w:pStyle w:val="Teksttabelilewy"/>
              <w:ind w:left="57"/>
            </w:pPr>
            <w:r w:rsidRPr="002D6624">
              <w:rPr>
                <w:rFonts w:cs="Calibri"/>
              </w:rPr>
              <w:t>Uzgadnianie projektów aktów prawa miejscowego ustanawiających strefy ochronne obejmujące teren ochrony bezpośredniej i</w:t>
            </w:r>
            <w:r>
              <w:rPr>
                <w:rFonts w:cs="Calibri"/>
              </w:rPr>
              <w:t> </w:t>
            </w:r>
            <w:r w:rsidRPr="002D6624">
              <w:rPr>
                <w:rFonts w:cs="Calibri"/>
              </w:rPr>
              <w:t xml:space="preserve">teren ochrony pośredniej </w:t>
            </w:r>
          </w:p>
        </w:tc>
        <w:tc>
          <w:tcPr>
            <w:tcW w:w="795" w:type="pct"/>
          </w:tcPr>
          <w:p w14:paraId="5B5CDF13" w14:textId="24957167" w:rsidR="0054392B" w:rsidRPr="00795F17" w:rsidRDefault="0054392B" w:rsidP="0054392B">
            <w:pPr>
              <w:pStyle w:val="Teksttabelilewy"/>
            </w:pPr>
            <w:r>
              <w:t>d</w:t>
            </w:r>
            <w:r w:rsidRPr="002D6624">
              <w:t>ziałanie nowe</w:t>
            </w:r>
          </w:p>
        </w:tc>
        <w:tc>
          <w:tcPr>
            <w:tcW w:w="795" w:type="pct"/>
          </w:tcPr>
          <w:p w14:paraId="017C9152" w14:textId="142C464D" w:rsidR="0054392B" w:rsidRPr="00795F17" w:rsidRDefault="0054392B" w:rsidP="0054392B">
            <w:pPr>
              <w:pStyle w:val="Teksttabelilewy"/>
              <w:jc w:val="center"/>
            </w:pPr>
            <w:r>
              <w:t>działanie ciągłe</w:t>
            </w:r>
          </w:p>
        </w:tc>
      </w:tr>
      <w:tr w:rsidR="0054392B" w:rsidRPr="00795F17" w14:paraId="67528F82" w14:textId="22DFB415" w:rsidTr="00B11299">
        <w:trPr>
          <w:trHeight w:val="454"/>
        </w:trPr>
        <w:tc>
          <w:tcPr>
            <w:tcW w:w="892" w:type="pct"/>
          </w:tcPr>
          <w:p w14:paraId="7391B7C7" w14:textId="3157100C" w:rsidR="0054392B" w:rsidRPr="00795F17" w:rsidRDefault="00027D03" w:rsidP="008C27E6">
            <w:pPr>
              <w:pStyle w:val="Teksttabelilewy"/>
              <w:ind w:left="57"/>
            </w:pPr>
            <w:r>
              <w:t>k</w:t>
            </w:r>
            <w:r w:rsidRPr="002D6624">
              <w:t xml:space="preserve">ształtowanie </w:t>
            </w:r>
            <w:r w:rsidR="0054392B" w:rsidRPr="002D6624">
              <w:t>stosunków wodnych oraz ochrona ekosystemów od wód zależnych</w:t>
            </w:r>
          </w:p>
        </w:tc>
        <w:tc>
          <w:tcPr>
            <w:tcW w:w="2518" w:type="pct"/>
          </w:tcPr>
          <w:p w14:paraId="38443837" w14:textId="04A82274" w:rsidR="0054392B" w:rsidRPr="00795F17" w:rsidRDefault="0054392B" w:rsidP="008C27E6">
            <w:pPr>
              <w:pStyle w:val="Teksttabelilewy"/>
              <w:ind w:left="57"/>
            </w:pPr>
            <w:r w:rsidRPr="002D6624">
              <w:rPr>
                <w:rFonts w:cs="Calibri"/>
              </w:rPr>
              <w:t>Obowiązek uwzględniania w</w:t>
            </w:r>
            <w:r>
              <w:rPr>
                <w:rFonts w:cs="Calibri"/>
              </w:rPr>
              <w:t> </w:t>
            </w:r>
            <w:r w:rsidRPr="002D6624">
              <w:rPr>
                <w:rFonts w:cs="Calibri"/>
              </w:rPr>
              <w:t>aktach planowania przestrzennego zbiorników wód podziemnych, stref ochronnych ujęć wód i</w:t>
            </w:r>
            <w:r>
              <w:rPr>
                <w:rFonts w:cs="Calibri"/>
              </w:rPr>
              <w:t> </w:t>
            </w:r>
            <w:r w:rsidRPr="002D6624">
              <w:rPr>
                <w:rFonts w:cs="Calibri"/>
              </w:rPr>
              <w:t>obszarów ochronnych zbiorników wód śródlądowych</w:t>
            </w:r>
          </w:p>
        </w:tc>
        <w:tc>
          <w:tcPr>
            <w:tcW w:w="795" w:type="pct"/>
          </w:tcPr>
          <w:p w14:paraId="2C2D779D" w14:textId="12587D11" w:rsidR="0054392B" w:rsidRPr="00795F17" w:rsidRDefault="0054392B" w:rsidP="0054392B">
            <w:pPr>
              <w:pStyle w:val="Teksttabelilewy"/>
            </w:pPr>
            <w:r>
              <w:t>d</w:t>
            </w:r>
            <w:r w:rsidRPr="002D6624">
              <w:t>ziałanie nowe</w:t>
            </w:r>
          </w:p>
        </w:tc>
        <w:tc>
          <w:tcPr>
            <w:tcW w:w="795" w:type="pct"/>
          </w:tcPr>
          <w:p w14:paraId="7B0C536E" w14:textId="67C2AD38" w:rsidR="0054392B" w:rsidRPr="00795F17" w:rsidRDefault="0054392B" w:rsidP="0054392B">
            <w:pPr>
              <w:pStyle w:val="Teksttabelilewy"/>
              <w:jc w:val="center"/>
            </w:pPr>
            <w:r>
              <w:t>działanie ciągłe</w:t>
            </w:r>
          </w:p>
        </w:tc>
      </w:tr>
      <w:tr w:rsidR="0054392B" w:rsidRPr="00795F17" w14:paraId="5DD1E0B0" w14:textId="22E9AB72" w:rsidTr="00B11299">
        <w:trPr>
          <w:trHeight w:val="454"/>
        </w:trPr>
        <w:tc>
          <w:tcPr>
            <w:tcW w:w="892" w:type="pct"/>
          </w:tcPr>
          <w:p w14:paraId="65586762" w14:textId="740F6650" w:rsidR="0054392B" w:rsidRPr="00795F17" w:rsidRDefault="00027D03" w:rsidP="008C27E6">
            <w:pPr>
              <w:pStyle w:val="Teksttabelilewy"/>
              <w:ind w:left="57"/>
            </w:pPr>
            <w:r>
              <w:t>k</w:t>
            </w:r>
            <w:r w:rsidRPr="002D6624">
              <w:t xml:space="preserve">ształtowanie </w:t>
            </w:r>
            <w:r w:rsidR="0054392B" w:rsidRPr="002D6624">
              <w:t>stosunków wodnych oraz ochrona ekosystemów od wód zależnych</w:t>
            </w:r>
          </w:p>
        </w:tc>
        <w:tc>
          <w:tcPr>
            <w:tcW w:w="2518" w:type="pct"/>
          </w:tcPr>
          <w:p w14:paraId="0B830FCB" w14:textId="4CCE818C" w:rsidR="0054392B" w:rsidRPr="00795F17" w:rsidRDefault="0054392B" w:rsidP="008C27E6">
            <w:pPr>
              <w:pStyle w:val="Teksttabelilewy"/>
              <w:ind w:left="57"/>
            </w:pPr>
            <w:r w:rsidRPr="002D6624">
              <w:rPr>
                <w:rFonts w:cs="Calibri"/>
              </w:rPr>
              <w:t>Zakaz odprowadzania ścieków do wód i</w:t>
            </w:r>
            <w:r>
              <w:rPr>
                <w:rFonts w:cs="Calibri"/>
              </w:rPr>
              <w:t> </w:t>
            </w:r>
            <w:r w:rsidRPr="002D6624">
              <w:rPr>
                <w:rFonts w:cs="Calibri"/>
              </w:rPr>
              <w:t>do ziemi w</w:t>
            </w:r>
            <w:r>
              <w:rPr>
                <w:rFonts w:cs="Calibri"/>
              </w:rPr>
              <w:t> </w:t>
            </w:r>
            <w:r w:rsidRPr="002D6624">
              <w:rPr>
                <w:rFonts w:cs="Calibri"/>
              </w:rPr>
              <w:t>granicach obszarów ochronnych zbiorników wód śródlądowych, jeżeli byłoby to sprzeczne z</w:t>
            </w:r>
            <w:r>
              <w:rPr>
                <w:rFonts w:cs="Calibri"/>
              </w:rPr>
              <w:t> </w:t>
            </w:r>
            <w:r w:rsidRPr="002D6624">
              <w:rPr>
                <w:rFonts w:cs="Calibri"/>
              </w:rPr>
              <w:t>warunkami ochrony</w:t>
            </w:r>
          </w:p>
        </w:tc>
        <w:tc>
          <w:tcPr>
            <w:tcW w:w="795" w:type="pct"/>
          </w:tcPr>
          <w:p w14:paraId="3E019585" w14:textId="7D91F9F9" w:rsidR="0054392B" w:rsidRPr="00795F17" w:rsidRDefault="0054392B" w:rsidP="0054392B">
            <w:pPr>
              <w:pStyle w:val="Teksttabelilewy"/>
            </w:pPr>
            <w:r>
              <w:t>d</w:t>
            </w:r>
            <w:r w:rsidRPr="002D6624">
              <w:t>ziałanie nowe</w:t>
            </w:r>
          </w:p>
        </w:tc>
        <w:tc>
          <w:tcPr>
            <w:tcW w:w="795" w:type="pct"/>
          </w:tcPr>
          <w:p w14:paraId="7962F5AC" w14:textId="642FC06A" w:rsidR="0054392B" w:rsidRPr="00795F17" w:rsidRDefault="0054392B" w:rsidP="0054392B">
            <w:pPr>
              <w:pStyle w:val="Teksttabelilewy"/>
              <w:jc w:val="center"/>
            </w:pPr>
            <w:r>
              <w:t>działanie ciągłe</w:t>
            </w:r>
          </w:p>
        </w:tc>
      </w:tr>
      <w:tr w:rsidR="0054392B" w:rsidRPr="00795F17" w14:paraId="3983AFA9" w14:textId="6477CFB4" w:rsidTr="00B11299">
        <w:trPr>
          <w:trHeight w:val="454"/>
        </w:trPr>
        <w:tc>
          <w:tcPr>
            <w:tcW w:w="892" w:type="pct"/>
          </w:tcPr>
          <w:p w14:paraId="57A5A3D1" w14:textId="0DD4EF9F" w:rsidR="0054392B" w:rsidRPr="00795F17" w:rsidRDefault="00027D03" w:rsidP="008C27E6">
            <w:pPr>
              <w:pStyle w:val="Teksttabelilewy"/>
              <w:ind w:left="57"/>
            </w:pPr>
            <w:r>
              <w:t>k</w:t>
            </w:r>
            <w:r w:rsidRPr="002D6624">
              <w:t xml:space="preserve">ształtowanie </w:t>
            </w:r>
            <w:r w:rsidR="0054392B" w:rsidRPr="002D6624">
              <w:t>stosunków wodnych oraz ochrona ekosystemów od wód zależnych</w:t>
            </w:r>
          </w:p>
        </w:tc>
        <w:tc>
          <w:tcPr>
            <w:tcW w:w="2518" w:type="pct"/>
          </w:tcPr>
          <w:p w14:paraId="088A67A4" w14:textId="42B8D266" w:rsidR="0054392B" w:rsidRPr="00795F17" w:rsidRDefault="0054392B" w:rsidP="008C27E6">
            <w:pPr>
              <w:pStyle w:val="Teksttabelilewy"/>
              <w:ind w:left="57"/>
            </w:pPr>
            <w:r w:rsidRPr="002D6624">
              <w:rPr>
                <w:rFonts w:cs="Calibri"/>
              </w:rPr>
              <w:t>Ograniczenie poboru wód podziemnych na</w:t>
            </w:r>
            <w:r>
              <w:rPr>
                <w:rFonts w:cs="Calibri"/>
              </w:rPr>
              <w:t> </w:t>
            </w:r>
            <w:r w:rsidRPr="002D6624">
              <w:rPr>
                <w:rFonts w:cs="Calibri"/>
              </w:rPr>
              <w:t>obszarach i w</w:t>
            </w:r>
            <w:r>
              <w:rPr>
                <w:rFonts w:cs="Calibri"/>
              </w:rPr>
              <w:t> </w:t>
            </w:r>
            <w:r w:rsidRPr="002D6624">
              <w:rPr>
                <w:rFonts w:cs="Calibri"/>
              </w:rPr>
              <w:t>okresach występowania suszy (niżówki hydrogeologicznej)</w:t>
            </w:r>
          </w:p>
        </w:tc>
        <w:tc>
          <w:tcPr>
            <w:tcW w:w="795" w:type="pct"/>
          </w:tcPr>
          <w:p w14:paraId="40B6A278" w14:textId="42A31D96" w:rsidR="0054392B" w:rsidRPr="00795F17" w:rsidRDefault="0054392B" w:rsidP="0054392B">
            <w:pPr>
              <w:pStyle w:val="Teksttabelilewy"/>
            </w:pPr>
            <w:r>
              <w:t>d</w:t>
            </w:r>
            <w:r w:rsidRPr="002D6624">
              <w:t>ziałanie nowe</w:t>
            </w:r>
          </w:p>
        </w:tc>
        <w:tc>
          <w:tcPr>
            <w:tcW w:w="795" w:type="pct"/>
          </w:tcPr>
          <w:p w14:paraId="63680EEB" w14:textId="06B2D697" w:rsidR="0054392B" w:rsidRPr="00795F17" w:rsidRDefault="0054392B" w:rsidP="0054392B">
            <w:pPr>
              <w:pStyle w:val="Teksttabelilewy"/>
              <w:jc w:val="center"/>
            </w:pPr>
            <w:r>
              <w:t>działanie ciągłe</w:t>
            </w:r>
          </w:p>
        </w:tc>
      </w:tr>
      <w:tr w:rsidR="0054392B" w:rsidRPr="00795F17" w14:paraId="31AEB76D" w14:textId="2A11481B" w:rsidTr="00B11299">
        <w:trPr>
          <w:trHeight w:val="454"/>
        </w:trPr>
        <w:tc>
          <w:tcPr>
            <w:tcW w:w="892" w:type="pct"/>
          </w:tcPr>
          <w:p w14:paraId="0BF6A69D" w14:textId="3CF9513F" w:rsidR="0054392B" w:rsidRPr="00795F17" w:rsidRDefault="00027D03" w:rsidP="008C27E6">
            <w:pPr>
              <w:pStyle w:val="Teksttabelilewy"/>
              <w:ind w:left="57"/>
            </w:pPr>
            <w:r>
              <w:t>p</w:t>
            </w:r>
            <w:r w:rsidRPr="002D6624">
              <w:t xml:space="preserve">rojekt </w:t>
            </w:r>
            <w:r w:rsidR="0054392B" w:rsidRPr="002D6624">
              <w:t>badawczo-rozwojowy</w:t>
            </w:r>
          </w:p>
        </w:tc>
        <w:tc>
          <w:tcPr>
            <w:tcW w:w="2518" w:type="pct"/>
          </w:tcPr>
          <w:p w14:paraId="10627BB4" w14:textId="07FC7CE3" w:rsidR="0054392B" w:rsidRPr="00795F17" w:rsidRDefault="0054392B" w:rsidP="008C27E6">
            <w:pPr>
              <w:pStyle w:val="Teksttabelilewy"/>
              <w:ind w:left="57"/>
            </w:pPr>
            <w:r w:rsidRPr="002D6624">
              <w:rPr>
                <w:rFonts w:cs="Calibri"/>
              </w:rPr>
              <w:t>Opracowanie spójnej w</w:t>
            </w:r>
            <w:r>
              <w:rPr>
                <w:rFonts w:cs="Calibri"/>
              </w:rPr>
              <w:t> </w:t>
            </w:r>
            <w:r w:rsidRPr="002D6624">
              <w:rPr>
                <w:rFonts w:cs="Calibri"/>
              </w:rPr>
              <w:t>skali kraju metodyki wyznaczania jezior do objęcia obszarem ochronnym zbiorników wód śródlądowych, pozwalającej w</w:t>
            </w:r>
            <w:r>
              <w:rPr>
                <w:rFonts w:cs="Calibri"/>
              </w:rPr>
              <w:t> </w:t>
            </w:r>
            <w:r w:rsidRPr="002D6624">
              <w:rPr>
                <w:rFonts w:cs="Calibri"/>
              </w:rPr>
              <w:t>jednoznaczny sposób wskazać procedurę typowania jezior do objęcia obszarem ochronnym. Metodyka taka powinna zostać w</w:t>
            </w:r>
            <w:r>
              <w:rPr>
                <w:rFonts w:cs="Calibri"/>
              </w:rPr>
              <w:t> </w:t>
            </w:r>
            <w:r w:rsidRPr="002D6624">
              <w:rPr>
                <w:rFonts w:cs="Calibri"/>
              </w:rPr>
              <w:t>oparciu o</w:t>
            </w:r>
            <w:r>
              <w:rPr>
                <w:rFonts w:cs="Calibri"/>
              </w:rPr>
              <w:t> </w:t>
            </w:r>
            <w:r w:rsidRPr="002D6624">
              <w:rPr>
                <w:rFonts w:cs="Calibri"/>
              </w:rPr>
              <w:t>badania pilotażowe zrealizowane na</w:t>
            </w:r>
            <w:r>
              <w:rPr>
                <w:rFonts w:cs="Calibri"/>
              </w:rPr>
              <w:t> </w:t>
            </w:r>
            <w:r w:rsidRPr="002D6624">
              <w:rPr>
                <w:rFonts w:cs="Calibri"/>
              </w:rPr>
              <w:t>jeziorach o</w:t>
            </w:r>
            <w:r>
              <w:rPr>
                <w:rFonts w:cs="Calibri"/>
              </w:rPr>
              <w:t> </w:t>
            </w:r>
            <w:r w:rsidRPr="002D6624">
              <w:rPr>
                <w:rFonts w:cs="Calibri"/>
              </w:rPr>
              <w:t>różnym stanie ekologicznym oraz uwarunkowaniach zlewniowych</w:t>
            </w:r>
          </w:p>
        </w:tc>
        <w:tc>
          <w:tcPr>
            <w:tcW w:w="795" w:type="pct"/>
          </w:tcPr>
          <w:p w14:paraId="2D305161" w14:textId="1B000785" w:rsidR="0054392B" w:rsidRPr="00795F17" w:rsidRDefault="0054392B" w:rsidP="0054392B">
            <w:pPr>
              <w:pStyle w:val="Teksttabelilewy"/>
            </w:pPr>
            <w:r>
              <w:t>d</w:t>
            </w:r>
            <w:r w:rsidRPr="002D6624">
              <w:t>ziałanie nowe</w:t>
            </w:r>
          </w:p>
        </w:tc>
        <w:tc>
          <w:tcPr>
            <w:tcW w:w="795" w:type="pct"/>
          </w:tcPr>
          <w:p w14:paraId="7407FB83" w14:textId="6B2D2F30" w:rsidR="0054392B" w:rsidRPr="00795F17" w:rsidRDefault="0054392B" w:rsidP="0054392B">
            <w:pPr>
              <w:pStyle w:val="Teksttabelilewy"/>
              <w:jc w:val="center"/>
            </w:pPr>
            <w:r>
              <w:rPr>
                <w:rFonts w:cstheme="minorHAnsi"/>
              </w:rPr>
              <w:t>2023</w:t>
            </w:r>
          </w:p>
        </w:tc>
      </w:tr>
      <w:tr w:rsidR="0054392B" w:rsidRPr="00795F17" w14:paraId="6D8F72A0" w14:textId="7148CA45" w:rsidTr="00B11299">
        <w:trPr>
          <w:trHeight w:val="454"/>
        </w:trPr>
        <w:tc>
          <w:tcPr>
            <w:tcW w:w="892" w:type="pct"/>
            <w:hideMark/>
          </w:tcPr>
          <w:p w14:paraId="16BFAB7D" w14:textId="43AEB75A" w:rsidR="0054392B" w:rsidRPr="00795F17" w:rsidRDefault="00027D03" w:rsidP="008C27E6">
            <w:pPr>
              <w:pStyle w:val="Teksttabelilewy"/>
              <w:ind w:left="57"/>
            </w:pPr>
            <w:r>
              <w:t>przemysł</w:t>
            </w:r>
          </w:p>
        </w:tc>
        <w:tc>
          <w:tcPr>
            <w:tcW w:w="2518" w:type="pct"/>
            <w:hideMark/>
          </w:tcPr>
          <w:p w14:paraId="52229A8C" w14:textId="04C34D06" w:rsidR="0054392B" w:rsidRPr="00795F17" w:rsidRDefault="0054392B" w:rsidP="008C27E6">
            <w:pPr>
              <w:pStyle w:val="Teksttabelilewy"/>
              <w:ind w:left="57"/>
            </w:pPr>
            <w:r w:rsidRPr="00D8650F">
              <w:rPr>
                <w:rFonts w:cs="Calibri"/>
              </w:rPr>
              <w:t>Utworzenie systemu informacji o odwodnieniach gó</w:t>
            </w:r>
            <w:r>
              <w:rPr>
                <w:rFonts w:cs="Calibri"/>
              </w:rPr>
              <w:t>rniczych (bazy danych), który bę</w:t>
            </w:r>
            <w:r w:rsidRPr="00D8650F">
              <w:rPr>
                <w:rFonts w:cs="Calibri"/>
              </w:rPr>
              <w:t>dzie zawierał przekazywane raz w roku przez zarządzających obiektami prowadzącymi odwodnienia w skali regionalnej i lokalnej (kopalnie wgłębne i odkrywkowe) dane dotyczące wielkości odwodnienia i zasięgu leja depresji (w formie raportu)</w:t>
            </w:r>
          </w:p>
        </w:tc>
        <w:tc>
          <w:tcPr>
            <w:tcW w:w="795" w:type="pct"/>
          </w:tcPr>
          <w:p w14:paraId="148FD949" w14:textId="08929760" w:rsidR="0054392B" w:rsidRPr="00795F17" w:rsidRDefault="00112057" w:rsidP="0054392B">
            <w:pPr>
              <w:pStyle w:val="Teksttabelilewy"/>
            </w:pPr>
            <w:r>
              <w:t>d</w:t>
            </w:r>
            <w:r w:rsidR="0054392B">
              <w:t>ziałanie nowe</w:t>
            </w:r>
          </w:p>
        </w:tc>
        <w:tc>
          <w:tcPr>
            <w:tcW w:w="795" w:type="pct"/>
          </w:tcPr>
          <w:p w14:paraId="1084B8AC" w14:textId="0FF220AB" w:rsidR="0054392B" w:rsidRPr="00795F17" w:rsidRDefault="0054392B" w:rsidP="0054392B">
            <w:pPr>
              <w:pStyle w:val="Teksttabelilewy"/>
              <w:jc w:val="center"/>
            </w:pPr>
            <w:r>
              <w:t>działanie ciągłe</w:t>
            </w:r>
          </w:p>
        </w:tc>
      </w:tr>
      <w:tr w:rsidR="0054392B" w:rsidRPr="00795F17" w14:paraId="0E639769" w14:textId="4EAD5ED9" w:rsidTr="00B11299">
        <w:trPr>
          <w:trHeight w:val="454"/>
        </w:trPr>
        <w:tc>
          <w:tcPr>
            <w:tcW w:w="892" w:type="pct"/>
          </w:tcPr>
          <w:p w14:paraId="332D4B4D" w14:textId="20BCCCE4" w:rsidR="0054392B" w:rsidRPr="00795F17" w:rsidRDefault="00027D03" w:rsidP="008C27E6">
            <w:pPr>
              <w:pStyle w:val="Teksttabelilewy"/>
              <w:ind w:left="57"/>
            </w:pPr>
            <w:r>
              <w:t>m</w:t>
            </w:r>
            <w:r w:rsidRPr="002D6624">
              <w:t xml:space="preserve">onitoring </w:t>
            </w:r>
            <w:r w:rsidR="0054392B" w:rsidRPr="002D6624">
              <w:t>i</w:t>
            </w:r>
            <w:r w:rsidR="0054392B">
              <w:t> </w:t>
            </w:r>
            <w:r w:rsidR="0054392B" w:rsidRPr="002D6624">
              <w:t>ewaluacja</w:t>
            </w:r>
          </w:p>
        </w:tc>
        <w:tc>
          <w:tcPr>
            <w:tcW w:w="2518" w:type="pct"/>
          </w:tcPr>
          <w:p w14:paraId="6BAEA774" w14:textId="7AC5FE63" w:rsidR="0054392B" w:rsidRPr="00795F17" w:rsidRDefault="0054392B" w:rsidP="008C27E6">
            <w:pPr>
              <w:pStyle w:val="Teksttabelilewy"/>
              <w:ind w:left="57"/>
            </w:pPr>
            <w:r w:rsidRPr="002D6624">
              <w:rPr>
                <w:rFonts w:cs="Calibri"/>
              </w:rPr>
              <w:t>Przegląd pozwoleń wodnoprawnych na</w:t>
            </w:r>
            <w:r>
              <w:rPr>
                <w:rFonts w:cs="Calibri"/>
              </w:rPr>
              <w:t> </w:t>
            </w:r>
            <w:r w:rsidRPr="002D6624">
              <w:rPr>
                <w:rFonts w:cs="Calibri"/>
              </w:rPr>
              <w:t>pobór wód, a</w:t>
            </w:r>
            <w:r w:rsidR="00DB043C">
              <w:rPr>
                <w:rFonts w:cs="Calibri"/>
              </w:rPr>
              <w:t> </w:t>
            </w:r>
            <w:r w:rsidRPr="002D6624">
              <w:rPr>
                <w:rFonts w:cs="Calibri"/>
              </w:rPr>
              <w:t>także realizacji tych pozwoleń, co najmniej raz na</w:t>
            </w:r>
            <w:r>
              <w:rPr>
                <w:rFonts w:cs="Calibri"/>
              </w:rPr>
              <w:t> </w:t>
            </w:r>
            <w:r w:rsidRPr="002D6624">
              <w:rPr>
                <w:rFonts w:cs="Calibri"/>
              </w:rPr>
              <w:t>4 lata</w:t>
            </w:r>
          </w:p>
        </w:tc>
        <w:tc>
          <w:tcPr>
            <w:tcW w:w="795" w:type="pct"/>
          </w:tcPr>
          <w:p w14:paraId="265B0F38" w14:textId="15A1A6EA" w:rsidR="0054392B" w:rsidRPr="00795F17" w:rsidRDefault="0054392B" w:rsidP="0054392B">
            <w:pPr>
              <w:pStyle w:val="Teksttabelilewy"/>
            </w:pPr>
            <w:r>
              <w:t>p</w:t>
            </w:r>
            <w:r w:rsidRPr="002D6624">
              <w:t>rolongata</w:t>
            </w:r>
          </w:p>
        </w:tc>
        <w:tc>
          <w:tcPr>
            <w:tcW w:w="795" w:type="pct"/>
          </w:tcPr>
          <w:p w14:paraId="6C1C85CB" w14:textId="758D2D74" w:rsidR="0054392B" w:rsidRPr="00795F17" w:rsidRDefault="0054392B" w:rsidP="0054392B">
            <w:pPr>
              <w:pStyle w:val="Teksttabelilewy"/>
              <w:jc w:val="center"/>
            </w:pPr>
            <w:r>
              <w:t>działanie ciągłe</w:t>
            </w:r>
          </w:p>
        </w:tc>
      </w:tr>
    </w:tbl>
    <w:p w14:paraId="190DE64E" w14:textId="1C55FABE" w:rsidR="002B13ED" w:rsidRPr="004E24D2" w:rsidRDefault="00552988" w:rsidP="004E24D2">
      <w:pPr>
        <w:pStyle w:val="Tabela"/>
        <w:ind w:left="0" w:firstLine="0"/>
        <w:jc w:val="both"/>
        <w:rPr>
          <w:b w:val="0"/>
          <w:bCs/>
          <w:i/>
          <w:iCs w:val="0"/>
        </w:rPr>
      </w:pPr>
      <w:r w:rsidRPr="004E24D2">
        <w:rPr>
          <w:i/>
          <w:iCs w:val="0"/>
        </w:rPr>
        <w:t>Objaśnienia:</w:t>
      </w:r>
      <w:r w:rsidRPr="004E24D2">
        <w:rPr>
          <w:i/>
          <w:iCs w:val="0"/>
        </w:rPr>
        <w:br/>
      </w:r>
      <w:r w:rsidR="002B13ED" w:rsidRPr="004E24D2">
        <w:rPr>
          <w:b w:val="0"/>
          <w:bCs/>
          <w:i/>
          <w:iCs w:val="0"/>
        </w:rPr>
        <w:t>*prolongata - działanie kontynuowane w stosunku do aPGW (2016–2021)</w:t>
      </w:r>
    </w:p>
    <w:p w14:paraId="21823006" w14:textId="70F2EDC8" w:rsidR="00AD1DA1" w:rsidRPr="00795F17" w:rsidRDefault="00AD1DA1" w:rsidP="0044393D">
      <w:pPr>
        <w:pStyle w:val="rdo"/>
      </w:pPr>
      <w:r w:rsidRPr="00795F17">
        <w:t xml:space="preserve">Źródło: </w:t>
      </w:r>
      <w:r w:rsidR="00FD7248" w:rsidRPr="00795F17">
        <w:t>opracowanie własne</w:t>
      </w:r>
    </w:p>
    <w:p w14:paraId="39879F7C" w14:textId="19BD01A0" w:rsidR="00FE6304" w:rsidRPr="00795F17" w:rsidRDefault="00FE6304" w:rsidP="0044393D">
      <w:r w:rsidRPr="00795F17">
        <w:t xml:space="preserve">Na obszarze dorzecza Odry występują </w:t>
      </w:r>
      <w:r w:rsidR="00DF005E">
        <w:t>JCWP</w:t>
      </w:r>
      <w:r w:rsidRPr="00795F17">
        <w:t xml:space="preserve">d charakteryzujące się słabym stanem ilościowym wód podziemnych. Są to </w:t>
      </w:r>
      <w:r w:rsidR="00DF005E">
        <w:t>JCWP</w:t>
      </w:r>
      <w:r w:rsidRPr="00795F17">
        <w:t xml:space="preserve">d o nr: 1, 9, 43, 62, 79, 83, 105, 124, 129 i 143. Występują również </w:t>
      </w:r>
      <w:r w:rsidR="00DF005E">
        <w:t>JCWP</w:t>
      </w:r>
      <w:r w:rsidRPr="00795F17">
        <w:t>d o</w:t>
      </w:r>
      <w:r w:rsidR="00C817B5" w:rsidRPr="00795F17">
        <w:t> </w:t>
      </w:r>
      <w:r w:rsidRPr="00795F17">
        <w:t xml:space="preserve">stanie dobrym, dla których ocena ryzyka nieosiągnięcia celu środowiskowego wykazała: zagrożone ilościowo. Są to </w:t>
      </w:r>
      <w:r w:rsidR="00DF005E">
        <w:t>JCWP</w:t>
      </w:r>
      <w:r w:rsidRPr="00795F17">
        <w:t>d o nr: 60, 71, 76, 95, 128 oraz 144. Dla obu tych grup przygotowano dodatkowe działania uzupełniające mające na celu osiągnięcie dobrego stanu ilościowego wód podziemnych</w:t>
      </w:r>
      <w:r w:rsidR="00370B9A">
        <w:t xml:space="preserve"> lub</w:t>
      </w:r>
      <w:r w:rsidR="00D2022C">
        <w:t> </w:t>
      </w:r>
      <w:r w:rsidR="00370B9A">
        <w:t xml:space="preserve">braku pogorszenia aktualnego stanu ilościowego (w większości przypadków ze względu na </w:t>
      </w:r>
      <w:r w:rsidR="00370B9A" w:rsidRPr="001B1F37">
        <w:t>słaby stan ilościowy w zakresie bilansu wodnego</w:t>
      </w:r>
      <w:r w:rsidR="00370B9A">
        <w:t>)</w:t>
      </w:r>
      <w:r w:rsidR="00370B9A" w:rsidRPr="001B1F37">
        <w:t xml:space="preserve"> </w:t>
      </w:r>
      <w:r w:rsidR="00370B9A">
        <w:t>(</w:t>
      </w:r>
      <w:r w:rsidR="00DF005E">
        <w:t>JCWP</w:t>
      </w:r>
      <w:r w:rsidR="00370B9A">
        <w:t>d nr 43, 62, 83, 105, 129, 143).</w:t>
      </w:r>
    </w:p>
    <w:p w14:paraId="1A791E30" w14:textId="55CAA396" w:rsidR="00AD1DA1" w:rsidRPr="00795F17" w:rsidRDefault="00FE6304" w:rsidP="0044393D">
      <w:pPr>
        <w:rPr>
          <w:rFonts w:asciiTheme="minorHAnsi" w:hAnsiTheme="minorHAnsi" w:cstheme="minorBidi"/>
        </w:rPr>
      </w:pPr>
      <w:r w:rsidRPr="00795F17">
        <w:t xml:space="preserve">Poniżej w tabeli </w:t>
      </w:r>
      <w:r w:rsidRPr="00795F17">
        <w:rPr>
          <w:rFonts w:asciiTheme="minorHAnsi" w:hAnsiTheme="minorHAnsi" w:cstheme="minorBidi"/>
        </w:rPr>
        <w:t xml:space="preserve">13-9 </w:t>
      </w:r>
      <w:r w:rsidRPr="00795F17">
        <w:t xml:space="preserve">przedstawiono wykaz takich działań dla </w:t>
      </w:r>
      <w:r w:rsidR="00237E00" w:rsidRPr="00795F17">
        <w:t xml:space="preserve">obszaru </w:t>
      </w:r>
      <w:r w:rsidRPr="00795F17">
        <w:t>dorzecza Odry.</w:t>
      </w:r>
    </w:p>
    <w:p w14:paraId="3387E045" w14:textId="1A790618" w:rsidR="00AD1DA1" w:rsidRPr="00795F17" w:rsidRDefault="00AD1DA1" w:rsidP="004D7705">
      <w:pPr>
        <w:pStyle w:val="Tabela"/>
      </w:pPr>
      <w:bookmarkStart w:id="834" w:name="_Toc66261853"/>
      <w:bookmarkStart w:id="835" w:name="_Toc66288117"/>
      <w:bookmarkStart w:id="836" w:name="_Toc66341966"/>
      <w:bookmarkStart w:id="837" w:name="_Toc105512895"/>
      <w:r w:rsidRPr="00795F17">
        <w:t xml:space="preserve">Tabela </w:t>
      </w:r>
      <w:fldSimple w:instr=" STYLEREF 1 \s ">
        <w:r w:rsidR="001F774D">
          <w:rPr>
            <w:noProof/>
          </w:rPr>
          <w:t>13</w:t>
        </w:r>
      </w:fldSimple>
      <w:r w:rsidR="00BB3B21" w:rsidRPr="00795F17">
        <w:noBreakHyphen/>
      </w:r>
      <w:fldSimple w:instr=" SEQ Tabela \* ARABIC \s 1 ">
        <w:r w:rsidR="001F774D">
          <w:rPr>
            <w:noProof/>
          </w:rPr>
          <w:t>9</w:t>
        </w:r>
      </w:fldSimple>
      <w:r w:rsidR="000B5450">
        <w:rPr>
          <w:noProof/>
        </w:rPr>
        <w:t>.</w:t>
      </w:r>
      <w:r w:rsidRPr="00795F17">
        <w:tab/>
        <w:t xml:space="preserve">Proponowane działania uzupełniające dla </w:t>
      </w:r>
      <w:r w:rsidR="00DF005E">
        <w:t>JCWP</w:t>
      </w:r>
      <w:r w:rsidRPr="00795F17">
        <w:t>d</w:t>
      </w:r>
      <w:bookmarkEnd w:id="834"/>
      <w:bookmarkEnd w:id="835"/>
      <w:bookmarkEnd w:id="836"/>
      <w:bookmarkEnd w:id="8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0"/>
        <w:gridCol w:w="2224"/>
        <w:gridCol w:w="3512"/>
        <w:gridCol w:w="1676"/>
      </w:tblGrid>
      <w:tr w:rsidR="00C54322" w:rsidRPr="00795F17" w14:paraId="5E48AABF" w14:textId="77777777" w:rsidTr="00E31F63">
        <w:trPr>
          <w:trHeight w:val="454"/>
          <w:tblHeader/>
        </w:trPr>
        <w:tc>
          <w:tcPr>
            <w:tcW w:w="910" w:type="pct"/>
            <w:shd w:val="clear" w:color="auto" w:fill="BFBFBF" w:themeFill="background1" w:themeFillShade="BF"/>
            <w:vAlign w:val="center"/>
          </w:tcPr>
          <w:p w14:paraId="0CAFADEF" w14:textId="77777777" w:rsidR="00C54322" w:rsidRPr="00795F17" w:rsidRDefault="00C54322" w:rsidP="00C54322">
            <w:pPr>
              <w:pStyle w:val="Teksttabelinaglowek"/>
              <w:rPr>
                <w:rFonts w:cs="Calibri"/>
              </w:rPr>
            </w:pPr>
            <w:r w:rsidRPr="00795F17">
              <w:t>Grupa działań</w:t>
            </w:r>
            <w:r w:rsidRPr="00795F17">
              <w:rPr>
                <w:rFonts w:cs="Calibri"/>
              </w:rPr>
              <w:t xml:space="preserve"> </w:t>
            </w:r>
          </w:p>
        </w:tc>
        <w:tc>
          <w:tcPr>
            <w:tcW w:w="1227" w:type="pct"/>
            <w:shd w:val="clear" w:color="auto" w:fill="BFBFBF" w:themeFill="background1" w:themeFillShade="BF"/>
            <w:vAlign w:val="center"/>
          </w:tcPr>
          <w:p w14:paraId="4AB0591B" w14:textId="77777777" w:rsidR="00C54322" w:rsidRPr="00795F17" w:rsidRDefault="00C54322" w:rsidP="00C54322">
            <w:pPr>
              <w:pStyle w:val="Teksttabelinaglowek"/>
              <w:rPr>
                <w:rFonts w:cs="Calibri"/>
              </w:rPr>
            </w:pPr>
            <w:r w:rsidRPr="00795F17">
              <w:t>Nazwa działania</w:t>
            </w:r>
            <w:r w:rsidRPr="00795F17">
              <w:rPr>
                <w:rFonts w:cs="Calibri"/>
              </w:rPr>
              <w:t xml:space="preserve"> </w:t>
            </w:r>
          </w:p>
        </w:tc>
        <w:tc>
          <w:tcPr>
            <w:tcW w:w="1938" w:type="pct"/>
            <w:shd w:val="clear" w:color="auto" w:fill="BFBFBF" w:themeFill="background1" w:themeFillShade="BF"/>
            <w:vAlign w:val="center"/>
          </w:tcPr>
          <w:p w14:paraId="6A572BE2" w14:textId="77777777" w:rsidR="00C54322" w:rsidRPr="00795F17" w:rsidRDefault="00C54322" w:rsidP="00C54322">
            <w:pPr>
              <w:pStyle w:val="Teksttabelinaglowek"/>
              <w:rPr>
                <w:rFonts w:cs="Calibri"/>
              </w:rPr>
            </w:pPr>
            <w:r w:rsidRPr="00795F17">
              <w:t>Opis działania</w:t>
            </w:r>
            <w:r w:rsidRPr="00795F17">
              <w:rPr>
                <w:rFonts w:cs="Calibri"/>
              </w:rPr>
              <w:t xml:space="preserve"> </w:t>
            </w:r>
          </w:p>
        </w:tc>
        <w:tc>
          <w:tcPr>
            <w:tcW w:w="925" w:type="pct"/>
            <w:shd w:val="clear" w:color="auto" w:fill="BFBFBF" w:themeFill="background1" w:themeFillShade="BF"/>
            <w:vAlign w:val="center"/>
          </w:tcPr>
          <w:p w14:paraId="2D3B7D75" w14:textId="77777777" w:rsidR="00C54322" w:rsidRPr="00795F17" w:rsidRDefault="00C54322" w:rsidP="00C54322">
            <w:pPr>
              <w:pStyle w:val="Teksttabelinaglowek"/>
            </w:pPr>
            <w:r w:rsidRPr="00795F17">
              <w:t>Harmonogram realizacji</w:t>
            </w:r>
          </w:p>
        </w:tc>
      </w:tr>
      <w:tr w:rsidR="00C54322" w:rsidRPr="00795F17" w14:paraId="2421252C" w14:textId="77777777" w:rsidTr="00E31F63">
        <w:trPr>
          <w:trHeight w:val="454"/>
        </w:trPr>
        <w:tc>
          <w:tcPr>
            <w:tcW w:w="910" w:type="pct"/>
            <w:vAlign w:val="center"/>
          </w:tcPr>
          <w:p w14:paraId="24CB58E6" w14:textId="060D0E77" w:rsidR="00C54322" w:rsidRPr="00795F17" w:rsidRDefault="009F56FA" w:rsidP="008C27E6">
            <w:pPr>
              <w:pStyle w:val="Teksttabelilewy"/>
              <w:ind w:left="57"/>
            </w:pPr>
            <w:r>
              <w:t>o</w:t>
            </w:r>
            <w:r w:rsidRPr="00795F17">
              <w:t>rganizacyjno</w:t>
            </w:r>
            <w:r w:rsidR="00C54322" w:rsidRPr="00795F17">
              <w:t>-prawne</w:t>
            </w:r>
          </w:p>
        </w:tc>
        <w:tc>
          <w:tcPr>
            <w:tcW w:w="1227" w:type="pct"/>
            <w:vAlign w:val="center"/>
          </w:tcPr>
          <w:p w14:paraId="281E3E88" w14:textId="77777777" w:rsidR="00C54322" w:rsidRPr="00795F17" w:rsidRDefault="00C54322" w:rsidP="008C27E6">
            <w:pPr>
              <w:pStyle w:val="Teksttabelilewy"/>
              <w:ind w:left="57"/>
              <w:rPr>
                <w:szCs w:val="20"/>
              </w:rPr>
            </w:pPr>
            <w:r w:rsidRPr="00795F17">
              <w:rPr>
                <w:szCs w:val="20"/>
              </w:rPr>
              <w:t>analiza możliwości odbudowy/przebudowy systemów melioracyjnych (działanie uzupełniające)</w:t>
            </w:r>
          </w:p>
        </w:tc>
        <w:tc>
          <w:tcPr>
            <w:tcW w:w="1938" w:type="pct"/>
            <w:vAlign w:val="center"/>
          </w:tcPr>
          <w:p w14:paraId="2B51AC1E" w14:textId="7E87F70B" w:rsidR="00C54322" w:rsidRPr="00795F17" w:rsidRDefault="00C54322" w:rsidP="008C27E6">
            <w:pPr>
              <w:pStyle w:val="Teksttabelilewy"/>
              <w:ind w:left="57"/>
              <w:rPr>
                <w:szCs w:val="20"/>
              </w:rPr>
            </w:pPr>
            <w:r w:rsidRPr="00795F17">
              <w:rPr>
                <w:szCs w:val="20"/>
              </w:rPr>
              <w:t xml:space="preserve">analiza możliwości odbudowy/przebudowy systemów melioracyjnych </w:t>
            </w:r>
            <w:r w:rsidR="00112057">
              <w:rPr>
                <w:szCs w:val="20"/>
              </w:rPr>
              <w:t>–</w:t>
            </w:r>
            <w:r w:rsidRPr="00795F17">
              <w:rPr>
                <w:szCs w:val="20"/>
              </w:rPr>
              <w:t xml:space="preserve"> z odwadniających na nawadniająco-odwadniające i budowa nowych systemów melioracyjnych (nawadniająco-odwadniających)</w:t>
            </w:r>
          </w:p>
        </w:tc>
        <w:tc>
          <w:tcPr>
            <w:tcW w:w="925" w:type="pct"/>
            <w:vAlign w:val="center"/>
          </w:tcPr>
          <w:p w14:paraId="7744C407" w14:textId="77777777" w:rsidR="00C54322" w:rsidRPr="00795F17" w:rsidRDefault="00C54322" w:rsidP="00C54322">
            <w:pPr>
              <w:pStyle w:val="Teksttabelisrodek"/>
            </w:pPr>
            <w:r w:rsidRPr="00795F17">
              <w:t>2027</w:t>
            </w:r>
          </w:p>
        </w:tc>
      </w:tr>
      <w:tr w:rsidR="00C54322" w:rsidRPr="00795F17" w14:paraId="03300065" w14:textId="77777777" w:rsidTr="00E31F63">
        <w:trPr>
          <w:trHeight w:val="454"/>
        </w:trPr>
        <w:tc>
          <w:tcPr>
            <w:tcW w:w="910" w:type="pct"/>
            <w:vAlign w:val="center"/>
          </w:tcPr>
          <w:p w14:paraId="697A94F6" w14:textId="3DF09138" w:rsidR="00C54322" w:rsidRPr="00795F17" w:rsidRDefault="009F56FA" w:rsidP="008C27E6">
            <w:pPr>
              <w:pStyle w:val="Teksttabelilewy"/>
              <w:ind w:left="57"/>
            </w:pPr>
            <w:r>
              <w:rPr>
                <w:rFonts w:cs="Calibri"/>
              </w:rPr>
              <w:t>a</w:t>
            </w:r>
            <w:r w:rsidRPr="00795F17">
              <w:rPr>
                <w:rFonts w:cs="Calibri"/>
              </w:rPr>
              <w:t>dministracyjne</w:t>
            </w:r>
          </w:p>
        </w:tc>
        <w:tc>
          <w:tcPr>
            <w:tcW w:w="1227" w:type="pct"/>
            <w:vAlign w:val="center"/>
          </w:tcPr>
          <w:p w14:paraId="1EB19A87" w14:textId="77777777" w:rsidR="00C54322" w:rsidRPr="00795F17" w:rsidRDefault="00C54322" w:rsidP="008C27E6">
            <w:pPr>
              <w:pStyle w:val="Teksttabelilewy"/>
              <w:ind w:left="57"/>
              <w:rPr>
                <w:szCs w:val="20"/>
              </w:rPr>
            </w:pPr>
            <w:r w:rsidRPr="00795F17">
              <w:rPr>
                <w:szCs w:val="20"/>
              </w:rPr>
              <w:t>dodatkowy przegląd udzielonych pozwoleń wodnoprawnych związanych z poborem wód podziemnych (działanie uzupełniające)</w:t>
            </w:r>
          </w:p>
        </w:tc>
        <w:tc>
          <w:tcPr>
            <w:tcW w:w="1938" w:type="pct"/>
            <w:vAlign w:val="center"/>
          </w:tcPr>
          <w:p w14:paraId="1E81FBDF" w14:textId="77777777" w:rsidR="00C54322" w:rsidRPr="00795F17" w:rsidRDefault="00C54322" w:rsidP="008C27E6">
            <w:pPr>
              <w:pStyle w:val="Teksttabelilewy"/>
              <w:ind w:left="57"/>
              <w:rPr>
                <w:szCs w:val="20"/>
              </w:rPr>
            </w:pPr>
            <w:r w:rsidRPr="00795F17">
              <w:rPr>
                <w:szCs w:val="20"/>
              </w:rPr>
              <w:t>dodatkowy przegląd pozwoleń wodnoprawnych, uwzględniający faktyczne zapotrzebowanie na wodę oraz dostępne zasoby wód podziemnych, a nie możliwości techniczne poboru wody z ujęcia</w:t>
            </w:r>
          </w:p>
        </w:tc>
        <w:tc>
          <w:tcPr>
            <w:tcW w:w="925" w:type="pct"/>
            <w:vAlign w:val="center"/>
          </w:tcPr>
          <w:p w14:paraId="7BA850C8" w14:textId="77777777" w:rsidR="00C54322" w:rsidRPr="00795F17" w:rsidRDefault="00C54322" w:rsidP="00C54322">
            <w:pPr>
              <w:pStyle w:val="Teksttabelisrodek"/>
            </w:pPr>
            <w:r w:rsidRPr="00795F17">
              <w:t>działanie ciągłe</w:t>
            </w:r>
          </w:p>
        </w:tc>
      </w:tr>
      <w:tr w:rsidR="00C54322" w:rsidRPr="00795F17" w14:paraId="109FB2A1" w14:textId="77777777" w:rsidTr="00E31F63">
        <w:trPr>
          <w:trHeight w:val="454"/>
        </w:trPr>
        <w:tc>
          <w:tcPr>
            <w:tcW w:w="910" w:type="pct"/>
            <w:vAlign w:val="center"/>
          </w:tcPr>
          <w:p w14:paraId="1E2D6836" w14:textId="50FFEEB4" w:rsidR="00C54322" w:rsidRPr="00795F17" w:rsidRDefault="009F56FA" w:rsidP="008C27E6">
            <w:pPr>
              <w:pStyle w:val="Teksttabelilewy"/>
              <w:ind w:left="57"/>
            </w:pPr>
            <w:r>
              <w:rPr>
                <w:rFonts w:cs="Calibri"/>
              </w:rPr>
              <w:t>o</w:t>
            </w:r>
            <w:r w:rsidRPr="00795F17">
              <w:rPr>
                <w:rFonts w:cs="Calibri"/>
              </w:rPr>
              <w:t>rganizacyjno</w:t>
            </w:r>
            <w:r w:rsidR="00C54322" w:rsidRPr="00795F17">
              <w:rPr>
                <w:rFonts w:cs="Calibri"/>
              </w:rPr>
              <w:t>-prawne</w:t>
            </w:r>
          </w:p>
        </w:tc>
        <w:tc>
          <w:tcPr>
            <w:tcW w:w="1227" w:type="pct"/>
            <w:vAlign w:val="center"/>
          </w:tcPr>
          <w:p w14:paraId="4F03A79F" w14:textId="77777777" w:rsidR="00C54322" w:rsidRPr="00795F17" w:rsidRDefault="00C54322" w:rsidP="008C27E6">
            <w:pPr>
              <w:pStyle w:val="Teksttabelilewy"/>
              <w:ind w:left="57"/>
              <w:rPr>
                <w:szCs w:val="20"/>
              </w:rPr>
            </w:pPr>
            <w:r w:rsidRPr="00795F17">
              <w:t>ograniczenie zużycia wody w przemyśle (działanie uzupełniające)</w:t>
            </w:r>
          </w:p>
        </w:tc>
        <w:tc>
          <w:tcPr>
            <w:tcW w:w="1938" w:type="pct"/>
            <w:vAlign w:val="center"/>
          </w:tcPr>
          <w:p w14:paraId="5A426DF4" w14:textId="411D54E9" w:rsidR="00C54322" w:rsidRPr="00795F17" w:rsidRDefault="00C54322" w:rsidP="008C27E6">
            <w:pPr>
              <w:pStyle w:val="Teksttabelilewy"/>
              <w:ind w:left="57"/>
              <w:rPr>
                <w:szCs w:val="20"/>
              </w:rPr>
            </w:pPr>
            <w:r w:rsidRPr="00795F17">
              <w:t>przeprowadzenie przez podmiot prowadzący działalność gospodarczą analizy możliwości ograniczenia zużycia wody w przemyśle poprzez zastosowanie najlepszych dostępnych technik oszczędzających wodę wraz z</w:t>
            </w:r>
            <w:r w:rsidR="00BB778A">
              <w:t> </w:t>
            </w:r>
            <w:r w:rsidRPr="00795F17">
              <w:t>oceną możliwości ich zastosowania</w:t>
            </w:r>
          </w:p>
        </w:tc>
        <w:tc>
          <w:tcPr>
            <w:tcW w:w="925" w:type="pct"/>
            <w:vAlign w:val="center"/>
          </w:tcPr>
          <w:p w14:paraId="418118C2" w14:textId="77777777" w:rsidR="00C54322" w:rsidRPr="00795F17" w:rsidRDefault="00C54322" w:rsidP="00C54322">
            <w:pPr>
              <w:pStyle w:val="Teksttabelisrodek"/>
            </w:pPr>
            <w:r w:rsidRPr="00795F17">
              <w:t>działanie ciągłe</w:t>
            </w:r>
          </w:p>
        </w:tc>
      </w:tr>
      <w:tr w:rsidR="00C54322" w:rsidRPr="00795F17" w14:paraId="422C7B20" w14:textId="77777777" w:rsidTr="00E31F63">
        <w:trPr>
          <w:trHeight w:val="454"/>
        </w:trPr>
        <w:tc>
          <w:tcPr>
            <w:tcW w:w="910" w:type="pct"/>
            <w:vAlign w:val="center"/>
          </w:tcPr>
          <w:p w14:paraId="59949065" w14:textId="057555AC" w:rsidR="00C54322" w:rsidRPr="00795F17" w:rsidRDefault="009F56FA" w:rsidP="008C27E6">
            <w:pPr>
              <w:pStyle w:val="Teksttabelilewy"/>
              <w:ind w:left="57"/>
            </w:pPr>
            <w:r>
              <w:rPr>
                <w:rFonts w:cs="Calibri"/>
              </w:rPr>
              <w:t>e</w:t>
            </w:r>
            <w:r w:rsidRPr="00795F17">
              <w:rPr>
                <w:rFonts w:cs="Calibri"/>
              </w:rPr>
              <w:t>dukacyjne</w:t>
            </w:r>
          </w:p>
        </w:tc>
        <w:tc>
          <w:tcPr>
            <w:tcW w:w="1227" w:type="pct"/>
            <w:vAlign w:val="center"/>
          </w:tcPr>
          <w:p w14:paraId="33745E97" w14:textId="77777777" w:rsidR="00C54322" w:rsidRPr="00795F17" w:rsidRDefault="00C54322" w:rsidP="008C27E6">
            <w:pPr>
              <w:pStyle w:val="Teksttabelilewy"/>
              <w:ind w:left="57"/>
              <w:rPr>
                <w:szCs w:val="20"/>
              </w:rPr>
            </w:pPr>
            <w:r w:rsidRPr="00795F17">
              <w:t>ograniczenie zużycia wody w rolnictwie (działanie uzupełniające)</w:t>
            </w:r>
          </w:p>
        </w:tc>
        <w:tc>
          <w:tcPr>
            <w:tcW w:w="1938" w:type="pct"/>
            <w:vAlign w:val="center"/>
          </w:tcPr>
          <w:p w14:paraId="125D8FEA" w14:textId="059C8EB9" w:rsidR="00C54322" w:rsidRPr="00795F17" w:rsidRDefault="00C54322" w:rsidP="008C27E6">
            <w:pPr>
              <w:pStyle w:val="Teksttabelilewy"/>
              <w:ind w:left="57"/>
              <w:rPr>
                <w:szCs w:val="20"/>
              </w:rPr>
            </w:pPr>
            <w:r w:rsidRPr="00795F17">
              <w:t>przeprowadzenie szkoleń dla prowadzących działalność rolniczą w</w:t>
            </w:r>
            <w:r w:rsidR="00B60CB3">
              <w:t> </w:t>
            </w:r>
            <w:r w:rsidRPr="00795F17">
              <w:t>zakresie możliwości zastosowania wodooszczędnych technik nawadniania gruntów ornych oraz sposobów retencjonowania i</w:t>
            </w:r>
            <w:r w:rsidR="00BA6B41">
              <w:t xml:space="preserve"> </w:t>
            </w:r>
            <w:r w:rsidRPr="00795F17">
              <w:t>zagospodarowania wód opadowych w rolnictwie wraz z</w:t>
            </w:r>
            <w:r w:rsidR="00B60CB3">
              <w:t> </w:t>
            </w:r>
            <w:r w:rsidRPr="00795F17">
              <w:t>przekazaniem informacji o możliwych programach pozyskiwania środków na realizację działań w dowiązaniu do specyfiki produkcji rolnej</w:t>
            </w:r>
          </w:p>
        </w:tc>
        <w:tc>
          <w:tcPr>
            <w:tcW w:w="925" w:type="pct"/>
            <w:vAlign w:val="center"/>
          </w:tcPr>
          <w:p w14:paraId="2A66BB4E" w14:textId="77777777" w:rsidR="00C54322" w:rsidRPr="00795F17" w:rsidRDefault="00C54322" w:rsidP="00C54322">
            <w:pPr>
              <w:pStyle w:val="Teksttabelisrodek"/>
            </w:pPr>
            <w:r w:rsidRPr="00795F17">
              <w:t>działanie ciągłe</w:t>
            </w:r>
          </w:p>
        </w:tc>
      </w:tr>
      <w:tr w:rsidR="00C54322" w:rsidRPr="00795F17" w14:paraId="6D7DFB3B" w14:textId="77777777" w:rsidTr="00E31F63">
        <w:trPr>
          <w:trHeight w:val="454"/>
        </w:trPr>
        <w:tc>
          <w:tcPr>
            <w:tcW w:w="910" w:type="pct"/>
            <w:vAlign w:val="center"/>
          </w:tcPr>
          <w:p w14:paraId="3F7C41A8" w14:textId="016458A4" w:rsidR="00C54322" w:rsidRPr="00795F17" w:rsidRDefault="009F56FA" w:rsidP="008C27E6">
            <w:pPr>
              <w:pStyle w:val="Teksttabelilewy"/>
              <w:ind w:left="57"/>
              <w:rPr>
                <w:rFonts w:cs="Calibri"/>
              </w:rPr>
            </w:pPr>
            <w:r>
              <w:rPr>
                <w:rFonts w:cs="Calibri"/>
              </w:rPr>
              <w:t>p</w:t>
            </w:r>
            <w:r w:rsidRPr="00795F17">
              <w:rPr>
                <w:rFonts w:cs="Calibri"/>
              </w:rPr>
              <w:t>ozostałe</w:t>
            </w:r>
          </w:p>
        </w:tc>
        <w:tc>
          <w:tcPr>
            <w:tcW w:w="1227" w:type="pct"/>
            <w:vAlign w:val="center"/>
          </w:tcPr>
          <w:p w14:paraId="1CEFAB5E" w14:textId="77777777" w:rsidR="00C54322" w:rsidRPr="00795F17" w:rsidRDefault="00C54322" w:rsidP="008C27E6">
            <w:pPr>
              <w:pStyle w:val="Teksttabelilewy"/>
              <w:ind w:left="57"/>
              <w:rPr>
                <w:szCs w:val="20"/>
              </w:rPr>
            </w:pPr>
            <w:r w:rsidRPr="00795F17">
              <w:t>opracowanie dodatku do dokumentacji hydrogeologicznej ustalającej zasoby eksploatacyjne ujęcia wód podziemnych (działanie uzupełniające)</w:t>
            </w:r>
          </w:p>
        </w:tc>
        <w:tc>
          <w:tcPr>
            <w:tcW w:w="1938" w:type="pct"/>
            <w:vAlign w:val="center"/>
          </w:tcPr>
          <w:p w14:paraId="318DE6C1" w14:textId="621C023B" w:rsidR="00C54322" w:rsidRPr="00795F17" w:rsidRDefault="00C54322" w:rsidP="008C27E6">
            <w:pPr>
              <w:pStyle w:val="Teksttabelilewy"/>
              <w:ind w:left="57"/>
              <w:rPr>
                <w:szCs w:val="20"/>
              </w:rPr>
            </w:pPr>
            <w:r w:rsidRPr="00795F17">
              <w:t>sporządzenie (na podstawie decyzji właściwego organu administracji geologicznej określającej potrzebę i</w:t>
            </w:r>
            <w:r w:rsidR="00B60CB3">
              <w:t> </w:t>
            </w:r>
            <w:r w:rsidRPr="00795F17">
              <w:t xml:space="preserve">termin przedłożenia dodatku do dokumentacji geologicznej) dodatku do dokumentacji hydrogeologicznej ustalającej zasoby eksploatacyjne ujęcia wód podziemnych </w:t>
            </w:r>
          </w:p>
        </w:tc>
        <w:tc>
          <w:tcPr>
            <w:tcW w:w="925" w:type="pct"/>
            <w:vAlign w:val="center"/>
          </w:tcPr>
          <w:p w14:paraId="2BDA3708" w14:textId="77777777" w:rsidR="00C54322" w:rsidRPr="00795F17" w:rsidRDefault="00C54322" w:rsidP="00C54322">
            <w:pPr>
              <w:pStyle w:val="Teksttabelisrodek"/>
            </w:pPr>
            <w:r w:rsidRPr="00795F17">
              <w:t>2027</w:t>
            </w:r>
          </w:p>
        </w:tc>
      </w:tr>
      <w:tr w:rsidR="00C54322" w:rsidRPr="00795F17" w14:paraId="5427CF65" w14:textId="77777777" w:rsidTr="00E31F63">
        <w:trPr>
          <w:trHeight w:val="454"/>
        </w:trPr>
        <w:tc>
          <w:tcPr>
            <w:tcW w:w="910" w:type="pct"/>
            <w:vAlign w:val="center"/>
          </w:tcPr>
          <w:p w14:paraId="151BF1A9" w14:textId="01A9450D" w:rsidR="00C54322" w:rsidRPr="00795F17" w:rsidRDefault="009F56FA" w:rsidP="008C27E6">
            <w:pPr>
              <w:pStyle w:val="Teksttabelilewy"/>
              <w:ind w:left="57"/>
            </w:pPr>
            <w:r>
              <w:rPr>
                <w:rFonts w:cs="Calibri"/>
              </w:rPr>
              <w:t>p</w:t>
            </w:r>
            <w:r w:rsidRPr="00795F17">
              <w:rPr>
                <w:rFonts w:cs="Calibri"/>
              </w:rPr>
              <w:t>ozostałe</w:t>
            </w:r>
          </w:p>
        </w:tc>
        <w:tc>
          <w:tcPr>
            <w:tcW w:w="1227" w:type="pct"/>
            <w:vAlign w:val="center"/>
          </w:tcPr>
          <w:p w14:paraId="6C12912C" w14:textId="77777777" w:rsidR="00C54322" w:rsidRPr="00795F17" w:rsidRDefault="00C54322" w:rsidP="008C27E6">
            <w:pPr>
              <w:pStyle w:val="Teksttabelilewy"/>
              <w:ind w:left="57"/>
              <w:rPr>
                <w:szCs w:val="20"/>
              </w:rPr>
            </w:pPr>
            <w:r w:rsidRPr="00795F17">
              <w:rPr>
                <w:szCs w:val="20"/>
              </w:rPr>
              <w:t>opracowanie planu ochrony torfowisk (działanie uzupełniające)</w:t>
            </w:r>
          </w:p>
        </w:tc>
        <w:tc>
          <w:tcPr>
            <w:tcW w:w="1938" w:type="pct"/>
            <w:vAlign w:val="center"/>
          </w:tcPr>
          <w:p w14:paraId="1F582857" w14:textId="678E8605" w:rsidR="00C54322" w:rsidRPr="00795F17" w:rsidRDefault="00C54322" w:rsidP="008C27E6">
            <w:pPr>
              <w:pStyle w:val="Teksttabelilewy"/>
              <w:ind w:left="57"/>
              <w:rPr>
                <w:szCs w:val="20"/>
              </w:rPr>
            </w:pPr>
            <w:r w:rsidRPr="00795F17">
              <w:rPr>
                <w:szCs w:val="20"/>
              </w:rPr>
              <w:t>opracowanie planu ochrony torfowisk, zawierającego wytyczne do przywrócenia stosunków wodnych i</w:t>
            </w:r>
            <w:r w:rsidR="008E1A46">
              <w:rPr>
                <w:szCs w:val="20"/>
              </w:rPr>
              <w:t> </w:t>
            </w:r>
            <w:r w:rsidRPr="00795F17">
              <w:rPr>
                <w:szCs w:val="20"/>
              </w:rPr>
              <w:t>produkcji biologicznej</w:t>
            </w:r>
          </w:p>
        </w:tc>
        <w:tc>
          <w:tcPr>
            <w:tcW w:w="925" w:type="pct"/>
            <w:vAlign w:val="center"/>
          </w:tcPr>
          <w:p w14:paraId="1410660D" w14:textId="77777777" w:rsidR="00C54322" w:rsidRPr="00795F17" w:rsidRDefault="00C54322" w:rsidP="00C54322">
            <w:pPr>
              <w:pStyle w:val="Teksttabelisrodek"/>
            </w:pPr>
            <w:r w:rsidRPr="00795F17">
              <w:t>2024</w:t>
            </w:r>
          </w:p>
        </w:tc>
      </w:tr>
      <w:tr w:rsidR="00C54322" w:rsidRPr="00795F17" w14:paraId="051E1B43" w14:textId="77777777" w:rsidTr="00E31F63">
        <w:trPr>
          <w:trHeight w:val="454"/>
        </w:trPr>
        <w:tc>
          <w:tcPr>
            <w:tcW w:w="910" w:type="pct"/>
            <w:vAlign w:val="center"/>
          </w:tcPr>
          <w:p w14:paraId="164C4B42" w14:textId="5EB7879E" w:rsidR="00C54322" w:rsidRPr="00795F17" w:rsidRDefault="009F56FA" w:rsidP="008C27E6">
            <w:pPr>
              <w:pStyle w:val="Teksttabelilewy"/>
              <w:ind w:left="57"/>
              <w:rPr>
                <w:rFonts w:cs="Calibri"/>
              </w:rPr>
            </w:pPr>
            <w:r>
              <w:rPr>
                <w:rFonts w:cs="Calibri"/>
              </w:rPr>
              <w:t>m</w:t>
            </w:r>
            <w:r w:rsidRPr="00795F17">
              <w:rPr>
                <w:rFonts w:cs="Calibri"/>
              </w:rPr>
              <w:t>onitoring</w:t>
            </w:r>
            <w:r>
              <w:rPr>
                <w:rFonts w:cs="Calibri"/>
              </w:rPr>
              <w:t xml:space="preserve"> </w:t>
            </w:r>
            <w:r w:rsidR="00BE1213">
              <w:rPr>
                <w:rFonts w:cs="Calibri"/>
              </w:rPr>
              <w:t>środowiska</w:t>
            </w:r>
          </w:p>
        </w:tc>
        <w:tc>
          <w:tcPr>
            <w:tcW w:w="1227" w:type="pct"/>
            <w:vAlign w:val="center"/>
          </w:tcPr>
          <w:p w14:paraId="07EFD63B" w14:textId="61B85FEE" w:rsidR="00C54322" w:rsidRPr="00795F17" w:rsidRDefault="00C54322" w:rsidP="008C27E6">
            <w:pPr>
              <w:pStyle w:val="Teksttabelilewy"/>
              <w:ind w:left="57"/>
              <w:rPr>
                <w:szCs w:val="20"/>
              </w:rPr>
            </w:pPr>
            <w:r w:rsidRPr="00795F17">
              <w:rPr>
                <w:szCs w:val="20"/>
              </w:rPr>
              <w:t>opracowanie programu monitorowania stanu wód podziemnych w</w:t>
            </w:r>
            <w:r w:rsidR="008E1A46">
              <w:rPr>
                <w:szCs w:val="20"/>
              </w:rPr>
              <w:t> </w:t>
            </w:r>
            <w:r w:rsidRPr="00795F17">
              <w:rPr>
                <w:szCs w:val="20"/>
              </w:rPr>
              <w:t>rejonie prowadzonej działalności górniczej (działanie uzupełniające)</w:t>
            </w:r>
          </w:p>
        </w:tc>
        <w:tc>
          <w:tcPr>
            <w:tcW w:w="1938" w:type="pct"/>
            <w:vAlign w:val="center"/>
          </w:tcPr>
          <w:p w14:paraId="16FA5234" w14:textId="77777777" w:rsidR="00C54322" w:rsidRPr="00795F17" w:rsidRDefault="00C54322" w:rsidP="008C27E6">
            <w:pPr>
              <w:pStyle w:val="Teksttabelilewy"/>
              <w:ind w:left="57"/>
              <w:rPr>
                <w:szCs w:val="20"/>
              </w:rPr>
            </w:pPr>
            <w:r w:rsidRPr="00795F17">
              <w:rPr>
                <w:szCs w:val="20"/>
              </w:rPr>
              <w:t>rozpoznanie warunków hydrodynamicznych w rejonie KWB Turów w celu oszacowania i określenia kierunków przepływów transgranicznych (opracowanie modelu numerycznego o zasięgu transgranicznym, rozwój sieci monitoringu)</w:t>
            </w:r>
          </w:p>
        </w:tc>
        <w:tc>
          <w:tcPr>
            <w:tcW w:w="925" w:type="pct"/>
            <w:vAlign w:val="center"/>
          </w:tcPr>
          <w:p w14:paraId="1C305448" w14:textId="77777777" w:rsidR="00C54322" w:rsidRPr="00795F17" w:rsidRDefault="00C54322" w:rsidP="00C54322">
            <w:pPr>
              <w:pStyle w:val="Teksttabelisrodek"/>
            </w:pPr>
            <w:r w:rsidRPr="00795F17">
              <w:t>2024</w:t>
            </w:r>
          </w:p>
        </w:tc>
      </w:tr>
      <w:tr w:rsidR="00C54322" w:rsidRPr="00795F17" w14:paraId="08563BE1" w14:textId="77777777" w:rsidTr="00E31F63">
        <w:trPr>
          <w:trHeight w:val="454"/>
        </w:trPr>
        <w:tc>
          <w:tcPr>
            <w:tcW w:w="910" w:type="pct"/>
            <w:vAlign w:val="center"/>
          </w:tcPr>
          <w:p w14:paraId="6F08894B" w14:textId="41DA9C47" w:rsidR="00C54322" w:rsidRPr="00795F17" w:rsidRDefault="009F56FA" w:rsidP="008C27E6">
            <w:pPr>
              <w:pStyle w:val="Teksttabelilewy"/>
              <w:ind w:left="57"/>
              <w:rPr>
                <w:rFonts w:cs="Calibri"/>
              </w:rPr>
            </w:pPr>
            <w:r>
              <w:rPr>
                <w:rFonts w:cs="Calibri"/>
              </w:rPr>
              <w:t>m</w:t>
            </w:r>
            <w:r w:rsidRPr="00795F17">
              <w:rPr>
                <w:rFonts w:cs="Calibri"/>
              </w:rPr>
              <w:t xml:space="preserve">onitoring </w:t>
            </w:r>
            <w:r w:rsidR="00C54322" w:rsidRPr="00795F17">
              <w:rPr>
                <w:rFonts w:cs="Calibri"/>
              </w:rPr>
              <w:t>środowiska</w:t>
            </w:r>
          </w:p>
        </w:tc>
        <w:tc>
          <w:tcPr>
            <w:tcW w:w="1227" w:type="pct"/>
            <w:vAlign w:val="center"/>
          </w:tcPr>
          <w:p w14:paraId="3587E5AD" w14:textId="79451FCC" w:rsidR="00C54322" w:rsidRPr="00795F17" w:rsidRDefault="00C54322" w:rsidP="008C27E6">
            <w:pPr>
              <w:pStyle w:val="Teksttabelilewy"/>
              <w:ind w:left="57"/>
              <w:rPr>
                <w:szCs w:val="20"/>
              </w:rPr>
            </w:pPr>
            <w:r w:rsidRPr="00795F17">
              <w:rPr>
                <w:szCs w:val="20"/>
              </w:rPr>
              <w:t>prowadzenie monitoringu w strefie przygranicznej w</w:t>
            </w:r>
            <w:r w:rsidR="008E1A46">
              <w:rPr>
                <w:szCs w:val="20"/>
              </w:rPr>
              <w:t> </w:t>
            </w:r>
            <w:r w:rsidRPr="00795F17">
              <w:rPr>
                <w:szCs w:val="20"/>
              </w:rPr>
              <w:t>obszarze zasilania ujęcia Wydrzany (działanie uzupełniające)</w:t>
            </w:r>
          </w:p>
        </w:tc>
        <w:tc>
          <w:tcPr>
            <w:tcW w:w="1938" w:type="pct"/>
            <w:vAlign w:val="center"/>
          </w:tcPr>
          <w:p w14:paraId="3982F930" w14:textId="157BA2FD" w:rsidR="00C54322" w:rsidRPr="00795F17" w:rsidRDefault="00C54322" w:rsidP="008C27E6">
            <w:pPr>
              <w:pStyle w:val="Teksttabelilewy"/>
              <w:ind w:left="57"/>
              <w:rPr>
                <w:szCs w:val="20"/>
              </w:rPr>
            </w:pPr>
            <w:r w:rsidRPr="00795F17">
              <w:rPr>
                <w:szCs w:val="20"/>
              </w:rPr>
              <w:t>prowadzenie pomiarów położenia zwierciadła wód podziemnych w</w:t>
            </w:r>
            <w:r w:rsidR="00EF1C38">
              <w:rPr>
                <w:szCs w:val="20"/>
              </w:rPr>
              <w:t> </w:t>
            </w:r>
            <w:r w:rsidRPr="00795F17">
              <w:rPr>
                <w:szCs w:val="20"/>
              </w:rPr>
              <w:t>punktach monitoringu zlokalizowanych w zasięgu obszaru spływu wód do ujęcia Wydrzany (po</w:t>
            </w:r>
            <w:r w:rsidR="00EF1C38">
              <w:rPr>
                <w:szCs w:val="20"/>
              </w:rPr>
              <w:t> </w:t>
            </w:r>
            <w:r w:rsidRPr="00795F17">
              <w:rPr>
                <w:szCs w:val="20"/>
              </w:rPr>
              <w:t xml:space="preserve">stronie polskiej i niemieckiej, zgodnie z ustaleniami Komisji Polsko-Niemieckiej ds. współpracy na wodach granicznych </w:t>
            </w:r>
            <w:r w:rsidR="00112057">
              <w:rPr>
                <w:szCs w:val="20"/>
              </w:rPr>
              <w:t>–</w:t>
            </w:r>
            <w:r w:rsidRPr="00795F17">
              <w:rPr>
                <w:szCs w:val="20"/>
              </w:rPr>
              <w:t xml:space="preserve"> grupa W1)</w:t>
            </w:r>
          </w:p>
        </w:tc>
        <w:tc>
          <w:tcPr>
            <w:tcW w:w="925" w:type="pct"/>
            <w:vAlign w:val="center"/>
          </w:tcPr>
          <w:p w14:paraId="709E6A05" w14:textId="77777777" w:rsidR="00C54322" w:rsidRPr="00795F17" w:rsidRDefault="00C54322" w:rsidP="00C54322">
            <w:pPr>
              <w:pStyle w:val="Teksttabelisrodek"/>
            </w:pPr>
            <w:r w:rsidRPr="00795F17">
              <w:t>działanie ciągłe</w:t>
            </w:r>
          </w:p>
        </w:tc>
      </w:tr>
      <w:tr w:rsidR="00C54322" w:rsidRPr="00795F17" w14:paraId="67F828AC" w14:textId="77777777" w:rsidTr="00E31F63">
        <w:trPr>
          <w:trHeight w:val="454"/>
        </w:trPr>
        <w:tc>
          <w:tcPr>
            <w:tcW w:w="910" w:type="pct"/>
            <w:vAlign w:val="center"/>
          </w:tcPr>
          <w:p w14:paraId="6F43D62A" w14:textId="7AAA2E80" w:rsidR="00C54322" w:rsidRPr="00795F17" w:rsidRDefault="009F56FA" w:rsidP="008C27E6">
            <w:pPr>
              <w:pStyle w:val="Teksttabelilewy"/>
              <w:ind w:left="57"/>
              <w:rPr>
                <w:rFonts w:cs="Calibri"/>
              </w:rPr>
            </w:pPr>
            <w:r>
              <w:rPr>
                <w:rFonts w:cs="Calibri"/>
              </w:rPr>
              <w:t>p</w:t>
            </w:r>
            <w:r w:rsidRPr="00795F17">
              <w:rPr>
                <w:rFonts w:cs="Calibri"/>
              </w:rPr>
              <w:t>ozostałe</w:t>
            </w:r>
          </w:p>
        </w:tc>
        <w:tc>
          <w:tcPr>
            <w:tcW w:w="1227" w:type="pct"/>
            <w:vAlign w:val="center"/>
          </w:tcPr>
          <w:p w14:paraId="187C08A3" w14:textId="77777777" w:rsidR="00C54322" w:rsidRPr="00795F17" w:rsidRDefault="00C54322" w:rsidP="008C27E6">
            <w:pPr>
              <w:pStyle w:val="Teksttabelilewy"/>
              <w:ind w:left="57"/>
              <w:rPr>
                <w:szCs w:val="20"/>
              </w:rPr>
            </w:pPr>
            <w:r w:rsidRPr="00795F17">
              <w:rPr>
                <w:szCs w:val="20"/>
              </w:rPr>
              <w:t>spowolnienie lub zatrzymanie odpływu wód ze zlewni oraz zwiększenie możliwości retencyjnych zlewni (działanie uzupełniające)</w:t>
            </w:r>
          </w:p>
        </w:tc>
        <w:tc>
          <w:tcPr>
            <w:tcW w:w="1938" w:type="pct"/>
            <w:vAlign w:val="center"/>
          </w:tcPr>
          <w:p w14:paraId="696426F6" w14:textId="249E2D2F" w:rsidR="00C54322" w:rsidRPr="00795F17" w:rsidRDefault="00C54322" w:rsidP="008C27E6">
            <w:pPr>
              <w:pStyle w:val="Teksttabelilewy"/>
              <w:ind w:left="57"/>
              <w:rPr>
                <w:szCs w:val="20"/>
              </w:rPr>
            </w:pPr>
            <w:r w:rsidRPr="00795F17">
              <w:rPr>
                <w:szCs w:val="20"/>
              </w:rPr>
              <w:t>odtwarzanie starorzeczy i obszarów bagiennych jako naturalnych zbiorników retencyjnych;</w:t>
            </w:r>
            <w:r w:rsidR="00BA6B41">
              <w:rPr>
                <w:szCs w:val="20"/>
              </w:rPr>
              <w:t xml:space="preserve"> </w:t>
            </w:r>
            <w:r w:rsidRPr="00795F17">
              <w:rPr>
                <w:szCs w:val="20"/>
              </w:rPr>
              <w:t>zachowanie bądź odtwarzanie naturalnych terenów retencyjnych takich jak torfowiska, lasy łęgowe, łąki wilgotne, rozlewiska</w:t>
            </w:r>
          </w:p>
        </w:tc>
        <w:tc>
          <w:tcPr>
            <w:tcW w:w="925" w:type="pct"/>
            <w:vAlign w:val="center"/>
          </w:tcPr>
          <w:p w14:paraId="42378BBA" w14:textId="77777777" w:rsidR="00C54322" w:rsidRPr="00795F17" w:rsidRDefault="00C54322" w:rsidP="00C54322">
            <w:pPr>
              <w:pStyle w:val="Teksttabelisrodek"/>
            </w:pPr>
            <w:r w:rsidRPr="00795F17">
              <w:t>2027</w:t>
            </w:r>
          </w:p>
        </w:tc>
      </w:tr>
      <w:tr w:rsidR="00C54322" w:rsidRPr="00795F17" w14:paraId="041067DD" w14:textId="77777777" w:rsidTr="00E31F63">
        <w:trPr>
          <w:trHeight w:val="454"/>
        </w:trPr>
        <w:tc>
          <w:tcPr>
            <w:tcW w:w="910" w:type="pct"/>
            <w:vAlign w:val="center"/>
          </w:tcPr>
          <w:p w14:paraId="363D40FA" w14:textId="6DC6D51D" w:rsidR="00C54322" w:rsidRPr="00795F17" w:rsidRDefault="009F56FA" w:rsidP="008C27E6">
            <w:pPr>
              <w:pStyle w:val="Teksttabelilewy"/>
              <w:ind w:left="57"/>
              <w:rPr>
                <w:rFonts w:cs="Calibri"/>
              </w:rPr>
            </w:pPr>
            <w:r>
              <w:rPr>
                <w:rFonts w:cs="Calibri"/>
              </w:rPr>
              <w:t>p</w:t>
            </w:r>
            <w:r w:rsidRPr="00795F17">
              <w:rPr>
                <w:rFonts w:cs="Calibri"/>
              </w:rPr>
              <w:t>ozostałe</w:t>
            </w:r>
          </w:p>
        </w:tc>
        <w:tc>
          <w:tcPr>
            <w:tcW w:w="1227" w:type="pct"/>
            <w:vAlign w:val="center"/>
          </w:tcPr>
          <w:p w14:paraId="66F27F46" w14:textId="77777777" w:rsidR="00C54322" w:rsidRPr="00795F17" w:rsidRDefault="00C54322" w:rsidP="008C27E6">
            <w:pPr>
              <w:pStyle w:val="Teksttabelilewy"/>
              <w:ind w:left="57"/>
              <w:rPr>
                <w:szCs w:val="20"/>
              </w:rPr>
            </w:pPr>
            <w:r w:rsidRPr="00795F17">
              <w:rPr>
                <w:szCs w:val="20"/>
              </w:rPr>
              <w:t>wdrożenie planu ochrony torfowisk (działanie uzupełniające)</w:t>
            </w:r>
          </w:p>
        </w:tc>
        <w:tc>
          <w:tcPr>
            <w:tcW w:w="1938" w:type="pct"/>
            <w:vAlign w:val="center"/>
          </w:tcPr>
          <w:p w14:paraId="00099313" w14:textId="432873CA" w:rsidR="00C54322" w:rsidRPr="00795F17" w:rsidRDefault="00C54322" w:rsidP="008C27E6">
            <w:pPr>
              <w:pStyle w:val="Teksttabelilewy"/>
              <w:ind w:left="57"/>
              <w:rPr>
                <w:szCs w:val="20"/>
              </w:rPr>
            </w:pPr>
            <w:r w:rsidRPr="00795F17">
              <w:rPr>
                <w:szCs w:val="20"/>
              </w:rPr>
              <w:t>wdrożenie planu ochrony torfowisk, zawierającego wytyczne do przywrócenia stosunków wodnych i</w:t>
            </w:r>
            <w:r w:rsidR="00F7136F">
              <w:rPr>
                <w:szCs w:val="20"/>
              </w:rPr>
              <w:t> </w:t>
            </w:r>
            <w:r w:rsidRPr="00795F17">
              <w:rPr>
                <w:szCs w:val="20"/>
              </w:rPr>
              <w:t>produkcji biologicznej</w:t>
            </w:r>
          </w:p>
        </w:tc>
        <w:tc>
          <w:tcPr>
            <w:tcW w:w="925" w:type="pct"/>
            <w:vAlign w:val="center"/>
          </w:tcPr>
          <w:p w14:paraId="0A5BEFEF" w14:textId="77777777" w:rsidR="00C54322" w:rsidRPr="00795F17" w:rsidRDefault="00C54322" w:rsidP="00C54322">
            <w:pPr>
              <w:pStyle w:val="Teksttabelisrodek"/>
            </w:pPr>
            <w:r w:rsidRPr="00795F17">
              <w:t>2027</w:t>
            </w:r>
          </w:p>
        </w:tc>
      </w:tr>
      <w:tr w:rsidR="00C54322" w:rsidRPr="00795F17" w14:paraId="7C3D7062" w14:textId="77777777" w:rsidTr="00E31F63">
        <w:trPr>
          <w:trHeight w:val="454"/>
        </w:trPr>
        <w:tc>
          <w:tcPr>
            <w:tcW w:w="910" w:type="pct"/>
            <w:vAlign w:val="center"/>
          </w:tcPr>
          <w:p w14:paraId="046D47B9" w14:textId="7FEABA09" w:rsidR="00C54322" w:rsidRPr="00795F17" w:rsidRDefault="009F56FA" w:rsidP="008C27E6">
            <w:pPr>
              <w:pStyle w:val="Teksttabelilewy"/>
              <w:ind w:left="57"/>
              <w:rPr>
                <w:rFonts w:cs="Calibri"/>
              </w:rPr>
            </w:pPr>
            <w:r>
              <w:rPr>
                <w:rFonts w:cs="Calibri"/>
              </w:rPr>
              <w:t>p</w:t>
            </w:r>
            <w:r w:rsidRPr="00795F17">
              <w:rPr>
                <w:rFonts w:cs="Calibri"/>
              </w:rPr>
              <w:t>ozostałe</w:t>
            </w:r>
          </w:p>
        </w:tc>
        <w:tc>
          <w:tcPr>
            <w:tcW w:w="1227" w:type="pct"/>
            <w:vAlign w:val="center"/>
          </w:tcPr>
          <w:p w14:paraId="6F653B98" w14:textId="77777777" w:rsidR="00C54322" w:rsidRPr="00795F17" w:rsidRDefault="00C54322" w:rsidP="008C27E6">
            <w:pPr>
              <w:pStyle w:val="Teksttabelilewy"/>
              <w:ind w:left="57"/>
              <w:rPr>
                <w:szCs w:val="20"/>
              </w:rPr>
            </w:pPr>
            <w:r w:rsidRPr="00795F17">
              <w:rPr>
                <w:szCs w:val="20"/>
              </w:rPr>
              <w:t>weryfikacja zasobów dyspozycyjnych wód podziemnych (działanie uzupełniające)</w:t>
            </w:r>
          </w:p>
        </w:tc>
        <w:tc>
          <w:tcPr>
            <w:tcW w:w="1938" w:type="pct"/>
            <w:vAlign w:val="center"/>
          </w:tcPr>
          <w:p w14:paraId="19AC377E" w14:textId="77777777" w:rsidR="00C54322" w:rsidRPr="00795F17" w:rsidRDefault="00C54322" w:rsidP="008C27E6">
            <w:pPr>
              <w:pStyle w:val="Teksttabelilewy"/>
              <w:ind w:left="57"/>
              <w:rPr>
                <w:szCs w:val="20"/>
              </w:rPr>
            </w:pPr>
            <w:r w:rsidRPr="00795F17">
              <w:rPr>
                <w:szCs w:val="20"/>
              </w:rPr>
              <w:t>opracowanie dokumentacji hydrogeologicznej ustalającej zasoby dyspozycyjne (z uwzględnieniem odwodnień górniczych) dla obszaru zlewni górnej Nysy Łużyckiej i górnego Bobru</w:t>
            </w:r>
          </w:p>
        </w:tc>
        <w:tc>
          <w:tcPr>
            <w:tcW w:w="925" w:type="pct"/>
            <w:vAlign w:val="center"/>
          </w:tcPr>
          <w:p w14:paraId="7ED99531" w14:textId="77777777" w:rsidR="00C54322" w:rsidRPr="00795F17" w:rsidRDefault="00C54322" w:rsidP="00C54322">
            <w:pPr>
              <w:pStyle w:val="Teksttabelisrodek"/>
            </w:pPr>
            <w:r w:rsidRPr="00795F17">
              <w:t>2024</w:t>
            </w:r>
          </w:p>
        </w:tc>
      </w:tr>
      <w:tr w:rsidR="00C54322" w:rsidRPr="00795F17" w14:paraId="042BF8E5" w14:textId="77777777" w:rsidTr="00E31F63">
        <w:trPr>
          <w:trHeight w:val="454"/>
        </w:trPr>
        <w:tc>
          <w:tcPr>
            <w:tcW w:w="910" w:type="pct"/>
            <w:vAlign w:val="center"/>
          </w:tcPr>
          <w:p w14:paraId="5C0D5BE8" w14:textId="6AEFD8E3" w:rsidR="00C54322" w:rsidRPr="00795F17" w:rsidRDefault="009F56FA" w:rsidP="008C27E6">
            <w:pPr>
              <w:pStyle w:val="Teksttabelilewy"/>
              <w:ind w:left="57"/>
              <w:rPr>
                <w:rFonts w:cs="Calibri"/>
              </w:rPr>
            </w:pPr>
            <w:r>
              <w:rPr>
                <w:rFonts w:cs="Calibri"/>
              </w:rPr>
              <w:t>a</w:t>
            </w:r>
            <w:r w:rsidRPr="00795F17">
              <w:rPr>
                <w:rFonts w:cs="Calibri"/>
              </w:rPr>
              <w:t>dministracyjne</w:t>
            </w:r>
          </w:p>
        </w:tc>
        <w:tc>
          <w:tcPr>
            <w:tcW w:w="1227" w:type="pct"/>
            <w:vAlign w:val="center"/>
          </w:tcPr>
          <w:p w14:paraId="078BBA50" w14:textId="456785DA" w:rsidR="00C54322" w:rsidRPr="00795F17" w:rsidRDefault="00C54322" w:rsidP="008C27E6">
            <w:pPr>
              <w:pStyle w:val="Teksttabelilewy"/>
              <w:ind w:left="57"/>
              <w:rPr>
                <w:szCs w:val="20"/>
              </w:rPr>
            </w:pPr>
            <w:r w:rsidRPr="00795F17">
              <w:rPr>
                <w:szCs w:val="20"/>
              </w:rPr>
              <w:t>weryfikacja zasobów eksploatacyjnych ujęć wód podziemnych ustalonych na podstawie dokumentacji hydrogeologicznych wykonanych prze</w:t>
            </w:r>
            <w:r w:rsidR="00C96FA0">
              <w:rPr>
                <w:szCs w:val="20"/>
              </w:rPr>
              <w:t>d</w:t>
            </w:r>
            <w:r w:rsidRPr="00795F17">
              <w:rPr>
                <w:szCs w:val="20"/>
              </w:rPr>
              <w:t xml:space="preserve"> 2004</w:t>
            </w:r>
            <w:r w:rsidR="00F7136F">
              <w:rPr>
                <w:szCs w:val="20"/>
              </w:rPr>
              <w:t> </w:t>
            </w:r>
            <w:r w:rsidRPr="00795F17">
              <w:rPr>
                <w:szCs w:val="20"/>
              </w:rPr>
              <w:t>r. (działanie uzupełniające)</w:t>
            </w:r>
          </w:p>
        </w:tc>
        <w:tc>
          <w:tcPr>
            <w:tcW w:w="1938" w:type="pct"/>
            <w:vAlign w:val="center"/>
          </w:tcPr>
          <w:p w14:paraId="1677392D" w14:textId="641E50D0" w:rsidR="00C54322" w:rsidRPr="00795F17" w:rsidRDefault="00C54322" w:rsidP="008C27E6">
            <w:pPr>
              <w:pStyle w:val="Teksttabelilewy"/>
              <w:ind w:left="57"/>
              <w:rPr>
                <w:szCs w:val="20"/>
              </w:rPr>
            </w:pPr>
            <w:r w:rsidRPr="00795F17">
              <w:rPr>
                <w:szCs w:val="20"/>
              </w:rPr>
              <w:t>wykonanie analizy obejmującej identyfikację ujęć wód podziemnych o</w:t>
            </w:r>
            <w:r w:rsidR="00C96FA0">
              <w:rPr>
                <w:szCs w:val="20"/>
              </w:rPr>
              <w:t> </w:t>
            </w:r>
            <w:r w:rsidRPr="00795F17">
              <w:rPr>
                <w:szCs w:val="20"/>
              </w:rPr>
              <w:t>zasobach eksploatacyjnych znacznie przekraczających średni rzeczywisty pobór w poprzednim cyklu planistycznym, złożenie wniosków o</w:t>
            </w:r>
            <w:r w:rsidR="00C96FA0">
              <w:rPr>
                <w:szCs w:val="20"/>
              </w:rPr>
              <w:t> </w:t>
            </w:r>
            <w:r w:rsidRPr="00795F17">
              <w:rPr>
                <w:szCs w:val="20"/>
              </w:rPr>
              <w:t>weryfikację zasobów eksploatacyjnych ujęć wód podziemnych w trybie wykonania dodatku do dokumentacji hydrogeologicznej, do właściwych organów administracji geologicznej</w:t>
            </w:r>
          </w:p>
        </w:tc>
        <w:tc>
          <w:tcPr>
            <w:tcW w:w="925" w:type="pct"/>
            <w:vAlign w:val="center"/>
          </w:tcPr>
          <w:p w14:paraId="76D929F8" w14:textId="77777777" w:rsidR="00C54322" w:rsidRPr="00795F17" w:rsidRDefault="00C54322" w:rsidP="00C54322">
            <w:pPr>
              <w:pStyle w:val="Teksttabelisrodek"/>
            </w:pPr>
            <w:r w:rsidRPr="00795F17">
              <w:t>2024</w:t>
            </w:r>
          </w:p>
        </w:tc>
      </w:tr>
      <w:tr w:rsidR="00C54322" w:rsidRPr="00795F17" w14:paraId="3799C957" w14:textId="77777777" w:rsidTr="00E31F63">
        <w:trPr>
          <w:trHeight w:val="454"/>
        </w:trPr>
        <w:tc>
          <w:tcPr>
            <w:tcW w:w="910" w:type="pct"/>
            <w:vAlign w:val="center"/>
          </w:tcPr>
          <w:p w14:paraId="25F82EF4" w14:textId="0E6072C8" w:rsidR="00C54322" w:rsidRPr="00795F17" w:rsidRDefault="009F56FA" w:rsidP="008C27E6">
            <w:pPr>
              <w:pStyle w:val="Teksttabelilewy"/>
              <w:ind w:left="57"/>
              <w:rPr>
                <w:rFonts w:cs="Calibri"/>
              </w:rPr>
            </w:pPr>
            <w:r>
              <w:rPr>
                <w:rFonts w:cs="Calibri"/>
              </w:rPr>
              <w:t>p</w:t>
            </w:r>
            <w:r w:rsidRPr="00795F17">
              <w:rPr>
                <w:rFonts w:cs="Calibri"/>
              </w:rPr>
              <w:t>ozostałe</w:t>
            </w:r>
          </w:p>
        </w:tc>
        <w:tc>
          <w:tcPr>
            <w:tcW w:w="1227" w:type="pct"/>
            <w:vAlign w:val="center"/>
          </w:tcPr>
          <w:p w14:paraId="3D2DFE3D" w14:textId="77777777" w:rsidR="00C54322" w:rsidRPr="00795F17" w:rsidRDefault="00C54322" w:rsidP="008C27E6">
            <w:pPr>
              <w:pStyle w:val="Teksttabelilewy"/>
              <w:ind w:left="57"/>
              <w:rPr>
                <w:szCs w:val="20"/>
              </w:rPr>
            </w:pPr>
            <w:r w:rsidRPr="00795F17">
              <w:rPr>
                <w:szCs w:val="20"/>
              </w:rPr>
              <w:t>wykonanie dokumentacji hydrogeologicznej (działanie uzupełniające)</w:t>
            </w:r>
          </w:p>
        </w:tc>
        <w:tc>
          <w:tcPr>
            <w:tcW w:w="1938" w:type="pct"/>
            <w:vAlign w:val="center"/>
          </w:tcPr>
          <w:p w14:paraId="287F3B76" w14:textId="30C315EF" w:rsidR="00C54322" w:rsidRPr="00795F17" w:rsidRDefault="00C54322" w:rsidP="008C27E6">
            <w:pPr>
              <w:pStyle w:val="Teksttabelilewy"/>
              <w:ind w:left="57"/>
              <w:rPr>
                <w:szCs w:val="20"/>
              </w:rPr>
            </w:pPr>
            <w:r w:rsidRPr="00795F17">
              <w:rPr>
                <w:szCs w:val="20"/>
              </w:rPr>
              <w:t>wykonanie dokumentacji hydrogeologicznej określającej warunki hydrogeologiczne w związku z</w:t>
            </w:r>
            <w:r w:rsidR="00C96FA0">
              <w:rPr>
                <w:szCs w:val="20"/>
              </w:rPr>
              <w:t> </w:t>
            </w:r>
            <w:r w:rsidRPr="00795F17">
              <w:rPr>
                <w:szCs w:val="20"/>
              </w:rPr>
              <w:t>zakończeniem odwadniania likwidowanych zakładów górniczych PAK Kopalni Węgla Brunatnego Konin SA w Kleczewie, opracowanej i</w:t>
            </w:r>
            <w:r w:rsidR="00C96FA0">
              <w:rPr>
                <w:szCs w:val="20"/>
              </w:rPr>
              <w:t> </w:t>
            </w:r>
            <w:r w:rsidRPr="00795F17">
              <w:rPr>
                <w:szCs w:val="20"/>
              </w:rPr>
              <w:t>zatwierdzonej zgodnie z ustawą z dnia 9 czerwca 2011 roku Prawo geologiczne i górnicze oraz rozporządzeniem Ministra Środowiska z dnia 18 listopada 2016 r. w sprawie dokumentacji hydrogeologicznej i geologiczno-inżynierskiej</w:t>
            </w:r>
          </w:p>
        </w:tc>
        <w:tc>
          <w:tcPr>
            <w:tcW w:w="925" w:type="pct"/>
            <w:vAlign w:val="center"/>
          </w:tcPr>
          <w:p w14:paraId="3418D46B" w14:textId="77777777" w:rsidR="00C54322" w:rsidRPr="00795F17" w:rsidRDefault="00C54322" w:rsidP="00C54322">
            <w:pPr>
              <w:pStyle w:val="Teksttabelisrodek"/>
            </w:pPr>
            <w:r w:rsidRPr="00795F17">
              <w:t>2024</w:t>
            </w:r>
          </w:p>
        </w:tc>
      </w:tr>
      <w:tr w:rsidR="00C54322" w:rsidRPr="00795F17" w14:paraId="0561C02D" w14:textId="77777777" w:rsidTr="00E31F63">
        <w:trPr>
          <w:trHeight w:val="454"/>
        </w:trPr>
        <w:tc>
          <w:tcPr>
            <w:tcW w:w="910" w:type="pct"/>
            <w:vAlign w:val="center"/>
          </w:tcPr>
          <w:p w14:paraId="21CDD87D" w14:textId="25200EF1" w:rsidR="00C54322" w:rsidRPr="00795F17" w:rsidRDefault="009F56FA" w:rsidP="008C27E6">
            <w:pPr>
              <w:pStyle w:val="Teksttabelilewy"/>
              <w:ind w:left="57"/>
              <w:rPr>
                <w:rFonts w:cs="Calibri"/>
              </w:rPr>
            </w:pPr>
            <w:r>
              <w:rPr>
                <w:rFonts w:cs="Calibri"/>
              </w:rPr>
              <w:t>p</w:t>
            </w:r>
            <w:r w:rsidRPr="00795F17">
              <w:rPr>
                <w:rFonts w:cs="Calibri"/>
              </w:rPr>
              <w:t>ozostałe</w:t>
            </w:r>
          </w:p>
        </w:tc>
        <w:tc>
          <w:tcPr>
            <w:tcW w:w="1227" w:type="pct"/>
            <w:vAlign w:val="center"/>
          </w:tcPr>
          <w:p w14:paraId="70F6EAA1" w14:textId="77777777" w:rsidR="00C54322" w:rsidRPr="00795F17" w:rsidRDefault="00C54322" w:rsidP="008C27E6">
            <w:pPr>
              <w:pStyle w:val="Teksttabelilewy"/>
              <w:ind w:left="57"/>
              <w:rPr>
                <w:szCs w:val="20"/>
              </w:rPr>
            </w:pPr>
            <w:r w:rsidRPr="00795F17">
              <w:rPr>
                <w:szCs w:val="20"/>
              </w:rPr>
              <w:t>wykonanie dokumentacji hydrogeologicznej (działanie uzupełniające)</w:t>
            </w:r>
          </w:p>
        </w:tc>
        <w:tc>
          <w:tcPr>
            <w:tcW w:w="1938" w:type="pct"/>
            <w:vAlign w:val="center"/>
          </w:tcPr>
          <w:p w14:paraId="4B941DAC" w14:textId="2F1B91AC" w:rsidR="00C54322" w:rsidRPr="00795F17" w:rsidRDefault="00C54322" w:rsidP="008C27E6">
            <w:pPr>
              <w:pStyle w:val="Teksttabelilewy"/>
              <w:ind w:left="57"/>
              <w:rPr>
                <w:szCs w:val="20"/>
              </w:rPr>
            </w:pPr>
            <w:r w:rsidRPr="00795F17">
              <w:rPr>
                <w:szCs w:val="20"/>
              </w:rPr>
              <w:t>wykonanie dokumentacji hydrogeologicznej określającej warunki hydrogeologiczne w związku z</w:t>
            </w:r>
            <w:r w:rsidR="00C96FA0">
              <w:rPr>
                <w:szCs w:val="20"/>
              </w:rPr>
              <w:t> </w:t>
            </w:r>
            <w:r w:rsidRPr="00795F17">
              <w:rPr>
                <w:szCs w:val="20"/>
              </w:rPr>
              <w:t>zakończeniem odwadniania odkrywki Tomisławice ZG PAK Kopalni Węgla Brunatnego Konin SA, opracowanej i</w:t>
            </w:r>
            <w:r w:rsidR="00C96FA0">
              <w:rPr>
                <w:szCs w:val="20"/>
              </w:rPr>
              <w:t> </w:t>
            </w:r>
            <w:r w:rsidRPr="00795F17">
              <w:rPr>
                <w:szCs w:val="20"/>
              </w:rPr>
              <w:t>zatwierdzonej zgodnie z ustawą z dnia 9 czerwca 2011 roku Prawo geologiczne i górnicze oraz rozporządzeniem Ministra Środowiska z dnia 18 listopada 2016 r. w sprawie dokumentacji hydrogeologicznej</w:t>
            </w:r>
            <w:r w:rsidR="00BA6B41">
              <w:rPr>
                <w:szCs w:val="20"/>
              </w:rPr>
              <w:t xml:space="preserve"> </w:t>
            </w:r>
            <w:r w:rsidRPr="00795F17">
              <w:rPr>
                <w:szCs w:val="20"/>
              </w:rPr>
              <w:t>i geologiczno-inżynierskiej</w:t>
            </w:r>
          </w:p>
        </w:tc>
        <w:tc>
          <w:tcPr>
            <w:tcW w:w="925" w:type="pct"/>
            <w:vAlign w:val="center"/>
          </w:tcPr>
          <w:p w14:paraId="0C431AA4" w14:textId="77777777" w:rsidR="00C54322" w:rsidRPr="00795F17" w:rsidRDefault="00C54322" w:rsidP="00C54322">
            <w:pPr>
              <w:pStyle w:val="Teksttabelisrodek"/>
            </w:pPr>
            <w:r w:rsidRPr="00795F17">
              <w:t>2024</w:t>
            </w:r>
          </w:p>
        </w:tc>
      </w:tr>
      <w:tr w:rsidR="00C54322" w:rsidRPr="00795F17" w14:paraId="503442F3" w14:textId="77777777" w:rsidTr="00E31F63">
        <w:trPr>
          <w:trHeight w:val="454"/>
        </w:trPr>
        <w:tc>
          <w:tcPr>
            <w:tcW w:w="910" w:type="pct"/>
            <w:vAlign w:val="center"/>
          </w:tcPr>
          <w:p w14:paraId="1216337A" w14:textId="59E9F470" w:rsidR="00C54322" w:rsidRPr="00795F17" w:rsidRDefault="009F56FA" w:rsidP="008C27E6">
            <w:pPr>
              <w:pStyle w:val="Teksttabelilewy"/>
              <w:ind w:left="57"/>
              <w:rPr>
                <w:rFonts w:cs="Calibri"/>
              </w:rPr>
            </w:pPr>
            <w:r>
              <w:rPr>
                <w:rFonts w:cs="Calibri"/>
              </w:rPr>
              <w:t>p</w:t>
            </w:r>
            <w:r w:rsidRPr="00795F17">
              <w:rPr>
                <w:rFonts w:cs="Calibri"/>
              </w:rPr>
              <w:t>ozostałe</w:t>
            </w:r>
          </w:p>
        </w:tc>
        <w:tc>
          <w:tcPr>
            <w:tcW w:w="1227" w:type="pct"/>
            <w:vAlign w:val="center"/>
          </w:tcPr>
          <w:p w14:paraId="78C17A7A" w14:textId="47818333" w:rsidR="00C54322" w:rsidRPr="00795F17" w:rsidRDefault="00C54322" w:rsidP="008C27E6">
            <w:pPr>
              <w:pStyle w:val="Teksttabelilewy"/>
              <w:ind w:left="57"/>
              <w:rPr>
                <w:szCs w:val="20"/>
              </w:rPr>
            </w:pPr>
            <w:r w:rsidRPr="00795F17">
              <w:rPr>
                <w:szCs w:val="20"/>
              </w:rPr>
              <w:t xml:space="preserve">wykonanie opracowania </w:t>
            </w:r>
            <w:r w:rsidR="00112057">
              <w:rPr>
                <w:szCs w:val="20"/>
              </w:rPr>
              <w:t>„</w:t>
            </w:r>
            <w:r w:rsidRPr="00795F17">
              <w:rPr>
                <w:szCs w:val="20"/>
              </w:rPr>
              <w:t>Analiza wpływu zagospodarowania wód z</w:t>
            </w:r>
            <w:r w:rsidR="00C96FA0">
              <w:rPr>
                <w:szCs w:val="20"/>
              </w:rPr>
              <w:t> </w:t>
            </w:r>
            <w:r w:rsidRPr="00795F17">
              <w:rPr>
                <w:szCs w:val="20"/>
              </w:rPr>
              <w:t>odwadniania zakładów górniczych na</w:t>
            </w:r>
            <w:r w:rsidR="00C96FA0">
              <w:rPr>
                <w:szCs w:val="20"/>
              </w:rPr>
              <w:t> </w:t>
            </w:r>
            <w:r w:rsidRPr="00795F17">
              <w:rPr>
                <w:szCs w:val="20"/>
              </w:rPr>
              <w:t>stan wód powierzchniowych i</w:t>
            </w:r>
            <w:r w:rsidR="00C96FA0">
              <w:rPr>
                <w:szCs w:val="20"/>
              </w:rPr>
              <w:t> </w:t>
            </w:r>
            <w:r w:rsidRPr="00795F17">
              <w:rPr>
                <w:szCs w:val="20"/>
              </w:rPr>
              <w:t>podziemnych</w:t>
            </w:r>
            <w:r w:rsidR="00112057">
              <w:rPr>
                <w:szCs w:val="20"/>
              </w:rPr>
              <w:t>”</w:t>
            </w:r>
            <w:r w:rsidRPr="00795F17">
              <w:rPr>
                <w:szCs w:val="20"/>
              </w:rPr>
              <w:t xml:space="preserve"> (działanie uzupełniające)</w:t>
            </w:r>
          </w:p>
        </w:tc>
        <w:tc>
          <w:tcPr>
            <w:tcW w:w="1938" w:type="pct"/>
            <w:vAlign w:val="center"/>
          </w:tcPr>
          <w:p w14:paraId="31848C23" w14:textId="4E9304A8" w:rsidR="00C54322" w:rsidRPr="00795F17" w:rsidRDefault="00C54322" w:rsidP="008C27E6">
            <w:pPr>
              <w:pStyle w:val="Teksttabelilewy"/>
              <w:ind w:left="57"/>
              <w:rPr>
                <w:szCs w:val="20"/>
              </w:rPr>
            </w:pPr>
            <w:r w:rsidRPr="00795F17">
              <w:rPr>
                <w:szCs w:val="20"/>
              </w:rPr>
              <w:t>opracowanie programu zagospodarowania wód odwodnieniowych (zrzut do wód powierzchniowych, uwzględniający warunki przyrodnicze i hydrologiczne wód powierzchniowych i</w:t>
            </w:r>
            <w:r w:rsidR="00C96FA0">
              <w:rPr>
                <w:szCs w:val="20"/>
              </w:rPr>
              <w:t> </w:t>
            </w:r>
            <w:r w:rsidRPr="00795F17">
              <w:rPr>
                <w:szCs w:val="20"/>
              </w:rPr>
              <w:t>hydrogeologiczne wód podziemnych)</w:t>
            </w:r>
          </w:p>
        </w:tc>
        <w:tc>
          <w:tcPr>
            <w:tcW w:w="925" w:type="pct"/>
            <w:vAlign w:val="center"/>
          </w:tcPr>
          <w:p w14:paraId="4500F142" w14:textId="77777777" w:rsidR="00C54322" w:rsidRPr="00795F17" w:rsidRDefault="00C54322" w:rsidP="00C54322">
            <w:pPr>
              <w:pStyle w:val="Teksttabelisrodek"/>
            </w:pPr>
            <w:r w:rsidRPr="00795F17">
              <w:t>2024</w:t>
            </w:r>
          </w:p>
        </w:tc>
      </w:tr>
      <w:tr w:rsidR="00C54322" w:rsidRPr="00795F17" w14:paraId="3DD34351" w14:textId="77777777" w:rsidTr="00E31F63">
        <w:trPr>
          <w:trHeight w:val="454"/>
        </w:trPr>
        <w:tc>
          <w:tcPr>
            <w:tcW w:w="910" w:type="pct"/>
            <w:vAlign w:val="center"/>
          </w:tcPr>
          <w:p w14:paraId="7FF9332C" w14:textId="7F535210" w:rsidR="00C54322" w:rsidRPr="00795F17" w:rsidRDefault="009F56FA" w:rsidP="008C27E6">
            <w:pPr>
              <w:pStyle w:val="Teksttabelilewy"/>
              <w:ind w:left="57"/>
              <w:rPr>
                <w:rFonts w:cs="Calibri"/>
              </w:rPr>
            </w:pPr>
            <w:r>
              <w:rPr>
                <w:rFonts w:cs="Calibri"/>
              </w:rPr>
              <w:t>p</w:t>
            </w:r>
            <w:r w:rsidRPr="00795F17">
              <w:rPr>
                <w:rFonts w:cs="Calibri"/>
              </w:rPr>
              <w:t>ozostałe</w:t>
            </w:r>
          </w:p>
        </w:tc>
        <w:tc>
          <w:tcPr>
            <w:tcW w:w="1227" w:type="pct"/>
            <w:vAlign w:val="center"/>
          </w:tcPr>
          <w:p w14:paraId="162D2974" w14:textId="792685A8" w:rsidR="00C54322" w:rsidRPr="00795F17" w:rsidRDefault="00C54322" w:rsidP="008C27E6">
            <w:pPr>
              <w:pStyle w:val="Teksttabelilewy"/>
              <w:ind w:left="57"/>
              <w:rPr>
                <w:szCs w:val="20"/>
              </w:rPr>
            </w:pPr>
            <w:r w:rsidRPr="00795F17">
              <w:rPr>
                <w:szCs w:val="20"/>
              </w:rPr>
              <w:t>zwiększanie retencji na</w:t>
            </w:r>
            <w:r w:rsidR="00C96FA0">
              <w:rPr>
                <w:szCs w:val="20"/>
              </w:rPr>
              <w:t> </w:t>
            </w:r>
            <w:r w:rsidRPr="00795F17">
              <w:rPr>
                <w:szCs w:val="20"/>
              </w:rPr>
              <w:t>obszarach zurbanizowanych (działanie uzupełniające)</w:t>
            </w:r>
          </w:p>
        </w:tc>
        <w:tc>
          <w:tcPr>
            <w:tcW w:w="1938" w:type="pct"/>
            <w:vAlign w:val="center"/>
          </w:tcPr>
          <w:p w14:paraId="5D9C1464" w14:textId="55E27C0F" w:rsidR="00C54322" w:rsidRPr="00795F17" w:rsidRDefault="00C54322" w:rsidP="008C27E6">
            <w:pPr>
              <w:pStyle w:val="Teksttabelilewy"/>
              <w:ind w:left="57"/>
              <w:rPr>
                <w:szCs w:val="20"/>
              </w:rPr>
            </w:pPr>
            <w:r w:rsidRPr="00795F17">
              <w:rPr>
                <w:szCs w:val="20"/>
              </w:rPr>
              <w:t>opracowanie szczegółowej analizy i</w:t>
            </w:r>
            <w:r w:rsidR="00C96FA0">
              <w:rPr>
                <w:szCs w:val="20"/>
              </w:rPr>
              <w:t> </w:t>
            </w:r>
            <w:r w:rsidRPr="00795F17">
              <w:rPr>
                <w:szCs w:val="20"/>
              </w:rPr>
              <w:t>projektu możliwości zwiększenia retencji obszarów zurbanizowanych (Kędzierzyn-Koźle, Racibórz, Gliwice)</w:t>
            </w:r>
          </w:p>
        </w:tc>
        <w:tc>
          <w:tcPr>
            <w:tcW w:w="925" w:type="pct"/>
            <w:vAlign w:val="center"/>
          </w:tcPr>
          <w:p w14:paraId="47C72495" w14:textId="77777777" w:rsidR="00C54322" w:rsidRPr="00795F17" w:rsidRDefault="00C54322" w:rsidP="00C54322">
            <w:pPr>
              <w:pStyle w:val="Teksttabelisrodek"/>
            </w:pPr>
            <w:r w:rsidRPr="00795F17">
              <w:t>2024</w:t>
            </w:r>
          </w:p>
        </w:tc>
      </w:tr>
    </w:tbl>
    <w:p w14:paraId="6B6CC09D" w14:textId="1434101E" w:rsidR="00AD1DA1" w:rsidRPr="00795F17" w:rsidRDefault="00AD1DA1" w:rsidP="0044393D">
      <w:pPr>
        <w:pStyle w:val="rdo"/>
      </w:pPr>
      <w:r w:rsidRPr="00795F17">
        <w:t xml:space="preserve">Źródło: </w:t>
      </w:r>
      <w:r w:rsidR="00FD7248" w:rsidRPr="00795F17">
        <w:t>opracowanie własne</w:t>
      </w:r>
    </w:p>
    <w:p w14:paraId="1F7BE5EF" w14:textId="5FBCE999" w:rsidR="00651E6B" w:rsidRPr="00795F17" w:rsidRDefault="00651E6B" w:rsidP="0044393D">
      <w:r w:rsidRPr="00795F17">
        <w:t xml:space="preserve">Dodatkowo informację dotyczącą przypisanych danej jcw działań prezentuje również załącznik nr 1 (Zestawienie główne). W załączniku nr 1 każda </w:t>
      </w:r>
      <w:r w:rsidR="00DF005E">
        <w:t>JCWP</w:t>
      </w:r>
      <w:r w:rsidRPr="00795F17">
        <w:t xml:space="preserve"> posiada oznaczenie wskazujące, czy zalicza się do</w:t>
      </w:r>
      <w:r w:rsidR="00C817B5" w:rsidRPr="00795F17">
        <w:t> </w:t>
      </w:r>
      <w:r w:rsidRPr="00795F17">
        <w:t xml:space="preserve">grupy </w:t>
      </w:r>
      <w:r w:rsidR="00DF005E">
        <w:t>JCWP</w:t>
      </w:r>
      <w:r w:rsidRPr="00795F17">
        <w:t xml:space="preserve"> przeznaczonych do poboru wody na potrzeby zaopatrzenia ludności w wodę przeznaczoną do spożycia. W przypadku </w:t>
      </w:r>
      <w:r w:rsidR="00DF005E">
        <w:t>JCWP</w:t>
      </w:r>
      <w:r w:rsidRPr="00795F17">
        <w:t xml:space="preserve">d dotyczy to wszystkich </w:t>
      </w:r>
      <w:r w:rsidR="00DF005E">
        <w:t>JCWP</w:t>
      </w:r>
      <w:r w:rsidRPr="00795F17">
        <w:t>d.</w:t>
      </w:r>
    </w:p>
    <w:p w14:paraId="7CD06A6E" w14:textId="77777777" w:rsidR="000459A4" w:rsidRPr="00795F17" w:rsidRDefault="00332A4E" w:rsidP="00C53C86">
      <w:pPr>
        <w:pStyle w:val="Nagwek2"/>
      </w:pPr>
      <w:bookmarkStart w:id="838" w:name="_Toc66272284"/>
      <w:bookmarkStart w:id="839" w:name="_Toc66347829"/>
      <w:bookmarkStart w:id="840" w:name="_Toc105512715"/>
      <w:r w:rsidRPr="00795F17">
        <w:t>Informacje dotyczące pozwoleń wodnoprawnych</w:t>
      </w:r>
      <w:bookmarkEnd w:id="838"/>
      <w:bookmarkEnd w:id="839"/>
      <w:bookmarkEnd w:id="840"/>
    </w:p>
    <w:p w14:paraId="10254536" w14:textId="53145376" w:rsidR="005E5391" w:rsidRPr="00795F17" w:rsidRDefault="005E5391" w:rsidP="0044393D">
      <w:r w:rsidRPr="00795F17">
        <w:t xml:space="preserve">Zgodnie z art. 318 ust. 1 pkt 10 pr.w. </w:t>
      </w:r>
      <w:r w:rsidR="000D21A1" w:rsidRPr="00795F17">
        <w:t>plan gospodarowania wodami</w:t>
      </w:r>
      <w:r w:rsidRPr="00795F17">
        <w:t xml:space="preserve"> zawiera informacje dotyczące pozwoleń wodnoprawnych, które są udzielone na pobór wód, magazynowanie wód, wprowadzanie ścieków do wód oraz regulację wód, w odniesieniu do rejestru pozwoleń zawartych w</w:t>
      </w:r>
      <w:r w:rsidR="00C817B5" w:rsidRPr="00795F17">
        <w:t> </w:t>
      </w:r>
      <w:r w:rsidRPr="00795F17">
        <w:t>systemie informacyjnym gospodarowania wodami. W ramach przepisów</w:t>
      </w:r>
      <w:r w:rsidR="00777B9F" w:rsidRPr="00795F17">
        <w:t xml:space="preserve"> </w:t>
      </w:r>
      <w:r w:rsidRPr="00795F17">
        <w:t xml:space="preserve">pr.w. pozwolenie wodnoprawne należy do szerszego zbioru aktów administracyjnych </w:t>
      </w:r>
      <w:r w:rsidR="00112057">
        <w:t>–</w:t>
      </w:r>
      <w:r w:rsidRPr="00795F17">
        <w:t xml:space="preserve"> zgód wodnoprawnych obejmując:</w:t>
      </w:r>
    </w:p>
    <w:p w14:paraId="00DCF1FA" w14:textId="77777777" w:rsidR="005E5391" w:rsidRPr="00795F17" w:rsidRDefault="005E5391" w:rsidP="00117E86">
      <w:pPr>
        <w:pStyle w:val="Listapunktowana2"/>
      </w:pPr>
      <w:r w:rsidRPr="00795F17">
        <w:t>pozwolenie wodnoprawne;</w:t>
      </w:r>
    </w:p>
    <w:p w14:paraId="373BB0A1" w14:textId="77777777" w:rsidR="005E5391" w:rsidRPr="00795F17" w:rsidRDefault="005E5391" w:rsidP="00117E86">
      <w:pPr>
        <w:pStyle w:val="Listapunktowana2"/>
      </w:pPr>
      <w:r w:rsidRPr="00795F17">
        <w:t>zgłoszenie wodnoprawne;</w:t>
      </w:r>
    </w:p>
    <w:p w14:paraId="07F3DBCC" w14:textId="77777777" w:rsidR="005E5391" w:rsidRPr="00795F17" w:rsidRDefault="005E5391" w:rsidP="00117E86">
      <w:pPr>
        <w:pStyle w:val="Listapunktowana2"/>
      </w:pPr>
      <w:r w:rsidRPr="00795F17">
        <w:t>ocenę wodnoprawną;</w:t>
      </w:r>
    </w:p>
    <w:p w14:paraId="3143CEBE" w14:textId="77777777" w:rsidR="005E5391" w:rsidRPr="00795F17" w:rsidRDefault="005E5391" w:rsidP="00117E86">
      <w:pPr>
        <w:pStyle w:val="Listapunktowana2"/>
      </w:pPr>
      <w:r w:rsidRPr="00795F17">
        <w:t xml:space="preserve">wydanie decyzji, o których mowa: </w:t>
      </w:r>
    </w:p>
    <w:p w14:paraId="115F1A41" w14:textId="4DD2C2BD" w:rsidR="005E5391" w:rsidRPr="00795F17" w:rsidRDefault="005E5391" w:rsidP="0050009F">
      <w:pPr>
        <w:pStyle w:val="Listapunktowana3"/>
      </w:pPr>
      <w:r w:rsidRPr="00795F17">
        <w:t xml:space="preserve">w art. 77 ust. 3 i </w:t>
      </w:r>
      <w:r w:rsidR="00E10084">
        <w:t xml:space="preserve">ust. </w:t>
      </w:r>
      <w:r w:rsidRPr="00795F17">
        <w:t>8 pr.w. (zwolnienia z zakazów związanych z wprowadzeniem ścieków do wód i ziemi),</w:t>
      </w:r>
    </w:p>
    <w:p w14:paraId="087EF12E" w14:textId="2985A394" w:rsidR="005E5391" w:rsidRPr="00795F17" w:rsidRDefault="005E5391" w:rsidP="0050009F">
      <w:pPr>
        <w:pStyle w:val="Listapunktowana3"/>
      </w:pPr>
      <w:r w:rsidRPr="00795F17">
        <w:t>w art. 176 ust. 4 pr.w. (zwolnienie z zakazów wpływających na szczelność i</w:t>
      </w:r>
      <w:r w:rsidR="00C817B5" w:rsidRPr="00795F17">
        <w:t> </w:t>
      </w:r>
      <w:r w:rsidRPr="00795F17">
        <w:t>stabilność wałów przeciwpowodziowych).</w:t>
      </w:r>
    </w:p>
    <w:p w14:paraId="08F722B8" w14:textId="06E13338" w:rsidR="005E5391" w:rsidRPr="00795F17" w:rsidRDefault="005E5391" w:rsidP="0044393D">
      <w:r w:rsidRPr="00795F17">
        <w:t>W wyniku wejścia w życie pr.w. zmianie uległa struktura kompetencyjna organów właściwych do wydawania pozwoleń wodnoprawnych:</w:t>
      </w:r>
    </w:p>
    <w:p w14:paraId="0BFB9861" w14:textId="3F688AD8" w:rsidR="005E5391" w:rsidRPr="00795F17" w:rsidRDefault="005E5391" w:rsidP="00117E86">
      <w:pPr>
        <w:pStyle w:val="Listapunktowana2"/>
      </w:pPr>
      <w:r w:rsidRPr="00795F17">
        <w:t xml:space="preserve">do 31 grudnia 2017 r. (s.pr.w.) </w:t>
      </w:r>
      <w:r w:rsidR="008A38E4">
        <w:t>–</w:t>
      </w:r>
      <w:r w:rsidRPr="00795F17">
        <w:t xml:space="preserve"> organem właściwym do wydania pozwolenia wodnoprawnego był co do zasady starosta, w przypadkach wyszczególnionych:</w:t>
      </w:r>
    </w:p>
    <w:p w14:paraId="4E11892B" w14:textId="28A35EF4" w:rsidR="005E5391" w:rsidRPr="00795F17" w:rsidRDefault="005E5391" w:rsidP="0050009F">
      <w:pPr>
        <w:pStyle w:val="Listapunktowana3"/>
      </w:pPr>
      <w:r w:rsidRPr="00795F17">
        <w:t xml:space="preserve">marszałek województwa </w:t>
      </w:r>
      <w:r w:rsidR="008A38E4">
        <w:t>–</w:t>
      </w:r>
      <w:r w:rsidRPr="00795F17">
        <w:t xml:space="preserve"> w sprawach, o których mowa w art. 140 ust. 2 s.pr.w.,</w:t>
      </w:r>
    </w:p>
    <w:p w14:paraId="11C81ED9" w14:textId="1E7E925B" w:rsidR="005E5391" w:rsidRPr="00795F17" w:rsidRDefault="005E5391" w:rsidP="0050009F">
      <w:pPr>
        <w:pStyle w:val="Listapunktowana3"/>
      </w:pPr>
      <w:r w:rsidRPr="00795F17">
        <w:t xml:space="preserve">dyrektor </w:t>
      </w:r>
      <w:r w:rsidR="004635D6" w:rsidRPr="00795F17">
        <w:t>RZGW</w:t>
      </w:r>
      <w:r w:rsidRPr="00795F17">
        <w:t xml:space="preserve"> </w:t>
      </w:r>
      <w:r w:rsidR="008A38E4">
        <w:t>–</w:t>
      </w:r>
      <w:r w:rsidRPr="00795F17">
        <w:t xml:space="preserve"> w przypadku przedsięwzięć w całości lub w części położonych na terenach zamkniętych w rozumieniu Prawa ochrony środowiska (art. 140 ust. 2a</w:t>
      </w:r>
      <w:r w:rsidR="00CE4E7B" w:rsidRPr="00795F17">
        <w:t xml:space="preserve"> </w:t>
      </w:r>
      <w:r w:rsidRPr="00795F17">
        <w:t>s.pr.w.);</w:t>
      </w:r>
    </w:p>
    <w:p w14:paraId="455437B5" w14:textId="73BFD0C8" w:rsidR="005E5391" w:rsidRPr="00795F17" w:rsidRDefault="005E5391" w:rsidP="00117E86">
      <w:pPr>
        <w:pStyle w:val="Listapunktowana2"/>
      </w:pPr>
      <w:r w:rsidRPr="00795F17">
        <w:t xml:space="preserve">od 1 stycznia 2018 r. </w:t>
      </w:r>
      <w:r w:rsidR="008A38E4">
        <w:t>–</w:t>
      </w:r>
      <w:r w:rsidRPr="00795F17">
        <w:t xml:space="preserve"> organy właściwe do wydawania pozwoleń wodnoprawnych to:</w:t>
      </w:r>
    </w:p>
    <w:p w14:paraId="4AEA0287" w14:textId="0876A5A4" w:rsidR="005E5391" w:rsidRPr="00795F17" w:rsidRDefault="005E5391" w:rsidP="0050009F">
      <w:pPr>
        <w:pStyle w:val="Listapunktowana3"/>
      </w:pPr>
      <w:r w:rsidRPr="00795F17">
        <w:t xml:space="preserve">właściwe organy </w:t>
      </w:r>
      <w:r w:rsidR="0028234C" w:rsidRPr="00795F17">
        <w:t>PGW WP</w:t>
      </w:r>
      <w:r w:rsidRPr="00795F17">
        <w:t xml:space="preserve"> </w:t>
      </w:r>
      <w:r w:rsidR="008A38E4">
        <w:t>–</w:t>
      </w:r>
      <w:r w:rsidRPr="00795F17">
        <w:t xml:space="preserve"> zgodnie z podziałem kompetencyjnym zawartym w art. 397 pr.w.,</w:t>
      </w:r>
    </w:p>
    <w:p w14:paraId="0E6FE4D7" w14:textId="071DA49C" w:rsidR="005E5391" w:rsidRPr="00795F17" w:rsidRDefault="005E5391" w:rsidP="0050009F">
      <w:pPr>
        <w:pStyle w:val="Listapunktowana3"/>
      </w:pPr>
      <w:r w:rsidRPr="00795F17">
        <w:t xml:space="preserve">minister właściwy ds. gospodarki wodnej </w:t>
      </w:r>
      <w:r w:rsidR="008A38E4">
        <w:t>–</w:t>
      </w:r>
      <w:r w:rsidRPr="00795F17">
        <w:t xml:space="preserve"> gdy wnioskodawcą jest </w:t>
      </w:r>
      <w:r w:rsidR="0028234C" w:rsidRPr="00795F17">
        <w:t>PGW WP</w:t>
      </w:r>
      <w:r w:rsidRPr="00795F17">
        <w:t>.</w:t>
      </w:r>
    </w:p>
    <w:p w14:paraId="75AABFE1" w14:textId="4ABD4431" w:rsidR="005E5391" w:rsidRPr="00795F17" w:rsidRDefault="005E5391" w:rsidP="0044393D">
      <w:r w:rsidRPr="00795F17">
        <w:t xml:space="preserve">Na podstawie danych z systemu informacyjnego gospodarowania wodami oraz bazy </w:t>
      </w:r>
      <w:r w:rsidRPr="008C27E6">
        <w:rPr>
          <w:i/>
        </w:rPr>
        <w:t xml:space="preserve">Identyfikacji </w:t>
      </w:r>
      <w:r w:rsidR="002B13ED">
        <w:rPr>
          <w:i/>
        </w:rPr>
        <w:t>p</w:t>
      </w:r>
      <w:r w:rsidRPr="008C27E6">
        <w:rPr>
          <w:i/>
          <w:iCs/>
        </w:rPr>
        <w:t>resji</w:t>
      </w:r>
      <w:r w:rsidRPr="00795F17">
        <w:t xml:space="preserve"> dokonano przeglądu i analizy pozwoleń wodnoprawnych obowiązujących w okresie, którego plan gospodarowania wodami na obszarze dorzecza dotyczy tj. w okresie 2022</w:t>
      </w:r>
      <w:r w:rsidR="008A38E4">
        <w:t>–</w:t>
      </w:r>
      <w:r w:rsidRPr="00795F17">
        <w:t xml:space="preserve">2027 (na podstawie danych bazy </w:t>
      </w:r>
      <w:r w:rsidRPr="008C27E6">
        <w:rPr>
          <w:i/>
        </w:rPr>
        <w:t xml:space="preserve">Identyfikacji </w:t>
      </w:r>
      <w:r w:rsidR="007860FF" w:rsidRPr="008C27E6">
        <w:rPr>
          <w:i/>
          <w:iCs/>
        </w:rPr>
        <w:t>p</w:t>
      </w:r>
      <w:r w:rsidRPr="008C27E6">
        <w:rPr>
          <w:i/>
          <w:iCs/>
        </w:rPr>
        <w:t>resji</w:t>
      </w:r>
      <w:r w:rsidRPr="00795F17">
        <w:t>). Dodatkowo wskazane zostały pozwolenia wodnoprawne udzielone po</w:t>
      </w:r>
      <w:r w:rsidR="00C817B5" w:rsidRPr="00795F17">
        <w:t> </w:t>
      </w:r>
      <w:r w:rsidRPr="00795F17">
        <w:t>wejściu w życie pr.w., tj. w okresie 2018</w:t>
      </w:r>
      <w:r w:rsidR="008A38E4">
        <w:t>–</w:t>
      </w:r>
      <w:r w:rsidRPr="00795F17">
        <w:t xml:space="preserve">2019. </w:t>
      </w:r>
    </w:p>
    <w:p w14:paraId="32900849" w14:textId="59EDEDCE" w:rsidR="005E5391" w:rsidRPr="00795F17" w:rsidRDefault="005E5391" w:rsidP="0044393D">
      <w:r w:rsidRPr="00795F17">
        <w:t xml:space="preserve">Informacje dotyczące pozwoleń wodnoprawnych wykorzystywane są na potrzeby wykonywania szczegółowych analiz dla jcw, w których stwierdzono zagrożenie nieosiągnięciem celów środowiskowych. W myśl art. 325 pr.w. zagrożenie nieosiągnięciem celów środowiskowych może być podstawą do dodatkowego przeglądu udzielonych pozwoleń, a w konsekwencji wskazania pozwoleń, które powinny być cofnięte lub ograniczone w celu zapobieżenia zagrożeniu </w:t>
      </w:r>
      <w:r w:rsidR="00CC2867">
        <w:t>nie</w:t>
      </w:r>
      <w:r w:rsidRPr="00795F17">
        <w:t>osiągnięcia celów środowiskowych.</w:t>
      </w:r>
    </w:p>
    <w:p w14:paraId="7935620F" w14:textId="164A4297" w:rsidR="005E5391" w:rsidRPr="00795F17" w:rsidRDefault="005E5391" w:rsidP="0044393D">
      <w:r w:rsidRPr="00795F17">
        <w:t xml:space="preserve">Poniżej </w:t>
      </w:r>
      <w:r w:rsidR="00D862D0">
        <w:t xml:space="preserve">(tabela 13-10) </w:t>
      </w:r>
      <w:r w:rsidRPr="00795F17">
        <w:t>zaprezentowane zostały zestawienia dotyczące obowiązujących do 2027</w:t>
      </w:r>
      <w:r w:rsidR="00C817B5" w:rsidRPr="00795F17">
        <w:t> </w:t>
      </w:r>
      <w:r w:rsidRPr="00795F17">
        <w:t xml:space="preserve">r. pozwoleń wodnoprawnych dla poszczególnych obszarów administracyjnych </w:t>
      </w:r>
      <w:r w:rsidR="00223E9B">
        <w:t>na</w:t>
      </w:r>
      <w:r w:rsidRPr="00795F17">
        <w:t xml:space="preserve"> obszarze dorzecza </w:t>
      </w:r>
      <w:r w:rsidR="009D3A19" w:rsidRPr="00795F17">
        <w:t>Odry</w:t>
      </w:r>
      <w:r w:rsidRPr="00795F17">
        <w:t>.</w:t>
      </w:r>
    </w:p>
    <w:p w14:paraId="0FFFDB9A" w14:textId="77777777" w:rsidR="005E5391" w:rsidRPr="00795F17" w:rsidRDefault="005E5391" w:rsidP="0044393D">
      <w:pPr>
        <w:sectPr w:rsidR="005E5391" w:rsidRPr="00795F17" w:rsidSect="00332A4E">
          <w:headerReference w:type="even" r:id="rId131"/>
          <w:headerReference w:type="default" r:id="rId132"/>
          <w:headerReference w:type="first" r:id="rId133"/>
          <w:pgSz w:w="11906" w:h="16838"/>
          <w:pgMar w:top="1417" w:right="1417" w:bottom="1417" w:left="1417" w:header="708" w:footer="708" w:gutter="0"/>
          <w:cols w:space="708"/>
        </w:sectPr>
      </w:pPr>
    </w:p>
    <w:p w14:paraId="65986A0D" w14:textId="2FEB84B0" w:rsidR="005E5391" w:rsidRPr="00795F17" w:rsidRDefault="005E5391" w:rsidP="004D7705">
      <w:pPr>
        <w:pStyle w:val="Tabela"/>
      </w:pPr>
      <w:bookmarkStart w:id="841" w:name="_Toc66288118"/>
      <w:bookmarkStart w:id="842" w:name="_Toc66341967"/>
      <w:bookmarkStart w:id="843" w:name="_Toc105512896"/>
      <w:r w:rsidRPr="00795F17">
        <w:t xml:space="preserve">Tabela </w:t>
      </w:r>
      <w:fldSimple w:instr=" STYLEREF 1 \s ">
        <w:r w:rsidR="001F774D">
          <w:rPr>
            <w:noProof/>
          </w:rPr>
          <w:t>13</w:t>
        </w:r>
      </w:fldSimple>
      <w:r w:rsidR="00BB3B21" w:rsidRPr="00795F17">
        <w:noBreakHyphen/>
      </w:r>
      <w:fldSimple w:instr=" SEQ Tabela \* ARABIC \s 1 ">
        <w:r w:rsidR="001F774D">
          <w:rPr>
            <w:noProof/>
          </w:rPr>
          <w:t>10</w:t>
        </w:r>
      </w:fldSimple>
      <w:r w:rsidR="000B5450">
        <w:rPr>
          <w:noProof/>
        </w:rPr>
        <w:t>.</w:t>
      </w:r>
      <w:r w:rsidRPr="00795F17">
        <w:tab/>
        <w:t>Zestawienie liczby pozwoleń wodnoprawnych wydanych do roku 2018 i obowiązujących w okresie 2022</w:t>
      </w:r>
      <w:r w:rsidR="008A38E4">
        <w:t>–</w:t>
      </w:r>
      <w:r w:rsidRPr="00795F17">
        <w:t>2027</w:t>
      </w:r>
      <w:bookmarkEnd w:id="841"/>
      <w:bookmarkEnd w:id="842"/>
      <w:bookmarkEnd w:id="843"/>
    </w:p>
    <w:tbl>
      <w:tblPr>
        <w:tblW w:w="5000" w:type="pct"/>
        <w:tblLayout w:type="fixed"/>
        <w:tblCellMar>
          <w:left w:w="70" w:type="dxa"/>
          <w:right w:w="70" w:type="dxa"/>
        </w:tblCellMar>
        <w:tblLook w:val="04A0" w:firstRow="1" w:lastRow="0" w:firstColumn="1" w:lastColumn="0" w:noHBand="0" w:noVBand="1"/>
      </w:tblPr>
      <w:tblGrid>
        <w:gridCol w:w="2168"/>
        <w:gridCol w:w="738"/>
        <w:gridCol w:w="739"/>
        <w:gridCol w:w="739"/>
        <w:gridCol w:w="739"/>
        <w:gridCol w:w="739"/>
        <w:gridCol w:w="739"/>
        <w:gridCol w:w="739"/>
        <w:gridCol w:w="739"/>
        <w:gridCol w:w="739"/>
        <w:gridCol w:w="739"/>
        <w:gridCol w:w="739"/>
        <w:gridCol w:w="739"/>
        <w:gridCol w:w="739"/>
        <w:gridCol w:w="739"/>
        <w:gridCol w:w="739"/>
        <w:gridCol w:w="742"/>
      </w:tblGrid>
      <w:tr w:rsidR="005E5391" w:rsidRPr="00795F17" w14:paraId="00C960D7" w14:textId="77777777" w:rsidTr="00241AFA">
        <w:trPr>
          <w:trHeight w:val="454"/>
        </w:trPr>
        <w:tc>
          <w:tcPr>
            <w:tcW w:w="775"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23295D06" w14:textId="41E81521" w:rsidR="005E5391" w:rsidRPr="00795F17" w:rsidRDefault="005E5391" w:rsidP="00AC6CDD">
            <w:pPr>
              <w:pStyle w:val="Teksttabelinaglowek"/>
            </w:pPr>
            <w:r w:rsidRPr="00795F17">
              <w:t xml:space="preserve">Obszar </w:t>
            </w:r>
            <w:r w:rsidR="006C26A1" w:rsidRPr="00795F17">
              <w:t>d</w:t>
            </w:r>
            <w:r w:rsidRPr="00795F17">
              <w:t xml:space="preserve">orzecza </w:t>
            </w:r>
            <w:r w:rsidR="00503904" w:rsidRPr="00795F17">
              <w:t>Odry</w:t>
            </w:r>
            <w:r w:rsidRPr="00795F17">
              <w:t>, poszczególne regiony wodne</w:t>
            </w:r>
          </w:p>
        </w:tc>
        <w:tc>
          <w:tcPr>
            <w:tcW w:w="4225" w:type="pct"/>
            <w:gridSpan w:val="16"/>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hideMark/>
          </w:tcPr>
          <w:p w14:paraId="04E28307" w14:textId="77777777" w:rsidR="005E5391" w:rsidRPr="00795F17" w:rsidRDefault="005E5391" w:rsidP="00AC6CDD">
            <w:pPr>
              <w:pStyle w:val="Teksttabelinaglowek"/>
            </w:pPr>
            <w:r w:rsidRPr="00795F17">
              <w:t>Liczba pozwoleń danej kategorii wydanych do 2018 r. i obowiązujących w okresie 2022-2027</w:t>
            </w:r>
          </w:p>
        </w:tc>
      </w:tr>
      <w:tr w:rsidR="00BD5FDF" w:rsidRPr="00795F17" w14:paraId="5E0D87B4" w14:textId="77777777" w:rsidTr="006723A5">
        <w:trPr>
          <w:cantSplit/>
          <w:trHeight w:val="2466"/>
        </w:trPr>
        <w:tc>
          <w:tcPr>
            <w:tcW w:w="77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894BB8C" w14:textId="77777777" w:rsidR="005E5391" w:rsidRPr="00795F17" w:rsidRDefault="005E5391" w:rsidP="00AC6CDD">
            <w:pPr>
              <w:pStyle w:val="Teksttabelinaglowek"/>
            </w:pPr>
          </w:p>
        </w:tc>
        <w:tc>
          <w:tcPr>
            <w:tcW w:w="264" w:type="pct"/>
            <w:tcBorders>
              <w:top w:val="single" w:sz="4" w:space="0" w:color="auto"/>
              <w:left w:val="nil"/>
              <w:bottom w:val="nil"/>
              <w:right w:val="single" w:sz="4" w:space="0" w:color="auto"/>
            </w:tcBorders>
            <w:shd w:val="clear" w:color="auto" w:fill="BFBFBF" w:themeFill="background1" w:themeFillShade="BF"/>
            <w:tcMar>
              <w:left w:w="28" w:type="dxa"/>
              <w:right w:w="28" w:type="dxa"/>
            </w:tcMar>
            <w:textDirection w:val="btLr"/>
            <w:vAlign w:val="center"/>
            <w:hideMark/>
          </w:tcPr>
          <w:p w14:paraId="0CEBC07B" w14:textId="77777777" w:rsidR="005E5391" w:rsidRPr="00795F17" w:rsidRDefault="005E5391" w:rsidP="008C27E6">
            <w:pPr>
              <w:pStyle w:val="Teksttabelinaglowek"/>
              <w:spacing w:before="0" w:after="0"/>
              <w:ind w:left="113" w:right="113"/>
              <w:jc w:val="left"/>
            </w:pPr>
            <w:r w:rsidRPr="00795F17">
              <w:t>Pobór - odwodnienie kopalń</w:t>
            </w:r>
          </w:p>
        </w:tc>
        <w:tc>
          <w:tcPr>
            <w:tcW w:w="264" w:type="pct"/>
            <w:tcBorders>
              <w:top w:val="single" w:sz="4" w:space="0" w:color="auto"/>
              <w:left w:val="nil"/>
              <w:bottom w:val="nil"/>
              <w:right w:val="single" w:sz="4" w:space="0" w:color="auto"/>
            </w:tcBorders>
            <w:shd w:val="clear" w:color="auto" w:fill="BFBFBF" w:themeFill="background1" w:themeFillShade="BF"/>
            <w:tcMar>
              <w:left w:w="28" w:type="dxa"/>
              <w:right w:w="28" w:type="dxa"/>
            </w:tcMar>
            <w:textDirection w:val="btLr"/>
            <w:vAlign w:val="center"/>
            <w:hideMark/>
          </w:tcPr>
          <w:p w14:paraId="4B43ECB9" w14:textId="77777777" w:rsidR="005E5391" w:rsidRPr="00795F17" w:rsidRDefault="005E5391" w:rsidP="008C27E6">
            <w:pPr>
              <w:pStyle w:val="Teksttabelinaglowek"/>
              <w:spacing w:before="0" w:after="0"/>
              <w:ind w:left="113" w:right="113"/>
              <w:jc w:val="left"/>
            </w:pPr>
            <w:r w:rsidRPr="00795F17">
              <w:t>Pobór wód podziemnych</w:t>
            </w:r>
          </w:p>
        </w:tc>
        <w:tc>
          <w:tcPr>
            <w:tcW w:w="264" w:type="pct"/>
            <w:tcBorders>
              <w:top w:val="single" w:sz="4" w:space="0" w:color="auto"/>
              <w:left w:val="nil"/>
              <w:bottom w:val="nil"/>
              <w:right w:val="single" w:sz="4" w:space="0" w:color="auto"/>
            </w:tcBorders>
            <w:shd w:val="clear" w:color="auto" w:fill="BFBFBF" w:themeFill="background1" w:themeFillShade="BF"/>
            <w:tcMar>
              <w:left w:w="28" w:type="dxa"/>
              <w:right w:w="28" w:type="dxa"/>
            </w:tcMar>
            <w:textDirection w:val="btLr"/>
            <w:vAlign w:val="center"/>
            <w:hideMark/>
          </w:tcPr>
          <w:p w14:paraId="07DD5E56" w14:textId="77777777" w:rsidR="005E5391" w:rsidRPr="00795F17" w:rsidRDefault="005E5391" w:rsidP="008C27E6">
            <w:pPr>
              <w:pStyle w:val="Teksttabelinaglowek"/>
              <w:spacing w:before="0" w:after="0"/>
              <w:ind w:left="113" w:right="113"/>
              <w:jc w:val="left"/>
            </w:pPr>
            <w:r w:rsidRPr="00795F17">
              <w:t>Pobór wód powierzchniowych</w:t>
            </w:r>
          </w:p>
        </w:tc>
        <w:tc>
          <w:tcPr>
            <w:tcW w:w="264" w:type="pct"/>
            <w:tcBorders>
              <w:top w:val="single" w:sz="4" w:space="0" w:color="auto"/>
              <w:left w:val="nil"/>
              <w:bottom w:val="nil"/>
              <w:right w:val="single" w:sz="4" w:space="0" w:color="auto"/>
            </w:tcBorders>
            <w:shd w:val="clear" w:color="auto" w:fill="BFBFBF" w:themeFill="background1" w:themeFillShade="BF"/>
            <w:tcMar>
              <w:left w:w="28" w:type="dxa"/>
              <w:right w:w="28" w:type="dxa"/>
            </w:tcMar>
            <w:textDirection w:val="btLr"/>
            <w:vAlign w:val="center"/>
            <w:hideMark/>
          </w:tcPr>
          <w:p w14:paraId="5278B6A6" w14:textId="77777777" w:rsidR="005E5391" w:rsidRPr="00795F17" w:rsidRDefault="005E5391" w:rsidP="008C27E6">
            <w:pPr>
              <w:pStyle w:val="Teksttabelinaglowek"/>
              <w:spacing w:before="0" w:after="0"/>
              <w:ind w:left="113" w:right="113"/>
              <w:jc w:val="left"/>
            </w:pPr>
            <w:r w:rsidRPr="00795F17">
              <w:t>Odwodnienia budowlane</w:t>
            </w:r>
          </w:p>
        </w:tc>
        <w:tc>
          <w:tcPr>
            <w:tcW w:w="264" w:type="pct"/>
            <w:tcBorders>
              <w:top w:val="single" w:sz="4" w:space="0" w:color="auto"/>
              <w:left w:val="nil"/>
              <w:bottom w:val="nil"/>
              <w:right w:val="single" w:sz="4" w:space="0" w:color="auto"/>
            </w:tcBorders>
            <w:shd w:val="clear" w:color="auto" w:fill="BFBFBF" w:themeFill="background1" w:themeFillShade="BF"/>
            <w:tcMar>
              <w:left w:w="28" w:type="dxa"/>
              <w:right w:w="28" w:type="dxa"/>
            </w:tcMar>
            <w:textDirection w:val="btLr"/>
            <w:vAlign w:val="center"/>
            <w:hideMark/>
          </w:tcPr>
          <w:p w14:paraId="7C03DAFD" w14:textId="77777777" w:rsidR="005E5391" w:rsidRPr="00795F17" w:rsidRDefault="005E5391" w:rsidP="008C27E6">
            <w:pPr>
              <w:pStyle w:val="Teksttabelinaglowek"/>
              <w:spacing w:before="0" w:after="0"/>
              <w:ind w:left="113" w:right="113"/>
              <w:jc w:val="left"/>
            </w:pPr>
            <w:r w:rsidRPr="00795F17">
              <w:t>Przerzuty wód</w:t>
            </w:r>
          </w:p>
        </w:tc>
        <w:tc>
          <w:tcPr>
            <w:tcW w:w="264" w:type="pct"/>
            <w:tcBorders>
              <w:top w:val="single" w:sz="4" w:space="0" w:color="auto"/>
              <w:left w:val="nil"/>
              <w:bottom w:val="nil"/>
              <w:right w:val="single" w:sz="4" w:space="0" w:color="auto"/>
            </w:tcBorders>
            <w:shd w:val="clear" w:color="auto" w:fill="BFBFBF" w:themeFill="background1" w:themeFillShade="BF"/>
            <w:tcMar>
              <w:left w:w="28" w:type="dxa"/>
              <w:right w:w="28" w:type="dxa"/>
            </w:tcMar>
            <w:textDirection w:val="btLr"/>
            <w:vAlign w:val="center"/>
            <w:hideMark/>
          </w:tcPr>
          <w:p w14:paraId="3AF51033" w14:textId="77777777" w:rsidR="005E5391" w:rsidRPr="00795F17" w:rsidRDefault="005E5391" w:rsidP="008C27E6">
            <w:pPr>
              <w:pStyle w:val="Teksttabelinaglowek"/>
              <w:spacing w:before="0" w:after="0"/>
              <w:ind w:left="113" w:right="113"/>
              <w:jc w:val="left"/>
            </w:pPr>
            <w:r w:rsidRPr="00795F17">
              <w:t>Zrzuty - składowiska</w:t>
            </w:r>
          </w:p>
        </w:tc>
        <w:tc>
          <w:tcPr>
            <w:tcW w:w="264" w:type="pct"/>
            <w:tcBorders>
              <w:top w:val="single" w:sz="4" w:space="0" w:color="auto"/>
              <w:left w:val="nil"/>
              <w:bottom w:val="nil"/>
              <w:right w:val="single" w:sz="4" w:space="0" w:color="auto"/>
            </w:tcBorders>
            <w:shd w:val="clear" w:color="auto" w:fill="BFBFBF" w:themeFill="background1" w:themeFillShade="BF"/>
            <w:tcMar>
              <w:left w:w="28" w:type="dxa"/>
              <w:right w:w="28" w:type="dxa"/>
            </w:tcMar>
            <w:textDirection w:val="btLr"/>
            <w:vAlign w:val="center"/>
            <w:hideMark/>
          </w:tcPr>
          <w:p w14:paraId="667B4AC5" w14:textId="77777777" w:rsidR="005E5391" w:rsidRPr="00795F17" w:rsidRDefault="005E5391" w:rsidP="008C27E6">
            <w:pPr>
              <w:pStyle w:val="Teksttabelinaglowek"/>
              <w:spacing w:before="0" w:after="0"/>
              <w:ind w:left="113" w:right="113"/>
              <w:jc w:val="left"/>
            </w:pPr>
            <w:r w:rsidRPr="00795F17">
              <w:t>Zrzuty - wody lecznicze</w:t>
            </w:r>
          </w:p>
        </w:tc>
        <w:tc>
          <w:tcPr>
            <w:tcW w:w="264" w:type="pct"/>
            <w:tcBorders>
              <w:top w:val="single" w:sz="4" w:space="0" w:color="auto"/>
              <w:left w:val="nil"/>
              <w:bottom w:val="nil"/>
              <w:right w:val="single" w:sz="4" w:space="0" w:color="auto"/>
            </w:tcBorders>
            <w:shd w:val="clear" w:color="auto" w:fill="BFBFBF" w:themeFill="background1" w:themeFillShade="BF"/>
            <w:tcMar>
              <w:left w:w="28" w:type="dxa"/>
              <w:right w:w="28" w:type="dxa"/>
            </w:tcMar>
            <w:textDirection w:val="btLr"/>
            <w:vAlign w:val="center"/>
            <w:hideMark/>
          </w:tcPr>
          <w:p w14:paraId="22F04408" w14:textId="77777777" w:rsidR="005E5391" w:rsidRPr="00795F17" w:rsidRDefault="005E5391" w:rsidP="008C27E6">
            <w:pPr>
              <w:pStyle w:val="Teksttabelinaglowek"/>
              <w:spacing w:before="0" w:after="0"/>
              <w:ind w:left="113" w:right="113"/>
              <w:jc w:val="left"/>
            </w:pPr>
            <w:r w:rsidRPr="00795F17">
              <w:t>Zrzuty - odchody zwierzęce</w:t>
            </w:r>
          </w:p>
        </w:tc>
        <w:tc>
          <w:tcPr>
            <w:tcW w:w="264" w:type="pct"/>
            <w:tcBorders>
              <w:top w:val="single" w:sz="4" w:space="0" w:color="auto"/>
              <w:left w:val="nil"/>
              <w:bottom w:val="nil"/>
              <w:right w:val="single" w:sz="4" w:space="0" w:color="auto"/>
            </w:tcBorders>
            <w:shd w:val="clear" w:color="auto" w:fill="BFBFBF" w:themeFill="background1" w:themeFillShade="BF"/>
            <w:tcMar>
              <w:left w:w="28" w:type="dxa"/>
              <w:right w:w="28" w:type="dxa"/>
            </w:tcMar>
            <w:textDirection w:val="btLr"/>
            <w:vAlign w:val="center"/>
            <w:hideMark/>
          </w:tcPr>
          <w:p w14:paraId="766E9FEC" w14:textId="77777777" w:rsidR="005E5391" w:rsidRPr="00795F17" w:rsidRDefault="005E5391" w:rsidP="008C27E6">
            <w:pPr>
              <w:pStyle w:val="Teksttabelinaglowek"/>
              <w:spacing w:before="0" w:after="0"/>
              <w:ind w:left="113" w:right="113"/>
              <w:jc w:val="left"/>
            </w:pPr>
            <w:r w:rsidRPr="00795F17">
              <w:t>Zrzuty - odwodnienia budowlane</w:t>
            </w:r>
          </w:p>
        </w:tc>
        <w:tc>
          <w:tcPr>
            <w:tcW w:w="264" w:type="pct"/>
            <w:tcBorders>
              <w:top w:val="single" w:sz="4" w:space="0" w:color="auto"/>
              <w:left w:val="nil"/>
              <w:bottom w:val="nil"/>
              <w:right w:val="single" w:sz="4" w:space="0" w:color="auto"/>
            </w:tcBorders>
            <w:shd w:val="clear" w:color="auto" w:fill="BFBFBF" w:themeFill="background1" w:themeFillShade="BF"/>
            <w:tcMar>
              <w:left w:w="28" w:type="dxa"/>
              <w:right w:w="28" w:type="dxa"/>
            </w:tcMar>
            <w:textDirection w:val="btLr"/>
            <w:vAlign w:val="center"/>
            <w:hideMark/>
          </w:tcPr>
          <w:p w14:paraId="0CFA29B5" w14:textId="77777777" w:rsidR="005E5391" w:rsidRPr="00795F17" w:rsidRDefault="005E5391" w:rsidP="008C27E6">
            <w:pPr>
              <w:pStyle w:val="Teksttabelinaglowek"/>
              <w:spacing w:before="0" w:after="0"/>
              <w:ind w:left="113" w:right="113"/>
              <w:jc w:val="left"/>
            </w:pPr>
            <w:r w:rsidRPr="00795F17">
              <w:t>Zrzuty - wody opadowe</w:t>
            </w:r>
          </w:p>
        </w:tc>
        <w:tc>
          <w:tcPr>
            <w:tcW w:w="264" w:type="pct"/>
            <w:tcBorders>
              <w:top w:val="single" w:sz="4" w:space="0" w:color="auto"/>
              <w:left w:val="nil"/>
              <w:bottom w:val="nil"/>
              <w:right w:val="single" w:sz="4" w:space="0" w:color="auto"/>
            </w:tcBorders>
            <w:shd w:val="clear" w:color="auto" w:fill="BFBFBF" w:themeFill="background1" w:themeFillShade="BF"/>
            <w:tcMar>
              <w:left w:w="28" w:type="dxa"/>
              <w:right w:w="28" w:type="dxa"/>
            </w:tcMar>
            <w:textDirection w:val="btLr"/>
            <w:vAlign w:val="center"/>
            <w:hideMark/>
          </w:tcPr>
          <w:p w14:paraId="741EB9BA" w14:textId="77777777" w:rsidR="005E5391" w:rsidRPr="00795F17" w:rsidRDefault="005E5391" w:rsidP="008C27E6">
            <w:pPr>
              <w:pStyle w:val="Teksttabelinaglowek"/>
              <w:spacing w:before="0" w:after="0"/>
              <w:ind w:left="113" w:right="113"/>
              <w:jc w:val="left"/>
            </w:pPr>
            <w:r w:rsidRPr="00795F17">
              <w:t>Zrzuty - ścieki przemysłowe</w:t>
            </w:r>
          </w:p>
        </w:tc>
        <w:tc>
          <w:tcPr>
            <w:tcW w:w="264" w:type="pct"/>
            <w:tcBorders>
              <w:top w:val="single" w:sz="4" w:space="0" w:color="auto"/>
              <w:left w:val="nil"/>
              <w:bottom w:val="nil"/>
              <w:right w:val="single" w:sz="4" w:space="0" w:color="auto"/>
            </w:tcBorders>
            <w:shd w:val="clear" w:color="auto" w:fill="BFBFBF" w:themeFill="background1" w:themeFillShade="BF"/>
            <w:tcMar>
              <w:left w:w="28" w:type="dxa"/>
              <w:right w:w="28" w:type="dxa"/>
            </w:tcMar>
            <w:textDirection w:val="btLr"/>
            <w:vAlign w:val="center"/>
            <w:hideMark/>
          </w:tcPr>
          <w:p w14:paraId="59C7FE85" w14:textId="664EE59F" w:rsidR="005E5391" w:rsidRPr="00795F17" w:rsidRDefault="009A6EF1" w:rsidP="008C27E6">
            <w:pPr>
              <w:pStyle w:val="Teksttabelinaglowek"/>
              <w:spacing w:before="0" w:after="0"/>
              <w:ind w:left="113" w:right="113"/>
              <w:jc w:val="left"/>
            </w:pPr>
            <w:r>
              <w:t>Zrzuty ścieki bytowe</w:t>
            </w:r>
          </w:p>
        </w:tc>
        <w:tc>
          <w:tcPr>
            <w:tcW w:w="264" w:type="pct"/>
            <w:tcBorders>
              <w:top w:val="single" w:sz="4" w:space="0" w:color="auto"/>
              <w:left w:val="nil"/>
              <w:bottom w:val="nil"/>
              <w:right w:val="single" w:sz="4" w:space="0" w:color="auto"/>
            </w:tcBorders>
            <w:shd w:val="clear" w:color="auto" w:fill="BFBFBF" w:themeFill="background1" w:themeFillShade="BF"/>
            <w:tcMar>
              <w:left w:w="28" w:type="dxa"/>
              <w:right w:w="28" w:type="dxa"/>
            </w:tcMar>
            <w:textDirection w:val="btLr"/>
            <w:vAlign w:val="center"/>
            <w:hideMark/>
          </w:tcPr>
          <w:p w14:paraId="687C0829" w14:textId="77777777" w:rsidR="005E5391" w:rsidRPr="00795F17" w:rsidRDefault="005E5391" w:rsidP="008C27E6">
            <w:pPr>
              <w:pStyle w:val="Teksttabelinaglowek"/>
              <w:spacing w:before="0" w:after="0"/>
              <w:ind w:left="113" w:right="113"/>
              <w:jc w:val="left"/>
            </w:pPr>
            <w:r w:rsidRPr="00795F17">
              <w:t>Zrzuty - ścieki komunalne</w:t>
            </w:r>
          </w:p>
        </w:tc>
        <w:tc>
          <w:tcPr>
            <w:tcW w:w="264" w:type="pct"/>
            <w:tcBorders>
              <w:top w:val="single" w:sz="4" w:space="0" w:color="auto"/>
              <w:left w:val="nil"/>
              <w:bottom w:val="nil"/>
              <w:right w:val="single" w:sz="4" w:space="0" w:color="auto"/>
            </w:tcBorders>
            <w:shd w:val="clear" w:color="auto" w:fill="BFBFBF" w:themeFill="background1" w:themeFillShade="BF"/>
            <w:tcMar>
              <w:left w:w="28" w:type="dxa"/>
              <w:right w:w="28" w:type="dxa"/>
            </w:tcMar>
            <w:textDirection w:val="btLr"/>
            <w:vAlign w:val="center"/>
            <w:hideMark/>
          </w:tcPr>
          <w:p w14:paraId="7951F08C" w14:textId="64A3BD82" w:rsidR="005E5391" w:rsidRPr="00795F17" w:rsidRDefault="005E5391" w:rsidP="008C27E6">
            <w:pPr>
              <w:pStyle w:val="Teksttabelinaglowek"/>
              <w:spacing w:before="0" w:after="0"/>
              <w:ind w:left="113" w:right="113"/>
              <w:jc w:val="left"/>
            </w:pPr>
            <w:r w:rsidRPr="00795F17">
              <w:t>Zrzuty - ścieki komunalne i</w:t>
            </w:r>
            <w:r w:rsidR="002F019A">
              <w:t> </w:t>
            </w:r>
            <w:r w:rsidRPr="00795F17">
              <w:t>przemysłowe</w:t>
            </w:r>
          </w:p>
        </w:tc>
        <w:tc>
          <w:tcPr>
            <w:tcW w:w="264" w:type="pct"/>
            <w:tcBorders>
              <w:top w:val="single" w:sz="4" w:space="0" w:color="auto"/>
              <w:left w:val="nil"/>
              <w:bottom w:val="nil"/>
              <w:right w:val="single" w:sz="4" w:space="0" w:color="auto"/>
            </w:tcBorders>
            <w:shd w:val="clear" w:color="auto" w:fill="BFBFBF" w:themeFill="background1" w:themeFillShade="BF"/>
            <w:tcMar>
              <w:left w:w="28" w:type="dxa"/>
              <w:right w:w="28" w:type="dxa"/>
            </w:tcMar>
            <w:textDirection w:val="btLr"/>
            <w:vAlign w:val="center"/>
            <w:hideMark/>
          </w:tcPr>
          <w:p w14:paraId="57861B07" w14:textId="77777777" w:rsidR="005E5391" w:rsidRPr="00795F17" w:rsidRDefault="005E5391" w:rsidP="008C27E6">
            <w:pPr>
              <w:pStyle w:val="Teksttabelinaglowek"/>
              <w:spacing w:before="0" w:after="0"/>
              <w:ind w:left="113" w:right="113"/>
              <w:jc w:val="left"/>
            </w:pPr>
            <w:r w:rsidRPr="00795F17">
              <w:t>Zrzuty - stawy</w:t>
            </w:r>
          </w:p>
        </w:tc>
        <w:tc>
          <w:tcPr>
            <w:tcW w:w="265" w:type="pct"/>
            <w:tcBorders>
              <w:top w:val="single" w:sz="4" w:space="0" w:color="auto"/>
              <w:left w:val="nil"/>
              <w:bottom w:val="nil"/>
              <w:right w:val="single" w:sz="4" w:space="0" w:color="auto"/>
            </w:tcBorders>
            <w:shd w:val="clear" w:color="auto" w:fill="BFBFBF" w:themeFill="background1" w:themeFillShade="BF"/>
            <w:tcMar>
              <w:left w:w="28" w:type="dxa"/>
              <w:right w:w="28" w:type="dxa"/>
            </w:tcMar>
            <w:vAlign w:val="center"/>
            <w:hideMark/>
          </w:tcPr>
          <w:p w14:paraId="4EC7B23C" w14:textId="77777777" w:rsidR="005E5391" w:rsidRPr="00795F17" w:rsidRDefault="005E5391" w:rsidP="008C27E6">
            <w:pPr>
              <w:pStyle w:val="Teksttabelinaglowek"/>
              <w:jc w:val="left"/>
            </w:pPr>
            <w:r w:rsidRPr="00795F17">
              <w:t>Razem</w:t>
            </w:r>
          </w:p>
        </w:tc>
      </w:tr>
      <w:tr w:rsidR="00503904" w:rsidRPr="00795F17" w14:paraId="659EA03D" w14:textId="77777777" w:rsidTr="00241AFA">
        <w:trPr>
          <w:trHeight w:val="454"/>
        </w:trPr>
        <w:tc>
          <w:tcPr>
            <w:tcW w:w="77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81BF169" w14:textId="584D9DDD" w:rsidR="00503904" w:rsidRPr="00795F17" w:rsidRDefault="00503904" w:rsidP="00EB3A95">
            <w:pPr>
              <w:pStyle w:val="Teksttabelilewy"/>
              <w:ind w:left="57"/>
              <w:rPr>
                <w:rFonts w:asciiTheme="minorHAnsi" w:eastAsia="Times New Roman" w:hAnsiTheme="minorHAnsi" w:cstheme="minorHAnsi"/>
              </w:rPr>
            </w:pPr>
            <w:r w:rsidRPr="00795F17">
              <w:t xml:space="preserve">Obszar </w:t>
            </w:r>
            <w:r w:rsidR="006C26A1" w:rsidRPr="00795F17">
              <w:t>d</w:t>
            </w:r>
            <w:r w:rsidRPr="00795F17">
              <w:t>orzecza Odry</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3092DFF" w14:textId="5998D1C1" w:rsidR="00503904" w:rsidRPr="00795F17" w:rsidRDefault="00503904" w:rsidP="00AC6CDD">
            <w:pPr>
              <w:pStyle w:val="Teksttabelisrodek"/>
              <w:rPr>
                <w:rFonts w:asciiTheme="minorHAnsi" w:eastAsia="Times New Roman" w:hAnsiTheme="minorHAnsi" w:cstheme="minorHAnsi"/>
              </w:rPr>
            </w:pPr>
            <w:r w:rsidRPr="00795F17">
              <w:t>10</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2367C35" w14:textId="67302D1C" w:rsidR="00503904" w:rsidRPr="00795F17" w:rsidRDefault="00503904" w:rsidP="00AC6CDD">
            <w:pPr>
              <w:pStyle w:val="Teksttabelisrodek"/>
              <w:rPr>
                <w:rFonts w:asciiTheme="minorHAnsi" w:eastAsia="Times New Roman" w:hAnsiTheme="minorHAnsi" w:cstheme="minorHAnsi"/>
              </w:rPr>
            </w:pPr>
            <w:r w:rsidRPr="00795F17">
              <w:t>3</w:t>
            </w:r>
            <w:r w:rsidR="00B53F7C" w:rsidRPr="00795F17">
              <w:t xml:space="preserve"> </w:t>
            </w:r>
            <w:r w:rsidRPr="00795F17">
              <w:t>295</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F47DEBC" w14:textId="3E3F6995" w:rsidR="00503904" w:rsidRPr="00795F17" w:rsidRDefault="00503904" w:rsidP="00AC6CDD">
            <w:pPr>
              <w:pStyle w:val="Teksttabelisrodek"/>
              <w:rPr>
                <w:rFonts w:asciiTheme="minorHAnsi" w:eastAsia="Times New Roman" w:hAnsiTheme="minorHAnsi" w:cstheme="minorHAnsi"/>
              </w:rPr>
            </w:pPr>
            <w:r w:rsidRPr="00795F17">
              <w:t>2</w:t>
            </w:r>
            <w:r w:rsidR="00B53F7C" w:rsidRPr="00795F17">
              <w:t xml:space="preserve"> </w:t>
            </w:r>
            <w:r w:rsidRPr="00795F17">
              <w:t>514</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338B833" w14:textId="6881736C" w:rsidR="00503904" w:rsidRPr="00795F17" w:rsidRDefault="00503904" w:rsidP="00AC6CDD">
            <w:pPr>
              <w:pStyle w:val="Teksttabelisrodek"/>
              <w:rPr>
                <w:rFonts w:asciiTheme="minorHAnsi" w:eastAsia="Times New Roman" w:hAnsiTheme="minorHAnsi" w:cstheme="minorHAnsi"/>
              </w:rPr>
            </w:pPr>
            <w:r w:rsidRPr="00795F17">
              <w:t>806</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1FF5790" w14:textId="31B86C59" w:rsidR="00503904" w:rsidRPr="00795F17" w:rsidRDefault="00503904" w:rsidP="00AC6CDD">
            <w:pPr>
              <w:pStyle w:val="Teksttabelisrodek"/>
              <w:rPr>
                <w:rFonts w:asciiTheme="minorHAnsi" w:eastAsia="Times New Roman" w:hAnsiTheme="minorHAnsi" w:cstheme="minorHAnsi"/>
              </w:rPr>
            </w:pPr>
            <w:r w:rsidRPr="00795F17">
              <w:t>8</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6BCF23C0" w14:textId="1D3C9A47" w:rsidR="00503904" w:rsidRPr="00795F17" w:rsidRDefault="00503904" w:rsidP="00AC6CDD">
            <w:pPr>
              <w:pStyle w:val="Teksttabelisrodek"/>
              <w:rPr>
                <w:rFonts w:asciiTheme="minorHAnsi" w:eastAsia="Times New Roman" w:hAnsiTheme="minorHAnsi" w:cstheme="minorHAnsi"/>
              </w:rPr>
            </w:pPr>
            <w:r w:rsidRPr="00795F17">
              <w:t>19</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049B6115" w14:textId="04D64A4F" w:rsidR="00503904" w:rsidRPr="00795F17" w:rsidRDefault="00503904" w:rsidP="00AC6CDD">
            <w:pPr>
              <w:pStyle w:val="Teksttabelisrodek"/>
              <w:rPr>
                <w:rFonts w:asciiTheme="minorHAnsi" w:eastAsia="Times New Roman" w:hAnsiTheme="minorHAnsi" w:cstheme="minorHAnsi"/>
              </w:rPr>
            </w:pPr>
            <w:r w:rsidRPr="00795F17">
              <w:t>5</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7E81E7F" w14:textId="4BCC6981" w:rsidR="00503904" w:rsidRPr="00795F17" w:rsidRDefault="00503904" w:rsidP="00AC6CDD">
            <w:pPr>
              <w:pStyle w:val="Teksttabelisrodek"/>
              <w:rPr>
                <w:rFonts w:asciiTheme="minorHAnsi" w:eastAsia="Times New Roman" w:hAnsiTheme="minorHAnsi" w:cstheme="minorHAnsi"/>
              </w:rPr>
            </w:pPr>
            <w:r w:rsidRPr="00795F17">
              <w:t>3</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EE6CCFE" w14:textId="03731241" w:rsidR="00503904" w:rsidRPr="00795F17" w:rsidRDefault="00503904" w:rsidP="00AC6CDD">
            <w:pPr>
              <w:pStyle w:val="Teksttabelisrodek"/>
              <w:rPr>
                <w:rFonts w:asciiTheme="minorHAnsi" w:eastAsia="Times New Roman" w:hAnsiTheme="minorHAnsi" w:cstheme="minorHAnsi"/>
              </w:rPr>
            </w:pPr>
            <w:r w:rsidRPr="00795F17">
              <w:t>809</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7532AD3" w14:textId="5C1C8FFF" w:rsidR="00503904" w:rsidRPr="00795F17" w:rsidRDefault="00503904" w:rsidP="00AC6CDD">
            <w:pPr>
              <w:pStyle w:val="Teksttabelisrodek"/>
              <w:rPr>
                <w:rFonts w:asciiTheme="minorHAnsi" w:eastAsia="Times New Roman" w:hAnsiTheme="minorHAnsi" w:cstheme="minorHAnsi"/>
              </w:rPr>
            </w:pPr>
            <w:r w:rsidRPr="00795F17">
              <w:t>529</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C9ED8E9" w14:textId="2A5BAD5F" w:rsidR="00503904" w:rsidRPr="00795F17" w:rsidRDefault="00503904" w:rsidP="00AC6CDD">
            <w:pPr>
              <w:pStyle w:val="Teksttabelisrodek"/>
              <w:rPr>
                <w:rFonts w:asciiTheme="minorHAnsi" w:eastAsia="Times New Roman" w:hAnsiTheme="minorHAnsi" w:cstheme="minorHAnsi"/>
              </w:rPr>
            </w:pPr>
            <w:r w:rsidRPr="00795F17">
              <w:t>1</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04F45105" w14:textId="7CCC62A8" w:rsidR="00503904" w:rsidRPr="00795F17" w:rsidRDefault="00503904" w:rsidP="00AC6CDD">
            <w:pPr>
              <w:pStyle w:val="Teksttabelisrodek"/>
              <w:rPr>
                <w:rFonts w:asciiTheme="minorHAnsi" w:eastAsia="Times New Roman" w:hAnsiTheme="minorHAnsi" w:cstheme="minorHAnsi"/>
              </w:rPr>
            </w:pPr>
            <w:r w:rsidRPr="00795F17">
              <w:t>25</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2BD4CF49" w14:textId="21D11668" w:rsidR="00503904" w:rsidRPr="00795F17" w:rsidRDefault="00503904" w:rsidP="00AC6CDD">
            <w:pPr>
              <w:pStyle w:val="Teksttabelisrodek"/>
              <w:rPr>
                <w:rFonts w:asciiTheme="minorHAnsi" w:eastAsia="Times New Roman" w:hAnsiTheme="minorHAnsi" w:cstheme="minorHAnsi"/>
              </w:rPr>
            </w:pPr>
            <w:r w:rsidRPr="00795F17">
              <w:t>160</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1E20EC47" w14:textId="7688C3F5"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0152194" w14:textId="453040BB" w:rsidR="00503904" w:rsidRPr="00795F17" w:rsidRDefault="00503904" w:rsidP="00AC6CDD">
            <w:pPr>
              <w:pStyle w:val="Teksttabelisrodek"/>
              <w:rPr>
                <w:rFonts w:asciiTheme="minorHAnsi" w:eastAsia="Times New Roman" w:hAnsiTheme="minorHAnsi" w:cstheme="minorHAnsi"/>
              </w:rPr>
            </w:pPr>
            <w:r w:rsidRPr="00795F17">
              <w:t>1</w:t>
            </w:r>
            <w:r w:rsidR="00B53F7C" w:rsidRPr="00795F17">
              <w:t xml:space="preserve"> </w:t>
            </w:r>
            <w:r w:rsidRPr="00795F17">
              <w:t>593</w:t>
            </w:r>
          </w:p>
        </w:tc>
        <w:tc>
          <w:tcPr>
            <w:tcW w:w="26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5B61709" w14:textId="2A1D681F" w:rsidR="00503904" w:rsidRPr="00795F17" w:rsidRDefault="00503904" w:rsidP="00AC6CDD">
            <w:pPr>
              <w:pStyle w:val="Teksttabelisrodek"/>
              <w:rPr>
                <w:rFonts w:eastAsia="Times New Roman"/>
              </w:rPr>
            </w:pPr>
            <w:r w:rsidRPr="00795F17">
              <w:t>9</w:t>
            </w:r>
            <w:r w:rsidR="00B53F7C" w:rsidRPr="00795F17">
              <w:t xml:space="preserve"> </w:t>
            </w:r>
            <w:r w:rsidRPr="00795F17">
              <w:t>777</w:t>
            </w:r>
          </w:p>
        </w:tc>
      </w:tr>
      <w:tr w:rsidR="00503904" w:rsidRPr="00795F17" w14:paraId="441613E7" w14:textId="77777777" w:rsidTr="00241AFA">
        <w:trPr>
          <w:trHeight w:val="454"/>
        </w:trPr>
        <w:tc>
          <w:tcPr>
            <w:tcW w:w="77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1763AA0" w14:textId="6B1E8D1C" w:rsidR="00503904" w:rsidRPr="00795F17" w:rsidRDefault="0084311B" w:rsidP="00EB3A95">
            <w:pPr>
              <w:pStyle w:val="Teksttabelilewy"/>
              <w:ind w:left="57"/>
              <w:rPr>
                <w:rFonts w:asciiTheme="minorHAnsi" w:eastAsia="Times New Roman" w:hAnsiTheme="minorHAnsi" w:cstheme="minorHAnsi"/>
              </w:rPr>
            </w:pPr>
            <w:r>
              <w:t>R</w:t>
            </w:r>
            <w:r w:rsidR="00503904" w:rsidRPr="00795F17">
              <w:t>egion wodny Dolnej Odry i Przymorza Zachodniego</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FB3C644" w14:textId="3A8C49C9"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ECA1D1C" w14:textId="69507623" w:rsidR="00503904" w:rsidRPr="00795F17" w:rsidRDefault="00503904" w:rsidP="00AC6CDD">
            <w:pPr>
              <w:pStyle w:val="Teksttabelisrodek"/>
              <w:rPr>
                <w:rFonts w:asciiTheme="minorHAnsi" w:eastAsia="Times New Roman" w:hAnsiTheme="minorHAnsi" w:cstheme="minorHAnsi"/>
              </w:rPr>
            </w:pPr>
            <w:r w:rsidRPr="00795F17">
              <w:t>618</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ACB7F22" w14:textId="445E16ED" w:rsidR="00503904" w:rsidRPr="00795F17" w:rsidRDefault="00503904" w:rsidP="00AC6CDD">
            <w:pPr>
              <w:pStyle w:val="Teksttabelisrodek"/>
              <w:rPr>
                <w:rFonts w:asciiTheme="minorHAnsi" w:eastAsia="Times New Roman" w:hAnsiTheme="minorHAnsi" w:cstheme="minorHAnsi"/>
              </w:rPr>
            </w:pPr>
            <w:r w:rsidRPr="00795F17">
              <w:t>245</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BD90B87" w14:textId="38714F11" w:rsidR="00503904" w:rsidRPr="00795F17" w:rsidRDefault="00503904" w:rsidP="00AC6CDD">
            <w:pPr>
              <w:pStyle w:val="Teksttabelisrodek"/>
              <w:rPr>
                <w:rFonts w:asciiTheme="minorHAnsi" w:eastAsia="Times New Roman" w:hAnsiTheme="minorHAnsi" w:cstheme="minorHAnsi"/>
              </w:rPr>
            </w:pPr>
            <w:r w:rsidRPr="00795F17">
              <w:t>13</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09BFB28" w14:textId="2B834CED" w:rsidR="00503904" w:rsidRPr="00795F17" w:rsidRDefault="00503904" w:rsidP="00AC6CDD">
            <w:pPr>
              <w:pStyle w:val="Teksttabelisrodek"/>
              <w:rPr>
                <w:rFonts w:asciiTheme="minorHAnsi" w:eastAsia="Times New Roman" w:hAnsiTheme="minorHAnsi" w:cstheme="minorHAnsi"/>
              </w:rPr>
            </w:pPr>
            <w:r w:rsidRPr="00795F17">
              <w:t>-</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AFF0174" w14:textId="1F7917D5" w:rsidR="00503904" w:rsidRPr="00795F17" w:rsidRDefault="00503904" w:rsidP="00AC6CDD">
            <w:pPr>
              <w:pStyle w:val="Teksttabelisrodek"/>
              <w:rPr>
                <w:rFonts w:asciiTheme="minorHAnsi" w:eastAsia="Times New Roman" w:hAnsiTheme="minorHAnsi" w:cstheme="minorHAnsi"/>
              </w:rPr>
            </w:pPr>
            <w:r w:rsidRPr="00795F17">
              <w:t>16</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3E78366" w14:textId="383C70B7"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3A8CC1A" w14:textId="01BCF8DF"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DAAD871" w14:textId="3DC0869D" w:rsidR="00503904" w:rsidRPr="00795F17" w:rsidRDefault="00503904" w:rsidP="00AC6CDD">
            <w:pPr>
              <w:pStyle w:val="Teksttabelisrodek"/>
              <w:rPr>
                <w:rFonts w:asciiTheme="minorHAnsi" w:eastAsia="Times New Roman" w:hAnsiTheme="minorHAnsi" w:cstheme="minorHAnsi"/>
              </w:rPr>
            </w:pPr>
            <w:r w:rsidRPr="00795F17">
              <w:t>13</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E3E161B" w14:textId="757A8787" w:rsidR="00503904" w:rsidRPr="00795F17" w:rsidRDefault="00503904" w:rsidP="00AC6CDD">
            <w:pPr>
              <w:pStyle w:val="Teksttabelisrodek"/>
              <w:rPr>
                <w:rFonts w:asciiTheme="minorHAnsi" w:eastAsia="Times New Roman" w:hAnsiTheme="minorHAnsi" w:cstheme="minorHAnsi"/>
              </w:rPr>
            </w:pPr>
            <w:r w:rsidRPr="00795F17">
              <w:t>121</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EE2E658" w14:textId="49A43510"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1ABA453" w14:textId="41A73E9F" w:rsidR="00503904" w:rsidRPr="00795F17" w:rsidRDefault="00503904" w:rsidP="00AC6CDD">
            <w:pPr>
              <w:pStyle w:val="Teksttabelisrodek"/>
              <w:rPr>
                <w:rFonts w:asciiTheme="minorHAnsi" w:eastAsia="Times New Roman" w:hAnsiTheme="minorHAnsi" w:cstheme="minorHAnsi"/>
              </w:rPr>
            </w:pPr>
            <w:r w:rsidRPr="00795F17">
              <w:t>5</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0CBBC6D" w14:textId="2E0705F7" w:rsidR="00503904" w:rsidRPr="00795F17" w:rsidRDefault="00503904" w:rsidP="00AC6CDD">
            <w:pPr>
              <w:pStyle w:val="Teksttabelisrodek"/>
              <w:rPr>
                <w:rFonts w:asciiTheme="minorHAnsi" w:eastAsia="Times New Roman" w:hAnsiTheme="minorHAnsi" w:cstheme="minorHAnsi"/>
              </w:rPr>
            </w:pPr>
            <w:r w:rsidRPr="00795F17">
              <w:t>50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30864E3" w14:textId="2BBFC22B"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413104A" w14:textId="19E398FD" w:rsidR="00503904" w:rsidRPr="00795F17" w:rsidRDefault="00503904" w:rsidP="00AC6CDD">
            <w:pPr>
              <w:pStyle w:val="Teksttabelisrodek"/>
              <w:rPr>
                <w:rFonts w:asciiTheme="minorHAnsi" w:eastAsia="Times New Roman" w:hAnsiTheme="minorHAnsi" w:cstheme="minorHAnsi"/>
              </w:rPr>
            </w:pPr>
            <w:r w:rsidRPr="00795F17">
              <w:t>128</w:t>
            </w:r>
          </w:p>
        </w:tc>
        <w:tc>
          <w:tcPr>
            <w:tcW w:w="26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A64B239" w14:textId="66E2E94F" w:rsidR="00503904" w:rsidRPr="00795F17" w:rsidRDefault="00503904" w:rsidP="00AC6CDD">
            <w:pPr>
              <w:pStyle w:val="Teksttabelisrodek"/>
              <w:rPr>
                <w:rFonts w:eastAsia="Times New Roman"/>
              </w:rPr>
            </w:pPr>
            <w:r w:rsidRPr="00795F17">
              <w:t>1</w:t>
            </w:r>
            <w:r w:rsidR="00B53F7C" w:rsidRPr="00795F17">
              <w:t xml:space="preserve"> </w:t>
            </w:r>
            <w:r w:rsidRPr="00795F17">
              <w:t>209</w:t>
            </w:r>
          </w:p>
        </w:tc>
      </w:tr>
      <w:tr w:rsidR="00503904" w:rsidRPr="00795F17" w14:paraId="1CFD519F" w14:textId="77777777" w:rsidTr="00241AFA">
        <w:trPr>
          <w:trHeight w:val="454"/>
        </w:trPr>
        <w:tc>
          <w:tcPr>
            <w:tcW w:w="77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E066953" w14:textId="573E51D4" w:rsidR="00503904" w:rsidRPr="00795F17" w:rsidRDefault="0084311B" w:rsidP="00EB3A95">
            <w:pPr>
              <w:pStyle w:val="Teksttabelilewy"/>
              <w:ind w:left="57"/>
              <w:rPr>
                <w:rFonts w:asciiTheme="minorHAnsi" w:eastAsia="Times New Roman" w:hAnsiTheme="minorHAnsi" w:cstheme="minorHAnsi"/>
              </w:rPr>
            </w:pPr>
            <w:r>
              <w:t>R</w:t>
            </w:r>
            <w:r w:rsidR="00503904" w:rsidRPr="00795F17">
              <w:t>egion wodny Górnej Odry</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70357E9" w14:textId="58649494" w:rsidR="00503904" w:rsidRPr="00795F17" w:rsidRDefault="00503904" w:rsidP="00AC6CDD">
            <w:pPr>
              <w:pStyle w:val="Teksttabelisrodek"/>
              <w:rPr>
                <w:rFonts w:asciiTheme="minorHAnsi" w:eastAsia="Times New Roman" w:hAnsiTheme="minorHAnsi" w:cstheme="minorHAnsi"/>
              </w:rPr>
            </w:pPr>
            <w:r w:rsidRPr="00795F17">
              <w:t>6</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6507FC7" w14:textId="3E77273B" w:rsidR="00503904" w:rsidRPr="00795F17" w:rsidRDefault="00503904" w:rsidP="00AC6CDD">
            <w:pPr>
              <w:pStyle w:val="Teksttabelisrodek"/>
              <w:rPr>
                <w:rFonts w:asciiTheme="minorHAnsi" w:eastAsia="Times New Roman" w:hAnsiTheme="minorHAnsi" w:cstheme="minorHAnsi"/>
              </w:rPr>
            </w:pPr>
            <w:r w:rsidRPr="00795F17">
              <w:t>338</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942D220" w14:textId="45DC6382" w:rsidR="00503904" w:rsidRPr="00795F17" w:rsidRDefault="00503904" w:rsidP="00AC6CDD">
            <w:pPr>
              <w:pStyle w:val="Teksttabelisrodek"/>
              <w:rPr>
                <w:rFonts w:asciiTheme="minorHAnsi" w:eastAsia="Times New Roman" w:hAnsiTheme="minorHAnsi" w:cstheme="minorHAnsi"/>
              </w:rPr>
            </w:pPr>
            <w:r w:rsidRPr="00795F17">
              <w:t>345</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38417DA" w14:textId="2E64BBA9" w:rsidR="00503904" w:rsidRPr="00795F17" w:rsidRDefault="00503904" w:rsidP="00AC6CDD">
            <w:pPr>
              <w:pStyle w:val="Teksttabelisrodek"/>
              <w:rPr>
                <w:rFonts w:asciiTheme="minorHAnsi" w:eastAsia="Times New Roman" w:hAnsiTheme="minorHAnsi" w:cstheme="minorHAnsi"/>
              </w:rPr>
            </w:pPr>
            <w:r w:rsidRPr="00795F17">
              <w:t>506</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D93D432" w14:textId="672ADB70"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B405F5F" w14:textId="37AF3421" w:rsidR="00503904" w:rsidRPr="00795F17" w:rsidRDefault="00503904" w:rsidP="00AC6CDD">
            <w:pPr>
              <w:pStyle w:val="Teksttabelisrodek"/>
              <w:rPr>
                <w:rFonts w:asciiTheme="minorHAnsi" w:eastAsia="Times New Roman" w:hAnsiTheme="minorHAnsi" w:cstheme="minorHAnsi"/>
              </w:rPr>
            </w:pPr>
            <w:r w:rsidRPr="00795F17">
              <w:t>2</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F97BE38" w14:textId="631859DD"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B6923D1" w14:textId="0F7A54EA"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B8FC89E" w14:textId="488C5F30" w:rsidR="00503904" w:rsidRPr="00795F17" w:rsidRDefault="00503904" w:rsidP="00AC6CDD">
            <w:pPr>
              <w:pStyle w:val="Teksttabelisrodek"/>
              <w:rPr>
                <w:rFonts w:asciiTheme="minorHAnsi" w:eastAsia="Times New Roman" w:hAnsiTheme="minorHAnsi" w:cstheme="minorHAnsi"/>
              </w:rPr>
            </w:pPr>
            <w:r w:rsidRPr="00795F17">
              <w:t>509</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101802" w14:textId="655DBFD3" w:rsidR="00503904" w:rsidRPr="00795F17" w:rsidRDefault="00503904" w:rsidP="00AC6CDD">
            <w:pPr>
              <w:pStyle w:val="Teksttabelisrodek"/>
              <w:rPr>
                <w:rFonts w:asciiTheme="minorHAnsi" w:eastAsia="Times New Roman" w:hAnsiTheme="minorHAnsi" w:cstheme="minorHAnsi"/>
              </w:rPr>
            </w:pPr>
            <w:r w:rsidRPr="00795F17">
              <w:t>44</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275F0EC" w14:textId="3B948D8B"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1A872AA" w14:textId="4A4D5651" w:rsidR="00503904" w:rsidRPr="00795F17" w:rsidRDefault="00503904" w:rsidP="00AC6CDD">
            <w:pPr>
              <w:pStyle w:val="Teksttabelisrodek"/>
              <w:rPr>
                <w:rFonts w:asciiTheme="minorHAnsi" w:eastAsia="Times New Roman" w:hAnsiTheme="minorHAnsi" w:cstheme="minorHAnsi"/>
              </w:rPr>
            </w:pPr>
            <w:r w:rsidRPr="00795F17">
              <w:t>1</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643B103" w14:textId="3F828D4F" w:rsidR="00503904" w:rsidRPr="00795F17" w:rsidRDefault="00503904" w:rsidP="00AC6CDD">
            <w:pPr>
              <w:pStyle w:val="Teksttabelisrodek"/>
              <w:rPr>
                <w:rFonts w:asciiTheme="minorHAnsi" w:eastAsia="Times New Roman" w:hAnsiTheme="minorHAnsi" w:cstheme="minorHAnsi"/>
              </w:rPr>
            </w:pPr>
            <w:r w:rsidRPr="00795F17">
              <w:t>18</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DEA7DFC" w14:textId="15319F7A"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7EFE15E" w14:textId="64D94F2A" w:rsidR="00503904" w:rsidRPr="00795F17" w:rsidRDefault="00503904" w:rsidP="00AC6CDD">
            <w:pPr>
              <w:pStyle w:val="Teksttabelisrodek"/>
              <w:rPr>
                <w:rFonts w:asciiTheme="minorHAnsi" w:eastAsia="Times New Roman" w:hAnsiTheme="minorHAnsi" w:cstheme="minorHAnsi"/>
              </w:rPr>
            </w:pPr>
            <w:r w:rsidRPr="00795F17">
              <w:t>369</w:t>
            </w:r>
          </w:p>
        </w:tc>
        <w:tc>
          <w:tcPr>
            <w:tcW w:w="26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8A5D586" w14:textId="692C631B" w:rsidR="00503904" w:rsidRPr="00795F17" w:rsidRDefault="00503904" w:rsidP="00AC6CDD">
            <w:pPr>
              <w:pStyle w:val="Teksttabelisrodek"/>
              <w:rPr>
                <w:rFonts w:eastAsia="Times New Roman"/>
              </w:rPr>
            </w:pPr>
            <w:r w:rsidRPr="00795F17">
              <w:t>2</w:t>
            </w:r>
            <w:r w:rsidR="00B53F7C" w:rsidRPr="00795F17">
              <w:t xml:space="preserve"> </w:t>
            </w:r>
            <w:r w:rsidRPr="00795F17">
              <w:t>138</w:t>
            </w:r>
          </w:p>
        </w:tc>
      </w:tr>
      <w:tr w:rsidR="00503904" w:rsidRPr="00795F17" w14:paraId="625921C0" w14:textId="77777777" w:rsidTr="00241AFA">
        <w:trPr>
          <w:trHeight w:val="454"/>
        </w:trPr>
        <w:tc>
          <w:tcPr>
            <w:tcW w:w="77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D30EF5E" w14:textId="0CC22904" w:rsidR="00503904" w:rsidRPr="00795F17" w:rsidRDefault="0084311B" w:rsidP="00EB3A95">
            <w:pPr>
              <w:pStyle w:val="Teksttabelilewy"/>
              <w:ind w:left="57"/>
              <w:rPr>
                <w:rFonts w:asciiTheme="minorHAnsi" w:eastAsia="Times New Roman" w:hAnsiTheme="minorHAnsi" w:cstheme="minorHAnsi"/>
              </w:rPr>
            </w:pPr>
            <w:r>
              <w:t>R</w:t>
            </w:r>
            <w:r w:rsidR="00503904" w:rsidRPr="00795F17">
              <w:t>egion wodny Noteci</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5BC23E" w14:textId="32F781C2"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03776DF" w14:textId="5CBDD363" w:rsidR="00503904" w:rsidRPr="00795F17" w:rsidRDefault="00503904" w:rsidP="00AC6CDD">
            <w:pPr>
              <w:pStyle w:val="Teksttabelisrodek"/>
              <w:rPr>
                <w:rFonts w:asciiTheme="minorHAnsi" w:eastAsia="Times New Roman" w:hAnsiTheme="minorHAnsi" w:cstheme="minorHAnsi"/>
              </w:rPr>
            </w:pPr>
            <w:r w:rsidRPr="00795F17">
              <w:t>323</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AD84B9D" w14:textId="755613DD" w:rsidR="00503904" w:rsidRPr="00795F17" w:rsidRDefault="00503904" w:rsidP="00AC6CDD">
            <w:pPr>
              <w:pStyle w:val="Teksttabelisrodek"/>
              <w:rPr>
                <w:rFonts w:asciiTheme="minorHAnsi" w:eastAsia="Times New Roman" w:hAnsiTheme="minorHAnsi" w:cstheme="minorHAnsi"/>
              </w:rPr>
            </w:pPr>
            <w:r w:rsidRPr="00795F17">
              <w:t>168</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6D99096" w14:textId="2C216778" w:rsidR="00503904" w:rsidRPr="00795F17" w:rsidRDefault="00503904" w:rsidP="00AC6CDD">
            <w:pPr>
              <w:pStyle w:val="Teksttabelisrodek"/>
              <w:rPr>
                <w:rFonts w:asciiTheme="minorHAnsi" w:eastAsia="Times New Roman" w:hAnsiTheme="minorHAnsi" w:cstheme="minorHAnsi"/>
              </w:rPr>
            </w:pPr>
            <w:r w:rsidRPr="00795F17">
              <w:t>8</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38CC06F" w14:textId="7231527E"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BF1235" w14:textId="6936A0CF"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2A315A" w14:textId="02CA0D35"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7B42914" w14:textId="1C6951F8"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598C6E0" w14:textId="6FFF8D67" w:rsidR="00503904" w:rsidRPr="00795F17" w:rsidRDefault="00503904" w:rsidP="00AC6CDD">
            <w:pPr>
              <w:pStyle w:val="Teksttabelisrodek"/>
              <w:rPr>
                <w:rFonts w:asciiTheme="minorHAnsi" w:eastAsia="Times New Roman" w:hAnsiTheme="minorHAnsi" w:cstheme="minorHAnsi"/>
              </w:rPr>
            </w:pPr>
            <w:r w:rsidRPr="00795F17">
              <w:t>8</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112345A" w14:textId="77563419" w:rsidR="00503904" w:rsidRPr="00795F17" w:rsidRDefault="00503904" w:rsidP="00AC6CDD">
            <w:pPr>
              <w:pStyle w:val="Teksttabelisrodek"/>
              <w:rPr>
                <w:rFonts w:asciiTheme="minorHAnsi" w:eastAsia="Times New Roman" w:hAnsiTheme="minorHAnsi" w:cstheme="minorHAnsi"/>
              </w:rPr>
            </w:pPr>
            <w:r w:rsidRPr="00795F17">
              <w:t>13</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6F2448" w14:textId="4D06D919"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CCFB1DB" w14:textId="365B82F6" w:rsidR="00503904" w:rsidRPr="00795F17" w:rsidRDefault="00503904" w:rsidP="00AC6CDD">
            <w:pPr>
              <w:pStyle w:val="Teksttabelisrodek"/>
              <w:rPr>
                <w:rFonts w:asciiTheme="minorHAnsi" w:eastAsia="Times New Roman" w:hAnsiTheme="minorHAnsi" w:cstheme="minorHAnsi"/>
              </w:rPr>
            </w:pPr>
            <w:r w:rsidRPr="00795F17">
              <w:t>1</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6E6CDEB" w14:textId="15D9CA2F" w:rsidR="00503904" w:rsidRPr="00795F17" w:rsidRDefault="00503904" w:rsidP="00AC6CDD">
            <w:pPr>
              <w:pStyle w:val="Teksttabelisrodek"/>
              <w:rPr>
                <w:rFonts w:asciiTheme="minorHAnsi" w:eastAsia="Times New Roman" w:hAnsiTheme="minorHAnsi" w:cstheme="minorHAnsi"/>
              </w:rPr>
            </w:pPr>
            <w:r w:rsidRPr="00795F17">
              <w:t>11</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F765C0E" w14:textId="046AEDCE"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AB65AF4" w14:textId="54B87144" w:rsidR="00503904" w:rsidRPr="00795F17" w:rsidRDefault="00503904" w:rsidP="00AC6CDD">
            <w:pPr>
              <w:pStyle w:val="Teksttabelisrodek"/>
              <w:rPr>
                <w:rFonts w:asciiTheme="minorHAnsi" w:eastAsia="Times New Roman" w:hAnsiTheme="minorHAnsi" w:cstheme="minorHAnsi"/>
              </w:rPr>
            </w:pPr>
            <w:r w:rsidRPr="00795F17">
              <w:t>83</w:t>
            </w:r>
          </w:p>
        </w:tc>
        <w:tc>
          <w:tcPr>
            <w:tcW w:w="26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0CC229F" w14:textId="5E427545" w:rsidR="00503904" w:rsidRPr="00795F17" w:rsidRDefault="00503904" w:rsidP="00AC6CDD">
            <w:pPr>
              <w:pStyle w:val="Teksttabelisrodek"/>
              <w:rPr>
                <w:rFonts w:eastAsia="Times New Roman"/>
              </w:rPr>
            </w:pPr>
            <w:r w:rsidRPr="00795F17">
              <w:t>615</w:t>
            </w:r>
          </w:p>
        </w:tc>
      </w:tr>
      <w:tr w:rsidR="00503904" w:rsidRPr="00795F17" w14:paraId="06397A11" w14:textId="77777777" w:rsidTr="00241AFA">
        <w:trPr>
          <w:trHeight w:val="454"/>
        </w:trPr>
        <w:tc>
          <w:tcPr>
            <w:tcW w:w="77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070A37C" w14:textId="5C40A66A" w:rsidR="00503904" w:rsidRPr="00795F17" w:rsidRDefault="0084311B" w:rsidP="00EB3A95">
            <w:pPr>
              <w:pStyle w:val="Teksttabelilewy"/>
              <w:ind w:left="57"/>
              <w:rPr>
                <w:rFonts w:asciiTheme="minorHAnsi" w:eastAsia="Times New Roman" w:hAnsiTheme="minorHAnsi" w:cstheme="minorHAnsi"/>
              </w:rPr>
            </w:pPr>
            <w:r>
              <w:t>R</w:t>
            </w:r>
            <w:r w:rsidR="00503904" w:rsidRPr="00795F17">
              <w:t>egion wodny Środkowej Odry</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C3C92A1" w14:textId="2E7BE015" w:rsidR="00503904" w:rsidRPr="00795F17" w:rsidRDefault="00503904" w:rsidP="00AC6CDD">
            <w:pPr>
              <w:pStyle w:val="Teksttabelisrodek"/>
              <w:rPr>
                <w:rFonts w:asciiTheme="minorHAnsi" w:eastAsia="Times New Roman" w:hAnsiTheme="minorHAnsi" w:cstheme="minorHAnsi"/>
              </w:rPr>
            </w:pPr>
            <w:r w:rsidRPr="00795F17">
              <w:t>2</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AD20860" w14:textId="5D4E07FB" w:rsidR="00503904" w:rsidRPr="00795F17" w:rsidRDefault="00503904" w:rsidP="00AC6CDD">
            <w:pPr>
              <w:pStyle w:val="Teksttabelisrodek"/>
              <w:rPr>
                <w:rFonts w:asciiTheme="minorHAnsi" w:eastAsia="Times New Roman" w:hAnsiTheme="minorHAnsi" w:cstheme="minorHAnsi"/>
              </w:rPr>
            </w:pPr>
            <w:r w:rsidRPr="00795F17">
              <w:t>998</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6981533" w14:textId="33C0D749" w:rsidR="00503904" w:rsidRPr="00795F17" w:rsidRDefault="00503904" w:rsidP="00AC6CDD">
            <w:pPr>
              <w:pStyle w:val="Teksttabelisrodek"/>
              <w:rPr>
                <w:rFonts w:asciiTheme="minorHAnsi" w:eastAsia="Times New Roman" w:hAnsiTheme="minorHAnsi" w:cstheme="minorHAnsi"/>
              </w:rPr>
            </w:pPr>
            <w:r w:rsidRPr="00795F17">
              <w:t>1256</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3724CEC" w14:textId="642114A1" w:rsidR="00503904" w:rsidRPr="00795F17" w:rsidRDefault="00503904" w:rsidP="00AC6CDD">
            <w:pPr>
              <w:pStyle w:val="Teksttabelisrodek"/>
              <w:rPr>
                <w:rFonts w:asciiTheme="minorHAnsi" w:eastAsia="Times New Roman" w:hAnsiTheme="minorHAnsi" w:cstheme="minorHAnsi"/>
              </w:rPr>
            </w:pPr>
            <w:r w:rsidRPr="00795F17">
              <w:t>256</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2FDDC45" w14:textId="6AD3E903" w:rsidR="00503904" w:rsidRPr="00795F17" w:rsidRDefault="00503904" w:rsidP="00AC6CDD">
            <w:pPr>
              <w:pStyle w:val="Teksttabelisrodek"/>
              <w:rPr>
                <w:rFonts w:asciiTheme="minorHAnsi" w:eastAsia="Times New Roman" w:hAnsiTheme="minorHAnsi" w:cstheme="minorHAnsi"/>
              </w:rPr>
            </w:pPr>
            <w:r w:rsidRPr="00795F17">
              <w:t>4</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FF7F113" w14:textId="16AD9B6E" w:rsidR="00503904" w:rsidRPr="00795F17" w:rsidRDefault="00503904" w:rsidP="00AC6CDD">
            <w:pPr>
              <w:pStyle w:val="Teksttabelisrodek"/>
              <w:rPr>
                <w:rFonts w:asciiTheme="minorHAnsi" w:eastAsia="Times New Roman" w:hAnsiTheme="minorHAnsi" w:cstheme="minorHAnsi"/>
              </w:rPr>
            </w:pPr>
            <w:r w:rsidRPr="00795F17">
              <w:t>1</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5E82D9C" w14:textId="694136EB" w:rsidR="00503904" w:rsidRPr="00795F17" w:rsidRDefault="00503904" w:rsidP="00AC6CDD">
            <w:pPr>
              <w:pStyle w:val="Teksttabelisrodek"/>
              <w:rPr>
                <w:rFonts w:asciiTheme="minorHAnsi" w:eastAsia="Times New Roman" w:hAnsiTheme="minorHAnsi" w:cstheme="minorHAnsi"/>
              </w:rPr>
            </w:pPr>
            <w:r w:rsidRPr="00795F17">
              <w:t>5</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72A8CFE" w14:textId="31FA1297" w:rsidR="00503904" w:rsidRPr="00795F17" w:rsidRDefault="00503904" w:rsidP="00AC6CDD">
            <w:pPr>
              <w:pStyle w:val="Teksttabelisrodek"/>
              <w:rPr>
                <w:rFonts w:asciiTheme="minorHAnsi" w:eastAsia="Times New Roman" w:hAnsiTheme="minorHAnsi" w:cstheme="minorHAnsi"/>
              </w:rPr>
            </w:pPr>
            <w:r w:rsidRPr="00795F17">
              <w:t>2</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6FC583" w14:textId="056456DE" w:rsidR="00503904" w:rsidRPr="00795F17" w:rsidRDefault="00503904" w:rsidP="00AC6CDD">
            <w:pPr>
              <w:pStyle w:val="Teksttabelisrodek"/>
              <w:rPr>
                <w:rFonts w:asciiTheme="minorHAnsi" w:eastAsia="Times New Roman" w:hAnsiTheme="minorHAnsi" w:cstheme="minorHAnsi"/>
              </w:rPr>
            </w:pPr>
            <w:r w:rsidRPr="00795F17">
              <w:t>256</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8F9193E" w14:textId="45676BFB" w:rsidR="00503904" w:rsidRPr="00795F17" w:rsidRDefault="00503904" w:rsidP="00AC6CDD">
            <w:pPr>
              <w:pStyle w:val="Teksttabelisrodek"/>
              <w:rPr>
                <w:rFonts w:asciiTheme="minorHAnsi" w:eastAsia="Times New Roman" w:hAnsiTheme="minorHAnsi" w:cstheme="minorHAnsi"/>
              </w:rPr>
            </w:pPr>
            <w:r w:rsidRPr="00795F17">
              <w:t>282</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74A3385" w14:textId="265EBFF1" w:rsidR="00503904" w:rsidRPr="00795F17" w:rsidRDefault="00503904" w:rsidP="00AC6CDD">
            <w:pPr>
              <w:pStyle w:val="Teksttabelisrodek"/>
              <w:rPr>
                <w:rFonts w:asciiTheme="minorHAnsi" w:eastAsia="Times New Roman" w:hAnsiTheme="minorHAnsi" w:cstheme="minorHAnsi"/>
              </w:rPr>
            </w:pPr>
            <w:r w:rsidRPr="00795F17">
              <w:t>1</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4A7408C" w14:textId="515329E7" w:rsidR="00503904" w:rsidRPr="00795F17" w:rsidRDefault="00503904" w:rsidP="00AC6CDD">
            <w:pPr>
              <w:pStyle w:val="Teksttabelisrodek"/>
              <w:rPr>
                <w:rFonts w:asciiTheme="minorHAnsi" w:eastAsia="Times New Roman" w:hAnsiTheme="minorHAnsi" w:cstheme="minorHAnsi"/>
              </w:rPr>
            </w:pPr>
            <w:r w:rsidRPr="00795F17">
              <w:t>13</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F63FC6B" w14:textId="5C719DDB" w:rsidR="00503904" w:rsidRPr="00795F17" w:rsidRDefault="00503904" w:rsidP="00AC6CDD">
            <w:pPr>
              <w:pStyle w:val="Teksttabelisrodek"/>
              <w:rPr>
                <w:rFonts w:asciiTheme="minorHAnsi" w:eastAsia="Times New Roman" w:hAnsiTheme="minorHAnsi" w:cstheme="minorHAnsi"/>
              </w:rPr>
            </w:pPr>
            <w:r w:rsidRPr="00795F17">
              <w:t>32</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9D79299" w14:textId="7D4969C0"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E1FEFFF" w14:textId="61339886" w:rsidR="00503904" w:rsidRPr="00795F17" w:rsidRDefault="00503904" w:rsidP="00AC6CDD">
            <w:pPr>
              <w:pStyle w:val="Teksttabelisrodek"/>
              <w:rPr>
                <w:rFonts w:asciiTheme="minorHAnsi" w:eastAsia="Times New Roman" w:hAnsiTheme="minorHAnsi" w:cstheme="minorHAnsi"/>
              </w:rPr>
            </w:pPr>
            <w:r w:rsidRPr="00795F17">
              <w:t>784</w:t>
            </w:r>
          </w:p>
        </w:tc>
        <w:tc>
          <w:tcPr>
            <w:tcW w:w="26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A46B923" w14:textId="5DFDB598" w:rsidR="00503904" w:rsidRPr="00795F17" w:rsidRDefault="00503904" w:rsidP="00AC6CDD">
            <w:pPr>
              <w:pStyle w:val="Teksttabelisrodek"/>
              <w:rPr>
                <w:rFonts w:eastAsia="Times New Roman"/>
              </w:rPr>
            </w:pPr>
            <w:r w:rsidRPr="00795F17">
              <w:t>3</w:t>
            </w:r>
            <w:r w:rsidR="00B53F7C" w:rsidRPr="00795F17">
              <w:t xml:space="preserve"> </w:t>
            </w:r>
            <w:r w:rsidRPr="00795F17">
              <w:t>892</w:t>
            </w:r>
          </w:p>
        </w:tc>
      </w:tr>
      <w:tr w:rsidR="00503904" w:rsidRPr="00795F17" w14:paraId="419CC569" w14:textId="77777777" w:rsidTr="00241AFA">
        <w:trPr>
          <w:trHeight w:val="454"/>
        </w:trPr>
        <w:tc>
          <w:tcPr>
            <w:tcW w:w="77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60C8583" w14:textId="3FF8B982" w:rsidR="00503904" w:rsidRPr="00795F17" w:rsidRDefault="0084311B" w:rsidP="00EB3A95">
            <w:pPr>
              <w:pStyle w:val="Teksttabelilewy"/>
              <w:ind w:left="57"/>
              <w:rPr>
                <w:rFonts w:asciiTheme="minorHAnsi" w:eastAsia="Times New Roman" w:hAnsiTheme="minorHAnsi" w:cstheme="minorHAnsi"/>
              </w:rPr>
            </w:pPr>
            <w:r>
              <w:t>R</w:t>
            </w:r>
            <w:r w:rsidR="00503904" w:rsidRPr="00795F17">
              <w:t>egion wodny Warty</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96ADA4B" w14:textId="108B55C3" w:rsidR="00503904" w:rsidRPr="00795F17" w:rsidRDefault="00503904" w:rsidP="00AC6CDD">
            <w:pPr>
              <w:pStyle w:val="Teksttabelisrodek"/>
              <w:rPr>
                <w:rFonts w:asciiTheme="minorHAnsi" w:eastAsia="Times New Roman" w:hAnsiTheme="minorHAnsi" w:cstheme="minorHAnsi"/>
              </w:rPr>
            </w:pPr>
            <w:r w:rsidRPr="00795F17">
              <w:t>2</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34531B5" w14:textId="0C08C63E" w:rsidR="00503904" w:rsidRPr="00795F17" w:rsidRDefault="00503904" w:rsidP="00AC6CDD">
            <w:pPr>
              <w:pStyle w:val="Teksttabelisrodek"/>
              <w:rPr>
                <w:rFonts w:asciiTheme="minorHAnsi" w:eastAsia="Times New Roman" w:hAnsiTheme="minorHAnsi" w:cstheme="minorHAnsi"/>
              </w:rPr>
            </w:pPr>
            <w:r w:rsidRPr="00795F17">
              <w:t>1</w:t>
            </w:r>
            <w:r w:rsidR="00B53F7C" w:rsidRPr="00795F17">
              <w:t xml:space="preserve"> </w:t>
            </w:r>
            <w:r w:rsidRPr="00795F17">
              <w:t>018</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090CB03" w14:textId="62294D98" w:rsidR="00503904" w:rsidRPr="00795F17" w:rsidRDefault="00503904" w:rsidP="00AC6CDD">
            <w:pPr>
              <w:pStyle w:val="Teksttabelisrodek"/>
              <w:rPr>
                <w:rFonts w:asciiTheme="minorHAnsi" w:eastAsia="Times New Roman" w:hAnsiTheme="minorHAnsi" w:cstheme="minorHAnsi"/>
              </w:rPr>
            </w:pPr>
            <w:r w:rsidRPr="00795F17">
              <w:t>500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DC91F42" w14:textId="4435A2BC" w:rsidR="00503904" w:rsidRPr="00795F17" w:rsidRDefault="00503904" w:rsidP="00AC6CDD">
            <w:pPr>
              <w:pStyle w:val="Teksttabelisrodek"/>
              <w:rPr>
                <w:rFonts w:asciiTheme="minorHAnsi" w:eastAsia="Times New Roman" w:hAnsiTheme="minorHAnsi" w:cstheme="minorHAnsi"/>
              </w:rPr>
            </w:pPr>
            <w:r w:rsidRPr="00795F17">
              <w:t>23</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7C119D8" w14:textId="12A7E681" w:rsidR="00503904" w:rsidRPr="00795F17" w:rsidRDefault="00503904" w:rsidP="00AC6CDD">
            <w:pPr>
              <w:pStyle w:val="Teksttabelisrodek"/>
              <w:rPr>
                <w:rFonts w:asciiTheme="minorHAnsi" w:eastAsia="Times New Roman" w:hAnsiTheme="minorHAnsi" w:cstheme="minorHAnsi"/>
              </w:rPr>
            </w:pPr>
            <w:r w:rsidRPr="00795F17">
              <w:t>4</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609387B" w14:textId="6FC41AE9"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AC88554" w14:textId="51494432"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AF954D" w14:textId="3EA4DB6D" w:rsidR="00503904" w:rsidRPr="00795F17" w:rsidRDefault="00503904" w:rsidP="00AC6CDD">
            <w:pPr>
              <w:pStyle w:val="Teksttabelisrodek"/>
              <w:rPr>
                <w:rFonts w:asciiTheme="minorHAnsi" w:eastAsia="Times New Roman" w:hAnsiTheme="minorHAnsi" w:cstheme="minorHAnsi"/>
              </w:rPr>
            </w:pPr>
            <w:r w:rsidRPr="00795F17">
              <w:t>1</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FFF5DC5" w14:textId="147FF879" w:rsidR="00503904" w:rsidRPr="00795F17" w:rsidRDefault="00503904" w:rsidP="00AC6CDD">
            <w:pPr>
              <w:pStyle w:val="Teksttabelisrodek"/>
              <w:rPr>
                <w:rFonts w:asciiTheme="minorHAnsi" w:eastAsia="Times New Roman" w:hAnsiTheme="minorHAnsi" w:cstheme="minorHAnsi"/>
              </w:rPr>
            </w:pPr>
            <w:r w:rsidRPr="00795F17">
              <w:t>23</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2BD549E" w14:textId="26019029" w:rsidR="00503904" w:rsidRPr="00795F17" w:rsidRDefault="00503904" w:rsidP="00AC6CDD">
            <w:pPr>
              <w:pStyle w:val="Teksttabelisrodek"/>
              <w:rPr>
                <w:rFonts w:asciiTheme="minorHAnsi" w:eastAsia="Times New Roman" w:hAnsiTheme="minorHAnsi" w:cstheme="minorHAnsi"/>
              </w:rPr>
            </w:pPr>
            <w:r w:rsidRPr="00795F17">
              <w:t>69</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463E33A" w14:textId="1AC3787D"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710F9E4" w14:textId="412A90E7" w:rsidR="00503904" w:rsidRPr="00795F17" w:rsidRDefault="00503904" w:rsidP="00AC6CDD">
            <w:pPr>
              <w:pStyle w:val="Teksttabelisrodek"/>
              <w:rPr>
                <w:rFonts w:asciiTheme="minorHAnsi" w:eastAsia="Times New Roman" w:hAnsiTheme="minorHAnsi" w:cstheme="minorHAnsi"/>
              </w:rPr>
            </w:pPr>
            <w:r w:rsidRPr="00795F17">
              <w:t>5</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14F9E28" w14:textId="0E378A5E" w:rsidR="00503904" w:rsidRPr="00795F17" w:rsidRDefault="00503904" w:rsidP="00AC6CDD">
            <w:pPr>
              <w:pStyle w:val="Teksttabelisrodek"/>
              <w:rPr>
                <w:rFonts w:asciiTheme="minorHAnsi" w:eastAsia="Times New Roman" w:hAnsiTheme="minorHAnsi" w:cstheme="minorHAnsi"/>
              </w:rPr>
            </w:pPr>
            <w:r w:rsidRPr="00795F17">
              <w:t>49</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7347F6" w14:textId="57F2162C"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F9C83A1" w14:textId="450C0725" w:rsidR="00503904" w:rsidRPr="00795F17" w:rsidRDefault="00503904" w:rsidP="00AC6CDD">
            <w:pPr>
              <w:pStyle w:val="Teksttabelisrodek"/>
              <w:rPr>
                <w:rFonts w:asciiTheme="minorHAnsi" w:eastAsia="Times New Roman" w:hAnsiTheme="minorHAnsi" w:cstheme="minorHAnsi"/>
              </w:rPr>
            </w:pPr>
            <w:r w:rsidRPr="00795F17">
              <w:t>229</w:t>
            </w:r>
          </w:p>
        </w:tc>
        <w:tc>
          <w:tcPr>
            <w:tcW w:w="26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2729A78" w14:textId="1AFFAF88" w:rsidR="00503904" w:rsidRPr="00795F17" w:rsidRDefault="00503904" w:rsidP="00AC6CDD">
            <w:pPr>
              <w:pStyle w:val="Teksttabelisrodek"/>
              <w:rPr>
                <w:rFonts w:eastAsia="Times New Roman"/>
              </w:rPr>
            </w:pPr>
            <w:r w:rsidRPr="00795F17">
              <w:t>1</w:t>
            </w:r>
            <w:r w:rsidR="00B53F7C" w:rsidRPr="00795F17">
              <w:t xml:space="preserve"> </w:t>
            </w:r>
            <w:r w:rsidRPr="00795F17">
              <w:t>923</w:t>
            </w:r>
          </w:p>
        </w:tc>
      </w:tr>
    </w:tbl>
    <w:p w14:paraId="457518D1" w14:textId="78AA0ABA" w:rsidR="005E5391" w:rsidRPr="00795F17" w:rsidRDefault="005E5391" w:rsidP="0044393D">
      <w:pPr>
        <w:pStyle w:val="rdo"/>
      </w:pPr>
      <w:r w:rsidRPr="00795F17">
        <w:t xml:space="preserve">Źródło: opracowanie własne na podstawie danych bazy Identyfikacji </w:t>
      </w:r>
      <w:r w:rsidR="007860FF">
        <w:t>p</w:t>
      </w:r>
      <w:r w:rsidRPr="00795F17">
        <w:t>resji</w:t>
      </w:r>
    </w:p>
    <w:p w14:paraId="3845D5C1" w14:textId="77777777" w:rsidR="005E5391" w:rsidRPr="00795F17" w:rsidRDefault="005E5391" w:rsidP="0044393D"/>
    <w:p w14:paraId="6A26200F" w14:textId="77777777" w:rsidR="005E5391" w:rsidRPr="00795F17" w:rsidRDefault="005E5391" w:rsidP="0044393D">
      <w:pPr>
        <w:sectPr w:rsidR="005E5391" w:rsidRPr="00795F17" w:rsidSect="004E38B4">
          <w:pgSz w:w="16838" w:h="11906" w:orient="landscape"/>
          <w:pgMar w:top="1417" w:right="1417" w:bottom="1417" w:left="1417" w:header="708" w:footer="708" w:gutter="0"/>
          <w:cols w:space="708"/>
          <w:docGrid w:linePitch="299"/>
        </w:sectPr>
      </w:pPr>
    </w:p>
    <w:p w14:paraId="53A8BC36" w14:textId="61634C12" w:rsidR="005E5391" w:rsidRPr="00795F17" w:rsidRDefault="005E5391" w:rsidP="0044393D">
      <w:r w:rsidRPr="00795F17">
        <w:t>Największy udział wśród pozwoleń obowiązujących w okresie 2022</w:t>
      </w:r>
      <w:r w:rsidR="008A38E4">
        <w:t>–</w:t>
      </w:r>
      <w:r w:rsidRPr="00795F17">
        <w:t>2027 mają pozwolenia wodnoprawne dotyczące poboru wód podziemnych</w:t>
      </w:r>
      <w:r w:rsidR="00051C33" w:rsidRPr="00795F17">
        <w:t xml:space="preserve"> i wód powierzchniowych</w:t>
      </w:r>
      <w:r w:rsidRPr="00795F17">
        <w:t xml:space="preserve">, stanowiąc </w:t>
      </w:r>
      <w:r w:rsidR="00666AFB" w:rsidRPr="00795F17">
        <w:t>60</w:t>
      </w:r>
      <w:r w:rsidRPr="00795F17">
        <w:t xml:space="preserve">% ogólnej liczby pozwoleń obowiązujących w okresie obowiązywania IIaPGW. </w:t>
      </w:r>
      <w:r w:rsidR="00A2115A" w:rsidRPr="00795F17">
        <w:t>Pozwolenia wodnoprawne w</w:t>
      </w:r>
      <w:r w:rsidR="00CF74A6">
        <w:t> </w:t>
      </w:r>
      <w:r w:rsidR="00A2115A" w:rsidRPr="00795F17">
        <w:t>zakresie odwodnień</w:t>
      </w:r>
      <w:r w:rsidR="00952BFA">
        <w:t xml:space="preserve"> budowlanych</w:t>
      </w:r>
      <w:r w:rsidR="00A2115A" w:rsidRPr="00795F17">
        <w:t xml:space="preserve"> stanowią 8% wszystkich wydanych pozwoleń </w:t>
      </w:r>
      <w:r w:rsidR="00CE552B" w:rsidRPr="00795F17">
        <w:t>do</w:t>
      </w:r>
      <w:r w:rsidR="00D11892" w:rsidRPr="00795F17">
        <w:t> </w:t>
      </w:r>
      <w:r w:rsidR="00CE552B" w:rsidRPr="00795F17">
        <w:t>2018</w:t>
      </w:r>
      <w:r w:rsidR="00346F7A">
        <w:t> </w:t>
      </w:r>
      <w:r w:rsidR="00CE552B" w:rsidRPr="00795F17">
        <w:t xml:space="preserve">r., </w:t>
      </w:r>
      <w:r w:rsidRPr="00795F17">
        <w:t xml:space="preserve">pozostałe </w:t>
      </w:r>
      <w:r w:rsidR="00CE552B" w:rsidRPr="00795F17">
        <w:t>32</w:t>
      </w:r>
      <w:r w:rsidRPr="00795F17">
        <w:t>% tworzą łącznie inne rodzaje pozwoleń wskazane w tabeli powyżej oraz na</w:t>
      </w:r>
      <w:r w:rsidR="00D11892" w:rsidRPr="00795F17">
        <w:t> </w:t>
      </w:r>
      <w:r w:rsidRPr="00795F17">
        <w:t>poniższym wykresie</w:t>
      </w:r>
      <w:r w:rsidR="00CE552B" w:rsidRPr="00795F17">
        <w:t xml:space="preserve"> (prawa część wykresu)</w:t>
      </w:r>
      <w:r w:rsidRPr="00795F17">
        <w:t>.</w:t>
      </w:r>
    </w:p>
    <w:p w14:paraId="0B493884" w14:textId="0D5E8897" w:rsidR="005E5391" w:rsidRPr="00795F17" w:rsidRDefault="00051C33" w:rsidP="005842B5">
      <w:r w:rsidRPr="00795F17">
        <w:rPr>
          <w:noProof/>
          <w:lang w:eastAsia="pl-PL"/>
        </w:rPr>
        <w:drawing>
          <wp:inline distT="0" distB="0" distL="0" distR="0" wp14:anchorId="1C1CFF54" wp14:editId="187AF5A6">
            <wp:extent cx="6278880" cy="4922520"/>
            <wp:effectExtent l="0" t="0" r="7620" b="11430"/>
            <wp:docPr id="861924056" name="Wykres 861924056">
              <a:extLst xmlns:a="http://schemas.openxmlformats.org/drawingml/2006/main">
                <a:ext uri="{FF2B5EF4-FFF2-40B4-BE49-F238E27FC236}">
                  <a16:creationId xmlns:a16="http://schemas.microsoft.com/office/drawing/2014/main" id="{EFB65C7F-6148-408D-A130-C7C778CDD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1309CBB7" w14:textId="17445A42" w:rsidR="005E5391" w:rsidRPr="00795F17" w:rsidRDefault="005E5391" w:rsidP="00B479EE">
      <w:pPr>
        <w:pStyle w:val="Wykres"/>
      </w:pPr>
      <w:bookmarkStart w:id="844" w:name="_Toc66288223"/>
      <w:bookmarkStart w:id="845" w:name="_Toc105513040"/>
      <w:r w:rsidRPr="00795F17">
        <w:t xml:space="preserve">Wykres </w:t>
      </w:r>
      <w:fldSimple w:instr=" STYLEREF 1 \s ">
        <w:r w:rsidR="001F774D">
          <w:rPr>
            <w:noProof/>
          </w:rPr>
          <w:t>13</w:t>
        </w:r>
      </w:fldSimple>
      <w:r w:rsidR="00FF20D3">
        <w:noBreakHyphen/>
      </w:r>
      <w:fldSimple w:instr=" SEQ Wykres \* ARABIC \s 1 ">
        <w:r w:rsidR="001F774D">
          <w:rPr>
            <w:noProof/>
          </w:rPr>
          <w:t>3</w:t>
        </w:r>
      </w:fldSimple>
      <w:r w:rsidR="002B6022">
        <w:rPr>
          <w:noProof/>
        </w:rPr>
        <w:t>.</w:t>
      </w:r>
      <w:r w:rsidRPr="00795F17">
        <w:tab/>
      </w:r>
      <w:r w:rsidR="006D0DCA" w:rsidRPr="00795F17">
        <w:t>U</w:t>
      </w:r>
      <w:r w:rsidRPr="00795F17">
        <w:t>dział poszczególnych typów pozwoleń wodnoprawnych w ogólnej liczbie pozwoleń obowiązujących w okresie 2022</w:t>
      </w:r>
      <w:r w:rsidR="008A38E4">
        <w:t>–</w:t>
      </w:r>
      <w:r w:rsidRPr="00795F17">
        <w:t xml:space="preserve">2027 na obszarze dorzecza </w:t>
      </w:r>
      <w:bookmarkEnd w:id="844"/>
      <w:r w:rsidR="00CE552B" w:rsidRPr="00795F17">
        <w:t>Odry</w:t>
      </w:r>
      <w:bookmarkEnd w:id="845"/>
    </w:p>
    <w:p w14:paraId="79D8E1F3" w14:textId="3DE686F9" w:rsidR="005E5391" w:rsidRPr="00795F17" w:rsidRDefault="005E5391" w:rsidP="0044393D">
      <w:pPr>
        <w:pStyle w:val="rdo"/>
      </w:pPr>
      <w:r w:rsidRPr="00795F17">
        <w:t xml:space="preserve">Źródło: </w:t>
      </w:r>
      <w:r w:rsidR="00FD7248" w:rsidRPr="00795F17">
        <w:t>opracowanie własne</w:t>
      </w:r>
      <w:r w:rsidRPr="00795F17">
        <w:t xml:space="preserve"> na podstawie danych z systemu informacyjnego gospodarowania wodami </w:t>
      </w:r>
      <w:r w:rsidR="0028234C" w:rsidRPr="00795F17">
        <w:t>PGW WP</w:t>
      </w:r>
    </w:p>
    <w:p w14:paraId="10612982" w14:textId="17C8E828" w:rsidR="005E5391" w:rsidRPr="00795F17" w:rsidRDefault="005E5391" w:rsidP="0044393D">
      <w:r w:rsidRPr="00795F17">
        <w:t xml:space="preserve">Dodatkową pulę pozwoleń obowiązujących w </w:t>
      </w:r>
      <w:r w:rsidR="009F56FA">
        <w:t>latach</w:t>
      </w:r>
      <w:r w:rsidR="009F56FA" w:rsidRPr="00795F17">
        <w:t xml:space="preserve"> </w:t>
      </w:r>
      <w:r w:rsidRPr="00795F17">
        <w:t>2022</w:t>
      </w:r>
      <w:r w:rsidR="008A38E4">
        <w:t>–</w:t>
      </w:r>
      <w:r w:rsidRPr="00795F17">
        <w:t>2027 stanowią pozwolenia wodnoprawne udzielone w okresie 2018</w:t>
      </w:r>
      <w:r w:rsidR="008A38E4">
        <w:t>–</w:t>
      </w:r>
      <w:r w:rsidRPr="00795F17">
        <w:t xml:space="preserve">2019. Poniżej zaprezentowane zostały zestawienia udzielonych pozwoleń wodnoprawnych dla poszczególnych obszarów administracyjnych </w:t>
      </w:r>
      <w:r w:rsidR="00A57CC1">
        <w:t>na</w:t>
      </w:r>
      <w:r w:rsidRPr="00795F17">
        <w:t xml:space="preserve"> obszarze dorzecza </w:t>
      </w:r>
      <w:r w:rsidR="00CE552B" w:rsidRPr="00795F17">
        <w:t>Odry</w:t>
      </w:r>
      <w:r w:rsidRPr="00795F17">
        <w:t xml:space="preserve">, przygotowane na podstawie danych z systemu informacyjnego gospodarowania wodami </w:t>
      </w:r>
      <w:r w:rsidR="0028234C" w:rsidRPr="00795F17">
        <w:t>PGW WP</w:t>
      </w:r>
      <w:r w:rsidRPr="00795F17">
        <w:t xml:space="preserve">. </w:t>
      </w:r>
    </w:p>
    <w:p w14:paraId="7A820803" w14:textId="117F04BA" w:rsidR="005E5391" w:rsidRPr="00795F17" w:rsidRDefault="005E5391" w:rsidP="0044393D">
      <w:r w:rsidRPr="00795F17">
        <w:t xml:space="preserve">Zdecydowaną większość pozwoleń udzielonych w </w:t>
      </w:r>
      <w:r w:rsidR="009F56FA">
        <w:t>latach</w:t>
      </w:r>
      <w:r w:rsidR="009F56FA" w:rsidRPr="00795F17">
        <w:t xml:space="preserve"> </w:t>
      </w:r>
      <w:r w:rsidRPr="00795F17">
        <w:t>2018</w:t>
      </w:r>
      <w:r w:rsidR="008A38E4">
        <w:t>–</w:t>
      </w:r>
      <w:r w:rsidRPr="00795F17">
        <w:t xml:space="preserve">2019 </w:t>
      </w:r>
      <w:r w:rsidR="008A072E">
        <w:t>na</w:t>
      </w:r>
      <w:r w:rsidRPr="00795F17" w:rsidDel="008A072E">
        <w:t xml:space="preserve"> </w:t>
      </w:r>
      <w:r w:rsidRPr="00795F17">
        <w:t xml:space="preserve">obszarze dorzecza </w:t>
      </w:r>
      <w:r w:rsidR="00CE552B" w:rsidRPr="00795F17">
        <w:t>Odry</w:t>
      </w:r>
      <w:r w:rsidRPr="00795F17">
        <w:t xml:space="preserve"> stanowią pozwolenia w zakresie zrzutu ścieków do wód obejmując </w:t>
      </w:r>
      <w:r w:rsidR="00E01FE2" w:rsidRPr="00795F17">
        <w:t>75</w:t>
      </w:r>
      <w:r w:rsidRPr="00795F17">
        <w:t>% wszystkich wydanych pozwoleń</w:t>
      </w:r>
      <w:r w:rsidR="00740EF8">
        <w:t xml:space="preserve"> (wykres 13-4)</w:t>
      </w:r>
      <w:r w:rsidRPr="00795F17">
        <w:t>.</w:t>
      </w:r>
    </w:p>
    <w:p w14:paraId="697A463C" w14:textId="2FABF1A2" w:rsidR="005E5391" w:rsidRPr="00795F17" w:rsidRDefault="00E01FE2" w:rsidP="00B11299">
      <w:pPr>
        <w:jc w:val="center"/>
      </w:pPr>
      <w:r w:rsidRPr="00795F17">
        <w:rPr>
          <w:noProof/>
          <w:lang w:eastAsia="pl-PL"/>
        </w:rPr>
        <w:drawing>
          <wp:inline distT="0" distB="0" distL="0" distR="0" wp14:anchorId="20592DBF" wp14:editId="1DCAAA7E">
            <wp:extent cx="4320000" cy="2520000"/>
            <wp:effectExtent l="0" t="0" r="4445" b="13970"/>
            <wp:docPr id="861924057" name="Wykres 861924057">
              <a:extLst xmlns:a="http://schemas.openxmlformats.org/drawingml/2006/main">
                <a:ext uri="{FF2B5EF4-FFF2-40B4-BE49-F238E27FC236}">
                  <a16:creationId xmlns:a16="http://schemas.microsoft.com/office/drawing/2014/main" id="{A38F8763-C9B7-49F4-9F43-8B892AC6F94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12E56269" w14:textId="42BE50D3" w:rsidR="005E5391" w:rsidRPr="00795F17" w:rsidRDefault="005E5391" w:rsidP="00B479EE">
      <w:pPr>
        <w:pStyle w:val="Wykres"/>
      </w:pPr>
      <w:bookmarkStart w:id="846" w:name="_Toc66288224"/>
      <w:bookmarkStart w:id="847" w:name="_Toc105513041"/>
      <w:r w:rsidRPr="00795F17">
        <w:t xml:space="preserve">Wykres </w:t>
      </w:r>
      <w:fldSimple w:instr=" STYLEREF 1 \s ">
        <w:r w:rsidR="001F774D">
          <w:rPr>
            <w:noProof/>
          </w:rPr>
          <w:t>13</w:t>
        </w:r>
      </w:fldSimple>
      <w:r w:rsidR="00FF20D3">
        <w:noBreakHyphen/>
      </w:r>
      <w:fldSimple w:instr=" SEQ Wykres \* ARABIC \s 1 ">
        <w:r w:rsidR="001F774D">
          <w:rPr>
            <w:noProof/>
          </w:rPr>
          <w:t>4</w:t>
        </w:r>
      </w:fldSimple>
      <w:r w:rsidR="000B5450">
        <w:rPr>
          <w:noProof/>
        </w:rPr>
        <w:t>.</w:t>
      </w:r>
      <w:r w:rsidRPr="00795F17">
        <w:tab/>
      </w:r>
      <w:r w:rsidR="006D0DCA" w:rsidRPr="00795F17">
        <w:t>U</w:t>
      </w:r>
      <w:r w:rsidRPr="00795F17">
        <w:t xml:space="preserve">dział poszczególnych rodzajów </w:t>
      </w:r>
      <w:r w:rsidR="008A072E" w:rsidRPr="00795F17">
        <w:t xml:space="preserve">pozwoleń wodnoprawnych </w:t>
      </w:r>
      <w:r w:rsidRPr="00795F17">
        <w:t>udzielonych w okresie 2018</w:t>
      </w:r>
      <w:r w:rsidR="008A38E4">
        <w:t>–</w:t>
      </w:r>
      <w:r w:rsidR="00CD1584">
        <w:t> </w:t>
      </w:r>
      <w:r w:rsidRPr="00795F17">
        <w:t xml:space="preserve">2019 na obszarze dorzecza </w:t>
      </w:r>
      <w:bookmarkEnd w:id="846"/>
      <w:r w:rsidR="00E01FE2" w:rsidRPr="00795F17">
        <w:t>Odry</w:t>
      </w:r>
      <w:bookmarkEnd w:id="847"/>
    </w:p>
    <w:p w14:paraId="04FD1E3B" w14:textId="4FD4DCCB" w:rsidR="005E5391" w:rsidRPr="00795F17" w:rsidRDefault="005E5391" w:rsidP="0044393D">
      <w:pPr>
        <w:pStyle w:val="rdo"/>
      </w:pPr>
      <w:r w:rsidRPr="00795F17">
        <w:t xml:space="preserve">Źródło: </w:t>
      </w:r>
      <w:r w:rsidR="00FD7248" w:rsidRPr="00795F17">
        <w:t>opracowanie własne</w:t>
      </w:r>
      <w:r w:rsidRPr="00795F17">
        <w:t xml:space="preserve"> na podstawie danych z systemu informacyjnego gospodarowania wodami </w:t>
      </w:r>
      <w:r w:rsidR="0028234C" w:rsidRPr="00795F17">
        <w:t>PGW WP</w:t>
      </w:r>
    </w:p>
    <w:p w14:paraId="7D7D66DE" w14:textId="326A94EE" w:rsidR="005E5391" w:rsidRPr="00795F17" w:rsidRDefault="005E5391" w:rsidP="0044393D">
      <w:r w:rsidRPr="00795F17">
        <w:t>Proporcja udziału rodzajów udzielonych pozwoleń w okresie 2018</w:t>
      </w:r>
      <w:r w:rsidR="008A38E4">
        <w:t>–</w:t>
      </w:r>
      <w:r w:rsidRPr="00795F17">
        <w:t>2019 wskazana dla obszaru dorzecza jako całości, rozkłada się w podobny sposób w poszczególnych RZGW WP. Największa liczba udzielonych pozwoleń w poszczególnych RZGW WP dotyczy zrzutu</w:t>
      </w:r>
      <w:r w:rsidR="00740EF8">
        <w:t xml:space="preserve"> (tabela 13-11, wykres 13-5)</w:t>
      </w:r>
      <w:r w:rsidRPr="00795F17">
        <w:t>.</w:t>
      </w:r>
    </w:p>
    <w:p w14:paraId="4EE03DA5" w14:textId="794E0FBA" w:rsidR="005E5391" w:rsidRPr="00795F17" w:rsidRDefault="005E5391" w:rsidP="004D7705">
      <w:pPr>
        <w:pStyle w:val="Tabela"/>
      </w:pPr>
      <w:bookmarkStart w:id="848" w:name="_Toc66288119"/>
      <w:bookmarkStart w:id="849" w:name="_Toc66341968"/>
      <w:bookmarkStart w:id="850" w:name="_Toc105512897"/>
      <w:r w:rsidRPr="00795F17">
        <w:t xml:space="preserve">Tabela </w:t>
      </w:r>
      <w:fldSimple w:instr=" STYLEREF 1 \s ">
        <w:r w:rsidR="001F774D">
          <w:rPr>
            <w:noProof/>
          </w:rPr>
          <w:t>13</w:t>
        </w:r>
      </w:fldSimple>
      <w:r w:rsidR="00BB3B21" w:rsidRPr="00795F17">
        <w:noBreakHyphen/>
      </w:r>
      <w:fldSimple w:instr=" SEQ Tabela \* ARABIC \s 1 ">
        <w:r w:rsidR="001F774D">
          <w:rPr>
            <w:noProof/>
          </w:rPr>
          <w:t>11</w:t>
        </w:r>
      </w:fldSimple>
      <w:r w:rsidR="000B5450">
        <w:rPr>
          <w:noProof/>
        </w:rPr>
        <w:t>.</w:t>
      </w:r>
      <w:r w:rsidRPr="00795F17">
        <w:tab/>
        <w:t>Zestawienie liczby pozwoleń wodnoprawnych udzielonych w okresie 2018</w:t>
      </w:r>
      <w:r w:rsidR="00E10084">
        <w:t>–</w:t>
      </w:r>
      <w:r w:rsidRPr="00795F17">
        <w:t xml:space="preserve">2019 </w:t>
      </w:r>
      <w:r w:rsidR="00594745">
        <w:t xml:space="preserve">na </w:t>
      </w:r>
      <w:r w:rsidRPr="00795F17">
        <w:t xml:space="preserve">obszarze dorzecza </w:t>
      </w:r>
      <w:r w:rsidR="00E01FE2" w:rsidRPr="00795F17">
        <w:t>Odry</w:t>
      </w:r>
      <w:r w:rsidRPr="00795F17">
        <w:t xml:space="preserve"> z podziałem na RZGW WP</w:t>
      </w:r>
      <w:bookmarkEnd w:id="848"/>
      <w:bookmarkEnd w:id="849"/>
      <w:bookmarkEnd w:id="850"/>
    </w:p>
    <w:tbl>
      <w:tblPr>
        <w:tblStyle w:val="Tabela-Siatka"/>
        <w:tblW w:w="5000" w:type="pct"/>
        <w:jc w:val="center"/>
        <w:tblLook w:val="04A0" w:firstRow="1" w:lastRow="0" w:firstColumn="1" w:lastColumn="0" w:noHBand="0" w:noVBand="1"/>
      </w:tblPr>
      <w:tblGrid>
        <w:gridCol w:w="2071"/>
        <w:gridCol w:w="1320"/>
        <w:gridCol w:w="1095"/>
        <w:gridCol w:w="1053"/>
        <w:gridCol w:w="1143"/>
        <w:gridCol w:w="1230"/>
        <w:gridCol w:w="1104"/>
      </w:tblGrid>
      <w:tr w:rsidR="00337B89" w:rsidRPr="00795F17" w14:paraId="2B3F9340" w14:textId="77777777" w:rsidTr="00B11299">
        <w:trPr>
          <w:cnfStyle w:val="100000000000" w:firstRow="1" w:lastRow="0" w:firstColumn="0" w:lastColumn="0" w:oddVBand="0" w:evenVBand="0" w:oddHBand="0" w:evenHBand="0" w:firstRowFirstColumn="0" w:firstRowLastColumn="0" w:lastRowFirstColumn="0" w:lastRowLastColumn="0"/>
          <w:trHeight w:val="454"/>
          <w:jc w:val="center"/>
        </w:trPr>
        <w:tc>
          <w:tcPr>
            <w:tcW w:w="1149" w:type="pct"/>
            <w:vMerge w:val="restart"/>
          </w:tcPr>
          <w:p w14:paraId="0BA9CB78" w14:textId="77777777" w:rsidR="00337B89" w:rsidRPr="00795F17" w:rsidRDefault="00337B89" w:rsidP="0044393D">
            <w:pPr>
              <w:pStyle w:val="Teksttabelinaglowek"/>
              <w:rPr>
                <w:b/>
              </w:rPr>
            </w:pPr>
            <w:r w:rsidRPr="00795F17">
              <w:rPr>
                <w:b/>
              </w:rPr>
              <w:t>Rodzaj pozwolenia wodnoprawnego</w:t>
            </w:r>
          </w:p>
        </w:tc>
        <w:tc>
          <w:tcPr>
            <w:tcW w:w="3239" w:type="pct"/>
            <w:gridSpan w:val="5"/>
          </w:tcPr>
          <w:p w14:paraId="1553D955" w14:textId="73DF8DD8" w:rsidR="00337B89" w:rsidRPr="00795F17" w:rsidRDefault="00337B89" w:rsidP="0044393D">
            <w:pPr>
              <w:pStyle w:val="Teksttabelinaglowek"/>
              <w:rPr>
                <w:b/>
              </w:rPr>
            </w:pPr>
            <w:r w:rsidRPr="00795F17">
              <w:rPr>
                <w:b/>
              </w:rPr>
              <w:t>RZGW WP</w:t>
            </w:r>
          </w:p>
        </w:tc>
        <w:tc>
          <w:tcPr>
            <w:tcW w:w="612" w:type="pct"/>
            <w:vMerge w:val="restart"/>
          </w:tcPr>
          <w:p w14:paraId="7D9A8079" w14:textId="720C5198" w:rsidR="00337B89" w:rsidRPr="00795F17" w:rsidRDefault="00C2666A" w:rsidP="0044393D">
            <w:pPr>
              <w:pStyle w:val="Teksttabelinaglowek"/>
              <w:rPr>
                <w:b/>
              </w:rPr>
            </w:pPr>
            <w:r>
              <w:rPr>
                <w:b/>
              </w:rPr>
              <w:t>Ogółem</w:t>
            </w:r>
          </w:p>
        </w:tc>
      </w:tr>
      <w:tr w:rsidR="00337B89" w:rsidRPr="00795F17" w14:paraId="25B028D7" w14:textId="77777777" w:rsidTr="00B11299">
        <w:trPr>
          <w:trHeight w:val="454"/>
          <w:jc w:val="center"/>
        </w:trPr>
        <w:tc>
          <w:tcPr>
            <w:tcW w:w="1149" w:type="pct"/>
            <w:vMerge/>
          </w:tcPr>
          <w:p w14:paraId="4100CA4D" w14:textId="77777777" w:rsidR="00337B89" w:rsidRPr="00795F17" w:rsidRDefault="00337B89" w:rsidP="0044393D">
            <w:pPr>
              <w:pStyle w:val="Teksttabelinaglowek"/>
            </w:pPr>
          </w:p>
        </w:tc>
        <w:tc>
          <w:tcPr>
            <w:tcW w:w="732" w:type="pct"/>
            <w:shd w:val="clear" w:color="auto" w:fill="BFBFBF" w:themeFill="background1" w:themeFillShade="BF"/>
          </w:tcPr>
          <w:p w14:paraId="565DD3D2" w14:textId="5C3F0B99" w:rsidR="00337B89" w:rsidRPr="00795F17" w:rsidRDefault="00337B89" w:rsidP="0044393D">
            <w:pPr>
              <w:pStyle w:val="Teksttabelinaglowek"/>
            </w:pPr>
            <w:r w:rsidRPr="00795F17">
              <w:t>Bydgoszcz</w:t>
            </w:r>
          </w:p>
        </w:tc>
        <w:tc>
          <w:tcPr>
            <w:tcW w:w="607" w:type="pct"/>
            <w:shd w:val="clear" w:color="auto" w:fill="BFBFBF" w:themeFill="background1" w:themeFillShade="BF"/>
          </w:tcPr>
          <w:p w14:paraId="6894160C" w14:textId="78A31C98" w:rsidR="00337B89" w:rsidRPr="00795F17" w:rsidRDefault="00337B89" w:rsidP="0044393D">
            <w:pPr>
              <w:pStyle w:val="Teksttabelinaglowek"/>
            </w:pPr>
            <w:r w:rsidRPr="00795F17">
              <w:t>Gliwice</w:t>
            </w:r>
          </w:p>
        </w:tc>
        <w:tc>
          <w:tcPr>
            <w:tcW w:w="584" w:type="pct"/>
            <w:shd w:val="clear" w:color="auto" w:fill="BFBFBF" w:themeFill="background1" w:themeFillShade="BF"/>
          </w:tcPr>
          <w:p w14:paraId="141EC6BE" w14:textId="4F8E3A88" w:rsidR="00337B89" w:rsidRPr="00795F17" w:rsidRDefault="00337B89" w:rsidP="0044393D">
            <w:pPr>
              <w:pStyle w:val="Teksttabelinaglowek"/>
            </w:pPr>
            <w:r w:rsidRPr="00795F17">
              <w:t>Poznań</w:t>
            </w:r>
          </w:p>
        </w:tc>
        <w:tc>
          <w:tcPr>
            <w:tcW w:w="634" w:type="pct"/>
            <w:shd w:val="clear" w:color="auto" w:fill="BFBFBF" w:themeFill="background1" w:themeFillShade="BF"/>
          </w:tcPr>
          <w:p w14:paraId="7BBB2E94" w14:textId="22655BB1" w:rsidR="00337B89" w:rsidRPr="00795F17" w:rsidRDefault="00337B89" w:rsidP="0044393D">
            <w:pPr>
              <w:pStyle w:val="Teksttabelinaglowek"/>
            </w:pPr>
            <w:r w:rsidRPr="00795F17">
              <w:t>Szczecin</w:t>
            </w:r>
          </w:p>
        </w:tc>
        <w:tc>
          <w:tcPr>
            <w:tcW w:w="682" w:type="pct"/>
            <w:shd w:val="clear" w:color="auto" w:fill="BFBFBF" w:themeFill="background1" w:themeFillShade="BF"/>
          </w:tcPr>
          <w:p w14:paraId="56F6CF83" w14:textId="0630A5A2" w:rsidR="00337B89" w:rsidRPr="00795F17" w:rsidRDefault="00337B89" w:rsidP="0044393D">
            <w:pPr>
              <w:pStyle w:val="Teksttabelinaglowek"/>
            </w:pPr>
            <w:r w:rsidRPr="00795F17">
              <w:t>Wrocław</w:t>
            </w:r>
          </w:p>
        </w:tc>
        <w:tc>
          <w:tcPr>
            <w:tcW w:w="612" w:type="pct"/>
            <w:vMerge/>
            <w:shd w:val="clear" w:color="auto" w:fill="BFBFBF" w:themeFill="background1" w:themeFillShade="BF"/>
          </w:tcPr>
          <w:p w14:paraId="48ACBBDF" w14:textId="77777777" w:rsidR="00337B89" w:rsidRPr="00795F17" w:rsidRDefault="00337B89" w:rsidP="0044393D">
            <w:pPr>
              <w:pStyle w:val="Teksttabelinaglowek"/>
            </w:pPr>
          </w:p>
        </w:tc>
      </w:tr>
      <w:tr w:rsidR="00C2666A" w:rsidRPr="00795F17" w14:paraId="4633BB32" w14:textId="77777777" w:rsidTr="00B11299">
        <w:trPr>
          <w:trHeight w:val="454"/>
          <w:jc w:val="center"/>
        </w:trPr>
        <w:tc>
          <w:tcPr>
            <w:tcW w:w="1149" w:type="pct"/>
          </w:tcPr>
          <w:p w14:paraId="721B76E0" w14:textId="77777777" w:rsidR="00C2666A" w:rsidRPr="00795F17" w:rsidRDefault="00C2666A" w:rsidP="00C2666A">
            <w:pPr>
              <w:pStyle w:val="Teksttabelilewy"/>
            </w:pPr>
            <w:r w:rsidRPr="00795F17">
              <w:t>Zrzut</w:t>
            </w:r>
          </w:p>
        </w:tc>
        <w:tc>
          <w:tcPr>
            <w:tcW w:w="732" w:type="pct"/>
          </w:tcPr>
          <w:p w14:paraId="22AC671D" w14:textId="37A29E13" w:rsidR="00C2666A" w:rsidRPr="00795F17" w:rsidRDefault="00C2666A" w:rsidP="00C2666A">
            <w:pPr>
              <w:pStyle w:val="Teksttabelisrodek"/>
            </w:pPr>
            <w:r w:rsidRPr="00795F17">
              <w:t>1 459</w:t>
            </w:r>
          </w:p>
        </w:tc>
        <w:tc>
          <w:tcPr>
            <w:tcW w:w="607" w:type="pct"/>
          </w:tcPr>
          <w:p w14:paraId="4AFC8133" w14:textId="1A074AE7" w:rsidR="00C2666A" w:rsidRPr="00795F17" w:rsidRDefault="00C2666A" w:rsidP="00C2666A">
            <w:pPr>
              <w:pStyle w:val="Teksttabelisrodek"/>
            </w:pPr>
            <w:r w:rsidRPr="00795F17">
              <w:t>429</w:t>
            </w:r>
          </w:p>
        </w:tc>
        <w:tc>
          <w:tcPr>
            <w:tcW w:w="584" w:type="pct"/>
          </w:tcPr>
          <w:p w14:paraId="53F56E2C" w14:textId="21C24DE0" w:rsidR="00C2666A" w:rsidRPr="00795F17" w:rsidRDefault="00C2666A" w:rsidP="00C2666A">
            <w:pPr>
              <w:pStyle w:val="Teksttabelisrodek"/>
            </w:pPr>
            <w:r w:rsidRPr="00795F17">
              <w:t>3 451</w:t>
            </w:r>
          </w:p>
        </w:tc>
        <w:tc>
          <w:tcPr>
            <w:tcW w:w="634" w:type="pct"/>
          </w:tcPr>
          <w:p w14:paraId="0990765D" w14:textId="36324E90" w:rsidR="00C2666A" w:rsidRPr="00795F17" w:rsidRDefault="00C2666A" w:rsidP="00C2666A">
            <w:pPr>
              <w:pStyle w:val="Teksttabelisrodek"/>
            </w:pPr>
            <w:r w:rsidRPr="00795F17">
              <w:t>1 787</w:t>
            </w:r>
          </w:p>
        </w:tc>
        <w:tc>
          <w:tcPr>
            <w:tcW w:w="682" w:type="pct"/>
          </w:tcPr>
          <w:p w14:paraId="0619823D" w14:textId="42FCA907" w:rsidR="00C2666A" w:rsidRPr="00795F17" w:rsidRDefault="00C2666A" w:rsidP="00C2666A">
            <w:pPr>
              <w:pStyle w:val="Teksttabelisrodek"/>
            </w:pPr>
            <w:r w:rsidRPr="00795F17">
              <w:t>3 653</w:t>
            </w:r>
          </w:p>
        </w:tc>
        <w:tc>
          <w:tcPr>
            <w:tcW w:w="612" w:type="pct"/>
          </w:tcPr>
          <w:p w14:paraId="3AC22C8C" w14:textId="1851AB41" w:rsidR="00C2666A" w:rsidRPr="00795F17" w:rsidRDefault="00C2666A" w:rsidP="00C2666A">
            <w:pPr>
              <w:pStyle w:val="Teksttabelisrodek"/>
            </w:pPr>
            <w:r>
              <w:rPr>
                <w:rFonts w:ascii="Calibri" w:hAnsi="Calibri" w:cs="Calibri"/>
                <w:color w:val="000000"/>
                <w:szCs w:val="20"/>
              </w:rPr>
              <w:t>10 779</w:t>
            </w:r>
          </w:p>
        </w:tc>
      </w:tr>
      <w:tr w:rsidR="00C2666A" w:rsidRPr="00795F17" w14:paraId="43B5047E" w14:textId="77777777" w:rsidTr="00B11299">
        <w:trPr>
          <w:trHeight w:val="454"/>
          <w:jc w:val="center"/>
        </w:trPr>
        <w:tc>
          <w:tcPr>
            <w:tcW w:w="1149" w:type="pct"/>
          </w:tcPr>
          <w:p w14:paraId="49A139D1" w14:textId="77777777" w:rsidR="00C2666A" w:rsidRPr="00795F17" w:rsidRDefault="00C2666A" w:rsidP="00C2666A">
            <w:pPr>
              <w:pStyle w:val="Teksttabelilewy"/>
            </w:pPr>
            <w:r w:rsidRPr="00795F17">
              <w:t>Pobór</w:t>
            </w:r>
          </w:p>
        </w:tc>
        <w:tc>
          <w:tcPr>
            <w:tcW w:w="732" w:type="pct"/>
          </w:tcPr>
          <w:p w14:paraId="4933D9CC" w14:textId="4B545370" w:rsidR="00C2666A" w:rsidRPr="00795F17" w:rsidRDefault="00C2666A" w:rsidP="00C2666A">
            <w:pPr>
              <w:pStyle w:val="Teksttabelisrodek"/>
            </w:pPr>
            <w:r w:rsidRPr="00795F17">
              <w:t>523</w:t>
            </w:r>
          </w:p>
        </w:tc>
        <w:tc>
          <w:tcPr>
            <w:tcW w:w="607" w:type="pct"/>
          </w:tcPr>
          <w:p w14:paraId="65373CE6" w14:textId="30641B16" w:rsidR="00C2666A" w:rsidRPr="00795F17" w:rsidRDefault="00C2666A" w:rsidP="00C2666A">
            <w:pPr>
              <w:pStyle w:val="Teksttabelisrodek"/>
            </w:pPr>
            <w:r w:rsidRPr="00795F17">
              <w:t>89</w:t>
            </w:r>
          </w:p>
        </w:tc>
        <w:tc>
          <w:tcPr>
            <w:tcW w:w="584" w:type="pct"/>
          </w:tcPr>
          <w:p w14:paraId="132842F0" w14:textId="71ED4CA7" w:rsidR="00C2666A" w:rsidRPr="00795F17" w:rsidRDefault="00C2666A" w:rsidP="00C2666A">
            <w:pPr>
              <w:pStyle w:val="Teksttabelisrodek"/>
            </w:pPr>
            <w:r w:rsidRPr="00795F17">
              <w:t>1 079</w:t>
            </w:r>
          </w:p>
        </w:tc>
        <w:tc>
          <w:tcPr>
            <w:tcW w:w="634" w:type="pct"/>
          </w:tcPr>
          <w:p w14:paraId="0A9C9C93" w14:textId="78C8B7D0" w:rsidR="00C2666A" w:rsidRPr="00795F17" w:rsidRDefault="00C2666A" w:rsidP="00C2666A">
            <w:pPr>
              <w:pStyle w:val="Teksttabelisrodek"/>
            </w:pPr>
            <w:r w:rsidRPr="00795F17">
              <w:t>326</w:t>
            </w:r>
          </w:p>
        </w:tc>
        <w:tc>
          <w:tcPr>
            <w:tcW w:w="682" w:type="pct"/>
          </w:tcPr>
          <w:p w14:paraId="352F6D66" w14:textId="143996C0" w:rsidR="00C2666A" w:rsidRPr="00795F17" w:rsidRDefault="00C2666A" w:rsidP="00C2666A">
            <w:pPr>
              <w:pStyle w:val="Teksttabelisrodek"/>
            </w:pPr>
            <w:r w:rsidRPr="00795F17">
              <w:t>327</w:t>
            </w:r>
          </w:p>
        </w:tc>
        <w:tc>
          <w:tcPr>
            <w:tcW w:w="612" w:type="pct"/>
          </w:tcPr>
          <w:p w14:paraId="5EDC47A2" w14:textId="4A3967B7" w:rsidR="00C2666A" w:rsidRPr="00795F17" w:rsidRDefault="00C2666A" w:rsidP="00C2666A">
            <w:pPr>
              <w:pStyle w:val="Teksttabelisrodek"/>
            </w:pPr>
            <w:r>
              <w:rPr>
                <w:rFonts w:ascii="Calibri" w:hAnsi="Calibri" w:cs="Calibri"/>
                <w:color w:val="000000"/>
                <w:szCs w:val="20"/>
              </w:rPr>
              <w:t>2344</w:t>
            </w:r>
          </w:p>
        </w:tc>
      </w:tr>
      <w:tr w:rsidR="00C2666A" w:rsidRPr="00795F17" w14:paraId="0024AE7F" w14:textId="77777777" w:rsidTr="00B11299">
        <w:trPr>
          <w:trHeight w:val="454"/>
          <w:jc w:val="center"/>
        </w:trPr>
        <w:tc>
          <w:tcPr>
            <w:tcW w:w="1149" w:type="pct"/>
          </w:tcPr>
          <w:p w14:paraId="127A2C2B" w14:textId="77777777" w:rsidR="00C2666A" w:rsidRPr="00795F17" w:rsidRDefault="00C2666A" w:rsidP="00C2666A">
            <w:pPr>
              <w:pStyle w:val="Teksttabelilewy"/>
            </w:pPr>
            <w:r w:rsidRPr="00795F17">
              <w:t>Retencjonowanie</w:t>
            </w:r>
          </w:p>
        </w:tc>
        <w:tc>
          <w:tcPr>
            <w:tcW w:w="732" w:type="pct"/>
          </w:tcPr>
          <w:p w14:paraId="73FD31A7" w14:textId="6FB26202" w:rsidR="00C2666A" w:rsidRPr="00795F17" w:rsidRDefault="00C2666A" w:rsidP="00C2666A">
            <w:pPr>
              <w:pStyle w:val="Teksttabelisrodek"/>
            </w:pPr>
            <w:r w:rsidRPr="00795F17">
              <w:t>45</w:t>
            </w:r>
          </w:p>
        </w:tc>
        <w:tc>
          <w:tcPr>
            <w:tcW w:w="607" w:type="pct"/>
          </w:tcPr>
          <w:p w14:paraId="5366D12C" w14:textId="6907176D" w:rsidR="00C2666A" w:rsidRPr="00795F17" w:rsidRDefault="00C2666A" w:rsidP="00C2666A">
            <w:pPr>
              <w:pStyle w:val="Teksttabelisrodek"/>
            </w:pPr>
            <w:r w:rsidRPr="00795F17">
              <w:t>42</w:t>
            </w:r>
          </w:p>
        </w:tc>
        <w:tc>
          <w:tcPr>
            <w:tcW w:w="584" w:type="pct"/>
          </w:tcPr>
          <w:p w14:paraId="2A73686A" w14:textId="285438CC" w:rsidR="00C2666A" w:rsidRPr="00795F17" w:rsidRDefault="00C2666A" w:rsidP="00C2666A">
            <w:pPr>
              <w:pStyle w:val="Teksttabelisrodek"/>
            </w:pPr>
            <w:r w:rsidRPr="00795F17">
              <w:t>136</w:t>
            </w:r>
          </w:p>
        </w:tc>
        <w:tc>
          <w:tcPr>
            <w:tcW w:w="634" w:type="pct"/>
          </w:tcPr>
          <w:p w14:paraId="287985C6" w14:textId="0823978D" w:rsidR="00C2666A" w:rsidRPr="00795F17" w:rsidRDefault="00C2666A" w:rsidP="00C2666A">
            <w:pPr>
              <w:pStyle w:val="Teksttabelisrodek"/>
            </w:pPr>
            <w:r w:rsidRPr="00795F17">
              <w:t>0</w:t>
            </w:r>
          </w:p>
        </w:tc>
        <w:tc>
          <w:tcPr>
            <w:tcW w:w="682" w:type="pct"/>
          </w:tcPr>
          <w:p w14:paraId="590DB98C" w14:textId="51923DF6" w:rsidR="00C2666A" w:rsidRPr="00795F17" w:rsidRDefault="00C2666A" w:rsidP="00C2666A">
            <w:pPr>
              <w:pStyle w:val="Teksttabelisrodek"/>
            </w:pPr>
            <w:r w:rsidRPr="00795F17">
              <w:t>121</w:t>
            </w:r>
          </w:p>
        </w:tc>
        <w:tc>
          <w:tcPr>
            <w:tcW w:w="612" w:type="pct"/>
          </w:tcPr>
          <w:p w14:paraId="1D592672" w14:textId="74388896" w:rsidR="00C2666A" w:rsidRPr="00795F17" w:rsidRDefault="00C2666A" w:rsidP="00C2666A">
            <w:pPr>
              <w:pStyle w:val="Teksttabelisrodek"/>
            </w:pPr>
            <w:r>
              <w:rPr>
                <w:rFonts w:ascii="Calibri" w:hAnsi="Calibri" w:cs="Calibri"/>
                <w:color w:val="000000"/>
                <w:szCs w:val="20"/>
              </w:rPr>
              <w:t>344</w:t>
            </w:r>
          </w:p>
        </w:tc>
      </w:tr>
      <w:tr w:rsidR="00C2666A" w:rsidRPr="00795F17" w14:paraId="54405D6E" w14:textId="77777777" w:rsidTr="00B11299">
        <w:trPr>
          <w:trHeight w:val="454"/>
          <w:jc w:val="center"/>
        </w:trPr>
        <w:tc>
          <w:tcPr>
            <w:tcW w:w="1149" w:type="pct"/>
          </w:tcPr>
          <w:p w14:paraId="1A46F1C4" w14:textId="77777777" w:rsidR="00C2666A" w:rsidRPr="00795F17" w:rsidRDefault="00C2666A" w:rsidP="00C2666A">
            <w:pPr>
              <w:pStyle w:val="Teksttabelilewy"/>
            </w:pPr>
            <w:r w:rsidRPr="00795F17">
              <w:t>Regulacja</w:t>
            </w:r>
          </w:p>
        </w:tc>
        <w:tc>
          <w:tcPr>
            <w:tcW w:w="732" w:type="pct"/>
          </w:tcPr>
          <w:p w14:paraId="2EB5A574" w14:textId="66ACDA72" w:rsidR="00C2666A" w:rsidRPr="00795F17" w:rsidRDefault="00C2666A" w:rsidP="00C2666A">
            <w:pPr>
              <w:pStyle w:val="Teksttabelisrodek"/>
            </w:pPr>
            <w:r w:rsidRPr="00795F17">
              <w:t>14</w:t>
            </w:r>
          </w:p>
        </w:tc>
        <w:tc>
          <w:tcPr>
            <w:tcW w:w="607" w:type="pct"/>
          </w:tcPr>
          <w:p w14:paraId="09990C4C" w14:textId="4935F3F9" w:rsidR="00C2666A" w:rsidRPr="00795F17" w:rsidRDefault="00C2666A" w:rsidP="00C2666A">
            <w:pPr>
              <w:pStyle w:val="Teksttabelisrodek"/>
            </w:pPr>
            <w:r w:rsidRPr="00795F17">
              <w:t>4</w:t>
            </w:r>
          </w:p>
        </w:tc>
        <w:tc>
          <w:tcPr>
            <w:tcW w:w="584" w:type="pct"/>
          </w:tcPr>
          <w:p w14:paraId="4F796B4B" w14:textId="0A1F8FFE" w:rsidR="00C2666A" w:rsidRPr="00795F17" w:rsidRDefault="00C2666A" w:rsidP="00C2666A">
            <w:pPr>
              <w:pStyle w:val="Teksttabelisrodek"/>
            </w:pPr>
            <w:r w:rsidRPr="00795F17">
              <w:t>927</w:t>
            </w:r>
          </w:p>
        </w:tc>
        <w:tc>
          <w:tcPr>
            <w:tcW w:w="634" w:type="pct"/>
          </w:tcPr>
          <w:p w14:paraId="0015F21E" w14:textId="780E9C97" w:rsidR="00C2666A" w:rsidRPr="00795F17" w:rsidRDefault="00C2666A" w:rsidP="00C2666A">
            <w:pPr>
              <w:pStyle w:val="Teksttabelisrodek"/>
            </w:pPr>
            <w:r w:rsidRPr="00795F17">
              <w:t>0</w:t>
            </w:r>
          </w:p>
        </w:tc>
        <w:tc>
          <w:tcPr>
            <w:tcW w:w="682" w:type="pct"/>
          </w:tcPr>
          <w:p w14:paraId="64F62284" w14:textId="2DE7B419" w:rsidR="00C2666A" w:rsidRPr="00795F17" w:rsidRDefault="00C2666A" w:rsidP="00C2666A">
            <w:pPr>
              <w:pStyle w:val="Teksttabelisrodek"/>
            </w:pPr>
            <w:r w:rsidRPr="00795F17">
              <w:t>1</w:t>
            </w:r>
          </w:p>
        </w:tc>
        <w:tc>
          <w:tcPr>
            <w:tcW w:w="612" w:type="pct"/>
          </w:tcPr>
          <w:p w14:paraId="08C3A292" w14:textId="307E7200" w:rsidR="00C2666A" w:rsidRPr="00795F17" w:rsidRDefault="00C2666A" w:rsidP="00C2666A">
            <w:pPr>
              <w:pStyle w:val="Teksttabelisrodek"/>
            </w:pPr>
            <w:r>
              <w:rPr>
                <w:rFonts w:ascii="Calibri" w:hAnsi="Calibri" w:cs="Calibri"/>
                <w:color w:val="000000"/>
                <w:szCs w:val="20"/>
              </w:rPr>
              <w:t>946</w:t>
            </w:r>
          </w:p>
        </w:tc>
      </w:tr>
    </w:tbl>
    <w:p w14:paraId="444D2D1C" w14:textId="425C2034" w:rsidR="005E5391" w:rsidRPr="00B11299" w:rsidRDefault="005E5391" w:rsidP="0044393D">
      <w:pPr>
        <w:pStyle w:val="rdo"/>
      </w:pPr>
      <w:r w:rsidRPr="00795F17">
        <w:t xml:space="preserve">Źródło: </w:t>
      </w:r>
      <w:r w:rsidR="00FD7248" w:rsidRPr="00795F17">
        <w:t>opracowanie własne</w:t>
      </w:r>
      <w:r w:rsidRPr="00795F17">
        <w:t xml:space="preserve"> na podstawie danych z systemu informacyjnego gospodarowania wodami </w:t>
      </w:r>
      <w:r w:rsidR="0028234C" w:rsidRPr="00795F17">
        <w:t>PGW WP</w:t>
      </w:r>
    </w:p>
    <w:p w14:paraId="5FC87771" w14:textId="1DA33EB2" w:rsidR="005E5391" w:rsidRPr="00795F17" w:rsidRDefault="0040006B" w:rsidP="005842B5">
      <w:r>
        <w:rPr>
          <w:noProof/>
        </w:rPr>
        <w:drawing>
          <wp:inline distT="0" distB="0" distL="0" distR="0" wp14:anchorId="7B1A1C68" wp14:editId="5B101877">
            <wp:extent cx="5411470" cy="3206750"/>
            <wp:effectExtent l="0" t="0" r="17780" b="12700"/>
            <wp:docPr id="251" name="Wykres 251">
              <a:extLst xmlns:a="http://schemas.openxmlformats.org/drawingml/2006/main">
                <a:ext uri="{FF2B5EF4-FFF2-40B4-BE49-F238E27FC236}">
                  <a16:creationId xmlns:a16="http://schemas.microsoft.com/office/drawing/2014/main" id="{B1CA7A9C-1AB3-4F6B-9007-7B74E84817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289B15F3" w14:textId="1A2F8B0B" w:rsidR="005E5391" w:rsidRPr="00795F17" w:rsidRDefault="005E5391" w:rsidP="005842B5">
      <w:pPr>
        <w:pStyle w:val="Wykres"/>
      </w:pPr>
      <w:bookmarkStart w:id="851" w:name="_Toc66288225"/>
      <w:bookmarkStart w:id="852" w:name="_Toc105513042"/>
      <w:r w:rsidRPr="00795F17">
        <w:t xml:space="preserve">Wykres </w:t>
      </w:r>
      <w:fldSimple w:instr=" STYLEREF 1 \s ">
        <w:r w:rsidR="001F774D">
          <w:rPr>
            <w:noProof/>
          </w:rPr>
          <w:t>13</w:t>
        </w:r>
      </w:fldSimple>
      <w:r w:rsidR="00FF20D3">
        <w:noBreakHyphen/>
      </w:r>
      <w:fldSimple w:instr=" SEQ Wykres \* ARABIC \s 1 ">
        <w:r w:rsidR="001F774D">
          <w:rPr>
            <w:noProof/>
          </w:rPr>
          <w:t>5</w:t>
        </w:r>
      </w:fldSimple>
      <w:r w:rsidR="000B5450">
        <w:rPr>
          <w:noProof/>
        </w:rPr>
        <w:t>.</w:t>
      </w:r>
      <w:r w:rsidRPr="00795F17">
        <w:tab/>
        <w:t>Rodzaje udzielonych w okresie 2018</w:t>
      </w:r>
      <w:r w:rsidR="008A38E4">
        <w:t>–</w:t>
      </w:r>
      <w:r w:rsidRPr="00795F17">
        <w:t>2019 pozwoleń wodnoprawnych w</w:t>
      </w:r>
      <w:r w:rsidR="004E0720">
        <w:t> </w:t>
      </w:r>
      <w:r w:rsidRPr="00795F17">
        <w:t xml:space="preserve">poszczególnych </w:t>
      </w:r>
      <w:r w:rsidR="004635D6" w:rsidRPr="00795F17">
        <w:t>RZGW WP</w:t>
      </w:r>
      <w:r w:rsidR="006C26A1" w:rsidRPr="00795F17">
        <w:t xml:space="preserve"> obszaru</w:t>
      </w:r>
      <w:r w:rsidRPr="00795F17">
        <w:t xml:space="preserve"> dorzecza </w:t>
      </w:r>
      <w:bookmarkEnd w:id="851"/>
      <w:r w:rsidR="00A40D9E" w:rsidRPr="00795F17">
        <w:t>Odry</w:t>
      </w:r>
      <w:bookmarkEnd w:id="852"/>
    </w:p>
    <w:p w14:paraId="60A5D455" w14:textId="5CD74DFC" w:rsidR="005E5391" w:rsidRPr="00795F17" w:rsidRDefault="005E5391" w:rsidP="0044393D">
      <w:pPr>
        <w:pStyle w:val="rdo"/>
      </w:pPr>
      <w:r w:rsidRPr="00795F17">
        <w:t xml:space="preserve">Źródło: </w:t>
      </w:r>
      <w:r w:rsidR="00FD7248" w:rsidRPr="00795F17">
        <w:t>opracowanie własne</w:t>
      </w:r>
      <w:r w:rsidRPr="00795F17">
        <w:t xml:space="preserve"> na podstawie danych z systemu informacyjnego gospodarowania wodami </w:t>
      </w:r>
      <w:r w:rsidR="0028234C" w:rsidRPr="00795F17">
        <w:t>PGW WP</w:t>
      </w:r>
    </w:p>
    <w:p w14:paraId="54CF9E8A" w14:textId="2153D7FC" w:rsidR="005E5391" w:rsidRPr="00795F17" w:rsidRDefault="005E5391" w:rsidP="0044393D">
      <w:r w:rsidRPr="00795F17">
        <w:t xml:space="preserve">Całkowite wielkości zrzutów zarejestrowanych </w:t>
      </w:r>
      <w:r w:rsidR="008379E5">
        <w:t>na</w:t>
      </w:r>
      <w:r w:rsidRPr="00795F17">
        <w:t xml:space="preserve"> obszarze dorzecza </w:t>
      </w:r>
      <w:r w:rsidR="00A40D9E" w:rsidRPr="00795F17">
        <w:t>Odry</w:t>
      </w:r>
      <w:r w:rsidRPr="00795F17">
        <w:t xml:space="preserve"> przedstawia poniższ</w:t>
      </w:r>
      <w:r w:rsidR="002B599A">
        <w:t>a</w:t>
      </w:r>
      <w:r w:rsidRPr="00795F17">
        <w:t xml:space="preserve"> tabel</w:t>
      </w:r>
      <w:r w:rsidR="002B599A">
        <w:t>a</w:t>
      </w:r>
      <w:r w:rsidRPr="00795F17">
        <w:t>.</w:t>
      </w:r>
    </w:p>
    <w:p w14:paraId="3C01EFEC" w14:textId="2CF5D70D" w:rsidR="005E5391" w:rsidRPr="00795F17" w:rsidRDefault="005E5391" w:rsidP="004D7705">
      <w:pPr>
        <w:pStyle w:val="Tabela"/>
      </w:pPr>
      <w:bookmarkStart w:id="853" w:name="_Toc66288120"/>
      <w:bookmarkStart w:id="854" w:name="_Toc66341969"/>
      <w:bookmarkStart w:id="855" w:name="_Toc105512898"/>
      <w:r w:rsidRPr="00795F17">
        <w:t xml:space="preserve">Tabela </w:t>
      </w:r>
      <w:fldSimple w:instr=" STYLEREF 1 \s ">
        <w:r w:rsidR="001F774D">
          <w:rPr>
            <w:noProof/>
          </w:rPr>
          <w:t>13</w:t>
        </w:r>
      </w:fldSimple>
      <w:r w:rsidR="00BB3B21" w:rsidRPr="00795F17">
        <w:noBreakHyphen/>
      </w:r>
      <w:fldSimple w:instr=" SEQ Tabela \* ARABIC \s 1 ">
        <w:r w:rsidR="001F774D">
          <w:rPr>
            <w:noProof/>
          </w:rPr>
          <w:t>12</w:t>
        </w:r>
      </w:fldSimple>
      <w:r w:rsidR="000B5450">
        <w:rPr>
          <w:noProof/>
        </w:rPr>
        <w:t>.</w:t>
      </w:r>
      <w:r w:rsidRPr="00795F17">
        <w:tab/>
        <w:t xml:space="preserve">Wielkość zrzutu w podziale na rodzaj zrzutu na obszarze dorzecza </w:t>
      </w:r>
      <w:bookmarkEnd w:id="853"/>
      <w:r w:rsidR="00A40D9E" w:rsidRPr="00795F17">
        <w:t>Odry</w:t>
      </w:r>
      <w:bookmarkEnd w:id="854"/>
      <w:bookmarkEnd w:id="855"/>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8"/>
        <w:gridCol w:w="1346"/>
        <w:gridCol w:w="1347"/>
        <w:gridCol w:w="1346"/>
        <w:gridCol w:w="1347"/>
        <w:gridCol w:w="1346"/>
        <w:gridCol w:w="1347"/>
      </w:tblGrid>
      <w:tr w:rsidR="005E5391" w:rsidRPr="00795F17" w14:paraId="2A1C8EBD" w14:textId="77777777" w:rsidTr="004E38B4">
        <w:trPr>
          <w:trHeight w:val="454"/>
        </w:trPr>
        <w:tc>
          <w:tcPr>
            <w:tcW w:w="988" w:type="dxa"/>
            <w:vMerge w:val="restart"/>
            <w:shd w:val="clear" w:color="auto" w:fill="BFBFBF" w:themeFill="background1" w:themeFillShade="BF"/>
            <w:noWrap/>
            <w:vAlign w:val="center"/>
            <w:hideMark/>
          </w:tcPr>
          <w:p w14:paraId="315DF7C5" w14:textId="2379CAA4" w:rsidR="005E5391" w:rsidRPr="00795F17" w:rsidRDefault="006C26A1" w:rsidP="0044393D">
            <w:pPr>
              <w:pStyle w:val="Teksttabelinaglowek"/>
            </w:pPr>
            <w:r w:rsidRPr="00795F17">
              <w:t>Obszar d</w:t>
            </w:r>
            <w:r w:rsidR="005E5391" w:rsidRPr="00795F17">
              <w:t>orzecz</w:t>
            </w:r>
            <w:r w:rsidRPr="00795F17">
              <w:t>a</w:t>
            </w:r>
          </w:p>
        </w:tc>
        <w:tc>
          <w:tcPr>
            <w:tcW w:w="8079" w:type="dxa"/>
            <w:gridSpan w:val="6"/>
            <w:shd w:val="clear" w:color="auto" w:fill="BFBFBF" w:themeFill="background1" w:themeFillShade="BF"/>
            <w:noWrap/>
            <w:vAlign w:val="center"/>
            <w:hideMark/>
          </w:tcPr>
          <w:p w14:paraId="7CF6FB88" w14:textId="77777777" w:rsidR="005E5391" w:rsidRPr="00795F17" w:rsidRDefault="005E5391" w:rsidP="0044393D">
            <w:pPr>
              <w:pStyle w:val="Teksttabelinaglowek"/>
            </w:pPr>
            <w:r w:rsidRPr="00795F17">
              <w:t>Rodzaj zrzutu</w:t>
            </w:r>
          </w:p>
        </w:tc>
      </w:tr>
      <w:tr w:rsidR="005E5391" w:rsidRPr="00795F17" w14:paraId="634E3F82" w14:textId="77777777" w:rsidTr="00C817B5">
        <w:trPr>
          <w:trHeight w:val="454"/>
        </w:trPr>
        <w:tc>
          <w:tcPr>
            <w:tcW w:w="988" w:type="dxa"/>
            <w:vMerge/>
            <w:shd w:val="clear" w:color="auto" w:fill="A6A6A6" w:themeFill="background1" w:themeFillShade="A6"/>
            <w:vAlign w:val="center"/>
            <w:hideMark/>
          </w:tcPr>
          <w:p w14:paraId="249CA5BB" w14:textId="77777777" w:rsidR="005E5391" w:rsidRPr="00795F17" w:rsidRDefault="005E5391" w:rsidP="0044393D">
            <w:pPr>
              <w:pStyle w:val="Teksttabelinaglowek"/>
            </w:pPr>
          </w:p>
        </w:tc>
        <w:tc>
          <w:tcPr>
            <w:tcW w:w="1346" w:type="dxa"/>
            <w:shd w:val="clear" w:color="auto" w:fill="BFBFBF" w:themeFill="background1" w:themeFillShade="BF"/>
            <w:noWrap/>
            <w:vAlign w:val="center"/>
            <w:hideMark/>
          </w:tcPr>
          <w:p w14:paraId="288EABD6" w14:textId="77777777" w:rsidR="005E5391" w:rsidRPr="00795F17" w:rsidRDefault="005E5391" w:rsidP="0044393D">
            <w:pPr>
              <w:pStyle w:val="Teksttabelinaglowek"/>
            </w:pPr>
            <w:r w:rsidRPr="00795F17">
              <w:t>Bytowe</w:t>
            </w:r>
          </w:p>
        </w:tc>
        <w:tc>
          <w:tcPr>
            <w:tcW w:w="1347" w:type="dxa"/>
            <w:shd w:val="clear" w:color="auto" w:fill="BFBFBF" w:themeFill="background1" w:themeFillShade="BF"/>
            <w:noWrap/>
            <w:vAlign w:val="center"/>
            <w:hideMark/>
          </w:tcPr>
          <w:p w14:paraId="0462ED5D" w14:textId="77777777" w:rsidR="005E5391" w:rsidRPr="00795F17" w:rsidRDefault="005E5391" w:rsidP="0044393D">
            <w:pPr>
              <w:pStyle w:val="Teksttabelinaglowek"/>
            </w:pPr>
            <w:r w:rsidRPr="00795F17">
              <w:t>Komunalne</w:t>
            </w:r>
          </w:p>
        </w:tc>
        <w:tc>
          <w:tcPr>
            <w:tcW w:w="1346" w:type="dxa"/>
            <w:shd w:val="clear" w:color="auto" w:fill="BFBFBF" w:themeFill="background1" w:themeFillShade="BF"/>
            <w:noWrap/>
            <w:vAlign w:val="center"/>
            <w:hideMark/>
          </w:tcPr>
          <w:p w14:paraId="6238BA3C" w14:textId="77777777" w:rsidR="005E5391" w:rsidRPr="00795F17" w:rsidRDefault="005E5391" w:rsidP="0044393D">
            <w:pPr>
              <w:pStyle w:val="Teksttabelinaglowek"/>
            </w:pPr>
            <w:r w:rsidRPr="00795F17">
              <w:t>Lecznicze</w:t>
            </w:r>
          </w:p>
        </w:tc>
        <w:tc>
          <w:tcPr>
            <w:tcW w:w="1347" w:type="dxa"/>
            <w:shd w:val="clear" w:color="auto" w:fill="BFBFBF" w:themeFill="background1" w:themeFillShade="BF"/>
            <w:noWrap/>
            <w:vAlign w:val="center"/>
            <w:hideMark/>
          </w:tcPr>
          <w:p w14:paraId="354D8B81" w14:textId="77777777" w:rsidR="005E5391" w:rsidRPr="00795F17" w:rsidRDefault="005E5391" w:rsidP="0044393D">
            <w:pPr>
              <w:pStyle w:val="Teksttabelinaglowek"/>
            </w:pPr>
            <w:r w:rsidRPr="00795F17">
              <w:t>Przemysłowe</w:t>
            </w:r>
          </w:p>
        </w:tc>
        <w:tc>
          <w:tcPr>
            <w:tcW w:w="1346" w:type="dxa"/>
            <w:shd w:val="clear" w:color="auto" w:fill="BFBFBF" w:themeFill="background1" w:themeFillShade="BF"/>
            <w:noWrap/>
            <w:vAlign w:val="center"/>
            <w:hideMark/>
          </w:tcPr>
          <w:p w14:paraId="7AEDA96E" w14:textId="77777777" w:rsidR="005E5391" w:rsidRPr="00795F17" w:rsidRDefault="005E5391" w:rsidP="0044393D">
            <w:pPr>
              <w:pStyle w:val="Teksttabelinaglowek"/>
            </w:pPr>
            <w:r w:rsidRPr="00795F17">
              <w:t>Składowiska</w:t>
            </w:r>
          </w:p>
        </w:tc>
        <w:tc>
          <w:tcPr>
            <w:tcW w:w="1347" w:type="dxa"/>
            <w:shd w:val="clear" w:color="auto" w:fill="BFBFBF" w:themeFill="background1" w:themeFillShade="BF"/>
            <w:noWrap/>
            <w:vAlign w:val="center"/>
            <w:hideMark/>
          </w:tcPr>
          <w:p w14:paraId="0A89CB70" w14:textId="77777777" w:rsidR="005E5391" w:rsidRPr="00795F17" w:rsidRDefault="005E5391" w:rsidP="0044393D">
            <w:pPr>
              <w:pStyle w:val="Teksttabelinaglowek"/>
            </w:pPr>
            <w:r w:rsidRPr="00795F17">
              <w:t>Suma zrzutów</w:t>
            </w:r>
          </w:p>
        </w:tc>
      </w:tr>
      <w:tr w:rsidR="005E5391" w:rsidRPr="00795F17" w14:paraId="5FD55F2E" w14:textId="77777777" w:rsidTr="00C817B5">
        <w:trPr>
          <w:trHeight w:val="454"/>
        </w:trPr>
        <w:tc>
          <w:tcPr>
            <w:tcW w:w="988" w:type="dxa"/>
            <w:vMerge/>
            <w:shd w:val="clear" w:color="auto" w:fill="A6A6A6" w:themeFill="background1" w:themeFillShade="A6"/>
            <w:vAlign w:val="center"/>
            <w:hideMark/>
          </w:tcPr>
          <w:p w14:paraId="4BE7446E" w14:textId="77777777" w:rsidR="005E5391" w:rsidRPr="00795F17" w:rsidRDefault="005E5391" w:rsidP="0044393D">
            <w:pPr>
              <w:pStyle w:val="Teksttabelinaglowek"/>
            </w:pPr>
          </w:p>
        </w:tc>
        <w:tc>
          <w:tcPr>
            <w:tcW w:w="8079" w:type="dxa"/>
            <w:gridSpan w:val="6"/>
            <w:shd w:val="clear" w:color="auto" w:fill="BFBFBF" w:themeFill="background1" w:themeFillShade="BF"/>
            <w:noWrap/>
            <w:vAlign w:val="center"/>
            <w:hideMark/>
          </w:tcPr>
          <w:p w14:paraId="02390083" w14:textId="73851178" w:rsidR="005E5391" w:rsidRPr="00795F17" w:rsidRDefault="005E5391" w:rsidP="0044393D">
            <w:pPr>
              <w:pStyle w:val="Teksttabelinaglowek"/>
            </w:pPr>
            <w:r w:rsidRPr="00795F17">
              <w:t xml:space="preserve">Wielkość zrzutu </w:t>
            </w:r>
            <w:r w:rsidR="00AA618A" w:rsidRPr="00795F17">
              <w:t>(</w:t>
            </w:r>
            <w:r w:rsidRPr="00795F17">
              <w:t>m</w:t>
            </w:r>
            <w:r w:rsidRPr="00795F17">
              <w:rPr>
                <w:vertAlign w:val="superscript"/>
              </w:rPr>
              <w:t>3</w:t>
            </w:r>
            <w:r w:rsidRPr="00795F17">
              <w:t>/rok</w:t>
            </w:r>
            <w:r w:rsidR="00AA618A" w:rsidRPr="00795F17">
              <w:t>)</w:t>
            </w:r>
          </w:p>
        </w:tc>
      </w:tr>
      <w:tr w:rsidR="008356C6" w:rsidRPr="00795F17" w14:paraId="47C43A64" w14:textId="77777777" w:rsidTr="009130DF">
        <w:trPr>
          <w:trHeight w:val="454"/>
        </w:trPr>
        <w:tc>
          <w:tcPr>
            <w:tcW w:w="988" w:type="dxa"/>
            <w:shd w:val="clear" w:color="auto" w:fill="auto"/>
            <w:noWrap/>
            <w:vAlign w:val="center"/>
            <w:hideMark/>
          </w:tcPr>
          <w:p w14:paraId="17B14D65" w14:textId="13AAE8DA" w:rsidR="008356C6" w:rsidRPr="00795F17" w:rsidRDefault="009130DF" w:rsidP="0065243A">
            <w:pPr>
              <w:pStyle w:val="Teksttabelisrodek"/>
            </w:pPr>
            <w:r w:rsidRPr="00795F17">
              <w:t>Odra</w:t>
            </w:r>
          </w:p>
        </w:tc>
        <w:tc>
          <w:tcPr>
            <w:tcW w:w="1346" w:type="dxa"/>
            <w:shd w:val="clear" w:color="auto" w:fill="auto"/>
            <w:noWrap/>
            <w:vAlign w:val="center"/>
            <w:hideMark/>
          </w:tcPr>
          <w:p w14:paraId="07F2D278" w14:textId="1A907BFE" w:rsidR="008356C6" w:rsidRPr="00795F17" w:rsidRDefault="008356C6" w:rsidP="0065243A">
            <w:pPr>
              <w:pStyle w:val="Teksttabelisrodek"/>
            </w:pPr>
            <w:r w:rsidRPr="00795F17">
              <w:t>15 853 294,73</w:t>
            </w:r>
          </w:p>
        </w:tc>
        <w:tc>
          <w:tcPr>
            <w:tcW w:w="1347" w:type="dxa"/>
            <w:shd w:val="clear" w:color="auto" w:fill="auto"/>
            <w:noWrap/>
            <w:vAlign w:val="center"/>
            <w:hideMark/>
          </w:tcPr>
          <w:p w14:paraId="0980F09B" w14:textId="53A62092" w:rsidR="008356C6" w:rsidRPr="00795F17" w:rsidRDefault="008356C6" w:rsidP="0065243A">
            <w:pPr>
              <w:pStyle w:val="Teksttabelisrodek"/>
            </w:pPr>
            <w:r w:rsidRPr="00795F17">
              <w:t>840 847 724</w:t>
            </w:r>
          </w:p>
        </w:tc>
        <w:tc>
          <w:tcPr>
            <w:tcW w:w="1346" w:type="dxa"/>
            <w:shd w:val="clear" w:color="auto" w:fill="auto"/>
            <w:noWrap/>
            <w:vAlign w:val="center"/>
            <w:hideMark/>
          </w:tcPr>
          <w:p w14:paraId="329B27D3" w14:textId="273C75DB" w:rsidR="008356C6" w:rsidRPr="00795F17" w:rsidRDefault="008356C6" w:rsidP="0065243A">
            <w:pPr>
              <w:pStyle w:val="Teksttabelisrodek"/>
            </w:pPr>
            <w:r w:rsidRPr="00795F17">
              <w:t>501 615,46</w:t>
            </w:r>
          </w:p>
        </w:tc>
        <w:tc>
          <w:tcPr>
            <w:tcW w:w="1347" w:type="dxa"/>
            <w:shd w:val="clear" w:color="auto" w:fill="auto"/>
            <w:noWrap/>
            <w:vAlign w:val="center"/>
            <w:hideMark/>
          </w:tcPr>
          <w:p w14:paraId="0553A85E" w14:textId="581E92FD" w:rsidR="008356C6" w:rsidRPr="00795F17" w:rsidRDefault="008356C6" w:rsidP="0065243A">
            <w:pPr>
              <w:pStyle w:val="Teksttabelisrodek"/>
            </w:pPr>
            <w:r w:rsidRPr="00795F17">
              <w:t>1 479 856 941</w:t>
            </w:r>
          </w:p>
        </w:tc>
        <w:tc>
          <w:tcPr>
            <w:tcW w:w="1346" w:type="dxa"/>
            <w:shd w:val="clear" w:color="auto" w:fill="auto"/>
            <w:noWrap/>
            <w:vAlign w:val="center"/>
            <w:hideMark/>
          </w:tcPr>
          <w:p w14:paraId="756EC209" w14:textId="38B569A0" w:rsidR="008356C6" w:rsidRPr="00795F17" w:rsidRDefault="008356C6" w:rsidP="0065243A">
            <w:pPr>
              <w:pStyle w:val="Teksttabelisrodek"/>
            </w:pPr>
            <w:r w:rsidRPr="00795F17">
              <w:t>1 477 941,45</w:t>
            </w:r>
          </w:p>
        </w:tc>
        <w:tc>
          <w:tcPr>
            <w:tcW w:w="1347" w:type="dxa"/>
            <w:shd w:val="clear" w:color="auto" w:fill="auto"/>
            <w:noWrap/>
            <w:vAlign w:val="center"/>
            <w:hideMark/>
          </w:tcPr>
          <w:p w14:paraId="3516D3B3" w14:textId="0A1F3817" w:rsidR="008356C6" w:rsidRPr="00795F17" w:rsidRDefault="008356C6" w:rsidP="0065243A">
            <w:pPr>
              <w:pStyle w:val="Teksttabelisrodek"/>
            </w:pPr>
            <w:r w:rsidRPr="00795F17">
              <w:t>2</w:t>
            </w:r>
            <w:r w:rsidR="00B53F7C" w:rsidRPr="00795F17">
              <w:t> </w:t>
            </w:r>
            <w:r w:rsidRPr="00795F17">
              <w:t>338</w:t>
            </w:r>
            <w:r w:rsidR="00B53F7C" w:rsidRPr="00795F17">
              <w:t xml:space="preserve"> </w:t>
            </w:r>
            <w:r w:rsidRPr="00795F17">
              <w:t>537 516</w:t>
            </w:r>
          </w:p>
        </w:tc>
      </w:tr>
    </w:tbl>
    <w:p w14:paraId="4E00E94A" w14:textId="45FA837C" w:rsidR="005E5391" w:rsidRPr="00795F17" w:rsidRDefault="005E5391" w:rsidP="0044393D">
      <w:pPr>
        <w:pStyle w:val="rdo"/>
      </w:pPr>
      <w:r w:rsidRPr="00795F17">
        <w:t xml:space="preserve">Źródło: </w:t>
      </w:r>
      <w:r w:rsidR="00FD7248" w:rsidRPr="00795F17">
        <w:t>opracowanie własne</w:t>
      </w:r>
      <w:r w:rsidRPr="00795F17">
        <w:t xml:space="preserve"> na podstawie wyników Analizy znaczących oddziaływań </w:t>
      </w:r>
      <w:r w:rsidR="00975166">
        <w:t>–</w:t>
      </w:r>
      <w:r w:rsidRPr="00795F17">
        <w:t xml:space="preserve"> </w:t>
      </w:r>
      <w:r w:rsidR="00DF005E">
        <w:t>JCWP</w:t>
      </w:r>
      <w:r w:rsidRPr="00795F17">
        <w:t xml:space="preserve"> (…)</w:t>
      </w:r>
    </w:p>
    <w:p w14:paraId="1402A95B" w14:textId="7D224133" w:rsidR="005E5391" w:rsidRPr="00795F17" w:rsidRDefault="005E5391" w:rsidP="0044393D">
      <w:pPr>
        <w:rPr>
          <w:rFonts w:eastAsia="Times New Roman" w:cs="Calibri"/>
          <w:b/>
          <w:bCs/>
          <w:color w:val="000000"/>
          <w:lang w:eastAsia="pl-PL"/>
        </w:rPr>
      </w:pPr>
      <w:r w:rsidRPr="00795F17">
        <w:t xml:space="preserve">Suma poborów powierzchniowych na obszarze dorzecza </w:t>
      </w:r>
      <w:r w:rsidR="00D635B0" w:rsidRPr="00795F17">
        <w:t>Odry</w:t>
      </w:r>
      <w:r w:rsidRPr="00795F17">
        <w:t xml:space="preserve"> </w:t>
      </w:r>
      <w:r w:rsidR="00442820">
        <w:t>według</w:t>
      </w:r>
      <w:r w:rsidRPr="00795F17">
        <w:t xml:space="preserve"> danych bazy </w:t>
      </w:r>
      <w:r w:rsidRPr="00A8196D">
        <w:rPr>
          <w:i/>
        </w:rPr>
        <w:t xml:space="preserve">Identyfikacji </w:t>
      </w:r>
      <w:r w:rsidR="007860FF" w:rsidRPr="00A8196D">
        <w:rPr>
          <w:i/>
          <w:iCs/>
        </w:rPr>
        <w:t>p</w:t>
      </w:r>
      <w:r w:rsidRPr="00A8196D">
        <w:rPr>
          <w:i/>
          <w:iCs/>
        </w:rPr>
        <w:t>resji</w:t>
      </w:r>
      <w:r w:rsidRPr="00795F17">
        <w:t xml:space="preserve"> (do</w:t>
      </w:r>
      <w:r w:rsidR="001A51BA" w:rsidRPr="00795F17">
        <w:t> </w:t>
      </w:r>
      <w:r w:rsidRPr="00795F17">
        <w:t xml:space="preserve">2018 r.) wyniosła </w:t>
      </w:r>
      <w:r w:rsidR="00650807" w:rsidRPr="00795F17">
        <w:t>2</w:t>
      </w:r>
      <w:r w:rsidR="001A51BA" w:rsidRPr="00795F17">
        <w:t> </w:t>
      </w:r>
      <w:r w:rsidR="00650807" w:rsidRPr="00795F17">
        <w:t>411</w:t>
      </w:r>
      <w:r w:rsidR="001A51BA" w:rsidRPr="00795F17">
        <w:t> </w:t>
      </w:r>
      <w:r w:rsidR="00650807" w:rsidRPr="00795F17">
        <w:t>506</w:t>
      </w:r>
      <w:r w:rsidR="001A51BA" w:rsidRPr="00795F17">
        <w:t> </w:t>
      </w:r>
      <w:r w:rsidR="00650807" w:rsidRPr="00795F17">
        <w:t>802</w:t>
      </w:r>
      <w:r w:rsidR="00650807" w:rsidRPr="00795F17">
        <w:rPr>
          <w:rFonts w:eastAsia="Times New Roman" w:cs="Calibri"/>
          <w:b/>
          <w:bCs/>
          <w:color w:val="000000"/>
          <w:lang w:eastAsia="pl-PL"/>
        </w:rPr>
        <w:t xml:space="preserve"> </w:t>
      </w:r>
      <w:r w:rsidRPr="00795F17">
        <w:t>m</w:t>
      </w:r>
      <w:r w:rsidRPr="00795F17">
        <w:rPr>
          <w:vertAlign w:val="superscript"/>
        </w:rPr>
        <w:t>3</w:t>
      </w:r>
      <w:r w:rsidRPr="00795F17">
        <w:t>/rok</w:t>
      </w:r>
      <w:r w:rsidRPr="00795F17">
        <w:rPr>
          <w:rFonts w:asciiTheme="minorHAnsi" w:eastAsia="Times New Roman" w:hAnsiTheme="minorHAnsi" w:cstheme="minorHAnsi"/>
          <w:sz w:val="18"/>
          <w:szCs w:val="18"/>
          <w:lang w:eastAsia="pl-PL"/>
        </w:rPr>
        <w:t>.</w:t>
      </w:r>
    </w:p>
    <w:p w14:paraId="4527C9FF" w14:textId="17C2D0D3" w:rsidR="005E5391" w:rsidRPr="00795F17" w:rsidRDefault="005E5391" w:rsidP="0044393D">
      <w:r w:rsidRPr="00795F17">
        <w:t>Przedstawione wartości stanowią wielkości zrzutów i poborów dopuszczanych zgodnie z udzielonymi i</w:t>
      </w:r>
      <w:r w:rsidR="00C817B5" w:rsidRPr="00795F17">
        <w:t> </w:t>
      </w:r>
      <w:r w:rsidRPr="00795F17">
        <w:t xml:space="preserve">obowiązującymi pozwoleniami wodnoprawnymi, a więc maksymalne dopuszczalne wielkości, co nie jest równoznaczne z wielkościami rzeczywistych zrzutów i poborów. </w:t>
      </w:r>
    </w:p>
    <w:p w14:paraId="4061E091" w14:textId="68C5BCF8" w:rsidR="0008774B" w:rsidRPr="00795F17" w:rsidRDefault="00332A4E" w:rsidP="00C53C86">
      <w:pPr>
        <w:pStyle w:val="Nagwek2"/>
      </w:pPr>
      <w:bookmarkStart w:id="856" w:name="_Toc66272285"/>
      <w:bookmarkStart w:id="857" w:name="_Toc66347830"/>
      <w:bookmarkStart w:id="858" w:name="_Toc105512716"/>
      <w:r w:rsidRPr="00795F17">
        <w:t>Informacje o zezwoleniach na wprowadzanie zanieczyszczeń bezpośrednio do wód podziemnych</w:t>
      </w:r>
      <w:bookmarkEnd w:id="856"/>
      <w:bookmarkEnd w:id="857"/>
      <w:bookmarkEnd w:id="858"/>
    </w:p>
    <w:p w14:paraId="6C2BA6E8" w14:textId="50E4FDE7" w:rsidR="00952CE9" w:rsidRPr="00795F17" w:rsidRDefault="00952CE9" w:rsidP="0044393D">
      <w:r w:rsidRPr="00795F17">
        <w:t>Zgodnie z art. 318 ust. 1 pkt 11 pr.w. plan gospodarowania wodami na obszarze dorzecza zawiera informacje dotyczące przypadków, w których udzielono zezwolenia na wprowadzenie zanieczyszczeń bezpośrednio do wód podziemnych, rozumiane jako wprowadzenie w inny sposób niż</w:t>
      </w:r>
      <w:r w:rsidR="00387031" w:rsidRPr="00795F17">
        <w:t> </w:t>
      </w:r>
      <w:r w:rsidRPr="00795F17">
        <w:t>poprzez przesiąkanie przez glebę i podglebie.</w:t>
      </w:r>
    </w:p>
    <w:p w14:paraId="61AEF4E3" w14:textId="5D0EE424" w:rsidR="00952CE9" w:rsidRPr="00795F17" w:rsidRDefault="00952CE9" w:rsidP="0044393D">
      <w:r w:rsidRPr="00795F17">
        <w:t xml:space="preserve">Zgodnie z </w:t>
      </w:r>
      <w:r w:rsidR="008A38E4">
        <w:t xml:space="preserve">postanowieniami </w:t>
      </w:r>
      <w:r w:rsidR="009F56FA">
        <w:t>DWP</w:t>
      </w:r>
      <w:r w:rsidRPr="00795F17">
        <w:t xml:space="preserve">: </w:t>
      </w:r>
      <w:r w:rsidR="008A38E4">
        <w:t>„</w:t>
      </w:r>
      <w:r w:rsidRPr="00795F17">
        <w:t>wprowadzanie zanieczyszczeń do wód podziemnych</w:t>
      </w:r>
      <w:r w:rsidR="008A38E4">
        <w:t>”</w:t>
      </w:r>
      <w:r w:rsidRPr="00795F17">
        <w:t xml:space="preserve"> oznacza bezpośrednie lub pośrednie wprowadzanie zanieczyszczeń do wód podziemnych spowodowane działalnością człowieka. </w:t>
      </w:r>
    </w:p>
    <w:p w14:paraId="0FF583CE" w14:textId="1F53128B" w:rsidR="00952CE9" w:rsidRPr="00795F17" w:rsidRDefault="00952CE9" w:rsidP="0044393D">
      <w:r w:rsidRPr="00795F17">
        <w:t>Wprowadzenie ścieków oraz wód opadowych lub roztopowych, ujętych w otwarte lub zamknięte systemy kanalizacji deszczowej służące do odprowadzania opadów atmosferycznych, bezpośrednio do</w:t>
      </w:r>
      <w:r w:rsidR="00C817B5" w:rsidRPr="00795F17">
        <w:t> </w:t>
      </w:r>
      <w:r w:rsidRPr="00795F17">
        <w:t xml:space="preserve">wód podziemnych jest zakazane na podstawie art. 75 pkt 1 i </w:t>
      </w:r>
      <w:r w:rsidR="00E10084">
        <w:t xml:space="preserve">art. </w:t>
      </w:r>
      <w:r w:rsidRPr="00795F17">
        <w:t xml:space="preserve">75a </w:t>
      </w:r>
      <w:r w:rsidR="00E9796C" w:rsidRPr="00795F17">
        <w:t>pkt</w:t>
      </w:r>
      <w:r w:rsidRPr="00795F17">
        <w:t xml:space="preserve"> 1 pr.w.</w:t>
      </w:r>
    </w:p>
    <w:p w14:paraId="58CE396C" w14:textId="78C16D1F" w:rsidR="00952CE9" w:rsidRPr="00795F17" w:rsidRDefault="00952CE9" w:rsidP="0044393D">
      <w:r w:rsidRPr="00795F17">
        <w:t>W zakresie bezpośrednich zrzutów ścieków do wód podziemnych w katalogu działań krajowych znajdują się działania ciągłe związane z działaniem podstawowym (art. 324 ust.</w:t>
      </w:r>
      <w:r w:rsidR="00777B9F" w:rsidRPr="00795F17">
        <w:t xml:space="preserve"> </w:t>
      </w:r>
      <w:r w:rsidRPr="00795F17">
        <w:t>2 pr.w.): niewprowadzanie zanieczyszczeń bezpośrednio do wód podziemnych, rozumiane jako wprowadzanie w inny sposób niż przez przesiąkanie przez glebę i podglebie, z zastrzeżeniem wyjątków określonych w</w:t>
      </w:r>
      <w:r w:rsidR="00387031" w:rsidRPr="00795F17">
        <w:t> </w:t>
      </w:r>
      <w:r w:rsidRPr="00795F17">
        <w:t>odrębnych przepisach, o ile nie zagrożą one osiągnięciu celów środowiskowych dla jednolitych części wód podziemnych (zgodnie z art. 76 ust. 1 pkt 5 pr.w</w:t>
      </w:r>
      <w:r w:rsidR="00777B9F" w:rsidRPr="00795F17">
        <w:t>.</w:t>
      </w:r>
      <w:r w:rsidRPr="00795F17">
        <w:t xml:space="preserve">). Dopuszcza się wprowadzanie wód wykorzystanych pochodzących z pomp ciepła lub wykorzystanych wód geotermalnych </w:t>
      </w:r>
      <w:r w:rsidR="008A38E4">
        <w:t>–</w:t>
      </w:r>
      <w:r w:rsidRPr="00795F17">
        <w:t xml:space="preserve"> do wód podziemnych. Poprzez zanieczyszczenie </w:t>
      </w:r>
      <w:r w:rsidR="008A38E4">
        <w:t>–</w:t>
      </w:r>
      <w:r w:rsidRPr="00795F17">
        <w:t xml:space="preserve"> rozumie się emisję w rozumieniu art. 3 pkt 4 p.o.ś., która może być szkodliwa dla zdrowia ludzi lub stanu środowiska, w tym jakości ekosystemów wodnych lub ekosystemów lądowych bezpośrednio zależnych od ekosystemów wodnych, powodować szkodę w</w:t>
      </w:r>
      <w:r w:rsidR="00CF74A6">
        <w:t> </w:t>
      </w:r>
      <w:r w:rsidRPr="00795F17">
        <w:t xml:space="preserve">dobrach materialnych, pogarszać walory estetyczne środowiska lub kolidować z uzasadnionymi sposobami korzystania ze środowiska, w szczególności powodować zanieczyszczenie wód powierzchniowych i wód podziemnych. </w:t>
      </w:r>
    </w:p>
    <w:p w14:paraId="7A7DB7ED" w14:textId="77777777" w:rsidR="00952CE9" w:rsidRPr="00795F17" w:rsidRDefault="00952CE9" w:rsidP="0044393D">
      <w:r w:rsidRPr="00795F17">
        <w:t>Działanie podstawowe realizowane jest poprzez następujące działania z katalogu krajowego IIaPGW:</w:t>
      </w:r>
    </w:p>
    <w:p w14:paraId="4405FB2E" w14:textId="597F18B5" w:rsidR="00952CE9" w:rsidRPr="00795F17" w:rsidRDefault="00112057" w:rsidP="00117E86">
      <w:pPr>
        <w:pStyle w:val="Listapunktowana2"/>
      </w:pPr>
      <w:r>
        <w:t>s</w:t>
      </w:r>
      <w:r w:rsidR="00952CE9" w:rsidRPr="00795F17">
        <w:t>tosowanie przepisów dotyczących urządzeń wodnych odpowiednio do robót w wodach oraz</w:t>
      </w:r>
      <w:r w:rsidR="00CF74A6">
        <w:t> </w:t>
      </w:r>
      <w:r w:rsidR="00952CE9" w:rsidRPr="00795F17">
        <w:t>innych robót, które mogą być przyczyną zmiany naturalnych przepływów wód, stanu wód stojących i stanu wód podziemnych poza granicami nieruchomości gruntowej, na której są prowadzone te roboty; podstawa prawna: art. 324 ust.</w:t>
      </w:r>
      <w:r>
        <w:t xml:space="preserve"> </w:t>
      </w:r>
      <w:r w:rsidR="00952CE9" w:rsidRPr="00795F17">
        <w:t>2</w:t>
      </w:r>
      <w:r w:rsidR="00777B9F" w:rsidRPr="00795F17">
        <w:t xml:space="preserve"> </w:t>
      </w:r>
      <w:r w:rsidR="00952CE9" w:rsidRPr="00795F17">
        <w:t>pr.w. w związku z art. 17 ust. 1 pkt 3 lit c)</w:t>
      </w:r>
      <w:r w:rsidR="002073D8" w:rsidRPr="002073D8">
        <w:t xml:space="preserve"> pr.w.</w:t>
      </w:r>
      <w:r w:rsidR="00952CE9" w:rsidRPr="00795F17">
        <w:t>; podmiot odpowiedzialny</w:t>
      </w:r>
      <w:r w:rsidR="00E10084">
        <w:t xml:space="preserve"> –</w:t>
      </w:r>
      <w:r w:rsidR="00952CE9" w:rsidRPr="00795F17">
        <w:t xml:space="preserve"> </w:t>
      </w:r>
      <w:r w:rsidR="00E10084">
        <w:t>w</w:t>
      </w:r>
      <w:r w:rsidR="00952CE9" w:rsidRPr="00795F17">
        <w:t>ykonawca robót;</w:t>
      </w:r>
    </w:p>
    <w:p w14:paraId="3481E5C2" w14:textId="2FC8DF12" w:rsidR="00952CE9" w:rsidRPr="00795F17" w:rsidRDefault="00112057" w:rsidP="00117E86">
      <w:pPr>
        <w:pStyle w:val="Listapunktowana2"/>
      </w:pPr>
      <w:r>
        <w:t>z</w:t>
      </w:r>
      <w:r w:rsidR="00952CE9" w:rsidRPr="00795F17">
        <w:t>akaz wprowadzania ścieków bezpośrednio do wód podziemnych; podstawa prawna: art. 324 ust.</w:t>
      </w:r>
      <w:r w:rsidR="00B84A5C">
        <w:t> </w:t>
      </w:r>
      <w:r w:rsidR="00952CE9" w:rsidRPr="00795F17">
        <w:t>2</w:t>
      </w:r>
      <w:r w:rsidR="0083060B" w:rsidRPr="00795F17">
        <w:t xml:space="preserve"> </w:t>
      </w:r>
      <w:r w:rsidR="00952CE9" w:rsidRPr="00795F17">
        <w:t xml:space="preserve">pr.w. w związku z art. 75 </w:t>
      </w:r>
      <w:r w:rsidR="00E9796C" w:rsidRPr="00795F17">
        <w:t>pkt</w:t>
      </w:r>
      <w:r w:rsidR="00952CE9" w:rsidRPr="00795F17">
        <w:t xml:space="preserve"> 1 pr.w.; podmiot odpowiedzialny </w:t>
      </w:r>
      <w:r w:rsidR="008A38E4">
        <w:t>–</w:t>
      </w:r>
      <w:r w:rsidR="00952CE9" w:rsidRPr="00795F17">
        <w:t xml:space="preserve"> nieograniczony krąg podmiotów;</w:t>
      </w:r>
    </w:p>
    <w:p w14:paraId="76581957" w14:textId="7378CB15" w:rsidR="00952CE9" w:rsidRPr="00795F17" w:rsidRDefault="00112057" w:rsidP="00117E86">
      <w:pPr>
        <w:pStyle w:val="Listapunktowana2"/>
      </w:pPr>
      <w:r>
        <w:t>z</w:t>
      </w:r>
      <w:r w:rsidR="00952CE9" w:rsidRPr="00795F17">
        <w:t xml:space="preserve">akaz wprowadzania wód opadowych lub roztopowych, ujętych w otwarte lub zamknięte systemy kanalizacji deszczowej </w:t>
      </w:r>
      <w:r w:rsidR="00952CE9" w:rsidRPr="00020975">
        <w:t>służące do odprowadzania opadów atmosferycznych bezpośrednio</w:t>
      </w:r>
      <w:r w:rsidR="009D6060">
        <w:t xml:space="preserve"> do wód podziemnych</w:t>
      </w:r>
      <w:r w:rsidR="00952CE9" w:rsidRPr="00795F17">
        <w:t>; podstawa prawna: art. 324 ust.</w:t>
      </w:r>
      <w:r w:rsidR="0083060B" w:rsidRPr="00795F17">
        <w:t xml:space="preserve"> </w:t>
      </w:r>
      <w:r w:rsidR="00952CE9" w:rsidRPr="00795F17">
        <w:t>2</w:t>
      </w:r>
      <w:r w:rsidR="0083060B" w:rsidRPr="00795F17">
        <w:t xml:space="preserve"> </w:t>
      </w:r>
      <w:r w:rsidR="00952CE9" w:rsidRPr="00795F17">
        <w:t xml:space="preserve">pr.w. w związku z art. 75a </w:t>
      </w:r>
      <w:r w:rsidR="00E9796C" w:rsidRPr="00795F17">
        <w:t>pkt</w:t>
      </w:r>
      <w:r w:rsidR="00952CE9" w:rsidRPr="00795F17">
        <w:t xml:space="preserve"> 1 pr.w.; podmiot odpowiedzialny </w:t>
      </w:r>
      <w:r w:rsidR="008A38E4">
        <w:t>–</w:t>
      </w:r>
      <w:r w:rsidR="00952CE9" w:rsidRPr="00795F17">
        <w:t xml:space="preserve"> zarządcy otwartych lub zamkniętych systemów kanalizacji deszczowej;</w:t>
      </w:r>
    </w:p>
    <w:p w14:paraId="2CD124F4" w14:textId="58D0C4BB" w:rsidR="00952CE9" w:rsidRPr="00795F17" w:rsidRDefault="00112057" w:rsidP="00117E86">
      <w:pPr>
        <w:pStyle w:val="Listapunktowana2"/>
      </w:pPr>
      <w:r>
        <w:t>u</w:t>
      </w:r>
      <w:r w:rsidR="00952CE9" w:rsidRPr="00795F17">
        <w:t>mieszczenie w PGW informacji o przypadkach, w których udzielono zezwolenia na</w:t>
      </w:r>
      <w:r w:rsidR="00C817B5" w:rsidRPr="00795F17">
        <w:t> </w:t>
      </w:r>
      <w:r w:rsidR="00952CE9" w:rsidRPr="00795F17">
        <w:t>wprowadzanie zanieczyszczeń bezpośrednio do wód podziemnych, rozumiane jako wprowadzanie w inny sposób niż przez przesiąkanie przez glebę i podglebie;</w:t>
      </w:r>
    </w:p>
    <w:p w14:paraId="58065056" w14:textId="1EDA4434" w:rsidR="004C509D" w:rsidRPr="00795F17" w:rsidRDefault="00112057" w:rsidP="00117E86">
      <w:pPr>
        <w:pStyle w:val="Listapunktowana2"/>
      </w:pPr>
      <w:r>
        <w:t>n</w:t>
      </w:r>
      <w:r w:rsidR="00952CE9" w:rsidRPr="00795F17">
        <w:t>ałożenie obowiązku zlikwidowania nieczynnych studni położonych na terenie ochrony pośredniej ujęcia wody, jeżeli studnie te zagrażają jakości ujmowanej wody. Obowiązek ten nakłada na właściciela gruntu, w drodze decyzji, właściwy organ Wód Polskich na wniosek właściciela ujęcia wody i na jego koszt; podstawa prawna: art. 324 ust.</w:t>
      </w:r>
      <w:r>
        <w:t xml:space="preserve"> </w:t>
      </w:r>
      <w:r w:rsidR="00952CE9" w:rsidRPr="00795F17">
        <w:t>2</w:t>
      </w:r>
      <w:r w:rsidR="0083060B" w:rsidRPr="00795F17">
        <w:t xml:space="preserve"> </w:t>
      </w:r>
      <w:r w:rsidR="00952CE9" w:rsidRPr="00795F17">
        <w:t>pr.w. w</w:t>
      </w:r>
      <w:r w:rsidR="00C817B5" w:rsidRPr="00795F17">
        <w:t> </w:t>
      </w:r>
      <w:r w:rsidR="00952CE9" w:rsidRPr="00795F17">
        <w:t>związku z art. 132</w:t>
      </w:r>
      <w:r w:rsidR="0083060B" w:rsidRPr="00795F17">
        <w:t xml:space="preserve"> </w:t>
      </w:r>
      <w:r w:rsidR="00952CE9" w:rsidRPr="00795F17">
        <w:t>pr.w.); podmiot odpowiedzialny: właściciel gruntów.</w:t>
      </w:r>
    </w:p>
    <w:p w14:paraId="2E72DD24" w14:textId="08A3ABF2" w:rsidR="00332A4E" w:rsidRPr="00795F17" w:rsidRDefault="00490C3E" w:rsidP="00C53C86">
      <w:pPr>
        <w:pStyle w:val="Nagwek2"/>
      </w:pPr>
      <w:bookmarkStart w:id="859" w:name="_Toc66002442"/>
      <w:bookmarkStart w:id="860" w:name="_Toc66272286"/>
      <w:bookmarkStart w:id="861" w:name="_Toc66347831"/>
      <w:bookmarkStart w:id="862" w:name="_Toc105512717"/>
      <w:bookmarkStart w:id="863" w:name="_Hlk67039774"/>
      <w:r w:rsidRPr="00795F17">
        <w:t>Podsumowanie działań podjętych w celu eliminowania stężeń substancji priorytetowych</w:t>
      </w:r>
      <w:bookmarkEnd w:id="859"/>
      <w:bookmarkEnd w:id="860"/>
      <w:bookmarkEnd w:id="861"/>
      <w:bookmarkEnd w:id="862"/>
    </w:p>
    <w:p w14:paraId="515F72E1" w14:textId="17695F97" w:rsidR="0008774B" w:rsidRPr="00795F17" w:rsidRDefault="0008774B" w:rsidP="0044393D">
      <w:r w:rsidRPr="00795F17">
        <w:t>Zgodnie z art. 318 ust. 1 pkt 12 pr.w. plany gospodarowania wodami zawierają podsumowanie działań podjętych w celu eliminowania stężeń substancji priorytetowych, określonych w przepisach wydanych na podstawie art. 114 pr.w., dla których środowiskowe normy jakości zostały określone w faunie wodnej i florze oraz które wykazują tendencje do akumulowania się w osadach, w</w:t>
      </w:r>
      <w:r w:rsidR="009A7917" w:rsidRPr="00795F17">
        <w:t> </w:t>
      </w:r>
      <w:r w:rsidRPr="00795F17">
        <w:t>tym informacje o wynikach tych działań oraz ich wpływie na stan wód.</w:t>
      </w:r>
    </w:p>
    <w:p w14:paraId="55C7137A" w14:textId="77777777" w:rsidR="0008774B" w:rsidRPr="00795F17" w:rsidRDefault="0008774B" w:rsidP="00C53C86">
      <w:pPr>
        <w:pStyle w:val="Nagwek3"/>
      </w:pPr>
      <w:bookmarkStart w:id="864" w:name="_Toc105512718"/>
      <w:r w:rsidRPr="00795F17">
        <w:t>Wdrażanie działań w celu eliminowania stężeń substancji priorytetowych</w:t>
      </w:r>
      <w:bookmarkEnd w:id="864"/>
    </w:p>
    <w:p w14:paraId="5143252F" w14:textId="2AF0FE28" w:rsidR="0008774B" w:rsidRPr="00795F17" w:rsidRDefault="0008774B" w:rsidP="0044393D">
      <w:r w:rsidRPr="00795F17">
        <w:t>Opracowana w 2016</w:t>
      </w:r>
      <w:r w:rsidR="009A7917" w:rsidRPr="00795F17">
        <w:t> </w:t>
      </w:r>
      <w:r w:rsidRPr="00795F17">
        <w:t>r. aPWŚK zdefiniowała program działań podstawowych i uzupełniających. W zakresie eliminowania stężeń substancji priorytetowych działania podstawowe stanowią minimalne wymogi dla administracji i podmiotów korzystających ze środowiska, jakie należy spełnić w celu utrzymania wpływu presji co najmniej na tym samym poziomie i niepogarszania stanu wód. Obowiązek realizacji tych działań wynika zarówno z RDW, jak i innych postanowień UE oraz przepisów prawa krajowego. Zakres realizacji części zadań podstawowych wyodrębniono w aPGW jako grupę działań realizowanych na poziomie krajowym. Wśród tego zestawu znajduje się szereg wymagań dotyczących postępowania z substancjami priorytetowymi w celu ich eliminacji ze środowiska wodnego.</w:t>
      </w:r>
    </w:p>
    <w:p w14:paraId="17F64B34" w14:textId="430A937B" w:rsidR="0008774B" w:rsidRPr="00795F17" w:rsidRDefault="0008774B" w:rsidP="0044393D">
      <w:r w:rsidRPr="00795F17">
        <w:t xml:space="preserve">Działania związane bezpośrednio lub pośrednio z ograniczaniem emisji zanieczyszczeń priorytetowych, określone w aPWŚK w celu eliminowania stężeń substancji priorytetowych ze środowiska wodnego, wprowadzono do planów gospodarowania wodami. Najważniejsze wybrane grupy działań zestawiono w tabeli </w:t>
      </w:r>
      <w:r w:rsidR="00A87228">
        <w:t xml:space="preserve">13-13 </w:t>
      </w:r>
      <w:r w:rsidR="009A7917" w:rsidRPr="00795F17">
        <w:t>poniżej</w:t>
      </w:r>
      <w:r w:rsidRPr="00795F17">
        <w:t xml:space="preserve">. Pozostałe działania związane z eliminacją zanieczyszczeń priorytetowych zostały przypisane do konkretnych </w:t>
      </w:r>
      <w:r w:rsidR="00DF005E">
        <w:t>JCWP</w:t>
      </w:r>
      <w:r w:rsidRPr="00795F17">
        <w:t xml:space="preserve"> w ramach właściwych zestawów działań.</w:t>
      </w:r>
    </w:p>
    <w:p w14:paraId="5EAFB62C" w14:textId="6E47CE15" w:rsidR="0008774B" w:rsidRPr="00795F17" w:rsidRDefault="0008774B" w:rsidP="004D7705">
      <w:pPr>
        <w:pStyle w:val="Tabela"/>
      </w:pPr>
      <w:bookmarkStart w:id="865" w:name="_Toc66341970"/>
      <w:bookmarkStart w:id="866" w:name="_Toc105512899"/>
      <w:r w:rsidRPr="00795F17">
        <w:t xml:space="preserve">Tabela </w:t>
      </w:r>
      <w:fldSimple w:instr=" STYLEREF 1 \s ">
        <w:r w:rsidR="001F774D">
          <w:rPr>
            <w:noProof/>
          </w:rPr>
          <w:t>13</w:t>
        </w:r>
      </w:fldSimple>
      <w:r w:rsidR="00BB3B21" w:rsidRPr="00795F17">
        <w:noBreakHyphen/>
      </w:r>
      <w:fldSimple w:instr=" SEQ Tabela \* ARABIC \s 1 ">
        <w:r w:rsidR="001F774D">
          <w:rPr>
            <w:noProof/>
          </w:rPr>
          <w:t>13</w:t>
        </w:r>
      </w:fldSimple>
      <w:r w:rsidR="000B5450">
        <w:rPr>
          <w:noProof/>
        </w:rPr>
        <w:t>.</w:t>
      </w:r>
      <w:r w:rsidRPr="00795F17">
        <w:tab/>
        <w:t xml:space="preserve">Wybrane działania z Katalogu działań krajowych aPWŚK (2016), znaczące dla poprawy stanu jakościowego </w:t>
      </w:r>
      <w:r w:rsidR="00DF005E">
        <w:t>JCWP</w:t>
      </w:r>
      <w:bookmarkEnd w:id="865"/>
      <w:bookmarkEnd w:id="866"/>
    </w:p>
    <w:tbl>
      <w:tblPr>
        <w:tblStyle w:val="Tabela-Siatka"/>
        <w:tblW w:w="5000" w:type="pct"/>
        <w:tblLook w:val="04A0" w:firstRow="1" w:lastRow="0" w:firstColumn="1" w:lastColumn="0" w:noHBand="0" w:noVBand="1"/>
      </w:tblPr>
      <w:tblGrid>
        <w:gridCol w:w="470"/>
        <w:gridCol w:w="6856"/>
        <w:gridCol w:w="1690"/>
      </w:tblGrid>
      <w:tr w:rsidR="0008774B" w:rsidRPr="00795F17" w14:paraId="516DF704" w14:textId="77777777" w:rsidTr="009A7917">
        <w:trPr>
          <w:cnfStyle w:val="100000000000" w:firstRow="1" w:lastRow="0" w:firstColumn="0" w:lastColumn="0" w:oddVBand="0" w:evenVBand="0" w:oddHBand="0" w:evenHBand="0" w:firstRowFirstColumn="0" w:firstRowLastColumn="0" w:lastRowFirstColumn="0" w:lastRowLastColumn="0"/>
          <w:trHeight w:val="454"/>
        </w:trPr>
        <w:tc>
          <w:tcPr>
            <w:tcW w:w="259" w:type="pct"/>
          </w:tcPr>
          <w:p w14:paraId="15EC9D3D" w14:textId="77777777" w:rsidR="0008774B" w:rsidRPr="00795F17" w:rsidRDefault="0008774B" w:rsidP="004446A2">
            <w:pPr>
              <w:pStyle w:val="Teksttabelinaglowek"/>
              <w:rPr>
                <w:b/>
              </w:rPr>
            </w:pPr>
            <w:r w:rsidRPr="00795F17">
              <w:rPr>
                <w:b/>
              </w:rPr>
              <w:t>Lp.</w:t>
            </w:r>
          </w:p>
        </w:tc>
        <w:tc>
          <w:tcPr>
            <w:tcW w:w="3803" w:type="pct"/>
          </w:tcPr>
          <w:p w14:paraId="3158EC2D" w14:textId="77777777" w:rsidR="0008774B" w:rsidRPr="00795F17" w:rsidRDefault="0008774B" w:rsidP="004446A2">
            <w:pPr>
              <w:pStyle w:val="Teksttabelinaglowek"/>
              <w:rPr>
                <w:b/>
              </w:rPr>
            </w:pPr>
            <w:r w:rsidRPr="00795F17">
              <w:rPr>
                <w:b/>
              </w:rPr>
              <w:t>Grupy działań zdefiniowanych w aPWŚK (2016), istotnych dla redukcji emisji substancji priorytetowych</w:t>
            </w:r>
          </w:p>
        </w:tc>
        <w:tc>
          <w:tcPr>
            <w:tcW w:w="937" w:type="pct"/>
          </w:tcPr>
          <w:p w14:paraId="3B694AF9" w14:textId="77777777" w:rsidR="0008774B" w:rsidRPr="00795F17" w:rsidRDefault="0008774B" w:rsidP="004446A2">
            <w:pPr>
              <w:pStyle w:val="Teksttabelinaglowek"/>
              <w:rPr>
                <w:b/>
              </w:rPr>
            </w:pPr>
            <w:r w:rsidRPr="00795F17">
              <w:rPr>
                <w:b/>
              </w:rPr>
              <w:t>Harmonogram realizacji</w:t>
            </w:r>
          </w:p>
        </w:tc>
      </w:tr>
      <w:tr w:rsidR="0008774B" w:rsidRPr="00795F17" w14:paraId="56E6D799" w14:textId="77777777" w:rsidTr="009A7917">
        <w:trPr>
          <w:trHeight w:val="454"/>
        </w:trPr>
        <w:tc>
          <w:tcPr>
            <w:tcW w:w="5000" w:type="pct"/>
            <w:gridSpan w:val="3"/>
            <w:shd w:val="clear" w:color="auto" w:fill="D9D9D9" w:themeFill="background1" w:themeFillShade="D9"/>
          </w:tcPr>
          <w:p w14:paraId="02AA3604" w14:textId="77777777" w:rsidR="0008774B" w:rsidRPr="00795F17" w:rsidRDefault="0008774B" w:rsidP="004446A2">
            <w:pPr>
              <w:pStyle w:val="Teksttabelisrodek"/>
            </w:pPr>
            <w:r w:rsidRPr="00795F17">
              <w:t>Bezpośredni wpływ na eliminację zanieczyszczeń</w:t>
            </w:r>
          </w:p>
        </w:tc>
      </w:tr>
      <w:tr w:rsidR="0008774B" w:rsidRPr="00795F17" w14:paraId="307D8BFA" w14:textId="77777777" w:rsidTr="009A7917">
        <w:trPr>
          <w:trHeight w:val="454"/>
        </w:trPr>
        <w:tc>
          <w:tcPr>
            <w:tcW w:w="259" w:type="pct"/>
          </w:tcPr>
          <w:p w14:paraId="70E9DF80" w14:textId="77777777" w:rsidR="0008774B" w:rsidRPr="00795F17" w:rsidRDefault="0008774B" w:rsidP="004446A2">
            <w:pPr>
              <w:pStyle w:val="Teksttabelisrodek"/>
            </w:pPr>
            <w:r w:rsidRPr="00795F17">
              <w:t>1.</w:t>
            </w:r>
          </w:p>
        </w:tc>
        <w:tc>
          <w:tcPr>
            <w:tcW w:w="3803" w:type="pct"/>
          </w:tcPr>
          <w:p w14:paraId="573016F4" w14:textId="77777777" w:rsidR="0008774B" w:rsidRPr="00795F17" w:rsidRDefault="0008774B" w:rsidP="004446A2">
            <w:pPr>
              <w:pStyle w:val="Teksttabelilewy"/>
            </w:pPr>
            <w:r w:rsidRPr="00795F17">
              <w:t>Zakaz produkcji i stosowania substancji: aldryna, chlordan, chlordekon, dieldryna, endryna, endosulfan, heptachlor, heksachlorobenzen, mireks, toksafen, heksabromobifenyl, heksabromocyklododekan oraz DDT</w:t>
            </w:r>
          </w:p>
        </w:tc>
        <w:tc>
          <w:tcPr>
            <w:tcW w:w="937" w:type="pct"/>
          </w:tcPr>
          <w:p w14:paraId="6AED6661" w14:textId="77777777" w:rsidR="0008774B" w:rsidRPr="00795F17" w:rsidRDefault="0008774B" w:rsidP="004446A2">
            <w:pPr>
              <w:pStyle w:val="Teksttabelisrodek"/>
            </w:pPr>
            <w:r w:rsidRPr="00795F17">
              <w:t>działanie ciągłe</w:t>
            </w:r>
          </w:p>
        </w:tc>
      </w:tr>
      <w:tr w:rsidR="0008774B" w:rsidRPr="00795F17" w14:paraId="0DE351FB" w14:textId="77777777" w:rsidTr="009A7917">
        <w:trPr>
          <w:trHeight w:val="454"/>
        </w:trPr>
        <w:tc>
          <w:tcPr>
            <w:tcW w:w="259" w:type="pct"/>
          </w:tcPr>
          <w:p w14:paraId="5B6FCFA8" w14:textId="77777777" w:rsidR="0008774B" w:rsidRPr="00795F17" w:rsidRDefault="0008774B" w:rsidP="004446A2">
            <w:pPr>
              <w:pStyle w:val="Teksttabelisrodek"/>
            </w:pPr>
            <w:r w:rsidRPr="00795F17">
              <w:t>2.</w:t>
            </w:r>
          </w:p>
        </w:tc>
        <w:tc>
          <w:tcPr>
            <w:tcW w:w="3803" w:type="pct"/>
          </w:tcPr>
          <w:p w14:paraId="6B7E5810" w14:textId="77777777" w:rsidR="0008774B" w:rsidRPr="00795F17" w:rsidRDefault="0008774B" w:rsidP="004446A2">
            <w:pPr>
              <w:pStyle w:val="Teksttabelilewy"/>
            </w:pPr>
            <w:r w:rsidRPr="00795F17">
              <w:t>Obowiązki w zakresie uzyskania pozwolenia zintegrowanego dla instalacji</w:t>
            </w:r>
          </w:p>
        </w:tc>
        <w:tc>
          <w:tcPr>
            <w:tcW w:w="937" w:type="pct"/>
          </w:tcPr>
          <w:p w14:paraId="69055D90" w14:textId="77777777" w:rsidR="0008774B" w:rsidRPr="00795F17" w:rsidRDefault="0008774B" w:rsidP="004446A2">
            <w:pPr>
              <w:pStyle w:val="Teksttabelisrodek"/>
            </w:pPr>
            <w:r w:rsidRPr="00795F17">
              <w:t>działanie ciągłe</w:t>
            </w:r>
          </w:p>
        </w:tc>
      </w:tr>
      <w:tr w:rsidR="0008774B" w:rsidRPr="00795F17" w14:paraId="475234A3" w14:textId="77777777" w:rsidTr="009A7917">
        <w:trPr>
          <w:trHeight w:val="454"/>
        </w:trPr>
        <w:tc>
          <w:tcPr>
            <w:tcW w:w="259" w:type="pct"/>
          </w:tcPr>
          <w:p w14:paraId="64CCB68A" w14:textId="77777777" w:rsidR="0008774B" w:rsidRPr="00795F17" w:rsidRDefault="0008774B" w:rsidP="004446A2">
            <w:pPr>
              <w:pStyle w:val="Teksttabelisrodek"/>
            </w:pPr>
            <w:r w:rsidRPr="00795F17">
              <w:t>3.</w:t>
            </w:r>
          </w:p>
        </w:tc>
        <w:tc>
          <w:tcPr>
            <w:tcW w:w="3803" w:type="pct"/>
          </w:tcPr>
          <w:p w14:paraId="1C83BA5B" w14:textId="77777777" w:rsidR="0008774B" w:rsidRPr="00795F17" w:rsidRDefault="0008774B" w:rsidP="004446A2">
            <w:pPr>
              <w:pStyle w:val="Teksttabelilewy"/>
            </w:pPr>
            <w:r w:rsidRPr="00795F17">
              <w:t>Kontrola warunków odprowadzania ścieków</w:t>
            </w:r>
          </w:p>
        </w:tc>
        <w:tc>
          <w:tcPr>
            <w:tcW w:w="937" w:type="pct"/>
          </w:tcPr>
          <w:p w14:paraId="0490EFF5" w14:textId="77777777" w:rsidR="0008774B" w:rsidRPr="00795F17" w:rsidRDefault="0008774B" w:rsidP="004446A2">
            <w:pPr>
              <w:pStyle w:val="Teksttabelisrodek"/>
            </w:pPr>
            <w:r w:rsidRPr="00795F17">
              <w:t>działanie ciągłe</w:t>
            </w:r>
          </w:p>
        </w:tc>
      </w:tr>
      <w:tr w:rsidR="0008774B" w:rsidRPr="00795F17" w14:paraId="57F1B7B9" w14:textId="77777777" w:rsidTr="009A7917">
        <w:trPr>
          <w:trHeight w:val="454"/>
        </w:trPr>
        <w:tc>
          <w:tcPr>
            <w:tcW w:w="259" w:type="pct"/>
          </w:tcPr>
          <w:p w14:paraId="37BA389E" w14:textId="77777777" w:rsidR="0008774B" w:rsidRPr="00795F17" w:rsidRDefault="0008774B" w:rsidP="004446A2">
            <w:pPr>
              <w:pStyle w:val="Teksttabelisrodek"/>
            </w:pPr>
            <w:r w:rsidRPr="00795F17">
              <w:t>4.</w:t>
            </w:r>
          </w:p>
        </w:tc>
        <w:tc>
          <w:tcPr>
            <w:tcW w:w="3803" w:type="pct"/>
          </w:tcPr>
          <w:p w14:paraId="7E1AD259" w14:textId="77777777" w:rsidR="0008774B" w:rsidRPr="00795F17" w:rsidRDefault="0008774B" w:rsidP="004446A2">
            <w:pPr>
              <w:pStyle w:val="Teksttabelilewy"/>
            </w:pPr>
            <w:r w:rsidRPr="00795F17">
              <w:t>Obowiązek uzyskania pozwolenia wodnoprawnego na wprowadzanie ścieków przemysłowych do systemów zbierania i oczyszczania ścieków komunalnych</w:t>
            </w:r>
          </w:p>
        </w:tc>
        <w:tc>
          <w:tcPr>
            <w:tcW w:w="937" w:type="pct"/>
          </w:tcPr>
          <w:p w14:paraId="66048F13" w14:textId="77777777" w:rsidR="0008774B" w:rsidRPr="00795F17" w:rsidRDefault="0008774B" w:rsidP="004446A2">
            <w:pPr>
              <w:pStyle w:val="Teksttabelisrodek"/>
            </w:pPr>
            <w:r w:rsidRPr="00795F17">
              <w:t>działanie ciągłe</w:t>
            </w:r>
          </w:p>
        </w:tc>
      </w:tr>
      <w:tr w:rsidR="0008774B" w:rsidRPr="00795F17" w14:paraId="43D8D93F" w14:textId="77777777" w:rsidTr="009A7917">
        <w:trPr>
          <w:trHeight w:val="454"/>
        </w:trPr>
        <w:tc>
          <w:tcPr>
            <w:tcW w:w="259" w:type="pct"/>
          </w:tcPr>
          <w:p w14:paraId="6F221CA8" w14:textId="77777777" w:rsidR="0008774B" w:rsidRPr="00795F17" w:rsidRDefault="0008774B" w:rsidP="004446A2">
            <w:pPr>
              <w:pStyle w:val="Teksttabelisrodek"/>
            </w:pPr>
            <w:r w:rsidRPr="00795F17">
              <w:t>5.</w:t>
            </w:r>
          </w:p>
        </w:tc>
        <w:tc>
          <w:tcPr>
            <w:tcW w:w="3803" w:type="pct"/>
          </w:tcPr>
          <w:p w14:paraId="0AB23AD1" w14:textId="77777777" w:rsidR="0008774B" w:rsidRPr="00795F17" w:rsidRDefault="0008774B" w:rsidP="004446A2">
            <w:pPr>
              <w:pStyle w:val="Teksttabelilewy"/>
            </w:pPr>
            <w:r w:rsidRPr="00795F17">
              <w:t>Kontrola dopuszczalnych mas substancji w odprowadzanych ściekach przemysłowych</w:t>
            </w:r>
          </w:p>
        </w:tc>
        <w:tc>
          <w:tcPr>
            <w:tcW w:w="937" w:type="pct"/>
          </w:tcPr>
          <w:p w14:paraId="7287190C" w14:textId="77777777" w:rsidR="0008774B" w:rsidRPr="00795F17" w:rsidRDefault="0008774B" w:rsidP="004446A2">
            <w:pPr>
              <w:pStyle w:val="Teksttabelisrodek"/>
            </w:pPr>
            <w:r w:rsidRPr="00795F17">
              <w:t>działanie ciągłe</w:t>
            </w:r>
          </w:p>
        </w:tc>
      </w:tr>
      <w:tr w:rsidR="0008774B" w:rsidRPr="00795F17" w14:paraId="616DC30B" w14:textId="77777777" w:rsidTr="009A7917">
        <w:trPr>
          <w:trHeight w:val="454"/>
        </w:trPr>
        <w:tc>
          <w:tcPr>
            <w:tcW w:w="259" w:type="pct"/>
          </w:tcPr>
          <w:p w14:paraId="71131156" w14:textId="77777777" w:rsidR="0008774B" w:rsidRPr="00795F17" w:rsidRDefault="0008774B" w:rsidP="004446A2">
            <w:pPr>
              <w:pStyle w:val="Teksttabelisrodek"/>
            </w:pPr>
            <w:r w:rsidRPr="00795F17">
              <w:t>6.</w:t>
            </w:r>
          </w:p>
        </w:tc>
        <w:tc>
          <w:tcPr>
            <w:tcW w:w="3803" w:type="pct"/>
          </w:tcPr>
          <w:p w14:paraId="038D0D14" w14:textId="77777777" w:rsidR="0008774B" w:rsidRPr="00795F17" w:rsidRDefault="0008774B" w:rsidP="004446A2">
            <w:pPr>
              <w:pStyle w:val="Teksttabelilewy"/>
            </w:pPr>
            <w:r w:rsidRPr="00795F17">
              <w:t>Zakaz zrzutu ścieków ze statków do wód powierzchniowych</w:t>
            </w:r>
          </w:p>
        </w:tc>
        <w:tc>
          <w:tcPr>
            <w:tcW w:w="937" w:type="pct"/>
          </w:tcPr>
          <w:p w14:paraId="553B5D0E" w14:textId="77777777" w:rsidR="0008774B" w:rsidRPr="00795F17" w:rsidRDefault="0008774B" w:rsidP="004446A2">
            <w:pPr>
              <w:pStyle w:val="Teksttabelisrodek"/>
            </w:pPr>
            <w:r w:rsidRPr="00795F17">
              <w:t>działanie ciągłe</w:t>
            </w:r>
          </w:p>
        </w:tc>
      </w:tr>
      <w:tr w:rsidR="0008774B" w:rsidRPr="00795F17" w14:paraId="7357023D" w14:textId="77777777" w:rsidTr="009A7917">
        <w:trPr>
          <w:trHeight w:val="454"/>
        </w:trPr>
        <w:tc>
          <w:tcPr>
            <w:tcW w:w="259" w:type="pct"/>
          </w:tcPr>
          <w:p w14:paraId="4AE0587C" w14:textId="77777777" w:rsidR="0008774B" w:rsidRPr="00795F17" w:rsidRDefault="0008774B" w:rsidP="004446A2">
            <w:pPr>
              <w:pStyle w:val="Teksttabelisrodek"/>
            </w:pPr>
            <w:r w:rsidRPr="00795F17">
              <w:t>7.</w:t>
            </w:r>
          </w:p>
        </w:tc>
        <w:tc>
          <w:tcPr>
            <w:tcW w:w="3803" w:type="pct"/>
          </w:tcPr>
          <w:p w14:paraId="1BAF5E92" w14:textId="77777777" w:rsidR="0008774B" w:rsidRPr="00795F17" w:rsidRDefault="0008774B" w:rsidP="004446A2">
            <w:pPr>
              <w:pStyle w:val="Teksttabelilewy"/>
            </w:pPr>
            <w:r w:rsidRPr="00795F17">
              <w:t>Obowiązek w zakresie uzyskania pozwolenia wodnoprawnego na wprowadzanie ścieków w ramach szczególnego korzystania z wód</w:t>
            </w:r>
          </w:p>
        </w:tc>
        <w:tc>
          <w:tcPr>
            <w:tcW w:w="937" w:type="pct"/>
          </w:tcPr>
          <w:p w14:paraId="31CBD27E" w14:textId="77777777" w:rsidR="0008774B" w:rsidRPr="00795F17" w:rsidRDefault="0008774B" w:rsidP="004446A2">
            <w:pPr>
              <w:pStyle w:val="Teksttabelisrodek"/>
            </w:pPr>
            <w:r w:rsidRPr="00795F17">
              <w:t>działanie ciągłe</w:t>
            </w:r>
          </w:p>
        </w:tc>
      </w:tr>
      <w:tr w:rsidR="0008774B" w:rsidRPr="00795F17" w14:paraId="4BC57D08" w14:textId="77777777" w:rsidTr="009A7917">
        <w:trPr>
          <w:trHeight w:val="454"/>
        </w:trPr>
        <w:tc>
          <w:tcPr>
            <w:tcW w:w="259" w:type="pct"/>
          </w:tcPr>
          <w:p w14:paraId="6BFDCF86" w14:textId="77777777" w:rsidR="0008774B" w:rsidRPr="00795F17" w:rsidRDefault="0008774B" w:rsidP="004446A2">
            <w:pPr>
              <w:pStyle w:val="Teksttabelisrodek"/>
            </w:pPr>
            <w:r w:rsidRPr="00795F17">
              <w:t>8.</w:t>
            </w:r>
          </w:p>
        </w:tc>
        <w:tc>
          <w:tcPr>
            <w:tcW w:w="3803" w:type="pct"/>
          </w:tcPr>
          <w:p w14:paraId="030F4124" w14:textId="77777777" w:rsidR="0008774B" w:rsidRPr="00795F17" w:rsidRDefault="0008774B" w:rsidP="004446A2">
            <w:pPr>
              <w:pStyle w:val="Teksttabelilewy"/>
            </w:pPr>
            <w:r w:rsidRPr="00795F17">
              <w:t>Obowiązek zapewnienia, że wartości dopuszczalne zanieczyszczeń w ściekach wprowadzanych do wód i do ziemi nie są przekroczone</w:t>
            </w:r>
          </w:p>
        </w:tc>
        <w:tc>
          <w:tcPr>
            <w:tcW w:w="937" w:type="pct"/>
          </w:tcPr>
          <w:p w14:paraId="7B42C67C" w14:textId="77777777" w:rsidR="0008774B" w:rsidRPr="00795F17" w:rsidRDefault="0008774B" w:rsidP="004446A2">
            <w:pPr>
              <w:pStyle w:val="Teksttabelisrodek"/>
            </w:pPr>
            <w:r w:rsidRPr="00795F17">
              <w:t>działanie ciągłe</w:t>
            </w:r>
          </w:p>
        </w:tc>
      </w:tr>
      <w:tr w:rsidR="0008774B" w:rsidRPr="00795F17" w14:paraId="4E13A084" w14:textId="77777777" w:rsidTr="009A7917">
        <w:trPr>
          <w:trHeight w:val="454"/>
        </w:trPr>
        <w:tc>
          <w:tcPr>
            <w:tcW w:w="259" w:type="pct"/>
          </w:tcPr>
          <w:p w14:paraId="725A81BB" w14:textId="77777777" w:rsidR="0008774B" w:rsidRPr="00795F17" w:rsidRDefault="0008774B" w:rsidP="004446A2">
            <w:pPr>
              <w:pStyle w:val="Teksttabelisrodek"/>
            </w:pPr>
            <w:r w:rsidRPr="00795F17">
              <w:t>9.</w:t>
            </w:r>
          </w:p>
        </w:tc>
        <w:tc>
          <w:tcPr>
            <w:tcW w:w="3803" w:type="pct"/>
          </w:tcPr>
          <w:p w14:paraId="152FDD5F" w14:textId="77777777" w:rsidR="0008774B" w:rsidRPr="00795F17" w:rsidRDefault="0008774B" w:rsidP="004446A2">
            <w:pPr>
              <w:pStyle w:val="Teksttabelilewy"/>
            </w:pPr>
            <w:r w:rsidRPr="00795F17">
              <w:t>Kontrola dotycząca przestrzegania decyzji ustalających warunki korzystania ze środowiska oraz przestrzegania zakresu, częstotliwości i sposobu prowadzenia pomiarów wielkości emisji i jej wpływu na stan środowiska</w:t>
            </w:r>
          </w:p>
        </w:tc>
        <w:tc>
          <w:tcPr>
            <w:tcW w:w="937" w:type="pct"/>
          </w:tcPr>
          <w:p w14:paraId="684C317E" w14:textId="77777777" w:rsidR="0008774B" w:rsidRPr="00795F17" w:rsidRDefault="0008774B" w:rsidP="004446A2">
            <w:pPr>
              <w:pStyle w:val="Teksttabelisrodek"/>
            </w:pPr>
            <w:r w:rsidRPr="00795F17">
              <w:t>działanie ciągłe</w:t>
            </w:r>
          </w:p>
        </w:tc>
      </w:tr>
      <w:tr w:rsidR="0008774B" w:rsidRPr="00795F17" w14:paraId="16CA60A9" w14:textId="77777777" w:rsidTr="009A7917">
        <w:trPr>
          <w:trHeight w:val="454"/>
        </w:trPr>
        <w:tc>
          <w:tcPr>
            <w:tcW w:w="259" w:type="pct"/>
          </w:tcPr>
          <w:p w14:paraId="6201B773" w14:textId="77777777" w:rsidR="0008774B" w:rsidRPr="00795F17" w:rsidRDefault="0008774B" w:rsidP="004446A2">
            <w:pPr>
              <w:pStyle w:val="Teksttabelisrodek"/>
            </w:pPr>
            <w:r w:rsidRPr="00795F17">
              <w:t>10.</w:t>
            </w:r>
          </w:p>
        </w:tc>
        <w:tc>
          <w:tcPr>
            <w:tcW w:w="3803" w:type="pct"/>
          </w:tcPr>
          <w:p w14:paraId="76E7AC43" w14:textId="77777777" w:rsidR="0008774B" w:rsidRPr="00795F17" w:rsidRDefault="0008774B" w:rsidP="004446A2">
            <w:pPr>
              <w:pStyle w:val="Teksttabelilewy"/>
            </w:pPr>
            <w:r w:rsidRPr="00795F17">
              <w:t>Przegląd ustaleń pozwoleń wodnoprawnych na odprowadzanie ścieków oraz realizacji tych pozwoleń co najmniej raz na 4 lata</w:t>
            </w:r>
          </w:p>
        </w:tc>
        <w:tc>
          <w:tcPr>
            <w:tcW w:w="937" w:type="pct"/>
          </w:tcPr>
          <w:p w14:paraId="30C87F5A" w14:textId="77777777" w:rsidR="0008774B" w:rsidRPr="00795F17" w:rsidRDefault="0008774B" w:rsidP="004446A2">
            <w:pPr>
              <w:pStyle w:val="Teksttabelisrodek"/>
            </w:pPr>
            <w:r w:rsidRPr="00795F17">
              <w:t>działanie ciągłe</w:t>
            </w:r>
          </w:p>
        </w:tc>
      </w:tr>
      <w:tr w:rsidR="0008774B" w:rsidRPr="00795F17" w14:paraId="0D6DCABE" w14:textId="77777777" w:rsidTr="009A7917">
        <w:trPr>
          <w:trHeight w:val="454"/>
        </w:trPr>
        <w:tc>
          <w:tcPr>
            <w:tcW w:w="5000" w:type="pct"/>
            <w:gridSpan w:val="3"/>
            <w:shd w:val="clear" w:color="auto" w:fill="D9D9D9" w:themeFill="background1" w:themeFillShade="D9"/>
          </w:tcPr>
          <w:p w14:paraId="6CEAF960" w14:textId="77777777" w:rsidR="0008774B" w:rsidRPr="00795F17" w:rsidRDefault="0008774B" w:rsidP="004446A2">
            <w:pPr>
              <w:pStyle w:val="Teksttabelisrodek"/>
            </w:pPr>
            <w:r w:rsidRPr="00795F17">
              <w:t>Pośredni wpływ na eliminację zanieczyszczeń</w:t>
            </w:r>
          </w:p>
        </w:tc>
      </w:tr>
      <w:tr w:rsidR="0008774B" w:rsidRPr="00795F17" w14:paraId="1CE8538D" w14:textId="77777777" w:rsidTr="009A7917">
        <w:trPr>
          <w:trHeight w:val="454"/>
        </w:trPr>
        <w:tc>
          <w:tcPr>
            <w:tcW w:w="259" w:type="pct"/>
          </w:tcPr>
          <w:p w14:paraId="4807A008" w14:textId="77777777" w:rsidR="0008774B" w:rsidRPr="00795F17" w:rsidRDefault="0008774B" w:rsidP="004446A2">
            <w:pPr>
              <w:pStyle w:val="Teksttabelisrodek"/>
            </w:pPr>
            <w:r w:rsidRPr="00795F17">
              <w:t>1.</w:t>
            </w:r>
          </w:p>
        </w:tc>
        <w:tc>
          <w:tcPr>
            <w:tcW w:w="3803" w:type="pct"/>
          </w:tcPr>
          <w:p w14:paraId="679337E8" w14:textId="77777777" w:rsidR="0008774B" w:rsidRPr="00795F17" w:rsidRDefault="0008774B" w:rsidP="004446A2">
            <w:pPr>
              <w:pStyle w:val="Teksttabelilewy"/>
            </w:pPr>
            <w:r w:rsidRPr="00795F17">
              <w:t>Obowiązki w zakresie przeprowadzenia procedury oceny oddziaływania na środowisko lub obszar Natura2000 dla przedsięwzięć</w:t>
            </w:r>
          </w:p>
        </w:tc>
        <w:tc>
          <w:tcPr>
            <w:tcW w:w="937" w:type="pct"/>
          </w:tcPr>
          <w:p w14:paraId="15D4B9CB" w14:textId="77777777" w:rsidR="0008774B" w:rsidRPr="00795F17" w:rsidRDefault="0008774B" w:rsidP="004446A2">
            <w:pPr>
              <w:pStyle w:val="Teksttabelisrodek"/>
            </w:pPr>
            <w:r w:rsidRPr="00795F17">
              <w:t>działanie ciągłe</w:t>
            </w:r>
          </w:p>
        </w:tc>
      </w:tr>
      <w:tr w:rsidR="0008774B" w:rsidRPr="00795F17" w14:paraId="73DC6DE9" w14:textId="77777777" w:rsidTr="009A7917">
        <w:trPr>
          <w:trHeight w:val="454"/>
        </w:trPr>
        <w:tc>
          <w:tcPr>
            <w:tcW w:w="259" w:type="pct"/>
          </w:tcPr>
          <w:p w14:paraId="17DA018C" w14:textId="77777777" w:rsidR="0008774B" w:rsidRPr="00795F17" w:rsidRDefault="0008774B" w:rsidP="004446A2">
            <w:pPr>
              <w:pStyle w:val="Teksttabelisrodek"/>
            </w:pPr>
            <w:r w:rsidRPr="00795F17">
              <w:t>2.</w:t>
            </w:r>
          </w:p>
        </w:tc>
        <w:tc>
          <w:tcPr>
            <w:tcW w:w="3803" w:type="pct"/>
          </w:tcPr>
          <w:p w14:paraId="217A099D" w14:textId="77777777" w:rsidR="0008774B" w:rsidRPr="00795F17" w:rsidRDefault="0008774B" w:rsidP="004446A2">
            <w:pPr>
              <w:pStyle w:val="Teksttabelilewy"/>
            </w:pPr>
            <w:r w:rsidRPr="00795F17">
              <w:t>Obowiązki związane z zatwierdzaniem, stosowaniem i udostępnianiem informacji dotyczącej środków ochrony roślin</w:t>
            </w:r>
          </w:p>
        </w:tc>
        <w:tc>
          <w:tcPr>
            <w:tcW w:w="937" w:type="pct"/>
          </w:tcPr>
          <w:p w14:paraId="61CF96E3" w14:textId="77777777" w:rsidR="0008774B" w:rsidRPr="00795F17" w:rsidRDefault="0008774B" w:rsidP="004446A2">
            <w:pPr>
              <w:pStyle w:val="Teksttabelisrodek"/>
            </w:pPr>
            <w:r w:rsidRPr="00795F17">
              <w:t>działanie ciągłe</w:t>
            </w:r>
          </w:p>
        </w:tc>
      </w:tr>
      <w:tr w:rsidR="0008774B" w:rsidRPr="00795F17" w14:paraId="650B29FB" w14:textId="77777777" w:rsidTr="009A7917">
        <w:trPr>
          <w:trHeight w:val="454"/>
        </w:trPr>
        <w:tc>
          <w:tcPr>
            <w:tcW w:w="259" w:type="pct"/>
          </w:tcPr>
          <w:p w14:paraId="6A716F9D" w14:textId="77777777" w:rsidR="0008774B" w:rsidRPr="00795F17" w:rsidRDefault="0008774B" w:rsidP="004446A2">
            <w:pPr>
              <w:pStyle w:val="Teksttabelisrodek"/>
            </w:pPr>
            <w:r w:rsidRPr="00795F17">
              <w:t>3.</w:t>
            </w:r>
          </w:p>
        </w:tc>
        <w:tc>
          <w:tcPr>
            <w:tcW w:w="3803" w:type="pct"/>
          </w:tcPr>
          <w:p w14:paraId="1CD3D080" w14:textId="42F0E304" w:rsidR="0008774B" w:rsidRPr="00795F17" w:rsidRDefault="0008774B" w:rsidP="004446A2">
            <w:pPr>
              <w:pStyle w:val="Teksttabelilewy"/>
            </w:pPr>
            <w:r w:rsidRPr="00C70289">
              <w:t xml:space="preserve">Przeprowadzanie kontroli zgodności </w:t>
            </w:r>
            <w:r w:rsidRPr="00C70289" w:rsidDel="008E3523">
              <w:t xml:space="preserve">z </w:t>
            </w:r>
            <w:r w:rsidRPr="00C70289">
              <w:t>przepisami rozporządzenia Parlamentu Europejskiego o środkach ochrony roślin</w:t>
            </w:r>
          </w:p>
        </w:tc>
        <w:tc>
          <w:tcPr>
            <w:tcW w:w="937" w:type="pct"/>
          </w:tcPr>
          <w:p w14:paraId="04F278A6" w14:textId="77777777" w:rsidR="0008774B" w:rsidRPr="00795F17" w:rsidRDefault="0008774B" w:rsidP="004446A2">
            <w:pPr>
              <w:pStyle w:val="Teksttabelisrodek"/>
            </w:pPr>
            <w:r w:rsidRPr="00795F17">
              <w:t>działanie ciągłe</w:t>
            </w:r>
          </w:p>
        </w:tc>
      </w:tr>
      <w:tr w:rsidR="0008774B" w:rsidRPr="00795F17" w14:paraId="1AFF33FF" w14:textId="77777777" w:rsidTr="009A7917">
        <w:trPr>
          <w:trHeight w:val="454"/>
        </w:trPr>
        <w:tc>
          <w:tcPr>
            <w:tcW w:w="259" w:type="pct"/>
          </w:tcPr>
          <w:p w14:paraId="78566C6E" w14:textId="77777777" w:rsidR="0008774B" w:rsidRPr="00795F17" w:rsidRDefault="0008774B" w:rsidP="004446A2">
            <w:pPr>
              <w:pStyle w:val="Teksttabelisrodek"/>
            </w:pPr>
            <w:r w:rsidRPr="00795F17">
              <w:t>4.</w:t>
            </w:r>
          </w:p>
        </w:tc>
        <w:tc>
          <w:tcPr>
            <w:tcW w:w="3803" w:type="pct"/>
          </w:tcPr>
          <w:p w14:paraId="268AA788" w14:textId="77777777" w:rsidR="0008774B" w:rsidRPr="00795F17" w:rsidRDefault="0008774B" w:rsidP="004446A2">
            <w:pPr>
              <w:pStyle w:val="Teksttabelilewy"/>
            </w:pPr>
            <w:r w:rsidRPr="00795F17">
              <w:t>Obowiązki związane z prowadzeniem instalacji o zwiększonym i dużym ryzyku wystąpienia awarii, a także przeciwdziałaniem poważnym awariom</w:t>
            </w:r>
          </w:p>
        </w:tc>
        <w:tc>
          <w:tcPr>
            <w:tcW w:w="937" w:type="pct"/>
          </w:tcPr>
          <w:p w14:paraId="3049D1B7" w14:textId="77777777" w:rsidR="0008774B" w:rsidRPr="00795F17" w:rsidRDefault="0008774B" w:rsidP="004446A2">
            <w:pPr>
              <w:pStyle w:val="Teksttabelisrodek"/>
            </w:pPr>
            <w:r w:rsidRPr="00795F17">
              <w:t>działanie ciągłe</w:t>
            </w:r>
          </w:p>
        </w:tc>
      </w:tr>
      <w:tr w:rsidR="0008774B" w:rsidRPr="00795F17" w14:paraId="573AC4F7" w14:textId="77777777" w:rsidTr="009A7917">
        <w:trPr>
          <w:trHeight w:val="454"/>
        </w:trPr>
        <w:tc>
          <w:tcPr>
            <w:tcW w:w="259" w:type="pct"/>
          </w:tcPr>
          <w:p w14:paraId="4B7A814C" w14:textId="77777777" w:rsidR="0008774B" w:rsidRPr="00795F17" w:rsidRDefault="0008774B" w:rsidP="004446A2">
            <w:pPr>
              <w:pStyle w:val="Teksttabelisrodek"/>
            </w:pPr>
            <w:r w:rsidRPr="00795F17">
              <w:t>5.</w:t>
            </w:r>
          </w:p>
        </w:tc>
        <w:tc>
          <w:tcPr>
            <w:tcW w:w="3803" w:type="pct"/>
          </w:tcPr>
          <w:p w14:paraId="35BF1B46" w14:textId="77777777" w:rsidR="0008774B" w:rsidRPr="00795F17" w:rsidRDefault="0008774B" w:rsidP="004446A2">
            <w:pPr>
              <w:pStyle w:val="Teksttabelilewy"/>
            </w:pPr>
            <w:r w:rsidRPr="00795F17">
              <w:t>Wymagania związane z planami operacyjno-ratowniczymi i bezpieczeństwem społeczeństwa</w:t>
            </w:r>
          </w:p>
        </w:tc>
        <w:tc>
          <w:tcPr>
            <w:tcW w:w="937" w:type="pct"/>
          </w:tcPr>
          <w:p w14:paraId="7F861E06" w14:textId="77777777" w:rsidR="0008774B" w:rsidRPr="00795F17" w:rsidRDefault="0008774B" w:rsidP="004446A2">
            <w:pPr>
              <w:pStyle w:val="Teksttabelisrodek"/>
            </w:pPr>
            <w:r w:rsidRPr="00795F17">
              <w:t>działanie ciągłe</w:t>
            </w:r>
          </w:p>
        </w:tc>
      </w:tr>
      <w:tr w:rsidR="0008774B" w:rsidRPr="00795F17" w14:paraId="5C9D4F40" w14:textId="77777777" w:rsidTr="009A7917">
        <w:trPr>
          <w:trHeight w:val="454"/>
        </w:trPr>
        <w:tc>
          <w:tcPr>
            <w:tcW w:w="259" w:type="pct"/>
          </w:tcPr>
          <w:p w14:paraId="04A30A15" w14:textId="77777777" w:rsidR="0008774B" w:rsidRPr="00795F17" w:rsidRDefault="0008774B" w:rsidP="004446A2">
            <w:pPr>
              <w:pStyle w:val="Teksttabelisrodek"/>
            </w:pPr>
            <w:r w:rsidRPr="00795F17">
              <w:t>6.</w:t>
            </w:r>
          </w:p>
        </w:tc>
        <w:tc>
          <w:tcPr>
            <w:tcW w:w="3803" w:type="pct"/>
          </w:tcPr>
          <w:p w14:paraId="7DC66CA4" w14:textId="77777777" w:rsidR="0008774B" w:rsidRPr="00795F17" w:rsidRDefault="0008774B" w:rsidP="004446A2">
            <w:pPr>
              <w:pStyle w:val="Teksttabelilewy"/>
            </w:pPr>
            <w:r w:rsidRPr="00795F17">
              <w:t>Realizacja KPOŚK</w:t>
            </w:r>
          </w:p>
        </w:tc>
        <w:tc>
          <w:tcPr>
            <w:tcW w:w="937" w:type="pct"/>
          </w:tcPr>
          <w:p w14:paraId="4042C571" w14:textId="77777777" w:rsidR="0008774B" w:rsidRPr="00795F17" w:rsidRDefault="0008774B" w:rsidP="004446A2">
            <w:pPr>
              <w:pStyle w:val="Teksttabelisrodek"/>
            </w:pPr>
            <w:r w:rsidRPr="00795F17">
              <w:t>działanie ciągłe</w:t>
            </w:r>
          </w:p>
        </w:tc>
      </w:tr>
      <w:tr w:rsidR="0008774B" w:rsidRPr="00795F17" w14:paraId="6D3DF770" w14:textId="77777777" w:rsidTr="009A7917">
        <w:trPr>
          <w:trHeight w:val="454"/>
        </w:trPr>
        <w:tc>
          <w:tcPr>
            <w:tcW w:w="259" w:type="pct"/>
          </w:tcPr>
          <w:p w14:paraId="19F623DE" w14:textId="77777777" w:rsidR="0008774B" w:rsidRPr="00795F17" w:rsidRDefault="0008774B" w:rsidP="004446A2">
            <w:pPr>
              <w:pStyle w:val="Teksttabelisrodek"/>
            </w:pPr>
            <w:r w:rsidRPr="00795F17">
              <w:t>7.</w:t>
            </w:r>
          </w:p>
        </w:tc>
        <w:tc>
          <w:tcPr>
            <w:tcW w:w="3803" w:type="pct"/>
          </w:tcPr>
          <w:p w14:paraId="12CAB86B" w14:textId="77777777" w:rsidR="0008774B" w:rsidRPr="00795F17" w:rsidRDefault="0008774B" w:rsidP="004446A2">
            <w:pPr>
              <w:pStyle w:val="Teksttabelilewy"/>
            </w:pPr>
            <w:r w:rsidRPr="00795F17">
              <w:t>Obowiązki związane ze zbieraniem, przetwarzaniem i ewidencją komunalnych osadów ściekowych</w:t>
            </w:r>
          </w:p>
        </w:tc>
        <w:tc>
          <w:tcPr>
            <w:tcW w:w="937" w:type="pct"/>
          </w:tcPr>
          <w:p w14:paraId="0611A044" w14:textId="77777777" w:rsidR="0008774B" w:rsidRPr="00795F17" w:rsidRDefault="0008774B" w:rsidP="004446A2">
            <w:pPr>
              <w:pStyle w:val="Teksttabelisrodek"/>
            </w:pPr>
            <w:r w:rsidRPr="00795F17">
              <w:t>działanie ciągłe</w:t>
            </w:r>
          </w:p>
        </w:tc>
      </w:tr>
      <w:tr w:rsidR="0008774B" w:rsidRPr="00795F17" w14:paraId="49981565" w14:textId="77777777" w:rsidTr="009A7917">
        <w:trPr>
          <w:trHeight w:val="454"/>
        </w:trPr>
        <w:tc>
          <w:tcPr>
            <w:tcW w:w="259" w:type="pct"/>
          </w:tcPr>
          <w:p w14:paraId="7D4A805D" w14:textId="77777777" w:rsidR="0008774B" w:rsidRPr="00795F17" w:rsidRDefault="0008774B" w:rsidP="004446A2">
            <w:pPr>
              <w:pStyle w:val="Teksttabelisrodek"/>
            </w:pPr>
            <w:r w:rsidRPr="00795F17">
              <w:t>8.</w:t>
            </w:r>
          </w:p>
        </w:tc>
        <w:tc>
          <w:tcPr>
            <w:tcW w:w="3803" w:type="pct"/>
          </w:tcPr>
          <w:p w14:paraId="2E2B7994" w14:textId="77777777" w:rsidR="0008774B" w:rsidRPr="00795F17" w:rsidRDefault="0008774B" w:rsidP="004446A2">
            <w:pPr>
              <w:pStyle w:val="Teksttabelilewy"/>
            </w:pPr>
            <w:r w:rsidRPr="00795F17">
              <w:t xml:space="preserve">Opracowanie zbioru zasad dobrej praktyki rolniczej (działanie wdraża zbiór zasad mających pośrednio wpływ na prawidłową gospodarkę środkami ochrony roślin przez rolników) </w:t>
            </w:r>
          </w:p>
        </w:tc>
        <w:tc>
          <w:tcPr>
            <w:tcW w:w="937" w:type="pct"/>
          </w:tcPr>
          <w:p w14:paraId="54E3FE1A" w14:textId="77777777" w:rsidR="0008774B" w:rsidRPr="00795F17" w:rsidRDefault="0008774B" w:rsidP="004446A2">
            <w:pPr>
              <w:pStyle w:val="Teksttabelisrodek"/>
            </w:pPr>
            <w:r w:rsidRPr="00795F17">
              <w:t>działanie ciągłe</w:t>
            </w:r>
          </w:p>
        </w:tc>
      </w:tr>
      <w:tr w:rsidR="0008774B" w:rsidRPr="00795F17" w14:paraId="1645DEA2" w14:textId="77777777" w:rsidTr="009A7917">
        <w:trPr>
          <w:trHeight w:val="454"/>
        </w:trPr>
        <w:tc>
          <w:tcPr>
            <w:tcW w:w="259" w:type="pct"/>
          </w:tcPr>
          <w:p w14:paraId="6A799762" w14:textId="1B6090C3" w:rsidR="0008774B" w:rsidRPr="00795F17" w:rsidRDefault="0008774B" w:rsidP="004446A2">
            <w:pPr>
              <w:pStyle w:val="Teksttabelisrodek"/>
            </w:pPr>
            <w:r w:rsidRPr="00795F17">
              <w:t>9.</w:t>
            </w:r>
          </w:p>
        </w:tc>
        <w:tc>
          <w:tcPr>
            <w:tcW w:w="3803" w:type="pct"/>
          </w:tcPr>
          <w:p w14:paraId="55B186AF" w14:textId="77777777" w:rsidR="0008774B" w:rsidRPr="00795F17" w:rsidRDefault="0008774B" w:rsidP="004446A2">
            <w:pPr>
              <w:pStyle w:val="Teksttabelilewy"/>
            </w:pPr>
            <w:r w:rsidRPr="00795F17">
              <w:t>Wdrażanie działań dla obszarów szczególnie narażonych na zanieczyszczenia związkami azotu ze źródeł rolniczych</w:t>
            </w:r>
          </w:p>
        </w:tc>
        <w:tc>
          <w:tcPr>
            <w:tcW w:w="937" w:type="pct"/>
          </w:tcPr>
          <w:p w14:paraId="1688B9A0" w14:textId="77777777" w:rsidR="0008774B" w:rsidRPr="00795F17" w:rsidRDefault="0008774B" w:rsidP="004446A2">
            <w:pPr>
              <w:pStyle w:val="Teksttabelisrodek"/>
            </w:pPr>
            <w:r w:rsidRPr="00795F17">
              <w:t>co 4 lata</w:t>
            </w:r>
          </w:p>
        </w:tc>
      </w:tr>
      <w:tr w:rsidR="0008774B" w:rsidRPr="00795F17" w14:paraId="1E81ADDF" w14:textId="77777777" w:rsidTr="009A7917">
        <w:trPr>
          <w:trHeight w:val="454"/>
        </w:trPr>
        <w:tc>
          <w:tcPr>
            <w:tcW w:w="259" w:type="pct"/>
          </w:tcPr>
          <w:p w14:paraId="117AA679" w14:textId="629E4934" w:rsidR="0008774B" w:rsidRPr="00795F17" w:rsidRDefault="0008774B" w:rsidP="004446A2">
            <w:pPr>
              <w:pStyle w:val="Teksttabelisrodek"/>
            </w:pPr>
            <w:r w:rsidRPr="00795F17">
              <w:t>10.</w:t>
            </w:r>
          </w:p>
        </w:tc>
        <w:tc>
          <w:tcPr>
            <w:tcW w:w="3803" w:type="pct"/>
          </w:tcPr>
          <w:p w14:paraId="29513D96" w14:textId="67B50A63" w:rsidR="0008774B" w:rsidRPr="00795F17" w:rsidRDefault="0008774B" w:rsidP="004446A2">
            <w:pPr>
              <w:pStyle w:val="Teksttabelilewy"/>
            </w:pPr>
            <w:r w:rsidRPr="00795F17">
              <w:t>Zapewnienie środków zapobiegania lub ograniczania wprowadzani</w:t>
            </w:r>
            <w:r w:rsidR="008E3523">
              <w:t>a</w:t>
            </w:r>
            <w:r w:rsidRPr="00795F17">
              <w:t xml:space="preserve"> zanieczyszczeń do wód podziemnych</w:t>
            </w:r>
          </w:p>
        </w:tc>
        <w:tc>
          <w:tcPr>
            <w:tcW w:w="937" w:type="pct"/>
          </w:tcPr>
          <w:p w14:paraId="2CB45DDD" w14:textId="77777777" w:rsidR="0008774B" w:rsidRPr="00795F17" w:rsidRDefault="0008774B" w:rsidP="004446A2">
            <w:pPr>
              <w:pStyle w:val="Teksttabelisrodek"/>
            </w:pPr>
            <w:r w:rsidRPr="00795F17">
              <w:t>działanie ciągłe</w:t>
            </w:r>
          </w:p>
        </w:tc>
      </w:tr>
      <w:tr w:rsidR="0008774B" w:rsidRPr="00795F17" w14:paraId="497EA3FE" w14:textId="77777777" w:rsidTr="009A7917">
        <w:trPr>
          <w:trHeight w:val="454"/>
        </w:trPr>
        <w:tc>
          <w:tcPr>
            <w:tcW w:w="259" w:type="pct"/>
          </w:tcPr>
          <w:p w14:paraId="6FF7FB88" w14:textId="6D6B2ADA" w:rsidR="0008774B" w:rsidRPr="00795F17" w:rsidRDefault="0008774B" w:rsidP="004446A2">
            <w:pPr>
              <w:pStyle w:val="Teksttabelisrodek"/>
            </w:pPr>
            <w:r w:rsidRPr="00795F17">
              <w:t>11.</w:t>
            </w:r>
          </w:p>
        </w:tc>
        <w:tc>
          <w:tcPr>
            <w:tcW w:w="3803" w:type="pct"/>
          </w:tcPr>
          <w:p w14:paraId="1779811A" w14:textId="77777777" w:rsidR="0008774B" w:rsidRPr="00795F17" w:rsidRDefault="0008774B" w:rsidP="004446A2">
            <w:pPr>
              <w:pStyle w:val="Teksttabelilewy"/>
            </w:pPr>
            <w:r w:rsidRPr="00795F17">
              <w:t>Ewidencja zbiorników bezodpływowych i przydomowych oczyszczalni ścieków</w:t>
            </w:r>
          </w:p>
        </w:tc>
        <w:tc>
          <w:tcPr>
            <w:tcW w:w="937" w:type="pct"/>
          </w:tcPr>
          <w:p w14:paraId="2B5A7D1E" w14:textId="77777777" w:rsidR="0008774B" w:rsidRPr="00795F17" w:rsidRDefault="0008774B" w:rsidP="004446A2">
            <w:pPr>
              <w:pStyle w:val="Teksttabelisrodek"/>
            </w:pPr>
            <w:r w:rsidRPr="00795F17">
              <w:t>działanie ciągłe</w:t>
            </w:r>
          </w:p>
        </w:tc>
      </w:tr>
      <w:tr w:rsidR="0008774B" w:rsidRPr="00795F17" w14:paraId="27758782" w14:textId="77777777" w:rsidTr="009A7917">
        <w:trPr>
          <w:trHeight w:val="454"/>
        </w:trPr>
        <w:tc>
          <w:tcPr>
            <w:tcW w:w="259" w:type="pct"/>
          </w:tcPr>
          <w:p w14:paraId="1A6614AD" w14:textId="77777777" w:rsidR="0008774B" w:rsidRPr="00795F17" w:rsidRDefault="0008774B" w:rsidP="004446A2">
            <w:pPr>
              <w:pStyle w:val="Teksttabelisrodek"/>
            </w:pPr>
            <w:r w:rsidRPr="00795F17">
              <w:t>12.</w:t>
            </w:r>
          </w:p>
        </w:tc>
        <w:tc>
          <w:tcPr>
            <w:tcW w:w="3803" w:type="pct"/>
          </w:tcPr>
          <w:p w14:paraId="5933FCAD" w14:textId="77777777" w:rsidR="0008774B" w:rsidRPr="00795F17" w:rsidRDefault="0008774B" w:rsidP="004446A2">
            <w:pPr>
              <w:pStyle w:val="Teksttabelilewy"/>
            </w:pPr>
            <w:r w:rsidRPr="00795F17">
              <w:t>Ewidencja umów zawartych na odbieranie odpadów komunalnych od właścicieli nieruchomości</w:t>
            </w:r>
          </w:p>
        </w:tc>
        <w:tc>
          <w:tcPr>
            <w:tcW w:w="937" w:type="pct"/>
          </w:tcPr>
          <w:p w14:paraId="3A714BCB" w14:textId="77777777" w:rsidR="0008774B" w:rsidRPr="00795F17" w:rsidRDefault="0008774B" w:rsidP="004446A2">
            <w:pPr>
              <w:pStyle w:val="Teksttabelisrodek"/>
            </w:pPr>
            <w:r w:rsidRPr="00795F17">
              <w:t>działanie ciągłe</w:t>
            </w:r>
          </w:p>
        </w:tc>
      </w:tr>
      <w:tr w:rsidR="0008774B" w:rsidRPr="00795F17" w14:paraId="0FDEB68E" w14:textId="77777777" w:rsidTr="009A7917">
        <w:trPr>
          <w:trHeight w:val="454"/>
        </w:trPr>
        <w:tc>
          <w:tcPr>
            <w:tcW w:w="259" w:type="pct"/>
          </w:tcPr>
          <w:p w14:paraId="62DC5B1E" w14:textId="77777777" w:rsidR="0008774B" w:rsidRPr="00795F17" w:rsidRDefault="0008774B" w:rsidP="004446A2">
            <w:pPr>
              <w:pStyle w:val="Teksttabelisrodek"/>
            </w:pPr>
            <w:r w:rsidRPr="00795F17">
              <w:t>13.</w:t>
            </w:r>
          </w:p>
        </w:tc>
        <w:tc>
          <w:tcPr>
            <w:tcW w:w="3803" w:type="pct"/>
          </w:tcPr>
          <w:p w14:paraId="3AA08662" w14:textId="77777777" w:rsidR="0008774B" w:rsidRPr="00795F17" w:rsidRDefault="0008774B" w:rsidP="004446A2">
            <w:pPr>
              <w:pStyle w:val="Teksttabelilewy"/>
            </w:pPr>
            <w:r w:rsidRPr="00795F17">
              <w:t>Obowiązek przyłączenia nieruchomości do istniejącej sieci kanalizacyjnej</w:t>
            </w:r>
          </w:p>
        </w:tc>
        <w:tc>
          <w:tcPr>
            <w:tcW w:w="937" w:type="pct"/>
          </w:tcPr>
          <w:p w14:paraId="3B503A70" w14:textId="77777777" w:rsidR="0008774B" w:rsidRPr="00795F17" w:rsidRDefault="0008774B" w:rsidP="004446A2">
            <w:pPr>
              <w:pStyle w:val="Teksttabelisrodek"/>
            </w:pPr>
            <w:r w:rsidRPr="00795F17">
              <w:t>działanie ciągłe</w:t>
            </w:r>
          </w:p>
        </w:tc>
      </w:tr>
      <w:tr w:rsidR="0008774B" w:rsidRPr="00795F17" w14:paraId="5F1EB8E0" w14:textId="77777777" w:rsidTr="009A7917">
        <w:trPr>
          <w:trHeight w:val="454"/>
        </w:trPr>
        <w:tc>
          <w:tcPr>
            <w:tcW w:w="259" w:type="pct"/>
          </w:tcPr>
          <w:p w14:paraId="6E0E0D38" w14:textId="77777777" w:rsidR="0008774B" w:rsidRPr="00795F17" w:rsidRDefault="0008774B" w:rsidP="004446A2">
            <w:pPr>
              <w:pStyle w:val="Teksttabelisrodek"/>
            </w:pPr>
            <w:r w:rsidRPr="00795F17">
              <w:t>14.</w:t>
            </w:r>
          </w:p>
        </w:tc>
        <w:tc>
          <w:tcPr>
            <w:tcW w:w="3803" w:type="pct"/>
          </w:tcPr>
          <w:p w14:paraId="2C1E20EB" w14:textId="77777777" w:rsidR="0008774B" w:rsidRPr="00795F17" w:rsidRDefault="0008774B" w:rsidP="004446A2">
            <w:pPr>
              <w:pStyle w:val="Teksttabelilewy"/>
            </w:pPr>
            <w:r w:rsidRPr="00795F17">
              <w:t>Zakaz odprowadzania ścieków bezpośrednio do wód podziemnych</w:t>
            </w:r>
          </w:p>
        </w:tc>
        <w:tc>
          <w:tcPr>
            <w:tcW w:w="937" w:type="pct"/>
          </w:tcPr>
          <w:p w14:paraId="1AE1AFB7" w14:textId="77777777" w:rsidR="0008774B" w:rsidRPr="00795F17" w:rsidRDefault="0008774B" w:rsidP="004446A2">
            <w:pPr>
              <w:pStyle w:val="Teksttabelisrodek"/>
            </w:pPr>
            <w:r w:rsidRPr="00795F17">
              <w:t>działanie ciągłe</w:t>
            </w:r>
          </w:p>
        </w:tc>
      </w:tr>
    </w:tbl>
    <w:p w14:paraId="38A74876" w14:textId="644835FA" w:rsidR="0008774B" w:rsidRPr="00795F17" w:rsidRDefault="0008774B" w:rsidP="0044393D">
      <w:pPr>
        <w:pStyle w:val="rdo"/>
      </w:pPr>
      <w:r w:rsidRPr="00795F17">
        <w:t xml:space="preserve">Źródło: </w:t>
      </w:r>
      <w:r w:rsidR="00FD7248" w:rsidRPr="00795F17">
        <w:t>opracowanie własne</w:t>
      </w:r>
    </w:p>
    <w:p w14:paraId="2E11E268" w14:textId="77777777" w:rsidR="0008774B" w:rsidRPr="00795F17" w:rsidRDefault="0008774B" w:rsidP="0044393D">
      <w:r w:rsidRPr="00795F17">
        <w:t>Działania wskazane w obowiązujących przepisach prawa są realizowane przez jednostki zobligowane do tego ustawowo, w większości w sposób ciągły.</w:t>
      </w:r>
    </w:p>
    <w:p w14:paraId="7F2771DD" w14:textId="7BCCD5EF" w:rsidR="0008774B" w:rsidRPr="00795F17" w:rsidRDefault="0008774B" w:rsidP="0044393D">
      <w:pPr>
        <w:pStyle w:val="Nagwek5"/>
      </w:pPr>
      <w:r w:rsidRPr="00795F17">
        <w:t xml:space="preserve">Środki podjęte w aPGW (2016) w zestawach działań aPWŚK dla </w:t>
      </w:r>
      <w:r w:rsidR="00DF005E">
        <w:t>JCWP</w:t>
      </w:r>
      <w:r w:rsidRPr="00795F17">
        <w:t xml:space="preserve"> w odniesieniu do substancji priorytetowych</w:t>
      </w:r>
    </w:p>
    <w:p w14:paraId="2748336F" w14:textId="109F626B" w:rsidR="0008774B" w:rsidRPr="00795F17" w:rsidRDefault="0008774B" w:rsidP="0044393D">
      <w:r w:rsidRPr="00795F17">
        <w:t xml:space="preserve">Na poziomie zestawów </w:t>
      </w:r>
      <w:r w:rsidR="009A7917" w:rsidRPr="00795F17">
        <w:t xml:space="preserve">działań </w:t>
      </w:r>
      <w:r w:rsidRPr="00795F17">
        <w:t xml:space="preserve">dla poszczególnych </w:t>
      </w:r>
      <w:r w:rsidR="00DF005E">
        <w:t>JCWP</w:t>
      </w:r>
      <w:r w:rsidRPr="00795F17">
        <w:t xml:space="preserve"> działania związane m.in. ze stanem chemicznym wód dotyczyły wykonywania przeglądów pozwoleń wodnoprawnych na wprowadzanie ścieków w zakresie substancji, dla których stwierdzono przekroczenia. Zaplanowano również działania polegające na przeprowadzeniu pogłębionej analizy presji dla jcw, dla których zidentyfikowanie przyczyny przekroczeń było niemożliwe. Jako działanie ukierunkowane na ograniczanie emisji substancji priorytetowych zaproponowano weryfikację program</w:t>
      </w:r>
      <w:r w:rsidR="009A7917" w:rsidRPr="00795F17">
        <w:t>ów</w:t>
      </w:r>
      <w:r w:rsidRPr="00795F17">
        <w:t xml:space="preserve"> ochrony środowiska dla gmin w</w:t>
      </w:r>
      <w:r w:rsidR="009A7917" w:rsidRPr="00795F17">
        <w:t> </w:t>
      </w:r>
      <w:r w:rsidRPr="00795F17">
        <w:t>zakresie wprowadzania do atmosfery substancji z grupy WWA. Dodatkowo zaplanowano przeprowadzenie weryfikacji istniejącej sieci punktów pomiarowo-kontrolnych sieci monitoringowej z</w:t>
      </w:r>
      <w:r w:rsidR="00C817B5" w:rsidRPr="00795F17">
        <w:t> </w:t>
      </w:r>
      <w:r w:rsidRPr="00795F17">
        <w:t>uzupełnieniem o nowe punkty pomiarowe do końca cyklu planistycznego.</w:t>
      </w:r>
    </w:p>
    <w:p w14:paraId="17E9DE73" w14:textId="77777777" w:rsidR="0008774B" w:rsidRPr="00795F17" w:rsidRDefault="0008774B" w:rsidP="00C53C86">
      <w:pPr>
        <w:pStyle w:val="Nagwek3"/>
      </w:pPr>
      <w:bookmarkStart w:id="867" w:name="_Toc105512719"/>
      <w:r w:rsidRPr="00795F17">
        <w:t>Postęp we wdrażaniu działań w ramach aPGW (2016)</w:t>
      </w:r>
      <w:bookmarkEnd w:id="867"/>
    </w:p>
    <w:p w14:paraId="0207B34E" w14:textId="531DC5F4" w:rsidR="0008774B" w:rsidRPr="00795F17" w:rsidRDefault="009A7917" w:rsidP="0044393D">
      <w:r w:rsidRPr="00795F17">
        <w:t xml:space="preserve">Podstawowym materiałem określającym postęp we wdrażaniu programów działań wynikających z aPWŚK (2016) jest opracowana w 2018 r. </w:t>
      </w:r>
      <w:r w:rsidRPr="00795F17">
        <w:rPr>
          <w:i/>
          <w:iCs/>
        </w:rPr>
        <w:t xml:space="preserve">Ocena postępu we wdrażaniu programów działań dla </w:t>
      </w:r>
      <w:r w:rsidR="00DF005E">
        <w:rPr>
          <w:i/>
          <w:iCs/>
        </w:rPr>
        <w:t>JCWP</w:t>
      </w:r>
      <w:r w:rsidRPr="00795F17">
        <w:rPr>
          <w:i/>
          <w:iCs/>
        </w:rPr>
        <w:t xml:space="preserve"> i </w:t>
      </w:r>
      <w:r w:rsidR="00DF005E">
        <w:rPr>
          <w:i/>
          <w:iCs/>
        </w:rPr>
        <w:t>JCWP</w:t>
      </w:r>
      <w:r w:rsidRPr="00795F17">
        <w:rPr>
          <w:i/>
          <w:iCs/>
        </w:rPr>
        <w:t>d wynikających z aPWŚK</w:t>
      </w:r>
      <w:r w:rsidR="00D57C25">
        <w:rPr>
          <w:rStyle w:val="Odwoanieprzypisudolnego"/>
        </w:rPr>
        <w:footnoteReference w:id="106"/>
      </w:r>
      <w:r w:rsidR="0084491F">
        <w:t>.</w:t>
      </w:r>
      <w:r w:rsidR="00191A18">
        <w:t xml:space="preserve"> </w:t>
      </w:r>
      <w:r w:rsidRPr="00795F17">
        <w:t>Podstawą dokumentu były wyniki ankietyzacji przeprowadzonej w 2018 r. wśród podmiotów odpowiedzialnych za realizację działań wynikających z aPWŚK. Zgromadzone dane umożliwiły ocenę działań, w tym w zakresie poprawy chemicznego stanu wód, ujętych w następujących kategoriach działań:</w:t>
      </w:r>
    </w:p>
    <w:p w14:paraId="7C765C6C" w14:textId="4084D143" w:rsidR="0008774B" w:rsidRPr="00795F17" w:rsidRDefault="0008774B" w:rsidP="00117E86">
      <w:pPr>
        <w:pStyle w:val="Listapunktowana2"/>
      </w:pPr>
      <w:r w:rsidRPr="00795F17">
        <w:t>gospodarka komunalna</w:t>
      </w:r>
      <w:r w:rsidR="009F56FA">
        <w:t>;</w:t>
      </w:r>
      <w:r w:rsidR="009F56FA" w:rsidRPr="00795F17">
        <w:t xml:space="preserve"> </w:t>
      </w:r>
    </w:p>
    <w:p w14:paraId="63C49811" w14:textId="425CD407" w:rsidR="0008774B" w:rsidRPr="00795F17" w:rsidRDefault="0008774B" w:rsidP="00117E86">
      <w:pPr>
        <w:pStyle w:val="Listapunktowana2"/>
      </w:pPr>
      <w:r w:rsidRPr="00795F17">
        <w:t>rolnictwo</w:t>
      </w:r>
      <w:r w:rsidR="009F56FA">
        <w:t>;</w:t>
      </w:r>
    </w:p>
    <w:p w14:paraId="080AA643" w14:textId="7E3EDE77" w:rsidR="0008774B" w:rsidRPr="00795F17" w:rsidRDefault="0008774B" w:rsidP="00117E86">
      <w:pPr>
        <w:pStyle w:val="Listapunktowana2"/>
      </w:pPr>
      <w:r w:rsidRPr="00795F17">
        <w:t>monitoring</w:t>
      </w:r>
      <w:r w:rsidR="009F56FA">
        <w:t>;</w:t>
      </w:r>
    </w:p>
    <w:p w14:paraId="1B9902E7" w14:textId="4CE977D6" w:rsidR="0008774B" w:rsidRPr="00795F17" w:rsidRDefault="0008774B" w:rsidP="00117E86">
      <w:pPr>
        <w:pStyle w:val="Listapunktowana2"/>
      </w:pPr>
      <w:r w:rsidRPr="00795F17">
        <w:t>działania kontrolne</w:t>
      </w:r>
      <w:r w:rsidR="009F56FA">
        <w:t>;</w:t>
      </w:r>
    </w:p>
    <w:p w14:paraId="581111FC" w14:textId="33A72948" w:rsidR="0008774B" w:rsidRPr="00795F17" w:rsidRDefault="0008774B" w:rsidP="00117E86">
      <w:pPr>
        <w:pStyle w:val="Listapunktowana2"/>
      </w:pPr>
      <w:r w:rsidRPr="00795F17">
        <w:t>działania organizacyjno-prawne i edukacyjne</w:t>
      </w:r>
      <w:r w:rsidR="009F56FA">
        <w:t>;</w:t>
      </w:r>
      <w:r w:rsidR="009F56FA" w:rsidRPr="00795F17">
        <w:t xml:space="preserve"> </w:t>
      </w:r>
    </w:p>
    <w:p w14:paraId="21EBE7FC" w14:textId="77777777" w:rsidR="0008774B" w:rsidRPr="00795F17" w:rsidRDefault="0008774B" w:rsidP="00117E86">
      <w:pPr>
        <w:pStyle w:val="Listapunktowana2"/>
      </w:pPr>
      <w:r w:rsidRPr="00795F17">
        <w:t>rekultywacja.</w:t>
      </w:r>
    </w:p>
    <w:p w14:paraId="722F768D" w14:textId="2EE76F25" w:rsidR="0008774B" w:rsidRPr="00795F17" w:rsidRDefault="009A7917" w:rsidP="0044393D">
      <w:r w:rsidRPr="00795F17">
        <w:t>Analiza p</w:t>
      </w:r>
      <w:r w:rsidR="0008774B" w:rsidRPr="00795F17">
        <w:t>ostęp</w:t>
      </w:r>
      <w:r w:rsidRPr="00795F17">
        <w:t>u</w:t>
      </w:r>
      <w:r w:rsidR="0008774B" w:rsidRPr="00795F17">
        <w:t xml:space="preserve"> realizacji działań zaplanowanych w aPWŚK w pierwszej połowie cyklu wdrażania aPGW </w:t>
      </w:r>
      <w:r w:rsidR="00DD0838" w:rsidRPr="00795F17">
        <w:t>wskazywała na</w:t>
      </w:r>
      <w:r w:rsidR="0008774B" w:rsidRPr="00795F17">
        <w:t xml:space="preserve"> rozpoczęcie wdrażania zaplanowanych prac. Istotnymi kwestiami podnoszonymi w</w:t>
      </w:r>
      <w:r w:rsidR="00DD0838" w:rsidRPr="00795F17">
        <w:t> </w:t>
      </w:r>
      <w:r w:rsidR="0008774B" w:rsidRPr="00795F17">
        <w:t xml:space="preserve">ocenie postępu realizacji działań, związanymi z jakością wód były m.in.: niewielki stopień wdrożenia </w:t>
      </w:r>
      <w:r w:rsidR="004D2E8E" w:rsidRPr="00795F17">
        <w:t xml:space="preserve">gminnych </w:t>
      </w:r>
      <w:r w:rsidR="0008774B" w:rsidRPr="00795F17">
        <w:t xml:space="preserve">działań </w:t>
      </w:r>
      <w:r w:rsidR="004D2E8E" w:rsidRPr="00795F17">
        <w:t xml:space="preserve">inwestycyjnych </w:t>
      </w:r>
      <w:r w:rsidR="0008774B" w:rsidRPr="00795F17">
        <w:t>z</w:t>
      </w:r>
      <w:r w:rsidR="00DD0838" w:rsidRPr="00795F17">
        <w:t xml:space="preserve"> </w:t>
      </w:r>
      <w:r w:rsidR="0008774B" w:rsidRPr="00795F17">
        <w:t xml:space="preserve">zakresu porządkowania gospodarki komunalnej poza aglomeracjami oraz </w:t>
      </w:r>
      <w:r w:rsidR="00DD0838" w:rsidRPr="00795F17">
        <w:t>zmiana</w:t>
      </w:r>
      <w:r w:rsidR="0008774B" w:rsidRPr="00795F17">
        <w:t xml:space="preserve"> system</w:t>
      </w:r>
      <w:r w:rsidR="00DD0838" w:rsidRPr="00795F17">
        <w:t>u</w:t>
      </w:r>
      <w:r w:rsidR="0008774B" w:rsidRPr="00795F17">
        <w:t xml:space="preserve"> wykonywania przeglądów pozwoleń wodnoprawnych w związku ze zmianą pr.w. Wykonana ocena pierwszej połowy cyklu planistycznego wskazała ogólny postęp, ale zdecydowanie mniejszy, niż</w:t>
      </w:r>
      <w:r w:rsidR="001A7902" w:rsidRPr="00795F17">
        <w:t> </w:t>
      </w:r>
      <w:r w:rsidR="0008774B" w:rsidRPr="00795F17">
        <w:t>zakładano w aPWŚK.</w:t>
      </w:r>
    </w:p>
    <w:p w14:paraId="21E3EE6B" w14:textId="10386034" w:rsidR="0008774B" w:rsidRPr="00795F17" w:rsidRDefault="0008774B" w:rsidP="0044393D">
      <w:r w:rsidRPr="00795F17">
        <w:t>Drugim szczegółowym źródłem danych w zakresie realizacji działań w kontekście eliminowania substancji priorytetowych są sprawozdania z realizacji działań przedkładane przez podmioty zobowiązane do ich realizacji. Na potrzeby IIaPGW dokonano analizy sprawozdań określających status wdrażania działań</w:t>
      </w:r>
      <w:r w:rsidR="00DD0838" w:rsidRPr="00795F17">
        <w:t xml:space="preserve"> w lat</w:t>
      </w:r>
      <w:r w:rsidR="00D55051">
        <w:t>ach</w:t>
      </w:r>
      <w:r w:rsidR="00DD0838" w:rsidRPr="00795F17">
        <w:t xml:space="preserve"> 2018</w:t>
      </w:r>
      <w:r w:rsidR="00F52D81">
        <w:t>–</w:t>
      </w:r>
      <w:r w:rsidR="00DD0838" w:rsidRPr="00795F17">
        <w:t>2019</w:t>
      </w:r>
      <w:r w:rsidRPr="00795F17">
        <w:t xml:space="preserve">. </w:t>
      </w:r>
      <w:bookmarkStart w:id="868" w:name="_Hlk64925635"/>
    </w:p>
    <w:bookmarkEnd w:id="868"/>
    <w:p w14:paraId="304EAD47" w14:textId="71F7E246" w:rsidR="0008774B" w:rsidRPr="00795F17" w:rsidRDefault="0008774B" w:rsidP="0044393D">
      <w:r w:rsidRPr="00795F17">
        <w:t>Cykl planistyczny aPGW w zakresie działań mających na celu eliminację substancji priorytetowych obejmował przede wszystkim działania mające oszacować</w:t>
      </w:r>
      <w:r w:rsidRPr="00795F17" w:rsidDel="00A55AE9">
        <w:t xml:space="preserve"> </w:t>
      </w:r>
      <w:r w:rsidRPr="00795F17">
        <w:t>i zlokalizować występowanie presji w</w:t>
      </w:r>
      <w:r w:rsidR="00DD0838" w:rsidRPr="00795F17">
        <w:t> </w:t>
      </w:r>
      <w:r w:rsidRPr="00795F17">
        <w:t xml:space="preserve">częściach wód. W okresie tym zmieniły się wymagania w zakresie monitoringu substancji priorytetowych oraz wprowadzono </w:t>
      </w:r>
      <w:r w:rsidR="00C12087">
        <w:t>klasyfikację stanu chemicznego</w:t>
      </w:r>
      <w:r w:rsidRPr="00795F17">
        <w:t xml:space="preserve"> z uwzględnieniem substancji w biocie. Uzyskane w okresie 2016</w:t>
      </w:r>
      <w:r w:rsidR="00112057">
        <w:t>–</w:t>
      </w:r>
      <w:r w:rsidRPr="00795F17">
        <w:t xml:space="preserve">2019 wyniki monitoringu środowiska wskazują istotny wpływ na </w:t>
      </w:r>
      <w:r w:rsidR="00C12087">
        <w:t>klasyfikację stanu chemicznego</w:t>
      </w:r>
      <w:r w:rsidRPr="00795F17">
        <w:t xml:space="preserve"> </w:t>
      </w:r>
      <w:r w:rsidR="00DF005E">
        <w:t>JCWP</w:t>
      </w:r>
      <w:r w:rsidR="00DD0838" w:rsidRPr="00795F17">
        <w:t xml:space="preserve"> rozproszonych zanieczyszczeń obszarowych pochodzenia antropogenicznego</w:t>
      </w:r>
      <w:r w:rsidRPr="00795F17">
        <w:t xml:space="preserve">. Decydujący wpływ na stan chemiczny </w:t>
      </w:r>
      <w:r w:rsidR="00DF005E">
        <w:t>JCWP</w:t>
      </w:r>
      <w:r w:rsidRPr="00795F17">
        <w:t xml:space="preserve"> mają produkty spalania paliw, które powodują większość przekroczeń zarówno w wodzie, jak i biocie. Opracowana na potrzeby IIaPGW dokumentacja </w:t>
      </w:r>
      <w:r w:rsidRPr="00795F17">
        <w:rPr>
          <w:i/>
          <w:iCs/>
        </w:rPr>
        <w:t xml:space="preserve">Analiza znaczących oddziaływań </w:t>
      </w:r>
      <w:r w:rsidR="00F52D81">
        <w:rPr>
          <w:i/>
          <w:iCs/>
        </w:rPr>
        <w:t>–</w:t>
      </w:r>
      <w:r w:rsidRPr="00795F17">
        <w:rPr>
          <w:i/>
          <w:iCs/>
        </w:rPr>
        <w:t xml:space="preserve"> </w:t>
      </w:r>
      <w:r w:rsidR="00DF005E">
        <w:rPr>
          <w:i/>
          <w:iCs/>
        </w:rPr>
        <w:t>JCWP</w:t>
      </w:r>
      <w:r w:rsidRPr="00795F17">
        <w:rPr>
          <w:i/>
          <w:iCs/>
        </w:rPr>
        <w:t xml:space="preserve"> (…)</w:t>
      </w:r>
      <w:r w:rsidR="00A57A31">
        <w:rPr>
          <w:rStyle w:val="Odwoanieprzypisudolnego"/>
          <w:i/>
          <w:iCs/>
        </w:rPr>
        <w:footnoteReference w:id="107"/>
      </w:r>
      <w:r w:rsidRPr="00795F17">
        <w:t xml:space="preserve"> umożliwiła oszacowanie występowania presji obszarowych i</w:t>
      </w:r>
      <w:r w:rsidR="002F0F53">
        <w:t> </w:t>
      </w:r>
      <w:r w:rsidRPr="00795F17">
        <w:t xml:space="preserve">ich wpływu na stan </w:t>
      </w:r>
      <w:r w:rsidR="00DF005E">
        <w:t>JCWP</w:t>
      </w:r>
      <w:r w:rsidRPr="00795F17">
        <w:t xml:space="preserve">. </w:t>
      </w:r>
    </w:p>
    <w:p w14:paraId="555A42B3" w14:textId="729D9997" w:rsidR="0008774B" w:rsidRPr="00795F17" w:rsidRDefault="0008774B" w:rsidP="0044393D">
      <w:r w:rsidRPr="00795F17">
        <w:t>Działania w zakresie jakości wód przyjęte w aPGW, ukierunkowane były głównie na redukcję zanieczyszczeń organicznych i biogennych pochodzenia komunalnego</w:t>
      </w:r>
      <w:r w:rsidR="00DD0838" w:rsidRPr="00795F17">
        <w:t xml:space="preserve"> oraz rolniczego</w:t>
      </w:r>
      <w:r w:rsidRPr="00795F17">
        <w:t>.</w:t>
      </w:r>
      <w:r w:rsidR="00DD0838" w:rsidRPr="00795F17">
        <w:t xml:space="preserve"> Te działania były również głównym elementem i celem krajowych oraz międzynarodowych programów finansujących inwestycje w dziedzinie gospodarki wodno-ściekowej.</w:t>
      </w:r>
      <w:r w:rsidRPr="00795F17">
        <w:t xml:space="preserve"> Dzięki bardzo szerokiemu spektrum działań zarówno technicznych, jak i nietechnicznych skutkowały również poprawą stanu chemicznego wód. Zanieczyszczenia te generowane są w wielu obszarach aktywności człowieka, tak więc wprowadzenie działań ograniczających zrzut ścieków nieoczyszczonych lub redukcję spływu zanieczyszczeń obszarowych z terenów rolnych, daje w efekcie pośrednio pozytywny wpływ na ograniczenie emisji substancji priorytetowych.</w:t>
      </w:r>
    </w:p>
    <w:p w14:paraId="02BDB8EE" w14:textId="681AFB5A" w:rsidR="0008774B" w:rsidRPr="00795F17" w:rsidRDefault="0008774B" w:rsidP="0044393D">
      <w:r w:rsidRPr="00795F17">
        <w:t>Na potrzeby oceny realizacji działań ukierunkowanych na jakość wód</w:t>
      </w:r>
      <w:r w:rsidR="00DD0838" w:rsidRPr="00795F17">
        <w:t xml:space="preserve"> powierzchniowych</w:t>
      </w:r>
      <w:r w:rsidRPr="00795F17">
        <w:t>, w tym pośrednio lub bezpośrednio na stan chemiczny, przeanalizowano sprawozdania ze statusami realizacji działań za lata 2018</w:t>
      </w:r>
      <w:r w:rsidR="00F52D81">
        <w:t>–</w:t>
      </w:r>
      <w:r w:rsidRPr="00795F17">
        <w:t xml:space="preserve">2019 i </w:t>
      </w:r>
      <w:r w:rsidR="00DD0838" w:rsidRPr="00795F17">
        <w:t>zidentyfikowano</w:t>
      </w:r>
      <w:r w:rsidRPr="00795F17">
        <w:t xml:space="preserve"> następujące </w:t>
      </w:r>
      <w:r w:rsidR="00DD0838" w:rsidRPr="00795F17">
        <w:t>grupy presji</w:t>
      </w:r>
      <w:r w:rsidRPr="00795F17">
        <w:t>:</w:t>
      </w:r>
    </w:p>
    <w:p w14:paraId="26DA26D5" w14:textId="7F9FBCEC" w:rsidR="0008774B" w:rsidRPr="00795F17" w:rsidRDefault="0008774B" w:rsidP="00117E86">
      <w:pPr>
        <w:pStyle w:val="Listapunktowana2"/>
      </w:pPr>
      <w:r w:rsidRPr="00795F17">
        <w:t>gospodarka komunalna i przemysł</w:t>
      </w:r>
      <w:r w:rsidR="009F56FA">
        <w:t>;</w:t>
      </w:r>
    </w:p>
    <w:p w14:paraId="1A1085CF" w14:textId="2E1FABD0" w:rsidR="0008774B" w:rsidRPr="00795F17" w:rsidRDefault="0008774B" w:rsidP="00117E86">
      <w:pPr>
        <w:pStyle w:val="Listapunktowana2"/>
      </w:pPr>
      <w:r w:rsidRPr="00795F17">
        <w:t>nierozpoznana presja i zlewnie niemonitorowane</w:t>
      </w:r>
      <w:r w:rsidR="00DD0838" w:rsidRPr="00795F17">
        <w:t>, depozycja atmosferyczna</w:t>
      </w:r>
      <w:r w:rsidR="009F56FA">
        <w:t>;</w:t>
      </w:r>
    </w:p>
    <w:p w14:paraId="06EA142B" w14:textId="100F0AA1" w:rsidR="0008774B" w:rsidRPr="00795F17" w:rsidRDefault="0008774B" w:rsidP="00117E86">
      <w:pPr>
        <w:pStyle w:val="Listapunktowana2"/>
      </w:pPr>
      <w:r w:rsidRPr="00795F17">
        <w:t>rolnictwo</w:t>
      </w:r>
      <w:r w:rsidR="009F56FA">
        <w:t>;</w:t>
      </w:r>
    </w:p>
    <w:p w14:paraId="744FC765" w14:textId="2D7D68F0" w:rsidR="0008774B" w:rsidRPr="00795F17" w:rsidRDefault="0008774B" w:rsidP="00117E86">
      <w:pPr>
        <w:pStyle w:val="Listapunktowana2"/>
      </w:pPr>
      <w:r w:rsidRPr="00795F17">
        <w:t>programy rekultywacji</w:t>
      </w:r>
      <w:r w:rsidR="00DD0838" w:rsidRPr="00795F17">
        <w:t xml:space="preserve"> zbiorników wodnych</w:t>
      </w:r>
      <w:r w:rsidRPr="00795F17">
        <w:t>.</w:t>
      </w:r>
    </w:p>
    <w:p w14:paraId="33A1705E" w14:textId="77777777" w:rsidR="0008774B" w:rsidRPr="00795F17" w:rsidRDefault="0008774B" w:rsidP="0044393D">
      <w:r w:rsidRPr="00795F17">
        <w:t>Są to zarówno działania techniczne, jak i nietechniczne związane z jakością wód:</w:t>
      </w:r>
    </w:p>
    <w:p w14:paraId="53609798" w14:textId="77777777" w:rsidR="0008774B" w:rsidRPr="00795F17" w:rsidRDefault="0008774B" w:rsidP="002757E9">
      <w:pPr>
        <w:pStyle w:val="Numerowanie"/>
        <w:numPr>
          <w:ilvl w:val="0"/>
          <w:numId w:val="63"/>
        </w:numPr>
      </w:pPr>
      <w:r w:rsidRPr="00795F17">
        <w:t>Gospodarka komunalna:</w:t>
      </w:r>
    </w:p>
    <w:p w14:paraId="3BA48D11" w14:textId="2C178194" w:rsidR="0008774B" w:rsidRPr="00795F17" w:rsidRDefault="0008774B" w:rsidP="00117E86">
      <w:pPr>
        <w:pStyle w:val="Listapunktowana2"/>
      </w:pPr>
      <w:r w:rsidRPr="00795F17">
        <w:t>budowa i rozbudowa sieci kanalizacyjnych</w:t>
      </w:r>
      <w:r w:rsidR="009F56FA">
        <w:t>;</w:t>
      </w:r>
    </w:p>
    <w:p w14:paraId="32C49FC4" w14:textId="1CD2E25C" w:rsidR="0008774B" w:rsidRPr="00795F17" w:rsidRDefault="0008774B" w:rsidP="00117E86">
      <w:pPr>
        <w:pStyle w:val="Listapunktowana2"/>
      </w:pPr>
      <w:r w:rsidRPr="00795F17">
        <w:t>budowa, modernizacja, rozbudowa oczyszczalni ścieków</w:t>
      </w:r>
      <w:r w:rsidR="009F56FA">
        <w:t>;</w:t>
      </w:r>
    </w:p>
    <w:p w14:paraId="3C31ECD5" w14:textId="6142A3DC" w:rsidR="0008774B" w:rsidRPr="00795F17" w:rsidRDefault="0008774B" w:rsidP="00117E86">
      <w:pPr>
        <w:pStyle w:val="Listapunktowana2"/>
      </w:pPr>
      <w:r w:rsidRPr="00795F17">
        <w:t>likwidacja oczyszczalni ścieków</w:t>
      </w:r>
      <w:r w:rsidR="009F56FA">
        <w:t>;</w:t>
      </w:r>
    </w:p>
    <w:p w14:paraId="62577DEB" w14:textId="549510DA" w:rsidR="0008774B" w:rsidRPr="00795F17" w:rsidRDefault="0008774B" w:rsidP="00117E86">
      <w:pPr>
        <w:pStyle w:val="Listapunktowana2"/>
      </w:pPr>
      <w:r w:rsidRPr="00795F17">
        <w:t>budowa indywidualnych systemów oczyszczania ścieków</w:t>
      </w:r>
      <w:r w:rsidR="009F56FA">
        <w:t>;</w:t>
      </w:r>
    </w:p>
    <w:p w14:paraId="518698B5" w14:textId="75B4648B" w:rsidR="0008774B" w:rsidRPr="00795F17" w:rsidRDefault="0008774B" w:rsidP="00117E86">
      <w:pPr>
        <w:pStyle w:val="Listapunktowana2"/>
      </w:pPr>
      <w:r w:rsidRPr="00795F17">
        <w:t>budowa nowych zbiorników bezodpływowych oraz remont istniejących</w:t>
      </w:r>
      <w:r w:rsidR="009F56FA">
        <w:t>;</w:t>
      </w:r>
    </w:p>
    <w:p w14:paraId="339D26A8" w14:textId="2482112C" w:rsidR="0008774B" w:rsidRPr="00795F17" w:rsidRDefault="0008774B" w:rsidP="00117E86">
      <w:pPr>
        <w:pStyle w:val="Listapunktowana2"/>
      </w:pPr>
      <w:r w:rsidRPr="00795F17">
        <w:t>ewidencja zbiorników bezodpływowych</w:t>
      </w:r>
      <w:r w:rsidR="009F56FA">
        <w:t>;</w:t>
      </w:r>
    </w:p>
    <w:p w14:paraId="2EE0B8C6" w14:textId="2CD99562" w:rsidR="0008774B" w:rsidRPr="00795F17" w:rsidRDefault="0008774B" w:rsidP="00117E86">
      <w:pPr>
        <w:pStyle w:val="Listapunktowana2"/>
      </w:pPr>
      <w:r w:rsidRPr="00795F17">
        <w:t>regularny wywóz nieczystości płynnych</w:t>
      </w:r>
      <w:r w:rsidR="009F56FA">
        <w:t>;</w:t>
      </w:r>
    </w:p>
    <w:p w14:paraId="7E1D512D" w14:textId="3244A69F" w:rsidR="0008774B" w:rsidRPr="00795F17" w:rsidRDefault="0008774B" w:rsidP="00117E86">
      <w:pPr>
        <w:pStyle w:val="Listapunktowana2"/>
      </w:pPr>
      <w:r w:rsidRPr="00795F17">
        <w:t>opracowanie sprawozdań kwartalnych o ilości i rodzaju nieczystości ciekłych odebranych z</w:t>
      </w:r>
      <w:r w:rsidR="00DD0838" w:rsidRPr="00795F17">
        <w:t> </w:t>
      </w:r>
      <w:r w:rsidRPr="00795F17">
        <w:t>obszaru gminy wraz ze wskazaniem stacji zlewnej</w:t>
      </w:r>
      <w:r w:rsidR="009F56FA">
        <w:t>;</w:t>
      </w:r>
    </w:p>
    <w:p w14:paraId="45C035F7" w14:textId="0EB8E952" w:rsidR="0008774B" w:rsidRPr="00795F17" w:rsidRDefault="0008774B" w:rsidP="00117E86">
      <w:pPr>
        <w:pStyle w:val="Listapunktowana2"/>
      </w:pPr>
      <w:r w:rsidRPr="00795F17">
        <w:t>opracowanie wykazu stacji zlewnych</w:t>
      </w:r>
      <w:r w:rsidR="009F56FA">
        <w:t>;</w:t>
      </w:r>
    </w:p>
    <w:p w14:paraId="79E32011" w14:textId="77777777" w:rsidR="0008774B" w:rsidRPr="00795F17" w:rsidRDefault="0008774B" w:rsidP="00117E86">
      <w:pPr>
        <w:pStyle w:val="Listapunktowana2"/>
      </w:pPr>
      <w:r w:rsidRPr="00795F17">
        <w:t>budowa nowych zbiorników bezodpływowych oraz remont istniejących.</w:t>
      </w:r>
    </w:p>
    <w:p w14:paraId="19521621" w14:textId="77777777" w:rsidR="0008774B" w:rsidRPr="00795F17" w:rsidRDefault="0008774B" w:rsidP="00B11299">
      <w:pPr>
        <w:pStyle w:val="Numerowanie"/>
        <w:keepNext/>
        <w:ind w:left="357" w:hanging="357"/>
      </w:pPr>
      <w:r w:rsidRPr="00795F17">
        <w:t>Rolnictwo:</w:t>
      </w:r>
    </w:p>
    <w:p w14:paraId="7D279D77" w14:textId="66DBB42C" w:rsidR="0008774B" w:rsidRPr="00795F17" w:rsidRDefault="0008774B" w:rsidP="00117E86">
      <w:pPr>
        <w:pStyle w:val="Listapunktowana2"/>
      </w:pPr>
      <w:r w:rsidRPr="00795F17">
        <w:t>objęcie obszaru szczególnie narażonego na zanieczyszczenia związkami azotu ze źródeł rolniczych programem działań mających na celu ograniczenie odpływu azotu ze źródeł rolniczych</w:t>
      </w:r>
      <w:r w:rsidR="009F56FA">
        <w:t>;</w:t>
      </w:r>
    </w:p>
    <w:p w14:paraId="73D0E83F" w14:textId="77777777" w:rsidR="0008774B" w:rsidRPr="00795F17" w:rsidRDefault="0008774B" w:rsidP="00117E86">
      <w:pPr>
        <w:pStyle w:val="Listapunktowana2"/>
      </w:pPr>
      <w:r w:rsidRPr="00795F17">
        <w:t>realizacja programu działań mającego na celu ograniczenie odpływu azotu ze źródeł rolniczych.</w:t>
      </w:r>
    </w:p>
    <w:p w14:paraId="306AA935" w14:textId="77777777" w:rsidR="0008774B" w:rsidRPr="00795F17" w:rsidRDefault="0008774B" w:rsidP="0044393D">
      <w:pPr>
        <w:pStyle w:val="Numerowanie"/>
      </w:pPr>
      <w:r w:rsidRPr="00795F17">
        <w:t>Kontrole w zakresie gromadzenia i oczyszczania ścieków:</w:t>
      </w:r>
    </w:p>
    <w:p w14:paraId="06EA1486" w14:textId="159BDD78" w:rsidR="0008774B" w:rsidRPr="00795F17" w:rsidRDefault="0008774B" w:rsidP="00117E86">
      <w:pPr>
        <w:pStyle w:val="Listapunktowana2"/>
      </w:pPr>
      <w:r w:rsidRPr="00795F17">
        <w:t>kontrola postępowania w zakresie gromadzenia ścieków przez użytkowników prywatnych i</w:t>
      </w:r>
      <w:r w:rsidR="00720397" w:rsidRPr="00795F17">
        <w:t> </w:t>
      </w:r>
      <w:r w:rsidRPr="00795F17">
        <w:t>przedsiębiorców oraz oczyszczania ścieków przez użytkowników prywatnych z częstotliwością co najmniej raz na 3 lata</w:t>
      </w:r>
      <w:r w:rsidR="009F56FA">
        <w:t>;</w:t>
      </w:r>
    </w:p>
    <w:p w14:paraId="5D2209FB" w14:textId="178C0423" w:rsidR="0008774B" w:rsidRPr="00795F17" w:rsidRDefault="0008774B" w:rsidP="00117E86">
      <w:pPr>
        <w:pStyle w:val="Listapunktowana2"/>
      </w:pPr>
      <w:r w:rsidRPr="00795F17">
        <w:t>kontrola rolniczego gospodarowania przez użytkowników prywatnych i przedsiębiorstwa z</w:t>
      </w:r>
      <w:r w:rsidR="00720397" w:rsidRPr="00795F17">
        <w:t> </w:t>
      </w:r>
      <w:r w:rsidRPr="00795F17">
        <w:t>częstotliwością raz w roku</w:t>
      </w:r>
      <w:r w:rsidR="009F56FA">
        <w:t>;</w:t>
      </w:r>
    </w:p>
    <w:p w14:paraId="7DE5CFF3" w14:textId="71876763" w:rsidR="0008774B" w:rsidRPr="00795F17" w:rsidRDefault="0008774B" w:rsidP="00117E86">
      <w:pPr>
        <w:pStyle w:val="Listapunktowana2"/>
      </w:pPr>
      <w:r w:rsidRPr="00795F17">
        <w:t>kontrola postępowania w zakresie oczyszczania ścieków przez przedsiębiorstwa z częstotliwością raz na 3 lata</w:t>
      </w:r>
      <w:r w:rsidR="009F56FA">
        <w:t>;</w:t>
      </w:r>
    </w:p>
    <w:p w14:paraId="7467A173" w14:textId="1D5EA007" w:rsidR="0008774B" w:rsidRPr="00795F17" w:rsidRDefault="0008774B" w:rsidP="00117E86">
      <w:pPr>
        <w:pStyle w:val="Listapunktowana2"/>
      </w:pPr>
      <w:r w:rsidRPr="00795F17">
        <w:t>kontrola postępowania w zakresie gromadzenia ścieków przez użytkowników prywatnych i</w:t>
      </w:r>
      <w:r w:rsidR="00720397" w:rsidRPr="00795F17">
        <w:t> </w:t>
      </w:r>
      <w:r w:rsidRPr="00795F17">
        <w:t>przedsiębiorców oraz oczyszczania ścieków przez użytkowników prywatnych z częstotliwością co najmniej raz na 3 lata.</w:t>
      </w:r>
    </w:p>
    <w:p w14:paraId="46A9A280" w14:textId="72963567" w:rsidR="0008774B" w:rsidRPr="00795F17" w:rsidRDefault="009F56FA" w:rsidP="0044393D">
      <w:pPr>
        <w:pStyle w:val="Numerowanie"/>
      </w:pPr>
      <w:r>
        <w:t>MB</w:t>
      </w:r>
      <w:r w:rsidR="0008774B" w:rsidRPr="00795F17">
        <w:t xml:space="preserve"> wód:</w:t>
      </w:r>
    </w:p>
    <w:p w14:paraId="74CBEDBA" w14:textId="078B94C0" w:rsidR="0008774B" w:rsidRPr="00795F17" w:rsidRDefault="009F56FA" w:rsidP="00117E86">
      <w:pPr>
        <w:pStyle w:val="Listapunktowana2"/>
      </w:pPr>
      <w:r>
        <w:t>MB</w:t>
      </w:r>
      <w:r w:rsidR="0008774B" w:rsidRPr="00795F17">
        <w:t xml:space="preserve"> wód.</w:t>
      </w:r>
    </w:p>
    <w:p w14:paraId="4E6BE19F" w14:textId="77777777" w:rsidR="0008774B" w:rsidRPr="00795F17" w:rsidRDefault="0008774B" w:rsidP="0044393D">
      <w:pPr>
        <w:pStyle w:val="Numerowanie"/>
      </w:pPr>
      <w:r w:rsidRPr="00795F17">
        <w:t>Działania nietechniczne w zakresie przeciwdziałania zanieczyszczeniu wód:</w:t>
      </w:r>
    </w:p>
    <w:p w14:paraId="1BBB5DB7" w14:textId="10D6459F" w:rsidR="0008774B" w:rsidRPr="00795F17" w:rsidRDefault="0008774B" w:rsidP="00117E86">
      <w:pPr>
        <w:pStyle w:val="Listapunktowana2"/>
      </w:pPr>
      <w:r w:rsidRPr="00795F17">
        <w:t>objęcie nadzorem sanitarnym wody w kąpielisku i wykonanie oceny jakości wody</w:t>
      </w:r>
      <w:r w:rsidR="009F56FA">
        <w:t>;</w:t>
      </w:r>
    </w:p>
    <w:p w14:paraId="7E06FDDC" w14:textId="07399D43" w:rsidR="0008774B" w:rsidRPr="00795F17" w:rsidRDefault="0008774B" w:rsidP="00117E86">
      <w:pPr>
        <w:pStyle w:val="Listapunktowana2"/>
      </w:pPr>
      <w:r w:rsidRPr="00795F17">
        <w:t>opracowanie dokumentacji na potrzeby ustanowienia obszaru ochronnego zbiornika wód śródlądowych</w:t>
      </w:r>
      <w:r w:rsidR="009F56FA">
        <w:t>;</w:t>
      </w:r>
    </w:p>
    <w:p w14:paraId="6D45CC97" w14:textId="4852C52B" w:rsidR="0008774B" w:rsidRPr="00795F17" w:rsidRDefault="0008774B" w:rsidP="00117E86">
      <w:pPr>
        <w:pStyle w:val="Listapunktowana2"/>
      </w:pPr>
      <w:r w:rsidRPr="00795F17">
        <w:t xml:space="preserve">opracowanie oceny jakości wody wykorzystywanej do zaopatrzenia ludności w wodę przeznaczoną do spożycia </w:t>
      </w:r>
      <w:r w:rsidR="00112057">
        <w:t>–</w:t>
      </w:r>
      <w:r w:rsidRPr="00795F17">
        <w:t xml:space="preserve"> opracowanie oceny obszarowej jakości wody</w:t>
      </w:r>
      <w:r w:rsidR="009F56FA">
        <w:t>;</w:t>
      </w:r>
    </w:p>
    <w:p w14:paraId="29C6BDCF" w14:textId="2A62D472" w:rsidR="0008774B" w:rsidRPr="00795F17" w:rsidRDefault="0008774B" w:rsidP="00117E86">
      <w:pPr>
        <w:pStyle w:val="Listapunktowana2"/>
      </w:pPr>
      <w:r w:rsidRPr="00795F17">
        <w:t>przegląd pozwoleń wodnoprawnych</w:t>
      </w:r>
      <w:r w:rsidR="009F56FA">
        <w:t>;</w:t>
      </w:r>
    </w:p>
    <w:p w14:paraId="486C78E7" w14:textId="2C7CDA61" w:rsidR="0008774B" w:rsidRPr="00795F17" w:rsidRDefault="0008774B" w:rsidP="00117E86">
      <w:pPr>
        <w:pStyle w:val="Listapunktowana2"/>
      </w:pPr>
      <w:r w:rsidRPr="00795F17">
        <w:t>przeprowadzenie pogłębionej analizy presji w celu ustalenia przyczyn nieosiągnięcia dobrego stanu wód</w:t>
      </w:r>
      <w:r w:rsidR="009F56FA">
        <w:t>;</w:t>
      </w:r>
    </w:p>
    <w:p w14:paraId="0467136F" w14:textId="4CD28139" w:rsidR="0008774B" w:rsidRPr="00795F17" w:rsidRDefault="0008774B" w:rsidP="00117E86">
      <w:pPr>
        <w:pStyle w:val="Listapunktowana2"/>
      </w:pPr>
      <w:r w:rsidRPr="00795F17">
        <w:t>weryfikacja ryzyka nieosiągnięcia celów środowiskowych</w:t>
      </w:r>
      <w:r w:rsidR="009F56FA">
        <w:t>;</w:t>
      </w:r>
    </w:p>
    <w:p w14:paraId="016130D1" w14:textId="42B43435" w:rsidR="0008774B" w:rsidRPr="00795F17" w:rsidRDefault="0008774B" w:rsidP="00117E86">
      <w:pPr>
        <w:pStyle w:val="Listapunktowana2"/>
      </w:pPr>
      <w:r w:rsidRPr="00795F17">
        <w:t>weryfikacja warunków korzystania z wód zlewni</w:t>
      </w:r>
      <w:r w:rsidR="009F56FA">
        <w:t>;</w:t>
      </w:r>
    </w:p>
    <w:p w14:paraId="089A6AD7" w14:textId="77777777" w:rsidR="0008774B" w:rsidRPr="00795F17" w:rsidRDefault="0008774B" w:rsidP="00117E86">
      <w:pPr>
        <w:pStyle w:val="Listapunktowana2"/>
      </w:pPr>
      <w:r w:rsidRPr="00795F17">
        <w:t>przeprowadzenie weryfikacji programu ochrony środowiska dla gminy w zakresie ograniczania emisji do atmosfery wielopierścieniowych węglowodorów aromatycznych.</w:t>
      </w:r>
    </w:p>
    <w:p w14:paraId="27017454" w14:textId="77777777" w:rsidR="0008774B" w:rsidRPr="00795F17" w:rsidRDefault="0008774B" w:rsidP="0044393D">
      <w:pPr>
        <w:pStyle w:val="Numerowanie"/>
      </w:pPr>
      <w:r w:rsidRPr="00795F17">
        <w:t>Działania w zakresie rekultywacji jezior:</w:t>
      </w:r>
    </w:p>
    <w:p w14:paraId="7DD87EA9" w14:textId="77777777" w:rsidR="0008774B" w:rsidRPr="00795F17" w:rsidRDefault="0008774B" w:rsidP="00117E86">
      <w:pPr>
        <w:pStyle w:val="Listapunktowana2"/>
      </w:pPr>
      <w:r w:rsidRPr="00795F17">
        <w:t>monitoring operacyjny efektów działań rekultywacyjnych.</w:t>
      </w:r>
    </w:p>
    <w:p w14:paraId="75800E2B" w14:textId="77777777" w:rsidR="0008774B" w:rsidRPr="00795F17" w:rsidRDefault="0008774B" w:rsidP="00A8196D">
      <w:pPr>
        <w:keepNext/>
      </w:pPr>
      <w:r w:rsidRPr="00795F17">
        <w:t>Status działania został określony poprzez ocenę stanu realizacji z podziałem na następujące kategorie:</w:t>
      </w:r>
    </w:p>
    <w:p w14:paraId="4CAC7817" w14:textId="4E0AFB5E" w:rsidR="0008774B" w:rsidRPr="00795F17" w:rsidRDefault="0008774B" w:rsidP="00117E86">
      <w:pPr>
        <w:pStyle w:val="Listapunktowana2"/>
      </w:pPr>
      <w:r w:rsidRPr="00795F17">
        <w:t xml:space="preserve">działanie ciągłe </w:t>
      </w:r>
      <w:r w:rsidR="00F52D81">
        <w:t>–</w:t>
      </w:r>
      <w:r w:rsidRPr="00795F17">
        <w:t xml:space="preserve"> zaplanowane do realizacji w sposób ciągły w całym cyklu, a realizacja takiego działania wpływa pozytywnie na ograniczenie emisji substancji priorytetowych;</w:t>
      </w:r>
    </w:p>
    <w:p w14:paraId="0F87D690" w14:textId="165A1ACB" w:rsidR="0008774B" w:rsidRPr="00795F17" w:rsidRDefault="0008774B" w:rsidP="00117E86">
      <w:pPr>
        <w:pStyle w:val="Listapunktowana2"/>
      </w:pPr>
      <w:r w:rsidRPr="00795F17">
        <w:t xml:space="preserve">zakończone </w:t>
      </w:r>
      <w:r w:rsidR="00F52D81">
        <w:t>–</w:t>
      </w:r>
      <w:r w:rsidRPr="00795F17">
        <w:t xml:space="preserve"> realizacja działania jest zakończona i została uwzględniona w ocenie stopnia wdrożenia działań;</w:t>
      </w:r>
    </w:p>
    <w:p w14:paraId="693EFB5F" w14:textId="19C2A8D4" w:rsidR="0008774B" w:rsidRPr="00795F17" w:rsidRDefault="0008774B" w:rsidP="00117E86">
      <w:pPr>
        <w:pStyle w:val="Listapunktowana2"/>
      </w:pPr>
      <w:r w:rsidRPr="00795F17">
        <w:t xml:space="preserve">niezrealizowane lub nierozpoczęte </w:t>
      </w:r>
      <w:r w:rsidR="00F52D81">
        <w:t>–</w:t>
      </w:r>
      <w:r w:rsidRPr="00795F17">
        <w:t xml:space="preserve"> wskazano w sprawozdaniach brak realizacji i nie uwzględniono ich w ocenie skuteczności;</w:t>
      </w:r>
    </w:p>
    <w:p w14:paraId="303E5A08" w14:textId="1C86BDE3" w:rsidR="0008774B" w:rsidRPr="00795F17" w:rsidRDefault="0008774B" w:rsidP="00117E86">
      <w:pPr>
        <w:pStyle w:val="Listapunktowana2"/>
      </w:pPr>
      <w:r w:rsidRPr="00795F17">
        <w:t>działanie w trakcie realizacji, którego skutek wprowadzenia będzie możliwy do oceny w kolejnym cyklu planistycznym.</w:t>
      </w:r>
    </w:p>
    <w:p w14:paraId="6310BBAC" w14:textId="77777777" w:rsidR="0008774B" w:rsidRPr="00795F17" w:rsidRDefault="0008774B" w:rsidP="0044393D">
      <w:r w:rsidRPr="00795F17">
        <w:t>Odrzucono tym samym działania: niezrealizowane, nierozpoczęte oraz takie, dla których jest zbyt mało danych umożliwiających określenie stanu realizacji.</w:t>
      </w:r>
    </w:p>
    <w:p w14:paraId="13FC9C5D" w14:textId="3D38AB7F" w:rsidR="0008774B" w:rsidRPr="00795F17" w:rsidRDefault="0008774B" w:rsidP="0044393D">
      <w:r w:rsidRPr="00795F17">
        <w:t>Wyodrębnienie działań mogących w sposób bezpośredni lub pośredni oddziaływać na emisje substancji priorytetowych do wód pozwoliło na otrzymanie wykazu zaawansowanych i zrealizowanych działań, których ilość w skali kraju i obszaru dorzecza Odry kształtuje się w sposób przedstawiony w tabel</w:t>
      </w:r>
      <w:r w:rsidR="00305444" w:rsidRPr="00795F17">
        <w:t>ach</w:t>
      </w:r>
      <w:r w:rsidRPr="00795F17">
        <w:t xml:space="preserve"> 13-</w:t>
      </w:r>
      <w:r w:rsidR="00CA7837" w:rsidRPr="00795F17">
        <w:t>14</w:t>
      </w:r>
      <w:r w:rsidR="00305444" w:rsidRPr="00795F17">
        <w:t xml:space="preserve"> </w:t>
      </w:r>
      <w:r w:rsidR="00A87228">
        <w:t xml:space="preserve">(dla wszystkich obszarów dorzeczy) </w:t>
      </w:r>
      <w:r w:rsidR="00305444" w:rsidRPr="00795F17">
        <w:t>i</w:t>
      </w:r>
      <w:r w:rsidRPr="00795F17">
        <w:t xml:space="preserve"> 13-</w:t>
      </w:r>
      <w:r w:rsidR="00CA7837" w:rsidRPr="00795F17">
        <w:t>15</w:t>
      </w:r>
      <w:r w:rsidR="00A87228">
        <w:t xml:space="preserve"> (dla obszaru dorzecza Odry)</w:t>
      </w:r>
      <w:r w:rsidRPr="00795F17">
        <w:t>.</w:t>
      </w:r>
    </w:p>
    <w:p w14:paraId="5D075E52" w14:textId="53B9FCF4" w:rsidR="0008774B" w:rsidRPr="00795F17" w:rsidRDefault="0008774B" w:rsidP="004D7705">
      <w:pPr>
        <w:pStyle w:val="Tabela"/>
      </w:pPr>
      <w:bookmarkStart w:id="869" w:name="_Toc66341971"/>
      <w:bookmarkStart w:id="870" w:name="_Toc105512900"/>
      <w:r w:rsidRPr="00795F17">
        <w:t xml:space="preserve">Tabela </w:t>
      </w:r>
      <w:fldSimple w:instr=" STYLEREF 1 \s ">
        <w:r w:rsidR="001F774D">
          <w:rPr>
            <w:noProof/>
          </w:rPr>
          <w:t>13</w:t>
        </w:r>
      </w:fldSimple>
      <w:r w:rsidR="00BB3B21" w:rsidRPr="00795F17">
        <w:noBreakHyphen/>
      </w:r>
      <w:fldSimple w:instr=" SEQ Tabela \* ARABIC \s 1 ">
        <w:r w:rsidR="001F774D">
          <w:rPr>
            <w:noProof/>
          </w:rPr>
          <w:t>14</w:t>
        </w:r>
      </w:fldSimple>
      <w:r w:rsidR="000B5450">
        <w:rPr>
          <w:noProof/>
        </w:rPr>
        <w:t>.</w:t>
      </w:r>
      <w:r w:rsidRPr="00795F17">
        <w:tab/>
        <w:t xml:space="preserve">Podsumowanie liczby działań zrealizowanych i zaawansowanych w realizacji, mających znaczenie dla poprawy stanu jakościowego </w:t>
      </w:r>
      <w:r w:rsidR="00DF005E">
        <w:t>JCWP</w:t>
      </w:r>
      <w:r w:rsidRPr="00795F17">
        <w:t xml:space="preserve"> </w:t>
      </w:r>
      <w:r w:rsidR="00F52D81">
        <w:t>–</w:t>
      </w:r>
      <w:r w:rsidRPr="00795F17">
        <w:t xml:space="preserve"> wszystkie obszary dorzeczy i kategorie wód</w:t>
      </w:r>
      <w:bookmarkEnd w:id="869"/>
      <w:bookmarkEnd w:id="8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4"/>
        <w:gridCol w:w="3337"/>
        <w:gridCol w:w="869"/>
        <w:gridCol w:w="869"/>
        <w:gridCol w:w="869"/>
        <w:gridCol w:w="869"/>
        <w:gridCol w:w="869"/>
        <w:gridCol w:w="870"/>
      </w:tblGrid>
      <w:tr w:rsidR="0008774B" w:rsidRPr="00795F17" w14:paraId="0A5ED24F" w14:textId="77777777" w:rsidTr="00D07F9E">
        <w:trPr>
          <w:trHeight w:val="454"/>
        </w:trPr>
        <w:tc>
          <w:tcPr>
            <w:tcW w:w="467" w:type="dxa"/>
            <w:vMerge w:val="restart"/>
            <w:shd w:val="clear" w:color="auto" w:fill="BFBFBF" w:themeFill="background1" w:themeFillShade="BF"/>
            <w:noWrap/>
            <w:vAlign w:val="center"/>
            <w:hideMark/>
          </w:tcPr>
          <w:p w14:paraId="7EBA5504" w14:textId="77777777" w:rsidR="0008774B" w:rsidRPr="00795F17" w:rsidRDefault="0008774B" w:rsidP="0044393D">
            <w:pPr>
              <w:pStyle w:val="Teksttabelinaglowek"/>
              <w:rPr>
                <w:rFonts w:ascii="Times New Roman" w:hAnsi="Times New Roman"/>
              </w:rPr>
            </w:pPr>
            <w:r w:rsidRPr="00795F17">
              <w:t>Lp</w:t>
            </w:r>
            <w:r w:rsidRPr="00795F17">
              <w:rPr>
                <w:rFonts w:ascii="Times New Roman" w:hAnsi="Times New Roman"/>
              </w:rPr>
              <w:t>.</w:t>
            </w:r>
          </w:p>
        </w:tc>
        <w:tc>
          <w:tcPr>
            <w:tcW w:w="3356" w:type="dxa"/>
            <w:vMerge w:val="restart"/>
            <w:shd w:val="clear" w:color="auto" w:fill="BFBFBF" w:themeFill="background1" w:themeFillShade="BF"/>
            <w:vAlign w:val="center"/>
          </w:tcPr>
          <w:p w14:paraId="4D5C6381" w14:textId="77777777" w:rsidR="0008774B" w:rsidRPr="00795F17" w:rsidRDefault="0008774B" w:rsidP="0044393D">
            <w:pPr>
              <w:pStyle w:val="Teksttabelinaglowek"/>
            </w:pPr>
            <w:r w:rsidRPr="00795F17">
              <w:t>Kategoria działań</w:t>
            </w:r>
          </w:p>
        </w:tc>
        <w:tc>
          <w:tcPr>
            <w:tcW w:w="5239" w:type="dxa"/>
            <w:gridSpan w:val="6"/>
            <w:shd w:val="clear" w:color="auto" w:fill="BFBFBF" w:themeFill="background1" w:themeFillShade="BF"/>
            <w:noWrap/>
            <w:vAlign w:val="center"/>
            <w:hideMark/>
          </w:tcPr>
          <w:p w14:paraId="6C6218D0" w14:textId="77777777" w:rsidR="0008774B" w:rsidRPr="00795F17" w:rsidRDefault="0008774B" w:rsidP="0044393D">
            <w:pPr>
              <w:pStyle w:val="Teksttabelinaglowek"/>
              <w:rPr>
                <w:rFonts w:ascii="Times New Roman" w:hAnsi="Times New Roman"/>
              </w:rPr>
            </w:pPr>
            <w:r w:rsidRPr="00795F17">
              <w:t>Kategoria wód</w:t>
            </w:r>
          </w:p>
        </w:tc>
      </w:tr>
      <w:tr w:rsidR="0008774B" w:rsidRPr="00795F17" w14:paraId="4CC61274" w14:textId="77777777" w:rsidTr="00D07F9E">
        <w:trPr>
          <w:trHeight w:val="454"/>
        </w:trPr>
        <w:tc>
          <w:tcPr>
            <w:tcW w:w="467" w:type="dxa"/>
            <w:vMerge/>
            <w:shd w:val="clear" w:color="auto" w:fill="BFBFBF" w:themeFill="background1" w:themeFillShade="BF"/>
            <w:noWrap/>
            <w:vAlign w:val="center"/>
            <w:hideMark/>
          </w:tcPr>
          <w:p w14:paraId="72B6E628" w14:textId="77777777" w:rsidR="0008774B" w:rsidRPr="00795F17" w:rsidRDefault="0008774B" w:rsidP="0044393D">
            <w:pPr>
              <w:pStyle w:val="Teksttabelinaglowek"/>
            </w:pPr>
          </w:p>
        </w:tc>
        <w:tc>
          <w:tcPr>
            <w:tcW w:w="3356" w:type="dxa"/>
            <w:vMerge/>
            <w:shd w:val="clear" w:color="auto" w:fill="BFBFBF" w:themeFill="background1" w:themeFillShade="BF"/>
            <w:noWrap/>
            <w:vAlign w:val="center"/>
            <w:hideMark/>
          </w:tcPr>
          <w:p w14:paraId="6DA874FB" w14:textId="77777777" w:rsidR="0008774B" w:rsidRPr="00795F17" w:rsidRDefault="0008774B" w:rsidP="0044393D">
            <w:pPr>
              <w:pStyle w:val="Teksttabelinaglowek"/>
            </w:pPr>
          </w:p>
        </w:tc>
        <w:tc>
          <w:tcPr>
            <w:tcW w:w="1746" w:type="dxa"/>
            <w:gridSpan w:val="2"/>
            <w:shd w:val="clear" w:color="auto" w:fill="BFBFBF" w:themeFill="background1" w:themeFillShade="BF"/>
            <w:noWrap/>
            <w:vAlign w:val="center"/>
            <w:hideMark/>
          </w:tcPr>
          <w:p w14:paraId="729CA31D" w14:textId="16DBF956" w:rsidR="0008774B" w:rsidRPr="00795F17" w:rsidRDefault="00DF005E" w:rsidP="0044393D">
            <w:pPr>
              <w:pStyle w:val="Teksttabelinaglowek"/>
            </w:pPr>
            <w:r>
              <w:t>JCWP</w:t>
            </w:r>
            <w:r w:rsidR="005A0594" w:rsidRPr="00795F17">
              <w:t xml:space="preserve"> RW</w:t>
            </w:r>
          </w:p>
        </w:tc>
        <w:tc>
          <w:tcPr>
            <w:tcW w:w="1746" w:type="dxa"/>
            <w:gridSpan w:val="2"/>
            <w:shd w:val="clear" w:color="auto" w:fill="BFBFBF" w:themeFill="background1" w:themeFillShade="BF"/>
            <w:noWrap/>
            <w:vAlign w:val="center"/>
            <w:hideMark/>
          </w:tcPr>
          <w:p w14:paraId="7E2A78F5" w14:textId="5FC20955" w:rsidR="0008774B" w:rsidRPr="00795F17" w:rsidRDefault="00DF005E" w:rsidP="0044393D">
            <w:pPr>
              <w:pStyle w:val="Teksttabelinaglowek"/>
            </w:pPr>
            <w:r>
              <w:t>JCWP</w:t>
            </w:r>
            <w:r w:rsidR="005A0594" w:rsidRPr="00795F17">
              <w:t xml:space="preserve"> LW</w:t>
            </w:r>
          </w:p>
        </w:tc>
        <w:tc>
          <w:tcPr>
            <w:tcW w:w="1747" w:type="dxa"/>
            <w:gridSpan w:val="2"/>
            <w:shd w:val="clear" w:color="auto" w:fill="BFBFBF" w:themeFill="background1" w:themeFillShade="BF"/>
            <w:noWrap/>
            <w:vAlign w:val="center"/>
            <w:hideMark/>
          </w:tcPr>
          <w:p w14:paraId="3E6F3EB9" w14:textId="6B701D11" w:rsidR="0008774B" w:rsidRPr="00795F17" w:rsidRDefault="00DF005E" w:rsidP="0044393D">
            <w:pPr>
              <w:pStyle w:val="Teksttabelinaglowek"/>
            </w:pPr>
            <w:r>
              <w:t>JCWP</w:t>
            </w:r>
            <w:r w:rsidR="005A0594" w:rsidRPr="00795F17">
              <w:t xml:space="preserve"> TW i CW</w:t>
            </w:r>
          </w:p>
        </w:tc>
      </w:tr>
      <w:tr w:rsidR="0008774B" w:rsidRPr="00795F17" w14:paraId="3D1E6248" w14:textId="77777777" w:rsidTr="00D07F9E">
        <w:trPr>
          <w:trHeight w:val="454"/>
        </w:trPr>
        <w:tc>
          <w:tcPr>
            <w:tcW w:w="467" w:type="dxa"/>
            <w:shd w:val="clear" w:color="auto" w:fill="auto"/>
            <w:noWrap/>
            <w:vAlign w:val="center"/>
            <w:hideMark/>
          </w:tcPr>
          <w:p w14:paraId="65BEBE69" w14:textId="77777777" w:rsidR="0008774B" w:rsidRPr="00795F17" w:rsidRDefault="0008774B" w:rsidP="0065243A">
            <w:pPr>
              <w:pStyle w:val="Teksttabelisrodek"/>
            </w:pPr>
            <w:r w:rsidRPr="00795F17">
              <w:t>1.</w:t>
            </w:r>
          </w:p>
        </w:tc>
        <w:tc>
          <w:tcPr>
            <w:tcW w:w="3356" w:type="dxa"/>
            <w:shd w:val="clear" w:color="auto" w:fill="auto"/>
            <w:vAlign w:val="center"/>
            <w:hideMark/>
          </w:tcPr>
          <w:p w14:paraId="619BACEA" w14:textId="5CB4964D" w:rsidR="0008774B" w:rsidRPr="00795F17" w:rsidRDefault="0008774B" w:rsidP="00A8196D">
            <w:pPr>
              <w:pStyle w:val="Teksttabelilewy"/>
              <w:ind w:left="57"/>
            </w:pPr>
            <w:r w:rsidRPr="00795F17">
              <w:t xml:space="preserve">Gospodarka komunalna </w:t>
            </w:r>
            <w:r w:rsidR="00F52D81">
              <w:t>–</w:t>
            </w:r>
            <w:r w:rsidRPr="00795F17">
              <w:t xml:space="preserve"> budowa/modernizacja oczyszczalni ścieków, budowa kanalizacji, wywóz nieczystości</w:t>
            </w:r>
          </w:p>
        </w:tc>
        <w:tc>
          <w:tcPr>
            <w:tcW w:w="873" w:type="dxa"/>
            <w:shd w:val="clear" w:color="auto" w:fill="auto"/>
            <w:noWrap/>
            <w:vAlign w:val="center"/>
            <w:hideMark/>
          </w:tcPr>
          <w:p w14:paraId="2C4586FE" w14:textId="6AC33569" w:rsidR="0008774B" w:rsidRPr="00795F17" w:rsidRDefault="0008774B" w:rsidP="0065243A">
            <w:pPr>
              <w:pStyle w:val="Teksttabelisrodek"/>
            </w:pPr>
            <w:r w:rsidRPr="00795F17">
              <w:t>10</w:t>
            </w:r>
            <w:r w:rsidR="00720397" w:rsidRPr="00795F17">
              <w:t> </w:t>
            </w:r>
            <w:r w:rsidRPr="00795F17">
              <w:t>994</w:t>
            </w:r>
          </w:p>
        </w:tc>
        <w:tc>
          <w:tcPr>
            <w:tcW w:w="873" w:type="dxa"/>
            <w:shd w:val="clear" w:color="auto" w:fill="auto"/>
            <w:noWrap/>
            <w:vAlign w:val="center"/>
            <w:hideMark/>
          </w:tcPr>
          <w:p w14:paraId="02588D07" w14:textId="3DC8EBEC" w:rsidR="0008774B" w:rsidRPr="00795F17" w:rsidRDefault="0008774B" w:rsidP="0065243A">
            <w:pPr>
              <w:pStyle w:val="Teksttabelisrodek"/>
            </w:pPr>
            <w:r w:rsidRPr="00795F17">
              <w:t>69,</w:t>
            </w:r>
            <w:r w:rsidR="00D07F9E" w:rsidRPr="00795F17">
              <w:t>28</w:t>
            </w:r>
            <w:r w:rsidRPr="00795F17">
              <w:t>%</w:t>
            </w:r>
          </w:p>
        </w:tc>
        <w:tc>
          <w:tcPr>
            <w:tcW w:w="873" w:type="dxa"/>
            <w:shd w:val="clear" w:color="auto" w:fill="auto"/>
            <w:noWrap/>
            <w:vAlign w:val="center"/>
            <w:hideMark/>
          </w:tcPr>
          <w:p w14:paraId="1A26F55A" w14:textId="77777777" w:rsidR="0008774B" w:rsidRPr="00795F17" w:rsidRDefault="0008774B" w:rsidP="0065243A">
            <w:pPr>
              <w:pStyle w:val="Teksttabelisrodek"/>
            </w:pPr>
            <w:r w:rsidRPr="00795F17">
              <w:t>170</w:t>
            </w:r>
          </w:p>
        </w:tc>
        <w:tc>
          <w:tcPr>
            <w:tcW w:w="873" w:type="dxa"/>
            <w:shd w:val="clear" w:color="auto" w:fill="auto"/>
            <w:noWrap/>
            <w:vAlign w:val="center"/>
            <w:hideMark/>
          </w:tcPr>
          <w:p w14:paraId="639F2CD3" w14:textId="600F9BAB" w:rsidR="0008774B" w:rsidRPr="00795F17" w:rsidRDefault="0008774B" w:rsidP="0065243A">
            <w:pPr>
              <w:pStyle w:val="Teksttabelisrodek"/>
            </w:pPr>
            <w:r w:rsidRPr="00795F17">
              <w:t>15,8</w:t>
            </w:r>
            <w:r w:rsidR="00D07F9E" w:rsidRPr="00795F17">
              <w:t>4</w:t>
            </w:r>
            <w:r w:rsidRPr="00795F17">
              <w:t>%</w:t>
            </w:r>
          </w:p>
        </w:tc>
        <w:tc>
          <w:tcPr>
            <w:tcW w:w="873" w:type="dxa"/>
            <w:shd w:val="clear" w:color="auto" w:fill="auto"/>
            <w:noWrap/>
            <w:vAlign w:val="center"/>
            <w:hideMark/>
          </w:tcPr>
          <w:p w14:paraId="6C879528" w14:textId="77777777" w:rsidR="0008774B" w:rsidRPr="00795F17" w:rsidRDefault="0008774B" w:rsidP="0065243A">
            <w:pPr>
              <w:pStyle w:val="Teksttabelisrodek"/>
            </w:pPr>
            <w:r w:rsidRPr="00795F17">
              <w:t>94</w:t>
            </w:r>
          </w:p>
        </w:tc>
        <w:tc>
          <w:tcPr>
            <w:tcW w:w="874" w:type="dxa"/>
            <w:shd w:val="clear" w:color="auto" w:fill="auto"/>
            <w:noWrap/>
            <w:vAlign w:val="center"/>
            <w:hideMark/>
          </w:tcPr>
          <w:p w14:paraId="28721F10" w14:textId="51D3CE47" w:rsidR="0008774B" w:rsidRPr="00795F17" w:rsidRDefault="0008774B" w:rsidP="0065243A">
            <w:pPr>
              <w:pStyle w:val="Teksttabelisrodek"/>
            </w:pPr>
            <w:r w:rsidRPr="00795F17">
              <w:t>61,8</w:t>
            </w:r>
            <w:r w:rsidR="00D07F9E" w:rsidRPr="00795F17">
              <w:t>4</w:t>
            </w:r>
            <w:r w:rsidRPr="00795F17">
              <w:t>%</w:t>
            </w:r>
          </w:p>
        </w:tc>
      </w:tr>
      <w:tr w:rsidR="0008774B" w:rsidRPr="00795F17" w14:paraId="37A32E4F" w14:textId="77777777" w:rsidTr="00D07F9E">
        <w:trPr>
          <w:trHeight w:val="454"/>
        </w:trPr>
        <w:tc>
          <w:tcPr>
            <w:tcW w:w="467" w:type="dxa"/>
            <w:shd w:val="clear" w:color="auto" w:fill="auto"/>
            <w:noWrap/>
            <w:vAlign w:val="center"/>
            <w:hideMark/>
          </w:tcPr>
          <w:p w14:paraId="51AD4A35" w14:textId="77777777" w:rsidR="0008774B" w:rsidRPr="00795F17" w:rsidRDefault="0008774B" w:rsidP="0065243A">
            <w:pPr>
              <w:pStyle w:val="Teksttabelisrodek"/>
            </w:pPr>
            <w:r w:rsidRPr="00795F17">
              <w:t>2.</w:t>
            </w:r>
          </w:p>
        </w:tc>
        <w:tc>
          <w:tcPr>
            <w:tcW w:w="3356" w:type="dxa"/>
            <w:shd w:val="clear" w:color="auto" w:fill="auto"/>
            <w:vAlign w:val="center"/>
            <w:hideMark/>
          </w:tcPr>
          <w:p w14:paraId="0004BC3C" w14:textId="16F6F778" w:rsidR="0008774B" w:rsidRPr="00795F17" w:rsidRDefault="0008774B" w:rsidP="00A8196D">
            <w:pPr>
              <w:pStyle w:val="Teksttabelilewy"/>
              <w:ind w:left="57"/>
            </w:pPr>
            <w:r w:rsidRPr="00795F17">
              <w:t xml:space="preserve">Rolnictwo </w:t>
            </w:r>
            <w:r w:rsidR="00F52D81">
              <w:t>–</w:t>
            </w:r>
            <w:r w:rsidRPr="00795F17">
              <w:t xml:space="preserve"> program ograniczenia odpływu azotu, kontrola zarybiania</w:t>
            </w:r>
          </w:p>
        </w:tc>
        <w:tc>
          <w:tcPr>
            <w:tcW w:w="873" w:type="dxa"/>
            <w:shd w:val="clear" w:color="auto" w:fill="auto"/>
            <w:noWrap/>
            <w:vAlign w:val="center"/>
            <w:hideMark/>
          </w:tcPr>
          <w:p w14:paraId="50B5E944" w14:textId="3DAA5951" w:rsidR="0008774B" w:rsidRPr="00795F17" w:rsidRDefault="0008774B" w:rsidP="0065243A">
            <w:pPr>
              <w:pStyle w:val="Teksttabelisrodek"/>
            </w:pPr>
            <w:r w:rsidRPr="00795F17">
              <w:t>1</w:t>
            </w:r>
            <w:r w:rsidR="00720397" w:rsidRPr="00795F17">
              <w:t> </w:t>
            </w:r>
            <w:r w:rsidRPr="00795F17">
              <w:t>544</w:t>
            </w:r>
          </w:p>
        </w:tc>
        <w:tc>
          <w:tcPr>
            <w:tcW w:w="873" w:type="dxa"/>
            <w:shd w:val="clear" w:color="auto" w:fill="auto"/>
            <w:noWrap/>
            <w:vAlign w:val="center"/>
            <w:hideMark/>
          </w:tcPr>
          <w:p w14:paraId="6DC2BAA1" w14:textId="459D6DDB" w:rsidR="0008774B" w:rsidRPr="00795F17" w:rsidRDefault="0008774B" w:rsidP="0065243A">
            <w:pPr>
              <w:pStyle w:val="Teksttabelisrodek"/>
            </w:pPr>
            <w:r w:rsidRPr="00795F17">
              <w:t>9,7</w:t>
            </w:r>
            <w:r w:rsidR="00D07F9E" w:rsidRPr="00795F17">
              <w:t>3</w:t>
            </w:r>
            <w:r w:rsidRPr="00795F17">
              <w:t>%</w:t>
            </w:r>
          </w:p>
        </w:tc>
        <w:tc>
          <w:tcPr>
            <w:tcW w:w="873" w:type="dxa"/>
            <w:shd w:val="clear" w:color="auto" w:fill="auto"/>
            <w:noWrap/>
            <w:vAlign w:val="center"/>
            <w:hideMark/>
          </w:tcPr>
          <w:p w14:paraId="627EB3E3" w14:textId="77777777" w:rsidR="0008774B" w:rsidRPr="00795F17" w:rsidRDefault="0008774B" w:rsidP="0065243A">
            <w:pPr>
              <w:pStyle w:val="Teksttabelisrodek"/>
            </w:pPr>
            <w:r w:rsidRPr="00795F17">
              <w:t>48</w:t>
            </w:r>
          </w:p>
        </w:tc>
        <w:tc>
          <w:tcPr>
            <w:tcW w:w="873" w:type="dxa"/>
            <w:shd w:val="clear" w:color="auto" w:fill="auto"/>
            <w:noWrap/>
            <w:vAlign w:val="center"/>
            <w:hideMark/>
          </w:tcPr>
          <w:p w14:paraId="31C7FFFB" w14:textId="247214BC" w:rsidR="0008774B" w:rsidRPr="00795F17" w:rsidRDefault="0008774B" w:rsidP="0065243A">
            <w:pPr>
              <w:pStyle w:val="Teksttabelisrodek"/>
            </w:pPr>
            <w:r w:rsidRPr="00795F17">
              <w:t>4,</w:t>
            </w:r>
            <w:r w:rsidR="00D07F9E" w:rsidRPr="00795F17">
              <w:t>47</w:t>
            </w:r>
            <w:r w:rsidRPr="00795F17">
              <w:t>%</w:t>
            </w:r>
          </w:p>
        </w:tc>
        <w:tc>
          <w:tcPr>
            <w:tcW w:w="873" w:type="dxa"/>
            <w:shd w:val="clear" w:color="auto" w:fill="auto"/>
            <w:noWrap/>
            <w:vAlign w:val="center"/>
            <w:hideMark/>
          </w:tcPr>
          <w:p w14:paraId="60B404F7" w14:textId="77777777" w:rsidR="0008774B" w:rsidRPr="00795F17" w:rsidRDefault="0008774B" w:rsidP="0065243A">
            <w:pPr>
              <w:pStyle w:val="Teksttabelisrodek"/>
            </w:pPr>
            <w:r w:rsidRPr="00795F17">
              <w:t>6</w:t>
            </w:r>
          </w:p>
        </w:tc>
        <w:tc>
          <w:tcPr>
            <w:tcW w:w="874" w:type="dxa"/>
            <w:shd w:val="clear" w:color="auto" w:fill="auto"/>
            <w:noWrap/>
            <w:vAlign w:val="center"/>
            <w:hideMark/>
          </w:tcPr>
          <w:p w14:paraId="752F6E30" w14:textId="47923741" w:rsidR="0008774B" w:rsidRPr="00795F17" w:rsidRDefault="0008774B" w:rsidP="0065243A">
            <w:pPr>
              <w:pStyle w:val="Teksttabelisrodek"/>
            </w:pPr>
            <w:r w:rsidRPr="00795F17">
              <w:t>3,9</w:t>
            </w:r>
            <w:r w:rsidR="00D07F9E" w:rsidRPr="00795F17">
              <w:t>5</w:t>
            </w:r>
            <w:r w:rsidRPr="00795F17">
              <w:t>%</w:t>
            </w:r>
          </w:p>
        </w:tc>
      </w:tr>
      <w:tr w:rsidR="0008774B" w:rsidRPr="00795F17" w14:paraId="7F54F9FE" w14:textId="77777777" w:rsidTr="00D07F9E">
        <w:trPr>
          <w:trHeight w:val="454"/>
        </w:trPr>
        <w:tc>
          <w:tcPr>
            <w:tcW w:w="467" w:type="dxa"/>
            <w:shd w:val="clear" w:color="auto" w:fill="auto"/>
            <w:noWrap/>
            <w:vAlign w:val="center"/>
            <w:hideMark/>
          </w:tcPr>
          <w:p w14:paraId="0A3464BE" w14:textId="77777777" w:rsidR="0008774B" w:rsidRPr="00795F17" w:rsidRDefault="0008774B" w:rsidP="0065243A">
            <w:pPr>
              <w:pStyle w:val="Teksttabelisrodek"/>
            </w:pPr>
            <w:r w:rsidRPr="00795F17">
              <w:t>3.</w:t>
            </w:r>
          </w:p>
        </w:tc>
        <w:tc>
          <w:tcPr>
            <w:tcW w:w="3356" w:type="dxa"/>
            <w:shd w:val="clear" w:color="auto" w:fill="auto"/>
            <w:vAlign w:val="center"/>
            <w:hideMark/>
          </w:tcPr>
          <w:p w14:paraId="170990E9" w14:textId="2A0FF397" w:rsidR="0008774B" w:rsidRPr="00795F17" w:rsidRDefault="0008774B" w:rsidP="00A8196D">
            <w:pPr>
              <w:pStyle w:val="Teksttabelilewy"/>
              <w:ind w:left="57"/>
            </w:pPr>
            <w:r w:rsidRPr="00795F17">
              <w:t xml:space="preserve">Gospodarka komunalna/przemysł </w:t>
            </w:r>
            <w:r w:rsidR="00F52D81">
              <w:t>–</w:t>
            </w:r>
            <w:r w:rsidRPr="00795F17">
              <w:t xml:space="preserve"> kontrole w zakresie gromadzenia i</w:t>
            </w:r>
            <w:r w:rsidR="00FE645D">
              <w:t> </w:t>
            </w:r>
            <w:r w:rsidRPr="00795F17">
              <w:t>oczyszczania ścieków</w:t>
            </w:r>
          </w:p>
        </w:tc>
        <w:tc>
          <w:tcPr>
            <w:tcW w:w="873" w:type="dxa"/>
            <w:shd w:val="clear" w:color="auto" w:fill="auto"/>
            <w:noWrap/>
            <w:vAlign w:val="center"/>
            <w:hideMark/>
          </w:tcPr>
          <w:p w14:paraId="650903D9" w14:textId="4B314108" w:rsidR="0008774B" w:rsidRPr="00795F17" w:rsidRDefault="0008774B" w:rsidP="0065243A">
            <w:pPr>
              <w:pStyle w:val="Teksttabelisrodek"/>
            </w:pPr>
            <w:r w:rsidRPr="00795F17">
              <w:t>2</w:t>
            </w:r>
            <w:r w:rsidR="00720397" w:rsidRPr="00795F17">
              <w:t> </w:t>
            </w:r>
            <w:r w:rsidRPr="00795F17">
              <w:t>533</w:t>
            </w:r>
          </w:p>
        </w:tc>
        <w:tc>
          <w:tcPr>
            <w:tcW w:w="873" w:type="dxa"/>
            <w:shd w:val="clear" w:color="auto" w:fill="auto"/>
            <w:noWrap/>
            <w:vAlign w:val="center"/>
            <w:hideMark/>
          </w:tcPr>
          <w:p w14:paraId="25E5876E" w14:textId="26E2EDA9" w:rsidR="0008774B" w:rsidRPr="00795F17" w:rsidRDefault="0008774B" w:rsidP="0065243A">
            <w:pPr>
              <w:pStyle w:val="Teksttabelisrodek"/>
            </w:pPr>
            <w:r w:rsidRPr="00795F17">
              <w:t>1</w:t>
            </w:r>
            <w:r w:rsidR="00D07F9E" w:rsidRPr="00795F17">
              <w:t>5,96</w:t>
            </w:r>
            <w:r w:rsidRPr="00795F17">
              <w:t>%</w:t>
            </w:r>
          </w:p>
        </w:tc>
        <w:tc>
          <w:tcPr>
            <w:tcW w:w="873" w:type="dxa"/>
            <w:shd w:val="clear" w:color="auto" w:fill="auto"/>
            <w:noWrap/>
            <w:vAlign w:val="center"/>
            <w:hideMark/>
          </w:tcPr>
          <w:p w14:paraId="71895A81" w14:textId="77777777" w:rsidR="0008774B" w:rsidRPr="00795F17" w:rsidRDefault="0008774B" w:rsidP="0065243A">
            <w:pPr>
              <w:pStyle w:val="Teksttabelisrodek"/>
            </w:pPr>
            <w:r w:rsidRPr="00795F17">
              <w:t>795</w:t>
            </w:r>
          </w:p>
        </w:tc>
        <w:tc>
          <w:tcPr>
            <w:tcW w:w="873" w:type="dxa"/>
            <w:shd w:val="clear" w:color="auto" w:fill="auto"/>
            <w:noWrap/>
            <w:vAlign w:val="center"/>
            <w:hideMark/>
          </w:tcPr>
          <w:p w14:paraId="3D61F502" w14:textId="7BC37CF7" w:rsidR="0008774B" w:rsidRPr="00795F17" w:rsidRDefault="0008774B" w:rsidP="0065243A">
            <w:pPr>
              <w:pStyle w:val="Teksttabelisrodek"/>
            </w:pPr>
            <w:r w:rsidRPr="00795F17">
              <w:t>74,</w:t>
            </w:r>
            <w:r w:rsidR="00D07F9E" w:rsidRPr="00795F17">
              <w:t>09</w:t>
            </w:r>
            <w:r w:rsidRPr="00795F17">
              <w:t>%</w:t>
            </w:r>
          </w:p>
        </w:tc>
        <w:tc>
          <w:tcPr>
            <w:tcW w:w="873" w:type="dxa"/>
            <w:shd w:val="clear" w:color="auto" w:fill="auto"/>
            <w:noWrap/>
            <w:vAlign w:val="center"/>
            <w:hideMark/>
          </w:tcPr>
          <w:p w14:paraId="7201282A" w14:textId="77777777" w:rsidR="0008774B" w:rsidRPr="00795F17" w:rsidRDefault="0008774B" w:rsidP="0065243A">
            <w:pPr>
              <w:pStyle w:val="Teksttabelisrodek"/>
            </w:pPr>
            <w:r w:rsidRPr="00795F17">
              <w:t>0</w:t>
            </w:r>
          </w:p>
        </w:tc>
        <w:tc>
          <w:tcPr>
            <w:tcW w:w="874" w:type="dxa"/>
            <w:shd w:val="clear" w:color="auto" w:fill="auto"/>
            <w:noWrap/>
            <w:vAlign w:val="center"/>
            <w:hideMark/>
          </w:tcPr>
          <w:p w14:paraId="316EB650" w14:textId="1000F2F4" w:rsidR="0008774B" w:rsidRPr="00795F17" w:rsidRDefault="00D07F9E" w:rsidP="0065243A">
            <w:pPr>
              <w:pStyle w:val="Teksttabelisrodek"/>
            </w:pPr>
            <w:r w:rsidRPr="00795F17">
              <w:t>0,00%</w:t>
            </w:r>
          </w:p>
        </w:tc>
      </w:tr>
      <w:tr w:rsidR="0008774B" w:rsidRPr="00795F17" w14:paraId="05C67BF3" w14:textId="77777777" w:rsidTr="00D07F9E">
        <w:trPr>
          <w:trHeight w:val="454"/>
        </w:trPr>
        <w:tc>
          <w:tcPr>
            <w:tcW w:w="467" w:type="dxa"/>
            <w:shd w:val="clear" w:color="auto" w:fill="auto"/>
            <w:noWrap/>
            <w:vAlign w:val="center"/>
            <w:hideMark/>
          </w:tcPr>
          <w:p w14:paraId="7A078ACB" w14:textId="77777777" w:rsidR="0008774B" w:rsidRPr="00795F17" w:rsidRDefault="0008774B" w:rsidP="0065243A">
            <w:pPr>
              <w:pStyle w:val="Teksttabelisrodek"/>
            </w:pPr>
            <w:r w:rsidRPr="00795F17">
              <w:t>4.</w:t>
            </w:r>
          </w:p>
        </w:tc>
        <w:tc>
          <w:tcPr>
            <w:tcW w:w="3356" w:type="dxa"/>
            <w:shd w:val="clear" w:color="auto" w:fill="auto"/>
            <w:vAlign w:val="center"/>
            <w:hideMark/>
          </w:tcPr>
          <w:p w14:paraId="0E6481F7" w14:textId="4100AF43" w:rsidR="0008774B" w:rsidRPr="00795F17" w:rsidRDefault="0008774B" w:rsidP="00A8196D">
            <w:pPr>
              <w:pStyle w:val="Teksttabelilewy"/>
              <w:ind w:left="57"/>
            </w:pPr>
            <w:r w:rsidRPr="00795F17">
              <w:t xml:space="preserve">Nierozpoznana presja/zlewnia niemonitorowana </w:t>
            </w:r>
            <w:r w:rsidR="00F52D81">
              <w:t>–</w:t>
            </w:r>
            <w:r w:rsidRPr="00795F17">
              <w:t xml:space="preserve"> monitoring badawczy</w:t>
            </w:r>
          </w:p>
        </w:tc>
        <w:tc>
          <w:tcPr>
            <w:tcW w:w="873" w:type="dxa"/>
            <w:shd w:val="clear" w:color="auto" w:fill="auto"/>
            <w:noWrap/>
            <w:vAlign w:val="center"/>
            <w:hideMark/>
          </w:tcPr>
          <w:p w14:paraId="40DA89B7" w14:textId="77777777" w:rsidR="0008774B" w:rsidRPr="00795F17" w:rsidRDefault="0008774B" w:rsidP="0065243A">
            <w:pPr>
              <w:pStyle w:val="Teksttabelisrodek"/>
            </w:pPr>
            <w:r w:rsidRPr="00795F17">
              <w:t>77</w:t>
            </w:r>
          </w:p>
        </w:tc>
        <w:tc>
          <w:tcPr>
            <w:tcW w:w="873" w:type="dxa"/>
            <w:shd w:val="clear" w:color="auto" w:fill="auto"/>
            <w:noWrap/>
            <w:vAlign w:val="center"/>
            <w:hideMark/>
          </w:tcPr>
          <w:p w14:paraId="1AE21909" w14:textId="6ACE8DB4" w:rsidR="0008774B" w:rsidRPr="00795F17" w:rsidRDefault="0008774B" w:rsidP="0065243A">
            <w:pPr>
              <w:pStyle w:val="Teksttabelisrodek"/>
            </w:pPr>
            <w:r w:rsidRPr="00795F17">
              <w:t>0,</w:t>
            </w:r>
            <w:r w:rsidR="00D07F9E" w:rsidRPr="00795F17">
              <w:t>49</w:t>
            </w:r>
            <w:r w:rsidRPr="00795F17">
              <w:t>%</w:t>
            </w:r>
          </w:p>
        </w:tc>
        <w:tc>
          <w:tcPr>
            <w:tcW w:w="873" w:type="dxa"/>
            <w:shd w:val="clear" w:color="auto" w:fill="auto"/>
            <w:noWrap/>
            <w:vAlign w:val="center"/>
            <w:hideMark/>
          </w:tcPr>
          <w:p w14:paraId="6EE722CB" w14:textId="77777777" w:rsidR="0008774B" w:rsidRPr="00795F17" w:rsidRDefault="0008774B" w:rsidP="0065243A">
            <w:pPr>
              <w:pStyle w:val="Teksttabelisrodek"/>
            </w:pPr>
            <w:r w:rsidRPr="00795F17">
              <w:t>4</w:t>
            </w:r>
          </w:p>
        </w:tc>
        <w:tc>
          <w:tcPr>
            <w:tcW w:w="873" w:type="dxa"/>
            <w:shd w:val="clear" w:color="auto" w:fill="auto"/>
            <w:noWrap/>
            <w:vAlign w:val="center"/>
            <w:hideMark/>
          </w:tcPr>
          <w:p w14:paraId="342EAC40" w14:textId="0202234E" w:rsidR="0008774B" w:rsidRPr="00795F17" w:rsidRDefault="0008774B" w:rsidP="0065243A">
            <w:pPr>
              <w:pStyle w:val="Teksttabelisrodek"/>
            </w:pPr>
            <w:r w:rsidRPr="00795F17">
              <w:t>0,</w:t>
            </w:r>
            <w:r w:rsidR="00D07F9E" w:rsidRPr="00795F17">
              <w:t>37</w:t>
            </w:r>
            <w:r w:rsidRPr="00795F17">
              <w:t>%</w:t>
            </w:r>
          </w:p>
        </w:tc>
        <w:tc>
          <w:tcPr>
            <w:tcW w:w="873" w:type="dxa"/>
            <w:shd w:val="clear" w:color="auto" w:fill="auto"/>
            <w:noWrap/>
            <w:vAlign w:val="center"/>
            <w:hideMark/>
          </w:tcPr>
          <w:p w14:paraId="7D92D94E" w14:textId="77777777" w:rsidR="0008774B" w:rsidRPr="00795F17" w:rsidRDefault="0008774B" w:rsidP="0065243A">
            <w:pPr>
              <w:pStyle w:val="Teksttabelisrodek"/>
            </w:pPr>
            <w:r w:rsidRPr="00795F17">
              <w:t>37</w:t>
            </w:r>
          </w:p>
        </w:tc>
        <w:tc>
          <w:tcPr>
            <w:tcW w:w="874" w:type="dxa"/>
            <w:shd w:val="clear" w:color="auto" w:fill="auto"/>
            <w:noWrap/>
            <w:vAlign w:val="center"/>
            <w:hideMark/>
          </w:tcPr>
          <w:p w14:paraId="05A77F2C" w14:textId="271124B4" w:rsidR="0008774B" w:rsidRPr="00795F17" w:rsidRDefault="0008774B" w:rsidP="0065243A">
            <w:pPr>
              <w:pStyle w:val="Teksttabelisrodek"/>
            </w:pPr>
            <w:r w:rsidRPr="00795F17">
              <w:t>24,3</w:t>
            </w:r>
            <w:r w:rsidR="00D07F9E" w:rsidRPr="00795F17">
              <w:t>4</w:t>
            </w:r>
            <w:r w:rsidRPr="00795F17">
              <w:t>%</w:t>
            </w:r>
          </w:p>
        </w:tc>
      </w:tr>
      <w:tr w:rsidR="0008774B" w:rsidRPr="00795F17" w14:paraId="6C547A16" w14:textId="77777777" w:rsidTr="00D07F9E">
        <w:trPr>
          <w:trHeight w:val="454"/>
        </w:trPr>
        <w:tc>
          <w:tcPr>
            <w:tcW w:w="467" w:type="dxa"/>
            <w:shd w:val="clear" w:color="auto" w:fill="auto"/>
            <w:noWrap/>
            <w:vAlign w:val="center"/>
            <w:hideMark/>
          </w:tcPr>
          <w:p w14:paraId="2A8DDF43" w14:textId="77777777" w:rsidR="0008774B" w:rsidRPr="00795F17" w:rsidRDefault="0008774B" w:rsidP="0065243A">
            <w:pPr>
              <w:pStyle w:val="Teksttabelisrodek"/>
            </w:pPr>
            <w:r w:rsidRPr="00795F17">
              <w:t>5.</w:t>
            </w:r>
          </w:p>
        </w:tc>
        <w:tc>
          <w:tcPr>
            <w:tcW w:w="3356" w:type="dxa"/>
            <w:shd w:val="clear" w:color="auto" w:fill="auto"/>
            <w:vAlign w:val="center"/>
            <w:hideMark/>
          </w:tcPr>
          <w:p w14:paraId="1FBAD9D8" w14:textId="52507B26" w:rsidR="0008774B" w:rsidRPr="00795F17" w:rsidRDefault="0008774B" w:rsidP="00A8196D">
            <w:pPr>
              <w:pStyle w:val="Teksttabelilewy"/>
              <w:ind w:left="57"/>
            </w:pPr>
            <w:r w:rsidRPr="00795F17">
              <w:t xml:space="preserve">Odpływ zanieczyszczeń </w:t>
            </w:r>
            <w:r w:rsidR="00F52D81">
              <w:t>–</w:t>
            </w:r>
            <w:r w:rsidRPr="00795F17">
              <w:t xml:space="preserve"> działania nietechniczne: przeglądy pozwoleń, warunki korzystania z wód, weryfikacja POŚ</w:t>
            </w:r>
          </w:p>
        </w:tc>
        <w:tc>
          <w:tcPr>
            <w:tcW w:w="873" w:type="dxa"/>
            <w:shd w:val="clear" w:color="auto" w:fill="auto"/>
            <w:noWrap/>
            <w:vAlign w:val="center"/>
            <w:hideMark/>
          </w:tcPr>
          <w:p w14:paraId="5E43F867" w14:textId="77777777" w:rsidR="0008774B" w:rsidRPr="00795F17" w:rsidRDefault="0008774B" w:rsidP="0065243A">
            <w:pPr>
              <w:pStyle w:val="Teksttabelisrodek"/>
            </w:pPr>
            <w:r w:rsidRPr="00795F17">
              <w:t>720</w:t>
            </w:r>
          </w:p>
        </w:tc>
        <w:tc>
          <w:tcPr>
            <w:tcW w:w="873" w:type="dxa"/>
            <w:shd w:val="clear" w:color="auto" w:fill="auto"/>
            <w:noWrap/>
            <w:vAlign w:val="center"/>
            <w:hideMark/>
          </w:tcPr>
          <w:p w14:paraId="709D6573" w14:textId="57B9DE2A" w:rsidR="0008774B" w:rsidRPr="00795F17" w:rsidRDefault="0008774B" w:rsidP="0065243A">
            <w:pPr>
              <w:pStyle w:val="Teksttabelisrodek"/>
            </w:pPr>
            <w:r w:rsidRPr="00795F17">
              <w:t>4,5</w:t>
            </w:r>
            <w:r w:rsidR="00D07F9E" w:rsidRPr="00795F17">
              <w:t>4</w:t>
            </w:r>
            <w:r w:rsidRPr="00795F17">
              <w:t>%</w:t>
            </w:r>
          </w:p>
        </w:tc>
        <w:tc>
          <w:tcPr>
            <w:tcW w:w="873" w:type="dxa"/>
            <w:shd w:val="clear" w:color="auto" w:fill="auto"/>
            <w:noWrap/>
            <w:vAlign w:val="center"/>
            <w:hideMark/>
          </w:tcPr>
          <w:p w14:paraId="6149EB68" w14:textId="77777777" w:rsidR="0008774B" w:rsidRPr="00795F17" w:rsidRDefault="0008774B" w:rsidP="0065243A">
            <w:pPr>
              <w:pStyle w:val="Teksttabelisrodek"/>
            </w:pPr>
            <w:r w:rsidRPr="00795F17">
              <w:t>50</w:t>
            </w:r>
          </w:p>
        </w:tc>
        <w:tc>
          <w:tcPr>
            <w:tcW w:w="873" w:type="dxa"/>
            <w:shd w:val="clear" w:color="auto" w:fill="auto"/>
            <w:noWrap/>
            <w:vAlign w:val="center"/>
            <w:hideMark/>
          </w:tcPr>
          <w:p w14:paraId="6BD8CDB8" w14:textId="5274EBA7" w:rsidR="0008774B" w:rsidRPr="00795F17" w:rsidRDefault="0008774B" w:rsidP="0065243A">
            <w:pPr>
              <w:pStyle w:val="Teksttabelisrodek"/>
            </w:pPr>
            <w:r w:rsidRPr="00795F17">
              <w:t>4,</w:t>
            </w:r>
            <w:r w:rsidR="00D07F9E" w:rsidRPr="00795F17">
              <w:t>66</w:t>
            </w:r>
            <w:r w:rsidRPr="00795F17">
              <w:t>%</w:t>
            </w:r>
          </w:p>
        </w:tc>
        <w:tc>
          <w:tcPr>
            <w:tcW w:w="873" w:type="dxa"/>
            <w:shd w:val="clear" w:color="auto" w:fill="auto"/>
            <w:noWrap/>
            <w:vAlign w:val="center"/>
            <w:hideMark/>
          </w:tcPr>
          <w:p w14:paraId="7758FCFC" w14:textId="77777777" w:rsidR="0008774B" w:rsidRPr="00795F17" w:rsidRDefault="0008774B" w:rsidP="0065243A">
            <w:pPr>
              <w:pStyle w:val="Teksttabelisrodek"/>
            </w:pPr>
            <w:r w:rsidRPr="00795F17">
              <w:t>15</w:t>
            </w:r>
          </w:p>
        </w:tc>
        <w:tc>
          <w:tcPr>
            <w:tcW w:w="874" w:type="dxa"/>
            <w:shd w:val="clear" w:color="auto" w:fill="auto"/>
            <w:noWrap/>
            <w:vAlign w:val="center"/>
            <w:hideMark/>
          </w:tcPr>
          <w:p w14:paraId="2BEE342D" w14:textId="1454F699" w:rsidR="0008774B" w:rsidRPr="00795F17" w:rsidRDefault="0008774B" w:rsidP="0065243A">
            <w:pPr>
              <w:pStyle w:val="Teksttabelisrodek"/>
            </w:pPr>
            <w:r w:rsidRPr="00795F17">
              <w:t>9,</w:t>
            </w:r>
            <w:r w:rsidR="00D07F9E" w:rsidRPr="00795F17">
              <w:t>87</w:t>
            </w:r>
            <w:r w:rsidRPr="00795F17">
              <w:t>%</w:t>
            </w:r>
          </w:p>
        </w:tc>
      </w:tr>
      <w:tr w:rsidR="0008774B" w:rsidRPr="00795F17" w14:paraId="0C5534F5" w14:textId="77777777" w:rsidTr="00D07F9E">
        <w:trPr>
          <w:trHeight w:val="454"/>
        </w:trPr>
        <w:tc>
          <w:tcPr>
            <w:tcW w:w="467" w:type="dxa"/>
            <w:shd w:val="clear" w:color="auto" w:fill="auto"/>
            <w:noWrap/>
            <w:vAlign w:val="center"/>
            <w:hideMark/>
          </w:tcPr>
          <w:p w14:paraId="7FDC92BA" w14:textId="77777777" w:rsidR="0008774B" w:rsidRPr="00795F17" w:rsidRDefault="0008774B" w:rsidP="0065243A">
            <w:pPr>
              <w:pStyle w:val="Teksttabelisrodek"/>
            </w:pPr>
            <w:r w:rsidRPr="00795F17">
              <w:t>6.</w:t>
            </w:r>
          </w:p>
        </w:tc>
        <w:tc>
          <w:tcPr>
            <w:tcW w:w="3356" w:type="dxa"/>
            <w:shd w:val="clear" w:color="auto" w:fill="auto"/>
            <w:vAlign w:val="center"/>
            <w:hideMark/>
          </w:tcPr>
          <w:p w14:paraId="4BF5E9C6" w14:textId="77777777" w:rsidR="0008774B" w:rsidRPr="00795F17" w:rsidRDefault="0008774B" w:rsidP="00A8196D">
            <w:pPr>
              <w:pStyle w:val="Teksttabelilewy"/>
              <w:ind w:left="57"/>
            </w:pPr>
            <w:r w:rsidRPr="00795F17">
              <w:t>Program rekultywacji</w:t>
            </w:r>
          </w:p>
        </w:tc>
        <w:tc>
          <w:tcPr>
            <w:tcW w:w="873" w:type="dxa"/>
            <w:shd w:val="clear" w:color="auto" w:fill="auto"/>
            <w:noWrap/>
            <w:vAlign w:val="center"/>
            <w:hideMark/>
          </w:tcPr>
          <w:p w14:paraId="341622AD" w14:textId="77777777" w:rsidR="0008774B" w:rsidRPr="00795F17" w:rsidRDefault="0008774B" w:rsidP="0065243A">
            <w:pPr>
              <w:pStyle w:val="Teksttabelisrodek"/>
            </w:pPr>
            <w:r w:rsidRPr="00795F17">
              <w:t>0</w:t>
            </w:r>
          </w:p>
        </w:tc>
        <w:tc>
          <w:tcPr>
            <w:tcW w:w="873" w:type="dxa"/>
            <w:shd w:val="clear" w:color="auto" w:fill="auto"/>
            <w:noWrap/>
            <w:vAlign w:val="center"/>
            <w:hideMark/>
          </w:tcPr>
          <w:p w14:paraId="503D2734" w14:textId="3F27C912" w:rsidR="0008774B" w:rsidRPr="00795F17" w:rsidRDefault="00D07F9E" w:rsidP="0065243A">
            <w:pPr>
              <w:pStyle w:val="Teksttabelisrodek"/>
            </w:pPr>
            <w:r w:rsidRPr="00795F17">
              <w:t>0,00%</w:t>
            </w:r>
          </w:p>
        </w:tc>
        <w:tc>
          <w:tcPr>
            <w:tcW w:w="873" w:type="dxa"/>
            <w:shd w:val="clear" w:color="auto" w:fill="auto"/>
            <w:noWrap/>
            <w:vAlign w:val="center"/>
            <w:hideMark/>
          </w:tcPr>
          <w:p w14:paraId="5515E65B" w14:textId="77777777" w:rsidR="0008774B" w:rsidRPr="00795F17" w:rsidRDefault="0008774B" w:rsidP="0065243A">
            <w:pPr>
              <w:pStyle w:val="Teksttabelisrodek"/>
            </w:pPr>
            <w:r w:rsidRPr="00795F17">
              <w:t>6</w:t>
            </w:r>
          </w:p>
        </w:tc>
        <w:tc>
          <w:tcPr>
            <w:tcW w:w="873" w:type="dxa"/>
            <w:shd w:val="clear" w:color="auto" w:fill="auto"/>
            <w:noWrap/>
            <w:vAlign w:val="center"/>
            <w:hideMark/>
          </w:tcPr>
          <w:p w14:paraId="4433238D" w14:textId="21149F68" w:rsidR="0008774B" w:rsidRPr="00795F17" w:rsidRDefault="0008774B" w:rsidP="0065243A">
            <w:pPr>
              <w:pStyle w:val="Teksttabelisrodek"/>
            </w:pPr>
            <w:r w:rsidRPr="00795F17">
              <w:t>0,</w:t>
            </w:r>
            <w:r w:rsidR="00D07F9E" w:rsidRPr="00795F17">
              <w:t>56</w:t>
            </w:r>
            <w:r w:rsidRPr="00795F17">
              <w:t>%</w:t>
            </w:r>
          </w:p>
        </w:tc>
        <w:tc>
          <w:tcPr>
            <w:tcW w:w="873" w:type="dxa"/>
            <w:shd w:val="clear" w:color="auto" w:fill="auto"/>
            <w:noWrap/>
            <w:vAlign w:val="center"/>
            <w:hideMark/>
          </w:tcPr>
          <w:p w14:paraId="78E7A0AD" w14:textId="77777777" w:rsidR="0008774B" w:rsidRPr="00795F17" w:rsidRDefault="0008774B" w:rsidP="0065243A">
            <w:pPr>
              <w:pStyle w:val="Teksttabelisrodek"/>
            </w:pPr>
            <w:r w:rsidRPr="00795F17">
              <w:t>0</w:t>
            </w:r>
          </w:p>
        </w:tc>
        <w:tc>
          <w:tcPr>
            <w:tcW w:w="874" w:type="dxa"/>
            <w:shd w:val="clear" w:color="auto" w:fill="auto"/>
            <w:noWrap/>
            <w:vAlign w:val="center"/>
            <w:hideMark/>
          </w:tcPr>
          <w:p w14:paraId="690BFF7C" w14:textId="4EC4C49C" w:rsidR="0008774B" w:rsidRPr="00795F17" w:rsidRDefault="00D07F9E" w:rsidP="0065243A">
            <w:pPr>
              <w:pStyle w:val="Teksttabelisrodek"/>
            </w:pPr>
            <w:r w:rsidRPr="00795F17">
              <w:t>0,00%</w:t>
            </w:r>
          </w:p>
        </w:tc>
      </w:tr>
      <w:tr w:rsidR="00490C3E" w:rsidRPr="00795F17" w14:paraId="0806CE95" w14:textId="77777777" w:rsidTr="00D07F9E">
        <w:trPr>
          <w:trHeight w:val="454"/>
        </w:trPr>
        <w:tc>
          <w:tcPr>
            <w:tcW w:w="3823" w:type="dxa"/>
            <w:gridSpan w:val="2"/>
            <w:shd w:val="clear" w:color="auto" w:fill="BFBFBF" w:themeFill="background1" w:themeFillShade="BF"/>
            <w:noWrap/>
            <w:vAlign w:val="center"/>
            <w:hideMark/>
          </w:tcPr>
          <w:p w14:paraId="32EAC3F0" w14:textId="7CBF11E3" w:rsidR="00490C3E" w:rsidRPr="00795F17" w:rsidRDefault="00490C3E" w:rsidP="0044393D">
            <w:pPr>
              <w:pStyle w:val="Teksttabelinaglowek"/>
            </w:pPr>
            <w:r w:rsidRPr="00795F17">
              <w:t>Suma</w:t>
            </w:r>
          </w:p>
        </w:tc>
        <w:tc>
          <w:tcPr>
            <w:tcW w:w="873" w:type="dxa"/>
            <w:shd w:val="clear" w:color="auto" w:fill="BFBFBF" w:themeFill="background1" w:themeFillShade="BF"/>
            <w:noWrap/>
            <w:vAlign w:val="center"/>
            <w:hideMark/>
          </w:tcPr>
          <w:p w14:paraId="736B8BED" w14:textId="77777777" w:rsidR="00490C3E" w:rsidRPr="00795F17" w:rsidRDefault="00490C3E" w:rsidP="0044393D">
            <w:pPr>
              <w:pStyle w:val="Teksttabelinaglowek"/>
            </w:pPr>
            <w:r w:rsidRPr="00795F17">
              <w:t>15 868</w:t>
            </w:r>
          </w:p>
        </w:tc>
        <w:tc>
          <w:tcPr>
            <w:tcW w:w="873" w:type="dxa"/>
            <w:shd w:val="clear" w:color="auto" w:fill="BFBFBF" w:themeFill="background1" w:themeFillShade="BF"/>
            <w:noWrap/>
            <w:vAlign w:val="center"/>
            <w:hideMark/>
          </w:tcPr>
          <w:p w14:paraId="7FE3F6B5" w14:textId="74914A87" w:rsidR="00490C3E" w:rsidRPr="00795F17" w:rsidRDefault="00490C3E" w:rsidP="0044393D">
            <w:pPr>
              <w:pStyle w:val="Teksttabelinaglowek"/>
            </w:pPr>
            <w:r w:rsidRPr="00795F17">
              <w:t>100%</w:t>
            </w:r>
          </w:p>
        </w:tc>
        <w:tc>
          <w:tcPr>
            <w:tcW w:w="873" w:type="dxa"/>
            <w:shd w:val="clear" w:color="auto" w:fill="BFBFBF" w:themeFill="background1" w:themeFillShade="BF"/>
            <w:noWrap/>
            <w:vAlign w:val="center"/>
            <w:hideMark/>
          </w:tcPr>
          <w:p w14:paraId="677C8872" w14:textId="266A3663" w:rsidR="00490C3E" w:rsidRPr="00795F17" w:rsidRDefault="00490C3E" w:rsidP="0044393D">
            <w:pPr>
              <w:pStyle w:val="Teksttabelinaglowek"/>
            </w:pPr>
            <w:r w:rsidRPr="00795F17">
              <w:t>1</w:t>
            </w:r>
            <w:r w:rsidR="00720397" w:rsidRPr="00795F17">
              <w:t> </w:t>
            </w:r>
            <w:r w:rsidRPr="00795F17">
              <w:t>073</w:t>
            </w:r>
          </w:p>
        </w:tc>
        <w:tc>
          <w:tcPr>
            <w:tcW w:w="873" w:type="dxa"/>
            <w:shd w:val="clear" w:color="auto" w:fill="BFBFBF" w:themeFill="background1" w:themeFillShade="BF"/>
            <w:noWrap/>
            <w:vAlign w:val="center"/>
            <w:hideMark/>
          </w:tcPr>
          <w:p w14:paraId="2F8B5FA5" w14:textId="04E50233" w:rsidR="00490C3E" w:rsidRPr="00795F17" w:rsidRDefault="00490C3E" w:rsidP="0044393D">
            <w:pPr>
              <w:pStyle w:val="Teksttabelinaglowek"/>
            </w:pPr>
            <w:r w:rsidRPr="00795F17">
              <w:t>100%</w:t>
            </w:r>
          </w:p>
        </w:tc>
        <w:tc>
          <w:tcPr>
            <w:tcW w:w="873" w:type="dxa"/>
            <w:shd w:val="clear" w:color="auto" w:fill="BFBFBF" w:themeFill="background1" w:themeFillShade="BF"/>
            <w:noWrap/>
            <w:vAlign w:val="center"/>
            <w:hideMark/>
          </w:tcPr>
          <w:p w14:paraId="10E11BCE" w14:textId="77777777" w:rsidR="00490C3E" w:rsidRPr="00795F17" w:rsidRDefault="00490C3E" w:rsidP="0044393D">
            <w:pPr>
              <w:pStyle w:val="Teksttabelinaglowek"/>
            </w:pPr>
            <w:r w:rsidRPr="00795F17">
              <w:t>152</w:t>
            </w:r>
          </w:p>
        </w:tc>
        <w:tc>
          <w:tcPr>
            <w:tcW w:w="874" w:type="dxa"/>
            <w:shd w:val="clear" w:color="auto" w:fill="BFBFBF" w:themeFill="background1" w:themeFillShade="BF"/>
            <w:noWrap/>
            <w:vAlign w:val="center"/>
            <w:hideMark/>
          </w:tcPr>
          <w:p w14:paraId="26F45FAA" w14:textId="60921A65" w:rsidR="00490C3E" w:rsidRPr="00795F17" w:rsidRDefault="00490C3E" w:rsidP="0044393D">
            <w:pPr>
              <w:pStyle w:val="Teksttabelinaglowek"/>
            </w:pPr>
            <w:r w:rsidRPr="00795F17">
              <w:t>100%</w:t>
            </w:r>
          </w:p>
        </w:tc>
      </w:tr>
    </w:tbl>
    <w:p w14:paraId="315ABDB4" w14:textId="67282F48" w:rsidR="00AD7961" w:rsidRPr="00795F17" w:rsidRDefault="0008774B" w:rsidP="0044393D">
      <w:pPr>
        <w:pStyle w:val="rdo"/>
      </w:pPr>
      <w:r w:rsidRPr="00795F17">
        <w:t xml:space="preserve">Źródło: </w:t>
      </w:r>
      <w:r w:rsidR="00FD7248" w:rsidRPr="00795F17">
        <w:t>opracowanie własne</w:t>
      </w:r>
    </w:p>
    <w:p w14:paraId="77B16C60" w14:textId="77777777" w:rsidR="004446A2" w:rsidRPr="00795F17" w:rsidRDefault="004446A2" w:rsidP="005A0594"/>
    <w:p w14:paraId="012C6EE6" w14:textId="212A0A43" w:rsidR="0008774B" w:rsidRPr="00795F17" w:rsidRDefault="0008774B" w:rsidP="004D7705">
      <w:pPr>
        <w:pStyle w:val="Tabela"/>
      </w:pPr>
      <w:bookmarkStart w:id="871" w:name="_Toc66341972"/>
      <w:bookmarkStart w:id="872" w:name="_Toc105512901"/>
      <w:r w:rsidRPr="00795F17">
        <w:t xml:space="preserve">Tabela </w:t>
      </w:r>
      <w:fldSimple w:instr=" STYLEREF 1 \s ">
        <w:r w:rsidR="001F774D">
          <w:rPr>
            <w:noProof/>
          </w:rPr>
          <w:t>13</w:t>
        </w:r>
      </w:fldSimple>
      <w:r w:rsidR="00BB3B21" w:rsidRPr="00795F17">
        <w:noBreakHyphen/>
      </w:r>
      <w:fldSimple w:instr=" SEQ Tabela \* ARABIC \s 1 ">
        <w:r w:rsidR="001F774D">
          <w:rPr>
            <w:noProof/>
          </w:rPr>
          <w:t>15</w:t>
        </w:r>
      </w:fldSimple>
      <w:r w:rsidR="000B5450">
        <w:rPr>
          <w:noProof/>
        </w:rPr>
        <w:t>.</w:t>
      </w:r>
      <w:r w:rsidRPr="00795F17">
        <w:tab/>
        <w:t xml:space="preserve">Podsumowanie liczby działań zrealizowanych i zaawansowanych w realizacji, mających znaczenie dla poprawy stanu jakościowego </w:t>
      </w:r>
      <w:r w:rsidR="00DF005E">
        <w:t>JCWP</w:t>
      </w:r>
      <w:r w:rsidRPr="00795F17">
        <w:t xml:space="preserve"> </w:t>
      </w:r>
      <w:r w:rsidR="00F52D81">
        <w:t>–</w:t>
      </w:r>
      <w:r w:rsidR="00F52D81" w:rsidRPr="00795F17">
        <w:t xml:space="preserve"> </w:t>
      </w:r>
      <w:r w:rsidRPr="00795F17">
        <w:t>obszar dorzecza Odry</w:t>
      </w:r>
      <w:bookmarkEnd w:id="871"/>
      <w:bookmarkEnd w:id="8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5"/>
        <w:gridCol w:w="3336"/>
        <w:gridCol w:w="869"/>
        <w:gridCol w:w="869"/>
        <w:gridCol w:w="869"/>
        <w:gridCol w:w="869"/>
        <w:gridCol w:w="869"/>
        <w:gridCol w:w="870"/>
      </w:tblGrid>
      <w:tr w:rsidR="0008774B" w:rsidRPr="00795F17" w14:paraId="0E64F44D" w14:textId="77777777" w:rsidTr="00D07F9E">
        <w:trPr>
          <w:cantSplit/>
          <w:trHeight w:val="465"/>
          <w:tblHeader/>
        </w:trPr>
        <w:tc>
          <w:tcPr>
            <w:tcW w:w="468" w:type="dxa"/>
            <w:vMerge w:val="restart"/>
            <w:shd w:val="clear" w:color="auto" w:fill="BFBFBF" w:themeFill="background1" w:themeFillShade="BF"/>
            <w:noWrap/>
            <w:tcMar>
              <w:left w:w="28" w:type="dxa"/>
              <w:right w:w="28" w:type="dxa"/>
            </w:tcMar>
            <w:vAlign w:val="center"/>
            <w:hideMark/>
          </w:tcPr>
          <w:p w14:paraId="20A70C21" w14:textId="77777777" w:rsidR="0008774B" w:rsidRPr="00795F17" w:rsidRDefault="0008774B" w:rsidP="004446A2">
            <w:pPr>
              <w:pStyle w:val="Teksttabelinaglowek"/>
              <w:keepNext/>
              <w:rPr>
                <w:rFonts w:ascii="Times New Roman" w:hAnsi="Times New Roman"/>
              </w:rPr>
            </w:pPr>
            <w:r w:rsidRPr="00795F17">
              <w:t>Lp</w:t>
            </w:r>
            <w:r w:rsidRPr="00795F17">
              <w:rPr>
                <w:rFonts w:ascii="Times New Roman" w:hAnsi="Times New Roman"/>
              </w:rPr>
              <w:t>.</w:t>
            </w:r>
          </w:p>
        </w:tc>
        <w:tc>
          <w:tcPr>
            <w:tcW w:w="3355" w:type="dxa"/>
            <w:vMerge w:val="restart"/>
            <w:shd w:val="clear" w:color="auto" w:fill="BFBFBF" w:themeFill="background1" w:themeFillShade="BF"/>
            <w:tcMar>
              <w:left w:w="28" w:type="dxa"/>
              <w:right w:w="28" w:type="dxa"/>
            </w:tcMar>
            <w:vAlign w:val="center"/>
          </w:tcPr>
          <w:p w14:paraId="438905A9" w14:textId="77777777" w:rsidR="0008774B" w:rsidRPr="00795F17" w:rsidRDefault="0008774B" w:rsidP="004446A2">
            <w:pPr>
              <w:pStyle w:val="Teksttabelinaglowek"/>
              <w:keepNext/>
            </w:pPr>
            <w:r w:rsidRPr="00795F17">
              <w:t>Kategoria działań</w:t>
            </w:r>
          </w:p>
        </w:tc>
        <w:tc>
          <w:tcPr>
            <w:tcW w:w="5239" w:type="dxa"/>
            <w:gridSpan w:val="6"/>
            <w:shd w:val="clear" w:color="auto" w:fill="BFBFBF" w:themeFill="background1" w:themeFillShade="BF"/>
            <w:noWrap/>
            <w:tcMar>
              <w:left w:w="28" w:type="dxa"/>
              <w:right w:w="28" w:type="dxa"/>
            </w:tcMar>
            <w:vAlign w:val="center"/>
            <w:hideMark/>
          </w:tcPr>
          <w:p w14:paraId="7AAB0829" w14:textId="77777777" w:rsidR="0008774B" w:rsidRPr="00795F17" w:rsidRDefault="0008774B" w:rsidP="004446A2">
            <w:pPr>
              <w:pStyle w:val="Teksttabelinaglowek"/>
              <w:keepNext/>
              <w:rPr>
                <w:rFonts w:ascii="Times New Roman" w:hAnsi="Times New Roman"/>
              </w:rPr>
            </w:pPr>
            <w:r w:rsidRPr="00795F17">
              <w:t>Kategoria wód</w:t>
            </w:r>
          </w:p>
        </w:tc>
      </w:tr>
      <w:tr w:rsidR="005A0594" w:rsidRPr="00795F17" w14:paraId="32C49674" w14:textId="77777777" w:rsidTr="00D07F9E">
        <w:trPr>
          <w:cantSplit/>
          <w:trHeight w:val="465"/>
          <w:tblHeader/>
        </w:trPr>
        <w:tc>
          <w:tcPr>
            <w:tcW w:w="468" w:type="dxa"/>
            <w:vMerge/>
            <w:shd w:val="clear" w:color="auto" w:fill="BFBFBF" w:themeFill="background1" w:themeFillShade="BF"/>
            <w:noWrap/>
            <w:tcMar>
              <w:left w:w="28" w:type="dxa"/>
              <w:right w:w="28" w:type="dxa"/>
            </w:tcMar>
            <w:vAlign w:val="center"/>
            <w:hideMark/>
          </w:tcPr>
          <w:p w14:paraId="51FCD48F" w14:textId="77777777" w:rsidR="005A0594" w:rsidRPr="00795F17" w:rsidRDefault="005A0594" w:rsidP="005A0594">
            <w:pPr>
              <w:pStyle w:val="Teksttabelinaglowek"/>
              <w:keepNext/>
            </w:pPr>
          </w:p>
        </w:tc>
        <w:tc>
          <w:tcPr>
            <w:tcW w:w="3355" w:type="dxa"/>
            <w:vMerge/>
            <w:shd w:val="clear" w:color="auto" w:fill="BFBFBF" w:themeFill="background1" w:themeFillShade="BF"/>
            <w:noWrap/>
            <w:tcMar>
              <w:left w:w="28" w:type="dxa"/>
              <w:right w:w="28" w:type="dxa"/>
            </w:tcMar>
            <w:vAlign w:val="center"/>
            <w:hideMark/>
          </w:tcPr>
          <w:p w14:paraId="6B7360B1" w14:textId="77777777" w:rsidR="005A0594" w:rsidRPr="00795F17" w:rsidRDefault="005A0594" w:rsidP="005A0594">
            <w:pPr>
              <w:pStyle w:val="Teksttabelinaglowek"/>
              <w:keepNext/>
            </w:pPr>
          </w:p>
        </w:tc>
        <w:tc>
          <w:tcPr>
            <w:tcW w:w="1746" w:type="dxa"/>
            <w:gridSpan w:val="2"/>
            <w:shd w:val="clear" w:color="auto" w:fill="BFBFBF" w:themeFill="background1" w:themeFillShade="BF"/>
            <w:noWrap/>
            <w:tcMar>
              <w:left w:w="28" w:type="dxa"/>
              <w:right w:w="28" w:type="dxa"/>
            </w:tcMar>
            <w:vAlign w:val="center"/>
            <w:hideMark/>
          </w:tcPr>
          <w:p w14:paraId="445151F9" w14:textId="02C759BF" w:rsidR="005A0594" w:rsidRPr="00795F17" w:rsidRDefault="00DF005E" w:rsidP="005A0594">
            <w:pPr>
              <w:pStyle w:val="Teksttabelinaglowek"/>
              <w:keepNext/>
            </w:pPr>
            <w:r>
              <w:t>JCWP</w:t>
            </w:r>
            <w:r w:rsidR="005A0594" w:rsidRPr="00795F17">
              <w:t xml:space="preserve"> RW</w:t>
            </w:r>
          </w:p>
        </w:tc>
        <w:tc>
          <w:tcPr>
            <w:tcW w:w="1746" w:type="dxa"/>
            <w:gridSpan w:val="2"/>
            <w:shd w:val="clear" w:color="auto" w:fill="BFBFBF" w:themeFill="background1" w:themeFillShade="BF"/>
            <w:noWrap/>
            <w:tcMar>
              <w:left w:w="28" w:type="dxa"/>
              <w:right w:w="28" w:type="dxa"/>
            </w:tcMar>
            <w:vAlign w:val="center"/>
            <w:hideMark/>
          </w:tcPr>
          <w:p w14:paraId="7EC2980B" w14:textId="5DEE4703" w:rsidR="005A0594" w:rsidRPr="00795F17" w:rsidRDefault="00DF005E" w:rsidP="005A0594">
            <w:pPr>
              <w:pStyle w:val="Teksttabelinaglowek"/>
              <w:keepNext/>
            </w:pPr>
            <w:r>
              <w:t>JCWP</w:t>
            </w:r>
            <w:r w:rsidR="005A0594" w:rsidRPr="00795F17">
              <w:t xml:space="preserve"> LW</w:t>
            </w:r>
          </w:p>
        </w:tc>
        <w:tc>
          <w:tcPr>
            <w:tcW w:w="1747" w:type="dxa"/>
            <w:gridSpan w:val="2"/>
            <w:shd w:val="clear" w:color="auto" w:fill="BFBFBF" w:themeFill="background1" w:themeFillShade="BF"/>
            <w:noWrap/>
            <w:tcMar>
              <w:left w:w="28" w:type="dxa"/>
              <w:right w:w="28" w:type="dxa"/>
            </w:tcMar>
            <w:vAlign w:val="center"/>
            <w:hideMark/>
          </w:tcPr>
          <w:p w14:paraId="0A4FCEFE" w14:textId="10783170" w:rsidR="005A0594" w:rsidRPr="00795F17" w:rsidRDefault="00DF005E" w:rsidP="005A0594">
            <w:pPr>
              <w:pStyle w:val="Teksttabelinaglowek"/>
              <w:keepNext/>
            </w:pPr>
            <w:r>
              <w:t>JCWP</w:t>
            </w:r>
            <w:r w:rsidR="005A0594" w:rsidRPr="00795F17">
              <w:t xml:space="preserve"> TW i CW</w:t>
            </w:r>
          </w:p>
        </w:tc>
      </w:tr>
      <w:tr w:rsidR="0008774B" w:rsidRPr="00795F17" w14:paraId="34E04282" w14:textId="77777777" w:rsidTr="00D07F9E">
        <w:trPr>
          <w:trHeight w:val="465"/>
        </w:trPr>
        <w:tc>
          <w:tcPr>
            <w:tcW w:w="468" w:type="dxa"/>
            <w:shd w:val="clear" w:color="auto" w:fill="auto"/>
            <w:noWrap/>
            <w:tcMar>
              <w:left w:w="28" w:type="dxa"/>
              <w:right w:w="28" w:type="dxa"/>
            </w:tcMar>
            <w:vAlign w:val="center"/>
            <w:hideMark/>
          </w:tcPr>
          <w:p w14:paraId="3ACCB21D" w14:textId="197EAB3C" w:rsidR="0008774B" w:rsidRPr="00795F17" w:rsidRDefault="0008774B" w:rsidP="0065243A">
            <w:pPr>
              <w:pStyle w:val="Teksttabelisrodek"/>
            </w:pPr>
            <w:r w:rsidRPr="00795F17">
              <w:t>1</w:t>
            </w:r>
            <w:r w:rsidR="00B53F7C" w:rsidRPr="00795F17">
              <w:t>.</w:t>
            </w:r>
          </w:p>
        </w:tc>
        <w:tc>
          <w:tcPr>
            <w:tcW w:w="3355" w:type="dxa"/>
            <w:shd w:val="clear" w:color="auto" w:fill="auto"/>
            <w:tcMar>
              <w:left w:w="28" w:type="dxa"/>
              <w:right w:w="28" w:type="dxa"/>
            </w:tcMar>
            <w:vAlign w:val="center"/>
            <w:hideMark/>
          </w:tcPr>
          <w:p w14:paraId="59D9D16F" w14:textId="343AA174" w:rsidR="0008774B" w:rsidRPr="00795F17" w:rsidRDefault="0008774B" w:rsidP="009B18FA">
            <w:pPr>
              <w:pStyle w:val="Teksttabelilewy"/>
              <w:ind w:left="57"/>
            </w:pPr>
            <w:r w:rsidRPr="00795F17">
              <w:t xml:space="preserve">Gospodarka komunalna </w:t>
            </w:r>
            <w:r w:rsidR="00F52D81">
              <w:t>–</w:t>
            </w:r>
            <w:r w:rsidRPr="00795F17">
              <w:t xml:space="preserve"> budowa/modernizacja oczyszczalni ścieków, budowa kanalizacji, wywóz nieczystości</w:t>
            </w:r>
          </w:p>
        </w:tc>
        <w:tc>
          <w:tcPr>
            <w:tcW w:w="873" w:type="dxa"/>
            <w:shd w:val="clear" w:color="auto" w:fill="auto"/>
            <w:noWrap/>
            <w:tcMar>
              <w:left w:w="28" w:type="dxa"/>
              <w:right w:w="28" w:type="dxa"/>
            </w:tcMar>
            <w:vAlign w:val="center"/>
            <w:hideMark/>
          </w:tcPr>
          <w:p w14:paraId="1444736E" w14:textId="7F67AF83" w:rsidR="0008774B" w:rsidRPr="00795F17" w:rsidRDefault="0008774B" w:rsidP="0065243A">
            <w:pPr>
              <w:pStyle w:val="Teksttabelisrodek"/>
            </w:pPr>
            <w:r w:rsidRPr="00795F17">
              <w:t>4</w:t>
            </w:r>
            <w:r w:rsidR="00720397" w:rsidRPr="00795F17">
              <w:t> </w:t>
            </w:r>
            <w:r w:rsidRPr="00795F17">
              <w:t>163</w:t>
            </w:r>
          </w:p>
        </w:tc>
        <w:tc>
          <w:tcPr>
            <w:tcW w:w="873" w:type="dxa"/>
            <w:shd w:val="clear" w:color="auto" w:fill="auto"/>
            <w:noWrap/>
            <w:tcMar>
              <w:left w:w="28" w:type="dxa"/>
              <w:right w:w="28" w:type="dxa"/>
            </w:tcMar>
            <w:vAlign w:val="center"/>
            <w:hideMark/>
          </w:tcPr>
          <w:p w14:paraId="210D1037" w14:textId="77A61F52" w:rsidR="0008774B" w:rsidRPr="00795F17" w:rsidRDefault="00F833F1" w:rsidP="0065243A">
            <w:pPr>
              <w:pStyle w:val="Teksttabelisrodek"/>
            </w:pPr>
            <w:r>
              <w:t>66</w:t>
            </w:r>
            <w:r w:rsidR="0008774B" w:rsidRPr="00795F17">
              <w:t>,</w:t>
            </w:r>
            <w:r>
              <w:t>99</w:t>
            </w:r>
            <w:r w:rsidR="0008774B" w:rsidRPr="00795F17">
              <w:t>%</w:t>
            </w:r>
          </w:p>
        </w:tc>
        <w:tc>
          <w:tcPr>
            <w:tcW w:w="873" w:type="dxa"/>
            <w:shd w:val="clear" w:color="auto" w:fill="auto"/>
            <w:noWrap/>
            <w:tcMar>
              <w:left w:w="28" w:type="dxa"/>
              <w:right w:w="28" w:type="dxa"/>
            </w:tcMar>
            <w:vAlign w:val="center"/>
            <w:hideMark/>
          </w:tcPr>
          <w:p w14:paraId="0D33CBE0" w14:textId="77777777" w:rsidR="0008774B" w:rsidRPr="00795F17" w:rsidRDefault="0008774B" w:rsidP="0065243A">
            <w:pPr>
              <w:pStyle w:val="Teksttabelisrodek"/>
            </w:pPr>
            <w:r w:rsidRPr="00795F17">
              <w:t>68</w:t>
            </w:r>
          </w:p>
        </w:tc>
        <w:tc>
          <w:tcPr>
            <w:tcW w:w="873" w:type="dxa"/>
            <w:shd w:val="clear" w:color="auto" w:fill="auto"/>
            <w:noWrap/>
            <w:tcMar>
              <w:left w:w="28" w:type="dxa"/>
              <w:right w:w="28" w:type="dxa"/>
            </w:tcMar>
            <w:vAlign w:val="center"/>
            <w:hideMark/>
          </w:tcPr>
          <w:p w14:paraId="17210534" w14:textId="721CB682" w:rsidR="0008774B" w:rsidRPr="00795F17" w:rsidRDefault="0008774B" w:rsidP="0065243A">
            <w:pPr>
              <w:pStyle w:val="Teksttabelisrodek"/>
            </w:pPr>
            <w:r w:rsidRPr="00795F17">
              <w:t>14,0</w:t>
            </w:r>
            <w:r w:rsidR="00F833F1">
              <w:t>2</w:t>
            </w:r>
            <w:r w:rsidRPr="00795F17">
              <w:t>%</w:t>
            </w:r>
          </w:p>
        </w:tc>
        <w:tc>
          <w:tcPr>
            <w:tcW w:w="873" w:type="dxa"/>
            <w:shd w:val="clear" w:color="auto" w:fill="auto"/>
            <w:noWrap/>
            <w:tcMar>
              <w:left w:w="28" w:type="dxa"/>
              <w:right w:w="28" w:type="dxa"/>
            </w:tcMar>
            <w:vAlign w:val="center"/>
            <w:hideMark/>
          </w:tcPr>
          <w:p w14:paraId="68D1518A" w14:textId="77777777" w:rsidR="0008774B" w:rsidRPr="00795F17" w:rsidRDefault="0008774B" w:rsidP="0065243A">
            <w:pPr>
              <w:pStyle w:val="Teksttabelisrodek"/>
            </w:pPr>
            <w:r w:rsidRPr="00795F17">
              <w:t>42</w:t>
            </w:r>
          </w:p>
        </w:tc>
        <w:tc>
          <w:tcPr>
            <w:tcW w:w="874" w:type="dxa"/>
            <w:shd w:val="clear" w:color="auto" w:fill="auto"/>
            <w:noWrap/>
            <w:tcMar>
              <w:left w:w="28" w:type="dxa"/>
              <w:right w:w="28" w:type="dxa"/>
            </w:tcMar>
            <w:vAlign w:val="center"/>
            <w:hideMark/>
          </w:tcPr>
          <w:p w14:paraId="4131F712" w14:textId="79DB1218" w:rsidR="0008774B" w:rsidRPr="00795F17" w:rsidRDefault="0008774B" w:rsidP="0065243A">
            <w:pPr>
              <w:pStyle w:val="Teksttabelisrodek"/>
            </w:pPr>
            <w:r w:rsidRPr="00795F17">
              <w:t>65,6</w:t>
            </w:r>
            <w:r w:rsidR="00F833F1">
              <w:t>3</w:t>
            </w:r>
            <w:r w:rsidRPr="00795F17">
              <w:t>%</w:t>
            </w:r>
          </w:p>
        </w:tc>
      </w:tr>
      <w:tr w:rsidR="0008774B" w:rsidRPr="00795F17" w14:paraId="421EDC23" w14:textId="77777777" w:rsidTr="00D07F9E">
        <w:trPr>
          <w:trHeight w:val="465"/>
        </w:trPr>
        <w:tc>
          <w:tcPr>
            <w:tcW w:w="468" w:type="dxa"/>
            <w:shd w:val="clear" w:color="auto" w:fill="auto"/>
            <w:noWrap/>
            <w:tcMar>
              <w:left w:w="28" w:type="dxa"/>
              <w:right w:w="28" w:type="dxa"/>
            </w:tcMar>
            <w:vAlign w:val="center"/>
            <w:hideMark/>
          </w:tcPr>
          <w:p w14:paraId="1A644E52" w14:textId="2B7BCAE1" w:rsidR="0008774B" w:rsidRPr="00795F17" w:rsidRDefault="0008774B" w:rsidP="0065243A">
            <w:pPr>
              <w:pStyle w:val="Teksttabelisrodek"/>
            </w:pPr>
            <w:r w:rsidRPr="00795F17">
              <w:t>2</w:t>
            </w:r>
            <w:r w:rsidR="00B53F7C" w:rsidRPr="00795F17">
              <w:t>.</w:t>
            </w:r>
          </w:p>
        </w:tc>
        <w:tc>
          <w:tcPr>
            <w:tcW w:w="3355" w:type="dxa"/>
            <w:shd w:val="clear" w:color="auto" w:fill="auto"/>
            <w:tcMar>
              <w:left w:w="28" w:type="dxa"/>
              <w:right w:w="28" w:type="dxa"/>
            </w:tcMar>
            <w:vAlign w:val="center"/>
            <w:hideMark/>
          </w:tcPr>
          <w:p w14:paraId="151D5225" w14:textId="4850ABCB" w:rsidR="0008774B" w:rsidRPr="00795F17" w:rsidRDefault="0008774B" w:rsidP="009B18FA">
            <w:pPr>
              <w:pStyle w:val="Teksttabelilewy"/>
              <w:ind w:left="57"/>
            </w:pPr>
            <w:r w:rsidRPr="00795F17">
              <w:t xml:space="preserve">Rolnictwo </w:t>
            </w:r>
            <w:r w:rsidR="00F52D81">
              <w:t>–</w:t>
            </w:r>
            <w:r w:rsidRPr="00795F17">
              <w:t xml:space="preserve"> program ograniczenia odpływu azotu, kontrola zarybiania</w:t>
            </w:r>
          </w:p>
        </w:tc>
        <w:tc>
          <w:tcPr>
            <w:tcW w:w="873" w:type="dxa"/>
            <w:shd w:val="clear" w:color="auto" w:fill="auto"/>
            <w:noWrap/>
            <w:tcMar>
              <w:left w:w="28" w:type="dxa"/>
              <w:right w:w="28" w:type="dxa"/>
            </w:tcMar>
            <w:vAlign w:val="center"/>
            <w:hideMark/>
          </w:tcPr>
          <w:p w14:paraId="20E50B51" w14:textId="77777777" w:rsidR="0008774B" w:rsidRPr="00795F17" w:rsidRDefault="0008774B" w:rsidP="0065243A">
            <w:pPr>
              <w:pStyle w:val="Teksttabelisrodek"/>
            </w:pPr>
            <w:r w:rsidRPr="00795F17">
              <w:t>727</w:t>
            </w:r>
          </w:p>
        </w:tc>
        <w:tc>
          <w:tcPr>
            <w:tcW w:w="873" w:type="dxa"/>
            <w:shd w:val="clear" w:color="auto" w:fill="auto"/>
            <w:noWrap/>
            <w:tcMar>
              <w:left w:w="28" w:type="dxa"/>
              <w:right w:w="28" w:type="dxa"/>
            </w:tcMar>
            <w:vAlign w:val="center"/>
            <w:hideMark/>
          </w:tcPr>
          <w:p w14:paraId="0DEFECE8" w14:textId="3B0C8F64" w:rsidR="0008774B" w:rsidRPr="00795F17" w:rsidRDefault="0008774B" w:rsidP="0065243A">
            <w:pPr>
              <w:pStyle w:val="Teksttabelisrodek"/>
            </w:pPr>
            <w:r w:rsidRPr="00795F17">
              <w:t>11,7</w:t>
            </w:r>
            <w:r w:rsidR="00F833F1">
              <w:t>0</w:t>
            </w:r>
            <w:r w:rsidRPr="00795F17">
              <w:t>%</w:t>
            </w:r>
          </w:p>
        </w:tc>
        <w:tc>
          <w:tcPr>
            <w:tcW w:w="873" w:type="dxa"/>
            <w:shd w:val="clear" w:color="auto" w:fill="auto"/>
            <w:noWrap/>
            <w:tcMar>
              <w:left w:w="28" w:type="dxa"/>
              <w:right w:w="28" w:type="dxa"/>
            </w:tcMar>
            <w:vAlign w:val="center"/>
            <w:hideMark/>
          </w:tcPr>
          <w:p w14:paraId="486048E3" w14:textId="77777777" w:rsidR="0008774B" w:rsidRPr="00795F17" w:rsidRDefault="0008774B" w:rsidP="0065243A">
            <w:pPr>
              <w:pStyle w:val="Teksttabelisrodek"/>
            </w:pPr>
            <w:r w:rsidRPr="00795F17">
              <w:t>24</w:t>
            </w:r>
          </w:p>
        </w:tc>
        <w:tc>
          <w:tcPr>
            <w:tcW w:w="873" w:type="dxa"/>
            <w:shd w:val="clear" w:color="auto" w:fill="auto"/>
            <w:noWrap/>
            <w:tcMar>
              <w:left w:w="28" w:type="dxa"/>
              <w:right w:w="28" w:type="dxa"/>
            </w:tcMar>
            <w:vAlign w:val="center"/>
            <w:hideMark/>
          </w:tcPr>
          <w:p w14:paraId="30D906AE" w14:textId="529298D4" w:rsidR="0008774B" w:rsidRPr="00795F17" w:rsidRDefault="0008774B" w:rsidP="0065243A">
            <w:pPr>
              <w:pStyle w:val="Teksttabelisrodek"/>
            </w:pPr>
            <w:r w:rsidRPr="00795F17">
              <w:t>4,9</w:t>
            </w:r>
            <w:r w:rsidR="00F833F1">
              <w:t>5</w:t>
            </w:r>
            <w:r w:rsidRPr="00795F17">
              <w:t>%</w:t>
            </w:r>
          </w:p>
        </w:tc>
        <w:tc>
          <w:tcPr>
            <w:tcW w:w="873" w:type="dxa"/>
            <w:shd w:val="clear" w:color="auto" w:fill="auto"/>
            <w:noWrap/>
            <w:tcMar>
              <w:left w:w="28" w:type="dxa"/>
              <w:right w:w="28" w:type="dxa"/>
            </w:tcMar>
            <w:vAlign w:val="center"/>
            <w:hideMark/>
          </w:tcPr>
          <w:p w14:paraId="10E20F5D" w14:textId="77777777" w:rsidR="0008774B" w:rsidRPr="00795F17" w:rsidRDefault="0008774B" w:rsidP="0065243A">
            <w:pPr>
              <w:pStyle w:val="Teksttabelisrodek"/>
            </w:pPr>
            <w:r w:rsidRPr="00795F17">
              <w:t>1</w:t>
            </w:r>
          </w:p>
        </w:tc>
        <w:tc>
          <w:tcPr>
            <w:tcW w:w="874" w:type="dxa"/>
            <w:shd w:val="clear" w:color="auto" w:fill="auto"/>
            <w:noWrap/>
            <w:tcMar>
              <w:left w:w="28" w:type="dxa"/>
              <w:right w:w="28" w:type="dxa"/>
            </w:tcMar>
            <w:vAlign w:val="center"/>
            <w:hideMark/>
          </w:tcPr>
          <w:p w14:paraId="4B742792" w14:textId="6452161B" w:rsidR="0008774B" w:rsidRPr="00795F17" w:rsidRDefault="0008774B" w:rsidP="0065243A">
            <w:pPr>
              <w:pStyle w:val="Teksttabelisrodek"/>
            </w:pPr>
            <w:r w:rsidRPr="00795F17">
              <w:t>1,</w:t>
            </w:r>
            <w:r w:rsidR="00F833F1">
              <w:t>5</w:t>
            </w:r>
            <w:r w:rsidRPr="00795F17">
              <w:t>6%</w:t>
            </w:r>
          </w:p>
        </w:tc>
      </w:tr>
      <w:tr w:rsidR="0008774B" w:rsidRPr="00795F17" w14:paraId="13E47BF5" w14:textId="77777777" w:rsidTr="00D07F9E">
        <w:trPr>
          <w:trHeight w:val="465"/>
        </w:trPr>
        <w:tc>
          <w:tcPr>
            <w:tcW w:w="468" w:type="dxa"/>
            <w:shd w:val="clear" w:color="auto" w:fill="auto"/>
            <w:noWrap/>
            <w:tcMar>
              <w:left w:w="28" w:type="dxa"/>
              <w:right w:w="28" w:type="dxa"/>
            </w:tcMar>
            <w:vAlign w:val="center"/>
            <w:hideMark/>
          </w:tcPr>
          <w:p w14:paraId="34F00B39" w14:textId="4722E86A" w:rsidR="0008774B" w:rsidRPr="00795F17" w:rsidRDefault="0008774B" w:rsidP="0065243A">
            <w:pPr>
              <w:pStyle w:val="Teksttabelisrodek"/>
            </w:pPr>
            <w:r w:rsidRPr="00795F17">
              <w:t>3</w:t>
            </w:r>
            <w:r w:rsidR="00B53F7C" w:rsidRPr="00795F17">
              <w:t>.</w:t>
            </w:r>
          </w:p>
        </w:tc>
        <w:tc>
          <w:tcPr>
            <w:tcW w:w="3355" w:type="dxa"/>
            <w:shd w:val="clear" w:color="auto" w:fill="auto"/>
            <w:tcMar>
              <w:left w:w="28" w:type="dxa"/>
              <w:right w:w="28" w:type="dxa"/>
            </w:tcMar>
            <w:vAlign w:val="center"/>
            <w:hideMark/>
          </w:tcPr>
          <w:p w14:paraId="77EB61BF" w14:textId="4FA34C31" w:rsidR="0008774B" w:rsidRPr="00795F17" w:rsidRDefault="0008774B" w:rsidP="009B18FA">
            <w:pPr>
              <w:pStyle w:val="Teksttabelilewy"/>
              <w:ind w:left="57"/>
            </w:pPr>
            <w:r w:rsidRPr="00795F17">
              <w:t xml:space="preserve">Gospodarka komunalna / przemysł </w:t>
            </w:r>
            <w:r w:rsidR="00F52D81">
              <w:t>–</w:t>
            </w:r>
            <w:r w:rsidRPr="00795F17">
              <w:t xml:space="preserve"> kontrole w zakresie gromadzenia i</w:t>
            </w:r>
            <w:r w:rsidR="00FE645D">
              <w:t> </w:t>
            </w:r>
            <w:r w:rsidRPr="00795F17">
              <w:t>oczyszczania ścieków</w:t>
            </w:r>
          </w:p>
        </w:tc>
        <w:tc>
          <w:tcPr>
            <w:tcW w:w="873" w:type="dxa"/>
            <w:shd w:val="clear" w:color="auto" w:fill="auto"/>
            <w:noWrap/>
            <w:tcMar>
              <w:left w:w="28" w:type="dxa"/>
              <w:right w:w="28" w:type="dxa"/>
            </w:tcMar>
            <w:vAlign w:val="center"/>
            <w:hideMark/>
          </w:tcPr>
          <w:p w14:paraId="1C11C6A3" w14:textId="77777777" w:rsidR="0008774B" w:rsidRPr="00795F17" w:rsidRDefault="0008774B" w:rsidP="0065243A">
            <w:pPr>
              <w:pStyle w:val="Teksttabelisrodek"/>
            </w:pPr>
            <w:r w:rsidRPr="00795F17">
              <w:t>964</w:t>
            </w:r>
          </w:p>
        </w:tc>
        <w:tc>
          <w:tcPr>
            <w:tcW w:w="873" w:type="dxa"/>
            <w:shd w:val="clear" w:color="auto" w:fill="auto"/>
            <w:noWrap/>
            <w:tcMar>
              <w:left w:w="28" w:type="dxa"/>
              <w:right w:w="28" w:type="dxa"/>
            </w:tcMar>
            <w:vAlign w:val="center"/>
            <w:hideMark/>
          </w:tcPr>
          <w:p w14:paraId="70FE2491" w14:textId="6BE5B9E1" w:rsidR="0008774B" w:rsidRPr="00795F17" w:rsidRDefault="0008774B" w:rsidP="0065243A">
            <w:pPr>
              <w:pStyle w:val="Teksttabelisrodek"/>
            </w:pPr>
            <w:r w:rsidRPr="00795F17">
              <w:t>15,5</w:t>
            </w:r>
            <w:r w:rsidR="00F833F1">
              <w:t>1</w:t>
            </w:r>
            <w:r w:rsidRPr="00795F17">
              <w:t>%</w:t>
            </w:r>
          </w:p>
        </w:tc>
        <w:tc>
          <w:tcPr>
            <w:tcW w:w="873" w:type="dxa"/>
            <w:shd w:val="clear" w:color="auto" w:fill="auto"/>
            <w:noWrap/>
            <w:tcMar>
              <w:left w:w="28" w:type="dxa"/>
              <w:right w:w="28" w:type="dxa"/>
            </w:tcMar>
            <w:vAlign w:val="center"/>
            <w:hideMark/>
          </w:tcPr>
          <w:p w14:paraId="60CDC835" w14:textId="77777777" w:rsidR="0008774B" w:rsidRPr="00795F17" w:rsidRDefault="0008774B" w:rsidP="0065243A">
            <w:pPr>
              <w:pStyle w:val="Teksttabelisrodek"/>
            </w:pPr>
            <w:r w:rsidRPr="00795F17">
              <w:t>358</w:t>
            </w:r>
          </w:p>
        </w:tc>
        <w:tc>
          <w:tcPr>
            <w:tcW w:w="873" w:type="dxa"/>
            <w:shd w:val="clear" w:color="auto" w:fill="auto"/>
            <w:noWrap/>
            <w:tcMar>
              <w:left w:w="28" w:type="dxa"/>
              <w:right w:w="28" w:type="dxa"/>
            </w:tcMar>
            <w:vAlign w:val="center"/>
            <w:hideMark/>
          </w:tcPr>
          <w:p w14:paraId="51868B12" w14:textId="5CFDE3BE" w:rsidR="0008774B" w:rsidRPr="00795F17" w:rsidRDefault="0008774B" w:rsidP="0065243A">
            <w:pPr>
              <w:pStyle w:val="Teksttabelisrodek"/>
            </w:pPr>
            <w:r w:rsidRPr="00795F17">
              <w:t>73,8</w:t>
            </w:r>
            <w:r w:rsidR="00F833F1">
              <w:t>1</w:t>
            </w:r>
            <w:r w:rsidRPr="00795F17">
              <w:t>%</w:t>
            </w:r>
          </w:p>
        </w:tc>
        <w:tc>
          <w:tcPr>
            <w:tcW w:w="873" w:type="dxa"/>
            <w:shd w:val="clear" w:color="auto" w:fill="auto"/>
            <w:noWrap/>
            <w:tcMar>
              <w:left w:w="28" w:type="dxa"/>
              <w:right w:w="28" w:type="dxa"/>
            </w:tcMar>
            <w:vAlign w:val="center"/>
          </w:tcPr>
          <w:p w14:paraId="31920802" w14:textId="77777777" w:rsidR="0008774B" w:rsidRPr="00795F17" w:rsidRDefault="0008774B" w:rsidP="0065243A">
            <w:pPr>
              <w:pStyle w:val="Teksttabelisrodek"/>
            </w:pPr>
            <w:r w:rsidRPr="00795F17">
              <w:t>-</w:t>
            </w:r>
          </w:p>
        </w:tc>
        <w:tc>
          <w:tcPr>
            <w:tcW w:w="874" w:type="dxa"/>
            <w:shd w:val="clear" w:color="auto" w:fill="auto"/>
            <w:noWrap/>
            <w:tcMar>
              <w:left w:w="28" w:type="dxa"/>
              <w:right w:w="28" w:type="dxa"/>
            </w:tcMar>
            <w:vAlign w:val="center"/>
          </w:tcPr>
          <w:p w14:paraId="4A49FFBB" w14:textId="77777777" w:rsidR="0008774B" w:rsidRPr="00795F17" w:rsidRDefault="0008774B" w:rsidP="0065243A">
            <w:pPr>
              <w:pStyle w:val="Teksttabelisrodek"/>
            </w:pPr>
            <w:r w:rsidRPr="00795F17">
              <w:t>-</w:t>
            </w:r>
          </w:p>
        </w:tc>
      </w:tr>
      <w:tr w:rsidR="0008774B" w:rsidRPr="00795F17" w14:paraId="1C381018" w14:textId="77777777" w:rsidTr="00D07F9E">
        <w:trPr>
          <w:trHeight w:val="465"/>
        </w:trPr>
        <w:tc>
          <w:tcPr>
            <w:tcW w:w="468" w:type="dxa"/>
            <w:shd w:val="clear" w:color="auto" w:fill="auto"/>
            <w:noWrap/>
            <w:tcMar>
              <w:left w:w="28" w:type="dxa"/>
              <w:right w:w="28" w:type="dxa"/>
            </w:tcMar>
            <w:vAlign w:val="center"/>
            <w:hideMark/>
          </w:tcPr>
          <w:p w14:paraId="3F74235F" w14:textId="213AF9B6" w:rsidR="0008774B" w:rsidRPr="00795F17" w:rsidRDefault="0008774B" w:rsidP="0065243A">
            <w:pPr>
              <w:pStyle w:val="Teksttabelisrodek"/>
            </w:pPr>
            <w:r w:rsidRPr="00795F17">
              <w:t>4</w:t>
            </w:r>
            <w:r w:rsidR="00B53F7C" w:rsidRPr="00795F17">
              <w:t>.</w:t>
            </w:r>
          </w:p>
        </w:tc>
        <w:tc>
          <w:tcPr>
            <w:tcW w:w="3355" w:type="dxa"/>
            <w:shd w:val="clear" w:color="auto" w:fill="auto"/>
            <w:tcMar>
              <w:left w:w="28" w:type="dxa"/>
              <w:right w:w="28" w:type="dxa"/>
            </w:tcMar>
            <w:vAlign w:val="center"/>
            <w:hideMark/>
          </w:tcPr>
          <w:p w14:paraId="657DC448" w14:textId="46AECCD1" w:rsidR="0008774B" w:rsidRPr="00795F17" w:rsidRDefault="0008774B" w:rsidP="009B18FA">
            <w:pPr>
              <w:pStyle w:val="Teksttabelilewy"/>
              <w:ind w:left="57"/>
            </w:pPr>
            <w:r w:rsidRPr="00795F17">
              <w:t xml:space="preserve">Nierozpoznana presja / zlewnia niemonitorowana </w:t>
            </w:r>
            <w:r w:rsidR="00F52D81">
              <w:t>–</w:t>
            </w:r>
            <w:r w:rsidRPr="00795F17">
              <w:t xml:space="preserve"> monitoring badawczy</w:t>
            </w:r>
          </w:p>
        </w:tc>
        <w:tc>
          <w:tcPr>
            <w:tcW w:w="873" w:type="dxa"/>
            <w:shd w:val="clear" w:color="auto" w:fill="auto"/>
            <w:noWrap/>
            <w:tcMar>
              <w:left w:w="28" w:type="dxa"/>
              <w:right w:w="28" w:type="dxa"/>
            </w:tcMar>
            <w:vAlign w:val="center"/>
            <w:hideMark/>
          </w:tcPr>
          <w:p w14:paraId="24DFF704" w14:textId="77777777" w:rsidR="0008774B" w:rsidRPr="00795F17" w:rsidRDefault="0008774B" w:rsidP="0065243A">
            <w:pPr>
              <w:pStyle w:val="Teksttabelisrodek"/>
            </w:pPr>
            <w:r w:rsidRPr="00795F17">
              <w:t>59</w:t>
            </w:r>
          </w:p>
        </w:tc>
        <w:tc>
          <w:tcPr>
            <w:tcW w:w="873" w:type="dxa"/>
            <w:shd w:val="clear" w:color="auto" w:fill="auto"/>
            <w:noWrap/>
            <w:tcMar>
              <w:left w:w="28" w:type="dxa"/>
              <w:right w:w="28" w:type="dxa"/>
            </w:tcMar>
            <w:vAlign w:val="center"/>
            <w:hideMark/>
          </w:tcPr>
          <w:p w14:paraId="3F142DC5" w14:textId="6718E2AC" w:rsidR="0008774B" w:rsidRPr="00795F17" w:rsidRDefault="0008774B" w:rsidP="0065243A">
            <w:pPr>
              <w:pStyle w:val="Teksttabelisrodek"/>
            </w:pPr>
            <w:r w:rsidRPr="00795F17">
              <w:t>0,9</w:t>
            </w:r>
            <w:r w:rsidR="00F833F1">
              <w:t>5</w:t>
            </w:r>
            <w:r w:rsidRPr="00795F17">
              <w:t>%</w:t>
            </w:r>
          </w:p>
        </w:tc>
        <w:tc>
          <w:tcPr>
            <w:tcW w:w="873" w:type="dxa"/>
            <w:shd w:val="clear" w:color="auto" w:fill="auto"/>
            <w:noWrap/>
            <w:tcMar>
              <w:left w:w="28" w:type="dxa"/>
              <w:right w:w="28" w:type="dxa"/>
            </w:tcMar>
            <w:vAlign w:val="center"/>
            <w:hideMark/>
          </w:tcPr>
          <w:p w14:paraId="042CA5D4" w14:textId="77777777" w:rsidR="0008774B" w:rsidRPr="00795F17" w:rsidRDefault="0008774B" w:rsidP="0065243A">
            <w:pPr>
              <w:pStyle w:val="Teksttabelisrodek"/>
            </w:pPr>
            <w:r w:rsidRPr="00795F17">
              <w:t>2</w:t>
            </w:r>
          </w:p>
        </w:tc>
        <w:tc>
          <w:tcPr>
            <w:tcW w:w="873" w:type="dxa"/>
            <w:shd w:val="clear" w:color="auto" w:fill="auto"/>
            <w:noWrap/>
            <w:tcMar>
              <w:left w:w="28" w:type="dxa"/>
              <w:right w:w="28" w:type="dxa"/>
            </w:tcMar>
            <w:vAlign w:val="center"/>
            <w:hideMark/>
          </w:tcPr>
          <w:p w14:paraId="3FE25F87" w14:textId="1316CAFD" w:rsidR="0008774B" w:rsidRPr="00795F17" w:rsidRDefault="0008774B" w:rsidP="0065243A">
            <w:pPr>
              <w:pStyle w:val="Teksttabelisrodek"/>
            </w:pPr>
            <w:r w:rsidRPr="00795F17">
              <w:t>0,4</w:t>
            </w:r>
            <w:r w:rsidR="00F833F1">
              <w:t>1</w:t>
            </w:r>
            <w:r w:rsidRPr="00795F17">
              <w:t>%</w:t>
            </w:r>
          </w:p>
        </w:tc>
        <w:tc>
          <w:tcPr>
            <w:tcW w:w="873" w:type="dxa"/>
            <w:shd w:val="clear" w:color="auto" w:fill="auto"/>
            <w:noWrap/>
            <w:tcMar>
              <w:left w:w="28" w:type="dxa"/>
              <w:right w:w="28" w:type="dxa"/>
            </w:tcMar>
            <w:vAlign w:val="center"/>
            <w:hideMark/>
          </w:tcPr>
          <w:p w14:paraId="6A7789A5" w14:textId="77777777" w:rsidR="0008774B" w:rsidRPr="00795F17" w:rsidRDefault="0008774B" w:rsidP="0065243A">
            <w:pPr>
              <w:pStyle w:val="Teksttabelisrodek"/>
            </w:pPr>
            <w:r w:rsidRPr="00795F17">
              <w:t>16</w:t>
            </w:r>
          </w:p>
        </w:tc>
        <w:tc>
          <w:tcPr>
            <w:tcW w:w="874" w:type="dxa"/>
            <w:shd w:val="clear" w:color="auto" w:fill="auto"/>
            <w:noWrap/>
            <w:tcMar>
              <w:left w:w="28" w:type="dxa"/>
              <w:right w:w="28" w:type="dxa"/>
            </w:tcMar>
            <w:vAlign w:val="center"/>
            <w:hideMark/>
          </w:tcPr>
          <w:p w14:paraId="06E86359" w14:textId="3C26FF86" w:rsidR="0008774B" w:rsidRPr="00795F17" w:rsidRDefault="0008774B" w:rsidP="0065243A">
            <w:pPr>
              <w:pStyle w:val="Teksttabelisrodek"/>
            </w:pPr>
            <w:r w:rsidRPr="00795F17">
              <w:t>25,0</w:t>
            </w:r>
            <w:r w:rsidR="00F833F1">
              <w:t>0</w:t>
            </w:r>
            <w:r w:rsidRPr="00795F17">
              <w:t>%</w:t>
            </w:r>
          </w:p>
        </w:tc>
      </w:tr>
      <w:tr w:rsidR="0008774B" w:rsidRPr="00795F17" w14:paraId="7283FC9F" w14:textId="77777777" w:rsidTr="009B18FA">
        <w:trPr>
          <w:trHeight w:val="73"/>
        </w:trPr>
        <w:tc>
          <w:tcPr>
            <w:tcW w:w="468" w:type="dxa"/>
            <w:shd w:val="clear" w:color="auto" w:fill="auto"/>
            <w:noWrap/>
            <w:tcMar>
              <w:left w:w="28" w:type="dxa"/>
              <w:right w:w="28" w:type="dxa"/>
            </w:tcMar>
            <w:vAlign w:val="center"/>
            <w:hideMark/>
          </w:tcPr>
          <w:p w14:paraId="2DCE3C7D" w14:textId="6E8A6E5E" w:rsidR="0008774B" w:rsidRPr="00795F17" w:rsidRDefault="0008774B" w:rsidP="0065243A">
            <w:pPr>
              <w:pStyle w:val="Teksttabelisrodek"/>
            </w:pPr>
            <w:r w:rsidRPr="00795F17">
              <w:t>5</w:t>
            </w:r>
            <w:r w:rsidR="00B53F7C" w:rsidRPr="00795F17">
              <w:t>.</w:t>
            </w:r>
          </w:p>
        </w:tc>
        <w:tc>
          <w:tcPr>
            <w:tcW w:w="3355" w:type="dxa"/>
            <w:shd w:val="clear" w:color="auto" w:fill="auto"/>
            <w:tcMar>
              <w:left w:w="28" w:type="dxa"/>
              <w:right w:w="28" w:type="dxa"/>
            </w:tcMar>
            <w:vAlign w:val="center"/>
            <w:hideMark/>
          </w:tcPr>
          <w:p w14:paraId="5BF36418" w14:textId="3AF43FAC" w:rsidR="0008774B" w:rsidRPr="00795F17" w:rsidRDefault="0008774B" w:rsidP="009B18FA">
            <w:pPr>
              <w:pStyle w:val="Teksttabelilewy"/>
              <w:ind w:left="57"/>
            </w:pPr>
            <w:r w:rsidRPr="00795F17">
              <w:t xml:space="preserve">Odpływ zanieczyszczeń </w:t>
            </w:r>
            <w:r w:rsidR="00F52D81">
              <w:t>–</w:t>
            </w:r>
            <w:r w:rsidRPr="00795F17">
              <w:t xml:space="preserve"> działania nietechniczne: przeglądy pozwoleń, warunki korzystania z wód, weryfikacja POŚ</w:t>
            </w:r>
          </w:p>
        </w:tc>
        <w:tc>
          <w:tcPr>
            <w:tcW w:w="873" w:type="dxa"/>
            <w:shd w:val="clear" w:color="auto" w:fill="auto"/>
            <w:noWrap/>
            <w:tcMar>
              <w:left w:w="28" w:type="dxa"/>
              <w:right w:w="28" w:type="dxa"/>
            </w:tcMar>
            <w:vAlign w:val="center"/>
            <w:hideMark/>
          </w:tcPr>
          <w:p w14:paraId="2353E102" w14:textId="77777777" w:rsidR="0008774B" w:rsidRPr="00795F17" w:rsidRDefault="0008774B" w:rsidP="0065243A">
            <w:pPr>
              <w:pStyle w:val="Teksttabelisrodek"/>
            </w:pPr>
            <w:r w:rsidRPr="00795F17">
              <w:t>301</w:t>
            </w:r>
          </w:p>
        </w:tc>
        <w:tc>
          <w:tcPr>
            <w:tcW w:w="873" w:type="dxa"/>
            <w:shd w:val="clear" w:color="auto" w:fill="auto"/>
            <w:noWrap/>
            <w:tcMar>
              <w:left w:w="28" w:type="dxa"/>
              <w:right w:w="28" w:type="dxa"/>
            </w:tcMar>
            <w:vAlign w:val="center"/>
            <w:hideMark/>
          </w:tcPr>
          <w:p w14:paraId="63EBDFF8" w14:textId="40BCDD17" w:rsidR="0008774B" w:rsidRPr="00795F17" w:rsidRDefault="0008774B" w:rsidP="0065243A">
            <w:pPr>
              <w:pStyle w:val="Teksttabelisrodek"/>
            </w:pPr>
            <w:r w:rsidRPr="00795F17">
              <w:t>4,8</w:t>
            </w:r>
            <w:r w:rsidR="00F833F1">
              <w:t>4</w:t>
            </w:r>
            <w:r w:rsidRPr="00795F17">
              <w:t>%</w:t>
            </w:r>
          </w:p>
        </w:tc>
        <w:tc>
          <w:tcPr>
            <w:tcW w:w="873" w:type="dxa"/>
            <w:shd w:val="clear" w:color="auto" w:fill="auto"/>
            <w:noWrap/>
            <w:tcMar>
              <w:left w:w="28" w:type="dxa"/>
              <w:right w:w="28" w:type="dxa"/>
            </w:tcMar>
            <w:vAlign w:val="center"/>
            <w:hideMark/>
          </w:tcPr>
          <w:p w14:paraId="6AFC098E" w14:textId="77777777" w:rsidR="0008774B" w:rsidRPr="00795F17" w:rsidRDefault="0008774B" w:rsidP="0065243A">
            <w:pPr>
              <w:pStyle w:val="Teksttabelisrodek"/>
            </w:pPr>
            <w:r w:rsidRPr="00795F17">
              <w:t>28</w:t>
            </w:r>
          </w:p>
        </w:tc>
        <w:tc>
          <w:tcPr>
            <w:tcW w:w="873" w:type="dxa"/>
            <w:shd w:val="clear" w:color="auto" w:fill="auto"/>
            <w:noWrap/>
            <w:tcMar>
              <w:left w:w="28" w:type="dxa"/>
              <w:right w:w="28" w:type="dxa"/>
            </w:tcMar>
            <w:vAlign w:val="center"/>
            <w:hideMark/>
          </w:tcPr>
          <w:p w14:paraId="62076BF8" w14:textId="71F387F5" w:rsidR="0008774B" w:rsidRPr="00795F17" w:rsidRDefault="0008774B" w:rsidP="0065243A">
            <w:pPr>
              <w:pStyle w:val="Teksttabelisrodek"/>
            </w:pPr>
            <w:r w:rsidRPr="00795F17">
              <w:t>5,</w:t>
            </w:r>
            <w:r w:rsidR="00F833F1">
              <w:t>77</w:t>
            </w:r>
            <w:r w:rsidRPr="00795F17">
              <w:t>%</w:t>
            </w:r>
          </w:p>
        </w:tc>
        <w:tc>
          <w:tcPr>
            <w:tcW w:w="873" w:type="dxa"/>
            <w:shd w:val="clear" w:color="auto" w:fill="auto"/>
            <w:noWrap/>
            <w:tcMar>
              <w:left w:w="28" w:type="dxa"/>
              <w:right w:w="28" w:type="dxa"/>
            </w:tcMar>
            <w:vAlign w:val="center"/>
            <w:hideMark/>
          </w:tcPr>
          <w:p w14:paraId="51C5EBC6" w14:textId="77777777" w:rsidR="0008774B" w:rsidRPr="00795F17" w:rsidRDefault="0008774B" w:rsidP="0065243A">
            <w:pPr>
              <w:pStyle w:val="Teksttabelisrodek"/>
            </w:pPr>
            <w:r w:rsidRPr="00795F17">
              <w:t>5</w:t>
            </w:r>
          </w:p>
        </w:tc>
        <w:tc>
          <w:tcPr>
            <w:tcW w:w="874" w:type="dxa"/>
            <w:shd w:val="clear" w:color="auto" w:fill="auto"/>
            <w:noWrap/>
            <w:tcMar>
              <w:left w:w="28" w:type="dxa"/>
              <w:right w:w="28" w:type="dxa"/>
            </w:tcMar>
            <w:vAlign w:val="center"/>
            <w:hideMark/>
          </w:tcPr>
          <w:p w14:paraId="30F2ED3D" w14:textId="3F2578DE" w:rsidR="0008774B" w:rsidRPr="00795F17" w:rsidRDefault="0008774B" w:rsidP="0065243A">
            <w:pPr>
              <w:pStyle w:val="Teksttabelisrodek"/>
            </w:pPr>
            <w:r w:rsidRPr="00795F17">
              <w:t>7,8</w:t>
            </w:r>
            <w:r w:rsidR="00F833F1">
              <w:t>1</w:t>
            </w:r>
            <w:r w:rsidRPr="00795F17">
              <w:t>%</w:t>
            </w:r>
          </w:p>
        </w:tc>
      </w:tr>
      <w:tr w:rsidR="0008774B" w:rsidRPr="00795F17" w14:paraId="79750BF0" w14:textId="77777777" w:rsidTr="00D07F9E">
        <w:trPr>
          <w:trHeight w:val="465"/>
        </w:trPr>
        <w:tc>
          <w:tcPr>
            <w:tcW w:w="468" w:type="dxa"/>
            <w:shd w:val="clear" w:color="auto" w:fill="auto"/>
            <w:noWrap/>
            <w:tcMar>
              <w:left w:w="28" w:type="dxa"/>
              <w:right w:w="28" w:type="dxa"/>
            </w:tcMar>
            <w:vAlign w:val="center"/>
            <w:hideMark/>
          </w:tcPr>
          <w:p w14:paraId="4C7F5A32" w14:textId="4FB8EF47" w:rsidR="0008774B" w:rsidRPr="00795F17" w:rsidRDefault="0008774B" w:rsidP="0065243A">
            <w:pPr>
              <w:pStyle w:val="Teksttabelisrodek"/>
            </w:pPr>
            <w:r w:rsidRPr="00795F17">
              <w:t>6</w:t>
            </w:r>
            <w:r w:rsidR="00B53F7C" w:rsidRPr="00795F17">
              <w:t>.</w:t>
            </w:r>
          </w:p>
        </w:tc>
        <w:tc>
          <w:tcPr>
            <w:tcW w:w="3355" w:type="dxa"/>
            <w:shd w:val="clear" w:color="auto" w:fill="auto"/>
            <w:tcMar>
              <w:left w:w="28" w:type="dxa"/>
              <w:right w:w="28" w:type="dxa"/>
            </w:tcMar>
            <w:vAlign w:val="center"/>
            <w:hideMark/>
          </w:tcPr>
          <w:p w14:paraId="4CB40283" w14:textId="77777777" w:rsidR="0008774B" w:rsidRPr="00795F17" w:rsidRDefault="0008774B" w:rsidP="009B18FA">
            <w:pPr>
              <w:pStyle w:val="Teksttabelilewy"/>
              <w:ind w:left="57"/>
            </w:pPr>
            <w:r w:rsidRPr="00795F17">
              <w:t>Program rekultywacji</w:t>
            </w:r>
          </w:p>
        </w:tc>
        <w:tc>
          <w:tcPr>
            <w:tcW w:w="873" w:type="dxa"/>
            <w:shd w:val="clear" w:color="auto" w:fill="auto"/>
            <w:noWrap/>
            <w:tcMar>
              <w:left w:w="28" w:type="dxa"/>
              <w:right w:w="28" w:type="dxa"/>
            </w:tcMar>
            <w:vAlign w:val="center"/>
          </w:tcPr>
          <w:p w14:paraId="30D126F8" w14:textId="6D811183" w:rsidR="0008774B" w:rsidRPr="00795F17" w:rsidRDefault="00D07F9E" w:rsidP="0065243A">
            <w:pPr>
              <w:pStyle w:val="Teksttabelisrodek"/>
            </w:pPr>
            <w:r w:rsidRPr="00795F17">
              <w:t>0</w:t>
            </w:r>
          </w:p>
        </w:tc>
        <w:tc>
          <w:tcPr>
            <w:tcW w:w="873" w:type="dxa"/>
            <w:shd w:val="clear" w:color="auto" w:fill="auto"/>
            <w:noWrap/>
            <w:tcMar>
              <w:left w:w="28" w:type="dxa"/>
              <w:right w:w="28" w:type="dxa"/>
            </w:tcMar>
            <w:vAlign w:val="center"/>
          </w:tcPr>
          <w:p w14:paraId="62D0C797" w14:textId="0C6A984B" w:rsidR="0008774B" w:rsidRPr="00795F17" w:rsidRDefault="00D07F9E" w:rsidP="0065243A">
            <w:pPr>
              <w:pStyle w:val="Teksttabelisrodek"/>
            </w:pPr>
            <w:r w:rsidRPr="00795F17">
              <w:t>0,0%</w:t>
            </w:r>
          </w:p>
        </w:tc>
        <w:tc>
          <w:tcPr>
            <w:tcW w:w="873" w:type="dxa"/>
            <w:shd w:val="clear" w:color="auto" w:fill="auto"/>
            <w:noWrap/>
            <w:tcMar>
              <w:left w:w="28" w:type="dxa"/>
              <w:right w:w="28" w:type="dxa"/>
            </w:tcMar>
            <w:vAlign w:val="center"/>
            <w:hideMark/>
          </w:tcPr>
          <w:p w14:paraId="7E85E157" w14:textId="77777777" w:rsidR="0008774B" w:rsidRPr="00795F17" w:rsidRDefault="0008774B" w:rsidP="0065243A">
            <w:pPr>
              <w:pStyle w:val="Teksttabelisrodek"/>
            </w:pPr>
            <w:r w:rsidRPr="00795F17">
              <w:t>5</w:t>
            </w:r>
          </w:p>
        </w:tc>
        <w:tc>
          <w:tcPr>
            <w:tcW w:w="873" w:type="dxa"/>
            <w:shd w:val="clear" w:color="auto" w:fill="auto"/>
            <w:noWrap/>
            <w:tcMar>
              <w:left w:w="28" w:type="dxa"/>
              <w:right w:w="28" w:type="dxa"/>
            </w:tcMar>
            <w:vAlign w:val="center"/>
            <w:hideMark/>
          </w:tcPr>
          <w:p w14:paraId="7122BF9D" w14:textId="26B3A5A9" w:rsidR="0008774B" w:rsidRPr="00795F17" w:rsidRDefault="0008774B" w:rsidP="0065243A">
            <w:pPr>
              <w:pStyle w:val="Teksttabelisrodek"/>
            </w:pPr>
            <w:r w:rsidRPr="00795F17">
              <w:t>1,0</w:t>
            </w:r>
            <w:r w:rsidR="00F833F1">
              <w:t>3</w:t>
            </w:r>
            <w:r w:rsidRPr="00795F17">
              <w:t>%</w:t>
            </w:r>
          </w:p>
        </w:tc>
        <w:tc>
          <w:tcPr>
            <w:tcW w:w="873" w:type="dxa"/>
            <w:shd w:val="clear" w:color="auto" w:fill="auto"/>
            <w:noWrap/>
            <w:tcMar>
              <w:left w:w="28" w:type="dxa"/>
              <w:right w:w="28" w:type="dxa"/>
            </w:tcMar>
            <w:vAlign w:val="center"/>
          </w:tcPr>
          <w:p w14:paraId="5D1DD15C" w14:textId="5C63BBDC" w:rsidR="0008774B" w:rsidRPr="00795F17" w:rsidRDefault="00D07F9E" w:rsidP="0065243A">
            <w:pPr>
              <w:pStyle w:val="Teksttabelisrodek"/>
            </w:pPr>
            <w:r w:rsidRPr="00795F17">
              <w:t>0</w:t>
            </w:r>
          </w:p>
        </w:tc>
        <w:tc>
          <w:tcPr>
            <w:tcW w:w="874" w:type="dxa"/>
            <w:shd w:val="clear" w:color="auto" w:fill="auto"/>
            <w:noWrap/>
            <w:tcMar>
              <w:left w:w="28" w:type="dxa"/>
              <w:right w:w="28" w:type="dxa"/>
            </w:tcMar>
            <w:vAlign w:val="center"/>
          </w:tcPr>
          <w:p w14:paraId="5BF5A2D7" w14:textId="3FB198D0" w:rsidR="0008774B" w:rsidRPr="00795F17" w:rsidRDefault="00D07F9E" w:rsidP="0065243A">
            <w:pPr>
              <w:pStyle w:val="Teksttabelisrodek"/>
            </w:pPr>
            <w:r w:rsidRPr="00795F17">
              <w:t>0,00%</w:t>
            </w:r>
          </w:p>
        </w:tc>
      </w:tr>
      <w:tr w:rsidR="00720397" w:rsidRPr="00795F17" w14:paraId="0479962C" w14:textId="77777777" w:rsidTr="00D07F9E">
        <w:trPr>
          <w:trHeight w:val="465"/>
        </w:trPr>
        <w:tc>
          <w:tcPr>
            <w:tcW w:w="3823" w:type="dxa"/>
            <w:gridSpan w:val="2"/>
            <w:shd w:val="clear" w:color="auto" w:fill="BFBFBF" w:themeFill="background1" w:themeFillShade="BF"/>
            <w:noWrap/>
            <w:tcMar>
              <w:left w:w="28" w:type="dxa"/>
              <w:right w:w="28" w:type="dxa"/>
            </w:tcMar>
            <w:vAlign w:val="center"/>
            <w:hideMark/>
          </w:tcPr>
          <w:p w14:paraId="37D41745" w14:textId="14B229DB" w:rsidR="00720397" w:rsidRPr="00795F17" w:rsidRDefault="00720397" w:rsidP="0044393D">
            <w:pPr>
              <w:pStyle w:val="Teksttabelinaglowek"/>
            </w:pPr>
            <w:r w:rsidRPr="00795F17">
              <w:t>Suma</w:t>
            </w:r>
          </w:p>
        </w:tc>
        <w:tc>
          <w:tcPr>
            <w:tcW w:w="873" w:type="dxa"/>
            <w:shd w:val="clear" w:color="auto" w:fill="BFBFBF" w:themeFill="background1" w:themeFillShade="BF"/>
            <w:noWrap/>
            <w:tcMar>
              <w:left w:w="28" w:type="dxa"/>
              <w:right w:w="28" w:type="dxa"/>
            </w:tcMar>
            <w:vAlign w:val="center"/>
            <w:hideMark/>
          </w:tcPr>
          <w:p w14:paraId="5E8D8DC7" w14:textId="47C527FB" w:rsidR="00720397" w:rsidRPr="00795F17" w:rsidRDefault="00720397" w:rsidP="0044393D">
            <w:pPr>
              <w:pStyle w:val="Teksttabelinaglowek"/>
            </w:pPr>
            <w:r w:rsidRPr="00795F17">
              <w:t>6 214</w:t>
            </w:r>
          </w:p>
        </w:tc>
        <w:tc>
          <w:tcPr>
            <w:tcW w:w="873" w:type="dxa"/>
            <w:shd w:val="clear" w:color="auto" w:fill="BFBFBF" w:themeFill="background1" w:themeFillShade="BF"/>
            <w:noWrap/>
            <w:tcMar>
              <w:left w:w="28" w:type="dxa"/>
              <w:right w:w="28" w:type="dxa"/>
            </w:tcMar>
            <w:vAlign w:val="center"/>
            <w:hideMark/>
          </w:tcPr>
          <w:p w14:paraId="7784F1B8" w14:textId="473B89D8" w:rsidR="00720397" w:rsidRPr="00795F17" w:rsidRDefault="00720397" w:rsidP="0044393D">
            <w:pPr>
              <w:pStyle w:val="Teksttabelinaglowek"/>
            </w:pPr>
            <w:r w:rsidRPr="00795F17">
              <w:t>100%</w:t>
            </w:r>
          </w:p>
        </w:tc>
        <w:tc>
          <w:tcPr>
            <w:tcW w:w="873" w:type="dxa"/>
            <w:shd w:val="clear" w:color="auto" w:fill="BFBFBF" w:themeFill="background1" w:themeFillShade="BF"/>
            <w:noWrap/>
            <w:tcMar>
              <w:left w:w="28" w:type="dxa"/>
              <w:right w:w="28" w:type="dxa"/>
            </w:tcMar>
            <w:vAlign w:val="center"/>
            <w:hideMark/>
          </w:tcPr>
          <w:p w14:paraId="423A054C" w14:textId="77777777" w:rsidR="00720397" w:rsidRPr="00795F17" w:rsidRDefault="00720397" w:rsidP="0044393D">
            <w:pPr>
              <w:pStyle w:val="Teksttabelinaglowek"/>
            </w:pPr>
            <w:r w:rsidRPr="00795F17">
              <w:t>485</w:t>
            </w:r>
          </w:p>
        </w:tc>
        <w:tc>
          <w:tcPr>
            <w:tcW w:w="873" w:type="dxa"/>
            <w:shd w:val="clear" w:color="auto" w:fill="BFBFBF" w:themeFill="background1" w:themeFillShade="BF"/>
            <w:noWrap/>
            <w:tcMar>
              <w:left w:w="28" w:type="dxa"/>
              <w:right w:w="28" w:type="dxa"/>
            </w:tcMar>
            <w:vAlign w:val="center"/>
            <w:hideMark/>
          </w:tcPr>
          <w:p w14:paraId="46EA0C5A" w14:textId="5223ED92" w:rsidR="00720397" w:rsidRPr="00795F17" w:rsidRDefault="00720397" w:rsidP="0044393D">
            <w:pPr>
              <w:pStyle w:val="Teksttabelinaglowek"/>
            </w:pPr>
            <w:r w:rsidRPr="00795F17">
              <w:t>100%</w:t>
            </w:r>
          </w:p>
        </w:tc>
        <w:tc>
          <w:tcPr>
            <w:tcW w:w="873" w:type="dxa"/>
            <w:shd w:val="clear" w:color="auto" w:fill="BFBFBF" w:themeFill="background1" w:themeFillShade="BF"/>
            <w:noWrap/>
            <w:tcMar>
              <w:left w:w="28" w:type="dxa"/>
              <w:right w:w="28" w:type="dxa"/>
            </w:tcMar>
            <w:vAlign w:val="center"/>
            <w:hideMark/>
          </w:tcPr>
          <w:p w14:paraId="1BE8A713" w14:textId="77777777" w:rsidR="00720397" w:rsidRPr="00795F17" w:rsidRDefault="00720397" w:rsidP="0044393D">
            <w:pPr>
              <w:pStyle w:val="Teksttabelinaglowek"/>
            </w:pPr>
            <w:r w:rsidRPr="00795F17">
              <w:t>64</w:t>
            </w:r>
          </w:p>
        </w:tc>
        <w:tc>
          <w:tcPr>
            <w:tcW w:w="874" w:type="dxa"/>
            <w:shd w:val="clear" w:color="auto" w:fill="BFBFBF" w:themeFill="background1" w:themeFillShade="BF"/>
            <w:noWrap/>
            <w:tcMar>
              <w:left w:w="28" w:type="dxa"/>
              <w:right w:w="28" w:type="dxa"/>
            </w:tcMar>
            <w:vAlign w:val="center"/>
            <w:hideMark/>
          </w:tcPr>
          <w:p w14:paraId="475E373A" w14:textId="475DEC88" w:rsidR="00720397" w:rsidRPr="00795F17" w:rsidRDefault="00720397" w:rsidP="0044393D">
            <w:pPr>
              <w:pStyle w:val="Teksttabelinaglowek"/>
            </w:pPr>
            <w:r w:rsidRPr="00795F17">
              <w:t>100%</w:t>
            </w:r>
          </w:p>
        </w:tc>
      </w:tr>
    </w:tbl>
    <w:p w14:paraId="4782D141" w14:textId="1E8203D9" w:rsidR="0008774B" w:rsidRPr="00795F17" w:rsidRDefault="0008774B" w:rsidP="0044393D">
      <w:pPr>
        <w:pStyle w:val="rdo"/>
      </w:pPr>
      <w:r w:rsidRPr="00795F17">
        <w:t xml:space="preserve">Źródło: </w:t>
      </w:r>
      <w:r w:rsidR="00FD7248" w:rsidRPr="00795F17">
        <w:t>opracowanie własne</w:t>
      </w:r>
    </w:p>
    <w:p w14:paraId="73E5DD26" w14:textId="77777777" w:rsidR="0008774B" w:rsidRPr="00795F17" w:rsidRDefault="0008774B" w:rsidP="00C53C86">
      <w:pPr>
        <w:pStyle w:val="Nagwek3"/>
      </w:pPr>
      <w:bookmarkStart w:id="873" w:name="_Toc105512720"/>
      <w:r w:rsidRPr="00795F17">
        <w:t>Ocena skuteczności zrealizowanych działań w ramach aPGW</w:t>
      </w:r>
      <w:bookmarkEnd w:id="873"/>
    </w:p>
    <w:p w14:paraId="5461EFFE" w14:textId="77777777" w:rsidR="0008774B" w:rsidRPr="00795F17" w:rsidRDefault="0008774B" w:rsidP="0044393D">
      <w:r w:rsidRPr="00795F17">
        <w:t xml:space="preserve">Weryfikacja i porównanie stanu chemicznego wód na początku oraz na końcu cyklu aPGW umożliwiło opracowanie oceny efektywności wprowadzonych działań. W analizie skuteczności wdrożonych działań w ramach aPGW uwzględniono grupy zrealizowanych działań mogących w sposób bezpośredni i pośredni wpłynąć na stan chemiczny wód. </w:t>
      </w:r>
    </w:p>
    <w:p w14:paraId="4C40CBF3" w14:textId="77777777" w:rsidR="0008774B" w:rsidRPr="00795F17" w:rsidRDefault="0008774B" w:rsidP="0044393D">
      <w:r w:rsidRPr="00795F17">
        <w:t>Analizę wykonano zgodnie z przyjętymi w metodyce opracowania IIaPGW założeniami do statystycznej oceny skuteczności działań w cyklu planistycznym. Przyjęte warunki dla oceny redukcji zanieczyszczeń:</w:t>
      </w:r>
    </w:p>
    <w:p w14:paraId="6CDCF999" w14:textId="7947E5DC" w:rsidR="0008774B" w:rsidRPr="00795F17" w:rsidRDefault="0008774B" w:rsidP="00117E86">
      <w:pPr>
        <w:pStyle w:val="Listapunktowana2"/>
      </w:pPr>
      <w:r w:rsidRPr="00795F17">
        <w:t xml:space="preserve">dla zestawu oznaczeń w monitoringu określa się liczbę </w:t>
      </w:r>
      <w:r w:rsidR="00D40FDB" w:rsidRPr="00795F17">
        <w:t>przypadków stwierdzonej istotnej redukcji s</w:t>
      </w:r>
      <w:r w:rsidRPr="00795F17">
        <w:t xml:space="preserve">tężenia, liczonych jako procentowa redukcja w odniesieniu do wartości bazowej </w:t>
      </w:r>
      <w:r w:rsidR="00D40FDB" w:rsidRPr="00795F17">
        <w:t>przyjętej jako najbardziej aktualny pomiar</w:t>
      </w:r>
      <w:r w:rsidRPr="00795F17">
        <w:t xml:space="preserve"> z okresu 2010</w:t>
      </w:r>
      <w:r w:rsidR="00F52D81">
        <w:t>–</w:t>
      </w:r>
      <w:r w:rsidRPr="00795F17">
        <w:t>2015;</w:t>
      </w:r>
    </w:p>
    <w:p w14:paraId="746057FE" w14:textId="67B2AC4A" w:rsidR="0008774B" w:rsidRPr="00795F17" w:rsidRDefault="0008774B" w:rsidP="00117E86">
      <w:pPr>
        <w:pStyle w:val="Listapunktowana2"/>
      </w:pPr>
      <w:r w:rsidRPr="00795F17">
        <w:t xml:space="preserve">uwzględnia się wyłącznie przypadki, dla których możliwe było wyznaczenie redukcji </w:t>
      </w:r>
      <w:r w:rsidR="00F326BD" w:rsidRPr="00795F17">
        <w:t>-</w:t>
      </w:r>
      <w:r w:rsidRPr="00795F17">
        <w:t xml:space="preserve"> musi być liczbowa wartość bazowa i min. 1 wartość z cyklu (przy czym wartość poniżej granicy oznaczalności traktuje się jako maksymalną oczekiwaną redukcję (100%));</w:t>
      </w:r>
    </w:p>
    <w:p w14:paraId="2F1C9D64" w14:textId="114C0472" w:rsidR="0008774B" w:rsidRPr="00795F17" w:rsidRDefault="0008774B" w:rsidP="00117E86">
      <w:pPr>
        <w:pStyle w:val="Listapunktowana2"/>
      </w:pPr>
      <w:r w:rsidRPr="00795F17">
        <w:t xml:space="preserve">dla każdego </w:t>
      </w:r>
      <w:r w:rsidR="00DF005E">
        <w:t>JCWP</w:t>
      </w:r>
      <w:r w:rsidRPr="00795F17">
        <w:t xml:space="preserve"> ocenia się odsetek oznaczeń z redukcją stężenia.</w:t>
      </w:r>
    </w:p>
    <w:p w14:paraId="54435E17" w14:textId="679BBFF6" w:rsidR="0008774B" w:rsidRPr="00795F17" w:rsidRDefault="0008774B" w:rsidP="0044393D">
      <w:r w:rsidRPr="00795F17">
        <w:t>Wyniki analizy skuteczności działań i oceny redukcji stężeń substancji priorytetowych przedstawiono w tabelach</w:t>
      </w:r>
      <w:r w:rsidR="00305444" w:rsidRPr="00795F17">
        <w:t xml:space="preserve"> 13-</w:t>
      </w:r>
      <w:r w:rsidR="00CA7837" w:rsidRPr="00795F17">
        <w:t>16</w:t>
      </w:r>
      <w:r w:rsidR="00305444" w:rsidRPr="00795F17">
        <w:t xml:space="preserve"> i 13-1</w:t>
      </w:r>
      <w:r w:rsidR="00CA7837" w:rsidRPr="00795F17">
        <w:t>7</w:t>
      </w:r>
      <w:r w:rsidRPr="00795F17">
        <w:t xml:space="preserve">, w podziale na </w:t>
      </w:r>
      <w:r w:rsidR="00DF005E">
        <w:t>JCWP</w:t>
      </w:r>
      <w:r w:rsidRPr="00795F17">
        <w:t xml:space="preserve"> rzeczne i </w:t>
      </w:r>
      <w:r w:rsidR="00DF005E">
        <w:t>JCWP</w:t>
      </w:r>
      <w:r w:rsidRPr="00795F17">
        <w:t xml:space="preserve"> jeziorne </w:t>
      </w:r>
      <w:r w:rsidR="00F52D81">
        <w:t>–</w:t>
      </w:r>
      <w:r w:rsidRPr="00795F17">
        <w:t xml:space="preserve"> dla obszaru całego kraju wraz</w:t>
      </w:r>
      <w:r w:rsidR="00480BA1">
        <w:t> </w:t>
      </w:r>
      <w:r w:rsidRPr="00795F17">
        <w:t xml:space="preserve">informacją poniżej dla skuteczności </w:t>
      </w:r>
      <w:r w:rsidR="00F833F1">
        <w:t>na</w:t>
      </w:r>
      <w:r w:rsidRPr="00795F17">
        <w:t xml:space="preserve"> </w:t>
      </w:r>
      <w:r w:rsidR="006C26A1" w:rsidRPr="00795F17">
        <w:t xml:space="preserve">obszarze </w:t>
      </w:r>
      <w:r w:rsidRPr="00795F17">
        <w:t>dorzecz</w:t>
      </w:r>
      <w:r w:rsidR="006C26A1" w:rsidRPr="00795F17">
        <w:t>a</w:t>
      </w:r>
      <w:r w:rsidRPr="00795F17">
        <w:t xml:space="preserve"> Odry.</w:t>
      </w:r>
    </w:p>
    <w:p w14:paraId="377D68E7" w14:textId="64D87C36" w:rsidR="0008774B" w:rsidRPr="00795F17" w:rsidRDefault="0008774B" w:rsidP="004D7705">
      <w:pPr>
        <w:pStyle w:val="Tabela"/>
      </w:pPr>
      <w:bookmarkStart w:id="874" w:name="_Toc66341973"/>
      <w:bookmarkStart w:id="875" w:name="_Toc105512902"/>
      <w:r w:rsidRPr="00795F17">
        <w:t xml:space="preserve">Tabela </w:t>
      </w:r>
      <w:fldSimple w:instr=" STYLEREF 1 \s ">
        <w:r w:rsidR="001F774D">
          <w:rPr>
            <w:noProof/>
          </w:rPr>
          <w:t>13</w:t>
        </w:r>
      </w:fldSimple>
      <w:r w:rsidR="00BB3B21" w:rsidRPr="00795F17">
        <w:noBreakHyphen/>
      </w:r>
      <w:fldSimple w:instr=" SEQ Tabela \* ARABIC \s 1 ">
        <w:r w:rsidR="001F774D">
          <w:rPr>
            <w:noProof/>
          </w:rPr>
          <w:t>16</w:t>
        </w:r>
      </w:fldSimple>
      <w:r w:rsidR="000B5450">
        <w:rPr>
          <w:noProof/>
        </w:rPr>
        <w:t>.</w:t>
      </w:r>
      <w:r w:rsidRPr="00795F17">
        <w:tab/>
        <w:t xml:space="preserve">Skuteczność działań dla kategorii </w:t>
      </w:r>
      <w:r w:rsidR="00DF005E">
        <w:t>JCWP</w:t>
      </w:r>
      <w:r w:rsidRPr="00795F17">
        <w:t xml:space="preserve"> rzecznych w zakresie oceny substancji priorytetowych w wodzie </w:t>
      </w:r>
      <w:r w:rsidR="00F52D81">
        <w:t>–</w:t>
      </w:r>
      <w:r w:rsidRPr="00795F17">
        <w:t xml:space="preserve"> analiza statystyczna obejmująca wszystkie obszary dorzeczy</w:t>
      </w:r>
      <w:bookmarkEnd w:id="874"/>
      <w:bookmarkEnd w:id="8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26"/>
        <w:gridCol w:w="650"/>
        <w:gridCol w:w="760"/>
        <w:gridCol w:w="816"/>
        <w:gridCol w:w="877"/>
        <w:gridCol w:w="1687"/>
      </w:tblGrid>
      <w:tr w:rsidR="0008774B" w:rsidRPr="00795F17" w14:paraId="1ACEFCE6" w14:textId="77777777" w:rsidTr="005D42CC">
        <w:trPr>
          <w:trHeight w:val="454"/>
        </w:trPr>
        <w:tc>
          <w:tcPr>
            <w:tcW w:w="4248" w:type="dxa"/>
            <w:shd w:val="clear" w:color="auto" w:fill="BFBFBF" w:themeFill="background1" w:themeFillShade="BF"/>
            <w:noWrap/>
            <w:tcMar>
              <w:left w:w="28" w:type="dxa"/>
              <w:right w:w="28" w:type="dxa"/>
            </w:tcMar>
            <w:vAlign w:val="center"/>
          </w:tcPr>
          <w:p w14:paraId="612E49DF" w14:textId="323B746D" w:rsidR="0008774B" w:rsidRPr="00795F17" w:rsidRDefault="0008774B" w:rsidP="008217D6">
            <w:pPr>
              <w:pStyle w:val="Teksttabelinaglowek"/>
              <w:keepNext/>
            </w:pPr>
            <w:r w:rsidRPr="00795F17">
              <w:t xml:space="preserve">Ocena skuteczności działań w </w:t>
            </w:r>
            <w:r w:rsidR="00DF005E">
              <w:t>JCWP</w:t>
            </w:r>
            <w:r w:rsidRPr="00795F17">
              <w:t xml:space="preserve"> RW</w:t>
            </w:r>
          </w:p>
        </w:tc>
        <w:tc>
          <w:tcPr>
            <w:tcW w:w="1417" w:type="dxa"/>
            <w:gridSpan w:val="2"/>
            <w:shd w:val="clear" w:color="auto" w:fill="BFBFBF" w:themeFill="background1" w:themeFillShade="BF"/>
            <w:noWrap/>
            <w:tcMar>
              <w:left w:w="28" w:type="dxa"/>
              <w:right w:w="28" w:type="dxa"/>
            </w:tcMar>
            <w:vAlign w:val="center"/>
          </w:tcPr>
          <w:p w14:paraId="47D4D5B0" w14:textId="2782E9B6" w:rsidR="0008774B" w:rsidRPr="00795F17" w:rsidRDefault="0008774B" w:rsidP="008217D6">
            <w:pPr>
              <w:pStyle w:val="Teksttabelinaglowek"/>
              <w:keepNext/>
            </w:pPr>
            <w:r w:rsidRPr="00795F17">
              <w:t xml:space="preserve">Liczba </w:t>
            </w:r>
            <w:r w:rsidR="00DF005E">
              <w:t>JCWP</w:t>
            </w:r>
          </w:p>
        </w:tc>
        <w:tc>
          <w:tcPr>
            <w:tcW w:w="1701" w:type="dxa"/>
            <w:gridSpan w:val="2"/>
            <w:shd w:val="clear" w:color="auto" w:fill="BFBFBF" w:themeFill="background1" w:themeFillShade="BF"/>
            <w:tcMar>
              <w:left w:w="28" w:type="dxa"/>
              <w:right w:w="28" w:type="dxa"/>
            </w:tcMar>
            <w:vAlign w:val="center"/>
          </w:tcPr>
          <w:p w14:paraId="4B16AD6F" w14:textId="6D529D86" w:rsidR="0008774B" w:rsidRPr="00795F17" w:rsidRDefault="0008774B" w:rsidP="008217D6">
            <w:pPr>
              <w:pStyle w:val="Teksttabelinaglowek"/>
              <w:keepNext/>
            </w:pPr>
            <w:r w:rsidRPr="00795F17">
              <w:t xml:space="preserve">Udział </w:t>
            </w:r>
            <w:r w:rsidRPr="00795F17">
              <w:br/>
              <w:t xml:space="preserve">w liczbie </w:t>
            </w:r>
            <w:r w:rsidR="00DF005E">
              <w:t>JCWP</w:t>
            </w:r>
            <w:r w:rsidRPr="00795F17">
              <w:t xml:space="preserve"> </w:t>
            </w:r>
            <w:r w:rsidR="00EA4FF5" w:rsidRPr="00795F17">
              <w:t>(%)</w:t>
            </w:r>
          </w:p>
        </w:tc>
        <w:tc>
          <w:tcPr>
            <w:tcW w:w="1696" w:type="dxa"/>
            <w:shd w:val="clear" w:color="auto" w:fill="BFBFBF" w:themeFill="background1" w:themeFillShade="BF"/>
            <w:tcMar>
              <w:left w:w="28" w:type="dxa"/>
              <w:right w:w="28" w:type="dxa"/>
            </w:tcMar>
            <w:vAlign w:val="center"/>
          </w:tcPr>
          <w:p w14:paraId="400855C3" w14:textId="77777777" w:rsidR="0008774B" w:rsidRPr="00795F17" w:rsidRDefault="0008774B" w:rsidP="008217D6">
            <w:pPr>
              <w:pStyle w:val="Teksttabelinaglowek"/>
              <w:keepNext/>
            </w:pPr>
            <w:r w:rsidRPr="00795F17">
              <w:t>Uwagi</w:t>
            </w:r>
          </w:p>
        </w:tc>
      </w:tr>
      <w:tr w:rsidR="0008774B" w:rsidRPr="00795F17" w14:paraId="414D7A95" w14:textId="77777777" w:rsidTr="005D42CC">
        <w:trPr>
          <w:trHeight w:val="454"/>
        </w:trPr>
        <w:tc>
          <w:tcPr>
            <w:tcW w:w="4248" w:type="dxa"/>
            <w:shd w:val="clear" w:color="auto" w:fill="auto"/>
            <w:noWrap/>
            <w:tcMar>
              <w:left w:w="28" w:type="dxa"/>
              <w:right w:w="28" w:type="dxa"/>
            </w:tcMar>
            <w:vAlign w:val="center"/>
          </w:tcPr>
          <w:p w14:paraId="11C8BBFB" w14:textId="51C3E8F5" w:rsidR="0008774B" w:rsidRPr="00795F17" w:rsidRDefault="0008774B" w:rsidP="009B18FA">
            <w:pPr>
              <w:pStyle w:val="Teksttabelilewy"/>
              <w:keepNext/>
              <w:ind w:left="57"/>
            </w:pPr>
            <w:r w:rsidRPr="00795F17">
              <w:t xml:space="preserve">Liczba </w:t>
            </w:r>
            <w:r w:rsidR="00DF005E">
              <w:t>JCWP</w:t>
            </w:r>
            <w:r w:rsidRPr="00795F17">
              <w:t xml:space="preserve"> ze realizowanym lub zrealizowanym min. 1 zestawem działań ciągłych</w:t>
            </w:r>
            <w:r w:rsidR="00486CBA">
              <w:t>.</w:t>
            </w:r>
          </w:p>
        </w:tc>
        <w:tc>
          <w:tcPr>
            <w:tcW w:w="1417" w:type="dxa"/>
            <w:gridSpan w:val="2"/>
            <w:shd w:val="clear" w:color="auto" w:fill="auto"/>
            <w:noWrap/>
            <w:tcMar>
              <w:left w:w="28" w:type="dxa"/>
              <w:right w:w="28" w:type="dxa"/>
            </w:tcMar>
            <w:vAlign w:val="center"/>
          </w:tcPr>
          <w:p w14:paraId="5CE0370B" w14:textId="4A257F35" w:rsidR="0008774B" w:rsidRPr="00795F17" w:rsidRDefault="0008774B" w:rsidP="008217D6">
            <w:pPr>
              <w:pStyle w:val="Teksttabelisrodek"/>
              <w:keepNext/>
            </w:pPr>
            <w:r w:rsidRPr="00795F17">
              <w:t>3</w:t>
            </w:r>
            <w:r w:rsidR="00B53F7C" w:rsidRPr="00795F17">
              <w:t xml:space="preserve"> </w:t>
            </w:r>
            <w:r w:rsidRPr="00795F17">
              <w:t>310</w:t>
            </w:r>
          </w:p>
        </w:tc>
        <w:tc>
          <w:tcPr>
            <w:tcW w:w="1701" w:type="dxa"/>
            <w:gridSpan w:val="2"/>
            <w:tcMar>
              <w:left w:w="28" w:type="dxa"/>
              <w:right w:w="28" w:type="dxa"/>
            </w:tcMar>
            <w:vAlign w:val="center"/>
          </w:tcPr>
          <w:p w14:paraId="20AC76F1" w14:textId="1B8DEBFF" w:rsidR="0008774B" w:rsidRPr="00795F17" w:rsidRDefault="0008774B" w:rsidP="008217D6">
            <w:pPr>
              <w:pStyle w:val="Teksttabelisrodek"/>
              <w:keepNext/>
            </w:pPr>
            <w:r w:rsidRPr="00795F17">
              <w:t>72,2</w:t>
            </w:r>
          </w:p>
        </w:tc>
        <w:tc>
          <w:tcPr>
            <w:tcW w:w="1696" w:type="dxa"/>
            <w:tcMar>
              <w:left w:w="28" w:type="dxa"/>
              <w:right w:w="28" w:type="dxa"/>
            </w:tcMar>
            <w:vAlign w:val="center"/>
          </w:tcPr>
          <w:p w14:paraId="135BBC24" w14:textId="77777777" w:rsidR="0008774B" w:rsidRPr="00795F17" w:rsidRDefault="0008774B" w:rsidP="008217D6">
            <w:pPr>
              <w:pStyle w:val="Teksttabelisrodek"/>
              <w:keepNext/>
            </w:pPr>
            <w:r w:rsidRPr="00795F17">
              <w:t>-</w:t>
            </w:r>
          </w:p>
        </w:tc>
      </w:tr>
      <w:tr w:rsidR="0008774B" w:rsidRPr="00795F17" w14:paraId="33CF2AF6" w14:textId="77777777" w:rsidTr="005D42CC">
        <w:trPr>
          <w:trHeight w:val="454"/>
        </w:trPr>
        <w:tc>
          <w:tcPr>
            <w:tcW w:w="4248" w:type="dxa"/>
            <w:shd w:val="clear" w:color="auto" w:fill="auto"/>
            <w:noWrap/>
            <w:tcMar>
              <w:left w:w="28" w:type="dxa"/>
              <w:right w:w="28" w:type="dxa"/>
            </w:tcMar>
            <w:vAlign w:val="center"/>
            <w:hideMark/>
          </w:tcPr>
          <w:p w14:paraId="5464873C" w14:textId="45683F7A" w:rsidR="0008774B" w:rsidRPr="00795F17" w:rsidRDefault="0008774B" w:rsidP="009B18FA">
            <w:pPr>
              <w:pStyle w:val="Teksttabelilewy"/>
              <w:ind w:left="57"/>
            </w:pPr>
            <w:r w:rsidRPr="00795F17">
              <w:t xml:space="preserve">Liczba </w:t>
            </w:r>
            <w:r w:rsidR="00DF005E">
              <w:t>JCWP</w:t>
            </w:r>
            <w:r w:rsidRPr="00795F17">
              <w:t xml:space="preserve"> ze zrealizowanym min. 1 działaniem jednorazowym</w:t>
            </w:r>
            <w:r w:rsidR="00486CBA">
              <w:t>.</w:t>
            </w:r>
          </w:p>
        </w:tc>
        <w:tc>
          <w:tcPr>
            <w:tcW w:w="1417" w:type="dxa"/>
            <w:gridSpan w:val="2"/>
            <w:shd w:val="clear" w:color="auto" w:fill="auto"/>
            <w:noWrap/>
            <w:tcMar>
              <w:left w:w="28" w:type="dxa"/>
              <w:right w:w="28" w:type="dxa"/>
            </w:tcMar>
            <w:vAlign w:val="center"/>
            <w:hideMark/>
          </w:tcPr>
          <w:p w14:paraId="2FA4F239" w14:textId="77777777" w:rsidR="0008774B" w:rsidRPr="00795F17" w:rsidRDefault="0008774B" w:rsidP="0065243A">
            <w:pPr>
              <w:pStyle w:val="Teksttabelisrodek"/>
            </w:pPr>
            <w:r w:rsidRPr="00795F17">
              <w:t>733</w:t>
            </w:r>
          </w:p>
        </w:tc>
        <w:tc>
          <w:tcPr>
            <w:tcW w:w="1701" w:type="dxa"/>
            <w:gridSpan w:val="2"/>
            <w:tcMar>
              <w:left w:w="28" w:type="dxa"/>
              <w:right w:w="28" w:type="dxa"/>
            </w:tcMar>
            <w:vAlign w:val="center"/>
          </w:tcPr>
          <w:p w14:paraId="65ED3DFC" w14:textId="2EA36403" w:rsidR="0008774B" w:rsidRPr="00795F17" w:rsidRDefault="0008774B" w:rsidP="0065243A">
            <w:pPr>
              <w:pStyle w:val="Teksttabelisrodek"/>
            </w:pPr>
            <w:r w:rsidRPr="00795F17">
              <w:t>16,0</w:t>
            </w:r>
          </w:p>
        </w:tc>
        <w:tc>
          <w:tcPr>
            <w:tcW w:w="1696" w:type="dxa"/>
            <w:tcMar>
              <w:left w:w="28" w:type="dxa"/>
              <w:right w:w="28" w:type="dxa"/>
            </w:tcMar>
            <w:vAlign w:val="center"/>
          </w:tcPr>
          <w:p w14:paraId="596FDF1C" w14:textId="77777777" w:rsidR="0008774B" w:rsidRPr="00795F17" w:rsidRDefault="0008774B" w:rsidP="0065243A">
            <w:pPr>
              <w:pStyle w:val="Teksttabelisrodek"/>
            </w:pPr>
            <w:r w:rsidRPr="00795F17">
              <w:t>-</w:t>
            </w:r>
          </w:p>
        </w:tc>
      </w:tr>
      <w:tr w:rsidR="0008774B" w:rsidRPr="00795F17" w14:paraId="571C8AE2" w14:textId="77777777" w:rsidTr="005D42CC">
        <w:trPr>
          <w:trHeight w:val="454"/>
        </w:trPr>
        <w:tc>
          <w:tcPr>
            <w:tcW w:w="4248" w:type="dxa"/>
            <w:shd w:val="clear" w:color="auto" w:fill="auto"/>
            <w:noWrap/>
            <w:tcMar>
              <w:left w:w="28" w:type="dxa"/>
              <w:right w:w="28" w:type="dxa"/>
            </w:tcMar>
            <w:vAlign w:val="center"/>
            <w:hideMark/>
          </w:tcPr>
          <w:p w14:paraId="2DAFE786" w14:textId="09973568" w:rsidR="0008774B" w:rsidRPr="00795F17" w:rsidRDefault="0008774B" w:rsidP="009B18FA">
            <w:pPr>
              <w:pStyle w:val="Teksttabelilewy"/>
              <w:ind w:left="57"/>
            </w:pPr>
            <w:r w:rsidRPr="00795F17">
              <w:t xml:space="preserve">Liczba ocen </w:t>
            </w:r>
            <w:r w:rsidR="00DF005E">
              <w:t>JCWP</w:t>
            </w:r>
            <w:r w:rsidRPr="00795F17">
              <w:t xml:space="preserve"> z wynikami umożliwiającymi uwzględnienie w ocenie skutecznośc</w:t>
            </w:r>
            <w:r w:rsidR="00486CBA">
              <w:t>.</w:t>
            </w:r>
            <w:r w:rsidRPr="00795F17">
              <w:t xml:space="preserve">i </w:t>
            </w:r>
          </w:p>
        </w:tc>
        <w:tc>
          <w:tcPr>
            <w:tcW w:w="1417" w:type="dxa"/>
            <w:gridSpan w:val="2"/>
            <w:shd w:val="clear" w:color="auto" w:fill="auto"/>
            <w:noWrap/>
            <w:tcMar>
              <w:left w:w="28" w:type="dxa"/>
              <w:right w:w="28" w:type="dxa"/>
            </w:tcMar>
            <w:vAlign w:val="center"/>
            <w:hideMark/>
          </w:tcPr>
          <w:p w14:paraId="5051D672" w14:textId="77777777" w:rsidR="0008774B" w:rsidRPr="00795F17" w:rsidRDefault="0008774B" w:rsidP="0065243A">
            <w:pPr>
              <w:pStyle w:val="Teksttabelisrodek"/>
            </w:pPr>
            <w:r w:rsidRPr="00795F17">
              <w:t>609</w:t>
            </w:r>
          </w:p>
        </w:tc>
        <w:tc>
          <w:tcPr>
            <w:tcW w:w="1701" w:type="dxa"/>
            <w:gridSpan w:val="2"/>
            <w:tcMar>
              <w:left w:w="28" w:type="dxa"/>
              <w:right w:w="28" w:type="dxa"/>
            </w:tcMar>
            <w:vAlign w:val="center"/>
          </w:tcPr>
          <w:p w14:paraId="6E9CBA4A" w14:textId="4D40A0C7" w:rsidR="0008774B" w:rsidRPr="00795F17" w:rsidRDefault="0008774B" w:rsidP="0065243A">
            <w:pPr>
              <w:pStyle w:val="Teksttabelisrodek"/>
            </w:pPr>
            <w:r w:rsidRPr="00795F17">
              <w:t>13,2</w:t>
            </w:r>
          </w:p>
        </w:tc>
        <w:tc>
          <w:tcPr>
            <w:tcW w:w="1696" w:type="dxa"/>
            <w:tcMar>
              <w:left w:w="28" w:type="dxa"/>
              <w:right w:w="28" w:type="dxa"/>
            </w:tcMar>
            <w:vAlign w:val="center"/>
          </w:tcPr>
          <w:p w14:paraId="0DA391C9" w14:textId="77777777" w:rsidR="0008774B" w:rsidRPr="00795F17" w:rsidRDefault="0008774B" w:rsidP="0065243A">
            <w:pPr>
              <w:pStyle w:val="Teksttabelisrodek"/>
            </w:pPr>
            <w:r w:rsidRPr="00795F17">
              <w:t>-</w:t>
            </w:r>
          </w:p>
        </w:tc>
      </w:tr>
      <w:tr w:rsidR="0008774B" w:rsidRPr="00795F17" w14:paraId="42AF6540" w14:textId="77777777" w:rsidTr="005D42CC">
        <w:trPr>
          <w:trHeight w:val="454"/>
        </w:trPr>
        <w:tc>
          <w:tcPr>
            <w:tcW w:w="4248" w:type="dxa"/>
            <w:shd w:val="clear" w:color="auto" w:fill="D9D9D9" w:themeFill="background1" w:themeFillShade="D9"/>
            <w:noWrap/>
            <w:tcMar>
              <w:left w:w="28" w:type="dxa"/>
              <w:right w:w="28" w:type="dxa"/>
            </w:tcMar>
            <w:vAlign w:val="center"/>
          </w:tcPr>
          <w:p w14:paraId="7D08E926" w14:textId="77777777" w:rsidR="0008774B" w:rsidRPr="00795F17" w:rsidRDefault="0008774B" w:rsidP="00CC513F">
            <w:pPr>
              <w:pStyle w:val="Teksttabelisrodek"/>
            </w:pPr>
            <w:r w:rsidRPr="00795F17">
              <w:t>Skuteczność redukcji stężeń oceniana jako odsetek wykonanych oznaczeń, dla których uzyskano redukcję stężenia</w:t>
            </w:r>
          </w:p>
        </w:tc>
        <w:tc>
          <w:tcPr>
            <w:tcW w:w="1417" w:type="dxa"/>
            <w:gridSpan w:val="2"/>
            <w:shd w:val="clear" w:color="auto" w:fill="D9D9D9" w:themeFill="background1" w:themeFillShade="D9"/>
            <w:noWrap/>
            <w:tcMar>
              <w:left w:w="28" w:type="dxa"/>
              <w:right w:w="28" w:type="dxa"/>
            </w:tcMar>
            <w:vAlign w:val="center"/>
          </w:tcPr>
          <w:p w14:paraId="59E549F8" w14:textId="77777777" w:rsidR="0008774B" w:rsidRPr="00795F17" w:rsidRDefault="0008774B" w:rsidP="00CC513F">
            <w:pPr>
              <w:pStyle w:val="Teksttabelisrodek"/>
            </w:pPr>
            <w:r w:rsidRPr="00795F17">
              <w:t>Powyżej 50% oznaczeń</w:t>
            </w:r>
          </w:p>
        </w:tc>
        <w:tc>
          <w:tcPr>
            <w:tcW w:w="1701" w:type="dxa"/>
            <w:gridSpan w:val="2"/>
            <w:shd w:val="clear" w:color="auto" w:fill="D9D9D9" w:themeFill="background1" w:themeFillShade="D9"/>
            <w:tcMar>
              <w:left w:w="28" w:type="dxa"/>
              <w:right w:w="28" w:type="dxa"/>
            </w:tcMar>
            <w:vAlign w:val="center"/>
          </w:tcPr>
          <w:p w14:paraId="4C538FFA" w14:textId="77777777" w:rsidR="0008774B" w:rsidRPr="00795F17" w:rsidRDefault="0008774B" w:rsidP="00CC513F">
            <w:pPr>
              <w:pStyle w:val="Teksttabelisrodek"/>
            </w:pPr>
            <w:r w:rsidRPr="00795F17">
              <w:t>Powyżej 85% oznaczeń</w:t>
            </w:r>
          </w:p>
        </w:tc>
        <w:tc>
          <w:tcPr>
            <w:tcW w:w="1696" w:type="dxa"/>
            <w:shd w:val="clear" w:color="auto" w:fill="D9D9D9" w:themeFill="background1" w:themeFillShade="D9"/>
            <w:tcMar>
              <w:left w:w="28" w:type="dxa"/>
              <w:right w:w="28" w:type="dxa"/>
            </w:tcMar>
            <w:vAlign w:val="center"/>
          </w:tcPr>
          <w:p w14:paraId="3CC73E57" w14:textId="77777777" w:rsidR="0008774B" w:rsidRPr="00795F17" w:rsidRDefault="0008774B" w:rsidP="00CC513F">
            <w:pPr>
              <w:pStyle w:val="Teksttabelisrodek"/>
            </w:pPr>
            <w:r w:rsidRPr="00795F17">
              <w:t>Uwagi</w:t>
            </w:r>
          </w:p>
        </w:tc>
      </w:tr>
      <w:tr w:rsidR="0008774B" w:rsidRPr="00795F17" w14:paraId="03702E11" w14:textId="77777777" w:rsidTr="005D42CC">
        <w:trPr>
          <w:trHeight w:val="454"/>
        </w:trPr>
        <w:tc>
          <w:tcPr>
            <w:tcW w:w="4248" w:type="dxa"/>
            <w:shd w:val="clear" w:color="auto" w:fill="auto"/>
            <w:noWrap/>
            <w:tcMar>
              <w:left w:w="28" w:type="dxa"/>
              <w:right w:w="28" w:type="dxa"/>
            </w:tcMar>
            <w:vAlign w:val="center"/>
            <w:hideMark/>
          </w:tcPr>
          <w:p w14:paraId="5DCC1354" w14:textId="5ED2D7B4" w:rsidR="0008774B" w:rsidRPr="00795F17" w:rsidRDefault="0008774B" w:rsidP="009B18FA">
            <w:pPr>
              <w:pStyle w:val="Teksttabelilewy"/>
              <w:ind w:left="57"/>
            </w:pPr>
            <w:r w:rsidRPr="00795F17">
              <w:t xml:space="preserve">Liczba </w:t>
            </w:r>
            <w:r w:rsidR="00DF005E">
              <w:t>JCWP</w:t>
            </w:r>
            <w:r w:rsidRPr="00795F17">
              <w:t>, w których redukcja stężenia występuje w powyżej 50% oznaczeń (za istotne przyjęto pomiary o redukcji poniżej 20%)</w:t>
            </w:r>
            <w:r w:rsidR="00486CBA">
              <w:t>.</w:t>
            </w:r>
          </w:p>
        </w:tc>
        <w:tc>
          <w:tcPr>
            <w:tcW w:w="653" w:type="dxa"/>
            <w:shd w:val="clear" w:color="auto" w:fill="auto"/>
            <w:noWrap/>
            <w:tcMar>
              <w:left w:w="28" w:type="dxa"/>
              <w:right w:w="28" w:type="dxa"/>
            </w:tcMar>
            <w:vAlign w:val="center"/>
            <w:hideMark/>
          </w:tcPr>
          <w:p w14:paraId="790E5780" w14:textId="77777777" w:rsidR="0008774B" w:rsidRPr="00795F17" w:rsidRDefault="0008774B" w:rsidP="0065243A">
            <w:pPr>
              <w:pStyle w:val="Teksttabelisrodek"/>
            </w:pPr>
            <w:r w:rsidRPr="00795F17">
              <w:t>573</w:t>
            </w:r>
          </w:p>
        </w:tc>
        <w:tc>
          <w:tcPr>
            <w:tcW w:w="764" w:type="dxa"/>
            <w:shd w:val="clear" w:color="auto" w:fill="auto"/>
            <w:noWrap/>
            <w:tcMar>
              <w:left w:w="28" w:type="dxa"/>
              <w:right w:w="28" w:type="dxa"/>
            </w:tcMar>
            <w:vAlign w:val="center"/>
            <w:hideMark/>
          </w:tcPr>
          <w:p w14:paraId="363FCF79" w14:textId="77777777" w:rsidR="0008774B" w:rsidRPr="00795F17" w:rsidRDefault="0008774B" w:rsidP="0065243A">
            <w:pPr>
              <w:pStyle w:val="Teksttabelisrodek"/>
            </w:pPr>
            <w:r w:rsidRPr="00795F17">
              <w:t>94,1%</w:t>
            </w:r>
          </w:p>
        </w:tc>
        <w:tc>
          <w:tcPr>
            <w:tcW w:w="820" w:type="dxa"/>
            <w:tcMar>
              <w:left w:w="28" w:type="dxa"/>
              <w:right w:w="28" w:type="dxa"/>
            </w:tcMar>
            <w:vAlign w:val="center"/>
          </w:tcPr>
          <w:p w14:paraId="4907261B" w14:textId="77777777" w:rsidR="0008774B" w:rsidRPr="00795F17" w:rsidRDefault="0008774B" w:rsidP="0065243A">
            <w:pPr>
              <w:pStyle w:val="Teksttabelisrodek"/>
            </w:pPr>
            <w:r w:rsidRPr="00795F17">
              <w:t>400</w:t>
            </w:r>
          </w:p>
        </w:tc>
        <w:tc>
          <w:tcPr>
            <w:tcW w:w="881" w:type="dxa"/>
            <w:tcMar>
              <w:left w:w="28" w:type="dxa"/>
              <w:right w:w="28" w:type="dxa"/>
            </w:tcMar>
            <w:vAlign w:val="center"/>
          </w:tcPr>
          <w:p w14:paraId="324DA8C9" w14:textId="77777777" w:rsidR="0008774B" w:rsidRPr="00795F17" w:rsidRDefault="0008774B" w:rsidP="0065243A">
            <w:pPr>
              <w:pStyle w:val="Teksttabelisrodek"/>
            </w:pPr>
            <w:r w:rsidRPr="00795F17">
              <w:t>65,7%</w:t>
            </w:r>
          </w:p>
        </w:tc>
        <w:tc>
          <w:tcPr>
            <w:tcW w:w="1696" w:type="dxa"/>
            <w:tcMar>
              <w:left w:w="28" w:type="dxa"/>
              <w:right w:w="28" w:type="dxa"/>
            </w:tcMar>
            <w:vAlign w:val="center"/>
          </w:tcPr>
          <w:p w14:paraId="6850EBBA" w14:textId="77777777" w:rsidR="0008774B" w:rsidRPr="00795F17" w:rsidRDefault="0008774B" w:rsidP="0065243A">
            <w:pPr>
              <w:pStyle w:val="Teksttabelisrodek"/>
            </w:pPr>
            <w:r w:rsidRPr="00795F17">
              <w:t>proc. wykonanych ocen</w:t>
            </w:r>
          </w:p>
        </w:tc>
      </w:tr>
      <w:tr w:rsidR="0008774B" w:rsidRPr="00795F17" w14:paraId="7EFBADF9" w14:textId="77777777" w:rsidTr="005D42CC">
        <w:trPr>
          <w:trHeight w:val="454"/>
        </w:trPr>
        <w:tc>
          <w:tcPr>
            <w:tcW w:w="4248" w:type="dxa"/>
            <w:shd w:val="clear" w:color="auto" w:fill="auto"/>
            <w:noWrap/>
            <w:tcMar>
              <w:left w:w="28" w:type="dxa"/>
              <w:right w:w="28" w:type="dxa"/>
            </w:tcMar>
            <w:vAlign w:val="center"/>
            <w:hideMark/>
          </w:tcPr>
          <w:p w14:paraId="01A40072" w14:textId="69C2E0F8" w:rsidR="0008774B" w:rsidRPr="00795F17" w:rsidRDefault="0008774B" w:rsidP="009B18FA">
            <w:pPr>
              <w:pStyle w:val="Teksttabelilewy"/>
              <w:ind w:left="57"/>
            </w:pPr>
            <w:r w:rsidRPr="00795F17">
              <w:t xml:space="preserve">Liczba </w:t>
            </w:r>
            <w:r w:rsidR="00DF005E">
              <w:t>JCWP</w:t>
            </w:r>
            <w:r w:rsidRPr="00795F17">
              <w:t>, w których nie stwierdzono przekroczeń powyżej 50% wartości odchylenia od normy (kryterium przyjęte dla oceny skuteczności działań)</w:t>
            </w:r>
            <w:r w:rsidR="00486CBA">
              <w:t>.</w:t>
            </w:r>
          </w:p>
        </w:tc>
        <w:tc>
          <w:tcPr>
            <w:tcW w:w="653" w:type="dxa"/>
            <w:shd w:val="clear" w:color="auto" w:fill="auto"/>
            <w:noWrap/>
            <w:tcMar>
              <w:left w:w="28" w:type="dxa"/>
              <w:right w:w="28" w:type="dxa"/>
            </w:tcMar>
            <w:vAlign w:val="center"/>
            <w:hideMark/>
          </w:tcPr>
          <w:p w14:paraId="0BB1C6B8" w14:textId="77777777" w:rsidR="0008774B" w:rsidRPr="00795F17" w:rsidRDefault="0008774B" w:rsidP="0065243A">
            <w:pPr>
              <w:pStyle w:val="Teksttabelisrodek"/>
            </w:pPr>
            <w:r w:rsidRPr="00795F17">
              <w:t>170</w:t>
            </w:r>
          </w:p>
        </w:tc>
        <w:tc>
          <w:tcPr>
            <w:tcW w:w="764" w:type="dxa"/>
            <w:shd w:val="clear" w:color="auto" w:fill="auto"/>
            <w:noWrap/>
            <w:tcMar>
              <w:left w:w="28" w:type="dxa"/>
              <w:right w:w="28" w:type="dxa"/>
            </w:tcMar>
            <w:vAlign w:val="center"/>
            <w:hideMark/>
          </w:tcPr>
          <w:p w14:paraId="3E214841" w14:textId="77777777" w:rsidR="0008774B" w:rsidRPr="00795F17" w:rsidRDefault="0008774B" w:rsidP="0065243A">
            <w:pPr>
              <w:pStyle w:val="Teksttabelisrodek"/>
            </w:pPr>
            <w:r w:rsidRPr="00795F17">
              <w:t>29,7%</w:t>
            </w:r>
          </w:p>
        </w:tc>
        <w:tc>
          <w:tcPr>
            <w:tcW w:w="820" w:type="dxa"/>
            <w:tcMar>
              <w:left w:w="28" w:type="dxa"/>
              <w:right w:w="28" w:type="dxa"/>
            </w:tcMar>
            <w:vAlign w:val="center"/>
          </w:tcPr>
          <w:p w14:paraId="1DDDA890" w14:textId="77777777" w:rsidR="0008774B" w:rsidRPr="00795F17" w:rsidRDefault="0008774B" w:rsidP="0065243A">
            <w:pPr>
              <w:pStyle w:val="Teksttabelisrodek"/>
            </w:pPr>
            <w:r w:rsidRPr="00795F17">
              <w:t>170</w:t>
            </w:r>
          </w:p>
        </w:tc>
        <w:tc>
          <w:tcPr>
            <w:tcW w:w="881" w:type="dxa"/>
            <w:tcMar>
              <w:left w:w="28" w:type="dxa"/>
              <w:right w:w="28" w:type="dxa"/>
            </w:tcMar>
            <w:vAlign w:val="center"/>
          </w:tcPr>
          <w:p w14:paraId="5B986E48" w14:textId="77777777" w:rsidR="0008774B" w:rsidRPr="00795F17" w:rsidRDefault="0008774B" w:rsidP="0065243A">
            <w:pPr>
              <w:pStyle w:val="Teksttabelisrodek"/>
            </w:pPr>
            <w:r w:rsidRPr="00795F17">
              <w:t>42,5%</w:t>
            </w:r>
          </w:p>
        </w:tc>
        <w:tc>
          <w:tcPr>
            <w:tcW w:w="1696" w:type="dxa"/>
            <w:tcMar>
              <w:left w:w="28" w:type="dxa"/>
              <w:right w:w="28" w:type="dxa"/>
            </w:tcMar>
            <w:vAlign w:val="center"/>
          </w:tcPr>
          <w:p w14:paraId="01CBB56C" w14:textId="49D456B5" w:rsidR="0008774B" w:rsidRPr="00795F17" w:rsidRDefault="0008774B" w:rsidP="0065243A">
            <w:pPr>
              <w:pStyle w:val="Teksttabelisrodek"/>
            </w:pPr>
            <w:r w:rsidRPr="00795F17">
              <w:t>proc. ocen o</w:t>
            </w:r>
            <w:r w:rsidR="004449C6">
              <w:t> </w:t>
            </w:r>
            <w:r w:rsidRPr="00795F17">
              <w:t>wymaganej redukcji</w:t>
            </w:r>
          </w:p>
        </w:tc>
      </w:tr>
      <w:tr w:rsidR="0008774B" w:rsidRPr="00795F17" w14:paraId="6B1F8C13" w14:textId="77777777" w:rsidTr="005D42CC">
        <w:trPr>
          <w:trHeight w:val="454"/>
        </w:trPr>
        <w:tc>
          <w:tcPr>
            <w:tcW w:w="4248" w:type="dxa"/>
            <w:shd w:val="clear" w:color="auto" w:fill="auto"/>
            <w:noWrap/>
            <w:tcMar>
              <w:left w:w="28" w:type="dxa"/>
              <w:right w:w="28" w:type="dxa"/>
            </w:tcMar>
            <w:vAlign w:val="center"/>
            <w:hideMark/>
          </w:tcPr>
          <w:p w14:paraId="184E1D14" w14:textId="77B2F9FE" w:rsidR="0008774B" w:rsidRPr="00795F17" w:rsidRDefault="0008774B" w:rsidP="009B18FA">
            <w:pPr>
              <w:pStyle w:val="Teksttabelilewy"/>
              <w:ind w:left="57"/>
            </w:pPr>
            <w:r w:rsidRPr="00795F17">
              <w:t xml:space="preserve">Liczba </w:t>
            </w:r>
            <w:r w:rsidR="00DF005E">
              <w:t>JCWP</w:t>
            </w:r>
            <w:r w:rsidRPr="00795F17">
              <w:t>, w których stosowano działania i</w:t>
            </w:r>
            <w:r w:rsidR="003829E2">
              <w:t> </w:t>
            </w:r>
            <w:r w:rsidRPr="00795F17">
              <w:t>uzyskano skuteczność redukcji dla liczby oznaczeń</w:t>
            </w:r>
            <w:r w:rsidR="00486CBA">
              <w:t>.</w:t>
            </w:r>
          </w:p>
        </w:tc>
        <w:tc>
          <w:tcPr>
            <w:tcW w:w="653" w:type="dxa"/>
            <w:shd w:val="clear" w:color="auto" w:fill="auto"/>
            <w:noWrap/>
            <w:tcMar>
              <w:left w:w="28" w:type="dxa"/>
              <w:right w:w="28" w:type="dxa"/>
            </w:tcMar>
            <w:vAlign w:val="center"/>
            <w:hideMark/>
          </w:tcPr>
          <w:p w14:paraId="07BE36CD" w14:textId="77777777" w:rsidR="0008774B" w:rsidRPr="00795F17" w:rsidRDefault="0008774B" w:rsidP="0065243A">
            <w:pPr>
              <w:pStyle w:val="Teksttabelisrodek"/>
            </w:pPr>
            <w:r w:rsidRPr="00795F17">
              <w:t>571</w:t>
            </w:r>
          </w:p>
        </w:tc>
        <w:tc>
          <w:tcPr>
            <w:tcW w:w="764" w:type="dxa"/>
            <w:shd w:val="clear" w:color="auto" w:fill="auto"/>
            <w:noWrap/>
            <w:tcMar>
              <w:left w:w="28" w:type="dxa"/>
              <w:right w:w="28" w:type="dxa"/>
            </w:tcMar>
            <w:vAlign w:val="center"/>
            <w:hideMark/>
          </w:tcPr>
          <w:p w14:paraId="2749023C" w14:textId="77777777" w:rsidR="0008774B" w:rsidRPr="00795F17" w:rsidRDefault="0008774B" w:rsidP="0065243A">
            <w:pPr>
              <w:pStyle w:val="Teksttabelisrodek"/>
            </w:pPr>
            <w:r w:rsidRPr="00795F17">
              <w:t>99,7%</w:t>
            </w:r>
          </w:p>
        </w:tc>
        <w:tc>
          <w:tcPr>
            <w:tcW w:w="820" w:type="dxa"/>
            <w:tcMar>
              <w:left w:w="28" w:type="dxa"/>
              <w:right w:w="28" w:type="dxa"/>
            </w:tcMar>
            <w:vAlign w:val="center"/>
          </w:tcPr>
          <w:p w14:paraId="36E76E45" w14:textId="77777777" w:rsidR="0008774B" w:rsidRPr="00795F17" w:rsidRDefault="0008774B" w:rsidP="0065243A">
            <w:pPr>
              <w:pStyle w:val="Teksttabelisrodek"/>
            </w:pPr>
            <w:r w:rsidRPr="00795F17">
              <w:t>398</w:t>
            </w:r>
          </w:p>
        </w:tc>
        <w:tc>
          <w:tcPr>
            <w:tcW w:w="881" w:type="dxa"/>
            <w:tcMar>
              <w:left w:w="28" w:type="dxa"/>
              <w:right w:w="28" w:type="dxa"/>
            </w:tcMar>
            <w:vAlign w:val="center"/>
          </w:tcPr>
          <w:p w14:paraId="677E28ED" w14:textId="77777777" w:rsidR="0008774B" w:rsidRPr="00795F17" w:rsidRDefault="0008774B" w:rsidP="0065243A">
            <w:pPr>
              <w:pStyle w:val="Teksttabelisrodek"/>
            </w:pPr>
            <w:r w:rsidRPr="00795F17">
              <w:t>99,5%</w:t>
            </w:r>
          </w:p>
        </w:tc>
        <w:tc>
          <w:tcPr>
            <w:tcW w:w="1696" w:type="dxa"/>
            <w:tcMar>
              <w:left w:w="28" w:type="dxa"/>
              <w:right w:w="28" w:type="dxa"/>
            </w:tcMar>
            <w:vAlign w:val="center"/>
          </w:tcPr>
          <w:p w14:paraId="6DF50075" w14:textId="64E7736F" w:rsidR="0008774B" w:rsidRPr="00795F17" w:rsidRDefault="0008774B" w:rsidP="0065243A">
            <w:pPr>
              <w:pStyle w:val="Teksttabelisrodek"/>
            </w:pPr>
            <w:r w:rsidRPr="00795F17">
              <w:t>proc. ocen o</w:t>
            </w:r>
            <w:r w:rsidR="004449C6">
              <w:t> </w:t>
            </w:r>
            <w:r w:rsidRPr="00795F17">
              <w:t>wymaganej redukcji z</w:t>
            </w:r>
            <w:r w:rsidR="004449C6">
              <w:t> </w:t>
            </w:r>
            <w:r w:rsidRPr="00795F17">
              <w:t>działaniami</w:t>
            </w:r>
          </w:p>
        </w:tc>
      </w:tr>
      <w:tr w:rsidR="0008774B" w:rsidRPr="00795F17" w14:paraId="305DE7B3" w14:textId="77777777" w:rsidTr="005D42CC">
        <w:trPr>
          <w:trHeight w:val="454"/>
        </w:trPr>
        <w:tc>
          <w:tcPr>
            <w:tcW w:w="4248" w:type="dxa"/>
            <w:shd w:val="clear" w:color="auto" w:fill="auto"/>
            <w:noWrap/>
            <w:tcMar>
              <w:left w:w="28" w:type="dxa"/>
              <w:right w:w="28" w:type="dxa"/>
            </w:tcMar>
            <w:vAlign w:val="center"/>
            <w:hideMark/>
          </w:tcPr>
          <w:p w14:paraId="344DB39B" w14:textId="45C71C07" w:rsidR="0008774B" w:rsidRPr="00795F17" w:rsidRDefault="0008774B" w:rsidP="009B18FA">
            <w:pPr>
              <w:pStyle w:val="Teksttabelilewy"/>
              <w:ind w:left="57"/>
            </w:pPr>
            <w:r w:rsidRPr="00795F17">
              <w:t>Liczba działań dających założoną skuteczność redukcji dla liczby oznaczeń i maks. przekroczenie dla pojedynczego oznaczenia do 50%</w:t>
            </w:r>
            <w:r w:rsidR="00486CBA">
              <w:t>.</w:t>
            </w:r>
          </w:p>
        </w:tc>
        <w:tc>
          <w:tcPr>
            <w:tcW w:w="653" w:type="dxa"/>
            <w:shd w:val="clear" w:color="auto" w:fill="auto"/>
            <w:noWrap/>
            <w:tcMar>
              <w:left w:w="28" w:type="dxa"/>
              <w:right w:w="28" w:type="dxa"/>
            </w:tcMar>
            <w:vAlign w:val="center"/>
            <w:hideMark/>
          </w:tcPr>
          <w:p w14:paraId="23F02125" w14:textId="77777777" w:rsidR="0008774B" w:rsidRPr="00795F17" w:rsidRDefault="0008774B" w:rsidP="0065243A">
            <w:pPr>
              <w:pStyle w:val="Teksttabelisrodek"/>
            </w:pPr>
            <w:r w:rsidRPr="00795F17">
              <w:t>147</w:t>
            </w:r>
          </w:p>
        </w:tc>
        <w:tc>
          <w:tcPr>
            <w:tcW w:w="764" w:type="dxa"/>
            <w:shd w:val="clear" w:color="auto" w:fill="auto"/>
            <w:noWrap/>
            <w:tcMar>
              <w:left w:w="28" w:type="dxa"/>
              <w:right w:w="28" w:type="dxa"/>
            </w:tcMar>
            <w:vAlign w:val="center"/>
            <w:hideMark/>
          </w:tcPr>
          <w:p w14:paraId="4E344821" w14:textId="77777777" w:rsidR="0008774B" w:rsidRPr="00795F17" w:rsidRDefault="0008774B" w:rsidP="0065243A">
            <w:pPr>
              <w:pStyle w:val="Teksttabelisrodek"/>
            </w:pPr>
            <w:r w:rsidRPr="00795F17">
              <w:t>25,7%</w:t>
            </w:r>
          </w:p>
        </w:tc>
        <w:tc>
          <w:tcPr>
            <w:tcW w:w="820" w:type="dxa"/>
            <w:tcMar>
              <w:left w:w="28" w:type="dxa"/>
              <w:right w:w="28" w:type="dxa"/>
            </w:tcMar>
            <w:vAlign w:val="center"/>
          </w:tcPr>
          <w:p w14:paraId="46C002F6" w14:textId="77777777" w:rsidR="0008774B" w:rsidRPr="00795F17" w:rsidRDefault="0008774B" w:rsidP="0065243A">
            <w:pPr>
              <w:pStyle w:val="Teksttabelisrodek"/>
            </w:pPr>
            <w:r w:rsidRPr="00795F17">
              <w:t>130</w:t>
            </w:r>
          </w:p>
        </w:tc>
        <w:tc>
          <w:tcPr>
            <w:tcW w:w="881" w:type="dxa"/>
            <w:tcMar>
              <w:left w:w="28" w:type="dxa"/>
              <w:right w:w="28" w:type="dxa"/>
            </w:tcMar>
            <w:vAlign w:val="center"/>
          </w:tcPr>
          <w:p w14:paraId="4F3E8390" w14:textId="77777777" w:rsidR="0008774B" w:rsidRPr="00795F17" w:rsidRDefault="0008774B" w:rsidP="0065243A">
            <w:pPr>
              <w:pStyle w:val="Teksttabelisrodek"/>
            </w:pPr>
            <w:r w:rsidRPr="00795F17">
              <w:t>32,7%</w:t>
            </w:r>
          </w:p>
        </w:tc>
        <w:tc>
          <w:tcPr>
            <w:tcW w:w="1696" w:type="dxa"/>
            <w:tcMar>
              <w:left w:w="28" w:type="dxa"/>
              <w:right w:w="28" w:type="dxa"/>
            </w:tcMar>
            <w:vAlign w:val="center"/>
          </w:tcPr>
          <w:p w14:paraId="2C4A103E" w14:textId="77777777" w:rsidR="0008774B" w:rsidRPr="00795F17" w:rsidRDefault="0008774B" w:rsidP="0065243A">
            <w:pPr>
              <w:pStyle w:val="Teksttabelisrodek"/>
            </w:pPr>
            <w:r w:rsidRPr="00795F17">
              <w:t>proc. ocen jw., gdzie przekroczenia były niższe niż 50%</w:t>
            </w:r>
          </w:p>
        </w:tc>
      </w:tr>
    </w:tbl>
    <w:p w14:paraId="1D8E9B51" w14:textId="45285B6B" w:rsidR="00F833F1" w:rsidRDefault="0008774B" w:rsidP="0044393D">
      <w:pPr>
        <w:pStyle w:val="rdo"/>
      </w:pPr>
      <w:r w:rsidRPr="00795F17">
        <w:t xml:space="preserve">Źródło: </w:t>
      </w:r>
      <w:r w:rsidR="00FD7248" w:rsidRPr="00795F17">
        <w:t>opracowanie własne</w:t>
      </w:r>
    </w:p>
    <w:p w14:paraId="3847EC9E" w14:textId="77777777" w:rsidR="00F833F1" w:rsidRDefault="00F833F1">
      <w:pPr>
        <w:suppressAutoHyphens w:val="0"/>
        <w:spacing w:before="0" w:after="0"/>
        <w:jc w:val="left"/>
        <w:rPr>
          <w:rFonts w:asciiTheme="minorHAnsi" w:hAnsiTheme="minorHAnsi" w:cstheme="minorHAnsi"/>
          <w:i/>
          <w:iCs/>
          <w:color w:val="003399"/>
          <w:sz w:val="18"/>
          <w:szCs w:val="18"/>
        </w:rPr>
      </w:pPr>
      <w:r>
        <w:br w:type="page"/>
      </w:r>
    </w:p>
    <w:p w14:paraId="7C4C0C43" w14:textId="60221595" w:rsidR="0008774B" w:rsidRPr="00795F17" w:rsidRDefault="0008774B" w:rsidP="004D7705">
      <w:pPr>
        <w:pStyle w:val="Tabela"/>
      </w:pPr>
      <w:bookmarkStart w:id="876" w:name="_Toc66341974"/>
      <w:bookmarkStart w:id="877" w:name="_Toc105512903"/>
      <w:r w:rsidRPr="00795F17">
        <w:t xml:space="preserve">Tabela </w:t>
      </w:r>
      <w:fldSimple w:instr=" STYLEREF 1 \s ">
        <w:r w:rsidR="001F774D">
          <w:rPr>
            <w:noProof/>
          </w:rPr>
          <w:t>13</w:t>
        </w:r>
      </w:fldSimple>
      <w:r w:rsidR="00BB3B21" w:rsidRPr="00795F17">
        <w:noBreakHyphen/>
      </w:r>
      <w:fldSimple w:instr=" SEQ Tabela \* ARABIC \s 1 ">
        <w:r w:rsidR="001F774D">
          <w:rPr>
            <w:noProof/>
          </w:rPr>
          <w:t>17</w:t>
        </w:r>
      </w:fldSimple>
      <w:r w:rsidR="000B5450">
        <w:rPr>
          <w:noProof/>
        </w:rPr>
        <w:t>.</w:t>
      </w:r>
      <w:r w:rsidRPr="00795F17">
        <w:tab/>
        <w:t xml:space="preserve">Skuteczność działań dla kategorii </w:t>
      </w:r>
      <w:r w:rsidR="00DF005E">
        <w:t>JCWP</w:t>
      </w:r>
      <w:r w:rsidRPr="00795F17">
        <w:t xml:space="preserve"> jeziornych w zakresie oceny substancji priorytetowych w wodzie </w:t>
      </w:r>
      <w:r w:rsidR="00F52D81">
        <w:t>–</w:t>
      </w:r>
      <w:r w:rsidRPr="00795F17">
        <w:t xml:space="preserve"> analiza statystyczna obejmująca wszystkie obszary dorzeczy</w:t>
      </w:r>
      <w:bookmarkEnd w:id="876"/>
      <w:bookmarkEnd w:id="8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26"/>
        <w:gridCol w:w="652"/>
        <w:gridCol w:w="787"/>
        <w:gridCol w:w="787"/>
        <w:gridCol w:w="787"/>
        <w:gridCol w:w="1777"/>
      </w:tblGrid>
      <w:tr w:rsidR="0008774B" w:rsidRPr="00795F17" w14:paraId="569D2806" w14:textId="77777777" w:rsidTr="005D42CC">
        <w:trPr>
          <w:cantSplit/>
          <w:trHeight w:val="454"/>
          <w:tblHeader/>
        </w:trPr>
        <w:tc>
          <w:tcPr>
            <w:tcW w:w="4248" w:type="dxa"/>
            <w:shd w:val="clear" w:color="auto" w:fill="BFBFBF" w:themeFill="background1" w:themeFillShade="BF"/>
            <w:noWrap/>
            <w:tcMar>
              <w:left w:w="28" w:type="dxa"/>
              <w:right w:w="28" w:type="dxa"/>
            </w:tcMar>
            <w:vAlign w:val="center"/>
          </w:tcPr>
          <w:p w14:paraId="0C7F66EC" w14:textId="78BC0A6B" w:rsidR="0008774B" w:rsidRPr="00795F17" w:rsidRDefault="0008774B" w:rsidP="0044393D">
            <w:pPr>
              <w:pStyle w:val="Teksttabelinaglowek"/>
            </w:pPr>
            <w:r w:rsidRPr="00795F17">
              <w:t xml:space="preserve">Ocena skuteczności działań w </w:t>
            </w:r>
            <w:r w:rsidR="00DF005E">
              <w:t>JCWP</w:t>
            </w:r>
            <w:r w:rsidRPr="00795F17">
              <w:t xml:space="preserve"> LW</w:t>
            </w:r>
          </w:p>
        </w:tc>
        <w:tc>
          <w:tcPr>
            <w:tcW w:w="1446" w:type="dxa"/>
            <w:gridSpan w:val="2"/>
            <w:shd w:val="clear" w:color="auto" w:fill="BFBFBF" w:themeFill="background1" w:themeFillShade="BF"/>
            <w:noWrap/>
            <w:tcMar>
              <w:left w:w="28" w:type="dxa"/>
              <w:right w:w="28" w:type="dxa"/>
            </w:tcMar>
            <w:vAlign w:val="center"/>
          </w:tcPr>
          <w:p w14:paraId="0E9C1386" w14:textId="5967E4AE" w:rsidR="0008774B" w:rsidRPr="00795F17" w:rsidRDefault="0008774B" w:rsidP="0044393D">
            <w:pPr>
              <w:pStyle w:val="Teksttabelinaglowek"/>
            </w:pPr>
            <w:r w:rsidRPr="00795F17">
              <w:t xml:space="preserve">Liczba </w:t>
            </w:r>
            <w:r w:rsidR="00DF005E">
              <w:t>JCWP</w:t>
            </w:r>
          </w:p>
        </w:tc>
        <w:tc>
          <w:tcPr>
            <w:tcW w:w="1582" w:type="dxa"/>
            <w:gridSpan w:val="2"/>
            <w:shd w:val="clear" w:color="auto" w:fill="BFBFBF" w:themeFill="background1" w:themeFillShade="BF"/>
            <w:tcMar>
              <w:left w:w="28" w:type="dxa"/>
              <w:right w:w="28" w:type="dxa"/>
            </w:tcMar>
            <w:vAlign w:val="center"/>
          </w:tcPr>
          <w:p w14:paraId="14A5C078" w14:textId="423576A9" w:rsidR="0008774B" w:rsidRPr="00795F17" w:rsidRDefault="0008774B" w:rsidP="0044393D">
            <w:pPr>
              <w:pStyle w:val="Teksttabelinaglowek"/>
            </w:pPr>
            <w:r w:rsidRPr="00795F17">
              <w:t xml:space="preserve">Udział </w:t>
            </w:r>
            <w:r w:rsidRPr="00795F17">
              <w:br/>
              <w:t xml:space="preserve">w liczbie </w:t>
            </w:r>
            <w:r w:rsidR="00DF005E">
              <w:t>JCWP</w:t>
            </w:r>
            <w:r w:rsidRPr="00795F17">
              <w:t xml:space="preserve"> </w:t>
            </w:r>
            <w:r w:rsidR="00EA4FF5" w:rsidRPr="00795F17">
              <w:t>(%)</w:t>
            </w:r>
          </w:p>
        </w:tc>
        <w:tc>
          <w:tcPr>
            <w:tcW w:w="1786" w:type="dxa"/>
            <w:shd w:val="clear" w:color="auto" w:fill="BFBFBF" w:themeFill="background1" w:themeFillShade="BF"/>
            <w:tcMar>
              <w:left w:w="28" w:type="dxa"/>
              <w:right w:w="28" w:type="dxa"/>
            </w:tcMar>
            <w:vAlign w:val="center"/>
          </w:tcPr>
          <w:p w14:paraId="35D56554" w14:textId="77777777" w:rsidR="0008774B" w:rsidRPr="00795F17" w:rsidRDefault="0008774B" w:rsidP="0044393D">
            <w:pPr>
              <w:pStyle w:val="Teksttabelinaglowek"/>
            </w:pPr>
            <w:r w:rsidRPr="00795F17">
              <w:t>Uwagi</w:t>
            </w:r>
          </w:p>
        </w:tc>
      </w:tr>
      <w:tr w:rsidR="0008774B" w:rsidRPr="00795F17" w14:paraId="63B9ECEC" w14:textId="77777777" w:rsidTr="005D42CC">
        <w:trPr>
          <w:trHeight w:val="454"/>
        </w:trPr>
        <w:tc>
          <w:tcPr>
            <w:tcW w:w="4248" w:type="dxa"/>
            <w:shd w:val="clear" w:color="auto" w:fill="auto"/>
            <w:noWrap/>
            <w:tcMar>
              <w:left w:w="28" w:type="dxa"/>
              <w:right w:w="28" w:type="dxa"/>
            </w:tcMar>
            <w:vAlign w:val="center"/>
          </w:tcPr>
          <w:p w14:paraId="66154638" w14:textId="212440B0" w:rsidR="0008774B" w:rsidRPr="00795F17" w:rsidRDefault="0008774B" w:rsidP="009B18FA">
            <w:pPr>
              <w:pStyle w:val="Teksttabelilewy"/>
              <w:ind w:left="57"/>
            </w:pPr>
            <w:r w:rsidRPr="00795F17">
              <w:t xml:space="preserve">Liczba </w:t>
            </w:r>
            <w:r w:rsidR="00DF005E">
              <w:t>JCWP</w:t>
            </w:r>
            <w:r w:rsidRPr="00795F17">
              <w:t xml:space="preserve"> ze realizowanym lub zrealizowanym min. 1 zestawem działań ciągłych</w:t>
            </w:r>
            <w:r w:rsidR="00486CBA">
              <w:t>.</w:t>
            </w:r>
          </w:p>
        </w:tc>
        <w:tc>
          <w:tcPr>
            <w:tcW w:w="1446" w:type="dxa"/>
            <w:gridSpan w:val="2"/>
            <w:shd w:val="clear" w:color="auto" w:fill="auto"/>
            <w:noWrap/>
            <w:tcMar>
              <w:left w:w="28" w:type="dxa"/>
              <w:right w:w="28" w:type="dxa"/>
            </w:tcMar>
            <w:vAlign w:val="center"/>
          </w:tcPr>
          <w:p w14:paraId="5933BC97" w14:textId="77777777" w:rsidR="0008774B" w:rsidRPr="00795F17" w:rsidRDefault="0008774B" w:rsidP="0065243A">
            <w:pPr>
              <w:pStyle w:val="Teksttabelisrodek"/>
            </w:pPr>
            <w:r w:rsidRPr="00795F17">
              <w:t>686</w:t>
            </w:r>
          </w:p>
        </w:tc>
        <w:tc>
          <w:tcPr>
            <w:tcW w:w="1582" w:type="dxa"/>
            <w:gridSpan w:val="2"/>
            <w:tcMar>
              <w:left w:w="28" w:type="dxa"/>
              <w:right w:w="28" w:type="dxa"/>
            </w:tcMar>
            <w:vAlign w:val="center"/>
          </w:tcPr>
          <w:p w14:paraId="30D6DC6D" w14:textId="011AE373" w:rsidR="0008774B" w:rsidRPr="00795F17" w:rsidRDefault="0008774B" w:rsidP="0065243A">
            <w:pPr>
              <w:pStyle w:val="Teksttabelisrodek"/>
            </w:pPr>
            <w:r w:rsidRPr="00795F17">
              <w:t>65,7</w:t>
            </w:r>
          </w:p>
        </w:tc>
        <w:tc>
          <w:tcPr>
            <w:tcW w:w="1786" w:type="dxa"/>
            <w:tcMar>
              <w:left w:w="28" w:type="dxa"/>
              <w:right w:w="28" w:type="dxa"/>
            </w:tcMar>
            <w:vAlign w:val="center"/>
          </w:tcPr>
          <w:p w14:paraId="3DD306D5" w14:textId="77777777" w:rsidR="0008774B" w:rsidRPr="00795F17" w:rsidRDefault="0008774B" w:rsidP="0065243A">
            <w:pPr>
              <w:pStyle w:val="Teksttabelisrodek"/>
            </w:pPr>
            <w:r w:rsidRPr="00795F17">
              <w:t>-</w:t>
            </w:r>
          </w:p>
        </w:tc>
      </w:tr>
      <w:tr w:rsidR="0008774B" w:rsidRPr="00795F17" w14:paraId="73E7B598" w14:textId="77777777" w:rsidTr="005D42CC">
        <w:trPr>
          <w:trHeight w:val="454"/>
        </w:trPr>
        <w:tc>
          <w:tcPr>
            <w:tcW w:w="4248" w:type="dxa"/>
            <w:shd w:val="clear" w:color="auto" w:fill="auto"/>
            <w:noWrap/>
            <w:tcMar>
              <w:left w:w="28" w:type="dxa"/>
              <w:right w:w="28" w:type="dxa"/>
            </w:tcMar>
            <w:vAlign w:val="center"/>
            <w:hideMark/>
          </w:tcPr>
          <w:p w14:paraId="6EC307E0" w14:textId="524EE7B5" w:rsidR="0008774B" w:rsidRPr="00795F17" w:rsidRDefault="0008774B" w:rsidP="009B18FA">
            <w:pPr>
              <w:pStyle w:val="Teksttabelilewy"/>
              <w:ind w:left="57"/>
            </w:pPr>
            <w:r w:rsidRPr="00795F17">
              <w:t xml:space="preserve">Liczba </w:t>
            </w:r>
            <w:r w:rsidR="00DF005E">
              <w:t>JCWP</w:t>
            </w:r>
            <w:r w:rsidRPr="00795F17">
              <w:t xml:space="preserve"> ze zrealizowanym min. 1 działaniem jednorazowym</w:t>
            </w:r>
            <w:r w:rsidR="00486CBA">
              <w:t>.</w:t>
            </w:r>
          </w:p>
        </w:tc>
        <w:tc>
          <w:tcPr>
            <w:tcW w:w="1446" w:type="dxa"/>
            <w:gridSpan w:val="2"/>
            <w:shd w:val="clear" w:color="auto" w:fill="auto"/>
            <w:noWrap/>
            <w:tcMar>
              <w:left w:w="28" w:type="dxa"/>
              <w:right w:w="28" w:type="dxa"/>
            </w:tcMar>
            <w:vAlign w:val="center"/>
            <w:hideMark/>
          </w:tcPr>
          <w:p w14:paraId="4B121D07" w14:textId="77777777" w:rsidR="0008774B" w:rsidRPr="00795F17" w:rsidRDefault="0008774B" w:rsidP="0065243A">
            <w:pPr>
              <w:pStyle w:val="Teksttabelisrodek"/>
            </w:pPr>
            <w:r w:rsidRPr="00795F17">
              <w:t>14</w:t>
            </w:r>
          </w:p>
        </w:tc>
        <w:tc>
          <w:tcPr>
            <w:tcW w:w="1582" w:type="dxa"/>
            <w:gridSpan w:val="2"/>
            <w:tcMar>
              <w:left w:w="28" w:type="dxa"/>
              <w:right w:w="28" w:type="dxa"/>
            </w:tcMar>
            <w:vAlign w:val="center"/>
          </w:tcPr>
          <w:p w14:paraId="10F06ABD" w14:textId="7F945E62" w:rsidR="0008774B" w:rsidRPr="00795F17" w:rsidRDefault="0008774B" w:rsidP="0065243A">
            <w:pPr>
              <w:pStyle w:val="Teksttabelisrodek"/>
            </w:pPr>
            <w:r w:rsidRPr="00795F17">
              <w:t>1,3</w:t>
            </w:r>
          </w:p>
        </w:tc>
        <w:tc>
          <w:tcPr>
            <w:tcW w:w="1786" w:type="dxa"/>
            <w:tcMar>
              <w:left w:w="28" w:type="dxa"/>
              <w:right w:w="28" w:type="dxa"/>
            </w:tcMar>
            <w:vAlign w:val="center"/>
          </w:tcPr>
          <w:p w14:paraId="723B9C4A" w14:textId="77777777" w:rsidR="0008774B" w:rsidRPr="00795F17" w:rsidRDefault="0008774B" w:rsidP="0065243A">
            <w:pPr>
              <w:pStyle w:val="Teksttabelisrodek"/>
            </w:pPr>
            <w:r w:rsidRPr="00795F17">
              <w:t>-</w:t>
            </w:r>
          </w:p>
        </w:tc>
      </w:tr>
      <w:tr w:rsidR="0008774B" w:rsidRPr="00795F17" w14:paraId="2F29D4C9" w14:textId="77777777" w:rsidTr="005D42CC">
        <w:trPr>
          <w:trHeight w:val="454"/>
        </w:trPr>
        <w:tc>
          <w:tcPr>
            <w:tcW w:w="4248" w:type="dxa"/>
            <w:shd w:val="clear" w:color="auto" w:fill="auto"/>
            <w:noWrap/>
            <w:tcMar>
              <w:left w:w="28" w:type="dxa"/>
              <w:right w:w="28" w:type="dxa"/>
            </w:tcMar>
            <w:vAlign w:val="center"/>
            <w:hideMark/>
          </w:tcPr>
          <w:p w14:paraId="1B2E8C05" w14:textId="22765D60" w:rsidR="0008774B" w:rsidRPr="00795F17" w:rsidRDefault="0008774B" w:rsidP="009B18FA">
            <w:pPr>
              <w:pStyle w:val="Teksttabelilewy"/>
              <w:ind w:left="57"/>
            </w:pPr>
            <w:r w:rsidRPr="00795F17">
              <w:t xml:space="preserve">Liczba ocen </w:t>
            </w:r>
            <w:r w:rsidR="00DF005E">
              <w:t>JCWP</w:t>
            </w:r>
            <w:r w:rsidRPr="00795F17">
              <w:t xml:space="preserve"> z wynikami umożliwiającymi uwzględnienie w ocenie skuteczności </w:t>
            </w:r>
            <w:r w:rsidR="00486CBA">
              <w:t>.</w:t>
            </w:r>
          </w:p>
        </w:tc>
        <w:tc>
          <w:tcPr>
            <w:tcW w:w="1446" w:type="dxa"/>
            <w:gridSpan w:val="2"/>
            <w:shd w:val="clear" w:color="auto" w:fill="auto"/>
            <w:noWrap/>
            <w:tcMar>
              <w:left w:w="28" w:type="dxa"/>
              <w:right w:w="28" w:type="dxa"/>
            </w:tcMar>
            <w:vAlign w:val="center"/>
            <w:hideMark/>
          </w:tcPr>
          <w:p w14:paraId="63BE62C6" w14:textId="77777777" w:rsidR="0008774B" w:rsidRPr="00795F17" w:rsidRDefault="0008774B" w:rsidP="0065243A">
            <w:pPr>
              <w:pStyle w:val="Teksttabelisrodek"/>
            </w:pPr>
            <w:r w:rsidRPr="00795F17">
              <w:t>202</w:t>
            </w:r>
          </w:p>
        </w:tc>
        <w:tc>
          <w:tcPr>
            <w:tcW w:w="1582" w:type="dxa"/>
            <w:gridSpan w:val="2"/>
            <w:tcMar>
              <w:left w:w="28" w:type="dxa"/>
              <w:right w:w="28" w:type="dxa"/>
            </w:tcMar>
            <w:vAlign w:val="center"/>
          </w:tcPr>
          <w:p w14:paraId="19E0204C" w14:textId="79F5CADD" w:rsidR="0008774B" w:rsidRPr="00795F17" w:rsidRDefault="0008774B" w:rsidP="0065243A">
            <w:pPr>
              <w:pStyle w:val="Teksttabelisrodek"/>
            </w:pPr>
            <w:r w:rsidRPr="00795F17">
              <w:t>19,3</w:t>
            </w:r>
          </w:p>
        </w:tc>
        <w:tc>
          <w:tcPr>
            <w:tcW w:w="1786" w:type="dxa"/>
            <w:tcMar>
              <w:left w:w="28" w:type="dxa"/>
              <w:right w:w="28" w:type="dxa"/>
            </w:tcMar>
            <w:vAlign w:val="center"/>
          </w:tcPr>
          <w:p w14:paraId="4643B955" w14:textId="77777777" w:rsidR="0008774B" w:rsidRPr="00795F17" w:rsidRDefault="0008774B" w:rsidP="0065243A">
            <w:pPr>
              <w:pStyle w:val="Teksttabelisrodek"/>
            </w:pPr>
            <w:r w:rsidRPr="00795F17">
              <w:t>-</w:t>
            </w:r>
          </w:p>
        </w:tc>
      </w:tr>
      <w:tr w:rsidR="0008774B" w:rsidRPr="00795F17" w14:paraId="7C9E01AD" w14:textId="77777777" w:rsidTr="005D42CC">
        <w:trPr>
          <w:trHeight w:val="454"/>
        </w:trPr>
        <w:tc>
          <w:tcPr>
            <w:tcW w:w="4248" w:type="dxa"/>
            <w:shd w:val="clear" w:color="auto" w:fill="D9D9D9" w:themeFill="background1" w:themeFillShade="D9"/>
            <w:noWrap/>
            <w:tcMar>
              <w:left w:w="28" w:type="dxa"/>
              <w:right w:w="28" w:type="dxa"/>
            </w:tcMar>
            <w:vAlign w:val="center"/>
          </w:tcPr>
          <w:p w14:paraId="72D4F3DD" w14:textId="77777777" w:rsidR="0008774B" w:rsidRPr="00795F17" w:rsidRDefault="0008774B" w:rsidP="00CC513F">
            <w:pPr>
              <w:pStyle w:val="Teksttabelisrodek"/>
            </w:pPr>
            <w:r w:rsidRPr="00795F17">
              <w:t>Skuteczność redukcji stężeń oceniana jako odsetek wykonanych oznaczeń, dla których uzyskano redukcję stężenia</w:t>
            </w:r>
          </w:p>
        </w:tc>
        <w:tc>
          <w:tcPr>
            <w:tcW w:w="1446" w:type="dxa"/>
            <w:gridSpan w:val="2"/>
            <w:shd w:val="clear" w:color="auto" w:fill="D9D9D9" w:themeFill="background1" w:themeFillShade="D9"/>
            <w:noWrap/>
            <w:tcMar>
              <w:left w:w="28" w:type="dxa"/>
              <w:right w:w="28" w:type="dxa"/>
            </w:tcMar>
            <w:vAlign w:val="center"/>
          </w:tcPr>
          <w:p w14:paraId="6E9C651C" w14:textId="77777777" w:rsidR="0008774B" w:rsidRPr="00795F17" w:rsidRDefault="0008774B" w:rsidP="00CC513F">
            <w:pPr>
              <w:pStyle w:val="Teksttabelisrodek"/>
            </w:pPr>
            <w:r w:rsidRPr="00795F17">
              <w:t>Co najmniej 50% oznaczeń</w:t>
            </w:r>
          </w:p>
        </w:tc>
        <w:tc>
          <w:tcPr>
            <w:tcW w:w="1582" w:type="dxa"/>
            <w:gridSpan w:val="2"/>
            <w:shd w:val="clear" w:color="auto" w:fill="D9D9D9" w:themeFill="background1" w:themeFillShade="D9"/>
            <w:tcMar>
              <w:left w:w="28" w:type="dxa"/>
              <w:right w:w="28" w:type="dxa"/>
            </w:tcMar>
            <w:vAlign w:val="center"/>
          </w:tcPr>
          <w:p w14:paraId="00DFDEE2" w14:textId="77777777" w:rsidR="0008774B" w:rsidRPr="00795F17" w:rsidRDefault="0008774B" w:rsidP="00CC513F">
            <w:pPr>
              <w:pStyle w:val="Teksttabelisrodek"/>
            </w:pPr>
            <w:r w:rsidRPr="00795F17">
              <w:t>Co najmniej 85% oznaczeń</w:t>
            </w:r>
          </w:p>
        </w:tc>
        <w:tc>
          <w:tcPr>
            <w:tcW w:w="1786" w:type="dxa"/>
            <w:shd w:val="clear" w:color="auto" w:fill="D9D9D9" w:themeFill="background1" w:themeFillShade="D9"/>
            <w:tcMar>
              <w:left w:w="28" w:type="dxa"/>
              <w:right w:w="28" w:type="dxa"/>
            </w:tcMar>
            <w:vAlign w:val="center"/>
          </w:tcPr>
          <w:p w14:paraId="27763362" w14:textId="77777777" w:rsidR="0008774B" w:rsidRPr="00795F17" w:rsidRDefault="0008774B" w:rsidP="00CC513F">
            <w:pPr>
              <w:pStyle w:val="Teksttabelisrodek"/>
            </w:pPr>
            <w:r w:rsidRPr="00795F17">
              <w:t>Uwagi</w:t>
            </w:r>
          </w:p>
        </w:tc>
      </w:tr>
      <w:tr w:rsidR="0008774B" w:rsidRPr="00795F17" w14:paraId="21F4EFE5" w14:textId="77777777" w:rsidTr="005D42CC">
        <w:trPr>
          <w:trHeight w:val="454"/>
        </w:trPr>
        <w:tc>
          <w:tcPr>
            <w:tcW w:w="4248" w:type="dxa"/>
            <w:shd w:val="clear" w:color="auto" w:fill="auto"/>
            <w:noWrap/>
            <w:tcMar>
              <w:left w:w="28" w:type="dxa"/>
              <w:right w:w="28" w:type="dxa"/>
            </w:tcMar>
            <w:vAlign w:val="center"/>
            <w:hideMark/>
          </w:tcPr>
          <w:p w14:paraId="54B355B3" w14:textId="4E5D0AE6" w:rsidR="0008774B" w:rsidRPr="00795F17" w:rsidRDefault="0008774B" w:rsidP="009B18FA">
            <w:pPr>
              <w:pStyle w:val="Teksttabelilewy"/>
              <w:ind w:left="57"/>
            </w:pPr>
            <w:r w:rsidRPr="00795F17">
              <w:t xml:space="preserve">Liczba </w:t>
            </w:r>
            <w:r w:rsidR="00DF005E">
              <w:t>JCWP</w:t>
            </w:r>
            <w:r w:rsidRPr="00795F17">
              <w:t>, w których redukcja stężenia występuje w powyżej 50% oznaczeń (za istotne przyjęto pomiary o redukcji poniżej 20%)</w:t>
            </w:r>
            <w:r w:rsidR="00486CBA">
              <w:t>.</w:t>
            </w:r>
          </w:p>
        </w:tc>
        <w:tc>
          <w:tcPr>
            <w:tcW w:w="655" w:type="dxa"/>
            <w:shd w:val="clear" w:color="auto" w:fill="auto"/>
            <w:noWrap/>
            <w:tcMar>
              <w:left w:w="28" w:type="dxa"/>
              <w:right w:w="28" w:type="dxa"/>
            </w:tcMar>
            <w:vAlign w:val="center"/>
            <w:hideMark/>
          </w:tcPr>
          <w:p w14:paraId="7EEBA265" w14:textId="77777777" w:rsidR="0008774B" w:rsidRPr="00795F17" w:rsidRDefault="0008774B" w:rsidP="0065243A">
            <w:pPr>
              <w:pStyle w:val="Teksttabelisrodek"/>
            </w:pPr>
            <w:r w:rsidRPr="00795F17">
              <w:t>176</w:t>
            </w:r>
          </w:p>
        </w:tc>
        <w:tc>
          <w:tcPr>
            <w:tcW w:w="791" w:type="dxa"/>
            <w:shd w:val="clear" w:color="auto" w:fill="auto"/>
            <w:noWrap/>
            <w:tcMar>
              <w:left w:w="28" w:type="dxa"/>
              <w:right w:w="28" w:type="dxa"/>
            </w:tcMar>
            <w:vAlign w:val="center"/>
            <w:hideMark/>
          </w:tcPr>
          <w:p w14:paraId="30C1EBE3" w14:textId="77777777" w:rsidR="0008774B" w:rsidRPr="00795F17" w:rsidRDefault="0008774B" w:rsidP="0065243A">
            <w:pPr>
              <w:pStyle w:val="Teksttabelisrodek"/>
            </w:pPr>
            <w:r w:rsidRPr="00795F17">
              <w:t>87,1%</w:t>
            </w:r>
          </w:p>
        </w:tc>
        <w:tc>
          <w:tcPr>
            <w:tcW w:w="791" w:type="dxa"/>
            <w:tcMar>
              <w:left w:w="28" w:type="dxa"/>
              <w:right w:w="28" w:type="dxa"/>
            </w:tcMar>
            <w:vAlign w:val="center"/>
          </w:tcPr>
          <w:p w14:paraId="1A832C39" w14:textId="77777777" w:rsidR="0008774B" w:rsidRPr="00795F17" w:rsidRDefault="0008774B" w:rsidP="0065243A">
            <w:pPr>
              <w:pStyle w:val="Teksttabelisrodek"/>
            </w:pPr>
            <w:r w:rsidRPr="00795F17">
              <w:t>142</w:t>
            </w:r>
          </w:p>
        </w:tc>
        <w:tc>
          <w:tcPr>
            <w:tcW w:w="791" w:type="dxa"/>
            <w:tcMar>
              <w:left w:w="28" w:type="dxa"/>
              <w:right w:w="28" w:type="dxa"/>
            </w:tcMar>
            <w:vAlign w:val="center"/>
          </w:tcPr>
          <w:p w14:paraId="3544487F" w14:textId="77777777" w:rsidR="0008774B" w:rsidRPr="00795F17" w:rsidRDefault="0008774B" w:rsidP="0065243A">
            <w:pPr>
              <w:pStyle w:val="Teksttabelisrodek"/>
            </w:pPr>
            <w:r w:rsidRPr="00795F17">
              <w:t>70,3%</w:t>
            </w:r>
          </w:p>
        </w:tc>
        <w:tc>
          <w:tcPr>
            <w:tcW w:w="1786" w:type="dxa"/>
            <w:tcMar>
              <w:left w:w="28" w:type="dxa"/>
              <w:right w:w="28" w:type="dxa"/>
            </w:tcMar>
            <w:vAlign w:val="center"/>
          </w:tcPr>
          <w:p w14:paraId="179DF60C" w14:textId="77777777" w:rsidR="0008774B" w:rsidRPr="00795F17" w:rsidRDefault="0008774B" w:rsidP="0065243A">
            <w:pPr>
              <w:pStyle w:val="Teksttabelisrodek"/>
            </w:pPr>
            <w:r w:rsidRPr="00795F17">
              <w:t>proc. wykonanych ocen</w:t>
            </w:r>
          </w:p>
        </w:tc>
      </w:tr>
      <w:tr w:rsidR="0008774B" w:rsidRPr="00795F17" w14:paraId="0E3D346F" w14:textId="77777777" w:rsidTr="005D42CC">
        <w:trPr>
          <w:trHeight w:val="454"/>
        </w:trPr>
        <w:tc>
          <w:tcPr>
            <w:tcW w:w="4248" w:type="dxa"/>
            <w:shd w:val="clear" w:color="auto" w:fill="auto"/>
            <w:noWrap/>
            <w:tcMar>
              <w:left w:w="28" w:type="dxa"/>
              <w:right w:w="28" w:type="dxa"/>
            </w:tcMar>
            <w:vAlign w:val="center"/>
            <w:hideMark/>
          </w:tcPr>
          <w:p w14:paraId="4CA3ED3F" w14:textId="324D927F" w:rsidR="0008774B" w:rsidRPr="00795F17" w:rsidRDefault="0008774B" w:rsidP="009B18FA">
            <w:pPr>
              <w:pStyle w:val="Teksttabelilewy"/>
              <w:ind w:left="57"/>
            </w:pPr>
            <w:r w:rsidRPr="00795F17">
              <w:t xml:space="preserve">Liczba </w:t>
            </w:r>
            <w:r w:rsidR="00DF005E">
              <w:t>JCWP</w:t>
            </w:r>
            <w:r w:rsidRPr="00795F17">
              <w:t>, w których nie stwierdza się przekroczeń powyżej 50% wartości odchylenia od normy (kryterium przyjęte dla oceny skuteczności działań)</w:t>
            </w:r>
            <w:r w:rsidR="00486CBA">
              <w:t>.</w:t>
            </w:r>
          </w:p>
        </w:tc>
        <w:tc>
          <w:tcPr>
            <w:tcW w:w="655" w:type="dxa"/>
            <w:shd w:val="clear" w:color="auto" w:fill="auto"/>
            <w:noWrap/>
            <w:tcMar>
              <w:left w:w="28" w:type="dxa"/>
              <w:right w:w="28" w:type="dxa"/>
            </w:tcMar>
            <w:vAlign w:val="center"/>
            <w:hideMark/>
          </w:tcPr>
          <w:p w14:paraId="47D1678C" w14:textId="77777777" w:rsidR="0008774B" w:rsidRPr="00795F17" w:rsidRDefault="0008774B" w:rsidP="0065243A">
            <w:pPr>
              <w:pStyle w:val="Teksttabelisrodek"/>
            </w:pPr>
            <w:r w:rsidRPr="00795F17">
              <w:t>95</w:t>
            </w:r>
          </w:p>
        </w:tc>
        <w:tc>
          <w:tcPr>
            <w:tcW w:w="791" w:type="dxa"/>
            <w:shd w:val="clear" w:color="auto" w:fill="auto"/>
            <w:noWrap/>
            <w:tcMar>
              <w:left w:w="28" w:type="dxa"/>
              <w:right w:w="28" w:type="dxa"/>
            </w:tcMar>
            <w:vAlign w:val="center"/>
            <w:hideMark/>
          </w:tcPr>
          <w:p w14:paraId="477E41A5" w14:textId="77777777" w:rsidR="0008774B" w:rsidRPr="00795F17" w:rsidRDefault="0008774B" w:rsidP="0065243A">
            <w:pPr>
              <w:pStyle w:val="Teksttabelisrodek"/>
            </w:pPr>
            <w:r w:rsidRPr="00795F17">
              <w:t>54,0%</w:t>
            </w:r>
          </w:p>
        </w:tc>
        <w:tc>
          <w:tcPr>
            <w:tcW w:w="791" w:type="dxa"/>
            <w:tcMar>
              <w:left w:w="28" w:type="dxa"/>
              <w:right w:w="28" w:type="dxa"/>
            </w:tcMar>
            <w:vAlign w:val="center"/>
          </w:tcPr>
          <w:p w14:paraId="51A94456" w14:textId="77777777" w:rsidR="0008774B" w:rsidRPr="00795F17" w:rsidRDefault="0008774B" w:rsidP="0065243A">
            <w:pPr>
              <w:pStyle w:val="Teksttabelisrodek"/>
            </w:pPr>
            <w:r w:rsidRPr="00795F17">
              <w:t>95</w:t>
            </w:r>
          </w:p>
        </w:tc>
        <w:tc>
          <w:tcPr>
            <w:tcW w:w="791" w:type="dxa"/>
            <w:tcMar>
              <w:left w:w="28" w:type="dxa"/>
              <w:right w:w="28" w:type="dxa"/>
            </w:tcMar>
            <w:vAlign w:val="center"/>
          </w:tcPr>
          <w:p w14:paraId="65AF7892" w14:textId="77777777" w:rsidR="0008774B" w:rsidRPr="00795F17" w:rsidRDefault="0008774B" w:rsidP="0065243A">
            <w:pPr>
              <w:pStyle w:val="Teksttabelisrodek"/>
            </w:pPr>
            <w:r w:rsidRPr="00795F17">
              <w:t>66,9%</w:t>
            </w:r>
          </w:p>
        </w:tc>
        <w:tc>
          <w:tcPr>
            <w:tcW w:w="1786" w:type="dxa"/>
            <w:tcMar>
              <w:left w:w="28" w:type="dxa"/>
              <w:right w:w="28" w:type="dxa"/>
            </w:tcMar>
            <w:vAlign w:val="center"/>
          </w:tcPr>
          <w:p w14:paraId="17B1775F" w14:textId="4FC86379" w:rsidR="0008774B" w:rsidRPr="00795F17" w:rsidRDefault="0008774B" w:rsidP="0065243A">
            <w:pPr>
              <w:pStyle w:val="Teksttabelisrodek"/>
            </w:pPr>
            <w:r w:rsidRPr="00795F17">
              <w:t>proc. ocen o</w:t>
            </w:r>
            <w:r w:rsidR="00B05456">
              <w:t> </w:t>
            </w:r>
            <w:r w:rsidRPr="00795F17">
              <w:t>wymaganej redukcji</w:t>
            </w:r>
          </w:p>
        </w:tc>
      </w:tr>
      <w:tr w:rsidR="0008774B" w:rsidRPr="00795F17" w14:paraId="610883E0" w14:textId="77777777" w:rsidTr="005D42CC">
        <w:trPr>
          <w:trHeight w:val="454"/>
        </w:trPr>
        <w:tc>
          <w:tcPr>
            <w:tcW w:w="4248" w:type="dxa"/>
            <w:shd w:val="clear" w:color="auto" w:fill="auto"/>
            <w:noWrap/>
            <w:tcMar>
              <w:left w:w="28" w:type="dxa"/>
              <w:right w:w="28" w:type="dxa"/>
            </w:tcMar>
            <w:vAlign w:val="center"/>
            <w:hideMark/>
          </w:tcPr>
          <w:p w14:paraId="5D112D49" w14:textId="631DE4A5" w:rsidR="0008774B" w:rsidRPr="00795F17" w:rsidRDefault="0008774B" w:rsidP="009B18FA">
            <w:pPr>
              <w:pStyle w:val="Teksttabelilewy"/>
              <w:ind w:left="57"/>
            </w:pPr>
            <w:r w:rsidRPr="00795F17">
              <w:t xml:space="preserve">Liczba </w:t>
            </w:r>
            <w:r w:rsidR="00DF005E">
              <w:t>JCWP</w:t>
            </w:r>
            <w:r w:rsidRPr="00795F17">
              <w:t>, w których stosowano działania i</w:t>
            </w:r>
            <w:r w:rsidR="00137A5E">
              <w:t> </w:t>
            </w:r>
            <w:r w:rsidRPr="00795F17">
              <w:t>uzyskano skuteczność redukcji dla liczby oznaczeń</w:t>
            </w:r>
            <w:r w:rsidR="00486CBA">
              <w:t>.</w:t>
            </w:r>
          </w:p>
        </w:tc>
        <w:tc>
          <w:tcPr>
            <w:tcW w:w="655" w:type="dxa"/>
            <w:shd w:val="clear" w:color="auto" w:fill="auto"/>
            <w:noWrap/>
            <w:tcMar>
              <w:left w:w="28" w:type="dxa"/>
              <w:right w:w="28" w:type="dxa"/>
            </w:tcMar>
            <w:vAlign w:val="center"/>
            <w:hideMark/>
          </w:tcPr>
          <w:p w14:paraId="770334BD" w14:textId="77777777" w:rsidR="0008774B" w:rsidRPr="00795F17" w:rsidRDefault="0008774B" w:rsidP="0065243A">
            <w:pPr>
              <w:pStyle w:val="Teksttabelisrodek"/>
            </w:pPr>
            <w:r w:rsidRPr="00795F17">
              <w:t>107</w:t>
            </w:r>
          </w:p>
        </w:tc>
        <w:tc>
          <w:tcPr>
            <w:tcW w:w="791" w:type="dxa"/>
            <w:shd w:val="clear" w:color="auto" w:fill="auto"/>
            <w:noWrap/>
            <w:tcMar>
              <w:left w:w="28" w:type="dxa"/>
              <w:right w:w="28" w:type="dxa"/>
            </w:tcMar>
            <w:vAlign w:val="center"/>
            <w:hideMark/>
          </w:tcPr>
          <w:p w14:paraId="510B3417" w14:textId="77777777" w:rsidR="0008774B" w:rsidRPr="00795F17" w:rsidRDefault="0008774B" w:rsidP="0065243A">
            <w:pPr>
              <w:pStyle w:val="Teksttabelisrodek"/>
            </w:pPr>
            <w:r w:rsidRPr="00795F17">
              <w:t>60,8%</w:t>
            </w:r>
          </w:p>
        </w:tc>
        <w:tc>
          <w:tcPr>
            <w:tcW w:w="791" w:type="dxa"/>
            <w:tcMar>
              <w:left w:w="28" w:type="dxa"/>
              <w:right w:w="28" w:type="dxa"/>
            </w:tcMar>
            <w:vAlign w:val="center"/>
          </w:tcPr>
          <w:p w14:paraId="35DA32E5" w14:textId="77777777" w:rsidR="0008774B" w:rsidRPr="00795F17" w:rsidRDefault="0008774B" w:rsidP="0065243A">
            <w:pPr>
              <w:pStyle w:val="Teksttabelisrodek"/>
            </w:pPr>
            <w:r w:rsidRPr="00795F17">
              <w:t>91</w:t>
            </w:r>
          </w:p>
        </w:tc>
        <w:tc>
          <w:tcPr>
            <w:tcW w:w="791" w:type="dxa"/>
            <w:tcMar>
              <w:left w:w="28" w:type="dxa"/>
              <w:right w:w="28" w:type="dxa"/>
            </w:tcMar>
            <w:vAlign w:val="center"/>
          </w:tcPr>
          <w:p w14:paraId="0EDF3B2F" w14:textId="77777777" w:rsidR="0008774B" w:rsidRPr="00795F17" w:rsidRDefault="0008774B" w:rsidP="0065243A">
            <w:pPr>
              <w:pStyle w:val="Teksttabelisrodek"/>
            </w:pPr>
            <w:r w:rsidRPr="00795F17">
              <w:t>64,1%</w:t>
            </w:r>
          </w:p>
        </w:tc>
        <w:tc>
          <w:tcPr>
            <w:tcW w:w="1786" w:type="dxa"/>
            <w:tcMar>
              <w:left w:w="28" w:type="dxa"/>
              <w:right w:w="28" w:type="dxa"/>
            </w:tcMar>
            <w:vAlign w:val="center"/>
          </w:tcPr>
          <w:p w14:paraId="24EE3233" w14:textId="73AC2F14" w:rsidR="0008774B" w:rsidRPr="00795F17" w:rsidRDefault="0008774B" w:rsidP="0065243A">
            <w:pPr>
              <w:pStyle w:val="Teksttabelisrodek"/>
            </w:pPr>
            <w:r w:rsidRPr="00795F17">
              <w:t>proc. ocen o</w:t>
            </w:r>
            <w:r w:rsidR="00B05456">
              <w:t> </w:t>
            </w:r>
            <w:r w:rsidRPr="00795F17">
              <w:t>wymaganej redukcji z</w:t>
            </w:r>
            <w:r w:rsidR="00B05456">
              <w:t> </w:t>
            </w:r>
            <w:r w:rsidRPr="00795F17">
              <w:t>działaniami</w:t>
            </w:r>
          </w:p>
        </w:tc>
      </w:tr>
      <w:tr w:rsidR="0008774B" w:rsidRPr="00795F17" w14:paraId="5480D013" w14:textId="77777777" w:rsidTr="005D42CC">
        <w:trPr>
          <w:trHeight w:val="454"/>
        </w:trPr>
        <w:tc>
          <w:tcPr>
            <w:tcW w:w="4248" w:type="dxa"/>
            <w:shd w:val="clear" w:color="auto" w:fill="auto"/>
            <w:noWrap/>
            <w:tcMar>
              <w:left w:w="28" w:type="dxa"/>
              <w:right w:w="28" w:type="dxa"/>
            </w:tcMar>
            <w:vAlign w:val="center"/>
            <w:hideMark/>
          </w:tcPr>
          <w:p w14:paraId="1EB80ECE" w14:textId="7A0AA663" w:rsidR="0008774B" w:rsidRPr="00795F17" w:rsidRDefault="0008774B" w:rsidP="009B18FA">
            <w:pPr>
              <w:pStyle w:val="Teksttabelilewy"/>
              <w:ind w:left="57"/>
            </w:pPr>
            <w:r w:rsidRPr="00795F17">
              <w:t>Liczba działań dających założoną skuteczność redukcji dla liczby oznaczeń i maks. przekroczenie dla pojedynczego oznaczenia do 50%</w:t>
            </w:r>
            <w:r w:rsidR="00486CBA">
              <w:t>.</w:t>
            </w:r>
          </w:p>
        </w:tc>
        <w:tc>
          <w:tcPr>
            <w:tcW w:w="655" w:type="dxa"/>
            <w:shd w:val="clear" w:color="auto" w:fill="auto"/>
            <w:noWrap/>
            <w:tcMar>
              <w:left w:w="28" w:type="dxa"/>
              <w:right w:w="28" w:type="dxa"/>
            </w:tcMar>
            <w:vAlign w:val="center"/>
            <w:hideMark/>
          </w:tcPr>
          <w:p w14:paraId="161CB3EE" w14:textId="77777777" w:rsidR="0008774B" w:rsidRPr="00795F17" w:rsidRDefault="0008774B" w:rsidP="0065243A">
            <w:pPr>
              <w:pStyle w:val="Teksttabelisrodek"/>
            </w:pPr>
            <w:r w:rsidRPr="00795F17">
              <w:t>60</w:t>
            </w:r>
          </w:p>
        </w:tc>
        <w:tc>
          <w:tcPr>
            <w:tcW w:w="791" w:type="dxa"/>
            <w:shd w:val="clear" w:color="auto" w:fill="auto"/>
            <w:noWrap/>
            <w:tcMar>
              <w:left w:w="28" w:type="dxa"/>
              <w:right w:w="28" w:type="dxa"/>
            </w:tcMar>
            <w:vAlign w:val="center"/>
            <w:hideMark/>
          </w:tcPr>
          <w:p w14:paraId="662F62B0" w14:textId="77777777" w:rsidR="0008774B" w:rsidRPr="00795F17" w:rsidRDefault="0008774B" w:rsidP="0065243A">
            <w:pPr>
              <w:pStyle w:val="Teksttabelisrodek"/>
            </w:pPr>
            <w:r w:rsidRPr="00795F17">
              <w:t>56,1%</w:t>
            </w:r>
          </w:p>
        </w:tc>
        <w:tc>
          <w:tcPr>
            <w:tcW w:w="791" w:type="dxa"/>
            <w:tcMar>
              <w:left w:w="28" w:type="dxa"/>
              <w:right w:w="28" w:type="dxa"/>
            </w:tcMar>
            <w:vAlign w:val="center"/>
          </w:tcPr>
          <w:p w14:paraId="42E9E0BD" w14:textId="77777777" w:rsidR="0008774B" w:rsidRPr="00795F17" w:rsidRDefault="0008774B" w:rsidP="0065243A">
            <w:pPr>
              <w:pStyle w:val="Teksttabelisrodek"/>
            </w:pPr>
            <w:r w:rsidRPr="00795F17">
              <w:t>60</w:t>
            </w:r>
          </w:p>
        </w:tc>
        <w:tc>
          <w:tcPr>
            <w:tcW w:w="791" w:type="dxa"/>
            <w:tcMar>
              <w:left w:w="28" w:type="dxa"/>
              <w:right w:w="28" w:type="dxa"/>
            </w:tcMar>
            <w:vAlign w:val="center"/>
          </w:tcPr>
          <w:p w14:paraId="215F9498" w14:textId="77777777" w:rsidR="0008774B" w:rsidRPr="00795F17" w:rsidRDefault="0008774B" w:rsidP="0065243A">
            <w:pPr>
              <w:pStyle w:val="Teksttabelisrodek"/>
            </w:pPr>
            <w:r w:rsidRPr="00795F17">
              <w:t>65,9%</w:t>
            </w:r>
          </w:p>
        </w:tc>
        <w:tc>
          <w:tcPr>
            <w:tcW w:w="1786" w:type="dxa"/>
            <w:tcMar>
              <w:left w:w="28" w:type="dxa"/>
              <w:right w:w="28" w:type="dxa"/>
            </w:tcMar>
            <w:vAlign w:val="center"/>
          </w:tcPr>
          <w:p w14:paraId="6DC90990" w14:textId="35BC606E" w:rsidR="0008774B" w:rsidRPr="00795F17" w:rsidRDefault="0008774B" w:rsidP="00DA4F98">
            <w:pPr>
              <w:pStyle w:val="Teksttabelisrodek"/>
            </w:pPr>
            <w:r w:rsidRPr="00795F17">
              <w:t>proc. ocen jw., gdzie przekroczenia były niższe niż 50%</w:t>
            </w:r>
          </w:p>
        </w:tc>
      </w:tr>
    </w:tbl>
    <w:p w14:paraId="0764DA26" w14:textId="759B7EE2" w:rsidR="0008774B" w:rsidRPr="00795F17" w:rsidRDefault="0008774B" w:rsidP="0044393D">
      <w:pPr>
        <w:pStyle w:val="rdo"/>
      </w:pPr>
      <w:r w:rsidRPr="00795F17">
        <w:t xml:space="preserve">Źródło: </w:t>
      </w:r>
      <w:r w:rsidR="00FD7248" w:rsidRPr="00795F17">
        <w:t>opracowanie własne</w:t>
      </w:r>
    </w:p>
    <w:p w14:paraId="666C8B29" w14:textId="3A298109" w:rsidR="00DC3514" w:rsidRDefault="0008774B" w:rsidP="0044393D">
      <w:r w:rsidRPr="00795F17">
        <w:t>Przedstawione obliczenia skuteczności wprowadzania działań</w:t>
      </w:r>
      <w:r w:rsidR="00305444" w:rsidRPr="00795F17">
        <w:t xml:space="preserve"> (tabele 13-1</w:t>
      </w:r>
      <w:r w:rsidR="00CA7837" w:rsidRPr="00795F17">
        <w:t>8</w:t>
      </w:r>
      <w:r w:rsidR="00305444" w:rsidRPr="00795F17">
        <w:t xml:space="preserve"> i 13-1</w:t>
      </w:r>
      <w:r w:rsidR="00CA7837" w:rsidRPr="00795F17">
        <w:t>9</w:t>
      </w:r>
      <w:r w:rsidR="00305444" w:rsidRPr="00795F17">
        <w:t>)</w:t>
      </w:r>
      <w:r w:rsidRPr="00795F17">
        <w:t>, odniesione do</w:t>
      </w:r>
      <w:r w:rsidR="00D40FDB" w:rsidRPr="00795F17">
        <w:t> </w:t>
      </w:r>
      <w:r w:rsidRPr="00795F17">
        <w:t xml:space="preserve">całego obszaru kraju, wykonane dla 13% </w:t>
      </w:r>
      <w:r w:rsidR="00DF005E">
        <w:t>JCWP</w:t>
      </w:r>
      <w:r w:rsidRPr="00795F17">
        <w:t xml:space="preserve"> </w:t>
      </w:r>
      <w:r w:rsidR="00C65453">
        <w:t>RW</w:t>
      </w:r>
      <w:r w:rsidR="00C65453" w:rsidRPr="00795F17">
        <w:t xml:space="preserve"> </w:t>
      </w:r>
      <w:r w:rsidRPr="00795F17">
        <w:t xml:space="preserve">i 19% </w:t>
      </w:r>
      <w:r w:rsidR="00DF005E">
        <w:t>JCWP</w:t>
      </w:r>
      <w:r w:rsidRPr="00795F17">
        <w:t xml:space="preserve"> </w:t>
      </w:r>
      <w:r w:rsidR="00C65453">
        <w:t>LW</w:t>
      </w:r>
      <w:r w:rsidR="00C65453" w:rsidRPr="00795F17">
        <w:t xml:space="preserve"> </w:t>
      </w:r>
      <w:r w:rsidR="00112057">
        <w:t>–</w:t>
      </w:r>
      <w:r w:rsidRPr="00795F17">
        <w:t xml:space="preserve"> wskazują, że</w:t>
      </w:r>
      <w:r w:rsidR="00137A5E">
        <w:t> </w:t>
      </w:r>
      <w:r w:rsidRPr="00795F17">
        <w:t>w</w:t>
      </w:r>
      <w:r w:rsidR="00137A5E">
        <w:t> </w:t>
      </w:r>
      <w:r w:rsidRPr="00795F17">
        <w:t xml:space="preserve">badanych </w:t>
      </w:r>
      <w:r w:rsidR="00DF005E">
        <w:t>JCWP</w:t>
      </w:r>
      <w:r w:rsidRPr="00795F17">
        <w:t xml:space="preserve"> uzyskuje się wysoki odsetek oznaczeń z redukcją stężenia. Jednocześnie zauważa się znaczący udział </w:t>
      </w:r>
      <w:r w:rsidR="00DF005E">
        <w:t>JCWP</w:t>
      </w:r>
      <w:r w:rsidRPr="00795F17">
        <w:t xml:space="preserve">, w których nie stwierdza się przekroczeń stężenia powyżej 50%, co jest przyjętym w opracowaniu </w:t>
      </w:r>
      <w:r w:rsidRPr="00795F17">
        <w:rPr>
          <w:i/>
          <w:iCs/>
        </w:rPr>
        <w:t xml:space="preserve">Analiza znaczących oddziaływań </w:t>
      </w:r>
      <w:r w:rsidR="00F52D81">
        <w:rPr>
          <w:i/>
          <w:iCs/>
        </w:rPr>
        <w:t>–</w:t>
      </w:r>
      <w:r w:rsidRPr="00795F17">
        <w:rPr>
          <w:i/>
          <w:iCs/>
        </w:rPr>
        <w:t xml:space="preserve"> </w:t>
      </w:r>
      <w:r w:rsidR="00DF005E">
        <w:rPr>
          <w:i/>
          <w:iCs/>
        </w:rPr>
        <w:t>JCWP</w:t>
      </w:r>
      <w:r w:rsidRPr="00795F17">
        <w:rPr>
          <w:i/>
          <w:iCs/>
        </w:rPr>
        <w:t xml:space="preserve"> (…)</w:t>
      </w:r>
      <w:r w:rsidR="00A57A31">
        <w:rPr>
          <w:rStyle w:val="Odwoanieprzypisudolnego"/>
          <w:i/>
          <w:iCs/>
        </w:rPr>
        <w:footnoteReference w:id="108"/>
      </w:r>
      <w:r w:rsidRPr="00795F17">
        <w:t xml:space="preserve"> granicznym kryterium wystąpienia presji znaczącej.</w:t>
      </w:r>
    </w:p>
    <w:p w14:paraId="3D89FD14" w14:textId="77777777" w:rsidR="00DC3514" w:rsidRDefault="00DC3514">
      <w:pPr>
        <w:suppressAutoHyphens w:val="0"/>
        <w:spacing w:before="0" w:after="0"/>
        <w:jc w:val="left"/>
      </w:pPr>
      <w:r>
        <w:br w:type="page"/>
      </w:r>
    </w:p>
    <w:p w14:paraId="07AC4F2D" w14:textId="16A2D989" w:rsidR="0008774B" w:rsidRPr="00795F17" w:rsidRDefault="0008774B" w:rsidP="004D7705">
      <w:pPr>
        <w:pStyle w:val="Tabela"/>
      </w:pPr>
      <w:bookmarkStart w:id="878" w:name="_Toc66341975"/>
      <w:bookmarkStart w:id="879" w:name="_Toc105512904"/>
      <w:r w:rsidRPr="00795F17">
        <w:t xml:space="preserve">Tabela </w:t>
      </w:r>
      <w:fldSimple w:instr=" STYLEREF 1 \s ">
        <w:r w:rsidR="001F774D">
          <w:rPr>
            <w:noProof/>
          </w:rPr>
          <w:t>13</w:t>
        </w:r>
      </w:fldSimple>
      <w:r w:rsidR="00BB3B21" w:rsidRPr="00795F17">
        <w:noBreakHyphen/>
      </w:r>
      <w:fldSimple w:instr=" SEQ Tabela \* ARABIC \s 1 ">
        <w:r w:rsidR="001F774D">
          <w:rPr>
            <w:noProof/>
          </w:rPr>
          <w:t>18</w:t>
        </w:r>
      </w:fldSimple>
      <w:r w:rsidR="000B5450">
        <w:rPr>
          <w:noProof/>
        </w:rPr>
        <w:t>.</w:t>
      </w:r>
      <w:r w:rsidRPr="00795F17">
        <w:tab/>
        <w:t xml:space="preserve">Skuteczność działań dla kategorii </w:t>
      </w:r>
      <w:r w:rsidR="00DF005E">
        <w:t>JCWP</w:t>
      </w:r>
      <w:r w:rsidRPr="00795F17">
        <w:t xml:space="preserve"> rzeczne w zakresie oceny substancji priorytetowych w</w:t>
      </w:r>
      <w:r w:rsidR="00DA61C3">
        <w:t> </w:t>
      </w:r>
      <w:r w:rsidRPr="00795F17">
        <w:t xml:space="preserve">wodzie </w:t>
      </w:r>
      <w:r w:rsidR="00F52D81">
        <w:t>–</w:t>
      </w:r>
      <w:r w:rsidRPr="00795F17">
        <w:t xml:space="preserve"> analiza statystyczna obejmująca obszar dorzecza Odry</w:t>
      </w:r>
      <w:bookmarkEnd w:id="878"/>
      <w:bookmarkEnd w:id="8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26"/>
        <w:gridCol w:w="652"/>
        <w:gridCol w:w="787"/>
        <w:gridCol w:w="787"/>
        <w:gridCol w:w="787"/>
        <w:gridCol w:w="1777"/>
      </w:tblGrid>
      <w:tr w:rsidR="0008774B" w:rsidRPr="00795F17" w14:paraId="2DD7C58C" w14:textId="77777777" w:rsidTr="009B18FA">
        <w:trPr>
          <w:trHeight w:val="454"/>
        </w:trPr>
        <w:tc>
          <w:tcPr>
            <w:tcW w:w="4248" w:type="dxa"/>
            <w:shd w:val="clear" w:color="auto" w:fill="BFBFBF" w:themeFill="background1" w:themeFillShade="BF"/>
            <w:noWrap/>
            <w:tcMar>
              <w:left w:w="28" w:type="dxa"/>
              <w:right w:w="28" w:type="dxa"/>
            </w:tcMar>
            <w:vAlign w:val="center"/>
          </w:tcPr>
          <w:p w14:paraId="78662D83" w14:textId="343F6C26" w:rsidR="0008774B" w:rsidRPr="00795F17" w:rsidRDefault="0008774B" w:rsidP="0044393D">
            <w:pPr>
              <w:pStyle w:val="Teksttabelinaglowek"/>
            </w:pPr>
            <w:r w:rsidRPr="00795F17">
              <w:t xml:space="preserve">Ocena skuteczności działań w </w:t>
            </w:r>
            <w:r w:rsidR="00DF005E">
              <w:t>JCWP</w:t>
            </w:r>
            <w:r w:rsidRPr="00795F17">
              <w:t xml:space="preserve"> RW</w:t>
            </w:r>
          </w:p>
        </w:tc>
        <w:tc>
          <w:tcPr>
            <w:tcW w:w="1446" w:type="dxa"/>
            <w:gridSpan w:val="2"/>
            <w:shd w:val="clear" w:color="auto" w:fill="BFBFBF" w:themeFill="background1" w:themeFillShade="BF"/>
            <w:noWrap/>
            <w:tcMar>
              <w:left w:w="28" w:type="dxa"/>
              <w:right w:w="28" w:type="dxa"/>
            </w:tcMar>
            <w:vAlign w:val="center"/>
          </w:tcPr>
          <w:p w14:paraId="02ECF554" w14:textId="1BEF6EEE" w:rsidR="0008774B" w:rsidRPr="00795F17" w:rsidRDefault="0008774B" w:rsidP="0044393D">
            <w:pPr>
              <w:pStyle w:val="Teksttabelinaglowek"/>
            </w:pPr>
            <w:r w:rsidRPr="00795F17">
              <w:t xml:space="preserve">Liczba </w:t>
            </w:r>
            <w:r w:rsidR="00DF005E">
              <w:t>JCWP</w:t>
            </w:r>
          </w:p>
        </w:tc>
        <w:tc>
          <w:tcPr>
            <w:tcW w:w="1582" w:type="dxa"/>
            <w:gridSpan w:val="2"/>
            <w:shd w:val="clear" w:color="auto" w:fill="BFBFBF" w:themeFill="background1" w:themeFillShade="BF"/>
            <w:tcMar>
              <w:left w:w="28" w:type="dxa"/>
              <w:right w:w="28" w:type="dxa"/>
            </w:tcMar>
            <w:vAlign w:val="center"/>
          </w:tcPr>
          <w:p w14:paraId="578C3902" w14:textId="6FD23216" w:rsidR="0008774B" w:rsidRPr="00795F17" w:rsidRDefault="0008774B" w:rsidP="0044393D">
            <w:pPr>
              <w:pStyle w:val="Teksttabelinaglowek"/>
            </w:pPr>
            <w:r w:rsidRPr="00795F17">
              <w:t xml:space="preserve">Udział </w:t>
            </w:r>
            <w:r w:rsidRPr="00795F17">
              <w:br/>
              <w:t xml:space="preserve">w liczbie </w:t>
            </w:r>
            <w:r w:rsidR="00DF005E">
              <w:t>JCWP</w:t>
            </w:r>
            <w:r w:rsidRPr="00795F17">
              <w:t xml:space="preserve"> </w:t>
            </w:r>
            <w:r w:rsidR="00EA4FF5" w:rsidRPr="00795F17">
              <w:t>(%)</w:t>
            </w:r>
          </w:p>
        </w:tc>
        <w:tc>
          <w:tcPr>
            <w:tcW w:w="1786" w:type="dxa"/>
            <w:shd w:val="clear" w:color="auto" w:fill="BFBFBF" w:themeFill="background1" w:themeFillShade="BF"/>
            <w:tcMar>
              <w:left w:w="28" w:type="dxa"/>
              <w:right w:w="28" w:type="dxa"/>
            </w:tcMar>
            <w:vAlign w:val="center"/>
          </w:tcPr>
          <w:p w14:paraId="3973E2FD" w14:textId="77777777" w:rsidR="0008774B" w:rsidRPr="00795F17" w:rsidRDefault="0008774B" w:rsidP="0044393D">
            <w:pPr>
              <w:pStyle w:val="Teksttabelinaglowek"/>
            </w:pPr>
            <w:r w:rsidRPr="00795F17">
              <w:t>Uwagi</w:t>
            </w:r>
          </w:p>
        </w:tc>
      </w:tr>
      <w:tr w:rsidR="0008774B" w:rsidRPr="00795F17" w14:paraId="7486D4F9" w14:textId="77777777" w:rsidTr="009B18FA">
        <w:trPr>
          <w:trHeight w:val="454"/>
        </w:trPr>
        <w:tc>
          <w:tcPr>
            <w:tcW w:w="4248" w:type="dxa"/>
            <w:shd w:val="clear" w:color="auto" w:fill="auto"/>
            <w:noWrap/>
            <w:tcMar>
              <w:left w:w="28" w:type="dxa"/>
              <w:right w:w="28" w:type="dxa"/>
            </w:tcMar>
            <w:vAlign w:val="center"/>
          </w:tcPr>
          <w:p w14:paraId="49C26A32" w14:textId="22E23D6F" w:rsidR="0008774B" w:rsidRPr="00795F17" w:rsidRDefault="0008774B" w:rsidP="009B18FA">
            <w:pPr>
              <w:pStyle w:val="Teksttabelilewy"/>
              <w:ind w:leftChars="57" w:left="125"/>
            </w:pPr>
            <w:r w:rsidRPr="00795F17">
              <w:t xml:space="preserve">Liczba </w:t>
            </w:r>
            <w:r w:rsidR="00DF005E">
              <w:t>JCWP</w:t>
            </w:r>
            <w:r w:rsidRPr="00795F17">
              <w:t xml:space="preserve"> ze realizowanym lub zrealizowanym min. 1 zestawem działań ciągłych</w:t>
            </w:r>
            <w:r w:rsidR="00486CBA">
              <w:t>.</w:t>
            </w:r>
          </w:p>
        </w:tc>
        <w:tc>
          <w:tcPr>
            <w:tcW w:w="1446" w:type="dxa"/>
            <w:gridSpan w:val="2"/>
            <w:shd w:val="clear" w:color="auto" w:fill="auto"/>
            <w:noWrap/>
            <w:tcMar>
              <w:left w:w="28" w:type="dxa"/>
              <w:right w:w="28" w:type="dxa"/>
            </w:tcMar>
            <w:vAlign w:val="center"/>
          </w:tcPr>
          <w:p w14:paraId="4270CDF1" w14:textId="77777777" w:rsidR="0008774B" w:rsidRPr="00795F17" w:rsidRDefault="0008774B" w:rsidP="0065243A">
            <w:pPr>
              <w:pStyle w:val="Teksttabelisrodek"/>
            </w:pPr>
            <w:r w:rsidRPr="00795F17">
              <w:t>1163</w:t>
            </w:r>
          </w:p>
        </w:tc>
        <w:tc>
          <w:tcPr>
            <w:tcW w:w="1582" w:type="dxa"/>
            <w:gridSpan w:val="2"/>
            <w:tcMar>
              <w:left w:w="28" w:type="dxa"/>
              <w:right w:w="28" w:type="dxa"/>
            </w:tcMar>
            <w:vAlign w:val="center"/>
          </w:tcPr>
          <w:p w14:paraId="7C995EDA" w14:textId="00619AF6" w:rsidR="0008774B" w:rsidRPr="00795F17" w:rsidRDefault="0008774B" w:rsidP="0065243A">
            <w:pPr>
              <w:pStyle w:val="Teksttabelisrodek"/>
            </w:pPr>
            <w:r w:rsidRPr="00795F17">
              <w:t>67,0</w:t>
            </w:r>
          </w:p>
        </w:tc>
        <w:tc>
          <w:tcPr>
            <w:tcW w:w="1786" w:type="dxa"/>
            <w:tcMar>
              <w:left w:w="28" w:type="dxa"/>
              <w:right w:w="28" w:type="dxa"/>
            </w:tcMar>
            <w:vAlign w:val="center"/>
          </w:tcPr>
          <w:p w14:paraId="22D8DC44" w14:textId="77777777" w:rsidR="0008774B" w:rsidRPr="00795F17" w:rsidRDefault="0008774B" w:rsidP="0065243A">
            <w:pPr>
              <w:pStyle w:val="Teksttabelisrodek"/>
            </w:pPr>
            <w:r w:rsidRPr="00795F17">
              <w:t>-</w:t>
            </w:r>
          </w:p>
        </w:tc>
      </w:tr>
      <w:tr w:rsidR="0008774B" w:rsidRPr="00795F17" w14:paraId="7AC03BE6" w14:textId="77777777" w:rsidTr="009B18FA">
        <w:trPr>
          <w:trHeight w:val="454"/>
        </w:trPr>
        <w:tc>
          <w:tcPr>
            <w:tcW w:w="4248" w:type="dxa"/>
            <w:shd w:val="clear" w:color="auto" w:fill="auto"/>
            <w:noWrap/>
            <w:tcMar>
              <w:left w:w="28" w:type="dxa"/>
              <w:right w:w="28" w:type="dxa"/>
            </w:tcMar>
            <w:vAlign w:val="center"/>
            <w:hideMark/>
          </w:tcPr>
          <w:p w14:paraId="73A53E1A" w14:textId="3D784C02" w:rsidR="0008774B" w:rsidRPr="00795F17" w:rsidRDefault="0008774B" w:rsidP="009B18FA">
            <w:pPr>
              <w:pStyle w:val="Teksttabelilewy"/>
              <w:ind w:leftChars="57" w:left="125"/>
            </w:pPr>
            <w:r w:rsidRPr="00795F17">
              <w:t xml:space="preserve">Liczba </w:t>
            </w:r>
            <w:r w:rsidR="00DF005E">
              <w:t>JCWP</w:t>
            </w:r>
            <w:r w:rsidRPr="00795F17">
              <w:t xml:space="preserve"> ze zrealizowanym min. 1 działaniem jednorazowym</w:t>
            </w:r>
            <w:r w:rsidR="00486CBA">
              <w:t>.</w:t>
            </w:r>
          </w:p>
        </w:tc>
        <w:tc>
          <w:tcPr>
            <w:tcW w:w="1446" w:type="dxa"/>
            <w:gridSpan w:val="2"/>
            <w:shd w:val="clear" w:color="auto" w:fill="auto"/>
            <w:noWrap/>
            <w:tcMar>
              <w:left w:w="28" w:type="dxa"/>
              <w:right w:w="28" w:type="dxa"/>
            </w:tcMar>
            <w:vAlign w:val="center"/>
            <w:hideMark/>
          </w:tcPr>
          <w:p w14:paraId="254C7025" w14:textId="77777777" w:rsidR="0008774B" w:rsidRPr="00795F17" w:rsidRDefault="0008774B" w:rsidP="0065243A">
            <w:pPr>
              <w:pStyle w:val="Teksttabelisrodek"/>
            </w:pPr>
            <w:r w:rsidRPr="00795F17">
              <w:t>340</w:t>
            </w:r>
          </w:p>
        </w:tc>
        <w:tc>
          <w:tcPr>
            <w:tcW w:w="1582" w:type="dxa"/>
            <w:gridSpan w:val="2"/>
            <w:tcMar>
              <w:left w:w="28" w:type="dxa"/>
              <w:right w:w="28" w:type="dxa"/>
            </w:tcMar>
            <w:vAlign w:val="center"/>
          </w:tcPr>
          <w:p w14:paraId="0077094C" w14:textId="3B826CBD" w:rsidR="0008774B" w:rsidRPr="00795F17" w:rsidRDefault="0008774B" w:rsidP="0065243A">
            <w:pPr>
              <w:pStyle w:val="Teksttabelisrodek"/>
            </w:pPr>
            <w:r w:rsidRPr="00795F17">
              <w:t>19,6</w:t>
            </w:r>
          </w:p>
        </w:tc>
        <w:tc>
          <w:tcPr>
            <w:tcW w:w="1786" w:type="dxa"/>
            <w:tcMar>
              <w:left w:w="28" w:type="dxa"/>
              <w:right w:w="28" w:type="dxa"/>
            </w:tcMar>
            <w:vAlign w:val="center"/>
          </w:tcPr>
          <w:p w14:paraId="71AC5184" w14:textId="77777777" w:rsidR="0008774B" w:rsidRPr="00795F17" w:rsidRDefault="0008774B" w:rsidP="0065243A">
            <w:pPr>
              <w:pStyle w:val="Teksttabelisrodek"/>
            </w:pPr>
            <w:r w:rsidRPr="00795F17">
              <w:t>-</w:t>
            </w:r>
          </w:p>
        </w:tc>
      </w:tr>
      <w:tr w:rsidR="0008774B" w:rsidRPr="00795F17" w14:paraId="6C28C703" w14:textId="77777777" w:rsidTr="009B18FA">
        <w:trPr>
          <w:trHeight w:val="454"/>
        </w:trPr>
        <w:tc>
          <w:tcPr>
            <w:tcW w:w="4248" w:type="dxa"/>
            <w:shd w:val="clear" w:color="auto" w:fill="auto"/>
            <w:noWrap/>
            <w:tcMar>
              <w:left w:w="28" w:type="dxa"/>
              <w:right w:w="28" w:type="dxa"/>
            </w:tcMar>
            <w:vAlign w:val="center"/>
            <w:hideMark/>
          </w:tcPr>
          <w:p w14:paraId="3BC6D12E" w14:textId="2787E418" w:rsidR="0008774B" w:rsidRPr="00795F17" w:rsidRDefault="0008774B" w:rsidP="009B18FA">
            <w:pPr>
              <w:pStyle w:val="Teksttabelilewy"/>
              <w:ind w:leftChars="57" w:left="125"/>
            </w:pPr>
            <w:r w:rsidRPr="00795F17">
              <w:t xml:space="preserve">Liczba ocen </w:t>
            </w:r>
            <w:r w:rsidR="00DF005E">
              <w:t>JCWP</w:t>
            </w:r>
            <w:r w:rsidRPr="00795F17">
              <w:t xml:space="preserve"> z wynikami umożliwiającymi uwzględnienie w ocenie skuteczności </w:t>
            </w:r>
            <w:r w:rsidR="00486CBA">
              <w:t>.</w:t>
            </w:r>
          </w:p>
        </w:tc>
        <w:tc>
          <w:tcPr>
            <w:tcW w:w="1446" w:type="dxa"/>
            <w:gridSpan w:val="2"/>
            <w:shd w:val="clear" w:color="auto" w:fill="auto"/>
            <w:noWrap/>
            <w:tcMar>
              <w:left w:w="28" w:type="dxa"/>
              <w:right w:w="28" w:type="dxa"/>
            </w:tcMar>
            <w:vAlign w:val="center"/>
            <w:hideMark/>
          </w:tcPr>
          <w:p w14:paraId="55539778" w14:textId="77777777" w:rsidR="0008774B" w:rsidRPr="00795F17" w:rsidRDefault="0008774B" w:rsidP="0065243A">
            <w:pPr>
              <w:pStyle w:val="Teksttabelisrodek"/>
            </w:pPr>
            <w:r w:rsidRPr="00795F17">
              <w:t>245</w:t>
            </w:r>
          </w:p>
        </w:tc>
        <w:tc>
          <w:tcPr>
            <w:tcW w:w="1582" w:type="dxa"/>
            <w:gridSpan w:val="2"/>
            <w:tcMar>
              <w:left w:w="28" w:type="dxa"/>
              <w:right w:w="28" w:type="dxa"/>
            </w:tcMar>
            <w:vAlign w:val="center"/>
          </w:tcPr>
          <w:p w14:paraId="02E6B48F" w14:textId="1592704C" w:rsidR="0008774B" w:rsidRPr="00795F17" w:rsidRDefault="0008774B" w:rsidP="0065243A">
            <w:pPr>
              <w:pStyle w:val="Teksttabelisrodek"/>
            </w:pPr>
            <w:r w:rsidRPr="00795F17">
              <w:t>14,1</w:t>
            </w:r>
          </w:p>
        </w:tc>
        <w:tc>
          <w:tcPr>
            <w:tcW w:w="1786" w:type="dxa"/>
            <w:tcMar>
              <w:left w:w="28" w:type="dxa"/>
              <w:right w:w="28" w:type="dxa"/>
            </w:tcMar>
            <w:vAlign w:val="center"/>
          </w:tcPr>
          <w:p w14:paraId="67A97CE2" w14:textId="77777777" w:rsidR="0008774B" w:rsidRPr="00795F17" w:rsidRDefault="0008774B" w:rsidP="0065243A">
            <w:pPr>
              <w:pStyle w:val="Teksttabelisrodek"/>
            </w:pPr>
            <w:r w:rsidRPr="00795F17">
              <w:t>-</w:t>
            </w:r>
          </w:p>
        </w:tc>
      </w:tr>
      <w:tr w:rsidR="0008774B" w:rsidRPr="00795F17" w14:paraId="4DF13EBB" w14:textId="77777777" w:rsidTr="009B18FA">
        <w:trPr>
          <w:trHeight w:val="454"/>
        </w:trPr>
        <w:tc>
          <w:tcPr>
            <w:tcW w:w="4248" w:type="dxa"/>
            <w:shd w:val="clear" w:color="auto" w:fill="D9D9D9" w:themeFill="background1" w:themeFillShade="D9"/>
            <w:noWrap/>
            <w:tcMar>
              <w:left w:w="28" w:type="dxa"/>
              <w:right w:w="28" w:type="dxa"/>
            </w:tcMar>
            <w:vAlign w:val="center"/>
          </w:tcPr>
          <w:p w14:paraId="7367B7EC" w14:textId="77777777" w:rsidR="0008774B" w:rsidRPr="00795F17" w:rsidRDefault="0008774B" w:rsidP="00CC513F">
            <w:pPr>
              <w:pStyle w:val="Teksttabelisrodek"/>
            </w:pPr>
            <w:r w:rsidRPr="00795F17">
              <w:t>Skuteczność redukcji stężeń oceniana jako odsetek wykonanych oznaczeń, dla których uzyskano redukcję stężenia</w:t>
            </w:r>
          </w:p>
        </w:tc>
        <w:tc>
          <w:tcPr>
            <w:tcW w:w="1446" w:type="dxa"/>
            <w:gridSpan w:val="2"/>
            <w:shd w:val="clear" w:color="auto" w:fill="D9D9D9" w:themeFill="background1" w:themeFillShade="D9"/>
            <w:noWrap/>
            <w:tcMar>
              <w:left w:w="28" w:type="dxa"/>
              <w:right w:w="28" w:type="dxa"/>
            </w:tcMar>
            <w:vAlign w:val="center"/>
          </w:tcPr>
          <w:p w14:paraId="6D07C00F" w14:textId="77777777" w:rsidR="0008774B" w:rsidRPr="00795F17" w:rsidRDefault="0008774B" w:rsidP="00CC513F">
            <w:pPr>
              <w:pStyle w:val="Teksttabelisrodek"/>
            </w:pPr>
            <w:r w:rsidRPr="00795F17">
              <w:t>Powyżej 50% oznaczeń</w:t>
            </w:r>
          </w:p>
        </w:tc>
        <w:tc>
          <w:tcPr>
            <w:tcW w:w="1582" w:type="dxa"/>
            <w:gridSpan w:val="2"/>
            <w:shd w:val="clear" w:color="auto" w:fill="D9D9D9" w:themeFill="background1" w:themeFillShade="D9"/>
            <w:tcMar>
              <w:left w:w="28" w:type="dxa"/>
              <w:right w:w="28" w:type="dxa"/>
            </w:tcMar>
            <w:vAlign w:val="center"/>
          </w:tcPr>
          <w:p w14:paraId="5D5FEBDE" w14:textId="77777777" w:rsidR="0008774B" w:rsidRPr="00795F17" w:rsidRDefault="0008774B" w:rsidP="00CC513F">
            <w:pPr>
              <w:pStyle w:val="Teksttabelisrodek"/>
            </w:pPr>
            <w:r w:rsidRPr="00795F17">
              <w:t>Powyżej 85% oznaczeń</w:t>
            </w:r>
          </w:p>
        </w:tc>
        <w:tc>
          <w:tcPr>
            <w:tcW w:w="1786" w:type="dxa"/>
            <w:shd w:val="clear" w:color="auto" w:fill="D9D9D9" w:themeFill="background1" w:themeFillShade="D9"/>
            <w:tcMar>
              <w:left w:w="28" w:type="dxa"/>
              <w:right w:w="28" w:type="dxa"/>
            </w:tcMar>
            <w:vAlign w:val="center"/>
          </w:tcPr>
          <w:p w14:paraId="43E89D8F" w14:textId="77777777" w:rsidR="0008774B" w:rsidRPr="00795F17" w:rsidRDefault="0008774B" w:rsidP="00CC513F">
            <w:pPr>
              <w:pStyle w:val="Teksttabelisrodek"/>
            </w:pPr>
            <w:r w:rsidRPr="00795F17">
              <w:t>Uwagi</w:t>
            </w:r>
          </w:p>
        </w:tc>
      </w:tr>
      <w:tr w:rsidR="0008774B" w:rsidRPr="00795F17" w14:paraId="4BE85982" w14:textId="77777777" w:rsidTr="009B18FA">
        <w:trPr>
          <w:trHeight w:val="454"/>
        </w:trPr>
        <w:tc>
          <w:tcPr>
            <w:tcW w:w="4248" w:type="dxa"/>
            <w:shd w:val="clear" w:color="auto" w:fill="auto"/>
            <w:noWrap/>
            <w:tcMar>
              <w:left w:w="28" w:type="dxa"/>
              <w:right w:w="28" w:type="dxa"/>
            </w:tcMar>
            <w:vAlign w:val="center"/>
            <w:hideMark/>
          </w:tcPr>
          <w:p w14:paraId="3B006639" w14:textId="584D41CB" w:rsidR="0008774B" w:rsidRPr="00795F17" w:rsidRDefault="0008774B" w:rsidP="009B18FA">
            <w:pPr>
              <w:pStyle w:val="Teksttabelilewy"/>
              <w:ind w:left="57"/>
            </w:pPr>
            <w:r w:rsidRPr="00795F17">
              <w:t xml:space="preserve">Liczba </w:t>
            </w:r>
            <w:r w:rsidR="00DF005E">
              <w:t>JCWP</w:t>
            </w:r>
            <w:r w:rsidRPr="00795F17">
              <w:t>, w których redukcja stężenia występuje w powyżej 50% oznaczeń (za istotne przyjęto pomiary o redukcji poniżej 20%)</w:t>
            </w:r>
            <w:r w:rsidR="00486CBA">
              <w:t>.</w:t>
            </w:r>
          </w:p>
        </w:tc>
        <w:tc>
          <w:tcPr>
            <w:tcW w:w="655" w:type="dxa"/>
            <w:shd w:val="clear" w:color="auto" w:fill="auto"/>
            <w:noWrap/>
            <w:tcMar>
              <w:left w:w="28" w:type="dxa"/>
              <w:right w:w="28" w:type="dxa"/>
            </w:tcMar>
            <w:vAlign w:val="center"/>
          </w:tcPr>
          <w:p w14:paraId="195E6DD4" w14:textId="77777777" w:rsidR="0008774B" w:rsidRPr="00795F17" w:rsidRDefault="0008774B" w:rsidP="0065243A">
            <w:pPr>
              <w:pStyle w:val="Teksttabelisrodek"/>
            </w:pPr>
            <w:r w:rsidRPr="00795F17">
              <w:t>232</w:t>
            </w:r>
          </w:p>
        </w:tc>
        <w:tc>
          <w:tcPr>
            <w:tcW w:w="791" w:type="dxa"/>
            <w:shd w:val="clear" w:color="auto" w:fill="auto"/>
            <w:noWrap/>
            <w:tcMar>
              <w:left w:w="28" w:type="dxa"/>
              <w:right w:w="28" w:type="dxa"/>
            </w:tcMar>
            <w:vAlign w:val="center"/>
          </w:tcPr>
          <w:p w14:paraId="56A81EAD" w14:textId="77777777" w:rsidR="0008774B" w:rsidRPr="00795F17" w:rsidRDefault="0008774B" w:rsidP="0065243A">
            <w:pPr>
              <w:pStyle w:val="Teksttabelisrodek"/>
            </w:pPr>
            <w:r w:rsidRPr="00795F17">
              <w:t>94,7%</w:t>
            </w:r>
          </w:p>
        </w:tc>
        <w:tc>
          <w:tcPr>
            <w:tcW w:w="791" w:type="dxa"/>
            <w:tcMar>
              <w:left w:w="28" w:type="dxa"/>
              <w:right w:w="28" w:type="dxa"/>
            </w:tcMar>
            <w:vAlign w:val="center"/>
          </w:tcPr>
          <w:p w14:paraId="0AADC9B0" w14:textId="77777777" w:rsidR="0008774B" w:rsidRPr="00795F17" w:rsidRDefault="0008774B" w:rsidP="0065243A">
            <w:pPr>
              <w:pStyle w:val="Teksttabelisrodek"/>
            </w:pPr>
            <w:r w:rsidRPr="00795F17">
              <w:t>164</w:t>
            </w:r>
          </w:p>
        </w:tc>
        <w:tc>
          <w:tcPr>
            <w:tcW w:w="791" w:type="dxa"/>
            <w:tcMar>
              <w:left w:w="28" w:type="dxa"/>
              <w:right w:w="28" w:type="dxa"/>
            </w:tcMar>
            <w:vAlign w:val="center"/>
          </w:tcPr>
          <w:p w14:paraId="481F1B8F" w14:textId="77777777" w:rsidR="0008774B" w:rsidRPr="00795F17" w:rsidRDefault="0008774B" w:rsidP="0065243A">
            <w:pPr>
              <w:pStyle w:val="Teksttabelisrodek"/>
            </w:pPr>
            <w:r w:rsidRPr="00795F17">
              <w:t>66,9%</w:t>
            </w:r>
          </w:p>
        </w:tc>
        <w:tc>
          <w:tcPr>
            <w:tcW w:w="1786" w:type="dxa"/>
            <w:tcMar>
              <w:left w:w="28" w:type="dxa"/>
              <w:right w:w="28" w:type="dxa"/>
            </w:tcMar>
            <w:vAlign w:val="center"/>
          </w:tcPr>
          <w:p w14:paraId="6C7126BF" w14:textId="77777777" w:rsidR="0008774B" w:rsidRPr="00795F17" w:rsidRDefault="0008774B" w:rsidP="0065243A">
            <w:pPr>
              <w:pStyle w:val="Teksttabelisrodek"/>
            </w:pPr>
            <w:r w:rsidRPr="00795F17">
              <w:t>proc. wykonanych ocen</w:t>
            </w:r>
          </w:p>
        </w:tc>
      </w:tr>
      <w:tr w:rsidR="0008774B" w:rsidRPr="00795F17" w14:paraId="2EFE7C8F" w14:textId="77777777" w:rsidTr="009B18FA">
        <w:trPr>
          <w:trHeight w:val="454"/>
        </w:trPr>
        <w:tc>
          <w:tcPr>
            <w:tcW w:w="4248" w:type="dxa"/>
            <w:shd w:val="clear" w:color="auto" w:fill="auto"/>
            <w:noWrap/>
            <w:tcMar>
              <w:left w:w="28" w:type="dxa"/>
              <w:right w:w="28" w:type="dxa"/>
            </w:tcMar>
            <w:vAlign w:val="center"/>
            <w:hideMark/>
          </w:tcPr>
          <w:p w14:paraId="2BBEAE43" w14:textId="470874C3" w:rsidR="0008774B" w:rsidRPr="00795F17" w:rsidRDefault="0008774B" w:rsidP="009B18FA">
            <w:pPr>
              <w:pStyle w:val="Teksttabelilewy"/>
              <w:ind w:left="57"/>
            </w:pPr>
            <w:r w:rsidRPr="00795F17">
              <w:t xml:space="preserve">Liczba </w:t>
            </w:r>
            <w:r w:rsidR="00DF005E">
              <w:t>JCWP</w:t>
            </w:r>
            <w:r w:rsidRPr="00795F17">
              <w:t>, w których nie stwierdzono przekroczeń powyżej 50% wartości odchylenia od normy (kryterium przyjęte dla oceny skuteczności działań)</w:t>
            </w:r>
            <w:r w:rsidR="00486CBA">
              <w:t>.</w:t>
            </w:r>
          </w:p>
        </w:tc>
        <w:tc>
          <w:tcPr>
            <w:tcW w:w="655" w:type="dxa"/>
            <w:shd w:val="clear" w:color="auto" w:fill="auto"/>
            <w:noWrap/>
            <w:tcMar>
              <w:left w:w="28" w:type="dxa"/>
              <w:right w:w="28" w:type="dxa"/>
            </w:tcMar>
            <w:vAlign w:val="center"/>
          </w:tcPr>
          <w:p w14:paraId="4D30189B" w14:textId="77777777" w:rsidR="0008774B" w:rsidRPr="00795F17" w:rsidRDefault="0008774B" w:rsidP="0065243A">
            <w:pPr>
              <w:pStyle w:val="Teksttabelisrodek"/>
            </w:pPr>
            <w:r w:rsidRPr="00795F17">
              <w:t>55</w:t>
            </w:r>
          </w:p>
        </w:tc>
        <w:tc>
          <w:tcPr>
            <w:tcW w:w="791" w:type="dxa"/>
            <w:shd w:val="clear" w:color="auto" w:fill="auto"/>
            <w:noWrap/>
            <w:tcMar>
              <w:left w:w="28" w:type="dxa"/>
              <w:right w:w="28" w:type="dxa"/>
            </w:tcMar>
            <w:vAlign w:val="center"/>
          </w:tcPr>
          <w:p w14:paraId="492CCB19" w14:textId="77777777" w:rsidR="0008774B" w:rsidRPr="00795F17" w:rsidRDefault="0008774B" w:rsidP="0065243A">
            <w:pPr>
              <w:pStyle w:val="Teksttabelisrodek"/>
            </w:pPr>
            <w:r w:rsidRPr="00795F17">
              <w:t>23,7%</w:t>
            </w:r>
          </w:p>
        </w:tc>
        <w:tc>
          <w:tcPr>
            <w:tcW w:w="791" w:type="dxa"/>
            <w:tcMar>
              <w:left w:w="28" w:type="dxa"/>
              <w:right w:w="28" w:type="dxa"/>
            </w:tcMar>
            <w:vAlign w:val="center"/>
          </w:tcPr>
          <w:p w14:paraId="56786149" w14:textId="77777777" w:rsidR="0008774B" w:rsidRPr="00795F17" w:rsidRDefault="0008774B" w:rsidP="0065243A">
            <w:pPr>
              <w:pStyle w:val="Teksttabelisrodek"/>
            </w:pPr>
            <w:r w:rsidRPr="00795F17">
              <w:t>55</w:t>
            </w:r>
          </w:p>
        </w:tc>
        <w:tc>
          <w:tcPr>
            <w:tcW w:w="791" w:type="dxa"/>
            <w:tcMar>
              <w:left w:w="28" w:type="dxa"/>
              <w:right w:w="28" w:type="dxa"/>
            </w:tcMar>
            <w:vAlign w:val="center"/>
          </w:tcPr>
          <w:p w14:paraId="63391A3D" w14:textId="77777777" w:rsidR="0008774B" w:rsidRPr="00795F17" w:rsidRDefault="0008774B" w:rsidP="0065243A">
            <w:pPr>
              <w:pStyle w:val="Teksttabelisrodek"/>
            </w:pPr>
            <w:r w:rsidRPr="00795F17">
              <w:t>33,5%</w:t>
            </w:r>
          </w:p>
        </w:tc>
        <w:tc>
          <w:tcPr>
            <w:tcW w:w="1786" w:type="dxa"/>
            <w:tcMar>
              <w:left w:w="28" w:type="dxa"/>
              <w:right w:w="28" w:type="dxa"/>
            </w:tcMar>
            <w:vAlign w:val="center"/>
          </w:tcPr>
          <w:p w14:paraId="20B08581" w14:textId="7F9FA128" w:rsidR="0008774B" w:rsidRPr="00795F17" w:rsidRDefault="0008774B" w:rsidP="0065243A">
            <w:pPr>
              <w:pStyle w:val="Teksttabelisrodek"/>
            </w:pPr>
            <w:r w:rsidRPr="00795F17">
              <w:t>proc. ocen o</w:t>
            </w:r>
            <w:r w:rsidR="00DA61C3">
              <w:t> </w:t>
            </w:r>
            <w:r w:rsidRPr="00795F17">
              <w:t>wymaganej redukcji</w:t>
            </w:r>
          </w:p>
        </w:tc>
      </w:tr>
      <w:tr w:rsidR="0008774B" w:rsidRPr="00795F17" w14:paraId="224A8BA5" w14:textId="77777777" w:rsidTr="009B18FA">
        <w:trPr>
          <w:trHeight w:val="454"/>
        </w:trPr>
        <w:tc>
          <w:tcPr>
            <w:tcW w:w="4248" w:type="dxa"/>
            <w:shd w:val="clear" w:color="auto" w:fill="auto"/>
            <w:noWrap/>
            <w:tcMar>
              <w:left w:w="28" w:type="dxa"/>
              <w:right w:w="28" w:type="dxa"/>
            </w:tcMar>
            <w:vAlign w:val="center"/>
            <w:hideMark/>
          </w:tcPr>
          <w:p w14:paraId="73FD337E" w14:textId="471D85FD" w:rsidR="0008774B" w:rsidRPr="00795F17" w:rsidRDefault="0008774B" w:rsidP="009B18FA">
            <w:pPr>
              <w:pStyle w:val="Teksttabelilewy"/>
              <w:ind w:left="57"/>
            </w:pPr>
            <w:r w:rsidRPr="00795F17">
              <w:t xml:space="preserve">Liczba </w:t>
            </w:r>
            <w:r w:rsidR="00DF005E">
              <w:t>JCWP</w:t>
            </w:r>
            <w:r w:rsidRPr="00795F17">
              <w:t>, w których stosowano działania i</w:t>
            </w:r>
            <w:r w:rsidR="00DA61C3">
              <w:t> </w:t>
            </w:r>
            <w:r w:rsidRPr="00795F17">
              <w:t>uzyskano skuteczność redukcji dla liczby oznaczeń</w:t>
            </w:r>
            <w:r w:rsidR="00486CBA">
              <w:t>.</w:t>
            </w:r>
          </w:p>
        </w:tc>
        <w:tc>
          <w:tcPr>
            <w:tcW w:w="655" w:type="dxa"/>
            <w:shd w:val="clear" w:color="auto" w:fill="auto"/>
            <w:noWrap/>
            <w:tcMar>
              <w:left w:w="28" w:type="dxa"/>
              <w:right w:w="28" w:type="dxa"/>
            </w:tcMar>
            <w:vAlign w:val="center"/>
          </w:tcPr>
          <w:p w14:paraId="53AD55CB" w14:textId="77777777" w:rsidR="0008774B" w:rsidRPr="00795F17" w:rsidRDefault="0008774B" w:rsidP="0065243A">
            <w:pPr>
              <w:pStyle w:val="Teksttabelisrodek"/>
            </w:pPr>
            <w:r w:rsidRPr="00795F17">
              <w:t>232</w:t>
            </w:r>
          </w:p>
        </w:tc>
        <w:tc>
          <w:tcPr>
            <w:tcW w:w="791" w:type="dxa"/>
            <w:shd w:val="clear" w:color="auto" w:fill="auto"/>
            <w:noWrap/>
            <w:tcMar>
              <w:left w:w="28" w:type="dxa"/>
              <w:right w:w="28" w:type="dxa"/>
            </w:tcMar>
            <w:vAlign w:val="center"/>
          </w:tcPr>
          <w:p w14:paraId="3BC131AD" w14:textId="77777777" w:rsidR="0008774B" w:rsidRPr="00795F17" w:rsidRDefault="0008774B" w:rsidP="0065243A">
            <w:pPr>
              <w:pStyle w:val="Teksttabelisrodek"/>
            </w:pPr>
            <w:r w:rsidRPr="00795F17">
              <w:t>100,0%</w:t>
            </w:r>
          </w:p>
        </w:tc>
        <w:tc>
          <w:tcPr>
            <w:tcW w:w="791" w:type="dxa"/>
            <w:tcMar>
              <w:left w:w="28" w:type="dxa"/>
              <w:right w:w="28" w:type="dxa"/>
            </w:tcMar>
            <w:vAlign w:val="center"/>
          </w:tcPr>
          <w:p w14:paraId="7D9B8705" w14:textId="77777777" w:rsidR="0008774B" w:rsidRPr="00795F17" w:rsidRDefault="0008774B" w:rsidP="0065243A">
            <w:pPr>
              <w:pStyle w:val="Teksttabelisrodek"/>
            </w:pPr>
            <w:r w:rsidRPr="00795F17">
              <w:t>164</w:t>
            </w:r>
          </w:p>
        </w:tc>
        <w:tc>
          <w:tcPr>
            <w:tcW w:w="791" w:type="dxa"/>
            <w:tcMar>
              <w:left w:w="28" w:type="dxa"/>
              <w:right w:w="28" w:type="dxa"/>
            </w:tcMar>
            <w:vAlign w:val="center"/>
          </w:tcPr>
          <w:p w14:paraId="5297CE77" w14:textId="77777777" w:rsidR="0008774B" w:rsidRPr="00795F17" w:rsidRDefault="0008774B" w:rsidP="0065243A">
            <w:pPr>
              <w:pStyle w:val="Teksttabelisrodek"/>
            </w:pPr>
            <w:r w:rsidRPr="00795F17">
              <w:t>100,0%</w:t>
            </w:r>
          </w:p>
        </w:tc>
        <w:tc>
          <w:tcPr>
            <w:tcW w:w="1786" w:type="dxa"/>
            <w:tcMar>
              <w:left w:w="28" w:type="dxa"/>
              <w:right w:w="28" w:type="dxa"/>
            </w:tcMar>
            <w:vAlign w:val="center"/>
          </w:tcPr>
          <w:p w14:paraId="24D88A9E" w14:textId="79BEB0C3" w:rsidR="0008774B" w:rsidRPr="00795F17" w:rsidRDefault="0008774B" w:rsidP="0065243A">
            <w:pPr>
              <w:pStyle w:val="Teksttabelisrodek"/>
            </w:pPr>
            <w:r w:rsidRPr="00795F17">
              <w:t>proc. ocen o</w:t>
            </w:r>
            <w:r w:rsidR="00DA61C3">
              <w:t> </w:t>
            </w:r>
            <w:r w:rsidRPr="00795F17">
              <w:t>wymaganej redukcji z</w:t>
            </w:r>
            <w:r w:rsidR="00DA61C3">
              <w:t> </w:t>
            </w:r>
            <w:r w:rsidRPr="00795F17">
              <w:t>działaniami</w:t>
            </w:r>
          </w:p>
        </w:tc>
      </w:tr>
      <w:tr w:rsidR="0008774B" w:rsidRPr="00795F17" w14:paraId="469CF1A8" w14:textId="77777777" w:rsidTr="009B18FA">
        <w:trPr>
          <w:trHeight w:val="454"/>
        </w:trPr>
        <w:tc>
          <w:tcPr>
            <w:tcW w:w="4248" w:type="dxa"/>
            <w:shd w:val="clear" w:color="auto" w:fill="auto"/>
            <w:noWrap/>
            <w:tcMar>
              <w:left w:w="28" w:type="dxa"/>
              <w:right w:w="28" w:type="dxa"/>
            </w:tcMar>
            <w:vAlign w:val="center"/>
            <w:hideMark/>
          </w:tcPr>
          <w:p w14:paraId="20DBEDEB" w14:textId="3D42B5C2" w:rsidR="0008774B" w:rsidRPr="00795F17" w:rsidRDefault="0008774B" w:rsidP="009B18FA">
            <w:pPr>
              <w:pStyle w:val="Teksttabelilewy"/>
              <w:ind w:left="57"/>
            </w:pPr>
            <w:r w:rsidRPr="00795F17">
              <w:t>Liczba działań dających założoną skuteczność redukcji dla liczby oznaczeń i maks. przekroczenie dla pojedynczego oznaczenia do 50%</w:t>
            </w:r>
            <w:r w:rsidR="00486CBA">
              <w:t>.</w:t>
            </w:r>
          </w:p>
        </w:tc>
        <w:tc>
          <w:tcPr>
            <w:tcW w:w="655" w:type="dxa"/>
            <w:shd w:val="clear" w:color="auto" w:fill="auto"/>
            <w:noWrap/>
            <w:tcMar>
              <w:left w:w="28" w:type="dxa"/>
              <w:right w:w="28" w:type="dxa"/>
            </w:tcMar>
            <w:vAlign w:val="center"/>
          </w:tcPr>
          <w:p w14:paraId="304313F5" w14:textId="77777777" w:rsidR="0008774B" w:rsidRPr="00795F17" w:rsidRDefault="0008774B" w:rsidP="0065243A">
            <w:pPr>
              <w:pStyle w:val="Teksttabelisrodek"/>
            </w:pPr>
            <w:r w:rsidRPr="00795F17">
              <w:t>55</w:t>
            </w:r>
          </w:p>
        </w:tc>
        <w:tc>
          <w:tcPr>
            <w:tcW w:w="791" w:type="dxa"/>
            <w:shd w:val="clear" w:color="auto" w:fill="auto"/>
            <w:noWrap/>
            <w:tcMar>
              <w:left w:w="28" w:type="dxa"/>
              <w:right w:w="28" w:type="dxa"/>
            </w:tcMar>
            <w:vAlign w:val="center"/>
          </w:tcPr>
          <w:p w14:paraId="186171B4" w14:textId="77777777" w:rsidR="0008774B" w:rsidRPr="00795F17" w:rsidRDefault="0008774B" w:rsidP="0065243A">
            <w:pPr>
              <w:pStyle w:val="Teksttabelisrodek"/>
            </w:pPr>
            <w:r w:rsidRPr="00795F17">
              <w:t>21,6%</w:t>
            </w:r>
          </w:p>
        </w:tc>
        <w:tc>
          <w:tcPr>
            <w:tcW w:w="791" w:type="dxa"/>
            <w:tcMar>
              <w:left w:w="28" w:type="dxa"/>
              <w:right w:w="28" w:type="dxa"/>
            </w:tcMar>
            <w:vAlign w:val="center"/>
          </w:tcPr>
          <w:p w14:paraId="6D53B5BE" w14:textId="77777777" w:rsidR="0008774B" w:rsidRPr="00795F17" w:rsidRDefault="0008774B" w:rsidP="0065243A">
            <w:pPr>
              <w:pStyle w:val="Teksttabelisrodek"/>
            </w:pPr>
            <w:r w:rsidRPr="00795F17">
              <w:t>47</w:t>
            </w:r>
          </w:p>
        </w:tc>
        <w:tc>
          <w:tcPr>
            <w:tcW w:w="791" w:type="dxa"/>
            <w:tcMar>
              <w:left w:w="28" w:type="dxa"/>
              <w:right w:w="28" w:type="dxa"/>
            </w:tcMar>
            <w:vAlign w:val="center"/>
          </w:tcPr>
          <w:p w14:paraId="3F70326F" w14:textId="77777777" w:rsidR="0008774B" w:rsidRPr="00795F17" w:rsidRDefault="0008774B" w:rsidP="0065243A">
            <w:pPr>
              <w:pStyle w:val="Teksttabelisrodek"/>
            </w:pPr>
            <w:r w:rsidRPr="00795F17">
              <w:t>28,7%</w:t>
            </w:r>
          </w:p>
        </w:tc>
        <w:tc>
          <w:tcPr>
            <w:tcW w:w="1786" w:type="dxa"/>
            <w:tcMar>
              <w:left w:w="28" w:type="dxa"/>
              <w:right w:w="28" w:type="dxa"/>
            </w:tcMar>
            <w:vAlign w:val="center"/>
          </w:tcPr>
          <w:p w14:paraId="4E4BA244" w14:textId="77777777" w:rsidR="0008774B" w:rsidRPr="00795F17" w:rsidRDefault="0008774B" w:rsidP="0065243A">
            <w:pPr>
              <w:pStyle w:val="Teksttabelisrodek"/>
            </w:pPr>
            <w:r w:rsidRPr="00795F17">
              <w:t>proc. ocen jw., gdzie przekroczenia były niższe niż 50%</w:t>
            </w:r>
          </w:p>
        </w:tc>
      </w:tr>
    </w:tbl>
    <w:p w14:paraId="3895FFE1" w14:textId="05F54605" w:rsidR="0008774B" w:rsidRPr="00795F17" w:rsidRDefault="0008774B" w:rsidP="0044393D">
      <w:pPr>
        <w:pStyle w:val="rdo"/>
      </w:pPr>
      <w:r w:rsidRPr="00795F17">
        <w:t xml:space="preserve">Źródło: </w:t>
      </w:r>
      <w:r w:rsidR="00FD7248" w:rsidRPr="00795F17">
        <w:t>opracowanie własne</w:t>
      </w:r>
    </w:p>
    <w:p w14:paraId="4D320AC1" w14:textId="00801F89" w:rsidR="0008774B" w:rsidRPr="00795F17" w:rsidRDefault="0008774B" w:rsidP="004D7705">
      <w:pPr>
        <w:pStyle w:val="Tabela"/>
      </w:pPr>
      <w:bookmarkStart w:id="880" w:name="_Toc66341976"/>
      <w:bookmarkStart w:id="881" w:name="_Toc105512905"/>
      <w:r w:rsidRPr="00795F17">
        <w:t xml:space="preserve">Tabela </w:t>
      </w:r>
      <w:fldSimple w:instr=" STYLEREF 1 \s ">
        <w:r w:rsidR="001F774D">
          <w:rPr>
            <w:noProof/>
          </w:rPr>
          <w:t>13</w:t>
        </w:r>
      </w:fldSimple>
      <w:r w:rsidR="00BB3B21" w:rsidRPr="00795F17">
        <w:noBreakHyphen/>
      </w:r>
      <w:fldSimple w:instr=" SEQ Tabela \* ARABIC \s 1 ">
        <w:r w:rsidR="001F774D">
          <w:rPr>
            <w:noProof/>
          </w:rPr>
          <w:t>19</w:t>
        </w:r>
      </w:fldSimple>
      <w:r w:rsidR="000B5450">
        <w:rPr>
          <w:noProof/>
        </w:rPr>
        <w:t>.</w:t>
      </w:r>
      <w:r w:rsidRPr="00795F17">
        <w:tab/>
        <w:t xml:space="preserve">Skuteczność działań dla kategorii </w:t>
      </w:r>
      <w:r w:rsidR="00DF005E">
        <w:t>JCWP</w:t>
      </w:r>
      <w:r w:rsidRPr="00795F17">
        <w:t xml:space="preserve"> jeziorne w zakresie oceny substancji priorytetowych w</w:t>
      </w:r>
      <w:r w:rsidR="00753D09" w:rsidRPr="00795F17">
        <w:t> </w:t>
      </w:r>
      <w:r w:rsidRPr="00795F17">
        <w:t xml:space="preserve">wodzie </w:t>
      </w:r>
      <w:r w:rsidR="00F52D81">
        <w:t>–</w:t>
      </w:r>
      <w:r w:rsidRPr="00795F17">
        <w:t xml:space="preserve"> analiza statystyczna obejmująca obszar dorzecza Odry</w:t>
      </w:r>
      <w:bookmarkEnd w:id="880"/>
      <w:bookmarkEnd w:id="8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26"/>
        <w:gridCol w:w="652"/>
        <w:gridCol w:w="787"/>
        <w:gridCol w:w="787"/>
        <w:gridCol w:w="787"/>
        <w:gridCol w:w="1777"/>
      </w:tblGrid>
      <w:tr w:rsidR="0008774B" w:rsidRPr="00795F17" w14:paraId="0E27EA7C" w14:textId="77777777" w:rsidTr="005D42CC">
        <w:trPr>
          <w:trHeight w:val="454"/>
        </w:trPr>
        <w:tc>
          <w:tcPr>
            <w:tcW w:w="4248" w:type="dxa"/>
            <w:shd w:val="clear" w:color="auto" w:fill="BFBFBF" w:themeFill="background1" w:themeFillShade="BF"/>
            <w:noWrap/>
            <w:tcMar>
              <w:left w:w="28" w:type="dxa"/>
              <w:right w:w="28" w:type="dxa"/>
            </w:tcMar>
            <w:vAlign w:val="center"/>
          </w:tcPr>
          <w:p w14:paraId="13D35A78" w14:textId="11C81657" w:rsidR="0008774B" w:rsidRPr="00795F17" w:rsidRDefault="0008774B" w:rsidP="0044393D">
            <w:pPr>
              <w:pStyle w:val="Teksttabelinaglowek"/>
            </w:pPr>
            <w:r w:rsidRPr="00795F17">
              <w:t xml:space="preserve">Ocena skuteczności działań w </w:t>
            </w:r>
            <w:r w:rsidR="00DF005E">
              <w:t>JCWP</w:t>
            </w:r>
            <w:r w:rsidRPr="00795F17">
              <w:t xml:space="preserve"> LW</w:t>
            </w:r>
          </w:p>
        </w:tc>
        <w:tc>
          <w:tcPr>
            <w:tcW w:w="1446" w:type="dxa"/>
            <w:gridSpan w:val="2"/>
            <w:shd w:val="clear" w:color="auto" w:fill="BFBFBF" w:themeFill="background1" w:themeFillShade="BF"/>
            <w:noWrap/>
            <w:tcMar>
              <w:left w:w="28" w:type="dxa"/>
              <w:right w:w="28" w:type="dxa"/>
            </w:tcMar>
            <w:vAlign w:val="center"/>
          </w:tcPr>
          <w:p w14:paraId="2E426498" w14:textId="5DE02586" w:rsidR="0008774B" w:rsidRPr="00795F17" w:rsidRDefault="0008774B" w:rsidP="0044393D">
            <w:pPr>
              <w:pStyle w:val="Teksttabelinaglowek"/>
            </w:pPr>
            <w:r w:rsidRPr="00795F17">
              <w:t xml:space="preserve">Liczba </w:t>
            </w:r>
            <w:r w:rsidR="00DF005E">
              <w:t>JCWP</w:t>
            </w:r>
          </w:p>
        </w:tc>
        <w:tc>
          <w:tcPr>
            <w:tcW w:w="1582" w:type="dxa"/>
            <w:gridSpan w:val="2"/>
            <w:shd w:val="clear" w:color="auto" w:fill="BFBFBF" w:themeFill="background1" w:themeFillShade="BF"/>
            <w:tcMar>
              <w:left w:w="28" w:type="dxa"/>
              <w:right w:w="28" w:type="dxa"/>
            </w:tcMar>
            <w:vAlign w:val="center"/>
          </w:tcPr>
          <w:p w14:paraId="4419DB22" w14:textId="26B32C3B" w:rsidR="0008774B" w:rsidRPr="00795F17" w:rsidRDefault="0008774B" w:rsidP="0044393D">
            <w:pPr>
              <w:pStyle w:val="Teksttabelinaglowek"/>
            </w:pPr>
            <w:r w:rsidRPr="00795F17">
              <w:t xml:space="preserve">Udział </w:t>
            </w:r>
            <w:r w:rsidRPr="00795F17">
              <w:br/>
              <w:t xml:space="preserve">w liczbie </w:t>
            </w:r>
            <w:r w:rsidR="00DF005E">
              <w:t>JCWP</w:t>
            </w:r>
            <w:r w:rsidRPr="00795F17">
              <w:t xml:space="preserve"> </w:t>
            </w:r>
            <w:r w:rsidR="00EA4FF5" w:rsidRPr="00795F17">
              <w:t>(%)</w:t>
            </w:r>
          </w:p>
        </w:tc>
        <w:tc>
          <w:tcPr>
            <w:tcW w:w="1786" w:type="dxa"/>
            <w:shd w:val="clear" w:color="auto" w:fill="BFBFBF" w:themeFill="background1" w:themeFillShade="BF"/>
            <w:tcMar>
              <w:left w:w="28" w:type="dxa"/>
              <w:right w:w="28" w:type="dxa"/>
            </w:tcMar>
            <w:vAlign w:val="center"/>
          </w:tcPr>
          <w:p w14:paraId="2EF87EDF" w14:textId="77777777" w:rsidR="0008774B" w:rsidRPr="00795F17" w:rsidRDefault="0008774B" w:rsidP="0044393D">
            <w:pPr>
              <w:pStyle w:val="Teksttabelinaglowek"/>
            </w:pPr>
            <w:r w:rsidRPr="00795F17">
              <w:t>Uwagi</w:t>
            </w:r>
          </w:p>
        </w:tc>
      </w:tr>
      <w:tr w:rsidR="0008774B" w:rsidRPr="00795F17" w14:paraId="6E013151" w14:textId="77777777" w:rsidTr="005D42CC">
        <w:trPr>
          <w:trHeight w:val="454"/>
        </w:trPr>
        <w:tc>
          <w:tcPr>
            <w:tcW w:w="4248" w:type="dxa"/>
            <w:shd w:val="clear" w:color="auto" w:fill="auto"/>
            <w:noWrap/>
            <w:tcMar>
              <w:left w:w="28" w:type="dxa"/>
              <w:right w:w="28" w:type="dxa"/>
            </w:tcMar>
            <w:vAlign w:val="center"/>
          </w:tcPr>
          <w:p w14:paraId="2C5B56BD" w14:textId="2326E4A1" w:rsidR="0008774B" w:rsidRPr="00795F17" w:rsidRDefault="0008774B" w:rsidP="009B18FA">
            <w:pPr>
              <w:pStyle w:val="Teksttabelilewy"/>
              <w:ind w:left="57"/>
            </w:pPr>
            <w:r w:rsidRPr="00795F17">
              <w:t xml:space="preserve">Liczba </w:t>
            </w:r>
            <w:r w:rsidR="00DF005E">
              <w:t>JCWP</w:t>
            </w:r>
            <w:r w:rsidRPr="00795F17">
              <w:t xml:space="preserve"> ze realizowanym lub zrealizowanym min. 1 zestawem działań ciągłych</w:t>
            </w:r>
            <w:r w:rsidR="00486CBA">
              <w:t>.</w:t>
            </w:r>
          </w:p>
        </w:tc>
        <w:tc>
          <w:tcPr>
            <w:tcW w:w="1446" w:type="dxa"/>
            <w:gridSpan w:val="2"/>
            <w:shd w:val="clear" w:color="auto" w:fill="auto"/>
            <w:noWrap/>
            <w:tcMar>
              <w:left w:w="28" w:type="dxa"/>
              <w:right w:w="28" w:type="dxa"/>
            </w:tcMar>
            <w:vAlign w:val="center"/>
          </w:tcPr>
          <w:p w14:paraId="471B5345" w14:textId="77777777" w:rsidR="0008774B" w:rsidRPr="00795F17" w:rsidRDefault="0008774B" w:rsidP="0065243A">
            <w:pPr>
              <w:pStyle w:val="Teksttabelisrodek"/>
            </w:pPr>
            <w:r w:rsidRPr="00795F17">
              <w:t>303</w:t>
            </w:r>
          </w:p>
        </w:tc>
        <w:tc>
          <w:tcPr>
            <w:tcW w:w="1582" w:type="dxa"/>
            <w:gridSpan w:val="2"/>
            <w:tcMar>
              <w:left w:w="28" w:type="dxa"/>
              <w:right w:w="28" w:type="dxa"/>
            </w:tcMar>
            <w:vAlign w:val="center"/>
          </w:tcPr>
          <w:p w14:paraId="7E566A42" w14:textId="07868021" w:rsidR="0008774B" w:rsidRPr="00795F17" w:rsidRDefault="0008774B" w:rsidP="0065243A">
            <w:pPr>
              <w:pStyle w:val="Teksttabelisrodek"/>
            </w:pPr>
            <w:r w:rsidRPr="00795F17">
              <w:t>71,8</w:t>
            </w:r>
          </w:p>
        </w:tc>
        <w:tc>
          <w:tcPr>
            <w:tcW w:w="1786" w:type="dxa"/>
            <w:tcMar>
              <w:left w:w="28" w:type="dxa"/>
              <w:right w:w="28" w:type="dxa"/>
            </w:tcMar>
            <w:vAlign w:val="center"/>
          </w:tcPr>
          <w:p w14:paraId="54377144" w14:textId="77777777" w:rsidR="0008774B" w:rsidRPr="00795F17" w:rsidRDefault="0008774B" w:rsidP="0065243A">
            <w:pPr>
              <w:pStyle w:val="Teksttabelisrodek"/>
            </w:pPr>
            <w:r w:rsidRPr="00795F17">
              <w:t>-</w:t>
            </w:r>
          </w:p>
        </w:tc>
      </w:tr>
      <w:tr w:rsidR="0008774B" w:rsidRPr="00795F17" w14:paraId="1D2B1CA7" w14:textId="77777777" w:rsidTr="005D42CC">
        <w:trPr>
          <w:trHeight w:val="454"/>
        </w:trPr>
        <w:tc>
          <w:tcPr>
            <w:tcW w:w="4248" w:type="dxa"/>
            <w:shd w:val="clear" w:color="auto" w:fill="auto"/>
            <w:noWrap/>
            <w:tcMar>
              <w:left w:w="28" w:type="dxa"/>
              <w:right w:w="28" w:type="dxa"/>
            </w:tcMar>
            <w:vAlign w:val="center"/>
            <w:hideMark/>
          </w:tcPr>
          <w:p w14:paraId="3ECDD4AE" w14:textId="5C42AF12" w:rsidR="0008774B" w:rsidRPr="00795F17" w:rsidRDefault="0008774B" w:rsidP="009B18FA">
            <w:pPr>
              <w:pStyle w:val="Teksttabelilewy"/>
              <w:ind w:left="57"/>
            </w:pPr>
            <w:r w:rsidRPr="00795F17">
              <w:t xml:space="preserve">Liczba </w:t>
            </w:r>
            <w:r w:rsidR="00DF005E">
              <w:t>JCWP</w:t>
            </w:r>
            <w:r w:rsidRPr="00795F17">
              <w:t xml:space="preserve"> ze zrealizowanym min. 1 działaniem jednorazowym</w:t>
            </w:r>
            <w:r w:rsidR="00486CBA">
              <w:t>.</w:t>
            </w:r>
          </w:p>
        </w:tc>
        <w:tc>
          <w:tcPr>
            <w:tcW w:w="1446" w:type="dxa"/>
            <w:gridSpan w:val="2"/>
            <w:shd w:val="clear" w:color="auto" w:fill="auto"/>
            <w:noWrap/>
            <w:tcMar>
              <w:left w:w="28" w:type="dxa"/>
              <w:right w:w="28" w:type="dxa"/>
            </w:tcMar>
            <w:vAlign w:val="center"/>
          </w:tcPr>
          <w:p w14:paraId="7964F28C" w14:textId="77777777" w:rsidR="0008774B" w:rsidRPr="00795F17" w:rsidRDefault="0008774B" w:rsidP="0065243A">
            <w:pPr>
              <w:pStyle w:val="Teksttabelisrodek"/>
            </w:pPr>
            <w:r w:rsidRPr="00795F17">
              <w:t>7</w:t>
            </w:r>
          </w:p>
        </w:tc>
        <w:tc>
          <w:tcPr>
            <w:tcW w:w="1582" w:type="dxa"/>
            <w:gridSpan w:val="2"/>
            <w:tcMar>
              <w:left w:w="28" w:type="dxa"/>
              <w:right w:w="28" w:type="dxa"/>
            </w:tcMar>
            <w:vAlign w:val="center"/>
          </w:tcPr>
          <w:p w14:paraId="30B9CECF" w14:textId="4DEE1A26" w:rsidR="0008774B" w:rsidRPr="00795F17" w:rsidRDefault="0008774B" w:rsidP="0065243A">
            <w:pPr>
              <w:pStyle w:val="Teksttabelisrodek"/>
            </w:pPr>
            <w:r w:rsidRPr="00795F17">
              <w:t>1,6</w:t>
            </w:r>
          </w:p>
        </w:tc>
        <w:tc>
          <w:tcPr>
            <w:tcW w:w="1786" w:type="dxa"/>
            <w:tcMar>
              <w:left w:w="28" w:type="dxa"/>
              <w:right w:w="28" w:type="dxa"/>
            </w:tcMar>
            <w:vAlign w:val="center"/>
          </w:tcPr>
          <w:p w14:paraId="633FAF0B" w14:textId="77777777" w:rsidR="0008774B" w:rsidRPr="00795F17" w:rsidRDefault="0008774B" w:rsidP="0065243A">
            <w:pPr>
              <w:pStyle w:val="Teksttabelisrodek"/>
            </w:pPr>
            <w:r w:rsidRPr="00795F17">
              <w:t>-</w:t>
            </w:r>
          </w:p>
        </w:tc>
      </w:tr>
      <w:tr w:rsidR="0008774B" w:rsidRPr="00795F17" w14:paraId="2FD9C9DE" w14:textId="77777777" w:rsidTr="005D42CC">
        <w:trPr>
          <w:trHeight w:val="454"/>
        </w:trPr>
        <w:tc>
          <w:tcPr>
            <w:tcW w:w="4248" w:type="dxa"/>
            <w:shd w:val="clear" w:color="auto" w:fill="auto"/>
            <w:noWrap/>
            <w:tcMar>
              <w:left w:w="28" w:type="dxa"/>
              <w:right w:w="28" w:type="dxa"/>
            </w:tcMar>
            <w:vAlign w:val="center"/>
            <w:hideMark/>
          </w:tcPr>
          <w:p w14:paraId="19F6FC7A" w14:textId="403EBF42" w:rsidR="0008774B" w:rsidRPr="00795F17" w:rsidRDefault="0008774B" w:rsidP="009B18FA">
            <w:pPr>
              <w:pStyle w:val="Teksttabelilewy"/>
              <w:ind w:left="57"/>
            </w:pPr>
            <w:r w:rsidRPr="00795F17">
              <w:t xml:space="preserve">Liczba ocen </w:t>
            </w:r>
            <w:r w:rsidR="00DF005E">
              <w:t>JCWP</w:t>
            </w:r>
            <w:r w:rsidRPr="00795F17">
              <w:t xml:space="preserve"> z wynikami umożliwiającymi uwzględnienie w ocenie skuteczności</w:t>
            </w:r>
            <w:r w:rsidR="00486CBA">
              <w:t>.</w:t>
            </w:r>
          </w:p>
        </w:tc>
        <w:tc>
          <w:tcPr>
            <w:tcW w:w="1446" w:type="dxa"/>
            <w:gridSpan w:val="2"/>
            <w:shd w:val="clear" w:color="auto" w:fill="auto"/>
            <w:noWrap/>
            <w:tcMar>
              <w:left w:w="28" w:type="dxa"/>
              <w:right w:w="28" w:type="dxa"/>
            </w:tcMar>
            <w:vAlign w:val="center"/>
          </w:tcPr>
          <w:p w14:paraId="33408493" w14:textId="77777777" w:rsidR="0008774B" w:rsidRPr="00795F17" w:rsidRDefault="0008774B" w:rsidP="0065243A">
            <w:pPr>
              <w:pStyle w:val="Teksttabelisrodek"/>
            </w:pPr>
            <w:r w:rsidRPr="00795F17">
              <w:t>85</w:t>
            </w:r>
          </w:p>
        </w:tc>
        <w:tc>
          <w:tcPr>
            <w:tcW w:w="1582" w:type="dxa"/>
            <w:gridSpan w:val="2"/>
            <w:tcMar>
              <w:left w:w="28" w:type="dxa"/>
              <w:right w:w="28" w:type="dxa"/>
            </w:tcMar>
            <w:vAlign w:val="center"/>
          </w:tcPr>
          <w:p w14:paraId="4D2AD457" w14:textId="426E0B6E" w:rsidR="0008774B" w:rsidRPr="00795F17" w:rsidRDefault="0008774B" w:rsidP="0065243A">
            <w:pPr>
              <w:pStyle w:val="Teksttabelisrodek"/>
            </w:pPr>
            <w:r w:rsidRPr="00795F17">
              <w:t>20,1</w:t>
            </w:r>
          </w:p>
        </w:tc>
        <w:tc>
          <w:tcPr>
            <w:tcW w:w="1786" w:type="dxa"/>
            <w:tcMar>
              <w:left w:w="28" w:type="dxa"/>
              <w:right w:w="28" w:type="dxa"/>
            </w:tcMar>
            <w:vAlign w:val="center"/>
          </w:tcPr>
          <w:p w14:paraId="7F20FEBE" w14:textId="77777777" w:rsidR="0008774B" w:rsidRPr="00795F17" w:rsidRDefault="0008774B" w:rsidP="0065243A">
            <w:pPr>
              <w:pStyle w:val="Teksttabelisrodek"/>
            </w:pPr>
            <w:r w:rsidRPr="00795F17">
              <w:t>-</w:t>
            </w:r>
          </w:p>
        </w:tc>
      </w:tr>
      <w:tr w:rsidR="0008774B" w:rsidRPr="00795F17" w14:paraId="752689EE" w14:textId="77777777" w:rsidTr="005D42CC">
        <w:trPr>
          <w:trHeight w:val="454"/>
        </w:trPr>
        <w:tc>
          <w:tcPr>
            <w:tcW w:w="4248" w:type="dxa"/>
            <w:shd w:val="clear" w:color="auto" w:fill="D9D9D9" w:themeFill="background1" w:themeFillShade="D9"/>
            <w:noWrap/>
            <w:tcMar>
              <w:left w:w="28" w:type="dxa"/>
              <w:right w:w="28" w:type="dxa"/>
            </w:tcMar>
            <w:vAlign w:val="center"/>
          </w:tcPr>
          <w:p w14:paraId="51221374" w14:textId="77777777" w:rsidR="0008774B" w:rsidRPr="00795F17" w:rsidRDefault="0008774B" w:rsidP="00CC513F">
            <w:pPr>
              <w:pStyle w:val="Teksttabelisrodek"/>
            </w:pPr>
            <w:r w:rsidRPr="00795F17">
              <w:t>Skuteczność redukcji stężeń oceniana jako odsetek wykonanych oznaczeń, dla których uzyskano redukcję stężenia</w:t>
            </w:r>
          </w:p>
        </w:tc>
        <w:tc>
          <w:tcPr>
            <w:tcW w:w="1446" w:type="dxa"/>
            <w:gridSpan w:val="2"/>
            <w:shd w:val="clear" w:color="auto" w:fill="D9D9D9" w:themeFill="background1" w:themeFillShade="D9"/>
            <w:noWrap/>
            <w:tcMar>
              <w:left w:w="28" w:type="dxa"/>
              <w:right w:w="28" w:type="dxa"/>
            </w:tcMar>
            <w:vAlign w:val="center"/>
          </w:tcPr>
          <w:p w14:paraId="23511FC3" w14:textId="77777777" w:rsidR="0008774B" w:rsidRPr="00795F17" w:rsidRDefault="0008774B" w:rsidP="00CC513F">
            <w:pPr>
              <w:pStyle w:val="Teksttabelisrodek"/>
            </w:pPr>
            <w:r w:rsidRPr="00795F17">
              <w:t>Co najmniej 50% oznaczeń</w:t>
            </w:r>
          </w:p>
        </w:tc>
        <w:tc>
          <w:tcPr>
            <w:tcW w:w="1582" w:type="dxa"/>
            <w:gridSpan w:val="2"/>
            <w:shd w:val="clear" w:color="auto" w:fill="D9D9D9" w:themeFill="background1" w:themeFillShade="D9"/>
            <w:tcMar>
              <w:left w:w="28" w:type="dxa"/>
              <w:right w:w="28" w:type="dxa"/>
            </w:tcMar>
            <w:vAlign w:val="center"/>
          </w:tcPr>
          <w:p w14:paraId="7A3C2E6A" w14:textId="77777777" w:rsidR="0008774B" w:rsidRPr="00795F17" w:rsidRDefault="0008774B" w:rsidP="00CC513F">
            <w:pPr>
              <w:pStyle w:val="Teksttabelisrodek"/>
            </w:pPr>
            <w:r w:rsidRPr="00795F17">
              <w:t>Co najmniej 85% oznaczeń</w:t>
            </w:r>
          </w:p>
        </w:tc>
        <w:tc>
          <w:tcPr>
            <w:tcW w:w="1786" w:type="dxa"/>
            <w:shd w:val="clear" w:color="auto" w:fill="D9D9D9" w:themeFill="background1" w:themeFillShade="D9"/>
            <w:tcMar>
              <w:left w:w="28" w:type="dxa"/>
              <w:right w:w="28" w:type="dxa"/>
            </w:tcMar>
            <w:vAlign w:val="center"/>
          </w:tcPr>
          <w:p w14:paraId="71CD89A6" w14:textId="77777777" w:rsidR="0008774B" w:rsidRPr="00795F17" w:rsidRDefault="0008774B" w:rsidP="00CC513F">
            <w:pPr>
              <w:pStyle w:val="Teksttabelisrodek"/>
            </w:pPr>
            <w:r w:rsidRPr="00795F17">
              <w:t>Uwagi</w:t>
            </w:r>
          </w:p>
        </w:tc>
      </w:tr>
      <w:tr w:rsidR="0008774B" w:rsidRPr="00795F17" w14:paraId="53214E6E" w14:textId="77777777" w:rsidTr="005D42CC">
        <w:trPr>
          <w:trHeight w:val="454"/>
        </w:trPr>
        <w:tc>
          <w:tcPr>
            <w:tcW w:w="4248" w:type="dxa"/>
            <w:shd w:val="clear" w:color="auto" w:fill="auto"/>
            <w:noWrap/>
            <w:tcMar>
              <w:left w:w="28" w:type="dxa"/>
              <w:right w:w="28" w:type="dxa"/>
            </w:tcMar>
            <w:vAlign w:val="center"/>
            <w:hideMark/>
          </w:tcPr>
          <w:p w14:paraId="62866D90" w14:textId="3492DE36" w:rsidR="0008774B" w:rsidRPr="00795F17" w:rsidRDefault="0008774B" w:rsidP="009B18FA">
            <w:pPr>
              <w:pStyle w:val="Teksttabelilewy"/>
              <w:ind w:left="57"/>
            </w:pPr>
            <w:r w:rsidRPr="00795F17">
              <w:t xml:space="preserve">Liczba </w:t>
            </w:r>
            <w:r w:rsidR="00DF005E">
              <w:t>JCWP</w:t>
            </w:r>
            <w:r w:rsidRPr="00795F17">
              <w:t>, w których redukcja stężenia występuje w powyżej 50% oznaczeń (za istotne przyjęto pomiary o redukcji poniżej 20%)</w:t>
            </w:r>
            <w:r w:rsidR="00486CBA">
              <w:t>.</w:t>
            </w:r>
          </w:p>
        </w:tc>
        <w:tc>
          <w:tcPr>
            <w:tcW w:w="655" w:type="dxa"/>
            <w:shd w:val="clear" w:color="auto" w:fill="auto"/>
            <w:noWrap/>
            <w:tcMar>
              <w:left w:w="28" w:type="dxa"/>
              <w:right w:w="28" w:type="dxa"/>
            </w:tcMar>
            <w:vAlign w:val="center"/>
          </w:tcPr>
          <w:p w14:paraId="5A262220" w14:textId="77777777" w:rsidR="0008774B" w:rsidRPr="00795F17" w:rsidRDefault="0008774B" w:rsidP="0065243A">
            <w:pPr>
              <w:pStyle w:val="Teksttabelisrodek"/>
            </w:pPr>
            <w:r w:rsidRPr="00795F17">
              <w:t>75</w:t>
            </w:r>
          </w:p>
        </w:tc>
        <w:tc>
          <w:tcPr>
            <w:tcW w:w="791" w:type="dxa"/>
            <w:shd w:val="clear" w:color="auto" w:fill="auto"/>
            <w:noWrap/>
            <w:tcMar>
              <w:left w:w="28" w:type="dxa"/>
              <w:right w:w="28" w:type="dxa"/>
            </w:tcMar>
            <w:vAlign w:val="center"/>
          </w:tcPr>
          <w:p w14:paraId="03F80649" w14:textId="77777777" w:rsidR="0008774B" w:rsidRPr="00795F17" w:rsidRDefault="0008774B" w:rsidP="0065243A">
            <w:pPr>
              <w:pStyle w:val="Teksttabelisrodek"/>
            </w:pPr>
            <w:r w:rsidRPr="00795F17">
              <w:t>88,2%</w:t>
            </w:r>
          </w:p>
        </w:tc>
        <w:tc>
          <w:tcPr>
            <w:tcW w:w="791" w:type="dxa"/>
            <w:tcMar>
              <w:left w:w="28" w:type="dxa"/>
              <w:right w:w="28" w:type="dxa"/>
            </w:tcMar>
            <w:vAlign w:val="center"/>
          </w:tcPr>
          <w:p w14:paraId="5D15DE22" w14:textId="77777777" w:rsidR="0008774B" w:rsidRPr="00795F17" w:rsidRDefault="0008774B" w:rsidP="0065243A">
            <w:pPr>
              <w:pStyle w:val="Teksttabelisrodek"/>
            </w:pPr>
            <w:r w:rsidRPr="00795F17">
              <w:t>56</w:t>
            </w:r>
          </w:p>
        </w:tc>
        <w:tc>
          <w:tcPr>
            <w:tcW w:w="791" w:type="dxa"/>
            <w:tcMar>
              <w:left w:w="28" w:type="dxa"/>
              <w:right w:w="28" w:type="dxa"/>
            </w:tcMar>
            <w:vAlign w:val="center"/>
          </w:tcPr>
          <w:p w14:paraId="2AF7A05C" w14:textId="77777777" w:rsidR="0008774B" w:rsidRPr="00795F17" w:rsidRDefault="0008774B" w:rsidP="0065243A">
            <w:pPr>
              <w:pStyle w:val="Teksttabelisrodek"/>
            </w:pPr>
            <w:r w:rsidRPr="00795F17">
              <w:t>65,9%</w:t>
            </w:r>
          </w:p>
        </w:tc>
        <w:tc>
          <w:tcPr>
            <w:tcW w:w="1786" w:type="dxa"/>
            <w:tcMar>
              <w:left w:w="28" w:type="dxa"/>
              <w:right w:w="28" w:type="dxa"/>
            </w:tcMar>
            <w:vAlign w:val="center"/>
          </w:tcPr>
          <w:p w14:paraId="78CFB35F" w14:textId="77777777" w:rsidR="0008774B" w:rsidRPr="00795F17" w:rsidRDefault="0008774B" w:rsidP="0065243A">
            <w:pPr>
              <w:pStyle w:val="Teksttabelisrodek"/>
            </w:pPr>
            <w:r w:rsidRPr="00795F17">
              <w:t>proc. wykonanych ocen</w:t>
            </w:r>
          </w:p>
        </w:tc>
      </w:tr>
      <w:tr w:rsidR="0008774B" w:rsidRPr="00795F17" w14:paraId="7DFB4CBA" w14:textId="77777777" w:rsidTr="005D42CC">
        <w:trPr>
          <w:trHeight w:val="454"/>
        </w:trPr>
        <w:tc>
          <w:tcPr>
            <w:tcW w:w="4248" w:type="dxa"/>
            <w:shd w:val="clear" w:color="auto" w:fill="auto"/>
            <w:noWrap/>
            <w:tcMar>
              <w:left w:w="28" w:type="dxa"/>
              <w:right w:w="28" w:type="dxa"/>
            </w:tcMar>
            <w:vAlign w:val="center"/>
            <w:hideMark/>
          </w:tcPr>
          <w:p w14:paraId="3FCAA2CF" w14:textId="642F1B41" w:rsidR="0008774B" w:rsidRPr="00795F17" w:rsidRDefault="0008774B" w:rsidP="009B18FA">
            <w:pPr>
              <w:pStyle w:val="Teksttabelilewy"/>
              <w:ind w:left="57"/>
            </w:pPr>
            <w:r w:rsidRPr="00795F17">
              <w:t xml:space="preserve">Liczba </w:t>
            </w:r>
            <w:r w:rsidR="00DF005E">
              <w:t>JCWP</w:t>
            </w:r>
            <w:r w:rsidRPr="00795F17">
              <w:t>, w których nie stwierdza się przekroczeń powyżej 50% wartości odchylenia od normy (kryterium przyjęte dla oceny skuteczności działań)</w:t>
            </w:r>
            <w:r w:rsidR="00486CBA">
              <w:t>.</w:t>
            </w:r>
          </w:p>
        </w:tc>
        <w:tc>
          <w:tcPr>
            <w:tcW w:w="655" w:type="dxa"/>
            <w:shd w:val="clear" w:color="auto" w:fill="auto"/>
            <w:noWrap/>
            <w:tcMar>
              <w:left w:w="28" w:type="dxa"/>
              <w:right w:w="28" w:type="dxa"/>
            </w:tcMar>
            <w:vAlign w:val="center"/>
          </w:tcPr>
          <w:p w14:paraId="5BD4B8AA" w14:textId="77777777" w:rsidR="0008774B" w:rsidRPr="00795F17" w:rsidRDefault="0008774B" w:rsidP="0065243A">
            <w:pPr>
              <w:pStyle w:val="Teksttabelisrodek"/>
            </w:pPr>
            <w:r w:rsidRPr="00795F17">
              <w:t>34</w:t>
            </w:r>
          </w:p>
        </w:tc>
        <w:tc>
          <w:tcPr>
            <w:tcW w:w="791" w:type="dxa"/>
            <w:shd w:val="clear" w:color="auto" w:fill="auto"/>
            <w:noWrap/>
            <w:tcMar>
              <w:left w:w="28" w:type="dxa"/>
              <w:right w:w="28" w:type="dxa"/>
            </w:tcMar>
            <w:vAlign w:val="center"/>
          </w:tcPr>
          <w:p w14:paraId="0ABD26F4" w14:textId="77777777" w:rsidR="0008774B" w:rsidRPr="00795F17" w:rsidRDefault="0008774B" w:rsidP="0065243A">
            <w:pPr>
              <w:pStyle w:val="Teksttabelisrodek"/>
            </w:pPr>
            <w:r w:rsidRPr="00795F17">
              <w:t>45,3%</w:t>
            </w:r>
          </w:p>
        </w:tc>
        <w:tc>
          <w:tcPr>
            <w:tcW w:w="791" w:type="dxa"/>
            <w:tcMar>
              <w:left w:w="28" w:type="dxa"/>
              <w:right w:w="28" w:type="dxa"/>
            </w:tcMar>
            <w:vAlign w:val="center"/>
          </w:tcPr>
          <w:p w14:paraId="158C2646" w14:textId="77777777" w:rsidR="0008774B" w:rsidRPr="00795F17" w:rsidRDefault="0008774B" w:rsidP="0065243A">
            <w:pPr>
              <w:pStyle w:val="Teksttabelisrodek"/>
            </w:pPr>
            <w:r w:rsidRPr="00795F17">
              <w:t>34</w:t>
            </w:r>
          </w:p>
        </w:tc>
        <w:tc>
          <w:tcPr>
            <w:tcW w:w="791" w:type="dxa"/>
            <w:tcMar>
              <w:left w:w="28" w:type="dxa"/>
              <w:right w:w="28" w:type="dxa"/>
            </w:tcMar>
            <w:vAlign w:val="center"/>
          </w:tcPr>
          <w:p w14:paraId="3CA517C8" w14:textId="77777777" w:rsidR="0008774B" w:rsidRPr="00795F17" w:rsidRDefault="0008774B" w:rsidP="0065243A">
            <w:pPr>
              <w:pStyle w:val="Teksttabelisrodek"/>
            </w:pPr>
            <w:r w:rsidRPr="00795F17">
              <w:t>60,7%</w:t>
            </w:r>
          </w:p>
        </w:tc>
        <w:tc>
          <w:tcPr>
            <w:tcW w:w="1786" w:type="dxa"/>
            <w:tcMar>
              <w:left w:w="28" w:type="dxa"/>
              <w:right w:w="28" w:type="dxa"/>
            </w:tcMar>
            <w:vAlign w:val="center"/>
          </w:tcPr>
          <w:p w14:paraId="248E3105" w14:textId="2C26FCDB" w:rsidR="0008774B" w:rsidRPr="00795F17" w:rsidRDefault="0008774B" w:rsidP="0065243A">
            <w:pPr>
              <w:pStyle w:val="Teksttabelisrodek"/>
            </w:pPr>
            <w:r w:rsidRPr="00795F17">
              <w:t>proc. ocen o</w:t>
            </w:r>
            <w:r w:rsidR="00DA61C3">
              <w:t> </w:t>
            </w:r>
            <w:r w:rsidRPr="00795F17">
              <w:t>wymaganej redukcji</w:t>
            </w:r>
          </w:p>
        </w:tc>
      </w:tr>
      <w:tr w:rsidR="0008774B" w:rsidRPr="00795F17" w14:paraId="0D0DB9CC" w14:textId="77777777" w:rsidTr="005D42CC">
        <w:trPr>
          <w:trHeight w:val="454"/>
        </w:trPr>
        <w:tc>
          <w:tcPr>
            <w:tcW w:w="4248" w:type="dxa"/>
            <w:shd w:val="clear" w:color="auto" w:fill="auto"/>
            <w:noWrap/>
            <w:tcMar>
              <w:left w:w="28" w:type="dxa"/>
              <w:right w:w="28" w:type="dxa"/>
            </w:tcMar>
            <w:vAlign w:val="center"/>
            <w:hideMark/>
          </w:tcPr>
          <w:p w14:paraId="2CBB7974" w14:textId="61DEEAD1" w:rsidR="0008774B" w:rsidRPr="00795F17" w:rsidRDefault="0008774B" w:rsidP="009B18FA">
            <w:pPr>
              <w:pStyle w:val="Teksttabelilewy"/>
              <w:ind w:left="57"/>
            </w:pPr>
            <w:r w:rsidRPr="00795F17">
              <w:t xml:space="preserve">Liczba </w:t>
            </w:r>
            <w:r w:rsidR="00DF005E">
              <w:t>JCWP</w:t>
            </w:r>
            <w:r w:rsidRPr="00795F17">
              <w:t>, w których stosowano działania i</w:t>
            </w:r>
            <w:r w:rsidR="00DA61C3">
              <w:t> </w:t>
            </w:r>
            <w:r w:rsidRPr="00795F17">
              <w:t>uzyskano skuteczność redukcji dla liczby oznaczeń</w:t>
            </w:r>
            <w:r w:rsidR="00486CBA">
              <w:t>.</w:t>
            </w:r>
          </w:p>
        </w:tc>
        <w:tc>
          <w:tcPr>
            <w:tcW w:w="655" w:type="dxa"/>
            <w:shd w:val="clear" w:color="auto" w:fill="auto"/>
            <w:noWrap/>
            <w:tcMar>
              <w:left w:w="28" w:type="dxa"/>
              <w:right w:w="28" w:type="dxa"/>
            </w:tcMar>
            <w:vAlign w:val="center"/>
          </w:tcPr>
          <w:p w14:paraId="2F2F109D" w14:textId="77777777" w:rsidR="0008774B" w:rsidRPr="00795F17" w:rsidRDefault="0008774B" w:rsidP="0065243A">
            <w:pPr>
              <w:pStyle w:val="Teksttabelisrodek"/>
            </w:pPr>
            <w:r w:rsidRPr="00795F17">
              <w:t>48</w:t>
            </w:r>
          </w:p>
        </w:tc>
        <w:tc>
          <w:tcPr>
            <w:tcW w:w="791" w:type="dxa"/>
            <w:shd w:val="clear" w:color="auto" w:fill="auto"/>
            <w:noWrap/>
            <w:tcMar>
              <w:left w:w="28" w:type="dxa"/>
              <w:right w:w="28" w:type="dxa"/>
            </w:tcMar>
            <w:vAlign w:val="center"/>
          </w:tcPr>
          <w:p w14:paraId="3B9D16BA" w14:textId="77777777" w:rsidR="0008774B" w:rsidRPr="00795F17" w:rsidRDefault="0008774B" w:rsidP="0065243A">
            <w:pPr>
              <w:pStyle w:val="Teksttabelisrodek"/>
            </w:pPr>
            <w:r w:rsidRPr="00795F17">
              <w:t>64,0%</w:t>
            </w:r>
          </w:p>
        </w:tc>
        <w:tc>
          <w:tcPr>
            <w:tcW w:w="791" w:type="dxa"/>
            <w:tcMar>
              <w:left w:w="28" w:type="dxa"/>
              <w:right w:w="28" w:type="dxa"/>
            </w:tcMar>
            <w:vAlign w:val="center"/>
          </w:tcPr>
          <w:p w14:paraId="147DA02F" w14:textId="77777777" w:rsidR="0008774B" w:rsidRPr="00795F17" w:rsidRDefault="0008774B" w:rsidP="0065243A">
            <w:pPr>
              <w:pStyle w:val="Teksttabelisrodek"/>
            </w:pPr>
            <w:r w:rsidRPr="00795F17">
              <w:t>36</w:t>
            </w:r>
          </w:p>
        </w:tc>
        <w:tc>
          <w:tcPr>
            <w:tcW w:w="791" w:type="dxa"/>
            <w:tcMar>
              <w:left w:w="28" w:type="dxa"/>
              <w:right w:w="28" w:type="dxa"/>
            </w:tcMar>
            <w:vAlign w:val="center"/>
          </w:tcPr>
          <w:p w14:paraId="3276F0E9" w14:textId="77777777" w:rsidR="0008774B" w:rsidRPr="00795F17" w:rsidRDefault="0008774B" w:rsidP="0065243A">
            <w:pPr>
              <w:pStyle w:val="Teksttabelisrodek"/>
            </w:pPr>
            <w:r w:rsidRPr="00795F17">
              <w:t>64,3%</w:t>
            </w:r>
          </w:p>
        </w:tc>
        <w:tc>
          <w:tcPr>
            <w:tcW w:w="1786" w:type="dxa"/>
            <w:tcMar>
              <w:left w:w="28" w:type="dxa"/>
              <w:right w:w="28" w:type="dxa"/>
            </w:tcMar>
            <w:vAlign w:val="center"/>
          </w:tcPr>
          <w:p w14:paraId="1804D936" w14:textId="1A1AD55C" w:rsidR="0008774B" w:rsidRPr="00795F17" w:rsidRDefault="0008774B" w:rsidP="0065243A">
            <w:pPr>
              <w:pStyle w:val="Teksttabelisrodek"/>
            </w:pPr>
            <w:r w:rsidRPr="00795F17">
              <w:t>proc. ocen o</w:t>
            </w:r>
            <w:r w:rsidR="00DA61C3">
              <w:t> </w:t>
            </w:r>
            <w:r w:rsidRPr="00795F17">
              <w:t>wymaganej redukcji z</w:t>
            </w:r>
            <w:r w:rsidR="00DA61C3">
              <w:t> </w:t>
            </w:r>
            <w:r w:rsidRPr="00795F17">
              <w:t>działaniami</w:t>
            </w:r>
          </w:p>
        </w:tc>
      </w:tr>
      <w:tr w:rsidR="0008774B" w:rsidRPr="00795F17" w14:paraId="45C70210" w14:textId="77777777" w:rsidTr="005D42CC">
        <w:trPr>
          <w:trHeight w:val="454"/>
        </w:trPr>
        <w:tc>
          <w:tcPr>
            <w:tcW w:w="4248" w:type="dxa"/>
            <w:shd w:val="clear" w:color="auto" w:fill="auto"/>
            <w:noWrap/>
            <w:tcMar>
              <w:left w:w="28" w:type="dxa"/>
              <w:right w:w="28" w:type="dxa"/>
            </w:tcMar>
            <w:vAlign w:val="center"/>
            <w:hideMark/>
          </w:tcPr>
          <w:p w14:paraId="629D7E08" w14:textId="5BD15CF1" w:rsidR="0008774B" w:rsidRPr="00795F17" w:rsidRDefault="0008774B" w:rsidP="009B18FA">
            <w:pPr>
              <w:pStyle w:val="Teksttabelilewy"/>
              <w:ind w:left="57"/>
            </w:pPr>
            <w:r w:rsidRPr="00795F17">
              <w:t>Liczba działań dających założoną skuteczność redukcji dla liczby oznaczeń i maks. przekroczenie dla pojedynczego oznaczenia do 50%</w:t>
            </w:r>
            <w:r w:rsidR="00486CBA">
              <w:t>.</w:t>
            </w:r>
          </w:p>
        </w:tc>
        <w:tc>
          <w:tcPr>
            <w:tcW w:w="655" w:type="dxa"/>
            <w:shd w:val="clear" w:color="auto" w:fill="auto"/>
            <w:noWrap/>
            <w:tcMar>
              <w:left w:w="28" w:type="dxa"/>
              <w:right w:w="28" w:type="dxa"/>
            </w:tcMar>
            <w:vAlign w:val="center"/>
          </w:tcPr>
          <w:p w14:paraId="4EF8D837" w14:textId="77777777" w:rsidR="0008774B" w:rsidRPr="00795F17" w:rsidRDefault="0008774B" w:rsidP="0065243A">
            <w:pPr>
              <w:pStyle w:val="Teksttabelisrodek"/>
            </w:pPr>
            <w:r w:rsidRPr="00795F17">
              <w:t>21</w:t>
            </w:r>
          </w:p>
        </w:tc>
        <w:tc>
          <w:tcPr>
            <w:tcW w:w="791" w:type="dxa"/>
            <w:shd w:val="clear" w:color="auto" w:fill="auto"/>
            <w:noWrap/>
            <w:tcMar>
              <w:left w:w="28" w:type="dxa"/>
              <w:right w:w="28" w:type="dxa"/>
            </w:tcMar>
            <w:vAlign w:val="center"/>
          </w:tcPr>
          <w:p w14:paraId="3B8B919E" w14:textId="77777777" w:rsidR="0008774B" w:rsidRPr="00795F17" w:rsidRDefault="0008774B" w:rsidP="0065243A">
            <w:pPr>
              <w:pStyle w:val="Teksttabelisrodek"/>
            </w:pPr>
            <w:r w:rsidRPr="00795F17">
              <w:t>43,8%</w:t>
            </w:r>
          </w:p>
        </w:tc>
        <w:tc>
          <w:tcPr>
            <w:tcW w:w="791" w:type="dxa"/>
            <w:tcMar>
              <w:left w:w="28" w:type="dxa"/>
              <w:right w:w="28" w:type="dxa"/>
            </w:tcMar>
            <w:vAlign w:val="center"/>
          </w:tcPr>
          <w:p w14:paraId="745E39DB" w14:textId="77777777" w:rsidR="0008774B" w:rsidRPr="00795F17" w:rsidRDefault="0008774B" w:rsidP="0065243A">
            <w:pPr>
              <w:pStyle w:val="Teksttabelisrodek"/>
            </w:pPr>
            <w:r w:rsidRPr="00795F17">
              <w:t>21</w:t>
            </w:r>
          </w:p>
        </w:tc>
        <w:tc>
          <w:tcPr>
            <w:tcW w:w="791" w:type="dxa"/>
            <w:tcMar>
              <w:left w:w="28" w:type="dxa"/>
              <w:right w:w="28" w:type="dxa"/>
            </w:tcMar>
            <w:vAlign w:val="center"/>
          </w:tcPr>
          <w:p w14:paraId="5DDE7022" w14:textId="77777777" w:rsidR="0008774B" w:rsidRPr="00795F17" w:rsidRDefault="0008774B" w:rsidP="0065243A">
            <w:pPr>
              <w:pStyle w:val="Teksttabelisrodek"/>
            </w:pPr>
            <w:r w:rsidRPr="00795F17">
              <w:t>58,3%</w:t>
            </w:r>
          </w:p>
        </w:tc>
        <w:tc>
          <w:tcPr>
            <w:tcW w:w="1786" w:type="dxa"/>
            <w:tcMar>
              <w:left w:w="28" w:type="dxa"/>
              <w:right w:w="28" w:type="dxa"/>
            </w:tcMar>
            <w:vAlign w:val="center"/>
          </w:tcPr>
          <w:p w14:paraId="167947DF" w14:textId="3B9DA53B" w:rsidR="0008774B" w:rsidRPr="00795F17" w:rsidRDefault="0008774B" w:rsidP="0065243A">
            <w:pPr>
              <w:pStyle w:val="Teksttabelisrodek"/>
            </w:pPr>
            <w:r w:rsidRPr="00795F17">
              <w:t>proc. ocen jw., gdzie przekroczenia były niższe</w:t>
            </w:r>
            <w:r w:rsidR="00DA61C3">
              <w:t xml:space="preserve"> </w:t>
            </w:r>
            <w:r w:rsidRPr="00795F17">
              <w:t>niż</w:t>
            </w:r>
            <w:r w:rsidR="00DA61C3">
              <w:t> </w:t>
            </w:r>
            <w:r w:rsidRPr="00795F17">
              <w:t>50%</w:t>
            </w:r>
          </w:p>
        </w:tc>
      </w:tr>
    </w:tbl>
    <w:p w14:paraId="4B6D73AB" w14:textId="3626D485" w:rsidR="0008774B" w:rsidRPr="00795F17" w:rsidRDefault="0008774B" w:rsidP="0044393D">
      <w:pPr>
        <w:pStyle w:val="rdo"/>
      </w:pPr>
      <w:r w:rsidRPr="00795F17">
        <w:t xml:space="preserve">Źródło: </w:t>
      </w:r>
      <w:r w:rsidR="00FD7248" w:rsidRPr="00795F17">
        <w:t>opracowanie własne</w:t>
      </w:r>
    </w:p>
    <w:p w14:paraId="68DDD527" w14:textId="2F4C93E8" w:rsidR="0008774B" w:rsidRPr="00795F17" w:rsidRDefault="0008774B" w:rsidP="0044393D">
      <w:r w:rsidRPr="00795F17">
        <w:t xml:space="preserve">Skuteczność działań dla </w:t>
      </w:r>
      <w:r w:rsidR="006C26A1" w:rsidRPr="00795F17">
        <w:t xml:space="preserve">obszaru </w:t>
      </w:r>
      <w:r w:rsidRPr="00795F17">
        <w:t>dorzecza Odry odnosi się do obliczeń wykonanych dla ok</w:t>
      </w:r>
      <w:r w:rsidR="00DA61C3">
        <w:t>oło</w:t>
      </w:r>
      <w:r w:rsidRPr="00795F17">
        <w:t xml:space="preserve"> 14% </w:t>
      </w:r>
      <w:r w:rsidR="00DF005E">
        <w:t>JCWP</w:t>
      </w:r>
      <w:r w:rsidRPr="00795F17">
        <w:t xml:space="preserve"> rzecznych i 20% </w:t>
      </w:r>
      <w:r w:rsidR="00DF005E">
        <w:t>JCWP</w:t>
      </w:r>
      <w:r w:rsidRPr="00795F17">
        <w:t xml:space="preserve"> jeziornych, uzyskując podobnie, jak w skali kraju, znaczny odsetek oznaczeń z</w:t>
      </w:r>
      <w:r w:rsidR="00D40FDB" w:rsidRPr="00795F17">
        <w:t> </w:t>
      </w:r>
      <w:r w:rsidRPr="00795F17">
        <w:t xml:space="preserve">redukcją stężenia substancji priorytetowych, w tym istotny udział </w:t>
      </w:r>
      <w:r w:rsidR="00DF005E">
        <w:t>JCWP</w:t>
      </w:r>
      <w:r w:rsidRPr="00795F17">
        <w:t>, gdzie przekroczenia stężenia substancji wynoszą do 50%, tj. granicznego kryterium wystąpienia presji znaczącej.</w:t>
      </w:r>
    </w:p>
    <w:p w14:paraId="43E109A6" w14:textId="63F724C3" w:rsidR="0008774B" w:rsidRPr="00795F17" w:rsidRDefault="0008774B" w:rsidP="0044393D">
      <w:r w:rsidRPr="00795F17">
        <w:t xml:space="preserve">W przypadku wód przybrzeżnych i przejściowych, pomimo realizacji działań we wszystkich </w:t>
      </w:r>
      <w:r w:rsidR="00DF005E">
        <w:t>JCWP</w:t>
      </w:r>
      <w:r w:rsidRPr="00795F17">
        <w:t xml:space="preserve"> </w:t>
      </w:r>
      <w:r w:rsidR="00F52D81">
        <w:t>–</w:t>
      </w:r>
      <w:r w:rsidRPr="00795F17">
        <w:t xml:space="preserve"> uzyskano zły stan chemiczny, nie osiągając celów środowiskowych. Przyczyną braku możliwości wykazania skuteczności działań było przede wszystkim stwierdzenie pogorszenia stanu chemicznego wskutek rozpoczęcia monitoringu bioty oraz zmiana rozporządzenia klasyfikacyjnego dla substancji priorytetowych. </w:t>
      </w:r>
    </w:p>
    <w:p w14:paraId="2B3C0CEF" w14:textId="77777777" w:rsidR="0008774B" w:rsidRPr="00795F17" w:rsidRDefault="0008774B" w:rsidP="00C53C86">
      <w:pPr>
        <w:pStyle w:val="Nagwek3"/>
      </w:pPr>
      <w:bookmarkStart w:id="882" w:name="_Toc105512721"/>
      <w:r w:rsidRPr="00795F17">
        <w:t>Działania służące eliminacji stężeń substancji priorytetowych w ramach IIaPGW</w:t>
      </w:r>
      <w:bookmarkEnd w:id="882"/>
    </w:p>
    <w:p w14:paraId="39C8E851" w14:textId="7FC8385C" w:rsidR="0008774B" w:rsidRPr="00795F17" w:rsidRDefault="0008774B" w:rsidP="0044393D">
      <w:r w:rsidRPr="00795F17">
        <w:t xml:space="preserve">Planowane w IIaPGW działania służące eliminacji stężeń substancji priorytetowych ze środowiska wodnego </w:t>
      </w:r>
      <w:r w:rsidR="00D40FDB" w:rsidRPr="00795F17">
        <w:t xml:space="preserve">obejmują zarówno działania o </w:t>
      </w:r>
      <w:r w:rsidRPr="00795F17">
        <w:t>charakterze krajowym</w:t>
      </w:r>
      <w:r w:rsidR="00D40FDB" w:rsidRPr="00795F17">
        <w:t xml:space="preserve"> prolongowane z aPGW i odniesione do aktualnych wymagań przepisów</w:t>
      </w:r>
      <w:r w:rsidRPr="00795F17">
        <w:t>,</w:t>
      </w:r>
      <w:r w:rsidR="00D40FDB" w:rsidRPr="00795F17">
        <w:t xml:space="preserve"> jak również działania nowe, których obowiązek realizacji wynika z nowych regulacji prawnych</w:t>
      </w:r>
      <w:r w:rsidRPr="00795F17">
        <w:t>.</w:t>
      </w:r>
    </w:p>
    <w:p w14:paraId="6B854DCE" w14:textId="49E4225F" w:rsidR="0008774B" w:rsidRPr="00795F17" w:rsidRDefault="0008774B" w:rsidP="0044393D">
      <w:r w:rsidRPr="00795F17">
        <w:t>Zbiór regulacji prawnych jest podstawą działań dla eliminacji</w:t>
      </w:r>
      <w:r w:rsidR="00D40FDB" w:rsidRPr="00795F17">
        <w:t xml:space="preserve"> emisji</w:t>
      </w:r>
      <w:r w:rsidRPr="00795F17">
        <w:t xml:space="preserve"> substancji priorytetowych </w:t>
      </w:r>
      <w:r w:rsidR="00D40FDB" w:rsidRPr="00795F17">
        <w:t>do </w:t>
      </w:r>
      <w:r w:rsidRPr="00795F17">
        <w:t>środowiska. Zobowiązania narzucone na podmioty i organy administracyjne tworzą system umożliwiający w cyklu planistycznym redukcję uwalniania zanieczyszczeń.</w:t>
      </w:r>
    </w:p>
    <w:p w14:paraId="7406C4A1" w14:textId="46788D46" w:rsidR="0008774B" w:rsidRPr="00795F17" w:rsidRDefault="0008774B" w:rsidP="0044393D">
      <w:r w:rsidRPr="00795F17">
        <w:t>Zestaw działań tworzących katalog krajowy zawiera zaktualizowany wykaz obowiązków wraz</w:t>
      </w:r>
      <w:r w:rsidR="00442082">
        <w:t> </w:t>
      </w:r>
      <w:r w:rsidRPr="00795F17">
        <w:t>z</w:t>
      </w:r>
      <w:r w:rsidR="00CC513F" w:rsidRPr="00795F17">
        <w:t> </w:t>
      </w:r>
      <w:r w:rsidRPr="00795F17">
        <w:t xml:space="preserve">odniesieniem do aktualnej podstawy prawnej w przepisach krajowych oraz </w:t>
      </w:r>
      <w:r w:rsidR="00F52D81">
        <w:t>UE</w:t>
      </w:r>
      <w:r w:rsidRPr="00795F17">
        <w:t>. Działania prolongowane dające możliwość eliminacji substancji priorytetowych stanowią w katalogu działań krajowych liczną grupę</w:t>
      </w:r>
      <w:r w:rsidR="00D40FDB" w:rsidRPr="00795F17">
        <w:t xml:space="preserve">, obejmującą </w:t>
      </w:r>
      <w:r w:rsidR="003E5842" w:rsidRPr="00795F17">
        <w:t>55</w:t>
      </w:r>
      <w:r w:rsidR="00D40FDB" w:rsidRPr="00795F17">
        <w:t>% wszystkich działań w katalogu krajowym</w:t>
      </w:r>
      <w:r w:rsidRPr="00795F17">
        <w:t xml:space="preserve">. </w:t>
      </w:r>
    </w:p>
    <w:p w14:paraId="77183BE3" w14:textId="19D085B5" w:rsidR="00D40FDB" w:rsidRPr="00795F17" w:rsidRDefault="00D40FDB" w:rsidP="0044393D">
      <w:r w:rsidRPr="00795F17">
        <w:t xml:space="preserve">Poza zbiorem działań z poprzedniego cyklu wskazanych do prolongaty, uzupełniono listę działań ogólnokrajowych o inne obowiązujące wymagania wynikające z przepisów </w:t>
      </w:r>
      <w:r w:rsidR="00F52D81">
        <w:t>–</w:t>
      </w:r>
      <w:r w:rsidRPr="00795F17">
        <w:t xml:space="preserve"> opisane w katalogu krajowym jako działania nowe. Wśród nich wyróżnia się m.in.: </w:t>
      </w:r>
    </w:p>
    <w:p w14:paraId="60A77605" w14:textId="77777777" w:rsidR="00D40FDB" w:rsidRPr="00795F17" w:rsidRDefault="00D40FDB" w:rsidP="00117E86">
      <w:pPr>
        <w:pStyle w:val="Listapunktowana2"/>
      </w:pPr>
      <w:r w:rsidRPr="00795F17">
        <w:t xml:space="preserve">obowiązki podmiotów i organów w ramach procedury oceny wodnoprawnej; </w:t>
      </w:r>
    </w:p>
    <w:p w14:paraId="080C442A" w14:textId="77777777" w:rsidR="00D40FDB" w:rsidRPr="00795F17" w:rsidRDefault="00D40FDB" w:rsidP="00117E86">
      <w:pPr>
        <w:pStyle w:val="Listapunktowana2"/>
      </w:pPr>
      <w:r w:rsidRPr="00795F17">
        <w:t xml:space="preserve">przeglądy pozwoleń wodnoprawnych, dla wód zagrożonych nieosiągnięciem celów środowiskowych; </w:t>
      </w:r>
    </w:p>
    <w:p w14:paraId="618F85D3" w14:textId="06F367B3" w:rsidR="00D40FDB" w:rsidRPr="00795F17" w:rsidRDefault="00D40FDB" w:rsidP="00117E86">
      <w:pPr>
        <w:pStyle w:val="Listapunktowana2"/>
      </w:pPr>
      <w:r w:rsidRPr="00795F17">
        <w:t>wymagania odnośnie substancji zanieczyszczających, które mogą być odprowadzane w</w:t>
      </w:r>
      <w:r w:rsidR="00704829" w:rsidRPr="00795F17">
        <w:t> </w:t>
      </w:r>
      <w:r w:rsidRPr="00795F17">
        <w:t xml:space="preserve">ściekach przemysłowych; </w:t>
      </w:r>
    </w:p>
    <w:p w14:paraId="61954ECD" w14:textId="7E0433FD" w:rsidR="00D40FDB" w:rsidRPr="00795F17" w:rsidRDefault="00D40FDB" w:rsidP="00117E86">
      <w:pPr>
        <w:pStyle w:val="Listapunktowana2"/>
      </w:pPr>
      <w:r w:rsidRPr="00795F17">
        <w:t>wymagania w zakresie odprowadzania wód opadowych;</w:t>
      </w:r>
      <w:r w:rsidR="00AD5CB7" w:rsidRPr="00795F17">
        <w:t xml:space="preserve"> </w:t>
      </w:r>
    </w:p>
    <w:p w14:paraId="7EB37C59" w14:textId="55EBA607" w:rsidR="00D40FDB" w:rsidRPr="00795F17" w:rsidRDefault="00D40FDB" w:rsidP="00117E86">
      <w:pPr>
        <w:pStyle w:val="Listapunktowana2"/>
      </w:pPr>
      <w:r w:rsidRPr="00795F17">
        <w:t>analizę warunków realizacji pozwoleń zintegrowanych, w tym weryfikacj</w:t>
      </w:r>
      <w:r w:rsidR="00704829" w:rsidRPr="00795F17">
        <w:t>ę</w:t>
      </w:r>
      <w:r w:rsidRPr="00795F17">
        <w:t xml:space="preserve"> wdrożenia konkluzji BAT; </w:t>
      </w:r>
    </w:p>
    <w:p w14:paraId="5E5C2E9A" w14:textId="77777777" w:rsidR="00D40FDB" w:rsidRPr="00795F17" w:rsidRDefault="00D40FDB" w:rsidP="00117E86">
      <w:pPr>
        <w:pStyle w:val="Listapunktowana2"/>
      </w:pPr>
      <w:r w:rsidRPr="00795F17">
        <w:t xml:space="preserve">zobowiązanie prowadzącego instalację do sporządzenia i przedłożenia przeglądu ekologicznego; </w:t>
      </w:r>
    </w:p>
    <w:p w14:paraId="433D81DF" w14:textId="024B5CD0" w:rsidR="00D40FDB" w:rsidRPr="00795F17" w:rsidRDefault="00D40FDB" w:rsidP="00117E86">
      <w:pPr>
        <w:pStyle w:val="Listapunktowana2"/>
      </w:pPr>
      <w:r w:rsidRPr="00795F17">
        <w:t>kontrole pozwoleń i naruszeń w zakresie gospodarowania odpadami;</w:t>
      </w:r>
      <w:r w:rsidR="00AD5CB7" w:rsidRPr="00795F17">
        <w:t xml:space="preserve"> </w:t>
      </w:r>
    </w:p>
    <w:p w14:paraId="4C7E8FA6" w14:textId="77777777" w:rsidR="00D40FDB" w:rsidRPr="00795F17" w:rsidRDefault="00D40FDB" w:rsidP="00117E86">
      <w:pPr>
        <w:pStyle w:val="Listapunktowana2"/>
      </w:pPr>
      <w:r w:rsidRPr="00795F17">
        <w:t xml:space="preserve">realizację zadań systemowych gospodarki odpadami zawartych w planach gospodarki odpadami; </w:t>
      </w:r>
    </w:p>
    <w:p w14:paraId="4436F4E0" w14:textId="20343A42" w:rsidR="00D40FDB" w:rsidRPr="00795F17" w:rsidRDefault="00D40FDB" w:rsidP="00117E86">
      <w:pPr>
        <w:pStyle w:val="Listapunktowana2"/>
      </w:pPr>
      <w:r w:rsidRPr="00795F17">
        <w:t>opracowanie analiz ryzyka dla ujęć wody;</w:t>
      </w:r>
      <w:r w:rsidR="00AD5CB7" w:rsidRPr="00795F17">
        <w:t xml:space="preserve"> </w:t>
      </w:r>
    </w:p>
    <w:p w14:paraId="0E4E0970" w14:textId="77777777" w:rsidR="00D40FDB" w:rsidRPr="00795F17" w:rsidRDefault="00D40FDB" w:rsidP="00117E86">
      <w:pPr>
        <w:pStyle w:val="Listapunktowana2"/>
      </w:pPr>
      <w:r w:rsidRPr="00795F17">
        <w:t xml:space="preserve">wymagania związane z ustanawianiem stref ochrony ujęć wód; </w:t>
      </w:r>
    </w:p>
    <w:p w14:paraId="64579736" w14:textId="0EABAD48" w:rsidR="00D40FDB" w:rsidRPr="00795F17" w:rsidRDefault="00D40FDB" w:rsidP="00117E86">
      <w:pPr>
        <w:pStyle w:val="Listapunktowana2"/>
      </w:pPr>
      <w:r w:rsidRPr="00795F17">
        <w:t>wymagania i ograniczenia wynikające z funkcjonowania obszarów ochronnych zbiorników wód śródlądowych;</w:t>
      </w:r>
      <w:r w:rsidR="00AD5CB7" w:rsidRPr="00795F17">
        <w:t xml:space="preserve"> </w:t>
      </w:r>
    </w:p>
    <w:p w14:paraId="2DF665AE" w14:textId="77777777" w:rsidR="00D40FDB" w:rsidRPr="00795F17" w:rsidRDefault="00D40FDB" w:rsidP="00117E86">
      <w:pPr>
        <w:pStyle w:val="Listapunktowana2"/>
      </w:pPr>
      <w:r w:rsidRPr="00795F17">
        <w:t xml:space="preserve">wymagania związane z wyznaczaniem oraz przeglądami obszarów i granic aglomeracji kanalizacyjnych. </w:t>
      </w:r>
    </w:p>
    <w:p w14:paraId="17B51DED" w14:textId="602C0D87" w:rsidR="00D40FDB" w:rsidRPr="00795F17" w:rsidRDefault="00D40FDB" w:rsidP="0044393D">
      <w:r w:rsidRPr="00795F17">
        <w:t xml:space="preserve">Kompletny katalog działań krajowych, prolongowanych i nowych w IIaPGW, ze szczegółowym opisem działania, a także wskazaniem jednostki odpowiedzialnej za realizację oraz harmonogramem realizacji </w:t>
      </w:r>
      <w:r w:rsidR="00F52D81">
        <w:t>–</w:t>
      </w:r>
      <w:r w:rsidRPr="00795F17">
        <w:t xml:space="preserve"> </w:t>
      </w:r>
      <w:r w:rsidR="00064AE0">
        <w:t>prezentuje załącznik</w:t>
      </w:r>
      <w:r w:rsidRPr="00795F17">
        <w:t xml:space="preserve"> nr </w:t>
      </w:r>
      <w:r w:rsidR="00CC04BE">
        <w:t>1</w:t>
      </w:r>
      <w:r w:rsidR="00704829" w:rsidRPr="00795F17">
        <w:t>1 (Katalog działań krajowych)</w:t>
      </w:r>
      <w:r w:rsidRPr="00795F17">
        <w:t xml:space="preserve">. </w:t>
      </w:r>
    </w:p>
    <w:p w14:paraId="1BA12B3D" w14:textId="0B20104B" w:rsidR="00D40FDB" w:rsidRPr="00795F17" w:rsidRDefault="00D40FDB" w:rsidP="0044393D">
      <w:r w:rsidRPr="00795F17">
        <w:t xml:space="preserve">Zestawy działań dla </w:t>
      </w:r>
      <w:r w:rsidR="00DF005E">
        <w:t>JCWP</w:t>
      </w:r>
      <w:r w:rsidRPr="00795F17">
        <w:t xml:space="preserve"> w IIaPGW zawierają grupy nowych działań ukierunkowanych na poprawę jakości wód. Obejmują one zarówno działania wspólne dla presji fizykochemicznych i chemicznych, jak</w:t>
      </w:r>
      <w:r w:rsidR="00704829" w:rsidRPr="00795F17">
        <w:t> </w:t>
      </w:r>
      <w:r w:rsidRPr="00795F17">
        <w:t>i</w:t>
      </w:r>
      <w:r w:rsidR="00DA61C3">
        <w:t> </w:t>
      </w:r>
      <w:r w:rsidRPr="00795F17">
        <w:t>działania ukierunkowane na poprawę chemicznego stanu wód. Poza działaniami zaprogramowanymi wyłącznie na redukcję presji chemicznych uwzględniają również działania skumulowane, dla których efekt poprawy elementów jakościowych stanu wód jest ściśle powiązany z</w:t>
      </w:r>
      <w:r w:rsidR="00704829" w:rsidRPr="00795F17">
        <w:t> </w:t>
      </w:r>
      <w:r w:rsidRPr="00795F17">
        <w:t xml:space="preserve">likwidacją innych presji, w tym hydromorfologicznych i ilościowych, głównie powiązanych z retencją. </w:t>
      </w:r>
    </w:p>
    <w:p w14:paraId="5EA77706" w14:textId="4C0D89DC" w:rsidR="0008774B" w:rsidRPr="00795F17" w:rsidRDefault="00D40FDB" w:rsidP="0044393D">
      <w:r w:rsidRPr="00795F17">
        <w:t xml:space="preserve">Propozycje działań uzupełniających i rozszerzających zakres </w:t>
      </w:r>
      <w:r w:rsidR="00704829" w:rsidRPr="00795F17">
        <w:t xml:space="preserve">działań </w:t>
      </w:r>
      <w:r w:rsidRPr="00795F17">
        <w:t>realizowanych w ramach aPGW, ukierunkowanych na stwierdzone presje chemiczne, zestawiono w katalogach działań, gdzie wyspecyfikowano zakres każdego z proponowanych działań wraz z prognozowaną oceną wpływu na</w:t>
      </w:r>
      <w:r w:rsidR="00704829" w:rsidRPr="00795F17">
        <w:t> </w:t>
      </w:r>
      <w:r w:rsidRPr="00795F17">
        <w:t>chemiczne presje w środowisku</w:t>
      </w:r>
      <w:bookmarkEnd w:id="863"/>
      <w:r w:rsidR="00704829" w:rsidRPr="00795F17">
        <w:t>.</w:t>
      </w:r>
    </w:p>
    <w:p w14:paraId="6DA7DCDF" w14:textId="544B6E29" w:rsidR="00A77BF1" w:rsidRPr="00795F17" w:rsidRDefault="00A77BF1" w:rsidP="00C53C86">
      <w:pPr>
        <w:pStyle w:val="Nagwek2"/>
      </w:pPr>
      <w:bookmarkStart w:id="883" w:name="_Toc66347832"/>
      <w:bookmarkStart w:id="884" w:name="_Toc105512722"/>
      <w:bookmarkEnd w:id="527"/>
      <w:r w:rsidRPr="00795F17">
        <w:t>Podsumowanie działań podjętych w celu zapobieżenia skutkom zanieczyszczeń niedających się przewidzieć lub łagodzenia tych skutków</w:t>
      </w:r>
      <w:bookmarkEnd w:id="883"/>
      <w:bookmarkEnd w:id="884"/>
    </w:p>
    <w:p w14:paraId="74C9709A" w14:textId="77777777" w:rsidR="009D5450" w:rsidRPr="00795F17" w:rsidRDefault="009D5450" w:rsidP="0044393D">
      <w:pPr>
        <w:pStyle w:val="Nagwek5"/>
      </w:pPr>
      <w:r w:rsidRPr="00795F17">
        <w:t>Działania wynikające z realizacji ogólnych wymagań prawnych</w:t>
      </w:r>
    </w:p>
    <w:p w14:paraId="6EF1C68B" w14:textId="54B97402" w:rsidR="009D5450" w:rsidRPr="00795F17" w:rsidRDefault="009D5450" w:rsidP="0044393D">
      <w:r w:rsidRPr="00795F17">
        <w:t>Problematyka ochrony przed skutkami niedających się przewidzieć zanieczyszczeń obejmuje system procedur w zakresie działań chroniących przed poważną awarią. Oznacza to zarówno zapobieganie zdarzeniom mogącym powodować awarię, jak i ograniczanie jej skutków dla ludzi i środowiska. Awarie kwalifikowane zgodnie z przepisami p.o.ś., jako zdarzenia poważne to te obejmujące w</w:t>
      </w:r>
      <w:r w:rsidR="00442082">
        <w:t> </w:t>
      </w:r>
      <w:r w:rsidRPr="00795F17">
        <w:t>szczególności emisję, pożar lub eksplozję i dotyczące procesu przemysłowego, magazynowania lub</w:t>
      </w:r>
      <w:r w:rsidR="00442082">
        <w:t> </w:t>
      </w:r>
      <w:r w:rsidRPr="00795F17">
        <w:t>transportu niebezpiecznych substancji, prowadzące w efekcie do zagrożenia życia i zdrowia ludzi lub</w:t>
      </w:r>
      <w:r w:rsidR="00442082">
        <w:t> </w:t>
      </w:r>
      <w:r w:rsidRPr="00795F17">
        <w:t>skażenia środowiska.</w:t>
      </w:r>
    </w:p>
    <w:p w14:paraId="4C5AB36A" w14:textId="6C1D35ED" w:rsidR="009D5450" w:rsidRPr="00795F17" w:rsidRDefault="009D5450" w:rsidP="0044393D">
      <w:r w:rsidRPr="00795F17">
        <w:t>Przepisy mające na celu identyfikację skutków awarii i ochronę przed nimi wynikają z implementacji do prawa krajowego wymagań określonych w przepisach UE:</w:t>
      </w:r>
    </w:p>
    <w:p w14:paraId="2D491098" w14:textId="2436DB9B" w:rsidR="009D5450" w:rsidRPr="00795F17" w:rsidRDefault="00EE534C" w:rsidP="00117E86">
      <w:pPr>
        <w:pStyle w:val="Listapunktowana2"/>
      </w:pPr>
      <w:r>
        <w:t>d</w:t>
      </w:r>
      <w:r w:rsidR="009D5450" w:rsidRPr="00795F17">
        <w:t>yrektywy 2003/105/WE Parlamentu Europejskiego i Rady z dnia 16 grudnia 2003 r. zmieniająca dyrektywę Rady 96/82/WE w sprawie kontroli niebezpieczeństwa poważnych awarii związanych z substancjami niebezpiecznymi (Dz.</w:t>
      </w:r>
      <w:r w:rsidR="006F5858" w:rsidRPr="003A57B5">
        <w:t xml:space="preserve"> </w:t>
      </w:r>
      <w:r w:rsidR="009D5450" w:rsidRPr="00795F17">
        <w:t>U</w:t>
      </w:r>
      <w:r w:rsidR="00F52D81">
        <w:t>rz</w:t>
      </w:r>
      <w:r w:rsidR="009D5450" w:rsidRPr="00795F17">
        <w:t>.</w:t>
      </w:r>
      <w:r w:rsidR="006F5858" w:rsidRPr="003A57B5">
        <w:t xml:space="preserve"> </w:t>
      </w:r>
      <w:r w:rsidR="009D5450" w:rsidRPr="00795F17">
        <w:t>UE</w:t>
      </w:r>
      <w:r w:rsidR="006F5858" w:rsidRPr="003A57B5">
        <w:t xml:space="preserve"> L 345 z 31.12.2003, str. 97 – Dz. Urz. UE Polskie wydanie specjalne, rozdz. 5, t. 4, str. 398);</w:t>
      </w:r>
    </w:p>
    <w:p w14:paraId="2DC3F8C3" w14:textId="662577DC" w:rsidR="009D5450" w:rsidRPr="00795F17" w:rsidRDefault="00680601" w:rsidP="0044393D">
      <w:r>
        <w:t>d</w:t>
      </w:r>
      <w:r w:rsidRPr="00795F17">
        <w:t xml:space="preserve">yrektywy </w:t>
      </w:r>
      <w:r>
        <w:t>Seveso-III.</w:t>
      </w:r>
      <w:r w:rsidR="009D5450" w:rsidRPr="00795F17">
        <w:t>Państwa UE mają obowiązek zapewnienia wdrożenia środków w celu usuwania skutków awarii w</w:t>
      </w:r>
      <w:r w:rsidR="00CB0824" w:rsidRPr="00795F17">
        <w:t> </w:t>
      </w:r>
      <w:r w:rsidR="009D5450" w:rsidRPr="00795F17">
        <w:t>zasięgu oddziaływania funkcjonowania instalacji przemysłowych, gdzie przechowywane są znaczne ilości niebezpiecznych substancji. Zobowiązano tym samym zakłady do informowania o narażeniu na</w:t>
      </w:r>
      <w:r w:rsidR="00442082">
        <w:t> </w:t>
      </w:r>
      <w:r w:rsidR="009D5450" w:rsidRPr="00795F17">
        <w:t xml:space="preserve">skutki awarii oraz ustanowienia systemów zarządzania bezpieczeństwem. </w:t>
      </w:r>
    </w:p>
    <w:p w14:paraId="5DBD9F1F" w14:textId="77777777" w:rsidR="009D5450" w:rsidRPr="00795F17" w:rsidRDefault="009D5450" w:rsidP="0044393D">
      <w:pPr>
        <w:pStyle w:val="Nagwek5"/>
      </w:pPr>
      <w:r w:rsidRPr="00795F17">
        <w:t>Funkcjonowanie systemu przeciwdziałania poważnym awariom przemysłowym</w:t>
      </w:r>
    </w:p>
    <w:p w14:paraId="45A9CD2A" w14:textId="69A4640A" w:rsidR="009D5450" w:rsidRPr="00795F17" w:rsidRDefault="009D5450" w:rsidP="0044393D">
      <w:r w:rsidRPr="00795F17">
        <w:t>Ustanowienie krajowego systemu przeciwdziałania poważnym awariom przemysłowym wprowadzono w latach 2001</w:t>
      </w:r>
      <w:r w:rsidR="00F52D81">
        <w:t>–</w:t>
      </w:r>
      <w:r w:rsidRPr="00795F17">
        <w:t xml:space="preserve">2003 przepisami p.o.ś. Podstawą polskich regulacji prawnych były przepisy </w:t>
      </w:r>
      <w:r w:rsidR="006F307A">
        <w:t>d</w:t>
      </w:r>
      <w:r w:rsidRPr="00795F17">
        <w:t xml:space="preserve">yrektywy </w:t>
      </w:r>
      <w:r w:rsidR="00922FD6">
        <w:rPr>
          <w:rFonts w:asciiTheme="minorHAnsi" w:hAnsiTheme="minorHAnsi" w:cstheme="minorHAnsi"/>
        </w:rPr>
        <w:t>Seveso-</w:t>
      </w:r>
      <w:r w:rsidR="00922FD6" w:rsidRPr="009F7F19">
        <w:rPr>
          <w:rFonts w:asciiTheme="minorHAnsi" w:hAnsiTheme="minorHAnsi"/>
        </w:rPr>
        <w:t xml:space="preserve">II </w:t>
      </w:r>
      <w:r w:rsidRPr="00795F17">
        <w:t xml:space="preserve">i następnie </w:t>
      </w:r>
      <w:r w:rsidR="00C967C1">
        <w:rPr>
          <w:rFonts w:asciiTheme="minorHAnsi" w:hAnsiTheme="minorHAnsi" w:cstheme="minorHAnsi"/>
        </w:rPr>
        <w:t>dyrektywy Seveso-</w:t>
      </w:r>
      <w:r w:rsidR="00C967C1" w:rsidRPr="009F7F19">
        <w:rPr>
          <w:rFonts w:asciiTheme="minorHAnsi" w:hAnsiTheme="minorHAnsi"/>
        </w:rPr>
        <w:t>III</w:t>
      </w:r>
      <w:r w:rsidRPr="00795F17">
        <w:t xml:space="preserve">. Dyrektywa </w:t>
      </w:r>
      <w:r w:rsidR="00AB116C" w:rsidRPr="00795F17">
        <w:t>SEVESO II</w:t>
      </w:r>
      <w:r w:rsidRPr="00795F17">
        <w:t xml:space="preserve"> miała na celu zapewnienie wysokiego poziomu ochrony ludzi i środowiska, poprzez wdrożenie odpowiednich systemów i</w:t>
      </w:r>
      <w:r w:rsidR="00442082">
        <w:t> </w:t>
      </w:r>
      <w:r w:rsidRPr="00795F17">
        <w:t xml:space="preserve">procedur służących zarządzaniu i kontroli zagrożeń związanych z substancjami niebezpiecznymi. Dyrektywa </w:t>
      </w:r>
      <w:r w:rsidR="001D5F5E">
        <w:rPr>
          <w:rFonts w:asciiTheme="minorHAnsi" w:hAnsiTheme="minorHAnsi" w:cstheme="minorHAnsi"/>
        </w:rPr>
        <w:t>Seveso-</w:t>
      </w:r>
      <w:r w:rsidR="001D5F5E" w:rsidRPr="009F7F19">
        <w:rPr>
          <w:rFonts w:asciiTheme="minorHAnsi" w:hAnsiTheme="minorHAnsi"/>
        </w:rPr>
        <w:t>III</w:t>
      </w:r>
      <w:r w:rsidRPr="009F7F19">
        <w:rPr>
          <w:rFonts w:asciiTheme="minorHAnsi" w:hAnsiTheme="minorHAnsi"/>
        </w:rPr>
        <w:t xml:space="preserve"> </w:t>
      </w:r>
      <w:r w:rsidRPr="00795F17">
        <w:t xml:space="preserve">wprowadziła nowy system klasyfikacji, oznakowania i pakowania chemikaliów, zasady dostępu społeczeństwa do informacji o właściwym postępowaniu w przypadku awarii prowadzącej do skażenia i jego udziału w procesie decyzyjnym, a także wzmocnienie zasad prowadzenia kontroli. </w:t>
      </w:r>
    </w:p>
    <w:p w14:paraId="1E30A2E5" w14:textId="3CD500D3" w:rsidR="009D5450" w:rsidRPr="00795F17" w:rsidRDefault="009D5450" w:rsidP="0044393D">
      <w:r w:rsidRPr="00795F17">
        <w:t>Dyrektywa SEVESO III klasyfikuje zakłady przemysłowe według poziomu ryzyka wystąpienia w</w:t>
      </w:r>
      <w:r w:rsidR="004407C8">
        <w:t> </w:t>
      </w:r>
      <w:r w:rsidRPr="00795F17">
        <w:t>nich awarii przemysłowej, dzieląc jednostki na:</w:t>
      </w:r>
    </w:p>
    <w:p w14:paraId="4AE5EE7A" w14:textId="77777777" w:rsidR="009D5450" w:rsidRPr="00795F17" w:rsidRDefault="009D5450" w:rsidP="00117E86">
      <w:pPr>
        <w:pStyle w:val="Listapunktowana2"/>
      </w:pPr>
      <w:r w:rsidRPr="00795F17">
        <w:t>zakłady o podwyższonym ryzyku wystąpienia awarii,</w:t>
      </w:r>
    </w:p>
    <w:p w14:paraId="71FA9C81" w14:textId="77777777" w:rsidR="009D5450" w:rsidRPr="00795F17" w:rsidRDefault="009D5450" w:rsidP="00117E86">
      <w:pPr>
        <w:pStyle w:val="Listapunktowana2"/>
      </w:pPr>
      <w:r w:rsidRPr="00795F17">
        <w:t>zakłady o wysokim ryzyku wystąpienia awarii przemysłowej.</w:t>
      </w:r>
    </w:p>
    <w:p w14:paraId="3652E711" w14:textId="18C46667" w:rsidR="009D5450" w:rsidRPr="00795F17" w:rsidRDefault="009D5450" w:rsidP="0044393D">
      <w:r w:rsidRPr="00795F17">
        <w:t>Na powyższe grupy nakłada się różne rodzaje obowiązków operacyjnych i sprawozdawczych. Od</w:t>
      </w:r>
      <w:r w:rsidR="00CB0824" w:rsidRPr="00795F17">
        <w:t> </w:t>
      </w:r>
      <w:r w:rsidRPr="00795F17">
        <w:t>zakładów o podwyższonym ryzyku wymaga się dokonania zgłoszenia o prowadzonej działalności do</w:t>
      </w:r>
      <w:r w:rsidR="00CB0824" w:rsidRPr="00795F17">
        <w:t> </w:t>
      </w:r>
      <w:r w:rsidRPr="00795F17">
        <w:t>odpowiedniego organu Państwowej Straży Pożarnej. Zakłady te muszą stworzyć i wdrożyć politykę zapobiegania poważnym awariom. Natomiast zakład</w:t>
      </w:r>
      <w:r w:rsidR="008C6575">
        <w:t>y</w:t>
      </w:r>
      <w:r w:rsidRPr="00795F17">
        <w:t xml:space="preserve"> o wysokim ryzyku mają dodatkowo obowiązek przygotowywania raportu o bezpieczeństwie i planów operacyjno</w:t>
      </w:r>
      <w:r w:rsidR="00182A26" w:rsidRPr="00795F17">
        <w:t>-</w:t>
      </w:r>
      <w:r w:rsidRPr="00795F17">
        <w:t>ratowniczych</w:t>
      </w:r>
      <w:r w:rsidR="00EE2A57">
        <w:t xml:space="preserve"> (wewnętrznego i</w:t>
      </w:r>
      <w:r w:rsidR="00E4726A">
        <w:t> </w:t>
      </w:r>
      <w:r w:rsidR="00EE2A57">
        <w:t>zewnętrznego)</w:t>
      </w:r>
      <w:r w:rsidRPr="00795F17">
        <w:t xml:space="preserve">. Dyrektywa SEVESO III nałożyła także obowiązek informacyjny na państwa członkowskie UE i zakłady funkcjonujące na terenie tych krajów. Każdy kraj </w:t>
      </w:r>
      <w:r w:rsidR="00F87DB9">
        <w:t xml:space="preserve">w </w:t>
      </w:r>
      <w:r w:rsidRPr="00795F17">
        <w:t>UE musi informować o właściwym postępowaniu w</w:t>
      </w:r>
      <w:r w:rsidR="00CB0824" w:rsidRPr="00795F17">
        <w:t> </w:t>
      </w:r>
      <w:r w:rsidRPr="00795F17">
        <w:t xml:space="preserve">przypadku awarii prowadzącej do skażenia środowiska. </w:t>
      </w:r>
    </w:p>
    <w:p w14:paraId="257747BA" w14:textId="0CC8A3F4" w:rsidR="009D5450" w:rsidRPr="00795F17" w:rsidRDefault="009D5450" w:rsidP="0044393D">
      <w:bookmarkStart w:id="885" w:name="_Hlk64937963"/>
      <w:r w:rsidRPr="00795F17">
        <w:t xml:space="preserve">W sprawie kontroli niebezpieczeństwa </w:t>
      </w:r>
      <w:r w:rsidR="00761935">
        <w:t xml:space="preserve">wystąpienia </w:t>
      </w:r>
      <w:r w:rsidRPr="00795F17">
        <w:t>poważny</w:t>
      </w:r>
      <w:r w:rsidR="00761935">
        <w:t xml:space="preserve">ch </w:t>
      </w:r>
      <w:r w:rsidRPr="00795F17">
        <w:t>awari</w:t>
      </w:r>
      <w:r w:rsidR="00761935">
        <w:t>i</w:t>
      </w:r>
      <w:r w:rsidRPr="00795F17">
        <w:t>, a także zapobiegania i</w:t>
      </w:r>
      <w:r w:rsidR="00761935">
        <w:t> </w:t>
      </w:r>
      <w:r w:rsidRPr="00795F17">
        <w:t>łagodzenia ich</w:t>
      </w:r>
      <w:r w:rsidR="00CB0824" w:rsidRPr="00795F17">
        <w:t> </w:t>
      </w:r>
      <w:r w:rsidRPr="00795F17">
        <w:t xml:space="preserve">skutków, funkcjonuje w strukturach UE Biuro </w:t>
      </w:r>
      <w:r w:rsidR="0005041F" w:rsidRPr="00795F17">
        <w:t>ds</w:t>
      </w:r>
      <w:r w:rsidRPr="00795F17">
        <w:t>. Zagrożeń Poważnymi Awariami (</w:t>
      </w:r>
      <w:r w:rsidRPr="00795F17">
        <w:rPr>
          <w:i/>
          <w:iCs/>
        </w:rPr>
        <w:t xml:space="preserve">Major Accident Hazard Bureau </w:t>
      </w:r>
      <w:r w:rsidR="008C6575">
        <w:t>–</w:t>
      </w:r>
      <w:r w:rsidRPr="00795F17">
        <w:t xml:space="preserve"> MAHB) Dyrekcji Generalnej </w:t>
      </w:r>
      <w:r w:rsidR="0005041F" w:rsidRPr="00795F17">
        <w:t>ds</w:t>
      </w:r>
      <w:r w:rsidRPr="00795F17">
        <w:t>. Środowiska. MAHB jest jednostką w</w:t>
      </w:r>
      <w:r w:rsidR="00203194">
        <w:t> </w:t>
      </w:r>
      <w:r w:rsidRPr="00795F17">
        <w:t>ramach Instytutu Wspólnego Centrum Badawczego Ochrony i Bezpieczeństwa Obywateli, do której zadań należy:</w:t>
      </w:r>
    </w:p>
    <w:p w14:paraId="6C076829" w14:textId="3B002B23" w:rsidR="009D5450" w:rsidRPr="00A8196D" w:rsidRDefault="009D5450" w:rsidP="00117E86">
      <w:pPr>
        <w:pStyle w:val="Listapunktowana2"/>
      </w:pPr>
      <w:r w:rsidRPr="00795F17">
        <w:t>zarządzanie systemem zgłaszania poważnych awarii (</w:t>
      </w:r>
      <w:r w:rsidRPr="00A8196D">
        <w:rPr>
          <w:i/>
        </w:rPr>
        <w:t>Major Accident Reporting System</w:t>
      </w:r>
      <w:r w:rsidRPr="00A8196D">
        <w:t xml:space="preserve"> </w:t>
      </w:r>
      <w:r w:rsidR="00B271C4" w:rsidRPr="00A8196D">
        <w:t>–</w:t>
      </w:r>
      <w:r w:rsidR="00B271C4" w:rsidRPr="00A8196D" w:rsidDel="009A7AB0">
        <w:t xml:space="preserve"> </w:t>
      </w:r>
      <w:r w:rsidRPr="00A8196D">
        <w:t xml:space="preserve">MARS); </w:t>
      </w:r>
    </w:p>
    <w:p w14:paraId="7333D292" w14:textId="29CF011F" w:rsidR="009D5450" w:rsidRPr="00795F17" w:rsidRDefault="009D5450" w:rsidP="00117E86">
      <w:pPr>
        <w:pStyle w:val="Listapunktowana2"/>
      </w:pPr>
      <w:r w:rsidRPr="00795F17">
        <w:t>udzielanie naukowego, technicznego i administracyjnego wsparcia Technicznym Grupom Roboczym (</w:t>
      </w:r>
      <w:r w:rsidRPr="00795F17">
        <w:rPr>
          <w:i/>
          <w:iCs/>
        </w:rPr>
        <w:t>Technical Working Group</w:t>
      </w:r>
      <w:r w:rsidRPr="00795F17">
        <w:t xml:space="preserve"> </w:t>
      </w:r>
      <w:r w:rsidR="008C6575">
        <w:t>–</w:t>
      </w:r>
      <w:r w:rsidRPr="00795F17">
        <w:t xml:space="preserve"> TWG); </w:t>
      </w:r>
    </w:p>
    <w:p w14:paraId="2622179D" w14:textId="6A4F1F61" w:rsidR="009D5450" w:rsidRPr="00795F17" w:rsidRDefault="009D5450" w:rsidP="00117E86">
      <w:pPr>
        <w:pStyle w:val="Listapunktowana2"/>
      </w:pPr>
      <w:r w:rsidRPr="00795F17">
        <w:t>zarządzanie Wspólnotowym Centrum Dokumentacji Zagrożeń Przemysłowych (</w:t>
      </w:r>
      <w:r w:rsidRPr="00795F17">
        <w:rPr>
          <w:i/>
          <w:iCs/>
        </w:rPr>
        <w:t>Community Documentation Centre on Industrial Risks</w:t>
      </w:r>
      <w:r w:rsidRPr="00795F17">
        <w:t xml:space="preserve"> </w:t>
      </w:r>
      <w:r w:rsidR="008C6575">
        <w:t>–</w:t>
      </w:r>
      <w:r w:rsidR="0005041F" w:rsidRPr="00795F17">
        <w:t xml:space="preserve"> </w:t>
      </w:r>
      <w:r w:rsidRPr="00795F17">
        <w:t>CDCIR).</w:t>
      </w:r>
    </w:p>
    <w:p w14:paraId="1DC9C713" w14:textId="51D3CD49" w:rsidR="009D5450" w:rsidRPr="00795F17" w:rsidRDefault="009D5450" w:rsidP="0044393D">
      <w:bookmarkStart w:id="886" w:name="_Hlk64937411"/>
      <w:bookmarkEnd w:id="885"/>
      <w:r w:rsidRPr="00795F17">
        <w:t xml:space="preserve">Na aktualny stan regulacji prawnych Polski dotyczących przeciwdziałania poważnym awariom przemysłowym składają się także przepisy Konwencji o ochronie środowiska morskiego obszaru Morza Bałtyckiego, sporządzonej w Helsinkach dnia 9 kwietnia 1992 r. (Dz.U. </w:t>
      </w:r>
      <w:r w:rsidR="008C6575">
        <w:t xml:space="preserve">z </w:t>
      </w:r>
      <w:r w:rsidRPr="00795F17">
        <w:t>2000</w:t>
      </w:r>
      <w:r w:rsidR="008C6575">
        <w:t xml:space="preserve"> r.</w:t>
      </w:r>
      <w:r w:rsidRPr="00795F17">
        <w:t xml:space="preserve"> nr 28</w:t>
      </w:r>
      <w:r w:rsidR="008C6575">
        <w:t>,</w:t>
      </w:r>
      <w:r w:rsidRPr="00795F17">
        <w:t xml:space="preserve"> poz. 346). Jako strona Konwencji, Polska jest zobowiązana do stosowania środków w celu zapobiegania i eliminowania zanieczyszczenia Bałtyku. </w:t>
      </w:r>
    </w:p>
    <w:bookmarkEnd w:id="886"/>
    <w:p w14:paraId="130F73D8" w14:textId="77777777" w:rsidR="009D5450" w:rsidRPr="00795F17" w:rsidRDefault="009D5450" w:rsidP="0044393D">
      <w:r w:rsidRPr="00795F17">
        <w:t>Krajowe przepisy regulują bezpieczeństwo w zakresie skutków awarii i zanieczyszczeń na kilku poziomach, obejmujących:</w:t>
      </w:r>
    </w:p>
    <w:p w14:paraId="52DBE349" w14:textId="77777777" w:rsidR="009D5450" w:rsidRPr="00795F17" w:rsidRDefault="009D5450" w:rsidP="00117E86">
      <w:pPr>
        <w:pStyle w:val="Listapunktowana2"/>
      </w:pPr>
      <w:r w:rsidRPr="00795F17">
        <w:t>przeciwdziałanie awariom i ich skutkom,</w:t>
      </w:r>
    </w:p>
    <w:p w14:paraId="58AB3BBD" w14:textId="77777777" w:rsidR="009D5450" w:rsidRPr="00795F17" w:rsidRDefault="009D5450" w:rsidP="00117E86">
      <w:pPr>
        <w:pStyle w:val="Listapunktowana2"/>
      </w:pPr>
      <w:r w:rsidRPr="00795F17">
        <w:t>warunki funkcjonowania instalacji przemysłowych,</w:t>
      </w:r>
    </w:p>
    <w:p w14:paraId="3C1FA1CB" w14:textId="77777777" w:rsidR="009D5450" w:rsidRPr="00795F17" w:rsidRDefault="009D5450" w:rsidP="00117E86">
      <w:pPr>
        <w:pStyle w:val="Listapunktowana2"/>
      </w:pPr>
      <w:r w:rsidRPr="00795F17">
        <w:t>systemy ostrzegania i przeciwdziałania skutkom awarii,</w:t>
      </w:r>
    </w:p>
    <w:p w14:paraId="248EC44F" w14:textId="77777777" w:rsidR="009D5450" w:rsidRPr="00795F17" w:rsidRDefault="009D5450" w:rsidP="00117E86">
      <w:pPr>
        <w:pStyle w:val="Listapunktowana2"/>
      </w:pPr>
      <w:r w:rsidRPr="00795F17">
        <w:t>planowanie przestrzenne w zakresie bezpieczeństwa ludności i środowiska.</w:t>
      </w:r>
    </w:p>
    <w:p w14:paraId="140DE331" w14:textId="175C0AE2" w:rsidR="009D5450" w:rsidRPr="00795F17" w:rsidRDefault="009D5450" w:rsidP="0044393D">
      <w:r w:rsidRPr="00795F17">
        <w:t xml:space="preserve">Zasadnicze grupy działań wraz określeniem podstawy prawnej oraz kompetencji służb, organów administracji i podmiotów prowadzących zakład/instalację </w:t>
      </w:r>
      <w:r w:rsidR="008C6575">
        <w:t>–</w:t>
      </w:r>
      <w:r w:rsidRPr="00795F17">
        <w:t xml:space="preserve"> zestawione zostały w tabeli </w:t>
      </w:r>
      <w:r w:rsidR="00305444" w:rsidRPr="00795F17">
        <w:t>13-</w:t>
      </w:r>
      <w:r w:rsidR="00CA7837" w:rsidRPr="00795F17">
        <w:t>2</w:t>
      </w:r>
      <w:r w:rsidR="00B3309A" w:rsidRPr="00795F17">
        <w:t>0</w:t>
      </w:r>
      <w:r w:rsidR="00305444" w:rsidRPr="00795F17">
        <w:t>.</w:t>
      </w:r>
      <w:r w:rsidRPr="00795F17">
        <w:t xml:space="preserve"> </w:t>
      </w:r>
    </w:p>
    <w:p w14:paraId="179E79FD" w14:textId="4E46782D" w:rsidR="008A4E08" w:rsidRPr="00795F17" w:rsidRDefault="008A4E08" w:rsidP="004D7705">
      <w:pPr>
        <w:pStyle w:val="Tabela"/>
      </w:pPr>
      <w:bookmarkStart w:id="887" w:name="_Toc105512906"/>
      <w:r w:rsidRPr="00795F17">
        <w:t xml:space="preserve">Tabela </w:t>
      </w:r>
      <w:fldSimple w:instr=" STYLEREF 1 \s ">
        <w:r w:rsidR="001F774D">
          <w:rPr>
            <w:noProof/>
          </w:rPr>
          <w:t>13</w:t>
        </w:r>
      </w:fldSimple>
      <w:r w:rsidR="00BB3B21" w:rsidRPr="00795F17">
        <w:noBreakHyphen/>
      </w:r>
      <w:fldSimple w:instr=" SEQ Tabela \* ARABIC \s 1 ">
        <w:r w:rsidR="001F774D">
          <w:rPr>
            <w:noProof/>
          </w:rPr>
          <w:t>20</w:t>
        </w:r>
      </w:fldSimple>
      <w:r w:rsidR="000B5450">
        <w:rPr>
          <w:noProof/>
        </w:rPr>
        <w:t>.</w:t>
      </w:r>
      <w:r w:rsidRPr="00795F17">
        <w:tab/>
      </w:r>
      <w:bookmarkStart w:id="888" w:name="_Toc66341978"/>
      <w:r w:rsidRPr="00795F17">
        <w:t>Zakres obowiązków w celu przeciwdziałania skutkom zanieczyszczeń wraz ze wskazaniem podmiotu odpowiedzialnego i podstawy prawnej działania</w:t>
      </w:r>
      <w:bookmarkEnd w:id="887"/>
      <w:bookmarkEnd w:id="8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5"/>
        <w:gridCol w:w="2766"/>
        <w:gridCol w:w="2350"/>
        <w:gridCol w:w="2571"/>
        <w:gridCol w:w="934"/>
      </w:tblGrid>
      <w:tr w:rsidR="009D5450" w:rsidRPr="00795F17" w14:paraId="7F7409D5" w14:textId="77777777" w:rsidTr="00577D99">
        <w:trPr>
          <w:trHeight w:val="397"/>
          <w:tblHeader/>
        </w:trPr>
        <w:tc>
          <w:tcPr>
            <w:tcW w:w="395" w:type="dxa"/>
            <w:shd w:val="clear" w:color="auto" w:fill="BFBFBF" w:themeFill="background1" w:themeFillShade="BF"/>
            <w:vAlign w:val="center"/>
            <w:hideMark/>
          </w:tcPr>
          <w:p w14:paraId="2F5EDEB9" w14:textId="77777777" w:rsidR="009D5450" w:rsidRPr="00795F17" w:rsidRDefault="009D5450" w:rsidP="004446A2">
            <w:pPr>
              <w:pStyle w:val="Teksttabelinaglowek"/>
            </w:pPr>
            <w:r w:rsidRPr="00795F17">
              <w:t>Lp.</w:t>
            </w:r>
          </w:p>
        </w:tc>
        <w:tc>
          <w:tcPr>
            <w:tcW w:w="2778" w:type="dxa"/>
            <w:shd w:val="clear" w:color="auto" w:fill="BFBFBF" w:themeFill="background1" w:themeFillShade="BF"/>
            <w:vAlign w:val="center"/>
            <w:hideMark/>
          </w:tcPr>
          <w:p w14:paraId="65932497" w14:textId="77777777" w:rsidR="009D5450" w:rsidRPr="00795F17" w:rsidRDefault="009D5450" w:rsidP="004446A2">
            <w:pPr>
              <w:pStyle w:val="Teksttabelinaglowek"/>
            </w:pPr>
            <w:r w:rsidRPr="00795F17">
              <w:t>Zakres działania</w:t>
            </w:r>
          </w:p>
        </w:tc>
        <w:tc>
          <w:tcPr>
            <w:tcW w:w="2355" w:type="dxa"/>
            <w:shd w:val="clear" w:color="auto" w:fill="BFBFBF" w:themeFill="background1" w:themeFillShade="BF"/>
            <w:vAlign w:val="center"/>
          </w:tcPr>
          <w:p w14:paraId="58EF9656" w14:textId="77777777" w:rsidR="009D5450" w:rsidRPr="00795F17" w:rsidRDefault="009D5450" w:rsidP="004446A2">
            <w:pPr>
              <w:pStyle w:val="Teksttabelinaglowek"/>
            </w:pPr>
            <w:r w:rsidRPr="00795F17">
              <w:t>Podmiot/organ/służby odpowiedzialne</w:t>
            </w:r>
          </w:p>
        </w:tc>
        <w:tc>
          <w:tcPr>
            <w:tcW w:w="2597" w:type="dxa"/>
            <w:shd w:val="clear" w:color="auto" w:fill="BFBFBF" w:themeFill="background1" w:themeFillShade="BF"/>
            <w:vAlign w:val="center"/>
            <w:hideMark/>
          </w:tcPr>
          <w:p w14:paraId="7A674724" w14:textId="77777777" w:rsidR="009D5450" w:rsidRPr="00795F17" w:rsidRDefault="009D5450" w:rsidP="004446A2">
            <w:pPr>
              <w:pStyle w:val="Teksttabelinaglowek"/>
            </w:pPr>
            <w:r w:rsidRPr="00795F17">
              <w:t>Podstawa prawna</w:t>
            </w:r>
          </w:p>
        </w:tc>
        <w:tc>
          <w:tcPr>
            <w:tcW w:w="937" w:type="dxa"/>
            <w:shd w:val="clear" w:color="auto" w:fill="BFBFBF" w:themeFill="background1" w:themeFillShade="BF"/>
            <w:vAlign w:val="center"/>
          </w:tcPr>
          <w:p w14:paraId="6721317A" w14:textId="77777777" w:rsidR="009D5450" w:rsidRPr="00795F17" w:rsidRDefault="009D5450" w:rsidP="004446A2">
            <w:pPr>
              <w:pStyle w:val="Teksttabelinaglowek"/>
            </w:pPr>
            <w:r w:rsidRPr="00795F17">
              <w:t>Artykuł</w:t>
            </w:r>
          </w:p>
        </w:tc>
      </w:tr>
      <w:tr w:rsidR="009D5450" w:rsidRPr="00795F17" w14:paraId="7A0AE687" w14:textId="77777777" w:rsidTr="00577D99">
        <w:trPr>
          <w:trHeight w:val="397"/>
        </w:trPr>
        <w:tc>
          <w:tcPr>
            <w:tcW w:w="395" w:type="dxa"/>
            <w:shd w:val="clear" w:color="auto" w:fill="auto"/>
            <w:vAlign w:val="center"/>
          </w:tcPr>
          <w:p w14:paraId="21AA1B87" w14:textId="3DFB6126" w:rsidR="009D5450" w:rsidRPr="00795F17" w:rsidRDefault="009D5450" w:rsidP="004446A2">
            <w:pPr>
              <w:pStyle w:val="Teksttabelisrodek"/>
            </w:pPr>
            <w:r w:rsidRPr="00795F17">
              <w:t>1</w:t>
            </w:r>
            <w:r w:rsidR="008A739A" w:rsidRPr="00795F17">
              <w:t>.</w:t>
            </w:r>
          </w:p>
        </w:tc>
        <w:tc>
          <w:tcPr>
            <w:tcW w:w="2778" w:type="dxa"/>
            <w:shd w:val="clear" w:color="auto" w:fill="auto"/>
            <w:vAlign w:val="center"/>
          </w:tcPr>
          <w:p w14:paraId="15EEDA4B" w14:textId="77777777" w:rsidR="009D5450" w:rsidRPr="00795F17" w:rsidRDefault="009D5450" w:rsidP="00AF391C">
            <w:pPr>
              <w:pStyle w:val="Teksttabelilewy"/>
              <w:ind w:left="57"/>
            </w:pPr>
            <w:r w:rsidRPr="00795F17">
              <w:t xml:space="preserve">Realizacja zadań w sprawach: </w:t>
            </w:r>
          </w:p>
          <w:p w14:paraId="07393755" w14:textId="77777777" w:rsidR="009D5450" w:rsidRPr="00795F17" w:rsidRDefault="009D5450" w:rsidP="00FE35DB">
            <w:pPr>
              <w:pStyle w:val="Teksttabelipunkty"/>
            </w:pPr>
            <w:r w:rsidRPr="00795F17">
              <w:t xml:space="preserve">przeciwdziałania poważnym awariom, </w:t>
            </w:r>
          </w:p>
          <w:p w14:paraId="390C6151" w14:textId="77777777" w:rsidR="009D5450" w:rsidRPr="00795F17" w:rsidRDefault="009D5450" w:rsidP="00FE35DB">
            <w:pPr>
              <w:pStyle w:val="Teksttabelipunkty"/>
            </w:pPr>
            <w:r w:rsidRPr="00795F17">
              <w:t>transgranicznych skutków awarii przemysłowych,</w:t>
            </w:r>
          </w:p>
          <w:p w14:paraId="2AFE2510" w14:textId="77777777" w:rsidR="009D5450" w:rsidRPr="00795F17" w:rsidRDefault="009D5450" w:rsidP="00FE35DB">
            <w:pPr>
              <w:pStyle w:val="Teksttabelipunkty"/>
            </w:pPr>
            <w:r w:rsidRPr="00795F17">
              <w:t>awaryjnych zanieczyszczeń wód granicznych</w:t>
            </w:r>
          </w:p>
        </w:tc>
        <w:tc>
          <w:tcPr>
            <w:tcW w:w="2355" w:type="dxa"/>
            <w:vAlign w:val="center"/>
          </w:tcPr>
          <w:p w14:paraId="72E098F9" w14:textId="77777777" w:rsidR="009D5450" w:rsidRPr="00795F17" w:rsidRDefault="009D5450" w:rsidP="00AF391C">
            <w:pPr>
              <w:pStyle w:val="Teksttabelisrodek"/>
              <w:ind w:left="57"/>
            </w:pPr>
            <w:r w:rsidRPr="00795F17">
              <w:t>Główny Inspektor Ochrony Środowiska</w:t>
            </w:r>
          </w:p>
        </w:tc>
        <w:tc>
          <w:tcPr>
            <w:tcW w:w="2597" w:type="dxa"/>
            <w:shd w:val="clear" w:color="auto" w:fill="auto"/>
            <w:vAlign w:val="center"/>
          </w:tcPr>
          <w:p w14:paraId="2D597135" w14:textId="27D7E548" w:rsidR="009D5450" w:rsidRPr="00795F17" w:rsidRDefault="00121282" w:rsidP="00AF391C">
            <w:pPr>
              <w:pStyle w:val="Teksttabelisrodek"/>
              <w:ind w:left="57"/>
              <w:jc w:val="left"/>
            </w:pPr>
            <w:r>
              <w:t>p.o.ś.</w:t>
            </w:r>
          </w:p>
        </w:tc>
        <w:tc>
          <w:tcPr>
            <w:tcW w:w="937" w:type="dxa"/>
            <w:vAlign w:val="center"/>
          </w:tcPr>
          <w:p w14:paraId="5B58D5B2" w14:textId="11139DB7" w:rsidR="009D5450" w:rsidRPr="00795F17" w:rsidRDefault="00704829" w:rsidP="004446A2">
            <w:pPr>
              <w:pStyle w:val="Teksttabelisrodek"/>
            </w:pPr>
            <w:r w:rsidRPr="00795F17">
              <w:t>art</w:t>
            </w:r>
            <w:r w:rsidR="009D5450" w:rsidRPr="00795F17">
              <w:t>. 271b</w:t>
            </w:r>
          </w:p>
        </w:tc>
      </w:tr>
      <w:tr w:rsidR="009D5450" w:rsidRPr="00795F17" w14:paraId="4B976913" w14:textId="77777777" w:rsidTr="00577D99">
        <w:trPr>
          <w:trHeight w:val="397"/>
        </w:trPr>
        <w:tc>
          <w:tcPr>
            <w:tcW w:w="395" w:type="dxa"/>
            <w:shd w:val="clear" w:color="auto" w:fill="auto"/>
            <w:vAlign w:val="center"/>
          </w:tcPr>
          <w:p w14:paraId="0F3AB338" w14:textId="6FCAB0F7" w:rsidR="009D5450" w:rsidRPr="00795F17" w:rsidRDefault="009D5450" w:rsidP="004446A2">
            <w:pPr>
              <w:pStyle w:val="Teksttabelisrodek"/>
            </w:pPr>
            <w:r w:rsidRPr="00795F17">
              <w:t>2</w:t>
            </w:r>
            <w:r w:rsidR="008A739A" w:rsidRPr="00795F17">
              <w:t>.</w:t>
            </w:r>
          </w:p>
        </w:tc>
        <w:tc>
          <w:tcPr>
            <w:tcW w:w="2778" w:type="dxa"/>
            <w:shd w:val="clear" w:color="auto" w:fill="auto"/>
            <w:vAlign w:val="center"/>
          </w:tcPr>
          <w:p w14:paraId="59FA2DA7" w14:textId="094D8476" w:rsidR="009D5450" w:rsidRPr="00795F17" w:rsidRDefault="009D5450" w:rsidP="00AF391C">
            <w:pPr>
              <w:pStyle w:val="Teksttabelilewy"/>
              <w:ind w:left="57"/>
            </w:pPr>
            <w:r w:rsidRPr="00795F17">
              <w:t>Obowiązek zgłoszenia zakładu o zwiększonym ryzyku lub o</w:t>
            </w:r>
            <w:r w:rsidR="0087248F">
              <w:t> </w:t>
            </w:r>
            <w:r w:rsidRPr="00795F17">
              <w:t>dużym ryzyku właściwemu komendantowi wojewódzkiemu Państwowej Straży Pożarnej</w:t>
            </w:r>
          </w:p>
        </w:tc>
        <w:tc>
          <w:tcPr>
            <w:tcW w:w="2355" w:type="dxa"/>
            <w:vAlign w:val="center"/>
          </w:tcPr>
          <w:p w14:paraId="6DB6565A" w14:textId="77777777" w:rsidR="009D5450" w:rsidRPr="00795F17" w:rsidRDefault="009D5450" w:rsidP="00AF391C">
            <w:pPr>
              <w:pStyle w:val="Teksttabelisrodek"/>
              <w:ind w:left="57"/>
            </w:pPr>
            <w:r w:rsidRPr="00795F17">
              <w:t>prowadzący zakład/instalację</w:t>
            </w:r>
          </w:p>
        </w:tc>
        <w:tc>
          <w:tcPr>
            <w:tcW w:w="2597" w:type="dxa"/>
            <w:shd w:val="clear" w:color="auto" w:fill="auto"/>
            <w:vAlign w:val="center"/>
          </w:tcPr>
          <w:p w14:paraId="071BB01D" w14:textId="103DC774" w:rsidR="009D5450" w:rsidRPr="00795F17" w:rsidRDefault="000A72FD" w:rsidP="00AF391C">
            <w:pPr>
              <w:pStyle w:val="Teksttabelisrodek"/>
              <w:ind w:left="57"/>
              <w:jc w:val="left"/>
            </w:pPr>
            <w:r>
              <w:t>p.o.ś.</w:t>
            </w:r>
          </w:p>
        </w:tc>
        <w:tc>
          <w:tcPr>
            <w:tcW w:w="937" w:type="dxa"/>
            <w:vAlign w:val="center"/>
          </w:tcPr>
          <w:p w14:paraId="4C3FEDED" w14:textId="733A1F77" w:rsidR="009D5450" w:rsidRPr="00795F17" w:rsidRDefault="00704829" w:rsidP="004446A2">
            <w:pPr>
              <w:pStyle w:val="Teksttabelisrodek"/>
            </w:pPr>
            <w:r w:rsidRPr="00795F17">
              <w:t>art</w:t>
            </w:r>
            <w:r w:rsidR="009D5450" w:rsidRPr="00795F17">
              <w:t>. 250</w:t>
            </w:r>
          </w:p>
        </w:tc>
      </w:tr>
      <w:tr w:rsidR="009D5450" w:rsidRPr="00795F17" w14:paraId="36F1C91C" w14:textId="77777777" w:rsidTr="00577D99">
        <w:trPr>
          <w:trHeight w:val="397"/>
        </w:trPr>
        <w:tc>
          <w:tcPr>
            <w:tcW w:w="395" w:type="dxa"/>
            <w:shd w:val="clear" w:color="auto" w:fill="auto"/>
            <w:vAlign w:val="center"/>
          </w:tcPr>
          <w:p w14:paraId="0AA6DECA" w14:textId="4DF3DC7B" w:rsidR="009D5450" w:rsidRPr="00795F17" w:rsidRDefault="009D5450" w:rsidP="004446A2">
            <w:pPr>
              <w:pStyle w:val="Teksttabelisrodek"/>
            </w:pPr>
            <w:r w:rsidRPr="00795F17">
              <w:t>3</w:t>
            </w:r>
            <w:r w:rsidR="008A739A" w:rsidRPr="00795F17">
              <w:t>.</w:t>
            </w:r>
          </w:p>
        </w:tc>
        <w:tc>
          <w:tcPr>
            <w:tcW w:w="2778" w:type="dxa"/>
            <w:shd w:val="clear" w:color="auto" w:fill="auto"/>
            <w:vAlign w:val="center"/>
            <w:hideMark/>
          </w:tcPr>
          <w:p w14:paraId="3EBD998A" w14:textId="77777777" w:rsidR="009D5450" w:rsidRPr="00795F17" w:rsidRDefault="009D5450" w:rsidP="00AF391C">
            <w:pPr>
              <w:pStyle w:val="Teksttabelilewy"/>
              <w:ind w:left="57"/>
            </w:pPr>
            <w:r w:rsidRPr="00795F17">
              <w:t>Sporządzanie i wdrażanie dokumentów precyzujących politykę przeciwdziałania poważnym awariom</w:t>
            </w:r>
          </w:p>
        </w:tc>
        <w:tc>
          <w:tcPr>
            <w:tcW w:w="2355" w:type="dxa"/>
            <w:vAlign w:val="center"/>
          </w:tcPr>
          <w:p w14:paraId="0AB818C8" w14:textId="77777777" w:rsidR="009D5450" w:rsidRPr="00795F17" w:rsidRDefault="009D5450" w:rsidP="00AF391C">
            <w:pPr>
              <w:pStyle w:val="Teksttabelisrodek"/>
              <w:ind w:left="57"/>
            </w:pPr>
            <w:r w:rsidRPr="00795F17">
              <w:t>prowadzący zakład/instalację</w:t>
            </w:r>
          </w:p>
        </w:tc>
        <w:tc>
          <w:tcPr>
            <w:tcW w:w="2597" w:type="dxa"/>
            <w:shd w:val="clear" w:color="auto" w:fill="auto"/>
            <w:vAlign w:val="center"/>
            <w:hideMark/>
          </w:tcPr>
          <w:p w14:paraId="539B555F" w14:textId="0721DDDB" w:rsidR="009D5450" w:rsidRPr="00795F17" w:rsidRDefault="000A72FD" w:rsidP="00AF391C">
            <w:pPr>
              <w:pStyle w:val="Teksttabelisrodek"/>
              <w:ind w:left="57"/>
              <w:jc w:val="left"/>
            </w:pPr>
            <w:r>
              <w:t>p.o.ś.</w:t>
            </w:r>
          </w:p>
        </w:tc>
        <w:tc>
          <w:tcPr>
            <w:tcW w:w="937" w:type="dxa"/>
            <w:vAlign w:val="center"/>
          </w:tcPr>
          <w:p w14:paraId="0926F781" w14:textId="31A5AC5D" w:rsidR="009D5450" w:rsidRPr="00795F17" w:rsidRDefault="00704829" w:rsidP="004446A2">
            <w:pPr>
              <w:pStyle w:val="Teksttabelisrodek"/>
            </w:pPr>
            <w:r w:rsidRPr="00795F17">
              <w:t>art</w:t>
            </w:r>
            <w:r w:rsidR="009D5450" w:rsidRPr="00795F17">
              <w:t xml:space="preserve">. 251 </w:t>
            </w:r>
            <w:r w:rsidRPr="00795F17">
              <w:t>art</w:t>
            </w:r>
            <w:r w:rsidR="009D5450" w:rsidRPr="00795F17">
              <w:t>. 252</w:t>
            </w:r>
          </w:p>
        </w:tc>
      </w:tr>
      <w:tr w:rsidR="009D5450" w:rsidRPr="00795F17" w14:paraId="542F381D" w14:textId="77777777" w:rsidTr="00577D99">
        <w:trPr>
          <w:trHeight w:val="397"/>
        </w:trPr>
        <w:tc>
          <w:tcPr>
            <w:tcW w:w="395" w:type="dxa"/>
            <w:shd w:val="clear" w:color="auto" w:fill="auto"/>
            <w:vAlign w:val="center"/>
          </w:tcPr>
          <w:p w14:paraId="74BD0851" w14:textId="1F5E3221" w:rsidR="009D5450" w:rsidRPr="00795F17" w:rsidRDefault="009D5450" w:rsidP="004446A2">
            <w:pPr>
              <w:pStyle w:val="Teksttabelisrodek"/>
            </w:pPr>
            <w:r w:rsidRPr="00795F17">
              <w:t>4</w:t>
            </w:r>
            <w:r w:rsidR="008A739A" w:rsidRPr="00795F17">
              <w:t>.</w:t>
            </w:r>
          </w:p>
        </w:tc>
        <w:tc>
          <w:tcPr>
            <w:tcW w:w="2778" w:type="dxa"/>
            <w:shd w:val="clear" w:color="auto" w:fill="auto"/>
            <w:vAlign w:val="center"/>
            <w:hideMark/>
          </w:tcPr>
          <w:p w14:paraId="12F500C4" w14:textId="77777777" w:rsidR="009D5450" w:rsidRPr="00795F17" w:rsidRDefault="009D5450" w:rsidP="00C15FCB">
            <w:pPr>
              <w:pStyle w:val="Teksttabelilewy"/>
              <w:ind w:left="57"/>
            </w:pPr>
            <w:r w:rsidRPr="00795F17">
              <w:t>Zapobieganie efektowi domina (zwiększeniu prawdopodobieństwa wystąpienia awarii przemysłowej lub pogłębianiu jej skutków)</w:t>
            </w:r>
          </w:p>
        </w:tc>
        <w:tc>
          <w:tcPr>
            <w:tcW w:w="2355" w:type="dxa"/>
            <w:vAlign w:val="center"/>
          </w:tcPr>
          <w:p w14:paraId="5C2B2410" w14:textId="5AF93EBA" w:rsidR="009D5450" w:rsidRPr="00795F17" w:rsidRDefault="009D5450" w:rsidP="00C15FCB">
            <w:pPr>
              <w:pStyle w:val="Teksttabelisrodek"/>
              <w:ind w:left="57"/>
            </w:pPr>
            <w:r w:rsidRPr="00795F17">
              <w:t>właściwy komendant wojewódzki Państwowej Straży Pożarnej (</w:t>
            </w:r>
            <w:r w:rsidR="00442820">
              <w:t>według</w:t>
            </w:r>
            <w:r w:rsidRPr="00795F17">
              <w:t xml:space="preserve"> informacji podanych przez prowadzących zakład)</w:t>
            </w:r>
          </w:p>
        </w:tc>
        <w:tc>
          <w:tcPr>
            <w:tcW w:w="2597" w:type="dxa"/>
            <w:shd w:val="clear" w:color="auto" w:fill="auto"/>
            <w:vAlign w:val="center"/>
            <w:hideMark/>
          </w:tcPr>
          <w:p w14:paraId="7E1350E0" w14:textId="54BD5440" w:rsidR="009D5450" w:rsidRPr="00795F17" w:rsidRDefault="000A72FD" w:rsidP="00C15FCB">
            <w:pPr>
              <w:pStyle w:val="Teksttabelisrodek"/>
              <w:ind w:left="57"/>
              <w:jc w:val="left"/>
            </w:pPr>
            <w:r>
              <w:t>p.o.ś.</w:t>
            </w:r>
          </w:p>
        </w:tc>
        <w:tc>
          <w:tcPr>
            <w:tcW w:w="937" w:type="dxa"/>
            <w:vAlign w:val="center"/>
          </w:tcPr>
          <w:p w14:paraId="4612A420" w14:textId="4D4B8ABE" w:rsidR="009D5450" w:rsidRPr="00795F17" w:rsidRDefault="00704829" w:rsidP="004446A2">
            <w:pPr>
              <w:pStyle w:val="Teksttabelisrodek"/>
            </w:pPr>
            <w:r w:rsidRPr="00795F17">
              <w:t>art</w:t>
            </w:r>
            <w:r w:rsidR="009D5450" w:rsidRPr="00795F17">
              <w:t>. 264d</w:t>
            </w:r>
          </w:p>
        </w:tc>
      </w:tr>
      <w:tr w:rsidR="009D5450" w:rsidRPr="00795F17" w14:paraId="4A7DD216" w14:textId="77777777" w:rsidTr="00577D99">
        <w:trPr>
          <w:trHeight w:val="397"/>
        </w:trPr>
        <w:tc>
          <w:tcPr>
            <w:tcW w:w="395" w:type="dxa"/>
            <w:shd w:val="clear" w:color="auto" w:fill="auto"/>
            <w:vAlign w:val="center"/>
          </w:tcPr>
          <w:p w14:paraId="32889E3B" w14:textId="7BB5CE7D" w:rsidR="009D5450" w:rsidRPr="00795F17" w:rsidRDefault="009D5450" w:rsidP="004446A2">
            <w:pPr>
              <w:pStyle w:val="Teksttabelisrodek"/>
            </w:pPr>
            <w:r w:rsidRPr="00795F17">
              <w:t>5</w:t>
            </w:r>
            <w:r w:rsidR="008A739A" w:rsidRPr="00795F17">
              <w:t>.</w:t>
            </w:r>
          </w:p>
        </w:tc>
        <w:tc>
          <w:tcPr>
            <w:tcW w:w="2778" w:type="dxa"/>
            <w:shd w:val="clear" w:color="auto" w:fill="auto"/>
            <w:vAlign w:val="center"/>
            <w:hideMark/>
          </w:tcPr>
          <w:p w14:paraId="3E2B1447" w14:textId="26E85B83" w:rsidR="009D5450" w:rsidRPr="00795F17" w:rsidRDefault="009D5450" w:rsidP="00C15FCB">
            <w:pPr>
              <w:pStyle w:val="Teksttabelilewy"/>
              <w:ind w:left="57"/>
            </w:pPr>
            <w:r w:rsidRPr="00795F17">
              <w:t>Składanie sprawozdań o</w:t>
            </w:r>
            <w:r w:rsidR="003F6528">
              <w:t> </w:t>
            </w:r>
            <w:r w:rsidRPr="00795F17">
              <w:t>bezpieczeństwie</w:t>
            </w:r>
          </w:p>
        </w:tc>
        <w:tc>
          <w:tcPr>
            <w:tcW w:w="2355" w:type="dxa"/>
            <w:vAlign w:val="center"/>
          </w:tcPr>
          <w:p w14:paraId="15B5AF47" w14:textId="77777777" w:rsidR="009D5450" w:rsidRPr="00795F17" w:rsidRDefault="009D5450" w:rsidP="00C15FCB">
            <w:pPr>
              <w:pStyle w:val="Teksttabelisrodek"/>
              <w:ind w:left="57"/>
            </w:pPr>
            <w:r w:rsidRPr="00795F17">
              <w:t>prowadzący zakład/instalację</w:t>
            </w:r>
          </w:p>
        </w:tc>
        <w:tc>
          <w:tcPr>
            <w:tcW w:w="2597" w:type="dxa"/>
            <w:shd w:val="clear" w:color="auto" w:fill="auto"/>
            <w:vAlign w:val="center"/>
            <w:hideMark/>
          </w:tcPr>
          <w:p w14:paraId="7611F535" w14:textId="211E36A1" w:rsidR="009D5450" w:rsidRPr="00795F17" w:rsidRDefault="000A72FD" w:rsidP="00C15FCB">
            <w:pPr>
              <w:pStyle w:val="Teksttabelisrodek"/>
              <w:ind w:left="57"/>
              <w:jc w:val="left"/>
            </w:pPr>
            <w:r>
              <w:t>p.o.ś.</w:t>
            </w:r>
          </w:p>
        </w:tc>
        <w:tc>
          <w:tcPr>
            <w:tcW w:w="937" w:type="dxa"/>
            <w:vAlign w:val="center"/>
          </w:tcPr>
          <w:p w14:paraId="29F8D7DC" w14:textId="5AE245AD" w:rsidR="009D5450" w:rsidRPr="00795F17" w:rsidRDefault="00704829" w:rsidP="004446A2">
            <w:pPr>
              <w:pStyle w:val="Teksttabelisrodek"/>
            </w:pPr>
            <w:r w:rsidRPr="00795F17">
              <w:t>art</w:t>
            </w:r>
            <w:r w:rsidR="009D5450" w:rsidRPr="00795F17">
              <w:t xml:space="preserve">. 253 </w:t>
            </w:r>
            <w:r w:rsidRPr="00795F17">
              <w:t>art</w:t>
            </w:r>
            <w:r w:rsidR="009D5450" w:rsidRPr="00795F17">
              <w:t xml:space="preserve">. 254 </w:t>
            </w:r>
            <w:r w:rsidRPr="00795F17">
              <w:t>art</w:t>
            </w:r>
            <w:r w:rsidR="009D5450" w:rsidRPr="00795F17">
              <w:t>. 256</w:t>
            </w:r>
          </w:p>
        </w:tc>
      </w:tr>
      <w:tr w:rsidR="009D5450" w:rsidRPr="00795F17" w14:paraId="7EF1604C" w14:textId="77777777" w:rsidTr="00577D99">
        <w:trPr>
          <w:trHeight w:val="397"/>
        </w:trPr>
        <w:tc>
          <w:tcPr>
            <w:tcW w:w="395" w:type="dxa"/>
            <w:shd w:val="clear" w:color="auto" w:fill="auto"/>
            <w:vAlign w:val="center"/>
          </w:tcPr>
          <w:p w14:paraId="57F1748D" w14:textId="08BF7B96" w:rsidR="009D5450" w:rsidRPr="00795F17" w:rsidRDefault="009D5450" w:rsidP="004446A2">
            <w:pPr>
              <w:pStyle w:val="Teksttabelisrodek"/>
            </w:pPr>
            <w:r w:rsidRPr="00795F17">
              <w:t>6</w:t>
            </w:r>
            <w:r w:rsidR="008A739A" w:rsidRPr="00795F17">
              <w:t>.</w:t>
            </w:r>
          </w:p>
        </w:tc>
        <w:tc>
          <w:tcPr>
            <w:tcW w:w="2778" w:type="dxa"/>
            <w:shd w:val="clear" w:color="auto" w:fill="auto"/>
            <w:vAlign w:val="center"/>
            <w:hideMark/>
          </w:tcPr>
          <w:p w14:paraId="651127E7" w14:textId="77777777" w:rsidR="009D5450" w:rsidRPr="00795F17" w:rsidRDefault="009D5450" w:rsidP="00C15FCB">
            <w:pPr>
              <w:pStyle w:val="Teksttabelilewy"/>
              <w:ind w:left="57"/>
            </w:pPr>
            <w:r w:rsidRPr="00795F17">
              <w:t>Sporządzanie wewnętrznych planów operacyjno-ratowniczych</w:t>
            </w:r>
          </w:p>
        </w:tc>
        <w:tc>
          <w:tcPr>
            <w:tcW w:w="2355" w:type="dxa"/>
            <w:vAlign w:val="center"/>
          </w:tcPr>
          <w:p w14:paraId="5E34AB39" w14:textId="77777777" w:rsidR="009D5450" w:rsidRPr="00795F17" w:rsidRDefault="009D5450" w:rsidP="00C15FCB">
            <w:pPr>
              <w:pStyle w:val="Teksttabelisrodek"/>
              <w:ind w:left="57"/>
            </w:pPr>
            <w:r w:rsidRPr="00795F17">
              <w:t>prowadzący zakład/instalację</w:t>
            </w:r>
          </w:p>
        </w:tc>
        <w:tc>
          <w:tcPr>
            <w:tcW w:w="2597" w:type="dxa"/>
            <w:shd w:val="clear" w:color="auto" w:fill="auto"/>
            <w:vAlign w:val="center"/>
            <w:hideMark/>
          </w:tcPr>
          <w:p w14:paraId="25998F89" w14:textId="3CC0F176" w:rsidR="009D5450" w:rsidRPr="00795F17" w:rsidRDefault="000A72FD" w:rsidP="00C15FCB">
            <w:pPr>
              <w:pStyle w:val="Teksttabelisrodek"/>
              <w:ind w:left="57"/>
              <w:jc w:val="left"/>
            </w:pPr>
            <w:r>
              <w:t>p.o.ś.</w:t>
            </w:r>
          </w:p>
        </w:tc>
        <w:tc>
          <w:tcPr>
            <w:tcW w:w="937" w:type="dxa"/>
            <w:vAlign w:val="center"/>
          </w:tcPr>
          <w:p w14:paraId="0F244ED8" w14:textId="1CDE6571" w:rsidR="009D5450" w:rsidRPr="00795F17" w:rsidRDefault="00704829" w:rsidP="004446A2">
            <w:pPr>
              <w:pStyle w:val="Teksttabelisrodek"/>
            </w:pPr>
            <w:r w:rsidRPr="00795F17">
              <w:t>art</w:t>
            </w:r>
            <w:r w:rsidR="009D5450" w:rsidRPr="00795F17">
              <w:t xml:space="preserve">. 260 </w:t>
            </w:r>
            <w:r w:rsidRPr="00795F17">
              <w:t>art</w:t>
            </w:r>
            <w:r w:rsidR="009D5450" w:rsidRPr="00795F17">
              <w:t>. 261</w:t>
            </w:r>
          </w:p>
        </w:tc>
      </w:tr>
      <w:tr w:rsidR="009D5450" w:rsidRPr="00795F17" w14:paraId="04503F21" w14:textId="77777777" w:rsidTr="00577D99">
        <w:trPr>
          <w:trHeight w:val="397"/>
        </w:trPr>
        <w:tc>
          <w:tcPr>
            <w:tcW w:w="395" w:type="dxa"/>
            <w:shd w:val="clear" w:color="auto" w:fill="auto"/>
            <w:vAlign w:val="center"/>
          </w:tcPr>
          <w:p w14:paraId="0D084DC8" w14:textId="34F4EBCE" w:rsidR="009D5450" w:rsidRPr="00795F17" w:rsidRDefault="009D5450" w:rsidP="004446A2">
            <w:pPr>
              <w:pStyle w:val="Teksttabelisrodek"/>
            </w:pPr>
            <w:r w:rsidRPr="00795F17">
              <w:t>7</w:t>
            </w:r>
            <w:r w:rsidR="008A739A" w:rsidRPr="00795F17">
              <w:t>.</w:t>
            </w:r>
          </w:p>
        </w:tc>
        <w:tc>
          <w:tcPr>
            <w:tcW w:w="2778" w:type="dxa"/>
            <w:shd w:val="clear" w:color="auto" w:fill="auto"/>
            <w:vAlign w:val="center"/>
            <w:hideMark/>
          </w:tcPr>
          <w:p w14:paraId="129CA309" w14:textId="77777777" w:rsidR="009D5450" w:rsidRPr="00795F17" w:rsidRDefault="009D5450" w:rsidP="00C15FCB">
            <w:pPr>
              <w:pStyle w:val="Teksttabelilewy"/>
              <w:ind w:left="57"/>
            </w:pPr>
            <w:r w:rsidRPr="00795F17">
              <w:t>Sporządzanie zewnętrznych planów operacyjno-ratowniczych</w:t>
            </w:r>
          </w:p>
        </w:tc>
        <w:tc>
          <w:tcPr>
            <w:tcW w:w="2355" w:type="dxa"/>
            <w:vAlign w:val="center"/>
          </w:tcPr>
          <w:p w14:paraId="1E275EA6" w14:textId="3B0B6EB5" w:rsidR="009D5450" w:rsidRPr="00795F17" w:rsidRDefault="009D5450" w:rsidP="00C15FCB">
            <w:pPr>
              <w:pStyle w:val="Teksttabelisrodek"/>
              <w:ind w:left="57"/>
            </w:pPr>
            <w:r w:rsidRPr="00795F17">
              <w:t>właściwy komendant wojewódzki Państwowej Straży Pożarnej (</w:t>
            </w:r>
            <w:r w:rsidR="00442820">
              <w:t>według</w:t>
            </w:r>
            <w:r w:rsidRPr="00795F17">
              <w:t xml:space="preserve"> informacji przedstawionych przez prowadzącego zakład o dużym ryzyku)</w:t>
            </w:r>
          </w:p>
        </w:tc>
        <w:tc>
          <w:tcPr>
            <w:tcW w:w="2597" w:type="dxa"/>
            <w:shd w:val="clear" w:color="auto" w:fill="auto"/>
            <w:vAlign w:val="center"/>
            <w:hideMark/>
          </w:tcPr>
          <w:p w14:paraId="6766B9A1" w14:textId="61836B9C" w:rsidR="009D5450" w:rsidRPr="00795F17" w:rsidRDefault="000A72FD" w:rsidP="00C15FCB">
            <w:pPr>
              <w:pStyle w:val="Teksttabelisrodek"/>
              <w:ind w:left="57"/>
              <w:jc w:val="left"/>
            </w:pPr>
            <w:r>
              <w:t>p.o.ś.</w:t>
            </w:r>
          </w:p>
        </w:tc>
        <w:tc>
          <w:tcPr>
            <w:tcW w:w="937" w:type="dxa"/>
            <w:vAlign w:val="center"/>
          </w:tcPr>
          <w:p w14:paraId="6AEC3F96" w14:textId="587B0BF7" w:rsidR="009D5450" w:rsidRPr="00795F17" w:rsidRDefault="00704829" w:rsidP="004446A2">
            <w:pPr>
              <w:pStyle w:val="Teksttabelisrodek"/>
            </w:pPr>
            <w:r w:rsidRPr="00795F17">
              <w:t>art</w:t>
            </w:r>
            <w:r w:rsidR="009D5450" w:rsidRPr="00795F17">
              <w:t xml:space="preserve">. 260 </w:t>
            </w:r>
            <w:r w:rsidRPr="00795F17">
              <w:t>art</w:t>
            </w:r>
            <w:r w:rsidR="009D5450" w:rsidRPr="00795F17">
              <w:t>. 265</w:t>
            </w:r>
          </w:p>
        </w:tc>
      </w:tr>
      <w:tr w:rsidR="009D5450" w:rsidRPr="00795F17" w14:paraId="089AD285" w14:textId="77777777" w:rsidTr="00577D99">
        <w:trPr>
          <w:trHeight w:val="397"/>
        </w:trPr>
        <w:tc>
          <w:tcPr>
            <w:tcW w:w="395" w:type="dxa"/>
            <w:shd w:val="clear" w:color="auto" w:fill="auto"/>
            <w:vAlign w:val="center"/>
          </w:tcPr>
          <w:p w14:paraId="15927C2E" w14:textId="33070E29" w:rsidR="009D5450" w:rsidRPr="00795F17" w:rsidRDefault="009D5450" w:rsidP="004446A2">
            <w:pPr>
              <w:pStyle w:val="Teksttabelisrodek"/>
            </w:pPr>
            <w:r w:rsidRPr="00795F17">
              <w:t>8</w:t>
            </w:r>
            <w:r w:rsidR="008A739A" w:rsidRPr="00795F17">
              <w:t>.</w:t>
            </w:r>
          </w:p>
        </w:tc>
        <w:tc>
          <w:tcPr>
            <w:tcW w:w="2778" w:type="dxa"/>
            <w:shd w:val="clear" w:color="auto" w:fill="auto"/>
            <w:vAlign w:val="center"/>
            <w:hideMark/>
          </w:tcPr>
          <w:p w14:paraId="2FB2A41D" w14:textId="4E1BAE81" w:rsidR="009D5450" w:rsidRPr="00795F17" w:rsidRDefault="009D5450" w:rsidP="00800379">
            <w:pPr>
              <w:pStyle w:val="Teksttabelilewy"/>
              <w:ind w:left="57"/>
            </w:pPr>
            <w:r w:rsidRPr="00795F17">
              <w:t xml:space="preserve">Obowiązki informacyjne względem społeczeństwa </w:t>
            </w:r>
            <w:r w:rsidR="00AF13C9" w:rsidRPr="00795F17">
              <w:t>-</w:t>
            </w:r>
            <w:r w:rsidRPr="00795F17">
              <w:t xml:space="preserve"> Państwowa Straż Pożarna</w:t>
            </w:r>
          </w:p>
        </w:tc>
        <w:tc>
          <w:tcPr>
            <w:tcW w:w="2355" w:type="dxa"/>
            <w:vAlign w:val="center"/>
          </w:tcPr>
          <w:p w14:paraId="734EB73C" w14:textId="77777777" w:rsidR="009D5450" w:rsidRPr="00795F17" w:rsidRDefault="009D5450" w:rsidP="00800379">
            <w:pPr>
              <w:pStyle w:val="Teksttabelisrodek"/>
              <w:ind w:left="57"/>
            </w:pPr>
            <w:r w:rsidRPr="00795F17">
              <w:t>właściwe organy Państwowej Straży Pożarnej</w:t>
            </w:r>
          </w:p>
        </w:tc>
        <w:tc>
          <w:tcPr>
            <w:tcW w:w="2597" w:type="dxa"/>
            <w:shd w:val="clear" w:color="auto" w:fill="auto"/>
            <w:vAlign w:val="center"/>
            <w:hideMark/>
          </w:tcPr>
          <w:p w14:paraId="2DD87CAC" w14:textId="7D1B9717" w:rsidR="009D5450" w:rsidRPr="00795F17" w:rsidRDefault="000A72FD" w:rsidP="00800379">
            <w:pPr>
              <w:pStyle w:val="Teksttabelisrodek"/>
              <w:ind w:left="57"/>
              <w:jc w:val="left"/>
            </w:pPr>
            <w:r>
              <w:t>p.o.ś.</w:t>
            </w:r>
          </w:p>
        </w:tc>
        <w:tc>
          <w:tcPr>
            <w:tcW w:w="937" w:type="dxa"/>
            <w:vAlign w:val="center"/>
          </w:tcPr>
          <w:p w14:paraId="6533A055" w14:textId="13C58D93" w:rsidR="009D5450" w:rsidRPr="00795F17" w:rsidRDefault="00704829" w:rsidP="004446A2">
            <w:pPr>
              <w:pStyle w:val="Teksttabelisrodek"/>
            </w:pPr>
            <w:r w:rsidRPr="00795F17">
              <w:t>art</w:t>
            </w:r>
            <w:r w:rsidR="009D5450" w:rsidRPr="00795F17">
              <w:t>. 267</w:t>
            </w:r>
          </w:p>
        </w:tc>
      </w:tr>
      <w:tr w:rsidR="009D5450" w:rsidRPr="00795F17" w14:paraId="68BE6CD7" w14:textId="77777777" w:rsidTr="00577D99">
        <w:trPr>
          <w:trHeight w:val="397"/>
        </w:trPr>
        <w:tc>
          <w:tcPr>
            <w:tcW w:w="395" w:type="dxa"/>
            <w:shd w:val="clear" w:color="auto" w:fill="auto"/>
            <w:vAlign w:val="center"/>
          </w:tcPr>
          <w:p w14:paraId="368AF289" w14:textId="30B709F2" w:rsidR="009D5450" w:rsidRPr="00795F17" w:rsidRDefault="009D5450" w:rsidP="004446A2">
            <w:pPr>
              <w:pStyle w:val="Teksttabelisrodek"/>
            </w:pPr>
            <w:r w:rsidRPr="00795F17">
              <w:t>9</w:t>
            </w:r>
            <w:r w:rsidR="008A739A" w:rsidRPr="00795F17">
              <w:t>.</w:t>
            </w:r>
          </w:p>
        </w:tc>
        <w:tc>
          <w:tcPr>
            <w:tcW w:w="2778" w:type="dxa"/>
            <w:shd w:val="clear" w:color="auto" w:fill="auto"/>
            <w:vAlign w:val="center"/>
            <w:hideMark/>
          </w:tcPr>
          <w:p w14:paraId="0B8750C8" w14:textId="77777777" w:rsidR="009D5450" w:rsidRPr="00795F17" w:rsidRDefault="009D5450" w:rsidP="00800379">
            <w:pPr>
              <w:pStyle w:val="Teksttabelilewy"/>
              <w:ind w:left="57"/>
            </w:pPr>
            <w:r w:rsidRPr="00795F17">
              <w:t>Obowiązki kontrolno-rozpoznawcze</w:t>
            </w:r>
          </w:p>
        </w:tc>
        <w:tc>
          <w:tcPr>
            <w:tcW w:w="2355" w:type="dxa"/>
            <w:vAlign w:val="center"/>
          </w:tcPr>
          <w:p w14:paraId="6132C86B" w14:textId="77777777" w:rsidR="009D5450" w:rsidRPr="00795F17" w:rsidRDefault="009D5450" w:rsidP="00800379">
            <w:pPr>
              <w:pStyle w:val="Teksttabelisrodek"/>
              <w:ind w:left="57"/>
            </w:pPr>
            <w:r w:rsidRPr="00795F17">
              <w:t>komendant powiatowy lub przy udziale komendanta wojewódzkiego Państwowej Straży Pożarnej</w:t>
            </w:r>
          </w:p>
        </w:tc>
        <w:tc>
          <w:tcPr>
            <w:tcW w:w="2597" w:type="dxa"/>
            <w:shd w:val="clear" w:color="auto" w:fill="auto"/>
            <w:vAlign w:val="center"/>
            <w:hideMark/>
          </w:tcPr>
          <w:p w14:paraId="480933A3" w14:textId="0298217F" w:rsidR="009D5450" w:rsidRPr="00795F17" w:rsidRDefault="000A72FD" w:rsidP="00800379">
            <w:pPr>
              <w:pStyle w:val="Teksttabelisrodek"/>
              <w:ind w:left="57"/>
              <w:jc w:val="left"/>
            </w:pPr>
            <w:r>
              <w:t>p.o.ś.</w:t>
            </w:r>
          </w:p>
        </w:tc>
        <w:tc>
          <w:tcPr>
            <w:tcW w:w="937" w:type="dxa"/>
            <w:vAlign w:val="center"/>
          </w:tcPr>
          <w:p w14:paraId="240ED998" w14:textId="49843F13" w:rsidR="009D5450" w:rsidRPr="00795F17" w:rsidRDefault="00704829" w:rsidP="004446A2">
            <w:pPr>
              <w:pStyle w:val="Teksttabelisrodek"/>
            </w:pPr>
            <w:r w:rsidRPr="00795F17">
              <w:t>art</w:t>
            </w:r>
            <w:r w:rsidR="009D5450" w:rsidRPr="00795F17">
              <w:t>. 269</w:t>
            </w:r>
          </w:p>
        </w:tc>
      </w:tr>
      <w:tr w:rsidR="009D5450" w:rsidRPr="00795F17" w14:paraId="53C40D1E" w14:textId="77777777" w:rsidTr="00577D99">
        <w:trPr>
          <w:trHeight w:val="397"/>
        </w:trPr>
        <w:tc>
          <w:tcPr>
            <w:tcW w:w="395" w:type="dxa"/>
            <w:shd w:val="clear" w:color="auto" w:fill="auto"/>
            <w:vAlign w:val="center"/>
          </w:tcPr>
          <w:p w14:paraId="6C625F07" w14:textId="79055497" w:rsidR="009D5450" w:rsidRPr="00795F17" w:rsidRDefault="009D5450" w:rsidP="004446A2">
            <w:pPr>
              <w:pStyle w:val="Teksttabelisrodek"/>
            </w:pPr>
            <w:r w:rsidRPr="00795F17">
              <w:t>10</w:t>
            </w:r>
            <w:r w:rsidR="008A739A" w:rsidRPr="00795F17">
              <w:t>.</w:t>
            </w:r>
          </w:p>
        </w:tc>
        <w:tc>
          <w:tcPr>
            <w:tcW w:w="2778" w:type="dxa"/>
            <w:shd w:val="clear" w:color="auto" w:fill="auto"/>
            <w:vAlign w:val="center"/>
            <w:hideMark/>
          </w:tcPr>
          <w:p w14:paraId="14E4711A" w14:textId="6D0EBAB7" w:rsidR="009D5450" w:rsidRPr="00795F17" w:rsidRDefault="009D5450" w:rsidP="00800379">
            <w:pPr>
              <w:pStyle w:val="Teksttabelilewy"/>
              <w:ind w:left="57"/>
            </w:pPr>
            <w:r w:rsidRPr="00795F17">
              <w:t>Obowiązki informacyjne w</w:t>
            </w:r>
            <w:r w:rsidR="00AF3A41">
              <w:t> </w:t>
            </w:r>
            <w:r w:rsidRPr="00795F17">
              <w:t>razie wystąpienia awarii</w:t>
            </w:r>
          </w:p>
        </w:tc>
        <w:tc>
          <w:tcPr>
            <w:tcW w:w="2355" w:type="dxa"/>
            <w:vAlign w:val="center"/>
          </w:tcPr>
          <w:p w14:paraId="1AD3B91B" w14:textId="77777777" w:rsidR="009D5450" w:rsidRPr="00795F17" w:rsidRDefault="009D5450" w:rsidP="00800379">
            <w:pPr>
              <w:pStyle w:val="Teksttabelisrodek"/>
              <w:ind w:left="57"/>
            </w:pPr>
            <w:r w:rsidRPr="00795F17">
              <w:t>prowadzący zakład/instalację</w:t>
            </w:r>
          </w:p>
        </w:tc>
        <w:tc>
          <w:tcPr>
            <w:tcW w:w="2597" w:type="dxa"/>
            <w:shd w:val="clear" w:color="auto" w:fill="auto"/>
            <w:vAlign w:val="center"/>
            <w:hideMark/>
          </w:tcPr>
          <w:p w14:paraId="4770FF4C" w14:textId="433586A6" w:rsidR="009D5450" w:rsidRPr="00795F17" w:rsidRDefault="000A72FD" w:rsidP="00800379">
            <w:pPr>
              <w:pStyle w:val="Teksttabelisrodek"/>
              <w:ind w:left="57"/>
              <w:jc w:val="left"/>
            </w:pPr>
            <w:r>
              <w:t>p.o.ś.</w:t>
            </w:r>
          </w:p>
        </w:tc>
        <w:tc>
          <w:tcPr>
            <w:tcW w:w="937" w:type="dxa"/>
            <w:vAlign w:val="center"/>
          </w:tcPr>
          <w:p w14:paraId="54FEF32E" w14:textId="463437BD" w:rsidR="009D5450" w:rsidRPr="00795F17" w:rsidRDefault="00704829" w:rsidP="004446A2">
            <w:pPr>
              <w:pStyle w:val="Teksttabelisrodek"/>
            </w:pPr>
            <w:r w:rsidRPr="00795F17">
              <w:t>art</w:t>
            </w:r>
            <w:r w:rsidR="009D5450" w:rsidRPr="00795F17">
              <w:t>. 264</w:t>
            </w:r>
          </w:p>
        </w:tc>
      </w:tr>
      <w:tr w:rsidR="009D5450" w:rsidRPr="00795F17" w14:paraId="6B64FA7E" w14:textId="77777777" w:rsidTr="00577D99">
        <w:trPr>
          <w:trHeight w:val="397"/>
        </w:trPr>
        <w:tc>
          <w:tcPr>
            <w:tcW w:w="395" w:type="dxa"/>
            <w:shd w:val="clear" w:color="auto" w:fill="auto"/>
            <w:vAlign w:val="center"/>
          </w:tcPr>
          <w:p w14:paraId="233816D6" w14:textId="5C8B103A" w:rsidR="009D5450" w:rsidRPr="00795F17" w:rsidRDefault="009D5450" w:rsidP="004446A2">
            <w:pPr>
              <w:pStyle w:val="Teksttabelisrodek"/>
            </w:pPr>
            <w:r w:rsidRPr="00795F17">
              <w:t>11</w:t>
            </w:r>
            <w:r w:rsidR="008A739A" w:rsidRPr="00795F17">
              <w:t>.</w:t>
            </w:r>
          </w:p>
        </w:tc>
        <w:tc>
          <w:tcPr>
            <w:tcW w:w="2778" w:type="dxa"/>
            <w:shd w:val="clear" w:color="auto" w:fill="auto"/>
            <w:vAlign w:val="center"/>
            <w:hideMark/>
          </w:tcPr>
          <w:p w14:paraId="39D0C88A" w14:textId="77777777" w:rsidR="009D5450" w:rsidRPr="00795F17" w:rsidRDefault="009D5450" w:rsidP="00800379">
            <w:pPr>
              <w:pStyle w:val="Teksttabelilewy"/>
              <w:ind w:left="57"/>
            </w:pPr>
            <w:r w:rsidRPr="00795F17">
              <w:t>Uwzględnienie problematyki awarii przemysłowych w aktach planowania przestrzennego</w:t>
            </w:r>
          </w:p>
        </w:tc>
        <w:tc>
          <w:tcPr>
            <w:tcW w:w="2355" w:type="dxa"/>
            <w:vAlign w:val="center"/>
          </w:tcPr>
          <w:p w14:paraId="19AA23D6" w14:textId="77777777" w:rsidR="009D5450" w:rsidRPr="00795F17" w:rsidRDefault="009D5450" w:rsidP="00800379">
            <w:pPr>
              <w:pStyle w:val="Teksttabelisrodek"/>
              <w:ind w:left="57"/>
            </w:pPr>
            <w:r w:rsidRPr="00795F17">
              <w:t>wójt, burmistrz lub prezydent miasta</w:t>
            </w:r>
          </w:p>
        </w:tc>
        <w:tc>
          <w:tcPr>
            <w:tcW w:w="2597" w:type="dxa"/>
            <w:shd w:val="clear" w:color="auto" w:fill="auto"/>
            <w:vAlign w:val="center"/>
            <w:hideMark/>
          </w:tcPr>
          <w:p w14:paraId="2F2D8A15" w14:textId="690A9B4B" w:rsidR="009D5450" w:rsidRPr="00795F17" w:rsidRDefault="003B6C60" w:rsidP="00800379">
            <w:pPr>
              <w:pStyle w:val="Teksttabelisrodek"/>
              <w:ind w:left="57"/>
              <w:jc w:val="left"/>
            </w:pPr>
            <w:r w:rsidRPr="00795F17">
              <w:t>u.p.i.z.p</w:t>
            </w:r>
          </w:p>
        </w:tc>
        <w:tc>
          <w:tcPr>
            <w:tcW w:w="937" w:type="dxa"/>
            <w:vAlign w:val="center"/>
          </w:tcPr>
          <w:p w14:paraId="01170A18" w14:textId="51148834" w:rsidR="009D5450" w:rsidRPr="00795F17" w:rsidRDefault="00704829" w:rsidP="004446A2">
            <w:pPr>
              <w:pStyle w:val="Teksttabelisrodek"/>
            </w:pPr>
            <w:r w:rsidRPr="00795F17">
              <w:t>art</w:t>
            </w:r>
            <w:r w:rsidR="009D5450" w:rsidRPr="00795F17">
              <w:t>. 1</w:t>
            </w:r>
          </w:p>
          <w:p w14:paraId="6BEAF29D" w14:textId="2617D4CE" w:rsidR="009D5450" w:rsidRPr="00795F17" w:rsidRDefault="00704829" w:rsidP="004446A2">
            <w:pPr>
              <w:pStyle w:val="Teksttabelisrodek"/>
            </w:pPr>
            <w:r w:rsidRPr="00795F17">
              <w:t>art</w:t>
            </w:r>
            <w:r w:rsidR="009D5450" w:rsidRPr="00795F17">
              <w:t>. 10</w:t>
            </w:r>
          </w:p>
          <w:p w14:paraId="2F6A5E35" w14:textId="77E21732" w:rsidR="009D5450" w:rsidRPr="00795F17" w:rsidRDefault="00704829" w:rsidP="004446A2">
            <w:pPr>
              <w:pStyle w:val="Teksttabelisrodek"/>
            </w:pPr>
            <w:r w:rsidRPr="00795F17">
              <w:t>art</w:t>
            </w:r>
            <w:r w:rsidR="009D5450" w:rsidRPr="00795F17">
              <w:t>. 11</w:t>
            </w:r>
          </w:p>
          <w:p w14:paraId="1EACEF4C" w14:textId="6E98238F" w:rsidR="009D5450" w:rsidRPr="00795F17" w:rsidRDefault="00704829" w:rsidP="004446A2">
            <w:pPr>
              <w:pStyle w:val="Teksttabelisrodek"/>
            </w:pPr>
            <w:r w:rsidRPr="00795F17">
              <w:t>art</w:t>
            </w:r>
            <w:r w:rsidR="009D5450" w:rsidRPr="00795F17">
              <w:t>. 17</w:t>
            </w:r>
          </w:p>
        </w:tc>
      </w:tr>
    </w:tbl>
    <w:p w14:paraId="6937A66F" w14:textId="77777777" w:rsidR="00415543" w:rsidRPr="00795F17" w:rsidRDefault="00415543" w:rsidP="00415543">
      <w:pPr>
        <w:pStyle w:val="rdo"/>
      </w:pPr>
      <w:r w:rsidRPr="00795F17">
        <w:t>Źródło: opracowanie własne</w:t>
      </w:r>
    </w:p>
    <w:p w14:paraId="10747A4F" w14:textId="2AF9D811" w:rsidR="009D5450" w:rsidRPr="00795F17" w:rsidRDefault="009D5450" w:rsidP="0044393D">
      <w:r w:rsidRPr="00795F17">
        <w:t>Przepisy wykonawcze p.o.ś. określające szczegółowe wymagania dla realizacji obowiązków w</w:t>
      </w:r>
      <w:r w:rsidR="00704829" w:rsidRPr="00795F17">
        <w:t> </w:t>
      </w:r>
      <w:r w:rsidRPr="00795F17">
        <w:t xml:space="preserve">zakresie przeciwdziałania skutkom awarii i zanieczyszczeń </w:t>
      </w:r>
      <w:r w:rsidR="008C6575">
        <w:t>–</w:t>
      </w:r>
      <w:r w:rsidRPr="00795F17">
        <w:t xml:space="preserve"> zawarte są w przepisach:</w:t>
      </w:r>
    </w:p>
    <w:p w14:paraId="5F84EC5C" w14:textId="2BE409AE" w:rsidR="009D5450" w:rsidRPr="00795F17" w:rsidRDefault="00283709" w:rsidP="00117E86">
      <w:pPr>
        <w:pStyle w:val="Listapunktowana2"/>
      </w:pPr>
      <w:r>
        <w:t>r</w:t>
      </w:r>
      <w:r w:rsidR="009D5450" w:rsidRPr="00795F17">
        <w:t>ozporządzenia Ministra Rozwoju z dnia 29 stycznia 2016 r. w sprawie rodzajów i ilości znajdujących się w zakładzie substancji niebezpiecznych, decydujących o zaliczeniu zakładu do</w:t>
      </w:r>
      <w:r w:rsidR="0005041F" w:rsidRPr="00795F17">
        <w:t> </w:t>
      </w:r>
      <w:r w:rsidR="009D5450" w:rsidRPr="00795F17">
        <w:t>zakładu o zwiększonym lub dużym ryzyku wystąpienia poważnej awarii przemysłowej (Dz.U. poz. 138);</w:t>
      </w:r>
    </w:p>
    <w:p w14:paraId="096C6017" w14:textId="5FE11423" w:rsidR="009D5450" w:rsidRPr="00795F17" w:rsidRDefault="00283709" w:rsidP="00117E86">
      <w:pPr>
        <w:pStyle w:val="Listapunktowana2"/>
      </w:pPr>
      <w:r>
        <w:t>r</w:t>
      </w:r>
      <w:r w:rsidR="009D5450" w:rsidRPr="00795F17">
        <w:t>ozporządzenia Ministra Rozwoju z dnia 23 lutego 2016 r. w sprawie raportu o</w:t>
      </w:r>
      <w:r w:rsidR="0005041F" w:rsidRPr="00795F17">
        <w:t> </w:t>
      </w:r>
      <w:r w:rsidR="009D5450" w:rsidRPr="00795F17">
        <w:t>bezpieczeństwie zakładu o dużym ryzyku (Dz.U. poz. 287);</w:t>
      </w:r>
    </w:p>
    <w:p w14:paraId="1DAEFD97" w14:textId="0FDF3FEA" w:rsidR="009D5450" w:rsidRPr="00795F17" w:rsidRDefault="00283709" w:rsidP="00117E86">
      <w:pPr>
        <w:pStyle w:val="Listapunktowana2"/>
      </w:pPr>
      <w:r>
        <w:t>r</w:t>
      </w:r>
      <w:r w:rsidR="009D5450" w:rsidRPr="00795F17">
        <w:t>ozporządzenia Ministra Spraw Wewnętrznych i Administracji z dnia 8 czerwca 2016 r. w</w:t>
      </w:r>
      <w:r w:rsidR="0005041F" w:rsidRPr="00795F17">
        <w:t> </w:t>
      </w:r>
      <w:r w:rsidR="009D5450" w:rsidRPr="00795F17">
        <w:t>sprawie wymagań, jakim powinny odpowiadać plany operacyjno-ratownicze (Dz.U.</w:t>
      </w:r>
      <w:r w:rsidR="005B1845">
        <w:t xml:space="preserve"> </w:t>
      </w:r>
      <w:r w:rsidR="009D5450" w:rsidRPr="00795F17">
        <w:t>821);</w:t>
      </w:r>
    </w:p>
    <w:p w14:paraId="5D435C46" w14:textId="14B47F59" w:rsidR="009D5450" w:rsidRPr="00795F17" w:rsidRDefault="00283709" w:rsidP="00117E86">
      <w:pPr>
        <w:pStyle w:val="Listapunktowana2"/>
      </w:pPr>
      <w:r>
        <w:t>r</w:t>
      </w:r>
      <w:r w:rsidR="009D5450" w:rsidRPr="00795F17">
        <w:t>ozporządzenia Ministra Spraw Wewnętrznych i Administracji z dnia 2 grudnia 2015 r. w</w:t>
      </w:r>
      <w:r w:rsidR="0005041F" w:rsidRPr="00795F17">
        <w:t> </w:t>
      </w:r>
      <w:r w:rsidR="009D5450" w:rsidRPr="00795F17">
        <w:t>sprawie szczegółowego zakresu informacji wymaganych do podania do publicznej wiadomości przez właściwe organy Państwowej Straży Pożarnej (Dz.U. poz. 2145);</w:t>
      </w:r>
    </w:p>
    <w:p w14:paraId="7C37E223" w14:textId="18C40C9D" w:rsidR="009D5450" w:rsidRPr="00795F17" w:rsidRDefault="00283709" w:rsidP="00117E86">
      <w:pPr>
        <w:pStyle w:val="Listapunktowana2"/>
      </w:pPr>
      <w:r>
        <w:t>r</w:t>
      </w:r>
      <w:r w:rsidR="009D5450" w:rsidRPr="00795F17">
        <w:t xml:space="preserve">ozporządzenia Ministra Środowiska z dnia 30 grudnia 2002 r. w sprawie poważnych awarii objętych obowiązkiem zgłoszenia do Głównego Inspektora Ochrony Środowiska (Dz.U. </w:t>
      </w:r>
      <w:r w:rsidR="008C6575">
        <w:t xml:space="preserve">z </w:t>
      </w:r>
      <w:r w:rsidR="009D5450" w:rsidRPr="00795F17">
        <w:t>20</w:t>
      </w:r>
      <w:r w:rsidR="005713BF">
        <w:t>21</w:t>
      </w:r>
      <w:r w:rsidR="008C6575">
        <w:t xml:space="preserve"> r.</w:t>
      </w:r>
      <w:r w:rsidR="00D146C3" w:rsidRPr="00795F17">
        <w:t xml:space="preserve"> </w:t>
      </w:r>
      <w:r w:rsidR="009D5450" w:rsidRPr="00795F17">
        <w:t xml:space="preserve">poz. </w:t>
      </w:r>
      <w:r w:rsidR="005713BF">
        <w:t>1555);</w:t>
      </w:r>
    </w:p>
    <w:p w14:paraId="06EB4A76" w14:textId="62F7F789" w:rsidR="009D5450" w:rsidRPr="00795F17" w:rsidRDefault="00283709" w:rsidP="00117E86">
      <w:pPr>
        <w:pStyle w:val="Listapunktowana2"/>
      </w:pPr>
      <w:r>
        <w:t>r</w:t>
      </w:r>
      <w:r w:rsidR="009D5450" w:rsidRPr="00795F17">
        <w:t>ozporządzenia Ministra Środowiska z dnia 18 maja 2016 r. zmieniające rozporządzenie w</w:t>
      </w:r>
      <w:r w:rsidR="0005041F" w:rsidRPr="00795F17">
        <w:t> </w:t>
      </w:r>
      <w:r w:rsidR="009D5450" w:rsidRPr="00795F17">
        <w:t>sprawie poważnych awarii objętych obowiązkiem zgłoszenia do Głównego Inspektora Ochrony Środowiska (Dz.U. poz. 799).</w:t>
      </w:r>
    </w:p>
    <w:p w14:paraId="5087C73A" w14:textId="79112E4E" w:rsidR="009D5450" w:rsidRPr="00795F17" w:rsidRDefault="009D5450" w:rsidP="0044393D">
      <w:r w:rsidRPr="00795F17">
        <w:t xml:space="preserve">Obowiązki organów straży pożarnej, wynikające z ustawy z dnia 24 sierpnia 1991 r. o Państwowej Straży Pożarnej (Dz.U. </w:t>
      </w:r>
      <w:r w:rsidR="008C6575">
        <w:t xml:space="preserve">z </w:t>
      </w:r>
      <w:r w:rsidR="008B23C2" w:rsidRPr="00795F17">
        <w:t>202</w:t>
      </w:r>
      <w:r w:rsidR="008B23C2">
        <w:t xml:space="preserve">1 </w:t>
      </w:r>
      <w:r w:rsidR="008C6575">
        <w:t>r.</w:t>
      </w:r>
      <w:r w:rsidRPr="00795F17">
        <w:t xml:space="preserve"> poz. </w:t>
      </w:r>
      <w:r w:rsidR="008B23C2">
        <w:t>1940</w:t>
      </w:r>
      <w:r w:rsidR="008B23C2" w:rsidRPr="00795F17">
        <w:t xml:space="preserve"> </w:t>
      </w:r>
      <w:r w:rsidRPr="00795F17">
        <w:t xml:space="preserve">z późn. zm.) </w:t>
      </w:r>
      <w:r w:rsidR="008C6575">
        <w:t>–</w:t>
      </w:r>
      <w:r w:rsidRPr="00795F17">
        <w:t xml:space="preserve"> precyzuje </w:t>
      </w:r>
      <w:r w:rsidR="00965591" w:rsidRPr="00795F17">
        <w:t>r</w:t>
      </w:r>
      <w:r w:rsidRPr="00795F17">
        <w:t>ozporządzenie Ministra Spraw Wewnętrznych i Administracji z dnia 24 października 2005 r. w sprawie czynności kontrolno-rozpoznawczych przeprowadzanych przez Państwową Straż Pożarną (Dz.U. poz. 1934).</w:t>
      </w:r>
    </w:p>
    <w:p w14:paraId="03F2ECD7" w14:textId="4DE2D0C1" w:rsidR="009D5450" w:rsidRPr="00795F17" w:rsidRDefault="009D5450" w:rsidP="0044393D">
      <w:r w:rsidRPr="00795F17">
        <w:t>Zgodnie z art. 267 ust. 1 p.o.ś. właściwe organy Państwowej Straży Pożarnej na swoich stronach podmiotowych w Biuletynie Informacji Publicznej udostępniają:</w:t>
      </w:r>
    </w:p>
    <w:p w14:paraId="1974B5BF" w14:textId="77777777" w:rsidR="009D5450" w:rsidRPr="00795F17" w:rsidRDefault="009D5450" w:rsidP="00117E86">
      <w:pPr>
        <w:pStyle w:val="Listapunktowana2"/>
      </w:pPr>
      <w:r w:rsidRPr="00795F17">
        <w:t>informacje o zatwierdzonych raportach o bezpieczeństwie lub ich zmianach;</w:t>
      </w:r>
    </w:p>
    <w:p w14:paraId="2D6D185C" w14:textId="77777777" w:rsidR="009D5450" w:rsidRPr="00795F17" w:rsidRDefault="009D5450" w:rsidP="00117E86">
      <w:pPr>
        <w:pStyle w:val="Listapunktowana2"/>
      </w:pPr>
      <w:r w:rsidRPr="00795F17">
        <w:t>informacje o przyjętych zewnętrznych planach operacyjno-ratowniczych lub ich zmianach;</w:t>
      </w:r>
    </w:p>
    <w:p w14:paraId="4D4C4F32" w14:textId="116F4805" w:rsidR="009D5450" w:rsidRPr="00795F17" w:rsidRDefault="009D5450" w:rsidP="00117E86">
      <w:pPr>
        <w:pStyle w:val="Listapunktowana2"/>
      </w:pPr>
      <w:r w:rsidRPr="00795F17">
        <w:t>informacje o przedłożonych zgłoszeniach zakładów, o których mowa w art. 250 ust. 1 p.o.ś.;</w:t>
      </w:r>
    </w:p>
    <w:p w14:paraId="03871FD6" w14:textId="77777777" w:rsidR="009D5450" w:rsidRPr="00795F17" w:rsidRDefault="009D5450" w:rsidP="00117E86">
      <w:pPr>
        <w:pStyle w:val="Listapunktowana2"/>
      </w:pPr>
      <w:r w:rsidRPr="00795F17">
        <w:t>informacje o pozytywnie zaopiniowanych programach zapobiegania poważnym awariom;</w:t>
      </w:r>
    </w:p>
    <w:p w14:paraId="71DD1314" w14:textId="77777777" w:rsidR="009D5450" w:rsidRPr="00795F17" w:rsidRDefault="009D5450" w:rsidP="00117E86">
      <w:pPr>
        <w:pStyle w:val="Listapunktowana2"/>
      </w:pPr>
      <w:r w:rsidRPr="00795F17">
        <w:t>informacje o kontrolach planowych w terenie;</w:t>
      </w:r>
    </w:p>
    <w:p w14:paraId="4931EB43" w14:textId="731C1C43" w:rsidR="009D5450" w:rsidRPr="00795F17" w:rsidRDefault="009D5450" w:rsidP="00117E86">
      <w:pPr>
        <w:pStyle w:val="Listapunktowana2"/>
      </w:pPr>
      <w:r w:rsidRPr="00795F17">
        <w:t xml:space="preserve">informacje o możliwości udziału społeczeństwa w postępowaniu, którego przedmiotem jest sporządzenie zewnętrznego planu operacyjno-ratowniczego </w:t>
      </w:r>
      <w:r w:rsidR="008C6575">
        <w:t>–</w:t>
      </w:r>
      <w:r w:rsidRPr="00795F17">
        <w:t xml:space="preserve"> na 30 dni przed jego przyjęciem;</w:t>
      </w:r>
    </w:p>
    <w:p w14:paraId="1B1B5311" w14:textId="7E973DC9" w:rsidR="009D5450" w:rsidRPr="00795F17" w:rsidRDefault="009D5450" w:rsidP="00117E86">
      <w:pPr>
        <w:pStyle w:val="Listapunktowana2"/>
      </w:pPr>
      <w:r w:rsidRPr="00795F17">
        <w:t>informacje o decyzjach wydanych na podstawie art. 267a ust. 2 oraz art. 264d ust. 1</w:t>
      </w:r>
      <w:r w:rsidR="00283709">
        <w:t xml:space="preserve"> </w:t>
      </w:r>
      <w:r w:rsidRPr="00795F17">
        <w:t>p.o.ś.;</w:t>
      </w:r>
    </w:p>
    <w:p w14:paraId="024E71F8" w14:textId="77777777" w:rsidR="009D5450" w:rsidRPr="00795F17" w:rsidRDefault="009D5450" w:rsidP="00117E86">
      <w:pPr>
        <w:pStyle w:val="Listapunktowana2"/>
      </w:pPr>
      <w:r w:rsidRPr="00795F17">
        <w:t>instrukcje postępowania mieszkańców na wypadek wystąpienia awarii;</w:t>
      </w:r>
    </w:p>
    <w:p w14:paraId="1676F2D1" w14:textId="77777777" w:rsidR="009D5450" w:rsidRPr="00795F17" w:rsidRDefault="009D5450" w:rsidP="00117E86">
      <w:pPr>
        <w:pStyle w:val="Listapunktowana2"/>
      </w:pPr>
      <w:r w:rsidRPr="00795F17">
        <w:t>informacje o zamieszczeniu w publicznie dostępnym wykazie, aktualizowanym corocznie, wykazu substancji niebezpiecznych znajdujących się w zakładach o dużym ryzyku;</w:t>
      </w:r>
    </w:p>
    <w:p w14:paraId="6C4DE67C" w14:textId="77777777" w:rsidR="009D5450" w:rsidRPr="00795F17" w:rsidRDefault="009D5450" w:rsidP="00117E86">
      <w:pPr>
        <w:pStyle w:val="Listapunktowana2"/>
      </w:pPr>
      <w:r w:rsidRPr="00795F17">
        <w:t>uzasadnienie odstąpienia od sporządzenia zewnętrznego planu operacyjno-ratowniczego.</w:t>
      </w:r>
    </w:p>
    <w:p w14:paraId="03901A7D" w14:textId="631F0B3A" w:rsidR="009D5450" w:rsidRPr="00795F17" w:rsidRDefault="009D5450" w:rsidP="0044393D">
      <w:r w:rsidRPr="00795F17">
        <w:t>Poważne awarie zgłasza się do centrów zarządzania kryzysowego, do których kontakty podane są do</w:t>
      </w:r>
      <w:r w:rsidR="0026168C">
        <w:t> </w:t>
      </w:r>
      <w:r w:rsidRPr="00795F17">
        <w:t>publicznej wiadomości na stronie internetowej Rządowego Centrum Bezpieczeństwa.</w:t>
      </w:r>
    </w:p>
    <w:p w14:paraId="4A54CF34" w14:textId="0B2A43BB" w:rsidR="009D5450" w:rsidRPr="00795F17" w:rsidRDefault="009D5450" w:rsidP="0044393D">
      <w:r w:rsidRPr="00795F17">
        <w:t xml:space="preserve">Realizacja założeń zewnętrznego planu operacyjno-ratowniczego, w razie zagrożenia awarią przemysłową lub jej wystąpienia, jest niezwłocznie wdrażana przez komendanta wojewódzkiego Państwowej Straży Pożarnej </w:t>
      </w:r>
      <w:r w:rsidR="008C6575">
        <w:t>–</w:t>
      </w:r>
      <w:r w:rsidRPr="00795F17">
        <w:t xml:space="preserve"> zgodnie z art. 266 ust. 1 p.o.ś.</w:t>
      </w:r>
    </w:p>
    <w:p w14:paraId="329DD4A9" w14:textId="7862650E" w:rsidR="009D5450" w:rsidRPr="00795F17" w:rsidRDefault="009D5450" w:rsidP="0044393D">
      <w:r w:rsidRPr="00795F17">
        <w:t>W przypadku zagrożenia o charakterze transgranicznym procedura określona w art. 270</w:t>
      </w:r>
      <w:r w:rsidR="00283709">
        <w:t xml:space="preserve"> </w:t>
      </w:r>
      <w:r w:rsidRPr="00795F17">
        <w:t>p.o.ś. przewiduje następujący tryb przekazywania informacji:</w:t>
      </w:r>
    </w:p>
    <w:p w14:paraId="6BF417E8" w14:textId="17D26342" w:rsidR="009D5450" w:rsidRPr="00795F17" w:rsidRDefault="009D5450" w:rsidP="00117E86">
      <w:pPr>
        <w:pStyle w:val="Listapunktowana2"/>
      </w:pPr>
      <w:r w:rsidRPr="00795F17">
        <w:t>komendant wojewódzki Państwowej Straży Pożarnej, który na podstawie informacji otrzymanych od prowadzącego zakład o dużym ryzyku stwierdzi, że możliwe skutki awarii przemysłowej mogą mieć zasięg transgraniczny, niezwłocznie przekaże ministrowi właściwemu do spraw klimatu, za pośrednictwem Komendanta Głównego Państwowej Straży Pożarnej, istotne dla sprawy informacje, a w szczególności raport o bezpieczeństwie oraz wewnętrzny i</w:t>
      </w:r>
      <w:r w:rsidR="0026168C">
        <w:t> </w:t>
      </w:r>
      <w:r w:rsidRPr="00795F17">
        <w:t>zewnętrzny plan operacyjno-ratowniczy;</w:t>
      </w:r>
    </w:p>
    <w:p w14:paraId="0E46082F" w14:textId="7D36A574" w:rsidR="009D5450" w:rsidRPr="00795F17" w:rsidRDefault="009D5450" w:rsidP="00117E86">
      <w:pPr>
        <w:pStyle w:val="Listapunktowana2"/>
      </w:pPr>
      <w:r w:rsidRPr="00795F17">
        <w:t>minister właściwy do spraw klimatu po uzyskaniu informacji niezwłocznie zawiadamia państwo, na którego terytorium mogą wystąpić skutki awarii przemysłowej, o lokalizacji zakładu o dużym ryzyku. Do zawiadomienia dołącza się informację dotyczącą raportu o</w:t>
      </w:r>
      <w:r w:rsidR="0005041F" w:rsidRPr="00795F17">
        <w:t> </w:t>
      </w:r>
      <w:r w:rsidRPr="00795F17">
        <w:t>bezpieczeństwie oraz</w:t>
      </w:r>
      <w:r w:rsidR="0026168C">
        <w:t> </w:t>
      </w:r>
      <w:r w:rsidRPr="00795F17">
        <w:t>zewnętrzny plan operacyjno-ratowniczy w części dotyczącej zagrożeń transgranicznych;</w:t>
      </w:r>
    </w:p>
    <w:p w14:paraId="2FB4B1F1" w14:textId="77777777" w:rsidR="009D5450" w:rsidRPr="00795F17" w:rsidRDefault="009D5450" w:rsidP="00117E86">
      <w:pPr>
        <w:pStyle w:val="Listapunktowana2"/>
      </w:pPr>
      <w:r w:rsidRPr="00795F17">
        <w:t>minister właściwy do spraw klimatu po uzyskaniu informacji od Komendanta Głównego Państwowej Straży Pożarnej o wystąpieniu awarii przemysłowej na terytorium Rzeczypospolitej Polskiej niezwłocznie zawiadamia państwo, na którego terytorium mogą wystąpić skutki tej awarii, i przekazuje wszystkie istotne dla sprawy informacje.</w:t>
      </w:r>
    </w:p>
    <w:p w14:paraId="421B2D3D" w14:textId="71CBCA96" w:rsidR="009D5450" w:rsidRPr="00795F17" w:rsidRDefault="009D5450" w:rsidP="00AE347D">
      <w:r w:rsidRPr="00795F17">
        <w:t>Zgodnie z art. 271b p.o.ś. GIOŚ jest organem właściwym do realizacji zadań ministra właściwego do</w:t>
      </w:r>
      <w:r w:rsidR="0005041F" w:rsidRPr="00795F17">
        <w:t> </w:t>
      </w:r>
      <w:r w:rsidRPr="00795F17">
        <w:t xml:space="preserve">spraw klimatu w sprawach: przeciwdziałania poważnym awariom, transgranicznych skutków awarii przemysłowych oraz awaryjnych zanieczyszczeń wód granicznych. Kwestie kompetencji w zakresie zapobiegania poważnym awariom, które mogą być następstwem określonych działań przemysłowych oraz ograniczania ich skutków dla zdrowia ludzi i środowiska, określają przepisy </w:t>
      </w:r>
      <w:r w:rsidR="008C6575">
        <w:t>d</w:t>
      </w:r>
      <w:r w:rsidRPr="00795F17">
        <w:t xml:space="preserve">yrektywy </w:t>
      </w:r>
      <w:r w:rsidR="002E5610" w:rsidRPr="00E64EFD">
        <w:t xml:space="preserve">Seveso-II </w:t>
      </w:r>
      <w:r w:rsidRPr="00795F17">
        <w:t>oraz Konwencji w sprawie transgranicznych skutków awarii przemysłowych</w:t>
      </w:r>
      <w:r w:rsidR="00052952" w:rsidRPr="00E64EFD">
        <w:t>, sporządzonej w Helsinkach dnia 17 marca 1992 r</w:t>
      </w:r>
      <w:r w:rsidR="00052952">
        <w:t>.</w:t>
      </w:r>
      <w:r w:rsidR="00052952" w:rsidRPr="00795F17">
        <w:t xml:space="preserve"> </w:t>
      </w:r>
      <w:r w:rsidRPr="00795F17">
        <w:t>(Dz.U.</w:t>
      </w:r>
      <w:r w:rsidR="008C6575">
        <w:t xml:space="preserve"> z</w:t>
      </w:r>
      <w:r w:rsidRPr="00795F17">
        <w:t xml:space="preserve"> 2004</w:t>
      </w:r>
      <w:r w:rsidR="008C6575">
        <w:t xml:space="preserve"> r.</w:t>
      </w:r>
      <w:r w:rsidRPr="00795F17">
        <w:t xml:space="preserve"> </w:t>
      </w:r>
      <w:r w:rsidR="00283709">
        <w:t>n</w:t>
      </w:r>
      <w:r w:rsidRPr="00795F17">
        <w:t>r 129</w:t>
      </w:r>
      <w:r w:rsidR="008C6575">
        <w:t>,</w:t>
      </w:r>
      <w:r w:rsidRPr="00795F17">
        <w:t xml:space="preserve"> poz. 1352</w:t>
      </w:r>
      <w:r w:rsidR="0074125A">
        <w:t xml:space="preserve"> z późn. zm.</w:t>
      </w:r>
      <w:r w:rsidRPr="00795F17">
        <w:t xml:space="preserve">). </w:t>
      </w:r>
      <w:bookmarkStart w:id="889" w:name="_Hlk64937674"/>
      <w:r w:rsidRPr="00795F17">
        <w:t>Główny Inspektor Ochrony Środowiska jest również organem kompetentnym do współpracy z</w:t>
      </w:r>
      <w:r w:rsidR="0074125A">
        <w:t> </w:t>
      </w:r>
      <w:r w:rsidRPr="00795F17">
        <w:t>Biurem ds. Zagrożeń Poważnymi Awariami Komisji Europejskiej.</w:t>
      </w:r>
      <w:bookmarkEnd w:id="889"/>
    </w:p>
    <w:p w14:paraId="27A349F7" w14:textId="156FF4D1" w:rsidR="009D5450" w:rsidRPr="00795F17" w:rsidRDefault="009D5450" w:rsidP="00AE347D">
      <w:r w:rsidRPr="00795F17">
        <w:t xml:space="preserve">Zadania Inspekcji Ochrony Środowiska w zakresie przeciwdziałania poważnym awariom określa </w:t>
      </w:r>
      <w:r w:rsidR="00F56DC8">
        <w:t>i.o.ś.</w:t>
      </w:r>
      <w:r w:rsidR="005B1845">
        <w:t xml:space="preserve"> </w:t>
      </w:r>
      <w:r w:rsidRPr="00795F17">
        <w:t>Należą do</w:t>
      </w:r>
      <w:r w:rsidR="0005041F" w:rsidRPr="00795F17">
        <w:t> </w:t>
      </w:r>
      <w:r w:rsidRPr="00795F17">
        <w:t>nich:</w:t>
      </w:r>
    </w:p>
    <w:p w14:paraId="3E59432D" w14:textId="77777777" w:rsidR="009D5450" w:rsidRPr="00795F17" w:rsidRDefault="009D5450" w:rsidP="00117E86">
      <w:pPr>
        <w:pStyle w:val="Listapunktowana2"/>
      </w:pPr>
      <w:r w:rsidRPr="00795F17">
        <w:t>kontrola podmiotów, których działalność może stanowić przyczynę powstania poważnej awarii;</w:t>
      </w:r>
    </w:p>
    <w:p w14:paraId="0172E2E7" w14:textId="74F9E7D0" w:rsidR="009D5450" w:rsidRPr="00795F17" w:rsidRDefault="009D5450" w:rsidP="00117E86">
      <w:pPr>
        <w:pStyle w:val="Listapunktowana2"/>
      </w:pPr>
      <w:r w:rsidRPr="00795F17">
        <w:t>badanie przyczyn powstawania oraz sposobów likwidacji skutków poważnych awarii dla</w:t>
      </w:r>
      <w:r w:rsidR="00387031" w:rsidRPr="00795F17">
        <w:t> </w:t>
      </w:r>
      <w:r w:rsidRPr="00795F17">
        <w:t>środowiska;</w:t>
      </w:r>
    </w:p>
    <w:p w14:paraId="2F776B52" w14:textId="77777777" w:rsidR="009D5450" w:rsidRPr="00795F17" w:rsidRDefault="009D5450" w:rsidP="00117E86">
      <w:pPr>
        <w:pStyle w:val="Listapunktowana2"/>
      </w:pPr>
      <w:r w:rsidRPr="00795F17">
        <w:t>prowadzenie rejestru zakładów, których działalność może być przyczyną wystąpienia poważnej awarii, w tym zakładów o zwiększonym ryzyku wystąpienia awarii i o dużym ryzyku wystąpienia awarii w rozumieniu przepisów o ochronie środowiska;</w:t>
      </w:r>
    </w:p>
    <w:p w14:paraId="135CF37F" w14:textId="77777777" w:rsidR="009D5450" w:rsidRPr="00795F17" w:rsidRDefault="009D5450" w:rsidP="00117E86">
      <w:pPr>
        <w:pStyle w:val="Listapunktowana2"/>
      </w:pPr>
      <w:r w:rsidRPr="00795F17">
        <w:t>prowadzenie rejestru poważnych awarii.</w:t>
      </w:r>
    </w:p>
    <w:p w14:paraId="6FF611C8" w14:textId="24F4E0BE" w:rsidR="009D5450" w:rsidRPr="00795F17" w:rsidRDefault="009D5450" w:rsidP="0044393D">
      <w:r w:rsidRPr="00795F17">
        <w:t>Inspekcja Ochrony Środowiska współdziała w zwalczaniu poważnej awarii z organami właściwymi do</w:t>
      </w:r>
      <w:r w:rsidR="0005041F" w:rsidRPr="00795F17">
        <w:t> </w:t>
      </w:r>
      <w:r w:rsidRPr="00795F17">
        <w:t>jej prowadzenia oraz sprawuje nadzór nad usuwaniem skutków tej awarii.</w:t>
      </w:r>
    </w:p>
    <w:p w14:paraId="1CC0461E" w14:textId="04D909D0" w:rsidR="009D5450" w:rsidRPr="00795F17" w:rsidRDefault="009D5450" w:rsidP="0044393D">
      <w:r w:rsidRPr="00795F17">
        <w:t>Poza regulacjami dotyczącymi funkcjonowania systemu bezpieczeństwo w aspekcie skutków awarii i</w:t>
      </w:r>
      <w:r w:rsidR="0005041F" w:rsidRPr="00795F17">
        <w:t> </w:t>
      </w:r>
      <w:r w:rsidRPr="00795F17">
        <w:t>zanieczyszczeń, przepisy dają organom administracji możliwości kontroli podmiotów w zakresie przestrzegania warunków ustalonych w decyzjach. Narzędzia kontrolne obejmują procedury, takie jak:</w:t>
      </w:r>
    </w:p>
    <w:p w14:paraId="174EB189" w14:textId="3227CA1D" w:rsidR="009D5450" w:rsidRPr="00795F17" w:rsidRDefault="009D5450" w:rsidP="00117E86">
      <w:pPr>
        <w:pStyle w:val="Listapunktowana2"/>
      </w:pPr>
      <w:bookmarkStart w:id="890" w:name="_Hlk65396955"/>
      <w:r w:rsidRPr="00795F17">
        <w:t xml:space="preserve">przeglądy ekologiczne instalacji </w:t>
      </w:r>
      <w:r w:rsidR="008C6575">
        <w:t>–</w:t>
      </w:r>
      <w:r w:rsidRPr="00795F17">
        <w:t xml:space="preserve"> zgodnie z przepisami p.o.ś. organ ochrony środowiska może w drodze decyzji zobowiązać podmiot prowadzący instalację (podmiot korzystający ze</w:t>
      </w:r>
      <w:r w:rsidR="0005041F" w:rsidRPr="00795F17">
        <w:t> </w:t>
      </w:r>
      <w:r w:rsidRPr="00795F17">
        <w:t xml:space="preserve">środowiska) do sporządzenia i przedłożenia przeglądu ekologicznego w razie okoliczności wskazujących na możliwość negatywnego oddziaływania instalacji na środowisko; przegląd jest opinią specjalistyczną, którą sporządza podmiot prowadzący instalację i może </w:t>
      </w:r>
      <w:r w:rsidR="00610899">
        <w:t xml:space="preserve">ona </w:t>
      </w:r>
      <w:r w:rsidRPr="00795F17">
        <w:t>m.in. służyć wyjaśnieniu, czy należy podjąć działania w celu zmniejszenia lub całkowitej eliminacji negatywnego oddziaływania instalacji</w:t>
      </w:r>
      <w:r w:rsidR="00283709">
        <w:t>;</w:t>
      </w:r>
    </w:p>
    <w:p w14:paraId="40FD96EE" w14:textId="065DE1F8" w:rsidR="009D5450" w:rsidRPr="00795F17" w:rsidRDefault="009D5450" w:rsidP="00117E86">
      <w:pPr>
        <w:pStyle w:val="Listapunktowana2"/>
      </w:pPr>
      <w:r w:rsidRPr="00795F17">
        <w:t xml:space="preserve">kontrole gospodarowania wodami </w:t>
      </w:r>
      <w:r w:rsidR="008C6575">
        <w:t>–</w:t>
      </w:r>
      <w:r w:rsidRPr="00795F17">
        <w:t xml:space="preserve"> dotyczą m.in. kontroli przestrzegania warunków ustalonych w decyzjach wydanych na podstawie p</w:t>
      </w:r>
      <w:r w:rsidR="00283709">
        <w:t>r</w:t>
      </w:r>
      <w:r w:rsidRPr="00795F17">
        <w:t xml:space="preserve">.w., ale też przestrzegania warunków ustalonych w pozwoleniach zintegrowanych wydanych </w:t>
      </w:r>
      <w:bookmarkEnd w:id="890"/>
      <w:r w:rsidRPr="00795F17">
        <w:t>na podstawie p.o.ś.; kontrole obejmują również weryfikację przestrzegania nałożonych na właścicieli gruntów obowiązków oraz ograniczeń. Organ kontrolny wzywa zakład do usunięcia w określonym terminie zaniedbań w</w:t>
      </w:r>
      <w:r w:rsidR="0005041F" w:rsidRPr="00795F17">
        <w:t> </w:t>
      </w:r>
      <w:r w:rsidRPr="00795F17">
        <w:t>zakresie gospodarki wodnej, a jeżeli te nie zostaną usunięte w określonym terminie i nadal utrzymuje się stan zagrażający życiu lub zdrowiu, wydaje się decyzję o wstrzymaniu działalności zakładu lub jego części do czasu usunięcia zaniedbań.</w:t>
      </w:r>
    </w:p>
    <w:p w14:paraId="5B941136" w14:textId="77777777" w:rsidR="009D5450" w:rsidRPr="00795F17" w:rsidRDefault="009D5450" w:rsidP="0044393D">
      <w:pPr>
        <w:pStyle w:val="Nagwek5"/>
      </w:pPr>
      <w:r w:rsidRPr="00795F17">
        <w:t>Wykaz awarii prowadzony przez GIOŚ</w:t>
      </w:r>
    </w:p>
    <w:p w14:paraId="5A651BE8" w14:textId="66BF1EFC" w:rsidR="009D5450" w:rsidRPr="00795F17" w:rsidRDefault="009D5450" w:rsidP="0044393D">
      <w:r w:rsidRPr="00795F17">
        <w:t>Informacje o przestrzennym występowaniu incydentów lub zdarzeń o znamionach poważnej awarii są</w:t>
      </w:r>
      <w:r w:rsidR="0005041F" w:rsidRPr="00795F17">
        <w:t> </w:t>
      </w:r>
      <w:r w:rsidRPr="00795F17">
        <w:t>gromadzone w rejestrze prowadzonym przez GIOŚ. Wykaz ten wyszczególnia rodzaje awarii według miejsca wystąpienia zdarzenia:</w:t>
      </w:r>
    </w:p>
    <w:p w14:paraId="73EC8492" w14:textId="77777777" w:rsidR="009D5450" w:rsidRPr="00795F17" w:rsidRDefault="009D5450" w:rsidP="00117E86">
      <w:pPr>
        <w:pStyle w:val="Listapunktowana2"/>
      </w:pPr>
      <w:r w:rsidRPr="00795F17">
        <w:t>zdarzenia na terenie zakładów i instalacji: zakład, stacja trafo, transport rurociągowy;</w:t>
      </w:r>
    </w:p>
    <w:p w14:paraId="53A6C774" w14:textId="77777777" w:rsidR="009D5450" w:rsidRPr="00795F17" w:rsidRDefault="009D5450" w:rsidP="00117E86">
      <w:pPr>
        <w:pStyle w:val="Listapunktowana2"/>
      </w:pPr>
      <w:r w:rsidRPr="00795F17">
        <w:t>zdarzenia komunikacyjne: transport morski, transport kolejowy, transport drogowy;</w:t>
      </w:r>
    </w:p>
    <w:p w14:paraId="403E9511" w14:textId="77777777" w:rsidR="009D5450" w:rsidRPr="00795F17" w:rsidRDefault="009D5450" w:rsidP="00117E86">
      <w:pPr>
        <w:pStyle w:val="Listapunktowana2"/>
      </w:pPr>
      <w:r w:rsidRPr="00795F17">
        <w:t>pozostałe zdarzenia: inne.</w:t>
      </w:r>
    </w:p>
    <w:p w14:paraId="3BE9848B" w14:textId="62AE51B0" w:rsidR="009D5450" w:rsidRPr="00795F17" w:rsidRDefault="009D5450" w:rsidP="0044393D">
      <w:r w:rsidRPr="00795F17">
        <w:t>Wykaz zdarzeń, jakie wystąpiły w cyklu planistycznym aPGW w okresie w jakim były dostępne dane dla pełnych lat</w:t>
      </w:r>
      <w:r w:rsidR="008C6575">
        <w:t>,</w:t>
      </w:r>
      <w:r w:rsidRPr="00795F17">
        <w:t xml:space="preserve"> tj. od stycznia 2016 r. do grudnia 2019 r. przedstawiono poniżej w tabelach w podziale na:</w:t>
      </w:r>
    </w:p>
    <w:p w14:paraId="088E9A65" w14:textId="18B1652B" w:rsidR="009D5450" w:rsidRPr="00795F17" w:rsidRDefault="009D5450" w:rsidP="00117E86">
      <w:pPr>
        <w:pStyle w:val="Listapunktowana2"/>
      </w:pPr>
      <w:r w:rsidRPr="00795F17">
        <w:t xml:space="preserve">występowanie według rodzajów awarii (tabela </w:t>
      </w:r>
      <w:r w:rsidR="00305444" w:rsidRPr="00795F17">
        <w:t>13-</w:t>
      </w:r>
      <w:r w:rsidR="001B6FF3" w:rsidRPr="00795F17">
        <w:t>21</w:t>
      </w:r>
      <w:r w:rsidRPr="00795F17">
        <w:t>),</w:t>
      </w:r>
    </w:p>
    <w:p w14:paraId="61C5DC9F" w14:textId="6882E53B" w:rsidR="009D5450" w:rsidRPr="00795F17" w:rsidRDefault="009D5450" w:rsidP="00117E86">
      <w:pPr>
        <w:pStyle w:val="Listapunktowana2"/>
      </w:pPr>
      <w:r w:rsidRPr="00795F17">
        <w:t xml:space="preserve">występowanie zdarzeń w województwach w granicach obszaru dorzecza (tabela </w:t>
      </w:r>
      <w:r w:rsidR="00305444" w:rsidRPr="00795F17">
        <w:t>1</w:t>
      </w:r>
      <w:r w:rsidRPr="00795F17">
        <w:t>3</w:t>
      </w:r>
      <w:r w:rsidR="00305444" w:rsidRPr="00795F17">
        <w:t>-</w:t>
      </w:r>
      <w:r w:rsidR="00CF49AB" w:rsidRPr="00795F17">
        <w:t>22</w:t>
      </w:r>
      <w:r w:rsidR="00CA7837" w:rsidRPr="00795F17">
        <w:t>,</w:t>
      </w:r>
      <w:r w:rsidR="002B2F46" w:rsidRPr="00795F17">
        <w:t xml:space="preserve"> </w:t>
      </w:r>
      <w:r w:rsidR="00305444" w:rsidRPr="00795F17">
        <w:t>wykres</w:t>
      </w:r>
      <w:r w:rsidRPr="00795F17">
        <w:t xml:space="preserve"> 1</w:t>
      </w:r>
      <w:r w:rsidR="00305444" w:rsidRPr="00795F17">
        <w:t>3-</w:t>
      </w:r>
      <w:r w:rsidR="00EE4953" w:rsidRPr="00795F17">
        <w:t>6</w:t>
      </w:r>
      <w:r w:rsidRPr="00795F17">
        <w:t>).</w:t>
      </w:r>
    </w:p>
    <w:p w14:paraId="49A0475A" w14:textId="007D330A" w:rsidR="00A929FD" w:rsidRPr="00795F17" w:rsidRDefault="00A929FD" w:rsidP="004D7705">
      <w:pPr>
        <w:pStyle w:val="Tabela"/>
      </w:pPr>
      <w:bookmarkStart w:id="891" w:name="_Toc66341979"/>
      <w:bookmarkStart w:id="892" w:name="_Toc105512907"/>
      <w:r w:rsidRPr="00795F17">
        <w:t xml:space="preserve">Tabela </w:t>
      </w:r>
      <w:fldSimple w:instr=" STYLEREF 1 \s ">
        <w:r w:rsidR="001F774D">
          <w:rPr>
            <w:noProof/>
          </w:rPr>
          <w:t>13</w:t>
        </w:r>
      </w:fldSimple>
      <w:r w:rsidR="00BB3B21" w:rsidRPr="00795F17">
        <w:noBreakHyphen/>
      </w:r>
      <w:fldSimple w:instr=" SEQ Tabela \* ARABIC \s 1 ">
        <w:r w:rsidR="001F774D">
          <w:rPr>
            <w:noProof/>
          </w:rPr>
          <w:t>21</w:t>
        </w:r>
      </w:fldSimple>
      <w:r w:rsidR="000B5450">
        <w:rPr>
          <w:noProof/>
        </w:rPr>
        <w:t>.</w:t>
      </w:r>
      <w:r w:rsidRPr="00795F17">
        <w:tab/>
        <w:t>Występowanie zdarzeń o znamionach poważnej awarii w okresie 2016</w:t>
      </w:r>
      <w:r w:rsidR="008C6575">
        <w:t>–</w:t>
      </w:r>
      <w:r w:rsidRPr="00795F17">
        <w:t xml:space="preserve">2019 </w:t>
      </w:r>
      <w:r w:rsidR="008C6575">
        <w:t>–</w:t>
      </w:r>
      <w:r w:rsidRPr="00795F17">
        <w:t xml:space="preserve"> według rodzajów awarii na obszarze dorzecza Odry</w:t>
      </w:r>
      <w:bookmarkEnd w:id="891"/>
      <w:bookmarkEnd w:id="8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673"/>
        <w:gridCol w:w="987"/>
        <w:gridCol w:w="1128"/>
        <w:gridCol w:w="1275"/>
        <w:gridCol w:w="1275"/>
        <w:gridCol w:w="1678"/>
      </w:tblGrid>
      <w:tr w:rsidR="009D5450" w:rsidRPr="00795F17" w14:paraId="5B3507B6" w14:textId="77777777" w:rsidTr="00577D99">
        <w:trPr>
          <w:trHeight w:val="397"/>
          <w:tblHeader/>
        </w:trPr>
        <w:tc>
          <w:tcPr>
            <w:tcW w:w="2689" w:type="dxa"/>
            <w:shd w:val="clear" w:color="auto" w:fill="BFBFBF" w:themeFill="background1" w:themeFillShade="BF"/>
            <w:vAlign w:val="center"/>
            <w:hideMark/>
          </w:tcPr>
          <w:p w14:paraId="473E43F2" w14:textId="77777777" w:rsidR="009D5450" w:rsidRPr="00795F17" w:rsidRDefault="009D5450" w:rsidP="0044393D">
            <w:pPr>
              <w:pStyle w:val="Teksttabelinaglowek"/>
              <w:rPr>
                <w:rFonts w:cstheme="minorHAnsi"/>
              </w:rPr>
            </w:pPr>
            <w:r w:rsidRPr="00795F17">
              <w:t>Rodzaj awarii</w:t>
            </w:r>
          </w:p>
        </w:tc>
        <w:tc>
          <w:tcPr>
            <w:tcW w:w="992" w:type="dxa"/>
            <w:shd w:val="clear" w:color="auto" w:fill="BFBFBF" w:themeFill="background1" w:themeFillShade="BF"/>
            <w:vAlign w:val="center"/>
            <w:hideMark/>
          </w:tcPr>
          <w:p w14:paraId="3AC17248" w14:textId="77777777" w:rsidR="009D5450" w:rsidRPr="00795F17" w:rsidRDefault="009D5450" w:rsidP="0044393D">
            <w:pPr>
              <w:pStyle w:val="Teksttabelinaglowek"/>
              <w:rPr>
                <w:rFonts w:cstheme="minorHAnsi"/>
              </w:rPr>
            </w:pPr>
            <w:r w:rsidRPr="00795F17">
              <w:t>Liczba zdarzeń razem</w:t>
            </w:r>
          </w:p>
        </w:tc>
        <w:tc>
          <w:tcPr>
            <w:tcW w:w="1134" w:type="dxa"/>
            <w:shd w:val="clear" w:color="auto" w:fill="BFBFBF" w:themeFill="background1" w:themeFillShade="BF"/>
            <w:vAlign w:val="center"/>
            <w:hideMark/>
          </w:tcPr>
          <w:p w14:paraId="2A4A060E" w14:textId="32A246A1" w:rsidR="009D5450" w:rsidRPr="00795F17" w:rsidRDefault="009D5450" w:rsidP="0044393D">
            <w:pPr>
              <w:pStyle w:val="Teksttabelinaglowek"/>
              <w:rPr>
                <w:rFonts w:cstheme="minorHAnsi"/>
              </w:rPr>
            </w:pPr>
            <w:r w:rsidRPr="00795F17">
              <w:t xml:space="preserve">Liczba zdarzeń </w:t>
            </w:r>
            <w:r w:rsidR="00442820">
              <w:t>według</w:t>
            </w:r>
            <w:r w:rsidRPr="00795F17">
              <w:t xml:space="preserve"> rodzajów</w:t>
            </w:r>
          </w:p>
        </w:tc>
        <w:tc>
          <w:tcPr>
            <w:tcW w:w="1282" w:type="dxa"/>
            <w:shd w:val="clear" w:color="auto" w:fill="BFBFBF" w:themeFill="background1" w:themeFillShade="BF"/>
            <w:vAlign w:val="center"/>
            <w:hideMark/>
          </w:tcPr>
          <w:p w14:paraId="74D70F04" w14:textId="7E67F117" w:rsidR="009D5450" w:rsidRPr="00795F17" w:rsidRDefault="009D5450" w:rsidP="0044393D">
            <w:pPr>
              <w:pStyle w:val="Teksttabelinaglowek"/>
              <w:rPr>
                <w:rFonts w:cstheme="minorHAnsi"/>
              </w:rPr>
            </w:pPr>
            <w:r w:rsidRPr="00795F17">
              <w:t>Udział rodzajów zdarzeń</w:t>
            </w:r>
            <w:r w:rsidR="008A739A" w:rsidRPr="00795F17">
              <w:t xml:space="preserve"> </w:t>
            </w:r>
            <w:r w:rsidR="00EA4FF5" w:rsidRPr="00795F17">
              <w:t>(%)</w:t>
            </w:r>
          </w:p>
        </w:tc>
        <w:tc>
          <w:tcPr>
            <w:tcW w:w="1282" w:type="dxa"/>
            <w:shd w:val="clear" w:color="auto" w:fill="BFBFBF" w:themeFill="background1" w:themeFillShade="BF"/>
            <w:vAlign w:val="center"/>
            <w:hideMark/>
          </w:tcPr>
          <w:p w14:paraId="7967F4AD" w14:textId="77777777" w:rsidR="009D5450" w:rsidRPr="00795F17" w:rsidRDefault="009D5450" w:rsidP="0044393D">
            <w:pPr>
              <w:pStyle w:val="Teksttabelinaglowek"/>
              <w:rPr>
                <w:rFonts w:cstheme="minorHAnsi"/>
              </w:rPr>
            </w:pPr>
            <w:r w:rsidRPr="00795F17">
              <w:t>Zdarzenia stwarzające zagrożenie dla wód</w:t>
            </w:r>
          </w:p>
        </w:tc>
        <w:tc>
          <w:tcPr>
            <w:tcW w:w="1688" w:type="dxa"/>
            <w:shd w:val="clear" w:color="auto" w:fill="BFBFBF" w:themeFill="background1" w:themeFillShade="BF"/>
            <w:vAlign w:val="center"/>
            <w:hideMark/>
          </w:tcPr>
          <w:p w14:paraId="2422842A" w14:textId="2CD2FFCC" w:rsidR="009D5450" w:rsidRPr="00795F17" w:rsidRDefault="009D5450" w:rsidP="0044393D">
            <w:pPr>
              <w:pStyle w:val="Teksttabelinaglowek"/>
              <w:rPr>
                <w:rFonts w:cstheme="minorHAnsi"/>
              </w:rPr>
            </w:pPr>
            <w:r w:rsidRPr="00795F17">
              <w:t>Udział awarii stwarzających zagrożenie dla wód</w:t>
            </w:r>
            <w:r w:rsidR="008A739A" w:rsidRPr="00795F17">
              <w:t xml:space="preserve"> </w:t>
            </w:r>
            <w:r w:rsidR="00EA4FF5" w:rsidRPr="00795F17">
              <w:t>(%)</w:t>
            </w:r>
          </w:p>
        </w:tc>
      </w:tr>
      <w:tr w:rsidR="009D5450" w:rsidRPr="00795F17" w14:paraId="2D9E870F" w14:textId="77777777" w:rsidTr="00577D99">
        <w:trPr>
          <w:trHeight w:val="397"/>
        </w:trPr>
        <w:tc>
          <w:tcPr>
            <w:tcW w:w="2689" w:type="dxa"/>
            <w:shd w:val="clear" w:color="auto" w:fill="auto"/>
            <w:vAlign w:val="center"/>
            <w:hideMark/>
          </w:tcPr>
          <w:p w14:paraId="1C75C3C3" w14:textId="167C6CAD" w:rsidR="009D5450" w:rsidRPr="00795F17" w:rsidRDefault="000B3552" w:rsidP="00F03A71">
            <w:pPr>
              <w:pStyle w:val="Teksttabelilewy"/>
              <w:ind w:left="57"/>
              <w:rPr>
                <w:rFonts w:cstheme="minorHAnsi"/>
              </w:rPr>
            </w:pPr>
            <w:r>
              <w:t>z</w:t>
            </w:r>
            <w:r w:rsidR="009D5450" w:rsidRPr="00795F17">
              <w:t>akład</w:t>
            </w:r>
          </w:p>
        </w:tc>
        <w:tc>
          <w:tcPr>
            <w:tcW w:w="992" w:type="dxa"/>
            <w:vMerge w:val="restart"/>
            <w:shd w:val="clear" w:color="auto" w:fill="auto"/>
            <w:vAlign w:val="center"/>
            <w:hideMark/>
          </w:tcPr>
          <w:p w14:paraId="6CE3BFDE" w14:textId="77777777" w:rsidR="009D5450" w:rsidRPr="00795F17" w:rsidRDefault="009D5450" w:rsidP="0065243A">
            <w:pPr>
              <w:pStyle w:val="Teksttabelisrodek"/>
              <w:rPr>
                <w:rFonts w:cstheme="minorHAnsi"/>
              </w:rPr>
            </w:pPr>
            <w:r w:rsidRPr="00795F17">
              <w:t>50</w:t>
            </w:r>
          </w:p>
        </w:tc>
        <w:tc>
          <w:tcPr>
            <w:tcW w:w="1134" w:type="dxa"/>
            <w:shd w:val="clear" w:color="auto" w:fill="auto"/>
            <w:vAlign w:val="center"/>
            <w:hideMark/>
          </w:tcPr>
          <w:p w14:paraId="7844920B" w14:textId="77777777" w:rsidR="009D5450" w:rsidRPr="00795F17" w:rsidRDefault="009D5450" w:rsidP="0065243A">
            <w:pPr>
              <w:pStyle w:val="Teksttabelisrodek"/>
              <w:rPr>
                <w:rFonts w:cstheme="minorHAnsi"/>
              </w:rPr>
            </w:pPr>
            <w:r w:rsidRPr="00795F17">
              <w:t>31</w:t>
            </w:r>
          </w:p>
        </w:tc>
        <w:tc>
          <w:tcPr>
            <w:tcW w:w="1282" w:type="dxa"/>
            <w:shd w:val="clear" w:color="auto" w:fill="auto"/>
            <w:vAlign w:val="center"/>
            <w:hideMark/>
          </w:tcPr>
          <w:p w14:paraId="79A3AD7F" w14:textId="36CE4AAB" w:rsidR="009D5450" w:rsidRPr="00795F17" w:rsidRDefault="009D5450" w:rsidP="0065243A">
            <w:pPr>
              <w:pStyle w:val="Teksttabelisrodek"/>
              <w:rPr>
                <w:rFonts w:cstheme="minorHAnsi"/>
              </w:rPr>
            </w:pPr>
            <w:r w:rsidRPr="00795F17">
              <w:t>62,0</w:t>
            </w:r>
          </w:p>
        </w:tc>
        <w:tc>
          <w:tcPr>
            <w:tcW w:w="1282" w:type="dxa"/>
            <w:shd w:val="clear" w:color="auto" w:fill="auto"/>
            <w:vAlign w:val="center"/>
            <w:hideMark/>
          </w:tcPr>
          <w:p w14:paraId="1743EAEF" w14:textId="77777777" w:rsidR="009D5450" w:rsidRPr="00795F17" w:rsidRDefault="009D5450" w:rsidP="0065243A">
            <w:pPr>
              <w:pStyle w:val="Teksttabelisrodek"/>
              <w:rPr>
                <w:rFonts w:cstheme="minorHAnsi"/>
              </w:rPr>
            </w:pPr>
            <w:r w:rsidRPr="00795F17">
              <w:t>15</w:t>
            </w:r>
          </w:p>
        </w:tc>
        <w:tc>
          <w:tcPr>
            <w:tcW w:w="1688" w:type="dxa"/>
            <w:shd w:val="clear" w:color="auto" w:fill="auto"/>
            <w:noWrap/>
            <w:vAlign w:val="center"/>
            <w:hideMark/>
          </w:tcPr>
          <w:p w14:paraId="239887CD" w14:textId="6AE3DD5F" w:rsidR="009D5450" w:rsidRPr="00795F17" w:rsidRDefault="009D5450" w:rsidP="0065243A">
            <w:pPr>
              <w:pStyle w:val="Teksttabelisrodek"/>
              <w:rPr>
                <w:rFonts w:cstheme="minorHAnsi"/>
              </w:rPr>
            </w:pPr>
            <w:r w:rsidRPr="00795F17">
              <w:t>48,4</w:t>
            </w:r>
          </w:p>
        </w:tc>
      </w:tr>
      <w:tr w:rsidR="009D5450" w:rsidRPr="00795F17" w14:paraId="6D4F26CE" w14:textId="77777777" w:rsidTr="00577D99">
        <w:trPr>
          <w:trHeight w:val="397"/>
        </w:trPr>
        <w:tc>
          <w:tcPr>
            <w:tcW w:w="2689" w:type="dxa"/>
            <w:shd w:val="clear" w:color="auto" w:fill="auto"/>
            <w:vAlign w:val="center"/>
            <w:hideMark/>
          </w:tcPr>
          <w:p w14:paraId="35B01E25" w14:textId="77777777" w:rsidR="009D5450" w:rsidRPr="00795F17" w:rsidRDefault="009D5450" w:rsidP="00F03A71">
            <w:pPr>
              <w:pStyle w:val="Teksttabelilewy"/>
              <w:ind w:left="57"/>
              <w:rPr>
                <w:rFonts w:cstheme="minorHAnsi"/>
              </w:rPr>
            </w:pPr>
            <w:r w:rsidRPr="00795F17">
              <w:t>transport rurociągowy</w:t>
            </w:r>
          </w:p>
        </w:tc>
        <w:tc>
          <w:tcPr>
            <w:tcW w:w="992" w:type="dxa"/>
            <w:vMerge/>
            <w:shd w:val="clear" w:color="auto" w:fill="auto"/>
            <w:vAlign w:val="center"/>
            <w:hideMark/>
          </w:tcPr>
          <w:p w14:paraId="40814729" w14:textId="77777777" w:rsidR="009D5450" w:rsidRPr="00795F17" w:rsidRDefault="009D5450" w:rsidP="0065243A">
            <w:pPr>
              <w:pStyle w:val="Teksttabelisrodek"/>
            </w:pPr>
          </w:p>
        </w:tc>
        <w:tc>
          <w:tcPr>
            <w:tcW w:w="1134" w:type="dxa"/>
            <w:shd w:val="clear" w:color="auto" w:fill="auto"/>
            <w:vAlign w:val="center"/>
            <w:hideMark/>
          </w:tcPr>
          <w:p w14:paraId="3A93C1F1" w14:textId="77777777" w:rsidR="009D5450" w:rsidRPr="00795F17" w:rsidRDefault="009D5450" w:rsidP="0065243A">
            <w:pPr>
              <w:pStyle w:val="Teksttabelisrodek"/>
              <w:rPr>
                <w:rFonts w:cstheme="minorHAnsi"/>
              </w:rPr>
            </w:pPr>
            <w:r w:rsidRPr="00795F17">
              <w:t>3</w:t>
            </w:r>
          </w:p>
        </w:tc>
        <w:tc>
          <w:tcPr>
            <w:tcW w:w="1282" w:type="dxa"/>
            <w:shd w:val="clear" w:color="auto" w:fill="auto"/>
            <w:vAlign w:val="center"/>
            <w:hideMark/>
          </w:tcPr>
          <w:p w14:paraId="5184106B" w14:textId="231356B8" w:rsidR="009D5450" w:rsidRPr="00795F17" w:rsidRDefault="009D5450" w:rsidP="0065243A">
            <w:pPr>
              <w:pStyle w:val="Teksttabelisrodek"/>
              <w:rPr>
                <w:rFonts w:cstheme="minorHAnsi"/>
              </w:rPr>
            </w:pPr>
            <w:r w:rsidRPr="00795F17">
              <w:t>6,0</w:t>
            </w:r>
          </w:p>
        </w:tc>
        <w:tc>
          <w:tcPr>
            <w:tcW w:w="1282" w:type="dxa"/>
            <w:shd w:val="clear" w:color="auto" w:fill="auto"/>
            <w:vAlign w:val="center"/>
            <w:hideMark/>
          </w:tcPr>
          <w:p w14:paraId="5276B8DA" w14:textId="77777777" w:rsidR="009D5450" w:rsidRPr="00795F17" w:rsidRDefault="009D5450" w:rsidP="0065243A">
            <w:pPr>
              <w:pStyle w:val="Teksttabelisrodek"/>
              <w:rPr>
                <w:rFonts w:cstheme="minorHAnsi"/>
              </w:rPr>
            </w:pPr>
            <w:r w:rsidRPr="00795F17">
              <w:t>1</w:t>
            </w:r>
          </w:p>
        </w:tc>
        <w:tc>
          <w:tcPr>
            <w:tcW w:w="1688" w:type="dxa"/>
            <w:shd w:val="clear" w:color="auto" w:fill="auto"/>
            <w:noWrap/>
            <w:vAlign w:val="center"/>
            <w:hideMark/>
          </w:tcPr>
          <w:p w14:paraId="2F9E7730" w14:textId="42B06592" w:rsidR="009D5450" w:rsidRPr="00795F17" w:rsidRDefault="009D5450" w:rsidP="0065243A">
            <w:pPr>
              <w:pStyle w:val="Teksttabelisrodek"/>
              <w:rPr>
                <w:rFonts w:cstheme="minorHAnsi"/>
              </w:rPr>
            </w:pPr>
            <w:r w:rsidRPr="00795F17">
              <w:t>33,3</w:t>
            </w:r>
          </w:p>
        </w:tc>
      </w:tr>
      <w:tr w:rsidR="009D5450" w:rsidRPr="00795F17" w14:paraId="35B5AC57" w14:textId="77777777" w:rsidTr="00577D99">
        <w:trPr>
          <w:trHeight w:val="397"/>
        </w:trPr>
        <w:tc>
          <w:tcPr>
            <w:tcW w:w="2689" w:type="dxa"/>
            <w:shd w:val="clear" w:color="auto" w:fill="auto"/>
            <w:vAlign w:val="center"/>
            <w:hideMark/>
          </w:tcPr>
          <w:p w14:paraId="109099C9" w14:textId="77777777" w:rsidR="009D5450" w:rsidRPr="00795F17" w:rsidRDefault="009D5450" w:rsidP="00F03A71">
            <w:pPr>
              <w:pStyle w:val="Teksttabelilewy"/>
              <w:ind w:left="57"/>
              <w:rPr>
                <w:rFonts w:cstheme="minorHAnsi"/>
              </w:rPr>
            </w:pPr>
            <w:r w:rsidRPr="00795F17">
              <w:t>transport morski</w:t>
            </w:r>
          </w:p>
        </w:tc>
        <w:tc>
          <w:tcPr>
            <w:tcW w:w="992" w:type="dxa"/>
            <w:vMerge/>
            <w:shd w:val="clear" w:color="auto" w:fill="auto"/>
            <w:vAlign w:val="center"/>
            <w:hideMark/>
          </w:tcPr>
          <w:p w14:paraId="16686BB2" w14:textId="77777777" w:rsidR="009D5450" w:rsidRPr="00795F17" w:rsidRDefault="009D5450" w:rsidP="0065243A">
            <w:pPr>
              <w:pStyle w:val="Teksttabelisrodek"/>
            </w:pPr>
          </w:p>
        </w:tc>
        <w:tc>
          <w:tcPr>
            <w:tcW w:w="1134" w:type="dxa"/>
            <w:shd w:val="clear" w:color="auto" w:fill="auto"/>
            <w:vAlign w:val="center"/>
            <w:hideMark/>
          </w:tcPr>
          <w:p w14:paraId="3EF83D91" w14:textId="77777777" w:rsidR="009D5450" w:rsidRPr="00795F17" w:rsidRDefault="009D5450" w:rsidP="0065243A">
            <w:pPr>
              <w:pStyle w:val="Teksttabelisrodek"/>
              <w:rPr>
                <w:rFonts w:cstheme="minorHAnsi"/>
              </w:rPr>
            </w:pPr>
            <w:r w:rsidRPr="00795F17">
              <w:t>1</w:t>
            </w:r>
          </w:p>
        </w:tc>
        <w:tc>
          <w:tcPr>
            <w:tcW w:w="1282" w:type="dxa"/>
            <w:shd w:val="clear" w:color="auto" w:fill="auto"/>
            <w:vAlign w:val="center"/>
            <w:hideMark/>
          </w:tcPr>
          <w:p w14:paraId="545EBC77" w14:textId="37F28718" w:rsidR="009D5450" w:rsidRPr="00795F17" w:rsidRDefault="009D5450" w:rsidP="0065243A">
            <w:pPr>
              <w:pStyle w:val="Teksttabelisrodek"/>
              <w:rPr>
                <w:rFonts w:cstheme="minorHAnsi"/>
              </w:rPr>
            </w:pPr>
            <w:r w:rsidRPr="00795F17">
              <w:t>2,0</w:t>
            </w:r>
          </w:p>
        </w:tc>
        <w:tc>
          <w:tcPr>
            <w:tcW w:w="1282" w:type="dxa"/>
            <w:shd w:val="clear" w:color="auto" w:fill="auto"/>
            <w:vAlign w:val="center"/>
            <w:hideMark/>
          </w:tcPr>
          <w:p w14:paraId="5171046F" w14:textId="77777777" w:rsidR="009D5450" w:rsidRPr="00795F17" w:rsidRDefault="009D5450" w:rsidP="0065243A">
            <w:pPr>
              <w:pStyle w:val="Teksttabelisrodek"/>
              <w:rPr>
                <w:rFonts w:cstheme="minorHAnsi"/>
              </w:rPr>
            </w:pPr>
            <w:r w:rsidRPr="00795F17">
              <w:t>1</w:t>
            </w:r>
          </w:p>
        </w:tc>
        <w:tc>
          <w:tcPr>
            <w:tcW w:w="1688" w:type="dxa"/>
            <w:shd w:val="clear" w:color="auto" w:fill="auto"/>
            <w:noWrap/>
            <w:vAlign w:val="center"/>
            <w:hideMark/>
          </w:tcPr>
          <w:p w14:paraId="77C4030B" w14:textId="043566C9" w:rsidR="009D5450" w:rsidRPr="00795F17" w:rsidRDefault="009D5450" w:rsidP="0065243A">
            <w:pPr>
              <w:pStyle w:val="Teksttabelisrodek"/>
              <w:rPr>
                <w:rFonts w:cstheme="minorHAnsi"/>
              </w:rPr>
            </w:pPr>
            <w:r w:rsidRPr="00795F17">
              <w:t>100,0</w:t>
            </w:r>
          </w:p>
        </w:tc>
      </w:tr>
      <w:tr w:rsidR="009D5450" w:rsidRPr="00795F17" w14:paraId="191DF434" w14:textId="77777777" w:rsidTr="00577D99">
        <w:trPr>
          <w:trHeight w:val="397"/>
        </w:trPr>
        <w:tc>
          <w:tcPr>
            <w:tcW w:w="2689" w:type="dxa"/>
            <w:shd w:val="clear" w:color="auto" w:fill="auto"/>
            <w:vAlign w:val="center"/>
            <w:hideMark/>
          </w:tcPr>
          <w:p w14:paraId="15A15C73" w14:textId="77777777" w:rsidR="009D5450" w:rsidRPr="00795F17" w:rsidRDefault="009D5450" w:rsidP="00F03A71">
            <w:pPr>
              <w:pStyle w:val="Teksttabelilewy"/>
              <w:ind w:left="57"/>
              <w:rPr>
                <w:rFonts w:cstheme="minorHAnsi"/>
              </w:rPr>
            </w:pPr>
            <w:r w:rsidRPr="00795F17">
              <w:t>transport kolejowy</w:t>
            </w:r>
          </w:p>
        </w:tc>
        <w:tc>
          <w:tcPr>
            <w:tcW w:w="992" w:type="dxa"/>
            <w:vMerge/>
            <w:shd w:val="clear" w:color="auto" w:fill="auto"/>
            <w:vAlign w:val="center"/>
            <w:hideMark/>
          </w:tcPr>
          <w:p w14:paraId="6A646F42" w14:textId="77777777" w:rsidR="009D5450" w:rsidRPr="00795F17" w:rsidRDefault="009D5450" w:rsidP="0065243A">
            <w:pPr>
              <w:pStyle w:val="Teksttabelisrodek"/>
            </w:pPr>
          </w:p>
        </w:tc>
        <w:tc>
          <w:tcPr>
            <w:tcW w:w="1134" w:type="dxa"/>
            <w:shd w:val="clear" w:color="auto" w:fill="auto"/>
            <w:vAlign w:val="center"/>
            <w:hideMark/>
          </w:tcPr>
          <w:p w14:paraId="2A0D1BC2" w14:textId="77777777" w:rsidR="009D5450" w:rsidRPr="00795F17" w:rsidRDefault="009D5450" w:rsidP="0065243A">
            <w:pPr>
              <w:pStyle w:val="Teksttabelisrodek"/>
              <w:rPr>
                <w:rFonts w:cstheme="minorHAnsi"/>
              </w:rPr>
            </w:pPr>
            <w:r w:rsidRPr="00795F17">
              <w:t>1</w:t>
            </w:r>
          </w:p>
        </w:tc>
        <w:tc>
          <w:tcPr>
            <w:tcW w:w="1282" w:type="dxa"/>
            <w:shd w:val="clear" w:color="auto" w:fill="auto"/>
            <w:vAlign w:val="center"/>
            <w:hideMark/>
          </w:tcPr>
          <w:p w14:paraId="53EEA0B7" w14:textId="6E356AAC" w:rsidR="009D5450" w:rsidRPr="00795F17" w:rsidRDefault="009D5450" w:rsidP="0065243A">
            <w:pPr>
              <w:pStyle w:val="Teksttabelisrodek"/>
              <w:rPr>
                <w:rFonts w:cstheme="minorHAnsi"/>
              </w:rPr>
            </w:pPr>
            <w:r w:rsidRPr="00795F17">
              <w:t>2,0</w:t>
            </w:r>
          </w:p>
        </w:tc>
        <w:tc>
          <w:tcPr>
            <w:tcW w:w="1282" w:type="dxa"/>
            <w:shd w:val="clear" w:color="auto" w:fill="auto"/>
            <w:vAlign w:val="center"/>
            <w:hideMark/>
          </w:tcPr>
          <w:p w14:paraId="04987203" w14:textId="77777777" w:rsidR="009D5450" w:rsidRPr="00795F17" w:rsidRDefault="009D5450" w:rsidP="0065243A">
            <w:pPr>
              <w:pStyle w:val="Teksttabelisrodek"/>
              <w:rPr>
                <w:rFonts w:cstheme="minorHAnsi"/>
              </w:rPr>
            </w:pPr>
            <w:r w:rsidRPr="00795F17">
              <w:t>1</w:t>
            </w:r>
          </w:p>
        </w:tc>
        <w:tc>
          <w:tcPr>
            <w:tcW w:w="1688" w:type="dxa"/>
            <w:shd w:val="clear" w:color="auto" w:fill="auto"/>
            <w:noWrap/>
            <w:vAlign w:val="center"/>
            <w:hideMark/>
          </w:tcPr>
          <w:p w14:paraId="675A9549" w14:textId="0FB4F135" w:rsidR="009D5450" w:rsidRPr="00795F17" w:rsidRDefault="009D5450" w:rsidP="0065243A">
            <w:pPr>
              <w:pStyle w:val="Teksttabelisrodek"/>
              <w:rPr>
                <w:rFonts w:cstheme="minorHAnsi"/>
              </w:rPr>
            </w:pPr>
            <w:r w:rsidRPr="00795F17">
              <w:t>100,0</w:t>
            </w:r>
          </w:p>
        </w:tc>
      </w:tr>
      <w:tr w:rsidR="009D5450" w:rsidRPr="00795F17" w14:paraId="283F94E1" w14:textId="77777777" w:rsidTr="00577D99">
        <w:trPr>
          <w:trHeight w:val="397"/>
        </w:trPr>
        <w:tc>
          <w:tcPr>
            <w:tcW w:w="2689" w:type="dxa"/>
            <w:shd w:val="clear" w:color="auto" w:fill="auto"/>
            <w:vAlign w:val="center"/>
            <w:hideMark/>
          </w:tcPr>
          <w:p w14:paraId="2D2E2AD6" w14:textId="77777777" w:rsidR="009D5450" w:rsidRPr="00795F17" w:rsidRDefault="009D5450" w:rsidP="00F03A71">
            <w:pPr>
              <w:pStyle w:val="Teksttabelilewy"/>
              <w:ind w:left="57"/>
              <w:rPr>
                <w:rFonts w:cstheme="minorHAnsi"/>
              </w:rPr>
            </w:pPr>
            <w:r w:rsidRPr="00795F17">
              <w:t>transport drogowy</w:t>
            </w:r>
          </w:p>
        </w:tc>
        <w:tc>
          <w:tcPr>
            <w:tcW w:w="992" w:type="dxa"/>
            <w:vMerge/>
            <w:shd w:val="clear" w:color="auto" w:fill="auto"/>
            <w:vAlign w:val="center"/>
            <w:hideMark/>
          </w:tcPr>
          <w:p w14:paraId="5F2E1334" w14:textId="77777777" w:rsidR="009D5450" w:rsidRPr="00795F17" w:rsidRDefault="009D5450" w:rsidP="0065243A">
            <w:pPr>
              <w:pStyle w:val="Teksttabelisrodek"/>
            </w:pPr>
          </w:p>
        </w:tc>
        <w:tc>
          <w:tcPr>
            <w:tcW w:w="1134" w:type="dxa"/>
            <w:shd w:val="clear" w:color="auto" w:fill="auto"/>
            <w:vAlign w:val="center"/>
            <w:hideMark/>
          </w:tcPr>
          <w:p w14:paraId="05A3AC54" w14:textId="77777777" w:rsidR="009D5450" w:rsidRPr="00795F17" w:rsidRDefault="009D5450" w:rsidP="0065243A">
            <w:pPr>
              <w:pStyle w:val="Teksttabelisrodek"/>
              <w:rPr>
                <w:rFonts w:cstheme="minorHAnsi"/>
              </w:rPr>
            </w:pPr>
            <w:r w:rsidRPr="00795F17">
              <w:t>8</w:t>
            </w:r>
          </w:p>
        </w:tc>
        <w:tc>
          <w:tcPr>
            <w:tcW w:w="1282" w:type="dxa"/>
            <w:shd w:val="clear" w:color="auto" w:fill="auto"/>
            <w:vAlign w:val="center"/>
            <w:hideMark/>
          </w:tcPr>
          <w:p w14:paraId="7316BE59" w14:textId="124A4937" w:rsidR="009D5450" w:rsidRPr="00795F17" w:rsidRDefault="009D5450" w:rsidP="0065243A">
            <w:pPr>
              <w:pStyle w:val="Teksttabelisrodek"/>
              <w:rPr>
                <w:rFonts w:cstheme="minorHAnsi"/>
              </w:rPr>
            </w:pPr>
            <w:r w:rsidRPr="00795F17">
              <w:t>16,0</w:t>
            </w:r>
          </w:p>
        </w:tc>
        <w:tc>
          <w:tcPr>
            <w:tcW w:w="1282" w:type="dxa"/>
            <w:shd w:val="clear" w:color="auto" w:fill="auto"/>
            <w:vAlign w:val="center"/>
            <w:hideMark/>
          </w:tcPr>
          <w:p w14:paraId="4A914023" w14:textId="77777777" w:rsidR="009D5450" w:rsidRPr="00795F17" w:rsidRDefault="009D5450" w:rsidP="0065243A">
            <w:pPr>
              <w:pStyle w:val="Teksttabelisrodek"/>
              <w:rPr>
                <w:rFonts w:cstheme="minorHAnsi"/>
              </w:rPr>
            </w:pPr>
            <w:r w:rsidRPr="00795F17">
              <w:t>8</w:t>
            </w:r>
          </w:p>
        </w:tc>
        <w:tc>
          <w:tcPr>
            <w:tcW w:w="1688" w:type="dxa"/>
            <w:shd w:val="clear" w:color="auto" w:fill="auto"/>
            <w:noWrap/>
            <w:vAlign w:val="center"/>
            <w:hideMark/>
          </w:tcPr>
          <w:p w14:paraId="41565675" w14:textId="2B963CF8" w:rsidR="009D5450" w:rsidRPr="00795F17" w:rsidRDefault="009D5450" w:rsidP="0065243A">
            <w:pPr>
              <w:pStyle w:val="Teksttabelisrodek"/>
              <w:rPr>
                <w:rFonts w:cstheme="minorHAnsi"/>
              </w:rPr>
            </w:pPr>
            <w:r w:rsidRPr="00795F17">
              <w:t>100,0</w:t>
            </w:r>
          </w:p>
        </w:tc>
      </w:tr>
      <w:tr w:rsidR="009D5450" w:rsidRPr="00795F17" w14:paraId="31452364" w14:textId="77777777" w:rsidTr="00577D99">
        <w:trPr>
          <w:trHeight w:val="397"/>
        </w:trPr>
        <w:tc>
          <w:tcPr>
            <w:tcW w:w="2689" w:type="dxa"/>
            <w:shd w:val="clear" w:color="auto" w:fill="auto"/>
            <w:vAlign w:val="center"/>
          </w:tcPr>
          <w:p w14:paraId="2A3F556E" w14:textId="77777777" w:rsidR="009D5450" w:rsidRPr="00795F17" w:rsidRDefault="009D5450" w:rsidP="00F03A71">
            <w:pPr>
              <w:pStyle w:val="Teksttabelilewy"/>
              <w:ind w:left="57"/>
              <w:rPr>
                <w:rFonts w:cstheme="minorHAnsi"/>
              </w:rPr>
            </w:pPr>
            <w:r w:rsidRPr="00795F17">
              <w:t>stacje transformatorowe</w:t>
            </w:r>
          </w:p>
        </w:tc>
        <w:tc>
          <w:tcPr>
            <w:tcW w:w="992" w:type="dxa"/>
            <w:vMerge/>
            <w:shd w:val="clear" w:color="auto" w:fill="auto"/>
            <w:vAlign w:val="center"/>
          </w:tcPr>
          <w:p w14:paraId="5ABD20B2" w14:textId="77777777" w:rsidR="009D5450" w:rsidRPr="00795F17" w:rsidRDefault="009D5450" w:rsidP="0065243A">
            <w:pPr>
              <w:pStyle w:val="Teksttabelisrodek"/>
            </w:pPr>
          </w:p>
        </w:tc>
        <w:tc>
          <w:tcPr>
            <w:tcW w:w="1134" w:type="dxa"/>
            <w:shd w:val="clear" w:color="auto" w:fill="auto"/>
            <w:vAlign w:val="center"/>
          </w:tcPr>
          <w:p w14:paraId="249C2E4C" w14:textId="77777777" w:rsidR="009D5450" w:rsidRPr="00795F17" w:rsidRDefault="009D5450" w:rsidP="0065243A">
            <w:pPr>
              <w:pStyle w:val="Teksttabelisrodek"/>
            </w:pPr>
            <w:r w:rsidRPr="00795F17">
              <w:t>1</w:t>
            </w:r>
          </w:p>
        </w:tc>
        <w:tc>
          <w:tcPr>
            <w:tcW w:w="1282" w:type="dxa"/>
            <w:shd w:val="clear" w:color="auto" w:fill="auto"/>
            <w:vAlign w:val="center"/>
          </w:tcPr>
          <w:p w14:paraId="16A8E717" w14:textId="46E778DB" w:rsidR="009D5450" w:rsidRPr="00795F17" w:rsidRDefault="009D5450" w:rsidP="0065243A">
            <w:pPr>
              <w:pStyle w:val="Teksttabelisrodek"/>
            </w:pPr>
            <w:r w:rsidRPr="00795F17">
              <w:t>2,0</w:t>
            </w:r>
          </w:p>
        </w:tc>
        <w:tc>
          <w:tcPr>
            <w:tcW w:w="1282" w:type="dxa"/>
            <w:shd w:val="clear" w:color="auto" w:fill="auto"/>
            <w:vAlign w:val="center"/>
          </w:tcPr>
          <w:p w14:paraId="68B609C9" w14:textId="77777777" w:rsidR="009D5450" w:rsidRPr="00795F17" w:rsidRDefault="009D5450" w:rsidP="0065243A">
            <w:pPr>
              <w:pStyle w:val="Teksttabelisrodek"/>
            </w:pPr>
            <w:r w:rsidRPr="00795F17">
              <w:t>1</w:t>
            </w:r>
          </w:p>
        </w:tc>
        <w:tc>
          <w:tcPr>
            <w:tcW w:w="1688" w:type="dxa"/>
            <w:shd w:val="clear" w:color="auto" w:fill="auto"/>
            <w:noWrap/>
            <w:vAlign w:val="center"/>
          </w:tcPr>
          <w:p w14:paraId="2AA25936" w14:textId="3DADD135" w:rsidR="009D5450" w:rsidRPr="00795F17" w:rsidRDefault="009D5450" w:rsidP="0065243A">
            <w:pPr>
              <w:pStyle w:val="Teksttabelisrodek"/>
            </w:pPr>
            <w:r w:rsidRPr="00795F17">
              <w:t>100,0</w:t>
            </w:r>
          </w:p>
        </w:tc>
      </w:tr>
      <w:tr w:rsidR="009D5450" w:rsidRPr="00795F17" w14:paraId="727B59E1" w14:textId="77777777" w:rsidTr="00577D99">
        <w:trPr>
          <w:trHeight w:val="397"/>
        </w:trPr>
        <w:tc>
          <w:tcPr>
            <w:tcW w:w="2689" w:type="dxa"/>
            <w:shd w:val="clear" w:color="auto" w:fill="auto"/>
            <w:vAlign w:val="center"/>
            <w:hideMark/>
          </w:tcPr>
          <w:p w14:paraId="446B84B3" w14:textId="3E61E8B0" w:rsidR="009D5450" w:rsidRPr="00795F17" w:rsidRDefault="000B3552" w:rsidP="00F03A71">
            <w:pPr>
              <w:pStyle w:val="Teksttabelilewy"/>
              <w:ind w:left="57"/>
              <w:rPr>
                <w:rFonts w:cstheme="minorHAnsi"/>
              </w:rPr>
            </w:pPr>
            <w:r>
              <w:t>i</w:t>
            </w:r>
            <w:r w:rsidR="009D5450" w:rsidRPr="00795F17">
              <w:t>nne</w:t>
            </w:r>
          </w:p>
        </w:tc>
        <w:tc>
          <w:tcPr>
            <w:tcW w:w="992" w:type="dxa"/>
            <w:vMerge/>
            <w:shd w:val="clear" w:color="auto" w:fill="auto"/>
            <w:vAlign w:val="center"/>
            <w:hideMark/>
          </w:tcPr>
          <w:p w14:paraId="6BCEAAE8" w14:textId="77777777" w:rsidR="009D5450" w:rsidRPr="00795F17" w:rsidRDefault="009D5450" w:rsidP="0065243A">
            <w:pPr>
              <w:pStyle w:val="Teksttabelisrodek"/>
            </w:pPr>
          </w:p>
        </w:tc>
        <w:tc>
          <w:tcPr>
            <w:tcW w:w="1134" w:type="dxa"/>
            <w:shd w:val="clear" w:color="auto" w:fill="auto"/>
            <w:vAlign w:val="center"/>
          </w:tcPr>
          <w:p w14:paraId="727F64FD" w14:textId="77777777" w:rsidR="009D5450" w:rsidRPr="00795F17" w:rsidRDefault="009D5450" w:rsidP="0065243A">
            <w:pPr>
              <w:pStyle w:val="Teksttabelisrodek"/>
              <w:rPr>
                <w:rFonts w:cstheme="minorHAnsi"/>
              </w:rPr>
            </w:pPr>
            <w:r w:rsidRPr="00795F17">
              <w:t>5</w:t>
            </w:r>
          </w:p>
        </w:tc>
        <w:tc>
          <w:tcPr>
            <w:tcW w:w="1282" w:type="dxa"/>
            <w:shd w:val="clear" w:color="auto" w:fill="auto"/>
            <w:vAlign w:val="center"/>
          </w:tcPr>
          <w:p w14:paraId="1C522E88" w14:textId="3914340A" w:rsidR="009D5450" w:rsidRPr="00795F17" w:rsidRDefault="009D5450" w:rsidP="0065243A">
            <w:pPr>
              <w:pStyle w:val="Teksttabelisrodek"/>
              <w:rPr>
                <w:rFonts w:cstheme="minorHAnsi"/>
              </w:rPr>
            </w:pPr>
            <w:r w:rsidRPr="00795F17">
              <w:t>10,0</w:t>
            </w:r>
          </w:p>
        </w:tc>
        <w:tc>
          <w:tcPr>
            <w:tcW w:w="1282" w:type="dxa"/>
            <w:shd w:val="clear" w:color="auto" w:fill="auto"/>
            <w:vAlign w:val="center"/>
          </w:tcPr>
          <w:p w14:paraId="17CFCB2F" w14:textId="77777777" w:rsidR="009D5450" w:rsidRPr="00795F17" w:rsidRDefault="009D5450" w:rsidP="0065243A">
            <w:pPr>
              <w:pStyle w:val="Teksttabelisrodek"/>
              <w:rPr>
                <w:rFonts w:cstheme="minorHAnsi"/>
              </w:rPr>
            </w:pPr>
            <w:r w:rsidRPr="00795F17">
              <w:t>4</w:t>
            </w:r>
          </w:p>
        </w:tc>
        <w:tc>
          <w:tcPr>
            <w:tcW w:w="1688" w:type="dxa"/>
            <w:shd w:val="clear" w:color="auto" w:fill="auto"/>
            <w:noWrap/>
            <w:vAlign w:val="center"/>
          </w:tcPr>
          <w:p w14:paraId="19B29142" w14:textId="503FB34C" w:rsidR="009D5450" w:rsidRPr="00795F17" w:rsidRDefault="009D5450" w:rsidP="0065243A">
            <w:pPr>
              <w:pStyle w:val="Teksttabelisrodek"/>
              <w:rPr>
                <w:rFonts w:cstheme="minorHAnsi"/>
              </w:rPr>
            </w:pPr>
            <w:r w:rsidRPr="00795F17">
              <w:t>80,0</w:t>
            </w:r>
          </w:p>
        </w:tc>
      </w:tr>
    </w:tbl>
    <w:p w14:paraId="013402D4" w14:textId="4F342DF4" w:rsidR="009D5450" w:rsidRPr="00795F17" w:rsidRDefault="009D5450" w:rsidP="0044393D">
      <w:pPr>
        <w:pStyle w:val="rdo"/>
      </w:pPr>
      <w:r w:rsidRPr="00795F17">
        <w:t xml:space="preserve">Źródło: </w:t>
      </w:r>
      <w:r w:rsidR="00FD7248" w:rsidRPr="00795F17">
        <w:t>opracowanie własne</w:t>
      </w:r>
      <w:r w:rsidRPr="00795F17">
        <w:t xml:space="preserve"> na podstawie wykazu GIOŚ</w:t>
      </w:r>
    </w:p>
    <w:p w14:paraId="70749088" w14:textId="5E1BB9A8" w:rsidR="00A929FD" w:rsidRPr="00795F17" w:rsidRDefault="00A929FD" w:rsidP="004D7705">
      <w:pPr>
        <w:pStyle w:val="Tabela"/>
      </w:pPr>
      <w:bookmarkStart w:id="893" w:name="_Toc66341980"/>
      <w:bookmarkStart w:id="894" w:name="_Toc105512908"/>
      <w:r w:rsidRPr="00795F17">
        <w:t xml:space="preserve">Tabela </w:t>
      </w:r>
      <w:fldSimple w:instr=" STYLEREF 1 \s ">
        <w:r w:rsidR="001F774D">
          <w:rPr>
            <w:noProof/>
          </w:rPr>
          <w:t>13</w:t>
        </w:r>
      </w:fldSimple>
      <w:r w:rsidR="00BB3B21" w:rsidRPr="00795F17">
        <w:noBreakHyphen/>
      </w:r>
      <w:fldSimple w:instr=" SEQ Tabela \* ARABIC \s 1 ">
        <w:r w:rsidR="001F774D">
          <w:rPr>
            <w:noProof/>
          </w:rPr>
          <w:t>22</w:t>
        </w:r>
      </w:fldSimple>
      <w:r w:rsidR="000B5450">
        <w:rPr>
          <w:noProof/>
        </w:rPr>
        <w:t>.</w:t>
      </w:r>
      <w:r w:rsidRPr="00795F17">
        <w:tab/>
        <w:t>Występowanie zdarzeń o znamionach poważnej awarii w okresie 2016</w:t>
      </w:r>
      <w:r w:rsidR="008C6575">
        <w:t>–</w:t>
      </w:r>
      <w:r w:rsidRPr="00795F17">
        <w:t xml:space="preserve">2019 na obszarze dorzecza Odry </w:t>
      </w:r>
      <w:r w:rsidR="008C6575">
        <w:t>–</w:t>
      </w:r>
      <w:r w:rsidRPr="00795F17">
        <w:t xml:space="preserve"> według lokalizacji w województwach</w:t>
      </w:r>
      <w:bookmarkEnd w:id="893"/>
      <w:bookmarkEnd w:id="8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84"/>
        <w:gridCol w:w="990"/>
        <w:gridCol w:w="1211"/>
        <w:gridCol w:w="1247"/>
        <w:gridCol w:w="1268"/>
        <w:gridCol w:w="1716"/>
      </w:tblGrid>
      <w:tr w:rsidR="009D5450" w:rsidRPr="00795F17" w14:paraId="631D969A" w14:textId="77777777" w:rsidTr="0056733F">
        <w:trPr>
          <w:trHeight w:val="454"/>
          <w:tblHeader/>
        </w:trPr>
        <w:tc>
          <w:tcPr>
            <w:tcW w:w="2617" w:type="dxa"/>
            <w:shd w:val="clear" w:color="auto" w:fill="BFBFBF" w:themeFill="background1" w:themeFillShade="BF"/>
            <w:vAlign w:val="center"/>
            <w:hideMark/>
          </w:tcPr>
          <w:p w14:paraId="3E8E1000" w14:textId="77777777" w:rsidR="009D5450" w:rsidRPr="00795F17" w:rsidRDefault="009D5450" w:rsidP="0044393D">
            <w:pPr>
              <w:pStyle w:val="Teksttabelinaglowek"/>
              <w:rPr>
                <w:rFonts w:cstheme="minorHAnsi"/>
              </w:rPr>
            </w:pPr>
            <w:r w:rsidRPr="00795F17">
              <w:t>Województwo w obszarze dorzecza</w:t>
            </w:r>
          </w:p>
        </w:tc>
        <w:tc>
          <w:tcPr>
            <w:tcW w:w="1000" w:type="dxa"/>
            <w:shd w:val="clear" w:color="auto" w:fill="BFBFBF" w:themeFill="background1" w:themeFillShade="BF"/>
            <w:vAlign w:val="center"/>
            <w:hideMark/>
          </w:tcPr>
          <w:p w14:paraId="6B08ACC2" w14:textId="77777777" w:rsidR="009D5450" w:rsidRPr="00795F17" w:rsidRDefault="009D5450" w:rsidP="0044393D">
            <w:pPr>
              <w:pStyle w:val="Teksttabelinaglowek"/>
              <w:rPr>
                <w:rFonts w:cstheme="minorHAnsi"/>
              </w:rPr>
            </w:pPr>
            <w:r w:rsidRPr="00795F17">
              <w:t>Liczba zdarzeń razem</w:t>
            </w:r>
          </w:p>
        </w:tc>
        <w:tc>
          <w:tcPr>
            <w:tcW w:w="1211" w:type="dxa"/>
            <w:shd w:val="clear" w:color="auto" w:fill="BFBFBF" w:themeFill="background1" w:themeFillShade="BF"/>
            <w:vAlign w:val="center"/>
            <w:hideMark/>
          </w:tcPr>
          <w:p w14:paraId="46D889BC" w14:textId="35E3D5D6" w:rsidR="009D5450" w:rsidRPr="00795F17" w:rsidRDefault="009D5450" w:rsidP="0044393D">
            <w:pPr>
              <w:pStyle w:val="Teksttabelinaglowek"/>
              <w:rPr>
                <w:rFonts w:cstheme="minorHAnsi"/>
              </w:rPr>
            </w:pPr>
            <w:r w:rsidRPr="00795F17">
              <w:t xml:space="preserve">Liczba zdarzeń </w:t>
            </w:r>
            <w:r w:rsidR="00442820">
              <w:t>według</w:t>
            </w:r>
            <w:r w:rsidRPr="00795F17">
              <w:t xml:space="preserve"> województw</w:t>
            </w:r>
          </w:p>
        </w:tc>
        <w:tc>
          <w:tcPr>
            <w:tcW w:w="1263" w:type="dxa"/>
            <w:shd w:val="clear" w:color="auto" w:fill="BFBFBF" w:themeFill="background1" w:themeFillShade="BF"/>
            <w:vAlign w:val="center"/>
            <w:hideMark/>
          </w:tcPr>
          <w:p w14:paraId="7C28C37D" w14:textId="4878E9F9" w:rsidR="009D5450" w:rsidRPr="00795F17" w:rsidRDefault="003B4649" w:rsidP="0044393D">
            <w:pPr>
              <w:pStyle w:val="Teksttabelinaglowek"/>
              <w:rPr>
                <w:rFonts w:cstheme="minorHAnsi"/>
              </w:rPr>
            </w:pPr>
            <w:r w:rsidRPr="00795F17">
              <w:t>U</w:t>
            </w:r>
            <w:r w:rsidR="009D5450" w:rsidRPr="00795F17">
              <w:t>dział rodzajów zdarzeń</w:t>
            </w:r>
            <w:r w:rsidR="008A739A" w:rsidRPr="00795F17">
              <w:t xml:space="preserve"> </w:t>
            </w:r>
            <w:r w:rsidR="00EA4FF5" w:rsidRPr="00795F17">
              <w:t>(%)</w:t>
            </w:r>
          </w:p>
        </w:tc>
        <w:tc>
          <w:tcPr>
            <w:tcW w:w="1275" w:type="dxa"/>
            <w:shd w:val="clear" w:color="auto" w:fill="BFBFBF" w:themeFill="background1" w:themeFillShade="BF"/>
            <w:vAlign w:val="center"/>
            <w:hideMark/>
          </w:tcPr>
          <w:p w14:paraId="42E09C94" w14:textId="77777777" w:rsidR="009D5450" w:rsidRPr="00795F17" w:rsidRDefault="009D5450" w:rsidP="0044393D">
            <w:pPr>
              <w:pStyle w:val="Teksttabelinaglowek"/>
              <w:rPr>
                <w:rFonts w:cstheme="minorHAnsi"/>
              </w:rPr>
            </w:pPr>
            <w:r w:rsidRPr="00795F17">
              <w:t>Zdarzenia stwarzające zagrożenie dla wód</w:t>
            </w:r>
          </w:p>
        </w:tc>
        <w:tc>
          <w:tcPr>
            <w:tcW w:w="1716" w:type="dxa"/>
            <w:shd w:val="clear" w:color="auto" w:fill="BFBFBF" w:themeFill="background1" w:themeFillShade="BF"/>
            <w:vAlign w:val="center"/>
            <w:hideMark/>
          </w:tcPr>
          <w:p w14:paraId="3DE3B182" w14:textId="008F51AE" w:rsidR="009D5450" w:rsidRPr="00795F17" w:rsidRDefault="003B4649" w:rsidP="0044393D">
            <w:pPr>
              <w:pStyle w:val="Teksttabelinaglowek"/>
              <w:rPr>
                <w:rFonts w:cstheme="minorHAnsi"/>
              </w:rPr>
            </w:pPr>
            <w:r w:rsidRPr="00795F17">
              <w:t>U</w:t>
            </w:r>
            <w:r w:rsidR="009D5450" w:rsidRPr="00795F17">
              <w:t xml:space="preserve">dział awarii stwarzających zagrożenie dla wód </w:t>
            </w:r>
            <w:r w:rsidR="00442820">
              <w:t>według</w:t>
            </w:r>
            <w:r w:rsidR="009D5450" w:rsidRPr="00795F17">
              <w:t xml:space="preserve"> województw</w:t>
            </w:r>
            <w:r w:rsidR="008A739A" w:rsidRPr="00795F17">
              <w:t xml:space="preserve"> </w:t>
            </w:r>
            <w:r w:rsidR="00EA4FF5" w:rsidRPr="00795F17">
              <w:t>(%)</w:t>
            </w:r>
          </w:p>
        </w:tc>
      </w:tr>
      <w:tr w:rsidR="009D5450" w:rsidRPr="00795F17" w14:paraId="7E1F4D96" w14:textId="77777777" w:rsidTr="0056733F">
        <w:trPr>
          <w:trHeight w:val="454"/>
        </w:trPr>
        <w:tc>
          <w:tcPr>
            <w:tcW w:w="2617" w:type="dxa"/>
            <w:shd w:val="clear" w:color="auto" w:fill="auto"/>
            <w:vAlign w:val="center"/>
            <w:hideMark/>
          </w:tcPr>
          <w:p w14:paraId="01276BA3" w14:textId="153D3902" w:rsidR="009D5450" w:rsidRPr="00795F17" w:rsidRDefault="000B3552" w:rsidP="00F03A71">
            <w:pPr>
              <w:pStyle w:val="Teksttabelilewy"/>
              <w:ind w:left="57"/>
              <w:rPr>
                <w:rFonts w:cstheme="minorHAnsi"/>
              </w:rPr>
            </w:pPr>
            <w:r>
              <w:t>d</w:t>
            </w:r>
            <w:r w:rsidR="009D5450" w:rsidRPr="00795F17">
              <w:t>olnośląskie</w:t>
            </w:r>
          </w:p>
        </w:tc>
        <w:tc>
          <w:tcPr>
            <w:tcW w:w="1000" w:type="dxa"/>
            <w:vMerge w:val="restart"/>
            <w:shd w:val="clear" w:color="auto" w:fill="auto"/>
            <w:vAlign w:val="center"/>
            <w:hideMark/>
          </w:tcPr>
          <w:p w14:paraId="60590FF3" w14:textId="77777777" w:rsidR="009D5450" w:rsidRPr="00795F17" w:rsidRDefault="009D5450" w:rsidP="0065243A">
            <w:pPr>
              <w:pStyle w:val="Teksttabelisrodek"/>
              <w:rPr>
                <w:rFonts w:cstheme="minorHAnsi"/>
              </w:rPr>
            </w:pPr>
            <w:r w:rsidRPr="00795F17">
              <w:t>50</w:t>
            </w:r>
          </w:p>
        </w:tc>
        <w:tc>
          <w:tcPr>
            <w:tcW w:w="1211" w:type="dxa"/>
            <w:shd w:val="clear" w:color="auto" w:fill="auto"/>
            <w:vAlign w:val="center"/>
            <w:hideMark/>
          </w:tcPr>
          <w:p w14:paraId="53C5BEE9" w14:textId="77777777" w:rsidR="009D5450" w:rsidRPr="00795F17" w:rsidRDefault="009D5450" w:rsidP="0065243A">
            <w:pPr>
              <w:pStyle w:val="Teksttabelisrodek"/>
              <w:rPr>
                <w:rFonts w:cstheme="minorHAnsi"/>
              </w:rPr>
            </w:pPr>
            <w:r w:rsidRPr="00795F17">
              <w:t>26</w:t>
            </w:r>
          </w:p>
        </w:tc>
        <w:tc>
          <w:tcPr>
            <w:tcW w:w="1263" w:type="dxa"/>
            <w:shd w:val="clear" w:color="auto" w:fill="auto"/>
            <w:vAlign w:val="center"/>
            <w:hideMark/>
          </w:tcPr>
          <w:p w14:paraId="6439C995" w14:textId="132B9EA2" w:rsidR="009D5450" w:rsidRPr="00795F17" w:rsidRDefault="009D5450" w:rsidP="0065243A">
            <w:pPr>
              <w:pStyle w:val="Teksttabelisrodek"/>
              <w:rPr>
                <w:rFonts w:cstheme="minorHAnsi"/>
              </w:rPr>
            </w:pPr>
            <w:r w:rsidRPr="00795F17">
              <w:t>52,0</w:t>
            </w:r>
          </w:p>
        </w:tc>
        <w:tc>
          <w:tcPr>
            <w:tcW w:w="1275" w:type="dxa"/>
            <w:shd w:val="clear" w:color="auto" w:fill="auto"/>
            <w:vAlign w:val="center"/>
            <w:hideMark/>
          </w:tcPr>
          <w:p w14:paraId="17F74A46" w14:textId="77777777" w:rsidR="009D5450" w:rsidRPr="00795F17" w:rsidRDefault="009D5450" w:rsidP="0065243A">
            <w:pPr>
              <w:pStyle w:val="Teksttabelisrodek"/>
              <w:rPr>
                <w:rFonts w:cstheme="minorHAnsi"/>
              </w:rPr>
            </w:pPr>
            <w:r w:rsidRPr="00795F17">
              <w:t>18</w:t>
            </w:r>
          </w:p>
        </w:tc>
        <w:tc>
          <w:tcPr>
            <w:tcW w:w="1716" w:type="dxa"/>
            <w:shd w:val="clear" w:color="auto" w:fill="auto"/>
            <w:noWrap/>
            <w:vAlign w:val="center"/>
            <w:hideMark/>
          </w:tcPr>
          <w:p w14:paraId="04E91D8D" w14:textId="0B716B1F" w:rsidR="009D5450" w:rsidRPr="00795F17" w:rsidRDefault="009D5450" w:rsidP="0065243A">
            <w:pPr>
              <w:pStyle w:val="Teksttabelisrodek"/>
              <w:rPr>
                <w:rFonts w:cstheme="minorHAnsi"/>
              </w:rPr>
            </w:pPr>
            <w:r w:rsidRPr="00795F17">
              <w:t>36,0</w:t>
            </w:r>
          </w:p>
        </w:tc>
      </w:tr>
      <w:tr w:rsidR="009D5450" w:rsidRPr="00795F17" w14:paraId="23292288" w14:textId="77777777" w:rsidTr="0056733F">
        <w:trPr>
          <w:trHeight w:val="454"/>
        </w:trPr>
        <w:tc>
          <w:tcPr>
            <w:tcW w:w="2617" w:type="dxa"/>
            <w:shd w:val="clear" w:color="auto" w:fill="auto"/>
            <w:vAlign w:val="center"/>
            <w:hideMark/>
          </w:tcPr>
          <w:p w14:paraId="11F06982" w14:textId="0E285B0D" w:rsidR="009D5450" w:rsidRPr="00795F17" w:rsidRDefault="000B3552" w:rsidP="00F03A71">
            <w:pPr>
              <w:pStyle w:val="Teksttabelilewy"/>
              <w:ind w:left="57"/>
              <w:rPr>
                <w:rFonts w:cstheme="minorHAnsi"/>
              </w:rPr>
            </w:pPr>
            <w:r>
              <w:t>k</w:t>
            </w:r>
            <w:r w:rsidR="009D5450" w:rsidRPr="00795F17">
              <w:t>ujawsko</w:t>
            </w:r>
            <w:r>
              <w:t>-p</w:t>
            </w:r>
            <w:r w:rsidR="009D5450" w:rsidRPr="00795F17">
              <w:rPr>
                <w:rFonts w:cstheme="minorHAnsi"/>
              </w:rPr>
              <w:t>omorskie</w:t>
            </w:r>
          </w:p>
        </w:tc>
        <w:tc>
          <w:tcPr>
            <w:tcW w:w="1000" w:type="dxa"/>
            <w:vMerge/>
            <w:shd w:val="clear" w:color="auto" w:fill="auto"/>
            <w:vAlign w:val="center"/>
            <w:hideMark/>
          </w:tcPr>
          <w:p w14:paraId="4F0C5700" w14:textId="77777777" w:rsidR="009D5450" w:rsidRPr="00795F17" w:rsidRDefault="009D5450" w:rsidP="0065243A">
            <w:pPr>
              <w:pStyle w:val="Teksttabelisrodek"/>
            </w:pPr>
          </w:p>
        </w:tc>
        <w:tc>
          <w:tcPr>
            <w:tcW w:w="1211" w:type="dxa"/>
            <w:shd w:val="clear" w:color="auto" w:fill="auto"/>
            <w:vAlign w:val="center"/>
            <w:hideMark/>
          </w:tcPr>
          <w:p w14:paraId="27726C60" w14:textId="77777777" w:rsidR="009D5450" w:rsidRPr="00795F17" w:rsidRDefault="009D5450" w:rsidP="0065243A">
            <w:pPr>
              <w:pStyle w:val="Teksttabelisrodek"/>
              <w:rPr>
                <w:rFonts w:cstheme="minorHAnsi"/>
              </w:rPr>
            </w:pPr>
            <w:r w:rsidRPr="00795F17">
              <w:t>2</w:t>
            </w:r>
          </w:p>
        </w:tc>
        <w:tc>
          <w:tcPr>
            <w:tcW w:w="1263" w:type="dxa"/>
            <w:shd w:val="clear" w:color="auto" w:fill="auto"/>
            <w:vAlign w:val="center"/>
            <w:hideMark/>
          </w:tcPr>
          <w:p w14:paraId="6BB45C64" w14:textId="19273591" w:rsidR="009D5450" w:rsidRPr="00795F17" w:rsidRDefault="009D5450" w:rsidP="0065243A">
            <w:pPr>
              <w:pStyle w:val="Teksttabelisrodek"/>
              <w:rPr>
                <w:rFonts w:cstheme="minorHAnsi"/>
              </w:rPr>
            </w:pPr>
            <w:r w:rsidRPr="00795F17">
              <w:t>4,0</w:t>
            </w:r>
          </w:p>
        </w:tc>
        <w:tc>
          <w:tcPr>
            <w:tcW w:w="1275" w:type="dxa"/>
            <w:shd w:val="clear" w:color="auto" w:fill="auto"/>
            <w:vAlign w:val="center"/>
            <w:hideMark/>
          </w:tcPr>
          <w:p w14:paraId="0149470B" w14:textId="77777777" w:rsidR="009D5450" w:rsidRPr="00795F17" w:rsidRDefault="009D5450" w:rsidP="0065243A">
            <w:pPr>
              <w:pStyle w:val="Teksttabelisrodek"/>
              <w:rPr>
                <w:rFonts w:cstheme="minorHAnsi"/>
              </w:rPr>
            </w:pPr>
            <w:r w:rsidRPr="00795F17">
              <w:t>2</w:t>
            </w:r>
          </w:p>
        </w:tc>
        <w:tc>
          <w:tcPr>
            <w:tcW w:w="1716" w:type="dxa"/>
            <w:shd w:val="clear" w:color="auto" w:fill="auto"/>
            <w:noWrap/>
            <w:vAlign w:val="center"/>
            <w:hideMark/>
          </w:tcPr>
          <w:p w14:paraId="733714E2" w14:textId="103EC316" w:rsidR="009D5450" w:rsidRPr="00795F17" w:rsidRDefault="009D5450" w:rsidP="0065243A">
            <w:pPr>
              <w:pStyle w:val="Teksttabelisrodek"/>
              <w:rPr>
                <w:rFonts w:cstheme="minorHAnsi"/>
              </w:rPr>
            </w:pPr>
            <w:r w:rsidRPr="00795F17">
              <w:t>4,0</w:t>
            </w:r>
          </w:p>
        </w:tc>
      </w:tr>
      <w:tr w:rsidR="009D5450" w:rsidRPr="00795F17" w14:paraId="685F3107" w14:textId="77777777" w:rsidTr="0056733F">
        <w:trPr>
          <w:trHeight w:val="454"/>
        </w:trPr>
        <w:tc>
          <w:tcPr>
            <w:tcW w:w="2617" w:type="dxa"/>
            <w:shd w:val="clear" w:color="auto" w:fill="auto"/>
            <w:vAlign w:val="center"/>
            <w:hideMark/>
          </w:tcPr>
          <w:p w14:paraId="7C1E8728" w14:textId="3D39A9BC" w:rsidR="009D5450" w:rsidRPr="00795F17" w:rsidRDefault="000B3552" w:rsidP="00AB36EB">
            <w:pPr>
              <w:pStyle w:val="Teksttabelilewy"/>
              <w:ind w:left="57"/>
              <w:rPr>
                <w:rFonts w:cstheme="minorHAnsi"/>
              </w:rPr>
            </w:pPr>
            <w:r>
              <w:t>l</w:t>
            </w:r>
            <w:r w:rsidR="009D5450" w:rsidRPr="00795F17">
              <w:t>ubuskie</w:t>
            </w:r>
          </w:p>
        </w:tc>
        <w:tc>
          <w:tcPr>
            <w:tcW w:w="1000" w:type="dxa"/>
            <w:vMerge/>
            <w:shd w:val="clear" w:color="auto" w:fill="auto"/>
            <w:vAlign w:val="center"/>
            <w:hideMark/>
          </w:tcPr>
          <w:p w14:paraId="3A33FBDF" w14:textId="77777777" w:rsidR="009D5450" w:rsidRPr="00795F17" w:rsidRDefault="009D5450" w:rsidP="0065243A">
            <w:pPr>
              <w:pStyle w:val="Teksttabelisrodek"/>
            </w:pPr>
          </w:p>
        </w:tc>
        <w:tc>
          <w:tcPr>
            <w:tcW w:w="1211" w:type="dxa"/>
            <w:shd w:val="clear" w:color="auto" w:fill="auto"/>
            <w:vAlign w:val="center"/>
            <w:hideMark/>
          </w:tcPr>
          <w:p w14:paraId="77527B0A" w14:textId="77777777" w:rsidR="009D5450" w:rsidRPr="00795F17" w:rsidRDefault="009D5450" w:rsidP="0065243A">
            <w:pPr>
              <w:pStyle w:val="Teksttabelisrodek"/>
              <w:rPr>
                <w:rFonts w:cstheme="minorHAnsi"/>
              </w:rPr>
            </w:pPr>
            <w:r w:rsidRPr="00795F17">
              <w:t>7</w:t>
            </w:r>
          </w:p>
        </w:tc>
        <w:tc>
          <w:tcPr>
            <w:tcW w:w="1263" w:type="dxa"/>
            <w:shd w:val="clear" w:color="auto" w:fill="auto"/>
            <w:vAlign w:val="center"/>
            <w:hideMark/>
          </w:tcPr>
          <w:p w14:paraId="32473774" w14:textId="52CEDA70" w:rsidR="009D5450" w:rsidRPr="00795F17" w:rsidRDefault="009D5450" w:rsidP="0065243A">
            <w:pPr>
              <w:pStyle w:val="Teksttabelisrodek"/>
              <w:rPr>
                <w:rFonts w:cstheme="minorHAnsi"/>
              </w:rPr>
            </w:pPr>
            <w:r w:rsidRPr="00795F17">
              <w:t>14,0</w:t>
            </w:r>
          </w:p>
        </w:tc>
        <w:tc>
          <w:tcPr>
            <w:tcW w:w="1275" w:type="dxa"/>
            <w:shd w:val="clear" w:color="auto" w:fill="auto"/>
            <w:vAlign w:val="center"/>
            <w:hideMark/>
          </w:tcPr>
          <w:p w14:paraId="71272AB0" w14:textId="77777777" w:rsidR="009D5450" w:rsidRPr="00795F17" w:rsidRDefault="009D5450" w:rsidP="0065243A">
            <w:pPr>
              <w:pStyle w:val="Teksttabelisrodek"/>
              <w:rPr>
                <w:rFonts w:cstheme="minorHAnsi"/>
              </w:rPr>
            </w:pPr>
            <w:r w:rsidRPr="00795F17">
              <w:t>7</w:t>
            </w:r>
          </w:p>
        </w:tc>
        <w:tc>
          <w:tcPr>
            <w:tcW w:w="1716" w:type="dxa"/>
            <w:shd w:val="clear" w:color="auto" w:fill="auto"/>
            <w:noWrap/>
            <w:vAlign w:val="center"/>
            <w:hideMark/>
          </w:tcPr>
          <w:p w14:paraId="069DA212" w14:textId="649EE469" w:rsidR="009D5450" w:rsidRPr="00795F17" w:rsidRDefault="009D5450" w:rsidP="0065243A">
            <w:pPr>
              <w:pStyle w:val="Teksttabelisrodek"/>
              <w:rPr>
                <w:rFonts w:cstheme="minorHAnsi"/>
              </w:rPr>
            </w:pPr>
            <w:r w:rsidRPr="00795F17">
              <w:t>14,0</w:t>
            </w:r>
          </w:p>
        </w:tc>
      </w:tr>
      <w:tr w:rsidR="009D5450" w:rsidRPr="00795F17" w14:paraId="5042911D" w14:textId="77777777" w:rsidTr="0056733F">
        <w:trPr>
          <w:trHeight w:val="454"/>
        </w:trPr>
        <w:tc>
          <w:tcPr>
            <w:tcW w:w="2617" w:type="dxa"/>
            <w:shd w:val="clear" w:color="auto" w:fill="auto"/>
            <w:vAlign w:val="center"/>
            <w:hideMark/>
          </w:tcPr>
          <w:p w14:paraId="26E8C4FE" w14:textId="68316AFC" w:rsidR="009D5450" w:rsidRPr="00795F17" w:rsidRDefault="000B3552" w:rsidP="00AB36EB">
            <w:pPr>
              <w:pStyle w:val="Teksttabelilewy"/>
              <w:ind w:left="57"/>
              <w:rPr>
                <w:rFonts w:cstheme="minorHAnsi"/>
              </w:rPr>
            </w:pPr>
            <w:r>
              <w:t>ł</w:t>
            </w:r>
            <w:r w:rsidR="009D5450" w:rsidRPr="00795F17">
              <w:t>ódzkie</w:t>
            </w:r>
          </w:p>
        </w:tc>
        <w:tc>
          <w:tcPr>
            <w:tcW w:w="1000" w:type="dxa"/>
            <w:vMerge/>
            <w:shd w:val="clear" w:color="auto" w:fill="auto"/>
            <w:vAlign w:val="center"/>
            <w:hideMark/>
          </w:tcPr>
          <w:p w14:paraId="4ADA09E2" w14:textId="77777777" w:rsidR="009D5450" w:rsidRPr="00795F17" w:rsidRDefault="009D5450" w:rsidP="0065243A">
            <w:pPr>
              <w:pStyle w:val="Teksttabelisrodek"/>
            </w:pPr>
          </w:p>
        </w:tc>
        <w:tc>
          <w:tcPr>
            <w:tcW w:w="1211" w:type="dxa"/>
            <w:shd w:val="clear" w:color="auto" w:fill="auto"/>
            <w:vAlign w:val="center"/>
            <w:hideMark/>
          </w:tcPr>
          <w:p w14:paraId="29B9F320" w14:textId="77777777" w:rsidR="009D5450" w:rsidRPr="00795F17" w:rsidRDefault="009D5450" w:rsidP="0065243A">
            <w:pPr>
              <w:pStyle w:val="Teksttabelisrodek"/>
              <w:rPr>
                <w:rFonts w:cstheme="minorHAnsi"/>
              </w:rPr>
            </w:pPr>
            <w:r w:rsidRPr="00795F17">
              <w:t>3</w:t>
            </w:r>
          </w:p>
        </w:tc>
        <w:tc>
          <w:tcPr>
            <w:tcW w:w="1263" w:type="dxa"/>
            <w:shd w:val="clear" w:color="auto" w:fill="auto"/>
            <w:vAlign w:val="center"/>
            <w:hideMark/>
          </w:tcPr>
          <w:p w14:paraId="5DB0EC2A" w14:textId="3EAD754C" w:rsidR="009D5450" w:rsidRPr="00795F17" w:rsidRDefault="009D5450" w:rsidP="0065243A">
            <w:pPr>
              <w:pStyle w:val="Teksttabelisrodek"/>
              <w:rPr>
                <w:rFonts w:cstheme="minorHAnsi"/>
              </w:rPr>
            </w:pPr>
            <w:r w:rsidRPr="00795F17">
              <w:t>6,0</w:t>
            </w:r>
          </w:p>
        </w:tc>
        <w:tc>
          <w:tcPr>
            <w:tcW w:w="1275" w:type="dxa"/>
            <w:shd w:val="clear" w:color="auto" w:fill="auto"/>
            <w:vAlign w:val="center"/>
            <w:hideMark/>
          </w:tcPr>
          <w:p w14:paraId="6760E36B" w14:textId="77777777" w:rsidR="009D5450" w:rsidRPr="00795F17" w:rsidRDefault="009D5450" w:rsidP="0065243A">
            <w:pPr>
              <w:pStyle w:val="Teksttabelisrodek"/>
              <w:rPr>
                <w:rFonts w:cstheme="minorHAnsi"/>
              </w:rPr>
            </w:pPr>
            <w:r w:rsidRPr="00795F17">
              <w:t>2</w:t>
            </w:r>
          </w:p>
        </w:tc>
        <w:tc>
          <w:tcPr>
            <w:tcW w:w="1716" w:type="dxa"/>
            <w:shd w:val="clear" w:color="auto" w:fill="auto"/>
            <w:noWrap/>
            <w:vAlign w:val="center"/>
            <w:hideMark/>
          </w:tcPr>
          <w:p w14:paraId="0B0169C0" w14:textId="1F79C6B1" w:rsidR="009D5450" w:rsidRPr="00795F17" w:rsidRDefault="009D5450" w:rsidP="0065243A">
            <w:pPr>
              <w:pStyle w:val="Teksttabelisrodek"/>
              <w:rPr>
                <w:rFonts w:cstheme="minorHAnsi"/>
              </w:rPr>
            </w:pPr>
            <w:r w:rsidRPr="00795F17">
              <w:t>4,0</w:t>
            </w:r>
          </w:p>
        </w:tc>
      </w:tr>
      <w:tr w:rsidR="009D5450" w:rsidRPr="00795F17" w14:paraId="1583D8A0" w14:textId="77777777" w:rsidTr="0056733F">
        <w:trPr>
          <w:trHeight w:val="454"/>
        </w:trPr>
        <w:tc>
          <w:tcPr>
            <w:tcW w:w="2617" w:type="dxa"/>
            <w:shd w:val="clear" w:color="auto" w:fill="auto"/>
            <w:vAlign w:val="center"/>
            <w:hideMark/>
          </w:tcPr>
          <w:p w14:paraId="24C5DF60" w14:textId="4AE22FA5" w:rsidR="009D5450" w:rsidRPr="00795F17" w:rsidRDefault="000B3552" w:rsidP="00AB36EB">
            <w:pPr>
              <w:pStyle w:val="Teksttabelilewy"/>
              <w:ind w:left="57"/>
              <w:rPr>
                <w:rFonts w:cstheme="minorHAnsi"/>
              </w:rPr>
            </w:pPr>
            <w:r>
              <w:t>ś</w:t>
            </w:r>
            <w:r w:rsidR="009D5450" w:rsidRPr="00795F17">
              <w:t>ląskie</w:t>
            </w:r>
          </w:p>
        </w:tc>
        <w:tc>
          <w:tcPr>
            <w:tcW w:w="1000" w:type="dxa"/>
            <w:vMerge/>
            <w:shd w:val="clear" w:color="auto" w:fill="auto"/>
            <w:vAlign w:val="center"/>
            <w:hideMark/>
          </w:tcPr>
          <w:p w14:paraId="5617378C" w14:textId="77777777" w:rsidR="009D5450" w:rsidRPr="00795F17" w:rsidRDefault="009D5450" w:rsidP="0065243A">
            <w:pPr>
              <w:pStyle w:val="Teksttabelisrodek"/>
            </w:pPr>
          </w:p>
        </w:tc>
        <w:tc>
          <w:tcPr>
            <w:tcW w:w="1211" w:type="dxa"/>
            <w:shd w:val="clear" w:color="auto" w:fill="auto"/>
            <w:vAlign w:val="center"/>
            <w:hideMark/>
          </w:tcPr>
          <w:p w14:paraId="53BACF3F" w14:textId="77777777" w:rsidR="009D5450" w:rsidRPr="00795F17" w:rsidRDefault="009D5450" w:rsidP="0065243A">
            <w:pPr>
              <w:pStyle w:val="Teksttabelisrodek"/>
              <w:rPr>
                <w:rFonts w:cstheme="minorHAnsi"/>
              </w:rPr>
            </w:pPr>
            <w:r w:rsidRPr="00795F17">
              <w:t>7</w:t>
            </w:r>
          </w:p>
        </w:tc>
        <w:tc>
          <w:tcPr>
            <w:tcW w:w="1263" w:type="dxa"/>
            <w:shd w:val="clear" w:color="auto" w:fill="auto"/>
            <w:vAlign w:val="center"/>
            <w:hideMark/>
          </w:tcPr>
          <w:p w14:paraId="40AD987A" w14:textId="1DC8453A" w:rsidR="009D5450" w:rsidRPr="00795F17" w:rsidRDefault="009D5450" w:rsidP="0065243A">
            <w:pPr>
              <w:pStyle w:val="Teksttabelisrodek"/>
              <w:rPr>
                <w:rFonts w:cstheme="minorHAnsi"/>
              </w:rPr>
            </w:pPr>
            <w:r w:rsidRPr="00795F17">
              <w:t>14,0</w:t>
            </w:r>
          </w:p>
        </w:tc>
        <w:tc>
          <w:tcPr>
            <w:tcW w:w="1275" w:type="dxa"/>
            <w:shd w:val="clear" w:color="auto" w:fill="auto"/>
            <w:vAlign w:val="center"/>
            <w:hideMark/>
          </w:tcPr>
          <w:p w14:paraId="5EBF4C12" w14:textId="77777777" w:rsidR="009D5450" w:rsidRPr="00795F17" w:rsidRDefault="009D5450" w:rsidP="0065243A">
            <w:pPr>
              <w:pStyle w:val="Teksttabelisrodek"/>
              <w:rPr>
                <w:rFonts w:cstheme="minorHAnsi"/>
              </w:rPr>
            </w:pPr>
            <w:r w:rsidRPr="00795F17">
              <w:t>6</w:t>
            </w:r>
          </w:p>
        </w:tc>
        <w:tc>
          <w:tcPr>
            <w:tcW w:w="1716" w:type="dxa"/>
            <w:shd w:val="clear" w:color="auto" w:fill="auto"/>
            <w:noWrap/>
            <w:vAlign w:val="center"/>
            <w:hideMark/>
          </w:tcPr>
          <w:p w14:paraId="6BD640E1" w14:textId="27147C24" w:rsidR="009D5450" w:rsidRPr="00795F17" w:rsidRDefault="009D5450" w:rsidP="0065243A">
            <w:pPr>
              <w:pStyle w:val="Teksttabelisrodek"/>
              <w:rPr>
                <w:rFonts w:cstheme="minorHAnsi"/>
              </w:rPr>
            </w:pPr>
            <w:r w:rsidRPr="00795F17">
              <w:t>12,0</w:t>
            </w:r>
          </w:p>
        </w:tc>
      </w:tr>
      <w:tr w:rsidR="009D5450" w:rsidRPr="00795F17" w14:paraId="54434979" w14:textId="77777777" w:rsidTr="0056733F">
        <w:trPr>
          <w:trHeight w:val="454"/>
        </w:trPr>
        <w:tc>
          <w:tcPr>
            <w:tcW w:w="2617" w:type="dxa"/>
            <w:shd w:val="clear" w:color="auto" w:fill="auto"/>
            <w:vAlign w:val="center"/>
          </w:tcPr>
          <w:p w14:paraId="7E1A205A" w14:textId="624AAE92" w:rsidR="009D5450" w:rsidRPr="00795F17" w:rsidRDefault="000B3552" w:rsidP="000B3552">
            <w:pPr>
              <w:pStyle w:val="Teksttabelilewy"/>
              <w:rPr>
                <w:rFonts w:cstheme="minorHAnsi"/>
              </w:rPr>
            </w:pPr>
            <w:r>
              <w:t>w</w:t>
            </w:r>
            <w:r w:rsidR="009D5450" w:rsidRPr="00795F17">
              <w:t>ielkopolskie</w:t>
            </w:r>
          </w:p>
        </w:tc>
        <w:tc>
          <w:tcPr>
            <w:tcW w:w="1000" w:type="dxa"/>
            <w:vMerge/>
            <w:shd w:val="clear" w:color="auto" w:fill="auto"/>
            <w:vAlign w:val="center"/>
          </w:tcPr>
          <w:p w14:paraId="4B581FAB" w14:textId="77777777" w:rsidR="009D5450" w:rsidRPr="00795F17" w:rsidRDefault="009D5450" w:rsidP="0065243A">
            <w:pPr>
              <w:pStyle w:val="Teksttabelisrodek"/>
            </w:pPr>
          </w:p>
        </w:tc>
        <w:tc>
          <w:tcPr>
            <w:tcW w:w="1211" w:type="dxa"/>
            <w:shd w:val="clear" w:color="auto" w:fill="auto"/>
            <w:vAlign w:val="center"/>
          </w:tcPr>
          <w:p w14:paraId="0EC3D072" w14:textId="77777777" w:rsidR="009D5450" w:rsidRPr="00795F17" w:rsidRDefault="009D5450" w:rsidP="0065243A">
            <w:pPr>
              <w:pStyle w:val="Teksttabelisrodek"/>
              <w:rPr>
                <w:rFonts w:cstheme="minorHAnsi"/>
              </w:rPr>
            </w:pPr>
            <w:r w:rsidRPr="00795F17">
              <w:t>1</w:t>
            </w:r>
          </w:p>
        </w:tc>
        <w:tc>
          <w:tcPr>
            <w:tcW w:w="1263" w:type="dxa"/>
            <w:shd w:val="clear" w:color="auto" w:fill="auto"/>
            <w:vAlign w:val="center"/>
          </w:tcPr>
          <w:p w14:paraId="0920596B" w14:textId="57EB4226" w:rsidR="009D5450" w:rsidRPr="00795F17" w:rsidRDefault="009D5450" w:rsidP="0065243A">
            <w:pPr>
              <w:pStyle w:val="Teksttabelisrodek"/>
              <w:rPr>
                <w:rFonts w:cstheme="minorHAnsi"/>
              </w:rPr>
            </w:pPr>
            <w:r w:rsidRPr="00795F17">
              <w:t>2,0</w:t>
            </w:r>
          </w:p>
        </w:tc>
        <w:tc>
          <w:tcPr>
            <w:tcW w:w="1275" w:type="dxa"/>
            <w:shd w:val="clear" w:color="auto" w:fill="auto"/>
            <w:vAlign w:val="center"/>
          </w:tcPr>
          <w:p w14:paraId="39131398" w14:textId="77777777" w:rsidR="009D5450" w:rsidRPr="00795F17" w:rsidRDefault="009D5450" w:rsidP="0065243A">
            <w:pPr>
              <w:pStyle w:val="Teksttabelisrodek"/>
              <w:rPr>
                <w:rFonts w:cstheme="minorHAnsi"/>
              </w:rPr>
            </w:pPr>
            <w:r w:rsidRPr="00795F17">
              <w:t>0</w:t>
            </w:r>
          </w:p>
        </w:tc>
        <w:tc>
          <w:tcPr>
            <w:tcW w:w="1716" w:type="dxa"/>
            <w:shd w:val="clear" w:color="auto" w:fill="auto"/>
            <w:noWrap/>
            <w:vAlign w:val="center"/>
          </w:tcPr>
          <w:p w14:paraId="2BE39120" w14:textId="77559A2C" w:rsidR="009D5450" w:rsidRPr="00795F17" w:rsidRDefault="009D5450" w:rsidP="0065243A">
            <w:pPr>
              <w:pStyle w:val="Teksttabelisrodek"/>
              <w:rPr>
                <w:rFonts w:cstheme="minorHAnsi"/>
              </w:rPr>
            </w:pPr>
            <w:r w:rsidRPr="00795F17">
              <w:t>0,0</w:t>
            </w:r>
          </w:p>
        </w:tc>
      </w:tr>
      <w:tr w:rsidR="009D5450" w:rsidRPr="00795F17" w14:paraId="250F9B66" w14:textId="77777777" w:rsidTr="0056733F">
        <w:trPr>
          <w:trHeight w:val="454"/>
        </w:trPr>
        <w:tc>
          <w:tcPr>
            <w:tcW w:w="2617" w:type="dxa"/>
            <w:shd w:val="clear" w:color="auto" w:fill="auto"/>
            <w:vAlign w:val="center"/>
          </w:tcPr>
          <w:p w14:paraId="3466806C" w14:textId="66180AE0" w:rsidR="009D5450" w:rsidRPr="00795F17" w:rsidRDefault="000B3552" w:rsidP="00AB36EB">
            <w:pPr>
              <w:pStyle w:val="Teksttabelilewy"/>
              <w:ind w:left="57"/>
              <w:rPr>
                <w:rFonts w:cstheme="minorHAnsi"/>
              </w:rPr>
            </w:pPr>
            <w:r>
              <w:t>z</w:t>
            </w:r>
            <w:r w:rsidR="009D5450" w:rsidRPr="00795F17">
              <w:t>achodniopomorskie</w:t>
            </w:r>
          </w:p>
        </w:tc>
        <w:tc>
          <w:tcPr>
            <w:tcW w:w="1000" w:type="dxa"/>
            <w:vMerge/>
            <w:shd w:val="clear" w:color="auto" w:fill="auto"/>
            <w:vAlign w:val="center"/>
          </w:tcPr>
          <w:p w14:paraId="5B59846D" w14:textId="77777777" w:rsidR="009D5450" w:rsidRPr="00795F17" w:rsidRDefault="009D5450" w:rsidP="0065243A">
            <w:pPr>
              <w:pStyle w:val="Teksttabelisrodek"/>
            </w:pPr>
          </w:p>
        </w:tc>
        <w:tc>
          <w:tcPr>
            <w:tcW w:w="1211" w:type="dxa"/>
            <w:shd w:val="clear" w:color="auto" w:fill="auto"/>
            <w:vAlign w:val="center"/>
          </w:tcPr>
          <w:p w14:paraId="143A3798" w14:textId="77777777" w:rsidR="009D5450" w:rsidRPr="00795F17" w:rsidRDefault="009D5450" w:rsidP="0065243A">
            <w:pPr>
              <w:pStyle w:val="Teksttabelisrodek"/>
              <w:rPr>
                <w:rFonts w:cstheme="minorHAnsi"/>
              </w:rPr>
            </w:pPr>
            <w:r w:rsidRPr="00795F17">
              <w:t>4</w:t>
            </w:r>
          </w:p>
        </w:tc>
        <w:tc>
          <w:tcPr>
            <w:tcW w:w="1263" w:type="dxa"/>
            <w:shd w:val="clear" w:color="auto" w:fill="auto"/>
            <w:vAlign w:val="center"/>
          </w:tcPr>
          <w:p w14:paraId="18738E93" w14:textId="2A08792E" w:rsidR="009D5450" w:rsidRPr="00795F17" w:rsidRDefault="009D5450" w:rsidP="0065243A">
            <w:pPr>
              <w:pStyle w:val="Teksttabelisrodek"/>
              <w:rPr>
                <w:rFonts w:cstheme="minorHAnsi"/>
              </w:rPr>
            </w:pPr>
            <w:r w:rsidRPr="00795F17">
              <w:t>8,0</w:t>
            </w:r>
          </w:p>
        </w:tc>
        <w:tc>
          <w:tcPr>
            <w:tcW w:w="1275" w:type="dxa"/>
            <w:shd w:val="clear" w:color="auto" w:fill="auto"/>
            <w:vAlign w:val="center"/>
          </w:tcPr>
          <w:p w14:paraId="24315467" w14:textId="77777777" w:rsidR="009D5450" w:rsidRPr="00795F17" w:rsidRDefault="009D5450" w:rsidP="0065243A">
            <w:pPr>
              <w:pStyle w:val="Teksttabelisrodek"/>
              <w:rPr>
                <w:rFonts w:cstheme="minorHAnsi"/>
              </w:rPr>
            </w:pPr>
            <w:r w:rsidRPr="00795F17">
              <w:t>3</w:t>
            </w:r>
          </w:p>
        </w:tc>
        <w:tc>
          <w:tcPr>
            <w:tcW w:w="1716" w:type="dxa"/>
            <w:shd w:val="clear" w:color="auto" w:fill="auto"/>
            <w:noWrap/>
            <w:vAlign w:val="center"/>
          </w:tcPr>
          <w:p w14:paraId="137FB356" w14:textId="221DA278" w:rsidR="009D5450" w:rsidRPr="00795F17" w:rsidRDefault="009D5450" w:rsidP="0065243A">
            <w:pPr>
              <w:pStyle w:val="Teksttabelisrodek"/>
              <w:rPr>
                <w:rFonts w:cstheme="minorHAnsi"/>
              </w:rPr>
            </w:pPr>
            <w:r w:rsidRPr="00795F17">
              <w:t>6,0</w:t>
            </w:r>
          </w:p>
        </w:tc>
      </w:tr>
    </w:tbl>
    <w:p w14:paraId="300F057B" w14:textId="39D5A96B" w:rsidR="009D5450" w:rsidRPr="00795F17" w:rsidRDefault="009D5450" w:rsidP="0044393D">
      <w:pPr>
        <w:pStyle w:val="rdo"/>
      </w:pPr>
      <w:r w:rsidRPr="00795F17">
        <w:t xml:space="preserve">Źródło: </w:t>
      </w:r>
      <w:r w:rsidR="00FD7248" w:rsidRPr="00795F17">
        <w:t>opracowanie własne</w:t>
      </w:r>
      <w:r w:rsidRPr="00795F17">
        <w:t xml:space="preserve"> na podstawie wykazu GIOŚ</w:t>
      </w:r>
    </w:p>
    <w:p w14:paraId="0C2F914B" w14:textId="1F1A2629" w:rsidR="006B2425" w:rsidRPr="00795F17" w:rsidRDefault="009D5450" w:rsidP="005842B5">
      <w:r w:rsidRPr="00795F17">
        <w:rPr>
          <w:noProof/>
          <w:lang w:eastAsia="pl-PL"/>
        </w:rPr>
        <w:drawing>
          <wp:inline distT="0" distB="0" distL="0" distR="0" wp14:anchorId="6B7F6DDB" wp14:editId="074D08DF">
            <wp:extent cx="5760000" cy="3600000"/>
            <wp:effectExtent l="0" t="0" r="12700" b="635"/>
            <wp:docPr id="3" name="Wykres 3">
              <a:extLst xmlns:a="http://schemas.openxmlformats.org/drawingml/2006/main">
                <a:ext uri="{FF2B5EF4-FFF2-40B4-BE49-F238E27FC236}">
                  <a16:creationId xmlns:a16="http://schemas.microsoft.com/office/drawing/2014/main" id="{E8469A7D-5C3D-4325-8D28-0D947FB537FA}"/>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4B51FE40" w14:textId="344743D5" w:rsidR="009D5450" w:rsidRPr="00795F17" w:rsidRDefault="006B2425" w:rsidP="00B479EE">
      <w:pPr>
        <w:pStyle w:val="Wykres"/>
      </w:pPr>
      <w:bookmarkStart w:id="895" w:name="_Toc66273016"/>
      <w:bookmarkStart w:id="896" w:name="_Toc105513043"/>
      <w:r w:rsidRPr="00795F17">
        <w:t xml:space="preserve">Wykres </w:t>
      </w:r>
      <w:fldSimple w:instr=" STYLEREF 1 \s ">
        <w:r w:rsidR="001F774D">
          <w:rPr>
            <w:noProof/>
          </w:rPr>
          <w:t>13</w:t>
        </w:r>
      </w:fldSimple>
      <w:r w:rsidR="00FF20D3">
        <w:noBreakHyphen/>
      </w:r>
      <w:fldSimple w:instr=" SEQ Wykres \* ARABIC \s 1 ">
        <w:r w:rsidR="001F774D">
          <w:rPr>
            <w:noProof/>
          </w:rPr>
          <w:t>6</w:t>
        </w:r>
      </w:fldSimple>
      <w:r w:rsidR="002B6022">
        <w:rPr>
          <w:noProof/>
        </w:rPr>
        <w:t>.</w:t>
      </w:r>
      <w:r w:rsidRPr="00795F17">
        <w:tab/>
        <w:t>Występowanie zdarzeń o znamionach poważnej awarii w okresie 2016</w:t>
      </w:r>
      <w:r w:rsidR="008C6575">
        <w:t>–</w:t>
      </w:r>
      <w:r w:rsidRPr="00795F17">
        <w:t xml:space="preserve">2019 </w:t>
      </w:r>
      <w:r w:rsidR="009D45A4">
        <w:t>na</w:t>
      </w:r>
      <w:r w:rsidRPr="00795F17">
        <w:t xml:space="preserve"> obszarze dorzecza Odry </w:t>
      </w:r>
      <w:r w:rsidR="008C6575">
        <w:t>–</w:t>
      </w:r>
      <w:r w:rsidRPr="00795F17">
        <w:t xml:space="preserve"> według lokalizacji w województwach, z wyszczególnieniem zdarzeń stwarzających potencjalne zagrożenie dla wód</w:t>
      </w:r>
      <w:bookmarkEnd w:id="895"/>
      <w:bookmarkEnd w:id="896"/>
    </w:p>
    <w:p w14:paraId="13A8616A" w14:textId="79D3241B" w:rsidR="009D5450" w:rsidRPr="00795F17" w:rsidRDefault="009D5450" w:rsidP="0044393D">
      <w:pPr>
        <w:pStyle w:val="rdo"/>
      </w:pPr>
      <w:r w:rsidRPr="00795F17">
        <w:t xml:space="preserve">Źródło: </w:t>
      </w:r>
      <w:r w:rsidR="00FD7248" w:rsidRPr="00795F17">
        <w:t>opracowanie własne</w:t>
      </w:r>
      <w:r w:rsidRPr="00795F17">
        <w:t xml:space="preserve"> na podstawie wykazu GIOŚ</w:t>
      </w:r>
    </w:p>
    <w:p w14:paraId="3DADD4C8" w14:textId="5D0C3A5C" w:rsidR="009D5450" w:rsidRPr="00795F17" w:rsidRDefault="009D5450" w:rsidP="0044393D">
      <w:r w:rsidRPr="00795F17">
        <w:t xml:space="preserve">W skali całego kraju rejestr obejmuje </w:t>
      </w:r>
      <w:r w:rsidR="009D45A4" w:rsidRPr="00795F17">
        <w:t xml:space="preserve">łącznie 204 zdarzenia </w:t>
      </w:r>
      <w:r w:rsidRPr="00795F17">
        <w:t>w okresie 2016</w:t>
      </w:r>
      <w:r w:rsidR="008C6575">
        <w:t>–</w:t>
      </w:r>
      <w:r w:rsidRPr="00795F17">
        <w:t>2019, z czego 62% dotyczy</w:t>
      </w:r>
      <w:r w:rsidR="009D45A4">
        <w:t>ło</w:t>
      </w:r>
      <w:r w:rsidRPr="00795F17">
        <w:t xml:space="preserve"> awarii stanowiących potencjalne lub rzeczywiste zagrożenie dla wód. Spośród wszystkich awarii stwierdz</w:t>
      </w:r>
      <w:r w:rsidR="009D45A4">
        <w:t>ono</w:t>
      </w:r>
      <w:r w:rsidRPr="00795F17">
        <w:t xml:space="preserve"> w 88 przypadkach (43%) rzeczywiste zagrożenie w wyniku uwolnienia do środowiska, poprzez rozlanie niebezpiecznej substancji na powierzchni terenu z</w:t>
      </w:r>
      <w:r w:rsidR="0030798D">
        <w:t> </w:t>
      </w:r>
      <w:r w:rsidRPr="00795F17">
        <w:t>infiltracją do gruntu, bądź spływ do wód. Dla obszaru dorzecza Odry sprawozdano w ocenianym okresie łącznie 50 awarii</w:t>
      </w:r>
      <w:bookmarkStart w:id="897" w:name="_Hlk65877925"/>
      <w:r w:rsidRPr="00795F17">
        <w:t xml:space="preserve">, z czego w 38 przypadkach </w:t>
      </w:r>
      <w:r w:rsidR="0030798D">
        <w:t xml:space="preserve">wystąpiło </w:t>
      </w:r>
      <w:r w:rsidRPr="00795F17">
        <w:t>zagrożeni</w:t>
      </w:r>
      <w:r w:rsidR="0030798D">
        <w:t>e</w:t>
      </w:r>
      <w:r w:rsidRPr="00795F17">
        <w:t xml:space="preserve"> dla wód, w tym dla 29 zdarzeń stwierdzono zanieczyszczenie wód.</w:t>
      </w:r>
      <w:bookmarkEnd w:id="897"/>
    </w:p>
    <w:p w14:paraId="50C8DC1D" w14:textId="2B67A7FF" w:rsidR="009D5450" w:rsidRPr="00795F17" w:rsidRDefault="009D5450" w:rsidP="0044393D">
      <w:r w:rsidRPr="00795F17">
        <w:t xml:space="preserve">Ocena wszystkich zdarzeń </w:t>
      </w:r>
      <w:r w:rsidR="00D70787">
        <w:t>na</w:t>
      </w:r>
      <w:r w:rsidRPr="00795F17">
        <w:t xml:space="preserve"> obszarze dorzecza Odry w analizowanych latach również wskazuje na</w:t>
      </w:r>
      <w:r w:rsidR="00CC513F" w:rsidRPr="00795F17">
        <w:t> </w:t>
      </w:r>
      <w:r w:rsidRPr="00795F17">
        <w:t>wysoki odsetek awarii stwarzających zagrożenie dla wód. Na podstawie sprawozdawanych informacji o awariach nie jest możliwe stwierdzenie charakteru i skali oddziaływania wszystkich zdarzeń na wody powierzchniowe lub podziemne, jak również skorelowanie skutków zdarzenia z</w:t>
      </w:r>
      <w:r w:rsidR="00CC513F" w:rsidRPr="00795F17">
        <w:t> </w:t>
      </w:r>
      <w:r w:rsidRPr="00795F17">
        <w:t>wynikami monitoringu.</w:t>
      </w:r>
    </w:p>
    <w:p w14:paraId="44B12E1C" w14:textId="14354BF3" w:rsidR="009D5450" w:rsidRPr="00795F17" w:rsidRDefault="009D5450" w:rsidP="0044393D">
      <w:r w:rsidRPr="00795F17">
        <w:t>W zakładach przemysłowych większość awarii jest związana z ryzykiem zanieczyszczenia wód, a</w:t>
      </w:r>
      <w:r w:rsidR="00D70787">
        <w:t> </w:t>
      </w:r>
      <w:r w:rsidRPr="00795F17">
        <w:t>w</w:t>
      </w:r>
      <w:r w:rsidR="00D70787">
        <w:t> </w:t>
      </w:r>
      <w:r w:rsidRPr="00795F17">
        <w:t>przypadku zdarzeń komunikacyjnych zagrożenie dla wód dotyczy praktycznie wszystkich wypadków.</w:t>
      </w:r>
    </w:p>
    <w:p w14:paraId="07B5234B" w14:textId="77777777" w:rsidR="009D5450" w:rsidRPr="00795F17" w:rsidRDefault="009D5450" w:rsidP="00CC513F">
      <w:pPr>
        <w:pStyle w:val="Nagwek5"/>
      </w:pPr>
      <w:r w:rsidRPr="00795F17">
        <w:t>Informacje o planowanych w IIaPGW działaniach zapobiegających skutkom niedających się przewidzieć zanieczyszczeń lub łagodzących te skutki z odniesieniem do działań podjętych w tym zakresie w aPGW</w:t>
      </w:r>
    </w:p>
    <w:p w14:paraId="4B179E0E" w14:textId="77777777" w:rsidR="009D5450" w:rsidRPr="001C6219" w:rsidRDefault="009D5450" w:rsidP="00CC513F">
      <w:pPr>
        <w:rPr>
          <w:i/>
        </w:rPr>
      </w:pPr>
      <w:r w:rsidRPr="001C6219">
        <w:rPr>
          <w:i/>
        </w:rPr>
        <w:t>Działania podjęte w aPGW</w:t>
      </w:r>
    </w:p>
    <w:p w14:paraId="6417668F" w14:textId="3BCF80C0" w:rsidR="009D5450" w:rsidRPr="00795F17" w:rsidRDefault="009D5450" w:rsidP="0044393D">
      <w:r w:rsidRPr="00795F17">
        <w:t>Starania podjęte w celu zapobieżenia skutkom niedających się przewidzieć zanieczyszczeń lub</w:t>
      </w:r>
      <w:r w:rsidR="00DA4F98">
        <w:t> </w:t>
      </w:r>
      <w:r w:rsidRPr="00795F17">
        <w:t>łagodzenia tych skutków obejmują działania na poziomie krajowym w ramach aPWŚK, prolongowane do nowego cyklu IIaPGW. Są to działania:</w:t>
      </w:r>
    </w:p>
    <w:p w14:paraId="70C6763B" w14:textId="700ABADB" w:rsidR="009D5450" w:rsidRPr="00795F17" w:rsidRDefault="009D5450" w:rsidP="00117E86">
      <w:pPr>
        <w:pStyle w:val="Listapunktowana2"/>
      </w:pPr>
      <w:r w:rsidRPr="00795F17">
        <w:t xml:space="preserve">bezpośrednio związane z przeciwdziałaniem skutkom zanieczyszczeń i wynikające z przepisów dotyczących przeciwdziałania i postępowania w przypadku poważnych awarii </w:t>
      </w:r>
      <w:r w:rsidR="008C6575">
        <w:t>–</w:t>
      </w:r>
      <w:r w:rsidRPr="00795F17">
        <w:t xml:space="preserve"> zakres obowiązków wraz ze wskazaniem podmiotu odpowiedzialnego i podstawy prawnej działania przedstawiono wyżej w tabeli </w:t>
      </w:r>
      <w:r w:rsidR="00953F84" w:rsidRPr="00795F17">
        <w:t>13-</w:t>
      </w:r>
      <w:r w:rsidR="00CF49AB" w:rsidRPr="00795F17">
        <w:t>2</w:t>
      </w:r>
      <w:r w:rsidR="00E37BB7" w:rsidRPr="00795F17">
        <w:t>0</w:t>
      </w:r>
      <w:r w:rsidR="00D03C6C">
        <w:t>;</w:t>
      </w:r>
    </w:p>
    <w:p w14:paraId="08B2A00F" w14:textId="6CCA78AD" w:rsidR="009D5450" w:rsidRPr="00795F17" w:rsidRDefault="009D5450" w:rsidP="00117E86">
      <w:pPr>
        <w:pStyle w:val="Listapunktowana2"/>
      </w:pPr>
      <w:r w:rsidRPr="00795F17">
        <w:t>pośrednio powiązane z przeciwdziałaniem skutkom zanieczyszczeń i wynikające z koniecznych do przeprowadzenia ocen, analiz i warunków realizacji inwestycji na etapie uzyskiwania decyzji o środowiskowych uwarunkowaniach</w:t>
      </w:r>
      <w:r w:rsidR="00D03C6C">
        <w:t>,</w:t>
      </w:r>
      <w:r w:rsidRPr="00795F17">
        <w:t xml:space="preserve"> realizacji</w:t>
      </w:r>
      <w:r w:rsidR="006C2FB8">
        <w:t xml:space="preserve"> i eksploatacji</w:t>
      </w:r>
      <w:r w:rsidRPr="00795F17">
        <w:t xml:space="preserve"> inwestycji</w:t>
      </w:r>
      <w:r w:rsidR="00AC3538">
        <w:t xml:space="preserve">, </w:t>
      </w:r>
      <w:r w:rsidRPr="00795F17">
        <w:t>pozwoleń emisyjnych</w:t>
      </w:r>
      <w:r w:rsidR="00AC3538">
        <w:t xml:space="preserve"> oraz </w:t>
      </w:r>
      <w:r w:rsidRPr="00795F17">
        <w:t>wyników kontroli podmiotów</w:t>
      </w:r>
      <w:r w:rsidR="00410A22" w:rsidRPr="00795F17">
        <w:t xml:space="preserve"> (tabela </w:t>
      </w:r>
      <w:r w:rsidR="00B3309A" w:rsidRPr="00795F17">
        <w:t>13-23</w:t>
      </w:r>
      <w:r w:rsidR="00410A22" w:rsidRPr="00795F17">
        <w:t>)</w:t>
      </w:r>
      <w:r w:rsidRPr="00795F17">
        <w:t xml:space="preserve">. </w:t>
      </w:r>
    </w:p>
    <w:p w14:paraId="44F8A508" w14:textId="68AE569E" w:rsidR="00A929FD" w:rsidRPr="00795F17" w:rsidRDefault="00A929FD" w:rsidP="004D7705">
      <w:pPr>
        <w:pStyle w:val="Tabela"/>
      </w:pPr>
      <w:bookmarkStart w:id="898" w:name="_Toc66341981"/>
      <w:bookmarkStart w:id="899" w:name="_Toc105512909"/>
      <w:r w:rsidRPr="00795F17">
        <w:t xml:space="preserve">Tabela </w:t>
      </w:r>
      <w:fldSimple w:instr=" STYLEREF 1 \s ">
        <w:r w:rsidR="001F774D">
          <w:rPr>
            <w:noProof/>
          </w:rPr>
          <w:t>13</w:t>
        </w:r>
      </w:fldSimple>
      <w:r w:rsidR="00BB3B21" w:rsidRPr="00795F17">
        <w:noBreakHyphen/>
      </w:r>
      <w:fldSimple w:instr=" SEQ Tabela \* ARABIC \s 1 ">
        <w:r w:rsidR="001F774D">
          <w:rPr>
            <w:noProof/>
          </w:rPr>
          <w:t>23</w:t>
        </w:r>
      </w:fldSimple>
      <w:r w:rsidR="000B5450">
        <w:rPr>
          <w:noProof/>
        </w:rPr>
        <w:t>.</w:t>
      </w:r>
      <w:r w:rsidRPr="00795F17">
        <w:tab/>
      </w:r>
      <w:bookmarkStart w:id="900" w:name="_Hlk67133550"/>
      <w:r w:rsidRPr="00795F17">
        <w:t xml:space="preserve">Działania pośrednio związane z przeciwdziałaniem skutkom zanieczyszczeń </w:t>
      </w:r>
      <w:r w:rsidR="008C6575">
        <w:t>–</w:t>
      </w:r>
      <w:r w:rsidRPr="00795F17">
        <w:t xml:space="preserve"> wynikające z</w:t>
      </w:r>
      <w:r w:rsidR="00AB2CE6" w:rsidRPr="00795F17">
        <w:t> </w:t>
      </w:r>
      <w:r w:rsidRPr="00795F17">
        <w:t>powiązanych przepisów</w:t>
      </w:r>
      <w:bookmarkEnd w:id="898"/>
      <w:bookmarkEnd w:id="899"/>
      <w:bookmarkEnd w:id="9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
        <w:gridCol w:w="3211"/>
        <w:gridCol w:w="1726"/>
        <w:gridCol w:w="3609"/>
      </w:tblGrid>
      <w:tr w:rsidR="00C05679" w:rsidRPr="00795F17" w14:paraId="2C9B76F3" w14:textId="77777777" w:rsidTr="0005041F">
        <w:trPr>
          <w:trHeight w:val="454"/>
          <w:tblHeader/>
        </w:trPr>
        <w:tc>
          <w:tcPr>
            <w:tcW w:w="259" w:type="pct"/>
            <w:shd w:val="clear" w:color="auto" w:fill="BFBFBF" w:themeFill="background1" w:themeFillShade="BF"/>
            <w:noWrap/>
            <w:vAlign w:val="center"/>
            <w:hideMark/>
          </w:tcPr>
          <w:p w14:paraId="31574F47" w14:textId="77777777" w:rsidR="009D5450" w:rsidRPr="00795F17" w:rsidRDefault="009D5450" w:rsidP="00C031DA">
            <w:pPr>
              <w:pStyle w:val="Teksttabelinaglowek"/>
            </w:pPr>
            <w:r w:rsidRPr="00795F17">
              <w:t>Lp.</w:t>
            </w:r>
          </w:p>
        </w:tc>
        <w:tc>
          <w:tcPr>
            <w:tcW w:w="1786" w:type="pct"/>
            <w:shd w:val="clear" w:color="auto" w:fill="BFBFBF" w:themeFill="background1" w:themeFillShade="BF"/>
            <w:noWrap/>
            <w:vAlign w:val="center"/>
            <w:hideMark/>
          </w:tcPr>
          <w:p w14:paraId="7D8933B3" w14:textId="77777777" w:rsidR="009D5450" w:rsidRPr="00795F17" w:rsidRDefault="009D5450" w:rsidP="00C031DA">
            <w:pPr>
              <w:pStyle w:val="Teksttabelinaglowek"/>
            </w:pPr>
            <w:r w:rsidRPr="00795F17">
              <w:t>Nazwa działania</w:t>
            </w:r>
          </w:p>
        </w:tc>
        <w:tc>
          <w:tcPr>
            <w:tcW w:w="963" w:type="pct"/>
            <w:shd w:val="clear" w:color="auto" w:fill="BFBFBF" w:themeFill="background1" w:themeFillShade="BF"/>
            <w:vAlign w:val="center"/>
          </w:tcPr>
          <w:p w14:paraId="13916339" w14:textId="77777777" w:rsidR="009D5450" w:rsidRPr="00795F17" w:rsidRDefault="009D5450" w:rsidP="00C031DA">
            <w:pPr>
              <w:pStyle w:val="Teksttabelinaglowek"/>
            </w:pPr>
            <w:r w:rsidRPr="00795F17">
              <w:t>Zweryfikowana podstawa prawna (IIaPGW)</w:t>
            </w:r>
          </w:p>
        </w:tc>
        <w:tc>
          <w:tcPr>
            <w:tcW w:w="1991" w:type="pct"/>
            <w:shd w:val="clear" w:color="auto" w:fill="BFBFBF" w:themeFill="background1" w:themeFillShade="BF"/>
            <w:noWrap/>
            <w:vAlign w:val="center"/>
            <w:hideMark/>
          </w:tcPr>
          <w:p w14:paraId="4B984BA9" w14:textId="1B99D9D1" w:rsidR="009D5450" w:rsidRPr="00795F17" w:rsidRDefault="009D5450" w:rsidP="00C031DA">
            <w:pPr>
              <w:pStyle w:val="Teksttabelinaglowek"/>
            </w:pPr>
            <w:r w:rsidRPr="00795F17">
              <w:t>Zweryfikowany podmiot odpowiedzialny</w:t>
            </w:r>
            <w:r w:rsidRPr="00795F17">
              <w:br/>
              <w:t>za realizację (IIaPGW)</w:t>
            </w:r>
          </w:p>
        </w:tc>
      </w:tr>
      <w:tr w:rsidR="009D5450" w:rsidRPr="00795F17" w14:paraId="0AA29853" w14:textId="77777777" w:rsidTr="0005041F">
        <w:trPr>
          <w:trHeight w:val="454"/>
        </w:trPr>
        <w:tc>
          <w:tcPr>
            <w:tcW w:w="259" w:type="pct"/>
            <w:vAlign w:val="center"/>
            <w:hideMark/>
          </w:tcPr>
          <w:p w14:paraId="632F18F9" w14:textId="65EE9761" w:rsidR="009D5450" w:rsidRPr="00795F17" w:rsidRDefault="009D5450" w:rsidP="00C031DA">
            <w:pPr>
              <w:pStyle w:val="Teksttabelilewy"/>
            </w:pPr>
            <w:r w:rsidRPr="00795F17">
              <w:t>1</w:t>
            </w:r>
            <w:r w:rsidR="008A739A" w:rsidRPr="00795F17">
              <w:t>.</w:t>
            </w:r>
          </w:p>
        </w:tc>
        <w:tc>
          <w:tcPr>
            <w:tcW w:w="1786" w:type="pct"/>
            <w:vAlign w:val="center"/>
          </w:tcPr>
          <w:p w14:paraId="20DDFA5A" w14:textId="3927C393" w:rsidR="009D5450" w:rsidRPr="00795F17" w:rsidRDefault="009D5450" w:rsidP="00AB36EB">
            <w:pPr>
              <w:pStyle w:val="Teksttabelilewy"/>
              <w:ind w:left="57"/>
            </w:pPr>
            <w:r w:rsidRPr="00795F17">
              <w:t>Kontrola gospodarowania wodami w zakresie uprawnień danych na podstawie pr.w.</w:t>
            </w:r>
          </w:p>
        </w:tc>
        <w:tc>
          <w:tcPr>
            <w:tcW w:w="963" w:type="pct"/>
            <w:vAlign w:val="center"/>
          </w:tcPr>
          <w:p w14:paraId="7EDA05C4" w14:textId="4586A44F" w:rsidR="009D5450" w:rsidRPr="00795F17" w:rsidRDefault="009D5450" w:rsidP="00C031DA">
            <w:pPr>
              <w:pStyle w:val="Teksttabelilewy"/>
            </w:pPr>
            <w:r w:rsidRPr="00795F17">
              <w:t>art.</w:t>
            </w:r>
            <w:r w:rsidR="00CE4E7B" w:rsidRPr="00795F17">
              <w:t xml:space="preserve"> </w:t>
            </w:r>
            <w:r w:rsidRPr="00795F17">
              <w:t xml:space="preserve">334 </w:t>
            </w:r>
            <w:r w:rsidR="00182A26" w:rsidRPr="00795F17">
              <w:t>-</w:t>
            </w:r>
            <w:r w:rsidRPr="00795F17">
              <w:t xml:space="preserve"> art.</w:t>
            </w:r>
            <w:r w:rsidR="00CE4E7B" w:rsidRPr="00795F17">
              <w:t xml:space="preserve"> </w:t>
            </w:r>
            <w:r w:rsidRPr="00795F17">
              <w:t>348 pr.w.</w:t>
            </w:r>
          </w:p>
        </w:tc>
        <w:tc>
          <w:tcPr>
            <w:tcW w:w="1991" w:type="pct"/>
            <w:vAlign w:val="center"/>
          </w:tcPr>
          <w:p w14:paraId="0D1C1D74" w14:textId="159B8851" w:rsidR="009D5450" w:rsidRPr="00795F17" w:rsidRDefault="009D5450" w:rsidP="00C031DA">
            <w:pPr>
              <w:pStyle w:val="Teksttabelilewy"/>
            </w:pPr>
            <w:r w:rsidRPr="00795F17">
              <w:t xml:space="preserve">właściwy organ </w:t>
            </w:r>
            <w:r w:rsidR="0028234C" w:rsidRPr="00795F17">
              <w:t>PGW WP</w:t>
            </w:r>
            <w:r w:rsidRPr="00795F17">
              <w:t xml:space="preserve">, </w:t>
            </w:r>
            <w:r w:rsidR="00AC3538">
              <w:t>U</w:t>
            </w:r>
            <w:r w:rsidRPr="00795F17">
              <w:t xml:space="preserve">rząd </w:t>
            </w:r>
            <w:r w:rsidR="00AC3538">
              <w:t>M</w:t>
            </w:r>
            <w:r w:rsidRPr="00795F17">
              <w:t>orski, Inspekcja Ochrony Środowiska</w:t>
            </w:r>
            <w:r w:rsidRPr="00795F17" w:rsidDel="004B7FF9">
              <w:t xml:space="preserve"> </w:t>
            </w:r>
          </w:p>
        </w:tc>
      </w:tr>
      <w:tr w:rsidR="009D5450" w:rsidRPr="00795F17" w14:paraId="4E3AE123" w14:textId="77777777" w:rsidTr="0005041F">
        <w:trPr>
          <w:trHeight w:val="454"/>
        </w:trPr>
        <w:tc>
          <w:tcPr>
            <w:tcW w:w="259" w:type="pct"/>
            <w:vAlign w:val="center"/>
          </w:tcPr>
          <w:p w14:paraId="1ABA6FF0" w14:textId="0D325083" w:rsidR="009D5450" w:rsidRPr="00795F17" w:rsidRDefault="009D5450" w:rsidP="00C031DA">
            <w:pPr>
              <w:pStyle w:val="Teksttabelilewy"/>
            </w:pPr>
            <w:r w:rsidRPr="00795F17">
              <w:t>2</w:t>
            </w:r>
            <w:r w:rsidR="008A739A" w:rsidRPr="00795F17">
              <w:t>.</w:t>
            </w:r>
          </w:p>
        </w:tc>
        <w:tc>
          <w:tcPr>
            <w:tcW w:w="1786" w:type="pct"/>
            <w:vAlign w:val="center"/>
          </w:tcPr>
          <w:p w14:paraId="7D64FE1C" w14:textId="77777777" w:rsidR="009D5450" w:rsidRPr="00795F17" w:rsidRDefault="009D5450" w:rsidP="00AB36EB">
            <w:pPr>
              <w:pStyle w:val="Teksttabelilewy"/>
              <w:ind w:left="57"/>
            </w:pPr>
            <w:r w:rsidRPr="00795F17">
              <w:t>Dodatkowy przegląd pozwoleń wodnoprawnych, jeżeli wyniki monitoringu wód lub innych danych wskazują, że jest zagrożone osiągnięcie celów środowiskowych</w:t>
            </w:r>
          </w:p>
        </w:tc>
        <w:tc>
          <w:tcPr>
            <w:tcW w:w="963" w:type="pct"/>
            <w:vAlign w:val="center"/>
          </w:tcPr>
          <w:p w14:paraId="267573A8" w14:textId="595A5698" w:rsidR="009D5450" w:rsidRPr="00795F17" w:rsidRDefault="009D5450" w:rsidP="00C031DA">
            <w:pPr>
              <w:pStyle w:val="Teksttabelilewy"/>
            </w:pPr>
            <w:r w:rsidRPr="00795F17">
              <w:t>art.</w:t>
            </w:r>
            <w:r w:rsidR="00CE4E7B" w:rsidRPr="00795F17">
              <w:t xml:space="preserve"> </w:t>
            </w:r>
            <w:r w:rsidRPr="00795F17">
              <w:t>325 pr.w.</w:t>
            </w:r>
          </w:p>
        </w:tc>
        <w:tc>
          <w:tcPr>
            <w:tcW w:w="1991" w:type="pct"/>
            <w:vAlign w:val="center"/>
          </w:tcPr>
          <w:p w14:paraId="02E2B4B3" w14:textId="140B7AD5" w:rsidR="009D5450" w:rsidRPr="00795F17" w:rsidRDefault="009D5450" w:rsidP="00C031DA">
            <w:pPr>
              <w:pStyle w:val="Teksttabelilewy"/>
            </w:pPr>
            <w:r w:rsidRPr="00795F17">
              <w:t xml:space="preserve">właściwy organ </w:t>
            </w:r>
            <w:r w:rsidR="0028234C" w:rsidRPr="00795F17">
              <w:t>PGW WP</w:t>
            </w:r>
          </w:p>
        </w:tc>
      </w:tr>
      <w:tr w:rsidR="009D5450" w:rsidRPr="00795F17" w14:paraId="4D614D60" w14:textId="77777777" w:rsidTr="0005041F">
        <w:trPr>
          <w:trHeight w:val="454"/>
        </w:trPr>
        <w:tc>
          <w:tcPr>
            <w:tcW w:w="259" w:type="pct"/>
            <w:vAlign w:val="center"/>
          </w:tcPr>
          <w:p w14:paraId="43DBD8B4" w14:textId="5E47771F" w:rsidR="009D5450" w:rsidRPr="00795F17" w:rsidRDefault="009D5450" w:rsidP="00C031DA">
            <w:pPr>
              <w:pStyle w:val="Teksttabelilewy"/>
            </w:pPr>
            <w:r w:rsidRPr="00795F17">
              <w:t>3</w:t>
            </w:r>
            <w:r w:rsidR="008A739A" w:rsidRPr="00795F17">
              <w:t>.</w:t>
            </w:r>
          </w:p>
        </w:tc>
        <w:tc>
          <w:tcPr>
            <w:tcW w:w="1786" w:type="pct"/>
            <w:vAlign w:val="center"/>
          </w:tcPr>
          <w:p w14:paraId="64154BD4" w14:textId="77777777" w:rsidR="009D5450" w:rsidRPr="00795F17" w:rsidRDefault="009D5450" w:rsidP="00AB36EB">
            <w:pPr>
              <w:pStyle w:val="Teksttabelilewy"/>
              <w:ind w:left="57"/>
            </w:pPr>
            <w:r w:rsidRPr="00795F17">
              <w:t>Kontrola dotycząca przestrzegania decyzji ustalających warunki korzystania ze środowiska oraz przestrzegania zakresu, częstotliwości i sposobu prowadzenia pomiarów wielkości emisji i jej wpływu na stan środowiska</w:t>
            </w:r>
          </w:p>
        </w:tc>
        <w:tc>
          <w:tcPr>
            <w:tcW w:w="963" w:type="pct"/>
            <w:vAlign w:val="center"/>
          </w:tcPr>
          <w:p w14:paraId="200AE713" w14:textId="79B8F4A2" w:rsidR="009D5450" w:rsidRPr="00AB36EB" w:rsidRDefault="009D5450" w:rsidP="00C031DA">
            <w:pPr>
              <w:pStyle w:val="Teksttabelilewy"/>
              <w:rPr>
                <w:lang w:val="en-US"/>
              </w:rPr>
            </w:pPr>
            <w:r w:rsidRPr="00AB36EB">
              <w:rPr>
                <w:lang w:val="en-US"/>
              </w:rPr>
              <w:t xml:space="preserve">art. 2 ust. 1 pkt 1 lit. b </w:t>
            </w:r>
            <w:r w:rsidR="00283709" w:rsidRPr="00AB36EB">
              <w:rPr>
                <w:lang w:val="en-US"/>
              </w:rPr>
              <w:t>u.</w:t>
            </w:r>
            <w:r w:rsidRPr="00AB36EB">
              <w:rPr>
                <w:lang w:val="en-US"/>
              </w:rPr>
              <w:t>i.o.ś.</w:t>
            </w:r>
          </w:p>
        </w:tc>
        <w:tc>
          <w:tcPr>
            <w:tcW w:w="1991" w:type="pct"/>
            <w:vAlign w:val="center"/>
          </w:tcPr>
          <w:p w14:paraId="5D4F7C52" w14:textId="77777777" w:rsidR="009D5450" w:rsidRPr="00795F17" w:rsidRDefault="009D5450" w:rsidP="00C031DA">
            <w:pPr>
              <w:pStyle w:val="Teksttabelilewy"/>
            </w:pPr>
            <w:r w:rsidRPr="00795F17">
              <w:t>Inspekcja Ochrony Środowiska</w:t>
            </w:r>
          </w:p>
        </w:tc>
      </w:tr>
      <w:tr w:rsidR="009D5450" w:rsidRPr="00795F17" w14:paraId="66530AE9" w14:textId="77777777" w:rsidTr="0005041F">
        <w:trPr>
          <w:trHeight w:val="454"/>
        </w:trPr>
        <w:tc>
          <w:tcPr>
            <w:tcW w:w="259" w:type="pct"/>
            <w:vAlign w:val="center"/>
          </w:tcPr>
          <w:p w14:paraId="28E231D2" w14:textId="76B1CFAD" w:rsidR="009D5450" w:rsidRPr="00795F17" w:rsidRDefault="009D5450" w:rsidP="00C031DA">
            <w:pPr>
              <w:pStyle w:val="Teksttabelilewy"/>
            </w:pPr>
            <w:r w:rsidRPr="00795F17">
              <w:t>4</w:t>
            </w:r>
            <w:r w:rsidR="008A739A" w:rsidRPr="00795F17">
              <w:t>.</w:t>
            </w:r>
          </w:p>
        </w:tc>
        <w:tc>
          <w:tcPr>
            <w:tcW w:w="1786" w:type="pct"/>
            <w:vAlign w:val="center"/>
          </w:tcPr>
          <w:p w14:paraId="089E05E2" w14:textId="13150F63" w:rsidR="009D5450" w:rsidRPr="00795F17" w:rsidRDefault="009D5450" w:rsidP="00AB36EB">
            <w:pPr>
              <w:pStyle w:val="Teksttabelilewy"/>
              <w:ind w:left="57"/>
            </w:pPr>
            <w:r w:rsidRPr="00795F17">
              <w:t>Zobowiązanie prowadzącego instalację do sporządzenia i</w:t>
            </w:r>
            <w:r w:rsidR="00AC3538">
              <w:t> </w:t>
            </w:r>
            <w:r w:rsidRPr="00795F17">
              <w:t>przedłożenia przeglądu ekologicznego</w:t>
            </w:r>
          </w:p>
        </w:tc>
        <w:tc>
          <w:tcPr>
            <w:tcW w:w="963" w:type="pct"/>
            <w:vAlign w:val="center"/>
          </w:tcPr>
          <w:p w14:paraId="3154523F" w14:textId="310EE2E4" w:rsidR="009D5450" w:rsidRPr="00795F17" w:rsidRDefault="009D5450" w:rsidP="00C031DA">
            <w:pPr>
              <w:pStyle w:val="Teksttabelilewy"/>
            </w:pPr>
            <w:r w:rsidRPr="00795F17">
              <w:t>art. 237 p.o.ś.</w:t>
            </w:r>
          </w:p>
        </w:tc>
        <w:tc>
          <w:tcPr>
            <w:tcW w:w="1991" w:type="pct"/>
            <w:vAlign w:val="center"/>
          </w:tcPr>
          <w:p w14:paraId="0AE3F5A2" w14:textId="77777777" w:rsidR="009D5450" w:rsidRPr="00795F17" w:rsidRDefault="009D5450" w:rsidP="00C031DA">
            <w:pPr>
              <w:pStyle w:val="Teksttabelilewy"/>
            </w:pPr>
            <w:r w:rsidRPr="00795F17">
              <w:t>właściwy organ ochrony środowiska</w:t>
            </w:r>
          </w:p>
        </w:tc>
      </w:tr>
      <w:tr w:rsidR="009D5450" w:rsidRPr="00795F17" w14:paraId="5E7222E3" w14:textId="77777777" w:rsidTr="0005041F">
        <w:trPr>
          <w:trHeight w:val="454"/>
        </w:trPr>
        <w:tc>
          <w:tcPr>
            <w:tcW w:w="259" w:type="pct"/>
            <w:vAlign w:val="center"/>
            <w:hideMark/>
          </w:tcPr>
          <w:p w14:paraId="6350A131" w14:textId="2A205AB0" w:rsidR="009D5450" w:rsidRPr="00795F17" w:rsidRDefault="0005041F" w:rsidP="00C031DA">
            <w:pPr>
              <w:pStyle w:val="Teksttabelilewy"/>
            </w:pPr>
            <w:r w:rsidRPr="00795F17">
              <w:t>5</w:t>
            </w:r>
            <w:r w:rsidR="008A739A" w:rsidRPr="00795F17">
              <w:t>.</w:t>
            </w:r>
          </w:p>
        </w:tc>
        <w:tc>
          <w:tcPr>
            <w:tcW w:w="1786" w:type="pct"/>
            <w:vAlign w:val="center"/>
            <w:hideMark/>
          </w:tcPr>
          <w:p w14:paraId="2744D169" w14:textId="77777777" w:rsidR="009D5450" w:rsidRPr="00795F17" w:rsidRDefault="009D5450" w:rsidP="00AB36EB">
            <w:pPr>
              <w:pStyle w:val="Teksttabelilewy"/>
              <w:ind w:left="57"/>
            </w:pPr>
            <w:r w:rsidRPr="00795F17">
              <w:t>Obowiązek przeprowadzenia procedury oceny oddziaływania na środowisko dla przedsięwzięcia mogącego zawsze znacząco oddziaływać na środowisko</w:t>
            </w:r>
          </w:p>
        </w:tc>
        <w:tc>
          <w:tcPr>
            <w:tcW w:w="963" w:type="pct"/>
            <w:vAlign w:val="center"/>
          </w:tcPr>
          <w:p w14:paraId="16225F3F" w14:textId="29FC0908" w:rsidR="009D5450" w:rsidRPr="00795F17" w:rsidRDefault="009D5450" w:rsidP="00C031DA">
            <w:pPr>
              <w:pStyle w:val="Teksttabelilewy"/>
            </w:pPr>
            <w:r w:rsidRPr="00795F17">
              <w:t xml:space="preserve">art. 59 ust. 1 pkt 1 </w:t>
            </w:r>
            <w:r w:rsidR="005559AB" w:rsidRPr="00795F17">
              <w:t>u.i.o.ś.</w:t>
            </w:r>
          </w:p>
        </w:tc>
        <w:tc>
          <w:tcPr>
            <w:tcW w:w="1991" w:type="pct"/>
            <w:vAlign w:val="center"/>
            <w:hideMark/>
          </w:tcPr>
          <w:p w14:paraId="3FACACE8" w14:textId="44F336FF" w:rsidR="009D5450" w:rsidRPr="00795F17" w:rsidRDefault="00C44ECB" w:rsidP="00C031DA">
            <w:pPr>
              <w:pStyle w:val="Teksttabelilewy"/>
            </w:pPr>
            <w:r>
              <w:t>i</w:t>
            </w:r>
            <w:r w:rsidR="009D5450" w:rsidRPr="00795F17">
              <w:t>nwestor</w:t>
            </w:r>
          </w:p>
        </w:tc>
      </w:tr>
      <w:tr w:rsidR="009D5450" w:rsidRPr="00795F17" w14:paraId="4EFB7BC2" w14:textId="77777777" w:rsidTr="0005041F">
        <w:trPr>
          <w:trHeight w:val="454"/>
        </w:trPr>
        <w:tc>
          <w:tcPr>
            <w:tcW w:w="259" w:type="pct"/>
            <w:vAlign w:val="center"/>
            <w:hideMark/>
          </w:tcPr>
          <w:p w14:paraId="5BB139CD" w14:textId="61B13CE7" w:rsidR="009D5450" w:rsidRPr="00795F17" w:rsidRDefault="0005041F" w:rsidP="00C031DA">
            <w:pPr>
              <w:pStyle w:val="Teksttabelilewy"/>
            </w:pPr>
            <w:r w:rsidRPr="00795F17">
              <w:t>6</w:t>
            </w:r>
            <w:r w:rsidR="008A739A" w:rsidRPr="00795F17">
              <w:t>.</w:t>
            </w:r>
          </w:p>
        </w:tc>
        <w:tc>
          <w:tcPr>
            <w:tcW w:w="1786" w:type="pct"/>
            <w:vAlign w:val="center"/>
            <w:hideMark/>
          </w:tcPr>
          <w:p w14:paraId="3903576C" w14:textId="4191AC3A" w:rsidR="009D5450" w:rsidRPr="00795F17" w:rsidRDefault="009D5450" w:rsidP="00AB36EB">
            <w:pPr>
              <w:pStyle w:val="Teksttabelilewy"/>
              <w:ind w:left="57"/>
            </w:pPr>
            <w:r w:rsidRPr="00795F17">
              <w:t>Obowiązek przeprowadzenia procedury oceny oddziaływania na środowisko dla przedsięwzięcia mogącego potencjalnie znacząco oddziaływać na środowisko, zależnie od postanowienia organu właściwego do wydania decyzji o</w:t>
            </w:r>
            <w:r w:rsidR="00C44ECB">
              <w:t> </w:t>
            </w:r>
            <w:r w:rsidRPr="00795F17">
              <w:t>środowiskowych uwarunkowaniach</w:t>
            </w:r>
          </w:p>
        </w:tc>
        <w:tc>
          <w:tcPr>
            <w:tcW w:w="963" w:type="pct"/>
            <w:vAlign w:val="center"/>
          </w:tcPr>
          <w:p w14:paraId="503D9DEE" w14:textId="0C8913E0" w:rsidR="009D5450" w:rsidRPr="00795F17" w:rsidRDefault="009D5450" w:rsidP="00C031DA">
            <w:pPr>
              <w:pStyle w:val="Teksttabelilewy"/>
            </w:pPr>
            <w:r w:rsidRPr="00795F17">
              <w:t xml:space="preserve">art. 59 ust. 1 pkt 2 </w:t>
            </w:r>
            <w:r w:rsidR="005559AB" w:rsidRPr="00795F17">
              <w:t>u.i.o.ś.</w:t>
            </w:r>
          </w:p>
        </w:tc>
        <w:tc>
          <w:tcPr>
            <w:tcW w:w="1991" w:type="pct"/>
            <w:vAlign w:val="center"/>
            <w:hideMark/>
          </w:tcPr>
          <w:p w14:paraId="66E0892D" w14:textId="77777777" w:rsidR="009D5450" w:rsidRPr="00795F17" w:rsidRDefault="009D5450" w:rsidP="00C031DA">
            <w:pPr>
              <w:pStyle w:val="Teksttabelilewy"/>
            </w:pPr>
            <w:r w:rsidRPr="00795F17">
              <w:t>inwestor</w:t>
            </w:r>
          </w:p>
        </w:tc>
      </w:tr>
      <w:tr w:rsidR="009D5450" w:rsidRPr="00795F17" w14:paraId="7E1B1C44" w14:textId="77777777" w:rsidTr="0005041F">
        <w:trPr>
          <w:trHeight w:val="454"/>
        </w:trPr>
        <w:tc>
          <w:tcPr>
            <w:tcW w:w="259" w:type="pct"/>
            <w:vAlign w:val="center"/>
            <w:hideMark/>
          </w:tcPr>
          <w:p w14:paraId="20C79759" w14:textId="592CF3A5" w:rsidR="009D5450" w:rsidRPr="00795F17" w:rsidRDefault="0005041F" w:rsidP="00C031DA">
            <w:pPr>
              <w:pStyle w:val="Teksttabelilewy"/>
            </w:pPr>
            <w:r w:rsidRPr="00795F17">
              <w:t>7</w:t>
            </w:r>
            <w:r w:rsidR="008A739A" w:rsidRPr="00795F17">
              <w:t>.</w:t>
            </w:r>
          </w:p>
        </w:tc>
        <w:tc>
          <w:tcPr>
            <w:tcW w:w="1786" w:type="pct"/>
            <w:vAlign w:val="center"/>
            <w:hideMark/>
          </w:tcPr>
          <w:p w14:paraId="2405EAF4" w14:textId="2B11E350" w:rsidR="009D5450" w:rsidRPr="00795F17" w:rsidRDefault="009D5450" w:rsidP="00AB36EB">
            <w:pPr>
              <w:pStyle w:val="Teksttabelilewy"/>
              <w:ind w:left="57"/>
            </w:pPr>
            <w:r w:rsidRPr="00795F17">
              <w:t>Obowiązek przeprowadzenia procedury oceny oddziaływania na obszar Natura 2000 dla przedsięwzięcia mogącego znacząco oddziaływać na obszar Natura 2000,</w:t>
            </w:r>
            <w:r w:rsidR="00D43432">
              <w:t xml:space="preserve"> a nie </w:t>
            </w:r>
            <w:r w:rsidR="000649D4">
              <w:t>związanego bezpośrednio z ochroną tego obszaru lub nie wynikającego z</w:t>
            </w:r>
            <w:r w:rsidR="001C441E">
              <w:t> </w:t>
            </w:r>
            <w:r w:rsidR="000649D4">
              <w:t>tej ochrony</w:t>
            </w:r>
          </w:p>
        </w:tc>
        <w:tc>
          <w:tcPr>
            <w:tcW w:w="963" w:type="pct"/>
            <w:vAlign w:val="center"/>
          </w:tcPr>
          <w:p w14:paraId="12136045" w14:textId="11F18DE7" w:rsidR="009D5450" w:rsidRPr="00795F17" w:rsidRDefault="009D5450" w:rsidP="00C031DA">
            <w:pPr>
              <w:pStyle w:val="Teksttabelilewy"/>
            </w:pPr>
            <w:r w:rsidRPr="00795F17">
              <w:t>art. 59 ust. 2 pkt 1</w:t>
            </w:r>
            <w:r w:rsidR="00D146C3" w:rsidRPr="00795F17">
              <w:t xml:space="preserve"> </w:t>
            </w:r>
            <w:r w:rsidRPr="00795F17">
              <w:t xml:space="preserve"> </w:t>
            </w:r>
            <w:r w:rsidR="005559AB" w:rsidRPr="00795F17">
              <w:t>u.i.o.ś.</w:t>
            </w:r>
          </w:p>
        </w:tc>
        <w:tc>
          <w:tcPr>
            <w:tcW w:w="1991" w:type="pct"/>
            <w:vAlign w:val="center"/>
            <w:hideMark/>
          </w:tcPr>
          <w:p w14:paraId="0C60F170" w14:textId="77777777" w:rsidR="009D5450" w:rsidRPr="00795F17" w:rsidRDefault="009D5450" w:rsidP="00C031DA">
            <w:pPr>
              <w:pStyle w:val="Teksttabelilewy"/>
            </w:pPr>
            <w:r w:rsidRPr="00795F17">
              <w:t>inwestor</w:t>
            </w:r>
          </w:p>
        </w:tc>
      </w:tr>
      <w:tr w:rsidR="009D5450" w:rsidRPr="00795F17" w14:paraId="6B19A81F" w14:textId="77777777" w:rsidTr="0005041F">
        <w:trPr>
          <w:trHeight w:val="454"/>
        </w:trPr>
        <w:tc>
          <w:tcPr>
            <w:tcW w:w="259" w:type="pct"/>
            <w:vAlign w:val="center"/>
            <w:hideMark/>
          </w:tcPr>
          <w:p w14:paraId="711860F3" w14:textId="10B04A27" w:rsidR="009D5450" w:rsidRPr="00795F17" w:rsidRDefault="0005041F" w:rsidP="00C031DA">
            <w:pPr>
              <w:pStyle w:val="Teksttabelilewy"/>
            </w:pPr>
            <w:r w:rsidRPr="00795F17">
              <w:t>8</w:t>
            </w:r>
            <w:r w:rsidR="008A739A" w:rsidRPr="00795F17">
              <w:t>.</w:t>
            </w:r>
          </w:p>
        </w:tc>
        <w:tc>
          <w:tcPr>
            <w:tcW w:w="1786" w:type="pct"/>
            <w:vAlign w:val="center"/>
            <w:hideMark/>
          </w:tcPr>
          <w:p w14:paraId="4F4C3B0B" w14:textId="7ADD993B" w:rsidR="009D5450" w:rsidRPr="00795F17" w:rsidRDefault="009D5450" w:rsidP="00AB36EB">
            <w:pPr>
              <w:pStyle w:val="Teksttabelilewy"/>
              <w:ind w:left="57"/>
            </w:pPr>
            <w:r w:rsidRPr="00795F17">
              <w:t>Obowiązek przeprowadzenia procedury oceny oddziaływania na obszar Natura 2000 dla przedsięwzięcia wskazanego przez organ (przedsięwzięcia innego niż przedsięwzięcie mogące znacząco oddziaływać na środowisko, niezwiązanego bezpośrednio z</w:t>
            </w:r>
            <w:r w:rsidR="009A4F51">
              <w:t> </w:t>
            </w:r>
            <w:r w:rsidRPr="00795F17">
              <w:t>ochroną obszaru Natura 2000 lub niewynikającego z tej ochrony)</w:t>
            </w:r>
          </w:p>
        </w:tc>
        <w:tc>
          <w:tcPr>
            <w:tcW w:w="963" w:type="pct"/>
            <w:vAlign w:val="center"/>
          </w:tcPr>
          <w:p w14:paraId="3A81FD12" w14:textId="6958BC06" w:rsidR="009D5450" w:rsidRPr="00795F17" w:rsidRDefault="009D5450" w:rsidP="00C031DA">
            <w:pPr>
              <w:pStyle w:val="Teksttabelilewy"/>
            </w:pPr>
            <w:r w:rsidRPr="00795F17">
              <w:t xml:space="preserve">art. 59 ust. 2 pkt 2 </w:t>
            </w:r>
            <w:r w:rsidR="005559AB" w:rsidRPr="00795F17">
              <w:t>u.i.o.ś.</w:t>
            </w:r>
            <w:r w:rsidRPr="00795F17">
              <w:t xml:space="preserve"> </w:t>
            </w:r>
            <w:r w:rsidR="009568FF" w:rsidRPr="00795F17">
              <w:t>w</w:t>
            </w:r>
            <w:r w:rsidR="00DB4658">
              <w:t> </w:t>
            </w:r>
            <w:r w:rsidRPr="00795F17">
              <w:t>zw</w:t>
            </w:r>
            <w:r w:rsidR="00F45C4C" w:rsidRPr="00795F17">
              <w:t>iązku</w:t>
            </w:r>
            <w:r w:rsidRPr="00795F17">
              <w:t xml:space="preserve"> z art. 96 ust. 1 i 3 i art. 97 ust. 1 </w:t>
            </w:r>
            <w:r w:rsidR="005559AB" w:rsidRPr="00795F17">
              <w:t>u.i.o.ś.</w:t>
            </w:r>
          </w:p>
        </w:tc>
        <w:tc>
          <w:tcPr>
            <w:tcW w:w="1991" w:type="pct"/>
            <w:vAlign w:val="center"/>
            <w:hideMark/>
          </w:tcPr>
          <w:p w14:paraId="27D680D8" w14:textId="77777777" w:rsidR="009D5450" w:rsidRPr="00795F17" w:rsidRDefault="009D5450" w:rsidP="00C031DA">
            <w:pPr>
              <w:pStyle w:val="Teksttabelilewy"/>
            </w:pPr>
            <w:r w:rsidRPr="00795F17">
              <w:t>inwestor</w:t>
            </w:r>
          </w:p>
        </w:tc>
      </w:tr>
      <w:tr w:rsidR="009D5450" w:rsidRPr="00795F17" w14:paraId="2C8D8680" w14:textId="77777777" w:rsidTr="0005041F">
        <w:trPr>
          <w:trHeight w:val="454"/>
        </w:trPr>
        <w:tc>
          <w:tcPr>
            <w:tcW w:w="259" w:type="pct"/>
            <w:vAlign w:val="center"/>
            <w:hideMark/>
          </w:tcPr>
          <w:p w14:paraId="52539C4E" w14:textId="2A56502E" w:rsidR="009D5450" w:rsidRPr="00795F17" w:rsidRDefault="0005041F" w:rsidP="00C031DA">
            <w:pPr>
              <w:pStyle w:val="Teksttabelilewy"/>
            </w:pPr>
            <w:r w:rsidRPr="00795F17">
              <w:t>9</w:t>
            </w:r>
            <w:r w:rsidR="008A739A" w:rsidRPr="00795F17">
              <w:t>.</w:t>
            </w:r>
          </w:p>
        </w:tc>
        <w:tc>
          <w:tcPr>
            <w:tcW w:w="1786" w:type="pct"/>
            <w:vAlign w:val="center"/>
            <w:hideMark/>
          </w:tcPr>
          <w:p w14:paraId="6CA03DAA" w14:textId="77777777" w:rsidR="009D5450" w:rsidRPr="00795F17" w:rsidRDefault="009D5450" w:rsidP="00AB36EB">
            <w:pPr>
              <w:pStyle w:val="Teksttabelilewy"/>
              <w:ind w:left="57"/>
            </w:pPr>
            <w:r w:rsidRPr="00795F17">
              <w:t>Obowiązek przeprowadzenia transgranicznej oceny oddziaływania na środowisko dla przedsięwzięć, dla których stwierdzono możliwość znaczącego transgranicznego oddziaływania na środowisko</w:t>
            </w:r>
          </w:p>
        </w:tc>
        <w:tc>
          <w:tcPr>
            <w:tcW w:w="963" w:type="pct"/>
            <w:vAlign w:val="center"/>
          </w:tcPr>
          <w:p w14:paraId="5A6AA116" w14:textId="0C32195C" w:rsidR="009D5450" w:rsidRPr="00795F17" w:rsidRDefault="009D5450" w:rsidP="00C031DA">
            <w:pPr>
              <w:pStyle w:val="Teksttabelilewy"/>
            </w:pPr>
            <w:r w:rsidRPr="00795F17">
              <w:t>art. 104 ust. 1</w:t>
            </w:r>
            <w:r w:rsidR="00D146C3" w:rsidRPr="00795F17">
              <w:t xml:space="preserve"> </w:t>
            </w:r>
            <w:r w:rsidRPr="00795F17">
              <w:t xml:space="preserve">pkt 1 </w:t>
            </w:r>
            <w:r w:rsidR="005559AB" w:rsidRPr="00795F17">
              <w:t>u.i.o.ś.</w:t>
            </w:r>
          </w:p>
        </w:tc>
        <w:tc>
          <w:tcPr>
            <w:tcW w:w="1991" w:type="pct"/>
            <w:vAlign w:val="center"/>
            <w:hideMark/>
          </w:tcPr>
          <w:p w14:paraId="47B2AC6C" w14:textId="77777777" w:rsidR="009D5450" w:rsidRPr="00795F17" w:rsidRDefault="009D5450" w:rsidP="00C031DA">
            <w:pPr>
              <w:pStyle w:val="Teksttabelilewy"/>
            </w:pPr>
            <w:r w:rsidRPr="00795F17">
              <w:t>inwestor</w:t>
            </w:r>
          </w:p>
        </w:tc>
      </w:tr>
      <w:tr w:rsidR="009D5450" w:rsidRPr="00795F17" w14:paraId="2F9B12D1" w14:textId="77777777" w:rsidTr="0005041F">
        <w:trPr>
          <w:trHeight w:val="454"/>
        </w:trPr>
        <w:tc>
          <w:tcPr>
            <w:tcW w:w="259" w:type="pct"/>
            <w:vAlign w:val="center"/>
            <w:hideMark/>
          </w:tcPr>
          <w:p w14:paraId="4C6D991E" w14:textId="066DC7DD" w:rsidR="009D5450" w:rsidRPr="00795F17" w:rsidRDefault="009D5450" w:rsidP="00C031DA">
            <w:pPr>
              <w:pStyle w:val="Teksttabelilewy"/>
            </w:pPr>
            <w:r w:rsidRPr="00795F17">
              <w:t>1</w:t>
            </w:r>
            <w:r w:rsidR="0005041F" w:rsidRPr="00795F17">
              <w:t>0</w:t>
            </w:r>
            <w:r w:rsidR="008A739A" w:rsidRPr="00795F17">
              <w:t>.</w:t>
            </w:r>
          </w:p>
        </w:tc>
        <w:tc>
          <w:tcPr>
            <w:tcW w:w="1786" w:type="pct"/>
            <w:vAlign w:val="center"/>
            <w:hideMark/>
          </w:tcPr>
          <w:p w14:paraId="2397EBB7" w14:textId="77777777" w:rsidR="009D5450" w:rsidRPr="00795F17" w:rsidRDefault="009D5450" w:rsidP="00AB36EB">
            <w:pPr>
              <w:pStyle w:val="Teksttabelilewy"/>
              <w:ind w:left="57"/>
            </w:pPr>
            <w:r w:rsidRPr="00795F17">
              <w:t>Obowiązek uzyskania pozwoleń zintegrowanych dla instalacji</w:t>
            </w:r>
          </w:p>
        </w:tc>
        <w:tc>
          <w:tcPr>
            <w:tcW w:w="963" w:type="pct"/>
            <w:vAlign w:val="center"/>
          </w:tcPr>
          <w:p w14:paraId="163AA0D4" w14:textId="23231DB2" w:rsidR="009D5450" w:rsidRPr="00795F17" w:rsidRDefault="009D5450" w:rsidP="00C031DA">
            <w:pPr>
              <w:pStyle w:val="Teksttabelilewy"/>
            </w:pPr>
            <w:r w:rsidRPr="00795F17">
              <w:t>art. 201-204</w:t>
            </w:r>
            <w:r w:rsidR="00D146C3" w:rsidRPr="00795F17">
              <w:t xml:space="preserve"> </w:t>
            </w:r>
            <w:r w:rsidRPr="00795F17">
              <w:t>p.o.ś.</w:t>
            </w:r>
          </w:p>
        </w:tc>
        <w:tc>
          <w:tcPr>
            <w:tcW w:w="1991" w:type="pct"/>
            <w:vAlign w:val="center"/>
            <w:hideMark/>
          </w:tcPr>
          <w:p w14:paraId="62389438" w14:textId="77777777" w:rsidR="009D5450" w:rsidRPr="00795F17" w:rsidRDefault="009D5450" w:rsidP="00C031DA">
            <w:pPr>
              <w:pStyle w:val="Teksttabelilewy"/>
            </w:pPr>
            <w:r w:rsidRPr="00795F17">
              <w:t>prowadzący instalację</w:t>
            </w:r>
          </w:p>
        </w:tc>
      </w:tr>
      <w:tr w:rsidR="009D5450" w:rsidRPr="00795F17" w14:paraId="675DEDA3" w14:textId="77777777" w:rsidTr="0005041F">
        <w:trPr>
          <w:trHeight w:val="454"/>
        </w:trPr>
        <w:tc>
          <w:tcPr>
            <w:tcW w:w="259" w:type="pct"/>
            <w:vAlign w:val="center"/>
          </w:tcPr>
          <w:p w14:paraId="6B2DBA09" w14:textId="59AEEDFA" w:rsidR="009D5450" w:rsidRPr="00795F17" w:rsidRDefault="009D5450" w:rsidP="00C031DA">
            <w:pPr>
              <w:pStyle w:val="Teksttabelilewy"/>
            </w:pPr>
            <w:r w:rsidRPr="00795F17">
              <w:t>1</w:t>
            </w:r>
            <w:r w:rsidR="0005041F" w:rsidRPr="00795F17">
              <w:t>1</w:t>
            </w:r>
            <w:r w:rsidR="008A739A" w:rsidRPr="00795F17">
              <w:t>.</w:t>
            </w:r>
          </w:p>
        </w:tc>
        <w:tc>
          <w:tcPr>
            <w:tcW w:w="1786" w:type="pct"/>
            <w:vAlign w:val="center"/>
          </w:tcPr>
          <w:p w14:paraId="5446CA81" w14:textId="79039677" w:rsidR="009D5450" w:rsidRPr="00795F17" w:rsidRDefault="009D5450" w:rsidP="00AB36EB">
            <w:pPr>
              <w:pStyle w:val="Teksttabelilewy"/>
              <w:ind w:left="57"/>
            </w:pPr>
            <w:r w:rsidRPr="00795F17">
              <w:t>Weryfikacja odstępstw od granicznych wielkości emisyjnych w</w:t>
            </w:r>
            <w:r w:rsidR="00BB0FB6">
              <w:t> </w:t>
            </w:r>
            <w:r w:rsidRPr="00795F17">
              <w:t>pozwoleniu zintegrowanym przez organ właściwy do wydania pozwolenia</w:t>
            </w:r>
          </w:p>
        </w:tc>
        <w:tc>
          <w:tcPr>
            <w:tcW w:w="963" w:type="pct"/>
            <w:vAlign w:val="center"/>
          </w:tcPr>
          <w:p w14:paraId="3AD38B9C" w14:textId="1536F97A" w:rsidR="009D5450" w:rsidRPr="00795F17" w:rsidRDefault="009D5450" w:rsidP="00C031DA">
            <w:pPr>
              <w:pStyle w:val="Teksttabelilewy"/>
            </w:pPr>
            <w:r w:rsidRPr="00795F17">
              <w:t>art. 215</w:t>
            </w:r>
            <w:r w:rsidR="00BB0FB6">
              <w:t xml:space="preserve"> </w:t>
            </w:r>
            <w:r w:rsidRPr="00795F17">
              <w:t>-</w:t>
            </w:r>
            <w:r w:rsidR="00BB0FB6">
              <w:t xml:space="preserve"> </w:t>
            </w:r>
            <w:r w:rsidRPr="00795F17">
              <w:t>216</w:t>
            </w:r>
            <w:r w:rsidR="00D146C3" w:rsidRPr="00795F17">
              <w:t xml:space="preserve"> </w:t>
            </w:r>
            <w:r w:rsidRPr="00795F17">
              <w:t>p.o.ś.</w:t>
            </w:r>
          </w:p>
        </w:tc>
        <w:tc>
          <w:tcPr>
            <w:tcW w:w="1991" w:type="pct"/>
            <w:vAlign w:val="center"/>
          </w:tcPr>
          <w:p w14:paraId="609FA3DB" w14:textId="77777777" w:rsidR="009D5450" w:rsidRPr="00795F17" w:rsidRDefault="009D5450" w:rsidP="00C031DA">
            <w:pPr>
              <w:pStyle w:val="Teksttabelilewy"/>
            </w:pPr>
            <w:r w:rsidRPr="00795F17">
              <w:t>organ wydający decyzję</w:t>
            </w:r>
          </w:p>
        </w:tc>
      </w:tr>
      <w:tr w:rsidR="009D5450" w:rsidRPr="00795F17" w14:paraId="34C8A967" w14:textId="77777777" w:rsidTr="0005041F">
        <w:trPr>
          <w:trHeight w:val="454"/>
        </w:trPr>
        <w:tc>
          <w:tcPr>
            <w:tcW w:w="259" w:type="pct"/>
            <w:vAlign w:val="center"/>
          </w:tcPr>
          <w:p w14:paraId="19726155" w14:textId="5608D0CA" w:rsidR="009D5450" w:rsidRPr="00795F17" w:rsidRDefault="009D5450" w:rsidP="00C031DA">
            <w:pPr>
              <w:pStyle w:val="Teksttabelilewy"/>
            </w:pPr>
            <w:r w:rsidRPr="00795F17">
              <w:t>1</w:t>
            </w:r>
            <w:r w:rsidR="0005041F" w:rsidRPr="00795F17">
              <w:t>2</w:t>
            </w:r>
            <w:r w:rsidR="008A739A" w:rsidRPr="00795F17">
              <w:t>.</w:t>
            </w:r>
          </w:p>
        </w:tc>
        <w:tc>
          <w:tcPr>
            <w:tcW w:w="1786" w:type="pct"/>
            <w:vAlign w:val="center"/>
          </w:tcPr>
          <w:p w14:paraId="540CA88F" w14:textId="19B04E57" w:rsidR="009D5450" w:rsidRPr="00795F17" w:rsidRDefault="009D5450" w:rsidP="00AB36EB">
            <w:pPr>
              <w:pStyle w:val="Teksttabelilewy"/>
              <w:ind w:left="57"/>
            </w:pPr>
            <w:r w:rsidRPr="00795F17">
              <w:t>Analiza warunków pozwolenia zintegrowanego oraz weryfikacja spełnienia konkluzji BAT odnoszących się do danej instalacji</w:t>
            </w:r>
          </w:p>
        </w:tc>
        <w:tc>
          <w:tcPr>
            <w:tcW w:w="963" w:type="pct"/>
            <w:vAlign w:val="center"/>
          </w:tcPr>
          <w:p w14:paraId="04AB5603" w14:textId="15E35A4F" w:rsidR="009D5450" w:rsidRPr="00795F17" w:rsidRDefault="009D5450" w:rsidP="00C031DA">
            <w:pPr>
              <w:pStyle w:val="Teksttabelilewy"/>
            </w:pPr>
            <w:r w:rsidRPr="00795F17">
              <w:t>art. 215</w:t>
            </w:r>
            <w:r w:rsidR="00BB0FB6">
              <w:t xml:space="preserve"> </w:t>
            </w:r>
            <w:r w:rsidRPr="00795F17">
              <w:t>-</w:t>
            </w:r>
            <w:r w:rsidR="00BB0FB6">
              <w:t xml:space="preserve"> </w:t>
            </w:r>
            <w:r w:rsidRPr="00795F17">
              <w:t>216</w:t>
            </w:r>
            <w:r w:rsidR="00283709">
              <w:t xml:space="preserve"> </w:t>
            </w:r>
            <w:r w:rsidRPr="00795F17">
              <w:t>p.o.ś.</w:t>
            </w:r>
          </w:p>
        </w:tc>
        <w:tc>
          <w:tcPr>
            <w:tcW w:w="1991" w:type="pct"/>
            <w:vAlign w:val="center"/>
          </w:tcPr>
          <w:p w14:paraId="3C0F5F52" w14:textId="77777777" w:rsidR="009D5450" w:rsidRPr="00795F17" w:rsidRDefault="009D5450" w:rsidP="00C031DA">
            <w:pPr>
              <w:pStyle w:val="Teksttabelilewy"/>
            </w:pPr>
            <w:r w:rsidRPr="00795F17">
              <w:t>organ wydający decyzję</w:t>
            </w:r>
          </w:p>
        </w:tc>
      </w:tr>
      <w:tr w:rsidR="009D5450" w:rsidRPr="00795F17" w14:paraId="2EB21F98" w14:textId="77777777" w:rsidTr="0005041F">
        <w:trPr>
          <w:trHeight w:val="454"/>
        </w:trPr>
        <w:tc>
          <w:tcPr>
            <w:tcW w:w="259" w:type="pct"/>
            <w:vAlign w:val="center"/>
          </w:tcPr>
          <w:p w14:paraId="11179B61" w14:textId="2222095C" w:rsidR="009D5450" w:rsidRPr="00795F17" w:rsidRDefault="009D5450" w:rsidP="00C031DA">
            <w:pPr>
              <w:pStyle w:val="Teksttabelilewy"/>
            </w:pPr>
            <w:r w:rsidRPr="00795F17">
              <w:t>1</w:t>
            </w:r>
            <w:r w:rsidR="0005041F" w:rsidRPr="00795F17">
              <w:t>3</w:t>
            </w:r>
            <w:r w:rsidR="008A739A" w:rsidRPr="00795F17">
              <w:t>.</w:t>
            </w:r>
          </w:p>
        </w:tc>
        <w:tc>
          <w:tcPr>
            <w:tcW w:w="1786" w:type="pct"/>
            <w:vAlign w:val="center"/>
          </w:tcPr>
          <w:p w14:paraId="51B08C3D" w14:textId="1BBA23DE" w:rsidR="009D5450" w:rsidRPr="00795F17" w:rsidRDefault="009D5450" w:rsidP="00AB36EB">
            <w:pPr>
              <w:pStyle w:val="Teksttabelilewy"/>
              <w:ind w:left="57"/>
            </w:pPr>
            <w:r w:rsidRPr="00795F17">
              <w:t>Kontrola dotycząca pozwoleń i</w:t>
            </w:r>
            <w:r w:rsidR="00BB0FB6">
              <w:t> </w:t>
            </w:r>
            <w:r w:rsidRPr="00795F17">
              <w:t>naruszeń w zakresie gospodarowania odpadami lub działalności w zakresie prowadzenia składowiska odpadów</w:t>
            </w:r>
          </w:p>
        </w:tc>
        <w:tc>
          <w:tcPr>
            <w:tcW w:w="963" w:type="pct"/>
            <w:vAlign w:val="center"/>
          </w:tcPr>
          <w:p w14:paraId="7D00DC3E" w14:textId="684A4907" w:rsidR="009D5450" w:rsidRPr="00AB36EB" w:rsidRDefault="009D5450" w:rsidP="00C031DA">
            <w:pPr>
              <w:pStyle w:val="Teksttabelilewy"/>
              <w:rPr>
                <w:lang w:val="en-GB"/>
              </w:rPr>
            </w:pPr>
            <w:r w:rsidRPr="00AB36EB">
              <w:rPr>
                <w:lang w:val="en-GB"/>
              </w:rPr>
              <w:t xml:space="preserve">art. 41a, art. 72, art. 146, art. 197 </w:t>
            </w:r>
            <w:r w:rsidR="00AB0303" w:rsidRPr="00AB36EB">
              <w:rPr>
                <w:lang w:val="en-GB"/>
              </w:rPr>
              <w:t>u.</w:t>
            </w:r>
            <w:r w:rsidR="00704829" w:rsidRPr="00AB36EB">
              <w:rPr>
                <w:lang w:val="en-GB"/>
              </w:rPr>
              <w:t>i.</w:t>
            </w:r>
            <w:r w:rsidRPr="00AB36EB">
              <w:rPr>
                <w:lang w:val="en-GB"/>
              </w:rPr>
              <w:t>o.</w:t>
            </w:r>
            <w:r w:rsidR="00704829" w:rsidRPr="00AB36EB">
              <w:rPr>
                <w:lang w:val="en-GB"/>
              </w:rPr>
              <w:t>ś</w:t>
            </w:r>
            <w:r w:rsidRPr="00AB36EB">
              <w:rPr>
                <w:lang w:val="en-GB"/>
              </w:rPr>
              <w:t>.</w:t>
            </w:r>
          </w:p>
        </w:tc>
        <w:tc>
          <w:tcPr>
            <w:tcW w:w="1991" w:type="pct"/>
            <w:vAlign w:val="center"/>
          </w:tcPr>
          <w:p w14:paraId="250E3FCB" w14:textId="77777777" w:rsidR="009D5450" w:rsidRPr="00795F17" w:rsidRDefault="009D5450" w:rsidP="00C031DA">
            <w:pPr>
              <w:pStyle w:val="Teksttabelilewy"/>
            </w:pPr>
            <w:r w:rsidRPr="00795F17">
              <w:t>Inspekcja Ochrony Środowiska</w:t>
            </w:r>
          </w:p>
        </w:tc>
      </w:tr>
      <w:tr w:rsidR="009D5450" w:rsidRPr="00795F17" w14:paraId="2D906F63" w14:textId="77777777" w:rsidTr="0005041F">
        <w:trPr>
          <w:trHeight w:val="454"/>
        </w:trPr>
        <w:tc>
          <w:tcPr>
            <w:tcW w:w="259" w:type="pct"/>
            <w:vAlign w:val="center"/>
          </w:tcPr>
          <w:p w14:paraId="0272E3B0" w14:textId="08EA4B55" w:rsidR="009D5450" w:rsidRPr="00795F17" w:rsidRDefault="009D5450" w:rsidP="00C031DA">
            <w:pPr>
              <w:pStyle w:val="Teksttabelilewy"/>
            </w:pPr>
            <w:r w:rsidRPr="00795F17">
              <w:t>1</w:t>
            </w:r>
            <w:r w:rsidR="0005041F" w:rsidRPr="00795F17">
              <w:t>4</w:t>
            </w:r>
            <w:r w:rsidR="008A739A" w:rsidRPr="00795F17">
              <w:t>.</w:t>
            </w:r>
          </w:p>
        </w:tc>
        <w:tc>
          <w:tcPr>
            <w:tcW w:w="1786" w:type="pct"/>
            <w:vAlign w:val="center"/>
          </w:tcPr>
          <w:p w14:paraId="0C9585C5" w14:textId="58CD306E" w:rsidR="009D5450" w:rsidRPr="00795F17" w:rsidRDefault="009D5450" w:rsidP="00AB36EB">
            <w:pPr>
              <w:pStyle w:val="Teksttabelilewy"/>
              <w:ind w:left="57"/>
            </w:pPr>
            <w:r w:rsidRPr="00795F17">
              <w:t>Obowiązek uzyskania oceny wodnoprawnej dla inwestycji i</w:t>
            </w:r>
            <w:r w:rsidR="00BB0FB6">
              <w:t> </w:t>
            </w:r>
            <w:r w:rsidRPr="00795F17">
              <w:t>działań mogących wpłynąć na możliwość osiągnięcia celów środowiskowych</w:t>
            </w:r>
          </w:p>
        </w:tc>
        <w:tc>
          <w:tcPr>
            <w:tcW w:w="963" w:type="pct"/>
            <w:vAlign w:val="center"/>
          </w:tcPr>
          <w:p w14:paraId="5F399E33" w14:textId="04E09100" w:rsidR="009D5450" w:rsidRPr="00795F17" w:rsidRDefault="009D5450" w:rsidP="00C031DA">
            <w:pPr>
              <w:pStyle w:val="Teksttabelilewy"/>
            </w:pPr>
            <w:r w:rsidRPr="00795F17">
              <w:t xml:space="preserve">art. 425 </w:t>
            </w:r>
            <w:r w:rsidR="00182A26" w:rsidRPr="00795F17">
              <w:t>-</w:t>
            </w:r>
            <w:r w:rsidRPr="00795F17">
              <w:t xml:space="preserve"> art. 438 pr.w.</w:t>
            </w:r>
          </w:p>
        </w:tc>
        <w:tc>
          <w:tcPr>
            <w:tcW w:w="1991" w:type="pct"/>
            <w:vAlign w:val="center"/>
          </w:tcPr>
          <w:p w14:paraId="4076EDE0" w14:textId="77777777" w:rsidR="009D5450" w:rsidRPr="00795F17" w:rsidRDefault="009D5450" w:rsidP="00C031DA">
            <w:pPr>
              <w:pStyle w:val="Teksttabelilewy"/>
            </w:pPr>
            <w:r w:rsidRPr="00795F17">
              <w:t>organ wydający decyzję</w:t>
            </w:r>
          </w:p>
        </w:tc>
      </w:tr>
      <w:tr w:rsidR="009D5450" w:rsidRPr="00795F17" w14:paraId="629417EE" w14:textId="77777777" w:rsidTr="0005041F">
        <w:trPr>
          <w:trHeight w:val="454"/>
        </w:trPr>
        <w:tc>
          <w:tcPr>
            <w:tcW w:w="259" w:type="pct"/>
            <w:vAlign w:val="center"/>
          </w:tcPr>
          <w:p w14:paraId="190DE79C" w14:textId="2640DF45" w:rsidR="009D5450" w:rsidRPr="00795F17" w:rsidRDefault="009D5450" w:rsidP="00C031DA">
            <w:pPr>
              <w:pStyle w:val="Teksttabelilewy"/>
            </w:pPr>
            <w:r w:rsidRPr="00795F17">
              <w:t>1</w:t>
            </w:r>
            <w:r w:rsidR="0005041F" w:rsidRPr="00795F17">
              <w:t>5</w:t>
            </w:r>
            <w:r w:rsidR="008A739A" w:rsidRPr="00795F17">
              <w:t>.</w:t>
            </w:r>
          </w:p>
        </w:tc>
        <w:tc>
          <w:tcPr>
            <w:tcW w:w="1786" w:type="pct"/>
            <w:vAlign w:val="center"/>
          </w:tcPr>
          <w:p w14:paraId="457AF974" w14:textId="52C7C87F" w:rsidR="009D5450" w:rsidRPr="00795F17" w:rsidRDefault="009D5450" w:rsidP="00AB36EB">
            <w:pPr>
              <w:pStyle w:val="Teksttabelilewy"/>
              <w:ind w:left="57"/>
            </w:pPr>
            <w:r w:rsidRPr="00795F17">
              <w:t>Uzgadnianie i opiniowanie w toku postępowań o wydanie decyzji o</w:t>
            </w:r>
            <w:r w:rsidR="00BB0FB6">
              <w:t> </w:t>
            </w:r>
            <w:r w:rsidRPr="00795F17">
              <w:t>środowiskowych uwarunkowaniach przez organ właściwy w sprawach ocen wodnoprawnych</w:t>
            </w:r>
          </w:p>
        </w:tc>
        <w:tc>
          <w:tcPr>
            <w:tcW w:w="963" w:type="pct"/>
            <w:vAlign w:val="center"/>
          </w:tcPr>
          <w:p w14:paraId="19C0B04F" w14:textId="36275F5A" w:rsidR="009D5450" w:rsidRPr="00795F17" w:rsidRDefault="009D5450" w:rsidP="00C031DA">
            <w:pPr>
              <w:pStyle w:val="Teksttabelilewy"/>
            </w:pPr>
            <w:r w:rsidRPr="00795F17">
              <w:t>art. 428 pr.w.</w:t>
            </w:r>
          </w:p>
        </w:tc>
        <w:tc>
          <w:tcPr>
            <w:tcW w:w="1991" w:type="pct"/>
            <w:vAlign w:val="center"/>
          </w:tcPr>
          <w:p w14:paraId="10388006" w14:textId="77777777" w:rsidR="009D5450" w:rsidRPr="00795F17" w:rsidRDefault="009D5450" w:rsidP="00C031DA">
            <w:pPr>
              <w:pStyle w:val="Teksttabelilewy"/>
            </w:pPr>
            <w:r w:rsidRPr="00795F17">
              <w:t>organ wydający decyzję</w:t>
            </w:r>
          </w:p>
        </w:tc>
      </w:tr>
      <w:tr w:rsidR="009D5450" w:rsidRPr="00795F17" w14:paraId="7A4F12AF" w14:textId="77777777" w:rsidTr="0005041F">
        <w:trPr>
          <w:trHeight w:val="454"/>
        </w:trPr>
        <w:tc>
          <w:tcPr>
            <w:tcW w:w="259" w:type="pct"/>
            <w:vAlign w:val="center"/>
          </w:tcPr>
          <w:p w14:paraId="6666F6AD" w14:textId="2FA7BB7A" w:rsidR="009D5450" w:rsidRPr="00795F17" w:rsidRDefault="009D5450" w:rsidP="00C031DA">
            <w:pPr>
              <w:pStyle w:val="Teksttabelilewy"/>
            </w:pPr>
            <w:r w:rsidRPr="00795F17">
              <w:t>1</w:t>
            </w:r>
            <w:r w:rsidR="0005041F" w:rsidRPr="00795F17">
              <w:t>6</w:t>
            </w:r>
            <w:r w:rsidR="008A739A" w:rsidRPr="00795F17">
              <w:t>.</w:t>
            </w:r>
          </w:p>
        </w:tc>
        <w:tc>
          <w:tcPr>
            <w:tcW w:w="1786" w:type="pct"/>
            <w:vAlign w:val="center"/>
          </w:tcPr>
          <w:p w14:paraId="1712364C" w14:textId="77777777" w:rsidR="009D5450" w:rsidRPr="00795F17" w:rsidRDefault="009D5450" w:rsidP="00AB36EB">
            <w:pPr>
              <w:pStyle w:val="Teksttabelilewy"/>
              <w:ind w:left="57"/>
            </w:pPr>
            <w:r w:rsidRPr="00795F17">
              <w:t>Obowiązek uzyskania pozwolenia wodnoprawnego na usługę wodną obejmującą wprowadzanie ścieków do wód lub do ziemi, a także wprowadzanie ścieków do urządzeń wodnych</w:t>
            </w:r>
          </w:p>
        </w:tc>
        <w:tc>
          <w:tcPr>
            <w:tcW w:w="963" w:type="pct"/>
            <w:vAlign w:val="center"/>
          </w:tcPr>
          <w:p w14:paraId="30B9C738" w14:textId="1F81DBEF" w:rsidR="009D5450" w:rsidRPr="00795F17" w:rsidRDefault="009D5450" w:rsidP="00C031DA">
            <w:pPr>
              <w:pStyle w:val="Teksttabelilewy"/>
            </w:pPr>
            <w:r w:rsidRPr="00795F17">
              <w:t xml:space="preserve">art. 389 pkt 1 oraz art. 35 ust. 3 </w:t>
            </w:r>
            <w:r w:rsidR="00E9796C" w:rsidRPr="00795F17">
              <w:t>pkt</w:t>
            </w:r>
            <w:r w:rsidRPr="00795F17">
              <w:t xml:space="preserve"> 5 pr.w.</w:t>
            </w:r>
          </w:p>
        </w:tc>
        <w:tc>
          <w:tcPr>
            <w:tcW w:w="1991" w:type="pct"/>
            <w:vAlign w:val="center"/>
          </w:tcPr>
          <w:p w14:paraId="621C7F5E" w14:textId="77777777" w:rsidR="009D5450" w:rsidRPr="00795F17" w:rsidRDefault="009D5450" w:rsidP="00C031DA">
            <w:pPr>
              <w:pStyle w:val="Teksttabelilewy"/>
            </w:pPr>
            <w:r w:rsidRPr="00795F17">
              <w:t>podmiot wprowadzający ścieki</w:t>
            </w:r>
          </w:p>
        </w:tc>
      </w:tr>
      <w:tr w:rsidR="009D5450" w:rsidRPr="00795F17" w14:paraId="3477EA15" w14:textId="77777777" w:rsidTr="0005041F">
        <w:trPr>
          <w:trHeight w:val="454"/>
        </w:trPr>
        <w:tc>
          <w:tcPr>
            <w:tcW w:w="259" w:type="pct"/>
            <w:vAlign w:val="center"/>
          </w:tcPr>
          <w:p w14:paraId="468CC619" w14:textId="55638F47" w:rsidR="009D5450" w:rsidRPr="00795F17" w:rsidRDefault="009D5450" w:rsidP="00C031DA">
            <w:pPr>
              <w:pStyle w:val="Teksttabelilewy"/>
            </w:pPr>
            <w:r w:rsidRPr="00795F17">
              <w:t>1</w:t>
            </w:r>
            <w:r w:rsidR="0005041F" w:rsidRPr="00795F17">
              <w:t>7</w:t>
            </w:r>
            <w:r w:rsidR="008A739A" w:rsidRPr="00795F17">
              <w:t>.</w:t>
            </w:r>
          </w:p>
        </w:tc>
        <w:tc>
          <w:tcPr>
            <w:tcW w:w="1786" w:type="pct"/>
            <w:vAlign w:val="center"/>
          </w:tcPr>
          <w:p w14:paraId="2198971C" w14:textId="77777777" w:rsidR="009D5450" w:rsidRPr="00795F17" w:rsidRDefault="009D5450" w:rsidP="00AB36EB">
            <w:pPr>
              <w:pStyle w:val="Teksttabelilewy"/>
              <w:ind w:left="57"/>
            </w:pPr>
            <w:r w:rsidRPr="00795F17">
              <w:t>Kontrola dotycząca przestrzegania decyzji ustalających warunki korzystania ze środowiska oraz przestrzegania zakresu, częstotliwości i sposobu prowadzenia pomiarów wielkości emisji i jej wpływu na stan środowiska</w:t>
            </w:r>
          </w:p>
        </w:tc>
        <w:tc>
          <w:tcPr>
            <w:tcW w:w="963" w:type="pct"/>
            <w:vAlign w:val="center"/>
          </w:tcPr>
          <w:p w14:paraId="75E9C178" w14:textId="53DF2A4D" w:rsidR="009D5450" w:rsidRPr="00AB36EB" w:rsidRDefault="009D5450" w:rsidP="00C031DA">
            <w:pPr>
              <w:pStyle w:val="Teksttabelilewy"/>
              <w:rPr>
                <w:lang w:val="en-GB"/>
              </w:rPr>
            </w:pPr>
            <w:r w:rsidRPr="00AB36EB">
              <w:rPr>
                <w:lang w:val="en-GB"/>
              </w:rPr>
              <w:t xml:space="preserve">art. 2 ust. 1 pkt 1 lit. b </w:t>
            </w:r>
            <w:r w:rsidR="00AB0303" w:rsidRPr="00AB36EB">
              <w:rPr>
                <w:lang w:val="en-GB"/>
              </w:rPr>
              <w:t>u.</w:t>
            </w:r>
            <w:r w:rsidRPr="00AB36EB">
              <w:rPr>
                <w:lang w:val="en-GB"/>
              </w:rPr>
              <w:t>i.o.ś.</w:t>
            </w:r>
          </w:p>
        </w:tc>
        <w:tc>
          <w:tcPr>
            <w:tcW w:w="1991" w:type="pct"/>
            <w:vAlign w:val="center"/>
          </w:tcPr>
          <w:p w14:paraId="23B0108E" w14:textId="77777777" w:rsidR="009D5450" w:rsidRPr="00795F17" w:rsidRDefault="009D5450" w:rsidP="00C031DA">
            <w:pPr>
              <w:pStyle w:val="Teksttabelilewy"/>
            </w:pPr>
            <w:r w:rsidRPr="00795F17">
              <w:t>Inspekcja Ochrony Środowiska</w:t>
            </w:r>
          </w:p>
        </w:tc>
      </w:tr>
      <w:tr w:rsidR="009D5450" w:rsidRPr="00795F17" w14:paraId="6EADECF4" w14:textId="77777777" w:rsidTr="0005041F">
        <w:trPr>
          <w:trHeight w:val="454"/>
        </w:trPr>
        <w:tc>
          <w:tcPr>
            <w:tcW w:w="259" w:type="pct"/>
            <w:vAlign w:val="center"/>
          </w:tcPr>
          <w:p w14:paraId="775C00F1" w14:textId="2DAEB4DE" w:rsidR="009D5450" w:rsidRPr="00795F17" w:rsidRDefault="009D5450" w:rsidP="00C031DA">
            <w:pPr>
              <w:pStyle w:val="Teksttabelilewy"/>
            </w:pPr>
            <w:r w:rsidRPr="00795F17">
              <w:t>1</w:t>
            </w:r>
            <w:r w:rsidR="0005041F" w:rsidRPr="00795F17">
              <w:t>8</w:t>
            </w:r>
            <w:r w:rsidR="008A739A" w:rsidRPr="00795F17">
              <w:t>.</w:t>
            </w:r>
          </w:p>
        </w:tc>
        <w:tc>
          <w:tcPr>
            <w:tcW w:w="1786" w:type="pct"/>
            <w:vAlign w:val="center"/>
          </w:tcPr>
          <w:p w14:paraId="1F9D0B2C" w14:textId="6275CC37" w:rsidR="009D5450" w:rsidRPr="00795F17" w:rsidRDefault="009D5450" w:rsidP="00AB36EB">
            <w:pPr>
              <w:pStyle w:val="Teksttabelilewy"/>
              <w:ind w:left="57"/>
            </w:pPr>
            <w:r w:rsidRPr="00795F17">
              <w:t>Przegląd pozwoleń wodnoprawnych na odprowadzanie ścieków oraz realizacji tych pozwoleń co najmniej raz na 4 lata</w:t>
            </w:r>
          </w:p>
        </w:tc>
        <w:tc>
          <w:tcPr>
            <w:tcW w:w="963" w:type="pct"/>
            <w:vAlign w:val="center"/>
          </w:tcPr>
          <w:p w14:paraId="4AF3B165" w14:textId="3366BAF1" w:rsidR="009D5450" w:rsidRPr="00795F17" w:rsidRDefault="009D5450" w:rsidP="00C031DA">
            <w:pPr>
              <w:pStyle w:val="Teksttabelilewy"/>
            </w:pPr>
            <w:r w:rsidRPr="00795F17">
              <w:t>art. 416 ust. 1 pr.w.</w:t>
            </w:r>
          </w:p>
        </w:tc>
        <w:tc>
          <w:tcPr>
            <w:tcW w:w="1991" w:type="pct"/>
            <w:vAlign w:val="center"/>
          </w:tcPr>
          <w:p w14:paraId="01E94FFA" w14:textId="54BCAD2A" w:rsidR="009D5450" w:rsidRPr="00795F17" w:rsidRDefault="009D5450" w:rsidP="00C031DA">
            <w:pPr>
              <w:pStyle w:val="Teksttabelilewy"/>
            </w:pPr>
            <w:r w:rsidRPr="00795F17">
              <w:t xml:space="preserve">właściwy organ </w:t>
            </w:r>
            <w:r w:rsidR="0028234C" w:rsidRPr="00795F17">
              <w:t>PGW WP</w:t>
            </w:r>
          </w:p>
        </w:tc>
      </w:tr>
      <w:tr w:rsidR="009D5450" w:rsidRPr="00795F17" w14:paraId="35ED6B1A" w14:textId="77777777" w:rsidTr="0005041F">
        <w:trPr>
          <w:trHeight w:val="454"/>
        </w:trPr>
        <w:tc>
          <w:tcPr>
            <w:tcW w:w="259" w:type="pct"/>
            <w:vAlign w:val="center"/>
          </w:tcPr>
          <w:p w14:paraId="21684342" w14:textId="32FD510B" w:rsidR="009D5450" w:rsidRPr="00795F17" w:rsidRDefault="0005041F" w:rsidP="00C031DA">
            <w:pPr>
              <w:pStyle w:val="Teksttabelilewy"/>
            </w:pPr>
            <w:r w:rsidRPr="00795F17">
              <w:t>19</w:t>
            </w:r>
            <w:r w:rsidR="008A739A" w:rsidRPr="00795F17">
              <w:t>.</w:t>
            </w:r>
          </w:p>
        </w:tc>
        <w:tc>
          <w:tcPr>
            <w:tcW w:w="1786" w:type="pct"/>
            <w:vAlign w:val="center"/>
          </w:tcPr>
          <w:p w14:paraId="37E8F3B3" w14:textId="77777777" w:rsidR="009D5450" w:rsidRPr="00795F17" w:rsidRDefault="009D5450" w:rsidP="00AB36EB">
            <w:pPr>
              <w:pStyle w:val="Teksttabelilewy"/>
              <w:ind w:left="57"/>
            </w:pPr>
            <w:r w:rsidRPr="00795F17">
              <w:t>Obowiązek zapewnienia, że wartości dopuszczalne zanieczyszczeń w ściekach wprowadzanych do wód i do ziemi nie są przekroczone</w:t>
            </w:r>
          </w:p>
        </w:tc>
        <w:tc>
          <w:tcPr>
            <w:tcW w:w="963" w:type="pct"/>
            <w:vAlign w:val="center"/>
          </w:tcPr>
          <w:p w14:paraId="07905E4D" w14:textId="0BB300D0" w:rsidR="009D5450" w:rsidRPr="00795F17" w:rsidRDefault="009D5450" w:rsidP="00C031DA">
            <w:pPr>
              <w:pStyle w:val="Teksttabelilewy"/>
            </w:pPr>
            <w:r w:rsidRPr="00795F17">
              <w:t>r.s.sz.ś.w</w:t>
            </w:r>
            <w:r w:rsidR="00CE4E7B" w:rsidRPr="00795F17">
              <w:t>.</w:t>
            </w:r>
          </w:p>
        </w:tc>
        <w:tc>
          <w:tcPr>
            <w:tcW w:w="1991" w:type="pct"/>
            <w:vAlign w:val="center"/>
          </w:tcPr>
          <w:p w14:paraId="487E7222" w14:textId="77777777" w:rsidR="009D5450" w:rsidRPr="00795F17" w:rsidRDefault="009D5450" w:rsidP="00C031DA">
            <w:pPr>
              <w:pStyle w:val="Teksttabelilewy"/>
            </w:pPr>
            <w:r w:rsidRPr="00795F17">
              <w:t>podmiot wprowadzający ścieki</w:t>
            </w:r>
          </w:p>
        </w:tc>
      </w:tr>
      <w:tr w:rsidR="009D5450" w:rsidRPr="00795F17" w14:paraId="7B9A4CBF" w14:textId="77777777" w:rsidTr="0005041F">
        <w:trPr>
          <w:trHeight w:val="454"/>
        </w:trPr>
        <w:tc>
          <w:tcPr>
            <w:tcW w:w="259" w:type="pct"/>
            <w:vAlign w:val="center"/>
            <w:hideMark/>
          </w:tcPr>
          <w:p w14:paraId="70329BBC" w14:textId="12FC9F6B" w:rsidR="009D5450" w:rsidRPr="00795F17" w:rsidRDefault="009D5450" w:rsidP="00C031DA">
            <w:pPr>
              <w:pStyle w:val="Teksttabelilewy"/>
            </w:pPr>
            <w:r w:rsidRPr="00795F17">
              <w:t>2</w:t>
            </w:r>
            <w:r w:rsidR="0005041F" w:rsidRPr="00795F17">
              <w:t>0</w:t>
            </w:r>
            <w:r w:rsidR="008A739A" w:rsidRPr="00795F17">
              <w:t>.</w:t>
            </w:r>
          </w:p>
        </w:tc>
        <w:tc>
          <w:tcPr>
            <w:tcW w:w="1786" w:type="pct"/>
            <w:vAlign w:val="center"/>
            <w:hideMark/>
          </w:tcPr>
          <w:p w14:paraId="608D6C96" w14:textId="77777777" w:rsidR="009D5450" w:rsidRPr="00795F17" w:rsidRDefault="009D5450" w:rsidP="00AB36EB">
            <w:pPr>
              <w:pStyle w:val="Teksttabelilewy"/>
              <w:ind w:left="57"/>
            </w:pPr>
            <w:r w:rsidRPr="00795F17">
              <w:t>Kontrola dopuszczalnych mas substancji w odprowadzanych ściekach przemysłowych</w:t>
            </w:r>
          </w:p>
        </w:tc>
        <w:tc>
          <w:tcPr>
            <w:tcW w:w="963" w:type="pct"/>
            <w:vAlign w:val="center"/>
          </w:tcPr>
          <w:p w14:paraId="2C8BA8E9" w14:textId="071E89C5" w:rsidR="009D5450" w:rsidRPr="00795F17" w:rsidRDefault="009D5450" w:rsidP="00C031DA">
            <w:pPr>
              <w:pStyle w:val="Teksttabelilewy"/>
            </w:pPr>
            <w:r w:rsidRPr="00795F17">
              <w:t>art. 99, art. 335 pr.w.</w:t>
            </w:r>
          </w:p>
        </w:tc>
        <w:tc>
          <w:tcPr>
            <w:tcW w:w="1991" w:type="pct"/>
            <w:vAlign w:val="center"/>
            <w:hideMark/>
          </w:tcPr>
          <w:p w14:paraId="04DBB423" w14:textId="77777777" w:rsidR="009D5450" w:rsidRPr="00795F17" w:rsidRDefault="009D5450" w:rsidP="00C031DA">
            <w:pPr>
              <w:pStyle w:val="Teksttabelilewy"/>
            </w:pPr>
            <w:r w:rsidRPr="00795F17">
              <w:t>Inspekcja Ochrony Środowiska</w:t>
            </w:r>
          </w:p>
        </w:tc>
      </w:tr>
      <w:tr w:rsidR="009D5450" w:rsidRPr="00795F17" w14:paraId="632BAF91" w14:textId="77777777" w:rsidTr="0005041F">
        <w:trPr>
          <w:trHeight w:val="454"/>
        </w:trPr>
        <w:tc>
          <w:tcPr>
            <w:tcW w:w="259" w:type="pct"/>
            <w:vAlign w:val="center"/>
            <w:hideMark/>
          </w:tcPr>
          <w:p w14:paraId="697F37C4" w14:textId="431D0BC8" w:rsidR="009D5450" w:rsidRPr="00795F17" w:rsidRDefault="009D5450" w:rsidP="00C031DA">
            <w:pPr>
              <w:pStyle w:val="Teksttabelilewy"/>
            </w:pPr>
            <w:r w:rsidRPr="00795F17">
              <w:t>2</w:t>
            </w:r>
            <w:r w:rsidR="0005041F" w:rsidRPr="00795F17">
              <w:t>1</w:t>
            </w:r>
            <w:r w:rsidR="008A739A" w:rsidRPr="00795F17">
              <w:t>.</w:t>
            </w:r>
          </w:p>
        </w:tc>
        <w:tc>
          <w:tcPr>
            <w:tcW w:w="1786" w:type="pct"/>
            <w:vAlign w:val="center"/>
            <w:hideMark/>
          </w:tcPr>
          <w:p w14:paraId="508B481F" w14:textId="77777777" w:rsidR="009D5450" w:rsidRPr="00795F17" w:rsidRDefault="009D5450" w:rsidP="00AB36EB">
            <w:pPr>
              <w:pStyle w:val="Teksttabelilewy"/>
              <w:ind w:left="57"/>
            </w:pPr>
            <w:r w:rsidRPr="00795F17">
              <w:t>Kontrola jakości wody pitnej</w:t>
            </w:r>
          </w:p>
        </w:tc>
        <w:tc>
          <w:tcPr>
            <w:tcW w:w="963" w:type="pct"/>
            <w:vAlign w:val="center"/>
          </w:tcPr>
          <w:p w14:paraId="55786335" w14:textId="0DCF9C43" w:rsidR="009D5450" w:rsidRPr="00795F17" w:rsidRDefault="006C69A8" w:rsidP="00C031DA">
            <w:pPr>
              <w:pStyle w:val="Teksttabelilewy"/>
            </w:pPr>
            <w:r w:rsidRPr="00E3796C">
              <w:t>art. 12 ust. 1 u.z.z.w.o.ś</w:t>
            </w:r>
          </w:p>
        </w:tc>
        <w:tc>
          <w:tcPr>
            <w:tcW w:w="1991" w:type="pct"/>
            <w:vAlign w:val="center"/>
            <w:hideMark/>
          </w:tcPr>
          <w:p w14:paraId="0682CE29" w14:textId="77777777" w:rsidR="009D5450" w:rsidRPr="00795F17" w:rsidRDefault="009D5450" w:rsidP="00C031DA">
            <w:pPr>
              <w:pStyle w:val="Teksttabelilewy"/>
            </w:pPr>
            <w:r w:rsidRPr="00795F17">
              <w:t>właściwy organ Państwowej Inspekcji Sanitarnej</w:t>
            </w:r>
          </w:p>
        </w:tc>
      </w:tr>
      <w:tr w:rsidR="009D5450" w:rsidRPr="00795F17" w14:paraId="556B4225" w14:textId="77777777" w:rsidTr="0005041F">
        <w:trPr>
          <w:trHeight w:val="454"/>
        </w:trPr>
        <w:tc>
          <w:tcPr>
            <w:tcW w:w="259" w:type="pct"/>
            <w:vAlign w:val="center"/>
            <w:hideMark/>
          </w:tcPr>
          <w:p w14:paraId="1DFB421E" w14:textId="2AAA6A96" w:rsidR="009D5450" w:rsidRPr="00795F17" w:rsidRDefault="009D5450" w:rsidP="00C031DA">
            <w:pPr>
              <w:pStyle w:val="Teksttabelilewy"/>
            </w:pPr>
            <w:r w:rsidRPr="00795F17">
              <w:t>2</w:t>
            </w:r>
            <w:r w:rsidR="0005041F" w:rsidRPr="00795F17">
              <w:t>2</w:t>
            </w:r>
            <w:r w:rsidR="008A739A" w:rsidRPr="00795F17">
              <w:t>.</w:t>
            </w:r>
          </w:p>
        </w:tc>
        <w:tc>
          <w:tcPr>
            <w:tcW w:w="1786" w:type="pct"/>
            <w:vAlign w:val="center"/>
            <w:hideMark/>
          </w:tcPr>
          <w:p w14:paraId="4B2436B7" w14:textId="77777777" w:rsidR="009D5450" w:rsidRPr="00795F17" w:rsidRDefault="009D5450" w:rsidP="00AB36EB">
            <w:pPr>
              <w:pStyle w:val="Teksttabelilewy"/>
              <w:ind w:left="57"/>
            </w:pPr>
            <w:r w:rsidRPr="00795F17">
              <w:t>Informowanie o jakości wody przeznaczonej do spożycia przez ludzi</w:t>
            </w:r>
          </w:p>
        </w:tc>
        <w:tc>
          <w:tcPr>
            <w:tcW w:w="963" w:type="pct"/>
            <w:vAlign w:val="center"/>
          </w:tcPr>
          <w:p w14:paraId="77935928" w14:textId="0B457E94" w:rsidR="009D5450" w:rsidRPr="00795F17" w:rsidRDefault="009D5450" w:rsidP="00C031DA">
            <w:pPr>
              <w:pStyle w:val="Teksttabelilewy"/>
            </w:pPr>
            <w:r w:rsidRPr="00795F17">
              <w:t>art. 12 ust. 5 u.z.z.w.o.ś</w:t>
            </w:r>
            <w:r w:rsidR="00BB0FB6">
              <w:t>.</w:t>
            </w:r>
          </w:p>
        </w:tc>
        <w:tc>
          <w:tcPr>
            <w:tcW w:w="1991" w:type="pct"/>
            <w:vAlign w:val="center"/>
            <w:hideMark/>
          </w:tcPr>
          <w:p w14:paraId="6AD05574" w14:textId="77777777" w:rsidR="009D5450" w:rsidRPr="00795F17" w:rsidRDefault="009D5450" w:rsidP="00C031DA">
            <w:pPr>
              <w:pStyle w:val="Teksttabelilewy"/>
            </w:pPr>
            <w:r w:rsidRPr="00795F17">
              <w:t>wójt, burmistrz lub prezydent miasta</w:t>
            </w:r>
          </w:p>
        </w:tc>
      </w:tr>
      <w:tr w:rsidR="009D5450" w:rsidRPr="00795F17" w14:paraId="5DD65C59" w14:textId="77777777" w:rsidTr="0005041F">
        <w:trPr>
          <w:trHeight w:val="454"/>
        </w:trPr>
        <w:tc>
          <w:tcPr>
            <w:tcW w:w="259" w:type="pct"/>
            <w:vAlign w:val="center"/>
            <w:hideMark/>
          </w:tcPr>
          <w:p w14:paraId="0ED55ACA" w14:textId="1B50EE3C" w:rsidR="009D5450" w:rsidRPr="00795F17" w:rsidRDefault="009D5450" w:rsidP="00C031DA">
            <w:pPr>
              <w:pStyle w:val="Teksttabelilewy"/>
            </w:pPr>
            <w:r w:rsidRPr="00795F17">
              <w:t>2</w:t>
            </w:r>
            <w:r w:rsidR="0005041F" w:rsidRPr="00795F17">
              <w:t>3</w:t>
            </w:r>
            <w:r w:rsidR="008A739A" w:rsidRPr="00795F17">
              <w:t>.</w:t>
            </w:r>
          </w:p>
        </w:tc>
        <w:tc>
          <w:tcPr>
            <w:tcW w:w="1786" w:type="pct"/>
            <w:vAlign w:val="center"/>
            <w:hideMark/>
          </w:tcPr>
          <w:p w14:paraId="2A08A697" w14:textId="77777777" w:rsidR="009D5450" w:rsidRPr="00795F17" w:rsidRDefault="009D5450" w:rsidP="00AB36EB">
            <w:pPr>
              <w:pStyle w:val="Teksttabelilewy"/>
              <w:ind w:left="57"/>
            </w:pPr>
            <w:r w:rsidRPr="00795F17">
              <w:t>Obowiązek prowadzenia ewidencji kąpielisk i jej aktualizacji</w:t>
            </w:r>
          </w:p>
        </w:tc>
        <w:tc>
          <w:tcPr>
            <w:tcW w:w="963" w:type="pct"/>
            <w:vAlign w:val="center"/>
          </w:tcPr>
          <w:p w14:paraId="753D8BD6" w14:textId="3997F25B" w:rsidR="009D5450" w:rsidRPr="00795F17" w:rsidRDefault="009D5450" w:rsidP="00C031DA">
            <w:pPr>
              <w:pStyle w:val="Teksttabelilewy"/>
            </w:pPr>
            <w:r w:rsidRPr="00795F17">
              <w:t>art. 38 ust. 1 pr.w.</w:t>
            </w:r>
          </w:p>
        </w:tc>
        <w:tc>
          <w:tcPr>
            <w:tcW w:w="1991" w:type="pct"/>
            <w:vAlign w:val="center"/>
            <w:hideMark/>
          </w:tcPr>
          <w:p w14:paraId="552A9657" w14:textId="77777777" w:rsidR="009D5450" w:rsidRPr="00795F17" w:rsidRDefault="009D5450" w:rsidP="00C031DA">
            <w:pPr>
              <w:pStyle w:val="Teksttabelilewy"/>
            </w:pPr>
            <w:r w:rsidRPr="00795F17">
              <w:t>wójt, burmistrz lub prezydent miasta</w:t>
            </w:r>
          </w:p>
        </w:tc>
      </w:tr>
      <w:tr w:rsidR="009D5450" w:rsidRPr="00795F17" w14:paraId="1EB61DFC" w14:textId="77777777" w:rsidTr="0005041F">
        <w:trPr>
          <w:trHeight w:val="454"/>
        </w:trPr>
        <w:tc>
          <w:tcPr>
            <w:tcW w:w="259" w:type="pct"/>
            <w:vAlign w:val="center"/>
            <w:hideMark/>
          </w:tcPr>
          <w:p w14:paraId="03A1ACE2" w14:textId="70B5C09F" w:rsidR="009D5450" w:rsidRPr="00795F17" w:rsidRDefault="009D5450" w:rsidP="00C031DA">
            <w:pPr>
              <w:pStyle w:val="Teksttabelilewy"/>
            </w:pPr>
            <w:r w:rsidRPr="00795F17">
              <w:t>2</w:t>
            </w:r>
            <w:r w:rsidR="0005041F" w:rsidRPr="00795F17">
              <w:t>4</w:t>
            </w:r>
            <w:r w:rsidR="008A739A" w:rsidRPr="00795F17">
              <w:t>.</w:t>
            </w:r>
          </w:p>
        </w:tc>
        <w:tc>
          <w:tcPr>
            <w:tcW w:w="1786" w:type="pct"/>
            <w:vAlign w:val="center"/>
            <w:hideMark/>
          </w:tcPr>
          <w:p w14:paraId="6C7218D0" w14:textId="0077EED4" w:rsidR="009D5450" w:rsidRPr="00795F17" w:rsidRDefault="009D5450" w:rsidP="00AB36EB">
            <w:pPr>
              <w:pStyle w:val="Teksttabelilewy"/>
              <w:ind w:left="57"/>
            </w:pPr>
            <w:r w:rsidRPr="00795F17">
              <w:t xml:space="preserve">Obowiązek </w:t>
            </w:r>
            <w:r w:rsidR="000B2B90" w:rsidRPr="00795F17">
              <w:t>kontroli wody w</w:t>
            </w:r>
            <w:r w:rsidR="00BB0FB6">
              <w:t> </w:t>
            </w:r>
            <w:r w:rsidR="000B2B90" w:rsidRPr="00795F17">
              <w:t>kąpieliskach</w:t>
            </w:r>
          </w:p>
        </w:tc>
        <w:tc>
          <w:tcPr>
            <w:tcW w:w="963" w:type="pct"/>
            <w:vAlign w:val="center"/>
          </w:tcPr>
          <w:p w14:paraId="702EE509" w14:textId="153951D9" w:rsidR="009D5450" w:rsidRPr="00795F17" w:rsidRDefault="009D5450" w:rsidP="00C031DA">
            <w:pPr>
              <w:pStyle w:val="Teksttabelilewy"/>
            </w:pPr>
            <w:r w:rsidRPr="00795F17">
              <w:t xml:space="preserve">art. </w:t>
            </w:r>
            <w:r w:rsidR="000B2B90" w:rsidRPr="00795F17">
              <w:t>334 ust. 8 pr.w.</w:t>
            </w:r>
          </w:p>
        </w:tc>
        <w:tc>
          <w:tcPr>
            <w:tcW w:w="1991" w:type="pct"/>
            <w:vAlign w:val="center"/>
            <w:hideMark/>
          </w:tcPr>
          <w:p w14:paraId="521585AD" w14:textId="1411FB75" w:rsidR="009D5450" w:rsidRPr="00795F17" w:rsidRDefault="0025788C" w:rsidP="00C031DA">
            <w:pPr>
              <w:pStyle w:val="Teksttabelilewy"/>
            </w:pPr>
            <w:r>
              <w:t>w</w:t>
            </w:r>
            <w:r w:rsidR="000B2B90" w:rsidRPr="00795F17">
              <w:t>łaściwy organ Państwowej Inspekcji Sanitarnej</w:t>
            </w:r>
          </w:p>
        </w:tc>
      </w:tr>
      <w:tr w:rsidR="009D5450" w:rsidRPr="00795F17" w14:paraId="10831716" w14:textId="77777777" w:rsidTr="0005041F">
        <w:trPr>
          <w:trHeight w:val="454"/>
        </w:trPr>
        <w:tc>
          <w:tcPr>
            <w:tcW w:w="259" w:type="pct"/>
            <w:vAlign w:val="center"/>
            <w:hideMark/>
          </w:tcPr>
          <w:p w14:paraId="4BA901BF" w14:textId="5B586810" w:rsidR="009D5450" w:rsidRPr="00795F17" w:rsidRDefault="009D5450" w:rsidP="00C031DA">
            <w:pPr>
              <w:pStyle w:val="Teksttabelilewy"/>
            </w:pPr>
            <w:r w:rsidRPr="00795F17">
              <w:t>2</w:t>
            </w:r>
            <w:r w:rsidR="0005041F" w:rsidRPr="00795F17">
              <w:t>5</w:t>
            </w:r>
            <w:r w:rsidR="008A739A" w:rsidRPr="00795F17">
              <w:t>.</w:t>
            </w:r>
          </w:p>
        </w:tc>
        <w:tc>
          <w:tcPr>
            <w:tcW w:w="1786" w:type="pct"/>
            <w:vAlign w:val="center"/>
            <w:hideMark/>
          </w:tcPr>
          <w:p w14:paraId="2DB4D4E1" w14:textId="10E87314" w:rsidR="009D5450" w:rsidRPr="00795F17" w:rsidRDefault="009D5450" w:rsidP="00AB36EB">
            <w:pPr>
              <w:pStyle w:val="Teksttabelilewy"/>
              <w:ind w:left="57"/>
            </w:pPr>
            <w:r w:rsidRPr="00795F17">
              <w:t>Obowiązek oceny stanu wody w</w:t>
            </w:r>
            <w:r w:rsidR="0025788C">
              <w:t> </w:t>
            </w:r>
            <w:r w:rsidRPr="00795F17">
              <w:t xml:space="preserve">kąpielisku </w:t>
            </w:r>
          </w:p>
        </w:tc>
        <w:tc>
          <w:tcPr>
            <w:tcW w:w="963" w:type="pct"/>
            <w:vAlign w:val="center"/>
          </w:tcPr>
          <w:p w14:paraId="0D578313" w14:textId="53059B91" w:rsidR="009D5450" w:rsidRPr="00795F17" w:rsidRDefault="009D5450" w:rsidP="00C031DA">
            <w:pPr>
              <w:pStyle w:val="Teksttabelilewy"/>
            </w:pPr>
            <w:r w:rsidRPr="00795F17">
              <w:t>art. 42 ust. 1 pr.w.</w:t>
            </w:r>
          </w:p>
        </w:tc>
        <w:tc>
          <w:tcPr>
            <w:tcW w:w="1991" w:type="pct"/>
            <w:vAlign w:val="center"/>
            <w:hideMark/>
          </w:tcPr>
          <w:p w14:paraId="714C2061" w14:textId="77777777" w:rsidR="009D5450" w:rsidRPr="00795F17" w:rsidRDefault="009D5450" w:rsidP="00C031DA">
            <w:pPr>
              <w:pStyle w:val="Teksttabelilewy"/>
            </w:pPr>
            <w:r w:rsidRPr="00795F17">
              <w:t>państwowy powiatowy inspektor sanitarny</w:t>
            </w:r>
          </w:p>
        </w:tc>
      </w:tr>
      <w:tr w:rsidR="009D5450" w:rsidRPr="00795F17" w14:paraId="33F38441" w14:textId="77777777" w:rsidTr="0005041F">
        <w:trPr>
          <w:trHeight w:val="454"/>
        </w:trPr>
        <w:tc>
          <w:tcPr>
            <w:tcW w:w="259" w:type="pct"/>
            <w:vAlign w:val="center"/>
            <w:hideMark/>
          </w:tcPr>
          <w:p w14:paraId="10196590" w14:textId="47BA0929" w:rsidR="009D5450" w:rsidRPr="00795F17" w:rsidRDefault="009D5450" w:rsidP="00C031DA">
            <w:pPr>
              <w:pStyle w:val="Teksttabelilewy"/>
            </w:pPr>
            <w:r w:rsidRPr="00795F17">
              <w:t>2</w:t>
            </w:r>
            <w:r w:rsidR="0005041F" w:rsidRPr="00795F17">
              <w:t>6</w:t>
            </w:r>
            <w:r w:rsidR="008A739A" w:rsidRPr="00795F17">
              <w:t>.</w:t>
            </w:r>
          </w:p>
        </w:tc>
        <w:tc>
          <w:tcPr>
            <w:tcW w:w="1786" w:type="pct"/>
            <w:vAlign w:val="center"/>
            <w:hideMark/>
          </w:tcPr>
          <w:p w14:paraId="3959EC20" w14:textId="40936E64" w:rsidR="009D5450" w:rsidRPr="00795F17" w:rsidRDefault="009D5450" w:rsidP="00AB36EB">
            <w:pPr>
              <w:pStyle w:val="Teksttabelilewy"/>
              <w:ind w:left="57"/>
            </w:pPr>
            <w:r w:rsidRPr="00795F17">
              <w:t>Obowiązki związane z</w:t>
            </w:r>
            <w:r w:rsidR="0025788C">
              <w:t> </w:t>
            </w:r>
            <w:r w:rsidRPr="00795F17">
              <w:t>informowaniem ludności o jakości wody w kąpielisku oraz o zakazie kąpieli wraz z podaniem przyczyny zakazu</w:t>
            </w:r>
          </w:p>
        </w:tc>
        <w:tc>
          <w:tcPr>
            <w:tcW w:w="963" w:type="pct"/>
            <w:vAlign w:val="center"/>
          </w:tcPr>
          <w:p w14:paraId="0E601DF5" w14:textId="192DEA30" w:rsidR="009D5450" w:rsidRPr="00795F17" w:rsidRDefault="009D5450" w:rsidP="00C031DA">
            <w:pPr>
              <w:pStyle w:val="Teksttabelilewy"/>
            </w:pPr>
            <w:r w:rsidRPr="00795F17">
              <w:t>art. 347 ust. 1 pr.w.</w:t>
            </w:r>
          </w:p>
        </w:tc>
        <w:tc>
          <w:tcPr>
            <w:tcW w:w="1991" w:type="pct"/>
            <w:vAlign w:val="center"/>
            <w:hideMark/>
          </w:tcPr>
          <w:p w14:paraId="1869F548" w14:textId="77777777" w:rsidR="009D5450" w:rsidRPr="00795F17" w:rsidRDefault="009D5450" w:rsidP="00C031DA">
            <w:pPr>
              <w:pStyle w:val="Teksttabelilewy"/>
            </w:pPr>
            <w:r w:rsidRPr="00795F17">
              <w:t>właściwy organ Państwowej Inspekcji Sanitarnej</w:t>
            </w:r>
          </w:p>
        </w:tc>
      </w:tr>
      <w:tr w:rsidR="009D5450" w:rsidRPr="00795F17" w14:paraId="06BC51A7" w14:textId="77777777" w:rsidTr="0005041F">
        <w:trPr>
          <w:trHeight w:val="454"/>
        </w:trPr>
        <w:tc>
          <w:tcPr>
            <w:tcW w:w="259" w:type="pct"/>
            <w:vAlign w:val="center"/>
            <w:hideMark/>
          </w:tcPr>
          <w:p w14:paraId="202574D4" w14:textId="2273C0BD" w:rsidR="009D5450" w:rsidRPr="00795F17" w:rsidRDefault="009D5450" w:rsidP="00C031DA">
            <w:pPr>
              <w:pStyle w:val="Teksttabelilewy"/>
            </w:pPr>
            <w:r w:rsidRPr="00795F17">
              <w:t>2</w:t>
            </w:r>
            <w:r w:rsidR="0005041F" w:rsidRPr="00795F17">
              <w:t>7</w:t>
            </w:r>
            <w:r w:rsidR="008A739A" w:rsidRPr="00795F17">
              <w:t>.</w:t>
            </w:r>
          </w:p>
        </w:tc>
        <w:tc>
          <w:tcPr>
            <w:tcW w:w="1786" w:type="pct"/>
            <w:vAlign w:val="center"/>
            <w:hideMark/>
          </w:tcPr>
          <w:p w14:paraId="57FF99DE" w14:textId="77777777" w:rsidR="009D5450" w:rsidRPr="00795F17" w:rsidRDefault="009D5450" w:rsidP="00AB36EB">
            <w:pPr>
              <w:pStyle w:val="Teksttabelilewy"/>
              <w:ind w:left="57"/>
            </w:pPr>
            <w:r w:rsidRPr="00795F17">
              <w:t>Regulacja możliwości realizacji planów i przedsięwzięć mogących znacząco negatywnie oddziaływać na cele ochrony obszaru Natura 2000 przez zobowiązanie do wykonania kompensacji przyrodniczej niezbędnej do zapewnienia spójności i właściwego funkcjonowania sieci obszarów Natura 2000</w:t>
            </w:r>
          </w:p>
        </w:tc>
        <w:tc>
          <w:tcPr>
            <w:tcW w:w="963" w:type="pct"/>
            <w:vAlign w:val="center"/>
          </w:tcPr>
          <w:p w14:paraId="4870F7A1" w14:textId="59E346D6" w:rsidR="009D5450" w:rsidRPr="00795F17" w:rsidRDefault="009D5450" w:rsidP="00C031DA">
            <w:pPr>
              <w:pStyle w:val="Teksttabelilewy"/>
            </w:pPr>
            <w:r w:rsidRPr="00795F17">
              <w:t>art. 34 u.o.p.</w:t>
            </w:r>
          </w:p>
        </w:tc>
        <w:tc>
          <w:tcPr>
            <w:tcW w:w="1991" w:type="pct"/>
            <w:vAlign w:val="center"/>
            <w:hideMark/>
          </w:tcPr>
          <w:p w14:paraId="30D8C2F7" w14:textId="77777777" w:rsidR="009D5450" w:rsidRPr="00795F17" w:rsidRDefault="009D5450" w:rsidP="00C031DA">
            <w:pPr>
              <w:pStyle w:val="Teksttabelilewy"/>
            </w:pPr>
            <w:r w:rsidRPr="00795F17">
              <w:t>właściwy regionalny dyrektor ochrony środowiska albo dyrektor właściwego urzędu morskiego</w:t>
            </w:r>
          </w:p>
        </w:tc>
      </w:tr>
      <w:tr w:rsidR="009D5450" w:rsidRPr="00795F17" w14:paraId="1EE63293" w14:textId="77777777" w:rsidTr="0005041F">
        <w:trPr>
          <w:trHeight w:val="454"/>
        </w:trPr>
        <w:tc>
          <w:tcPr>
            <w:tcW w:w="259" w:type="pct"/>
            <w:vAlign w:val="center"/>
            <w:hideMark/>
          </w:tcPr>
          <w:p w14:paraId="019537EF" w14:textId="55E2EBD2" w:rsidR="009D5450" w:rsidRPr="00795F17" w:rsidRDefault="009D5450" w:rsidP="00C031DA">
            <w:pPr>
              <w:pStyle w:val="Teksttabelilewy"/>
            </w:pPr>
            <w:r w:rsidRPr="00795F17">
              <w:t>2</w:t>
            </w:r>
            <w:r w:rsidR="0005041F" w:rsidRPr="00795F17">
              <w:t>8</w:t>
            </w:r>
            <w:r w:rsidR="008A739A" w:rsidRPr="00795F17">
              <w:t>.</w:t>
            </w:r>
          </w:p>
        </w:tc>
        <w:tc>
          <w:tcPr>
            <w:tcW w:w="1786" w:type="pct"/>
            <w:vAlign w:val="center"/>
            <w:hideMark/>
          </w:tcPr>
          <w:p w14:paraId="548F6B25" w14:textId="72FEC349" w:rsidR="009D5450" w:rsidRPr="00795F17" w:rsidRDefault="009D5450" w:rsidP="00AB36EB">
            <w:pPr>
              <w:pStyle w:val="Teksttabelilewy"/>
              <w:ind w:left="57"/>
            </w:pPr>
            <w:r w:rsidRPr="00795F17">
              <w:t>Ocena skutków planów i</w:t>
            </w:r>
            <w:r w:rsidR="003B5B73">
              <w:t> </w:t>
            </w:r>
            <w:r w:rsidRPr="00795F17">
              <w:t>programów mogących znacząco negatywnie oddziaływać na cele ochrony obszaru Natura 2000 przy uwzględnieniu obowiązku kompensacji przyrodniczej niezbędnej do zapewnienia spójności i właściwego funkcjonowania sieci obszarów Natura 2000</w:t>
            </w:r>
          </w:p>
        </w:tc>
        <w:tc>
          <w:tcPr>
            <w:tcW w:w="963" w:type="pct"/>
            <w:vAlign w:val="center"/>
          </w:tcPr>
          <w:p w14:paraId="46F12035" w14:textId="117DE51E" w:rsidR="009D5450" w:rsidRPr="00795F17" w:rsidRDefault="009D5450" w:rsidP="00C031DA">
            <w:pPr>
              <w:pStyle w:val="Teksttabelilewy"/>
            </w:pPr>
            <w:r w:rsidRPr="00795F17">
              <w:t xml:space="preserve">art. 46 pkt 2 </w:t>
            </w:r>
            <w:r w:rsidR="005559AB" w:rsidRPr="00795F17">
              <w:t>u.i.o.ś.</w:t>
            </w:r>
            <w:r w:rsidRPr="00795F17">
              <w:t>, art. 34 ust. 1 u.o.p.</w:t>
            </w:r>
          </w:p>
        </w:tc>
        <w:tc>
          <w:tcPr>
            <w:tcW w:w="1991" w:type="pct"/>
            <w:vAlign w:val="center"/>
            <w:hideMark/>
          </w:tcPr>
          <w:p w14:paraId="2B6D65C6" w14:textId="77777777" w:rsidR="009D5450" w:rsidRPr="00795F17" w:rsidRDefault="009D5450" w:rsidP="00C031DA">
            <w:pPr>
              <w:pStyle w:val="Teksttabelilewy"/>
            </w:pPr>
            <w:r w:rsidRPr="00795F17">
              <w:t>organ opracowujący projekt dokumentu</w:t>
            </w:r>
          </w:p>
        </w:tc>
      </w:tr>
      <w:tr w:rsidR="009D5450" w:rsidRPr="00795F17" w14:paraId="756FB3B6" w14:textId="77777777" w:rsidTr="0005041F">
        <w:trPr>
          <w:trHeight w:val="454"/>
        </w:trPr>
        <w:tc>
          <w:tcPr>
            <w:tcW w:w="259" w:type="pct"/>
            <w:vAlign w:val="center"/>
            <w:hideMark/>
          </w:tcPr>
          <w:p w14:paraId="002EFC7C" w14:textId="71FC179F" w:rsidR="009D5450" w:rsidRPr="00795F17" w:rsidRDefault="0005041F" w:rsidP="00C031DA">
            <w:pPr>
              <w:pStyle w:val="Teksttabelilewy"/>
            </w:pPr>
            <w:r w:rsidRPr="00795F17">
              <w:t>29</w:t>
            </w:r>
            <w:r w:rsidR="008A739A" w:rsidRPr="00795F17">
              <w:t>.</w:t>
            </w:r>
          </w:p>
        </w:tc>
        <w:tc>
          <w:tcPr>
            <w:tcW w:w="1786" w:type="pct"/>
            <w:vAlign w:val="center"/>
            <w:hideMark/>
          </w:tcPr>
          <w:p w14:paraId="2598D4AD" w14:textId="77777777" w:rsidR="009D5450" w:rsidRPr="00795F17" w:rsidRDefault="009D5450" w:rsidP="00AB36EB">
            <w:pPr>
              <w:pStyle w:val="Teksttabelilewy"/>
              <w:ind w:left="57"/>
            </w:pPr>
            <w:r w:rsidRPr="00795F17">
              <w:t>Obowiązek właściwego projektowania pomiarów monitoringowych i prowadzenia sprawozdawczości</w:t>
            </w:r>
          </w:p>
        </w:tc>
        <w:tc>
          <w:tcPr>
            <w:tcW w:w="963" w:type="pct"/>
            <w:vAlign w:val="center"/>
          </w:tcPr>
          <w:p w14:paraId="3A413A41" w14:textId="25CB73C9" w:rsidR="009D5450" w:rsidRPr="00795F17" w:rsidRDefault="009D5450" w:rsidP="00C031DA">
            <w:pPr>
              <w:pStyle w:val="Teksttabelilewy"/>
            </w:pPr>
            <w:r w:rsidRPr="00795F17">
              <w:t>art. 349, art 350 pr.w.</w:t>
            </w:r>
          </w:p>
        </w:tc>
        <w:tc>
          <w:tcPr>
            <w:tcW w:w="1991" w:type="pct"/>
            <w:vAlign w:val="center"/>
            <w:hideMark/>
          </w:tcPr>
          <w:p w14:paraId="736499DD" w14:textId="77777777" w:rsidR="009D5450" w:rsidRPr="00795F17" w:rsidRDefault="009D5450" w:rsidP="00C031DA">
            <w:pPr>
              <w:pStyle w:val="Teksttabelilewy"/>
            </w:pPr>
            <w:r w:rsidRPr="00795F17">
              <w:t>państwowa służba hydrogeologiczna, właściwy organ Inspekcji Ochrony Środowiska</w:t>
            </w:r>
          </w:p>
        </w:tc>
      </w:tr>
      <w:tr w:rsidR="009D5450" w:rsidRPr="00795F17" w14:paraId="434BB363" w14:textId="77777777" w:rsidTr="0005041F">
        <w:trPr>
          <w:trHeight w:val="454"/>
        </w:trPr>
        <w:tc>
          <w:tcPr>
            <w:tcW w:w="259" w:type="pct"/>
            <w:vAlign w:val="center"/>
            <w:hideMark/>
          </w:tcPr>
          <w:p w14:paraId="594E33D8" w14:textId="32B6B819" w:rsidR="009D5450" w:rsidRPr="00795F17" w:rsidRDefault="009D5450" w:rsidP="00C031DA">
            <w:pPr>
              <w:pStyle w:val="Teksttabelilewy"/>
            </w:pPr>
            <w:r w:rsidRPr="00795F17">
              <w:t>3</w:t>
            </w:r>
            <w:r w:rsidR="0005041F" w:rsidRPr="00795F17">
              <w:t>0</w:t>
            </w:r>
            <w:r w:rsidR="008A739A" w:rsidRPr="00795F17">
              <w:t>.</w:t>
            </w:r>
          </w:p>
        </w:tc>
        <w:tc>
          <w:tcPr>
            <w:tcW w:w="1786" w:type="pct"/>
            <w:vAlign w:val="center"/>
            <w:hideMark/>
          </w:tcPr>
          <w:p w14:paraId="2827C082" w14:textId="680A28A6" w:rsidR="009D5450" w:rsidRPr="00795F17" w:rsidRDefault="000B2B90" w:rsidP="00AB36EB">
            <w:pPr>
              <w:pStyle w:val="Teksttabelilewy"/>
              <w:ind w:left="57"/>
            </w:pPr>
            <w:r w:rsidRPr="00795F17">
              <w:t>Zapobieganie lub ograniczanie wprowadzania zanieczyszczeń</w:t>
            </w:r>
            <w:r w:rsidR="009D5450" w:rsidRPr="00795F17">
              <w:t xml:space="preserve"> do wód podziemnych</w:t>
            </w:r>
          </w:p>
        </w:tc>
        <w:tc>
          <w:tcPr>
            <w:tcW w:w="963" w:type="pct"/>
            <w:vAlign w:val="center"/>
          </w:tcPr>
          <w:p w14:paraId="1811094E" w14:textId="0925AF3A" w:rsidR="009D5450" w:rsidRPr="00795F17" w:rsidRDefault="009D5450" w:rsidP="00C031DA">
            <w:pPr>
              <w:pStyle w:val="Teksttabelilewy"/>
            </w:pPr>
            <w:r w:rsidRPr="00795F17">
              <w:t>art. 59</w:t>
            </w:r>
            <w:r w:rsidR="005559AB" w:rsidRPr="00795F17">
              <w:t>,</w:t>
            </w:r>
            <w:r w:rsidRPr="00795F17">
              <w:t xml:space="preserve"> art. 132, art. 134 ust. 1, art. 135, art. 141 pr.w.</w:t>
            </w:r>
          </w:p>
        </w:tc>
        <w:tc>
          <w:tcPr>
            <w:tcW w:w="1991" w:type="pct"/>
            <w:vAlign w:val="center"/>
            <w:hideMark/>
          </w:tcPr>
          <w:p w14:paraId="609EB326" w14:textId="5290ED85" w:rsidR="009D5450" w:rsidRPr="00795F17" w:rsidRDefault="009D5450" w:rsidP="00C031DA">
            <w:pPr>
              <w:pStyle w:val="Teksttabelilewy"/>
            </w:pPr>
            <w:r w:rsidRPr="00795F17">
              <w:t xml:space="preserve">minister właściwy ds. gospodarki wodnej, </w:t>
            </w:r>
            <w:r w:rsidR="0028234C" w:rsidRPr="00795F17">
              <w:t>PGW WP</w:t>
            </w:r>
            <w:r w:rsidRPr="00795F17">
              <w:t>, właściwy wojewoda, właściciel ujęcia wody, właściciel gruntu</w:t>
            </w:r>
          </w:p>
        </w:tc>
        <w:bookmarkStart w:id="901" w:name="_Hlk65399436"/>
      </w:tr>
    </w:tbl>
    <w:p w14:paraId="4A2DBD19" w14:textId="4FCC5BCE" w:rsidR="009D5450" w:rsidRPr="00795F17" w:rsidRDefault="009D5450" w:rsidP="0044393D">
      <w:pPr>
        <w:pStyle w:val="rdo"/>
      </w:pPr>
      <w:r w:rsidRPr="00795F17">
        <w:t xml:space="preserve">Źródło: </w:t>
      </w:r>
      <w:r w:rsidR="00FD7248" w:rsidRPr="00795F17">
        <w:t>opracowanie własne</w:t>
      </w:r>
      <w:r w:rsidRPr="00795F17">
        <w:t xml:space="preserve"> na podstawie wykazu GIOŚ</w:t>
      </w:r>
    </w:p>
    <w:bookmarkEnd w:id="901"/>
    <w:p w14:paraId="68B70EA7" w14:textId="2B355838" w:rsidR="009D5450" w:rsidRPr="00795F17" w:rsidRDefault="009D5450" w:rsidP="0044393D">
      <w:r w:rsidRPr="00795F17">
        <w:t>Identyfikacja działań zaplanowanych i zrealizowanych w cyklu planistycznym aPGW, w zakresie ochrony przed skutkami awarii umożliwiła sformułowanie działań na nowy cykl planistyczny. Działania związane z ograniczeniem ryzyka i skutków awarii ze względu na ich losowy charakter dotyczą całego kraju, a w ramach przepisów wykonawczych określają kompetencje organów i służb oraz zadania podmiotów, stąd też stanowią element katalogu krajowego, którego realizacja odnosi się w głównej mierze do obowiązku wypełniania przepisów prawnych oraz planów i programów, wspierających razem możliwość osiągnięcia celów środowiskowych.</w:t>
      </w:r>
    </w:p>
    <w:p w14:paraId="51BA19DF" w14:textId="31ED8C70" w:rsidR="009D5450" w:rsidRPr="00795F17" w:rsidRDefault="009D5450" w:rsidP="0044393D">
      <w:r w:rsidRPr="00795F17">
        <w:t>Działania wskazane w aPWŚK są realizowane zgodnie z wymaganiami określonymi w obowiązujących przepisach obejmujących regulacje w zakresie ochrony przed skutkami niedających się przewidzieć zanieczyszczeń. Działania rekomendowane do prolongowania do nowego cyklu planistycznego oraz</w:t>
      </w:r>
      <w:r w:rsidR="0006089C">
        <w:t> </w:t>
      </w:r>
      <w:r w:rsidRPr="00795F17">
        <w:t xml:space="preserve">propozycje nowych działań </w:t>
      </w:r>
      <w:r w:rsidR="00AB0303">
        <w:t>–</w:t>
      </w:r>
      <w:r w:rsidRPr="00795F17">
        <w:t xml:space="preserve"> przedstawione w tabeli 1</w:t>
      </w:r>
      <w:r w:rsidR="00D435CC" w:rsidRPr="00795F17">
        <w:t>3-</w:t>
      </w:r>
      <w:r w:rsidR="000C28C0" w:rsidRPr="00795F17">
        <w:t>2</w:t>
      </w:r>
      <w:r w:rsidR="008B3355" w:rsidRPr="00795F17">
        <w:t>0 i tabeli 13-23</w:t>
      </w:r>
      <w:r w:rsidRPr="00795F17">
        <w:t>, ujęte zostały w</w:t>
      </w:r>
      <w:r w:rsidR="0000045D">
        <w:t> </w:t>
      </w:r>
      <w:r w:rsidRPr="00795F17">
        <w:t xml:space="preserve">katalogu działań krajowych IIaPGW jako działania ciągłe. Ocena dostępnych instrumentów prawnych, mogących poprawić skuteczność działań ograniczających zagrożenie awariami, wskazuje na możliwość zastosowania dodatkowych zabiegów w ramach kontroli funkcjonowania podmiotów. </w:t>
      </w:r>
    </w:p>
    <w:p w14:paraId="56521955" w14:textId="17C26BFA" w:rsidR="005E5391" w:rsidRPr="00795F17" w:rsidRDefault="00DD1452" w:rsidP="00C53C86">
      <w:pPr>
        <w:pStyle w:val="Nagwek2"/>
      </w:pPr>
      <w:bookmarkStart w:id="902" w:name="_Toc66347833"/>
      <w:bookmarkStart w:id="903" w:name="_Toc105512723"/>
      <w:r w:rsidRPr="00795F17">
        <w:t>Podsumowanie działań, o których mowa w art. 325 ust. 1</w:t>
      </w:r>
      <w:bookmarkEnd w:id="902"/>
      <w:r w:rsidR="00445E5E" w:rsidRPr="00795F17">
        <w:t xml:space="preserve"> ustawy</w:t>
      </w:r>
      <w:r w:rsidR="00AB0303">
        <w:t xml:space="preserve"> –</w:t>
      </w:r>
      <w:r w:rsidR="00445E5E" w:rsidRPr="00795F17">
        <w:t xml:space="preserve"> Prawo wodne</w:t>
      </w:r>
      <w:bookmarkEnd w:id="903"/>
    </w:p>
    <w:p w14:paraId="3DEB1C4D" w14:textId="125CB165" w:rsidR="00AD3B9A" w:rsidRPr="00795F17" w:rsidRDefault="00AD3B9A" w:rsidP="004021A6">
      <w:bookmarkStart w:id="904" w:name="_Toc51050102"/>
      <w:bookmarkStart w:id="905" w:name="_Toc66272289"/>
      <w:r w:rsidRPr="00795F17">
        <w:t>Zgodnie</w:t>
      </w:r>
      <w:r w:rsidR="004021A6" w:rsidRPr="00795F17">
        <w:t xml:space="preserve"> </w:t>
      </w:r>
      <w:r w:rsidRPr="00795F17">
        <w:t>z</w:t>
      </w:r>
      <w:r w:rsidR="004021A6" w:rsidRPr="00795F17">
        <w:t xml:space="preserve"> </w:t>
      </w:r>
      <w:r w:rsidRPr="00795F17">
        <w:t>art.</w:t>
      </w:r>
      <w:r w:rsidR="004021A6" w:rsidRPr="00795F17">
        <w:t xml:space="preserve"> </w:t>
      </w:r>
      <w:r w:rsidRPr="00795F17">
        <w:t>318</w:t>
      </w:r>
      <w:r w:rsidR="004021A6" w:rsidRPr="00795F17">
        <w:t xml:space="preserve"> </w:t>
      </w:r>
      <w:r w:rsidRPr="00795F17">
        <w:t>ust.</w:t>
      </w:r>
      <w:r w:rsidR="004021A6" w:rsidRPr="00795F17">
        <w:t xml:space="preserve"> </w:t>
      </w:r>
      <w:r w:rsidRPr="00795F17">
        <w:t>1</w:t>
      </w:r>
      <w:r w:rsidR="004021A6" w:rsidRPr="00795F17">
        <w:t xml:space="preserve"> </w:t>
      </w:r>
      <w:r w:rsidRPr="00795F17">
        <w:t>pkt</w:t>
      </w:r>
      <w:r w:rsidR="004021A6" w:rsidRPr="00795F17">
        <w:t xml:space="preserve"> </w:t>
      </w:r>
      <w:r w:rsidRPr="00795F17">
        <w:t>15</w:t>
      </w:r>
      <w:r w:rsidR="004021A6" w:rsidRPr="00795F17">
        <w:t xml:space="preserve"> </w:t>
      </w:r>
      <w:r w:rsidRPr="00795F17">
        <w:t>pr.w.</w:t>
      </w:r>
      <w:r w:rsidR="004021A6" w:rsidRPr="00795F17">
        <w:t xml:space="preserve"> </w:t>
      </w:r>
      <w:r w:rsidRPr="00795F17">
        <w:t>oraz</w:t>
      </w:r>
      <w:r w:rsidR="004021A6" w:rsidRPr="00795F17">
        <w:t xml:space="preserve"> </w:t>
      </w:r>
      <w:r w:rsidRPr="00795F17">
        <w:t>§2</w:t>
      </w:r>
      <w:r w:rsidR="004021A6" w:rsidRPr="00795F17">
        <w:t xml:space="preserve"> </w:t>
      </w:r>
      <w:r w:rsidRPr="00795F17">
        <w:t>ust.</w:t>
      </w:r>
      <w:r w:rsidR="004021A6" w:rsidRPr="00795F17">
        <w:t xml:space="preserve"> </w:t>
      </w:r>
      <w:r w:rsidRPr="00795F17">
        <w:t>1</w:t>
      </w:r>
      <w:r w:rsidR="004021A6" w:rsidRPr="00795F17">
        <w:t xml:space="preserve"> </w:t>
      </w:r>
      <w:r w:rsidRPr="00795F17">
        <w:t>pkt</w:t>
      </w:r>
      <w:r w:rsidR="004021A6" w:rsidRPr="00795F17">
        <w:t xml:space="preserve"> </w:t>
      </w:r>
      <w:r w:rsidRPr="00795F17">
        <w:t>21</w:t>
      </w:r>
      <w:r w:rsidR="004021A6" w:rsidRPr="00795F17">
        <w:t xml:space="preserve"> </w:t>
      </w:r>
      <w:r w:rsidRPr="00795F17">
        <w:t>r.p.g.w.</w:t>
      </w:r>
      <w:r w:rsidR="004021A6" w:rsidRPr="00795F17">
        <w:t xml:space="preserve"> </w:t>
      </w:r>
      <w:r w:rsidRPr="00795F17">
        <w:t>plan</w:t>
      </w:r>
      <w:r w:rsidR="004021A6" w:rsidRPr="00795F17">
        <w:t xml:space="preserve"> </w:t>
      </w:r>
      <w:r w:rsidRPr="00795F17">
        <w:t>gospodarowania</w:t>
      </w:r>
      <w:r w:rsidR="004021A6" w:rsidRPr="00795F17">
        <w:t xml:space="preserve"> </w:t>
      </w:r>
      <w:r w:rsidRPr="00795F17">
        <w:t>wodami</w:t>
      </w:r>
      <w:r w:rsidR="004021A6" w:rsidRPr="00795F17">
        <w:t xml:space="preserve"> </w:t>
      </w:r>
      <w:r w:rsidRPr="00795F17">
        <w:t>zawiera</w:t>
      </w:r>
      <w:r w:rsidR="004021A6" w:rsidRPr="00795F17">
        <w:t xml:space="preserve"> </w:t>
      </w:r>
      <w:r w:rsidRPr="00795F17">
        <w:t>informacje</w:t>
      </w:r>
      <w:r w:rsidR="004021A6" w:rsidRPr="00795F17">
        <w:t xml:space="preserve"> </w:t>
      </w:r>
      <w:r w:rsidRPr="00795F17">
        <w:t>dotyczące</w:t>
      </w:r>
      <w:r w:rsidR="004021A6" w:rsidRPr="00795F17">
        <w:t xml:space="preserve"> </w:t>
      </w:r>
      <w:r w:rsidRPr="00795F17">
        <w:t>podsumowania</w:t>
      </w:r>
      <w:r w:rsidR="004021A6" w:rsidRPr="00795F17">
        <w:t xml:space="preserve"> </w:t>
      </w:r>
      <w:r w:rsidRPr="00795F17">
        <w:t>działań,</w:t>
      </w:r>
      <w:r w:rsidR="004021A6" w:rsidRPr="00795F17">
        <w:t xml:space="preserve"> </w:t>
      </w:r>
      <w:r w:rsidRPr="00795F17">
        <w:t>o</w:t>
      </w:r>
      <w:r w:rsidR="004021A6" w:rsidRPr="00795F17">
        <w:t xml:space="preserve"> </w:t>
      </w:r>
      <w:r w:rsidRPr="00795F17">
        <w:t>których</w:t>
      </w:r>
      <w:r w:rsidR="004021A6" w:rsidRPr="00795F17">
        <w:t xml:space="preserve"> </w:t>
      </w:r>
      <w:r w:rsidRPr="00795F17">
        <w:t>mowa</w:t>
      </w:r>
      <w:r w:rsidR="004021A6" w:rsidRPr="00795F17">
        <w:t xml:space="preserve"> </w:t>
      </w:r>
      <w:r w:rsidRPr="00795F17">
        <w:t>w</w:t>
      </w:r>
      <w:r w:rsidR="004021A6" w:rsidRPr="00795F17">
        <w:t xml:space="preserve"> </w:t>
      </w:r>
      <w:r w:rsidRPr="00795F17">
        <w:t>art.</w:t>
      </w:r>
      <w:r w:rsidR="004021A6" w:rsidRPr="00795F17">
        <w:t xml:space="preserve"> </w:t>
      </w:r>
      <w:r w:rsidRPr="00795F17">
        <w:t>325</w:t>
      </w:r>
      <w:r w:rsidR="004021A6" w:rsidRPr="00795F17">
        <w:t xml:space="preserve"> </w:t>
      </w:r>
      <w:r w:rsidRPr="00795F17">
        <w:t>ust.</w:t>
      </w:r>
      <w:r w:rsidR="004021A6" w:rsidRPr="00795F17">
        <w:t xml:space="preserve"> </w:t>
      </w:r>
      <w:r w:rsidRPr="00795F17">
        <w:t>1</w:t>
      </w:r>
      <w:r w:rsidR="004021A6" w:rsidRPr="00795F17">
        <w:t xml:space="preserve"> </w:t>
      </w:r>
      <w:r w:rsidR="0083060B" w:rsidRPr="00795F17">
        <w:t>pr.w.</w:t>
      </w:r>
      <w:r w:rsidR="004021A6" w:rsidRPr="00795F17">
        <w:t xml:space="preserve"> </w:t>
      </w:r>
    </w:p>
    <w:p w14:paraId="7FA996B4" w14:textId="79808948" w:rsidR="00AD3B9A" w:rsidRPr="00795F17" w:rsidRDefault="00AD3B9A" w:rsidP="004021A6">
      <w:r w:rsidRPr="00795F17">
        <w:t>W</w:t>
      </w:r>
      <w:r w:rsidR="004021A6" w:rsidRPr="00795F17">
        <w:t xml:space="preserve"> </w:t>
      </w:r>
      <w:r w:rsidRPr="00795F17">
        <w:t>przypadku,</w:t>
      </w:r>
      <w:r w:rsidR="004021A6" w:rsidRPr="00795F17">
        <w:t xml:space="preserve"> </w:t>
      </w:r>
      <w:r w:rsidRPr="00795F17">
        <w:t>gdy</w:t>
      </w:r>
      <w:r w:rsidR="004021A6" w:rsidRPr="00795F17">
        <w:t xml:space="preserve"> </w:t>
      </w:r>
      <w:r w:rsidRPr="00795F17">
        <w:t>wyniki</w:t>
      </w:r>
      <w:r w:rsidR="004021A6" w:rsidRPr="00795F17">
        <w:t xml:space="preserve"> </w:t>
      </w:r>
      <w:r w:rsidRPr="00795F17">
        <w:t>monitoringu</w:t>
      </w:r>
      <w:r w:rsidR="004021A6" w:rsidRPr="00795F17">
        <w:t xml:space="preserve"> </w:t>
      </w:r>
      <w:r w:rsidRPr="00795F17">
        <w:t>wód</w:t>
      </w:r>
      <w:r w:rsidR="004021A6" w:rsidRPr="00795F17">
        <w:t xml:space="preserve"> </w:t>
      </w:r>
      <w:r w:rsidRPr="00795F17">
        <w:t>lub</w:t>
      </w:r>
      <w:r w:rsidR="004021A6" w:rsidRPr="00795F17">
        <w:t xml:space="preserve"> </w:t>
      </w:r>
      <w:r w:rsidRPr="00795F17">
        <w:t>innych</w:t>
      </w:r>
      <w:r w:rsidR="004021A6" w:rsidRPr="00795F17">
        <w:t xml:space="preserve"> </w:t>
      </w:r>
      <w:r w:rsidRPr="00795F17">
        <w:t>danych</w:t>
      </w:r>
      <w:r w:rsidR="004021A6" w:rsidRPr="00795F17">
        <w:t xml:space="preserve"> </w:t>
      </w:r>
      <w:r w:rsidRPr="00795F17">
        <w:t>wskazują,</w:t>
      </w:r>
      <w:r w:rsidR="004021A6" w:rsidRPr="00795F17">
        <w:t xml:space="preserve"> </w:t>
      </w:r>
      <w:r w:rsidRPr="00795F17">
        <w:t>że</w:t>
      </w:r>
      <w:r w:rsidR="004021A6" w:rsidRPr="00795F17">
        <w:t xml:space="preserve"> </w:t>
      </w:r>
      <w:r w:rsidRPr="00795F17">
        <w:t>jest</w:t>
      </w:r>
      <w:r w:rsidR="004021A6" w:rsidRPr="00795F17">
        <w:t xml:space="preserve"> </w:t>
      </w:r>
      <w:r w:rsidRPr="00795F17">
        <w:t>zagrożone</w:t>
      </w:r>
      <w:r w:rsidR="004021A6" w:rsidRPr="00795F17">
        <w:t xml:space="preserve"> </w:t>
      </w:r>
      <w:r w:rsidRPr="00795F17">
        <w:t>osiągnięcie</w:t>
      </w:r>
      <w:r w:rsidR="004021A6" w:rsidRPr="00795F17">
        <w:t xml:space="preserve"> </w:t>
      </w:r>
      <w:r w:rsidRPr="00795F17">
        <w:t>celów</w:t>
      </w:r>
      <w:r w:rsidR="004021A6" w:rsidRPr="00795F17">
        <w:t xml:space="preserve"> </w:t>
      </w:r>
      <w:r w:rsidRPr="00795F17">
        <w:t>środowiskowych:</w:t>
      </w:r>
      <w:r w:rsidR="004021A6" w:rsidRPr="00795F17">
        <w:t xml:space="preserve"> </w:t>
      </w:r>
    </w:p>
    <w:p w14:paraId="28076457" w14:textId="45706766" w:rsidR="00AD3B9A" w:rsidRPr="00795F17" w:rsidRDefault="00AD3B9A" w:rsidP="005635FD">
      <w:pPr>
        <w:pStyle w:val="Numerowanie"/>
        <w:numPr>
          <w:ilvl w:val="0"/>
          <w:numId w:val="75"/>
        </w:numPr>
      </w:pPr>
      <w:r w:rsidRPr="00795F17">
        <w:t>dokonuje</w:t>
      </w:r>
      <w:r w:rsidR="004021A6" w:rsidRPr="00795F17">
        <w:t xml:space="preserve"> </w:t>
      </w:r>
      <w:r w:rsidRPr="00795F17">
        <w:t>się</w:t>
      </w:r>
      <w:r w:rsidR="004021A6" w:rsidRPr="00795F17">
        <w:t xml:space="preserve"> </w:t>
      </w:r>
      <w:r w:rsidRPr="00795F17">
        <w:t>analizy</w:t>
      </w:r>
      <w:r w:rsidR="004021A6" w:rsidRPr="00795F17">
        <w:t xml:space="preserve"> </w:t>
      </w:r>
      <w:r w:rsidRPr="00795F17">
        <w:t>przyczyn</w:t>
      </w:r>
      <w:r w:rsidR="004021A6" w:rsidRPr="00795F17">
        <w:t xml:space="preserve"> </w:t>
      </w:r>
      <w:r w:rsidRPr="00795F17">
        <w:t>tych</w:t>
      </w:r>
      <w:r w:rsidR="004021A6" w:rsidRPr="00795F17">
        <w:t xml:space="preserve"> </w:t>
      </w:r>
      <w:r w:rsidRPr="00795F17">
        <w:t>zagrożeń</w:t>
      </w:r>
      <w:r w:rsidR="004021A6" w:rsidRPr="00795F17">
        <w:t xml:space="preserve"> </w:t>
      </w:r>
      <w:r w:rsidRPr="00795F17">
        <w:t>i</w:t>
      </w:r>
      <w:r w:rsidR="004021A6" w:rsidRPr="00795F17">
        <w:t xml:space="preserve"> </w:t>
      </w:r>
      <w:r w:rsidRPr="00795F17">
        <w:t>wprowadza</w:t>
      </w:r>
      <w:r w:rsidR="004021A6" w:rsidRPr="00795F17">
        <w:t xml:space="preserve"> </w:t>
      </w:r>
      <w:r w:rsidRPr="00795F17">
        <w:t>do</w:t>
      </w:r>
      <w:r w:rsidR="004021A6" w:rsidRPr="00795F17">
        <w:t xml:space="preserve"> </w:t>
      </w:r>
      <w:r w:rsidRPr="00795F17">
        <w:t>planu</w:t>
      </w:r>
      <w:r w:rsidR="004021A6" w:rsidRPr="00795F17">
        <w:t xml:space="preserve"> </w:t>
      </w:r>
      <w:r w:rsidRPr="00795F17">
        <w:t>gospodarowania</w:t>
      </w:r>
      <w:r w:rsidR="004021A6" w:rsidRPr="00795F17">
        <w:t xml:space="preserve"> </w:t>
      </w:r>
      <w:r w:rsidRPr="00795F17">
        <w:t>wodami</w:t>
      </w:r>
      <w:r w:rsidR="004021A6" w:rsidRPr="00795F17">
        <w:t xml:space="preserve"> </w:t>
      </w:r>
      <w:r w:rsidRPr="00795F17">
        <w:t>na</w:t>
      </w:r>
      <w:r w:rsidR="004021A6" w:rsidRPr="00795F17">
        <w:t xml:space="preserve"> </w:t>
      </w:r>
      <w:r w:rsidRPr="00795F17">
        <w:t>obszarze</w:t>
      </w:r>
      <w:r w:rsidR="004021A6" w:rsidRPr="00795F17">
        <w:t xml:space="preserve"> </w:t>
      </w:r>
      <w:r w:rsidRPr="00795F17">
        <w:t>dorzecza</w:t>
      </w:r>
      <w:r w:rsidR="004021A6" w:rsidRPr="00795F17">
        <w:t xml:space="preserve"> </w:t>
      </w:r>
      <w:r w:rsidRPr="00795F17">
        <w:t>lub</w:t>
      </w:r>
      <w:r w:rsidR="004021A6" w:rsidRPr="00795F17">
        <w:t xml:space="preserve"> </w:t>
      </w:r>
      <w:r w:rsidRPr="00795F17">
        <w:t>jego</w:t>
      </w:r>
      <w:r w:rsidR="004021A6" w:rsidRPr="00795F17">
        <w:t xml:space="preserve"> </w:t>
      </w:r>
      <w:r w:rsidRPr="00795F17">
        <w:t>aktualizacji</w:t>
      </w:r>
      <w:r w:rsidR="004021A6" w:rsidRPr="00795F17">
        <w:t xml:space="preserve"> </w:t>
      </w:r>
      <w:r w:rsidRPr="00795F17">
        <w:t>działania</w:t>
      </w:r>
      <w:r w:rsidR="004021A6" w:rsidRPr="00795F17">
        <w:t xml:space="preserve"> </w:t>
      </w:r>
      <w:r w:rsidRPr="00795F17">
        <w:t>uzupełniające,</w:t>
      </w:r>
      <w:r w:rsidR="004021A6" w:rsidRPr="00795F17">
        <w:t xml:space="preserve"> </w:t>
      </w:r>
      <w:r w:rsidRPr="00795F17">
        <w:t>o</w:t>
      </w:r>
      <w:r w:rsidR="004021A6" w:rsidRPr="00795F17">
        <w:t xml:space="preserve"> </w:t>
      </w:r>
      <w:r w:rsidRPr="00795F17">
        <w:t>których</w:t>
      </w:r>
      <w:r w:rsidR="004021A6" w:rsidRPr="00795F17">
        <w:t xml:space="preserve"> </w:t>
      </w:r>
      <w:r w:rsidRPr="00795F17">
        <w:t>mowa</w:t>
      </w:r>
      <w:r w:rsidR="004021A6" w:rsidRPr="00795F17">
        <w:t xml:space="preserve"> </w:t>
      </w:r>
      <w:r w:rsidRPr="00795F17">
        <w:t>w</w:t>
      </w:r>
      <w:r w:rsidR="004021A6" w:rsidRPr="00795F17">
        <w:t xml:space="preserve"> </w:t>
      </w:r>
      <w:r w:rsidRPr="00795F17">
        <w:t>art.</w:t>
      </w:r>
      <w:r w:rsidR="004021A6" w:rsidRPr="00795F17">
        <w:t xml:space="preserve"> </w:t>
      </w:r>
      <w:r w:rsidRPr="00795F17">
        <w:t>324</w:t>
      </w:r>
      <w:r w:rsidR="004021A6" w:rsidRPr="00795F17">
        <w:t xml:space="preserve"> </w:t>
      </w:r>
      <w:r w:rsidRPr="00795F17">
        <w:t>ust.</w:t>
      </w:r>
      <w:r w:rsidR="004021A6" w:rsidRPr="00795F17">
        <w:t xml:space="preserve"> </w:t>
      </w:r>
      <w:r w:rsidRPr="00795F17">
        <w:t>4</w:t>
      </w:r>
      <w:r w:rsidR="004021A6" w:rsidRPr="00795F17">
        <w:t xml:space="preserve"> </w:t>
      </w:r>
      <w:r w:rsidR="0083060B" w:rsidRPr="00795F17">
        <w:t>pr.w.</w:t>
      </w:r>
      <w:r w:rsidRPr="00795F17">
        <w:t>,</w:t>
      </w:r>
      <w:r w:rsidR="004021A6" w:rsidRPr="00795F17">
        <w:t xml:space="preserve"> </w:t>
      </w:r>
      <w:r w:rsidRPr="00795F17">
        <w:t>w</w:t>
      </w:r>
      <w:r w:rsidR="004021A6" w:rsidRPr="00795F17">
        <w:t xml:space="preserve"> </w:t>
      </w:r>
      <w:r w:rsidRPr="00795F17">
        <w:t>tym,</w:t>
      </w:r>
      <w:r w:rsidR="004021A6" w:rsidRPr="00795F17">
        <w:t xml:space="preserve"> </w:t>
      </w:r>
      <w:r w:rsidRPr="00795F17">
        <w:t>jeżeli</w:t>
      </w:r>
      <w:r w:rsidR="004021A6" w:rsidRPr="00795F17">
        <w:t xml:space="preserve"> </w:t>
      </w:r>
      <w:r w:rsidRPr="00795F17">
        <w:t>jest</w:t>
      </w:r>
      <w:r w:rsidR="004021A6" w:rsidRPr="00795F17">
        <w:t xml:space="preserve"> </w:t>
      </w:r>
      <w:r w:rsidRPr="00795F17">
        <w:t>to</w:t>
      </w:r>
      <w:r w:rsidR="004021A6" w:rsidRPr="00795F17">
        <w:t xml:space="preserve"> </w:t>
      </w:r>
      <w:r w:rsidRPr="00795F17">
        <w:t>uzasadnione,</w:t>
      </w:r>
      <w:r w:rsidR="004021A6" w:rsidRPr="00795F17">
        <w:t xml:space="preserve"> </w:t>
      </w:r>
      <w:r w:rsidRPr="00795F17">
        <w:t>ustala</w:t>
      </w:r>
      <w:r w:rsidR="004021A6" w:rsidRPr="00795F17">
        <w:t xml:space="preserve"> </w:t>
      </w:r>
      <w:r w:rsidRPr="00795F17">
        <w:t>się</w:t>
      </w:r>
      <w:r w:rsidR="004021A6" w:rsidRPr="00795F17">
        <w:t xml:space="preserve"> </w:t>
      </w:r>
      <w:r w:rsidRPr="00795F17">
        <w:t>bardziej</w:t>
      </w:r>
      <w:r w:rsidR="004021A6" w:rsidRPr="00795F17">
        <w:t xml:space="preserve"> </w:t>
      </w:r>
      <w:r w:rsidRPr="00795F17">
        <w:t>restrykcyjne</w:t>
      </w:r>
      <w:r w:rsidR="004021A6" w:rsidRPr="00795F17">
        <w:t xml:space="preserve"> </w:t>
      </w:r>
      <w:r w:rsidRPr="00795F17">
        <w:t>środowiskowe</w:t>
      </w:r>
      <w:r w:rsidR="004021A6" w:rsidRPr="00795F17">
        <w:t xml:space="preserve"> </w:t>
      </w:r>
      <w:r w:rsidRPr="00795F17">
        <w:t>normy</w:t>
      </w:r>
      <w:r w:rsidR="004021A6" w:rsidRPr="00795F17">
        <w:t xml:space="preserve"> </w:t>
      </w:r>
      <w:r w:rsidRPr="00795F17">
        <w:t>jakości;</w:t>
      </w:r>
      <w:r w:rsidR="004021A6" w:rsidRPr="00795F17">
        <w:t xml:space="preserve"> </w:t>
      </w:r>
      <w:r w:rsidRPr="00795F17">
        <w:t>W</w:t>
      </w:r>
      <w:r w:rsidR="004021A6" w:rsidRPr="00795F17">
        <w:t xml:space="preserve"> </w:t>
      </w:r>
      <w:r w:rsidRPr="00795F17">
        <w:t>takim</w:t>
      </w:r>
      <w:r w:rsidR="004021A6" w:rsidRPr="00795F17">
        <w:t xml:space="preserve"> </w:t>
      </w:r>
      <w:r w:rsidRPr="00795F17">
        <w:t>przypadku,</w:t>
      </w:r>
      <w:r w:rsidR="004021A6" w:rsidRPr="00795F17">
        <w:t xml:space="preserve"> </w:t>
      </w:r>
      <w:r w:rsidRPr="00795F17">
        <w:t>zgodnie</w:t>
      </w:r>
      <w:r w:rsidR="004021A6" w:rsidRPr="00795F17">
        <w:t xml:space="preserve"> </w:t>
      </w:r>
      <w:r w:rsidRPr="00795F17">
        <w:t>z</w:t>
      </w:r>
      <w:r w:rsidR="004021A6" w:rsidRPr="00795F17">
        <w:t xml:space="preserve"> </w:t>
      </w:r>
      <w:r w:rsidRPr="00795F17">
        <w:t>art.</w:t>
      </w:r>
      <w:r w:rsidR="004021A6" w:rsidRPr="00795F17">
        <w:t xml:space="preserve"> </w:t>
      </w:r>
      <w:r w:rsidRPr="00795F17">
        <w:t>325</w:t>
      </w:r>
      <w:r w:rsidR="004021A6" w:rsidRPr="00795F17">
        <w:t xml:space="preserve"> </w:t>
      </w:r>
      <w:r w:rsidRPr="00795F17">
        <w:t>ust.</w:t>
      </w:r>
      <w:r w:rsidR="004021A6" w:rsidRPr="00795F17">
        <w:t xml:space="preserve"> </w:t>
      </w:r>
      <w:r w:rsidRPr="00795F17">
        <w:t>3</w:t>
      </w:r>
      <w:r w:rsidR="004021A6" w:rsidRPr="00795F17">
        <w:t xml:space="preserve"> </w:t>
      </w:r>
      <w:r w:rsidRPr="00795F17">
        <w:t>pr.w.</w:t>
      </w:r>
      <w:r w:rsidRPr="00795F17">
        <w:rPr>
          <w:rFonts w:ascii="Times New Roman" w:hAnsi="Times New Roman"/>
          <w:i/>
          <w:iCs/>
          <w:sz w:val="24"/>
          <w:szCs w:val="24"/>
        </w:rPr>
        <w:t>,</w:t>
      </w:r>
      <w:r w:rsidR="004021A6" w:rsidRPr="00795F17">
        <w:t xml:space="preserve"> </w:t>
      </w:r>
      <w:r w:rsidRPr="00795F17">
        <w:t>minister</w:t>
      </w:r>
      <w:r w:rsidR="004021A6" w:rsidRPr="00795F17">
        <w:t xml:space="preserve"> </w:t>
      </w:r>
      <w:r w:rsidRPr="00795F17">
        <w:t>właściwy</w:t>
      </w:r>
      <w:r w:rsidR="004021A6" w:rsidRPr="00795F17">
        <w:t xml:space="preserve"> </w:t>
      </w:r>
      <w:r w:rsidRPr="00795F17">
        <w:t>do</w:t>
      </w:r>
      <w:r w:rsidR="00DA4F98">
        <w:t> </w:t>
      </w:r>
      <w:r w:rsidRPr="00795F17">
        <w:t>spraw</w:t>
      </w:r>
      <w:r w:rsidR="004021A6" w:rsidRPr="00795F17">
        <w:t xml:space="preserve"> </w:t>
      </w:r>
      <w:r w:rsidRPr="00795F17">
        <w:t>gospodarki</w:t>
      </w:r>
      <w:r w:rsidR="004021A6" w:rsidRPr="00795F17">
        <w:t xml:space="preserve"> </w:t>
      </w:r>
      <w:r w:rsidRPr="00795F17">
        <w:t>wodnej</w:t>
      </w:r>
      <w:r w:rsidR="004021A6" w:rsidRPr="00795F17">
        <w:t xml:space="preserve"> </w:t>
      </w:r>
      <w:r w:rsidRPr="00795F17">
        <w:t>dokonuje</w:t>
      </w:r>
      <w:r w:rsidR="004021A6" w:rsidRPr="00795F17">
        <w:t xml:space="preserve"> </w:t>
      </w:r>
      <w:r w:rsidRPr="00795F17">
        <w:t>analizy</w:t>
      </w:r>
      <w:r w:rsidR="004021A6" w:rsidRPr="00795F17">
        <w:t xml:space="preserve"> </w:t>
      </w:r>
      <w:r w:rsidRPr="00795F17">
        <w:t>przyczyny</w:t>
      </w:r>
      <w:r w:rsidR="004021A6" w:rsidRPr="00795F17">
        <w:t xml:space="preserve"> </w:t>
      </w:r>
      <w:r w:rsidRPr="00795F17">
        <w:t>zagrożeń</w:t>
      </w:r>
      <w:r w:rsidR="004021A6" w:rsidRPr="00795F17">
        <w:t xml:space="preserve"> </w:t>
      </w:r>
      <w:r w:rsidRPr="00795F17">
        <w:t>i</w:t>
      </w:r>
      <w:r w:rsidR="004021A6" w:rsidRPr="00795F17">
        <w:t xml:space="preserve"> </w:t>
      </w:r>
      <w:r w:rsidRPr="00795F17">
        <w:t>wprowadza</w:t>
      </w:r>
      <w:r w:rsidR="004021A6" w:rsidRPr="00795F17">
        <w:t xml:space="preserve"> </w:t>
      </w:r>
      <w:r w:rsidRPr="00795F17">
        <w:t>do</w:t>
      </w:r>
      <w:r w:rsidR="004021A6" w:rsidRPr="00795F17">
        <w:t xml:space="preserve"> </w:t>
      </w:r>
      <w:r w:rsidRPr="00795F17">
        <w:t>planu</w:t>
      </w:r>
      <w:r w:rsidR="004021A6" w:rsidRPr="00795F17">
        <w:t xml:space="preserve"> </w:t>
      </w:r>
      <w:r w:rsidRPr="00795F17">
        <w:t>gospodarowania</w:t>
      </w:r>
      <w:r w:rsidR="004021A6" w:rsidRPr="00795F17">
        <w:t xml:space="preserve"> </w:t>
      </w:r>
      <w:r w:rsidRPr="00795F17">
        <w:t>wodami</w:t>
      </w:r>
      <w:r w:rsidR="004021A6" w:rsidRPr="00795F17">
        <w:t xml:space="preserve"> </w:t>
      </w:r>
      <w:r w:rsidRPr="00795F17">
        <w:t>na</w:t>
      </w:r>
      <w:r w:rsidR="004021A6" w:rsidRPr="00795F17">
        <w:t xml:space="preserve"> </w:t>
      </w:r>
      <w:r w:rsidRPr="00795F17">
        <w:t>obszarze</w:t>
      </w:r>
      <w:r w:rsidR="004021A6" w:rsidRPr="00795F17">
        <w:t xml:space="preserve"> </w:t>
      </w:r>
      <w:r w:rsidRPr="00795F17">
        <w:t>dorzecza</w:t>
      </w:r>
      <w:r w:rsidR="004021A6" w:rsidRPr="00795F17">
        <w:t xml:space="preserve"> </w:t>
      </w:r>
      <w:r w:rsidRPr="00795F17">
        <w:t>lub</w:t>
      </w:r>
      <w:r w:rsidR="004021A6" w:rsidRPr="00795F17">
        <w:t xml:space="preserve"> </w:t>
      </w:r>
      <w:r w:rsidRPr="00795F17">
        <w:t>jego</w:t>
      </w:r>
      <w:r w:rsidR="004021A6" w:rsidRPr="00795F17">
        <w:t xml:space="preserve"> </w:t>
      </w:r>
      <w:r w:rsidRPr="00795F17">
        <w:t>aktualizacji</w:t>
      </w:r>
      <w:r w:rsidR="004021A6" w:rsidRPr="00795F17">
        <w:t xml:space="preserve"> </w:t>
      </w:r>
      <w:r w:rsidRPr="00795F17">
        <w:t>działania</w:t>
      </w:r>
      <w:r w:rsidR="004021A6" w:rsidRPr="00795F17">
        <w:t xml:space="preserve"> </w:t>
      </w:r>
      <w:r w:rsidRPr="00795F17">
        <w:t>uzupełniające;</w:t>
      </w:r>
      <w:r w:rsidR="004021A6" w:rsidRPr="00795F17">
        <w:t xml:space="preserve"> </w:t>
      </w:r>
    </w:p>
    <w:p w14:paraId="3EA11547" w14:textId="0F56AD06" w:rsidR="00AD3B9A" w:rsidRPr="00795F17" w:rsidRDefault="00AD3B9A" w:rsidP="005635FD">
      <w:pPr>
        <w:pStyle w:val="Numerowanie"/>
        <w:numPr>
          <w:ilvl w:val="0"/>
          <w:numId w:val="75"/>
        </w:numPr>
      </w:pPr>
      <w:r w:rsidRPr="00795F17">
        <w:t>dokonuje</w:t>
      </w:r>
      <w:r w:rsidR="004021A6" w:rsidRPr="00795F17">
        <w:t xml:space="preserve"> </w:t>
      </w:r>
      <w:r w:rsidRPr="00795F17">
        <w:t>się</w:t>
      </w:r>
      <w:r w:rsidR="004021A6" w:rsidRPr="00795F17">
        <w:t xml:space="preserve"> </w:t>
      </w:r>
      <w:r w:rsidRPr="00795F17">
        <w:t>dodatkowego</w:t>
      </w:r>
      <w:r w:rsidR="004021A6" w:rsidRPr="00795F17">
        <w:t xml:space="preserve"> </w:t>
      </w:r>
      <w:r w:rsidRPr="00795F17">
        <w:t>przeglądu</w:t>
      </w:r>
      <w:r w:rsidR="004021A6" w:rsidRPr="00795F17">
        <w:t xml:space="preserve"> </w:t>
      </w:r>
      <w:r w:rsidRPr="00795F17">
        <w:t>udzielonych</w:t>
      </w:r>
      <w:r w:rsidR="004021A6" w:rsidRPr="00795F17">
        <w:t xml:space="preserve"> </w:t>
      </w:r>
      <w:r w:rsidRPr="00795F17">
        <w:t>pozwoleń</w:t>
      </w:r>
      <w:r w:rsidR="004021A6" w:rsidRPr="00795F17">
        <w:t xml:space="preserve"> </w:t>
      </w:r>
      <w:r w:rsidRPr="00795F17">
        <w:t>wodnoprawnych;</w:t>
      </w:r>
      <w:r w:rsidR="004021A6" w:rsidRPr="00795F17">
        <w:t xml:space="preserve"> </w:t>
      </w:r>
    </w:p>
    <w:p w14:paraId="44BA1D0F" w14:textId="14107EDD" w:rsidR="00AD3B9A" w:rsidRPr="00795F17" w:rsidRDefault="00AD3B9A" w:rsidP="005635FD">
      <w:pPr>
        <w:pStyle w:val="Numerowanie"/>
        <w:numPr>
          <w:ilvl w:val="0"/>
          <w:numId w:val="75"/>
        </w:numPr>
      </w:pPr>
      <w:r w:rsidRPr="00795F17">
        <w:t>poddaje</w:t>
      </w:r>
      <w:r w:rsidR="004021A6" w:rsidRPr="00795F17">
        <w:t xml:space="preserve"> </w:t>
      </w:r>
      <w:r w:rsidRPr="00795F17">
        <w:t>się</w:t>
      </w:r>
      <w:r w:rsidR="004021A6" w:rsidRPr="00795F17">
        <w:t xml:space="preserve"> </w:t>
      </w:r>
      <w:r w:rsidRPr="00795F17">
        <w:t>przeglądowi</w:t>
      </w:r>
      <w:r w:rsidR="004021A6" w:rsidRPr="00795F17">
        <w:t xml:space="preserve"> </w:t>
      </w:r>
      <w:r w:rsidRPr="00795F17">
        <w:t>programy</w:t>
      </w:r>
      <w:r w:rsidR="004021A6" w:rsidRPr="00795F17">
        <w:t xml:space="preserve"> </w:t>
      </w:r>
      <w:r w:rsidRPr="00795F17">
        <w:t>monitoringu</w:t>
      </w:r>
      <w:r w:rsidR="004021A6" w:rsidRPr="00795F17">
        <w:t xml:space="preserve"> </w:t>
      </w:r>
      <w:r w:rsidRPr="00795F17">
        <w:t>wód</w:t>
      </w:r>
      <w:r w:rsidR="004021A6" w:rsidRPr="00795F17">
        <w:t xml:space="preserve"> </w:t>
      </w:r>
      <w:r w:rsidRPr="00795F17">
        <w:t>i</w:t>
      </w:r>
      <w:r w:rsidR="004021A6" w:rsidRPr="00795F17">
        <w:t xml:space="preserve"> </w:t>
      </w:r>
      <w:r w:rsidRPr="00795F17">
        <w:t>w</w:t>
      </w:r>
      <w:r w:rsidR="004021A6" w:rsidRPr="00795F17">
        <w:t xml:space="preserve"> </w:t>
      </w:r>
      <w:r w:rsidRPr="00795F17">
        <w:t>razie</w:t>
      </w:r>
      <w:r w:rsidR="004021A6" w:rsidRPr="00795F17">
        <w:t xml:space="preserve"> </w:t>
      </w:r>
      <w:r w:rsidRPr="00795F17">
        <w:t>potrzeby</w:t>
      </w:r>
      <w:r w:rsidR="004021A6" w:rsidRPr="00795F17">
        <w:t xml:space="preserve"> </w:t>
      </w:r>
      <w:r w:rsidRPr="00795F17">
        <w:t>właściwie</w:t>
      </w:r>
      <w:r w:rsidR="004021A6" w:rsidRPr="00795F17">
        <w:t xml:space="preserve"> </w:t>
      </w:r>
      <w:r w:rsidRPr="00795F17">
        <w:t>je</w:t>
      </w:r>
      <w:r w:rsidR="004021A6" w:rsidRPr="00795F17">
        <w:t xml:space="preserve"> </w:t>
      </w:r>
      <w:r w:rsidRPr="00795F17">
        <w:t>dostosowuje</w:t>
      </w:r>
      <w:r w:rsidR="004021A6" w:rsidRPr="00795F17">
        <w:t xml:space="preserve"> </w:t>
      </w:r>
      <w:r w:rsidRPr="00795F17">
        <w:t>w</w:t>
      </w:r>
      <w:r w:rsidR="004021A6" w:rsidRPr="00795F17">
        <w:t xml:space="preserve"> </w:t>
      </w:r>
      <w:r w:rsidRPr="00795F17">
        <w:t>celu</w:t>
      </w:r>
      <w:r w:rsidR="004021A6" w:rsidRPr="00795F17">
        <w:t xml:space="preserve"> </w:t>
      </w:r>
      <w:r w:rsidRPr="00795F17">
        <w:t>zapewnienia</w:t>
      </w:r>
      <w:r w:rsidR="004021A6" w:rsidRPr="00795F17">
        <w:t xml:space="preserve"> </w:t>
      </w:r>
      <w:r w:rsidRPr="00795F17">
        <w:t>osiągnięcia</w:t>
      </w:r>
      <w:r w:rsidR="004021A6" w:rsidRPr="00795F17">
        <w:t xml:space="preserve"> </w:t>
      </w:r>
      <w:r w:rsidRPr="00795F17">
        <w:t>celów</w:t>
      </w:r>
      <w:r w:rsidR="004021A6" w:rsidRPr="00795F17">
        <w:t xml:space="preserve"> </w:t>
      </w:r>
      <w:r w:rsidRPr="00795F17">
        <w:t>środowiskowych.</w:t>
      </w:r>
      <w:r w:rsidR="004021A6" w:rsidRPr="00795F17">
        <w:t xml:space="preserve"> </w:t>
      </w:r>
    </w:p>
    <w:p w14:paraId="32F9A13E" w14:textId="7EE2747C" w:rsidR="00AD3B9A" w:rsidRPr="00795F17" w:rsidRDefault="00AD3B9A" w:rsidP="0044393D">
      <w:pPr>
        <w:rPr>
          <w:rFonts w:ascii="Segoe UI" w:hAnsi="Segoe UI" w:cs="Segoe UI"/>
          <w:sz w:val="18"/>
          <w:szCs w:val="18"/>
          <w:lang w:eastAsia="pl-PL"/>
        </w:rPr>
      </w:pPr>
      <w:r w:rsidRPr="00795F17">
        <w:rPr>
          <w:lang w:eastAsia="pl-PL"/>
        </w:rPr>
        <w:t>Jednocześnie</w:t>
      </w:r>
      <w:r w:rsidR="004021A6" w:rsidRPr="00795F17">
        <w:rPr>
          <w:lang w:eastAsia="pl-PL"/>
        </w:rPr>
        <w:t xml:space="preserve"> </w:t>
      </w:r>
      <w:r w:rsidRPr="00795F17">
        <w:rPr>
          <w:lang w:eastAsia="pl-PL"/>
        </w:rPr>
        <w:t>zgodnie</w:t>
      </w:r>
      <w:r w:rsidR="004021A6" w:rsidRPr="00795F17">
        <w:rPr>
          <w:lang w:eastAsia="pl-PL"/>
        </w:rPr>
        <w:t xml:space="preserve"> </w:t>
      </w:r>
      <w:r w:rsidRPr="00795F17">
        <w:rPr>
          <w:lang w:eastAsia="pl-PL"/>
        </w:rPr>
        <w:t>z</w:t>
      </w:r>
      <w:r w:rsidR="004021A6" w:rsidRPr="00795F17">
        <w:rPr>
          <w:lang w:eastAsia="pl-PL"/>
        </w:rPr>
        <w:t xml:space="preserve"> </w:t>
      </w:r>
      <w:r w:rsidRPr="00795F17">
        <w:rPr>
          <w:lang w:eastAsia="pl-PL"/>
        </w:rPr>
        <w:t>art.</w:t>
      </w:r>
      <w:r w:rsidR="004021A6" w:rsidRPr="00795F17">
        <w:rPr>
          <w:lang w:eastAsia="pl-PL"/>
        </w:rPr>
        <w:t xml:space="preserve"> </w:t>
      </w:r>
      <w:r w:rsidRPr="00795F17">
        <w:rPr>
          <w:lang w:eastAsia="pl-PL"/>
        </w:rPr>
        <w:t>416</w:t>
      </w:r>
      <w:r w:rsidR="004021A6" w:rsidRPr="00795F17">
        <w:rPr>
          <w:lang w:eastAsia="pl-PL"/>
        </w:rPr>
        <w:t xml:space="preserve"> </w:t>
      </w:r>
      <w:r w:rsidRPr="00795F17">
        <w:rPr>
          <w:lang w:eastAsia="pl-PL"/>
        </w:rPr>
        <w:t>ust.</w:t>
      </w:r>
      <w:r w:rsidR="004021A6" w:rsidRPr="00795F17">
        <w:rPr>
          <w:lang w:eastAsia="pl-PL"/>
        </w:rPr>
        <w:t xml:space="preserve"> </w:t>
      </w:r>
      <w:r w:rsidRPr="00795F17">
        <w:rPr>
          <w:lang w:eastAsia="pl-PL"/>
        </w:rPr>
        <w:t>2</w:t>
      </w:r>
      <w:r w:rsidR="004021A6" w:rsidRPr="00795F17">
        <w:rPr>
          <w:lang w:eastAsia="pl-PL"/>
        </w:rPr>
        <w:t xml:space="preserve"> </w:t>
      </w:r>
      <w:r w:rsidRPr="00795F17">
        <w:rPr>
          <w:lang w:eastAsia="pl-PL"/>
        </w:rPr>
        <w:t>pr.w.,</w:t>
      </w:r>
      <w:r w:rsidR="004021A6" w:rsidRPr="00795F17">
        <w:rPr>
          <w:lang w:eastAsia="pl-PL"/>
        </w:rPr>
        <w:t xml:space="preserve"> </w:t>
      </w:r>
      <w:r w:rsidRPr="00795F17">
        <w:rPr>
          <w:lang w:eastAsia="pl-PL"/>
        </w:rPr>
        <w:t>jeżeli</w:t>
      </w:r>
      <w:r w:rsidR="004021A6" w:rsidRPr="00795F17">
        <w:rPr>
          <w:lang w:eastAsia="pl-PL"/>
        </w:rPr>
        <w:t xml:space="preserve"> </w:t>
      </w:r>
      <w:r w:rsidRPr="00795F17">
        <w:rPr>
          <w:lang w:eastAsia="pl-PL"/>
        </w:rPr>
        <w:t>na</w:t>
      </w:r>
      <w:r w:rsidR="004021A6" w:rsidRPr="00795F17">
        <w:rPr>
          <w:lang w:eastAsia="pl-PL"/>
        </w:rPr>
        <w:t xml:space="preserve"> </w:t>
      </w:r>
      <w:r w:rsidRPr="00795F17">
        <w:rPr>
          <w:lang w:eastAsia="pl-PL"/>
        </w:rPr>
        <w:t>podstawie</w:t>
      </w:r>
      <w:r w:rsidR="004021A6" w:rsidRPr="00795F17">
        <w:rPr>
          <w:lang w:eastAsia="pl-PL"/>
        </w:rPr>
        <w:t xml:space="preserve"> </w:t>
      </w:r>
      <w:r w:rsidRPr="00795F17">
        <w:rPr>
          <w:lang w:eastAsia="pl-PL"/>
        </w:rPr>
        <w:t>wyników</w:t>
      </w:r>
      <w:r w:rsidR="004021A6" w:rsidRPr="00795F17">
        <w:rPr>
          <w:lang w:eastAsia="pl-PL"/>
        </w:rPr>
        <w:t xml:space="preserve"> </w:t>
      </w:r>
      <w:r w:rsidRPr="00795F17">
        <w:rPr>
          <w:lang w:eastAsia="pl-PL"/>
        </w:rPr>
        <w:t>monitoringu</w:t>
      </w:r>
      <w:r w:rsidR="004021A6" w:rsidRPr="00795F17">
        <w:rPr>
          <w:lang w:eastAsia="pl-PL"/>
        </w:rPr>
        <w:t xml:space="preserve"> </w:t>
      </w:r>
      <w:r w:rsidRPr="00795F17">
        <w:rPr>
          <w:lang w:eastAsia="pl-PL"/>
        </w:rPr>
        <w:t>wód</w:t>
      </w:r>
      <w:r w:rsidR="004021A6" w:rsidRPr="00795F17">
        <w:rPr>
          <w:lang w:eastAsia="pl-PL"/>
        </w:rPr>
        <w:t xml:space="preserve"> </w:t>
      </w:r>
      <w:r w:rsidRPr="00795F17">
        <w:rPr>
          <w:lang w:eastAsia="pl-PL"/>
        </w:rPr>
        <w:t>lub</w:t>
      </w:r>
      <w:r w:rsidR="00DA4F98">
        <w:rPr>
          <w:lang w:eastAsia="pl-PL"/>
        </w:rPr>
        <w:t> </w:t>
      </w:r>
      <w:r w:rsidRPr="00795F17">
        <w:rPr>
          <w:lang w:eastAsia="pl-PL"/>
        </w:rPr>
        <w:t>innych</w:t>
      </w:r>
      <w:r w:rsidR="004021A6" w:rsidRPr="00795F17">
        <w:rPr>
          <w:lang w:eastAsia="pl-PL"/>
        </w:rPr>
        <w:t xml:space="preserve"> </w:t>
      </w:r>
      <w:r w:rsidRPr="00795F17">
        <w:rPr>
          <w:lang w:eastAsia="pl-PL"/>
        </w:rPr>
        <w:t>danych</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tym</w:t>
      </w:r>
      <w:r w:rsidR="004021A6" w:rsidRPr="00795F17">
        <w:rPr>
          <w:lang w:eastAsia="pl-PL"/>
        </w:rPr>
        <w:t xml:space="preserve"> </w:t>
      </w:r>
      <w:r w:rsidRPr="00795F17">
        <w:rPr>
          <w:lang w:eastAsia="pl-PL"/>
        </w:rPr>
        <w:t>danych</w:t>
      </w:r>
      <w:r w:rsidR="004021A6" w:rsidRPr="00795F17">
        <w:rPr>
          <w:lang w:eastAsia="pl-PL"/>
        </w:rPr>
        <w:t xml:space="preserve"> </w:t>
      </w:r>
      <w:r w:rsidRPr="00795F17">
        <w:rPr>
          <w:lang w:eastAsia="pl-PL"/>
        </w:rPr>
        <w:t>uzyskanych</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toku</w:t>
      </w:r>
      <w:r w:rsidR="004021A6" w:rsidRPr="00795F17">
        <w:rPr>
          <w:lang w:eastAsia="pl-PL"/>
        </w:rPr>
        <w:t xml:space="preserve"> </w:t>
      </w:r>
      <w:r w:rsidRPr="00795F17">
        <w:rPr>
          <w:lang w:eastAsia="pl-PL"/>
        </w:rPr>
        <w:t>opracowywania</w:t>
      </w:r>
      <w:r w:rsidR="004021A6" w:rsidRPr="00795F17">
        <w:rPr>
          <w:lang w:eastAsia="pl-PL"/>
        </w:rPr>
        <w:t xml:space="preserve"> </w:t>
      </w:r>
      <w:r w:rsidRPr="00795F17">
        <w:rPr>
          <w:lang w:eastAsia="pl-PL"/>
        </w:rPr>
        <w:t>projektu</w:t>
      </w:r>
      <w:r w:rsidR="004021A6" w:rsidRPr="00795F17">
        <w:rPr>
          <w:lang w:eastAsia="pl-PL"/>
        </w:rPr>
        <w:t xml:space="preserve"> </w:t>
      </w:r>
      <w:r w:rsidRPr="00795F17">
        <w:rPr>
          <w:lang w:eastAsia="pl-PL"/>
        </w:rPr>
        <w:t>planu</w:t>
      </w:r>
      <w:r w:rsidR="004021A6" w:rsidRPr="00795F17">
        <w:rPr>
          <w:lang w:eastAsia="pl-PL"/>
        </w:rPr>
        <w:t xml:space="preserve"> </w:t>
      </w:r>
      <w:r w:rsidRPr="00795F17">
        <w:rPr>
          <w:lang w:eastAsia="pl-PL"/>
        </w:rPr>
        <w:t>gospodarowania</w:t>
      </w:r>
      <w:r w:rsidR="004021A6" w:rsidRPr="00795F17">
        <w:rPr>
          <w:lang w:eastAsia="pl-PL"/>
        </w:rPr>
        <w:t xml:space="preserve"> </w:t>
      </w:r>
      <w:r w:rsidRPr="00795F17">
        <w:rPr>
          <w:lang w:eastAsia="pl-PL"/>
        </w:rPr>
        <w:t>wodami</w:t>
      </w:r>
      <w:r w:rsidR="004021A6" w:rsidRPr="00795F17">
        <w:rPr>
          <w:lang w:eastAsia="pl-PL"/>
        </w:rPr>
        <w:t xml:space="preserve"> </w:t>
      </w:r>
      <w:r w:rsidRPr="00795F17">
        <w:rPr>
          <w:lang w:eastAsia="pl-PL"/>
        </w:rPr>
        <w:t>na</w:t>
      </w:r>
      <w:r w:rsidR="004021A6" w:rsidRPr="00795F17">
        <w:rPr>
          <w:lang w:eastAsia="pl-PL"/>
        </w:rPr>
        <w:t xml:space="preserve"> </w:t>
      </w:r>
      <w:r w:rsidRPr="00795F17">
        <w:rPr>
          <w:lang w:eastAsia="pl-PL"/>
        </w:rPr>
        <w:t>obszarze</w:t>
      </w:r>
      <w:r w:rsidR="004021A6" w:rsidRPr="00795F17">
        <w:rPr>
          <w:lang w:eastAsia="pl-PL"/>
        </w:rPr>
        <w:t xml:space="preserve"> </w:t>
      </w:r>
      <w:r w:rsidRPr="00795F17">
        <w:rPr>
          <w:lang w:eastAsia="pl-PL"/>
        </w:rPr>
        <w:t>dorzecza</w:t>
      </w:r>
      <w:r w:rsidR="004021A6" w:rsidRPr="00795F17">
        <w:rPr>
          <w:lang w:eastAsia="pl-PL"/>
        </w:rPr>
        <w:t xml:space="preserve"> </w:t>
      </w:r>
      <w:r w:rsidRPr="00795F17">
        <w:rPr>
          <w:lang w:eastAsia="pl-PL"/>
        </w:rPr>
        <w:t>lub</w:t>
      </w:r>
      <w:r w:rsidR="004021A6" w:rsidRPr="00795F17">
        <w:rPr>
          <w:lang w:eastAsia="pl-PL"/>
        </w:rPr>
        <w:t xml:space="preserve"> </w:t>
      </w:r>
      <w:r w:rsidRPr="00795F17">
        <w:rPr>
          <w:lang w:eastAsia="pl-PL"/>
        </w:rPr>
        <w:t>jego</w:t>
      </w:r>
      <w:r w:rsidR="004021A6" w:rsidRPr="00795F17">
        <w:rPr>
          <w:lang w:eastAsia="pl-PL"/>
        </w:rPr>
        <w:t xml:space="preserve"> </w:t>
      </w:r>
      <w:r w:rsidRPr="00795F17">
        <w:rPr>
          <w:lang w:eastAsia="pl-PL"/>
        </w:rPr>
        <w:t>aktualizacji)</w:t>
      </w:r>
      <w:r w:rsidR="004021A6" w:rsidRPr="00795F17">
        <w:rPr>
          <w:lang w:eastAsia="pl-PL"/>
        </w:rPr>
        <w:t xml:space="preserve"> </w:t>
      </w:r>
      <w:r w:rsidRPr="00795F17">
        <w:rPr>
          <w:lang w:eastAsia="pl-PL"/>
        </w:rPr>
        <w:t>minister</w:t>
      </w:r>
      <w:r w:rsidR="004021A6" w:rsidRPr="00795F17">
        <w:rPr>
          <w:lang w:eastAsia="pl-PL"/>
        </w:rPr>
        <w:t xml:space="preserve"> </w:t>
      </w:r>
      <w:r w:rsidRPr="00795F17">
        <w:rPr>
          <w:lang w:eastAsia="pl-PL"/>
        </w:rPr>
        <w:t>właściwy</w:t>
      </w:r>
      <w:r w:rsidR="004021A6" w:rsidRPr="00795F17">
        <w:rPr>
          <w:lang w:eastAsia="pl-PL"/>
        </w:rPr>
        <w:t xml:space="preserve"> </w:t>
      </w:r>
      <w:r w:rsidRPr="00795F17">
        <w:rPr>
          <w:lang w:eastAsia="pl-PL"/>
        </w:rPr>
        <w:t>do</w:t>
      </w:r>
      <w:r w:rsidR="004021A6" w:rsidRPr="00795F17">
        <w:rPr>
          <w:lang w:eastAsia="pl-PL"/>
        </w:rPr>
        <w:t xml:space="preserve"> </w:t>
      </w:r>
      <w:r w:rsidRPr="00795F17">
        <w:rPr>
          <w:lang w:eastAsia="pl-PL"/>
        </w:rPr>
        <w:t>spraw</w:t>
      </w:r>
      <w:r w:rsidR="004021A6" w:rsidRPr="00795F17">
        <w:rPr>
          <w:lang w:eastAsia="pl-PL"/>
        </w:rPr>
        <w:t xml:space="preserve"> </w:t>
      </w:r>
      <w:r w:rsidRPr="00795F17">
        <w:rPr>
          <w:lang w:eastAsia="pl-PL"/>
        </w:rPr>
        <w:t>gospodarki</w:t>
      </w:r>
      <w:r w:rsidR="004021A6" w:rsidRPr="00795F17">
        <w:rPr>
          <w:lang w:eastAsia="pl-PL"/>
        </w:rPr>
        <w:t xml:space="preserve"> </w:t>
      </w:r>
      <w:r w:rsidRPr="00795F17">
        <w:rPr>
          <w:lang w:eastAsia="pl-PL"/>
        </w:rPr>
        <w:t>wodnej</w:t>
      </w:r>
      <w:r w:rsidR="004021A6" w:rsidRPr="00795F17">
        <w:rPr>
          <w:lang w:eastAsia="pl-PL"/>
        </w:rPr>
        <w:t xml:space="preserve"> </w:t>
      </w:r>
      <w:r w:rsidRPr="00795F17">
        <w:rPr>
          <w:lang w:eastAsia="pl-PL"/>
        </w:rPr>
        <w:t>stwierdzi,</w:t>
      </w:r>
      <w:r w:rsidR="004021A6" w:rsidRPr="00795F17">
        <w:rPr>
          <w:lang w:eastAsia="pl-PL"/>
        </w:rPr>
        <w:t xml:space="preserve"> </w:t>
      </w:r>
      <w:r w:rsidRPr="00795F17">
        <w:rPr>
          <w:lang w:eastAsia="pl-PL"/>
        </w:rPr>
        <w:t>że</w:t>
      </w:r>
      <w:r w:rsidR="004021A6" w:rsidRPr="00795F17">
        <w:rPr>
          <w:lang w:eastAsia="pl-PL"/>
        </w:rPr>
        <w:t xml:space="preserve"> </w:t>
      </w:r>
      <w:r w:rsidRPr="00795F17">
        <w:rPr>
          <w:lang w:eastAsia="pl-PL"/>
        </w:rPr>
        <w:t>jest</w:t>
      </w:r>
      <w:r w:rsidR="004021A6" w:rsidRPr="00795F17">
        <w:rPr>
          <w:lang w:eastAsia="pl-PL"/>
        </w:rPr>
        <w:t xml:space="preserve"> </w:t>
      </w:r>
      <w:r w:rsidRPr="00795F17">
        <w:rPr>
          <w:lang w:eastAsia="pl-PL"/>
        </w:rPr>
        <w:t>zagrożone</w:t>
      </w:r>
      <w:r w:rsidR="004021A6" w:rsidRPr="00795F17">
        <w:rPr>
          <w:lang w:eastAsia="pl-PL"/>
        </w:rPr>
        <w:t xml:space="preserve"> </w:t>
      </w:r>
      <w:r w:rsidRPr="00795F17">
        <w:rPr>
          <w:lang w:eastAsia="pl-PL"/>
        </w:rPr>
        <w:t>osiągnięcie</w:t>
      </w:r>
      <w:r w:rsidR="004021A6" w:rsidRPr="00795F17">
        <w:rPr>
          <w:lang w:eastAsia="pl-PL"/>
        </w:rPr>
        <w:t xml:space="preserve"> </w:t>
      </w:r>
      <w:r w:rsidRPr="00795F17">
        <w:rPr>
          <w:lang w:eastAsia="pl-PL"/>
        </w:rPr>
        <w:t>celów</w:t>
      </w:r>
      <w:r w:rsidR="004021A6" w:rsidRPr="00795F17">
        <w:rPr>
          <w:lang w:eastAsia="pl-PL"/>
        </w:rPr>
        <w:t xml:space="preserve"> </w:t>
      </w:r>
      <w:r w:rsidRPr="00795F17">
        <w:rPr>
          <w:lang w:eastAsia="pl-PL"/>
        </w:rPr>
        <w:t>środowiskowych,</w:t>
      </w:r>
      <w:r w:rsidR="004021A6" w:rsidRPr="00795F17">
        <w:rPr>
          <w:lang w:eastAsia="pl-PL"/>
        </w:rPr>
        <w:t xml:space="preserve"> </w:t>
      </w:r>
      <w:r w:rsidRPr="00795F17">
        <w:rPr>
          <w:lang w:eastAsia="pl-PL"/>
        </w:rPr>
        <w:t>to</w:t>
      </w:r>
      <w:r w:rsidR="004021A6" w:rsidRPr="00795F17">
        <w:rPr>
          <w:lang w:eastAsia="pl-PL"/>
        </w:rPr>
        <w:t xml:space="preserve"> </w:t>
      </w:r>
      <w:r w:rsidRPr="00795F17">
        <w:rPr>
          <w:lang w:eastAsia="pl-PL"/>
        </w:rPr>
        <w:t>organ</w:t>
      </w:r>
      <w:r w:rsidR="004021A6" w:rsidRPr="00795F17">
        <w:rPr>
          <w:lang w:eastAsia="pl-PL"/>
        </w:rPr>
        <w:t xml:space="preserve"> </w:t>
      </w:r>
      <w:r w:rsidRPr="00795F17">
        <w:rPr>
          <w:lang w:eastAsia="pl-PL"/>
        </w:rPr>
        <w:t>właściwy</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sprawach</w:t>
      </w:r>
      <w:r w:rsidR="004021A6" w:rsidRPr="00795F17">
        <w:rPr>
          <w:lang w:eastAsia="pl-PL"/>
        </w:rPr>
        <w:t xml:space="preserve"> </w:t>
      </w:r>
      <w:r w:rsidRPr="00795F17">
        <w:rPr>
          <w:lang w:eastAsia="pl-PL"/>
        </w:rPr>
        <w:t>pozwoleń</w:t>
      </w:r>
      <w:r w:rsidR="004021A6" w:rsidRPr="00795F17">
        <w:rPr>
          <w:lang w:eastAsia="pl-PL"/>
        </w:rPr>
        <w:t xml:space="preserve"> </w:t>
      </w:r>
      <w:r w:rsidRPr="00795F17">
        <w:rPr>
          <w:lang w:eastAsia="pl-PL"/>
        </w:rPr>
        <w:t>wodnoprawnych</w:t>
      </w:r>
      <w:r w:rsidR="004021A6" w:rsidRPr="00795F17">
        <w:rPr>
          <w:lang w:eastAsia="pl-PL"/>
        </w:rPr>
        <w:t xml:space="preserve"> </w:t>
      </w:r>
      <w:r w:rsidRPr="00795F17">
        <w:rPr>
          <w:lang w:eastAsia="pl-PL"/>
        </w:rPr>
        <w:t>dokonuje</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oparciu</w:t>
      </w:r>
      <w:r w:rsidR="004021A6" w:rsidRPr="00795F17">
        <w:rPr>
          <w:lang w:eastAsia="pl-PL"/>
        </w:rPr>
        <w:t xml:space="preserve"> </w:t>
      </w:r>
      <w:r w:rsidRPr="00795F17">
        <w:rPr>
          <w:lang w:eastAsia="pl-PL"/>
        </w:rPr>
        <w:t>o</w:t>
      </w:r>
      <w:r w:rsidR="004021A6" w:rsidRPr="00795F17">
        <w:rPr>
          <w:lang w:eastAsia="pl-PL"/>
        </w:rPr>
        <w:t xml:space="preserve"> </w:t>
      </w:r>
      <w:r w:rsidRPr="00795F17">
        <w:rPr>
          <w:lang w:eastAsia="pl-PL"/>
        </w:rPr>
        <w:t>przyczyny</w:t>
      </w:r>
      <w:r w:rsidR="004021A6" w:rsidRPr="00795F17">
        <w:rPr>
          <w:lang w:eastAsia="pl-PL"/>
        </w:rPr>
        <w:t xml:space="preserve"> </w:t>
      </w:r>
      <w:r w:rsidRPr="00795F17">
        <w:rPr>
          <w:lang w:eastAsia="pl-PL"/>
        </w:rPr>
        <w:t>zagrożeń</w:t>
      </w:r>
      <w:r w:rsidR="004021A6" w:rsidRPr="00795F17">
        <w:rPr>
          <w:lang w:eastAsia="pl-PL"/>
        </w:rPr>
        <w:t xml:space="preserve"> </w:t>
      </w:r>
      <w:r w:rsidRPr="00795F17">
        <w:rPr>
          <w:lang w:eastAsia="pl-PL"/>
        </w:rPr>
        <w:t>osiągnięcia</w:t>
      </w:r>
      <w:r w:rsidR="004021A6" w:rsidRPr="00795F17">
        <w:rPr>
          <w:lang w:eastAsia="pl-PL"/>
        </w:rPr>
        <w:t xml:space="preserve"> </w:t>
      </w:r>
      <w:r w:rsidRPr="00795F17">
        <w:rPr>
          <w:lang w:eastAsia="pl-PL"/>
        </w:rPr>
        <w:t>celów</w:t>
      </w:r>
      <w:r w:rsidR="004021A6" w:rsidRPr="00795F17">
        <w:rPr>
          <w:lang w:eastAsia="pl-PL"/>
        </w:rPr>
        <w:t xml:space="preserve"> </w:t>
      </w:r>
      <w:r w:rsidRPr="00795F17">
        <w:rPr>
          <w:lang w:eastAsia="pl-PL"/>
        </w:rPr>
        <w:t>środowiskowych</w:t>
      </w:r>
      <w:r w:rsidR="004021A6" w:rsidRPr="00795F17">
        <w:rPr>
          <w:lang w:eastAsia="pl-PL"/>
        </w:rPr>
        <w:t xml:space="preserve"> </w:t>
      </w:r>
      <w:r w:rsidRPr="00795F17">
        <w:rPr>
          <w:lang w:eastAsia="pl-PL"/>
        </w:rPr>
        <w:t>wskazane</w:t>
      </w:r>
      <w:r w:rsidR="004021A6" w:rsidRPr="00795F17">
        <w:rPr>
          <w:lang w:eastAsia="pl-PL"/>
        </w:rPr>
        <w:t xml:space="preserve"> </w:t>
      </w:r>
      <w:r w:rsidRPr="00795F17">
        <w:rPr>
          <w:lang w:eastAsia="pl-PL"/>
        </w:rPr>
        <w:t>przez</w:t>
      </w:r>
      <w:r w:rsidR="004021A6" w:rsidRPr="00795F17">
        <w:rPr>
          <w:lang w:eastAsia="pl-PL"/>
        </w:rPr>
        <w:t xml:space="preserve"> </w:t>
      </w:r>
      <w:r w:rsidRPr="00795F17">
        <w:rPr>
          <w:lang w:eastAsia="pl-PL"/>
        </w:rPr>
        <w:t>ministra</w:t>
      </w:r>
      <w:r w:rsidR="004021A6" w:rsidRPr="00795F17">
        <w:rPr>
          <w:lang w:eastAsia="pl-PL"/>
        </w:rPr>
        <w:t xml:space="preserve"> </w:t>
      </w:r>
      <w:r w:rsidR="00AB0303">
        <w:rPr>
          <w:lang w:eastAsia="pl-PL"/>
        </w:rPr>
        <w:t>–</w:t>
      </w:r>
      <w:r w:rsidR="004021A6" w:rsidRPr="00795F17">
        <w:rPr>
          <w:lang w:eastAsia="pl-PL"/>
        </w:rPr>
        <w:t xml:space="preserve"> </w:t>
      </w:r>
      <w:r w:rsidRPr="00795F17">
        <w:rPr>
          <w:lang w:eastAsia="pl-PL"/>
        </w:rPr>
        <w:t>art.</w:t>
      </w:r>
      <w:r w:rsidR="004021A6" w:rsidRPr="00795F17">
        <w:rPr>
          <w:lang w:eastAsia="pl-PL"/>
        </w:rPr>
        <w:t xml:space="preserve"> </w:t>
      </w:r>
      <w:r w:rsidRPr="00795F17">
        <w:rPr>
          <w:lang w:eastAsia="pl-PL"/>
        </w:rPr>
        <w:t>325</w:t>
      </w:r>
      <w:r w:rsidR="004021A6" w:rsidRPr="00795F17">
        <w:rPr>
          <w:lang w:eastAsia="pl-PL"/>
        </w:rPr>
        <w:t xml:space="preserve"> </w:t>
      </w:r>
      <w:r w:rsidRPr="00795F17">
        <w:rPr>
          <w:lang w:eastAsia="pl-PL"/>
        </w:rPr>
        <w:t>ust.</w:t>
      </w:r>
      <w:r w:rsidR="004021A6" w:rsidRPr="00795F17">
        <w:rPr>
          <w:lang w:eastAsia="pl-PL"/>
        </w:rPr>
        <w:t xml:space="preserve"> </w:t>
      </w:r>
      <w:r w:rsidRPr="00795F17">
        <w:rPr>
          <w:lang w:eastAsia="pl-PL"/>
        </w:rPr>
        <w:t>4</w:t>
      </w:r>
      <w:r w:rsidR="004021A6" w:rsidRPr="00795F17">
        <w:rPr>
          <w:lang w:eastAsia="pl-PL"/>
        </w:rPr>
        <w:t xml:space="preserve"> </w:t>
      </w:r>
      <w:r w:rsidR="0083060B" w:rsidRPr="00795F17">
        <w:rPr>
          <w:lang w:eastAsia="pl-PL"/>
        </w:rPr>
        <w:t>pr.w.</w:t>
      </w:r>
      <w:r w:rsidRPr="00795F17">
        <w:rPr>
          <w:lang w:eastAsia="pl-PL"/>
        </w:rPr>
        <w:t>)</w:t>
      </w:r>
      <w:r w:rsidR="004021A6" w:rsidRPr="00795F17">
        <w:rPr>
          <w:lang w:eastAsia="pl-PL"/>
        </w:rPr>
        <w:t xml:space="preserve"> </w:t>
      </w:r>
      <w:r w:rsidRPr="00795F17">
        <w:rPr>
          <w:lang w:eastAsia="pl-PL"/>
        </w:rPr>
        <w:t>dodatkowego</w:t>
      </w:r>
      <w:r w:rsidR="004021A6" w:rsidRPr="00795F17">
        <w:rPr>
          <w:lang w:eastAsia="pl-PL"/>
        </w:rPr>
        <w:t xml:space="preserve"> </w:t>
      </w:r>
      <w:r w:rsidRPr="00795F17">
        <w:rPr>
          <w:lang w:eastAsia="pl-PL"/>
        </w:rPr>
        <w:t>przeglądu</w:t>
      </w:r>
      <w:r w:rsidR="004021A6" w:rsidRPr="00795F17">
        <w:rPr>
          <w:lang w:eastAsia="pl-PL"/>
        </w:rPr>
        <w:t xml:space="preserve"> </w:t>
      </w:r>
      <w:r w:rsidRPr="00795F17">
        <w:rPr>
          <w:lang w:eastAsia="pl-PL"/>
        </w:rPr>
        <w:t>pozwoleń</w:t>
      </w:r>
      <w:r w:rsidR="004021A6" w:rsidRPr="00795F17">
        <w:rPr>
          <w:lang w:eastAsia="pl-PL"/>
        </w:rPr>
        <w:t xml:space="preserve"> </w:t>
      </w:r>
      <w:r w:rsidRPr="00795F17">
        <w:rPr>
          <w:lang w:eastAsia="pl-PL"/>
        </w:rPr>
        <w:t>wodnoprawnych</w:t>
      </w:r>
      <w:r w:rsidR="004021A6" w:rsidRPr="00795F17">
        <w:rPr>
          <w:lang w:eastAsia="pl-PL"/>
        </w:rPr>
        <w:t xml:space="preserve"> </w:t>
      </w:r>
      <w:r w:rsidRPr="00795F17">
        <w:rPr>
          <w:lang w:eastAsia="pl-PL"/>
        </w:rPr>
        <w:t>na</w:t>
      </w:r>
      <w:r w:rsidR="004021A6" w:rsidRPr="00795F17">
        <w:rPr>
          <w:lang w:eastAsia="pl-PL"/>
        </w:rPr>
        <w:t xml:space="preserve"> </w:t>
      </w:r>
      <w:r w:rsidRPr="00795F17">
        <w:rPr>
          <w:lang w:eastAsia="pl-PL"/>
        </w:rPr>
        <w:t>pobór</w:t>
      </w:r>
      <w:r w:rsidR="004021A6" w:rsidRPr="00795F17">
        <w:rPr>
          <w:lang w:eastAsia="pl-PL"/>
        </w:rPr>
        <w:t xml:space="preserve"> </w:t>
      </w:r>
      <w:r w:rsidRPr="00795F17">
        <w:rPr>
          <w:lang w:eastAsia="pl-PL"/>
        </w:rPr>
        <w:t>wód</w:t>
      </w:r>
      <w:r w:rsidR="004021A6" w:rsidRPr="00795F17">
        <w:rPr>
          <w:lang w:eastAsia="pl-PL"/>
        </w:rPr>
        <w:t xml:space="preserve"> </w:t>
      </w:r>
      <w:r w:rsidRPr="00795F17">
        <w:rPr>
          <w:lang w:eastAsia="pl-PL"/>
        </w:rPr>
        <w:t>lub</w:t>
      </w:r>
      <w:r w:rsidR="004021A6" w:rsidRPr="00795F17">
        <w:rPr>
          <w:lang w:eastAsia="pl-PL"/>
        </w:rPr>
        <w:t xml:space="preserve"> </w:t>
      </w:r>
      <w:r w:rsidRPr="00795F17">
        <w:rPr>
          <w:lang w:eastAsia="pl-PL"/>
        </w:rPr>
        <w:t>wprowadzanie</w:t>
      </w:r>
      <w:r w:rsidR="004021A6" w:rsidRPr="00795F17">
        <w:rPr>
          <w:lang w:eastAsia="pl-PL"/>
        </w:rPr>
        <w:t xml:space="preserve"> </w:t>
      </w:r>
      <w:r w:rsidRPr="00795F17">
        <w:rPr>
          <w:lang w:eastAsia="pl-PL"/>
        </w:rPr>
        <w:t>ścieków</w:t>
      </w:r>
      <w:r w:rsidR="004021A6" w:rsidRPr="00795F17">
        <w:rPr>
          <w:lang w:eastAsia="pl-PL"/>
        </w:rPr>
        <w:t xml:space="preserve"> </w:t>
      </w:r>
      <w:r w:rsidRPr="00795F17">
        <w:rPr>
          <w:lang w:eastAsia="pl-PL"/>
        </w:rPr>
        <w:t>do</w:t>
      </w:r>
      <w:r w:rsidR="004021A6" w:rsidRPr="00795F17">
        <w:rPr>
          <w:lang w:eastAsia="pl-PL"/>
        </w:rPr>
        <w:t xml:space="preserve"> </w:t>
      </w:r>
      <w:r w:rsidRPr="00795F17">
        <w:rPr>
          <w:lang w:eastAsia="pl-PL"/>
        </w:rPr>
        <w:t>wód</w:t>
      </w:r>
      <w:r w:rsidR="004021A6" w:rsidRPr="00795F17">
        <w:rPr>
          <w:lang w:eastAsia="pl-PL"/>
        </w:rPr>
        <w:t xml:space="preserve"> </w:t>
      </w:r>
      <w:r w:rsidRPr="00795F17">
        <w:rPr>
          <w:lang w:eastAsia="pl-PL"/>
        </w:rPr>
        <w:t>lub</w:t>
      </w:r>
      <w:r w:rsidR="004021A6" w:rsidRPr="00795F17">
        <w:rPr>
          <w:lang w:eastAsia="pl-PL"/>
        </w:rPr>
        <w:t xml:space="preserve"> </w:t>
      </w:r>
      <w:r w:rsidRPr="00795F17">
        <w:rPr>
          <w:lang w:eastAsia="pl-PL"/>
        </w:rPr>
        <w:t>do</w:t>
      </w:r>
      <w:r w:rsidR="004021A6" w:rsidRPr="00795F17">
        <w:rPr>
          <w:lang w:eastAsia="pl-PL"/>
        </w:rPr>
        <w:t xml:space="preserve"> </w:t>
      </w:r>
      <w:r w:rsidRPr="00795F17">
        <w:rPr>
          <w:lang w:eastAsia="pl-PL"/>
        </w:rPr>
        <w:t>ziemi.</w:t>
      </w:r>
      <w:r w:rsidR="004021A6" w:rsidRPr="00795F17">
        <w:rPr>
          <w:lang w:eastAsia="pl-PL"/>
        </w:rPr>
        <w:t xml:space="preserve"> </w:t>
      </w:r>
    </w:p>
    <w:p w14:paraId="2DAB845E" w14:textId="01D97585" w:rsidR="00AD3B9A" w:rsidRDefault="00AD3B9A" w:rsidP="0044393D">
      <w:pPr>
        <w:rPr>
          <w:lang w:eastAsia="pl-PL"/>
        </w:rPr>
      </w:pPr>
      <w:r w:rsidRPr="00795F17">
        <w:rPr>
          <w:lang w:eastAsia="pl-PL"/>
        </w:rPr>
        <w:t>Realizacja</w:t>
      </w:r>
      <w:r w:rsidR="004021A6" w:rsidRPr="00795F17">
        <w:rPr>
          <w:lang w:eastAsia="pl-PL"/>
        </w:rPr>
        <w:t xml:space="preserve"> </w:t>
      </w:r>
      <w:r w:rsidRPr="00795F17">
        <w:rPr>
          <w:lang w:eastAsia="pl-PL"/>
        </w:rPr>
        <w:t>działań</w:t>
      </w:r>
      <w:r w:rsidR="004021A6" w:rsidRPr="00795F17">
        <w:rPr>
          <w:lang w:eastAsia="pl-PL"/>
        </w:rPr>
        <w:t xml:space="preserve"> </w:t>
      </w:r>
      <w:r w:rsidRPr="00795F17">
        <w:rPr>
          <w:lang w:eastAsia="pl-PL"/>
        </w:rPr>
        <w:t>określonych</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art.</w:t>
      </w:r>
      <w:r w:rsidR="004021A6" w:rsidRPr="00795F17">
        <w:rPr>
          <w:lang w:eastAsia="pl-PL"/>
        </w:rPr>
        <w:t xml:space="preserve"> </w:t>
      </w:r>
      <w:r w:rsidRPr="00795F17">
        <w:rPr>
          <w:lang w:eastAsia="pl-PL"/>
        </w:rPr>
        <w:t>325</w:t>
      </w:r>
      <w:r w:rsidR="004021A6" w:rsidRPr="00795F17">
        <w:rPr>
          <w:lang w:eastAsia="pl-PL"/>
        </w:rPr>
        <w:t xml:space="preserve"> </w:t>
      </w:r>
      <w:r w:rsidRPr="00795F17">
        <w:rPr>
          <w:lang w:eastAsia="pl-PL"/>
        </w:rPr>
        <w:t>ust.</w:t>
      </w:r>
      <w:r w:rsidR="004B56D0">
        <w:rPr>
          <w:lang w:eastAsia="pl-PL"/>
        </w:rPr>
        <w:t xml:space="preserve"> </w:t>
      </w:r>
      <w:r w:rsidRPr="00795F17">
        <w:rPr>
          <w:lang w:eastAsia="pl-PL"/>
        </w:rPr>
        <w:t>1</w:t>
      </w:r>
      <w:r w:rsidR="004021A6" w:rsidRPr="00795F17">
        <w:rPr>
          <w:lang w:eastAsia="pl-PL"/>
        </w:rPr>
        <w:t xml:space="preserve"> </w:t>
      </w:r>
      <w:r w:rsidRPr="00795F17">
        <w:rPr>
          <w:lang w:eastAsia="pl-PL"/>
        </w:rPr>
        <w:t>pkt</w:t>
      </w:r>
      <w:r w:rsidR="004021A6" w:rsidRPr="00795F17">
        <w:rPr>
          <w:lang w:eastAsia="pl-PL"/>
        </w:rPr>
        <w:t xml:space="preserve"> </w:t>
      </w:r>
      <w:r w:rsidRPr="00795F17">
        <w:rPr>
          <w:lang w:eastAsia="pl-PL"/>
        </w:rPr>
        <w:t>1</w:t>
      </w:r>
      <w:r w:rsidR="004021A6" w:rsidRPr="00795F17">
        <w:rPr>
          <w:lang w:eastAsia="pl-PL"/>
        </w:rPr>
        <w:t xml:space="preserve"> </w:t>
      </w:r>
      <w:r w:rsidR="0083060B" w:rsidRPr="00795F17">
        <w:rPr>
          <w:lang w:eastAsia="pl-PL"/>
        </w:rPr>
        <w:t>pr.w.</w:t>
      </w:r>
      <w:r w:rsidR="004021A6" w:rsidRPr="00795F17">
        <w:rPr>
          <w:lang w:eastAsia="pl-PL"/>
        </w:rPr>
        <w:t xml:space="preserve"> </w:t>
      </w:r>
      <w:r w:rsidRPr="00795F17">
        <w:rPr>
          <w:lang w:eastAsia="pl-PL"/>
        </w:rPr>
        <w:t>stanowi</w:t>
      </w:r>
      <w:r w:rsidR="004021A6" w:rsidRPr="00795F17">
        <w:rPr>
          <w:lang w:eastAsia="pl-PL"/>
        </w:rPr>
        <w:t xml:space="preserve"> </w:t>
      </w:r>
      <w:r w:rsidRPr="00795F17">
        <w:rPr>
          <w:lang w:eastAsia="pl-PL"/>
        </w:rPr>
        <w:t>element,</w:t>
      </w:r>
      <w:r w:rsidR="004021A6" w:rsidRPr="00795F17">
        <w:rPr>
          <w:lang w:eastAsia="pl-PL"/>
        </w:rPr>
        <w:t xml:space="preserve"> </w:t>
      </w:r>
      <w:r w:rsidRPr="00795F17">
        <w:rPr>
          <w:lang w:eastAsia="pl-PL"/>
        </w:rPr>
        <w:t>dokonywanych</w:t>
      </w:r>
      <w:r w:rsidR="004021A6" w:rsidRPr="00795F17">
        <w:rPr>
          <w:lang w:eastAsia="pl-PL"/>
        </w:rPr>
        <w:t xml:space="preserve"> </w:t>
      </w:r>
      <w:r w:rsidRPr="00795F17">
        <w:rPr>
          <w:lang w:eastAsia="pl-PL"/>
        </w:rPr>
        <w:t>w</w:t>
      </w:r>
      <w:r w:rsidR="00DA4F98">
        <w:rPr>
          <w:lang w:eastAsia="pl-PL"/>
        </w:rPr>
        <w:t> </w:t>
      </w:r>
      <w:r w:rsidRPr="00795F17">
        <w:rPr>
          <w:lang w:eastAsia="pl-PL"/>
        </w:rPr>
        <w:t>cyklach</w:t>
      </w:r>
      <w:r w:rsidR="004021A6" w:rsidRPr="00795F17">
        <w:rPr>
          <w:lang w:eastAsia="pl-PL"/>
        </w:rPr>
        <w:t xml:space="preserve"> </w:t>
      </w:r>
      <w:r w:rsidRPr="00795F17">
        <w:rPr>
          <w:lang w:eastAsia="pl-PL"/>
        </w:rPr>
        <w:t>sześcioletnich,</w:t>
      </w:r>
      <w:r w:rsidR="004021A6" w:rsidRPr="00795F17">
        <w:rPr>
          <w:lang w:eastAsia="pl-PL"/>
        </w:rPr>
        <w:t xml:space="preserve"> </w:t>
      </w:r>
      <w:r w:rsidRPr="00795F17">
        <w:rPr>
          <w:lang w:eastAsia="pl-PL"/>
        </w:rPr>
        <w:t>aktualizacji</w:t>
      </w:r>
      <w:r w:rsidR="004021A6" w:rsidRPr="00795F17">
        <w:rPr>
          <w:lang w:eastAsia="pl-PL"/>
        </w:rPr>
        <w:t xml:space="preserve"> </w:t>
      </w:r>
      <w:r w:rsidRPr="00795F17">
        <w:rPr>
          <w:lang w:eastAsia="pl-PL"/>
        </w:rPr>
        <w:t>planów</w:t>
      </w:r>
      <w:r w:rsidR="004021A6" w:rsidRPr="00795F17">
        <w:rPr>
          <w:lang w:eastAsia="pl-PL"/>
        </w:rPr>
        <w:t xml:space="preserve"> </w:t>
      </w:r>
      <w:r w:rsidRPr="00795F17">
        <w:rPr>
          <w:lang w:eastAsia="pl-PL"/>
        </w:rPr>
        <w:t>gospodarowania</w:t>
      </w:r>
      <w:r w:rsidR="004021A6" w:rsidRPr="00795F17">
        <w:rPr>
          <w:lang w:eastAsia="pl-PL"/>
        </w:rPr>
        <w:t xml:space="preserve"> </w:t>
      </w:r>
      <w:r w:rsidRPr="00795F17">
        <w:rPr>
          <w:lang w:eastAsia="pl-PL"/>
        </w:rPr>
        <w:t>wodami.</w:t>
      </w:r>
      <w:r w:rsidR="004021A6" w:rsidRPr="00795F17">
        <w:rPr>
          <w:lang w:eastAsia="pl-PL"/>
        </w:rPr>
        <w:t xml:space="preserve"> </w:t>
      </w:r>
    </w:p>
    <w:p w14:paraId="63E6C477" w14:textId="2FDF4C8F" w:rsidR="007E4384" w:rsidRDefault="007E4384" w:rsidP="007E4384">
      <w:pPr>
        <w:rPr>
          <w:lang w:eastAsia="pl-PL"/>
        </w:rPr>
      </w:pPr>
      <w:r w:rsidRPr="00795F17">
        <w:rPr>
          <w:lang w:eastAsia="pl-PL"/>
        </w:rPr>
        <w:t xml:space="preserve"> </w:t>
      </w:r>
    </w:p>
    <w:p w14:paraId="270BF7E7" w14:textId="18123709" w:rsidR="007E4384" w:rsidRPr="00795F17" w:rsidRDefault="007E4384" w:rsidP="007E4384">
      <w:pPr>
        <w:rPr>
          <w:lang w:eastAsia="pl-PL"/>
        </w:rPr>
      </w:pPr>
      <w:r w:rsidRPr="00795F17">
        <w:rPr>
          <w:lang w:eastAsia="pl-PL"/>
        </w:rPr>
        <w:t>Działania, o których mowa w art. 325 ust. 1 pkt 2-3 pr.w. mają charakter ciągły i są prowadzone zgodnie z prawem krajowym stanowiąc element katalogu działań krajowych zarówno w aPGW, jak</w:t>
      </w:r>
      <w:r>
        <w:rPr>
          <w:lang w:eastAsia="pl-PL"/>
        </w:rPr>
        <w:t> </w:t>
      </w:r>
      <w:r w:rsidRPr="00795F17">
        <w:rPr>
          <w:lang w:eastAsia="pl-PL"/>
        </w:rPr>
        <w:t>również w IIaPGW. Zestawienie działań z katalogu działań krajowych IIaPGW w zakresie działań, o</w:t>
      </w:r>
      <w:r>
        <w:rPr>
          <w:lang w:eastAsia="pl-PL"/>
        </w:rPr>
        <w:t> </w:t>
      </w:r>
      <w:r w:rsidRPr="00795F17">
        <w:rPr>
          <w:lang w:eastAsia="pl-PL"/>
        </w:rPr>
        <w:t>których mowa w art. 325 ust. 1 pkt 2 pr.w. przedstawia poniższa tabela</w:t>
      </w:r>
      <w:r>
        <w:rPr>
          <w:lang w:eastAsia="pl-PL"/>
        </w:rPr>
        <w:t xml:space="preserve"> 13-25</w:t>
      </w:r>
      <w:r w:rsidRPr="00795F17">
        <w:rPr>
          <w:lang w:eastAsia="pl-PL"/>
        </w:rPr>
        <w:t xml:space="preserve">. </w:t>
      </w:r>
    </w:p>
    <w:p w14:paraId="11321743" w14:textId="687AEA78" w:rsidR="007E4384" w:rsidRPr="00C32E6E" w:rsidRDefault="007E4384" w:rsidP="007E4384">
      <w:pPr>
        <w:rPr>
          <w:lang w:eastAsia="pl-PL"/>
        </w:rPr>
      </w:pPr>
      <w:r w:rsidRPr="00C32E6E">
        <w:rPr>
          <w:lang w:eastAsia="pl-PL"/>
        </w:rPr>
        <w:t>Działania, o których mowa w art. 325 ust. 1 pkt 2-3 pr.w. w aPGW uznano jako działania o</w:t>
      </w:r>
      <w:r>
        <w:rPr>
          <w:lang w:eastAsia="pl-PL"/>
        </w:rPr>
        <w:t> </w:t>
      </w:r>
      <w:r w:rsidRPr="00C32E6E">
        <w:rPr>
          <w:lang w:eastAsia="pl-PL"/>
        </w:rPr>
        <w:t>charakterze ciągłym i włączono do katalogu działań krajowych. IIaPGW wprowadza działania polegające na przeprowadzeniu dodatkowych przeglądów pozwoleń wodnoprawnych (</w:t>
      </w:r>
      <w:r w:rsidR="00DF005E">
        <w:rPr>
          <w:lang w:eastAsia="pl-PL"/>
        </w:rPr>
        <w:t>JCWP</w:t>
      </w:r>
      <w:r w:rsidRPr="00C32E6E">
        <w:rPr>
          <w:lang w:eastAsia="pl-PL"/>
        </w:rPr>
        <w:t xml:space="preserve"> i </w:t>
      </w:r>
      <w:r w:rsidR="00DF005E">
        <w:rPr>
          <w:lang w:eastAsia="pl-PL"/>
        </w:rPr>
        <w:t>JCWP</w:t>
      </w:r>
      <w:r w:rsidRPr="00C32E6E">
        <w:rPr>
          <w:lang w:eastAsia="pl-PL"/>
        </w:rPr>
        <w:t>d), jako działania uzupełniające indywidualne dla poszczególnych jcw w zestawach działań (załącznik</w:t>
      </w:r>
      <w:r w:rsidR="00266D8B">
        <w:rPr>
          <w:lang w:eastAsia="pl-PL"/>
        </w:rPr>
        <w:t>i</w:t>
      </w:r>
      <w:r w:rsidRPr="00C32E6E">
        <w:rPr>
          <w:lang w:eastAsia="pl-PL"/>
        </w:rPr>
        <w:t xml:space="preserve"> nr </w:t>
      </w:r>
      <w:r w:rsidR="00266D8B">
        <w:rPr>
          <w:lang w:eastAsia="pl-PL"/>
        </w:rPr>
        <w:t>13-17</w:t>
      </w:r>
      <w:r w:rsidRPr="00C32E6E">
        <w:rPr>
          <w:lang w:eastAsia="pl-PL"/>
        </w:rPr>
        <w:t xml:space="preserve"> (Zestawy działań</w:t>
      </w:r>
      <w:r w:rsidR="00266D8B">
        <w:rPr>
          <w:lang w:eastAsia="pl-PL"/>
        </w:rPr>
        <w:t xml:space="preserve"> RW, RWr, LW, TW i CW, </w:t>
      </w:r>
      <w:r w:rsidR="00DF005E">
        <w:rPr>
          <w:lang w:eastAsia="pl-PL"/>
        </w:rPr>
        <w:t>JCWP</w:t>
      </w:r>
      <w:r w:rsidR="00266D8B">
        <w:rPr>
          <w:lang w:eastAsia="pl-PL"/>
        </w:rPr>
        <w:t>d</w:t>
      </w:r>
      <w:r w:rsidRPr="00C32E6E">
        <w:rPr>
          <w:lang w:eastAsia="pl-PL"/>
        </w:rPr>
        <w:t>). Zestawienie działań z katalogów poszczególnych kategorii wód, w</w:t>
      </w:r>
      <w:r>
        <w:rPr>
          <w:lang w:eastAsia="pl-PL"/>
        </w:rPr>
        <w:t> </w:t>
      </w:r>
      <w:r w:rsidRPr="00C32E6E">
        <w:rPr>
          <w:lang w:eastAsia="pl-PL"/>
        </w:rPr>
        <w:t>zakresie działań, o których mowa w art. 325 ust. 1 pkt 2 pr.w., przedstawia poniższa tabela</w:t>
      </w:r>
      <w:r>
        <w:rPr>
          <w:lang w:eastAsia="pl-PL"/>
        </w:rPr>
        <w:t xml:space="preserve"> 13-25</w:t>
      </w:r>
      <w:r w:rsidRPr="00C32E6E">
        <w:rPr>
          <w:lang w:eastAsia="pl-PL"/>
        </w:rPr>
        <w:t>.</w:t>
      </w:r>
    </w:p>
    <w:p w14:paraId="49B31D9C" w14:textId="033DE8FB" w:rsidR="007E4384" w:rsidRPr="00795F17" w:rsidRDefault="007E4384" w:rsidP="007E4384">
      <w:pPr>
        <w:pStyle w:val="Tabela"/>
      </w:pPr>
      <w:bookmarkStart w:id="906" w:name="_Toc66341983"/>
      <w:bookmarkStart w:id="907" w:name="_Toc88143716"/>
      <w:bookmarkStart w:id="908" w:name="_Toc105512910"/>
      <w:r w:rsidRPr="00795F17">
        <w:t xml:space="preserve">Tabela </w:t>
      </w:r>
      <w:fldSimple w:instr=" STYLEREF 1 \s ">
        <w:r w:rsidR="001F774D">
          <w:rPr>
            <w:noProof/>
          </w:rPr>
          <w:t>13</w:t>
        </w:r>
      </w:fldSimple>
      <w:r w:rsidRPr="00795F17">
        <w:noBreakHyphen/>
      </w:r>
      <w:fldSimple w:instr=" SEQ Tabela \* ARABIC \s 1 ">
        <w:r w:rsidR="001F774D">
          <w:rPr>
            <w:noProof/>
          </w:rPr>
          <w:t>24</w:t>
        </w:r>
      </w:fldSimple>
      <w:r w:rsidR="000B5450">
        <w:rPr>
          <w:noProof/>
        </w:rPr>
        <w:t>.</w:t>
      </w:r>
      <w:r w:rsidRPr="00795F17">
        <w:tab/>
      </w:r>
      <w:r w:rsidRPr="00795F17">
        <w:rPr>
          <w:lang w:eastAsia="pl-PL"/>
        </w:rPr>
        <w:t>Działania, o których mowa w art. 325 ust.</w:t>
      </w:r>
      <w:r>
        <w:rPr>
          <w:lang w:eastAsia="pl-PL"/>
        </w:rPr>
        <w:t xml:space="preserve"> </w:t>
      </w:r>
      <w:r w:rsidRPr="00795F17">
        <w:rPr>
          <w:lang w:eastAsia="pl-PL"/>
        </w:rPr>
        <w:t xml:space="preserve">1 pkt 2 pr.w. </w:t>
      </w:r>
      <w:r>
        <w:rPr>
          <w:lang w:eastAsia="pl-PL"/>
        </w:rPr>
        <w:t>–</w:t>
      </w:r>
      <w:r w:rsidRPr="00795F17">
        <w:rPr>
          <w:lang w:eastAsia="pl-PL"/>
        </w:rPr>
        <w:t xml:space="preserve"> katalog działań krajowych IIaPGW</w:t>
      </w:r>
      <w:bookmarkEnd w:id="906"/>
      <w:bookmarkEnd w:id="907"/>
      <w:bookmarkEnd w:id="9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70"/>
        <w:gridCol w:w="1713"/>
        <w:gridCol w:w="1933"/>
      </w:tblGrid>
      <w:tr w:rsidR="007E4384" w:rsidRPr="00795F17" w14:paraId="1D605FD1" w14:textId="77777777" w:rsidTr="009F7F19">
        <w:trPr>
          <w:trHeight w:val="373"/>
        </w:trPr>
        <w:tc>
          <w:tcPr>
            <w:tcW w:w="2978" w:type="pct"/>
            <w:shd w:val="clear" w:color="auto" w:fill="BFBFBF" w:themeFill="background1" w:themeFillShade="BF"/>
            <w:vAlign w:val="center"/>
            <w:hideMark/>
          </w:tcPr>
          <w:p w14:paraId="7783D351" w14:textId="77777777" w:rsidR="007E4384" w:rsidRPr="00795F17" w:rsidRDefault="007E4384" w:rsidP="006808CA">
            <w:pPr>
              <w:pStyle w:val="Teksttabelinaglowek"/>
              <w:rPr>
                <w:rFonts w:ascii="Times New Roman" w:eastAsia="Times New Roman" w:hAnsi="Times New Roman"/>
                <w:sz w:val="24"/>
                <w:szCs w:val="24"/>
              </w:rPr>
            </w:pPr>
            <w:r w:rsidRPr="00795F17">
              <w:t>Nazwa działania</w:t>
            </w:r>
            <w:r w:rsidRPr="00795F17">
              <w:rPr>
                <w:rFonts w:eastAsia="Times New Roman" w:cs="Calibri"/>
                <w:szCs w:val="20"/>
              </w:rPr>
              <w:t> </w:t>
            </w:r>
          </w:p>
        </w:tc>
        <w:tc>
          <w:tcPr>
            <w:tcW w:w="950" w:type="pct"/>
            <w:shd w:val="clear" w:color="auto" w:fill="BFBFBF" w:themeFill="background1" w:themeFillShade="BF"/>
            <w:vAlign w:val="center"/>
            <w:hideMark/>
          </w:tcPr>
          <w:p w14:paraId="174ECEFA" w14:textId="77777777" w:rsidR="007E4384" w:rsidRPr="00795F17" w:rsidRDefault="007E4384" w:rsidP="006808CA">
            <w:pPr>
              <w:pStyle w:val="Teksttabelinaglowek"/>
              <w:rPr>
                <w:rFonts w:ascii="Times New Roman" w:eastAsia="Times New Roman" w:hAnsi="Times New Roman"/>
                <w:sz w:val="24"/>
                <w:szCs w:val="24"/>
              </w:rPr>
            </w:pPr>
            <w:r w:rsidRPr="00795F17">
              <w:t>Podstawa prawna</w:t>
            </w:r>
            <w:r w:rsidRPr="00795F17">
              <w:rPr>
                <w:rFonts w:eastAsia="Times New Roman" w:cs="Calibri"/>
                <w:szCs w:val="20"/>
              </w:rPr>
              <w:t> </w:t>
            </w:r>
          </w:p>
        </w:tc>
        <w:tc>
          <w:tcPr>
            <w:tcW w:w="1072" w:type="pct"/>
            <w:shd w:val="clear" w:color="auto" w:fill="BFBFBF" w:themeFill="background1" w:themeFillShade="BF"/>
          </w:tcPr>
          <w:p w14:paraId="45670CBC" w14:textId="77777777" w:rsidR="007E4384" w:rsidRPr="00795F17" w:rsidRDefault="007E4384" w:rsidP="006808CA">
            <w:pPr>
              <w:pStyle w:val="Teksttabelinaglowek"/>
            </w:pPr>
            <w:r w:rsidRPr="00795F17">
              <w:t>Harmonogram realizacji</w:t>
            </w:r>
          </w:p>
        </w:tc>
      </w:tr>
      <w:tr w:rsidR="007E4384" w:rsidRPr="00795F17" w14:paraId="33E66DD6" w14:textId="77777777" w:rsidTr="009F7F19">
        <w:trPr>
          <w:trHeight w:val="454"/>
        </w:trPr>
        <w:tc>
          <w:tcPr>
            <w:tcW w:w="2978" w:type="pct"/>
            <w:shd w:val="clear" w:color="auto" w:fill="auto"/>
            <w:vAlign w:val="center"/>
            <w:hideMark/>
          </w:tcPr>
          <w:p w14:paraId="15488E66" w14:textId="77777777" w:rsidR="007E4384" w:rsidRPr="00795F17" w:rsidRDefault="007E4384" w:rsidP="006808CA">
            <w:pPr>
              <w:pStyle w:val="Teksttabelilewy"/>
              <w:ind w:left="57"/>
              <w:rPr>
                <w:rFonts w:ascii="Times New Roman" w:eastAsia="Times New Roman" w:hAnsi="Times New Roman"/>
                <w:sz w:val="24"/>
                <w:szCs w:val="24"/>
                <w:lang w:eastAsia="pl-PL"/>
              </w:rPr>
            </w:pPr>
            <w:r w:rsidRPr="00795F17">
              <w:rPr>
                <w:lang w:eastAsia="pl-PL"/>
              </w:rPr>
              <w:t xml:space="preserve">Dodatkowy przegląd pozwoleń wodnoprawnych, jeżeli wyniki monitoringu wód lub innych danych </w:t>
            </w:r>
            <w:r w:rsidRPr="00795F17">
              <w:rPr>
                <w:rFonts w:eastAsia="Times New Roman" w:cs="Calibri"/>
                <w:szCs w:val="20"/>
                <w:lang w:eastAsia="pl-PL"/>
              </w:rPr>
              <w:t>wskazują, że jest zagrożone osiągnięcie celów środowiskowych </w:t>
            </w:r>
          </w:p>
        </w:tc>
        <w:tc>
          <w:tcPr>
            <w:tcW w:w="950" w:type="pct"/>
            <w:shd w:val="clear" w:color="auto" w:fill="auto"/>
            <w:vAlign w:val="center"/>
            <w:hideMark/>
          </w:tcPr>
          <w:p w14:paraId="1B8B9EBF" w14:textId="686035E8" w:rsidR="007E4384" w:rsidRPr="00795F17" w:rsidRDefault="007E4384" w:rsidP="006808CA">
            <w:pPr>
              <w:pStyle w:val="Teksttabelisrodek"/>
              <w:rPr>
                <w:rFonts w:ascii="Times New Roman" w:eastAsia="Times New Roman" w:hAnsi="Times New Roman"/>
                <w:sz w:val="24"/>
                <w:szCs w:val="24"/>
              </w:rPr>
            </w:pPr>
            <w:r w:rsidRPr="00795F17">
              <w:t>art. 325 pr.</w:t>
            </w:r>
            <w:r w:rsidRPr="00795F17">
              <w:rPr>
                <w:rFonts w:eastAsia="Times New Roman" w:cs="Calibri"/>
                <w:szCs w:val="20"/>
              </w:rPr>
              <w:t>w.</w:t>
            </w:r>
          </w:p>
        </w:tc>
        <w:tc>
          <w:tcPr>
            <w:tcW w:w="1072" w:type="pct"/>
            <w:vAlign w:val="center"/>
          </w:tcPr>
          <w:p w14:paraId="5655C7FF" w14:textId="77777777" w:rsidR="007E4384" w:rsidRPr="00795F17" w:rsidRDefault="007E4384" w:rsidP="006808CA">
            <w:pPr>
              <w:pStyle w:val="Teksttabelisrodek"/>
            </w:pPr>
            <w:r w:rsidRPr="00795F17">
              <w:t>działanie ciągłe</w:t>
            </w:r>
          </w:p>
        </w:tc>
      </w:tr>
      <w:tr w:rsidR="007E4384" w:rsidRPr="00795F17" w14:paraId="226130B5" w14:textId="77777777" w:rsidTr="009F7F19">
        <w:trPr>
          <w:trHeight w:val="454"/>
        </w:trPr>
        <w:tc>
          <w:tcPr>
            <w:tcW w:w="2978" w:type="pct"/>
            <w:shd w:val="clear" w:color="auto" w:fill="auto"/>
          </w:tcPr>
          <w:p w14:paraId="2A10694F" w14:textId="77777777" w:rsidR="007E4384" w:rsidRPr="00795F17" w:rsidRDefault="007E4384" w:rsidP="006808CA">
            <w:pPr>
              <w:pStyle w:val="Teksttabelilewy"/>
              <w:ind w:left="57"/>
              <w:rPr>
                <w:lang w:eastAsia="pl-PL"/>
              </w:rPr>
            </w:pPr>
            <w:r w:rsidRPr="00795F17">
              <w:t>Dodatkowy przegląd pozwoleń wodnoprawnych (działanie uzupełniające)</w:t>
            </w:r>
          </w:p>
        </w:tc>
        <w:tc>
          <w:tcPr>
            <w:tcW w:w="950" w:type="pct"/>
            <w:shd w:val="clear" w:color="auto" w:fill="auto"/>
            <w:vAlign w:val="center"/>
          </w:tcPr>
          <w:p w14:paraId="52A4C8E0" w14:textId="4E00E4D0" w:rsidR="007E4384" w:rsidRPr="00795F17" w:rsidRDefault="007E4384" w:rsidP="006808CA">
            <w:pPr>
              <w:pStyle w:val="Teksttabelisrodek"/>
            </w:pPr>
            <w:r w:rsidRPr="00795F17">
              <w:t>art. 325 pr.w.</w:t>
            </w:r>
          </w:p>
        </w:tc>
        <w:tc>
          <w:tcPr>
            <w:tcW w:w="1072" w:type="pct"/>
            <w:vAlign w:val="center"/>
          </w:tcPr>
          <w:p w14:paraId="16BB16AA" w14:textId="77777777" w:rsidR="007E4384" w:rsidRPr="00795F17" w:rsidRDefault="007E4384" w:rsidP="006808CA">
            <w:pPr>
              <w:pStyle w:val="Teksttabelisrodek"/>
            </w:pPr>
            <w:r w:rsidRPr="00795F17">
              <w:t>2024</w:t>
            </w:r>
          </w:p>
        </w:tc>
      </w:tr>
    </w:tbl>
    <w:p w14:paraId="05964508" w14:textId="77777777" w:rsidR="007E4384" w:rsidRPr="00795F17" w:rsidRDefault="007E4384" w:rsidP="007E4384">
      <w:pPr>
        <w:pStyle w:val="rdo"/>
        <w:rPr>
          <w:rFonts w:ascii="Segoe UI" w:hAnsi="Segoe UI" w:cs="Segoe UI"/>
          <w:lang w:eastAsia="pl-PL"/>
        </w:rPr>
      </w:pPr>
      <w:r w:rsidRPr="00795F17">
        <w:rPr>
          <w:lang w:eastAsia="pl-PL"/>
        </w:rPr>
        <w:t>Źródło: opracowanie własne</w:t>
      </w:r>
    </w:p>
    <w:p w14:paraId="17667BC3" w14:textId="7BEFE00C" w:rsidR="00882EC2" w:rsidRPr="00795F17" w:rsidRDefault="00882EC2" w:rsidP="00882EC2">
      <w:pPr>
        <w:rPr>
          <w:rFonts w:ascii="Segoe UI" w:hAnsi="Segoe UI" w:cs="Segoe UI"/>
          <w:sz w:val="18"/>
          <w:szCs w:val="18"/>
          <w:lang w:eastAsia="pl-PL"/>
        </w:rPr>
      </w:pPr>
      <w:r w:rsidRPr="00795F17">
        <w:rPr>
          <w:lang w:eastAsia="pl-PL"/>
        </w:rPr>
        <w:t xml:space="preserve">Zgodnie z art. 325 ust. 4-6 pr.w. minister właściwy do spraw gospodarki wodnej informuje organy właściwe w sprawach pozwoleń wodnoprawnych o konieczności dokonania dodatkowego przeglądu udzielonych pozwoleń wodnoprawnych, wskazując przyczyny zagrożeń osiągnięcia celów środowiskowych, o których mowa w </w:t>
      </w:r>
      <w:r>
        <w:rPr>
          <w:lang w:eastAsia="pl-PL"/>
        </w:rPr>
        <w:t xml:space="preserve">art. 325 </w:t>
      </w:r>
      <w:r w:rsidRPr="00795F17">
        <w:rPr>
          <w:lang w:eastAsia="pl-PL"/>
        </w:rPr>
        <w:t xml:space="preserve">ust. 1 pkt 1 pr.w. Organy właściwe w sprawach pozwoleń wodnoprawnych przekazują ministrowi właściwemu do spraw gospodarki wodnej wyniki przeglądu pozwoleń wodnoprawnych, o którym mowa w </w:t>
      </w:r>
      <w:r>
        <w:rPr>
          <w:lang w:eastAsia="pl-PL"/>
        </w:rPr>
        <w:t xml:space="preserve">art. 325 </w:t>
      </w:r>
      <w:r w:rsidRPr="00795F17">
        <w:rPr>
          <w:lang w:eastAsia="pl-PL"/>
        </w:rPr>
        <w:t>ust. 1 pkt 2 pr.w., w terminie 6 miesięcy od dnia przekazania informacji, o której mowa w</w:t>
      </w:r>
      <w:r>
        <w:rPr>
          <w:lang w:eastAsia="pl-PL"/>
        </w:rPr>
        <w:t xml:space="preserve"> art. 325</w:t>
      </w:r>
      <w:r w:rsidRPr="00795F17">
        <w:rPr>
          <w:lang w:eastAsia="pl-PL"/>
        </w:rPr>
        <w:t xml:space="preserve"> ust. 4</w:t>
      </w:r>
      <w:r>
        <w:rPr>
          <w:lang w:eastAsia="pl-PL"/>
        </w:rPr>
        <w:t xml:space="preserve"> pr.w.</w:t>
      </w:r>
      <w:r w:rsidRPr="00795F17">
        <w:rPr>
          <w:lang w:eastAsia="pl-PL"/>
        </w:rPr>
        <w:t xml:space="preserve">, wskazując pozwolenia wodnoprawne, które powinny zostać cofnięte lub ograniczone w celu zapobieżenia zagrożeniu osiągnięcia celów środowiskowych. </w:t>
      </w:r>
    </w:p>
    <w:p w14:paraId="5393724E" w14:textId="043B9ED5" w:rsidR="00882EC2" w:rsidRDefault="00882EC2" w:rsidP="00882EC2">
      <w:pPr>
        <w:textAlignment w:val="baseline"/>
        <w:rPr>
          <w:lang w:eastAsia="pl-PL"/>
        </w:rPr>
      </w:pPr>
      <w:r w:rsidRPr="00795F17">
        <w:rPr>
          <w:lang w:eastAsia="pl-PL"/>
        </w:rPr>
        <w:t xml:space="preserve">Przyjęta w lipcu 2017 r. pr.w. wprowadziła zmiany w zakresie kompetencji jednostek odpowiedzialnych za wykonywanie analizy przyczyn zagrożeń nieosiągnięcia celów środowiskowych oraz przeglądów pozwoleń wodnoprawnych. Ze względu na krótki czas na skorzystanie z możliwości, jakie daje art. 325 pr.w., analiza przyczyn tych zagrożeń została wykonana w ramach pracy </w:t>
      </w:r>
      <w:r w:rsidRPr="00795F17">
        <w:rPr>
          <w:i/>
          <w:iCs/>
          <w:lang w:eastAsia="pl-PL"/>
        </w:rPr>
        <w:t xml:space="preserve">Analiza znaczących oddziaływań </w:t>
      </w:r>
      <w:r>
        <w:rPr>
          <w:i/>
          <w:iCs/>
          <w:lang w:eastAsia="pl-PL"/>
        </w:rPr>
        <w:t>–</w:t>
      </w:r>
      <w:r w:rsidRPr="00795F17">
        <w:rPr>
          <w:i/>
          <w:iCs/>
          <w:lang w:eastAsia="pl-PL"/>
        </w:rPr>
        <w:t xml:space="preserve"> </w:t>
      </w:r>
      <w:r w:rsidR="00DF005E">
        <w:rPr>
          <w:i/>
          <w:iCs/>
          <w:lang w:eastAsia="pl-PL"/>
        </w:rPr>
        <w:t>JCWP</w:t>
      </w:r>
      <w:r w:rsidRPr="00795F17">
        <w:rPr>
          <w:i/>
          <w:iCs/>
          <w:lang w:eastAsia="pl-PL"/>
        </w:rPr>
        <w:t xml:space="preserve"> (…)</w:t>
      </w:r>
      <w:r>
        <w:rPr>
          <w:rStyle w:val="Odwoanieprzypisudolnego"/>
          <w:i/>
          <w:iCs/>
          <w:lang w:eastAsia="pl-PL"/>
        </w:rPr>
        <w:footnoteReference w:id="109"/>
      </w:r>
      <w:r w:rsidRPr="00795F17">
        <w:rPr>
          <w:lang w:eastAsia="pl-PL"/>
        </w:rPr>
        <w:t xml:space="preserve">, a dodatkowe przeglądy pozwoleń zostały wskazane w zestawie działań IIaPGW. </w:t>
      </w:r>
    </w:p>
    <w:p w14:paraId="70E2FD00" w14:textId="64740FEA" w:rsidR="007E4384" w:rsidRPr="00795F17" w:rsidRDefault="007E4384" w:rsidP="00882EC2">
      <w:pPr>
        <w:textAlignment w:val="baseline"/>
        <w:rPr>
          <w:rFonts w:eastAsia="Times New Roman" w:cs="Calibri"/>
          <w:lang w:eastAsia="pl-PL"/>
        </w:rPr>
      </w:pPr>
      <w:r>
        <w:rPr>
          <w:rFonts w:eastAsia="Times New Roman" w:cs="Calibri"/>
          <w:lang w:eastAsia="pl-PL"/>
        </w:rPr>
        <w:t>Na</w:t>
      </w:r>
      <w:r w:rsidRPr="00795F17">
        <w:rPr>
          <w:rFonts w:eastAsia="Times New Roman" w:cs="Calibri"/>
          <w:lang w:eastAsia="pl-PL"/>
        </w:rPr>
        <w:t xml:space="preserve"> obszarze dorzecza Odry działania dotyczące dodatkowych przeglądów pozwoleń wodnoprawnych przypisano w zestawach działań do:</w:t>
      </w:r>
    </w:p>
    <w:p w14:paraId="4F10D293" w14:textId="412BB0BB" w:rsidR="007E4384" w:rsidRPr="00795F17" w:rsidRDefault="007E4384" w:rsidP="00117E86">
      <w:pPr>
        <w:pStyle w:val="Listapunktowana2"/>
        <w:rPr>
          <w:lang w:eastAsia="pl-PL"/>
        </w:rPr>
      </w:pPr>
      <w:r w:rsidRPr="00795F17">
        <w:rPr>
          <w:lang w:eastAsia="pl-PL"/>
        </w:rPr>
        <w:t xml:space="preserve">156 </w:t>
      </w:r>
      <w:r w:rsidR="00DF005E">
        <w:rPr>
          <w:lang w:eastAsia="pl-PL"/>
        </w:rPr>
        <w:t>JCWP</w:t>
      </w:r>
      <w:r w:rsidRPr="00795F17">
        <w:rPr>
          <w:lang w:eastAsia="pl-PL"/>
        </w:rPr>
        <w:t xml:space="preserve"> RW </w:t>
      </w:r>
      <w:r>
        <w:rPr>
          <w:lang w:eastAsia="pl-PL"/>
        </w:rPr>
        <w:t>–</w:t>
      </w:r>
      <w:r w:rsidRPr="00795F17">
        <w:rPr>
          <w:lang w:eastAsia="pl-PL"/>
        </w:rPr>
        <w:t xml:space="preserve"> działanie polegające na przeprowadzeniu dodatkowego przeglądu pozwoleń wodnoprawnych uwzględniającego faktyczne zapotrzebowanie na wodę oraz dostępne zasoby wód podziemnych, a nie możliwości techniczne poboru wody z ujęcia;</w:t>
      </w:r>
    </w:p>
    <w:p w14:paraId="536B28B1" w14:textId="453E1D68" w:rsidR="007E4384" w:rsidRPr="00795F17" w:rsidRDefault="007E4384" w:rsidP="00117E86">
      <w:pPr>
        <w:pStyle w:val="Listapunktowana2"/>
        <w:rPr>
          <w:lang w:eastAsia="pl-PL"/>
        </w:rPr>
      </w:pPr>
      <w:r w:rsidRPr="00795F17">
        <w:rPr>
          <w:lang w:eastAsia="pl-PL"/>
        </w:rPr>
        <w:t xml:space="preserve">16 </w:t>
      </w:r>
      <w:r w:rsidR="00DF005E">
        <w:rPr>
          <w:lang w:eastAsia="pl-PL"/>
        </w:rPr>
        <w:t>JCWP</w:t>
      </w:r>
      <w:r w:rsidRPr="00795F17">
        <w:rPr>
          <w:lang w:eastAsia="pl-PL"/>
        </w:rPr>
        <w:t xml:space="preserve">d </w:t>
      </w:r>
      <w:r>
        <w:rPr>
          <w:lang w:eastAsia="pl-PL"/>
        </w:rPr>
        <w:t>–</w:t>
      </w:r>
      <w:r w:rsidRPr="00795F17">
        <w:rPr>
          <w:lang w:eastAsia="pl-PL"/>
        </w:rPr>
        <w:t xml:space="preserve"> działanie polegające na przeprowadzeniu dodatkowego przeglądu pozwoleń wodnoprawnych.</w:t>
      </w:r>
    </w:p>
    <w:p w14:paraId="7832F3C1" w14:textId="5104FF97" w:rsidR="00AF7AB2" w:rsidRPr="00AF7AB2" w:rsidRDefault="007E4384" w:rsidP="007E4384">
      <w:pPr>
        <w:rPr>
          <w:lang w:eastAsia="pl-PL"/>
        </w:rPr>
      </w:pPr>
      <w:r w:rsidRPr="00795F17">
        <w:rPr>
          <w:lang w:eastAsia="pl-PL"/>
        </w:rPr>
        <w:t>Programy monitoringu aktualizowane są w cyklach sześcioletnich zgodnych z cyklami planistycznymi planów gospodarowania wodami w wyniku czego w każdym cyklu obowiązującą jest sieć monitoringu zaprojektowana odpowiednio do zidentyfikowanych presji znaczących. Ostatnia aktualizacja sieci monitoringu przeprowadzona została na potrzeby obecnego cyklu planistycznego</w:t>
      </w:r>
      <w:r>
        <w:rPr>
          <w:lang w:eastAsia="pl-PL"/>
        </w:rPr>
        <w:t>,</w:t>
      </w:r>
      <w:r w:rsidRPr="00795F17">
        <w:rPr>
          <w:lang w:eastAsia="pl-PL"/>
        </w:rPr>
        <w:t xml:space="preserve"> tj. 2022</w:t>
      </w:r>
      <w:r>
        <w:rPr>
          <w:lang w:eastAsia="pl-PL"/>
        </w:rPr>
        <w:t>–</w:t>
      </w:r>
      <w:r w:rsidRPr="00795F17">
        <w:rPr>
          <w:lang w:eastAsia="pl-PL"/>
        </w:rPr>
        <w:t>2027. Szczegółowe informacje dotyczące sieci monitoringu 2022</w:t>
      </w:r>
      <w:r>
        <w:rPr>
          <w:lang w:eastAsia="pl-PL"/>
        </w:rPr>
        <w:t>–</w:t>
      </w:r>
      <w:r w:rsidRPr="00795F17">
        <w:rPr>
          <w:lang w:eastAsia="pl-PL"/>
        </w:rPr>
        <w:t>2027 przedstawia rozdział 5 IIaPGW.</w:t>
      </w:r>
    </w:p>
    <w:p w14:paraId="3EB4EB30" w14:textId="7E7BD29D" w:rsidR="00332A4E" w:rsidRPr="00795F17" w:rsidRDefault="00FA7D8F" w:rsidP="00C53C86">
      <w:pPr>
        <w:pStyle w:val="Nagwek2"/>
      </w:pPr>
      <w:bookmarkStart w:id="909" w:name="_Toc66347834"/>
      <w:bookmarkStart w:id="910" w:name="_Toc105512724"/>
      <w:bookmarkEnd w:id="904"/>
      <w:bookmarkEnd w:id="905"/>
      <w:r w:rsidRPr="00795F17">
        <w:t>Informacje o sposobie prowadzenia działań polegających</w:t>
      </w:r>
      <w:r w:rsidR="008A739A" w:rsidRPr="00795F17">
        <w:t xml:space="preserve"> na </w:t>
      </w:r>
      <w:r w:rsidRPr="00795F17">
        <w:t>utrzymaniu wód</w:t>
      </w:r>
      <w:bookmarkEnd w:id="909"/>
      <w:bookmarkEnd w:id="910"/>
    </w:p>
    <w:p w14:paraId="15D58ACD" w14:textId="19354F62" w:rsidR="00CD1161" w:rsidRPr="00795F17" w:rsidRDefault="00CD1161" w:rsidP="0044393D">
      <w:bookmarkStart w:id="911" w:name="_Toc56897964"/>
      <w:bookmarkStart w:id="912" w:name="_Toc57733489"/>
      <w:bookmarkStart w:id="913" w:name="_Toc58893042"/>
      <w:bookmarkStart w:id="914" w:name="_Toc61969393"/>
      <w:r w:rsidRPr="00795F17">
        <w:t>Zgodnie z art. 318 ust. 1 pkt 15 pr.w. oraz §2 ust. 1 pkt 21 r.p.g.w. w planie gospodarowania wodami powinny się znaleźć informacje o sposobie prowadzenia działań polegających na</w:t>
      </w:r>
      <w:r w:rsidR="00445ECC" w:rsidRPr="00795F17">
        <w:t> </w:t>
      </w:r>
      <w:r w:rsidRPr="00795F17">
        <w:t>utrzymywaniu wód, uwzględniających cele środowiskowe określone w art. 56, art. 57, art. 59 oraz</w:t>
      </w:r>
      <w:r w:rsidR="000D640F">
        <w:t> </w:t>
      </w:r>
      <w:r w:rsidRPr="00795F17">
        <w:t>w</w:t>
      </w:r>
      <w:r w:rsidR="0006089C">
        <w:t> </w:t>
      </w:r>
      <w:r w:rsidRPr="00795F17">
        <w:t>art. 61 pr.w.</w:t>
      </w:r>
    </w:p>
    <w:p w14:paraId="3C3AA70D" w14:textId="4F1C643F" w:rsidR="00CD1161" w:rsidRPr="00795F17" w:rsidRDefault="002B150A" w:rsidP="0044393D">
      <w:r>
        <w:t>P</w:t>
      </w:r>
      <w:r w:rsidR="00CD1161" w:rsidRPr="00795F17">
        <w:t xml:space="preserve">r.w. </w:t>
      </w:r>
      <w:r w:rsidR="00642780">
        <w:t xml:space="preserve">w </w:t>
      </w:r>
      <w:r w:rsidR="00CD1161" w:rsidRPr="00795F17">
        <w:t>art. 226 ust. 1 wskazuje, że właściciel wód zobowiązany jest do utrzymania wód z</w:t>
      </w:r>
      <w:r w:rsidR="00445ECC" w:rsidRPr="00795F17">
        <w:t> </w:t>
      </w:r>
      <w:r w:rsidR="00CD1161" w:rsidRPr="00795F17">
        <w:t>uwzględnieniem konieczności osiągnięcia celów środowiskowych, o których mowa w art. 56, art. 57, art. 59 oraz w art. 61</w:t>
      </w:r>
      <w:r w:rsidR="00642780">
        <w:t xml:space="preserve"> pr.w</w:t>
      </w:r>
      <w:r w:rsidR="00CD1161" w:rsidRPr="00795F17">
        <w:t>. Utrzymywanie wód publicznych obejmuje działania:</w:t>
      </w:r>
    </w:p>
    <w:p w14:paraId="312769A0" w14:textId="77777777" w:rsidR="00CD1161" w:rsidRPr="00795F17" w:rsidRDefault="00CD1161" w:rsidP="005635FD">
      <w:pPr>
        <w:pStyle w:val="Numerowanie"/>
        <w:numPr>
          <w:ilvl w:val="0"/>
          <w:numId w:val="76"/>
        </w:numPr>
      </w:pPr>
      <w:r w:rsidRPr="00795F17">
        <w:t>wynikające z PUW;</w:t>
      </w:r>
    </w:p>
    <w:p w14:paraId="500BF90A" w14:textId="1CFF6223" w:rsidR="00CD1161" w:rsidRPr="00795F17" w:rsidRDefault="00CD1161" w:rsidP="005635FD">
      <w:pPr>
        <w:pStyle w:val="Numerowanie"/>
        <w:numPr>
          <w:ilvl w:val="0"/>
          <w:numId w:val="76"/>
        </w:numPr>
      </w:pPr>
      <w:r w:rsidRPr="00795F17">
        <w:t>niewynikające z PUW, jeżeli nie wywierają one istotnego wpływu na osiągnięcie celów środowiskowych, o których mowa w art. 56, art. 57, art. 59 oraz w art. 61 pr.w.;</w:t>
      </w:r>
    </w:p>
    <w:p w14:paraId="765DCD45" w14:textId="77777777" w:rsidR="00CD1161" w:rsidRPr="00795F17" w:rsidRDefault="00CD1161" w:rsidP="005635FD">
      <w:pPr>
        <w:pStyle w:val="Numerowanie"/>
        <w:numPr>
          <w:ilvl w:val="0"/>
          <w:numId w:val="76"/>
        </w:numPr>
      </w:pPr>
      <w:r w:rsidRPr="00795F17">
        <w:t>niewynikające z PUW, jeżeli zachodzi pilna i uzasadniona konieczność realizacji tych działań z uwagi na zapewnienie ochrony przed powodzią lub suszą oraz w związku z koniecznością usunięcia skutków powodzi lub suszy.</w:t>
      </w:r>
    </w:p>
    <w:p w14:paraId="0798CBB4" w14:textId="0A6B4E11" w:rsidR="00CD1161" w:rsidRPr="00795F17" w:rsidRDefault="00CD1161" w:rsidP="0044393D">
      <w:r w:rsidRPr="00795F17">
        <w:t xml:space="preserve">Zgodnie z art. 227 ust. 3 </w:t>
      </w:r>
      <w:r w:rsidR="0083060B" w:rsidRPr="00795F17">
        <w:t>pr.w.</w:t>
      </w:r>
      <w:r w:rsidRPr="00795F17">
        <w:t xml:space="preserve"> utrzymywanie wód, o których mowa w</w:t>
      </w:r>
      <w:r w:rsidR="00642780">
        <w:t xml:space="preserve"> art. 227</w:t>
      </w:r>
      <w:r w:rsidRPr="00795F17">
        <w:t xml:space="preserve"> ust. 1</w:t>
      </w:r>
      <w:r w:rsidR="00642780">
        <w:t xml:space="preserve"> pr.w.</w:t>
      </w:r>
      <w:r w:rsidRPr="00795F17">
        <w:t>, realizowane jest przez: utrzymywanie publicznych śródlądowych wód powierzchniowych oraz</w:t>
      </w:r>
      <w:r w:rsidR="000D640F">
        <w:t> </w:t>
      </w:r>
      <w:r w:rsidRPr="00795F17">
        <w:t>morskich wód wewnętrznych</w:t>
      </w:r>
      <w:r w:rsidR="00E3359B">
        <w:t>,</w:t>
      </w:r>
      <w:r w:rsidRPr="00795F17">
        <w:t xml:space="preserve"> polega także na zachowaniu stanu dna lub brzegów oraz na remoncie lub</w:t>
      </w:r>
      <w:r w:rsidR="000D640F">
        <w:t> </w:t>
      </w:r>
      <w:r w:rsidRPr="00795F17">
        <w:t>konserwacji istniejących budowli regulacyjnych.</w:t>
      </w:r>
    </w:p>
    <w:p w14:paraId="0BCB60C8" w14:textId="77777777" w:rsidR="00CD1161" w:rsidRPr="00795F17" w:rsidRDefault="00CD1161" w:rsidP="0044393D">
      <w:r w:rsidRPr="00795F17">
        <w:t>Utrzymywanie wód ma na celu zapewnienie:</w:t>
      </w:r>
    </w:p>
    <w:p w14:paraId="144C8877" w14:textId="77777777" w:rsidR="00CD1161" w:rsidRPr="00795F17" w:rsidRDefault="00CD1161" w:rsidP="005635FD">
      <w:pPr>
        <w:pStyle w:val="Numerowanie"/>
        <w:numPr>
          <w:ilvl w:val="0"/>
          <w:numId w:val="77"/>
        </w:numPr>
      </w:pPr>
      <w:r w:rsidRPr="00795F17">
        <w:t>ochrony przed powodzią lub usuwania skutków powodzi;</w:t>
      </w:r>
    </w:p>
    <w:p w14:paraId="571BEC5C" w14:textId="77777777" w:rsidR="00CD1161" w:rsidRPr="00795F17" w:rsidRDefault="00CD1161" w:rsidP="005635FD">
      <w:pPr>
        <w:pStyle w:val="Numerowanie"/>
        <w:numPr>
          <w:ilvl w:val="0"/>
          <w:numId w:val="77"/>
        </w:numPr>
      </w:pPr>
      <w:r w:rsidRPr="00795F17">
        <w:t>spływu lodu oraz przeciwdziałania powstawaniu niekorzystnych zjawisk lodowych;</w:t>
      </w:r>
    </w:p>
    <w:p w14:paraId="654768ED" w14:textId="77777777" w:rsidR="00CD1161" w:rsidRPr="00795F17" w:rsidRDefault="00CD1161" w:rsidP="005635FD">
      <w:pPr>
        <w:pStyle w:val="Numerowanie"/>
        <w:numPr>
          <w:ilvl w:val="0"/>
          <w:numId w:val="77"/>
        </w:numPr>
      </w:pPr>
      <w:r w:rsidRPr="00795F17">
        <w:t>warunków umożliwiających korzystanie z wód, w tym utrzymywania zwierciadła wody na poziomie umożliwiającym funkcjonowanie urządzeń wodnych, obiektów mostowych, rurociągów, linii energetycznych, linii telekomunikacyjnych oraz innych urządzeń;</w:t>
      </w:r>
    </w:p>
    <w:p w14:paraId="7F912E53" w14:textId="676EC798" w:rsidR="00CD1161" w:rsidRPr="00795F17" w:rsidRDefault="00CD1161" w:rsidP="005635FD">
      <w:pPr>
        <w:pStyle w:val="Numerowanie"/>
        <w:numPr>
          <w:ilvl w:val="0"/>
          <w:numId w:val="77"/>
        </w:numPr>
      </w:pPr>
      <w:r w:rsidRPr="00795F17">
        <w:t>warunków eksploatacyjnych śródlądowych dróg wodnych określonych w przepisach wydanych na</w:t>
      </w:r>
      <w:r w:rsidR="000D640F">
        <w:t> </w:t>
      </w:r>
      <w:r w:rsidRPr="00795F17">
        <w:t>podstawie art. 42 ust. 4 ustawy z dnia 21 grudnia 2000 r. o żegludze śródlądowej;</w:t>
      </w:r>
    </w:p>
    <w:p w14:paraId="7FAB2B5F" w14:textId="251AA09B" w:rsidR="00CD1161" w:rsidRPr="00795F17" w:rsidRDefault="00CD1161" w:rsidP="005635FD">
      <w:pPr>
        <w:pStyle w:val="Numerowanie"/>
        <w:numPr>
          <w:ilvl w:val="0"/>
          <w:numId w:val="77"/>
        </w:numPr>
      </w:pPr>
      <w:r w:rsidRPr="00795F17">
        <w:t>działania urządzeń wodnych, w szczególności ich odpowiedniego stanu technicznego i</w:t>
      </w:r>
      <w:r w:rsidR="00445ECC" w:rsidRPr="00795F17">
        <w:t> </w:t>
      </w:r>
      <w:r w:rsidRPr="00795F17">
        <w:t>funkcjonalnego;</w:t>
      </w:r>
    </w:p>
    <w:p w14:paraId="64ABDA37" w14:textId="4F01F542" w:rsidR="00CD1161" w:rsidRPr="00795F17" w:rsidRDefault="00CD1161" w:rsidP="0044393D">
      <w:r w:rsidRPr="00795F17">
        <w:t>i nie powinno uniemożliwić osiągnięcia celów środowiskowych określonych w art. 56, art. 57, art. 59 oraz w art. 61</w:t>
      </w:r>
      <w:r w:rsidR="00642780">
        <w:t xml:space="preserve"> pr.w.</w:t>
      </w:r>
      <w:r w:rsidRPr="00795F17">
        <w:t xml:space="preserve">, przy uwzględnieniu dopuszczalności nieosiągnięcia celów środowiskowych, o której mowa w art. 66 </w:t>
      </w:r>
      <w:r w:rsidR="0083060B" w:rsidRPr="00795F17">
        <w:t>pr.w.</w:t>
      </w:r>
    </w:p>
    <w:p w14:paraId="2FDF4FD1" w14:textId="18010870" w:rsidR="00CD1161" w:rsidRPr="00795F17" w:rsidRDefault="00CD1161" w:rsidP="0044393D">
      <w:r w:rsidRPr="00795F17">
        <w:t xml:space="preserve">Zgodnie z art. 227 ust. 2 </w:t>
      </w:r>
      <w:r w:rsidR="0083060B" w:rsidRPr="00795F17">
        <w:t>pr.w.</w:t>
      </w:r>
      <w:r w:rsidRPr="00795F17">
        <w:t xml:space="preserve"> utrzymywanie wód realizowane jest przez:</w:t>
      </w:r>
    </w:p>
    <w:p w14:paraId="2505C49E" w14:textId="77777777" w:rsidR="00CD1161" w:rsidRPr="00795F17" w:rsidRDefault="00CD1161" w:rsidP="005635FD">
      <w:pPr>
        <w:pStyle w:val="Numerowanie"/>
        <w:numPr>
          <w:ilvl w:val="0"/>
          <w:numId w:val="78"/>
        </w:numPr>
      </w:pPr>
      <w:r w:rsidRPr="00795F17">
        <w:t>wykaszanie roślin z dna oraz brzegów śródlądowych wód powierzchniowych;</w:t>
      </w:r>
    </w:p>
    <w:p w14:paraId="6954A402" w14:textId="77777777" w:rsidR="00CD1161" w:rsidRPr="00795F17" w:rsidRDefault="00CD1161" w:rsidP="005635FD">
      <w:pPr>
        <w:pStyle w:val="Numerowanie"/>
        <w:numPr>
          <w:ilvl w:val="0"/>
          <w:numId w:val="78"/>
        </w:numPr>
      </w:pPr>
      <w:r w:rsidRPr="00795F17">
        <w:t>usuwanie roślin pływających i korzeniących się w dnie śródlądowych wód powierzchniowych;</w:t>
      </w:r>
    </w:p>
    <w:p w14:paraId="6F24CCEC" w14:textId="77777777" w:rsidR="00CD1161" w:rsidRPr="00795F17" w:rsidRDefault="00CD1161" w:rsidP="005635FD">
      <w:pPr>
        <w:pStyle w:val="Numerowanie"/>
        <w:numPr>
          <w:ilvl w:val="0"/>
          <w:numId w:val="78"/>
        </w:numPr>
      </w:pPr>
      <w:r w:rsidRPr="00795F17">
        <w:t>usuwanie drzew i krzewów porastających dno oraz brzegi śródlądowych wód powierzchniowych;</w:t>
      </w:r>
    </w:p>
    <w:p w14:paraId="71D65EA9" w14:textId="7AD476FE" w:rsidR="00CD1161" w:rsidRPr="00795F17" w:rsidRDefault="00CD1161" w:rsidP="005635FD">
      <w:pPr>
        <w:pStyle w:val="Numerowanie"/>
        <w:numPr>
          <w:ilvl w:val="0"/>
          <w:numId w:val="78"/>
        </w:numPr>
      </w:pPr>
      <w:r w:rsidRPr="00795F17">
        <w:t>usuwanie ze śródlądowych wód powierzchniowych przeszkód naturalnych oraz wynikających z</w:t>
      </w:r>
      <w:r w:rsidR="00445ECC" w:rsidRPr="00795F17">
        <w:t> </w:t>
      </w:r>
      <w:r w:rsidRPr="00795F17">
        <w:t>działalności człowieka;</w:t>
      </w:r>
    </w:p>
    <w:p w14:paraId="47FA6D02" w14:textId="77777777" w:rsidR="00CD1161" w:rsidRPr="00795F17" w:rsidRDefault="00CD1161" w:rsidP="005635FD">
      <w:pPr>
        <w:pStyle w:val="Numerowanie"/>
        <w:numPr>
          <w:ilvl w:val="0"/>
          <w:numId w:val="78"/>
        </w:numPr>
      </w:pPr>
      <w:r w:rsidRPr="00795F17">
        <w:t>zasypywanie wyrw w brzegach i dnie śródlądowych wód powierzchniowych oraz ich zabudowę biologiczną;</w:t>
      </w:r>
    </w:p>
    <w:p w14:paraId="6D34CA0E" w14:textId="77777777" w:rsidR="00CD1161" w:rsidRPr="00795F17" w:rsidRDefault="00CD1161" w:rsidP="005635FD">
      <w:pPr>
        <w:pStyle w:val="Numerowanie"/>
        <w:numPr>
          <w:ilvl w:val="0"/>
          <w:numId w:val="78"/>
        </w:numPr>
      </w:pPr>
      <w:r w:rsidRPr="00795F17">
        <w:t>udrażnianie śródlądowych wód powierzchniowych przez usuwanie zatorów utrudniających swobodny przepływ wód oraz usuwanie namułów i rumoszu;</w:t>
      </w:r>
    </w:p>
    <w:p w14:paraId="1D385D3F" w14:textId="77777777" w:rsidR="00CD1161" w:rsidRPr="00795F17" w:rsidRDefault="00CD1161" w:rsidP="005635FD">
      <w:pPr>
        <w:pStyle w:val="Numerowanie"/>
        <w:numPr>
          <w:ilvl w:val="0"/>
          <w:numId w:val="78"/>
        </w:numPr>
      </w:pPr>
      <w:r w:rsidRPr="00795F17">
        <w:t>remont lub konserwację stanowiących własność właściciela wód:</w:t>
      </w:r>
    </w:p>
    <w:p w14:paraId="165DEB91" w14:textId="3453314E" w:rsidR="00CD1161" w:rsidRPr="00795F17" w:rsidRDefault="00CD1161" w:rsidP="00117E86">
      <w:pPr>
        <w:pStyle w:val="Listapunktowana2"/>
      </w:pPr>
      <w:r w:rsidRPr="00795F17">
        <w:t>ubezpieczeń w obrębie urządzeń wodnych</w:t>
      </w:r>
      <w:r w:rsidR="00445ECC" w:rsidRPr="00795F17">
        <w:t>,</w:t>
      </w:r>
    </w:p>
    <w:p w14:paraId="2C22DD90" w14:textId="3E326EEA" w:rsidR="00CD1161" w:rsidRPr="00795F17" w:rsidRDefault="00CD1161" w:rsidP="00117E86">
      <w:pPr>
        <w:pStyle w:val="Listapunktowana2"/>
      </w:pPr>
      <w:r w:rsidRPr="00795F17">
        <w:t>budowli regulacyjnych</w:t>
      </w:r>
      <w:r w:rsidR="00642780">
        <w:t>;</w:t>
      </w:r>
    </w:p>
    <w:p w14:paraId="509AA684" w14:textId="77777777" w:rsidR="00CD1161" w:rsidRPr="00795F17" w:rsidRDefault="00CD1161" w:rsidP="005635FD">
      <w:pPr>
        <w:pStyle w:val="Numerowanie"/>
        <w:numPr>
          <w:ilvl w:val="0"/>
          <w:numId w:val="78"/>
        </w:numPr>
      </w:pPr>
      <w:r w:rsidRPr="00795F17">
        <w:t>rozbiórkę lub modyfikację tam bobrowych oraz zasypywanie nor bobrów lub nor innych zwierząt w brzegach śródlądowych wód powierzchniowych.</w:t>
      </w:r>
    </w:p>
    <w:p w14:paraId="57F3018D" w14:textId="0F3EAA1E" w:rsidR="00CD1161" w:rsidRPr="00795F17" w:rsidRDefault="00CD1161" w:rsidP="0044393D">
      <w:r w:rsidRPr="00795F17">
        <w:t xml:space="preserve">Aspekt sposobu prowadzenia prac utrzymaniowych stanowi jeden z elementów, w którym widoczne są zmiany wynikające z pr.w. </w:t>
      </w:r>
      <w:r w:rsidR="002B150A">
        <w:t>P</w:t>
      </w:r>
      <w:r w:rsidRPr="00795F17">
        <w:t xml:space="preserve">r.w. nie zmieniła brzmienia przepisów dotyczących celów utrzymania wód oraz kategorii prac utrzymaniowych. Jednakże od dnia 1 stycznia 2018 r. zasadniczej zmianie uległa organizacja jednostek odpowiedzialnych za utrzymanie wód. </w:t>
      </w:r>
      <w:r w:rsidR="0028234C" w:rsidRPr="00795F17">
        <w:t>PGW WP</w:t>
      </w:r>
      <w:r w:rsidRPr="00795F17">
        <w:t xml:space="preserve">, na podstawie pr.w. weszło w prawa i obowiązki WZMiUW. Artykuł 240 ust. 4 </w:t>
      </w:r>
      <w:r w:rsidR="00E9796C" w:rsidRPr="00795F17">
        <w:t>pkt</w:t>
      </w:r>
      <w:r w:rsidRPr="00795F17">
        <w:t xml:space="preserve"> 8 </w:t>
      </w:r>
      <w:r w:rsidR="0083060B" w:rsidRPr="00795F17">
        <w:t>pr.w.</w:t>
      </w:r>
      <w:r w:rsidRPr="00795F17">
        <w:t xml:space="preserve"> stanowi, że</w:t>
      </w:r>
      <w:r w:rsidR="00410A22" w:rsidRPr="00795F17">
        <w:t> </w:t>
      </w:r>
      <w:r w:rsidRPr="00795F17">
        <w:t xml:space="preserve">ZZ WP </w:t>
      </w:r>
      <w:r w:rsidRPr="00AB36EB">
        <w:t>realizują zadania związane z utrzymaniem wód i pozostałego mienia Skarbu Państwa związanego z gospodarką wodną, w tym obwałowań oraz obszaru międzywala</w:t>
      </w:r>
      <w:r w:rsidRPr="00AB0303">
        <w:t xml:space="preserve">. </w:t>
      </w:r>
      <w:r w:rsidRPr="00795F17">
        <w:t>Tak więc obecnie jednostkami odpowiedzialnymi za utrzymanie wód i wykonywanie prac utrzymaniowych są ZZ WP, w</w:t>
      </w:r>
      <w:r w:rsidR="00410A22" w:rsidRPr="00795F17">
        <w:t> </w:t>
      </w:r>
      <w:r w:rsidRPr="00795F17">
        <w:t xml:space="preserve">ramach właściwych RZGW WP, </w:t>
      </w:r>
      <w:r w:rsidRPr="00AB0303">
        <w:t xml:space="preserve">które </w:t>
      </w:r>
      <w:r w:rsidRPr="00AB36EB">
        <w:t>wykonują prawa właścicielskie Skarbu Państwa w stosunku do</w:t>
      </w:r>
      <w:r w:rsidR="00410A22" w:rsidRPr="00AB36EB">
        <w:t> </w:t>
      </w:r>
      <w:r w:rsidRPr="00AB36EB">
        <w:t>śródlądowych wód płynących oraz gruntów pokrytych tymi wodami</w:t>
      </w:r>
      <w:r w:rsidRPr="00795F17">
        <w:t xml:space="preserve"> (art. 240 ust. 3 </w:t>
      </w:r>
      <w:r w:rsidR="00E9796C" w:rsidRPr="00795F17">
        <w:t>pkt</w:t>
      </w:r>
      <w:r w:rsidRPr="00795F17">
        <w:t xml:space="preserve"> 9 </w:t>
      </w:r>
      <w:r w:rsidR="0083060B" w:rsidRPr="00795F17">
        <w:t>pr.w.</w:t>
      </w:r>
      <w:r w:rsidRPr="00795F17">
        <w:t xml:space="preserve">). Zmiana ta miała na celu m. in. zwiększenie koordynacji działań z zakresu gospodarowania wodami oraz zapewnienie spójnego, kompleksowego zarządzania w gospodarce wodnej poprzez skupienie zadań w tym obszarze w jednej instytucji </w:t>
      </w:r>
      <w:r w:rsidR="00AB0303">
        <w:t>–</w:t>
      </w:r>
      <w:r w:rsidRPr="00795F17">
        <w:t xml:space="preserve"> </w:t>
      </w:r>
      <w:r w:rsidR="0028234C" w:rsidRPr="00795F17">
        <w:t>PGW WP</w:t>
      </w:r>
      <w:r w:rsidRPr="00795F17">
        <w:t xml:space="preserve">. </w:t>
      </w:r>
    </w:p>
    <w:p w14:paraId="208F51C5" w14:textId="53715001" w:rsidR="00CD1161" w:rsidRPr="00795F17" w:rsidRDefault="00CD1161" w:rsidP="0044393D">
      <w:pPr>
        <w:rPr>
          <w:color w:val="222222"/>
        </w:rPr>
      </w:pPr>
      <w:r w:rsidRPr="00795F17">
        <w:t>Podstawowym źródłem danych o sposobie prowadzenia działań w ramach prac utrzymaniowych w</w:t>
      </w:r>
      <w:r w:rsidR="00410A22" w:rsidRPr="00795F17">
        <w:t> </w:t>
      </w:r>
      <w:r w:rsidRPr="00795F17">
        <w:t>cyklu planistycznym 2016</w:t>
      </w:r>
      <w:r w:rsidR="00AB0303">
        <w:t>–</w:t>
      </w:r>
      <w:r w:rsidRPr="00795F17">
        <w:t xml:space="preserve">2021 są PUW, które zostały opracowane przez poszczególne RZGW WP dla obszarów przez nie administrowanych i </w:t>
      </w:r>
      <w:r w:rsidRPr="00795F17">
        <w:rPr>
          <w:color w:val="000000"/>
        </w:rPr>
        <w:t xml:space="preserve">przyjęte w formie aktów prawnych </w:t>
      </w:r>
      <w:r w:rsidR="00AB0303">
        <w:rPr>
          <w:color w:val="000000"/>
        </w:rPr>
        <w:t>–</w:t>
      </w:r>
      <w:r w:rsidRPr="00795F17">
        <w:rPr>
          <w:color w:val="000000"/>
        </w:rPr>
        <w:t xml:space="preserve"> rozporządzeń.</w:t>
      </w:r>
    </w:p>
    <w:p w14:paraId="3540BA59" w14:textId="3E87FB1C" w:rsidR="00CD1161" w:rsidRPr="00795F17" w:rsidRDefault="00CD1161" w:rsidP="00C53C86">
      <w:pPr>
        <w:pStyle w:val="Nagwek3"/>
      </w:pPr>
      <w:bookmarkStart w:id="915" w:name="_Toc105512725"/>
      <w:r w:rsidRPr="00795F17">
        <w:t>Działania wykonywane na poziomie obszaru dorzecza oraz regionu wodnego na</w:t>
      </w:r>
      <w:r w:rsidR="00435693" w:rsidRPr="00795F17">
        <w:t> </w:t>
      </w:r>
      <w:r w:rsidRPr="00795F17">
        <w:t>podstawie PUW</w:t>
      </w:r>
      <w:bookmarkEnd w:id="915"/>
    </w:p>
    <w:p w14:paraId="0F39C2A0" w14:textId="77777777" w:rsidR="00CD1161" w:rsidRPr="00795F17" w:rsidRDefault="00CD1161" w:rsidP="0044393D">
      <w:r w:rsidRPr="00795F17">
        <w:t>Działania wykonywane na poziomie obszaru dorzecza oraz regionu wodnego zgodnie z PUW obejmują następujące kategorie:</w:t>
      </w:r>
    </w:p>
    <w:p w14:paraId="35EC22E2" w14:textId="6AC3D52B" w:rsidR="00CD1161" w:rsidRPr="00795F17" w:rsidRDefault="00642780" w:rsidP="005635FD">
      <w:pPr>
        <w:pStyle w:val="Numerowanie"/>
        <w:numPr>
          <w:ilvl w:val="0"/>
          <w:numId w:val="79"/>
        </w:numPr>
      </w:pPr>
      <w:r>
        <w:t>w</w:t>
      </w:r>
      <w:r w:rsidR="00CD1161" w:rsidRPr="00795F17">
        <w:t xml:space="preserve">ykaszanie roślin z dna oraz brzegów śródlądowych wód powierzchniowych </w:t>
      </w:r>
      <w:r w:rsidR="00AB0303">
        <w:t>–</w:t>
      </w:r>
      <w:r w:rsidR="00CD1161" w:rsidRPr="00795F17">
        <w:t xml:space="preserve"> działanie ma na</w:t>
      </w:r>
      <w:r w:rsidR="000D640F">
        <w:t> </w:t>
      </w:r>
      <w:r w:rsidR="00CD1161" w:rsidRPr="00795F17">
        <w:t>celu zwiększenie pojemności koryta oraz prędkości przepływu poprzez zmniejszenie współczynnika szorstkości dna i brzegów koryta</w:t>
      </w:r>
      <w:r>
        <w:t>;</w:t>
      </w:r>
    </w:p>
    <w:p w14:paraId="3F02F8C4" w14:textId="22D86A6F" w:rsidR="00CD1161" w:rsidRPr="00795F17" w:rsidRDefault="00642780" w:rsidP="005635FD">
      <w:pPr>
        <w:pStyle w:val="Numerowanie"/>
        <w:numPr>
          <w:ilvl w:val="0"/>
          <w:numId w:val="79"/>
        </w:numPr>
      </w:pPr>
      <w:r>
        <w:t>u</w:t>
      </w:r>
      <w:r w:rsidR="00CD1161" w:rsidRPr="00795F17">
        <w:t>suwanie roślin pływających i korzeniących się w dnie śródlądowych wód powierzchniowych - podobnie jak poprzednie, to działanie ma na celu zwiększenie przepustowości koryta poprzez zwiększenie jego pojemności oraz zmniejszenie współczynnika szorstkości przepływu. Dodatkowo usuwanie roślin korzeniących się w dnie zapewni ochronę przed osadzaniem się namułów i</w:t>
      </w:r>
      <w:r w:rsidR="00DE7312" w:rsidRPr="00795F17">
        <w:t> </w:t>
      </w:r>
      <w:r w:rsidR="00CD1161" w:rsidRPr="00795F17">
        <w:t>rumoszu</w:t>
      </w:r>
      <w:r>
        <w:t>;</w:t>
      </w:r>
    </w:p>
    <w:p w14:paraId="700E47AC" w14:textId="72110395" w:rsidR="00CD1161" w:rsidRPr="00795F17" w:rsidRDefault="00642780" w:rsidP="005635FD">
      <w:pPr>
        <w:pStyle w:val="Numerowanie"/>
        <w:numPr>
          <w:ilvl w:val="0"/>
          <w:numId w:val="79"/>
        </w:numPr>
      </w:pPr>
      <w:r>
        <w:t>u</w:t>
      </w:r>
      <w:r w:rsidR="00CD1161" w:rsidRPr="00795F17">
        <w:t xml:space="preserve">suwanie drzew i krzewów porastających dno oraz brzegi śródlądowych wód powierzchniowych </w:t>
      </w:r>
      <w:r w:rsidR="004A4485">
        <w:t>–</w:t>
      </w:r>
      <w:r w:rsidR="00CD1161" w:rsidRPr="00795F17">
        <w:t xml:space="preserve"> celem działania jest ułatwienie i przyspieszenie spływu wód wezbraniowych, a podczas wiosennych roztopów </w:t>
      </w:r>
      <w:r w:rsidR="004A4485">
        <w:t>–</w:t>
      </w:r>
      <w:r w:rsidR="00CD1161" w:rsidRPr="00795F17">
        <w:t xml:space="preserve"> spływu kry lodowej. Jest ono niezbędne szczególnie na obszarach, gdzie istnieje ryzyko wystąpienia powodzi. Działanie jest regulowane prawnie (</w:t>
      </w:r>
      <w:r w:rsidR="006E6045" w:rsidRPr="00795F17">
        <w:t>u.o.p</w:t>
      </w:r>
      <w:r w:rsidR="00AC0FF3" w:rsidRPr="00795F17">
        <w:t>.</w:t>
      </w:r>
      <w:r w:rsidR="00CD1161" w:rsidRPr="00795F17">
        <w:t xml:space="preserve">, </w:t>
      </w:r>
      <w:r w:rsidR="006E6045" w:rsidRPr="00795F17">
        <w:t>pr.w.</w:t>
      </w:r>
      <w:r w:rsidR="00CD1161" w:rsidRPr="00795F17">
        <w:t>)</w:t>
      </w:r>
      <w:r>
        <w:t>;</w:t>
      </w:r>
    </w:p>
    <w:p w14:paraId="6EE094D5" w14:textId="5AECF6A4" w:rsidR="00CD1161" w:rsidRPr="00795F17" w:rsidRDefault="00642780" w:rsidP="005635FD">
      <w:pPr>
        <w:pStyle w:val="Numerowanie"/>
        <w:numPr>
          <w:ilvl w:val="0"/>
          <w:numId w:val="79"/>
        </w:numPr>
      </w:pPr>
      <w:r>
        <w:t>u</w:t>
      </w:r>
      <w:r w:rsidR="00CD1161" w:rsidRPr="00795F17">
        <w:t>suwanie z śródlądowych wód powierzchniowych przeszkód naturalnych oraz wynikających z</w:t>
      </w:r>
      <w:r w:rsidR="00DE7312" w:rsidRPr="00795F17">
        <w:t> </w:t>
      </w:r>
      <w:r w:rsidR="00CD1161" w:rsidRPr="00795F17">
        <w:t xml:space="preserve">działalności człowieka </w:t>
      </w:r>
      <w:r w:rsidR="004A4485">
        <w:t>–</w:t>
      </w:r>
      <w:r w:rsidR="00CD1161" w:rsidRPr="00795F17">
        <w:t xml:space="preserve"> celem działania jest udrożnienie koryta i tym samym zwiększenie jego przepustowości oraz zapewnienie swobodnego odpływu wód poprzez zlokalizowanie i wydobycie przeszkód tamujących przepływ wody</w:t>
      </w:r>
      <w:r>
        <w:t>;</w:t>
      </w:r>
    </w:p>
    <w:p w14:paraId="38BA9941" w14:textId="513C0FEA" w:rsidR="00CD1161" w:rsidRPr="00795F17" w:rsidRDefault="00642780" w:rsidP="005635FD">
      <w:pPr>
        <w:pStyle w:val="Numerowanie"/>
        <w:numPr>
          <w:ilvl w:val="0"/>
          <w:numId w:val="79"/>
        </w:numPr>
      </w:pPr>
      <w:r>
        <w:t>z</w:t>
      </w:r>
      <w:r w:rsidR="00CD1161" w:rsidRPr="00795F17">
        <w:t xml:space="preserve">asypywanie wyrw w brzegach i dnie śródlądowych wód powierzchniowych </w:t>
      </w:r>
      <w:r w:rsidR="004A4485">
        <w:t>–</w:t>
      </w:r>
      <w:r w:rsidR="00CD1161" w:rsidRPr="00795F17">
        <w:t xml:space="preserve"> działanie ma na</w:t>
      </w:r>
      <w:r w:rsidR="000D640F">
        <w:t> </w:t>
      </w:r>
      <w:r w:rsidR="00CD1161" w:rsidRPr="00795F17">
        <w:t>celu zasypywanie wyrw w brzegach i dnie śródlądowych wód powierzchniowych w celu powstrzymania degradacji brzegów koryta, spowodowanej erozją denną i brzegową. Pomimo że procesy erozyjne są naturalnym zjawiskiem hydromorfologicznym, należy je kontrolować, ponieważ mogą stanowić zagrożenie dla zlokalizowanej w korytach cieków i w ich sąsiedztwie zabudowy regulacyjnej, budynków mieszkalnych i gospodarczych oraz infrastruktury technicznej</w:t>
      </w:r>
      <w:r>
        <w:t>;</w:t>
      </w:r>
    </w:p>
    <w:p w14:paraId="69961F6A" w14:textId="23378BF7" w:rsidR="00CD1161" w:rsidRPr="00795F17" w:rsidRDefault="00642780" w:rsidP="005635FD">
      <w:pPr>
        <w:pStyle w:val="Numerowanie"/>
        <w:numPr>
          <w:ilvl w:val="0"/>
          <w:numId w:val="79"/>
        </w:numPr>
      </w:pPr>
      <w:r>
        <w:t>u</w:t>
      </w:r>
      <w:r w:rsidR="00CD1161" w:rsidRPr="00795F17">
        <w:t xml:space="preserve">drażnianie śródlądowych wód powierzchniowych przez usuwanie zatorów utrudniających swobodny przepływ wód oraz usuwanie namułów i rumoszu </w:t>
      </w:r>
      <w:r w:rsidR="004A4485">
        <w:t>–</w:t>
      </w:r>
      <w:r w:rsidR="00CD1161" w:rsidRPr="00795F17">
        <w:t xml:space="preserve"> celem działania jest zwiększenie pojemności i przepustowości koryta cieku, a tym samym zapewnienie bezpieczeństwa przeciwpowodziowego z zachowaniem odpowiednich warunków dla potrzeb rolniczych (systemy melioracyjne) i transportowych (drogi wodne)</w:t>
      </w:r>
      <w:r>
        <w:t>;</w:t>
      </w:r>
    </w:p>
    <w:p w14:paraId="3F400651" w14:textId="115DB1C1" w:rsidR="00CD1161" w:rsidRPr="00795F17" w:rsidRDefault="00642780" w:rsidP="005635FD">
      <w:pPr>
        <w:pStyle w:val="Numerowanie"/>
        <w:numPr>
          <w:ilvl w:val="0"/>
          <w:numId w:val="79"/>
        </w:numPr>
      </w:pPr>
      <w:r>
        <w:t>r</w:t>
      </w:r>
      <w:r w:rsidR="00CD1161" w:rsidRPr="00795F17">
        <w:t>emont lub konserwacja stanowiących własność właściciela wody budowli regulacyjnych oraz</w:t>
      </w:r>
      <w:r w:rsidR="000D640F">
        <w:t> </w:t>
      </w:r>
      <w:r w:rsidR="00CD1161" w:rsidRPr="00795F17">
        <w:t xml:space="preserve">ubezpieczeń w obrębie tych budowli i urządzeń wodnych </w:t>
      </w:r>
      <w:r w:rsidR="004A4485">
        <w:t>–</w:t>
      </w:r>
      <w:r w:rsidR="00CD1161" w:rsidRPr="00795F17">
        <w:t xml:space="preserve"> w celu ujednolicenia PUW realizowanych przez poszczególne </w:t>
      </w:r>
      <w:r w:rsidR="004635D6" w:rsidRPr="00795F17">
        <w:t>RZGW WP</w:t>
      </w:r>
      <w:r w:rsidR="00CD1161" w:rsidRPr="00795F17">
        <w:t xml:space="preserve"> przyjęto zestaw definicji:</w:t>
      </w:r>
    </w:p>
    <w:p w14:paraId="163F1EFB" w14:textId="37CB5B9A" w:rsidR="00CD1161" w:rsidRPr="00795F17" w:rsidRDefault="00CD1161" w:rsidP="00117E86">
      <w:pPr>
        <w:pStyle w:val="Listapunktowana2"/>
      </w:pPr>
      <w:r w:rsidRPr="00795F17">
        <w:t>budowlę regulacyjną stanowi obiekt budowlany niebędący budynkiem lub obiektem małej architektury, którego wykonanie bądź przebudowa wymaga uzyskania pozwolenia na budowę. Dodatkowym kryterium decydującym o istotności budowli regulacyjnej dla zarządzania wodami jest jej wykorzystanie przy kształtowaniu przepływu dla szczególnego korzystania z</w:t>
      </w:r>
      <w:r w:rsidR="00410A22" w:rsidRPr="00795F17">
        <w:t> </w:t>
      </w:r>
      <w:r w:rsidRPr="00795F17">
        <w:t xml:space="preserve">wód (np. uprawianie żeglugi </w:t>
      </w:r>
      <w:r w:rsidR="00DB61CF">
        <w:t xml:space="preserve">śródlądowej </w:t>
      </w:r>
      <w:r w:rsidR="004A4485">
        <w:t>–</w:t>
      </w:r>
      <w:r w:rsidRPr="00795F17">
        <w:t xml:space="preserve"> w tym prowadzenie zimowej akcji lodołamania, zapewnienie właściwych warunków dla ujęć wody) lub realizacji zadań związanych z ochroną przeciwpowodziową. Budowlami regulacyjnymi istotnymi dla zarządzania wodami są ostrogi, tamy poprzeczne, kierownice itp.</w:t>
      </w:r>
      <w:r w:rsidR="00642780">
        <w:t>,</w:t>
      </w:r>
    </w:p>
    <w:p w14:paraId="0E943696" w14:textId="28DA2578" w:rsidR="00CD1161" w:rsidRPr="00795F17" w:rsidRDefault="00CD1161" w:rsidP="00117E86">
      <w:pPr>
        <w:pStyle w:val="Listapunktowana2"/>
      </w:pPr>
      <w:r w:rsidRPr="00795F17">
        <w:t>budowli regulacyjnych nie stanowią między innymi budowle piętrzące o możliwości sterowania przepływem wód (jazy, śluzy), a także urządzenia wodne składające się z kilku budowli, np.</w:t>
      </w:r>
      <w:r w:rsidR="00410A22" w:rsidRPr="00795F17">
        <w:t> </w:t>
      </w:r>
      <w:r w:rsidRPr="00795F17">
        <w:t>wielozadaniowe zbiorniki wodne wraz z śluzami, jazem itd.</w:t>
      </w:r>
      <w:r w:rsidR="00642780">
        <w:t>,</w:t>
      </w:r>
    </w:p>
    <w:p w14:paraId="66FEE332" w14:textId="07916692" w:rsidR="00CD1161" w:rsidRPr="00795F17" w:rsidRDefault="00CD1161" w:rsidP="00117E86">
      <w:pPr>
        <w:pStyle w:val="Listapunktowana2"/>
      </w:pPr>
      <w:r w:rsidRPr="00795F17">
        <w:t>pozostałe urządzenia wodne istotne dla zarządzania wodami stanowią budowle piętrzące o</w:t>
      </w:r>
      <w:r w:rsidR="00410A22" w:rsidRPr="00795F17">
        <w:t> </w:t>
      </w:r>
      <w:r w:rsidRPr="00795F17">
        <w:t xml:space="preserve">możliwości sterowania przepływem wód (jazy, śluzy, wrota przeciwpowodziowe), </w:t>
      </w:r>
      <w:r w:rsidR="00DA4F98">
        <w:br/>
      </w:r>
      <w:r w:rsidRPr="00795F17">
        <w:t>a także urządzenia wodne składające się z kilku budowli, np. wielozadaniowe zbiorniki wodne wraz ze śluzami, jazem, elektrownią wodną itd., wykorzystywane do zaopatrzenia w wodę ludzi, przemysłu i rolnictwa. Pozostałe urządzenia wodne i ubezpieczenia brzegów, w tym także zapory przeciwrumowiskowe, o ile nie stanowią infrastruktury istotnej dla zarządzania wodami, są niezbędne dla utrzymania parametrów koryt i zabezpieczenia brzegów oraz dna przed erozją</w:t>
      </w:r>
      <w:r w:rsidR="00642780">
        <w:t>;</w:t>
      </w:r>
    </w:p>
    <w:p w14:paraId="5B5ED2AC" w14:textId="7AF1A133" w:rsidR="00CD1161" w:rsidRPr="00795F17" w:rsidRDefault="00642780" w:rsidP="005635FD">
      <w:pPr>
        <w:pStyle w:val="Numerowanie"/>
        <w:numPr>
          <w:ilvl w:val="0"/>
          <w:numId w:val="79"/>
        </w:numPr>
      </w:pPr>
      <w:r>
        <w:t>r</w:t>
      </w:r>
      <w:r w:rsidR="00CD1161" w:rsidRPr="00795F17">
        <w:t xml:space="preserve">ozbiórka lub modyfikacja tam bobrowych oraz zasypywanie nor bobrów w brzegach śródlądowych wód powierzchniowych </w:t>
      </w:r>
      <w:r w:rsidR="004A4485">
        <w:t>–</w:t>
      </w:r>
      <w:r w:rsidR="00CD1161" w:rsidRPr="00795F17">
        <w:t xml:space="preserve"> mają na celu zwiększenie przepustowości koryta cieku. Tamy bobrowe stanowią utrudnienie w swobodnym przepływie wód. Powodują one spiętrzanie wody i zalewanie terenów przyległych do cieku wodnego. Jednocześnie bobry przyczyniają się do</w:t>
      </w:r>
      <w:r w:rsidR="00410A22" w:rsidRPr="00795F17">
        <w:t> </w:t>
      </w:r>
      <w:r w:rsidR="00CD1161" w:rsidRPr="00795F17">
        <w:t>rozkopywania grobli oraz wałów przeciwpowodziowych, a także blokowania rowów melioracyjnych, przepustów i innych budowli hydrotechnicznych.</w:t>
      </w:r>
    </w:p>
    <w:p w14:paraId="5FC504B2" w14:textId="2C261909" w:rsidR="00CD1161" w:rsidRPr="00795F17" w:rsidRDefault="00CD1161" w:rsidP="00C53C86">
      <w:pPr>
        <w:pStyle w:val="Nagwek3"/>
      </w:pPr>
      <w:bookmarkStart w:id="916" w:name="_Toc105512726"/>
      <w:r w:rsidRPr="00795F17">
        <w:t>Katalog dobrych praktyk w zakresie robót hydrotechnicznych i prac utrzymaniowych wraz z ustaleniem zasad</w:t>
      </w:r>
      <w:bookmarkEnd w:id="916"/>
    </w:p>
    <w:p w14:paraId="2452164E" w14:textId="3ABAAC85" w:rsidR="00CD1161" w:rsidRPr="00795F17" w:rsidRDefault="00CD1161" w:rsidP="0044393D">
      <w:r w:rsidRPr="00795F17">
        <w:t>W katalogu działań krajowych aPWŚK zaplanowano działanie polegające na „opracowaniu dobrych praktyk w zakresie robót hydrotechnicznych i prac utrzymaniowych wraz z ustaleniem zasad ich</w:t>
      </w:r>
      <w:r w:rsidR="00435693" w:rsidRPr="00795F17">
        <w:t> </w:t>
      </w:r>
      <w:r w:rsidRPr="00795F17">
        <w:t>wdrażania”. Potrzebę jego stworzenia zdiagnozowano następująco:</w:t>
      </w:r>
    </w:p>
    <w:p w14:paraId="7C2E688D" w14:textId="4CEF8DAD" w:rsidR="00CD1161" w:rsidRPr="00795F17" w:rsidRDefault="00CD1161" w:rsidP="0044393D">
      <w:r w:rsidRPr="00795F17">
        <w:t>Podejmowane w przeszłości działania technicznej regulacji cieków, realizowane głównie w celu ochrony przeciwpowodziowej, doprowadziły do znacznej degradacji oraz zniszczenia występujących na</w:t>
      </w:r>
      <w:r w:rsidR="00DA4F98">
        <w:t> </w:t>
      </w:r>
      <w:r w:rsidRPr="00795F17">
        <w:t>ich obszarze charakterystycznych ekosystemów wodnych i od wód zależnych. Obecnie wszelkim podejmowanym na rzekach pracom stawiane są nowe wymagania, które wskazują na utrzymanie cieków zbliżone jak najbardziej do naturalnego i maksymalnie zbieżnego z celami renaturyzacji, które jednocześnie mają umożliwić bezpieczne dla otoczenia przeprowadzenie wód wezbraniowych. W</w:t>
      </w:r>
      <w:r w:rsidR="00410A22" w:rsidRPr="00795F17">
        <w:t> </w:t>
      </w:r>
      <w:r w:rsidRPr="00795F17">
        <w:t>pracach utrzymaniowych rzek znaczenie mają kryteria z grupy jakości hydromorfologicznej wód płynących, które podlegają ocenie zgodnie z normą PN-EN 14616:2008.</w:t>
      </w:r>
    </w:p>
    <w:p w14:paraId="1B6DEE99" w14:textId="3D250BEA" w:rsidR="00CD1161" w:rsidRPr="00795F17" w:rsidRDefault="00CD1161" w:rsidP="0044393D">
      <w:r w:rsidRPr="00795F17">
        <w:t xml:space="preserve">Stwierdzenie to jest realizowane w </w:t>
      </w:r>
      <w:r w:rsidRPr="005B2C76">
        <w:t>Katalogu dobrych praktyk w zakresie robót hydrotechnicznych i</w:t>
      </w:r>
      <w:r w:rsidR="00410A22" w:rsidRPr="005B2C76">
        <w:t> </w:t>
      </w:r>
      <w:r w:rsidRPr="005B2C76">
        <w:t>prac utrzymaniowych wraz z ustaleniem zasad ich wdrażania</w:t>
      </w:r>
      <w:r w:rsidR="003D4727">
        <w:t xml:space="preserve">, </w:t>
      </w:r>
      <w:r w:rsidRPr="00795F17">
        <w:t>dalej</w:t>
      </w:r>
      <w:r w:rsidR="003D4727">
        <w:t xml:space="preserve"> jako</w:t>
      </w:r>
      <w:r w:rsidRPr="00795F17">
        <w:t xml:space="preserve"> </w:t>
      </w:r>
      <w:r w:rsidR="003D4727">
        <w:t>„</w:t>
      </w:r>
      <w:r w:rsidRPr="00AB36EB">
        <w:rPr>
          <w:i/>
        </w:rPr>
        <w:t>Katalog dobrych praktyk PU</w:t>
      </w:r>
      <w:r w:rsidR="003D4727">
        <w:t>”</w:t>
      </w:r>
      <w:r w:rsidRPr="00795F17">
        <w:t>,</w:t>
      </w:r>
      <w:r w:rsidRPr="00795F17">
        <w:rPr>
          <w:b/>
          <w:bCs/>
        </w:rPr>
        <w:t xml:space="preserve"> </w:t>
      </w:r>
      <w:r w:rsidRPr="00795F17">
        <w:t xml:space="preserve">który </w:t>
      </w:r>
      <w:r w:rsidR="00DC3BF1">
        <w:t xml:space="preserve">został opracowany w 2019 roku </w:t>
      </w:r>
      <w:r w:rsidR="004F71BB">
        <w:t xml:space="preserve">dla potrzeb </w:t>
      </w:r>
      <w:r w:rsidR="00DC3BF1">
        <w:t>Ministerstwa Środowiska i</w:t>
      </w:r>
      <w:r w:rsidRPr="00795F17">
        <w:t xml:space="preserve"> funkcjonuje jako osobny dokument.</w:t>
      </w:r>
    </w:p>
    <w:p w14:paraId="63672358" w14:textId="4D240003" w:rsidR="00CD1161" w:rsidRPr="00795F17" w:rsidRDefault="00CD1161" w:rsidP="0044393D">
      <w:pPr>
        <w:rPr>
          <w:rFonts w:asciiTheme="minorHAnsi" w:hAnsiTheme="minorHAnsi" w:cstheme="minorBidi"/>
        </w:rPr>
      </w:pPr>
      <w:r w:rsidRPr="00AB36EB">
        <w:t>Katalog</w:t>
      </w:r>
      <w:r w:rsidRPr="005B2C76">
        <w:t xml:space="preserve"> </w:t>
      </w:r>
      <w:r w:rsidRPr="00AB36EB">
        <w:rPr>
          <w:rFonts w:asciiTheme="minorHAnsi" w:hAnsiTheme="minorHAnsi" w:cstheme="minorBidi"/>
        </w:rPr>
        <w:t>dobrych praktyk PU</w:t>
      </w:r>
      <w:r w:rsidRPr="005B2C76">
        <w:t xml:space="preserve"> </w:t>
      </w:r>
      <w:r w:rsidRPr="00795F17">
        <w:t xml:space="preserve">definiuje „dobre praktyki”, odnosząc się do 4 kroków decyzyjnych, stanowiących </w:t>
      </w:r>
      <w:r w:rsidRPr="00795F17">
        <w:rPr>
          <w:rFonts w:asciiTheme="minorHAnsi" w:hAnsiTheme="minorHAnsi" w:cstheme="minorBidi"/>
        </w:rPr>
        <w:t>zasady prowadzenia prac utrzymaniowych:</w:t>
      </w:r>
    </w:p>
    <w:p w14:paraId="06C3D6EA" w14:textId="77777777" w:rsidR="00CD1161" w:rsidRPr="00795F17" w:rsidRDefault="00CD1161" w:rsidP="005635FD">
      <w:pPr>
        <w:pStyle w:val="Numerowanie"/>
        <w:numPr>
          <w:ilvl w:val="0"/>
          <w:numId w:val="80"/>
        </w:numPr>
      </w:pPr>
      <w:r w:rsidRPr="00795F17">
        <w:t>Etap pierwszy: analiza i diagnoza problemu oraz rozważenie możliwych rozwiązań</w:t>
      </w:r>
    </w:p>
    <w:p w14:paraId="221890B9" w14:textId="2E1708F2" w:rsidR="00CD1161" w:rsidRPr="00795F17" w:rsidRDefault="00CD1161" w:rsidP="00117E86">
      <w:pPr>
        <w:pStyle w:val="Listapunktowana2"/>
      </w:pPr>
      <w:r w:rsidRPr="00795F17">
        <w:t>Zrozumienie źródeł problemu oraz rozpatrzenie rozwiązań z uwzględnieniem funkcjonowania cieku, zagospodarowania terenów przyległych oraz występowania form ochrony przyrody.</w:t>
      </w:r>
    </w:p>
    <w:p w14:paraId="2374C826" w14:textId="77777777" w:rsidR="00CD1161" w:rsidRPr="00795F17" w:rsidRDefault="00CD1161" w:rsidP="00410A22">
      <w:pPr>
        <w:pStyle w:val="Numerowanie"/>
      </w:pPr>
      <w:r w:rsidRPr="00795F17">
        <w:t>Etap drugi: ograniczenia prawne i środowiskowe</w:t>
      </w:r>
    </w:p>
    <w:p w14:paraId="522F2375" w14:textId="528E09B3" w:rsidR="00CD1161" w:rsidRPr="00795F17" w:rsidRDefault="00CD1161" w:rsidP="00117E86">
      <w:pPr>
        <w:pStyle w:val="Listapunktowana2"/>
      </w:pPr>
      <w:r w:rsidRPr="00795F17">
        <w:t>Analiza ograniczeń, które mogą stworzyć bariery prawnośrodowiskowe. Występowanie ich może prowadzić do potrzeby wprowadzenia istotnych modyfikacji sposobu wykonania prac, tak by oddziaływanie przedsięwzięcia było ograniczone do nieznaczącego i prace były dopuszczalne.</w:t>
      </w:r>
    </w:p>
    <w:p w14:paraId="75702E8B" w14:textId="77777777" w:rsidR="00CD1161" w:rsidRPr="00795F17" w:rsidRDefault="00CD1161" w:rsidP="00410A22">
      <w:pPr>
        <w:pStyle w:val="Numerowanie"/>
      </w:pPr>
      <w:r w:rsidRPr="00795F17">
        <w:t>Etap trzeci: opłacalność celowej interwencji</w:t>
      </w:r>
    </w:p>
    <w:p w14:paraId="6BB6920A" w14:textId="36A50C7B" w:rsidR="00CD1161" w:rsidRPr="00795F17" w:rsidRDefault="00CD1161" w:rsidP="00117E86">
      <w:pPr>
        <w:pStyle w:val="Listapunktowana2"/>
      </w:pPr>
      <w:r w:rsidRPr="00795F17">
        <w:t>Sprawdzenie, czy podejmowana interwencja będzie opłacalna ekonomicznie, tj.</w:t>
      </w:r>
      <w:r w:rsidR="00091871">
        <w:t> </w:t>
      </w:r>
      <w:r w:rsidRPr="00795F17">
        <w:t>czy</w:t>
      </w:r>
      <w:r w:rsidR="00091871">
        <w:t> </w:t>
      </w:r>
      <w:r w:rsidRPr="00795F17">
        <w:t>przewidywane korzyści będą znacząco wyższe od poniesionych kosztów.</w:t>
      </w:r>
    </w:p>
    <w:p w14:paraId="560D7A19" w14:textId="77777777" w:rsidR="00CD1161" w:rsidRPr="00795F17" w:rsidRDefault="00CD1161" w:rsidP="00410A22">
      <w:pPr>
        <w:pStyle w:val="Numerowanie"/>
      </w:pPr>
      <w:r w:rsidRPr="00795F17">
        <w:t>Etap czwarty: wybór optymalnego rozwiązania</w:t>
      </w:r>
    </w:p>
    <w:p w14:paraId="5E1203A5" w14:textId="6DC2C080" w:rsidR="00CD1161" w:rsidRPr="00795F17" w:rsidRDefault="00CD1161" w:rsidP="00117E86">
      <w:pPr>
        <w:pStyle w:val="Listapunktowana2"/>
      </w:pPr>
      <w:r w:rsidRPr="00795F17">
        <w:t>Dobór form, terminów, technologii i zakresu wykonywania prac, a także środków minimalizujących i ewentualnych działań kompensujących przy zachowaniu zakładanej skuteczności.</w:t>
      </w:r>
    </w:p>
    <w:p w14:paraId="7422C6BA" w14:textId="00EB1397" w:rsidR="00CD1161" w:rsidRPr="00795F17" w:rsidRDefault="00CD1161" w:rsidP="00C53C86">
      <w:pPr>
        <w:pStyle w:val="Nagwek3"/>
      </w:pPr>
      <w:bookmarkStart w:id="917" w:name="_Toc105512727"/>
      <w:r w:rsidRPr="00795F17">
        <w:t>Raport dotyczący zrealizowanych prac na przykładzie roku 2019</w:t>
      </w:r>
      <w:bookmarkEnd w:id="917"/>
    </w:p>
    <w:p w14:paraId="752EBC16" w14:textId="718A800D" w:rsidR="00CD1161" w:rsidRPr="00795F17" w:rsidRDefault="00CD1161" w:rsidP="0044393D">
      <w:r w:rsidRPr="00795F17">
        <w:t>W celu przedstawienia zbiorczej informacji o realizowanych pracach utrzymaniowych, przygotowane zostały zestawienia wykazanych w PUW prac/interwencji skategoryzowane odpowiednio do</w:t>
      </w:r>
      <w:r w:rsidR="00410A22" w:rsidRPr="00795F17">
        <w:t> </w:t>
      </w:r>
      <w:r w:rsidRPr="00795F17">
        <w:t>wskazanych w podrozdziale 13.8.1 kategorii działań zgodnych z PUW</w:t>
      </w:r>
      <w:r w:rsidR="003C019C">
        <w:t>,</w:t>
      </w:r>
      <w:r w:rsidRPr="00795F17">
        <w:t xml:space="preserve"> tj</w:t>
      </w:r>
      <w:r w:rsidR="000A7A39">
        <w:t>.</w:t>
      </w:r>
      <w:r w:rsidRPr="00795F17">
        <w:t>:</w:t>
      </w:r>
    </w:p>
    <w:p w14:paraId="1CF29533" w14:textId="2510A357" w:rsidR="00CD1161" w:rsidRPr="00795F17" w:rsidRDefault="00F379FE" w:rsidP="005635FD">
      <w:pPr>
        <w:pStyle w:val="Numerowanie"/>
        <w:numPr>
          <w:ilvl w:val="0"/>
          <w:numId w:val="81"/>
        </w:numPr>
      </w:pPr>
      <w:r>
        <w:t>w</w:t>
      </w:r>
      <w:r w:rsidRPr="00795F17">
        <w:t xml:space="preserve">ykaszanie </w:t>
      </w:r>
      <w:r w:rsidR="00CD1161" w:rsidRPr="00795F17">
        <w:t>roślin z dna oraz brzegów śródlądowych wód powierzchniowych</w:t>
      </w:r>
      <w:r>
        <w:t>;</w:t>
      </w:r>
    </w:p>
    <w:p w14:paraId="21528D16" w14:textId="454BD663" w:rsidR="00CD1161" w:rsidRPr="00795F17" w:rsidRDefault="00F379FE" w:rsidP="005635FD">
      <w:pPr>
        <w:pStyle w:val="Numerowanie"/>
        <w:numPr>
          <w:ilvl w:val="0"/>
          <w:numId w:val="81"/>
        </w:numPr>
      </w:pPr>
      <w:r>
        <w:t>u</w:t>
      </w:r>
      <w:r w:rsidRPr="00795F17">
        <w:t xml:space="preserve">suwanie </w:t>
      </w:r>
      <w:r w:rsidR="00CD1161" w:rsidRPr="00795F17">
        <w:t>roślin pływających i korzeniących się w dnie śródlądowych wód powierzchniowych</w:t>
      </w:r>
      <w:r>
        <w:t>;</w:t>
      </w:r>
    </w:p>
    <w:p w14:paraId="76FB4A5F" w14:textId="1F334FB8" w:rsidR="00CD1161" w:rsidRPr="00795F17" w:rsidRDefault="00F379FE" w:rsidP="005635FD">
      <w:pPr>
        <w:pStyle w:val="Numerowanie"/>
        <w:numPr>
          <w:ilvl w:val="0"/>
          <w:numId w:val="81"/>
        </w:numPr>
      </w:pPr>
      <w:r>
        <w:t>u</w:t>
      </w:r>
      <w:r w:rsidRPr="00795F17">
        <w:t xml:space="preserve">suwanie </w:t>
      </w:r>
      <w:r w:rsidR="00CD1161" w:rsidRPr="00795F17">
        <w:t>drzew i krzewów porastających dno oraz brzegi śródlądowych wód powierzchniowych</w:t>
      </w:r>
      <w:r>
        <w:t>;</w:t>
      </w:r>
    </w:p>
    <w:p w14:paraId="2161265C" w14:textId="249F742B" w:rsidR="00CD1161" w:rsidRPr="00795F17" w:rsidRDefault="00F379FE" w:rsidP="005635FD">
      <w:pPr>
        <w:pStyle w:val="Numerowanie"/>
        <w:numPr>
          <w:ilvl w:val="0"/>
          <w:numId w:val="81"/>
        </w:numPr>
      </w:pPr>
      <w:r>
        <w:t>u</w:t>
      </w:r>
      <w:r w:rsidRPr="00795F17">
        <w:t>suwanie</w:t>
      </w:r>
      <w:r w:rsidR="00CD1161" w:rsidRPr="00795F17">
        <w:t xml:space="preserve"> z śródlądowych wód powierzchniowych przeszkód naturalnych oraz wynikających z</w:t>
      </w:r>
      <w:r w:rsidR="00410A22" w:rsidRPr="00795F17">
        <w:t> </w:t>
      </w:r>
      <w:r w:rsidR="00CD1161" w:rsidRPr="00795F17">
        <w:t>działalności człowieka</w:t>
      </w:r>
      <w:r>
        <w:t>;</w:t>
      </w:r>
    </w:p>
    <w:p w14:paraId="2709570A" w14:textId="50C319F3" w:rsidR="00CD1161" w:rsidRPr="00795F17" w:rsidRDefault="00F379FE" w:rsidP="005635FD">
      <w:pPr>
        <w:pStyle w:val="Numerowanie"/>
        <w:numPr>
          <w:ilvl w:val="0"/>
          <w:numId w:val="81"/>
        </w:numPr>
      </w:pPr>
      <w:r>
        <w:t>z</w:t>
      </w:r>
      <w:r w:rsidRPr="00795F17">
        <w:t xml:space="preserve">asypywanie </w:t>
      </w:r>
      <w:r w:rsidR="00CD1161" w:rsidRPr="00795F17">
        <w:t>wyrw w brzegach i dnie śródlądowych wód powierzchniowych oraz przez ich</w:t>
      </w:r>
      <w:r w:rsidR="00410A22" w:rsidRPr="00795F17">
        <w:t> </w:t>
      </w:r>
      <w:r w:rsidR="00CD1161" w:rsidRPr="00795F17">
        <w:t>zabudowę biologiczną</w:t>
      </w:r>
      <w:r>
        <w:t>;</w:t>
      </w:r>
    </w:p>
    <w:p w14:paraId="2C5CD647" w14:textId="6065EB71" w:rsidR="00CD1161" w:rsidRPr="00795F17" w:rsidRDefault="00F379FE" w:rsidP="005635FD">
      <w:pPr>
        <w:pStyle w:val="Numerowanie"/>
        <w:numPr>
          <w:ilvl w:val="0"/>
          <w:numId w:val="81"/>
        </w:numPr>
      </w:pPr>
      <w:r>
        <w:t>u</w:t>
      </w:r>
      <w:r w:rsidRPr="00795F17">
        <w:t>drażnianie</w:t>
      </w:r>
      <w:r w:rsidR="00CD1161" w:rsidRPr="00795F17">
        <w:t xml:space="preserve"> śródlądowych wód powierzchniowych przez usuwanie zatorów utrudniających swobodny przepływ wód oraz usuwanie namułów i rumoszu</w:t>
      </w:r>
      <w:r>
        <w:t>;</w:t>
      </w:r>
    </w:p>
    <w:p w14:paraId="00952BC0" w14:textId="78C71DEC" w:rsidR="00CD1161" w:rsidRPr="00795F17" w:rsidRDefault="00F379FE" w:rsidP="005635FD">
      <w:pPr>
        <w:pStyle w:val="Numerowanie"/>
        <w:numPr>
          <w:ilvl w:val="0"/>
          <w:numId w:val="81"/>
        </w:numPr>
      </w:pPr>
      <w:r>
        <w:t>r</w:t>
      </w:r>
      <w:r w:rsidRPr="00795F17">
        <w:t>emont</w:t>
      </w:r>
      <w:r w:rsidR="00CD1161" w:rsidRPr="00795F17">
        <w:t xml:space="preserve"> lub konserwacja stanowiących własność właściciela wody budowli regulacyjnych oraz</w:t>
      </w:r>
      <w:r w:rsidR="000D640F">
        <w:t> </w:t>
      </w:r>
      <w:r w:rsidR="00CD1161" w:rsidRPr="00795F17">
        <w:t>ubezpieczeń w obrębie tych budowli i urządzeń wodnych</w:t>
      </w:r>
      <w:r>
        <w:t>;</w:t>
      </w:r>
    </w:p>
    <w:p w14:paraId="75BC22F0" w14:textId="1E6C9840" w:rsidR="00CD1161" w:rsidRPr="00795F17" w:rsidRDefault="00F379FE" w:rsidP="005635FD">
      <w:pPr>
        <w:pStyle w:val="Numerowanie"/>
        <w:numPr>
          <w:ilvl w:val="0"/>
          <w:numId w:val="81"/>
        </w:numPr>
      </w:pPr>
      <w:r>
        <w:t>r</w:t>
      </w:r>
      <w:r w:rsidRPr="00795F17">
        <w:t>ozbiórka</w:t>
      </w:r>
      <w:r w:rsidR="00CD1161" w:rsidRPr="00795F17">
        <w:t xml:space="preserve"> lub modyfikacja tam bobrowych oraz zasypywanie nor bobrów w brzegach śródlądowych wód powierzchniowych.</w:t>
      </w:r>
    </w:p>
    <w:p w14:paraId="4D954840" w14:textId="47198127" w:rsidR="00CD1161" w:rsidRPr="00795F17" w:rsidRDefault="00CD1161" w:rsidP="0044393D">
      <w:pPr>
        <w:rPr>
          <w:color w:val="222222"/>
        </w:rPr>
      </w:pPr>
      <w:r w:rsidRPr="00795F17">
        <w:t xml:space="preserve">Z uwagi na sposób prowadzenia sprawozdawczości z realizowanych prac utrzymaniowych informacje zaprezentowane są w podziale na poszczególne RZGW WP, jako </w:t>
      </w:r>
      <w:r w:rsidRPr="00795F17">
        <w:rPr>
          <w:color w:val="222222"/>
        </w:rPr>
        <w:t xml:space="preserve">wykonujących prawa właścicielskie Skarbu Państwa w stosunku do śródlądowych wód płynących oraz gruntów pokrytych tymi wodami (art. 240 ust. 3 </w:t>
      </w:r>
      <w:r w:rsidR="00E9796C" w:rsidRPr="00795F17">
        <w:rPr>
          <w:color w:val="222222"/>
        </w:rPr>
        <w:t>pkt</w:t>
      </w:r>
      <w:r w:rsidRPr="00795F17">
        <w:rPr>
          <w:color w:val="222222"/>
        </w:rPr>
        <w:t xml:space="preserve"> 9 </w:t>
      </w:r>
      <w:r w:rsidR="0083060B" w:rsidRPr="00795F17">
        <w:rPr>
          <w:color w:val="222222"/>
        </w:rPr>
        <w:t>pr.w.</w:t>
      </w:r>
      <w:r w:rsidRPr="00795F17">
        <w:rPr>
          <w:color w:val="222222"/>
        </w:rPr>
        <w:t>).</w:t>
      </w:r>
    </w:p>
    <w:p w14:paraId="73019664" w14:textId="57026EBC" w:rsidR="00CD1161" w:rsidRPr="00795F17" w:rsidRDefault="00CD1161" w:rsidP="0044393D">
      <w:r w:rsidRPr="00795F17">
        <w:t xml:space="preserve">Sprawozdania z realizacji prac utrzymaniowych na obszarze dorzecza Odry wskazują, iż główną kategorią prac realizowanych </w:t>
      </w:r>
      <w:r w:rsidR="002A2A80">
        <w:t>na</w:t>
      </w:r>
      <w:r w:rsidRPr="00795F17">
        <w:t xml:space="preserve"> obszarze omawianego dorzecza są prace związane z utrzymywaniem brzegów oraz dna śródlądowych wód powierzchniowych </w:t>
      </w:r>
      <w:r w:rsidR="004A4485">
        <w:t>–</w:t>
      </w:r>
      <w:r w:rsidRPr="00795F17">
        <w:t xml:space="preserve"> wykaszanie, usuwanie roślin pływających i</w:t>
      </w:r>
      <w:r w:rsidR="00E7652B" w:rsidRPr="00795F17">
        <w:t> </w:t>
      </w:r>
      <w:r w:rsidRPr="00795F17">
        <w:t xml:space="preserve">korzeniących się w dnie śródlądowych wód powierzchniowych oraz usuwanie drzew i krzewów porastających dno oraz brzegi śródlądowych wód powierzchniowych. </w:t>
      </w:r>
    </w:p>
    <w:p w14:paraId="1EF35DAF" w14:textId="4966C6CB" w:rsidR="00CD1161" w:rsidRPr="00795F17" w:rsidRDefault="00CD1161" w:rsidP="0044393D">
      <w:r w:rsidRPr="00795F17">
        <w:t>Drugą pod względem liczby podjętych interwencji, kategorią zrealizowanych prac utrzymaniowych są</w:t>
      </w:r>
      <w:r w:rsidR="00E7652B" w:rsidRPr="00795F17">
        <w:t> </w:t>
      </w:r>
      <w:r w:rsidRPr="00795F17">
        <w:t>prace modernizacyjne dot. budowli regulacyjnych na obszar</w:t>
      </w:r>
      <w:r w:rsidR="008C0C33">
        <w:t>ze</w:t>
      </w:r>
      <w:r w:rsidRPr="00795F17">
        <w:t xml:space="preserve"> dorzecza Odry.</w:t>
      </w:r>
    </w:p>
    <w:p w14:paraId="6BA1E3E0" w14:textId="063686FE" w:rsidR="00FF20D3" w:rsidRDefault="00CD1161" w:rsidP="0052702D">
      <w:r w:rsidRPr="00795F17">
        <w:t xml:space="preserve">Poniższe wykresy </w:t>
      </w:r>
      <w:r w:rsidR="00D435CC" w:rsidRPr="00795F17">
        <w:t>od 13-</w:t>
      </w:r>
      <w:r w:rsidR="00EE4953" w:rsidRPr="00795F17">
        <w:t>7</w:t>
      </w:r>
      <w:r w:rsidR="00D435CC" w:rsidRPr="00795F17">
        <w:t xml:space="preserve"> do 13-1</w:t>
      </w:r>
      <w:r w:rsidR="00EE4953" w:rsidRPr="00795F17">
        <w:t>9</w:t>
      </w:r>
      <w:r w:rsidRPr="00795F17">
        <w:t xml:space="preserve"> podsumowują prace utrzymaniowe zrealizowane na</w:t>
      </w:r>
      <w:r w:rsidR="00410A22" w:rsidRPr="00795F17">
        <w:t> </w:t>
      </w:r>
      <w:r w:rsidRPr="00795F17">
        <w:t>obszarze omawianego dorzecza w latach 2018 i 2019.</w:t>
      </w:r>
    </w:p>
    <w:p w14:paraId="43A87C97" w14:textId="6A51DA55" w:rsidR="00FF20D3" w:rsidRDefault="00FF20D3" w:rsidP="0052702D">
      <w:r w:rsidRPr="00795F17">
        <w:rPr>
          <w:noProof/>
          <w:lang w:eastAsia="pl-PL"/>
        </w:rPr>
        <w:drawing>
          <wp:inline distT="0" distB="0" distL="0" distR="0" wp14:anchorId="6131F154" wp14:editId="6F2688D2">
            <wp:extent cx="5731510" cy="2369698"/>
            <wp:effectExtent l="0" t="0" r="2540" b="12065"/>
            <wp:docPr id="861924059" name="Wykres 861924059">
              <a:extLst xmlns:a="http://schemas.openxmlformats.org/drawingml/2006/main">
                <a:ext uri="{FF2B5EF4-FFF2-40B4-BE49-F238E27FC236}">
                  <a16:creationId xmlns:a16="http://schemas.microsoft.com/office/drawing/2014/main" id="{DD3DDC0F-E0FB-4BC1-9813-13D995E62A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3BA53411" w14:textId="2D022283" w:rsidR="00FF20D3" w:rsidRDefault="00FF20D3" w:rsidP="00FF20D3">
      <w:pPr>
        <w:pStyle w:val="Wykres"/>
      </w:pPr>
      <w:bookmarkStart w:id="918" w:name="_Toc66273017"/>
      <w:bookmarkStart w:id="919" w:name="_Toc87613343"/>
      <w:bookmarkStart w:id="920" w:name="_Toc105513044"/>
      <w:r w:rsidRPr="00795F17">
        <w:t xml:space="preserve">Wykres </w:t>
      </w:r>
      <w:r>
        <w:fldChar w:fldCharType="begin"/>
      </w:r>
      <w:r>
        <w:instrText>STYLEREF 1 \s</w:instrText>
      </w:r>
      <w:r>
        <w:fldChar w:fldCharType="separate"/>
      </w:r>
      <w:r w:rsidR="001F774D">
        <w:rPr>
          <w:noProof/>
        </w:rPr>
        <w:t>13</w:t>
      </w:r>
      <w:r>
        <w:fldChar w:fldCharType="end"/>
      </w:r>
      <w:r w:rsidRPr="00795F17">
        <w:noBreakHyphen/>
      </w:r>
      <w:r>
        <w:fldChar w:fldCharType="begin"/>
      </w:r>
      <w:r>
        <w:instrText>SEQ Wykres \* ARABIC \s 1</w:instrText>
      </w:r>
      <w:r>
        <w:fldChar w:fldCharType="separate"/>
      </w:r>
      <w:r w:rsidR="001F774D">
        <w:rPr>
          <w:noProof/>
        </w:rPr>
        <w:t>7</w:t>
      </w:r>
      <w:r>
        <w:fldChar w:fldCharType="end"/>
      </w:r>
      <w:r w:rsidR="002B6022">
        <w:t>.</w:t>
      </w:r>
      <w:r w:rsidRPr="00795F17">
        <w:tab/>
        <w:t xml:space="preserve">Liczba wykonanych prac dla kategorii 1 - 3 </w:t>
      </w:r>
      <w:r>
        <w:t>według</w:t>
      </w:r>
      <w:r w:rsidRPr="00795F17">
        <w:t xml:space="preserve"> PUW, 2018 r.</w:t>
      </w:r>
      <w:bookmarkEnd w:id="918"/>
      <w:bookmarkEnd w:id="919"/>
      <w:bookmarkEnd w:id="920"/>
    </w:p>
    <w:p w14:paraId="13001785" w14:textId="77777777" w:rsidR="0005083A" w:rsidRDefault="0005083A" w:rsidP="0005083A">
      <w:pPr>
        <w:pStyle w:val="rdo"/>
        <w:spacing w:before="0" w:after="0"/>
      </w:pPr>
      <w:r w:rsidRPr="0052702D">
        <w:t>Źródło: opracowanie własne na podstawie PUW</w:t>
      </w:r>
    </w:p>
    <w:p w14:paraId="2410F0BD" w14:textId="3C486286" w:rsidR="0005083A" w:rsidRDefault="0005083A" w:rsidP="0005083A"/>
    <w:p w14:paraId="3FF87E8E" w14:textId="11527F9A" w:rsidR="0005083A" w:rsidRPr="007C1831" w:rsidRDefault="0005083A" w:rsidP="007C1831">
      <w:r w:rsidRPr="007C1831">
        <w:rPr>
          <w:noProof/>
        </w:rPr>
        <w:drawing>
          <wp:inline distT="0" distB="0" distL="0" distR="0" wp14:anchorId="24F5FF67" wp14:editId="6098DEBC">
            <wp:extent cx="5731510" cy="2396239"/>
            <wp:effectExtent l="0" t="0" r="2540" b="4445"/>
            <wp:docPr id="232" name="Wykres 232">
              <a:extLst xmlns:a="http://schemas.openxmlformats.org/drawingml/2006/main">
                <a:ext uri="{FF2B5EF4-FFF2-40B4-BE49-F238E27FC236}">
                  <a16:creationId xmlns:a16="http://schemas.microsoft.com/office/drawing/2014/main" id="{94B727DC-3DD6-4639-AE1B-1EC808D5DD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79179899" w14:textId="45F2D727" w:rsidR="0005083A" w:rsidRPr="007C1831" w:rsidRDefault="0005083A" w:rsidP="007C1831">
      <w:pPr>
        <w:pStyle w:val="Wykres"/>
      </w:pPr>
      <w:bookmarkStart w:id="921" w:name="_Toc66273018"/>
      <w:bookmarkStart w:id="922" w:name="_Toc105513045"/>
      <w:r w:rsidRPr="007C1831">
        <w:t xml:space="preserve">Wykres </w:t>
      </w:r>
      <w:fldSimple w:instr=" STYLEREF 1 \s ">
        <w:r w:rsidR="001F774D">
          <w:rPr>
            <w:noProof/>
          </w:rPr>
          <w:t>13</w:t>
        </w:r>
      </w:fldSimple>
      <w:r w:rsidRPr="007C1831">
        <w:noBreakHyphen/>
      </w:r>
      <w:fldSimple w:instr=" SEQ Wykres \* ARABIC \s 1 ">
        <w:r w:rsidR="001F774D">
          <w:rPr>
            <w:noProof/>
          </w:rPr>
          <w:t>8</w:t>
        </w:r>
      </w:fldSimple>
      <w:r w:rsidR="002B6022">
        <w:rPr>
          <w:noProof/>
        </w:rPr>
        <w:t>.</w:t>
      </w:r>
      <w:r w:rsidRPr="007C1831">
        <w:tab/>
        <w:t>Liczba wykonanych prac dla kategorii 4 według PUW, 2018 r.</w:t>
      </w:r>
      <w:bookmarkEnd w:id="921"/>
      <w:bookmarkEnd w:id="922"/>
    </w:p>
    <w:p w14:paraId="6F4C39B6" w14:textId="3A947F5A" w:rsidR="00577D99" w:rsidRDefault="00FF20D3" w:rsidP="00577D99">
      <w:pPr>
        <w:pStyle w:val="rdo"/>
        <w:spacing w:before="0" w:after="0"/>
      </w:pPr>
      <w:r w:rsidRPr="0052702D">
        <w:t>Źródło: opracowanie własne na podstawie PUW</w:t>
      </w:r>
      <w:bookmarkStart w:id="923" w:name="_Toc66273019"/>
    </w:p>
    <w:p w14:paraId="69FAE079" w14:textId="6DE66F31" w:rsidR="00577D99" w:rsidRPr="007C1831" w:rsidRDefault="00577D99" w:rsidP="007C1831">
      <w:r w:rsidRPr="007C1831">
        <w:rPr>
          <w:noProof/>
        </w:rPr>
        <w:drawing>
          <wp:inline distT="0" distB="0" distL="0" distR="0" wp14:anchorId="202D2310" wp14:editId="57EEB27D">
            <wp:extent cx="5731510" cy="2266063"/>
            <wp:effectExtent l="0" t="0" r="2540" b="1270"/>
            <wp:docPr id="27" name="Wykres 27">
              <a:extLst xmlns:a="http://schemas.openxmlformats.org/drawingml/2006/main">
                <a:ext uri="{FF2B5EF4-FFF2-40B4-BE49-F238E27FC236}">
                  <a16:creationId xmlns:a16="http://schemas.microsoft.com/office/drawing/2014/main" id="{AEE7FF77-C092-42D0-A0B4-D3283742FC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1EFA41F1" w14:textId="1034CBA9" w:rsidR="00CD1161" w:rsidRPr="007C1831" w:rsidRDefault="00CD1161" w:rsidP="007C1831">
      <w:pPr>
        <w:pStyle w:val="Wykres"/>
      </w:pPr>
      <w:bookmarkStart w:id="924" w:name="_Toc105513046"/>
      <w:r w:rsidRPr="007C1831">
        <w:t xml:space="preserve">Wykres </w:t>
      </w:r>
      <w:fldSimple w:instr=" STYLEREF 1 \s ">
        <w:r w:rsidR="001F774D">
          <w:rPr>
            <w:noProof/>
          </w:rPr>
          <w:t>13</w:t>
        </w:r>
      </w:fldSimple>
      <w:r w:rsidR="00FF20D3" w:rsidRPr="007C1831">
        <w:noBreakHyphen/>
      </w:r>
      <w:fldSimple w:instr=" SEQ Wykres \* ARABIC \s 1 ">
        <w:r w:rsidR="001F774D">
          <w:rPr>
            <w:noProof/>
          </w:rPr>
          <w:t>9</w:t>
        </w:r>
      </w:fldSimple>
      <w:r w:rsidR="002B6022">
        <w:rPr>
          <w:noProof/>
        </w:rPr>
        <w:t>.</w:t>
      </w:r>
      <w:r w:rsidRPr="007C1831">
        <w:tab/>
        <w:t xml:space="preserve">Liczba wykonanych prac dla kategorii 5 </w:t>
      </w:r>
      <w:r w:rsidR="00442820" w:rsidRPr="007C1831">
        <w:t>według</w:t>
      </w:r>
      <w:r w:rsidRPr="007C1831">
        <w:t xml:space="preserve"> PUW, 2018</w:t>
      </w:r>
      <w:bookmarkEnd w:id="923"/>
      <w:r w:rsidR="001B7D6C" w:rsidRPr="007C1831">
        <w:t xml:space="preserve"> r.</w:t>
      </w:r>
      <w:bookmarkEnd w:id="924"/>
    </w:p>
    <w:p w14:paraId="4F216A84" w14:textId="0A6B25F6" w:rsidR="00CD1161" w:rsidRDefault="00CD1161" w:rsidP="00FF20D3">
      <w:pPr>
        <w:pStyle w:val="rdo"/>
        <w:spacing w:before="0" w:after="0"/>
      </w:pPr>
      <w:r w:rsidRPr="00795F17">
        <w:t xml:space="preserve">Źródło: </w:t>
      </w:r>
      <w:r w:rsidR="00FD7248" w:rsidRPr="00795F17">
        <w:t>opracowanie własne</w:t>
      </w:r>
      <w:r w:rsidRPr="00795F17">
        <w:t xml:space="preserve"> na podstawie PUW</w:t>
      </w:r>
    </w:p>
    <w:p w14:paraId="5000212C" w14:textId="1809AFC6" w:rsidR="00CD1161" w:rsidRPr="004D7705" w:rsidRDefault="00CD1161" w:rsidP="00FF20D3">
      <w:pPr>
        <w:spacing w:before="0" w:after="0"/>
      </w:pPr>
      <w:r w:rsidRPr="004D7705">
        <w:rPr>
          <w:noProof/>
        </w:rPr>
        <w:drawing>
          <wp:inline distT="0" distB="0" distL="0" distR="0" wp14:anchorId="2C0D0865" wp14:editId="7EF46BC0">
            <wp:extent cx="5760000" cy="2199600"/>
            <wp:effectExtent l="0" t="0" r="12700" b="10795"/>
            <wp:docPr id="29" name="Wykres 29">
              <a:extLst xmlns:a="http://schemas.openxmlformats.org/drawingml/2006/main">
                <a:ext uri="{FF2B5EF4-FFF2-40B4-BE49-F238E27FC236}">
                  <a16:creationId xmlns:a16="http://schemas.microsoft.com/office/drawing/2014/main" id="{0629F009-2DE8-42BD-B2FA-DD2B77045A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30056FF3" w14:textId="5475D9BA" w:rsidR="00CD1161" w:rsidRPr="007C1831" w:rsidRDefault="00CD1161" w:rsidP="007C1831">
      <w:pPr>
        <w:pStyle w:val="Wykres"/>
        <w:spacing w:before="0" w:after="0"/>
      </w:pPr>
      <w:bookmarkStart w:id="925" w:name="_Toc66273020"/>
      <w:bookmarkStart w:id="926" w:name="_Toc105513047"/>
      <w:r w:rsidRPr="007C1831">
        <w:t xml:space="preserve">Wykres </w:t>
      </w:r>
      <w:fldSimple w:instr=" STYLEREF 1 \s ">
        <w:r w:rsidR="001F774D">
          <w:rPr>
            <w:noProof/>
          </w:rPr>
          <w:t>13</w:t>
        </w:r>
      </w:fldSimple>
      <w:r w:rsidR="00FF20D3" w:rsidRPr="007C1831">
        <w:noBreakHyphen/>
      </w:r>
      <w:fldSimple w:instr=" SEQ Wykres \* ARABIC \s 1 ">
        <w:r w:rsidR="001F774D">
          <w:rPr>
            <w:noProof/>
          </w:rPr>
          <w:t>10</w:t>
        </w:r>
      </w:fldSimple>
      <w:r w:rsidR="002B6022">
        <w:rPr>
          <w:noProof/>
        </w:rPr>
        <w:t>.</w:t>
      </w:r>
      <w:r w:rsidRPr="007C1831">
        <w:tab/>
        <w:t xml:space="preserve">Liczba wykonanych prac dla kategorii 6 </w:t>
      </w:r>
      <w:r w:rsidR="00442820" w:rsidRPr="007C1831">
        <w:t>według</w:t>
      </w:r>
      <w:r w:rsidRPr="007C1831">
        <w:t xml:space="preserve"> PUW, 2018</w:t>
      </w:r>
      <w:bookmarkEnd w:id="925"/>
      <w:r w:rsidR="007702DD" w:rsidRPr="007C1831">
        <w:t xml:space="preserve"> r.</w:t>
      </w:r>
      <w:bookmarkEnd w:id="926"/>
    </w:p>
    <w:p w14:paraId="5BA48462" w14:textId="13B03CCA" w:rsidR="00CD1161" w:rsidRDefault="00CD1161" w:rsidP="00FF20D3">
      <w:pPr>
        <w:pStyle w:val="rdo"/>
        <w:spacing w:before="0" w:after="0"/>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1D08A95F" w14:textId="38956E96" w:rsidR="00577D99" w:rsidRPr="007C1831" w:rsidRDefault="00577D99" w:rsidP="007C1831">
      <w:r w:rsidRPr="007C1831">
        <w:rPr>
          <w:noProof/>
        </w:rPr>
        <w:drawing>
          <wp:inline distT="0" distB="0" distL="0" distR="0" wp14:anchorId="57C03BCB" wp14:editId="4945764C">
            <wp:extent cx="5731510" cy="2161165"/>
            <wp:effectExtent l="0" t="0" r="2540" b="10795"/>
            <wp:docPr id="30" name="Wykres 30">
              <a:extLst xmlns:a="http://schemas.openxmlformats.org/drawingml/2006/main">
                <a:ext uri="{FF2B5EF4-FFF2-40B4-BE49-F238E27FC236}">
                  <a16:creationId xmlns:a16="http://schemas.microsoft.com/office/drawing/2014/main" id="{88FFEB71-1159-442E-9DA5-63932582D9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723EF0C3" w14:textId="482E8B69" w:rsidR="00CD1161" w:rsidRPr="007C1831" w:rsidRDefault="00CD1161" w:rsidP="007C1831">
      <w:pPr>
        <w:pStyle w:val="Wykres"/>
      </w:pPr>
      <w:bookmarkStart w:id="927" w:name="_Toc66273021"/>
      <w:bookmarkStart w:id="928" w:name="_Toc105513048"/>
      <w:r w:rsidRPr="007C1831">
        <w:t xml:space="preserve">Wykres </w:t>
      </w:r>
      <w:fldSimple w:instr=" STYLEREF 1 \s ">
        <w:r w:rsidR="001F774D">
          <w:rPr>
            <w:noProof/>
          </w:rPr>
          <w:t>13</w:t>
        </w:r>
      </w:fldSimple>
      <w:r w:rsidR="00FF20D3" w:rsidRPr="007C1831">
        <w:noBreakHyphen/>
      </w:r>
      <w:fldSimple w:instr=" SEQ Wykres \* ARABIC \s 1 ">
        <w:r w:rsidR="001F774D">
          <w:rPr>
            <w:noProof/>
          </w:rPr>
          <w:t>11</w:t>
        </w:r>
      </w:fldSimple>
      <w:r w:rsidR="002B6022">
        <w:rPr>
          <w:noProof/>
        </w:rPr>
        <w:t>.</w:t>
      </w:r>
      <w:r w:rsidRPr="007C1831">
        <w:tab/>
        <w:t xml:space="preserve">Liczba wykonanych prac dla kategorii 7 </w:t>
      </w:r>
      <w:r w:rsidR="00442820" w:rsidRPr="007C1831">
        <w:t>według</w:t>
      </w:r>
      <w:r w:rsidRPr="007C1831">
        <w:t xml:space="preserve"> PUW, 2018</w:t>
      </w:r>
      <w:bookmarkEnd w:id="927"/>
      <w:r w:rsidR="007702DD" w:rsidRPr="007C1831">
        <w:t xml:space="preserve"> r.</w:t>
      </w:r>
      <w:bookmarkEnd w:id="928"/>
    </w:p>
    <w:p w14:paraId="73A74C7E" w14:textId="2EFA6C78" w:rsidR="00CD1161" w:rsidRDefault="00CD1161" w:rsidP="00FF20D3">
      <w:pPr>
        <w:pStyle w:val="rdo"/>
        <w:spacing w:before="0" w:after="0"/>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34424CFC" w14:textId="77777777" w:rsidR="00CD1161" w:rsidRPr="007C1831" w:rsidRDefault="00CD1161" w:rsidP="007C1831">
      <w:r w:rsidRPr="007C1831">
        <w:rPr>
          <w:noProof/>
        </w:rPr>
        <w:drawing>
          <wp:inline distT="0" distB="0" distL="0" distR="0" wp14:anchorId="01C86AFB" wp14:editId="53A98410">
            <wp:extent cx="5760000" cy="2194560"/>
            <wp:effectExtent l="0" t="0" r="12700" b="15240"/>
            <wp:docPr id="10" name="Wykres 10">
              <a:extLst xmlns:a="http://schemas.openxmlformats.org/drawingml/2006/main">
                <a:ext uri="{FF2B5EF4-FFF2-40B4-BE49-F238E27FC236}">
                  <a16:creationId xmlns:a16="http://schemas.microsoft.com/office/drawing/2014/main" id="{4A7FB097-8A1D-440C-A2DD-4AC2934DAA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6E903749" w14:textId="3CA728FD" w:rsidR="00CD1161" w:rsidRPr="007C1831" w:rsidRDefault="00CD1161" w:rsidP="007C1831">
      <w:pPr>
        <w:pStyle w:val="Wykres"/>
      </w:pPr>
      <w:bookmarkStart w:id="929" w:name="_Toc66273022"/>
      <w:bookmarkStart w:id="930" w:name="_Toc105513049"/>
      <w:r w:rsidRPr="007C1831">
        <w:t xml:space="preserve">Wykres </w:t>
      </w:r>
      <w:fldSimple w:instr=" STYLEREF 1 \s ">
        <w:r w:rsidR="001F774D">
          <w:rPr>
            <w:noProof/>
          </w:rPr>
          <w:t>13</w:t>
        </w:r>
      </w:fldSimple>
      <w:r w:rsidR="00FF20D3" w:rsidRPr="007C1831">
        <w:noBreakHyphen/>
      </w:r>
      <w:fldSimple w:instr=" SEQ Wykres \* ARABIC \s 1 ">
        <w:r w:rsidR="001F774D">
          <w:rPr>
            <w:noProof/>
          </w:rPr>
          <w:t>12</w:t>
        </w:r>
      </w:fldSimple>
      <w:r w:rsidR="002B6022">
        <w:rPr>
          <w:noProof/>
        </w:rPr>
        <w:t>.</w:t>
      </w:r>
      <w:r w:rsidRPr="007C1831">
        <w:tab/>
        <w:t xml:space="preserve">Liczba wykonanych prac dla kategorii 8 </w:t>
      </w:r>
      <w:r w:rsidR="00442820" w:rsidRPr="007C1831">
        <w:t>według</w:t>
      </w:r>
      <w:r w:rsidRPr="007C1831">
        <w:t xml:space="preserve"> PUW, 2018</w:t>
      </w:r>
      <w:bookmarkEnd w:id="929"/>
      <w:r w:rsidR="007702DD" w:rsidRPr="007C1831">
        <w:t xml:space="preserve"> r.</w:t>
      </w:r>
      <w:bookmarkEnd w:id="930"/>
    </w:p>
    <w:p w14:paraId="2DA5E042" w14:textId="5D83CC73" w:rsidR="00CD1161" w:rsidRDefault="00CD1161" w:rsidP="00FF20D3">
      <w:pPr>
        <w:pStyle w:val="rdo"/>
        <w:spacing w:before="0" w:after="0"/>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4F991DD1" w14:textId="3B9D9CDE" w:rsidR="00CD1161" w:rsidRPr="007C1831" w:rsidRDefault="00CD1161" w:rsidP="007C1831">
      <w:r w:rsidRPr="007C1831">
        <w:rPr>
          <w:noProof/>
        </w:rPr>
        <w:drawing>
          <wp:inline distT="0" distB="0" distL="0" distR="0" wp14:anchorId="651BBAE2" wp14:editId="06BE7206">
            <wp:extent cx="5760000" cy="1965960"/>
            <wp:effectExtent l="0" t="0" r="12700" b="15240"/>
            <wp:docPr id="226" name="Wykres 226">
              <a:extLst xmlns:a="http://schemas.openxmlformats.org/drawingml/2006/main">
                <a:ext uri="{FF2B5EF4-FFF2-40B4-BE49-F238E27FC236}">
                  <a16:creationId xmlns:a16="http://schemas.microsoft.com/office/drawing/2014/main" id="{8D45EDAF-9BF2-4311-860B-C8489968E0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4019AC99" w14:textId="73DC56B0" w:rsidR="00CD1161" w:rsidRPr="007C1831" w:rsidRDefault="00CD1161" w:rsidP="007C1831">
      <w:pPr>
        <w:pStyle w:val="Wykres"/>
      </w:pPr>
      <w:bookmarkStart w:id="931" w:name="_Toc66273023"/>
      <w:bookmarkStart w:id="932" w:name="_Toc105513050"/>
      <w:r w:rsidRPr="007C1831">
        <w:t xml:space="preserve">Wykres </w:t>
      </w:r>
      <w:fldSimple w:instr=" STYLEREF 1 \s ">
        <w:r w:rsidR="001F774D">
          <w:rPr>
            <w:noProof/>
          </w:rPr>
          <w:t>13</w:t>
        </w:r>
      </w:fldSimple>
      <w:r w:rsidR="00FF20D3" w:rsidRPr="007C1831">
        <w:noBreakHyphen/>
      </w:r>
      <w:fldSimple w:instr=" SEQ Wykres \* ARABIC \s 1 ">
        <w:r w:rsidR="001F774D">
          <w:rPr>
            <w:noProof/>
          </w:rPr>
          <w:t>13</w:t>
        </w:r>
      </w:fldSimple>
      <w:r w:rsidR="002B6022">
        <w:rPr>
          <w:noProof/>
        </w:rPr>
        <w:t>.</w:t>
      </w:r>
      <w:r w:rsidRPr="007C1831">
        <w:tab/>
        <w:t xml:space="preserve">Liczba wykonanych prac dla kategorii 1 - 4 </w:t>
      </w:r>
      <w:r w:rsidR="00442820" w:rsidRPr="007C1831">
        <w:t>według</w:t>
      </w:r>
      <w:r w:rsidRPr="007C1831">
        <w:t xml:space="preserve"> PUW, 2019 r.</w:t>
      </w:r>
      <w:bookmarkEnd w:id="931"/>
      <w:bookmarkEnd w:id="932"/>
    </w:p>
    <w:p w14:paraId="62B918AE" w14:textId="5AC006A3" w:rsidR="00CD1161" w:rsidRDefault="00CD1161" w:rsidP="00FF20D3">
      <w:pPr>
        <w:pStyle w:val="rdo"/>
        <w:spacing w:before="0" w:after="0"/>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71F4BD53" w14:textId="4B1610F0" w:rsidR="00CD1161" w:rsidRPr="007C1831" w:rsidRDefault="007C1831" w:rsidP="007C1831">
      <w:r w:rsidRPr="007C1831">
        <w:rPr>
          <w:noProof/>
        </w:rPr>
        <w:drawing>
          <wp:inline distT="0" distB="0" distL="0" distR="0" wp14:anchorId="2894B017" wp14:editId="2AE30043">
            <wp:extent cx="5731510" cy="2214246"/>
            <wp:effectExtent l="0" t="0" r="2540" b="14605"/>
            <wp:docPr id="31" name="Wykres 31">
              <a:extLst xmlns:a="http://schemas.openxmlformats.org/drawingml/2006/main">
                <a:ext uri="{FF2B5EF4-FFF2-40B4-BE49-F238E27FC236}">
                  <a16:creationId xmlns:a16="http://schemas.microsoft.com/office/drawing/2014/main" id="{AE8F7E3B-1AFB-40F8-8EDF-C105EA5C7A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55100B7E" w14:textId="66F6838A" w:rsidR="00CD1161" w:rsidRPr="007C1831" w:rsidRDefault="00CD1161" w:rsidP="007C1831">
      <w:pPr>
        <w:pStyle w:val="Wykres"/>
      </w:pPr>
      <w:bookmarkStart w:id="933" w:name="_Toc66273024"/>
      <w:bookmarkStart w:id="934" w:name="_Toc105513051"/>
      <w:r w:rsidRPr="007C1831">
        <w:t xml:space="preserve">Wykres </w:t>
      </w:r>
      <w:fldSimple w:instr=" STYLEREF 1 \s ">
        <w:r w:rsidR="001F774D">
          <w:rPr>
            <w:noProof/>
          </w:rPr>
          <w:t>13</w:t>
        </w:r>
      </w:fldSimple>
      <w:r w:rsidR="00FF20D3" w:rsidRPr="007C1831">
        <w:noBreakHyphen/>
      </w:r>
      <w:fldSimple w:instr=" SEQ Wykres \* ARABIC \s 1 ">
        <w:r w:rsidR="001F774D">
          <w:rPr>
            <w:noProof/>
          </w:rPr>
          <w:t>14</w:t>
        </w:r>
      </w:fldSimple>
      <w:r w:rsidR="002B6022">
        <w:rPr>
          <w:noProof/>
        </w:rPr>
        <w:t>.</w:t>
      </w:r>
      <w:r w:rsidRPr="007C1831">
        <w:tab/>
        <w:t xml:space="preserve">Liczba wykonanych prac dla kategorii 5 </w:t>
      </w:r>
      <w:r w:rsidR="00442820" w:rsidRPr="007C1831">
        <w:t>według</w:t>
      </w:r>
      <w:r w:rsidRPr="007C1831">
        <w:t xml:space="preserve"> PUW, 2019</w:t>
      </w:r>
      <w:bookmarkEnd w:id="933"/>
      <w:r w:rsidR="007702DD" w:rsidRPr="007C1831">
        <w:t xml:space="preserve"> r.</w:t>
      </w:r>
      <w:bookmarkEnd w:id="934"/>
    </w:p>
    <w:p w14:paraId="0338DE4C" w14:textId="0213CC35" w:rsidR="00CD1161" w:rsidRDefault="00CD1161" w:rsidP="00FF20D3">
      <w:pPr>
        <w:pStyle w:val="rdo"/>
        <w:spacing w:before="0" w:after="0"/>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37B4B0A6" w14:textId="4E0F050A" w:rsidR="00CD1161" w:rsidRPr="007C1831" w:rsidRDefault="00CD1161" w:rsidP="007C1831">
      <w:r w:rsidRPr="007C1831">
        <w:rPr>
          <w:noProof/>
        </w:rPr>
        <w:drawing>
          <wp:inline distT="0" distB="0" distL="0" distR="0" wp14:anchorId="2F05010E" wp14:editId="159F8630">
            <wp:extent cx="5760000" cy="2164080"/>
            <wp:effectExtent l="0" t="0" r="12700" b="7620"/>
            <wp:docPr id="224" name="Wykres 224">
              <a:extLst xmlns:a="http://schemas.openxmlformats.org/drawingml/2006/main">
                <a:ext uri="{FF2B5EF4-FFF2-40B4-BE49-F238E27FC236}">
                  <a16:creationId xmlns:a16="http://schemas.microsoft.com/office/drawing/2014/main" id="{E8B74B7F-8FE3-4840-A714-1608777103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29E99C23" w14:textId="1A212AAA" w:rsidR="00CD1161" w:rsidRPr="007C1831" w:rsidRDefault="00CD1161" w:rsidP="007C1831">
      <w:pPr>
        <w:pStyle w:val="Wykres"/>
      </w:pPr>
      <w:bookmarkStart w:id="935" w:name="_Toc66273025"/>
      <w:bookmarkStart w:id="936" w:name="_Toc105513052"/>
      <w:r w:rsidRPr="007C1831">
        <w:t xml:space="preserve">Wykres </w:t>
      </w:r>
      <w:fldSimple w:instr=" STYLEREF 1 \s ">
        <w:r w:rsidR="001F774D">
          <w:rPr>
            <w:noProof/>
          </w:rPr>
          <w:t>13</w:t>
        </w:r>
      </w:fldSimple>
      <w:r w:rsidR="00FF20D3" w:rsidRPr="007C1831">
        <w:noBreakHyphen/>
      </w:r>
      <w:fldSimple w:instr=" SEQ Wykres \* ARABIC \s 1 ">
        <w:r w:rsidR="001F774D">
          <w:rPr>
            <w:noProof/>
          </w:rPr>
          <w:t>15</w:t>
        </w:r>
      </w:fldSimple>
      <w:r w:rsidR="002B6022">
        <w:rPr>
          <w:noProof/>
        </w:rPr>
        <w:t>.</w:t>
      </w:r>
      <w:r w:rsidRPr="007C1831">
        <w:tab/>
        <w:t xml:space="preserve">Liczba wykonanych prac dla kategorii 6 </w:t>
      </w:r>
      <w:r w:rsidR="00442820" w:rsidRPr="007C1831">
        <w:t>według</w:t>
      </w:r>
      <w:r w:rsidRPr="007C1831">
        <w:t xml:space="preserve"> PUW, 2019</w:t>
      </w:r>
      <w:bookmarkEnd w:id="935"/>
      <w:r w:rsidR="0062736D" w:rsidRPr="007C1831">
        <w:t xml:space="preserve"> r.</w:t>
      </w:r>
      <w:bookmarkEnd w:id="936"/>
    </w:p>
    <w:p w14:paraId="618693AA" w14:textId="73DFE659" w:rsidR="00CD1161" w:rsidRDefault="00CD1161" w:rsidP="00FF20D3">
      <w:pPr>
        <w:pStyle w:val="rdo"/>
        <w:spacing w:before="0" w:after="0"/>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02DBDCD8" w14:textId="7B08F055" w:rsidR="00CD1161" w:rsidRPr="007C1831" w:rsidRDefault="00CD1161" w:rsidP="007C1831">
      <w:r w:rsidRPr="007C1831">
        <w:rPr>
          <w:noProof/>
        </w:rPr>
        <w:drawing>
          <wp:inline distT="0" distB="0" distL="0" distR="0" wp14:anchorId="7E6C7FDC" wp14:editId="7D23E180">
            <wp:extent cx="5760000" cy="2011680"/>
            <wp:effectExtent l="0" t="0" r="12700" b="7620"/>
            <wp:docPr id="228" name="Wykres 228">
              <a:extLst xmlns:a="http://schemas.openxmlformats.org/drawingml/2006/main">
                <a:ext uri="{FF2B5EF4-FFF2-40B4-BE49-F238E27FC236}">
                  <a16:creationId xmlns:a16="http://schemas.microsoft.com/office/drawing/2014/main" id="{012DAE27-1529-4FBB-B1D5-308A2AEE12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47B40D28" w14:textId="056E73F5" w:rsidR="00CD1161" w:rsidRPr="007C1831" w:rsidRDefault="00CD1161" w:rsidP="007C1831">
      <w:pPr>
        <w:pStyle w:val="Wykres"/>
      </w:pPr>
      <w:bookmarkStart w:id="937" w:name="_Toc66273026"/>
      <w:bookmarkStart w:id="938" w:name="_Toc105513053"/>
      <w:r w:rsidRPr="007C1831">
        <w:t xml:space="preserve">Wykres </w:t>
      </w:r>
      <w:fldSimple w:instr=" STYLEREF 1 \s ">
        <w:r w:rsidR="001F774D">
          <w:rPr>
            <w:noProof/>
          </w:rPr>
          <w:t>13</w:t>
        </w:r>
      </w:fldSimple>
      <w:r w:rsidR="00FF20D3" w:rsidRPr="007C1831">
        <w:noBreakHyphen/>
      </w:r>
      <w:fldSimple w:instr=" SEQ Wykres \* ARABIC \s 1 ">
        <w:r w:rsidR="001F774D">
          <w:rPr>
            <w:noProof/>
          </w:rPr>
          <w:t>16</w:t>
        </w:r>
      </w:fldSimple>
      <w:r w:rsidR="002B6022">
        <w:rPr>
          <w:noProof/>
        </w:rPr>
        <w:t>.</w:t>
      </w:r>
      <w:r w:rsidRPr="007C1831">
        <w:tab/>
        <w:t xml:space="preserve">Liczba wykonanych prac dla kategorii 7 </w:t>
      </w:r>
      <w:r w:rsidR="00442820" w:rsidRPr="007C1831">
        <w:t>według</w:t>
      </w:r>
      <w:r w:rsidRPr="007C1831">
        <w:t xml:space="preserve"> PUW, 2019</w:t>
      </w:r>
      <w:bookmarkEnd w:id="937"/>
      <w:r w:rsidR="0062736D" w:rsidRPr="007C1831">
        <w:t xml:space="preserve"> r.</w:t>
      </w:r>
      <w:bookmarkEnd w:id="938"/>
    </w:p>
    <w:p w14:paraId="61698455" w14:textId="3D1BD896" w:rsidR="00CD1161" w:rsidRDefault="00CD1161" w:rsidP="00FF20D3">
      <w:pPr>
        <w:pStyle w:val="rdo"/>
        <w:spacing w:before="0" w:after="0"/>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2806A8B1" w14:textId="6DC6C865" w:rsidR="00CD1161" w:rsidRDefault="00CD1161" w:rsidP="007C1831"/>
    <w:p w14:paraId="7E02C007" w14:textId="788C0B33" w:rsidR="007C1831" w:rsidRPr="007C1831" w:rsidRDefault="007C1831" w:rsidP="007C1831">
      <w:r w:rsidRPr="007C1831">
        <w:rPr>
          <w:noProof/>
        </w:rPr>
        <w:drawing>
          <wp:inline distT="0" distB="0" distL="0" distR="0" wp14:anchorId="2F96A634" wp14:editId="3EA3EB69">
            <wp:extent cx="5731510" cy="2017087"/>
            <wp:effectExtent l="0" t="0" r="2540" b="2540"/>
            <wp:docPr id="229" name="Wykres 229">
              <a:extLst xmlns:a="http://schemas.openxmlformats.org/drawingml/2006/main">
                <a:ext uri="{FF2B5EF4-FFF2-40B4-BE49-F238E27FC236}">
                  <a16:creationId xmlns:a16="http://schemas.microsoft.com/office/drawing/2014/main" id="{E142A51F-5B56-47E4-B6E1-C6572595B9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228252CA" w14:textId="79633A51" w:rsidR="00CD1161" w:rsidRPr="007C1831" w:rsidRDefault="00CD1161" w:rsidP="007C1831">
      <w:pPr>
        <w:pStyle w:val="Wykres"/>
      </w:pPr>
      <w:bookmarkStart w:id="939" w:name="_Toc66273027"/>
      <w:bookmarkStart w:id="940" w:name="_Toc105513054"/>
      <w:r w:rsidRPr="007C1831">
        <w:t xml:space="preserve">Wykres </w:t>
      </w:r>
      <w:fldSimple w:instr=" STYLEREF 1 \s ">
        <w:r w:rsidR="001F774D">
          <w:rPr>
            <w:noProof/>
          </w:rPr>
          <w:t>13</w:t>
        </w:r>
      </w:fldSimple>
      <w:r w:rsidR="00FF20D3" w:rsidRPr="007C1831">
        <w:noBreakHyphen/>
      </w:r>
      <w:fldSimple w:instr=" SEQ Wykres \* ARABIC \s 1 ">
        <w:r w:rsidR="001F774D">
          <w:rPr>
            <w:noProof/>
          </w:rPr>
          <w:t>17</w:t>
        </w:r>
      </w:fldSimple>
      <w:r w:rsidR="002B6022">
        <w:rPr>
          <w:noProof/>
        </w:rPr>
        <w:t>.</w:t>
      </w:r>
      <w:r w:rsidRPr="007C1831">
        <w:tab/>
        <w:t xml:space="preserve">Liczba wykonanych prac dla kategorii 8 </w:t>
      </w:r>
      <w:r w:rsidR="00442820" w:rsidRPr="007C1831">
        <w:t>według</w:t>
      </w:r>
      <w:r w:rsidRPr="007C1831">
        <w:t xml:space="preserve"> PUW, 2019</w:t>
      </w:r>
      <w:bookmarkEnd w:id="939"/>
      <w:r w:rsidR="0062736D" w:rsidRPr="007C1831">
        <w:t xml:space="preserve"> r.</w:t>
      </w:r>
      <w:bookmarkEnd w:id="940"/>
    </w:p>
    <w:p w14:paraId="5793024D" w14:textId="63C4CCB1" w:rsidR="00CD1161" w:rsidRDefault="00CD1161" w:rsidP="00FF20D3">
      <w:pPr>
        <w:pStyle w:val="rdo"/>
        <w:spacing w:before="0" w:after="0"/>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3DCC1A84" w14:textId="0690E094" w:rsidR="00CD1161" w:rsidRPr="00795F17" w:rsidRDefault="00CD1161" w:rsidP="007C1831">
      <w:r w:rsidRPr="00795F17">
        <w:t xml:space="preserve">Poniższe wykresy przedstawiają podsumowanie wykonanych prac utrzymaniowych </w:t>
      </w:r>
      <w:r w:rsidR="00442820">
        <w:t>według</w:t>
      </w:r>
      <w:r w:rsidRPr="00795F17">
        <w:t xml:space="preserve"> kategorii zgodnie z PUW w podziale na poszczególne RZGW WP w latach 2018 i 2019.</w:t>
      </w:r>
    </w:p>
    <w:p w14:paraId="5A220BEC" w14:textId="41D116C5" w:rsidR="00CD1161" w:rsidRPr="007C1831" w:rsidRDefault="00CD1161" w:rsidP="007C1831"/>
    <w:p w14:paraId="0D636BA5" w14:textId="3BC67AC7" w:rsidR="007C1831" w:rsidRPr="007C1831" w:rsidRDefault="007C1831" w:rsidP="007C1831">
      <w:r w:rsidRPr="00795F17">
        <w:rPr>
          <w:noProof/>
          <w:lang w:eastAsia="pl-PL"/>
        </w:rPr>
        <w:drawing>
          <wp:inline distT="0" distB="0" distL="0" distR="0" wp14:anchorId="4860EBA0" wp14:editId="4F31AC30">
            <wp:extent cx="5731510" cy="3427531"/>
            <wp:effectExtent l="0" t="0" r="2540" b="1905"/>
            <wp:docPr id="230" name="Wykres 230">
              <a:extLst xmlns:a="http://schemas.openxmlformats.org/drawingml/2006/main">
                <a:ext uri="{FF2B5EF4-FFF2-40B4-BE49-F238E27FC236}">
                  <a16:creationId xmlns:a16="http://schemas.microsoft.com/office/drawing/2014/main" id="{D0DA573C-767B-4693-8AF0-995C85C9F4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673051FF" w14:textId="6EC13E18" w:rsidR="00CD1161" w:rsidRPr="007C1831" w:rsidRDefault="00CD1161" w:rsidP="007C1831">
      <w:pPr>
        <w:pStyle w:val="Wykres"/>
      </w:pPr>
      <w:bookmarkStart w:id="941" w:name="_Toc66273028"/>
      <w:bookmarkStart w:id="942" w:name="_Toc105513055"/>
      <w:r w:rsidRPr="007C1831">
        <w:t xml:space="preserve">Wykres </w:t>
      </w:r>
      <w:fldSimple w:instr=" STYLEREF 1 \s ">
        <w:r w:rsidR="001F774D">
          <w:rPr>
            <w:noProof/>
          </w:rPr>
          <w:t>13</w:t>
        </w:r>
      </w:fldSimple>
      <w:r w:rsidR="00FF20D3" w:rsidRPr="007C1831">
        <w:noBreakHyphen/>
      </w:r>
      <w:fldSimple w:instr=" SEQ Wykres \* ARABIC \s 1 ">
        <w:r w:rsidR="001F774D">
          <w:rPr>
            <w:noProof/>
          </w:rPr>
          <w:t>18</w:t>
        </w:r>
      </w:fldSimple>
      <w:r w:rsidR="002B6022">
        <w:rPr>
          <w:noProof/>
        </w:rPr>
        <w:t>.</w:t>
      </w:r>
      <w:r w:rsidRPr="007C1831">
        <w:tab/>
        <w:t xml:space="preserve">Liczba podjętych interwencji w podziale na kategorie </w:t>
      </w:r>
      <w:r w:rsidR="00442820" w:rsidRPr="007C1831">
        <w:t>według</w:t>
      </w:r>
      <w:r w:rsidRPr="007C1831">
        <w:t xml:space="preserve"> PUW </w:t>
      </w:r>
      <w:r w:rsidR="004A4485" w:rsidRPr="007C1831">
        <w:t>–</w:t>
      </w:r>
      <w:r w:rsidRPr="007C1831">
        <w:t xml:space="preserve"> poszczególne RZGW WP, 2018</w:t>
      </w:r>
      <w:bookmarkEnd w:id="941"/>
      <w:r w:rsidR="00C4149B" w:rsidRPr="007C1831">
        <w:t xml:space="preserve"> r.</w:t>
      </w:r>
      <w:bookmarkEnd w:id="942"/>
    </w:p>
    <w:p w14:paraId="32525147" w14:textId="26C5AB79" w:rsidR="00CD1161" w:rsidRDefault="00CD1161" w:rsidP="00FF20D3">
      <w:pPr>
        <w:pStyle w:val="rdo"/>
        <w:spacing w:before="0" w:after="0"/>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1B04CEB0" w14:textId="4B626ED4" w:rsidR="00CD1161" w:rsidRPr="00795F17" w:rsidRDefault="00CD1161" w:rsidP="005842B5">
      <w:pPr>
        <w:rPr>
          <w:rFonts w:asciiTheme="minorHAnsi" w:hAnsiTheme="minorHAnsi" w:cstheme="minorHAnsi"/>
        </w:rPr>
      </w:pPr>
      <w:r w:rsidRPr="00795F17">
        <w:rPr>
          <w:noProof/>
          <w:lang w:eastAsia="pl-PL"/>
        </w:rPr>
        <w:drawing>
          <wp:inline distT="0" distB="0" distL="0" distR="0" wp14:anchorId="5D29F4F9" wp14:editId="2E4F4162">
            <wp:extent cx="5760000" cy="3327991"/>
            <wp:effectExtent l="0" t="0" r="12700" b="6350"/>
            <wp:docPr id="231" name="Wykres 231">
              <a:extLst xmlns:a="http://schemas.openxmlformats.org/drawingml/2006/main">
                <a:ext uri="{FF2B5EF4-FFF2-40B4-BE49-F238E27FC236}">
                  <a16:creationId xmlns:a16="http://schemas.microsoft.com/office/drawing/2014/main" id="{D83B6ED7-0D69-4051-8B8E-7EAAD61496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2279EAC4" w14:textId="0678048D" w:rsidR="00CD1161" w:rsidRPr="007C1831" w:rsidRDefault="00CD1161" w:rsidP="007C1831">
      <w:pPr>
        <w:pStyle w:val="Wykres"/>
      </w:pPr>
      <w:bookmarkStart w:id="943" w:name="_Toc66273029"/>
      <w:bookmarkStart w:id="944" w:name="_Toc105513056"/>
      <w:r w:rsidRPr="007C1831">
        <w:t xml:space="preserve">Wykres </w:t>
      </w:r>
      <w:fldSimple w:instr=" STYLEREF 1 \s ">
        <w:r w:rsidR="001F774D">
          <w:rPr>
            <w:noProof/>
          </w:rPr>
          <w:t>13</w:t>
        </w:r>
      </w:fldSimple>
      <w:r w:rsidR="00FF20D3" w:rsidRPr="007C1831">
        <w:noBreakHyphen/>
      </w:r>
      <w:fldSimple w:instr=" SEQ Wykres \* ARABIC \s 1 ">
        <w:r w:rsidR="001F774D">
          <w:rPr>
            <w:noProof/>
          </w:rPr>
          <w:t>19</w:t>
        </w:r>
      </w:fldSimple>
      <w:r w:rsidR="002B6022">
        <w:rPr>
          <w:noProof/>
        </w:rPr>
        <w:t>.</w:t>
      </w:r>
      <w:r w:rsidRPr="007C1831">
        <w:tab/>
        <w:t xml:space="preserve">Liczba podjętych interwencji w podziale na kategorie </w:t>
      </w:r>
      <w:r w:rsidR="00442820" w:rsidRPr="007C1831">
        <w:t>według</w:t>
      </w:r>
      <w:r w:rsidRPr="007C1831">
        <w:t xml:space="preserve"> PUW </w:t>
      </w:r>
      <w:r w:rsidR="004A4485" w:rsidRPr="007C1831">
        <w:t>–</w:t>
      </w:r>
      <w:r w:rsidRPr="007C1831">
        <w:t xml:space="preserve"> poszczególne RZGW WP, 2019</w:t>
      </w:r>
      <w:bookmarkEnd w:id="943"/>
      <w:r w:rsidR="00C4149B" w:rsidRPr="007C1831">
        <w:t xml:space="preserve"> r.</w:t>
      </w:r>
      <w:bookmarkEnd w:id="944"/>
    </w:p>
    <w:p w14:paraId="3A3016DA" w14:textId="4EEEB25D" w:rsidR="00CD1161" w:rsidRPr="00795F17" w:rsidRDefault="00CD1161" w:rsidP="0044393D">
      <w:pPr>
        <w:pStyle w:val="rdo"/>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bookmarkEnd w:id="911"/>
      <w:bookmarkEnd w:id="912"/>
      <w:bookmarkEnd w:id="913"/>
      <w:bookmarkEnd w:id="914"/>
    </w:p>
    <w:p w14:paraId="7A4A5B74" w14:textId="306AC7DC" w:rsidR="00332A4E" w:rsidRPr="00795F17" w:rsidRDefault="00D32DE2" w:rsidP="00C53C86">
      <w:pPr>
        <w:pStyle w:val="Nagwek2"/>
      </w:pPr>
      <w:bookmarkStart w:id="945" w:name="_Toc66347835"/>
      <w:bookmarkStart w:id="946" w:name="_Toc105512728"/>
      <w:r w:rsidRPr="00795F17">
        <w:t>Działania związane z ochroną wód morskich</w:t>
      </w:r>
      <w:bookmarkStart w:id="947" w:name="_Toc51050114"/>
      <w:bookmarkEnd w:id="945"/>
      <w:bookmarkEnd w:id="946"/>
    </w:p>
    <w:p w14:paraId="17F44134" w14:textId="781A39DB" w:rsidR="00F756A1" w:rsidRPr="00795F17" w:rsidRDefault="00F756A1" w:rsidP="0044393D">
      <w:r w:rsidRPr="00795F17">
        <w:t>Prezentowane w rozdziale informacje, zgodnie z art. 318 ust.</w:t>
      </w:r>
      <w:r w:rsidR="005B1055" w:rsidRPr="00795F17">
        <w:t xml:space="preserve"> </w:t>
      </w:r>
      <w:r w:rsidRPr="00795F17">
        <w:t>1 pkt 16 pr.w.</w:t>
      </w:r>
      <w:r w:rsidR="004A4485">
        <w:t>,</w:t>
      </w:r>
      <w:r w:rsidRPr="00795F17">
        <w:t xml:space="preserve"> dotyczą podejmowanych dotychczas działań związanych z ochroną wód morskich.</w:t>
      </w:r>
    </w:p>
    <w:p w14:paraId="107622F0" w14:textId="03B1D108" w:rsidR="00F756A1" w:rsidRPr="00795F17" w:rsidRDefault="00F756A1" w:rsidP="0044393D">
      <w:bookmarkStart w:id="948" w:name="_Hlk64819563"/>
      <w:bookmarkStart w:id="949" w:name="_Hlk64841104"/>
      <w:r w:rsidRPr="00795F17">
        <w:t xml:space="preserve">Działania zaplanowane dla </w:t>
      </w:r>
      <w:r w:rsidR="00DF005E">
        <w:t>JCWP</w:t>
      </w:r>
      <w:r w:rsidRPr="00795F17">
        <w:t xml:space="preserve"> TW i CW wynikają przede wszystkim z presji lądowych, których negatywne oddziaływanie odzwierciedla się w wartościach monitorowanych wskaźników, ujętych </w:t>
      </w:r>
      <w:r w:rsidR="00DF005E">
        <w:t>r.kl.jcwp</w:t>
      </w:r>
      <w:r w:rsidRPr="00795F17">
        <w:t xml:space="preserve">. Stan elementów biologicznych jest </w:t>
      </w:r>
      <w:r w:rsidRPr="00795F17">
        <w:rPr>
          <w:rFonts w:cs="Calibri"/>
        </w:rPr>
        <w:t>głównym czynnikiem oceny stanu wód, jednak zasadniczy wpływ na te elementy ma stan elementów fizykochemicznych, które jednocześnie niosą informację o</w:t>
      </w:r>
      <w:r w:rsidR="00DE7312" w:rsidRPr="00795F17">
        <w:rPr>
          <w:rFonts w:cs="Calibri"/>
        </w:rPr>
        <w:t> </w:t>
      </w:r>
      <w:r w:rsidRPr="00795F17">
        <w:rPr>
          <w:rFonts w:cs="Calibri"/>
        </w:rPr>
        <w:t>presji na jaką narażone są elementy biologiczne. Stan elementów fizykochemicznych zależy bowiem od jakości wód rzecznych, a w szczególności ładunków azotu i fosforu odprowadzanych rzekami oraz wprowadzanych wraz ze ściekami (podsumowanie identyfikacji znaczących oddziaływań przedstawia rozdział 7). Co najmniej dobry stan wspomagających elementów fizykochemicznych determinuje możliwość poprawy stanu elementów biologicznych, co jest koniecznym warunkiem osiągnięcia celów środowiskowych.</w:t>
      </w:r>
      <w:r w:rsidRPr="00795F17">
        <w:t xml:space="preserve"> </w:t>
      </w:r>
    </w:p>
    <w:p w14:paraId="1F2709C3" w14:textId="0423CE83" w:rsidR="00F756A1" w:rsidRPr="00795F17" w:rsidRDefault="00F756A1" w:rsidP="0044393D">
      <w:r w:rsidRPr="00795F17">
        <w:t xml:space="preserve">Działania związane z ograniczaniem dopływu azotu i fosforu z terenów rolniczych </w:t>
      </w:r>
      <w:r w:rsidR="00501F27">
        <w:t xml:space="preserve">na </w:t>
      </w:r>
      <w:r w:rsidRPr="00795F17">
        <w:t xml:space="preserve">obszarze dorzecza Odry zostały zaproponowane odrębnie dla rzek i jezior, natomiast w celu redukcji presji, jaką jest bezpośredni dopływ zanieczyszczeń do morza, opracowano działania obejmujące obszary nadmorskie obszaru dorzecza Odry wraz z gospodarką komunalną na terenach gmin bezpośrednio przylegających do </w:t>
      </w:r>
      <w:r w:rsidR="00DF005E">
        <w:t>JCWP</w:t>
      </w:r>
      <w:r w:rsidRPr="00795F17">
        <w:t xml:space="preserve"> TW i CW. Intensyfikacja działań w zakresie gospodarki komunalnej na terenach gmin przymorskich może mieć kluczowe znaczenie. </w:t>
      </w:r>
      <w:r w:rsidRPr="001C6219">
        <w:t>Ze względu na ograniczanie odpływu ścieków w</w:t>
      </w:r>
      <w:r w:rsidR="00F93E59" w:rsidRPr="001C6219">
        <w:t> </w:t>
      </w:r>
      <w:r w:rsidRPr="001C6219">
        <w:t xml:space="preserve">skali całego kraju słabo wiąże się </w:t>
      </w:r>
      <w:r w:rsidR="00C70289" w:rsidRPr="001C6219">
        <w:t xml:space="preserve">z </w:t>
      </w:r>
      <w:r w:rsidRPr="001C6219">
        <w:t>wielkością ładunków azotu i fosforu odprowadzanych przez Polskę rzekami do Bałtyku.</w:t>
      </w:r>
      <w:r w:rsidRPr="00795F17">
        <w:t xml:space="preserve"> Zgodnie z Raportem PLC-7</w:t>
      </w:r>
      <w:r w:rsidRPr="00795F17">
        <w:rPr>
          <w:rStyle w:val="Odwoanieprzypisudolnego"/>
        </w:rPr>
        <w:footnoteReference w:id="110"/>
      </w:r>
      <w:r w:rsidRPr="00795F17">
        <w:t xml:space="preserve">, na poziomie kraju nie stwierdzono żadnej zależności między tymi dwoma zmiennymi. </w:t>
      </w:r>
    </w:p>
    <w:p w14:paraId="37AE36A3" w14:textId="77777777" w:rsidR="00F756A1" w:rsidRPr="00795F17" w:rsidRDefault="00F756A1" w:rsidP="0044393D">
      <w:r w:rsidRPr="00795F17">
        <w:t>Kolejna grupa zaplanowanych działań jest związana z presjami takimi jak: działalność gospodarcza, ochrona brzegu morskiego przed abrazją i powodziami sztormowymi oraz turystyka i rekreacja wpływające na stan elementów hydromorfologicznych (</w:t>
      </w:r>
      <w:r w:rsidRPr="00795F17">
        <w:rPr>
          <w:rFonts w:cs="Calibri"/>
        </w:rPr>
        <w:t>podsumowanie identyfikacji znaczących oddziaływań przedstawia rozdział 7)</w:t>
      </w:r>
      <w:r w:rsidRPr="00795F17">
        <w:t xml:space="preserve">. </w:t>
      </w:r>
    </w:p>
    <w:p w14:paraId="3172D8EB" w14:textId="40C1B62D" w:rsidR="00F756A1" w:rsidRPr="00795F17" w:rsidRDefault="00F756A1" w:rsidP="0044393D">
      <w:pPr>
        <w:rPr>
          <w:color w:val="000000"/>
        </w:rPr>
      </w:pPr>
      <w:r w:rsidRPr="00795F17">
        <w:t xml:space="preserve">Zarówno w aPGW, jak i w IIaPGW nie są przedstawione cele środowiskowe związane ze stanem elementów hydromorfologicznych dla </w:t>
      </w:r>
      <w:r w:rsidR="00DF005E">
        <w:t>JCWP</w:t>
      </w:r>
      <w:r w:rsidRPr="00795F17">
        <w:t xml:space="preserve"> TW i CW. Biorąc pod uwagę ocenę stanu elementów hydromorfologicznych poniżej klasy dobrej w niektórych </w:t>
      </w:r>
      <w:r w:rsidR="00DF005E">
        <w:t>JCWP</w:t>
      </w:r>
      <w:r w:rsidRPr="00795F17">
        <w:t xml:space="preserve"> TW i CW (GIOŚ </w:t>
      </w:r>
      <w:r w:rsidR="003179ED">
        <w:t>2019</w:t>
      </w:r>
      <w:r w:rsidRPr="00795F17">
        <w:t>), pomimo braku szczegółowych danych, podjęto próbę wskazania działań, które docelowo mają doprowadzić do</w:t>
      </w:r>
      <w:r w:rsidR="005B1055" w:rsidRPr="00795F17">
        <w:t> </w:t>
      </w:r>
      <w:r w:rsidRPr="00795F17">
        <w:t>eliminacji lub redukcji oddziaływania presji na te elementy.</w:t>
      </w:r>
    </w:p>
    <w:bookmarkEnd w:id="948"/>
    <w:p w14:paraId="1DF870B6" w14:textId="77777777" w:rsidR="00F756A1" w:rsidRPr="00795F17" w:rsidRDefault="00F756A1" w:rsidP="0044393D">
      <w:r w:rsidRPr="00795F17">
        <w:t>Odrębną grupę stanowią działania dla obszarów chronionych obejmujące kompleksowe działania zgodnie z wymaganiami ujętymi w PO.</w:t>
      </w:r>
    </w:p>
    <w:p w14:paraId="5F08B894" w14:textId="73636281" w:rsidR="00F756A1" w:rsidRPr="00795F17" w:rsidRDefault="00F756A1" w:rsidP="0044393D">
      <w:r w:rsidRPr="00795F17">
        <w:t>Opracowując działania określono wzajemną relację pomiędzy wymaganiami RDW a RDSM w celu uniknięcia dublowania działań w IIaPGW i a</w:t>
      </w:r>
      <w:r w:rsidR="009B66ED" w:rsidRPr="00795F17">
        <w:t>ktualizacji K</w:t>
      </w:r>
      <w:r w:rsidRPr="00795F17">
        <w:t xml:space="preserve">POWM. </w:t>
      </w:r>
    </w:p>
    <w:p w14:paraId="6C9DE406" w14:textId="0772E489" w:rsidR="00F756A1" w:rsidRPr="00795F17" w:rsidRDefault="00F756A1" w:rsidP="0044393D">
      <w:r w:rsidRPr="00795F17">
        <w:t xml:space="preserve">Zgodnie z ustaleniami na poziomie KE ocena </w:t>
      </w:r>
      <w:r w:rsidR="00DF005E">
        <w:t>JCWP</w:t>
      </w:r>
      <w:r w:rsidRPr="00795F17">
        <w:t xml:space="preserve"> TW i CW w całości jest włączana do aktualizacji wstępnej </w:t>
      </w:r>
      <w:r w:rsidR="00282AF4" w:rsidRPr="00C51205">
        <w:t>oceny stanu środowiska wód morskich</w:t>
      </w:r>
      <w:r w:rsidRPr="00795F17">
        <w:t xml:space="preserve">, gdyż te </w:t>
      </w:r>
      <w:r w:rsidR="00DF005E">
        <w:t>JCWP</w:t>
      </w:r>
      <w:r w:rsidRPr="00795F17">
        <w:t xml:space="preserve"> z natury rzeczy należą do środowiska morskiego, a w Polsce do polskich obszarów morskich i tym samym uwzględnione są w całości w załączniku </w:t>
      </w:r>
      <w:r w:rsidR="002B4612">
        <w:t xml:space="preserve">nr </w:t>
      </w:r>
      <w:r w:rsidRPr="00795F17">
        <w:t xml:space="preserve">1 </w:t>
      </w:r>
      <w:r w:rsidR="00507E80" w:rsidRPr="00795F17">
        <w:t>(Zestawienie główne)</w:t>
      </w:r>
      <w:r w:rsidRPr="00795F17">
        <w:t xml:space="preserve"> do uchwały nr 170 Rady Ministrów z dnia 15 listopada 2018 r. dotyczącej przedłożenia Komisji Europejskiej projektu aktualizacji zestawu celów środowiskowych dla wód morskich z 2019 roku.</w:t>
      </w:r>
    </w:p>
    <w:p w14:paraId="0041A75B" w14:textId="2DA49402" w:rsidR="00F756A1" w:rsidRPr="00795F17" w:rsidRDefault="00F756A1" w:rsidP="0044393D">
      <w:r w:rsidRPr="00795F17">
        <w:t xml:space="preserve">W niektórych przypadkach sformułowane cele odnoszą się wprost do </w:t>
      </w:r>
      <w:r w:rsidR="00DF005E">
        <w:t>JCWP</w:t>
      </w:r>
      <w:r w:rsidRPr="00795F17">
        <w:t xml:space="preserve"> TW i CW. Na przykład dla</w:t>
      </w:r>
      <w:r w:rsidR="005B1055" w:rsidRPr="00795F17">
        <w:t> </w:t>
      </w:r>
      <w:r w:rsidRPr="00795F17">
        <w:t xml:space="preserve">cechy C6 (Integralność dna morskiego utrzymuje się na poziomie zapewniającym ochronę struktury i funkcji ekosystemów oraz brak negatywnego wpływu zwłaszcza na ekosystemy bentosowe), kryterium D6C1 (Zasięg przestrzenny i rozkład strat fizycznych (stała zmiana) naturalnego dna morskiego) celem dla </w:t>
      </w:r>
      <w:r w:rsidR="00DF005E">
        <w:t>JCWP</w:t>
      </w:r>
      <w:r w:rsidRPr="00795F17">
        <w:t xml:space="preserve"> TW i CW jest minimalizowanie powierzchni utraconego dna morskiego w</w:t>
      </w:r>
      <w:r w:rsidR="005B1055" w:rsidRPr="00795F17">
        <w:t> </w:t>
      </w:r>
      <w:r w:rsidRPr="00795F17">
        <w:t xml:space="preserve">obrębie </w:t>
      </w:r>
      <w:r w:rsidR="00DF005E">
        <w:t>JCWP</w:t>
      </w:r>
      <w:r w:rsidRPr="00795F17">
        <w:t xml:space="preserve"> w odniesieniu do wartości granicznych zawartych w opracowaniu aktualizacji zestawu właściwości typowych dla dobrego stanu środowiska wód morskich. Zbieżność celów dotyczy także cechy C5 (Do minimum ogranicza się eutrofizację wywołaną przez działalność</w:t>
      </w:r>
      <w:r w:rsidR="009A13A8">
        <w:t xml:space="preserve"> człowieka</w:t>
      </w:r>
      <w:r w:rsidRPr="00795F17">
        <w:t xml:space="preserve">) </w:t>
      </w:r>
      <w:r w:rsidR="003C019C">
        <w:t>–</w:t>
      </w:r>
      <w:r w:rsidRPr="00795F17">
        <w:t xml:space="preserve"> eutrofizacja w</w:t>
      </w:r>
      <w:r w:rsidR="00B80129">
        <w:t> </w:t>
      </w:r>
      <w:r w:rsidRPr="00795F17">
        <w:t>zakresie dopływu ładunku biogenów do morza, a także elementów biologicznych w szczególności na zalewach będących jcw TW</w:t>
      </w:r>
      <w:r w:rsidRPr="00795F17">
        <w:rPr>
          <w:rStyle w:val="Odwoanieprzypisudolnego"/>
        </w:rPr>
        <w:footnoteReference w:id="111"/>
      </w:r>
      <w:r w:rsidRPr="00795F17">
        <w:t>.</w:t>
      </w:r>
    </w:p>
    <w:p w14:paraId="71BDF432" w14:textId="228B9692" w:rsidR="00F756A1" w:rsidRPr="00795F17" w:rsidRDefault="00F756A1" w:rsidP="0044393D">
      <w:r w:rsidRPr="00795F17">
        <w:t>Analizując działania ujęte w KPOWM</w:t>
      </w:r>
      <w:r w:rsidRPr="00795F17">
        <w:rPr>
          <w:rStyle w:val="Odwoanieprzypisudolnego"/>
        </w:rPr>
        <w:footnoteReference w:id="112"/>
      </w:r>
      <w:r w:rsidRPr="00795F17">
        <w:t xml:space="preserve">, stwierdzono, że niektóre działania KPOWM opisane w kartach działań obejmowały swoim zasięgiem także obszary </w:t>
      </w:r>
      <w:r w:rsidR="00DF005E">
        <w:t>JCWP</w:t>
      </w:r>
      <w:r w:rsidRPr="00795F17">
        <w:t xml:space="preserve"> TW i CW, jednak bez wskazania na te obszary. </w:t>
      </w:r>
    </w:p>
    <w:p w14:paraId="1F4E0D77" w14:textId="3246A95F" w:rsidR="00F756A1" w:rsidRPr="00795F17" w:rsidRDefault="00F756A1" w:rsidP="0044393D">
      <w:r w:rsidRPr="00795F17">
        <w:t xml:space="preserve">Na przykład działanie KTM 16_6 Analiza zakresu i skutków środowiskowych trwałych zmian hydrograficznych, które powinno być zrealizowane do 2018 roku, dotyczy w dużej mierze zmian hydromorfologicznych </w:t>
      </w:r>
      <w:r w:rsidR="00DF005E">
        <w:t>JCWP</w:t>
      </w:r>
      <w:r w:rsidRPr="00795F17">
        <w:t xml:space="preserve"> TW i CW. </w:t>
      </w:r>
    </w:p>
    <w:p w14:paraId="1067544B" w14:textId="35805157" w:rsidR="00F756A1" w:rsidRPr="00795F17" w:rsidRDefault="00F756A1" w:rsidP="0044393D">
      <w:r w:rsidRPr="00795F17">
        <w:t xml:space="preserve">Innym działaniem jest KTM 31_3 Wykorzystanie wyników kompleksowych wytycznych dotyczących ekosystemowej metodyki wyboru miejsca deponowania osadów (urobku bagrowanego) w morzu oraz zarządzania przybrzeżnymi klapowiskami na obszarze Morza Bałtyckiego, które dotyczy także </w:t>
      </w:r>
      <w:r w:rsidR="00DF005E">
        <w:t>JCWP</w:t>
      </w:r>
      <w:r w:rsidRPr="00795F17">
        <w:t xml:space="preserve"> TW.</w:t>
      </w:r>
    </w:p>
    <w:p w14:paraId="67196E5A" w14:textId="533B47D5" w:rsidR="00F756A1" w:rsidRPr="00795F17" w:rsidRDefault="00F756A1" w:rsidP="0044393D">
      <w:r w:rsidRPr="00795F17">
        <w:t xml:space="preserve">W związku z faktem, że wiele innych działań w KPOWM dotyczyło równocześnie </w:t>
      </w:r>
      <w:r w:rsidR="00DF005E">
        <w:t>JCWP</w:t>
      </w:r>
      <w:r w:rsidRPr="00795F17">
        <w:t xml:space="preserve"> TW i CW oraz</w:t>
      </w:r>
      <w:r w:rsidR="00B80129">
        <w:t> </w:t>
      </w:r>
      <w:r w:rsidRPr="00795F17">
        <w:t xml:space="preserve">wód otwartego morza, a także zgodnie z krajowym prawodawstwem uznano, że w IIaPGW zostaną zamieszczone tylko działania dla </w:t>
      </w:r>
      <w:r w:rsidR="00DF005E">
        <w:t>JCWP</w:t>
      </w:r>
      <w:r w:rsidRPr="00795F17">
        <w:t xml:space="preserve"> TW i CW nie powielające się z działaniami KPOWM, a</w:t>
      </w:r>
      <w:r w:rsidR="00B80129">
        <w:t> </w:t>
      </w:r>
      <w:r w:rsidRPr="00795F17">
        <w:t xml:space="preserve">dotyczące przede wszystkim strefy brzegowej </w:t>
      </w:r>
      <w:r w:rsidR="00DF005E">
        <w:t>JCWP</w:t>
      </w:r>
      <w:r w:rsidRPr="00795F17">
        <w:t xml:space="preserve"> CW oraz całości </w:t>
      </w:r>
      <w:r w:rsidR="00DF005E">
        <w:t>JCWP</w:t>
      </w:r>
      <w:r w:rsidRPr="00795F17">
        <w:t xml:space="preserve"> TW.</w:t>
      </w:r>
    </w:p>
    <w:bookmarkEnd w:id="949"/>
    <w:p w14:paraId="55AB59DF" w14:textId="77777777" w:rsidR="00F756A1" w:rsidRPr="00795F17" w:rsidRDefault="00F756A1" w:rsidP="0044393D">
      <w:r w:rsidRPr="00795F17">
        <w:t xml:space="preserve">IIaPGW, podobnie jak program działań realizowany w ramach aPGW, a wynikający z aPWŚK, obejmuje działania, które bezpośrednio lub pośrednio wpływają na poprawę stanu wód morskich. </w:t>
      </w:r>
    </w:p>
    <w:p w14:paraId="29A39E6C" w14:textId="38DC7FDD" w:rsidR="00F756A1" w:rsidRPr="00795F17" w:rsidRDefault="00F756A1" w:rsidP="0044393D">
      <w:r w:rsidRPr="00795F17">
        <w:t xml:space="preserve">Do działań wpływających bezpośrednio na stan wód </w:t>
      </w:r>
      <w:r w:rsidR="00DF005E">
        <w:t>JCWP</w:t>
      </w:r>
      <w:r w:rsidRPr="00795F17">
        <w:t xml:space="preserve"> TW i CW należą:</w:t>
      </w:r>
    </w:p>
    <w:p w14:paraId="050169FB" w14:textId="77777777" w:rsidR="00F756A1" w:rsidRPr="00795F17" w:rsidRDefault="00F756A1" w:rsidP="00117E86">
      <w:pPr>
        <w:pStyle w:val="Listapunktowana2"/>
      </w:pPr>
      <w:r w:rsidRPr="00795F17">
        <w:t xml:space="preserve">działania wynikające z konieczności porządkowania systemu gospodarki ściekowej; </w:t>
      </w:r>
    </w:p>
    <w:p w14:paraId="224B865F" w14:textId="7F2F3882" w:rsidR="00F756A1" w:rsidRPr="00795F17" w:rsidRDefault="00F756A1" w:rsidP="00117E86">
      <w:pPr>
        <w:pStyle w:val="Listapunktowana2"/>
      </w:pPr>
      <w:r w:rsidRPr="00795F17">
        <w:t xml:space="preserve">realizacja KPOŚK na terenach przylegających do </w:t>
      </w:r>
      <w:r w:rsidR="00DF005E">
        <w:t>JCWP</w:t>
      </w:r>
      <w:r w:rsidRPr="00795F17">
        <w:t xml:space="preserve"> TW i CW; </w:t>
      </w:r>
    </w:p>
    <w:p w14:paraId="466EA93A" w14:textId="77777777" w:rsidR="00F756A1" w:rsidRPr="00795F17" w:rsidRDefault="00F756A1" w:rsidP="00117E86">
      <w:pPr>
        <w:pStyle w:val="Listapunktowana2"/>
      </w:pPr>
      <w:r w:rsidRPr="00795F17">
        <w:t xml:space="preserve">ograniczenia rozprzestrzeniania zanieczyszczeń; </w:t>
      </w:r>
    </w:p>
    <w:p w14:paraId="1E5EF12F" w14:textId="1B88728F" w:rsidR="00F756A1" w:rsidRPr="00795F17" w:rsidRDefault="00F756A1" w:rsidP="00117E86">
      <w:pPr>
        <w:pStyle w:val="Listapunktowana2"/>
      </w:pPr>
      <w:r w:rsidRPr="00795F17">
        <w:t>kształtowanie naturalnych warunków hydrodynamicznych oraz ochrona ekosystemów i</w:t>
      </w:r>
      <w:r w:rsidR="005B1055" w:rsidRPr="00795F17">
        <w:t> </w:t>
      </w:r>
      <w:r w:rsidRPr="00795F17">
        <w:t xml:space="preserve">zachowanie różnorodności biologicznej; </w:t>
      </w:r>
    </w:p>
    <w:p w14:paraId="3B576D1E" w14:textId="77777777" w:rsidR="00F756A1" w:rsidRPr="00795F17" w:rsidRDefault="00F756A1" w:rsidP="00117E86">
      <w:pPr>
        <w:pStyle w:val="Listapunktowana2"/>
      </w:pPr>
      <w:bookmarkStart w:id="950" w:name="_Hlk64842049"/>
      <w:r w:rsidRPr="00795F17">
        <w:t>kształtowanie stosunków wodnych oraz ochrona ekosystemów od wód zależnych (w tym poprawa warunków morfologicznych i zachowanie ciągłości biologicznej strefy brzegowej, zapewnienie ciągłości rzek i potoków uchodzących do morza poprzez udrożnienie obiektów stanowiących przeszkodę dla migracji ryb, ograniczenie wpływu presji morfologicznej);</w:t>
      </w:r>
    </w:p>
    <w:p w14:paraId="2401F7F5" w14:textId="46079232" w:rsidR="00F756A1" w:rsidRPr="00795F17" w:rsidRDefault="00F756A1" w:rsidP="00117E86">
      <w:pPr>
        <w:pStyle w:val="Listapunktowana2"/>
      </w:pPr>
      <w:r w:rsidRPr="00795F17">
        <w:t xml:space="preserve">realizacja zadań wynikających z planów ochrony obszarów chronionych obejmujących zarówno tereny nadbrzeżne, jak i wody oraz dno </w:t>
      </w:r>
      <w:r w:rsidR="00DF005E">
        <w:t>JCWP</w:t>
      </w:r>
      <w:r w:rsidRPr="00795F17">
        <w:t xml:space="preserve"> TW i CW.</w:t>
      </w:r>
    </w:p>
    <w:p w14:paraId="7A924698" w14:textId="77777777" w:rsidR="00F756A1" w:rsidRPr="00795F17" w:rsidRDefault="00F756A1" w:rsidP="0044393D">
      <w:r w:rsidRPr="00795F17">
        <w:t>Do działań wpływających pośrednio na stan wód TW i CW zaliczane są</w:t>
      </w:r>
      <w:r w:rsidRPr="00AB36EB">
        <w:t>:</w:t>
      </w:r>
    </w:p>
    <w:p w14:paraId="58AB3831" w14:textId="77777777" w:rsidR="00F756A1" w:rsidRPr="00795F17" w:rsidRDefault="00F756A1" w:rsidP="00117E86">
      <w:pPr>
        <w:pStyle w:val="Listapunktowana2"/>
      </w:pPr>
      <w:r w:rsidRPr="00795F17">
        <w:t xml:space="preserve">ograniczenie odpływu azotu i fosforu z terenów rolniczych do wód powierzchniowych; </w:t>
      </w:r>
    </w:p>
    <w:p w14:paraId="3B979D1F" w14:textId="18AAB912" w:rsidR="00F756A1" w:rsidRPr="00795F17" w:rsidRDefault="00F756A1" w:rsidP="00117E86">
      <w:pPr>
        <w:pStyle w:val="Listapunktowana2"/>
      </w:pPr>
      <w:r w:rsidRPr="00795F17">
        <w:t>działania organizacyjno-prawne i edukacyjne (analiza stanu zagospodarowania terenów nadmorskich, analiza potrzeb wykupu gruntów na terenach zagrożonych osuwiskami i</w:t>
      </w:r>
      <w:r w:rsidR="00125575">
        <w:t> </w:t>
      </w:r>
      <w:r w:rsidRPr="00795F17">
        <w:t>w</w:t>
      </w:r>
      <w:r w:rsidR="00125575">
        <w:t> </w:t>
      </w:r>
      <w:r w:rsidRPr="00795F17">
        <w:t xml:space="preserve">obrębie klifów); </w:t>
      </w:r>
    </w:p>
    <w:p w14:paraId="427388A0" w14:textId="688AB730" w:rsidR="00F756A1" w:rsidRPr="00795F17" w:rsidRDefault="00F756A1" w:rsidP="00117E86">
      <w:pPr>
        <w:pStyle w:val="Listapunktowana2"/>
      </w:pPr>
      <w:r w:rsidRPr="00795F17">
        <w:t>działania kontrolne (kontrola użytkowników prywatnych i przedsiębiorstw, badanie i</w:t>
      </w:r>
      <w:r w:rsidR="00BF3682">
        <w:t> </w:t>
      </w:r>
      <w:r w:rsidRPr="00795F17">
        <w:t>monitorowanie oddziaływania na środowisko wodne w przypadku trwających inwestycji hydrotechnicznych)</w:t>
      </w:r>
      <w:r w:rsidR="003C019C">
        <w:t>.</w:t>
      </w:r>
    </w:p>
    <w:p w14:paraId="654D3E36" w14:textId="1AC024C8" w:rsidR="00F756A1" w:rsidRPr="00795F17" w:rsidRDefault="00F756A1" w:rsidP="0044393D">
      <w:r w:rsidRPr="00795F17">
        <w:t xml:space="preserve">Stopień realizacji działań wynikających z KPOŚK analizowany jest w kolejnych aktualizacjach programu </w:t>
      </w:r>
      <w:r w:rsidR="008928EC" w:rsidRPr="00795F17">
        <w:t xml:space="preserve">oraz w corocznych sprawozdaniach, dotyczących stopnia wykonania Programu, przedkładanych przez marszałków województw Prezesowi KZGW. </w:t>
      </w:r>
      <w:r w:rsidR="00102D6C">
        <w:t xml:space="preserve">Obecnie obowiązuje </w:t>
      </w:r>
      <w:r w:rsidRPr="00795F17">
        <w:t>VI</w:t>
      </w:r>
      <w:r w:rsidR="00CF2AAB" w:rsidRPr="00795F17">
        <w:t xml:space="preserve"> </w:t>
      </w:r>
      <w:r w:rsidRPr="00795F17">
        <w:t>aKPOŚK</w:t>
      </w:r>
      <w:r w:rsidR="00102D6C">
        <w:t>, przyjęta przez Radę Ministrów</w:t>
      </w:r>
      <w:r w:rsidR="00D93AE8">
        <w:t xml:space="preserve"> w dniu 5 maja 2022 r. Program ten także został</w:t>
      </w:r>
      <w:r w:rsidRPr="00795F17">
        <w:t xml:space="preserve">uwzględniony w IIaPGW) </w:t>
      </w:r>
    </w:p>
    <w:p w14:paraId="5F588085" w14:textId="77777777" w:rsidR="00F756A1" w:rsidRPr="00795F17" w:rsidRDefault="00F756A1" w:rsidP="0044393D">
      <w:r w:rsidRPr="00795F17">
        <w:t>Podsumowanie informacji uzyskanych w wyniku monitorowania realizacji działań zawartych w aPGW (2016 r.) przedstawiono w rozdziale 10.</w:t>
      </w:r>
    </w:p>
    <w:bookmarkEnd w:id="950"/>
    <w:p w14:paraId="61476587" w14:textId="3C97CBB5" w:rsidR="00F756A1" w:rsidRPr="00795F17" w:rsidRDefault="00F756A1" w:rsidP="0044393D">
      <w:r w:rsidRPr="00795F17">
        <w:t>W IIaPGW w wyniku procedury doboru działań i ich priorytetyzacji przyjęto zestaw działań ukierunkowany na osiągnięcie celów środowiskowych dla wód TW i CW zarówno w okresie obowiązywania IIaPGW, jak i w dłuższej perspektywie czasowej. W szczególności realizacja zadań badawczych umożliwi zaplanowanie konkretnych działań w kolejnej aktualizacji p</w:t>
      </w:r>
      <w:r w:rsidR="007372ED">
        <w:t xml:space="preserve">lanu </w:t>
      </w:r>
      <w:r w:rsidRPr="00795F17">
        <w:t>gospodarowania wodami.</w:t>
      </w:r>
    </w:p>
    <w:p w14:paraId="0B0EC583" w14:textId="266EAC9B" w:rsidR="00F756A1" w:rsidRPr="00795F17" w:rsidRDefault="00F756A1" w:rsidP="0044393D">
      <w:r w:rsidRPr="00795F17">
        <w:t>Działania dotyczące ochrony wód morskich w IIaPGW obejmują cztery typy w zależności od</w:t>
      </w:r>
      <w:r w:rsidR="00435693" w:rsidRPr="00795F17">
        <w:t> </w:t>
      </w:r>
      <w:r w:rsidRPr="00795F17">
        <w:t xml:space="preserve">ich ukierunkowania na ograniczenie lub eliminację znaczącej presji: </w:t>
      </w:r>
    </w:p>
    <w:p w14:paraId="50BBE16B" w14:textId="754B4868" w:rsidR="00F756A1" w:rsidRPr="00795F17" w:rsidRDefault="00F756A1" w:rsidP="005635FD">
      <w:pPr>
        <w:pStyle w:val="Numerowanie"/>
        <w:numPr>
          <w:ilvl w:val="0"/>
          <w:numId w:val="95"/>
        </w:numPr>
      </w:pPr>
      <w:r w:rsidRPr="00795F17">
        <w:t xml:space="preserve">TWCWP </w:t>
      </w:r>
      <w:r w:rsidR="001602B3">
        <w:t>–</w:t>
      </w:r>
      <w:r w:rsidRPr="00795F17">
        <w:t xml:space="preserve"> działania ukierunkowane na eliminację/ograniczenie presji fizyczno-chemicznych i</w:t>
      </w:r>
      <w:r w:rsidR="00435693" w:rsidRPr="00795F17">
        <w:t> </w:t>
      </w:r>
      <w:r w:rsidRPr="00795F17">
        <w:t xml:space="preserve">chemicznych na elementy biologiczne (grupy presji punktowe przemysłowe i komunalne, rozproszone odpływ miejski, rozwój obszarów zurbanizowanych, turystyka, transport, odpływ z miasta) </w:t>
      </w:r>
      <w:r w:rsidR="001602B3">
        <w:t>–</w:t>
      </w:r>
      <w:r w:rsidRPr="00795F17">
        <w:t xml:space="preserve"> działania te dotyczą wszystkich </w:t>
      </w:r>
      <w:r w:rsidR="00DF005E">
        <w:t>JCWP</w:t>
      </w:r>
      <w:r w:rsidRPr="00795F17">
        <w:t xml:space="preserve"> TW i CW </w:t>
      </w:r>
      <w:r w:rsidR="0012736D">
        <w:t xml:space="preserve">na </w:t>
      </w:r>
      <w:r w:rsidRPr="00795F17">
        <w:t xml:space="preserve">obszarze dorzecza Odry; </w:t>
      </w:r>
    </w:p>
    <w:p w14:paraId="52C3B3DD" w14:textId="077A6FA0" w:rsidR="00F756A1" w:rsidRPr="00795F17" w:rsidRDefault="00F756A1" w:rsidP="0052702D">
      <w:pPr>
        <w:pStyle w:val="Numerowanie"/>
      </w:pPr>
      <w:r w:rsidRPr="00795F17">
        <w:t xml:space="preserve">TWCWHM </w:t>
      </w:r>
      <w:r w:rsidR="001602B3">
        <w:t>–</w:t>
      </w:r>
      <w:r w:rsidRPr="00795F17">
        <w:t xml:space="preserve"> działania ukierunkowane na eliminację/ograniczenie presji hydromorfologicznych na elementy biologiczne, w tym:</w:t>
      </w:r>
    </w:p>
    <w:p w14:paraId="38D81800" w14:textId="1480BA8B" w:rsidR="00F756A1" w:rsidRPr="00795F17" w:rsidRDefault="00F756A1" w:rsidP="00117E86">
      <w:pPr>
        <w:pStyle w:val="Listapunktowana2"/>
      </w:pPr>
      <w:r w:rsidRPr="00795F17">
        <w:t>ochrona cennych siedlisk i gatunków w strefie brzegowej i morskiej; działania dedykowane dla</w:t>
      </w:r>
      <w:r w:rsidR="00435693" w:rsidRPr="00795F17">
        <w:t> </w:t>
      </w:r>
      <w:r w:rsidR="00DF005E">
        <w:t>JCWP</w:t>
      </w:r>
      <w:r w:rsidRPr="00795F17">
        <w:t xml:space="preserve"> w obrębie których znajdują się obszary chronione powiązane z wodami morskimi, dla</w:t>
      </w:r>
      <w:r w:rsidR="00435693" w:rsidRPr="00795F17">
        <w:t> </w:t>
      </w:r>
      <w:r w:rsidRPr="00795F17">
        <w:t>których warunki hydromorfologiczne i hydrologiczne są ważnym elementem ich ochrony</w:t>
      </w:r>
      <w:r w:rsidR="0070429D">
        <w:t>,</w:t>
      </w:r>
    </w:p>
    <w:p w14:paraId="7CE8C653" w14:textId="2BDAC307" w:rsidR="00F756A1" w:rsidRPr="00795F17" w:rsidRDefault="00F756A1" w:rsidP="00117E86">
      <w:pPr>
        <w:pStyle w:val="Listapunktowana2"/>
      </w:pPr>
      <w:r w:rsidRPr="00795F17">
        <w:t>ograniczenia negatywnych wpływów na ekosystemy denne oraz powrót ekosystemu w</w:t>
      </w:r>
      <w:r w:rsidR="00435693" w:rsidRPr="00795F17">
        <w:t> </w:t>
      </w:r>
      <w:r w:rsidRPr="00795F17">
        <w:t>miejscach, w których antropogeniczne lub naturalne presje zaburzyły strukturę oraz procesy zachodzące w obrębie dna morskiego lub struktur biotycznych, do stanu w mniejszym stopniu zmodyfikowane</w:t>
      </w:r>
      <w:r w:rsidR="00350DBB">
        <w:t>go</w:t>
      </w:r>
      <w:r w:rsidR="00BF753A">
        <w:t>,</w:t>
      </w:r>
    </w:p>
    <w:p w14:paraId="33BCFD3E" w14:textId="432F066C" w:rsidR="00F756A1" w:rsidRPr="00795F17" w:rsidRDefault="00F756A1" w:rsidP="00117E86">
      <w:pPr>
        <w:pStyle w:val="Listapunktowana2"/>
      </w:pPr>
      <w:r w:rsidRPr="00795F17">
        <w:t>ochrona cennych siedlisk i gatunków w strefie brzegowej i morskiej</w:t>
      </w:r>
      <w:r w:rsidR="00BF753A">
        <w:t>,</w:t>
      </w:r>
    </w:p>
    <w:p w14:paraId="733F6BBC" w14:textId="5BC2351D" w:rsidR="00F756A1" w:rsidRPr="00795F17" w:rsidRDefault="00F756A1" w:rsidP="00117E86">
      <w:pPr>
        <w:pStyle w:val="Listapunktowana2"/>
      </w:pPr>
      <w:r w:rsidRPr="00795F17">
        <w:t>identyfikacja obszarów</w:t>
      </w:r>
      <w:r w:rsidR="0005299E">
        <w:t>,</w:t>
      </w:r>
      <w:r w:rsidRPr="00795F17">
        <w:t xml:space="preserve"> na których dopuszcza się zachowanie naturalnych procesów przemieszczania się osadów dennych (wszystkie </w:t>
      </w:r>
      <w:r w:rsidR="00DF005E">
        <w:t>JCWP</w:t>
      </w:r>
      <w:r w:rsidRPr="00795F17">
        <w:t xml:space="preserve"> TW i CW </w:t>
      </w:r>
      <w:r w:rsidR="0005299E">
        <w:t>na</w:t>
      </w:r>
      <w:r w:rsidRPr="00795F17">
        <w:t xml:space="preserve"> obszarze dorzecza Odry);</w:t>
      </w:r>
    </w:p>
    <w:p w14:paraId="63150E1F" w14:textId="75A4B9DA" w:rsidR="00F756A1" w:rsidRPr="00795F17" w:rsidRDefault="00F756A1" w:rsidP="00117E86">
      <w:pPr>
        <w:pStyle w:val="Listapunktowana2"/>
      </w:pPr>
      <w:r w:rsidRPr="00795F17">
        <w:t>zapobieganie zakłócaniu i przywracanie naturalnych morskich procesów</w:t>
      </w:r>
      <w:r w:rsidR="00561BF6">
        <w:t>.</w:t>
      </w:r>
    </w:p>
    <w:p w14:paraId="39CB9ACC" w14:textId="56955EB6" w:rsidR="00F756A1" w:rsidRPr="00795F17" w:rsidRDefault="00F756A1" w:rsidP="0052702D">
      <w:pPr>
        <w:pStyle w:val="Numerowanie"/>
      </w:pPr>
      <w:r w:rsidRPr="00795F17">
        <w:t xml:space="preserve">TWCWC </w:t>
      </w:r>
      <w:r w:rsidR="001602B3">
        <w:t>–</w:t>
      </w:r>
      <w:r w:rsidRPr="00795F17">
        <w:t xml:space="preserve"> działania ukierunkowane na eliminację/ograniczenie presji skumulowanych na</w:t>
      </w:r>
      <w:r w:rsidR="00435693" w:rsidRPr="00795F17">
        <w:t> </w:t>
      </w:r>
      <w:r w:rsidRPr="00795F17">
        <w:t xml:space="preserve">elementy biologiczne, w tym: </w:t>
      </w:r>
    </w:p>
    <w:p w14:paraId="52FE4E4A" w14:textId="294E9253" w:rsidR="00F756A1" w:rsidRPr="00795F17" w:rsidRDefault="00F756A1" w:rsidP="00117E86">
      <w:pPr>
        <w:pStyle w:val="Listapunktowana2"/>
        <w:rPr>
          <w:rFonts w:asciiTheme="minorHAnsi" w:eastAsiaTheme="minorEastAsia" w:hAnsiTheme="minorHAnsi" w:cstheme="minorBidi"/>
        </w:rPr>
      </w:pPr>
      <w:r w:rsidRPr="00795F17">
        <w:t>ochrona i zwiększanie retencji w zlewni</w:t>
      </w:r>
      <w:r w:rsidR="00785EC3">
        <w:t>,</w:t>
      </w:r>
    </w:p>
    <w:p w14:paraId="010E3FFC" w14:textId="799EAACA" w:rsidR="00F756A1" w:rsidRPr="00795F17" w:rsidRDefault="00F756A1" w:rsidP="00117E86">
      <w:pPr>
        <w:pStyle w:val="Listapunktowana2"/>
        <w:rPr>
          <w:rFonts w:asciiTheme="minorHAnsi" w:eastAsiaTheme="minorEastAsia" w:hAnsiTheme="minorHAnsi" w:cstheme="minorBidi"/>
        </w:rPr>
      </w:pPr>
      <w:r w:rsidRPr="00795F17">
        <w:t xml:space="preserve">ograniczenie rozprzestrzeniania się </w:t>
      </w:r>
      <w:r w:rsidR="00035453">
        <w:t xml:space="preserve">inwazyjnych </w:t>
      </w:r>
      <w:r w:rsidRPr="00795F17">
        <w:t xml:space="preserve">gatunków obcych </w:t>
      </w:r>
      <w:r w:rsidR="00035453">
        <w:t>drzew i krzewów</w:t>
      </w:r>
      <w:r w:rsidR="00FE5794">
        <w:t xml:space="preserve"> (przez „</w:t>
      </w:r>
      <w:r w:rsidR="00FE5794" w:rsidRPr="009E7FDB">
        <w:t xml:space="preserve">inwazyjny gatunek obcy” </w:t>
      </w:r>
      <w:r w:rsidR="00FE5794">
        <w:t>rozumie się</w:t>
      </w:r>
      <w:r w:rsidR="00FE5794" w:rsidRPr="009E7FDB">
        <w:t xml:space="preserve"> gatunek obcy, którego wprowadzenie lub rozprzestrzenianie się zagraża bioróżnorodności i powiązanym usługom ekosystemowym lub oddziałuje na nie w niepożądany sposób</w:t>
      </w:r>
      <w:r w:rsidR="00FE5794">
        <w:t>)</w:t>
      </w:r>
      <w:r w:rsidRPr="00795F17">
        <w:t xml:space="preserve">, działania dedykowane w pierwszej kolejności dla </w:t>
      </w:r>
      <w:r w:rsidR="00DF005E">
        <w:t>JCWP</w:t>
      </w:r>
      <w:r w:rsidRPr="00795F17">
        <w:t xml:space="preserve"> w których znajdują się porty obsługujące międzynarodowy ruch statków oraz w obrębie których znajdują się obszary chronione</w:t>
      </w:r>
      <w:r w:rsidR="00FE5794">
        <w:t>,</w:t>
      </w:r>
    </w:p>
    <w:p w14:paraId="1AB94485" w14:textId="038FAF2F" w:rsidR="00F756A1" w:rsidRPr="00795F17" w:rsidRDefault="00F756A1" w:rsidP="00117E86">
      <w:pPr>
        <w:pStyle w:val="Listapunktowana2"/>
      </w:pPr>
      <w:r w:rsidRPr="00795F17">
        <w:t xml:space="preserve">działania wynikające z PO i PZO obszarów chronionych - realizowane w </w:t>
      </w:r>
      <w:r w:rsidR="00DF005E">
        <w:t>JCWP</w:t>
      </w:r>
      <w:r w:rsidRPr="00795F17">
        <w:t xml:space="preserve"> w obrębie których znajdują się obszary przeznaczone do ochrony siedlisk lub gatunków, ustanowione w </w:t>
      </w:r>
      <w:r w:rsidR="00D01128">
        <w:t>u.o.p</w:t>
      </w:r>
      <w:r w:rsidRPr="00795F17">
        <w:t xml:space="preserve">, dla których utrzymanie lub poprawa stanu wód jest ważnym czynnikiem w ich ochronie oraz w planach ochrony/planach zadań ochronnych zidentyfikowane zostały działania/zadania w zakresie wymagań wodnych (wszystkie </w:t>
      </w:r>
      <w:r w:rsidR="00DF005E">
        <w:t>JCWP</w:t>
      </w:r>
      <w:r w:rsidRPr="00795F17">
        <w:t xml:space="preserve"> TW i CW </w:t>
      </w:r>
      <w:r w:rsidR="003A6717">
        <w:t>na</w:t>
      </w:r>
      <w:r w:rsidRPr="00795F17">
        <w:t xml:space="preserve"> obszarze dorzecza Odry).</w:t>
      </w:r>
    </w:p>
    <w:p w14:paraId="50866EF8" w14:textId="0AC5FD30" w:rsidR="00F756A1" w:rsidRPr="00795F17" w:rsidRDefault="00F756A1" w:rsidP="0044393D">
      <w:r w:rsidRPr="00795F17">
        <w:t xml:space="preserve">Działania dotyczące ochrony wód morskich planowane w IIaPGW zawiera tabela </w:t>
      </w:r>
      <w:r w:rsidR="00D435CC" w:rsidRPr="00795F17">
        <w:t>13-</w:t>
      </w:r>
      <w:r w:rsidR="0009481D" w:rsidRPr="00795F17">
        <w:t>26</w:t>
      </w:r>
      <w:r w:rsidRPr="00795F17">
        <w:t>.</w:t>
      </w:r>
    </w:p>
    <w:p w14:paraId="1ED1ED7D" w14:textId="791FA924" w:rsidR="00A929FD" w:rsidRPr="00795F17" w:rsidRDefault="00A929FD" w:rsidP="004D7705">
      <w:pPr>
        <w:pStyle w:val="Tabela"/>
      </w:pPr>
      <w:bookmarkStart w:id="951" w:name="_Toc66341984"/>
      <w:bookmarkStart w:id="952" w:name="_Toc105512911"/>
      <w:r w:rsidRPr="00795F17">
        <w:t xml:space="preserve">Tabela </w:t>
      </w:r>
      <w:fldSimple w:instr=" STYLEREF 1 \s ">
        <w:r w:rsidR="001F774D">
          <w:rPr>
            <w:noProof/>
          </w:rPr>
          <w:t>13</w:t>
        </w:r>
      </w:fldSimple>
      <w:r w:rsidR="00BB3B21" w:rsidRPr="00795F17">
        <w:noBreakHyphen/>
      </w:r>
      <w:fldSimple w:instr=" SEQ Tabela \* ARABIC \s 1 ">
        <w:r w:rsidR="001F774D">
          <w:rPr>
            <w:noProof/>
          </w:rPr>
          <w:t>25</w:t>
        </w:r>
      </w:fldSimple>
      <w:r w:rsidR="000B5450">
        <w:rPr>
          <w:noProof/>
        </w:rPr>
        <w:t>.</w:t>
      </w:r>
      <w:r w:rsidRPr="00795F17">
        <w:tab/>
      </w:r>
      <w:r w:rsidRPr="00795F17">
        <w:rPr>
          <w:rFonts w:cs="Calibri"/>
          <w:szCs w:val="20"/>
        </w:rPr>
        <w:t>Działania dotyczące ochrony wód morskich planowane w IIaPGW</w:t>
      </w:r>
      <w:bookmarkEnd w:id="951"/>
      <w:bookmarkEnd w:id="9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99"/>
        <w:gridCol w:w="1958"/>
        <w:gridCol w:w="2048"/>
        <w:gridCol w:w="1632"/>
        <w:gridCol w:w="2079"/>
      </w:tblGrid>
      <w:tr w:rsidR="00F756A1" w:rsidRPr="00795F17" w14:paraId="028C38AF" w14:textId="77777777" w:rsidTr="002D7216">
        <w:trPr>
          <w:trHeight w:val="454"/>
          <w:tblHeader/>
        </w:trPr>
        <w:tc>
          <w:tcPr>
            <w:tcW w:w="720" w:type="pct"/>
            <w:shd w:val="clear" w:color="auto" w:fill="BFBFBF" w:themeFill="background1" w:themeFillShade="BF"/>
            <w:vAlign w:val="center"/>
            <w:hideMark/>
          </w:tcPr>
          <w:p w14:paraId="743DFFA2" w14:textId="77777777" w:rsidR="00F756A1" w:rsidRPr="00795F17" w:rsidRDefault="00F756A1" w:rsidP="0044393D">
            <w:pPr>
              <w:pStyle w:val="Teksttabelinaglowek"/>
            </w:pPr>
            <w:r w:rsidRPr="00795F17">
              <w:t>Indywidualny kod grupy działań</w:t>
            </w:r>
          </w:p>
        </w:tc>
        <w:tc>
          <w:tcPr>
            <w:tcW w:w="1086" w:type="pct"/>
            <w:shd w:val="clear" w:color="auto" w:fill="BFBFBF" w:themeFill="background1" w:themeFillShade="BF"/>
            <w:vAlign w:val="center"/>
          </w:tcPr>
          <w:p w14:paraId="0984D2FB" w14:textId="5DD3ACA7" w:rsidR="00F756A1" w:rsidRPr="00795F17" w:rsidRDefault="00F756A1" w:rsidP="0044393D">
            <w:pPr>
              <w:pStyle w:val="Teksttabelinaglowek"/>
            </w:pPr>
            <w:r w:rsidRPr="00795F17">
              <w:t>Kategoria działa</w:t>
            </w:r>
            <w:r w:rsidR="00F34A78">
              <w:t>ń</w:t>
            </w:r>
          </w:p>
        </w:tc>
        <w:tc>
          <w:tcPr>
            <w:tcW w:w="1136" w:type="pct"/>
            <w:shd w:val="clear" w:color="auto" w:fill="BFBFBF" w:themeFill="background1" w:themeFillShade="BF"/>
            <w:vAlign w:val="center"/>
          </w:tcPr>
          <w:p w14:paraId="479E94AA" w14:textId="77777777" w:rsidR="00F756A1" w:rsidRPr="00795F17" w:rsidRDefault="00F756A1" w:rsidP="0044393D">
            <w:pPr>
              <w:pStyle w:val="Teksttabelinaglowek"/>
            </w:pPr>
            <w:r w:rsidRPr="00795F17">
              <w:t>Grupa działań</w:t>
            </w:r>
          </w:p>
        </w:tc>
        <w:tc>
          <w:tcPr>
            <w:tcW w:w="905" w:type="pct"/>
            <w:shd w:val="clear" w:color="auto" w:fill="BFBFBF" w:themeFill="background1" w:themeFillShade="BF"/>
            <w:vAlign w:val="center"/>
            <w:hideMark/>
          </w:tcPr>
          <w:p w14:paraId="29BA216A" w14:textId="77777777" w:rsidR="00F756A1" w:rsidRPr="00795F17" w:rsidRDefault="00F756A1" w:rsidP="0044393D">
            <w:pPr>
              <w:pStyle w:val="Teksttabelinaglowek"/>
            </w:pPr>
            <w:r w:rsidRPr="00795F17">
              <w:t>Nr działania</w:t>
            </w:r>
          </w:p>
        </w:tc>
        <w:tc>
          <w:tcPr>
            <w:tcW w:w="1154" w:type="pct"/>
            <w:shd w:val="clear" w:color="auto" w:fill="BFBFBF" w:themeFill="background1" w:themeFillShade="BF"/>
            <w:vAlign w:val="center"/>
            <w:hideMark/>
          </w:tcPr>
          <w:p w14:paraId="64A0A94F" w14:textId="77777777" w:rsidR="00F756A1" w:rsidRPr="00795F17" w:rsidRDefault="00F756A1" w:rsidP="0044393D">
            <w:pPr>
              <w:pStyle w:val="Teksttabelinaglowek"/>
            </w:pPr>
            <w:r w:rsidRPr="00795F17">
              <w:t>Nazwa działania</w:t>
            </w:r>
          </w:p>
        </w:tc>
      </w:tr>
      <w:tr w:rsidR="00F756A1" w:rsidRPr="00795F17" w14:paraId="573B7969" w14:textId="77777777" w:rsidTr="002D7216">
        <w:trPr>
          <w:trHeight w:val="454"/>
        </w:trPr>
        <w:tc>
          <w:tcPr>
            <w:tcW w:w="720" w:type="pct"/>
            <w:shd w:val="clear" w:color="auto" w:fill="auto"/>
            <w:vAlign w:val="center"/>
            <w:hideMark/>
          </w:tcPr>
          <w:p w14:paraId="58674426" w14:textId="6CC0343B" w:rsidR="00F756A1" w:rsidRPr="00795F17" w:rsidRDefault="00F756A1" w:rsidP="0065243A">
            <w:pPr>
              <w:pStyle w:val="Teksttabelisrodek"/>
            </w:pPr>
            <w:r w:rsidRPr="00795F17">
              <w:t>TWCWP</w:t>
            </w:r>
            <w:r w:rsidR="0000233F">
              <w:t>_</w:t>
            </w:r>
            <w:r w:rsidRPr="00795F17">
              <w:t>01</w:t>
            </w:r>
          </w:p>
        </w:tc>
        <w:tc>
          <w:tcPr>
            <w:tcW w:w="1086" w:type="pct"/>
            <w:shd w:val="clear" w:color="auto" w:fill="auto"/>
            <w:vAlign w:val="center"/>
          </w:tcPr>
          <w:p w14:paraId="0CAE56F4" w14:textId="011BFEDF" w:rsidR="00F756A1" w:rsidRPr="00795F17" w:rsidRDefault="00F756A1" w:rsidP="0065243A">
            <w:pPr>
              <w:pStyle w:val="Teksttabelisrodek"/>
            </w:pPr>
            <w:r w:rsidRPr="00795F17">
              <w:t>Gospodarka ściekowa</w:t>
            </w:r>
          </w:p>
        </w:tc>
        <w:tc>
          <w:tcPr>
            <w:tcW w:w="1136" w:type="pct"/>
            <w:shd w:val="clear" w:color="auto" w:fill="auto"/>
            <w:vAlign w:val="center"/>
            <w:hideMark/>
          </w:tcPr>
          <w:p w14:paraId="174A7D66" w14:textId="3B5F19FD" w:rsidR="00F756A1" w:rsidRPr="00795F17" w:rsidRDefault="0096135E" w:rsidP="0065243A">
            <w:pPr>
              <w:pStyle w:val="Teksttabelisrodek"/>
            </w:pPr>
            <w:r w:rsidRPr="00795F17">
              <w:t>Gospodarka ściekowa w aglomeracjach</w:t>
            </w:r>
          </w:p>
        </w:tc>
        <w:tc>
          <w:tcPr>
            <w:tcW w:w="905" w:type="pct"/>
            <w:shd w:val="clear" w:color="auto" w:fill="auto"/>
            <w:vAlign w:val="center"/>
            <w:hideMark/>
          </w:tcPr>
          <w:p w14:paraId="1FB972B8" w14:textId="77777777" w:rsidR="00F756A1" w:rsidRPr="00795F17" w:rsidRDefault="00F756A1" w:rsidP="0065243A">
            <w:pPr>
              <w:pStyle w:val="Teksttabelisrodek"/>
            </w:pPr>
            <w:r w:rsidRPr="00795F17">
              <w:t>TWCWP_01.00</w:t>
            </w:r>
          </w:p>
        </w:tc>
        <w:tc>
          <w:tcPr>
            <w:tcW w:w="1154" w:type="pct"/>
            <w:shd w:val="clear" w:color="auto" w:fill="auto"/>
            <w:vAlign w:val="center"/>
            <w:hideMark/>
          </w:tcPr>
          <w:p w14:paraId="2872CD52" w14:textId="61EB4217" w:rsidR="00F756A1" w:rsidRPr="00795F17" w:rsidRDefault="00F756A1" w:rsidP="0065243A">
            <w:pPr>
              <w:pStyle w:val="Teksttabelisrodek"/>
            </w:pPr>
            <w:r w:rsidRPr="00795F17">
              <w:t>Realizacja działań wyszczególnionych w</w:t>
            </w:r>
            <w:r w:rsidR="00C424FC">
              <w:t> </w:t>
            </w:r>
            <w:r w:rsidRPr="00795F17">
              <w:t>VI</w:t>
            </w:r>
            <w:r w:rsidR="00C424FC">
              <w:t> a</w:t>
            </w:r>
            <w:r w:rsidRPr="00795F17">
              <w:t>KPOŚK</w:t>
            </w:r>
          </w:p>
        </w:tc>
      </w:tr>
      <w:tr w:rsidR="00F756A1" w:rsidRPr="00795F17" w14:paraId="53745B5F" w14:textId="77777777" w:rsidTr="002D7216">
        <w:trPr>
          <w:trHeight w:val="454"/>
        </w:trPr>
        <w:tc>
          <w:tcPr>
            <w:tcW w:w="720" w:type="pct"/>
            <w:shd w:val="clear" w:color="auto" w:fill="auto"/>
            <w:vAlign w:val="center"/>
            <w:hideMark/>
          </w:tcPr>
          <w:p w14:paraId="1FAD9AF2" w14:textId="24A0A4F9" w:rsidR="00F756A1" w:rsidRPr="00795F17" w:rsidRDefault="00F756A1" w:rsidP="0065243A">
            <w:pPr>
              <w:pStyle w:val="Teksttabelisrodek"/>
            </w:pPr>
            <w:r w:rsidRPr="00795F17">
              <w:t>TWCWP</w:t>
            </w:r>
            <w:r w:rsidR="0000233F">
              <w:t>_</w:t>
            </w:r>
            <w:r w:rsidRPr="00795F17">
              <w:t>01</w:t>
            </w:r>
          </w:p>
        </w:tc>
        <w:tc>
          <w:tcPr>
            <w:tcW w:w="1086" w:type="pct"/>
            <w:shd w:val="clear" w:color="auto" w:fill="auto"/>
            <w:vAlign w:val="center"/>
          </w:tcPr>
          <w:p w14:paraId="621DFBAC" w14:textId="77777777" w:rsidR="00F756A1" w:rsidRPr="00795F17" w:rsidRDefault="00F756A1" w:rsidP="0065243A">
            <w:pPr>
              <w:pStyle w:val="Teksttabelisrodek"/>
            </w:pPr>
            <w:r w:rsidRPr="00795F17">
              <w:t>Gospodarka odpadami</w:t>
            </w:r>
          </w:p>
        </w:tc>
        <w:tc>
          <w:tcPr>
            <w:tcW w:w="1136" w:type="pct"/>
            <w:shd w:val="clear" w:color="auto" w:fill="auto"/>
            <w:vAlign w:val="center"/>
            <w:hideMark/>
          </w:tcPr>
          <w:p w14:paraId="334CD372" w14:textId="77777777" w:rsidR="00F756A1" w:rsidRPr="00795F17" w:rsidRDefault="00F756A1" w:rsidP="0065243A">
            <w:pPr>
              <w:pStyle w:val="Teksttabelisrodek"/>
            </w:pPr>
            <w:r w:rsidRPr="00795F17">
              <w:t>Ochrona przed przedostawaniem się zanieczyszczeń ze statków do wód</w:t>
            </w:r>
          </w:p>
        </w:tc>
        <w:tc>
          <w:tcPr>
            <w:tcW w:w="905" w:type="pct"/>
            <w:shd w:val="clear" w:color="auto" w:fill="auto"/>
            <w:vAlign w:val="center"/>
            <w:hideMark/>
          </w:tcPr>
          <w:p w14:paraId="25588DB7" w14:textId="77777777" w:rsidR="00F756A1" w:rsidRPr="00795F17" w:rsidRDefault="00F756A1" w:rsidP="0065243A">
            <w:pPr>
              <w:pStyle w:val="Teksttabelisrodek"/>
            </w:pPr>
            <w:r w:rsidRPr="00795F17">
              <w:t>TWCWP_01.01</w:t>
            </w:r>
          </w:p>
        </w:tc>
        <w:tc>
          <w:tcPr>
            <w:tcW w:w="1154" w:type="pct"/>
            <w:shd w:val="clear" w:color="auto" w:fill="auto"/>
            <w:vAlign w:val="center"/>
            <w:hideMark/>
          </w:tcPr>
          <w:p w14:paraId="51415C07" w14:textId="2FF72171" w:rsidR="00F756A1" w:rsidRPr="00795F17" w:rsidRDefault="00F756A1" w:rsidP="0065243A">
            <w:pPr>
              <w:pStyle w:val="Teksttabelisrodek"/>
            </w:pPr>
            <w:r w:rsidRPr="00795F17">
              <w:t>Analiza potrzeb w</w:t>
            </w:r>
            <w:r w:rsidR="001824DB">
              <w:t> </w:t>
            </w:r>
            <w:r w:rsidRPr="00795F17">
              <w:t>zakresie budowy i</w:t>
            </w:r>
            <w:r w:rsidR="001824DB">
              <w:t> </w:t>
            </w:r>
            <w:r w:rsidRPr="00795F17">
              <w:t>modernizacji infrastruktury portowej służącej do odbioru odpadów oraz pozostałości ładunkowych ze statków</w:t>
            </w:r>
          </w:p>
        </w:tc>
      </w:tr>
      <w:tr w:rsidR="00F756A1" w:rsidRPr="00795F17" w14:paraId="6BC2C659" w14:textId="77777777" w:rsidTr="002D7216">
        <w:trPr>
          <w:trHeight w:val="454"/>
        </w:trPr>
        <w:tc>
          <w:tcPr>
            <w:tcW w:w="720" w:type="pct"/>
            <w:shd w:val="clear" w:color="auto" w:fill="auto"/>
            <w:vAlign w:val="center"/>
            <w:hideMark/>
          </w:tcPr>
          <w:p w14:paraId="31E23BC1" w14:textId="2A0D6DA1" w:rsidR="00F756A1" w:rsidRPr="00795F17" w:rsidRDefault="00F756A1" w:rsidP="0065243A">
            <w:pPr>
              <w:pStyle w:val="Teksttabelisrodek"/>
            </w:pPr>
            <w:r w:rsidRPr="00795F17">
              <w:t>TWCWP</w:t>
            </w:r>
            <w:r w:rsidR="0096135E">
              <w:t>_</w:t>
            </w:r>
            <w:r w:rsidRPr="00795F17">
              <w:t>03</w:t>
            </w:r>
          </w:p>
        </w:tc>
        <w:tc>
          <w:tcPr>
            <w:tcW w:w="1086" w:type="pct"/>
            <w:shd w:val="clear" w:color="auto" w:fill="auto"/>
            <w:vAlign w:val="center"/>
          </w:tcPr>
          <w:p w14:paraId="4F1B38B3" w14:textId="77777777" w:rsidR="00F756A1" w:rsidRPr="00795F17" w:rsidRDefault="00F756A1" w:rsidP="0065243A">
            <w:pPr>
              <w:pStyle w:val="Teksttabelisrodek"/>
            </w:pPr>
            <w:r w:rsidRPr="00795F17">
              <w:t>Gospodarka ściekowa</w:t>
            </w:r>
          </w:p>
        </w:tc>
        <w:tc>
          <w:tcPr>
            <w:tcW w:w="1136" w:type="pct"/>
            <w:shd w:val="clear" w:color="auto" w:fill="auto"/>
            <w:vAlign w:val="center"/>
            <w:hideMark/>
          </w:tcPr>
          <w:p w14:paraId="625AFFD8" w14:textId="36CABF12" w:rsidR="00F756A1" w:rsidRPr="00022E61" w:rsidRDefault="00F756A1" w:rsidP="0065243A">
            <w:pPr>
              <w:pStyle w:val="Teksttabelisrodek"/>
            </w:pPr>
            <w:r w:rsidRPr="00022E61">
              <w:t xml:space="preserve">Gospodarka ściekowa </w:t>
            </w:r>
            <w:r w:rsidR="001824DB" w:rsidRPr="00022E61">
              <w:t>na</w:t>
            </w:r>
            <w:r w:rsidRPr="00022E61">
              <w:t xml:space="preserve"> obszarach niezurbanizowanych</w:t>
            </w:r>
          </w:p>
        </w:tc>
        <w:tc>
          <w:tcPr>
            <w:tcW w:w="905" w:type="pct"/>
            <w:shd w:val="clear" w:color="auto" w:fill="auto"/>
            <w:vAlign w:val="center"/>
            <w:hideMark/>
          </w:tcPr>
          <w:p w14:paraId="5815F2FC" w14:textId="77777777" w:rsidR="00F756A1" w:rsidRPr="00795F17" w:rsidRDefault="00F756A1" w:rsidP="0065243A">
            <w:pPr>
              <w:pStyle w:val="Teksttabelisrodek"/>
            </w:pPr>
            <w:r w:rsidRPr="00795F17">
              <w:t>TWCWP_03.01</w:t>
            </w:r>
          </w:p>
        </w:tc>
        <w:tc>
          <w:tcPr>
            <w:tcW w:w="1154" w:type="pct"/>
            <w:shd w:val="clear" w:color="auto" w:fill="auto"/>
            <w:vAlign w:val="center"/>
            <w:hideMark/>
          </w:tcPr>
          <w:p w14:paraId="5D178E81" w14:textId="77777777" w:rsidR="00F756A1" w:rsidRPr="00795F17" w:rsidRDefault="00F756A1" w:rsidP="0065243A">
            <w:pPr>
              <w:pStyle w:val="Teksttabelisrodek"/>
            </w:pPr>
            <w:r w:rsidRPr="00795F17">
              <w:t>Budowa/modernizacja oczyszczalni ścieków</w:t>
            </w:r>
          </w:p>
        </w:tc>
      </w:tr>
      <w:tr w:rsidR="00F756A1" w:rsidRPr="00795F17" w14:paraId="6B6130A2" w14:textId="77777777" w:rsidTr="002D7216">
        <w:trPr>
          <w:trHeight w:val="454"/>
        </w:trPr>
        <w:tc>
          <w:tcPr>
            <w:tcW w:w="720" w:type="pct"/>
            <w:shd w:val="clear" w:color="auto" w:fill="auto"/>
            <w:vAlign w:val="center"/>
            <w:hideMark/>
          </w:tcPr>
          <w:p w14:paraId="1E2F5AFB" w14:textId="304AEA16" w:rsidR="00F756A1" w:rsidRPr="00795F17" w:rsidRDefault="00F756A1" w:rsidP="0065243A">
            <w:pPr>
              <w:pStyle w:val="Teksttabelisrodek"/>
            </w:pPr>
            <w:r w:rsidRPr="00795F17">
              <w:t>TWCWP</w:t>
            </w:r>
            <w:r w:rsidR="00463304">
              <w:t>_</w:t>
            </w:r>
            <w:r w:rsidRPr="00795F17">
              <w:t>03</w:t>
            </w:r>
          </w:p>
        </w:tc>
        <w:tc>
          <w:tcPr>
            <w:tcW w:w="1086" w:type="pct"/>
            <w:shd w:val="clear" w:color="auto" w:fill="auto"/>
            <w:vAlign w:val="center"/>
          </w:tcPr>
          <w:p w14:paraId="19C204AF" w14:textId="77777777" w:rsidR="00F756A1" w:rsidRPr="00795F17" w:rsidRDefault="00F756A1" w:rsidP="0065243A">
            <w:pPr>
              <w:pStyle w:val="Teksttabelisrodek"/>
            </w:pPr>
            <w:r w:rsidRPr="00795F17">
              <w:t>Gospodarka ściekowa</w:t>
            </w:r>
          </w:p>
        </w:tc>
        <w:tc>
          <w:tcPr>
            <w:tcW w:w="1136" w:type="pct"/>
            <w:shd w:val="clear" w:color="auto" w:fill="auto"/>
            <w:vAlign w:val="center"/>
            <w:hideMark/>
          </w:tcPr>
          <w:p w14:paraId="433A7B93" w14:textId="24D20B56" w:rsidR="00F756A1" w:rsidRPr="00022E61" w:rsidRDefault="00F756A1" w:rsidP="0065243A">
            <w:pPr>
              <w:pStyle w:val="Teksttabelisrodek"/>
            </w:pPr>
            <w:r w:rsidRPr="00022E61">
              <w:t xml:space="preserve">Gospodarka ściekowa </w:t>
            </w:r>
            <w:r w:rsidR="00022E61" w:rsidRPr="00022E61">
              <w:t>na</w:t>
            </w:r>
            <w:r w:rsidRPr="00022E61">
              <w:t xml:space="preserve"> obszarach niezurbanizowanych</w:t>
            </w:r>
          </w:p>
        </w:tc>
        <w:tc>
          <w:tcPr>
            <w:tcW w:w="905" w:type="pct"/>
            <w:shd w:val="clear" w:color="auto" w:fill="auto"/>
            <w:vAlign w:val="center"/>
            <w:hideMark/>
          </w:tcPr>
          <w:p w14:paraId="35A3939D" w14:textId="77777777" w:rsidR="00F756A1" w:rsidRPr="00795F17" w:rsidRDefault="00F756A1" w:rsidP="0065243A">
            <w:pPr>
              <w:pStyle w:val="Teksttabelisrodek"/>
            </w:pPr>
            <w:r w:rsidRPr="00795F17">
              <w:t>TWCWP_03.05</w:t>
            </w:r>
          </w:p>
        </w:tc>
        <w:tc>
          <w:tcPr>
            <w:tcW w:w="1154" w:type="pct"/>
            <w:shd w:val="clear" w:color="auto" w:fill="auto"/>
            <w:vAlign w:val="center"/>
            <w:hideMark/>
          </w:tcPr>
          <w:p w14:paraId="5F62C660" w14:textId="2909B08B" w:rsidR="00F756A1" w:rsidRPr="00795F17" w:rsidRDefault="00F756A1" w:rsidP="0065243A">
            <w:pPr>
              <w:pStyle w:val="Teksttabelisrodek"/>
            </w:pPr>
            <w:r w:rsidRPr="00795F17">
              <w:t xml:space="preserve">Analizy techniczno-ekonomiczne gospodarowania ściekami </w:t>
            </w:r>
            <w:r w:rsidR="00022E61">
              <w:t>na</w:t>
            </w:r>
            <w:r w:rsidRPr="00795F17">
              <w:t xml:space="preserve"> obszarze niezurbanizowanym</w:t>
            </w:r>
          </w:p>
        </w:tc>
      </w:tr>
      <w:tr w:rsidR="00F756A1" w:rsidRPr="00795F17" w14:paraId="222007B1" w14:textId="77777777" w:rsidTr="002D7216">
        <w:trPr>
          <w:trHeight w:val="454"/>
        </w:trPr>
        <w:tc>
          <w:tcPr>
            <w:tcW w:w="720" w:type="pct"/>
            <w:shd w:val="clear" w:color="auto" w:fill="auto"/>
            <w:vAlign w:val="center"/>
            <w:hideMark/>
          </w:tcPr>
          <w:p w14:paraId="0A9395F0" w14:textId="45030D9C" w:rsidR="00F756A1" w:rsidRPr="00795F17" w:rsidRDefault="00F756A1" w:rsidP="0065243A">
            <w:pPr>
              <w:pStyle w:val="Teksttabelisrodek"/>
            </w:pPr>
            <w:r w:rsidRPr="00795F17">
              <w:t>TWCWP</w:t>
            </w:r>
            <w:r w:rsidR="00463304">
              <w:t>_</w:t>
            </w:r>
            <w:r w:rsidRPr="00795F17">
              <w:t>04</w:t>
            </w:r>
          </w:p>
        </w:tc>
        <w:tc>
          <w:tcPr>
            <w:tcW w:w="1086" w:type="pct"/>
            <w:shd w:val="clear" w:color="auto" w:fill="auto"/>
            <w:vAlign w:val="center"/>
          </w:tcPr>
          <w:p w14:paraId="5AEBDEFE" w14:textId="77777777" w:rsidR="00F756A1" w:rsidRPr="00795F17" w:rsidRDefault="00F756A1" w:rsidP="0065243A">
            <w:pPr>
              <w:pStyle w:val="Teksttabelisrodek"/>
            </w:pPr>
            <w:r w:rsidRPr="00795F17">
              <w:t>Gospodarowanie wodami opadowymi</w:t>
            </w:r>
          </w:p>
        </w:tc>
        <w:tc>
          <w:tcPr>
            <w:tcW w:w="1136" w:type="pct"/>
            <w:shd w:val="clear" w:color="auto" w:fill="auto"/>
            <w:vAlign w:val="center"/>
            <w:hideMark/>
          </w:tcPr>
          <w:p w14:paraId="25D6A911" w14:textId="73C69737" w:rsidR="00F756A1" w:rsidRPr="00795F17" w:rsidRDefault="00F756A1" w:rsidP="0065243A">
            <w:pPr>
              <w:pStyle w:val="Teksttabelisrodek"/>
            </w:pPr>
            <w:r w:rsidRPr="00795F17">
              <w:t xml:space="preserve">Gospodarka wodami opadowymi </w:t>
            </w:r>
            <w:r w:rsidR="00022E61">
              <w:t xml:space="preserve">na </w:t>
            </w:r>
            <w:r w:rsidRPr="00795F17">
              <w:t>terenach zurbanizowanych</w:t>
            </w:r>
          </w:p>
        </w:tc>
        <w:tc>
          <w:tcPr>
            <w:tcW w:w="905" w:type="pct"/>
            <w:shd w:val="clear" w:color="auto" w:fill="auto"/>
            <w:vAlign w:val="center"/>
            <w:hideMark/>
          </w:tcPr>
          <w:p w14:paraId="3720AF24" w14:textId="77777777" w:rsidR="00F756A1" w:rsidRPr="00795F17" w:rsidRDefault="00F756A1" w:rsidP="0065243A">
            <w:pPr>
              <w:pStyle w:val="Teksttabelisrodek"/>
            </w:pPr>
            <w:r w:rsidRPr="00795F17">
              <w:t>TWCWP_04.01</w:t>
            </w:r>
          </w:p>
        </w:tc>
        <w:tc>
          <w:tcPr>
            <w:tcW w:w="1154" w:type="pct"/>
            <w:shd w:val="clear" w:color="auto" w:fill="auto"/>
            <w:vAlign w:val="center"/>
            <w:hideMark/>
          </w:tcPr>
          <w:p w14:paraId="7BEBDA3B" w14:textId="43B510DC" w:rsidR="00F756A1" w:rsidRPr="00795F17" w:rsidRDefault="00F756A1" w:rsidP="0065243A">
            <w:pPr>
              <w:pStyle w:val="Teksttabelisrodek"/>
            </w:pPr>
            <w:r w:rsidRPr="00795F17">
              <w:t>Rozpoznanie techniczno-ekonomicznej wykonalności ograniczenia ładunku biogenów i</w:t>
            </w:r>
            <w:r w:rsidR="00022E61">
              <w:t> </w:t>
            </w:r>
            <w:r w:rsidRPr="00795F17">
              <w:t>zanieczyszczeń chemicznych odprowadzanego z</w:t>
            </w:r>
            <w:r w:rsidR="00022E61">
              <w:t> </w:t>
            </w:r>
            <w:r w:rsidRPr="00795F17">
              <w:t>dużych aglomeracji kanalizacją deszczową</w:t>
            </w:r>
          </w:p>
        </w:tc>
      </w:tr>
      <w:tr w:rsidR="00F756A1" w:rsidRPr="00795F17" w14:paraId="250891F2" w14:textId="77777777" w:rsidTr="002D7216">
        <w:trPr>
          <w:trHeight w:val="454"/>
        </w:trPr>
        <w:tc>
          <w:tcPr>
            <w:tcW w:w="720" w:type="pct"/>
            <w:shd w:val="clear" w:color="auto" w:fill="auto"/>
            <w:vAlign w:val="center"/>
            <w:hideMark/>
          </w:tcPr>
          <w:p w14:paraId="41D3C753" w14:textId="77777777" w:rsidR="00F756A1" w:rsidRPr="00795F17" w:rsidRDefault="00F756A1" w:rsidP="0065243A">
            <w:pPr>
              <w:pStyle w:val="Teksttabelisrodek"/>
            </w:pPr>
            <w:r w:rsidRPr="00795F17">
              <w:t>TWCWP04</w:t>
            </w:r>
          </w:p>
        </w:tc>
        <w:tc>
          <w:tcPr>
            <w:tcW w:w="1086" w:type="pct"/>
            <w:shd w:val="clear" w:color="auto" w:fill="auto"/>
            <w:vAlign w:val="center"/>
          </w:tcPr>
          <w:p w14:paraId="74929391" w14:textId="77777777" w:rsidR="00F756A1" w:rsidRPr="00795F17" w:rsidRDefault="00F756A1" w:rsidP="0065243A">
            <w:pPr>
              <w:pStyle w:val="Teksttabelisrodek"/>
            </w:pPr>
            <w:r w:rsidRPr="00795F17">
              <w:t>Gospodarowanie wodami opadowymi</w:t>
            </w:r>
          </w:p>
        </w:tc>
        <w:tc>
          <w:tcPr>
            <w:tcW w:w="1136" w:type="pct"/>
            <w:shd w:val="clear" w:color="auto" w:fill="auto"/>
            <w:vAlign w:val="center"/>
            <w:hideMark/>
          </w:tcPr>
          <w:p w14:paraId="36340867" w14:textId="14549FE4" w:rsidR="00F756A1" w:rsidRPr="00795F17" w:rsidRDefault="00F756A1" w:rsidP="0065243A">
            <w:pPr>
              <w:pStyle w:val="Teksttabelisrodek"/>
            </w:pPr>
            <w:r w:rsidRPr="00795F17">
              <w:t xml:space="preserve">Gospodarka wodami opadowymi </w:t>
            </w:r>
            <w:r w:rsidR="007E5CBD">
              <w:t>na</w:t>
            </w:r>
            <w:r w:rsidRPr="00795F17">
              <w:t xml:space="preserve"> terenach zurbanizowanych</w:t>
            </w:r>
          </w:p>
        </w:tc>
        <w:tc>
          <w:tcPr>
            <w:tcW w:w="905" w:type="pct"/>
            <w:shd w:val="clear" w:color="auto" w:fill="auto"/>
            <w:vAlign w:val="center"/>
            <w:hideMark/>
          </w:tcPr>
          <w:p w14:paraId="05333276" w14:textId="77777777" w:rsidR="00F756A1" w:rsidRPr="00795F17" w:rsidRDefault="00F756A1" w:rsidP="0065243A">
            <w:pPr>
              <w:pStyle w:val="Teksttabelisrodek"/>
            </w:pPr>
            <w:r w:rsidRPr="00795F17">
              <w:t>TWCWP_04.02</w:t>
            </w:r>
          </w:p>
        </w:tc>
        <w:tc>
          <w:tcPr>
            <w:tcW w:w="1154" w:type="pct"/>
            <w:shd w:val="clear" w:color="auto" w:fill="auto"/>
            <w:vAlign w:val="center"/>
            <w:hideMark/>
          </w:tcPr>
          <w:p w14:paraId="18238095" w14:textId="0D86AAC0" w:rsidR="00F756A1" w:rsidRPr="00795F17" w:rsidRDefault="00F756A1" w:rsidP="0065243A">
            <w:pPr>
              <w:pStyle w:val="Teksttabelisrodek"/>
            </w:pPr>
            <w:r w:rsidRPr="00795F17">
              <w:t>Budowa systemów retencjonowania i</w:t>
            </w:r>
            <w:r w:rsidR="007E5CBD">
              <w:t> </w:t>
            </w:r>
            <w:r w:rsidRPr="00795F17">
              <w:t>oczyszczania wód opadowych</w:t>
            </w:r>
          </w:p>
        </w:tc>
      </w:tr>
      <w:tr w:rsidR="00F756A1" w:rsidRPr="00795F17" w14:paraId="736368F8" w14:textId="77777777" w:rsidTr="002D7216">
        <w:trPr>
          <w:trHeight w:val="454"/>
        </w:trPr>
        <w:tc>
          <w:tcPr>
            <w:tcW w:w="720" w:type="pct"/>
            <w:shd w:val="clear" w:color="auto" w:fill="auto"/>
            <w:vAlign w:val="center"/>
            <w:hideMark/>
          </w:tcPr>
          <w:p w14:paraId="20341B71" w14:textId="77777777" w:rsidR="00F756A1" w:rsidRPr="00795F17" w:rsidRDefault="00F756A1" w:rsidP="0065243A">
            <w:pPr>
              <w:pStyle w:val="Teksttabelisrodek"/>
            </w:pPr>
            <w:r w:rsidRPr="00795F17">
              <w:t>TWCWHM01</w:t>
            </w:r>
          </w:p>
        </w:tc>
        <w:tc>
          <w:tcPr>
            <w:tcW w:w="1086" w:type="pct"/>
            <w:shd w:val="clear" w:color="auto" w:fill="auto"/>
            <w:vAlign w:val="center"/>
          </w:tcPr>
          <w:p w14:paraId="0A0D8EC1" w14:textId="77777777" w:rsidR="00F756A1" w:rsidRPr="00795F17" w:rsidRDefault="00F756A1" w:rsidP="0065243A">
            <w:pPr>
              <w:pStyle w:val="Teksttabelisrodek"/>
            </w:pPr>
            <w:r w:rsidRPr="00795F17">
              <w:t>Poprawa stanu elementów hydromorfologicznych i warunków siedliskowych strefy brzegowej</w:t>
            </w:r>
          </w:p>
        </w:tc>
        <w:tc>
          <w:tcPr>
            <w:tcW w:w="1136" w:type="pct"/>
            <w:shd w:val="clear" w:color="auto" w:fill="auto"/>
            <w:vAlign w:val="center"/>
            <w:hideMark/>
          </w:tcPr>
          <w:p w14:paraId="452A2747" w14:textId="77777777" w:rsidR="00F756A1" w:rsidRPr="00795F17" w:rsidRDefault="00F756A1" w:rsidP="0065243A">
            <w:pPr>
              <w:pStyle w:val="Teksttabelisrodek"/>
            </w:pPr>
            <w:r w:rsidRPr="00795F17">
              <w:t>Zapobieganie dalszym antropogenicznym zmianom strefy brzegowej</w:t>
            </w:r>
          </w:p>
        </w:tc>
        <w:tc>
          <w:tcPr>
            <w:tcW w:w="905" w:type="pct"/>
            <w:shd w:val="clear" w:color="auto" w:fill="auto"/>
            <w:vAlign w:val="center"/>
            <w:hideMark/>
          </w:tcPr>
          <w:p w14:paraId="7D31AC3A" w14:textId="77777777" w:rsidR="00F756A1" w:rsidRPr="00795F17" w:rsidRDefault="00F756A1" w:rsidP="0065243A">
            <w:pPr>
              <w:pStyle w:val="Teksttabelisrodek"/>
            </w:pPr>
            <w:r w:rsidRPr="00795F17">
              <w:t>TWCWHM_01.01</w:t>
            </w:r>
          </w:p>
        </w:tc>
        <w:tc>
          <w:tcPr>
            <w:tcW w:w="1154" w:type="pct"/>
            <w:shd w:val="clear" w:color="auto" w:fill="auto"/>
            <w:vAlign w:val="center"/>
            <w:hideMark/>
          </w:tcPr>
          <w:p w14:paraId="75A91A50" w14:textId="071A7AFA" w:rsidR="00F756A1" w:rsidRPr="00795F17" w:rsidRDefault="00F756A1" w:rsidP="0065243A">
            <w:pPr>
              <w:pStyle w:val="Teksttabelisrodek"/>
            </w:pPr>
            <w:r w:rsidRPr="00795F17">
              <w:t xml:space="preserve">Zapobieganie dalszym antropogenicznym zmianom strefy brzegowej </w:t>
            </w:r>
            <w:r w:rsidR="00DF005E">
              <w:t>JCWP</w:t>
            </w:r>
            <w:r w:rsidRPr="00795F17">
              <w:t xml:space="preserve"> TW</w:t>
            </w:r>
          </w:p>
        </w:tc>
      </w:tr>
      <w:tr w:rsidR="00F756A1" w:rsidRPr="00795F17" w14:paraId="50A12C45" w14:textId="77777777" w:rsidTr="002D7216">
        <w:trPr>
          <w:trHeight w:val="454"/>
        </w:trPr>
        <w:tc>
          <w:tcPr>
            <w:tcW w:w="720" w:type="pct"/>
            <w:shd w:val="clear" w:color="auto" w:fill="auto"/>
            <w:vAlign w:val="center"/>
          </w:tcPr>
          <w:p w14:paraId="40A76B2A" w14:textId="1173BC39" w:rsidR="00F756A1" w:rsidRPr="00795F17" w:rsidRDefault="00F756A1" w:rsidP="0065243A">
            <w:pPr>
              <w:pStyle w:val="Teksttabelisrodek"/>
            </w:pPr>
            <w:r w:rsidRPr="00795F17">
              <w:t>TWCWHM</w:t>
            </w:r>
            <w:r w:rsidR="00145F65">
              <w:t>_</w:t>
            </w:r>
            <w:r w:rsidRPr="00795F17">
              <w:t>01</w:t>
            </w:r>
          </w:p>
        </w:tc>
        <w:tc>
          <w:tcPr>
            <w:tcW w:w="1086" w:type="pct"/>
            <w:shd w:val="clear" w:color="auto" w:fill="auto"/>
            <w:vAlign w:val="center"/>
          </w:tcPr>
          <w:p w14:paraId="71C6F868" w14:textId="77777777" w:rsidR="00F756A1" w:rsidRPr="00795F17" w:rsidRDefault="00F756A1" w:rsidP="0065243A">
            <w:pPr>
              <w:pStyle w:val="Teksttabelisrodek"/>
            </w:pPr>
            <w:r w:rsidRPr="00795F17">
              <w:t>Poprawa stanu elementów hydromorfologicznych i warunków siedliskowych strefy brzegowej</w:t>
            </w:r>
          </w:p>
        </w:tc>
        <w:tc>
          <w:tcPr>
            <w:tcW w:w="1136" w:type="pct"/>
            <w:shd w:val="clear" w:color="auto" w:fill="auto"/>
            <w:vAlign w:val="center"/>
          </w:tcPr>
          <w:p w14:paraId="793498ED" w14:textId="6CA4E418" w:rsidR="00F756A1" w:rsidRPr="00795F17" w:rsidRDefault="00F756A1" w:rsidP="0065243A">
            <w:pPr>
              <w:pStyle w:val="Teksttabelisrodek"/>
            </w:pPr>
            <w:r w:rsidRPr="00795F17">
              <w:t>Zapobieganie dalszym antropogenicznym zmianom strefy brzegowej</w:t>
            </w:r>
          </w:p>
        </w:tc>
        <w:tc>
          <w:tcPr>
            <w:tcW w:w="905" w:type="pct"/>
            <w:shd w:val="clear" w:color="auto" w:fill="auto"/>
            <w:vAlign w:val="center"/>
          </w:tcPr>
          <w:p w14:paraId="71DBB2B5" w14:textId="77777777" w:rsidR="00F756A1" w:rsidRPr="00795F17" w:rsidRDefault="00F756A1" w:rsidP="0065243A">
            <w:pPr>
              <w:pStyle w:val="Teksttabelisrodek"/>
            </w:pPr>
            <w:r w:rsidRPr="00795F17">
              <w:t>TWCWHM_01.16</w:t>
            </w:r>
          </w:p>
        </w:tc>
        <w:tc>
          <w:tcPr>
            <w:tcW w:w="1154" w:type="pct"/>
            <w:shd w:val="clear" w:color="auto" w:fill="auto"/>
            <w:vAlign w:val="center"/>
          </w:tcPr>
          <w:p w14:paraId="1463B847" w14:textId="7765F22D" w:rsidR="00F756A1" w:rsidRPr="00795F17" w:rsidRDefault="008345C7" w:rsidP="0065243A">
            <w:pPr>
              <w:pStyle w:val="Teksttabelisrodek"/>
            </w:pPr>
            <w:r w:rsidRPr="008345C7">
              <w:t>Zapobieganie dalszym antropogenicznym zmianom strefy brzegowej - monitoring klapowisk i pól refulacyjnych</w:t>
            </w:r>
          </w:p>
        </w:tc>
      </w:tr>
      <w:tr w:rsidR="001A1E8B" w:rsidRPr="00795F17" w14:paraId="24B4D871" w14:textId="77777777" w:rsidTr="002D7216">
        <w:trPr>
          <w:trHeight w:val="454"/>
        </w:trPr>
        <w:tc>
          <w:tcPr>
            <w:tcW w:w="720" w:type="pct"/>
            <w:shd w:val="clear" w:color="auto" w:fill="auto"/>
            <w:vAlign w:val="center"/>
          </w:tcPr>
          <w:p w14:paraId="270ACC33" w14:textId="7087B2E9" w:rsidR="001A1E8B" w:rsidRPr="00795F17" w:rsidRDefault="001A1E8B" w:rsidP="0065243A">
            <w:pPr>
              <w:pStyle w:val="Teksttabelisrodek"/>
            </w:pPr>
            <w:r w:rsidRPr="00795F17">
              <w:t>TWCWHM</w:t>
            </w:r>
            <w:r>
              <w:t>_</w:t>
            </w:r>
            <w:r w:rsidRPr="00795F17">
              <w:t>0</w:t>
            </w:r>
            <w:r>
              <w:t>2</w:t>
            </w:r>
          </w:p>
        </w:tc>
        <w:tc>
          <w:tcPr>
            <w:tcW w:w="1086" w:type="pct"/>
            <w:shd w:val="clear" w:color="auto" w:fill="auto"/>
            <w:vAlign w:val="center"/>
          </w:tcPr>
          <w:p w14:paraId="6448780C" w14:textId="2D34DBB1" w:rsidR="001A1E8B" w:rsidRPr="00795F17" w:rsidRDefault="001A1E8B" w:rsidP="0065243A">
            <w:pPr>
              <w:pStyle w:val="Teksttabelisrodek"/>
            </w:pPr>
            <w:r w:rsidRPr="001A1E8B">
              <w:t>Ochrona i odtwarzanie naturalnych procesów hydromorfologicznych w strefie brzegowej</w:t>
            </w:r>
          </w:p>
        </w:tc>
        <w:tc>
          <w:tcPr>
            <w:tcW w:w="1136" w:type="pct"/>
            <w:shd w:val="clear" w:color="auto" w:fill="auto"/>
            <w:vAlign w:val="center"/>
          </w:tcPr>
          <w:p w14:paraId="4B32550D" w14:textId="616DA31B" w:rsidR="001A1E8B" w:rsidRPr="00795F17" w:rsidRDefault="00BA2627" w:rsidP="0065243A">
            <w:pPr>
              <w:pStyle w:val="Teksttabelisrodek"/>
            </w:pPr>
            <w:r w:rsidRPr="00BA2627">
              <w:t>Odtwarzanie i poprawa stanu elementów hydromorfologicznych</w:t>
            </w:r>
          </w:p>
        </w:tc>
        <w:tc>
          <w:tcPr>
            <w:tcW w:w="905" w:type="pct"/>
            <w:shd w:val="clear" w:color="auto" w:fill="auto"/>
            <w:vAlign w:val="center"/>
          </w:tcPr>
          <w:p w14:paraId="64F5B4C1" w14:textId="18991E9B" w:rsidR="001A1E8B" w:rsidRPr="00795F17" w:rsidRDefault="00BA2627" w:rsidP="0065243A">
            <w:pPr>
              <w:pStyle w:val="Teksttabelisrodek"/>
            </w:pPr>
            <w:r w:rsidRPr="00795F17">
              <w:t>TWCWHM_0</w:t>
            </w:r>
            <w:r>
              <w:t>2</w:t>
            </w:r>
            <w:r w:rsidRPr="00795F17">
              <w:t>.</w:t>
            </w:r>
            <w:r>
              <w:t>05</w:t>
            </w:r>
          </w:p>
        </w:tc>
        <w:tc>
          <w:tcPr>
            <w:tcW w:w="1154" w:type="pct"/>
            <w:shd w:val="clear" w:color="auto" w:fill="auto"/>
            <w:vAlign w:val="center"/>
          </w:tcPr>
          <w:p w14:paraId="41243292" w14:textId="16F00430" w:rsidR="001A1E8B" w:rsidRPr="00795F17" w:rsidRDefault="00A2345A" w:rsidP="0065243A">
            <w:pPr>
              <w:pStyle w:val="Teksttabelisrodek"/>
            </w:pPr>
            <w:r w:rsidRPr="00A2345A">
              <w:t xml:space="preserve">Monitoring - kontrola wpływu zabudowy hydrotechnicznej na stan środowiska strefy brzegowej </w:t>
            </w:r>
            <w:r w:rsidR="00DF005E">
              <w:t>JCWP</w:t>
            </w:r>
            <w:r w:rsidRPr="00A2345A">
              <w:t xml:space="preserve"> przejściowych i przybrzeżnych.</w:t>
            </w:r>
          </w:p>
        </w:tc>
      </w:tr>
      <w:tr w:rsidR="002D7216" w:rsidRPr="00795F17" w14:paraId="5193AFCE" w14:textId="77777777" w:rsidTr="002D7216">
        <w:trPr>
          <w:trHeight w:val="454"/>
        </w:trPr>
        <w:tc>
          <w:tcPr>
            <w:tcW w:w="720" w:type="pct"/>
            <w:shd w:val="clear" w:color="auto" w:fill="auto"/>
            <w:vAlign w:val="center"/>
            <w:hideMark/>
          </w:tcPr>
          <w:p w14:paraId="522C40E9" w14:textId="20089ECA" w:rsidR="002D7216" w:rsidRPr="00795F17" w:rsidRDefault="002D7216" w:rsidP="002D7216">
            <w:pPr>
              <w:pStyle w:val="Teksttabelisrodek"/>
            </w:pPr>
            <w:r w:rsidRPr="00795F17">
              <w:t>TWCWC</w:t>
            </w:r>
            <w:r>
              <w:t>_</w:t>
            </w:r>
            <w:r w:rsidRPr="00795F17">
              <w:t>01</w:t>
            </w:r>
          </w:p>
        </w:tc>
        <w:tc>
          <w:tcPr>
            <w:tcW w:w="1086" w:type="pct"/>
            <w:shd w:val="clear" w:color="auto" w:fill="auto"/>
            <w:vAlign w:val="center"/>
          </w:tcPr>
          <w:p w14:paraId="06C30F6D" w14:textId="4E6ED7BB" w:rsidR="002D7216" w:rsidRPr="00795F17" w:rsidRDefault="002D7216" w:rsidP="002D7216">
            <w:pPr>
              <w:pStyle w:val="Teksttabelisrodek"/>
            </w:pPr>
            <w:r w:rsidRPr="00ED675D">
              <w:t>Adaptacja do zmian klimatu</w:t>
            </w:r>
          </w:p>
        </w:tc>
        <w:tc>
          <w:tcPr>
            <w:tcW w:w="1136" w:type="pct"/>
            <w:shd w:val="clear" w:color="auto" w:fill="auto"/>
            <w:vAlign w:val="center"/>
            <w:hideMark/>
          </w:tcPr>
          <w:p w14:paraId="043387D7" w14:textId="5D7D687D" w:rsidR="002D7216" w:rsidRPr="00795F17" w:rsidRDefault="002D7216" w:rsidP="002D7216">
            <w:pPr>
              <w:pStyle w:val="Teksttabelisrodek"/>
            </w:pPr>
            <w:r w:rsidRPr="00ED675D">
              <w:t>Retencja i zagospodarowanie wód opadowych i roztopowych na terenach zurbanizowanych</w:t>
            </w:r>
          </w:p>
        </w:tc>
        <w:tc>
          <w:tcPr>
            <w:tcW w:w="905" w:type="pct"/>
            <w:shd w:val="clear" w:color="auto" w:fill="auto"/>
            <w:vAlign w:val="center"/>
            <w:hideMark/>
          </w:tcPr>
          <w:p w14:paraId="47EF0245" w14:textId="77777777" w:rsidR="002D7216" w:rsidRPr="00795F17" w:rsidRDefault="002D7216" w:rsidP="002D7216">
            <w:pPr>
              <w:pStyle w:val="Teksttabelisrodek"/>
            </w:pPr>
            <w:r w:rsidRPr="00795F17">
              <w:t>TWCWC_01.13</w:t>
            </w:r>
          </w:p>
        </w:tc>
        <w:tc>
          <w:tcPr>
            <w:tcW w:w="1154" w:type="pct"/>
            <w:shd w:val="clear" w:color="auto" w:fill="auto"/>
            <w:vAlign w:val="center"/>
            <w:hideMark/>
          </w:tcPr>
          <w:p w14:paraId="3736EFA0" w14:textId="640AE200" w:rsidR="002D7216" w:rsidRPr="00795F17" w:rsidRDefault="002D7216" w:rsidP="002D7216">
            <w:pPr>
              <w:pStyle w:val="Teksttabelisrodek"/>
            </w:pPr>
            <w:r w:rsidRPr="002D7216">
              <w:t>Realizacja postanowień uchwalonych Miejskich planów adaptacji do zmian klimatu w zakresie związanym ze zwiększeniem retencji wód opadowych na terenach zurbanizowanych i przeciwdziałania skutkom suszy</w:t>
            </w:r>
          </w:p>
        </w:tc>
      </w:tr>
      <w:tr w:rsidR="00F756A1" w:rsidRPr="00795F17" w14:paraId="68CD7876" w14:textId="77777777" w:rsidTr="002D7216">
        <w:trPr>
          <w:trHeight w:val="454"/>
        </w:trPr>
        <w:tc>
          <w:tcPr>
            <w:tcW w:w="720" w:type="pct"/>
            <w:shd w:val="clear" w:color="auto" w:fill="auto"/>
            <w:vAlign w:val="center"/>
            <w:hideMark/>
          </w:tcPr>
          <w:p w14:paraId="29CC5425" w14:textId="05C07B2F" w:rsidR="00F756A1" w:rsidRPr="00795F17" w:rsidRDefault="00F756A1" w:rsidP="0065243A">
            <w:pPr>
              <w:pStyle w:val="Teksttabelisrodek"/>
            </w:pPr>
            <w:r w:rsidRPr="00795F17">
              <w:t>TWCWC</w:t>
            </w:r>
            <w:r w:rsidR="00145F65">
              <w:t>_</w:t>
            </w:r>
            <w:r w:rsidRPr="00795F17">
              <w:t>04</w:t>
            </w:r>
          </w:p>
        </w:tc>
        <w:tc>
          <w:tcPr>
            <w:tcW w:w="1086" w:type="pct"/>
            <w:shd w:val="clear" w:color="auto" w:fill="auto"/>
            <w:vAlign w:val="center"/>
          </w:tcPr>
          <w:p w14:paraId="1EC4CEE8" w14:textId="2D691C04" w:rsidR="00F756A1" w:rsidRPr="00795F17" w:rsidRDefault="0056763E" w:rsidP="0065243A">
            <w:pPr>
              <w:pStyle w:val="Teksttabelisrodek"/>
            </w:pPr>
            <w:r w:rsidRPr="00795F17">
              <w:t>Poprawa warunków dla obszarów chronionych</w:t>
            </w:r>
          </w:p>
        </w:tc>
        <w:tc>
          <w:tcPr>
            <w:tcW w:w="1136" w:type="pct"/>
            <w:shd w:val="clear" w:color="auto" w:fill="auto"/>
            <w:vAlign w:val="center"/>
            <w:hideMark/>
          </w:tcPr>
          <w:p w14:paraId="7F426E59" w14:textId="7E025B4E" w:rsidR="00F756A1" w:rsidRPr="00795F17" w:rsidRDefault="0056763E" w:rsidP="0065243A">
            <w:pPr>
              <w:pStyle w:val="Teksttabelisrodek"/>
            </w:pPr>
            <w:r w:rsidRPr="0056763E">
              <w:t>Działania wynikające z planów ochrony/planów zadań ochronnych ustanowionych dla obszarów przeznaczonych do ochrony siedlisk lub gatunków, ustanowione w ustawie o ochronie przyrody, dla których utrzymanie lub poprawa stanu wód jest ważnym czynnikiem w ich ochronie</w:t>
            </w:r>
          </w:p>
        </w:tc>
        <w:tc>
          <w:tcPr>
            <w:tcW w:w="905" w:type="pct"/>
            <w:shd w:val="clear" w:color="auto" w:fill="auto"/>
            <w:vAlign w:val="center"/>
            <w:hideMark/>
          </w:tcPr>
          <w:p w14:paraId="329044E5" w14:textId="77777777" w:rsidR="00F756A1" w:rsidRPr="00795F17" w:rsidRDefault="00F756A1" w:rsidP="0065243A">
            <w:pPr>
              <w:pStyle w:val="Teksttabelisrodek"/>
            </w:pPr>
            <w:r w:rsidRPr="00795F17">
              <w:t>TWCWC_04.02</w:t>
            </w:r>
          </w:p>
        </w:tc>
        <w:tc>
          <w:tcPr>
            <w:tcW w:w="1154" w:type="pct"/>
            <w:shd w:val="clear" w:color="auto" w:fill="auto"/>
            <w:vAlign w:val="center"/>
            <w:hideMark/>
          </w:tcPr>
          <w:p w14:paraId="63AFC2B5" w14:textId="59123E36" w:rsidR="00F756A1" w:rsidRPr="00795F17" w:rsidRDefault="0056763E" w:rsidP="0065243A">
            <w:pPr>
              <w:pStyle w:val="Teksttabelisrodek"/>
            </w:pPr>
            <w:r w:rsidRPr="0056763E">
              <w:t>Realizacja działań wynikających z planów ochrony i planów zadań ochronnych dla obszarów chronionych</w:t>
            </w:r>
          </w:p>
        </w:tc>
      </w:tr>
      <w:tr w:rsidR="00F756A1" w:rsidRPr="00795F17" w14:paraId="440B9C21" w14:textId="77777777" w:rsidTr="002D7216">
        <w:trPr>
          <w:trHeight w:val="454"/>
        </w:trPr>
        <w:tc>
          <w:tcPr>
            <w:tcW w:w="720" w:type="pct"/>
            <w:shd w:val="clear" w:color="auto" w:fill="auto"/>
            <w:vAlign w:val="center"/>
            <w:hideMark/>
          </w:tcPr>
          <w:p w14:paraId="2D93377C" w14:textId="40685560" w:rsidR="00F756A1" w:rsidRPr="00795F17" w:rsidRDefault="00F756A1" w:rsidP="0065243A">
            <w:pPr>
              <w:pStyle w:val="Teksttabelisrodek"/>
            </w:pPr>
            <w:r w:rsidRPr="00795F17">
              <w:t>TWCWC</w:t>
            </w:r>
            <w:r w:rsidR="002D7216">
              <w:t>_</w:t>
            </w:r>
            <w:r w:rsidRPr="00795F17">
              <w:t>04</w:t>
            </w:r>
          </w:p>
        </w:tc>
        <w:tc>
          <w:tcPr>
            <w:tcW w:w="1086" w:type="pct"/>
            <w:shd w:val="clear" w:color="auto" w:fill="auto"/>
            <w:vAlign w:val="center"/>
          </w:tcPr>
          <w:p w14:paraId="03C46A1D" w14:textId="77777777" w:rsidR="00F756A1" w:rsidRPr="00795F17" w:rsidRDefault="00F756A1" w:rsidP="0065243A">
            <w:pPr>
              <w:pStyle w:val="Teksttabelisrodek"/>
            </w:pPr>
            <w:r w:rsidRPr="00795F17">
              <w:t>Poprawa warunków dla obszarów chronionych</w:t>
            </w:r>
          </w:p>
        </w:tc>
        <w:tc>
          <w:tcPr>
            <w:tcW w:w="1136" w:type="pct"/>
            <w:shd w:val="clear" w:color="auto" w:fill="auto"/>
            <w:vAlign w:val="center"/>
            <w:hideMark/>
          </w:tcPr>
          <w:p w14:paraId="21279AC0" w14:textId="77777777" w:rsidR="00F756A1" w:rsidRPr="00795F17" w:rsidRDefault="00F756A1" w:rsidP="0065243A">
            <w:pPr>
              <w:pStyle w:val="Teksttabelisrodek"/>
            </w:pPr>
            <w:r w:rsidRPr="00795F17">
              <w:t>Ochrona ekosystemów morskich i od wód morskich zależnych/ zachowanie lub przywracanie właściwego stanu siedlisk i siedlisk gatunków</w:t>
            </w:r>
          </w:p>
        </w:tc>
        <w:tc>
          <w:tcPr>
            <w:tcW w:w="905" w:type="pct"/>
            <w:shd w:val="clear" w:color="auto" w:fill="auto"/>
            <w:vAlign w:val="center"/>
            <w:hideMark/>
          </w:tcPr>
          <w:p w14:paraId="076884C8" w14:textId="77777777" w:rsidR="00F756A1" w:rsidRPr="00795F17" w:rsidRDefault="00F756A1" w:rsidP="0065243A">
            <w:pPr>
              <w:pStyle w:val="Teksttabelisrodek"/>
            </w:pPr>
            <w:r w:rsidRPr="00795F17">
              <w:t>TWCWC_04.03</w:t>
            </w:r>
          </w:p>
        </w:tc>
        <w:tc>
          <w:tcPr>
            <w:tcW w:w="1154" w:type="pct"/>
            <w:shd w:val="clear" w:color="auto" w:fill="auto"/>
            <w:vAlign w:val="center"/>
            <w:hideMark/>
          </w:tcPr>
          <w:p w14:paraId="4FBA95A4" w14:textId="0533B207" w:rsidR="00F756A1" w:rsidRPr="00795F17" w:rsidRDefault="00F756A1" w:rsidP="0065243A">
            <w:pPr>
              <w:pStyle w:val="Teksttabelisrodek"/>
            </w:pPr>
            <w:r w:rsidRPr="00795F17">
              <w:t>Opracowanie indywidualnych programów renaturyzacji mających na celu odbudowę słonych mokradeł w</w:t>
            </w:r>
            <w:r w:rsidR="00E24163">
              <w:t> </w:t>
            </w:r>
            <w:r w:rsidRPr="00795F17">
              <w:t>strefie brzegowej wód TW zasilanych wodami morskimi</w:t>
            </w:r>
          </w:p>
        </w:tc>
      </w:tr>
    </w:tbl>
    <w:p w14:paraId="0C7178E1" w14:textId="688ED6D4" w:rsidR="00F756A1" w:rsidRPr="00795F17" w:rsidRDefault="00F756A1" w:rsidP="0044393D">
      <w:pPr>
        <w:pStyle w:val="rdo"/>
      </w:pPr>
      <w:r w:rsidRPr="00795F17">
        <w:t xml:space="preserve">Źródło: </w:t>
      </w:r>
      <w:r w:rsidR="00FD7248" w:rsidRPr="00795F17">
        <w:t>opracowanie własne</w:t>
      </w:r>
    </w:p>
    <w:p w14:paraId="78370FE0" w14:textId="77777777" w:rsidR="00F756A1" w:rsidRPr="00795F17" w:rsidRDefault="00F756A1" w:rsidP="0052702D">
      <w:pPr>
        <w:keepNext/>
      </w:pPr>
      <w:r w:rsidRPr="00795F17">
        <w:t>Działania wskazane w Katalogu działań krajowych, które będą kluczowe dla realizacji celów środowiskowych wód przejściowych i przybrzeżnych to:</w:t>
      </w:r>
    </w:p>
    <w:p w14:paraId="7368F0CB" w14:textId="77777777" w:rsidR="00F756A1" w:rsidRPr="00795F17" w:rsidRDefault="00F756A1" w:rsidP="00117E86">
      <w:pPr>
        <w:pStyle w:val="Listapunktowana2"/>
      </w:pPr>
      <w:r w:rsidRPr="00795F17">
        <w:t>identyfikacja obszarów gdzie dopuszcza się zachowanie naturalnych procesów przemieszczania się osadów dennych;</w:t>
      </w:r>
    </w:p>
    <w:p w14:paraId="1BEA95A8" w14:textId="77777777" w:rsidR="00F756A1" w:rsidRPr="00795F17" w:rsidRDefault="00F756A1" w:rsidP="00117E86">
      <w:pPr>
        <w:pStyle w:val="Listapunktowana2"/>
      </w:pPr>
      <w:r w:rsidRPr="00795F17">
        <w:t>usuwanie odpadów i zanieczyszczeń w zasięgu pasa nadbrzeżnego;</w:t>
      </w:r>
    </w:p>
    <w:p w14:paraId="117C15E4" w14:textId="159D86B6" w:rsidR="00F756A1" w:rsidRPr="00795F17" w:rsidRDefault="00F756A1" w:rsidP="00117E86">
      <w:pPr>
        <w:pStyle w:val="Listapunktowana2"/>
      </w:pPr>
      <w:r w:rsidRPr="00795F17">
        <w:t xml:space="preserve">weryfikacja gminnego programu ochrony środowiska pod kątem poprawy efektywności ograniczania dopływu zanieczyszczeń do </w:t>
      </w:r>
      <w:r w:rsidR="00DF005E">
        <w:t>JCWP</w:t>
      </w:r>
      <w:r w:rsidRPr="00795F17">
        <w:t>;</w:t>
      </w:r>
    </w:p>
    <w:p w14:paraId="606086B8" w14:textId="6FD1F229" w:rsidR="00F756A1" w:rsidRPr="00795F17" w:rsidRDefault="00F756A1" w:rsidP="00117E86">
      <w:pPr>
        <w:pStyle w:val="Listapunktowana2"/>
      </w:pPr>
      <w:r w:rsidRPr="00795F17">
        <w:t>analiza potrzeb w zakresie wykupu</w:t>
      </w:r>
      <w:r w:rsidR="00D146C3" w:rsidRPr="00795F17">
        <w:t xml:space="preserve"> </w:t>
      </w:r>
      <w:r w:rsidRPr="00795F17">
        <w:t>gruntów w strefie zagrożonej osuwiskami i abrazją klifów;</w:t>
      </w:r>
    </w:p>
    <w:p w14:paraId="721D3834" w14:textId="77777777" w:rsidR="00F756A1" w:rsidRPr="00795F17" w:rsidRDefault="00F756A1" w:rsidP="00117E86">
      <w:pPr>
        <w:pStyle w:val="Listapunktowana2"/>
      </w:pPr>
      <w:r w:rsidRPr="00795F17">
        <w:t>identyfikacja obszarów gdzie dopuszcza się zachowanie naturalnych procesów przemieszczania się osadów dennych;</w:t>
      </w:r>
    </w:p>
    <w:p w14:paraId="66020A4A" w14:textId="2B415BA2" w:rsidR="00F756A1" w:rsidRPr="00795F17" w:rsidRDefault="00F756A1" w:rsidP="00117E86">
      <w:pPr>
        <w:pStyle w:val="Listapunktowana2"/>
      </w:pPr>
      <w:r w:rsidRPr="00795F17">
        <w:t>opracowanie planów obejmujących zachowanie lub przywrócenie ciągłości przepływu rumowiska wzdłuż brzegów morskich oraz utrzymanie lub odtwarzanie naturalnych procesów geodynamicznych (abrazji i akumulacji) w strefie brzegowej;</w:t>
      </w:r>
    </w:p>
    <w:p w14:paraId="7751AC32" w14:textId="77777777" w:rsidR="00F756A1" w:rsidRPr="00795F17" w:rsidRDefault="00F756A1" w:rsidP="00117E86">
      <w:pPr>
        <w:pStyle w:val="Listapunktowana2"/>
      </w:pPr>
      <w:r w:rsidRPr="00795F17">
        <w:t>stopniowe usuwanie odnawiających się obcych gatunków drzew oraz krzewów;</w:t>
      </w:r>
    </w:p>
    <w:p w14:paraId="1347E8E9" w14:textId="6E2B0EC4" w:rsidR="00F756A1" w:rsidRPr="00795F17" w:rsidRDefault="00F756A1" w:rsidP="00117E86">
      <w:pPr>
        <w:pStyle w:val="Listapunktowana2"/>
      </w:pPr>
      <w:r w:rsidRPr="00795F17">
        <w:t>uwzględnianie zapisów planu zagospodarowania przestrzennego obszarów morskich przy wydawaniu decyzji administracyjnych związanych z</w:t>
      </w:r>
      <w:r w:rsidR="00B80129">
        <w:t> </w:t>
      </w:r>
      <w:r w:rsidRPr="00795F17">
        <w:t>działalnością mogącą mieć wpływ na środowisko morskie;</w:t>
      </w:r>
    </w:p>
    <w:p w14:paraId="14DF7C08" w14:textId="6F211891" w:rsidR="00F756A1" w:rsidRPr="00795F17" w:rsidRDefault="00F756A1" w:rsidP="00117E86">
      <w:pPr>
        <w:pStyle w:val="Listapunktowana2"/>
      </w:pPr>
      <w:r w:rsidRPr="00795F17">
        <w:t>monitorowanie realizacji Programu Ochrony Wód Morskich</w:t>
      </w:r>
      <w:r w:rsidR="00473B43">
        <w:t xml:space="preserve"> i </w:t>
      </w:r>
      <w:r w:rsidR="003F5883">
        <w:t>aktualizacji tego programu</w:t>
      </w:r>
      <w:r w:rsidRPr="00795F17">
        <w:t>.</w:t>
      </w:r>
    </w:p>
    <w:p w14:paraId="2FAD72D5" w14:textId="356220C0" w:rsidR="00332A4E" w:rsidRPr="00795F17" w:rsidRDefault="00AD19F1" w:rsidP="00C53C86">
      <w:pPr>
        <w:pStyle w:val="Nagwek2"/>
      </w:pPr>
      <w:bookmarkStart w:id="953" w:name="_Toc66272291"/>
      <w:bookmarkStart w:id="954" w:name="_Toc66347836"/>
      <w:bookmarkStart w:id="955" w:name="_Toc105512729"/>
      <w:r w:rsidRPr="00795F17">
        <w:t>Informacje o pozostałych działaniach</w:t>
      </w:r>
      <w:bookmarkEnd w:id="947"/>
      <w:bookmarkEnd w:id="953"/>
      <w:bookmarkEnd w:id="954"/>
      <w:bookmarkEnd w:id="955"/>
    </w:p>
    <w:p w14:paraId="32CE3325" w14:textId="77777777" w:rsidR="005E5391" w:rsidRPr="00795F17" w:rsidRDefault="005E5391" w:rsidP="0044393D">
      <w:r w:rsidRPr="00795F17">
        <w:t>Zapewnienie osiągnięcia ustalonych celów środowiskowych jest procesem wymagającym podejmowania odpowiednich działań wynikających z przepisów prawa, ale nie ograniczonym wyłącznie do nich.</w:t>
      </w:r>
    </w:p>
    <w:p w14:paraId="2B8CE730" w14:textId="5A6E5AD2" w:rsidR="005E5391" w:rsidRPr="00795F17" w:rsidRDefault="005E5391" w:rsidP="0044393D">
      <w:r w:rsidRPr="00795F17">
        <w:t xml:space="preserve">Niniejszy rozdział, zgodnie z art. 318 ust. 1 pkt 17 pr.w., odnosi się do pozostałych działań, innych niż wskazane w art. 318 ust. 1 pkt 8-16 </w:t>
      </w:r>
      <w:r w:rsidR="0083060B" w:rsidRPr="00795F17">
        <w:t>pr.w.</w:t>
      </w:r>
      <w:r w:rsidRPr="00795F17">
        <w:t>:</w:t>
      </w:r>
    </w:p>
    <w:p w14:paraId="578DE09F" w14:textId="569F0F24" w:rsidR="005E5391" w:rsidRPr="00795F17" w:rsidRDefault="005E5391" w:rsidP="005B1055">
      <w:pPr>
        <w:ind w:left="3402" w:hanging="3402"/>
      </w:pPr>
      <w:r w:rsidRPr="00795F17">
        <w:rPr>
          <w:rFonts w:cstheme="minorBidi"/>
          <w:b/>
          <w:bCs/>
          <w:color w:val="000000" w:themeColor="text1"/>
        </w:rPr>
        <w:t xml:space="preserve">art. 318. ust. 1 pkt 8 </w:t>
      </w:r>
      <w:r w:rsidR="00CE4E7B" w:rsidRPr="00795F17">
        <w:rPr>
          <w:rFonts w:cstheme="minorBidi"/>
          <w:b/>
          <w:bCs/>
          <w:color w:val="000000" w:themeColor="text1"/>
        </w:rPr>
        <w:t>pr.w.</w:t>
      </w:r>
      <w:r w:rsidRPr="00795F17">
        <w:rPr>
          <w:rFonts w:cstheme="minorBidi"/>
          <w:color w:val="000000" w:themeColor="text1"/>
        </w:rPr>
        <w:tab/>
      </w:r>
      <w:r w:rsidRPr="00795F17">
        <w:t>informacje o planowanych i podjętych działaniach, które służą wdrożeniu zasady zwrotu kosztów usług wodnych (informacje przedstawione w rozdziale 13.1 IIaPGW);</w:t>
      </w:r>
    </w:p>
    <w:p w14:paraId="78EF18D6" w14:textId="3ED1102D" w:rsidR="005E5391" w:rsidRPr="00795F17" w:rsidRDefault="005E5391" w:rsidP="005B1055">
      <w:pPr>
        <w:ind w:left="3402" w:hanging="3402"/>
      </w:pPr>
      <w:r w:rsidRPr="00795F17">
        <w:rPr>
          <w:b/>
          <w:bCs/>
        </w:rPr>
        <w:t xml:space="preserve">art. 318. ust. 1 pkt 9 </w:t>
      </w:r>
      <w:r w:rsidR="00CE4E7B" w:rsidRPr="00795F17">
        <w:rPr>
          <w:b/>
          <w:bCs/>
        </w:rPr>
        <w:t>pr.w.</w:t>
      </w:r>
      <w:r w:rsidRPr="00795F17">
        <w:tab/>
        <w:t>podsumowanie działań podjętych dla realizacji: a) celów środowiskowych, o których mowa w art. 56, art. 57, art. 59 oraz</w:t>
      </w:r>
      <w:r w:rsidR="001314B3">
        <w:t> </w:t>
      </w:r>
      <w:r w:rsidRPr="00795F17">
        <w:t>w</w:t>
      </w:r>
      <w:r w:rsidR="007119BA">
        <w:t> </w:t>
      </w:r>
      <w:r w:rsidRPr="00795F17">
        <w:t xml:space="preserve">art. 61 </w:t>
      </w:r>
      <w:r w:rsidR="00CE4E7B" w:rsidRPr="00795F17">
        <w:t>pr.w.</w:t>
      </w:r>
      <w:r w:rsidRPr="00795F17">
        <w:t>, b) wymagań wynikających z</w:t>
      </w:r>
      <w:r w:rsidR="00D15686">
        <w:t> </w:t>
      </w:r>
      <w:r w:rsidRPr="00795F17">
        <w:t xml:space="preserve">przepisów </w:t>
      </w:r>
      <w:r w:rsidR="00840EEF" w:rsidRPr="00933DB8">
        <w:t xml:space="preserve">u.z.z.w.o.ś. </w:t>
      </w:r>
      <w:r w:rsidR="001A2314">
        <w:t>–</w:t>
      </w:r>
      <w:r w:rsidRPr="00795F17">
        <w:t xml:space="preserve"> dla jednolitych części wód przeznaczonych do poboru wody na potrzeby zaopatrzenia ludności w wodę przeznaczoną do spożycia przez ludzi (informacje przedstawione w rozdziale 13.2 IIaPGW);</w:t>
      </w:r>
    </w:p>
    <w:p w14:paraId="0798CB39" w14:textId="5024B51C" w:rsidR="005E5391" w:rsidRPr="00795F17" w:rsidRDefault="005E5391" w:rsidP="005B1055">
      <w:pPr>
        <w:ind w:left="3402" w:hanging="3402"/>
      </w:pPr>
      <w:r w:rsidRPr="00795F17">
        <w:rPr>
          <w:b/>
          <w:bCs/>
        </w:rPr>
        <w:t xml:space="preserve">art. 318. ust. 1 pkt 10 </w:t>
      </w:r>
      <w:r w:rsidR="00CE4E7B" w:rsidRPr="00795F17">
        <w:rPr>
          <w:b/>
          <w:bCs/>
        </w:rPr>
        <w:t>pr.w.</w:t>
      </w:r>
      <w:r w:rsidRPr="00795F17">
        <w:tab/>
        <w:t>informacje dotyczące pozwoleń wodnoprawnych udzielonych na: pobór wód, magazynowanie wód, wprowadzanie ścieków do wód, regulację wód (informacje przedstawione w rozdziale 13.3 IIaPGW);</w:t>
      </w:r>
    </w:p>
    <w:p w14:paraId="0BB8F864" w14:textId="2B44DAB9" w:rsidR="005E5391" w:rsidRPr="00795F17" w:rsidRDefault="005E5391" w:rsidP="005B1055">
      <w:pPr>
        <w:ind w:left="3402" w:hanging="3402"/>
      </w:pPr>
      <w:r w:rsidRPr="00795F17">
        <w:rPr>
          <w:b/>
          <w:bCs/>
        </w:rPr>
        <w:t xml:space="preserve">art. 318. ust. 1 pkt 11 </w:t>
      </w:r>
      <w:r w:rsidR="00CE4E7B" w:rsidRPr="00795F17">
        <w:rPr>
          <w:b/>
          <w:bCs/>
        </w:rPr>
        <w:t>pr.w.</w:t>
      </w:r>
      <w:r w:rsidRPr="00795F17">
        <w:tab/>
        <w:t>informacje o przypadkach, w których udzielono zezwolenia na</w:t>
      </w:r>
      <w:r w:rsidR="00435693" w:rsidRPr="00795F17">
        <w:t> </w:t>
      </w:r>
      <w:r w:rsidRPr="00795F17">
        <w:t>wprowadzanie zanieczyszczeń bezpośrednio do wód podziemnych (informacje przedstawione w rozdziale 13.4 IIaPGW);</w:t>
      </w:r>
    </w:p>
    <w:p w14:paraId="521DCE06" w14:textId="0B87C619" w:rsidR="005E5391" w:rsidRPr="00795F17" w:rsidRDefault="005E5391" w:rsidP="005B1055">
      <w:pPr>
        <w:ind w:left="3402" w:hanging="3402"/>
      </w:pPr>
      <w:r w:rsidRPr="00795F17">
        <w:rPr>
          <w:b/>
          <w:bCs/>
        </w:rPr>
        <w:t xml:space="preserve">art. 318. ust. 1 pkt 12 </w:t>
      </w:r>
      <w:r w:rsidR="00CE4E7B" w:rsidRPr="00795F17">
        <w:rPr>
          <w:b/>
          <w:bCs/>
        </w:rPr>
        <w:t>pr.w.</w:t>
      </w:r>
      <w:r w:rsidRPr="00795F17">
        <w:tab/>
        <w:t>podsumowanie działań podjętych w celu eliminowania stężeń substancji priorytetowych (informacje przedstawione w</w:t>
      </w:r>
      <w:r w:rsidR="00435693" w:rsidRPr="00795F17">
        <w:t> </w:t>
      </w:r>
      <w:r w:rsidRPr="00795F17">
        <w:t>rozdziale 13.5 IIaPGW);</w:t>
      </w:r>
    </w:p>
    <w:p w14:paraId="5C7590C6" w14:textId="72C76D38" w:rsidR="005E5391" w:rsidRPr="00795F17" w:rsidRDefault="005E5391" w:rsidP="005B1055">
      <w:pPr>
        <w:ind w:left="3402" w:hanging="3402"/>
      </w:pPr>
      <w:r w:rsidRPr="00795F17">
        <w:rPr>
          <w:b/>
          <w:bCs/>
        </w:rPr>
        <w:t xml:space="preserve">art. 318. ust. 1 pkt 13 </w:t>
      </w:r>
      <w:r w:rsidR="00CE4E7B" w:rsidRPr="00795F17">
        <w:rPr>
          <w:b/>
          <w:bCs/>
        </w:rPr>
        <w:t>pr.w.</w:t>
      </w:r>
      <w:r w:rsidRPr="00795F17">
        <w:tab/>
        <w:t>podsumowanie działań podjętych w celu zapobieżenia skutkom zanieczyszczeń niedających się przewidzieć lub łagodzenia tych skutków (informacje przedstawione w rozdziale 13.6 IIaPGW);</w:t>
      </w:r>
    </w:p>
    <w:p w14:paraId="253FD88B" w14:textId="75665E4B" w:rsidR="005E5391" w:rsidRPr="00795F17" w:rsidRDefault="005E5391" w:rsidP="005B1055">
      <w:pPr>
        <w:ind w:left="3402" w:hanging="3402"/>
      </w:pPr>
      <w:r w:rsidRPr="00795F17">
        <w:rPr>
          <w:b/>
          <w:bCs/>
        </w:rPr>
        <w:t xml:space="preserve">art. 318. ust. 1 pkt 14 </w:t>
      </w:r>
      <w:r w:rsidR="00CE4E7B" w:rsidRPr="00795F17">
        <w:rPr>
          <w:b/>
          <w:bCs/>
        </w:rPr>
        <w:t>pr.w.</w:t>
      </w:r>
      <w:r w:rsidRPr="00795F17">
        <w:tab/>
        <w:t xml:space="preserve">podsumowanie działań, o których mowa w art. 325 </w:t>
      </w:r>
      <w:r w:rsidR="0083060B" w:rsidRPr="00795F17">
        <w:t>pr.w.</w:t>
      </w:r>
      <w:r w:rsidRPr="00795F17">
        <w:t xml:space="preserve"> </w:t>
      </w:r>
      <w:r w:rsidR="003C019C">
        <w:t>–</w:t>
      </w:r>
      <w:r w:rsidRPr="00795F17">
        <w:t xml:space="preserve"> dotyczących analizy przyczyn zagrożeń i wprowadzenia do</w:t>
      </w:r>
      <w:r w:rsidR="00435693" w:rsidRPr="00795F17">
        <w:t> </w:t>
      </w:r>
      <w:r w:rsidRPr="00795F17">
        <w:t>planu gospodarowania wodami działań uzupełniających, informacji o wynikach przeglądu pozwoleń wodnoprawnych oraz programów monitoringu wód (informacje przedstawione w</w:t>
      </w:r>
      <w:r w:rsidR="00435693" w:rsidRPr="00795F17">
        <w:t> </w:t>
      </w:r>
      <w:r w:rsidRPr="00795F17">
        <w:t>rozdziale 13.7 IIaPGW);</w:t>
      </w:r>
    </w:p>
    <w:p w14:paraId="1D631375" w14:textId="48D5D7BF" w:rsidR="005E5391" w:rsidRPr="00795F17" w:rsidRDefault="005E5391" w:rsidP="005B1055">
      <w:pPr>
        <w:ind w:left="3402" w:hanging="3402"/>
      </w:pPr>
      <w:r w:rsidRPr="00795F17">
        <w:rPr>
          <w:b/>
          <w:bCs/>
        </w:rPr>
        <w:t xml:space="preserve">art. 318. ust. 1 pkt 15 </w:t>
      </w:r>
      <w:r w:rsidR="00CE4E7B" w:rsidRPr="00795F17">
        <w:rPr>
          <w:b/>
          <w:bCs/>
        </w:rPr>
        <w:t>pr.w</w:t>
      </w:r>
      <w:r w:rsidR="00E9796C" w:rsidRPr="00795F17">
        <w:rPr>
          <w:b/>
          <w:bCs/>
        </w:rPr>
        <w:t>.</w:t>
      </w:r>
      <w:r w:rsidRPr="00795F17">
        <w:tab/>
        <w:t>informacje o sposobie prowadzenia działań polegających na</w:t>
      </w:r>
      <w:r w:rsidR="00435693" w:rsidRPr="00795F17">
        <w:t> </w:t>
      </w:r>
      <w:r w:rsidRPr="00795F17">
        <w:t>utrzymywaniu wód uwzględniających cele środowiskowe (informacje przedstawione w rozdziale 13.8 IIaPGW);</w:t>
      </w:r>
    </w:p>
    <w:p w14:paraId="7CEE2380" w14:textId="4EC2A888" w:rsidR="005E5391" w:rsidRPr="00795F17" w:rsidRDefault="005E5391" w:rsidP="005B1055">
      <w:pPr>
        <w:ind w:left="3402" w:hanging="3402"/>
      </w:pPr>
      <w:r w:rsidRPr="00795F17">
        <w:rPr>
          <w:b/>
          <w:bCs/>
        </w:rPr>
        <w:t xml:space="preserve">art. 318. ust. 1 pkt 16 </w:t>
      </w:r>
      <w:r w:rsidR="00CE4E7B" w:rsidRPr="00795F17">
        <w:rPr>
          <w:b/>
          <w:bCs/>
        </w:rPr>
        <w:t>pr.w.</w:t>
      </w:r>
      <w:r w:rsidRPr="00795F17">
        <w:tab/>
        <w:t>informacje o działaniach zastosowanych w celu niedopuszczenia do wzrostu zanieczyszczeń wód morskich (informacje przedstawione w rozdziale 13.9 IIaPGW),</w:t>
      </w:r>
    </w:p>
    <w:p w14:paraId="56D4E7F3" w14:textId="77777777" w:rsidR="005E5391" w:rsidRPr="00795F17" w:rsidRDefault="005E5391" w:rsidP="0044393D">
      <w:r w:rsidRPr="00795F17">
        <w:t>które podjęto ze względu na konieczność osiągnięcia celów środowiskowych.</w:t>
      </w:r>
    </w:p>
    <w:p w14:paraId="40D33842" w14:textId="208EA806" w:rsidR="005E5391" w:rsidRPr="00795F17" w:rsidRDefault="005E5391" w:rsidP="0044393D">
      <w:r w:rsidRPr="00795F17">
        <w:t>Niniejszy rozdział prezentuje informacje dotyczące działań, które nie zostały przewidziane ściśle w</w:t>
      </w:r>
      <w:r w:rsidR="005B1055" w:rsidRPr="00795F17">
        <w:t> </w:t>
      </w:r>
      <w:r w:rsidRPr="00795F17">
        <w:t>r.p.g.w.</w:t>
      </w:r>
      <w:r w:rsidR="001602B3">
        <w:t>,</w:t>
      </w:r>
      <w:r w:rsidRPr="00795F17">
        <w:t xml:space="preserve"> a których potrzeba może wynikać z ustaleń dokonywanych w ramach współpracy międzynarodowej</w:t>
      </w:r>
      <w:r w:rsidR="00A53B91">
        <w:t>,</w:t>
      </w:r>
      <w:r w:rsidRPr="00795F17">
        <w:t xml:space="preserve"> a także z procesu konsultacji społecznych projektów planów gospodarowania wodami</w:t>
      </w:r>
      <w:r w:rsidR="009175F9">
        <w:t>, w</w:t>
      </w:r>
      <w:r w:rsidR="000A4095">
        <w:t xml:space="preserve"> tym</w:t>
      </w:r>
      <w:r w:rsidR="00CA343C">
        <w:t>:</w:t>
      </w:r>
      <w:r w:rsidRPr="00795F17">
        <w:t xml:space="preserve"> </w:t>
      </w:r>
    </w:p>
    <w:p w14:paraId="022213CC" w14:textId="49D9D8C8" w:rsidR="005E5391" w:rsidRPr="00795F17" w:rsidRDefault="00583DA3" w:rsidP="00117E86">
      <w:pPr>
        <w:pStyle w:val="Listapunktowana2"/>
      </w:pPr>
      <w:r>
        <w:t>r</w:t>
      </w:r>
      <w:r w:rsidRPr="00795F17">
        <w:t xml:space="preserve">ealizowana </w:t>
      </w:r>
      <w:r w:rsidR="005E5391" w:rsidRPr="00795F17">
        <w:t>współpraca międzynarodowa i wynikające z jej ustaleń podejmowane działania przedstawi</w:t>
      </w:r>
      <w:r w:rsidR="004618BA">
        <w:t>ona</w:t>
      </w:r>
      <w:r w:rsidR="000A4095">
        <w:t xml:space="preserve"> w</w:t>
      </w:r>
      <w:r w:rsidR="005E5391" w:rsidRPr="00795F17">
        <w:t xml:space="preserve"> rozdzia</w:t>
      </w:r>
      <w:r w:rsidR="000A4095">
        <w:t>le</w:t>
      </w:r>
      <w:r w:rsidR="005E5391" w:rsidRPr="00795F17">
        <w:t xml:space="preserve"> 22 IIaPGW</w:t>
      </w:r>
      <w:r>
        <w:t>;</w:t>
      </w:r>
    </w:p>
    <w:p w14:paraId="705E2816" w14:textId="4A069A58" w:rsidR="005E5391" w:rsidRPr="00795F17" w:rsidRDefault="00583DA3" w:rsidP="00117E86">
      <w:pPr>
        <w:pStyle w:val="Listapunktowana2"/>
      </w:pPr>
      <w:r>
        <w:t>w</w:t>
      </w:r>
      <w:r w:rsidRPr="00795F17">
        <w:t>śród</w:t>
      </w:r>
      <w:r w:rsidR="005E5391" w:rsidRPr="00795F17">
        <w:t xml:space="preserve"> podejmowanych innych działań mających na celu przyczynienie się do osiągnięcia celów środowiskowych wyróżnić należy inicjatywy współpracy podejmowane przez </w:t>
      </w:r>
      <w:r w:rsidR="0028234C" w:rsidRPr="00795F17">
        <w:t>PGW WP</w:t>
      </w:r>
      <w:r w:rsidR="005E5391" w:rsidRPr="00795F17">
        <w:t xml:space="preserve"> z</w:t>
      </w:r>
      <w:r w:rsidR="005B1055" w:rsidRPr="00795F17">
        <w:t> </w:t>
      </w:r>
      <w:r w:rsidR="005E5391" w:rsidRPr="00795F17">
        <w:t>różnymi organizacjami oraz podmiotami</w:t>
      </w:r>
      <w:r>
        <w:t>;</w:t>
      </w:r>
    </w:p>
    <w:p w14:paraId="4555BEEB" w14:textId="383C4A53" w:rsidR="005C2F33" w:rsidRPr="00795F17" w:rsidRDefault="00583DA3" w:rsidP="00117E86">
      <w:pPr>
        <w:pStyle w:val="Listapunktowana2"/>
      </w:pPr>
      <w:bookmarkStart w:id="956" w:name="_Hlk66179029"/>
      <w:r>
        <w:t>w</w:t>
      </w:r>
      <w:r w:rsidRPr="00795F17">
        <w:t xml:space="preserve">spółpraca </w:t>
      </w:r>
      <w:r w:rsidR="005C2F33" w:rsidRPr="00795F17">
        <w:t xml:space="preserve">z </w:t>
      </w:r>
      <w:r w:rsidR="001602B3">
        <w:t>g</w:t>
      </w:r>
      <w:r w:rsidR="005C2F33" w:rsidRPr="00795F17">
        <w:t>minami dot. realizacji KPOŚK</w:t>
      </w:r>
      <w:r>
        <w:t>;</w:t>
      </w:r>
    </w:p>
    <w:p w14:paraId="058A21B4" w14:textId="733C5C2D" w:rsidR="005C2F33" w:rsidRPr="00795F17" w:rsidRDefault="00583DA3" w:rsidP="00117E86">
      <w:pPr>
        <w:pStyle w:val="Listapunktowana2"/>
      </w:pPr>
      <w:r>
        <w:t>w</w:t>
      </w:r>
      <w:r w:rsidR="005C2F33" w:rsidRPr="00795F17">
        <w:t xml:space="preserve"> ramach prac nad VI </w:t>
      </w:r>
      <w:r w:rsidR="00CB55FA" w:rsidRPr="00795F17">
        <w:t>aKPOŚK</w:t>
      </w:r>
      <w:r w:rsidR="005C2F33" w:rsidRPr="00795F17">
        <w:t xml:space="preserve">, RZGW </w:t>
      </w:r>
      <w:r w:rsidR="00CB55FA" w:rsidRPr="00795F17">
        <w:t xml:space="preserve">WP </w:t>
      </w:r>
      <w:r w:rsidR="005C2F33" w:rsidRPr="00795F17">
        <w:t xml:space="preserve">w Szczecinie podejmowało współpracę z gminami dot. konieczności podjęcia działań dotyczących weryfikacji obszarów i granic aglomeracji wynikających z art. 92 </w:t>
      </w:r>
      <w:r w:rsidR="00CB55FA" w:rsidRPr="00795F17">
        <w:t>pr.w</w:t>
      </w:r>
      <w:r w:rsidR="005C2F33" w:rsidRPr="00795F17">
        <w:t>. oraz wyznaczenia nowych aglomeracji zgodnie z art. 565 ust</w:t>
      </w:r>
      <w:r w:rsidR="001602B3">
        <w:t>.</w:t>
      </w:r>
      <w:r w:rsidR="005C2F33" w:rsidRPr="00795F17">
        <w:t xml:space="preserve"> 2 </w:t>
      </w:r>
      <w:r w:rsidR="00CB55FA" w:rsidRPr="00795F17">
        <w:t>pr.w.</w:t>
      </w:r>
      <w:r w:rsidR="005C2F33" w:rsidRPr="00795F17">
        <w:t>, który stanowi iż, dotychczasowe akty prawa miejscowego wydane na</w:t>
      </w:r>
      <w:r w:rsidR="005B1055" w:rsidRPr="00795F17">
        <w:t> </w:t>
      </w:r>
      <w:r w:rsidR="005C2F33" w:rsidRPr="00795F17">
        <w:t>podstawie art. 43 ust</w:t>
      </w:r>
      <w:r w:rsidR="001602B3">
        <w:t>.</w:t>
      </w:r>
      <w:r w:rsidR="005C2F33" w:rsidRPr="00795F17">
        <w:t xml:space="preserve"> 2a </w:t>
      </w:r>
      <w:r w:rsidR="00571971">
        <w:t>s.pr.w.</w:t>
      </w:r>
      <w:r w:rsidR="005C2F33" w:rsidRPr="00795F17">
        <w:t xml:space="preserve"> uchylanej art. 573 zachowują moc nie dłużej niż do 31 grudnia 2020 r. i mogą być zmieniane. W związku z powyższym RZGW </w:t>
      </w:r>
      <w:r w:rsidR="00CB55FA" w:rsidRPr="00795F17">
        <w:t xml:space="preserve">WP </w:t>
      </w:r>
      <w:r w:rsidR="005C2F33" w:rsidRPr="00795F17">
        <w:t>w</w:t>
      </w:r>
      <w:r w:rsidR="00BF3682">
        <w:t> </w:t>
      </w:r>
      <w:r w:rsidR="005C2F33" w:rsidRPr="00795F17">
        <w:t xml:space="preserve">Szczecinie prowadziło szeroko zakrojone działania informacyjne dotyczące ww. obowiązku. Przedstawiciele RZGW </w:t>
      </w:r>
      <w:r w:rsidR="00CB55FA" w:rsidRPr="00795F17">
        <w:t xml:space="preserve">WP </w:t>
      </w:r>
      <w:r w:rsidR="005C2F33" w:rsidRPr="00795F17">
        <w:t>w Szczecinie uczestniczyli w spotkaniach z przedstawicielami gmin, przesyłano wraz z</w:t>
      </w:r>
      <w:r w:rsidR="001314B3">
        <w:t> </w:t>
      </w:r>
      <w:r w:rsidR="005C2F33" w:rsidRPr="00795F17">
        <w:t xml:space="preserve">właściwymi terenowo </w:t>
      </w:r>
      <w:r w:rsidR="0067097B" w:rsidRPr="00795F17">
        <w:t>ZZ WP</w:t>
      </w:r>
      <w:r w:rsidR="005C2F33" w:rsidRPr="00795F17">
        <w:t xml:space="preserve"> pisma informacyjne (pocztą tradycyjną oraz mailową), wszelkie niezbędne informacje w tym zakresie umieszczono również na stronie internetowej RZGW </w:t>
      </w:r>
      <w:r w:rsidR="0067097B" w:rsidRPr="00795F17">
        <w:t xml:space="preserve">WP </w:t>
      </w:r>
      <w:r w:rsidR="005C2F33" w:rsidRPr="00795F17">
        <w:t>w Szczecinie</w:t>
      </w:r>
      <w:r>
        <w:t>;</w:t>
      </w:r>
    </w:p>
    <w:bookmarkEnd w:id="956"/>
    <w:p w14:paraId="502F8CF7" w14:textId="66695F67" w:rsidR="005C2F33" w:rsidRPr="00795F17" w:rsidRDefault="00583DA3" w:rsidP="00117E86">
      <w:pPr>
        <w:pStyle w:val="Listapunktowana2"/>
      </w:pPr>
      <w:r>
        <w:t>w</w:t>
      </w:r>
      <w:r w:rsidRPr="00795F17">
        <w:t xml:space="preserve">spółdziałanie </w:t>
      </w:r>
      <w:r w:rsidR="005C2F33" w:rsidRPr="00795F17">
        <w:t xml:space="preserve">w zwalczaniu przestępstw i wykroczeń związanych z naruszeniem przepisów </w:t>
      </w:r>
      <w:r w:rsidR="00EC7522">
        <w:t>pr.w.</w:t>
      </w:r>
      <w:r w:rsidR="005C2F33" w:rsidRPr="00795F17">
        <w:t xml:space="preserve"> oraz ustawy o rybactwie śródlądowym.</w:t>
      </w:r>
    </w:p>
    <w:p w14:paraId="4B3FBC0B" w14:textId="50E26A93" w:rsidR="005C2F33" w:rsidRPr="00795F17" w:rsidRDefault="005C2F33" w:rsidP="0044393D">
      <w:r w:rsidRPr="00795F17">
        <w:rPr>
          <w:color w:val="000000"/>
        </w:rPr>
        <w:t xml:space="preserve">RZGW </w:t>
      </w:r>
      <w:r w:rsidR="0067097B" w:rsidRPr="00795F17">
        <w:rPr>
          <w:color w:val="000000"/>
        </w:rPr>
        <w:t xml:space="preserve">WP </w:t>
      </w:r>
      <w:r w:rsidRPr="00795F17">
        <w:rPr>
          <w:color w:val="000000"/>
        </w:rPr>
        <w:t xml:space="preserve">w Szczecinie prowadzi stałą współpracę z </w:t>
      </w:r>
      <w:r w:rsidRPr="00795F17">
        <w:t xml:space="preserve">komendami wojewódzkimi Państwowej Straży Rybackiej, urzędami marszałkowskimi, starostwami oraz użytkownikami rybackimi w zakresie zwalczania przestępstw i wykroczeń związanych z naruszeniem przepisów </w:t>
      </w:r>
      <w:r w:rsidR="0067097B" w:rsidRPr="00795F17">
        <w:t>pr.w.</w:t>
      </w:r>
      <w:r w:rsidRPr="00795F17">
        <w:t xml:space="preserve"> oraz ustawy o</w:t>
      </w:r>
      <w:r w:rsidR="005B1055" w:rsidRPr="00795F17">
        <w:t> </w:t>
      </w:r>
      <w:r w:rsidRPr="00795F17">
        <w:t>rybactwie śródlądowym. Współpraca polega między innymi na przekazywaniu przez RZGW</w:t>
      </w:r>
      <w:r w:rsidR="005B1055" w:rsidRPr="00795F17">
        <w:t> </w:t>
      </w:r>
      <w:r w:rsidR="0067097B" w:rsidRPr="00795F17">
        <w:t xml:space="preserve">WP </w:t>
      </w:r>
      <w:r w:rsidRPr="00795F17">
        <w:t>informacji o podejrzeniu dokonywania nielegalnego połowu ryb oraz innych działań niezgodnych z</w:t>
      </w:r>
      <w:r w:rsidR="005B1055" w:rsidRPr="00795F17">
        <w:t> </w:t>
      </w:r>
      <w:r w:rsidRPr="00795F17">
        <w:t xml:space="preserve">przepisami ustawy o rybactwie śródlądowym na administrowanych wodach. Natomiast ze strony Państwowej Straży Rybackiej oraz ww. jednostek i użytkowników wpływają do RZGW </w:t>
      </w:r>
      <w:r w:rsidR="0067097B" w:rsidRPr="00795F17">
        <w:t xml:space="preserve">WP </w:t>
      </w:r>
      <w:r w:rsidRPr="00795F17">
        <w:t>w Szczecinie informacje o podejrzeniach dotyczących nielegalnej zabudowy brzegów, zanieczyszczeń wód, wykonywania robót ziemnych, niszczenia roślinności szuwarowej, nielegalnej wycinki drzew i krzewów, naruszenia linii brzegowej, nielegalnego grodzenia nieruchomości przyległych do wód oraz innego rodzaju naruszeniach.</w:t>
      </w:r>
    </w:p>
    <w:p w14:paraId="671DC371" w14:textId="77777777" w:rsidR="005C2F33" w:rsidRPr="00795F17" w:rsidRDefault="005C2F33" w:rsidP="00117E86">
      <w:pPr>
        <w:pStyle w:val="Listapunktowana2"/>
      </w:pPr>
      <w:r w:rsidRPr="00795F17">
        <w:t>Działania edukacyjne</w:t>
      </w:r>
    </w:p>
    <w:p w14:paraId="7BDFB0E5" w14:textId="5F4E6730" w:rsidR="005C2F33" w:rsidRPr="00795F17" w:rsidRDefault="005C2F33" w:rsidP="0044393D">
      <w:pPr>
        <w:rPr>
          <w:shd w:val="clear" w:color="auto" w:fill="FFFFFF"/>
        </w:rPr>
      </w:pPr>
      <w:r w:rsidRPr="00795F17">
        <w:rPr>
          <w:shd w:val="clear" w:color="auto" w:fill="FFFFFF"/>
        </w:rPr>
        <w:t xml:space="preserve">Edukacja wodna jest jednym z ważniejszych zadań RZGW </w:t>
      </w:r>
      <w:r w:rsidR="0067097B" w:rsidRPr="00795F17">
        <w:rPr>
          <w:shd w:val="clear" w:color="auto" w:fill="FFFFFF"/>
        </w:rPr>
        <w:t xml:space="preserve">WP </w:t>
      </w:r>
      <w:r w:rsidRPr="00795F17">
        <w:rPr>
          <w:shd w:val="clear" w:color="auto" w:fill="FFFFFF"/>
        </w:rPr>
        <w:t xml:space="preserve">w Szczecinie. Program edukacyjny został tak przygotowany, by w przyjazny sposób dotrzeć do wyobraźni dzieci i przełożyć się na realną poprawę zachowań i świadomości ekologicznej. Podczas zajęć dzieci uczą się o właściwościach i ochronie wody, a nauka jest tutaj połączona z zabawą i eksperymentami ekologicznymi, które można wykonać również w domu. Przygotowane zostały tablice edukacyjne, film, kolorowanki. Planowane są również zajęcia plenerowe oraz organizacja wizyt np. w </w:t>
      </w:r>
      <w:r w:rsidR="0067097B" w:rsidRPr="00795F17">
        <w:rPr>
          <w:shd w:val="clear" w:color="auto" w:fill="FFFFFF"/>
        </w:rPr>
        <w:t>NW</w:t>
      </w:r>
      <w:r w:rsidRPr="00795F17">
        <w:rPr>
          <w:shd w:val="clear" w:color="auto" w:fill="FFFFFF"/>
        </w:rPr>
        <w:t xml:space="preserve"> czy w siedzibie RZGW </w:t>
      </w:r>
      <w:r w:rsidR="0067097B" w:rsidRPr="00795F17">
        <w:rPr>
          <w:shd w:val="clear" w:color="auto" w:fill="FFFFFF"/>
        </w:rPr>
        <w:t xml:space="preserve">WP </w:t>
      </w:r>
      <w:r w:rsidRPr="00795F17">
        <w:rPr>
          <w:shd w:val="clear" w:color="auto" w:fill="FFFFFF"/>
        </w:rPr>
        <w:t>w Szczecinie.</w:t>
      </w:r>
    </w:p>
    <w:p w14:paraId="089E141E" w14:textId="238E3AB6" w:rsidR="00152D4A" w:rsidRPr="00795F17" w:rsidRDefault="007F5A39" w:rsidP="00117E86">
      <w:pPr>
        <w:pStyle w:val="Listapunktowana2"/>
      </w:pPr>
      <w:r w:rsidRPr="00795F17">
        <w:t>Współpraca RZGW WP z Uniwersytetem Śląskim w Katowicach</w:t>
      </w:r>
    </w:p>
    <w:p w14:paraId="0D9BD537" w14:textId="579B2657" w:rsidR="007F5A39" w:rsidRPr="00795F17" w:rsidRDefault="007F5A39" w:rsidP="0044393D">
      <w:r w:rsidRPr="00795F17">
        <w:t>Celem podjętej współpracy jest wykorzystanie doświadczenia i potencjału naukowego oraz</w:t>
      </w:r>
      <w:r w:rsidR="001332EE">
        <w:t> </w:t>
      </w:r>
      <w:r w:rsidRPr="00795F17">
        <w:t>dydaktycznego uniwersytetu, a także potencjału inżynierskiego i merytorycznego RZGW WP w</w:t>
      </w:r>
      <w:r w:rsidR="005B1055" w:rsidRPr="00795F17">
        <w:t> </w:t>
      </w:r>
      <w:r w:rsidRPr="00795F17">
        <w:t>Gliwicach. Wśród przewidywanych kierunków współpracy podjętej przez instytucje wymienić należy m.in. wzajemne prezentowanie i propagowanie wspólnych osiągnięć w kraju oraz poza jego granicami</w:t>
      </w:r>
      <w:r w:rsidR="00BD7E5F">
        <w:t xml:space="preserve">, </w:t>
      </w:r>
      <w:r w:rsidRPr="00795F17">
        <w:t>wymianę informacji i doświadczeń pomiędzy kadrą obydwu jednostek. Wspólne działania obejmować będą także wykonywanie opinii, ekspertyz lub opracowań, organizowanie konferencji naukowo-technicznych, seminariów, kursów i szkoleń</w:t>
      </w:r>
      <w:r w:rsidR="0013752E">
        <w:t xml:space="preserve">, </w:t>
      </w:r>
      <w:r w:rsidRPr="00795F17">
        <w:t xml:space="preserve">współdziałanie w zakresie realizacji praktyk studenckich i zatrudniania absolwentów. Współpraca Uniwersytetu z </w:t>
      </w:r>
      <w:r w:rsidR="0028234C" w:rsidRPr="00795F17">
        <w:t>PGW WP</w:t>
      </w:r>
      <w:r w:rsidRPr="00795F17">
        <w:t xml:space="preserve"> to szansa na</w:t>
      </w:r>
      <w:r w:rsidR="005B1055" w:rsidRPr="00795F17">
        <w:t> </w:t>
      </w:r>
      <w:r w:rsidRPr="00795F17">
        <w:t>przygotowanie i realizację projektów badawczych oraz badawczo-rozwojowych związanych z gospodarowaniem wodami, zmianami klimatu, wdrażaniem nowoczesnych rozwiązań w gospodarce wodnej. Współpraca ta jest niezwykle ważna, szczególnie w dobie zmian klimatu, gdzie wdrażanie nowoczesnego, opartego na wiedzy, systemu gospodarowania zasobami wodnymi może łagodzić /ograniczać skutki zmian klimatu.</w:t>
      </w:r>
    </w:p>
    <w:p w14:paraId="3F7DFE32" w14:textId="7C748D49" w:rsidR="00354E91" w:rsidRPr="00795F17" w:rsidRDefault="00354E91" w:rsidP="00117E86">
      <w:pPr>
        <w:pStyle w:val="Listapunktowana2"/>
      </w:pPr>
      <w:r w:rsidRPr="00795F17">
        <w:t xml:space="preserve">Deklaracja wspólnego działania w ramach Lasu Modelowego w Obornikach oraz realizacji założeń </w:t>
      </w:r>
      <w:r w:rsidRPr="00DE5059">
        <w:t>Planu Strategicznego na lata 2015</w:t>
      </w:r>
      <w:r w:rsidR="00555F1C" w:rsidRPr="00DE5059">
        <w:t>–</w:t>
      </w:r>
      <w:r w:rsidRPr="00DE5059">
        <w:t>2022</w:t>
      </w:r>
      <w:r w:rsidRPr="00795F17">
        <w:t xml:space="preserve"> (aneks </w:t>
      </w:r>
      <w:r w:rsidR="001602B3">
        <w:t>–</w:t>
      </w:r>
      <w:r w:rsidRPr="00795F17">
        <w:t xml:space="preserve"> 22.06.2020 r.)</w:t>
      </w:r>
    </w:p>
    <w:p w14:paraId="2407FE59" w14:textId="75BD7F78" w:rsidR="00E81614" w:rsidRPr="00795F17" w:rsidRDefault="00E81614" w:rsidP="0044393D">
      <w:r w:rsidRPr="00795F17">
        <w:t>W ramach programu</w:t>
      </w:r>
      <w:r w:rsidR="005559AB" w:rsidRPr="00795F17">
        <w:t xml:space="preserve"> „</w:t>
      </w:r>
      <w:r w:rsidRPr="00795F17">
        <w:t>Lasu Modelowego w Obornikach</w:t>
      </w:r>
      <w:r w:rsidR="005559AB" w:rsidRPr="00795F17">
        <w:t>”</w:t>
      </w:r>
      <w:r w:rsidRPr="00795F17">
        <w:t xml:space="preserve"> zrzeszono na mocy porozumienia </w:t>
      </w:r>
      <w:r w:rsidR="001602B3">
        <w:t>–</w:t>
      </w:r>
      <w:r w:rsidRPr="00795F17">
        <w:t xml:space="preserve"> deklaracji uczestnictwa, urzędy, podmioty, jednostki, osoby prywatne, które mają bezpośredni związek z</w:t>
      </w:r>
      <w:r w:rsidR="005559AB" w:rsidRPr="00795F17">
        <w:t> </w:t>
      </w:r>
      <w:r w:rsidRPr="00795F17">
        <w:t xml:space="preserve">obszarem, na którym aktywowano program. Z uwagi na występowanie na obszarze Lasu Modelowego dwóch rzek Wełny i Flinty, do uczestnictwa w programie zaproszono również ówczesnego zarządcę tych cieków tj. Wielkopolski Zarząd Melioracji i Urządzeń Wodnych w Poznaniu </w:t>
      </w:r>
      <w:r w:rsidR="006461ED" w:rsidRPr="00795F17">
        <w:t>-</w:t>
      </w:r>
      <w:r w:rsidRPr="00795F17">
        <w:t xml:space="preserve"> obecnie RZGW </w:t>
      </w:r>
      <w:r w:rsidR="00354E91" w:rsidRPr="00795F17">
        <w:t xml:space="preserve">WP </w:t>
      </w:r>
      <w:r w:rsidRPr="00795F17">
        <w:t xml:space="preserve">w Poznaniu. </w:t>
      </w:r>
    </w:p>
    <w:p w14:paraId="61B5732C" w14:textId="77777777" w:rsidR="00E81614" w:rsidRPr="00795F17" w:rsidRDefault="00E81614" w:rsidP="0044393D">
      <w:r w:rsidRPr="00795F17">
        <w:t>Plan Strategiczny „Las Modelowy w Obornikach” określa cele:</w:t>
      </w:r>
    </w:p>
    <w:p w14:paraId="09104CD5" w14:textId="6128A297" w:rsidR="00E81614" w:rsidRPr="00795F17" w:rsidRDefault="00583DA3" w:rsidP="000E51C7">
      <w:pPr>
        <w:pStyle w:val="Listapunktowana3"/>
      </w:pPr>
      <w:r>
        <w:t>p</w:t>
      </w:r>
      <w:r w:rsidRPr="00795F17">
        <w:t>oprawa</w:t>
      </w:r>
      <w:r w:rsidR="00E81614" w:rsidRPr="00795F17">
        <w:t xml:space="preserve"> stanu ekologicznego rzeki Wełny i Flinty </w:t>
      </w:r>
      <w:r w:rsidR="00844AC5">
        <w:t xml:space="preserve">oraz </w:t>
      </w:r>
      <w:r w:rsidR="00E81614" w:rsidRPr="00795F17">
        <w:t>zapewnienie im zdolności do</w:t>
      </w:r>
      <w:r w:rsidR="00435693" w:rsidRPr="00795F17">
        <w:t> </w:t>
      </w:r>
      <w:r w:rsidR="00E81614" w:rsidRPr="00795F17">
        <w:t>samooczyszczania</w:t>
      </w:r>
      <w:r>
        <w:t>;</w:t>
      </w:r>
    </w:p>
    <w:p w14:paraId="516045CB" w14:textId="625D1A30" w:rsidR="00E81614" w:rsidRPr="00795F17" w:rsidRDefault="00583DA3" w:rsidP="000E51C7">
      <w:pPr>
        <w:pStyle w:val="Listapunktowana3"/>
      </w:pPr>
      <w:r>
        <w:t>p</w:t>
      </w:r>
      <w:r w:rsidRPr="00795F17">
        <w:t xml:space="preserve">oprawa </w:t>
      </w:r>
      <w:r w:rsidR="00E81614" w:rsidRPr="00795F17">
        <w:t>warunków rozrodu ryb i wzmocnienie ich populacji</w:t>
      </w:r>
      <w:r>
        <w:t>;</w:t>
      </w:r>
    </w:p>
    <w:p w14:paraId="75626259" w14:textId="635A7C27" w:rsidR="00E81614" w:rsidRPr="00795F17" w:rsidRDefault="00583DA3" w:rsidP="000E51C7">
      <w:pPr>
        <w:pStyle w:val="Listapunktowana3"/>
      </w:pPr>
      <w:r>
        <w:t>p</w:t>
      </w:r>
      <w:r w:rsidRPr="00795F17">
        <w:t>oprawa</w:t>
      </w:r>
      <w:r w:rsidR="00E81614" w:rsidRPr="00795F17">
        <w:t xml:space="preserve"> bilansu wodnego poprzez szczegółowe rozpoznanie hydrologiczne na terenach zlewni rzeki Wełny i Flinty w tym obszarze</w:t>
      </w:r>
      <w:r>
        <w:t>;</w:t>
      </w:r>
    </w:p>
    <w:p w14:paraId="5A63D5DC" w14:textId="5835DF11" w:rsidR="00E81614" w:rsidRPr="00795F17" w:rsidRDefault="00583DA3" w:rsidP="000E51C7">
      <w:pPr>
        <w:pStyle w:val="Listapunktowana3"/>
      </w:pPr>
      <w:r>
        <w:t>z</w:t>
      </w:r>
      <w:r w:rsidRPr="00795F17">
        <w:t>mniejszenie</w:t>
      </w:r>
      <w:r w:rsidR="00E81614" w:rsidRPr="00795F17">
        <w:t xml:space="preserve"> presji wywoływanej przez człowieka na ekosystemy leśne i wodne poprzez wypracowanie i uzgodnienie określonych koncepcji postępowania</w:t>
      </w:r>
      <w:r>
        <w:t>;</w:t>
      </w:r>
    </w:p>
    <w:p w14:paraId="4310378E" w14:textId="2A1CCB08" w:rsidR="00E81614" w:rsidRPr="00795F17" w:rsidRDefault="00583DA3" w:rsidP="000E51C7">
      <w:pPr>
        <w:pStyle w:val="Listapunktowana3"/>
      </w:pPr>
      <w:r>
        <w:t>p</w:t>
      </w:r>
      <w:r w:rsidRPr="00795F17">
        <w:t>oprawa</w:t>
      </w:r>
      <w:r w:rsidR="00E81614" w:rsidRPr="00795F17">
        <w:t xml:space="preserve"> świadomości społecznej, komunikacji i integracji między zainteresowanymi stronami poprzez rozpowszechnianie określonych informacji, cykliczne spotkania i wzajemne uzgodnienia określonych decyzji</w:t>
      </w:r>
      <w:r>
        <w:t>;</w:t>
      </w:r>
    </w:p>
    <w:p w14:paraId="60302C3C" w14:textId="2DA5B68B" w:rsidR="00E81614" w:rsidRPr="00795F17" w:rsidRDefault="00583DA3" w:rsidP="000E51C7">
      <w:pPr>
        <w:pStyle w:val="Listapunktowana3"/>
      </w:pPr>
      <w:r>
        <w:t>s</w:t>
      </w:r>
      <w:r w:rsidRPr="00795F17">
        <w:t xml:space="preserve">tworzenie </w:t>
      </w:r>
      <w:r w:rsidR="00E81614" w:rsidRPr="00795F17">
        <w:t>bazy danych przyrodniczych i hydrologicznych stanowiącej narzędzie wsparcia przy podejmowaniu decyzji.</w:t>
      </w:r>
    </w:p>
    <w:p w14:paraId="7F8C47A8" w14:textId="0137DB1B" w:rsidR="008E4292" w:rsidRPr="00795F17" w:rsidRDefault="008E4292" w:rsidP="00117E86">
      <w:pPr>
        <w:pStyle w:val="Listapunktowana2"/>
      </w:pPr>
      <w:r w:rsidRPr="00795F17">
        <w:t xml:space="preserve">Inicjatywy </w:t>
      </w:r>
      <w:r w:rsidR="0030120A" w:rsidRPr="00795F17">
        <w:t>dotyczące współpracy dla utrzymania porządku na obiektach hydrotechnicznych</w:t>
      </w:r>
      <w:r w:rsidR="008B3A83" w:rsidRPr="00795F17">
        <w:t xml:space="preserve"> i</w:t>
      </w:r>
      <w:r w:rsidR="00435693" w:rsidRPr="00795F17">
        <w:t> </w:t>
      </w:r>
      <w:r w:rsidR="008B3A83" w:rsidRPr="00795F17">
        <w:t>terenach nadrzecznych</w:t>
      </w:r>
      <w:r w:rsidR="001C60D4">
        <w:t>.</w:t>
      </w:r>
    </w:p>
    <w:p w14:paraId="448F2B64" w14:textId="39B9E967" w:rsidR="008E4292" w:rsidRPr="00795F17" w:rsidRDefault="008E4292" w:rsidP="0044393D">
      <w:bookmarkStart w:id="957" w:name="_Toc66272293"/>
      <w:r w:rsidRPr="00795F17">
        <w:t>Wody Polskie podejmują szereg działań dotyczących utrzymania czystości i porządku na obiektach hydrotechnicznych i terenach nadrzecznych oraz w sąsiedztwie zbiorników wodnych. Dodatkowo, w</w:t>
      </w:r>
      <w:r w:rsidR="005B1055" w:rsidRPr="00795F17">
        <w:t> </w:t>
      </w:r>
      <w:r w:rsidRPr="00795F17">
        <w:t>ramach dobrych praktyk, poszczególne Zarządy Zlewni na administrowanym terenie współpracują z</w:t>
      </w:r>
      <w:r w:rsidR="005B1055" w:rsidRPr="00795F17">
        <w:t> </w:t>
      </w:r>
      <w:r w:rsidRPr="00795F17">
        <w:t>samorządami również w zakresie prac na wałach przeciwpowodziowych czy nabrzeżach akwenów, które są popularnymi miejscami rekreacji dla mieszkańców całego regionu.</w:t>
      </w:r>
      <w:r w:rsidR="0030120A" w:rsidRPr="00795F17">
        <w:t xml:space="preserve"> </w:t>
      </w:r>
      <w:r w:rsidRPr="00795F17">
        <w:t xml:space="preserve">Od momentu utworzenia </w:t>
      </w:r>
      <w:r w:rsidR="0028234C" w:rsidRPr="00795F17">
        <w:t>PGW WP</w:t>
      </w:r>
      <w:r w:rsidRPr="00795F17">
        <w:t xml:space="preserve">, czyli od 1 stycznia 2018 roku, na obszarze </w:t>
      </w:r>
      <w:r w:rsidR="0030120A" w:rsidRPr="00795F17">
        <w:t>RZGW WP</w:t>
      </w:r>
      <w:r w:rsidRPr="00795F17">
        <w:t xml:space="preserve"> we Wrocławiu porozumienia w sprawie określenia warunków technicznych i finansowych dotyczących stałego utrzymania porządku i czystości w bezpośrednim sąsiedztwie rzek i akwenów zawarto już z ponad 30 lokalnymi gminami. Dzięki temu, w ramach dobrych praktyk, w wielu regionach Polski południowo-zachodniej samorządy finansują bądź partycypują w kosztach zadań prac utrzymaniowych czy remontowych, służących lokalnej społeczności. Część umów podpisywana jest długo</w:t>
      </w:r>
      <w:r w:rsidR="001C69EB">
        <w:t>terminow</w:t>
      </w:r>
      <w:r w:rsidR="00DB3F0C">
        <w:t>o</w:t>
      </w:r>
      <w:r w:rsidRPr="00795F17">
        <w:t>.</w:t>
      </w:r>
    </w:p>
    <w:p w14:paraId="1D5A5387" w14:textId="155B5270" w:rsidR="005374A5" w:rsidRPr="00795F17" w:rsidRDefault="0084311B" w:rsidP="00BA6B41">
      <w:pPr>
        <w:pStyle w:val="Nagwek1"/>
      </w:pPr>
      <w:bookmarkStart w:id="958" w:name="_Toc66347837"/>
      <w:r>
        <w:br w:type="column"/>
      </w:r>
      <w:bookmarkStart w:id="959" w:name="_Toc105512730"/>
      <w:r w:rsidR="005374A5" w:rsidRPr="00795F17">
        <w:t xml:space="preserve">Warunki potwierdzenia ważności pomiarów lub badań w monitoringu </w:t>
      </w:r>
      <w:r w:rsidR="00DF005E">
        <w:t>JCWP</w:t>
      </w:r>
      <w:r w:rsidR="005374A5" w:rsidRPr="00795F17">
        <w:t xml:space="preserve"> i </w:t>
      </w:r>
      <w:r w:rsidR="00DF005E">
        <w:t>JCWP</w:t>
      </w:r>
      <w:r w:rsidR="005374A5" w:rsidRPr="00795F17">
        <w:t>d</w:t>
      </w:r>
      <w:bookmarkEnd w:id="957"/>
      <w:bookmarkEnd w:id="958"/>
      <w:bookmarkEnd w:id="959"/>
      <w:r w:rsidR="005374A5" w:rsidRPr="00795F17">
        <w:t xml:space="preserve"> </w:t>
      </w:r>
    </w:p>
    <w:p w14:paraId="0F2D327E" w14:textId="3500101E" w:rsidR="00906C8E" w:rsidRPr="00795F17" w:rsidRDefault="00906C8E" w:rsidP="0044393D">
      <w:r w:rsidRPr="00795F17">
        <w:t xml:space="preserve">Zapewnienie możliwie najwyższej wiarygodności </w:t>
      </w:r>
      <w:r w:rsidR="00EE3290" w:rsidRPr="00795F17">
        <w:t xml:space="preserve">wynikom badań monitoringowych jest działaniem priorytetowym, ponieważ </w:t>
      </w:r>
      <w:r w:rsidRPr="00795F17">
        <w:t>stanowi</w:t>
      </w:r>
      <w:r w:rsidR="00EE3290" w:rsidRPr="00795F17">
        <w:t>ą one</w:t>
      </w:r>
      <w:r w:rsidRPr="00795F17">
        <w:t xml:space="preserve"> podstawę dokonywanych analiz i ocen stanu środowiska. </w:t>
      </w:r>
    </w:p>
    <w:p w14:paraId="53F6BDC0" w14:textId="6275B123" w:rsidR="00906C8E" w:rsidRPr="00795F17" w:rsidRDefault="00906C8E" w:rsidP="0044393D">
      <w:r w:rsidRPr="00795F17">
        <w:t xml:space="preserve">Badania i pomiary w ramach monitoringu </w:t>
      </w:r>
      <w:r w:rsidR="00DF005E">
        <w:t>JCWP</w:t>
      </w:r>
      <w:r w:rsidRPr="00795F17">
        <w:t xml:space="preserve"> i </w:t>
      </w:r>
      <w:r w:rsidR="00DF005E">
        <w:t>JCWP</w:t>
      </w:r>
      <w:r w:rsidRPr="00795F17">
        <w:t>d prowadzone są zgodnie z wymogami potwierdzenia ich ważności zawartymi w r.m.jcw określającym następujące warunki:</w:t>
      </w:r>
    </w:p>
    <w:p w14:paraId="3BDA4E82" w14:textId="77777777" w:rsidR="00906C8E" w:rsidRPr="00795F17" w:rsidRDefault="00906C8E" w:rsidP="002757E9">
      <w:pPr>
        <w:pStyle w:val="Numerowanie"/>
        <w:numPr>
          <w:ilvl w:val="0"/>
          <w:numId w:val="66"/>
        </w:numPr>
      </w:pPr>
      <w:r w:rsidRPr="00795F17">
        <w:t xml:space="preserve">dwustopniowy system potwierdzania ważności badań obejmujący: </w:t>
      </w:r>
    </w:p>
    <w:p w14:paraId="4102B050" w14:textId="2C3BD6A8" w:rsidR="00906C8E" w:rsidRPr="00795F17" w:rsidRDefault="00906C8E" w:rsidP="00117E86">
      <w:pPr>
        <w:pStyle w:val="Listapunktowana2"/>
      </w:pPr>
      <w:r w:rsidRPr="00795F17">
        <w:t>monitorowanie ważności wyników badań i pomiarów oraz prawidłowości pobierania próbek w</w:t>
      </w:r>
      <w:r w:rsidR="001332EE">
        <w:t> </w:t>
      </w:r>
      <w:r w:rsidRPr="00795F17">
        <w:t xml:space="preserve">ramach bieżącej działalności laboratoryjnej, </w:t>
      </w:r>
    </w:p>
    <w:p w14:paraId="1F32B3CC" w14:textId="77777777" w:rsidR="00906C8E" w:rsidRPr="00795F17" w:rsidRDefault="00906C8E" w:rsidP="00117E86">
      <w:pPr>
        <w:pStyle w:val="Listapunktowana2"/>
      </w:pPr>
      <w:r w:rsidRPr="00795F17">
        <w:t>uczestnictwo w badaniach biegłości lub uczestnictwo w innych porównaniach międzylaboratoryjnych, nie rzadziej niż raz na 4 lata;</w:t>
      </w:r>
    </w:p>
    <w:p w14:paraId="77285E91" w14:textId="77777777" w:rsidR="00906C8E" w:rsidRPr="00795F17" w:rsidRDefault="00906C8E" w:rsidP="005B1055">
      <w:pPr>
        <w:pStyle w:val="Numerowanie"/>
      </w:pPr>
      <w:r w:rsidRPr="00795F17">
        <w:t>zapewnienie jakości i porównywalności wyników analiz zgodnie z międzynarodowymi standardami;</w:t>
      </w:r>
    </w:p>
    <w:p w14:paraId="62C0C920" w14:textId="77777777" w:rsidR="00906C8E" w:rsidRPr="00795F17" w:rsidRDefault="00906C8E" w:rsidP="005B1055">
      <w:pPr>
        <w:pStyle w:val="Numerowanie"/>
      </w:pPr>
      <w:r w:rsidRPr="00795F17">
        <w:t>wdrożenie systemu zarządzania jakością obejmującego wszystkie etapy prowadzenia pomiarów lub badań, a w szczególności: poboru, utrwalania, transportu próbek, przechowywania próbek przed oddaniem ich do laboratorium, wykonywania oznaczeń fizykochemicznych, instrumentalnych lub taksonomicznych;</w:t>
      </w:r>
    </w:p>
    <w:p w14:paraId="18F0B28F" w14:textId="77777777" w:rsidR="00906C8E" w:rsidRPr="00795F17" w:rsidRDefault="00906C8E" w:rsidP="005B1055">
      <w:pPr>
        <w:pStyle w:val="Numerowanie"/>
      </w:pPr>
      <w:r w:rsidRPr="00795F17">
        <w:t>stosowanie do badań i pomiarów, realizowanych w ramach monitoringu jcw, metodyk referencyjnych zawartych w r.m.jcw oraz zapewnienie walidacji i dokumentowania wszystkich metod analizy stosowanych w programach monitorowania stanu wód;</w:t>
      </w:r>
    </w:p>
    <w:p w14:paraId="64FEDAEF" w14:textId="0EA6B464" w:rsidR="00906C8E" w:rsidRPr="00795F17" w:rsidRDefault="00906C8E" w:rsidP="005B1055">
      <w:pPr>
        <w:pStyle w:val="Numerowanie"/>
      </w:pPr>
      <w:r w:rsidRPr="00795F17">
        <w:t>oparcie, w przypadku wszystkich stosowanych metod analizy w zakresie elementów, grup wskaźników lub poszczególnych wskaźników fizykochemicznych bądź chemicznych, minimalnych kryteriów w zakresie wyników, na niepewności pomiaru równej lub mniejszej 50%, szacowanej na poziomie odpowiednich norm lub wartości granicznych albo środowiskowych norm jakości oraz</w:t>
      </w:r>
      <w:r w:rsidR="001332EE">
        <w:t> </w:t>
      </w:r>
      <w:r w:rsidRPr="00795F17">
        <w:t>zapewnienie, że granica oznaczalności nie przekracza wartości 30% tych norm, wartości granicznych lub środowiskowych norm jakości;</w:t>
      </w:r>
    </w:p>
    <w:p w14:paraId="2021EB80" w14:textId="2C630D23" w:rsidR="00906C8E" w:rsidRPr="00795F17" w:rsidRDefault="00906C8E" w:rsidP="005B1055">
      <w:pPr>
        <w:pStyle w:val="Numerowanie"/>
      </w:pPr>
      <w:r w:rsidRPr="00795F17">
        <w:t>dopuszczenie przekroczenia wartości granicy oznaczalności równej 30% odpowiednich norm lub wartości granicznych, środowiskowych norm jakości w sytuacji, gdy najlepsze dostępne techniki badawcze nie zapewniają spełnienia wymogów zawartych w punkcie 4 z</w:t>
      </w:r>
      <w:r w:rsidR="005B1055" w:rsidRPr="00795F17">
        <w:t> </w:t>
      </w:r>
      <w:r w:rsidRPr="00795F17">
        <w:t>zastrzeżeniem, aby nie była ona wyższa niż najbardziej rygorystyczna odpowiednia norma lub wartość graniczna bądź środowiskowa norma jakości określona dla danego elementu, grupy wskaźników, czy też danego wskaźnika;</w:t>
      </w:r>
    </w:p>
    <w:p w14:paraId="50545DD3" w14:textId="39677C99" w:rsidR="00906C8E" w:rsidRPr="00795F17" w:rsidRDefault="00906C8E" w:rsidP="005B1055">
      <w:pPr>
        <w:pStyle w:val="Numerowanie"/>
      </w:pPr>
      <w:r w:rsidRPr="00795F17">
        <w:t>prowadzenie, w przypadku gdy dla danego elementu, grupy wskaźników lub danego wskaźnika nie istnieje odpowiednia norma lub wartość graniczna, czy środowiskowa norma jakości, albo</w:t>
      </w:r>
      <w:r w:rsidR="005B1055" w:rsidRPr="00795F17">
        <w:t> </w:t>
      </w:r>
      <w:r w:rsidRPr="00795F17">
        <w:t>nie istnieje metoda analizy spełniająca minimalne kryteria w zakresie warunków określonych w</w:t>
      </w:r>
      <w:r w:rsidR="005B1055" w:rsidRPr="00795F17">
        <w:t> </w:t>
      </w:r>
      <w:r w:rsidRPr="00795F17">
        <w:t>punkcie 5, monitorowania przy wykorzystaniu najlepszych dostępnych technik badawczych zwalidowanych i opisanych w procedurach badawczych, oraz spełniających wymóg pozytywnych wyników badań biegłości lub porównań międzylaboratoryjnych;</w:t>
      </w:r>
    </w:p>
    <w:p w14:paraId="4FA036B3" w14:textId="6EFBC304" w:rsidR="00906C8E" w:rsidRPr="00795F17" w:rsidRDefault="00906C8E" w:rsidP="005B1055">
      <w:pPr>
        <w:pStyle w:val="Numerowanie"/>
      </w:pPr>
      <w:r w:rsidRPr="00795F17">
        <w:t>podawanie, wraz z wynikami pomiarów lub badań, szacowanych poziomów ufności, niepewności i</w:t>
      </w:r>
      <w:r w:rsidR="00434A3E">
        <w:t> </w:t>
      </w:r>
      <w:r w:rsidRPr="00795F17">
        <w:t>dokładności wyników dla elementów fizykochemicznych, chemicznych i</w:t>
      </w:r>
      <w:r w:rsidR="005B1055" w:rsidRPr="00795F17">
        <w:t> </w:t>
      </w:r>
      <w:r w:rsidRPr="00795F17">
        <w:t>biologicznych.</w:t>
      </w:r>
    </w:p>
    <w:p w14:paraId="505F6311" w14:textId="5374B6E0" w:rsidR="00906C8E" w:rsidRPr="00795F17" w:rsidRDefault="00906C8E" w:rsidP="0044393D">
      <w:r w:rsidRPr="00795F17">
        <w:t xml:space="preserve">W monitoringu </w:t>
      </w:r>
      <w:r w:rsidR="00DF005E">
        <w:t>JCWP</w:t>
      </w:r>
      <w:r w:rsidRPr="00795F17">
        <w:t xml:space="preserve"> i </w:t>
      </w:r>
      <w:r w:rsidR="00DF005E">
        <w:t>JCWP</w:t>
      </w:r>
      <w:r w:rsidRPr="00795F17">
        <w:t>d stosowane są metodyki referencyjne pomiarów i badań zawarte w</w:t>
      </w:r>
      <w:r w:rsidR="005B1055" w:rsidRPr="00795F17">
        <w:t> </w:t>
      </w:r>
      <w:r w:rsidRPr="00795F17">
        <w:t xml:space="preserve">załączniku nr 7 do r.m.jcw. </w:t>
      </w:r>
    </w:p>
    <w:p w14:paraId="0A07068F" w14:textId="452E3D6F" w:rsidR="00906C8E" w:rsidRPr="00795F17" w:rsidRDefault="00906C8E" w:rsidP="0044393D">
      <w:r w:rsidRPr="00795F17">
        <w:t>W przypadku wód podziemnych, system zarządzania jakością w monitoringu realizowany jest zgodnie z przyjętymi na poziomie międzynarodowym praktykami systemu zarządzania, określonymi w normie PN-EN ISO/IEC 17025. Potwierdzeniem wdrożenia i funkcjonowania systemu zarządzania jest akredytacja PIG-PIB nr AB283 udzielona przez Polskie Centrum Akredytacji (dalej PCA). Obejmuje ona zarówno etap pobierania próbek, badania właściwości fizycznych wody wykonywanych w terenie przez Zespół Poboru Próbek Środowiskowych (ZPPŚ) PIG-PIB</w:t>
      </w:r>
      <w:r w:rsidRPr="00795F17" w:rsidDel="00044F65">
        <w:t xml:space="preserve"> </w:t>
      </w:r>
      <w:r w:rsidRPr="00795F17">
        <w:t xml:space="preserve">jak i badania fizykochemiczne w Laboratorium Chemicznym (LCh) PIG-PIB. Prace monitoringowe objęte systemem zarządzania i kontroli jakości mają zapewniony 2 etapowy system kontrolny </w:t>
      </w:r>
      <w:r w:rsidR="003C019C">
        <w:t>–</w:t>
      </w:r>
      <w:r w:rsidRPr="00795F17">
        <w:t xml:space="preserve"> etap pierwszy obejmujący kontrolę wewnętrzną oraz etap drugi </w:t>
      </w:r>
      <w:r w:rsidR="001602B3">
        <w:t>–</w:t>
      </w:r>
      <w:r w:rsidRPr="00795F17">
        <w:t xml:space="preserve"> system kontroli zewnętrznej. System zarządzania i kontroli wewnętrznej jest realizowany poprzez Terenowy Program Kontroli Jakości (opróbowanie i analiza statystyczna wyników próbek kontrolnych), realizacja auditów wewnętrznych, wykorzystanie CRM (certyfikowane materiały odniesienia) oraz zapewnienie spójności pomiarowej zgodnie z przyjętymi na poziomie międzynarodowym standardami (wytyczne normy ISO/IEC 17025). Etap drugi </w:t>
      </w:r>
      <w:r w:rsidR="001602B3">
        <w:t>–</w:t>
      </w:r>
      <w:r w:rsidRPr="00795F17">
        <w:t xml:space="preserve"> system kontroli zewnętrznej </w:t>
      </w:r>
      <w:r w:rsidR="001602B3">
        <w:t>–</w:t>
      </w:r>
      <w:r w:rsidRPr="00795F17">
        <w:t xml:space="preserve"> realizowany jest poprzez coroczne oceny jednostki certyfikującej (PCA) oraz udział w</w:t>
      </w:r>
      <w:r w:rsidR="005B1055" w:rsidRPr="00795F17">
        <w:t> </w:t>
      </w:r>
      <w:r w:rsidRPr="00795F17">
        <w:t xml:space="preserve">PT/ILC (badania biegłości i porównania międzylaboratoryjne). </w:t>
      </w:r>
    </w:p>
    <w:p w14:paraId="4A93556B" w14:textId="77777777" w:rsidR="00906C8E" w:rsidRPr="00795F17" w:rsidRDefault="00906C8E" w:rsidP="0044393D">
      <w:r w:rsidRPr="00795F17">
        <w:t>Zapewnienie jakości i porównywalności wyników określonych w normie PN-EN ISO/IEC 17025 obejmuje wszystkie etapy prowadzenia pomiarów, począwszy od pobierania próbek, poprzez ich utrwalenie, transport, przechowywanie i wykonanie oznaczeń laboratoryjnych. Szereg wymagań niezbędnych do prawidłowego pobierania próbek jak i uzyskania wiarygodnych wyników uwzględniono w procedurach badawczych i instrukcjach wykonawczych do norm, które są na bieżąco aktualizowane. Wszystkie etapy prowadzonych badań są dokumentowane na odpowiednio przygotowanych formularzach.</w:t>
      </w:r>
    </w:p>
    <w:p w14:paraId="7E7579B5" w14:textId="289885EB" w:rsidR="00906C8E" w:rsidRPr="00795F17" w:rsidRDefault="00906C8E" w:rsidP="0044393D">
      <w:r w:rsidRPr="00795F17">
        <w:t>Laboratorium LCh posiada akredytację na oznaczenia 94 ze 100 wskaźników jakości wody, które są</w:t>
      </w:r>
      <w:r w:rsidR="005B1055" w:rsidRPr="00795F17">
        <w:t> </w:t>
      </w:r>
      <w:r w:rsidRPr="00795F17">
        <w:t>badane w ramach monitoringu chemicznego wód podziemnych co jest gwarancją miarodajności uzyskanych wyników oznaczeń poszczególnych wskaźników. Badania nieakredytowane dotyczą cyjanków wolnych, indeksu fenolowego oraz pestycydów triazynowych: symazyny, atrazyny, propazyny i prometryny. Zespół Poboru Próbek Środowiskowych PIG-PIB posiada akredytację na</w:t>
      </w:r>
      <w:r w:rsidR="005B1055" w:rsidRPr="00795F17">
        <w:t> </w:t>
      </w:r>
      <w:r w:rsidRPr="00795F17">
        <w:t>pobieranie próbek do badań chemicznych i fizycznych oraz badania: temperatury wody, poziomu lustra wody, pH i przewodności elektrolitycznej właściwej. Metodą nieakredytowaną jest pomiar tlenu rozpuszczonego.</w:t>
      </w:r>
    </w:p>
    <w:p w14:paraId="7BCB00F2" w14:textId="58B18694" w:rsidR="00906C8E" w:rsidRPr="00795F17" w:rsidRDefault="00906C8E" w:rsidP="0044393D">
      <w:r w:rsidRPr="00795F17">
        <w:t>Granice oznaczalności dla wszystkich wskaźników fizykochemicznych nie przekraczają 30% norm jakości środowiska, rozumianych jako wartości progowe dobrego stanu chemicznego wód podziemnych, natomiast szacowane niepewności pomiarów nie są wyższe niż 50%. Granice oznaczalności metod analitycznych dla wskaźników fizykochemicznych są dostosowane do wymogów krajowych i umożliwiają ocenę jakości wód podziemnych badanych próbek w zakresie klas jakości I</w:t>
      </w:r>
      <w:r w:rsidR="004E4641">
        <w:t> </w:t>
      </w:r>
      <w:r w:rsidR="00DA65DF" w:rsidRPr="00795F17">
        <w:t>-</w:t>
      </w:r>
      <w:r w:rsidR="004E4641">
        <w:t> </w:t>
      </w:r>
      <w:r w:rsidRPr="00795F17">
        <w:t>V. W przypadku związków organicznych dla dwóch wskaźników: dichlorfosu i parationu etylowego, podawana jest niepewność rozszerzona wyników, przy założonym poziomie ufności 95% i</w:t>
      </w:r>
      <w:r w:rsidR="005B1055" w:rsidRPr="00795F17">
        <w:t> </w:t>
      </w:r>
      <w:r w:rsidRPr="00795F17">
        <w:t>współczynniku rozszerzenia k=2, odpowiednio 65% i 57%. Natomiast dla pestycydów triazynowych, metoksychloru i benzo[a]pirenu granica oznaczalności przekracza wartość 30% wartości progowych dobrego stanu chemicznego wód podziemnych. Obecne możliwości analityczne laboratorium nie</w:t>
      </w:r>
      <w:r w:rsidR="007C19AE">
        <w:t> </w:t>
      </w:r>
      <w:r w:rsidRPr="00795F17">
        <w:t xml:space="preserve">pozwalają na obniżenie wyżej wymienionych parametrów związków organicznych. </w:t>
      </w:r>
    </w:p>
    <w:p w14:paraId="35F04F35" w14:textId="2D84BF0C" w:rsidR="00906C8E" w:rsidRPr="00795F17" w:rsidRDefault="00906C8E" w:rsidP="0044393D">
      <w:r w:rsidRPr="00795F17">
        <w:t xml:space="preserve">Jedynie oznaczenie wskaźnika TOC (ogólny węgiel organiczny) nie jest wykonywane metodą referencyjną, pozostałe 43 elementów fizykochemicznych i 60 elementów organicznych są badane metodami odniesienia opisanymi w r.m.jcw </w:t>
      </w:r>
      <w:r w:rsidR="001602B3">
        <w:t>–</w:t>
      </w:r>
      <w:r w:rsidRPr="00795F17">
        <w:t xml:space="preserve"> załącznik </w:t>
      </w:r>
      <w:r w:rsidR="00224472" w:rsidRPr="00795F17">
        <w:t xml:space="preserve">nr </w:t>
      </w:r>
      <w:r w:rsidRPr="00795F17">
        <w:t>7</w:t>
      </w:r>
      <w:r w:rsidRPr="00795F17">
        <w:rPr>
          <w:i/>
        </w:rPr>
        <w:t>.</w:t>
      </w:r>
    </w:p>
    <w:p w14:paraId="5F1B7181" w14:textId="6A93E5E2" w:rsidR="00906C8E" w:rsidRDefault="00906C8E" w:rsidP="0044393D">
      <w:r w:rsidRPr="00795F17">
        <w:t>Wyniki pomiarów podawane są wraz z niepewnością, dokładnością i szacowanym poziomem ufności.</w:t>
      </w:r>
    </w:p>
    <w:p w14:paraId="46E6FE98" w14:textId="26C1F1D9" w:rsidR="000E51C7" w:rsidRDefault="000E51C7">
      <w:pPr>
        <w:suppressAutoHyphens w:val="0"/>
        <w:spacing w:before="0" w:after="0"/>
        <w:jc w:val="left"/>
      </w:pPr>
      <w:r>
        <w:br w:type="page"/>
      </w:r>
    </w:p>
    <w:p w14:paraId="32D946D7" w14:textId="78533748" w:rsidR="005374A5" w:rsidRPr="00795F17" w:rsidRDefault="005374A5" w:rsidP="00BA6B41">
      <w:pPr>
        <w:pStyle w:val="Nagwek1"/>
      </w:pPr>
      <w:bookmarkStart w:id="960" w:name="_Toc66272294"/>
      <w:bookmarkStart w:id="961" w:name="_Toc66347838"/>
      <w:bookmarkStart w:id="962" w:name="_Toc105512731"/>
      <w:r w:rsidRPr="00795F17">
        <w:t>Uzasadnienie częstotliwości prowadzenia monitoringu substancji priorytetowych określonej w przepisach wydanych na podstawie art.</w:t>
      </w:r>
      <w:r w:rsidR="008A739A" w:rsidRPr="00795F17">
        <w:t> </w:t>
      </w:r>
      <w:r w:rsidRPr="00795F17">
        <w:t xml:space="preserve">350 ust. 1 </w:t>
      </w:r>
      <w:bookmarkEnd w:id="960"/>
      <w:bookmarkEnd w:id="961"/>
      <w:r w:rsidR="00445E5E" w:rsidRPr="00795F17">
        <w:t>ustawy</w:t>
      </w:r>
      <w:r w:rsidR="001B6CF6">
        <w:t xml:space="preserve"> –</w:t>
      </w:r>
      <w:r w:rsidR="00445E5E" w:rsidRPr="00795F17">
        <w:t xml:space="preserve"> Prawo wodne</w:t>
      </w:r>
      <w:bookmarkEnd w:id="962"/>
    </w:p>
    <w:p w14:paraId="02E47052" w14:textId="77777777" w:rsidR="000205E2" w:rsidRPr="00795F17" w:rsidRDefault="000205E2" w:rsidP="0044393D">
      <w:pPr>
        <w:pStyle w:val="Nagwek5"/>
      </w:pPr>
      <w:r w:rsidRPr="00795F17">
        <w:t>Warunki prowadzenia monitoringu substancji priorytetowych w wodach powierzchniowych</w:t>
      </w:r>
    </w:p>
    <w:p w14:paraId="10B5BAAE" w14:textId="5C1C5A66" w:rsidR="000205E2" w:rsidRPr="00795F17" w:rsidRDefault="000205E2" w:rsidP="0044393D">
      <w:r w:rsidRPr="00795F17">
        <w:t xml:space="preserve">Zakres i częstotliwość badań wskaźników </w:t>
      </w:r>
      <w:r w:rsidR="00DF005E">
        <w:t>JCWP</w:t>
      </w:r>
      <w:r w:rsidRPr="00795F17">
        <w:t xml:space="preserve"> w punktach pomiarowo-kontrolnych określana jest na podstawie przepisów dotyczących formy i sposobu prowadzenia monitoringu jednolitych części wód. W zakresie badania substancji priorytetowych dla fauny i flory oraz osadów dennych w nowym cyklu planistycznym, wymogi te precyzują przepisy r.m.jcw. </w:t>
      </w:r>
    </w:p>
    <w:p w14:paraId="26C7643B" w14:textId="71ACBB44" w:rsidR="000205E2" w:rsidRPr="00795F17" w:rsidRDefault="000205E2" w:rsidP="0044393D">
      <w:r w:rsidRPr="00795F17">
        <w:t xml:space="preserve">Zakończony cykl aPGW opierał się na wymaganiach s.r.m (2016). W zakresie </w:t>
      </w:r>
      <w:r w:rsidR="00C12087">
        <w:t>klasyfikacji stanu chemicznego</w:t>
      </w:r>
      <w:r w:rsidRPr="00795F17">
        <w:t xml:space="preserve"> realizowane badania obejmowały wdrażanie wymagań dyrektywy </w:t>
      </w:r>
      <w:r w:rsidR="00852351" w:rsidRPr="00795F17">
        <w:t>2013/39/,</w:t>
      </w:r>
      <w:r w:rsidRPr="00795F17">
        <w:t xml:space="preserve"> w związku z czym uległ zmianie zakres badań grupy wskaźników według rozszerzonej listy substancji priorytetowych, wraz z koniecznością badania stężenia wybranych substancji w biocie. </w:t>
      </w:r>
    </w:p>
    <w:p w14:paraId="4A5CECB2" w14:textId="2F4EABBF" w:rsidR="000205E2" w:rsidRPr="00795F17" w:rsidRDefault="000205E2" w:rsidP="0044393D">
      <w:r w:rsidRPr="00795F17">
        <w:t xml:space="preserve">Normy jakościowe dla substancji priorytetowych ustalone w </w:t>
      </w:r>
      <w:r w:rsidR="00F6708F">
        <w:t>s.</w:t>
      </w:r>
      <w:r w:rsidR="00DF005E">
        <w:t>r.kl.jcwp</w:t>
      </w:r>
      <w:r w:rsidRPr="00795F17">
        <w:t xml:space="preserve"> (2016</w:t>
      </w:r>
      <w:r w:rsidR="0091050B">
        <w:t>, 2019</w:t>
      </w:r>
      <w:r w:rsidRPr="00795F17">
        <w:t xml:space="preserve">) nie zmieniły się istotnie w nowych przepisach wykonawczych z roku </w:t>
      </w:r>
      <w:r w:rsidR="0091050B" w:rsidRPr="00795F17">
        <w:t>20</w:t>
      </w:r>
      <w:r w:rsidR="0091050B">
        <w:t>21</w:t>
      </w:r>
      <w:r w:rsidRPr="00795F17">
        <w:t>.</w:t>
      </w:r>
    </w:p>
    <w:p w14:paraId="69F14A85" w14:textId="77777777" w:rsidR="000205E2" w:rsidRPr="00795F17" w:rsidRDefault="000205E2" w:rsidP="0044393D">
      <w:r w:rsidRPr="00795F17">
        <w:t>Monitoring jednolitych części wód powierzchniowych prowadzony jest w formie:</w:t>
      </w:r>
    </w:p>
    <w:p w14:paraId="68C4B2B2" w14:textId="77777777" w:rsidR="000205E2" w:rsidRPr="00795F17" w:rsidRDefault="000205E2" w:rsidP="00117E86">
      <w:pPr>
        <w:pStyle w:val="Listapunktowana2"/>
      </w:pPr>
      <w:r w:rsidRPr="00795F17">
        <w:t>pomiarów poziomu i objętości lub natężenia przepływu wód w zakresie stosownym dla stanu ekologicznego lub potencjału ekologicznego lub stanu chemicznego;</w:t>
      </w:r>
    </w:p>
    <w:p w14:paraId="5D084375" w14:textId="2C2DFE47" w:rsidR="000205E2" w:rsidRPr="00795F17" w:rsidRDefault="000205E2" w:rsidP="00117E86">
      <w:pPr>
        <w:pStyle w:val="Listapunktowana2"/>
      </w:pPr>
      <w:r w:rsidRPr="00795F17">
        <w:t>badań grup wskaźników lub poszczególnych wskaźników jakości wód m.in. na potrzeby analiz długoterminowych trendów zmian stężeń substancji priorytetowych, o których mowa w</w:t>
      </w:r>
      <w:r w:rsidR="00213B00" w:rsidRPr="00795F17">
        <w:t> </w:t>
      </w:r>
      <w:r w:rsidRPr="00795F17">
        <w:t xml:space="preserve">przepisach wydanych na podstawie art. 114 </w:t>
      </w:r>
      <w:r w:rsidR="0083060B" w:rsidRPr="00795F17">
        <w:t>pr.w.</w:t>
      </w:r>
      <w:r w:rsidRPr="00795F17">
        <w:t>, i innych zanieczyszczeń, dla</w:t>
      </w:r>
      <w:r w:rsidR="00BF3682">
        <w:t> </w:t>
      </w:r>
      <w:r w:rsidRPr="00795F17">
        <w:t>których określa się środowiskowe normy jakości, o których mowa w przepisach wydanych na</w:t>
      </w:r>
      <w:r w:rsidR="00213B00" w:rsidRPr="00795F17">
        <w:t> </w:t>
      </w:r>
      <w:r w:rsidRPr="00795F17">
        <w:t xml:space="preserve">podstawie art. 53 ust. 4 </w:t>
      </w:r>
      <w:r w:rsidR="0083060B" w:rsidRPr="00795F17">
        <w:t>pr.w.</w:t>
      </w:r>
    </w:p>
    <w:p w14:paraId="2110D5D1" w14:textId="4210CBD7" w:rsidR="000205E2" w:rsidRPr="00795F17" w:rsidRDefault="000205E2" w:rsidP="0044393D">
      <w:r w:rsidRPr="00795F17">
        <w:t>Badania grup wskaźników lub poszczególnych wskaźników jakości wód na potrzeby analiz obejmują również elementy chemiczne w biocie lub osadach dennych. Na potrzeby ustalenia stanu wód oraz</w:t>
      </w:r>
      <w:r w:rsidR="00EB154F">
        <w:t> </w:t>
      </w:r>
      <w:r w:rsidRPr="00795F17">
        <w:t>planowania w gospodarowaniu wodami o</w:t>
      </w:r>
      <w:r w:rsidR="00213B00" w:rsidRPr="00795F17">
        <w:t>dpowiada</w:t>
      </w:r>
      <w:r w:rsidRPr="00795F17">
        <w:t xml:space="preserve"> program monitoringu realizowany w</w:t>
      </w:r>
      <w:r w:rsidR="002D044C">
        <w:t> </w:t>
      </w:r>
      <w:r w:rsidRPr="00795F17">
        <w:t xml:space="preserve">ramach: </w:t>
      </w:r>
    </w:p>
    <w:p w14:paraId="1DE78580" w14:textId="7B80A163" w:rsidR="000205E2" w:rsidRPr="00795F17" w:rsidRDefault="000205E2" w:rsidP="00117E86">
      <w:pPr>
        <w:pStyle w:val="Listapunktowana2"/>
      </w:pPr>
      <w:r w:rsidRPr="00795F17">
        <w:t>monitoringu diagnostycznego</w:t>
      </w:r>
      <w:r w:rsidR="006613F9">
        <w:t>;</w:t>
      </w:r>
    </w:p>
    <w:p w14:paraId="55F9396B" w14:textId="10BC4AA1" w:rsidR="000205E2" w:rsidRPr="00795F17" w:rsidRDefault="000205E2" w:rsidP="00117E86">
      <w:pPr>
        <w:pStyle w:val="Listapunktowana2"/>
      </w:pPr>
      <w:r w:rsidRPr="00795F17">
        <w:t>monitoringu operacyjnego</w:t>
      </w:r>
      <w:r w:rsidR="006613F9">
        <w:t>;</w:t>
      </w:r>
      <w:r w:rsidR="006613F9" w:rsidRPr="00795F17">
        <w:t xml:space="preserve"> </w:t>
      </w:r>
    </w:p>
    <w:p w14:paraId="551CA75F" w14:textId="2287B91D" w:rsidR="000205E2" w:rsidRPr="00795F17" w:rsidRDefault="000205E2" w:rsidP="00117E86">
      <w:pPr>
        <w:pStyle w:val="Listapunktowana2"/>
      </w:pPr>
      <w:r w:rsidRPr="00795F17">
        <w:t>monitoringu badawczego</w:t>
      </w:r>
      <w:r w:rsidR="006613F9">
        <w:t>;</w:t>
      </w:r>
      <w:r w:rsidR="006613F9" w:rsidRPr="00795F17">
        <w:t xml:space="preserve"> </w:t>
      </w:r>
    </w:p>
    <w:p w14:paraId="474DB7C3" w14:textId="77777777" w:rsidR="000205E2" w:rsidRPr="00795F17" w:rsidRDefault="000205E2" w:rsidP="00117E86">
      <w:pPr>
        <w:pStyle w:val="Listapunktowana2"/>
      </w:pPr>
      <w:r w:rsidRPr="00795F17">
        <w:t>monitoringu obszarów chronionych.</w:t>
      </w:r>
    </w:p>
    <w:p w14:paraId="0B8F7BED" w14:textId="77777777" w:rsidR="000205E2" w:rsidRPr="00795F17" w:rsidRDefault="000205E2" w:rsidP="0044393D">
      <w:r w:rsidRPr="00795F17">
        <w:t>Szczegółowe informacje dotyczące programów monitoringowych przedstawione są w rozdziale 5.</w:t>
      </w:r>
    </w:p>
    <w:p w14:paraId="1A91DC89" w14:textId="77777777" w:rsidR="000205E2" w:rsidRPr="00795F17" w:rsidRDefault="000205E2" w:rsidP="0044393D">
      <w:r w:rsidRPr="00795F17">
        <w:t>Kryteria ustalania zakresu monitorowania jednolitych części wód powierzchniowych:</w:t>
      </w:r>
    </w:p>
    <w:p w14:paraId="68C63867" w14:textId="51902637" w:rsidR="000205E2" w:rsidRPr="00795F17" w:rsidRDefault="000205E2" w:rsidP="005635FD">
      <w:pPr>
        <w:pStyle w:val="Numerowanie"/>
        <w:numPr>
          <w:ilvl w:val="0"/>
          <w:numId w:val="82"/>
        </w:numPr>
      </w:pPr>
      <w:r w:rsidRPr="00795F17">
        <w:t xml:space="preserve">w ramach </w:t>
      </w:r>
      <w:r w:rsidR="006613F9">
        <w:t>MD</w:t>
      </w:r>
      <w:r w:rsidRPr="00795F17">
        <w:t xml:space="preserve"> do monitorowania wyznacza się </w:t>
      </w:r>
      <w:r w:rsidR="00DF005E">
        <w:t>JCWP</w:t>
      </w:r>
      <w:r w:rsidRPr="00795F17">
        <w:t>, w liczbie wystarczającej do dokonania oceny ogólnego stanu wód powierzchniowych na obszarach dorzeczy lub w zlewniach, reprezentatywnej dla występujących oddziaływań antropogenicznych oraz</w:t>
      </w:r>
      <w:r w:rsidR="00EB154F">
        <w:t> </w:t>
      </w:r>
      <w:r w:rsidRPr="00795F17">
        <w:t>występujących typów wód powierzchniowych</w:t>
      </w:r>
      <w:r w:rsidR="00D17F43">
        <w:t>;</w:t>
      </w:r>
    </w:p>
    <w:p w14:paraId="176EAFF2" w14:textId="641993D9" w:rsidR="000205E2" w:rsidRPr="00795F17" w:rsidRDefault="000205E2" w:rsidP="005635FD">
      <w:pPr>
        <w:pStyle w:val="Numerowanie"/>
        <w:numPr>
          <w:ilvl w:val="0"/>
          <w:numId w:val="82"/>
        </w:numPr>
      </w:pPr>
      <w:r w:rsidRPr="00795F17">
        <w:t xml:space="preserve">w ramach </w:t>
      </w:r>
      <w:r w:rsidR="006613F9">
        <w:t>MO</w:t>
      </w:r>
      <w:r w:rsidRPr="00795F17">
        <w:t xml:space="preserve"> wyznacza się </w:t>
      </w:r>
      <w:r w:rsidR="00DF005E">
        <w:t>JCWP</w:t>
      </w:r>
      <w:r w:rsidRPr="00795F17">
        <w:t xml:space="preserve"> uznane, na podstawie oceny wpływu znaczących oddziaływań na stan wód powierzchniowych lub na podstawie </w:t>
      </w:r>
      <w:r w:rsidR="006613F9">
        <w:t>MD</w:t>
      </w:r>
      <w:r w:rsidRPr="00795F17">
        <w:t>, jako zagrożone nie</w:t>
      </w:r>
      <w:r w:rsidR="002920BD" w:rsidRPr="00795F17">
        <w:t>osiągnięciem</w:t>
      </w:r>
      <w:r w:rsidRPr="00795F17">
        <w:t xml:space="preserve"> określonych dla nich celów środowiskowych, w</w:t>
      </w:r>
      <w:r w:rsidR="00B37F03" w:rsidRPr="00795F17">
        <w:t> </w:t>
      </w:r>
      <w:r w:rsidRPr="00795F17">
        <w:t xml:space="preserve">szczególności dotyczy to </w:t>
      </w:r>
      <w:r w:rsidR="00DF005E">
        <w:t>JCWP</w:t>
      </w:r>
      <w:r w:rsidRPr="00795F17">
        <w:t xml:space="preserve">: </w:t>
      </w:r>
    </w:p>
    <w:p w14:paraId="0C60994E" w14:textId="5DA703DA" w:rsidR="000205E2" w:rsidRPr="00795F17" w:rsidRDefault="000205E2" w:rsidP="00117E86">
      <w:pPr>
        <w:pStyle w:val="Listapunktowana2"/>
      </w:pPr>
      <w:r w:rsidRPr="00795F17">
        <w:t xml:space="preserve">zagrożonych znacznym oddziaływaniem ze strony punktowych, liniowych lub obszarowych źródeł zanieczyszczeń, wskazanych w dokumentacjach planistycznych, o których mowa </w:t>
      </w:r>
      <w:r w:rsidR="00B37F03" w:rsidRPr="00795F17">
        <w:br/>
      </w:r>
      <w:r w:rsidRPr="00795F17">
        <w:t xml:space="preserve">w art. 317 ust. 1 pkt 3 lub 8 </w:t>
      </w:r>
      <w:r w:rsidR="0083060B" w:rsidRPr="00795F17">
        <w:t>pr.w.</w:t>
      </w:r>
      <w:r w:rsidRPr="00795F17">
        <w:t xml:space="preserve">; </w:t>
      </w:r>
    </w:p>
    <w:p w14:paraId="70E5F643" w14:textId="6B4BB270" w:rsidR="000205E2" w:rsidRPr="00795F17" w:rsidRDefault="000205E2" w:rsidP="00117E86">
      <w:pPr>
        <w:pStyle w:val="Listapunktowana2"/>
      </w:pPr>
      <w:r w:rsidRPr="00795F17">
        <w:t xml:space="preserve">zagrożonych znacznym oddziaływaniem mogącym mieć wpływ na hydromorfologię, wskazanych w dokumentacjach planistycznych, o których mowa w art. 317 ust. 1 pkt 3 </w:t>
      </w:r>
      <w:r w:rsidR="0083060B" w:rsidRPr="00795F17">
        <w:t>pr.w.</w:t>
      </w:r>
      <w:r w:rsidRPr="00795F17">
        <w:t xml:space="preserve">; </w:t>
      </w:r>
    </w:p>
    <w:p w14:paraId="412559A2" w14:textId="4A596253" w:rsidR="000205E2" w:rsidRPr="00795F17" w:rsidRDefault="000205E2" w:rsidP="00117E86">
      <w:pPr>
        <w:pStyle w:val="Listapunktowana2"/>
      </w:pPr>
      <w:r w:rsidRPr="00795F17">
        <w:t xml:space="preserve">do których odprowadzane są substancje priorytetowe, o których mowa w przepisach wydanych na podstawie art. 114 </w:t>
      </w:r>
      <w:r w:rsidR="0083060B" w:rsidRPr="00795F17">
        <w:t>pr.w.</w:t>
      </w:r>
      <w:r w:rsidRPr="00795F17">
        <w:t>, oraz inne substancje odprowadzane w</w:t>
      </w:r>
      <w:r w:rsidR="00213B00" w:rsidRPr="00795F17">
        <w:t> </w:t>
      </w:r>
      <w:r w:rsidRPr="00795F17">
        <w:t>znacznych ilościach, wskazane w dokumentacji planistycznej, o której mowa w art. 317 ust.</w:t>
      </w:r>
      <w:r w:rsidR="00B37F03" w:rsidRPr="00795F17">
        <w:t> </w:t>
      </w:r>
      <w:r w:rsidRPr="00795F17">
        <w:t xml:space="preserve">1 pkt 8 </w:t>
      </w:r>
      <w:r w:rsidR="0083060B" w:rsidRPr="00795F17">
        <w:t>pr.w.</w:t>
      </w:r>
      <w:r w:rsidRPr="00795F17">
        <w:t xml:space="preserve">; </w:t>
      </w:r>
    </w:p>
    <w:p w14:paraId="50EC67E7" w14:textId="77777777" w:rsidR="000205E2" w:rsidRPr="00795F17" w:rsidRDefault="000205E2" w:rsidP="00117E86">
      <w:pPr>
        <w:pStyle w:val="Listapunktowana2"/>
      </w:pPr>
      <w:r w:rsidRPr="00795F17">
        <w:t>w zlewniach, w których występują źródła zanieczyszczeń, o których mowa w rozporządzeniu (WE) nr 166/2006 Parlamentu Europejskiego i Rady z dnia 18 stycznia 2006 r. w sprawie ustanowienia Europejskiego Rejestru Uwalniania i Transferu Zanieczyszczeń i zmieniającym dyrektywę Rady 91/689/EWG i 96/61/WE.</w:t>
      </w:r>
    </w:p>
    <w:p w14:paraId="5B56CF05" w14:textId="2E984644" w:rsidR="00213B00" w:rsidRPr="00795F17" w:rsidRDefault="000205E2" w:rsidP="0044393D">
      <w:r w:rsidRPr="00795F17">
        <w:t xml:space="preserve">Przepisy umożliwiają wykonanie dodatkowego monitorowania wód w ramach monitoringu badawczego, wykraczającego poza podane wyżej cele </w:t>
      </w:r>
      <w:r w:rsidR="006613F9">
        <w:t>MD</w:t>
      </w:r>
      <w:r w:rsidRPr="00795F17">
        <w:t xml:space="preserve"> i </w:t>
      </w:r>
      <w:r w:rsidR="006613F9">
        <w:t>MO</w:t>
      </w:r>
      <w:r w:rsidRPr="00795F17">
        <w:t>.</w:t>
      </w:r>
    </w:p>
    <w:p w14:paraId="185AF0C5" w14:textId="701288B4" w:rsidR="000205E2" w:rsidRPr="00795F17" w:rsidRDefault="000205E2" w:rsidP="0044393D">
      <w:r w:rsidRPr="00795F17">
        <w:t xml:space="preserve">W takim trybie </w:t>
      </w:r>
      <w:r w:rsidR="00213B00" w:rsidRPr="00795F17">
        <w:t>monitoruje</w:t>
      </w:r>
      <w:r w:rsidRPr="00795F17">
        <w:t xml:space="preserve"> się </w:t>
      </w:r>
      <w:r w:rsidR="00DF005E">
        <w:t>JCWP</w:t>
      </w:r>
      <w:r w:rsidRPr="00795F17">
        <w:t>, dla których jest konieczne:</w:t>
      </w:r>
    </w:p>
    <w:p w14:paraId="73D385F6" w14:textId="657FFC0E" w:rsidR="000205E2" w:rsidRPr="00795F17" w:rsidRDefault="000205E2" w:rsidP="00117E86">
      <w:pPr>
        <w:pStyle w:val="Listapunktowana2"/>
      </w:pPr>
      <w:r w:rsidRPr="00795F17">
        <w:t xml:space="preserve">ustalenie przyczyn nieosiągnięcia celów środowiskowych, o ile wyjaśnienie tych przyczyn jest niemożliwe na podstawie danych oraz informacji uzyskanych w wyniku pomiarów lub badań prowadzonych w ramach </w:t>
      </w:r>
      <w:r w:rsidR="006532F7">
        <w:t>MD</w:t>
      </w:r>
      <w:r w:rsidRPr="00795F17">
        <w:t xml:space="preserve"> lub </w:t>
      </w:r>
      <w:r w:rsidR="006532F7">
        <w:t>MO</w:t>
      </w:r>
      <w:r w:rsidRPr="00795F17">
        <w:t xml:space="preserve">; </w:t>
      </w:r>
    </w:p>
    <w:p w14:paraId="14C72AC0" w14:textId="77777777" w:rsidR="000205E2" w:rsidRPr="00795F17" w:rsidRDefault="000205E2" w:rsidP="00117E86">
      <w:pPr>
        <w:pStyle w:val="Listapunktowana2"/>
      </w:pPr>
      <w:r w:rsidRPr="00795F17">
        <w:t xml:space="preserve">ustalenie przyczyn, które mogą uniemożliwić osiągnięcie celów środowiskowych, w przypadku gdy nie został ustanowiony monitoring operacyjny jednolitych części wód powierzchniowych; </w:t>
      </w:r>
    </w:p>
    <w:p w14:paraId="37BFCF4F" w14:textId="77777777" w:rsidR="000205E2" w:rsidRPr="00795F17" w:rsidRDefault="000205E2" w:rsidP="00117E86">
      <w:pPr>
        <w:pStyle w:val="Listapunktowana2"/>
      </w:pPr>
      <w:r w:rsidRPr="00795F17">
        <w:t xml:space="preserve">określenie wielkości lub wpływu przypadkowego zanieczyszczenia; </w:t>
      </w:r>
    </w:p>
    <w:p w14:paraId="5480CF15" w14:textId="20A111CC" w:rsidR="000205E2" w:rsidRPr="00795F17" w:rsidRDefault="000205E2" w:rsidP="00117E86">
      <w:pPr>
        <w:pStyle w:val="Listapunktowana2"/>
      </w:pPr>
      <w:r w:rsidRPr="00795F17">
        <w:t>ustalenie przyczyn rozbieżności między wynikami klasyfikacji stanu ekologicznego lub</w:t>
      </w:r>
      <w:r w:rsidR="00B37F03" w:rsidRPr="00795F17">
        <w:t> </w:t>
      </w:r>
      <w:r w:rsidRPr="00795F17">
        <w:t>potencjału ekologicznego na podstawie elementów biologicznych, hydromorfologicznych i</w:t>
      </w:r>
      <w:r w:rsidR="007D1791" w:rsidRPr="00795F17">
        <w:t> </w:t>
      </w:r>
      <w:r w:rsidRPr="00795F17">
        <w:t xml:space="preserve">fizykochemicznych; </w:t>
      </w:r>
    </w:p>
    <w:p w14:paraId="6C953A1C" w14:textId="1FEE35B5" w:rsidR="000205E2" w:rsidRPr="00795F17" w:rsidRDefault="000205E2" w:rsidP="00117E86">
      <w:pPr>
        <w:pStyle w:val="Listapunktowana2"/>
      </w:pPr>
      <w:r w:rsidRPr="00795F17">
        <w:t>zebranie dodatkowych informacji o stanie wód w związku z uwarunkowaniami lokalnymi lub</w:t>
      </w:r>
      <w:r w:rsidR="00B37F03" w:rsidRPr="00795F17">
        <w:t> </w:t>
      </w:r>
      <w:r w:rsidRPr="00795F17">
        <w:t>umowami międzynarodowymi, których Rzeczpospolita Polska jest stroną.</w:t>
      </w:r>
    </w:p>
    <w:p w14:paraId="2CD1F5F1" w14:textId="2A8A1B02" w:rsidR="000205E2" w:rsidRPr="00795F17" w:rsidRDefault="000205E2" w:rsidP="0044393D">
      <w:bookmarkStart w:id="963" w:name="_Hlk65042459"/>
      <w:r w:rsidRPr="00795F17">
        <w:t>Zakres zadań państwowego monitoringu środowiska jest określony w wieloletnich strategicznych programach państwowego monitoringu środowiska i wykonawczych programach państwowego monitoringu środowiska. Główny Inspektor Ochrony Środowiska opracowuje i realizuje wieloletnie strategiczne oraz wykonawcze programy państwowego monitoringu środowiska, zgodnie z</w:t>
      </w:r>
      <w:r w:rsidR="007D1791" w:rsidRPr="00795F17">
        <w:t> </w:t>
      </w:r>
      <w:r w:rsidRPr="00795F17">
        <w:t xml:space="preserve">określonym zakresem zadań według </w:t>
      </w:r>
      <w:r w:rsidR="001B6CF6">
        <w:t>u.i.o.ś</w:t>
      </w:r>
      <w:r w:rsidRPr="00795F17">
        <w:t xml:space="preserve">. </w:t>
      </w:r>
    </w:p>
    <w:p w14:paraId="0DD4ECA1" w14:textId="0A24121C" w:rsidR="000205E2" w:rsidRPr="00795F17" w:rsidRDefault="000205E2" w:rsidP="0044393D">
      <w:r w:rsidRPr="00795F17">
        <w:t>Zakończone w cyklu aPGW wojewódzkie programy badań w ramach PMŚ uwzględniały Wytyczne do</w:t>
      </w:r>
      <w:r w:rsidR="000F6714" w:rsidRPr="00795F17">
        <w:t> </w:t>
      </w:r>
      <w:r w:rsidRPr="00795F17">
        <w:t>planowania monitoringu wód powierzchniowych na potrzeby aneksowania wojewódzkich programów monitoringu środowiska na lata 2016</w:t>
      </w:r>
      <w:r w:rsidR="001B6CF6">
        <w:t>–</w:t>
      </w:r>
      <w:r w:rsidRPr="00795F17">
        <w:t xml:space="preserve">2020 wydane przez GIOŚ. Plan ujmował zmiany prawne, jakie dokonały się w zakresie monitoringu wód w 2016 roku. Nowe normy określiły zarówno zasady realizacji badań i były podstawą do wyboru </w:t>
      </w:r>
      <w:r w:rsidR="00DF005E">
        <w:t>JCWP</w:t>
      </w:r>
      <w:r w:rsidRPr="00795F17">
        <w:t xml:space="preserve"> właściwych do monitorowania </w:t>
      </w:r>
      <w:bookmarkEnd w:id="963"/>
      <w:r w:rsidRPr="00795F17">
        <w:t xml:space="preserve">na postawie informacji zawartych w planach gospodarowania wodami dla </w:t>
      </w:r>
      <w:r w:rsidR="006C26A1" w:rsidRPr="00795F17">
        <w:t xml:space="preserve">obszarów </w:t>
      </w:r>
      <w:r w:rsidRPr="00795F17">
        <w:t>dorzeczy.</w:t>
      </w:r>
    </w:p>
    <w:p w14:paraId="3C869A4E" w14:textId="79F5A3C9" w:rsidR="000205E2" w:rsidRPr="00795F17" w:rsidRDefault="000205E2" w:rsidP="0044393D">
      <w:r w:rsidRPr="00795F17">
        <w:t xml:space="preserve">Zakres </w:t>
      </w:r>
      <w:r w:rsidR="00C12087">
        <w:t>klasyfikacji stanu chemicznego</w:t>
      </w:r>
      <w:r w:rsidRPr="00795F17">
        <w:t xml:space="preserve"> realizowany był w ramach </w:t>
      </w:r>
      <w:r w:rsidR="00566C05">
        <w:t>MD</w:t>
      </w:r>
      <w:r w:rsidRPr="00795F17">
        <w:t>, którego zadaniem jest kompleksowy przegląd stanu wód oraz zgromadzenie informacji na temat długoterminowych zmian naturalnych i wynikających z presji antropogenicznych. Częstotliwość badań substancji, w tym z grupy elementów stanu chemicznego przyjęta była zgodnie z</w:t>
      </w:r>
      <w:r w:rsidR="00EB154F">
        <w:t> </w:t>
      </w:r>
      <w:r w:rsidR="008C5E88">
        <w:t>postanowieniami</w:t>
      </w:r>
      <w:r w:rsidRPr="00795F17">
        <w:t xml:space="preserve"> </w:t>
      </w:r>
      <w:r w:rsidR="00314A57">
        <w:t>s.</w:t>
      </w:r>
      <w:r w:rsidRPr="00795F17">
        <w:t>r.m.jcw</w:t>
      </w:r>
      <w:r w:rsidR="00B37F03" w:rsidRPr="00795F17">
        <w:t>.</w:t>
      </w:r>
      <w:r w:rsidRPr="00795F17">
        <w:t xml:space="preserve"> (2016).</w:t>
      </w:r>
    </w:p>
    <w:p w14:paraId="12DA768F" w14:textId="5F995C24" w:rsidR="000205E2" w:rsidRPr="00795F17" w:rsidRDefault="000205E2" w:rsidP="0044393D">
      <w:r w:rsidRPr="00795F17">
        <w:t xml:space="preserve">Badania w ramach </w:t>
      </w:r>
      <w:r w:rsidR="00566C05">
        <w:t>MO</w:t>
      </w:r>
      <w:r w:rsidRPr="00795F17">
        <w:t xml:space="preserve"> wykonywano w celu określenia stanu wód w przypadku, gdy istniało ryzyko, że cele środowiskowe dla tych wód nie będą osiągnięte. Wyniki tego monitoringu są szczególnie istotne dla oceny realizacji planów gospodarowania wodami, ponieważ jest wykorzystywany również w ocenie realizacji programów działań. </w:t>
      </w:r>
    </w:p>
    <w:p w14:paraId="620305B8" w14:textId="1328C1BC" w:rsidR="000205E2" w:rsidRPr="00795F17" w:rsidRDefault="000205E2" w:rsidP="0044393D">
      <w:r w:rsidRPr="00795F17">
        <w:t xml:space="preserve">W przypadku, gdy na podstawie wyników badań </w:t>
      </w:r>
      <w:r w:rsidR="004B1B70">
        <w:t>MD</w:t>
      </w:r>
      <w:r w:rsidRPr="00795F17">
        <w:t xml:space="preserve"> stwierdzono przekroczenia stężeń substancji priorytetowych, monitoringiem operacyjnym obejmowano również te</w:t>
      </w:r>
      <w:r w:rsidR="006C26A1" w:rsidRPr="00795F17">
        <w:t> </w:t>
      </w:r>
      <w:r w:rsidRPr="00795F17">
        <w:t>części wód, prowadząc coroczne badania w zakresie wskaźników chemicznych.</w:t>
      </w:r>
    </w:p>
    <w:p w14:paraId="28FF3F68" w14:textId="0BD4FACF" w:rsidR="000205E2" w:rsidRPr="00795F17" w:rsidRDefault="000205E2" w:rsidP="0044393D">
      <w:r w:rsidRPr="00795F17">
        <w:t xml:space="preserve">Poniżej zestawiono wyniki </w:t>
      </w:r>
      <w:r w:rsidR="00C12087">
        <w:t>klasyfikacji stanu chemicznego</w:t>
      </w:r>
      <w:r w:rsidRPr="00795F17">
        <w:t xml:space="preserve"> dla</w:t>
      </w:r>
      <w:r w:rsidR="006C26A1" w:rsidRPr="00795F17">
        <w:t xml:space="preserve"> obszaru</w:t>
      </w:r>
      <w:r w:rsidRPr="00795F17">
        <w:t xml:space="preserve"> dorzecza Odry </w:t>
      </w:r>
      <w:r w:rsidR="005C02B9" w:rsidRPr="00795F17">
        <w:t xml:space="preserve">(tabela 15-1) </w:t>
      </w:r>
      <w:r w:rsidRPr="00795F17">
        <w:t>na</w:t>
      </w:r>
      <w:r w:rsidR="006C26A1" w:rsidRPr="00795F17">
        <w:t> </w:t>
      </w:r>
      <w:r w:rsidRPr="00795F17">
        <w:t>podstawie wyników klasyfikacji i oceny stanu jednolitych części wód powierzchniowych wykonanej przez GIOŚ za 2019 rok na podstawie danych z lat 2014</w:t>
      </w:r>
      <w:r w:rsidR="001B6CF6">
        <w:t>–</w:t>
      </w:r>
      <w:r w:rsidRPr="00795F17">
        <w:t>2019 wraz z uzupełnieniem oceny w</w:t>
      </w:r>
      <w:r w:rsidR="00443528">
        <w:t> </w:t>
      </w:r>
      <w:r w:rsidRPr="00795F17">
        <w:t xml:space="preserve">przypadku zlewni niemonitorowanych o wartości </w:t>
      </w:r>
      <w:r w:rsidR="00442820">
        <w:t>według</w:t>
      </w:r>
      <w:r w:rsidRPr="00795F17">
        <w:t xml:space="preserve"> wyników opracowania </w:t>
      </w:r>
      <w:r w:rsidRPr="00795F17">
        <w:rPr>
          <w:i/>
          <w:iCs/>
        </w:rPr>
        <w:t xml:space="preserve">Analiza znaczących oddziaływań </w:t>
      </w:r>
      <w:r w:rsidR="001B6CF6">
        <w:rPr>
          <w:i/>
          <w:iCs/>
        </w:rPr>
        <w:t>–</w:t>
      </w:r>
      <w:r w:rsidRPr="00795F17">
        <w:rPr>
          <w:i/>
          <w:iCs/>
        </w:rPr>
        <w:t xml:space="preserve"> </w:t>
      </w:r>
      <w:r w:rsidR="00DF005E">
        <w:rPr>
          <w:i/>
          <w:iCs/>
        </w:rPr>
        <w:t>JCWP</w:t>
      </w:r>
      <w:r w:rsidRPr="00795F17">
        <w:rPr>
          <w:i/>
          <w:iCs/>
        </w:rPr>
        <w:t xml:space="preserve"> (…)</w:t>
      </w:r>
      <w:r w:rsidR="00A57A31">
        <w:rPr>
          <w:rStyle w:val="Odwoanieprzypisudolnego"/>
          <w:i/>
          <w:iCs/>
        </w:rPr>
        <w:footnoteReference w:id="113"/>
      </w:r>
      <w:r w:rsidRPr="00795F17">
        <w:t xml:space="preserve">. </w:t>
      </w:r>
    </w:p>
    <w:p w14:paraId="29BD27D2" w14:textId="278F23EA" w:rsidR="007D1791" w:rsidRPr="00795F17" w:rsidRDefault="007D1791" w:rsidP="004D7705">
      <w:pPr>
        <w:pStyle w:val="Tabela"/>
      </w:pPr>
      <w:bookmarkStart w:id="964" w:name="_Toc66341987"/>
      <w:bookmarkStart w:id="965" w:name="_Toc105512912"/>
      <w:r w:rsidRPr="00795F17">
        <w:t xml:space="preserve">Tabela </w:t>
      </w:r>
      <w:fldSimple w:instr=" STYLEREF 1 \s ">
        <w:r w:rsidR="001F774D">
          <w:rPr>
            <w:noProof/>
          </w:rPr>
          <w:t>15</w:t>
        </w:r>
      </w:fldSimple>
      <w:r w:rsidR="00BB3B21" w:rsidRPr="00795F17">
        <w:noBreakHyphen/>
      </w:r>
      <w:fldSimple w:instr=" SEQ Tabela \* ARABIC \s 1 ">
        <w:r w:rsidR="001F774D">
          <w:rPr>
            <w:noProof/>
          </w:rPr>
          <w:t>1</w:t>
        </w:r>
      </w:fldSimple>
      <w:r w:rsidR="00802C92">
        <w:rPr>
          <w:noProof/>
        </w:rPr>
        <w:t>.</w:t>
      </w:r>
      <w:r w:rsidRPr="00795F17">
        <w:tab/>
        <w:t xml:space="preserve">Ocena stanu chemicznego wód dla kategorii wód </w:t>
      </w:r>
      <w:r w:rsidR="00E062F3">
        <w:t>na</w:t>
      </w:r>
      <w:r w:rsidRPr="00795F17">
        <w:t xml:space="preserve"> </w:t>
      </w:r>
      <w:r w:rsidR="006C26A1" w:rsidRPr="00795F17">
        <w:t xml:space="preserve">obszarze </w:t>
      </w:r>
      <w:r w:rsidRPr="00795F17">
        <w:t>dorzecz</w:t>
      </w:r>
      <w:r w:rsidR="006C26A1" w:rsidRPr="00795F17">
        <w:t>a</w:t>
      </w:r>
      <w:r w:rsidRPr="00795F17">
        <w:t xml:space="preserve"> Odry w oparciu o</w:t>
      </w:r>
      <w:r w:rsidR="00E062F3">
        <w:t> </w:t>
      </w:r>
      <w:r w:rsidRPr="00795F17">
        <w:t>wyniki oceny stanu GIOŚ za lata 2014</w:t>
      </w:r>
      <w:r w:rsidR="008C5E88">
        <w:t>–</w:t>
      </w:r>
      <w:r w:rsidRPr="00795F17">
        <w:t xml:space="preserve">2019 oraz wartości </w:t>
      </w:r>
      <w:r w:rsidR="00442820">
        <w:t>według</w:t>
      </w:r>
      <w:r w:rsidRPr="00795F17">
        <w:t xml:space="preserve"> </w:t>
      </w:r>
      <w:r w:rsidRPr="00795F17">
        <w:rPr>
          <w:i/>
        </w:rPr>
        <w:t xml:space="preserve">Analizy znaczących oddziaływań </w:t>
      </w:r>
      <w:r w:rsidR="001B6CF6">
        <w:rPr>
          <w:i/>
        </w:rPr>
        <w:t>–</w:t>
      </w:r>
      <w:r w:rsidRPr="00795F17">
        <w:rPr>
          <w:i/>
        </w:rPr>
        <w:t xml:space="preserve"> </w:t>
      </w:r>
      <w:r w:rsidR="00DF005E">
        <w:rPr>
          <w:i/>
        </w:rPr>
        <w:t>JCWP</w:t>
      </w:r>
      <w:r w:rsidRPr="00795F17">
        <w:rPr>
          <w:i/>
        </w:rPr>
        <w:t xml:space="preserve"> (…)</w:t>
      </w:r>
      <w:r w:rsidRPr="00795F17">
        <w:t xml:space="preserve"> w</w:t>
      </w:r>
      <w:r w:rsidR="00DF3642" w:rsidRPr="00795F17">
        <w:t> </w:t>
      </w:r>
      <w:r w:rsidRPr="00795F17">
        <w:t>zlewniach niemonitorowanych</w:t>
      </w:r>
      <w:bookmarkEnd w:id="964"/>
      <w:bookmarkEnd w:id="965"/>
    </w:p>
    <w:tbl>
      <w:tblPr>
        <w:tblW w:w="5000" w:type="pct"/>
        <w:tblCellMar>
          <w:left w:w="70" w:type="dxa"/>
          <w:right w:w="70" w:type="dxa"/>
        </w:tblCellMar>
        <w:tblLook w:val="04A0" w:firstRow="1" w:lastRow="0" w:firstColumn="1" w:lastColumn="0" w:noHBand="0" w:noVBand="1"/>
      </w:tblPr>
      <w:tblGrid>
        <w:gridCol w:w="416"/>
        <w:gridCol w:w="1112"/>
        <w:gridCol w:w="877"/>
        <w:gridCol w:w="1449"/>
        <w:gridCol w:w="1821"/>
        <w:gridCol w:w="1101"/>
        <w:gridCol w:w="1142"/>
        <w:gridCol w:w="1098"/>
      </w:tblGrid>
      <w:tr w:rsidR="000205E2" w:rsidRPr="00795F17" w14:paraId="5FADD8F0" w14:textId="77777777" w:rsidTr="009C05C4">
        <w:trPr>
          <w:trHeight w:val="454"/>
        </w:trPr>
        <w:tc>
          <w:tcPr>
            <w:tcW w:w="41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AAB1C3" w14:textId="77777777" w:rsidR="000205E2" w:rsidRPr="00795F17" w:rsidRDefault="000205E2" w:rsidP="0044393D">
            <w:pPr>
              <w:pStyle w:val="Teksttabelinaglowek"/>
            </w:pPr>
            <w:r w:rsidRPr="00795F17">
              <w:t>Lp.</w:t>
            </w:r>
          </w:p>
        </w:tc>
        <w:tc>
          <w:tcPr>
            <w:tcW w:w="1112"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725CAE" w14:textId="77777777" w:rsidR="000205E2" w:rsidRPr="00795F17" w:rsidRDefault="000205E2" w:rsidP="0044393D">
            <w:pPr>
              <w:pStyle w:val="Teksttabelinaglowek"/>
            </w:pPr>
            <w:r w:rsidRPr="00795F17">
              <w:t>Kategoria wód</w:t>
            </w:r>
          </w:p>
        </w:tc>
        <w:tc>
          <w:tcPr>
            <w:tcW w:w="877"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5A6D0E" w14:textId="14D98E13" w:rsidR="000205E2" w:rsidRPr="00795F17" w:rsidRDefault="000205E2" w:rsidP="0044393D">
            <w:pPr>
              <w:pStyle w:val="Teksttabelinaglowek"/>
            </w:pPr>
            <w:r w:rsidRPr="00795F17">
              <w:t xml:space="preserve">Łączna liczba </w:t>
            </w:r>
            <w:r w:rsidR="00DF005E">
              <w:t>JCWP</w:t>
            </w:r>
          </w:p>
        </w:tc>
        <w:tc>
          <w:tcPr>
            <w:tcW w:w="1449"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201696DE" w14:textId="305490B3" w:rsidR="000205E2" w:rsidRPr="00795F17" w:rsidRDefault="000205E2" w:rsidP="0044393D">
            <w:pPr>
              <w:pStyle w:val="Teksttabelinaglowek"/>
            </w:pPr>
            <w:r w:rsidRPr="00795F17">
              <w:t xml:space="preserve">Liczba </w:t>
            </w:r>
            <w:r w:rsidR="00DF005E">
              <w:t>JCWP</w:t>
            </w:r>
            <w:r w:rsidRPr="00795F17">
              <w:t xml:space="preserve"> ocenianych </w:t>
            </w:r>
          </w:p>
          <w:p w14:paraId="1DA681E4" w14:textId="77777777" w:rsidR="000205E2" w:rsidRPr="00795F17" w:rsidRDefault="000205E2" w:rsidP="0044393D">
            <w:pPr>
              <w:pStyle w:val="Teksttabelinaglowek"/>
            </w:pPr>
            <w:r w:rsidRPr="00795F17">
              <w:t>w monitoringu GIOŚ</w:t>
            </w:r>
          </w:p>
        </w:tc>
        <w:tc>
          <w:tcPr>
            <w:tcW w:w="1821"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65CBDCD5" w14:textId="2C562803" w:rsidR="000205E2" w:rsidRPr="00795F17" w:rsidRDefault="000205E2" w:rsidP="0044393D">
            <w:pPr>
              <w:pStyle w:val="Teksttabelinaglowek"/>
            </w:pPr>
            <w:r w:rsidRPr="00795F17">
              <w:t xml:space="preserve">Liczba </w:t>
            </w:r>
            <w:r w:rsidR="00DF005E">
              <w:t>JCWP</w:t>
            </w:r>
            <w:r w:rsidRPr="00795F17">
              <w:t xml:space="preserve"> </w:t>
            </w:r>
            <w:r w:rsidR="00137D61">
              <w:br/>
            </w:r>
            <w:r w:rsidRPr="00795F17">
              <w:t xml:space="preserve">niemonitorowanych </w:t>
            </w:r>
          </w:p>
          <w:p w14:paraId="58E3BA0F" w14:textId="6239DEB4" w:rsidR="000205E2" w:rsidRPr="00795F17" w:rsidRDefault="000205E2" w:rsidP="0044393D">
            <w:pPr>
              <w:pStyle w:val="Teksttabelinaglowek"/>
            </w:pPr>
            <w:r w:rsidRPr="00795F17">
              <w:t xml:space="preserve">- z oceną </w:t>
            </w:r>
            <w:r w:rsidR="00442820">
              <w:t>według</w:t>
            </w:r>
            <w:r w:rsidRPr="00795F17">
              <w:t xml:space="preserve"> wyniku </w:t>
            </w:r>
            <w:r w:rsidRPr="00795F17">
              <w:rPr>
                <w:i/>
                <w:iCs/>
              </w:rPr>
              <w:t>Analizy znaczących oddziaływań (…)</w:t>
            </w:r>
          </w:p>
        </w:tc>
        <w:tc>
          <w:tcPr>
            <w:tcW w:w="3341" w:type="dxa"/>
            <w:gridSpan w:val="3"/>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365B3C2" w14:textId="77777777" w:rsidR="000205E2" w:rsidRPr="00795F17" w:rsidRDefault="000205E2" w:rsidP="0044393D">
            <w:pPr>
              <w:pStyle w:val="Teksttabelinaglowek"/>
            </w:pPr>
            <w:r w:rsidRPr="00795F17">
              <w:t>Ocena stanu chemicznego</w:t>
            </w:r>
          </w:p>
        </w:tc>
      </w:tr>
      <w:tr w:rsidR="000205E2" w:rsidRPr="00795F17" w14:paraId="21232162" w14:textId="77777777" w:rsidTr="009C05C4">
        <w:trPr>
          <w:trHeight w:val="454"/>
        </w:trPr>
        <w:tc>
          <w:tcPr>
            <w:tcW w:w="41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68699F" w14:textId="77777777" w:rsidR="000205E2" w:rsidRPr="00795F17" w:rsidRDefault="000205E2" w:rsidP="0044393D">
            <w:pPr>
              <w:pStyle w:val="Teksttabelinaglowek"/>
            </w:pPr>
          </w:p>
        </w:tc>
        <w:tc>
          <w:tcPr>
            <w:tcW w:w="1112"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A8CAF5" w14:textId="77777777" w:rsidR="000205E2" w:rsidRPr="00795F17" w:rsidRDefault="000205E2" w:rsidP="0044393D">
            <w:pPr>
              <w:pStyle w:val="Teksttabelinaglowek"/>
            </w:pPr>
          </w:p>
        </w:tc>
        <w:tc>
          <w:tcPr>
            <w:tcW w:w="877"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7EFCCE" w14:textId="77777777" w:rsidR="000205E2" w:rsidRPr="00795F17" w:rsidRDefault="000205E2" w:rsidP="0044393D">
            <w:pPr>
              <w:pStyle w:val="Teksttabelinaglowek"/>
            </w:pPr>
          </w:p>
        </w:tc>
        <w:tc>
          <w:tcPr>
            <w:tcW w:w="1449"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47B568F1" w14:textId="77777777" w:rsidR="000205E2" w:rsidRPr="00795F17" w:rsidRDefault="000205E2" w:rsidP="0044393D">
            <w:pPr>
              <w:pStyle w:val="Teksttabelinaglowek"/>
            </w:pPr>
          </w:p>
        </w:tc>
        <w:tc>
          <w:tcPr>
            <w:tcW w:w="1821"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1587B3EE" w14:textId="77777777" w:rsidR="000205E2" w:rsidRPr="00795F17" w:rsidRDefault="000205E2" w:rsidP="0044393D">
            <w:pPr>
              <w:pStyle w:val="Teksttabelinaglowek"/>
            </w:pPr>
          </w:p>
        </w:tc>
        <w:tc>
          <w:tcPr>
            <w:tcW w:w="1101" w:type="dxa"/>
            <w:tcBorders>
              <w:top w:val="nil"/>
              <w:left w:val="nil"/>
              <w:bottom w:val="single" w:sz="4" w:space="0" w:color="auto"/>
              <w:right w:val="single" w:sz="4" w:space="0" w:color="auto"/>
            </w:tcBorders>
            <w:shd w:val="clear" w:color="auto" w:fill="BFBFBF" w:themeFill="background1" w:themeFillShade="BF"/>
            <w:vAlign w:val="center"/>
            <w:hideMark/>
          </w:tcPr>
          <w:p w14:paraId="120E64CA" w14:textId="77777777" w:rsidR="000205E2" w:rsidRPr="00795F17" w:rsidRDefault="000205E2" w:rsidP="0044393D">
            <w:pPr>
              <w:pStyle w:val="Teksttabelinaglowek"/>
            </w:pPr>
            <w:r w:rsidRPr="00795F17">
              <w:t>Dobry</w:t>
            </w:r>
          </w:p>
        </w:tc>
        <w:tc>
          <w:tcPr>
            <w:tcW w:w="1142" w:type="dxa"/>
            <w:tcBorders>
              <w:top w:val="nil"/>
              <w:left w:val="nil"/>
              <w:bottom w:val="single" w:sz="4" w:space="0" w:color="auto"/>
              <w:right w:val="single" w:sz="4" w:space="0" w:color="auto"/>
            </w:tcBorders>
            <w:shd w:val="clear" w:color="auto" w:fill="BFBFBF" w:themeFill="background1" w:themeFillShade="BF"/>
            <w:vAlign w:val="center"/>
            <w:hideMark/>
          </w:tcPr>
          <w:p w14:paraId="462A2988" w14:textId="49DE3BFA" w:rsidR="000205E2" w:rsidRPr="00795F17" w:rsidRDefault="000205E2" w:rsidP="0044393D">
            <w:pPr>
              <w:pStyle w:val="Teksttabelinaglowek"/>
            </w:pPr>
            <w:r w:rsidRPr="00795F17">
              <w:t>Poniżej dobrego</w:t>
            </w:r>
          </w:p>
        </w:tc>
        <w:tc>
          <w:tcPr>
            <w:tcW w:w="1098" w:type="dxa"/>
            <w:tcBorders>
              <w:top w:val="nil"/>
              <w:left w:val="nil"/>
              <w:bottom w:val="single" w:sz="4" w:space="0" w:color="auto"/>
              <w:right w:val="single" w:sz="4" w:space="0" w:color="auto"/>
            </w:tcBorders>
            <w:shd w:val="clear" w:color="auto" w:fill="BFBFBF" w:themeFill="background1" w:themeFillShade="BF"/>
            <w:vAlign w:val="center"/>
            <w:hideMark/>
          </w:tcPr>
          <w:p w14:paraId="316F97E6" w14:textId="6DAFC2F4" w:rsidR="000205E2" w:rsidRPr="00795F17" w:rsidRDefault="000205E2" w:rsidP="0044393D">
            <w:pPr>
              <w:pStyle w:val="Teksttabelinaglowek"/>
            </w:pPr>
            <w:r w:rsidRPr="00795F17">
              <w:t>Brak oceny</w:t>
            </w:r>
          </w:p>
        </w:tc>
      </w:tr>
      <w:tr w:rsidR="000205E2" w:rsidRPr="00795F17" w14:paraId="5887901B" w14:textId="77777777" w:rsidTr="001C6219">
        <w:trPr>
          <w:trHeight w:val="454"/>
        </w:trPr>
        <w:tc>
          <w:tcPr>
            <w:tcW w:w="416" w:type="dxa"/>
            <w:tcBorders>
              <w:top w:val="nil"/>
              <w:left w:val="single" w:sz="4" w:space="0" w:color="auto"/>
              <w:bottom w:val="single" w:sz="4" w:space="0" w:color="auto"/>
              <w:right w:val="single" w:sz="4" w:space="0" w:color="auto"/>
            </w:tcBorders>
            <w:shd w:val="clear" w:color="auto" w:fill="auto"/>
            <w:vAlign w:val="center"/>
            <w:hideMark/>
          </w:tcPr>
          <w:p w14:paraId="5BC4635F" w14:textId="666F91AA" w:rsidR="000205E2" w:rsidRPr="00795F17" w:rsidRDefault="000205E2" w:rsidP="0065243A">
            <w:pPr>
              <w:pStyle w:val="Teksttabelisrodek"/>
            </w:pPr>
            <w:r w:rsidRPr="00795F17">
              <w:t>1</w:t>
            </w:r>
            <w:r w:rsidR="003F504A" w:rsidRPr="00795F17">
              <w:t>.</w:t>
            </w:r>
          </w:p>
        </w:tc>
        <w:tc>
          <w:tcPr>
            <w:tcW w:w="1112" w:type="dxa"/>
            <w:tcBorders>
              <w:top w:val="nil"/>
              <w:left w:val="nil"/>
              <w:bottom w:val="single" w:sz="4" w:space="0" w:color="auto"/>
              <w:right w:val="single" w:sz="4" w:space="0" w:color="auto"/>
            </w:tcBorders>
            <w:shd w:val="clear" w:color="auto" w:fill="auto"/>
            <w:vAlign w:val="center"/>
            <w:hideMark/>
          </w:tcPr>
          <w:p w14:paraId="18252B40" w14:textId="29D6D304" w:rsidR="000205E2" w:rsidRPr="00795F17" w:rsidRDefault="00DF005E" w:rsidP="0044393D">
            <w:pPr>
              <w:pStyle w:val="Teksttabelilewy"/>
            </w:pPr>
            <w:r>
              <w:t>JCWP</w:t>
            </w:r>
            <w:r w:rsidR="00213B00" w:rsidRPr="00795F17">
              <w:t xml:space="preserve"> LW</w:t>
            </w:r>
          </w:p>
        </w:tc>
        <w:tc>
          <w:tcPr>
            <w:tcW w:w="877" w:type="dxa"/>
            <w:tcBorders>
              <w:top w:val="nil"/>
              <w:left w:val="nil"/>
              <w:bottom w:val="single" w:sz="4" w:space="0" w:color="auto"/>
              <w:right w:val="single" w:sz="4" w:space="0" w:color="auto"/>
            </w:tcBorders>
            <w:shd w:val="clear" w:color="auto" w:fill="auto"/>
            <w:vAlign w:val="center"/>
            <w:hideMark/>
          </w:tcPr>
          <w:p w14:paraId="64F8F3C4" w14:textId="77777777" w:rsidR="000205E2" w:rsidRPr="00795F17" w:rsidRDefault="000205E2" w:rsidP="0065243A">
            <w:pPr>
              <w:pStyle w:val="Teksttabelisrodek"/>
            </w:pPr>
            <w:r w:rsidRPr="00795F17">
              <w:t>427</w:t>
            </w:r>
          </w:p>
        </w:tc>
        <w:tc>
          <w:tcPr>
            <w:tcW w:w="1449" w:type="dxa"/>
            <w:tcBorders>
              <w:top w:val="nil"/>
              <w:left w:val="nil"/>
              <w:bottom w:val="single" w:sz="4" w:space="0" w:color="auto"/>
              <w:right w:val="single" w:sz="4" w:space="0" w:color="auto"/>
            </w:tcBorders>
            <w:shd w:val="clear" w:color="auto" w:fill="auto"/>
            <w:vAlign w:val="center"/>
            <w:hideMark/>
          </w:tcPr>
          <w:p w14:paraId="3DAC84EA" w14:textId="77777777" w:rsidR="000205E2" w:rsidRPr="00795F17" w:rsidRDefault="000205E2" w:rsidP="0065243A">
            <w:pPr>
              <w:pStyle w:val="Teksttabelisrodek"/>
            </w:pPr>
            <w:r w:rsidRPr="00795F17">
              <w:t>254</w:t>
            </w:r>
          </w:p>
        </w:tc>
        <w:tc>
          <w:tcPr>
            <w:tcW w:w="1821" w:type="dxa"/>
            <w:tcBorders>
              <w:top w:val="nil"/>
              <w:left w:val="nil"/>
              <w:bottom w:val="single" w:sz="4" w:space="0" w:color="auto"/>
              <w:right w:val="single" w:sz="4" w:space="0" w:color="auto"/>
            </w:tcBorders>
            <w:shd w:val="clear" w:color="auto" w:fill="auto"/>
            <w:vAlign w:val="center"/>
            <w:hideMark/>
          </w:tcPr>
          <w:p w14:paraId="1E73CF44" w14:textId="77777777" w:rsidR="000205E2" w:rsidRPr="00795F17" w:rsidRDefault="000205E2" w:rsidP="0065243A">
            <w:pPr>
              <w:pStyle w:val="Teksttabelisrodek"/>
            </w:pPr>
            <w:r w:rsidRPr="00795F17">
              <w:t>173</w:t>
            </w:r>
          </w:p>
        </w:tc>
        <w:tc>
          <w:tcPr>
            <w:tcW w:w="1101" w:type="dxa"/>
            <w:tcBorders>
              <w:top w:val="nil"/>
              <w:left w:val="nil"/>
              <w:bottom w:val="single" w:sz="4" w:space="0" w:color="auto"/>
              <w:right w:val="single" w:sz="4" w:space="0" w:color="auto"/>
            </w:tcBorders>
            <w:shd w:val="clear" w:color="auto" w:fill="auto"/>
            <w:vAlign w:val="center"/>
            <w:hideMark/>
          </w:tcPr>
          <w:p w14:paraId="5BE31767" w14:textId="77777777" w:rsidR="000205E2" w:rsidRPr="00795F17" w:rsidRDefault="000205E2" w:rsidP="0065243A">
            <w:pPr>
              <w:pStyle w:val="Teksttabelisrodek"/>
            </w:pPr>
            <w:r w:rsidRPr="00795F17">
              <w:t>167</w:t>
            </w:r>
          </w:p>
        </w:tc>
        <w:tc>
          <w:tcPr>
            <w:tcW w:w="1142" w:type="dxa"/>
            <w:tcBorders>
              <w:top w:val="nil"/>
              <w:left w:val="nil"/>
              <w:bottom w:val="single" w:sz="4" w:space="0" w:color="auto"/>
              <w:right w:val="single" w:sz="4" w:space="0" w:color="auto"/>
            </w:tcBorders>
            <w:shd w:val="clear" w:color="auto" w:fill="auto"/>
            <w:vAlign w:val="center"/>
            <w:hideMark/>
          </w:tcPr>
          <w:p w14:paraId="3205B0FF" w14:textId="77777777" w:rsidR="000205E2" w:rsidRPr="00795F17" w:rsidRDefault="000205E2" w:rsidP="0065243A">
            <w:pPr>
              <w:pStyle w:val="Teksttabelisrodek"/>
            </w:pPr>
            <w:r w:rsidRPr="00795F17">
              <w:t>260</w:t>
            </w:r>
          </w:p>
        </w:tc>
        <w:tc>
          <w:tcPr>
            <w:tcW w:w="1098" w:type="dxa"/>
            <w:tcBorders>
              <w:top w:val="nil"/>
              <w:left w:val="nil"/>
              <w:bottom w:val="single" w:sz="4" w:space="0" w:color="auto"/>
              <w:right w:val="single" w:sz="4" w:space="0" w:color="auto"/>
            </w:tcBorders>
            <w:shd w:val="clear" w:color="auto" w:fill="auto"/>
            <w:vAlign w:val="center"/>
            <w:hideMark/>
          </w:tcPr>
          <w:p w14:paraId="1F63F3AA" w14:textId="77777777" w:rsidR="000205E2" w:rsidRPr="00795F17" w:rsidRDefault="000205E2" w:rsidP="0065243A">
            <w:pPr>
              <w:pStyle w:val="Teksttabelisrodek"/>
            </w:pPr>
            <w:r w:rsidRPr="00795F17">
              <w:t>-</w:t>
            </w:r>
          </w:p>
        </w:tc>
      </w:tr>
      <w:tr w:rsidR="000205E2" w:rsidRPr="00795F17" w14:paraId="783ED6D3" w14:textId="77777777" w:rsidTr="001C6219">
        <w:trPr>
          <w:trHeight w:val="454"/>
        </w:trPr>
        <w:tc>
          <w:tcPr>
            <w:tcW w:w="416" w:type="dxa"/>
            <w:tcBorders>
              <w:top w:val="nil"/>
              <w:left w:val="single" w:sz="4" w:space="0" w:color="auto"/>
              <w:bottom w:val="single" w:sz="4" w:space="0" w:color="auto"/>
              <w:right w:val="single" w:sz="4" w:space="0" w:color="auto"/>
            </w:tcBorders>
            <w:shd w:val="clear" w:color="auto" w:fill="auto"/>
            <w:vAlign w:val="center"/>
            <w:hideMark/>
          </w:tcPr>
          <w:p w14:paraId="63B0435C" w14:textId="61340E3B" w:rsidR="000205E2" w:rsidRPr="00795F17" w:rsidRDefault="000205E2" w:rsidP="0065243A">
            <w:pPr>
              <w:pStyle w:val="Teksttabelisrodek"/>
            </w:pPr>
            <w:r w:rsidRPr="00795F17">
              <w:t>2</w:t>
            </w:r>
            <w:r w:rsidR="003F504A" w:rsidRPr="00795F17">
              <w:t>.</w:t>
            </w:r>
          </w:p>
        </w:tc>
        <w:tc>
          <w:tcPr>
            <w:tcW w:w="1112" w:type="dxa"/>
            <w:tcBorders>
              <w:top w:val="nil"/>
              <w:left w:val="nil"/>
              <w:bottom w:val="single" w:sz="4" w:space="0" w:color="auto"/>
              <w:right w:val="single" w:sz="4" w:space="0" w:color="auto"/>
            </w:tcBorders>
            <w:shd w:val="clear" w:color="auto" w:fill="auto"/>
            <w:vAlign w:val="center"/>
            <w:hideMark/>
          </w:tcPr>
          <w:p w14:paraId="7C14FB4E" w14:textId="4C9CA508" w:rsidR="000205E2" w:rsidRPr="00795F17" w:rsidRDefault="00DF005E" w:rsidP="0044393D">
            <w:pPr>
              <w:pStyle w:val="Teksttabelilewy"/>
            </w:pPr>
            <w:r>
              <w:t>JCWP</w:t>
            </w:r>
            <w:r w:rsidR="00213B00" w:rsidRPr="00795F17">
              <w:t xml:space="preserve"> RW</w:t>
            </w:r>
          </w:p>
        </w:tc>
        <w:tc>
          <w:tcPr>
            <w:tcW w:w="877" w:type="dxa"/>
            <w:tcBorders>
              <w:top w:val="nil"/>
              <w:left w:val="nil"/>
              <w:bottom w:val="single" w:sz="4" w:space="0" w:color="auto"/>
              <w:right w:val="single" w:sz="4" w:space="0" w:color="auto"/>
            </w:tcBorders>
            <w:shd w:val="clear" w:color="auto" w:fill="auto"/>
            <w:vAlign w:val="center"/>
            <w:hideMark/>
          </w:tcPr>
          <w:p w14:paraId="4BF9EC33" w14:textId="43E25910" w:rsidR="000205E2" w:rsidRPr="00795F17" w:rsidRDefault="000205E2" w:rsidP="0065243A">
            <w:pPr>
              <w:pStyle w:val="Teksttabelisrodek"/>
            </w:pPr>
            <w:r w:rsidRPr="00795F17">
              <w:t>1</w:t>
            </w:r>
            <w:r w:rsidR="00213B00" w:rsidRPr="00795F17">
              <w:t> </w:t>
            </w:r>
            <w:r w:rsidRPr="00795F17">
              <w:t>272</w:t>
            </w:r>
          </w:p>
        </w:tc>
        <w:tc>
          <w:tcPr>
            <w:tcW w:w="1449" w:type="dxa"/>
            <w:tcBorders>
              <w:top w:val="nil"/>
              <w:left w:val="nil"/>
              <w:bottom w:val="single" w:sz="4" w:space="0" w:color="auto"/>
              <w:right w:val="single" w:sz="4" w:space="0" w:color="auto"/>
            </w:tcBorders>
            <w:shd w:val="clear" w:color="auto" w:fill="auto"/>
            <w:vAlign w:val="center"/>
            <w:hideMark/>
          </w:tcPr>
          <w:p w14:paraId="4DE74CF3" w14:textId="77777777" w:rsidR="000205E2" w:rsidRPr="00795F17" w:rsidRDefault="000205E2" w:rsidP="0065243A">
            <w:pPr>
              <w:pStyle w:val="Teksttabelisrodek"/>
            </w:pPr>
            <w:r w:rsidRPr="00795F17">
              <w:t>610</w:t>
            </w:r>
          </w:p>
        </w:tc>
        <w:tc>
          <w:tcPr>
            <w:tcW w:w="1821" w:type="dxa"/>
            <w:tcBorders>
              <w:top w:val="nil"/>
              <w:left w:val="nil"/>
              <w:bottom w:val="single" w:sz="4" w:space="0" w:color="auto"/>
              <w:right w:val="single" w:sz="4" w:space="0" w:color="auto"/>
            </w:tcBorders>
            <w:shd w:val="clear" w:color="auto" w:fill="auto"/>
            <w:vAlign w:val="center"/>
            <w:hideMark/>
          </w:tcPr>
          <w:p w14:paraId="3D7FD9BF" w14:textId="77777777" w:rsidR="000205E2" w:rsidRPr="00795F17" w:rsidRDefault="000205E2" w:rsidP="0065243A">
            <w:pPr>
              <w:pStyle w:val="Teksttabelisrodek"/>
            </w:pPr>
            <w:r w:rsidRPr="00795F17">
              <w:t>244</w:t>
            </w:r>
          </w:p>
        </w:tc>
        <w:tc>
          <w:tcPr>
            <w:tcW w:w="1101" w:type="dxa"/>
            <w:tcBorders>
              <w:top w:val="nil"/>
              <w:left w:val="nil"/>
              <w:bottom w:val="single" w:sz="4" w:space="0" w:color="auto"/>
              <w:right w:val="single" w:sz="4" w:space="0" w:color="auto"/>
            </w:tcBorders>
            <w:shd w:val="clear" w:color="auto" w:fill="auto"/>
            <w:vAlign w:val="center"/>
            <w:hideMark/>
          </w:tcPr>
          <w:p w14:paraId="6CD15B90" w14:textId="77777777" w:rsidR="000205E2" w:rsidRPr="00795F17" w:rsidRDefault="000205E2" w:rsidP="0065243A">
            <w:pPr>
              <w:pStyle w:val="Teksttabelisrodek"/>
            </w:pPr>
            <w:r w:rsidRPr="00795F17">
              <w:t>252</w:t>
            </w:r>
          </w:p>
        </w:tc>
        <w:tc>
          <w:tcPr>
            <w:tcW w:w="1142" w:type="dxa"/>
            <w:tcBorders>
              <w:top w:val="nil"/>
              <w:left w:val="nil"/>
              <w:bottom w:val="single" w:sz="4" w:space="0" w:color="auto"/>
              <w:right w:val="single" w:sz="4" w:space="0" w:color="auto"/>
            </w:tcBorders>
            <w:shd w:val="clear" w:color="auto" w:fill="auto"/>
            <w:vAlign w:val="center"/>
            <w:hideMark/>
          </w:tcPr>
          <w:p w14:paraId="36B281B9" w14:textId="77777777" w:rsidR="000205E2" w:rsidRPr="00795F17" w:rsidRDefault="000205E2" w:rsidP="0065243A">
            <w:pPr>
              <w:pStyle w:val="Teksttabelisrodek"/>
            </w:pPr>
            <w:r w:rsidRPr="00795F17">
              <w:t>602</w:t>
            </w:r>
          </w:p>
        </w:tc>
        <w:tc>
          <w:tcPr>
            <w:tcW w:w="1098" w:type="dxa"/>
            <w:tcBorders>
              <w:top w:val="nil"/>
              <w:left w:val="nil"/>
              <w:bottom w:val="single" w:sz="4" w:space="0" w:color="auto"/>
              <w:right w:val="single" w:sz="4" w:space="0" w:color="auto"/>
            </w:tcBorders>
            <w:shd w:val="clear" w:color="auto" w:fill="auto"/>
            <w:vAlign w:val="center"/>
            <w:hideMark/>
          </w:tcPr>
          <w:p w14:paraId="79276AF3" w14:textId="77777777" w:rsidR="000205E2" w:rsidRPr="00795F17" w:rsidRDefault="000205E2" w:rsidP="0065243A">
            <w:pPr>
              <w:pStyle w:val="Teksttabelisrodek"/>
            </w:pPr>
            <w:r w:rsidRPr="00795F17">
              <w:t>418</w:t>
            </w:r>
          </w:p>
        </w:tc>
      </w:tr>
      <w:tr w:rsidR="000205E2" w:rsidRPr="00795F17" w14:paraId="2A7177DC" w14:textId="77777777" w:rsidTr="001C6219">
        <w:trPr>
          <w:trHeight w:val="454"/>
        </w:trPr>
        <w:tc>
          <w:tcPr>
            <w:tcW w:w="416" w:type="dxa"/>
            <w:tcBorders>
              <w:top w:val="nil"/>
              <w:left w:val="single" w:sz="4" w:space="0" w:color="auto"/>
              <w:bottom w:val="single" w:sz="4" w:space="0" w:color="auto"/>
              <w:right w:val="single" w:sz="4" w:space="0" w:color="auto"/>
            </w:tcBorders>
            <w:shd w:val="clear" w:color="auto" w:fill="auto"/>
            <w:vAlign w:val="center"/>
            <w:hideMark/>
          </w:tcPr>
          <w:p w14:paraId="1DC441E2" w14:textId="2512E7B8" w:rsidR="000205E2" w:rsidRPr="00795F17" w:rsidRDefault="000205E2" w:rsidP="0065243A">
            <w:pPr>
              <w:pStyle w:val="Teksttabelisrodek"/>
            </w:pPr>
            <w:r w:rsidRPr="00795F17">
              <w:t>3</w:t>
            </w:r>
            <w:r w:rsidR="003F504A" w:rsidRPr="00795F17">
              <w:t>.</w:t>
            </w:r>
          </w:p>
        </w:tc>
        <w:tc>
          <w:tcPr>
            <w:tcW w:w="1112" w:type="dxa"/>
            <w:tcBorders>
              <w:top w:val="nil"/>
              <w:left w:val="nil"/>
              <w:bottom w:val="single" w:sz="4" w:space="0" w:color="auto"/>
              <w:right w:val="single" w:sz="4" w:space="0" w:color="auto"/>
            </w:tcBorders>
            <w:shd w:val="clear" w:color="auto" w:fill="auto"/>
            <w:vAlign w:val="center"/>
            <w:hideMark/>
          </w:tcPr>
          <w:p w14:paraId="0D203DDE" w14:textId="6C562001" w:rsidR="000205E2" w:rsidRPr="00795F17" w:rsidRDefault="00DF005E" w:rsidP="0044393D">
            <w:pPr>
              <w:pStyle w:val="Teksttabelilewy"/>
            </w:pPr>
            <w:r>
              <w:t>JCWP</w:t>
            </w:r>
            <w:r w:rsidR="00213B00" w:rsidRPr="00795F17">
              <w:t xml:space="preserve"> RWr</w:t>
            </w:r>
          </w:p>
        </w:tc>
        <w:tc>
          <w:tcPr>
            <w:tcW w:w="877" w:type="dxa"/>
            <w:tcBorders>
              <w:top w:val="nil"/>
              <w:left w:val="nil"/>
              <w:bottom w:val="single" w:sz="4" w:space="0" w:color="auto"/>
              <w:right w:val="single" w:sz="4" w:space="0" w:color="auto"/>
            </w:tcBorders>
            <w:shd w:val="clear" w:color="auto" w:fill="auto"/>
            <w:vAlign w:val="center"/>
            <w:hideMark/>
          </w:tcPr>
          <w:p w14:paraId="28F21B0F" w14:textId="77777777" w:rsidR="000205E2" w:rsidRPr="00795F17" w:rsidRDefault="000205E2" w:rsidP="0065243A">
            <w:pPr>
              <w:pStyle w:val="Teksttabelisrodek"/>
            </w:pPr>
            <w:r w:rsidRPr="00795F17">
              <w:t>19</w:t>
            </w:r>
          </w:p>
        </w:tc>
        <w:tc>
          <w:tcPr>
            <w:tcW w:w="1449" w:type="dxa"/>
            <w:tcBorders>
              <w:top w:val="nil"/>
              <w:left w:val="nil"/>
              <w:bottom w:val="single" w:sz="4" w:space="0" w:color="auto"/>
              <w:right w:val="single" w:sz="4" w:space="0" w:color="auto"/>
            </w:tcBorders>
            <w:shd w:val="clear" w:color="auto" w:fill="auto"/>
            <w:vAlign w:val="center"/>
            <w:hideMark/>
          </w:tcPr>
          <w:p w14:paraId="6B04C4C5" w14:textId="77777777" w:rsidR="000205E2" w:rsidRPr="00795F17" w:rsidRDefault="000205E2" w:rsidP="0065243A">
            <w:pPr>
              <w:pStyle w:val="Teksttabelisrodek"/>
            </w:pPr>
            <w:r w:rsidRPr="00795F17">
              <w:t>19</w:t>
            </w:r>
          </w:p>
        </w:tc>
        <w:tc>
          <w:tcPr>
            <w:tcW w:w="1821" w:type="dxa"/>
            <w:tcBorders>
              <w:top w:val="nil"/>
              <w:left w:val="nil"/>
              <w:bottom w:val="single" w:sz="4" w:space="0" w:color="auto"/>
              <w:right w:val="single" w:sz="4" w:space="0" w:color="auto"/>
            </w:tcBorders>
            <w:shd w:val="clear" w:color="auto" w:fill="auto"/>
            <w:vAlign w:val="center"/>
            <w:hideMark/>
          </w:tcPr>
          <w:p w14:paraId="30FDADDB" w14:textId="77777777" w:rsidR="000205E2" w:rsidRPr="00795F17" w:rsidRDefault="000205E2" w:rsidP="0065243A">
            <w:pPr>
              <w:pStyle w:val="Teksttabelisrodek"/>
            </w:pPr>
            <w:r w:rsidRPr="00795F17">
              <w:t>-</w:t>
            </w:r>
          </w:p>
        </w:tc>
        <w:tc>
          <w:tcPr>
            <w:tcW w:w="1101" w:type="dxa"/>
            <w:tcBorders>
              <w:top w:val="nil"/>
              <w:left w:val="nil"/>
              <w:bottom w:val="single" w:sz="4" w:space="0" w:color="auto"/>
              <w:right w:val="single" w:sz="4" w:space="0" w:color="auto"/>
            </w:tcBorders>
            <w:shd w:val="clear" w:color="auto" w:fill="auto"/>
            <w:vAlign w:val="center"/>
            <w:hideMark/>
          </w:tcPr>
          <w:p w14:paraId="0F0380CE" w14:textId="77777777" w:rsidR="000205E2" w:rsidRPr="00795F17" w:rsidRDefault="000205E2" w:rsidP="0065243A">
            <w:pPr>
              <w:pStyle w:val="Teksttabelisrodek"/>
            </w:pPr>
            <w:r w:rsidRPr="00795F17">
              <w:t>1</w:t>
            </w:r>
          </w:p>
        </w:tc>
        <w:tc>
          <w:tcPr>
            <w:tcW w:w="1142" w:type="dxa"/>
            <w:tcBorders>
              <w:top w:val="nil"/>
              <w:left w:val="nil"/>
              <w:bottom w:val="single" w:sz="4" w:space="0" w:color="auto"/>
              <w:right w:val="single" w:sz="4" w:space="0" w:color="auto"/>
            </w:tcBorders>
            <w:shd w:val="clear" w:color="auto" w:fill="auto"/>
            <w:vAlign w:val="center"/>
            <w:hideMark/>
          </w:tcPr>
          <w:p w14:paraId="147114F0" w14:textId="77777777" w:rsidR="000205E2" w:rsidRPr="00795F17" w:rsidRDefault="000205E2" w:rsidP="0065243A">
            <w:pPr>
              <w:pStyle w:val="Teksttabelisrodek"/>
            </w:pPr>
            <w:r w:rsidRPr="00795F17">
              <w:t>18</w:t>
            </w:r>
          </w:p>
        </w:tc>
        <w:tc>
          <w:tcPr>
            <w:tcW w:w="1098" w:type="dxa"/>
            <w:tcBorders>
              <w:top w:val="nil"/>
              <w:left w:val="nil"/>
              <w:bottom w:val="single" w:sz="4" w:space="0" w:color="auto"/>
              <w:right w:val="single" w:sz="4" w:space="0" w:color="auto"/>
            </w:tcBorders>
            <w:shd w:val="clear" w:color="auto" w:fill="auto"/>
            <w:vAlign w:val="center"/>
            <w:hideMark/>
          </w:tcPr>
          <w:p w14:paraId="513CF435" w14:textId="77777777" w:rsidR="000205E2" w:rsidRPr="00795F17" w:rsidRDefault="000205E2" w:rsidP="0065243A">
            <w:pPr>
              <w:pStyle w:val="Teksttabelisrodek"/>
            </w:pPr>
            <w:r w:rsidRPr="00795F17">
              <w:t>-</w:t>
            </w:r>
          </w:p>
        </w:tc>
      </w:tr>
      <w:tr w:rsidR="000205E2" w:rsidRPr="00795F17" w14:paraId="14F44705" w14:textId="77777777" w:rsidTr="001C6219">
        <w:trPr>
          <w:trHeight w:val="454"/>
        </w:trPr>
        <w:tc>
          <w:tcPr>
            <w:tcW w:w="416" w:type="dxa"/>
            <w:tcBorders>
              <w:top w:val="nil"/>
              <w:left w:val="single" w:sz="4" w:space="0" w:color="auto"/>
              <w:bottom w:val="single" w:sz="4" w:space="0" w:color="auto"/>
              <w:right w:val="single" w:sz="4" w:space="0" w:color="auto"/>
            </w:tcBorders>
            <w:shd w:val="clear" w:color="auto" w:fill="auto"/>
            <w:vAlign w:val="center"/>
            <w:hideMark/>
          </w:tcPr>
          <w:p w14:paraId="5E100E42" w14:textId="6150421A" w:rsidR="000205E2" w:rsidRPr="00795F17" w:rsidRDefault="000205E2" w:rsidP="0065243A">
            <w:pPr>
              <w:pStyle w:val="Teksttabelisrodek"/>
            </w:pPr>
            <w:r w:rsidRPr="00795F17">
              <w:t>4</w:t>
            </w:r>
            <w:r w:rsidR="003F504A" w:rsidRPr="00795F17">
              <w:t>.</w:t>
            </w:r>
          </w:p>
        </w:tc>
        <w:tc>
          <w:tcPr>
            <w:tcW w:w="1112" w:type="dxa"/>
            <w:tcBorders>
              <w:top w:val="nil"/>
              <w:left w:val="nil"/>
              <w:bottom w:val="single" w:sz="4" w:space="0" w:color="auto"/>
              <w:right w:val="single" w:sz="4" w:space="0" w:color="auto"/>
            </w:tcBorders>
            <w:shd w:val="clear" w:color="auto" w:fill="auto"/>
            <w:vAlign w:val="center"/>
            <w:hideMark/>
          </w:tcPr>
          <w:p w14:paraId="28FFE3ED" w14:textId="6764FF14" w:rsidR="000205E2" w:rsidRPr="00795F17" w:rsidRDefault="00DF005E" w:rsidP="0044393D">
            <w:pPr>
              <w:pStyle w:val="Teksttabelilewy"/>
            </w:pPr>
            <w:r>
              <w:t>JCWP</w:t>
            </w:r>
            <w:r w:rsidR="00213B00" w:rsidRPr="00795F17">
              <w:t xml:space="preserve"> CW</w:t>
            </w:r>
          </w:p>
        </w:tc>
        <w:tc>
          <w:tcPr>
            <w:tcW w:w="877" w:type="dxa"/>
            <w:tcBorders>
              <w:top w:val="nil"/>
              <w:left w:val="nil"/>
              <w:bottom w:val="single" w:sz="4" w:space="0" w:color="auto"/>
              <w:right w:val="single" w:sz="4" w:space="0" w:color="auto"/>
            </w:tcBorders>
            <w:shd w:val="clear" w:color="auto" w:fill="auto"/>
            <w:vAlign w:val="center"/>
            <w:hideMark/>
          </w:tcPr>
          <w:p w14:paraId="7BD7CECA" w14:textId="77777777" w:rsidR="000205E2" w:rsidRPr="00795F17" w:rsidRDefault="000205E2" w:rsidP="0065243A">
            <w:pPr>
              <w:pStyle w:val="Teksttabelisrodek"/>
            </w:pPr>
            <w:r w:rsidRPr="00795F17">
              <w:t>2</w:t>
            </w:r>
          </w:p>
        </w:tc>
        <w:tc>
          <w:tcPr>
            <w:tcW w:w="1449" w:type="dxa"/>
            <w:tcBorders>
              <w:top w:val="nil"/>
              <w:left w:val="nil"/>
              <w:bottom w:val="single" w:sz="4" w:space="0" w:color="auto"/>
              <w:right w:val="single" w:sz="4" w:space="0" w:color="auto"/>
            </w:tcBorders>
            <w:shd w:val="clear" w:color="auto" w:fill="auto"/>
            <w:vAlign w:val="center"/>
            <w:hideMark/>
          </w:tcPr>
          <w:p w14:paraId="21251777" w14:textId="77777777" w:rsidR="000205E2" w:rsidRPr="00795F17" w:rsidRDefault="000205E2" w:rsidP="0065243A">
            <w:pPr>
              <w:pStyle w:val="Teksttabelisrodek"/>
            </w:pPr>
            <w:r w:rsidRPr="00795F17">
              <w:t>2</w:t>
            </w:r>
          </w:p>
        </w:tc>
        <w:tc>
          <w:tcPr>
            <w:tcW w:w="1821" w:type="dxa"/>
            <w:tcBorders>
              <w:top w:val="nil"/>
              <w:left w:val="nil"/>
              <w:bottom w:val="single" w:sz="4" w:space="0" w:color="auto"/>
              <w:right w:val="single" w:sz="4" w:space="0" w:color="auto"/>
            </w:tcBorders>
            <w:shd w:val="clear" w:color="auto" w:fill="auto"/>
            <w:vAlign w:val="center"/>
            <w:hideMark/>
          </w:tcPr>
          <w:p w14:paraId="27020247" w14:textId="77777777" w:rsidR="000205E2" w:rsidRPr="00795F17" w:rsidRDefault="000205E2" w:rsidP="0065243A">
            <w:pPr>
              <w:pStyle w:val="Teksttabelisrodek"/>
            </w:pPr>
            <w:r w:rsidRPr="00795F17">
              <w:t>-</w:t>
            </w:r>
          </w:p>
        </w:tc>
        <w:tc>
          <w:tcPr>
            <w:tcW w:w="1101" w:type="dxa"/>
            <w:tcBorders>
              <w:top w:val="nil"/>
              <w:left w:val="nil"/>
              <w:bottom w:val="single" w:sz="4" w:space="0" w:color="auto"/>
              <w:right w:val="single" w:sz="4" w:space="0" w:color="auto"/>
            </w:tcBorders>
            <w:shd w:val="clear" w:color="auto" w:fill="auto"/>
            <w:vAlign w:val="center"/>
            <w:hideMark/>
          </w:tcPr>
          <w:p w14:paraId="131E33AA" w14:textId="77777777" w:rsidR="000205E2" w:rsidRPr="00795F17" w:rsidRDefault="000205E2" w:rsidP="0065243A">
            <w:pPr>
              <w:pStyle w:val="Teksttabelisrodek"/>
            </w:pPr>
            <w:r w:rsidRPr="00795F17">
              <w:t>-</w:t>
            </w:r>
          </w:p>
        </w:tc>
        <w:tc>
          <w:tcPr>
            <w:tcW w:w="1142" w:type="dxa"/>
            <w:tcBorders>
              <w:top w:val="nil"/>
              <w:left w:val="nil"/>
              <w:bottom w:val="single" w:sz="4" w:space="0" w:color="auto"/>
              <w:right w:val="single" w:sz="4" w:space="0" w:color="auto"/>
            </w:tcBorders>
            <w:shd w:val="clear" w:color="auto" w:fill="auto"/>
            <w:vAlign w:val="center"/>
            <w:hideMark/>
          </w:tcPr>
          <w:p w14:paraId="08B0BA62" w14:textId="77777777" w:rsidR="000205E2" w:rsidRPr="00795F17" w:rsidRDefault="000205E2" w:rsidP="0065243A">
            <w:pPr>
              <w:pStyle w:val="Teksttabelisrodek"/>
            </w:pPr>
            <w:r w:rsidRPr="00795F17">
              <w:t>2</w:t>
            </w:r>
          </w:p>
        </w:tc>
        <w:tc>
          <w:tcPr>
            <w:tcW w:w="1098" w:type="dxa"/>
            <w:tcBorders>
              <w:top w:val="nil"/>
              <w:left w:val="nil"/>
              <w:bottom w:val="single" w:sz="4" w:space="0" w:color="auto"/>
              <w:right w:val="single" w:sz="4" w:space="0" w:color="auto"/>
            </w:tcBorders>
            <w:shd w:val="clear" w:color="auto" w:fill="auto"/>
            <w:vAlign w:val="center"/>
            <w:hideMark/>
          </w:tcPr>
          <w:p w14:paraId="7EEAE8DC" w14:textId="77777777" w:rsidR="000205E2" w:rsidRPr="00795F17" w:rsidRDefault="000205E2" w:rsidP="0065243A">
            <w:pPr>
              <w:pStyle w:val="Teksttabelisrodek"/>
            </w:pPr>
            <w:r w:rsidRPr="00795F17">
              <w:t>-</w:t>
            </w:r>
          </w:p>
        </w:tc>
      </w:tr>
      <w:tr w:rsidR="000205E2" w:rsidRPr="00795F17" w14:paraId="5DA4D659" w14:textId="77777777" w:rsidTr="001C6219">
        <w:trPr>
          <w:trHeight w:val="454"/>
        </w:trPr>
        <w:tc>
          <w:tcPr>
            <w:tcW w:w="416" w:type="dxa"/>
            <w:tcBorders>
              <w:top w:val="nil"/>
              <w:left w:val="single" w:sz="4" w:space="0" w:color="auto"/>
              <w:bottom w:val="single" w:sz="4" w:space="0" w:color="auto"/>
              <w:right w:val="single" w:sz="4" w:space="0" w:color="auto"/>
            </w:tcBorders>
            <w:shd w:val="clear" w:color="auto" w:fill="auto"/>
            <w:vAlign w:val="center"/>
            <w:hideMark/>
          </w:tcPr>
          <w:p w14:paraId="7A555178" w14:textId="5F04CB7E" w:rsidR="000205E2" w:rsidRPr="00795F17" w:rsidRDefault="000205E2" w:rsidP="0065243A">
            <w:pPr>
              <w:pStyle w:val="Teksttabelisrodek"/>
            </w:pPr>
            <w:r w:rsidRPr="00795F17">
              <w:t>5</w:t>
            </w:r>
            <w:r w:rsidR="003F504A" w:rsidRPr="00795F17">
              <w:t>.</w:t>
            </w:r>
          </w:p>
        </w:tc>
        <w:tc>
          <w:tcPr>
            <w:tcW w:w="1112" w:type="dxa"/>
            <w:tcBorders>
              <w:top w:val="nil"/>
              <w:left w:val="nil"/>
              <w:bottom w:val="single" w:sz="4" w:space="0" w:color="auto"/>
              <w:right w:val="single" w:sz="4" w:space="0" w:color="auto"/>
            </w:tcBorders>
            <w:shd w:val="clear" w:color="auto" w:fill="auto"/>
            <w:vAlign w:val="center"/>
            <w:hideMark/>
          </w:tcPr>
          <w:p w14:paraId="362373D0" w14:textId="49CE8706" w:rsidR="000205E2" w:rsidRPr="00795F17" w:rsidRDefault="00DF005E" w:rsidP="0044393D">
            <w:pPr>
              <w:pStyle w:val="Teksttabelilewy"/>
            </w:pPr>
            <w:r>
              <w:t>JCWP</w:t>
            </w:r>
            <w:r w:rsidR="00213B00" w:rsidRPr="00795F17">
              <w:t xml:space="preserve"> TW</w:t>
            </w:r>
          </w:p>
        </w:tc>
        <w:tc>
          <w:tcPr>
            <w:tcW w:w="877" w:type="dxa"/>
            <w:tcBorders>
              <w:top w:val="nil"/>
              <w:left w:val="nil"/>
              <w:bottom w:val="single" w:sz="4" w:space="0" w:color="auto"/>
              <w:right w:val="single" w:sz="4" w:space="0" w:color="auto"/>
            </w:tcBorders>
            <w:shd w:val="clear" w:color="auto" w:fill="auto"/>
            <w:vAlign w:val="center"/>
            <w:hideMark/>
          </w:tcPr>
          <w:p w14:paraId="091EB8ED" w14:textId="77777777" w:rsidR="000205E2" w:rsidRPr="00795F17" w:rsidRDefault="000205E2" w:rsidP="0065243A">
            <w:pPr>
              <w:pStyle w:val="Teksttabelisrodek"/>
            </w:pPr>
            <w:r w:rsidRPr="00795F17">
              <w:t>2</w:t>
            </w:r>
          </w:p>
        </w:tc>
        <w:tc>
          <w:tcPr>
            <w:tcW w:w="1449" w:type="dxa"/>
            <w:tcBorders>
              <w:top w:val="nil"/>
              <w:left w:val="nil"/>
              <w:bottom w:val="single" w:sz="4" w:space="0" w:color="auto"/>
              <w:right w:val="single" w:sz="4" w:space="0" w:color="auto"/>
            </w:tcBorders>
            <w:shd w:val="clear" w:color="auto" w:fill="auto"/>
            <w:vAlign w:val="center"/>
            <w:hideMark/>
          </w:tcPr>
          <w:p w14:paraId="7AA8FEB6" w14:textId="77777777" w:rsidR="000205E2" w:rsidRPr="00795F17" w:rsidRDefault="000205E2" w:rsidP="0065243A">
            <w:pPr>
              <w:pStyle w:val="Teksttabelisrodek"/>
            </w:pPr>
            <w:r w:rsidRPr="00795F17">
              <w:t>2</w:t>
            </w:r>
          </w:p>
        </w:tc>
        <w:tc>
          <w:tcPr>
            <w:tcW w:w="1821" w:type="dxa"/>
            <w:tcBorders>
              <w:top w:val="nil"/>
              <w:left w:val="nil"/>
              <w:bottom w:val="single" w:sz="4" w:space="0" w:color="auto"/>
              <w:right w:val="single" w:sz="4" w:space="0" w:color="auto"/>
            </w:tcBorders>
            <w:shd w:val="clear" w:color="auto" w:fill="auto"/>
            <w:vAlign w:val="center"/>
            <w:hideMark/>
          </w:tcPr>
          <w:p w14:paraId="4040892C" w14:textId="77777777" w:rsidR="000205E2" w:rsidRPr="00795F17" w:rsidRDefault="000205E2" w:rsidP="0065243A">
            <w:pPr>
              <w:pStyle w:val="Teksttabelisrodek"/>
            </w:pPr>
            <w:r w:rsidRPr="00795F17">
              <w:t>-</w:t>
            </w:r>
          </w:p>
        </w:tc>
        <w:tc>
          <w:tcPr>
            <w:tcW w:w="1101" w:type="dxa"/>
            <w:tcBorders>
              <w:top w:val="nil"/>
              <w:left w:val="nil"/>
              <w:bottom w:val="single" w:sz="4" w:space="0" w:color="auto"/>
              <w:right w:val="single" w:sz="4" w:space="0" w:color="auto"/>
            </w:tcBorders>
            <w:shd w:val="clear" w:color="auto" w:fill="auto"/>
            <w:vAlign w:val="center"/>
            <w:hideMark/>
          </w:tcPr>
          <w:p w14:paraId="06DB3CF9" w14:textId="77777777" w:rsidR="000205E2" w:rsidRPr="00795F17" w:rsidRDefault="000205E2" w:rsidP="0065243A">
            <w:pPr>
              <w:pStyle w:val="Teksttabelisrodek"/>
            </w:pPr>
            <w:r w:rsidRPr="00795F17">
              <w:t>-</w:t>
            </w:r>
          </w:p>
        </w:tc>
        <w:tc>
          <w:tcPr>
            <w:tcW w:w="1142" w:type="dxa"/>
            <w:tcBorders>
              <w:top w:val="nil"/>
              <w:left w:val="nil"/>
              <w:bottom w:val="single" w:sz="4" w:space="0" w:color="auto"/>
              <w:right w:val="single" w:sz="4" w:space="0" w:color="auto"/>
            </w:tcBorders>
            <w:shd w:val="clear" w:color="auto" w:fill="auto"/>
            <w:vAlign w:val="center"/>
            <w:hideMark/>
          </w:tcPr>
          <w:p w14:paraId="23BEC3B9" w14:textId="77777777" w:rsidR="000205E2" w:rsidRPr="00795F17" w:rsidRDefault="000205E2" w:rsidP="0065243A">
            <w:pPr>
              <w:pStyle w:val="Teksttabelisrodek"/>
            </w:pPr>
            <w:r w:rsidRPr="00795F17">
              <w:t>2</w:t>
            </w:r>
          </w:p>
        </w:tc>
        <w:tc>
          <w:tcPr>
            <w:tcW w:w="1098" w:type="dxa"/>
            <w:tcBorders>
              <w:top w:val="nil"/>
              <w:left w:val="nil"/>
              <w:bottom w:val="single" w:sz="4" w:space="0" w:color="auto"/>
              <w:right w:val="single" w:sz="4" w:space="0" w:color="auto"/>
            </w:tcBorders>
            <w:shd w:val="clear" w:color="auto" w:fill="auto"/>
            <w:vAlign w:val="center"/>
            <w:hideMark/>
          </w:tcPr>
          <w:p w14:paraId="68674A93" w14:textId="77777777" w:rsidR="000205E2" w:rsidRPr="00795F17" w:rsidRDefault="000205E2" w:rsidP="0065243A">
            <w:pPr>
              <w:pStyle w:val="Teksttabelisrodek"/>
            </w:pPr>
            <w:r w:rsidRPr="00795F17">
              <w:t>-</w:t>
            </w:r>
          </w:p>
        </w:tc>
      </w:tr>
      <w:tr w:rsidR="000205E2" w:rsidRPr="00795F17" w14:paraId="648C0CF6" w14:textId="77777777" w:rsidTr="001C6219">
        <w:trPr>
          <w:trHeight w:val="454"/>
        </w:trPr>
        <w:tc>
          <w:tcPr>
            <w:tcW w:w="152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BFF238" w14:textId="1F11B3FB" w:rsidR="000205E2" w:rsidRPr="00795F17" w:rsidRDefault="000205E2" w:rsidP="00213B00">
            <w:pPr>
              <w:pStyle w:val="Teksttabelinaglowek"/>
            </w:pPr>
            <w:r w:rsidRPr="00795F17">
              <w:t xml:space="preserve">Łącznie </w:t>
            </w:r>
            <w:r w:rsidR="00DF005E">
              <w:t>JCWP</w:t>
            </w:r>
          </w:p>
        </w:tc>
        <w:tc>
          <w:tcPr>
            <w:tcW w:w="877" w:type="dxa"/>
            <w:tcBorders>
              <w:top w:val="nil"/>
              <w:left w:val="nil"/>
              <w:bottom w:val="single" w:sz="4" w:space="0" w:color="auto"/>
              <w:right w:val="single" w:sz="4" w:space="0" w:color="auto"/>
            </w:tcBorders>
            <w:shd w:val="clear" w:color="auto" w:fill="BFBFBF" w:themeFill="background1" w:themeFillShade="BF"/>
            <w:vAlign w:val="center"/>
            <w:hideMark/>
          </w:tcPr>
          <w:p w14:paraId="39BC18AC" w14:textId="2E3F8098" w:rsidR="000205E2" w:rsidRPr="00795F17" w:rsidRDefault="000205E2" w:rsidP="00213B00">
            <w:pPr>
              <w:pStyle w:val="Teksttabelinaglowek"/>
            </w:pPr>
            <w:r w:rsidRPr="00795F17">
              <w:t>1</w:t>
            </w:r>
            <w:r w:rsidR="008A739A" w:rsidRPr="00795F17">
              <w:t xml:space="preserve"> </w:t>
            </w:r>
            <w:r w:rsidRPr="00795F17">
              <w:t>722</w:t>
            </w:r>
          </w:p>
        </w:tc>
        <w:tc>
          <w:tcPr>
            <w:tcW w:w="1449" w:type="dxa"/>
            <w:tcBorders>
              <w:top w:val="nil"/>
              <w:left w:val="nil"/>
              <w:bottom w:val="single" w:sz="4" w:space="0" w:color="auto"/>
              <w:right w:val="single" w:sz="4" w:space="0" w:color="auto"/>
            </w:tcBorders>
            <w:shd w:val="clear" w:color="auto" w:fill="BFBFBF" w:themeFill="background1" w:themeFillShade="BF"/>
            <w:vAlign w:val="center"/>
            <w:hideMark/>
          </w:tcPr>
          <w:p w14:paraId="000B5F85" w14:textId="77777777" w:rsidR="000205E2" w:rsidRPr="00795F17" w:rsidRDefault="000205E2" w:rsidP="00213B00">
            <w:pPr>
              <w:pStyle w:val="Teksttabelinaglowek"/>
            </w:pPr>
            <w:r w:rsidRPr="00795F17">
              <w:t>887</w:t>
            </w:r>
          </w:p>
        </w:tc>
        <w:tc>
          <w:tcPr>
            <w:tcW w:w="1821" w:type="dxa"/>
            <w:tcBorders>
              <w:top w:val="nil"/>
              <w:left w:val="nil"/>
              <w:bottom w:val="single" w:sz="4" w:space="0" w:color="auto"/>
              <w:right w:val="single" w:sz="4" w:space="0" w:color="auto"/>
            </w:tcBorders>
            <w:shd w:val="clear" w:color="auto" w:fill="BFBFBF" w:themeFill="background1" w:themeFillShade="BF"/>
            <w:vAlign w:val="center"/>
            <w:hideMark/>
          </w:tcPr>
          <w:p w14:paraId="4F5C2D69" w14:textId="77777777" w:rsidR="000205E2" w:rsidRPr="00795F17" w:rsidRDefault="000205E2" w:rsidP="00213B00">
            <w:pPr>
              <w:pStyle w:val="Teksttabelinaglowek"/>
            </w:pPr>
            <w:r w:rsidRPr="00795F17">
              <w:t>417</w:t>
            </w:r>
          </w:p>
        </w:tc>
        <w:tc>
          <w:tcPr>
            <w:tcW w:w="1101" w:type="dxa"/>
            <w:tcBorders>
              <w:top w:val="nil"/>
              <w:left w:val="nil"/>
              <w:bottom w:val="single" w:sz="4" w:space="0" w:color="auto"/>
              <w:right w:val="single" w:sz="4" w:space="0" w:color="auto"/>
            </w:tcBorders>
            <w:shd w:val="clear" w:color="auto" w:fill="BFBFBF" w:themeFill="background1" w:themeFillShade="BF"/>
            <w:vAlign w:val="center"/>
            <w:hideMark/>
          </w:tcPr>
          <w:p w14:paraId="1E46E28D" w14:textId="77777777" w:rsidR="000205E2" w:rsidRPr="00795F17" w:rsidRDefault="000205E2" w:rsidP="00213B00">
            <w:pPr>
              <w:pStyle w:val="Teksttabelinaglowek"/>
            </w:pPr>
            <w:r w:rsidRPr="00795F17">
              <w:t>420</w:t>
            </w:r>
          </w:p>
        </w:tc>
        <w:tc>
          <w:tcPr>
            <w:tcW w:w="1142" w:type="dxa"/>
            <w:tcBorders>
              <w:top w:val="nil"/>
              <w:left w:val="nil"/>
              <w:bottom w:val="single" w:sz="4" w:space="0" w:color="auto"/>
              <w:right w:val="single" w:sz="4" w:space="0" w:color="auto"/>
            </w:tcBorders>
            <w:shd w:val="clear" w:color="auto" w:fill="BFBFBF" w:themeFill="background1" w:themeFillShade="BF"/>
            <w:vAlign w:val="center"/>
            <w:hideMark/>
          </w:tcPr>
          <w:p w14:paraId="206DEE53" w14:textId="77777777" w:rsidR="000205E2" w:rsidRPr="00795F17" w:rsidRDefault="000205E2" w:rsidP="00213B00">
            <w:pPr>
              <w:pStyle w:val="Teksttabelinaglowek"/>
            </w:pPr>
            <w:r w:rsidRPr="00795F17">
              <w:t>884</w:t>
            </w:r>
          </w:p>
        </w:tc>
        <w:tc>
          <w:tcPr>
            <w:tcW w:w="1098" w:type="dxa"/>
            <w:tcBorders>
              <w:top w:val="nil"/>
              <w:left w:val="nil"/>
              <w:bottom w:val="single" w:sz="4" w:space="0" w:color="auto"/>
              <w:right w:val="single" w:sz="4" w:space="0" w:color="auto"/>
            </w:tcBorders>
            <w:shd w:val="clear" w:color="auto" w:fill="BFBFBF" w:themeFill="background1" w:themeFillShade="BF"/>
            <w:vAlign w:val="center"/>
            <w:hideMark/>
          </w:tcPr>
          <w:p w14:paraId="345CBB59" w14:textId="77777777" w:rsidR="000205E2" w:rsidRPr="00795F17" w:rsidRDefault="000205E2" w:rsidP="00213B00">
            <w:pPr>
              <w:pStyle w:val="Teksttabelinaglowek"/>
            </w:pPr>
            <w:r w:rsidRPr="00795F17">
              <w:t>418</w:t>
            </w:r>
          </w:p>
        </w:tc>
      </w:tr>
    </w:tbl>
    <w:p w14:paraId="6BDA2C14" w14:textId="4D94068F" w:rsidR="000205E2" w:rsidRPr="00795F17" w:rsidRDefault="000205E2" w:rsidP="0044393D">
      <w:pPr>
        <w:pStyle w:val="rdo"/>
      </w:pPr>
      <w:r w:rsidRPr="00795F17">
        <w:t xml:space="preserve">Źródło: </w:t>
      </w:r>
      <w:r w:rsidR="00FD7248" w:rsidRPr="00795F17">
        <w:t>opracowanie własne</w:t>
      </w:r>
      <w:r w:rsidRPr="00795F17">
        <w:t xml:space="preserve"> na podstawie wykazu GIOŚ</w:t>
      </w:r>
    </w:p>
    <w:p w14:paraId="65181656" w14:textId="1E7ADD49" w:rsidR="000205E2" w:rsidRPr="00795F17" w:rsidRDefault="00C604DA" w:rsidP="0044393D">
      <w:r w:rsidRPr="00795F17">
        <w:t xml:space="preserve">Dla zaplanowanego programu monitoringu oraz w przypadku przekroczeń dodatkowych elementów oceny stanu wód </w:t>
      </w:r>
      <w:r w:rsidR="001B6CF6">
        <w:t>–</w:t>
      </w:r>
      <w:r w:rsidRPr="00795F17">
        <w:t xml:space="preserve"> w obrębie </w:t>
      </w:r>
      <w:r w:rsidR="00DF005E">
        <w:t>JCWP</w:t>
      </w:r>
      <w:r w:rsidRPr="00795F17">
        <w:t xml:space="preserve"> są stosowane różne rodzaje monitoringu. Ponadto rodzaj przypisanego monitoringu może ulec zmianie w ciągu jednego cyklu planistycznego w zależności od występowania presji w </w:t>
      </w:r>
      <w:r w:rsidR="00DF005E">
        <w:t>JCWP</w:t>
      </w:r>
      <w:r w:rsidRPr="00795F17">
        <w:t xml:space="preserve">. Jednakże pomimo dążenia do objęcia monitoringiem coraz większej liczby </w:t>
      </w:r>
      <w:r w:rsidR="00DF005E">
        <w:t>JCWP</w:t>
      </w:r>
      <w:r w:rsidRPr="00795F17">
        <w:t xml:space="preserve">, ciągle pozostaje odsetek jednolitych części wód powierzchniowych niemonitorowanych. W konsekwencji prowadzi to do tego, że nie do każdej </w:t>
      </w:r>
      <w:r w:rsidR="00DF005E">
        <w:t>JCWP</w:t>
      </w:r>
      <w:r w:rsidRPr="00795F17">
        <w:t xml:space="preserve"> został dopisany rodzaj planowanego/</w:t>
      </w:r>
      <w:r w:rsidR="00213B00" w:rsidRPr="00795F17">
        <w:t xml:space="preserve"> </w:t>
      </w:r>
      <w:r w:rsidRPr="00795F17">
        <w:t>zrealizowanego monitoringu w cyklu planistycznym 2016</w:t>
      </w:r>
      <w:r w:rsidR="001B6CF6">
        <w:t>–</w:t>
      </w:r>
      <w:r w:rsidRPr="00795F17">
        <w:t>2021, co zostało przedstawione w tabeli</w:t>
      </w:r>
      <w:r w:rsidR="000E51C7">
        <w:t> </w:t>
      </w:r>
      <w:r w:rsidRPr="00795F17">
        <w:t>15-</w:t>
      </w:r>
      <w:r w:rsidR="000E51C7">
        <w:t> </w:t>
      </w:r>
      <w:r w:rsidRPr="00795F17">
        <w:t>2.</w:t>
      </w:r>
    </w:p>
    <w:p w14:paraId="6AC4672C" w14:textId="39619363" w:rsidR="007D1791" w:rsidRPr="00795F17" w:rsidRDefault="007D1791" w:rsidP="004D7705">
      <w:pPr>
        <w:pStyle w:val="Tabela"/>
      </w:pPr>
      <w:bookmarkStart w:id="966" w:name="_Toc66341988"/>
      <w:bookmarkStart w:id="967" w:name="_Toc105512913"/>
      <w:r w:rsidRPr="00795F17">
        <w:t xml:space="preserve">Tabela </w:t>
      </w:r>
      <w:fldSimple w:instr=" STYLEREF 1 \s ">
        <w:r w:rsidR="001F774D">
          <w:rPr>
            <w:noProof/>
          </w:rPr>
          <w:t>15</w:t>
        </w:r>
      </w:fldSimple>
      <w:r w:rsidR="00BB3B21" w:rsidRPr="00795F17">
        <w:noBreakHyphen/>
      </w:r>
      <w:fldSimple w:instr=" SEQ Tabela \* ARABIC \s 1 ">
        <w:r w:rsidR="001F774D">
          <w:rPr>
            <w:noProof/>
          </w:rPr>
          <w:t>2</w:t>
        </w:r>
      </w:fldSimple>
      <w:r w:rsidR="00802C92">
        <w:rPr>
          <w:noProof/>
        </w:rPr>
        <w:t>.</w:t>
      </w:r>
      <w:r w:rsidRPr="00795F17">
        <w:tab/>
        <w:t xml:space="preserve">Udział wód objętych programami monitoringu </w:t>
      </w:r>
      <w:r w:rsidR="00E72532">
        <w:t>na</w:t>
      </w:r>
      <w:r w:rsidRPr="00795F17">
        <w:t xml:space="preserve"> </w:t>
      </w:r>
      <w:r w:rsidR="006C26A1" w:rsidRPr="00795F17">
        <w:t xml:space="preserve">obszarze </w:t>
      </w:r>
      <w:r w:rsidRPr="00795F17">
        <w:t>dorzecz</w:t>
      </w:r>
      <w:r w:rsidR="006C26A1" w:rsidRPr="00795F17">
        <w:t>a</w:t>
      </w:r>
      <w:r w:rsidRPr="00795F17">
        <w:t xml:space="preserve"> Odry</w:t>
      </w:r>
      <w:bookmarkEnd w:id="966"/>
      <w:bookmarkEnd w:id="967"/>
    </w:p>
    <w:tbl>
      <w:tblPr>
        <w:tblW w:w="9067" w:type="dxa"/>
        <w:tblLayout w:type="fixed"/>
        <w:tblCellMar>
          <w:left w:w="70" w:type="dxa"/>
          <w:right w:w="70" w:type="dxa"/>
        </w:tblCellMar>
        <w:tblLook w:val="04A0" w:firstRow="1" w:lastRow="0" w:firstColumn="1" w:lastColumn="0" w:noHBand="0" w:noVBand="1"/>
      </w:tblPr>
      <w:tblGrid>
        <w:gridCol w:w="421"/>
        <w:gridCol w:w="1275"/>
        <w:gridCol w:w="1111"/>
        <w:gridCol w:w="1252"/>
        <w:gridCol w:w="1252"/>
        <w:gridCol w:w="1252"/>
        <w:gridCol w:w="1252"/>
        <w:gridCol w:w="1252"/>
      </w:tblGrid>
      <w:tr w:rsidR="000205E2" w:rsidRPr="00795F17" w14:paraId="4269B130" w14:textId="77777777" w:rsidTr="004E24D2">
        <w:trPr>
          <w:trHeight w:val="454"/>
          <w:tblHeader/>
        </w:trPr>
        <w:tc>
          <w:tcPr>
            <w:tcW w:w="42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980E6A" w14:textId="77777777" w:rsidR="000205E2" w:rsidRPr="00795F17" w:rsidRDefault="000205E2" w:rsidP="0044393D">
            <w:pPr>
              <w:pStyle w:val="Teksttabelinaglowek"/>
            </w:pPr>
            <w:r w:rsidRPr="00795F17">
              <w:t>Lp.</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66DDA70" w14:textId="77777777" w:rsidR="000205E2" w:rsidRPr="00795F17" w:rsidRDefault="000205E2" w:rsidP="0044393D">
            <w:pPr>
              <w:pStyle w:val="Teksttabelinaglowek"/>
            </w:pPr>
            <w:r w:rsidRPr="00795F17">
              <w:t>Kategoria wód</w:t>
            </w:r>
          </w:p>
        </w:tc>
        <w:tc>
          <w:tcPr>
            <w:tcW w:w="2363"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F61E408" w14:textId="77777777" w:rsidR="000205E2" w:rsidRPr="00795F17" w:rsidRDefault="000205E2" w:rsidP="0044393D">
            <w:pPr>
              <w:pStyle w:val="Teksttabelinaglowek"/>
            </w:pPr>
            <w:r w:rsidRPr="00795F17">
              <w:t>Monitoring operacyjny</w:t>
            </w:r>
          </w:p>
        </w:tc>
        <w:tc>
          <w:tcPr>
            <w:tcW w:w="2504"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97615F1" w14:textId="77777777" w:rsidR="000205E2" w:rsidRPr="00795F17" w:rsidRDefault="000205E2" w:rsidP="0044393D">
            <w:pPr>
              <w:pStyle w:val="Teksttabelinaglowek"/>
            </w:pPr>
            <w:r w:rsidRPr="00795F17">
              <w:t>Monitoring diagnostyczny</w:t>
            </w:r>
          </w:p>
        </w:tc>
        <w:tc>
          <w:tcPr>
            <w:tcW w:w="2504"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B1C9414" w14:textId="13790EFF" w:rsidR="000205E2" w:rsidRPr="00795F17" w:rsidRDefault="000205E2" w:rsidP="0044393D">
            <w:pPr>
              <w:pStyle w:val="Teksttabelinaglowek"/>
            </w:pPr>
            <w:r w:rsidRPr="00795F17">
              <w:t xml:space="preserve">Monitoring diagnostyczny </w:t>
            </w:r>
            <w:r w:rsidR="009C05C4">
              <w:t>i</w:t>
            </w:r>
            <w:r w:rsidR="00E72532">
              <w:t> </w:t>
            </w:r>
            <w:r w:rsidRPr="00795F17">
              <w:t>operacyjny</w:t>
            </w:r>
          </w:p>
        </w:tc>
      </w:tr>
      <w:tr w:rsidR="004E24D2" w:rsidRPr="00795F17" w14:paraId="01018861" w14:textId="77777777" w:rsidTr="004E24D2">
        <w:trPr>
          <w:trHeight w:val="454"/>
          <w:tblHeader/>
        </w:trPr>
        <w:tc>
          <w:tcPr>
            <w:tcW w:w="42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BF43E5" w14:textId="77777777" w:rsidR="000205E2" w:rsidRPr="00795F17" w:rsidRDefault="000205E2" w:rsidP="0044393D">
            <w:pPr>
              <w:pStyle w:val="Teksttabeliprawy"/>
            </w:pPr>
          </w:p>
        </w:tc>
        <w:tc>
          <w:tcPr>
            <w:tcW w:w="1275"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9C90A5" w14:textId="77777777" w:rsidR="000205E2" w:rsidRPr="00795F17" w:rsidRDefault="000205E2" w:rsidP="0044393D">
            <w:pPr>
              <w:pStyle w:val="Teksttabeliprawy"/>
            </w:pPr>
          </w:p>
        </w:tc>
        <w:tc>
          <w:tcPr>
            <w:tcW w:w="1111" w:type="dxa"/>
            <w:tcBorders>
              <w:top w:val="nil"/>
              <w:left w:val="nil"/>
              <w:bottom w:val="single" w:sz="4" w:space="0" w:color="auto"/>
              <w:right w:val="single" w:sz="4" w:space="0" w:color="auto"/>
            </w:tcBorders>
            <w:shd w:val="clear" w:color="auto" w:fill="BFBFBF" w:themeFill="background1" w:themeFillShade="BF"/>
            <w:vAlign w:val="center"/>
            <w:hideMark/>
          </w:tcPr>
          <w:p w14:paraId="4865C582" w14:textId="7B6AE681" w:rsidR="000205E2" w:rsidRPr="00795F17" w:rsidRDefault="000205E2" w:rsidP="0044393D">
            <w:pPr>
              <w:pStyle w:val="Teksttabelinaglowek"/>
            </w:pPr>
            <w:r w:rsidRPr="00795F17">
              <w:t xml:space="preserve">Liczba </w:t>
            </w:r>
            <w:r w:rsidR="00DF005E">
              <w:t>JCWP</w:t>
            </w:r>
            <w:r w:rsidRPr="00795F17">
              <w:t xml:space="preserve"> </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0356F594" w14:textId="2E17C123" w:rsidR="000205E2" w:rsidRPr="00795F17" w:rsidRDefault="000205E2" w:rsidP="0044393D">
            <w:pPr>
              <w:pStyle w:val="Teksttabelinaglowek"/>
            </w:pPr>
            <w:r w:rsidRPr="00795F17">
              <w:t xml:space="preserve">Odsetek </w:t>
            </w:r>
            <w:r w:rsidR="00DF005E">
              <w:t>JCWP</w:t>
            </w:r>
            <w:r w:rsidR="008A739A" w:rsidRPr="00795F17">
              <w:t xml:space="preserve"> </w:t>
            </w:r>
            <w:r w:rsidR="00EA4FF5" w:rsidRPr="00795F17">
              <w:t>(%)</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3A17F114" w14:textId="54C52FAB" w:rsidR="000205E2" w:rsidRPr="00795F17" w:rsidRDefault="000205E2" w:rsidP="0044393D">
            <w:pPr>
              <w:pStyle w:val="Teksttabelinaglowek"/>
            </w:pPr>
            <w:r w:rsidRPr="00795F17">
              <w:t xml:space="preserve">Liczba </w:t>
            </w:r>
            <w:r w:rsidR="00DF005E">
              <w:t>JCWP</w:t>
            </w:r>
            <w:r w:rsidRPr="00795F17">
              <w:t xml:space="preserve"> </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43885C97" w14:textId="63AED3A1" w:rsidR="000205E2" w:rsidRPr="00795F17" w:rsidRDefault="000205E2" w:rsidP="0044393D">
            <w:pPr>
              <w:pStyle w:val="Teksttabelinaglowek"/>
            </w:pPr>
            <w:r w:rsidRPr="00795F17">
              <w:t xml:space="preserve">Odsetek </w:t>
            </w:r>
            <w:r w:rsidR="00DF005E">
              <w:t>JCWP</w:t>
            </w:r>
            <w:r w:rsidR="008A739A" w:rsidRPr="00795F17">
              <w:t xml:space="preserve"> </w:t>
            </w:r>
            <w:r w:rsidR="00EA4FF5" w:rsidRPr="00795F17">
              <w:t>(%)</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6154DBE7" w14:textId="3AD0E11B" w:rsidR="000205E2" w:rsidRPr="00795F17" w:rsidRDefault="000205E2" w:rsidP="0044393D">
            <w:pPr>
              <w:pStyle w:val="Teksttabelinaglowek"/>
            </w:pPr>
            <w:r w:rsidRPr="00795F17">
              <w:t xml:space="preserve">Liczba </w:t>
            </w:r>
            <w:r w:rsidR="00DF005E">
              <w:t>JCWP</w:t>
            </w:r>
            <w:r w:rsidRPr="00795F17">
              <w:t xml:space="preserve"> </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0F851EF6" w14:textId="357E6AD0" w:rsidR="000205E2" w:rsidRPr="00795F17" w:rsidRDefault="000205E2" w:rsidP="0044393D">
            <w:pPr>
              <w:pStyle w:val="Teksttabelinaglowek"/>
            </w:pPr>
            <w:r w:rsidRPr="00795F17">
              <w:t xml:space="preserve">Odsetek </w:t>
            </w:r>
            <w:r w:rsidR="00DF005E">
              <w:t>JCWP</w:t>
            </w:r>
            <w:r w:rsidR="008A739A" w:rsidRPr="00795F17">
              <w:t xml:space="preserve"> </w:t>
            </w:r>
            <w:r w:rsidR="00EA4FF5" w:rsidRPr="00795F17">
              <w:t>(%)</w:t>
            </w:r>
          </w:p>
        </w:tc>
      </w:tr>
      <w:tr w:rsidR="00213B00" w:rsidRPr="00795F17" w14:paraId="4F5499A5" w14:textId="77777777" w:rsidTr="00C478F8">
        <w:trPr>
          <w:trHeight w:val="454"/>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32D9AFE1" w14:textId="3D09AC8E" w:rsidR="00213B00" w:rsidRPr="00795F17" w:rsidRDefault="00213B00" w:rsidP="00213B00">
            <w:pPr>
              <w:pStyle w:val="Teksttabelisrodek"/>
            </w:pPr>
            <w:r w:rsidRPr="00795F17">
              <w:t>1.</w:t>
            </w:r>
          </w:p>
        </w:tc>
        <w:tc>
          <w:tcPr>
            <w:tcW w:w="1275" w:type="dxa"/>
            <w:tcBorders>
              <w:top w:val="nil"/>
              <w:left w:val="nil"/>
              <w:bottom w:val="single" w:sz="4" w:space="0" w:color="auto"/>
              <w:right w:val="single" w:sz="4" w:space="0" w:color="auto"/>
            </w:tcBorders>
            <w:shd w:val="clear" w:color="auto" w:fill="auto"/>
            <w:vAlign w:val="center"/>
            <w:hideMark/>
          </w:tcPr>
          <w:p w14:paraId="643D1EE2" w14:textId="6D7DCA89" w:rsidR="00213B00" w:rsidRPr="00795F17" w:rsidRDefault="00DF005E" w:rsidP="00213B00">
            <w:pPr>
              <w:pStyle w:val="Teksttabelilewy"/>
            </w:pPr>
            <w:r>
              <w:t>JCWP</w:t>
            </w:r>
            <w:r w:rsidR="00213B00" w:rsidRPr="00795F17">
              <w:t xml:space="preserve"> LW</w:t>
            </w:r>
          </w:p>
        </w:tc>
        <w:tc>
          <w:tcPr>
            <w:tcW w:w="1111" w:type="dxa"/>
            <w:tcBorders>
              <w:top w:val="nil"/>
              <w:left w:val="nil"/>
              <w:bottom w:val="single" w:sz="4" w:space="0" w:color="auto"/>
              <w:right w:val="single" w:sz="4" w:space="0" w:color="auto"/>
            </w:tcBorders>
            <w:shd w:val="clear" w:color="auto" w:fill="auto"/>
            <w:noWrap/>
            <w:vAlign w:val="center"/>
            <w:hideMark/>
          </w:tcPr>
          <w:p w14:paraId="17D6A8C5" w14:textId="77777777" w:rsidR="00213B00" w:rsidRPr="00795F17" w:rsidRDefault="00213B00" w:rsidP="00213B00">
            <w:pPr>
              <w:pStyle w:val="Teksttabelisrodek"/>
            </w:pPr>
            <w:r w:rsidRPr="00795F17">
              <w:t>234</w:t>
            </w:r>
          </w:p>
        </w:tc>
        <w:tc>
          <w:tcPr>
            <w:tcW w:w="1252" w:type="dxa"/>
            <w:tcBorders>
              <w:top w:val="nil"/>
              <w:left w:val="nil"/>
              <w:bottom w:val="single" w:sz="4" w:space="0" w:color="auto"/>
              <w:right w:val="single" w:sz="4" w:space="0" w:color="auto"/>
            </w:tcBorders>
            <w:shd w:val="clear" w:color="auto" w:fill="auto"/>
            <w:vAlign w:val="center"/>
            <w:hideMark/>
          </w:tcPr>
          <w:p w14:paraId="21155580" w14:textId="78BE9D32" w:rsidR="00213B00" w:rsidRPr="00795F17" w:rsidRDefault="00213B00" w:rsidP="00213B00">
            <w:pPr>
              <w:pStyle w:val="Teksttabelisrodek"/>
            </w:pPr>
            <w:r w:rsidRPr="00795F17">
              <w:t>54,8</w:t>
            </w:r>
          </w:p>
        </w:tc>
        <w:tc>
          <w:tcPr>
            <w:tcW w:w="1252" w:type="dxa"/>
            <w:tcBorders>
              <w:top w:val="nil"/>
              <w:left w:val="nil"/>
              <w:bottom w:val="single" w:sz="4" w:space="0" w:color="auto"/>
              <w:right w:val="single" w:sz="4" w:space="0" w:color="auto"/>
            </w:tcBorders>
            <w:shd w:val="clear" w:color="auto" w:fill="auto"/>
            <w:noWrap/>
            <w:vAlign w:val="center"/>
            <w:hideMark/>
          </w:tcPr>
          <w:p w14:paraId="4A7DD15D" w14:textId="77777777" w:rsidR="00213B00" w:rsidRPr="00795F17" w:rsidRDefault="00213B00" w:rsidP="00213B00">
            <w:pPr>
              <w:pStyle w:val="Teksttabelisrodek"/>
            </w:pPr>
            <w:r w:rsidRPr="00795F17">
              <w:t>219</w:t>
            </w:r>
          </w:p>
        </w:tc>
        <w:tc>
          <w:tcPr>
            <w:tcW w:w="1252" w:type="dxa"/>
            <w:tcBorders>
              <w:top w:val="nil"/>
              <w:left w:val="nil"/>
              <w:bottom w:val="single" w:sz="4" w:space="0" w:color="auto"/>
              <w:right w:val="single" w:sz="4" w:space="0" w:color="auto"/>
            </w:tcBorders>
            <w:shd w:val="clear" w:color="auto" w:fill="auto"/>
            <w:vAlign w:val="center"/>
            <w:hideMark/>
          </w:tcPr>
          <w:p w14:paraId="57D5A9A9" w14:textId="43A18498" w:rsidR="00213B00" w:rsidRPr="00795F17" w:rsidRDefault="00213B00" w:rsidP="00213B00">
            <w:pPr>
              <w:pStyle w:val="Teksttabelisrodek"/>
            </w:pPr>
            <w:r w:rsidRPr="00795F17">
              <w:t>51,3</w:t>
            </w:r>
          </w:p>
        </w:tc>
        <w:tc>
          <w:tcPr>
            <w:tcW w:w="1252" w:type="dxa"/>
            <w:tcBorders>
              <w:top w:val="nil"/>
              <w:left w:val="nil"/>
              <w:bottom w:val="single" w:sz="4" w:space="0" w:color="auto"/>
              <w:right w:val="single" w:sz="4" w:space="0" w:color="auto"/>
            </w:tcBorders>
            <w:shd w:val="clear" w:color="auto" w:fill="auto"/>
            <w:noWrap/>
            <w:vAlign w:val="center"/>
            <w:hideMark/>
          </w:tcPr>
          <w:p w14:paraId="3ADAA02C" w14:textId="77777777" w:rsidR="00213B00" w:rsidRPr="00795F17" w:rsidRDefault="00213B00" w:rsidP="00213B00">
            <w:pPr>
              <w:pStyle w:val="Teksttabelisrodek"/>
            </w:pPr>
            <w:r w:rsidRPr="00795F17">
              <w:t>219</w:t>
            </w:r>
          </w:p>
        </w:tc>
        <w:tc>
          <w:tcPr>
            <w:tcW w:w="1252" w:type="dxa"/>
            <w:tcBorders>
              <w:top w:val="nil"/>
              <w:left w:val="nil"/>
              <w:bottom w:val="single" w:sz="4" w:space="0" w:color="auto"/>
              <w:right w:val="single" w:sz="4" w:space="0" w:color="auto"/>
            </w:tcBorders>
            <w:shd w:val="clear" w:color="auto" w:fill="auto"/>
            <w:vAlign w:val="center"/>
            <w:hideMark/>
          </w:tcPr>
          <w:p w14:paraId="703F8169" w14:textId="20262F36" w:rsidR="00213B00" w:rsidRPr="00795F17" w:rsidRDefault="00213B00" w:rsidP="00213B00">
            <w:pPr>
              <w:pStyle w:val="Teksttabelisrodek"/>
            </w:pPr>
            <w:r w:rsidRPr="00795F17">
              <w:t>51,3</w:t>
            </w:r>
          </w:p>
        </w:tc>
      </w:tr>
      <w:tr w:rsidR="00213B00" w:rsidRPr="00795F17" w14:paraId="7668E80B" w14:textId="77777777" w:rsidTr="00C478F8">
        <w:trPr>
          <w:trHeight w:val="454"/>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7B973C8F" w14:textId="372DA91D" w:rsidR="00213B00" w:rsidRPr="00795F17" w:rsidRDefault="00213B00" w:rsidP="00213B00">
            <w:pPr>
              <w:pStyle w:val="Teksttabelisrodek"/>
            </w:pPr>
            <w:r w:rsidRPr="00795F17">
              <w:t>2.</w:t>
            </w:r>
          </w:p>
        </w:tc>
        <w:tc>
          <w:tcPr>
            <w:tcW w:w="1275" w:type="dxa"/>
            <w:tcBorders>
              <w:top w:val="nil"/>
              <w:left w:val="nil"/>
              <w:bottom w:val="single" w:sz="4" w:space="0" w:color="auto"/>
              <w:right w:val="single" w:sz="4" w:space="0" w:color="auto"/>
            </w:tcBorders>
            <w:shd w:val="clear" w:color="auto" w:fill="auto"/>
            <w:vAlign w:val="center"/>
            <w:hideMark/>
          </w:tcPr>
          <w:p w14:paraId="73FB302F" w14:textId="7A951B1E" w:rsidR="00213B00" w:rsidRPr="00795F17" w:rsidRDefault="00DF005E" w:rsidP="00213B00">
            <w:pPr>
              <w:pStyle w:val="Teksttabelilewy"/>
            </w:pPr>
            <w:r>
              <w:t>JCWP</w:t>
            </w:r>
            <w:r w:rsidR="00213B00" w:rsidRPr="00795F17">
              <w:t xml:space="preserve"> RW</w:t>
            </w:r>
          </w:p>
        </w:tc>
        <w:tc>
          <w:tcPr>
            <w:tcW w:w="1111" w:type="dxa"/>
            <w:tcBorders>
              <w:top w:val="nil"/>
              <w:left w:val="nil"/>
              <w:bottom w:val="single" w:sz="4" w:space="0" w:color="auto"/>
              <w:right w:val="single" w:sz="4" w:space="0" w:color="auto"/>
            </w:tcBorders>
            <w:shd w:val="clear" w:color="auto" w:fill="auto"/>
            <w:noWrap/>
            <w:vAlign w:val="center"/>
            <w:hideMark/>
          </w:tcPr>
          <w:p w14:paraId="06746D32" w14:textId="77777777" w:rsidR="00213B00" w:rsidRPr="00795F17" w:rsidRDefault="00213B00" w:rsidP="00213B00">
            <w:pPr>
              <w:pStyle w:val="Teksttabelisrodek"/>
            </w:pPr>
            <w:r w:rsidRPr="00795F17">
              <w:t>484</w:t>
            </w:r>
          </w:p>
        </w:tc>
        <w:tc>
          <w:tcPr>
            <w:tcW w:w="1252" w:type="dxa"/>
            <w:tcBorders>
              <w:top w:val="nil"/>
              <w:left w:val="nil"/>
              <w:bottom w:val="single" w:sz="4" w:space="0" w:color="auto"/>
              <w:right w:val="single" w:sz="4" w:space="0" w:color="auto"/>
            </w:tcBorders>
            <w:shd w:val="clear" w:color="auto" w:fill="auto"/>
            <w:vAlign w:val="center"/>
            <w:hideMark/>
          </w:tcPr>
          <w:p w14:paraId="3B8DBCDB" w14:textId="266897C2" w:rsidR="00213B00" w:rsidRPr="00795F17" w:rsidRDefault="00213B00" w:rsidP="00213B00">
            <w:pPr>
              <w:pStyle w:val="Teksttabelisrodek"/>
            </w:pPr>
            <w:r w:rsidRPr="00795F17">
              <w:t>38,1</w:t>
            </w:r>
          </w:p>
        </w:tc>
        <w:tc>
          <w:tcPr>
            <w:tcW w:w="1252" w:type="dxa"/>
            <w:tcBorders>
              <w:top w:val="nil"/>
              <w:left w:val="nil"/>
              <w:bottom w:val="single" w:sz="4" w:space="0" w:color="auto"/>
              <w:right w:val="single" w:sz="4" w:space="0" w:color="auto"/>
            </w:tcBorders>
            <w:shd w:val="clear" w:color="auto" w:fill="auto"/>
            <w:noWrap/>
            <w:vAlign w:val="center"/>
            <w:hideMark/>
          </w:tcPr>
          <w:p w14:paraId="4792DF0C" w14:textId="77777777" w:rsidR="00213B00" w:rsidRPr="00795F17" w:rsidRDefault="00213B00" w:rsidP="00213B00">
            <w:pPr>
              <w:pStyle w:val="Teksttabelisrodek"/>
            </w:pPr>
            <w:r w:rsidRPr="00795F17">
              <w:t>835</w:t>
            </w:r>
          </w:p>
        </w:tc>
        <w:tc>
          <w:tcPr>
            <w:tcW w:w="1252" w:type="dxa"/>
            <w:tcBorders>
              <w:top w:val="nil"/>
              <w:left w:val="nil"/>
              <w:bottom w:val="single" w:sz="4" w:space="0" w:color="auto"/>
              <w:right w:val="single" w:sz="4" w:space="0" w:color="auto"/>
            </w:tcBorders>
            <w:shd w:val="clear" w:color="auto" w:fill="auto"/>
            <w:vAlign w:val="center"/>
            <w:hideMark/>
          </w:tcPr>
          <w:p w14:paraId="68839FC1" w14:textId="1592AD78" w:rsidR="00213B00" w:rsidRPr="00795F17" w:rsidRDefault="00213B00" w:rsidP="00213B00">
            <w:pPr>
              <w:pStyle w:val="Teksttabelisrodek"/>
            </w:pPr>
            <w:r w:rsidRPr="00795F17">
              <w:t>65,6</w:t>
            </w:r>
          </w:p>
        </w:tc>
        <w:tc>
          <w:tcPr>
            <w:tcW w:w="1252" w:type="dxa"/>
            <w:tcBorders>
              <w:top w:val="nil"/>
              <w:left w:val="nil"/>
              <w:bottom w:val="single" w:sz="4" w:space="0" w:color="auto"/>
              <w:right w:val="single" w:sz="4" w:space="0" w:color="auto"/>
            </w:tcBorders>
            <w:shd w:val="clear" w:color="auto" w:fill="auto"/>
            <w:noWrap/>
            <w:vAlign w:val="center"/>
            <w:hideMark/>
          </w:tcPr>
          <w:p w14:paraId="1C94AB7F" w14:textId="77777777" w:rsidR="00213B00" w:rsidRPr="00795F17" w:rsidRDefault="00213B00" w:rsidP="00213B00">
            <w:pPr>
              <w:pStyle w:val="Teksttabelisrodek"/>
            </w:pPr>
            <w:r w:rsidRPr="00795F17">
              <w:t>400</w:t>
            </w:r>
          </w:p>
        </w:tc>
        <w:tc>
          <w:tcPr>
            <w:tcW w:w="1252" w:type="dxa"/>
            <w:tcBorders>
              <w:top w:val="nil"/>
              <w:left w:val="nil"/>
              <w:bottom w:val="single" w:sz="4" w:space="0" w:color="auto"/>
              <w:right w:val="single" w:sz="4" w:space="0" w:color="auto"/>
            </w:tcBorders>
            <w:shd w:val="clear" w:color="auto" w:fill="auto"/>
            <w:vAlign w:val="center"/>
            <w:hideMark/>
          </w:tcPr>
          <w:p w14:paraId="0E83EEB2" w14:textId="73EDFAF0" w:rsidR="00213B00" w:rsidRPr="00795F17" w:rsidRDefault="00213B00" w:rsidP="00213B00">
            <w:pPr>
              <w:pStyle w:val="Teksttabelisrodek"/>
            </w:pPr>
            <w:r w:rsidRPr="00795F17">
              <w:t>31,4</w:t>
            </w:r>
          </w:p>
        </w:tc>
      </w:tr>
      <w:tr w:rsidR="00213B00" w:rsidRPr="00795F17" w14:paraId="5643D6CD" w14:textId="77777777" w:rsidTr="00C478F8">
        <w:trPr>
          <w:trHeight w:val="454"/>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319AF5D8" w14:textId="6DBD9C18" w:rsidR="00213B00" w:rsidRPr="00795F17" w:rsidRDefault="00213B00" w:rsidP="00213B00">
            <w:pPr>
              <w:pStyle w:val="Teksttabelisrodek"/>
            </w:pPr>
            <w:r w:rsidRPr="00795F17">
              <w:t>3.</w:t>
            </w:r>
          </w:p>
        </w:tc>
        <w:tc>
          <w:tcPr>
            <w:tcW w:w="1275" w:type="dxa"/>
            <w:tcBorders>
              <w:top w:val="nil"/>
              <w:left w:val="nil"/>
              <w:bottom w:val="single" w:sz="4" w:space="0" w:color="auto"/>
              <w:right w:val="single" w:sz="4" w:space="0" w:color="auto"/>
            </w:tcBorders>
            <w:shd w:val="clear" w:color="auto" w:fill="auto"/>
            <w:vAlign w:val="center"/>
            <w:hideMark/>
          </w:tcPr>
          <w:p w14:paraId="20D61F16" w14:textId="00A08022" w:rsidR="00213B00" w:rsidRPr="00795F17" w:rsidRDefault="00DF005E" w:rsidP="00213B00">
            <w:pPr>
              <w:pStyle w:val="Teksttabelilewy"/>
            </w:pPr>
            <w:r>
              <w:t>JCWP</w:t>
            </w:r>
            <w:r w:rsidR="00213B00" w:rsidRPr="00795F17">
              <w:t xml:space="preserve"> RWr</w:t>
            </w:r>
          </w:p>
        </w:tc>
        <w:tc>
          <w:tcPr>
            <w:tcW w:w="1111" w:type="dxa"/>
            <w:tcBorders>
              <w:top w:val="nil"/>
              <w:left w:val="nil"/>
              <w:bottom w:val="single" w:sz="4" w:space="0" w:color="auto"/>
              <w:right w:val="single" w:sz="4" w:space="0" w:color="auto"/>
            </w:tcBorders>
            <w:shd w:val="clear" w:color="auto" w:fill="auto"/>
            <w:noWrap/>
            <w:vAlign w:val="center"/>
            <w:hideMark/>
          </w:tcPr>
          <w:p w14:paraId="51734AA2" w14:textId="77777777" w:rsidR="00213B00" w:rsidRPr="00795F17" w:rsidRDefault="00213B00" w:rsidP="00213B00">
            <w:pPr>
              <w:pStyle w:val="Teksttabelisrodek"/>
            </w:pPr>
            <w:r w:rsidRPr="00795F17">
              <w:t>13</w:t>
            </w:r>
          </w:p>
        </w:tc>
        <w:tc>
          <w:tcPr>
            <w:tcW w:w="1252" w:type="dxa"/>
            <w:tcBorders>
              <w:top w:val="nil"/>
              <w:left w:val="nil"/>
              <w:bottom w:val="single" w:sz="4" w:space="0" w:color="auto"/>
              <w:right w:val="single" w:sz="4" w:space="0" w:color="auto"/>
            </w:tcBorders>
            <w:shd w:val="clear" w:color="auto" w:fill="auto"/>
            <w:vAlign w:val="center"/>
            <w:hideMark/>
          </w:tcPr>
          <w:p w14:paraId="4F03192B" w14:textId="37158CB7" w:rsidR="00213B00" w:rsidRPr="00795F17" w:rsidRDefault="00213B00" w:rsidP="00213B00">
            <w:pPr>
              <w:pStyle w:val="Teksttabelisrodek"/>
            </w:pPr>
            <w:r w:rsidRPr="00795F17">
              <w:t>68,4</w:t>
            </w:r>
          </w:p>
        </w:tc>
        <w:tc>
          <w:tcPr>
            <w:tcW w:w="1252" w:type="dxa"/>
            <w:tcBorders>
              <w:top w:val="nil"/>
              <w:left w:val="nil"/>
              <w:bottom w:val="single" w:sz="4" w:space="0" w:color="auto"/>
              <w:right w:val="single" w:sz="4" w:space="0" w:color="auto"/>
            </w:tcBorders>
            <w:shd w:val="clear" w:color="auto" w:fill="auto"/>
            <w:noWrap/>
            <w:vAlign w:val="center"/>
            <w:hideMark/>
          </w:tcPr>
          <w:p w14:paraId="44E96B2D" w14:textId="77777777" w:rsidR="00213B00" w:rsidRPr="00795F17" w:rsidRDefault="00213B00" w:rsidP="00213B00">
            <w:pPr>
              <w:pStyle w:val="Teksttabelisrodek"/>
            </w:pPr>
            <w:r w:rsidRPr="00795F17">
              <w:t>10</w:t>
            </w:r>
          </w:p>
        </w:tc>
        <w:tc>
          <w:tcPr>
            <w:tcW w:w="1252" w:type="dxa"/>
            <w:tcBorders>
              <w:top w:val="nil"/>
              <w:left w:val="nil"/>
              <w:bottom w:val="single" w:sz="4" w:space="0" w:color="auto"/>
              <w:right w:val="single" w:sz="4" w:space="0" w:color="auto"/>
            </w:tcBorders>
            <w:shd w:val="clear" w:color="auto" w:fill="auto"/>
            <w:vAlign w:val="center"/>
            <w:hideMark/>
          </w:tcPr>
          <w:p w14:paraId="49C16E0C" w14:textId="50C42431" w:rsidR="00213B00" w:rsidRPr="00795F17" w:rsidRDefault="00213B00" w:rsidP="00213B00">
            <w:pPr>
              <w:pStyle w:val="Teksttabelisrodek"/>
            </w:pPr>
            <w:r w:rsidRPr="00795F17">
              <w:t>52,6</w:t>
            </w:r>
          </w:p>
        </w:tc>
        <w:tc>
          <w:tcPr>
            <w:tcW w:w="1252" w:type="dxa"/>
            <w:tcBorders>
              <w:top w:val="nil"/>
              <w:left w:val="nil"/>
              <w:bottom w:val="single" w:sz="4" w:space="0" w:color="auto"/>
              <w:right w:val="single" w:sz="4" w:space="0" w:color="auto"/>
            </w:tcBorders>
            <w:shd w:val="clear" w:color="auto" w:fill="auto"/>
            <w:noWrap/>
            <w:vAlign w:val="center"/>
            <w:hideMark/>
          </w:tcPr>
          <w:p w14:paraId="1CA78DE4" w14:textId="77777777" w:rsidR="00213B00" w:rsidRPr="00795F17" w:rsidRDefault="00213B00" w:rsidP="00213B00">
            <w:pPr>
              <w:pStyle w:val="Teksttabelisrodek"/>
            </w:pPr>
            <w:r w:rsidRPr="00795F17">
              <w:t>7</w:t>
            </w:r>
          </w:p>
        </w:tc>
        <w:tc>
          <w:tcPr>
            <w:tcW w:w="1252" w:type="dxa"/>
            <w:tcBorders>
              <w:top w:val="nil"/>
              <w:left w:val="nil"/>
              <w:bottom w:val="single" w:sz="4" w:space="0" w:color="auto"/>
              <w:right w:val="single" w:sz="4" w:space="0" w:color="auto"/>
            </w:tcBorders>
            <w:shd w:val="clear" w:color="auto" w:fill="auto"/>
            <w:vAlign w:val="center"/>
            <w:hideMark/>
          </w:tcPr>
          <w:p w14:paraId="62FB1AE6" w14:textId="0BC0BE9B" w:rsidR="00213B00" w:rsidRPr="00795F17" w:rsidRDefault="00213B00" w:rsidP="00213B00">
            <w:pPr>
              <w:pStyle w:val="Teksttabelisrodek"/>
            </w:pPr>
            <w:r w:rsidRPr="00795F17">
              <w:t>36,8</w:t>
            </w:r>
          </w:p>
        </w:tc>
      </w:tr>
      <w:tr w:rsidR="00213B00" w:rsidRPr="00795F17" w14:paraId="0715D709" w14:textId="77777777" w:rsidTr="00C478F8">
        <w:trPr>
          <w:trHeight w:val="454"/>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039449DF" w14:textId="1E1A2767" w:rsidR="00213B00" w:rsidRPr="00795F17" w:rsidRDefault="00213B00" w:rsidP="00213B00">
            <w:pPr>
              <w:pStyle w:val="Teksttabelisrodek"/>
            </w:pPr>
            <w:r w:rsidRPr="00795F17">
              <w:t>4.</w:t>
            </w:r>
          </w:p>
        </w:tc>
        <w:tc>
          <w:tcPr>
            <w:tcW w:w="1275" w:type="dxa"/>
            <w:tcBorders>
              <w:top w:val="nil"/>
              <w:left w:val="nil"/>
              <w:bottom w:val="single" w:sz="4" w:space="0" w:color="auto"/>
              <w:right w:val="single" w:sz="4" w:space="0" w:color="auto"/>
            </w:tcBorders>
            <w:shd w:val="clear" w:color="auto" w:fill="auto"/>
            <w:vAlign w:val="center"/>
            <w:hideMark/>
          </w:tcPr>
          <w:p w14:paraId="6AE2A9DB" w14:textId="1005044E" w:rsidR="00213B00" w:rsidRPr="00795F17" w:rsidRDefault="00DF005E" w:rsidP="00213B00">
            <w:pPr>
              <w:pStyle w:val="Teksttabelilewy"/>
            </w:pPr>
            <w:r>
              <w:t>JCWP</w:t>
            </w:r>
            <w:r w:rsidR="00213B00" w:rsidRPr="00795F17">
              <w:t xml:space="preserve"> CW</w:t>
            </w:r>
          </w:p>
        </w:tc>
        <w:tc>
          <w:tcPr>
            <w:tcW w:w="1111" w:type="dxa"/>
            <w:tcBorders>
              <w:top w:val="nil"/>
              <w:left w:val="nil"/>
              <w:bottom w:val="single" w:sz="4" w:space="0" w:color="auto"/>
              <w:right w:val="single" w:sz="4" w:space="0" w:color="auto"/>
            </w:tcBorders>
            <w:shd w:val="clear" w:color="auto" w:fill="auto"/>
            <w:noWrap/>
            <w:vAlign w:val="center"/>
            <w:hideMark/>
          </w:tcPr>
          <w:p w14:paraId="149B1918" w14:textId="77777777" w:rsidR="00213B00" w:rsidRPr="00795F17" w:rsidRDefault="00213B00" w:rsidP="00213B00">
            <w:pPr>
              <w:pStyle w:val="Teksttabelisrodek"/>
            </w:pPr>
            <w:r w:rsidRPr="00795F17">
              <w:t>2</w:t>
            </w:r>
          </w:p>
        </w:tc>
        <w:tc>
          <w:tcPr>
            <w:tcW w:w="1252" w:type="dxa"/>
            <w:tcBorders>
              <w:top w:val="nil"/>
              <w:left w:val="nil"/>
              <w:bottom w:val="single" w:sz="4" w:space="0" w:color="auto"/>
              <w:right w:val="single" w:sz="4" w:space="0" w:color="auto"/>
            </w:tcBorders>
            <w:shd w:val="clear" w:color="auto" w:fill="auto"/>
            <w:vAlign w:val="center"/>
            <w:hideMark/>
          </w:tcPr>
          <w:p w14:paraId="1D1E5BCD" w14:textId="0FAD523B" w:rsidR="00213B00" w:rsidRPr="00795F17" w:rsidRDefault="00213B00" w:rsidP="00213B00">
            <w:pPr>
              <w:pStyle w:val="Teksttabelisrodek"/>
            </w:pPr>
            <w:r w:rsidRPr="00795F17">
              <w:t>100,0</w:t>
            </w:r>
          </w:p>
        </w:tc>
        <w:tc>
          <w:tcPr>
            <w:tcW w:w="1252" w:type="dxa"/>
            <w:tcBorders>
              <w:top w:val="nil"/>
              <w:left w:val="nil"/>
              <w:bottom w:val="single" w:sz="4" w:space="0" w:color="auto"/>
              <w:right w:val="single" w:sz="4" w:space="0" w:color="auto"/>
            </w:tcBorders>
            <w:shd w:val="clear" w:color="auto" w:fill="auto"/>
            <w:noWrap/>
            <w:vAlign w:val="center"/>
            <w:hideMark/>
          </w:tcPr>
          <w:p w14:paraId="30B49626" w14:textId="77777777" w:rsidR="00213B00" w:rsidRPr="00795F17" w:rsidRDefault="00213B00" w:rsidP="00213B00">
            <w:pPr>
              <w:pStyle w:val="Teksttabelisrodek"/>
            </w:pPr>
            <w:r w:rsidRPr="00795F17">
              <w:t>2</w:t>
            </w:r>
          </w:p>
        </w:tc>
        <w:tc>
          <w:tcPr>
            <w:tcW w:w="1252" w:type="dxa"/>
            <w:tcBorders>
              <w:top w:val="nil"/>
              <w:left w:val="nil"/>
              <w:bottom w:val="single" w:sz="4" w:space="0" w:color="auto"/>
              <w:right w:val="single" w:sz="4" w:space="0" w:color="auto"/>
            </w:tcBorders>
            <w:shd w:val="clear" w:color="auto" w:fill="auto"/>
            <w:vAlign w:val="center"/>
            <w:hideMark/>
          </w:tcPr>
          <w:p w14:paraId="1AF0FF02" w14:textId="07386087" w:rsidR="00213B00" w:rsidRPr="00795F17" w:rsidRDefault="00213B00" w:rsidP="00213B00">
            <w:pPr>
              <w:pStyle w:val="Teksttabelisrodek"/>
            </w:pPr>
            <w:r w:rsidRPr="00795F17">
              <w:t>100,0</w:t>
            </w:r>
          </w:p>
        </w:tc>
        <w:tc>
          <w:tcPr>
            <w:tcW w:w="1252" w:type="dxa"/>
            <w:tcBorders>
              <w:top w:val="nil"/>
              <w:left w:val="nil"/>
              <w:bottom w:val="single" w:sz="4" w:space="0" w:color="auto"/>
              <w:right w:val="single" w:sz="4" w:space="0" w:color="auto"/>
            </w:tcBorders>
            <w:shd w:val="clear" w:color="auto" w:fill="auto"/>
            <w:noWrap/>
            <w:vAlign w:val="center"/>
            <w:hideMark/>
          </w:tcPr>
          <w:p w14:paraId="2A73A2FB" w14:textId="77777777" w:rsidR="00213B00" w:rsidRPr="00795F17" w:rsidRDefault="00213B00" w:rsidP="00213B00">
            <w:pPr>
              <w:pStyle w:val="Teksttabelisrodek"/>
            </w:pPr>
            <w:r w:rsidRPr="00795F17">
              <w:t>2</w:t>
            </w:r>
          </w:p>
        </w:tc>
        <w:tc>
          <w:tcPr>
            <w:tcW w:w="1252" w:type="dxa"/>
            <w:tcBorders>
              <w:top w:val="nil"/>
              <w:left w:val="nil"/>
              <w:bottom w:val="single" w:sz="4" w:space="0" w:color="auto"/>
              <w:right w:val="single" w:sz="4" w:space="0" w:color="auto"/>
            </w:tcBorders>
            <w:shd w:val="clear" w:color="auto" w:fill="auto"/>
            <w:vAlign w:val="center"/>
            <w:hideMark/>
          </w:tcPr>
          <w:p w14:paraId="314033F4" w14:textId="7C5CE5B2" w:rsidR="00213B00" w:rsidRPr="00795F17" w:rsidRDefault="00213B00" w:rsidP="00213B00">
            <w:pPr>
              <w:pStyle w:val="Teksttabelisrodek"/>
            </w:pPr>
            <w:r w:rsidRPr="00795F17">
              <w:t>100,0</w:t>
            </w:r>
          </w:p>
        </w:tc>
      </w:tr>
      <w:tr w:rsidR="00213B00" w:rsidRPr="00795F17" w14:paraId="18AD31CA" w14:textId="77777777" w:rsidTr="00C478F8">
        <w:trPr>
          <w:trHeight w:val="454"/>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6BE71B01" w14:textId="6C66566F" w:rsidR="00213B00" w:rsidRPr="00795F17" w:rsidRDefault="00213B00" w:rsidP="00213B00">
            <w:pPr>
              <w:pStyle w:val="Teksttabelisrodek"/>
            </w:pPr>
            <w:r w:rsidRPr="00795F17">
              <w:t>5.</w:t>
            </w:r>
          </w:p>
        </w:tc>
        <w:tc>
          <w:tcPr>
            <w:tcW w:w="1275" w:type="dxa"/>
            <w:tcBorders>
              <w:top w:val="nil"/>
              <w:left w:val="nil"/>
              <w:bottom w:val="single" w:sz="4" w:space="0" w:color="auto"/>
              <w:right w:val="single" w:sz="4" w:space="0" w:color="auto"/>
            </w:tcBorders>
            <w:shd w:val="clear" w:color="auto" w:fill="auto"/>
            <w:vAlign w:val="center"/>
            <w:hideMark/>
          </w:tcPr>
          <w:p w14:paraId="1C03F20C" w14:textId="58122BFA" w:rsidR="00213B00" w:rsidRPr="00795F17" w:rsidRDefault="00DF005E" w:rsidP="00213B00">
            <w:pPr>
              <w:pStyle w:val="Teksttabelilewy"/>
            </w:pPr>
            <w:r>
              <w:t>JCWP</w:t>
            </w:r>
            <w:r w:rsidR="00213B00" w:rsidRPr="00795F17">
              <w:t xml:space="preserve"> TW</w:t>
            </w:r>
          </w:p>
        </w:tc>
        <w:tc>
          <w:tcPr>
            <w:tcW w:w="1111" w:type="dxa"/>
            <w:tcBorders>
              <w:top w:val="nil"/>
              <w:left w:val="nil"/>
              <w:bottom w:val="single" w:sz="4" w:space="0" w:color="auto"/>
              <w:right w:val="single" w:sz="4" w:space="0" w:color="auto"/>
            </w:tcBorders>
            <w:shd w:val="clear" w:color="auto" w:fill="auto"/>
            <w:noWrap/>
            <w:vAlign w:val="center"/>
            <w:hideMark/>
          </w:tcPr>
          <w:p w14:paraId="5E69736D" w14:textId="77777777" w:rsidR="00213B00" w:rsidRPr="00795F17" w:rsidRDefault="00213B00" w:rsidP="00213B00">
            <w:pPr>
              <w:pStyle w:val="Teksttabelisrodek"/>
            </w:pPr>
            <w:r w:rsidRPr="00795F17">
              <w:t>2</w:t>
            </w:r>
          </w:p>
        </w:tc>
        <w:tc>
          <w:tcPr>
            <w:tcW w:w="1252" w:type="dxa"/>
            <w:tcBorders>
              <w:top w:val="nil"/>
              <w:left w:val="nil"/>
              <w:bottom w:val="single" w:sz="4" w:space="0" w:color="auto"/>
              <w:right w:val="single" w:sz="4" w:space="0" w:color="auto"/>
            </w:tcBorders>
            <w:shd w:val="clear" w:color="auto" w:fill="auto"/>
            <w:vAlign w:val="center"/>
            <w:hideMark/>
          </w:tcPr>
          <w:p w14:paraId="0E7DF7DD" w14:textId="18DBCC46" w:rsidR="00213B00" w:rsidRPr="00795F17" w:rsidRDefault="00213B00" w:rsidP="00213B00">
            <w:pPr>
              <w:pStyle w:val="Teksttabelisrodek"/>
            </w:pPr>
            <w:r w:rsidRPr="00795F17">
              <w:t>100,0</w:t>
            </w:r>
          </w:p>
        </w:tc>
        <w:tc>
          <w:tcPr>
            <w:tcW w:w="1252" w:type="dxa"/>
            <w:tcBorders>
              <w:top w:val="nil"/>
              <w:left w:val="nil"/>
              <w:bottom w:val="single" w:sz="4" w:space="0" w:color="auto"/>
              <w:right w:val="single" w:sz="4" w:space="0" w:color="auto"/>
            </w:tcBorders>
            <w:shd w:val="clear" w:color="auto" w:fill="auto"/>
            <w:noWrap/>
            <w:vAlign w:val="center"/>
            <w:hideMark/>
          </w:tcPr>
          <w:p w14:paraId="119A95E8" w14:textId="77777777" w:rsidR="00213B00" w:rsidRPr="00795F17" w:rsidRDefault="00213B00" w:rsidP="00213B00">
            <w:pPr>
              <w:pStyle w:val="Teksttabelisrodek"/>
            </w:pPr>
            <w:r w:rsidRPr="00795F17">
              <w:t>2</w:t>
            </w:r>
          </w:p>
        </w:tc>
        <w:tc>
          <w:tcPr>
            <w:tcW w:w="1252" w:type="dxa"/>
            <w:tcBorders>
              <w:top w:val="nil"/>
              <w:left w:val="nil"/>
              <w:bottom w:val="single" w:sz="4" w:space="0" w:color="auto"/>
              <w:right w:val="single" w:sz="4" w:space="0" w:color="auto"/>
            </w:tcBorders>
            <w:shd w:val="clear" w:color="auto" w:fill="auto"/>
            <w:vAlign w:val="center"/>
            <w:hideMark/>
          </w:tcPr>
          <w:p w14:paraId="727596BB" w14:textId="433859DE" w:rsidR="00213B00" w:rsidRPr="00795F17" w:rsidRDefault="00213B00" w:rsidP="00213B00">
            <w:pPr>
              <w:pStyle w:val="Teksttabelisrodek"/>
            </w:pPr>
            <w:r w:rsidRPr="00795F17">
              <w:t>100,0</w:t>
            </w:r>
          </w:p>
        </w:tc>
        <w:tc>
          <w:tcPr>
            <w:tcW w:w="1252" w:type="dxa"/>
            <w:tcBorders>
              <w:top w:val="nil"/>
              <w:left w:val="nil"/>
              <w:bottom w:val="single" w:sz="4" w:space="0" w:color="auto"/>
              <w:right w:val="single" w:sz="4" w:space="0" w:color="auto"/>
            </w:tcBorders>
            <w:shd w:val="clear" w:color="auto" w:fill="auto"/>
            <w:noWrap/>
            <w:vAlign w:val="center"/>
            <w:hideMark/>
          </w:tcPr>
          <w:p w14:paraId="24247FA4" w14:textId="77777777" w:rsidR="00213B00" w:rsidRPr="00795F17" w:rsidRDefault="00213B00" w:rsidP="00213B00">
            <w:pPr>
              <w:pStyle w:val="Teksttabelisrodek"/>
            </w:pPr>
            <w:r w:rsidRPr="00795F17">
              <w:t>2</w:t>
            </w:r>
          </w:p>
        </w:tc>
        <w:tc>
          <w:tcPr>
            <w:tcW w:w="1252" w:type="dxa"/>
            <w:tcBorders>
              <w:top w:val="nil"/>
              <w:left w:val="nil"/>
              <w:bottom w:val="single" w:sz="4" w:space="0" w:color="auto"/>
              <w:right w:val="single" w:sz="4" w:space="0" w:color="auto"/>
            </w:tcBorders>
            <w:shd w:val="clear" w:color="auto" w:fill="auto"/>
            <w:vAlign w:val="center"/>
            <w:hideMark/>
          </w:tcPr>
          <w:p w14:paraId="27418C39" w14:textId="12E4D002" w:rsidR="00213B00" w:rsidRPr="00795F17" w:rsidRDefault="00213B00" w:rsidP="00213B00">
            <w:pPr>
              <w:pStyle w:val="Teksttabelisrodek"/>
            </w:pPr>
            <w:r w:rsidRPr="00795F17">
              <w:t>100,0</w:t>
            </w:r>
          </w:p>
        </w:tc>
      </w:tr>
      <w:tr w:rsidR="000205E2" w:rsidRPr="00795F17" w14:paraId="46A5A64D" w14:textId="77777777" w:rsidTr="00213B00">
        <w:trPr>
          <w:trHeight w:val="454"/>
        </w:trPr>
        <w:tc>
          <w:tcPr>
            <w:tcW w:w="169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5BC602" w14:textId="196866EF" w:rsidR="000205E2" w:rsidRPr="00795F17" w:rsidRDefault="000205E2" w:rsidP="00213B00">
            <w:pPr>
              <w:pStyle w:val="Teksttabelinaglowek"/>
            </w:pPr>
            <w:r w:rsidRPr="00795F17">
              <w:t xml:space="preserve">Łącznie </w:t>
            </w:r>
            <w:r w:rsidR="00DF005E">
              <w:t>JCWP</w:t>
            </w:r>
            <w:r w:rsidR="00C478F8" w:rsidRPr="00795F17">
              <w:t xml:space="preserve"> </w:t>
            </w:r>
          </w:p>
        </w:tc>
        <w:tc>
          <w:tcPr>
            <w:tcW w:w="1111" w:type="dxa"/>
            <w:tcBorders>
              <w:top w:val="nil"/>
              <w:left w:val="nil"/>
              <w:bottom w:val="single" w:sz="4" w:space="0" w:color="auto"/>
              <w:right w:val="single" w:sz="4" w:space="0" w:color="auto"/>
            </w:tcBorders>
            <w:shd w:val="clear" w:color="auto" w:fill="BFBFBF" w:themeFill="background1" w:themeFillShade="BF"/>
            <w:vAlign w:val="center"/>
            <w:hideMark/>
          </w:tcPr>
          <w:p w14:paraId="26C81A56" w14:textId="77777777" w:rsidR="000205E2" w:rsidRPr="00795F17" w:rsidRDefault="000205E2" w:rsidP="00213B00">
            <w:pPr>
              <w:pStyle w:val="Teksttabelinaglowek"/>
            </w:pPr>
            <w:r w:rsidRPr="00795F17">
              <w:t>735</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65A72663" w14:textId="6704475E" w:rsidR="000205E2" w:rsidRPr="00795F17" w:rsidRDefault="000205E2" w:rsidP="00213B00">
            <w:pPr>
              <w:pStyle w:val="Teksttabelinaglowek"/>
            </w:pPr>
            <w:r w:rsidRPr="00795F17">
              <w:t>42,7</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5878994D" w14:textId="54E1EC4B" w:rsidR="000205E2" w:rsidRPr="00795F17" w:rsidRDefault="000205E2" w:rsidP="00213B00">
            <w:pPr>
              <w:pStyle w:val="Teksttabelinaglowek"/>
            </w:pPr>
            <w:r w:rsidRPr="00795F17">
              <w:t>1</w:t>
            </w:r>
            <w:r w:rsidR="00213B00" w:rsidRPr="00795F17">
              <w:t> </w:t>
            </w:r>
            <w:r w:rsidRPr="00795F17">
              <w:t>068</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259E0A0C" w14:textId="63DC7B94" w:rsidR="000205E2" w:rsidRPr="00795F17" w:rsidRDefault="000205E2" w:rsidP="00213B00">
            <w:pPr>
              <w:pStyle w:val="Teksttabelinaglowek"/>
            </w:pPr>
            <w:r w:rsidRPr="00795F17">
              <w:t>62,0</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3AF4377D" w14:textId="77777777" w:rsidR="000205E2" w:rsidRPr="00795F17" w:rsidRDefault="000205E2" w:rsidP="00213B00">
            <w:pPr>
              <w:pStyle w:val="Teksttabelinaglowek"/>
            </w:pPr>
            <w:r w:rsidRPr="00795F17">
              <w:t>630</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46019B0A" w14:textId="1C7DC61E" w:rsidR="000205E2" w:rsidRPr="00795F17" w:rsidRDefault="000205E2" w:rsidP="00213B00">
            <w:pPr>
              <w:pStyle w:val="Teksttabelinaglowek"/>
            </w:pPr>
            <w:r w:rsidRPr="00795F17">
              <w:t>36,6</w:t>
            </w:r>
          </w:p>
        </w:tc>
      </w:tr>
    </w:tbl>
    <w:p w14:paraId="5BE99F61" w14:textId="42CC6F92" w:rsidR="000205E2" w:rsidRPr="00795F17" w:rsidRDefault="000205E2" w:rsidP="0044393D">
      <w:pPr>
        <w:pStyle w:val="rdo"/>
      </w:pPr>
      <w:r w:rsidRPr="00795F17">
        <w:t xml:space="preserve">Źródło: </w:t>
      </w:r>
      <w:r w:rsidR="00FD7248" w:rsidRPr="00795F17">
        <w:t>opracowanie własne</w:t>
      </w:r>
      <w:r w:rsidRPr="00795F17">
        <w:t xml:space="preserve"> na podstawie wykazu GIOŚ</w:t>
      </w:r>
    </w:p>
    <w:p w14:paraId="4B1DF815" w14:textId="77777777" w:rsidR="000205E2" w:rsidRPr="00795F17" w:rsidRDefault="000205E2" w:rsidP="0044393D">
      <w:pPr>
        <w:pStyle w:val="Nagwek5"/>
      </w:pPr>
      <w:r w:rsidRPr="00795F17">
        <w:t>Prowadzenie monitoringu substancji priorytetowych w cyklu planistycznym IIaPGW</w:t>
      </w:r>
    </w:p>
    <w:p w14:paraId="57C322C8" w14:textId="1D9D0684" w:rsidR="000205E2" w:rsidRPr="00795F17" w:rsidRDefault="000205E2" w:rsidP="0044393D">
      <w:r w:rsidRPr="00795F17">
        <w:t xml:space="preserve">Realizacja </w:t>
      </w:r>
      <w:r w:rsidR="00C12087">
        <w:t>klasyfikacji stanu chemicznego</w:t>
      </w:r>
      <w:r w:rsidRPr="00795F17">
        <w:t xml:space="preserve"> w nowym cyklu oparta jest na wymogach r.m.jcw, które określa zasady prowadzenia monitoringu wód. Standardy jakościowe w zakresie badania substancji priorytetowych w wodzie i biocie określa r.kl. </w:t>
      </w:r>
      <w:r w:rsidR="00DF005E">
        <w:t>JCWP</w:t>
      </w:r>
      <w:r w:rsidRPr="00795F17">
        <w:t>.</w:t>
      </w:r>
    </w:p>
    <w:p w14:paraId="741A34BC" w14:textId="77777777" w:rsidR="000205E2" w:rsidRPr="00795F17" w:rsidRDefault="000205E2" w:rsidP="00213B00">
      <w:pPr>
        <w:pStyle w:val="Nagwek5"/>
      </w:pPr>
      <w:r w:rsidRPr="00795F17">
        <w:t>Częstotliwość prowadzenia monitoringu substancji priorytetowych</w:t>
      </w:r>
    </w:p>
    <w:p w14:paraId="2C660796" w14:textId="4CDE050A" w:rsidR="000205E2" w:rsidRPr="00795F17" w:rsidRDefault="000205E2" w:rsidP="0044393D">
      <w:r w:rsidRPr="00795F17">
        <w:t>Zakres i częstotliwość prowadzenia badań, w tym monitoringu substancji priorytetowych określa</w:t>
      </w:r>
      <w:r w:rsidR="007D1791" w:rsidRPr="00795F17">
        <w:t xml:space="preserve"> </w:t>
      </w:r>
      <w:r w:rsidR="009D5AD7">
        <w:t>Z</w:t>
      </w:r>
      <w:r w:rsidRPr="00795F17">
        <w:t xml:space="preserve">ałącznik nr 3 r.m.jcw. </w:t>
      </w:r>
    </w:p>
    <w:p w14:paraId="613DBF8F" w14:textId="77777777" w:rsidR="000205E2" w:rsidRPr="00795F17" w:rsidRDefault="000205E2" w:rsidP="0044393D">
      <w:pPr>
        <w:pStyle w:val="Nagwek5"/>
      </w:pPr>
      <w:r w:rsidRPr="00795F17">
        <w:t>Kryteria zmiany częstotliwości monitoringu jednolitych części wód powierzchniowych</w:t>
      </w:r>
    </w:p>
    <w:p w14:paraId="18EAC863" w14:textId="7C741C62" w:rsidR="000205E2" w:rsidRPr="00795F17" w:rsidRDefault="000205E2" w:rsidP="0044393D">
      <w:bookmarkStart w:id="968" w:name="_Hlk64984863"/>
      <w:r w:rsidRPr="00795F17">
        <w:t>Zmiana w realizacji monitoringu możliwa jest w przypadku spełnienia przesłanek określonych w</w:t>
      </w:r>
      <w:r w:rsidR="007D1791" w:rsidRPr="00795F17">
        <w:t> </w:t>
      </w:r>
      <w:r w:rsidR="009D5AD7">
        <w:t>Z</w:t>
      </w:r>
      <w:r w:rsidRPr="00795F17">
        <w:t>ałącznik</w:t>
      </w:r>
      <w:r w:rsidR="009D5AD7">
        <w:t>u</w:t>
      </w:r>
      <w:r w:rsidRPr="00795F17">
        <w:t xml:space="preserve"> nr 4 r.m.jcw:</w:t>
      </w:r>
    </w:p>
    <w:p w14:paraId="021645FA" w14:textId="7230F81E" w:rsidR="000205E2" w:rsidRPr="00795F17" w:rsidRDefault="000205E2" w:rsidP="005635FD">
      <w:pPr>
        <w:pStyle w:val="Numerowanie"/>
        <w:numPr>
          <w:ilvl w:val="0"/>
          <w:numId w:val="83"/>
        </w:numPr>
      </w:pPr>
      <w:r w:rsidRPr="00795F17">
        <w:t xml:space="preserve">Jeżeli na podstawie wyników uzyskanych w ramach zrealizowanego </w:t>
      </w:r>
      <w:r w:rsidR="004B1B70">
        <w:t>MD</w:t>
      </w:r>
      <w:r w:rsidRPr="00795F17">
        <w:t xml:space="preserve"> prowadzonego w danej jednolitej części wód powierzchniowych oceniono jej stan jako dobry i</w:t>
      </w:r>
      <w:r w:rsidR="00360539">
        <w:t> </w:t>
      </w:r>
      <w:r w:rsidRPr="00795F17">
        <w:t>na</w:t>
      </w:r>
      <w:r w:rsidR="000C5DB9">
        <w:t> </w:t>
      </w:r>
      <w:r w:rsidRPr="00795F17">
        <w:t xml:space="preserve">podstawie oceny wpływu znaczących oddziaływań, w tym oddziaływań antropogenicznych, nie można stwierdzić zmian w tych oddziaływaniach na ocenianą jednolitą część wód powierzchniowych, </w:t>
      </w:r>
      <w:r w:rsidR="004B1B70">
        <w:t>MD</w:t>
      </w:r>
      <w:r w:rsidRPr="00795F17">
        <w:t xml:space="preserve"> może być prowadzony w okresie obowiązywania co</w:t>
      </w:r>
      <w:r w:rsidR="00213B00" w:rsidRPr="00795F17">
        <w:t> </w:t>
      </w:r>
      <w:r w:rsidRPr="00795F17">
        <w:t>trzeciego planu gospodarowania wodami na obszarze dorzecza.</w:t>
      </w:r>
    </w:p>
    <w:p w14:paraId="2B872A4A" w14:textId="5BAB95D3" w:rsidR="000205E2" w:rsidRPr="00795F17" w:rsidRDefault="000205E2" w:rsidP="005635FD">
      <w:pPr>
        <w:pStyle w:val="Numerowanie"/>
        <w:numPr>
          <w:ilvl w:val="0"/>
          <w:numId w:val="83"/>
        </w:numPr>
      </w:pPr>
      <w:r w:rsidRPr="00795F17">
        <w:t xml:space="preserve">Dopuszcza się zmianę w realizacji </w:t>
      </w:r>
      <w:r w:rsidR="004B1B70">
        <w:t>MO</w:t>
      </w:r>
      <w:r w:rsidRPr="00795F17">
        <w:t>, w trakcie okresu obowiązywania planu gospodarowania wodami na obszarze dorzecza, na podstawie informacji pozyskanych w</w:t>
      </w:r>
      <w:r w:rsidR="004170E7" w:rsidRPr="00795F17">
        <w:t> </w:t>
      </w:r>
      <w:r w:rsidRPr="00795F17">
        <w:t>wyniku przeprowadzonej oceny wpływu znaczących oddziaływań, w tym oddziaływań antropogenicznych na jednolite części wód powierzchniowych, w szczególności polegającą na</w:t>
      </w:r>
      <w:r w:rsidR="00213B00" w:rsidRPr="00795F17">
        <w:t> </w:t>
      </w:r>
      <w:r w:rsidRPr="00795F17">
        <w:t>zmniejszeniu rocznej częstotliwości pomiarów lub badań, jeżeli stwierdzone oddziaływanie nie</w:t>
      </w:r>
      <w:r w:rsidR="00155922">
        <w:t> </w:t>
      </w:r>
      <w:r w:rsidRPr="00795F17">
        <w:t>jest znaczne lub oddziaływanie to zostało usunięte.</w:t>
      </w:r>
    </w:p>
    <w:p w14:paraId="7B6E21A3" w14:textId="157CFF72" w:rsidR="000205E2" w:rsidRPr="00795F17" w:rsidRDefault="000205E2" w:rsidP="005635FD">
      <w:pPr>
        <w:pStyle w:val="Numerowanie"/>
        <w:numPr>
          <w:ilvl w:val="0"/>
          <w:numId w:val="83"/>
        </w:numPr>
      </w:pPr>
      <w:r w:rsidRPr="00795F17">
        <w:t xml:space="preserve">Dopuszcza się skrócenie okresu prowadzenia </w:t>
      </w:r>
      <w:r w:rsidR="004B1B70">
        <w:t>MO</w:t>
      </w:r>
      <w:r w:rsidRPr="00795F17">
        <w:t xml:space="preserve"> w innym niż reperowy reprezentatywnym punkcie pomiarowo-kontrolnym do okresu objętego działaniami zmierzającymi do poprawy lub utrzymania dobrego stanu wód określonymi w zestawie działań, o</w:t>
      </w:r>
      <w:r w:rsidR="00C47D7B" w:rsidRPr="00795F17">
        <w:t> </w:t>
      </w:r>
      <w:r w:rsidRPr="00795F17">
        <w:t xml:space="preserve">którym mowa w art. 318 ust. 1 pkt 7 </w:t>
      </w:r>
      <w:r w:rsidR="002F377A">
        <w:t>pr.w</w:t>
      </w:r>
      <w:r w:rsidRPr="00795F17">
        <w:t>.</w:t>
      </w:r>
    </w:p>
    <w:p w14:paraId="5C901E6D" w14:textId="28C5FE14" w:rsidR="000205E2" w:rsidRPr="00795F17" w:rsidRDefault="000205E2" w:rsidP="005635FD">
      <w:pPr>
        <w:pStyle w:val="Numerowanie"/>
        <w:numPr>
          <w:ilvl w:val="0"/>
          <w:numId w:val="83"/>
        </w:numPr>
      </w:pPr>
      <w:r w:rsidRPr="00795F17">
        <w:t>Analizy długoterminowych trendów zmian stężeń substancji priorytetowych i innych zanieczyszczeń ulegających akumulacji w osadach dennych przeprowadza się, wykonując badania osadów dennych w jednolitych częściach wód powierzchniowych, w których zlokalizowano reperowe punkty pomiarowo-kontrolne z częstotliwością nie mniejszą niż co 3 lata, co najmniej 2</w:t>
      </w:r>
      <w:r w:rsidR="00C47D7B" w:rsidRPr="00795F17">
        <w:t> </w:t>
      </w:r>
      <w:r w:rsidRPr="00795F17">
        <w:t>razy w każdym okresie obowiązywania danego planu gospodarowania wodami na obszarze dorzecza.</w:t>
      </w:r>
    </w:p>
    <w:bookmarkEnd w:id="968"/>
    <w:p w14:paraId="1FEC2F4A" w14:textId="25ECD390" w:rsidR="000205E2" w:rsidRPr="00795F17" w:rsidRDefault="000205E2" w:rsidP="0044393D">
      <w:r w:rsidRPr="00795F17">
        <w:t>Plan sieci i programu monitoringu na cykl planistyczny IIaPGW jest elementem Programu PMŚ realizowanego na podstawie założeń określonych w Strategicznym Programie Państwowego Monitoringu Środowiska na lata 2020</w:t>
      </w:r>
      <w:r w:rsidR="001B6CF6">
        <w:t>–</w:t>
      </w:r>
      <w:r w:rsidRPr="00795F17">
        <w:t xml:space="preserve">2025. W przypadku monitoringu chemicznego wód program odnosi się do konieczności zapewnienia poprawności danych determinujących odpowiednią jakość oznaczeń w monitoringu chemicznym, co osiągnięte będzie poprzez: </w:t>
      </w:r>
    </w:p>
    <w:p w14:paraId="42DEEEBE" w14:textId="1E074E78" w:rsidR="000205E2" w:rsidRPr="00795F17" w:rsidRDefault="000205E2" w:rsidP="00117E86">
      <w:pPr>
        <w:pStyle w:val="Listapunktowana2"/>
      </w:pPr>
      <w:r w:rsidRPr="00795F17">
        <w:t>stosowanie metod analizy w zakresie parametrów fizykochemicznych i chemicznych z</w:t>
      </w:r>
      <w:r w:rsidR="00213B00" w:rsidRPr="00795F17">
        <w:t> </w:t>
      </w:r>
      <w:r w:rsidRPr="00795F17">
        <w:t>przyjęciem minimalnych kryteriów w zakresie wyników dla niepewności rozszerzonej pomiaru równej lub mniejszej 50% (dla k=2 i prawdopodobieństwa 95%),</w:t>
      </w:r>
    </w:p>
    <w:p w14:paraId="7D79C616" w14:textId="77777777" w:rsidR="000205E2" w:rsidRPr="00795F17" w:rsidRDefault="000205E2" w:rsidP="00117E86">
      <w:pPr>
        <w:pStyle w:val="Listapunktowana2"/>
      </w:pPr>
      <w:r w:rsidRPr="00795F17">
        <w:t>zapewnienie, że granica oznaczalności nie przekracza wartości 30% odpowiednich norm jakości środowiska.</w:t>
      </w:r>
    </w:p>
    <w:p w14:paraId="0F2C90F9" w14:textId="0AB735E5" w:rsidR="00AC4716" w:rsidRPr="00795F17" w:rsidRDefault="00762876" w:rsidP="0044393D">
      <w:r w:rsidRPr="00CD6BE8">
        <w:rPr>
          <w:rFonts w:eastAsia="Times New Roman" w:cs="Calibri"/>
          <w:color w:val="000000"/>
          <w:lang w:eastAsia="pl-PL"/>
        </w:rPr>
        <w:t>Badania wykonywane w ramach monitoringu chemicznego wód powierzchniowych muszą uwzględniać wymagania zawarte w załączniku nr 14 dotyczącym środowiskowych norm jakości dla substancji szczególnie szkodliwych dla środowiska wodnego (substancji priorytetowych w dziedzinie polityki wodnej oraz innych substancji zanieczyszczających)</w:t>
      </w:r>
      <w:r>
        <w:rPr>
          <w:rFonts w:eastAsia="Times New Roman" w:cs="Calibri"/>
          <w:color w:val="000000"/>
        </w:rPr>
        <w:t>.</w:t>
      </w:r>
    </w:p>
    <w:p w14:paraId="04319F46" w14:textId="3D63FF0C" w:rsidR="00332A4E" w:rsidRPr="00795F17" w:rsidRDefault="007D1791" w:rsidP="00BA6B41">
      <w:pPr>
        <w:pStyle w:val="Nagwek1"/>
      </w:pPr>
      <w:r w:rsidRPr="00795F17">
        <w:br w:type="column"/>
      </w:r>
      <w:bookmarkStart w:id="969" w:name="_Toc105512732"/>
      <w:r w:rsidR="0067063A" w:rsidRPr="00795F17">
        <w:t>Wykaz inwestycji i działań, które mogą spowodować nieosiągnięcie dobrego stanu wód lub pogorszenie dobrego stanu wód</w:t>
      </w:r>
      <w:bookmarkEnd w:id="969"/>
    </w:p>
    <w:p w14:paraId="0B0AE915" w14:textId="097D09EA" w:rsidR="00894D00" w:rsidRPr="00795F17" w:rsidRDefault="00894D00" w:rsidP="0044393D">
      <w:pPr>
        <w:rPr>
          <w:i/>
          <w:iCs/>
        </w:rPr>
      </w:pPr>
      <w:bookmarkStart w:id="970" w:name="_Hlk54268402"/>
      <w:r w:rsidRPr="00795F17">
        <w:t xml:space="preserve">Ramowa Dyrektywa Wodna w art. 4 ust. 7 </w:t>
      </w:r>
      <w:r w:rsidR="002D07FD">
        <w:t>stanowi</w:t>
      </w:r>
      <w:r w:rsidRPr="00795F17">
        <w:t>, że państwa członkowskie nie naruszają RDW, gdy:</w:t>
      </w:r>
    </w:p>
    <w:p w14:paraId="3C9C8779" w14:textId="77777777" w:rsidR="00894D00" w:rsidRPr="00795F17" w:rsidRDefault="00894D00" w:rsidP="002D309E">
      <w:pPr>
        <w:pStyle w:val="Listapunktowana2"/>
        <w:ind w:left="714" w:hanging="357"/>
      </w:pPr>
      <w:r w:rsidRPr="00795F17">
        <w:t>nieosiągnięcie dobrego stanu wód podziemnych, dobrego stanu ekologicznego lub, gdzie stosowne, dobrego potencjału ekologicznego lub niezapobieganie pogarszaniu się stanu części wód powierzchniowych czy podziemnych jest wynikiem nowych zmian w charakterystyce fizycznej części wód powierzchniowych lub zmian poziomu części wód podziemnych, lub</w:t>
      </w:r>
    </w:p>
    <w:p w14:paraId="61E9BD1A" w14:textId="77777777" w:rsidR="0053124D" w:rsidRPr="00795F17" w:rsidRDefault="00894D00" w:rsidP="002D309E">
      <w:pPr>
        <w:pStyle w:val="Listapunktowana2"/>
        <w:ind w:left="714" w:hanging="357"/>
      </w:pPr>
      <w:r w:rsidRPr="00795F17">
        <w:t xml:space="preserve">niezapobieganie pogorszeniu się ze stanu bardzo dobrego do dobrego danej części wód powierzchniowych jest wynikiem nowych zrównoważonych form działalności gospodarczej człowieka </w:t>
      </w:r>
    </w:p>
    <w:p w14:paraId="6B543367" w14:textId="57D6AE4E" w:rsidR="00894D00" w:rsidRPr="00795F17" w:rsidRDefault="00894D00" w:rsidP="00BD6E52">
      <w:r w:rsidRPr="00795F17">
        <w:t>i spełnione są wszystkie następujące warunki:</w:t>
      </w:r>
    </w:p>
    <w:p w14:paraId="1844F37A" w14:textId="77777777" w:rsidR="00894D00" w:rsidRPr="00795F17" w:rsidRDefault="00894D00" w:rsidP="002D309E">
      <w:pPr>
        <w:pStyle w:val="Listapunktowana2"/>
        <w:ind w:left="714" w:hanging="357"/>
      </w:pPr>
      <w:r w:rsidRPr="00795F17">
        <w:t>zostały podjęte wszystkie praktyczne kroki, aby ograniczyć niekorzystny wpływ na stan części wód;</w:t>
      </w:r>
    </w:p>
    <w:p w14:paraId="283D48F1" w14:textId="77777777" w:rsidR="00894D00" w:rsidRPr="00795F17" w:rsidRDefault="00894D00" w:rsidP="002D309E">
      <w:pPr>
        <w:pStyle w:val="Listapunktowana2"/>
        <w:ind w:left="714" w:hanging="357"/>
      </w:pPr>
      <w:r w:rsidRPr="00795F17">
        <w:t>przyczyny tych modyfikacji lub zmian są szczegółowo określone i wyjaśnione w planie gospodarowania wodami na obszarze dorzecza wymaganym na mocy art. 13, a cele podlegają ocenie co sześć lat;</w:t>
      </w:r>
    </w:p>
    <w:p w14:paraId="5224132D" w14:textId="1CF21E3E" w:rsidR="00894D00" w:rsidRPr="00795F17" w:rsidRDefault="00894D00" w:rsidP="002D309E">
      <w:pPr>
        <w:pStyle w:val="Listapunktowana2"/>
        <w:ind w:left="714" w:hanging="357"/>
      </w:pPr>
      <w:r w:rsidRPr="00795F17">
        <w:t>przyczyny tych modyfikacji lub zmian stanowią nadrzędny interes społeczny i/lub korzyści dla</w:t>
      </w:r>
      <w:r w:rsidR="003F6D5B" w:rsidRPr="00795F17">
        <w:t> </w:t>
      </w:r>
      <w:r w:rsidRPr="00795F17">
        <w:t xml:space="preserve">środowiska i dla społeczeństwa płynące z osiągnięcia celów wymienionych w </w:t>
      </w:r>
      <w:r w:rsidR="006B7333" w:rsidRPr="006B7333">
        <w:t xml:space="preserve">art. 4 </w:t>
      </w:r>
      <w:r w:rsidRPr="00795F17">
        <w:t>ust.</w:t>
      </w:r>
      <w:r w:rsidR="001A2591">
        <w:t> </w:t>
      </w:r>
      <w:r w:rsidRPr="00795F17">
        <w:t>1 są</w:t>
      </w:r>
      <w:r w:rsidR="003F6D5B" w:rsidRPr="00795F17">
        <w:t> </w:t>
      </w:r>
      <w:r w:rsidRPr="00795F17">
        <w:t>przeważone przez wpływ korzyści wynikających z nowych modyfikacji czy zmian na ludzkie zdrowie, utrzymanie ludzkiego bezpieczeństwa lub zrównoważony rozwój; oraz</w:t>
      </w:r>
    </w:p>
    <w:p w14:paraId="4D008614" w14:textId="77777777" w:rsidR="00894D00" w:rsidRPr="00795F17" w:rsidRDefault="00894D00" w:rsidP="002D309E">
      <w:pPr>
        <w:pStyle w:val="Listapunktowana2"/>
        <w:ind w:left="714" w:hanging="357"/>
      </w:pPr>
      <w:r w:rsidRPr="00795F17">
        <w:t>korzystne cele, którym służą te modyfikacje lub zmiany części wód, nie mogą, z przyczyn możliwości technicznych czy nieproporcjonalnych kosztów, być osiągnięte innymi środkami, stanowiącymi znacznie korzystniejszą opcję środowiskową.</w:t>
      </w:r>
    </w:p>
    <w:p w14:paraId="28249A37" w14:textId="319B3855" w:rsidR="00894D00" w:rsidRPr="00795F17" w:rsidRDefault="00894D00" w:rsidP="0044393D">
      <w:r w:rsidRPr="00795F17">
        <w:t xml:space="preserve">Krajowym odpowiednikiem ww. przepisu </w:t>
      </w:r>
      <w:r w:rsidR="00B1480F">
        <w:t>są</w:t>
      </w:r>
      <w:r w:rsidR="00B1480F" w:rsidRPr="00795F17">
        <w:t xml:space="preserve"> </w:t>
      </w:r>
      <w:r w:rsidRPr="00795F17">
        <w:t>art. 66</w:t>
      </w:r>
      <w:r w:rsidR="00767420">
        <w:t xml:space="preserve"> </w:t>
      </w:r>
      <w:r w:rsidRPr="00795F17">
        <w:t>-</w:t>
      </w:r>
      <w:r w:rsidR="00767420">
        <w:t xml:space="preserve"> </w:t>
      </w:r>
      <w:r w:rsidRPr="00795F17">
        <w:t>68 pr.w.</w:t>
      </w:r>
    </w:p>
    <w:p w14:paraId="1F3CE781" w14:textId="6CE13FA6" w:rsidR="00894D00" w:rsidRPr="00795F17" w:rsidRDefault="00894D00" w:rsidP="0044393D">
      <w:r w:rsidRPr="00795F17">
        <w:t xml:space="preserve">W odniesieniu do warunku określonego w art. 4 ust. 7 lit. b RDW dokument pn. </w:t>
      </w:r>
      <w:bookmarkStart w:id="971" w:name="_Hlk61778132"/>
      <w:r w:rsidRPr="00795F17">
        <w:rPr>
          <w:i/>
          <w:iCs/>
        </w:rPr>
        <w:t>Guidance Document No. 20. Guidance Document on Exemptions to the Environmental Objectives</w:t>
      </w:r>
      <w:bookmarkEnd w:id="971"/>
      <w:r w:rsidRPr="00795F17">
        <w:rPr>
          <w:rStyle w:val="Odwoanieprzypisudolnego"/>
          <w:color w:val="000000" w:themeColor="text1"/>
        </w:rPr>
        <w:footnoteReference w:id="114"/>
      </w:r>
      <w:r w:rsidRPr="00795F17">
        <w:t xml:space="preserve"> (Wytyczne CIS nr 20 dotyczące wyłączeń z realizacji celów środowiskowych) wskazuje, że przedstawienie informacji w</w:t>
      </w:r>
      <w:r w:rsidR="000635A2" w:rsidRPr="00795F17">
        <w:t> </w:t>
      </w:r>
      <w:r w:rsidRPr="00795F17">
        <w:t>planie gospodarowania wodami ma charakter sprawozdawczy.</w:t>
      </w:r>
    </w:p>
    <w:p w14:paraId="7E8A0A30" w14:textId="76ABBF6E" w:rsidR="00894D00" w:rsidRPr="00795F17" w:rsidRDefault="00894D00" w:rsidP="0044393D">
      <w:r w:rsidRPr="00795F17">
        <w:t>W polskim systemie prawnym przyjęto, że analiza zgodności planowanego działania, inwestycji lub</w:t>
      </w:r>
      <w:r w:rsidR="00435693" w:rsidRPr="00795F17">
        <w:t> </w:t>
      </w:r>
      <w:r w:rsidRPr="00795F17">
        <w:t>przedsięwzięcia z celami środowiskowymi jcw jest:</w:t>
      </w:r>
    </w:p>
    <w:p w14:paraId="10B5DAD6" w14:textId="41846BD9" w:rsidR="00894D00" w:rsidRPr="00795F17" w:rsidRDefault="00894D00" w:rsidP="002757E9">
      <w:pPr>
        <w:pStyle w:val="Numerowanie"/>
        <w:numPr>
          <w:ilvl w:val="0"/>
          <w:numId w:val="59"/>
        </w:numPr>
        <w:rPr>
          <w:color w:val="000000" w:themeColor="text1"/>
        </w:rPr>
      </w:pPr>
      <w:r w:rsidRPr="00795F17">
        <w:t>elementem postępowań administracyjnych w sprawie ocen wodnoprawnych (art. 429 pr.w.), pozwoleń wodnoprawnych (art. 396 ust. 1 pr.w.), decyzji o środowiskowych uwarunkowaniach (art. 81 ust. 3</w:t>
      </w:r>
      <w:r w:rsidR="00C05679" w:rsidRPr="00795F17" w:rsidDel="001B6CF6">
        <w:t xml:space="preserve"> </w:t>
      </w:r>
      <w:r w:rsidRPr="00795F17">
        <w:t>u.i.o.ś.) oraz decyzji wykonawczych (pozwolenie na</w:t>
      </w:r>
      <w:r w:rsidR="0053124D" w:rsidRPr="00795F17">
        <w:t> </w:t>
      </w:r>
      <w:r w:rsidRPr="00795F17">
        <w:t>budowę, zezwolenie na realizację inwestycji drogowej itp.) w przypadku przeprowadzania ponownej oceny oddziaływania na środowisko (art. 90 ust. 2 pkt 2 u.i.o.ś.);</w:t>
      </w:r>
    </w:p>
    <w:p w14:paraId="2B98FFE9" w14:textId="102A3CA0" w:rsidR="00894D00" w:rsidRPr="00795F17" w:rsidRDefault="00894D00" w:rsidP="0044393D">
      <w:pPr>
        <w:pStyle w:val="Numerowanie"/>
        <w:rPr>
          <w:color w:val="000000" w:themeColor="text1"/>
        </w:rPr>
      </w:pPr>
      <w:r w:rsidRPr="00795F17">
        <w:t>przedmiotem analizy przy rozpatrywaniu zgłoszeń wodnoprawnych (art. 423 ust. 5 pkt 3 pr.w.);</w:t>
      </w:r>
    </w:p>
    <w:p w14:paraId="279E6204" w14:textId="3F6482F8" w:rsidR="00894D00" w:rsidRPr="00795F17" w:rsidRDefault="00894D00" w:rsidP="0044393D">
      <w:pPr>
        <w:pStyle w:val="Numerowanie"/>
        <w:rPr>
          <w:color w:val="000000" w:themeColor="text1"/>
        </w:rPr>
      </w:pPr>
      <w:r w:rsidRPr="00795F17">
        <w:t>przedmiotem analizy przy przeglądzie pozwoleń wodnoprawnych (art. 416 ust. 2 oraz art. 325 ust.</w:t>
      </w:r>
      <w:r w:rsidR="006B7E54">
        <w:t> </w:t>
      </w:r>
      <w:r w:rsidRPr="00795F17">
        <w:t>1 pkt 2 pr.w.);</w:t>
      </w:r>
    </w:p>
    <w:p w14:paraId="0222FB2A" w14:textId="5DC66D1F" w:rsidR="00894D00" w:rsidRPr="00795F17" w:rsidRDefault="00894D00" w:rsidP="0044393D">
      <w:pPr>
        <w:pStyle w:val="Numerowanie"/>
        <w:rPr>
          <w:color w:val="000000" w:themeColor="text1"/>
        </w:rPr>
      </w:pPr>
      <w:r w:rsidRPr="00795F17">
        <w:t>uwzględniana w ramach utrzymywania wód (art. 226 ust. 1</w:t>
      </w:r>
      <w:r w:rsidR="00E34352">
        <w:t xml:space="preserve"> i </w:t>
      </w:r>
      <w:r w:rsidRPr="00795F17">
        <w:t>2, art. 229, art. 231 pr.w.) oraz innych czynności związanych z gospodarką wodną (art. 236 ust. 4, art. 164 ust. 1, art. 187 ust. 1, art. 198 pr.w.);</w:t>
      </w:r>
    </w:p>
    <w:p w14:paraId="130A2738" w14:textId="7B11B48C" w:rsidR="00894D00" w:rsidRPr="00795F17" w:rsidRDefault="00894D00" w:rsidP="0044393D">
      <w:pPr>
        <w:pStyle w:val="Numerowanie"/>
        <w:rPr>
          <w:color w:val="000000" w:themeColor="text1"/>
        </w:rPr>
      </w:pPr>
      <w:r w:rsidRPr="00795F17">
        <w:t>przedmiotem analizy przy wydawaniu deklaracji zgodności z RDW (art. 439</w:t>
      </w:r>
      <w:r w:rsidR="00E34352">
        <w:t xml:space="preserve"> </w:t>
      </w:r>
      <w:r w:rsidRPr="00795F17">
        <w:t>-</w:t>
      </w:r>
      <w:r w:rsidR="00E34352">
        <w:t xml:space="preserve"> </w:t>
      </w:r>
      <w:r w:rsidRPr="00795F17">
        <w:t>440a pr.w.).</w:t>
      </w:r>
    </w:p>
    <w:p w14:paraId="078F423A" w14:textId="77777777" w:rsidR="00894D00" w:rsidRPr="00795F17" w:rsidRDefault="00894D00" w:rsidP="0044393D">
      <w:r w:rsidRPr="00795F17">
        <w:t>Każdy przypadek realizacji działania, inwestycji lub przedsięwzięcia mogącego zagrażać celom środowiskowym jcw wymaga autoryzacji w formie decyzji administracyjnej.</w:t>
      </w:r>
    </w:p>
    <w:p w14:paraId="1DEC5C00" w14:textId="2C5EFC60" w:rsidR="00894D00" w:rsidRPr="00795F17" w:rsidRDefault="00894D00" w:rsidP="0044393D">
      <w:r w:rsidRPr="00795F17">
        <w:t>Zgodnie ze stanem prawnym obowiązującym w Polsce od 1 stycznia 2018</w:t>
      </w:r>
      <w:r w:rsidR="000635A2" w:rsidRPr="00795F17">
        <w:t> </w:t>
      </w:r>
      <w:r w:rsidRPr="00795F17">
        <w:t xml:space="preserve">r. wydanie zgody wodnoprawnej lub decyzji o środowiskowych uwarunkowaniach jest możliwe nawet w przypadku, gdy dane przedsięwzięcie pogarsza stan wód lub uniemożliwia osiągnięcie celu środowiskowego jcw </w:t>
      </w:r>
      <w:r w:rsidR="001B6CF6">
        <w:t>–</w:t>
      </w:r>
      <w:r w:rsidRPr="00795F17">
        <w:t xml:space="preserve"> pod warunkiem, że spełnione są przesłanki wskazane w art. 68 pkt 1, 3 i 4 pr.w. (przepis będący odpowiednikiem art. 4</w:t>
      </w:r>
      <w:r w:rsidR="000635A2" w:rsidRPr="00795F17">
        <w:t xml:space="preserve"> ust. </w:t>
      </w:r>
      <w:r w:rsidRPr="00795F17">
        <w:t xml:space="preserve">7 RDW). </w:t>
      </w:r>
      <w:r w:rsidR="005251AF" w:rsidRPr="00795F17">
        <w:t xml:space="preserve">Widoczny brak pkt 2 wynika z treści art. 81 ust. 3 u.i.o.ś oraz art. 432 pr.w. </w:t>
      </w:r>
      <w:r w:rsidRPr="00795F17">
        <w:t>Według stanu prawnego obowiązującego między datą przyjęcia aPGW a</w:t>
      </w:r>
      <w:r w:rsidR="0053124D" w:rsidRPr="00795F17">
        <w:t> </w:t>
      </w:r>
      <w:r w:rsidR="000635A2" w:rsidRPr="00795F17">
        <w:t xml:space="preserve">dniem </w:t>
      </w:r>
      <w:r w:rsidRPr="00795F17">
        <w:t>1 stycznia 2018</w:t>
      </w:r>
      <w:r w:rsidR="000635A2" w:rsidRPr="00795F17">
        <w:t> </w:t>
      </w:r>
      <w:r w:rsidRPr="00795F17">
        <w:t>r. wydanie decyzji o środowiskowych uwarunkowaniach oraz pozwolenia wodnoprawnego dla przedsięwzięcia lub działania mogącego kolidować z celami środowiskowymi jcw było dopuszczalne tylko w sytuacji, gdy były spełnione wszystkie warunki wynikające z art. 4 ust. 7 RDW, tzn. gdy inwestycja była ujęta w aPGW.</w:t>
      </w:r>
    </w:p>
    <w:p w14:paraId="0F9236EE" w14:textId="77777777" w:rsidR="00894D00" w:rsidRPr="00795F17" w:rsidRDefault="00894D00" w:rsidP="0044393D">
      <w:r w:rsidRPr="00795F17">
        <w:t>Obligatoryjnym elementem planu gospodarowania wodami jest wykaz inwestycji lub działań spełniających łącznie następujące kryteria:</w:t>
      </w:r>
    </w:p>
    <w:p w14:paraId="77521483" w14:textId="5304ACD7" w:rsidR="00894D00" w:rsidRPr="00795F17" w:rsidRDefault="00894D00" w:rsidP="002D309E">
      <w:pPr>
        <w:pStyle w:val="Listapunktowana2"/>
        <w:numPr>
          <w:ilvl w:val="0"/>
          <w:numId w:val="97"/>
        </w:numPr>
        <w:ind w:left="714" w:hanging="357"/>
      </w:pPr>
      <w:r w:rsidRPr="00795F17">
        <w:t>mogą one wpłynąć na możliwość osiągnięcia celów środowiskowych, o których mowa w</w:t>
      </w:r>
      <w:r w:rsidR="00540D8D">
        <w:t> </w:t>
      </w:r>
      <w:r w:rsidRPr="00795F17">
        <w:t>art.</w:t>
      </w:r>
      <w:r w:rsidR="00540D8D">
        <w:t> </w:t>
      </w:r>
      <w:r w:rsidRPr="00795F17">
        <w:t>56, art. 57, art. 59 oraz w art. 61 pr.w.;</w:t>
      </w:r>
    </w:p>
    <w:p w14:paraId="22E9CD71" w14:textId="75679642" w:rsidR="00894D00" w:rsidRPr="00795F17" w:rsidRDefault="00894D00" w:rsidP="002D309E">
      <w:pPr>
        <w:pStyle w:val="Listapunktowana2"/>
        <w:numPr>
          <w:ilvl w:val="0"/>
          <w:numId w:val="97"/>
        </w:numPr>
        <w:ind w:left="714" w:hanging="357"/>
      </w:pPr>
      <w:r w:rsidRPr="00795F17">
        <w:t xml:space="preserve">spełniają warunki, o których mowa w art. 68 pr.w. </w:t>
      </w:r>
    </w:p>
    <w:p w14:paraId="7E7B3898" w14:textId="4DD426F7" w:rsidR="00894D00" w:rsidRPr="00795F17" w:rsidRDefault="00894D00" w:rsidP="0044393D">
      <w:pPr>
        <w:rPr>
          <w:rFonts w:ascii="Times New Roman" w:hAnsi="Times New Roman"/>
          <w:sz w:val="24"/>
          <w:szCs w:val="24"/>
          <w:lang w:eastAsia="pl-PL"/>
        </w:rPr>
      </w:pPr>
      <w:r w:rsidRPr="00795F17">
        <w:t xml:space="preserve">Tak określony wykaz inwestycji i działań, które mogą spowodować nieosiągnięcie dobrego stanu wód lub pogorszenie dobrego stanu wód, </w:t>
      </w:r>
      <w:r w:rsidR="00064AE0">
        <w:t>prezentuje załącznik</w:t>
      </w:r>
      <w:r w:rsidRPr="00795F17">
        <w:t xml:space="preserve"> nr </w:t>
      </w:r>
      <w:r w:rsidR="00C06154">
        <w:t>10</w:t>
      </w:r>
      <w:r w:rsidR="007B6599" w:rsidRPr="00795F17">
        <w:t xml:space="preserve"> (Wykaz inwestycji i działań)</w:t>
      </w:r>
      <w:r w:rsidR="001B354B">
        <w:rPr>
          <w:rFonts w:ascii="Times New Roman" w:hAnsi="Times New Roman"/>
          <w:sz w:val="24"/>
          <w:szCs w:val="24"/>
          <w:lang w:eastAsia="pl-PL"/>
        </w:rPr>
        <w:t>.</w:t>
      </w:r>
    </w:p>
    <w:p w14:paraId="58372989" w14:textId="6A0493D1" w:rsidR="00894D00" w:rsidRDefault="00894D00" w:rsidP="0044393D">
      <w:r w:rsidRPr="00795F17">
        <w:t>Zestawiając informacje wynikające z powyższej treści, należy podkreślić, że wykaz ten ma funkcję sprawozdawczą. Przedstawia on informacje wynikające z decyzji administracyjnych (decyzje o</w:t>
      </w:r>
      <w:r w:rsidR="00D0383B" w:rsidRPr="00795F17">
        <w:t> </w:t>
      </w:r>
      <w:r w:rsidRPr="00795F17">
        <w:t>środowiskowych uwarunkowaniach, oceny wodnoprawne) na temat działań i przedsięwzięć, dla których wydano (w okresie od daty przyjęcia aPGW do 21 grudnia 2020</w:t>
      </w:r>
      <w:r w:rsidR="000635A2" w:rsidRPr="00795F17">
        <w:t> </w:t>
      </w:r>
      <w:r w:rsidRPr="00795F17">
        <w:t>r.) ostateczną decyzję potwierdzającą spełnienie warunków, o których mowa w art. 68 pkt 1, 3 i 4 pr.w. Ponadto, uwzględnia on informacje o planowanych i realizowanych inwestycjach i działaniach, dla których w</w:t>
      </w:r>
      <w:r w:rsidR="005D7D36" w:rsidRPr="00795F17">
        <w:t> </w:t>
      </w:r>
      <w:r w:rsidRPr="00795F17">
        <w:t>aPGW z 2016 r. potwierdzono warunki spełniania odstępstwa w trybie art. 4</w:t>
      </w:r>
      <w:r w:rsidR="0026763E">
        <w:t xml:space="preserve"> ust.</w:t>
      </w:r>
      <w:r w:rsidR="00320BEF">
        <w:t xml:space="preserve"> </w:t>
      </w:r>
      <w:r w:rsidRPr="00795F17">
        <w:t>7 RDW.</w:t>
      </w:r>
    </w:p>
    <w:p w14:paraId="624780F2" w14:textId="5B0BFEFA" w:rsidR="00A43423" w:rsidRDefault="00016C43" w:rsidP="00016C43">
      <w:pPr>
        <w:spacing w:before="0" w:after="0"/>
        <w:rPr>
          <w:rFonts w:cs="Calibri"/>
        </w:rPr>
      </w:pPr>
      <w:r w:rsidRPr="0012692B">
        <w:rPr>
          <w:rFonts w:cs="Calibri"/>
          <w:color w:val="000000"/>
        </w:rPr>
        <w:t>Wskazanie informacji o przedsięwzięciu, działaniu lub inwestycji w Wykazie Inwestycji i Działań nie zwalnia z konieczności uzyskania wymaganych przepisami prawa decyzji administracyjnych dot. realizacji przedsięwzięcia (działania, inwestycji). Oznacza to, że analiza zgodności planowanego działania, inwestycji lub przedsięwzięcia z celami środowiskowymi jcw wraz z uzasadnieniem przesłanek, o których mowa w art. 4.7 Ramowej Dyrektywy Wodnej może być przeprowadzona wyłącznie w toku postępowań administracyjnych kończących się wydaniem DUŚ, oceny wodnoprawnej.</w:t>
      </w:r>
    </w:p>
    <w:p w14:paraId="57415299" w14:textId="77777777" w:rsidR="00894D00" w:rsidRPr="00795F17" w:rsidRDefault="00894D00" w:rsidP="0044393D">
      <w:r w:rsidRPr="00795F17">
        <w:t>Źródłem informacji do wykazu była ankietyzacja, którą objęto następujące podmioty:</w:t>
      </w:r>
    </w:p>
    <w:p w14:paraId="000A8BA8" w14:textId="391022EC" w:rsidR="00894D00" w:rsidRPr="00795F17" w:rsidRDefault="00894D00" w:rsidP="002757E9">
      <w:pPr>
        <w:pStyle w:val="Numerowanie"/>
        <w:numPr>
          <w:ilvl w:val="0"/>
          <w:numId w:val="60"/>
        </w:numPr>
      </w:pPr>
      <w:r w:rsidRPr="00795F17">
        <w:t>podmioty określone jako „Inwestor” w wykazach inwestycji stanowiących załącznik do aPGW z</w:t>
      </w:r>
      <w:r w:rsidR="00252887" w:rsidRPr="00795F17">
        <w:t> </w:t>
      </w:r>
      <w:r w:rsidRPr="00795F17">
        <w:t>2016</w:t>
      </w:r>
      <w:r w:rsidR="000635A2" w:rsidRPr="00795F17">
        <w:t> </w:t>
      </w:r>
      <w:r w:rsidRPr="00795F17">
        <w:t>r.; uwzględniono włączenie Zarządów Melioracji i Urządzeń Wodnych (wskazanych w</w:t>
      </w:r>
      <w:r w:rsidR="00252887" w:rsidRPr="00795F17">
        <w:t> </w:t>
      </w:r>
      <w:r w:rsidRPr="00795F17">
        <w:t>aPGW z 2016</w:t>
      </w:r>
      <w:r w:rsidR="000635A2" w:rsidRPr="00795F17">
        <w:t> </w:t>
      </w:r>
      <w:r w:rsidRPr="00795F17">
        <w:t xml:space="preserve">r. jako „Inwestor”) w struktury </w:t>
      </w:r>
      <w:r w:rsidR="0028234C" w:rsidRPr="00795F17">
        <w:t>PGW WP</w:t>
      </w:r>
      <w:r w:rsidRPr="00795F17">
        <w:t>; w przypadku innych inwestorów skierowano ankiety do podmiotów kontynuujących zamierzenie inwestycyjne;</w:t>
      </w:r>
    </w:p>
    <w:p w14:paraId="2F9C57DE" w14:textId="4CA7B7B4" w:rsidR="00894D00" w:rsidRPr="00795F17" w:rsidRDefault="00894D00" w:rsidP="002757E9">
      <w:pPr>
        <w:pStyle w:val="Numerowanie"/>
        <w:numPr>
          <w:ilvl w:val="0"/>
          <w:numId w:val="60"/>
        </w:numPr>
      </w:pPr>
      <w:r w:rsidRPr="00795F17">
        <w:t>organy właściwe w sprawach ocen wodnoprawnych (które wydawały oceny wodnoprawne, brały udział w postępowaniach w sprawie wydania decyzji o środowiskowych uwarunkowaniach oraz</w:t>
      </w:r>
      <w:r w:rsidR="00EB154F">
        <w:t> </w:t>
      </w:r>
      <w:r w:rsidRPr="00795F17">
        <w:t>prowadziły wykazy inwestycji zgodnie z art. 435</w:t>
      </w:r>
      <w:r w:rsidR="004B643D">
        <w:t xml:space="preserve"> </w:t>
      </w:r>
      <w:r w:rsidRPr="00795F17">
        <w:t>-</w:t>
      </w:r>
      <w:r w:rsidR="004B643D">
        <w:t xml:space="preserve"> </w:t>
      </w:r>
      <w:r w:rsidRPr="00795F17">
        <w:t>436 pr.w.);</w:t>
      </w:r>
    </w:p>
    <w:p w14:paraId="1BE39D18" w14:textId="593F5B1E" w:rsidR="00894D00" w:rsidRPr="00795F17" w:rsidRDefault="00894D00" w:rsidP="002757E9">
      <w:pPr>
        <w:pStyle w:val="Numerowanie"/>
        <w:numPr>
          <w:ilvl w:val="0"/>
          <w:numId w:val="60"/>
        </w:numPr>
      </w:pPr>
      <w:r w:rsidRPr="00795F17">
        <w:t>organy wydające decyzje o środowiskowych uwarunkowaniach, przy wydawaniu których zastosowano art. 68 pr.w. (wskazane przez organy właściwe w sprawach ocen wodnoprawnych).</w:t>
      </w:r>
    </w:p>
    <w:p w14:paraId="060E60BD" w14:textId="3F81565A" w:rsidR="00894D00" w:rsidRPr="00795F17" w:rsidRDefault="00894D00" w:rsidP="0044393D">
      <w:r w:rsidRPr="00795F17">
        <w:t>Ponadto w przypadku, gdy uzyskane dane były niewystarczające, uwzględniono dane wynikające z</w:t>
      </w:r>
      <w:r w:rsidR="00A462FD">
        <w:t> </w:t>
      </w:r>
      <w:r w:rsidRPr="00795F17">
        <w:t>treści decyzji administracyjnych.</w:t>
      </w:r>
    </w:p>
    <w:p w14:paraId="30930A20" w14:textId="5073DC17" w:rsidR="00B63F6E" w:rsidRPr="00795F17" w:rsidRDefault="00894D00" w:rsidP="00B12426">
      <w:r w:rsidRPr="00795F17">
        <w:t xml:space="preserve">Z </w:t>
      </w:r>
      <w:r w:rsidR="000635A2" w:rsidRPr="00795F17">
        <w:t>przeprowadzonej</w:t>
      </w:r>
      <w:r w:rsidRPr="00795F17">
        <w:t xml:space="preserve"> analizy wynika, że na obszarze dorzecza Odry</w:t>
      </w:r>
      <w:r w:rsidR="007D1791" w:rsidRPr="00795F17">
        <w:t xml:space="preserve"> </w:t>
      </w:r>
      <w:r w:rsidR="00107BCA" w:rsidRPr="00795F17">
        <w:t>zidentyfikowano</w:t>
      </w:r>
      <w:r w:rsidRPr="00795F17">
        <w:t xml:space="preserve"> 1</w:t>
      </w:r>
      <w:r w:rsidR="00DB306E">
        <w:t>2</w:t>
      </w:r>
      <w:r w:rsidR="003355CA">
        <w:t>4</w:t>
      </w:r>
      <w:r w:rsidR="00B23595">
        <w:t xml:space="preserve"> </w:t>
      </w:r>
      <w:r w:rsidR="003355CA" w:rsidRPr="00795F17">
        <w:t>inwestycj</w:t>
      </w:r>
      <w:r w:rsidR="003355CA">
        <w:t>e</w:t>
      </w:r>
      <w:r w:rsidR="003355CA" w:rsidRPr="00795F17">
        <w:t xml:space="preserve"> </w:t>
      </w:r>
      <w:r w:rsidRPr="00795F17">
        <w:t>i</w:t>
      </w:r>
      <w:r w:rsidR="000635A2" w:rsidRPr="00795F17">
        <w:t> </w:t>
      </w:r>
      <w:r w:rsidR="003355CA" w:rsidRPr="00795F17">
        <w:t>działa</w:t>
      </w:r>
      <w:r w:rsidR="003355CA">
        <w:t>nia</w:t>
      </w:r>
      <w:r w:rsidR="003355CA" w:rsidRPr="00795F17">
        <w:t xml:space="preserve"> spełniając</w:t>
      </w:r>
      <w:r w:rsidR="003355CA">
        <w:t>e</w:t>
      </w:r>
      <w:r w:rsidR="003355CA" w:rsidRPr="00795F17">
        <w:t xml:space="preserve"> </w:t>
      </w:r>
      <w:r w:rsidRPr="00795F17">
        <w:t>przesłanki wskazane w art. 4 ust. 7 RDW.</w:t>
      </w:r>
      <w:r w:rsidR="0070364B">
        <w:t xml:space="preserve"> </w:t>
      </w:r>
      <w:r w:rsidR="00B12426">
        <w:t>Informacje o nich są przedstawione w  załączniku nr 10 (Wykaz inwestycji i działań).</w:t>
      </w:r>
    </w:p>
    <w:p w14:paraId="548275CB" w14:textId="33F3F1E1" w:rsidR="005374A5" w:rsidRPr="00795F17" w:rsidRDefault="00B63F6E" w:rsidP="00BA6B41">
      <w:pPr>
        <w:pStyle w:val="Nagwek1"/>
      </w:pPr>
      <w:r w:rsidRPr="00795F17">
        <w:br w:type="column"/>
      </w:r>
      <w:bookmarkStart w:id="972" w:name="_Toc66272296"/>
      <w:bookmarkStart w:id="973" w:name="_Toc105512733"/>
      <w:r w:rsidR="005374A5" w:rsidRPr="00795F17">
        <w:t>Zagrożenia dla swobodnego przepływu wód oraz spływu lodów</w:t>
      </w:r>
      <w:bookmarkEnd w:id="972"/>
      <w:bookmarkEnd w:id="973"/>
    </w:p>
    <w:p w14:paraId="2DCCC8FA" w14:textId="07CF3B1F" w:rsidR="005E5391" w:rsidRPr="00795F17" w:rsidRDefault="005E5391" w:rsidP="0044393D">
      <w:r w:rsidRPr="00795F17">
        <w:t>Zgodnie z art. 318 ust</w:t>
      </w:r>
      <w:r w:rsidR="00DC018D" w:rsidRPr="00795F17">
        <w:t>.</w:t>
      </w:r>
      <w:r w:rsidRPr="00795F17">
        <w:t xml:space="preserve"> 2 pr.w. oraz wymaganym zakresem opracowania planu gospodarowania wodami wskazanym w r.p.g.w. w planie gospodarowania wodami prezentowane są informacje dotyczące odcinków śródlądowych wód powierzchniowych, w obrębie których występują zagrożenia dla swobodnego przepływu wód oraz spływu lodu wraz z identyfikacją tych zagrożeń.</w:t>
      </w:r>
    </w:p>
    <w:p w14:paraId="2446D752" w14:textId="49237193" w:rsidR="005E5391" w:rsidRPr="00795F17" w:rsidRDefault="005E5391" w:rsidP="0044393D">
      <w:r w:rsidRPr="00795F17">
        <w:t>Na potrzeby określania odcinków śródlądowych wód powierzchniowych, w obrębie których występują zagrożenia dla swobodnego przepływu wód oraz spływu lodu konieczne jest uwzględnienie wskaźników hydromorfologicznych związanych z czynnikami naturalnymi oraz ingerencją człowieka w</w:t>
      </w:r>
      <w:r w:rsidR="00DC018D" w:rsidRPr="00795F17">
        <w:t> </w:t>
      </w:r>
      <w:r w:rsidRPr="00795F17">
        <w:t>koryto rzeczne. Podstawowym źródłem informacji dotyczących odcinków zagrożenia spływu lodu są</w:t>
      </w:r>
      <w:r w:rsidR="00DC018D" w:rsidRPr="00795F17">
        <w:t> </w:t>
      </w:r>
      <w:r w:rsidRPr="00795F17">
        <w:t xml:space="preserve">PUW przygotowywane przez poszczególne RZGW WP. Informacje i dane dotyczące potencjalnych miejsc zagrożenia dla swobodnego spływu gromadzone przez </w:t>
      </w:r>
      <w:r w:rsidR="0028234C" w:rsidRPr="00795F17">
        <w:t>PGW WP</w:t>
      </w:r>
      <w:r w:rsidRPr="00795F17">
        <w:t xml:space="preserve"> podlegają corocznym aktualizacjom podczas przygotowania do sezonu zimowego. Przedstawione w niniejszym rozdziale dane pochodzą z PUW z 2016</w:t>
      </w:r>
      <w:r w:rsidR="00DC018D" w:rsidRPr="00795F17">
        <w:t> </w:t>
      </w:r>
      <w:r w:rsidRPr="00795F17">
        <w:t xml:space="preserve">r. oraz danych </w:t>
      </w:r>
      <w:r w:rsidR="0028234C" w:rsidRPr="00795F17">
        <w:t>PGW WP</w:t>
      </w:r>
      <w:r w:rsidRPr="00795F17">
        <w:t xml:space="preserve"> w zakresie miejsc potencjalnie zatorogennych (oszacowanie z 2020</w:t>
      </w:r>
      <w:r w:rsidR="00DC018D" w:rsidRPr="00795F17">
        <w:t> </w:t>
      </w:r>
      <w:r w:rsidR="00B21D24">
        <w:t>r</w:t>
      </w:r>
      <w:r w:rsidR="00DC018D" w:rsidRPr="00795F17" w:rsidDel="00B21D24">
        <w:t>.</w:t>
      </w:r>
      <w:r w:rsidRPr="00795F17">
        <w:t>).</w:t>
      </w:r>
    </w:p>
    <w:p w14:paraId="4CBF2D9E" w14:textId="47311878" w:rsidR="005E5391" w:rsidRPr="00795F17" w:rsidRDefault="005E5391" w:rsidP="0044393D">
      <w:r w:rsidRPr="00795F17">
        <w:t xml:space="preserve">Na podstawie dostępnych danych z roku 2020, ogółem </w:t>
      </w:r>
      <w:r w:rsidR="007F5C58">
        <w:t>na</w:t>
      </w:r>
      <w:r w:rsidRPr="00795F17">
        <w:t xml:space="preserve"> obszarze dorzecza </w:t>
      </w:r>
      <w:r w:rsidR="00650807" w:rsidRPr="00795F17">
        <w:t>Odry</w:t>
      </w:r>
      <w:r w:rsidRPr="00795F17">
        <w:t xml:space="preserve">, zidentyfikowano </w:t>
      </w:r>
      <w:r w:rsidR="003B41BD" w:rsidRPr="00795F17">
        <w:t>885</w:t>
      </w:r>
      <w:r w:rsidRPr="00795F17">
        <w:t xml:space="preserve"> odcinków utrudnionego spływu lodu w obrębie </w:t>
      </w:r>
      <w:r w:rsidR="003B41BD" w:rsidRPr="00795F17">
        <w:t>116</w:t>
      </w:r>
      <w:r w:rsidRPr="00795F17">
        <w:t xml:space="preserve"> </w:t>
      </w:r>
      <w:r w:rsidR="00DF005E">
        <w:t>JCWP</w:t>
      </w:r>
      <w:r w:rsidRPr="00795F17">
        <w:t xml:space="preserve">. Zgodnie z PUW </w:t>
      </w:r>
      <w:r w:rsidR="00442820">
        <w:t>według</w:t>
      </w:r>
      <w:r w:rsidRPr="00795F17">
        <w:t xml:space="preserve"> stanu na rok 2016 liczba </w:t>
      </w:r>
      <w:r w:rsidR="00DF005E">
        <w:t>JCWP</w:t>
      </w:r>
      <w:r w:rsidRPr="00795F17">
        <w:t xml:space="preserve"> RW ze zidentyfikowanymi odcinkami zagrożenia swobodnego przepływu oraz spływu lodu wyniosła </w:t>
      </w:r>
      <w:r w:rsidR="00913404" w:rsidRPr="00795F17">
        <w:t>87</w:t>
      </w:r>
      <w:r w:rsidR="00DC018D" w:rsidRPr="00795F17">
        <w:t>1</w:t>
      </w:r>
      <w:r w:rsidRPr="00795F17">
        <w:t xml:space="preserve"> </w:t>
      </w:r>
      <w:r w:rsidR="00DF005E">
        <w:t>JCWP</w:t>
      </w:r>
      <w:r w:rsidR="00913404" w:rsidRPr="00795F17">
        <w:t>,</w:t>
      </w:r>
      <w:r w:rsidRPr="00795F17">
        <w:t xml:space="preserve"> co stanowi </w:t>
      </w:r>
      <w:r w:rsidR="00913404" w:rsidRPr="00795F17">
        <w:t>68</w:t>
      </w:r>
      <w:r w:rsidR="00DC018D" w:rsidRPr="00795F17">
        <w:t>,5</w:t>
      </w:r>
      <w:r w:rsidRPr="00795F17">
        <w:t xml:space="preserve">% wszystkich </w:t>
      </w:r>
      <w:r w:rsidR="00DF005E">
        <w:t>JCWP</w:t>
      </w:r>
      <w:r w:rsidRPr="00795F17">
        <w:t xml:space="preserve"> RW </w:t>
      </w:r>
      <w:r w:rsidR="00ED7D06">
        <w:t>na</w:t>
      </w:r>
      <w:r w:rsidRPr="00795F17">
        <w:t xml:space="preserve"> obszarze dorzecza </w:t>
      </w:r>
      <w:r w:rsidR="00D92367" w:rsidRPr="00795F17">
        <w:t>Odry</w:t>
      </w:r>
      <w:r w:rsidRPr="00795F17">
        <w:t>.</w:t>
      </w:r>
    </w:p>
    <w:p w14:paraId="5D45F584" w14:textId="65BF6D56" w:rsidR="005E5391" w:rsidRPr="00795F17" w:rsidRDefault="005E5391" w:rsidP="0044393D">
      <w:r w:rsidRPr="00795F17">
        <w:t xml:space="preserve">Zestawienie liczby odcinków potencjalnie zagrożonych w odniesieniu do poszczególnych regionów wodnych </w:t>
      </w:r>
      <w:r w:rsidR="006C26A1" w:rsidRPr="00795F17">
        <w:t xml:space="preserve">obszaru </w:t>
      </w:r>
      <w:r w:rsidRPr="00795F17">
        <w:t xml:space="preserve">dorzecza </w:t>
      </w:r>
      <w:r w:rsidR="00D92367" w:rsidRPr="00795F17">
        <w:t>Odry</w:t>
      </w:r>
      <w:r w:rsidRPr="00795F17">
        <w:t xml:space="preserve"> prezentuje poniższa tabela 17-1.</w:t>
      </w:r>
    </w:p>
    <w:p w14:paraId="5FE8B11A" w14:textId="6F600C76" w:rsidR="005E5391" w:rsidRPr="00795F17" w:rsidRDefault="005E5391" w:rsidP="004D7705">
      <w:pPr>
        <w:pStyle w:val="Tabela"/>
      </w:pPr>
      <w:bookmarkStart w:id="974" w:name="_Toc66261872"/>
      <w:bookmarkStart w:id="975" w:name="_Toc66288139"/>
      <w:bookmarkStart w:id="976" w:name="_Toc66341989"/>
      <w:bookmarkStart w:id="977" w:name="_Toc105512914"/>
      <w:r w:rsidRPr="00795F17">
        <w:t xml:space="preserve">Tabela </w:t>
      </w:r>
      <w:fldSimple w:instr=" STYLEREF 1 \s ">
        <w:r w:rsidR="001F774D">
          <w:rPr>
            <w:noProof/>
          </w:rPr>
          <w:t>17</w:t>
        </w:r>
      </w:fldSimple>
      <w:r w:rsidR="00BB3B21" w:rsidRPr="00795F17">
        <w:noBreakHyphen/>
      </w:r>
      <w:fldSimple w:instr=" SEQ Tabela \* ARABIC \s 1 ">
        <w:r w:rsidR="001F774D">
          <w:rPr>
            <w:noProof/>
          </w:rPr>
          <w:t>1</w:t>
        </w:r>
      </w:fldSimple>
      <w:r w:rsidR="00802C92">
        <w:rPr>
          <w:noProof/>
        </w:rPr>
        <w:t>.</w:t>
      </w:r>
      <w:r w:rsidRPr="00795F17">
        <w:tab/>
        <w:t>Zestawienie</w:t>
      </w:r>
      <w:r w:rsidR="008F60C8">
        <w:t xml:space="preserve"> </w:t>
      </w:r>
      <w:r w:rsidR="008F60C8" w:rsidRPr="00795F17">
        <w:t xml:space="preserve">liczby odcinków </w:t>
      </w:r>
      <w:r w:rsidR="00C67C44">
        <w:t xml:space="preserve">i liczby </w:t>
      </w:r>
      <w:r w:rsidR="00DF005E">
        <w:t>JCWP</w:t>
      </w:r>
      <w:r w:rsidR="00C67C44">
        <w:t xml:space="preserve"> </w:t>
      </w:r>
      <w:r w:rsidRPr="00795F17">
        <w:t xml:space="preserve">potencjalnie zagrożonych w odniesieniu do poszczególnych regionów wodnych </w:t>
      </w:r>
      <w:r w:rsidR="006C26A1" w:rsidRPr="00795F17">
        <w:t xml:space="preserve">obszaru </w:t>
      </w:r>
      <w:r w:rsidRPr="00795F17">
        <w:t xml:space="preserve">dorzecza </w:t>
      </w:r>
      <w:bookmarkEnd w:id="974"/>
      <w:bookmarkEnd w:id="975"/>
      <w:r w:rsidR="00D92367" w:rsidRPr="00795F17">
        <w:t>Odry</w:t>
      </w:r>
      <w:bookmarkEnd w:id="976"/>
      <w:bookmarkEnd w:id="977"/>
    </w:p>
    <w:tbl>
      <w:tblPr>
        <w:tblStyle w:val="Tabela-Siatka"/>
        <w:tblW w:w="5000" w:type="pct"/>
        <w:jc w:val="center"/>
        <w:tblLook w:val="04A0" w:firstRow="1" w:lastRow="0" w:firstColumn="1" w:lastColumn="0" w:noHBand="0" w:noVBand="1"/>
      </w:tblPr>
      <w:tblGrid>
        <w:gridCol w:w="1587"/>
        <w:gridCol w:w="1367"/>
        <w:gridCol w:w="1049"/>
        <w:gridCol w:w="1275"/>
        <w:gridCol w:w="1419"/>
        <w:gridCol w:w="1048"/>
        <w:gridCol w:w="1271"/>
      </w:tblGrid>
      <w:tr w:rsidR="005E5391" w:rsidRPr="00795F17" w14:paraId="348DAA12" w14:textId="77777777" w:rsidTr="00CD79FA">
        <w:trPr>
          <w:cnfStyle w:val="100000000000" w:firstRow="1" w:lastRow="0" w:firstColumn="0" w:lastColumn="0" w:oddVBand="0" w:evenVBand="0" w:oddHBand="0" w:evenHBand="0" w:firstRowFirstColumn="0" w:firstRowLastColumn="0" w:lastRowFirstColumn="0" w:lastRowLastColumn="0"/>
          <w:trHeight w:val="454"/>
          <w:jc w:val="center"/>
        </w:trPr>
        <w:tc>
          <w:tcPr>
            <w:tcW w:w="880" w:type="pct"/>
            <w:vMerge w:val="restart"/>
          </w:tcPr>
          <w:p w14:paraId="7CDF1EB7" w14:textId="77777777" w:rsidR="005E5391" w:rsidRPr="00795F17" w:rsidRDefault="005E5391" w:rsidP="0044393D">
            <w:pPr>
              <w:pStyle w:val="Teksttabelinaglowek"/>
            </w:pPr>
            <w:r w:rsidRPr="00795F17">
              <w:rPr>
                <w:b/>
              </w:rPr>
              <w:t>Region wodny</w:t>
            </w:r>
          </w:p>
        </w:tc>
        <w:tc>
          <w:tcPr>
            <w:tcW w:w="758" w:type="pct"/>
            <w:vMerge w:val="restart"/>
          </w:tcPr>
          <w:p w14:paraId="16AA3E61" w14:textId="5831FC7B" w:rsidR="005E5391" w:rsidRPr="00795F17" w:rsidRDefault="005E5391" w:rsidP="0044393D">
            <w:pPr>
              <w:pStyle w:val="Teksttabelinaglowek"/>
            </w:pPr>
            <w:r w:rsidRPr="00795F17">
              <w:rPr>
                <w:b/>
              </w:rPr>
              <w:t xml:space="preserve">Liczba </w:t>
            </w:r>
            <w:r w:rsidR="00DF005E">
              <w:rPr>
                <w:b/>
              </w:rPr>
              <w:t>JCWP</w:t>
            </w:r>
            <w:r w:rsidR="009C4C14">
              <w:rPr>
                <w:b/>
              </w:rPr>
              <w:t> </w:t>
            </w:r>
            <w:r w:rsidRPr="00795F17">
              <w:rPr>
                <w:b/>
              </w:rPr>
              <w:t>RW w</w:t>
            </w:r>
            <w:r w:rsidR="00ED7D06">
              <w:rPr>
                <w:b/>
              </w:rPr>
              <w:t> </w:t>
            </w:r>
            <w:r w:rsidRPr="00795F17">
              <w:rPr>
                <w:b/>
              </w:rPr>
              <w:t>regionach wodnych</w:t>
            </w:r>
          </w:p>
        </w:tc>
        <w:tc>
          <w:tcPr>
            <w:tcW w:w="1289" w:type="pct"/>
            <w:gridSpan w:val="2"/>
          </w:tcPr>
          <w:p w14:paraId="1C27D84C" w14:textId="77777777" w:rsidR="005E5391" w:rsidRPr="00795F17" w:rsidRDefault="005E5391" w:rsidP="0044393D">
            <w:pPr>
              <w:pStyle w:val="Teksttabelinaglowek"/>
            </w:pPr>
            <w:r w:rsidRPr="00795F17">
              <w:rPr>
                <w:b/>
              </w:rPr>
              <w:t>PUW 2016</w:t>
            </w:r>
          </w:p>
        </w:tc>
        <w:tc>
          <w:tcPr>
            <w:tcW w:w="2073" w:type="pct"/>
            <w:gridSpan w:val="3"/>
          </w:tcPr>
          <w:p w14:paraId="3FA192E8" w14:textId="658B77E2" w:rsidR="005E5391" w:rsidRPr="00795F17" w:rsidRDefault="005E5391" w:rsidP="0044393D">
            <w:pPr>
              <w:pStyle w:val="Teksttabelinaglowek"/>
            </w:pPr>
            <w:r w:rsidRPr="00795F17">
              <w:rPr>
                <w:b/>
              </w:rPr>
              <w:t xml:space="preserve">Dane </w:t>
            </w:r>
            <w:r w:rsidR="0028234C" w:rsidRPr="00795F17">
              <w:rPr>
                <w:b/>
              </w:rPr>
              <w:t>PGW WP</w:t>
            </w:r>
            <w:r w:rsidRPr="00795F17">
              <w:rPr>
                <w:b/>
              </w:rPr>
              <w:t xml:space="preserve"> - oszacowanie 2020</w:t>
            </w:r>
            <w:r w:rsidR="005929F6">
              <w:rPr>
                <w:b/>
              </w:rPr>
              <w:t xml:space="preserve"> r.</w:t>
            </w:r>
          </w:p>
        </w:tc>
      </w:tr>
      <w:tr w:rsidR="005E5391" w:rsidRPr="00795F17" w14:paraId="3B73AD67" w14:textId="77777777" w:rsidTr="00CD79FA">
        <w:trPr>
          <w:trHeight w:val="454"/>
          <w:jc w:val="center"/>
        </w:trPr>
        <w:tc>
          <w:tcPr>
            <w:tcW w:w="880" w:type="pct"/>
            <w:vMerge/>
            <w:shd w:val="clear" w:color="auto" w:fill="BFBFBF" w:themeFill="background1" w:themeFillShade="BF"/>
          </w:tcPr>
          <w:p w14:paraId="39C23B92" w14:textId="77777777" w:rsidR="005E5391" w:rsidRPr="00795F17" w:rsidRDefault="005E5391" w:rsidP="0044393D">
            <w:pPr>
              <w:pStyle w:val="Teksttabelinaglowek"/>
            </w:pPr>
          </w:p>
        </w:tc>
        <w:tc>
          <w:tcPr>
            <w:tcW w:w="758" w:type="pct"/>
            <w:vMerge/>
            <w:shd w:val="clear" w:color="auto" w:fill="BFBFBF" w:themeFill="background1" w:themeFillShade="BF"/>
          </w:tcPr>
          <w:p w14:paraId="6B74315E" w14:textId="77777777" w:rsidR="005E5391" w:rsidRPr="00795F17" w:rsidRDefault="005E5391" w:rsidP="0044393D">
            <w:pPr>
              <w:pStyle w:val="Teksttabelinaglowek"/>
            </w:pPr>
          </w:p>
        </w:tc>
        <w:tc>
          <w:tcPr>
            <w:tcW w:w="582" w:type="pct"/>
            <w:shd w:val="clear" w:color="auto" w:fill="BFBFBF" w:themeFill="background1" w:themeFillShade="BF"/>
          </w:tcPr>
          <w:p w14:paraId="6396E17A" w14:textId="47B4C51B" w:rsidR="005E5391" w:rsidRPr="00795F17" w:rsidRDefault="005E5391" w:rsidP="0044393D">
            <w:pPr>
              <w:pStyle w:val="Teksttabelinaglowek"/>
              <w:rPr>
                <w:rFonts w:cstheme="minorHAnsi"/>
              </w:rPr>
            </w:pPr>
            <w:r w:rsidRPr="00795F17">
              <w:t xml:space="preserve">Liczba </w:t>
            </w:r>
            <w:r w:rsidR="00DF005E">
              <w:t>JCWP</w:t>
            </w:r>
            <w:r w:rsidRPr="00795F17">
              <w:rPr>
                <w:rFonts w:cstheme="minorHAnsi"/>
                <w:vertAlign w:val="superscript"/>
              </w:rPr>
              <w:t>1</w:t>
            </w:r>
          </w:p>
        </w:tc>
        <w:tc>
          <w:tcPr>
            <w:tcW w:w="707" w:type="pct"/>
            <w:shd w:val="clear" w:color="auto" w:fill="BFBFBF" w:themeFill="background1" w:themeFillShade="BF"/>
          </w:tcPr>
          <w:p w14:paraId="2E54E8C0" w14:textId="2FF14C9E" w:rsidR="005E5391" w:rsidRPr="00795F17" w:rsidRDefault="005E5391" w:rsidP="0044393D">
            <w:pPr>
              <w:pStyle w:val="Teksttabelinaglowek"/>
              <w:rPr>
                <w:rFonts w:cstheme="minorHAnsi"/>
              </w:rPr>
            </w:pPr>
            <w:r w:rsidRPr="00795F17">
              <w:t xml:space="preserve">Udział </w:t>
            </w:r>
            <w:r w:rsidR="00DF005E">
              <w:t>JCWP</w:t>
            </w:r>
            <w:r w:rsidRPr="00795F17">
              <w:rPr>
                <w:rFonts w:cstheme="minorHAnsi"/>
                <w:vertAlign w:val="superscript"/>
              </w:rPr>
              <w:t>2</w:t>
            </w:r>
            <w:r w:rsidR="00EA4FF5" w:rsidRPr="00795F17">
              <w:t>(%)</w:t>
            </w:r>
          </w:p>
        </w:tc>
        <w:tc>
          <w:tcPr>
            <w:tcW w:w="787" w:type="pct"/>
            <w:shd w:val="clear" w:color="auto" w:fill="BFBFBF" w:themeFill="background1" w:themeFillShade="BF"/>
          </w:tcPr>
          <w:p w14:paraId="0A71E904" w14:textId="77777777" w:rsidR="005E5391" w:rsidRPr="00795F17" w:rsidRDefault="005E5391" w:rsidP="0044393D">
            <w:pPr>
              <w:pStyle w:val="Teksttabelinaglowek"/>
              <w:rPr>
                <w:rFonts w:cstheme="minorHAnsi"/>
              </w:rPr>
            </w:pPr>
            <w:r w:rsidRPr="00795F17">
              <w:t>Liczba odcinków</w:t>
            </w:r>
            <w:r w:rsidRPr="00795F17">
              <w:rPr>
                <w:rFonts w:cstheme="minorHAnsi"/>
                <w:vertAlign w:val="superscript"/>
              </w:rPr>
              <w:t>3</w:t>
            </w:r>
          </w:p>
        </w:tc>
        <w:tc>
          <w:tcPr>
            <w:tcW w:w="581" w:type="pct"/>
            <w:shd w:val="clear" w:color="auto" w:fill="BFBFBF" w:themeFill="background1" w:themeFillShade="BF"/>
          </w:tcPr>
          <w:p w14:paraId="4F04FB12" w14:textId="5C55621D" w:rsidR="005E5391" w:rsidRPr="00795F17" w:rsidRDefault="005E5391" w:rsidP="0044393D">
            <w:pPr>
              <w:pStyle w:val="Teksttabelinaglowek"/>
              <w:rPr>
                <w:rFonts w:cstheme="minorHAnsi"/>
              </w:rPr>
            </w:pPr>
            <w:r w:rsidRPr="00795F17">
              <w:t xml:space="preserve">Liczba </w:t>
            </w:r>
            <w:r w:rsidR="00DF005E">
              <w:t>JCWP</w:t>
            </w:r>
            <w:r w:rsidRPr="00795F17">
              <w:rPr>
                <w:rFonts w:cstheme="minorHAnsi"/>
                <w:vertAlign w:val="superscript"/>
              </w:rPr>
              <w:t>1</w:t>
            </w:r>
          </w:p>
        </w:tc>
        <w:tc>
          <w:tcPr>
            <w:tcW w:w="705" w:type="pct"/>
            <w:shd w:val="clear" w:color="auto" w:fill="BFBFBF" w:themeFill="background1" w:themeFillShade="BF"/>
          </w:tcPr>
          <w:p w14:paraId="0D20B95C" w14:textId="25948041" w:rsidR="005E5391" w:rsidRPr="00795F17" w:rsidRDefault="005E5391" w:rsidP="0044393D">
            <w:pPr>
              <w:pStyle w:val="Teksttabelinaglowek"/>
              <w:rPr>
                <w:rFonts w:cstheme="minorHAnsi"/>
              </w:rPr>
            </w:pPr>
            <w:r w:rsidRPr="00795F17">
              <w:t xml:space="preserve">Udział </w:t>
            </w:r>
            <w:r w:rsidR="00DF005E">
              <w:t>JCWP</w:t>
            </w:r>
            <w:r w:rsidRPr="00795F17">
              <w:rPr>
                <w:rFonts w:cstheme="minorHAnsi"/>
                <w:vertAlign w:val="superscript"/>
              </w:rPr>
              <w:t>2</w:t>
            </w:r>
            <w:r w:rsidR="00EA4FF5" w:rsidRPr="00795F17">
              <w:t>(%)</w:t>
            </w:r>
          </w:p>
        </w:tc>
      </w:tr>
      <w:tr w:rsidR="00CD79FA" w:rsidRPr="00795F17" w14:paraId="6D17DA33" w14:textId="77777777" w:rsidTr="00CD79FA">
        <w:trPr>
          <w:trHeight w:val="454"/>
          <w:jc w:val="center"/>
        </w:trPr>
        <w:tc>
          <w:tcPr>
            <w:tcW w:w="880" w:type="pct"/>
          </w:tcPr>
          <w:p w14:paraId="5FD01DFC" w14:textId="554D4547" w:rsidR="00CD79FA" w:rsidRPr="00795F17" w:rsidRDefault="00CD79FA" w:rsidP="00CD79FA">
            <w:pPr>
              <w:pStyle w:val="Teksttabelilewy"/>
            </w:pPr>
            <w:r w:rsidRPr="00795F17">
              <w:t>Dolnej Odry i</w:t>
            </w:r>
            <w:r>
              <w:t> </w:t>
            </w:r>
            <w:r w:rsidRPr="00795F17">
              <w:t>Przymorza Zachodniego</w:t>
            </w:r>
          </w:p>
        </w:tc>
        <w:tc>
          <w:tcPr>
            <w:tcW w:w="758" w:type="pct"/>
          </w:tcPr>
          <w:p w14:paraId="4E1B3705" w14:textId="33B165E7" w:rsidR="00CD79FA" w:rsidRPr="00795F17" w:rsidRDefault="00CD79FA" w:rsidP="00CD79FA">
            <w:pPr>
              <w:pStyle w:val="Teksttabelisrodek"/>
            </w:pPr>
            <w:r w:rsidRPr="00795F17">
              <w:t>270</w:t>
            </w:r>
          </w:p>
        </w:tc>
        <w:tc>
          <w:tcPr>
            <w:tcW w:w="582" w:type="pct"/>
          </w:tcPr>
          <w:p w14:paraId="051A98EE" w14:textId="4BBF11BD" w:rsidR="00CD79FA" w:rsidRPr="00795F17" w:rsidRDefault="00CD79FA" w:rsidP="00CD79FA">
            <w:pPr>
              <w:pStyle w:val="Teksttabelisrodek"/>
            </w:pPr>
            <w:r w:rsidRPr="00795F17">
              <w:t>238</w:t>
            </w:r>
          </w:p>
        </w:tc>
        <w:tc>
          <w:tcPr>
            <w:tcW w:w="707" w:type="pct"/>
          </w:tcPr>
          <w:p w14:paraId="68699B54" w14:textId="46D37D3E" w:rsidR="00CD79FA" w:rsidRPr="00795F17" w:rsidRDefault="00CD79FA" w:rsidP="00CD79FA">
            <w:pPr>
              <w:pStyle w:val="Teksttabelisrodek"/>
            </w:pPr>
            <w:r w:rsidRPr="00795F17">
              <w:t>88</w:t>
            </w:r>
          </w:p>
        </w:tc>
        <w:tc>
          <w:tcPr>
            <w:tcW w:w="787" w:type="pct"/>
          </w:tcPr>
          <w:p w14:paraId="3678E08C" w14:textId="78065DF6" w:rsidR="00CD79FA" w:rsidRPr="00795F17" w:rsidRDefault="00CD79FA" w:rsidP="00CD79FA">
            <w:pPr>
              <w:pStyle w:val="Teksttabelisrodek"/>
            </w:pPr>
            <w:r>
              <w:rPr>
                <w:rFonts w:ascii="Calibri" w:hAnsi="Calibri" w:cs="Calibri"/>
                <w:color w:val="000000"/>
                <w:szCs w:val="20"/>
              </w:rPr>
              <w:t>6</w:t>
            </w:r>
          </w:p>
        </w:tc>
        <w:tc>
          <w:tcPr>
            <w:tcW w:w="581" w:type="pct"/>
          </w:tcPr>
          <w:p w14:paraId="564B3E70" w14:textId="75C9AB5F" w:rsidR="00CD79FA" w:rsidRPr="00795F17" w:rsidRDefault="00CD79FA" w:rsidP="00CD79FA">
            <w:pPr>
              <w:pStyle w:val="Teksttabelisrodek"/>
            </w:pPr>
            <w:r w:rsidRPr="00795F17">
              <w:t>2</w:t>
            </w:r>
          </w:p>
        </w:tc>
        <w:tc>
          <w:tcPr>
            <w:tcW w:w="705" w:type="pct"/>
          </w:tcPr>
          <w:p w14:paraId="1FA737E4" w14:textId="5374299C" w:rsidR="00CD79FA" w:rsidRPr="00795F17" w:rsidRDefault="00CD79FA" w:rsidP="00CD79FA">
            <w:pPr>
              <w:pStyle w:val="Teksttabelisrodek"/>
            </w:pPr>
            <w:r w:rsidRPr="00795F17">
              <w:t>0,7</w:t>
            </w:r>
          </w:p>
        </w:tc>
      </w:tr>
      <w:tr w:rsidR="00CD79FA" w:rsidRPr="00795F17" w14:paraId="4F483319" w14:textId="77777777" w:rsidTr="00CD79FA">
        <w:trPr>
          <w:trHeight w:val="454"/>
          <w:jc w:val="center"/>
        </w:trPr>
        <w:tc>
          <w:tcPr>
            <w:tcW w:w="880" w:type="pct"/>
          </w:tcPr>
          <w:p w14:paraId="471AD575" w14:textId="36F53222" w:rsidR="00CD79FA" w:rsidRPr="00795F17" w:rsidRDefault="00CD79FA" w:rsidP="00CD79FA">
            <w:pPr>
              <w:pStyle w:val="Teksttabelilewy"/>
            </w:pPr>
            <w:r w:rsidRPr="00795F17">
              <w:t>Górnej Odry</w:t>
            </w:r>
          </w:p>
        </w:tc>
        <w:tc>
          <w:tcPr>
            <w:tcW w:w="758" w:type="pct"/>
          </w:tcPr>
          <w:p w14:paraId="6B7BB7F4" w14:textId="3E9E92BB" w:rsidR="00CD79FA" w:rsidRPr="00795F17" w:rsidRDefault="00CD79FA" w:rsidP="00CD79FA">
            <w:pPr>
              <w:pStyle w:val="Teksttabelisrodek"/>
            </w:pPr>
            <w:r w:rsidRPr="00795F17">
              <w:t>142</w:t>
            </w:r>
          </w:p>
        </w:tc>
        <w:tc>
          <w:tcPr>
            <w:tcW w:w="582" w:type="pct"/>
          </w:tcPr>
          <w:p w14:paraId="044CEC4D" w14:textId="20A33FD9" w:rsidR="00CD79FA" w:rsidRPr="00795F17" w:rsidRDefault="00CD79FA" w:rsidP="00CD79FA">
            <w:pPr>
              <w:pStyle w:val="Teksttabelisrodek"/>
            </w:pPr>
            <w:r w:rsidRPr="00795F17">
              <w:t>75</w:t>
            </w:r>
          </w:p>
        </w:tc>
        <w:tc>
          <w:tcPr>
            <w:tcW w:w="707" w:type="pct"/>
          </w:tcPr>
          <w:p w14:paraId="161205BD" w14:textId="4EAE9726" w:rsidR="00CD79FA" w:rsidRPr="00795F17" w:rsidRDefault="00CD79FA" w:rsidP="00CD79FA">
            <w:pPr>
              <w:pStyle w:val="Teksttabelisrodek"/>
            </w:pPr>
            <w:r w:rsidRPr="00795F17">
              <w:t>53</w:t>
            </w:r>
          </w:p>
        </w:tc>
        <w:tc>
          <w:tcPr>
            <w:tcW w:w="787" w:type="pct"/>
          </w:tcPr>
          <w:p w14:paraId="4C72ED3D" w14:textId="359C2207" w:rsidR="00CD79FA" w:rsidRPr="00795F17" w:rsidRDefault="00CD79FA" w:rsidP="00CD79FA">
            <w:pPr>
              <w:pStyle w:val="Teksttabelisrodek"/>
            </w:pPr>
            <w:r>
              <w:rPr>
                <w:rFonts w:ascii="Calibri" w:hAnsi="Calibri" w:cs="Calibri"/>
                <w:color w:val="000000"/>
                <w:szCs w:val="20"/>
              </w:rPr>
              <w:t>7</w:t>
            </w:r>
          </w:p>
        </w:tc>
        <w:tc>
          <w:tcPr>
            <w:tcW w:w="581" w:type="pct"/>
          </w:tcPr>
          <w:p w14:paraId="7004253C" w14:textId="33FAEA92" w:rsidR="00CD79FA" w:rsidRPr="00795F17" w:rsidRDefault="00CD79FA" w:rsidP="00CD79FA">
            <w:pPr>
              <w:pStyle w:val="Teksttabelisrodek"/>
            </w:pPr>
            <w:r w:rsidRPr="00795F17">
              <w:t>12</w:t>
            </w:r>
          </w:p>
        </w:tc>
        <w:tc>
          <w:tcPr>
            <w:tcW w:w="705" w:type="pct"/>
          </w:tcPr>
          <w:p w14:paraId="6A155419" w14:textId="70CFFFBD" w:rsidR="00CD79FA" w:rsidRPr="00795F17" w:rsidRDefault="00CD79FA" w:rsidP="00CD79FA">
            <w:pPr>
              <w:pStyle w:val="Teksttabelisrodek"/>
            </w:pPr>
            <w:r w:rsidRPr="00795F17">
              <w:t>8,5</w:t>
            </w:r>
          </w:p>
        </w:tc>
      </w:tr>
      <w:tr w:rsidR="00CD79FA" w:rsidRPr="00795F17" w14:paraId="738E3035" w14:textId="77777777" w:rsidTr="00CD79FA">
        <w:trPr>
          <w:trHeight w:val="454"/>
          <w:jc w:val="center"/>
        </w:trPr>
        <w:tc>
          <w:tcPr>
            <w:tcW w:w="880" w:type="pct"/>
          </w:tcPr>
          <w:p w14:paraId="1FDD3521" w14:textId="003ED03B" w:rsidR="00CD79FA" w:rsidRPr="00795F17" w:rsidRDefault="00CD79FA" w:rsidP="00CD79FA">
            <w:pPr>
              <w:pStyle w:val="Teksttabelilewy"/>
            </w:pPr>
            <w:r w:rsidRPr="00795F17">
              <w:t>Noteci</w:t>
            </w:r>
          </w:p>
        </w:tc>
        <w:tc>
          <w:tcPr>
            <w:tcW w:w="758" w:type="pct"/>
          </w:tcPr>
          <w:p w14:paraId="044BEDD0" w14:textId="33B6C505" w:rsidR="00CD79FA" w:rsidRPr="00795F17" w:rsidRDefault="00CD79FA" w:rsidP="00CD79FA">
            <w:pPr>
              <w:pStyle w:val="Teksttabelisrodek"/>
            </w:pPr>
            <w:r w:rsidRPr="00795F17">
              <w:t>135</w:t>
            </w:r>
          </w:p>
        </w:tc>
        <w:tc>
          <w:tcPr>
            <w:tcW w:w="582" w:type="pct"/>
          </w:tcPr>
          <w:p w14:paraId="6FEEE83A" w14:textId="5A11FA03" w:rsidR="00CD79FA" w:rsidRPr="00795F17" w:rsidRDefault="00CD79FA" w:rsidP="00CD79FA">
            <w:pPr>
              <w:pStyle w:val="Teksttabelisrodek"/>
            </w:pPr>
            <w:r w:rsidRPr="00795F17">
              <w:t>42</w:t>
            </w:r>
          </w:p>
        </w:tc>
        <w:tc>
          <w:tcPr>
            <w:tcW w:w="707" w:type="pct"/>
          </w:tcPr>
          <w:p w14:paraId="3B4FE498" w14:textId="05B4E965" w:rsidR="00CD79FA" w:rsidRPr="00795F17" w:rsidRDefault="00CD79FA" w:rsidP="00CD79FA">
            <w:pPr>
              <w:pStyle w:val="Teksttabelisrodek"/>
            </w:pPr>
            <w:r w:rsidRPr="00795F17">
              <w:t>31</w:t>
            </w:r>
          </w:p>
        </w:tc>
        <w:tc>
          <w:tcPr>
            <w:tcW w:w="787" w:type="pct"/>
          </w:tcPr>
          <w:p w14:paraId="030167E0" w14:textId="36118E69" w:rsidR="00CD79FA" w:rsidRPr="00795F17" w:rsidRDefault="00CD79FA" w:rsidP="00CD79FA">
            <w:pPr>
              <w:pStyle w:val="Teksttabelisrodek"/>
            </w:pPr>
            <w:r>
              <w:rPr>
                <w:rFonts w:ascii="Calibri" w:hAnsi="Calibri" w:cs="Calibri"/>
                <w:color w:val="000000"/>
                <w:szCs w:val="20"/>
              </w:rPr>
              <w:t>7</w:t>
            </w:r>
          </w:p>
        </w:tc>
        <w:tc>
          <w:tcPr>
            <w:tcW w:w="581" w:type="pct"/>
          </w:tcPr>
          <w:p w14:paraId="67FAA8E1" w14:textId="3C05C32C" w:rsidR="00CD79FA" w:rsidRPr="00795F17" w:rsidRDefault="00CD79FA" w:rsidP="00CD79FA">
            <w:pPr>
              <w:pStyle w:val="Teksttabelisrodek"/>
            </w:pPr>
            <w:r w:rsidRPr="00795F17">
              <w:t>9</w:t>
            </w:r>
          </w:p>
        </w:tc>
        <w:tc>
          <w:tcPr>
            <w:tcW w:w="705" w:type="pct"/>
          </w:tcPr>
          <w:p w14:paraId="162DBBE6" w14:textId="08857EED" w:rsidR="00CD79FA" w:rsidRPr="00795F17" w:rsidRDefault="00CD79FA" w:rsidP="00CD79FA">
            <w:pPr>
              <w:pStyle w:val="Teksttabelisrodek"/>
            </w:pPr>
            <w:r w:rsidRPr="00795F17">
              <w:t>6,7</w:t>
            </w:r>
          </w:p>
        </w:tc>
      </w:tr>
      <w:tr w:rsidR="00CD79FA" w:rsidRPr="00795F17" w14:paraId="26BB17EC" w14:textId="77777777" w:rsidTr="00CD79FA">
        <w:trPr>
          <w:trHeight w:val="454"/>
          <w:jc w:val="center"/>
        </w:trPr>
        <w:tc>
          <w:tcPr>
            <w:tcW w:w="880" w:type="pct"/>
          </w:tcPr>
          <w:p w14:paraId="30DC504D" w14:textId="4DA50BC3" w:rsidR="00CD79FA" w:rsidRPr="00795F17" w:rsidRDefault="00CD79FA" w:rsidP="00CD79FA">
            <w:pPr>
              <w:pStyle w:val="Teksttabelilewy"/>
            </w:pPr>
            <w:r w:rsidRPr="00795F17">
              <w:t>Środkowej Odry</w:t>
            </w:r>
          </w:p>
        </w:tc>
        <w:tc>
          <w:tcPr>
            <w:tcW w:w="758" w:type="pct"/>
          </w:tcPr>
          <w:p w14:paraId="0F0154F2" w14:textId="2F32E01D" w:rsidR="00CD79FA" w:rsidRPr="00795F17" w:rsidRDefault="00CD79FA" w:rsidP="00CD79FA">
            <w:pPr>
              <w:pStyle w:val="Teksttabelisrodek"/>
            </w:pPr>
            <w:r w:rsidRPr="00795F17">
              <w:t>446</w:t>
            </w:r>
          </w:p>
        </w:tc>
        <w:tc>
          <w:tcPr>
            <w:tcW w:w="582" w:type="pct"/>
          </w:tcPr>
          <w:p w14:paraId="41247984" w14:textId="511674D9" w:rsidR="00CD79FA" w:rsidRPr="00795F17" w:rsidRDefault="00CD79FA" w:rsidP="00CD79FA">
            <w:pPr>
              <w:pStyle w:val="Teksttabelisrodek"/>
            </w:pPr>
            <w:r w:rsidRPr="00795F17">
              <w:t>375</w:t>
            </w:r>
          </w:p>
        </w:tc>
        <w:tc>
          <w:tcPr>
            <w:tcW w:w="707" w:type="pct"/>
          </w:tcPr>
          <w:p w14:paraId="2F56A03C" w14:textId="77A6DB62" w:rsidR="00CD79FA" w:rsidRPr="00795F17" w:rsidRDefault="00CD79FA" w:rsidP="00CD79FA">
            <w:pPr>
              <w:pStyle w:val="Teksttabelisrodek"/>
            </w:pPr>
            <w:r w:rsidRPr="00795F17">
              <w:t>84</w:t>
            </w:r>
          </w:p>
        </w:tc>
        <w:tc>
          <w:tcPr>
            <w:tcW w:w="787" w:type="pct"/>
          </w:tcPr>
          <w:p w14:paraId="294DEB20" w14:textId="0B51B6C1" w:rsidR="00CD79FA" w:rsidRPr="00795F17" w:rsidRDefault="00CD79FA" w:rsidP="00CD79FA">
            <w:pPr>
              <w:pStyle w:val="Teksttabelisrodek"/>
            </w:pPr>
            <w:r>
              <w:rPr>
                <w:rFonts w:ascii="Calibri" w:hAnsi="Calibri" w:cs="Calibri"/>
                <w:color w:val="000000"/>
                <w:szCs w:val="20"/>
              </w:rPr>
              <w:t>112</w:t>
            </w:r>
          </w:p>
        </w:tc>
        <w:tc>
          <w:tcPr>
            <w:tcW w:w="581" w:type="pct"/>
          </w:tcPr>
          <w:p w14:paraId="2D41EF7C" w14:textId="089B49FB" w:rsidR="00CD79FA" w:rsidRPr="00795F17" w:rsidRDefault="00CD79FA" w:rsidP="00CD79FA">
            <w:pPr>
              <w:pStyle w:val="Teksttabelisrodek"/>
            </w:pPr>
            <w:r w:rsidRPr="00795F17">
              <w:t>45</w:t>
            </w:r>
          </w:p>
        </w:tc>
        <w:tc>
          <w:tcPr>
            <w:tcW w:w="705" w:type="pct"/>
          </w:tcPr>
          <w:p w14:paraId="558D3F1D" w14:textId="153717FD" w:rsidR="00CD79FA" w:rsidRPr="00795F17" w:rsidRDefault="00CD79FA" w:rsidP="00CD79FA">
            <w:pPr>
              <w:pStyle w:val="Teksttabelisrodek"/>
            </w:pPr>
            <w:r w:rsidRPr="00795F17">
              <w:t>10,1</w:t>
            </w:r>
          </w:p>
        </w:tc>
      </w:tr>
      <w:tr w:rsidR="00CD79FA" w:rsidRPr="00795F17" w14:paraId="36D8FDE8" w14:textId="77777777" w:rsidTr="00CD79FA">
        <w:trPr>
          <w:trHeight w:val="454"/>
          <w:jc w:val="center"/>
        </w:trPr>
        <w:tc>
          <w:tcPr>
            <w:tcW w:w="880" w:type="pct"/>
          </w:tcPr>
          <w:p w14:paraId="72919126" w14:textId="631811D7" w:rsidR="00CD79FA" w:rsidRPr="00795F17" w:rsidRDefault="00CD79FA" w:rsidP="00CD79FA">
            <w:pPr>
              <w:pStyle w:val="Teksttabelilewy"/>
            </w:pPr>
            <w:r w:rsidRPr="00795F17">
              <w:t>Warty</w:t>
            </w:r>
          </w:p>
        </w:tc>
        <w:tc>
          <w:tcPr>
            <w:tcW w:w="758" w:type="pct"/>
          </w:tcPr>
          <w:p w14:paraId="557A4588" w14:textId="5A099B6F" w:rsidR="00CD79FA" w:rsidRPr="00795F17" w:rsidRDefault="00CD79FA" w:rsidP="00CD79FA">
            <w:pPr>
              <w:pStyle w:val="Teksttabelisrodek"/>
            </w:pPr>
            <w:r w:rsidRPr="00795F17">
              <w:t>279</w:t>
            </w:r>
          </w:p>
        </w:tc>
        <w:tc>
          <w:tcPr>
            <w:tcW w:w="582" w:type="pct"/>
          </w:tcPr>
          <w:p w14:paraId="4ECA4D72" w14:textId="47DF84C9" w:rsidR="00CD79FA" w:rsidRPr="00795F17" w:rsidRDefault="00CD79FA" w:rsidP="00CD79FA">
            <w:pPr>
              <w:pStyle w:val="Teksttabelisrodek"/>
            </w:pPr>
            <w:r w:rsidRPr="00795F17">
              <w:t>141</w:t>
            </w:r>
          </w:p>
        </w:tc>
        <w:tc>
          <w:tcPr>
            <w:tcW w:w="707" w:type="pct"/>
          </w:tcPr>
          <w:p w14:paraId="4209DC7D" w14:textId="17DC6B77" w:rsidR="00CD79FA" w:rsidRPr="00795F17" w:rsidRDefault="00CD79FA" w:rsidP="00CD79FA">
            <w:pPr>
              <w:pStyle w:val="Teksttabelisrodek"/>
            </w:pPr>
            <w:r w:rsidRPr="00795F17">
              <w:t>51</w:t>
            </w:r>
          </w:p>
        </w:tc>
        <w:tc>
          <w:tcPr>
            <w:tcW w:w="787" w:type="pct"/>
          </w:tcPr>
          <w:p w14:paraId="0F5C8B98" w14:textId="257C5163" w:rsidR="00CD79FA" w:rsidRPr="00795F17" w:rsidRDefault="00CD79FA" w:rsidP="00CD79FA">
            <w:pPr>
              <w:pStyle w:val="Teksttabelisrodek"/>
            </w:pPr>
            <w:r>
              <w:rPr>
                <w:rFonts w:ascii="Calibri" w:hAnsi="Calibri" w:cs="Calibri"/>
                <w:color w:val="000000"/>
                <w:szCs w:val="20"/>
              </w:rPr>
              <w:t>125</w:t>
            </w:r>
          </w:p>
        </w:tc>
        <w:tc>
          <w:tcPr>
            <w:tcW w:w="581" w:type="pct"/>
          </w:tcPr>
          <w:p w14:paraId="6C63F413" w14:textId="4FE55FAC" w:rsidR="00CD79FA" w:rsidRPr="00795F17" w:rsidRDefault="00CD79FA" w:rsidP="00CD79FA">
            <w:pPr>
              <w:pStyle w:val="Teksttabelisrodek"/>
            </w:pPr>
            <w:r w:rsidRPr="00795F17">
              <w:t>48</w:t>
            </w:r>
          </w:p>
        </w:tc>
        <w:tc>
          <w:tcPr>
            <w:tcW w:w="705" w:type="pct"/>
          </w:tcPr>
          <w:p w14:paraId="51975D09" w14:textId="15654494" w:rsidR="00CD79FA" w:rsidRPr="00795F17" w:rsidRDefault="00CD79FA" w:rsidP="00CD79FA">
            <w:pPr>
              <w:pStyle w:val="Teksttabelisrodek"/>
            </w:pPr>
            <w:r w:rsidRPr="00795F17">
              <w:t>17,2</w:t>
            </w:r>
          </w:p>
        </w:tc>
      </w:tr>
      <w:tr w:rsidR="00CD79FA" w:rsidRPr="00795F17" w14:paraId="7915D108" w14:textId="77777777" w:rsidTr="00CD79FA">
        <w:trPr>
          <w:trHeight w:val="454"/>
          <w:jc w:val="center"/>
        </w:trPr>
        <w:tc>
          <w:tcPr>
            <w:tcW w:w="880" w:type="pct"/>
            <w:shd w:val="clear" w:color="auto" w:fill="BFBFBF" w:themeFill="background1" w:themeFillShade="BF"/>
          </w:tcPr>
          <w:p w14:paraId="43E6BCF9" w14:textId="77777777" w:rsidR="00CD79FA" w:rsidRPr="00795F17" w:rsidRDefault="00CD79FA" w:rsidP="00CD79FA">
            <w:pPr>
              <w:pStyle w:val="Teksttabelinaglowek"/>
            </w:pPr>
            <w:r w:rsidRPr="00795F17">
              <w:t>Ogółem</w:t>
            </w:r>
          </w:p>
        </w:tc>
        <w:tc>
          <w:tcPr>
            <w:tcW w:w="758" w:type="pct"/>
            <w:shd w:val="clear" w:color="auto" w:fill="BFBFBF" w:themeFill="background1" w:themeFillShade="BF"/>
          </w:tcPr>
          <w:p w14:paraId="05EC740D" w14:textId="4275C414" w:rsidR="00CD79FA" w:rsidRPr="00795F17" w:rsidRDefault="00CD79FA" w:rsidP="00CD79FA">
            <w:pPr>
              <w:pStyle w:val="Teksttabelinaglowek"/>
              <w:rPr>
                <w:rFonts w:cstheme="minorHAnsi"/>
              </w:rPr>
            </w:pPr>
            <w:r w:rsidRPr="00795F17">
              <w:t>1 272</w:t>
            </w:r>
          </w:p>
        </w:tc>
        <w:tc>
          <w:tcPr>
            <w:tcW w:w="582" w:type="pct"/>
            <w:shd w:val="clear" w:color="auto" w:fill="BFBFBF" w:themeFill="background1" w:themeFillShade="BF"/>
          </w:tcPr>
          <w:p w14:paraId="5B2CD729" w14:textId="0E7A6F80" w:rsidR="00CD79FA" w:rsidRPr="00795F17" w:rsidRDefault="00CD79FA" w:rsidP="00CD79FA">
            <w:pPr>
              <w:pStyle w:val="Teksttabelinaglowek"/>
            </w:pPr>
            <w:r w:rsidRPr="00795F17">
              <w:t>871</w:t>
            </w:r>
          </w:p>
        </w:tc>
        <w:tc>
          <w:tcPr>
            <w:tcW w:w="707" w:type="pct"/>
            <w:shd w:val="clear" w:color="auto" w:fill="BFBFBF" w:themeFill="background1" w:themeFillShade="BF"/>
          </w:tcPr>
          <w:p w14:paraId="624721D3" w14:textId="2C4EC498" w:rsidR="00CD79FA" w:rsidRPr="00795F17" w:rsidRDefault="00CD79FA" w:rsidP="00CD79FA">
            <w:pPr>
              <w:pStyle w:val="Teksttabelinaglowek"/>
              <w:rPr>
                <w:rFonts w:cstheme="minorHAnsi"/>
              </w:rPr>
            </w:pPr>
            <w:r w:rsidRPr="00795F17">
              <w:t>68,5</w:t>
            </w:r>
          </w:p>
        </w:tc>
        <w:tc>
          <w:tcPr>
            <w:tcW w:w="787" w:type="pct"/>
            <w:shd w:val="clear" w:color="auto" w:fill="BFBFBF" w:themeFill="background1" w:themeFillShade="BF"/>
          </w:tcPr>
          <w:p w14:paraId="5DE98500" w14:textId="30AEF548" w:rsidR="00CD79FA" w:rsidRPr="00795F17" w:rsidRDefault="00CD79FA" w:rsidP="00CD79FA">
            <w:pPr>
              <w:pStyle w:val="Teksttabelinaglowek"/>
            </w:pPr>
            <w:r>
              <w:rPr>
                <w:rFonts w:ascii="Calibri" w:hAnsi="Calibri" w:cs="Calibri"/>
                <w:color w:val="000000"/>
                <w:szCs w:val="20"/>
              </w:rPr>
              <w:t>257</w:t>
            </w:r>
          </w:p>
        </w:tc>
        <w:tc>
          <w:tcPr>
            <w:tcW w:w="581" w:type="pct"/>
            <w:shd w:val="clear" w:color="auto" w:fill="BFBFBF" w:themeFill="background1" w:themeFillShade="BF"/>
          </w:tcPr>
          <w:p w14:paraId="62A039AC" w14:textId="748A6EBD" w:rsidR="00CD79FA" w:rsidRPr="00795F17" w:rsidRDefault="00CD79FA" w:rsidP="00CD79FA">
            <w:pPr>
              <w:pStyle w:val="Teksttabelinaglowek"/>
            </w:pPr>
            <w:r w:rsidRPr="00795F17">
              <w:t>116</w:t>
            </w:r>
          </w:p>
        </w:tc>
        <w:tc>
          <w:tcPr>
            <w:tcW w:w="705" w:type="pct"/>
            <w:shd w:val="clear" w:color="auto" w:fill="BFBFBF" w:themeFill="background1" w:themeFillShade="BF"/>
          </w:tcPr>
          <w:p w14:paraId="37D1722C" w14:textId="6904A832" w:rsidR="00CD79FA" w:rsidRPr="00795F17" w:rsidRDefault="00CD79FA" w:rsidP="00CD79FA">
            <w:pPr>
              <w:pStyle w:val="Teksttabelinaglowek"/>
              <w:rPr>
                <w:rFonts w:cs="Calibri"/>
              </w:rPr>
            </w:pPr>
            <w:r w:rsidRPr="00795F17">
              <w:t>9,1</w:t>
            </w:r>
          </w:p>
        </w:tc>
      </w:tr>
    </w:tbl>
    <w:p w14:paraId="371A2D9E" w14:textId="22D672C9" w:rsidR="00105B9B" w:rsidRPr="009F7F19" w:rsidRDefault="00105B9B" w:rsidP="000E51C7">
      <w:pPr>
        <w:pStyle w:val="Tabela-wyjasnieniapod"/>
        <w:rPr>
          <w:bCs/>
          <w:i w:val="0"/>
        </w:rPr>
      </w:pPr>
      <w:r w:rsidRPr="00150B27">
        <w:rPr>
          <w:bCs/>
          <w:i w:val="0"/>
        </w:rPr>
        <w:t>Objaśnienia:</w:t>
      </w:r>
    </w:p>
    <w:p w14:paraId="550111F2" w14:textId="1AD1982B" w:rsidR="005E5391" w:rsidRPr="00795F17" w:rsidRDefault="005E5391" w:rsidP="000E51C7">
      <w:pPr>
        <w:pStyle w:val="Tabela-wyjasnieniapod"/>
      </w:pPr>
      <w:r w:rsidRPr="009F7F19">
        <w:rPr>
          <w:vertAlign w:val="superscript"/>
        </w:rPr>
        <w:t>1</w:t>
      </w:r>
      <w:r w:rsidR="005929F6" w:rsidRPr="009F7F19">
        <w:rPr>
          <w:vertAlign w:val="superscript"/>
        </w:rPr>
        <w:t xml:space="preserve"> </w:t>
      </w:r>
      <w:r w:rsidRPr="00795F17">
        <w:rPr>
          <w:b/>
          <w:bCs/>
        </w:rPr>
        <w:t xml:space="preserve">Liczba </w:t>
      </w:r>
      <w:r w:rsidR="00DF005E">
        <w:rPr>
          <w:b/>
          <w:bCs/>
        </w:rPr>
        <w:t>JCWP</w:t>
      </w:r>
      <w:r w:rsidRPr="00795F17">
        <w:t xml:space="preserve"> </w:t>
      </w:r>
      <w:r w:rsidR="003C019C">
        <w:t>–</w:t>
      </w:r>
      <w:r w:rsidRPr="00795F17">
        <w:t xml:space="preserve"> liczba </w:t>
      </w:r>
      <w:r w:rsidR="00DF005E">
        <w:t>JCWP</w:t>
      </w:r>
      <w:r w:rsidRPr="00795F17">
        <w:t xml:space="preserve"> </w:t>
      </w:r>
      <w:r w:rsidR="00863266">
        <w:t>RW</w:t>
      </w:r>
      <w:r w:rsidR="00863266" w:rsidRPr="00795F17">
        <w:t xml:space="preserve"> </w:t>
      </w:r>
      <w:r w:rsidRPr="00795F17">
        <w:t>ze zidentyfikowanymi odcinkami zagrożenia swobodnego przepływu wód oraz spływu lodu;</w:t>
      </w:r>
    </w:p>
    <w:p w14:paraId="251A5C70" w14:textId="52B77D73" w:rsidR="005E5391" w:rsidRPr="00795F17" w:rsidRDefault="005E5391" w:rsidP="000E51C7">
      <w:pPr>
        <w:pStyle w:val="Tabela-wyjasnieniapod"/>
      </w:pPr>
      <w:r w:rsidRPr="009F7F19">
        <w:rPr>
          <w:vertAlign w:val="superscript"/>
        </w:rPr>
        <w:t>2</w:t>
      </w:r>
      <w:r w:rsidR="005929F6">
        <w:rPr>
          <w:b/>
          <w:bCs/>
          <w:vertAlign w:val="superscript"/>
        </w:rPr>
        <w:t xml:space="preserve"> </w:t>
      </w:r>
      <w:r w:rsidRPr="00795F17">
        <w:rPr>
          <w:b/>
          <w:bCs/>
        </w:rPr>
        <w:t xml:space="preserve">Udział </w:t>
      </w:r>
      <w:r w:rsidR="00DF005E">
        <w:rPr>
          <w:b/>
          <w:bCs/>
        </w:rPr>
        <w:t>JCWP</w:t>
      </w:r>
      <w:r w:rsidRPr="00795F17">
        <w:t xml:space="preserve"> </w:t>
      </w:r>
      <w:r w:rsidR="003C019C">
        <w:t>–</w:t>
      </w:r>
      <w:r w:rsidRPr="00795F17">
        <w:t xml:space="preserve"> udział </w:t>
      </w:r>
      <w:r w:rsidR="00DF005E">
        <w:t>JCWP</w:t>
      </w:r>
      <w:r w:rsidRPr="00795F17">
        <w:t xml:space="preserve"> </w:t>
      </w:r>
      <w:r w:rsidR="000D21C3">
        <w:t>RW</w:t>
      </w:r>
      <w:r w:rsidR="000D21C3" w:rsidRPr="00795F17">
        <w:t xml:space="preserve"> </w:t>
      </w:r>
      <w:r w:rsidRPr="00795F17">
        <w:t xml:space="preserve">ze zidentyfikowanym zagrożeniem swobodnego przepływu wód oraz spływu lodu w ogólnej liczbie </w:t>
      </w:r>
      <w:r w:rsidR="00DF005E">
        <w:t>JCWP</w:t>
      </w:r>
      <w:r w:rsidR="00466732">
        <w:t xml:space="preserve"> RW w regionie wodnym</w:t>
      </w:r>
    </w:p>
    <w:p w14:paraId="7F590143" w14:textId="69D453CC" w:rsidR="005E5391" w:rsidRPr="00795F17" w:rsidRDefault="005E5391" w:rsidP="000E51C7">
      <w:pPr>
        <w:pStyle w:val="Tabela-wyjasnieniapod"/>
      </w:pPr>
      <w:r w:rsidRPr="00795F17">
        <w:rPr>
          <w:vertAlign w:val="superscript"/>
        </w:rPr>
        <w:t>3</w:t>
      </w:r>
      <w:r w:rsidR="005929F6">
        <w:rPr>
          <w:vertAlign w:val="superscript"/>
        </w:rPr>
        <w:t xml:space="preserve"> </w:t>
      </w:r>
      <w:r w:rsidRPr="00795F17">
        <w:rPr>
          <w:b/>
          <w:bCs/>
        </w:rPr>
        <w:t xml:space="preserve">Liczba odcinków </w:t>
      </w:r>
      <w:r w:rsidR="003C019C">
        <w:t>–</w:t>
      </w:r>
      <w:r w:rsidRPr="00795F17">
        <w:t xml:space="preserve"> liczba odcinków ze zidentyfikowanym zagrożeniem dla swobodnego spływu wód lub lodu</w:t>
      </w:r>
    </w:p>
    <w:p w14:paraId="1492599C" w14:textId="119FB2B9" w:rsidR="005E5391" w:rsidRPr="00795F17" w:rsidRDefault="005E5391" w:rsidP="000E51C7">
      <w:pPr>
        <w:pStyle w:val="Tabela-wyjasnieniapod"/>
        <w:rPr>
          <w:vertAlign w:val="superscript"/>
        </w:rPr>
      </w:pPr>
      <w:r w:rsidRPr="00795F17">
        <w:rPr>
          <w:b/>
          <w:bCs/>
        </w:rPr>
        <w:t xml:space="preserve">bd </w:t>
      </w:r>
      <w:r w:rsidR="003C019C">
        <w:t>–</w:t>
      </w:r>
      <w:r w:rsidRPr="00795F17">
        <w:t xml:space="preserve"> brak danych możliwych do przeniesienia na nowy układ planistyczny</w:t>
      </w:r>
    </w:p>
    <w:p w14:paraId="4D84694C" w14:textId="437C48B8" w:rsidR="005E5391" w:rsidRPr="00795F17" w:rsidRDefault="005E5391" w:rsidP="0044393D">
      <w:pPr>
        <w:pStyle w:val="rdo"/>
      </w:pPr>
      <w:r w:rsidRPr="00795F17">
        <w:t xml:space="preserve">Źródło: </w:t>
      </w:r>
      <w:r w:rsidR="00FD7248" w:rsidRPr="00795F17">
        <w:t>opracowanie własne</w:t>
      </w:r>
      <w:r w:rsidRPr="00795F17">
        <w:t xml:space="preserve"> na podstawie PUW 2016 oraz wykazów </w:t>
      </w:r>
      <w:r w:rsidR="0028234C" w:rsidRPr="00795F17">
        <w:t>PGW WP</w:t>
      </w:r>
      <w:r w:rsidRPr="00795F17">
        <w:t xml:space="preserve"> z roku 2020 dotyczących potencjalnych miejsc zatorogennych na obszarze administrowanym przez poszczególne RZGW WP</w:t>
      </w:r>
    </w:p>
    <w:p w14:paraId="6BC86837" w14:textId="11FE82DA" w:rsidR="005E5391" w:rsidRPr="00795F17" w:rsidRDefault="005E5391" w:rsidP="0044393D">
      <w:r w:rsidRPr="00795F17">
        <w:t>Analiza danych z okresu 2016</w:t>
      </w:r>
      <w:r w:rsidR="001B6CF6">
        <w:t>–</w:t>
      </w:r>
      <w:r w:rsidRPr="00795F17">
        <w:t>2020 wskazuje na utrzymującą się tendencję występowania odcinków potencjalnego zagrożenia swobodnego spływu lodu.</w:t>
      </w:r>
      <w:r w:rsidR="00EB5CA0" w:rsidRPr="00795F17">
        <w:t xml:space="preserve"> Pomimo różnic w liczbie odcinków w latach 2016 i 2020 </w:t>
      </w:r>
      <w:r w:rsidRPr="00795F17">
        <w:t xml:space="preserve">największy udział liczby odcinków zatorogennych występuje w regionie wodnym Środkowej </w:t>
      </w:r>
      <w:r w:rsidR="002133B7" w:rsidRPr="00795F17">
        <w:t>Odry</w:t>
      </w:r>
      <w:r w:rsidR="00DF2070" w:rsidRPr="00795F17">
        <w:t xml:space="preserve">, ale również na obszarze regionu </w:t>
      </w:r>
      <w:r w:rsidR="00553FC1" w:rsidRPr="00795F17">
        <w:t>wodnego oraz Warty</w:t>
      </w:r>
      <w:r w:rsidR="00DF2070" w:rsidRPr="00795F17">
        <w:t>.</w:t>
      </w:r>
      <w:r w:rsidRPr="00795F17">
        <w:t xml:space="preserve"> </w:t>
      </w:r>
    </w:p>
    <w:p w14:paraId="30B003BC" w14:textId="2CB81384" w:rsidR="00ED3251" w:rsidRPr="00795F17" w:rsidRDefault="00510371" w:rsidP="005842B5">
      <w:r>
        <w:rPr>
          <w:noProof/>
        </w:rPr>
        <w:drawing>
          <wp:inline distT="0" distB="0" distL="0" distR="0" wp14:anchorId="2CD177C9" wp14:editId="4B85F2B2">
            <wp:extent cx="5715000" cy="3535680"/>
            <wp:effectExtent l="0" t="0" r="0" b="7620"/>
            <wp:docPr id="1866059342" name="Wykres 1866059342">
              <a:extLst xmlns:a="http://schemas.openxmlformats.org/drawingml/2006/main">
                <a:ext uri="{FF2B5EF4-FFF2-40B4-BE49-F238E27FC236}">
                  <a16:creationId xmlns:a16="http://schemas.microsoft.com/office/drawing/2014/main" id="{B36620B0-7945-4642-8DF5-6D59C3564B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37D5C312" w14:textId="45534301" w:rsidR="00ED3251" w:rsidRPr="00795F17" w:rsidRDefault="00ED3251" w:rsidP="00B479EE">
      <w:pPr>
        <w:pStyle w:val="Wykres"/>
      </w:pPr>
      <w:bookmarkStart w:id="978" w:name="_Toc66288241"/>
      <w:bookmarkStart w:id="979" w:name="_Toc105513057"/>
      <w:r w:rsidRPr="00795F17">
        <w:t xml:space="preserve">Wykres </w:t>
      </w:r>
      <w:fldSimple w:instr=" STYLEREF 1 \s ">
        <w:r w:rsidR="001F774D">
          <w:rPr>
            <w:noProof/>
          </w:rPr>
          <w:t>17</w:t>
        </w:r>
      </w:fldSimple>
      <w:r w:rsidR="00FF20D3">
        <w:noBreakHyphen/>
      </w:r>
      <w:fldSimple w:instr=" SEQ Wykres \* ARABIC \s 1 ">
        <w:r w:rsidR="001F774D">
          <w:rPr>
            <w:noProof/>
          </w:rPr>
          <w:t>1</w:t>
        </w:r>
      </w:fldSimple>
      <w:r w:rsidR="002B6022">
        <w:rPr>
          <w:noProof/>
        </w:rPr>
        <w:t>.</w:t>
      </w:r>
      <w:r w:rsidRPr="00795F17">
        <w:tab/>
      </w:r>
      <w:r w:rsidR="00391BFF" w:rsidRPr="00795F17">
        <w:t xml:space="preserve">Liczba </w:t>
      </w:r>
      <w:r w:rsidR="00DF005E">
        <w:t>JCWP</w:t>
      </w:r>
      <w:r w:rsidR="00391BFF" w:rsidRPr="00795F17">
        <w:t xml:space="preserve"> z odcinkami potencjalnego zagrożenia dla swobodnego spływu lodu - PUW 2016</w:t>
      </w:r>
      <w:r w:rsidR="00391BFF">
        <w:t> r</w:t>
      </w:r>
      <w:r w:rsidR="00391BFF" w:rsidRPr="00795F17">
        <w:t>.</w:t>
      </w:r>
      <w:bookmarkEnd w:id="978"/>
      <w:bookmarkEnd w:id="979"/>
    </w:p>
    <w:p w14:paraId="1EA969D3" w14:textId="77777777" w:rsidR="00ED3251" w:rsidRPr="00795F17" w:rsidRDefault="00ED3251" w:rsidP="00ED3251">
      <w:pPr>
        <w:pStyle w:val="rdo"/>
        <w:spacing w:after="0"/>
      </w:pPr>
      <w:r w:rsidRPr="00795F17">
        <w:t>Źródło: opracowanie własne na podstawie PUW 2016 r.</w:t>
      </w:r>
    </w:p>
    <w:p w14:paraId="7D0E8B6C" w14:textId="6A2AD436" w:rsidR="00ED3251" w:rsidRPr="00795F17" w:rsidRDefault="005E76B7" w:rsidP="00EA0AC5">
      <w:pPr>
        <w:rPr>
          <w:noProof/>
          <w:lang w:eastAsia="pl-PL"/>
        </w:rPr>
      </w:pPr>
      <w:r>
        <w:rPr>
          <w:noProof/>
        </w:rPr>
        <w:drawing>
          <wp:inline distT="0" distB="0" distL="0" distR="0" wp14:anchorId="081C0F4F" wp14:editId="6C18EF70">
            <wp:extent cx="5715000" cy="3672840"/>
            <wp:effectExtent l="0" t="0" r="0" b="3810"/>
            <wp:docPr id="1866059340" name="Wykres 1866059340">
              <a:extLst xmlns:a="http://schemas.openxmlformats.org/drawingml/2006/main">
                <a:ext uri="{FF2B5EF4-FFF2-40B4-BE49-F238E27FC236}">
                  <a16:creationId xmlns:a16="http://schemas.microsoft.com/office/drawing/2014/main" id="{A29DB5FF-8C92-4672-A424-D60727D800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44D399D3" w14:textId="263E5688" w:rsidR="005E5391" w:rsidRPr="00795F17" w:rsidRDefault="005E5391" w:rsidP="00E12D97">
      <w:pPr>
        <w:pStyle w:val="Wykres"/>
        <w:keepNext/>
      </w:pPr>
      <w:bookmarkStart w:id="980" w:name="_Toc66288240"/>
      <w:bookmarkStart w:id="981" w:name="_Toc105513058"/>
      <w:r w:rsidRPr="00795F17">
        <w:t xml:space="preserve">Wykres </w:t>
      </w:r>
      <w:fldSimple w:instr=" STYLEREF 1 \s ">
        <w:r w:rsidR="001F774D">
          <w:rPr>
            <w:noProof/>
          </w:rPr>
          <w:t>17</w:t>
        </w:r>
      </w:fldSimple>
      <w:r w:rsidR="00FF20D3">
        <w:noBreakHyphen/>
      </w:r>
      <w:fldSimple w:instr=" SEQ Wykres \* ARABIC \s 1 ">
        <w:r w:rsidR="001F774D">
          <w:rPr>
            <w:noProof/>
          </w:rPr>
          <w:t>2</w:t>
        </w:r>
      </w:fldSimple>
      <w:r w:rsidR="002B6022">
        <w:rPr>
          <w:noProof/>
        </w:rPr>
        <w:t>.</w:t>
      </w:r>
      <w:r w:rsidRPr="00795F17">
        <w:tab/>
      </w:r>
      <w:r w:rsidR="006851C9" w:rsidRPr="00795F17">
        <w:t xml:space="preserve">Liczba </w:t>
      </w:r>
      <w:r w:rsidR="00DF005E">
        <w:t>JCWP</w:t>
      </w:r>
      <w:r w:rsidR="006851C9" w:rsidRPr="00795F17">
        <w:t xml:space="preserve"> z odcinkami potencjalnego zagrożenia dla swobodnego spływu lodu</w:t>
      </w:r>
      <w:r w:rsidRPr="00795F17">
        <w:t xml:space="preserve"> </w:t>
      </w:r>
      <w:r w:rsidR="001B6CF6">
        <w:t>–</w:t>
      </w:r>
      <w:r w:rsidRPr="00795F17">
        <w:t xml:space="preserve"> wykazy 20</w:t>
      </w:r>
      <w:r w:rsidR="008A7033">
        <w:t>20</w:t>
      </w:r>
      <w:r w:rsidRPr="00795F17">
        <w:t xml:space="preserve"> r.</w:t>
      </w:r>
      <w:bookmarkEnd w:id="980"/>
      <w:bookmarkEnd w:id="981"/>
    </w:p>
    <w:p w14:paraId="04C0FF56" w14:textId="2DC6CBC9" w:rsidR="005E5391" w:rsidRPr="00795F17" w:rsidRDefault="005E5391" w:rsidP="0044393D">
      <w:pPr>
        <w:pStyle w:val="rdo"/>
      </w:pPr>
      <w:r w:rsidRPr="00795F17">
        <w:t xml:space="preserve">Źródło: </w:t>
      </w:r>
      <w:r w:rsidR="00FD7248" w:rsidRPr="00795F17">
        <w:t>opracowanie własne</w:t>
      </w:r>
      <w:r w:rsidRPr="00795F17">
        <w:t xml:space="preserve"> na podstawie danych </w:t>
      </w:r>
      <w:r w:rsidR="0028234C" w:rsidRPr="00795F17">
        <w:t>PGW WP</w:t>
      </w:r>
      <w:r w:rsidRPr="00795F17">
        <w:t xml:space="preserve"> dot. miejsc potencjalnie zatorogennych 20</w:t>
      </w:r>
      <w:r w:rsidR="008A7033">
        <w:t>20</w:t>
      </w:r>
      <w:r w:rsidRPr="00795F17">
        <w:t> r.</w:t>
      </w:r>
    </w:p>
    <w:p w14:paraId="214B4583" w14:textId="2C9CA055" w:rsidR="005E5391" w:rsidRPr="00795F17" w:rsidRDefault="005E5391" w:rsidP="0044393D">
      <w:r w:rsidRPr="00795F17">
        <w:t xml:space="preserve">Porównanie udziału </w:t>
      </w:r>
      <w:r w:rsidR="00DF005E">
        <w:t>JCWP</w:t>
      </w:r>
      <w:r w:rsidRPr="00795F17">
        <w:t xml:space="preserve"> danego regionu wodnego obszaru dorzecza </w:t>
      </w:r>
      <w:r w:rsidR="00D635B0" w:rsidRPr="00795F17">
        <w:t>Odry</w:t>
      </w:r>
      <w:r w:rsidRPr="00795F17">
        <w:t xml:space="preserve"> w ogólnej liczbie </w:t>
      </w:r>
      <w:r w:rsidR="00DF005E">
        <w:t>JCWP</w:t>
      </w:r>
      <w:r w:rsidRPr="00795F17">
        <w:t xml:space="preserve"> z</w:t>
      </w:r>
      <w:r w:rsidR="003F0CFE" w:rsidRPr="00795F17">
        <w:t> </w:t>
      </w:r>
      <w:r w:rsidRPr="00795F17">
        <w:t xml:space="preserve">odcinkami potencjalnego zagrożenia spływu wód lub lodu, </w:t>
      </w:r>
      <w:r w:rsidR="00442820">
        <w:t>według</w:t>
      </w:r>
      <w:r w:rsidRPr="00795F17">
        <w:t xml:space="preserve"> danych z 2016 </w:t>
      </w:r>
      <w:r w:rsidR="00FA1FDD">
        <w:t xml:space="preserve">r. </w:t>
      </w:r>
      <w:r w:rsidRPr="00795F17">
        <w:t>oraz 20</w:t>
      </w:r>
      <w:r w:rsidR="005236D9">
        <w:t>20</w:t>
      </w:r>
      <w:r w:rsidR="00FA1FDD">
        <w:t xml:space="preserve"> r.</w:t>
      </w:r>
      <w:r w:rsidRPr="00795F17">
        <w:t xml:space="preserve">, wskazuje na utrzymujący się </w:t>
      </w:r>
      <w:r w:rsidR="008E3486" w:rsidRPr="00795F17">
        <w:t xml:space="preserve">udział </w:t>
      </w:r>
      <w:r w:rsidR="00DF005E">
        <w:t>JCWP</w:t>
      </w:r>
      <w:r w:rsidRPr="00795F17">
        <w:t xml:space="preserve"> region</w:t>
      </w:r>
      <w:r w:rsidR="00F6334F" w:rsidRPr="00795F17">
        <w:t>u</w:t>
      </w:r>
      <w:r w:rsidRPr="00795F17">
        <w:t xml:space="preserve"> wodn</w:t>
      </w:r>
      <w:r w:rsidR="00F6334F" w:rsidRPr="00795F17">
        <w:t>ego Środkowej Odry</w:t>
      </w:r>
      <w:r w:rsidRPr="00795F17">
        <w:t xml:space="preserve"> w ogólnej liczbie </w:t>
      </w:r>
      <w:r w:rsidR="00DF005E">
        <w:t>JCWP</w:t>
      </w:r>
      <w:r w:rsidRPr="00795F17">
        <w:t xml:space="preserve"> z</w:t>
      </w:r>
      <w:r w:rsidR="003F0CFE" w:rsidRPr="00795F17">
        <w:t> </w:t>
      </w:r>
      <w:r w:rsidRPr="00795F17">
        <w:t>odcinkami zatorogennymi</w:t>
      </w:r>
      <w:r w:rsidR="00F6334F" w:rsidRPr="00795F17">
        <w:t xml:space="preserve"> oraz </w:t>
      </w:r>
      <w:r w:rsidR="00962025" w:rsidRPr="00795F17">
        <w:t xml:space="preserve">wzrost liczby </w:t>
      </w:r>
      <w:r w:rsidR="00DF005E">
        <w:t>JCWP</w:t>
      </w:r>
      <w:r w:rsidR="00962025" w:rsidRPr="00795F17">
        <w:t xml:space="preserve"> z odcinkami potencjalnie zagrożonego spływu lodu w przypadku regionu wodnego Warty. </w:t>
      </w:r>
    </w:p>
    <w:p w14:paraId="06AB9C16" w14:textId="135D46FE" w:rsidR="00F247F3" w:rsidRPr="00795F17" w:rsidRDefault="00F247F3" w:rsidP="0044393D">
      <w:r w:rsidRPr="00795F17">
        <w:t>Część wymienionych lokalizacji jest odniesionych do historycznie potwierdzonych miejsc na rzekach Odra, Sama i Mała Panew. Jest to sumarycznie tylko 20 lokalizacji, ale biorąc pod uwagę długość rzek objętych tą charakterystyką (ponad 100 km), jest to znacząca część miejsc potencjalnego zagrożenia dla swobodnego spływu lodu na obszarze dorzecza Odry.</w:t>
      </w:r>
    </w:p>
    <w:p w14:paraId="008F9EE2" w14:textId="0E81D677" w:rsidR="00F247F3" w:rsidRPr="00795F17" w:rsidRDefault="00F247F3" w:rsidP="0044393D">
      <w:r w:rsidRPr="00795F17">
        <w:t>Dodatkowy element wpływający na zwiększenie potencjalnego zagrożenia spływu lodu na odcinkach narażonych na wystąpienie zatoru to aspekt antropogeniczny</w:t>
      </w:r>
      <w:r w:rsidR="00434683" w:rsidRPr="00795F17">
        <w:t>,</w:t>
      </w:r>
      <w:r w:rsidRPr="00795F17">
        <w:t xml:space="preserve"> w tym stan techniczny budowli regulacyjnych lub ich obecność zawężając</w:t>
      </w:r>
      <w:r w:rsidR="00434683" w:rsidRPr="00795F17">
        <w:t>a</w:t>
      </w:r>
      <w:r w:rsidRPr="00795F17">
        <w:t xml:space="preserve"> przekrój poprzeczny (35 lokalizacji)</w:t>
      </w:r>
      <w:r w:rsidR="00434683" w:rsidRPr="00795F17">
        <w:t>,</w:t>
      </w:r>
      <w:r w:rsidRPr="00795F17">
        <w:t xml:space="preserve"> jazy (55 przypadków) oraz obecność filarów i przyczółków mostowych (8 przypadków)</w:t>
      </w:r>
      <w:r w:rsidR="00434683" w:rsidRPr="00795F17">
        <w:t>.</w:t>
      </w:r>
    </w:p>
    <w:p w14:paraId="20CF01FF" w14:textId="448EA034" w:rsidR="00F247F3" w:rsidRPr="00795F17" w:rsidRDefault="00F247F3" w:rsidP="0044393D">
      <w:r w:rsidRPr="00795F17">
        <w:t>Ważną przyczyną uznania lokalizacj</w:t>
      </w:r>
      <w:r w:rsidR="00434683" w:rsidRPr="00795F17">
        <w:t>i</w:t>
      </w:r>
      <w:r w:rsidRPr="00795F17">
        <w:t xml:space="preserve"> za zatorogenną jest zwężenie koryta lub ograniczenie drożności (51 lokalizacji, 206 km rzek), meandrowanie rzek (13 przypadków </w:t>
      </w:r>
      <w:r w:rsidR="001B6CF6">
        <w:t>–</w:t>
      </w:r>
      <w:r w:rsidRPr="00795F17">
        <w:t xml:space="preserve"> 35 km rzek)</w:t>
      </w:r>
      <w:r w:rsidR="00434683" w:rsidRPr="00795F17">
        <w:t>,</w:t>
      </w:r>
      <w:r w:rsidRPr="00795F17">
        <w:t xml:space="preserve"> zakola (26</w:t>
      </w:r>
      <w:r w:rsidR="00ED3251" w:rsidRPr="00795F17">
        <w:t> </w:t>
      </w:r>
      <w:r w:rsidRPr="00795F17">
        <w:t xml:space="preserve">przypadków) oraz wypłycenia i łachy (29 lokalizacji </w:t>
      </w:r>
      <w:r w:rsidR="003C019C">
        <w:t>–</w:t>
      </w:r>
      <w:r w:rsidRPr="00795F17">
        <w:t xml:space="preserve"> około 60 km rzek). Często są to przypadki kilku charakterystyk występujących łącznie. </w:t>
      </w:r>
    </w:p>
    <w:p w14:paraId="408C4876" w14:textId="5A17C8A3" w:rsidR="00F247F3" w:rsidRPr="00795F17" w:rsidRDefault="00F247F3" w:rsidP="0044393D">
      <w:r w:rsidRPr="00795F17">
        <w:t>Dodatkowo podaje się jako przyczynę powstawania zatorów spowolnienie prędkości wody (bez</w:t>
      </w:r>
      <w:r w:rsidR="00B37F03" w:rsidRPr="00795F17">
        <w:t> </w:t>
      </w:r>
      <w:r w:rsidRPr="00795F17">
        <w:t>podawania przyczyn), roboty budowlane, powalone lub pochylone drzewa lub miejsca bytowania bobrów</w:t>
      </w:r>
      <w:r w:rsidR="00434683" w:rsidRPr="00795F17">
        <w:t>, co stanowi element istotny podczas pochodu lodu.</w:t>
      </w:r>
    </w:p>
    <w:p w14:paraId="7D9983B5" w14:textId="7CAA939B" w:rsidR="005E5391" w:rsidRPr="00795F17" w:rsidRDefault="005E5391" w:rsidP="0044393D">
      <w:r w:rsidRPr="00795F17">
        <w:t xml:space="preserve">Wskazanie </w:t>
      </w:r>
      <w:r w:rsidR="00DF005E">
        <w:t>JCWP</w:t>
      </w:r>
      <w:r w:rsidRPr="00795F17">
        <w:t xml:space="preserve"> ze zidentyfikowanym zagrożeniem swobodnego przepływu wód oraz spływu lodu dla poszczególnych </w:t>
      </w:r>
      <w:r w:rsidR="00DF005E">
        <w:t>JCWP</w:t>
      </w:r>
      <w:r w:rsidRPr="00795F17">
        <w:t xml:space="preserve"> </w:t>
      </w:r>
      <w:r w:rsidR="00442820">
        <w:t>według</w:t>
      </w:r>
      <w:r w:rsidRPr="00795F17">
        <w:t xml:space="preserve"> danych z roku 20</w:t>
      </w:r>
      <w:r w:rsidR="00733DD5">
        <w:t>20</w:t>
      </w:r>
      <w:r w:rsidRPr="00795F17">
        <w:t xml:space="preserve"> zawiera załącznik nr 1 (Zestawienie główne)</w:t>
      </w:r>
      <w:r w:rsidR="00DC018D" w:rsidRPr="00795F17">
        <w:t xml:space="preserve"> oraz</w:t>
      </w:r>
      <w:r w:rsidR="00DC2B4A">
        <w:t> </w:t>
      </w:r>
      <w:r w:rsidR="00DC018D" w:rsidRPr="00795F17">
        <w:t xml:space="preserve">dodatkowo w załączniku nr </w:t>
      </w:r>
      <w:r w:rsidR="004E5E2F">
        <w:t>19</w:t>
      </w:r>
      <w:r w:rsidR="00DC018D" w:rsidRPr="00795F17">
        <w:t xml:space="preserve"> (Wykaz odcinków potencjalnie utrudnionego spływu lodu) zawarty jest </w:t>
      </w:r>
      <w:r w:rsidR="00B3786A" w:rsidRPr="00795F17">
        <w:t>wykaz odcinków potencjalnie</w:t>
      </w:r>
      <w:r w:rsidR="00DC018D" w:rsidRPr="00795F17">
        <w:t xml:space="preserve"> utrudnionego spływu lodu wraz ze wskazaniem kilometrażu oraz</w:t>
      </w:r>
      <w:r w:rsidR="00DC2B4A">
        <w:t> </w:t>
      </w:r>
      <w:r w:rsidR="00DC018D" w:rsidRPr="00795F17">
        <w:t>przyczyn zagrożenia</w:t>
      </w:r>
      <w:r w:rsidRPr="00795F17">
        <w:t xml:space="preserve">. Lokalizację przestrzenną miejsc potencjalnie zatorogennych na obszarze dorzecza </w:t>
      </w:r>
      <w:r w:rsidR="00D635B0" w:rsidRPr="00795F17">
        <w:t>Odry</w:t>
      </w:r>
      <w:r w:rsidRPr="00795F17">
        <w:t xml:space="preserve"> prezentuje załącznik graficzny nr </w:t>
      </w:r>
      <w:r w:rsidR="006B6E04">
        <w:t>68</w:t>
      </w:r>
      <w:r w:rsidR="007046F5" w:rsidRPr="00795F17">
        <w:t>.</w:t>
      </w:r>
    </w:p>
    <w:p w14:paraId="6DB3A45F" w14:textId="59EF1C26" w:rsidR="005374A5" w:rsidRPr="00795F17" w:rsidRDefault="00F75E88" w:rsidP="00BA6B41">
      <w:pPr>
        <w:pStyle w:val="Nagwek1"/>
      </w:pPr>
      <w:bookmarkStart w:id="982" w:name="_Toc51050043"/>
      <w:bookmarkEnd w:id="970"/>
      <w:r w:rsidRPr="00795F17">
        <w:br w:type="column"/>
      </w:r>
      <w:bookmarkStart w:id="983" w:name="_Toc66272297"/>
      <w:bookmarkStart w:id="984" w:name="_Toc105512734"/>
      <w:r w:rsidR="005374A5" w:rsidRPr="00795F17">
        <w:t>Budowle regulacyjne i urządzenia wodne</w:t>
      </w:r>
      <w:bookmarkEnd w:id="983"/>
      <w:bookmarkEnd w:id="984"/>
    </w:p>
    <w:p w14:paraId="7D368983" w14:textId="341BC2CB" w:rsidR="00F75E88" w:rsidRPr="00795F17" w:rsidRDefault="00F75E88" w:rsidP="0044393D">
      <w:bookmarkStart w:id="985" w:name="_Hlk54011303"/>
      <w:r w:rsidRPr="00795F17">
        <w:t>Zgodnie z art.</w:t>
      </w:r>
      <w:r w:rsidR="003C019C">
        <w:t xml:space="preserve"> </w:t>
      </w:r>
      <w:r w:rsidRPr="00795F17">
        <w:t xml:space="preserve">318 ust. 2 pkt 2 pr.w. oraz </w:t>
      </w:r>
      <w:r w:rsidR="006F4AAB">
        <w:t>§</w:t>
      </w:r>
      <w:r w:rsidRPr="00795F17">
        <w:t xml:space="preserve"> 2 ust. 1 pkt 33 </w:t>
      </w:r>
      <w:r w:rsidR="00E67AA8" w:rsidRPr="00795F17">
        <w:t>r.p.g.w.</w:t>
      </w:r>
      <w:r w:rsidRPr="00795F17">
        <w:t xml:space="preserve"> plan gospodarowania wodami prezentuje informacje dotyczące budowli regulacyjnych i urządzeń wodnych będących własnością Skarbu Państwa o istotnym znaczeniu dla zarządzania wodami.</w:t>
      </w:r>
    </w:p>
    <w:p w14:paraId="30465EDA" w14:textId="57811C66" w:rsidR="00F75E88" w:rsidRPr="00795F17" w:rsidRDefault="00F75E88" w:rsidP="0044393D">
      <w:pPr>
        <w:rPr>
          <w:rFonts w:cstheme="minorBidi"/>
        </w:rPr>
      </w:pPr>
      <w:r w:rsidRPr="00795F17">
        <w:t xml:space="preserve">Budowle regulacyjne zgodnie z art. 16 </w:t>
      </w:r>
      <w:r w:rsidR="0083060B" w:rsidRPr="00795F17">
        <w:t>pr.w.</w:t>
      </w:r>
      <w:r w:rsidRPr="00795F17">
        <w:t xml:space="preserve"> są jedną z kategorii budowli przeciwpowodziowych a</w:t>
      </w:r>
      <w:r w:rsidR="00331157" w:rsidRPr="00795F17">
        <w:t xml:space="preserve"> </w:t>
      </w:r>
      <w:r w:rsidRPr="00795F17">
        <w:t>jednocześnie hydrotechniczną, która zgodnie z rozporządzeniem Ministra Środowiska z dnia 20 kwietnia 2007 r. w sprawie warunków technicznych, jakim powinny odpowiadać budowle hydrotechniczne i ich usytuowanie (Dz.U.</w:t>
      </w:r>
      <w:hyperlink r:id="rId153" w:history="1">
        <w:r w:rsidRPr="00795F17">
          <w:t xml:space="preserve"> poz. 579</w:t>
        </w:r>
      </w:hyperlink>
      <w:r w:rsidRPr="00795F17">
        <w:t xml:space="preserve">) rozumiana jest jako </w:t>
      </w:r>
      <w:r w:rsidRPr="00787EA4">
        <w:t xml:space="preserve">budowle wraz z urządzeniami i instalacjami technicznymi z nimi związanymi, służące gospodarce wodnej oraz kształtowaniu zasobów wodnych i korzystaniu z nich, w tym: zapory ziemne i betonowe, jazy, budowle </w:t>
      </w:r>
      <w:r w:rsidRPr="00787EA4">
        <w:rPr>
          <w:rFonts w:cstheme="minorBidi"/>
        </w:rPr>
        <w:t>upustowe z przelewami i spustami, przepusty wałowe i mnichy, śluzy żeglugowe, wały przeciwpowodziowe, siłownie i elektrownie wodne, ujęcie śródlądowych wód powierzchniowych, wyloty ścieków, czasze zbiorników wodnych wraz ze zboczami i skarpami, pompownie, kanały, sztolnie, rurociągi hydrotechniczne, syfony, lewary, akwedukty, budowle regulacyjne na rzekach i</w:t>
      </w:r>
      <w:r w:rsidR="00DC2B4A">
        <w:rPr>
          <w:rFonts w:cstheme="minorBidi"/>
        </w:rPr>
        <w:t> </w:t>
      </w:r>
      <w:r w:rsidRPr="00787EA4">
        <w:rPr>
          <w:rFonts w:cstheme="minorBidi"/>
        </w:rPr>
        <w:t>potokach, progi, grodzie, nadpoziomowe zbiorniki gromadzące substancje płynne i półpłynne, porty, baseny, zimowiska, pirsy, mola, pomosty, nabrzeża, bulwary, pochylnie i falochrony na wodach śródlądowych, przepławki dla ryb.</w:t>
      </w:r>
    </w:p>
    <w:p w14:paraId="16B19934" w14:textId="7532CA0D" w:rsidR="00F75E88" w:rsidRPr="00795F17" w:rsidRDefault="00F75E88" w:rsidP="0044393D">
      <w:r w:rsidRPr="00795F17">
        <w:t xml:space="preserve">Podstawę dla przygotowania przedstawionych w rozdziale informacji stanowiły dane bazy HYMO (baza projektu </w:t>
      </w:r>
      <w:r w:rsidRPr="00795F17">
        <w:rPr>
          <w:i/>
          <w:iCs/>
        </w:rPr>
        <w:t>Identyfikacja presji (…</w:t>
      </w:r>
      <w:r w:rsidRPr="00795F17">
        <w:t xml:space="preserve">), aktualizacja </w:t>
      </w:r>
      <w:r w:rsidR="007C261B">
        <w:t xml:space="preserve">wrzesień </w:t>
      </w:r>
      <w:r w:rsidRPr="00795F17">
        <w:t>2020</w:t>
      </w:r>
      <w:r w:rsidR="00B37F03" w:rsidRPr="00795F17">
        <w:t> </w:t>
      </w:r>
      <w:r w:rsidRPr="00795F17">
        <w:t xml:space="preserve">r.) oraz dane </w:t>
      </w:r>
      <w:r w:rsidR="0028234C" w:rsidRPr="00795F17">
        <w:t>PGW WP</w:t>
      </w:r>
      <w:r w:rsidRPr="00795F17">
        <w:t xml:space="preserve">. </w:t>
      </w:r>
    </w:p>
    <w:p w14:paraId="364F28B9" w14:textId="5DD284C7" w:rsidR="00F75E88" w:rsidRPr="00795F17" w:rsidRDefault="00F75E88" w:rsidP="0044393D">
      <w:r w:rsidRPr="00795F17">
        <w:t>Łączna liczba uwzględnionych w bazie budowli regulacyjnych na obszarze dorzecza Odry wynosi ponad 17 tys. budowli. Wśród nich występuje 58 budowli nowych lub zmodernizowanych w latach 2017</w:t>
      </w:r>
      <w:r w:rsidR="00F80574">
        <w:t>–</w:t>
      </w:r>
      <w:r w:rsidRPr="00795F17">
        <w:t>2019 będąc</w:t>
      </w:r>
      <w:r w:rsidR="00AD61C2">
        <w:t xml:space="preserve">ych </w:t>
      </w:r>
      <w:r w:rsidRPr="00795F17">
        <w:t>własnością Skarbu Państwa.</w:t>
      </w:r>
    </w:p>
    <w:p w14:paraId="15DA09F7" w14:textId="703CC020" w:rsidR="00F75E88" w:rsidRPr="00795F17" w:rsidRDefault="00F75E88" w:rsidP="0044393D">
      <w:r w:rsidRPr="00795F17">
        <w:t>Zestawienie udziału liczby budowli regulacyjnych z</w:t>
      </w:r>
      <w:r w:rsidR="00AD61C2">
        <w:t xml:space="preserve">najdujących się </w:t>
      </w:r>
      <w:r w:rsidRPr="00795F17">
        <w:t xml:space="preserve">w obrębie poszczególnych regionów wodnych w stosunku do ogólnej liczby budowli na obszarze dorzecza Odry prezentuje poniższa tabela </w:t>
      </w:r>
      <w:r w:rsidR="005C02B9" w:rsidRPr="00795F17">
        <w:t>18-1</w:t>
      </w:r>
      <w:r w:rsidRPr="00795F17">
        <w:t xml:space="preserve"> i wykres</w:t>
      </w:r>
      <w:r w:rsidR="00FA3C25" w:rsidRPr="00795F17">
        <w:t xml:space="preserve"> </w:t>
      </w:r>
      <w:r w:rsidR="005C02B9" w:rsidRPr="00795F17">
        <w:t>18-1</w:t>
      </w:r>
      <w:r w:rsidRPr="00795F17">
        <w:t>.</w:t>
      </w:r>
    </w:p>
    <w:p w14:paraId="5767D2F2" w14:textId="52CB005B" w:rsidR="00AB6AD9" w:rsidRPr="00795F17" w:rsidRDefault="00AB6AD9" w:rsidP="004D7705">
      <w:pPr>
        <w:pStyle w:val="Tabela"/>
      </w:pPr>
      <w:bookmarkStart w:id="986" w:name="_Toc66341990"/>
      <w:bookmarkStart w:id="987" w:name="_Toc105512915"/>
      <w:r w:rsidRPr="00795F17">
        <w:t xml:space="preserve">Tabela </w:t>
      </w:r>
      <w:fldSimple w:instr=" STYLEREF 1 \s ">
        <w:r w:rsidR="001F774D">
          <w:rPr>
            <w:noProof/>
          </w:rPr>
          <w:t>18</w:t>
        </w:r>
      </w:fldSimple>
      <w:r w:rsidR="00BB3B21" w:rsidRPr="00795F17">
        <w:noBreakHyphen/>
      </w:r>
      <w:fldSimple w:instr=" SEQ Tabela \* ARABIC \s 1 ">
        <w:r w:rsidR="001F774D">
          <w:rPr>
            <w:noProof/>
          </w:rPr>
          <w:t>1</w:t>
        </w:r>
      </w:fldSimple>
      <w:r w:rsidR="00802C92">
        <w:rPr>
          <w:noProof/>
        </w:rPr>
        <w:t>.</w:t>
      </w:r>
      <w:r w:rsidRPr="00795F17">
        <w:tab/>
        <w:t>Budowle regulacyjne na obszarze dorzecza Odry</w:t>
      </w:r>
      <w:bookmarkEnd w:id="986"/>
      <w:bookmarkEnd w:id="9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2"/>
        <w:gridCol w:w="1361"/>
        <w:gridCol w:w="1029"/>
        <w:gridCol w:w="2184"/>
      </w:tblGrid>
      <w:tr w:rsidR="00F75E88" w:rsidRPr="00795F17" w14:paraId="02DA4935" w14:textId="77777777" w:rsidTr="00221E4A">
        <w:trPr>
          <w:trHeight w:val="454"/>
        </w:trPr>
        <w:tc>
          <w:tcPr>
            <w:tcW w:w="2472" w:type="pct"/>
            <w:shd w:val="clear" w:color="auto" w:fill="BFBFBF" w:themeFill="background1" w:themeFillShade="BF"/>
            <w:vAlign w:val="center"/>
            <w:hideMark/>
          </w:tcPr>
          <w:p w14:paraId="3749563A" w14:textId="77777777" w:rsidR="00F75E88" w:rsidRPr="00795F17" w:rsidRDefault="00F75E88" w:rsidP="0044393D">
            <w:pPr>
              <w:pStyle w:val="Teksttabelinaglowek"/>
            </w:pPr>
            <w:r w:rsidRPr="00795F17">
              <w:t>Region wodny</w:t>
            </w:r>
          </w:p>
        </w:tc>
        <w:tc>
          <w:tcPr>
            <w:tcW w:w="755" w:type="pct"/>
            <w:shd w:val="clear" w:color="auto" w:fill="BFBFBF" w:themeFill="background1" w:themeFillShade="BF"/>
            <w:vAlign w:val="center"/>
            <w:hideMark/>
          </w:tcPr>
          <w:p w14:paraId="137DB49B" w14:textId="77777777" w:rsidR="00F75E88" w:rsidRPr="00795F17" w:rsidRDefault="00F75E88" w:rsidP="0044393D">
            <w:pPr>
              <w:pStyle w:val="Teksttabelinaglowek"/>
            </w:pPr>
            <w:r w:rsidRPr="00795F17">
              <w:t>Liczba budowli regulacyjnych</w:t>
            </w:r>
          </w:p>
        </w:tc>
        <w:tc>
          <w:tcPr>
            <w:tcW w:w="553" w:type="pct"/>
            <w:shd w:val="clear" w:color="auto" w:fill="BFBFBF" w:themeFill="background1" w:themeFillShade="BF"/>
            <w:vAlign w:val="center"/>
            <w:hideMark/>
          </w:tcPr>
          <w:p w14:paraId="5886675D" w14:textId="680E5CE8" w:rsidR="00F75E88" w:rsidRPr="00795F17" w:rsidRDefault="00F75E88" w:rsidP="0044393D">
            <w:pPr>
              <w:pStyle w:val="Teksttabelinaglowek"/>
            </w:pPr>
            <w:r w:rsidRPr="00795F17">
              <w:t>Udział w</w:t>
            </w:r>
            <w:r w:rsidR="002A7378">
              <w:t> </w:t>
            </w:r>
            <w:r w:rsidRPr="00795F17">
              <w:t>ogólnej liczbie budowli</w:t>
            </w:r>
            <w:r w:rsidR="008A739A" w:rsidRPr="00795F17">
              <w:t xml:space="preserve"> </w:t>
            </w:r>
            <w:r w:rsidR="00EA4FF5" w:rsidRPr="00795F17">
              <w:t>(%)</w:t>
            </w:r>
          </w:p>
        </w:tc>
        <w:tc>
          <w:tcPr>
            <w:tcW w:w="1220" w:type="pct"/>
            <w:shd w:val="clear" w:color="auto" w:fill="BFBFBF" w:themeFill="background1" w:themeFillShade="BF"/>
            <w:vAlign w:val="center"/>
            <w:hideMark/>
          </w:tcPr>
          <w:p w14:paraId="37383872" w14:textId="0A0F15D0" w:rsidR="00F75E88" w:rsidRPr="00795F17" w:rsidRDefault="00F75E88" w:rsidP="0044393D">
            <w:pPr>
              <w:pStyle w:val="Teksttabelinaglowek"/>
            </w:pPr>
            <w:r w:rsidRPr="00795F17">
              <w:t>Budowle nowe lub zmodernizowane w</w:t>
            </w:r>
            <w:r w:rsidR="002A7378">
              <w:t> </w:t>
            </w:r>
            <w:r w:rsidRPr="00795F17">
              <w:t>latach 2017-2019 będące własnością Skarbu Państwa</w:t>
            </w:r>
          </w:p>
        </w:tc>
      </w:tr>
      <w:tr w:rsidR="00221E4A" w:rsidRPr="00795F17" w14:paraId="47FB8EFE" w14:textId="77777777" w:rsidTr="00221E4A">
        <w:trPr>
          <w:trHeight w:val="454"/>
        </w:trPr>
        <w:tc>
          <w:tcPr>
            <w:tcW w:w="2472" w:type="pct"/>
            <w:noWrap/>
            <w:vAlign w:val="center"/>
            <w:hideMark/>
          </w:tcPr>
          <w:p w14:paraId="0B3716ED" w14:textId="7FC484C1" w:rsidR="00221E4A" w:rsidRPr="00795F17" w:rsidRDefault="00221E4A" w:rsidP="00221E4A">
            <w:pPr>
              <w:pStyle w:val="Teksttabelilewy"/>
            </w:pPr>
            <w:r w:rsidRPr="00795F17">
              <w:t>Dolnej Odry i Przymorza Zachodniego</w:t>
            </w:r>
          </w:p>
        </w:tc>
        <w:tc>
          <w:tcPr>
            <w:tcW w:w="755" w:type="pct"/>
            <w:noWrap/>
            <w:vAlign w:val="center"/>
            <w:hideMark/>
          </w:tcPr>
          <w:p w14:paraId="5B773D11" w14:textId="77777777" w:rsidR="00221E4A" w:rsidRPr="00795F17" w:rsidRDefault="00221E4A" w:rsidP="00221E4A">
            <w:pPr>
              <w:pStyle w:val="Teksttabelisrodek"/>
            </w:pPr>
            <w:r w:rsidRPr="00795F17">
              <w:t>2 496</w:t>
            </w:r>
          </w:p>
        </w:tc>
        <w:tc>
          <w:tcPr>
            <w:tcW w:w="553" w:type="pct"/>
            <w:noWrap/>
            <w:vAlign w:val="bottom"/>
            <w:hideMark/>
          </w:tcPr>
          <w:p w14:paraId="086EA424" w14:textId="3A8B7353" w:rsidR="00221E4A" w:rsidRPr="00221E4A" w:rsidRDefault="00221E4A" w:rsidP="00221E4A">
            <w:pPr>
              <w:pStyle w:val="Teksttabelisrodek"/>
              <w:rPr>
                <w:szCs w:val="20"/>
              </w:rPr>
            </w:pPr>
            <w:r w:rsidRPr="00221E4A">
              <w:rPr>
                <w:rFonts w:cs="Calibri"/>
                <w:color w:val="000000"/>
                <w:szCs w:val="20"/>
              </w:rPr>
              <w:t>14,4</w:t>
            </w:r>
          </w:p>
        </w:tc>
        <w:tc>
          <w:tcPr>
            <w:tcW w:w="1220" w:type="pct"/>
            <w:noWrap/>
            <w:vAlign w:val="center"/>
            <w:hideMark/>
          </w:tcPr>
          <w:p w14:paraId="179B9DA5" w14:textId="77777777" w:rsidR="00221E4A" w:rsidRPr="00795F17" w:rsidRDefault="00221E4A" w:rsidP="00221E4A">
            <w:pPr>
              <w:pStyle w:val="Teksttabelisrodek"/>
            </w:pPr>
            <w:r w:rsidRPr="00795F17">
              <w:t>23</w:t>
            </w:r>
          </w:p>
        </w:tc>
      </w:tr>
      <w:tr w:rsidR="00221E4A" w:rsidRPr="00795F17" w14:paraId="16DEE361" w14:textId="77777777" w:rsidTr="00221E4A">
        <w:trPr>
          <w:trHeight w:val="454"/>
        </w:trPr>
        <w:tc>
          <w:tcPr>
            <w:tcW w:w="2472" w:type="pct"/>
            <w:vAlign w:val="center"/>
            <w:hideMark/>
          </w:tcPr>
          <w:p w14:paraId="18A98E20" w14:textId="3125E929" w:rsidR="00221E4A" w:rsidRPr="00795F17" w:rsidRDefault="00221E4A" w:rsidP="00221E4A">
            <w:pPr>
              <w:pStyle w:val="Teksttabelilewy"/>
            </w:pPr>
            <w:r w:rsidRPr="00795F17">
              <w:t>Górnej Odry</w:t>
            </w:r>
          </w:p>
        </w:tc>
        <w:tc>
          <w:tcPr>
            <w:tcW w:w="755" w:type="pct"/>
            <w:noWrap/>
            <w:vAlign w:val="center"/>
            <w:hideMark/>
          </w:tcPr>
          <w:p w14:paraId="3BBE3206" w14:textId="77777777" w:rsidR="00221E4A" w:rsidRPr="00795F17" w:rsidRDefault="00221E4A" w:rsidP="00221E4A">
            <w:pPr>
              <w:pStyle w:val="Teksttabelisrodek"/>
            </w:pPr>
            <w:r w:rsidRPr="00795F17">
              <w:t>1 240</w:t>
            </w:r>
          </w:p>
        </w:tc>
        <w:tc>
          <w:tcPr>
            <w:tcW w:w="553" w:type="pct"/>
            <w:noWrap/>
            <w:vAlign w:val="bottom"/>
            <w:hideMark/>
          </w:tcPr>
          <w:p w14:paraId="0A91E633" w14:textId="6ACB06E5" w:rsidR="00221E4A" w:rsidRPr="00221E4A" w:rsidRDefault="00221E4A" w:rsidP="00221E4A">
            <w:pPr>
              <w:pStyle w:val="Teksttabelisrodek"/>
              <w:rPr>
                <w:szCs w:val="20"/>
              </w:rPr>
            </w:pPr>
            <w:r w:rsidRPr="00221E4A">
              <w:rPr>
                <w:rFonts w:cs="Calibri"/>
                <w:color w:val="000000"/>
                <w:szCs w:val="20"/>
              </w:rPr>
              <w:t>7,2</w:t>
            </w:r>
          </w:p>
        </w:tc>
        <w:tc>
          <w:tcPr>
            <w:tcW w:w="1220" w:type="pct"/>
            <w:noWrap/>
            <w:vAlign w:val="center"/>
            <w:hideMark/>
          </w:tcPr>
          <w:p w14:paraId="1A38FA16" w14:textId="77777777" w:rsidR="00221E4A" w:rsidRPr="00795F17" w:rsidRDefault="00221E4A" w:rsidP="00221E4A">
            <w:pPr>
              <w:pStyle w:val="Teksttabelisrodek"/>
            </w:pPr>
            <w:r w:rsidRPr="00795F17">
              <w:t>2</w:t>
            </w:r>
          </w:p>
        </w:tc>
      </w:tr>
      <w:tr w:rsidR="00221E4A" w:rsidRPr="00795F17" w14:paraId="1A8077BE" w14:textId="77777777" w:rsidTr="00221E4A">
        <w:trPr>
          <w:trHeight w:val="454"/>
        </w:trPr>
        <w:tc>
          <w:tcPr>
            <w:tcW w:w="2472" w:type="pct"/>
            <w:noWrap/>
            <w:vAlign w:val="center"/>
            <w:hideMark/>
          </w:tcPr>
          <w:p w14:paraId="7FC5BB5A" w14:textId="166E85EA" w:rsidR="00221E4A" w:rsidRPr="00795F17" w:rsidRDefault="00221E4A" w:rsidP="00221E4A">
            <w:pPr>
              <w:pStyle w:val="Teksttabelilewy"/>
            </w:pPr>
            <w:r w:rsidRPr="00795F17">
              <w:t>Noteci</w:t>
            </w:r>
          </w:p>
        </w:tc>
        <w:tc>
          <w:tcPr>
            <w:tcW w:w="755" w:type="pct"/>
            <w:noWrap/>
            <w:vAlign w:val="center"/>
            <w:hideMark/>
          </w:tcPr>
          <w:p w14:paraId="5FB177F6" w14:textId="77777777" w:rsidR="00221E4A" w:rsidRPr="00795F17" w:rsidRDefault="00221E4A" w:rsidP="00221E4A">
            <w:pPr>
              <w:pStyle w:val="Teksttabelisrodek"/>
            </w:pPr>
            <w:r w:rsidRPr="00795F17">
              <w:t>1 908</w:t>
            </w:r>
          </w:p>
        </w:tc>
        <w:tc>
          <w:tcPr>
            <w:tcW w:w="553" w:type="pct"/>
            <w:noWrap/>
            <w:vAlign w:val="bottom"/>
            <w:hideMark/>
          </w:tcPr>
          <w:p w14:paraId="3653F368" w14:textId="34A73FCA" w:rsidR="00221E4A" w:rsidRPr="00221E4A" w:rsidRDefault="00221E4A" w:rsidP="00221E4A">
            <w:pPr>
              <w:pStyle w:val="Teksttabelisrodek"/>
              <w:rPr>
                <w:szCs w:val="20"/>
              </w:rPr>
            </w:pPr>
            <w:r w:rsidRPr="00221E4A">
              <w:rPr>
                <w:rFonts w:cs="Calibri"/>
                <w:color w:val="000000"/>
                <w:szCs w:val="20"/>
              </w:rPr>
              <w:t>11,0</w:t>
            </w:r>
          </w:p>
        </w:tc>
        <w:tc>
          <w:tcPr>
            <w:tcW w:w="1220" w:type="pct"/>
            <w:noWrap/>
            <w:vAlign w:val="center"/>
            <w:hideMark/>
          </w:tcPr>
          <w:p w14:paraId="4DADAADB" w14:textId="77777777" w:rsidR="00221E4A" w:rsidRPr="00795F17" w:rsidRDefault="00221E4A" w:rsidP="00221E4A">
            <w:pPr>
              <w:pStyle w:val="Teksttabelisrodek"/>
            </w:pPr>
            <w:r w:rsidRPr="00795F17">
              <w:t>0</w:t>
            </w:r>
          </w:p>
        </w:tc>
      </w:tr>
      <w:tr w:rsidR="00221E4A" w:rsidRPr="00795F17" w14:paraId="7F0C3585" w14:textId="77777777" w:rsidTr="00221E4A">
        <w:trPr>
          <w:trHeight w:val="454"/>
        </w:trPr>
        <w:tc>
          <w:tcPr>
            <w:tcW w:w="2472" w:type="pct"/>
            <w:noWrap/>
            <w:vAlign w:val="center"/>
            <w:hideMark/>
          </w:tcPr>
          <w:p w14:paraId="4D7E61E1" w14:textId="29142871" w:rsidR="00221E4A" w:rsidRPr="00795F17" w:rsidRDefault="00221E4A" w:rsidP="00221E4A">
            <w:pPr>
              <w:pStyle w:val="Teksttabelilewy"/>
            </w:pPr>
            <w:r w:rsidRPr="00795F17">
              <w:t>Środkowej Odry</w:t>
            </w:r>
          </w:p>
        </w:tc>
        <w:tc>
          <w:tcPr>
            <w:tcW w:w="755" w:type="pct"/>
            <w:noWrap/>
            <w:vAlign w:val="center"/>
            <w:hideMark/>
          </w:tcPr>
          <w:p w14:paraId="047DD4E0" w14:textId="77777777" w:rsidR="00221E4A" w:rsidRPr="00795F17" w:rsidRDefault="00221E4A" w:rsidP="00221E4A">
            <w:pPr>
              <w:pStyle w:val="Teksttabelisrodek"/>
            </w:pPr>
            <w:r w:rsidRPr="00795F17">
              <w:t>5 182</w:t>
            </w:r>
          </w:p>
        </w:tc>
        <w:tc>
          <w:tcPr>
            <w:tcW w:w="553" w:type="pct"/>
            <w:noWrap/>
            <w:vAlign w:val="bottom"/>
            <w:hideMark/>
          </w:tcPr>
          <w:p w14:paraId="6A5C4A92" w14:textId="305E4B34" w:rsidR="00221E4A" w:rsidRPr="00221E4A" w:rsidRDefault="00221E4A" w:rsidP="00221E4A">
            <w:pPr>
              <w:pStyle w:val="Teksttabelisrodek"/>
              <w:rPr>
                <w:szCs w:val="20"/>
              </w:rPr>
            </w:pPr>
            <w:r w:rsidRPr="00221E4A">
              <w:rPr>
                <w:rFonts w:cs="Calibri"/>
                <w:color w:val="000000"/>
                <w:szCs w:val="20"/>
              </w:rPr>
              <w:t>29,9</w:t>
            </w:r>
          </w:p>
        </w:tc>
        <w:tc>
          <w:tcPr>
            <w:tcW w:w="1220" w:type="pct"/>
            <w:noWrap/>
            <w:vAlign w:val="center"/>
            <w:hideMark/>
          </w:tcPr>
          <w:p w14:paraId="71A5C1E4" w14:textId="77777777" w:rsidR="00221E4A" w:rsidRPr="00795F17" w:rsidRDefault="00221E4A" w:rsidP="00221E4A">
            <w:pPr>
              <w:pStyle w:val="Teksttabelisrodek"/>
            </w:pPr>
            <w:r w:rsidRPr="00795F17">
              <w:t>28</w:t>
            </w:r>
          </w:p>
        </w:tc>
      </w:tr>
      <w:tr w:rsidR="00221E4A" w:rsidRPr="00795F17" w14:paraId="26B246CD" w14:textId="77777777" w:rsidTr="00221E4A">
        <w:trPr>
          <w:trHeight w:val="454"/>
        </w:trPr>
        <w:tc>
          <w:tcPr>
            <w:tcW w:w="2472" w:type="pct"/>
            <w:noWrap/>
            <w:vAlign w:val="center"/>
            <w:hideMark/>
          </w:tcPr>
          <w:p w14:paraId="126E2C86" w14:textId="59909D92" w:rsidR="00221E4A" w:rsidRPr="00795F17" w:rsidRDefault="00221E4A" w:rsidP="00221E4A">
            <w:pPr>
              <w:pStyle w:val="Teksttabelilewy"/>
            </w:pPr>
            <w:r w:rsidRPr="00795F17">
              <w:t>Warty</w:t>
            </w:r>
          </w:p>
        </w:tc>
        <w:tc>
          <w:tcPr>
            <w:tcW w:w="755" w:type="pct"/>
            <w:noWrap/>
            <w:vAlign w:val="center"/>
            <w:hideMark/>
          </w:tcPr>
          <w:p w14:paraId="27AED83D" w14:textId="77777777" w:rsidR="00221E4A" w:rsidRPr="00795F17" w:rsidRDefault="00221E4A" w:rsidP="00221E4A">
            <w:pPr>
              <w:pStyle w:val="Teksttabelisrodek"/>
            </w:pPr>
            <w:r w:rsidRPr="00795F17">
              <w:t>6 493</w:t>
            </w:r>
          </w:p>
        </w:tc>
        <w:tc>
          <w:tcPr>
            <w:tcW w:w="553" w:type="pct"/>
            <w:noWrap/>
            <w:vAlign w:val="bottom"/>
            <w:hideMark/>
          </w:tcPr>
          <w:p w14:paraId="79AA618A" w14:textId="0A495E12" w:rsidR="00221E4A" w:rsidRPr="00221E4A" w:rsidRDefault="00221E4A" w:rsidP="00221E4A">
            <w:pPr>
              <w:pStyle w:val="Teksttabelisrodek"/>
              <w:rPr>
                <w:szCs w:val="20"/>
              </w:rPr>
            </w:pPr>
            <w:r w:rsidRPr="00221E4A">
              <w:rPr>
                <w:rFonts w:cs="Calibri"/>
                <w:color w:val="000000"/>
                <w:szCs w:val="20"/>
              </w:rPr>
              <w:t>37,5</w:t>
            </w:r>
          </w:p>
        </w:tc>
        <w:tc>
          <w:tcPr>
            <w:tcW w:w="1220" w:type="pct"/>
            <w:noWrap/>
            <w:vAlign w:val="center"/>
            <w:hideMark/>
          </w:tcPr>
          <w:p w14:paraId="186CF2FB" w14:textId="77777777" w:rsidR="00221E4A" w:rsidRPr="00795F17" w:rsidRDefault="00221E4A" w:rsidP="00221E4A">
            <w:pPr>
              <w:pStyle w:val="Teksttabelisrodek"/>
            </w:pPr>
            <w:r w:rsidRPr="00795F17">
              <w:t>5</w:t>
            </w:r>
          </w:p>
        </w:tc>
      </w:tr>
      <w:tr w:rsidR="00F75E88" w:rsidRPr="00795F17" w14:paraId="2C04B64E" w14:textId="77777777" w:rsidTr="00221E4A">
        <w:trPr>
          <w:trHeight w:val="454"/>
        </w:trPr>
        <w:tc>
          <w:tcPr>
            <w:tcW w:w="2472" w:type="pct"/>
            <w:shd w:val="clear" w:color="auto" w:fill="BFBFBF" w:themeFill="background1" w:themeFillShade="BF"/>
            <w:vAlign w:val="center"/>
            <w:hideMark/>
          </w:tcPr>
          <w:p w14:paraId="2052E21E" w14:textId="77777777" w:rsidR="00F75E88" w:rsidRPr="00795F17" w:rsidRDefault="00F75E88" w:rsidP="00B37F03">
            <w:pPr>
              <w:pStyle w:val="Teksttabelinaglowek"/>
            </w:pPr>
            <w:r w:rsidRPr="00795F17">
              <w:t>Ogółem liczba w obszarze dorzecza Odry</w:t>
            </w:r>
          </w:p>
        </w:tc>
        <w:tc>
          <w:tcPr>
            <w:tcW w:w="755" w:type="pct"/>
            <w:shd w:val="clear" w:color="auto" w:fill="BFBFBF" w:themeFill="background1" w:themeFillShade="BF"/>
            <w:noWrap/>
            <w:vAlign w:val="center"/>
            <w:hideMark/>
          </w:tcPr>
          <w:p w14:paraId="26B962DB" w14:textId="77777777" w:rsidR="00F75E88" w:rsidRPr="00795F17" w:rsidRDefault="00F75E88" w:rsidP="00B37F03">
            <w:pPr>
              <w:pStyle w:val="Teksttabelinaglowek"/>
            </w:pPr>
            <w:r w:rsidRPr="00795F17">
              <w:t>17 319</w:t>
            </w:r>
          </w:p>
        </w:tc>
        <w:tc>
          <w:tcPr>
            <w:tcW w:w="553" w:type="pct"/>
            <w:shd w:val="clear" w:color="auto" w:fill="BFBFBF" w:themeFill="background1" w:themeFillShade="BF"/>
            <w:noWrap/>
            <w:vAlign w:val="center"/>
            <w:hideMark/>
          </w:tcPr>
          <w:p w14:paraId="311229C0" w14:textId="0E183793" w:rsidR="00F75E88" w:rsidRPr="00795F17" w:rsidRDefault="00F75E88" w:rsidP="00B37F03">
            <w:pPr>
              <w:pStyle w:val="Teksttabelinaglowek"/>
            </w:pPr>
            <w:r w:rsidRPr="00795F17">
              <w:t>100</w:t>
            </w:r>
          </w:p>
        </w:tc>
        <w:tc>
          <w:tcPr>
            <w:tcW w:w="1220" w:type="pct"/>
            <w:shd w:val="clear" w:color="auto" w:fill="BFBFBF" w:themeFill="background1" w:themeFillShade="BF"/>
            <w:noWrap/>
            <w:vAlign w:val="center"/>
            <w:hideMark/>
          </w:tcPr>
          <w:p w14:paraId="20D87B73" w14:textId="77777777" w:rsidR="00F75E88" w:rsidRPr="00795F17" w:rsidRDefault="00F75E88" w:rsidP="00B37F03">
            <w:pPr>
              <w:pStyle w:val="Teksttabelinaglowek"/>
            </w:pPr>
            <w:r w:rsidRPr="00795F17">
              <w:t>58</w:t>
            </w:r>
          </w:p>
        </w:tc>
      </w:tr>
    </w:tbl>
    <w:p w14:paraId="4BD2ABC5" w14:textId="1EDB51CE" w:rsidR="00F75E88" w:rsidRPr="00795F17" w:rsidRDefault="00F75E88" w:rsidP="0044393D">
      <w:pPr>
        <w:pStyle w:val="rdo"/>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Bazy HYMO (09.2020) oraz wykazu budowli nowych lub modernizowanych w</w:t>
      </w:r>
      <w:r w:rsidR="00331157" w:rsidRPr="00795F17">
        <w:rPr>
          <w:lang w:eastAsia="zh-CN"/>
        </w:rPr>
        <w:t> </w:t>
      </w:r>
      <w:r w:rsidRPr="00795F17">
        <w:rPr>
          <w:lang w:eastAsia="zh-CN"/>
        </w:rPr>
        <w:t>latach 2017-2019, będących własnością Skarb</w:t>
      </w:r>
      <w:r w:rsidR="00331157" w:rsidRPr="00795F17">
        <w:rPr>
          <w:lang w:eastAsia="zh-CN"/>
        </w:rPr>
        <w:t>u</w:t>
      </w:r>
      <w:r w:rsidRPr="00795F17">
        <w:rPr>
          <w:lang w:eastAsia="zh-CN"/>
        </w:rPr>
        <w:t xml:space="preserve"> Państwa</w:t>
      </w:r>
    </w:p>
    <w:p w14:paraId="72A6B54A" w14:textId="77777777" w:rsidR="00A33C2E" w:rsidRPr="00795F17" w:rsidRDefault="00F75E88" w:rsidP="000E51C7">
      <w:pPr>
        <w:jc w:val="center"/>
      </w:pPr>
      <w:r w:rsidRPr="00795F17">
        <w:rPr>
          <w:noProof/>
          <w:lang w:eastAsia="pl-PL"/>
        </w:rPr>
        <w:drawing>
          <wp:inline distT="0" distB="0" distL="0" distR="0" wp14:anchorId="2686913E" wp14:editId="4F5838E0">
            <wp:extent cx="4320000" cy="2520000"/>
            <wp:effectExtent l="0" t="0" r="4445" b="13970"/>
            <wp:docPr id="8" name="Wykres 8">
              <a:extLst xmlns:a="http://schemas.openxmlformats.org/drawingml/2006/main">
                <a:ext uri="{FF2B5EF4-FFF2-40B4-BE49-F238E27FC236}">
                  <a16:creationId xmlns:a16="http://schemas.microsoft.com/office/drawing/2014/main" id="{DE438D5C-4DA6-4698-9CE8-5DFD63A0E63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5B44F818" w14:textId="408A58BA" w:rsidR="00F75E88" w:rsidRPr="00795F17" w:rsidRDefault="00F75E88" w:rsidP="00B479EE">
      <w:pPr>
        <w:pStyle w:val="Wykres"/>
      </w:pPr>
      <w:bookmarkStart w:id="988" w:name="_Toc66273030"/>
      <w:bookmarkStart w:id="989" w:name="_Toc105513059"/>
      <w:r w:rsidRPr="00795F17">
        <w:t xml:space="preserve">Wykres </w:t>
      </w:r>
      <w:fldSimple w:instr=" STYLEREF 1 \s ">
        <w:r w:rsidR="001F774D">
          <w:rPr>
            <w:noProof/>
          </w:rPr>
          <w:t>18</w:t>
        </w:r>
      </w:fldSimple>
      <w:r w:rsidR="00FF20D3">
        <w:noBreakHyphen/>
      </w:r>
      <w:fldSimple w:instr=" SEQ Wykres \* ARABIC \s 1 ">
        <w:r w:rsidR="001F774D">
          <w:rPr>
            <w:noProof/>
          </w:rPr>
          <w:t>1</w:t>
        </w:r>
      </w:fldSimple>
      <w:r w:rsidR="002B6022">
        <w:rPr>
          <w:noProof/>
        </w:rPr>
        <w:t>.</w:t>
      </w:r>
      <w:r w:rsidRPr="00795F17">
        <w:tab/>
        <w:t>Udział liczby budowli regulacyjnych poszczególnych regionów wodnych w ogólnej liczbie budowli na obszarze dorzecza Odry</w:t>
      </w:r>
      <w:bookmarkEnd w:id="988"/>
      <w:bookmarkEnd w:id="989"/>
    </w:p>
    <w:p w14:paraId="7FEE87EF" w14:textId="4AEF863B" w:rsidR="00F75E88" w:rsidRPr="00795F17" w:rsidRDefault="00F75E88" w:rsidP="0044393D">
      <w:pPr>
        <w:pStyle w:val="rdo"/>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Ocena wdrożenia programów działań </w:t>
      </w:r>
      <w:r w:rsidR="00DF005E">
        <w:rPr>
          <w:lang w:eastAsia="zh-CN"/>
        </w:rPr>
        <w:t>JCWP</w:t>
      </w:r>
      <w:r w:rsidRPr="00795F17">
        <w:rPr>
          <w:lang w:eastAsia="zh-CN"/>
        </w:rPr>
        <w:t xml:space="preserve"> i </w:t>
      </w:r>
      <w:r w:rsidR="00DF005E">
        <w:rPr>
          <w:lang w:eastAsia="zh-CN"/>
        </w:rPr>
        <w:t>JCWP</w:t>
      </w:r>
      <w:r w:rsidRPr="00795F17">
        <w:rPr>
          <w:lang w:eastAsia="zh-CN"/>
        </w:rPr>
        <w:t>d (2020)</w:t>
      </w:r>
    </w:p>
    <w:p w14:paraId="7CE1C625" w14:textId="462383DA" w:rsidR="00F75E88" w:rsidRPr="00795F17" w:rsidRDefault="00F75E88" w:rsidP="0044393D">
      <w:r w:rsidRPr="00795F17">
        <w:t xml:space="preserve">Rozmieszczenie przestrzenne budowli regulacyjnych na obszarze dorzecza Odry przedstawione zostało na załączniku graficznym nr </w:t>
      </w:r>
      <w:r w:rsidR="00743947">
        <w:t>52</w:t>
      </w:r>
      <w:r w:rsidRPr="00795F17">
        <w:t>.</w:t>
      </w:r>
    </w:p>
    <w:p w14:paraId="44B36539" w14:textId="4DECACBE" w:rsidR="00977F72" w:rsidRPr="00795F17" w:rsidRDefault="00F75E88" w:rsidP="0044393D">
      <w:r w:rsidRPr="00795F17">
        <w:t xml:space="preserve">Informacja o występowaniu budowli regulacyjnych i urządzeń wodnych w obrębie danej </w:t>
      </w:r>
      <w:r w:rsidR="00DF005E">
        <w:t>JCWP</w:t>
      </w:r>
      <w:r w:rsidRPr="00795F17">
        <w:t xml:space="preserve"> wraz z</w:t>
      </w:r>
      <w:r w:rsidR="00AB6AD9" w:rsidRPr="00795F17">
        <w:t> </w:t>
      </w:r>
      <w:r w:rsidRPr="00795F17">
        <w:t>określeniem rodzaju budowli uwzględniona jest w załączniku nr 1 (Zestawienie główne).</w:t>
      </w:r>
    </w:p>
    <w:bookmarkEnd w:id="982"/>
    <w:bookmarkEnd w:id="985"/>
    <w:p w14:paraId="08DDCB25" w14:textId="5C0B6E03" w:rsidR="00700568" w:rsidRPr="00795F17" w:rsidRDefault="00F75E88" w:rsidP="00BA6B41">
      <w:pPr>
        <w:pStyle w:val="Nagwek1"/>
      </w:pPr>
      <w:r w:rsidRPr="00795F17">
        <w:br w:type="column"/>
      </w:r>
      <w:bookmarkStart w:id="990" w:name="_Toc66272298"/>
      <w:bookmarkStart w:id="991" w:name="_Toc105512735"/>
      <w:r w:rsidR="00700568" w:rsidRPr="00795F17">
        <w:t>Wykaz szczegółowych programów i planów gospodarowania dla</w:t>
      </w:r>
      <w:r w:rsidR="008A739A" w:rsidRPr="00795F17">
        <w:t> </w:t>
      </w:r>
      <w:r w:rsidR="00700568" w:rsidRPr="00795F17">
        <w:t>obszaru dorzecza</w:t>
      </w:r>
      <w:bookmarkEnd w:id="990"/>
      <w:bookmarkEnd w:id="991"/>
    </w:p>
    <w:p w14:paraId="79417034" w14:textId="77777777" w:rsidR="009D5AB2" w:rsidRPr="00795F17" w:rsidRDefault="009D5AB2" w:rsidP="0044393D">
      <w:r w:rsidRPr="00795F17">
        <w:t>W celu sporządzenia wykazu programów i planów gospodarowania dla obszaru dorzecza Odry dokonano przeglądu dokumentów (w tym również projektów i aktualizacji) na wszystkich poziomach systemu zarządzania polityką rozwoju (krajowym, regionalnym oraz lokalnym)</w:t>
      </w:r>
      <w:r w:rsidRPr="00795F17">
        <w:rPr>
          <w:rStyle w:val="Odwoanieprzypisudolnego"/>
          <w:rFonts w:asciiTheme="minorHAnsi" w:hAnsiTheme="minorHAnsi" w:cstheme="minorHAnsi"/>
        </w:rPr>
        <w:footnoteReference w:id="115"/>
      </w:r>
      <w:r w:rsidRPr="00795F17">
        <w:t xml:space="preserve">. </w:t>
      </w:r>
    </w:p>
    <w:p w14:paraId="5E7A7493" w14:textId="77777777" w:rsidR="009D5AB2" w:rsidRPr="00795F17" w:rsidRDefault="009D5AB2" w:rsidP="0044393D">
      <w:r w:rsidRPr="00795F17">
        <w:t>Identyfikacja dokumentów powiązanych miała charakter wielopłaszczyznowy i została przeprowadzona z uwzględnieniem: aspektu przestrzennego (podziału na jednostki planistyczne); sektorów gospodarki; problemów (np. susza, powódź, transport wodny itp.); typów wód (podział na wody powierzchniowe: rzeki, zbiorniki, jeziora, wody przejściowe, wody przybrzeżne, wody morskie; oraz wody podziemne).</w:t>
      </w:r>
    </w:p>
    <w:p w14:paraId="1AD704A5" w14:textId="1BF9CA53" w:rsidR="009D5AB2" w:rsidRPr="00795F17" w:rsidRDefault="009D5AB2" w:rsidP="0044393D">
      <w:r w:rsidRPr="00795F17">
        <w:t xml:space="preserve">Układ dokumentów odzwierciedla nowo przyjęty porządek w zakresie prowadzenia polityki rozwoju wprowadzony uchwałą nr 162/2018 Rady Ministrów z dnia 29 października 2018 r. w sprawie przyjęcia „Systemu zarządzania rozwojem Polski” i usankcjonowany ustawą z dnia 15 lipca 2020 r. o zmianie ustawy o zasadach prowadzenia polityki rozwoju oraz niektórych innych ustaw (Dz.U. </w:t>
      </w:r>
      <w:r w:rsidR="00F80574">
        <w:t xml:space="preserve">z </w:t>
      </w:r>
      <w:r w:rsidRPr="00795F17">
        <w:t>2020</w:t>
      </w:r>
      <w:r w:rsidR="00F80574">
        <w:t xml:space="preserve"> r.</w:t>
      </w:r>
      <w:r w:rsidRPr="00795F17">
        <w:t xml:space="preserve"> poz. 1378)</w:t>
      </w:r>
      <w:r w:rsidRPr="00795F17">
        <w:rPr>
          <w:rStyle w:val="Odwoanieprzypisudolnego"/>
          <w:rFonts w:asciiTheme="minorHAnsi" w:hAnsiTheme="minorHAnsi" w:cstheme="minorHAnsi"/>
        </w:rPr>
        <w:footnoteReference w:id="116"/>
      </w:r>
      <w:r w:rsidR="00F80574">
        <w:t>.</w:t>
      </w:r>
    </w:p>
    <w:p w14:paraId="45D9EE3B" w14:textId="48130821" w:rsidR="009D5AB2" w:rsidRPr="00795F17" w:rsidRDefault="009D5AB2" w:rsidP="0044393D">
      <w:r w:rsidRPr="00795F17">
        <w:t xml:space="preserve">Zaprezentowana poniżej lista dokumentów różnicuje je na dokumenty o charakterze strategicznym (planistycznym), wyznaczające obszary i kierunki działań, pełniące podstawową rolę programującą </w:t>
      </w:r>
      <w:r w:rsidR="00F80574">
        <w:t>–</w:t>
      </w:r>
      <w:r w:rsidRPr="00795F17">
        <w:t xml:space="preserve"> tj. identyfikującą wyzwania, określającą cele rozwoju i obszary priorytetowe oraz wskazującą na oczekiwane rezultaty; oraz na dokumenty i instrumenty o charakterze operacyjno-wdrożeniowym, ustanawiane w celu realizacji strategii rozwoju, określające niezbędne zadania, w tym inwestycyjne. </w:t>
      </w:r>
    </w:p>
    <w:p w14:paraId="5495216D" w14:textId="233E2072" w:rsidR="009D5AB2" w:rsidRPr="00795F17" w:rsidRDefault="009D5AB2" w:rsidP="0044393D">
      <w:r w:rsidRPr="00795F17">
        <w:t>Poniższy schemat</w:t>
      </w:r>
      <w:r w:rsidR="00700535" w:rsidRPr="00795F17">
        <w:t xml:space="preserve"> (rysunek 19-1)</w:t>
      </w:r>
      <w:r w:rsidRPr="00795F17">
        <w:t xml:space="preserve"> prezentuje charakter relacji pomiędzy ww. dokumentami a</w:t>
      </w:r>
      <w:r w:rsidR="00347477" w:rsidRPr="00795F17">
        <w:t> </w:t>
      </w:r>
      <w:r w:rsidRPr="00795F17">
        <w:t xml:space="preserve">dokumentem IIaPGW. Można wyróżnić dwie grupy dokumentów: dokumenty powiązane mające wpływ na ustalenia IIaPGW oraz dokumenty, których zakres i zawartość determinowały będą zapisy m.in. IIaPGW. </w:t>
      </w:r>
    </w:p>
    <w:p w14:paraId="12B7B680" w14:textId="33B51A20" w:rsidR="009D5AB2" w:rsidRPr="00795F17" w:rsidRDefault="009D5AB2" w:rsidP="0044393D">
      <w:r w:rsidRPr="00795F17">
        <w:t>W pierwszej grupie znajdują się zarówno dokumenty o charakterze strategicznym i o ogólnokrajowym zasięgu, jak również dokumenty i instrumenty wdrożeniowe, wśród których wyodrębnić należy grupę dokumentów komplementarnych względem IIaPGW, stanowiących pakiet dokumentów planistycznych kształtujących gospodarkę wodną w kraju. Drugą grupę dokumentów tworzą regionalne oraz lokalne strategie rozwoju oraz akty planowania przestrzennego, które przez wzgląd na zasadę synergii i komplementarności, uwzględniają zapisy dokumentów strategicznych oraz</w:t>
      </w:r>
      <w:r w:rsidR="00DC2B4A">
        <w:t> </w:t>
      </w:r>
      <w:r w:rsidRPr="00795F17">
        <w:t>operacyjno-wdrożeniowych obowiązujących na wyższych szczeblach.</w:t>
      </w:r>
    </w:p>
    <w:p w14:paraId="5FC74FE7" w14:textId="77777777" w:rsidR="00353C63" w:rsidRDefault="00353C63" w:rsidP="0044393D"/>
    <w:p w14:paraId="78304430" w14:textId="75AF43C2" w:rsidR="000E51C7" w:rsidRPr="00795F17" w:rsidRDefault="000E51C7" w:rsidP="0044393D">
      <w:pPr>
        <w:sectPr w:rsidR="000E51C7" w:rsidRPr="00795F17">
          <w:headerReference w:type="even" r:id="rId155"/>
          <w:headerReference w:type="default" r:id="rId156"/>
          <w:headerReference w:type="first" r:id="rId157"/>
          <w:pgSz w:w="11906" w:h="16838"/>
          <w:pgMar w:top="1440" w:right="1440" w:bottom="1440" w:left="1440" w:header="708" w:footer="708" w:gutter="0"/>
          <w:cols w:space="708"/>
          <w:docGrid w:linePitch="360"/>
        </w:sectPr>
      </w:pPr>
    </w:p>
    <w:p w14:paraId="5BA0F281" w14:textId="77777777" w:rsidR="000C35A2" w:rsidRPr="00795F17" w:rsidRDefault="009D5AB2" w:rsidP="005842B5">
      <w:pPr>
        <w:jc w:val="center"/>
      </w:pPr>
      <w:r w:rsidRPr="00795F17">
        <w:rPr>
          <w:noProof/>
          <w:lang w:eastAsia="pl-PL"/>
        </w:rPr>
        <w:drawing>
          <wp:inline distT="0" distB="0" distL="0" distR="0" wp14:anchorId="19063FFB" wp14:editId="25ACDAD0">
            <wp:extent cx="7361112" cy="4464000"/>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pic:nvPicPr>
                  <pic:blipFill>
                    <a:blip r:embed="rId158">
                      <a:extLst>
                        <a:ext uri="{28A0092B-C50C-407E-A947-70E740481C1C}">
                          <a14:useLocalDpi xmlns:a14="http://schemas.microsoft.com/office/drawing/2010/main" val="0"/>
                        </a:ext>
                      </a:extLst>
                    </a:blip>
                    <a:stretch>
                      <a:fillRect/>
                    </a:stretch>
                  </pic:blipFill>
                  <pic:spPr>
                    <a:xfrm>
                      <a:off x="0" y="0"/>
                      <a:ext cx="7361112" cy="4464000"/>
                    </a:xfrm>
                    <a:prstGeom prst="rect">
                      <a:avLst/>
                    </a:prstGeom>
                  </pic:spPr>
                </pic:pic>
              </a:graphicData>
            </a:graphic>
          </wp:inline>
        </w:drawing>
      </w:r>
    </w:p>
    <w:p w14:paraId="2937403A" w14:textId="30E33AB6" w:rsidR="009D5AB2" w:rsidRPr="00795F17" w:rsidRDefault="009D5AB2" w:rsidP="004D7705">
      <w:pPr>
        <w:pStyle w:val="Rysunek"/>
        <w:rPr>
          <w:i/>
        </w:rPr>
      </w:pPr>
      <w:bookmarkStart w:id="992" w:name="_Toc54305102"/>
      <w:bookmarkStart w:id="993" w:name="_Toc66273034"/>
      <w:bookmarkStart w:id="994" w:name="_Toc105512936"/>
      <w:r w:rsidRPr="00795F17">
        <w:t xml:space="preserve">Rysunek </w:t>
      </w:r>
      <w:r>
        <w:fldChar w:fldCharType="begin"/>
      </w:r>
      <w:r>
        <w:instrText>STYLEREF 1 \s</w:instrText>
      </w:r>
      <w:r>
        <w:fldChar w:fldCharType="separate"/>
      </w:r>
      <w:r w:rsidR="001F774D">
        <w:rPr>
          <w:noProof/>
        </w:rPr>
        <w:t>19</w:t>
      </w:r>
      <w:r>
        <w:fldChar w:fldCharType="end"/>
      </w:r>
      <w:r w:rsidR="00881BAC">
        <w:noBreakHyphen/>
      </w:r>
      <w:fldSimple w:instr=" SEQ Rysunek \* ARABIC \s 1 ">
        <w:r w:rsidR="001F774D">
          <w:rPr>
            <w:noProof/>
          </w:rPr>
          <w:t>1</w:t>
        </w:r>
      </w:fldSimple>
      <w:r w:rsidR="00977CAC">
        <w:rPr>
          <w:noProof/>
        </w:rPr>
        <w:t>.</w:t>
      </w:r>
      <w:r w:rsidRPr="00795F17">
        <w:tab/>
        <w:t>Schemat</w:t>
      </w:r>
      <w:bookmarkEnd w:id="992"/>
      <w:r w:rsidR="000C35A2" w:rsidRPr="00795F17">
        <w:t xml:space="preserve"> </w:t>
      </w:r>
      <w:r w:rsidRPr="00795F17">
        <w:t>- relacje pomiędzy wybranymi dokumentami systemu zarządzania polityką rozwoju a dokumentem IIaPGW</w:t>
      </w:r>
      <w:bookmarkEnd w:id="993"/>
      <w:bookmarkEnd w:id="994"/>
    </w:p>
    <w:p w14:paraId="47A7CA03" w14:textId="48A9A4B0" w:rsidR="009D5AB2" w:rsidRPr="00795F17" w:rsidRDefault="009D5AB2" w:rsidP="0044393D">
      <w:pPr>
        <w:pStyle w:val="rdo"/>
        <w:rPr>
          <w:lang w:eastAsia="zh-CN"/>
        </w:rPr>
        <w:sectPr w:rsidR="009D5AB2" w:rsidRPr="00795F17" w:rsidSect="00290790">
          <w:pgSz w:w="16838" w:h="11906" w:orient="landscape"/>
          <w:pgMar w:top="1440" w:right="1440" w:bottom="1440" w:left="1440" w:header="708" w:footer="708" w:gutter="0"/>
          <w:cols w:space="708"/>
          <w:docGrid w:linePitch="360"/>
        </w:sectPr>
      </w:pPr>
      <w:r w:rsidRPr="00795F17">
        <w:rPr>
          <w:lang w:eastAsia="zh-CN"/>
        </w:rPr>
        <w:t xml:space="preserve">Źródło: </w:t>
      </w:r>
      <w:r w:rsidR="00FD7248" w:rsidRPr="00795F17">
        <w:rPr>
          <w:lang w:eastAsia="zh-CN"/>
        </w:rPr>
        <w:t>opracowanie własne</w:t>
      </w:r>
    </w:p>
    <w:p w14:paraId="0AFD9FDF" w14:textId="18D0F42E" w:rsidR="009D5AB2" w:rsidRPr="00795F17" w:rsidRDefault="009D5AB2" w:rsidP="0044393D">
      <w:r w:rsidRPr="00795F17">
        <w:t xml:space="preserve">Zaprezentowaną na powyższym schemacie kategoryzację dokumentów powiązanych z IIaPGW odzwierciedla układ kolejnych podrozdziałów, zawierających syntetyczne ich opisy. </w:t>
      </w:r>
    </w:p>
    <w:p w14:paraId="3EEAEC21" w14:textId="09F289FC" w:rsidR="009D5AB2" w:rsidRPr="00795F17" w:rsidRDefault="009D5AB2" w:rsidP="00C53C86">
      <w:pPr>
        <w:pStyle w:val="Nagwek2"/>
      </w:pPr>
      <w:bookmarkStart w:id="995" w:name="_Toc66272299"/>
      <w:bookmarkStart w:id="996" w:name="_Toc105512736"/>
      <w:r w:rsidRPr="00795F17">
        <w:t xml:space="preserve">Dokumenty powiązane </w:t>
      </w:r>
      <w:bookmarkStart w:id="997" w:name="_Hlk60089403"/>
      <w:r w:rsidRPr="00795F17">
        <w:t>mające wpływ na ustalenia IIaPGW</w:t>
      </w:r>
      <w:bookmarkEnd w:id="995"/>
      <w:bookmarkEnd w:id="996"/>
      <w:bookmarkEnd w:id="997"/>
    </w:p>
    <w:p w14:paraId="557177B7" w14:textId="77777777" w:rsidR="009D5AB2" w:rsidRPr="00795F17" w:rsidRDefault="009D5AB2" w:rsidP="00C53C86">
      <w:pPr>
        <w:pStyle w:val="Nagwek3"/>
      </w:pPr>
      <w:bookmarkStart w:id="998" w:name="_Toc105512737"/>
      <w:bookmarkStart w:id="999" w:name="_Hlk66983456"/>
      <w:r w:rsidRPr="00795F17">
        <w:t>Dokumenty o charakterze strategicznym</w:t>
      </w:r>
      <w:bookmarkEnd w:id="998"/>
    </w:p>
    <w:tbl>
      <w:tblPr>
        <w:tblStyle w:val="Tabela-Siatka"/>
        <w:tblW w:w="5000" w:type="pct"/>
        <w:tblLook w:val="04A0" w:firstRow="1" w:lastRow="0" w:firstColumn="1" w:lastColumn="0" w:noHBand="0" w:noVBand="1"/>
      </w:tblPr>
      <w:tblGrid>
        <w:gridCol w:w="9062"/>
      </w:tblGrid>
      <w:tr w:rsidR="009D5AB2" w:rsidRPr="00795F17" w14:paraId="5227274C" w14:textId="77777777" w:rsidTr="00290790">
        <w:trPr>
          <w:cnfStyle w:val="100000000000" w:firstRow="1" w:lastRow="0" w:firstColumn="0" w:lastColumn="0" w:oddVBand="0" w:evenVBand="0" w:oddHBand="0" w:evenHBand="0" w:firstRowFirstColumn="0" w:firstRowLastColumn="0" w:lastRowFirstColumn="0" w:lastRowLastColumn="0"/>
        </w:trPr>
        <w:tc>
          <w:tcPr>
            <w:tcW w:w="5000" w:type="pct"/>
            <w:shd w:val="clear" w:color="auto" w:fill="003399"/>
          </w:tcPr>
          <w:bookmarkEnd w:id="999"/>
          <w:p w14:paraId="7D0A9D7D" w14:textId="45B80242" w:rsidR="009D5AB2" w:rsidRPr="00795F17" w:rsidRDefault="009D5AB2" w:rsidP="00F67742">
            <w:pPr>
              <w:ind w:left="5131"/>
              <w:jc w:val="right"/>
              <w:rPr>
                <w:b w:val="0"/>
                <w:i/>
              </w:rPr>
            </w:pPr>
            <w:r w:rsidRPr="00795F17">
              <w:t xml:space="preserve">Poziom krajowy </w:t>
            </w:r>
            <w:r w:rsidR="003C019C">
              <w:t>–</w:t>
            </w:r>
            <w:r w:rsidRPr="00795F17">
              <w:t xml:space="preserve"> dokumenty, których zapisy znajdują odzwierciedlenie w</w:t>
            </w:r>
            <w:r w:rsidR="008A739A" w:rsidRPr="00795F17">
              <w:t> </w:t>
            </w:r>
            <w:r w:rsidRPr="00795F17">
              <w:t>krajowych dokumentach strategicznych w dziedzinie rozwoju Polski</w:t>
            </w:r>
          </w:p>
          <w:p w14:paraId="1B48C7D6" w14:textId="5E9A6DBB" w:rsidR="009D5AB2" w:rsidRPr="00795F17" w:rsidRDefault="009D5AB2" w:rsidP="00F67742">
            <w:pPr>
              <w:jc w:val="left"/>
              <w:rPr>
                <w:i/>
                <w:iCs/>
              </w:rPr>
            </w:pPr>
            <w:bookmarkStart w:id="1000" w:name="_Hlk60761815"/>
            <w:r w:rsidRPr="00795F17">
              <w:t xml:space="preserve">Strategia Bezpieczeństwa Narodowego </w:t>
            </w:r>
            <w:r w:rsidR="00F67742">
              <w:br/>
            </w:r>
            <w:r w:rsidRPr="00795F17">
              <w:t>Rzeczypospolitej Polskiej</w:t>
            </w:r>
            <w:bookmarkEnd w:id="1000"/>
          </w:p>
        </w:tc>
      </w:tr>
    </w:tbl>
    <w:p w14:paraId="431B5E2F" w14:textId="3F3B8680" w:rsidR="009D5AB2" w:rsidRPr="00795F17" w:rsidRDefault="009D5AB2" w:rsidP="0044393D">
      <w:pPr>
        <w:rPr>
          <w:b/>
          <w:bCs/>
        </w:rPr>
      </w:pPr>
      <w:r w:rsidRPr="00795F17">
        <w:rPr>
          <w:b/>
          <w:bCs/>
        </w:rPr>
        <w:t xml:space="preserve">Cele i oczekiwane rezultaty wdrożenia dokumentu: </w:t>
      </w:r>
      <w:r w:rsidR="003C019C">
        <w:t>z</w:t>
      </w:r>
      <w:r w:rsidRPr="00795F17">
        <w:t>apewnienie zdolności państwa do przeciwdziałania zagrożeniom (w tym dla obszaru ochrony środowiska) i sprostania wyzwaniom spowodowanym zmieniającymi się uwarunkowaniami bezpieczeństwa Polski.</w:t>
      </w:r>
    </w:p>
    <w:p w14:paraId="0BF9072C" w14:textId="69A3C53F" w:rsidR="009D5AB2" w:rsidRPr="00795F17" w:rsidRDefault="009D5AB2" w:rsidP="0044393D">
      <w:pPr>
        <w:rPr>
          <w:b/>
          <w:bCs/>
        </w:rPr>
      </w:pPr>
      <w:r w:rsidRPr="00795F17">
        <w:rPr>
          <w:b/>
          <w:bCs/>
        </w:rPr>
        <w:t xml:space="preserve">Obszar problemowy: </w:t>
      </w:r>
      <w:r w:rsidR="003C019C">
        <w:t>d</w:t>
      </w:r>
      <w:r w:rsidRPr="00795F17">
        <w:t>okument prezentuje wizję kształtowania bezpieczeństwa narodowego kraju we wszystkich wymiarach, w tym środowiskowym. Interesy narodowe w dziedzinie bezpieczeństwa narodowego obejmują m.in. ochronę środowiska naturalnego, co jest wskazywane jako jeden z czterech filarów bezpieczeństwa narodowego Rzeczypospolitej Polskiej. Wśród zagrożeń dla bezpieczeństwa w dziedzinie ochrony środowiska naturalnego wymienia się m.in. postępujące zmiany klimatu, które mogą się przyczyniać do groźnych i wcześniej niewystępujących na obszarze kraju anomalii pogodowych (np. długotrwałych susz), a także zanieczyszczeń oraz emisji szkodliwych substancji. Przekłada się to na pogorszenie funkcjonowania gospodarki wodnej, co może negatywnie oddziaływać na bezpieczeństwo żywnościowe kraju i dostępność zasobów wodnych dobrej jakości.</w:t>
      </w:r>
    </w:p>
    <w:p w14:paraId="6B94CB25" w14:textId="5A5B02B1" w:rsidR="009D5AB2" w:rsidRPr="00795F17" w:rsidRDefault="009D5AB2" w:rsidP="0044393D">
      <w:r w:rsidRPr="00795F17">
        <w:rPr>
          <w:b/>
          <w:bCs/>
        </w:rPr>
        <w:t xml:space="preserve">Sposób osiągnięcia zakładanych celów i/lub rozwiązania zidentyfikowanych problemów: </w:t>
      </w:r>
      <w:r w:rsidR="003C019C">
        <w:t>d</w:t>
      </w:r>
      <w:r w:rsidRPr="00795F17">
        <w:t>okument wśród działań ukierunkowanych na zapewnienie bezpieczeństwa narodowego wskazuje m.in. stworzenie spójnej polityki ochrony, odbudowy i zagospodarowania zasobów wodnych z uwzględnieniem bezpieczeństwa żywnościowego kraju. Dokument wyznacza również kierunki działań w zakresie rozwoju transportu wodnego. W celu rozwinięcia współpracy w formule bilateralnej, regionalnej oraz w wymiarze globalnym przewiduje m.in. realizację programu rozwoju śródlądowych dróg wodnych o szczególnym znaczeniu transportowym, w tym służącym m.in. poprawie dostępu do portów morskich oraz włączenie ich do sieci TEN-T. W obszarze zwiększenia odporności państwa na zagrożenia przewiduje z kolei realizowanie polityki dotyczącej planowania i zagospodarowania przestrzennego kraju, w tym na obszarach morskich Rzeczypospolitej Polskiej, w ramach inwestycji celu publicznego, z uwzględnieniem wymogów bezpieczeństwa i obronności państwa oraz</w:t>
      </w:r>
      <w:r w:rsidR="00DC2B4A">
        <w:t> </w:t>
      </w:r>
      <w:r w:rsidRPr="00795F17">
        <w:t>wynikających z tego potrzeb w zakresie ich finansowania.</w:t>
      </w:r>
    </w:p>
    <w:tbl>
      <w:tblPr>
        <w:tblStyle w:val="Tabela-Siatka"/>
        <w:tblW w:w="5000" w:type="pct"/>
        <w:tblLook w:val="04A0" w:firstRow="1" w:lastRow="0" w:firstColumn="1" w:lastColumn="0" w:noHBand="0" w:noVBand="1"/>
      </w:tblPr>
      <w:tblGrid>
        <w:gridCol w:w="9062"/>
      </w:tblGrid>
      <w:tr w:rsidR="009D5AB2" w:rsidRPr="00795F17" w14:paraId="10E32D29" w14:textId="77777777" w:rsidTr="00290790">
        <w:trPr>
          <w:cnfStyle w:val="100000000000" w:firstRow="1" w:lastRow="0" w:firstColumn="0" w:lastColumn="0" w:oddVBand="0" w:evenVBand="0" w:oddHBand="0" w:evenHBand="0" w:firstRowFirstColumn="0" w:firstRowLastColumn="0" w:lastRowFirstColumn="0" w:lastRowLastColumn="0"/>
        </w:trPr>
        <w:tc>
          <w:tcPr>
            <w:tcW w:w="5000" w:type="pct"/>
            <w:shd w:val="clear" w:color="auto" w:fill="003399"/>
          </w:tcPr>
          <w:p w14:paraId="46423211" w14:textId="72568B4C" w:rsidR="009D5AB2" w:rsidRPr="00795F17" w:rsidRDefault="009D5AB2" w:rsidP="0082736D">
            <w:pPr>
              <w:ind w:left="5131"/>
              <w:jc w:val="right"/>
              <w:rPr>
                <w:b w:val="0"/>
              </w:rPr>
            </w:pPr>
            <w:r w:rsidRPr="00795F17">
              <w:t xml:space="preserve">Poziom krajowy </w:t>
            </w:r>
            <w:r w:rsidR="003C019C">
              <w:t>–</w:t>
            </w:r>
            <w:r w:rsidRPr="00795F17">
              <w:t xml:space="preserve"> dokumenty, których zapisy znajdują odzwierciedlenie w</w:t>
            </w:r>
            <w:r w:rsidR="008A739A" w:rsidRPr="00795F17">
              <w:t> </w:t>
            </w:r>
            <w:r w:rsidRPr="00795F17">
              <w:t>krajowych dokumentach strategicznych w dziedzinie rozwoju Polski</w:t>
            </w:r>
          </w:p>
          <w:p w14:paraId="7487981B" w14:textId="14400AFA" w:rsidR="009D5AB2" w:rsidRPr="00795F17" w:rsidRDefault="009D5AB2" w:rsidP="0044393D">
            <w:bookmarkStart w:id="1001" w:name="_Hlk60761834"/>
            <w:r w:rsidRPr="00795F17">
              <w:rPr>
                <w:bCs/>
              </w:rPr>
              <w:t>Krajowy Plan Zarządzania Kryzysowego (KPZK). Część A</w:t>
            </w:r>
            <w:bookmarkEnd w:id="1001"/>
            <w:r w:rsidR="0052619E" w:rsidRPr="00795F17">
              <w:rPr>
                <w:bCs/>
              </w:rPr>
              <w:tab/>
            </w:r>
            <w:r w:rsidRPr="00795F17">
              <w:rPr>
                <w:bCs/>
              </w:rPr>
              <w:br/>
            </w:r>
            <w:r w:rsidRPr="0082736D">
              <w:t>Aktualizacja Krajowego Planu Zarządzania Kryzysowego, 2020</w:t>
            </w:r>
          </w:p>
        </w:tc>
      </w:tr>
    </w:tbl>
    <w:p w14:paraId="7648405A" w14:textId="77777777" w:rsidR="009D5AB2" w:rsidRPr="00795F17" w:rsidRDefault="009D5AB2" w:rsidP="0044393D">
      <w:pPr>
        <w:rPr>
          <w:b/>
          <w:bCs/>
        </w:rPr>
      </w:pPr>
      <w:r w:rsidRPr="00795F17">
        <w:rPr>
          <w:b/>
          <w:bCs/>
        </w:rPr>
        <w:t xml:space="preserve">Cele i oczekiwane rezultaty wdrożenia dokumentu: </w:t>
      </w:r>
      <w:r w:rsidRPr="00795F17">
        <w:t>KPZK to narzędzie planistyczne wspomagające ogólnokrajowy system zarządzania kryzysowego m.in. w obszarze gospodarki wodnej oraz morskiej. Głównym celem jest wzmocnienie systemu zarządzania kryzysowego, prowadzące m.in. do poprawy ochrony przeciwpowodziowej oraz minimalizacji skutków suszy, a także służące przeciwdziałaniu innym zagrożeniom mającym wpływ na zasoby wodne w Polsce.</w:t>
      </w:r>
    </w:p>
    <w:p w14:paraId="4CD9C151" w14:textId="7D2AD206" w:rsidR="009D5AB2" w:rsidRPr="00795F17" w:rsidRDefault="009D5AB2" w:rsidP="0044393D">
      <w:pPr>
        <w:rPr>
          <w:b/>
          <w:bCs/>
        </w:rPr>
      </w:pPr>
      <w:r w:rsidRPr="00795F17">
        <w:rPr>
          <w:b/>
          <w:bCs/>
        </w:rPr>
        <w:t xml:space="preserve">Obszar problemowy: </w:t>
      </w:r>
      <w:r w:rsidRPr="00795F17">
        <w:t>KPZK koncentruje się na działaniach realizowanych na rzecz minimalizacji ryzyka wystąpienia sytuacji kryzysowych, takich jak np.: susza/upał, powódź, skażenie chemiczne na morzu, katastrofa morska, intensywne opady śniegu itp., oraz niwelowania ich skutków. Część A obejmuje działania realizowane przez organy administracji publicznej w fazach zarządzania kryzysowego, takich jak zapobieganie i przygotowanie. Dokument zawiera krótki opis potencjalnych zagrożeń oraz ocenę ryzyka ich wystąpienia.</w:t>
      </w:r>
    </w:p>
    <w:p w14:paraId="58DA2DBF" w14:textId="6EC83447" w:rsidR="009D5AB2" w:rsidRPr="00795F17" w:rsidRDefault="009D5AB2" w:rsidP="0044393D">
      <w:r w:rsidRPr="00795F17">
        <w:rPr>
          <w:b/>
          <w:bCs/>
        </w:rPr>
        <w:t xml:space="preserve">Sposób osiągnięcia zakładanych celów i/lub rozwiązania zidentyfikowanych problemów: </w:t>
      </w:r>
      <w:r w:rsidR="009C103E">
        <w:t>w</w:t>
      </w:r>
      <w:r w:rsidRPr="00795F17">
        <w:t>śród działań wskazanych w KPZK, ukierunkowanych na zapobieganie określonym w nim sytuacjom kryzysowym, minimalizowanie ich oraz przygotowanie do nich, pojawia się m.in.: (1) uzgadnianie planów przeciwdziałania skutkom suszy na obszarach dorzeczy oraz (2) opracowanie planów zarządzania ryzykiem powodziowym dla obszarów dorzeczy.</w:t>
      </w:r>
    </w:p>
    <w:tbl>
      <w:tblPr>
        <w:tblStyle w:val="Tabela-Siatka"/>
        <w:tblW w:w="5000" w:type="pct"/>
        <w:tblLook w:val="04A0" w:firstRow="1" w:lastRow="0" w:firstColumn="1" w:lastColumn="0" w:noHBand="0" w:noVBand="1"/>
      </w:tblPr>
      <w:tblGrid>
        <w:gridCol w:w="9062"/>
      </w:tblGrid>
      <w:tr w:rsidR="009D5AB2" w:rsidRPr="00795F17" w14:paraId="268253A6" w14:textId="77777777" w:rsidTr="00290790">
        <w:trPr>
          <w:cnfStyle w:val="100000000000" w:firstRow="1" w:lastRow="0" w:firstColumn="0" w:lastColumn="0" w:oddVBand="0" w:evenVBand="0" w:oddHBand="0" w:evenHBand="0" w:firstRowFirstColumn="0" w:firstRowLastColumn="0" w:lastRowFirstColumn="0" w:lastRowLastColumn="0"/>
        </w:trPr>
        <w:tc>
          <w:tcPr>
            <w:tcW w:w="5000" w:type="pct"/>
            <w:shd w:val="clear" w:color="auto" w:fill="003399"/>
          </w:tcPr>
          <w:p w14:paraId="4519D2C0" w14:textId="06294615" w:rsidR="009D5AB2" w:rsidRPr="00795F17" w:rsidRDefault="009D5AB2" w:rsidP="00F67742">
            <w:pPr>
              <w:ind w:left="5131"/>
              <w:jc w:val="right"/>
              <w:rPr>
                <w:b w:val="0"/>
              </w:rPr>
            </w:pPr>
            <w:r w:rsidRPr="00795F17">
              <w:t xml:space="preserve">Poziom krajowy </w:t>
            </w:r>
            <w:r w:rsidR="009C103E">
              <w:t>–</w:t>
            </w:r>
            <w:r w:rsidRPr="00795F17">
              <w:t xml:space="preserve"> dokumenty, których zapisy znajdują odzwierciedlenie w</w:t>
            </w:r>
            <w:r w:rsidR="0040277E">
              <w:t> </w:t>
            </w:r>
            <w:r w:rsidRPr="00795F17">
              <w:t>krajowych dokumentach strategicznych w dziedzinie rozwoju Polski</w:t>
            </w:r>
          </w:p>
          <w:p w14:paraId="0AB6EBD7" w14:textId="787251D1" w:rsidR="009D5AB2" w:rsidRPr="00795F17" w:rsidRDefault="009D5AB2" w:rsidP="0082736D">
            <w:pPr>
              <w:jc w:val="left"/>
              <w:rPr>
                <w:i/>
                <w:iCs/>
              </w:rPr>
            </w:pPr>
            <w:bookmarkStart w:id="1002" w:name="_Hlk60761846"/>
            <w:r w:rsidRPr="00795F17">
              <w:t>Narodowy Program Zdrowia na lata 2021</w:t>
            </w:r>
            <w:r w:rsidR="009C103E">
              <w:t>–</w:t>
            </w:r>
            <w:r w:rsidRPr="00795F17">
              <w:t>2025</w:t>
            </w:r>
            <w:bookmarkEnd w:id="1002"/>
          </w:p>
        </w:tc>
      </w:tr>
    </w:tbl>
    <w:p w14:paraId="70CFD826" w14:textId="54B9B5FC" w:rsidR="009D5AB2" w:rsidRPr="00795F17" w:rsidRDefault="009D5AB2" w:rsidP="0044393D">
      <w:pPr>
        <w:rPr>
          <w:b/>
          <w:bCs/>
        </w:rPr>
      </w:pPr>
      <w:r w:rsidRPr="00795F17">
        <w:rPr>
          <w:b/>
          <w:bCs/>
        </w:rPr>
        <w:t xml:space="preserve">Cele i oczekiwane rezultaty wdrożenia dokumentu: </w:t>
      </w:r>
      <w:r w:rsidR="009C103E">
        <w:t>w</w:t>
      </w:r>
      <w:r w:rsidRPr="00795F17">
        <w:t xml:space="preserve">ydłużenie życia w zdrowiu, poprawa zdrowia i związanej z nim jakości życia ludności oraz zmniejszenie nierówności społecznych w zdrowiu. </w:t>
      </w:r>
    </w:p>
    <w:p w14:paraId="70A429A1" w14:textId="73877683" w:rsidR="009D5AB2" w:rsidRPr="00795F17" w:rsidRDefault="009D5AB2" w:rsidP="0044393D">
      <w:pPr>
        <w:rPr>
          <w:b/>
          <w:bCs/>
        </w:rPr>
      </w:pPr>
      <w:r w:rsidRPr="00795F17">
        <w:rPr>
          <w:b/>
          <w:bCs/>
        </w:rPr>
        <w:t xml:space="preserve">Obszar problemowy: </w:t>
      </w:r>
      <w:r w:rsidR="009C103E">
        <w:t>z</w:t>
      </w:r>
      <w:r w:rsidRPr="00795F17">
        <w:t>większanie świadomości oraz pogłębianie wiedzy w zakresie wpływu stanu środowiska na stan zdrowia i jakość życia, nadzór i kontrola wpływu.</w:t>
      </w:r>
    </w:p>
    <w:p w14:paraId="64DE0131" w14:textId="0B3AF067" w:rsidR="009D5AB2" w:rsidRPr="00795F17" w:rsidRDefault="009D5AB2" w:rsidP="0044393D">
      <w:r w:rsidRPr="00795F17">
        <w:rPr>
          <w:b/>
          <w:bCs/>
        </w:rPr>
        <w:t xml:space="preserve">Sposób osiągnięcia zakładanych celów i/lub rozwiązania zidentyfikowanych problemów: </w:t>
      </w:r>
      <w:r w:rsidR="009C103E">
        <w:t>p</w:t>
      </w:r>
      <w:r w:rsidRPr="00795F17">
        <w:t>rogram wyróżnia takie zadania jak m.in.: prowadzanie działalności informacyjno-edukacyjnych dotyczących uświadamiania ryzyka związanego z nadmiernym narażeniem na zanieczyszczenie wody oraz</w:t>
      </w:r>
      <w:r w:rsidR="005C0872">
        <w:t> </w:t>
      </w:r>
      <w:r w:rsidRPr="00795F17">
        <w:t>upowszechnianie wiedzy na temat źródeł emisji i powstawania zanieczyszczeń w środowisku, ich rozpraszania i migracji. Ponadto w dokumencie podkreśla się istotność działań związanych z prowadzeniem Państwowego Monitoringu Środowiska. W ramach programu jako zadania wspierające przewidziano realizację prac naukowych związanych z badaniem i oceną wpływu jakości środowiska na stan zdrowia, z uwzględnieniem komponentów środowiska i elementów presji z nim powiązanych, takich jak m.in.: odpady i ścieki odprowadzane do środowiska (w tym farmaceutyki i substancje endokrynopodobne), woda przeznaczona do spożycia oraz wykorzystywana do celów rekreacyjnych, klimat (w tym susze i zjawiska ekstremalne, choroby wektorowe, osuwiska ziemi, powodzie i podtopienia) i działania związane z adaptacją do jego zmian.</w:t>
      </w:r>
    </w:p>
    <w:tbl>
      <w:tblPr>
        <w:tblStyle w:val="Tabela-Siatka"/>
        <w:tblW w:w="0" w:type="auto"/>
        <w:tblLook w:val="04A0" w:firstRow="1" w:lastRow="0" w:firstColumn="1" w:lastColumn="0" w:noHBand="0" w:noVBand="1"/>
      </w:tblPr>
      <w:tblGrid>
        <w:gridCol w:w="9016"/>
      </w:tblGrid>
      <w:tr w:rsidR="009D5AB2" w:rsidRPr="00795F17" w14:paraId="6A1B0143"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4DEBC047" w14:textId="6F254CD2" w:rsidR="009D5AB2" w:rsidRPr="00795F17" w:rsidRDefault="009D5AB2" w:rsidP="0052619E">
            <w:pPr>
              <w:jc w:val="right"/>
              <w:rPr>
                <w:b w:val="0"/>
              </w:rPr>
            </w:pPr>
            <w:bookmarkStart w:id="1003" w:name="_Hlk66983507"/>
            <w:r w:rsidRPr="00795F17">
              <w:t xml:space="preserve">Poziom krajowy </w:t>
            </w:r>
            <w:r w:rsidR="009C103E">
              <w:t>–</w:t>
            </w:r>
            <w:r w:rsidRPr="00795F17">
              <w:t xml:space="preserve"> strategie rozwoju</w:t>
            </w:r>
          </w:p>
          <w:p w14:paraId="683C3DC8" w14:textId="657082D0" w:rsidR="009D5AB2" w:rsidRPr="00795F17" w:rsidRDefault="009D5AB2" w:rsidP="00F67742">
            <w:pPr>
              <w:jc w:val="left"/>
              <w:rPr>
                <w:i/>
                <w:iCs/>
              </w:rPr>
            </w:pPr>
            <w:bookmarkStart w:id="1004" w:name="_Hlk60761877"/>
            <w:r w:rsidRPr="00795F17">
              <w:t xml:space="preserve">Polityka ekologiczna państwa 2030 </w:t>
            </w:r>
            <w:r w:rsidR="00F67742">
              <w:br/>
            </w:r>
            <w:r w:rsidR="009C103E">
              <w:t>–</w:t>
            </w:r>
            <w:r w:rsidRPr="00795F17">
              <w:t xml:space="preserve"> strategia rozwoju w obszarze środowiska i gospodarki wodnej (PEP2030)</w:t>
            </w:r>
            <w:bookmarkEnd w:id="1004"/>
            <w:r w:rsidR="0052619E" w:rsidRPr="00795F17">
              <w:tab/>
            </w:r>
            <w:r w:rsidRPr="00795F17">
              <w:br/>
            </w:r>
            <w:r w:rsidRPr="0082736D">
              <w:t>Jedna z dziewięciu horyzontalnych zintegrowanych strategii rozwoju</w:t>
            </w:r>
            <w:bookmarkEnd w:id="1003"/>
          </w:p>
        </w:tc>
      </w:tr>
    </w:tbl>
    <w:p w14:paraId="290C5EDA" w14:textId="15E9329C" w:rsidR="009D5AB2" w:rsidRPr="00795F17" w:rsidRDefault="009D5AB2" w:rsidP="0044393D">
      <w:pPr>
        <w:rPr>
          <w:b/>
          <w:bCs/>
        </w:rPr>
      </w:pPr>
      <w:r w:rsidRPr="00795F17">
        <w:rPr>
          <w:b/>
          <w:bCs/>
        </w:rPr>
        <w:t xml:space="preserve">Cele i oczekiwane rezultaty wdrożenia dokumentu: </w:t>
      </w:r>
      <w:r w:rsidR="009C103E">
        <w:t>w</w:t>
      </w:r>
      <w:r w:rsidRPr="00795F17">
        <w:t xml:space="preserve">zmocnienie działań rządu dążących do budowy innowacyjnej gospodarki z zachowaniem zasad zrównoważonego rozwoju, które prowadzą do zapewnienia bezpieczeństwa ekologicznego kraju oraz poprawy jakości środowiska, w tym zasobów wodnych. </w:t>
      </w:r>
    </w:p>
    <w:p w14:paraId="5A9FA02B" w14:textId="56FF5838" w:rsidR="009D5AB2" w:rsidRPr="00795F17" w:rsidRDefault="009D5AB2" w:rsidP="0044393D">
      <w:r w:rsidRPr="00795F17">
        <w:rPr>
          <w:b/>
          <w:bCs/>
        </w:rPr>
        <w:t xml:space="preserve">Obszar problemowy: </w:t>
      </w:r>
      <w:r w:rsidR="009C103E">
        <w:t>p</w:t>
      </w:r>
      <w:r w:rsidRPr="00795F17">
        <w:t>olityka wśród najważniejszych obszarów problemowych w sektorze środowiska wskazuje m.in.: (1) przybierający na znaczeniu negatywny wpływ zanieczyszczonego środowiska na zdrowie ludzi</w:t>
      </w:r>
      <w:r w:rsidRPr="00795F17">
        <w:rPr>
          <w:rStyle w:val="Odwoanieprzypisudolnego"/>
          <w:rFonts w:asciiTheme="minorHAnsi" w:hAnsiTheme="minorHAnsi" w:cstheme="minorHAnsi"/>
        </w:rPr>
        <w:footnoteReference w:id="117"/>
      </w:r>
      <w:r w:rsidRPr="00795F17">
        <w:t>; (2) zwiększającą się konkurencję o zasoby; (3) rosnącą presję na</w:t>
      </w:r>
      <w:r w:rsidR="005C0872">
        <w:t> </w:t>
      </w:r>
      <w:r w:rsidRPr="00795F17">
        <w:t>ekosystemy; (4) nasilające się skutki zmian klimatu; (5) rosnącą ilość wytwarzanych odpadów, niewłaściwą gospodarkę nimi, przyczyniającą się do zmian klimatu, zanieczyszczenia powietrza, gleb i</w:t>
      </w:r>
      <w:r w:rsidR="005C0872">
        <w:t> </w:t>
      </w:r>
      <w:r w:rsidRPr="00795F17">
        <w:t>wody; oraz problem unieszkodliwiania odpadów zgodnie z przyjętą hierarchią sposobów postępowania z odpadami (zrównoważona gospodarka wodna została wydzielona w dokumencie jako osobny obszar polityki środowiskowej, w ramach którego przewidziano szereg działań oraz zadań).</w:t>
      </w:r>
    </w:p>
    <w:p w14:paraId="38D07CB2" w14:textId="19AAA866" w:rsidR="009D5AB2" w:rsidRPr="00795F17" w:rsidRDefault="009D5AB2" w:rsidP="0044393D">
      <w:bookmarkStart w:id="1005" w:name="_Hlk66983662"/>
      <w:r w:rsidRPr="00795F17">
        <w:rPr>
          <w:b/>
          <w:bCs/>
        </w:rPr>
        <w:t xml:space="preserve">Sposób osiągnięcia zakładanych celów i/lub rozwiązania zidentyfikowanych problemów: </w:t>
      </w:r>
      <w:r w:rsidR="009C103E">
        <w:t>p</w:t>
      </w:r>
      <w:r w:rsidRPr="00795F17">
        <w:t>olityka wyznacza kierunki interwencji, działania i zadania. W obszarze zasobów wodnych są to: (1) zrównoważone gospodarowanie wodami, w tym zapewnienie dostępu do czystej wody dla społeczeństwa i gospodarki oraz osiągnięcie dobrego stanu wód; (2) zarządzanie zasobami dziedzictwa przyrodniczego; (3) wspieranie wdrażania ekoinnowacji odgrywających ważną rolę w rozpowszechnianiu zrównoważonego korzystania z zasobów wodnych i zapewniania ich dobrej jakości; (4) wspieranie wielofunkcyjnej i trwale zrównoważonej gospodarki leśnej (w tym zwłaszcza wykorzystywanie potencjału lasów w zakresie łagodzenia zmian klimatu); (5) przeciwdziałanie zmianom klimatu, adaptacja do jego zmian i zarządzanie ryzykiem klęsk żywiołowych; (6) edukacja ekologiczna, m.in. w zakresie kształtowania wzorców zrównoważonej konsumpcji</w:t>
      </w:r>
      <w:r w:rsidRPr="00795F17">
        <w:rPr>
          <w:rFonts w:cstheme="minorHAnsi"/>
        </w:rPr>
        <w:t xml:space="preserve">; (7) </w:t>
      </w:r>
      <w:r w:rsidR="009C103E">
        <w:rPr>
          <w:rFonts w:cstheme="minorHAnsi"/>
        </w:rPr>
        <w:t>w</w:t>
      </w:r>
      <w:r w:rsidR="00AF5009" w:rsidRPr="00795F17">
        <w:rPr>
          <w:rFonts w:cstheme="minorHAnsi"/>
        </w:rPr>
        <w:t xml:space="preserve">drażanie gospodarki o obiegu zamkniętym </w:t>
      </w:r>
      <w:r w:rsidRPr="00795F17">
        <w:rPr>
          <w:rFonts w:cstheme="minorHAnsi"/>
        </w:rPr>
        <w:t xml:space="preserve">mającej m.in. znaczenie w gospodarce wodno-ściekowej </w:t>
      </w:r>
      <w:r w:rsidR="009C103E">
        <w:rPr>
          <w:rFonts w:cstheme="minorHAnsi"/>
        </w:rPr>
        <w:t>–</w:t>
      </w:r>
      <w:r w:rsidRPr="00795F17">
        <w:rPr>
          <w:rFonts w:cstheme="minorHAnsi"/>
        </w:rPr>
        <w:t xml:space="preserve"> w</w:t>
      </w:r>
      <w:r w:rsidR="00AF5009" w:rsidRPr="00795F17">
        <w:rPr>
          <w:rFonts w:cstheme="minorHAnsi"/>
        </w:rPr>
        <w:t> </w:t>
      </w:r>
      <w:r w:rsidRPr="00795F17">
        <w:rPr>
          <w:rFonts w:cstheme="minorHAnsi"/>
        </w:rPr>
        <w:t>kontekście zagospodaro</w:t>
      </w:r>
      <w:r w:rsidR="00AF5009" w:rsidRPr="00795F17">
        <w:rPr>
          <w:rFonts w:cstheme="minorHAnsi"/>
        </w:rPr>
        <w:t>wy</w:t>
      </w:r>
      <w:r w:rsidRPr="00795F17">
        <w:rPr>
          <w:rFonts w:cstheme="minorHAnsi"/>
        </w:rPr>
        <w:t>wania osadów ściekowych i wykorzystania oczyszczonych ścieków jako wody technologicznej lub do celów utrzymania zieleni miejskiej; oraz w</w:t>
      </w:r>
      <w:r w:rsidR="00AF5009" w:rsidRPr="00795F17">
        <w:rPr>
          <w:rFonts w:cstheme="minorHAnsi"/>
        </w:rPr>
        <w:t xml:space="preserve"> </w:t>
      </w:r>
      <w:r w:rsidRPr="00795F17">
        <w:rPr>
          <w:rFonts w:cstheme="minorHAnsi"/>
        </w:rPr>
        <w:t>energetyce, a także w</w:t>
      </w:r>
      <w:r w:rsidR="00AF5009" w:rsidRPr="00795F17">
        <w:rPr>
          <w:rFonts w:cstheme="minorHAnsi"/>
        </w:rPr>
        <w:t> </w:t>
      </w:r>
      <w:r w:rsidRPr="00795F17">
        <w:rPr>
          <w:rFonts w:cstheme="minorHAnsi"/>
        </w:rPr>
        <w:t>zagospodarowaniu wód opadowych i roztopowych (recykling wody, zmniejszanie tzw. „śladu wodnego”).</w:t>
      </w:r>
    </w:p>
    <w:tbl>
      <w:tblPr>
        <w:tblStyle w:val="Tabela-Siatka"/>
        <w:tblW w:w="0" w:type="auto"/>
        <w:tblLook w:val="04A0" w:firstRow="1" w:lastRow="0" w:firstColumn="1" w:lastColumn="0" w:noHBand="0" w:noVBand="1"/>
      </w:tblPr>
      <w:tblGrid>
        <w:gridCol w:w="9062"/>
      </w:tblGrid>
      <w:tr w:rsidR="009D5AB2" w:rsidRPr="00795F17" w14:paraId="5705938A"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bookmarkEnd w:id="1005"/>
          <w:p w14:paraId="314C81CC" w14:textId="430B22A7" w:rsidR="009D5AB2" w:rsidRPr="00795F17" w:rsidRDefault="009D5AB2" w:rsidP="0052619E">
            <w:pPr>
              <w:jc w:val="right"/>
              <w:rPr>
                <w:b w:val="0"/>
              </w:rPr>
            </w:pPr>
            <w:r w:rsidRPr="00795F17">
              <w:t xml:space="preserve">Poziom krajowy </w:t>
            </w:r>
            <w:r w:rsidR="009C103E">
              <w:t>–</w:t>
            </w:r>
            <w:r w:rsidRPr="00795F17">
              <w:t xml:space="preserve"> strategie rozwoju</w:t>
            </w:r>
          </w:p>
          <w:p w14:paraId="5F1C2D60" w14:textId="28574446" w:rsidR="009D5AB2" w:rsidRPr="00795F17" w:rsidRDefault="009D5AB2" w:rsidP="00F67742">
            <w:pPr>
              <w:jc w:val="left"/>
              <w:rPr>
                <w:i/>
                <w:iCs/>
              </w:rPr>
            </w:pPr>
            <w:bookmarkStart w:id="1006" w:name="_Hlk60761898"/>
            <w:r w:rsidRPr="00795F17">
              <w:t xml:space="preserve">Polityka energetyczna Polski do 2040 r. </w:t>
            </w:r>
            <w:r w:rsidR="00F67742">
              <w:br/>
            </w:r>
            <w:r w:rsidR="009C103E">
              <w:t>–</w:t>
            </w:r>
            <w:r w:rsidRPr="00795F17">
              <w:t xml:space="preserve"> strategia rozwoju sektora paliwowo-energetycznego (</w:t>
            </w:r>
            <w:bookmarkEnd w:id="1006"/>
            <w:r w:rsidRPr="00795F17">
              <w:t>PEP2040)</w:t>
            </w:r>
            <w:r w:rsidRPr="00795F17">
              <w:br/>
            </w:r>
            <w:r w:rsidRPr="00D415A7">
              <w:t>Jedna z dziewięciu horyzontalnych zintegrowanych strategii rozwoju</w:t>
            </w:r>
          </w:p>
        </w:tc>
      </w:tr>
    </w:tbl>
    <w:p w14:paraId="0BFA02E8" w14:textId="4FDDCBB3" w:rsidR="009D5AB2" w:rsidRPr="00795F17" w:rsidRDefault="009D5AB2" w:rsidP="0044393D">
      <w:pPr>
        <w:rPr>
          <w:b/>
          <w:bCs/>
        </w:rPr>
      </w:pPr>
      <w:r w:rsidRPr="00795F17">
        <w:rPr>
          <w:b/>
          <w:bCs/>
        </w:rPr>
        <w:t xml:space="preserve">Cele i oczekiwane rezultaty wdrożenia dokumentu: </w:t>
      </w:r>
      <w:r w:rsidR="009C103E">
        <w:t>b</w:t>
      </w:r>
      <w:r w:rsidRPr="00795F17">
        <w:t>ezpieczeństwo energetyczne przy zapewnieniu konkurencyjności gospodarki, efektywności energetycznej i zmniejszeniu oddziaływania sektora energii na środowisko z optymalnym wykorzystaniem własnych zasobów energetycznych.</w:t>
      </w:r>
    </w:p>
    <w:p w14:paraId="114E35BB" w14:textId="2CD2B79F" w:rsidR="009D5AB2" w:rsidRPr="00795F17" w:rsidRDefault="009D5AB2" w:rsidP="0044393D">
      <w:r w:rsidRPr="00795F17">
        <w:rPr>
          <w:b/>
          <w:bCs/>
        </w:rPr>
        <w:t xml:space="preserve">Obszar problemowy: </w:t>
      </w:r>
      <w:r w:rsidR="009C103E">
        <w:t>z</w:t>
      </w:r>
      <w:r w:rsidRPr="00795F17">
        <w:t>e względu na ograniczony krajowy potencjał wodny PEP2040 nie przewiduje znaczącego wzrostu wykorzystania energii wód płynących. W dokumencie wskazano natomiast, że</w:t>
      </w:r>
      <w:r w:rsidR="00E378CE">
        <w:t> </w:t>
      </w:r>
      <w:r w:rsidRPr="00795F17">
        <w:t>w</w:t>
      </w:r>
      <w:r w:rsidR="00E378CE">
        <w:t> </w:t>
      </w:r>
      <w:r w:rsidRPr="00795F17">
        <w:t>horyzoncie długoterminowym na rozwój energetyki wodnej może wpłynąć rozwój śródlądowych dróg wodnych oraz rewitalizacja piętrzeń wodnych, które są istotne z punktu widzenia regulacji cieków i gospodarki przeciwpowodziowej.</w:t>
      </w:r>
    </w:p>
    <w:p w14:paraId="00700A4C" w14:textId="2ADB0FA7" w:rsidR="009D5AB2" w:rsidRPr="00795F17" w:rsidRDefault="009D5AB2" w:rsidP="0044393D">
      <w:r w:rsidRPr="00795F17">
        <w:rPr>
          <w:b/>
          <w:bCs/>
        </w:rPr>
        <w:t xml:space="preserve">Sposób osiągnięcia zakładanych celów i/lub rozwiązania zidentyfikowanych problemów: </w:t>
      </w:r>
      <w:r w:rsidR="009C103E">
        <w:t>p</w:t>
      </w:r>
      <w:r w:rsidRPr="00795F17">
        <w:t>olityka zwraca m.in. uwagę na konieczność zmniejszania wpływu sektora energii na środowisko, w szczególności poprzez modernizację mocy wytwórczych oraz dywersyfikację struktury wytwarzania energii.</w:t>
      </w:r>
    </w:p>
    <w:tbl>
      <w:tblPr>
        <w:tblStyle w:val="Tabela-Siatka"/>
        <w:tblW w:w="0" w:type="auto"/>
        <w:tblLook w:val="04A0" w:firstRow="1" w:lastRow="0" w:firstColumn="1" w:lastColumn="0" w:noHBand="0" w:noVBand="1"/>
      </w:tblPr>
      <w:tblGrid>
        <w:gridCol w:w="9016"/>
      </w:tblGrid>
      <w:tr w:rsidR="009D5AB2" w:rsidRPr="00795F17" w14:paraId="5FBC9E1A"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6547C466" w14:textId="30F438AF" w:rsidR="009D5AB2" w:rsidRDefault="009D5AB2" w:rsidP="0052619E">
            <w:pPr>
              <w:jc w:val="right"/>
              <w:rPr>
                <w:b w:val="0"/>
              </w:rPr>
            </w:pPr>
            <w:r w:rsidRPr="00795F17">
              <w:t xml:space="preserve">Poziom krajowy </w:t>
            </w:r>
            <w:r w:rsidR="00C26AA4">
              <w:t>–</w:t>
            </w:r>
            <w:r w:rsidRPr="00795F17">
              <w:t xml:space="preserve"> strategie rozwoju</w:t>
            </w:r>
          </w:p>
          <w:p w14:paraId="3CDE42A3" w14:textId="77777777" w:rsidR="00F67742" w:rsidRPr="00795F17" w:rsidRDefault="00F67742" w:rsidP="0052619E">
            <w:pPr>
              <w:jc w:val="right"/>
              <w:rPr>
                <w:b w:val="0"/>
              </w:rPr>
            </w:pPr>
          </w:p>
          <w:p w14:paraId="0D465F24" w14:textId="10F83FA4" w:rsidR="009D5AB2" w:rsidRPr="00795F17" w:rsidRDefault="009D5AB2" w:rsidP="0044393D">
            <w:bookmarkStart w:id="1007" w:name="_Hlk60761908"/>
            <w:r w:rsidRPr="00795F17">
              <w:rPr>
                <w:bCs/>
              </w:rPr>
              <w:t>Strategia Zrównoważonego Rozwoju Transportu do 2030 r. (SRT 2030)</w:t>
            </w:r>
            <w:bookmarkEnd w:id="1007"/>
            <w:r w:rsidR="0052619E" w:rsidRPr="00795F17">
              <w:rPr>
                <w:bCs/>
              </w:rPr>
              <w:tab/>
            </w:r>
            <w:r w:rsidRPr="00795F17">
              <w:rPr>
                <w:bCs/>
              </w:rPr>
              <w:br/>
            </w:r>
            <w:r w:rsidRPr="00D415A7">
              <w:t>Jedna z dziewięciu horyzontalnych zintegrowanych strategii rozwoju</w:t>
            </w:r>
          </w:p>
        </w:tc>
      </w:tr>
    </w:tbl>
    <w:p w14:paraId="620A23DC" w14:textId="242F6233" w:rsidR="009D5AB2" w:rsidRPr="00795F17" w:rsidRDefault="009D5AB2" w:rsidP="0044393D">
      <w:pPr>
        <w:rPr>
          <w:b/>
          <w:bCs/>
        </w:rPr>
      </w:pPr>
      <w:r w:rsidRPr="00795F17">
        <w:rPr>
          <w:b/>
          <w:bCs/>
        </w:rPr>
        <w:t xml:space="preserve">Cele i oczekiwane rezultaty wdrożenia dokumentu: </w:t>
      </w:r>
      <w:r w:rsidR="00C26AA4">
        <w:t>u</w:t>
      </w:r>
      <w:r w:rsidRPr="00795F17">
        <w:t xml:space="preserve">tworzenie spójnego, zrównoważonego, innowacyjnego i przyjaznego użytkownikom oraz środowisku systemu transportowego na poziomie krajowym, europejskim i globalnym. </w:t>
      </w:r>
    </w:p>
    <w:p w14:paraId="3A0E95A6" w14:textId="44FAEA2C" w:rsidR="009D5AB2" w:rsidRPr="00795F17" w:rsidRDefault="009D5AB2" w:rsidP="0044393D">
      <w:pPr>
        <w:rPr>
          <w:b/>
          <w:bCs/>
        </w:rPr>
      </w:pPr>
      <w:r w:rsidRPr="00795F17">
        <w:rPr>
          <w:b/>
          <w:bCs/>
        </w:rPr>
        <w:t xml:space="preserve">Obszar problemowy: </w:t>
      </w:r>
      <w:r w:rsidR="00C26AA4">
        <w:t>z</w:t>
      </w:r>
      <w:r w:rsidRPr="00795F17">
        <w:t xml:space="preserve">większenie dostępności transportowej kraju oraz poprawa bezpieczeństwa uczestników ruchu i efektywności sektora transportowego, z uwzględnieniem ochrony i zapobiegania dalszemu pogarszaniu </w:t>
      </w:r>
      <w:r w:rsidR="00942DD2">
        <w:t>stanu</w:t>
      </w:r>
      <w:r w:rsidR="000527AD">
        <w:t xml:space="preserve"> </w:t>
      </w:r>
      <w:r w:rsidRPr="00795F17">
        <w:t>ekosystemów wodnych oraz zmniejszania ilości wprowadzanych do wód substancji mogących negatywnie oddziaływać na wody.</w:t>
      </w:r>
    </w:p>
    <w:p w14:paraId="5C8FDC44" w14:textId="251F1FDF" w:rsidR="009D5AB2" w:rsidRPr="00795F17" w:rsidRDefault="009D5AB2" w:rsidP="0044393D">
      <w:r w:rsidRPr="00795F17">
        <w:rPr>
          <w:b/>
          <w:bCs/>
        </w:rPr>
        <w:t xml:space="preserve">Sposób osiągnięcia zakładanych celów i/lub rozwiązania zidentyfikowanych problemów: </w:t>
      </w:r>
      <w:r w:rsidR="00C26AA4">
        <w:t>w</w:t>
      </w:r>
      <w:r w:rsidRPr="00795F17">
        <w:t xml:space="preserve"> dokumencie wskazano m.in. na potrzebę rozwoju sektora żeglugi śródlądowej (zagospodarowanie śródlądowych dróg wodnych i rozwój żeglugi śródlądowej przyczyniają się do rozwoju społeczno-gospodarczego oraz poprawy efektywności systemu transportowego). Dokument przedstawia propozycje działań o charakterze innowacyjno-technicznym, które powinny uwzględniać wpływ transportu na środowisko, w tym zasoby wodne. SRT 2030 wyróżnia również działania związane z zapobieganiem zanieczyszczaniu morza i linii brzegowej, w tym działania związane z zapobieganiem wypadkom morskim, tj. poprawę szeroko pojętego bezpieczeństwa żeglugi </w:t>
      </w:r>
      <w:r w:rsidR="00DB61CF">
        <w:t>śródlądowej</w:t>
      </w:r>
      <w:r w:rsidR="00DB61CF" w:rsidRPr="00795F17">
        <w:t xml:space="preserve"> </w:t>
      </w:r>
      <w:r w:rsidRPr="00795F17">
        <w:t>czy ograniczanie zanieczyszczenia środowiska związanego z normalną eksploatacją jednostek pływających.</w:t>
      </w:r>
    </w:p>
    <w:tbl>
      <w:tblPr>
        <w:tblStyle w:val="Tabela-Siatka"/>
        <w:tblW w:w="0" w:type="auto"/>
        <w:tblLook w:val="04A0" w:firstRow="1" w:lastRow="0" w:firstColumn="1" w:lastColumn="0" w:noHBand="0" w:noVBand="1"/>
      </w:tblPr>
      <w:tblGrid>
        <w:gridCol w:w="9062"/>
      </w:tblGrid>
      <w:tr w:rsidR="009D5AB2" w:rsidRPr="00795F17" w14:paraId="15291E5E"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16020A2D" w14:textId="01B89BBC" w:rsidR="009D5AB2" w:rsidRDefault="009D5AB2" w:rsidP="000E51C7">
            <w:pPr>
              <w:keepNext/>
              <w:jc w:val="right"/>
              <w:rPr>
                <w:b w:val="0"/>
              </w:rPr>
            </w:pPr>
            <w:r w:rsidRPr="00795F17">
              <w:t xml:space="preserve">Poziom krajowy </w:t>
            </w:r>
            <w:r w:rsidR="00C26AA4">
              <w:t>–</w:t>
            </w:r>
            <w:r w:rsidRPr="00795F17">
              <w:t xml:space="preserve"> strategie rozwoju</w:t>
            </w:r>
          </w:p>
          <w:p w14:paraId="214831C6" w14:textId="77777777" w:rsidR="00F67742" w:rsidRPr="00795F17" w:rsidRDefault="00F67742" w:rsidP="000E51C7">
            <w:pPr>
              <w:keepNext/>
              <w:jc w:val="right"/>
              <w:rPr>
                <w:b w:val="0"/>
              </w:rPr>
            </w:pPr>
          </w:p>
          <w:p w14:paraId="674D2248" w14:textId="1EAE26C2" w:rsidR="009D5AB2" w:rsidRPr="00795F17" w:rsidRDefault="009D5AB2" w:rsidP="000E51C7">
            <w:pPr>
              <w:keepNext/>
              <w:rPr>
                <w:i/>
                <w:iCs/>
              </w:rPr>
            </w:pPr>
            <w:bookmarkStart w:id="1008" w:name="_Hlk60761920"/>
            <w:r w:rsidRPr="00795F17">
              <w:t>Strategia zrównoważonego rozwoju wsi, rolnictwa i rybactwa 2030 (SZRWRiR 2030</w:t>
            </w:r>
            <w:bookmarkEnd w:id="1008"/>
            <w:r w:rsidRPr="00795F17">
              <w:t>)</w:t>
            </w:r>
            <w:r w:rsidR="0052619E" w:rsidRPr="00795F17">
              <w:tab/>
            </w:r>
            <w:r w:rsidRPr="00795F17">
              <w:br/>
            </w:r>
            <w:r w:rsidRPr="00D415A7">
              <w:rPr>
                <w:color w:val="FFFFFF" w:themeColor="background1"/>
              </w:rPr>
              <w:t>Jedna z dziewięciu horyzontalnych zintegrowanych strategii rozwoju</w:t>
            </w:r>
          </w:p>
        </w:tc>
      </w:tr>
    </w:tbl>
    <w:p w14:paraId="657EB970" w14:textId="223B2BED" w:rsidR="009D5AB2" w:rsidRPr="00795F17" w:rsidRDefault="009D5AB2" w:rsidP="0044393D">
      <w:pPr>
        <w:rPr>
          <w:b/>
          <w:bCs/>
        </w:rPr>
      </w:pPr>
      <w:r w:rsidRPr="00795F17">
        <w:rPr>
          <w:b/>
          <w:bCs/>
        </w:rPr>
        <w:t xml:space="preserve">Cele i oczekiwane rezultaty wdrożenia dokumentu: </w:t>
      </w:r>
      <w:r w:rsidR="00C26AA4">
        <w:t>r</w:t>
      </w:r>
      <w:r w:rsidRPr="00795F17">
        <w:t>ozwój gospodarczy wsi, który umożliwia trwały wzrost dochodów jej mieszkańców poprzez m.in. poprawę stanu środowiska naturalnego, w tym zasobów wodnych (w rozumieniu osiągnięcia lub utrzymania dobrego stanu wód oraz ekosystemów zależnych od wód, a także ochrony, poprawy i zapobiegania dalszemu pogarszaniu stanu ekosystemów wodnych).</w:t>
      </w:r>
    </w:p>
    <w:p w14:paraId="499CEDDB" w14:textId="77777777" w:rsidR="009D5AB2" w:rsidRPr="00795F17" w:rsidRDefault="009D5AB2" w:rsidP="0044393D">
      <w:pPr>
        <w:rPr>
          <w:b/>
          <w:bCs/>
        </w:rPr>
      </w:pPr>
      <w:r w:rsidRPr="00795F17">
        <w:rPr>
          <w:b/>
          <w:bCs/>
        </w:rPr>
        <w:t xml:space="preserve">Obszar problemowy: </w:t>
      </w:r>
      <w:r w:rsidRPr="00795F17">
        <w:t>SZRWRiR 2030 porusza problematykę związaną z wyzwaniami, które stoją przed polskimi gospodarstwami. Dotyczą one m.in. ochrony zasobów wodnych, ich dostępności i sposobów gospodarowania nimi, a także sposobów ograniczania emisji zanieczyszczeń do środowiska. Dostępność oraz jakość zasobów wodnych są wskazywane w dokumencie jako jedno z kryteriów umożliwiające rozwój działalności rolniczej oraz rybackiej. Ważnym punktem odniesienia w pracach nad SZRWRiR 2030 były kierunki zmian polityk wspólnotowych, w tym przede wszystkim Wspólna Polityka Rolna (WPR)</w:t>
      </w:r>
      <w:r w:rsidRPr="00795F17">
        <w:rPr>
          <w:rStyle w:val="Odwoanieprzypisudolnego"/>
          <w:rFonts w:asciiTheme="minorHAnsi" w:hAnsiTheme="minorHAnsi" w:cstheme="minorHAnsi"/>
        </w:rPr>
        <w:footnoteReference w:id="118"/>
      </w:r>
      <w:r w:rsidRPr="00795F17">
        <w:t>, Wspólna polityka rybołówstwa (WPRyb) i polityki spójności zarysowane w propozycjach legislacyjnych przedstawionych przez służby KE.</w:t>
      </w:r>
    </w:p>
    <w:p w14:paraId="245DC12D" w14:textId="5310F884" w:rsidR="009D5AB2" w:rsidRPr="00795F17" w:rsidRDefault="009D5AB2" w:rsidP="0044393D">
      <w:r w:rsidRPr="00795F17">
        <w:rPr>
          <w:b/>
          <w:bCs/>
        </w:rPr>
        <w:t xml:space="preserve">Sposób osiągnięcia zakładanych celów i/lub rozwiązania zidentyfikowanych problemów: </w:t>
      </w:r>
      <w:r w:rsidR="00C26AA4">
        <w:t>w</w:t>
      </w:r>
      <w:r w:rsidRPr="00795F17">
        <w:t> dokumencie wskazano działania horyzontalne związane m.in. z proekologicznym zarządzaniem lokalnymi zasobami wodnymi, obejmującym kształtowanie krajobrazów sprzyjających zatrzymywaniu wody.</w:t>
      </w:r>
    </w:p>
    <w:p w14:paraId="3BC8B44A" w14:textId="77777777" w:rsidR="009D5AB2" w:rsidRPr="00795F17" w:rsidRDefault="009D5AB2" w:rsidP="0044393D">
      <w:r w:rsidRPr="00795F17">
        <w:t>Wśród kierunków interwencji SZRWRiR 2030 wskazuje m.in.: zrównoważone gospodarowanie i ochronę zasobów środowiska, a także adaptację do zmian klimatu oraz przeciwdziałanie tym zmianom. Działania mające na uwadze ochronę zasobów wodnych, gleby i różnorodności biologicznej powiązano z działaniami na rzecz adaptacji rolnictwa do zmian klimatu i ograniczającymi emisje.</w:t>
      </w:r>
    </w:p>
    <w:tbl>
      <w:tblPr>
        <w:tblStyle w:val="Tabela-Siatka"/>
        <w:tblW w:w="0" w:type="auto"/>
        <w:tblLook w:val="04A0" w:firstRow="1" w:lastRow="0" w:firstColumn="1" w:lastColumn="0" w:noHBand="0" w:noVBand="1"/>
      </w:tblPr>
      <w:tblGrid>
        <w:gridCol w:w="9016"/>
      </w:tblGrid>
      <w:tr w:rsidR="009D5AB2" w:rsidRPr="00795F17" w14:paraId="3DA2831B"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1DB945AA" w14:textId="4D1AD37E" w:rsidR="009D5AB2" w:rsidRDefault="009D5AB2" w:rsidP="0052619E">
            <w:pPr>
              <w:jc w:val="right"/>
              <w:rPr>
                <w:b w:val="0"/>
              </w:rPr>
            </w:pPr>
            <w:r w:rsidRPr="00795F17">
              <w:t xml:space="preserve">Poziom krajowy </w:t>
            </w:r>
            <w:r w:rsidR="00C26AA4">
              <w:t>–</w:t>
            </w:r>
            <w:r w:rsidRPr="00795F17">
              <w:t xml:space="preserve"> strategie rozwoju</w:t>
            </w:r>
          </w:p>
          <w:p w14:paraId="1DCDE510" w14:textId="77777777" w:rsidR="00F67742" w:rsidRPr="00795F17" w:rsidRDefault="00F67742" w:rsidP="0052619E">
            <w:pPr>
              <w:jc w:val="right"/>
              <w:rPr>
                <w:b w:val="0"/>
              </w:rPr>
            </w:pPr>
          </w:p>
          <w:p w14:paraId="67B248DF" w14:textId="1A11B273" w:rsidR="009D5AB2" w:rsidRPr="00795F17" w:rsidRDefault="009D5AB2" w:rsidP="0044393D">
            <w:bookmarkStart w:id="1009" w:name="_Hlk60761930"/>
            <w:r w:rsidRPr="00795F17">
              <w:rPr>
                <w:bCs/>
              </w:rPr>
              <w:t>Krajowa Strategia Rozwoju Regionalnego 2030 (KSRR 2030)</w:t>
            </w:r>
            <w:r w:rsidR="0052619E" w:rsidRPr="00795F17">
              <w:rPr>
                <w:bCs/>
              </w:rPr>
              <w:tab/>
            </w:r>
            <w:r w:rsidRPr="00795F17">
              <w:rPr>
                <w:bCs/>
              </w:rPr>
              <w:br/>
            </w:r>
            <w:bookmarkEnd w:id="1009"/>
            <w:r w:rsidRPr="00D415A7">
              <w:t>Jedna z dziewięciu horyzontalnych zintegrowanych strategii rozwoju</w:t>
            </w:r>
          </w:p>
        </w:tc>
      </w:tr>
    </w:tbl>
    <w:p w14:paraId="1E8C7276" w14:textId="19306610" w:rsidR="009D5AB2" w:rsidRPr="00795F17" w:rsidRDefault="009D5AB2" w:rsidP="0044393D">
      <w:r w:rsidRPr="00795F17">
        <w:rPr>
          <w:b/>
          <w:bCs/>
        </w:rPr>
        <w:t xml:space="preserve">Cele i oczekiwane rezultaty wdrożenia dokumentu: </w:t>
      </w:r>
      <w:r w:rsidR="00C26AA4">
        <w:t>r</w:t>
      </w:r>
      <w:r w:rsidRPr="00795F17">
        <w:rPr>
          <w:shd w:val="clear" w:color="auto" w:fill="FFFFFF"/>
        </w:rPr>
        <w:t>ozwój państwa jako społecznie i terytorialnie zrównoważonego, dzięki czemu lokalne zasoby i potencjały wszystkich regionów będą efektywnie rozwijane oraz wykorzystywane. Istotnym celem takiego mechanizmu jest wspomaganie obszarów</w:t>
      </w:r>
      <w:r w:rsidRPr="00795F17">
        <w:rPr>
          <w:color w:val="000000"/>
          <w:bdr w:val="none" w:sz="0" w:space="0" w:color="auto" w:frame="1"/>
        </w:rPr>
        <w:t xml:space="preserve"> wiejskich i miejskich</w:t>
      </w:r>
      <w:r w:rsidRPr="00795F17">
        <w:rPr>
          <w:shd w:val="clear" w:color="auto" w:fill="FFFFFF"/>
        </w:rPr>
        <w:t>, zwłaszcza tych, które nie mogą w pełni wykorzystywać i rozwijać swojego potencjału.</w:t>
      </w:r>
    </w:p>
    <w:p w14:paraId="0D0FCF91" w14:textId="338B8EB8" w:rsidR="009D5AB2" w:rsidRPr="00795F17" w:rsidRDefault="009D5AB2" w:rsidP="0044393D">
      <w:pPr>
        <w:rPr>
          <w:b/>
          <w:bCs/>
        </w:rPr>
      </w:pPr>
      <w:r w:rsidRPr="00795F17">
        <w:rPr>
          <w:b/>
          <w:bCs/>
        </w:rPr>
        <w:t xml:space="preserve">Obszar problemowy: </w:t>
      </w:r>
      <w:r w:rsidR="00C26AA4">
        <w:t>e</w:t>
      </w:r>
      <w:r w:rsidRPr="00795F17">
        <w:t>fektywne wykorzystanie endogenicznych potencjałów obszarów i</w:t>
      </w:r>
      <w:r w:rsidR="006F6459">
        <w:t> </w:t>
      </w:r>
      <w:r w:rsidRPr="00795F17">
        <w:t>ich</w:t>
      </w:r>
      <w:r w:rsidR="006F6459">
        <w:t> </w:t>
      </w:r>
      <w:r w:rsidRPr="00795F17">
        <w:t>specjalizacji dla zrealizowania zrównoważonego rozwoju w celu stworzenia w przyszłości warunków do wzrostu dochodów społeczeństwa przy jednoznacznym osiąganiu spójności w obszarze społecznym, gospodarczym, środowiskowym oraz przestrzennym.</w:t>
      </w:r>
    </w:p>
    <w:p w14:paraId="329AB815" w14:textId="6A4410E2" w:rsidR="009D5AB2" w:rsidRPr="00795F17" w:rsidRDefault="009D5AB2" w:rsidP="0044393D">
      <w:r w:rsidRPr="00795F17">
        <w:rPr>
          <w:b/>
          <w:bCs/>
        </w:rPr>
        <w:t xml:space="preserve">Sposób osiągnięcia zakładanych celów i/lub rozwiązania zidentyfikowanych problemów: </w:t>
      </w:r>
      <w:r w:rsidR="00C26AA4">
        <w:rPr>
          <w:shd w:val="clear" w:color="auto" w:fill="FFFFFF" w:themeFill="background1"/>
        </w:rPr>
        <w:t>w</w:t>
      </w:r>
      <w:r w:rsidRPr="00795F17">
        <w:t> dokumencie przewidziano inicjatywy na rzecz m.in.: ochrony i poprawy stanu środowiska, ograniczenia ekstremalnych skutków zmian klimatu, zapewnienia dostępu do czystej wody oraz</w:t>
      </w:r>
      <w:r w:rsidR="004F3677">
        <w:t> </w:t>
      </w:r>
      <w:r w:rsidRPr="00795F17">
        <w:t xml:space="preserve">ochrony przed powodziami i suszą. W ramach polityki regionalnej wdrożone będą działania związane m.in. z rozwojem infrastruktury komunalnej. Dotyczyć będą m.in. usług w zakresie zaopatrzenia w wodę oraz oczyszczania ścieków. Ponadto w ramach realizacji celów i kierunków działań wskazanych w KSRR 2030 będą realizowane inwestycje związane z śródlądowymi drogami wodnymi czy portami morskimi. Dokument wskazuje również konieczność zastosowania nowoczesnych zasad gospodarowania wodą oraz zarządzania ryzykiem powodziowym. </w:t>
      </w:r>
    </w:p>
    <w:p w14:paraId="7494BF43" w14:textId="0D59CEC6" w:rsidR="009D5AB2" w:rsidRPr="00795F17" w:rsidRDefault="009D5AB2" w:rsidP="0044393D">
      <w:r w:rsidRPr="00795F17">
        <w:t xml:space="preserve">Realizacja działań w KSRR 2030 powiązana jest z celami wskazanymi w Polityce ekologicznej państwa 2030 </w:t>
      </w:r>
      <w:r w:rsidR="00C26AA4">
        <w:t>–</w:t>
      </w:r>
      <w:r w:rsidRPr="00795F17">
        <w:t xml:space="preserve"> strategii rozwoju w obszarze środowiska i gospodarki wodnej (PEP2030) oraz w Polityce Energetycznej Polski do 2040 r. </w:t>
      </w:r>
      <w:r w:rsidR="00C26AA4">
        <w:t>–</w:t>
      </w:r>
      <w:r w:rsidRPr="00795F17">
        <w:t xml:space="preserve"> strategia rozwoju sektora paliwowo-energetycznego (PEP2040).</w:t>
      </w:r>
    </w:p>
    <w:tbl>
      <w:tblPr>
        <w:tblStyle w:val="Tabela-Siatka"/>
        <w:tblW w:w="0" w:type="auto"/>
        <w:tblLook w:val="04A0" w:firstRow="1" w:lastRow="0" w:firstColumn="1" w:lastColumn="0" w:noHBand="0" w:noVBand="1"/>
      </w:tblPr>
      <w:tblGrid>
        <w:gridCol w:w="9062"/>
      </w:tblGrid>
      <w:tr w:rsidR="009D5AB2" w:rsidRPr="00795F17" w14:paraId="740CDF51"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097A720B" w14:textId="495E315C" w:rsidR="009D5AB2" w:rsidRPr="00795F17" w:rsidRDefault="009D5AB2" w:rsidP="0052619E">
            <w:pPr>
              <w:jc w:val="right"/>
              <w:rPr>
                <w:b w:val="0"/>
              </w:rPr>
            </w:pPr>
            <w:r w:rsidRPr="00795F17">
              <w:t xml:space="preserve">Poziom krajowy </w:t>
            </w:r>
            <w:r w:rsidR="00C26AA4">
              <w:t>–</w:t>
            </w:r>
            <w:r w:rsidRPr="00795F17">
              <w:t xml:space="preserve"> strategie rozwoju</w:t>
            </w:r>
          </w:p>
          <w:p w14:paraId="3975B77C" w14:textId="4564C1B1" w:rsidR="009D5AB2" w:rsidRPr="00795F17" w:rsidRDefault="009D5AB2" w:rsidP="0052619E">
            <w:pPr>
              <w:jc w:val="left"/>
              <w:rPr>
                <w:b w:val="0"/>
                <w:bCs/>
              </w:rPr>
            </w:pPr>
            <w:bookmarkStart w:id="1010" w:name="_Hlk60760887"/>
            <w:r w:rsidRPr="00795F17">
              <w:rPr>
                <w:bCs/>
              </w:rPr>
              <w:t>Strategia „Sprawne i Nowoczesne Państwo 2030” (SiNP</w:t>
            </w:r>
            <w:bookmarkEnd w:id="1010"/>
            <w:r w:rsidRPr="00795F17">
              <w:rPr>
                <w:bCs/>
              </w:rPr>
              <w:t>)</w:t>
            </w:r>
            <w:r w:rsidRPr="00795F17">
              <w:rPr>
                <w:bCs/>
              </w:rPr>
              <w:br/>
            </w:r>
            <w:r w:rsidRPr="00896111">
              <w:t>Aktualizacja</w:t>
            </w:r>
            <w:r w:rsidRPr="00795F17">
              <w:br/>
            </w:r>
            <w:r w:rsidRPr="00D415A7">
              <w:t>Jedna z dziewięciu horyzontalnych zintegrowanych strategii rozwoju</w:t>
            </w:r>
          </w:p>
        </w:tc>
      </w:tr>
    </w:tbl>
    <w:p w14:paraId="2CE02D60" w14:textId="3D986F70" w:rsidR="009D5AB2" w:rsidRPr="00795F17" w:rsidRDefault="009D5AB2" w:rsidP="0044393D">
      <w:pPr>
        <w:rPr>
          <w:b/>
          <w:bCs/>
        </w:rPr>
      </w:pPr>
      <w:r w:rsidRPr="00795F17">
        <w:rPr>
          <w:b/>
          <w:bCs/>
        </w:rPr>
        <w:t xml:space="preserve">Cele i oczekiwane rezultaty wdrożenia dokumentu: </w:t>
      </w:r>
      <w:r w:rsidR="00C26AA4">
        <w:t>b</w:t>
      </w:r>
      <w:r w:rsidRPr="00795F17">
        <w:t>udowa sprawnego i nowoczesnego państwa służącego obywatelom, środowisku oraz gospodarce.</w:t>
      </w:r>
    </w:p>
    <w:p w14:paraId="2F397499" w14:textId="1BF7ED70" w:rsidR="009D5AB2" w:rsidRPr="00795F17" w:rsidRDefault="009D5AB2" w:rsidP="0044393D">
      <w:r w:rsidRPr="00795F17">
        <w:rPr>
          <w:b/>
          <w:bCs/>
        </w:rPr>
        <w:t xml:space="preserve">Obszar problemowy: </w:t>
      </w:r>
      <w:r w:rsidR="00C26AA4">
        <w:t>w</w:t>
      </w:r>
      <w:r w:rsidRPr="00795F17">
        <w:t>zmocnienie bezpieczeństwa zewnętrznego i wewnętrznego, w tym ochrona przed zagrożeniami oraz klęskami żywiołowymi (powodzie i susze).</w:t>
      </w:r>
    </w:p>
    <w:p w14:paraId="4A3AD850" w14:textId="6D8DD77F" w:rsidR="00DD4190" w:rsidRDefault="009D5AB2" w:rsidP="0044393D">
      <w:r w:rsidRPr="00795F17">
        <w:rPr>
          <w:b/>
          <w:bCs/>
        </w:rPr>
        <w:t xml:space="preserve">Sposób osiągnięcia zakładanych celów i/lub rozwiązania zidentyfikowanych problemów: </w:t>
      </w:r>
      <w:r w:rsidR="00C26AA4">
        <w:t>d</w:t>
      </w:r>
      <w:r w:rsidRPr="00795F17">
        <w:t xml:space="preserve">ziałania przewidziane w SiNP przyczyniają się do zapewniania bezpieczeństwa wewnętrznego państwa w celu ratowania i ochrony m.in. zasobów środowiska naturalnego (w tym zasobów wodnych) w przypadku klęsk żywiołowych lub innych miejscowych zagrożeń. Promowane w dokumencie programy </w:t>
      </w:r>
      <w:bookmarkStart w:id="1011" w:name="_Hlk60760964"/>
      <w:r w:rsidRPr="00795F17">
        <w:t>Społecznej Odpowiedzialności Nauki (SON)</w:t>
      </w:r>
      <w:bookmarkEnd w:id="1011"/>
      <w:r w:rsidRPr="00795F17">
        <w:t xml:space="preserve"> mają na celu uruchamianie potencjału uczelni i podmiotów nauki w zakresie innowacyjności gospodarki, rozwoju kultury i społeczeństwa obywatelskiego, przy jednoczesnym uwzględnianiu interesów społecznych, ochrony środowiska oraz relacji z różnymi grupami interesariuszy.</w:t>
      </w:r>
    </w:p>
    <w:p w14:paraId="759122F6" w14:textId="77777777" w:rsidR="00DD4190" w:rsidRDefault="00DD4190">
      <w:pPr>
        <w:suppressAutoHyphens w:val="0"/>
        <w:spacing w:before="0" w:after="0"/>
        <w:jc w:val="left"/>
      </w:pPr>
      <w:r>
        <w:br w:type="page"/>
      </w:r>
    </w:p>
    <w:p w14:paraId="560088D3" w14:textId="77777777" w:rsidR="009D5AB2" w:rsidRPr="00795F17" w:rsidRDefault="009D5AB2" w:rsidP="0044393D">
      <w:pPr>
        <w:rPr>
          <w:b/>
          <w:bCs/>
        </w:rPr>
      </w:pPr>
    </w:p>
    <w:tbl>
      <w:tblPr>
        <w:tblStyle w:val="Tabela-Siatka"/>
        <w:tblW w:w="0" w:type="auto"/>
        <w:tblLook w:val="04A0" w:firstRow="1" w:lastRow="0" w:firstColumn="1" w:lastColumn="0" w:noHBand="0" w:noVBand="1"/>
      </w:tblPr>
      <w:tblGrid>
        <w:gridCol w:w="9016"/>
      </w:tblGrid>
      <w:tr w:rsidR="009D5AB2" w:rsidRPr="00795F17" w14:paraId="22405102"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4E8960E2" w14:textId="28CD52AE" w:rsidR="009D5AB2" w:rsidRPr="00795F17" w:rsidRDefault="009D5AB2" w:rsidP="0052619E">
            <w:pPr>
              <w:jc w:val="right"/>
              <w:rPr>
                <w:b w:val="0"/>
              </w:rPr>
            </w:pPr>
            <w:r w:rsidRPr="00795F17">
              <w:t xml:space="preserve">Poziom krajowy </w:t>
            </w:r>
            <w:r w:rsidR="00C26AA4">
              <w:t>–</w:t>
            </w:r>
            <w:r w:rsidRPr="00795F17">
              <w:t xml:space="preserve"> strategie rozwoju</w:t>
            </w:r>
          </w:p>
          <w:p w14:paraId="0756A68E" w14:textId="0DB51803" w:rsidR="009D5AB2" w:rsidRPr="00795F17" w:rsidRDefault="009D5AB2" w:rsidP="0052619E">
            <w:pPr>
              <w:jc w:val="left"/>
              <w:rPr>
                <w:b w:val="0"/>
              </w:rPr>
            </w:pPr>
            <w:bookmarkStart w:id="1012" w:name="_Hlk60761001"/>
            <w:r w:rsidRPr="00795F17">
              <w:t xml:space="preserve">Strategia Rozwoju Kapitału Społecznego </w:t>
            </w:r>
            <w:r w:rsidR="00F67742">
              <w:br/>
            </w:r>
            <w:r w:rsidRPr="00795F17">
              <w:t>(współdziałanie, kultura, kreatywność) 2030 (SRKS)</w:t>
            </w:r>
            <w:bookmarkEnd w:id="1012"/>
            <w:r w:rsidRPr="00795F17">
              <w:br/>
            </w:r>
            <w:r w:rsidRPr="00795F17">
              <w:rPr>
                <w:b w:val="0"/>
                <w:bCs/>
                <w:i/>
                <w:iCs/>
              </w:rPr>
              <w:t>Aktualizacja</w:t>
            </w:r>
            <w:r w:rsidRPr="00795F17">
              <w:rPr>
                <w:b w:val="0"/>
                <w:bCs/>
              </w:rPr>
              <w:br/>
            </w:r>
            <w:r w:rsidRPr="00D415A7">
              <w:t>Jedna z dziewięciu horyzontalnych zintegrowanych strategii rozwoju</w:t>
            </w:r>
          </w:p>
        </w:tc>
      </w:tr>
    </w:tbl>
    <w:p w14:paraId="18706EC7" w14:textId="67E9A956" w:rsidR="009D5AB2" w:rsidRPr="00795F17" w:rsidRDefault="009D5AB2" w:rsidP="0044393D">
      <w:pPr>
        <w:rPr>
          <w:b/>
          <w:bCs/>
        </w:rPr>
      </w:pPr>
      <w:r w:rsidRPr="00795F17">
        <w:rPr>
          <w:b/>
          <w:bCs/>
        </w:rPr>
        <w:t xml:space="preserve">Cele i oczekiwane rezultaty wdrożenia dokumentu: </w:t>
      </w:r>
      <w:r w:rsidR="00C26AA4">
        <w:t>w</w:t>
      </w:r>
      <w:r w:rsidRPr="00795F17">
        <w:t>zrost jakości życia społecznego i kulturalnego Polaków.</w:t>
      </w:r>
    </w:p>
    <w:p w14:paraId="2C5692D9" w14:textId="61EF06DC" w:rsidR="009D5AB2" w:rsidRPr="00795F17" w:rsidRDefault="009D5AB2" w:rsidP="0044393D">
      <w:r w:rsidRPr="00795F17">
        <w:rPr>
          <w:b/>
          <w:bCs/>
        </w:rPr>
        <w:t xml:space="preserve">Obszar problemowy: </w:t>
      </w:r>
      <w:r w:rsidR="00C26AA4">
        <w:t>r</w:t>
      </w:r>
      <w:r w:rsidRPr="00795F17">
        <w:t xml:space="preserve">ealizacja głównego celu SRKS odbywa się przez wdrażanie kierunków interwencji zaplanowanych do realizacji w trzech obszarach: (1) współdziałanie </w:t>
      </w:r>
      <w:r w:rsidR="00C26AA4">
        <w:t>–</w:t>
      </w:r>
      <w:r w:rsidRPr="00795F17">
        <w:t xml:space="preserve"> społeczeństwo obywatelskie; (2) kultura </w:t>
      </w:r>
      <w:r w:rsidR="00C26AA4">
        <w:t>–</w:t>
      </w:r>
      <w:r w:rsidRPr="00795F17">
        <w:t xml:space="preserve"> tożsamość i postawy obywatelskie; (3) kreatywność </w:t>
      </w:r>
      <w:r w:rsidR="00C26AA4">
        <w:t>–</w:t>
      </w:r>
      <w:r w:rsidRPr="00795F17">
        <w:t xml:space="preserve"> potencjał kulturowy i kreatywny.</w:t>
      </w:r>
    </w:p>
    <w:p w14:paraId="104C5E69" w14:textId="77777777" w:rsidR="009D5AB2" w:rsidRPr="00795F17" w:rsidRDefault="009D5AB2" w:rsidP="0044393D">
      <w:r w:rsidRPr="00795F17">
        <w:rPr>
          <w:b/>
          <w:bCs/>
        </w:rPr>
        <w:t xml:space="preserve">Sposób osiągnięcia zakładanych celów i/lub rozwiązania zidentyfikowanych problemów: </w:t>
      </w:r>
      <w:r w:rsidRPr="00795F17">
        <w:t xml:space="preserve">SRKS wspiera inicjatywy w zakresie zmian w treściach nauczania, nastawione na kształtowanie postaw proinnowacyjnych. Działania mogą być związane m.in. z ochroną środowiska. Również promowane przez SRKS programy w zakresie </w:t>
      </w:r>
      <w:r w:rsidRPr="00795F17">
        <w:rPr>
          <w:bCs/>
        </w:rPr>
        <w:t>Społecznej Odpowiedzialności Nauki (SON) ma</w:t>
      </w:r>
      <w:r w:rsidRPr="00795F17">
        <w:t>ją na celu uruchamianie potencjału uczelni i podmiotów nauki w zakresie innowacyjności gospodarki, rozwoju kultury i społeczeństwa obywatelskiego, przy jednoczesnym uwzględnianiu interesów społecznych, ochrony środowiska oraz relacji z różnymi grupami interesariuszy.</w:t>
      </w:r>
    </w:p>
    <w:tbl>
      <w:tblPr>
        <w:tblStyle w:val="Tabela-Siatka"/>
        <w:tblW w:w="0" w:type="auto"/>
        <w:tblLook w:val="04A0" w:firstRow="1" w:lastRow="0" w:firstColumn="1" w:lastColumn="0" w:noHBand="0" w:noVBand="1"/>
      </w:tblPr>
      <w:tblGrid>
        <w:gridCol w:w="9062"/>
      </w:tblGrid>
      <w:tr w:rsidR="009D5AB2" w:rsidRPr="00795F17" w14:paraId="6B5EBB2E"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5CCE91DF" w14:textId="29E70409" w:rsidR="009D5AB2" w:rsidRPr="00795F17" w:rsidRDefault="009D5AB2" w:rsidP="0052619E">
            <w:pPr>
              <w:jc w:val="right"/>
              <w:rPr>
                <w:b w:val="0"/>
              </w:rPr>
            </w:pPr>
            <w:r w:rsidRPr="00795F17">
              <w:t xml:space="preserve">Poziom krajowy </w:t>
            </w:r>
            <w:r w:rsidR="00C26AA4">
              <w:t>–</w:t>
            </w:r>
            <w:r w:rsidRPr="00795F17">
              <w:t xml:space="preserve"> strategie rozwoju</w:t>
            </w:r>
          </w:p>
          <w:p w14:paraId="7BBF0CE6" w14:textId="41AB81E6" w:rsidR="009D5AB2" w:rsidRPr="00795F17" w:rsidRDefault="009D5AB2" w:rsidP="0052619E">
            <w:pPr>
              <w:jc w:val="left"/>
              <w:rPr>
                <w:b w:val="0"/>
                <w:bCs/>
              </w:rPr>
            </w:pPr>
            <w:bookmarkStart w:id="1013" w:name="_Hlk60761097"/>
            <w:r w:rsidRPr="00795F17">
              <w:rPr>
                <w:bCs/>
              </w:rPr>
              <w:t>Strategia produktywności 2030 (SP 2030)</w:t>
            </w:r>
            <w:bookmarkEnd w:id="1013"/>
            <w:r w:rsidRPr="00795F17">
              <w:rPr>
                <w:bCs/>
              </w:rPr>
              <w:br/>
            </w:r>
            <w:r w:rsidRPr="00D415A7">
              <w:t>Jedna z dziewięciu horyzontalnych zintegrowanych strategii rozwoju</w:t>
            </w:r>
          </w:p>
        </w:tc>
      </w:tr>
    </w:tbl>
    <w:p w14:paraId="2C3FB5A5" w14:textId="1E928624" w:rsidR="009D5AB2" w:rsidRPr="00795F17" w:rsidRDefault="009D5AB2" w:rsidP="0044393D">
      <w:pPr>
        <w:rPr>
          <w:b/>
          <w:bCs/>
        </w:rPr>
      </w:pPr>
      <w:r w:rsidRPr="00795F17">
        <w:rPr>
          <w:b/>
          <w:bCs/>
        </w:rPr>
        <w:t xml:space="preserve">Cele i oczekiwane rezultaty wdrożenia dokumentu: </w:t>
      </w:r>
      <w:r w:rsidR="00C26AA4">
        <w:t>p</w:t>
      </w:r>
      <w:r w:rsidRPr="00795F17">
        <w:t>rogresywny wzrost produktywności w warunkach gospodarki: neutralnej klimatycznie, o obiegu zamkniętym, opartej na danych. Dokument określa cele związane z zasobami naturalnymi (w tym zasobami wodnymi), do których zalicza się wzrost wydajności surowcowej gospodarki oraz wykorzystania surowców odnawialnych i biomasy w gospodarce.</w:t>
      </w:r>
    </w:p>
    <w:p w14:paraId="23283E01" w14:textId="7630E7BE" w:rsidR="009D5AB2" w:rsidRPr="00795F17" w:rsidRDefault="009D5AB2" w:rsidP="0044393D">
      <w:pPr>
        <w:rPr>
          <w:b/>
          <w:bCs/>
        </w:rPr>
      </w:pPr>
      <w:r w:rsidRPr="00795F17">
        <w:rPr>
          <w:b/>
          <w:bCs/>
        </w:rPr>
        <w:t xml:space="preserve">Obszar problemowy: </w:t>
      </w:r>
      <w:r w:rsidR="00C26AA4">
        <w:t>p</w:t>
      </w:r>
      <w:r w:rsidRPr="00795F17">
        <w:t>rojekt SP 2030 identyfikuje siedem obszarów istotnych dla transformacji gospodarki w przyszłości. Pięć z nich to zasoby komplementarne, synergiczne, które pozwalają na wzrost produktywności i innowacyjności oraz przystosowanie do ogólnoświatowych makrotrendów. Zalicza się do nich m.in. zasoby naturalne, w tym zasoby wodne.</w:t>
      </w:r>
    </w:p>
    <w:p w14:paraId="59DF75A4" w14:textId="77777777" w:rsidR="009D5AB2" w:rsidRPr="00795F17" w:rsidRDefault="009D5AB2" w:rsidP="0044393D">
      <w:r w:rsidRPr="00795F17">
        <w:rPr>
          <w:b/>
          <w:bCs/>
        </w:rPr>
        <w:t xml:space="preserve">Sposób osiągnięcia zakładanych celów i/lub rozwiązania zidentyfikowanych problemów: </w:t>
      </w:r>
      <w:r w:rsidRPr="00795F17">
        <w:t xml:space="preserve">SP 2030 określa kierunki interwencji oraz instrumenty wsparcia stosowane przez struktury rządzące w kolejnych latach w celu pobudzenia wzrostu poziomu inwestycji i produktywności przedsiębiorstw w kraju, z uwzględnieniem aspektów środowiskowych (m.in. zużycia wody w produkcji). Określone w dokumencie cele dotyczące aspektów środowiskowych mają zostać spełnione dzięki optymalizacji gospodarowania surowcami nieodnawialnymi ze szczególnym uwzględnieniem ich jakości, wartości i możliwości wielokrotnego użycia. Jest to związane z działaniem polegającym na zwiększaniu wydajności gospodarowania surowcami w całym cyklu życia, tj. upowszechnianiem narzędzia pomiaru śladu środowiskowego. </w:t>
      </w:r>
    </w:p>
    <w:p w14:paraId="6CB10724" w14:textId="1CE8537B" w:rsidR="009D5AB2" w:rsidRPr="00795F17" w:rsidRDefault="009D5AB2" w:rsidP="0044393D">
      <w:r w:rsidRPr="00795F17">
        <w:t xml:space="preserve">W dokumencie zwraca się również uwagę na działania związane z ekoprojektowaniem, które w założeniu ma się przekładać na optymalizację procesów produkcji, zmniejszenie zużycia wody bądź </w:t>
      </w:r>
      <w:r w:rsidR="00E57324" w:rsidRPr="00795F17">
        <w:t>redukcję emisji do wody</w:t>
      </w:r>
      <w:r w:rsidRPr="00795F17">
        <w:t>.</w:t>
      </w:r>
    </w:p>
    <w:tbl>
      <w:tblPr>
        <w:tblStyle w:val="Tabela-Siatka"/>
        <w:tblW w:w="0" w:type="auto"/>
        <w:tblLook w:val="04A0" w:firstRow="1" w:lastRow="0" w:firstColumn="1" w:lastColumn="0" w:noHBand="0" w:noVBand="1"/>
      </w:tblPr>
      <w:tblGrid>
        <w:gridCol w:w="9016"/>
      </w:tblGrid>
      <w:tr w:rsidR="009D5AB2" w:rsidRPr="00795F17" w14:paraId="7675DE9A"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5E6BE5DD" w14:textId="4D376DF7" w:rsidR="009D5AB2" w:rsidRPr="00795F17" w:rsidRDefault="009D5AB2" w:rsidP="0052619E">
            <w:pPr>
              <w:jc w:val="right"/>
              <w:rPr>
                <w:b w:val="0"/>
              </w:rPr>
            </w:pPr>
            <w:bookmarkStart w:id="1014" w:name="_Hlk60824931"/>
            <w:r w:rsidRPr="00795F17">
              <w:t xml:space="preserve">Poziom krajowy </w:t>
            </w:r>
            <w:r w:rsidR="00C26AA4">
              <w:t>–</w:t>
            </w:r>
            <w:r w:rsidRPr="00795F17">
              <w:t xml:space="preserve"> polityki publiczne</w:t>
            </w:r>
          </w:p>
          <w:p w14:paraId="6C5E3DCD" w14:textId="77777777" w:rsidR="009D5AB2" w:rsidRPr="00795F17" w:rsidRDefault="009D5AB2" w:rsidP="0044393D">
            <w:pPr>
              <w:rPr>
                <w:b w:val="0"/>
              </w:rPr>
            </w:pPr>
            <w:bookmarkStart w:id="1015" w:name="_Hlk60761321"/>
            <w:r w:rsidRPr="00795F17">
              <w:t>Krajowy plan na rzecz energii i klimatu na lata 2021-2030 (KPEiK)</w:t>
            </w:r>
            <w:bookmarkEnd w:id="1015"/>
          </w:p>
        </w:tc>
      </w:tr>
    </w:tbl>
    <w:bookmarkEnd w:id="1014"/>
    <w:p w14:paraId="22E9A0F9" w14:textId="62828601" w:rsidR="009D5AB2" w:rsidRPr="00795F17" w:rsidRDefault="009D5AB2" w:rsidP="0044393D">
      <w:pPr>
        <w:rPr>
          <w:b/>
          <w:bCs/>
        </w:rPr>
      </w:pPr>
      <w:r w:rsidRPr="00795F17">
        <w:rPr>
          <w:b/>
          <w:bCs/>
        </w:rPr>
        <w:t xml:space="preserve">Cele i oczekiwane rezultaty wdrożenia dokumentu: </w:t>
      </w:r>
      <w:r w:rsidR="00C26AA4">
        <w:t>z</w:t>
      </w:r>
      <w:r w:rsidRPr="00795F17">
        <w:t>równoważona, ekonomicznie efektywna i sprawiedliwa transformacja w kierunku gospodarki niskoemisyjnej.</w:t>
      </w:r>
    </w:p>
    <w:p w14:paraId="77D14100" w14:textId="445BB612" w:rsidR="009D5AB2" w:rsidRPr="00795F17" w:rsidRDefault="009D5AB2" w:rsidP="0044393D">
      <w:r w:rsidRPr="00795F17">
        <w:rPr>
          <w:b/>
          <w:bCs/>
        </w:rPr>
        <w:t xml:space="preserve">Obszar problemowy: </w:t>
      </w:r>
      <w:r w:rsidR="00C26AA4">
        <w:t>o</w:t>
      </w:r>
      <w:r w:rsidRPr="00795F17">
        <w:t>bniżenie emisyjności m.in. w obszarze gospodarki wodnej.</w:t>
      </w:r>
    </w:p>
    <w:p w14:paraId="31B7A752" w14:textId="3DC48607" w:rsidR="009D5AB2" w:rsidRPr="00795F17" w:rsidRDefault="009D5AB2" w:rsidP="0044393D">
      <w:r w:rsidRPr="00795F17">
        <w:rPr>
          <w:b/>
          <w:bCs/>
        </w:rPr>
        <w:t xml:space="preserve">Sposób osiągnięcia zakładanych celów i/lub rozwiązania zidentyfikowanych problemów: </w:t>
      </w:r>
      <w:r w:rsidR="00C26AA4">
        <w:t>d</w:t>
      </w:r>
      <w:r w:rsidRPr="00795F17">
        <w:t>okument wyróżnia m.in. działania na rzecz dostosowania sektora gospodarki wodnej do zmian klimatu. Są</w:t>
      </w:r>
      <w:r w:rsidR="00FB575E">
        <w:t> </w:t>
      </w:r>
      <w:r w:rsidRPr="00795F17">
        <w:t>to</w:t>
      </w:r>
      <w:r w:rsidR="00FB575E">
        <w:t> </w:t>
      </w:r>
      <w:r w:rsidRPr="00795F17">
        <w:t>m.in. inicjatywy w zakresie: opracowania i wdrożenia metod oceny ryzyka powodziowego na obszarach miejskich; zwiększenia odporności systemu zarządzania ryzykiem powodziowym na skutki zmian klimatu; zwiększenia możliwości retencyjnych i renaturyzacji cieków wodnych; przywracania i utrzymania dobrego stanu wód, ekosystemów wodnych i od w</w:t>
      </w:r>
      <w:r w:rsidR="003A45F3">
        <w:t xml:space="preserve">ód </w:t>
      </w:r>
      <w:r w:rsidRPr="00795F17">
        <w:t>zależnych, w tym realizacji działań wynikających z ustaleń planów gospodarowania wodami na obszarach dorzeczy lub</w:t>
      </w:r>
      <w:r w:rsidR="004F3677">
        <w:t> </w:t>
      </w:r>
      <w:r w:rsidRPr="00795F17">
        <w:t>aktualizacji tych planów. Ponadto dokument wskazuje istotną rolę poszczególnych technologii OZE w miksie energetycznym w podziale na źródła sterowalne i niesterowalne, zwłaszcza w obszarze hydroenergii wykorzystującej zasoby wodne. W KPEiK zaprezentowano również działania związane z łagodzeniem zmian klimatu i adaptacją do nich, a także zapobieganiem ryzyku klęsk żywiołowych.</w:t>
      </w:r>
    </w:p>
    <w:tbl>
      <w:tblPr>
        <w:tblStyle w:val="Tabela-Siatka"/>
        <w:tblW w:w="0" w:type="auto"/>
        <w:tblLook w:val="04A0" w:firstRow="1" w:lastRow="0" w:firstColumn="1" w:lastColumn="0" w:noHBand="0" w:noVBand="1"/>
      </w:tblPr>
      <w:tblGrid>
        <w:gridCol w:w="9062"/>
      </w:tblGrid>
      <w:tr w:rsidR="009D5AB2" w:rsidRPr="00795F17" w14:paraId="5D3B0CEB"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6D9AB440" w14:textId="42D81B8B" w:rsidR="009D5AB2" w:rsidRPr="00795F17" w:rsidRDefault="009D5AB2" w:rsidP="0052619E">
            <w:pPr>
              <w:jc w:val="right"/>
              <w:rPr>
                <w:b w:val="0"/>
              </w:rPr>
            </w:pPr>
            <w:r w:rsidRPr="00795F17">
              <w:t xml:space="preserve">Poziom krajowy </w:t>
            </w:r>
            <w:r w:rsidR="00C26AA4">
              <w:t>–</w:t>
            </w:r>
            <w:r w:rsidRPr="00795F17">
              <w:t xml:space="preserve"> polityki publiczne</w:t>
            </w:r>
          </w:p>
          <w:p w14:paraId="6301F5AE" w14:textId="0C059751" w:rsidR="009D5AB2" w:rsidRPr="00795F17" w:rsidRDefault="009D5AB2" w:rsidP="0044393D">
            <w:pPr>
              <w:rPr>
                <w:b w:val="0"/>
              </w:rPr>
            </w:pPr>
            <w:bookmarkStart w:id="1016" w:name="_Hlk60761967"/>
            <w:r w:rsidRPr="00795F17">
              <w:t>Polityka morska Rzeczypospolitej Polskiej do 2020 r. (z perspektywą do 2030 r.)</w:t>
            </w:r>
            <w:bookmarkEnd w:id="1016"/>
          </w:p>
        </w:tc>
      </w:tr>
    </w:tbl>
    <w:p w14:paraId="3D6B851D" w14:textId="77A57098" w:rsidR="009D5AB2" w:rsidRPr="00795F17" w:rsidRDefault="009D5AB2" w:rsidP="0044393D">
      <w:r w:rsidRPr="00795F17">
        <w:rPr>
          <w:b/>
          <w:bCs/>
        </w:rPr>
        <w:t xml:space="preserve">Cele i oczekiwane rezultaty wdrożenia dokumentu: </w:t>
      </w:r>
      <w:r w:rsidR="00C26AA4">
        <w:t>k</w:t>
      </w:r>
      <w:r w:rsidRPr="00795F17">
        <w:t>ompleksowe wykorzystanie morskiego potencjału Polski, obejmujące rozwój gospodarki morskiej; ściśle związane z użytkowaniem morza, z uwzględnieniem konieczności podjęcia działań w zakresie poprawy stanu zasobów wód morskich oraz ograniczenia emisji szkodliwych substancji do morza.</w:t>
      </w:r>
    </w:p>
    <w:p w14:paraId="60DE7908" w14:textId="20DD73E7" w:rsidR="009D5AB2" w:rsidRPr="00795F17" w:rsidRDefault="009D5AB2" w:rsidP="0044393D">
      <w:pPr>
        <w:rPr>
          <w:b/>
          <w:bCs/>
        </w:rPr>
      </w:pPr>
      <w:r w:rsidRPr="00795F17">
        <w:rPr>
          <w:b/>
          <w:bCs/>
        </w:rPr>
        <w:t xml:space="preserve">Obszar problemowy: </w:t>
      </w:r>
      <w:r w:rsidR="00C26AA4">
        <w:t>w</w:t>
      </w:r>
      <w:r w:rsidRPr="00795F17">
        <w:t>zrost świadomości roli oraz znaczenia zasobów morskich w rozwoju społeczno-gospodarczym kraju.</w:t>
      </w:r>
    </w:p>
    <w:p w14:paraId="51D61D65" w14:textId="6AB421FB" w:rsidR="009D5AB2" w:rsidRPr="00795F17" w:rsidRDefault="009D5AB2" w:rsidP="0044393D">
      <w:r w:rsidRPr="00795F17">
        <w:rPr>
          <w:b/>
          <w:bCs/>
        </w:rPr>
        <w:t xml:space="preserve">Sposób osiągnięcia zakładanych celów i/lub rozwiązania zidentyfikowanych problemów: </w:t>
      </w:r>
      <w:r w:rsidR="00C26AA4">
        <w:t>d</w:t>
      </w:r>
      <w:r w:rsidRPr="00795F17">
        <w:t>okument zawiera procedury, instrumenty prawne i ekonomiczne potrzebne do realizacji określonych w dokumencie celów w panujących warunkach politycznych i społeczno-gospodarczych. Wśród koniecznych do podjęcia działań dokument wskazuje m.in.: wzmocnienie pozycji polskich portów morskich, zwiększenie konkurencyjności transportu morskiego oraz zapewnienie bezpieczeństwa na morzu. Istotnym kierunkiem są również poprawa stanu środowiska morskiego i ochrona brzegu morskiego, stworzenie warunków do rozwoju gospodarki morskiej opartej na wiedzy oraz racjonalne korzystanie z zasobów naturalnych środowiska przyrodniczego. Za ważne aspekty polityki morskiej uznaje się również zrównoważone zarządzanie rybołówstwem morskim oraz usprawnienie zarządzania morskiego.</w:t>
      </w:r>
    </w:p>
    <w:tbl>
      <w:tblPr>
        <w:tblStyle w:val="Tabela-Siatka"/>
        <w:tblW w:w="0" w:type="auto"/>
        <w:tblLook w:val="04A0" w:firstRow="1" w:lastRow="0" w:firstColumn="1" w:lastColumn="0" w:noHBand="0" w:noVBand="1"/>
      </w:tblPr>
      <w:tblGrid>
        <w:gridCol w:w="9062"/>
      </w:tblGrid>
      <w:tr w:rsidR="009D5AB2" w:rsidRPr="00795F17" w14:paraId="46251727"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1E327E57" w14:textId="1B889BD0" w:rsidR="009D5AB2" w:rsidRPr="00795F17" w:rsidRDefault="009D5AB2" w:rsidP="0052619E">
            <w:pPr>
              <w:jc w:val="right"/>
              <w:rPr>
                <w:b w:val="0"/>
              </w:rPr>
            </w:pPr>
            <w:r w:rsidRPr="00795F17">
              <w:t xml:space="preserve">Poziom krajowy </w:t>
            </w:r>
            <w:r w:rsidR="00C26AA4">
              <w:t>–</w:t>
            </w:r>
            <w:r w:rsidRPr="00795F17">
              <w:t xml:space="preserve"> polityki publiczne</w:t>
            </w:r>
          </w:p>
          <w:p w14:paraId="1225907F" w14:textId="207F0E3C" w:rsidR="009D5AB2" w:rsidRPr="00795F17" w:rsidRDefault="009D5AB2" w:rsidP="0044393D">
            <w:pPr>
              <w:rPr>
                <w:b w:val="0"/>
              </w:rPr>
            </w:pPr>
            <w:bookmarkStart w:id="1017" w:name="_Hlk60761993"/>
            <w:r w:rsidRPr="00795F17">
              <w:t>Krajowa Polityka Miejska 2023</w:t>
            </w:r>
            <w:bookmarkEnd w:id="1017"/>
          </w:p>
        </w:tc>
      </w:tr>
    </w:tbl>
    <w:p w14:paraId="17F603CB" w14:textId="62CE372D" w:rsidR="009D5AB2" w:rsidRPr="00795F17" w:rsidRDefault="009D5AB2" w:rsidP="0044393D">
      <w:pPr>
        <w:rPr>
          <w:b/>
          <w:bCs/>
        </w:rPr>
      </w:pPr>
      <w:r w:rsidRPr="00795F17">
        <w:rPr>
          <w:b/>
          <w:bCs/>
        </w:rPr>
        <w:t xml:space="preserve">Cele i oczekiwane rezultaty wdrożenia dokumentu: </w:t>
      </w:r>
      <w:r w:rsidR="00C26AA4">
        <w:t>z</w:t>
      </w:r>
      <w:r w:rsidRPr="00795F17">
        <w:t xml:space="preserve">równoważony rozwój miast oraz ich obszarów funkcjonalnych z wykorzystaniem ich potencjału w procesach rozwoju państwa. </w:t>
      </w:r>
    </w:p>
    <w:p w14:paraId="53FC474E" w14:textId="1C27B788" w:rsidR="009D5AB2" w:rsidRPr="00795F17" w:rsidRDefault="009D5AB2" w:rsidP="0044393D">
      <w:pPr>
        <w:rPr>
          <w:b/>
          <w:bCs/>
        </w:rPr>
      </w:pPr>
      <w:r w:rsidRPr="00795F17">
        <w:rPr>
          <w:b/>
          <w:bCs/>
        </w:rPr>
        <w:t xml:space="preserve">Obszar problemowy: </w:t>
      </w:r>
      <w:r w:rsidR="00C26AA4">
        <w:t>w</w:t>
      </w:r>
      <w:r w:rsidRPr="00795F17">
        <w:t xml:space="preserve">zmocnienie zdolności miast oraz obszarów zurbanizowanych do promowania zrównoważonego rozwoju poprzez dbałość o wysoką jakość polityki miejskiej na poziomie krajowym oraz samorządowym. </w:t>
      </w:r>
    </w:p>
    <w:p w14:paraId="10485CE5" w14:textId="3AB88B63" w:rsidR="009D5AB2" w:rsidRPr="00795F17" w:rsidRDefault="009D5AB2" w:rsidP="0044393D">
      <w:r w:rsidRPr="00795F17">
        <w:rPr>
          <w:b/>
          <w:bCs/>
        </w:rPr>
        <w:t xml:space="preserve">Sposób osiągnięcia zakładanych celów i/lub rozwiązania zidentyfikowanych problemów: </w:t>
      </w:r>
      <w:r w:rsidR="00C26AA4">
        <w:t>d</w:t>
      </w:r>
      <w:r w:rsidRPr="00795F17">
        <w:t xml:space="preserve">okument wskazuje kierunki interwencji, takie jak zarządzanie wodą w mieście, uwzględniające lepsze wykorzystanie układu hydrograficznego w układzie miejskim czy zwiększenie możliwości obszarów miejskich. W zakresie monitoringu i ostrzegania o zagrożeniach środowiskowych (m.in. powodzi) przewiduje działania mające na celu rozbudowę systemów monitorowania zjawisk przyrodniczych. </w:t>
      </w:r>
    </w:p>
    <w:p w14:paraId="432083B3" w14:textId="77777777" w:rsidR="009D5AB2" w:rsidRPr="00795F17" w:rsidRDefault="009D5AB2" w:rsidP="0044393D">
      <w:r w:rsidRPr="00795F17">
        <w:t xml:space="preserve">Ponadto dokument wskazuje potrzebę przeglądu skuteczności stosowania prawa dotyczącego gospodarki wodnej w zakresie zasad inwestowania na obszarach narażonych na niebezpieczeństwo powodzi (tereny zalewowe). </w:t>
      </w:r>
    </w:p>
    <w:p w14:paraId="516940F2" w14:textId="54C82A88" w:rsidR="009D5AB2" w:rsidRPr="00795F17" w:rsidRDefault="009D5AB2" w:rsidP="00C53C86">
      <w:pPr>
        <w:pStyle w:val="Nagwek3"/>
      </w:pPr>
      <w:bookmarkStart w:id="1018" w:name="_Toc105512738"/>
      <w:r w:rsidRPr="00795F17">
        <w:t xml:space="preserve">Dokumenty i inne instrumenty o charakterze operacyjno-wdrożeniowym </w:t>
      </w:r>
      <w:r w:rsidR="00C26AA4">
        <w:t>–</w:t>
      </w:r>
      <w:r w:rsidRPr="00795F17">
        <w:t xml:space="preserve"> komplementarne względem zapisów IIaPGW</w:t>
      </w:r>
      <w:bookmarkEnd w:id="1018"/>
    </w:p>
    <w:tbl>
      <w:tblPr>
        <w:tblStyle w:val="Tabela-Siatka"/>
        <w:tblW w:w="0" w:type="auto"/>
        <w:tblLook w:val="04A0" w:firstRow="1" w:lastRow="0" w:firstColumn="1" w:lastColumn="0" w:noHBand="0" w:noVBand="1"/>
      </w:tblPr>
      <w:tblGrid>
        <w:gridCol w:w="9062"/>
      </w:tblGrid>
      <w:tr w:rsidR="009D5AB2" w:rsidRPr="00795F17" w14:paraId="019AC708"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4DED525D" w14:textId="1E148DE2" w:rsidR="009D5AB2" w:rsidRPr="00795F17" w:rsidRDefault="009D5AB2" w:rsidP="0052619E">
            <w:pPr>
              <w:jc w:val="right"/>
              <w:rPr>
                <w:b w:val="0"/>
              </w:rPr>
            </w:pPr>
            <w:bookmarkStart w:id="1019" w:name="_Hlk67450666"/>
            <w:r w:rsidRPr="00795F17">
              <w:t xml:space="preserve">Poziom krajowy </w:t>
            </w:r>
            <w:r w:rsidR="00C26AA4">
              <w:t>–</w:t>
            </w:r>
            <w:r w:rsidRPr="00795F17">
              <w:t xml:space="preserve"> programy rozwoju</w:t>
            </w:r>
          </w:p>
          <w:p w14:paraId="247D9A72" w14:textId="611924AD" w:rsidR="009D5AB2" w:rsidRPr="00795F17" w:rsidRDefault="009D5AB2" w:rsidP="0052619E">
            <w:pPr>
              <w:jc w:val="left"/>
              <w:rPr>
                <w:i/>
                <w:iCs/>
              </w:rPr>
            </w:pPr>
            <w:bookmarkStart w:id="1020" w:name="_Hlk60769880"/>
            <w:r w:rsidRPr="00795F17">
              <w:t>Krajowy Program Oczyszczania Ścieków Komunalnych (KPOŚK</w:t>
            </w:r>
            <w:bookmarkEnd w:id="1020"/>
            <w:r w:rsidRPr="00795F17">
              <w:t>)</w:t>
            </w:r>
            <w:r w:rsidRPr="00795F17">
              <w:br/>
            </w:r>
            <w:r w:rsidRPr="00D415A7">
              <w:t>Aktualizacja</w:t>
            </w:r>
          </w:p>
        </w:tc>
      </w:tr>
    </w:tbl>
    <w:p w14:paraId="29D2398D" w14:textId="11D76589" w:rsidR="009D5AB2" w:rsidRPr="00795F17" w:rsidRDefault="009D5AB2" w:rsidP="0044393D">
      <w:r w:rsidRPr="00795F17">
        <w:rPr>
          <w:b/>
          <w:bCs/>
        </w:rPr>
        <w:t xml:space="preserve">Cele i oczekiwane rezultaty wdrożenia dokumentu: </w:t>
      </w:r>
      <w:r w:rsidR="0065249A">
        <w:t>z</w:t>
      </w:r>
      <w:r w:rsidRPr="00795F17">
        <w:t xml:space="preserve">identyfikowanie faktycznych potrzeb w zakresie uporządkowania gospodarki ściekowej oraz uszeregowanie ich realizacji w taki sposób, aby wywiązać się z wymagań wynikających z dyrektywy Rady </w:t>
      </w:r>
      <w:r w:rsidR="00C754F1" w:rsidRPr="00795F17">
        <w:t>91/</w:t>
      </w:r>
      <w:r w:rsidR="00DD77F1" w:rsidRPr="002B4A50">
        <w:rPr>
          <w:bCs/>
        </w:rPr>
        <w:t xml:space="preserve">271/EWG z dnia 21 maja </w:t>
      </w:r>
      <w:r w:rsidR="00C754F1" w:rsidRPr="00795F17">
        <w:t>1991 r.</w:t>
      </w:r>
      <w:r w:rsidRPr="00795F17">
        <w:t>, dotyczącej oczyszczania ścieków komunalnych, oraz z zobowiązań traktatu akcesyjnego.</w:t>
      </w:r>
    </w:p>
    <w:bookmarkEnd w:id="1019"/>
    <w:p w14:paraId="00F6A02F" w14:textId="798772D7" w:rsidR="009D5AB2" w:rsidRPr="00795F17" w:rsidRDefault="009D5AB2" w:rsidP="0044393D">
      <w:pPr>
        <w:rPr>
          <w:b/>
          <w:bCs/>
        </w:rPr>
      </w:pPr>
      <w:r w:rsidRPr="00795F17">
        <w:rPr>
          <w:b/>
          <w:bCs/>
        </w:rPr>
        <w:t>Obszar problemowy:</w:t>
      </w:r>
      <w:r w:rsidRPr="00795F17">
        <w:t xml:space="preserve"> [ANTROPOPREJSA - ZANIECZYSZCZENIE WÓD</w:t>
      </w:r>
      <w:r w:rsidR="00754485" w:rsidRPr="00795F17">
        <w:t>]</w:t>
      </w:r>
      <w:r w:rsidRPr="00795F17">
        <w:t xml:space="preserve"> </w:t>
      </w:r>
      <w:r w:rsidR="0065249A">
        <w:t>z</w:t>
      </w:r>
      <w:r w:rsidRPr="00795F17">
        <w:t xml:space="preserve">mniejszenie zanieczyszczenia wód biogenami </w:t>
      </w:r>
      <w:r w:rsidR="00CF2AAB" w:rsidRPr="00795F17">
        <w:t xml:space="preserve">pochodzenia komunalnego </w:t>
      </w:r>
      <w:r w:rsidRPr="00795F17">
        <w:t>poprzez redukcję zanieczyszczeń biodegradowalnych oraz</w:t>
      </w:r>
      <w:r w:rsidR="00055E86">
        <w:t> </w:t>
      </w:r>
      <w:r w:rsidRPr="00795F17">
        <w:t>związków azotu i fosforu z oczyszczalni ścieków.</w:t>
      </w:r>
      <w:r w:rsidRPr="00795F17">
        <w:rPr>
          <w:b/>
          <w:bCs/>
        </w:rPr>
        <w:t xml:space="preserve"> </w:t>
      </w:r>
    </w:p>
    <w:p w14:paraId="106BCE68" w14:textId="77777777" w:rsidR="009D5AB2" w:rsidRPr="00795F17" w:rsidRDefault="009D5AB2" w:rsidP="0044393D">
      <w:r w:rsidRPr="00795F17">
        <w:rPr>
          <w:b/>
          <w:bCs/>
        </w:rPr>
        <w:t xml:space="preserve">Sposób osiągnięcia zakładanych celów i/lub rozwiązania zidentyfikowanych problemów: </w:t>
      </w:r>
      <w:r w:rsidRPr="00795F17">
        <w:t>KPOŚK jest dokumentem o charakterze programowym, obejmującym wykaz aglomeracji, które w określonych w nim terminach muszą zostać wyposażone w systemy kanalizacji zbiorczej i oczyszczalnie ścieków.</w:t>
      </w:r>
    </w:p>
    <w:p w14:paraId="12DA24C5" w14:textId="348F8EFF" w:rsidR="009D5AB2" w:rsidRPr="00795F17" w:rsidRDefault="00DF4380" w:rsidP="0044393D">
      <w:r w:rsidRPr="00DF4380">
        <w:t>Po raz pierwszy KPOŚK przygotowany został w 2003 r. Obecnie</w:t>
      </w:r>
      <w:r w:rsidR="00274490">
        <w:t xml:space="preserve"> obowiązuje VI aktualizacja KPOŚK</w:t>
      </w:r>
      <w:r w:rsidR="001E0758">
        <w:t>, przyjęta przez Radę Ministrów w dniu 5 maja 2022 r.</w:t>
      </w:r>
      <w:r w:rsidRPr="00DF4380">
        <w:t>, w ramach której zaplanowano kolejne przedsięwzięcia z zakresu budowy nowych oczyszczalni ścieków modernizacji, rozbudowy lub likwidacji istniejących oczyszczalni. W VIaKPOŚK zakłada się również dalszą rozbudowę i modernizację sieci kanalizacyjnej oraz modernizację gospodarki osadowej na oczyszczalniach ścieków</w:t>
      </w:r>
      <w:r w:rsidR="009D5AB2" w:rsidRPr="00795F17">
        <w:t>.</w:t>
      </w:r>
      <w:r w:rsidR="007C35C5" w:rsidRPr="00795F17">
        <w:t xml:space="preserve"> </w:t>
      </w:r>
    </w:p>
    <w:tbl>
      <w:tblPr>
        <w:tblStyle w:val="Tabela-Siatka"/>
        <w:tblW w:w="5000" w:type="pct"/>
        <w:tblLook w:val="04A0" w:firstRow="1" w:lastRow="0" w:firstColumn="1" w:lastColumn="0" w:noHBand="0" w:noVBand="1"/>
      </w:tblPr>
      <w:tblGrid>
        <w:gridCol w:w="9062"/>
      </w:tblGrid>
      <w:tr w:rsidR="009D5AB2" w:rsidRPr="00795F17" w14:paraId="49E2ED02" w14:textId="77777777" w:rsidTr="00290790">
        <w:trPr>
          <w:cnfStyle w:val="100000000000" w:firstRow="1" w:lastRow="0" w:firstColumn="0" w:lastColumn="0" w:oddVBand="0" w:evenVBand="0" w:oddHBand="0" w:evenHBand="0" w:firstRowFirstColumn="0" w:firstRowLastColumn="0" w:lastRowFirstColumn="0" w:lastRowLastColumn="0"/>
          <w:cantSplit/>
          <w:trHeight w:val="1134"/>
        </w:trPr>
        <w:tc>
          <w:tcPr>
            <w:tcW w:w="5000" w:type="pct"/>
            <w:shd w:val="clear" w:color="auto" w:fill="003399"/>
          </w:tcPr>
          <w:p w14:paraId="55C14AA5" w14:textId="4352F58F" w:rsidR="009D5AB2" w:rsidRDefault="009D5AB2" w:rsidP="0052619E">
            <w:pPr>
              <w:jc w:val="right"/>
              <w:rPr>
                <w:b w:val="0"/>
              </w:rPr>
            </w:pPr>
            <w:r w:rsidRPr="00795F17">
              <w:t xml:space="preserve">Poziom krajowy </w:t>
            </w:r>
            <w:r w:rsidR="0065249A">
              <w:t>–</w:t>
            </w:r>
            <w:r w:rsidRPr="00795F17">
              <w:t xml:space="preserve"> programy rozwoju</w:t>
            </w:r>
          </w:p>
          <w:p w14:paraId="066606F1" w14:textId="77777777" w:rsidR="00DD4190" w:rsidRPr="00795F17" w:rsidRDefault="00DD4190" w:rsidP="0052619E">
            <w:pPr>
              <w:jc w:val="right"/>
              <w:rPr>
                <w:b w:val="0"/>
              </w:rPr>
            </w:pPr>
          </w:p>
          <w:p w14:paraId="735974CE" w14:textId="5BF73313" w:rsidR="009D5AB2" w:rsidRPr="00795F17" w:rsidRDefault="009D5AB2" w:rsidP="0052619E">
            <w:pPr>
              <w:jc w:val="left"/>
              <w:rPr>
                <w:i/>
                <w:iCs/>
              </w:rPr>
            </w:pPr>
            <w:bookmarkStart w:id="1021" w:name="_Hlk60770118"/>
            <w:r w:rsidRPr="00795F17">
              <w:t xml:space="preserve">Program działań mających na celu zmniejszenie </w:t>
            </w:r>
            <w:r w:rsidR="00DD4190">
              <w:br/>
            </w:r>
            <w:r w:rsidRPr="00795F17">
              <w:t xml:space="preserve">zanieczyszczenia wód azotanami pochodzącymi ze źródeł rolniczych oraz zapobieganie dalszemu zanieczyszczeniu </w:t>
            </w:r>
            <w:bookmarkEnd w:id="1021"/>
            <w:r w:rsidRPr="00795F17">
              <w:br/>
            </w:r>
            <w:r w:rsidRPr="00795F17">
              <w:rPr>
                <w:b w:val="0"/>
              </w:rPr>
              <w:t>wraz ze</w:t>
            </w:r>
            <w:r w:rsidRPr="00D415A7">
              <w:t xml:space="preserve"> Zbiorem zaleceń dobrej praktyki rolnej mający na celu ochronę wód przed zanieczyszczeniem azotanami pochodzącymi ze źródeł rolniczych (Warszawa, luty 2019 r.)</w:t>
            </w:r>
          </w:p>
        </w:tc>
      </w:tr>
    </w:tbl>
    <w:p w14:paraId="21AB4E67" w14:textId="43DA8505" w:rsidR="009D5AB2" w:rsidRPr="00795F17" w:rsidRDefault="009D5AB2" w:rsidP="0044393D">
      <w:r w:rsidRPr="00795F17">
        <w:rPr>
          <w:b/>
          <w:bCs/>
        </w:rPr>
        <w:t xml:space="preserve">Cele i oczekiwane rezultaty wdrożenia dokumentu: </w:t>
      </w:r>
      <w:r w:rsidR="0065249A">
        <w:t>o</w:t>
      </w:r>
      <w:r w:rsidR="00175B01" w:rsidRPr="00795F17">
        <w:t>graniczenie wprowadzania azotanów pochodzenia rolniczego do wód powierzchniowych i podziemnych, aby wywiązać się z wymagań wynikających z </w:t>
      </w:r>
      <w:r w:rsidR="007465E4">
        <w:t>Dyrektywy Azotanowej.</w:t>
      </w:r>
    </w:p>
    <w:p w14:paraId="43EB95BE" w14:textId="725D485D" w:rsidR="009D5AB2" w:rsidRPr="00795F17" w:rsidRDefault="009D5AB2" w:rsidP="0044393D">
      <w:r w:rsidRPr="00795F17">
        <w:rPr>
          <w:b/>
          <w:bCs/>
        </w:rPr>
        <w:t>Obszar problemowy:</w:t>
      </w:r>
      <w:r w:rsidRPr="00795F17">
        <w:t xml:space="preserve"> [ANTROPOPRESJA - ZANIECZYSZCZENIE WÓD</w:t>
      </w:r>
      <w:r w:rsidR="00754485" w:rsidRPr="00795F17">
        <w:t>]</w:t>
      </w:r>
      <w:r w:rsidRPr="00795F17">
        <w:t xml:space="preserve"> </w:t>
      </w:r>
      <w:r w:rsidR="0065249A">
        <w:t>o</w:t>
      </w:r>
      <w:r w:rsidRPr="00795F17">
        <w:t>graniczenie wprowadzania azotanów pochodzenia rolniczego do wód powierzchniowych i podziemnych.</w:t>
      </w:r>
    </w:p>
    <w:p w14:paraId="3FDC6913" w14:textId="48F24EFD" w:rsidR="009D5AB2" w:rsidRPr="00795F17" w:rsidRDefault="009D5AB2" w:rsidP="0044393D">
      <w:r w:rsidRPr="00795F17">
        <w:rPr>
          <w:b/>
          <w:bCs/>
        </w:rPr>
        <w:t xml:space="preserve">Sposób osiągnięcia zakładanych celów i/lub rozwiązania zidentyfikowanych problemów: </w:t>
      </w:r>
      <w:r w:rsidR="0065249A">
        <w:t>p</w:t>
      </w:r>
      <w:r w:rsidRPr="00795F17">
        <w:t xml:space="preserve">rogram obliguje wszystkich prowadzących produkcję rolną oraz działalność, w ramach której </w:t>
      </w:r>
      <w:r w:rsidR="00CF2AAB" w:rsidRPr="00795F17">
        <w:t>są </w:t>
      </w:r>
      <w:r w:rsidRPr="00795F17">
        <w:t xml:space="preserve">wykorzystywane lub przechowywane nawozy </w:t>
      </w:r>
      <w:r w:rsidR="0065249A">
        <w:t>–</w:t>
      </w:r>
      <w:r w:rsidRPr="00795F17">
        <w:t xml:space="preserve"> do gospodarowania nimi w zrównoważony sposób. W celu rozwiązania problemu emisji zanieczyszczeń z terenów rolniczych w programie wskazuje się zasady postępowania z nawozami: (1) warunki rolniczego wykorzystania nawozów w pobliżu wód, na terenach o dużym nachyleniu, a także na</w:t>
      </w:r>
      <w:r w:rsidR="00331157" w:rsidRPr="00795F17">
        <w:t xml:space="preserve"> </w:t>
      </w:r>
      <w:r w:rsidRPr="00795F17">
        <w:t>glebach zamarzniętych, zalanych wodą, nasyconych wodą lub przykrytych śniegiem; (2) terminy, w</w:t>
      </w:r>
      <w:r w:rsidR="00331157" w:rsidRPr="00795F17">
        <w:t xml:space="preserve"> </w:t>
      </w:r>
      <w:r w:rsidRPr="00795F17">
        <w:t>których dozwolone jest wykorzystanie nawozów (3) dawki i sposoby nawożenia azotem oraz (4) warunki przechowywania nawozów naturalnych oraz</w:t>
      </w:r>
      <w:r w:rsidR="00055E86">
        <w:t> </w:t>
      </w:r>
      <w:r w:rsidRPr="00795F17">
        <w:t>postępowanie z odciekami.</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62"/>
      </w:tblGrid>
      <w:tr w:rsidR="009D5AB2" w:rsidRPr="00795F17" w14:paraId="503A09B8"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05B7C995" w14:textId="12CD2883" w:rsidR="009D5AB2" w:rsidRDefault="009D5AB2" w:rsidP="0052619E">
            <w:pPr>
              <w:jc w:val="right"/>
              <w:rPr>
                <w:b w:val="0"/>
              </w:rPr>
            </w:pPr>
            <w:r w:rsidRPr="00795F17">
              <w:t xml:space="preserve">Poziom krajowy </w:t>
            </w:r>
            <w:r w:rsidR="0065249A">
              <w:t>–</w:t>
            </w:r>
            <w:r w:rsidRPr="00795F17">
              <w:t xml:space="preserve"> programy rozwoju</w:t>
            </w:r>
          </w:p>
          <w:p w14:paraId="0D5E40F6" w14:textId="77777777" w:rsidR="00DD4190" w:rsidRPr="00795F17" w:rsidRDefault="00DD4190" w:rsidP="0052619E">
            <w:pPr>
              <w:jc w:val="right"/>
              <w:rPr>
                <w:b w:val="0"/>
              </w:rPr>
            </w:pPr>
          </w:p>
          <w:p w14:paraId="76BD1E23" w14:textId="57500115" w:rsidR="009D5AB2" w:rsidRPr="00795F17" w:rsidRDefault="009D5AB2" w:rsidP="0052619E">
            <w:pPr>
              <w:jc w:val="left"/>
            </w:pPr>
            <w:bookmarkStart w:id="1022" w:name="_Hlk60770323"/>
            <w:r w:rsidRPr="00795F17">
              <w:t>Krajowy program renaturyzacji wód powierzchniowych (KPRWP)</w:t>
            </w:r>
            <w:bookmarkEnd w:id="1022"/>
            <w:r w:rsidRPr="00795F17">
              <w:br/>
            </w:r>
            <w:r w:rsidRPr="00D415A7">
              <w:t>wraz z</w:t>
            </w:r>
            <w:r w:rsidRPr="00795F17">
              <w:rPr>
                <w:b w:val="0"/>
                <w:bCs/>
                <w:i/>
                <w:iCs/>
              </w:rPr>
              <w:t xml:space="preserve"> </w:t>
            </w:r>
            <w:r w:rsidRPr="00130F61">
              <w:rPr>
                <w:i/>
              </w:rPr>
              <w:t>Podręcznikiem dobrych praktyk renaturyzacji wód powierzc</w:t>
            </w:r>
            <w:r w:rsidRPr="008C7E16">
              <w:rPr>
                <w:i/>
              </w:rPr>
              <w:t>hniowych</w:t>
            </w:r>
          </w:p>
        </w:tc>
      </w:tr>
    </w:tbl>
    <w:p w14:paraId="5D93ABFD" w14:textId="5B574852" w:rsidR="009D5AB2" w:rsidRPr="00795F17" w:rsidRDefault="009D5AB2" w:rsidP="0044393D">
      <w:r w:rsidRPr="00795F17">
        <w:rPr>
          <w:b/>
          <w:bCs/>
        </w:rPr>
        <w:t xml:space="preserve">Cele i oczekiwane rezultaty wdrożenia dokumentu: </w:t>
      </w:r>
      <w:r w:rsidR="0065249A">
        <w:t>w</w:t>
      </w:r>
      <w:r w:rsidRPr="00795F17">
        <w:t>skazanie kierunku działań oraz</w:t>
      </w:r>
      <w:r w:rsidR="00055E86">
        <w:t> </w:t>
      </w:r>
      <w:r w:rsidRPr="00795F17">
        <w:t>zaproponowanie Obszarów Priorytetowych (OP), w których działania renaturyzacyjne powinny zostać zrealizowane w pierwszej kolejności, biorąc pod uwagę uwarunkowania środowiskowe i</w:t>
      </w:r>
      <w:r w:rsidR="00036A35">
        <w:t> </w:t>
      </w:r>
      <w:r w:rsidRPr="00795F17">
        <w:t>ekonomiczne.</w:t>
      </w:r>
    </w:p>
    <w:p w14:paraId="0539E214" w14:textId="43AEAD75" w:rsidR="009D5AB2" w:rsidRPr="00795F17" w:rsidRDefault="009D5AB2" w:rsidP="0044393D">
      <w:r w:rsidRPr="00795F17">
        <w:rPr>
          <w:b/>
          <w:bCs/>
        </w:rPr>
        <w:t>Obszar problemowy:</w:t>
      </w:r>
      <w:r w:rsidRPr="00795F17">
        <w:t xml:space="preserve"> [ANTROPOPRESJA - RENATURYZACJA</w:t>
      </w:r>
      <w:r w:rsidR="00754485" w:rsidRPr="00795F17">
        <w:t>]</w:t>
      </w:r>
      <w:r w:rsidRPr="00795F17">
        <w:t xml:space="preserve"> </w:t>
      </w:r>
      <w:r w:rsidR="0065249A">
        <w:t>d</w:t>
      </w:r>
      <w:r w:rsidRPr="00795F17">
        <w:t xml:space="preserve">okonany na poziomie </w:t>
      </w:r>
      <w:r w:rsidR="00DF005E">
        <w:t>JCWP</w:t>
      </w:r>
      <w:r w:rsidRPr="00795F17">
        <w:t>, które zostały zaliczone do Obszarów Wymagających Renaturyzacji (OWR) oraz Obszarów Priorytetowych (OP), dobór działań wpływających na poprawę odporności, czyli adaptację ekosystemów i ciągłość dostarczanych przez nie usług ekosystemowych.</w:t>
      </w:r>
    </w:p>
    <w:p w14:paraId="18A2D297" w14:textId="244F337D" w:rsidR="009D5AB2" w:rsidRPr="00795F17" w:rsidRDefault="009D5AB2" w:rsidP="0044393D">
      <w:r w:rsidRPr="00795F17">
        <w:rPr>
          <w:b/>
          <w:bCs/>
        </w:rPr>
        <w:t xml:space="preserve">Sposób osiągnięcia zakładanych celów i/lub rozwiązania zidentyfikowanych problemów: </w:t>
      </w:r>
      <w:r w:rsidR="0065249A">
        <w:t>k</w:t>
      </w:r>
      <w:r w:rsidRPr="00795F17">
        <w:t xml:space="preserve">ażdej </w:t>
      </w:r>
      <w:r w:rsidR="00DF005E">
        <w:t>JCWP</w:t>
      </w:r>
      <w:r w:rsidRPr="00795F17">
        <w:t>, która została zaliczona do OWR oraz OP, przypisano potencjalne zestawy działań renaturyzacyjnych. Zaplanowana w dokumencie renaturyzacja wód powierzchniowych uwzględnia takie działania, jak: (1) poprawa retencji korytowej, dolinowej; (2) normalizacja stosunków wodnych w</w:t>
      </w:r>
      <w:r w:rsidR="00055E86">
        <w:t> </w:t>
      </w:r>
      <w:r w:rsidRPr="00795F17">
        <w:t>zlewni; (3) renaturyzacja mokradeł i torfowisk; (4) przywracanie ciągłości i różnorodności hydromorfologicznej cieków i jezior.</w:t>
      </w:r>
    </w:p>
    <w:p w14:paraId="39759C9C" w14:textId="77777777" w:rsidR="009D5AB2" w:rsidRPr="00795F17" w:rsidRDefault="009D5AB2" w:rsidP="0044393D">
      <w:r w:rsidRPr="00795F17">
        <w:t>Ponadto KPRWP przewiduje realizację działań ukierunkowanych na rozpoznanie zagrożeń i przyczyn zmian hydromorfologicznych cieków i zbiorników wodnych oraz zaplanowanie działań naprawczych, które pozwolą na osiągnięcie celów środowiskowych dla tych części wód.</w:t>
      </w:r>
    </w:p>
    <w:p w14:paraId="7005D786" w14:textId="76B798CB" w:rsidR="009D5AB2" w:rsidRPr="00795F17" w:rsidRDefault="009D5AB2" w:rsidP="0044393D">
      <w:r w:rsidRPr="00795F17">
        <w:t xml:space="preserve">Na potrzeby wsparcia procesu wdrażania KPRWP </w:t>
      </w:r>
      <w:r w:rsidR="001F0E27">
        <w:t xml:space="preserve">w 2020 r. na zlecenie PGW WP </w:t>
      </w:r>
      <w:r w:rsidRPr="00795F17">
        <w:t xml:space="preserve">został opracowany </w:t>
      </w:r>
      <w:r w:rsidRPr="00D13F17">
        <w:t xml:space="preserve">Podręcznik dobrych praktyk renaturyzacji wód powierzchniowych, </w:t>
      </w:r>
      <w:r w:rsidRPr="00795F17">
        <w:t>stanowiący kompendium wiedzy nt. renaturyzacji rzek, jezior, wód przejściowych i przybrzeżnych.</w:t>
      </w:r>
    </w:p>
    <w:tbl>
      <w:tblPr>
        <w:tblStyle w:val="Tabela-Siatka"/>
        <w:tblW w:w="0" w:type="auto"/>
        <w:tblInd w:w="5" w:type="dxa"/>
        <w:tblLook w:val="04A0" w:firstRow="1" w:lastRow="0" w:firstColumn="1" w:lastColumn="0" w:noHBand="0" w:noVBand="1"/>
      </w:tblPr>
      <w:tblGrid>
        <w:gridCol w:w="9062"/>
      </w:tblGrid>
      <w:tr w:rsidR="009D5AB2" w:rsidRPr="00795F17" w14:paraId="30C12B59"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tcBorders>
              <w:top w:val="nil"/>
              <w:left w:val="nil"/>
              <w:bottom w:val="nil"/>
              <w:right w:val="nil"/>
            </w:tcBorders>
            <w:shd w:val="clear" w:color="auto" w:fill="003399"/>
          </w:tcPr>
          <w:p w14:paraId="2B2A1B21" w14:textId="7C6D9F99" w:rsidR="009D5AB2" w:rsidRDefault="009D5AB2" w:rsidP="0052619E">
            <w:pPr>
              <w:jc w:val="right"/>
              <w:rPr>
                <w:b w:val="0"/>
              </w:rPr>
            </w:pPr>
            <w:r w:rsidRPr="00795F17">
              <w:t xml:space="preserve">Poziom krajowy </w:t>
            </w:r>
            <w:r w:rsidR="0065249A">
              <w:t>–</w:t>
            </w:r>
            <w:r w:rsidRPr="00795F17">
              <w:t xml:space="preserve"> programy rozwoju</w:t>
            </w:r>
          </w:p>
          <w:p w14:paraId="70797809" w14:textId="77777777" w:rsidR="00DD4190" w:rsidRPr="00795F17" w:rsidRDefault="00DD4190" w:rsidP="0052619E">
            <w:pPr>
              <w:jc w:val="right"/>
              <w:rPr>
                <w:b w:val="0"/>
              </w:rPr>
            </w:pPr>
          </w:p>
          <w:p w14:paraId="095F86C0" w14:textId="0F508FF5" w:rsidR="009D5AB2" w:rsidRPr="00795F17" w:rsidRDefault="009D5AB2" w:rsidP="0052619E">
            <w:pPr>
              <w:jc w:val="left"/>
              <w:rPr>
                <w:i/>
                <w:iCs/>
              </w:rPr>
            </w:pPr>
            <w:bookmarkStart w:id="1023" w:name="_Hlk60304497"/>
            <w:r w:rsidRPr="00795F17">
              <w:t>Program przeciwdziałania niedoborowi wody na lata 2021</w:t>
            </w:r>
            <w:r w:rsidR="0065249A">
              <w:t>–</w:t>
            </w:r>
            <w:r w:rsidRPr="00795F17">
              <w:t>2027 z perspektywą do 2030 r. (zwany Programem Rozwoju Retencji) (PRR)</w:t>
            </w:r>
            <w:r w:rsidRPr="00795F17">
              <w:br/>
            </w:r>
            <w:bookmarkEnd w:id="1023"/>
            <w:r w:rsidRPr="00D415A7">
              <w:t>Projekt Programu</w:t>
            </w:r>
          </w:p>
        </w:tc>
      </w:tr>
    </w:tbl>
    <w:p w14:paraId="7DA8C6A0" w14:textId="20AF6559" w:rsidR="009D5AB2" w:rsidRPr="00795F17" w:rsidRDefault="009D5AB2" w:rsidP="0044393D">
      <w:r w:rsidRPr="00795F17">
        <w:rPr>
          <w:b/>
          <w:bCs/>
        </w:rPr>
        <w:t xml:space="preserve">Cele i oczekiwane rezultaty wdrożenia dokumentu: </w:t>
      </w:r>
      <w:r w:rsidR="0065249A">
        <w:t>p</w:t>
      </w:r>
      <w:r w:rsidRPr="00795F17">
        <w:t>oprawa stanu zasobów wodnych, w tym wód podziemnych, oraz rozwój retencji.</w:t>
      </w:r>
    </w:p>
    <w:p w14:paraId="4ED8EB66" w14:textId="5611978D" w:rsidR="009D5AB2" w:rsidRPr="00795F17" w:rsidRDefault="009D5AB2" w:rsidP="0044393D">
      <w:r w:rsidRPr="00795F17">
        <w:rPr>
          <w:b/>
          <w:bCs/>
        </w:rPr>
        <w:t>Obszar problemowy:</w:t>
      </w:r>
      <w:r w:rsidRPr="00795F17">
        <w:t xml:space="preserve"> [RETENCJA</w:t>
      </w:r>
      <w:r w:rsidR="007772C5" w:rsidRPr="00795F17">
        <w:t>]</w:t>
      </w:r>
      <w:r w:rsidRPr="00795F17">
        <w:t xml:space="preserve"> </w:t>
      </w:r>
      <w:r w:rsidR="0065249A">
        <w:t>o</w:t>
      </w:r>
      <w:r w:rsidRPr="00795F17">
        <w:t xml:space="preserve">cena możliwości i wskazanie niezbędnych kierunków działań w zakresie rozwoju retencji wodnej na poziomie </w:t>
      </w:r>
      <w:r w:rsidR="006C26A1" w:rsidRPr="00795F17">
        <w:t xml:space="preserve">obszarów </w:t>
      </w:r>
      <w:r w:rsidRPr="00795F17">
        <w:t xml:space="preserve">dorzeczy i regionów wodnych. </w:t>
      </w:r>
      <w:r w:rsidR="00AD0E67">
        <w:t>W projekcie</w:t>
      </w:r>
      <w:r w:rsidR="00077F5F">
        <w:t xml:space="preserve"> PRR cel główny został podzielony na </w:t>
      </w:r>
      <w:r w:rsidRPr="00795F17">
        <w:t>trzy priorytety: (1)</w:t>
      </w:r>
      <w:r w:rsidR="003147F7">
        <w:t> </w:t>
      </w:r>
      <w:r w:rsidR="00077F5F">
        <w:t xml:space="preserve">wskazanie </w:t>
      </w:r>
      <w:r w:rsidRPr="00795F17">
        <w:t>i realizacja działań z zakresu budowy zintegrowanego systemu naturalnej i</w:t>
      </w:r>
      <w:r w:rsidR="003147F7">
        <w:t> </w:t>
      </w:r>
      <w:r w:rsidRPr="00795F17">
        <w:t>sztucznej retencji wodnej; (2) stworzenie warunków do zrównoważonego wykorzystania zasobów wodnych; (3) wzmocnienie świadomości społecznej w zakresie potrzeby retencjonowania i</w:t>
      </w:r>
      <w:r w:rsidR="003147F7">
        <w:t> </w:t>
      </w:r>
      <w:r w:rsidRPr="00795F17">
        <w:t>oszczędzania wody.</w:t>
      </w:r>
    </w:p>
    <w:p w14:paraId="059BF059" w14:textId="60566C29" w:rsidR="009D5AB2" w:rsidRPr="00795F17" w:rsidRDefault="009D5AB2" w:rsidP="0044393D">
      <w:r w:rsidRPr="00795F17">
        <w:rPr>
          <w:b/>
          <w:bCs/>
        </w:rPr>
        <w:t xml:space="preserve">Sposób osiągnięcia zakładanych celów i/lub rozwiązania zidentyfikowanych problemów: </w:t>
      </w:r>
      <w:r w:rsidR="0065249A">
        <w:t>w</w:t>
      </w:r>
      <w:r w:rsidRPr="00795F17">
        <w:t> </w:t>
      </w:r>
      <w:r w:rsidR="00230721">
        <w:t xml:space="preserve">projekcie </w:t>
      </w:r>
      <w:r w:rsidRPr="00795F17">
        <w:t>dokumen</w:t>
      </w:r>
      <w:r w:rsidR="00230721">
        <w:t xml:space="preserve">tu </w:t>
      </w:r>
      <w:r w:rsidRPr="00795F17">
        <w:t>wskazan</w:t>
      </w:r>
      <w:r w:rsidR="00230721">
        <w:t>o</w:t>
      </w:r>
      <w:r w:rsidRPr="00795F17">
        <w:t xml:space="preserve"> działania, których realizacja zwiększy retencję wody na obszarze kraju. </w:t>
      </w:r>
      <w:r w:rsidR="00A97F1C">
        <w:t>Wskaz</w:t>
      </w:r>
      <w:r w:rsidR="00EF2005">
        <w:t>ano planowane zadania inwestycyjne</w:t>
      </w:r>
      <w:r w:rsidR="0007765C">
        <w:t xml:space="preserve"> oraz podział na działania związane ze sztuczną i naturalną retencją oraz na pozostałe działania. Efektem </w:t>
      </w:r>
      <w:r w:rsidR="009E188A">
        <w:t xml:space="preserve">programu </w:t>
      </w:r>
      <w:r w:rsidR="0007765C">
        <w:t>ma być</w:t>
      </w:r>
      <w:r w:rsidR="009E188A">
        <w:t>:</w:t>
      </w:r>
      <w:r w:rsidR="0007765C">
        <w:t xml:space="preserve"> wybudowanie 113 obiektów retencjonujących wodę</w:t>
      </w:r>
      <w:r w:rsidR="009E188A">
        <w:t xml:space="preserve">, </w:t>
      </w:r>
      <w:r w:rsidR="0007765C">
        <w:t xml:space="preserve">646 obiektów kształtujących </w:t>
      </w:r>
      <w:r w:rsidR="009E188A">
        <w:t xml:space="preserve">retencję, </w:t>
      </w:r>
      <w:r w:rsidR="007C7AF7">
        <w:t xml:space="preserve">podjęcie działań z zakresu naturalnej retencji </w:t>
      </w:r>
      <w:r w:rsidR="0065694E">
        <w:t xml:space="preserve">oraz </w:t>
      </w:r>
      <w:r w:rsidR="007C7AF7">
        <w:t>wspierających inwestycje.</w:t>
      </w:r>
      <w:bookmarkStart w:id="1024" w:name="_Hlk60304477"/>
    </w:p>
    <w:tbl>
      <w:tblPr>
        <w:tblStyle w:val="Tabela-Siatka"/>
        <w:tblW w:w="0" w:type="auto"/>
        <w:tblInd w:w="5" w:type="dxa"/>
        <w:tblLook w:val="04A0" w:firstRow="1" w:lastRow="0" w:firstColumn="1" w:lastColumn="0" w:noHBand="0" w:noVBand="1"/>
      </w:tblPr>
      <w:tblGrid>
        <w:gridCol w:w="9062"/>
      </w:tblGrid>
      <w:tr w:rsidR="009D5AB2" w:rsidRPr="00795F17" w14:paraId="715D14D9"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tcBorders>
              <w:top w:val="nil"/>
              <w:left w:val="nil"/>
              <w:bottom w:val="nil"/>
              <w:right w:val="nil"/>
            </w:tcBorders>
            <w:shd w:val="clear" w:color="auto" w:fill="003399"/>
          </w:tcPr>
          <w:bookmarkEnd w:id="1024"/>
          <w:p w14:paraId="4A603DB4" w14:textId="5FE1632D" w:rsidR="009D5AB2" w:rsidRDefault="009D5AB2" w:rsidP="0052619E">
            <w:pPr>
              <w:jc w:val="right"/>
              <w:rPr>
                <w:b w:val="0"/>
              </w:rPr>
            </w:pPr>
            <w:r w:rsidRPr="00795F17">
              <w:t xml:space="preserve">Poziom krajowy </w:t>
            </w:r>
            <w:r w:rsidR="0065249A">
              <w:t>–</w:t>
            </w:r>
            <w:r w:rsidRPr="00795F17">
              <w:t xml:space="preserve"> programy rozwoju</w:t>
            </w:r>
          </w:p>
          <w:p w14:paraId="4A740D85" w14:textId="77777777" w:rsidR="00DD4190" w:rsidRPr="00795F17" w:rsidRDefault="00DD4190" w:rsidP="0052619E">
            <w:pPr>
              <w:jc w:val="right"/>
              <w:rPr>
                <w:b w:val="0"/>
              </w:rPr>
            </w:pPr>
          </w:p>
          <w:p w14:paraId="692C0525" w14:textId="77777777" w:rsidR="009D5AB2" w:rsidRPr="00795F17" w:rsidRDefault="009D5AB2" w:rsidP="00DD4190">
            <w:pPr>
              <w:contextualSpacing/>
              <w:rPr>
                <w:b w:val="0"/>
              </w:rPr>
            </w:pPr>
            <w:bookmarkStart w:id="1025" w:name="_Hlk60770705"/>
            <w:r w:rsidRPr="00795F17">
              <w:t>Programy wspomagające małą retencję na terenach wiejskich i miejskich:</w:t>
            </w:r>
          </w:p>
          <w:p w14:paraId="58CE45B7" w14:textId="64A6A67D" w:rsidR="009D5AB2" w:rsidRPr="00795F17" w:rsidRDefault="009D5AB2" w:rsidP="00DD4190">
            <w:pPr>
              <w:contextualSpacing/>
              <w:rPr>
                <w:b w:val="0"/>
              </w:rPr>
            </w:pPr>
            <w:r w:rsidRPr="00795F17">
              <w:t xml:space="preserve">- „Modernizacja gospodarstw rolnych </w:t>
            </w:r>
            <w:r w:rsidR="0065249A">
              <w:t>–</w:t>
            </w:r>
            <w:r w:rsidRPr="00795F17">
              <w:t xml:space="preserve"> obszar nawadniania w gospodarstwie”</w:t>
            </w:r>
          </w:p>
          <w:p w14:paraId="7C555F2F" w14:textId="684DEDE3" w:rsidR="009D5AB2" w:rsidRPr="00795F17" w:rsidRDefault="009D5AB2" w:rsidP="00DD4190">
            <w:pPr>
              <w:contextualSpacing/>
              <w:rPr>
                <w:b w:val="0"/>
              </w:rPr>
            </w:pPr>
            <w:r w:rsidRPr="00795F17">
              <w:t xml:space="preserve">- „Miasto z Klimatem </w:t>
            </w:r>
            <w:r w:rsidR="0065249A">
              <w:t>–</w:t>
            </w:r>
            <w:r w:rsidRPr="00795F17">
              <w:t xml:space="preserve"> zielono-niebieska infrastruktura”</w:t>
            </w:r>
          </w:p>
          <w:p w14:paraId="723188E1" w14:textId="10AC0D90" w:rsidR="009D5AB2" w:rsidRPr="00795F17" w:rsidRDefault="009D5AB2" w:rsidP="00DD4190">
            <w:pPr>
              <w:contextualSpacing/>
              <w:rPr>
                <w:b w:val="0"/>
              </w:rPr>
            </w:pPr>
            <w:r w:rsidRPr="00795F17">
              <w:t xml:space="preserve">- „Retencja korytowa </w:t>
            </w:r>
            <w:r w:rsidR="0065249A">
              <w:t>–</w:t>
            </w:r>
            <w:r w:rsidRPr="00795F17">
              <w:t xml:space="preserve"> program kształtowania zasobów wodnych na terenach rolniczych”</w:t>
            </w:r>
            <w:bookmarkEnd w:id="1025"/>
          </w:p>
        </w:tc>
      </w:tr>
    </w:tbl>
    <w:p w14:paraId="1AF5C571" w14:textId="3390F699" w:rsidR="009D5AB2" w:rsidRPr="00795F17" w:rsidRDefault="009D5AB2" w:rsidP="0044393D">
      <w:r w:rsidRPr="00795F17">
        <w:rPr>
          <w:b/>
          <w:bCs/>
        </w:rPr>
        <w:t xml:space="preserve">Cele i oczekiwane rezultaty wdrożenia dokumentu: </w:t>
      </w:r>
      <w:r w:rsidR="0065249A">
        <w:t>w</w:t>
      </w:r>
      <w:r w:rsidRPr="00795F17">
        <w:t>sparcie małej retencji na terenach wiejskich i miejskich.</w:t>
      </w:r>
    </w:p>
    <w:p w14:paraId="61A43639" w14:textId="53910C58" w:rsidR="009D5AB2" w:rsidRPr="00795F17" w:rsidRDefault="009D5AB2" w:rsidP="0044393D">
      <w:r w:rsidRPr="00795F17">
        <w:rPr>
          <w:b/>
          <w:bCs/>
        </w:rPr>
        <w:t>Obszar problemowy:</w:t>
      </w:r>
      <w:r w:rsidRPr="00795F17">
        <w:t xml:space="preserve"> [RETENCJA</w:t>
      </w:r>
      <w:r w:rsidR="007772C5" w:rsidRPr="00795F17">
        <w:t>]</w:t>
      </w:r>
      <w:r w:rsidRPr="00795F17">
        <w:t xml:space="preserve"> </w:t>
      </w:r>
      <w:r w:rsidR="0065249A">
        <w:t>a</w:t>
      </w:r>
      <w:r w:rsidRPr="00795F17">
        <w:t xml:space="preserve">daptacja zlewni rolniczych/miejskich do zachodzących zmian klimatu, a co za tym idzie </w:t>
      </w:r>
      <w:r w:rsidR="0065249A">
        <w:t>–</w:t>
      </w:r>
      <w:r w:rsidRPr="00795F17">
        <w:t xml:space="preserve"> poprawa bilansu wodnego na obszarze kraju.</w:t>
      </w:r>
    </w:p>
    <w:p w14:paraId="73C10F0E" w14:textId="5EB5B5D4" w:rsidR="009D5AB2" w:rsidRPr="00795F17" w:rsidRDefault="009D5AB2" w:rsidP="0044393D">
      <w:r w:rsidRPr="00795F17">
        <w:rPr>
          <w:b/>
          <w:bCs/>
        </w:rPr>
        <w:t xml:space="preserve">Sposób osiągnięcia zakładanych celów i/lub rozwiązania zidentyfikowanych problemów: </w:t>
      </w:r>
      <w:r w:rsidRPr="00795F17">
        <w:t xml:space="preserve">„Modernizacja gospodarstw rolnych </w:t>
      </w:r>
      <w:r w:rsidR="0065249A">
        <w:t>–</w:t>
      </w:r>
      <w:r w:rsidRPr="00795F17">
        <w:t xml:space="preserve"> obszar nawadniania w gospodarstwie” stanowi program dopłat do nawodnień dla gospodarstw rolnych realizowany przez AR</w:t>
      </w:r>
      <w:r w:rsidR="00070C54" w:rsidRPr="00795F17">
        <w:t>i</w:t>
      </w:r>
      <w:r w:rsidRPr="00795F17">
        <w:t xml:space="preserve">MR. „Miasto z Klimatem </w:t>
      </w:r>
      <w:r w:rsidR="0065249A">
        <w:t>–</w:t>
      </w:r>
      <w:r w:rsidRPr="00795F17">
        <w:t xml:space="preserve"> zielono-niebieska infrastruktura” to konkurs dla samorządów ogłoszony przez NFOŚiGW wraz </w:t>
      </w:r>
      <w:r w:rsidR="00E50B20">
        <w:t>z</w:t>
      </w:r>
      <w:r w:rsidR="00C062F4">
        <w:t> </w:t>
      </w:r>
      <w:r w:rsidRPr="00795F17">
        <w:t xml:space="preserve">Ministerstwem Klimatu. Zakłada dofinansowanie przedsięwzięć z zakresu zagospodarowania wód opadowych i kształtowania zieleni miejskiej. „Retencja korytowa </w:t>
      </w:r>
      <w:r w:rsidR="0065249A">
        <w:t>–</w:t>
      </w:r>
      <w:r w:rsidRPr="00795F17">
        <w:t xml:space="preserve"> program kształtowania zasobów wodnych na terenach rolniczych” to program realizowany przez </w:t>
      </w:r>
      <w:r w:rsidR="0028234C" w:rsidRPr="00795F17">
        <w:t>PGW WP</w:t>
      </w:r>
      <w:r w:rsidRPr="00795F17">
        <w:t xml:space="preserve">. Program jest działaniem międzyresortowym, realizowanym wraz z Ministerstwem Klimatu i Środowiska, Ministerstwem Rolnictwa i Rozwoju Wsi oraz z samorządami i spółkami wodnymi skupiającymi rolników. Celem jest przywrócenie dwufunkcyjności urządzeń melioracyjnych, co zapewni retencję wód na użytkach rolnych w okresach suszy oraz jej bezpieczne odprowadzenie w okresie wzmożonych opadów. </w:t>
      </w:r>
    </w:p>
    <w:p w14:paraId="506B90EF" w14:textId="77777777" w:rsidR="009D5AB2" w:rsidRPr="00795F17" w:rsidRDefault="009D5AB2" w:rsidP="0044393D">
      <w:r w:rsidRPr="00795F17">
        <w:t>Podjęte działania przełożą się bezpośrednio na wzrost ilości zgromadzonej wody i będą stanowiły odpowiedź na pogarszające się warunki wodne. Dzięki działaniom podjętym w ramach ww. programów poprawie ulegnie również ochrona przeciwpowodziowa oraz złagodzone zostaną negatywne skutki suszy.</w:t>
      </w:r>
    </w:p>
    <w:tbl>
      <w:tblPr>
        <w:tblStyle w:val="Tabela-Siatka"/>
        <w:tblW w:w="0" w:type="auto"/>
        <w:tblInd w:w="5" w:type="dxa"/>
        <w:tblLook w:val="04A0" w:firstRow="1" w:lastRow="0" w:firstColumn="1" w:lastColumn="0" w:noHBand="0" w:noVBand="1"/>
      </w:tblPr>
      <w:tblGrid>
        <w:gridCol w:w="9062"/>
      </w:tblGrid>
      <w:tr w:rsidR="009D5AB2" w:rsidRPr="00795F17" w14:paraId="41A09F82"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tcBorders>
              <w:top w:val="nil"/>
              <w:left w:val="nil"/>
              <w:bottom w:val="nil"/>
              <w:right w:val="nil"/>
            </w:tcBorders>
            <w:shd w:val="clear" w:color="auto" w:fill="003399"/>
          </w:tcPr>
          <w:p w14:paraId="49A3FC9C" w14:textId="038F06EA" w:rsidR="009D5AB2" w:rsidRPr="00795F17" w:rsidRDefault="009D5AB2" w:rsidP="0052619E">
            <w:pPr>
              <w:jc w:val="right"/>
              <w:rPr>
                <w:b w:val="0"/>
              </w:rPr>
            </w:pPr>
            <w:r w:rsidRPr="00795F17">
              <w:t xml:space="preserve">Poziom regionalny </w:t>
            </w:r>
            <w:r w:rsidR="0065249A">
              <w:t>–</w:t>
            </w:r>
            <w:r w:rsidRPr="00795F17">
              <w:t xml:space="preserve"> programy rozwoju</w:t>
            </w:r>
          </w:p>
          <w:p w14:paraId="331EDA11" w14:textId="3E938EA5" w:rsidR="009D5AB2" w:rsidRPr="00795F17" w:rsidRDefault="009D5AB2" w:rsidP="0044393D">
            <w:pPr>
              <w:rPr>
                <w:b w:val="0"/>
              </w:rPr>
            </w:pPr>
            <w:bookmarkStart w:id="1026" w:name="_Hlk60771020"/>
            <w:r w:rsidRPr="00795F17">
              <w:t>Wojewódzkie programy małej retencji</w:t>
            </w:r>
            <w:bookmarkEnd w:id="1026"/>
          </w:p>
        </w:tc>
      </w:tr>
    </w:tbl>
    <w:p w14:paraId="4A141631" w14:textId="21090046" w:rsidR="009D5AB2" w:rsidRPr="00795F17" w:rsidRDefault="009D5AB2" w:rsidP="0044393D">
      <w:r w:rsidRPr="00D415A7">
        <w:rPr>
          <w:b/>
        </w:rPr>
        <w:t>Cele i oczekiwane rezultaty wdrożenia dokumentu:</w:t>
      </w:r>
      <w:r w:rsidRPr="00795F17">
        <w:t xml:space="preserve"> </w:t>
      </w:r>
      <w:r w:rsidR="0065249A">
        <w:t>w</w:t>
      </w:r>
      <w:r w:rsidRPr="00795F17">
        <w:t>sparcie małej retencji na poziomie województwa.</w:t>
      </w:r>
    </w:p>
    <w:p w14:paraId="7FA43914" w14:textId="715C38EC" w:rsidR="009D5AB2" w:rsidRPr="00795F17" w:rsidRDefault="009D5AB2" w:rsidP="0044393D">
      <w:r w:rsidRPr="00795F17">
        <w:rPr>
          <w:b/>
          <w:bCs/>
        </w:rPr>
        <w:t>Obszar problemowy:</w:t>
      </w:r>
      <w:r w:rsidRPr="00795F17">
        <w:t xml:space="preserve"> [RETENCJA</w:t>
      </w:r>
      <w:r w:rsidR="00AA618A" w:rsidRPr="00795F17">
        <w:t>)</w:t>
      </w:r>
      <w:r w:rsidRPr="00795F17">
        <w:t xml:space="preserve"> </w:t>
      </w:r>
      <w:r w:rsidR="0065249A">
        <w:t>z</w:t>
      </w:r>
      <w:r w:rsidRPr="00795F17">
        <w:t>większenie zasobów wodnych i oszczędne gospodarowanie nimi.</w:t>
      </w:r>
    </w:p>
    <w:p w14:paraId="5A2EA7F4" w14:textId="7A00981D" w:rsidR="009D5AB2" w:rsidRPr="00795F17" w:rsidRDefault="009D5AB2" w:rsidP="0044393D">
      <w:r w:rsidRPr="00795F17">
        <w:rPr>
          <w:b/>
          <w:bCs/>
        </w:rPr>
        <w:t xml:space="preserve">Sposób osiągnięcia zakładanych celów i/lub rozwiązania zidentyfikowanych problemów: </w:t>
      </w:r>
      <w:r w:rsidR="0065249A">
        <w:t>d</w:t>
      </w:r>
      <w:r w:rsidRPr="00795F17">
        <w:t>ziałania ujęte w programach to m.in. plany budowy i przebudowy obiektów do retencjonowania wody.</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62"/>
      </w:tblGrid>
      <w:tr w:rsidR="009D5AB2" w:rsidRPr="00795F17" w14:paraId="4E343015"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4AEE26DD" w14:textId="77777777" w:rsidR="009D5AB2" w:rsidRPr="00795F17" w:rsidRDefault="009D5AB2" w:rsidP="00891396">
            <w:pPr>
              <w:jc w:val="right"/>
              <w:rPr>
                <w:b w:val="0"/>
              </w:rPr>
            </w:pPr>
            <w:r w:rsidRPr="00795F17">
              <w:t>Poziom krajowy - programy rozwoju</w:t>
            </w:r>
          </w:p>
          <w:p w14:paraId="2D55C35A" w14:textId="4EC79521" w:rsidR="009D5AB2" w:rsidRPr="00795F17" w:rsidRDefault="009D5AB2" w:rsidP="0044393D">
            <w:pPr>
              <w:rPr>
                <w:b w:val="0"/>
              </w:rPr>
            </w:pPr>
            <w:bookmarkStart w:id="1027" w:name="_Hlk60771050"/>
            <w:r w:rsidRPr="00795F17">
              <w:t>Plan Przeciwdziałania Skutkom Suszy (PPSS)</w:t>
            </w:r>
            <w:bookmarkEnd w:id="1027"/>
          </w:p>
        </w:tc>
      </w:tr>
    </w:tbl>
    <w:p w14:paraId="43256E0B" w14:textId="642C297C" w:rsidR="009D5AB2" w:rsidRPr="00795F17" w:rsidRDefault="009D5AB2" w:rsidP="0044393D">
      <w:r w:rsidRPr="00795F17">
        <w:rPr>
          <w:b/>
          <w:bCs/>
        </w:rPr>
        <w:t xml:space="preserve">Cele i oczekiwane rezultaty wdrożenia dokumentu: </w:t>
      </w:r>
      <w:r w:rsidR="0065249A">
        <w:t>c</w:t>
      </w:r>
      <w:r w:rsidRPr="00795F17">
        <w:t xml:space="preserve">el główny: Przeciwdziałanie skutkom suszy, doprecyzowany przez cztery cele szczegółowe: (1) skuteczne zarządzanie zasobami wodnymi dla zwiększenia </w:t>
      </w:r>
      <w:r w:rsidR="00127007">
        <w:t>dyspozycyjnych</w:t>
      </w:r>
      <w:r w:rsidRPr="00795F17" w:rsidDel="00127007">
        <w:t xml:space="preserve"> </w:t>
      </w:r>
      <w:r w:rsidRPr="00795F17">
        <w:t>zasobów wodnych</w:t>
      </w:r>
      <w:r w:rsidR="00C61AC4">
        <w:t xml:space="preserve"> na obszarach dorzeczy</w:t>
      </w:r>
      <w:r w:rsidRPr="00795F17">
        <w:t>; (2) zwiększanie retencj</w:t>
      </w:r>
      <w:r w:rsidR="00C61AC4">
        <w:t>i na obszarach dorzeczy</w:t>
      </w:r>
      <w:r w:rsidRPr="00795F17">
        <w:t xml:space="preserve">; (3) edukacja </w:t>
      </w:r>
      <w:r w:rsidR="00590048">
        <w:t xml:space="preserve">i zarządzanie ryzykiem </w:t>
      </w:r>
      <w:r w:rsidRPr="00795F17" w:rsidDel="00590048">
        <w:t>suszy</w:t>
      </w:r>
      <w:r w:rsidRPr="00795F17">
        <w:t xml:space="preserve">; (4) </w:t>
      </w:r>
      <w:r w:rsidR="00590048">
        <w:t xml:space="preserve">formalizacja i zaplanowanie </w:t>
      </w:r>
      <w:r w:rsidRPr="00795F17">
        <w:t>finansowania działań służących przeciwdziałaniu skutkom suszy.</w:t>
      </w:r>
    </w:p>
    <w:p w14:paraId="0DFB82BA" w14:textId="41A2FF3A" w:rsidR="009D5AB2" w:rsidRPr="00795F17" w:rsidRDefault="009D5AB2" w:rsidP="0044393D">
      <w:r w:rsidRPr="00795F17">
        <w:rPr>
          <w:b/>
          <w:bCs/>
        </w:rPr>
        <w:t>Obszar problemowy:</w:t>
      </w:r>
      <w:r w:rsidRPr="00795F17">
        <w:t xml:space="preserve"> [ZMIANY KLIMATU - SUSZA</w:t>
      </w:r>
      <w:r w:rsidR="007772C5" w:rsidRPr="00795F17">
        <w:t>]</w:t>
      </w:r>
      <w:r w:rsidRPr="00795F17">
        <w:t xml:space="preserve"> </w:t>
      </w:r>
      <w:r w:rsidR="0065249A">
        <w:t>a</w:t>
      </w:r>
      <w:r w:rsidRPr="00795F17">
        <w:t>nalizowane na poziomie</w:t>
      </w:r>
      <w:r w:rsidR="006C26A1" w:rsidRPr="00795F17">
        <w:t xml:space="preserve"> obszarów</w:t>
      </w:r>
      <w:r w:rsidRPr="00795F17">
        <w:t xml:space="preserve"> dorzeczy: (1)</w:t>
      </w:r>
      <w:r w:rsidR="00331157" w:rsidRPr="00795F17">
        <w:t> </w:t>
      </w:r>
      <w:r w:rsidRPr="00795F17">
        <w:t>możliwości powiększenia dyspozycyjnych zasobów wodnych; (2) p</w:t>
      </w:r>
      <w:r w:rsidR="007B31B4">
        <w:t xml:space="preserve">ropozycje </w:t>
      </w:r>
      <w:r w:rsidRPr="00795F17">
        <w:t>budowy lub</w:t>
      </w:r>
      <w:r w:rsidR="00055E86">
        <w:t> </w:t>
      </w:r>
      <w:r w:rsidRPr="00795F17">
        <w:t>przebudowy urządzeń wodnych; (3) p</w:t>
      </w:r>
      <w:r w:rsidR="004C156D">
        <w:t xml:space="preserve">ropozycje </w:t>
      </w:r>
      <w:r w:rsidRPr="00795F17">
        <w:t>niezbędnych zmian w</w:t>
      </w:r>
      <w:r w:rsidR="00331157" w:rsidRPr="00795F17">
        <w:t> </w:t>
      </w:r>
      <w:r w:rsidRPr="00795F17">
        <w:t>zakresie korzystania z</w:t>
      </w:r>
      <w:r w:rsidR="0041701F">
        <w:t> </w:t>
      </w:r>
      <w:r w:rsidRPr="00795F17">
        <w:t xml:space="preserve">zasobów wodnych oraz zmian naturalnej i sztucznej retencji; (4) </w:t>
      </w:r>
      <w:r w:rsidR="00E83E94">
        <w:t xml:space="preserve">katalog </w:t>
      </w:r>
      <w:r w:rsidRPr="00795F17">
        <w:t>działa</w:t>
      </w:r>
      <w:r w:rsidR="00E83E94">
        <w:t>ń</w:t>
      </w:r>
      <w:r w:rsidRPr="00795F17" w:rsidDel="00E83E94">
        <w:t xml:space="preserve"> </w:t>
      </w:r>
      <w:r w:rsidRPr="00795F17">
        <w:t>służąc</w:t>
      </w:r>
      <w:r w:rsidR="00E83E94">
        <w:t xml:space="preserve">ych </w:t>
      </w:r>
      <w:r w:rsidRPr="00795F17">
        <w:t>przeciwdziałaniu skutkom suszy.</w:t>
      </w:r>
    </w:p>
    <w:p w14:paraId="04D2CE2D" w14:textId="77777777" w:rsidR="009D5AB2" w:rsidRPr="00795F17" w:rsidRDefault="009D5AB2" w:rsidP="0044393D">
      <w:r w:rsidRPr="00795F17">
        <w:rPr>
          <w:b/>
          <w:bCs/>
        </w:rPr>
        <w:t xml:space="preserve">Sposób osiągnięcia zakładanych celów i/lub rozwiązania zidentyfikowanych problemów: </w:t>
      </w:r>
      <w:r w:rsidRPr="00795F17">
        <w:t>PPSS nie ma charakteru odrębnego planu inwestycyjnego, scala jedynie informacje nt. planów budowy, przebudowy i remontu urządzeń wodnych, które zostały zawarte w innych dokumentach planistycznych z zakresu gospodarki wodnej.</w:t>
      </w:r>
    </w:p>
    <w:p w14:paraId="263C3518" w14:textId="77777777" w:rsidR="009D5AB2" w:rsidRPr="00795F17" w:rsidRDefault="009D5AB2" w:rsidP="0044393D">
      <w:r w:rsidRPr="00795F17">
        <w:t xml:space="preserve">Najważniejszą składową PPSS jest katalog działań zawierający konkretne, mierzalne rozwiązania, które należy wdrożyć, aby ograniczyć skutki suszy. Katalog ma wymiar operacyjny wobec pozostałych elementów PPSS, które są sformułowane w charakterze analizy lub propozycji. </w:t>
      </w:r>
    </w:p>
    <w:p w14:paraId="6ECD9BA7" w14:textId="77777777" w:rsidR="009D5AB2" w:rsidRPr="00795F17" w:rsidRDefault="009D5AB2" w:rsidP="0044393D">
      <w:r w:rsidRPr="00795F17">
        <w:t>Wskazane w dokumencie działania, które mają posłużyć realizacji celów, to m.in.: propagowanie ponownego wykorzystania wód, przeprowadzenie weryfikacji zasad gospodarowania wodą w zbiornikach retencyjnych, czasowe ograniczenie korzystania z wód, budowa i przebudowa ujęć wód podziemnych oraz rurociągów wodociągowych magistralnych do przesyłania wody do obszarów zagrożonych suszą hydrologiczną.</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62"/>
      </w:tblGrid>
      <w:tr w:rsidR="009D5AB2" w:rsidRPr="00795F17" w14:paraId="26BC7AA0"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60D94FE0" w14:textId="54F081C6" w:rsidR="009D5AB2" w:rsidRPr="00795F17" w:rsidRDefault="009D5AB2" w:rsidP="00891396">
            <w:pPr>
              <w:jc w:val="right"/>
              <w:rPr>
                <w:b w:val="0"/>
              </w:rPr>
            </w:pPr>
            <w:r w:rsidRPr="00795F17">
              <w:t xml:space="preserve">Poziom krajowy </w:t>
            </w:r>
            <w:r w:rsidR="0065249A">
              <w:t>–</w:t>
            </w:r>
            <w:r w:rsidRPr="00795F17">
              <w:t xml:space="preserve"> programy rozwoju</w:t>
            </w:r>
          </w:p>
          <w:p w14:paraId="0BDA281C" w14:textId="51FA2015" w:rsidR="009D5AB2" w:rsidRPr="00795F17" w:rsidRDefault="009D5AB2" w:rsidP="0044393D">
            <w:pPr>
              <w:rPr>
                <w:b w:val="0"/>
              </w:rPr>
            </w:pPr>
            <w:bookmarkStart w:id="1028" w:name="_Hlk60771181"/>
            <w:r w:rsidRPr="00795F17">
              <w:t xml:space="preserve">Plany </w:t>
            </w:r>
            <w:r w:rsidR="007465E4">
              <w:t>z</w:t>
            </w:r>
            <w:r w:rsidR="007465E4" w:rsidRPr="00795F17">
              <w:t xml:space="preserve">arządzania </w:t>
            </w:r>
            <w:r w:rsidR="007465E4">
              <w:t>r</w:t>
            </w:r>
            <w:r w:rsidR="007465E4" w:rsidRPr="00795F17">
              <w:t xml:space="preserve">yzykiem </w:t>
            </w:r>
            <w:r w:rsidR="007465E4">
              <w:t>p</w:t>
            </w:r>
            <w:r w:rsidR="007465E4" w:rsidRPr="00795F17">
              <w:t xml:space="preserve">owodziowym </w:t>
            </w:r>
            <w:r w:rsidRPr="00795F17">
              <w:t>dla obszarów dorzeczy (PZRP)</w:t>
            </w:r>
            <w:bookmarkEnd w:id="1028"/>
          </w:p>
          <w:p w14:paraId="4B416495" w14:textId="77777777" w:rsidR="009D5AB2" w:rsidRPr="001C6219" w:rsidRDefault="009D5AB2" w:rsidP="0044393D">
            <w:r w:rsidRPr="00D415A7">
              <w:t>Aktualizacja</w:t>
            </w:r>
          </w:p>
        </w:tc>
      </w:tr>
    </w:tbl>
    <w:p w14:paraId="27B92571" w14:textId="29AF6518" w:rsidR="009D5AB2" w:rsidRPr="00795F17" w:rsidRDefault="009D5AB2" w:rsidP="0044393D">
      <w:r w:rsidRPr="00795F17">
        <w:rPr>
          <w:b/>
          <w:bCs/>
        </w:rPr>
        <w:t xml:space="preserve">Cele i oczekiwane rezultaty wdrożenia dokumentu: </w:t>
      </w:r>
      <w:r w:rsidR="0065249A">
        <w:t>z</w:t>
      </w:r>
      <w:r w:rsidRPr="00795F17">
        <w:t>arządzanie ryzykiem powodziowym skutkujące ograniczeniem potencjalnych negatywnych skutków powodzi dla życia i zdrowia ludzi, środowiska, dziedzictwa kulturowego oraz działalności gospodarczej.</w:t>
      </w:r>
    </w:p>
    <w:p w14:paraId="04DE2750" w14:textId="48C60D3B" w:rsidR="009D5AB2" w:rsidRPr="00795F17" w:rsidRDefault="009D5AB2" w:rsidP="0044393D">
      <w:r w:rsidRPr="00795F17">
        <w:rPr>
          <w:b/>
          <w:bCs/>
        </w:rPr>
        <w:t>Obszar problemowy:</w:t>
      </w:r>
      <w:r w:rsidRPr="00795F17">
        <w:t xml:space="preserve"> [ZMIANY KLIMATU - POWÓDŹ</w:t>
      </w:r>
      <w:r w:rsidR="007772C5" w:rsidRPr="00795F17">
        <w:t>]</w:t>
      </w:r>
      <w:r w:rsidRPr="00795F17">
        <w:t xml:space="preserve"> </w:t>
      </w:r>
      <w:r w:rsidR="0065249A">
        <w:t>o</w:t>
      </w:r>
      <w:r w:rsidRPr="00795F17">
        <w:t xml:space="preserve">cena ryzyka powodziowego i identyfikacja obszarów zagrożonych powodzią na poziomie </w:t>
      </w:r>
      <w:r w:rsidR="006C26A1" w:rsidRPr="00795F17">
        <w:t xml:space="preserve">obszarów </w:t>
      </w:r>
      <w:r w:rsidRPr="00795F17">
        <w:t>dorzeczy i regionów wodnych oraz dobór działań służących minimalizacji zidentyfikowanych zagrożeń i ich skutków.</w:t>
      </w:r>
    </w:p>
    <w:p w14:paraId="5996D192" w14:textId="77777777" w:rsidR="009D5AB2" w:rsidRPr="00795F17" w:rsidRDefault="009D5AB2" w:rsidP="0044393D">
      <w:r w:rsidRPr="00795F17">
        <w:rPr>
          <w:b/>
          <w:bCs/>
        </w:rPr>
        <w:t xml:space="preserve">Sposób osiągnięcia zakładanych celów i/lub rozwiązania zidentyfikowanych problemów: </w:t>
      </w:r>
      <w:r w:rsidRPr="00795F17">
        <w:t>PZRP obejmują wszystkie aspekty zarządzania ryzykiem powodziowym; w szczególności działania ukierunkowane na zapobieganie powodzi, ochronę i właściwe przygotowanie do powodzi, w tym prognozowanie powodzi oraz systemy wczesnego ostrzegania, z uwzględnieniem specyfiki poszczególnych obszarów dorzecza. PZRP zawierają katalog działań służących osiągnięciu celów zarządzania ryzykiem powodziowym, z uwzględnieniem ich priorytetu.</w:t>
      </w:r>
    </w:p>
    <w:p w14:paraId="09F2C002" w14:textId="77777777" w:rsidR="009D5AB2" w:rsidRPr="00795F17" w:rsidRDefault="009D5AB2" w:rsidP="0044393D">
      <w:r w:rsidRPr="00795F17">
        <w:t>PZRP wprowadzają dwie kategorie działań: (1) działania techniczne, obejmujące głównie prace związane z budową zbiorników wodnych, wałów czy przebudową aktualnie funkcjonujących urządzeń wodnych oraz innych budowli wpływających na cieki wodne; (2) działania nietechniczne, skupiające się przede wszystkim na zwiększaniu retencji, przywracaniu naturalnych warunków przepływu, konieczności budowy nowych systemów informujących o zagrożeniu, dostosowaniu zagospodarowania przestrzennego do określonego zagrożenia powodziowego.</w:t>
      </w:r>
      <w:bookmarkStart w:id="1029" w:name="_Hlk60304775"/>
    </w:p>
    <w:p w14:paraId="40BCCAC4" w14:textId="29C93FDC" w:rsidR="009D5AB2" w:rsidRPr="00795F17" w:rsidRDefault="009D5AB2" w:rsidP="0044393D">
      <w:r w:rsidRPr="00795F17">
        <w:t>Obecna aktualizacja PZRP stanowi dokument będący jednym ze źródeł dobieranych działań na</w:t>
      </w:r>
      <w:r w:rsidR="002920BD" w:rsidRPr="00795F17">
        <w:t> </w:t>
      </w:r>
      <w:r w:rsidRPr="00795F17">
        <w:t xml:space="preserve">potrzeby IIaPGW. Działania innych planów/programów, które poprzez swoją specyfikę i zakres wpisują się jednocześnie w cele IIaPGW (działania ukierunkowane na poprawę stanu </w:t>
      </w:r>
      <w:r w:rsidR="00DF005E">
        <w:t>JCWP</w:t>
      </w:r>
      <w:r w:rsidRPr="00795F17">
        <w:t xml:space="preserve"> oraz</w:t>
      </w:r>
      <w:r w:rsidR="00055E86">
        <w:t> </w:t>
      </w:r>
      <w:r w:rsidR="002920BD" w:rsidRPr="00795F17">
        <w:t xml:space="preserve">osiągnięcie </w:t>
      </w:r>
      <w:r w:rsidRPr="00795F17">
        <w:t>celów środowiskowych) włączane mogą być do katalogów działań IIaPGW i tym samym stanowić element budowanych zestawów działań.</w:t>
      </w:r>
    </w:p>
    <w:tbl>
      <w:tblPr>
        <w:tblStyle w:val="Tabela-Siatka"/>
        <w:tblW w:w="0" w:type="auto"/>
        <w:tblLook w:val="04A0" w:firstRow="1" w:lastRow="0" w:firstColumn="1" w:lastColumn="0" w:noHBand="0" w:noVBand="1"/>
      </w:tblPr>
      <w:tblGrid>
        <w:gridCol w:w="9016"/>
      </w:tblGrid>
      <w:tr w:rsidR="009D5AB2" w:rsidRPr="00F8389C" w14:paraId="3BE9C935"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bookmarkEnd w:id="1029"/>
          <w:p w14:paraId="25BBAA54" w14:textId="3660C7BC" w:rsidR="009D5AB2" w:rsidRPr="001C6219" w:rsidRDefault="009D5AB2" w:rsidP="00637B72">
            <w:pPr>
              <w:jc w:val="right"/>
              <w:rPr>
                <w:b w:val="0"/>
              </w:rPr>
            </w:pPr>
            <w:r w:rsidRPr="001C6219">
              <w:t xml:space="preserve">Poziom krajowy </w:t>
            </w:r>
            <w:r w:rsidR="0065249A" w:rsidRPr="001C6219">
              <w:t>–</w:t>
            </w:r>
            <w:r w:rsidRPr="001C6219">
              <w:t xml:space="preserve"> programy rozwoju</w:t>
            </w:r>
          </w:p>
          <w:p w14:paraId="2B822C49" w14:textId="045407D7" w:rsidR="009D5AB2" w:rsidRPr="001C6219" w:rsidRDefault="009D5AB2" w:rsidP="0044393D">
            <w:pPr>
              <w:rPr>
                <w:b w:val="0"/>
              </w:rPr>
            </w:pPr>
            <w:bookmarkStart w:id="1030" w:name="_Hlk60772268"/>
            <w:r w:rsidRPr="001C6219">
              <w:t>Krajowy program ochrony wód morskich (KPOWM)</w:t>
            </w:r>
            <w:bookmarkEnd w:id="1030"/>
          </w:p>
        </w:tc>
      </w:tr>
    </w:tbl>
    <w:p w14:paraId="12D8C42F" w14:textId="6E805362" w:rsidR="009D5AB2" w:rsidRPr="001C6219" w:rsidRDefault="009D5AB2" w:rsidP="0044393D">
      <w:r w:rsidRPr="001C6219">
        <w:rPr>
          <w:b/>
        </w:rPr>
        <w:t xml:space="preserve">Cele i oczekiwane rezultaty wdrożenia dokumentu: </w:t>
      </w:r>
      <w:r w:rsidR="0065249A" w:rsidRPr="001C6219">
        <w:t>o</w:t>
      </w:r>
      <w:r w:rsidRPr="001C6219">
        <w:t>kreślenie optymalnego zestawu działań, który doprowadzi w określonym czasie do osiągnięcia i utrzymania dobrego stanu ekologicznego Morza Bałtyckiego.</w:t>
      </w:r>
    </w:p>
    <w:p w14:paraId="20EAEEF5" w14:textId="50DF0D4D" w:rsidR="009D5AB2" w:rsidRPr="001C6219" w:rsidRDefault="009D5AB2" w:rsidP="0044393D">
      <w:r w:rsidRPr="001C6219">
        <w:rPr>
          <w:b/>
        </w:rPr>
        <w:t>Obszar problemowy:</w:t>
      </w:r>
      <w:r w:rsidRPr="001C6219">
        <w:t xml:space="preserve"> [ANTROPOPRESJA - ZANIECZYSZCZENIE WÓD</w:t>
      </w:r>
      <w:r w:rsidR="007772C5" w:rsidRPr="001C6219">
        <w:t>]</w:t>
      </w:r>
      <w:r w:rsidRPr="001C6219">
        <w:t xml:space="preserve"> KPOWM został opracowany w oparciu o dokumenty przygotowane uprzednio w ramach cyklu planistycznego dyrektywy ramowej w sprawie strategii morskiej. W dokumentach tych kluczową kwestię stanowiła wstępna ocena stanu środowiska wód morskich oraz określony w oparciu o tę ocenę zestaw celów środowiskowych, do</w:t>
      </w:r>
      <w:r w:rsidR="00331157" w:rsidRPr="001C6219">
        <w:t> </w:t>
      </w:r>
      <w:r w:rsidRPr="001C6219">
        <w:t>których osiągnięcia lub utrzymania kraje członkowskie zobowiązane są do 2020 r.</w:t>
      </w:r>
    </w:p>
    <w:p w14:paraId="6FDDE319" w14:textId="77777777" w:rsidR="009D5AB2" w:rsidRPr="001C6219" w:rsidRDefault="009D5AB2" w:rsidP="0044393D">
      <w:r w:rsidRPr="001C6219">
        <w:t>Zasięg przestrzenny analiz wykonanych w ramach KPOWM obejmuje wody morskie, w tym wody przybrzeżne i przejściowe. W dokumencie wyodrębniono 6 obszarów planowania (zwanych podakwenami, subakwenami lub akwenami), z których wydzielono dodatkowe dwa: wody Zalewu Wiślanego i Szczecińskiego. Z uwagi na specyfikę zagadnienia oraz szeroki zakres terytorialny oddziaływań z nim związanych zasięg prowadzonych analiz obejmował nie tylko ww. obszary planowania oraz poszczególne jego elementy, ale również obszar całego kraju.</w:t>
      </w:r>
    </w:p>
    <w:p w14:paraId="2E5E3BD5" w14:textId="77777777" w:rsidR="009D5AB2" w:rsidRPr="001C6219" w:rsidRDefault="009D5AB2" w:rsidP="0044393D">
      <w:r w:rsidRPr="001C6219">
        <w:t>W ramach prowadzonych prac analitycznych, z uwagi na ich zakres i niezbędne do weryfikacji siedliska oraz gatunki flory i fauny, cenne z uwagi na przyjęte cele środowiskowe, w sposób szczególny potraktowano obszary Natura 2000 przynajmniej częściowo położone na wodach morskich, zdefiniowane w dokumencie jako „morskie obszary Natura 2000”.</w:t>
      </w:r>
    </w:p>
    <w:p w14:paraId="66FD0600" w14:textId="5EA6FF82" w:rsidR="00814783" w:rsidRDefault="009D5AB2" w:rsidP="0044393D">
      <w:r w:rsidRPr="001C6219">
        <w:rPr>
          <w:b/>
        </w:rPr>
        <w:t xml:space="preserve">Sposób osiągnięcia zakładanych celów i/lub rozwiązania zidentyfikowanych problemów: </w:t>
      </w:r>
      <w:r w:rsidRPr="001C6219">
        <w:t>KPOWM określa m.in.: (1) działania podstawowe niezbędne do osiągnięcia lub utrzymania dobrego stanu środowiska wód morskich (w tym działania prawne, administracyjnie, ekonomiczne, edukacyjne i kontrolne); (2) działania doraźne; (3) wpływ działań podstawowych i działań doraźnych na wody pozostające poza obszarem wód morskich w celu zminimalizowania zagrożeń i, jeśli jest to możliwe, uzyskanie pozytywnego wpływu na te wody; (4) sposób podejmowania działań podstawowych i działań doraźnych oraz stopień, w jakim przyczyniają się one do osiągnięcia celów środowiskowych dla wód morskich. Wskazany w KPOWM horyzont czasowy realizacji działań w nim wskazanych to rok 2020, ze wskazaniem możliwości osiągnięcia niektórych celów środowiskowych w kolejnej perspektywie, tj.</w:t>
      </w:r>
      <w:r w:rsidR="00EC2591">
        <w:t> </w:t>
      </w:r>
      <w:r w:rsidRPr="001C6219">
        <w:t>do</w:t>
      </w:r>
      <w:r w:rsidR="00EC2591">
        <w:t> </w:t>
      </w:r>
      <w:r w:rsidRPr="001C6219">
        <w:t>2027.</w:t>
      </w:r>
    </w:p>
    <w:tbl>
      <w:tblPr>
        <w:tblStyle w:val="Tabela-Siatka"/>
        <w:tblW w:w="0" w:type="auto"/>
        <w:tblLook w:val="04A0" w:firstRow="1" w:lastRow="0" w:firstColumn="1" w:lastColumn="0" w:noHBand="0" w:noVBand="1"/>
      </w:tblPr>
      <w:tblGrid>
        <w:gridCol w:w="9016"/>
      </w:tblGrid>
      <w:tr w:rsidR="00F8389C" w:rsidRPr="00795F17" w14:paraId="4E104009" w14:textId="77777777" w:rsidTr="00385A1B">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416DAAD6" w14:textId="77777777" w:rsidR="00F8389C" w:rsidRPr="00795F17" w:rsidRDefault="00F8389C" w:rsidP="00385A1B">
            <w:pPr>
              <w:jc w:val="right"/>
              <w:rPr>
                <w:b w:val="0"/>
              </w:rPr>
            </w:pPr>
            <w:r w:rsidRPr="00795F17">
              <w:t xml:space="preserve">Poziom krajowy </w:t>
            </w:r>
            <w:r>
              <w:t>–</w:t>
            </w:r>
            <w:r w:rsidRPr="00795F17">
              <w:t xml:space="preserve"> programy rozwoju</w:t>
            </w:r>
          </w:p>
          <w:p w14:paraId="51BDCA04" w14:textId="77777777" w:rsidR="00F8389C" w:rsidRDefault="00F8389C" w:rsidP="00385A1B">
            <w:pPr>
              <w:rPr>
                <w:b w:val="0"/>
              </w:rPr>
            </w:pPr>
            <w:r>
              <w:t>P</w:t>
            </w:r>
            <w:r w:rsidRPr="00795F17">
              <w:t>rogram ochrony wód morskich (POWM)</w:t>
            </w:r>
          </w:p>
          <w:p w14:paraId="273F9A54" w14:textId="094B546B" w:rsidR="00F8389C" w:rsidRPr="00795F17" w:rsidRDefault="00F8389C" w:rsidP="00385A1B">
            <w:pPr>
              <w:rPr>
                <w:b w:val="0"/>
              </w:rPr>
            </w:pPr>
            <w:r>
              <w:t>Aktualizacja</w:t>
            </w:r>
          </w:p>
        </w:tc>
      </w:tr>
    </w:tbl>
    <w:p w14:paraId="607589F6" w14:textId="18E66FDB" w:rsidR="00F8389C" w:rsidRPr="00795F17" w:rsidRDefault="00F8389C" w:rsidP="00F8389C">
      <w:r w:rsidRPr="00795F17">
        <w:rPr>
          <w:b/>
          <w:bCs/>
        </w:rPr>
        <w:t xml:space="preserve">Cele i oczekiwane rezultaty wdrożenia dokumentu: </w:t>
      </w:r>
      <w:r w:rsidR="00F60FAC" w:rsidRPr="00D415A7">
        <w:t xml:space="preserve">dążenie do </w:t>
      </w:r>
      <w:r w:rsidRPr="00795F17">
        <w:t>osiągnięci</w:t>
      </w:r>
      <w:r w:rsidR="00F60FAC">
        <w:t>a</w:t>
      </w:r>
      <w:r w:rsidR="008B06D3">
        <w:t xml:space="preserve"> </w:t>
      </w:r>
      <w:r w:rsidRPr="00795F17">
        <w:t>i utrzymania dobrego stanu Morza Bałtyckiego</w:t>
      </w:r>
      <w:r w:rsidR="00DF6761">
        <w:t xml:space="preserve"> poprzez realizację </w:t>
      </w:r>
      <w:r w:rsidR="008B06D3" w:rsidRPr="00795F17">
        <w:t>działań</w:t>
      </w:r>
      <w:r w:rsidR="00DF6761">
        <w:t xml:space="preserve"> określonych w POWM</w:t>
      </w:r>
      <w:r w:rsidR="003C6B91">
        <w:t>.</w:t>
      </w:r>
    </w:p>
    <w:p w14:paraId="748BE27A" w14:textId="2B8473C0" w:rsidR="00B53041" w:rsidRDefault="00F8389C" w:rsidP="00F8389C">
      <w:r w:rsidRPr="00795F17">
        <w:rPr>
          <w:b/>
          <w:bCs/>
        </w:rPr>
        <w:t>Obszar problemowy:</w:t>
      </w:r>
      <w:r w:rsidRPr="00795F17">
        <w:t xml:space="preserve"> [ANTROPOPRESJA - ZANIECZYSZCZENIE WÓD] </w:t>
      </w:r>
      <w:r w:rsidR="003C6B91">
        <w:t>a</w:t>
      </w:r>
      <w:r w:rsidRPr="00795F17">
        <w:t>POWM został</w:t>
      </w:r>
      <w:r w:rsidR="003C6B91">
        <w:t>a</w:t>
      </w:r>
      <w:r w:rsidRPr="00795F17">
        <w:t xml:space="preserve"> opracowany </w:t>
      </w:r>
      <w:r w:rsidR="003C6B91">
        <w:t xml:space="preserve">po przeanalizowaniu </w:t>
      </w:r>
      <w:r w:rsidR="00310EE1">
        <w:t>efektów działań zrealizowanych w poprzednim okresie programowania (KPOWM)</w:t>
      </w:r>
      <w:r w:rsidR="00E23EDC">
        <w:t xml:space="preserve">. Określono, które działania </w:t>
      </w:r>
      <w:r w:rsidR="009C4764">
        <w:t xml:space="preserve">mają być </w:t>
      </w:r>
      <w:r w:rsidR="00E23EDC">
        <w:t xml:space="preserve">kontynuowane </w:t>
      </w:r>
      <w:r w:rsidR="009C4764">
        <w:t xml:space="preserve">(22 działania) </w:t>
      </w:r>
      <w:r w:rsidR="00E23EDC">
        <w:t>i zaplanowano nowe działania</w:t>
      </w:r>
      <w:r w:rsidR="009C4764">
        <w:t xml:space="preserve"> (37 działań)</w:t>
      </w:r>
      <w:r w:rsidR="007C457C">
        <w:t xml:space="preserve">, </w:t>
      </w:r>
      <w:r w:rsidR="00962DEF">
        <w:t xml:space="preserve">łącznie zaplanowano </w:t>
      </w:r>
      <w:r w:rsidR="00176F8C">
        <w:t>59 działań, najistotniejszym z nich nadano priorytet wykonania.</w:t>
      </w:r>
    </w:p>
    <w:p w14:paraId="6716D4A0" w14:textId="727CBD7E" w:rsidR="00C90234" w:rsidRDefault="00A465DE" w:rsidP="00A465DE">
      <w:r w:rsidRPr="00795F17">
        <w:t xml:space="preserve">Zasięg przestrzenny analiz wykonanych w ramach </w:t>
      </w:r>
      <w:r>
        <w:t>a</w:t>
      </w:r>
      <w:r w:rsidRPr="00795F17">
        <w:t xml:space="preserve">POWM obejmuje </w:t>
      </w:r>
      <w:r w:rsidR="0042193A">
        <w:t xml:space="preserve">wyodrębnione </w:t>
      </w:r>
      <w:r w:rsidR="00AF4B11">
        <w:t>jednostki planistyczne</w:t>
      </w:r>
      <w:r w:rsidR="0042193A">
        <w:t>:</w:t>
      </w:r>
      <w:r w:rsidR="00AF4B11">
        <w:t xml:space="preserve"> </w:t>
      </w:r>
      <w:r w:rsidRPr="00795F17">
        <w:t xml:space="preserve">wody morskie, wody </w:t>
      </w:r>
      <w:r w:rsidR="000035CB">
        <w:t xml:space="preserve">przejściowe i wody </w:t>
      </w:r>
      <w:r w:rsidRPr="00795F17">
        <w:t xml:space="preserve">przybrzeżne </w:t>
      </w:r>
      <w:r w:rsidR="000035CB">
        <w:t>(nazwywane podakwenami)</w:t>
      </w:r>
      <w:r w:rsidRPr="00795F17">
        <w:t xml:space="preserve">. </w:t>
      </w:r>
      <w:r w:rsidR="00C94DE6">
        <w:t>Stan każdego podakwenu oceniono na podstawie z</w:t>
      </w:r>
      <w:r w:rsidR="00331E74">
        <w:t>aktualizowan</w:t>
      </w:r>
      <w:r w:rsidR="00C94DE6">
        <w:t xml:space="preserve">ej </w:t>
      </w:r>
      <w:r w:rsidR="00331E74" w:rsidRPr="00795F17">
        <w:t>wstępn</w:t>
      </w:r>
      <w:r w:rsidR="00C94DE6">
        <w:t xml:space="preserve">ej </w:t>
      </w:r>
      <w:r w:rsidR="00331E74" w:rsidRPr="00795F17">
        <w:t>ocen</w:t>
      </w:r>
      <w:r w:rsidR="00C94DE6">
        <w:t xml:space="preserve">y </w:t>
      </w:r>
      <w:r w:rsidR="00331E74" w:rsidRPr="00795F17">
        <w:t>stanu środowiska wód morskich</w:t>
      </w:r>
      <w:r w:rsidR="00C94DE6">
        <w:t xml:space="preserve"> i zebranych w </w:t>
      </w:r>
      <w:r w:rsidR="00C90234">
        <w:t xml:space="preserve">latach 2011-2016 </w:t>
      </w:r>
      <w:r w:rsidR="00C94DE6">
        <w:t>dan</w:t>
      </w:r>
      <w:r w:rsidR="00C90234">
        <w:t>ych.</w:t>
      </w:r>
      <w:r w:rsidR="00075654">
        <w:t xml:space="preserve"> Zdefiniowano 11 cech każdego podakwenu obejmujących </w:t>
      </w:r>
      <w:r w:rsidR="00010DD9">
        <w:t>warunki biotyczne i abiotyczne</w:t>
      </w:r>
      <w:r w:rsidR="006A6700">
        <w:t xml:space="preserve"> oraz </w:t>
      </w:r>
      <w:r w:rsidR="00E40C48">
        <w:t xml:space="preserve">dla każdej z nich </w:t>
      </w:r>
      <w:r w:rsidR="006A6700">
        <w:t>zdefiniowano cele środowiskowe.</w:t>
      </w:r>
      <w:r w:rsidR="007D38E8">
        <w:t xml:space="preserve"> Dla każdej z analizowanych cech </w:t>
      </w:r>
      <w:r w:rsidR="00E2187C">
        <w:t>określono cele środowiskowe.</w:t>
      </w:r>
    </w:p>
    <w:p w14:paraId="49ED28FF" w14:textId="508BB7B8" w:rsidR="00A465DE" w:rsidRDefault="00A465DE" w:rsidP="00A465DE">
      <w:r w:rsidRPr="00795F17">
        <w:t xml:space="preserve">Z uwagi na specyfikę zagadnienia oraz szeroki zakres terytorialny oddziaływań z nim związanych zasięg prowadzonych analiz obejmował nie tylko </w:t>
      </w:r>
      <w:r w:rsidR="00EE7F6C">
        <w:t xml:space="preserve">obszary morskie i ich </w:t>
      </w:r>
      <w:r w:rsidRPr="00795F17">
        <w:t>elementy, ale również obszar całego kraju</w:t>
      </w:r>
      <w:r w:rsidR="00345EB7">
        <w:t xml:space="preserve">, ponieważ wpływ na stan Morza Bałtyckiego mają </w:t>
      </w:r>
      <w:r w:rsidR="006E10E6">
        <w:t xml:space="preserve">działania </w:t>
      </w:r>
      <w:r w:rsidR="00AD0C44">
        <w:t>takie jak rolnictwo i gospodarka wodno-ściekowa, nie tylko w strefie nadmorskiej.</w:t>
      </w:r>
    </w:p>
    <w:p w14:paraId="27F6DD91" w14:textId="32882CEE" w:rsidR="00D9693F" w:rsidRDefault="00D9693F" w:rsidP="00A465DE">
      <w:r w:rsidRPr="00795F17">
        <w:rPr>
          <w:bCs/>
        </w:rPr>
        <w:t xml:space="preserve">Sposób osiągnięcia zakładanych celów i/lub rozwiązania zidentyfikowanych problemów: </w:t>
      </w:r>
      <w:r>
        <w:t>a</w:t>
      </w:r>
      <w:r w:rsidRPr="00795F17">
        <w:t xml:space="preserve">POWM określa </w:t>
      </w:r>
      <w:r>
        <w:t xml:space="preserve">działania podstawowe, w tym prawne, administracyjne, ekonomiczne, edukacyjne i kontrolne oraz działania doraźne. Działania podzielono na: wynikające z przepisów oraz przyjętych dokumentów planistycznych i programowych, działania kontynuowane </w:t>
      </w:r>
      <w:r w:rsidRPr="007F6FB8">
        <w:t>z KPOWM, działania nowe (zgłoszone przez instytucje, ekspertów oraz rekomendowane w ramach HELCOM), wynikające</w:t>
      </w:r>
      <w:r>
        <w:t xml:space="preserve"> z analizy luk, a także działania doraźne. Działaniami o najwyższym priorytecie są: poszerzenie monitoringu i zwiększenie wymogów w zakresie usuwania biogenów w oczyszczalniach ścieków, doposażenie gmin w nowoczesny sprzęt do czyszczenia plaż, ograniczenie przyłowów morświnów w polskich obszarach morskich, ograniczenie niepokojenia fok przez ludzi w miejscu ich rozrodu, wdrożenie rejestru źródeł hałasu impulsowego (pochodzącego z podwodnych eksplozji, badań sejsmicznych, sonarów i inne). </w:t>
      </w:r>
      <w:r w:rsidRPr="00795F17">
        <w:t xml:space="preserve">Wskazany w </w:t>
      </w:r>
      <w:r>
        <w:t>a</w:t>
      </w:r>
      <w:r w:rsidRPr="00795F17">
        <w:t>POWM horyzont czasowy realizacji działań to 202</w:t>
      </w:r>
      <w:r>
        <w:t>7</w:t>
      </w:r>
      <w:r w:rsidRPr="00795F17">
        <w:t xml:space="preserve">, </w:t>
      </w:r>
      <w:r>
        <w:t xml:space="preserve">przy czym zidentyfikowano małe prawdopodomieństwo </w:t>
      </w:r>
      <w:r w:rsidRPr="00795F17">
        <w:t xml:space="preserve">osiągnięcia niektórych </w:t>
      </w:r>
      <w:r>
        <w:t>cech dla niektórych obszarów w takim terminie.</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9D5AB2" w:rsidRPr="00795F17" w14:paraId="5D400108"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19B58CF9" w14:textId="2D306819" w:rsidR="009D5AB2" w:rsidRDefault="009D5AB2" w:rsidP="00637B72">
            <w:pPr>
              <w:jc w:val="right"/>
              <w:rPr>
                <w:b w:val="0"/>
              </w:rPr>
            </w:pPr>
            <w:r w:rsidRPr="00795F17">
              <w:t xml:space="preserve">Poziom krajowy </w:t>
            </w:r>
            <w:r w:rsidR="0065249A">
              <w:t>–</w:t>
            </w:r>
            <w:r w:rsidRPr="00795F17">
              <w:t xml:space="preserve"> programy rozwoju</w:t>
            </w:r>
          </w:p>
          <w:p w14:paraId="146957CD" w14:textId="77777777" w:rsidR="00D9693F" w:rsidRPr="00795F17" w:rsidRDefault="00D9693F" w:rsidP="00637B72">
            <w:pPr>
              <w:jc w:val="right"/>
              <w:rPr>
                <w:b w:val="0"/>
              </w:rPr>
            </w:pPr>
          </w:p>
          <w:p w14:paraId="64EDEBEB" w14:textId="0A962293" w:rsidR="009D5AB2" w:rsidRPr="00795F17" w:rsidRDefault="009D5AB2" w:rsidP="0044393D">
            <w:pPr>
              <w:rPr>
                <w:b w:val="0"/>
              </w:rPr>
            </w:pPr>
            <w:r w:rsidRPr="00795F17">
              <w:t>Założenia do Planów Rozwoju Śródlądowych Dróg Wodnych w Polsce na lata 2016</w:t>
            </w:r>
            <w:r w:rsidR="0065249A">
              <w:t>–</w:t>
            </w:r>
            <w:r w:rsidRPr="00795F17">
              <w:t>2020 z</w:t>
            </w:r>
            <w:r w:rsidR="00A03F3F">
              <w:t> </w:t>
            </w:r>
            <w:r w:rsidRPr="00795F17">
              <w:t>perspektywą do roku 2030</w:t>
            </w:r>
          </w:p>
          <w:p w14:paraId="168090CF" w14:textId="3CB921D7" w:rsidR="009D5AB2" w:rsidRPr="00D415A7" w:rsidRDefault="009D5AB2" w:rsidP="0044393D">
            <w:pPr>
              <w:rPr>
                <w:b w:val="0"/>
              </w:rPr>
            </w:pPr>
            <w:r w:rsidRPr="00D415A7">
              <w:t>wraz z delegacją w zakresie opracowania programów rozwoju śródlądowych dróg wodnych, w</w:t>
            </w:r>
            <w:r w:rsidR="00A03F3F">
              <w:rPr>
                <w:bCs/>
              </w:rPr>
              <w:t> </w:t>
            </w:r>
            <w:r w:rsidRPr="00D415A7">
              <w:t>tym: Programu Rozwoju Odrzańskiej Drogi Wodnej</w:t>
            </w:r>
          </w:p>
        </w:tc>
      </w:tr>
    </w:tbl>
    <w:p w14:paraId="7B7473B5" w14:textId="2554170A" w:rsidR="009D5AB2" w:rsidRPr="00795F17" w:rsidRDefault="009D5AB2" w:rsidP="0044393D">
      <w:r w:rsidRPr="00795F17">
        <w:rPr>
          <w:b/>
          <w:bCs/>
        </w:rPr>
        <w:t>Cele i oczekiwane rezultaty wdrożenia dokumentu</w:t>
      </w:r>
      <w:r w:rsidRPr="00795F17">
        <w:t xml:space="preserve">: </w:t>
      </w:r>
      <w:r w:rsidR="0065249A">
        <w:t>b</w:t>
      </w:r>
      <w:r w:rsidRPr="00795F17">
        <w:t>udowa lub zmodernizowanie śródlądowych dróg wodnych (śdw) do parametrów co najmniej IV klasy żeglowności oraz spełnienie wymogów infrastruktury transportu wodnego śródlądowego dla sieci TEN-T.</w:t>
      </w:r>
    </w:p>
    <w:p w14:paraId="3D87E4DC" w14:textId="3C805279" w:rsidR="009D5AB2" w:rsidRPr="00795F17" w:rsidRDefault="009D5AB2" w:rsidP="0044393D">
      <w:r w:rsidRPr="00795F17">
        <w:rPr>
          <w:b/>
          <w:bCs/>
        </w:rPr>
        <w:t>Obszar problemowy:</w:t>
      </w:r>
      <w:r w:rsidRPr="00795F17">
        <w:t xml:space="preserve"> [ANTROPOPRESJA - ZANIECZYSZCZENIE WÓD</w:t>
      </w:r>
      <w:r w:rsidR="007772C5" w:rsidRPr="00795F17">
        <w:t>]</w:t>
      </w:r>
      <w:r w:rsidRPr="00795F17">
        <w:t xml:space="preserve"> </w:t>
      </w:r>
      <w:r w:rsidR="0065249A">
        <w:t>w</w:t>
      </w:r>
      <w:r w:rsidRPr="00795F17">
        <w:t xml:space="preserve"> </w:t>
      </w:r>
      <w:r w:rsidR="0065249A">
        <w:t>z</w:t>
      </w:r>
      <w:r w:rsidRPr="00795F17">
        <w:t xml:space="preserve">ałożeniach wyszczególniono trzy śródlądowe szlaki żeglugowe, przebiegające przez terytorium Polski, tj.: E-30, E-40 i E-70, a także określono cztery priorytety dotyczące planowanych inwestycji (obejmujące ogółem 11 zadań), w tym m.in.: Priorytet I: Odrzańska Droga Wodna (E-30) </w:t>
      </w:r>
      <w:r w:rsidR="0065249A">
        <w:t>–</w:t>
      </w:r>
      <w:r w:rsidRPr="00795F17">
        <w:t xml:space="preserve"> osiągnięcie międzynarodowej klasy żeglowności i włączenie w europejską sieć dróg wodnych; Priorytet III: Połączenie Odra-Wisła-Zalew Wiślany; rozbudowa drogi wodnej E-70; Priorytet IV: Rozwój partnerstwa i współpracy na rzecz śródlądowych dróg wodnych.</w:t>
      </w:r>
    </w:p>
    <w:p w14:paraId="13BC4C61" w14:textId="5E209578" w:rsidR="00D9693F" w:rsidRDefault="009D5AB2" w:rsidP="00952DA0">
      <w:r w:rsidRPr="00795F17">
        <w:rPr>
          <w:b/>
          <w:bCs/>
        </w:rPr>
        <w:t xml:space="preserve">Sposób osiągnięcia zakładanych celów i/lub rozwiązania zidentyfikowanych problemów: </w:t>
      </w:r>
      <w:r w:rsidR="0065249A">
        <w:t>z</w:t>
      </w:r>
      <w:r w:rsidRPr="00795F17">
        <w:t>ałożenia zawierają zakres zadań inwestycyjnych na polskich drogach wodnych podzielonych na perspektywę krótko- i długoterminową (bez określenia terminów), w tym szczegółowy zakres zadań inwestycyjnych na Odrzańskiej Drodze Wodnej. W założeniach ustalono, że w perspektywie krótkoterminowej dla wszystkich inwestycji przewidzianych do realizacji w okresie długoterminowym przygotowana zostanie część dokumentacyjna, w tym analizy hydrologiczne pozwalające na zbilansowanie zasobów wodnych niezbędnych dla zapewnienia funkcji żeglugowej na drogach wodnych, wraz ze wskazaniem na ewentualne potrzeby budowy dodatkowych zbiorników retencyjnych zapewniających wodę do celów żeglugowych, które powinny obejmować całościowo poszczególne szlaki żeglugowe i rekomendować wariantowo najlepsze rozwiązania. Założenia przewidują również konieczność przygotowania inwentaryzacji stanu technicznego istniejących dróg wodnych w ramach prac nad programami rozwoju śdw.</w:t>
      </w:r>
    </w:p>
    <w:tbl>
      <w:tblPr>
        <w:tblStyle w:val="Tabela-Siatka"/>
        <w:tblW w:w="0" w:type="auto"/>
        <w:tblLook w:val="04A0" w:firstRow="1" w:lastRow="0" w:firstColumn="1" w:lastColumn="0" w:noHBand="0" w:noVBand="1"/>
      </w:tblPr>
      <w:tblGrid>
        <w:gridCol w:w="9062"/>
      </w:tblGrid>
      <w:tr w:rsidR="009D5AB2" w:rsidRPr="00795F17" w14:paraId="25093197"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05260F2C" w14:textId="7B210775" w:rsidR="009D5AB2" w:rsidRPr="00795F17" w:rsidRDefault="009D5AB2" w:rsidP="00637B72">
            <w:pPr>
              <w:jc w:val="right"/>
              <w:rPr>
                <w:b w:val="0"/>
              </w:rPr>
            </w:pPr>
            <w:r w:rsidRPr="00795F17">
              <w:t xml:space="preserve">Poziom krajowy </w:t>
            </w:r>
            <w:r w:rsidR="0065249A">
              <w:t>–</w:t>
            </w:r>
            <w:r w:rsidRPr="00795F17">
              <w:t xml:space="preserve"> programy rozwoju</w:t>
            </w:r>
          </w:p>
          <w:p w14:paraId="2020CA9A" w14:textId="71FB17A5" w:rsidR="009D5AB2" w:rsidRPr="00795F17" w:rsidRDefault="009D5AB2" w:rsidP="0044393D">
            <w:pPr>
              <w:rPr>
                <w:rFonts w:cstheme="minorHAnsi"/>
                <w:b w:val="0"/>
                <w:i/>
                <w:iCs/>
              </w:rPr>
            </w:pPr>
            <w:r w:rsidRPr="00795F17">
              <w:t xml:space="preserve">Krajowy Program Żeglugowy 2030 </w:t>
            </w:r>
            <w:r w:rsidR="007772C5" w:rsidRPr="00795F17">
              <w:t>(</w:t>
            </w:r>
            <w:r w:rsidRPr="00795F17">
              <w:t>KPŻ2030</w:t>
            </w:r>
            <w:r w:rsidR="00AA618A" w:rsidRPr="00795F17">
              <w:t>)</w:t>
            </w:r>
          </w:p>
        </w:tc>
      </w:tr>
    </w:tbl>
    <w:p w14:paraId="6CC037CF" w14:textId="3D2810C9" w:rsidR="009D5AB2" w:rsidRPr="00795F17" w:rsidRDefault="009D5AB2" w:rsidP="0044393D">
      <w:pPr>
        <w:rPr>
          <w:rFonts w:asciiTheme="minorHAnsi" w:hAnsiTheme="minorHAnsi" w:cstheme="minorHAnsi"/>
        </w:rPr>
      </w:pPr>
      <w:r w:rsidRPr="00795F17">
        <w:rPr>
          <w:rFonts w:asciiTheme="minorHAnsi" w:hAnsiTheme="minorHAnsi" w:cstheme="minorHAnsi"/>
          <w:b/>
          <w:bCs/>
        </w:rPr>
        <w:t xml:space="preserve">Cele i oczekiwane rezultaty wdrożenia dokumentu: </w:t>
      </w:r>
      <w:r w:rsidR="0065249A">
        <w:t>p</w:t>
      </w:r>
      <w:r w:rsidRPr="00795F17">
        <w:t>rzywrócenie warunków dla niezawodnego transportu wodnego śródlądowego na śródlądowych drogach wodnych w Polsce.</w:t>
      </w:r>
    </w:p>
    <w:p w14:paraId="2529E4C1" w14:textId="10E9CE3B" w:rsidR="009D5AB2" w:rsidRPr="00795F17" w:rsidRDefault="009D5AB2" w:rsidP="0044393D">
      <w:pPr>
        <w:rPr>
          <w:rFonts w:asciiTheme="minorHAnsi" w:hAnsiTheme="minorHAnsi" w:cstheme="minorHAnsi"/>
        </w:rPr>
      </w:pPr>
      <w:r w:rsidRPr="00795F17">
        <w:rPr>
          <w:rFonts w:asciiTheme="minorHAnsi" w:hAnsiTheme="minorHAnsi" w:cstheme="minorHAnsi"/>
          <w:b/>
          <w:bCs/>
        </w:rPr>
        <w:t>Obszar problemowy:</w:t>
      </w:r>
      <w:r w:rsidRPr="00795F17">
        <w:rPr>
          <w:rFonts w:asciiTheme="minorHAnsi" w:hAnsiTheme="minorHAnsi" w:cstheme="minorHAnsi"/>
        </w:rPr>
        <w:t xml:space="preserve"> </w:t>
      </w:r>
      <w:r w:rsidRPr="00795F17">
        <w:t>[ANTROPOPRESJA - ZANIECZYSZCZENIE WÓD</w:t>
      </w:r>
      <w:r w:rsidR="00C04DF7" w:rsidRPr="00795F17">
        <w:t>]</w:t>
      </w:r>
      <w:r w:rsidRPr="00795F17">
        <w:t xml:space="preserve"> (1) </w:t>
      </w:r>
      <w:r w:rsidR="0065249A">
        <w:t>p</w:t>
      </w:r>
      <w:r w:rsidRPr="00795F17">
        <w:t xml:space="preserve">oprawa parametrów nawigacyjnych na śródlądowych drogach wodnych; (2) </w:t>
      </w:r>
      <w:r w:rsidR="0065249A">
        <w:t>w</w:t>
      </w:r>
      <w:r w:rsidRPr="00795F17">
        <w:t xml:space="preserve">sparcie rozwoju rynku w sektorze transportu wodnego śródlądowego; (3) </w:t>
      </w:r>
      <w:r w:rsidR="0065249A">
        <w:t>r</w:t>
      </w:r>
      <w:r w:rsidRPr="00795F17">
        <w:t xml:space="preserve">ozwój partnerstwa na rzecz gospodarczego wykorzystania dróg wodnych. </w:t>
      </w:r>
    </w:p>
    <w:p w14:paraId="533990F6" w14:textId="0339FF6B" w:rsidR="009D5AB2" w:rsidRPr="00795F17" w:rsidRDefault="009D5AB2" w:rsidP="0044393D">
      <w:r w:rsidRPr="00795F17">
        <w:rPr>
          <w:rFonts w:asciiTheme="minorHAnsi" w:hAnsiTheme="minorHAnsi" w:cstheme="minorHAnsi"/>
          <w:b/>
          <w:bCs/>
        </w:rPr>
        <w:t xml:space="preserve">Sposób osiągnięcia zakładanych celów i/lub rozwiązania zidentyfikowanych problemów: </w:t>
      </w:r>
      <w:r w:rsidR="00D83072" w:rsidRPr="00D83072">
        <w:t>strategia realizacji KPŻ2030 ukierunkowana będzie przede wszystkim na realizację projektów inwestycyjnych oraz na działania o charakterze sektorowo-programowym. Inwestycje wdrażane w ramach KPŻ2030 będą miały na celu poprawę warunków nawigacyjnych, poprzez modernizację istniejącej infrastruktury hydrotechnicznej, na wykorzystywanych transportowo odcinkach dróg wodnych. Natomiast zadania programowe ukierunkowane będą na rozwój sektora i przystosowanie rynku żeglugowego do wyzwań związanych ze zrównoważonym rozwojem sektora transportu.</w:t>
      </w:r>
    </w:p>
    <w:tbl>
      <w:tblPr>
        <w:tblStyle w:val="Tabela-Siatka"/>
        <w:tblW w:w="0" w:type="auto"/>
        <w:tblLook w:val="04A0" w:firstRow="1" w:lastRow="0" w:firstColumn="1" w:lastColumn="0" w:noHBand="0" w:noVBand="1"/>
      </w:tblPr>
      <w:tblGrid>
        <w:gridCol w:w="9016"/>
      </w:tblGrid>
      <w:tr w:rsidR="009D5AB2" w:rsidRPr="00795F17" w14:paraId="3C67369F"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627B06D4" w14:textId="3C60EE38" w:rsidR="009D5AB2" w:rsidRPr="00795F17" w:rsidRDefault="009D5AB2" w:rsidP="000E51C7">
            <w:pPr>
              <w:keepNext/>
              <w:jc w:val="right"/>
              <w:rPr>
                <w:b w:val="0"/>
              </w:rPr>
            </w:pPr>
            <w:r w:rsidRPr="00795F17">
              <w:t xml:space="preserve">Poziom regionalny </w:t>
            </w:r>
            <w:r w:rsidR="0065249A">
              <w:t>–</w:t>
            </w:r>
            <w:r w:rsidRPr="00795F17">
              <w:t xml:space="preserve"> instrumenty wdrożeniowe</w:t>
            </w:r>
          </w:p>
          <w:p w14:paraId="24C1EE93" w14:textId="475CE371" w:rsidR="009D5AB2" w:rsidRPr="00795F17" w:rsidRDefault="009D5AB2" w:rsidP="000E51C7">
            <w:pPr>
              <w:keepNext/>
              <w:rPr>
                <w:b w:val="0"/>
              </w:rPr>
            </w:pPr>
            <w:bookmarkStart w:id="1031" w:name="_Hlk60772685"/>
            <w:r w:rsidRPr="00795F17">
              <w:t>Plany utrzymania wód (PUW)</w:t>
            </w:r>
            <w:bookmarkEnd w:id="1031"/>
          </w:p>
          <w:p w14:paraId="3EEA4509" w14:textId="4696DDBC" w:rsidR="009D5AB2" w:rsidRPr="0081265A" w:rsidRDefault="009D5AB2" w:rsidP="000E51C7">
            <w:pPr>
              <w:keepNext/>
              <w:rPr>
                <w:b w:val="0"/>
              </w:rPr>
            </w:pPr>
            <w:bookmarkStart w:id="1032" w:name="_Hlk60772709"/>
            <w:r w:rsidRPr="0081265A">
              <w:t>wraz z Katalogiem dobrych praktyk w zakresie robót hydrotechnicznych i prac utrzymaniowych wraz z ustaleniem zasad ich wdrażania (opracowanym w ramach realizacji aPWŚK)</w:t>
            </w:r>
            <w:bookmarkEnd w:id="1032"/>
          </w:p>
        </w:tc>
      </w:tr>
    </w:tbl>
    <w:p w14:paraId="5EA74F1F" w14:textId="7D9B4AFB" w:rsidR="009D5AB2" w:rsidRPr="00795F17" w:rsidRDefault="009D5AB2" w:rsidP="0044393D">
      <w:r w:rsidRPr="00795F17">
        <w:rPr>
          <w:b/>
          <w:bCs/>
        </w:rPr>
        <w:t xml:space="preserve">Cele i oczekiwane rezultaty wdrożenia dokumentu: </w:t>
      </w:r>
      <w:r w:rsidR="0065249A">
        <w:t>o</w:t>
      </w:r>
      <w:r w:rsidRPr="00795F17">
        <w:t xml:space="preserve">chrona przed powodzią oraz osiągnięcie dobrego stanu wszystkich wód. </w:t>
      </w:r>
    </w:p>
    <w:p w14:paraId="53933E8A" w14:textId="49988B73" w:rsidR="009D5AB2" w:rsidRPr="00795F17" w:rsidRDefault="009D5AB2" w:rsidP="0044393D">
      <w:r w:rsidRPr="00795F17">
        <w:rPr>
          <w:b/>
          <w:bCs/>
        </w:rPr>
        <w:t>Obszar problemowy:</w:t>
      </w:r>
      <w:r w:rsidRPr="00795F17">
        <w:t xml:space="preserve"> [ZMIANY KLIMATU - POWÓDŹ</w:t>
      </w:r>
      <w:r w:rsidR="007772C5" w:rsidRPr="00795F17">
        <w:t>]</w:t>
      </w:r>
      <w:r w:rsidRPr="00795F17">
        <w:t xml:space="preserve"> </w:t>
      </w:r>
      <w:r w:rsidR="0065249A">
        <w:t>z</w:t>
      </w:r>
      <w:r w:rsidRPr="00795F17">
        <w:t xml:space="preserve">apewnienie skutecznej ochrony przeciwpowodziowej jako odpowiedzialność każdego </w:t>
      </w:r>
      <w:r w:rsidR="004635D6" w:rsidRPr="00795F17">
        <w:t>RZGW WP</w:t>
      </w:r>
      <w:r w:rsidRPr="00795F17">
        <w:t xml:space="preserve"> w obszarze jego jurysdykcji.</w:t>
      </w:r>
    </w:p>
    <w:p w14:paraId="52D30BA6" w14:textId="443AA4D5" w:rsidR="009D5AB2" w:rsidRPr="00795F17" w:rsidRDefault="009D5AB2" w:rsidP="0044393D">
      <w:r w:rsidRPr="00795F17">
        <w:rPr>
          <w:b/>
          <w:bCs/>
        </w:rPr>
        <w:t xml:space="preserve">Sposób osiągnięcia zakładanych celów i/lub rozwiązania zidentyfikowanych problemów: </w:t>
      </w:r>
      <w:r w:rsidR="0065249A">
        <w:t>p</w:t>
      </w:r>
      <w:r w:rsidRPr="00795F17">
        <w:t xml:space="preserve">lan utrzymania wód zawiera określenie odcinków śródlądowych wód powierzchniowych, na których mogą wystąpić zagrożenia dla swobodnego przepływu wód i spływu lodów, oraz identyfikuje te zagrożenia. W dokumencie gromadzone i kojarzone są wszystkie planowane roboty utrzymaniowe na ciekach administrowanych przez różne organy w danym regionie wodnym. Zawiera się w nim również wykazy budowli regulacyjnych oraz urządzeń wodnych, które mają istotne znaczenie dla zarządzania wodami, a także wykazy planowanych działań utrzymaniowych (takich jak m.in.: odmulanie, usuwanie zatorów, zabezpieczanie brzegów koryta, dbanie o dobry stan techniczny budowli hydrotechnicznych), zgodnych z </w:t>
      </w:r>
      <w:r w:rsidRPr="00795F17">
        <w:rPr>
          <w:i/>
          <w:iCs/>
        </w:rPr>
        <w:t>Katalogiem dobrych praktyk w zakresie robót hydrotechnicznych i prac utrzymaniowych wraz z ustaleniem zasad ich wdrażania</w:t>
      </w:r>
      <w:r w:rsidRPr="00795F17">
        <w:t>.</w:t>
      </w:r>
    </w:p>
    <w:tbl>
      <w:tblPr>
        <w:tblStyle w:val="Tabela-Siatka"/>
        <w:tblW w:w="0" w:type="auto"/>
        <w:tblLook w:val="04A0" w:firstRow="1" w:lastRow="0" w:firstColumn="1" w:lastColumn="0" w:noHBand="0" w:noVBand="1"/>
      </w:tblPr>
      <w:tblGrid>
        <w:gridCol w:w="9062"/>
      </w:tblGrid>
      <w:tr w:rsidR="009D5AB2" w:rsidRPr="00795F17" w14:paraId="6F67D18B"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1E1B87C5" w14:textId="6328B91D" w:rsidR="009D5AB2" w:rsidRPr="00795F17" w:rsidRDefault="009D5AB2" w:rsidP="00637B72">
            <w:pPr>
              <w:jc w:val="right"/>
              <w:rPr>
                <w:b w:val="0"/>
              </w:rPr>
            </w:pPr>
            <w:r w:rsidRPr="00795F17">
              <w:t xml:space="preserve">Poziom regionalny </w:t>
            </w:r>
            <w:r w:rsidR="0065249A">
              <w:t>–</w:t>
            </w:r>
            <w:r w:rsidRPr="00795F17">
              <w:t xml:space="preserve"> programy rozwoju</w:t>
            </w:r>
          </w:p>
          <w:p w14:paraId="2134532E" w14:textId="5760DA4F" w:rsidR="009D5AB2" w:rsidRPr="00795F17" w:rsidRDefault="009D5AB2" w:rsidP="0044393D">
            <w:pPr>
              <w:rPr>
                <w:i/>
                <w:iCs/>
              </w:rPr>
            </w:pPr>
            <w:bookmarkStart w:id="1033" w:name="_Hlk60772887"/>
            <w:r w:rsidRPr="00795F17">
              <w:t>Wojewódzkie programy ochrony zasobów wodnych</w:t>
            </w:r>
            <w:bookmarkEnd w:id="1033"/>
          </w:p>
        </w:tc>
      </w:tr>
    </w:tbl>
    <w:p w14:paraId="7CDEA66C" w14:textId="2C52857F" w:rsidR="009D5AB2" w:rsidRPr="00795F17" w:rsidRDefault="009D5AB2" w:rsidP="0044393D">
      <w:pPr>
        <w:rPr>
          <w:rFonts w:cstheme="minorBidi"/>
        </w:rPr>
      </w:pPr>
      <w:r w:rsidRPr="00795F17">
        <w:rPr>
          <w:rFonts w:cstheme="minorBidi"/>
          <w:b/>
          <w:bCs/>
        </w:rPr>
        <w:t xml:space="preserve">Cele i oczekiwane rezultaty wdrożenia dokumentu: </w:t>
      </w:r>
      <w:r w:rsidR="0065249A">
        <w:t>p</w:t>
      </w:r>
      <w:r w:rsidRPr="00795F17">
        <w:t>rzywrócenie rzekom ich funkcji ekologicznych - ożywienie rzek poprzez wprowadzenie występujących w nich gatunków ryb lub odtworzenie właściwości wpływających na życie i rozwój organizmów wodnych.</w:t>
      </w:r>
    </w:p>
    <w:p w14:paraId="04A370DA" w14:textId="74D82B8E" w:rsidR="009D5AB2" w:rsidRPr="00795F17" w:rsidRDefault="009D5AB2" w:rsidP="0044393D">
      <w:r w:rsidRPr="00795F17">
        <w:rPr>
          <w:b/>
          <w:bCs/>
        </w:rPr>
        <w:t>Obszar problemowy:</w:t>
      </w:r>
      <w:r w:rsidRPr="00795F17">
        <w:t xml:space="preserve"> [ZASOBY WODNE/DROŻNOŚĆ CIEKÓW</w:t>
      </w:r>
      <w:r w:rsidR="007772C5" w:rsidRPr="00795F17">
        <w:t>]</w:t>
      </w:r>
      <w:r w:rsidRPr="00795F17">
        <w:rPr>
          <w:shd w:val="clear" w:color="auto" w:fill="FFFFFF"/>
        </w:rPr>
        <w:t xml:space="preserve"> </w:t>
      </w:r>
      <w:r w:rsidR="0065249A">
        <w:rPr>
          <w:shd w:val="clear" w:color="auto" w:fill="FFFFFF"/>
        </w:rPr>
        <w:t>s</w:t>
      </w:r>
      <w:r w:rsidRPr="00795F17">
        <w:rPr>
          <w:shd w:val="clear" w:color="auto" w:fill="FFFFFF"/>
        </w:rPr>
        <w:t>tworzenie stabilnych podstaw przyrodniczych do prowadzenia racjonalnej gospodarki rybackiej w wodach śródlądowych danego województwa z zachowaniem równowagi i różnorodności biologicznej w środowisku wodnym.</w:t>
      </w:r>
    </w:p>
    <w:p w14:paraId="0D2D192A" w14:textId="240BDF4C" w:rsidR="009D5AB2" w:rsidRPr="00795F17" w:rsidRDefault="009D5AB2" w:rsidP="0044393D">
      <w:pPr>
        <w:rPr>
          <w:rFonts w:cstheme="minorBidi"/>
        </w:rPr>
      </w:pPr>
      <w:r w:rsidRPr="00795F17">
        <w:rPr>
          <w:rFonts w:cstheme="minorBidi"/>
          <w:b/>
          <w:bCs/>
        </w:rPr>
        <w:t xml:space="preserve">Sposób osiągnięcia zakładanych celów i/lub rozwiązania zidentyfikowanych problemów: </w:t>
      </w:r>
      <w:r w:rsidR="0065249A">
        <w:t>w</w:t>
      </w:r>
      <w:r w:rsidRPr="00795F17">
        <w:t>ojewódzkie programy ochrony zasobów wodnych wyznaczają kierunki działań, jakie należy podjąć, aby osiągnąć zakładany cel, jakim jest udrożnienie rzek dla umożliwienia wędrówki ryb. Opracowywane na potrzeby dokumentów programy budowy przepławek dla ryb stanowią pierwszy krok w kierunku renaturyzacji rzek, co w konsekwencji doprowadzić powinno do ich rewitalizacji.</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9D5AB2" w:rsidRPr="00795F17" w14:paraId="4104C159"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162B1C0E" w14:textId="7BC76647" w:rsidR="009D5AB2" w:rsidRPr="00795F17" w:rsidRDefault="009D5AB2" w:rsidP="00637B72">
            <w:pPr>
              <w:jc w:val="right"/>
              <w:rPr>
                <w:b w:val="0"/>
              </w:rPr>
            </w:pPr>
            <w:r w:rsidRPr="00795F17">
              <w:t xml:space="preserve">Poziom krajowy </w:t>
            </w:r>
            <w:r w:rsidR="0065249A">
              <w:t>–</w:t>
            </w:r>
            <w:r w:rsidRPr="00795F17">
              <w:t xml:space="preserve"> programy </w:t>
            </w:r>
          </w:p>
          <w:p w14:paraId="0EDFF69E" w14:textId="30CD5F43" w:rsidR="009D5AB2" w:rsidRPr="00795F17" w:rsidRDefault="009D5AB2" w:rsidP="00637B72">
            <w:pPr>
              <w:jc w:val="left"/>
            </w:pPr>
            <w:r w:rsidRPr="00795F17">
              <w:rPr>
                <w:bCs/>
              </w:rPr>
              <w:t>Programy perspektywy finansowej 2021</w:t>
            </w:r>
            <w:r w:rsidR="0065249A">
              <w:rPr>
                <w:bCs/>
              </w:rPr>
              <w:t>–</w:t>
            </w:r>
            <w:r w:rsidRPr="00795F17">
              <w:rPr>
                <w:bCs/>
              </w:rPr>
              <w:t>2027</w:t>
            </w:r>
            <w:r w:rsidRPr="00795F17">
              <w:br/>
            </w:r>
            <w:r w:rsidRPr="0081265A">
              <w:t>Programy krajowe i regionalne opracowane na potrzeby wykorzystania funduszy europejskich perspektywy finansowej 2021</w:t>
            </w:r>
            <w:r w:rsidR="0065249A" w:rsidRPr="0081265A">
              <w:t>–</w:t>
            </w:r>
            <w:r w:rsidRPr="0081265A">
              <w:t>2027</w:t>
            </w:r>
          </w:p>
        </w:tc>
      </w:tr>
    </w:tbl>
    <w:p w14:paraId="6E7A44C7" w14:textId="1BCAD64E" w:rsidR="009D5AB2" w:rsidRPr="00795F17" w:rsidRDefault="009D5AB2" w:rsidP="0044393D">
      <w:r w:rsidRPr="00795F17">
        <w:rPr>
          <w:b/>
          <w:bCs/>
        </w:rPr>
        <w:t>Cele i oczekiwane rezultaty wdrożenia dokumentu</w:t>
      </w:r>
      <w:r w:rsidRPr="00795F17">
        <w:t xml:space="preserve">: </w:t>
      </w:r>
      <w:r w:rsidR="0065249A">
        <w:t>w</w:t>
      </w:r>
      <w:r w:rsidRPr="00795F17">
        <w:t xml:space="preserve"> latach 2021</w:t>
      </w:r>
      <w:r w:rsidR="0065249A">
        <w:t>–</w:t>
      </w:r>
      <w:r w:rsidRPr="00795F17">
        <w:t xml:space="preserve">2027 Polska będzie realizować </w:t>
      </w:r>
      <w:r w:rsidR="007D273F">
        <w:t xml:space="preserve">Umowę Partnerstwa </w:t>
      </w:r>
      <w:r w:rsidR="00B77A48">
        <w:t xml:space="preserve">uzgodnioną z Komisją Europejską. </w:t>
      </w:r>
      <w:r w:rsidR="00A22CDE">
        <w:t>Polityka</w:t>
      </w:r>
      <w:r w:rsidRPr="00795F17">
        <w:t xml:space="preserve"> spójności</w:t>
      </w:r>
      <w:r w:rsidR="00A22CDE">
        <w:t xml:space="preserve"> na lata 2021 </w:t>
      </w:r>
      <w:r w:rsidR="00985419">
        <w:t xml:space="preserve">określa </w:t>
      </w:r>
      <w:r w:rsidR="00772772">
        <w:t>następujące obszary wsparcia</w:t>
      </w:r>
      <w:r w:rsidRPr="00795F17">
        <w:t xml:space="preserve">: CP1 Bardziej </w:t>
      </w:r>
      <w:r w:rsidR="002D1890">
        <w:t xml:space="preserve">konkurencyjna i </w:t>
      </w:r>
      <w:r w:rsidRPr="00795F17">
        <w:t>inteligentna Europa</w:t>
      </w:r>
      <w:r w:rsidR="002622E6">
        <w:t xml:space="preserve">, </w:t>
      </w:r>
      <w:r w:rsidRPr="00795F17">
        <w:t>CP2 Bardziej przyjazna dla środowiska niskoemisyjna Europa</w:t>
      </w:r>
      <w:r w:rsidR="002622E6">
        <w:t>,</w:t>
      </w:r>
      <w:r w:rsidRPr="00795F17">
        <w:t xml:space="preserve"> CP3 Lepiej połączona Europa</w:t>
      </w:r>
      <w:r w:rsidR="002622E6">
        <w:t xml:space="preserve">, </w:t>
      </w:r>
      <w:r w:rsidRPr="00795F17">
        <w:t>CP4 Europa o silniejszym wymiarze społecznym</w:t>
      </w:r>
      <w:r w:rsidR="002622E6">
        <w:t>,</w:t>
      </w:r>
      <w:r w:rsidRPr="00795F17">
        <w:t xml:space="preserve"> CP5 Europa bliżej obywateli</w:t>
      </w:r>
      <w:r w:rsidR="00552712">
        <w:t xml:space="preserve">, CP6 </w:t>
      </w:r>
      <w:r w:rsidR="000426F9">
        <w:t xml:space="preserve">Łagodzenie skutków transformacji w kierunku </w:t>
      </w:r>
      <w:r w:rsidR="00990B8C">
        <w:t>gospodarki neutralnej dla klimatu</w:t>
      </w:r>
    </w:p>
    <w:p w14:paraId="63AD7124" w14:textId="18D25AB8" w:rsidR="009D5AB2" w:rsidRPr="00795F17" w:rsidRDefault="009D5AB2" w:rsidP="0044393D">
      <w:r w:rsidRPr="00795F17">
        <w:rPr>
          <w:b/>
          <w:bCs/>
        </w:rPr>
        <w:t>Obszar problemowy:</w:t>
      </w:r>
      <w:r w:rsidRPr="00795F17">
        <w:t xml:space="preserve"> </w:t>
      </w:r>
      <w:r w:rsidR="0065249A">
        <w:t>d</w:t>
      </w:r>
      <w:r w:rsidRPr="00795F17">
        <w:t>ziałania planowane w nowej perspektywie finansowej w ramach poszczególnych celów polityki odpowiadać będą na wyzwania krajowe</w:t>
      </w:r>
      <w:r w:rsidR="006B25F9">
        <w:t xml:space="preserve"> wynikające z dokumentów strategicznych</w:t>
      </w:r>
      <w:r w:rsidRPr="00795F17">
        <w:t xml:space="preserve"> </w:t>
      </w:r>
      <w:r w:rsidR="005B7FBF">
        <w:t xml:space="preserve">oraz </w:t>
      </w:r>
      <w:r w:rsidR="00C612EB">
        <w:t xml:space="preserve">będą </w:t>
      </w:r>
      <w:r w:rsidRPr="00795F17">
        <w:t>uwzględniać kontekst europejski</w:t>
      </w:r>
      <w:r w:rsidR="00C612EB">
        <w:t xml:space="preserve"> taki jak: </w:t>
      </w:r>
      <w:r w:rsidRPr="00795F17">
        <w:t>Europejski</w:t>
      </w:r>
      <w:r w:rsidR="00C612EB">
        <w:t xml:space="preserve"> </w:t>
      </w:r>
      <w:r w:rsidRPr="00795F17">
        <w:t>Zielon</w:t>
      </w:r>
      <w:r w:rsidR="002E7595">
        <w:t xml:space="preserve">y </w:t>
      </w:r>
      <w:r w:rsidRPr="00795F17">
        <w:t xml:space="preserve">Ład, </w:t>
      </w:r>
      <w:r w:rsidR="006B25F9">
        <w:t xml:space="preserve">konsekwencje COVID-19, </w:t>
      </w:r>
      <w:r w:rsidRPr="00795F17">
        <w:t>Europejsk</w:t>
      </w:r>
      <w:r w:rsidR="00D73986">
        <w:t xml:space="preserve">ą </w:t>
      </w:r>
      <w:r w:rsidRPr="00795F17">
        <w:t>Agend</w:t>
      </w:r>
      <w:r w:rsidR="00D73986">
        <w:t>ę</w:t>
      </w:r>
      <w:r w:rsidRPr="00795F17">
        <w:t xml:space="preserve"> Cyfrow</w:t>
      </w:r>
      <w:r w:rsidR="00D73986">
        <w:t>ą</w:t>
      </w:r>
      <w:r w:rsidRPr="00795F17">
        <w:t>.</w:t>
      </w:r>
    </w:p>
    <w:p w14:paraId="0FDA4CD2" w14:textId="146E760E" w:rsidR="009D5AB2" w:rsidRPr="00795F17" w:rsidRDefault="009D5AB2" w:rsidP="0044393D">
      <w:r w:rsidRPr="00795F17">
        <w:rPr>
          <w:b/>
          <w:bCs/>
        </w:rPr>
        <w:t xml:space="preserve">Sposób osiągnięcia zakładanych celów i/lub rozwiązania zidentyfikowanych problemów: </w:t>
      </w:r>
      <w:r w:rsidR="0065249A">
        <w:t>z</w:t>
      </w:r>
      <w:r w:rsidRPr="00795F17">
        <w:t xml:space="preserve">a kształt oraz zakres programów na poziomie kraju odpowiada Minister </w:t>
      </w:r>
      <w:r w:rsidR="00991952">
        <w:t xml:space="preserve">Funduszy i Polityki </w:t>
      </w:r>
      <w:r w:rsidRPr="00795F17">
        <w:t>Regionalne</w:t>
      </w:r>
      <w:r w:rsidR="00991952">
        <w:t xml:space="preserve">j </w:t>
      </w:r>
      <w:r w:rsidRPr="00795F17">
        <w:t xml:space="preserve">we współpracy z innymi ministrami. Regionalne programy przygotowują zarządy województw we współpracy z Ministrem </w:t>
      </w:r>
      <w:r w:rsidR="00833907">
        <w:t xml:space="preserve">Funduszy i Polityki </w:t>
      </w:r>
      <w:r w:rsidRPr="00795F17">
        <w:t>Regionalne</w:t>
      </w:r>
      <w:r w:rsidR="00833907">
        <w:t>j</w:t>
      </w:r>
      <w:r w:rsidRPr="00795F17">
        <w:t xml:space="preserve">. </w:t>
      </w:r>
    </w:p>
    <w:p w14:paraId="44C1C67E" w14:textId="131AFDC1" w:rsidR="009D5AB2" w:rsidRPr="00795F17" w:rsidRDefault="009D5AB2" w:rsidP="0044393D">
      <w:r w:rsidRPr="00795F17">
        <w:t>Programy zawierają całość spójnych priorytetów strategicznych, do osiągnięcia których będzie się</w:t>
      </w:r>
      <w:r w:rsidR="00BF3682">
        <w:t> </w:t>
      </w:r>
      <w:r w:rsidRPr="00795F17">
        <w:t>dążyć za pomocą</w:t>
      </w:r>
      <w:r w:rsidR="0050083A">
        <w:t>:</w:t>
      </w:r>
      <w:r w:rsidRPr="00795F17">
        <w:t xml:space="preserve"> Europejskiego Funduszu Rozwoju Regionalnego</w:t>
      </w:r>
      <w:r w:rsidR="00175386">
        <w:t>,</w:t>
      </w:r>
      <w:r w:rsidRPr="00795F17" w:rsidDel="00175386">
        <w:t xml:space="preserve"> </w:t>
      </w:r>
      <w:r w:rsidRPr="00795F17">
        <w:t>Funduszu Spójności</w:t>
      </w:r>
      <w:r w:rsidR="00175386">
        <w:t xml:space="preserve">, Europejskiego Funduszu Społecznego+, </w:t>
      </w:r>
      <w:r w:rsidR="00C55BDF">
        <w:t>uzupełnion</w:t>
      </w:r>
      <w:r w:rsidR="0050083A">
        <w:t xml:space="preserve">ych </w:t>
      </w:r>
      <w:r w:rsidR="00C55BDF">
        <w:t xml:space="preserve">przez Fundusz Sprawiedliwej Transformacji </w:t>
      </w:r>
      <w:r w:rsidR="00877516">
        <w:t>oraz Europejski Fundusz Morski i Rybacki</w:t>
      </w:r>
      <w:r w:rsidRPr="00795F17">
        <w:t>. Wśród celów polityki spójności nowej perspektywy finansowej istotne z punktu widzenia wsparcia gospodarki wodnej są cele szczegółowe CP2., w tym przede wszystkim cele w zakresie wspierania: działań w zakresie dostosowania do zmiany klimatu, zapobiegania ryzyku i odporności na klęski żywiołowe</w:t>
      </w:r>
      <w:r w:rsidR="00876BEE">
        <w:t xml:space="preserve">, </w:t>
      </w:r>
      <w:r w:rsidRPr="00795F17">
        <w:t>zrównoważonej gospodarki wodnej</w:t>
      </w:r>
      <w:r w:rsidR="00D166A6">
        <w:t>, przechodzenia na gospodarkę o obiegu zamkniętym, sprzyjanie bioróżnorodności i rozwojow</w:t>
      </w:r>
      <w:r w:rsidR="00A13CD1">
        <w:t>i</w:t>
      </w:r>
      <w:r w:rsidR="00D166A6">
        <w:t xml:space="preserve"> zielonej infrastruktury w środowisku miejskim oraz zmniejszanie zanieczyszczenia</w:t>
      </w:r>
      <w:r w:rsidRPr="00795F17" w:rsidDel="00840E43">
        <w:t>.</w:t>
      </w:r>
    </w:p>
    <w:p w14:paraId="58E89E13" w14:textId="77777777" w:rsidR="009D5AB2" w:rsidRPr="00795F17" w:rsidRDefault="009D5AB2" w:rsidP="0044393D">
      <w:r w:rsidRPr="00795F17">
        <w:t>Wsparcia z EFRR udziela się m.in. na inwestycje w infrastrukturę. Środki z FS przeznaczane były i będą na: inwestycje na rzecz środowiska, w tym korzystne dla środowiska inwestycje związane ze zrównoważonym rozwojem oraz energią oraz inwestycje w TEN-T.</w:t>
      </w:r>
    </w:p>
    <w:p w14:paraId="6F05119F" w14:textId="6EEC6B25" w:rsidR="009D5AB2" w:rsidRPr="00795F17" w:rsidRDefault="009D5AB2" w:rsidP="0044393D">
      <w:r w:rsidRPr="00795F17">
        <w:t>Odrębną grupę stanowią środki Europejskiego Funduszu Rolnego na rzecz Rozwoju Obszarów Wiejskich (EFRROW). EFRROW stanowi instrument finansowania Wspólnej Polityki Rolnej (WPR) wspierającej dynamiczny rozwój i efektywność gospodarczą społeczności wiejskich w ramach działań podejmowanych na rzecz rozwoju obszarów wiejskich. Do takich działań należą</w:t>
      </w:r>
      <w:r w:rsidR="00B07890">
        <w:t>:</w:t>
      </w:r>
      <w:r w:rsidRPr="00795F17">
        <w:t xml:space="preserve"> realizacja strategii i finansowanie mające wzmocnić sektory rolno-spożywcze i leśne, zrównoważenie środowiskowe oraz</w:t>
      </w:r>
      <w:r w:rsidR="00093608">
        <w:t> </w:t>
      </w:r>
      <w:r w:rsidRPr="00795F17">
        <w:t>ogólny dobrostan obszarów wiejskich. EFRROW ma za zadanie wpierać strategie i projekty realizujące długoterminowe cele rozwoju obszarów wiejskich przyjęte na szczeblu wspólnotowym. W tym m.in. cele w zakresie zapewniania zrównoważonego zarządzania zasobami naturalnymi oraz podejmowania działań w dziedzinie klimatu, co znajduje odzwierciedlenie również w celach polityki wodnej. Wspólna polityka rolna poprzez zapewnienie środków bezpośredniego wsparcia i rozwoju obszarów wiejskich zapewnia ponadto zaplecze dla realizacji zobowiązań wynikających z dyrektyw unijnych, w tym np. dyrektywy azotanowej. Uzyskanie bezpośredniego wsparcia jest z kolei uzależnione od przestrzegania przepisów UE dotyczących ochrony środowiska, między innymi ustanowionych w dyrektywie azotanowej.</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9D5AB2" w:rsidRPr="00795F17" w14:paraId="0FC871A8"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3081EEFC" w14:textId="77777777" w:rsidR="009D5AB2" w:rsidRPr="00795F17" w:rsidRDefault="009D5AB2" w:rsidP="00637B72">
            <w:pPr>
              <w:jc w:val="right"/>
              <w:rPr>
                <w:b w:val="0"/>
              </w:rPr>
            </w:pPr>
            <w:r w:rsidRPr="00795F17">
              <w:t>Dokumenty stanowiące wynik współpracy międzynarodowej</w:t>
            </w:r>
          </w:p>
          <w:p w14:paraId="03B9F485" w14:textId="77777777" w:rsidR="009D5AB2" w:rsidRPr="00795F17" w:rsidRDefault="009D5AB2" w:rsidP="0044393D">
            <w:pPr>
              <w:rPr>
                <w:b w:val="0"/>
              </w:rPr>
            </w:pPr>
            <w:r w:rsidRPr="00795F17">
              <w:t xml:space="preserve">- Protokoły z posiedzeń komisji ds. wód granicznych </w:t>
            </w:r>
          </w:p>
          <w:p w14:paraId="0FE643EC" w14:textId="77777777" w:rsidR="009D5AB2" w:rsidRPr="00795F17" w:rsidRDefault="009D5AB2" w:rsidP="0044393D">
            <w:pPr>
              <w:rPr>
                <w:i/>
                <w:iCs/>
              </w:rPr>
            </w:pPr>
            <w:r w:rsidRPr="00795F17">
              <w:t>- Konwencje / porozumienia / dwustronne i wielostronne umowy międzynarodowe</w:t>
            </w:r>
          </w:p>
        </w:tc>
      </w:tr>
    </w:tbl>
    <w:p w14:paraId="17BCE0FF" w14:textId="47EB9312" w:rsidR="009D5AB2" w:rsidRPr="00795F17" w:rsidRDefault="009D5AB2" w:rsidP="0044393D">
      <w:r w:rsidRPr="00795F17">
        <w:rPr>
          <w:b/>
          <w:bCs/>
        </w:rPr>
        <w:t>Cele i oczekiwane rezultaty wdrożenia dokumentu</w:t>
      </w:r>
      <w:r w:rsidRPr="00795F17">
        <w:t xml:space="preserve">: </w:t>
      </w:r>
      <w:r w:rsidR="0065249A">
        <w:t>r</w:t>
      </w:r>
      <w:r w:rsidRPr="00795F17">
        <w:t>ealizacja zobowiązań wynikających z dwustronnych oraz wielostronnych umów międzynarodowych.</w:t>
      </w:r>
    </w:p>
    <w:p w14:paraId="44105B7F" w14:textId="3375FD45" w:rsidR="009D5AB2" w:rsidRPr="00795F17" w:rsidRDefault="009D5AB2" w:rsidP="0044393D">
      <w:r w:rsidRPr="00795F17">
        <w:rPr>
          <w:b/>
          <w:bCs/>
        </w:rPr>
        <w:t>Obszar problemowy:</w:t>
      </w:r>
      <w:r w:rsidRPr="00795F17">
        <w:t xml:space="preserve"> </w:t>
      </w:r>
      <w:r w:rsidR="0065249A">
        <w:t>r</w:t>
      </w:r>
      <w:r w:rsidRPr="00795F17">
        <w:t>ealizacja działań wynikających z umów/porozumień dwustronnych z Państwami ościennymi, o współpracy międzynarodowej w dziedzinie gospodarki wodnej na wodach granicznych, podejmowanych w ramach posiedzeń komisji ds. Wód Granicznych.</w:t>
      </w:r>
    </w:p>
    <w:p w14:paraId="4292EE34" w14:textId="14C0B1B7" w:rsidR="009D5AB2" w:rsidRPr="00795F17" w:rsidRDefault="009D5AB2" w:rsidP="0044393D">
      <w:r w:rsidRPr="00795F17">
        <w:t xml:space="preserve">Realizacja zobowiązań wynikających z: (1) Konwencji o obszarach wodno-błotnych mających znaczenie międzynarodowe, zwłaszcza jako środowisko życiowe ptactwa wodnego, sporządzonej w Ramsarze dnia 2 lutego 1971 r. (Dz.U. </w:t>
      </w:r>
      <w:r w:rsidR="0065249A">
        <w:t xml:space="preserve">z </w:t>
      </w:r>
      <w:r w:rsidRPr="00795F17">
        <w:t>1978</w:t>
      </w:r>
      <w:r w:rsidR="0065249A">
        <w:t xml:space="preserve"> r.</w:t>
      </w:r>
      <w:r w:rsidRPr="00795F17">
        <w:t xml:space="preserve"> poz. 24</w:t>
      </w:r>
      <w:r w:rsidR="00812B09" w:rsidRPr="00795F17">
        <w:t xml:space="preserve">); </w:t>
      </w:r>
      <w:r w:rsidRPr="00795F17">
        <w:t>(2) Konwencji o ochronie i użytkowaniu cieków transgranicznych i jezior międzynarodowych, sporządzonej w Helsinkach dnia 17 marca 1992 r. (Dz.U.</w:t>
      </w:r>
      <w:r w:rsidR="004A5F85">
        <w:t> </w:t>
      </w:r>
      <w:r w:rsidR="0065249A">
        <w:t>z</w:t>
      </w:r>
      <w:r w:rsidR="004A5F85">
        <w:t> </w:t>
      </w:r>
      <w:r w:rsidRPr="00795F17">
        <w:t>2003</w:t>
      </w:r>
      <w:r w:rsidR="004A5F85">
        <w:t> </w:t>
      </w:r>
      <w:r w:rsidR="0065249A">
        <w:t>r.</w:t>
      </w:r>
      <w:r w:rsidRPr="00795F17">
        <w:t xml:space="preserve"> poz. 702</w:t>
      </w:r>
      <w:r w:rsidR="006C462A" w:rsidRPr="00795F17">
        <w:t xml:space="preserve">); </w:t>
      </w:r>
      <w:r w:rsidRPr="00795F17">
        <w:t>(3) Porozumienia o ochronie małych waleni Bałtyku</w:t>
      </w:r>
      <w:r w:rsidR="00B64DB4">
        <w:t xml:space="preserve">, </w:t>
      </w:r>
      <w:r w:rsidR="00F2393C">
        <w:t xml:space="preserve">Północno-Wschodniego Atlantyku, Morza Irlandzkiego i </w:t>
      </w:r>
      <w:r w:rsidRPr="00795F17">
        <w:t>Północnego, sporządzonego w</w:t>
      </w:r>
      <w:r w:rsidR="001E4659">
        <w:t> </w:t>
      </w:r>
      <w:r w:rsidRPr="00795F17">
        <w:t>Nowym Jorku dnia 17 marca 1992 r. [ASCOBANS</w:t>
      </w:r>
      <w:r w:rsidR="007772C5" w:rsidRPr="00795F17">
        <w:t>]</w:t>
      </w:r>
      <w:r w:rsidRPr="00795F17">
        <w:t xml:space="preserve"> (Dz.U.</w:t>
      </w:r>
      <w:r w:rsidR="008B5C84">
        <w:t xml:space="preserve"> </w:t>
      </w:r>
      <w:r w:rsidR="0065249A">
        <w:t>z</w:t>
      </w:r>
      <w:r w:rsidR="0065249A" w:rsidDel="008B5C84">
        <w:t xml:space="preserve"> </w:t>
      </w:r>
      <w:r w:rsidRPr="00795F17">
        <w:t>1999</w:t>
      </w:r>
      <w:r w:rsidR="0065249A">
        <w:t xml:space="preserve"> r.</w:t>
      </w:r>
      <w:r w:rsidRPr="00795F17">
        <w:t xml:space="preserve"> poz. 1108</w:t>
      </w:r>
      <w:r w:rsidR="00D10312" w:rsidRPr="00795F17">
        <w:t xml:space="preserve">); </w:t>
      </w:r>
      <w:r w:rsidRPr="00795F17">
        <w:t xml:space="preserve">(4) Konwencji o ochronie środowiska morskiego obszaru Morza Bałtyckiego, sporządzonej w Helsinkach dnia 9 kwietnia 1992 r. (Dz.U. </w:t>
      </w:r>
      <w:r w:rsidR="0065249A">
        <w:t xml:space="preserve">z </w:t>
      </w:r>
      <w:r w:rsidRPr="00795F17">
        <w:t>2000</w:t>
      </w:r>
      <w:r w:rsidR="0065249A">
        <w:t xml:space="preserve"> r.</w:t>
      </w:r>
      <w:r w:rsidRPr="00795F17">
        <w:t xml:space="preserve"> poz. 346) sankcjonującej istnienie i działalność Komisji Ochrony Środowiska Morskiego Bałtyku, znanej również jako Komisja Helsińska lub HELCOM, w tym zwłaszcza </w:t>
      </w:r>
      <w:r w:rsidR="008876CD" w:rsidRPr="00795F17">
        <w:t>prowadzon</w:t>
      </w:r>
      <w:r w:rsidR="008876CD">
        <w:t xml:space="preserve">ych </w:t>
      </w:r>
      <w:r w:rsidRPr="00795F17">
        <w:t xml:space="preserve">obecnie </w:t>
      </w:r>
      <w:r w:rsidR="008876CD" w:rsidRPr="00795F17">
        <w:t>działa</w:t>
      </w:r>
      <w:r w:rsidR="008876CD">
        <w:t>ń</w:t>
      </w:r>
      <w:r w:rsidR="008876CD" w:rsidRPr="00795F17">
        <w:t xml:space="preserve"> </w:t>
      </w:r>
      <w:r w:rsidRPr="00795F17">
        <w:t xml:space="preserve">Komisji w zakresie </w:t>
      </w:r>
      <w:r w:rsidR="008876CD">
        <w:t>realizacji zaaktualizowanego</w:t>
      </w:r>
      <w:r w:rsidR="008876CD" w:rsidRPr="00795F17">
        <w:t xml:space="preserve"> </w:t>
      </w:r>
      <w:r w:rsidRPr="00795F17">
        <w:t>Bałtyckiego Planu Działań HELCOM</w:t>
      </w:r>
      <w:r w:rsidRPr="00795F17">
        <w:rPr>
          <w:rFonts w:cstheme="minorBidi"/>
        </w:rPr>
        <w:t xml:space="preserve">; (5) </w:t>
      </w:r>
      <w:r w:rsidR="00070C54" w:rsidRPr="00795F17">
        <w:t>Umowy w sprawie Międzynarodowej Komisji Ochrony Odry przed Zanieczyszczeniem (MKOOpZ) z dnia 11 kwietnia 1996 roku (Dz.U.</w:t>
      </w:r>
      <w:r w:rsidR="0065249A">
        <w:t xml:space="preserve"> z</w:t>
      </w:r>
      <w:r w:rsidR="00070C54" w:rsidRPr="00795F17">
        <w:t xml:space="preserve"> </w:t>
      </w:r>
      <w:r w:rsidR="0083617F" w:rsidRPr="00795F17">
        <w:t>1999</w:t>
      </w:r>
      <w:r w:rsidR="0065249A">
        <w:t xml:space="preserve"> r.</w:t>
      </w:r>
      <w:r w:rsidR="0083617F" w:rsidRPr="00795F17">
        <w:t xml:space="preserve"> </w:t>
      </w:r>
      <w:r w:rsidR="00070C54" w:rsidRPr="00795F17">
        <w:t xml:space="preserve">poz. 886) zmienionej umową w sprawie zmiany Umowy w sprawie Międzynarodowej Komisji Ochrony Odry przed Zanieczyszczeniem, sporządzona we Wrocławiu dnia 25 czerwca 2008 r. i w Brukseli dnia 27 listopada 2008 r. (Dz.U. </w:t>
      </w:r>
      <w:r w:rsidR="0065249A">
        <w:t xml:space="preserve">z </w:t>
      </w:r>
      <w:r w:rsidR="00070C54" w:rsidRPr="00795F17">
        <w:t>2011</w:t>
      </w:r>
      <w:r w:rsidR="0065249A">
        <w:t xml:space="preserve"> r.</w:t>
      </w:r>
      <w:r w:rsidR="00070C54" w:rsidRPr="00795F17">
        <w:t xml:space="preserve"> poz. 1022).</w:t>
      </w:r>
    </w:p>
    <w:p w14:paraId="19C91D48" w14:textId="08F254B7" w:rsidR="009D5AB2" w:rsidRPr="00795F17" w:rsidRDefault="009D5AB2" w:rsidP="0044393D">
      <w:r w:rsidRPr="00795F17">
        <w:rPr>
          <w:b/>
          <w:bCs/>
        </w:rPr>
        <w:t xml:space="preserve">Sposób osiągnięcia zakładanych celów i/lub rozwiązania zidentyfikowanych problemów: </w:t>
      </w:r>
      <w:r w:rsidR="0065249A">
        <w:t>p</w:t>
      </w:r>
      <w:r w:rsidRPr="00795F17">
        <w:t>rzedmiot oraz zakres międzynarodowych uzgodnień w dziedzinie gospodarki wodnej zostały szczegółowo omówione w rozdziale</w:t>
      </w:r>
      <w:r w:rsidR="0065249A">
        <w:t xml:space="preserve"> </w:t>
      </w:r>
      <w:r w:rsidRPr="00795F17">
        <w:t xml:space="preserve">13.10, </w:t>
      </w:r>
      <w:r w:rsidRPr="00795F17">
        <w:rPr>
          <w:rFonts w:cstheme="minorBidi"/>
        </w:rPr>
        <w:t>dotyczącym informacji o pozostałych działaniach, innych niż wskazane w art. 318 ust. 1 pkt 8-16 pr.w., w tym podsumowania działań dotyczących współpracy międzynarodowej (art. 320 pr.w.).</w:t>
      </w:r>
    </w:p>
    <w:p w14:paraId="53750535" w14:textId="07963F81" w:rsidR="009D5AB2" w:rsidRPr="00795F17" w:rsidRDefault="009D5AB2" w:rsidP="00C53C86">
      <w:pPr>
        <w:pStyle w:val="Nagwek3"/>
      </w:pPr>
      <w:bookmarkStart w:id="1034" w:name="_Toc105512739"/>
      <w:r w:rsidRPr="00795F17">
        <w:t xml:space="preserve">Dokumenty i inne instrumenty o charakterze operacyjno-wdrożeniowym </w:t>
      </w:r>
      <w:r w:rsidR="00F41293">
        <w:t>–</w:t>
      </w:r>
      <w:r w:rsidRPr="00795F17">
        <w:t xml:space="preserve"> inne powiązane</w:t>
      </w:r>
      <w:bookmarkEnd w:id="1034"/>
    </w:p>
    <w:tbl>
      <w:tblPr>
        <w:tblStyle w:val="Tabela-Siatka"/>
        <w:tblW w:w="0" w:type="auto"/>
        <w:tblLook w:val="04A0" w:firstRow="1" w:lastRow="0" w:firstColumn="1" w:lastColumn="0" w:noHBand="0" w:noVBand="1"/>
      </w:tblPr>
      <w:tblGrid>
        <w:gridCol w:w="9016"/>
      </w:tblGrid>
      <w:tr w:rsidR="009D5AB2" w:rsidRPr="00795F17" w14:paraId="3580F8EA"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tcBorders>
              <w:top w:val="single" w:sz="4" w:space="0" w:color="auto"/>
              <w:left w:val="single" w:sz="4" w:space="0" w:color="auto"/>
              <w:bottom w:val="nil"/>
              <w:right w:val="single" w:sz="4" w:space="0" w:color="auto"/>
            </w:tcBorders>
            <w:shd w:val="clear" w:color="auto" w:fill="003399"/>
          </w:tcPr>
          <w:p w14:paraId="4B55A8FB" w14:textId="2A0EE0C7" w:rsidR="009D5AB2" w:rsidRPr="00795F17" w:rsidRDefault="009D5AB2" w:rsidP="00637B72">
            <w:pPr>
              <w:jc w:val="right"/>
              <w:rPr>
                <w:b w:val="0"/>
              </w:rPr>
            </w:pPr>
            <w:r w:rsidRPr="00795F17">
              <w:t xml:space="preserve">Poziom krajowy </w:t>
            </w:r>
            <w:r w:rsidR="0065249A">
              <w:t>–</w:t>
            </w:r>
            <w:r w:rsidRPr="00795F17">
              <w:t xml:space="preserve"> programy rozwoju</w:t>
            </w:r>
          </w:p>
          <w:p w14:paraId="30408026" w14:textId="0EFBD2C6" w:rsidR="009D5AB2" w:rsidRPr="00795F17" w:rsidRDefault="009D5AB2" w:rsidP="00637B72">
            <w:pPr>
              <w:jc w:val="left"/>
              <w:rPr>
                <w:i/>
                <w:iCs/>
              </w:rPr>
            </w:pPr>
            <w:bookmarkStart w:id="1035" w:name="_Hlk60771331"/>
            <w:r w:rsidRPr="00795F17">
              <w:t>Strategiczny plan adaptacji dla sektorów i obszarów wrażliwych na zmiany klimatu do 2020 r. z</w:t>
            </w:r>
            <w:r w:rsidR="00533FEF">
              <w:t> </w:t>
            </w:r>
            <w:r w:rsidRPr="00795F17">
              <w:t xml:space="preserve">perspektywą do 2030 r. (SPA 2020) </w:t>
            </w:r>
            <w:r w:rsidRPr="00795F17">
              <w:br/>
            </w:r>
            <w:bookmarkEnd w:id="1035"/>
            <w:r w:rsidRPr="00C72AB5">
              <w:t>wraz z</w:t>
            </w:r>
            <w:r w:rsidRPr="00795F17">
              <w:rPr>
                <w:b w:val="0"/>
                <w:bCs/>
                <w:i/>
                <w:iCs/>
              </w:rPr>
              <w:t xml:space="preserve"> </w:t>
            </w:r>
            <w:r w:rsidRPr="00C72AB5">
              <w:t>Poradnikiem przygotowania inwestycji z uwzględnieniem zmian klimatu, ich łagodzenia i</w:t>
            </w:r>
            <w:r w:rsidR="00533FEF">
              <w:rPr>
                <w:bCs/>
              </w:rPr>
              <w:t> </w:t>
            </w:r>
            <w:r w:rsidRPr="00C72AB5">
              <w:t>przystosowania do tych zmian oraz odporności na klęski żywiołowe</w:t>
            </w:r>
          </w:p>
        </w:tc>
      </w:tr>
    </w:tbl>
    <w:p w14:paraId="2FD9EAF2" w14:textId="6DD1BE9C" w:rsidR="009D5AB2" w:rsidRPr="00795F17" w:rsidRDefault="009D5AB2" w:rsidP="0044393D">
      <w:r w:rsidRPr="00795F17">
        <w:rPr>
          <w:b/>
          <w:bCs/>
        </w:rPr>
        <w:t xml:space="preserve">Cele i oczekiwane rezultaty wdrożenia dokumentu: </w:t>
      </w:r>
      <w:r w:rsidR="0065249A">
        <w:t>p</w:t>
      </w:r>
      <w:r w:rsidRPr="00795F17">
        <w:t>oprawa odporności na aktualne i oczekiwane zmiany klimatu, ze zwróceniem szczególnej uwagi na lepsze przygotowanie do ekstremalnych zjawisk klimatycznych i pogodowych oraz redukcję kosztów społeczno-ekonomicznych z tym związanych.</w:t>
      </w:r>
    </w:p>
    <w:p w14:paraId="561719C2" w14:textId="2DF366AA" w:rsidR="009D5AB2" w:rsidRPr="00795F17" w:rsidRDefault="009D5AB2" w:rsidP="0044393D">
      <w:r w:rsidRPr="00795F17">
        <w:rPr>
          <w:b/>
          <w:bCs/>
        </w:rPr>
        <w:t>Obszar problemowy:</w:t>
      </w:r>
      <w:r w:rsidRPr="00795F17">
        <w:t xml:space="preserve"> [ZMIANY KLIMATU - ADAPTACJA</w:t>
      </w:r>
      <w:r w:rsidR="007772C5" w:rsidRPr="00795F17">
        <w:t>]</w:t>
      </w:r>
      <w:r w:rsidRPr="00795F17">
        <w:t xml:space="preserve"> </w:t>
      </w:r>
      <w:r w:rsidR="00F13C4D">
        <w:t>z</w:t>
      </w:r>
      <w:r w:rsidRPr="00795F17">
        <w:t>apewnienie zrównoważonego rozwoju oraz</w:t>
      </w:r>
      <w:r w:rsidR="0001283B">
        <w:t> </w:t>
      </w:r>
      <w:r w:rsidRPr="00795F17">
        <w:t>efektywnego funkcjonowania gospodarki i społeczeństwa w warunkach zmieniającego się klimatu.</w:t>
      </w:r>
    </w:p>
    <w:p w14:paraId="4F440B21" w14:textId="6DB653E2" w:rsidR="009D5AB2" w:rsidRPr="00795F17" w:rsidRDefault="009D5AB2" w:rsidP="0044393D">
      <w:r w:rsidRPr="00795F17">
        <w:rPr>
          <w:b/>
          <w:bCs/>
        </w:rPr>
        <w:t xml:space="preserve">Sposób osiągnięcia zakładanych celów i/lub rozwiązania zidentyfikowanych problemów: </w:t>
      </w:r>
      <w:r w:rsidR="00F13C4D">
        <w:t>w</w:t>
      </w:r>
      <w:r w:rsidRPr="00795F17">
        <w:t> dokumencie wskazano priorytetowe kierunki działań adaptacyjnych, które należy podjąć w najbardziej wrażliwych na zmiany klimatu obszarach, takich jak m.in.: gospodarka wodna, rolnictwo, leśnictwo, różnorodność biologiczna, zdrowie, energetyka, budownictwo i gospodarka przestrzenna, obszary zurbanizowane, transport, obszary górskie i strefy wybrzeża.</w:t>
      </w:r>
    </w:p>
    <w:p w14:paraId="006BE129" w14:textId="77777777" w:rsidR="009D5AB2" w:rsidRPr="00795F17" w:rsidRDefault="009D5AB2" w:rsidP="0044393D">
      <w:r w:rsidRPr="00795F17">
        <w:t>Działania podejmowane zarówno przez podmioty publiczne, jak i prywatne będą dokonywane poprzez inwestycje w infrastrukturę oraz rozwój technologii. Dotyczą przedsięwzięć technicznych, takich jak np. budowa niezbędnej infrastruktury przeciwpowodziowej i ochrony wybrzeża, oraz zmian regulacji prawnych, np. w systemie planowania przestrzennego (ograniczanie możliwości zabudowy terenów zagrożonych powodziami).</w:t>
      </w:r>
    </w:p>
    <w:tbl>
      <w:tblPr>
        <w:tblStyle w:val="Tabela-Siatka"/>
        <w:tblW w:w="0" w:type="auto"/>
        <w:tblLook w:val="04A0" w:firstRow="1" w:lastRow="0" w:firstColumn="1" w:lastColumn="0" w:noHBand="0" w:noVBand="1"/>
      </w:tblPr>
      <w:tblGrid>
        <w:gridCol w:w="9016"/>
      </w:tblGrid>
      <w:tr w:rsidR="009D5AB2" w:rsidRPr="00795F17" w14:paraId="024F39A2"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tcBorders>
              <w:top w:val="single" w:sz="4" w:space="0" w:color="auto"/>
              <w:left w:val="single" w:sz="4" w:space="0" w:color="auto"/>
              <w:bottom w:val="nil"/>
              <w:right w:val="single" w:sz="4" w:space="0" w:color="auto"/>
            </w:tcBorders>
            <w:shd w:val="clear" w:color="auto" w:fill="003399"/>
          </w:tcPr>
          <w:p w14:paraId="45A99226" w14:textId="06BCF3ED" w:rsidR="009D5AB2" w:rsidRPr="00795F17" w:rsidRDefault="009D5AB2" w:rsidP="00637B72">
            <w:pPr>
              <w:jc w:val="right"/>
              <w:rPr>
                <w:b w:val="0"/>
              </w:rPr>
            </w:pPr>
            <w:r w:rsidRPr="00795F17">
              <w:t xml:space="preserve">Poziom krajowy </w:t>
            </w:r>
            <w:r w:rsidR="00F13C4D">
              <w:t>–</w:t>
            </w:r>
            <w:r w:rsidRPr="00795F17">
              <w:t xml:space="preserve"> programy rozwoju</w:t>
            </w:r>
          </w:p>
          <w:p w14:paraId="155894C0" w14:textId="19E67117" w:rsidR="009D5AB2" w:rsidRPr="00795F17" w:rsidRDefault="009D5AB2" w:rsidP="00637B72">
            <w:pPr>
              <w:jc w:val="left"/>
              <w:rPr>
                <w:i/>
                <w:iCs/>
              </w:rPr>
            </w:pPr>
            <w:bookmarkStart w:id="1036" w:name="_Hlk60771449"/>
            <w:r w:rsidRPr="00795F17">
              <w:t xml:space="preserve">Plany adaptacji do zmian klimatu w miastach powyżej 100 tys. Mieszkańców </w:t>
            </w:r>
            <w:r w:rsidR="00F13C4D">
              <w:t>–</w:t>
            </w:r>
            <w:r w:rsidRPr="00795F17">
              <w:t xml:space="preserve"> Miejskie plany adaptacji do zmian klimatu (MPA)</w:t>
            </w:r>
            <w:bookmarkEnd w:id="1036"/>
            <w:r w:rsidRPr="00795F17">
              <w:br/>
            </w:r>
            <w:r w:rsidRPr="00C72AB5">
              <w:t>jako realizacja wskazań SPA 2020</w:t>
            </w:r>
          </w:p>
        </w:tc>
      </w:tr>
    </w:tbl>
    <w:p w14:paraId="3462B1F3" w14:textId="501127F9" w:rsidR="009D5AB2" w:rsidRPr="00795F17" w:rsidRDefault="009D5AB2" w:rsidP="0044393D">
      <w:r w:rsidRPr="00795F17">
        <w:rPr>
          <w:b/>
          <w:bCs/>
        </w:rPr>
        <w:t xml:space="preserve">Cele i oczekiwane rezultaty wdrożenia dokumentu: </w:t>
      </w:r>
      <w:r w:rsidR="00F13C4D">
        <w:t>z</w:t>
      </w:r>
      <w:r w:rsidRPr="00795F17">
        <w:t xml:space="preserve">większenie odporności na zmiany klimatu zgodnie z ideą zrównoważonego rozwoju </w:t>
      </w:r>
      <w:r w:rsidR="00442820">
        <w:t>według</w:t>
      </w:r>
      <w:r w:rsidRPr="00795F17">
        <w:t xml:space="preserve"> zasady 3Z </w:t>
      </w:r>
      <w:r w:rsidR="00F13C4D">
        <w:t>–</w:t>
      </w:r>
      <w:r w:rsidRPr="00795F17">
        <w:t xml:space="preserve"> zdrowie, zieleń, zadowolenie.</w:t>
      </w:r>
    </w:p>
    <w:p w14:paraId="495196AA" w14:textId="3D375B4A" w:rsidR="009D5AB2" w:rsidRPr="00795F17" w:rsidRDefault="009D5AB2" w:rsidP="0044393D">
      <w:r w:rsidRPr="00795F17">
        <w:rPr>
          <w:b/>
          <w:bCs/>
        </w:rPr>
        <w:t>Obszar problemowy:</w:t>
      </w:r>
      <w:r w:rsidRPr="00795F17">
        <w:t xml:space="preserve"> [ZMIANY KLIMATU - ADAPTACJA</w:t>
      </w:r>
      <w:r w:rsidR="007772C5" w:rsidRPr="00795F17">
        <w:t>]</w:t>
      </w:r>
      <w:r w:rsidRPr="00795F17">
        <w:t xml:space="preserve"> </w:t>
      </w:r>
      <w:r w:rsidR="00F13C4D">
        <w:t>a</w:t>
      </w:r>
      <w:r w:rsidRPr="00795F17">
        <w:t>daptacja miast do zmian klimatu objawiających się m.in. wzrostem średniej temperatury powietrza, częstotliwości występowania intensywnych opadów deszczu i silnego oraz bardzo silnego wiatru, które mogą prowadzić do powodzi i sztormów oraz do większego stężenia glonów w wodzie czy też bakterii w sieci i zbiornikach. Jako jeden z sektorów, który należy zabezpieczyć przed szkodliwymi zmianami klimatu, MPA wskazuje gospodarkę wodną. W przedmiotowym obszarze głównym celem jest: obniżenie występowania lokalnych powodzi oraz podtopień, także efektywne korzystanie z zasobów wód dla poprawy stanu przyrodniczego środowiska miejskiego.</w:t>
      </w:r>
    </w:p>
    <w:p w14:paraId="5A0DCB00" w14:textId="0FB60BF0" w:rsidR="009D5AB2" w:rsidRPr="00795F17" w:rsidRDefault="009D5AB2" w:rsidP="0044393D">
      <w:r w:rsidRPr="00795F17">
        <w:rPr>
          <w:b/>
          <w:bCs/>
        </w:rPr>
        <w:t xml:space="preserve">Sposób osiągnięcia zakładanych celów i/lub rozwiązania zidentyfikowanych problemów: </w:t>
      </w:r>
      <w:r w:rsidR="00F13C4D">
        <w:t>d</w:t>
      </w:r>
      <w:r w:rsidRPr="00795F17">
        <w:t>ziałania wskazane w MPA to m.in.: (1) kampanie społeczne mające na celu edukowanie mieszkańców o wpływie ich decyzji na ochronę środowiska; (2) opracowanie systemu gospodarowania wodami opadowymi wraz z budową układu retencjonowania wód opadowych oraz zmniejszenie tempa ich odpływu; (3) budowa „zielonych przystanków” (m.in. w celu zwiększenia retencji wód opadowych na terenach miejskich).</w:t>
      </w:r>
    </w:p>
    <w:tbl>
      <w:tblPr>
        <w:tblStyle w:val="Tabela-Siatka"/>
        <w:tblW w:w="0" w:type="auto"/>
        <w:tblLook w:val="04A0" w:firstRow="1" w:lastRow="0" w:firstColumn="1" w:lastColumn="0" w:noHBand="0" w:noVBand="1"/>
      </w:tblPr>
      <w:tblGrid>
        <w:gridCol w:w="9062"/>
      </w:tblGrid>
      <w:tr w:rsidR="009D5AB2" w:rsidRPr="00795F17" w14:paraId="2F1149BF"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tcBorders>
              <w:top w:val="single" w:sz="4" w:space="0" w:color="auto"/>
              <w:left w:val="single" w:sz="4" w:space="0" w:color="auto"/>
              <w:bottom w:val="nil"/>
              <w:right w:val="single" w:sz="4" w:space="0" w:color="auto"/>
            </w:tcBorders>
            <w:shd w:val="clear" w:color="auto" w:fill="003399"/>
          </w:tcPr>
          <w:p w14:paraId="5E31B7A2" w14:textId="55F4B8CC" w:rsidR="009D5AB2" w:rsidRPr="00795F17" w:rsidRDefault="009D5AB2" w:rsidP="00637B72">
            <w:pPr>
              <w:jc w:val="right"/>
              <w:rPr>
                <w:b w:val="0"/>
              </w:rPr>
            </w:pPr>
            <w:r w:rsidRPr="00795F17">
              <w:t xml:space="preserve">Poziom krajowy </w:t>
            </w:r>
            <w:r w:rsidR="00F13C4D">
              <w:t>–</w:t>
            </w:r>
            <w:r w:rsidRPr="00795F17">
              <w:t xml:space="preserve"> programy rozwoju</w:t>
            </w:r>
          </w:p>
          <w:p w14:paraId="345EACA0" w14:textId="68338E53" w:rsidR="009D5AB2" w:rsidRPr="00795F17" w:rsidRDefault="009D5AB2" w:rsidP="00637B72">
            <w:pPr>
              <w:jc w:val="left"/>
              <w:rPr>
                <w:i/>
                <w:iCs/>
              </w:rPr>
            </w:pPr>
            <w:bookmarkStart w:id="1037" w:name="_Hlk60772122"/>
            <w:r w:rsidRPr="00795F17">
              <w:t>Krajowy Program Zwiększania Lesistości (KPZL)</w:t>
            </w:r>
            <w:bookmarkEnd w:id="1037"/>
            <w:r w:rsidRPr="00795F17">
              <w:br/>
            </w:r>
            <w:r w:rsidRPr="00C72AB5">
              <w:t>Aktualizacja</w:t>
            </w:r>
          </w:p>
        </w:tc>
      </w:tr>
    </w:tbl>
    <w:p w14:paraId="4546F323" w14:textId="77777777" w:rsidR="009D5AB2" w:rsidRPr="00795F17" w:rsidRDefault="009D5AB2" w:rsidP="0044393D">
      <w:r w:rsidRPr="00795F17">
        <w:rPr>
          <w:b/>
          <w:bCs/>
        </w:rPr>
        <w:t xml:space="preserve">Cele i oczekiwane rezultaty wdrożenia dokumentu: </w:t>
      </w:r>
      <w:r w:rsidRPr="00795F17">
        <w:t>KPZL jest opracowaniem stanowiącym instrument polityki leśnej w zakresie kształtowania przestrzeni przyrodniczej kraju. Zawiera ogólne wytyczne sporządzania regionalnych planów przestrzennego zagospodarowania w dziedzinie zwiększania lesistości. Przyjęte w KPZL założenia metodyczne i kryteria określania preferencji zalesieniowych mogą być pomocne w tworzeniu oryginalnych rozwiązań regionalnych oraz lokalnych, wspierających ochronę przyrody. Program realizuje pośrednio cele, jakie przyświecają gospodarce wodnej w zakresie osiągania celów środowiskowych. Przeciwdziała negatywnym skutkom suszy oraz poprawia ochronę przeciwpowodziową.</w:t>
      </w:r>
    </w:p>
    <w:p w14:paraId="4DEA5BE2" w14:textId="2862564F" w:rsidR="009D5AB2" w:rsidRPr="00795F17" w:rsidRDefault="009D5AB2" w:rsidP="0044393D">
      <w:r w:rsidRPr="00795F17">
        <w:rPr>
          <w:b/>
          <w:bCs/>
        </w:rPr>
        <w:t>Obszar problemowy:</w:t>
      </w:r>
      <w:r w:rsidRPr="00795F17">
        <w:t xml:space="preserve"> [ZMIANY KLIMATU - ADAPTACJA</w:t>
      </w:r>
      <w:r w:rsidR="007772C5" w:rsidRPr="00795F17">
        <w:t>]</w:t>
      </w:r>
      <w:r w:rsidRPr="00795F17">
        <w:t xml:space="preserve"> </w:t>
      </w:r>
      <w:r w:rsidR="00F13C4D">
        <w:t>z</w:t>
      </w:r>
      <w:r w:rsidRPr="00795F17">
        <w:t>większenie lesistości z uwzględnieniem wpływu na zwiększenie naturalnej retencji, ograniczenie spływu powierzchniowego, redukcja spływu biogenów oraz ochrona wód podziemnych.</w:t>
      </w:r>
    </w:p>
    <w:p w14:paraId="32D3C299" w14:textId="5F95D343" w:rsidR="009D5AB2" w:rsidRPr="00795F17" w:rsidRDefault="009D5AB2" w:rsidP="0044393D">
      <w:r w:rsidRPr="00795F17">
        <w:rPr>
          <w:b/>
          <w:bCs/>
        </w:rPr>
        <w:t xml:space="preserve">Sposób osiągnięcia zakładanych celów i/lub rozwiązania zidentyfikowanych problemów: </w:t>
      </w:r>
      <w:r w:rsidR="00F13C4D">
        <w:t>z</w:t>
      </w:r>
      <w:r w:rsidRPr="00795F17">
        <w:t>większanie powierzchni leśnych na obszarach poszczególnych jednostek administracyjnych odbywa się poprzez wprowadzenie dotacji na zalesienie dla rolników, aktualizację miejscowych planów zagospodarowania przestrzennego, sterowanie rozmieszczeń zalesień w skali regionalnej i krajowej oraz usprawnienie procedur przeklasyfikowywania zalesionych gruntów na lasy.</w:t>
      </w:r>
    </w:p>
    <w:tbl>
      <w:tblPr>
        <w:tblStyle w:val="Tabela-Siatka"/>
        <w:tblW w:w="0" w:type="auto"/>
        <w:tblLook w:val="04A0" w:firstRow="1" w:lastRow="0" w:firstColumn="1" w:lastColumn="0" w:noHBand="0" w:noVBand="1"/>
      </w:tblPr>
      <w:tblGrid>
        <w:gridCol w:w="9016"/>
      </w:tblGrid>
      <w:tr w:rsidR="009D5AB2" w:rsidRPr="00795F17" w14:paraId="4D153A8C"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00DD24BA" w14:textId="11D6A4E2" w:rsidR="009D5AB2" w:rsidRPr="00795F17" w:rsidRDefault="009D5AB2" w:rsidP="00637B72">
            <w:pPr>
              <w:jc w:val="right"/>
              <w:rPr>
                <w:b w:val="0"/>
              </w:rPr>
            </w:pPr>
            <w:r w:rsidRPr="00795F17">
              <w:t xml:space="preserve">Poziom krajowy </w:t>
            </w:r>
            <w:r w:rsidR="00F13C4D">
              <w:t>–</w:t>
            </w:r>
            <w:r w:rsidRPr="00795F17">
              <w:t xml:space="preserve"> programy rozwoju</w:t>
            </w:r>
          </w:p>
          <w:p w14:paraId="3ED6AF70" w14:textId="3956149A" w:rsidR="009D5AB2" w:rsidRPr="00795F17" w:rsidRDefault="009D5AB2" w:rsidP="0044393D">
            <w:pPr>
              <w:rPr>
                <w:i/>
                <w:iCs/>
              </w:rPr>
            </w:pPr>
            <w:bookmarkStart w:id="1038" w:name="_Hlk60772450"/>
            <w:r w:rsidRPr="00795F17">
              <w:t>Program rozwoju polskich portów morskich do 2030 r</w:t>
            </w:r>
            <w:bookmarkEnd w:id="1038"/>
            <w:r w:rsidR="00494D79">
              <w:t>oku</w:t>
            </w:r>
          </w:p>
        </w:tc>
      </w:tr>
    </w:tbl>
    <w:p w14:paraId="4273F084" w14:textId="46DCFEEE" w:rsidR="009D5AB2" w:rsidRPr="00795F17" w:rsidRDefault="009D5AB2" w:rsidP="0044393D">
      <w:r w:rsidRPr="00C72AB5">
        <w:rPr>
          <w:b/>
        </w:rPr>
        <w:t>Cele i oczekiwane rezultaty wdrożenia dokumentu:</w:t>
      </w:r>
      <w:r w:rsidRPr="00795F17">
        <w:t xml:space="preserve"> </w:t>
      </w:r>
      <w:r w:rsidR="001F3937" w:rsidRPr="001F3937">
        <w:t>dynamiczny rozwój polskich portów morskic</w:t>
      </w:r>
      <w:r w:rsidR="001F3937">
        <w:t>h</w:t>
      </w:r>
      <w:r w:rsidRPr="00795F17">
        <w:t xml:space="preserve">. </w:t>
      </w:r>
    </w:p>
    <w:p w14:paraId="74DEC1C1" w14:textId="39B2AA7D" w:rsidR="009D5AB2" w:rsidRPr="00795F17" w:rsidRDefault="009D5AB2" w:rsidP="0044393D">
      <w:r w:rsidRPr="00795F17">
        <w:rPr>
          <w:b/>
          <w:bCs/>
        </w:rPr>
        <w:t>Obszar problemowy:</w:t>
      </w:r>
      <w:r w:rsidRPr="00795F17">
        <w:t xml:space="preserve"> [ANTROPOPRESJA - ZANIECZYSZCZENIE WÓD</w:t>
      </w:r>
      <w:r w:rsidR="007772C5" w:rsidRPr="00795F17">
        <w:t>]</w:t>
      </w:r>
      <w:r w:rsidRPr="00795F17">
        <w:t xml:space="preserve"> </w:t>
      </w:r>
      <w:r w:rsidR="00F13C4D">
        <w:t>r</w:t>
      </w:r>
      <w:r w:rsidRPr="00795F17">
        <w:t>ozbudowa infrastruktury morskiej przy uwzględnieniu potrzeb ochrony środowiska, m.in. w zakresie osiągnięcia lub utrzymania dobrego stanu ekosystemów morskich i przybrzeżnych oraz promowania zrównoważonego korzystania z wód.</w:t>
      </w:r>
    </w:p>
    <w:p w14:paraId="20BC0619" w14:textId="6EDD9CF6" w:rsidR="009D5AB2" w:rsidRPr="00795F17" w:rsidRDefault="009D5AB2" w:rsidP="0044393D">
      <w:r w:rsidRPr="00795F17">
        <w:rPr>
          <w:b/>
          <w:bCs/>
        </w:rPr>
        <w:t xml:space="preserve">Sposób osiągnięcia zakładanych celów i/lub rozwiązania zidentyfikowanych problemów: </w:t>
      </w:r>
      <w:r w:rsidR="00EC1A1D" w:rsidRPr="00EC1A1D">
        <w:t>w programie rozwoju portów morskich znalazły się ogólne wytyczne w zakresie uwzględniania w działalności portowej przepisów i standardów środowiskowych, w tym w zakresie rozbudowy infrastruktury morskiej, które powinny być respektowane w celu zapewnienia możliwie najmniejszej ingerencji w środowisko naturalne, zachowania jego jakości, a także obniżenia emisji zanieczyszczeń do wód</w:t>
      </w:r>
      <w:r w:rsidRPr="00795F17">
        <w:t>.</w:t>
      </w:r>
    </w:p>
    <w:tbl>
      <w:tblPr>
        <w:tblStyle w:val="Tabela-Siatka"/>
        <w:tblW w:w="0" w:type="auto"/>
        <w:tblLook w:val="04A0" w:firstRow="1" w:lastRow="0" w:firstColumn="1" w:lastColumn="0" w:noHBand="0" w:noVBand="1"/>
      </w:tblPr>
      <w:tblGrid>
        <w:gridCol w:w="9062"/>
      </w:tblGrid>
      <w:tr w:rsidR="009D5AB2" w:rsidRPr="00795F17" w14:paraId="4D123976"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68429FA8" w14:textId="30BC00D2" w:rsidR="009D5AB2" w:rsidRPr="00795F17" w:rsidRDefault="009D5AB2" w:rsidP="00637B72">
            <w:pPr>
              <w:jc w:val="right"/>
              <w:rPr>
                <w:b w:val="0"/>
              </w:rPr>
            </w:pPr>
            <w:r w:rsidRPr="00795F17">
              <w:t xml:space="preserve">Poziom krajowy </w:t>
            </w:r>
            <w:r w:rsidR="00F13C4D">
              <w:t>–</w:t>
            </w:r>
            <w:r w:rsidRPr="00795F17">
              <w:t xml:space="preserve"> programy rozwoju</w:t>
            </w:r>
          </w:p>
          <w:p w14:paraId="5EF3E12C" w14:textId="3E3553F3" w:rsidR="009D5AB2" w:rsidRPr="00795F17" w:rsidRDefault="009D5AB2" w:rsidP="0044393D">
            <w:pPr>
              <w:rPr>
                <w:i/>
                <w:iCs/>
              </w:rPr>
            </w:pPr>
            <w:bookmarkStart w:id="1039" w:name="_Hlk60772544"/>
            <w:r w:rsidRPr="00795F17">
              <w:t>Program ochrony brzegów morskich</w:t>
            </w:r>
            <w:bookmarkEnd w:id="1039"/>
          </w:p>
        </w:tc>
      </w:tr>
    </w:tbl>
    <w:p w14:paraId="4F3353F6" w14:textId="44DD0102" w:rsidR="009D5AB2" w:rsidRPr="00795F17" w:rsidRDefault="009D5AB2" w:rsidP="0044393D">
      <w:r w:rsidRPr="00795F17">
        <w:rPr>
          <w:b/>
          <w:bCs/>
        </w:rPr>
        <w:t xml:space="preserve">Cele i oczekiwane rezultaty wdrożenia dokumentu: </w:t>
      </w:r>
      <w:r w:rsidR="00F13C4D">
        <w:t>z</w:t>
      </w:r>
      <w:r w:rsidRPr="00795F17">
        <w:t>abezpieczenie</w:t>
      </w:r>
      <w:r w:rsidRPr="00795F17" w:rsidDel="0053033B">
        <w:t xml:space="preserve"> </w:t>
      </w:r>
      <w:r w:rsidRPr="00795F17">
        <w:t>brzeg</w:t>
      </w:r>
      <w:r w:rsidR="0053033B">
        <w:t xml:space="preserve">u morskiego </w:t>
      </w:r>
      <w:r w:rsidRPr="00795F17">
        <w:t>przed zjawiskiem erozji i powodzi od strony morza</w:t>
      </w:r>
      <w:r w:rsidR="0053033B">
        <w:t>.</w:t>
      </w:r>
    </w:p>
    <w:p w14:paraId="7F28D403" w14:textId="6D7C9133" w:rsidR="009D5AB2" w:rsidRPr="00795F17" w:rsidRDefault="009D5AB2" w:rsidP="0044393D">
      <w:r w:rsidRPr="00795F17">
        <w:rPr>
          <w:b/>
          <w:bCs/>
        </w:rPr>
        <w:t>Obszar problemowy:</w:t>
      </w:r>
      <w:r w:rsidRPr="00795F17">
        <w:t xml:space="preserve"> [ZMIANY KLIMATU - POWÓDŹ</w:t>
      </w:r>
      <w:r w:rsidR="007772C5" w:rsidRPr="00795F17">
        <w:t>]</w:t>
      </w:r>
      <w:r w:rsidRPr="00795F17">
        <w:t xml:space="preserve"> </w:t>
      </w:r>
      <w:r w:rsidR="00F13C4D">
        <w:t>b</w:t>
      </w:r>
      <w:r w:rsidRPr="00795F17">
        <w:t>udowa, rozbudowa i utrzymywanie systemu ochrony brzegów morskich przed erozją morską i powodzią od strony morza, ochrona klifów, terenów przybrzeżnych oraz zalewowych.</w:t>
      </w:r>
    </w:p>
    <w:p w14:paraId="5C5A7A83" w14:textId="5EDB4BCF" w:rsidR="009D5AB2" w:rsidRPr="00795F17" w:rsidRDefault="009D5AB2" w:rsidP="0044393D">
      <w:r w:rsidRPr="00795F17">
        <w:rPr>
          <w:b/>
          <w:bCs/>
        </w:rPr>
        <w:t xml:space="preserve">Sposób osiągnięcia zakładanych celów i/lub rozwiązania zidentyfikowanych problemów: </w:t>
      </w:r>
      <w:r w:rsidR="00F13C4D">
        <w:t>w</w:t>
      </w:r>
      <w:r w:rsidRPr="00795F17">
        <w:t xml:space="preserve"> celu zabezpieczenia brzegów przed erozją niezbędne są: wzmocnienie i utrzymanie systemu zabezpieczenia przeciwpowodziowego terenów nadmorskich; stabilizacja linii brzegowej, zapobieganie zanikowi plaż oraz degradacji klifów; prowadzenie i rozszerzanie zakresu monitoringu stanu wybrzeża morskiego i strefy wód przybrzeżnych.</w:t>
      </w:r>
    </w:p>
    <w:tbl>
      <w:tblPr>
        <w:tblStyle w:val="Tabela-Siatka"/>
        <w:tblW w:w="0" w:type="auto"/>
        <w:tblLook w:val="04A0" w:firstRow="1" w:lastRow="0" w:firstColumn="1" w:lastColumn="0" w:noHBand="0" w:noVBand="1"/>
      </w:tblPr>
      <w:tblGrid>
        <w:gridCol w:w="9062"/>
      </w:tblGrid>
      <w:tr w:rsidR="009D5AB2" w:rsidRPr="00795F17" w14:paraId="12537492"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161AE482" w14:textId="1DF82ED3" w:rsidR="009D5AB2" w:rsidRPr="00795F17" w:rsidRDefault="009D5AB2" w:rsidP="00637B72">
            <w:pPr>
              <w:jc w:val="right"/>
              <w:rPr>
                <w:b w:val="0"/>
              </w:rPr>
            </w:pPr>
            <w:r w:rsidRPr="00795F17">
              <w:t xml:space="preserve">Poziom krajowy </w:t>
            </w:r>
            <w:r w:rsidR="00F13C4D">
              <w:t>–</w:t>
            </w:r>
            <w:r w:rsidRPr="00795F17">
              <w:t xml:space="preserve"> programy rozwoju</w:t>
            </w:r>
          </w:p>
          <w:p w14:paraId="20BD1ECD" w14:textId="10DF3392" w:rsidR="009D5AB2" w:rsidRPr="00795F17" w:rsidRDefault="009D5AB2" w:rsidP="0044393D">
            <w:pPr>
              <w:rPr>
                <w:i/>
                <w:iCs/>
              </w:rPr>
            </w:pPr>
            <w:bookmarkStart w:id="1040" w:name="_Hlk60772620"/>
            <w:r w:rsidRPr="00795F17">
              <w:t>Program polskiej energetyki jądrowej (PEJ)</w:t>
            </w:r>
            <w:bookmarkEnd w:id="1040"/>
          </w:p>
        </w:tc>
      </w:tr>
    </w:tbl>
    <w:p w14:paraId="26ABAD34" w14:textId="55291A56" w:rsidR="009D5AB2" w:rsidRPr="00795F17" w:rsidRDefault="009D5AB2" w:rsidP="0044393D">
      <w:r w:rsidRPr="00795F17">
        <w:rPr>
          <w:b/>
          <w:bCs/>
        </w:rPr>
        <w:t xml:space="preserve">Cele i oczekiwane rezultaty wdrożenia dokumentu: </w:t>
      </w:r>
      <w:r w:rsidR="00F13C4D">
        <w:t>b</w:t>
      </w:r>
      <w:r w:rsidRPr="00795F17">
        <w:t xml:space="preserve">udowa oraz oddanie do eksploatacji w Polsce elektrowni jądrowych z zachowaniem dobrego stanu wód oraz przy wdrożeniu wszelkich możliwych środków mających na celu minimalizację ryzyka pogorszenia stanu ekosystemów wodnych, lądowych i podmokłych. </w:t>
      </w:r>
    </w:p>
    <w:p w14:paraId="23206528" w14:textId="24E42C3C" w:rsidR="009D5AB2" w:rsidRPr="00795F17" w:rsidRDefault="009D5AB2" w:rsidP="0044393D">
      <w:r w:rsidRPr="00795F17">
        <w:rPr>
          <w:b/>
          <w:bCs/>
        </w:rPr>
        <w:t>Obszar problemowy:</w:t>
      </w:r>
      <w:r w:rsidRPr="00795F17">
        <w:t xml:space="preserve"> [ANTROPOPRESJA - ZANIECZYSZCZENIE WÓD</w:t>
      </w:r>
      <w:r w:rsidR="007772C5" w:rsidRPr="00795F17">
        <w:t>]</w:t>
      </w:r>
      <w:r w:rsidRPr="00795F17">
        <w:t xml:space="preserve"> </w:t>
      </w:r>
      <w:r w:rsidR="00F13C4D">
        <w:t>b</w:t>
      </w:r>
      <w:r w:rsidRPr="00795F17">
        <w:t>udowa elektrowni jądrowej to inwestycja strategiczna dla zrównoważonego rozwoju Polski. Stopniowe eliminowanie źródeł niskiej emisji na rzecz energii jądrowej poprawia kondycję ekosystemów naturalnych. Jest to skomplikowany i wieloetapowy proces, podczas którego powinny zostać zachowane zasady ochrony środowiska.</w:t>
      </w:r>
    </w:p>
    <w:p w14:paraId="2CD56B07" w14:textId="6081CF37" w:rsidR="009D5AB2" w:rsidRPr="00795F17" w:rsidRDefault="009D5AB2" w:rsidP="0044393D">
      <w:r w:rsidRPr="00795F17">
        <w:rPr>
          <w:b/>
          <w:bCs/>
        </w:rPr>
        <w:t>Sposób osiągnięcia zakładanych celów i/lub rozwiązania zidentyfikowanych problemów:</w:t>
      </w:r>
      <w:r w:rsidRPr="00795F17">
        <w:t xml:space="preserve"> </w:t>
      </w:r>
      <w:r w:rsidR="00F13C4D">
        <w:t>d</w:t>
      </w:r>
      <w:r w:rsidRPr="00795F17">
        <w:t>o działań przewidzianych do realizacji wyznaczonego celu należą rozwój niezbędnej infrastruktury, w tym rozbudowa sieci wodociągowej i kanalizacyjnej wokół placu budowy elektrowni jądrowej, budowa oczyszczalni oraz zrzut ścieków oczyszczonych do odbiornika.</w:t>
      </w:r>
    </w:p>
    <w:tbl>
      <w:tblPr>
        <w:tblStyle w:val="Tabela-Siatka"/>
        <w:tblW w:w="0" w:type="auto"/>
        <w:tblLook w:val="04A0" w:firstRow="1" w:lastRow="0" w:firstColumn="1" w:lastColumn="0" w:noHBand="0" w:noVBand="1"/>
      </w:tblPr>
      <w:tblGrid>
        <w:gridCol w:w="9062"/>
      </w:tblGrid>
      <w:tr w:rsidR="009D5AB2" w:rsidRPr="00795F17" w14:paraId="7F3D4055"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1277A790" w14:textId="6EF74D84" w:rsidR="009D5AB2" w:rsidRPr="00795F17" w:rsidRDefault="009D5AB2" w:rsidP="00637B72">
            <w:pPr>
              <w:jc w:val="right"/>
              <w:rPr>
                <w:b w:val="0"/>
              </w:rPr>
            </w:pPr>
            <w:r w:rsidRPr="00795F17">
              <w:t xml:space="preserve">Poziom regionalny </w:t>
            </w:r>
            <w:r w:rsidR="00F13C4D">
              <w:t>–</w:t>
            </w:r>
            <w:r w:rsidRPr="00795F17">
              <w:t xml:space="preserve"> programy rozwoju</w:t>
            </w:r>
          </w:p>
          <w:p w14:paraId="136405C0" w14:textId="1D16B481" w:rsidR="009D5AB2" w:rsidRPr="00795F17" w:rsidRDefault="009D5AB2" w:rsidP="00637B72">
            <w:pPr>
              <w:jc w:val="left"/>
              <w:rPr>
                <w:i/>
                <w:iCs/>
              </w:rPr>
            </w:pPr>
            <w:bookmarkStart w:id="1041" w:name="_Hlk60773031"/>
            <w:r w:rsidRPr="00795F17">
              <w:t>Wojewódzkie programy ochrony środowiska</w:t>
            </w:r>
            <w:r w:rsidRPr="00795F17">
              <w:br/>
            </w:r>
            <w:r w:rsidRPr="00C72AB5">
              <w:t>wraz z raportami z ich wykonania</w:t>
            </w:r>
            <w:bookmarkEnd w:id="1041"/>
          </w:p>
        </w:tc>
      </w:tr>
    </w:tbl>
    <w:p w14:paraId="6BD9F5D0" w14:textId="2065A74F" w:rsidR="009D5AB2" w:rsidRPr="00795F17" w:rsidRDefault="009D5AB2" w:rsidP="0044393D">
      <w:r w:rsidRPr="00795F17">
        <w:rPr>
          <w:b/>
          <w:bCs/>
        </w:rPr>
        <w:t xml:space="preserve">Cele i oczekiwane rezultaty wdrożenia dokumentu: </w:t>
      </w:r>
      <w:r w:rsidR="00F13C4D">
        <w:t>r</w:t>
      </w:r>
      <w:r w:rsidRPr="00795F17">
        <w:t>ealizacja przez jednostki samorządu terytorialnego polityki ochrony środowiska zbieżnej z założeniami najważniejszych dokumentów strategicznych i programowych. Programy ochrony środowiska powinny stanowić podstawę funkcjonowania systemu zarządzania środowiskiem, spajającą wszystkie działania i dokumenty dotyczące ochrony środowiska i przyrody na szczeblu danej jednostki samorządu terytorialnego. Programy realizują cele i zadania wynikające z polityki ekologicznej poszczególnych województw i dotyczą m.in. poprawy jakości wód powierzchniowych, zachowania i ochrony środowiska naturalnego oraz wsparcia efektywnego gospodarowania zasobami.</w:t>
      </w:r>
    </w:p>
    <w:p w14:paraId="23B80CFF" w14:textId="76D039F8" w:rsidR="009D5AB2" w:rsidRPr="00795F17" w:rsidRDefault="009D5AB2" w:rsidP="0044393D">
      <w:r w:rsidRPr="00795F17">
        <w:rPr>
          <w:b/>
          <w:bCs/>
        </w:rPr>
        <w:t xml:space="preserve">Obszar problemowy: </w:t>
      </w:r>
      <w:r w:rsidR="00F13C4D">
        <w:t>d</w:t>
      </w:r>
      <w:r w:rsidRPr="00795F17">
        <w:t xml:space="preserve">okumenty identyfikują najważniejsze atuty środowiska naturalnego, zagrożenia wynikające z zanieczyszczenia środowiska, cele i kierunki inwestycyjne oraz działania, które mają poprawić stan środowiska i pomóc w zachowaniu równowagi ekologiczno-społeczno-gospodarczej. </w:t>
      </w:r>
    </w:p>
    <w:p w14:paraId="66D763C8" w14:textId="2D4CC8BE" w:rsidR="009D5AB2" w:rsidRPr="00795F17" w:rsidRDefault="009D5AB2" w:rsidP="0044393D">
      <w:r w:rsidRPr="00795F17">
        <w:rPr>
          <w:b/>
          <w:bCs/>
        </w:rPr>
        <w:t xml:space="preserve">Sposób osiągnięcia zakładanych celów i/lub rozwiązania zidentyfikowanych problemów: </w:t>
      </w:r>
      <w:r w:rsidR="00F13C4D">
        <w:t>p</w:t>
      </w:r>
      <w:r w:rsidRPr="00795F17">
        <w:t>rzykładowe działania przewidziane do realizacji: (1) zwiększenie udziału wytwarzania energii z OZE, głównie z biomasy oraz słońca, edukacja społeczeństwa w zakresie ochrony powietrza i przeciwdziałania zmianom klimatu; (2) odtwarzanie ciągłości ekologicznej i renaturyzacja rzek, ochrona zasobów wodnych; (3) rozbudowa i modernizacja sieci wodociągowej oraz ujęć wody; (4) uwzględnienie w procesie planowania przestrzennego ograniczeń związanych z zaopatrzeniem w wodę; (5) ochrona siedlisk i gatunków; (6) planowanie działań ochronnych na terenach cennych przyrodniczo.</w:t>
      </w:r>
    </w:p>
    <w:tbl>
      <w:tblPr>
        <w:tblStyle w:val="Tabela-Siatka"/>
        <w:tblW w:w="0" w:type="auto"/>
        <w:tblLook w:val="04A0" w:firstRow="1" w:lastRow="0" w:firstColumn="1" w:lastColumn="0" w:noHBand="0" w:noVBand="1"/>
      </w:tblPr>
      <w:tblGrid>
        <w:gridCol w:w="9016"/>
      </w:tblGrid>
      <w:tr w:rsidR="009D5AB2" w:rsidRPr="00795F17" w14:paraId="471B5289"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701BE4FE" w14:textId="75BDFF5B" w:rsidR="009D5AB2" w:rsidRPr="00795F17" w:rsidRDefault="009D5AB2" w:rsidP="00637B72">
            <w:pPr>
              <w:jc w:val="right"/>
              <w:rPr>
                <w:b w:val="0"/>
              </w:rPr>
            </w:pPr>
            <w:r w:rsidRPr="00795F17">
              <w:t xml:space="preserve">Poziom lokalny </w:t>
            </w:r>
            <w:r w:rsidR="00F13C4D">
              <w:t>–</w:t>
            </w:r>
            <w:r w:rsidRPr="00795F17">
              <w:t xml:space="preserve"> instrumenty wdrożeniowe</w:t>
            </w:r>
          </w:p>
          <w:p w14:paraId="792CCF58" w14:textId="22378F37" w:rsidR="009D5AB2" w:rsidRPr="00795F17" w:rsidRDefault="009D5AB2" w:rsidP="0044393D">
            <w:pPr>
              <w:rPr>
                <w:i/>
                <w:iCs/>
              </w:rPr>
            </w:pPr>
            <w:bookmarkStart w:id="1042" w:name="_Hlk60773137"/>
            <w:r w:rsidRPr="00795F17">
              <w:t>Plany ochrony parków narodowych, rezerwatów przyrody, parków krajobrazowych, obszaru Natura 2000 lub jego części oraz Plany Zadań Ochronnych (PZO) obszarów Natura 2000</w:t>
            </w:r>
            <w:bookmarkEnd w:id="1042"/>
          </w:p>
        </w:tc>
      </w:tr>
    </w:tbl>
    <w:p w14:paraId="7E3A3D70" w14:textId="74EF55D2" w:rsidR="009D5AB2" w:rsidRPr="00795F17" w:rsidRDefault="009D5AB2" w:rsidP="0044393D">
      <w:r w:rsidRPr="00795F17">
        <w:rPr>
          <w:b/>
          <w:bCs/>
        </w:rPr>
        <w:t xml:space="preserve">Cele i oczekiwane rezultaty wdrożenia dokumentu: </w:t>
      </w:r>
      <w:r w:rsidR="00F13C4D">
        <w:t>p</w:t>
      </w:r>
      <w:r w:rsidRPr="00795F17">
        <w:t>lany zawierają cele ochrony przyrody oraz</w:t>
      </w:r>
      <w:r w:rsidR="0001283B">
        <w:t> </w:t>
      </w:r>
      <w:r w:rsidRPr="00795F17">
        <w:t>wskazanie: (1) uwarunkowań ich realizacji, nakreślenie sposobów identyfikacji i eliminacji wystąpienia możliwych zagrożeń; (2) obszarów oraz określenie działań ochronnych na obszarach ochrony ścisłej, czynnej i krajobrazowej; (3) miejsc możliwych do udostępnienia do celów naukowych oraz</w:t>
      </w:r>
      <w:r w:rsidR="0001283B">
        <w:t> </w:t>
      </w:r>
      <w:r w:rsidRPr="00795F17">
        <w:t>edukacyjnych, w których może być prowadzona działalność handlowa i turystyczna.</w:t>
      </w:r>
    </w:p>
    <w:p w14:paraId="1B53F291" w14:textId="1CBC560C" w:rsidR="009D5AB2" w:rsidRPr="00795F17" w:rsidRDefault="009D5AB2" w:rsidP="0044393D">
      <w:r w:rsidRPr="00795F17">
        <w:rPr>
          <w:b/>
          <w:bCs/>
        </w:rPr>
        <w:t xml:space="preserve">Obszar problemowy: </w:t>
      </w:r>
      <w:r w:rsidR="00F13C4D">
        <w:t>z</w:t>
      </w:r>
      <w:r w:rsidRPr="00795F17">
        <w:t>achowanie oraz popularyzacja wartości przyrodniczych i naukowych, społecznych, historycznych, kulturowych, edukacyjnych oraz walorów krajobrazowych w warunkach zrównoważonego rozwoju.</w:t>
      </w:r>
    </w:p>
    <w:p w14:paraId="7E8D6855" w14:textId="127C410F" w:rsidR="009D5AB2" w:rsidRPr="00795F17" w:rsidRDefault="009D5AB2" w:rsidP="0044393D">
      <w:r w:rsidRPr="00795F17">
        <w:rPr>
          <w:b/>
          <w:bCs/>
        </w:rPr>
        <w:t xml:space="preserve">Sposób osiągnięcia zakładanych celów i/lub rozwiązania zidentyfikowanych problemów: </w:t>
      </w:r>
      <w:r w:rsidR="00F13C4D">
        <w:t>d</w:t>
      </w:r>
      <w:r w:rsidRPr="00795F17">
        <w:t xml:space="preserve">ziałania przewidziane do realizacji w ramach planów obejmują ochronę obszarów chronionych, ekosystemów, ostoi i siedlisk przyrodniczych, a także siedlisk roślin, zwierząt i grzybów oraz tworów i składników przyrody nieożywionej, wyróżniających się szczególnymi wartościami oraz walorami. W ramach </w:t>
      </w:r>
      <w:r w:rsidRPr="00C72AB5">
        <w:t>Planu ochrony obszaru Natura 2000</w:t>
      </w:r>
      <w:r w:rsidRPr="00F41293">
        <w:t xml:space="preserve"> </w:t>
      </w:r>
      <w:r w:rsidRPr="00795F17">
        <w:t>obejmują ochronę: obszarów specjalnej ochrony ptaków, specjalnych obszarów ochrony siedlisk, obszarów mających znaczenie dla Wspólnoty oraz część lub całość obszarów i obiektów objętych formami ochrony przyrody, o których mowa w art. 6 ust. 1 pkt 1</w:t>
      </w:r>
      <w:r w:rsidR="00F41293">
        <w:t>–</w:t>
      </w:r>
      <w:r w:rsidRPr="00795F17">
        <w:t>4 i</w:t>
      </w:r>
      <w:r w:rsidR="00633C77">
        <w:t> </w:t>
      </w:r>
      <w:r w:rsidR="00F13C4D">
        <w:t>pkt</w:t>
      </w:r>
      <w:r w:rsidR="00633C77">
        <w:t> </w:t>
      </w:r>
      <w:r w:rsidRPr="00795F17">
        <w:t>6</w:t>
      </w:r>
      <w:r w:rsidR="00F41293">
        <w:t>–</w:t>
      </w:r>
      <w:r w:rsidRPr="00795F17">
        <w:t xml:space="preserve">9 </w:t>
      </w:r>
      <w:r w:rsidR="00C30EA4">
        <w:t>u.o.p</w:t>
      </w:r>
      <w:r w:rsidRPr="00795F17">
        <w:t>.</w:t>
      </w:r>
    </w:p>
    <w:p w14:paraId="11E885E9" w14:textId="77777777" w:rsidR="009D5AB2" w:rsidRPr="00795F17" w:rsidRDefault="009D5AB2" w:rsidP="0044393D">
      <w:pPr>
        <w:rPr>
          <w:shd w:val="clear" w:color="auto" w:fill="FFFFFF"/>
        </w:rPr>
      </w:pPr>
      <w:r w:rsidRPr="00795F17">
        <w:rPr>
          <w:bdr w:val="none" w:sz="0" w:space="0" w:color="auto" w:frame="1"/>
        </w:rPr>
        <w:t xml:space="preserve">PZO w swej treści określają konkretne zadania ochronne, w tym w szczególności działania dotyczące ochrony czynnej siedlisk przyrodniczych, gatunków roślin i zwierząt oraz ich siedlisk, monitoringu stanu przedmiotów ochrony oraz monitoringu realizacji celów, uzupełnienia stanu wiedzy o przedmiotach ochrony i uwarunkowaniach ich ochrony, a także </w:t>
      </w:r>
      <w:r w:rsidRPr="00795F17">
        <w:rPr>
          <w:shd w:val="clear" w:color="auto" w:fill="FFFFFF"/>
        </w:rPr>
        <w:t>wskazania zmian w obowiązujących dokumentach zagospodarowania przestrzennego dotyczących eliminacji lub ograniczenia zagrożeń wewnętrznych lub zewnętrznych, jeżeli są niezbędne dla utrzymania lub odtworzenia właściwego stanu ochrony siedlisk przyrodniczych oraz gatunków roślin i zwierząt, dla których ochrony wyznaczono obszar Natura 2000.</w:t>
      </w:r>
    </w:p>
    <w:tbl>
      <w:tblPr>
        <w:tblStyle w:val="Tabela-Siatka"/>
        <w:tblW w:w="0" w:type="auto"/>
        <w:tblLook w:val="04A0" w:firstRow="1" w:lastRow="0" w:firstColumn="1" w:lastColumn="0" w:noHBand="0" w:noVBand="1"/>
      </w:tblPr>
      <w:tblGrid>
        <w:gridCol w:w="9062"/>
      </w:tblGrid>
      <w:tr w:rsidR="009D5AB2" w:rsidRPr="00795F17" w14:paraId="04D38307"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2065E708" w14:textId="48DF4C6F" w:rsidR="009D5AB2" w:rsidRPr="00795F17" w:rsidRDefault="009D5AB2" w:rsidP="00637B72">
            <w:pPr>
              <w:jc w:val="right"/>
              <w:rPr>
                <w:b w:val="0"/>
              </w:rPr>
            </w:pPr>
            <w:r w:rsidRPr="00795F17">
              <w:t xml:space="preserve">Poziom krajowy </w:t>
            </w:r>
            <w:r w:rsidR="00F13C4D">
              <w:t>–</w:t>
            </w:r>
            <w:r w:rsidRPr="00795F17">
              <w:t xml:space="preserve"> programy rozwoju</w:t>
            </w:r>
          </w:p>
          <w:p w14:paraId="005CD7E8" w14:textId="1D7D29B2" w:rsidR="009D5AB2" w:rsidRPr="00795F17" w:rsidRDefault="009D5AB2" w:rsidP="0044393D">
            <w:pPr>
              <w:rPr>
                <w:i/>
                <w:iCs/>
              </w:rPr>
            </w:pPr>
            <w:r w:rsidRPr="00795F17">
              <w:t xml:space="preserve">Krajowy plan gospodarki odpadami </w:t>
            </w:r>
            <w:r w:rsidR="00C04DF7" w:rsidRPr="00795F17">
              <w:t>(</w:t>
            </w:r>
            <w:r w:rsidRPr="00795F17">
              <w:t>KPGO 2022</w:t>
            </w:r>
            <w:r w:rsidR="00AA618A" w:rsidRPr="00795F17">
              <w:t>)</w:t>
            </w:r>
          </w:p>
        </w:tc>
      </w:tr>
    </w:tbl>
    <w:p w14:paraId="4156494F" w14:textId="39841B3C" w:rsidR="009D5AB2" w:rsidRPr="00795F17" w:rsidRDefault="009D5AB2" w:rsidP="0044393D">
      <w:r w:rsidRPr="00795F17">
        <w:rPr>
          <w:b/>
          <w:bCs/>
        </w:rPr>
        <w:t xml:space="preserve">Cele i oczekiwane rezultaty wdrożenia dokumentu: </w:t>
      </w:r>
      <w:r w:rsidR="00F13C4D">
        <w:t>w</w:t>
      </w:r>
      <w:r w:rsidRPr="00795F17">
        <w:t>drożenie hierarchii sposobów postępowania z odpadami oraz zasady samowystarczalności i bliskości, a także utworzenie i utrzymanie zintegrowanej i wystarczającej sieci instalacji gospodarowania odpadami.</w:t>
      </w:r>
    </w:p>
    <w:p w14:paraId="26473287" w14:textId="1C15AFA1" w:rsidR="009D5AB2" w:rsidRPr="00795F17" w:rsidRDefault="009D5AB2" w:rsidP="0044393D">
      <w:r w:rsidRPr="00795F17">
        <w:rPr>
          <w:b/>
          <w:bCs/>
        </w:rPr>
        <w:t xml:space="preserve">Obszar problemowy: </w:t>
      </w:r>
      <w:r w:rsidR="00F13C4D">
        <w:t>o</w:t>
      </w:r>
      <w:r w:rsidRPr="00795F17">
        <w:t>graniczenie negatywnego wpływu na środowisko, w tym na wody, poprzez uporządkowanie gospodarki odpadami.</w:t>
      </w:r>
    </w:p>
    <w:p w14:paraId="146A3C0A" w14:textId="77777777" w:rsidR="009D5AB2" w:rsidRPr="00795F17" w:rsidRDefault="009D5AB2" w:rsidP="0044393D">
      <w:r w:rsidRPr="00795F17">
        <w:rPr>
          <w:b/>
          <w:bCs/>
        </w:rPr>
        <w:t xml:space="preserve">Sposób osiągnięcia zakładanych celów i/lub rozwiązania zidentyfikowanych problemów: </w:t>
      </w:r>
      <w:r w:rsidRPr="00795F17">
        <w:t>KPGO 2022 stanowi instrument wdrożenia wymagań unijnych oraz celów PEP2030 z obszaru gospodarki odpadami. Określa kierunki działań w zakresie zapobiegania powstawaniu odpadów oraz kształtowania systemu gospodarki odpadami. Kierunki te znajdują odzwierciedlenie w opracowywanych na poziomie regionalnym wojewódzkich planach gospodarki odpadami (w tym planach inwestycyjnych). KPGO 2022 przewiduje wsparcie inwestycji związanych z recyklingiem odpadów, przeróbką i wykorzystaniem surowców z wtórnego obiegu, przedsięwzięciami w zakresie wdrażania gospodarki odpadami o obiegu zamkniętym na poziomie gminnym oraz pracami badawczo-rozwojowymi i wdrożeniowymi związanymi z innowacyjnymi technologiami środowiskowymi, dotyczącymi wykorzystania surowców wtórnych i gospodarki odpadami. W związku z przyjęciem pakietu odpadowego i transpozycją jego postanowień w aktualizacji KPGO 2022 wsparcie będzie nakierowane między innymi na uszczelnienie systemu zbierania, transportu, przetwarzania i unieszkodliwiania odpadów, w szczególności z tworzyw sztucznych tak, aby zapobiegać przedostawaniu się ich z lądu do wód, w tym morskich. Zapobieganie zanieczyszczeniu wód, w tym morskich, odpadami tworzyw sztucznych będzie wspierane również dzięki modernizacji oczyszczalni ścieków komunalnych pod kątem pełnego wdrożenia w nich podejścia gospodarki o obiegu zamkniętym.</w:t>
      </w:r>
    </w:p>
    <w:p w14:paraId="4A8DFAB0" w14:textId="77777777" w:rsidR="009D5AB2" w:rsidRPr="00795F17" w:rsidRDefault="009D5AB2" w:rsidP="0044393D">
      <w:r w:rsidRPr="00795F17">
        <w:t>Wspierane będą także działania edukacyjne, mające na celu zmniejszenie ilości tworzyw sztucznych docierających do wód morskich oraz działania ukierunkowane na unowocześnienie portowych urządzeń do odbioru odpadów w celu zapewnienia, aby odpady wytwarzane na statkach lub zebrane na morzu (np. stare sieci rybackie) dostarczano na ląd i właściwie nimi gospodarowano (segregacja, recykling, unieszkodliwienie).</w:t>
      </w:r>
    </w:p>
    <w:tbl>
      <w:tblPr>
        <w:tblStyle w:val="Tabela-Siatka"/>
        <w:tblW w:w="0" w:type="auto"/>
        <w:tblLook w:val="04A0" w:firstRow="1" w:lastRow="0" w:firstColumn="1" w:lastColumn="0" w:noHBand="0" w:noVBand="1"/>
      </w:tblPr>
      <w:tblGrid>
        <w:gridCol w:w="9062"/>
      </w:tblGrid>
      <w:tr w:rsidR="009D5AB2" w:rsidRPr="00795F17" w14:paraId="0BBE9B30"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43D70E79" w14:textId="06FF7D5F" w:rsidR="009D5AB2" w:rsidRPr="00795F17" w:rsidRDefault="009D5AB2" w:rsidP="00637B72">
            <w:pPr>
              <w:jc w:val="right"/>
              <w:rPr>
                <w:b w:val="0"/>
              </w:rPr>
            </w:pPr>
            <w:r w:rsidRPr="00795F17">
              <w:t xml:space="preserve">Poziom regionalny </w:t>
            </w:r>
            <w:r w:rsidR="00F13C4D">
              <w:t>–</w:t>
            </w:r>
            <w:r w:rsidRPr="00795F17">
              <w:t xml:space="preserve"> programy rozwoju</w:t>
            </w:r>
          </w:p>
          <w:p w14:paraId="2C531E50" w14:textId="65B54C08" w:rsidR="009D5AB2" w:rsidRPr="00795F17" w:rsidRDefault="009D5AB2" w:rsidP="0044393D">
            <w:pPr>
              <w:rPr>
                <w:i/>
                <w:iCs/>
              </w:rPr>
            </w:pPr>
            <w:bookmarkStart w:id="1043" w:name="_Hlk60773341"/>
            <w:r w:rsidRPr="00795F17">
              <w:t>Wojewódzkie Plany Gospodarki Odpadami</w:t>
            </w:r>
            <w:bookmarkEnd w:id="1043"/>
            <w:r w:rsidRPr="00795F17">
              <w:t xml:space="preserve"> </w:t>
            </w:r>
            <w:r w:rsidR="00C04DF7" w:rsidRPr="00795F17">
              <w:t>(</w:t>
            </w:r>
            <w:r w:rsidRPr="00795F17">
              <w:t>WPGO</w:t>
            </w:r>
            <w:r w:rsidR="00AA618A" w:rsidRPr="00795F17">
              <w:t>)</w:t>
            </w:r>
          </w:p>
        </w:tc>
      </w:tr>
    </w:tbl>
    <w:p w14:paraId="2A5435CA" w14:textId="12795CBD" w:rsidR="009D5AB2" w:rsidRPr="00795F17" w:rsidRDefault="009D5AB2" w:rsidP="0044393D">
      <w:r w:rsidRPr="00795F17">
        <w:rPr>
          <w:b/>
          <w:bCs/>
        </w:rPr>
        <w:t xml:space="preserve">Cele i oczekiwane rezultaty wdrożenia dokumentu: </w:t>
      </w:r>
      <w:r w:rsidR="00F13C4D">
        <w:t>o</w:t>
      </w:r>
      <w:r w:rsidRPr="00795F17">
        <w:t>pracowywane dla osiągnięcia celów założonych w polityce ekologicznej państwa i wdrażania hierarchii postępowania z odpadami.</w:t>
      </w:r>
    </w:p>
    <w:p w14:paraId="7BA04671" w14:textId="54E76D1D" w:rsidR="009D5AB2" w:rsidRPr="00795F17" w:rsidRDefault="009D5AB2" w:rsidP="0044393D">
      <w:r w:rsidRPr="00795F17">
        <w:rPr>
          <w:b/>
          <w:bCs/>
        </w:rPr>
        <w:t xml:space="preserve">Obszar problemowy: </w:t>
      </w:r>
      <w:r w:rsidR="00F13C4D">
        <w:t>o</w:t>
      </w:r>
      <w:r w:rsidRPr="00795F17">
        <w:t>graniczenie negatywnego wpływu na środowisko, w tym na wody, poprzez uporządkowanie gospodarki odpadami.</w:t>
      </w:r>
    </w:p>
    <w:p w14:paraId="4EBB68DE" w14:textId="77777777" w:rsidR="009D5AB2" w:rsidRPr="00795F17" w:rsidRDefault="009D5AB2" w:rsidP="0044393D">
      <w:r w:rsidRPr="00795F17">
        <w:rPr>
          <w:b/>
          <w:bCs/>
        </w:rPr>
        <w:t xml:space="preserve">Sposób osiągnięcia zakładanych celów i/lub rozwiązania zidentyfikowanych problemów: </w:t>
      </w:r>
      <w:r w:rsidRPr="00795F17">
        <w:t>WPGO obejmują pełen zakres zadań koniecznych do zapewnienia zintegrowanej gospodarki odpadami w poszczególnych województwach w sposób, który gwarantuje ochronę środowiska oraz uwzględnia obecne i przyszłe możliwości, a także uwarunkowania ekonomiczne oraz poziom technologiczny istniejącej infrastruktury. Celem jest zapewnienie środków, procedur i zasad postępowania zmierzających do zapobiegania występowaniu negatywnych dla środowiska skutków składowania odpadów lub ich zmniejszenia w największym możliwym stopniu, w trakcie całego cyklu istnienia składowisk; budowa kolejnych Punktów Selektywnej Zbiórki Odpadów na terenie poszczególnych województw; modernizacja instalacji do zagospodarowania odpadów oraz działania edukacyjne na rzecz selektywnej zbiórki odpadów.</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9D5AB2" w:rsidRPr="00795F17" w14:paraId="346B9E5D"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06B2E465" w14:textId="4D51E30D" w:rsidR="009D5AB2" w:rsidRPr="00795F17" w:rsidRDefault="009D5AB2" w:rsidP="00637B72">
            <w:pPr>
              <w:jc w:val="right"/>
              <w:rPr>
                <w:b w:val="0"/>
              </w:rPr>
            </w:pPr>
            <w:r w:rsidRPr="00795F17">
              <w:t xml:space="preserve">Poziom krajowy </w:t>
            </w:r>
            <w:r w:rsidR="00F13C4D">
              <w:t>–</w:t>
            </w:r>
            <w:r w:rsidRPr="00795F17">
              <w:t xml:space="preserve"> programy monitoringu</w:t>
            </w:r>
          </w:p>
          <w:p w14:paraId="05053915" w14:textId="59804AAE" w:rsidR="009D5AB2" w:rsidRPr="00795F17" w:rsidRDefault="009D5AB2" w:rsidP="00BF3682">
            <w:pPr>
              <w:jc w:val="left"/>
              <w:rPr>
                <w:b w:val="0"/>
                <w:bCs/>
                <w:i/>
                <w:iCs/>
              </w:rPr>
            </w:pPr>
            <w:r w:rsidRPr="00795F17">
              <w:t>Strategiczny program państwowego monitoringu środowiska na lata 2020</w:t>
            </w:r>
            <w:r w:rsidR="00F13C4D">
              <w:t>–</w:t>
            </w:r>
            <w:r w:rsidRPr="00795F17">
              <w:t xml:space="preserve">2025 </w:t>
            </w:r>
            <w:r w:rsidR="00BF3682">
              <w:br/>
            </w:r>
            <w:r w:rsidRPr="00C72AB5">
              <w:t>wraz z wykonawczymi programami państwowego monitoringu środowiska</w:t>
            </w:r>
          </w:p>
        </w:tc>
      </w:tr>
    </w:tbl>
    <w:p w14:paraId="1FA7376B" w14:textId="29BDD0B3" w:rsidR="009D5AB2" w:rsidRPr="00795F17" w:rsidRDefault="009D5AB2" w:rsidP="0044393D">
      <w:r w:rsidRPr="00795F17">
        <w:rPr>
          <w:b/>
          <w:bCs/>
        </w:rPr>
        <w:t>Cele i oczekiwane rezultaty wdrożenia dokumentu</w:t>
      </w:r>
      <w:r w:rsidRPr="00795F17">
        <w:t xml:space="preserve">: </w:t>
      </w:r>
      <w:r w:rsidR="00F13C4D">
        <w:t>z</w:t>
      </w:r>
      <w:r w:rsidRPr="00795F17">
        <w:t>apewnienie wiarygodnych informacji o stanie środowiska.</w:t>
      </w:r>
    </w:p>
    <w:p w14:paraId="6D05D158" w14:textId="71FC348C" w:rsidR="009D5AB2" w:rsidRPr="00795F17" w:rsidRDefault="009D5AB2" w:rsidP="0044393D">
      <w:r w:rsidRPr="00795F17">
        <w:rPr>
          <w:b/>
          <w:bCs/>
        </w:rPr>
        <w:t>Obszar problemowy:</w:t>
      </w:r>
      <w:r w:rsidRPr="00795F17">
        <w:t xml:space="preserve"> </w:t>
      </w:r>
      <w:r w:rsidR="00F13C4D">
        <w:t>z</w:t>
      </w:r>
      <w:r w:rsidRPr="00795F17">
        <w:t>aplanowanie i uporządkowanie zadań pomiarowo/badawczo/analitycznych oraz informacyjnych w zakresie: kontroli jakości elementów środowiskowych (w tym przyrodniczych) i dotrzymywania standardów jakości środowiska określonych przepisami; występujących zmian jakości elementów środowiska i przyczyn tych zmian, w</w:t>
      </w:r>
      <w:r w:rsidR="00715D1B" w:rsidRPr="00795F17">
        <w:t xml:space="preserve"> </w:t>
      </w:r>
      <w:r w:rsidRPr="00795F17">
        <w:t>tym powiąza</w:t>
      </w:r>
      <w:r w:rsidR="00715D1B" w:rsidRPr="00795F17">
        <w:t>ń</w:t>
      </w:r>
      <w:r w:rsidRPr="00795F17">
        <w:t xml:space="preserve"> przyczynowo skutkowych występujących pomiędzy emisjami i stanem elementów środowiska. Informacje wytworzone w ramach PMŚ wykorzystywane są także do celów monitorowania skuteczności działań i strategicznego planowania w zakresie ochrony środowiska i zrównoważonego rozwoju na wszystkich poziomach zarządzania.</w:t>
      </w:r>
    </w:p>
    <w:p w14:paraId="133D1622" w14:textId="7378D0AC" w:rsidR="009D5AB2" w:rsidRPr="00795F17" w:rsidRDefault="009D5AB2" w:rsidP="0044393D">
      <w:r w:rsidRPr="00795F17">
        <w:rPr>
          <w:b/>
          <w:bCs/>
        </w:rPr>
        <w:t xml:space="preserve">Sposób osiągnięcia zakładanych celów i/lub rozwiązania zidentyfikowanych problemów: </w:t>
      </w:r>
      <w:r w:rsidR="00F13C4D">
        <w:t>z</w:t>
      </w:r>
      <w:r w:rsidRPr="00795F17">
        <w:t>akres oraz zawartość programów monitoringu wód w kontekście formułowania zapisów IIaPGW zostały szczegółowo omówione w rozdziale 5.</w:t>
      </w:r>
    </w:p>
    <w:p w14:paraId="2986BEE4" w14:textId="43AB5902" w:rsidR="009D5AB2" w:rsidRPr="00795F17" w:rsidRDefault="009D5AB2" w:rsidP="00C53C86">
      <w:pPr>
        <w:pStyle w:val="Nagwek2"/>
      </w:pPr>
      <w:bookmarkStart w:id="1044" w:name="_Toc66272300"/>
      <w:bookmarkStart w:id="1045" w:name="_Toc105512740"/>
      <w:r w:rsidRPr="00795F17">
        <w:t>Dokumenty powiązane, na które wpływ mają ustalenia IIaPGW</w:t>
      </w:r>
      <w:bookmarkEnd w:id="1044"/>
      <w:bookmarkEnd w:id="1045"/>
    </w:p>
    <w:p w14:paraId="3155EE92" w14:textId="53A8AFCB" w:rsidR="009D5AB2" w:rsidRPr="00795F17" w:rsidRDefault="009D5AB2" w:rsidP="0044393D">
      <w:r w:rsidRPr="00795F17">
        <w:t xml:space="preserve">Zgodnie z obowiązującym brzmieniem art. 326 ust. 1 </w:t>
      </w:r>
      <w:r w:rsidR="0083060B" w:rsidRPr="00795F17">
        <w:t>pr.w.</w:t>
      </w:r>
      <w:r w:rsidRPr="00795F17">
        <w:t xml:space="preserve"> ustalenia planu gospodarowania wodami uwzględnia się w: strategii rozwoju województwa, planach zagospodarowania przestrzennego województwa, strategii rozwoju gminy, strategii rozwoju ponadlokalnego, studium uwarunkowań i kierunków zagospodarowania przestrzennego gminy oraz w miejscowych planach zagospodarowania przestrzennego.</w:t>
      </w:r>
    </w:p>
    <w:p w14:paraId="48AE244A" w14:textId="06388D5A" w:rsidR="009D5AB2" w:rsidRPr="00795F17" w:rsidRDefault="009D5AB2" w:rsidP="0044393D">
      <w:r w:rsidRPr="00795F17">
        <w:t>Według założeń systemu zarządzania rozwojem Polski przyjętego w 2018 r. działania w przestrzeni powinny wynikać z aktów planowania przestrzennego, stanowiących z kolei narzędzie wykonawcze dla</w:t>
      </w:r>
      <w:r w:rsidR="00BF3682">
        <w:t> </w:t>
      </w:r>
      <w:r w:rsidRPr="00795F17">
        <w:t>realizacji wszystkich polityk i strategii.</w:t>
      </w:r>
    </w:p>
    <w:p w14:paraId="5BB30F23" w14:textId="150B39D2" w:rsidR="009D5AB2" w:rsidRPr="00795F17" w:rsidRDefault="009D5AB2" w:rsidP="0044393D">
      <w:r w:rsidRPr="00795F17">
        <w:t xml:space="preserve">Zgodnie z </w:t>
      </w:r>
      <w:r w:rsidR="008C5E88">
        <w:t>postanowieniami</w:t>
      </w:r>
      <w:r w:rsidRPr="00795F17">
        <w:t xml:space="preserve"> u.p.i.z.p</w:t>
      </w:r>
      <w:r w:rsidR="008C5E88">
        <w:t>.</w:t>
      </w:r>
      <w:r w:rsidRPr="00795F17">
        <w:t xml:space="preserve"> w dokumentach planistycznych </w:t>
      </w:r>
      <w:r w:rsidR="00F13C4D">
        <w:t>–</w:t>
      </w:r>
      <w:r w:rsidRPr="00795F17">
        <w:t xml:space="preserve"> w celu zapewnienia spójności systemu </w:t>
      </w:r>
      <w:r w:rsidR="008C5E88">
        <w:t>–</w:t>
      </w:r>
      <w:r w:rsidRPr="00795F17">
        <w:t xml:space="preserve"> należy uwzględniać ustalenia strategii rozwoju i planów zagospodarowania przestrzennego wyższego szczebla. Każda aktualizacja strategii rozwoju w wymiarze przestrzennym wymaga każdorazowego dostosowania treści aktu planowania przestrzennego na adekwatnym poziomie. </w:t>
      </w:r>
    </w:p>
    <w:p w14:paraId="7F588CE6" w14:textId="4DF11DA1" w:rsidR="009D5AB2" w:rsidRPr="00795F17" w:rsidRDefault="009D5AB2" w:rsidP="0044393D">
      <w:r w:rsidRPr="00795F17">
        <w:t xml:space="preserve">W myśl </w:t>
      </w:r>
      <w:r w:rsidR="008C5E88">
        <w:t>postanowień</w:t>
      </w:r>
      <w:r w:rsidRPr="00795F17">
        <w:t xml:space="preserve"> u.p.i.z.p uwzględnia się elementy stanowiące składowe planów gospodarowania wodami, tj.: wymagania ochrony środowiska, w tym gospodarowania wodami (art. 1 ust. 2 pkt 3 u.p.i.z.p.), oraz potrzebę zapewnienia odpowiedniej ilości i jakości wody do celów zaopatrzenia ludności (art. 1 ust. 2 pkt 13 u.p.i.z.p). </w:t>
      </w:r>
    </w:p>
    <w:p w14:paraId="032255EF" w14:textId="0021C362" w:rsidR="009D5AB2" w:rsidRPr="00795F17" w:rsidRDefault="009D5AB2" w:rsidP="0044393D">
      <w:r w:rsidRPr="00795F17">
        <w:t>Na etapie sporządzania dokumentów planistycznych bierze się pod uwagę uwarunkowania wynikające m.in.: ze stanu środowiska, w tym wielkości i jakości zasobów wodnych oraz wymogów ochrony środowiska, przyrody i krajobrazu; występowania obiektów i terenów chronionych na podstawie przepisów odrębnych; występowania udokumentowanych zasobów wód podziemnych; stanu systemów komunikacji i infrastruktury technicznej, w tym stopnia uporządkowania gospodarki wodno-ściekowej; a także wymagań dotyczących ochrony przeciwpowodziowej.</w:t>
      </w:r>
    </w:p>
    <w:p w14:paraId="57476766" w14:textId="77777777" w:rsidR="009D5AB2" w:rsidRPr="00795F17" w:rsidRDefault="009D5AB2" w:rsidP="0044393D">
      <w:r w:rsidRPr="00795F17">
        <w:t>Wszystkie ww. elementy stanowią zakres przedmiotowy IIaPGW i jako takie (bezpośrednio lub pośrednio w ramach zapewniania spójności z zapisami krajowych strategii i polityk) są uwzględniane w aktach planowania przestrzennego oraz regionalnych i lokalnych strategiach rozwoju.</w:t>
      </w:r>
    </w:p>
    <w:p w14:paraId="69568906" w14:textId="54C0CE30" w:rsidR="009D5AB2" w:rsidRPr="00795F17" w:rsidRDefault="009D5AB2" w:rsidP="0044393D">
      <w:r w:rsidRPr="00795F17">
        <w:t>Odrębną grupę dokumentów planistycznych stanowią plany zagospodarowania przestrzennego morskich wód wewnętrznych, morza terytorialnego i wyłącznej strefy ekonomicznej. Aktem prawnym regulującym zasady sporządzania przedmiotowych planów jest ustawa z dnia 21 marca 1991 r. o obszarach morskich Rzeczypospolitej Polskiej i administracji morskiej (</w:t>
      </w:r>
      <w:r w:rsidR="009F21F2">
        <w:t xml:space="preserve">tekst jednolity </w:t>
      </w:r>
      <w:r w:rsidRPr="00795F17">
        <w:t xml:space="preserve">Dz.U. </w:t>
      </w:r>
      <w:r w:rsidR="00F13C4D">
        <w:t xml:space="preserve">z </w:t>
      </w:r>
      <w:r w:rsidRPr="00795F17">
        <w:t>2020</w:t>
      </w:r>
      <w:r w:rsidR="00F13C4D">
        <w:t xml:space="preserve"> r.</w:t>
      </w:r>
      <w:r w:rsidRPr="00795F17">
        <w:t xml:space="preserve"> poz. 2135</w:t>
      </w:r>
      <w:r w:rsidR="00A32DE1">
        <w:t xml:space="preserve"> z późn. zm.</w:t>
      </w:r>
      <w:r w:rsidRPr="00795F17">
        <w:t xml:space="preserve">). </w:t>
      </w:r>
    </w:p>
    <w:p w14:paraId="37D39B46" w14:textId="3FECB716" w:rsidR="009D5AB2" w:rsidRPr="00C72AB5" w:rsidRDefault="009D5AB2" w:rsidP="0044393D">
      <w:pPr>
        <w:rPr>
          <w:i/>
        </w:rPr>
      </w:pPr>
      <w:r w:rsidRPr="00795F17">
        <w:t xml:space="preserve">Ustawowe zapisy postanowienia planów zagospodarowania przestrzennego morskich wód wewnętrznych, morza terytorialnego i wyłącznej strefy ekonomicznej powinny być komplementarne z zapisami dokumentów planistycznych na poziomie wojewódzkim i gminnym. W myśl </w:t>
      </w:r>
      <w:r w:rsidR="00F13C4D">
        <w:t>postanowień</w:t>
      </w:r>
      <w:r w:rsidRPr="00795F17">
        <w:t xml:space="preserve">art. 37d </w:t>
      </w:r>
      <w:r w:rsidR="00F13C4D">
        <w:t xml:space="preserve">ww. </w:t>
      </w:r>
      <w:r w:rsidRPr="00F13C4D">
        <w:t xml:space="preserve">ustawy </w:t>
      </w:r>
      <w:r w:rsidRPr="00C72AB5">
        <w:t>plany zagospodarowania przestrzennego morskich wód wewnętrznych, morza terytorialnego i wyłącznej strefy ekonomicznej mogą zawierać ustalenia wiążące samorządy województw oraz gminy, w obszarze których występują morskie wody wewnętrzne, lub gminy sąsiadujące z obszarem planu poprzez linię brzegową lub odpowiadające tej linii granice obszarów morskich, przy sporządzaniu odpowiednio planów zagospodarowania przestrzennego województw, studiów uwarunkowań i kierunków zagospodarowania przestrzennego gmin oraz</w:t>
      </w:r>
      <w:r w:rsidR="00D93866">
        <w:t> </w:t>
      </w:r>
      <w:r w:rsidRPr="00C72AB5">
        <w:t>miejscowych planów zagospodarowania przestrzennego, w zakresie: rozmieszczenia inwestycji celu publicznego o znaczeniu krajowym określonych w średniookresowej strategii rozwoju kraju i</w:t>
      </w:r>
      <w:r w:rsidR="00D93866">
        <w:t> </w:t>
      </w:r>
      <w:r w:rsidRPr="00C72AB5">
        <w:t>innych strategiach rozwoju; obszarów chronionych, w tym obszarów przestrzeni chronionej; sposobu korzystania z obszarów morskich, w tym ograniczeń i dopuszczeń</w:t>
      </w:r>
      <w:r w:rsidRPr="00F13C4D">
        <w:t>.</w:t>
      </w:r>
    </w:p>
    <w:p w14:paraId="4BF89C14" w14:textId="7738966A" w:rsidR="009D5AB2" w:rsidRPr="00795F17" w:rsidRDefault="009D5AB2" w:rsidP="0044393D">
      <w:r w:rsidRPr="00795F17">
        <w:t xml:space="preserve">W myśl </w:t>
      </w:r>
      <w:r w:rsidR="008C5E88">
        <w:t>postanowień</w:t>
      </w:r>
      <w:r w:rsidRPr="00795F17">
        <w:t xml:space="preserve"> ww. ustawy (zgodnie z art. 37b) przy opracowywaniu planów stosuje się podejście ekosystemowe, mając na względzie m.in. wsparcie zrównoważonego rozwoju w sektorze morskim z uwzględnieniem aspektów gospodarczych, społecznych i środowiskowych, w tym poprawy stanu środowiska i odporności na zmiany klimatu.</w:t>
      </w:r>
    </w:p>
    <w:p w14:paraId="1B888854" w14:textId="77777777" w:rsidR="009D5AB2" w:rsidRPr="00795F17" w:rsidRDefault="009D5AB2" w:rsidP="0044393D">
      <w:r w:rsidRPr="00795F17">
        <w:t>Przez podejście ekosystemowe należy rozumieć spełnienie w zarządzaniu działalnością człowieka niżej wymienionych warunków (traktowanych łącznie):</w:t>
      </w:r>
    </w:p>
    <w:p w14:paraId="5FE2C8EB" w14:textId="77777777" w:rsidR="009D5AB2" w:rsidRPr="00795F17" w:rsidRDefault="009D5AB2" w:rsidP="00117E86">
      <w:pPr>
        <w:pStyle w:val="Listapunktowana2"/>
      </w:pPr>
      <w:r w:rsidRPr="00795F17">
        <w:t>wpływ na ekosystem planowanej działalności człowieka będzie utrzymywany na poziomie umożliwiającym osiągnięcie i utrzymanie dobrego stanu ekologicznego środowiska;</w:t>
      </w:r>
    </w:p>
    <w:p w14:paraId="1A42C760" w14:textId="77777777" w:rsidR="009D5AB2" w:rsidRPr="00795F17" w:rsidRDefault="009D5AB2" w:rsidP="00117E86">
      <w:pPr>
        <w:pStyle w:val="Listapunktowana2"/>
      </w:pPr>
      <w:r w:rsidRPr="00795F17">
        <w:t>zostanie zachowana zarówno zdolność do prawidłowego funkcjonowania ekosystemu, jak i odporność na zmiany środowiskowe, powstałe w wyniku działalności człowieka;</w:t>
      </w:r>
    </w:p>
    <w:p w14:paraId="0EE765DA" w14:textId="77777777" w:rsidR="009D5AB2" w:rsidRPr="00795F17" w:rsidRDefault="009D5AB2" w:rsidP="00117E86">
      <w:pPr>
        <w:pStyle w:val="Listapunktowana2"/>
      </w:pPr>
      <w:r w:rsidRPr="00795F17">
        <w:t>zostanie umożliwione jednoczesne, trwałe i zrównoważone użytkowanie zasobów i usług ekosystemowych przez obecne i przyszłe pokolenia.</w:t>
      </w:r>
    </w:p>
    <w:p w14:paraId="255B25C6" w14:textId="5E3B039B" w:rsidR="00D621D3" w:rsidRPr="00795F17" w:rsidRDefault="009D5AB2" w:rsidP="0044393D">
      <w:bookmarkStart w:id="1046" w:name="_Toc51050132"/>
      <w:r w:rsidRPr="00795F17">
        <w:t>Wymienione wyżej warunki bezpośrednio wpisują się w cele i zasady gospodarowania wodami przyjęte w IIaPGW.</w:t>
      </w:r>
    </w:p>
    <w:p w14:paraId="464B5B0D" w14:textId="0623C577" w:rsidR="00D32E0C" w:rsidRPr="00795F17" w:rsidRDefault="00D32E0C" w:rsidP="0044393D">
      <w:r w:rsidRPr="00795F17">
        <w:br w:type="page"/>
      </w:r>
    </w:p>
    <w:p w14:paraId="47B1C3FE" w14:textId="11D199CD" w:rsidR="00332A4E" w:rsidRPr="00795F17" w:rsidRDefault="00562A33" w:rsidP="00BA6B41">
      <w:pPr>
        <w:pStyle w:val="Nagwek1"/>
      </w:pPr>
      <w:bookmarkStart w:id="1047" w:name="_Toc105512741"/>
      <w:bookmarkEnd w:id="1046"/>
      <w:r>
        <w:t>Podsumowanie działań zastosowanych w celu informowania społeczeństwa i konsultacji publicznych, opis wyników i dokonanych na ich podstawie zmian w Planie</w:t>
      </w:r>
      <w:bookmarkEnd w:id="1047"/>
    </w:p>
    <w:p w14:paraId="6A3210F6" w14:textId="096CEB3F" w:rsidR="00405D9B" w:rsidRPr="00795F17" w:rsidRDefault="00405D9B" w:rsidP="0044393D">
      <w:r w:rsidRPr="00795F17">
        <w:t>Udział społeczeństwa jest istotnym elementem procesu planowania w gospodarce wodnej, gdyż daje możliwość rozpoznania potrzeb i oczekiwań oraz uzyskania akceptacji społecznej dla podejmowanych decyzji. W związku z tym powinien on być procesem ciągłym i nie ograniczać się jedynie do wybranych etapów cyklu planistycznego. Zgodnie z art. 318 ust.</w:t>
      </w:r>
      <w:r w:rsidR="00F13C4D">
        <w:t xml:space="preserve"> </w:t>
      </w:r>
      <w:r w:rsidRPr="00795F17">
        <w:t xml:space="preserve">1 pkt 19 pr.w. oraz </w:t>
      </w:r>
      <w:r w:rsidR="006F4AAB">
        <w:t>§</w:t>
      </w:r>
      <w:r w:rsidRPr="00795F17">
        <w:t xml:space="preserve"> 2 ust. 1 pkt 19 </w:t>
      </w:r>
      <w:r w:rsidR="00DF5CE3" w:rsidRPr="00795F17">
        <w:t>r.p.g.w.</w:t>
      </w:r>
      <w:r w:rsidRPr="00795F17">
        <w:t xml:space="preserve"> plan gospodarowania wodami przedstawia informacje podsumowujące proces konsultacji społecznych planu wraz z podsumowaniem procedury strategicznej oceny oddziaływania na</w:t>
      </w:r>
      <w:r w:rsidR="00331157" w:rsidRPr="00795F17">
        <w:t> </w:t>
      </w:r>
      <w:r w:rsidRPr="00795F17">
        <w:t>środowisko, w tym wskazanie informacji dotyczących działań zastosowanych w celu informowania społeczeństwa i konsultacji publicznych wraz z opisem ich wyników i dokonanych na tej podstawie zmian w planie gospodarowania wodami na obszarze dorzecza.</w:t>
      </w:r>
    </w:p>
    <w:p w14:paraId="1DC19BAA" w14:textId="04AFCE3E" w:rsidR="00405D9B" w:rsidRPr="00795F17" w:rsidRDefault="00405D9B" w:rsidP="0044393D">
      <w:r w:rsidRPr="00795F17">
        <w:t>Ramy konsultacji społecznych w tym zakresie wyznacza art. 319 pr.w. Przepis ten obliguje ministra właściwego do spraw gospodarki wodnej do zapewnienia aktywnego udziału wszystkich zainteresowanych w osiąganiu celów środowiskowych, o których mowa w art. 56 pr.w. cel środowiskowy dla jednolitych części wód powierzchniowych, art. 57 cel środowiskowy dla sztucznych i silnie zmienionych jednolitych części wód powierzchniowych, art. 59</w:t>
      </w:r>
      <w:r w:rsidR="00D93FD2">
        <w:t xml:space="preserve"> pr.w. </w:t>
      </w:r>
      <w:r w:rsidRPr="00795F17">
        <w:t>cel środowiskowy dla</w:t>
      </w:r>
      <w:r w:rsidR="00E7652B" w:rsidRPr="00795F17">
        <w:t> </w:t>
      </w:r>
      <w:r w:rsidRPr="00795F17">
        <w:t>jednolitych części wód podziemnych</w:t>
      </w:r>
      <w:r w:rsidR="00D93FD2">
        <w:t>,</w:t>
      </w:r>
      <w:r w:rsidR="00D93FD2" w:rsidRPr="00795F17" w:rsidDel="00D93FD2">
        <w:t xml:space="preserve"> </w:t>
      </w:r>
      <w:r w:rsidRPr="00795F17">
        <w:t>art. 61 pr.w. cel środowiskowy dla obszarów chronionych, w szczególności w opracowywaniu, przeglądzie i aktualizacji planu gospodarowania wodami na obszarze dorzecza, minister właściwy do spraw gospodarki wodnej podaje do publicznej wiadomości, na zasadach i w trybie określony</w:t>
      </w:r>
      <w:r w:rsidR="00625895">
        <w:t>m</w:t>
      </w:r>
      <w:r w:rsidRPr="00795F17">
        <w:t xml:space="preserve"> w przepisach </w:t>
      </w:r>
      <w:r w:rsidR="00EF78B7">
        <w:t>u.i.o</w:t>
      </w:r>
      <w:r w:rsidR="00A10232">
        <w:t>.ś</w:t>
      </w:r>
      <w:r w:rsidRPr="00795F17">
        <w:t>, w celu zgłaszania uwag:</w:t>
      </w:r>
    </w:p>
    <w:p w14:paraId="277D8A9F" w14:textId="1056C932" w:rsidR="00405D9B" w:rsidRPr="00795F17" w:rsidRDefault="00405D9B" w:rsidP="00117E86">
      <w:pPr>
        <w:pStyle w:val="Listapunktowana2"/>
      </w:pPr>
      <w:r w:rsidRPr="00795F17">
        <w:t>harmonogram i program prac związanych ze sporządzaniem planu gospodarowania wodami na obszarze dorzecza, w tym zestawienia działań, które należy wprowadzić w drodze konsultacji;</w:t>
      </w:r>
    </w:p>
    <w:p w14:paraId="163BC2A4" w14:textId="6C714267" w:rsidR="00405D9B" w:rsidRPr="00795F17" w:rsidRDefault="00405D9B" w:rsidP="00117E86">
      <w:pPr>
        <w:pStyle w:val="Listapunktowana2"/>
      </w:pPr>
      <w:r w:rsidRPr="00795F17">
        <w:t>przegląd istotnych problemów gospodarki wodnej określonych dla danego obszaru;</w:t>
      </w:r>
    </w:p>
    <w:p w14:paraId="0DA6CEFE" w14:textId="500D4EF2" w:rsidR="00405D9B" w:rsidRPr="00795F17" w:rsidRDefault="00405D9B" w:rsidP="00117E86">
      <w:pPr>
        <w:pStyle w:val="Listapunktowana2"/>
      </w:pPr>
      <w:r w:rsidRPr="00795F17">
        <w:t>projekt planu gospodarowania wodami na obszarze dorzecza.</w:t>
      </w:r>
    </w:p>
    <w:p w14:paraId="535FAFB4" w14:textId="77777777" w:rsidR="00405D9B" w:rsidRPr="00795F17" w:rsidRDefault="00405D9B" w:rsidP="0044393D">
      <w:r w:rsidRPr="00795F17">
        <w:t>Działania konsultacyjne dotyczące harmonogramu oraz przeglądu istotnych problemów gospodarki wodnej zostały przeprowadzone przed przystąpieniem do opracowania IIaPGW.</w:t>
      </w:r>
    </w:p>
    <w:p w14:paraId="18E46688" w14:textId="4905784F" w:rsidR="00405D9B" w:rsidRPr="00795F17" w:rsidRDefault="00405D9B" w:rsidP="0044393D">
      <w:r w:rsidRPr="00795F17">
        <w:t>Projekt planu gospodarowania wodami jest podawany do publicznej wiadomości na zasadach i w trybie określonych w przepisach</w:t>
      </w:r>
      <w:r w:rsidR="00C05679" w:rsidRPr="00795F17">
        <w:t xml:space="preserve"> </w:t>
      </w:r>
      <w:r w:rsidRPr="00795F17">
        <w:t>u.i.o.ś. W okresie 6-miesięcznych konsultacji społecznych projektu planu gospodarowania wodami zainteresowane strony mogą zgłaszać uwagi do ustaleń zawartych w</w:t>
      </w:r>
      <w:r w:rsidR="00331157" w:rsidRPr="00795F17">
        <w:t> </w:t>
      </w:r>
      <w:r w:rsidRPr="00795F17">
        <w:t>tych dokumentach.</w:t>
      </w:r>
    </w:p>
    <w:p w14:paraId="0D3E3697" w14:textId="638EE277" w:rsidR="00405D9B" w:rsidRPr="00795F17" w:rsidRDefault="004E2143" w:rsidP="0044393D">
      <w:bookmarkStart w:id="1048" w:name="_Hlk89340231"/>
      <w:r w:rsidRPr="004E2143">
        <w:t>Cały proces konsultacji społecznych ma na celu włączenie wszystkich zainteresowanych stron w proces IIaPGW, tak aby stanowił on podstawę podejmowania decyzji kształtujących stan zasobów wodnych i zasad gospodarowania nimi w przyszłości. Przeprowadzane konsultacje społeczne oraz kampania informacyjna skierowane są do ogółu społeczeństwa, podmiotów korzystających ze środowiska, organizacji pozarządowych, zrzeszeń oraz organów odpowiedzialnych za gospodarowanie wodami.</w:t>
      </w:r>
      <w:bookmarkEnd w:id="1048"/>
    </w:p>
    <w:p w14:paraId="26C107C3" w14:textId="77777777" w:rsidR="00405D9B" w:rsidRPr="00795F17" w:rsidRDefault="00405D9B" w:rsidP="0044393D">
      <w:r w:rsidRPr="00795F17">
        <w:t>Przeprowadzane konsultacje mają na celu przede wszystkim:</w:t>
      </w:r>
    </w:p>
    <w:p w14:paraId="56539390" w14:textId="77777777" w:rsidR="00405D9B" w:rsidRPr="00795F17" w:rsidRDefault="00405D9B" w:rsidP="00117E86">
      <w:pPr>
        <w:pStyle w:val="Listapunktowana2"/>
      </w:pPr>
      <w:r w:rsidRPr="00795F17">
        <w:t>poinformowanie społeczeństwa o IIaPGW;</w:t>
      </w:r>
    </w:p>
    <w:p w14:paraId="5F50DF57" w14:textId="77777777" w:rsidR="00405D9B" w:rsidRPr="00795F17" w:rsidRDefault="00405D9B" w:rsidP="00117E86">
      <w:pPr>
        <w:pStyle w:val="Listapunktowana2"/>
      </w:pPr>
      <w:r w:rsidRPr="00795F17">
        <w:t>zachęcenie społeczeństwa do dialogu z grupami ekspertów oraz z władzami w celu uwzględnienia w IIaPGW społecznych potrzeb i oczekiwań;</w:t>
      </w:r>
    </w:p>
    <w:p w14:paraId="3C94F941" w14:textId="604A6B2D" w:rsidR="00405D9B" w:rsidRPr="00795F17" w:rsidRDefault="00405D9B" w:rsidP="00117E86">
      <w:pPr>
        <w:pStyle w:val="Listapunktowana2"/>
      </w:pPr>
      <w:r w:rsidRPr="00795F17">
        <w:t>zwiększenie świadomości społecznej dotyczącej problematyki wody oraz gospodarki wodnej w</w:t>
      </w:r>
      <w:r w:rsidR="00331157" w:rsidRPr="00795F17">
        <w:t> </w:t>
      </w:r>
      <w:r w:rsidRPr="00795F17">
        <w:t>Polsce przez dotarcie do różnych grup docelowych;</w:t>
      </w:r>
    </w:p>
    <w:p w14:paraId="3A2AF4A0" w14:textId="77777777" w:rsidR="00405D9B" w:rsidRPr="00795F17" w:rsidRDefault="00405D9B" w:rsidP="00117E86">
      <w:pPr>
        <w:pStyle w:val="Listapunktowana2"/>
      </w:pPr>
      <w:r w:rsidRPr="00795F17">
        <w:t>spełnienie wymogów KE co do zakresu PGW oraz przejrzystości informowania, udostępniania i zaangażowania zainteresowanych w ich opracowywanie.</w:t>
      </w:r>
    </w:p>
    <w:p w14:paraId="0B3CBE34" w14:textId="71E5587F" w:rsidR="006964D0" w:rsidRDefault="006964D0" w:rsidP="006964D0">
      <w:r>
        <w:t>W trakcie trwania konsultacji IIaPGW (</w:t>
      </w:r>
      <w:r w:rsidRPr="00E11E1F">
        <w:rPr>
          <w:rFonts w:eastAsia="Segoe UI" w:cs="Segoe UI"/>
          <w:color w:val="000000"/>
          <w:u w:color="000000"/>
          <w:bdr w:val="nil"/>
          <w14:textOutline w14:w="12700" w14:cap="flat" w14:cmpd="sng" w14:algn="ctr">
            <w14:noFill/>
            <w14:prstDash w14:val="solid"/>
            <w14:miter w14:lim="400000"/>
          </w14:textOutline>
        </w:rPr>
        <w:t>od 14 kwietnia do 14 października 2021 roku</w:t>
      </w:r>
      <w:r>
        <w:rPr>
          <w:rFonts w:eastAsia="Segoe UI" w:cs="Segoe UI"/>
          <w:color w:val="000000"/>
          <w:u w:color="000000"/>
          <w:bdr w:val="nil"/>
          <w14:textOutline w14:w="12700" w14:cap="flat" w14:cmpd="sng" w14:algn="ctr">
            <w14:noFill/>
            <w14:prstDash w14:val="solid"/>
            <w14:miter w14:lim="400000"/>
          </w14:textOutline>
        </w:rPr>
        <w:t>)</w:t>
      </w:r>
      <w:r>
        <w:t xml:space="preserve"> zrealizowane zostały zarówno działania informacyjne, jak i zachęcające społeczeństwo oraz ekspertów do wyrażania opinii. Działania konsultacyjne obejmowały m.in:</w:t>
      </w:r>
    </w:p>
    <w:p w14:paraId="3459924E" w14:textId="77777777" w:rsidR="006964D0" w:rsidRDefault="006964D0" w:rsidP="006964D0">
      <w:pPr>
        <w:pStyle w:val="Listapunktowana2"/>
        <w:ind w:left="720"/>
      </w:pPr>
      <w:r w:rsidRPr="003C3F72">
        <w:t>wszystkie wymagane działania określone w u.i.o.ś. w dziale III rozdziale III;</w:t>
      </w:r>
    </w:p>
    <w:p w14:paraId="6B4E83C3" w14:textId="77777777" w:rsidR="006964D0" w:rsidRDefault="006964D0" w:rsidP="006964D0">
      <w:pPr>
        <w:pStyle w:val="Listapunktowana2"/>
        <w:ind w:left="720"/>
      </w:pPr>
      <w:r>
        <w:t>udostępnienie na stronie internetowej poświęconej IIaPGW formularza do zgłaszania opinii bądź uwag dotyczących IIaPGW. Formularz jest podstawową formą badania opinii grup interesariuszy i mieszkańców obszaru dorzeczy.</w:t>
      </w:r>
    </w:p>
    <w:p w14:paraId="3E21D058" w14:textId="454DB5D0" w:rsidR="006964D0" w:rsidRPr="007A0CE1" w:rsidRDefault="006964D0" w:rsidP="006964D0">
      <w:pPr>
        <w:pStyle w:val="Listapunktowana2"/>
        <w:numPr>
          <w:ilvl w:val="0"/>
          <w:numId w:val="0"/>
        </w:numPr>
        <w:ind w:left="720"/>
      </w:pPr>
      <w:r>
        <w:t>D</w:t>
      </w:r>
      <w:r w:rsidRPr="007A0CE1">
        <w:t xml:space="preserve">ostęp do projektu IIaPGW na obszarze dorzecza </w:t>
      </w:r>
      <w:r>
        <w:t>Odry</w:t>
      </w:r>
      <w:r w:rsidRPr="007A0CE1">
        <w:t xml:space="preserve"> zapewniono poprzez stronę internetową </w:t>
      </w:r>
      <w:hyperlink w:history="1">
        <w:r w:rsidRPr="00464307">
          <w:t xml:space="preserve">www.apgw.gov.pl </w:t>
        </w:r>
      </w:hyperlink>
      <w:r w:rsidRPr="007A0CE1">
        <w:t>oraz wyłożenie dokumentów w siedzibie PGW WP</w:t>
      </w:r>
      <w:r>
        <w:t xml:space="preserve"> oraz Ministerstwie Infrastruktury.</w:t>
      </w:r>
    </w:p>
    <w:p w14:paraId="500782D1" w14:textId="2CBDF5FE" w:rsidR="00262417" w:rsidRDefault="006964D0" w:rsidP="006964D0">
      <w:pPr>
        <w:pStyle w:val="P2"/>
        <w:numPr>
          <w:ilvl w:val="0"/>
          <w:numId w:val="0"/>
        </w:numPr>
        <w:spacing w:line="240" w:lineRule="auto"/>
        <w:ind w:left="709"/>
        <w:contextualSpacing w:val="0"/>
        <w:rPr>
          <w:rFonts w:asciiTheme="minorHAnsi" w:hAnsiTheme="minorHAnsi" w:cstheme="minorBidi"/>
        </w:rPr>
      </w:pPr>
      <w:r w:rsidRPr="13E86A7C">
        <w:rPr>
          <w:rFonts w:asciiTheme="minorHAnsi" w:hAnsiTheme="minorHAnsi" w:cstheme="minorBidi"/>
        </w:rPr>
        <w:t>U</w:t>
      </w:r>
      <w:r w:rsidRPr="007A0CE1">
        <w:rPr>
          <w:rFonts w:asciiTheme="minorHAnsi" w:hAnsiTheme="minorHAnsi" w:cstheme="minorBidi"/>
        </w:rPr>
        <w:t xml:space="preserve">wagi i wnioski można było składać poprzez formularz zgłaszania uwag na dedykowanej stronie internetowej, przesłać na wskazany adres mailowy, pisemnie pocztą oraz ustnie do protokołu. </w:t>
      </w:r>
      <w:r w:rsidRPr="00F30262">
        <w:rPr>
          <w:rFonts w:asciiTheme="minorHAnsi" w:hAnsiTheme="minorHAnsi" w:cstheme="minorBidi"/>
        </w:rPr>
        <w:t xml:space="preserve">Łącznie wpłynęło </w:t>
      </w:r>
      <w:r w:rsidR="00664231">
        <w:rPr>
          <w:rFonts w:asciiTheme="minorHAnsi" w:hAnsiTheme="minorHAnsi" w:cstheme="minorBidi"/>
        </w:rPr>
        <w:t>524</w:t>
      </w:r>
      <w:r w:rsidR="00664231" w:rsidRPr="00F30262">
        <w:rPr>
          <w:rFonts w:asciiTheme="minorHAnsi" w:hAnsiTheme="minorHAnsi" w:cstheme="minorBidi"/>
        </w:rPr>
        <w:t xml:space="preserve"> </w:t>
      </w:r>
      <w:r w:rsidRPr="00F30262">
        <w:rPr>
          <w:rFonts w:asciiTheme="minorHAnsi" w:hAnsiTheme="minorHAnsi" w:cstheme="minorBidi"/>
        </w:rPr>
        <w:t>uwag</w:t>
      </w:r>
      <w:r w:rsidR="00664231">
        <w:rPr>
          <w:rFonts w:asciiTheme="minorHAnsi" w:hAnsiTheme="minorHAnsi" w:cstheme="minorBidi"/>
        </w:rPr>
        <w:t>i</w:t>
      </w:r>
      <w:r w:rsidRPr="00F30262">
        <w:rPr>
          <w:rFonts w:asciiTheme="minorHAnsi" w:hAnsiTheme="minorHAnsi" w:cstheme="minorBidi"/>
        </w:rPr>
        <w:t xml:space="preserve"> i </w:t>
      </w:r>
      <w:r w:rsidR="00664231" w:rsidRPr="00F30262">
        <w:rPr>
          <w:rFonts w:asciiTheme="minorHAnsi" w:hAnsiTheme="minorHAnsi" w:cstheme="minorBidi"/>
        </w:rPr>
        <w:t>wniosk</w:t>
      </w:r>
      <w:r w:rsidR="00664231">
        <w:rPr>
          <w:rFonts w:asciiTheme="minorHAnsi" w:hAnsiTheme="minorHAnsi" w:cstheme="minorBidi"/>
        </w:rPr>
        <w:t>i</w:t>
      </w:r>
      <w:r w:rsidR="00664231" w:rsidRPr="00F30262">
        <w:rPr>
          <w:rFonts w:asciiTheme="minorHAnsi" w:hAnsiTheme="minorHAnsi" w:cstheme="minorBidi"/>
        </w:rPr>
        <w:t xml:space="preserve"> dotyczą</w:t>
      </w:r>
      <w:r w:rsidR="00664231">
        <w:rPr>
          <w:rFonts w:asciiTheme="minorHAnsi" w:hAnsiTheme="minorHAnsi" w:cstheme="minorBidi"/>
        </w:rPr>
        <w:t>ce</w:t>
      </w:r>
      <w:r w:rsidR="00664231" w:rsidRPr="00F30262">
        <w:rPr>
          <w:rFonts w:asciiTheme="minorHAnsi" w:hAnsiTheme="minorHAnsi" w:cstheme="minorBidi"/>
        </w:rPr>
        <w:t xml:space="preserve"> </w:t>
      </w:r>
      <w:r w:rsidRPr="00F30262">
        <w:rPr>
          <w:rFonts w:asciiTheme="minorHAnsi" w:hAnsiTheme="minorHAnsi" w:cstheme="minorBidi"/>
        </w:rPr>
        <w:t xml:space="preserve">projektu IIaPGW dla obszaru dorzecza </w:t>
      </w:r>
      <w:r w:rsidR="00002BEA" w:rsidRPr="00F30262">
        <w:rPr>
          <w:rFonts w:asciiTheme="minorHAnsi" w:hAnsiTheme="minorHAnsi" w:cstheme="minorBidi"/>
        </w:rPr>
        <w:t>Odry</w:t>
      </w:r>
      <w:r w:rsidR="00F30262">
        <w:rPr>
          <w:rFonts w:asciiTheme="minorHAnsi" w:hAnsiTheme="minorHAnsi" w:cstheme="minorBidi"/>
        </w:rPr>
        <w:t xml:space="preserve"> oraz 75 podczas spotkań konsultacyjnych dedykowanych zagadnieniom obszaru dorzecza Odry</w:t>
      </w:r>
      <w:r w:rsidRPr="00F30262">
        <w:rPr>
          <w:rFonts w:asciiTheme="minorHAnsi" w:hAnsiTheme="minorHAnsi" w:cstheme="minorBidi"/>
        </w:rPr>
        <w:t>.</w:t>
      </w:r>
      <w:r>
        <w:rPr>
          <w:rFonts w:asciiTheme="minorHAnsi" w:hAnsiTheme="minorHAnsi" w:cstheme="minorBidi"/>
        </w:rPr>
        <w:t xml:space="preserve"> </w:t>
      </w:r>
      <w:r w:rsidR="00262417" w:rsidRPr="00262417">
        <w:rPr>
          <w:rFonts w:asciiTheme="minorHAnsi" w:hAnsiTheme="minorHAnsi" w:cstheme="minorBidi"/>
        </w:rPr>
        <w:t xml:space="preserve">Uwagi i wnioski zgłoszone zostały łącznie przez 59 różnych instytucji oraz 8 osób </w:t>
      </w:r>
      <w:r w:rsidR="00262417" w:rsidRPr="00463739">
        <w:rPr>
          <w:rFonts w:asciiTheme="minorHAnsi" w:hAnsiTheme="minorHAnsi" w:cstheme="minorBidi"/>
        </w:rPr>
        <w:t xml:space="preserve">fizycznych. </w:t>
      </w:r>
      <w:r w:rsidR="00F417A2" w:rsidRPr="00463739">
        <w:rPr>
          <w:rFonts w:asciiTheme="minorHAnsi" w:hAnsiTheme="minorHAnsi" w:cstheme="minorBidi"/>
        </w:rPr>
        <w:t>Wśród instytucji, które wzięły udział w konsultacjach publicznych znalazły się m.in. GIOŚ, instytut naukow</w:t>
      </w:r>
      <w:r w:rsidR="001C45FD" w:rsidRPr="00463739">
        <w:rPr>
          <w:rFonts w:asciiTheme="minorHAnsi" w:hAnsiTheme="minorHAnsi" w:cstheme="minorBidi"/>
        </w:rPr>
        <w:t>y</w:t>
      </w:r>
      <w:r w:rsidR="00F417A2" w:rsidRPr="00463739">
        <w:rPr>
          <w:rFonts w:asciiTheme="minorHAnsi" w:hAnsiTheme="minorHAnsi" w:cstheme="minorBidi"/>
        </w:rPr>
        <w:t>, 1</w:t>
      </w:r>
      <w:r w:rsidR="001C45FD" w:rsidRPr="00463739">
        <w:rPr>
          <w:rFonts w:asciiTheme="minorHAnsi" w:hAnsiTheme="minorHAnsi" w:cstheme="minorBidi"/>
        </w:rPr>
        <w:t>3</w:t>
      </w:r>
      <w:r w:rsidR="00F417A2" w:rsidRPr="00463739">
        <w:rPr>
          <w:rFonts w:asciiTheme="minorHAnsi" w:hAnsiTheme="minorHAnsi" w:cstheme="minorBidi"/>
        </w:rPr>
        <w:t xml:space="preserve"> podmiotów prowadzących działalność, </w:t>
      </w:r>
      <w:r w:rsidR="001C45FD" w:rsidRPr="00463739">
        <w:rPr>
          <w:rFonts w:asciiTheme="minorHAnsi" w:hAnsiTheme="minorHAnsi" w:cstheme="minorBidi"/>
        </w:rPr>
        <w:t>7</w:t>
      </w:r>
      <w:r w:rsidR="00F417A2" w:rsidRPr="00463739">
        <w:rPr>
          <w:rFonts w:asciiTheme="minorHAnsi" w:hAnsiTheme="minorHAnsi" w:cstheme="minorBidi"/>
        </w:rPr>
        <w:t xml:space="preserve"> </w:t>
      </w:r>
      <w:r w:rsidR="003D7A37" w:rsidRPr="00463739">
        <w:rPr>
          <w:rFonts w:asciiTheme="minorHAnsi" w:hAnsiTheme="minorHAnsi" w:cstheme="minorBidi"/>
        </w:rPr>
        <w:t xml:space="preserve">przedstawicieli </w:t>
      </w:r>
      <w:r w:rsidR="00F417A2" w:rsidRPr="00463739">
        <w:rPr>
          <w:rFonts w:asciiTheme="minorHAnsi" w:hAnsiTheme="minorHAnsi" w:cstheme="minorBidi"/>
        </w:rPr>
        <w:t>gmin</w:t>
      </w:r>
      <w:r w:rsidR="001C45FD" w:rsidRPr="00463739">
        <w:rPr>
          <w:rFonts w:asciiTheme="minorHAnsi" w:hAnsiTheme="minorHAnsi" w:cstheme="minorBidi"/>
        </w:rPr>
        <w:t>, urz</w:t>
      </w:r>
      <w:r w:rsidR="003D7A37" w:rsidRPr="00463739">
        <w:rPr>
          <w:rFonts w:asciiTheme="minorHAnsi" w:hAnsiTheme="minorHAnsi" w:cstheme="minorBidi"/>
        </w:rPr>
        <w:t>ędów miejskich oraz starostw</w:t>
      </w:r>
      <w:r w:rsidR="00F417A2" w:rsidRPr="00463739">
        <w:rPr>
          <w:rFonts w:asciiTheme="minorHAnsi" w:hAnsiTheme="minorHAnsi" w:cstheme="minorBidi"/>
        </w:rPr>
        <w:t xml:space="preserve">, </w:t>
      </w:r>
      <w:r w:rsidR="00463739" w:rsidRPr="00463739">
        <w:rPr>
          <w:rFonts w:asciiTheme="minorHAnsi" w:hAnsiTheme="minorHAnsi" w:cstheme="minorBidi"/>
        </w:rPr>
        <w:t>2</w:t>
      </w:r>
      <w:r w:rsidR="00F417A2" w:rsidRPr="00463739">
        <w:rPr>
          <w:rFonts w:asciiTheme="minorHAnsi" w:hAnsiTheme="minorHAnsi" w:cstheme="minorBidi"/>
        </w:rPr>
        <w:t xml:space="preserve"> urzęd</w:t>
      </w:r>
      <w:r w:rsidR="00463739" w:rsidRPr="00463739">
        <w:rPr>
          <w:rFonts w:asciiTheme="minorHAnsi" w:hAnsiTheme="minorHAnsi" w:cstheme="minorBidi"/>
        </w:rPr>
        <w:t>y</w:t>
      </w:r>
      <w:r w:rsidR="00F417A2" w:rsidRPr="00463739">
        <w:rPr>
          <w:rFonts w:asciiTheme="minorHAnsi" w:hAnsiTheme="minorHAnsi" w:cstheme="minorBidi"/>
        </w:rPr>
        <w:t xml:space="preserve"> wojewódzki</w:t>
      </w:r>
      <w:r w:rsidR="00463739" w:rsidRPr="00463739">
        <w:rPr>
          <w:rFonts w:asciiTheme="minorHAnsi" w:hAnsiTheme="minorHAnsi" w:cstheme="minorBidi"/>
        </w:rPr>
        <w:t>e</w:t>
      </w:r>
      <w:r w:rsidR="00F417A2" w:rsidRPr="00463739">
        <w:rPr>
          <w:rFonts w:asciiTheme="minorHAnsi" w:hAnsiTheme="minorHAnsi" w:cstheme="minorBidi"/>
        </w:rPr>
        <w:t>, 1</w:t>
      </w:r>
      <w:r w:rsidR="00463739" w:rsidRPr="00463739">
        <w:rPr>
          <w:rFonts w:asciiTheme="minorHAnsi" w:hAnsiTheme="minorHAnsi" w:cstheme="minorBidi"/>
        </w:rPr>
        <w:t>0</w:t>
      </w:r>
      <w:r w:rsidR="00F417A2" w:rsidRPr="00463739">
        <w:rPr>
          <w:rFonts w:asciiTheme="minorHAnsi" w:hAnsiTheme="minorHAnsi" w:cstheme="minorBidi"/>
        </w:rPr>
        <w:t xml:space="preserve"> stowarzyszeń, 1</w:t>
      </w:r>
      <w:r w:rsidR="00463739" w:rsidRPr="00463739">
        <w:rPr>
          <w:rFonts w:asciiTheme="minorHAnsi" w:hAnsiTheme="minorHAnsi" w:cstheme="minorBidi"/>
        </w:rPr>
        <w:t>3</w:t>
      </w:r>
      <w:r w:rsidR="00F417A2" w:rsidRPr="00463739">
        <w:rPr>
          <w:rFonts w:asciiTheme="minorHAnsi" w:hAnsiTheme="minorHAnsi" w:cstheme="minorBidi"/>
        </w:rPr>
        <w:t xml:space="preserve"> NGOs i inne.</w:t>
      </w:r>
    </w:p>
    <w:p w14:paraId="071D86ED" w14:textId="7084F4BA" w:rsidR="00FD781D" w:rsidRDefault="00262417" w:rsidP="006964D0">
      <w:pPr>
        <w:pStyle w:val="P2"/>
        <w:numPr>
          <w:ilvl w:val="0"/>
          <w:numId w:val="0"/>
        </w:numPr>
        <w:spacing w:line="240" w:lineRule="auto"/>
        <w:ind w:left="709"/>
        <w:contextualSpacing w:val="0"/>
        <w:rPr>
          <w:rFonts w:asciiTheme="minorHAnsi" w:hAnsiTheme="minorHAnsi" w:cstheme="minorBidi"/>
        </w:rPr>
      </w:pPr>
      <w:r w:rsidRPr="00262417">
        <w:rPr>
          <w:rFonts w:asciiTheme="minorHAnsi" w:hAnsiTheme="minorHAnsi" w:cstheme="minorBidi"/>
        </w:rPr>
        <w:t>Największy udział w zgłoszonych uwagach i wnioskach miały uwagi dotyczące treści IIaPGW, zastosowanych metodyk oraz wyników prezentowanych danych (ok. 35% wszystkich zgłoszonych uwag). Uwagi i wnioski dotyczące zestawów działań, odstępstw, procesu konsultacji oraz zmian prawa stanowiły odpowiednio 16%, 13%, 11%, 7% wszystkich zgłoszonych uwag i wniosków. Uwagi nie dotyczące bezpośrednio IIaPGW stanowiły ok. 10% wszystkich zgłoszonych uwag i wniosków.</w:t>
      </w:r>
    </w:p>
    <w:p w14:paraId="3242873A" w14:textId="0E92DA42" w:rsidR="006964D0" w:rsidRDefault="006964D0" w:rsidP="006964D0">
      <w:pPr>
        <w:pStyle w:val="P2"/>
        <w:numPr>
          <w:ilvl w:val="0"/>
          <w:numId w:val="0"/>
        </w:numPr>
        <w:spacing w:line="240" w:lineRule="auto"/>
        <w:ind w:left="709"/>
        <w:contextualSpacing w:val="0"/>
        <w:rPr>
          <w:rFonts w:asciiTheme="minorHAnsi" w:hAnsiTheme="minorHAnsi" w:cstheme="minorBidi"/>
        </w:rPr>
      </w:pPr>
      <w:r w:rsidRPr="13E86A7C">
        <w:rPr>
          <w:rFonts w:asciiTheme="minorHAnsi" w:hAnsiTheme="minorHAnsi" w:cstheme="minorBidi"/>
        </w:rPr>
        <w:t>W</w:t>
      </w:r>
      <w:r w:rsidRPr="007A0CE1">
        <w:rPr>
          <w:rFonts w:asciiTheme="minorHAnsi" w:hAnsiTheme="minorHAnsi" w:cstheme="minorBidi"/>
        </w:rPr>
        <w:t xml:space="preserve">szystkie zgłoszone uwagi i wnioski zostały zgodnie z art. 42 </w:t>
      </w:r>
      <w:r w:rsidR="001C49E3">
        <w:rPr>
          <w:rFonts w:asciiTheme="minorHAnsi" w:hAnsiTheme="minorHAnsi" w:cstheme="minorBidi"/>
        </w:rPr>
        <w:t>u.i.o.ś.</w:t>
      </w:r>
      <w:r w:rsidRPr="007A0CE1">
        <w:rPr>
          <w:rFonts w:asciiTheme="minorHAnsi" w:hAnsiTheme="minorHAnsi" w:cstheme="minorBidi"/>
        </w:rPr>
        <w:t xml:space="preserve"> rozpatrzone przez organ opracowujący projekt IIaPGW, sporządzono zestawienie zebranych uwag i wniosków</w:t>
      </w:r>
      <w:r w:rsidRPr="13E86A7C">
        <w:rPr>
          <w:rFonts w:asciiTheme="minorHAnsi" w:hAnsiTheme="minorHAnsi" w:cstheme="minorBidi"/>
        </w:rPr>
        <w:t>.</w:t>
      </w:r>
      <w:r w:rsidRPr="007A0CE1">
        <w:rPr>
          <w:rFonts w:asciiTheme="minorHAnsi" w:hAnsiTheme="minorHAnsi" w:cstheme="minorBidi"/>
        </w:rPr>
        <w:t xml:space="preserve"> </w:t>
      </w:r>
      <w:r w:rsidRPr="13E86A7C">
        <w:rPr>
          <w:rFonts w:asciiTheme="minorHAnsi" w:hAnsiTheme="minorHAnsi" w:cstheme="minorBidi"/>
        </w:rPr>
        <w:t>K</w:t>
      </w:r>
      <w:r w:rsidRPr="007A0CE1">
        <w:rPr>
          <w:rFonts w:asciiTheme="minorHAnsi" w:hAnsiTheme="minorHAnsi" w:cstheme="minorBidi"/>
        </w:rPr>
        <w:t>ażda została opatrzona komentarzem w zakresie oceny zasadności i sposobu jej uwzględnienia lub nieuwzględnienia, w przypadku uwag i wniosków częściowo uwzględnionych lub nieuwzględnionych, zostało podane uzasadnienie takiej decyzji</w:t>
      </w:r>
      <w:r w:rsidRPr="13E86A7C">
        <w:rPr>
          <w:rFonts w:asciiTheme="minorHAnsi" w:hAnsiTheme="minorHAnsi" w:cstheme="minorBidi"/>
        </w:rPr>
        <w:t xml:space="preserve">. </w:t>
      </w:r>
    </w:p>
    <w:p w14:paraId="3E566EC3" w14:textId="3CD293C1" w:rsidR="00F417A2" w:rsidRPr="007A0CE1" w:rsidRDefault="007A2869" w:rsidP="006964D0">
      <w:pPr>
        <w:pStyle w:val="P2"/>
        <w:numPr>
          <w:ilvl w:val="0"/>
          <w:numId w:val="0"/>
        </w:numPr>
        <w:spacing w:line="240" w:lineRule="auto"/>
        <w:ind w:left="709"/>
        <w:contextualSpacing w:val="0"/>
        <w:rPr>
          <w:rFonts w:asciiTheme="minorHAnsi" w:hAnsiTheme="minorHAnsi" w:cstheme="minorBidi"/>
        </w:rPr>
      </w:pPr>
      <w:r>
        <w:rPr>
          <w:rFonts w:asciiTheme="minorHAnsi" w:hAnsiTheme="minorHAnsi" w:cstheme="minorBidi"/>
        </w:rPr>
        <w:t xml:space="preserve">W wyniku zgłoszonych uwag w Planie dokonano korekt redaktorskich treści Planu, uzupełnienia </w:t>
      </w:r>
      <w:r w:rsidRPr="0094077C">
        <w:rPr>
          <w:rFonts w:asciiTheme="minorHAnsi" w:hAnsiTheme="minorHAnsi" w:cstheme="minorBidi"/>
        </w:rPr>
        <w:t xml:space="preserve">załącznika 3 o doprecyzowanie dotyczące wartości granicznych potencjału ekologicznego w zakresie wskaźników fizykochemicznych, weryfikacji zestawów działań ostatecznie usuwając </w:t>
      </w:r>
      <w:r w:rsidR="009A6DAF" w:rsidRPr="0094077C">
        <w:rPr>
          <w:rFonts w:asciiTheme="minorHAnsi" w:hAnsiTheme="minorHAnsi" w:cstheme="minorBidi"/>
        </w:rPr>
        <w:t>82</w:t>
      </w:r>
      <w:r w:rsidRPr="0094077C">
        <w:rPr>
          <w:rFonts w:asciiTheme="minorHAnsi" w:hAnsiTheme="minorHAnsi" w:cstheme="minorBidi"/>
        </w:rPr>
        <w:t xml:space="preserve"> działa</w:t>
      </w:r>
      <w:r w:rsidR="009A6DAF" w:rsidRPr="0094077C">
        <w:rPr>
          <w:rFonts w:asciiTheme="minorHAnsi" w:hAnsiTheme="minorHAnsi" w:cstheme="minorBidi"/>
        </w:rPr>
        <w:t>nia</w:t>
      </w:r>
      <w:r w:rsidRPr="0094077C">
        <w:rPr>
          <w:rFonts w:asciiTheme="minorHAnsi" w:hAnsiTheme="minorHAnsi" w:cstheme="minorBidi"/>
        </w:rPr>
        <w:t xml:space="preserve">, dodając </w:t>
      </w:r>
      <w:r w:rsidR="009B2363" w:rsidRPr="0094077C">
        <w:rPr>
          <w:rFonts w:asciiTheme="minorHAnsi" w:hAnsiTheme="minorHAnsi" w:cstheme="minorBidi"/>
        </w:rPr>
        <w:t>62</w:t>
      </w:r>
      <w:r w:rsidRPr="0094077C">
        <w:rPr>
          <w:rFonts w:asciiTheme="minorHAnsi" w:hAnsiTheme="minorHAnsi" w:cstheme="minorBidi"/>
        </w:rPr>
        <w:t xml:space="preserve"> działa</w:t>
      </w:r>
      <w:r w:rsidR="009B2363" w:rsidRPr="0094077C">
        <w:rPr>
          <w:rFonts w:asciiTheme="minorHAnsi" w:hAnsiTheme="minorHAnsi" w:cstheme="minorBidi"/>
        </w:rPr>
        <w:t>nia</w:t>
      </w:r>
      <w:r w:rsidRPr="0094077C">
        <w:rPr>
          <w:rFonts w:asciiTheme="minorHAnsi" w:hAnsiTheme="minorHAnsi" w:cstheme="minorBidi"/>
        </w:rPr>
        <w:t xml:space="preserve"> oraz dokonując modyfikacji łącznie </w:t>
      </w:r>
      <w:r w:rsidR="0094077C" w:rsidRPr="0094077C">
        <w:rPr>
          <w:rFonts w:asciiTheme="minorHAnsi" w:hAnsiTheme="minorHAnsi" w:cstheme="minorBidi"/>
        </w:rPr>
        <w:t>37</w:t>
      </w:r>
      <w:r w:rsidRPr="0094077C">
        <w:rPr>
          <w:rFonts w:asciiTheme="minorHAnsi" w:hAnsiTheme="minorHAnsi" w:cstheme="minorBidi"/>
        </w:rPr>
        <w:t xml:space="preserve"> działań oraz weryfikacji wykazu</w:t>
      </w:r>
      <w:r>
        <w:rPr>
          <w:rFonts w:asciiTheme="minorHAnsi" w:hAnsiTheme="minorHAnsi" w:cstheme="minorBidi"/>
        </w:rPr>
        <w:t xml:space="preserve"> odstępstw na podstawie przekazanych dodatkowych informacji przez podmioty prowadzące działalność.</w:t>
      </w:r>
    </w:p>
    <w:p w14:paraId="3D4A8BF2" w14:textId="77777777" w:rsidR="006964D0" w:rsidRPr="000D446C" w:rsidRDefault="006964D0" w:rsidP="007649F8">
      <w:pPr>
        <w:pStyle w:val="Listapunktowana2"/>
        <w:tabs>
          <w:tab w:val="num" w:pos="360"/>
        </w:tabs>
        <w:ind w:left="720" w:hanging="294"/>
      </w:pPr>
      <w:bookmarkStart w:id="1049" w:name="_Hlk89340325"/>
      <w:r w:rsidRPr="00795F17">
        <w:t>lokaln</w:t>
      </w:r>
      <w:r>
        <w:t xml:space="preserve">e </w:t>
      </w:r>
      <w:r w:rsidRPr="00795F17">
        <w:t>spotka</w:t>
      </w:r>
      <w:r>
        <w:t xml:space="preserve">nia </w:t>
      </w:r>
      <w:r w:rsidRPr="00795F17">
        <w:t>konsultacyjn</w:t>
      </w:r>
      <w:r>
        <w:t>e</w:t>
      </w:r>
      <w:r w:rsidRPr="00795F17">
        <w:t xml:space="preserve">, których celem jest włączenie zainteresowanych stron do prac nad sporządzeniem planów gospodarowania wodami na obszarze dorzecza. Spotkania </w:t>
      </w:r>
      <w:r>
        <w:t xml:space="preserve">są </w:t>
      </w:r>
      <w:r w:rsidRPr="00795F17">
        <w:t>poświęcone zagadnieniom dotyczącym poszczególnych obszarów dorzeczy, zgodnie z zaplanowaną lokalizacją spotkań odpowiednią dla siedzib RZGW WP</w:t>
      </w:r>
      <w:r>
        <w:t>.</w:t>
      </w:r>
      <w:r w:rsidRPr="000D446C">
        <w:t xml:space="preserve"> Przeprowadzono łącznie </w:t>
      </w:r>
      <w:r w:rsidRPr="000D446C">
        <w:br/>
        <w:t>15 regionalnych spotkań konsultacyjnych, we współpracy z właściwymi Regionalnymi Zarządami Gospodarki Wodnej (RZGW)</w:t>
      </w:r>
      <w:bookmarkEnd w:id="1049"/>
      <w:r w:rsidRPr="000D446C">
        <w:t xml:space="preserve">: </w:t>
      </w:r>
    </w:p>
    <w:p w14:paraId="0782D5DF" w14:textId="77777777" w:rsidR="00881BAC" w:rsidRDefault="006964D0" w:rsidP="009F7F19">
      <w:pPr>
        <w:keepNext/>
        <w:pBdr>
          <w:top w:val="nil"/>
          <w:left w:val="nil"/>
          <w:bottom w:val="nil"/>
          <w:right w:val="nil"/>
          <w:between w:val="nil"/>
          <w:bar w:val="nil"/>
        </w:pBdr>
        <w:spacing w:before="0" w:after="160" w:line="259" w:lineRule="auto"/>
        <w:jc w:val="center"/>
      </w:pPr>
      <w:r w:rsidRPr="00E11E1F">
        <w:rPr>
          <w:rFonts w:eastAsia="Arial Unicode MS" w:cs="Arial Unicode MS"/>
          <w:noProof/>
          <w:color w:val="000000"/>
          <w:u w:color="000000"/>
          <w:bdr w:val="nil"/>
        </w:rPr>
        <w:drawing>
          <wp:inline distT="0" distB="0" distL="0" distR="0" wp14:anchorId="398AA546" wp14:editId="16F34D97">
            <wp:extent cx="3282950" cy="2406650"/>
            <wp:effectExtent l="0" t="0" r="0" b="0"/>
            <wp:docPr id="24" name="Obraz 2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Obraz zawierający mapa&#10;&#10;Opis wygenerowany automatycznie"/>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282950" cy="2406650"/>
                    </a:xfrm>
                    <a:prstGeom prst="rect">
                      <a:avLst/>
                    </a:prstGeom>
                    <a:noFill/>
                    <a:ln>
                      <a:noFill/>
                    </a:ln>
                  </pic:spPr>
                </pic:pic>
              </a:graphicData>
            </a:graphic>
          </wp:inline>
        </w:drawing>
      </w:r>
    </w:p>
    <w:p w14:paraId="6FE78E84" w14:textId="18501B2E" w:rsidR="006964D0" w:rsidRPr="00E11E1F" w:rsidRDefault="00881BAC" w:rsidP="009F7F19">
      <w:pPr>
        <w:pStyle w:val="Rysunek"/>
        <w:rPr>
          <w:rFonts w:eastAsia="Segoe UI" w:cs="Segoe UI"/>
          <w:color w:val="000000"/>
          <w:u w:color="000000"/>
          <w:bdr w:val="nil"/>
          <w14:textOutline w14:w="12700" w14:cap="flat" w14:cmpd="sng" w14:algn="ctr">
            <w14:noFill/>
            <w14:prstDash w14:val="solid"/>
            <w14:miter w14:lim="400000"/>
          </w14:textOutline>
        </w:rPr>
      </w:pPr>
      <w:bookmarkStart w:id="1050" w:name="_Toc105512937"/>
      <w:r>
        <w:t xml:space="preserve">Rysunek </w:t>
      </w:r>
      <w:fldSimple w:instr=" STYLEREF 1 \s ">
        <w:r w:rsidR="001F774D">
          <w:rPr>
            <w:noProof/>
          </w:rPr>
          <w:t>20</w:t>
        </w:r>
      </w:fldSimple>
      <w:r>
        <w:noBreakHyphen/>
      </w:r>
      <w:fldSimple w:instr=" SEQ Rysunek \* ARABIC \s 1 ">
        <w:r w:rsidR="001F774D">
          <w:rPr>
            <w:noProof/>
          </w:rPr>
          <w:t>1</w:t>
        </w:r>
      </w:fldSimple>
      <w:r w:rsidR="00977CAC">
        <w:rPr>
          <w:noProof/>
        </w:rPr>
        <w:t>.</w:t>
      </w:r>
      <w:r w:rsidR="00D60159">
        <w:t xml:space="preserve"> </w:t>
      </w:r>
      <w:r w:rsidR="00D60159">
        <w:tab/>
        <w:t>Miejsca spotkań konsultacyjnych projektów IIaPGW</w:t>
      </w:r>
      <w:bookmarkEnd w:id="1050"/>
    </w:p>
    <w:p w14:paraId="4801DF19" w14:textId="2EBF4004" w:rsidR="00C316EA" w:rsidRPr="00C316EA" w:rsidRDefault="00C316EA" w:rsidP="009F7F19">
      <w:pPr>
        <w:pBdr>
          <w:top w:val="nil"/>
          <w:left w:val="nil"/>
          <w:bottom w:val="nil"/>
          <w:right w:val="nil"/>
          <w:between w:val="nil"/>
          <w:bar w:val="nil"/>
        </w:pBdr>
        <w:spacing w:before="360" w:after="160" w:line="259" w:lineRule="auto"/>
        <w:ind w:left="567"/>
        <w:rPr>
          <w:rFonts w:eastAsia="Segoe UI" w:cs="Segoe UI"/>
          <w:color w:val="000000"/>
          <w:u w:color="000000"/>
          <w:bdr w:val="nil"/>
          <w14:textOutline w14:w="12700" w14:cap="flat" w14:cmpd="sng" w14:algn="ctr">
            <w14:noFill/>
            <w14:prstDash w14:val="solid"/>
            <w14:miter w14:lim="400000"/>
          </w14:textOutline>
        </w:rPr>
      </w:pPr>
      <w:bookmarkStart w:id="1051" w:name="_Hlk89340358"/>
      <w:r w:rsidRPr="00C316EA">
        <w:rPr>
          <w:rFonts w:eastAsia="Segoe UI" w:cs="Segoe UI"/>
          <w:color w:val="000000"/>
          <w:u w:color="000000"/>
          <w:bdr w:val="nil"/>
          <w14:textOutline w14:w="12700" w14:cap="flat" w14:cmpd="sng" w14:algn="ctr">
            <w14:noFill/>
            <w14:prstDash w14:val="solid"/>
            <w14:miter w14:lim="400000"/>
          </w14:textOutline>
        </w:rPr>
        <w:t>Łącznie odbyło się 7 s</w:t>
      </w:r>
      <w:r w:rsidR="006964D0" w:rsidRPr="00C316EA">
        <w:rPr>
          <w:rFonts w:eastAsia="Segoe UI" w:cs="Segoe UI"/>
          <w:color w:val="000000"/>
          <w:u w:color="000000"/>
          <w:bdr w:val="nil"/>
          <w14:textOutline w14:w="12700" w14:cap="flat" w14:cmpd="sng" w14:algn="ctr">
            <w14:noFill/>
            <w14:prstDash w14:val="solid"/>
            <w14:miter w14:lim="400000"/>
          </w14:textOutline>
        </w:rPr>
        <w:t>potka</w:t>
      </w:r>
      <w:r w:rsidRPr="00C316EA">
        <w:rPr>
          <w:rFonts w:eastAsia="Segoe UI" w:cs="Segoe UI"/>
          <w:color w:val="000000"/>
          <w:u w:color="000000"/>
          <w:bdr w:val="nil"/>
          <w14:textOutline w14:w="12700" w14:cap="flat" w14:cmpd="sng" w14:algn="ctr">
            <w14:noFill/>
            <w14:prstDash w14:val="solid"/>
            <w14:miter w14:lim="400000"/>
          </w14:textOutline>
        </w:rPr>
        <w:t>ń</w:t>
      </w:r>
      <w:r w:rsidR="006964D0" w:rsidRPr="00C316EA">
        <w:rPr>
          <w:rFonts w:eastAsia="Segoe UI" w:cs="Segoe UI"/>
          <w:color w:val="000000"/>
          <w:u w:color="000000"/>
          <w:bdr w:val="nil"/>
          <w14:textOutline w14:w="12700" w14:cap="flat" w14:cmpd="sng" w14:algn="ctr">
            <w14:noFill/>
            <w14:prstDash w14:val="solid"/>
            <w14:miter w14:lim="400000"/>
          </w14:textOutline>
        </w:rPr>
        <w:t xml:space="preserve"> konsultacyjn</w:t>
      </w:r>
      <w:r w:rsidR="001729D1">
        <w:rPr>
          <w:rFonts w:eastAsia="Segoe UI" w:cs="Segoe UI"/>
          <w:color w:val="000000"/>
          <w:u w:color="000000"/>
          <w:bdr w:val="nil"/>
          <w14:textOutline w14:w="12700" w14:cap="flat" w14:cmpd="sng" w14:algn="ctr">
            <w14:noFill/>
            <w14:prstDash w14:val="solid"/>
            <w14:miter w14:lim="400000"/>
          </w14:textOutline>
        </w:rPr>
        <w:t>ych</w:t>
      </w:r>
      <w:r w:rsidR="006964D0" w:rsidRPr="00C316EA">
        <w:rPr>
          <w:rFonts w:eastAsia="Segoe UI" w:cs="Segoe UI"/>
          <w:color w:val="000000"/>
          <w:u w:color="000000"/>
          <w:bdr w:val="nil"/>
          <w14:textOutline w14:w="12700" w14:cap="flat" w14:cmpd="sng" w14:algn="ctr">
            <w14:noFill/>
            <w14:prstDash w14:val="solid"/>
            <w14:miter w14:lim="400000"/>
          </w14:textOutline>
        </w:rPr>
        <w:t xml:space="preserve"> dotycząc</w:t>
      </w:r>
      <w:r w:rsidRPr="00C316EA">
        <w:rPr>
          <w:rFonts w:eastAsia="Segoe UI" w:cs="Segoe UI"/>
          <w:color w:val="000000"/>
          <w:u w:color="000000"/>
          <w:bdr w:val="nil"/>
          <w14:textOutline w14:w="12700" w14:cap="flat" w14:cmpd="sng" w14:algn="ctr">
            <w14:noFill/>
            <w14:prstDash w14:val="solid"/>
            <w14:miter w14:lim="400000"/>
          </w14:textOutline>
        </w:rPr>
        <w:t>ych</w:t>
      </w:r>
      <w:r w:rsidR="006964D0" w:rsidRPr="00C316EA">
        <w:rPr>
          <w:rFonts w:eastAsia="Segoe UI" w:cs="Segoe UI"/>
          <w:color w:val="000000"/>
          <w:u w:color="000000"/>
          <w:bdr w:val="nil"/>
          <w14:textOutline w14:w="12700" w14:cap="flat" w14:cmpd="sng" w14:algn="ctr">
            <w14:noFill/>
            <w14:prstDash w14:val="solid"/>
            <w14:miter w14:lim="400000"/>
          </w14:textOutline>
        </w:rPr>
        <w:t xml:space="preserve"> obszaru dorzecza </w:t>
      </w:r>
      <w:r w:rsidR="00F30262" w:rsidRPr="00C316EA">
        <w:rPr>
          <w:rFonts w:eastAsia="Segoe UI" w:cs="Segoe UI"/>
          <w:color w:val="000000"/>
          <w:u w:color="000000"/>
          <w:bdr w:val="nil"/>
          <w14:textOutline w14:w="12700" w14:cap="flat" w14:cmpd="sng" w14:algn="ctr">
            <w14:noFill/>
            <w14:prstDash w14:val="solid"/>
            <w14:miter w14:lim="400000"/>
          </w14:textOutline>
        </w:rPr>
        <w:t>Odry</w:t>
      </w:r>
      <w:r w:rsidRPr="00C316EA">
        <w:rPr>
          <w:rFonts w:eastAsia="Segoe UI" w:cs="Segoe UI"/>
          <w:color w:val="000000"/>
          <w:u w:color="000000"/>
          <w:bdr w:val="nil"/>
          <w14:textOutline w14:w="12700" w14:cap="flat" w14:cmpd="sng" w14:algn="ctr">
            <w14:noFill/>
            <w14:prstDash w14:val="solid"/>
            <w14:miter w14:lim="400000"/>
          </w14:textOutline>
        </w:rPr>
        <w:t>:</w:t>
      </w:r>
    </w:p>
    <w:p w14:paraId="06CCE656" w14:textId="2F522F2E" w:rsidR="00C316EA" w:rsidRPr="00C316EA" w:rsidRDefault="00C316EA" w:rsidP="00C316EA">
      <w:pPr>
        <w:pStyle w:val="Listapunktowana2"/>
        <w:rPr>
          <w:u w:color="000000"/>
          <w:bdr w:val="nil"/>
        </w:rPr>
      </w:pPr>
      <w:r w:rsidRPr="00C316EA">
        <w:rPr>
          <w:rFonts w:eastAsia="Times New Roman" w:cs="Calibri"/>
          <w:color w:val="000000"/>
          <w:lang w:eastAsia="pl-PL"/>
        </w:rPr>
        <w:t>11 maja 2021 r. (spotkanie konsultacyjne Szczecin);</w:t>
      </w:r>
    </w:p>
    <w:p w14:paraId="692249E5" w14:textId="51FACB31" w:rsidR="00C316EA" w:rsidRPr="00C316EA" w:rsidRDefault="00C316EA" w:rsidP="00C316EA">
      <w:pPr>
        <w:pStyle w:val="Listapunktowana2"/>
        <w:rPr>
          <w:u w:color="000000"/>
          <w:bdr w:val="nil"/>
        </w:rPr>
      </w:pPr>
      <w:r w:rsidRPr="00C316EA">
        <w:rPr>
          <w:rFonts w:eastAsia="Times New Roman" w:cs="Calibri"/>
          <w:color w:val="000000"/>
          <w:lang w:eastAsia="pl-PL"/>
        </w:rPr>
        <w:t>1</w:t>
      </w:r>
      <w:r>
        <w:rPr>
          <w:rFonts w:eastAsia="Times New Roman" w:cs="Calibri"/>
          <w:color w:val="000000"/>
          <w:lang w:eastAsia="pl-PL"/>
        </w:rPr>
        <w:t>7</w:t>
      </w:r>
      <w:r w:rsidRPr="00C316EA">
        <w:rPr>
          <w:rFonts w:eastAsia="Times New Roman" w:cs="Calibri"/>
          <w:color w:val="000000"/>
          <w:lang w:eastAsia="pl-PL"/>
        </w:rPr>
        <w:t xml:space="preserve"> maja 2021 r. (spotkanie konsultacyjne </w:t>
      </w:r>
      <w:r>
        <w:rPr>
          <w:rFonts w:eastAsia="Times New Roman" w:cs="Calibri"/>
          <w:color w:val="000000"/>
          <w:lang w:eastAsia="pl-PL"/>
        </w:rPr>
        <w:t>Łódź);</w:t>
      </w:r>
    </w:p>
    <w:p w14:paraId="6FD6CA52" w14:textId="14185EDB" w:rsidR="00C316EA" w:rsidRPr="00C316EA" w:rsidRDefault="00C316EA" w:rsidP="00C316EA">
      <w:pPr>
        <w:pStyle w:val="Listapunktowana2"/>
        <w:rPr>
          <w:u w:color="000000"/>
          <w:bdr w:val="nil"/>
        </w:rPr>
      </w:pPr>
      <w:r w:rsidRPr="00C316EA">
        <w:rPr>
          <w:rFonts w:eastAsia="Times New Roman" w:cs="Calibri"/>
          <w:color w:val="000000"/>
          <w:lang w:eastAsia="pl-PL"/>
        </w:rPr>
        <w:t>1</w:t>
      </w:r>
      <w:r>
        <w:rPr>
          <w:rFonts w:eastAsia="Times New Roman" w:cs="Calibri"/>
          <w:color w:val="000000"/>
          <w:lang w:eastAsia="pl-PL"/>
        </w:rPr>
        <w:t>7</w:t>
      </w:r>
      <w:r w:rsidRPr="00C316EA">
        <w:rPr>
          <w:rFonts w:eastAsia="Times New Roman" w:cs="Calibri"/>
          <w:color w:val="000000"/>
          <w:lang w:eastAsia="pl-PL"/>
        </w:rPr>
        <w:t xml:space="preserve"> </w:t>
      </w:r>
      <w:r>
        <w:rPr>
          <w:rFonts w:eastAsia="Times New Roman" w:cs="Calibri"/>
          <w:color w:val="000000"/>
          <w:lang w:eastAsia="pl-PL"/>
        </w:rPr>
        <w:t>czerwca</w:t>
      </w:r>
      <w:r w:rsidRPr="00C316EA">
        <w:rPr>
          <w:rFonts w:eastAsia="Times New Roman" w:cs="Calibri"/>
          <w:color w:val="000000"/>
          <w:lang w:eastAsia="pl-PL"/>
        </w:rPr>
        <w:t xml:space="preserve"> 2021 r. (spotkanie konsultacyjne </w:t>
      </w:r>
      <w:r>
        <w:rPr>
          <w:rFonts w:eastAsia="Times New Roman" w:cs="Calibri"/>
          <w:color w:val="000000"/>
          <w:lang w:eastAsia="pl-PL"/>
        </w:rPr>
        <w:t>Gliwice);</w:t>
      </w:r>
    </w:p>
    <w:p w14:paraId="3B6E4D54" w14:textId="620D1025" w:rsidR="00C316EA" w:rsidRPr="00C316EA" w:rsidRDefault="00C316EA" w:rsidP="00C316EA">
      <w:pPr>
        <w:pStyle w:val="Listapunktowana2"/>
        <w:rPr>
          <w:u w:color="000000"/>
          <w:bdr w:val="nil"/>
        </w:rPr>
      </w:pPr>
      <w:r>
        <w:rPr>
          <w:rFonts w:eastAsia="Times New Roman" w:cs="Calibri"/>
          <w:color w:val="000000"/>
          <w:lang w:eastAsia="pl-PL"/>
        </w:rPr>
        <w:t>22</w:t>
      </w:r>
      <w:r w:rsidRPr="00C316EA">
        <w:rPr>
          <w:rFonts w:eastAsia="Times New Roman" w:cs="Calibri"/>
          <w:color w:val="000000"/>
          <w:lang w:eastAsia="pl-PL"/>
        </w:rPr>
        <w:t xml:space="preserve"> </w:t>
      </w:r>
      <w:r>
        <w:rPr>
          <w:rFonts w:eastAsia="Times New Roman" w:cs="Calibri"/>
          <w:color w:val="000000"/>
          <w:lang w:eastAsia="pl-PL"/>
        </w:rPr>
        <w:t>czerwca</w:t>
      </w:r>
      <w:r w:rsidRPr="00C316EA">
        <w:rPr>
          <w:rFonts w:eastAsia="Times New Roman" w:cs="Calibri"/>
          <w:color w:val="000000"/>
          <w:lang w:eastAsia="pl-PL"/>
        </w:rPr>
        <w:t xml:space="preserve"> 2021 r. (spotkanie konsultacyjne </w:t>
      </w:r>
      <w:r>
        <w:rPr>
          <w:rFonts w:eastAsia="Times New Roman" w:cs="Calibri"/>
          <w:color w:val="000000"/>
          <w:lang w:eastAsia="pl-PL"/>
        </w:rPr>
        <w:t>Wrocław);</w:t>
      </w:r>
    </w:p>
    <w:p w14:paraId="55A7ED45" w14:textId="580C6FD7" w:rsidR="00C316EA" w:rsidRPr="00C316EA" w:rsidRDefault="00C316EA" w:rsidP="00C316EA">
      <w:pPr>
        <w:pStyle w:val="Listapunktowana2"/>
        <w:rPr>
          <w:u w:color="000000"/>
          <w:bdr w:val="nil"/>
        </w:rPr>
      </w:pPr>
      <w:r>
        <w:rPr>
          <w:rFonts w:eastAsia="Times New Roman" w:cs="Calibri"/>
          <w:color w:val="000000"/>
          <w:lang w:eastAsia="pl-PL"/>
        </w:rPr>
        <w:t>2</w:t>
      </w:r>
      <w:r w:rsidRPr="00C316EA">
        <w:rPr>
          <w:rFonts w:eastAsia="Times New Roman" w:cs="Calibri"/>
          <w:color w:val="000000"/>
          <w:lang w:eastAsia="pl-PL"/>
        </w:rPr>
        <w:t xml:space="preserve"> </w:t>
      </w:r>
      <w:r>
        <w:rPr>
          <w:rFonts w:eastAsia="Times New Roman" w:cs="Calibri"/>
          <w:color w:val="000000"/>
          <w:lang w:eastAsia="pl-PL"/>
        </w:rPr>
        <w:t>września</w:t>
      </w:r>
      <w:r w:rsidRPr="00C316EA">
        <w:rPr>
          <w:rFonts w:eastAsia="Times New Roman" w:cs="Calibri"/>
          <w:color w:val="000000"/>
          <w:lang w:eastAsia="pl-PL"/>
        </w:rPr>
        <w:t xml:space="preserve"> 2021 r. (spotkanie konsultacyjne </w:t>
      </w:r>
      <w:r>
        <w:rPr>
          <w:rFonts w:eastAsia="Times New Roman" w:cs="Calibri"/>
          <w:color w:val="000000"/>
          <w:lang w:eastAsia="pl-PL"/>
        </w:rPr>
        <w:t>Bydgoszcz);</w:t>
      </w:r>
    </w:p>
    <w:p w14:paraId="2EA5C59D" w14:textId="3B84B479" w:rsidR="00C316EA" w:rsidRPr="00C316EA" w:rsidRDefault="00C316EA" w:rsidP="00C316EA">
      <w:pPr>
        <w:pStyle w:val="Listapunktowana2"/>
        <w:rPr>
          <w:u w:color="000000"/>
          <w:bdr w:val="nil"/>
        </w:rPr>
      </w:pPr>
      <w:r>
        <w:rPr>
          <w:rFonts w:eastAsia="Times New Roman" w:cs="Calibri"/>
          <w:color w:val="000000"/>
          <w:lang w:eastAsia="pl-PL"/>
        </w:rPr>
        <w:t>7 września</w:t>
      </w:r>
      <w:r w:rsidRPr="00C316EA">
        <w:rPr>
          <w:rFonts w:eastAsia="Times New Roman" w:cs="Calibri"/>
          <w:color w:val="000000"/>
          <w:lang w:eastAsia="pl-PL"/>
        </w:rPr>
        <w:t xml:space="preserve"> 2021 r. (spotkanie konsultacyjne </w:t>
      </w:r>
      <w:r>
        <w:rPr>
          <w:rFonts w:eastAsia="Times New Roman" w:cs="Calibri"/>
          <w:color w:val="000000"/>
          <w:lang w:eastAsia="pl-PL"/>
        </w:rPr>
        <w:t>Poznań);</w:t>
      </w:r>
    </w:p>
    <w:p w14:paraId="4F028499" w14:textId="1D2A43BA" w:rsidR="00C316EA" w:rsidRPr="00C316EA" w:rsidRDefault="00C316EA" w:rsidP="00C316EA">
      <w:pPr>
        <w:pStyle w:val="Listapunktowana2"/>
        <w:rPr>
          <w:u w:color="000000"/>
          <w:bdr w:val="nil"/>
        </w:rPr>
      </w:pPr>
      <w:r>
        <w:rPr>
          <w:rFonts w:eastAsia="Times New Roman" w:cs="Calibri"/>
          <w:color w:val="000000"/>
          <w:lang w:eastAsia="pl-PL"/>
        </w:rPr>
        <w:t>9 września</w:t>
      </w:r>
      <w:r w:rsidRPr="00C316EA">
        <w:rPr>
          <w:rFonts w:eastAsia="Times New Roman" w:cs="Calibri"/>
          <w:color w:val="000000"/>
          <w:lang w:eastAsia="pl-PL"/>
        </w:rPr>
        <w:t xml:space="preserve"> 2021 r. (spotkanie konsultacyjne </w:t>
      </w:r>
      <w:r>
        <w:rPr>
          <w:rFonts w:eastAsia="Times New Roman" w:cs="Calibri"/>
          <w:color w:val="000000"/>
          <w:lang w:eastAsia="pl-PL"/>
        </w:rPr>
        <w:t>Zielona Góra).</w:t>
      </w:r>
    </w:p>
    <w:bookmarkEnd w:id="1051"/>
    <w:p w14:paraId="12258630" w14:textId="77777777" w:rsidR="006964D0" w:rsidRPr="00E11E1F" w:rsidRDefault="006964D0" w:rsidP="006964D0">
      <w:pPr>
        <w:pBdr>
          <w:top w:val="nil"/>
          <w:left w:val="nil"/>
          <w:bottom w:val="nil"/>
          <w:right w:val="nil"/>
          <w:between w:val="nil"/>
          <w:bar w:val="nil"/>
        </w:pBdr>
        <w:suppressAutoHyphens w:val="0"/>
        <w:spacing w:before="0" w:after="160" w:line="259" w:lineRule="auto"/>
        <w:ind w:left="567"/>
        <w:rPr>
          <w:rFonts w:eastAsia="Segoe UI" w:cs="Segoe UI"/>
          <w:color w:val="000000"/>
          <w:u w:color="000000"/>
          <w:bdr w:val="nil"/>
          <w14:textOutline w14:w="12700" w14:cap="flat" w14:cmpd="sng" w14:algn="ctr">
            <w14:noFill/>
            <w14:prstDash w14:val="solid"/>
            <w14:miter w14:lim="400000"/>
          </w14:textOutline>
        </w:rPr>
      </w:pPr>
      <w:r w:rsidRPr="00E11E1F">
        <w:rPr>
          <w:rFonts w:eastAsia="Segoe UI" w:cs="Segoe UI"/>
          <w:color w:val="000000"/>
          <w:u w:color="000000"/>
          <w:bdr w:val="nil"/>
          <w14:textOutline w14:w="12700" w14:cap="flat" w14:cmpd="sng" w14:algn="ctr">
            <w14:noFill/>
            <w14:prstDash w14:val="solid"/>
            <w14:miter w14:lim="400000"/>
          </w14:textOutline>
        </w:rPr>
        <w:t>Wszystkie spotkania, ze względu na pandemię COVID- 19 i związane z tym obostrzenia, odbyły się w formule online.</w:t>
      </w:r>
    </w:p>
    <w:p w14:paraId="44998CD8" w14:textId="77777777" w:rsidR="006964D0" w:rsidRDefault="006964D0" w:rsidP="006964D0">
      <w:pPr>
        <w:pBdr>
          <w:top w:val="nil"/>
          <w:left w:val="nil"/>
          <w:bottom w:val="nil"/>
          <w:right w:val="nil"/>
          <w:between w:val="nil"/>
          <w:bar w:val="nil"/>
        </w:pBdr>
        <w:suppressAutoHyphens w:val="0"/>
        <w:spacing w:before="0" w:after="160" w:line="259" w:lineRule="auto"/>
        <w:ind w:left="567"/>
        <w:rPr>
          <w:rFonts w:eastAsia="Segoe UI" w:cs="Segoe UI"/>
          <w:color w:val="212529"/>
          <w:u w:color="000000"/>
          <w:bdr w:val="nil"/>
          <w14:textOutline w14:w="12700" w14:cap="flat" w14:cmpd="sng" w14:algn="ctr">
            <w14:noFill/>
            <w14:prstDash w14:val="solid"/>
            <w14:miter w14:lim="400000"/>
          </w14:textOutline>
        </w:rPr>
      </w:pPr>
      <w:r w:rsidRPr="00E11E1F">
        <w:rPr>
          <w:rFonts w:eastAsia="Segoe UI" w:cs="Segoe UI"/>
          <w:color w:val="212529"/>
          <w:u w:color="000000"/>
          <w:bdr w:val="nil"/>
          <w14:textOutline w14:w="12700" w14:cap="flat" w14:cmpd="sng" w14:algn="ctr">
            <w14:noFill/>
            <w14:prstDash w14:val="solid"/>
            <w14:miter w14:lim="400000"/>
          </w14:textOutline>
        </w:rPr>
        <w:t>Podczas spotkań konsultacyjnych dostępny był czat umożliwiający zadawanie pytań, na które odpowiedzi udzielali eksperci podczas części dyskusyjnej. W ich gronie znaleźli się</w:t>
      </w:r>
      <w:r>
        <w:rPr>
          <w:rFonts w:eastAsia="Segoe UI" w:cs="Segoe UI"/>
          <w:color w:val="212529"/>
          <w:u w:color="000000"/>
          <w:bdr w:val="nil"/>
          <w14:textOutline w14:w="12700" w14:cap="flat" w14:cmpd="sng" w14:algn="ctr">
            <w14:noFill/>
            <w14:prstDash w14:val="solid"/>
            <w14:miter w14:lim="400000"/>
          </w14:textOutline>
        </w:rPr>
        <w:t xml:space="preserve"> również</w:t>
      </w:r>
      <w:r w:rsidRPr="00E11E1F">
        <w:rPr>
          <w:rFonts w:eastAsia="Segoe UI" w:cs="Segoe UI"/>
          <w:color w:val="212529"/>
          <w:u w:color="000000"/>
          <w:bdr w:val="nil"/>
          <w14:textOutline w14:w="12700" w14:cap="flat" w14:cmpd="sng" w14:algn="ctr">
            <w14:noFill/>
            <w14:prstDash w14:val="solid"/>
            <w14:miter w14:lim="400000"/>
          </w14:textOutline>
        </w:rPr>
        <w:t xml:space="preserve"> przedstawiciel</w:t>
      </w:r>
      <w:r>
        <w:rPr>
          <w:rFonts w:eastAsia="Segoe UI" w:cs="Segoe UI"/>
          <w:color w:val="212529"/>
          <w:u w:color="000000"/>
          <w:bdr w:val="nil"/>
          <w14:textOutline w14:w="12700" w14:cap="flat" w14:cmpd="sng" w14:algn="ctr">
            <w14:noFill/>
            <w14:prstDash w14:val="solid"/>
            <w14:miter w14:lim="400000"/>
          </w14:textOutline>
        </w:rPr>
        <w:t>e</w:t>
      </w:r>
      <w:r w:rsidRPr="00E11E1F">
        <w:rPr>
          <w:rFonts w:eastAsia="Segoe UI" w:cs="Segoe UI"/>
          <w:color w:val="212529"/>
          <w:u w:color="000000"/>
          <w:bdr w:val="nil"/>
          <w14:textOutline w14:w="12700" w14:cap="flat" w14:cmpd="sng" w14:algn="ctr">
            <w14:noFill/>
            <w14:prstDash w14:val="solid"/>
            <w14:miter w14:lim="400000"/>
          </w14:textOutline>
        </w:rPr>
        <w:t xml:space="preserve"> Ministerstwa Infrastruktury, Państwowe</w:t>
      </w:r>
      <w:r>
        <w:rPr>
          <w:rFonts w:eastAsia="Segoe UI" w:cs="Segoe UI"/>
          <w:color w:val="212529"/>
          <w:u w:color="000000"/>
          <w:bdr w:val="nil"/>
          <w14:textOutline w14:w="12700" w14:cap="flat" w14:cmpd="sng" w14:algn="ctr">
            <w14:noFill/>
            <w14:prstDash w14:val="solid"/>
            <w14:miter w14:lim="400000"/>
          </w14:textOutline>
        </w:rPr>
        <w:t>go</w:t>
      </w:r>
      <w:r w:rsidRPr="00E11E1F">
        <w:rPr>
          <w:rFonts w:eastAsia="Segoe UI" w:cs="Segoe UI"/>
          <w:color w:val="212529"/>
          <w:u w:color="000000"/>
          <w:bdr w:val="nil"/>
          <w14:textOutline w14:w="12700" w14:cap="flat" w14:cmpd="sng" w14:algn="ctr">
            <w14:noFill/>
            <w14:prstDash w14:val="solid"/>
            <w14:miter w14:lim="400000"/>
          </w14:textOutline>
        </w:rPr>
        <w:t xml:space="preserve"> Gospodarstw</w:t>
      </w:r>
      <w:r>
        <w:rPr>
          <w:rFonts w:eastAsia="Segoe UI" w:cs="Segoe UI"/>
          <w:color w:val="212529"/>
          <w:u w:color="000000"/>
          <w:bdr w:val="nil"/>
          <w14:textOutline w14:w="12700" w14:cap="flat" w14:cmpd="sng" w14:algn="ctr">
            <w14:noFill/>
            <w14:prstDash w14:val="solid"/>
            <w14:miter w14:lim="400000"/>
          </w14:textOutline>
        </w:rPr>
        <w:t>a Wodnego</w:t>
      </w:r>
      <w:r w:rsidRPr="00E11E1F">
        <w:rPr>
          <w:rFonts w:eastAsia="Segoe UI" w:cs="Segoe UI"/>
          <w:color w:val="212529"/>
          <w:u w:color="000000"/>
          <w:bdr w:val="nil"/>
          <w14:textOutline w14:w="12700" w14:cap="flat" w14:cmpd="sng" w14:algn="ctr">
            <w14:noFill/>
            <w14:prstDash w14:val="solid"/>
            <w14:miter w14:lim="400000"/>
          </w14:textOutline>
        </w:rPr>
        <w:t xml:space="preserve"> Wody Polskie, Dyrekcj</w:t>
      </w:r>
      <w:r>
        <w:rPr>
          <w:rFonts w:eastAsia="Segoe UI" w:cs="Segoe UI"/>
          <w:color w:val="212529"/>
          <w:u w:color="000000"/>
          <w:bdr w:val="nil"/>
          <w14:textOutline w14:w="12700" w14:cap="flat" w14:cmpd="sng" w14:algn="ctr">
            <w14:noFill/>
            <w14:prstDash w14:val="solid"/>
            <w14:miter w14:lim="400000"/>
          </w14:textOutline>
        </w:rPr>
        <w:t>i</w:t>
      </w:r>
      <w:r w:rsidRPr="00E11E1F">
        <w:rPr>
          <w:rFonts w:eastAsia="Segoe UI" w:cs="Segoe UI"/>
          <w:color w:val="212529"/>
          <w:u w:color="000000"/>
          <w:bdr w:val="nil"/>
          <w14:textOutline w14:w="12700" w14:cap="flat" w14:cmpd="sng" w14:algn="ctr">
            <w14:noFill/>
            <w14:prstDash w14:val="solid"/>
            <w14:miter w14:lim="400000"/>
          </w14:textOutline>
        </w:rPr>
        <w:t xml:space="preserve"> właściwego Regionalnego Zarządu Gospodarki Wodnej. </w:t>
      </w:r>
    </w:p>
    <w:p w14:paraId="51BD1727" w14:textId="77777777" w:rsidR="006964D0" w:rsidRPr="002C59A6" w:rsidRDefault="006964D0" w:rsidP="006964D0">
      <w:pPr>
        <w:pBdr>
          <w:top w:val="nil"/>
          <w:left w:val="nil"/>
          <w:bottom w:val="nil"/>
          <w:right w:val="nil"/>
          <w:between w:val="nil"/>
          <w:bar w:val="nil"/>
        </w:pBdr>
        <w:suppressAutoHyphens w:val="0"/>
        <w:spacing w:before="0" w:after="160" w:line="259" w:lineRule="auto"/>
        <w:ind w:left="567"/>
        <w:rPr>
          <w:rFonts w:eastAsia="Segoe UI" w:cs="Segoe UI"/>
          <w:color w:val="212529"/>
          <w:u w:color="000000"/>
          <w:bdr w:val="nil"/>
          <w14:textOutline w14:w="12700" w14:cap="flat" w14:cmpd="sng" w14:algn="ctr">
            <w14:noFill/>
            <w14:prstDash w14:val="solid"/>
            <w14:miter w14:lim="400000"/>
          </w14:textOutline>
        </w:rPr>
      </w:pPr>
      <w:r>
        <w:rPr>
          <w:rFonts w:eastAsia="Segoe UI" w:cs="Segoe UI"/>
          <w:color w:val="212529"/>
          <w:u w:color="000000"/>
          <w:bdr w:val="nil"/>
          <w14:textOutline w14:w="12700" w14:cap="flat" w14:cmpd="sng" w14:algn="ctr">
            <w14:noFill/>
            <w14:prstDash w14:val="solid"/>
            <w14:miter w14:lim="400000"/>
          </w14:textOutline>
        </w:rPr>
        <w:t xml:space="preserve">Wszystkie zgłoszone podczas spotkań konsultacyjnych pytania, uwagi zostały uwzględnione </w:t>
      </w:r>
      <w:r>
        <w:rPr>
          <w:rFonts w:eastAsia="Segoe UI" w:cs="Segoe UI"/>
          <w:color w:val="212529"/>
          <w:u w:color="000000"/>
          <w:bdr w:val="nil"/>
          <w14:textOutline w14:w="12700" w14:cap="flat" w14:cmpd="sng" w14:algn="ctr">
            <w14:noFill/>
            <w14:prstDash w14:val="solid"/>
            <w14:miter w14:lim="400000"/>
          </w14:textOutline>
        </w:rPr>
        <w:br/>
        <w:t>w zestawieniu uwag i wniosków z konsultacji społecznych.</w:t>
      </w:r>
    </w:p>
    <w:p w14:paraId="5E2E2775" w14:textId="77777777" w:rsidR="006964D0" w:rsidRDefault="006964D0" w:rsidP="006964D0">
      <w:pPr>
        <w:widowControl w:val="0"/>
        <w:autoSpaceDE w:val="0"/>
        <w:autoSpaceDN w:val="0"/>
        <w:adjustRightInd w:val="0"/>
        <w:ind w:left="1"/>
      </w:pPr>
      <w:r>
        <w:t xml:space="preserve">Wszelkie informacje dotyczące podejmowanych działań konsultacyjnych zamieszczono na stronie internetowej </w:t>
      </w:r>
      <w:hyperlink r:id="rId160" w:history="1">
        <w:r>
          <w:rPr>
            <w:rStyle w:val="Hipercze"/>
            <w:rFonts w:asciiTheme="minorHAnsi" w:eastAsiaTheme="minorHAnsi" w:hAnsiTheme="minorHAnsi" w:cstheme="minorHAnsi"/>
          </w:rPr>
          <w:t>www.apgw.gov.pl</w:t>
        </w:r>
      </w:hyperlink>
      <w:r w:rsidRPr="00821B28">
        <w:t xml:space="preserve">, </w:t>
      </w:r>
      <w:hyperlink r:id="rId161" w:history="1">
        <w:r w:rsidRPr="0087476C">
          <w:rPr>
            <w:rStyle w:val="Hipercze"/>
            <w:rFonts w:asciiTheme="minorHAnsi" w:eastAsiaTheme="minorHAnsi" w:hAnsiTheme="minorHAnsi" w:cstheme="minorHAnsi"/>
          </w:rPr>
          <w:t>www.gov.pl/web/infrastruktura</w:t>
        </w:r>
      </w:hyperlink>
      <w:r w:rsidRPr="00B573C3">
        <w:t>.</w:t>
      </w:r>
    </w:p>
    <w:p w14:paraId="2BAC89BF" w14:textId="3C8FB584" w:rsidR="006964D0" w:rsidRDefault="006964D0" w:rsidP="006964D0">
      <w:r>
        <w:t xml:space="preserve">Dodatkowo plany gospodarowania wodami na obszarach dorzeczy – jako </w:t>
      </w:r>
      <w:r>
        <w:rPr>
          <w:shd w:val="clear" w:color="auto" w:fill="FFFFFF"/>
        </w:rPr>
        <w:t>dokumenty wyznaczające ramy dla późniejszej realizacji przedsięwzięć mogących znacząco oddziaływać na środowisko</w:t>
      </w:r>
      <w:r>
        <w:t xml:space="preserve"> – wymagają przeprowadzenia SOOŚ, zgodnie z art. 46 u.i.o.ś. Za przeprowadzenie SOOŚ odpowiada organ przygotowujący projekt dokumentu – IIaPGW, tj. Prezes PGW WP.</w:t>
      </w:r>
    </w:p>
    <w:p w14:paraId="152D40DA" w14:textId="703367BC" w:rsidR="006964D0" w:rsidRDefault="006964D0" w:rsidP="006964D0">
      <w:r>
        <w:t>Celem strategicznej oceny oddziaływania na środowisko, której elementem jest Prognoza oddziaływania na środowisko (dalej Prognoza OOŚ), jest ocena środowiskowych skutków realizacji ocenianego dokumentu, tj. projektu IIaPGW. Ocena potencjalnego wpływu realizacji postanowień dokumentu – z uwzględnieniem zarówno negatywnych, jak i pozytywnych oddziaływań –dotyczy poszczególnych komponentów środowiska. Analizie i ocenie poddawana jest również spójność projektów IIaPGW z dokumentami strategicznymi i planistycznymi odnoszącymi się do środowiska, obowiązującymi zarówno na szczeblu krajowym, jak i unijnym. Zgodnie z obowiązującymi przepisami w Prognozie OOŚ prezentowane są również wnioski w zakresie analizy oddziaływań transgranicznych oraz skumulowanych. Prognoza OOŚ zawiera działania mające na celu zapobieganie, ograniczenie lub kompensację przyrodniczą negatywnych oddziaływań na środowisko mogących być rezultatem realizacji projektu IIaPGW, w szczególności na cele i przedmioty ochrony obszarów Natura 2000 oraz integralność tych obszarów</w:t>
      </w:r>
      <w:r w:rsidRPr="00FD52C7">
        <w:rPr>
          <w:rStyle w:val="Odwoanieprzypisudolnego"/>
          <w:rFonts w:cs="Arial"/>
        </w:rPr>
        <w:footnoteReference w:id="119"/>
      </w:r>
      <w:r>
        <w:t>.</w:t>
      </w:r>
    </w:p>
    <w:p w14:paraId="041DA438" w14:textId="77777777" w:rsidR="006964D0" w:rsidRDefault="006964D0" w:rsidP="006964D0">
      <w:pPr>
        <w:rPr>
          <w:rFonts w:ascii="Times New Roman" w:hAnsi="Times New Roman"/>
          <w:sz w:val="24"/>
          <w:szCs w:val="24"/>
        </w:rPr>
      </w:pPr>
      <w:r w:rsidRPr="00795F17">
        <w:t>Prognoza OOŚ zosta</w:t>
      </w:r>
      <w:r>
        <w:t xml:space="preserve">je </w:t>
      </w:r>
      <w:r w:rsidRPr="00795F17">
        <w:t xml:space="preserve">podana do publicznej wiadomości w ramach przeprowadzanych zgodnie z wymogami u.i.o.ś. konsultacji społecznych </w:t>
      </w:r>
      <w:r>
        <w:t xml:space="preserve">w ramach </w:t>
      </w:r>
      <w:r w:rsidRPr="00795F17">
        <w:t xml:space="preserve">strategicznej oceny oddziaływania na środowisko. </w:t>
      </w:r>
      <w:r>
        <w:t xml:space="preserve">Zgłoszone uwagi i wnioski zostaną rozpatrzone przed przyjęciem </w:t>
      </w:r>
      <w:r w:rsidRPr="00795F17">
        <w:t>IIaPGW</w:t>
      </w:r>
      <w:r>
        <w:t>.</w:t>
      </w:r>
      <w:r>
        <w:rPr>
          <w:rFonts w:ascii="Times New Roman" w:hAnsi="Times New Roman"/>
          <w:sz w:val="24"/>
          <w:szCs w:val="24"/>
        </w:rPr>
        <w:t xml:space="preserve"> </w:t>
      </w:r>
    </w:p>
    <w:p w14:paraId="0031B497" w14:textId="126EED47" w:rsidR="006964D0" w:rsidRDefault="006964D0" w:rsidP="006964D0">
      <w:r>
        <w:t xml:space="preserve">Postępowanie w sprawie SOOŚ projektu IIaPGW na obszarze dorzecza </w:t>
      </w:r>
      <w:r w:rsidR="00253392">
        <w:t>Odry</w:t>
      </w:r>
      <w:r>
        <w:t xml:space="preserve"> obejmowało:</w:t>
      </w:r>
    </w:p>
    <w:p w14:paraId="0DE9B9D5" w14:textId="77777777" w:rsidR="006964D0" w:rsidRPr="00BC1EF1" w:rsidRDefault="006964D0" w:rsidP="006964D0">
      <w:pPr>
        <w:pStyle w:val="P1"/>
      </w:pPr>
      <w:r w:rsidRPr="00EC11EB">
        <w:rPr>
          <w:rFonts w:eastAsiaTheme="minorEastAsia"/>
        </w:rPr>
        <w:t>uzgodnienie stanowiska w sprawie zakresu i stopnia szczegółowości informacji wymaganych w</w:t>
      </w:r>
      <w:r>
        <w:rPr>
          <w:rFonts w:eastAsiaTheme="minorEastAsia"/>
        </w:rPr>
        <w:t> </w:t>
      </w:r>
      <w:r w:rsidRPr="00EC11EB">
        <w:rPr>
          <w:rFonts w:eastAsiaTheme="minorEastAsia"/>
        </w:rPr>
        <w:t xml:space="preserve">prognozie oddziaływania na </w:t>
      </w:r>
      <w:r>
        <w:rPr>
          <w:rFonts w:eastAsiaTheme="minorEastAsia"/>
        </w:rPr>
        <w:t>środowisko,</w:t>
      </w:r>
    </w:p>
    <w:p w14:paraId="5A8AE3F7" w14:textId="77777777" w:rsidR="006964D0" w:rsidRPr="00F44168" w:rsidRDefault="006964D0" w:rsidP="006964D0">
      <w:pPr>
        <w:pStyle w:val="P1"/>
      </w:pPr>
      <w:r>
        <w:rPr>
          <w:rFonts w:eastAsiaTheme="minorEastAsia"/>
        </w:rPr>
        <w:t>s</w:t>
      </w:r>
      <w:r w:rsidRPr="009016A3">
        <w:rPr>
          <w:rFonts w:eastAsiaTheme="minorEastAsia"/>
        </w:rPr>
        <w:t>porządzenie prognozy oddziaływania na środowisko</w:t>
      </w:r>
      <w:r>
        <w:rPr>
          <w:rFonts w:eastAsiaTheme="minorEastAsia"/>
        </w:rPr>
        <w:t>,</w:t>
      </w:r>
    </w:p>
    <w:p w14:paraId="1D585CCC" w14:textId="77777777" w:rsidR="006964D0" w:rsidRPr="00090AD7" w:rsidRDefault="006964D0" w:rsidP="006964D0">
      <w:pPr>
        <w:pStyle w:val="P1"/>
      </w:pPr>
      <w:r>
        <w:rPr>
          <w:rFonts w:eastAsia="Roboto"/>
        </w:rPr>
        <w:t>o</w:t>
      </w:r>
      <w:r w:rsidRPr="00090AD7">
        <w:rPr>
          <w:rFonts w:eastAsia="Roboto"/>
        </w:rPr>
        <w:t>piniowanie projektu IIaPGW wraz z prognozą przez organy administracji - u</w:t>
      </w:r>
      <w:r w:rsidRPr="00090AD7">
        <w:rPr>
          <w:rFonts w:eastAsiaTheme="minorEastAsia"/>
        </w:rPr>
        <w:t>zyskano opinie:</w:t>
      </w:r>
    </w:p>
    <w:p w14:paraId="5521506F" w14:textId="7F1F8EE1" w:rsidR="00580D00" w:rsidRPr="00A21635" w:rsidRDefault="00580D00" w:rsidP="00580D00">
      <w:pPr>
        <w:pStyle w:val="P2"/>
        <w:spacing w:before="80" w:after="80" w:line="264" w:lineRule="auto"/>
        <w:contextualSpacing w:val="0"/>
        <w:rPr>
          <w:rFonts w:asciiTheme="minorHAnsi" w:hAnsiTheme="minorHAnsi" w:cstheme="minorHAnsi"/>
        </w:rPr>
      </w:pPr>
      <w:r w:rsidRPr="00A21635">
        <w:rPr>
          <w:rFonts w:asciiTheme="minorHAnsi" w:hAnsiTheme="minorHAnsi" w:cstheme="minorHAnsi"/>
        </w:rPr>
        <w:t xml:space="preserve">Generalnego Dyrektora Ochrony Środowiska w Warszawie (opinia z dnia 16.11.2021 </w:t>
      </w:r>
      <w:r w:rsidRPr="00A21635">
        <w:rPr>
          <w:rFonts w:asciiTheme="minorHAnsi" w:hAnsiTheme="minorHAnsi" w:cstheme="minorHAnsi"/>
          <w:lang w:eastAsia="pl-PL"/>
        </w:rPr>
        <w:t>r.</w:t>
      </w:r>
      <w:r w:rsidRPr="00A21635">
        <w:rPr>
          <w:rFonts w:asciiTheme="minorHAnsi" w:hAnsiTheme="minorHAnsi" w:cstheme="minorHAnsi"/>
        </w:rPr>
        <w:t>),</w:t>
      </w:r>
    </w:p>
    <w:p w14:paraId="7A17A7A9" w14:textId="78B94A0B" w:rsidR="00580D00" w:rsidRPr="00A21635" w:rsidRDefault="00580D00" w:rsidP="00580D00">
      <w:pPr>
        <w:pStyle w:val="P2"/>
        <w:spacing w:before="80" w:after="80" w:line="264" w:lineRule="auto"/>
        <w:contextualSpacing w:val="0"/>
        <w:rPr>
          <w:rFonts w:asciiTheme="minorHAnsi" w:hAnsiTheme="minorHAnsi" w:cstheme="minorHAnsi"/>
        </w:rPr>
      </w:pPr>
      <w:r w:rsidRPr="00A21635">
        <w:rPr>
          <w:rFonts w:asciiTheme="minorHAnsi" w:hAnsiTheme="minorHAnsi" w:cstheme="minorHAnsi"/>
        </w:rPr>
        <w:t>Głównego Inspektora Sanitarnego w Warszawie (opinia</w:t>
      </w:r>
      <w:r w:rsidR="00D66C58">
        <w:rPr>
          <w:rFonts w:asciiTheme="minorHAnsi" w:hAnsiTheme="minorHAnsi" w:cstheme="minorHAnsi"/>
        </w:rPr>
        <w:t xml:space="preserve"> </w:t>
      </w:r>
      <w:r w:rsidRPr="00A21635">
        <w:rPr>
          <w:rFonts w:asciiTheme="minorHAnsi" w:hAnsiTheme="minorHAnsi" w:cstheme="minorHAnsi"/>
        </w:rPr>
        <w:t>z dnia 2.11.2021 r.),</w:t>
      </w:r>
    </w:p>
    <w:p w14:paraId="7887E977" w14:textId="775A6F05" w:rsidR="00580D00" w:rsidRPr="00A21635" w:rsidRDefault="00580D00" w:rsidP="00580D00">
      <w:pPr>
        <w:pStyle w:val="P2"/>
        <w:spacing w:before="80" w:after="80" w:line="264" w:lineRule="auto"/>
        <w:contextualSpacing w:val="0"/>
        <w:rPr>
          <w:rFonts w:asciiTheme="minorHAnsi" w:hAnsiTheme="minorHAnsi" w:cstheme="minorHAnsi"/>
        </w:rPr>
      </w:pPr>
      <w:r w:rsidRPr="00A21635">
        <w:rPr>
          <w:rFonts w:asciiTheme="minorHAnsi" w:hAnsiTheme="minorHAnsi" w:cstheme="minorHAnsi"/>
        </w:rPr>
        <w:t>Dyrektora Urzędu Morskiego w Szczecinie (opinia</w:t>
      </w:r>
      <w:r w:rsidR="00D66C58">
        <w:rPr>
          <w:rFonts w:asciiTheme="minorHAnsi" w:hAnsiTheme="minorHAnsi" w:cstheme="minorHAnsi"/>
        </w:rPr>
        <w:t xml:space="preserve"> </w:t>
      </w:r>
      <w:r w:rsidRPr="00A21635">
        <w:rPr>
          <w:rFonts w:asciiTheme="minorHAnsi" w:hAnsiTheme="minorHAnsi" w:cstheme="minorHAnsi"/>
        </w:rPr>
        <w:t>z dnia 27.10.2021 r.),</w:t>
      </w:r>
    </w:p>
    <w:p w14:paraId="111469CD" w14:textId="636209BA" w:rsidR="00580D00" w:rsidRPr="00A21635" w:rsidRDefault="00580D00" w:rsidP="00580D00">
      <w:pPr>
        <w:pStyle w:val="P2"/>
        <w:spacing w:before="80" w:after="80" w:line="264" w:lineRule="auto"/>
        <w:contextualSpacing w:val="0"/>
        <w:rPr>
          <w:rFonts w:asciiTheme="minorHAnsi" w:hAnsiTheme="minorHAnsi" w:cstheme="minorHAnsi"/>
        </w:rPr>
      </w:pPr>
      <w:r w:rsidRPr="00A21635">
        <w:rPr>
          <w:rFonts w:asciiTheme="minorHAnsi" w:hAnsiTheme="minorHAnsi" w:cstheme="minorHAnsi"/>
        </w:rPr>
        <w:t>Dyrektora Urzędu Morskiego w Gdyni (opinia z dnia 5 listopada 2021 r.),</w:t>
      </w:r>
    </w:p>
    <w:p w14:paraId="5CD7EF2D" w14:textId="77777777" w:rsidR="006964D0" w:rsidRPr="00090AD7" w:rsidRDefault="006964D0" w:rsidP="006964D0">
      <w:pPr>
        <w:pStyle w:val="P1"/>
      </w:pPr>
      <w:r>
        <w:rPr>
          <w:rFonts w:eastAsiaTheme="minorEastAsia"/>
        </w:rPr>
        <w:t>z</w:t>
      </w:r>
      <w:r w:rsidRPr="00090AD7">
        <w:rPr>
          <w:rFonts w:eastAsiaTheme="minorEastAsia"/>
        </w:rPr>
        <w:t>apewni</w:t>
      </w:r>
      <w:r>
        <w:rPr>
          <w:rFonts w:eastAsiaTheme="minorEastAsia"/>
        </w:rPr>
        <w:t>enie</w:t>
      </w:r>
      <w:r w:rsidRPr="00090AD7">
        <w:rPr>
          <w:rFonts w:eastAsiaTheme="minorEastAsia"/>
        </w:rPr>
        <w:t xml:space="preserve"> możliwoś</w:t>
      </w:r>
      <w:r>
        <w:rPr>
          <w:rFonts w:eastAsiaTheme="minorEastAsia"/>
        </w:rPr>
        <w:t>ci</w:t>
      </w:r>
      <w:r w:rsidRPr="00090AD7">
        <w:rPr>
          <w:rFonts w:eastAsiaTheme="minorEastAsia"/>
        </w:rPr>
        <w:t xml:space="preserve"> udziału społeczeństwa w postępowaniu:</w:t>
      </w:r>
    </w:p>
    <w:p w14:paraId="62FF80B0" w14:textId="77777777" w:rsidR="006964D0" w:rsidRPr="007A0CE1" w:rsidRDefault="006964D0" w:rsidP="006964D0">
      <w:pPr>
        <w:pStyle w:val="P2"/>
        <w:tabs>
          <w:tab w:val="num" w:pos="360"/>
        </w:tabs>
        <w:spacing w:before="80" w:after="80" w:line="264" w:lineRule="auto"/>
        <w:contextualSpacing w:val="0"/>
        <w:rPr>
          <w:rFonts w:asciiTheme="minorHAnsi" w:hAnsiTheme="minorHAnsi" w:cstheme="minorHAnsi"/>
        </w:rPr>
      </w:pPr>
      <w:r w:rsidRPr="007A0CE1">
        <w:rPr>
          <w:rFonts w:asciiTheme="minorHAnsi" w:hAnsiTheme="minorHAnsi" w:cstheme="minorHAnsi"/>
        </w:rPr>
        <w:t>informacja o konsultacjach społecznych została zamieszczona na dedykowanej stronie internetowej oraz w prasie,</w:t>
      </w:r>
    </w:p>
    <w:p w14:paraId="7EF8DCFD" w14:textId="431C089A" w:rsidR="006964D0" w:rsidRPr="007A0CE1" w:rsidRDefault="006964D0" w:rsidP="006964D0">
      <w:pPr>
        <w:pStyle w:val="P2"/>
        <w:tabs>
          <w:tab w:val="num" w:pos="360"/>
        </w:tabs>
        <w:spacing w:before="80" w:after="80" w:line="264" w:lineRule="auto"/>
        <w:contextualSpacing w:val="0"/>
        <w:rPr>
          <w:rFonts w:asciiTheme="minorHAnsi" w:hAnsiTheme="minorHAnsi" w:cstheme="minorHAnsi"/>
        </w:rPr>
      </w:pPr>
      <w:r w:rsidRPr="007A0CE1">
        <w:rPr>
          <w:rFonts w:asciiTheme="minorHAnsi" w:hAnsiTheme="minorHAnsi" w:cstheme="minorHAnsi"/>
        </w:rPr>
        <w:t xml:space="preserve">konsultacje społeczne projektu IIaPGW na obszarze dorzecza </w:t>
      </w:r>
      <w:r w:rsidR="00A21635">
        <w:rPr>
          <w:rFonts w:asciiTheme="minorHAnsi" w:hAnsiTheme="minorHAnsi" w:cstheme="minorHAnsi"/>
        </w:rPr>
        <w:t>Odry</w:t>
      </w:r>
      <w:r w:rsidRPr="007A0CE1">
        <w:rPr>
          <w:rFonts w:asciiTheme="minorHAnsi" w:hAnsiTheme="minorHAnsi" w:cstheme="minorHAnsi"/>
        </w:rPr>
        <w:t xml:space="preserve"> wraz z prognozą przeprowadzono w </w:t>
      </w:r>
      <w:r w:rsidR="00615A74">
        <w:rPr>
          <w:rFonts w:asciiTheme="minorHAnsi" w:hAnsiTheme="minorHAnsi" w:cstheme="minorHAnsi"/>
        </w:rPr>
        <w:t>okresie</w:t>
      </w:r>
      <w:r w:rsidR="00615A74" w:rsidRPr="007A0CE1">
        <w:rPr>
          <w:rFonts w:asciiTheme="minorHAnsi" w:hAnsiTheme="minorHAnsi" w:cstheme="minorHAnsi"/>
        </w:rPr>
        <w:t xml:space="preserve"> </w:t>
      </w:r>
      <w:r w:rsidRPr="007A0CE1">
        <w:rPr>
          <w:rFonts w:asciiTheme="minorHAnsi" w:hAnsiTheme="minorHAnsi" w:cstheme="minorHAnsi"/>
        </w:rPr>
        <w:t>od 30.09.2021 r. do 20.10.2021 r.,</w:t>
      </w:r>
    </w:p>
    <w:p w14:paraId="2C42DC2F" w14:textId="7144793A" w:rsidR="006964D0" w:rsidRPr="007A0CE1" w:rsidRDefault="006964D0" w:rsidP="006964D0">
      <w:pPr>
        <w:pStyle w:val="P2"/>
        <w:tabs>
          <w:tab w:val="num" w:pos="360"/>
        </w:tabs>
        <w:spacing w:before="80" w:after="80" w:line="264" w:lineRule="auto"/>
        <w:contextualSpacing w:val="0"/>
        <w:rPr>
          <w:rFonts w:asciiTheme="minorHAnsi" w:hAnsiTheme="minorHAnsi" w:cstheme="minorHAnsi"/>
        </w:rPr>
      </w:pPr>
      <w:r w:rsidRPr="007A0CE1">
        <w:rPr>
          <w:rFonts w:asciiTheme="minorHAnsi" w:hAnsiTheme="minorHAnsi" w:cstheme="minorHAnsi"/>
        </w:rPr>
        <w:t xml:space="preserve">dostęp do projektu IIaPGW na obszarze dorzecza </w:t>
      </w:r>
      <w:r w:rsidR="00A21635">
        <w:rPr>
          <w:rFonts w:asciiTheme="minorHAnsi" w:hAnsiTheme="minorHAnsi" w:cstheme="minorHAnsi"/>
        </w:rPr>
        <w:t>Odry</w:t>
      </w:r>
      <w:r w:rsidRPr="007A0CE1">
        <w:rPr>
          <w:rFonts w:asciiTheme="minorHAnsi" w:hAnsiTheme="minorHAnsi" w:cstheme="minorHAnsi"/>
        </w:rPr>
        <w:t xml:space="preserve"> wraz z prognozą zapewniono poprzez stronę internetową </w:t>
      </w:r>
      <w:hyperlink w:history="1">
        <w:r w:rsidRPr="00464307">
          <w:rPr>
            <w:rFonts w:asciiTheme="minorHAnsi" w:hAnsiTheme="minorHAnsi" w:cstheme="minorHAnsi"/>
          </w:rPr>
          <w:t xml:space="preserve">www.apgw.gov.pl </w:t>
        </w:r>
      </w:hyperlink>
      <w:r w:rsidRPr="007A0CE1">
        <w:rPr>
          <w:rFonts w:asciiTheme="minorHAnsi" w:hAnsiTheme="minorHAnsi" w:cstheme="minorHAnsi"/>
        </w:rPr>
        <w:t>oraz wyłożenie dokumentów w siedzibie PGW WP,</w:t>
      </w:r>
    </w:p>
    <w:p w14:paraId="1C05BDBC" w14:textId="2582C23B" w:rsidR="006964D0" w:rsidRPr="007A0CE1" w:rsidRDefault="006964D0" w:rsidP="006964D0">
      <w:pPr>
        <w:pStyle w:val="P2"/>
        <w:numPr>
          <w:ilvl w:val="0"/>
          <w:numId w:val="0"/>
        </w:numPr>
        <w:spacing w:before="80" w:after="80" w:line="264" w:lineRule="auto"/>
        <w:contextualSpacing w:val="0"/>
        <w:rPr>
          <w:rFonts w:asciiTheme="minorHAnsi" w:hAnsiTheme="minorHAnsi" w:cstheme="minorBidi"/>
        </w:rPr>
      </w:pPr>
      <w:r w:rsidRPr="13E86A7C">
        <w:rPr>
          <w:rFonts w:asciiTheme="minorHAnsi" w:hAnsiTheme="minorHAnsi" w:cstheme="minorBidi"/>
        </w:rPr>
        <w:t>U</w:t>
      </w:r>
      <w:r w:rsidRPr="007A0CE1">
        <w:rPr>
          <w:rFonts w:asciiTheme="minorHAnsi" w:hAnsiTheme="minorHAnsi" w:cstheme="minorBidi"/>
        </w:rPr>
        <w:t xml:space="preserve">wagi i wnioski można było składać poprzez formularz zgłaszania uwag na dedykowanej stronie internetowej, przesłać na wskazany adres mailowy, pisemnie pocztą oraz ustnie do protokołu. Łącznie </w:t>
      </w:r>
      <w:r w:rsidRPr="0036762B">
        <w:rPr>
          <w:rFonts w:asciiTheme="minorHAnsi" w:hAnsiTheme="minorHAnsi" w:cstheme="minorBidi"/>
        </w:rPr>
        <w:t>wpłynęło 1</w:t>
      </w:r>
      <w:r w:rsidR="00A21635" w:rsidRPr="0036762B">
        <w:rPr>
          <w:rFonts w:asciiTheme="minorHAnsi" w:hAnsiTheme="minorHAnsi" w:cstheme="minorBidi"/>
        </w:rPr>
        <w:t>2</w:t>
      </w:r>
      <w:r w:rsidRPr="0036762B">
        <w:rPr>
          <w:rFonts w:asciiTheme="minorHAnsi" w:hAnsiTheme="minorHAnsi" w:cstheme="minorBidi"/>
        </w:rPr>
        <w:t xml:space="preserve">7 uwag i wniosków dotyczących: projektu IIaPGW, prognozy oraz SOOŚ. Wszystkie zgłoszone uwagi i wnioski zostały zgodnie z art. 42 </w:t>
      </w:r>
      <w:r w:rsidR="00810280">
        <w:rPr>
          <w:rFonts w:asciiTheme="minorHAnsi" w:hAnsiTheme="minorHAnsi" w:cstheme="minorBidi"/>
        </w:rPr>
        <w:t>u.i.o.ś.</w:t>
      </w:r>
      <w:r w:rsidRPr="0036762B">
        <w:rPr>
          <w:rFonts w:asciiTheme="minorHAnsi" w:hAnsiTheme="minorHAnsi" w:cstheme="minorBidi"/>
        </w:rPr>
        <w:t xml:space="preserve"> rozpatrzone przez organ opracowujący projekt IIaPGW – PGW WP, sporządzono zestawienie zebranych uwag i wniosków. Każda została opatrzona komentarzem w zakresie oceny zasadności i sposobu jej uwzględnienia lub nieuwzględnienia, w przypadku uwag i wniosków częściowo uwzględnionych lub nieuwzględnionych, zostało podane uzasadnienie takiej decyzji.</w:t>
      </w:r>
      <w:r w:rsidRPr="13E86A7C">
        <w:rPr>
          <w:rFonts w:asciiTheme="minorHAnsi" w:hAnsiTheme="minorHAnsi" w:cstheme="minorBidi"/>
        </w:rPr>
        <w:t xml:space="preserve"> </w:t>
      </w:r>
    </w:p>
    <w:p w14:paraId="234C93CA" w14:textId="24621373" w:rsidR="006964D0" w:rsidRPr="00090AD7" w:rsidRDefault="006964D0" w:rsidP="006964D0">
      <w:pPr>
        <w:pStyle w:val="P1"/>
        <w:numPr>
          <w:ilvl w:val="0"/>
          <w:numId w:val="0"/>
        </w:numPr>
      </w:pPr>
      <w:r>
        <w:t>Z</w:t>
      </w:r>
      <w:r w:rsidRPr="002144F3">
        <w:t>go</w:t>
      </w:r>
      <w:r>
        <w:t xml:space="preserve">dnie z </w:t>
      </w:r>
      <w:r w:rsidRPr="00531C4F">
        <w:t xml:space="preserve">art. 55 </w:t>
      </w:r>
      <w:r w:rsidR="00810280">
        <w:rPr>
          <w:rFonts w:cstheme="minorBidi"/>
        </w:rPr>
        <w:t>u.i.o.ś.</w:t>
      </w:r>
      <w:r w:rsidRPr="00531C4F">
        <w:t xml:space="preserve">, </w:t>
      </w:r>
      <w:r>
        <w:t xml:space="preserve">przed przyjęciem dokumentu organ administracji bierze pod uwagę </w:t>
      </w:r>
      <w:r w:rsidRPr="00531C4F">
        <w:t xml:space="preserve">ustalenia zawarte w </w:t>
      </w:r>
      <w:r>
        <w:t>prognozie</w:t>
      </w:r>
      <w:r w:rsidRPr="00531C4F">
        <w:t>, opinie organów oraz uwagi i wnioski zgłoszone w ramach konsultacji społecznych</w:t>
      </w:r>
      <w:r>
        <w:t xml:space="preserve">. </w:t>
      </w:r>
    </w:p>
    <w:p w14:paraId="09382B17" w14:textId="4A0EEC43" w:rsidR="00D32E0C" w:rsidRPr="00795F17" w:rsidRDefault="006964D0" w:rsidP="006964D0">
      <w:r>
        <w:rPr>
          <w:rFonts w:eastAsia="Segoe UI" w:cs="Segoe UI"/>
          <w:color w:val="000000"/>
          <w:u w:color="000000"/>
          <w:bdr w:val="nil"/>
          <w:lang w:val="da-DK"/>
        </w:rPr>
        <w:t xml:space="preserve">Dodatkowo zorganizowana została </w:t>
      </w:r>
      <w:r w:rsidRPr="00E11E1F">
        <w:rPr>
          <w:rFonts w:eastAsia="Segoe UI" w:cs="Segoe UI"/>
          <w:color w:val="000000"/>
          <w:u w:color="000000"/>
          <w:bdr w:val="nil"/>
        </w:rPr>
        <w:t>w dniach 17-18.11.2021 w Warszawie</w:t>
      </w:r>
      <w:r>
        <w:rPr>
          <w:rFonts w:eastAsia="Segoe UI" w:cs="Segoe UI"/>
          <w:color w:val="000000"/>
          <w:u w:color="000000"/>
          <w:bdr w:val="nil"/>
          <w:lang w:val="da-DK"/>
        </w:rPr>
        <w:t xml:space="preserve"> o</w:t>
      </w:r>
      <w:r w:rsidRPr="00E11E1F">
        <w:rPr>
          <w:rFonts w:eastAsia="Segoe UI" w:cs="Segoe UI"/>
          <w:color w:val="000000"/>
          <w:u w:color="000000"/>
          <w:bdr w:val="nil"/>
          <w:lang w:val="da-DK"/>
        </w:rPr>
        <w:t>g</w:t>
      </w:r>
      <w:r w:rsidRPr="00E11E1F">
        <w:rPr>
          <w:rFonts w:eastAsia="Segoe UI" w:cs="Segoe UI"/>
          <w:color w:val="000000"/>
          <w:u w:color="000000"/>
          <w:bdr w:val="nil"/>
          <w:lang w:val="es-ES_tradnl"/>
        </w:rPr>
        <w:t>ó</w:t>
      </w:r>
      <w:r w:rsidRPr="00E11E1F">
        <w:rPr>
          <w:rFonts w:eastAsia="Segoe UI" w:cs="Segoe UI"/>
          <w:color w:val="000000"/>
          <w:u w:color="000000"/>
          <w:bdr w:val="nil"/>
        </w:rPr>
        <w:t>lnopolska</w:t>
      </w:r>
      <w:r>
        <w:rPr>
          <w:rFonts w:eastAsia="Segoe UI" w:cs="Segoe UI"/>
          <w:color w:val="000000"/>
          <w:u w:color="000000"/>
          <w:bdr w:val="nil"/>
        </w:rPr>
        <w:t xml:space="preserve"> </w:t>
      </w:r>
      <w:r w:rsidRPr="00E11E1F">
        <w:rPr>
          <w:rFonts w:eastAsia="Segoe UI" w:cs="Segoe UI"/>
          <w:color w:val="000000"/>
          <w:u w:color="000000"/>
          <w:bdr w:val="nil"/>
        </w:rPr>
        <w:t xml:space="preserve">konferencja podsumowująca proces </w:t>
      </w:r>
      <w:r>
        <w:rPr>
          <w:rFonts w:eastAsia="Segoe UI" w:cs="Segoe UI"/>
          <w:color w:val="000000"/>
          <w:u w:color="000000"/>
          <w:bdr w:val="nil"/>
        </w:rPr>
        <w:t>opracowania IIaPGW. Konferencja stanowiła podsumowanie dwóch prowadzonych równolegle procesów opracowania dokumentów strategicznych gospodarowania wodami: planów gospodarowania wodami oraz planów zarządzania ryzykiem powodziowym.</w:t>
      </w:r>
      <w:r w:rsidR="00D32E0C" w:rsidRPr="00795F17">
        <w:br w:type="page"/>
      </w:r>
    </w:p>
    <w:p w14:paraId="574E9A02" w14:textId="2E0C52C0" w:rsidR="00332A4E" w:rsidRPr="00795F17" w:rsidRDefault="00332A4E" w:rsidP="00BA6B41">
      <w:pPr>
        <w:pStyle w:val="Nagwek1"/>
      </w:pPr>
      <w:bookmarkStart w:id="1052" w:name="_Toc51050138"/>
      <w:bookmarkStart w:id="1053" w:name="_Toc66272302"/>
      <w:bookmarkStart w:id="1054" w:name="_Toc105512742"/>
      <w:r w:rsidRPr="00795F17">
        <w:t>Organy właściwe w sprawach gospodarowania wodami dla obszaru dorzecz</w:t>
      </w:r>
      <w:bookmarkEnd w:id="1052"/>
      <w:r w:rsidR="00D32E0C" w:rsidRPr="00795F17">
        <w:t>a</w:t>
      </w:r>
      <w:bookmarkEnd w:id="1053"/>
      <w:bookmarkEnd w:id="1054"/>
    </w:p>
    <w:p w14:paraId="6BC58A15" w14:textId="6190D73A" w:rsidR="00804772" w:rsidRPr="00795F17" w:rsidRDefault="00804772" w:rsidP="0044393D">
      <w:r w:rsidRPr="00795F17">
        <w:t xml:space="preserve">Zgodnie z art. 14 pr.w. organami właściwymi w sprawach gospodarowania wodami są: minister właściwy do spraw gospodarki wodnej, minister właściwy do spraw żeglugi śródlądowej, Prezes </w:t>
      </w:r>
      <w:r w:rsidR="0028234C" w:rsidRPr="00795F17">
        <w:t>PGW WP</w:t>
      </w:r>
      <w:r w:rsidRPr="00795F17">
        <w:t xml:space="preserve">, dyrektor RZGW WP, dyrektor ZZ WP, kierownik NW WP, dyrektor urzędu morskiego, wojewoda, starosta, wójt, burmistrz lub prezydent miasta. </w:t>
      </w:r>
    </w:p>
    <w:p w14:paraId="370A6161" w14:textId="16F9E0DC" w:rsidR="00804772" w:rsidRPr="00795F17" w:rsidRDefault="00804772" w:rsidP="0044393D">
      <w:r w:rsidRPr="00795F17">
        <w:t xml:space="preserve">W poniższej tabeli </w:t>
      </w:r>
      <w:r w:rsidR="001927FA" w:rsidRPr="00795F17">
        <w:t xml:space="preserve">(tabela </w:t>
      </w:r>
      <w:r w:rsidR="005C02B9" w:rsidRPr="00795F17">
        <w:t>21-1</w:t>
      </w:r>
      <w:r w:rsidR="001927FA" w:rsidRPr="00795F17">
        <w:t>)</w:t>
      </w:r>
      <w:r w:rsidRPr="00795F17">
        <w:t xml:space="preserve"> przedstawiono organy właściwe w sprawach gospodarowania wodami wraz z informacjami adresowymi.</w:t>
      </w:r>
    </w:p>
    <w:p w14:paraId="2B3EE335" w14:textId="50D975B4" w:rsidR="00182A26" w:rsidRPr="00795F17" w:rsidRDefault="00182A26" w:rsidP="00A3686C">
      <w:pPr>
        <w:pStyle w:val="Tabela"/>
      </w:pPr>
      <w:bookmarkStart w:id="1055" w:name="_Toc66341991"/>
      <w:bookmarkStart w:id="1056" w:name="_Toc105512916"/>
      <w:r w:rsidRPr="00795F17">
        <w:t xml:space="preserve">Tabela </w:t>
      </w:r>
      <w:fldSimple w:instr=" STYLEREF 1 \s ">
        <w:r w:rsidR="001F774D">
          <w:rPr>
            <w:noProof/>
          </w:rPr>
          <w:t>21</w:t>
        </w:r>
      </w:fldSimple>
      <w:r w:rsidR="00BB3B21" w:rsidRPr="00795F17">
        <w:noBreakHyphen/>
      </w:r>
      <w:fldSimple w:instr=" SEQ Tabela \* ARABIC \s 1 ">
        <w:r w:rsidR="001F774D">
          <w:rPr>
            <w:noProof/>
          </w:rPr>
          <w:t>1</w:t>
        </w:r>
      </w:fldSimple>
      <w:r w:rsidR="00802C92">
        <w:rPr>
          <w:noProof/>
        </w:rPr>
        <w:t>.</w:t>
      </w:r>
      <w:r w:rsidRPr="00795F17">
        <w:tab/>
        <w:t>Zestawienie organów właściwych w sprawach gospodarowania wodami dla obszaru dorzecza Odry wraz ze statusem prawnym oraz danymi adresowymi</w:t>
      </w:r>
      <w:bookmarkEnd w:id="1055"/>
      <w:bookmarkEnd w:id="1056"/>
    </w:p>
    <w:tbl>
      <w:tblPr>
        <w:tblStyle w:val="Tabela-Siatka1"/>
        <w:tblW w:w="5000" w:type="pct"/>
        <w:tblLayout w:type="fixed"/>
        <w:tblLook w:val="04A0" w:firstRow="1" w:lastRow="0" w:firstColumn="1" w:lastColumn="0" w:noHBand="0" w:noVBand="1"/>
      </w:tblPr>
      <w:tblGrid>
        <w:gridCol w:w="455"/>
        <w:gridCol w:w="1773"/>
        <w:gridCol w:w="4742"/>
        <w:gridCol w:w="2092"/>
      </w:tblGrid>
      <w:tr w:rsidR="00804772" w:rsidRPr="00795F17" w14:paraId="6A66D523" w14:textId="77777777" w:rsidTr="00AC0066">
        <w:trPr>
          <w:trHeight w:val="454"/>
          <w:tblHeader/>
        </w:trPr>
        <w:tc>
          <w:tcPr>
            <w:tcW w:w="462" w:type="dxa"/>
            <w:shd w:val="clear" w:color="auto" w:fill="BFBFBF" w:themeFill="background1" w:themeFillShade="BF"/>
            <w:tcMar>
              <w:left w:w="28" w:type="dxa"/>
              <w:right w:w="28" w:type="dxa"/>
            </w:tcMar>
            <w:vAlign w:val="center"/>
          </w:tcPr>
          <w:p w14:paraId="423BEAAC" w14:textId="77777777" w:rsidR="00804772" w:rsidRPr="00795F17" w:rsidRDefault="00804772" w:rsidP="0044393D">
            <w:pPr>
              <w:pStyle w:val="Teksttabelinaglowek"/>
            </w:pPr>
            <w:bookmarkStart w:id="1057" w:name="_Hlk64630625"/>
            <w:r w:rsidRPr="00795F17">
              <w:t>Lp.</w:t>
            </w:r>
          </w:p>
        </w:tc>
        <w:tc>
          <w:tcPr>
            <w:tcW w:w="1801" w:type="dxa"/>
            <w:shd w:val="clear" w:color="auto" w:fill="BFBFBF" w:themeFill="background1" w:themeFillShade="BF"/>
            <w:tcMar>
              <w:left w:w="28" w:type="dxa"/>
              <w:right w:w="28" w:type="dxa"/>
            </w:tcMar>
            <w:vAlign w:val="center"/>
          </w:tcPr>
          <w:p w14:paraId="0FA6B057" w14:textId="1EAAA93F" w:rsidR="00804772" w:rsidRPr="00795F17" w:rsidRDefault="00804772" w:rsidP="0044393D">
            <w:pPr>
              <w:pStyle w:val="Teksttabelinaglowek"/>
            </w:pPr>
            <w:r w:rsidRPr="00795F17">
              <w:t>Organ</w:t>
            </w:r>
          </w:p>
        </w:tc>
        <w:tc>
          <w:tcPr>
            <w:tcW w:w="4820" w:type="dxa"/>
            <w:shd w:val="clear" w:color="auto" w:fill="BFBFBF" w:themeFill="background1" w:themeFillShade="BF"/>
            <w:tcMar>
              <w:left w:w="28" w:type="dxa"/>
              <w:right w:w="28" w:type="dxa"/>
            </w:tcMar>
            <w:vAlign w:val="center"/>
          </w:tcPr>
          <w:p w14:paraId="08C7A3A5" w14:textId="77777777" w:rsidR="00804772" w:rsidRPr="00795F17" w:rsidRDefault="00804772" w:rsidP="0044393D">
            <w:pPr>
              <w:pStyle w:val="Teksttabelinaglowek"/>
            </w:pPr>
            <w:r w:rsidRPr="00795F17">
              <w:t>Status prawny organów właściwych w sprawach gospodarowania wodami dla obszaru dorzecza</w:t>
            </w:r>
          </w:p>
        </w:tc>
        <w:tc>
          <w:tcPr>
            <w:tcW w:w="2126" w:type="dxa"/>
            <w:shd w:val="clear" w:color="auto" w:fill="BFBFBF" w:themeFill="background1" w:themeFillShade="BF"/>
            <w:tcMar>
              <w:left w:w="28" w:type="dxa"/>
              <w:right w:w="28" w:type="dxa"/>
            </w:tcMar>
            <w:vAlign w:val="center"/>
          </w:tcPr>
          <w:p w14:paraId="6DDDA098" w14:textId="77777777" w:rsidR="00804772" w:rsidRPr="00795F17" w:rsidRDefault="00804772" w:rsidP="0044393D">
            <w:pPr>
              <w:pStyle w:val="Teksttabelinaglowek"/>
            </w:pPr>
            <w:r w:rsidRPr="00795F17">
              <w:t>Adres</w:t>
            </w:r>
          </w:p>
        </w:tc>
      </w:tr>
      <w:tr w:rsidR="00804772" w:rsidRPr="00795F17" w14:paraId="7FD51AFF" w14:textId="77777777" w:rsidTr="00AC0066">
        <w:trPr>
          <w:trHeight w:val="454"/>
        </w:trPr>
        <w:tc>
          <w:tcPr>
            <w:tcW w:w="462" w:type="dxa"/>
            <w:tcMar>
              <w:left w:w="28" w:type="dxa"/>
              <w:right w:w="28" w:type="dxa"/>
            </w:tcMar>
            <w:vAlign w:val="center"/>
          </w:tcPr>
          <w:p w14:paraId="060B8B8A" w14:textId="77777777" w:rsidR="00804772" w:rsidRPr="00795F17" w:rsidRDefault="00804772" w:rsidP="0065243A">
            <w:pPr>
              <w:pStyle w:val="Teksttabelisrodek"/>
            </w:pPr>
            <w:r w:rsidRPr="00795F17">
              <w:t>1.</w:t>
            </w:r>
          </w:p>
        </w:tc>
        <w:tc>
          <w:tcPr>
            <w:tcW w:w="1801" w:type="dxa"/>
            <w:tcMar>
              <w:left w:w="28" w:type="dxa"/>
              <w:right w:w="28" w:type="dxa"/>
            </w:tcMar>
            <w:vAlign w:val="center"/>
          </w:tcPr>
          <w:p w14:paraId="03F4EF39" w14:textId="77777777" w:rsidR="00804772" w:rsidRPr="00795F17" w:rsidRDefault="00804772" w:rsidP="001C6219">
            <w:pPr>
              <w:pStyle w:val="Teksttabelilewy"/>
              <w:ind w:left="57"/>
            </w:pPr>
            <w:r w:rsidRPr="00795F17">
              <w:t>Minister właściwy do spraw gospodarki wodnej</w:t>
            </w:r>
          </w:p>
        </w:tc>
        <w:tc>
          <w:tcPr>
            <w:tcW w:w="4820" w:type="dxa"/>
            <w:tcMar>
              <w:left w:w="28" w:type="dxa"/>
              <w:right w:w="28" w:type="dxa"/>
            </w:tcMar>
            <w:vAlign w:val="center"/>
          </w:tcPr>
          <w:p w14:paraId="1BEEC141" w14:textId="663B97BC" w:rsidR="00FE11DE" w:rsidRPr="00F4439C" w:rsidRDefault="00FE11DE" w:rsidP="00116A0D">
            <w:pPr>
              <w:pStyle w:val="Teksttabelilewy"/>
              <w:ind w:left="57"/>
              <w:rPr>
                <w:rFonts w:eastAsiaTheme="minorEastAsia" w:cstheme="minorHAnsi"/>
                <w:szCs w:val="20"/>
              </w:rPr>
            </w:pPr>
            <w:r>
              <w:rPr>
                <w:rFonts w:eastAsiaTheme="minorEastAsia" w:cstheme="minorHAnsi"/>
                <w:szCs w:val="20"/>
              </w:rPr>
              <w:t>u</w:t>
            </w:r>
            <w:r w:rsidRPr="00F4439C">
              <w:rPr>
                <w:rFonts w:eastAsiaTheme="minorEastAsia" w:cstheme="minorHAnsi"/>
                <w:szCs w:val="20"/>
              </w:rPr>
              <w:t>stawa z dnia 4 września 1997 r. o działach administracji rządowej (</w:t>
            </w:r>
            <w:hyperlink r:id="rId162" w:history="1">
              <w:r w:rsidRPr="00F4439C">
                <w:rPr>
                  <w:rFonts w:eastAsiaTheme="minorEastAsia" w:cstheme="minorHAnsi"/>
                  <w:szCs w:val="20"/>
                </w:rPr>
                <w:t>Dz.</w:t>
              </w:r>
              <w:r>
                <w:rPr>
                  <w:rFonts w:eastAsiaTheme="minorEastAsia" w:cstheme="minorHAnsi"/>
                  <w:szCs w:val="20"/>
                </w:rPr>
                <w:t xml:space="preserve"> </w:t>
              </w:r>
              <w:r w:rsidRPr="00F4439C">
                <w:rPr>
                  <w:rFonts w:eastAsiaTheme="minorEastAsia" w:cstheme="minorHAnsi"/>
                  <w:szCs w:val="20"/>
                </w:rPr>
                <w:t>U. z 202</w:t>
              </w:r>
              <w:r>
                <w:rPr>
                  <w:rFonts w:eastAsiaTheme="minorEastAsia" w:cstheme="minorHAnsi"/>
                  <w:szCs w:val="20"/>
                </w:rPr>
                <w:t>1</w:t>
              </w:r>
              <w:r w:rsidRPr="00F4439C">
                <w:rPr>
                  <w:rFonts w:eastAsiaTheme="minorEastAsia" w:cstheme="minorHAnsi"/>
                  <w:szCs w:val="20"/>
                </w:rPr>
                <w:t xml:space="preserve"> r. poz. </w:t>
              </w:r>
              <w:r>
                <w:rPr>
                  <w:rFonts w:eastAsiaTheme="minorEastAsia" w:cstheme="minorHAnsi"/>
                  <w:szCs w:val="20"/>
                </w:rPr>
                <w:t>1893,</w:t>
              </w:r>
            </w:hyperlink>
            <w:r>
              <w:rPr>
                <w:rFonts w:eastAsiaTheme="minorEastAsia" w:cstheme="minorHAnsi"/>
                <w:szCs w:val="20"/>
              </w:rPr>
              <w:t xml:space="preserve"> z późn zm.</w:t>
            </w:r>
            <w:r w:rsidRPr="00F4439C">
              <w:rPr>
                <w:rFonts w:eastAsiaTheme="minorEastAsia" w:cstheme="minorHAnsi"/>
                <w:szCs w:val="20"/>
              </w:rPr>
              <w:t>)</w:t>
            </w:r>
            <w:r>
              <w:rPr>
                <w:rFonts w:eastAsiaTheme="minorEastAsia" w:cstheme="minorHAnsi"/>
                <w:szCs w:val="20"/>
              </w:rPr>
              <w:t>;</w:t>
            </w:r>
          </w:p>
          <w:p w14:paraId="781563DA" w14:textId="6B471642" w:rsidR="00FE11DE" w:rsidRPr="00F4439C" w:rsidRDefault="00FE11DE" w:rsidP="009F7F19">
            <w:pPr>
              <w:pStyle w:val="Teksttabelilewy"/>
              <w:ind w:left="57"/>
              <w:rPr>
                <w:rFonts w:eastAsiaTheme="minorEastAsia" w:cstheme="minorHAnsi"/>
                <w:szCs w:val="20"/>
              </w:rPr>
            </w:pPr>
            <w:r>
              <w:rPr>
                <w:rFonts w:eastAsiaTheme="minorEastAsia" w:cstheme="minorHAnsi"/>
                <w:szCs w:val="20"/>
              </w:rPr>
              <w:t>Prawo wodne;</w:t>
            </w:r>
          </w:p>
          <w:p w14:paraId="67A4A83D" w14:textId="4838625F" w:rsidR="00FE11DE" w:rsidRPr="00F4439C" w:rsidRDefault="00FE11DE" w:rsidP="00116A0D">
            <w:pPr>
              <w:pStyle w:val="Teksttabelilewy"/>
              <w:ind w:left="57"/>
              <w:rPr>
                <w:rFonts w:eastAsiaTheme="minorEastAsia" w:cstheme="minorHAnsi"/>
                <w:szCs w:val="20"/>
              </w:rPr>
            </w:pPr>
            <w:r>
              <w:rPr>
                <w:rFonts w:eastAsiaTheme="minorEastAsia" w:cstheme="minorHAnsi"/>
                <w:szCs w:val="20"/>
              </w:rPr>
              <w:t>r</w:t>
            </w:r>
            <w:r w:rsidRPr="00F4439C">
              <w:rPr>
                <w:rFonts w:eastAsiaTheme="minorEastAsia" w:cstheme="minorHAnsi"/>
                <w:szCs w:val="20"/>
              </w:rPr>
              <w:t>ozporządzenie Prezesa Rady Ministrów z dnia 18 listopada 2019 r. w sprawie szczegółowego zakresu działania Ministra Infrastruktury (Dz.</w:t>
            </w:r>
            <w:r>
              <w:rPr>
                <w:rFonts w:eastAsiaTheme="minorEastAsia" w:cstheme="minorHAnsi"/>
                <w:szCs w:val="20"/>
              </w:rPr>
              <w:t xml:space="preserve"> </w:t>
            </w:r>
            <w:r w:rsidRPr="00F4439C">
              <w:rPr>
                <w:rFonts w:eastAsiaTheme="minorEastAsia" w:cstheme="minorHAnsi"/>
                <w:szCs w:val="20"/>
              </w:rPr>
              <w:t>U. z 20</w:t>
            </w:r>
            <w:r>
              <w:rPr>
                <w:rFonts w:eastAsiaTheme="minorEastAsia" w:cstheme="minorHAnsi"/>
                <w:szCs w:val="20"/>
              </w:rPr>
              <w:t>21</w:t>
            </w:r>
            <w:r w:rsidRPr="00F4439C">
              <w:rPr>
                <w:rFonts w:eastAsiaTheme="minorEastAsia" w:cstheme="minorHAnsi"/>
                <w:szCs w:val="20"/>
              </w:rPr>
              <w:t xml:space="preserve"> r. poz. </w:t>
            </w:r>
            <w:r>
              <w:rPr>
                <w:rFonts w:eastAsiaTheme="minorEastAsia" w:cstheme="minorHAnsi"/>
                <w:szCs w:val="20"/>
              </w:rPr>
              <w:t>937</w:t>
            </w:r>
            <w:r w:rsidRPr="00F4439C">
              <w:rPr>
                <w:rFonts w:eastAsiaTheme="minorEastAsia" w:cstheme="minorHAnsi"/>
                <w:szCs w:val="20"/>
              </w:rPr>
              <w:t>)</w:t>
            </w:r>
            <w:r>
              <w:rPr>
                <w:rFonts w:eastAsiaTheme="minorEastAsia" w:cstheme="minorHAnsi"/>
                <w:szCs w:val="20"/>
              </w:rPr>
              <w:t>;</w:t>
            </w:r>
          </w:p>
          <w:p w14:paraId="6FA27F02" w14:textId="48C6428C" w:rsidR="00804772" w:rsidRPr="00795F17" w:rsidRDefault="00FE11DE" w:rsidP="001C6219">
            <w:pPr>
              <w:pStyle w:val="Teksttabelilewy"/>
              <w:ind w:left="57"/>
            </w:pPr>
            <w:r>
              <w:rPr>
                <w:rFonts w:eastAsiaTheme="minorEastAsia" w:cstheme="minorHAnsi"/>
                <w:szCs w:val="20"/>
              </w:rPr>
              <w:t>z</w:t>
            </w:r>
            <w:r w:rsidRPr="00F4439C">
              <w:rPr>
                <w:rFonts w:eastAsiaTheme="minorEastAsia" w:cstheme="minorHAnsi"/>
                <w:szCs w:val="20"/>
              </w:rPr>
              <w:t>arządzenie nr 59 Prezesa Rady Ministrów z dnia 20 kwietnia 2018 r. w sprawie nadania statutu Ministerstwu Infrastruktury (M.P.</w:t>
            </w:r>
            <w:r>
              <w:rPr>
                <w:rFonts w:eastAsiaTheme="minorEastAsia" w:cstheme="minorHAnsi"/>
                <w:szCs w:val="20"/>
              </w:rPr>
              <w:t xml:space="preserve"> z</w:t>
            </w:r>
            <w:r w:rsidRPr="00F4439C">
              <w:rPr>
                <w:rFonts w:eastAsiaTheme="minorEastAsia" w:cstheme="minorHAnsi"/>
                <w:szCs w:val="20"/>
              </w:rPr>
              <w:t xml:space="preserve"> 20</w:t>
            </w:r>
            <w:r>
              <w:rPr>
                <w:rFonts w:eastAsiaTheme="minorEastAsia" w:cstheme="minorHAnsi"/>
                <w:szCs w:val="20"/>
              </w:rPr>
              <w:t>21 r.</w:t>
            </w:r>
            <w:r w:rsidRPr="00F4439C">
              <w:rPr>
                <w:rFonts w:eastAsiaTheme="minorEastAsia" w:cstheme="minorHAnsi"/>
                <w:szCs w:val="20"/>
              </w:rPr>
              <w:t xml:space="preserve"> poz. </w:t>
            </w:r>
            <w:r>
              <w:rPr>
                <w:rFonts w:eastAsiaTheme="minorEastAsia" w:cstheme="minorHAnsi"/>
                <w:szCs w:val="20"/>
              </w:rPr>
              <w:t>1187</w:t>
            </w:r>
            <w:r w:rsidRPr="00F4439C">
              <w:rPr>
                <w:rFonts w:eastAsiaTheme="minorEastAsia" w:cstheme="minorHAnsi"/>
                <w:szCs w:val="20"/>
              </w:rPr>
              <w:t>)</w:t>
            </w:r>
          </w:p>
        </w:tc>
        <w:tc>
          <w:tcPr>
            <w:tcW w:w="2126" w:type="dxa"/>
            <w:tcMar>
              <w:left w:w="28" w:type="dxa"/>
              <w:right w:w="28" w:type="dxa"/>
            </w:tcMar>
            <w:vAlign w:val="center"/>
          </w:tcPr>
          <w:p w14:paraId="47EF6C2F" w14:textId="77777777" w:rsidR="00804772" w:rsidRPr="00795F17" w:rsidRDefault="00804772" w:rsidP="001C6219">
            <w:pPr>
              <w:pStyle w:val="Teksttabelilewy"/>
              <w:ind w:left="57"/>
              <w:rPr>
                <w:rFonts w:eastAsiaTheme="minorEastAsia" w:cstheme="minorHAnsi"/>
              </w:rPr>
            </w:pPr>
            <w:r w:rsidRPr="00795F17">
              <w:t>Ministerstwo Infrastruktury</w:t>
            </w:r>
          </w:p>
          <w:p w14:paraId="471615AD" w14:textId="593FDB71" w:rsidR="00804772" w:rsidRPr="00795F17" w:rsidRDefault="00804772" w:rsidP="001C6219">
            <w:pPr>
              <w:pStyle w:val="Teksttabelilewy"/>
              <w:ind w:left="57"/>
              <w:rPr>
                <w:rFonts w:cstheme="minorHAnsi"/>
              </w:rPr>
            </w:pPr>
            <w:r w:rsidRPr="00795F17">
              <w:t>ul. Chałubińskiego 4/66,</w:t>
            </w:r>
            <w:r w:rsidR="00FC1049" w:rsidRPr="00795F17">
              <w:br/>
            </w:r>
            <w:r w:rsidRPr="00795F17">
              <w:rPr>
                <w:rFonts w:cstheme="minorHAnsi"/>
              </w:rPr>
              <w:t>00-928 Warszawa</w:t>
            </w:r>
          </w:p>
          <w:p w14:paraId="354A5614" w14:textId="52467716" w:rsidR="00804772" w:rsidRPr="00795F17" w:rsidRDefault="009C595A" w:rsidP="001C6219">
            <w:pPr>
              <w:pStyle w:val="Teksttabelilewy"/>
              <w:ind w:left="57"/>
            </w:pPr>
            <w:hyperlink r:id="rId163" w:history="1">
              <w:r w:rsidR="00804772" w:rsidRPr="00795F17">
                <w:rPr>
                  <w:rStyle w:val="Hipercze"/>
                  <w:rFonts w:cstheme="minorHAnsi"/>
                </w:rPr>
                <w:t>https://www.gov.pl/web/infrastruktura</w:t>
              </w:r>
            </w:hyperlink>
          </w:p>
        </w:tc>
      </w:tr>
      <w:tr w:rsidR="00804772" w:rsidRPr="00795F17" w14:paraId="3F749607" w14:textId="77777777" w:rsidTr="00AC0066">
        <w:trPr>
          <w:trHeight w:val="454"/>
        </w:trPr>
        <w:tc>
          <w:tcPr>
            <w:tcW w:w="462" w:type="dxa"/>
            <w:tcMar>
              <w:left w:w="28" w:type="dxa"/>
              <w:right w:w="28" w:type="dxa"/>
            </w:tcMar>
            <w:vAlign w:val="center"/>
          </w:tcPr>
          <w:p w14:paraId="2D79B1C2" w14:textId="5701F446" w:rsidR="00804772" w:rsidRPr="00795F17" w:rsidRDefault="00804772" w:rsidP="0065243A">
            <w:pPr>
              <w:pStyle w:val="Teksttabelisrodek"/>
            </w:pPr>
            <w:r w:rsidRPr="00795F17">
              <w:t>2</w:t>
            </w:r>
            <w:r w:rsidR="009D3B31" w:rsidRPr="00795F17">
              <w:t>.</w:t>
            </w:r>
          </w:p>
        </w:tc>
        <w:tc>
          <w:tcPr>
            <w:tcW w:w="1801" w:type="dxa"/>
            <w:tcMar>
              <w:left w:w="28" w:type="dxa"/>
              <w:right w:w="28" w:type="dxa"/>
            </w:tcMar>
            <w:vAlign w:val="center"/>
          </w:tcPr>
          <w:p w14:paraId="30A5228A" w14:textId="77777777" w:rsidR="00804772" w:rsidRPr="00795F17" w:rsidRDefault="00804772" w:rsidP="001C6219">
            <w:pPr>
              <w:pStyle w:val="Teksttabelilewy"/>
              <w:ind w:left="57"/>
            </w:pPr>
            <w:r w:rsidRPr="00795F17">
              <w:t>Minister właściwy do spraw żeglugi śródlądowej,</w:t>
            </w:r>
          </w:p>
        </w:tc>
        <w:tc>
          <w:tcPr>
            <w:tcW w:w="4820" w:type="dxa"/>
            <w:tcMar>
              <w:left w:w="28" w:type="dxa"/>
              <w:right w:w="28" w:type="dxa"/>
            </w:tcMar>
            <w:vAlign w:val="center"/>
          </w:tcPr>
          <w:p w14:paraId="52669A45" w14:textId="6D11F3C8" w:rsidR="001B1AAB" w:rsidRPr="00F4439C" w:rsidRDefault="001B1AAB" w:rsidP="00116A0D">
            <w:pPr>
              <w:pStyle w:val="Teksttabelilewy"/>
              <w:ind w:left="57"/>
              <w:rPr>
                <w:rFonts w:eastAsiaTheme="minorEastAsia" w:cstheme="minorHAnsi"/>
                <w:szCs w:val="20"/>
              </w:rPr>
            </w:pPr>
            <w:r>
              <w:rPr>
                <w:rFonts w:eastAsiaTheme="minorEastAsia" w:cstheme="minorHAnsi"/>
                <w:szCs w:val="20"/>
              </w:rPr>
              <w:t>u</w:t>
            </w:r>
            <w:r w:rsidRPr="00F4439C">
              <w:rPr>
                <w:rFonts w:eastAsiaTheme="minorEastAsia" w:cstheme="minorHAnsi"/>
                <w:szCs w:val="20"/>
              </w:rPr>
              <w:t>stawa</w:t>
            </w:r>
            <w:r w:rsidR="00D01336" w:rsidRPr="00F4439C">
              <w:rPr>
                <w:rFonts w:eastAsiaTheme="minorEastAsia" w:cstheme="minorHAnsi"/>
                <w:szCs w:val="20"/>
              </w:rPr>
              <w:t xml:space="preserve"> z dnia 4 września 1997 r. o działach administracji rządowej</w:t>
            </w:r>
            <w:r>
              <w:rPr>
                <w:rFonts w:eastAsiaTheme="minorEastAsia" w:cstheme="minorHAnsi"/>
                <w:szCs w:val="20"/>
              </w:rPr>
              <w:t>;</w:t>
            </w:r>
          </w:p>
          <w:p w14:paraId="3A8FE061" w14:textId="1B786FE0" w:rsidR="001B1AAB" w:rsidRPr="00F4439C" w:rsidRDefault="001B1AAB" w:rsidP="009F7F19">
            <w:pPr>
              <w:pStyle w:val="Teksttabelilewy"/>
              <w:ind w:left="57"/>
              <w:rPr>
                <w:rFonts w:eastAsiaTheme="minorEastAsia" w:cstheme="minorHAnsi"/>
                <w:szCs w:val="20"/>
              </w:rPr>
            </w:pPr>
            <w:r>
              <w:rPr>
                <w:rFonts w:eastAsiaTheme="minorEastAsia" w:cstheme="minorHAnsi"/>
                <w:szCs w:val="20"/>
              </w:rPr>
              <w:t>Prawo wodne;</w:t>
            </w:r>
          </w:p>
          <w:p w14:paraId="3C9FB4EB" w14:textId="54C84840" w:rsidR="001B1AAB" w:rsidRPr="00F4439C" w:rsidRDefault="001B1AAB" w:rsidP="00116A0D">
            <w:pPr>
              <w:pStyle w:val="Teksttabelilewy"/>
              <w:ind w:left="57"/>
              <w:rPr>
                <w:rFonts w:eastAsiaTheme="minorEastAsia" w:cstheme="minorHAnsi"/>
                <w:szCs w:val="20"/>
              </w:rPr>
            </w:pPr>
            <w:r>
              <w:rPr>
                <w:rFonts w:eastAsiaTheme="minorEastAsia" w:cstheme="minorHAnsi"/>
                <w:szCs w:val="20"/>
              </w:rPr>
              <w:t>r</w:t>
            </w:r>
            <w:r w:rsidRPr="00F4439C">
              <w:rPr>
                <w:rFonts w:eastAsiaTheme="minorEastAsia" w:cstheme="minorHAnsi"/>
                <w:szCs w:val="20"/>
              </w:rPr>
              <w:t>ozporządzenie Prezesa Rady Ministrów z dnia 18 listopada 2019 r. w sprawie szczegółowego zakresu działania Ministra Infrastruktury (Dz.</w:t>
            </w:r>
            <w:r>
              <w:rPr>
                <w:rFonts w:eastAsiaTheme="minorEastAsia" w:cstheme="minorHAnsi"/>
                <w:szCs w:val="20"/>
              </w:rPr>
              <w:t xml:space="preserve"> </w:t>
            </w:r>
            <w:r w:rsidRPr="00F4439C">
              <w:rPr>
                <w:rFonts w:eastAsiaTheme="minorEastAsia" w:cstheme="minorHAnsi"/>
                <w:szCs w:val="20"/>
              </w:rPr>
              <w:t>U. z 20</w:t>
            </w:r>
            <w:r>
              <w:rPr>
                <w:rFonts w:eastAsiaTheme="minorEastAsia" w:cstheme="minorHAnsi"/>
                <w:szCs w:val="20"/>
              </w:rPr>
              <w:t>21</w:t>
            </w:r>
            <w:r w:rsidRPr="00F4439C">
              <w:rPr>
                <w:rFonts w:eastAsiaTheme="minorEastAsia" w:cstheme="minorHAnsi"/>
                <w:szCs w:val="20"/>
              </w:rPr>
              <w:t xml:space="preserve"> r. poz. </w:t>
            </w:r>
            <w:r>
              <w:rPr>
                <w:rFonts w:eastAsiaTheme="minorEastAsia" w:cstheme="minorHAnsi"/>
                <w:szCs w:val="20"/>
              </w:rPr>
              <w:t>937);</w:t>
            </w:r>
            <w:r w:rsidRPr="00F4439C">
              <w:rPr>
                <w:rFonts w:eastAsiaTheme="minorEastAsia" w:cstheme="minorHAnsi"/>
                <w:szCs w:val="20"/>
              </w:rPr>
              <w:t xml:space="preserve"> </w:t>
            </w:r>
          </w:p>
          <w:p w14:paraId="5CE7F0A7" w14:textId="527C2509" w:rsidR="00804772" w:rsidRPr="00795F17" w:rsidRDefault="001B1AAB" w:rsidP="001C6219">
            <w:pPr>
              <w:pStyle w:val="Teksttabelilewy"/>
              <w:ind w:left="57"/>
            </w:pPr>
            <w:r>
              <w:rPr>
                <w:rFonts w:eastAsiaTheme="minorEastAsia" w:cstheme="minorHAnsi"/>
                <w:szCs w:val="20"/>
              </w:rPr>
              <w:t>z</w:t>
            </w:r>
            <w:r w:rsidRPr="00F4439C">
              <w:rPr>
                <w:rFonts w:eastAsiaTheme="minorEastAsia" w:cstheme="minorHAnsi"/>
                <w:szCs w:val="20"/>
              </w:rPr>
              <w:t>arządzenie nr 59 Prezesa Rady Ministrów z dnia 20 kwietnia 2018 r. w sprawie nadania statutu Ministerstwu Infrastruktury (M.P.</w:t>
            </w:r>
            <w:r>
              <w:rPr>
                <w:rFonts w:eastAsiaTheme="minorEastAsia" w:cstheme="minorHAnsi"/>
                <w:szCs w:val="20"/>
              </w:rPr>
              <w:t xml:space="preserve"> z</w:t>
            </w:r>
            <w:r w:rsidRPr="00F4439C">
              <w:rPr>
                <w:rFonts w:eastAsiaTheme="minorEastAsia" w:cstheme="minorHAnsi"/>
                <w:szCs w:val="20"/>
              </w:rPr>
              <w:t xml:space="preserve"> 20</w:t>
            </w:r>
            <w:r>
              <w:rPr>
                <w:rFonts w:eastAsiaTheme="minorEastAsia" w:cstheme="minorHAnsi"/>
                <w:szCs w:val="20"/>
              </w:rPr>
              <w:t>21 r.</w:t>
            </w:r>
            <w:r w:rsidRPr="00F4439C">
              <w:rPr>
                <w:rFonts w:eastAsiaTheme="minorEastAsia" w:cstheme="minorHAnsi"/>
                <w:szCs w:val="20"/>
              </w:rPr>
              <w:t xml:space="preserve"> poz. </w:t>
            </w:r>
            <w:r>
              <w:rPr>
                <w:rFonts w:eastAsiaTheme="minorEastAsia" w:cstheme="minorHAnsi"/>
                <w:szCs w:val="20"/>
              </w:rPr>
              <w:t>1187</w:t>
            </w:r>
            <w:r w:rsidRPr="00F4439C">
              <w:rPr>
                <w:rFonts w:eastAsiaTheme="minorEastAsia" w:cstheme="minorHAnsi"/>
                <w:szCs w:val="20"/>
              </w:rPr>
              <w:t>)</w:t>
            </w:r>
          </w:p>
        </w:tc>
        <w:tc>
          <w:tcPr>
            <w:tcW w:w="2126" w:type="dxa"/>
            <w:tcMar>
              <w:left w:w="28" w:type="dxa"/>
              <w:right w:w="28" w:type="dxa"/>
            </w:tcMar>
            <w:vAlign w:val="center"/>
          </w:tcPr>
          <w:p w14:paraId="49080D82" w14:textId="77777777" w:rsidR="00804772" w:rsidRPr="00795F17" w:rsidRDefault="00804772" w:rsidP="001C6219">
            <w:pPr>
              <w:pStyle w:val="Teksttabelilewy"/>
              <w:ind w:left="57"/>
              <w:rPr>
                <w:rFonts w:eastAsiaTheme="minorEastAsia" w:cstheme="minorHAnsi"/>
              </w:rPr>
            </w:pPr>
            <w:r w:rsidRPr="00795F17">
              <w:t>Ministerstwo Infrastruktury</w:t>
            </w:r>
          </w:p>
          <w:p w14:paraId="54FB2212" w14:textId="32C52BF4" w:rsidR="00804772" w:rsidRPr="00795F17" w:rsidRDefault="00804772" w:rsidP="001C6219">
            <w:pPr>
              <w:pStyle w:val="Teksttabelilewy"/>
              <w:ind w:left="57"/>
              <w:rPr>
                <w:rFonts w:eastAsiaTheme="minorEastAsia" w:cstheme="minorHAnsi"/>
              </w:rPr>
            </w:pPr>
            <w:r w:rsidRPr="00795F17">
              <w:t>ul. Chałubińskiego 4/66,</w:t>
            </w:r>
            <w:r w:rsidR="00FC1049" w:rsidRPr="00795F17">
              <w:br/>
            </w:r>
            <w:r w:rsidRPr="00795F17">
              <w:t>00-928 Warszawa</w:t>
            </w:r>
          </w:p>
          <w:p w14:paraId="4156F151" w14:textId="77777777" w:rsidR="00804772" w:rsidRPr="00795F17" w:rsidRDefault="009C595A" w:rsidP="001C6219">
            <w:pPr>
              <w:pStyle w:val="Teksttabelilewy"/>
              <w:ind w:left="57"/>
            </w:pPr>
            <w:hyperlink r:id="rId164" w:history="1">
              <w:r w:rsidR="00804772" w:rsidRPr="00795F17">
                <w:rPr>
                  <w:rStyle w:val="Hipercze"/>
                  <w:rFonts w:eastAsiaTheme="minorEastAsia" w:cstheme="minorHAnsi"/>
                </w:rPr>
                <w:t>https://www.gov.pl/web/infrastruktura</w:t>
              </w:r>
            </w:hyperlink>
          </w:p>
        </w:tc>
      </w:tr>
      <w:tr w:rsidR="00804772" w:rsidRPr="00795F17" w14:paraId="7A688D42" w14:textId="77777777" w:rsidTr="00AC0066">
        <w:trPr>
          <w:trHeight w:val="454"/>
        </w:trPr>
        <w:tc>
          <w:tcPr>
            <w:tcW w:w="462" w:type="dxa"/>
            <w:tcMar>
              <w:left w:w="28" w:type="dxa"/>
              <w:right w:w="28" w:type="dxa"/>
            </w:tcMar>
            <w:vAlign w:val="center"/>
          </w:tcPr>
          <w:p w14:paraId="76AC7011" w14:textId="01050550" w:rsidR="00804772" w:rsidRPr="00795F17" w:rsidRDefault="00804772" w:rsidP="0065243A">
            <w:pPr>
              <w:pStyle w:val="Teksttabelisrodek"/>
            </w:pPr>
            <w:r w:rsidRPr="00795F17">
              <w:t>3</w:t>
            </w:r>
            <w:r w:rsidR="009D3B31" w:rsidRPr="00795F17">
              <w:t>.</w:t>
            </w:r>
          </w:p>
        </w:tc>
        <w:tc>
          <w:tcPr>
            <w:tcW w:w="1801" w:type="dxa"/>
            <w:tcMar>
              <w:left w:w="28" w:type="dxa"/>
              <w:right w:w="28" w:type="dxa"/>
            </w:tcMar>
            <w:vAlign w:val="center"/>
          </w:tcPr>
          <w:p w14:paraId="50544119" w14:textId="50F1F40A" w:rsidR="00804772" w:rsidRPr="00795F17" w:rsidRDefault="00804772" w:rsidP="001C6219">
            <w:pPr>
              <w:pStyle w:val="Teksttabelilewy"/>
              <w:ind w:left="57"/>
            </w:pPr>
            <w:r w:rsidRPr="00795F17">
              <w:t xml:space="preserve">Prezes </w:t>
            </w:r>
            <w:r w:rsidR="0028234C" w:rsidRPr="00795F17">
              <w:t>PGW WP</w:t>
            </w:r>
          </w:p>
        </w:tc>
        <w:tc>
          <w:tcPr>
            <w:tcW w:w="4820" w:type="dxa"/>
            <w:tcMar>
              <w:left w:w="28" w:type="dxa"/>
              <w:right w:w="28" w:type="dxa"/>
            </w:tcMar>
            <w:vAlign w:val="center"/>
          </w:tcPr>
          <w:p w14:paraId="21C3AD52" w14:textId="155E77A1" w:rsidR="008C66E9" w:rsidRDefault="008C66E9" w:rsidP="009F7F19">
            <w:pPr>
              <w:pStyle w:val="Teksttabelilewy"/>
              <w:ind w:left="57"/>
              <w:rPr>
                <w:rFonts w:eastAsiaTheme="minorEastAsia" w:cstheme="minorHAnsi"/>
                <w:szCs w:val="20"/>
              </w:rPr>
            </w:pPr>
            <w:r>
              <w:rPr>
                <w:rFonts w:eastAsiaTheme="minorEastAsia" w:cstheme="minorHAnsi"/>
                <w:szCs w:val="20"/>
              </w:rPr>
              <w:t>Prawo wodne;</w:t>
            </w:r>
          </w:p>
          <w:p w14:paraId="2D4460E3" w14:textId="6E3537CE" w:rsidR="00804772" w:rsidRPr="00795F17" w:rsidRDefault="008C66E9" w:rsidP="001C6219">
            <w:pPr>
              <w:pStyle w:val="Teksttabelilewy"/>
              <w:ind w:left="57"/>
            </w:pPr>
            <w:r>
              <w:rPr>
                <w:rFonts w:eastAsiaTheme="minorEastAsia" w:cstheme="minorHAnsi"/>
                <w:szCs w:val="20"/>
              </w:rPr>
              <w:t>r</w:t>
            </w:r>
            <w:r w:rsidRPr="00F4439C">
              <w:rPr>
                <w:rFonts w:eastAsiaTheme="minorEastAsia" w:cstheme="minorHAnsi"/>
                <w:szCs w:val="20"/>
              </w:rPr>
              <w:t>ozporządzenie Ministra Środowiska z dnia 28 grudnia 2017 r. w sprawie nadania statutu Państwowemu Gospodarstwu Wodnemu Wody Polskie (Dz.</w:t>
            </w:r>
            <w:r>
              <w:rPr>
                <w:rFonts w:eastAsiaTheme="minorEastAsia" w:cstheme="minorHAnsi"/>
                <w:szCs w:val="20"/>
              </w:rPr>
              <w:t xml:space="preserve"> </w:t>
            </w:r>
            <w:r w:rsidRPr="00F4439C">
              <w:rPr>
                <w:rFonts w:eastAsiaTheme="minorEastAsia" w:cstheme="minorHAnsi"/>
                <w:szCs w:val="20"/>
              </w:rPr>
              <w:t>U.</w:t>
            </w:r>
            <w:hyperlink r:id="rId165" w:history="1">
              <w:r w:rsidRPr="00F4439C">
                <w:rPr>
                  <w:rFonts w:eastAsiaTheme="minorEastAsia" w:cstheme="minorHAnsi"/>
                  <w:szCs w:val="20"/>
                </w:rPr>
                <w:t xml:space="preserve"> poz. 2506</w:t>
              </w:r>
            </w:hyperlink>
            <w:r w:rsidRPr="00F4439C">
              <w:rPr>
                <w:rFonts w:eastAsiaTheme="minorEastAsia" w:cstheme="minorHAnsi"/>
                <w:szCs w:val="20"/>
              </w:rPr>
              <w:t>)</w:t>
            </w:r>
          </w:p>
        </w:tc>
        <w:tc>
          <w:tcPr>
            <w:tcW w:w="2126" w:type="dxa"/>
            <w:tcMar>
              <w:left w:w="28" w:type="dxa"/>
              <w:right w:w="28" w:type="dxa"/>
            </w:tcMar>
            <w:vAlign w:val="center"/>
          </w:tcPr>
          <w:p w14:paraId="3345C20D" w14:textId="1E8B16AF" w:rsidR="00804772" w:rsidRPr="00795F17" w:rsidRDefault="0028234C" w:rsidP="001C6219">
            <w:pPr>
              <w:pStyle w:val="Teksttabelilewy"/>
              <w:ind w:left="57"/>
              <w:rPr>
                <w:rFonts w:cstheme="minorHAnsi"/>
              </w:rPr>
            </w:pPr>
            <w:r w:rsidRPr="00795F17">
              <w:t>PGW WP</w:t>
            </w:r>
          </w:p>
          <w:p w14:paraId="1632418B" w14:textId="06E98BED" w:rsidR="00804772" w:rsidRPr="00795F17" w:rsidRDefault="00804772" w:rsidP="001C6219">
            <w:pPr>
              <w:pStyle w:val="Teksttabelilewy"/>
              <w:ind w:left="57"/>
            </w:pPr>
            <w:r w:rsidRPr="00795F17">
              <w:t xml:space="preserve">ul. Żelazna 59a, </w:t>
            </w:r>
            <w:r w:rsidR="00FC1049" w:rsidRPr="00795F17">
              <w:br/>
            </w:r>
            <w:r w:rsidRPr="00795F17">
              <w:t>00-848 Warszawa</w:t>
            </w:r>
          </w:p>
          <w:p w14:paraId="21093CA7" w14:textId="408FC60D" w:rsidR="00804772" w:rsidRPr="00795F17" w:rsidRDefault="009C595A" w:rsidP="001C6219">
            <w:pPr>
              <w:pStyle w:val="Teksttabelilewy"/>
              <w:ind w:left="57"/>
            </w:pPr>
            <w:hyperlink r:id="rId166" w:history="1">
              <w:r w:rsidR="00804772" w:rsidRPr="00795F17">
                <w:rPr>
                  <w:rStyle w:val="Hipercze"/>
                  <w:rFonts w:cstheme="minorHAnsi"/>
                </w:rPr>
                <w:t>https://www.wody.gov.pl</w:t>
              </w:r>
            </w:hyperlink>
          </w:p>
        </w:tc>
      </w:tr>
      <w:tr w:rsidR="00804772" w:rsidRPr="00795F17" w14:paraId="55F5A305" w14:textId="77777777" w:rsidTr="00AC0066">
        <w:trPr>
          <w:trHeight w:val="454"/>
        </w:trPr>
        <w:tc>
          <w:tcPr>
            <w:tcW w:w="462" w:type="dxa"/>
            <w:tcMar>
              <w:left w:w="28" w:type="dxa"/>
              <w:right w:w="28" w:type="dxa"/>
            </w:tcMar>
            <w:vAlign w:val="center"/>
          </w:tcPr>
          <w:p w14:paraId="18001ED4" w14:textId="38A98669" w:rsidR="00804772" w:rsidRPr="00795F17" w:rsidRDefault="00804772" w:rsidP="0065243A">
            <w:pPr>
              <w:pStyle w:val="Teksttabelisrodek"/>
            </w:pPr>
            <w:r w:rsidRPr="00795F17">
              <w:t>4</w:t>
            </w:r>
            <w:r w:rsidR="009D3B31" w:rsidRPr="00795F17">
              <w:t>.</w:t>
            </w:r>
          </w:p>
        </w:tc>
        <w:tc>
          <w:tcPr>
            <w:tcW w:w="1801" w:type="dxa"/>
            <w:tcMar>
              <w:left w:w="28" w:type="dxa"/>
              <w:right w:w="28" w:type="dxa"/>
            </w:tcMar>
            <w:vAlign w:val="center"/>
          </w:tcPr>
          <w:p w14:paraId="57AB7C9D" w14:textId="77777777" w:rsidR="00804772" w:rsidRPr="00795F17" w:rsidRDefault="00804772" w:rsidP="001C6219">
            <w:pPr>
              <w:pStyle w:val="Teksttabelilewy"/>
              <w:ind w:left="57"/>
            </w:pPr>
            <w:r w:rsidRPr="00795F17">
              <w:t>Dyrektor RZGW WP</w:t>
            </w:r>
          </w:p>
        </w:tc>
        <w:tc>
          <w:tcPr>
            <w:tcW w:w="4820" w:type="dxa"/>
            <w:tcMar>
              <w:left w:w="28" w:type="dxa"/>
              <w:right w:w="28" w:type="dxa"/>
            </w:tcMar>
            <w:vAlign w:val="center"/>
          </w:tcPr>
          <w:p w14:paraId="37A54B2F" w14:textId="19081011" w:rsidR="004C07FB" w:rsidRPr="00F4439C" w:rsidRDefault="004C07FB" w:rsidP="009F7F19">
            <w:pPr>
              <w:pStyle w:val="Teksttabelilewy"/>
              <w:ind w:left="57"/>
              <w:rPr>
                <w:rFonts w:eastAsiaTheme="minorEastAsia" w:cstheme="minorHAnsi"/>
                <w:szCs w:val="20"/>
              </w:rPr>
            </w:pPr>
            <w:r>
              <w:rPr>
                <w:rFonts w:eastAsiaTheme="minorEastAsia" w:cstheme="minorHAnsi"/>
                <w:szCs w:val="20"/>
              </w:rPr>
              <w:t>Prawo wodne;</w:t>
            </w:r>
          </w:p>
          <w:p w14:paraId="50B90BD9" w14:textId="300EC8DB" w:rsidR="00804772" w:rsidRPr="00795F17" w:rsidRDefault="004C07FB" w:rsidP="001C6219">
            <w:pPr>
              <w:pStyle w:val="Teksttabelilewy"/>
              <w:ind w:left="57"/>
            </w:pPr>
            <w:r>
              <w:rPr>
                <w:rFonts w:eastAsiaTheme="minorEastAsia" w:cstheme="minorHAnsi"/>
                <w:szCs w:val="20"/>
              </w:rPr>
              <w:t>r</w:t>
            </w:r>
            <w:r w:rsidRPr="00F4439C">
              <w:rPr>
                <w:rFonts w:eastAsiaTheme="minorEastAsia" w:cstheme="minorHAnsi"/>
                <w:szCs w:val="20"/>
              </w:rPr>
              <w:t>ozporządzenie Ministra Środowiska z dnia 28 grudnia 2017 r. w sprawie nadania statutu Państwowemu Gospodarstwu Wodnemu Wody Polskie (Dz.</w:t>
            </w:r>
            <w:r>
              <w:rPr>
                <w:rFonts w:eastAsiaTheme="minorEastAsia" w:cstheme="minorHAnsi"/>
                <w:szCs w:val="20"/>
              </w:rPr>
              <w:t xml:space="preserve"> </w:t>
            </w:r>
            <w:r w:rsidRPr="00F4439C">
              <w:rPr>
                <w:rFonts w:eastAsiaTheme="minorEastAsia" w:cstheme="minorHAnsi"/>
                <w:szCs w:val="20"/>
              </w:rPr>
              <w:t>U. poz. 2506)</w:t>
            </w:r>
          </w:p>
        </w:tc>
        <w:tc>
          <w:tcPr>
            <w:tcW w:w="2126" w:type="dxa"/>
            <w:tcMar>
              <w:left w:w="28" w:type="dxa"/>
              <w:right w:w="28" w:type="dxa"/>
            </w:tcMar>
            <w:vAlign w:val="center"/>
          </w:tcPr>
          <w:p w14:paraId="66087592" w14:textId="77777777" w:rsidR="00804772" w:rsidRPr="00795F17" w:rsidRDefault="00804772" w:rsidP="001C6219">
            <w:pPr>
              <w:pStyle w:val="Teksttabelilewy"/>
              <w:ind w:left="57"/>
              <w:rPr>
                <w:rFonts w:cstheme="minorHAnsi"/>
              </w:rPr>
            </w:pPr>
            <w:r w:rsidRPr="00795F17">
              <w:t>RZGW w Bydgoszczy</w:t>
            </w:r>
          </w:p>
          <w:p w14:paraId="6D9357E6" w14:textId="0ACD9015" w:rsidR="00804772" w:rsidRPr="00795F17" w:rsidRDefault="00804772" w:rsidP="001C6219">
            <w:pPr>
              <w:pStyle w:val="Teksttabelilewy"/>
              <w:ind w:left="57"/>
              <w:rPr>
                <w:rFonts w:cstheme="minorHAnsi"/>
              </w:rPr>
            </w:pPr>
            <w:r w:rsidRPr="00795F17">
              <w:t>al. Adama Mickiewicza 15</w:t>
            </w:r>
            <w:r w:rsidRPr="00795F17">
              <w:rPr>
                <w:rFonts w:cstheme="minorHAnsi"/>
              </w:rPr>
              <w:br/>
              <w:t>85-071 Bydgoszcz</w:t>
            </w:r>
          </w:p>
          <w:p w14:paraId="2F0F3830" w14:textId="77777777" w:rsidR="00804772" w:rsidRPr="00795F17" w:rsidRDefault="00804772" w:rsidP="001C6219">
            <w:pPr>
              <w:pStyle w:val="Teksttabelilewy"/>
              <w:ind w:left="57"/>
            </w:pPr>
          </w:p>
          <w:p w14:paraId="48A0080B" w14:textId="77777777" w:rsidR="00804772" w:rsidRPr="00795F17" w:rsidRDefault="00804772" w:rsidP="001C6219">
            <w:pPr>
              <w:pStyle w:val="Teksttabelilewy"/>
              <w:ind w:left="57"/>
              <w:rPr>
                <w:rFonts w:cstheme="minorHAnsi"/>
              </w:rPr>
            </w:pPr>
            <w:r w:rsidRPr="00795F17">
              <w:t>RZGW w Gliwicach</w:t>
            </w:r>
          </w:p>
          <w:p w14:paraId="38C55AD4" w14:textId="7C71ABF8" w:rsidR="00804772" w:rsidRPr="00795F17" w:rsidRDefault="00804772" w:rsidP="001C6219">
            <w:pPr>
              <w:pStyle w:val="Teksttabelilewy"/>
              <w:ind w:left="57"/>
              <w:rPr>
                <w:rFonts w:cstheme="minorHAnsi"/>
              </w:rPr>
            </w:pPr>
            <w:r w:rsidRPr="00795F17">
              <w:t>ul. H. Sienkiewicza 2</w:t>
            </w:r>
            <w:r w:rsidRPr="00795F17">
              <w:rPr>
                <w:rFonts w:cstheme="minorHAnsi"/>
              </w:rPr>
              <w:br/>
              <w:t>44-100 Gliwice</w:t>
            </w:r>
          </w:p>
          <w:p w14:paraId="60C85DEC" w14:textId="77777777" w:rsidR="00804772" w:rsidRPr="00795F17" w:rsidRDefault="00804772" w:rsidP="001C6219">
            <w:pPr>
              <w:pStyle w:val="Teksttabelilewy"/>
              <w:ind w:left="57"/>
            </w:pPr>
          </w:p>
          <w:p w14:paraId="063A5C66" w14:textId="77777777" w:rsidR="00804772" w:rsidRPr="00795F17" w:rsidRDefault="00804772" w:rsidP="001C6219">
            <w:pPr>
              <w:pStyle w:val="Teksttabelilewy"/>
              <w:ind w:left="57"/>
              <w:rPr>
                <w:rFonts w:cstheme="minorHAnsi"/>
              </w:rPr>
            </w:pPr>
            <w:r w:rsidRPr="00795F17">
              <w:t xml:space="preserve">RZGW w Poznaniu </w:t>
            </w:r>
          </w:p>
          <w:p w14:paraId="38106AFC" w14:textId="6C87E831" w:rsidR="00804772" w:rsidRPr="00795F17" w:rsidRDefault="00804772" w:rsidP="001C6219">
            <w:pPr>
              <w:pStyle w:val="Teksttabelilewy"/>
              <w:ind w:left="57"/>
              <w:rPr>
                <w:rFonts w:cstheme="minorHAnsi"/>
              </w:rPr>
            </w:pPr>
            <w:r w:rsidRPr="00795F17">
              <w:t>ul. Chlebowa 4/8</w:t>
            </w:r>
            <w:r w:rsidRPr="00795F17">
              <w:rPr>
                <w:rFonts w:cstheme="minorHAnsi"/>
              </w:rPr>
              <w:br/>
              <w:t>61-003 Poznań</w:t>
            </w:r>
          </w:p>
          <w:p w14:paraId="739F387B" w14:textId="77777777" w:rsidR="00804772" w:rsidRPr="00795F17" w:rsidRDefault="00804772" w:rsidP="001C6219">
            <w:pPr>
              <w:pStyle w:val="Teksttabelilewy"/>
              <w:ind w:left="57"/>
            </w:pPr>
          </w:p>
          <w:p w14:paraId="68E5271A" w14:textId="77777777" w:rsidR="00804772" w:rsidRPr="00795F17" w:rsidRDefault="00804772" w:rsidP="001C6219">
            <w:pPr>
              <w:pStyle w:val="Teksttabelilewy"/>
              <w:ind w:left="57"/>
              <w:rPr>
                <w:rFonts w:cstheme="minorHAnsi"/>
              </w:rPr>
            </w:pPr>
            <w:r w:rsidRPr="00795F17">
              <w:t>RZGW w Szczecinie</w:t>
            </w:r>
          </w:p>
          <w:p w14:paraId="3A19FD51" w14:textId="2E427A36" w:rsidR="00804772" w:rsidRPr="00795F17" w:rsidRDefault="00804772" w:rsidP="001C6219">
            <w:pPr>
              <w:pStyle w:val="Teksttabelilewy"/>
              <w:ind w:left="57"/>
              <w:rPr>
                <w:rFonts w:cstheme="minorHAnsi"/>
              </w:rPr>
            </w:pPr>
            <w:r w:rsidRPr="00795F17">
              <w:t>ul. Tama Pomorzańska 13A</w:t>
            </w:r>
            <w:r w:rsidRPr="00795F17">
              <w:rPr>
                <w:rFonts w:cstheme="minorHAnsi"/>
              </w:rPr>
              <w:br/>
              <w:t>70-030 Szczecin</w:t>
            </w:r>
          </w:p>
          <w:p w14:paraId="3BD02092" w14:textId="77777777" w:rsidR="00804772" w:rsidRPr="00795F17" w:rsidRDefault="00804772" w:rsidP="001C6219">
            <w:pPr>
              <w:pStyle w:val="Teksttabelilewy"/>
              <w:ind w:left="57"/>
            </w:pPr>
          </w:p>
          <w:p w14:paraId="1217E359" w14:textId="77777777" w:rsidR="00804772" w:rsidRPr="00795F17" w:rsidRDefault="00804772" w:rsidP="001C6219">
            <w:pPr>
              <w:pStyle w:val="Teksttabelilewy"/>
              <w:ind w:left="57"/>
              <w:rPr>
                <w:rFonts w:cstheme="minorHAnsi"/>
              </w:rPr>
            </w:pPr>
            <w:r w:rsidRPr="00795F17">
              <w:t>RZGW we Wrocławiu</w:t>
            </w:r>
          </w:p>
          <w:p w14:paraId="3979756B" w14:textId="77777777" w:rsidR="00804772" w:rsidRPr="00795F17" w:rsidRDefault="00804772" w:rsidP="001C6219">
            <w:pPr>
              <w:pStyle w:val="Teksttabelilewy"/>
              <w:ind w:left="57"/>
              <w:rPr>
                <w:rFonts w:cstheme="minorHAnsi"/>
              </w:rPr>
            </w:pPr>
            <w:r w:rsidRPr="00795F17">
              <w:t>ul. Norwida 34</w:t>
            </w:r>
          </w:p>
          <w:p w14:paraId="039A6A88" w14:textId="77777777" w:rsidR="00804772" w:rsidRPr="00795F17" w:rsidRDefault="00804772" w:rsidP="001C6219">
            <w:pPr>
              <w:pStyle w:val="Teksttabelilewy"/>
              <w:ind w:left="57"/>
            </w:pPr>
            <w:r w:rsidRPr="00795F17">
              <w:t>50-950 Wrocław</w:t>
            </w:r>
          </w:p>
        </w:tc>
      </w:tr>
      <w:tr w:rsidR="00804772" w:rsidRPr="00795F17" w14:paraId="79F4DD35" w14:textId="77777777" w:rsidTr="00AC0066">
        <w:trPr>
          <w:trHeight w:val="454"/>
        </w:trPr>
        <w:tc>
          <w:tcPr>
            <w:tcW w:w="462" w:type="dxa"/>
            <w:tcMar>
              <w:left w:w="28" w:type="dxa"/>
              <w:right w:w="28" w:type="dxa"/>
            </w:tcMar>
            <w:vAlign w:val="center"/>
          </w:tcPr>
          <w:p w14:paraId="4B7BD8D2" w14:textId="5A963466" w:rsidR="00804772" w:rsidRPr="00795F17" w:rsidRDefault="00804772" w:rsidP="0065243A">
            <w:pPr>
              <w:pStyle w:val="Teksttabelisrodek"/>
            </w:pPr>
            <w:r w:rsidRPr="00795F17">
              <w:t>5</w:t>
            </w:r>
            <w:r w:rsidR="009D3B31" w:rsidRPr="00795F17">
              <w:t>.</w:t>
            </w:r>
          </w:p>
        </w:tc>
        <w:tc>
          <w:tcPr>
            <w:tcW w:w="1801" w:type="dxa"/>
            <w:tcMar>
              <w:left w:w="28" w:type="dxa"/>
              <w:right w:w="28" w:type="dxa"/>
            </w:tcMar>
            <w:vAlign w:val="center"/>
          </w:tcPr>
          <w:p w14:paraId="6939E09B" w14:textId="77777777" w:rsidR="00804772" w:rsidRPr="00795F17" w:rsidRDefault="00804772" w:rsidP="001C6219">
            <w:pPr>
              <w:pStyle w:val="Teksttabelilewy"/>
              <w:ind w:left="57"/>
            </w:pPr>
            <w:r w:rsidRPr="00795F17">
              <w:t>Dyrektor ZZ WP</w:t>
            </w:r>
          </w:p>
        </w:tc>
        <w:tc>
          <w:tcPr>
            <w:tcW w:w="4820" w:type="dxa"/>
            <w:tcMar>
              <w:left w:w="28" w:type="dxa"/>
              <w:right w:w="28" w:type="dxa"/>
            </w:tcMar>
            <w:vAlign w:val="center"/>
          </w:tcPr>
          <w:p w14:paraId="226B7813" w14:textId="5F9065B0" w:rsidR="00453632" w:rsidRPr="00F4439C" w:rsidRDefault="00453632" w:rsidP="009F7F19">
            <w:pPr>
              <w:pStyle w:val="Teksttabelilewy"/>
              <w:ind w:left="57"/>
              <w:rPr>
                <w:rFonts w:eastAsiaTheme="minorEastAsia" w:cstheme="minorHAnsi"/>
                <w:szCs w:val="20"/>
              </w:rPr>
            </w:pPr>
            <w:r>
              <w:rPr>
                <w:rFonts w:eastAsiaTheme="minorEastAsia" w:cstheme="minorHAnsi"/>
                <w:szCs w:val="20"/>
              </w:rPr>
              <w:t>Prawo wodne;</w:t>
            </w:r>
          </w:p>
          <w:p w14:paraId="4C91B4FC" w14:textId="46206882" w:rsidR="00804772" w:rsidRPr="00795F17" w:rsidRDefault="00453632" w:rsidP="001C6219">
            <w:pPr>
              <w:pStyle w:val="Teksttabelilewy"/>
              <w:ind w:left="57"/>
            </w:pPr>
            <w:r>
              <w:rPr>
                <w:rFonts w:eastAsiaTheme="minorEastAsia" w:cstheme="minorHAnsi"/>
                <w:szCs w:val="20"/>
              </w:rPr>
              <w:t>r</w:t>
            </w:r>
            <w:r w:rsidRPr="00F4439C">
              <w:rPr>
                <w:rFonts w:eastAsiaTheme="minorEastAsia" w:cstheme="minorHAnsi"/>
                <w:szCs w:val="20"/>
              </w:rPr>
              <w:t>ozporządzenie Ministra Środowiska z dnia 28 grudnia 2017 r. w sprawie nadania statutu Państwowemu Gospodarstwu Wodnemu Wody Polskie (Dz.</w:t>
            </w:r>
            <w:r>
              <w:rPr>
                <w:rFonts w:eastAsiaTheme="minorEastAsia" w:cstheme="minorHAnsi"/>
                <w:szCs w:val="20"/>
              </w:rPr>
              <w:t xml:space="preserve"> </w:t>
            </w:r>
            <w:r w:rsidRPr="00F4439C">
              <w:rPr>
                <w:rFonts w:eastAsiaTheme="minorEastAsia" w:cstheme="minorHAnsi"/>
                <w:szCs w:val="20"/>
              </w:rPr>
              <w:t>U. poz. 2506)</w:t>
            </w:r>
          </w:p>
        </w:tc>
        <w:tc>
          <w:tcPr>
            <w:tcW w:w="2126" w:type="dxa"/>
            <w:tcMar>
              <w:left w:w="28" w:type="dxa"/>
              <w:right w:w="28" w:type="dxa"/>
            </w:tcMar>
            <w:vAlign w:val="center"/>
          </w:tcPr>
          <w:p w14:paraId="0CD8F327" w14:textId="6D1C252C" w:rsidR="00804772" w:rsidRPr="00795F17" w:rsidRDefault="00804772" w:rsidP="001C6219">
            <w:pPr>
              <w:pStyle w:val="Teksttabelilewy"/>
              <w:ind w:left="57"/>
            </w:pPr>
            <w:r w:rsidRPr="00795F17">
              <w:rPr>
                <w:noProof/>
              </w:rPr>
              <w:t xml:space="preserve">Zgodnie z wykazem </w:t>
            </w:r>
            <w:r w:rsidR="0028234C" w:rsidRPr="00795F17">
              <w:rPr>
                <w:noProof/>
              </w:rPr>
              <w:t>PGW WP</w:t>
            </w:r>
            <w:r w:rsidRPr="00795F17">
              <w:rPr>
                <w:noProof/>
              </w:rPr>
              <w:t xml:space="preserve"> w obszarze dorzecza Odry</w:t>
            </w:r>
            <w:r w:rsidR="00F11DA5" w:rsidRPr="00795F17">
              <w:rPr>
                <w:noProof/>
              </w:rPr>
              <w:t xml:space="preserve"> </w:t>
            </w:r>
            <w:r w:rsidRPr="00795F17">
              <w:rPr>
                <w:noProof/>
              </w:rPr>
              <w:t xml:space="preserve">funkcjonuje </w:t>
            </w:r>
            <w:r w:rsidR="00FC1049" w:rsidRPr="00795F17">
              <w:rPr>
                <w:noProof/>
              </w:rPr>
              <w:br/>
            </w:r>
            <w:r w:rsidRPr="00795F17">
              <w:rPr>
                <w:noProof/>
              </w:rPr>
              <w:t>20 ZZ WP</w:t>
            </w:r>
          </w:p>
        </w:tc>
      </w:tr>
      <w:tr w:rsidR="00804772" w:rsidRPr="00795F17" w14:paraId="19362B4A" w14:textId="77777777" w:rsidTr="00AC0066">
        <w:trPr>
          <w:trHeight w:val="454"/>
        </w:trPr>
        <w:tc>
          <w:tcPr>
            <w:tcW w:w="462" w:type="dxa"/>
            <w:tcMar>
              <w:left w:w="28" w:type="dxa"/>
              <w:right w:w="28" w:type="dxa"/>
            </w:tcMar>
            <w:vAlign w:val="center"/>
          </w:tcPr>
          <w:p w14:paraId="41D72361" w14:textId="4F651295" w:rsidR="00804772" w:rsidRPr="00795F17" w:rsidRDefault="00804772" w:rsidP="0065243A">
            <w:pPr>
              <w:pStyle w:val="Teksttabelisrodek"/>
            </w:pPr>
            <w:r w:rsidRPr="00795F17">
              <w:t>6</w:t>
            </w:r>
            <w:r w:rsidR="009D3B31" w:rsidRPr="00795F17">
              <w:t>.</w:t>
            </w:r>
          </w:p>
        </w:tc>
        <w:tc>
          <w:tcPr>
            <w:tcW w:w="1801" w:type="dxa"/>
            <w:tcMar>
              <w:left w:w="28" w:type="dxa"/>
              <w:right w:w="28" w:type="dxa"/>
            </w:tcMar>
            <w:vAlign w:val="center"/>
          </w:tcPr>
          <w:p w14:paraId="75751415" w14:textId="77777777" w:rsidR="00804772" w:rsidRPr="00795F17" w:rsidRDefault="00804772" w:rsidP="001C6219">
            <w:pPr>
              <w:pStyle w:val="Teksttabelilewy"/>
              <w:ind w:left="57"/>
            </w:pPr>
            <w:r w:rsidRPr="00795F17">
              <w:t>Kierownik NW WP</w:t>
            </w:r>
          </w:p>
        </w:tc>
        <w:tc>
          <w:tcPr>
            <w:tcW w:w="4820" w:type="dxa"/>
            <w:tcMar>
              <w:left w:w="28" w:type="dxa"/>
              <w:right w:w="28" w:type="dxa"/>
            </w:tcMar>
            <w:vAlign w:val="center"/>
          </w:tcPr>
          <w:p w14:paraId="11BA0090" w14:textId="6F9404AF" w:rsidR="001D50B7" w:rsidRDefault="001D50B7" w:rsidP="009F7F19">
            <w:pPr>
              <w:pStyle w:val="Teksttabelilewy"/>
              <w:ind w:left="57"/>
              <w:rPr>
                <w:rFonts w:eastAsiaTheme="minorEastAsia" w:cstheme="minorHAnsi"/>
                <w:szCs w:val="20"/>
              </w:rPr>
            </w:pPr>
            <w:r>
              <w:rPr>
                <w:rFonts w:eastAsiaTheme="minorEastAsia" w:cstheme="minorHAnsi"/>
                <w:szCs w:val="20"/>
              </w:rPr>
              <w:t>Prawo wodne;</w:t>
            </w:r>
          </w:p>
          <w:p w14:paraId="65F1B379" w14:textId="08D46027" w:rsidR="00804772" w:rsidRPr="00795F17" w:rsidRDefault="001D50B7" w:rsidP="001C6219">
            <w:pPr>
              <w:pStyle w:val="Teksttabelilewy"/>
              <w:ind w:left="57"/>
            </w:pPr>
            <w:r>
              <w:rPr>
                <w:rFonts w:eastAsiaTheme="minorEastAsia" w:cstheme="minorHAnsi"/>
                <w:szCs w:val="20"/>
              </w:rPr>
              <w:t>r</w:t>
            </w:r>
            <w:r w:rsidRPr="00F4439C">
              <w:rPr>
                <w:rFonts w:eastAsiaTheme="minorEastAsia" w:cstheme="minorHAnsi"/>
                <w:szCs w:val="20"/>
              </w:rPr>
              <w:t>ozporządzenie Ministra Środowiska z dnia 28 grudnia 2017 r. w sprawie nadania statutu Państwowemu Gospodarstwu Wodnemu Wody Polskie (Dz.U. poz. 2506)</w:t>
            </w:r>
          </w:p>
        </w:tc>
        <w:tc>
          <w:tcPr>
            <w:tcW w:w="2126" w:type="dxa"/>
            <w:tcMar>
              <w:left w:w="28" w:type="dxa"/>
              <w:right w:w="28" w:type="dxa"/>
            </w:tcMar>
            <w:vAlign w:val="center"/>
          </w:tcPr>
          <w:p w14:paraId="047F0D84" w14:textId="3A7C743A" w:rsidR="00804772" w:rsidRPr="00795F17" w:rsidRDefault="00804772" w:rsidP="001C6219">
            <w:pPr>
              <w:pStyle w:val="Teksttabelilewy"/>
              <w:ind w:left="57"/>
            </w:pPr>
            <w:r w:rsidRPr="00795F17">
              <w:rPr>
                <w:noProof/>
              </w:rPr>
              <w:t xml:space="preserve">Zgodnie z wykazem </w:t>
            </w:r>
            <w:r w:rsidR="0028234C" w:rsidRPr="00795F17">
              <w:rPr>
                <w:noProof/>
              </w:rPr>
              <w:t>PGW WP</w:t>
            </w:r>
            <w:r w:rsidRPr="00795F17">
              <w:rPr>
                <w:noProof/>
              </w:rPr>
              <w:t xml:space="preserve"> </w:t>
            </w:r>
            <w:r w:rsidR="00EF5938">
              <w:rPr>
                <w:noProof/>
              </w:rPr>
              <w:t>na</w:t>
            </w:r>
            <w:r w:rsidRPr="00795F17">
              <w:rPr>
                <w:noProof/>
              </w:rPr>
              <w:t xml:space="preserve"> obszarze dorzecza Odry funkcjonuje </w:t>
            </w:r>
            <w:r w:rsidR="00FC1049" w:rsidRPr="00795F17">
              <w:rPr>
                <w:noProof/>
              </w:rPr>
              <w:br/>
            </w:r>
            <w:r w:rsidRPr="00795F17">
              <w:rPr>
                <w:noProof/>
              </w:rPr>
              <w:t>133 NW WP</w:t>
            </w:r>
          </w:p>
        </w:tc>
      </w:tr>
      <w:tr w:rsidR="00804772" w:rsidRPr="00795F17" w14:paraId="6358C591" w14:textId="77777777" w:rsidTr="00AC0066">
        <w:trPr>
          <w:trHeight w:val="454"/>
        </w:trPr>
        <w:tc>
          <w:tcPr>
            <w:tcW w:w="462" w:type="dxa"/>
            <w:tcMar>
              <w:left w:w="28" w:type="dxa"/>
              <w:right w:w="28" w:type="dxa"/>
            </w:tcMar>
            <w:vAlign w:val="center"/>
          </w:tcPr>
          <w:p w14:paraId="4E278169" w14:textId="7386BCB0" w:rsidR="00804772" w:rsidRPr="00795F17" w:rsidRDefault="00804772" w:rsidP="0065243A">
            <w:pPr>
              <w:pStyle w:val="Teksttabelisrodek"/>
            </w:pPr>
            <w:r w:rsidRPr="00795F17">
              <w:t>7</w:t>
            </w:r>
            <w:r w:rsidR="009D3B31" w:rsidRPr="00795F17">
              <w:t>.</w:t>
            </w:r>
          </w:p>
        </w:tc>
        <w:tc>
          <w:tcPr>
            <w:tcW w:w="1801" w:type="dxa"/>
            <w:tcMar>
              <w:left w:w="28" w:type="dxa"/>
              <w:right w:w="28" w:type="dxa"/>
            </w:tcMar>
            <w:vAlign w:val="center"/>
          </w:tcPr>
          <w:p w14:paraId="5C9C7694" w14:textId="77777777" w:rsidR="00804772" w:rsidRPr="00795F17" w:rsidRDefault="00804772" w:rsidP="001C6219">
            <w:pPr>
              <w:pStyle w:val="Teksttabelilewy"/>
              <w:ind w:left="57"/>
            </w:pPr>
            <w:r w:rsidRPr="00795F17">
              <w:t>Dyrektor Urzędu Morskiego</w:t>
            </w:r>
          </w:p>
        </w:tc>
        <w:tc>
          <w:tcPr>
            <w:tcW w:w="4820" w:type="dxa"/>
            <w:tcMar>
              <w:left w:w="28" w:type="dxa"/>
              <w:right w:w="28" w:type="dxa"/>
            </w:tcMar>
            <w:vAlign w:val="center"/>
          </w:tcPr>
          <w:p w14:paraId="3B40B227" w14:textId="79CDDCE3" w:rsidR="001E5677" w:rsidRPr="00F4439C" w:rsidRDefault="001E5677" w:rsidP="009F7F19">
            <w:pPr>
              <w:pStyle w:val="Teksttabelilewy"/>
              <w:ind w:left="57"/>
              <w:rPr>
                <w:rFonts w:cstheme="minorHAnsi"/>
                <w:szCs w:val="20"/>
              </w:rPr>
            </w:pPr>
            <w:r>
              <w:rPr>
                <w:rFonts w:eastAsiaTheme="minorEastAsia" w:cstheme="minorHAnsi"/>
                <w:szCs w:val="20"/>
              </w:rPr>
              <w:t>Prawo wodne;</w:t>
            </w:r>
          </w:p>
          <w:p w14:paraId="3BFF5544" w14:textId="4AA262F4" w:rsidR="001E5677" w:rsidRPr="00F4439C" w:rsidRDefault="001E5677" w:rsidP="00116A0D">
            <w:pPr>
              <w:pStyle w:val="Teksttabelilewy"/>
              <w:ind w:left="57"/>
              <w:rPr>
                <w:rFonts w:cstheme="minorHAnsi"/>
                <w:szCs w:val="20"/>
              </w:rPr>
            </w:pPr>
            <w:r>
              <w:rPr>
                <w:rFonts w:cstheme="minorHAnsi"/>
                <w:szCs w:val="20"/>
              </w:rPr>
              <w:t>u</w:t>
            </w:r>
            <w:r w:rsidRPr="00F4439C">
              <w:rPr>
                <w:rFonts w:cstheme="minorHAnsi"/>
                <w:szCs w:val="20"/>
              </w:rPr>
              <w:t>stawa z dnia 21 marca 1991 r. o obszarach morskich Rzeczypospolitej Polskiej i administracji morskiej (art. 38 ust. 1 pkt 2) (Dz.</w:t>
            </w:r>
            <w:r>
              <w:rPr>
                <w:rFonts w:cstheme="minorHAnsi"/>
                <w:szCs w:val="20"/>
              </w:rPr>
              <w:t xml:space="preserve"> </w:t>
            </w:r>
            <w:r w:rsidRPr="00F4439C">
              <w:rPr>
                <w:rFonts w:cstheme="minorHAnsi"/>
                <w:szCs w:val="20"/>
              </w:rPr>
              <w:t>U. z 202</w:t>
            </w:r>
            <w:r>
              <w:rPr>
                <w:rFonts w:cstheme="minorHAnsi"/>
                <w:szCs w:val="20"/>
              </w:rPr>
              <w:t>2</w:t>
            </w:r>
            <w:r w:rsidRPr="00F4439C">
              <w:rPr>
                <w:rFonts w:cstheme="minorHAnsi"/>
                <w:szCs w:val="20"/>
              </w:rPr>
              <w:t xml:space="preserve"> r. poz. </w:t>
            </w:r>
            <w:r>
              <w:rPr>
                <w:rFonts w:cstheme="minorHAnsi"/>
                <w:szCs w:val="20"/>
              </w:rPr>
              <w:t>457</w:t>
            </w:r>
            <w:r w:rsidRPr="00F4439C">
              <w:rPr>
                <w:rFonts w:cstheme="minorHAnsi"/>
                <w:szCs w:val="20"/>
              </w:rPr>
              <w:t>)</w:t>
            </w:r>
            <w:r>
              <w:rPr>
                <w:rFonts w:cstheme="minorHAnsi"/>
                <w:szCs w:val="20"/>
              </w:rPr>
              <w:t>;</w:t>
            </w:r>
          </w:p>
          <w:p w14:paraId="13136455" w14:textId="0352F18D" w:rsidR="00804772" w:rsidRPr="00795F17" w:rsidRDefault="001E5677" w:rsidP="001C6219">
            <w:pPr>
              <w:pStyle w:val="Teksttabelilewy"/>
              <w:ind w:left="57"/>
            </w:pPr>
            <w:r>
              <w:rPr>
                <w:rFonts w:cstheme="minorHAnsi"/>
                <w:szCs w:val="20"/>
              </w:rPr>
              <w:t>r</w:t>
            </w:r>
            <w:r w:rsidRPr="00F4439C">
              <w:rPr>
                <w:rFonts w:cstheme="minorHAnsi"/>
                <w:szCs w:val="20"/>
              </w:rPr>
              <w:t>ozporządzenie Ministra Transportu i Gospodarki Morskiej z dnia 7 października 1991 r. w sprawie utworzenia urzędów morskich, określenia ich siedzib oraz terytorialnego zakresu działania dyrektorów urzędów morskich (Dz.</w:t>
            </w:r>
            <w:r>
              <w:rPr>
                <w:rFonts w:cstheme="minorHAnsi"/>
                <w:szCs w:val="20"/>
              </w:rPr>
              <w:t xml:space="preserve"> </w:t>
            </w:r>
            <w:r w:rsidRPr="00F4439C">
              <w:rPr>
                <w:rFonts w:cstheme="minorHAnsi"/>
                <w:szCs w:val="20"/>
              </w:rPr>
              <w:t xml:space="preserve">U. z </w:t>
            </w:r>
            <w:r>
              <w:rPr>
                <w:rFonts w:cstheme="minorHAnsi"/>
                <w:szCs w:val="20"/>
              </w:rPr>
              <w:t>2021</w:t>
            </w:r>
            <w:r w:rsidRPr="00F4439C">
              <w:rPr>
                <w:rFonts w:cstheme="minorHAnsi"/>
                <w:szCs w:val="20"/>
              </w:rPr>
              <w:t xml:space="preserve"> r. poz. </w:t>
            </w:r>
            <w:r>
              <w:rPr>
                <w:rFonts w:cstheme="minorHAnsi"/>
                <w:szCs w:val="20"/>
              </w:rPr>
              <w:t>1339</w:t>
            </w:r>
            <w:r w:rsidRPr="00F4439C">
              <w:rPr>
                <w:rFonts w:cstheme="minorHAnsi"/>
                <w:szCs w:val="20"/>
              </w:rPr>
              <w:t>)</w:t>
            </w:r>
          </w:p>
        </w:tc>
        <w:tc>
          <w:tcPr>
            <w:tcW w:w="2126" w:type="dxa"/>
            <w:tcMar>
              <w:left w:w="28" w:type="dxa"/>
              <w:right w:w="28" w:type="dxa"/>
            </w:tcMar>
            <w:vAlign w:val="center"/>
          </w:tcPr>
          <w:p w14:paraId="69FCD416" w14:textId="77777777" w:rsidR="00804772" w:rsidRPr="00795F17" w:rsidRDefault="00804772" w:rsidP="001C6219">
            <w:pPr>
              <w:pStyle w:val="Teksttabelilewy"/>
              <w:ind w:left="57"/>
              <w:rPr>
                <w:rFonts w:cstheme="minorHAnsi"/>
              </w:rPr>
            </w:pPr>
            <w:r w:rsidRPr="00795F17">
              <w:t>Urząd Morski w Gdyni</w:t>
            </w:r>
          </w:p>
          <w:p w14:paraId="66E9C45C" w14:textId="4822E87C" w:rsidR="00804772" w:rsidRPr="00795F17" w:rsidRDefault="00804772" w:rsidP="001C6219">
            <w:pPr>
              <w:pStyle w:val="Teksttabelilewy"/>
              <w:ind w:left="57"/>
              <w:rPr>
                <w:rFonts w:cstheme="minorHAnsi"/>
              </w:rPr>
            </w:pPr>
            <w:r w:rsidRPr="00795F17">
              <w:t xml:space="preserve">ul. Bernarda Chrzanowskiego 10, </w:t>
            </w:r>
            <w:r w:rsidR="00FC1049" w:rsidRPr="00795F17">
              <w:br/>
            </w:r>
            <w:r w:rsidRPr="00795F17">
              <w:t>81-338 Gdynia</w:t>
            </w:r>
          </w:p>
          <w:p w14:paraId="5B9AE04F" w14:textId="77777777" w:rsidR="00F11DA5" w:rsidRPr="00795F17" w:rsidRDefault="00F11DA5" w:rsidP="001C6219">
            <w:pPr>
              <w:pStyle w:val="Teksttabelilewy"/>
              <w:ind w:left="57"/>
            </w:pPr>
          </w:p>
          <w:p w14:paraId="311EF3F6" w14:textId="0B308994" w:rsidR="00804772" w:rsidRPr="00795F17" w:rsidRDefault="00804772" w:rsidP="001C6219">
            <w:pPr>
              <w:pStyle w:val="Teksttabelilewy"/>
              <w:ind w:left="57"/>
              <w:rPr>
                <w:rFonts w:cstheme="minorHAnsi"/>
              </w:rPr>
            </w:pPr>
            <w:r w:rsidRPr="00795F17">
              <w:t>Urząd Morski w</w:t>
            </w:r>
            <w:r w:rsidR="00A134D7">
              <w:t> </w:t>
            </w:r>
            <w:r w:rsidRPr="00795F17">
              <w:t xml:space="preserve">Szczecinie </w:t>
            </w:r>
          </w:p>
          <w:p w14:paraId="114D739B" w14:textId="203C3889" w:rsidR="00804772" w:rsidRPr="00795F17" w:rsidRDefault="00804772" w:rsidP="001C6219">
            <w:pPr>
              <w:pStyle w:val="Teksttabelilewy"/>
              <w:ind w:left="57"/>
            </w:pPr>
            <w:r w:rsidRPr="00795F17">
              <w:t>Pl. Stefana Batorego 4</w:t>
            </w:r>
            <w:r w:rsidR="00FC1049" w:rsidRPr="00795F17">
              <w:br/>
            </w:r>
            <w:r w:rsidRPr="00795F17">
              <w:t>70-207 Szczecin</w:t>
            </w:r>
          </w:p>
        </w:tc>
      </w:tr>
      <w:tr w:rsidR="00804772" w:rsidRPr="00795F17" w14:paraId="3CF52279" w14:textId="77777777" w:rsidTr="00AC0066">
        <w:trPr>
          <w:trHeight w:val="454"/>
        </w:trPr>
        <w:tc>
          <w:tcPr>
            <w:tcW w:w="462" w:type="dxa"/>
            <w:tcMar>
              <w:left w:w="28" w:type="dxa"/>
              <w:right w:w="28" w:type="dxa"/>
            </w:tcMar>
            <w:vAlign w:val="center"/>
          </w:tcPr>
          <w:p w14:paraId="5FA037B9" w14:textId="13018E9F" w:rsidR="00804772" w:rsidRPr="00795F17" w:rsidRDefault="00804772" w:rsidP="0065243A">
            <w:pPr>
              <w:pStyle w:val="Teksttabelisrodek"/>
            </w:pPr>
            <w:r w:rsidRPr="00795F17">
              <w:t>8</w:t>
            </w:r>
            <w:r w:rsidR="009D3B31" w:rsidRPr="00795F17">
              <w:t>.</w:t>
            </w:r>
          </w:p>
        </w:tc>
        <w:tc>
          <w:tcPr>
            <w:tcW w:w="1801" w:type="dxa"/>
            <w:tcMar>
              <w:left w:w="28" w:type="dxa"/>
              <w:right w:w="28" w:type="dxa"/>
            </w:tcMar>
            <w:vAlign w:val="center"/>
          </w:tcPr>
          <w:p w14:paraId="20868B33" w14:textId="77777777" w:rsidR="00804772" w:rsidRPr="00795F17" w:rsidRDefault="00804772" w:rsidP="001C6219">
            <w:pPr>
              <w:pStyle w:val="Teksttabelilewy"/>
              <w:ind w:left="57"/>
            </w:pPr>
            <w:r w:rsidRPr="00795F17">
              <w:t>Wojewoda</w:t>
            </w:r>
          </w:p>
        </w:tc>
        <w:tc>
          <w:tcPr>
            <w:tcW w:w="4820" w:type="dxa"/>
            <w:tcMar>
              <w:left w:w="28" w:type="dxa"/>
              <w:right w:w="28" w:type="dxa"/>
            </w:tcMar>
            <w:vAlign w:val="center"/>
          </w:tcPr>
          <w:p w14:paraId="502F9295" w14:textId="5B946302" w:rsidR="0090725E" w:rsidRPr="00F4439C" w:rsidRDefault="0090725E" w:rsidP="009F7F19">
            <w:pPr>
              <w:pStyle w:val="Teksttabelilewy"/>
              <w:ind w:left="57"/>
              <w:rPr>
                <w:rFonts w:cstheme="minorHAnsi"/>
                <w:szCs w:val="20"/>
              </w:rPr>
            </w:pPr>
            <w:r>
              <w:rPr>
                <w:rFonts w:eastAsiaTheme="minorEastAsia" w:cstheme="minorHAnsi"/>
                <w:szCs w:val="20"/>
              </w:rPr>
              <w:t>Prawo wodne;</w:t>
            </w:r>
          </w:p>
          <w:p w14:paraId="0ED93874" w14:textId="797D2AD2" w:rsidR="00804772" w:rsidRPr="00795F17" w:rsidRDefault="0090725E" w:rsidP="001C6219">
            <w:pPr>
              <w:pStyle w:val="Teksttabelilewy"/>
              <w:ind w:left="57"/>
            </w:pPr>
            <w:r>
              <w:rPr>
                <w:rFonts w:cstheme="minorHAnsi"/>
                <w:szCs w:val="20"/>
              </w:rPr>
              <w:t>u</w:t>
            </w:r>
            <w:r w:rsidRPr="00F4439C">
              <w:rPr>
                <w:rFonts w:cstheme="minorHAnsi"/>
                <w:szCs w:val="20"/>
              </w:rPr>
              <w:t>stawa z dnia 23 stycznia 2009 r. o wojewodzie i administracji rządowej w województwie (art. 3) (Dz.</w:t>
            </w:r>
            <w:r>
              <w:rPr>
                <w:rFonts w:cstheme="minorHAnsi"/>
                <w:szCs w:val="20"/>
              </w:rPr>
              <w:t xml:space="preserve"> </w:t>
            </w:r>
            <w:r w:rsidRPr="00F4439C">
              <w:rPr>
                <w:rFonts w:cstheme="minorHAnsi"/>
                <w:szCs w:val="20"/>
              </w:rPr>
              <w:t>U. z 20</w:t>
            </w:r>
            <w:r>
              <w:rPr>
                <w:rFonts w:cstheme="minorHAnsi"/>
                <w:szCs w:val="20"/>
              </w:rPr>
              <w:t>22</w:t>
            </w:r>
            <w:r w:rsidRPr="00F4439C">
              <w:rPr>
                <w:rFonts w:cstheme="minorHAnsi"/>
                <w:szCs w:val="20"/>
              </w:rPr>
              <w:t xml:space="preserve"> r. poz. </w:t>
            </w:r>
            <w:r>
              <w:rPr>
                <w:rFonts w:cstheme="minorHAnsi"/>
                <w:szCs w:val="20"/>
              </w:rPr>
              <w:t>135, z późn. zm.</w:t>
            </w:r>
            <w:r w:rsidRPr="00F4439C">
              <w:rPr>
                <w:rFonts w:cstheme="minorHAnsi"/>
                <w:szCs w:val="20"/>
              </w:rPr>
              <w:t>)</w:t>
            </w:r>
          </w:p>
        </w:tc>
        <w:tc>
          <w:tcPr>
            <w:tcW w:w="2126" w:type="dxa"/>
            <w:tcMar>
              <w:left w:w="28" w:type="dxa"/>
              <w:right w:w="28" w:type="dxa"/>
            </w:tcMar>
            <w:vAlign w:val="center"/>
          </w:tcPr>
          <w:p w14:paraId="3E577A21" w14:textId="77777777" w:rsidR="00804772" w:rsidRPr="00795F17" w:rsidRDefault="00804772" w:rsidP="001C6219">
            <w:pPr>
              <w:pStyle w:val="Teksttabelilewy"/>
              <w:ind w:left="57"/>
            </w:pPr>
            <w:r w:rsidRPr="00795F17">
              <w:t>Stosownie do podziału administracyjnego</w:t>
            </w:r>
          </w:p>
        </w:tc>
      </w:tr>
      <w:tr w:rsidR="00804772" w:rsidRPr="00795F17" w14:paraId="0629BB87" w14:textId="77777777" w:rsidTr="00AC0066">
        <w:trPr>
          <w:trHeight w:val="454"/>
        </w:trPr>
        <w:tc>
          <w:tcPr>
            <w:tcW w:w="462" w:type="dxa"/>
            <w:tcMar>
              <w:left w:w="28" w:type="dxa"/>
              <w:right w:w="28" w:type="dxa"/>
            </w:tcMar>
            <w:vAlign w:val="center"/>
          </w:tcPr>
          <w:p w14:paraId="233857AC" w14:textId="3DC925C8" w:rsidR="00804772" w:rsidRPr="00795F17" w:rsidRDefault="00804772" w:rsidP="0065243A">
            <w:pPr>
              <w:pStyle w:val="Teksttabelisrodek"/>
            </w:pPr>
            <w:r w:rsidRPr="00795F17">
              <w:t>9</w:t>
            </w:r>
            <w:r w:rsidR="009D3B31" w:rsidRPr="00795F17">
              <w:t>.</w:t>
            </w:r>
          </w:p>
        </w:tc>
        <w:tc>
          <w:tcPr>
            <w:tcW w:w="1801" w:type="dxa"/>
            <w:tcMar>
              <w:left w:w="28" w:type="dxa"/>
              <w:right w:w="28" w:type="dxa"/>
            </w:tcMar>
            <w:vAlign w:val="center"/>
          </w:tcPr>
          <w:p w14:paraId="4388218C" w14:textId="77777777" w:rsidR="00804772" w:rsidRPr="00795F17" w:rsidRDefault="00804772" w:rsidP="001C6219">
            <w:pPr>
              <w:pStyle w:val="Teksttabelilewy"/>
              <w:ind w:left="57"/>
            </w:pPr>
            <w:r w:rsidRPr="00795F17">
              <w:t>Starosta</w:t>
            </w:r>
          </w:p>
        </w:tc>
        <w:tc>
          <w:tcPr>
            <w:tcW w:w="4820" w:type="dxa"/>
            <w:tcMar>
              <w:left w:w="28" w:type="dxa"/>
              <w:right w:w="28" w:type="dxa"/>
            </w:tcMar>
            <w:vAlign w:val="center"/>
          </w:tcPr>
          <w:p w14:paraId="6E2471CD" w14:textId="46F98B07" w:rsidR="00E2633A" w:rsidRPr="00F4439C" w:rsidRDefault="00E2633A" w:rsidP="009F7F19">
            <w:pPr>
              <w:pStyle w:val="Teksttabelilewy"/>
              <w:ind w:left="57"/>
              <w:rPr>
                <w:rFonts w:cstheme="minorHAnsi"/>
                <w:szCs w:val="20"/>
              </w:rPr>
            </w:pPr>
            <w:r>
              <w:rPr>
                <w:rFonts w:eastAsiaTheme="minorEastAsia" w:cstheme="minorHAnsi"/>
                <w:szCs w:val="20"/>
              </w:rPr>
              <w:t>Prawo wodne;</w:t>
            </w:r>
          </w:p>
          <w:p w14:paraId="22E61DA8" w14:textId="6B130634" w:rsidR="00804772" w:rsidRPr="00795F17" w:rsidRDefault="00E2633A" w:rsidP="001C6219">
            <w:pPr>
              <w:pStyle w:val="Teksttabelilewy"/>
              <w:ind w:left="57"/>
            </w:pPr>
            <w:r>
              <w:rPr>
                <w:rFonts w:cstheme="minorHAnsi"/>
                <w:szCs w:val="20"/>
              </w:rPr>
              <w:t>u</w:t>
            </w:r>
            <w:r w:rsidRPr="00F4439C">
              <w:rPr>
                <w:rFonts w:cstheme="minorHAnsi"/>
                <w:szCs w:val="20"/>
              </w:rPr>
              <w:t>stawa z dnia 5 czerwca 1998 r. o samorządzie powiatowym (art. 26 ust. 2) (Dz.</w:t>
            </w:r>
            <w:r>
              <w:rPr>
                <w:rFonts w:cstheme="minorHAnsi"/>
                <w:szCs w:val="20"/>
              </w:rPr>
              <w:t xml:space="preserve"> </w:t>
            </w:r>
            <w:r w:rsidRPr="00F4439C">
              <w:rPr>
                <w:rFonts w:cstheme="minorHAnsi"/>
                <w:szCs w:val="20"/>
              </w:rPr>
              <w:t>U. z 202</w:t>
            </w:r>
            <w:r>
              <w:rPr>
                <w:rFonts w:cstheme="minorHAnsi"/>
                <w:szCs w:val="20"/>
              </w:rPr>
              <w:t>2</w:t>
            </w:r>
            <w:r w:rsidRPr="00F4439C">
              <w:rPr>
                <w:rFonts w:cstheme="minorHAnsi"/>
                <w:szCs w:val="20"/>
              </w:rPr>
              <w:t xml:space="preserve"> r. poz. </w:t>
            </w:r>
            <w:r>
              <w:rPr>
                <w:rFonts w:cstheme="minorHAnsi"/>
                <w:szCs w:val="20"/>
              </w:rPr>
              <w:t>528, z późn. zm.</w:t>
            </w:r>
            <w:r w:rsidRPr="00F4439C">
              <w:rPr>
                <w:rFonts w:cstheme="minorHAnsi"/>
                <w:szCs w:val="20"/>
              </w:rPr>
              <w:t>)</w:t>
            </w:r>
          </w:p>
        </w:tc>
        <w:tc>
          <w:tcPr>
            <w:tcW w:w="2126" w:type="dxa"/>
            <w:tcMar>
              <w:left w:w="28" w:type="dxa"/>
              <w:right w:w="28" w:type="dxa"/>
            </w:tcMar>
            <w:vAlign w:val="center"/>
          </w:tcPr>
          <w:p w14:paraId="710C7678" w14:textId="77777777" w:rsidR="00804772" w:rsidRPr="00795F17" w:rsidRDefault="00804772" w:rsidP="001C6219">
            <w:pPr>
              <w:pStyle w:val="Teksttabelilewy"/>
              <w:ind w:left="57"/>
            </w:pPr>
            <w:r w:rsidRPr="00795F17">
              <w:t>Stosownie do podziału administracyjnego</w:t>
            </w:r>
          </w:p>
        </w:tc>
      </w:tr>
      <w:tr w:rsidR="00804772" w:rsidRPr="00795F17" w14:paraId="098211AD" w14:textId="77777777" w:rsidTr="00AC0066">
        <w:trPr>
          <w:trHeight w:val="454"/>
        </w:trPr>
        <w:tc>
          <w:tcPr>
            <w:tcW w:w="462" w:type="dxa"/>
            <w:tcMar>
              <w:left w:w="28" w:type="dxa"/>
              <w:right w:w="28" w:type="dxa"/>
            </w:tcMar>
            <w:vAlign w:val="center"/>
          </w:tcPr>
          <w:p w14:paraId="0A0BED1B" w14:textId="68BB3016" w:rsidR="00804772" w:rsidRPr="00795F17" w:rsidRDefault="00804772" w:rsidP="0065243A">
            <w:pPr>
              <w:pStyle w:val="Teksttabelisrodek"/>
            </w:pPr>
            <w:r w:rsidRPr="00795F17">
              <w:t>10</w:t>
            </w:r>
            <w:r w:rsidR="009D3B31" w:rsidRPr="00795F17">
              <w:t>.</w:t>
            </w:r>
          </w:p>
        </w:tc>
        <w:tc>
          <w:tcPr>
            <w:tcW w:w="1801" w:type="dxa"/>
            <w:tcMar>
              <w:left w:w="28" w:type="dxa"/>
              <w:right w:w="28" w:type="dxa"/>
            </w:tcMar>
            <w:vAlign w:val="center"/>
          </w:tcPr>
          <w:p w14:paraId="0693EE18" w14:textId="77777777" w:rsidR="00804772" w:rsidRPr="00795F17" w:rsidRDefault="00804772" w:rsidP="001C6219">
            <w:pPr>
              <w:pStyle w:val="Teksttabelilewy"/>
              <w:ind w:left="57"/>
            </w:pPr>
            <w:r w:rsidRPr="00795F17">
              <w:t>Wójt, burmistrz lub prezydent miasta</w:t>
            </w:r>
          </w:p>
        </w:tc>
        <w:tc>
          <w:tcPr>
            <w:tcW w:w="4820" w:type="dxa"/>
            <w:tcMar>
              <w:left w:w="28" w:type="dxa"/>
              <w:right w:w="28" w:type="dxa"/>
            </w:tcMar>
            <w:vAlign w:val="center"/>
          </w:tcPr>
          <w:p w14:paraId="7A0C897E" w14:textId="194C12D9" w:rsidR="00E674D1" w:rsidRPr="00F4439C" w:rsidRDefault="00E674D1" w:rsidP="009F7F19">
            <w:pPr>
              <w:pStyle w:val="Teksttabelilewy"/>
              <w:ind w:left="57"/>
              <w:rPr>
                <w:rFonts w:cstheme="minorHAnsi"/>
                <w:szCs w:val="20"/>
              </w:rPr>
            </w:pPr>
            <w:r>
              <w:rPr>
                <w:rFonts w:eastAsiaTheme="minorEastAsia" w:cstheme="minorHAnsi"/>
                <w:szCs w:val="20"/>
              </w:rPr>
              <w:t>Prawo wodne;</w:t>
            </w:r>
          </w:p>
          <w:p w14:paraId="4C18A15F" w14:textId="5F1D5E54" w:rsidR="00804772" w:rsidRPr="00795F17" w:rsidRDefault="00E674D1" w:rsidP="001C6219">
            <w:pPr>
              <w:pStyle w:val="Teksttabelilewy"/>
              <w:ind w:left="57"/>
            </w:pPr>
            <w:r>
              <w:rPr>
                <w:rFonts w:cstheme="minorHAnsi"/>
                <w:szCs w:val="20"/>
              </w:rPr>
              <w:t>u</w:t>
            </w:r>
            <w:r w:rsidRPr="00F4439C">
              <w:rPr>
                <w:rFonts w:cstheme="minorHAnsi"/>
                <w:szCs w:val="20"/>
              </w:rPr>
              <w:t>stawa z 8 marca 1990 r. o samorządzie gminnym (art. 11a ust. 1 pkt 2 i art. 26 ust. 1) (Dz.</w:t>
            </w:r>
            <w:r>
              <w:rPr>
                <w:rFonts w:cstheme="minorHAnsi"/>
                <w:szCs w:val="20"/>
              </w:rPr>
              <w:t xml:space="preserve"> </w:t>
            </w:r>
            <w:r w:rsidRPr="00F4439C">
              <w:rPr>
                <w:rFonts w:cstheme="minorHAnsi"/>
                <w:szCs w:val="20"/>
              </w:rPr>
              <w:t>U. z 202</w:t>
            </w:r>
            <w:r>
              <w:rPr>
                <w:rFonts w:cstheme="minorHAnsi"/>
                <w:szCs w:val="20"/>
              </w:rPr>
              <w:t xml:space="preserve">2 </w:t>
            </w:r>
            <w:r w:rsidRPr="00F4439C">
              <w:rPr>
                <w:rFonts w:cstheme="minorHAnsi"/>
                <w:szCs w:val="20"/>
              </w:rPr>
              <w:t xml:space="preserve">r. poz. </w:t>
            </w:r>
            <w:r>
              <w:rPr>
                <w:rFonts w:cstheme="minorHAnsi"/>
                <w:szCs w:val="20"/>
              </w:rPr>
              <w:t>559, z późn. zm.</w:t>
            </w:r>
            <w:r w:rsidRPr="00F4439C">
              <w:rPr>
                <w:rFonts w:cstheme="minorHAnsi"/>
                <w:szCs w:val="20"/>
              </w:rPr>
              <w:t>)</w:t>
            </w:r>
          </w:p>
        </w:tc>
        <w:tc>
          <w:tcPr>
            <w:tcW w:w="2126" w:type="dxa"/>
            <w:tcMar>
              <w:left w:w="28" w:type="dxa"/>
              <w:right w:w="28" w:type="dxa"/>
            </w:tcMar>
            <w:vAlign w:val="center"/>
          </w:tcPr>
          <w:p w14:paraId="67F3A807" w14:textId="77777777" w:rsidR="00804772" w:rsidRPr="00795F17" w:rsidRDefault="00804772" w:rsidP="001C6219">
            <w:pPr>
              <w:pStyle w:val="Teksttabelilewy"/>
              <w:ind w:left="57"/>
            </w:pPr>
            <w:r w:rsidRPr="00795F17">
              <w:t>Stosownie do podziału administracyjnego</w:t>
            </w:r>
          </w:p>
        </w:tc>
      </w:tr>
    </w:tbl>
    <w:bookmarkEnd w:id="1057"/>
    <w:p w14:paraId="5DECDA5C" w14:textId="6FDBB758" w:rsidR="00804772" w:rsidRPr="00795F17" w:rsidRDefault="00804772" w:rsidP="0044393D">
      <w:pPr>
        <w:pStyle w:val="rdo"/>
      </w:pPr>
      <w:r w:rsidRPr="00795F17">
        <w:t xml:space="preserve">Źródło: </w:t>
      </w:r>
      <w:r w:rsidR="00FD7248" w:rsidRPr="00795F17">
        <w:t>opracowanie własne</w:t>
      </w:r>
      <w:r w:rsidRPr="00795F17">
        <w:t xml:space="preserve"> na podstawie obowiązujących aktów prawnych</w:t>
      </w:r>
    </w:p>
    <w:p w14:paraId="75C3D436" w14:textId="6C49E42C" w:rsidR="005862B8" w:rsidRPr="00795F17" w:rsidRDefault="00804772" w:rsidP="0044393D">
      <w:r w:rsidRPr="00795F17">
        <w:t>W poprzednim stanie prawnym</w:t>
      </w:r>
      <w:r w:rsidR="00CA4024">
        <w:t>,</w:t>
      </w:r>
      <w:r w:rsidRPr="00795F17">
        <w:t xml:space="preserve"> tj. na bazie przepisów s.pr.w. organami właściwymi w</w:t>
      </w:r>
      <w:r w:rsidR="002F0E2C">
        <w:t> </w:t>
      </w:r>
      <w:r w:rsidRPr="00795F17">
        <w:t>sprawach gospodarowania wodami byli minister właściwy ds. gospodarki wodnej, Prezes KZGW, Dyrektor RZGW, wojewoda i organy samorządu terytorialnego. Przy określaniu kompetencji Ministra Środowiska wskazywano na art. 4 ust. 2 s.pr.w., z którego wynikało, że minister właściwy do spraw gospodarki wodnej składa Sejmowi Rzeczypospolitej Polskiej co dwa lata, nie później niż do dnia 30</w:t>
      </w:r>
      <w:r w:rsidR="00FD043B" w:rsidRPr="00795F17">
        <w:t> </w:t>
      </w:r>
      <w:r w:rsidRPr="00795F17">
        <w:t>czerwca, informację o gospodarowaniu wodami dotyczącą m.in. realizowania planów gospodarowania wodami na obszarach dorzeczy. Ponadto zgodnie z art. 89 ust. 4 s.pr.w. minister właściwy do spraw gospodarki wodnej sprawował nadzór nad działalnością Prezesa KZGW w</w:t>
      </w:r>
      <w:r w:rsidR="00FD043B" w:rsidRPr="00795F17">
        <w:t> </w:t>
      </w:r>
      <w:r w:rsidRPr="00795F17">
        <w:t xml:space="preserve">szczególności w zakresie: </w:t>
      </w:r>
    </w:p>
    <w:p w14:paraId="490C5E78" w14:textId="7D0CFD81" w:rsidR="005862B8" w:rsidRPr="00795F17" w:rsidRDefault="00804772" w:rsidP="005635FD">
      <w:pPr>
        <w:pStyle w:val="Numerowanie"/>
        <w:numPr>
          <w:ilvl w:val="0"/>
          <w:numId w:val="84"/>
        </w:numPr>
      </w:pPr>
      <w:r w:rsidRPr="00795F17">
        <w:t xml:space="preserve">zatwierdzania programów realizacji zadań związanych z utrzymywaniem wód lub urządzeń wodnych oraz inwestycji w gospodarce wodnej; </w:t>
      </w:r>
    </w:p>
    <w:p w14:paraId="2538F7F3" w14:textId="69C3551B" w:rsidR="005862B8" w:rsidRPr="00795F17" w:rsidRDefault="00804772" w:rsidP="005635FD">
      <w:pPr>
        <w:pStyle w:val="Numerowanie"/>
        <w:numPr>
          <w:ilvl w:val="0"/>
          <w:numId w:val="84"/>
        </w:numPr>
      </w:pPr>
      <w:r w:rsidRPr="00795F17">
        <w:t xml:space="preserve">zatwierdzania corocznego sprawozdania, o którym mowa w art. 91 s.pr.w.; </w:t>
      </w:r>
    </w:p>
    <w:p w14:paraId="59A31BEB" w14:textId="58851A2C" w:rsidR="005862B8" w:rsidRPr="00795F17" w:rsidRDefault="00804772" w:rsidP="005635FD">
      <w:pPr>
        <w:pStyle w:val="Numerowanie"/>
        <w:numPr>
          <w:ilvl w:val="0"/>
          <w:numId w:val="84"/>
        </w:numPr>
      </w:pPr>
      <w:r w:rsidRPr="00795F17">
        <w:t xml:space="preserve">zatwierdzania planu kontroli gospodarowania wodami wykonywanej przez Prezesa KZGW; </w:t>
      </w:r>
    </w:p>
    <w:p w14:paraId="2C210305" w14:textId="13482B2E" w:rsidR="00804772" w:rsidRPr="00795F17" w:rsidRDefault="00804772" w:rsidP="005635FD">
      <w:pPr>
        <w:pStyle w:val="Numerowanie"/>
        <w:numPr>
          <w:ilvl w:val="0"/>
          <w:numId w:val="84"/>
        </w:numPr>
      </w:pPr>
      <w:r w:rsidRPr="00795F17">
        <w:t>przeprowadzenia kontroli nieujętych w planie kontroli.</w:t>
      </w:r>
    </w:p>
    <w:p w14:paraId="097D9982" w14:textId="77777777" w:rsidR="00804772" w:rsidRPr="00795F17" w:rsidRDefault="00804772" w:rsidP="0044393D">
      <w:pPr>
        <w:pStyle w:val="Nagwek5"/>
        <w:rPr>
          <w:rFonts w:asciiTheme="minorHAnsi" w:hAnsiTheme="minorHAnsi" w:cstheme="minorHAnsi"/>
          <w:bCs/>
        </w:rPr>
      </w:pPr>
      <w:r w:rsidRPr="00795F17">
        <w:t>Prezes KZGW</w:t>
      </w:r>
    </w:p>
    <w:p w14:paraId="3276B6AA" w14:textId="41302470" w:rsidR="00804772" w:rsidRPr="00795F17" w:rsidRDefault="00804772" w:rsidP="0044393D">
      <w:r w:rsidRPr="00795F17">
        <w:t>Prezes KZGW był centralnym organem administracji rządowej, właściwym w sprawach gospodarowania wodami, a w szczególności w sprawach zarządzania wodami oraz korzystania z wód i</w:t>
      </w:r>
      <w:r w:rsidR="00FD043B" w:rsidRPr="00795F17">
        <w:t> </w:t>
      </w:r>
      <w:r w:rsidRPr="00795F17">
        <w:t xml:space="preserve">wykonywał zadania określone </w:t>
      </w:r>
      <w:r w:rsidR="00E15C08" w:rsidRPr="00795F17">
        <w:t>s.pr.w</w:t>
      </w:r>
      <w:r w:rsidR="00E15C08">
        <w:t>.</w:t>
      </w:r>
      <w:r w:rsidR="002736DE">
        <w:t xml:space="preserve"> </w:t>
      </w:r>
      <w:r w:rsidRPr="00795F17">
        <w:t>Prezes KZGW pełnił funkcję organu wyższego stopnia w</w:t>
      </w:r>
      <w:r w:rsidR="00FD043B" w:rsidRPr="00795F17">
        <w:t> </w:t>
      </w:r>
      <w:r w:rsidRPr="00795F17">
        <w:t>rozumieniu</w:t>
      </w:r>
      <w:r w:rsidR="003B31F6">
        <w:t xml:space="preserve"> ustawy –</w:t>
      </w:r>
      <w:r w:rsidRPr="00795F17">
        <w:t xml:space="preserve"> Kodeks postępowania administracyjnego w stosunku do marszałków województw i</w:t>
      </w:r>
      <w:r w:rsidR="00FD043B" w:rsidRPr="00795F17">
        <w:t> </w:t>
      </w:r>
      <w:r w:rsidRPr="00795F17">
        <w:t>dyrektorów regionalnych zarządów gospodarki wodnej, w sprawach określonych ustawą</w:t>
      </w:r>
      <w:r w:rsidR="003B31F6">
        <w:t xml:space="preserve"> s.pr.w.</w:t>
      </w:r>
      <w:r w:rsidRPr="00795F17">
        <w:t xml:space="preserve"> (art. 4 ust. 3 ).</w:t>
      </w:r>
    </w:p>
    <w:p w14:paraId="0F4A7892" w14:textId="6EF2B5A0" w:rsidR="00804772" w:rsidRPr="00795F17" w:rsidRDefault="00804772" w:rsidP="0044393D">
      <w:r w:rsidRPr="00795F17">
        <w:t>Organem opiniodawczo-doradczym Prezesa KZGW była Krajowa Rada Gospodarki Wodnej (art. 96 ust. 1 s.pr.w.). Utworzono także rady gospodarki wodnej regionów wodnych jako organy opiniodawczo-doradcze dyrektorów regionalnych zarządów gospodarki wodnej</w:t>
      </w:r>
      <w:r w:rsidR="00E15C08">
        <w:t>.</w:t>
      </w:r>
      <w:r w:rsidRPr="00795F17">
        <w:t xml:space="preserve"> </w:t>
      </w:r>
    </w:p>
    <w:p w14:paraId="3700203A" w14:textId="59F6FCEC" w:rsidR="00804772" w:rsidRPr="00795F17" w:rsidRDefault="00804772" w:rsidP="0044393D">
      <w:r w:rsidRPr="00795F17">
        <w:t>Ówczesne organy współpracujące z Prezesem KZGW w zakresie gospodarowania wodami to: Minister Gospodarki Morskiej i Żeglugi Śródlądowej, Minister Środowiska, Minister Rolnictwa i Rozwoju Wsi, Minister Rozwoju, Minister Zdrowia, Główny Inspektor Sanitarny, Główny Inspektor Ochrony Środowiska, Generalny Dyrektor Ochrony Środowiska, wojewódzki inspektor ochrony środowiska, wojewódzki inspektor sanitarny, wojewoda, marszałek województwa</w:t>
      </w:r>
      <w:r w:rsidR="00E15C08">
        <w:t>.</w:t>
      </w:r>
    </w:p>
    <w:p w14:paraId="1AE12AD6" w14:textId="77777777" w:rsidR="00804772" w:rsidRPr="00795F17" w:rsidRDefault="00804772" w:rsidP="0044393D">
      <w:pPr>
        <w:pStyle w:val="Nagwek5"/>
        <w:rPr>
          <w:rFonts w:asciiTheme="minorHAnsi" w:hAnsiTheme="minorHAnsi" w:cstheme="minorHAnsi"/>
          <w:bCs/>
        </w:rPr>
      </w:pPr>
      <w:r w:rsidRPr="00795F17">
        <w:t>Dyrektorzy regionalnych zarządów gospodarki wodnej</w:t>
      </w:r>
    </w:p>
    <w:p w14:paraId="4B351E72" w14:textId="25F520E4" w:rsidR="00804772" w:rsidRPr="00795F17" w:rsidRDefault="00804772" w:rsidP="0044393D">
      <w:r w:rsidRPr="00795F17">
        <w:t>Prezesowi KZGW podlegali dyrektorzy RZGW (art. 4 ust. 1 pkt 3 s.pr.w.). Zadania dyrektora zostały w szczególności wskazane w art. 92 ust. 3 s.pr.w. Ponadto wspomniany organ (na mocy delegacji ustawowej zawartej w art. 47 ust. 3 s.pr.w.) określał, w drodze rozporządzenia, wody powierzchniowe i podziemne wrażliwe na zanieczyszczenie związkami azotu ze źródeł rolniczych oraz</w:t>
      </w:r>
      <w:r w:rsidR="00555AD6">
        <w:t> </w:t>
      </w:r>
      <w:r w:rsidRPr="00795F17">
        <w:t xml:space="preserve">obszary szczególnie narażone, z których odpływ azotu ze źródeł rolniczych do tych wód należy ograniczyć. Na podstawie art. 47 ust. 7 s.pr.w. dyrektorzy RZGW wydawali także rozporządzenia w sprawie wprowadzenia programu działań mających na celu ograniczenie odpływu azotu ze źródeł rolniczych. W świetle art. 58 ust. 1 s.pr.w. strefę ochronną ujęcia wody dyrektor RZGW ustanawiał w drodze rozporządzenia. Także poprzez wydanie rozporządzenia właściwy dyrektor RZGW przyjmował plan utrzymania wód (art. 114b ust. 5 s.pr.w.). Przepisy s.pr.w. </w:t>
      </w:r>
      <w:r w:rsidR="008308AA" w:rsidRPr="00795F17">
        <w:br/>
      </w:r>
      <w:r w:rsidRPr="00795F17">
        <w:t xml:space="preserve">(art. 60 s.pr.w.) wyposażyły dyrektora </w:t>
      </w:r>
      <w:r w:rsidR="004635D6" w:rsidRPr="00795F17">
        <w:t>RZGW</w:t>
      </w:r>
      <w:r w:rsidRPr="00795F17">
        <w:t xml:space="preserve"> w kompetencję do ustanawiania </w:t>
      </w:r>
      <w:r w:rsidR="00E15C08">
        <w:t>–</w:t>
      </w:r>
      <w:r w:rsidRPr="00795F17">
        <w:t xml:space="preserve"> w drodze aktu prawa miejscowego </w:t>
      </w:r>
      <w:r w:rsidR="008B5D1A">
        <w:t>–</w:t>
      </w:r>
      <w:r w:rsidRPr="00795F17">
        <w:t xml:space="preserve"> obszarów ochronnych zbiorników wód śródlądowych. Zgodnie z art. 120 ust. 1 s.pr.w. dyrektor RZGW ustalał warunki korzystania z wód regionu wodnego oraz warunki korzystania z</w:t>
      </w:r>
      <w:r w:rsidR="00E7652B" w:rsidRPr="00795F17">
        <w:t> </w:t>
      </w:r>
      <w:r w:rsidRPr="00795F17">
        <w:t xml:space="preserve">wód zlewni, w drodze aktu prawa miejscowego, po ich uzgodnieniu z Prezesem KZGW. Właściwy dyrektor RZGW mógł także wprowadzać w drodze aktu prawa miejscowego: </w:t>
      </w:r>
    </w:p>
    <w:p w14:paraId="4FDDD8ED" w14:textId="47FB99A7" w:rsidR="00804772" w:rsidRPr="00795F17" w:rsidRDefault="00804772" w:rsidP="00117E86">
      <w:pPr>
        <w:pStyle w:val="Listapunktowana2"/>
      </w:pPr>
      <w:r w:rsidRPr="00795F17">
        <w:t xml:space="preserve">czasowe odstępstwo od podejmowania działań doraźnych (art. 61u s.pr.w.), </w:t>
      </w:r>
    </w:p>
    <w:p w14:paraId="0CD7C9F4" w14:textId="1A4278CE" w:rsidR="00804772" w:rsidRPr="00795F17" w:rsidRDefault="00804772" w:rsidP="00117E86">
      <w:pPr>
        <w:pStyle w:val="Listapunktowana2"/>
      </w:pPr>
      <w:r w:rsidRPr="00795F17">
        <w:t>zakazy dotyczące terenów, dla których nie określono obszarów narażonych na</w:t>
      </w:r>
      <w:r w:rsidR="00BF3682">
        <w:t> </w:t>
      </w:r>
      <w:r w:rsidRPr="00795F17">
        <w:t xml:space="preserve">niebezpieczeństwo powodzi (art. 88m s.pr.w.), </w:t>
      </w:r>
    </w:p>
    <w:p w14:paraId="4D6B3E8D" w14:textId="2EDBFD22" w:rsidR="00804772" w:rsidRPr="00795F17" w:rsidRDefault="00804772" w:rsidP="00117E86">
      <w:pPr>
        <w:pStyle w:val="Listapunktowana2"/>
      </w:pPr>
      <w:r w:rsidRPr="00795F17">
        <w:t>czasowe ograniczenia w korzystaniu z wód, w szczególności w zakresie poboru wody lub</w:t>
      </w:r>
      <w:r w:rsidR="00555AD6">
        <w:t> </w:t>
      </w:r>
      <w:r w:rsidRPr="00795F17">
        <w:t>wprowadzania ścieków do wód lub do ziemi oraz zmiany sposobu gospodarowania wodą w</w:t>
      </w:r>
      <w:r w:rsidR="00E7652B" w:rsidRPr="00795F17">
        <w:t> </w:t>
      </w:r>
      <w:r w:rsidRPr="00795F17">
        <w:t>zbiornikach retencyjnych (art. 88q ust. 1 i art. 88t ust. 1</w:t>
      </w:r>
      <w:r w:rsidR="0083060B" w:rsidRPr="00795F17">
        <w:t xml:space="preserve"> </w:t>
      </w:r>
      <w:r w:rsidRPr="00795F17">
        <w:t xml:space="preserve">s.pr.w.) w przypadku wprowadzenia stanu klęski żywiołowej, w celu ograniczenia skutków powodzi bądź suszy. </w:t>
      </w:r>
    </w:p>
    <w:p w14:paraId="264B87CF" w14:textId="12C2A713" w:rsidR="00804772" w:rsidRPr="00795F17" w:rsidRDefault="00804772" w:rsidP="00BF3682">
      <w:r w:rsidRPr="00795F17">
        <w:t xml:space="preserve">Na mocy art. 140 ust. 2a s.pr.w. dyrektor RZGW wydawał wszystkie pozwolenia wodnoprawne wymagane dla przedsięwzięć, w przypadku gdy szczególne korzystanie z wód lub wykonanie urządzeń </w:t>
      </w:r>
      <w:r w:rsidRPr="00BF3682">
        <w:t>wodnych</w:t>
      </w:r>
      <w:r w:rsidRPr="00795F17">
        <w:t xml:space="preserve"> dotyczące tych przedsięwzięć, w całości lub w części odbywało się na terenach zamkniętych w</w:t>
      </w:r>
      <w:r w:rsidR="00F11DA5" w:rsidRPr="00795F17">
        <w:t> </w:t>
      </w:r>
      <w:r w:rsidRPr="00795F17">
        <w:t>rozumieniu przepisów p.o.ś., a odrębne przepisy nie stanowiły inaczej.</w:t>
      </w:r>
    </w:p>
    <w:p w14:paraId="3AA5C8D8" w14:textId="77777777" w:rsidR="00804772" w:rsidRPr="00795F17" w:rsidRDefault="00804772" w:rsidP="0044393D">
      <w:pPr>
        <w:pStyle w:val="Nagwek5"/>
      </w:pPr>
      <w:r w:rsidRPr="00795F17">
        <w:t>Wojewodowie</w:t>
      </w:r>
    </w:p>
    <w:p w14:paraId="0516EC9A" w14:textId="71DCD5EF" w:rsidR="00804772" w:rsidRPr="00795F17" w:rsidRDefault="00804772" w:rsidP="00BC3C4C">
      <w:r w:rsidRPr="00795F17">
        <w:t>Przepis art. 4 ust. 1 pkt 4 s.pr.w. wskazywał wojewodów wśród organów właściwych w sprawie gospodarowania wodami. Do kompetencji tych organów należało m.in: uzgadnianie rozstrzygnięć marszałka województwa w przedmiocie kosztów wykonywania urządzeń melioracji wodnych, opiniowanie projektu wstępnej oceny ryzyka powodziowego, uzgadnianie decyzji nakazujących zakładowi piętrzącemu wodę obniżenie piętrzenia wody lub opróżnienie zbiornika, bez odszkodowania.</w:t>
      </w:r>
    </w:p>
    <w:p w14:paraId="5B7F7329" w14:textId="77777777" w:rsidR="00804772" w:rsidRPr="00795F17" w:rsidRDefault="00804772" w:rsidP="0044393D">
      <w:pPr>
        <w:pStyle w:val="Nagwek5"/>
        <w:rPr>
          <w:rFonts w:asciiTheme="minorHAnsi" w:hAnsiTheme="minorHAnsi" w:cstheme="minorHAnsi"/>
          <w:bCs/>
        </w:rPr>
      </w:pPr>
      <w:r w:rsidRPr="00795F17">
        <w:t>Organy jednostek samorządu terytorialnego</w:t>
      </w:r>
    </w:p>
    <w:p w14:paraId="4371D3F8" w14:textId="69718E34" w:rsidR="00804772" w:rsidRPr="00795F17" w:rsidRDefault="00804772" w:rsidP="0044393D">
      <w:r w:rsidRPr="00795F17">
        <w:t>Zgodnie z art. 4 ust. 1 pkt 5 s.pr.w. organami właściwymi w sprawach gospodarowania wodami były także organy jednostek samorządu terytorialnego. Organem wyższego stopnia w rozumieniu k.p.a. w</w:t>
      </w:r>
      <w:r w:rsidR="001277A2" w:rsidRPr="00795F17">
        <w:t> </w:t>
      </w:r>
      <w:r w:rsidRPr="00795F17">
        <w:t>stosunku do starostów w odniesieniu do zadań z zakresu administracji rządowej oraz kompetencji organu właściwego do wydania pozwolenia wodnoprawnego, był właściwy dyrektor RZGW. Z kolei organem wyższego stopnia w rozumieniu k.p.a. w stosunku do marszałków województw był Prezes KZGW. Zgodnie z art. 15 ust. 2 pkt 2 i 3 s.pr.w. linię brzegu ustalał, w drodze decyzji, na wniosek mającego interes prawny lub faktyczny: właściwy marszałek województwa dla wód granicznych oraz</w:t>
      </w:r>
      <w:r w:rsidR="00500B93">
        <w:t> </w:t>
      </w:r>
      <w:r w:rsidRPr="00795F17">
        <w:t>śródlądowych dróg wodnych, oraz właściwy starosta realizujący zadanie z zakresu administracji rządowej dla pozostałych wód. Z kolei na mocy art. 140 ust. 1 s.pr.w. organem właściwym do</w:t>
      </w:r>
      <w:r w:rsidR="008308AA" w:rsidRPr="00795F17">
        <w:t> </w:t>
      </w:r>
      <w:r w:rsidRPr="00795F17">
        <w:t>wydawania pozwoleń wodnoprawnych był starosta, wykonujący to zadanie jako zadanie z zakresu administracji rządowej. Marszałek województwa wydawał pozwolenie wodnoprawne w przypadkach wskazanych w art. 140 ust. 2 s.pr.w. Starosta sprawował także nadzór i kontrolę nad</w:t>
      </w:r>
      <w:r w:rsidR="008308AA" w:rsidRPr="00795F17">
        <w:t> </w:t>
      </w:r>
      <w:r w:rsidRPr="00795F17">
        <w:t xml:space="preserve">działalnością spółek wodnych (art. 178 s.pr.w.). Prawa i obowiązki przysługujące wobec spółek wodnych staroście w stosunku do związków spółek wodnych wykonywał </w:t>
      </w:r>
      <w:r w:rsidR="008B5D1A">
        <w:t>–</w:t>
      </w:r>
      <w:r w:rsidRPr="00795F17">
        <w:t xml:space="preserve"> na mocy art. 164 ust. 9 s.pr.w. marszałek województwa. Aglomeracje były wyznaczane w drodze uchwały przez sejmik województwa, natomiast rada gminy określała, także w drodze uchwały, wykazy kąpielisk (art.</w:t>
      </w:r>
      <w:r w:rsidR="00BF3682">
        <w:t> </w:t>
      </w:r>
      <w:r w:rsidRPr="00795F17">
        <w:t>43 ust.</w:t>
      </w:r>
      <w:r w:rsidR="008B5D1A">
        <w:t xml:space="preserve"> </w:t>
      </w:r>
      <w:r w:rsidRPr="00795F17">
        <w:t>2a i art. 34a</w:t>
      </w:r>
      <w:r w:rsidR="0083060B" w:rsidRPr="00795F17">
        <w:t xml:space="preserve"> </w:t>
      </w:r>
      <w:r w:rsidRPr="00795F17">
        <w:t>s.pr.w.).</w:t>
      </w:r>
    </w:p>
    <w:p w14:paraId="00DDB667" w14:textId="77777777" w:rsidR="00804772" w:rsidRPr="00795F17" w:rsidRDefault="00804772" w:rsidP="0044393D">
      <w:pPr>
        <w:pStyle w:val="Nagwek5"/>
      </w:pPr>
      <w:r w:rsidRPr="00795F17">
        <w:t>Dyrektorzy wojewódzkich zarządów melioracji i urządzeń wodnych</w:t>
      </w:r>
    </w:p>
    <w:p w14:paraId="54AB30B5" w14:textId="736BCF5F" w:rsidR="00804772" w:rsidRPr="00795F17" w:rsidRDefault="00804772" w:rsidP="0044393D">
      <w:r w:rsidRPr="00795F17">
        <w:t>Wojewódzkie zarządy melioracji i urządzeń wodnych realizowały, w imieniu marszałka województwa, zadania wynikające z wykonywania przez marszałka województwa praw właścicielskich w stosunku do</w:t>
      </w:r>
      <w:r w:rsidR="008308AA" w:rsidRPr="00795F17">
        <w:t> </w:t>
      </w:r>
      <w:r w:rsidRPr="00795F17">
        <w:t>wód publicznych stanowiących własność Skarbu Państwa, istotnych dla regulacji stosunków wodnych na potrzeby rolnictwa oraz w stosunku do pozostałych wód niepodlegających zarządzaniu przez Prezesa KZGW lub dyrektorów parków narodowych.</w:t>
      </w:r>
    </w:p>
    <w:p w14:paraId="46787ECC" w14:textId="77777777" w:rsidR="00804772" w:rsidRPr="00795F17" w:rsidRDefault="00804772" w:rsidP="0044393D">
      <w:pPr>
        <w:pStyle w:val="Nagwek5"/>
        <w:rPr>
          <w:rFonts w:asciiTheme="minorHAnsi" w:hAnsiTheme="minorHAnsi" w:cstheme="minorHAnsi"/>
          <w:bCs/>
        </w:rPr>
      </w:pPr>
      <w:r w:rsidRPr="00795F17">
        <w:t>Minister Gospodarki Morskiej i Żeglugi Śródlądowej</w:t>
      </w:r>
    </w:p>
    <w:p w14:paraId="17A544C2" w14:textId="77777777" w:rsidR="00804772" w:rsidRPr="00795F17" w:rsidRDefault="00804772" w:rsidP="0044393D">
      <w:r w:rsidRPr="00795F17">
        <w:t>Minister Gospodarki Morskiej i Żeglugi Śródlądowej był ministrem właściwym do spraw gospodarki morskiej oraz organem nadrzędnym w stosunku do dyrektorów urzędów morskich oraz dyrektorów urzędów żeglugi śródlądowej.</w:t>
      </w:r>
    </w:p>
    <w:p w14:paraId="3A4B887D" w14:textId="77777777" w:rsidR="00804772" w:rsidRPr="00795F17" w:rsidRDefault="00804772" w:rsidP="0044393D">
      <w:pPr>
        <w:pStyle w:val="Nagwek5"/>
        <w:rPr>
          <w:rFonts w:asciiTheme="minorHAnsi" w:hAnsiTheme="minorHAnsi" w:cstheme="minorHAnsi"/>
          <w:bCs/>
        </w:rPr>
      </w:pPr>
      <w:r w:rsidRPr="00795F17">
        <w:t>Minister Rolnictwa i Rozwoju Wsi</w:t>
      </w:r>
    </w:p>
    <w:p w14:paraId="7EBFFE38" w14:textId="446955C7" w:rsidR="00804772" w:rsidRPr="00795F17" w:rsidRDefault="00804772" w:rsidP="0044393D">
      <w:r w:rsidRPr="00795F17">
        <w:t>Zgodnie z art. 78 ust. 3 s.pr.w. minister właściwy do spraw rozwoju wsi określał w drodze rozporządzenia sposób: 1) prowadzenia ewidencji: śródlądowych wód powierzchniowych lub ich części, stanowiących własność publiczną, istotnych dla regulacji stosunków wodnych na</w:t>
      </w:r>
      <w:r w:rsidR="008308AA" w:rsidRPr="00795F17">
        <w:t> </w:t>
      </w:r>
      <w:r w:rsidRPr="00795F17">
        <w:t>potrzeby rolnictwa, urządzeń melioracji wodnych oraz zmeliorowanych gruntów; 2) ustalania obszaru, na który wywierają korzystny wpływ urządzenia melioracji wodnych szczegółowych.</w:t>
      </w:r>
    </w:p>
    <w:p w14:paraId="2688B03E" w14:textId="180C9AEC" w:rsidR="00804772" w:rsidRPr="00795F17" w:rsidRDefault="00804772" w:rsidP="0044393D">
      <w:r w:rsidRPr="00795F17">
        <w:t>W planach gospodarowania wodami na obszarze dorzecza przyjętych na podstawie przepisów s.pr.w. wskazywano w wykazach organów właściwych w sprawach gospodarowania wodami dla</w:t>
      </w:r>
      <w:r w:rsidR="00BF3682">
        <w:t> </w:t>
      </w:r>
      <w:r w:rsidRPr="00795F17">
        <w:t>obszaru dorzecza także Głównego Inspektora Ochrony Środowiska i regionalnych dyrektorów ochrony środowiska.</w:t>
      </w:r>
    </w:p>
    <w:p w14:paraId="64DE04C7" w14:textId="319ACF7B" w:rsidR="00804772" w:rsidRPr="00795F17" w:rsidRDefault="00804772" w:rsidP="0044393D">
      <w:pPr>
        <w:rPr>
          <w:rFonts w:cstheme="minorHAnsi"/>
        </w:rPr>
      </w:pPr>
      <w:r w:rsidRPr="00795F17">
        <w:rPr>
          <w:rFonts w:cstheme="minorHAnsi"/>
        </w:rPr>
        <w:t xml:space="preserve">W </w:t>
      </w:r>
      <w:r w:rsidRPr="00E07326">
        <w:rPr>
          <w:rFonts w:cstheme="minorHAnsi"/>
        </w:rPr>
        <w:t>aktualnym stanie prawnym</w:t>
      </w:r>
      <w:r w:rsidRPr="008B5D1A">
        <w:rPr>
          <w:rFonts w:cstheme="minorHAnsi"/>
        </w:rPr>
        <w:t>,</w:t>
      </w:r>
      <w:r w:rsidRPr="00795F17">
        <w:rPr>
          <w:rFonts w:cstheme="minorHAnsi"/>
        </w:rPr>
        <w:t xml:space="preserve"> na mocy art. 14 pr.w.</w:t>
      </w:r>
      <w:r w:rsidRPr="00795F17">
        <w:rPr>
          <w:rFonts w:cstheme="minorHAnsi"/>
          <w:b/>
          <w:bCs/>
        </w:rPr>
        <w:t xml:space="preserve"> </w:t>
      </w:r>
      <w:r w:rsidRPr="00795F17">
        <w:rPr>
          <w:rFonts w:cstheme="minorHAnsi"/>
        </w:rPr>
        <w:t xml:space="preserve">organami właściwymi w sprawach gospodarowania wodami są: </w:t>
      </w:r>
      <w:r w:rsidRPr="00795F17">
        <w:t xml:space="preserve">Prezes </w:t>
      </w:r>
      <w:r w:rsidR="0028234C" w:rsidRPr="00795F17">
        <w:t>PGW WP</w:t>
      </w:r>
      <w:r w:rsidR="002779EE">
        <w:t>,</w:t>
      </w:r>
      <w:r w:rsidRPr="00795F17">
        <w:t xml:space="preserve"> dyrektor RZGW WP, dyrektor ZZ WP, kierownik NW WP, dyrektor urzędu morskiego, wojewoda, starosta, wójt, burmistrz lub prezydent miasta.</w:t>
      </w:r>
      <w:r w:rsidRPr="00795F17">
        <w:rPr>
          <w:rFonts w:cstheme="minorHAnsi"/>
        </w:rPr>
        <w:t xml:space="preserve"> Od dnia wejścia w życie pr.w. </w:t>
      </w:r>
      <w:r w:rsidR="0028234C" w:rsidRPr="00795F17">
        <w:rPr>
          <w:rFonts w:cstheme="minorHAnsi"/>
        </w:rPr>
        <w:t>PGW WP</w:t>
      </w:r>
      <w:r w:rsidRPr="00795F17">
        <w:rPr>
          <w:rFonts w:cstheme="minorHAnsi"/>
        </w:rPr>
        <w:t xml:space="preserve"> wykonują zadania dotychczasowego Prezesa KZGW, dotychczasowych dyrektorów regionalnych zarządów gospodarki wodnej oraz marszałków województw związane z</w:t>
      </w:r>
      <w:r w:rsidR="008308AA" w:rsidRPr="00795F17">
        <w:rPr>
          <w:rFonts w:cstheme="minorHAnsi"/>
        </w:rPr>
        <w:t> </w:t>
      </w:r>
      <w:r w:rsidRPr="00795F17">
        <w:rPr>
          <w:rFonts w:cstheme="minorHAnsi"/>
        </w:rPr>
        <w:t>utrzymaniem wód oraz pozostałego mienia Skarbu Państwa związanego z gospodarką wodną, a także inwestycjami w gospodarce wodnej.</w:t>
      </w:r>
    </w:p>
    <w:p w14:paraId="346A205C" w14:textId="28FA62F6" w:rsidR="00804772" w:rsidRPr="00795F17" w:rsidRDefault="00804772" w:rsidP="0044393D">
      <w:r w:rsidRPr="00795F17">
        <w:t xml:space="preserve">Zgodnie z przepisami sprawy gospodarki wodnej, gospodarki morskiej i sprawy żeglugi śródlądowej podlegają </w:t>
      </w:r>
      <w:r w:rsidRPr="004466A5">
        <w:t>Ministrowi Infrastruktury</w:t>
      </w:r>
      <w:r w:rsidRPr="00795F17">
        <w:t xml:space="preserve"> (rozporządzenie Prezesa Rady Ministrów z dnia 18 listopada 2019</w:t>
      </w:r>
      <w:r w:rsidR="00136E88">
        <w:t> </w:t>
      </w:r>
      <w:r w:rsidRPr="00795F17">
        <w:t>r. w sprawie szczegółowego zakresu działania Ministra Infrastruktury</w:t>
      </w:r>
      <w:r w:rsidR="00820803">
        <w:t>.</w:t>
      </w:r>
    </w:p>
    <w:p w14:paraId="666829A2" w14:textId="77777777" w:rsidR="00804772" w:rsidRPr="00795F17" w:rsidRDefault="00804772" w:rsidP="0044393D">
      <w:pPr>
        <w:pStyle w:val="Nagwek5"/>
        <w:rPr>
          <w:rFonts w:asciiTheme="minorHAnsi" w:hAnsiTheme="minorHAnsi" w:cstheme="minorHAnsi"/>
          <w:bCs/>
        </w:rPr>
      </w:pPr>
      <w:r w:rsidRPr="00795F17">
        <w:t>Minister Infrastruktury</w:t>
      </w:r>
    </w:p>
    <w:p w14:paraId="45121F3E" w14:textId="2C6BF415" w:rsidR="00804772" w:rsidRPr="00795F17" w:rsidRDefault="00804772" w:rsidP="0044393D">
      <w:r w:rsidRPr="00795F17">
        <w:t xml:space="preserve">Zgodnie z art. 353 pr.w. minister właściwy do spraw gospodarki wodnej jest naczelnym organem administracji rządowej właściwym w sprawach gospodarowania wodami i składa Sejmowi Rzeczypospolitej Polskiej co dwa lata, nie później niż do dnia 31 sierpnia, informację o gospodarowaniu wodami dotyczącą: stanu zasobów wodnych państwa i stanu ich wykorzystywania; realizacji planów gospodarowania wodami na obszarach dorzeczy; współpracy międzynarodowej na wodach granicznych oraz wykonywania umów w tym zakresie; realizacji zadań w zakresie utrzymywania wód oraz pozostałego mienia Skarbu Państwa związanego z gospodarką wodną; prowadzonych inwestycji; realizacji planów zarządzania ryzykiem powodziowym oraz planu przeciwdziałania skutkom suszy; stanu ochrony ludności i mienia przed powodzią oraz suszą. Z kolei na mocy art. 354 pr.w. wspomniany organ kształtuje kierunki polityki wodnej państwa, uwzględniając kierunki rozwoju żeglugi śródlądowej oraz koordynuje realizację zadań publicznych w gospodarce wodnej, w szczególności wydaje Prezesowi </w:t>
      </w:r>
      <w:r w:rsidR="0028234C" w:rsidRPr="00795F17">
        <w:t>PGW WP</w:t>
      </w:r>
      <w:r w:rsidRPr="00795F17">
        <w:t xml:space="preserve"> wytyczne i polecenia dotyczące sposobu realizacji zadań oraz żąda przekazania informacji w tym zakresie i akceptuje przygotowane przez Prezesa </w:t>
      </w:r>
      <w:r w:rsidR="0028234C" w:rsidRPr="00795F17">
        <w:t>PGW WP</w:t>
      </w:r>
      <w:r w:rsidRPr="00795F17">
        <w:t xml:space="preserve"> propozycje dotyczące sposobu realizacji zadań w zakresie inwestycji. </w:t>
      </w:r>
      <w:r w:rsidRPr="00795F17">
        <w:rPr>
          <w:noProof/>
        </w:rPr>
        <w:t xml:space="preserve">Na mocy art. 355 pr.w. przywołany minister </w:t>
      </w:r>
      <w:r w:rsidR="003B31F6">
        <w:rPr>
          <w:noProof/>
        </w:rPr>
        <w:t>–</w:t>
      </w:r>
      <w:r w:rsidRPr="00795F17">
        <w:rPr>
          <w:noProof/>
        </w:rPr>
        <w:t xml:space="preserve"> z wyłączeniem zadań w zakresie rybactwa śródlądowego </w:t>
      </w:r>
      <w:r w:rsidR="008B5D1A">
        <w:rPr>
          <w:noProof/>
        </w:rPr>
        <w:t>–</w:t>
      </w:r>
      <w:r w:rsidRPr="00795F17">
        <w:rPr>
          <w:noProof/>
        </w:rPr>
        <w:t xml:space="preserve"> nadzoruje </w:t>
      </w:r>
      <w:r w:rsidR="0028234C" w:rsidRPr="00795F17">
        <w:rPr>
          <w:noProof/>
        </w:rPr>
        <w:t>PGW WP</w:t>
      </w:r>
      <w:r w:rsidRPr="00795F17">
        <w:rPr>
          <w:noProof/>
        </w:rPr>
        <w:t xml:space="preserve">. </w:t>
      </w:r>
      <w:r w:rsidRPr="00795F17">
        <w:t xml:space="preserve">Przedmiotowy nadzór polega w szczególności na: dokonaniu oceny okresowej Prezesa </w:t>
      </w:r>
      <w:r w:rsidR="0028234C" w:rsidRPr="00795F17">
        <w:t>PGW WP</w:t>
      </w:r>
      <w:r w:rsidRPr="00795F17">
        <w:t xml:space="preserve">; dokonywaniu rocznej oceny działalności </w:t>
      </w:r>
      <w:r w:rsidR="0028234C" w:rsidRPr="00795F17">
        <w:t>PGW WP</w:t>
      </w:r>
      <w:r w:rsidRPr="00795F17">
        <w:t>; zatwierdzaniu planu finansowego oraz rocznych planów działalności; zatwierdzaniu programów realizacji zadań związanych z utrzymywaniem wód oraz</w:t>
      </w:r>
      <w:r w:rsidR="00500B93">
        <w:t> </w:t>
      </w:r>
      <w:r w:rsidRPr="00795F17">
        <w:t>pozostałego mienia Skarbu Państwa związanego z gospodarką wodną oraz planowanych inwestycji w</w:t>
      </w:r>
      <w:r w:rsidR="008308AA" w:rsidRPr="00795F17">
        <w:t> </w:t>
      </w:r>
      <w:r w:rsidRPr="00795F17">
        <w:t xml:space="preserve">gospodarce wodnej i ich zmian; zatwierdzaniu sprawozdań z działalności za rok poprzedni; zatwierdzaniu planów kontroli (w jednostkach organizacyjnych </w:t>
      </w:r>
      <w:r w:rsidR="0028234C" w:rsidRPr="00795F17">
        <w:t>PGW WP</w:t>
      </w:r>
      <w:r w:rsidRPr="00795F17">
        <w:t xml:space="preserve"> i gospodarowania wodami wykonywanej przez Wody Polskie); polecaniu przeprowadzenia kontroli nieujętych w planie kontroli. </w:t>
      </w:r>
    </w:p>
    <w:p w14:paraId="63455CDF" w14:textId="447F9515" w:rsidR="00804772" w:rsidRPr="00795F17" w:rsidRDefault="00804772" w:rsidP="0044393D">
      <w:r w:rsidRPr="00795F17">
        <w:t xml:space="preserve">Zgodnie art. 317 ust. 7 pr.w. </w:t>
      </w:r>
      <w:r w:rsidR="003B31F6">
        <w:t>m</w:t>
      </w:r>
      <w:r w:rsidRPr="00795F17">
        <w:t>inister właściwy do spraw gospodarki wodnej zatwierdza dokumentacje planistyczne:</w:t>
      </w:r>
    </w:p>
    <w:p w14:paraId="7708BE8F" w14:textId="77777777" w:rsidR="00804772" w:rsidRPr="00795F17" w:rsidRDefault="00804772" w:rsidP="00117E86">
      <w:pPr>
        <w:pStyle w:val="Listapunktowana2"/>
      </w:pPr>
      <w:r w:rsidRPr="00795F17">
        <w:t>wykazy jcw;</w:t>
      </w:r>
    </w:p>
    <w:p w14:paraId="25837534" w14:textId="77777777" w:rsidR="00804772" w:rsidRPr="00795F17" w:rsidRDefault="00804772" w:rsidP="00117E86">
      <w:pPr>
        <w:pStyle w:val="Listapunktowana2"/>
      </w:pPr>
      <w:r w:rsidRPr="00795F17">
        <w:t>charakterystyki jcw ze wskazaniem SCW i SZCW oraz jcw zagrożonych nieosiągnięciem celów środowiskowych; </w:t>
      </w:r>
    </w:p>
    <w:p w14:paraId="3F340C1B" w14:textId="77777777" w:rsidR="00804772" w:rsidRPr="00795F17" w:rsidRDefault="00804772" w:rsidP="00117E86">
      <w:pPr>
        <w:pStyle w:val="Listapunktowana2"/>
      </w:pPr>
      <w:r w:rsidRPr="00795F17">
        <w:t>identyfikacje znaczących oddziaływań antropogenicznych oraz ocenę ich wpływu na stan wód powierzchniowych i wód podziemnych; </w:t>
      </w:r>
    </w:p>
    <w:p w14:paraId="4AC134D6" w14:textId="77777777" w:rsidR="00804772" w:rsidRPr="00795F17" w:rsidRDefault="00804772" w:rsidP="00117E86">
      <w:pPr>
        <w:pStyle w:val="Listapunktowana2"/>
      </w:pPr>
      <w:r w:rsidRPr="00795F17">
        <w:t>identyfikację oddziaływań zmian poziomów wód podziemnych; </w:t>
      </w:r>
    </w:p>
    <w:p w14:paraId="7114C517" w14:textId="77777777" w:rsidR="00804772" w:rsidRPr="00795F17" w:rsidRDefault="00804772" w:rsidP="00117E86">
      <w:pPr>
        <w:pStyle w:val="Listapunktowana2"/>
      </w:pPr>
      <w:r w:rsidRPr="00795F17">
        <w:t>rejestr wykazów obszarów chronionych; </w:t>
      </w:r>
    </w:p>
    <w:p w14:paraId="44D9EAE8" w14:textId="77777777" w:rsidR="00804772" w:rsidRPr="00795F17" w:rsidRDefault="00804772" w:rsidP="00117E86">
      <w:pPr>
        <w:pStyle w:val="Listapunktowana2"/>
      </w:pPr>
      <w:r w:rsidRPr="00795F17">
        <w:t>analizy ekonomiczne związane z korzystaniem z wód; </w:t>
      </w:r>
    </w:p>
    <w:p w14:paraId="7715A151" w14:textId="77777777" w:rsidR="00804772" w:rsidRPr="00795F17" w:rsidRDefault="00804772" w:rsidP="00117E86">
      <w:pPr>
        <w:pStyle w:val="Listapunktowana2"/>
      </w:pPr>
      <w:r w:rsidRPr="00795F17">
        <w:t>wykazy wielkości emisji i stężeń.</w:t>
      </w:r>
    </w:p>
    <w:p w14:paraId="13DA94DE" w14:textId="36A00B3A" w:rsidR="00804772" w:rsidRPr="00795F17" w:rsidRDefault="00804772" w:rsidP="0044393D">
      <w:r w:rsidRPr="00795F17">
        <w:t>Na podstawie art. 321 pr.w. minister właściwy do spraw gospodarki wodnej przyjmuje i</w:t>
      </w:r>
      <w:r w:rsidR="008308AA" w:rsidRPr="00795F17">
        <w:t> </w:t>
      </w:r>
      <w:r w:rsidRPr="00795F17">
        <w:t>aktualizuje plan gospodarowania wodami na obszarze dorzecza w drodze rozporządzenia, kierując się koniecznością zapewnienia osiągnięcia celów środowiskowych, o których mowa w art. 56, art. 57, art. 59 i w art. 61 pr.w., oraz powszechnym charakterem tego planu.</w:t>
      </w:r>
    </w:p>
    <w:p w14:paraId="438DC69D" w14:textId="470D0616" w:rsidR="00804772" w:rsidRPr="00795F17" w:rsidRDefault="00804772" w:rsidP="0044393D">
      <w:r w:rsidRPr="00795F17">
        <w:t>Na mocy art. 319 ust. 4 pr.w., przy zapewnieniu aktywnego udziału wszystkich zainteresowanych w</w:t>
      </w:r>
      <w:r w:rsidR="001277A2" w:rsidRPr="00795F17">
        <w:t> </w:t>
      </w:r>
      <w:r w:rsidRPr="00795F17">
        <w:t>osiąganiu celów środowiskowych, o których mowa w art. 56, art. 57, art. 59 oraz</w:t>
      </w:r>
      <w:r w:rsidR="00500B93">
        <w:t> </w:t>
      </w:r>
      <w:r w:rsidRPr="00795F17">
        <w:t>w art. 61 pr.w., w</w:t>
      </w:r>
      <w:r w:rsidR="001277A2" w:rsidRPr="00795F17">
        <w:t> </w:t>
      </w:r>
      <w:r w:rsidRPr="00795F17">
        <w:t>szczególności w opracowywaniu, przeglądzie i aktualizacji planu gospodarowania wodami na obszarze dorzecza, minister właściwy do spraw gospodarki wodnej podaje do publicznej wiadomości, na zasadach i w trybie określonych w przepisach u.i.o.ś., w celu zgłaszania uwag:</w:t>
      </w:r>
    </w:p>
    <w:p w14:paraId="31095731" w14:textId="77777777" w:rsidR="00804772" w:rsidRPr="00795F17" w:rsidRDefault="00804772" w:rsidP="005635FD">
      <w:pPr>
        <w:pStyle w:val="Numerowanie"/>
        <w:numPr>
          <w:ilvl w:val="0"/>
          <w:numId w:val="85"/>
        </w:numPr>
      </w:pPr>
      <w:r w:rsidRPr="00795F17">
        <w:t>harmonogram i program prac związanych ze sporządzaniem planu, w tym zestawienie działań, które należy wprowadzić w drodze konsultacji;</w:t>
      </w:r>
    </w:p>
    <w:p w14:paraId="4E62CAB1" w14:textId="77777777" w:rsidR="00804772" w:rsidRPr="00795F17" w:rsidRDefault="00804772" w:rsidP="005635FD">
      <w:pPr>
        <w:pStyle w:val="Numerowanie"/>
        <w:numPr>
          <w:ilvl w:val="0"/>
          <w:numId w:val="85"/>
        </w:numPr>
      </w:pPr>
      <w:r w:rsidRPr="00795F17">
        <w:t>przegląd istotnych problemów gospodarki wodnej określonych dla danego obszaru dorzecza;</w:t>
      </w:r>
    </w:p>
    <w:p w14:paraId="3F06C49D" w14:textId="77777777" w:rsidR="00804772" w:rsidRPr="00795F17" w:rsidRDefault="00804772" w:rsidP="005635FD">
      <w:pPr>
        <w:pStyle w:val="Numerowanie"/>
        <w:numPr>
          <w:ilvl w:val="0"/>
          <w:numId w:val="85"/>
        </w:numPr>
      </w:pPr>
      <w:r w:rsidRPr="00795F17">
        <w:t xml:space="preserve">projekt planu gospodarowania wodami na obszarze dorzecza. </w:t>
      </w:r>
    </w:p>
    <w:p w14:paraId="01B18C7D" w14:textId="40761B67" w:rsidR="00804772" w:rsidRPr="00795F17" w:rsidRDefault="00804772" w:rsidP="0044393D">
      <w:r w:rsidRPr="00795F17">
        <w:t xml:space="preserve">Na mocy art. 320 ust. 1 i </w:t>
      </w:r>
      <w:r w:rsidR="001C5BE2">
        <w:t xml:space="preserve">ust. </w:t>
      </w:r>
      <w:r w:rsidRPr="00795F17">
        <w:t>3 pr.w. dla obszaru dorzecza, którego część znajduje się na terytorium innych państw członkowskich UE (bądź dla obszaru dorzecza, którego część znajduje się na terytorium państw leżących poza granicami UE), minister właściwy do spraw gospodarki wodnej podejmuje współpracę z</w:t>
      </w:r>
      <w:r w:rsidR="001277A2" w:rsidRPr="00795F17">
        <w:t> </w:t>
      </w:r>
      <w:r w:rsidRPr="00795F17">
        <w:t>właściwymi organami tych państw w celu przygotowania jednego międzynarodowego planu gospodarowania wodami lub zapewnienia koordynacji w jak największym stopniu na poziomie międzynarodowego obszaru dorzecza planu gospodarowania wodami, obejmującego obszar dorzecza znajdujący się na terytorium Rzeczypospolitej Polskiej, w szczególności w zakresie działań na tym obszarze dorzecza ukierunkowanych na osiągnięcie celów środowiskowych, o których mowa w art. 56, art. 57, art. 59 oraz w art. 61</w:t>
      </w:r>
      <w:r w:rsidR="0083060B" w:rsidRPr="00795F17">
        <w:t xml:space="preserve"> </w:t>
      </w:r>
      <w:r w:rsidRPr="00795F17">
        <w:t>pr.w.</w:t>
      </w:r>
    </w:p>
    <w:p w14:paraId="13673589" w14:textId="1B877181" w:rsidR="00804772" w:rsidRPr="00795F17" w:rsidRDefault="00804772" w:rsidP="0044393D">
      <w:r w:rsidRPr="00795F17">
        <w:t xml:space="preserve">Zgodnie z §1 pkt 1 lit. a </w:t>
      </w:r>
      <w:r w:rsidR="003738F2">
        <w:t>r</w:t>
      </w:r>
      <w:r w:rsidRPr="00795F17">
        <w:t>ozporządzenia Prezesa Rady Ministrów z dnia 6 października 2020</w:t>
      </w:r>
      <w:r w:rsidR="008308AA" w:rsidRPr="00795F17">
        <w:t> </w:t>
      </w:r>
      <w:r w:rsidRPr="00795F17">
        <w:t xml:space="preserve">r. zmieniającego rozporządzenie w sprawie szczegółowego zakresu działania Ministra Infrastruktury (Dz.U. poz. 1722) sprawy żeglugi śródlądowej podlegają Ministrowi Infrastruktury (minister właściwy do spraw żeglugi śródlądowej). Minister właściwy do spraw gospodarki wodnej jest organem z delegacją prawną do uzgadniania projektu planu gospodarowania wodami. Zgodnie z art. 319 ust. 2 pr.w. </w:t>
      </w:r>
      <w:r w:rsidR="0028234C" w:rsidRPr="00795F17">
        <w:t>PGW WP</w:t>
      </w:r>
      <w:r w:rsidRPr="00795F17">
        <w:t xml:space="preserve"> uzgadniają projekt planu gospodarowania wodami na obszarze dorzecza w</w:t>
      </w:r>
      <w:r w:rsidR="00BF3682">
        <w:t> </w:t>
      </w:r>
      <w:r w:rsidRPr="00795F17">
        <w:t>zakresie dotyczącym śródlądowych dróg wodnych z ministrem właściwym do spraw żeglugi śródlądowej.</w:t>
      </w:r>
    </w:p>
    <w:p w14:paraId="797D7CFE" w14:textId="361A13B1" w:rsidR="00804772" w:rsidRPr="00795F17" w:rsidRDefault="00804772" w:rsidP="0044393D">
      <w:r w:rsidRPr="00795F17">
        <w:t xml:space="preserve">Organem opiniodawczo-doradczym ministra jest </w:t>
      </w:r>
      <w:r w:rsidR="003B31F6">
        <w:t>–</w:t>
      </w:r>
      <w:r w:rsidRPr="00795F17">
        <w:t xml:space="preserve"> zgodnie z dyspozycją art. 362 pr.w. </w:t>
      </w:r>
      <w:r w:rsidR="00DA5B81">
        <w:t>–</w:t>
      </w:r>
      <w:r w:rsidRPr="00795F17">
        <w:t xml:space="preserve"> </w:t>
      </w:r>
      <w:r w:rsidRPr="004466A5">
        <w:t>Państwowa Rada Gospodarki Wodnej</w:t>
      </w:r>
      <w:r w:rsidRPr="003738F2">
        <w:t>,</w:t>
      </w:r>
      <w:r w:rsidRPr="00795F17">
        <w:t xml:space="preserve"> do zakresu działania której należy opracowywanie dla ministra właściwego do spraw gospodarki wodnej opinii, propozycji i wniosków w sprawach gospodarowania wodami, ochrony przed powodzią i skutkami suszy. </w:t>
      </w:r>
    </w:p>
    <w:p w14:paraId="5E312444" w14:textId="604088DE" w:rsidR="00804772" w:rsidRPr="00795F17" w:rsidRDefault="00804772" w:rsidP="0044393D">
      <w:pPr>
        <w:pStyle w:val="Nagwek5"/>
      </w:pPr>
      <w:r w:rsidRPr="00795F17">
        <w:t xml:space="preserve">Prezes </w:t>
      </w:r>
      <w:r w:rsidR="0028234C" w:rsidRPr="00795F17">
        <w:t>PGW WP</w:t>
      </w:r>
    </w:p>
    <w:p w14:paraId="1E49389F" w14:textId="2781B9D7" w:rsidR="00804772" w:rsidRPr="00795F17" w:rsidRDefault="00804772" w:rsidP="0044393D">
      <w:r w:rsidRPr="00795F17">
        <w:t xml:space="preserve">Zgodnie z art. 241 pr.w. organem </w:t>
      </w:r>
      <w:r w:rsidR="0028234C" w:rsidRPr="00795F17">
        <w:t>PGW WP</w:t>
      </w:r>
      <w:r w:rsidRPr="00795F17">
        <w:t xml:space="preserve"> jest Prezes </w:t>
      </w:r>
      <w:r w:rsidR="0028234C" w:rsidRPr="00795F17">
        <w:t>PGW WP</w:t>
      </w:r>
      <w:r w:rsidRPr="00795F17">
        <w:t xml:space="preserve">. Kieruje on działalnością </w:t>
      </w:r>
      <w:r w:rsidR="0028234C" w:rsidRPr="00795F17">
        <w:t>PGW WP</w:t>
      </w:r>
      <w:r w:rsidRPr="00795F17">
        <w:t xml:space="preserve"> i reprezentuje </w:t>
      </w:r>
      <w:r w:rsidR="0028234C" w:rsidRPr="00795F17">
        <w:t>PGW WP</w:t>
      </w:r>
      <w:r w:rsidRPr="00795F17">
        <w:t xml:space="preserve"> na zewnątrz. Ponadto Prezes </w:t>
      </w:r>
      <w:r w:rsidR="0028234C" w:rsidRPr="00795F17">
        <w:t>PGW WP</w:t>
      </w:r>
      <w:r w:rsidRPr="00795F17">
        <w:t xml:space="preserve"> kieruje pracą KZGW WP oraz</w:t>
      </w:r>
      <w:r w:rsidR="00D02091">
        <w:t> </w:t>
      </w:r>
      <w:r w:rsidRPr="00795F17">
        <w:t xml:space="preserve">dokonuje wszelkich czynności prawnych w zakresie praw i obowiązków majątkowych </w:t>
      </w:r>
      <w:r w:rsidR="0028234C" w:rsidRPr="00795F17">
        <w:t>PGW WP</w:t>
      </w:r>
      <w:r w:rsidRPr="00795F17">
        <w:t xml:space="preserve">. Aktualne zadania KZGW WP określa art. 240 ust. 2 pr.w. KZGW WP wykonuje swoje zadania przy pomocy zastępców Prezesa oraz kierowników jednostek organizacyjnych </w:t>
      </w:r>
      <w:r w:rsidR="0028234C" w:rsidRPr="00795F17">
        <w:t>PGW WP</w:t>
      </w:r>
      <w:r w:rsidRPr="00795F17">
        <w:t xml:space="preserve">. Prezesa </w:t>
      </w:r>
      <w:r w:rsidR="0028234C" w:rsidRPr="00795F17">
        <w:t>PGW WP</w:t>
      </w:r>
      <w:r w:rsidRPr="00795F17">
        <w:t xml:space="preserve"> powołuje (i odwołuje) minister właściwy do spraw gospodarki wodnej (art. 242 ust. 1 i </w:t>
      </w:r>
      <w:r w:rsidR="00DA5B81">
        <w:t xml:space="preserve">ust. </w:t>
      </w:r>
      <w:r w:rsidRPr="00795F17">
        <w:t xml:space="preserve">2 pr.w.). </w:t>
      </w:r>
    </w:p>
    <w:p w14:paraId="7A0DDF29" w14:textId="5E3F36CF" w:rsidR="00804772" w:rsidRPr="00795F17" w:rsidRDefault="0028234C" w:rsidP="004466A5">
      <w:pPr>
        <w:keepNext/>
      </w:pPr>
      <w:r w:rsidRPr="00795F17">
        <w:t>PGW WP</w:t>
      </w:r>
      <w:r w:rsidR="00804772" w:rsidRPr="00795F17">
        <w:t xml:space="preserve"> sporządza projekty dokumentacji planistycznych: </w:t>
      </w:r>
    </w:p>
    <w:p w14:paraId="013718F7" w14:textId="77777777" w:rsidR="00804772" w:rsidRPr="00795F17" w:rsidRDefault="00804772" w:rsidP="00117E86">
      <w:pPr>
        <w:pStyle w:val="Listapunktowana2"/>
      </w:pPr>
      <w:r w:rsidRPr="00795F17">
        <w:t>wykazy jednolitych części wód;</w:t>
      </w:r>
    </w:p>
    <w:p w14:paraId="39C572F4" w14:textId="77777777" w:rsidR="00804772" w:rsidRPr="00795F17" w:rsidRDefault="00804772" w:rsidP="00117E86">
      <w:pPr>
        <w:pStyle w:val="Listapunktowana2"/>
      </w:pPr>
      <w:r w:rsidRPr="00795F17">
        <w:t>charakterystyki jednolitych części wód ze wskazaniem sztucznych i silnie zmienionych jednolitych części wód oraz jednolitych części wód zagrożonych nieosiągnięciem celów środowiskowych; </w:t>
      </w:r>
    </w:p>
    <w:p w14:paraId="66D7CF75" w14:textId="3A2682A9" w:rsidR="00804772" w:rsidRPr="00795F17" w:rsidRDefault="00804772" w:rsidP="00117E86">
      <w:pPr>
        <w:pStyle w:val="Listapunktowana2"/>
      </w:pPr>
      <w:r w:rsidRPr="00795F17">
        <w:t>identyfikacj</w:t>
      </w:r>
      <w:r w:rsidR="00A4494B">
        <w:t>ę</w:t>
      </w:r>
      <w:r w:rsidRPr="00795F17">
        <w:t xml:space="preserve"> znaczących oddziaływań antropogenicznych oraz ocenę ich wpływu na stan wód powierzchniowych i wód podziemnych; </w:t>
      </w:r>
    </w:p>
    <w:p w14:paraId="003EB87D" w14:textId="77777777" w:rsidR="00804772" w:rsidRPr="00795F17" w:rsidRDefault="00804772" w:rsidP="00117E86">
      <w:pPr>
        <w:pStyle w:val="Listapunktowana2"/>
      </w:pPr>
      <w:r w:rsidRPr="00795F17">
        <w:t>identyfikację oddziaływań zmian poziomów wód podziemnych; </w:t>
      </w:r>
    </w:p>
    <w:p w14:paraId="013845FE" w14:textId="77777777" w:rsidR="00804772" w:rsidRPr="00795F17" w:rsidRDefault="00804772" w:rsidP="00117E86">
      <w:pPr>
        <w:pStyle w:val="Listapunktowana2"/>
      </w:pPr>
      <w:r w:rsidRPr="00795F17">
        <w:t>rejestr wykazów obszarów chronionych; </w:t>
      </w:r>
    </w:p>
    <w:p w14:paraId="66E1C5B0" w14:textId="77777777" w:rsidR="00804772" w:rsidRPr="00795F17" w:rsidRDefault="00804772" w:rsidP="00117E86">
      <w:pPr>
        <w:pStyle w:val="Listapunktowana2"/>
      </w:pPr>
      <w:r w:rsidRPr="00795F17">
        <w:t>analizy ekonomiczne związane z korzystaniem z wód; </w:t>
      </w:r>
    </w:p>
    <w:p w14:paraId="7E69E3C9" w14:textId="77777777" w:rsidR="00804772" w:rsidRPr="00795F17" w:rsidRDefault="00804772" w:rsidP="00117E86">
      <w:pPr>
        <w:pStyle w:val="Listapunktowana2"/>
      </w:pPr>
      <w:r w:rsidRPr="00795F17">
        <w:t>wykazy wielkości emisji i stężeń;</w:t>
      </w:r>
    </w:p>
    <w:p w14:paraId="3F549C4B" w14:textId="3FB42B34" w:rsidR="00804772" w:rsidRPr="00795F17" w:rsidRDefault="00804772" w:rsidP="0044393D">
      <w:bookmarkStart w:id="1058" w:name="_Hlk66032284"/>
      <w:r w:rsidRPr="00795F17">
        <w:t xml:space="preserve">i </w:t>
      </w:r>
      <w:r w:rsidR="00271C3C" w:rsidRPr="00795F17">
        <w:t>przekazuj</w:t>
      </w:r>
      <w:r w:rsidR="00271C3C">
        <w:t>e</w:t>
      </w:r>
      <w:r w:rsidR="00271C3C" w:rsidRPr="00795F17">
        <w:t xml:space="preserve"> </w:t>
      </w:r>
      <w:r w:rsidRPr="00795F17">
        <w:t>je do zatwierdzenia ministrowi właściwemu do spraw gospodarki wodnej.</w:t>
      </w:r>
      <w:bookmarkEnd w:id="1058"/>
    </w:p>
    <w:p w14:paraId="2BFCAFE8" w14:textId="7A85DA9A" w:rsidR="00804772" w:rsidRPr="00795F17" w:rsidRDefault="00804772" w:rsidP="0044393D">
      <w:r w:rsidRPr="00795F17">
        <w:t xml:space="preserve">Zgodnie z art. 240 ust. 2 pkt 10 pr.w. KZGW WP wykonuje również zadanie </w:t>
      </w:r>
      <w:r w:rsidR="0028234C" w:rsidRPr="00795F17">
        <w:t>PGW WP</w:t>
      </w:r>
      <w:r w:rsidRPr="00795F17">
        <w:t xml:space="preserve"> polegające na</w:t>
      </w:r>
      <w:r w:rsidR="001277A2" w:rsidRPr="00795F17">
        <w:t> </w:t>
      </w:r>
      <w:r w:rsidRPr="00795F17">
        <w:t>opracowaniu projektów planów gospodarowania wodami na obszarach dorzeczy, o których mowa w art. 319 ust. 1 pr.w., i ich aktualizacje.</w:t>
      </w:r>
    </w:p>
    <w:p w14:paraId="17F515C6" w14:textId="2DDBCA33" w:rsidR="00804772" w:rsidRPr="00795F17" w:rsidRDefault="00804772" w:rsidP="0044393D">
      <w:r w:rsidRPr="00795F17">
        <w:t xml:space="preserve">Projekt planu gospodarowania wodami opracowywany jest po zasięgnięciu opinii właściwych wojewodów, uzgadniany jest przez </w:t>
      </w:r>
      <w:r w:rsidR="0028234C" w:rsidRPr="00795F17">
        <w:t>PGW WP</w:t>
      </w:r>
      <w:r w:rsidRPr="00795F17">
        <w:t xml:space="preserve"> w zakresie dotyczącym śródlądowych dróg wodnych z</w:t>
      </w:r>
      <w:r w:rsidR="008308AA" w:rsidRPr="00795F17">
        <w:t> </w:t>
      </w:r>
      <w:r w:rsidRPr="00795F17">
        <w:t>ministrem właściwym do spraw żeglugi śródlądowej oraz przekazany ministrowi właściwemu do</w:t>
      </w:r>
      <w:r w:rsidR="008308AA" w:rsidRPr="00795F17">
        <w:t> </w:t>
      </w:r>
      <w:r w:rsidRPr="00795F17">
        <w:t>spraw gospodarki wodnej.</w:t>
      </w:r>
    </w:p>
    <w:p w14:paraId="30511324" w14:textId="34DB9274" w:rsidR="00804772" w:rsidRPr="00795F17" w:rsidRDefault="00804772" w:rsidP="0044393D">
      <w:r w:rsidRPr="00795F17">
        <w:t xml:space="preserve">Udostępnienie przez Wody Polskie materiałów źródłowych wykorzystanych do opracowania projektu planu gospodarowania wodami na obszarze dorzecza odbywa się na zasadach i w trybie określonych w przepisach </w:t>
      </w:r>
      <w:r w:rsidR="00DF57A7">
        <w:t>u.i.o.ś</w:t>
      </w:r>
      <w:r w:rsidRPr="00795F17">
        <w:t xml:space="preserve">. </w:t>
      </w:r>
    </w:p>
    <w:p w14:paraId="3158071F" w14:textId="1D270269" w:rsidR="00804772" w:rsidRPr="00795F17" w:rsidRDefault="00804772" w:rsidP="0044393D">
      <w:r w:rsidRPr="00795F17">
        <w:t xml:space="preserve">Na mocy art. 328 ust. 2 pr.w. </w:t>
      </w:r>
      <w:r w:rsidR="0028234C" w:rsidRPr="00795F17">
        <w:t>PGW WP</w:t>
      </w:r>
      <w:r w:rsidRPr="00795F17">
        <w:t xml:space="preserve"> w zakresie swojej właściwości, sporządzają roczne sprawozdania z realizacji działań zawartych w planach gospodarowania wodami na obszarach dorzeczy za rok poprzedni i przekazują te sprawozdania ministrowi właściwemu do spraw gospodarki wodnej w</w:t>
      </w:r>
      <w:r w:rsidR="008308AA" w:rsidRPr="00795F17">
        <w:t> </w:t>
      </w:r>
      <w:r w:rsidRPr="00795F17">
        <w:t>terminie do dnia 28 lutego roku następnego. Szczegółowy zakres informacji z realizacji działań zawartych w planach gospodarowania wodami na obszarach dorzeczy określa rozporządzenie Ministra Gospodarki Morskiej i Żeglugi Śródlądowej z dnia 14 grudnia 2018 r. w sprawie zakresu informacji z</w:t>
      </w:r>
      <w:r w:rsidR="008308AA" w:rsidRPr="00795F17">
        <w:t> </w:t>
      </w:r>
      <w:r w:rsidRPr="00795F17">
        <w:t>realizacji działań zawartych w planach gospodarowania wodami na obszarach dorzeczy, planach zarządzania ryzykiem powodziowym i programie ochrony wód morskich</w:t>
      </w:r>
      <w:r w:rsidR="00B37940">
        <w:t>.</w:t>
      </w:r>
    </w:p>
    <w:p w14:paraId="19160F33" w14:textId="78370159" w:rsidR="00804772" w:rsidRPr="00795F17" w:rsidRDefault="00804772" w:rsidP="0044393D">
      <w:r w:rsidRPr="00795F17">
        <w:t xml:space="preserve">W świetle art. 14 ust. 3 pr.w. Prezes </w:t>
      </w:r>
      <w:r w:rsidR="0028234C" w:rsidRPr="00795F17">
        <w:t>PGW WP</w:t>
      </w:r>
      <w:r w:rsidRPr="00795F17">
        <w:t xml:space="preserve"> pełni funkcję organu wyższego stopnia w</w:t>
      </w:r>
      <w:r w:rsidR="0083060B" w:rsidRPr="00795F17">
        <w:t> </w:t>
      </w:r>
      <w:r w:rsidRPr="00795F17">
        <w:t>rozumieniu przepisów k.p.a</w:t>
      </w:r>
      <w:r w:rsidR="0083060B" w:rsidRPr="00795F17">
        <w:t>.</w:t>
      </w:r>
      <w:r w:rsidRPr="00795F17">
        <w:t xml:space="preserve"> w stosunku do dyrektorów RZGW WP w sprawach określonych</w:t>
      </w:r>
      <w:r w:rsidR="0083060B" w:rsidRPr="00795F17">
        <w:t xml:space="preserve"> w</w:t>
      </w:r>
      <w:r w:rsidR="008308AA" w:rsidRPr="00795F17">
        <w:t> </w:t>
      </w:r>
      <w:r w:rsidRPr="00795F17">
        <w:t>pr.w.</w:t>
      </w:r>
    </w:p>
    <w:p w14:paraId="7E51D052" w14:textId="5EBC8936" w:rsidR="00804772" w:rsidRPr="00795F17" w:rsidRDefault="00804772" w:rsidP="0044393D">
      <w:r w:rsidRPr="00795F17">
        <w:t xml:space="preserve">Organami współpracującymi z Prezesem </w:t>
      </w:r>
      <w:r w:rsidR="0028234C" w:rsidRPr="00795F17">
        <w:t>PGW WP</w:t>
      </w:r>
      <w:r w:rsidRPr="00795F17">
        <w:t xml:space="preserve"> w zakresie gospodarowania wodami są również GIOŚ i GDOŚ.</w:t>
      </w:r>
    </w:p>
    <w:p w14:paraId="23B1CDDB" w14:textId="545DD2C6" w:rsidR="00804772" w:rsidRPr="00795F17" w:rsidRDefault="00804772" w:rsidP="0044393D">
      <w:r w:rsidRPr="00795F17">
        <w:t>GIOŚ jest centralnym organem administracji rządowej, powołanym do kontroli przestrzegania przepisów o ochronie środowiska oraz badania stanu środowiska, nadzorowanym przez ministra właściwego do spraw klimatu. Zadania Głównego Inspektora Ochrony Środowiska zostały wskazane w</w:t>
      </w:r>
      <w:r w:rsidR="008308AA" w:rsidRPr="00795F17">
        <w:t> </w:t>
      </w:r>
      <w:r w:rsidRPr="00795F17">
        <w:t xml:space="preserve">art. 4a </w:t>
      </w:r>
      <w:r w:rsidR="00B37940">
        <w:t>i.o.ś.</w:t>
      </w:r>
      <w:r w:rsidR="00B37940" w:rsidRPr="00795F17" w:rsidDel="00B37940">
        <w:t xml:space="preserve"> </w:t>
      </w:r>
    </w:p>
    <w:p w14:paraId="77330BF8" w14:textId="77777777" w:rsidR="00804772" w:rsidRPr="00795F17" w:rsidRDefault="00804772" w:rsidP="0044393D">
      <w:r w:rsidRPr="00795F17">
        <w:t>GDOŚ jest instytucją, która odpowiada za realizację polityki ochrony środowiska w zakresie: zarządzania ochroną przyrody, w tym m.in. obszarami Natura 2000, kontroli procesu inwestycyjnego.</w:t>
      </w:r>
    </w:p>
    <w:p w14:paraId="7C5F18E2" w14:textId="77777777" w:rsidR="00804772" w:rsidRPr="00795F17" w:rsidRDefault="00804772" w:rsidP="0044393D">
      <w:pPr>
        <w:pStyle w:val="Nagwek5"/>
      </w:pPr>
      <w:r w:rsidRPr="00795F17">
        <w:t>Dyrektor RZGW WP</w:t>
      </w:r>
    </w:p>
    <w:p w14:paraId="674A969A" w14:textId="2E6BD577" w:rsidR="00804772" w:rsidRPr="00795F17" w:rsidRDefault="00804772" w:rsidP="0044393D">
      <w:r w:rsidRPr="00795F17">
        <w:t>Właściwi dyrektorzy RZGW WP kierują pracą regionalnych zarządów gospodarki wodnej i pełnią funkcję organu wyższego stopnia w rozumieniu przepisów k.p.a. w stosunku do dyrektorów ZZ WP w</w:t>
      </w:r>
      <w:r w:rsidR="008308AA" w:rsidRPr="00795F17">
        <w:t> </w:t>
      </w:r>
      <w:r w:rsidRPr="00795F17">
        <w:t xml:space="preserve">sprawach określonych </w:t>
      </w:r>
      <w:r w:rsidR="0083060B" w:rsidRPr="00795F17">
        <w:t xml:space="preserve">w </w:t>
      </w:r>
      <w:r w:rsidRPr="00795F17">
        <w:t xml:space="preserve">pr.w. RZGW wykonują zadania </w:t>
      </w:r>
      <w:r w:rsidR="0028234C" w:rsidRPr="00795F17">
        <w:t>PGW WP</w:t>
      </w:r>
      <w:r w:rsidRPr="00795F17">
        <w:t xml:space="preserve"> wskazane w art. 240 ust. 3 pr.w. Dyrektora RZGW WP oraz zastępców RZGW WP powołuje Prezes </w:t>
      </w:r>
      <w:r w:rsidR="0028234C" w:rsidRPr="00795F17">
        <w:t>PGW WP</w:t>
      </w:r>
      <w:r w:rsidRPr="00795F17">
        <w:t xml:space="preserve"> (art. 245 pr.w.). Zgodnie z art. 397 ust. 3 pkt 1 lit. a) i b) pr.w. dyrektor RZGW WP jest organem właściwym w sprawie pozwoleń wodnoprawnych i ocen wodnoprawnych w przypadkach wskazanych tym przepisem. </w:t>
      </w:r>
    </w:p>
    <w:p w14:paraId="33807F91" w14:textId="2277A3D7" w:rsidR="00804772" w:rsidRPr="00795F17" w:rsidRDefault="00804772" w:rsidP="0044393D">
      <w:r w:rsidRPr="00795F17">
        <w:t>Zgodnie z art. 435 pr.w. organ właściwy w sprawach ocen wodnoprawnych sporządza wykaz planowanych inwestycji lub działań mogących wpłynąć na możliwość osiągnięcia celów środowiskowych, o których mowa w art. 56, art. 57, art. 59 oraz w art. 61 pr.w., obejmujący informację o wydanych ocenach wodnoprawnych oraz o przyczynach odmowy wydania oceny wodnoprawnej.</w:t>
      </w:r>
    </w:p>
    <w:p w14:paraId="63AAAD8C" w14:textId="77777777" w:rsidR="00804772" w:rsidRPr="00795F17" w:rsidRDefault="00804772" w:rsidP="0044393D">
      <w:pPr>
        <w:pStyle w:val="Nagwek5"/>
      </w:pPr>
      <w:r w:rsidRPr="00795F17">
        <w:t>Dyrektor ZZ WP</w:t>
      </w:r>
    </w:p>
    <w:p w14:paraId="25D0C5D4" w14:textId="796452FF" w:rsidR="00804772" w:rsidRPr="00795F17" w:rsidRDefault="00804772" w:rsidP="0044393D">
      <w:r w:rsidRPr="00795F17">
        <w:t xml:space="preserve">Pracą zarządów zlewni kierują dyrektorzy ZZ WP. Dyrektora zarządu zlewni oraz jego zastępców powołuje (i odwołuje) Prezes </w:t>
      </w:r>
      <w:r w:rsidR="0028234C" w:rsidRPr="00795F17">
        <w:t>PGW WP</w:t>
      </w:r>
      <w:r w:rsidRPr="00795F17">
        <w:t xml:space="preserve">, na wniosek dyrektora RZGW WP. Zadania </w:t>
      </w:r>
      <w:r w:rsidR="0028234C" w:rsidRPr="00795F17">
        <w:t>PGW WP</w:t>
      </w:r>
      <w:r w:rsidRPr="00795F17">
        <w:t>, które wykonują ZZ WP sprecyzowano w art. 240 ust. 4</w:t>
      </w:r>
      <w:r w:rsidR="0083060B" w:rsidRPr="00795F17">
        <w:t xml:space="preserve"> </w:t>
      </w:r>
      <w:r w:rsidRPr="00795F17">
        <w:t>pr.w. W szczególności ZZ WP zobligowane są</w:t>
      </w:r>
      <w:r w:rsidR="008308AA" w:rsidRPr="00795F17">
        <w:t> </w:t>
      </w:r>
      <w:r w:rsidRPr="00795F17">
        <w:t>do programowania, planowania i nadzorowania wykonywania urządzeń melioracji wodnych w</w:t>
      </w:r>
      <w:r w:rsidR="008308AA" w:rsidRPr="00795F17">
        <w:t> </w:t>
      </w:r>
      <w:r w:rsidRPr="00795F17">
        <w:t>trybie, o którym mowa w art. 199 ust. 2 pr.w. oraz prowadzą ewidencję urządzeń melioracji wodnych oraz zmeliorowanych gruntów i udostępniają dane zawarte w tej ewidencji. Właściwy dyrektor ZZ WP pełni funkcję organu wyższego stopnia w rozumieniu przepisów k.p.a. w stosunku do</w:t>
      </w:r>
      <w:r w:rsidR="008308AA" w:rsidRPr="00795F17">
        <w:t> </w:t>
      </w:r>
      <w:r w:rsidRPr="00795F17">
        <w:t xml:space="preserve">kierowników NW WP w sprawach określonych ustawą. Dyrektor ZZ WP jest właściwy w sprawach pozwoleń wodnoprawnych niewymienionych w art. 397 ust. 3 pkt 1 lit. a, c i d pr.w. i ocen wodnoprawnych w zakresie niezastrzeżonym dla dyrektora RZGW WP. </w:t>
      </w:r>
    </w:p>
    <w:p w14:paraId="5542140E" w14:textId="77777777" w:rsidR="00804772" w:rsidRPr="00795F17" w:rsidRDefault="00804772" w:rsidP="0044393D">
      <w:pPr>
        <w:pStyle w:val="Nagwek5"/>
        <w:rPr>
          <w:rFonts w:asciiTheme="minorHAnsi" w:hAnsiTheme="minorHAnsi" w:cstheme="minorHAnsi"/>
          <w:bCs/>
        </w:rPr>
      </w:pPr>
      <w:r w:rsidRPr="00795F17">
        <w:t>Kierownik NW WP</w:t>
      </w:r>
    </w:p>
    <w:p w14:paraId="63084635" w14:textId="76A991CE" w:rsidR="00804772" w:rsidRPr="00795F17" w:rsidRDefault="00804772" w:rsidP="0044393D">
      <w:r w:rsidRPr="00795F17">
        <w:t xml:space="preserve">Nadzory wodne realizują zadania </w:t>
      </w:r>
      <w:r w:rsidR="0028234C" w:rsidRPr="00795F17">
        <w:t>PGW WP</w:t>
      </w:r>
      <w:r w:rsidRPr="00795F17">
        <w:t xml:space="preserve"> nałożone poprzez art. 240 ust. 5 pr.w. Pracą nadzorów wodnych kierują kierownicy NW WP powoływani (i odwoływani) przez właściwych dyrektorów RZGW WP, na wniosek dyrektora ZZ WP, po zasięgnięciu opinii właściwego starosty. Kierownik NW WP jest organem właściwym w sprawach zgłoszeń wodnoprawnych. Oznacza to, że</w:t>
      </w:r>
      <w:r w:rsidR="008308AA" w:rsidRPr="00795F17">
        <w:t> </w:t>
      </w:r>
      <w:r w:rsidRPr="00795F17">
        <w:t>przedmiotowy organ wnosi sprzeciw, jeżeli wykonywanie czynności, robót lub urządzeń wodnych, a</w:t>
      </w:r>
      <w:r w:rsidR="008308AA" w:rsidRPr="00795F17">
        <w:t> </w:t>
      </w:r>
      <w:r w:rsidRPr="00795F17">
        <w:t>także korzystanie z wód: jest objęte obowiązkiem uzyskania pozwolenia wodnoprawnego; narusza ustalenia dokumentów, o których mowa w art. 396 ust. 1 pkt 1-7 pr.w., nie spełnia wymagań, o których mowa w art. 396 ust. 1 pkt 8</w:t>
      </w:r>
      <w:r w:rsidR="0083060B" w:rsidRPr="00795F17">
        <w:t xml:space="preserve"> </w:t>
      </w:r>
      <w:r w:rsidRPr="00795F17">
        <w:t>pr.w., lub narusza interesy osób trzecich, w tym właściciela wód; zagraża osiągnięciu celów środowiskowych, o których mowa w art. 56, art. 57, art. 59 oraz w art. 61</w:t>
      </w:r>
      <w:r w:rsidR="0083060B" w:rsidRPr="00795F17">
        <w:t xml:space="preserve"> </w:t>
      </w:r>
      <w:r w:rsidRPr="00795F17">
        <w:t>pr.w.</w:t>
      </w:r>
    </w:p>
    <w:p w14:paraId="4F7A5963" w14:textId="77777777" w:rsidR="00804772" w:rsidRPr="00795F17" w:rsidRDefault="00804772" w:rsidP="0044393D">
      <w:pPr>
        <w:pStyle w:val="Nagwek5"/>
        <w:rPr>
          <w:rFonts w:asciiTheme="minorHAnsi" w:hAnsiTheme="minorHAnsi" w:cstheme="minorHAnsi"/>
          <w:bCs/>
        </w:rPr>
      </w:pPr>
      <w:r w:rsidRPr="00795F17">
        <w:t>Dyrektor urzędu morskiego</w:t>
      </w:r>
    </w:p>
    <w:p w14:paraId="23C407A7" w14:textId="0A0FEC18" w:rsidR="00804772" w:rsidRPr="00795F17" w:rsidRDefault="00804772" w:rsidP="0044393D">
      <w:r w:rsidRPr="00795F17">
        <w:t>Zgodnie z art. 38 ustawy z dnia 21 marca 1991 r. o obszarach morskich Rzeczypospolitej Polskiej i</w:t>
      </w:r>
      <w:r w:rsidR="008308AA" w:rsidRPr="00795F17">
        <w:t> </w:t>
      </w:r>
      <w:r w:rsidRPr="00795F17">
        <w:t xml:space="preserve">administracji morskiej organami administracji morskiej są minister właściwy do spraw gospodarki morskiej </w:t>
      </w:r>
      <w:r w:rsidR="00DA5B81">
        <w:t>–</w:t>
      </w:r>
      <w:r w:rsidRPr="00795F17">
        <w:t xml:space="preserve"> jako naczelny organ administracji morskiej oraz dyrektorzy urzędów morskich </w:t>
      </w:r>
      <w:r w:rsidR="00DA5B81">
        <w:t>–</w:t>
      </w:r>
      <w:r w:rsidRPr="00795F17">
        <w:t xml:space="preserve"> jako terenowe organy administracji morskiej. Minister właściwy do spraw gospodarki morskiej sprawuje nadzór nad działalnością dyrektorów urzędów morskich w zakresie uregulowanym w przywołanej ustawie oraz w przepisach odrębnych. Dyrektor urzędu morskiego podlega ww. ministrowi. </w:t>
      </w:r>
    </w:p>
    <w:p w14:paraId="32665F98" w14:textId="1F182567" w:rsidR="00804772" w:rsidRPr="00795F17" w:rsidRDefault="00804772" w:rsidP="0044393D">
      <w:r w:rsidRPr="00795F17">
        <w:t xml:space="preserve">Dyrektor urzędu morskiego wykonuje swoje kompetencje przy pomocy urzędu morskiego, który jest państwową jednostką budżetową. W skład urzędu morskiego wchodzą w szczególności: inspekcja morska, inspekcja bandery, inspekcja portu </w:t>
      </w:r>
      <w:r w:rsidR="00DA5B81">
        <w:t>–</w:t>
      </w:r>
      <w:r w:rsidRPr="00795F17">
        <w:t xml:space="preserve"> przy pomocy których dyrektor urzędu morskiego realizuje swoje zadania w zakresie inspekcji statków; Służba Kontroli Ruchu Statków (Służba VTS) </w:t>
      </w:r>
      <w:r w:rsidR="00DA5B81">
        <w:t>–</w:t>
      </w:r>
      <w:r w:rsidRPr="00795F17">
        <w:t xml:space="preserve"> przy pomocy której dyrektor urzędu morskiego realizuje swoje zadania w zakresie monitorowania ruchu statków i</w:t>
      </w:r>
      <w:r w:rsidR="008308AA" w:rsidRPr="00795F17">
        <w:t> </w:t>
      </w:r>
      <w:r w:rsidRPr="00795F17">
        <w:t xml:space="preserve">przekazywania informacji; kapitanaty i bosmanaty portów </w:t>
      </w:r>
      <w:r w:rsidR="00DA5B81">
        <w:t>–</w:t>
      </w:r>
      <w:r w:rsidRPr="00795F17">
        <w:t xml:space="preserve"> przy pomocy których dyrektor urzędu morskiego wykonuje swoje kompetencje w portach i przystaniach morskich; Biuro Spraw Obronnych Żeglugi </w:t>
      </w:r>
      <w:r w:rsidR="00DA5B81">
        <w:t>–</w:t>
      </w:r>
      <w:r w:rsidRPr="00795F17">
        <w:t xml:space="preserve"> do realizacji zadań ochrony portów morskich i żeglugi morskiej oraz do wykonywania zadań obronnych oraz zadań o charakterze niemilitarnym.</w:t>
      </w:r>
    </w:p>
    <w:p w14:paraId="1C6E2077" w14:textId="1FE11289" w:rsidR="00804772" w:rsidRPr="00795F17" w:rsidRDefault="00804772" w:rsidP="0044393D">
      <w:r w:rsidRPr="00795F17">
        <w:t>Zgodnie z art. 328 ust. 2 pr.w. dyrektorzy urzędów morskich, w zakresie swojej właściwości, sporządzają roczne sprawozdania z realizacji działań zawartych w planach gospodarowania wodami na</w:t>
      </w:r>
      <w:r w:rsidR="008308AA" w:rsidRPr="00795F17">
        <w:t> </w:t>
      </w:r>
      <w:r w:rsidRPr="00795F17">
        <w:t>obszarach dorzeczy za rok poprzedni i przekazują te sprawozdania ministrowi właściwemu do spraw gospodarki wodnej w terminie do dnia 28 lutego roku następnego. Szczegółowy zakres informacji z</w:t>
      </w:r>
      <w:r w:rsidR="008308AA" w:rsidRPr="00795F17">
        <w:t> </w:t>
      </w:r>
      <w:r w:rsidRPr="00795F17">
        <w:t xml:space="preserve">realizacji działań zawartych w planach gospodarowania wodami na obszarach dorzeczy określa rozporządzenie Ministra Gospodarki Morskiej i Żeglugi Śródlądowej z dnia 14 grudnia 2018 r. w sprawie zakresu informacji z realizacji działań zawartych w planach gospodarowania wodami na obszarach dorzeczy, planach zarządzania ryzykiem powodziowym i programie ochrony wód morskich (Dz.U. </w:t>
      </w:r>
      <w:r w:rsidR="00DA5B81">
        <w:t>z</w:t>
      </w:r>
      <w:r w:rsidR="00632CDB">
        <w:t> </w:t>
      </w:r>
      <w:r w:rsidR="00DA5B81">
        <w:t xml:space="preserve"> </w:t>
      </w:r>
      <w:r w:rsidRPr="00795F17">
        <w:t>2018</w:t>
      </w:r>
      <w:r w:rsidR="00DA5B81">
        <w:t xml:space="preserve"> r.</w:t>
      </w:r>
      <w:r w:rsidRPr="00795F17">
        <w:t xml:space="preserve"> poz. 2390).</w:t>
      </w:r>
    </w:p>
    <w:p w14:paraId="47E02B54" w14:textId="77777777" w:rsidR="00804772" w:rsidRPr="00795F17" w:rsidRDefault="00804772" w:rsidP="0044393D">
      <w:pPr>
        <w:pStyle w:val="Nagwek5"/>
      </w:pPr>
      <w:r w:rsidRPr="00795F17">
        <w:t>Wojewoda</w:t>
      </w:r>
    </w:p>
    <w:p w14:paraId="7DEB14E5" w14:textId="6DD15461" w:rsidR="00804772" w:rsidRPr="00795F17" w:rsidRDefault="00804772" w:rsidP="0044393D">
      <w:r w:rsidRPr="00795F17">
        <w:t xml:space="preserve">Wojewoda </w:t>
      </w:r>
      <w:r w:rsidR="00DA5B81">
        <w:t>–</w:t>
      </w:r>
      <w:r w:rsidRPr="00795F17">
        <w:t xml:space="preserve"> zgodnie z </w:t>
      </w:r>
      <w:r w:rsidR="00DA5B81">
        <w:t>postanowieniami</w:t>
      </w:r>
      <w:r w:rsidRPr="00795F17">
        <w:t xml:space="preserve"> art. 3 ustawy z dnia 23 stycznia 2009 r. o wojewodzie i</w:t>
      </w:r>
      <w:r w:rsidR="00632CDB">
        <w:t> </w:t>
      </w:r>
      <w:r w:rsidRPr="00795F17">
        <w:t xml:space="preserve"> administracji rządowej w województwie (</w:t>
      </w:r>
      <w:r w:rsidR="00D146C3" w:rsidRPr="00795F17">
        <w:t>Dz.U.</w:t>
      </w:r>
      <w:r w:rsidRPr="00795F17">
        <w:t xml:space="preserve"> </w:t>
      </w:r>
      <w:r w:rsidR="00DA5B81">
        <w:t xml:space="preserve">z </w:t>
      </w:r>
      <w:r w:rsidR="004249F3" w:rsidRPr="00795F17">
        <w:t>20</w:t>
      </w:r>
      <w:r w:rsidR="004249F3">
        <w:t xml:space="preserve">22 </w:t>
      </w:r>
      <w:r w:rsidR="00DA5B81">
        <w:t>r.</w:t>
      </w:r>
      <w:r w:rsidRPr="00795F17">
        <w:t xml:space="preserve"> poz. </w:t>
      </w:r>
      <w:r w:rsidR="004249F3">
        <w:t xml:space="preserve">135, </w:t>
      </w:r>
      <w:r w:rsidR="0039137C">
        <w:t>z późn. zm.</w:t>
      </w:r>
      <w:r w:rsidRPr="00795F17">
        <w:t xml:space="preserve">) </w:t>
      </w:r>
      <w:r w:rsidR="00DA5B81">
        <w:t>–</w:t>
      </w:r>
      <w:r w:rsidRPr="00795F17">
        <w:t xml:space="preserve"> jest m. in. przedstawicielem Rady Ministrów w</w:t>
      </w:r>
      <w:r w:rsidR="008308AA" w:rsidRPr="00795F17">
        <w:t> </w:t>
      </w:r>
      <w:r w:rsidRPr="00795F17">
        <w:t>województwie; zwierzchnikiem rządowej administracji zespolonej w województwie; organem rządowej administracji zespolonej w województwie; organem nadzoru nad działalnością jednostek samorządu terytorialnego i ich związków pod względem legalności, organem administracji rządowej w</w:t>
      </w:r>
      <w:r w:rsidR="008308AA" w:rsidRPr="00795F17">
        <w:t> </w:t>
      </w:r>
      <w:r w:rsidRPr="00795F17">
        <w:t>województwie, do którego właściwości należą wszystkie sprawy z zakresu administracji rządowej w</w:t>
      </w:r>
      <w:r w:rsidR="008308AA" w:rsidRPr="00795F17">
        <w:t> </w:t>
      </w:r>
      <w:r w:rsidRPr="00795F17">
        <w:t xml:space="preserve">województwie niezastrzeżone w odrębnych ustawach do właściwości innych organów tej administracji. </w:t>
      </w:r>
    </w:p>
    <w:p w14:paraId="3E8D9E29" w14:textId="62F3DBD7" w:rsidR="00804772" w:rsidRPr="00795F17" w:rsidRDefault="00804772" w:rsidP="0044393D">
      <w:r w:rsidRPr="00795F17">
        <w:t>Zgodnie z przepisami pr.w. do zadań wojewody należy</w:t>
      </w:r>
      <w:r w:rsidR="00DA5B81">
        <w:t xml:space="preserve"> m.in.</w:t>
      </w:r>
      <w:r w:rsidRPr="00795F17">
        <w:t xml:space="preserve"> opiniowanie projektu planu gospodarowania wodami na obszarze dorzecza (art. 319 ust. 1). Na mocy art. 328 ust. 2 pr.w. wojewodowie, w zakresie swojej właściwości, sporządzają roczne sprawozdania z realizacji działań zawartych w planach gospodarowania wodami na obszarach dorzeczy, za rok poprzedni i</w:t>
      </w:r>
      <w:r w:rsidR="008308AA" w:rsidRPr="00795F17">
        <w:t> </w:t>
      </w:r>
      <w:r w:rsidRPr="00795F17">
        <w:t xml:space="preserve">przekazują te sprawozdania ministrowi właściwemu do spraw gospodarki wodnej w terminie do dnia 28 lutego roku następnego. </w:t>
      </w:r>
    </w:p>
    <w:p w14:paraId="59F9663B" w14:textId="4137205F" w:rsidR="00804772" w:rsidRPr="00795F17" w:rsidRDefault="00804772" w:rsidP="0044393D">
      <w:r w:rsidRPr="00795F17">
        <w:t xml:space="preserve">Ponadto </w:t>
      </w:r>
      <w:r w:rsidR="00DA5B81">
        <w:t>–</w:t>
      </w:r>
      <w:r w:rsidRPr="00795F17">
        <w:t xml:space="preserve"> w zakresie określonym przez regulacje</w:t>
      </w:r>
      <w:r w:rsidR="00DA5B81">
        <w:t xml:space="preserve"> </w:t>
      </w:r>
      <w:r w:rsidRPr="00795F17">
        <w:t xml:space="preserve">pr.w. </w:t>
      </w:r>
      <w:r w:rsidR="00DA5B81">
        <w:t>–</w:t>
      </w:r>
      <w:r w:rsidRPr="00795F17">
        <w:t xml:space="preserve"> wojewoda m. in. ustanawia w drodze rozporządzenia teren ochrony bezpośredniej i teren ochrony pośredniej (art. 135 ust. 1 pkt 2); ustanawia w drodze rozporządzenia, na wniosek </w:t>
      </w:r>
      <w:r w:rsidR="0028234C" w:rsidRPr="00795F17">
        <w:t>PGW WP</w:t>
      </w:r>
      <w:r w:rsidRPr="00795F17">
        <w:t>, obszar ochronny (art. 141 ust. 1); wyposaża i utrzymuje wojewódzki magazyn przeciwpowodziowy (art. 165 ust. 2); opiniuje projekt wstępnej oceny ryzyka powodziowego (art. 168 ust. 3); uzgadnia projekty map zagrożenia powodziowego oraz</w:t>
      </w:r>
      <w:r w:rsidR="00A23B58">
        <w:t> </w:t>
      </w:r>
      <w:r w:rsidRPr="00795F17">
        <w:t xml:space="preserve">map ryzyka powodziowego (art. 171 ust. 1); uzgadnia projekt planu przeciwdziałania skutkom suszy (art. 185 ust. 1). </w:t>
      </w:r>
      <w:r w:rsidR="00FE7DE1">
        <w:t>N</w:t>
      </w:r>
      <w:r w:rsidRPr="00795F17">
        <w:t>a mocy art. 31 ust. 2 pr.w. w sytuacjach nadzwyczajnych, o których mowa w ustawie z dnia 23 stycznia 2009 r. o wojewodzie i administracji rządowej w województwie</w:t>
      </w:r>
      <w:r w:rsidR="00E81F11">
        <w:t>,</w:t>
      </w:r>
      <w:r w:rsidRPr="00795F17">
        <w:t xml:space="preserve"> wojewoda może, w drodze aktu prawa miejscowego, określić rozmiar i czas korzystania z każdej wody na potrzeby zwalczania poważnych awarii, klęsk żywiołowych, pożarów lub innych miejscowych zagrożeń oraz w razie konieczności zapobieżenia poważnemu i nagłemu niebezpieczeństwu grożącemu życiu lub zdrowiu ludzi albo mieniu znacznej wartości, którego w inny sposób nie można uniknąć. Natomiast w przypadku wprowadzenia stanu klęski żywiołowej, w celu zapobieżenia skutkom powodzi lub suszy, wojewoda może, w drodze aktu prawa miejscowego, wprowadzić czasowe ograniczenia w korzystaniu z wód, w</w:t>
      </w:r>
      <w:r w:rsidR="00A23B58">
        <w:t> </w:t>
      </w:r>
      <w:r w:rsidRPr="00795F17">
        <w:t>szczególności w</w:t>
      </w:r>
      <w:r w:rsidR="00BF3682">
        <w:t> </w:t>
      </w:r>
      <w:r w:rsidRPr="00795F17">
        <w:t>zakresie poboru wód lub wprowadzania ścieków do wód lub do ziemi, a także zmiany sposobu gospodarowania wodą w zbiornikach retencyjnych.</w:t>
      </w:r>
    </w:p>
    <w:p w14:paraId="4FD3CF62" w14:textId="77777777" w:rsidR="00804772" w:rsidRPr="00795F17" w:rsidRDefault="00804772" w:rsidP="0044393D">
      <w:pPr>
        <w:pStyle w:val="Nagwek5"/>
      </w:pPr>
      <w:r w:rsidRPr="00795F17">
        <w:t>Starosta</w:t>
      </w:r>
    </w:p>
    <w:p w14:paraId="0BC7B64D" w14:textId="6924D021" w:rsidR="00804772" w:rsidRPr="00795F17" w:rsidRDefault="00804772" w:rsidP="0044393D">
      <w:r w:rsidRPr="00795F17">
        <w:t xml:space="preserve">Starosta </w:t>
      </w:r>
      <w:r w:rsidR="00DA5B81">
        <w:t>–</w:t>
      </w:r>
      <w:r w:rsidRPr="00795F17">
        <w:t xml:space="preserve"> zgodnie z art. 34 ust. 1 ustawy z dnia 5 czerwca 1998 r. o samorządzie powiatowym </w:t>
      </w:r>
      <w:r w:rsidR="00DA5B81">
        <w:t>–</w:t>
      </w:r>
      <w:r w:rsidRPr="00795F17">
        <w:t xml:space="preserve"> organizuje pracę zarządu powiatu i starostwa powiatowego, kieruje bieżącymi sprawami powiatu oraz reprezentuje powiat na zewnątrz. Do kompetencji starosty określonych przez przepisy pr.w. należą m.in: gospodarowanie innym mieniem związanym z</w:t>
      </w:r>
      <w:r w:rsidR="00A23B58">
        <w:t> </w:t>
      </w:r>
      <w:r w:rsidRPr="00795F17">
        <w:t>gospodarką wodną stanowiącym własność Skarbu Państwa (art. 216 ust. 4); wykonywanie przysługującego Skarbowi Państwa prawa pierwokupu w przypadku sprzedaży nieruchomości obejmującej grunt pod śródlądowymi wodami stojącymi (art. 217 ust. 13); zatwierdzanie w drodze decyzji administracyjnej statutu spółki wodnej (art. 446 ust. 3); sprawowanie nadzoru i kontroli nad działalnością takiej spółki (art. 462).</w:t>
      </w:r>
    </w:p>
    <w:p w14:paraId="07A95755" w14:textId="77777777" w:rsidR="00804772" w:rsidRPr="00795F17" w:rsidRDefault="00804772" w:rsidP="0044393D">
      <w:pPr>
        <w:pStyle w:val="Nagwek5"/>
        <w:rPr>
          <w:rFonts w:asciiTheme="minorHAnsi" w:hAnsiTheme="minorHAnsi" w:cstheme="minorHAnsi"/>
          <w:bCs/>
        </w:rPr>
      </w:pPr>
      <w:r w:rsidRPr="00795F17">
        <w:t>Wójt, burmistrz lub prezydent miasta</w:t>
      </w:r>
    </w:p>
    <w:p w14:paraId="06880391" w14:textId="3288BC38" w:rsidR="00804772" w:rsidRPr="00795F17" w:rsidRDefault="00804772" w:rsidP="0044393D">
      <w:r w:rsidRPr="00795F17">
        <w:t xml:space="preserve">Wójt, burmistrz lub prezydent miasta </w:t>
      </w:r>
      <w:r w:rsidR="00DA5B81">
        <w:t>–</w:t>
      </w:r>
      <w:r w:rsidRPr="00795F17">
        <w:t xml:space="preserve"> zgodnie z art. 11a i art. 31 ustawy z dnia 8 marca 1990 r. o</w:t>
      </w:r>
      <w:r w:rsidR="008308AA" w:rsidRPr="00795F17">
        <w:t> </w:t>
      </w:r>
      <w:r w:rsidRPr="00795F17">
        <w:t xml:space="preserve">samorządzie gminnym </w:t>
      </w:r>
      <w:r w:rsidR="00DA5B81">
        <w:t>–</w:t>
      </w:r>
      <w:r w:rsidRPr="00795F17">
        <w:t xml:space="preserve"> jest organem gminy oraz kieruje bieżącymi sprawami gminy i reprezentuje ją na zewnątrz. W świetle przepisów pr.w. gminny organ wykonawczy m.in. przygotowuje projekt uchwały określającej wykaz kąpielisk na terenie gminy lub na polskich obszarach morskich przyległych do danej gminy (art. 37 ust. 8); prowadzi i aktualizuje ewidencję kąpielisk (art. 38 ust. 1); prowadzi i aktualizuje ewidencję miejsc okazjonalnie wykorzystywanych do</w:t>
      </w:r>
      <w:r w:rsidR="008308AA" w:rsidRPr="00795F17">
        <w:t> </w:t>
      </w:r>
      <w:r w:rsidRPr="00795F17">
        <w:t>kąpieli (art. 40 ust. 1); co dwa lata dokonuje przeglądu obszarów i granic aglomeracji wyznaczonych na podstawie stosownej uchwały rady gminy, i w razie potrzeby informuje radę gminy o konieczności zmiany obszarów i granic aglomeracji (art. 92). Ponadto na mocy art. 223 ust. 2 pr.w. właściciel nieruchomości przyległej do wód objętych powszechnym korzystaniem jest obowiązany zapewnić dostęp do wód w</w:t>
      </w:r>
      <w:r w:rsidR="00CF79DA" w:rsidRPr="00795F17">
        <w:t> </w:t>
      </w:r>
      <w:r w:rsidRPr="00795F17">
        <w:t>sposób umożliwiający to korzystanie. Części nieruchomości umożliwiające dostęp do</w:t>
      </w:r>
      <w:r w:rsidR="008308AA" w:rsidRPr="00795F17">
        <w:t> </w:t>
      </w:r>
      <w:r w:rsidRPr="00795F17">
        <w:t>wód wyznacza wójt, burmistrz lub prezydent miasta, w drodze decyzji.</w:t>
      </w:r>
    </w:p>
    <w:p w14:paraId="2AFD812F" w14:textId="42A98D7B" w:rsidR="00804772" w:rsidRPr="00795F17" w:rsidRDefault="00804772" w:rsidP="0044393D">
      <w:r w:rsidRPr="00795F17">
        <w:t>Zgodnie z art. 326 pr.w. ustalenia planu gospodarowania wodami w obszarze dorzecza uwzględnia się w strategii rozwoju ponadlokalnego, strategii rozwoju gminy, studium uwarunkowań i</w:t>
      </w:r>
      <w:r w:rsidR="008308AA" w:rsidRPr="00795F17">
        <w:t> </w:t>
      </w:r>
      <w:r w:rsidRPr="00795F17">
        <w:t>kierunków zagospodarowania przestrzennego gminy oraz w miejscowych planach zagospodarowania przestrzennego.</w:t>
      </w:r>
    </w:p>
    <w:p w14:paraId="1C00A1AD" w14:textId="551F1CCF" w:rsidR="008A2D28" w:rsidRPr="00795F17" w:rsidRDefault="00804772" w:rsidP="0044393D">
      <w:r w:rsidRPr="00795F17">
        <w:t>Zgodnie z art. 10g ust. 8 u</w:t>
      </w:r>
      <w:r w:rsidR="006E6045" w:rsidRPr="00795F17">
        <w:t>.</w:t>
      </w:r>
      <w:r w:rsidRPr="00795F17">
        <w:t>s</w:t>
      </w:r>
      <w:r w:rsidR="006E6045" w:rsidRPr="00795F17">
        <w:t>.</w:t>
      </w:r>
      <w:r w:rsidRPr="00795F17">
        <w:t>g</w:t>
      </w:r>
      <w:r w:rsidR="006E6045" w:rsidRPr="00795F17">
        <w:t>.</w:t>
      </w:r>
      <w:r w:rsidRPr="00795F17">
        <w:t xml:space="preserve"> strategia rozwoju ponadlokalnego opracowana przez porozumienie międzygminne jest przyjmowana przez właściwe rady gmin i obowiązuje od dnia jej przyjęcia przez ostatnią radę gminy. Na mocy art. 10f ust. 4 u</w:t>
      </w:r>
      <w:r w:rsidR="006E6045" w:rsidRPr="00795F17">
        <w:t>.</w:t>
      </w:r>
      <w:r w:rsidRPr="00795F17">
        <w:t>s</w:t>
      </w:r>
      <w:r w:rsidR="006E6045" w:rsidRPr="00795F17">
        <w:t>.</w:t>
      </w:r>
      <w:r w:rsidRPr="00795F17">
        <w:t>g</w:t>
      </w:r>
      <w:r w:rsidR="006E6045" w:rsidRPr="00795F17">
        <w:t>.</w:t>
      </w:r>
      <w:r w:rsidRPr="00795F17">
        <w:t xml:space="preserve"> strategia rozwoju gminy jest przyjmowana przez radę gminy w</w:t>
      </w:r>
      <w:r w:rsidR="006E6045" w:rsidRPr="00795F17">
        <w:t xml:space="preserve"> </w:t>
      </w:r>
      <w:r w:rsidRPr="00795F17">
        <w:t>drodze uchwały.</w:t>
      </w:r>
    </w:p>
    <w:p w14:paraId="3405F3D7" w14:textId="7B663B5F" w:rsidR="00D32E0C" w:rsidRPr="00795F17" w:rsidRDefault="00D32E0C" w:rsidP="0044393D">
      <w:r w:rsidRPr="00795F17">
        <w:br w:type="page"/>
      </w:r>
    </w:p>
    <w:p w14:paraId="6771C131" w14:textId="38CF6DBE" w:rsidR="00056449" w:rsidRPr="00795F17" w:rsidRDefault="00056449" w:rsidP="00BA6B41">
      <w:pPr>
        <w:pStyle w:val="Nagwek1"/>
      </w:pPr>
      <w:bookmarkStart w:id="1059" w:name="_Toc66272303"/>
      <w:bookmarkStart w:id="1060" w:name="_Toc105512743"/>
      <w:r w:rsidRPr="00795F17">
        <w:t>Współpraca międzynarodowa</w:t>
      </w:r>
      <w:bookmarkEnd w:id="1059"/>
      <w:bookmarkEnd w:id="1060"/>
    </w:p>
    <w:p w14:paraId="615216A9" w14:textId="77777777" w:rsidR="00085669" w:rsidRPr="00795F17" w:rsidRDefault="00085669" w:rsidP="0044393D">
      <w:pPr>
        <w:pStyle w:val="Nagwek5"/>
      </w:pPr>
      <w:r w:rsidRPr="00795F17">
        <w:t>Podsumowanie współpracy w zakresie wód transgranicznych z sąsiednimi państwami</w:t>
      </w:r>
    </w:p>
    <w:p w14:paraId="253C3BDF" w14:textId="77777777" w:rsidR="00085669" w:rsidRPr="00795F17" w:rsidRDefault="00085669" w:rsidP="0044393D">
      <w:pPr>
        <w:pStyle w:val="Nagwek5"/>
      </w:pPr>
      <w:r w:rsidRPr="00795F17">
        <w:t>Podstawy prawne</w:t>
      </w:r>
    </w:p>
    <w:p w14:paraId="12D191C3" w14:textId="5021F1F7" w:rsidR="00085669" w:rsidRPr="00795F17" w:rsidRDefault="00085669" w:rsidP="0044393D">
      <w:r w:rsidRPr="00795F17">
        <w:t xml:space="preserve">Zobowiązania państw członkowskich </w:t>
      </w:r>
      <w:r w:rsidR="00B1520C">
        <w:t>UE</w:t>
      </w:r>
      <w:r w:rsidRPr="00795F17">
        <w:t xml:space="preserve"> w zakresie współpracy międzynarodowej na</w:t>
      </w:r>
      <w:r w:rsidR="008308AA" w:rsidRPr="00795F17">
        <w:t> </w:t>
      </w:r>
      <w:r w:rsidRPr="00795F17">
        <w:t xml:space="preserve">wodach transgranicznych określa art. 3 RDW, dotyczący koordynacji uzgodnień administracyjnych w obszarach dorzeczy. Najistotniejszą kwestią wynikającą z ww. przepisów jest określenie pojedynczych </w:t>
      </w:r>
      <w:r w:rsidR="00BF782C" w:rsidRPr="00795F17">
        <w:t xml:space="preserve">obszarów </w:t>
      </w:r>
      <w:r w:rsidRPr="00795F17">
        <w:t xml:space="preserve">dorzeczy leżących na terytorium danego państwa oraz przydzielenie </w:t>
      </w:r>
      <w:r w:rsidR="008308AA" w:rsidRPr="00795F17">
        <w:br/>
      </w:r>
      <w:r w:rsidRPr="00795F17">
        <w:t xml:space="preserve">ich do określonych obszarów dorzeczy. Jeśli </w:t>
      </w:r>
      <w:r w:rsidR="00BF782C" w:rsidRPr="00795F17">
        <w:t xml:space="preserve">obszar </w:t>
      </w:r>
      <w:r w:rsidRPr="00795F17">
        <w:t>dorzecz</w:t>
      </w:r>
      <w:r w:rsidR="00BF782C" w:rsidRPr="00795F17">
        <w:t>a</w:t>
      </w:r>
      <w:r w:rsidRPr="00795F17">
        <w:t xml:space="preserve"> obejmuje terytorium więcej niż jednego państwa członkowskiego </w:t>
      </w:r>
      <w:r w:rsidR="00B1520C">
        <w:t>UE</w:t>
      </w:r>
      <w:r w:rsidRPr="00795F17">
        <w:t xml:space="preserve"> przydzielone jest ono do międzynarodowego obszaru dorzecza.</w:t>
      </w:r>
    </w:p>
    <w:p w14:paraId="0CD19EB7" w14:textId="57F00DD5" w:rsidR="00085669" w:rsidRPr="00795F17" w:rsidRDefault="00085669" w:rsidP="0044393D">
      <w:r w:rsidRPr="00795F17">
        <w:t xml:space="preserve">Państwa członkowskie </w:t>
      </w:r>
      <w:r w:rsidR="00B1520C">
        <w:t>UE</w:t>
      </w:r>
      <w:r w:rsidRPr="00795F17">
        <w:t xml:space="preserve"> zapewniają na swoim terytorium odpowiednie uzgodnienia administracyjne oraz określają właściwe władze, w celu zastosowania zasad RDW na całym międzynarodowym obszarze dorzecza. Aby zagwarantować optymalne warunki do osiągnięcia celów środowiskowych RDW, ustalonych na mocy art. 4, państwa członkowskie </w:t>
      </w:r>
      <w:r w:rsidR="00B1520C">
        <w:t>UE</w:t>
      </w:r>
      <w:r w:rsidRPr="00795F17">
        <w:t xml:space="preserve"> koordynują działania na poziomie obszaru dorzecza. W przypadku międzynarodowego obszaru dorzecza, również gdy wykracza on poza terytorium </w:t>
      </w:r>
      <w:r w:rsidR="00B1520C">
        <w:t>UE</w:t>
      </w:r>
      <w:r w:rsidRPr="00795F17">
        <w:t xml:space="preserve">, wszystkie państwa leżące w jego obrębie starają się zapewnić koordynację działań dla całego obszaru dorzecza. W tym celu państwa członkowskie </w:t>
      </w:r>
      <w:r w:rsidR="00B1520C">
        <w:t>UE</w:t>
      </w:r>
      <w:r w:rsidRPr="00795F17">
        <w:t xml:space="preserve"> mogą wykorzystać istniejące struktury wynikające z umów międzynarodowych.</w:t>
      </w:r>
    </w:p>
    <w:p w14:paraId="60C280C9" w14:textId="2F4F9440" w:rsidR="00085669" w:rsidRPr="00795F17" w:rsidRDefault="00085669" w:rsidP="0044393D">
      <w:r w:rsidRPr="00795F17">
        <w:t xml:space="preserve">Przepisy RDW odnoszące się do współpracy międzynarodowej na wodach transgranicznych zostały transponowane do ustawodawstwa polskiego w szczególności za pomocą art. 320 pr.w. </w:t>
      </w:r>
    </w:p>
    <w:p w14:paraId="20D3829A" w14:textId="77777777" w:rsidR="00085669" w:rsidRPr="00795F17" w:rsidRDefault="00085669" w:rsidP="0044393D">
      <w:pPr>
        <w:pStyle w:val="Nagwek5"/>
      </w:pPr>
      <w:r w:rsidRPr="00795F17">
        <w:t>Charakterystyka Międzynarodowego Obszaru Dorzecza Odry (MODO)</w:t>
      </w:r>
    </w:p>
    <w:p w14:paraId="6D4610C7" w14:textId="02628AE4" w:rsidR="00085669" w:rsidRPr="00795F17" w:rsidRDefault="00085669" w:rsidP="0044393D">
      <w:r w:rsidRPr="00795F17">
        <w:t xml:space="preserve">W zasięgu Międzynarodowego </w:t>
      </w:r>
      <w:r w:rsidR="002E0777">
        <w:t>o</w:t>
      </w:r>
      <w:r w:rsidRPr="00795F17">
        <w:t xml:space="preserve">bszaru </w:t>
      </w:r>
      <w:r w:rsidR="002E0777">
        <w:t>d</w:t>
      </w:r>
      <w:r w:rsidR="002E0777" w:rsidRPr="00795F17">
        <w:t xml:space="preserve">orzecza </w:t>
      </w:r>
      <w:r w:rsidRPr="00795F17">
        <w:t>Odry znajdują się 3 państwa, tj.:</w:t>
      </w:r>
    </w:p>
    <w:p w14:paraId="33FEA365" w14:textId="367F6E05" w:rsidR="00085669" w:rsidRPr="00795F17" w:rsidRDefault="00085669" w:rsidP="00117E86">
      <w:pPr>
        <w:pStyle w:val="Listapunktowana2"/>
        <w:rPr>
          <w:rFonts w:asciiTheme="minorHAnsi" w:hAnsiTheme="minorHAnsi" w:cstheme="minorHAnsi"/>
        </w:rPr>
      </w:pPr>
      <w:r w:rsidRPr="00795F17">
        <w:t>Rzeczpospolita Polska,</w:t>
      </w:r>
    </w:p>
    <w:p w14:paraId="4ACF3255" w14:textId="60445D6A" w:rsidR="00085669" w:rsidRPr="00795F17" w:rsidRDefault="00085669" w:rsidP="00117E86">
      <w:pPr>
        <w:pStyle w:val="Listapunktowana2"/>
        <w:rPr>
          <w:rFonts w:asciiTheme="minorHAnsi" w:hAnsiTheme="minorHAnsi" w:cstheme="minorHAnsi"/>
        </w:rPr>
      </w:pPr>
      <w:r w:rsidRPr="00795F17">
        <w:t>Republika Czeska,</w:t>
      </w:r>
    </w:p>
    <w:p w14:paraId="09CABC27" w14:textId="2B7D6559" w:rsidR="00085669" w:rsidRPr="00795F17" w:rsidRDefault="00085669" w:rsidP="00117E86">
      <w:pPr>
        <w:pStyle w:val="Listapunktowana2"/>
      </w:pPr>
      <w:r w:rsidRPr="00795F17">
        <w:t>Republika Federalna Niemiec.</w:t>
      </w:r>
    </w:p>
    <w:p w14:paraId="41A0CC68" w14:textId="78A9E0E5" w:rsidR="00085669" w:rsidRPr="00795F17" w:rsidRDefault="00085669" w:rsidP="0044393D">
      <w:r w:rsidRPr="00795F17">
        <w:t>Łącznie MODO obejmuje powierzchnię o wielkości około 120</w:t>
      </w:r>
      <w:r w:rsidR="001A51BA" w:rsidRPr="00795F17">
        <w:t> </w:t>
      </w:r>
      <w:r w:rsidRPr="00795F17">
        <w:t>000</w:t>
      </w:r>
      <w:r w:rsidR="001A51BA" w:rsidRPr="00795F17">
        <w:t> </w:t>
      </w:r>
      <w:r w:rsidRPr="00795F17">
        <w:t>km</w:t>
      </w:r>
      <w:r w:rsidRPr="00795F17">
        <w:rPr>
          <w:vertAlign w:val="superscript"/>
        </w:rPr>
        <w:t>2</w:t>
      </w:r>
      <w:r w:rsidRPr="00795F17">
        <w:t xml:space="preserve"> i stanowi ważny obszar transgraniczny, który w całości znajduje się na terytorium Unii Europejskiej. Największy udział w</w:t>
      </w:r>
      <w:r w:rsidR="008308AA" w:rsidRPr="00795F17">
        <w:t> </w:t>
      </w:r>
      <w:r w:rsidRPr="00795F17">
        <w:t xml:space="preserve">obszarze dorzecza Odry pod względem liczby ludności oraz powierzchni </w:t>
      </w:r>
      <w:r w:rsidR="00BF782C" w:rsidRPr="00795F17">
        <w:t xml:space="preserve">obszaru </w:t>
      </w:r>
      <w:r w:rsidRPr="00795F17">
        <w:t xml:space="preserve">dorzecza zajmuje Rzeczpospolita Polska. Źródło rzeki Odry znajduje się na terytorium Republiki Czeskiej, a dolny jej bieg wraz z dopływem Nysy Łużyckiej stanowi granicę pomiędzy Rzeczpospolitą Polską a Republiką Federalną Niemiec. Ujście wód rzeki Odry i Odry Zachodniej, poprzez Zalew Szczeciński, do Morza Bałtyckiego powoduje, że w dziedzinie ochrony środowiska, jej oddziaływanie nabiera szerszego międzynarodowego znaczenia. </w:t>
      </w:r>
    </w:p>
    <w:p w14:paraId="50CE7A03" w14:textId="77777777" w:rsidR="00085669" w:rsidRPr="00795F17" w:rsidRDefault="00085669" w:rsidP="0044393D">
      <w:pPr>
        <w:pStyle w:val="Nagwek5"/>
      </w:pPr>
      <w:r w:rsidRPr="00795F17">
        <w:t>Umowy o współpracy w Międzynarodowym Obszarze Dorzecza Odry</w:t>
      </w:r>
    </w:p>
    <w:p w14:paraId="1C2BA2D4" w14:textId="04A9E9A5" w:rsidR="00085669" w:rsidRPr="00795F17" w:rsidRDefault="00085669" w:rsidP="0044393D">
      <w:r w:rsidRPr="00795F17">
        <w:t>Dla MODO zawarta została umowa obejmująca cały międzynarodowy obszar dorzecza, gdzie wszystkie kraje nadbrzeżne współdziałają w zintegrowanym gospodarowaniu wodami oraz umowy dwustronne, obejmujące swym zasięgiem fragment obszaru dorzecza położony wzdłuż wspólnej granicy państw stron. Umowy międzynarodowe dla całego obszaru dorzecza są szczególnie pożądaną formą prawną współpracy, gwarantującą najlepsze rezultaty w osiąganiu celów zarówno ekologicznych, gospodarczych jak też społecznych. Umowy dwustronne pozwalają zaś na rozwój relacji dobrosąsiedzkich. Rzeczpospolita Polska jest także sygnatariuszem Konwencji o ochronie środowiska morskiego obszaru Morza Bałtyckiego</w:t>
      </w:r>
      <w:r w:rsidR="006C2094">
        <w:t xml:space="preserve"> </w:t>
      </w:r>
      <w:r w:rsidR="006C2094" w:rsidRPr="00795F17">
        <w:t xml:space="preserve">sporządzonej w Helsinkach dnia 9 kwietnia 1992 r. </w:t>
      </w:r>
      <w:r w:rsidRPr="00795F17">
        <w:t xml:space="preserve">(Dz.U. </w:t>
      </w:r>
      <w:r w:rsidR="006C2094">
        <w:t xml:space="preserve">z </w:t>
      </w:r>
      <w:r w:rsidRPr="00795F17">
        <w:t>2000</w:t>
      </w:r>
      <w:r w:rsidR="00595728">
        <w:t> </w:t>
      </w:r>
      <w:r w:rsidR="006C2094">
        <w:t>r.</w:t>
      </w:r>
      <w:r w:rsidRPr="00795F17">
        <w:t xml:space="preserve"> nr 28</w:t>
      </w:r>
      <w:r w:rsidR="006C2094">
        <w:t>,</w:t>
      </w:r>
      <w:r w:rsidRPr="00795F17">
        <w:t xml:space="preserve"> poz. 346). </w:t>
      </w:r>
    </w:p>
    <w:p w14:paraId="51125B68" w14:textId="77777777" w:rsidR="00085669" w:rsidRPr="00795F17" w:rsidRDefault="00085669" w:rsidP="0044393D">
      <w:pPr>
        <w:pStyle w:val="Nagwek5"/>
      </w:pPr>
      <w:r w:rsidRPr="00795F17">
        <w:t>Międzynarodowa Komisja Ochrony Odry przed Zanieczyszczeniem (MKOOpZ, Komisja Odrzańska)</w:t>
      </w:r>
    </w:p>
    <w:p w14:paraId="48498E0E" w14:textId="1CB74810" w:rsidR="00085669" w:rsidRPr="00795F17" w:rsidRDefault="00085669" w:rsidP="0044393D">
      <w:r w:rsidRPr="00795F17">
        <w:t>Międzynarodowa Komisja Ochrony Odry Przed Zanieczyszczeniem powołana została na mocy umowy podpisanej w dniu 11 kwietnia 1996 r. pomiędzy rządem Rzeczypospolitej Polskiej, rządem Republiki Czeskiej, rządem Republiki Federalnej Niemiec i Unią Europejską. W dniu 1 maja 2004 r. w wyniku przystąpienia Rzeczypospolitej Polskiej i Republiki Czeskiej do Unii Europejskiej, umowa została zmieniona i Unia Europejska przestała być jej stroną. Do podstawowych zadań MKOOpZ należy zapobieganie i trwałe obniżanie zanieczyszczenia wód Odry i Morza Bałtyckiego, przywracanie jak najbardziej naturalnych warunków w ekosystemach wodnych i brzegowych, umożliwianie wykorzystania Odry do pozyskiwania wody pitnej</w:t>
      </w:r>
      <w:r w:rsidR="00D117C6">
        <w:t>,</w:t>
      </w:r>
      <w:r w:rsidRPr="00795F17">
        <w:t xml:space="preserve"> a także wody dla rolnictwa z infiltracyjnych ujęć brzegowych, zapobieganie i trwałe obniżanie ryzyka szkód powodziowych, koordynacja wdrażania RDW i </w:t>
      </w:r>
      <w:r w:rsidR="006C2094">
        <w:t>d</w:t>
      </w:r>
      <w:r w:rsidRPr="00795F17">
        <w:t>yrektywy 2007/60/WE Parlamentu Europejskiego i Rady z dnia 23 października 2007</w:t>
      </w:r>
      <w:r w:rsidR="008308AA" w:rsidRPr="00795F17">
        <w:t> </w:t>
      </w:r>
      <w:r w:rsidRPr="00795F17">
        <w:t>r. w</w:t>
      </w:r>
      <w:r w:rsidR="008308AA" w:rsidRPr="00795F17">
        <w:t> </w:t>
      </w:r>
      <w:r w:rsidRPr="00795F17">
        <w:t>sprawie oceny ryzyka powodziowego i zarządzania nim (Dz. Urz. UE L</w:t>
      </w:r>
      <w:r w:rsidR="006C2094">
        <w:t xml:space="preserve"> 288/27 z dnia 6 listopada 2007</w:t>
      </w:r>
      <w:r w:rsidR="00D117C6">
        <w:t> </w:t>
      </w:r>
      <w:r w:rsidR="006C2094">
        <w:t>r.</w:t>
      </w:r>
      <w:r w:rsidRPr="00795F17">
        <w:t xml:space="preserve">) (zwanej dalej Dyrektywą Powodziową), w </w:t>
      </w:r>
      <w:r w:rsidR="00BF782C" w:rsidRPr="00795F17">
        <w:t xml:space="preserve">obszarze </w:t>
      </w:r>
      <w:r w:rsidRPr="00795F17">
        <w:t>dorzecz</w:t>
      </w:r>
      <w:r w:rsidR="00BF782C" w:rsidRPr="00795F17">
        <w:t>a</w:t>
      </w:r>
      <w:r w:rsidRPr="00795F17">
        <w:t xml:space="preserve"> Odry, koordynacja wspólnych projektów międzynarodowych.</w:t>
      </w:r>
    </w:p>
    <w:p w14:paraId="48DB90CB" w14:textId="77777777" w:rsidR="00085669" w:rsidRPr="00795F17" w:rsidRDefault="00085669" w:rsidP="0044393D">
      <w:r w:rsidRPr="00795F17">
        <w:t>W ramach MKOOpZ działa pięć grup roboczych, tj.:</w:t>
      </w:r>
    </w:p>
    <w:p w14:paraId="2A4E9031" w14:textId="77777777" w:rsidR="00085669" w:rsidRPr="00795F17" w:rsidRDefault="00085669" w:rsidP="00117E86">
      <w:pPr>
        <w:pStyle w:val="Listapunktowana2"/>
      </w:pPr>
      <w:r w:rsidRPr="004466A5">
        <w:rPr>
          <w:b/>
        </w:rPr>
        <w:t>Grupa Sterująca G1</w:t>
      </w:r>
      <w:r w:rsidRPr="00795F17">
        <w:t xml:space="preserve">, odpowiedzialna za opracowywanie aktualizacji planu gospodarowania wodami (aPGW) dla MODO, a także prawidłowość działań pozostałych grup roboczych pod kątem RDW; </w:t>
      </w:r>
    </w:p>
    <w:p w14:paraId="22FE767A" w14:textId="43171182" w:rsidR="00085669" w:rsidRPr="00795F17" w:rsidRDefault="00085669" w:rsidP="00117E86">
      <w:pPr>
        <w:pStyle w:val="Listapunktowana2"/>
      </w:pPr>
      <w:r w:rsidRPr="004466A5">
        <w:rPr>
          <w:b/>
        </w:rPr>
        <w:t>Grupa G2 ds. powodzi</w:t>
      </w:r>
      <w:r w:rsidRPr="00795F17">
        <w:t>, odpowiedzialna za implementację Dyrektywy Powodziowej, w</w:t>
      </w:r>
      <w:r w:rsidR="00114441">
        <w:t> </w:t>
      </w:r>
      <w:r w:rsidRPr="00795F17">
        <w:t xml:space="preserve">tym aktualizację planów zarządzania ryzykiem powodziowym (aPZRP) dla MODO, a także wymianę danych w ramach systemu osłony przeciwpowodziowej; </w:t>
      </w:r>
    </w:p>
    <w:p w14:paraId="1713F586" w14:textId="7F90FCB1" w:rsidR="00085669" w:rsidRPr="00795F17" w:rsidRDefault="00085669" w:rsidP="00117E86">
      <w:pPr>
        <w:pStyle w:val="Listapunktowana2"/>
      </w:pPr>
      <w:r w:rsidRPr="004466A5">
        <w:rPr>
          <w:b/>
        </w:rPr>
        <w:t>Grupa G3 ds. zanieczyszczeń awaryjnych</w:t>
      </w:r>
      <w:r w:rsidRPr="00795F17">
        <w:t>, odpowiadająca za koordynację planu ostrzegania i</w:t>
      </w:r>
      <w:r w:rsidR="008308AA" w:rsidRPr="00795F17">
        <w:t> </w:t>
      </w:r>
      <w:r w:rsidRPr="00795F17">
        <w:t xml:space="preserve">aktualizowania listy potencjalnych zagrożeń; </w:t>
      </w:r>
    </w:p>
    <w:p w14:paraId="73BEC8EE" w14:textId="77777777" w:rsidR="00085669" w:rsidRPr="00795F17" w:rsidRDefault="00085669" w:rsidP="00117E86">
      <w:pPr>
        <w:pStyle w:val="Listapunktowana2"/>
      </w:pPr>
      <w:r w:rsidRPr="004466A5">
        <w:rPr>
          <w:b/>
        </w:rPr>
        <w:t>Grupa G4 ds. zagadnień prawnych</w:t>
      </w:r>
      <w:r w:rsidRPr="00795F17">
        <w:t xml:space="preserve">, działająca wyłącznie na podstawie konkretnych zleceń Komisji, Przewodniczących Delegacji lub Przewodniczącego Komisji; </w:t>
      </w:r>
    </w:p>
    <w:p w14:paraId="792F3597" w14:textId="77777777" w:rsidR="00085669" w:rsidRPr="00795F17" w:rsidRDefault="00085669" w:rsidP="00117E86">
      <w:pPr>
        <w:pStyle w:val="Listapunktowana2"/>
      </w:pPr>
      <w:r w:rsidRPr="004466A5">
        <w:rPr>
          <w:b/>
        </w:rPr>
        <w:t>Grupa G5 ds. zarządzania danymi</w:t>
      </w:r>
      <w:r w:rsidRPr="00795F17">
        <w:t xml:space="preserve">, odpowiadająca za pozyskiwanie i udostępnianie danych niezbędnych do realizacji zadań Komisji. </w:t>
      </w:r>
    </w:p>
    <w:p w14:paraId="2327C7AF" w14:textId="77777777" w:rsidR="00085669" w:rsidRPr="00795F17" w:rsidRDefault="00085669" w:rsidP="0044393D">
      <w:r w:rsidRPr="00795F17">
        <w:t>Ponadto powołane zostały trzy podgrupy tematyczne, współpracujące z Grupą Sterującą, tj.:</w:t>
      </w:r>
    </w:p>
    <w:p w14:paraId="482458B8" w14:textId="77777777" w:rsidR="00085669" w:rsidRPr="00795F17" w:rsidRDefault="00085669" w:rsidP="00117E86">
      <w:pPr>
        <w:pStyle w:val="Listapunktowana2"/>
      </w:pPr>
      <w:r w:rsidRPr="00795F17">
        <w:t>Podgrupa Robocza „Monitoring” (GM);</w:t>
      </w:r>
    </w:p>
    <w:p w14:paraId="356C6402" w14:textId="2886D63B" w:rsidR="00085669" w:rsidRPr="00795F17" w:rsidRDefault="00085669" w:rsidP="00117E86">
      <w:pPr>
        <w:pStyle w:val="Listapunktowana2"/>
      </w:pPr>
      <w:r w:rsidRPr="00795F17">
        <w:t>Podgrupa Robocza „Planowanie w gospodarowaniu wodami</w:t>
      </w:r>
      <w:r w:rsidR="00114441">
        <w:t>”</w:t>
      </w:r>
      <w:r w:rsidRPr="00795F17">
        <w:t xml:space="preserve"> (GP);</w:t>
      </w:r>
    </w:p>
    <w:p w14:paraId="1A45806A" w14:textId="5C962829" w:rsidR="00085669" w:rsidRPr="00795F17" w:rsidRDefault="00085669" w:rsidP="00117E86">
      <w:pPr>
        <w:pStyle w:val="Listapunktowana2"/>
      </w:pPr>
      <w:r w:rsidRPr="00795F17">
        <w:t>Grupa Ekspertów „Biogeny“ (GB)</w:t>
      </w:r>
      <w:r w:rsidR="00F41293">
        <w:t>.</w:t>
      </w:r>
    </w:p>
    <w:p w14:paraId="775C1442" w14:textId="2B04C84F" w:rsidR="00085669" w:rsidRPr="00795F17" w:rsidRDefault="00085669" w:rsidP="0044393D">
      <w:r w:rsidRPr="00795F17">
        <w:t>Ze strony polskiej, w pracach MKOOpZ i jej grup roboczych uczestniczą przedstawiciele ministerstwa obsługującego ministra właściwego do spraw gospodarki wodnej (Ministerstwa Infrastruktury) oraz</w:t>
      </w:r>
      <w:r w:rsidR="00A23B58">
        <w:t> </w:t>
      </w:r>
      <w:r w:rsidRPr="00795F17">
        <w:t xml:space="preserve">przedstawiciele następujących instytucji: </w:t>
      </w:r>
      <w:r w:rsidR="0028234C" w:rsidRPr="00795F17">
        <w:t>PGW WP</w:t>
      </w:r>
      <w:r w:rsidRPr="00795F17">
        <w:t>, RZGW WP w Szczecinie, RZGW WP w</w:t>
      </w:r>
      <w:r w:rsidR="007E32E3">
        <w:t> </w:t>
      </w:r>
      <w:r w:rsidRPr="00795F17">
        <w:t>Poznaniu, RZGW WP we Wrocławiu, RZGW WP w Gliwicach, IMGW-PIB, PIG-PIB, GIOŚ oraz WIOŚ w</w:t>
      </w:r>
      <w:r w:rsidR="007E32E3">
        <w:t> </w:t>
      </w:r>
      <w:r w:rsidRPr="00795F17">
        <w:t>Szczecinie i</w:t>
      </w:r>
      <w:r w:rsidR="00567AF4" w:rsidRPr="00795F17">
        <w:t> </w:t>
      </w:r>
      <w:r w:rsidRPr="00795F17">
        <w:t>Wrocławiu. Za koordynację prac Komisji Odrzańskiej odpowiada Sekretariat Międzynarodowej Komisji Ochrony Odry przed Zanieczyszczeniem, który ma swoją siedzibę we Wrocławiu.</w:t>
      </w:r>
    </w:p>
    <w:p w14:paraId="22821932" w14:textId="343B8256" w:rsidR="00085669" w:rsidRPr="00795F17" w:rsidRDefault="00085669" w:rsidP="0044393D">
      <w:r w:rsidRPr="00795F17">
        <w:t>W ramach realizacji zobowiązań wynikających z RDW, zadaniem MKOOpZ jest utworzenie skoordynowanego Planu gospodarowania wodami dla Międzynarodowego Obszaru Dorzecza Odry. W</w:t>
      </w:r>
      <w:r w:rsidR="008308AA" w:rsidRPr="00795F17">
        <w:t> </w:t>
      </w:r>
      <w:r w:rsidRPr="00795F17">
        <w:t>poprzednich cyklach realizacji Planu gospodarowania wodami dla Międzynarodowego Obszaru Dorzecza Odry MKOOpZ uczestniczyła w procesie wyznaczania jednolitych części wód, zgodnie z</w:t>
      </w:r>
      <w:r w:rsidR="008308AA" w:rsidRPr="00795F17">
        <w:t> </w:t>
      </w:r>
      <w:r w:rsidRPr="00795F17">
        <w:t>metodyką obowiązującą w poszczególnych krajach oraz międzynarodowymi uzgodnieniami dotyczącymi jednolitych charakterystyk jcw (granice, kategorie, ocena stanu, określanie celów do</w:t>
      </w:r>
      <w:r w:rsidR="008308AA" w:rsidRPr="00795F17">
        <w:t> </w:t>
      </w:r>
      <w:r w:rsidRPr="00795F17">
        <w:t xml:space="preserve">osiągnięcia). Osiągnięto znaczne postępy, w szczególności w odniesieniu do lokalizacji oraz wyznaczenia </w:t>
      </w:r>
      <w:r w:rsidR="00DF005E">
        <w:t>JCWP</w:t>
      </w:r>
      <w:r w:rsidRPr="00795F17">
        <w:t xml:space="preserve"> jako sztucznych i silnie zmienionych jednolitych części wód, a także oceny stanu. W</w:t>
      </w:r>
      <w:r w:rsidR="008308AA" w:rsidRPr="00795F17">
        <w:t> </w:t>
      </w:r>
      <w:r w:rsidRPr="00795F17">
        <w:t>odniesieniu do jednolitych części wód transgranicznych i granicznych nie udało się uzgodnić jednolitej charakterystyki w niektórych przypadkach. Te jednolite części wód będą w dalszym ciągu przedstawione na mapach Planu gospodarowania wodami dla Międzynarodowego Obszaru Dorzecza Odry w różny sposób, zgodnie z metodyką i klasyfikacją obowiązującą w poszczególnych krajach. W</w:t>
      </w:r>
      <w:r w:rsidR="008308AA" w:rsidRPr="00795F17">
        <w:t> </w:t>
      </w:r>
      <w:r w:rsidRPr="00795F17">
        <w:t>obszarze MODO wyznaczono również dwie graniczne jednolite części wód powierzchniowych jeziorne oraz jedną jednolitą część wód powierzchniowych przejściową i jedną jednolitą część wód powierzchniowych przybrzeżną, a także przygraniczne jednolite części wód podziemnych.</w:t>
      </w:r>
    </w:p>
    <w:p w14:paraId="740D5852" w14:textId="19C8F380" w:rsidR="00085669" w:rsidRPr="00795F17" w:rsidRDefault="00085669" w:rsidP="0044393D">
      <w:r w:rsidRPr="00795F17">
        <w:t>W bieżącym cyklu planowania gospodarowania wodami (2016</w:t>
      </w:r>
      <w:r w:rsidR="006C2094">
        <w:t>–</w:t>
      </w:r>
      <w:r w:rsidRPr="00795F17">
        <w:t>2021) grupy robocze MKOOpZ zajmują się głównie zadaniami wspólnego rozwiązywania istotnych problemów gospodarki wodnej, wdrażaniem programów działań na MODO, jak również pracami nad ujednoliceniem charakterystyk jednolitych części wód granicznych i transgranicznych. Grupa G1 wraz z podgrupą GP podejmują także przygotowania do aktualizacji krajowych planów gospodarowania wodami na obszarze dorzecza na</w:t>
      </w:r>
      <w:r w:rsidR="008308AA" w:rsidRPr="00795F17">
        <w:t> </w:t>
      </w:r>
      <w:r w:rsidRPr="00795F17">
        <w:t>lata 2022</w:t>
      </w:r>
      <w:r w:rsidR="006C2094">
        <w:t>–</w:t>
      </w:r>
      <w:r w:rsidRPr="00795F17">
        <w:t>2027, w trzecim cyklu planistycznym.</w:t>
      </w:r>
    </w:p>
    <w:p w14:paraId="3F0234BB" w14:textId="77777777" w:rsidR="00085669" w:rsidRPr="00795F17" w:rsidRDefault="00085669" w:rsidP="0044393D">
      <w:r w:rsidRPr="00795F17">
        <w:t xml:space="preserve">W 2016 r. w ramach prac Podgrupy Roboczej GM ds. monitoringu odbyły się warsztaty poświęcone prezentacji biologicznego elementu jakości „ichtiofauna”. Ich celem była wzajemna wymiana informacji na temat krajowych metod poboru prób i oceny ichtiofauny, przyjętych w poszczególnych państwach, a zaprezentowanych przez zaproszonych ekspertów z trzech krajów. W ramach części praktycznej warsztatów pobrano próby ichtiofauny z rzeki Olzy, które zostały ocenione według poszczególnych metod krajowych. Na ich podstawie strona czeska opracowała raport podsumowujący, w którym dokonano porównania zastosowanych ocen. Wyniki raportu udostępnione zostały na stronie internetowej MKOOpZ. </w:t>
      </w:r>
    </w:p>
    <w:p w14:paraId="52ADB5FC" w14:textId="44EB70B7" w:rsidR="00085669" w:rsidRPr="00795F17" w:rsidRDefault="00085669" w:rsidP="0044393D">
      <w:r w:rsidRPr="00795F17">
        <w:t xml:space="preserve">W ramach współpracy podgrupy GM z Grupą Roboczą G5 realizowano prace nad koncepcją </w:t>
      </w:r>
      <w:r w:rsidR="008308AA" w:rsidRPr="00795F17">
        <w:br/>
      </w:r>
      <w:r w:rsidRPr="00795F17">
        <w:t xml:space="preserve">„IMS-Odra”, która ma posłużyć prezentacji międzynarodowych punktów pomiarowych oraz wyników pomiarów z tych punktów. Koncepcja „IMS-Odra” wdrożona została do funkcji GeoPortalu MKOOpZ, funkcjonującego od początku 2016 r. </w:t>
      </w:r>
    </w:p>
    <w:p w14:paraId="6D2B6C65" w14:textId="4D323424" w:rsidR="00085669" w:rsidRPr="00795F17" w:rsidRDefault="00085669" w:rsidP="0044393D">
      <w:r w:rsidRPr="00795F17">
        <w:t>Grupa GP w bieżącym cyklu planowania w gospodarce wodnej realizowała prace nad aktualizacją „Strategii wspólnego rozwiązywania istotnych problemów gospodarki wodnej na Międzynarodowym Obszarze Dorzecza Odry</w:t>
      </w:r>
      <w:r w:rsidR="006C2094">
        <w:t>”</w:t>
      </w:r>
      <w:r w:rsidRPr="00795F17">
        <w:t xml:space="preserve">, która dotyczy zmian morfologicznych i znaczących zanieczyszczeń wód powierzchniowych. Dokument ten został uchwalony w dniu 18 marca 2019 r. przez Przewodniczących Delegacji w procedurze pisemnej, a Sekretariat MKOOpZ przygotował odpowiedną wersję graficzną tego dokumentu i opublikował na stronie internetowej MKOOpZ. </w:t>
      </w:r>
    </w:p>
    <w:p w14:paraId="35EA5574" w14:textId="77777777" w:rsidR="00085669" w:rsidRPr="00795F17" w:rsidRDefault="00085669" w:rsidP="0044393D">
      <w:r w:rsidRPr="00795F17">
        <w:t>W 2018 r. rozpoczęto także dyskusję na temat pierwszego projektu dokumentu dotyczącego przeglądu Istotnych Problemów Gospodarki Wodnej (IPGW) dla MODO. W październiku 2019 r. dokument ten został uchwalony przez Komisję i skierowany do półrocznych konsultacji społecznych w formie elektronicznej na stronie internetowej MKOOpZ.</w:t>
      </w:r>
    </w:p>
    <w:p w14:paraId="79DD193B" w14:textId="1A071D3A" w:rsidR="00085669" w:rsidRPr="00795F17" w:rsidRDefault="00085669" w:rsidP="0044393D">
      <w:r w:rsidRPr="00795F17">
        <w:t>W 2020 r. przeprowadzone zostały konsultacje społeczne „Wstępnego przeglądu istotnych problemów gospodarki wodnej stwierdzonych na Międzynarodowym Obszarze Dorzecza Odry na potrzeby trzeciego cyklu planowania zgodnie z RDW”. Dokument został udostępniony opinii publicznej w dniu 22 czerwca 2020 r. W ramach tych konsultacji do Sekretariatu MKOOpZ wpłynęło 50 stanowisk. Grupa G1 i jej podgrupy robocze omówiły otrzymane stanowiska i uzgodniły sposób ich uwzględnienia w</w:t>
      </w:r>
      <w:r w:rsidR="008308AA" w:rsidRPr="00795F17">
        <w:t> </w:t>
      </w:r>
      <w:r w:rsidRPr="00795F17">
        <w:t>aktualizacji PGW. Podczas 23. Posiedzenia Plenarnego MKOOpZ Przewodniczący Delegacji omówili kwestię przyporządkowania negatywnego wpływu kopalni węgla brunatnego na stan ilościowy wód podziemnych do istotnych problemów gospodarki wodnej. Ustalono, że problematyka kopalni węgla brunatnego na MODO zostanie uznana jako istotny problem gospodarki wodnej o znaczeniu ponadregionalnym. Przewodniczący Delegacji MKOOpZ omówili również kwestię aktualizacji „Strategii wspólnego rozwiązywania istotnych problemów gospodarki wodnej na MODO</w:t>
      </w:r>
      <w:r w:rsidR="006C2094">
        <w:t>”</w:t>
      </w:r>
      <w:r w:rsidRPr="00795F17">
        <w:t xml:space="preserve"> z roku 2019 w celu uzupełnienia jej o nowy istotny problem gospodarki wodnej dotyczący tematyki górnictwa.</w:t>
      </w:r>
    </w:p>
    <w:p w14:paraId="321DE153" w14:textId="77777777" w:rsidR="00085669" w:rsidRPr="00795F17" w:rsidRDefault="00085669" w:rsidP="0044393D">
      <w:r w:rsidRPr="00795F17">
        <w:t xml:space="preserve">W ramach prac Grupy GP i G5 realizowano także zadanie ujednolicenia na poziomie międzynarodowym charakterystyk granicznych i transgranicznych jednolitych części wód na MODO. Opracowana w tym celu tabela zostanie zaktualizowana i będzie załącznikiem do projektu aktualizacji planu gospodarowania wodami na MODO. </w:t>
      </w:r>
    </w:p>
    <w:p w14:paraId="3F59EE6A" w14:textId="71A406B1" w:rsidR="00085669" w:rsidRPr="00795F17" w:rsidRDefault="00085669" w:rsidP="0044393D">
      <w:r w:rsidRPr="00795F17">
        <w:t>W latach 2018</w:t>
      </w:r>
      <w:r w:rsidR="006C2094">
        <w:t>–</w:t>
      </w:r>
      <w:r w:rsidRPr="00795F17">
        <w:t xml:space="preserve">2019 w kontekście wdrażania RDW grupy G1 i GP zajmowały się także problematyką zmian klimatu i związanych z tym działań w poszczególnych państwach. W tym celu zorganizowano warsztaty poświęcone m.in. zagadnieniom suszy i zmian klimatu w kontekście informowania społeczeństwa. </w:t>
      </w:r>
    </w:p>
    <w:p w14:paraId="781C3A5C" w14:textId="2F1CC995" w:rsidR="00085669" w:rsidRPr="00795F17" w:rsidRDefault="00085669" w:rsidP="0044393D">
      <w:r w:rsidRPr="00795F17">
        <w:t>W ramach przygotowań do opracowywania krajowych planów gospodarowania wodami na lata 2022</w:t>
      </w:r>
      <w:r w:rsidR="00151B8A">
        <w:t>–</w:t>
      </w:r>
      <w:r w:rsidRPr="00795F17">
        <w:t>2027 i programów działań w trzecim cyklu planistycznym, Grupy G1 i GP na bieżąco prowadzą wymianę informacji o postępach prac. Przygotowany został projekt „Harmonogramu i programu prac związanych z aktualizacją PGW dla MODO, na potrzeby trzeciego cyklu planowania zgodnie z RDW”. W</w:t>
      </w:r>
      <w:r w:rsidR="008308AA" w:rsidRPr="00795F17">
        <w:t> </w:t>
      </w:r>
      <w:r w:rsidRPr="00795F17">
        <w:t xml:space="preserve">październiku 2018 r. MKOOpZ przyjęła dokument dotyczący ww. harmonogramu i programu prac, kierujący go do konsultacji społecznych. W okresie od 22 grudnia 2018 r. do 22 czerwca 2019 r. dokument ten dostępny był na stronie internetowej MKOOpZ w celu zgłaszania do niego uwag przez opinię publiczną. Nie wpłynęły żadne uwagi i tym samym ww. harmonogram i program prac stał się obowiązujący. W 2019 r. MKOOpZ przyjęła kolejny dokument przygotowawczy do aktualizacji planu gospodarowania wodami na obszarze dorzecza, tj.: </w:t>
      </w:r>
      <w:r w:rsidR="00E568FE">
        <w:t>„</w:t>
      </w:r>
      <w:r w:rsidRPr="004466A5">
        <w:t>Struktura projektu aktualizacji planu gospodarowania wodami dla MODO na okres planistyczny 2022</w:t>
      </w:r>
      <w:r w:rsidR="00151B8A" w:rsidRPr="004466A5">
        <w:t>–</w:t>
      </w:r>
      <w:r w:rsidRPr="004466A5">
        <w:t>2027</w:t>
      </w:r>
      <w:r w:rsidR="00E568FE">
        <w:t>”</w:t>
      </w:r>
      <w:r w:rsidRPr="00E568FE">
        <w:t>.</w:t>
      </w:r>
      <w:r w:rsidRPr="00795F17">
        <w:t xml:space="preserve"> Zawiera on strukturę plan</w:t>
      </w:r>
      <w:r w:rsidR="007963FB">
        <w:t>u</w:t>
      </w:r>
      <w:r w:rsidRPr="00795F17">
        <w:t xml:space="preserve"> oraz listę wymaganych map i tabel.</w:t>
      </w:r>
    </w:p>
    <w:p w14:paraId="6DF7E42A" w14:textId="64FF5024" w:rsidR="00085669" w:rsidRPr="00795F17" w:rsidRDefault="00085669" w:rsidP="0044393D">
      <w:pPr>
        <w:pStyle w:val="Nagwek5"/>
      </w:pPr>
      <w:r w:rsidRPr="00795F17">
        <w:t>Współpraca polsko</w:t>
      </w:r>
      <w:r w:rsidR="00182A26" w:rsidRPr="00795F17">
        <w:t>-</w:t>
      </w:r>
      <w:r w:rsidRPr="00795F17">
        <w:t>niemiecka</w:t>
      </w:r>
    </w:p>
    <w:p w14:paraId="59F90C21" w14:textId="239DFB9C" w:rsidR="00085669" w:rsidRPr="00795F17" w:rsidRDefault="00085669" w:rsidP="0044393D">
      <w:r w:rsidRPr="00795F17">
        <w:t>Podstawę prawną współpracy polsko</w:t>
      </w:r>
      <w:r w:rsidR="00182A26" w:rsidRPr="00795F17">
        <w:t>-</w:t>
      </w:r>
      <w:r w:rsidRPr="00795F17">
        <w:t>niemieckiej stanowi Umowa między Rzeczpospolitą Polską a</w:t>
      </w:r>
      <w:r w:rsidR="008308AA" w:rsidRPr="00795F17">
        <w:t> </w:t>
      </w:r>
      <w:r w:rsidRPr="00795F17">
        <w:t>Republiką Federalną Niemiec o współpracy w dziedzinie gospodarki wodnej na wodach granicznych, podpisana w Warszawie, w dniu 19 maja 1992 r. Jako strategiczny cel współpracy strony wskazały zagwarantowanie racjonalnego gospodarowania i ochrony wód granicznych oraz poprawy ich jakości, jak też zapewnienie zachowania ekosystemów lub ich restytuowanie. Strony uznały, że współpraca na</w:t>
      </w:r>
      <w:r w:rsidR="008308AA" w:rsidRPr="00795F17">
        <w:t> </w:t>
      </w:r>
      <w:r w:rsidRPr="00795F17">
        <w:t xml:space="preserve">wodach granicznych jest obopólnie korzystna, przyczynia się do umocnienia stosunków dobrosąsiedzkich oraz do wypełniania innych zobowiązań międzynarodowych stron. </w:t>
      </w:r>
    </w:p>
    <w:p w14:paraId="425324FB" w14:textId="5370C8E6" w:rsidR="00085669" w:rsidRPr="00795F17" w:rsidRDefault="00085669" w:rsidP="0044393D">
      <w:r w:rsidRPr="00795F17">
        <w:t>Swoim zasięgiem współpraca polsko</w:t>
      </w:r>
      <w:r w:rsidR="00182A26" w:rsidRPr="00795F17">
        <w:t>-</w:t>
      </w:r>
      <w:r w:rsidRPr="00795F17">
        <w:t xml:space="preserve">niemiecka obejmuje znaczną cześć Międzynarodowego Obszaru Dorzecza Odry. W dolnym biegu Odra wraz z jej lewobrzeżnym dopływem </w:t>
      </w:r>
      <w:r w:rsidR="00151B8A">
        <w:t>–</w:t>
      </w:r>
      <w:r w:rsidRPr="00795F17">
        <w:t xml:space="preserve"> Nysą Łużycką stanowią granicę pomiędzy Rzecząpospolitą Polską a Republiką Federalną Niemiec. Zgodnie z dokumentacją graniczną, odcinek wodny granicy RP i RFN wynosi łącznie 415,20 km i przebiega na rzekach: Odrze </w:t>
      </w:r>
      <w:r w:rsidR="00151B8A">
        <w:t>–</w:t>
      </w:r>
      <w:r w:rsidRPr="00795F17">
        <w:t xml:space="preserve"> 184,33 km, Nysie Łużyckiej </w:t>
      </w:r>
      <w:r w:rsidR="00151B8A">
        <w:t>–</w:t>
      </w:r>
      <w:r w:rsidRPr="00795F17">
        <w:t xml:space="preserve"> 196,81 km, Myśliborce </w:t>
      </w:r>
      <w:r w:rsidR="00151B8A">
        <w:t>–</w:t>
      </w:r>
      <w:r w:rsidRPr="00795F17">
        <w:t xml:space="preserve"> 6,21 km, Kanale Torfowym </w:t>
      </w:r>
      <w:r w:rsidR="00151B8A">
        <w:t>–</w:t>
      </w:r>
      <w:r w:rsidRPr="00795F17">
        <w:t xml:space="preserve"> 4,59 km oraz</w:t>
      </w:r>
      <w:r w:rsidR="005A5A35">
        <w:t> </w:t>
      </w:r>
      <w:r w:rsidRPr="00795F17">
        <w:t>na</w:t>
      </w:r>
      <w:r w:rsidR="008308AA" w:rsidRPr="00795F17">
        <w:t> </w:t>
      </w:r>
      <w:r w:rsidRPr="00795F17">
        <w:t xml:space="preserve">jeziorach: Stolsko </w:t>
      </w:r>
      <w:r w:rsidR="00151B8A">
        <w:t>–</w:t>
      </w:r>
      <w:r w:rsidRPr="00795F17">
        <w:t xml:space="preserve"> 1,45 km, Myśliborskie Wielkie </w:t>
      </w:r>
      <w:r w:rsidR="00151B8A">
        <w:t>–</w:t>
      </w:r>
      <w:r w:rsidRPr="00795F17">
        <w:t xml:space="preserve"> 1,65 km, Nowowarpieńskie (Zalew Szczeciński) </w:t>
      </w:r>
      <w:r w:rsidR="00151B8A">
        <w:t>–</w:t>
      </w:r>
      <w:r w:rsidRPr="00795F17">
        <w:t xml:space="preserve"> 20,16 km oraz Zatoce Pomorskiej. W praktyce współpraca stron koncentruje się na wodach Odry, Odry Zachodniej, Nysy łużyckiej, Zalewu Szczecińskiego i Zatoki Pomorskiej. Odra i Odra Zachodnia jako element europejskiego ekosystemu oraz europejskiego systemu dróg wodnych pełnią ważne funkcje gospodarcze, ekologiczne i polityczne. Ujście tych rzek</w:t>
      </w:r>
      <w:r w:rsidR="005227F2">
        <w:t xml:space="preserve"> blisko</w:t>
      </w:r>
      <w:r w:rsidRPr="00795F17" w:rsidDel="005227F2">
        <w:t xml:space="preserve"> </w:t>
      </w:r>
      <w:r w:rsidRPr="00795F17">
        <w:t xml:space="preserve">Morza Bałtyckiego powoduje, że ich oddziaływanie na środowisko wpływa na znaczny obszar międzynarodowy. </w:t>
      </w:r>
    </w:p>
    <w:p w14:paraId="0ABE869B" w14:textId="7FBE326A" w:rsidR="00085669" w:rsidRPr="00795F17" w:rsidRDefault="00085669" w:rsidP="0044393D">
      <w:r w:rsidRPr="00795F17">
        <w:t>Platformę współpracy stanowi Polsko</w:t>
      </w:r>
      <w:r w:rsidR="00182A26" w:rsidRPr="00795F17">
        <w:t>-</w:t>
      </w:r>
      <w:r w:rsidRPr="00795F17">
        <w:t>Niemiecka Komisja ds. Wód Granicznych. Strony</w:t>
      </w:r>
      <w:r w:rsidR="00D146C3" w:rsidRPr="00795F17">
        <w:t xml:space="preserve"> </w:t>
      </w:r>
      <w:r w:rsidRPr="00795F17">
        <w:t>powołują Przewodniczącego, Sekretarza oraz Członków Delegacji. Po stronie polskiej przewodnictwo w Komisji pełni przedstawiciel ministerstwa właściwego ds. gospodarki wodnej (Ministerstwa Infrastruktury), w</w:t>
      </w:r>
      <w:r w:rsidR="008308AA" w:rsidRPr="00795F17">
        <w:t> </w:t>
      </w:r>
      <w:r w:rsidRPr="00795F17">
        <w:t xml:space="preserve">randze dyrektora departamentu lub jego zastępcy. W skład Delegacji wchodzi </w:t>
      </w:r>
      <w:r w:rsidR="0028234C" w:rsidRPr="00795F17">
        <w:t>PGW WP</w:t>
      </w:r>
      <w:r w:rsidRPr="00795F17">
        <w:t xml:space="preserve">, w tym RZGW WP w Szczecinie, WFOŚ we Wrocławiu oraz Komenda Główna Straży Granicznej. Po stronie niemieckiej przewodnictwo w Komisji pełni przedstawiciel Federalnego Ministerstwa Środowiska, Ochrony Przyrody i Bezpieczeństwa Jądrowego. </w:t>
      </w:r>
    </w:p>
    <w:p w14:paraId="4A3E9E7B" w14:textId="126A21F4" w:rsidR="00085669" w:rsidRPr="00795F17" w:rsidRDefault="00085669" w:rsidP="0044393D">
      <w:r w:rsidRPr="00795F17">
        <w:t>Rolą Komisji jest dbałość o realizację współpracy zgodnie z zasadami ustanowionymi w</w:t>
      </w:r>
      <w:r w:rsidR="005C0E8F">
        <w:t> </w:t>
      </w:r>
      <w:r w:rsidRPr="00795F17">
        <w:t>Umowie. Raz w roku Komisja dokonuje przeglądu aktualnego stanu prac, odbiera sprawozdania z</w:t>
      </w:r>
      <w:r w:rsidR="008308AA" w:rsidRPr="00795F17">
        <w:t> </w:t>
      </w:r>
      <w:r w:rsidRPr="00795F17">
        <w:t xml:space="preserve">działalności grup roboczych oraz zatwierdza plany pracy na następny okres rozliczeniowy. Współpraca podzielona jest na cztery obszary i realizowana jest przez cały rok w ramach polsko-niemieckich Grup Roboczych, podczas wspólnych prac, narad i spotkań ekspertów. </w:t>
      </w:r>
    </w:p>
    <w:p w14:paraId="5F52BB09" w14:textId="77777777" w:rsidR="00085669" w:rsidRPr="00795F17" w:rsidRDefault="00085669" w:rsidP="008308AA">
      <w:pPr>
        <w:pStyle w:val="Nagwek6"/>
      </w:pPr>
      <w:r w:rsidRPr="00795F17">
        <w:t>Grupa Robocza W1, ds. Hydrologii i Hydrogeologii Wód Granicznych</w:t>
      </w:r>
    </w:p>
    <w:p w14:paraId="03DE26C2" w14:textId="489F378A" w:rsidR="00085669" w:rsidRPr="00795F17" w:rsidRDefault="00085669" w:rsidP="0044393D">
      <w:r w:rsidRPr="00795F17">
        <w:t xml:space="preserve">Grupa W1 prowadzi badania, obserwacje oraz wymianę danych w zakresie hydrologii ihydrogeologii. Po stronie polskiej zadania realizuje IMGW </w:t>
      </w:r>
      <w:r w:rsidR="00182A26" w:rsidRPr="00795F17">
        <w:t>-</w:t>
      </w:r>
      <w:r w:rsidRPr="00795F17">
        <w:t xml:space="preserve"> PIB. W ramach grupy współpracują także oddziały IMGW </w:t>
      </w:r>
      <w:r w:rsidR="00182A26" w:rsidRPr="00795F17">
        <w:t>-</w:t>
      </w:r>
      <w:r w:rsidRPr="00795F17">
        <w:t>PIB w Gdyni i Poznaniu, PIG-PIB w Szczecinie, PGE Górnictwo i Energetyka Konwencjonalna S.A. Oddział Elektrownia Turów oraz Zakład Wodociągów i Kanalizacji w Świnoujściu. Po stronie niemieckiej za współpracę odpowiada Saksoński Urząd Środowiska, Rolnictwa i Geologii w</w:t>
      </w:r>
      <w:r w:rsidR="008308AA" w:rsidRPr="00795F17">
        <w:t> </w:t>
      </w:r>
      <w:r w:rsidRPr="00795F17">
        <w:t>Dreźnie, Ośrodek Sygnalizacji Powodziowej we Frankfurcie nad Odrą, a ponadto, urzędy wodne poszczególnych krajów związkowych: Krajowy Urząd Środowiska Brandenburgii, Urząd Wodno</w:t>
      </w:r>
      <w:r w:rsidR="00182A26" w:rsidRPr="00795F17">
        <w:t>-</w:t>
      </w:r>
      <w:r w:rsidRPr="00795F17">
        <w:t>Żeglugowy w Eberswalde oraz Federalny Urząd ds. Żeglugi i Hydrografii w Roztoku.</w:t>
      </w:r>
    </w:p>
    <w:p w14:paraId="4C4F278B" w14:textId="078EF896" w:rsidR="008308AA" w:rsidRPr="00795F17" w:rsidRDefault="00085669" w:rsidP="0044393D">
      <w:r w:rsidRPr="00795F17">
        <w:t>Do zadań hydrologicznych wykorzystywana jest sieć stacji wodowskazowych oraz wspólne punkty pomiaru przepływów w uzgodnionych profilach rzecznych. Badany jest stan wód, przepływy (ilości dopływu i odpływu), temperatura wody i powietrza oraz warunki lodowe, zarastanie koryt rzecznych i</w:t>
      </w:r>
      <w:r w:rsidR="008308AA" w:rsidRPr="00795F17">
        <w:t> </w:t>
      </w:r>
      <w:r w:rsidRPr="00795F17">
        <w:t>inne zjawiska. We współpracy polsko</w:t>
      </w:r>
      <w:r w:rsidR="00182A26" w:rsidRPr="00795F17">
        <w:t>-</w:t>
      </w:r>
      <w:r w:rsidRPr="00795F17">
        <w:t>niemieckiej pomiarami i obserwacjami objęte są rzeki Odra i</w:t>
      </w:r>
      <w:r w:rsidR="008308AA" w:rsidRPr="00795F17">
        <w:t> </w:t>
      </w:r>
      <w:r w:rsidRPr="00795F17">
        <w:t>Nysa Łużycka oraz wody Zalewu Szczecińskiego i strefa brzegowa Bałtyku. Stacje hydrologiczne prowadzą pomiary 365 dni w roku. O każdej pełnej godzinie ze stacji wysyłana jest depesza za</w:t>
      </w:r>
      <w:r w:rsidR="008308AA" w:rsidRPr="00795F17">
        <w:t> </w:t>
      </w:r>
      <w:r w:rsidRPr="00795F17">
        <w:t>pośrednictwem automatycznego systemu do zbiornicy danych w Warszawie. Pozyskane dane służą do sporządzania codziennych prognoz hydrologicznych oraz ostrzeżeń i prognoz powodziowych. Prognozy powstają przy użyciu modeli hydrodynamicznych, dzięki którym można je sporządzać z</w:t>
      </w:r>
      <w:r w:rsidR="008308AA" w:rsidRPr="00795F17">
        <w:t> </w:t>
      </w:r>
      <w:r w:rsidRPr="00795F17">
        <w:t xml:space="preserve">wyprzedzeniem od 1 do 3 dni. Wyniki pomiarów zestawia się także w zbiory, niezbędne do pracy służb hydrologicznych. Wykreśla się krzywe przepływów, które pozwalają wygenerować średnie wartości dzienne, miesięczne, roczne i z wielolecia. Dane hydrologiczne podlegają codziennej wymianie ze stroną niemiecką. Strony przekazują sobie także zestawienia wyników za rok hydrologiczny. </w:t>
      </w:r>
    </w:p>
    <w:p w14:paraId="7C8195D2" w14:textId="4BE5DCA9" w:rsidR="00085669" w:rsidRPr="00795F17" w:rsidRDefault="00085669" w:rsidP="0044393D">
      <w:r w:rsidRPr="00795F17">
        <w:t>Na ich podstawie strony uzgadniają roczną ocenę Nysy Łużyckiej i Odry Granicznej.</w:t>
      </w:r>
    </w:p>
    <w:p w14:paraId="125DA615" w14:textId="08D3D090" w:rsidR="00085669" w:rsidRPr="00795F17" w:rsidRDefault="00085669" w:rsidP="0044393D">
      <w:r w:rsidRPr="00795F17">
        <w:t xml:space="preserve">W dziedzinie hydrogeologii strony obserwują poziom wód podziemnych w rejonach objętych oddziaływaniem kopalń odkrywkowych. Strony opracowują i wymieniają się mapami hydroizohips dla obszaru kopalń odkrywkowych oraz pasa granicznego na odległość do 20 km od granicy. Ponadto strony monitorują zaopatrzenie regionu Świnoujście </w:t>
      </w:r>
      <w:r w:rsidR="00182A26" w:rsidRPr="00795F17">
        <w:t>-</w:t>
      </w:r>
      <w:r w:rsidRPr="00795F17">
        <w:t xml:space="preserve"> Uznam Wschodni w wodę odpowiedniej jakości i ilości. Działania te mają na celu także dbałość o wspólne obszary chronione, gdzie występują wrażliwe biotopy habitatowe zależne od wody, objęte przepisami unijnej dyrektywy siedliskowej. </w:t>
      </w:r>
    </w:p>
    <w:p w14:paraId="2DB932CB" w14:textId="770C8D97" w:rsidR="00085669" w:rsidRPr="00795F17" w:rsidRDefault="00085669" w:rsidP="0044393D">
      <w:r w:rsidRPr="00795F17">
        <w:t>W ramach zadań dodatkowych Grupa W1 przygotowuje ocenę zasobów wodnych w warunkach wód niskich dla Nysy Łużyckiej, co będzie służyło wypracowaniu wspólnego poziomu dla przepływów niskich i nienaruszalnych. W przygotowaniu jest także monografia powodzi historycznych z XIX i XX wieku na</w:t>
      </w:r>
      <w:r w:rsidR="008308AA" w:rsidRPr="00795F17">
        <w:t> </w:t>
      </w:r>
      <w:r w:rsidRPr="00795F17">
        <w:t>Odrze oraz monografia zjawiska zwanego „niedźwiedź morski”, występującego na polskim i</w:t>
      </w:r>
      <w:r w:rsidR="008308AA" w:rsidRPr="00795F17">
        <w:t> </w:t>
      </w:r>
      <w:r w:rsidRPr="00795F17">
        <w:t>niemieckim wybrzeżu Bałtyku.</w:t>
      </w:r>
    </w:p>
    <w:p w14:paraId="34DE744E" w14:textId="77777777" w:rsidR="00085669" w:rsidRPr="00795F17" w:rsidRDefault="00085669" w:rsidP="008308AA">
      <w:pPr>
        <w:pStyle w:val="Nagwek6"/>
      </w:pPr>
      <w:r w:rsidRPr="00795F17">
        <w:t>Grupa Robocza W2, ds. Ochrony Wód Granicznych</w:t>
      </w:r>
    </w:p>
    <w:p w14:paraId="5520B704" w14:textId="722400BB" w:rsidR="00085669" w:rsidRPr="00795F17" w:rsidRDefault="00085669" w:rsidP="0044393D">
      <w:r w:rsidRPr="00795F17">
        <w:t>Grupa W2 prowadzi stały monitoring jakości wód granicznych, zapewnia jakość analiz oraz</w:t>
      </w:r>
      <w:r w:rsidR="00EF6537">
        <w:t> </w:t>
      </w:r>
      <w:r w:rsidRPr="00795F17">
        <w:t>przygotowuje coroczne sprawozdania o jakości wód. Po stronie polskiej zadania grupy realizuje Regionalny Wydział Monitoringu Środowiska we Wrocławiu, należący do GIOŚ. Pobór i analizę prób prowadzą oddziały Centralnego Laboratorium Badawczego GIOŚ we Wrocławiu, Zielonej Górze i</w:t>
      </w:r>
      <w:r w:rsidR="008308AA" w:rsidRPr="00795F17">
        <w:t> </w:t>
      </w:r>
      <w:r w:rsidRPr="00795F17">
        <w:t>Szczecinie. Po stronie niemieckiej, za współpracę odpowiada Brandenburski Krajowy Urząd Środowiska we Frankfurcie nad Odrą, Państwowa Spółka Wykonawcza ds. Środowiska i Rolnictwa Saksonii, Państwowe Laboratorium Operacyjne Berlin</w:t>
      </w:r>
      <w:r w:rsidR="00182A26" w:rsidRPr="00795F17">
        <w:t>-</w:t>
      </w:r>
      <w:r w:rsidRPr="00795F17">
        <w:t>Brandenburgia oraz Państwowy Urząd ds.</w:t>
      </w:r>
      <w:r w:rsidR="008308AA" w:rsidRPr="00795F17">
        <w:t> </w:t>
      </w:r>
      <w:r w:rsidRPr="00795F17">
        <w:t>Środowiska, Ochrony Przyrody i Geologii Meklemburgia</w:t>
      </w:r>
      <w:r w:rsidR="00182A26" w:rsidRPr="00795F17">
        <w:t>-</w:t>
      </w:r>
      <w:r w:rsidRPr="00795F17">
        <w:t>Pomorze Przednie.</w:t>
      </w:r>
      <w:r w:rsidR="00D146C3" w:rsidRPr="00795F17">
        <w:t xml:space="preserve"> </w:t>
      </w:r>
    </w:p>
    <w:p w14:paraId="6319F6C2" w14:textId="66CB165F" w:rsidR="00085669" w:rsidRPr="00795F17" w:rsidRDefault="00085669" w:rsidP="0044393D">
      <w:r w:rsidRPr="00795F17">
        <w:t>Badania monitoringowe przeprowadzane są w punktach i profilach pomiarowych na Nysie Łużyckiej, Odrze i Odrze Zachodniej. Badanych jest 16 parametrów, z częstotliwością od 4 do 13 razy rocznie (w</w:t>
      </w:r>
      <w:r w:rsidR="008308AA" w:rsidRPr="00795F17">
        <w:t> </w:t>
      </w:r>
      <w:r w:rsidRPr="00795F17">
        <w:t>zależności od parametru). Ponadto punkty poboru prób ustanowione są także na wodach Zalewu Szczecińskiego i Zatoki Pomorskiej. Pobory i analiza prób prowadzone są oddzielnie przez każdą ze</w:t>
      </w:r>
      <w:r w:rsidR="008308AA" w:rsidRPr="00795F17">
        <w:t> </w:t>
      </w:r>
      <w:r w:rsidRPr="00795F17">
        <w:t xml:space="preserve">stron, a następnie odbywa się wymiana wyników badań, na podstawie których opracowywane jest roczne sprawozdanie o jakości wód granicznych. Dla wybranych substancji realizowane są wspólne programy badawcze, które służą przede wszystkim określeniu przyczyn przekroczenia środowiskowych norm jakości. </w:t>
      </w:r>
    </w:p>
    <w:p w14:paraId="761C564D" w14:textId="340EA999" w:rsidR="00085669" w:rsidRPr="00795F17" w:rsidRDefault="00085669" w:rsidP="0044393D">
      <w:r w:rsidRPr="00795F17">
        <w:t>W ramach grupy W2 działają trzy grupy ekspertów, tj. grupa ekspertów ds. monitoringu, odpowiedzialna za badania i ocenę jakości rzek granicznych, grupa ekspertów ds. badania wód Zalewu Szczecińskiego i Zatoki Pomorskiej oraz grupa ekspertów ds. zapewnienia jakości analiz, która dba o</w:t>
      </w:r>
      <w:r w:rsidR="008308AA" w:rsidRPr="00795F17">
        <w:t> </w:t>
      </w:r>
      <w:r w:rsidRPr="00795F17">
        <w:t>porównywalność wyników badań, m.in. poprzez uzgadnianie metod analiz, zakresu badań, lokalizacji punktów pomiarowych oraz częstotliwości pomiarów. W tym celu wykonywane są wspólne badania porównawcze, także z udziałem czeskich laboratoriów.</w:t>
      </w:r>
    </w:p>
    <w:p w14:paraId="3827C268" w14:textId="348EA173" w:rsidR="00085669" w:rsidRPr="00795F17" w:rsidRDefault="00085669" w:rsidP="0044393D">
      <w:r w:rsidRPr="00795F17">
        <w:t xml:space="preserve">W ostatnich latach w ramach W2 zakończono wspólny projekt badawczy z udziałem Międzynarodowej Komisji Ochrony Łaby, realizowany od 2011 r. Celem projektu było ustalenie źródła zanieczyszczenia </w:t>
      </w:r>
      <w:r w:rsidR="00BF782C" w:rsidRPr="00795F17">
        <w:t xml:space="preserve">obszaru </w:t>
      </w:r>
      <w:r w:rsidRPr="00795F17">
        <w:t xml:space="preserve">dorzecza Odry herbicydem 2,4-D. Wdrożono programy naprawcze, które obniżyły poziom zanieczyszczenia i utrzymują go w normie od 2016 r. </w:t>
      </w:r>
    </w:p>
    <w:p w14:paraId="6859E220" w14:textId="77777777" w:rsidR="00085669" w:rsidRPr="00795F17" w:rsidRDefault="00085669" w:rsidP="0044393D">
      <w:r w:rsidRPr="00795F17">
        <w:t>W ramach badań parametrów przekraczających środowiskowe normy jakości, grupa W2 podejmuje działania w kierunku wyjaśniania ich przyczyn. W 2019 r. przeanalizowane zostały kolejne parametry, tj. rtęć i jej związki oraz tributylocyna.</w:t>
      </w:r>
    </w:p>
    <w:p w14:paraId="5B44D75D" w14:textId="3D89936E" w:rsidR="00085669" w:rsidRPr="00795F17" w:rsidRDefault="00085669" w:rsidP="0044393D">
      <w:r w:rsidRPr="00795F17">
        <w:t>Istotną wartość dodaną stanowią działania zrealizowane przez grupę ekspertów ds. zapewnienia jakości analiz. Badania porównawcze wykonane wspólnie z niemieckimi i czeskimi laboratoriami na</w:t>
      </w:r>
      <w:r w:rsidR="008308AA" w:rsidRPr="00795F17">
        <w:t> </w:t>
      </w:r>
      <w:r w:rsidRPr="00795F17">
        <w:t>obszarze dorzecza Łaby wykazały wysoką zgodność dla badanych parametrów. Pozwoliło to uzyskać efekt synergii, który będzie wykorzystywany w badaniach polsko</w:t>
      </w:r>
      <w:r w:rsidR="00182A26" w:rsidRPr="00795F17">
        <w:t>-</w:t>
      </w:r>
      <w:r w:rsidRPr="00795F17">
        <w:t>niemieckich wód granicznych.</w:t>
      </w:r>
    </w:p>
    <w:p w14:paraId="7B0700A5" w14:textId="77777777" w:rsidR="00085669" w:rsidRPr="00795F17" w:rsidRDefault="00085669" w:rsidP="008308AA">
      <w:pPr>
        <w:pStyle w:val="Nagwek6"/>
      </w:pPr>
      <w:r w:rsidRPr="00795F17">
        <w:t>Grupa Robocza W4, ds. Utrzymania Wód Granicznych</w:t>
      </w:r>
    </w:p>
    <w:p w14:paraId="56B0AF6E" w14:textId="79072168" w:rsidR="00085669" w:rsidRPr="00795F17" w:rsidRDefault="00085669" w:rsidP="0044393D">
      <w:r w:rsidRPr="00795F17">
        <w:t xml:space="preserve">Grupa W4 prowadzi prace utrzymaniowe koryt rzecznych, urządzeń hydrotechnicznych oraz terenów przygranicznych. Wymaga to zarówno działań konserwacyjnych, jak i inwestycyjnych. Po stronie polskiej zadania grupy realizuje </w:t>
      </w:r>
      <w:r w:rsidR="0028234C" w:rsidRPr="00795F17">
        <w:t>PGW WP</w:t>
      </w:r>
      <w:r w:rsidRPr="00795F17">
        <w:t>, w szczególności RZGW WP we Wrocławiu. Organami współpracującymi są RZGW WP w Szczecinie, ZZ WP w Zielonej Górze i Zgorzelcu, NW WP w Zgorzelcu oraz Urząd Żeglugi Śródlądowej w Szczecinie. Po stronie niemieckiej za współpracę odpowiada Ministerstwo Rozwoju Obszarów Wiejskich, Środowiska i Rolnictwa Kraju Związkowego Brandenburgia, a ponadto przedstawiciele urzędów wodnych Kraju Związkowego Saksonii</w:t>
      </w:r>
      <w:r w:rsidR="00182A26" w:rsidRPr="00795F17">
        <w:t>-</w:t>
      </w:r>
      <w:r w:rsidRPr="00795F17">
        <w:t>Niższy Urząd Wodny Powiatu Sprewa</w:t>
      </w:r>
      <w:r w:rsidR="00182A26" w:rsidRPr="00795F17">
        <w:t>-</w:t>
      </w:r>
      <w:r w:rsidRPr="00795F17">
        <w:t>Nysa oraz Niższy Urząd Wodny Powiatu Gorlitz.</w:t>
      </w:r>
      <w:r w:rsidR="00D146C3" w:rsidRPr="00795F17">
        <w:t xml:space="preserve"> </w:t>
      </w:r>
    </w:p>
    <w:p w14:paraId="5346E19B" w14:textId="21999861" w:rsidR="00085669" w:rsidRPr="00795F17" w:rsidRDefault="00085669" w:rsidP="0044393D">
      <w:r w:rsidRPr="00795F17">
        <w:t>Prace grupy prowadzone są z podziałem na odcinek graniczny Nysy Łużyckiej oraz odcinek graniczny Odry i Odry Zachodniej. Do najbardziej istotnych działań grupy należy ochrona przeciwpowodziowa terenów przygranicznych. Dla przykładu wymienić tutaj należy prace w obrębie wałów przeciwpowodziowych i zbiorników retencyjnych oraz zapewnienie zimowego lodołamania. Zakres prac W4 obejmuje także utrzymanie drożności cieków granicznych, aby zagwarantować ich</w:t>
      </w:r>
      <w:r w:rsidR="008308AA" w:rsidRPr="00795F17">
        <w:t> </w:t>
      </w:r>
      <w:r w:rsidRPr="00795F17">
        <w:t xml:space="preserve">funkcjonalność w zakresie żeglugi śródlądowej, migracji ryb i ochrony przeciwpowodziowej. </w:t>
      </w:r>
      <w:r w:rsidR="008308AA" w:rsidRPr="00795F17">
        <w:br/>
      </w:r>
      <w:r w:rsidRPr="00795F17">
        <w:t>W tym celu grupa zapewnienia właściwy prześwit mostów, wycinkę zadrzewień, budowę przepławek dla ryb na urządzeniach wodnych, np. jazach, budowę i utrzymanie urządzeń piętrzących, zabezpieczających poziom wód dla funkcjonowania urządzeń jak elektrownie, rurociągi,</w:t>
      </w:r>
      <w:r w:rsidR="005669AD">
        <w:t xml:space="preserve"> i inne</w:t>
      </w:r>
      <w:r w:rsidRPr="00795F17">
        <w:t>. Zadaniem grupy jest także dbałość, aby użytkowanie urządzeń i budowli hydrotechnicznych nie kolidowało z</w:t>
      </w:r>
      <w:r w:rsidR="008308AA" w:rsidRPr="00795F17">
        <w:t> </w:t>
      </w:r>
      <w:r w:rsidRPr="00795F17">
        <w:t>osiąganiem celów środowiskowych.</w:t>
      </w:r>
    </w:p>
    <w:p w14:paraId="6149DE8F" w14:textId="36E19534" w:rsidR="00085669" w:rsidRPr="00795F17" w:rsidRDefault="00085669" w:rsidP="0044393D">
      <w:r w:rsidRPr="00795F17">
        <w:t>W ostatnich latach kontynuowano zadania dotyczące ochrony przeciwpowodziowej terenów przygranicznych. Większość prac inwestycyjnych jest w toku. Zakończyły się pomiary geodezyjne inwestycji budowy mostu kolejowego Świecko</w:t>
      </w:r>
      <w:r w:rsidRPr="00795F17" w:rsidDel="005F33E1">
        <w:t xml:space="preserve"> </w:t>
      </w:r>
      <w:r w:rsidR="005F33E1">
        <w:t>–</w:t>
      </w:r>
      <w:r w:rsidRPr="00795F17" w:rsidDel="005F33E1">
        <w:t xml:space="preserve"> </w:t>
      </w:r>
      <w:r w:rsidRPr="00795F17">
        <w:t>Frankfurt nad Odrą. W ramach koncepcji przeciwpowodziowej dla Gubina zakończono usuwanie szkód powodziowych na rzece Lubsza. W</w:t>
      </w:r>
      <w:r w:rsidR="008308AA" w:rsidRPr="00795F17">
        <w:t> </w:t>
      </w:r>
      <w:r w:rsidRPr="00795F17">
        <w:t>zakresie drożności cieków wodnych, ukończone zostały dwie przepławki dla ryb na Nysie Łużyckiej, tj. przy jazie Sobolice oraz przy jazie Nieder Neundorf.</w:t>
      </w:r>
    </w:p>
    <w:p w14:paraId="69EBF953" w14:textId="77777777" w:rsidR="00085669" w:rsidRPr="00795F17" w:rsidRDefault="00085669" w:rsidP="008308AA">
      <w:pPr>
        <w:pStyle w:val="Nagwek6"/>
      </w:pPr>
      <w:r w:rsidRPr="00795F17">
        <w:t>Grupa Robocza W5, ds. Planowania wód Granicznych</w:t>
      </w:r>
    </w:p>
    <w:p w14:paraId="1CC8DC24" w14:textId="4E6770E2" w:rsidR="00085669" w:rsidRPr="00795F17" w:rsidRDefault="00085669" w:rsidP="0044393D">
      <w:r w:rsidRPr="00795F17">
        <w:t>Grupa W5 realizuje zadania w zakresie planowania wód granicznych pod kątem wodno-gospodarczym oraz ilościowo</w:t>
      </w:r>
      <w:r w:rsidR="00182A26" w:rsidRPr="00795F17">
        <w:t>-</w:t>
      </w:r>
      <w:r w:rsidRPr="00795F17">
        <w:t xml:space="preserve">jakościowym, w celu utrzymania ich dobrego stanu. Po stronie polskiej zadania grupy prowadzi </w:t>
      </w:r>
      <w:r w:rsidR="0028234C" w:rsidRPr="00795F17">
        <w:t>PGW WP</w:t>
      </w:r>
      <w:r w:rsidRPr="00795F17">
        <w:t xml:space="preserve">. Organem wiodącym jest RZGW WP w Szczecinie, organami współpracującymi RZGW WP we Wrocławiu, IMGW </w:t>
      </w:r>
      <w:r w:rsidR="00182A26" w:rsidRPr="00795F17">
        <w:t>-</w:t>
      </w:r>
      <w:r w:rsidRPr="00795F17">
        <w:t xml:space="preserve"> PIB we Wrocławiu oraz Zachodniopomorski Urząd Wojewódzki w</w:t>
      </w:r>
      <w:r w:rsidR="008308AA" w:rsidRPr="00795F17">
        <w:t> </w:t>
      </w:r>
      <w:r w:rsidRPr="00795F17">
        <w:t xml:space="preserve">Szczecinie. Po stronie niemieckiej, za współpracę odpowiada Krajowy Zarząd Zapór Wodnych Kraju Związkowego Saksonii, skąd pochodzi kierownik części niemieckiej W5, współpracuje Krajowy Urząd Środowiska Brandenburgii. </w:t>
      </w:r>
    </w:p>
    <w:p w14:paraId="60B215A3" w14:textId="1D6321C1" w:rsidR="00085669" w:rsidRPr="00795F17" w:rsidRDefault="00085669" w:rsidP="0044393D">
      <w:r w:rsidRPr="00795F17">
        <w:t>Zakres współpracy grupy W5 obejmuje Nysę Łużycką i Odrę. Do jej zadań należą ocena przedsięwzięć gospodarczych realizowanych na wodach granicznych, analiza warunków odprowadzania ścieków oraz</w:t>
      </w:r>
      <w:r w:rsidR="00404DB8">
        <w:t> </w:t>
      </w:r>
      <w:r w:rsidRPr="00795F17">
        <w:t>wód kopalnianych i chłodniczych do cieków transgranicznych, opiniowanie poboru wód do celów gospodarczych, rolniczych i komunalnych, pozyskiwanie informacji dotyczących przedsięwzięć zaopatrzenia ludności w wodę pitną oraz przemysłu i rolnictwa w wodę użytkową, łącznie z przerzutami wody oraz sporządzanie bilansów wodno-gospodarczych i ilościowo</w:t>
      </w:r>
      <w:r w:rsidR="00182A26" w:rsidRPr="00795F17">
        <w:t>-</w:t>
      </w:r>
      <w:r w:rsidRPr="00795F17">
        <w:t>jakościowych rzek granicznych.</w:t>
      </w:r>
    </w:p>
    <w:p w14:paraId="2AF4EFC6" w14:textId="08223DA0" w:rsidR="00085669" w:rsidRPr="00795F17" w:rsidRDefault="00085669" w:rsidP="0044393D">
      <w:r w:rsidRPr="00795F17">
        <w:t>W ostatnich latach w ramach W5 opracowano bilans wodnogospodarczy Nysy Łużyckiej i bilans ilościowo</w:t>
      </w:r>
      <w:r w:rsidR="00182A26" w:rsidRPr="00795F17">
        <w:t>-</w:t>
      </w:r>
      <w:r w:rsidRPr="00795F17">
        <w:t>jakościowy Odry, na potrzeby uzgadniania przedsięwzięć o transgranicznym i znaczącym oddziaływaniu, jak np. pobory oraz przerzuty wód.</w:t>
      </w:r>
    </w:p>
    <w:p w14:paraId="119F4571" w14:textId="176E53D8" w:rsidR="00085669" w:rsidRPr="00795F17" w:rsidRDefault="00085669" w:rsidP="0044393D">
      <w:r w:rsidRPr="00795F17">
        <w:t>Zadania inwestycyjne objęte zakresem współpracy polsko</w:t>
      </w:r>
      <w:r w:rsidR="00182A26" w:rsidRPr="00795F17">
        <w:t>-</w:t>
      </w:r>
      <w:r w:rsidRPr="00795F17">
        <w:t>niemieckiej na wodach transgranicznych po stronie polskiej realizowane są przez RZGW WP w Szczecinie oraz RZGW WP we Wrocławiu. Inwestycje w obszarze przygranicznym mają na celu przede wszystkim podniesienie bezpieczeństwa powodziowego. RZGW WP Szczecin realizuje działania inwestycyjne w Regionie Wodnym Dolnej Odry i Przymorza Zachodniego, w tym również inwestycje na ciekach będących dopływami Odry. RZGW WP we Wrocławiu prowadzi działania inwestycyjne na Nysie Łużyckiej oraz Odrze Górnej i Środkowej. Szczegółowa informacja dotycząca przedsięwzięć inwestycyjnych w obszarze przygranicznym dostępna jest w załącznikach do protokołów współpracy.</w:t>
      </w:r>
    </w:p>
    <w:p w14:paraId="3F1A0B22" w14:textId="1B61B6FA" w:rsidR="00085669" w:rsidRPr="00795F17" w:rsidRDefault="00085669" w:rsidP="0044393D">
      <w:pPr>
        <w:pStyle w:val="Nagwek5"/>
      </w:pPr>
      <w:r w:rsidRPr="00795F17">
        <w:t>Współpraca z Czechami</w:t>
      </w:r>
      <w:r w:rsidR="00D146C3" w:rsidRPr="00795F17">
        <w:t xml:space="preserve"> </w:t>
      </w:r>
    </w:p>
    <w:p w14:paraId="6529FD54" w14:textId="704FF558" w:rsidR="00085669" w:rsidRPr="00795F17" w:rsidRDefault="00085669" w:rsidP="0044393D">
      <w:r w:rsidRPr="00795F17">
        <w:t>Podstawę prawną współpracy polsko</w:t>
      </w:r>
      <w:r w:rsidR="00182A26" w:rsidRPr="00795F17">
        <w:t>-</w:t>
      </w:r>
      <w:r w:rsidRPr="00795F17">
        <w:t xml:space="preserve">czeskiej stanowi Umowa między Rządem Rzeczpospolitej Polskiej a Rządem Republiki Czeskiej o współpracy na wodach granicznych w dziedzinie gospodarki wodnej, sporządzona w Pradze, dnia 20 kwietnia 2015 r. </w:t>
      </w:r>
    </w:p>
    <w:p w14:paraId="16E86186" w14:textId="55235BFA" w:rsidR="00085669" w:rsidRPr="00795F17" w:rsidRDefault="00085669" w:rsidP="0044393D">
      <w:r w:rsidRPr="00795F17">
        <w:t>Swoim zasięgiem współpraca polsko</w:t>
      </w:r>
      <w:r w:rsidR="00182A26" w:rsidRPr="00795F17">
        <w:t>-</w:t>
      </w:r>
      <w:r w:rsidRPr="00795F17">
        <w:t>czeska obejmuje odcinek wodny granicy o łącznej długości 218</w:t>
      </w:r>
      <w:r w:rsidR="008308AA" w:rsidRPr="00795F17">
        <w:t> </w:t>
      </w:r>
      <w:r w:rsidRPr="00795F17">
        <w:t>km, przebiegający na wielu ciekach, z których główne rzeki to Opawa, Odra, Olza, Orlica i Izera.</w:t>
      </w:r>
    </w:p>
    <w:p w14:paraId="6BF21BA2" w14:textId="4CDCC0F4" w:rsidR="00085669" w:rsidRPr="00795F17" w:rsidRDefault="00085669" w:rsidP="0044393D">
      <w:r w:rsidRPr="00795F17">
        <w:t>Platformę współpracy stanowi Polsko</w:t>
      </w:r>
      <w:r w:rsidR="00182A26" w:rsidRPr="00795F17">
        <w:t>-</w:t>
      </w:r>
      <w:r w:rsidRPr="00795F17">
        <w:t>Czeska Komisja ds. Wód Granicznych. Strony</w:t>
      </w:r>
      <w:r w:rsidR="00D146C3" w:rsidRPr="00795F17">
        <w:t xml:space="preserve"> </w:t>
      </w:r>
      <w:r w:rsidRPr="00795F17">
        <w:t>powołują Przewodniczącego, Sekretarza oraz Członków Delegacji. Po stronie polskiej przewodnictwo w Komisji pełni przedstawiciel ministerstwa właściwego ds. gospodarki wodnej (Ministerstwa Infrastruktury), w</w:t>
      </w:r>
      <w:r w:rsidR="008308AA" w:rsidRPr="00795F17">
        <w:t> </w:t>
      </w:r>
      <w:r w:rsidRPr="00795F17">
        <w:t xml:space="preserve">randze dyrektora departamentu lub jego zastępcy. W skład organów współpracy wchodzi </w:t>
      </w:r>
      <w:r w:rsidR="0028234C" w:rsidRPr="00795F17">
        <w:t>PGW WP</w:t>
      </w:r>
      <w:r w:rsidRPr="00795F17">
        <w:t xml:space="preserve">, w tym RZGW WP w Gliwicach oraz we Wrocławiu, IMGW-PIB, WIOŚ w Katowicach oraz Komenda Główna Straży Granicznej. </w:t>
      </w:r>
    </w:p>
    <w:p w14:paraId="421AFA68" w14:textId="65575D0D" w:rsidR="00085669" w:rsidRPr="00795F17" w:rsidRDefault="00085669" w:rsidP="0044393D">
      <w:r w:rsidRPr="00795F17">
        <w:t>Rolą Komisji jest dbałość o realizację współpracy zgodnie z zasadami ustanowionymi w Umowie. Raz w</w:t>
      </w:r>
      <w:r w:rsidR="008308AA" w:rsidRPr="00795F17">
        <w:t> </w:t>
      </w:r>
      <w:r w:rsidRPr="00795F17">
        <w:t>roku Komisja dokonuje przeglądu aktualnego stanu prac, odbiera sprawozdania z działalności grup roboczych oraz zatwierdza plany pracy na następny okres rozliczeniowy. Współpraca podzielona jest na pięć obszarów i realizowana jest przez cały rok w ramach polsko-czeskich Grup Roboczych, podczas wspólnych prac, narad i spotkań ekspertów.</w:t>
      </w:r>
    </w:p>
    <w:p w14:paraId="035A51F5" w14:textId="6399ABF7" w:rsidR="00085669" w:rsidRPr="00D33134" w:rsidRDefault="00085669" w:rsidP="00117E86">
      <w:pPr>
        <w:pStyle w:val="Listapunktowana2"/>
        <w:rPr>
          <w:rStyle w:val="Pogrubienie"/>
        </w:rPr>
      </w:pPr>
      <w:r w:rsidRPr="00D33134">
        <w:rPr>
          <w:rStyle w:val="Pogrubienie"/>
        </w:rPr>
        <w:t>Grupa Robocza P</w:t>
      </w:r>
      <w:r w:rsidR="007D164E" w:rsidRPr="00D33134">
        <w:rPr>
          <w:rStyle w:val="Pogrubienie"/>
        </w:rPr>
        <w:t xml:space="preserve"> - </w:t>
      </w:r>
      <w:r w:rsidRPr="00D33134">
        <w:rPr>
          <w:rStyle w:val="Pogrubienie"/>
        </w:rPr>
        <w:t>ds. przygotowań koncepcji inwestycyjnych, z zakresu ochrony przeciwpowodziowej;</w:t>
      </w:r>
    </w:p>
    <w:p w14:paraId="0FD32360" w14:textId="19670052" w:rsidR="00085669" w:rsidRPr="00795F17" w:rsidRDefault="00085669" w:rsidP="00117E86">
      <w:pPr>
        <w:pStyle w:val="Listapunktowana2"/>
      </w:pPr>
      <w:r w:rsidRPr="00D33134">
        <w:rPr>
          <w:rStyle w:val="Pogrubienie"/>
        </w:rPr>
        <w:t>Grupa Robocza HyP</w:t>
      </w:r>
      <w:r w:rsidR="007D164E" w:rsidRPr="00D33134">
        <w:rPr>
          <w:rStyle w:val="Pogrubienie"/>
        </w:rPr>
        <w:t xml:space="preserve"> - </w:t>
      </w:r>
      <w:r w:rsidRPr="00D33134">
        <w:rPr>
          <w:rStyle w:val="Pogrubienie"/>
        </w:rPr>
        <w:t>ds. hydrologii, hydrogeologii i osłony przeciwpowodziowej</w:t>
      </w:r>
      <w:r w:rsidRPr="00795F17">
        <w:t>, zajmująca się zadaniami z zakresu monitoringu hydrologicznego i meteorologicznego oraz wymianą danych i</w:t>
      </w:r>
      <w:r w:rsidR="008308AA" w:rsidRPr="00795F17">
        <w:t> </w:t>
      </w:r>
      <w:r w:rsidRPr="00795F17">
        <w:t>informacji hydrologicznych, meteorologicznych i hydrogeologicznych;</w:t>
      </w:r>
    </w:p>
    <w:p w14:paraId="678D1C6E" w14:textId="24D7540B" w:rsidR="00085669" w:rsidRPr="00795F17" w:rsidRDefault="00085669" w:rsidP="00117E86">
      <w:pPr>
        <w:pStyle w:val="Listapunktowana2"/>
      </w:pPr>
      <w:r w:rsidRPr="00D33134">
        <w:rPr>
          <w:rStyle w:val="Pogrubienie"/>
        </w:rPr>
        <w:t>Grupa Robocza R</w:t>
      </w:r>
      <w:r w:rsidR="007D164E" w:rsidRPr="00D33134">
        <w:rPr>
          <w:rStyle w:val="Pogrubienie"/>
        </w:rPr>
        <w:t xml:space="preserve"> - </w:t>
      </w:r>
      <w:r w:rsidRPr="00D33134">
        <w:rPr>
          <w:rStyle w:val="Pogrubienie"/>
        </w:rPr>
        <w:t>ds. regulacji przygranicznych cieków, zaopatrzenia w wodę i melioracji terenów przygranicznych</w:t>
      </w:r>
      <w:r w:rsidRPr="00795F17">
        <w:t xml:space="preserve"> odpowiedzialna m.in. za opiniowanie projektów budowlanych i</w:t>
      </w:r>
      <w:r w:rsidR="00717709">
        <w:t> </w:t>
      </w:r>
      <w:r w:rsidRPr="00795F17">
        <w:t>innych przedsięwzięć inwestycyjnych o charakterze technicznym, podejmowanych w rejonie przygranicznym. Bezpośrednio współpracuje ze Stałą Polsko-Czeską Komisją Graniczną;</w:t>
      </w:r>
    </w:p>
    <w:p w14:paraId="30C591AD" w14:textId="73BFE496" w:rsidR="00085669" w:rsidRPr="00795F17" w:rsidRDefault="00085669" w:rsidP="00117E86">
      <w:pPr>
        <w:pStyle w:val="Listapunktowana2"/>
      </w:pPr>
      <w:r w:rsidRPr="00D33134">
        <w:rPr>
          <w:rStyle w:val="Pogrubienie"/>
        </w:rPr>
        <w:t>Grupa Robocza OPZ</w:t>
      </w:r>
      <w:r w:rsidR="007D164E" w:rsidRPr="00D33134">
        <w:rPr>
          <w:rStyle w:val="Pogrubienie"/>
        </w:rPr>
        <w:t xml:space="preserve"> - </w:t>
      </w:r>
      <w:r w:rsidRPr="00D33134">
        <w:rPr>
          <w:rStyle w:val="Pogrubienie"/>
        </w:rPr>
        <w:t>ds. ochrony wód granicznych przed zanieczyszczeniem</w:t>
      </w:r>
      <w:r w:rsidRPr="004466A5">
        <w:rPr>
          <w:b/>
        </w:rPr>
        <w:t>,</w:t>
      </w:r>
      <w:r w:rsidRPr="00795F17">
        <w:t xml:space="preserve"> zajmująca się problematyką jakości wód granicznych. Grupa OPZ prowadzi działania na rzecz poprawy stanu wód, poprzez ich monitoring, opiniowanie przedsięwzięć inwestycyjnych w zakresie oczyszczalni ścieków wybudowanych po obu stronach granicy. Grupa sporządza roczną ocenę stanu i jakości granicznych wód powierzchniowych oraz</w:t>
      </w:r>
      <w:r w:rsidR="00D146C3" w:rsidRPr="00795F17">
        <w:t xml:space="preserve"> </w:t>
      </w:r>
      <w:r w:rsidRPr="00795F17">
        <w:t xml:space="preserve">wykazy inwestycji na rzecz poprawy jakości wód granicznych. </w:t>
      </w:r>
    </w:p>
    <w:p w14:paraId="267279AF" w14:textId="78B8645F" w:rsidR="00085669" w:rsidRPr="00795F17" w:rsidRDefault="00085669" w:rsidP="00117E86">
      <w:pPr>
        <w:pStyle w:val="Listapunktowana2"/>
      </w:pPr>
      <w:r w:rsidRPr="00D33134">
        <w:rPr>
          <w:rStyle w:val="Pogrubienie"/>
        </w:rPr>
        <w:t>Grupa Robocza WFD</w:t>
      </w:r>
      <w:r w:rsidRPr="00795F17">
        <w:t xml:space="preserve"> ustala cele środowiskowe dla </w:t>
      </w:r>
      <w:r w:rsidR="00DF005E">
        <w:t>JCWP</w:t>
      </w:r>
      <w:r w:rsidRPr="00795F17">
        <w:t xml:space="preserve"> i </w:t>
      </w:r>
      <w:r w:rsidR="00DF005E">
        <w:t>JCWP</w:t>
      </w:r>
      <w:r w:rsidRPr="00795F17">
        <w:t>d oraz przygotowuje ocenę ryzyka nieosiągnięcia tych celów aby przedstawić je do ewentualnego odstępstwa. Grupa jest też zobowiązana do wymiany informacji nt. stanu wdrażania programów działań opracowanych na</w:t>
      </w:r>
      <w:r w:rsidR="008308AA" w:rsidRPr="00795F17">
        <w:t> </w:t>
      </w:r>
      <w:r w:rsidRPr="00795F17">
        <w:t xml:space="preserve">obszarach obu państw oraz przeglądu istotnych problemów gospodarki wodnej. </w:t>
      </w:r>
    </w:p>
    <w:p w14:paraId="10B2EE44" w14:textId="073E205F" w:rsidR="00085669" w:rsidRPr="00795F17" w:rsidRDefault="00085669" w:rsidP="0044393D">
      <w:r w:rsidRPr="00795F17">
        <w:t>Problematyką wód podziemnych znajdujących się w strefie przygranicznej Polski i Czech zajmuje się zespół ekspertów hydrologów i hydrogeologów Republiki Czeskiej oraz Rzeczypospolitej Polskiej. Zgodnie z jego ustaleniami prowadzony jest monitoring wód podziemnych w strefie przygranicznej w</w:t>
      </w:r>
      <w:r w:rsidR="008308AA" w:rsidRPr="00795F17">
        <w:t> </w:t>
      </w:r>
      <w:r w:rsidRPr="00795F17">
        <w:t xml:space="preserve">rejonie niecki śródsudeckiej oraz Zapadliska Kudowy. </w:t>
      </w:r>
    </w:p>
    <w:p w14:paraId="3B6B6951" w14:textId="64641190" w:rsidR="00085669" w:rsidRPr="00795F17" w:rsidRDefault="00085669" w:rsidP="0044393D">
      <w:r w:rsidRPr="00795F17">
        <w:t>Ponadto w ramach Komisji polsko</w:t>
      </w:r>
      <w:r w:rsidR="00182A26" w:rsidRPr="00795F17">
        <w:t>-</w:t>
      </w:r>
      <w:r w:rsidRPr="00795F17">
        <w:t xml:space="preserve">czeskiej utworzono zespół ekspertów hydrogeologów ds. obszaru oddziaływania Kopalni Węgla Brunatnego w Turowie. W skład gremium wchodzą przedstawiciele </w:t>
      </w:r>
      <w:r w:rsidR="008308AA" w:rsidRPr="00795F17">
        <w:br/>
      </w:r>
      <w:r w:rsidRPr="00795F17">
        <w:t>PIG-PIB, IMGW-PIB oraz w roli obserwatorów przedstawiciele KWB Turów. Zespół ten został powołany na</w:t>
      </w:r>
      <w:r w:rsidR="008308AA" w:rsidRPr="00795F17">
        <w:t> </w:t>
      </w:r>
      <w:r w:rsidRPr="00795F17">
        <w:t xml:space="preserve">prośbę strony czeskiej, w związku z rozpoczętą procedurą przedłużenia koncesji na wydobycie złóż węgla brunatnego przez KWB Turów. Do zadań zespołu należy wymiana danych i informacji hydrologicznych i hydrogeologicznych oraz wspólne opracowanie modeli matematycznych. </w:t>
      </w:r>
    </w:p>
    <w:p w14:paraId="22B40E43" w14:textId="2281BE7D" w:rsidR="00085669" w:rsidRPr="00795F17" w:rsidRDefault="00085669" w:rsidP="0044393D">
      <w:r w:rsidRPr="00795F17">
        <w:t>We współpracy polsko-czeskiej zaktualizowano i uzgodniono metodykę harmonizacji wyznaczania cieków transgranicznych. Za jej pomocą państwa wyznaczają wspólne odcinki cieków biegnących wzdłuż granicy, określają tak zwane punkty przekazania na granicy państw oraz określają obowiązek danego państwa do raportowania do Komisji Europejskiej. W efekcie wspólnych prac i wymiany informacji zanotowano rozbieżności, które strony starają się zniwelować aby dane, które są</w:t>
      </w:r>
      <w:r w:rsidR="008308AA" w:rsidRPr="00795F17">
        <w:t> </w:t>
      </w:r>
      <w:r w:rsidRPr="00795F17">
        <w:t xml:space="preserve">przekazywane KE były ujednolicone i spójne. Uzgodniono geometryczną reprezentację </w:t>
      </w:r>
      <w:r w:rsidR="00DF005E">
        <w:t>JCWP</w:t>
      </w:r>
      <w:r w:rsidRPr="00795F17">
        <w:t xml:space="preserve"> oraz</w:t>
      </w:r>
      <w:r w:rsidR="008651C2">
        <w:t> </w:t>
      </w:r>
      <w:r w:rsidRPr="00795F17">
        <w:t xml:space="preserve">uzgodniono, że </w:t>
      </w:r>
      <w:r w:rsidR="00DF005E">
        <w:t>JCWP</w:t>
      </w:r>
      <w:r w:rsidRPr="00795F17">
        <w:t xml:space="preserve"> biegnące po granicy państwa będą raportowane przez kraje członkowskie niezależnie. Ustalono również, że charakterystyki dla wspólnych, zharmonizowanych geometrycznie </w:t>
      </w:r>
      <w:r w:rsidR="00DF005E">
        <w:t>JCWP</w:t>
      </w:r>
      <w:r w:rsidRPr="00795F17">
        <w:t xml:space="preserve"> zostaną uzgodnione na etapie konsultacji obecnych projektów planów gospodarowania wodami. </w:t>
      </w:r>
    </w:p>
    <w:p w14:paraId="7093DEE7" w14:textId="77777777" w:rsidR="00085669" w:rsidRPr="00795F17" w:rsidRDefault="00085669" w:rsidP="0044393D">
      <w:pPr>
        <w:pStyle w:val="Nagwek5"/>
      </w:pPr>
      <w:r w:rsidRPr="00795F17">
        <w:t>Współpraca na rzecz ochrony środowiska morskiego Morza Bałtyckiego</w:t>
      </w:r>
    </w:p>
    <w:p w14:paraId="73DB3774" w14:textId="0F78B849" w:rsidR="00085669" w:rsidRPr="00795F17" w:rsidRDefault="00085669" w:rsidP="0044393D">
      <w:r w:rsidRPr="00795F17">
        <w:t>Komisja Ochrony Środowiska Morskiego Bałtyku (Komisja Helsińska, HELCOM) jest organizacją międzynarodową powołaną w ramach Konwencji o ochronie środowiska morskiego obszaru Morza Bałtyckiego</w:t>
      </w:r>
      <w:r w:rsidR="00E704B0" w:rsidRPr="00C52FBD">
        <w:t>, sporządzonej dnia 22 marca 1974 r. (Dz. U. z 1980 r. poz. 64)</w:t>
      </w:r>
      <w:r w:rsidR="00CB1CBF">
        <w:t>,</w:t>
      </w:r>
      <w:r w:rsidR="00E704B0" w:rsidRPr="00C52FBD">
        <w:t xml:space="preserve"> a następnie zaaktualizowanej 9 kwietnia 1992 r. celem uwzględnienia zmian geopolitycznych oraz pojawiających się wyzwań środowiskowych. Sygnatariuszami zaaktualizowanej Konwencji Helsińskiej były wszystkie państwa położone w obrębie basenu Morza Bałtyckiego: Dania, Estonia, Finlandia, Niemcy, Łotwa, Litwa, Polska, Rosja, Szwecja, a także Unia Europejska. Zaktuaalizowana Konwencja Helsińska została </w:t>
      </w:r>
      <w:r w:rsidR="00E704B0" w:rsidRPr="009F7F19">
        <w:rPr>
          <w:rFonts w:asciiTheme="minorHAnsi" w:hAnsiTheme="minorHAnsi" w:cstheme="minorHAnsi"/>
        </w:rPr>
        <w:t xml:space="preserve">ratyfikowana przez Polskę dnia </w:t>
      </w:r>
      <w:r w:rsidR="00E704B0" w:rsidRPr="009F7F19">
        <w:rPr>
          <w:rFonts w:asciiTheme="minorHAnsi" w:hAnsiTheme="minorHAnsi" w:cstheme="minorHAnsi"/>
          <w:sz w:val="20"/>
          <w:szCs w:val="20"/>
        </w:rPr>
        <w:t>8 października 1999 r.</w:t>
      </w:r>
      <w:r w:rsidR="00116A0D">
        <w:rPr>
          <w:rFonts w:asciiTheme="minorHAnsi" w:hAnsiTheme="minorHAnsi" w:cstheme="minorHAnsi"/>
          <w:sz w:val="20"/>
          <w:szCs w:val="20"/>
        </w:rPr>
        <w:t>,</w:t>
      </w:r>
      <w:r w:rsidR="00E704B0" w:rsidRPr="00C52FBD">
        <w:t xml:space="preserve"> wchodząc w życie w dniu 17 stycznia 2000 r. (Dz. U. z 2000 r. poz. 346). </w:t>
      </w:r>
      <w:r w:rsidRPr="00795F17">
        <w:t xml:space="preserve">. </w:t>
      </w:r>
    </w:p>
    <w:p w14:paraId="30B35546" w14:textId="254284B0" w:rsidR="0095585A" w:rsidRDefault="0095585A" w:rsidP="0044393D">
      <w:r w:rsidRPr="00E87CBD">
        <w:t>Celem Konwencji jest ochrona środowiska morskiego Bałtyku – wód, dna, zasobów żywych – przed zanieczyszczeniami ze wszystkich źródeł – z lądu, działalności morskiej i atmosfery.</w:t>
      </w:r>
    </w:p>
    <w:p w14:paraId="3BEB60F1" w14:textId="30F48C33" w:rsidR="00085669" w:rsidRPr="00795F17" w:rsidRDefault="00085669" w:rsidP="0044393D">
      <w:r w:rsidRPr="00795F17">
        <w:t>Członkostwo Polski w Komisji Helsińskiej wiąże się z udziałem w pracach poszczególnych grup roboczych, eksperckich, korespondencyjnych oraz projektach HELCOM, sporządzaniem opracowań i</w:t>
      </w:r>
      <w:r w:rsidR="008308AA" w:rsidRPr="00795F17">
        <w:t> </w:t>
      </w:r>
      <w:r w:rsidRPr="00795F17">
        <w:t>ekspertyz, a także przekazywaniem informacji o stanie środowiska i zanieczyszczeniach zrzucanych do</w:t>
      </w:r>
      <w:r w:rsidR="008308AA" w:rsidRPr="00795F17">
        <w:t> </w:t>
      </w:r>
      <w:r w:rsidRPr="00795F17">
        <w:t>morza. Dane te są następnie analizowane i na ich podstawie opracowywane są zalecenia skierowane do państw członkowskich, zobowiązujące je do działań, mających na celu ochronę obszaru Morza Bałtyckiego. Państwa-strony wprowadzają zalecenia Komisji Helsińskiej w postaci odpowiednich działań prawno-administracyjnych, inwestycyjnych, edukacyjno-szkoleniowych, kontrolnych, monitoringowych i innych. HELCOM jednomyślnie przyjmuje zalecenia odnośnie ochrony środowiska morskiego Morza Bałtyckiego, które to następnie powinny znaleźć swoje odzwierciedlenie w</w:t>
      </w:r>
      <w:r w:rsidR="008308AA" w:rsidRPr="00795F17">
        <w:t> </w:t>
      </w:r>
      <w:r w:rsidRPr="00795F17">
        <w:t>programach krajowych oraz legislacji państw-stron Konwencji. Działania podejmowane w ramach HELCOM dotyczą zarówno wód morskich, jak również całej zlewni Morza Bałtyckiego, do której należy 99,7% powierzchni Polski.</w:t>
      </w:r>
    </w:p>
    <w:p w14:paraId="4FF2C482" w14:textId="77777777" w:rsidR="00085669" w:rsidRPr="00795F17" w:rsidRDefault="00085669" w:rsidP="0044393D">
      <w:r w:rsidRPr="00795F17">
        <w:t xml:space="preserve">Komisja Helsińska jako organ wykonawczy funkcjonuje w oparciu o pięć grup stałych: </w:t>
      </w:r>
    </w:p>
    <w:p w14:paraId="2F698997" w14:textId="4DD81CFF" w:rsidR="00085669" w:rsidRPr="00795F17" w:rsidRDefault="00085669" w:rsidP="002757E9">
      <w:pPr>
        <w:pStyle w:val="Numerowanie"/>
        <w:numPr>
          <w:ilvl w:val="0"/>
          <w:numId w:val="68"/>
        </w:numPr>
        <w:ind w:left="426" w:hanging="426"/>
      </w:pPr>
      <w:r w:rsidRPr="00865193">
        <w:rPr>
          <w:b/>
        </w:rPr>
        <w:t>GEAR</w:t>
      </w:r>
      <w:r w:rsidRPr="00795F17">
        <w:t xml:space="preserve"> </w:t>
      </w:r>
      <w:r w:rsidR="00151B8A">
        <w:t>–</w:t>
      </w:r>
      <w:r w:rsidRPr="00795F17">
        <w:t xml:space="preserve"> grupa ds. wdrażania podejścia ekosystemowego i regionalnej współpracy we wszystkich elementach krajowych strategii morskich,</w:t>
      </w:r>
    </w:p>
    <w:p w14:paraId="7ED041F0" w14:textId="76DD31FC" w:rsidR="00085669" w:rsidRPr="00795F17" w:rsidRDefault="00085669" w:rsidP="002757E9">
      <w:pPr>
        <w:pStyle w:val="Numerowanie"/>
        <w:numPr>
          <w:ilvl w:val="0"/>
          <w:numId w:val="68"/>
        </w:numPr>
        <w:ind w:left="426" w:hanging="426"/>
      </w:pPr>
      <w:r w:rsidRPr="00865193">
        <w:rPr>
          <w:b/>
        </w:rPr>
        <w:t>STATE AND CONSERVATION</w:t>
      </w:r>
      <w:r w:rsidRPr="00795F17">
        <w:t xml:space="preserve"> </w:t>
      </w:r>
      <w:r w:rsidR="00151B8A">
        <w:t>–</w:t>
      </w:r>
      <w:r w:rsidRPr="00795F17">
        <w:t xml:space="preserve"> grupa ds. stanu środowiska i ochrony przyrody,</w:t>
      </w:r>
    </w:p>
    <w:p w14:paraId="167E9D76" w14:textId="1ED3781A" w:rsidR="00085669" w:rsidRPr="00795F17" w:rsidRDefault="00085669" w:rsidP="002757E9">
      <w:pPr>
        <w:pStyle w:val="Numerowanie"/>
        <w:numPr>
          <w:ilvl w:val="0"/>
          <w:numId w:val="68"/>
        </w:numPr>
        <w:ind w:left="426" w:hanging="426"/>
      </w:pPr>
      <w:r w:rsidRPr="00865193">
        <w:rPr>
          <w:b/>
        </w:rPr>
        <w:t>PRESSURE</w:t>
      </w:r>
      <w:r w:rsidRPr="00795F17">
        <w:t xml:space="preserve"> </w:t>
      </w:r>
      <w:r w:rsidR="00151B8A">
        <w:t>–</w:t>
      </w:r>
      <w:r w:rsidRPr="00795F17">
        <w:t xml:space="preserve"> grupa ds. minimalizacji presji od strony lądu i morza na stan środowiska Morza Bałtyckiego,</w:t>
      </w:r>
    </w:p>
    <w:p w14:paraId="126B625B" w14:textId="31B3321F" w:rsidR="00085669" w:rsidRPr="00795F17" w:rsidRDefault="00085669" w:rsidP="002757E9">
      <w:pPr>
        <w:pStyle w:val="Numerowanie"/>
        <w:numPr>
          <w:ilvl w:val="0"/>
          <w:numId w:val="68"/>
        </w:numPr>
        <w:ind w:left="426" w:hanging="426"/>
      </w:pPr>
      <w:r w:rsidRPr="00865193">
        <w:rPr>
          <w:b/>
        </w:rPr>
        <w:t>MARITIME</w:t>
      </w:r>
      <w:r w:rsidRPr="00795F17">
        <w:t xml:space="preserve"> </w:t>
      </w:r>
      <w:r w:rsidR="00151B8A">
        <w:t>–</w:t>
      </w:r>
      <w:r w:rsidRPr="00795F17">
        <w:t xml:space="preserve"> grupa ds. zapobiegania zanieczyszczeniom ze statków,</w:t>
      </w:r>
    </w:p>
    <w:p w14:paraId="3CA8F029" w14:textId="42969D56" w:rsidR="00085669" w:rsidRPr="00795F17" w:rsidRDefault="00085669" w:rsidP="002757E9">
      <w:pPr>
        <w:pStyle w:val="Numerowanie"/>
        <w:numPr>
          <w:ilvl w:val="0"/>
          <w:numId w:val="68"/>
        </w:numPr>
        <w:ind w:left="426" w:hanging="426"/>
      </w:pPr>
      <w:r w:rsidRPr="00865193">
        <w:rPr>
          <w:b/>
        </w:rPr>
        <w:t>RESPONSE</w:t>
      </w:r>
      <w:r w:rsidRPr="00795F17">
        <w:t xml:space="preserve"> </w:t>
      </w:r>
      <w:r w:rsidR="00151B8A">
        <w:t>–</w:t>
      </w:r>
      <w:r w:rsidRPr="00795F17">
        <w:t xml:space="preserve"> grupa ds. reagowania na zanieczyszczenia Morza Bałtyckiego,</w:t>
      </w:r>
    </w:p>
    <w:p w14:paraId="38122A17" w14:textId="77777777" w:rsidR="00085669" w:rsidRPr="00795F17" w:rsidRDefault="00085669" w:rsidP="0044393D">
      <w:r w:rsidRPr="00795F17">
        <w:t xml:space="preserve">a także trzy grupy tymczasowe uzupełniające pracę grup stałych: </w:t>
      </w:r>
    </w:p>
    <w:p w14:paraId="2BE57BFD" w14:textId="271ED06C" w:rsidR="00085669" w:rsidRPr="00795F17" w:rsidRDefault="00085669" w:rsidP="002757E9">
      <w:pPr>
        <w:pStyle w:val="Numerowanie"/>
        <w:numPr>
          <w:ilvl w:val="0"/>
          <w:numId w:val="69"/>
        </w:numPr>
        <w:ind w:left="426" w:hanging="426"/>
      </w:pPr>
      <w:r w:rsidRPr="00865193">
        <w:rPr>
          <w:b/>
        </w:rPr>
        <w:t>AGRI</w:t>
      </w:r>
      <w:r w:rsidRPr="00795F17">
        <w:t xml:space="preserve"> </w:t>
      </w:r>
      <w:r w:rsidR="00151B8A">
        <w:t>–</w:t>
      </w:r>
      <w:r w:rsidRPr="00795F17">
        <w:t xml:space="preserve"> grupa ds. zrównoważonego rolnictwa,</w:t>
      </w:r>
    </w:p>
    <w:p w14:paraId="1DD26544" w14:textId="642E9374" w:rsidR="00085669" w:rsidRPr="00795F17" w:rsidRDefault="00085669" w:rsidP="002757E9">
      <w:pPr>
        <w:pStyle w:val="Numerowanie"/>
        <w:numPr>
          <w:ilvl w:val="0"/>
          <w:numId w:val="69"/>
        </w:numPr>
        <w:ind w:left="426" w:hanging="426"/>
      </w:pPr>
      <w:r w:rsidRPr="00865193">
        <w:rPr>
          <w:b/>
        </w:rPr>
        <w:t>FISH</w:t>
      </w:r>
      <w:r w:rsidRPr="00795F17">
        <w:t xml:space="preserve"> </w:t>
      </w:r>
      <w:r w:rsidR="00151B8A">
        <w:t>–</w:t>
      </w:r>
      <w:r w:rsidRPr="00795F17">
        <w:t xml:space="preserve"> grupa ds. zrównoważonego rybołówstwa,</w:t>
      </w:r>
    </w:p>
    <w:p w14:paraId="2B8398B4" w14:textId="69DBA945" w:rsidR="00085669" w:rsidRPr="00795F17" w:rsidRDefault="00085669" w:rsidP="002757E9">
      <w:pPr>
        <w:pStyle w:val="Numerowanie"/>
        <w:numPr>
          <w:ilvl w:val="0"/>
          <w:numId w:val="69"/>
        </w:numPr>
        <w:ind w:left="426" w:hanging="426"/>
      </w:pPr>
      <w:r w:rsidRPr="00865193">
        <w:rPr>
          <w:b/>
        </w:rPr>
        <w:t>HELCOM- VASAB MSP</w:t>
      </w:r>
      <w:r w:rsidRPr="00795F17">
        <w:t xml:space="preserve"> </w:t>
      </w:r>
      <w:r w:rsidR="00151B8A">
        <w:t>–</w:t>
      </w:r>
      <w:r w:rsidRPr="00795F17">
        <w:t xml:space="preserve"> grupa ds. morskiego planowania przestrzennego. </w:t>
      </w:r>
    </w:p>
    <w:p w14:paraId="7285F14D" w14:textId="49FA91C3" w:rsidR="00085669" w:rsidRPr="00795F17" w:rsidRDefault="00085669" w:rsidP="0044393D">
      <w:bookmarkStart w:id="1061" w:name="_Toc51050180"/>
      <w:r w:rsidRPr="00795F17">
        <w:t>W ramach ww. grup funkcjonuje wiele podgrup, grup eksperckich i projektowych. Polska, poprzez prawie 100 przedstawicieli z różnych instytucji (m.in. ministerstw, instytutów, uczelni</w:t>
      </w:r>
      <w:r w:rsidR="002C34DA">
        <w:t xml:space="preserve">, </w:t>
      </w:r>
      <w:r w:rsidRPr="00795F17">
        <w:t>naukowych jednostek badawczych), aktywnie uczestniczy w pracach ponad 40 grup i projektów HELCOM.</w:t>
      </w:r>
    </w:p>
    <w:p w14:paraId="178714DB" w14:textId="77777777" w:rsidR="00085669" w:rsidRPr="00795F17" w:rsidRDefault="00085669" w:rsidP="0044393D">
      <w:r w:rsidRPr="00795F17">
        <w:t xml:space="preserve">W związku z przejęciem spraw związanych z członkostwem Polski w Komisji Helsińskiej przez ministra właściwego ds. gospodarki morskiej, aktualnie za prowadzenie obsługi Sekretariatu HELCOM w Polsce odpowiada Ministerstwo Infrastruktury. </w:t>
      </w:r>
    </w:p>
    <w:p w14:paraId="3437CF08" w14:textId="4F965F64" w:rsidR="00085669" w:rsidRPr="00D41D2D" w:rsidRDefault="00085669" w:rsidP="0044393D">
      <w:r w:rsidRPr="00795F17">
        <w:t>Najważniejszym dokumentem strategicznym HELCOM, który wyznacza zakres działań państw-stron Komisji Helsińskiej na rzecz ochrony środowiska morskiego jest Bałtycki Plan Działań (BSAP). Podjęcie prac nad sformułowaniem BSAP podyktowane było złym stanem wód Morza Bałtyckiego i</w:t>
      </w:r>
      <w:r w:rsidR="008308AA" w:rsidRPr="00795F17">
        <w:t> </w:t>
      </w:r>
      <w:r w:rsidRPr="00795F17">
        <w:t xml:space="preserve">koniecznością ograniczenia ładunków związków fosforu i azotu oraz substancji niebezpiecznych odprowadzanych do tych wód głównie z </w:t>
      </w:r>
      <w:r w:rsidRPr="00D41D2D">
        <w:t xml:space="preserve">lądu. Plan zakłada osiągnięcie dobrego stanu ekologicznego Bałtyku do 2021 r. Główne kierunki działań ujęto w czterech segmentach: eutrofizacja, substancje niebezpieczne, różnorodność biologiczna i ochrona przyrody oraz działalność na morzu. Plan został przyjęty przez wszystkie dziewięć państw członkowskich i Unię Europejską na spotkaniu ministerialnym HELCOM w listopadzie 2007 r. w Krakowie. </w:t>
      </w:r>
    </w:p>
    <w:p w14:paraId="0278BA25" w14:textId="079DC8FA" w:rsidR="005F65CE" w:rsidRPr="00D41D2D" w:rsidRDefault="005F65CE" w:rsidP="005F65CE">
      <w:r>
        <w:t>W związku z nieosiągnięciem zaplanowanych celów oraz pojawieniem się nowego typu zagrożeń dla stanu środowiska Morza Bałtyckiego (tj. kwestii podwodnego hałasu oraz zmian klimatycznych) w 2021 r. przyjęto zaktualizowany Bałtycki Plan Działania jako dokument programowy stanowiący narzędzie do przywrócenia dobrego stanu środowiska Morza Bałtyckiego. BSAP to zbiór około 200 działań wypracowanych we współpracy ze stronami Konwencji o Ochronie Środowiska Morskiego Bałtyku ujętych w główne segmenty: bioróżnorodność, eutrofizacja, substancje niebezpieczne i śmieci, działania na morzu oraz działania horyzontalne. Zaktualizowany Bałtycki Plan Działania został opracowany w oparciu o najnowszą wiedzę naukową. Wskazując wizję oraz obszary działania, wyznacza on cele do osiągnięcia przez strony HELCOM w perspektywie do 2030 r. w zakresie ochrony środowiska Morza Bałtyckiego zgodnie z zasadą rozwoju zrównoważonego</w:t>
      </w:r>
    </w:p>
    <w:p w14:paraId="44CC8FB6" w14:textId="5B66BC85" w:rsidR="00056449" w:rsidRPr="00795F17" w:rsidRDefault="00056449" w:rsidP="0044393D">
      <w:r w:rsidRPr="00795F17">
        <w:br w:type="page"/>
      </w:r>
    </w:p>
    <w:p w14:paraId="2F41DD5F" w14:textId="7A2921CF" w:rsidR="00332A4E" w:rsidRPr="00795F17" w:rsidRDefault="00332A4E" w:rsidP="00BA6B41">
      <w:pPr>
        <w:pStyle w:val="Nagwek1"/>
      </w:pPr>
      <w:bookmarkStart w:id="1062" w:name="_Toc66272304"/>
      <w:bookmarkStart w:id="1063" w:name="_Toc105512744"/>
      <w:r w:rsidRPr="00795F17">
        <w:t>Podsumowanie wszelkich zmian lub uaktualnień dokonanych od dnia ogłoszenia poprzedniego planu gospodarowania wodami na obszarze dorzecza</w:t>
      </w:r>
      <w:bookmarkEnd w:id="1061"/>
      <w:bookmarkEnd w:id="1062"/>
      <w:bookmarkEnd w:id="1063"/>
    </w:p>
    <w:p w14:paraId="4CCB8951" w14:textId="76A6154D" w:rsidR="005E5391" w:rsidRPr="00795F17" w:rsidRDefault="005E5391" w:rsidP="0044393D">
      <w:r w:rsidRPr="00795F17">
        <w:t>III cykl planistyczny (2016</w:t>
      </w:r>
      <w:r w:rsidR="00151B8A">
        <w:t>–</w:t>
      </w:r>
      <w:r w:rsidRPr="00795F17">
        <w:t>2021) był szczególnie istotny dla gospodarki wodnej w Polsce, ponieważ 20</w:t>
      </w:r>
      <w:r w:rsidR="00842ABE">
        <w:t> </w:t>
      </w:r>
      <w:r w:rsidRPr="00795F17">
        <w:t xml:space="preserve">lipca 2017 r. przyjęto nową pr.w. (obowiązującą od 1 stycznia 2018 r.), która wprowadziła szereg znaczących zmian w tej dziedzinie. </w:t>
      </w:r>
    </w:p>
    <w:p w14:paraId="375FBC7F" w14:textId="0D9C101C" w:rsidR="005E5391" w:rsidRPr="00795F17" w:rsidRDefault="005E5391" w:rsidP="0044393D">
      <w:r w:rsidRPr="00795F17">
        <w:t xml:space="preserve">Niniejszy rozdział przedstawia podsumowanie wszelkich zmian lub uaktualnień dokonanych od dnia ogłoszenia poprzedniego planu gospodarowania wodami na obszarze dorzecza </w:t>
      </w:r>
      <w:r w:rsidR="00D635B0" w:rsidRPr="00795F17">
        <w:t>Odry</w:t>
      </w:r>
      <w:r w:rsidRPr="00795F17">
        <w:t xml:space="preserve"> wskazując odwołanie do rozdziału IIaPGW</w:t>
      </w:r>
      <w:r w:rsidR="00842ABE">
        <w:t>,</w:t>
      </w:r>
      <w:r w:rsidRPr="00795F17">
        <w:t xml:space="preserve"> w którym dane zmiany opisane są szczegółowo.</w:t>
      </w:r>
    </w:p>
    <w:p w14:paraId="6ECF2655" w14:textId="5C8C2FD2" w:rsidR="005E5391" w:rsidRPr="00795F17" w:rsidRDefault="005E5391" w:rsidP="0044393D">
      <w:r w:rsidRPr="00795F17">
        <w:t xml:space="preserve">Podstawowa zmiana dokonana pr.w. dotyczyła struktury zarządzania gospodarką wodną </w:t>
      </w:r>
      <w:r w:rsidR="00151B8A">
        <w:t>–</w:t>
      </w:r>
      <w:r w:rsidRPr="00795F17">
        <w:t xml:space="preserve"> nastąpiły zmiany o charakterze instytucjonalnym, zapewniono całkowitą zgodność z prawem UE (w</w:t>
      </w:r>
      <w:r w:rsidR="00A10B90" w:rsidRPr="00795F17">
        <w:t> </w:t>
      </w:r>
      <w:r w:rsidRPr="00795F17">
        <w:t>tym przede wszystkim z RDW) oraz wprowadzono wiele instrumentów pozwalających na racjonalne korzystanie z zasobów wodnych, z uwzględnieniem zwrotu kosztów za usługi wodne. Opis zmian w</w:t>
      </w:r>
      <w:r w:rsidR="00A10B90" w:rsidRPr="00795F17">
        <w:t> </w:t>
      </w:r>
      <w:r w:rsidRPr="00795F17">
        <w:t>zakresie organów właściwych w sprawach gospodarowania wodami zawiera rozdział 21 IIaPGW.</w:t>
      </w:r>
    </w:p>
    <w:p w14:paraId="1BFE6EB0" w14:textId="77777777" w:rsidR="005E5391" w:rsidRPr="00795F17" w:rsidRDefault="005E5391" w:rsidP="0044393D">
      <w:r w:rsidRPr="00795F17">
        <w:t xml:space="preserve">Wszystkie niezbędne dokumentacje planistyczne opracowane zostały na podstawie zaktualizowanych metodyk, uwzględniających najnowsze dostępne dane i informacje. Prace planistyczne wykonywano zgodnie z wytycznymi KE, bazując na doświadczeniach z kilkunastoletniego wdrażania RDW. Zakresy zmiany dotyczących metodyk przedstawione zostały w odpowiednich dla danego zagadnienia rozdziałach IIaPGW. </w:t>
      </w:r>
    </w:p>
    <w:p w14:paraId="0AE90752" w14:textId="43C95E76" w:rsidR="005E5391" w:rsidRPr="00795F17" w:rsidRDefault="005E5391" w:rsidP="0044393D">
      <w:r w:rsidRPr="00795F17">
        <w:t>Pozostałymi zmianami wprowadzonymi w III cyklu planistycznym (2016</w:t>
      </w:r>
      <w:r w:rsidR="00151B8A">
        <w:t>–</w:t>
      </w:r>
      <w:r w:rsidRPr="00795F17">
        <w:t>2021) są:</w:t>
      </w:r>
    </w:p>
    <w:p w14:paraId="28CA7CCD" w14:textId="09136714" w:rsidR="005E5391" w:rsidRPr="00795F17" w:rsidRDefault="00E568FE" w:rsidP="005635FD">
      <w:pPr>
        <w:pStyle w:val="Numerowanie"/>
        <w:numPr>
          <w:ilvl w:val="0"/>
          <w:numId w:val="86"/>
        </w:numPr>
      </w:pPr>
      <w:r>
        <w:t>z</w:t>
      </w:r>
      <w:r w:rsidR="005E5391" w:rsidRPr="00795F17">
        <w:t xml:space="preserve">miana obszarów dorzeczy </w:t>
      </w:r>
      <w:r w:rsidR="00151B8A">
        <w:t>–</w:t>
      </w:r>
      <w:r w:rsidR="005E5391" w:rsidRPr="00795F17">
        <w:t xml:space="preserve"> plany gospodarowania wodami opracowane zostały dla 9</w:t>
      </w:r>
      <w:r w:rsidR="00A10B90" w:rsidRPr="00795F17">
        <w:t> </w:t>
      </w:r>
      <w:r w:rsidR="005E5391" w:rsidRPr="00795F17">
        <w:t xml:space="preserve">obszarów dorzeczy, a nie jak dotychczas dla 10. </w:t>
      </w:r>
      <w:r w:rsidR="004E056A" w:rsidRPr="00795F17">
        <w:t xml:space="preserve">Do obszaru dorzecza Odry włączony został dodatkowo obszar dorzecza </w:t>
      </w:r>
      <w:r w:rsidR="00C34143" w:rsidRPr="00795F17">
        <w:t>Ücker</w:t>
      </w:r>
      <w:r w:rsidR="004E056A" w:rsidRPr="00795F17">
        <w:t>, który w cyklu planistycznym 2016</w:t>
      </w:r>
      <w:r w:rsidR="00151B8A">
        <w:t>–</w:t>
      </w:r>
      <w:r w:rsidR="004E056A" w:rsidRPr="00795F17">
        <w:t xml:space="preserve">2021 stanowił odrębny obszar dorzecza, dla którego opracowywany był plan gospodarowania wodami. </w:t>
      </w:r>
      <w:r w:rsidR="005E5391" w:rsidRPr="00795F17">
        <w:t xml:space="preserve">W przypadku obszaru dorzecza nastąpiła również zmiana regionów wodnych obszaru dorzecza. W wyniku dokonanego podziału </w:t>
      </w:r>
      <w:r w:rsidR="00C41311" w:rsidRPr="00795F17">
        <w:t xml:space="preserve">obszar dorzecza Odry obejmuje 5 regionów wodnych. </w:t>
      </w:r>
      <w:r w:rsidR="005E5391" w:rsidRPr="00795F17">
        <w:t>Zmiana wprowadzona pr.w.</w:t>
      </w:r>
      <w:r>
        <w:t>;</w:t>
      </w:r>
    </w:p>
    <w:p w14:paraId="7B229E29" w14:textId="2799AFF6" w:rsidR="005E5391" w:rsidRPr="00795F17" w:rsidRDefault="00E568FE" w:rsidP="005635FD">
      <w:pPr>
        <w:pStyle w:val="Numerowanie"/>
        <w:numPr>
          <w:ilvl w:val="0"/>
          <w:numId w:val="86"/>
        </w:numPr>
      </w:pPr>
      <w:r>
        <w:t>w</w:t>
      </w:r>
      <w:r w:rsidR="005E5391" w:rsidRPr="00795F17">
        <w:t>eryfikacja i aktualizacja jednostek planistycznych:</w:t>
      </w:r>
    </w:p>
    <w:p w14:paraId="7A1A74FD" w14:textId="236A0F94" w:rsidR="005E5391" w:rsidRDefault="005E5391" w:rsidP="00117E86">
      <w:pPr>
        <w:pStyle w:val="Listapunktowana2"/>
      </w:pPr>
      <w:r w:rsidRPr="00795F17">
        <w:t xml:space="preserve">wprowadzenie nowego wykazu </w:t>
      </w:r>
      <w:r w:rsidR="00DF005E">
        <w:t>JCWP</w:t>
      </w:r>
      <w:r w:rsidR="00151B8A">
        <w:t xml:space="preserve"> –</w:t>
      </w:r>
      <w:r w:rsidRPr="00795F17">
        <w:t xml:space="preserve"> jako wynik weryfikacji i aktualizacji granic zlewni </w:t>
      </w:r>
      <w:r w:rsidR="00DF005E">
        <w:t>JCWP</w:t>
      </w:r>
      <w:r w:rsidRPr="00795F17">
        <w:t xml:space="preserve"> oraz weryfikacji i aktualizacji typologii wód wraz z określeniem warunków referencyjnych dla nowych typów wód.</w:t>
      </w:r>
      <w:r w:rsidR="00E6142D" w:rsidRPr="00795F17">
        <w:t xml:space="preserve"> Porównanie liczby </w:t>
      </w:r>
      <w:r w:rsidR="00DF005E">
        <w:t>JCWP</w:t>
      </w:r>
      <w:r w:rsidR="00E6142D" w:rsidRPr="00795F17">
        <w:t xml:space="preserve"> danej kategorii i o danym statusie </w:t>
      </w:r>
      <w:r w:rsidR="00442820">
        <w:t>według</w:t>
      </w:r>
      <w:r w:rsidR="00E6142D" w:rsidRPr="00795F17">
        <w:t xml:space="preserve"> aPGW i</w:t>
      </w:r>
      <w:r w:rsidR="002C1BC3" w:rsidRPr="00795F17">
        <w:t> </w:t>
      </w:r>
      <w:r w:rsidR="00E6142D" w:rsidRPr="00795F17">
        <w:t>IIaPGW przedstawia poniższa tabela (tabela 23-1)</w:t>
      </w:r>
      <w:r w:rsidR="00E568FE">
        <w:t>;</w:t>
      </w:r>
    </w:p>
    <w:p w14:paraId="087ACC20" w14:textId="77777777" w:rsidR="00D33134" w:rsidRPr="00D33134" w:rsidRDefault="00D33134" w:rsidP="00D33134"/>
    <w:p w14:paraId="7C11EB37" w14:textId="77777777" w:rsidR="00CD4C71" w:rsidRPr="00D33134" w:rsidRDefault="00CD4C71" w:rsidP="00D33134">
      <w:pPr>
        <w:sectPr w:rsidR="00CD4C71" w:rsidRPr="00D33134" w:rsidSect="00332A4E">
          <w:headerReference w:type="even" r:id="rId167"/>
          <w:headerReference w:type="default" r:id="rId168"/>
          <w:headerReference w:type="first" r:id="rId169"/>
          <w:pgSz w:w="11906" w:h="16838"/>
          <w:pgMar w:top="1417" w:right="1417" w:bottom="1417" w:left="1417" w:header="708" w:footer="708" w:gutter="0"/>
          <w:cols w:space="708"/>
        </w:sectPr>
      </w:pPr>
    </w:p>
    <w:p w14:paraId="58516778" w14:textId="418561A4" w:rsidR="00E6142D" w:rsidRPr="00795F17" w:rsidRDefault="00E6142D" w:rsidP="004D7705">
      <w:pPr>
        <w:pStyle w:val="Tabela"/>
      </w:pPr>
      <w:bookmarkStart w:id="1064" w:name="_Toc105512917"/>
      <w:r w:rsidRPr="00795F17">
        <w:t xml:space="preserve">Tabela </w:t>
      </w:r>
      <w:fldSimple w:instr=" STYLEREF 1 \s ">
        <w:r w:rsidR="001F774D">
          <w:rPr>
            <w:noProof/>
          </w:rPr>
          <w:t>23</w:t>
        </w:r>
      </w:fldSimple>
      <w:r w:rsidR="00BB3B21" w:rsidRPr="00795F17">
        <w:noBreakHyphen/>
      </w:r>
      <w:fldSimple w:instr=" SEQ Tabela \* ARABIC \s 1 ">
        <w:r w:rsidR="001F774D">
          <w:rPr>
            <w:noProof/>
          </w:rPr>
          <w:t>1</w:t>
        </w:r>
      </w:fldSimple>
      <w:r w:rsidR="00802C92">
        <w:rPr>
          <w:noProof/>
        </w:rPr>
        <w:t>.</w:t>
      </w:r>
      <w:r w:rsidRPr="00795F17">
        <w:tab/>
      </w:r>
      <w:r w:rsidRPr="005842B5">
        <w:t xml:space="preserve">Porównanie liczby </w:t>
      </w:r>
      <w:r w:rsidR="00DF005E">
        <w:t>JCWP</w:t>
      </w:r>
      <w:r w:rsidRPr="005842B5">
        <w:t xml:space="preserve"> danej kategorii i</w:t>
      </w:r>
      <w:r w:rsidR="00026D84" w:rsidRPr="005842B5">
        <w:t xml:space="preserve"> </w:t>
      </w:r>
      <w:r w:rsidRPr="005842B5">
        <w:t xml:space="preserve">o danym statusie </w:t>
      </w:r>
      <w:r w:rsidR="00442820" w:rsidRPr="005842B5">
        <w:t>według</w:t>
      </w:r>
      <w:r w:rsidRPr="005842B5">
        <w:t> aPGW</w:t>
      </w:r>
      <w:r w:rsidR="00026D84" w:rsidRPr="005842B5">
        <w:t xml:space="preserve"> </w:t>
      </w:r>
      <w:r w:rsidRPr="005842B5">
        <w:t>i</w:t>
      </w:r>
      <w:r w:rsidR="00026D84" w:rsidRPr="005842B5">
        <w:t xml:space="preserve"> </w:t>
      </w:r>
      <w:r w:rsidRPr="005842B5">
        <w:t>IIaPGW</w:t>
      </w:r>
      <w:bookmarkEnd w:id="10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7"/>
        <w:gridCol w:w="1894"/>
        <w:gridCol w:w="1683"/>
        <w:gridCol w:w="1089"/>
        <w:gridCol w:w="955"/>
        <w:gridCol w:w="1417"/>
        <w:gridCol w:w="1014"/>
        <w:gridCol w:w="1014"/>
        <w:gridCol w:w="1014"/>
        <w:gridCol w:w="1014"/>
        <w:gridCol w:w="1008"/>
      </w:tblGrid>
      <w:tr w:rsidR="00E6142D" w:rsidRPr="00795F17" w14:paraId="49E7D6A8" w14:textId="77777777" w:rsidTr="00CD4C71">
        <w:trPr>
          <w:trHeight w:val="397"/>
          <w:tblHeader/>
        </w:trPr>
        <w:tc>
          <w:tcPr>
            <w:tcW w:w="678" w:type="pct"/>
            <w:tcBorders>
              <w:top w:val="nil"/>
              <w:left w:val="nil"/>
              <w:bottom w:val="single" w:sz="4" w:space="0" w:color="auto"/>
              <w:right w:val="nil"/>
            </w:tcBorders>
            <w:vAlign w:val="center"/>
            <w:hideMark/>
          </w:tcPr>
          <w:p w14:paraId="00457B26" w14:textId="53620EDD" w:rsidR="00E6142D" w:rsidRPr="00795F17" w:rsidRDefault="00E6142D" w:rsidP="001E0B2C">
            <w:pPr>
              <w:pStyle w:val="Teksttabelisrodek"/>
              <w:rPr>
                <w:szCs w:val="20"/>
              </w:rPr>
            </w:pPr>
          </w:p>
        </w:tc>
        <w:tc>
          <w:tcPr>
            <w:tcW w:w="677" w:type="pct"/>
            <w:tcBorders>
              <w:top w:val="nil"/>
              <w:left w:val="nil"/>
              <w:bottom w:val="single" w:sz="4" w:space="0" w:color="auto"/>
              <w:right w:val="single" w:sz="4" w:space="0" w:color="auto"/>
            </w:tcBorders>
            <w:vAlign w:val="center"/>
            <w:hideMark/>
          </w:tcPr>
          <w:p w14:paraId="0492237F" w14:textId="73E10355" w:rsidR="00E6142D" w:rsidRPr="00795F17" w:rsidRDefault="00E6142D" w:rsidP="001E0B2C">
            <w:pPr>
              <w:pStyle w:val="Teksttabelisrodek"/>
              <w:rPr>
                <w:szCs w:val="20"/>
              </w:rPr>
            </w:pPr>
          </w:p>
        </w:tc>
        <w:tc>
          <w:tcPr>
            <w:tcW w:w="601" w:type="pct"/>
            <w:tcBorders>
              <w:left w:val="single" w:sz="4" w:space="0" w:color="auto"/>
            </w:tcBorders>
            <w:shd w:val="clear" w:color="auto" w:fill="BFBFBF" w:themeFill="background1" w:themeFillShade="BF"/>
            <w:vAlign w:val="center"/>
            <w:hideMark/>
          </w:tcPr>
          <w:p w14:paraId="75686593" w14:textId="3443E6A8" w:rsidR="00E6142D" w:rsidRPr="00795F17" w:rsidRDefault="00E6142D" w:rsidP="001E0B2C">
            <w:pPr>
              <w:pStyle w:val="Teksttabelinaglowek"/>
              <w:rPr>
                <w:szCs w:val="20"/>
              </w:rPr>
            </w:pPr>
            <w:r w:rsidRPr="00795F17">
              <w:rPr>
                <w:szCs w:val="20"/>
              </w:rPr>
              <w:t>Wskazanie</w:t>
            </w:r>
            <w:r w:rsidRPr="00795F17">
              <w:rPr>
                <w:szCs w:val="20"/>
              </w:rPr>
              <w:br/>
              <w:t>aPGW, IIaPGW</w:t>
            </w:r>
          </w:p>
        </w:tc>
        <w:tc>
          <w:tcPr>
            <w:tcW w:w="389" w:type="pct"/>
            <w:shd w:val="clear" w:color="auto" w:fill="BFBFBF" w:themeFill="background1" w:themeFillShade="BF"/>
            <w:vAlign w:val="center"/>
            <w:hideMark/>
          </w:tcPr>
          <w:p w14:paraId="410DA795" w14:textId="41310C49" w:rsidR="00E6142D" w:rsidRPr="00795F17" w:rsidRDefault="00E6142D" w:rsidP="001E0B2C">
            <w:pPr>
              <w:pStyle w:val="Teksttabelinaglowek"/>
              <w:rPr>
                <w:szCs w:val="20"/>
              </w:rPr>
            </w:pPr>
            <w:r w:rsidRPr="00795F17">
              <w:rPr>
                <w:szCs w:val="20"/>
              </w:rPr>
              <w:t xml:space="preserve">Liczba </w:t>
            </w:r>
            <w:r w:rsidR="00DF005E">
              <w:rPr>
                <w:szCs w:val="20"/>
              </w:rPr>
              <w:t>JCWP</w:t>
            </w:r>
            <w:r w:rsidRPr="00795F17">
              <w:rPr>
                <w:szCs w:val="20"/>
              </w:rPr>
              <w:t xml:space="preserve"> ogółem</w:t>
            </w:r>
          </w:p>
        </w:tc>
        <w:tc>
          <w:tcPr>
            <w:tcW w:w="341" w:type="pct"/>
            <w:shd w:val="clear" w:color="auto" w:fill="BFBFBF" w:themeFill="background1" w:themeFillShade="BF"/>
            <w:vAlign w:val="center"/>
            <w:hideMark/>
          </w:tcPr>
          <w:p w14:paraId="43E2D778" w14:textId="533EF2EC" w:rsidR="00E6142D" w:rsidRPr="00795F17" w:rsidRDefault="00E6142D" w:rsidP="001E0B2C">
            <w:pPr>
              <w:pStyle w:val="Teksttabelinaglowek"/>
              <w:rPr>
                <w:szCs w:val="20"/>
              </w:rPr>
            </w:pPr>
            <w:r w:rsidRPr="00795F17">
              <w:rPr>
                <w:szCs w:val="20"/>
              </w:rPr>
              <w:t xml:space="preserve">Liczba </w:t>
            </w:r>
            <w:r w:rsidR="00DF005E">
              <w:rPr>
                <w:szCs w:val="20"/>
              </w:rPr>
              <w:t>JCWP</w:t>
            </w:r>
            <w:r w:rsidRPr="00795F17">
              <w:rPr>
                <w:szCs w:val="20"/>
              </w:rPr>
              <w:t xml:space="preserve"> RW</w:t>
            </w:r>
          </w:p>
        </w:tc>
        <w:tc>
          <w:tcPr>
            <w:tcW w:w="506" w:type="pct"/>
            <w:shd w:val="clear" w:color="auto" w:fill="BFBFBF" w:themeFill="background1" w:themeFillShade="BF"/>
            <w:vAlign w:val="center"/>
            <w:hideMark/>
          </w:tcPr>
          <w:p w14:paraId="7070F659" w14:textId="07C70BFE" w:rsidR="00E6142D" w:rsidRPr="00795F17" w:rsidRDefault="00E6142D" w:rsidP="001E0B2C">
            <w:pPr>
              <w:pStyle w:val="Teksttabelinaglowek"/>
              <w:rPr>
                <w:szCs w:val="20"/>
              </w:rPr>
            </w:pPr>
            <w:r w:rsidRPr="00795F17">
              <w:rPr>
                <w:szCs w:val="20"/>
              </w:rPr>
              <w:t xml:space="preserve">Liczba </w:t>
            </w:r>
            <w:r w:rsidR="00DF005E">
              <w:rPr>
                <w:szCs w:val="20"/>
              </w:rPr>
              <w:t>JCWP</w:t>
            </w:r>
            <w:r w:rsidRPr="00795F17">
              <w:rPr>
                <w:szCs w:val="20"/>
              </w:rPr>
              <w:t> RWr</w:t>
            </w:r>
          </w:p>
        </w:tc>
        <w:tc>
          <w:tcPr>
            <w:tcW w:w="362" w:type="pct"/>
            <w:shd w:val="clear" w:color="auto" w:fill="BFBFBF" w:themeFill="background1" w:themeFillShade="BF"/>
            <w:vAlign w:val="center"/>
            <w:hideMark/>
          </w:tcPr>
          <w:p w14:paraId="38A7B9C8" w14:textId="46B42B49" w:rsidR="00E6142D" w:rsidRPr="00795F17" w:rsidRDefault="00E6142D" w:rsidP="001E0B2C">
            <w:pPr>
              <w:pStyle w:val="Teksttabelinaglowek"/>
              <w:rPr>
                <w:szCs w:val="20"/>
              </w:rPr>
            </w:pPr>
            <w:r w:rsidRPr="00795F17">
              <w:rPr>
                <w:szCs w:val="20"/>
              </w:rPr>
              <w:t xml:space="preserve">Liczba </w:t>
            </w:r>
            <w:r w:rsidR="00DF005E">
              <w:rPr>
                <w:szCs w:val="20"/>
              </w:rPr>
              <w:t>JCWP</w:t>
            </w:r>
            <w:r w:rsidRPr="00795F17">
              <w:rPr>
                <w:szCs w:val="20"/>
              </w:rPr>
              <w:t xml:space="preserve"> LW</w:t>
            </w:r>
          </w:p>
        </w:tc>
        <w:tc>
          <w:tcPr>
            <w:tcW w:w="362" w:type="pct"/>
            <w:shd w:val="clear" w:color="auto" w:fill="BFBFBF" w:themeFill="background1" w:themeFillShade="BF"/>
            <w:vAlign w:val="center"/>
            <w:hideMark/>
          </w:tcPr>
          <w:p w14:paraId="158EF477" w14:textId="19AD208A" w:rsidR="00E6142D" w:rsidRPr="00795F17" w:rsidRDefault="00E6142D" w:rsidP="001E0B2C">
            <w:pPr>
              <w:pStyle w:val="Teksttabelinaglowek"/>
              <w:rPr>
                <w:szCs w:val="20"/>
              </w:rPr>
            </w:pPr>
            <w:r w:rsidRPr="00795F17">
              <w:rPr>
                <w:szCs w:val="20"/>
              </w:rPr>
              <w:t xml:space="preserve">Liczba </w:t>
            </w:r>
            <w:r w:rsidR="00DF005E">
              <w:rPr>
                <w:szCs w:val="20"/>
              </w:rPr>
              <w:t>JCWP</w:t>
            </w:r>
            <w:r w:rsidRPr="00795F17">
              <w:rPr>
                <w:szCs w:val="20"/>
              </w:rPr>
              <w:t xml:space="preserve"> TW i CW</w:t>
            </w:r>
          </w:p>
        </w:tc>
        <w:tc>
          <w:tcPr>
            <w:tcW w:w="362" w:type="pct"/>
            <w:shd w:val="clear" w:color="auto" w:fill="BFBFBF" w:themeFill="background1" w:themeFillShade="BF"/>
            <w:vAlign w:val="center"/>
            <w:hideMark/>
          </w:tcPr>
          <w:p w14:paraId="284545A9" w14:textId="48B09BDF" w:rsidR="00E6142D" w:rsidRPr="00795F17" w:rsidRDefault="00E6142D" w:rsidP="001E0B2C">
            <w:pPr>
              <w:pStyle w:val="Teksttabelinaglowek"/>
              <w:rPr>
                <w:szCs w:val="20"/>
              </w:rPr>
            </w:pPr>
            <w:r w:rsidRPr="00795F17">
              <w:rPr>
                <w:szCs w:val="20"/>
              </w:rPr>
              <w:t xml:space="preserve">Liczba </w:t>
            </w:r>
            <w:r w:rsidR="00DF005E">
              <w:rPr>
                <w:szCs w:val="20"/>
              </w:rPr>
              <w:t>JCWP</w:t>
            </w:r>
            <w:r w:rsidRPr="00795F17">
              <w:rPr>
                <w:szCs w:val="20"/>
              </w:rPr>
              <w:t xml:space="preserve"> NAT</w:t>
            </w:r>
          </w:p>
        </w:tc>
        <w:tc>
          <w:tcPr>
            <w:tcW w:w="362" w:type="pct"/>
            <w:shd w:val="clear" w:color="auto" w:fill="BFBFBF" w:themeFill="background1" w:themeFillShade="BF"/>
            <w:vAlign w:val="center"/>
            <w:hideMark/>
          </w:tcPr>
          <w:p w14:paraId="048E225D" w14:textId="7485D458" w:rsidR="00E6142D" w:rsidRPr="00795F17" w:rsidRDefault="00E6142D" w:rsidP="001E0B2C">
            <w:pPr>
              <w:pStyle w:val="Teksttabelinaglowek"/>
              <w:rPr>
                <w:szCs w:val="20"/>
              </w:rPr>
            </w:pPr>
            <w:r w:rsidRPr="00795F17">
              <w:rPr>
                <w:szCs w:val="20"/>
              </w:rPr>
              <w:t xml:space="preserve">Liczba </w:t>
            </w:r>
            <w:r w:rsidR="00DF005E">
              <w:rPr>
                <w:szCs w:val="20"/>
              </w:rPr>
              <w:t>JCWP</w:t>
            </w:r>
            <w:r w:rsidRPr="00795F17">
              <w:rPr>
                <w:szCs w:val="20"/>
              </w:rPr>
              <w:t xml:space="preserve"> SCW</w:t>
            </w:r>
          </w:p>
        </w:tc>
        <w:tc>
          <w:tcPr>
            <w:tcW w:w="360" w:type="pct"/>
            <w:shd w:val="clear" w:color="auto" w:fill="BFBFBF" w:themeFill="background1" w:themeFillShade="BF"/>
            <w:vAlign w:val="center"/>
            <w:hideMark/>
          </w:tcPr>
          <w:p w14:paraId="5BC90594" w14:textId="4DDE0744" w:rsidR="00E6142D" w:rsidRPr="00795F17" w:rsidRDefault="00E6142D" w:rsidP="001E0B2C">
            <w:pPr>
              <w:pStyle w:val="Teksttabelinaglowek"/>
              <w:rPr>
                <w:szCs w:val="20"/>
              </w:rPr>
            </w:pPr>
            <w:r w:rsidRPr="00795F17">
              <w:rPr>
                <w:szCs w:val="20"/>
              </w:rPr>
              <w:t xml:space="preserve">Liczba </w:t>
            </w:r>
            <w:r w:rsidR="00DF005E">
              <w:rPr>
                <w:szCs w:val="20"/>
              </w:rPr>
              <w:t>JCWP</w:t>
            </w:r>
            <w:r w:rsidRPr="00795F17">
              <w:rPr>
                <w:szCs w:val="20"/>
              </w:rPr>
              <w:t xml:space="preserve"> SZCW</w:t>
            </w:r>
          </w:p>
        </w:tc>
      </w:tr>
      <w:tr w:rsidR="00E6142D" w:rsidRPr="00795F17" w14:paraId="69FE7A0D" w14:textId="77777777" w:rsidTr="00CD4C71">
        <w:trPr>
          <w:trHeight w:val="397"/>
        </w:trPr>
        <w:tc>
          <w:tcPr>
            <w:tcW w:w="1355" w:type="pct"/>
            <w:gridSpan w:val="2"/>
            <w:tcBorders>
              <w:top w:val="single" w:sz="4" w:space="0" w:color="auto"/>
            </w:tcBorders>
            <w:shd w:val="clear" w:color="auto" w:fill="F2F2F2" w:themeFill="background1" w:themeFillShade="F2"/>
            <w:vAlign w:val="center"/>
            <w:hideMark/>
          </w:tcPr>
          <w:p w14:paraId="5E22C757" w14:textId="488D044B" w:rsidR="00E6142D" w:rsidRPr="00795F17" w:rsidRDefault="00E6142D" w:rsidP="001E0B2C">
            <w:pPr>
              <w:pStyle w:val="Teksttabelilewy"/>
              <w:rPr>
                <w:b/>
                <w:bCs/>
                <w:szCs w:val="20"/>
              </w:rPr>
            </w:pPr>
            <w:r w:rsidRPr="00795F17">
              <w:rPr>
                <w:b/>
                <w:bCs/>
                <w:szCs w:val="20"/>
              </w:rPr>
              <w:t xml:space="preserve">Obszar dorzecza Odry </w:t>
            </w:r>
            <w:r w:rsidR="00442820">
              <w:rPr>
                <w:b/>
                <w:bCs/>
                <w:szCs w:val="20"/>
              </w:rPr>
              <w:t>według</w:t>
            </w:r>
            <w:r w:rsidRPr="00795F17">
              <w:rPr>
                <w:b/>
                <w:bCs/>
                <w:szCs w:val="20"/>
              </w:rPr>
              <w:t xml:space="preserve"> aPGW</w:t>
            </w:r>
          </w:p>
        </w:tc>
        <w:tc>
          <w:tcPr>
            <w:tcW w:w="601" w:type="pct"/>
            <w:shd w:val="clear" w:color="auto" w:fill="F2F2F2" w:themeFill="background1" w:themeFillShade="F2"/>
            <w:vAlign w:val="center"/>
            <w:hideMark/>
          </w:tcPr>
          <w:p w14:paraId="77464C6A" w14:textId="6E3839E1" w:rsidR="00E6142D" w:rsidRPr="00795F17" w:rsidRDefault="00E6142D" w:rsidP="001E0B2C">
            <w:pPr>
              <w:pStyle w:val="Teksttabelilewy"/>
              <w:rPr>
                <w:szCs w:val="20"/>
              </w:rPr>
            </w:pPr>
            <w:r w:rsidRPr="00795F17">
              <w:rPr>
                <w:szCs w:val="20"/>
              </w:rPr>
              <w:t>aPGW</w:t>
            </w:r>
          </w:p>
        </w:tc>
        <w:tc>
          <w:tcPr>
            <w:tcW w:w="389" w:type="pct"/>
            <w:shd w:val="clear" w:color="auto" w:fill="F2F2F2" w:themeFill="background1" w:themeFillShade="F2"/>
            <w:vAlign w:val="center"/>
            <w:hideMark/>
          </w:tcPr>
          <w:p w14:paraId="5EEE695B" w14:textId="084AEE4F" w:rsidR="00E6142D" w:rsidRPr="00795F17" w:rsidRDefault="00E6142D" w:rsidP="001E0B2C">
            <w:pPr>
              <w:pStyle w:val="Teksttabelisrodek"/>
              <w:rPr>
                <w:b/>
                <w:bCs w:val="0"/>
                <w:szCs w:val="20"/>
              </w:rPr>
            </w:pPr>
            <w:r w:rsidRPr="00795F17">
              <w:rPr>
                <w:b/>
                <w:bCs w:val="0"/>
                <w:szCs w:val="20"/>
              </w:rPr>
              <w:t>2</w:t>
            </w:r>
            <w:r w:rsidR="004A34F1" w:rsidRPr="00795F17">
              <w:rPr>
                <w:b/>
                <w:bCs w:val="0"/>
                <w:szCs w:val="20"/>
              </w:rPr>
              <w:t> </w:t>
            </w:r>
            <w:r w:rsidRPr="00795F17">
              <w:rPr>
                <w:b/>
                <w:bCs w:val="0"/>
                <w:szCs w:val="20"/>
              </w:rPr>
              <w:t>165</w:t>
            </w:r>
          </w:p>
        </w:tc>
        <w:tc>
          <w:tcPr>
            <w:tcW w:w="341" w:type="pct"/>
            <w:shd w:val="clear" w:color="auto" w:fill="F2F2F2" w:themeFill="background1" w:themeFillShade="F2"/>
            <w:vAlign w:val="center"/>
            <w:hideMark/>
          </w:tcPr>
          <w:p w14:paraId="7B4CA2CB" w14:textId="03CF3853" w:rsidR="00E6142D" w:rsidRPr="00795F17" w:rsidRDefault="00E6142D" w:rsidP="001E0B2C">
            <w:pPr>
              <w:pStyle w:val="Teksttabelisrodek"/>
              <w:rPr>
                <w:b/>
                <w:bCs w:val="0"/>
                <w:szCs w:val="20"/>
              </w:rPr>
            </w:pPr>
            <w:r w:rsidRPr="00795F17">
              <w:rPr>
                <w:b/>
                <w:bCs w:val="0"/>
                <w:szCs w:val="20"/>
              </w:rPr>
              <w:t>1 735</w:t>
            </w:r>
          </w:p>
        </w:tc>
        <w:tc>
          <w:tcPr>
            <w:tcW w:w="506" w:type="pct"/>
            <w:shd w:val="clear" w:color="auto" w:fill="F2F2F2" w:themeFill="background1" w:themeFillShade="F2"/>
            <w:vAlign w:val="center"/>
            <w:hideMark/>
          </w:tcPr>
          <w:p w14:paraId="460E44AD" w14:textId="79DE55B7" w:rsidR="00E6142D" w:rsidRPr="00795F17" w:rsidRDefault="00E6142D" w:rsidP="001E0B2C">
            <w:pPr>
              <w:pStyle w:val="Teksttabelisrodek"/>
              <w:rPr>
                <w:b/>
                <w:bCs w:val="0"/>
                <w:szCs w:val="20"/>
              </w:rPr>
            </w:pPr>
            <w:r w:rsidRPr="00795F17">
              <w:rPr>
                <w:b/>
                <w:bCs w:val="0"/>
                <w:szCs w:val="20"/>
              </w:rPr>
              <w:t>0</w:t>
            </w:r>
          </w:p>
        </w:tc>
        <w:tc>
          <w:tcPr>
            <w:tcW w:w="362" w:type="pct"/>
            <w:shd w:val="clear" w:color="auto" w:fill="F2F2F2" w:themeFill="background1" w:themeFillShade="F2"/>
            <w:vAlign w:val="center"/>
            <w:hideMark/>
          </w:tcPr>
          <w:p w14:paraId="2C6D6F4D" w14:textId="618B36E7" w:rsidR="00E6142D" w:rsidRPr="00795F17" w:rsidRDefault="00E6142D" w:rsidP="001E0B2C">
            <w:pPr>
              <w:pStyle w:val="Teksttabelisrodek"/>
              <w:rPr>
                <w:b/>
                <w:bCs w:val="0"/>
                <w:szCs w:val="20"/>
              </w:rPr>
            </w:pPr>
            <w:r w:rsidRPr="00795F17">
              <w:rPr>
                <w:b/>
                <w:bCs w:val="0"/>
                <w:szCs w:val="20"/>
              </w:rPr>
              <w:t>422</w:t>
            </w:r>
          </w:p>
        </w:tc>
        <w:tc>
          <w:tcPr>
            <w:tcW w:w="362" w:type="pct"/>
            <w:shd w:val="clear" w:color="auto" w:fill="F2F2F2" w:themeFill="background1" w:themeFillShade="F2"/>
            <w:vAlign w:val="center"/>
            <w:hideMark/>
          </w:tcPr>
          <w:p w14:paraId="7D539743" w14:textId="13E58ED0" w:rsidR="00E6142D" w:rsidRPr="00795F17" w:rsidRDefault="003F5AF0" w:rsidP="001E0B2C">
            <w:pPr>
              <w:pStyle w:val="Teksttabelisrodek"/>
              <w:rPr>
                <w:b/>
                <w:bCs w:val="0"/>
                <w:szCs w:val="20"/>
              </w:rPr>
            </w:pPr>
            <w:r>
              <w:rPr>
                <w:b/>
                <w:bCs w:val="0"/>
                <w:szCs w:val="20"/>
              </w:rPr>
              <w:t>8</w:t>
            </w:r>
          </w:p>
        </w:tc>
        <w:tc>
          <w:tcPr>
            <w:tcW w:w="362" w:type="pct"/>
            <w:shd w:val="clear" w:color="auto" w:fill="F2F2F2" w:themeFill="background1" w:themeFillShade="F2"/>
            <w:vAlign w:val="center"/>
            <w:hideMark/>
          </w:tcPr>
          <w:p w14:paraId="0ADEF1AF" w14:textId="7FA27D65" w:rsidR="00E6142D" w:rsidRPr="00795F17" w:rsidRDefault="00E6142D" w:rsidP="001E0B2C">
            <w:pPr>
              <w:pStyle w:val="Teksttabelisrodek"/>
              <w:rPr>
                <w:b/>
                <w:bCs w:val="0"/>
                <w:szCs w:val="20"/>
              </w:rPr>
            </w:pPr>
            <w:r w:rsidRPr="00795F17">
              <w:rPr>
                <w:b/>
                <w:bCs w:val="0"/>
                <w:szCs w:val="20"/>
              </w:rPr>
              <w:t>1</w:t>
            </w:r>
            <w:r w:rsidR="004A34F1" w:rsidRPr="00795F17">
              <w:rPr>
                <w:b/>
                <w:bCs w:val="0"/>
                <w:szCs w:val="20"/>
              </w:rPr>
              <w:t> </w:t>
            </w:r>
            <w:r w:rsidRPr="00795F17">
              <w:rPr>
                <w:b/>
                <w:bCs w:val="0"/>
                <w:szCs w:val="20"/>
              </w:rPr>
              <w:t>443</w:t>
            </w:r>
          </w:p>
        </w:tc>
        <w:tc>
          <w:tcPr>
            <w:tcW w:w="362" w:type="pct"/>
            <w:shd w:val="clear" w:color="auto" w:fill="F2F2F2" w:themeFill="background1" w:themeFillShade="F2"/>
            <w:vAlign w:val="center"/>
            <w:hideMark/>
          </w:tcPr>
          <w:p w14:paraId="25EA824B" w14:textId="517AA444" w:rsidR="00E6142D" w:rsidRPr="00795F17" w:rsidRDefault="00E6142D" w:rsidP="001E0B2C">
            <w:pPr>
              <w:pStyle w:val="Teksttabelisrodek"/>
              <w:rPr>
                <w:b/>
                <w:bCs w:val="0"/>
                <w:szCs w:val="20"/>
              </w:rPr>
            </w:pPr>
            <w:r w:rsidRPr="00795F17">
              <w:rPr>
                <w:b/>
                <w:bCs w:val="0"/>
                <w:szCs w:val="20"/>
              </w:rPr>
              <w:t>58</w:t>
            </w:r>
          </w:p>
        </w:tc>
        <w:tc>
          <w:tcPr>
            <w:tcW w:w="360" w:type="pct"/>
            <w:shd w:val="clear" w:color="auto" w:fill="F2F2F2" w:themeFill="background1" w:themeFillShade="F2"/>
            <w:vAlign w:val="center"/>
            <w:hideMark/>
          </w:tcPr>
          <w:p w14:paraId="3095482B" w14:textId="68FCB398" w:rsidR="00E6142D" w:rsidRPr="00795F17" w:rsidRDefault="00E6142D" w:rsidP="001E0B2C">
            <w:pPr>
              <w:pStyle w:val="Teksttabelisrodek"/>
              <w:rPr>
                <w:b/>
                <w:bCs w:val="0"/>
                <w:szCs w:val="20"/>
              </w:rPr>
            </w:pPr>
            <w:r w:rsidRPr="00795F17">
              <w:rPr>
                <w:b/>
                <w:bCs w:val="0"/>
                <w:szCs w:val="20"/>
              </w:rPr>
              <w:t>664</w:t>
            </w:r>
          </w:p>
        </w:tc>
      </w:tr>
      <w:tr w:rsidR="00E6142D" w:rsidRPr="00795F17" w14:paraId="73184336" w14:textId="77777777" w:rsidTr="00CD4C71">
        <w:trPr>
          <w:trHeight w:val="397"/>
        </w:trPr>
        <w:tc>
          <w:tcPr>
            <w:tcW w:w="1355" w:type="pct"/>
            <w:gridSpan w:val="2"/>
            <w:shd w:val="clear" w:color="auto" w:fill="F2F2F2" w:themeFill="background1" w:themeFillShade="F2"/>
            <w:vAlign w:val="center"/>
            <w:hideMark/>
          </w:tcPr>
          <w:p w14:paraId="629D3C28" w14:textId="64EA8BF2" w:rsidR="00E6142D" w:rsidRPr="00795F17" w:rsidRDefault="00E6142D" w:rsidP="001E0B2C">
            <w:pPr>
              <w:pStyle w:val="Teksttabelilewy"/>
              <w:rPr>
                <w:b/>
                <w:bCs/>
                <w:szCs w:val="20"/>
              </w:rPr>
            </w:pPr>
            <w:r w:rsidRPr="00795F17">
              <w:rPr>
                <w:b/>
                <w:bCs/>
                <w:szCs w:val="20"/>
              </w:rPr>
              <w:t xml:space="preserve">Obszar dorzecza Odry </w:t>
            </w:r>
            <w:r w:rsidR="00442820">
              <w:rPr>
                <w:b/>
                <w:bCs/>
                <w:szCs w:val="20"/>
              </w:rPr>
              <w:t>według</w:t>
            </w:r>
            <w:r w:rsidRPr="00795F17">
              <w:rPr>
                <w:b/>
                <w:bCs/>
                <w:szCs w:val="20"/>
              </w:rPr>
              <w:t xml:space="preserve"> IIaPGW</w:t>
            </w:r>
          </w:p>
        </w:tc>
        <w:tc>
          <w:tcPr>
            <w:tcW w:w="601" w:type="pct"/>
            <w:shd w:val="clear" w:color="auto" w:fill="F2F2F2" w:themeFill="background1" w:themeFillShade="F2"/>
            <w:vAlign w:val="center"/>
            <w:hideMark/>
          </w:tcPr>
          <w:p w14:paraId="4519B8E7" w14:textId="5138E249" w:rsidR="00E6142D" w:rsidRPr="00795F17" w:rsidRDefault="00E6142D" w:rsidP="001E0B2C">
            <w:pPr>
              <w:pStyle w:val="Teksttabelilewy"/>
              <w:rPr>
                <w:szCs w:val="20"/>
              </w:rPr>
            </w:pPr>
            <w:r w:rsidRPr="00795F17">
              <w:rPr>
                <w:szCs w:val="20"/>
              </w:rPr>
              <w:t>IIaPGW</w:t>
            </w:r>
          </w:p>
        </w:tc>
        <w:tc>
          <w:tcPr>
            <w:tcW w:w="389" w:type="pct"/>
            <w:shd w:val="clear" w:color="auto" w:fill="F2F2F2" w:themeFill="background1" w:themeFillShade="F2"/>
            <w:vAlign w:val="center"/>
            <w:hideMark/>
          </w:tcPr>
          <w:p w14:paraId="06D73EC1" w14:textId="0E4DF54C" w:rsidR="00E6142D" w:rsidRPr="00795F17" w:rsidRDefault="00E6142D" w:rsidP="001E0B2C">
            <w:pPr>
              <w:pStyle w:val="Teksttabelisrodek"/>
              <w:rPr>
                <w:b/>
                <w:bCs w:val="0"/>
                <w:szCs w:val="20"/>
              </w:rPr>
            </w:pPr>
            <w:r w:rsidRPr="00795F17">
              <w:rPr>
                <w:b/>
                <w:bCs w:val="0"/>
                <w:szCs w:val="20"/>
              </w:rPr>
              <w:t>1 726</w:t>
            </w:r>
          </w:p>
        </w:tc>
        <w:tc>
          <w:tcPr>
            <w:tcW w:w="341" w:type="pct"/>
            <w:shd w:val="clear" w:color="auto" w:fill="F2F2F2" w:themeFill="background1" w:themeFillShade="F2"/>
            <w:vAlign w:val="center"/>
            <w:hideMark/>
          </w:tcPr>
          <w:p w14:paraId="0A8F1482" w14:textId="3DA50AF7" w:rsidR="00E6142D" w:rsidRPr="00795F17" w:rsidRDefault="00E6142D" w:rsidP="001E0B2C">
            <w:pPr>
              <w:pStyle w:val="Teksttabelisrodek"/>
              <w:rPr>
                <w:b/>
                <w:bCs w:val="0"/>
                <w:szCs w:val="20"/>
              </w:rPr>
            </w:pPr>
            <w:r w:rsidRPr="00795F17">
              <w:rPr>
                <w:b/>
                <w:bCs w:val="0"/>
                <w:szCs w:val="20"/>
              </w:rPr>
              <w:t>1</w:t>
            </w:r>
            <w:r w:rsidR="004A34F1" w:rsidRPr="00795F17">
              <w:rPr>
                <w:b/>
                <w:bCs w:val="0"/>
                <w:szCs w:val="20"/>
              </w:rPr>
              <w:t> </w:t>
            </w:r>
            <w:r w:rsidRPr="00795F17">
              <w:rPr>
                <w:b/>
                <w:bCs w:val="0"/>
                <w:szCs w:val="20"/>
              </w:rPr>
              <w:t>272</w:t>
            </w:r>
          </w:p>
        </w:tc>
        <w:tc>
          <w:tcPr>
            <w:tcW w:w="506" w:type="pct"/>
            <w:shd w:val="clear" w:color="auto" w:fill="F2F2F2" w:themeFill="background1" w:themeFillShade="F2"/>
            <w:vAlign w:val="center"/>
            <w:hideMark/>
          </w:tcPr>
          <w:p w14:paraId="2E128104" w14:textId="5FC811DD" w:rsidR="00E6142D" w:rsidRPr="00795F17" w:rsidRDefault="00E6142D" w:rsidP="001E0B2C">
            <w:pPr>
              <w:pStyle w:val="Teksttabelisrodek"/>
              <w:rPr>
                <w:b/>
                <w:bCs w:val="0"/>
                <w:szCs w:val="20"/>
              </w:rPr>
            </w:pPr>
            <w:r w:rsidRPr="00795F17">
              <w:rPr>
                <w:b/>
                <w:bCs w:val="0"/>
                <w:szCs w:val="20"/>
              </w:rPr>
              <w:t>23</w:t>
            </w:r>
          </w:p>
        </w:tc>
        <w:tc>
          <w:tcPr>
            <w:tcW w:w="362" w:type="pct"/>
            <w:shd w:val="clear" w:color="auto" w:fill="F2F2F2" w:themeFill="background1" w:themeFillShade="F2"/>
            <w:vAlign w:val="center"/>
            <w:hideMark/>
          </w:tcPr>
          <w:p w14:paraId="16EC3C5D" w14:textId="19624067" w:rsidR="00E6142D" w:rsidRPr="00795F17" w:rsidRDefault="00E6142D" w:rsidP="001E0B2C">
            <w:pPr>
              <w:pStyle w:val="Teksttabelisrodek"/>
              <w:rPr>
                <w:b/>
                <w:bCs w:val="0"/>
                <w:szCs w:val="20"/>
              </w:rPr>
            </w:pPr>
            <w:r w:rsidRPr="00795F17">
              <w:rPr>
                <w:b/>
                <w:bCs w:val="0"/>
                <w:szCs w:val="20"/>
              </w:rPr>
              <w:t>427</w:t>
            </w:r>
          </w:p>
        </w:tc>
        <w:tc>
          <w:tcPr>
            <w:tcW w:w="362" w:type="pct"/>
            <w:shd w:val="clear" w:color="auto" w:fill="F2F2F2" w:themeFill="background1" w:themeFillShade="F2"/>
            <w:vAlign w:val="center"/>
            <w:hideMark/>
          </w:tcPr>
          <w:p w14:paraId="7FD48151" w14:textId="694D5F38" w:rsidR="00E6142D" w:rsidRPr="00795F17" w:rsidRDefault="00E6142D" w:rsidP="001E0B2C">
            <w:pPr>
              <w:pStyle w:val="Teksttabelisrodek"/>
              <w:rPr>
                <w:b/>
                <w:bCs w:val="0"/>
                <w:szCs w:val="20"/>
              </w:rPr>
            </w:pPr>
            <w:r w:rsidRPr="00795F17">
              <w:rPr>
                <w:b/>
                <w:bCs w:val="0"/>
                <w:szCs w:val="20"/>
              </w:rPr>
              <w:t>4</w:t>
            </w:r>
          </w:p>
        </w:tc>
        <w:tc>
          <w:tcPr>
            <w:tcW w:w="362" w:type="pct"/>
            <w:shd w:val="clear" w:color="auto" w:fill="F2F2F2" w:themeFill="background1" w:themeFillShade="F2"/>
            <w:vAlign w:val="center"/>
            <w:hideMark/>
          </w:tcPr>
          <w:p w14:paraId="1671EFD9" w14:textId="17B17977" w:rsidR="00E6142D" w:rsidRPr="00795F17" w:rsidRDefault="00E6142D" w:rsidP="001E0B2C">
            <w:pPr>
              <w:pStyle w:val="Teksttabelisrodek"/>
              <w:rPr>
                <w:b/>
                <w:bCs w:val="0"/>
                <w:szCs w:val="20"/>
              </w:rPr>
            </w:pPr>
            <w:r w:rsidRPr="00795F17">
              <w:rPr>
                <w:b/>
                <w:bCs w:val="0"/>
                <w:szCs w:val="20"/>
              </w:rPr>
              <w:t>1</w:t>
            </w:r>
            <w:r w:rsidR="004A34F1" w:rsidRPr="00795F17">
              <w:rPr>
                <w:b/>
                <w:bCs w:val="0"/>
                <w:szCs w:val="20"/>
              </w:rPr>
              <w:t> </w:t>
            </w:r>
            <w:r w:rsidRPr="00795F17">
              <w:rPr>
                <w:b/>
                <w:bCs w:val="0"/>
                <w:szCs w:val="20"/>
              </w:rPr>
              <w:t>249</w:t>
            </w:r>
          </w:p>
        </w:tc>
        <w:tc>
          <w:tcPr>
            <w:tcW w:w="362" w:type="pct"/>
            <w:shd w:val="clear" w:color="auto" w:fill="F2F2F2" w:themeFill="background1" w:themeFillShade="F2"/>
            <w:vAlign w:val="center"/>
            <w:hideMark/>
          </w:tcPr>
          <w:p w14:paraId="2C0B0F35" w14:textId="4BFAFF08" w:rsidR="00E6142D" w:rsidRPr="00795F17" w:rsidRDefault="00E6142D" w:rsidP="001E0B2C">
            <w:pPr>
              <w:pStyle w:val="Teksttabelisrodek"/>
              <w:rPr>
                <w:b/>
                <w:bCs w:val="0"/>
                <w:szCs w:val="20"/>
              </w:rPr>
            </w:pPr>
            <w:r w:rsidRPr="00795F17">
              <w:rPr>
                <w:b/>
                <w:bCs w:val="0"/>
                <w:szCs w:val="20"/>
              </w:rPr>
              <w:t>39</w:t>
            </w:r>
          </w:p>
        </w:tc>
        <w:tc>
          <w:tcPr>
            <w:tcW w:w="360" w:type="pct"/>
            <w:shd w:val="clear" w:color="auto" w:fill="F2F2F2" w:themeFill="background1" w:themeFillShade="F2"/>
            <w:vAlign w:val="center"/>
            <w:hideMark/>
          </w:tcPr>
          <w:p w14:paraId="3F5320A5" w14:textId="7716B822" w:rsidR="00E6142D" w:rsidRPr="00795F17" w:rsidRDefault="00E6142D" w:rsidP="001E0B2C">
            <w:pPr>
              <w:pStyle w:val="Teksttabelisrodek"/>
              <w:rPr>
                <w:b/>
                <w:bCs w:val="0"/>
                <w:szCs w:val="20"/>
              </w:rPr>
            </w:pPr>
            <w:r w:rsidRPr="00795F17">
              <w:rPr>
                <w:b/>
                <w:bCs w:val="0"/>
                <w:szCs w:val="20"/>
              </w:rPr>
              <w:t>438</w:t>
            </w:r>
          </w:p>
        </w:tc>
      </w:tr>
      <w:tr w:rsidR="00E6142D" w:rsidRPr="00795F17" w14:paraId="58F11261" w14:textId="77777777" w:rsidTr="00CD4C71">
        <w:trPr>
          <w:trHeight w:val="397"/>
        </w:trPr>
        <w:tc>
          <w:tcPr>
            <w:tcW w:w="5000" w:type="pct"/>
            <w:gridSpan w:val="11"/>
            <w:shd w:val="clear" w:color="auto" w:fill="D9D9D9" w:themeFill="background1" w:themeFillShade="D9"/>
            <w:vAlign w:val="center"/>
            <w:hideMark/>
          </w:tcPr>
          <w:p w14:paraId="04D776B1" w14:textId="3DA2F593" w:rsidR="00E6142D" w:rsidRPr="00795F17" w:rsidRDefault="00E6142D" w:rsidP="00D81C99">
            <w:pPr>
              <w:pStyle w:val="Teksttabelisrodek"/>
              <w:jc w:val="left"/>
              <w:rPr>
                <w:b/>
                <w:szCs w:val="20"/>
              </w:rPr>
            </w:pPr>
            <w:r w:rsidRPr="00795F17">
              <w:rPr>
                <w:b/>
                <w:szCs w:val="20"/>
              </w:rPr>
              <w:t>Region wodny (aPGW, IIaPGW)</w:t>
            </w:r>
          </w:p>
        </w:tc>
      </w:tr>
      <w:tr w:rsidR="00E6142D" w:rsidRPr="00795F17" w14:paraId="458B0E55" w14:textId="77777777" w:rsidTr="00CD4C71">
        <w:trPr>
          <w:trHeight w:val="397"/>
        </w:trPr>
        <w:tc>
          <w:tcPr>
            <w:tcW w:w="678" w:type="pct"/>
            <w:shd w:val="clear" w:color="auto" w:fill="BFBFBF" w:themeFill="background1" w:themeFillShade="BF"/>
            <w:vAlign w:val="center"/>
            <w:hideMark/>
          </w:tcPr>
          <w:p w14:paraId="335B0847" w14:textId="546EB8A6" w:rsidR="00E6142D" w:rsidRPr="00795F17" w:rsidRDefault="00E6142D" w:rsidP="002C1BC3">
            <w:pPr>
              <w:pStyle w:val="Teksttabelilewy"/>
              <w:rPr>
                <w:szCs w:val="20"/>
              </w:rPr>
            </w:pPr>
            <w:r w:rsidRPr="00795F17">
              <w:rPr>
                <w:szCs w:val="20"/>
              </w:rPr>
              <w:t> </w:t>
            </w:r>
            <w:r w:rsidR="001E0B2C" w:rsidRPr="00795F17">
              <w:rPr>
                <w:szCs w:val="20"/>
              </w:rPr>
              <w:t>-</w:t>
            </w:r>
          </w:p>
        </w:tc>
        <w:tc>
          <w:tcPr>
            <w:tcW w:w="677" w:type="pct"/>
            <w:shd w:val="clear" w:color="auto" w:fill="BFBFBF" w:themeFill="background1" w:themeFillShade="BF"/>
            <w:vAlign w:val="center"/>
            <w:hideMark/>
          </w:tcPr>
          <w:p w14:paraId="46595AFE" w14:textId="22C1B8C9" w:rsidR="00E6142D" w:rsidRPr="00795F17" w:rsidRDefault="00E6142D" w:rsidP="002C1BC3">
            <w:pPr>
              <w:pStyle w:val="Teksttabelilewy"/>
              <w:rPr>
                <w:szCs w:val="20"/>
              </w:rPr>
            </w:pPr>
            <w:r w:rsidRPr="00795F17">
              <w:rPr>
                <w:szCs w:val="20"/>
              </w:rPr>
              <w:t>Brak przypisania do regionu wodnego</w:t>
            </w:r>
          </w:p>
        </w:tc>
        <w:tc>
          <w:tcPr>
            <w:tcW w:w="601" w:type="pct"/>
            <w:shd w:val="clear" w:color="auto" w:fill="BFBFBF" w:themeFill="background1" w:themeFillShade="BF"/>
            <w:vAlign w:val="center"/>
            <w:hideMark/>
          </w:tcPr>
          <w:p w14:paraId="6D049BE3" w14:textId="7CDAAFBD" w:rsidR="00E6142D" w:rsidRPr="00795F17" w:rsidRDefault="00E6142D" w:rsidP="002C1BC3">
            <w:pPr>
              <w:pStyle w:val="Teksttabelilewy"/>
              <w:rPr>
                <w:szCs w:val="20"/>
              </w:rPr>
            </w:pPr>
            <w:r w:rsidRPr="00795F17">
              <w:rPr>
                <w:szCs w:val="20"/>
              </w:rPr>
              <w:t>aPGW</w:t>
            </w:r>
          </w:p>
        </w:tc>
        <w:tc>
          <w:tcPr>
            <w:tcW w:w="389" w:type="pct"/>
            <w:shd w:val="clear" w:color="auto" w:fill="BFBFBF" w:themeFill="background1" w:themeFillShade="BF"/>
            <w:vAlign w:val="center"/>
            <w:hideMark/>
          </w:tcPr>
          <w:p w14:paraId="64DD3698" w14:textId="6C94D2C1" w:rsidR="00E6142D" w:rsidRPr="00795F17" w:rsidRDefault="00E6142D" w:rsidP="001E0B2C">
            <w:pPr>
              <w:pStyle w:val="Teksttabelisrodek"/>
              <w:rPr>
                <w:szCs w:val="20"/>
              </w:rPr>
            </w:pPr>
            <w:r w:rsidRPr="00795F17">
              <w:rPr>
                <w:szCs w:val="20"/>
              </w:rPr>
              <w:t>1</w:t>
            </w:r>
          </w:p>
        </w:tc>
        <w:tc>
          <w:tcPr>
            <w:tcW w:w="341" w:type="pct"/>
            <w:shd w:val="clear" w:color="auto" w:fill="BFBFBF" w:themeFill="background1" w:themeFillShade="BF"/>
            <w:vAlign w:val="center"/>
            <w:hideMark/>
          </w:tcPr>
          <w:p w14:paraId="15844B0D" w14:textId="246621F0" w:rsidR="00E6142D" w:rsidRPr="00795F17" w:rsidRDefault="00E6142D" w:rsidP="001E0B2C">
            <w:pPr>
              <w:pStyle w:val="Teksttabelisrodek"/>
              <w:rPr>
                <w:szCs w:val="20"/>
              </w:rPr>
            </w:pPr>
            <w:r w:rsidRPr="00795F17">
              <w:rPr>
                <w:szCs w:val="20"/>
              </w:rPr>
              <w:t>1</w:t>
            </w:r>
          </w:p>
        </w:tc>
        <w:tc>
          <w:tcPr>
            <w:tcW w:w="506" w:type="pct"/>
            <w:shd w:val="clear" w:color="auto" w:fill="BFBFBF" w:themeFill="background1" w:themeFillShade="BF"/>
            <w:vAlign w:val="center"/>
            <w:hideMark/>
          </w:tcPr>
          <w:p w14:paraId="0F3FDF6F" w14:textId="7D30B659"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206B5129" w14:textId="50D05D15"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50154F56" w14:textId="648FC611"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5C916DFB" w14:textId="7AAE7967"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52352AEC" w14:textId="12744E98" w:rsidR="00E6142D" w:rsidRPr="00795F17" w:rsidRDefault="00E6142D" w:rsidP="001E0B2C">
            <w:pPr>
              <w:pStyle w:val="Teksttabelisrodek"/>
              <w:rPr>
                <w:szCs w:val="20"/>
              </w:rPr>
            </w:pPr>
            <w:r w:rsidRPr="00795F17">
              <w:rPr>
                <w:szCs w:val="20"/>
              </w:rPr>
              <w:t>0</w:t>
            </w:r>
          </w:p>
        </w:tc>
        <w:tc>
          <w:tcPr>
            <w:tcW w:w="360" w:type="pct"/>
            <w:shd w:val="clear" w:color="auto" w:fill="BFBFBF" w:themeFill="background1" w:themeFillShade="BF"/>
            <w:vAlign w:val="center"/>
            <w:hideMark/>
          </w:tcPr>
          <w:p w14:paraId="5CBC796C" w14:textId="12F7DF89" w:rsidR="00E6142D" w:rsidRPr="00795F17" w:rsidRDefault="00E6142D" w:rsidP="001E0B2C">
            <w:pPr>
              <w:pStyle w:val="Teksttabelisrodek"/>
              <w:rPr>
                <w:szCs w:val="20"/>
              </w:rPr>
            </w:pPr>
            <w:r w:rsidRPr="00795F17">
              <w:rPr>
                <w:szCs w:val="20"/>
              </w:rPr>
              <w:t>1</w:t>
            </w:r>
          </w:p>
        </w:tc>
      </w:tr>
      <w:tr w:rsidR="00E6142D" w:rsidRPr="00795F17" w14:paraId="51898EDF" w14:textId="77777777" w:rsidTr="00CD4C71">
        <w:trPr>
          <w:trHeight w:val="397"/>
        </w:trPr>
        <w:tc>
          <w:tcPr>
            <w:tcW w:w="678" w:type="pct"/>
            <w:vAlign w:val="center"/>
            <w:hideMark/>
          </w:tcPr>
          <w:p w14:paraId="02B1B484" w14:textId="36AE92AB" w:rsidR="00E6142D" w:rsidRPr="00795F17" w:rsidRDefault="00E6142D" w:rsidP="002C1BC3">
            <w:pPr>
              <w:pStyle w:val="Teksttabelilewy"/>
              <w:rPr>
                <w:szCs w:val="20"/>
              </w:rPr>
            </w:pPr>
            <w:r w:rsidRPr="00795F17">
              <w:rPr>
                <w:szCs w:val="20"/>
              </w:rPr>
              <w:t> </w:t>
            </w:r>
            <w:r w:rsidR="001E0B2C" w:rsidRPr="00795F17">
              <w:rPr>
                <w:szCs w:val="20"/>
              </w:rPr>
              <w:t>-</w:t>
            </w:r>
          </w:p>
        </w:tc>
        <w:tc>
          <w:tcPr>
            <w:tcW w:w="677" w:type="pct"/>
            <w:vAlign w:val="center"/>
            <w:hideMark/>
          </w:tcPr>
          <w:p w14:paraId="7666D310" w14:textId="1507AB38" w:rsidR="00E6142D" w:rsidRPr="00795F17" w:rsidRDefault="00E6142D" w:rsidP="002C1BC3">
            <w:pPr>
              <w:pStyle w:val="Teksttabelilewy"/>
              <w:rPr>
                <w:szCs w:val="20"/>
              </w:rPr>
            </w:pPr>
            <w:r w:rsidRPr="00795F17">
              <w:rPr>
                <w:szCs w:val="20"/>
              </w:rPr>
              <w:t>Dolnej Odry i</w:t>
            </w:r>
            <w:r w:rsidR="00E370AC">
              <w:rPr>
                <w:szCs w:val="20"/>
              </w:rPr>
              <w:t> </w:t>
            </w:r>
            <w:r w:rsidRPr="00795F17">
              <w:rPr>
                <w:szCs w:val="20"/>
              </w:rPr>
              <w:t>Przymorza Zachodniego</w:t>
            </w:r>
          </w:p>
        </w:tc>
        <w:tc>
          <w:tcPr>
            <w:tcW w:w="601" w:type="pct"/>
            <w:vAlign w:val="center"/>
            <w:hideMark/>
          </w:tcPr>
          <w:p w14:paraId="61BC05F9" w14:textId="37CB673A" w:rsidR="00E6142D" w:rsidRPr="00795F17" w:rsidRDefault="00E6142D" w:rsidP="002C1BC3">
            <w:pPr>
              <w:pStyle w:val="Teksttabelilewy"/>
              <w:rPr>
                <w:szCs w:val="20"/>
              </w:rPr>
            </w:pPr>
            <w:r w:rsidRPr="00795F17">
              <w:rPr>
                <w:szCs w:val="20"/>
              </w:rPr>
              <w:t>aPGW</w:t>
            </w:r>
          </w:p>
        </w:tc>
        <w:tc>
          <w:tcPr>
            <w:tcW w:w="389" w:type="pct"/>
            <w:vAlign w:val="center"/>
            <w:hideMark/>
          </w:tcPr>
          <w:p w14:paraId="053E074A" w14:textId="1143E115" w:rsidR="00E6142D" w:rsidRPr="00795F17" w:rsidRDefault="00E6142D" w:rsidP="001E0B2C">
            <w:pPr>
              <w:pStyle w:val="Teksttabelisrodek"/>
              <w:rPr>
                <w:szCs w:val="20"/>
              </w:rPr>
            </w:pPr>
            <w:r w:rsidRPr="00795F17">
              <w:rPr>
                <w:szCs w:val="20"/>
              </w:rPr>
              <w:t>450</w:t>
            </w:r>
          </w:p>
        </w:tc>
        <w:tc>
          <w:tcPr>
            <w:tcW w:w="341" w:type="pct"/>
            <w:vAlign w:val="center"/>
            <w:hideMark/>
          </w:tcPr>
          <w:p w14:paraId="37AA4F97" w14:textId="741EA144" w:rsidR="00E6142D" w:rsidRPr="00795F17" w:rsidRDefault="00E6142D" w:rsidP="001E0B2C">
            <w:pPr>
              <w:pStyle w:val="Teksttabelisrodek"/>
              <w:rPr>
                <w:szCs w:val="20"/>
              </w:rPr>
            </w:pPr>
            <w:r w:rsidRPr="00795F17">
              <w:rPr>
                <w:szCs w:val="20"/>
              </w:rPr>
              <w:t>329</w:t>
            </w:r>
          </w:p>
        </w:tc>
        <w:tc>
          <w:tcPr>
            <w:tcW w:w="506" w:type="pct"/>
            <w:vAlign w:val="center"/>
            <w:hideMark/>
          </w:tcPr>
          <w:p w14:paraId="1BBC260E" w14:textId="561DA836" w:rsidR="00E6142D" w:rsidRPr="00795F17" w:rsidRDefault="00E6142D" w:rsidP="001E0B2C">
            <w:pPr>
              <w:pStyle w:val="Teksttabelisrodek"/>
              <w:rPr>
                <w:szCs w:val="20"/>
              </w:rPr>
            </w:pPr>
            <w:r w:rsidRPr="00795F17">
              <w:rPr>
                <w:szCs w:val="20"/>
              </w:rPr>
              <w:t>0</w:t>
            </w:r>
          </w:p>
        </w:tc>
        <w:tc>
          <w:tcPr>
            <w:tcW w:w="362" w:type="pct"/>
            <w:vAlign w:val="center"/>
            <w:hideMark/>
          </w:tcPr>
          <w:p w14:paraId="1C0CA488" w14:textId="4ACAF8DB" w:rsidR="00E6142D" w:rsidRPr="00795F17" w:rsidRDefault="00E6142D" w:rsidP="001E0B2C">
            <w:pPr>
              <w:pStyle w:val="Teksttabelisrodek"/>
              <w:rPr>
                <w:szCs w:val="20"/>
              </w:rPr>
            </w:pPr>
            <w:r w:rsidRPr="00795F17">
              <w:rPr>
                <w:szCs w:val="20"/>
              </w:rPr>
              <w:t>113</w:t>
            </w:r>
          </w:p>
        </w:tc>
        <w:tc>
          <w:tcPr>
            <w:tcW w:w="362" w:type="pct"/>
            <w:vAlign w:val="center"/>
            <w:hideMark/>
          </w:tcPr>
          <w:p w14:paraId="2C10A6C9" w14:textId="67B9D035" w:rsidR="00E6142D" w:rsidRPr="00795F17" w:rsidRDefault="00E6142D" w:rsidP="001E0B2C">
            <w:pPr>
              <w:pStyle w:val="Teksttabelisrodek"/>
              <w:rPr>
                <w:szCs w:val="20"/>
              </w:rPr>
            </w:pPr>
            <w:r w:rsidRPr="00795F17">
              <w:rPr>
                <w:szCs w:val="20"/>
              </w:rPr>
              <w:t>8</w:t>
            </w:r>
          </w:p>
        </w:tc>
        <w:tc>
          <w:tcPr>
            <w:tcW w:w="362" w:type="pct"/>
            <w:vAlign w:val="center"/>
            <w:hideMark/>
          </w:tcPr>
          <w:p w14:paraId="15DB3B66" w14:textId="5E757B9C" w:rsidR="00E6142D" w:rsidRPr="00795F17" w:rsidRDefault="00E6142D" w:rsidP="001E0B2C">
            <w:pPr>
              <w:pStyle w:val="Teksttabelisrodek"/>
              <w:rPr>
                <w:szCs w:val="20"/>
              </w:rPr>
            </w:pPr>
            <w:r w:rsidRPr="00795F17">
              <w:rPr>
                <w:szCs w:val="20"/>
              </w:rPr>
              <w:t>270</w:t>
            </w:r>
          </w:p>
        </w:tc>
        <w:tc>
          <w:tcPr>
            <w:tcW w:w="362" w:type="pct"/>
            <w:vAlign w:val="center"/>
            <w:hideMark/>
          </w:tcPr>
          <w:p w14:paraId="16826B62" w14:textId="5C140143" w:rsidR="00E6142D" w:rsidRPr="00795F17" w:rsidRDefault="00E6142D" w:rsidP="001E0B2C">
            <w:pPr>
              <w:pStyle w:val="Teksttabelisrodek"/>
              <w:rPr>
                <w:szCs w:val="20"/>
              </w:rPr>
            </w:pPr>
            <w:r w:rsidRPr="00795F17">
              <w:rPr>
                <w:szCs w:val="20"/>
              </w:rPr>
              <w:t>22</w:t>
            </w:r>
          </w:p>
        </w:tc>
        <w:tc>
          <w:tcPr>
            <w:tcW w:w="360" w:type="pct"/>
            <w:vAlign w:val="center"/>
            <w:hideMark/>
          </w:tcPr>
          <w:p w14:paraId="245E5257" w14:textId="06814F45" w:rsidR="00E6142D" w:rsidRPr="00795F17" w:rsidRDefault="00E6142D" w:rsidP="001E0B2C">
            <w:pPr>
              <w:pStyle w:val="Teksttabelisrodek"/>
              <w:rPr>
                <w:szCs w:val="20"/>
              </w:rPr>
            </w:pPr>
            <w:r w:rsidRPr="00795F17">
              <w:rPr>
                <w:szCs w:val="20"/>
              </w:rPr>
              <w:t>158</w:t>
            </w:r>
          </w:p>
        </w:tc>
      </w:tr>
      <w:tr w:rsidR="00E6142D" w:rsidRPr="00795F17" w14:paraId="79751306" w14:textId="77777777" w:rsidTr="00CD4C71">
        <w:trPr>
          <w:trHeight w:val="397"/>
        </w:trPr>
        <w:tc>
          <w:tcPr>
            <w:tcW w:w="678" w:type="pct"/>
            <w:vAlign w:val="center"/>
            <w:hideMark/>
          </w:tcPr>
          <w:p w14:paraId="253AF4DA" w14:textId="624030D3" w:rsidR="00E6142D" w:rsidRPr="00795F17" w:rsidRDefault="00E6142D" w:rsidP="002C1BC3">
            <w:pPr>
              <w:pStyle w:val="Teksttabelilewy"/>
              <w:rPr>
                <w:szCs w:val="20"/>
              </w:rPr>
            </w:pPr>
            <w:r w:rsidRPr="00795F17">
              <w:rPr>
                <w:szCs w:val="20"/>
              </w:rPr>
              <w:t>Dolnej Odry i</w:t>
            </w:r>
            <w:r w:rsidR="00E370AC">
              <w:rPr>
                <w:szCs w:val="20"/>
              </w:rPr>
              <w:t> </w:t>
            </w:r>
            <w:r w:rsidRPr="00795F17">
              <w:rPr>
                <w:szCs w:val="20"/>
              </w:rPr>
              <w:t>Przymorza Zachodniego</w:t>
            </w:r>
          </w:p>
        </w:tc>
        <w:tc>
          <w:tcPr>
            <w:tcW w:w="677" w:type="pct"/>
            <w:vAlign w:val="center"/>
            <w:hideMark/>
          </w:tcPr>
          <w:p w14:paraId="61D021FD" w14:textId="623D8635" w:rsidR="00E6142D" w:rsidRPr="00795F17" w:rsidRDefault="001E0B2C" w:rsidP="002C1BC3">
            <w:pPr>
              <w:pStyle w:val="Teksttabelilewy"/>
              <w:rPr>
                <w:szCs w:val="20"/>
              </w:rPr>
            </w:pPr>
            <w:r w:rsidRPr="00795F17">
              <w:rPr>
                <w:szCs w:val="20"/>
              </w:rPr>
              <w:t>-</w:t>
            </w:r>
            <w:r w:rsidR="00E6142D" w:rsidRPr="00795F17">
              <w:rPr>
                <w:szCs w:val="20"/>
              </w:rPr>
              <w:t> </w:t>
            </w:r>
          </w:p>
        </w:tc>
        <w:tc>
          <w:tcPr>
            <w:tcW w:w="601" w:type="pct"/>
            <w:vAlign w:val="center"/>
            <w:hideMark/>
          </w:tcPr>
          <w:p w14:paraId="08B4DC1A" w14:textId="3E94579E" w:rsidR="00E6142D" w:rsidRPr="00795F17" w:rsidRDefault="00E6142D" w:rsidP="002C1BC3">
            <w:pPr>
              <w:pStyle w:val="Teksttabelilewy"/>
              <w:rPr>
                <w:szCs w:val="20"/>
              </w:rPr>
            </w:pPr>
            <w:r w:rsidRPr="00795F17">
              <w:rPr>
                <w:szCs w:val="20"/>
              </w:rPr>
              <w:t>IIaPGW</w:t>
            </w:r>
          </w:p>
        </w:tc>
        <w:tc>
          <w:tcPr>
            <w:tcW w:w="389" w:type="pct"/>
            <w:vAlign w:val="center"/>
            <w:hideMark/>
          </w:tcPr>
          <w:p w14:paraId="1D6C8838" w14:textId="5BF2309F" w:rsidR="00E6142D" w:rsidRPr="00795F17" w:rsidRDefault="00E6142D" w:rsidP="001E0B2C">
            <w:pPr>
              <w:pStyle w:val="Teksttabelisrodek"/>
              <w:rPr>
                <w:szCs w:val="20"/>
              </w:rPr>
            </w:pPr>
            <w:r w:rsidRPr="00795F17">
              <w:rPr>
                <w:szCs w:val="20"/>
              </w:rPr>
              <w:t>383</w:t>
            </w:r>
          </w:p>
        </w:tc>
        <w:tc>
          <w:tcPr>
            <w:tcW w:w="341" w:type="pct"/>
            <w:vAlign w:val="center"/>
            <w:hideMark/>
          </w:tcPr>
          <w:p w14:paraId="67B29DB7" w14:textId="75403700" w:rsidR="00E6142D" w:rsidRPr="00795F17" w:rsidRDefault="00E6142D" w:rsidP="001E0B2C">
            <w:pPr>
              <w:pStyle w:val="Teksttabelisrodek"/>
              <w:rPr>
                <w:szCs w:val="20"/>
              </w:rPr>
            </w:pPr>
            <w:r w:rsidRPr="00795F17">
              <w:rPr>
                <w:szCs w:val="20"/>
              </w:rPr>
              <w:t>270</w:t>
            </w:r>
          </w:p>
        </w:tc>
        <w:tc>
          <w:tcPr>
            <w:tcW w:w="506" w:type="pct"/>
            <w:vAlign w:val="center"/>
            <w:hideMark/>
          </w:tcPr>
          <w:p w14:paraId="4A59595C" w14:textId="3B8AE2C7" w:rsidR="00E6142D" w:rsidRPr="00795F17" w:rsidRDefault="00E6142D" w:rsidP="001E0B2C">
            <w:pPr>
              <w:pStyle w:val="Teksttabelisrodek"/>
              <w:rPr>
                <w:szCs w:val="20"/>
              </w:rPr>
            </w:pPr>
            <w:r w:rsidRPr="00795F17">
              <w:rPr>
                <w:szCs w:val="20"/>
              </w:rPr>
              <w:t>0</w:t>
            </w:r>
          </w:p>
        </w:tc>
        <w:tc>
          <w:tcPr>
            <w:tcW w:w="362" w:type="pct"/>
            <w:vAlign w:val="center"/>
            <w:hideMark/>
          </w:tcPr>
          <w:p w14:paraId="60C5FD21" w14:textId="5A2AB5CC" w:rsidR="00E6142D" w:rsidRPr="00795F17" w:rsidRDefault="00E6142D" w:rsidP="001E0B2C">
            <w:pPr>
              <w:pStyle w:val="Teksttabelisrodek"/>
              <w:rPr>
                <w:szCs w:val="20"/>
              </w:rPr>
            </w:pPr>
            <w:r w:rsidRPr="00795F17">
              <w:rPr>
                <w:szCs w:val="20"/>
              </w:rPr>
              <w:t>109</w:t>
            </w:r>
          </w:p>
        </w:tc>
        <w:tc>
          <w:tcPr>
            <w:tcW w:w="362" w:type="pct"/>
            <w:vAlign w:val="center"/>
            <w:hideMark/>
          </w:tcPr>
          <w:p w14:paraId="268CCB9B" w14:textId="338D3438" w:rsidR="00E6142D" w:rsidRPr="00795F17" w:rsidRDefault="00E6142D" w:rsidP="001E0B2C">
            <w:pPr>
              <w:pStyle w:val="Teksttabelisrodek"/>
              <w:rPr>
                <w:szCs w:val="20"/>
              </w:rPr>
            </w:pPr>
            <w:r w:rsidRPr="00795F17">
              <w:rPr>
                <w:szCs w:val="20"/>
              </w:rPr>
              <w:t>4</w:t>
            </w:r>
          </w:p>
        </w:tc>
        <w:tc>
          <w:tcPr>
            <w:tcW w:w="362" w:type="pct"/>
            <w:vAlign w:val="center"/>
            <w:hideMark/>
          </w:tcPr>
          <w:p w14:paraId="026BD360" w14:textId="4B190B67" w:rsidR="00E6142D" w:rsidRPr="00795F17" w:rsidRDefault="00E6142D" w:rsidP="001E0B2C">
            <w:pPr>
              <w:pStyle w:val="Teksttabelisrodek"/>
              <w:rPr>
                <w:szCs w:val="20"/>
              </w:rPr>
            </w:pPr>
            <w:r w:rsidRPr="00795F17">
              <w:rPr>
                <w:szCs w:val="20"/>
              </w:rPr>
              <w:t>315</w:t>
            </w:r>
          </w:p>
        </w:tc>
        <w:tc>
          <w:tcPr>
            <w:tcW w:w="362" w:type="pct"/>
            <w:vAlign w:val="center"/>
            <w:hideMark/>
          </w:tcPr>
          <w:p w14:paraId="7D98CA16" w14:textId="1AD75E10" w:rsidR="00E6142D" w:rsidRPr="00795F17" w:rsidRDefault="00E6142D" w:rsidP="001E0B2C">
            <w:pPr>
              <w:pStyle w:val="Teksttabelisrodek"/>
              <w:rPr>
                <w:szCs w:val="20"/>
              </w:rPr>
            </w:pPr>
            <w:r w:rsidRPr="00795F17">
              <w:rPr>
                <w:szCs w:val="20"/>
              </w:rPr>
              <w:t>15</w:t>
            </w:r>
          </w:p>
        </w:tc>
        <w:tc>
          <w:tcPr>
            <w:tcW w:w="360" w:type="pct"/>
            <w:vAlign w:val="center"/>
            <w:hideMark/>
          </w:tcPr>
          <w:p w14:paraId="698DA162" w14:textId="53405804" w:rsidR="00E6142D" w:rsidRPr="00795F17" w:rsidRDefault="00E6142D" w:rsidP="001E0B2C">
            <w:pPr>
              <w:pStyle w:val="Teksttabelisrodek"/>
              <w:rPr>
                <w:szCs w:val="20"/>
              </w:rPr>
            </w:pPr>
            <w:r w:rsidRPr="00795F17">
              <w:rPr>
                <w:szCs w:val="20"/>
              </w:rPr>
              <w:t>53</w:t>
            </w:r>
          </w:p>
        </w:tc>
      </w:tr>
      <w:tr w:rsidR="001E0B2C" w:rsidRPr="00795F17" w14:paraId="1CDED5F4" w14:textId="77777777" w:rsidTr="00CD4C71">
        <w:trPr>
          <w:trHeight w:val="397"/>
        </w:trPr>
        <w:tc>
          <w:tcPr>
            <w:tcW w:w="678" w:type="pct"/>
            <w:shd w:val="clear" w:color="auto" w:fill="BFBFBF" w:themeFill="background1" w:themeFillShade="BF"/>
            <w:vAlign w:val="center"/>
            <w:hideMark/>
          </w:tcPr>
          <w:p w14:paraId="1B67D900" w14:textId="6D528228" w:rsidR="00E6142D" w:rsidRPr="00795F17" w:rsidRDefault="00E6142D" w:rsidP="002C1BC3">
            <w:pPr>
              <w:pStyle w:val="Teksttabelilewy"/>
              <w:rPr>
                <w:szCs w:val="20"/>
              </w:rPr>
            </w:pPr>
            <w:r w:rsidRPr="00795F17">
              <w:rPr>
                <w:szCs w:val="20"/>
              </w:rPr>
              <w:t> </w:t>
            </w:r>
            <w:r w:rsidR="001E0B2C" w:rsidRPr="00795F17">
              <w:rPr>
                <w:szCs w:val="20"/>
              </w:rPr>
              <w:t>-</w:t>
            </w:r>
          </w:p>
        </w:tc>
        <w:tc>
          <w:tcPr>
            <w:tcW w:w="677" w:type="pct"/>
            <w:shd w:val="clear" w:color="auto" w:fill="BFBFBF" w:themeFill="background1" w:themeFillShade="BF"/>
            <w:vAlign w:val="center"/>
            <w:hideMark/>
          </w:tcPr>
          <w:p w14:paraId="79FC8660" w14:textId="72FA5FE4" w:rsidR="00E6142D" w:rsidRPr="00795F17" w:rsidRDefault="00E6142D" w:rsidP="002C1BC3">
            <w:pPr>
              <w:pStyle w:val="Teksttabelilewy"/>
              <w:rPr>
                <w:szCs w:val="20"/>
              </w:rPr>
            </w:pPr>
            <w:r w:rsidRPr="00795F17">
              <w:rPr>
                <w:szCs w:val="20"/>
              </w:rPr>
              <w:t>Górnej Odry</w:t>
            </w:r>
          </w:p>
        </w:tc>
        <w:tc>
          <w:tcPr>
            <w:tcW w:w="601" w:type="pct"/>
            <w:shd w:val="clear" w:color="auto" w:fill="BFBFBF" w:themeFill="background1" w:themeFillShade="BF"/>
            <w:vAlign w:val="center"/>
            <w:hideMark/>
          </w:tcPr>
          <w:p w14:paraId="67BC059C" w14:textId="0A3DAAF6" w:rsidR="00E6142D" w:rsidRPr="00795F17" w:rsidRDefault="00E6142D" w:rsidP="002C1BC3">
            <w:pPr>
              <w:pStyle w:val="Teksttabelilewy"/>
              <w:rPr>
                <w:szCs w:val="20"/>
              </w:rPr>
            </w:pPr>
            <w:r w:rsidRPr="00795F17">
              <w:rPr>
                <w:szCs w:val="20"/>
              </w:rPr>
              <w:t>aPGW</w:t>
            </w:r>
          </w:p>
        </w:tc>
        <w:tc>
          <w:tcPr>
            <w:tcW w:w="389" w:type="pct"/>
            <w:shd w:val="clear" w:color="auto" w:fill="BFBFBF" w:themeFill="background1" w:themeFillShade="BF"/>
            <w:vAlign w:val="center"/>
            <w:hideMark/>
          </w:tcPr>
          <w:p w14:paraId="333031E0" w14:textId="7AD46007" w:rsidR="00E6142D" w:rsidRPr="00795F17" w:rsidRDefault="00E6142D" w:rsidP="001E0B2C">
            <w:pPr>
              <w:pStyle w:val="Teksttabelisrodek"/>
              <w:rPr>
                <w:szCs w:val="20"/>
              </w:rPr>
            </w:pPr>
            <w:r w:rsidRPr="00795F17">
              <w:rPr>
                <w:szCs w:val="20"/>
              </w:rPr>
              <w:t>90</w:t>
            </w:r>
          </w:p>
        </w:tc>
        <w:tc>
          <w:tcPr>
            <w:tcW w:w="341" w:type="pct"/>
            <w:shd w:val="clear" w:color="auto" w:fill="BFBFBF" w:themeFill="background1" w:themeFillShade="BF"/>
            <w:vAlign w:val="center"/>
            <w:hideMark/>
          </w:tcPr>
          <w:p w14:paraId="5AF6300C" w14:textId="4074E361" w:rsidR="00E6142D" w:rsidRPr="00795F17" w:rsidRDefault="00E6142D" w:rsidP="001E0B2C">
            <w:pPr>
              <w:pStyle w:val="Teksttabelisrodek"/>
              <w:rPr>
                <w:szCs w:val="20"/>
              </w:rPr>
            </w:pPr>
            <w:r w:rsidRPr="00795F17">
              <w:rPr>
                <w:szCs w:val="20"/>
              </w:rPr>
              <w:t>90</w:t>
            </w:r>
          </w:p>
        </w:tc>
        <w:tc>
          <w:tcPr>
            <w:tcW w:w="506" w:type="pct"/>
            <w:shd w:val="clear" w:color="auto" w:fill="BFBFBF" w:themeFill="background1" w:themeFillShade="BF"/>
            <w:vAlign w:val="center"/>
            <w:hideMark/>
          </w:tcPr>
          <w:p w14:paraId="319E15C0" w14:textId="5F43DD5F"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18B534FA" w14:textId="49907D3F"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7ABE2692" w14:textId="4721BDC4"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6BDAA161" w14:textId="7479E6E9" w:rsidR="00E6142D" w:rsidRPr="00795F17" w:rsidRDefault="00E6142D" w:rsidP="001E0B2C">
            <w:pPr>
              <w:pStyle w:val="Teksttabelisrodek"/>
              <w:rPr>
                <w:szCs w:val="20"/>
              </w:rPr>
            </w:pPr>
            <w:r w:rsidRPr="00795F17">
              <w:rPr>
                <w:szCs w:val="20"/>
              </w:rPr>
              <w:t>61</w:t>
            </w:r>
          </w:p>
        </w:tc>
        <w:tc>
          <w:tcPr>
            <w:tcW w:w="362" w:type="pct"/>
            <w:shd w:val="clear" w:color="auto" w:fill="BFBFBF" w:themeFill="background1" w:themeFillShade="BF"/>
            <w:vAlign w:val="center"/>
            <w:hideMark/>
          </w:tcPr>
          <w:p w14:paraId="3D6DE745" w14:textId="039C6944" w:rsidR="00E6142D" w:rsidRPr="00795F17" w:rsidRDefault="00E6142D" w:rsidP="001E0B2C">
            <w:pPr>
              <w:pStyle w:val="Teksttabelisrodek"/>
              <w:rPr>
                <w:szCs w:val="20"/>
              </w:rPr>
            </w:pPr>
            <w:r w:rsidRPr="00795F17">
              <w:rPr>
                <w:szCs w:val="20"/>
              </w:rPr>
              <w:t>3</w:t>
            </w:r>
          </w:p>
        </w:tc>
        <w:tc>
          <w:tcPr>
            <w:tcW w:w="360" w:type="pct"/>
            <w:shd w:val="clear" w:color="auto" w:fill="BFBFBF" w:themeFill="background1" w:themeFillShade="BF"/>
            <w:vAlign w:val="center"/>
            <w:hideMark/>
          </w:tcPr>
          <w:p w14:paraId="3C4E2499" w14:textId="227F097B" w:rsidR="00E6142D" w:rsidRPr="00795F17" w:rsidRDefault="00E6142D" w:rsidP="001E0B2C">
            <w:pPr>
              <w:pStyle w:val="Teksttabelisrodek"/>
              <w:rPr>
                <w:szCs w:val="20"/>
              </w:rPr>
            </w:pPr>
            <w:r w:rsidRPr="00795F17">
              <w:rPr>
                <w:szCs w:val="20"/>
              </w:rPr>
              <w:t>26</w:t>
            </w:r>
          </w:p>
        </w:tc>
      </w:tr>
      <w:tr w:rsidR="001E0B2C" w:rsidRPr="00795F17" w14:paraId="653C67EF" w14:textId="77777777" w:rsidTr="00CD4C71">
        <w:trPr>
          <w:trHeight w:val="397"/>
        </w:trPr>
        <w:tc>
          <w:tcPr>
            <w:tcW w:w="678" w:type="pct"/>
            <w:shd w:val="clear" w:color="auto" w:fill="BFBFBF" w:themeFill="background1" w:themeFillShade="BF"/>
            <w:vAlign w:val="center"/>
            <w:hideMark/>
          </w:tcPr>
          <w:p w14:paraId="2BC2B959" w14:textId="7E9B7ADD" w:rsidR="00E6142D" w:rsidRPr="00795F17" w:rsidRDefault="00E6142D" w:rsidP="002C1BC3">
            <w:pPr>
              <w:pStyle w:val="Teksttabelilewy"/>
              <w:rPr>
                <w:szCs w:val="20"/>
              </w:rPr>
            </w:pPr>
            <w:r w:rsidRPr="00795F17">
              <w:rPr>
                <w:szCs w:val="20"/>
              </w:rPr>
              <w:t>Górnej Odry</w:t>
            </w:r>
          </w:p>
        </w:tc>
        <w:tc>
          <w:tcPr>
            <w:tcW w:w="677" w:type="pct"/>
            <w:shd w:val="clear" w:color="auto" w:fill="BFBFBF" w:themeFill="background1" w:themeFillShade="BF"/>
            <w:vAlign w:val="center"/>
            <w:hideMark/>
          </w:tcPr>
          <w:p w14:paraId="684D5EA6" w14:textId="11582FBF" w:rsidR="00E6142D" w:rsidRPr="00795F17" w:rsidRDefault="00E6142D" w:rsidP="002C1BC3">
            <w:pPr>
              <w:pStyle w:val="Teksttabelilewy"/>
              <w:rPr>
                <w:szCs w:val="20"/>
              </w:rPr>
            </w:pPr>
            <w:r w:rsidRPr="00795F17">
              <w:rPr>
                <w:szCs w:val="20"/>
              </w:rPr>
              <w:t> </w:t>
            </w:r>
            <w:r w:rsidR="001E0B2C" w:rsidRPr="00795F17">
              <w:rPr>
                <w:szCs w:val="20"/>
              </w:rPr>
              <w:t>-</w:t>
            </w:r>
          </w:p>
        </w:tc>
        <w:tc>
          <w:tcPr>
            <w:tcW w:w="601" w:type="pct"/>
            <w:shd w:val="clear" w:color="auto" w:fill="BFBFBF" w:themeFill="background1" w:themeFillShade="BF"/>
            <w:vAlign w:val="center"/>
            <w:hideMark/>
          </w:tcPr>
          <w:p w14:paraId="7B3505E7" w14:textId="07EF9A63" w:rsidR="00E6142D" w:rsidRPr="00795F17" w:rsidRDefault="00E6142D" w:rsidP="002C1BC3">
            <w:pPr>
              <w:pStyle w:val="Teksttabelilewy"/>
              <w:rPr>
                <w:szCs w:val="20"/>
              </w:rPr>
            </w:pPr>
            <w:r w:rsidRPr="00795F17">
              <w:rPr>
                <w:szCs w:val="20"/>
              </w:rPr>
              <w:t>IIaPGW</w:t>
            </w:r>
          </w:p>
        </w:tc>
        <w:tc>
          <w:tcPr>
            <w:tcW w:w="389" w:type="pct"/>
            <w:shd w:val="clear" w:color="auto" w:fill="BFBFBF" w:themeFill="background1" w:themeFillShade="BF"/>
            <w:vAlign w:val="center"/>
            <w:hideMark/>
          </w:tcPr>
          <w:p w14:paraId="3C307BEF" w14:textId="0E028C9A" w:rsidR="00E6142D" w:rsidRPr="00795F17" w:rsidRDefault="00E6142D" w:rsidP="001E0B2C">
            <w:pPr>
              <w:pStyle w:val="Teksttabelisrodek"/>
              <w:rPr>
                <w:szCs w:val="20"/>
              </w:rPr>
            </w:pPr>
            <w:r w:rsidRPr="00795F17">
              <w:rPr>
                <w:szCs w:val="20"/>
              </w:rPr>
              <w:t>148</w:t>
            </w:r>
          </w:p>
        </w:tc>
        <w:tc>
          <w:tcPr>
            <w:tcW w:w="341" w:type="pct"/>
            <w:shd w:val="clear" w:color="auto" w:fill="BFBFBF" w:themeFill="background1" w:themeFillShade="BF"/>
            <w:vAlign w:val="center"/>
            <w:hideMark/>
          </w:tcPr>
          <w:p w14:paraId="2B0F53F8" w14:textId="12D8B21C" w:rsidR="00E6142D" w:rsidRPr="00795F17" w:rsidRDefault="00E6142D" w:rsidP="001E0B2C">
            <w:pPr>
              <w:pStyle w:val="Teksttabelisrodek"/>
              <w:rPr>
                <w:szCs w:val="20"/>
              </w:rPr>
            </w:pPr>
            <w:r w:rsidRPr="00795F17">
              <w:rPr>
                <w:szCs w:val="20"/>
              </w:rPr>
              <w:t>142</w:t>
            </w:r>
          </w:p>
        </w:tc>
        <w:tc>
          <w:tcPr>
            <w:tcW w:w="506" w:type="pct"/>
            <w:shd w:val="clear" w:color="auto" w:fill="BFBFBF" w:themeFill="background1" w:themeFillShade="BF"/>
            <w:vAlign w:val="center"/>
            <w:hideMark/>
          </w:tcPr>
          <w:p w14:paraId="06152A43" w14:textId="1E359E90" w:rsidR="00E6142D" w:rsidRPr="00795F17" w:rsidRDefault="00E6142D" w:rsidP="001E0B2C">
            <w:pPr>
              <w:pStyle w:val="Teksttabelisrodek"/>
              <w:rPr>
                <w:szCs w:val="20"/>
              </w:rPr>
            </w:pPr>
            <w:r w:rsidRPr="00795F17">
              <w:rPr>
                <w:szCs w:val="20"/>
              </w:rPr>
              <w:t>5</w:t>
            </w:r>
          </w:p>
        </w:tc>
        <w:tc>
          <w:tcPr>
            <w:tcW w:w="362" w:type="pct"/>
            <w:shd w:val="clear" w:color="auto" w:fill="BFBFBF" w:themeFill="background1" w:themeFillShade="BF"/>
            <w:vAlign w:val="center"/>
            <w:hideMark/>
          </w:tcPr>
          <w:p w14:paraId="750305A8" w14:textId="0A10AB3F" w:rsidR="00E6142D" w:rsidRPr="00795F17" w:rsidRDefault="00E6142D" w:rsidP="001E0B2C">
            <w:pPr>
              <w:pStyle w:val="Teksttabelisrodek"/>
              <w:rPr>
                <w:szCs w:val="20"/>
              </w:rPr>
            </w:pPr>
            <w:r w:rsidRPr="00795F17">
              <w:rPr>
                <w:szCs w:val="20"/>
              </w:rPr>
              <w:t>1</w:t>
            </w:r>
          </w:p>
        </w:tc>
        <w:tc>
          <w:tcPr>
            <w:tcW w:w="362" w:type="pct"/>
            <w:shd w:val="clear" w:color="auto" w:fill="BFBFBF" w:themeFill="background1" w:themeFillShade="BF"/>
            <w:vAlign w:val="center"/>
            <w:hideMark/>
          </w:tcPr>
          <w:p w14:paraId="0FFCFC83" w14:textId="3C863474"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776FF871" w14:textId="03971232" w:rsidR="00E6142D" w:rsidRPr="00795F17" w:rsidRDefault="00E6142D" w:rsidP="001E0B2C">
            <w:pPr>
              <w:pStyle w:val="Teksttabelisrodek"/>
              <w:rPr>
                <w:szCs w:val="20"/>
              </w:rPr>
            </w:pPr>
            <w:r w:rsidRPr="00795F17">
              <w:rPr>
                <w:szCs w:val="20"/>
              </w:rPr>
              <w:t>100</w:t>
            </w:r>
          </w:p>
        </w:tc>
        <w:tc>
          <w:tcPr>
            <w:tcW w:w="362" w:type="pct"/>
            <w:shd w:val="clear" w:color="auto" w:fill="BFBFBF" w:themeFill="background1" w:themeFillShade="BF"/>
            <w:vAlign w:val="center"/>
            <w:hideMark/>
          </w:tcPr>
          <w:p w14:paraId="1D9AF280" w14:textId="55A1C9A7" w:rsidR="00E6142D" w:rsidRPr="00795F17" w:rsidRDefault="00E6142D" w:rsidP="001E0B2C">
            <w:pPr>
              <w:pStyle w:val="Teksttabelisrodek"/>
              <w:rPr>
                <w:szCs w:val="20"/>
              </w:rPr>
            </w:pPr>
            <w:r w:rsidRPr="00795F17">
              <w:rPr>
                <w:szCs w:val="20"/>
              </w:rPr>
              <w:t>5</w:t>
            </w:r>
          </w:p>
        </w:tc>
        <w:tc>
          <w:tcPr>
            <w:tcW w:w="360" w:type="pct"/>
            <w:shd w:val="clear" w:color="auto" w:fill="BFBFBF" w:themeFill="background1" w:themeFillShade="BF"/>
            <w:vAlign w:val="center"/>
            <w:hideMark/>
          </w:tcPr>
          <w:p w14:paraId="5C55DE42" w14:textId="3AC1DC11" w:rsidR="00E6142D" w:rsidRPr="00795F17" w:rsidRDefault="00E6142D" w:rsidP="001E0B2C">
            <w:pPr>
              <w:pStyle w:val="Teksttabelisrodek"/>
              <w:rPr>
                <w:szCs w:val="20"/>
              </w:rPr>
            </w:pPr>
            <w:r w:rsidRPr="00795F17">
              <w:rPr>
                <w:szCs w:val="20"/>
              </w:rPr>
              <w:t>43</w:t>
            </w:r>
          </w:p>
        </w:tc>
      </w:tr>
      <w:tr w:rsidR="00E6142D" w:rsidRPr="00795F17" w14:paraId="581B9F59" w14:textId="77777777" w:rsidTr="00CD4C71">
        <w:trPr>
          <w:trHeight w:val="397"/>
        </w:trPr>
        <w:tc>
          <w:tcPr>
            <w:tcW w:w="678" w:type="pct"/>
            <w:vAlign w:val="center"/>
            <w:hideMark/>
          </w:tcPr>
          <w:p w14:paraId="596C337C" w14:textId="7F2C658F" w:rsidR="00E6142D" w:rsidRPr="00795F17" w:rsidRDefault="001E0B2C" w:rsidP="002C1BC3">
            <w:pPr>
              <w:pStyle w:val="Teksttabelilewy"/>
              <w:rPr>
                <w:szCs w:val="20"/>
              </w:rPr>
            </w:pPr>
            <w:r w:rsidRPr="00795F17">
              <w:rPr>
                <w:szCs w:val="20"/>
              </w:rPr>
              <w:t>-</w:t>
            </w:r>
            <w:r w:rsidR="00E6142D" w:rsidRPr="00795F17">
              <w:rPr>
                <w:szCs w:val="20"/>
              </w:rPr>
              <w:t> </w:t>
            </w:r>
          </w:p>
        </w:tc>
        <w:tc>
          <w:tcPr>
            <w:tcW w:w="677" w:type="pct"/>
            <w:vAlign w:val="center"/>
            <w:hideMark/>
          </w:tcPr>
          <w:p w14:paraId="26FFF8F6" w14:textId="1DD89BB9" w:rsidR="00E6142D" w:rsidRPr="00795F17" w:rsidRDefault="00E6142D" w:rsidP="002C1BC3">
            <w:pPr>
              <w:pStyle w:val="Teksttabelilewy"/>
              <w:rPr>
                <w:szCs w:val="20"/>
              </w:rPr>
            </w:pPr>
            <w:r w:rsidRPr="00795F17">
              <w:rPr>
                <w:szCs w:val="20"/>
              </w:rPr>
              <w:t>Środkowej Odry</w:t>
            </w:r>
          </w:p>
        </w:tc>
        <w:tc>
          <w:tcPr>
            <w:tcW w:w="601" w:type="pct"/>
            <w:vAlign w:val="center"/>
            <w:hideMark/>
          </w:tcPr>
          <w:p w14:paraId="44FEB1D6" w14:textId="19DACD98" w:rsidR="00E6142D" w:rsidRPr="00795F17" w:rsidRDefault="00E6142D" w:rsidP="002C1BC3">
            <w:pPr>
              <w:pStyle w:val="Teksttabelilewy"/>
              <w:rPr>
                <w:szCs w:val="20"/>
              </w:rPr>
            </w:pPr>
            <w:r w:rsidRPr="00795F17">
              <w:rPr>
                <w:szCs w:val="20"/>
              </w:rPr>
              <w:t>aPGW</w:t>
            </w:r>
          </w:p>
        </w:tc>
        <w:tc>
          <w:tcPr>
            <w:tcW w:w="389" w:type="pct"/>
            <w:vAlign w:val="center"/>
            <w:hideMark/>
          </w:tcPr>
          <w:p w14:paraId="79F9289E" w14:textId="7A0DFB55" w:rsidR="00E6142D" w:rsidRPr="00795F17" w:rsidRDefault="00E6142D" w:rsidP="001E0B2C">
            <w:pPr>
              <w:pStyle w:val="Teksttabelisrodek"/>
              <w:rPr>
                <w:szCs w:val="20"/>
              </w:rPr>
            </w:pPr>
            <w:r w:rsidRPr="00795F17">
              <w:rPr>
                <w:szCs w:val="20"/>
              </w:rPr>
              <w:t>707</w:t>
            </w:r>
          </w:p>
        </w:tc>
        <w:tc>
          <w:tcPr>
            <w:tcW w:w="341" w:type="pct"/>
            <w:vAlign w:val="center"/>
            <w:hideMark/>
          </w:tcPr>
          <w:p w14:paraId="66983958" w14:textId="056FF826" w:rsidR="00E6142D" w:rsidRPr="00795F17" w:rsidRDefault="00E6142D" w:rsidP="001E0B2C">
            <w:pPr>
              <w:pStyle w:val="Teksttabelisrodek"/>
              <w:rPr>
                <w:szCs w:val="20"/>
              </w:rPr>
            </w:pPr>
            <w:r w:rsidRPr="00795F17">
              <w:rPr>
                <w:szCs w:val="20"/>
              </w:rPr>
              <w:t>683</w:t>
            </w:r>
          </w:p>
        </w:tc>
        <w:tc>
          <w:tcPr>
            <w:tcW w:w="506" w:type="pct"/>
            <w:vAlign w:val="center"/>
            <w:hideMark/>
          </w:tcPr>
          <w:p w14:paraId="78DCE039" w14:textId="338F7E7B" w:rsidR="00E6142D" w:rsidRPr="00795F17" w:rsidRDefault="00E6142D" w:rsidP="001E0B2C">
            <w:pPr>
              <w:pStyle w:val="Teksttabelisrodek"/>
              <w:rPr>
                <w:szCs w:val="20"/>
              </w:rPr>
            </w:pPr>
            <w:r w:rsidRPr="00795F17">
              <w:rPr>
                <w:szCs w:val="20"/>
              </w:rPr>
              <w:t>0</w:t>
            </w:r>
          </w:p>
        </w:tc>
        <w:tc>
          <w:tcPr>
            <w:tcW w:w="362" w:type="pct"/>
            <w:vAlign w:val="center"/>
            <w:hideMark/>
          </w:tcPr>
          <w:p w14:paraId="4C92E331" w14:textId="22F402C3" w:rsidR="00E6142D" w:rsidRPr="00795F17" w:rsidRDefault="00E6142D" w:rsidP="001E0B2C">
            <w:pPr>
              <w:pStyle w:val="Teksttabelisrodek"/>
              <w:rPr>
                <w:szCs w:val="20"/>
              </w:rPr>
            </w:pPr>
            <w:r w:rsidRPr="00795F17">
              <w:rPr>
                <w:szCs w:val="20"/>
              </w:rPr>
              <w:t>24</w:t>
            </w:r>
          </w:p>
        </w:tc>
        <w:tc>
          <w:tcPr>
            <w:tcW w:w="362" w:type="pct"/>
            <w:vAlign w:val="center"/>
            <w:hideMark/>
          </w:tcPr>
          <w:p w14:paraId="3A22ABA3" w14:textId="061AB0A9" w:rsidR="00E6142D" w:rsidRPr="00795F17" w:rsidRDefault="00E6142D" w:rsidP="001E0B2C">
            <w:pPr>
              <w:pStyle w:val="Teksttabelisrodek"/>
              <w:rPr>
                <w:szCs w:val="20"/>
              </w:rPr>
            </w:pPr>
            <w:r w:rsidRPr="00795F17">
              <w:rPr>
                <w:szCs w:val="20"/>
              </w:rPr>
              <w:t>0</w:t>
            </w:r>
          </w:p>
        </w:tc>
        <w:tc>
          <w:tcPr>
            <w:tcW w:w="362" w:type="pct"/>
            <w:vAlign w:val="center"/>
            <w:hideMark/>
          </w:tcPr>
          <w:p w14:paraId="5F1F6813" w14:textId="48F7F140" w:rsidR="00E6142D" w:rsidRPr="00795F17" w:rsidRDefault="00E6142D" w:rsidP="001E0B2C">
            <w:pPr>
              <w:pStyle w:val="Teksttabelisrodek"/>
              <w:rPr>
                <w:szCs w:val="20"/>
              </w:rPr>
            </w:pPr>
            <w:r w:rsidRPr="00795F17">
              <w:rPr>
                <w:szCs w:val="20"/>
              </w:rPr>
              <w:t>450</w:t>
            </w:r>
          </w:p>
        </w:tc>
        <w:tc>
          <w:tcPr>
            <w:tcW w:w="362" w:type="pct"/>
            <w:vAlign w:val="center"/>
            <w:hideMark/>
          </w:tcPr>
          <w:p w14:paraId="52E89544" w14:textId="6AEF0461" w:rsidR="00E6142D" w:rsidRPr="00795F17" w:rsidRDefault="00E6142D" w:rsidP="001E0B2C">
            <w:pPr>
              <w:pStyle w:val="Teksttabelisrodek"/>
              <w:rPr>
                <w:szCs w:val="20"/>
              </w:rPr>
            </w:pPr>
            <w:r w:rsidRPr="00795F17">
              <w:rPr>
                <w:szCs w:val="20"/>
              </w:rPr>
              <w:t>10</w:t>
            </w:r>
          </w:p>
        </w:tc>
        <w:tc>
          <w:tcPr>
            <w:tcW w:w="360" w:type="pct"/>
            <w:vAlign w:val="center"/>
            <w:hideMark/>
          </w:tcPr>
          <w:p w14:paraId="3FB32EEA" w14:textId="6E87FF29" w:rsidR="00E6142D" w:rsidRPr="00795F17" w:rsidRDefault="00E6142D" w:rsidP="001E0B2C">
            <w:pPr>
              <w:pStyle w:val="Teksttabelisrodek"/>
              <w:rPr>
                <w:szCs w:val="20"/>
              </w:rPr>
            </w:pPr>
            <w:r w:rsidRPr="00795F17">
              <w:rPr>
                <w:szCs w:val="20"/>
              </w:rPr>
              <w:t>247</w:t>
            </w:r>
          </w:p>
        </w:tc>
      </w:tr>
      <w:tr w:rsidR="00E6142D" w:rsidRPr="00795F17" w14:paraId="1B480193" w14:textId="77777777" w:rsidTr="00CD4C71">
        <w:trPr>
          <w:trHeight w:val="397"/>
        </w:trPr>
        <w:tc>
          <w:tcPr>
            <w:tcW w:w="678" w:type="pct"/>
            <w:shd w:val="clear" w:color="auto" w:fill="BFBFBF" w:themeFill="background1" w:themeFillShade="BF"/>
            <w:vAlign w:val="center"/>
            <w:hideMark/>
          </w:tcPr>
          <w:p w14:paraId="36BCF917" w14:textId="7254C6E5" w:rsidR="00E6142D" w:rsidRPr="00795F17" w:rsidRDefault="00E6142D" w:rsidP="002C1BC3">
            <w:pPr>
              <w:pStyle w:val="Teksttabelilewy"/>
              <w:rPr>
                <w:szCs w:val="20"/>
              </w:rPr>
            </w:pPr>
            <w:r w:rsidRPr="00795F17">
              <w:rPr>
                <w:szCs w:val="20"/>
              </w:rPr>
              <w:t>Środkowej Odry</w:t>
            </w:r>
          </w:p>
        </w:tc>
        <w:tc>
          <w:tcPr>
            <w:tcW w:w="677" w:type="pct"/>
            <w:shd w:val="clear" w:color="auto" w:fill="BFBFBF" w:themeFill="background1" w:themeFillShade="BF"/>
            <w:vAlign w:val="center"/>
            <w:hideMark/>
          </w:tcPr>
          <w:p w14:paraId="0AACC671" w14:textId="65412179" w:rsidR="00E6142D" w:rsidRPr="00795F17" w:rsidRDefault="001E0B2C" w:rsidP="002C1BC3">
            <w:pPr>
              <w:pStyle w:val="Teksttabelilewy"/>
              <w:rPr>
                <w:szCs w:val="20"/>
              </w:rPr>
            </w:pPr>
            <w:r w:rsidRPr="00795F17">
              <w:rPr>
                <w:szCs w:val="20"/>
              </w:rPr>
              <w:t>-</w:t>
            </w:r>
            <w:r w:rsidR="00E6142D" w:rsidRPr="00795F17">
              <w:rPr>
                <w:szCs w:val="20"/>
              </w:rPr>
              <w:t> </w:t>
            </w:r>
          </w:p>
        </w:tc>
        <w:tc>
          <w:tcPr>
            <w:tcW w:w="601" w:type="pct"/>
            <w:shd w:val="clear" w:color="auto" w:fill="BFBFBF" w:themeFill="background1" w:themeFillShade="BF"/>
            <w:vAlign w:val="center"/>
            <w:hideMark/>
          </w:tcPr>
          <w:p w14:paraId="2145A3C9" w14:textId="15635F33" w:rsidR="00E6142D" w:rsidRPr="00795F17" w:rsidRDefault="00E6142D" w:rsidP="002C1BC3">
            <w:pPr>
              <w:pStyle w:val="Teksttabelilewy"/>
              <w:rPr>
                <w:szCs w:val="20"/>
              </w:rPr>
            </w:pPr>
            <w:r w:rsidRPr="00795F17">
              <w:rPr>
                <w:szCs w:val="20"/>
              </w:rPr>
              <w:t>IIaPGW</w:t>
            </w:r>
          </w:p>
        </w:tc>
        <w:tc>
          <w:tcPr>
            <w:tcW w:w="389" w:type="pct"/>
            <w:shd w:val="clear" w:color="auto" w:fill="BFBFBF" w:themeFill="background1" w:themeFillShade="BF"/>
            <w:vAlign w:val="center"/>
            <w:hideMark/>
          </w:tcPr>
          <w:p w14:paraId="07A91B7B" w14:textId="2047F29C" w:rsidR="00E6142D" w:rsidRPr="00795F17" w:rsidRDefault="00E6142D" w:rsidP="001E0B2C">
            <w:pPr>
              <w:pStyle w:val="Teksttabelisrodek"/>
              <w:rPr>
                <w:szCs w:val="20"/>
              </w:rPr>
            </w:pPr>
            <w:r w:rsidRPr="00795F17">
              <w:rPr>
                <w:szCs w:val="20"/>
              </w:rPr>
              <w:t>488</w:t>
            </w:r>
          </w:p>
        </w:tc>
        <w:tc>
          <w:tcPr>
            <w:tcW w:w="341" w:type="pct"/>
            <w:shd w:val="clear" w:color="auto" w:fill="BFBFBF" w:themeFill="background1" w:themeFillShade="BF"/>
            <w:vAlign w:val="center"/>
            <w:hideMark/>
          </w:tcPr>
          <w:p w14:paraId="7D8FFFC4" w14:textId="0332FE4D" w:rsidR="00E6142D" w:rsidRPr="00795F17" w:rsidRDefault="00E6142D" w:rsidP="001E0B2C">
            <w:pPr>
              <w:pStyle w:val="Teksttabelisrodek"/>
              <w:rPr>
                <w:szCs w:val="20"/>
              </w:rPr>
            </w:pPr>
            <w:r w:rsidRPr="00795F17">
              <w:rPr>
                <w:szCs w:val="20"/>
              </w:rPr>
              <w:t>446</w:t>
            </w:r>
          </w:p>
        </w:tc>
        <w:tc>
          <w:tcPr>
            <w:tcW w:w="506" w:type="pct"/>
            <w:shd w:val="clear" w:color="auto" w:fill="BFBFBF" w:themeFill="background1" w:themeFillShade="BF"/>
            <w:vAlign w:val="center"/>
            <w:hideMark/>
          </w:tcPr>
          <w:p w14:paraId="18540A5A" w14:textId="56528938" w:rsidR="00E6142D" w:rsidRPr="00795F17" w:rsidRDefault="00E6142D" w:rsidP="001E0B2C">
            <w:pPr>
              <w:pStyle w:val="Teksttabelisrodek"/>
              <w:rPr>
                <w:szCs w:val="20"/>
              </w:rPr>
            </w:pPr>
            <w:r w:rsidRPr="00795F17">
              <w:rPr>
                <w:szCs w:val="20"/>
              </w:rPr>
              <w:t>15</w:t>
            </w:r>
          </w:p>
        </w:tc>
        <w:tc>
          <w:tcPr>
            <w:tcW w:w="362" w:type="pct"/>
            <w:shd w:val="clear" w:color="auto" w:fill="BFBFBF" w:themeFill="background1" w:themeFillShade="BF"/>
            <w:vAlign w:val="center"/>
            <w:hideMark/>
          </w:tcPr>
          <w:p w14:paraId="6B1DD3D1" w14:textId="3766FA7F" w:rsidR="00E6142D" w:rsidRPr="00795F17" w:rsidRDefault="00E6142D" w:rsidP="001E0B2C">
            <w:pPr>
              <w:pStyle w:val="Teksttabelisrodek"/>
              <w:rPr>
                <w:szCs w:val="20"/>
              </w:rPr>
            </w:pPr>
            <w:r w:rsidRPr="00795F17">
              <w:rPr>
                <w:szCs w:val="20"/>
              </w:rPr>
              <w:t>27</w:t>
            </w:r>
          </w:p>
        </w:tc>
        <w:tc>
          <w:tcPr>
            <w:tcW w:w="362" w:type="pct"/>
            <w:shd w:val="clear" w:color="auto" w:fill="BFBFBF" w:themeFill="background1" w:themeFillShade="BF"/>
            <w:vAlign w:val="center"/>
            <w:hideMark/>
          </w:tcPr>
          <w:p w14:paraId="7253F0CF" w14:textId="04A499C1"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194A2705" w14:textId="39AB3CC2" w:rsidR="00E6142D" w:rsidRPr="00795F17" w:rsidRDefault="00E6142D" w:rsidP="001E0B2C">
            <w:pPr>
              <w:pStyle w:val="Teksttabelisrodek"/>
              <w:rPr>
                <w:szCs w:val="20"/>
              </w:rPr>
            </w:pPr>
            <w:r w:rsidRPr="00795F17">
              <w:rPr>
                <w:szCs w:val="20"/>
              </w:rPr>
              <w:t>336</w:t>
            </w:r>
          </w:p>
        </w:tc>
        <w:tc>
          <w:tcPr>
            <w:tcW w:w="362" w:type="pct"/>
            <w:shd w:val="clear" w:color="auto" w:fill="BFBFBF" w:themeFill="background1" w:themeFillShade="BF"/>
            <w:vAlign w:val="center"/>
            <w:hideMark/>
          </w:tcPr>
          <w:p w14:paraId="4CC79AFF" w14:textId="7946A86D" w:rsidR="00E6142D" w:rsidRPr="00795F17" w:rsidRDefault="00E6142D" w:rsidP="001E0B2C">
            <w:pPr>
              <w:pStyle w:val="Teksttabelisrodek"/>
              <w:rPr>
                <w:szCs w:val="20"/>
              </w:rPr>
            </w:pPr>
            <w:r w:rsidRPr="00795F17">
              <w:rPr>
                <w:szCs w:val="20"/>
              </w:rPr>
              <w:t>9</w:t>
            </w:r>
          </w:p>
        </w:tc>
        <w:tc>
          <w:tcPr>
            <w:tcW w:w="360" w:type="pct"/>
            <w:shd w:val="clear" w:color="auto" w:fill="BFBFBF" w:themeFill="background1" w:themeFillShade="BF"/>
            <w:vAlign w:val="center"/>
            <w:hideMark/>
          </w:tcPr>
          <w:p w14:paraId="2091FA9C" w14:textId="26B86884" w:rsidR="00E6142D" w:rsidRPr="00795F17" w:rsidRDefault="00E6142D" w:rsidP="001E0B2C">
            <w:pPr>
              <w:pStyle w:val="Teksttabelisrodek"/>
              <w:rPr>
                <w:szCs w:val="20"/>
              </w:rPr>
            </w:pPr>
            <w:r w:rsidRPr="00795F17">
              <w:rPr>
                <w:szCs w:val="20"/>
              </w:rPr>
              <w:t>143</w:t>
            </w:r>
          </w:p>
        </w:tc>
      </w:tr>
      <w:tr w:rsidR="00E6142D" w:rsidRPr="00795F17" w14:paraId="045F7775" w14:textId="77777777" w:rsidTr="00CD4C71">
        <w:trPr>
          <w:trHeight w:val="397"/>
        </w:trPr>
        <w:tc>
          <w:tcPr>
            <w:tcW w:w="678" w:type="pct"/>
            <w:shd w:val="clear" w:color="auto" w:fill="BFBFBF" w:themeFill="background1" w:themeFillShade="BF"/>
            <w:vAlign w:val="center"/>
            <w:hideMark/>
          </w:tcPr>
          <w:p w14:paraId="34712225" w14:textId="0EAE08FC" w:rsidR="00E6142D" w:rsidRPr="00795F17" w:rsidRDefault="00E6142D" w:rsidP="002C1BC3">
            <w:pPr>
              <w:pStyle w:val="Teksttabelilewy"/>
              <w:rPr>
                <w:szCs w:val="20"/>
              </w:rPr>
            </w:pPr>
            <w:r w:rsidRPr="00795F17">
              <w:rPr>
                <w:szCs w:val="20"/>
              </w:rPr>
              <w:t> </w:t>
            </w:r>
            <w:r w:rsidR="001E0B2C" w:rsidRPr="00795F17">
              <w:rPr>
                <w:szCs w:val="20"/>
              </w:rPr>
              <w:t>-</w:t>
            </w:r>
          </w:p>
        </w:tc>
        <w:tc>
          <w:tcPr>
            <w:tcW w:w="677" w:type="pct"/>
            <w:shd w:val="clear" w:color="auto" w:fill="BFBFBF" w:themeFill="background1" w:themeFillShade="BF"/>
            <w:vAlign w:val="center"/>
            <w:hideMark/>
          </w:tcPr>
          <w:p w14:paraId="7337B2B1" w14:textId="702471EF" w:rsidR="00E6142D" w:rsidRPr="00795F17" w:rsidRDefault="00E6142D" w:rsidP="002C1BC3">
            <w:pPr>
              <w:pStyle w:val="Teksttabelilewy"/>
              <w:rPr>
                <w:szCs w:val="20"/>
              </w:rPr>
            </w:pPr>
            <w:r w:rsidRPr="00795F17">
              <w:rPr>
                <w:szCs w:val="20"/>
              </w:rPr>
              <w:t>Warty</w:t>
            </w:r>
          </w:p>
        </w:tc>
        <w:tc>
          <w:tcPr>
            <w:tcW w:w="601" w:type="pct"/>
            <w:shd w:val="clear" w:color="auto" w:fill="BFBFBF" w:themeFill="background1" w:themeFillShade="BF"/>
            <w:vAlign w:val="center"/>
            <w:hideMark/>
          </w:tcPr>
          <w:p w14:paraId="3ACF148E" w14:textId="4133D962" w:rsidR="00E6142D" w:rsidRPr="00795F17" w:rsidRDefault="00E6142D" w:rsidP="002C1BC3">
            <w:pPr>
              <w:pStyle w:val="Teksttabelilewy"/>
              <w:rPr>
                <w:szCs w:val="20"/>
              </w:rPr>
            </w:pPr>
            <w:r w:rsidRPr="00795F17">
              <w:rPr>
                <w:szCs w:val="20"/>
              </w:rPr>
              <w:t>aPGW</w:t>
            </w:r>
          </w:p>
        </w:tc>
        <w:tc>
          <w:tcPr>
            <w:tcW w:w="389" w:type="pct"/>
            <w:shd w:val="clear" w:color="auto" w:fill="BFBFBF" w:themeFill="background1" w:themeFillShade="BF"/>
            <w:vAlign w:val="center"/>
            <w:hideMark/>
          </w:tcPr>
          <w:p w14:paraId="355466ED" w14:textId="7D274C4E" w:rsidR="00E6142D" w:rsidRPr="00795F17" w:rsidRDefault="00E6142D" w:rsidP="001E0B2C">
            <w:pPr>
              <w:pStyle w:val="Teksttabelisrodek"/>
              <w:rPr>
                <w:szCs w:val="20"/>
              </w:rPr>
            </w:pPr>
            <w:r w:rsidRPr="00795F17">
              <w:rPr>
                <w:szCs w:val="20"/>
              </w:rPr>
              <w:t>917</w:t>
            </w:r>
          </w:p>
        </w:tc>
        <w:tc>
          <w:tcPr>
            <w:tcW w:w="341" w:type="pct"/>
            <w:shd w:val="clear" w:color="auto" w:fill="BFBFBF" w:themeFill="background1" w:themeFillShade="BF"/>
            <w:vAlign w:val="center"/>
            <w:hideMark/>
          </w:tcPr>
          <w:p w14:paraId="01FD55B0" w14:textId="67A74604" w:rsidR="00E6142D" w:rsidRPr="00795F17" w:rsidRDefault="00E6142D" w:rsidP="001E0B2C">
            <w:pPr>
              <w:pStyle w:val="Teksttabelisrodek"/>
              <w:rPr>
                <w:szCs w:val="20"/>
              </w:rPr>
            </w:pPr>
            <w:r w:rsidRPr="00795F17">
              <w:rPr>
                <w:szCs w:val="20"/>
              </w:rPr>
              <w:t>632</w:t>
            </w:r>
          </w:p>
        </w:tc>
        <w:tc>
          <w:tcPr>
            <w:tcW w:w="506" w:type="pct"/>
            <w:shd w:val="clear" w:color="auto" w:fill="BFBFBF" w:themeFill="background1" w:themeFillShade="BF"/>
            <w:vAlign w:val="center"/>
            <w:hideMark/>
          </w:tcPr>
          <w:p w14:paraId="6ECCEE44" w14:textId="1736070F"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46DDA2C9" w14:textId="0EB98ABE" w:rsidR="00E6142D" w:rsidRPr="00795F17" w:rsidRDefault="00E6142D" w:rsidP="001E0B2C">
            <w:pPr>
              <w:pStyle w:val="Teksttabelisrodek"/>
              <w:rPr>
                <w:szCs w:val="20"/>
              </w:rPr>
            </w:pPr>
            <w:r w:rsidRPr="00795F17">
              <w:rPr>
                <w:szCs w:val="20"/>
              </w:rPr>
              <w:t>285</w:t>
            </w:r>
          </w:p>
        </w:tc>
        <w:tc>
          <w:tcPr>
            <w:tcW w:w="362" w:type="pct"/>
            <w:shd w:val="clear" w:color="auto" w:fill="BFBFBF" w:themeFill="background1" w:themeFillShade="BF"/>
            <w:vAlign w:val="center"/>
            <w:hideMark/>
          </w:tcPr>
          <w:p w14:paraId="3FBAE225" w14:textId="7F0C48A7"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7F827935" w14:textId="154C2043" w:rsidR="00E6142D" w:rsidRPr="00795F17" w:rsidRDefault="00E6142D" w:rsidP="001E0B2C">
            <w:pPr>
              <w:pStyle w:val="Teksttabelisrodek"/>
              <w:rPr>
                <w:szCs w:val="20"/>
              </w:rPr>
            </w:pPr>
            <w:r w:rsidRPr="00795F17">
              <w:rPr>
                <w:szCs w:val="20"/>
              </w:rPr>
              <w:t>662</w:t>
            </w:r>
          </w:p>
        </w:tc>
        <w:tc>
          <w:tcPr>
            <w:tcW w:w="362" w:type="pct"/>
            <w:shd w:val="clear" w:color="auto" w:fill="BFBFBF" w:themeFill="background1" w:themeFillShade="BF"/>
            <w:vAlign w:val="center"/>
            <w:hideMark/>
          </w:tcPr>
          <w:p w14:paraId="4B70E94E" w14:textId="247E6BE7" w:rsidR="00E6142D" w:rsidRPr="00795F17" w:rsidRDefault="00E6142D" w:rsidP="001E0B2C">
            <w:pPr>
              <w:pStyle w:val="Teksttabelisrodek"/>
              <w:rPr>
                <w:szCs w:val="20"/>
              </w:rPr>
            </w:pPr>
            <w:r w:rsidRPr="00795F17">
              <w:rPr>
                <w:szCs w:val="20"/>
              </w:rPr>
              <w:t>23</w:t>
            </w:r>
          </w:p>
        </w:tc>
        <w:tc>
          <w:tcPr>
            <w:tcW w:w="360" w:type="pct"/>
            <w:shd w:val="clear" w:color="auto" w:fill="BFBFBF" w:themeFill="background1" w:themeFillShade="BF"/>
            <w:vAlign w:val="center"/>
            <w:hideMark/>
          </w:tcPr>
          <w:p w14:paraId="45B32356" w14:textId="20FE5449" w:rsidR="00E6142D" w:rsidRPr="00795F17" w:rsidRDefault="00E6142D" w:rsidP="001E0B2C">
            <w:pPr>
              <w:pStyle w:val="Teksttabelisrodek"/>
              <w:rPr>
                <w:szCs w:val="20"/>
              </w:rPr>
            </w:pPr>
            <w:r w:rsidRPr="00795F17">
              <w:rPr>
                <w:szCs w:val="20"/>
              </w:rPr>
              <w:t>232</w:t>
            </w:r>
          </w:p>
        </w:tc>
      </w:tr>
      <w:tr w:rsidR="00E6142D" w:rsidRPr="00795F17" w14:paraId="71022218" w14:textId="77777777" w:rsidTr="00CD4C71">
        <w:trPr>
          <w:trHeight w:val="397"/>
        </w:trPr>
        <w:tc>
          <w:tcPr>
            <w:tcW w:w="678" w:type="pct"/>
            <w:vAlign w:val="center"/>
            <w:hideMark/>
          </w:tcPr>
          <w:p w14:paraId="5D76757B" w14:textId="57F4466A" w:rsidR="00E6142D" w:rsidRPr="00795F17" w:rsidRDefault="00E6142D" w:rsidP="002C1BC3">
            <w:pPr>
              <w:pStyle w:val="Teksttabelilewy"/>
              <w:rPr>
                <w:szCs w:val="20"/>
              </w:rPr>
            </w:pPr>
            <w:r w:rsidRPr="00795F17">
              <w:rPr>
                <w:szCs w:val="20"/>
              </w:rPr>
              <w:t>Noteci</w:t>
            </w:r>
          </w:p>
        </w:tc>
        <w:tc>
          <w:tcPr>
            <w:tcW w:w="677" w:type="pct"/>
            <w:vAlign w:val="center"/>
            <w:hideMark/>
          </w:tcPr>
          <w:p w14:paraId="2485CF72" w14:textId="459B5FD9" w:rsidR="00E6142D" w:rsidRPr="00795F17" w:rsidRDefault="00E6142D" w:rsidP="002C1BC3">
            <w:pPr>
              <w:pStyle w:val="Teksttabelilewy"/>
              <w:rPr>
                <w:szCs w:val="20"/>
              </w:rPr>
            </w:pPr>
            <w:r w:rsidRPr="00795F17">
              <w:rPr>
                <w:szCs w:val="20"/>
              </w:rPr>
              <w:t> </w:t>
            </w:r>
            <w:r w:rsidR="001E0B2C" w:rsidRPr="00795F17">
              <w:rPr>
                <w:szCs w:val="20"/>
              </w:rPr>
              <w:t>-</w:t>
            </w:r>
          </w:p>
        </w:tc>
        <w:tc>
          <w:tcPr>
            <w:tcW w:w="601" w:type="pct"/>
            <w:vAlign w:val="center"/>
            <w:hideMark/>
          </w:tcPr>
          <w:p w14:paraId="3C740123" w14:textId="5BFC26B2" w:rsidR="00E6142D" w:rsidRPr="00795F17" w:rsidRDefault="00E6142D" w:rsidP="002C1BC3">
            <w:pPr>
              <w:pStyle w:val="Teksttabelilewy"/>
              <w:rPr>
                <w:szCs w:val="20"/>
              </w:rPr>
            </w:pPr>
            <w:r w:rsidRPr="00795F17">
              <w:rPr>
                <w:szCs w:val="20"/>
              </w:rPr>
              <w:t>IIaPGW</w:t>
            </w:r>
          </w:p>
        </w:tc>
        <w:tc>
          <w:tcPr>
            <w:tcW w:w="389" w:type="pct"/>
            <w:vAlign w:val="center"/>
            <w:hideMark/>
          </w:tcPr>
          <w:p w14:paraId="495C6272" w14:textId="73656DE7" w:rsidR="00E6142D" w:rsidRPr="00795F17" w:rsidRDefault="00E6142D" w:rsidP="001E0B2C">
            <w:pPr>
              <w:pStyle w:val="Teksttabelisrodek"/>
              <w:rPr>
                <w:szCs w:val="20"/>
              </w:rPr>
            </w:pPr>
            <w:r w:rsidRPr="00795F17">
              <w:rPr>
                <w:szCs w:val="20"/>
              </w:rPr>
              <w:t>301</w:t>
            </w:r>
          </w:p>
        </w:tc>
        <w:tc>
          <w:tcPr>
            <w:tcW w:w="341" w:type="pct"/>
            <w:vAlign w:val="center"/>
            <w:hideMark/>
          </w:tcPr>
          <w:p w14:paraId="78399B3C" w14:textId="15361EB2" w:rsidR="00E6142D" w:rsidRPr="00795F17" w:rsidRDefault="00E6142D" w:rsidP="001E0B2C">
            <w:pPr>
              <w:pStyle w:val="Teksttabelisrodek"/>
              <w:rPr>
                <w:szCs w:val="20"/>
              </w:rPr>
            </w:pPr>
            <w:r w:rsidRPr="00795F17">
              <w:rPr>
                <w:szCs w:val="20"/>
              </w:rPr>
              <w:t>135</w:t>
            </w:r>
          </w:p>
        </w:tc>
        <w:tc>
          <w:tcPr>
            <w:tcW w:w="506" w:type="pct"/>
            <w:vAlign w:val="center"/>
            <w:hideMark/>
          </w:tcPr>
          <w:p w14:paraId="5505353F" w14:textId="58445C2B" w:rsidR="00E6142D" w:rsidRPr="00795F17" w:rsidRDefault="00E6142D" w:rsidP="001E0B2C">
            <w:pPr>
              <w:pStyle w:val="Teksttabelisrodek"/>
              <w:rPr>
                <w:szCs w:val="20"/>
              </w:rPr>
            </w:pPr>
            <w:r w:rsidRPr="00795F17">
              <w:rPr>
                <w:szCs w:val="20"/>
              </w:rPr>
              <w:t>0</w:t>
            </w:r>
          </w:p>
        </w:tc>
        <w:tc>
          <w:tcPr>
            <w:tcW w:w="362" w:type="pct"/>
            <w:vAlign w:val="center"/>
            <w:hideMark/>
          </w:tcPr>
          <w:p w14:paraId="43D893D1" w14:textId="5190BEBA" w:rsidR="00E6142D" w:rsidRPr="00795F17" w:rsidRDefault="00E6142D" w:rsidP="001E0B2C">
            <w:pPr>
              <w:pStyle w:val="Teksttabelisrodek"/>
              <w:rPr>
                <w:szCs w:val="20"/>
              </w:rPr>
            </w:pPr>
            <w:r w:rsidRPr="00795F17">
              <w:rPr>
                <w:szCs w:val="20"/>
              </w:rPr>
              <w:t>166</w:t>
            </w:r>
          </w:p>
        </w:tc>
        <w:tc>
          <w:tcPr>
            <w:tcW w:w="362" w:type="pct"/>
            <w:vAlign w:val="center"/>
            <w:hideMark/>
          </w:tcPr>
          <w:p w14:paraId="66ABA246" w14:textId="38F1CEFF" w:rsidR="00E6142D" w:rsidRPr="00795F17" w:rsidRDefault="00E6142D" w:rsidP="001E0B2C">
            <w:pPr>
              <w:pStyle w:val="Teksttabelisrodek"/>
              <w:rPr>
                <w:szCs w:val="20"/>
              </w:rPr>
            </w:pPr>
            <w:r w:rsidRPr="00795F17">
              <w:rPr>
                <w:szCs w:val="20"/>
              </w:rPr>
              <w:t>0</w:t>
            </w:r>
          </w:p>
        </w:tc>
        <w:tc>
          <w:tcPr>
            <w:tcW w:w="362" w:type="pct"/>
            <w:vAlign w:val="center"/>
            <w:hideMark/>
          </w:tcPr>
          <w:p w14:paraId="617D401A" w14:textId="2F9ED5EB" w:rsidR="00E6142D" w:rsidRPr="00795F17" w:rsidRDefault="00E6142D" w:rsidP="001E0B2C">
            <w:pPr>
              <w:pStyle w:val="Teksttabelisrodek"/>
              <w:rPr>
                <w:szCs w:val="20"/>
              </w:rPr>
            </w:pPr>
            <w:r w:rsidRPr="00795F17">
              <w:rPr>
                <w:szCs w:val="20"/>
              </w:rPr>
              <w:t>241</w:t>
            </w:r>
          </w:p>
        </w:tc>
        <w:tc>
          <w:tcPr>
            <w:tcW w:w="362" w:type="pct"/>
            <w:vAlign w:val="center"/>
            <w:hideMark/>
          </w:tcPr>
          <w:p w14:paraId="1D111C22" w14:textId="7B816492" w:rsidR="00E6142D" w:rsidRPr="00795F17" w:rsidRDefault="00E6142D" w:rsidP="001E0B2C">
            <w:pPr>
              <w:pStyle w:val="Teksttabelisrodek"/>
              <w:rPr>
                <w:szCs w:val="20"/>
              </w:rPr>
            </w:pPr>
            <w:r w:rsidRPr="00795F17">
              <w:rPr>
                <w:szCs w:val="20"/>
              </w:rPr>
              <w:t>5</w:t>
            </w:r>
          </w:p>
        </w:tc>
        <w:tc>
          <w:tcPr>
            <w:tcW w:w="360" w:type="pct"/>
            <w:vAlign w:val="center"/>
            <w:hideMark/>
          </w:tcPr>
          <w:p w14:paraId="34711367" w14:textId="2DFC2AD4" w:rsidR="00E6142D" w:rsidRPr="00795F17" w:rsidRDefault="00E6142D" w:rsidP="001E0B2C">
            <w:pPr>
              <w:pStyle w:val="Teksttabelisrodek"/>
              <w:rPr>
                <w:szCs w:val="20"/>
              </w:rPr>
            </w:pPr>
            <w:r w:rsidRPr="00795F17">
              <w:rPr>
                <w:szCs w:val="20"/>
              </w:rPr>
              <w:t>55</w:t>
            </w:r>
          </w:p>
        </w:tc>
      </w:tr>
      <w:tr w:rsidR="00E6142D" w:rsidRPr="00795F17" w14:paraId="28B1CA7C" w14:textId="77777777" w:rsidTr="00CD4C71">
        <w:trPr>
          <w:trHeight w:val="397"/>
        </w:trPr>
        <w:tc>
          <w:tcPr>
            <w:tcW w:w="678" w:type="pct"/>
            <w:vAlign w:val="center"/>
            <w:hideMark/>
          </w:tcPr>
          <w:p w14:paraId="79E2DE16" w14:textId="3E03CF2C" w:rsidR="00E6142D" w:rsidRPr="00795F17" w:rsidRDefault="00E6142D" w:rsidP="002C1BC3">
            <w:pPr>
              <w:pStyle w:val="Teksttabelilewy"/>
              <w:rPr>
                <w:szCs w:val="20"/>
              </w:rPr>
            </w:pPr>
            <w:r w:rsidRPr="00795F17">
              <w:rPr>
                <w:szCs w:val="20"/>
              </w:rPr>
              <w:t>Warty</w:t>
            </w:r>
          </w:p>
        </w:tc>
        <w:tc>
          <w:tcPr>
            <w:tcW w:w="677" w:type="pct"/>
            <w:vAlign w:val="center"/>
            <w:hideMark/>
          </w:tcPr>
          <w:p w14:paraId="0F6EFD70" w14:textId="74B8D96D" w:rsidR="00E6142D" w:rsidRPr="00795F17" w:rsidRDefault="00E6142D" w:rsidP="002C1BC3">
            <w:pPr>
              <w:pStyle w:val="Teksttabelilewy"/>
              <w:rPr>
                <w:szCs w:val="20"/>
              </w:rPr>
            </w:pPr>
            <w:r w:rsidRPr="00795F17">
              <w:rPr>
                <w:szCs w:val="20"/>
              </w:rPr>
              <w:t> </w:t>
            </w:r>
            <w:r w:rsidR="001E0B2C" w:rsidRPr="00795F17">
              <w:rPr>
                <w:szCs w:val="20"/>
              </w:rPr>
              <w:t>-</w:t>
            </w:r>
          </w:p>
        </w:tc>
        <w:tc>
          <w:tcPr>
            <w:tcW w:w="601" w:type="pct"/>
            <w:vAlign w:val="center"/>
            <w:hideMark/>
          </w:tcPr>
          <w:p w14:paraId="2FFD6683" w14:textId="455D29A0" w:rsidR="00E6142D" w:rsidRPr="00795F17" w:rsidRDefault="00E6142D" w:rsidP="002C1BC3">
            <w:pPr>
              <w:pStyle w:val="Teksttabelilewy"/>
              <w:rPr>
                <w:szCs w:val="20"/>
              </w:rPr>
            </w:pPr>
            <w:r w:rsidRPr="00795F17">
              <w:rPr>
                <w:szCs w:val="20"/>
              </w:rPr>
              <w:t>IIaPGW</w:t>
            </w:r>
          </w:p>
        </w:tc>
        <w:tc>
          <w:tcPr>
            <w:tcW w:w="389" w:type="pct"/>
            <w:vAlign w:val="center"/>
            <w:hideMark/>
          </w:tcPr>
          <w:p w14:paraId="27528B9B" w14:textId="2212C807" w:rsidR="00E6142D" w:rsidRPr="00795F17" w:rsidRDefault="00E6142D" w:rsidP="001E0B2C">
            <w:pPr>
              <w:pStyle w:val="Teksttabelisrodek"/>
              <w:rPr>
                <w:szCs w:val="20"/>
              </w:rPr>
            </w:pPr>
            <w:r w:rsidRPr="00795F17">
              <w:rPr>
                <w:szCs w:val="20"/>
              </w:rPr>
              <w:t>406</w:t>
            </w:r>
          </w:p>
        </w:tc>
        <w:tc>
          <w:tcPr>
            <w:tcW w:w="341" w:type="pct"/>
            <w:vAlign w:val="center"/>
            <w:hideMark/>
          </w:tcPr>
          <w:p w14:paraId="24C26EE2" w14:textId="45907368" w:rsidR="00E6142D" w:rsidRPr="00795F17" w:rsidRDefault="00E6142D" w:rsidP="001E0B2C">
            <w:pPr>
              <w:pStyle w:val="Teksttabelisrodek"/>
              <w:rPr>
                <w:szCs w:val="20"/>
              </w:rPr>
            </w:pPr>
            <w:r w:rsidRPr="00795F17">
              <w:rPr>
                <w:szCs w:val="20"/>
              </w:rPr>
              <w:t>279</w:t>
            </w:r>
          </w:p>
        </w:tc>
        <w:tc>
          <w:tcPr>
            <w:tcW w:w="506" w:type="pct"/>
            <w:vAlign w:val="center"/>
            <w:hideMark/>
          </w:tcPr>
          <w:p w14:paraId="5224A912" w14:textId="51A845D4" w:rsidR="00E6142D" w:rsidRPr="00795F17" w:rsidRDefault="00E6142D" w:rsidP="001E0B2C">
            <w:pPr>
              <w:pStyle w:val="Teksttabelisrodek"/>
              <w:rPr>
                <w:szCs w:val="20"/>
              </w:rPr>
            </w:pPr>
            <w:r w:rsidRPr="00795F17">
              <w:rPr>
                <w:szCs w:val="20"/>
              </w:rPr>
              <w:t>3</w:t>
            </w:r>
          </w:p>
        </w:tc>
        <w:tc>
          <w:tcPr>
            <w:tcW w:w="362" w:type="pct"/>
            <w:vAlign w:val="center"/>
            <w:hideMark/>
          </w:tcPr>
          <w:p w14:paraId="6376F0A1" w14:textId="3F8BC92E" w:rsidR="00E6142D" w:rsidRPr="00795F17" w:rsidRDefault="00E6142D" w:rsidP="001E0B2C">
            <w:pPr>
              <w:pStyle w:val="Teksttabelisrodek"/>
              <w:rPr>
                <w:szCs w:val="20"/>
              </w:rPr>
            </w:pPr>
            <w:r w:rsidRPr="00795F17">
              <w:rPr>
                <w:szCs w:val="20"/>
              </w:rPr>
              <w:t>124</w:t>
            </w:r>
          </w:p>
        </w:tc>
        <w:tc>
          <w:tcPr>
            <w:tcW w:w="362" w:type="pct"/>
            <w:vAlign w:val="center"/>
            <w:hideMark/>
          </w:tcPr>
          <w:p w14:paraId="64FA2934" w14:textId="70B1CA84" w:rsidR="00E6142D" w:rsidRPr="00795F17" w:rsidRDefault="00E6142D" w:rsidP="001E0B2C">
            <w:pPr>
              <w:pStyle w:val="Teksttabelisrodek"/>
              <w:rPr>
                <w:szCs w:val="20"/>
              </w:rPr>
            </w:pPr>
            <w:r w:rsidRPr="00795F17">
              <w:rPr>
                <w:szCs w:val="20"/>
              </w:rPr>
              <w:t>0</w:t>
            </w:r>
          </w:p>
        </w:tc>
        <w:tc>
          <w:tcPr>
            <w:tcW w:w="362" w:type="pct"/>
            <w:vAlign w:val="center"/>
            <w:hideMark/>
          </w:tcPr>
          <w:p w14:paraId="6C0B8C20" w14:textId="6FB31DDD" w:rsidR="00E6142D" w:rsidRPr="00795F17" w:rsidRDefault="00E6142D" w:rsidP="001E0B2C">
            <w:pPr>
              <w:pStyle w:val="Teksttabelisrodek"/>
              <w:rPr>
                <w:szCs w:val="20"/>
              </w:rPr>
            </w:pPr>
            <w:r w:rsidRPr="00795F17">
              <w:rPr>
                <w:szCs w:val="20"/>
              </w:rPr>
              <w:t>257</w:t>
            </w:r>
          </w:p>
        </w:tc>
        <w:tc>
          <w:tcPr>
            <w:tcW w:w="362" w:type="pct"/>
            <w:vAlign w:val="center"/>
            <w:hideMark/>
          </w:tcPr>
          <w:p w14:paraId="120B9878" w14:textId="458DA77D" w:rsidR="00E6142D" w:rsidRPr="00795F17" w:rsidRDefault="00E6142D" w:rsidP="001E0B2C">
            <w:pPr>
              <w:pStyle w:val="Teksttabelisrodek"/>
              <w:rPr>
                <w:szCs w:val="20"/>
              </w:rPr>
            </w:pPr>
            <w:r w:rsidRPr="00795F17">
              <w:rPr>
                <w:szCs w:val="20"/>
              </w:rPr>
              <w:t>5</w:t>
            </w:r>
          </w:p>
        </w:tc>
        <w:tc>
          <w:tcPr>
            <w:tcW w:w="360" w:type="pct"/>
            <w:vAlign w:val="center"/>
            <w:hideMark/>
          </w:tcPr>
          <w:p w14:paraId="61E4FC59" w14:textId="665F3828" w:rsidR="00E6142D" w:rsidRPr="00795F17" w:rsidRDefault="00E6142D" w:rsidP="001E0B2C">
            <w:pPr>
              <w:pStyle w:val="Teksttabelisrodek"/>
              <w:rPr>
                <w:szCs w:val="20"/>
              </w:rPr>
            </w:pPr>
            <w:r w:rsidRPr="00795F17">
              <w:rPr>
                <w:szCs w:val="20"/>
              </w:rPr>
              <w:t>144</w:t>
            </w:r>
          </w:p>
        </w:tc>
      </w:tr>
    </w:tbl>
    <w:p w14:paraId="0A75A9A1" w14:textId="16D64097" w:rsidR="00CD4C71" w:rsidRDefault="00E6142D" w:rsidP="004C374E">
      <w:pPr>
        <w:pStyle w:val="rdo"/>
      </w:pPr>
      <w:r w:rsidRPr="00795F17">
        <w:t>Źródło: opracowanie własne</w:t>
      </w:r>
      <w:r w:rsidR="007772C5" w:rsidRPr="00795F17">
        <w:t xml:space="preserve"> na podstawie aPWŚK, 2016</w:t>
      </w:r>
    </w:p>
    <w:p w14:paraId="13591CC5" w14:textId="24707CEF" w:rsidR="004C374E" w:rsidRPr="00795F17" w:rsidRDefault="004C374E" w:rsidP="004C374E">
      <w:pPr>
        <w:ind w:left="1080"/>
        <w:sectPr w:rsidR="004C374E" w:rsidRPr="00795F17" w:rsidSect="00CD4C71">
          <w:pgSz w:w="16838" w:h="11906" w:orient="landscape"/>
          <w:pgMar w:top="1417" w:right="1417" w:bottom="1417" w:left="1417" w:header="708" w:footer="708" w:gutter="0"/>
          <w:cols w:space="708"/>
          <w:docGrid w:linePitch="299"/>
        </w:sectPr>
      </w:pPr>
    </w:p>
    <w:p w14:paraId="32A1E573" w14:textId="05CE7A6F" w:rsidR="005E5391" w:rsidRPr="00795F17" w:rsidRDefault="005E5391" w:rsidP="00117E86">
      <w:pPr>
        <w:pStyle w:val="Listapunktowana2"/>
      </w:pPr>
      <w:r w:rsidRPr="00795F17">
        <w:t xml:space="preserve">zweryfikowanie podziału </w:t>
      </w:r>
      <w:r w:rsidR="00DF005E">
        <w:t>JCWP</w:t>
      </w:r>
      <w:r w:rsidRPr="00795F17">
        <w:t xml:space="preserve">d, obecnie obowiązuje podział na 174 </w:t>
      </w:r>
      <w:r w:rsidR="00DF005E">
        <w:t>JCWP</w:t>
      </w:r>
      <w:r w:rsidRPr="00795F17">
        <w:t>d.</w:t>
      </w:r>
    </w:p>
    <w:p w14:paraId="07EC4A11" w14:textId="55228F53" w:rsidR="005E5391" w:rsidRPr="00795F17" w:rsidRDefault="005E5391" w:rsidP="00CF2DCE">
      <w:pPr>
        <w:ind w:left="720"/>
      </w:pPr>
      <w:r w:rsidRPr="00795F17">
        <w:t>Na cykl planistyczny 2016</w:t>
      </w:r>
      <w:r w:rsidR="00151B8A">
        <w:t>–</w:t>
      </w:r>
      <w:r w:rsidRPr="00795F17">
        <w:t xml:space="preserve">2021 obowiązywał podział Polski na 172 </w:t>
      </w:r>
      <w:r w:rsidR="00DF005E">
        <w:t>JCWP</w:t>
      </w:r>
      <w:r w:rsidRPr="00795F17">
        <w:t xml:space="preserve">d i 4 subczęści wydzielone poza </w:t>
      </w:r>
      <w:r w:rsidR="00921FCB">
        <w:t xml:space="preserve">obszarem </w:t>
      </w:r>
      <w:r w:rsidR="00921FCB" w:rsidRPr="00795F17">
        <w:t>dorzecz</w:t>
      </w:r>
      <w:r w:rsidR="00921FCB">
        <w:t>a</w:t>
      </w:r>
      <w:r w:rsidR="00921FCB" w:rsidRPr="00795F17">
        <w:t xml:space="preserve"> </w:t>
      </w:r>
      <w:r w:rsidR="00D635B0" w:rsidRPr="00795F17">
        <w:t>Odry</w:t>
      </w:r>
      <w:r w:rsidRPr="00795F17">
        <w:t>. Zasadniczym kryterium wydzieleń był podział zlewniowy i</w:t>
      </w:r>
      <w:r w:rsidR="00026D84" w:rsidRPr="00795F17">
        <w:t> </w:t>
      </w:r>
      <w:r w:rsidRPr="00795F17">
        <w:t>częściowe przyjęcie obszarów bilansowych jako podstawowych jednostek determinujących nowe wydzielenia. Od zasady podziału zlewniowego w obrębie dorzecza odstąpiono w kilku przypadkach:</w:t>
      </w:r>
    </w:p>
    <w:p w14:paraId="0EE22720" w14:textId="41D0C3BB" w:rsidR="005E5391" w:rsidRPr="00795F17" w:rsidRDefault="00DF005E" w:rsidP="0050009F">
      <w:pPr>
        <w:pStyle w:val="Listapunktowana3"/>
      </w:pPr>
      <w:r>
        <w:rPr>
          <w:b/>
        </w:rPr>
        <w:t>JCWP</w:t>
      </w:r>
      <w:r w:rsidR="005E5391" w:rsidRPr="00795F17">
        <w:rPr>
          <w:b/>
        </w:rPr>
        <w:t>d 64</w:t>
      </w:r>
      <w:r w:rsidR="005E5391" w:rsidRPr="00795F17">
        <w:t xml:space="preserve"> </w:t>
      </w:r>
      <w:r w:rsidR="00151B8A">
        <w:t>–</w:t>
      </w:r>
      <w:r w:rsidR="005E5391" w:rsidRPr="00795F17">
        <w:t xml:space="preserve"> wydzielenie Kampinoskiego Parku Narodowego,</w:t>
      </w:r>
    </w:p>
    <w:p w14:paraId="1503ABE7" w14:textId="51209C94" w:rsidR="005E5391" w:rsidRPr="00795F17" w:rsidRDefault="00DF005E" w:rsidP="0050009F">
      <w:pPr>
        <w:pStyle w:val="Listapunktowana3"/>
      </w:pPr>
      <w:r>
        <w:rPr>
          <w:b/>
        </w:rPr>
        <w:t>JCWP</w:t>
      </w:r>
      <w:r w:rsidR="005E5391" w:rsidRPr="00795F17">
        <w:rPr>
          <w:b/>
        </w:rPr>
        <w:t>d 12</w:t>
      </w:r>
      <w:r w:rsidR="005E5391" w:rsidRPr="00795F17">
        <w:t xml:space="preserve"> </w:t>
      </w:r>
      <w:r w:rsidR="00151B8A">
        <w:t>–</w:t>
      </w:r>
      <w:r w:rsidR="005E5391" w:rsidRPr="00795F17">
        <w:t xml:space="preserve"> wydzielenie Słowińskiego Parku Narodowego,</w:t>
      </w:r>
    </w:p>
    <w:p w14:paraId="48E67603" w14:textId="55DEA53A" w:rsidR="005E5391" w:rsidRPr="00795F17" w:rsidRDefault="00DF005E" w:rsidP="0050009F">
      <w:pPr>
        <w:pStyle w:val="Listapunktowana3"/>
      </w:pPr>
      <w:r>
        <w:rPr>
          <w:b/>
        </w:rPr>
        <w:t>JCWP</w:t>
      </w:r>
      <w:r w:rsidR="005E5391" w:rsidRPr="00795F17">
        <w:rPr>
          <w:b/>
        </w:rPr>
        <w:t>d 15, 16 oraz 18</w:t>
      </w:r>
      <w:r w:rsidR="005E5391" w:rsidRPr="00795F17">
        <w:t xml:space="preserve"> </w:t>
      </w:r>
      <w:r w:rsidR="00151B8A">
        <w:t>–</w:t>
      </w:r>
      <w:r w:rsidR="005E5391" w:rsidRPr="00795F17">
        <w:t xml:space="preserve"> wydzielenie obszaru Żuław Wiślanych, w którym uwzględniono polderowy system odwodnieniowy,</w:t>
      </w:r>
    </w:p>
    <w:p w14:paraId="4C4A3AAA" w14:textId="0A2DF62F" w:rsidR="005E5391" w:rsidRPr="00795F17" w:rsidRDefault="00DF005E" w:rsidP="0050009F">
      <w:pPr>
        <w:pStyle w:val="Listapunktowana3"/>
      </w:pPr>
      <w:r>
        <w:rPr>
          <w:b/>
        </w:rPr>
        <w:t>JCWP</w:t>
      </w:r>
      <w:r w:rsidR="005E5391" w:rsidRPr="00795F17">
        <w:rPr>
          <w:b/>
        </w:rPr>
        <w:t>d 17</w:t>
      </w:r>
      <w:r w:rsidR="005E5391" w:rsidRPr="00795F17">
        <w:t xml:space="preserve"> </w:t>
      </w:r>
      <w:r w:rsidR="00151B8A">
        <w:t>–</w:t>
      </w:r>
      <w:r w:rsidR="005E5391" w:rsidRPr="00795F17">
        <w:t xml:space="preserve"> wydzielenie Mierzei Wiślanej,</w:t>
      </w:r>
    </w:p>
    <w:p w14:paraId="56B962F9" w14:textId="56475E1E" w:rsidR="005E5391" w:rsidRPr="00795F17" w:rsidRDefault="00DF005E" w:rsidP="0050009F">
      <w:pPr>
        <w:pStyle w:val="Listapunktowana3"/>
      </w:pPr>
      <w:r>
        <w:rPr>
          <w:b/>
        </w:rPr>
        <w:t>JCWP</w:t>
      </w:r>
      <w:r w:rsidR="005E5391" w:rsidRPr="00795F17">
        <w:rPr>
          <w:b/>
        </w:rPr>
        <w:t>d 14</w:t>
      </w:r>
      <w:r w:rsidR="005E5391" w:rsidRPr="00795F17">
        <w:t xml:space="preserve"> </w:t>
      </w:r>
      <w:r w:rsidR="00151B8A">
        <w:t>–</w:t>
      </w:r>
      <w:r w:rsidR="005E5391" w:rsidRPr="00795F17">
        <w:t xml:space="preserve"> wydzielenie półwyspu Hel.</w:t>
      </w:r>
    </w:p>
    <w:p w14:paraId="2116D4C8" w14:textId="38621AE0" w:rsidR="005E5391" w:rsidRPr="00795F17" w:rsidRDefault="005E5391" w:rsidP="00C76E27">
      <w:pPr>
        <w:rPr>
          <w:color w:val="000000"/>
        </w:rPr>
      </w:pPr>
      <w:r w:rsidRPr="00795F17">
        <w:t>Na cykl planistyczny 2022</w:t>
      </w:r>
      <w:r w:rsidR="00151B8A">
        <w:t>–</w:t>
      </w:r>
      <w:r w:rsidRPr="00795F17">
        <w:t xml:space="preserve">2027 zastosowano podział na 174 </w:t>
      </w:r>
      <w:r w:rsidR="00DF005E">
        <w:t>JCWP</w:t>
      </w:r>
      <w:r w:rsidRPr="00795F17">
        <w:t>d w skali kraju. Zasadniczą zmianą względem poprzedniego cyklu planistycznego jest wy</w:t>
      </w:r>
      <w:r w:rsidRPr="00795F17">
        <w:rPr>
          <w:color w:val="000000"/>
        </w:rPr>
        <w:t xml:space="preserve">eliminowanie sytuacji, w których jedna </w:t>
      </w:r>
      <w:r w:rsidR="00DF005E">
        <w:rPr>
          <w:color w:val="000000"/>
        </w:rPr>
        <w:t>JCWP</w:t>
      </w:r>
      <w:r w:rsidRPr="00795F17">
        <w:rPr>
          <w:color w:val="000000"/>
        </w:rPr>
        <w:t xml:space="preserve">d będzie obejmowała obszar kilku dorzeczy. Dlatego też wyodrębniono </w:t>
      </w:r>
      <w:r w:rsidR="00DF005E">
        <w:rPr>
          <w:color w:val="000000"/>
        </w:rPr>
        <w:t>JCWP</w:t>
      </w:r>
      <w:r w:rsidRPr="00795F17">
        <w:rPr>
          <w:color w:val="000000"/>
        </w:rPr>
        <w:t>d nr</w:t>
      </w:r>
      <w:r w:rsidR="00CF2DCE" w:rsidRPr="00795F17">
        <w:rPr>
          <w:color w:val="000000"/>
        </w:rPr>
        <w:t> </w:t>
      </w:r>
      <w:r w:rsidRPr="00795F17">
        <w:rPr>
          <w:color w:val="000000"/>
        </w:rPr>
        <w:t xml:space="preserve">173, obejmującą </w:t>
      </w:r>
      <w:r w:rsidR="0080582C" w:rsidRPr="00795F17">
        <w:rPr>
          <w:color w:val="000000"/>
        </w:rPr>
        <w:t xml:space="preserve">obszar </w:t>
      </w:r>
      <w:r w:rsidRPr="00795F17">
        <w:rPr>
          <w:color w:val="000000"/>
        </w:rPr>
        <w:t>dorzecz</w:t>
      </w:r>
      <w:r w:rsidR="0080582C" w:rsidRPr="00795F17">
        <w:rPr>
          <w:color w:val="000000"/>
        </w:rPr>
        <w:t>a</w:t>
      </w:r>
      <w:r w:rsidRPr="00795F17">
        <w:rPr>
          <w:color w:val="000000"/>
        </w:rPr>
        <w:t xml:space="preserve"> Banówki, i </w:t>
      </w:r>
      <w:r w:rsidR="00DF005E">
        <w:rPr>
          <w:color w:val="000000"/>
        </w:rPr>
        <w:t>JCWP</w:t>
      </w:r>
      <w:r w:rsidRPr="00795F17">
        <w:rPr>
          <w:color w:val="000000"/>
        </w:rPr>
        <w:t xml:space="preserve">d nr 174, obejmującą </w:t>
      </w:r>
      <w:r w:rsidR="0080582C" w:rsidRPr="00795F17">
        <w:rPr>
          <w:color w:val="000000"/>
        </w:rPr>
        <w:t xml:space="preserve">obszar </w:t>
      </w:r>
      <w:r w:rsidRPr="00795F17">
        <w:rPr>
          <w:color w:val="000000"/>
        </w:rPr>
        <w:t>dorzecz</w:t>
      </w:r>
      <w:r w:rsidR="0080582C" w:rsidRPr="00795F17">
        <w:rPr>
          <w:color w:val="000000"/>
        </w:rPr>
        <w:t>a</w:t>
      </w:r>
      <w:r w:rsidRPr="00795F17">
        <w:rPr>
          <w:color w:val="000000"/>
        </w:rPr>
        <w:t xml:space="preserve"> Świeżej. Obydwie jednolite części zostały oddzielone z </w:t>
      </w:r>
      <w:r w:rsidR="00DF005E">
        <w:rPr>
          <w:color w:val="000000"/>
        </w:rPr>
        <w:t>JCWP</w:t>
      </w:r>
      <w:r w:rsidRPr="00795F17">
        <w:rPr>
          <w:color w:val="000000"/>
        </w:rPr>
        <w:t xml:space="preserve">d nr 20 (zawierającej dotychczas obszar trzech dorzeczy). W obrębie </w:t>
      </w:r>
      <w:r w:rsidR="0080582C" w:rsidRPr="00795F17">
        <w:rPr>
          <w:color w:val="000000"/>
        </w:rPr>
        <w:t xml:space="preserve">obszaru </w:t>
      </w:r>
      <w:r w:rsidRPr="00795F17">
        <w:rPr>
          <w:color w:val="000000"/>
        </w:rPr>
        <w:t xml:space="preserve">dorzecza </w:t>
      </w:r>
      <w:r w:rsidR="00E47A1C" w:rsidRPr="00795F17">
        <w:rPr>
          <w:color w:val="000000"/>
        </w:rPr>
        <w:t>Odry</w:t>
      </w:r>
      <w:r w:rsidRPr="00795F17">
        <w:rPr>
          <w:color w:val="000000"/>
        </w:rPr>
        <w:t xml:space="preserve"> korekty granic </w:t>
      </w:r>
      <w:r w:rsidR="00DF005E">
        <w:rPr>
          <w:color w:val="000000"/>
        </w:rPr>
        <w:t>JCWP</w:t>
      </w:r>
      <w:r w:rsidRPr="00795F17">
        <w:rPr>
          <w:color w:val="000000"/>
        </w:rPr>
        <w:t xml:space="preserve">d były mało znaczące. Obejmowały jedynie wyeliminowanie błędów topologicznych na granicach </w:t>
      </w:r>
      <w:r w:rsidR="00BF782C" w:rsidRPr="00795F17">
        <w:rPr>
          <w:color w:val="000000"/>
        </w:rPr>
        <w:t xml:space="preserve">obszarów </w:t>
      </w:r>
      <w:r w:rsidRPr="00795F17">
        <w:rPr>
          <w:color w:val="000000"/>
        </w:rPr>
        <w:t>dorzeczy i dostosowanie granic jednolitych części do granic zlewni w oparciu o obecnie obowiązującą warstwę MPHP 10K</w:t>
      </w:r>
      <w:r w:rsidR="00E568FE">
        <w:rPr>
          <w:color w:val="000000"/>
        </w:rPr>
        <w:t>;</w:t>
      </w:r>
    </w:p>
    <w:p w14:paraId="03EDCCD5" w14:textId="0B9EE604" w:rsidR="005E5391" w:rsidRPr="00795F17" w:rsidRDefault="005E5391" w:rsidP="00117E86">
      <w:pPr>
        <w:pStyle w:val="Listapunktowana2"/>
      </w:pPr>
      <w:r w:rsidRPr="00795F17">
        <w:t xml:space="preserve">zmiany rejestru obszarów chronionych (szczegółowe informacje zawiera rozdział 3 IIaPGW). Zmiana wprowadzona pr.w.; </w:t>
      </w:r>
      <w:r w:rsidR="00F626BD" w:rsidRPr="00B8042D">
        <w:t>Prawo wodne wprowadziło nowy spis obszarów chronionych, względem obowiązującego w 2 cyklu planistycznym i uwzględnionego w aPGW z 2016 r.;</w:t>
      </w:r>
    </w:p>
    <w:p w14:paraId="54D7C87E" w14:textId="573AE45E" w:rsidR="005E5391" w:rsidRPr="00795F17" w:rsidRDefault="00E568FE" w:rsidP="00117E86">
      <w:pPr>
        <w:pStyle w:val="Listapunktowana2"/>
      </w:pPr>
      <w:r>
        <w:t xml:space="preserve">art. </w:t>
      </w:r>
      <w:r w:rsidR="005E5391" w:rsidRPr="00795F17">
        <w:t xml:space="preserve">113 ust. 4 s.pr.w. określał 6 typów wykazów obszarów chronionych, natomiast obecnie obowiązujące przepisy </w:t>
      </w:r>
      <w:r w:rsidR="00151B8A">
        <w:t>–</w:t>
      </w:r>
      <w:r w:rsidR="005E5391" w:rsidRPr="00795F17">
        <w:t xml:space="preserve"> art. 317 ust. 4 pr.w. wskazuje 5 typów obszarów chronionych. Nie</w:t>
      </w:r>
      <w:r w:rsidR="004A34F1" w:rsidRPr="00795F17">
        <w:t> </w:t>
      </w:r>
      <w:r w:rsidR="005E5391" w:rsidRPr="00795F17">
        <w:t>sporządza się wykazu obszarów narażonych na</w:t>
      </w:r>
      <w:r w:rsidR="00D81C99" w:rsidRPr="00795F17">
        <w:t> </w:t>
      </w:r>
      <w:r w:rsidR="005E5391" w:rsidRPr="00795F17">
        <w:t>zanieczyszczenia związkami azotu, pochodzącymi ze źródeł rolniczych</w:t>
      </w:r>
      <w:r>
        <w:t>;</w:t>
      </w:r>
    </w:p>
    <w:p w14:paraId="75335DB1" w14:textId="77823359" w:rsidR="005E5391" w:rsidRPr="00795F17" w:rsidRDefault="00E568FE" w:rsidP="00117E86">
      <w:pPr>
        <w:pStyle w:val="Listapunktowana2"/>
      </w:pPr>
      <w:r>
        <w:t>z</w:t>
      </w:r>
      <w:r w:rsidR="005E5391" w:rsidRPr="00795F17">
        <w:t xml:space="preserve">mianie uległa również zawartość poszczególnych wykazów, co było wynikiem m.in. przeprowadzonej aktualizacji granic </w:t>
      </w:r>
      <w:r w:rsidR="00DF005E">
        <w:t>JCWP</w:t>
      </w:r>
      <w:r w:rsidR="005E5391" w:rsidRPr="00795F17">
        <w:t xml:space="preserve"> wykonanej na potrzeby 3. cyklu planistycznego, zaś w</w:t>
      </w:r>
      <w:r w:rsidR="005946AD">
        <w:t> </w:t>
      </w:r>
      <w:r w:rsidR="005E5391" w:rsidRPr="00795F17">
        <w:t>zakresie obszarów przeznaczonych do ochrony siedlisk lub gatunków uwzględniono formy ochrony przyrody, które w poprzedniej wersji wykazu nie były brane pod uwagę (użytki ekologiczne, zespoły przyrodniczo-krajobrazowe, stanowiska dokumentacyjne, pomniki przyrody).</w:t>
      </w:r>
    </w:p>
    <w:p w14:paraId="4E9E39EC" w14:textId="652B0B29" w:rsidR="005E5391" w:rsidRPr="00795F17" w:rsidRDefault="00E568FE" w:rsidP="00CF2DCE">
      <w:pPr>
        <w:pStyle w:val="Numerowanie"/>
      </w:pPr>
      <w:r>
        <w:t>z</w:t>
      </w:r>
      <w:r w:rsidR="005E5391" w:rsidRPr="00795F17">
        <w:t>miany w zakresie ppk reprezentatywnych dla zaktualizowanego układu jednostek planistycznych wraz z ustaleniem nowej sieci monitoringu 2022</w:t>
      </w:r>
      <w:r w:rsidR="00151B8A">
        <w:t>–</w:t>
      </w:r>
      <w:r w:rsidR="005E5391" w:rsidRPr="00795F17">
        <w:t>2027 (szczegółowe informacje zawiera rozdział 5 IIaPGW)</w:t>
      </w:r>
      <w:r w:rsidR="004A34F1" w:rsidRPr="00795F17">
        <w:t>;</w:t>
      </w:r>
    </w:p>
    <w:p w14:paraId="2720FEDC" w14:textId="3F580993" w:rsidR="005E5391" w:rsidRPr="00795F17" w:rsidRDefault="00E568FE" w:rsidP="00CF2DCE">
      <w:pPr>
        <w:pStyle w:val="Numerowanie"/>
      </w:pPr>
      <w:r>
        <w:t>z</w:t>
      </w:r>
      <w:r w:rsidR="005E5391" w:rsidRPr="00795F17">
        <w:t>miany warunków klasyfikacji stanu jednolitych części wód powierzchniowych wprowadzone r.kl.jcw (szczegółowe informacje zawiera rozdział 5 IIaPGW)</w:t>
      </w:r>
      <w:r w:rsidR="004A34F1" w:rsidRPr="00795F17">
        <w:t>;</w:t>
      </w:r>
    </w:p>
    <w:p w14:paraId="37DDF585" w14:textId="6010D06B" w:rsidR="005E5391" w:rsidRPr="00795F17" w:rsidRDefault="00E568FE" w:rsidP="00CF2DCE">
      <w:pPr>
        <w:pStyle w:val="Numerowanie"/>
      </w:pPr>
      <w:r>
        <w:t>z</w:t>
      </w:r>
      <w:r w:rsidR="005E5391" w:rsidRPr="00795F17">
        <w:t xml:space="preserve">miany dotyczące wskazywanych wartości granicznych potencjału ekologicznego </w:t>
      </w:r>
      <w:r w:rsidR="00151B8A">
        <w:t>–</w:t>
      </w:r>
      <w:r w:rsidR="005E5391" w:rsidRPr="00795F17">
        <w:t xml:space="preserve"> wartości prezentowane są w planie gospodarowania wodami (szczegółowe informacje zawiera rozdział 3 IIaPGW). Zmiana wprowadzona r.kl.jcw</w:t>
      </w:r>
      <w:r w:rsidR="00F626BD">
        <w:t>;</w:t>
      </w:r>
    </w:p>
    <w:p w14:paraId="5920C09D" w14:textId="486AD9F5" w:rsidR="005E5391" w:rsidRPr="00795F17" w:rsidRDefault="00E568FE" w:rsidP="00CF2DCE">
      <w:pPr>
        <w:pStyle w:val="Numerowanie"/>
      </w:pPr>
      <w:r>
        <w:t>w</w:t>
      </w:r>
      <w:r w:rsidR="005E5391" w:rsidRPr="00795F17">
        <w:t>łączenie zestawu działań do planu gospodarowania wodami (szczegółowe informacje zawiera rozdział 12 IIaPGW). Zmiana wprowadzona pr.w</w:t>
      </w:r>
      <w:r w:rsidR="00F626BD">
        <w:t>.;</w:t>
      </w:r>
    </w:p>
    <w:p w14:paraId="588A23F2" w14:textId="47F4A59F" w:rsidR="005E5391" w:rsidRPr="00795F17" w:rsidRDefault="00E568FE" w:rsidP="00CF2DCE">
      <w:pPr>
        <w:pStyle w:val="Numerowanie"/>
      </w:pPr>
      <w:r>
        <w:t>w</w:t>
      </w:r>
      <w:r w:rsidR="005E5391" w:rsidRPr="00795F17">
        <w:t>prowadzenie nowych celów szczegółowych, którym służy realizacja działań:</w:t>
      </w:r>
    </w:p>
    <w:p w14:paraId="4691DDBF" w14:textId="46386219" w:rsidR="005E5391" w:rsidRPr="00795F17" w:rsidRDefault="005E5391" w:rsidP="00117E86">
      <w:pPr>
        <w:pStyle w:val="Listapunktowana2"/>
      </w:pPr>
      <w:r w:rsidRPr="00795F17">
        <w:t xml:space="preserve">art. 324 ust. 2 pkt 1f </w:t>
      </w:r>
      <w:r w:rsidR="00A5570A">
        <w:t xml:space="preserve">pr.w. </w:t>
      </w:r>
      <w:r w:rsidR="00151B8A">
        <w:t>–</w:t>
      </w:r>
      <w:r w:rsidRPr="00795F17">
        <w:t xml:space="preserve"> mający na celu zapobieganie znacznemu wzrostowi stężeń substancji priorytetowych wykazujących tendencję do akumulowania się w osadach lub faunie i</w:t>
      </w:r>
      <w:r w:rsidR="005946AD">
        <w:t> </w:t>
      </w:r>
      <w:r w:rsidRPr="00795F17">
        <w:t>florze;</w:t>
      </w:r>
    </w:p>
    <w:p w14:paraId="64F4B244" w14:textId="533A9316" w:rsidR="005E5391" w:rsidRPr="00795F17" w:rsidRDefault="005E5391" w:rsidP="00117E86">
      <w:pPr>
        <w:pStyle w:val="Listapunktowana2"/>
      </w:pPr>
      <w:r w:rsidRPr="00795F17">
        <w:t xml:space="preserve">art. 324 ust. 5 </w:t>
      </w:r>
      <w:bookmarkStart w:id="1065" w:name="_Hlk78142106"/>
      <w:r w:rsidR="00A5570A">
        <w:t xml:space="preserve">pr.w. </w:t>
      </w:r>
      <w:bookmarkEnd w:id="1065"/>
      <w:r w:rsidR="00151B8A">
        <w:t>–</w:t>
      </w:r>
      <w:r w:rsidRPr="00795F17">
        <w:t xml:space="preserve"> wskazujący, że działania uzupełniające mogą być również przyjmowane dla zapewnienia dodatkowej ochrony lub poprawy stanu wód lub dla realizacji umów międzynarodowych mających na celu ochronę wód, w tym ochronę i zapobieganie zanieczyszczaniu środowiska morskiego</w:t>
      </w:r>
      <w:r w:rsidR="00F626BD">
        <w:t>;</w:t>
      </w:r>
    </w:p>
    <w:p w14:paraId="1A67B84B" w14:textId="45B51E65" w:rsidR="005E5391" w:rsidRPr="00795F17" w:rsidRDefault="00E568FE" w:rsidP="00CF2DCE">
      <w:pPr>
        <w:pStyle w:val="Numerowanie"/>
      </w:pPr>
      <w:r>
        <w:t>z</w:t>
      </w:r>
      <w:r w:rsidR="005E5391" w:rsidRPr="00795F17">
        <w:t xml:space="preserve">miana zakresu informacji, jakie należy przedstawić w odniesieniu do każdego działania </w:t>
      </w:r>
      <w:r w:rsidR="005E5391" w:rsidRPr="00795F17" w:rsidDel="005609E9">
        <w:t>w</w:t>
      </w:r>
      <w:r w:rsidR="005E5391" w:rsidRPr="00795F17">
        <w:t xml:space="preserve"> zestawie działań </w:t>
      </w:r>
      <w:r w:rsidR="00151B8A">
        <w:t>–</w:t>
      </w:r>
      <w:r w:rsidR="005E5391" w:rsidRPr="00795F17">
        <w:t xml:space="preserve"> został on rozszerzony o takie atrybuty jak wynik analizy skutków społeczno-gospodarczych związanych z realizacją działania, wynik analizy efektywności kosztowej, wynik priorytetyzacji działań, a także wyniki przeprowadzonego sprawdzianu klimatycznego</w:t>
      </w:r>
      <w:r w:rsidR="004A34F1" w:rsidRPr="00795F17">
        <w:t>;</w:t>
      </w:r>
    </w:p>
    <w:p w14:paraId="1815C3B4" w14:textId="6EFD395D" w:rsidR="005E5391" w:rsidRPr="00795F17" w:rsidRDefault="00E568FE" w:rsidP="00CF2DCE">
      <w:pPr>
        <w:pStyle w:val="Numerowanie"/>
      </w:pPr>
      <w:r>
        <w:t>z</w:t>
      </w:r>
      <w:r w:rsidR="005E5391" w:rsidRPr="00795F17">
        <w:t xml:space="preserve">miany w zakresie ustanawiania stref ochronnych ujęć wód i obszarów ochronnych zbiorników wód śródlądowych (zakres zestawu działań) </w:t>
      </w:r>
      <w:r w:rsidR="00151B8A">
        <w:t>–</w:t>
      </w:r>
      <w:r w:rsidR="005E5391" w:rsidRPr="00795F17">
        <w:t xml:space="preserve"> ustanawianie terenów ochrony bezpośredniej stało się obligatoryjne dla każdego ujęcia w ramach korzystania szczególnego, natomiast w</w:t>
      </w:r>
      <w:r w:rsidR="004A34F1" w:rsidRPr="00795F17">
        <w:t> </w:t>
      </w:r>
      <w:r w:rsidR="005E5391" w:rsidRPr="00795F17">
        <w:t>innym zakresie doszedł obowiązek wykonania analizy ryzyka oraz zmiana kompetencji organów.</w:t>
      </w:r>
    </w:p>
    <w:p w14:paraId="16019B8C" w14:textId="77777777" w:rsidR="005E5391" w:rsidRPr="00795F17" w:rsidRDefault="005E5391" w:rsidP="0044393D">
      <w:r w:rsidRPr="00795F17">
        <w:t>Dokonane uaktualnienia obejmują:</w:t>
      </w:r>
    </w:p>
    <w:p w14:paraId="56B90474" w14:textId="09299EE5" w:rsidR="005E5391" w:rsidRPr="00795F17" w:rsidRDefault="00A5570A" w:rsidP="005635FD">
      <w:pPr>
        <w:pStyle w:val="Numerowanie"/>
        <w:numPr>
          <w:ilvl w:val="0"/>
          <w:numId w:val="87"/>
        </w:numPr>
      </w:pPr>
      <w:r>
        <w:t>a</w:t>
      </w:r>
      <w:r w:rsidR="005E5391" w:rsidRPr="00795F17">
        <w:t>ktualizację rejestru wykazów obszarów chronionych, o których mowa w art. 317 ust. 4 pr.w.</w:t>
      </w:r>
      <w:r w:rsidR="004A34F1" w:rsidRPr="00795F17">
        <w:t>;</w:t>
      </w:r>
    </w:p>
    <w:p w14:paraId="12ECB1A2" w14:textId="0DB92526" w:rsidR="005E5391" w:rsidRPr="00795F17" w:rsidRDefault="00A5570A" w:rsidP="005635FD">
      <w:pPr>
        <w:pStyle w:val="Numerowanie"/>
        <w:numPr>
          <w:ilvl w:val="0"/>
          <w:numId w:val="87"/>
        </w:numPr>
      </w:pPr>
      <w:r>
        <w:t>a</w:t>
      </w:r>
      <w:r w:rsidR="005E5391" w:rsidRPr="00795F17">
        <w:t>ktualizację oceny ryzyka nie</w:t>
      </w:r>
      <w:r w:rsidR="0064673B" w:rsidRPr="00795F17">
        <w:t>osiągnięcia</w:t>
      </w:r>
      <w:r w:rsidR="005E5391" w:rsidRPr="00795F17">
        <w:t xml:space="preserve"> celów środowiskowych w wyniku przeprowadzonych analiz znaczących oddziaływań (szczegółowe informacje zawiera rozdział 7 IIaPGW)</w:t>
      </w:r>
      <w:r w:rsidR="004A34F1" w:rsidRPr="00795F17">
        <w:t>;</w:t>
      </w:r>
    </w:p>
    <w:p w14:paraId="1D673F03" w14:textId="3BD28C95" w:rsidR="005E5391" w:rsidRPr="00795F17" w:rsidRDefault="00A5570A" w:rsidP="005635FD">
      <w:pPr>
        <w:pStyle w:val="Numerowanie"/>
        <w:numPr>
          <w:ilvl w:val="0"/>
          <w:numId w:val="87"/>
        </w:numPr>
      </w:pPr>
      <w:r>
        <w:t>a</w:t>
      </w:r>
      <w:r w:rsidR="005E5391" w:rsidRPr="00795F17">
        <w:t>ktualizację celów środowiskowych dokonan</w:t>
      </w:r>
      <w:r w:rsidR="008765A6">
        <w:t xml:space="preserve">ych </w:t>
      </w:r>
      <w:r w:rsidR="005E5391" w:rsidRPr="00795F17">
        <w:t>w wyniku przeprowadzonej oceny stopnia osiągnięcia celów środowiskowych (szczegółowe informacje zawiera rozdział 8 IIaPGW)</w:t>
      </w:r>
      <w:r w:rsidR="004A34F1" w:rsidRPr="00795F17">
        <w:t>;</w:t>
      </w:r>
    </w:p>
    <w:p w14:paraId="49FB99B5" w14:textId="1767F943" w:rsidR="005E5391" w:rsidRPr="00795F17" w:rsidRDefault="00A5570A" w:rsidP="005635FD">
      <w:pPr>
        <w:pStyle w:val="Numerowanie"/>
        <w:numPr>
          <w:ilvl w:val="0"/>
          <w:numId w:val="87"/>
        </w:numPr>
      </w:pPr>
      <w:r>
        <w:t>w</w:t>
      </w:r>
      <w:r w:rsidR="005E5391" w:rsidRPr="00795F17">
        <w:t>eryfikację i wskazanie jcw do odstępstw na podstawie nowych wypracowanych wyników analiz (szczegółowe informacje zawiera rozdział 8 IIaPGW).</w:t>
      </w:r>
    </w:p>
    <w:p w14:paraId="48E040F1" w14:textId="674D7F46" w:rsidR="00056449" w:rsidRPr="00795F17" w:rsidRDefault="00056449" w:rsidP="0044393D">
      <w:r w:rsidRPr="00795F17">
        <w:br w:type="page"/>
      </w:r>
    </w:p>
    <w:p w14:paraId="440F1BEE" w14:textId="3E923AFA" w:rsidR="00387B6E" w:rsidRPr="00795F17" w:rsidRDefault="00387B6E" w:rsidP="00BA6B41">
      <w:pPr>
        <w:pStyle w:val="Nagwek1"/>
      </w:pPr>
      <w:bookmarkStart w:id="1066" w:name="_Toc105512745"/>
      <w:bookmarkStart w:id="1067" w:name="_Toc51050204"/>
      <w:bookmarkStart w:id="1068" w:name="_Toc66272306"/>
      <w:r w:rsidRPr="00795F17">
        <w:t>Informacja o sposobach i procedurach pozyskiwania informacji i</w:t>
      </w:r>
      <w:r w:rsidR="0068283F">
        <w:t> </w:t>
      </w:r>
      <w:r w:rsidRPr="00795F17">
        <w:t>dokumentacji źródłowej wykorzystanej do sporządzenia IIaPGW oraz informacji o spodziewanych wynikach realizacji IIaPGW</w:t>
      </w:r>
      <w:bookmarkEnd w:id="1066"/>
    </w:p>
    <w:p w14:paraId="12AF54BA" w14:textId="1CC159E3" w:rsidR="00387B6E" w:rsidRPr="00795F17" w:rsidRDefault="00387B6E" w:rsidP="00387B6E">
      <w:r w:rsidRPr="00795F17">
        <w:t xml:space="preserve">Zgodnie z art. 318 ust. 1 pkt 21 pr.w. oraz </w:t>
      </w:r>
      <w:r w:rsidR="006F4AAB">
        <w:t>§</w:t>
      </w:r>
      <w:r w:rsidRPr="00795F17">
        <w:t xml:space="preserve"> 2 ust. 1 pkt 30 r.p.g.w. plan gospodarowania wodami przedstawia informacje o sposobach i procedurach pozyskiwania informacji i dokumentacji źródłowej wykorzystywanej do sporządzenia IIaPGW oraz informacji o spodziewanych wynikach realizacji planu. </w:t>
      </w:r>
    </w:p>
    <w:p w14:paraId="6B52202F" w14:textId="77777777" w:rsidR="00387B6E" w:rsidRPr="00795F17" w:rsidRDefault="00387B6E" w:rsidP="00C53C86">
      <w:pPr>
        <w:pStyle w:val="Nagwek2"/>
      </w:pPr>
      <w:bookmarkStart w:id="1069" w:name="_Toc105512746"/>
      <w:r w:rsidRPr="00795F17">
        <w:t>Punkty kontaktowe pozyskiwania informacji o spodziewanych wynikach realizacji planu</w:t>
      </w:r>
      <w:bookmarkEnd w:id="1069"/>
    </w:p>
    <w:p w14:paraId="48A9A941" w14:textId="4DC7A46D" w:rsidR="00387B6E" w:rsidRPr="00795F17" w:rsidRDefault="00387B6E" w:rsidP="00387B6E">
      <w:pPr>
        <w:rPr>
          <w:rFonts w:asciiTheme="minorHAnsi" w:hAnsiTheme="minorHAnsi" w:cstheme="minorBidi"/>
        </w:rPr>
      </w:pPr>
      <w:r w:rsidRPr="00795F17">
        <w:rPr>
          <w:rFonts w:asciiTheme="minorHAnsi" w:hAnsiTheme="minorHAnsi" w:cstheme="minorBidi"/>
        </w:rPr>
        <w:t>Organem właściwym do udzielania informacji z zakresu IIaPGW jest Prezes PGW WP wraz z dyrektorami RZGW WP właściwymi na obszarze dorzecza (tabela 24-1).</w:t>
      </w:r>
    </w:p>
    <w:p w14:paraId="2FCEF7F5" w14:textId="34FFB5F5" w:rsidR="00387B6E" w:rsidRPr="00795F17" w:rsidRDefault="00387B6E" w:rsidP="004D7705">
      <w:pPr>
        <w:pStyle w:val="Tabela"/>
      </w:pPr>
      <w:bookmarkStart w:id="1070" w:name="_Toc105512918"/>
      <w:r w:rsidRPr="00795F17">
        <w:t xml:space="preserve">Tabela </w:t>
      </w:r>
      <w:fldSimple w:instr=" STYLEREF 1 \s ">
        <w:r w:rsidR="001F774D">
          <w:rPr>
            <w:noProof/>
          </w:rPr>
          <w:t>24</w:t>
        </w:r>
      </w:fldSimple>
      <w:r w:rsidRPr="00795F17">
        <w:noBreakHyphen/>
      </w:r>
      <w:fldSimple w:instr=" SEQ Tabela \* ARABIC \s 1 ">
        <w:r w:rsidR="001F774D">
          <w:rPr>
            <w:noProof/>
          </w:rPr>
          <w:t>1</w:t>
        </w:r>
      </w:fldSimple>
      <w:r w:rsidR="00802C92">
        <w:rPr>
          <w:noProof/>
        </w:rPr>
        <w:t>.</w:t>
      </w:r>
      <w:r w:rsidRPr="00795F17">
        <w:tab/>
        <w:t>Dane adresowe o</w:t>
      </w:r>
      <w:r w:rsidRPr="00795F17">
        <w:rPr>
          <w:rFonts w:asciiTheme="minorHAnsi" w:hAnsiTheme="minorHAnsi" w:cstheme="minorBidi"/>
        </w:rPr>
        <w:t xml:space="preserve">rganów właściwych do udzielania informacji z zakresu IIaPGW </w:t>
      </w:r>
      <w:r w:rsidRPr="00795F17">
        <w:t>dla obszaru dorzecza Odry</w:t>
      </w:r>
      <w:bookmarkEnd w:id="1070"/>
    </w:p>
    <w:tbl>
      <w:tblPr>
        <w:tblStyle w:val="Tabela-Siatka"/>
        <w:tblW w:w="4064" w:type="pct"/>
        <w:jc w:val="center"/>
        <w:tblLook w:val="04A0" w:firstRow="1" w:lastRow="0" w:firstColumn="1" w:lastColumn="0" w:noHBand="0" w:noVBand="1"/>
      </w:tblPr>
      <w:tblGrid>
        <w:gridCol w:w="462"/>
        <w:gridCol w:w="2652"/>
        <w:gridCol w:w="4252"/>
      </w:tblGrid>
      <w:tr w:rsidR="00387B6E" w:rsidRPr="00795F17" w14:paraId="0AB09B44" w14:textId="77777777" w:rsidTr="00387B6E">
        <w:trPr>
          <w:cnfStyle w:val="100000000000" w:firstRow="1" w:lastRow="0" w:firstColumn="0" w:lastColumn="0" w:oddVBand="0" w:evenVBand="0" w:oddHBand="0" w:evenHBand="0" w:firstRowFirstColumn="0" w:firstRowLastColumn="0" w:lastRowFirstColumn="0" w:lastRowLastColumn="0"/>
          <w:trHeight w:val="567"/>
          <w:jc w:val="center"/>
        </w:trPr>
        <w:tc>
          <w:tcPr>
            <w:tcW w:w="314" w:type="pct"/>
          </w:tcPr>
          <w:p w14:paraId="320B4793" w14:textId="77777777" w:rsidR="00387B6E" w:rsidRPr="00795F17" w:rsidRDefault="00387B6E" w:rsidP="003C7EEB">
            <w:pPr>
              <w:pStyle w:val="Teksttabelinaglowek"/>
              <w:rPr>
                <w:b/>
              </w:rPr>
            </w:pPr>
            <w:r w:rsidRPr="00795F17">
              <w:rPr>
                <w:b/>
              </w:rPr>
              <w:t>Lp.</w:t>
            </w:r>
          </w:p>
        </w:tc>
        <w:tc>
          <w:tcPr>
            <w:tcW w:w="1800" w:type="pct"/>
          </w:tcPr>
          <w:p w14:paraId="75C59682" w14:textId="77777777" w:rsidR="00387B6E" w:rsidRPr="00795F17" w:rsidRDefault="00387B6E" w:rsidP="003C7EEB">
            <w:pPr>
              <w:pStyle w:val="Teksttabelinaglowek"/>
              <w:rPr>
                <w:b/>
              </w:rPr>
            </w:pPr>
            <w:r w:rsidRPr="00795F17">
              <w:rPr>
                <w:b/>
              </w:rPr>
              <w:t>Organ</w:t>
            </w:r>
          </w:p>
        </w:tc>
        <w:tc>
          <w:tcPr>
            <w:tcW w:w="2886" w:type="pct"/>
          </w:tcPr>
          <w:p w14:paraId="382BFDB3" w14:textId="77777777" w:rsidR="00387B6E" w:rsidRPr="00795F17" w:rsidRDefault="00387B6E" w:rsidP="003C7EEB">
            <w:pPr>
              <w:pStyle w:val="Teksttabelinaglowek"/>
              <w:rPr>
                <w:b/>
              </w:rPr>
            </w:pPr>
            <w:r w:rsidRPr="00795F17">
              <w:rPr>
                <w:b/>
              </w:rPr>
              <w:t>Adres</w:t>
            </w:r>
          </w:p>
        </w:tc>
      </w:tr>
      <w:tr w:rsidR="00387B6E" w:rsidRPr="00795F17" w14:paraId="1302160D" w14:textId="77777777" w:rsidTr="00387B6E">
        <w:trPr>
          <w:trHeight w:val="567"/>
          <w:jc w:val="center"/>
        </w:trPr>
        <w:tc>
          <w:tcPr>
            <w:tcW w:w="314" w:type="pct"/>
          </w:tcPr>
          <w:p w14:paraId="34412E03" w14:textId="77777777" w:rsidR="00387B6E" w:rsidRPr="00795F17" w:rsidRDefault="00387B6E" w:rsidP="003C7EEB">
            <w:pPr>
              <w:pStyle w:val="Teksttabelisrodek"/>
            </w:pPr>
            <w:r w:rsidRPr="00795F17">
              <w:t>1.</w:t>
            </w:r>
          </w:p>
        </w:tc>
        <w:tc>
          <w:tcPr>
            <w:tcW w:w="1800" w:type="pct"/>
          </w:tcPr>
          <w:p w14:paraId="438EE64E" w14:textId="77777777" w:rsidR="00387B6E" w:rsidRPr="00795F17" w:rsidRDefault="00387B6E" w:rsidP="003C7EEB">
            <w:pPr>
              <w:pStyle w:val="Teksttabelilewy"/>
            </w:pPr>
            <w:r w:rsidRPr="00795F17">
              <w:t>Prezes PGW WP</w:t>
            </w:r>
          </w:p>
        </w:tc>
        <w:tc>
          <w:tcPr>
            <w:tcW w:w="2886" w:type="pct"/>
          </w:tcPr>
          <w:p w14:paraId="5C262789" w14:textId="77777777" w:rsidR="00387B6E" w:rsidRPr="00795F17" w:rsidRDefault="00387B6E" w:rsidP="003C7EEB">
            <w:pPr>
              <w:pStyle w:val="Teksttabelilewy"/>
              <w:rPr>
                <w:rFonts w:cstheme="minorHAnsi"/>
                <w:b/>
                <w:bCs/>
              </w:rPr>
            </w:pPr>
            <w:r w:rsidRPr="00795F17">
              <w:rPr>
                <w:b/>
                <w:bCs/>
              </w:rPr>
              <w:t>PGW WP</w:t>
            </w:r>
          </w:p>
          <w:p w14:paraId="3EC78D82" w14:textId="77777777" w:rsidR="00387B6E" w:rsidRPr="00795F17" w:rsidRDefault="00387B6E" w:rsidP="003C7EEB">
            <w:pPr>
              <w:pStyle w:val="Teksttabelilewy"/>
              <w:rPr>
                <w:rFonts w:cstheme="minorHAnsi"/>
              </w:rPr>
            </w:pPr>
            <w:r w:rsidRPr="00795F17">
              <w:rPr>
                <w:rFonts w:cstheme="minorHAnsi"/>
              </w:rPr>
              <w:t>ul. Żelazna 59a, 00-848 Warszawa</w:t>
            </w:r>
          </w:p>
          <w:p w14:paraId="088C8CCC" w14:textId="4B5E7705" w:rsidR="00387B6E" w:rsidRPr="00795F17" w:rsidRDefault="009C595A" w:rsidP="003C7EEB">
            <w:pPr>
              <w:pStyle w:val="Teksttabelilewy"/>
              <w:rPr>
                <w:rFonts w:cstheme="minorHAnsi"/>
              </w:rPr>
            </w:pPr>
            <w:hyperlink r:id="rId170" w:history="1">
              <w:r w:rsidR="001C5BE2" w:rsidRPr="009C245D">
                <w:rPr>
                  <w:rStyle w:val="Hipercze"/>
                  <w:rFonts w:cstheme="minorHAnsi"/>
                </w:rPr>
                <w:t>https://www.wody.gov.pl</w:t>
              </w:r>
            </w:hyperlink>
          </w:p>
        </w:tc>
      </w:tr>
      <w:tr w:rsidR="00387B6E" w:rsidRPr="00795F17" w14:paraId="781A6977" w14:textId="77777777" w:rsidTr="00387B6E">
        <w:trPr>
          <w:trHeight w:val="567"/>
          <w:jc w:val="center"/>
        </w:trPr>
        <w:tc>
          <w:tcPr>
            <w:tcW w:w="314" w:type="pct"/>
          </w:tcPr>
          <w:p w14:paraId="52149D14" w14:textId="77777777" w:rsidR="00387B6E" w:rsidRPr="00795F17" w:rsidRDefault="00387B6E" w:rsidP="003C7EEB">
            <w:pPr>
              <w:pStyle w:val="Teksttabelisrodek"/>
            </w:pPr>
            <w:r w:rsidRPr="00795F17">
              <w:t>2.</w:t>
            </w:r>
          </w:p>
        </w:tc>
        <w:tc>
          <w:tcPr>
            <w:tcW w:w="1800" w:type="pct"/>
          </w:tcPr>
          <w:p w14:paraId="7BDAF67B" w14:textId="77777777" w:rsidR="00387B6E" w:rsidRPr="00795F17" w:rsidRDefault="00387B6E" w:rsidP="003C7EEB">
            <w:pPr>
              <w:pStyle w:val="Teksttabelilewy"/>
            </w:pPr>
            <w:r w:rsidRPr="00795F17">
              <w:t>Dyrektor RZGW WP</w:t>
            </w:r>
          </w:p>
        </w:tc>
        <w:tc>
          <w:tcPr>
            <w:tcW w:w="2886" w:type="pct"/>
          </w:tcPr>
          <w:p w14:paraId="630ECD6F" w14:textId="77777777" w:rsidR="00387B6E" w:rsidRPr="00795F17" w:rsidRDefault="00387B6E" w:rsidP="003C7EEB">
            <w:pPr>
              <w:pStyle w:val="Teksttabelilewy"/>
              <w:rPr>
                <w:b/>
                <w:bCs/>
                <w:noProof/>
              </w:rPr>
            </w:pPr>
            <w:r w:rsidRPr="00795F17">
              <w:rPr>
                <w:b/>
                <w:bCs/>
                <w:noProof/>
              </w:rPr>
              <w:t>RZGW w Bydgoszczy</w:t>
            </w:r>
          </w:p>
          <w:p w14:paraId="0147E2F6" w14:textId="1E733074" w:rsidR="00387B6E" w:rsidRPr="00795F17" w:rsidRDefault="00387B6E" w:rsidP="003C7EEB">
            <w:pPr>
              <w:pStyle w:val="Teksttabelilewy"/>
              <w:rPr>
                <w:noProof/>
              </w:rPr>
            </w:pPr>
            <w:r w:rsidRPr="00795F17">
              <w:rPr>
                <w:noProof/>
              </w:rPr>
              <w:t>al. Adama Mickiewicza 15</w:t>
            </w:r>
            <w:r w:rsidR="003C7EEB" w:rsidRPr="00795F17">
              <w:rPr>
                <w:noProof/>
              </w:rPr>
              <w:br/>
            </w:r>
            <w:r w:rsidRPr="00795F17">
              <w:rPr>
                <w:noProof/>
              </w:rPr>
              <w:t>85-071 Bydgoszcz</w:t>
            </w:r>
          </w:p>
          <w:p w14:paraId="08DEB1E3" w14:textId="77777777" w:rsidR="00387B6E" w:rsidRPr="00795F17" w:rsidRDefault="00387B6E" w:rsidP="003C7EEB">
            <w:pPr>
              <w:pStyle w:val="Teksttabelilewy"/>
              <w:rPr>
                <w:b/>
                <w:bCs/>
                <w:noProof/>
              </w:rPr>
            </w:pPr>
            <w:r w:rsidRPr="00795F17">
              <w:rPr>
                <w:b/>
                <w:bCs/>
                <w:noProof/>
              </w:rPr>
              <w:t>RZGW w Gliwicach</w:t>
            </w:r>
          </w:p>
          <w:p w14:paraId="5943BE70" w14:textId="2F10D012" w:rsidR="00387B6E" w:rsidRPr="00795F17" w:rsidRDefault="00387B6E" w:rsidP="003C7EEB">
            <w:pPr>
              <w:pStyle w:val="Teksttabelilewy"/>
              <w:rPr>
                <w:noProof/>
              </w:rPr>
            </w:pPr>
            <w:r w:rsidRPr="00795F17">
              <w:rPr>
                <w:noProof/>
              </w:rPr>
              <w:t>ul. H. Sienkiewicza 2</w:t>
            </w:r>
            <w:r w:rsidR="003C7EEB" w:rsidRPr="00795F17">
              <w:rPr>
                <w:noProof/>
              </w:rPr>
              <w:br/>
            </w:r>
            <w:r w:rsidRPr="00795F17">
              <w:rPr>
                <w:noProof/>
              </w:rPr>
              <w:t>44-100 Gliwice</w:t>
            </w:r>
          </w:p>
          <w:p w14:paraId="367B33CF" w14:textId="77777777" w:rsidR="00387B6E" w:rsidRPr="00795F17" w:rsidRDefault="00387B6E" w:rsidP="003C7EEB">
            <w:pPr>
              <w:pStyle w:val="Teksttabelilewy"/>
              <w:rPr>
                <w:b/>
                <w:bCs/>
                <w:noProof/>
              </w:rPr>
            </w:pPr>
            <w:r w:rsidRPr="00795F17">
              <w:rPr>
                <w:b/>
                <w:bCs/>
                <w:noProof/>
              </w:rPr>
              <w:t xml:space="preserve">RZGW w Poznaniu </w:t>
            </w:r>
          </w:p>
          <w:p w14:paraId="46D62FA8" w14:textId="4C3B47B0" w:rsidR="00387B6E" w:rsidRPr="00795F17" w:rsidRDefault="00387B6E" w:rsidP="003C7EEB">
            <w:pPr>
              <w:pStyle w:val="Teksttabelilewy"/>
              <w:rPr>
                <w:noProof/>
              </w:rPr>
            </w:pPr>
            <w:r w:rsidRPr="00795F17">
              <w:rPr>
                <w:noProof/>
              </w:rPr>
              <w:t>ul. Chlebowa 4/8</w:t>
            </w:r>
            <w:r w:rsidR="003C7EEB" w:rsidRPr="00795F17">
              <w:rPr>
                <w:noProof/>
              </w:rPr>
              <w:br/>
            </w:r>
            <w:r w:rsidRPr="00795F17">
              <w:rPr>
                <w:noProof/>
              </w:rPr>
              <w:t>61-003 Poznań</w:t>
            </w:r>
          </w:p>
          <w:p w14:paraId="6CB1F254" w14:textId="77777777" w:rsidR="00387B6E" w:rsidRPr="00795F17" w:rsidRDefault="00387B6E" w:rsidP="003C7EEB">
            <w:pPr>
              <w:pStyle w:val="Teksttabelilewy"/>
              <w:rPr>
                <w:b/>
                <w:bCs/>
                <w:noProof/>
              </w:rPr>
            </w:pPr>
            <w:r w:rsidRPr="00795F17">
              <w:rPr>
                <w:b/>
                <w:bCs/>
                <w:noProof/>
              </w:rPr>
              <w:t>RZGW w Szczecinie</w:t>
            </w:r>
          </w:p>
          <w:p w14:paraId="025E63F2" w14:textId="0004E55F" w:rsidR="00387B6E" w:rsidRPr="00795F17" w:rsidRDefault="00387B6E" w:rsidP="003C7EEB">
            <w:pPr>
              <w:pStyle w:val="Teksttabelilewy"/>
              <w:rPr>
                <w:noProof/>
              </w:rPr>
            </w:pPr>
            <w:r w:rsidRPr="00795F17">
              <w:rPr>
                <w:noProof/>
              </w:rPr>
              <w:t>ul. Tama Pomorzańska 13A</w:t>
            </w:r>
            <w:r w:rsidR="003C7EEB" w:rsidRPr="00795F17">
              <w:rPr>
                <w:noProof/>
              </w:rPr>
              <w:br/>
            </w:r>
            <w:r w:rsidRPr="00795F17">
              <w:rPr>
                <w:noProof/>
              </w:rPr>
              <w:t>70-030 Szczecin</w:t>
            </w:r>
          </w:p>
          <w:p w14:paraId="294974EC" w14:textId="77777777" w:rsidR="00387B6E" w:rsidRPr="00795F17" w:rsidRDefault="00387B6E" w:rsidP="003C7EEB">
            <w:pPr>
              <w:pStyle w:val="Teksttabelilewy"/>
              <w:rPr>
                <w:b/>
                <w:bCs/>
                <w:noProof/>
              </w:rPr>
            </w:pPr>
            <w:r w:rsidRPr="00795F17">
              <w:rPr>
                <w:b/>
                <w:bCs/>
                <w:noProof/>
              </w:rPr>
              <w:t>RZGW we Wrocławiu</w:t>
            </w:r>
          </w:p>
          <w:p w14:paraId="0A2993DE" w14:textId="6EBD62D3" w:rsidR="00387B6E" w:rsidRPr="00795F17" w:rsidRDefault="00387B6E" w:rsidP="003C7EEB">
            <w:pPr>
              <w:pStyle w:val="Teksttabelilewy"/>
              <w:rPr>
                <w:rFonts w:cstheme="minorHAnsi"/>
                <w:noProof/>
              </w:rPr>
            </w:pPr>
            <w:r w:rsidRPr="00795F17">
              <w:rPr>
                <w:noProof/>
              </w:rPr>
              <w:t>ul. Norwida 34</w:t>
            </w:r>
            <w:r w:rsidR="003C7EEB" w:rsidRPr="00795F17">
              <w:rPr>
                <w:noProof/>
              </w:rPr>
              <w:br/>
            </w:r>
            <w:r w:rsidRPr="00795F17">
              <w:rPr>
                <w:noProof/>
              </w:rPr>
              <w:t>50-950 Wrocław</w:t>
            </w:r>
          </w:p>
        </w:tc>
      </w:tr>
    </w:tbl>
    <w:p w14:paraId="284CE572" w14:textId="77777777" w:rsidR="00387B6E" w:rsidRPr="00795F17" w:rsidRDefault="00387B6E" w:rsidP="00387B6E">
      <w:pPr>
        <w:pStyle w:val="rdo"/>
      </w:pPr>
      <w:r w:rsidRPr="00795F17">
        <w:t>Źródło: opracowanie własne</w:t>
      </w:r>
    </w:p>
    <w:p w14:paraId="290B0E46" w14:textId="2215AFDF" w:rsidR="00387B6E" w:rsidRPr="00795F17" w:rsidRDefault="00387B6E" w:rsidP="00387B6E">
      <w:r w:rsidRPr="00795F17">
        <w:t xml:space="preserve">Organem właściwym do udzielania informacji z zakresu monitoringu wód powierzchniowych, podziemnych oraz obszarów chronionych oraz stanu </w:t>
      </w:r>
      <w:r w:rsidR="00DF005E">
        <w:t>JCWP</w:t>
      </w:r>
      <w:r w:rsidRPr="00795F17">
        <w:t xml:space="preserve"> i </w:t>
      </w:r>
      <w:r w:rsidR="00DF005E">
        <w:t>JCWP</w:t>
      </w:r>
      <w:r w:rsidRPr="00795F17">
        <w:t>d jest GIOŚ (tabela 24-2).</w:t>
      </w:r>
    </w:p>
    <w:p w14:paraId="282F4E53" w14:textId="50F448A0" w:rsidR="00387B6E" w:rsidRPr="00795F17" w:rsidRDefault="00387B6E" w:rsidP="004D7705">
      <w:pPr>
        <w:pStyle w:val="Tabela"/>
      </w:pPr>
      <w:bookmarkStart w:id="1071" w:name="_Toc105512919"/>
      <w:r w:rsidRPr="00795F17">
        <w:t xml:space="preserve">Tabela </w:t>
      </w:r>
      <w:fldSimple w:instr=" STYLEREF 1 \s ">
        <w:r w:rsidR="001F774D">
          <w:rPr>
            <w:noProof/>
          </w:rPr>
          <w:t>24</w:t>
        </w:r>
      </w:fldSimple>
      <w:r w:rsidRPr="00795F17">
        <w:noBreakHyphen/>
      </w:r>
      <w:fldSimple w:instr=" SEQ Tabela \* ARABIC \s 1 ">
        <w:r w:rsidR="001F774D">
          <w:rPr>
            <w:noProof/>
          </w:rPr>
          <w:t>2</w:t>
        </w:r>
      </w:fldSimple>
      <w:r w:rsidR="00802C92">
        <w:rPr>
          <w:noProof/>
        </w:rPr>
        <w:t>.</w:t>
      </w:r>
      <w:r w:rsidRPr="00795F17">
        <w:tab/>
        <w:t>Dane adresowe o</w:t>
      </w:r>
      <w:r w:rsidRPr="00795F17">
        <w:rPr>
          <w:rFonts w:asciiTheme="minorHAnsi" w:hAnsiTheme="minorHAnsi" w:cstheme="minorBidi"/>
        </w:rPr>
        <w:t>rganów właściwych do udzielania informacji z zakresu monitoringu wód i</w:t>
      </w:r>
      <w:r w:rsidR="0084311B">
        <w:rPr>
          <w:rFonts w:asciiTheme="minorHAnsi" w:hAnsiTheme="minorHAnsi" w:cstheme="minorBidi"/>
        </w:rPr>
        <w:t> </w:t>
      </w:r>
      <w:r w:rsidRPr="00795F17">
        <w:rPr>
          <w:rFonts w:asciiTheme="minorHAnsi" w:hAnsiTheme="minorHAnsi" w:cstheme="minorBidi"/>
        </w:rPr>
        <w:t xml:space="preserve">obszarów chronionych </w:t>
      </w:r>
      <w:r w:rsidRPr="00795F17">
        <w:t>dla obszaru dorzecza Odry</w:t>
      </w:r>
      <w:bookmarkEnd w:id="1071"/>
    </w:p>
    <w:tbl>
      <w:tblPr>
        <w:tblStyle w:val="Tabela-Siatka"/>
        <w:tblW w:w="4064" w:type="pct"/>
        <w:jc w:val="center"/>
        <w:tblLook w:val="04A0" w:firstRow="1" w:lastRow="0" w:firstColumn="1" w:lastColumn="0" w:noHBand="0" w:noVBand="1"/>
      </w:tblPr>
      <w:tblGrid>
        <w:gridCol w:w="462"/>
        <w:gridCol w:w="2652"/>
        <w:gridCol w:w="4252"/>
      </w:tblGrid>
      <w:tr w:rsidR="00387B6E" w:rsidRPr="00795F17" w14:paraId="15A7D3A3" w14:textId="77777777" w:rsidTr="00387B6E">
        <w:trPr>
          <w:cnfStyle w:val="100000000000" w:firstRow="1" w:lastRow="0" w:firstColumn="0" w:lastColumn="0" w:oddVBand="0" w:evenVBand="0" w:oddHBand="0" w:evenHBand="0" w:firstRowFirstColumn="0" w:firstRowLastColumn="0" w:lastRowFirstColumn="0" w:lastRowLastColumn="0"/>
          <w:trHeight w:val="567"/>
          <w:jc w:val="center"/>
        </w:trPr>
        <w:tc>
          <w:tcPr>
            <w:tcW w:w="314" w:type="pct"/>
          </w:tcPr>
          <w:p w14:paraId="39DC9727" w14:textId="77777777" w:rsidR="00387B6E" w:rsidRPr="00795F17" w:rsidRDefault="00387B6E" w:rsidP="00387B6E">
            <w:pPr>
              <w:pStyle w:val="Teksttabelinaglowek"/>
              <w:rPr>
                <w:b/>
              </w:rPr>
            </w:pPr>
            <w:r w:rsidRPr="00795F17">
              <w:rPr>
                <w:b/>
              </w:rPr>
              <w:t>Lp.</w:t>
            </w:r>
          </w:p>
        </w:tc>
        <w:tc>
          <w:tcPr>
            <w:tcW w:w="1800" w:type="pct"/>
          </w:tcPr>
          <w:p w14:paraId="5E9F7434" w14:textId="77777777" w:rsidR="00387B6E" w:rsidRPr="00795F17" w:rsidRDefault="00387B6E" w:rsidP="00387B6E">
            <w:pPr>
              <w:pStyle w:val="Teksttabelinaglowek"/>
              <w:rPr>
                <w:b/>
              </w:rPr>
            </w:pPr>
            <w:r w:rsidRPr="00795F17">
              <w:rPr>
                <w:b/>
              </w:rPr>
              <w:t>Organ</w:t>
            </w:r>
          </w:p>
        </w:tc>
        <w:tc>
          <w:tcPr>
            <w:tcW w:w="2886" w:type="pct"/>
          </w:tcPr>
          <w:p w14:paraId="2639E235" w14:textId="77777777" w:rsidR="00387B6E" w:rsidRPr="00795F17" w:rsidRDefault="00387B6E" w:rsidP="00387B6E">
            <w:pPr>
              <w:pStyle w:val="Teksttabelinaglowek"/>
              <w:rPr>
                <w:rFonts w:cstheme="minorHAnsi"/>
                <w:b/>
              </w:rPr>
            </w:pPr>
            <w:r w:rsidRPr="00795F17">
              <w:rPr>
                <w:rFonts w:cstheme="minorHAnsi"/>
                <w:b/>
              </w:rPr>
              <w:t>Adres</w:t>
            </w:r>
          </w:p>
        </w:tc>
      </w:tr>
      <w:tr w:rsidR="00387B6E" w:rsidRPr="00795F17" w14:paraId="52F1039A" w14:textId="77777777" w:rsidTr="00387B6E">
        <w:trPr>
          <w:trHeight w:val="567"/>
          <w:jc w:val="center"/>
        </w:trPr>
        <w:tc>
          <w:tcPr>
            <w:tcW w:w="314" w:type="pct"/>
          </w:tcPr>
          <w:p w14:paraId="626ED986" w14:textId="77777777" w:rsidR="00387B6E" w:rsidRPr="00795F17" w:rsidRDefault="00387B6E" w:rsidP="00387B6E">
            <w:pPr>
              <w:pStyle w:val="Teksttabelisrodek"/>
            </w:pPr>
            <w:r w:rsidRPr="00795F17">
              <w:t>1.</w:t>
            </w:r>
          </w:p>
        </w:tc>
        <w:tc>
          <w:tcPr>
            <w:tcW w:w="1800" w:type="pct"/>
          </w:tcPr>
          <w:p w14:paraId="519BC431" w14:textId="77777777" w:rsidR="00387B6E" w:rsidRPr="00795F17" w:rsidRDefault="00387B6E" w:rsidP="00387B6E">
            <w:pPr>
              <w:pStyle w:val="Teksttabelilewy"/>
            </w:pPr>
            <w:r w:rsidRPr="00795F17">
              <w:t>Główny Inspektor Ochrony Środowiska</w:t>
            </w:r>
          </w:p>
        </w:tc>
        <w:tc>
          <w:tcPr>
            <w:tcW w:w="2886" w:type="pct"/>
          </w:tcPr>
          <w:p w14:paraId="5FC275D3" w14:textId="77777777" w:rsidR="00387B6E" w:rsidRPr="00795F17" w:rsidRDefault="00387B6E" w:rsidP="00387B6E">
            <w:pPr>
              <w:pStyle w:val="Teksttabelilewy"/>
            </w:pPr>
            <w:r w:rsidRPr="00795F17">
              <w:t>Główny Inspektorat Ochrony Środowiska</w:t>
            </w:r>
          </w:p>
          <w:p w14:paraId="1F45C706" w14:textId="0C5165B3" w:rsidR="00387B6E" w:rsidRPr="00795F17" w:rsidRDefault="00387B6E" w:rsidP="00387B6E">
            <w:pPr>
              <w:pStyle w:val="Teksttabelilewy"/>
              <w:rPr>
                <w:rFonts w:ascii="Arial" w:hAnsi="Arial" w:cs="Arial"/>
                <w:color w:val="333333"/>
              </w:rPr>
            </w:pPr>
            <w:r w:rsidRPr="00795F17">
              <w:t>ul. Bitwy Warszawskiej 1920 r. 3</w:t>
            </w:r>
            <w:r w:rsidRPr="00795F17">
              <w:br/>
              <w:t>02-362 Warszawa</w:t>
            </w:r>
          </w:p>
        </w:tc>
      </w:tr>
    </w:tbl>
    <w:p w14:paraId="0323FD4C" w14:textId="77777777" w:rsidR="00387B6E" w:rsidRPr="00795F17" w:rsidRDefault="00387B6E" w:rsidP="00387B6E">
      <w:pPr>
        <w:pStyle w:val="rdo"/>
      </w:pPr>
      <w:r w:rsidRPr="00795F17">
        <w:t>Źródło: opracowanie własne</w:t>
      </w:r>
    </w:p>
    <w:p w14:paraId="16B8F1A0" w14:textId="77777777" w:rsidR="00387B6E" w:rsidRPr="00795F17" w:rsidRDefault="00387B6E" w:rsidP="00C53C86">
      <w:pPr>
        <w:pStyle w:val="Nagwek2"/>
      </w:pPr>
      <w:bookmarkStart w:id="1072" w:name="_Toc105512747"/>
      <w:r w:rsidRPr="00795F17">
        <w:t>Procedury pozyskiwania źródłowej dokumentacji</w:t>
      </w:r>
      <w:bookmarkEnd w:id="1072"/>
    </w:p>
    <w:p w14:paraId="501A56A0" w14:textId="73109671" w:rsidR="00387B6E" w:rsidRPr="00795F17" w:rsidRDefault="00387B6E" w:rsidP="00387B6E">
      <w:r w:rsidRPr="00795F17">
        <w:t>Procedury pozyskiwania dokumentacji źródłowej wykorzystanej na potrzeby przygotowania IIaPGW reguluje u.i.o.ś. Zgodnie z art. 8</w:t>
      </w:r>
      <w:r w:rsidRPr="00795F17" w:rsidDel="00151B8A">
        <w:t xml:space="preserve"> </w:t>
      </w:r>
      <w:r w:rsidRPr="00795F17">
        <w:t>u.i.o.ś., organy administracji są zobowiązane do</w:t>
      </w:r>
      <w:r w:rsidR="003C7EEB" w:rsidRPr="00795F17">
        <w:t> </w:t>
      </w:r>
      <w:r w:rsidRPr="00795F17">
        <w:t>udostępniania każdemu informacji o środowisku i jego ochronie znajdujących się w ich posiadaniu lub które są dla nich przeznaczone.</w:t>
      </w:r>
    </w:p>
    <w:p w14:paraId="1D7A1E41" w14:textId="4FA44C7C" w:rsidR="00387B6E" w:rsidRPr="00795F17" w:rsidRDefault="00387B6E" w:rsidP="00387B6E">
      <w:r w:rsidRPr="00795F17">
        <w:t>Informacje o środowisku oraz jego ochronie udostępniane są w formie ustnej, pisemnej, elektronicznej, wizualnej, dźwiękowej lub w innej formie (art. 9 ust. 2</w:t>
      </w:r>
      <w:r w:rsidRPr="00795F17" w:rsidDel="00151B8A">
        <w:t xml:space="preserve"> </w:t>
      </w:r>
      <w:r w:rsidR="003C7EEB" w:rsidRPr="00795F17">
        <w:t>u.i.o.ś.</w:t>
      </w:r>
      <w:r w:rsidRPr="00795F17">
        <w:t xml:space="preserve">) na wniosek pisemny (za wyjątkiem informacji zawartych w udostępnionej bazie danych GIOŚ), bądź w przypadkach niewymagających wyszukiwania </w:t>
      </w:r>
      <w:r w:rsidR="00151B8A">
        <w:t>–</w:t>
      </w:r>
      <w:r w:rsidRPr="00795F17">
        <w:t xml:space="preserve"> bez pisemnego wniosku (art. 12 ust. 1 i </w:t>
      </w:r>
      <w:r w:rsidR="00151B8A">
        <w:t xml:space="preserve">ust. </w:t>
      </w:r>
      <w:r w:rsidRPr="00795F17">
        <w:t>2</w:t>
      </w:r>
      <w:r w:rsidR="00151B8A">
        <w:t xml:space="preserve"> u.i.o.ś.</w:t>
      </w:r>
      <w:r w:rsidRPr="00795F17">
        <w:t xml:space="preserve">), nie później niż w ciągu miesiąca od dnia otrzymania wniosku (art. 14 ust. 1 </w:t>
      </w:r>
      <w:r w:rsidR="00DF57A7">
        <w:t>u.i.o.ś</w:t>
      </w:r>
      <w:r w:rsidRPr="00795F17">
        <w:t>). Informacja o środowisku i jego ochronie jest udostępniana na pisemny wniosek o udostępnienie informacji.</w:t>
      </w:r>
    </w:p>
    <w:p w14:paraId="70E76D31" w14:textId="40A210C3" w:rsidR="00387B6E" w:rsidRPr="00795F17" w:rsidRDefault="00387B6E" w:rsidP="00387B6E">
      <w:r w:rsidRPr="00795F17">
        <w:t>Kategorie informacji podlegających udostępnieniu wskazuje art. 9 ust. 1 u.i.o.ś</w:t>
      </w:r>
      <w:r w:rsidR="003C7EEB" w:rsidRPr="00795F17">
        <w:t>.</w:t>
      </w:r>
      <w:r w:rsidRPr="00795F17">
        <w:t xml:space="preserve"> i są to między innymi: informacje dotyczące stanu elementów środowiska, emisji zanieczyszczeń i odpadów promieniotwórczych, środków administracyjnych, przepisów prawnych dotyczących środowiska i</w:t>
      </w:r>
      <w:r w:rsidR="003C7EEB" w:rsidRPr="00795F17">
        <w:t> </w:t>
      </w:r>
      <w:r w:rsidRPr="00795F17">
        <w:t>gospodarki wodnej, raporty na temat realizacji przepisów dotyczących ochrony środowiska, informacje na temat stanu zdrowia, bezpieczeństwa i warunków życia ludzi.</w:t>
      </w:r>
    </w:p>
    <w:p w14:paraId="7954D8DF" w14:textId="2469E4A1" w:rsidR="00387B6E" w:rsidRPr="00795F17" w:rsidRDefault="00387B6E" w:rsidP="00387B6E">
      <w:r w:rsidRPr="00795F17">
        <w:t>Zgodnie z art. 16 ust. 1 u.i.o.ś</w:t>
      </w:r>
      <w:r w:rsidR="003C7EEB" w:rsidRPr="00795F17">
        <w:t>.</w:t>
      </w:r>
      <w:r w:rsidRPr="00795F17">
        <w:t xml:space="preserve"> organ administracji może odmówić udostępnienia informacji o</w:t>
      </w:r>
      <w:r w:rsidR="003C7EEB" w:rsidRPr="00795F17">
        <w:t> </w:t>
      </w:r>
      <w:r w:rsidRPr="00795F17">
        <w:t>środowisku i jego ochronie, jeżeli informacje dotyczą w szczególności danych objętych tajemnicą statystyczną, prawem autorskim, związanych z ochroną danych osobowych, spraw związanych z</w:t>
      </w:r>
      <w:r w:rsidR="003C7EEB" w:rsidRPr="00795F17">
        <w:t> </w:t>
      </w:r>
      <w:r w:rsidRPr="00795F17">
        <w:t>toczącym się postępowaniem sądowym, informacji o wartości handlowej, danych zagrażającym bezpieczeństwu publicznemu i państwowemu.</w:t>
      </w:r>
    </w:p>
    <w:p w14:paraId="4710EEC1" w14:textId="1880BE46" w:rsidR="00387B6E" w:rsidRPr="00795F17" w:rsidRDefault="00387B6E" w:rsidP="00387B6E">
      <w:r w:rsidRPr="00795F17">
        <w:t xml:space="preserve">Dane o dokumentach zawierających informacje o środowisku i jego ochronie zamieszczane </w:t>
      </w:r>
      <w:r w:rsidR="003C7EEB" w:rsidRPr="00795F17">
        <w:br/>
      </w:r>
      <w:r w:rsidRPr="00795F17">
        <w:t>są w publicznie dostępnych wykazach (art. 21 ust. 1 u.i.o.ś</w:t>
      </w:r>
      <w:r w:rsidR="003C7EEB" w:rsidRPr="00795F17">
        <w:t>.</w:t>
      </w:r>
      <w:r w:rsidRPr="00795F17">
        <w:t xml:space="preserve">), do prowadzenia których zobowiązane są organy administracji właściwe w sprawach, bądź właściwe do prowadzenia postępowania, w ramach którego lub w wyniku którego sporządzane są dokumenty (art. 22 ust. 1 i </w:t>
      </w:r>
      <w:r w:rsidR="00C9049E">
        <w:t xml:space="preserve">ust. </w:t>
      </w:r>
      <w:r w:rsidRPr="00795F17">
        <w:t xml:space="preserve">2 </w:t>
      </w:r>
      <w:r w:rsidR="003C7EEB" w:rsidRPr="00795F17">
        <w:t>u.i.o.ś.</w:t>
      </w:r>
      <w:r w:rsidRPr="00795F17">
        <w:t>). Publicznie dostępne wykazy prowadzone są w formie elektronicznej i udostępniane w</w:t>
      </w:r>
      <w:r w:rsidR="003C7EEB" w:rsidRPr="00795F17">
        <w:t> </w:t>
      </w:r>
      <w:r w:rsidRPr="00795F17">
        <w:t xml:space="preserve">Biuletynie Informacji Publicznej (art. 23 ust. 1 </w:t>
      </w:r>
      <w:r w:rsidR="003C7EEB" w:rsidRPr="00795F17">
        <w:t>u.i.o.ś.</w:t>
      </w:r>
      <w:r w:rsidRPr="00795F17">
        <w:t>).</w:t>
      </w:r>
    </w:p>
    <w:p w14:paraId="6FA432CF" w14:textId="77777777" w:rsidR="00387B6E" w:rsidRPr="00795F17" w:rsidRDefault="00387B6E" w:rsidP="00C53C86">
      <w:pPr>
        <w:pStyle w:val="Nagwek2"/>
      </w:pPr>
      <w:bookmarkStart w:id="1073" w:name="_Toc105512748"/>
      <w:r w:rsidRPr="00795F17">
        <w:t>Dokumentacja źródłowa wykorzystana przy sporządzaniu IIaPGW</w:t>
      </w:r>
      <w:bookmarkEnd w:id="1073"/>
    </w:p>
    <w:p w14:paraId="093E2118" w14:textId="483CE11A" w:rsidR="00387B6E" w:rsidRPr="00795F17" w:rsidRDefault="00387B6E" w:rsidP="00387B6E">
      <w:r w:rsidRPr="00795F17">
        <w:t>Podczas prac przy IIaPGW wykorzystano dokumenty i opracowania sporządzone w trakcie trwania III cyklu planistycznego (2016</w:t>
      </w:r>
      <w:r w:rsidR="00C9049E">
        <w:t>–</w:t>
      </w:r>
      <w:r w:rsidRPr="00795F17">
        <w:t>2021) aktualizujące, bądź uszczegóławiające dane opracowane i</w:t>
      </w:r>
      <w:r w:rsidR="003C7EEB" w:rsidRPr="00795F17">
        <w:t> </w:t>
      </w:r>
      <w:r w:rsidRPr="00795F17">
        <w:t xml:space="preserve">wykorzystane w drugim cyklu planistycznym. </w:t>
      </w:r>
    </w:p>
    <w:p w14:paraId="2F884CCB" w14:textId="27711EFE" w:rsidR="00387B6E" w:rsidRPr="00795F17" w:rsidRDefault="00387B6E" w:rsidP="00387B6E">
      <w:r w:rsidRPr="00795F17">
        <w:t xml:space="preserve">Wszystkie dane wykorzystane przy sporządzaniu IIaPGW stanowią dane publiczne, dostępne rejestry lub też zostały pozyskane w trybie </w:t>
      </w:r>
      <w:r w:rsidR="009A16E1">
        <w:t>u.i.o.ś</w:t>
      </w:r>
      <w:r w:rsidRPr="00795F17">
        <w:t>.</w:t>
      </w:r>
    </w:p>
    <w:p w14:paraId="1AF6CEA1" w14:textId="76DAFDE5" w:rsidR="00387B6E" w:rsidRPr="00795F17" w:rsidRDefault="00387B6E" w:rsidP="00387B6E">
      <w:r w:rsidRPr="00795F17">
        <w:t>Podstawowe źródła danych niezbędne dla przeprowadzenia analiz IIaPGW stanowiły dane monitoringowe i wyniki ocen PMŚ. Na potrzeby opracowania IIaPGW wykorzystane zostały dane monitoringowe 2011</w:t>
      </w:r>
      <w:r w:rsidR="00C9049E">
        <w:t>–</w:t>
      </w:r>
      <w:r w:rsidRPr="00795F17">
        <w:t>2019 oraz oceny stanu 2014</w:t>
      </w:r>
      <w:r w:rsidR="00C9049E">
        <w:t>–</w:t>
      </w:r>
      <w:r w:rsidRPr="00795F17">
        <w:t>2019.</w:t>
      </w:r>
    </w:p>
    <w:p w14:paraId="0961C9E3" w14:textId="77777777" w:rsidR="00387B6E" w:rsidRPr="00795F17" w:rsidRDefault="00387B6E" w:rsidP="00387B6E">
      <w:r w:rsidRPr="00795F17">
        <w:t xml:space="preserve">Wykorzystane zostały dostępne bazy danych PGW WP, wraz z wynikami zrealizowanych prac, w tym: </w:t>
      </w:r>
      <w:bookmarkStart w:id="1074" w:name="_Hlk55813290"/>
    </w:p>
    <w:p w14:paraId="078AC350" w14:textId="73656CCE" w:rsidR="00387B6E" w:rsidRPr="00E568FE" w:rsidRDefault="00387B6E" w:rsidP="00117E86">
      <w:pPr>
        <w:pStyle w:val="Listapunktowana2"/>
      </w:pPr>
      <w:bookmarkStart w:id="1075" w:name="_Hlk78293042"/>
      <w:r w:rsidRPr="009F7F19">
        <w:rPr>
          <w:rStyle w:val="Wyrnieniedelikatne"/>
          <w:color w:val="auto"/>
        </w:rPr>
        <w:t>Analiza i</w:t>
      </w:r>
      <w:r w:rsidR="003C7EEB" w:rsidRPr="009F7F19">
        <w:rPr>
          <w:rStyle w:val="Wyrnieniedelikatne"/>
          <w:color w:val="auto"/>
        </w:rPr>
        <w:t xml:space="preserve"> </w:t>
      </w:r>
      <w:r w:rsidRPr="009F7F19">
        <w:rPr>
          <w:rStyle w:val="Wyrnieniedelikatne"/>
          <w:color w:val="auto"/>
        </w:rPr>
        <w:t>aktualizacja jednostek do planowania z</w:t>
      </w:r>
      <w:r w:rsidR="003C7EEB" w:rsidRPr="009F7F19">
        <w:rPr>
          <w:rStyle w:val="Wyrnieniedelikatne"/>
          <w:color w:val="auto"/>
        </w:rPr>
        <w:t xml:space="preserve"> </w:t>
      </w:r>
      <w:r w:rsidRPr="009F7F19">
        <w:rPr>
          <w:rStyle w:val="Wyrnieniedelikatne"/>
          <w:color w:val="auto"/>
        </w:rPr>
        <w:t>uwzględnieniem MPHP10</w:t>
      </w:r>
      <w:r w:rsidRPr="00EC2B35">
        <w:t xml:space="preserve"> (2017);</w:t>
      </w:r>
      <w:r w:rsidRPr="00E568FE">
        <w:t xml:space="preserve"> w IIaPGW jako </w:t>
      </w:r>
      <w:r w:rsidRPr="009F7F19">
        <w:rPr>
          <w:rStyle w:val="Wyrnieniedelikatne"/>
          <w:color w:val="auto"/>
        </w:rPr>
        <w:t>Analiza i aktualizacja jednostek do planowania</w:t>
      </w:r>
      <w:r w:rsidRPr="00D41E28">
        <w:t xml:space="preserve"> (…)</w:t>
      </w:r>
      <w:r w:rsidRPr="00E568FE">
        <w:t>;</w:t>
      </w:r>
    </w:p>
    <w:p w14:paraId="7173903A" w14:textId="37059DCE" w:rsidR="00387B6E" w:rsidRPr="003E158D" w:rsidRDefault="00387B6E" w:rsidP="00117E86">
      <w:pPr>
        <w:pStyle w:val="Listapunktowana2"/>
      </w:pPr>
      <w:r w:rsidRPr="009F7F19">
        <w:rPr>
          <w:rStyle w:val="Wyrnieniedelikatne"/>
          <w:color w:val="auto"/>
        </w:rPr>
        <w:t>Wdrożenie metody szacowania przepływów środowiskowych w</w:t>
      </w:r>
      <w:r w:rsidR="003C7EEB" w:rsidRPr="009F7F19">
        <w:rPr>
          <w:rStyle w:val="Wyrnieniedelikatne"/>
          <w:color w:val="auto"/>
        </w:rPr>
        <w:t xml:space="preserve"> </w:t>
      </w:r>
      <w:r w:rsidRPr="009F7F19">
        <w:rPr>
          <w:rStyle w:val="Wyrnieniedelikatne"/>
          <w:color w:val="auto"/>
        </w:rPr>
        <w:t>Polsce</w:t>
      </w:r>
      <w:r w:rsidRPr="003E158D">
        <w:t xml:space="preserve"> (2018);</w:t>
      </w:r>
    </w:p>
    <w:p w14:paraId="7970FBCD" w14:textId="4A4B256A" w:rsidR="00387B6E" w:rsidRPr="00E568FE" w:rsidRDefault="00387B6E" w:rsidP="00117E86">
      <w:pPr>
        <w:pStyle w:val="Listapunktowana2"/>
      </w:pPr>
      <w:r w:rsidRPr="009F7F19">
        <w:rPr>
          <w:rStyle w:val="Wyrnieniedelikatne"/>
          <w:color w:val="auto"/>
        </w:rPr>
        <w:t>Przegląd i weryfikacja metodyk wyznaczania silnie zmienionych i sztucznych części wód powierzchniowych wraz ze wstępnym i ostatecznym wyznaczeniem</w:t>
      </w:r>
      <w:r w:rsidRPr="00E568FE">
        <w:t xml:space="preserve"> (2019); w IIaPGW jako </w:t>
      </w:r>
      <w:r w:rsidRPr="009F7F19">
        <w:rPr>
          <w:rStyle w:val="Wyrnieniedelikatne"/>
          <w:color w:val="auto"/>
        </w:rPr>
        <w:t xml:space="preserve">Przegląd i weryfikacja metodyk </w:t>
      </w:r>
      <w:r w:rsidR="00C9049E" w:rsidRPr="009F7F19">
        <w:rPr>
          <w:rStyle w:val="Wyrnieniedelikatne"/>
          <w:color w:val="auto"/>
        </w:rPr>
        <w:t>–</w:t>
      </w:r>
      <w:r w:rsidRPr="009F7F19">
        <w:rPr>
          <w:rStyle w:val="Wyrnieniedelikatne"/>
          <w:color w:val="auto"/>
        </w:rPr>
        <w:t xml:space="preserve"> scw i szcw</w:t>
      </w:r>
      <w:r w:rsidRPr="00D41E28">
        <w:t xml:space="preserve"> (…)</w:t>
      </w:r>
      <w:r w:rsidRPr="00EC2B35">
        <w:t>;</w:t>
      </w:r>
    </w:p>
    <w:p w14:paraId="7E78D5B0" w14:textId="77777777" w:rsidR="00387B6E" w:rsidRPr="00E568FE" w:rsidRDefault="00387B6E" w:rsidP="00117E86">
      <w:pPr>
        <w:pStyle w:val="Listapunktowana2"/>
      </w:pPr>
      <w:r w:rsidRPr="00EC2B35">
        <w:t>Identyfikacja presji antropogenicznych</w:t>
      </w:r>
      <w:r w:rsidRPr="00E568FE">
        <w:t>, w tym:</w:t>
      </w:r>
    </w:p>
    <w:p w14:paraId="7CAAC8A1" w14:textId="77777777" w:rsidR="00387B6E" w:rsidRPr="00E568FE" w:rsidRDefault="00387B6E" w:rsidP="0050009F">
      <w:pPr>
        <w:pStyle w:val="Listapunktowana3"/>
      </w:pPr>
      <w:r w:rsidRPr="003E158D">
        <w:t xml:space="preserve">I: </w:t>
      </w:r>
      <w:r w:rsidRPr="009F7F19">
        <w:rPr>
          <w:rStyle w:val="Wyrnieniedelikatne"/>
          <w:color w:val="auto"/>
        </w:rPr>
        <w:t>Utworzenie krajowej bazy danych o zmianach hydromorfologicznych</w:t>
      </w:r>
      <w:r w:rsidRPr="00E568FE">
        <w:t xml:space="preserve"> (w IIaPGW jako </w:t>
      </w:r>
      <w:r w:rsidRPr="009F7F19">
        <w:rPr>
          <w:rStyle w:val="Wyrnieniedelikatne"/>
          <w:color w:val="auto"/>
        </w:rPr>
        <w:t>Baza HYMO</w:t>
      </w:r>
      <w:r w:rsidRPr="00E568FE">
        <w:t>; 2019),</w:t>
      </w:r>
    </w:p>
    <w:p w14:paraId="3EDFC6E5" w14:textId="77777777" w:rsidR="00387B6E" w:rsidRPr="00E568FE" w:rsidRDefault="00387B6E" w:rsidP="0050009F">
      <w:pPr>
        <w:pStyle w:val="Listapunktowana3"/>
      </w:pPr>
      <w:r w:rsidRPr="00E568FE">
        <w:t xml:space="preserve">II: </w:t>
      </w:r>
      <w:r w:rsidRPr="009F7F19">
        <w:rPr>
          <w:rStyle w:val="Wyrnieniedelikatne"/>
          <w:color w:val="auto"/>
        </w:rPr>
        <w:t>Opracowanie bazy danych o presjach antropogenicznych</w:t>
      </w:r>
      <w:r w:rsidRPr="00E568FE">
        <w:t xml:space="preserve"> (w IIaPGW jako </w:t>
      </w:r>
      <w:r w:rsidRPr="009F7F19">
        <w:rPr>
          <w:rStyle w:val="Wyrnieniedelikatne"/>
          <w:color w:val="auto"/>
        </w:rPr>
        <w:t>Baza IP</w:t>
      </w:r>
      <w:r w:rsidRPr="00E568FE">
        <w:t>; 2019),</w:t>
      </w:r>
    </w:p>
    <w:p w14:paraId="29DE0327" w14:textId="77777777" w:rsidR="00387B6E" w:rsidRPr="00E568FE" w:rsidRDefault="00387B6E" w:rsidP="0050009F">
      <w:pPr>
        <w:pStyle w:val="Listapunktowana3"/>
      </w:pPr>
      <w:r w:rsidRPr="00E568FE">
        <w:t xml:space="preserve">III: </w:t>
      </w:r>
      <w:r w:rsidRPr="009F7F19">
        <w:rPr>
          <w:rStyle w:val="Wyrnieniedelikatne"/>
          <w:color w:val="auto"/>
        </w:rPr>
        <w:t>Opracowanie modelu obliczania ładunków zanieczyszczeń</w:t>
      </w:r>
      <w:r w:rsidRPr="00E568FE">
        <w:t xml:space="preserve"> (2020).</w:t>
      </w:r>
    </w:p>
    <w:p w14:paraId="452BBF57" w14:textId="7CD42CE1" w:rsidR="00387B6E" w:rsidRPr="00E568FE" w:rsidRDefault="00387B6E" w:rsidP="00117E86">
      <w:pPr>
        <w:pStyle w:val="Listapunktowana2"/>
      </w:pPr>
      <w:r w:rsidRPr="009F7F19">
        <w:rPr>
          <w:rStyle w:val="Wyrnieniedelikatne"/>
          <w:color w:val="auto"/>
        </w:rPr>
        <w:t>Ustalenie celów środowiskowych dla jednolitych części wód wraz z</w:t>
      </w:r>
      <w:r w:rsidR="0006678C" w:rsidRPr="009F7F19">
        <w:rPr>
          <w:rStyle w:val="Wyrnieniedelikatne"/>
          <w:color w:val="auto"/>
        </w:rPr>
        <w:t xml:space="preserve"> </w:t>
      </w:r>
      <w:r w:rsidRPr="009F7F19">
        <w:rPr>
          <w:rStyle w:val="Wyrnieniedelikatne"/>
          <w:color w:val="auto"/>
        </w:rPr>
        <w:t>opracowaniem rejestru wykazów obszarów chronionych</w:t>
      </w:r>
      <w:r w:rsidRPr="00E568FE">
        <w:t xml:space="preserve"> (2019); w IIaPGW jako </w:t>
      </w:r>
      <w:r w:rsidRPr="009F7F19">
        <w:rPr>
          <w:rStyle w:val="Wyrnieniedelikatne"/>
          <w:color w:val="auto"/>
        </w:rPr>
        <w:t>Ustalenie celów środowiskowych (…)</w:t>
      </w:r>
      <w:r w:rsidRPr="00E568FE">
        <w:t>;</w:t>
      </w:r>
    </w:p>
    <w:p w14:paraId="3A585415" w14:textId="2ABBAC81" w:rsidR="00387B6E" w:rsidRPr="00E568FE" w:rsidRDefault="00941685" w:rsidP="00117E86">
      <w:pPr>
        <w:pStyle w:val="Listapunktowana2"/>
      </w:pPr>
      <w:r w:rsidRPr="009F7F19">
        <w:rPr>
          <w:rStyle w:val="Wyrnieniedelikatne"/>
          <w:color w:val="auto"/>
        </w:rPr>
        <w:t>Analiza znaczących oddziaływań antropogenicznych wraz z oceną ich wpływu na stan wód oraz oceną ryzyka nieosiągnięcia celów środowiskowych</w:t>
      </w:r>
      <w:r w:rsidR="00387B6E" w:rsidRPr="00E568FE">
        <w:t xml:space="preserve"> (2020);</w:t>
      </w:r>
      <w:r w:rsidR="00387B6E" w:rsidRPr="003E158D">
        <w:t xml:space="preserve"> w IIaPGW jako </w:t>
      </w:r>
      <w:r w:rsidR="00387B6E" w:rsidRPr="009F7F19">
        <w:rPr>
          <w:rStyle w:val="Wyrnieniedelikatne"/>
          <w:color w:val="auto"/>
        </w:rPr>
        <w:t xml:space="preserve">Analiza znaczących oddziaływań </w:t>
      </w:r>
      <w:r w:rsidR="00C9049E" w:rsidRPr="009F7F19">
        <w:rPr>
          <w:rStyle w:val="Wyrnieniedelikatne"/>
          <w:color w:val="auto"/>
        </w:rPr>
        <w:t>–</w:t>
      </w:r>
      <w:r w:rsidR="00387B6E" w:rsidRPr="009F7F19">
        <w:rPr>
          <w:rStyle w:val="Wyrnieniedelikatne"/>
          <w:color w:val="auto"/>
        </w:rPr>
        <w:t xml:space="preserve"> </w:t>
      </w:r>
      <w:r w:rsidR="00DF005E">
        <w:rPr>
          <w:rStyle w:val="Wyrnieniedelikatne"/>
          <w:color w:val="auto"/>
        </w:rPr>
        <w:t>JCWP</w:t>
      </w:r>
      <w:r w:rsidR="00387B6E" w:rsidRPr="009F7F19">
        <w:rPr>
          <w:rStyle w:val="Wyrnieniedelikatne"/>
          <w:color w:val="auto"/>
        </w:rPr>
        <w:t xml:space="preserve"> (…)</w:t>
      </w:r>
      <w:r w:rsidR="00387B6E" w:rsidRPr="00EC2B35">
        <w:t>;</w:t>
      </w:r>
    </w:p>
    <w:p w14:paraId="699E7D8C" w14:textId="77777777" w:rsidR="00387B6E" w:rsidRPr="003E158D" w:rsidRDefault="00387B6E" w:rsidP="00117E86">
      <w:pPr>
        <w:pStyle w:val="Listapunktowana2"/>
      </w:pPr>
      <w:r w:rsidRPr="009F7F19">
        <w:rPr>
          <w:rStyle w:val="Wyrnieniedelikatne"/>
          <w:color w:val="auto"/>
        </w:rPr>
        <w:t>Przegląd istotnych problemów gospodarki wodnej na obszarach dorzeczy</w:t>
      </w:r>
      <w:r w:rsidRPr="00E568FE">
        <w:t xml:space="preserve"> (2020);</w:t>
      </w:r>
    </w:p>
    <w:p w14:paraId="00434E7D" w14:textId="77777777" w:rsidR="00387B6E" w:rsidRPr="00E568FE" w:rsidRDefault="00387B6E" w:rsidP="00117E86">
      <w:pPr>
        <w:pStyle w:val="Listapunktowana2"/>
      </w:pPr>
      <w:r w:rsidRPr="009F7F19">
        <w:rPr>
          <w:rStyle w:val="Wyrnieniedelikatne"/>
          <w:color w:val="auto"/>
        </w:rPr>
        <w:t>Dalsza charakterystyka wód podziemnych zgodnie z załącznikiem II.2 Ramowej Dyrektywy Wodnej wraz z oceną ryzyka</w:t>
      </w:r>
      <w:r w:rsidRPr="003E158D">
        <w:t xml:space="preserve"> (2020);</w:t>
      </w:r>
      <w:r w:rsidRPr="00E568FE">
        <w:t xml:space="preserve"> w IIaPGW jako </w:t>
      </w:r>
      <w:r w:rsidRPr="009F7F19">
        <w:rPr>
          <w:rStyle w:val="Wyrnieniedelikatne"/>
          <w:color w:val="auto"/>
        </w:rPr>
        <w:t>Dalsza charakterystyka wód podziemnych (…)</w:t>
      </w:r>
      <w:r w:rsidRPr="00E568FE">
        <w:t>;</w:t>
      </w:r>
    </w:p>
    <w:p w14:paraId="3126B0BB" w14:textId="225C05A9" w:rsidR="00387B6E" w:rsidRPr="00E568FE" w:rsidRDefault="00387B6E" w:rsidP="00117E86">
      <w:pPr>
        <w:pStyle w:val="Listapunktowana2"/>
      </w:pPr>
      <w:r w:rsidRPr="009F7F19">
        <w:rPr>
          <w:rStyle w:val="Wyrnieniedelikatne"/>
          <w:color w:val="auto"/>
        </w:rPr>
        <w:t>Identyfikacja oddziaływań zmian poziomów zwierciadła wód podziemnych w regionach wodnych</w:t>
      </w:r>
      <w:r w:rsidRPr="00E568FE">
        <w:t xml:space="preserve"> </w:t>
      </w:r>
      <w:r w:rsidRPr="003E158D">
        <w:t>(PSH</w:t>
      </w:r>
      <w:r w:rsidRPr="00E568FE">
        <w:t xml:space="preserve"> 2017);</w:t>
      </w:r>
    </w:p>
    <w:p w14:paraId="3456CCEE" w14:textId="77777777" w:rsidR="00387B6E" w:rsidRPr="00E568FE" w:rsidRDefault="00387B6E" w:rsidP="00117E86">
      <w:pPr>
        <w:pStyle w:val="Listapunktowana2"/>
      </w:pPr>
      <w:r w:rsidRPr="009F7F19">
        <w:rPr>
          <w:rStyle w:val="Wyrnieniedelikatne"/>
          <w:color w:val="auto"/>
        </w:rPr>
        <w:t>Krajowy Program Renaturyzacji Wód Powierzchniowych</w:t>
      </w:r>
      <w:r w:rsidRPr="00E568FE">
        <w:t xml:space="preserve"> (2020); dalej KPRWP;</w:t>
      </w:r>
    </w:p>
    <w:p w14:paraId="010083E8" w14:textId="77777777" w:rsidR="00387B6E" w:rsidRPr="00E568FE" w:rsidRDefault="00387B6E" w:rsidP="00117E86">
      <w:pPr>
        <w:pStyle w:val="Listapunktowana2"/>
      </w:pPr>
      <w:r w:rsidRPr="009F7F19">
        <w:rPr>
          <w:rStyle w:val="Wyrnieniedelikatne"/>
          <w:color w:val="auto"/>
        </w:rPr>
        <w:t>Analiza zwrotu kosztów za usługi wodne wraz z prognozą rozwoju oraz analiza zwrotu kosztów środowiskowych i zasobowych w regionach wodnych i na obszarach dorzeczy</w:t>
      </w:r>
      <w:r w:rsidRPr="00E568FE">
        <w:t xml:space="preserve"> (2019, uzupełniona 07.2020); w IIaPGW jako </w:t>
      </w:r>
      <w:r w:rsidRPr="009F7F19">
        <w:rPr>
          <w:rStyle w:val="Wyrnieniedelikatne"/>
          <w:color w:val="auto"/>
        </w:rPr>
        <w:t>Analiza ekonomiczna (…)</w:t>
      </w:r>
      <w:r w:rsidRPr="00E568FE">
        <w:t>;</w:t>
      </w:r>
    </w:p>
    <w:p w14:paraId="0BD10CAA" w14:textId="46BE5F0A" w:rsidR="00387B6E" w:rsidRPr="00795F17" w:rsidRDefault="00387B6E" w:rsidP="00117E86">
      <w:pPr>
        <w:pStyle w:val="Listapunktowana2"/>
      </w:pPr>
      <w:r w:rsidRPr="009F7F19">
        <w:rPr>
          <w:rStyle w:val="Wyrnieniedelikatne"/>
          <w:color w:val="auto"/>
        </w:rPr>
        <w:t>Ocena postępu we wdrażaniu programów działań wraz ze sporządzeniem raportu dla KE</w:t>
      </w:r>
      <w:r w:rsidRPr="00EC2B35">
        <w:t xml:space="preserve"> </w:t>
      </w:r>
      <w:r w:rsidRPr="00795F17">
        <w:t>(z</w:t>
      </w:r>
      <w:r w:rsidR="00DB7A69">
        <w:t> </w:t>
      </w:r>
      <w:r w:rsidRPr="00795F17">
        <w:t>I aktualizacji PWŚK)</w:t>
      </w:r>
      <w:r w:rsidR="0006678C" w:rsidRPr="00795F17">
        <w:t>.</w:t>
      </w:r>
    </w:p>
    <w:bookmarkEnd w:id="1074"/>
    <w:p w14:paraId="6DDF7DC5" w14:textId="60A35725" w:rsidR="00387B6E" w:rsidRPr="00795F17" w:rsidRDefault="00387B6E" w:rsidP="00387B6E">
      <w:r w:rsidRPr="00795F17">
        <w:t>Specyfika planów gospodarowania wodami oraz ich miejsce w planistyce gospodarki wodnej w Polsce determinuje konieczność zachowania spójności, pomiędzy opracowanymi dokumentami w danym cyklu planistycznym w zakresie zaproponowanych w nich działań, mających jednocześnie wpływ na</w:t>
      </w:r>
      <w:r w:rsidR="0006678C" w:rsidRPr="00795F17">
        <w:t> </w:t>
      </w:r>
      <w:r w:rsidRPr="00795F17">
        <w:t>cele środowiskowe jcw. W związku z tym, w ramach opracowywania IIaPGW poddane analizie zostały następujące dokumenty o charakterze strategicznym:</w:t>
      </w:r>
    </w:p>
    <w:p w14:paraId="4C108BF9" w14:textId="7AFD0EE2" w:rsidR="00387B6E" w:rsidRPr="00795F17" w:rsidRDefault="00387B6E" w:rsidP="00117E86">
      <w:pPr>
        <w:pStyle w:val="Listapunktowana2"/>
      </w:pPr>
      <w:r w:rsidRPr="00795F17">
        <w:t xml:space="preserve">Krajowa Strategia Rozwoju Regionalnego </w:t>
      </w:r>
      <w:r w:rsidR="00EA6C71" w:rsidRPr="00795F17">
        <w:t>2030</w:t>
      </w:r>
      <w:r w:rsidRPr="00795F17">
        <w:t>;</w:t>
      </w:r>
    </w:p>
    <w:p w14:paraId="13157B31" w14:textId="1050DA14" w:rsidR="00387B6E" w:rsidRPr="00795F17" w:rsidRDefault="00387B6E" w:rsidP="00117E86">
      <w:pPr>
        <w:pStyle w:val="Listapunktowana2"/>
      </w:pPr>
      <w:r w:rsidRPr="00795F17">
        <w:t>System Zarządzania Rozwojem Polski;</w:t>
      </w:r>
    </w:p>
    <w:p w14:paraId="3A23B050" w14:textId="3CBDC6CE" w:rsidR="00387B6E" w:rsidRPr="00795F17" w:rsidRDefault="00387B6E" w:rsidP="00117E86">
      <w:pPr>
        <w:pStyle w:val="Listapunktowana2"/>
      </w:pPr>
      <w:r w:rsidRPr="00795F17">
        <w:t xml:space="preserve">Strategia </w:t>
      </w:r>
      <w:r w:rsidR="00EA6C71" w:rsidRPr="00795F17">
        <w:t>produktywności 2030</w:t>
      </w:r>
      <w:r w:rsidRPr="00795F17">
        <w:t>;</w:t>
      </w:r>
    </w:p>
    <w:p w14:paraId="062FB8AB" w14:textId="77777777" w:rsidR="00387B6E" w:rsidRPr="00795F17" w:rsidRDefault="00387B6E" w:rsidP="00117E86">
      <w:pPr>
        <w:pStyle w:val="Listapunktowana2"/>
      </w:pPr>
      <w:r w:rsidRPr="00795F17">
        <w:t>Wojewódzkie strategie rozwoju;</w:t>
      </w:r>
    </w:p>
    <w:p w14:paraId="0846AC06" w14:textId="77777777" w:rsidR="00387B6E" w:rsidRPr="00795F17" w:rsidRDefault="00387B6E" w:rsidP="00117E86">
      <w:pPr>
        <w:pStyle w:val="Listapunktowana2"/>
      </w:pPr>
      <w:r w:rsidRPr="00795F17">
        <w:t>Wojewódzkie plany zagospodarowania przestrzennego;</w:t>
      </w:r>
    </w:p>
    <w:p w14:paraId="1A420FAA" w14:textId="08CAE3C5" w:rsidR="00387B6E" w:rsidRPr="00795F17" w:rsidRDefault="00387B6E" w:rsidP="00117E86">
      <w:pPr>
        <w:pStyle w:val="Listapunktowana2"/>
      </w:pPr>
      <w:r w:rsidRPr="00795F17">
        <w:t>Krajowy plan na rzecz energii i klimatu na lata 2021</w:t>
      </w:r>
      <w:r w:rsidR="00C9049E">
        <w:t>–</w:t>
      </w:r>
      <w:r w:rsidRPr="00795F17">
        <w:t>2030;</w:t>
      </w:r>
    </w:p>
    <w:p w14:paraId="380B7E87" w14:textId="2C5FCAFE" w:rsidR="00387B6E" w:rsidRPr="00795F17" w:rsidRDefault="00387B6E" w:rsidP="00117E86">
      <w:pPr>
        <w:pStyle w:val="Listapunktowana2"/>
      </w:pPr>
      <w:r w:rsidRPr="00795F17">
        <w:t>Polityka energetyczna Polski do</w:t>
      </w:r>
      <w:r w:rsidR="00E86D67" w:rsidRPr="00795F17" w:rsidDel="00F10651">
        <w:t xml:space="preserve"> </w:t>
      </w:r>
      <w:r w:rsidR="00E86D67" w:rsidRPr="00795F17">
        <w:t xml:space="preserve">2030 roku oraz nowa Polityka energetyczna Polski do </w:t>
      </w:r>
      <w:r w:rsidRPr="00795F17">
        <w:t>2040 roku;</w:t>
      </w:r>
    </w:p>
    <w:p w14:paraId="62F2E2E9" w14:textId="77777777" w:rsidR="00387B6E" w:rsidRPr="00795F17" w:rsidRDefault="00387B6E" w:rsidP="00117E86">
      <w:pPr>
        <w:pStyle w:val="Listapunktowana2"/>
      </w:pPr>
      <w:r w:rsidRPr="00795F17">
        <w:t>Strategia Zrównoważonego Rozwoju Wsi, Rolnictwa i Rybactwa 2030;</w:t>
      </w:r>
    </w:p>
    <w:p w14:paraId="1AF7E980" w14:textId="71FB448B" w:rsidR="00387B6E" w:rsidRPr="00795F17" w:rsidRDefault="00387B6E" w:rsidP="00117E86">
      <w:pPr>
        <w:pStyle w:val="Listapunktowana2"/>
      </w:pPr>
      <w:r w:rsidRPr="00795F17">
        <w:t xml:space="preserve">Program wieloletni </w:t>
      </w:r>
      <w:r w:rsidR="00C9049E">
        <w:t>–</w:t>
      </w:r>
      <w:r w:rsidRPr="00795F17">
        <w:t xml:space="preserve"> Przedsięwzięcia technologiczno-przyrodnicze na rzecz innowacyjnej, efektywnej i niskoemisyjnej gospodarki na obszarach wiejskich;</w:t>
      </w:r>
    </w:p>
    <w:p w14:paraId="33C599B5" w14:textId="77777777" w:rsidR="00387B6E" w:rsidRPr="00795F17" w:rsidRDefault="00387B6E" w:rsidP="00117E86">
      <w:pPr>
        <w:pStyle w:val="Listapunktowana2"/>
      </w:pPr>
      <w:r w:rsidRPr="00795F17">
        <w:t>Program działań mających na celu zmniejszenie zanieczyszczenia wód azotanami pochodzącymi ze źródeł rolniczych oraz zapobieganie dalszemu zanieczyszczeniu;</w:t>
      </w:r>
    </w:p>
    <w:p w14:paraId="3EA69629" w14:textId="4F817345" w:rsidR="00387B6E" w:rsidRPr="00795F17" w:rsidRDefault="00387B6E" w:rsidP="00117E86">
      <w:pPr>
        <w:pStyle w:val="Listapunktowana2"/>
      </w:pPr>
      <w:r w:rsidRPr="00795F17">
        <w:t xml:space="preserve">Narodowy Program Zdrowia na lata </w:t>
      </w:r>
      <w:r w:rsidR="00DF6694" w:rsidRPr="00795F17">
        <w:t>2021</w:t>
      </w:r>
      <w:r w:rsidR="00C9049E">
        <w:t>–</w:t>
      </w:r>
      <w:r w:rsidR="00DF6694" w:rsidRPr="00795F17">
        <w:t>2025</w:t>
      </w:r>
      <w:r w:rsidRPr="00795F17">
        <w:t>;</w:t>
      </w:r>
    </w:p>
    <w:p w14:paraId="17DB81D5" w14:textId="77777777" w:rsidR="00387B6E" w:rsidRPr="00795F17" w:rsidRDefault="00387B6E" w:rsidP="00117E86">
      <w:pPr>
        <w:pStyle w:val="Listapunktowana2"/>
      </w:pPr>
      <w:r w:rsidRPr="00795F17">
        <w:t>Krajowy Plan Zarządzania Kryzysowego;</w:t>
      </w:r>
    </w:p>
    <w:p w14:paraId="5B10812C" w14:textId="342FF1C3" w:rsidR="00387B6E" w:rsidRPr="00795F17" w:rsidRDefault="00387B6E" w:rsidP="00117E86">
      <w:pPr>
        <w:pStyle w:val="Listapunktowana2"/>
      </w:pPr>
      <w:r w:rsidRPr="00795F17">
        <w:t xml:space="preserve">Strategiczny plan adaptacji dla sektorów i obszarów wrażliwych na zmiany klimatu do roku 2020 (z perspektywą do roku 2030) </w:t>
      </w:r>
      <w:r w:rsidR="00C9049E">
        <w:t>–</w:t>
      </w:r>
      <w:r w:rsidRPr="00795F17">
        <w:t xml:space="preserve"> SPA 2020;</w:t>
      </w:r>
    </w:p>
    <w:p w14:paraId="2338690D" w14:textId="2E5A9B8F" w:rsidR="00387B6E" w:rsidRPr="00795F17" w:rsidRDefault="00E86D67" w:rsidP="00117E86">
      <w:pPr>
        <w:pStyle w:val="Listapunktowana2"/>
      </w:pPr>
      <w:r w:rsidRPr="00795F17">
        <w:t xml:space="preserve">Polityka ekologiczna państwa 2030 </w:t>
      </w:r>
      <w:r w:rsidR="00C9049E">
        <w:t>–</w:t>
      </w:r>
      <w:r w:rsidRPr="00795F17">
        <w:t xml:space="preserve"> strategia rozwoju w obszarze środowiska i gospodarki wodnej;</w:t>
      </w:r>
    </w:p>
    <w:p w14:paraId="4622D90F" w14:textId="650E8EFE" w:rsidR="00387B6E" w:rsidRPr="00795F17" w:rsidRDefault="00387B6E" w:rsidP="00117E86">
      <w:pPr>
        <w:pStyle w:val="Listapunktowana2"/>
      </w:pPr>
      <w:r w:rsidRPr="00795F17">
        <w:t xml:space="preserve">Wspólna Polityka Rolna (Dyrektywa Azotanowa </w:t>
      </w:r>
      <w:r w:rsidR="00C9049E">
        <w:t>–</w:t>
      </w:r>
      <w:r w:rsidRPr="00795F17">
        <w:t xml:space="preserve"> działanie rolnictwo);</w:t>
      </w:r>
    </w:p>
    <w:p w14:paraId="41EDFD46" w14:textId="77777777" w:rsidR="00387B6E" w:rsidRPr="00795F17" w:rsidRDefault="00387B6E" w:rsidP="00117E86">
      <w:pPr>
        <w:pStyle w:val="Listapunktowana2"/>
      </w:pPr>
      <w:r w:rsidRPr="00795F17">
        <w:t xml:space="preserve">Plan przeciwdziałania skutkom suszy; </w:t>
      </w:r>
    </w:p>
    <w:p w14:paraId="621A44B0" w14:textId="77777777" w:rsidR="00387B6E" w:rsidRPr="00795F17" w:rsidRDefault="00387B6E" w:rsidP="00117E86">
      <w:pPr>
        <w:pStyle w:val="Listapunktowana2"/>
      </w:pPr>
      <w:r w:rsidRPr="00795F17">
        <w:t xml:space="preserve">Plany zarządzania ryzykiem powodziowym; </w:t>
      </w:r>
    </w:p>
    <w:p w14:paraId="24CA011C" w14:textId="77777777" w:rsidR="00387B6E" w:rsidRPr="00795F17" w:rsidRDefault="00387B6E" w:rsidP="00117E86">
      <w:pPr>
        <w:pStyle w:val="Listapunktowana2"/>
      </w:pPr>
      <w:r w:rsidRPr="00795F17">
        <w:t>Plany utrzymania wód;</w:t>
      </w:r>
    </w:p>
    <w:p w14:paraId="74995B99" w14:textId="77777777" w:rsidR="00387B6E" w:rsidRPr="00795F17" w:rsidRDefault="00387B6E" w:rsidP="00117E86">
      <w:pPr>
        <w:pStyle w:val="Listapunktowana2"/>
      </w:pPr>
      <w:r w:rsidRPr="00795F17">
        <w:t xml:space="preserve">Krajowy program ochrony wód morskich i jego aktualizacja; </w:t>
      </w:r>
    </w:p>
    <w:p w14:paraId="3A5BE0E9" w14:textId="3C38E3EB" w:rsidR="00387B6E" w:rsidRPr="00795F17" w:rsidRDefault="00C43370" w:rsidP="00117E86">
      <w:pPr>
        <w:pStyle w:val="Listapunktowana2"/>
      </w:pPr>
      <w:r>
        <w:t xml:space="preserve">VI aktualizacja </w:t>
      </w:r>
      <w:r w:rsidRPr="00795F17">
        <w:t>Krajow</w:t>
      </w:r>
      <w:r>
        <w:t>ego</w:t>
      </w:r>
      <w:r w:rsidRPr="00795F17">
        <w:t xml:space="preserve"> </w:t>
      </w:r>
      <w:r w:rsidR="00387B6E" w:rsidRPr="00795F17">
        <w:t>program</w:t>
      </w:r>
      <w:r>
        <w:t>u</w:t>
      </w:r>
      <w:r w:rsidR="00387B6E" w:rsidRPr="00795F17">
        <w:t xml:space="preserve"> oczyszczania ścieków komunalnych (</w:t>
      </w:r>
      <w:r w:rsidR="00411465">
        <w:t xml:space="preserve">projekt </w:t>
      </w:r>
      <w:r w:rsidR="00387B6E" w:rsidRPr="00795F17">
        <w:t>VIaKPOŚK</w:t>
      </w:r>
      <w:r w:rsidR="00274B4C">
        <w:t>. VIaKPOŚK przyjęta została przez Radę Ministrów w dniu 5 maja 2022 r.</w:t>
      </w:r>
      <w:r w:rsidR="00387B6E" w:rsidRPr="00795F17">
        <w:t>);</w:t>
      </w:r>
    </w:p>
    <w:p w14:paraId="71D02CDF" w14:textId="19B70ED9" w:rsidR="00387B6E" w:rsidRPr="00795F17" w:rsidRDefault="00387B6E" w:rsidP="00117E86">
      <w:pPr>
        <w:pStyle w:val="Listapunktowana2"/>
      </w:pPr>
      <w:r w:rsidRPr="00795F17">
        <w:t xml:space="preserve">Warunki korzystania z wód regionów wodnych i zlewni </w:t>
      </w:r>
      <w:r w:rsidR="00C9049E">
        <w:t>–</w:t>
      </w:r>
      <w:r w:rsidRPr="00795F17">
        <w:t xml:space="preserve"> jako materiał pomocniczy dla</w:t>
      </w:r>
      <w:r w:rsidR="0006678C" w:rsidRPr="00795F17">
        <w:t> </w:t>
      </w:r>
      <w:r w:rsidRPr="00795F17">
        <w:t>identyfikacji uwarunkowań danego regionu w tym sformułowane w warunkach korzystania z wód regionu wodnego ograniczenia w korzystaniu z wód jezior lub zbiorników oraz w</w:t>
      </w:r>
      <w:r w:rsidR="0006678C" w:rsidRPr="00795F17">
        <w:t> </w:t>
      </w:r>
      <w:r w:rsidRPr="00795F17">
        <w:t xml:space="preserve">użytkowaniu ich zlewni </w:t>
      </w:r>
      <w:r w:rsidR="00C9049E">
        <w:t>–</w:t>
      </w:r>
      <w:r w:rsidRPr="00795F17">
        <w:t xml:space="preserve"> opracowania regionalne; </w:t>
      </w:r>
    </w:p>
    <w:p w14:paraId="5A566C3C" w14:textId="36942230" w:rsidR="00387B6E" w:rsidRPr="00795F17" w:rsidRDefault="00387B6E" w:rsidP="00117E86">
      <w:pPr>
        <w:pStyle w:val="Listapunktowana2"/>
      </w:pPr>
      <w:r w:rsidRPr="00795F17">
        <w:t>Program Państwowego Monitoringu Środowiska 2016</w:t>
      </w:r>
      <w:r w:rsidR="00C9049E">
        <w:t>–</w:t>
      </w:r>
      <w:r w:rsidRPr="00795F17">
        <w:t>2021, 202</w:t>
      </w:r>
      <w:r w:rsidR="00BA0294">
        <w:t>0</w:t>
      </w:r>
      <w:r w:rsidR="00C9049E">
        <w:t>–</w:t>
      </w:r>
      <w:r w:rsidRPr="00795F17">
        <w:t>202</w:t>
      </w:r>
      <w:r w:rsidR="00E66D76">
        <w:t>5</w:t>
      </w:r>
      <w:r w:rsidR="00DF6694" w:rsidRPr="00795F17">
        <w:t>.</w:t>
      </w:r>
    </w:p>
    <w:p w14:paraId="40831223" w14:textId="77777777" w:rsidR="00387B6E" w:rsidRPr="00795F17" w:rsidRDefault="00387B6E" w:rsidP="00A125DF">
      <w:pPr>
        <w:keepNext/>
      </w:pPr>
      <w:r w:rsidRPr="00795F17">
        <w:t xml:space="preserve">Na potrzeby identyfikacji i doboru działań w procesie budowania zestawów działań dodatkowo wykorzystano: </w:t>
      </w:r>
    </w:p>
    <w:p w14:paraId="7F5BA878" w14:textId="77777777" w:rsidR="00387B6E" w:rsidRPr="00795F17" w:rsidRDefault="00387B6E" w:rsidP="00117E86">
      <w:pPr>
        <w:pStyle w:val="Listapunktowana2"/>
      </w:pPr>
      <w:r w:rsidRPr="00795F17">
        <w:t>Krajowy program renaturyzacji wód powierzchniowych;</w:t>
      </w:r>
    </w:p>
    <w:p w14:paraId="7A5B090A" w14:textId="1E104059" w:rsidR="00387B6E" w:rsidRPr="00795F17" w:rsidRDefault="00387B6E" w:rsidP="00117E86">
      <w:pPr>
        <w:pStyle w:val="Listapunktowana2"/>
        <w:rPr>
          <w:rFonts w:asciiTheme="minorHAnsi" w:eastAsiaTheme="minorEastAsia" w:hAnsiTheme="minorHAnsi" w:cstheme="minorBidi"/>
        </w:rPr>
      </w:pPr>
      <w:r w:rsidRPr="00795F17">
        <w:t>Dokumenty źródłowe opracowane na potrzeby realizacji IIaPGW, w tym wskazane w art. 317 pr.w.;</w:t>
      </w:r>
    </w:p>
    <w:p w14:paraId="1176B1CE" w14:textId="582B07C1" w:rsidR="00387B6E" w:rsidRPr="00795F17" w:rsidRDefault="00387B6E" w:rsidP="00117E86">
      <w:pPr>
        <w:pStyle w:val="Listapunktowana2"/>
        <w:rPr>
          <w:rFonts w:asciiTheme="minorHAnsi" w:eastAsiaTheme="minorEastAsia" w:hAnsiTheme="minorHAnsi" w:cstheme="minorBidi"/>
        </w:rPr>
      </w:pPr>
      <w:r w:rsidRPr="00795F17">
        <w:t xml:space="preserve">Protokoły z posiedzeń </w:t>
      </w:r>
      <w:r w:rsidR="009D0246">
        <w:t>k</w:t>
      </w:r>
      <w:r w:rsidR="009D0246" w:rsidRPr="00795F17">
        <w:t xml:space="preserve">omisji </w:t>
      </w:r>
      <w:r w:rsidRPr="00795F17">
        <w:t xml:space="preserve">ds. </w:t>
      </w:r>
      <w:r w:rsidR="009D0246">
        <w:t>w</w:t>
      </w:r>
      <w:r w:rsidR="009D0246" w:rsidRPr="00795F17">
        <w:t xml:space="preserve">ód </w:t>
      </w:r>
      <w:r w:rsidR="009D0246">
        <w:t>g</w:t>
      </w:r>
      <w:r w:rsidR="009D0246" w:rsidRPr="00795F17">
        <w:t>ranicznych</w:t>
      </w:r>
      <w:r w:rsidRPr="00795F17">
        <w:t>, działających w ramach współpracy międzynarodowej na wodach granicznych;</w:t>
      </w:r>
    </w:p>
    <w:p w14:paraId="118FF857" w14:textId="6BF05949" w:rsidR="00387B6E" w:rsidRPr="00795F17" w:rsidRDefault="00387B6E" w:rsidP="00117E86">
      <w:pPr>
        <w:pStyle w:val="Listapunktowana2"/>
        <w:rPr>
          <w:rFonts w:asciiTheme="minorHAnsi" w:eastAsiaTheme="minorEastAsia" w:hAnsiTheme="minorHAnsi" w:cstheme="minorBidi"/>
        </w:rPr>
      </w:pPr>
      <w:r w:rsidRPr="00795F17">
        <w:t>Instrumenty wspierające aktualizacj</w:t>
      </w:r>
      <w:r w:rsidR="00DF6694" w:rsidRPr="00795F17">
        <w:t>e</w:t>
      </w:r>
      <w:r w:rsidRPr="00795F17">
        <w:t xml:space="preserve"> Planów Zarządzania Ryzykiem Powodziowym (aPZRP</w:t>
      </w:r>
      <w:r w:rsidR="00DF6694" w:rsidRPr="00795F17">
        <w:t>;</w:t>
      </w:r>
      <w:r w:rsidRPr="00795F17">
        <w:t xml:space="preserve"> Zadanie </w:t>
      </w:r>
      <w:r w:rsidR="00C9049E">
        <w:t>–</w:t>
      </w:r>
      <w:r w:rsidRPr="00795F17">
        <w:t xml:space="preserve"> zapewnienie ochrony i zwiększania naturalnej retencji oraz przywracania naturalnych warunków przepływu);</w:t>
      </w:r>
    </w:p>
    <w:p w14:paraId="5B36E68A" w14:textId="7E9E3B27" w:rsidR="00387B6E" w:rsidRPr="00795F17" w:rsidRDefault="00387B6E" w:rsidP="00117E86">
      <w:pPr>
        <w:pStyle w:val="Listapunktowana2"/>
        <w:rPr>
          <w:rFonts w:asciiTheme="minorHAnsi" w:eastAsiaTheme="minorEastAsia" w:hAnsiTheme="minorHAnsi" w:cstheme="minorBidi"/>
        </w:rPr>
      </w:pPr>
      <w:r w:rsidRPr="00795F17">
        <w:t xml:space="preserve">Projekt ustawy o inwestycjach w zakresie przeciwdziałania skutkom suszy z dnia 12 sierpnia 2020 r. </w:t>
      </w:r>
      <w:r w:rsidR="00C9049E">
        <w:t>–</w:t>
      </w:r>
      <w:r w:rsidRPr="00795F17">
        <w:t xml:space="preserve"> wyciąg działań;</w:t>
      </w:r>
    </w:p>
    <w:p w14:paraId="64371A2A" w14:textId="5A18F6E2" w:rsidR="00387B6E" w:rsidRPr="00795F17" w:rsidRDefault="00387B6E" w:rsidP="00117E86">
      <w:pPr>
        <w:pStyle w:val="Listapunktowana2"/>
        <w:rPr>
          <w:rFonts w:asciiTheme="minorHAnsi" w:eastAsiaTheme="minorEastAsia" w:hAnsiTheme="minorHAnsi" w:cstheme="minorBidi"/>
        </w:rPr>
      </w:pPr>
      <w:r w:rsidRPr="00795F17">
        <w:t>Ustanowione plany ochrony i plany zadań ochronnych dla obszarów przeznaczonych do</w:t>
      </w:r>
      <w:r w:rsidR="00DF6694" w:rsidRPr="00795F17">
        <w:t> </w:t>
      </w:r>
      <w:r w:rsidRPr="00795F17">
        <w:t>ochrony siedlisk lub gatunków, gdzie utrzymanie lub poprawa stanu wód jest ważnym czynnikiem w ich ochronie;</w:t>
      </w:r>
    </w:p>
    <w:p w14:paraId="30F3BBE3" w14:textId="3A33A06F" w:rsidR="00387B6E" w:rsidRPr="00795F17" w:rsidRDefault="00387B6E" w:rsidP="00117E86">
      <w:pPr>
        <w:pStyle w:val="Listapunktowana2"/>
        <w:rPr>
          <w:rFonts w:asciiTheme="minorHAnsi" w:eastAsiaTheme="minorEastAsia" w:hAnsiTheme="minorHAnsi" w:cstheme="minorBidi"/>
        </w:rPr>
      </w:pPr>
      <w:r w:rsidRPr="00795F17">
        <w:t xml:space="preserve">Sprawozdania z realizacji Dyrektywy </w:t>
      </w:r>
      <w:r w:rsidR="00D131AA">
        <w:t>A</w:t>
      </w:r>
      <w:r w:rsidR="00D131AA" w:rsidRPr="00795F17">
        <w:t>zotanowej</w:t>
      </w:r>
      <w:r w:rsidRPr="00795F17">
        <w:t>;</w:t>
      </w:r>
    </w:p>
    <w:p w14:paraId="117BCC42" w14:textId="67811526" w:rsidR="00387B6E" w:rsidRPr="00795F17" w:rsidRDefault="00387B6E" w:rsidP="00117E86">
      <w:pPr>
        <w:pStyle w:val="Listapunktowana2"/>
        <w:rPr>
          <w:rFonts w:asciiTheme="minorHAnsi" w:eastAsiaTheme="minorEastAsia" w:hAnsiTheme="minorHAnsi" w:cstheme="minorBidi"/>
        </w:rPr>
      </w:pPr>
      <w:r w:rsidRPr="00795F17">
        <w:t xml:space="preserve">Program przeciwdziałania niedoborowi wody </w:t>
      </w:r>
      <w:r w:rsidR="00E9175C">
        <w:t>–</w:t>
      </w:r>
      <w:r w:rsidRPr="00795F17">
        <w:t xml:space="preserve"> </w:t>
      </w:r>
      <w:r w:rsidR="00E9175C">
        <w:t>projekt;</w:t>
      </w:r>
      <w:r w:rsidRPr="00795F17">
        <w:t xml:space="preserve"> </w:t>
      </w:r>
    </w:p>
    <w:p w14:paraId="5557BCD1" w14:textId="7097827E" w:rsidR="00387B6E" w:rsidRPr="00795F17" w:rsidRDefault="00387B6E" w:rsidP="00117E86">
      <w:pPr>
        <w:pStyle w:val="Listapunktowana2"/>
        <w:rPr>
          <w:rFonts w:asciiTheme="minorHAnsi" w:eastAsiaTheme="minorEastAsia" w:hAnsiTheme="minorHAnsi" w:cstheme="minorBidi"/>
          <w:color w:val="000000" w:themeColor="text1"/>
        </w:rPr>
      </w:pPr>
      <w:r w:rsidRPr="00795F17">
        <w:t xml:space="preserve">Warunki korzystania z wód regionów wodnych i zlewni </w:t>
      </w:r>
      <w:r w:rsidR="00C9049E">
        <w:t>–</w:t>
      </w:r>
      <w:r w:rsidRPr="00795F17">
        <w:t xml:space="preserve"> jako materiał pomocniczy dla identyfikacji uwarunkowań danego regionu w tym </w:t>
      </w:r>
      <w:r w:rsidRPr="00795F17">
        <w:rPr>
          <w:rFonts w:cs="Calibri"/>
          <w:color w:val="000000" w:themeColor="text1"/>
        </w:rPr>
        <w:t>sformułowane w warunkach korzystania z</w:t>
      </w:r>
      <w:r w:rsidR="00DF6694" w:rsidRPr="00795F17">
        <w:rPr>
          <w:rFonts w:cs="Calibri"/>
          <w:color w:val="000000" w:themeColor="text1"/>
        </w:rPr>
        <w:t> </w:t>
      </w:r>
      <w:r w:rsidRPr="00795F17">
        <w:rPr>
          <w:rFonts w:cs="Calibri"/>
          <w:color w:val="000000" w:themeColor="text1"/>
        </w:rPr>
        <w:t>wód regionu wodnego ograniczenia w korzystaniu z wód jezior lub zbiorników oraz w</w:t>
      </w:r>
      <w:r w:rsidR="00DF6694" w:rsidRPr="00795F17">
        <w:rPr>
          <w:rFonts w:cs="Calibri"/>
          <w:color w:val="000000" w:themeColor="text1"/>
        </w:rPr>
        <w:t> </w:t>
      </w:r>
      <w:r w:rsidRPr="00795F17">
        <w:rPr>
          <w:rFonts w:cs="Calibri"/>
          <w:color w:val="000000" w:themeColor="text1"/>
        </w:rPr>
        <w:t xml:space="preserve">użytkowaniu ich zlewni </w:t>
      </w:r>
      <w:r w:rsidR="00C9049E">
        <w:rPr>
          <w:rFonts w:cs="Calibri"/>
          <w:color w:val="000000" w:themeColor="text1"/>
        </w:rPr>
        <w:t>–</w:t>
      </w:r>
      <w:r w:rsidRPr="00795F17">
        <w:rPr>
          <w:rFonts w:cs="Calibri"/>
          <w:color w:val="000000" w:themeColor="text1"/>
        </w:rPr>
        <w:t xml:space="preserve"> opracowania regionalne;</w:t>
      </w:r>
    </w:p>
    <w:p w14:paraId="21F38AA6" w14:textId="77777777" w:rsidR="00387B6E" w:rsidRPr="00795F17" w:rsidRDefault="00387B6E" w:rsidP="00117E86">
      <w:pPr>
        <w:pStyle w:val="Listapunktowana2"/>
        <w:rPr>
          <w:rFonts w:asciiTheme="minorHAnsi" w:eastAsiaTheme="minorEastAsia" w:hAnsiTheme="minorHAnsi" w:cstheme="minorBidi"/>
        </w:rPr>
      </w:pPr>
      <w:r w:rsidRPr="00795F17">
        <w:t>Katalog dobrych praktyk w zakresie robót hydrotechnicznych i prac utrzymaniowych wraz z ustaleniem zasad ich wdrażania;</w:t>
      </w:r>
    </w:p>
    <w:p w14:paraId="171ACB4A" w14:textId="7F76220B" w:rsidR="00387B6E" w:rsidRPr="00795F17" w:rsidRDefault="00387B6E" w:rsidP="00117E86">
      <w:pPr>
        <w:pStyle w:val="Listapunktowana2"/>
        <w:rPr>
          <w:rFonts w:asciiTheme="minorHAnsi" w:eastAsiaTheme="minorEastAsia" w:hAnsiTheme="minorHAnsi" w:cstheme="minorBidi"/>
        </w:rPr>
      </w:pPr>
      <w:r w:rsidRPr="00795F17">
        <w:t xml:space="preserve">Zbiór zaleceń dobrej praktyki rolniczej mający na celu ochronę wód przez zanieczyszczeniem azotanami pochodzącymi ze źródeł rolniczych </w:t>
      </w:r>
      <w:r w:rsidR="00C9049E">
        <w:t>–</w:t>
      </w:r>
      <w:r w:rsidRPr="00795F17">
        <w:t xml:space="preserve"> wyciąg działań;</w:t>
      </w:r>
    </w:p>
    <w:p w14:paraId="79F58635" w14:textId="2A564055" w:rsidR="00387B6E" w:rsidRPr="00795F17" w:rsidRDefault="00387B6E" w:rsidP="00117E86">
      <w:pPr>
        <w:pStyle w:val="Listapunktowana2"/>
        <w:rPr>
          <w:rFonts w:asciiTheme="minorHAnsi" w:eastAsiaTheme="minorEastAsia" w:hAnsiTheme="minorHAnsi" w:cstheme="minorBidi"/>
        </w:rPr>
      </w:pPr>
      <w:r w:rsidRPr="00795F17">
        <w:t xml:space="preserve">Aktualizacja metodyki oceny stanu </w:t>
      </w:r>
      <w:r w:rsidR="00DF005E">
        <w:t>JCWP</w:t>
      </w:r>
      <w:r w:rsidRPr="00795F17">
        <w:t>d wraz z opracowaniem metodyki analizy odwracania trendów zanieczyszczeń;</w:t>
      </w:r>
    </w:p>
    <w:p w14:paraId="5B2AA586" w14:textId="77777777" w:rsidR="00387B6E" w:rsidRPr="00795F17" w:rsidRDefault="00387B6E" w:rsidP="00117E86">
      <w:pPr>
        <w:pStyle w:val="Listapunktowana2"/>
        <w:rPr>
          <w:rFonts w:asciiTheme="minorHAnsi" w:eastAsiaTheme="minorEastAsia" w:hAnsiTheme="minorHAnsi" w:cstheme="minorBidi"/>
        </w:rPr>
      </w:pPr>
      <w:r w:rsidRPr="00795F17">
        <w:t>Program Monitoringu Wód Morskich;</w:t>
      </w:r>
    </w:p>
    <w:p w14:paraId="0E1CF2B4" w14:textId="77777777" w:rsidR="00387B6E" w:rsidRPr="00795F17" w:rsidRDefault="00387B6E" w:rsidP="00117E86">
      <w:pPr>
        <w:pStyle w:val="Listapunktowana2"/>
        <w:rPr>
          <w:rFonts w:asciiTheme="minorHAnsi" w:eastAsiaTheme="minorEastAsia" w:hAnsiTheme="minorHAnsi" w:cstheme="minorBidi"/>
        </w:rPr>
      </w:pPr>
      <w:r w:rsidRPr="00795F17">
        <w:t>Aktualizacja wstępnej oceny stanu środowiska wód morskich;</w:t>
      </w:r>
    </w:p>
    <w:p w14:paraId="0797A1E2" w14:textId="795869C3" w:rsidR="00387B6E" w:rsidRPr="003E158D" w:rsidRDefault="00387B6E" w:rsidP="00117E86">
      <w:pPr>
        <w:pStyle w:val="Listapunktowana2"/>
        <w:rPr>
          <w:rFonts w:asciiTheme="minorHAnsi" w:eastAsiaTheme="minorEastAsia" w:hAnsiTheme="minorHAnsi" w:cstheme="minorBidi"/>
        </w:rPr>
      </w:pPr>
      <w:r w:rsidRPr="003E158D">
        <w:t xml:space="preserve">Ocena postępu we wdrażaniu programów działań dla </w:t>
      </w:r>
      <w:r w:rsidR="00DF005E">
        <w:t>JCWP</w:t>
      </w:r>
      <w:r w:rsidRPr="003E158D">
        <w:t xml:space="preserve"> i </w:t>
      </w:r>
      <w:r w:rsidR="00DF005E">
        <w:t>JCWP</w:t>
      </w:r>
      <w:r w:rsidRPr="003E158D">
        <w:t>d wynikających z aPWŚK</w:t>
      </w:r>
      <w:r w:rsidR="009D0246">
        <w:t>;</w:t>
      </w:r>
    </w:p>
    <w:p w14:paraId="5F2A214F" w14:textId="4D6B579C" w:rsidR="00387B6E" w:rsidRPr="00795F17" w:rsidRDefault="00387B6E" w:rsidP="00117E86">
      <w:pPr>
        <w:pStyle w:val="Listapunktowana2"/>
        <w:rPr>
          <w:rFonts w:asciiTheme="minorHAnsi" w:eastAsiaTheme="minorEastAsia" w:hAnsiTheme="minorHAnsi" w:cstheme="minorBidi"/>
        </w:rPr>
      </w:pPr>
      <w:r w:rsidRPr="00795F17">
        <w:t xml:space="preserve">Ocena stopnia osiągnięcia celów środowiskowych dla </w:t>
      </w:r>
      <w:r w:rsidR="00DF005E">
        <w:t>JCWP</w:t>
      </w:r>
      <w:r w:rsidRPr="00795F17">
        <w:t xml:space="preserve"> przybrzeżnych i przejściowych;</w:t>
      </w:r>
    </w:p>
    <w:p w14:paraId="6E4CB51A" w14:textId="77777777" w:rsidR="00387B6E" w:rsidRPr="00795F17" w:rsidRDefault="00387B6E" w:rsidP="00117E86">
      <w:pPr>
        <w:pStyle w:val="Listapunktowana2"/>
        <w:rPr>
          <w:rFonts w:asciiTheme="minorHAnsi" w:eastAsiaTheme="minorEastAsia" w:hAnsiTheme="minorHAnsi" w:cstheme="minorBidi"/>
        </w:rPr>
      </w:pPr>
      <w:r w:rsidRPr="00795F17">
        <w:t>Polski raport do Komisji Europejskiej z postępów w realizacji POWM;</w:t>
      </w:r>
    </w:p>
    <w:p w14:paraId="0FCCABBF" w14:textId="77777777" w:rsidR="00387B6E" w:rsidRPr="00795F17" w:rsidRDefault="00387B6E" w:rsidP="00117E86">
      <w:pPr>
        <w:pStyle w:val="Listapunktowana2"/>
        <w:rPr>
          <w:rFonts w:asciiTheme="minorHAnsi" w:eastAsiaTheme="minorEastAsia" w:hAnsiTheme="minorHAnsi" w:cstheme="minorBidi"/>
        </w:rPr>
      </w:pPr>
      <w:r w:rsidRPr="00795F17">
        <w:t>Materiały robocze: Ocena stanu realizacji KPOŚK i inne dane związane z jakością wód śródlądowych;</w:t>
      </w:r>
    </w:p>
    <w:p w14:paraId="39E57742" w14:textId="610482BF" w:rsidR="00387B6E" w:rsidRPr="00795F17" w:rsidRDefault="00387B6E" w:rsidP="00117E86">
      <w:pPr>
        <w:pStyle w:val="Listapunktowana2"/>
        <w:rPr>
          <w:rFonts w:asciiTheme="minorHAnsi" w:eastAsiaTheme="minorEastAsia" w:hAnsiTheme="minorHAnsi" w:cstheme="minorBidi"/>
        </w:rPr>
      </w:pPr>
      <w:r w:rsidRPr="00795F17">
        <w:t>Materiały uzupełniające dot. realizowanych i planowanych działań rekultywacyjnych na</w:t>
      </w:r>
      <w:r w:rsidR="00DF6694" w:rsidRPr="00795F17">
        <w:t> </w:t>
      </w:r>
      <w:r w:rsidRPr="00795F17">
        <w:t>jeziorach (pozwolenia wodnoprawne);</w:t>
      </w:r>
    </w:p>
    <w:p w14:paraId="331CF3A6" w14:textId="64B530C1" w:rsidR="00387B6E" w:rsidRPr="00795F17" w:rsidRDefault="00387B6E" w:rsidP="00117E86">
      <w:pPr>
        <w:pStyle w:val="Listapunktowana2"/>
        <w:rPr>
          <w:rFonts w:asciiTheme="minorHAnsi" w:eastAsiaTheme="minorEastAsia" w:hAnsiTheme="minorHAnsi" w:cstheme="minorBidi"/>
        </w:rPr>
      </w:pPr>
      <w:r w:rsidRPr="00795F17">
        <w:t xml:space="preserve">Materiały i informacje uzyskane </w:t>
      </w:r>
      <w:r w:rsidR="00E55DB5">
        <w:t xml:space="preserve">z </w:t>
      </w:r>
      <w:r w:rsidRPr="00795F17">
        <w:t>urzędów morskich:</w:t>
      </w:r>
    </w:p>
    <w:p w14:paraId="78BBE485" w14:textId="7204ED04" w:rsidR="00387B6E" w:rsidRPr="00795F17" w:rsidRDefault="00387B6E" w:rsidP="0050009F">
      <w:pPr>
        <w:pStyle w:val="Listapunktowana3"/>
      </w:pPr>
      <w:r w:rsidRPr="00795F17">
        <w:t>Plan zagospodarowania przestrzennego morskich wód wewnętrznych, morza terytorialnego i wyłącznej strefy ekonomicznej w skali 1:200 000;</w:t>
      </w:r>
    </w:p>
    <w:p w14:paraId="5B3AAB84" w14:textId="6B8D57DA" w:rsidR="00387B6E" w:rsidRPr="00795F17" w:rsidRDefault="00387B6E" w:rsidP="0050009F">
      <w:pPr>
        <w:pStyle w:val="Listapunktowana3"/>
      </w:pPr>
      <w:r w:rsidRPr="00795F17">
        <w:t xml:space="preserve">Plany zagospodarowania przestrzennego morskich wód wewnętrznych </w:t>
      </w:r>
      <w:r w:rsidR="00A2399D">
        <w:t xml:space="preserve">(projekty) </w:t>
      </w:r>
      <w:r w:rsidR="00C9049E">
        <w:t>–</w:t>
      </w:r>
      <w:r w:rsidRPr="00795F17">
        <w:t xml:space="preserve"> szczegółowe dla portów</w:t>
      </w:r>
      <w:r w:rsidR="00A2399D">
        <w:t xml:space="preserve"> </w:t>
      </w:r>
      <w:r w:rsidR="00A2399D" w:rsidRPr="0055157A">
        <w:t xml:space="preserve">oraz dla </w:t>
      </w:r>
      <w:hyperlink r:id="rId171" w:history="1">
        <w:r w:rsidR="00A2399D" w:rsidRPr="0055157A">
          <w:t>Zalewu Szczecińskiego i Zalewu Kamieńskiego</w:t>
        </w:r>
      </w:hyperlink>
      <w:r w:rsidR="003205B7">
        <w:t>;</w:t>
      </w:r>
    </w:p>
    <w:p w14:paraId="74D2C1B0" w14:textId="77777777" w:rsidR="00387B6E" w:rsidRPr="00795F17" w:rsidRDefault="00387B6E" w:rsidP="00117E86">
      <w:pPr>
        <w:pStyle w:val="Listapunktowana2"/>
      </w:pPr>
      <w:r w:rsidRPr="00795F17">
        <w:t>Baza opłat za korzystanie ze środowiska, opłaty za korzystanie z wód;</w:t>
      </w:r>
    </w:p>
    <w:p w14:paraId="545D7BDD" w14:textId="77777777" w:rsidR="00387B6E" w:rsidRPr="00795F17" w:rsidRDefault="00387B6E" w:rsidP="00117E86">
      <w:pPr>
        <w:pStyle w:val="Listapunktowana2"/>
      </w:pPr>
      <w:r w:rsidRPr="00795F17">
        <w:t>Sprawozdania z wykonania KPOŚK;</w:t>
      </w:r>
    </w:p>
    <w:p w14:paraId="2165C21A" w14:textId="77777777" w:rsidR="00387B6E" w:rsidRPr="00795F17" w:rsidRDefault="00387B6E" w:rsidP="00117E86">
      <w:pPr>
        <w:pStyle w:val="Listapunktowana2"/>
      </w:pPr>
      <w:r w:rsidRPr="00795F17">
        <w:t>Rejestr E-PRTR.</w:t>
      </w:r>
    </w:p>
    <w:p w14:paraId="57D419BD" w14:textId="77777777" w:rsidR="00387B6E" w:rsidRPr="00795F17" w:rsidRDefault="00387B6E" w:rsidP="00387B6E">
      <w:pPr>
        <w:spacing w:before="0" w:after="0"/>
      </w:pPr>
      <w:r w:rsidRPr="00795F17">
        <w:t>Jako materiały uzupełniające wykorzystane zostały również opracowania o charakterze zaleceń lub wytycznych, w tym w szczególności uwagi KE odnośnie do planów gospodarowania wodami opracowanych w poprzednich cyklach planistycznych (PGW, aPGW) oraz wytyczne KE dot. raportowania:</w:t>
      </w:r>
    </w:p>
    <w:p w14:paraId="7EEC4DA2" w14:textId="28702A73" w:rsidR="00387B6E" w:rsidRPr="00795F17" w:rsidRDefault="00387B6E" w:rsidP="00117E86">
      <w:pPr>
        <w:pStyle w:val="Listapunktowana2"/>
      </w:pPr>
      <w:r w:rsidRPr="00795F17">
        <w:t xml:space="preserve">sprawozdanie Komisji </w:t>
      </w:r>
      <w:r w:rsidR="0073506C">
        <w:t>d</w:t>
      </w:r>
      <w:r w:rsidRPr="00795F17">
        <w:t>la Parlamentu Europejskiego i Rady w sprawie wykonania Ramowej Dyrektywy Wodnej (2000/60/WE) i Dyrektywy Powodziowej (2007/60/WE); Drugie plany gospodarowania wodami w dorzeczu; Pierwsze plany zarządzania ryzykiem powodziowym; Bruksela, dnia 26 lutego 2019</w:t>
      </w:r>
      <w:r w:rsidR="00BF2B11">
        <w:t xml:space="preserve"> r.</w:t>
      </w:r>
      <w:r w:rsidRPr="00795F17">
        <w:t>; COM (2019) 95 final;</w:t>
      </w:r>
    </w:p>
    <w:p w14:paraId="4A6B4839" w14:textId="7219591D" w:rsidR="00387B6E" w:rsidRPr="00795F17" w:rsidRDefault="00387B6E" w:rsidP="00117E86">
      <w:pPr>
        <w:pStyle w:val="Listapunktowana2"/>
      </w:pPr>
      <w:r w:rsidRPr="00795F17">
        <w:t xml:space="preserve">załącznik do sprawozdania Komisji dla Parlamentu Europejskiego i Rady w sprawie wykonania Ramowej Dyrektywy Wodnej (2000/60/WE) i Dyrektywy </w:t>
      </w:r>
      <w:r w:rsidR="00BF2B11">
        <w:t>P</w:t>
      </w:r>
      <w:r w:rsidRPr="00795F17">
        <w:t>owodziowej (2007/60/WE); Drugie plany gospodarowania wodami w dorzeczu; Pierwsze plany zarządzania ryzykiem powodziowym; Zalecenia Komisji w sprawie drugich planów gospodarowania wodami w</w:t>
      </w:r>
      <w:r w:rsidR="00133377" w:rsidRPr="00795F17">
        <w:t> </w:t>
      </w:r>
      <w:r w:rsidRPr="00795F17">
        <w:t>dorzeczu i pierwszych planów zarządzania ryzykiem powodziowym;</w:t>
      </w:r>
    </w:p>
    <w:p w14:paraId="075E0727" w14:textId="517C977C" w:rsidR="00387B6E" w:rsidRPr="00795F17" w:rsidRDefault="00387B6E" w:rsidP="00117E86">
      <w:pPr>
        <w:pStyle w:val="Listapunktowana2"/>
      </w:pPr>
      <w:r w:rsidRPr="00795F17">
        <w:t>dokument roboczy służb Komisji do sprawozdania Komisji dla Parlamentu Europejskiego i</w:t>
      </w:r>
      <w:r w:rsidR="00DF6694" w:rsidRPr="00795F17">
        <w:t xml:space="preserve"> </w:t>
      </w:r>
      <w:r w:rsidRPr="00795F17">
        <w:t xml:space="preserve">Rady w sprawie wykonania Ramowej Dyrektywy Wodnej (2000/60/WE) i Dyrektywy </w:t>
      </w:r>
      <w:r w:rsidR="00244007">
        <w:t>P</w:t>
      </w:r>
      <w:r w:rsidRPr="00795F17">
        <w:t>owodziowej (2007/60/WE); Drugie plany gospodarowania wodami w dorzeczu; Pierwsze plany zarządzania ryzykiem powodziowym; Bruksela, dnia 26 lutego 2019</w:t>
      </w:r>
      <w:r w:rsidR="00244007">
        <w:t xml:space="preserve"> r.</w:t>
      </w:r>
      <w:r w:rsidRPr="00795F17">
        <w:t>; SWD(2019) 53 draft.</w:t>
      </w:r>
    </w:p>
    <w:p w14:paraId="04FAA7BC" w14:textId="3D45293A" w:rsidR="00332A4E" w:rsidRPr="00795F17" w:rsidRDefault="00387B6E" w:rsidP="001C6219">
      <w:pPr>
        <w:pStyle w:val="Nagwek1"/>
        <w:numPr>
          <w:ilvl w:val="0"/>
          <w:numId w:val="0"/>
        </w:numPr>
        <w:ind w:left="709" w:hanging="709"/>
      </w:pPr>
      <w:r w:rsidRPr="00795F17">
        <w:br w:type="column"/>
      </w:r>
      <w:bookmarkStart w:id="1076" w:name="_Toc105512749"/>
      <w:bookmarkEnd w:id="1075"/>
      <w:r w:rsidR="00332A4E" w:rsidRPr="00795F17">
        <w:t>Załączniki</w:t>
      </w:r>
      <w:bookmarkEnd w:id="1067"/>
      <w:bookmarkEnd w:id="1068"/>
      <w:bookmarkEnd w:id="1076"/>
    </w:p>
    <w:p w14:paraId="7958873C" w14:textId="77777777" w:rsidR="00567DE9" w:rsidRPr="00795F17" w:rsidRDefault="00567DE9" w:rsidP="0044393D">
      <w:pPr>
        <w:pStyle w:val="Tytu"/>
      </w:pPr>
      <w:r w:rsidRPr="00795F17">
        <w:t>Załączniki do części tekstowej</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6515"/>
      </w:tblGrid>
      <w:tr w:rsidR="005752E4" w:rsidRPr="00795F17" w14:paraId="2A569053" w14:textId="77777777" w:rsidTr="00637B72">
        <w:trPr>
          <w:trHeight w:val="454"/>
        </w:trPr>
        <w:tc>
          <w:tcPr>
            <w:tcW w:w="2547" w:type="dxa"/>
            <w:shd w:val="clear" w:color="auto" w:fill="BFBFBF" w:themeFill="background1" w:themeFillShade="BF"/>
            <w:vAlign w:val="center"/>
          </w:tcPr>
          <w:p w14:paraId="1EA49653" w14:textId="0720330E" w:rsidR="005752E4" w:rsidRPr="005752E4" w:rsidRDefault="005752E4" w:rsidP="005752E4">
            <w:pPr>
              <w:pStyle w:val="Wykazskrotowbold"/>
            </w:pPr>
            <w:r w:rsidRPr="005752E4">
              <w:rPr>
                <w:rFonts w:ascii="Calibri" w:hAnsi="Calibri"/>
              </w:rPr>
              <w:t>Załącznik nr 1</w:t>
            </w:r>
          </w:p>
        </w:tc>
        <w:tc>
          <w:tcPr>
            <w:tcW w:w="6515" w:type="dxa"/>
            <w:vAlign w:val="center"/>
          </w:tcPr>
          <w:p w14:paraId="2B27A0F5" w14:textId="77777777" w:rsidR="005752E4" w:rsidRPr="00795F17" w:rsidRDefault="005752E4" w:rsidP="005752E4">
            <w:pPr>
              <w:pStyle w:val="Wykazskrotow"/>
            </w:pPr>
            <w:r w:rsidRPr="00795F17">
              <w:t xml:space="preserve">Zestawienie główne </w:t>
            </w:r>
          </w:p>
        </w:tc>
      </w:tr>
      <w:tr w:rsidR="005752E4" w:rsidRPr="00795F17" w14:paraId="2EAF77D2" w14:textId="77777777" w:rsidTr="00637B72">
        <w:trPr>
          <w:trHeight w:val="454"/>
        </w:trPr>
        <w:tc>
          <w:tcPr>
            <w:tcW w:w="2547" w:type="dxa"/>
            <w:shd w:val="clear" w:color="auto" w:fill="BFBFBF" w:themeFill="background1" w:themeFillShade="BF"/>
            <w:vAlign w:val="center"/>
          </w:tcPr>
          <w:p w14:paraId="55EB9844" w14:textId="0C7D2FB4" w:rsidR="005752E4" w:rsidRPr="005752E4" w:rsidRDefault="005752E4" w:rsidP="005752E4">
            <w:pPr>
              <w:pStyle w:val="Wykazskrotowbold"/>
            </w:pPr>
            <w:r w:rsidRPr="005752E4">
              <w:rPr>
                <w:rFonts w:ascii="Calibri" w:hAnsi="Calibri"/>
              </w:rPr>
              <w:t>Załącznik nr 2</w:t>
            </w:r>
          </w:p>
        </w:tc>
        <w:tc>
          <w:tcPr>
            <w:tcW w:w="6515" w:type="dxa"/>
            <w:vAlign w:val="center"/>
          </w:tcPr>
          <w:p w14:paraId="4A3D59EB" w14:textId="77777777" w:rsidR="005752E4" w:rsidRPr="00795F17" w:rsidRDefault="005752E4" w:rsidP="005752E4">
            <w:pPr>
              <w:pStyle w:val="Wykazskrotow"/>
            </w:pPr>
            <w:r w:rsidRPr="00795F17">
              <w:t>Wykazy obszarów chronionych SiG</w:t>
            </w:r>
          </w:p>
        </w:tc>
      </w:tr>
      <w:tr w:rsidR="005752E4" w:rsidRPr="00795F17" w14:paraId="719FA45F" w14:textId="77777777" w:rsidTr="00637B72">
        <w:trPr>
          <w:trHeight w:val="454"/>
        </w:trPr>
        <w:tc>
          <w:tcPr>
            <w:tcW w:w="2547" w:type="dxa"/>
            <w:shd w:val="clear" w:color="auto" w:fill="BFBFBF" w:themeFill="background1" w:themeFillShade="BF"/>
            <w:vAlign w:val="center"/>
          </w:tcPr>
          <w:p w14:paraId="2CD2FAA2" w14:textId="2886A907" w:rsidR="005752E4" w:rsidRPr="005752E4" w:rsidRDefault="005752E4" w:rsidP="005752E4">
            <w:pPr>
              <w:pStyle w:val="Wykazskrotowbold"/>
            </w:pPr>
            <w:r w:rsidRPr="005752E4">
              <w:rPr>
                <w:rFonts w:ascii="Calibri" w:hAnsi="Calibri"/>
              </w:rPr>
              <w:t>Załącznik nr 3</w:t>
            </w:r>
          </w:p>
        </w:tc>
        <w:tc>
          <w:tcPr>
            <w:tcW w:w="6515" w:type="dxa"/>
            <w:vAlign w:val="center"/>
          </w:tcPr>
          <w:p w14:paraId="34E5DEC3" w14:textId="0D34E8AF" w:rsidR="005752E4" w:rsidRPr="00D354CD" w:rsidRDefault="005752E4" w:rsidP="005752E4">
            <w:pPr>
              <w:pStyle w:val="Wykazskrotow"/>
              <w:rPr>
                <w:szCs w:val="20"/>
              </w:rPr>
            </w:pPr>
            <w:r w:rsidRPr="00D354CD">
              <w:rPr>
                <w:color w:val="000000" w:themeColor="text1"/>
                <w:szCs w:val="20"/>
              </w:rPr>
              <w:t>Wykazy obszarów przeznaczonych do ochrony gatunków zwierząt wodnych o  znaczeniu gospodarczym</w:t>
            </w:r>
          </w:p>
        </w:tc>
      </w:tr>
      <w:tr w:rsidR="005752E4" w:rsidRPr="00795F17" w14:paraId="15040A4F" w14:textId="77777777" w:rsidTr="00637B72">
        <w:trPr>
          <w:trHeight w:val="454"/>
        </w:trPr>
        <w:tc>
          <w:tcPr>
            <w:tcW w:w="2547" w:type="dxa"/>
            <w:shd w:val="clear" w:color="auto" w:fill="BFBFBF" w:themeFill="background1" w:themeFillShade="BF"/>
            <w:vAlign w:val="center"/>
          </w:tcPr>
          <w:p w14:paraId="1C9478E6" w14:textId="4FA6E47C" w:rsidR="005752E4" w:rsidRPr="005752E4" w:rsidRDefault="005752E4" w:rsidP="005752E4">
            <w:pPr>
              <w:pStyle w:val="Wykazskrotowbold"/>
            </w:pPr>
            <w:r w:rsidRPr="005752E4">
              <w:rPr>
                <w:rFonts w:ascii="Calibri" w:hAnsi="Calibri"/>
              </w:rPr>
              <w:t>Załącznik nr 4</w:t>
            </w:r>
          </w:p>
        </w:tc>
        <w:tc>
          <w:tcPr>
            <w:tcW w:w="6515" w:type="dxa"/>
            <w:vAlign w:val="center"/>
          </w:tcPr>
          <w:p w14:paraId="06EEDF95" w14:textId="430A9B01" w:rsidR="005752E4" w:rsidRPr="00795F17" w:rsidRDefault="005752E4" w:rsidP="005752E4">
            <w:pPr>
              <w:pStyle w:val="Wykazskrotow"/>
            </w:pPr>
            <w:r w:rsidRPr="00795F17">
              <w:t xml:space="preserve">Wartości graniczne SCW </w:t>
            </w:r>
            <w:r>
              <w:t>i</w:t>
            </w:r>
            <w:r w:rsidRPr="00795F17">
              <w:t xml:space="preserve"> SZCW</w:t>
            </w:r>
          </w:p>
        </w:tc>
      </w:tr>
      <w:tr w:rsidR="005752E4" w:rsidRPr="00795F17" w14:paraId="1C0A00EB" w14:textId="77777777" w:rsidTr="00637B72">
        <w:trPr>
          <w:trHeight w:val="454"/>
        </w:trPr>
        <w:tc>
          <w:tcPr>
            <w:tcW w:w="2547" w:type="dxa"/>
            <w:shd w:val="clear" w:color="auto" w:fill="BFBFBF" w:themeFill="background1" w:themeFillShade="BF"/>
            <w:vAlign w:val="center"/>
          </w:tcPr>
          <w:p w14:paraId="7741F6C3" w14:textId="7CAC8BBC" w:rsidR="005752E4" w:rsidRPr="005752E4" w:rsidRDefault="005752E4" w:rsidP="005752E4">
            <w:pPr>
              <w:pStyle w:val="Wykazskrotowbold"/>
            </w:pPr>
            <w:r w:rsidRPr="005752E4">
              <w:rPr>
                <w:rFonts w:ascii="Calibri" w:hAnsi="Calibri"/>
              </w:rPr>
              <w:t>Załącznik nr 5</w:t>
            </w:r>
          </w:p>
        </w:tc>
        <w:tc>
          <w:tcPr>
            <w:tcW w:w="6515" w:type="dxa"/>
            <w:vAlign w:val="center"/>
          </w:tcPr>
          <w:p w14:paraId="38A48EE0" w14:textId="77777777" w:rsidR="005752E4" w:rsidRPr="00795F17" w:rsidRDefault="005752E4" w:rsidP="005752E4">
            <w:pPr>
              <w:pStyle w:val="Wykazskrotow"/>
            </w:pPr>
            <w:r w:rsidRPr="00795F17">
              <w:t>Wykaz emisji i stężeń</w:t>
            </w:r>
          </w:p>
        </w:tc>
      </w:tr>
      <w:tr w:rsidR="005752E4" w:rsidRPr="00795F17" w14:paraId="3A75F8DD" w14:textId="77777777" w:rsidTr="00637B72">
        <w:trPr>
          <w:trHeight w:val="454"/>
        </w:trPr>
        <w:tc>
          <w:tcPr>
            <w:tcW w:w="2547" w:type="dxa"/>
            <w:shd w:val="clear" w:color="auto" w:fill="BFBFBF" w:themeFill="background1" w:themeFillShade="BF"/>
            <w:vAlign w:val="center"/>
          </w:tcPr>
          <w:p w14:paraId="46D1ED2B" w14:textId="12A38901" w:rsidR="005752E4" w:rsidRPr="005752E4" w:rsidRDefault="005752E4" w:rsidP="005752E4">
            <w:pPr>
              <w:pStyle w:val="Wykazskrotowbold"/>
            </w:pPr>
            <w:r w:rsidRPr="005752E4">
              <w:rPr>
                <w:rFonts w:ascii="Calibri" w:hAnsi="Calibri"/>
              </w:rPr>
              <w:t>Załącznik nr 6</w:t>
            </w:r>
          </w:p>
        </w:tc>
        <w:tc>
          <w:tcPr>
            <w:tcW w:w="6515" w:type="dxa"/>
            <w:vAlign w:val="center"/>
          </w:tcPr>
          <w:p w14:paraId="7E84747E" w14:textId="77777777" w:rsidR="005752E4" w:rsidRPr="00795F17" w:rsidRDefault="005752E4" w:rsidP="005752E4">
            <w:pPr>
              <w:pStyle w:val="Wykazskrotow"/>
            </w:pPr>
            <w:r w:rsidRPr="00795F17">
              <w:t>Cele środowiskowe</w:t>
            </w:r>
          </w:p>
        </w:tc>
      </w:tr>
      <w:tr w:rsidR="005752E4" w:rsidRPr="00795F17" w14:paraId="16AC6EB5" w14:textId="77777777" w:rsidTr="00637B72">
        <w:trPr>
          <w:trHeight w:val="454"/>
        </w:trPr>
        <w:tc>
          <w:tcPr>
            <w:tcW w:w="2547" w:type="dxa"/>
            <w:shd w:val="clear" w:color="auto" w:fill="BFBFBF" w:themeFill="background1" w:themeFillShade="BF"/>
            <w:vAlign w:val="center"/>
          </w:tcPr>
          <w:p w14:paraId="14A326EA" w14:textId="7095F8DE" w:rsidR="005752E4" w:rsidRPr="005752E4" w:rsidRDefault="005752E4" w:rsidP="005752E4">
            <w:pPr>
              <w:pStyle w:val="Wykazskrotowbold"/>
            </w:pPr>
            <w:r w:rsidRPr="005752E4">
              <w:rPr>
                <w:rFonts w:ascii="Calibri" w:hAnsi="Calibri"/>
              </w:rPr>
              <w:t>Załącznik nr 7</w:t>
            </w:r>
          </w:p>
        </w:tc>
        <w:tc>
          <w:tcPr>
            <w:tcW w:w="6515" w:type="dxa"/>
            <w:vAlign w:val="center"/>
          </w:tcPr>
          <w:p w14:paraId="5218A630" w14:textId="49941D12" w:rsidR="005752E4" w:rsidRPr="00795F17" w:rsidRDefault="005752E4" w:rsidP="005752E4">
            <w:pPr>
              <w:pStyle w:val="Wykazskrotow"/>
            </w:pPr>
            <w:r w:rsidRPr="00795F17">
              <w:t xml:space="preserve">Ocena osiągnięcia celów środowiskowych </w:t>
            </w:r>
            <w:r w:rsidR="00DF005E">
              <w:t>JCWP</w:t>
            </w:r>
          </w:p>
        </w:tc>
      </w:tr>
      <w:tr w:rsidR="005752E4" w:rsidRPr="00795F17" w14:paraId="1309D600" w14:textId="77777777" w:rsidTr="00637B72">
        <w:trPr>
          <w:trHeight w:val="454"/>
        </w:trPr>
        <w:tc>
          <w:tcPr>
            <w:tcW w:w="2547" w:type="dxa"/>
            <w:shd w:val="clear" w:color="auto" w:fill="BFBFBF" w:themeFill="background1" w:themeFillShade="BF"/>
            <w:vAlign w:val="center"/>
          </w:tcPr>
          <w:p w14:paraId="5AD9101F" w14:textId="7CB88249" w:rsidR="005752E4" w:rsidRPr="005752E4" w:rsidRDefault="005752E4" w:rsidP="005752E4">
            <w:pPr>
              <w:pStyle w:val="Wykazskrotowbold"/>
            </w:pPr>
            <w:r w:rsidRPr="005752E4">
              <w:rPr>
                <w:rFonts w:ascii="Calibri" w:hAnsi="Calibri"/>
              </w:rPr>
              <w:t>Załącznik nr 8</w:t>
            </w:r>
          </w:p>
        </w:tc>
        <w:tc>
          <w:tcPr>
            <w:tcW w:w="6515" w:type="dxa"/>
            <w:vAlign w:val="center"/>
          </w:tcPr>
          <w:p w14:paraId="544C6D4C" w14:textId="02DD9DA7" w:rsidR="005752E4" w:rsidRPr="00795F17" w:rsidRDefault="005752E4" w:rsidP="005752E4">
            <w:pPr>
              <w:pStyle w:val="Wykazskrotow"/>
            </w:pPr>
            <w:r w:rsidRPr="00795F17">
              <w:t xml:space="preserve">Porównanie oceny stanu </w:t>
            </w:r>
            <w:r w:rsidR="00DF005E">
              <w:t>JCWP</w:t>
            </w:r>
            <w:r w:rsidRPr="00795F17">
              <w:t>d 2016, 2019</w:t>
            </w:r>
          </w:p>
        </w:tc>
      </w:tr>
      <w:tr w:rsidR="005752E4" w:rsidRPr="00795F17" w14:paraId="74A978AC" w14:textId="77777777" w:rsidTr="006808CA">
        <w:trPr>
          <w:trHeight w:val="454"/>
        </w:trPr>
        <w:tc>
          <w:tcPr>
            <w:tcW w:w="2547" w:type="dxa"/>
            <w:shd w:val="clear" w:color="auto" w:fill="BFBFBF" w:themeFill="background1" w:themeFillShade="BF"/>
            <w:vAlign w:val="center"/>
          </w:tcPr>
          <w:p w14:paraId="5C1CFB1C" w14:textId="249D5E29" w:rsidR="005752E4" w:rsidRPr="005752E4" w:rsidRDefault="005752E4" w:rsidP="005752E4">
            <w:pPr>
              <w:pStyle w:val="Wykazskrotowbold"/>
            </w:pPr>
            <w:r w:rsidRPr="005752E4">
              <w:rPr>
                <w:rFonts w:ascii="Calibri" w:hAnsi="Calibri"/>
              </w:rPr>
              <w:t>Załącznik nr 9</w:t>
            </w:r>
          </w:p>
        </w:tc>
        <w:tc>
          <w:tcPr>
            <w:tcW w:w="6515" w:type="dxa"/>
            <w:vAlign w:val="center"/>
          </w:tcPr>
          <w:p w14:paraId="5EDA3829" w14:textId="29B8403D" w:rsidR="005752E4" w:rsidRPr="00795F17" w:rsidRDefault="005752E4" w:rsidP="005752E4">
            <w:pPr>
              <w:pStyle w:val="Wykazskrotow"/>
            </w:pPr>
            <w:r w:rsidRPr="00795F17">
              <w:t xml:space="preserve">Podsumowanie wyników oceny stanu </w:t>
            </w:r>
            <w:r w:rsidR="00DF005E">
              <w:t>JCWP</w:t>
            </w:r>
            <w:r w:rsidRPr="00795F17">
              <w:t xml:space="preserve">d </w:t>
            </w:r>
            <w:r>
              <w:t>na</w:t>
            </w:r>
            <w:r w:rsidRPr="00795F17">
              <w:t xml:space="preserve"> obszarze dorzecza Odry - </w:t>
            </w:r>
            <w:r w:rsidR="00DF005E">
              <w:t>JCWP</w:t>
            </w:r>
            <w:r w:rsidRPr="00795F17">
              <w:t>d o stanie słabym</w:t>
            </w:r>
          </w:p>
        </w:tc>
      </w:tr>
      <w:tr w:rsidR="005752E4" w:rsidRPr="00795F17" w14:paraId="75E762B4" w14:textId="77777777" w:rsidTr="00637B72">
        <w:trPr>
          <w:trHeight w:val="454"/>
        </w:trPr>
        <w:tc>
          <w:tcPr>
            <w:tcW w:w="2547" w:type="dxa"/>
            <w:shd w:val="clear" w:color="auto" w:fill="BFBFBF" w:themeFill="background1" w:themeFillShade="BF"/>
            <w:vAlign w:val="center"/>
          </w:tcPr>
          <w:p w14:paraId="7B638C39" w14:textId="4CF57450" w:rsidR="005752E4" w:rsidRPr="005752E4" w:rsidRDefault="005752E4" w:rsidP="005752E4">
            <w:pPr>
              <w:pStyle w:val="Wykazskrotowbold"/>
            </w:pPr>
            <w:r w:rsidRPr="005752E4">
              <w:rPr>
                <w:rFonts w:ascii="Calibri" w:hAnsi="Calibri"/>
              </w:rPr>
              <w:t>Załącznik nr 10</w:t>
            </w:r>
          </w:p>
        </w:tc>
        <w:tc>
          <w:tcPr>
            <w:tcW w:w="6515" w:type="dxa"/>
            <w:vAlign w:val="center"/>
          </w:tcPr>
          <w:p w14:paraId="350758D3" w14:textId="77777777" w:rsidR="005752E4" w:rsidRPr="00795F17" w:rsidRDefault="005752E4" w:rsidP="005752E4">
            <w:pPr>
              <w:pStyle w:val="Wykazskrotow"/>
            </w:pPr>
            <w:r w:rsidRPr="00795F17">
              <w:t>Wykaz inwestycji i działań</w:t>
            </w:r>
          </w:p>
        </w:tc>
      </w:tr>
      <w:tr w:rsidR="00EC56B7" w:rsidRPr="00795F17" w14:paraId="2B3FDE9D" w14:textId="77777777" w:rsidTr="00637B72">
        <w:trPr>
          <w:trHeight w:val="454"/>
        </w:trPr>
        <w:tc>
          <w:tcPr>
            <w:tcW w:w="2547" w:type="dxa"/>
            <w:shd w:val="clear" w:color="auto" w:fill="BFBFBF" w:themeFill="background1" w:themeFillShade="BF"/>
            <w:vAlign w:val="center"/>
          </w:tcPr>
          <w:p w14:paraId="7C2B85C6" w14:textId="78C48986" w:rsidR="00EC56B7" w:rsidRPr="00EC56B7" w:rsidRDefault="00EC56B7" w:rsidP="00EC56B7">
            <w:pPr>
              <w:pStyle w:val="Wykazskrotowbold"/>
            </w:pPr>
            <w:r w:rsidRPr="00EC56B7">
              <w:rPr>
                <w:rFonts w:ascii="Calibri" w:hAnsi="Calibri"/>
              </w:rPr>
              <w:t>Załącznik nr 11</w:t>
            </w:r>
          </w:p>
        </w:tc>
        <w:tc>
          <w:tcPr>
            <w:tcW w:w="6515" w:type="dxa"/>
            <w:vAlign w:val="center"/>
          </w:tcPr>
          <w:p w14:paraId="2CB8090C" w14:textId="77777777" w:rsidR="00EC56B7" w:rsidRPr="00795F17" w:rsidRDefault="00EC56B7" w:rsidP="00EC56B7">
            <w:pPr>
              <w:pStyle w:val="Wykazskrotow"/>
            </w:pPr>
            <w:r w:rsidRPr="00795F17">
              <w:t>Katalog działań krajowych</w:t>
            </w:r>
          </w:p>
        </w:tc>
      </w:tr>
      <w:tr w:rsidR="00EC56B7" w:rsidRPr="00795F17" w14:paraId="33210988" w14:textId="77777777" w:rsidTr="00637B72">
        <w:trPr>
          <w:trHeight w:val="454"/>
        </w:trPr>
        <w:tc>
          <w:tcPr>
            <w:tcW w:w="2547" w:type="dxa"/>
            <w:shd w:val="clear" w:color="auto" w:fill="BFBFBF" w:themeFill="background1" w:themeFillShade="BF"/>
            <w:vAlign w:val="center"/>
          </w:tcPr>
          <w:p w14:paraId="4C4BEAED" w14:textId="7E7AA90E" w:rsidR="00EC56B7" w:rsidRPr="00EC56B7" w:rsidRDefault="00EC56B7" w:rsidP="00EC56B7">
            <w:pPr>
              <w:pStyle w:val="Wykazskrotowbold"/>
            </w:pPr>
            <w:r w:rsidRPr="00EC56B7">
              <w:rPr>
                <w:rFonts w:ascii="Calibri" w:hAnsi="Calibri"/>
              </w:rPr>
              <w:t>Załącznik nr 12</w:t>
            </w:r>
          </w:p>
        </w:tc>
        <w:tc>
          <w:tcPr>
            <w:tcW w:w="6515" w:type="dxa"/>
            <w:vAlign w:val="center"/>
          </w:tcPr>
          <w:p w14:paraId="1780614A" w14:textId="22F633C3" w:rsidR="00EC56B7" w:rsidRPr="00795F17" w:rsidRDefault="00EC56B7" w:rsidP="00EC56B7">
            <w:pPr>
              <w:pStyle w:val="Wykazskrotow"/>
            </w:pPr>
            <w:r w:rsidRPr="00795F17">
              <w:t>Katalog działań dla poszczególnych kategorii wód</w:t>
            </w:r>
          </w:p>
        </w:tc>
      </w:tr>
      <w:tr w:rsidR="00EC56B7" w:rsidRPr="00795F17" w14:paraId="640B5646" w14:textId="77777777" w:rsidTr="00637B72">
        <w:trPr>
          <w:trHeight w:val="454"/>
        </w:trPr>
        <w:tc>
          <w:tcPr>
            <w:tcW w:w="2547" w:type="dxa"/>
            <w:shd w:val="clear" w:color="auto" w:fill="BFBFBF" w:themeFill="background1" w:themeFillShade="BF"/>
            <w:vAlign w:val="center"/>
          </w:tcPr>
          <w:p w14:paraId="15778259" w14:textId="22CABE48" w:rsidR="00EC56B7" w:rsidRPr="00EC56B7" w:rsidRDefault="00EC56B7" w:rsidP="00EC56B7">
            <w:pPr>
              <w:pStyle w:val="Wykazskrotowbold"/>
            </w:pPr>
            <w:r w:rsidRPr="00EC56B7">
              <w:rPr>
                <w:rFonts w:ascii="Calibri" w:hAnsi="Calibri"/>
              </w:rPr>
              <w:t>Załącznik nr 13</w:t>
            </w:r>
          </w:p>
        </w:tc>
        <w:tc>
          <w:tcPr>
            <w:tcW w:w="6515" w:type="dxa"/>
            <w:vAlign w:val="center"/>
          </w:tcPr>
          <w:p w14:paraId="24D03EF0" w14:textId="77777777" w:rsidR="00EC56B7" w:rsidRPr="00795F17" w:rsidRDefault="00EC56B7" w:rsidP="00EC56B7">
            <w:pPr>
              <w:pStyle w:val="Wykazskrotow"/>
            </w:pPr>
            <w:r w:rsidRPr="00795F17">
              <w:t>Zestaw działań RW</w:t>
            </w:r>
          </w:p>
        </w:tc>
      </w:tr>
      <w:tr w:rsidR="00EC56B7" w:rsidRPr="00795F17" w14:paraId="640675A8" w14:textId="77777777" w:rsidTr="00637B72">
        <w:trPr>
          <w:trHeight w:val="454"/>
        </w:trPr>
        <w:tc>
          <w:tcPr>
            <w:tcW w:w="2547" w:type="dxa"/>
            <w:shd w:val="clear" w:color="auto" w:fill="BFBFBF" w:themeFill="background1" w:themeFillShade="BF"/>
            <w:vAlign w:val="center"/>
          </w:tcPr>
          <w:p w14:paraId="24E28681" w14:textId="34C42094" w:rsidR="00EC56B7" w:rsidRPr="00EC56B7" w:rsidRDefault="00EC56B7" w:rsidP="00EC56B7">
            <w:pPr>
              <w:pStyle w:val="Wykazskrotowbold"/>
            </w:pPr>
            <w:r w:rsidRPr="00EC56B7">
              <w:rPr>
                <w:rFonts w:ascii="Calibri" w:hAnsi="Calibri"/>
              </w:rPr>
              <w:t>Tabela nr 2 załącznika nr 13</w:t>
            </w:r>
          </w:p>
        </w:tc>
        <w:tc>
          <w:tcPr>
            <w:tcW w:w="6515" w:type="dxa"/>
            <w:vAlign w:val="center"/>
          </w:tcPr>
          <w:p w14:paraId="214EB870" w14:textId="66DC871E" w:rsidR="00EC56B7" w:rsidRPr="00795F17" w:rsidRDefault="00EC56B7" w:rsidP="00EC56B7">
            <w:pPr>
              <w:pStyle w:val="Wykazskrotow"/>
            </w:pPr>
            <w:r>
              <w:t>Wykaz działań dla budowli</w:t>
            </w:r>
          </w:p>
        </w:tc>
      </w:tr>
      <w:tr w:rsidR="00EC56B7" w:rsidRPr="00795F17" w14:paraId="142D44B6" w14:textId="77777777" w:rsidTr="00637B72">
        <w:trPr>
          <w:trHeight w:val="454"/>
        </w:trPr>
        <w:tc>
          <w:tcPr>
            <w:tcW w:w="2547" w:type="dxa"/>
            <w:shd w:val="clear" w:color="auto" w:fill="BFBFBF" w:themeFill="background1" w:themeFillShade="BF"/>
            <w:vAlign w:val="center"/>
          </w:tcPr>
          <w:p w14:paraId="21F9BA83" w14:textId="437C175E" w:rsidR="00EC56B7" w:rsidRPr="00EC56B7" w:rsidRDefault="00EC56B7" w:rsidP="00EC56B7">
            <w:pPr>
              <w:pStyle w:val="Wykazskrotowbold"/>
            </w:pPr>
            <w:r w:rsidRPr="00EC56B7">
              <w:rPr>
                <w:rFonts w:ascii="Calibri" w:hAnsi="Calibri"/>
              </w:rPr>
              <w:t>Załącznik nr 14</w:t>
            </w:r>
          </w:p>
        </w:tc>
        <w:tc>
          <w:tcPr>
            <w:tcW w:w="6515" w:type="dxa"/>
            <w:vAlign w:val="center"/>
          </w:tcPr>
          <w:p w14:paraId="0474E978" w14:textId="77777777" w:rsidR="00EC56B7" w:rsidRPr="00795F17" w:rsidRDefault="00EC56B7" w:rsidP="00EC56B7">
            <w:pPr>
              <w:pStyle w:val="Wykazskrotow"/>
            </w:pPr>
            <w:r w:rsidRPr="00795F17">
              <w:t>Zestaw działań RWr</w:t>
            </w:r>
          </w:p>
        </w:tc>
      </w:tr>
      <w:tr w:rsidR="00EC56B7" w:rsidRPr="00795F17" w14:paraId="2377B663" w14:textId="77777777" w:rsidTr="00637B72">
        <w:trPr>
          <w:trHeight w:val="454"/>
        </w:trPr>
        <w:tc>
          <w:tcPr>
            <w:tcW w:w="2547" w:type="dxa"/>
            <w:shd w:val="clear" w:color="auto" w:fill="BFBFBF" w:themeFill="background1" w:themeFillShade="BF"/>
            <w:vAlign w:val="center"/>
          </w:tcPr>
          <w:p w14:paraId="27B1C2B9" w14:textId="37A7A905" w:rsidR="00EC56B7" w:rsidRPr="00EC56B7" w:rsidRDefault="00EC56B7" w:rsidP="00EC56B7">
            <w:pPr>
              <w:pStyle w:val="Wykazskrotowbold"/>
            </w:pPr>
            <w:r w:rsidRPr="00EC56B7">
              <w:rPr>
                <w:rFonts w:ascii="Calibri" w:hAnsi="Calibri"/>
              </w:rPr>
              <w:t>Załącznik nr 15</w:t>
            </w:r>
          </w:p>
        </w:tc>
        <w:tc>
          <w:tcPr>
            <w:tcW w:w="6515" w:type="dxa"/>
            <w:vAlign w:val="center"/>
          </w:tcPr>
          <w:p w14:paraId="69880D6B" w14:textId="77777777" w:rsidR="00EC56B7" w:rsidRPr="00795F17" w:rsidRDefault="00EC56B7" w:rsidP="00EC56B7">
            <w:pPr>
              <w:pStyle w:val="Wykazskrotow"/>
            </w:pPr>
            <w:r w:rsidRPr="00795F17">
              <w:t>Zestaw działań LW</w:t>
            </w:r>
          </w:p>
        </w:tc>
      </w:tr>
      <w:tr w:rsidR="00EC56B7" w:rsidRPr="00795F17" w14:paraId="6E4AFE56" w14:textId="77777777" w:rsidTr="00637B72">
        <w:trPr>
          <w:trHeight w:val="454"/>
        </w:trPr>
        <w:tc>
          <w:tcPr>
            <w:tcW w:w="2547" w:type="dxa"/>
            <w:shd w:val="clear" w:color="auto" w:fill="BFBFBF" w:themeFill="background1" w:themeFillShade="BF"/>
            <w:vAlign w:val="center"/>
          </w:tcPr>
          <w:p w14:paraId="429CB8C0" w14:textId="04AE2AC9" w:rsidR="00EC56B7" w:rsidRPr="00EC56B7" w:rsidRDefault="00EC56B7" w:rsidP="00EC56B7">
            <w:pPr>
              <w:pStyle w:val="Wykazskrotowbold"/>
            </w:pPr>
            <w:r w:rsidRPr="00EC56B7">
              <w:rPr>
                <w:rFonts w:ascii="Calibri" w:hAnsi="Calibri"/>
              </w:rPr>
              <w:t>Załącznik nr 16</w:t>
            </w:r>
          </w:p>
        </w:tc>
        <w:tc>
          <w:tcPr>
            <w:tcW w:w="6515" w:type="dxa"/>
            <w:vAlign w:val="center"/>
          </w:tcPr>
          <w:p w14:paraId="11686DDA" w14:textId="77777777" w:rsidR="00EC56B7" w:rsidRPr="00795F17" w:rsidRDefault="00EC56B7" w:rsidP="00EC56B7">
            <w:pPr>
              <w:pStyle w:val="Wykazskrotow"/>
            </w:pPr>
            <w:r w:rsidRPr="00795F17">
              <w:t>Zestaw działań TW i CW</w:t>
            </w:r>
          </w:p>
        </w:tc>
      </w:tr>
      <w:tr w:rsidR="00EC56B7" w:rsidRPr="00795F17" w14:paraId="677133E0" w14:textId="77777777" w:rsidTr="00637B72">
        <w:trPr>
          <w:trHeight w:val="454"/>
        </w:trPr>
        <w:tc>
          <w:tcPr>
            <w:tcW w:w="2547" w:type="dxa"/>
            <w:shd w:val="clear" w:color="auto" w:fill="BFBFBF" w:themeFill="background1" w:themeFillShade="BF"/>
            <w:vAlign w:val="center"/>
          </w:tcPr>
          <w:p w14:paraId="4E0C27A5" w14:textId="6CD1BB59" w:rsidR="00EC56B7" w:rsidRPr="00EC56B7" w:rsidRDefault="00EC56B7" w:rsidP="00EC56B7">
            <w:pPr>
              <w:pStyle w:val="Wykazskrotowbold"/>
            </w:pPr>
            <w:r w:rsidRPr="00EC56B7">
              <w:rPr>
                <w:rFonts w:ascii="Calibri" w:hAnsi="Calibri"/>
              </w:rPr>
              <w:t>Załącznik nr 17</w:t>
            </w:r>
          </w:p>
        </w:tc>
        <w:tc>
          <w:tcPr>
            <w:tcW w:w="6515" w:type="dxa"/>
            <w:vAlign w:val="center"/>
          </w:tcPr>
          <w:p w14:paraId="4359CF44" w14:textId="39DFCEC4" w:rsidR="00EC56B7" w:rsidRPr="00795F17" w:rsidRDefault="00EC56B7" w:rsidP="00EC56B7">
            <w:pPr>
              <w:pStyle w:val="Wykazskrotow"/>
            </w:pPr>
            <w:r w:rsidRPr="00795F17">
              <w:t xml:space="preserve">Zestaw działań </w:t>
            </w:r>
            <w:r w:rsidR="00DF005E">
              <w:t>JCWP</w:t>
            </w:r>
            <w:r w:rsidRPr="00795F17">
              <w:t>d</w:t>
            </w:r>
          </w:p>
        </w:tc>
      </w:tr>
      <w:tr w:rsidR="00EC56B7" w:rsidRPr="00795F17" w14:paraId="67949D28" w14:textId="77777777" w:rsidTr="00637B72">
        <w:trPr>
          <w:trHeight w:val="454"/>
        </w:trPr>
        <w:tc>
          <w:tcPr>
            <w:tcW w:w="2547" w:type="dxa"/>
            <w:shd w:val="clear" w:color="auto" w:fill="BFBFBF" w:themeFill="background1" w:themeFillShade="BF"/>
            <w:vAlign w:val="center"/>
          </w:tcPr>
          <w:p w14:paraId="7CDFFFD9" w14:textId="28E3CDEF" w:rsidR="00EC56B7" w:rsidRPr="00EC56B7" w:rsidRDefault="00EC56B7" w:rsidP="00EC56B7">
            <w:pPr>
              <w:pStyle w:val="Wykazskrotowbold"/>
            </w:pPr>
            <w:r w:rsidRPr="00EC56B7">
              <w:rPr>
                <w:rFonts w:ascii="Calibri" w:hAnsi="Calibri"/>
              </w:rPr>
              <w:t>Załącznik nr 18</w:t>
            </w:r>
          </w:p>
        </w:tc>
        <w:tc>
          <w:tcPr>
            <w:tcW w:w="6515" w:type="dxa"/>
            <w:vAlign w:val="center"/>
          </w:tcPr>
          <w:p w14:paraId="3867221E" w14:textId="77777777" w:rsidR="00EC56B7" w:rsidRPr="00795F17" w:rsidRDefault="00EC56B7" w:rsidP="00EC56B7">
            <w:pPr>
              <w:pStyle w:val="Wykazskrotow"/>
            </w:pPr>
            <w:r w:rsidRPr="00795F17">
              <w:t>Wykaz jcw wskazanych do odstępstw</w:t>
            </w:r>
          </w:p>
        </w:tc>
      </w:tr>
      <w:tr w:rsidR="00EC56B7" w:rsidRPr="00795F17" w14:paraId="6D40210A" w14:textId="77777777" w:rsidTr="00637B72">
        <w:trPr>
          <w:trHeight w:val="454"/>
        </w:trPr>
        <w:tc>
          <w:tcPr>
            <w:tcW w:w="2547" w:type="dxa"/>
            <w:shd w:val="clear" w:color="auto" w:fill="BFBFBF" w:themeFill="background1" w:themeFillShade="BF"/>
            <w:vAlign w:val="center"/>
          </w:tcPr>
          <w:p w14:paraId="3DB24E51" w14:textId="70A129CC" w:rsidR="00EC56B7" w:rsidRPr="00EC56B7" w:rsidRDefault="00EC56B7" w:rsidP="00EC56B7">
            <w:pPr>
              <w:pStyle w:val="Wykazskrotowbold"/>
            </w:pPr>
            <w:r w:rsidRPr="00EC56B7">
              <w:rPr>
                <w:rFonts w:ascii="Calibri" w:hAnsi="Calibri"/>
              </w:rPr>
              <w:t>Załącznik nr 19</w:t>
            </w:r>
          </w:p>
        </w:tc>
        <w:tc>
          <w:tcPr>
            <w:tcW w:w="6515" w:type="dxa"/>
            <w:vAlign w:val="center"/>
          </w:tcPr>
          <w:p w14:paraId="7C73458D" w14:textId="2D3D7965" w:rsidR="00EC56B7" w:rsidRPr="00795F17" w:rsidRDefault="00EC56B7" w:rsidP="00EC56B7">
            <w:pPr>
              <w:pStyle w:val="Wykazskrotow"/>
            </w:pPr>
            <w:r w:rsidRPr="00795F17">
              <w:t>Wykaz odcinków potencjalnie utrudnionego spływu lodu</w:t>
            </w:r>
          </w:p>
        </w:tc>
      </w:tr>
    </w:tbl>
    <w:p w14:paraId="75E67EE5" w14:textId="77777777" w:rsidR="0014064B" w:rsidRPr="00795F17" w:rsidRDefault="0014064B" w:rsidP="0044393D">
      <w:pPr>
        <w:pStyle w:val="Tytu"/>
      </w:pPr>
      <w:r w:rsidRPr="00795F17">
        <w:t>Załączniki graficzne</w:t>
      </w:r>
    </w:p>
    <w:tbl>
      <w:tblPr>
        <w:tblStyle w:val="Tabela-Siatka1"/>
        <w:tblW w:w="0" w:type="auto"/>
        <w:tblLook w:val="04A0" w:firstRow="1" w:lastRow="0" w:firstColumn="1" w:lastColumn="0" w:noHBand="0" w:noVBand="1"/>
      </w:tblPr>
      <w:tblGrid>
        <w:gridCol w:w="2547"/>
        <w:gridCol w:w="6515"/>
      </w:tblGrid>
      <w:tr w:rsidR="0044100A" w:rsidRPr="00795F17" w14:paraId="46E47C5A" w14:textId="77777777" w:rsidTr="00A10B90">
        <w:trPr>
          <w:trHeight w:val="454"/>
        </w:trPr>
        <w:tc>
          <w:tcPr>
            <w:tcW w:w="2547" w:type="dxa"/>
            <w:shd w:val="clear" w:color="auto" w:fill="BFBFBF" w:themeFill="background1" w:themeFillShade="BF"/>
            <w:vAlign w:val="center"/>
          </w:tcPr>
          <w:p w14:paraId="31228081" w14:textId="70155FAA" w:rsidR="0044100A" w:rsidRPr="0044100A" w:rsidRDefault="0044100A" w:rsidP="0044100A">
            <w:pPr>
              <w:pStyle w:val="Wykazskrotowbold"/>
            </w:pPr>
            <w:r w:rsidRPr="0044100A">
              <w:rPr>
                <w:rFonts w:ascii="Calibri" w:hAnsi="Calibri"/>
              </w:rPr>
              <w:t>Załącznik graficzny nr 1</w:t>
            </w:r>
          </w:p>
        </w:tc>
        <w:tc>
          <w:tcPr>
            <w:tcW w:w="6515" w:type="dxa"/>
            <w:shd w:val="clear" w:color="auto" w:fill="auto"/>
            <w:vAlign w:val="center"/>
          </w:tcPr>
          <w:p w14:paraId="13A89EE5" w14:textId="1A39FB39" w:rsidR="0044100A" w:rsidRPr="00795F17" w:rsidRDefault="0044100A" w:rsidP="0044100A">
            <w:pPr>
              <w:pStyle w:val="Wykazskrotow"/>
            </w:pPr>
            <w:r w:rsidRPr="00795F17">
              <w:t xml:space="preserve">Położenie i granice </w:t>
            </w:r>
            <w:r w:rsidR="00DF005E">
              <w:t>JCWP</w:t>
            </w:r>
            <w:r w:rsidRPr="00795F17">
              <w:t xml:space="preserve"> </w:t>
            </w:r>
            <w:r>
              <w:t>na</w:t>
            </w:r>
            <w:r w:rsidRPr="00795F17">
              <w:t xml:space="preserve"> obszarze dorzecza Odry </w:t>
            </w:r>
          </w:p>
        </w:tc>
      </w:tr>
      <w:tr w:rsidR="0044100A" w:rsidRPr="00795F17" w14:paraId="54C48765" w14:textId="77777777" w:rsidTr="00A10B90">
        <w:trPr>
          <w:trHeight w:val="454"/>
        </w:trPr>
        <w:tc>
          <w:tcPr>
            <w:tcW w:w="2547" w:type="dxa"/>
            <w:shd w:val="clear" w:color="auto" w:fill="BFBFBF" w:themeFill="background1" w:themeFillShade="BF"/>
            <w:vAlign w:val="center"/>
          </w:tcPr>
          <w:p w14:paraId="36E0BC63" w14:textId="55D5C915" w:rsidR="0044100A" w:rsidRPr="0044100A" w:rsidRDefault="0044100A" w:rsidP="0044100A">
            <w:pPr>
              <w:pStyle w:val="Wykazskrotowbold"/>
            </w:pPr>
            <w:r w:rsidRPr="0044100A">
              <w:rPr>
                <w:rFonts w:ascii="Calibri" w:hAnsi="Calibri"/>
              </w:rPr>
              <w:t>Załącznik graficzny nr 2</w:t>
            </w:r>
          </w:p>
        </w:tc>
        <w:tc>
          <w:tcPr>
            <w:tcW w:w="6515" w:type="dxa"/>
            <w:shd w:val="clear" w:color="auto" w:fill="auto"/>
            <w:vAlign w:val="center"/>
          </w:tcPr>
          <w:p w14:paraId="66A7F73B" w14:textId="481304DC" w:rsidR="0044100A" w:rsidRPr="00795F17" w:rsidRDefault="0044100A" w:rsidP="0044100A">
            <w:pPr>
              <w:pStyle w:val="Wykazskrotow"/>
            </w:pPr>
            <w:r w:rsidRPr="00795F17">
              <w:t xml:space="preserve">Ekoregiony i typy </w:t>
            </w:r>
            <w:r w:rsidR="00DF005E">
              <w:t>JCWP</w:t>
            </w:r>
            <w:r w:rsidRPr="00795F17">
              <w:t xml:space="preserve"> RW </w:t>
            </w:r>
          </w:p>
        </w:tc>
      </w:tr>
      <w:tr w:rsidR="0044100A" w:rsidRPr="00795F17" w14:paraId="2235725F" w14:textId="77777777" w:rsidTr="00A10B90">
        <w:trPr>
          <w:trHeight w:val="454"/>
        </w:trPr>
        <w:tc>
          <w:tcPr>
            <w:tcW w:w="2547" w:type="dxa"/>
            <w:shd w:val="clear" w:color="auto" w:fill="BFBFBF" w:themeFill="background1" w:themeFillShade="BF"/>
            <w:vAlign w:val="center"/>
          </w:tcPr>
          <w:p w14:paraId="128B1C4A" w14:textId="7FBAD044" w:rsidR="0044100A" w:rsidRPr="0044100A" w:rsidRDefault="0044100A" w:rsidP="0044100A">
            <w:pPr>
              <w:pStyle w:val="Wykazskrotowbold"/>
            </w:pPr>
            <w:r w:rsidRPr="0044100A">
              <w:rPr>
                <w:rFonts w:ascii="Calibri" w:hAnsi="Calibri"/>
              </w:rPr>
              <w:t>Załącznik graficzny nr 3</w:t>
            </w:r>
          </w:p>
        </w:tc>
        <w:tc>
          <w:tcPr>
            <w:tcW w:w="6515" w:type="dxa"/>
            <w:shd w:val="clear" w:color="auto" w:fill="auto"/>
            <w:vAlign w:val="center"/>
          </w:tcPr>
          <w:p w14:paraId="7DC8FA40" w14:textId="66EA8229" w:rsidR="0044100A" w:rsidRPr="00795F17" w:rsidRDefault="0044100A" w:rsidP="0044100A">
            <w:pPr>
              <w:pStyle w:val="Wykazskrotow"/>
            </w:pPr>
            <w:r w:rsidRPr="00795F17">
              <w:t xml:space="preserve">Ekoregiony i typy </w:t>
            </w:r>
            <w:r w:rsidR="00DF005E">
              <w:t>JCWP</w:t>
            </w:r>
            <w:r w:rsidRPr="00795F17">
              <w:t xml:space="preserve"> LW </w:t>
            </w:r>
          </w:p>
        </w:tc>
      </w:tr>
      <w:tr w:rsidR="0044100A" w:rsidRPr="00795F17" w14:paraId="7B3D06EC" w14:textId="77777777" w:rsidTr="00A10B90">
        <w:trPr>
          <w:trHeight w:val="454"/>
        </w:trPr>
        <w:tc>
          <w:tcPr>
            <w:tcW w:w="2547" w:type="dxa"/>
            <w:shd w:val="clear" w:color="auto" w:fill="BFBFBF" w:themeFill="background1" w:themeFillShade="BF"/>
            <w:vAlign w:val="center"/>
          </w:tcPr>
          <w:p w14:paraId="77716992" w14:textId="45CEBA7F" w:rsidR="0044100A" w:rsidRPr="0044100A" w:rsidRDefault="0044100A" w:rsidP="0044100A">
            <w:pPr>
              <w:pStyle w:val="Wykazskrotowbold"/>
            </w:pPr>
            <w:r w:rsidRPr="0044100A">
              <w:rPr>
                <w:rFonts w:ascii="Calibri" w:hAnsi="Calibri"/>
              </w:rPr>
              <w:t>Załącznik graficzny nr 4</w:t>
            </w:r>
          </w:p>
        </w:tc>
        <w:tc>
          <w:tcPr>
            <w:tcW w:w="6515" w:type="dxa"/>
            <w:shd w:val="clear" w:color="auto" w:fill="auto"/>
            <w:vAlign w:val="center"/>
          </w:tcPr>
          <w:p w14:paraId="54EBF5AE" w14:textId="363B5827" w:rsidR="0044100A" w:rsidRPr="00795F17" w:rsidRDefault="0044100A" w:rsidP="0044100A">
            <w:pPr>
              <w:pStyle w:val="Wykazskrotow"/>
            </w:pPr>
            <w:r w:rsidRPr="00795F17">
              <w:t xml:space="preserve">Ekoregiony i typy </w:t>
            </w:r>
            <w:r w:rsidR="00DF005E">
              <w:t>JCWP</w:t>
            </w:r>
            <w:r w:rsidRPr="00795F17">
              <w:t xml:space="preserve"> TW i CW </w:t>
            </w:r>
          </w:p>
        </w:tc>
      </w:tr>
      <w:tr w:rsidR="0044100A" w:rsidRPr="00795F17" w14:paraId="700CCCFC" w14:textId="77777777" w:rsidTr="00A10B90">
        <w:trPr>
          <w:trHeight w:val="454"/>
        </w:trPr>
        <w:tc>
          <w:tcPr>
            <w:tcW w:w="2547" w:type="dxa"/>
            <w:shd w:val="clear" w:color="auto" w:fill="BFBFBF" w:themeFill="background1" w:themeFillShade="BF"/>
            <w:vAlign w:val="center"/>
          </w:tcPr>
          <w:p w14:paraId="6F3F8F75" w14:textId="687850D7" w:rsidR="0044100A" w:rsidRPr="0044100A" w:rsidRDefault="0044100A" w:rsidP="0044100A">
            <w:pPr>
              <w:pStyle w:val="Wykazskrotowbold"/>
            </w:pPr>
            <w:r w:rsidRPr="0044100A">
              <w:rPr>
                <w:rFonts w:ascii="Calibri" w:hAnsi="Calibri"/>
              </w:rPr>
              <w:t>Załącznik graficzny nr 5</w:t>
            </w:r>
          </w:p>
        </w:tc>
        <w:tc>
          <w:tcPr>
            <w:tcW w:w="6515" w:type="dxa"/>
            <w:shd w:val="clear" w:color="auto" w:fill="auto"/>
            <w:vAlign w:val="center"/>
          </w:tcPr>
          <w:p w14:paraId="746F61EE" w14:textId="41C2F832" w:rsidR="0044100A" w:rsidRPr="00795F17" w:rsidRDefault="0044100A" w:rsidP="0044100A">
            <w:pPr>
              <w:pStyle w:val="Wykazskrotow"/>
            </w:pPr>
            <w:r w:rsidRPr="00795F17">
              <w:t xml:space="preserve">Statusy </w:t>
            </w:r>
            <w:r w:rsidR="00DF005E">
              <w:t>JCWP</w:t>
            </w:r>
            <w:r w:rsidRPr="00795F17">
              <w:t xml:space="preserve"> </w:t>
            </w:r>
          </w:p>
        </w:tc>
      </w:tr>
      <w:tr w:rsidR="0044100A" w:rsidRPr="00795F17" w14:paraId="5CB2537F" w14:textId="77777777" w:rsidTr="00A10B90">
        <w:trPr>
          <w:trHeight w:val="454"/>
        </w:trPr>
        <w:tc>
          <w:tcPr>
            <w:tcW w:w="2547" w:type="dxa"/>
            <w:shd w:val="clear" w:color="auto" w:fill="BFBFBF" w:themeFill="background1" w:themeFillShade="BF"/>
            <w:vAlign w:val="center"/>
          </w:tcPr>
          <w:p w14:paraId="3620E48C" w14:textId="37A80F8A" w:rsidR="0044100A" w:rsidRPr="0044100A" w:rsidRDefault="0044100A" w:rsidP="0044100A">
            <w:pPr>
              <w:pStyle w:val="Wykazskrotowbold"/>
            </w:pPr>
            <w:r w:rsidRPr="0044100A">
              <w:rPr>
                <w:rFonts w:ascii="Calibri" w:hAnsi="Calibri"/>
              </w:rPr>
              <w:t>Załącznik graficzny nr 6</w:t>
            </w:r>
          </w:p>
        </w:tc>
        <w:tc>
          <w:tcPr>
            <w:tcW w:w="6515" w:type="dxa"/>
            <w:shd w:val="clear" w:color="auto" w:fill="auto"/>
            <w:vAlign w:val="center"/>
          </w:tcPr>
          <w:p w14:paraId="26EC9239" w14:textId="10437855" w:rsidR="0044100A" w:rsidRPr="00795F17" w:rsidRDefault="0044100A" w:rsidP="0044100A">
            <w:pPr>
              <w:pStyle w:val="Wykazskrotow"/>
            </w:pPr>
            <w:r w:rsidRPr="00795F17">
              <w:t xml:space="preserve">Położenie i granice </w:t>
            </w:r>
            <w:r w:rsidR="00DF005E">
              <w:t>JCWP</w:t>
            </w:r>
            <w:r w:rsidRPr="00795F17">
              <w:t xml:space="preserve">d </w:t>
            </w:r>
            <w:r>
              <w:t>na</w:t>
            </w:r>
            <w:r w:rsidRPr="00795F17">
              <w:t xml:space="preserve"> obszarze dorzecza Odry </w:t>
            </w:r>
          </w:p>
        </w:tc>
      </w:tr>
      <w:tr w:rsidR="0044100A" w:rsidRPr="00795F17" w14:paraId="12CDAB24" w14:textId="77777777" w:rsidTr="00A10B90">
        <w:trPr>
          <w:trHeight w:val="454"/>
        </w:trPr>
        <w:tc>
          <w:tcPr>
            <w:tcW w:w="2547" w:type="dxa"/>
            <w:shd w:val="clear" w:color="auto" w:fill="BFBFBF" w:themeFill="background1" w:themeFillShade="BF"/>
            <w:vAlign w:val="center"/>
          </w:tcPr>
          <w:p w14:paraId="403A1138" w14:textId="66BBDC46" w:rsidR="0044100A" w:rsidRPr="0044100A" w:rsidRDefault="0044100A" w:rsidP="0044100A">
            <w:pPr>
              <w:pStyle w:val="Wykazskrotowbold"/>
            </w:pPr>
            <w:r w:rsidRPr="0044100A">
              <w:rPr>
                <w:rFonts w:ascii="Calibri" w:hAnsi="Calibri"/>
              </w:rPr>
              <w:t>Załącznik graficzny nr 7</w:t>
            </w:r>
          </w:p>
        </w:tc>
        <w:tc>
          <w:tcPr>
            <w:tcW w:w="6515" w:type="dxa"/>
            <w:shd w:val="clear" w:color="auto" w:fill="auto"/>
            <w:vAlign w:val="center"/>
          </w:tcPr>
          <w:p w14:paraId="0EB36245" w14:textId="41CF3BCB" w:rsidR="0044100A" w:rsidRPr="00795F17" w:rsidRDefault="0044100A" w:rsidP="0044100A">
            <w:pPr>
              <w:pStyle w:val="Wykazskrotow"/>
            </w:pPr>
            <w:r w:rsidRPr="00D31F41">
              <w:t>Jcw przeznaczone do poboru wody na potrzeby zaopatrzenia ludności w wodę przeznaczoną do spożycia przez ludzi</w:t>
            </w:r>
          </w:p>
        </w:tc>
      </w:tr>
      <w:tr w:rsidR="0044100A" w:rsidRPr="00795F17" w14:paraId="218A9C3C" w14:textId="77777777" w:rsidTr="00A10B90">
        <w:trPr>
          <w:trHeight w:val="454"/>
        </w:trPr>
        <w:tc>
          <w:tcPr>
            <w:tcW w:w="2547" w:type="dxa"/>
            <w:shd w:val="clear" w:color="auto" w:fill="BFBFBF" w:themeFill="background1" w:themeFillShade="BF"/>
            <w:vAlign w:val="center"/>
          </w:tcPr>
          <w:p w14:paraId="772B2EC9" w14:textId="6CBFEDB0" w:rsidR="0044100A" w:rsidRPr="0044100A" w:rsidRDefault="0044100A" w:rsidP="0044100A">
            <w:pPr>
              <w:pStyle w:val="Wykazskrotowbold"/>
            </w:pPr>
            <w:r w:rsidRPr="0044100A">
              <w:rPr>
                <w:rFonts w:ascii="Calibri" w:hAnsi="Calibri"/>
              </w:rPr>
              <w:t>Załącznik graficzny nr 8</w:t>
            </w:r>
          </w:p>
        </w:tc>
        <w:tc>
          <w:tcPr>
            <w:tcW w:w="6515" w:type="dxa"/>
            <w:shd w:val="clear" w:color="auto" w:fill="auto"/>
            <w:vAlign w:val="center"/>
          </w:tcPr>
          <w:p w14:paraId="4EAEC363" w14:textId="2F953B6F" w:rsidR="0044100A" w:rsidRPr="00795F17" w:rsidRDefault="0044100A" w:rsidP="0044100A">
            <w:pPr>
              <w:pStyle w:val="Wykazskrotow"/>
            </w:pPr>
            <w:r w:rsidRPr="008915CA">
              <w:t xml:space="preserve">Jcw przeznaczone </w:t>
            </w:r>
            <w:r>
              <w:t>do</w:t>
            </w:r>
            <w:r w:rsidRPr="008915CA">
              <w:t xml:space="preserve"> cel</w:t>
            </w:r>
            <w:r>
              <w:t>ów</w:t>
            </w:r>
            <w:r w:rsidRPr="008915CA">
              <w:t xml:space="preserve"> rekreacyjn</w:t>
            </w:r>
            <w:r>
              <w:t>ych</w:t>
            </w:r>
            <w:r w:rsidRPr="008915CA">
              <w:t xml:space="preserve"> w tym kąpieliskow</w:t>
            </w:r>
            <w:r>
              <w:t>ych</w:t>
            </w:r>
          </w:p>
        </w:tc>
      </w:tr>
      <w:tr w:rsidR="0044100A" w:rsidRPr="00795F17" w14:paraId="2A3E679E" w14:textId="77777777" w:rsidTr="00A10B90">
        <w:trPr>
          <w:trHeight w:val="454"/>
        </w:trPr>
        <w:tc>
          <w:tcPr>
            <w:tcW w:w="2547" w:type="dxa"/>
            <w:shd w:val="clear" w:color="auto" w:fill="BFBFBF" w:themeFill="background1" w:themeFillShade="BF"/>
            <w:vAlign w:val="center"/>
          </w:tcPr>
          <w:p w14:paraId="5D987985" w14:textId="34EEB26B" w:rsidR="0044100A" w:rsidRPr="0044100A" w:rsidRDefault="0044100A" w:rsidP="0044100A">
            <w:pPr>
              <w:pStyle w:val="Wykazskrotowbold"/>
            </w:pPr>
            <w:r w:rsidRPr="0044100A">
              <w:rPr>
                <w:rFonts w:ascii="Calibri" w:hAnsi="Calibri"/>
              </w:rPr>
              <w:t>Załącznik graficzny nr 9</w:t>
            </w:r>
          </w:p>
        </w:tc>
        <w:tc>
          <w:tcPr>
            <w:tcW w:w="6515" w:type="dxa"/>
            <w:shd w:val="clear" w:color="auto" w:fill="auto"/>
            <w:vAlign w:val="center"/>
          </w:tcPr>
          <w:p w14:paraId="3D7AC759" w14:textId="0EF93110" w:rsidR="0044100A" w:rsidRPr="00795F17" w:rsidRDefault="0044100A" w:rsidP="0044100A">
            <w:pPr>
              <w:pStyle w:val="Wykazskrotow"/>
            </w:pPr>
            <w:r w:rsidRPr="004676AB">
              <w:t>Obszary przeznaczone do ochrony siedlisk lub gatunków</w:t>
            </w:r>
          </w:p>
        </w:tc>
      </w:tr>
      <w:tr w:rsidR="0044100A" w:rsidRPr="00795F17" w14:paraId="245D6917" w14:textId="77777777" w:rsidTr="00A10B90">
        <w:trPr>
          <w:trHeight w:val="454"/>
        </w:trPr>
        <w:tc>
          <w:tcPr>
            <w:tcW w:w="2547" w:type="dxa"/>
            <w:shd w:val="clear" w:color="auto" w:fill="BFBFBF" w:themeFill="background1" w:themeFillShade="BF"/>
            <w:vAlign w:val="center"/>
          </w:tcPr>
          <w:p w14:paraId="74911E64" w14:textId="55A40CAD" w:rsidR="0044100A" w:rsidRPr="0044100A" w:rsidRDefault="0044100A" w:rsidP="0044100A">
            <w:pPr>
              <w:pStyle w:val="Wykazskrotowbold"/>
            </w:pPr>
            <w:r w:rsidRPr="0044100A">
              <w:rPr>
                <w:rFonts w:ascii="Calibri" w:hAnsi="Calibri"/>
              </w:rPr>
              <w:t>Załącznik graficzny nr 10</w:t>
            </w:r>
          </w:p>
        </w:tc>
        <w:tc>
          <w:tcPr>
            <w:tcW w:w="6515" w:type="dxa"/>
            <w:shd w:val="clear" w:color="auto" w:fill="auto"/>
            <w:vAlign w:val="center"/>
          </w:tcPr>
          <w:p w14:paraId="7E47D258" w14:textId="567325D6" w:rsidR="0044100A" w:rsidRPr="00C32D89" w:rsidRDefault="0044100A" w:rsidP="0044100A">
            <w:pPr>
              <w:pStyle w:val="Wykazskrotow"/>
              <w:rPr>
                <w:szCs w:val="20"/>
              </w:rPr>
            </w:pPr>
            <w:r w:rsidRPr="00C32D89">
              <w:rPr>
                <w:color w:val="000000" w:themeColor="text1"/>
                <w:szCs w:val="20"/>
              </w:rPr>
              <w:t>Obszary przeznaczone do ochrony gatunków zwierząt wodnych o znaczeniu gospodarczym</w:t>
            </w:r>
          </w:p>
        </w:tc>
      </w:tr>
      <w:tr w:rsidR="0044100A" w:rsidRPr="00795F17" w14:paraId="32163E8A" w14:textId="77777777" w:rsidTr="00A10B90">
        <w:trPr>
          <w:trHeight w:val="454"/>
        </w:trPr>
        <w:tc>
          <w:tcPr>
            <w:tcW w:w="2547" w:type="dxa"/>
            <w:shd w:val="clear" w:color="auto" w:fill="BFBFBF" w:themeFill="background1" w:themeFillShade="BF"/>
            <w:vAlign w:val="center"/>
          </w:tcPr>
          <w:p w14:paraId="3719DA69" w14:textId="08C06650" w:rsidR="0044100A" w:rsidRPr="0044100A" w:rsidRDefault="0044100A" w:rsidP="0044100A">
            <w:pPr>
              <w:pStyle w:val="Wykazskrotowbold"/>
            </w:pPr>
            <w:r w:rsidRPr="0044100A">
              <w:rPr>
                <w:rFonts w:ascii="Calibri" w:hAnsi="Calibri"/>
              </w:rPr>
              <w:t>Załącznik graficzny nr 11</w:t>
            </w:r>
          </w:p>
        </w:tc>
        <w:tc>
          <w:tcPr>
            <w:tcW w:w="6515" w:type="dxa"/>
            <w:shd w:val="clear" w:color="auto" w:fill="auto"/>
            <w:vAlign w:val="center"/>
          </w:tcPr>
          <w:p w14:paraId="75DCC8F4" w14:textId="598BBA12" w:rsidR="0044100A" w:rsidRPr="00795F17" w:rsidRDefault="0044100A" w:rsidP="0044100A">
            <w:pPr>
              <w:pStyle w:val="Wykazskrotow"/>
            </w:pPr>
            <w:r>
              <w:t>Planowana s</w:t>
            </w:r>
            <w:r w:rsidRPr="00795F17">
              <w:t>ieć monitoringu 2022</w:t>
            </w:r>
            <w:r>
              <w:t>–</w:t>
            </w:r>
            <w:r w:rsidRPr="00795F17">
              <w:t xml:space="preserve">2027 </w:t>
            </w:r>
            <w:r w:rsidR="00DF005E">
              <w:t>JCWP</w:t>
            </w:r>
            <w:r w:rsidRPr="00795F17">
              <w:t xml:space="preserve"> RW </w:t>
            </w:r>
          </w:p>
        </w:tc>
      </w:tr>
      <w:tr w:rsidR="0044100A" w:rsidRPr="00795F17" w14:paraId="0FFB5120" w14:textId="77777777" w:rsidTr="00A10B90">
        <w:trPr>
          <w:trHeight w:val="454"/>
        </w:trPr>
        <w:tc>
          <w:tcPr>
            <w:tcW w:w="2547" w:type="dxa"/>
            <w:shd w:val="clear" w:color="auto" w:fill="BFBFBF" w:themeFill="background1" w:themeFillShade="BF"/>
            <w:vAlign w:val="center"/>
          </w:tcPr>
          <w:p w14:paraId="1A69FE64" w14:textId="1F33415A" w:rsidR="0044100A" w:rsidRPr="0044100A" w:rsidRDefault="0044100A" w:rsidP="0044100A">
            <w:pPr>
              <w:pStyle w:val="Wykazskrotowbold"/>
            </w:pPr>
            <w:r w:rsidRPr="0044100A">
              <w:rPr>
                <w:rFonts w:ascii="Calibri" w:hAnsi="Calibri"/>
              </w:rPr>
              <w:t>Załącznik graficzny nr 12</w:t>
            </w:r>
          </w:p>
        </w:tc>
        <w:tc>
          <w:tcPr>
            <w:tcW w:w="6515" w:type="dxa"/>
            <w:shd w:val="clear" w:color="auto" w:fill="auto"/>
            <w:vAlign w:val="center"/>
          </w:tcPr>
          <w:p w14:paraId="6F50F607" w14:textId="7CB573B7" w:rsidR="0044100A" w:rsidRPr="00795F17" w:rsidRDefault="0044100A" w:rsidP="0044100A">
            <w:pPr>
              <w:pStyle w:val="Wykazskrotow"/>
            </w:pPr>
            <w:r>
              <w:t>Planowana s</w:t>
            </w:r>
            <w:r w:rsidRPr="00795F17">
              <w:t>ieć monitoringu 2022</w:t>
            </w:r>
            <w:r>
              <w:t>–</w:t>
            </w:r>
            <w:r w:rsidRPr="00795F17">
              <w:t xml:space="preserve">2027 </w:t>
            </w:r>
            <w:r w:rsidR="00DF005E">
              <w:t>JCWP</w:t>
            </w:r>
            <w:r w:rsidRPr="00795F17">
              <w:t xml:space="preserve"> RWr </w:t>
            </w:r>
          </w:p>
        </w:tc>
      </w:tr>
      <w:tr w:rsidR="0044100A" w:rsidRPr="00795F17" w14:paraId="073BCDE1" w14:textId="77777777" w:rsidTr="00A10B90">
        <w:trPr>
          <w:trHeight w:val="454"/>
        </w:trPr>
        <w:tc>
          <w:tcPr>
            <w:tcW w:w="2547" w:type="dxa"/>
            <w:shd w:val="clear" w:color="auto" w:fill="BFBFBF" w:themeFill="background1" w:themeFillShade="BF"/>
            <w:vAlign w:val="center"/>
          </w:tcPr>
          <w:p w14:paraId="3763DF5D" w14:textId="30F1091C" w:rsidR="0044100A" w:rsidRPr="0044100A" w:rsidRDefault="0044100A" w:rsidP="0044100A">
            <w:pPr>
              <w:pStyle w:val="Wykazskrotowbold"/>
            </w:pPr>
            <w:r w:rsidRPr="0044100A">
              <w:rPr>
                <w:rFonts w:ascii="Calibri" w:hAnsi="Calibri"/>
              </w:rPr>
              <w:t>Załącznik graficzny nr 13</w:t>
            </w:r>
          </w:p>
        </w:tc>
        <w:tc>
          <w:tcPr>
            <w:tcW w:w="6515" w:type="dxa"/>
            <w:shd w:val="clear" w:color="auto" w:fill="auto"/>
            <w:vAlign w:val="center"/>
          </w:tcPr>
          <w:p w14:paraId="0D7CC91B" w14:textId="266A9041" w:rsidR="0044100A" w:rsidRPr="00795F17" w:rsidRDefault="0044100A" w:rsidP="0044100A">
            <w:pPr>
              <w:pStyle w:val="Wykazskrotow"/>
            </w:pPr>
            <w:r>
              <w:t>Planowana s</w:t>
            </w:r>
            <w:r w:rsidRPr="00795F17">
              <w:t>ieć monitoringu 2022</w:t>
            </w:r>
            <w:r>
              <w:t>–</w:t>
            </w:r>
            <w:r w:rsidRPr="00795F17">
              <w:t xml:space="preserve">2027 </w:t>
            </w:r>
            <w:r w:rsidR="00DF005E">
              <w:t>JCWP</w:t>
            </w:r>
            <w:r w:rsidRPr="00795F17">
              <w:t xml:space="preserve"> LW </w:t>
            </w:r>
          </w:p>
        </w:tc>
      </w:tr>
      <w:tr w:rsidR="0044100A" w:rsidRPr="00795F17" w14:paraId="060432FC" w14:textId="77777777" w:rsidTr="00A10B90">
        <w:trPr>
          <w:trHeight w:val="454"/>
        </w:trPr>
        <w:tc>
          <w:tcPr>
            <w:tcW w:w="2547" w:type="dxa"/>
            <w:shd w:val="clear" w:color="auto" w:fill="BFBFBF" w:themeFill="background1" w:themeFillShade="BF"/>
            <w:vAlign w:val="center"/>
          </w:tcPr>
          <w:p w14:paraId="1C55E5A4" w14:textId="0B3D07B2" w:rsidR="0044100A" w:rsidRPr="0044100A" w:rsidRDefault="0044100A" w:rsidP="0044100A">
            <w:pPr>
              <w:pStyle w:val="Wykazskrotowbold"/>
            </w:pPr>
            <w:r w:rsidRPr="0044100A">
              <w:rPr>
                <w:rFonts w:ascii="Calibri" w:hAnsi="Calibri"/>
              </w:rPr>
              <w:t>Załącznik graficzny nr 14</w:t>
            </w:r>
          </w:p>
        </w:tc>
        <w:tc>
          <w:tcPr>
            <w:tcW w:w="6515" w:type="dxa"/>
            <w:shd w:val="clear" w:color="auto" w:fill="auto"/>
            <w:vAlign w:val="center"/>
          </w:tcPr>
          <w:p w14:paraId="26578132" w14:textId="0F906328" w:rsidR="0044100A" w:rsidRPr="00795F17" w:rsidRDefault="0044100A" w:rsidP="0044100A">
            <w:pPr>
              <w:pStyle w:val="Wykazskrotow"/>
            </w:pPr>
            <w:r>
              <w:t>Planowana s</w:t>
            </w:r>
            <w:r w:rsidRPr="00795F17">
              <w:t>ieć monitoringu 2022</w:t>
            </w:r>
            <w:r>
              <w:t>–</w:t>
            </w:r>
            <w:r w:rsidRPr="00795F17">
              <w:t xml:space="preserve">2027 </w:t>
            </w:r>
            <w:r w:rsidR="00DF005E">
              <w:t>JCWP</w:t>
            </w:r>
            <w:r w:rsidRPr="00795F17">
              <w:t xml:space="preserve"> TW i CW </w:t>
            </w:r>
          </w:p>
        </w:tc>
      </w:tr>
      <w:tr w:rsidR="0044100A" w:rsidRPr="00795F17" w14:paraId="20719726" w14:textId="77777777" w:rsidTr="00A10B90">
        <w:trPr>
          <w:trHeight w:val="454"/>
        </w:trPr>
        <w:tc>
          <w:tcPr>
            <w:tcW w:w="2547" w:type="dxa"/>
            <w:shd w:val="clear" w:color="auto" w:fill="BFBFBF" w:themeFill="background1" w:themeFillShade="BF"/>
            <w:vAlign w:val="center"/>
          </w:tcPr>
          <w:p w14:paraId="6A249C86" w14:textId="6976841A" w:rsidR="0044100A" w:rsidRPr="0044100A" w:rsidRDefault="0044100A" w:rsidP="0044100A">
            <w:pPr>
              <w:pStyle w:val="Wykazskrotowbold"/>
            </w:pPr>
            <w:r w:rsidRPr="0044100A">
              <w:rPr>
                <w:rFonts w:ascii="Calibri" w:hAnsi="Calibri"/>
              </w:rPr>
              <w:t>Załącznik graficzny nr 15</w:t>
            </w:r>
          </w:p>
        </w:tc>
        <w:tc>
          <w:tcPr>
            <w:tcW w:w="6515" w:type="dxa"/>
            <w:shd w:val="clear" w:color="auto" w:fill="auto"/>
            <w:vAlign w:val="center"/>
          </w:tcPr>
          <w:p w14:paraId="1995BC9D" w14:textId="66B857E3" w:rsidR="0044100A" w:rsidRPr="00795F17" w:rsidRDefault="0044100A" w:rsidP="0044100A">
            <w:pPr>
              <w:pStyle w:val="Wykazskrotow"/>
            </w:pPr>
            <w:r>
              <w:t>Planowana s</w:t>
            </w:r>
            <w:r w:rsidRPr="00795F17">
              <w:t xml:space="preserve">ieć monitoringu </w:t>
            </w:r>
            <w:r>
              <w:t xml:space="preserve">2022–2027 </w:t>
            </w:r>
            <w:r w:rsidR="00DF005E">
              <w:t>JCWP</w:t>
            </w:r>
            <w:r w:rsidRPr="00795F17">
              <w:t xml:space="preserve">d </w:t>
            </w:r>
          </w:p>
        </w:tc>
      </w:tr>
      <w:tr w:rsidR="0044100A" w:rsidRPr="00795F17" w14:paraId="16413D55" w14:textId="77777777" w:rsidTr="00A10B90">
        <w:trPr>
          <w:trHeight w:val="454"/>
        </w:trPr>
        <w:tc>
          <w:tcPr>
            <w:tcW w:w="2547" w:type="dxa"/>
            <w:shd w:val="clear" w:color="auto" w:fill="BFBFBF" w:themeFill="background1" w:themeFillShade="BF"/>
            <w:vAlign w:val="center"/>
          </w:tcPr>
          <w:p w14:paraId="637C9890" w14:textId="3B472CCC" w:rsidR="0044100A" w:rsidRPr="0044100A" w:rsidRDefault="0044100A" w:rsidP="0044100A">
            <w:pPr>
              <w:pStyle w:val="Wykazskrotowbold"/>
            </w:pPr>
            <w:r w:rsidRPr="0044100A">
              <w:rPr>
                <w:rFonts w:ascii="Calibri" w:hAnsi="Calibri"/>
              </w:rPr>
              <w:t>Załącznik graficzny nr 16</w:t>
            </w:r>
          </w:p>
        </w:tc>
        <w:tc>
          <w:tcPr>
            <w:tcW w:w="6515" w:type="dxa"/>
            <w:shd w:val="clear" w:color="auto" w:fill="auto"/>
            <w:vAlign w:val="center"/>
          </w:tcPr>
          <w:p w14:paraId="3DF5B583" w14:textId="6AC74CCA" w:rsidR="0044100A" w:rsidRPr="00795F17" w:rsidRDefault="0044100A" w:rsidP="0044100A">
            <w:pPr>
              <w:pStyle w:val="Wykazskrotow"/>
            </w:pPr>
            <w:r w:rsidRPr="00795F17">
              <w:t>Stan/potencjał ekologiczny RW (</w:t>
            </w:r>
            <w:r w:rsidR="00DF005E">
              <w:t>r.kl.jcwp</w:t>
            </w:r>
            <w:r w:rsidRPr="00795F17">
              <w:t xml:space="preserve"> do 2022</w:t>
            </w:r>
            <w:r>
              <w:rPr>
                <w:rFonts w:cstheme="minorHAnsi"/>
              </w:rPr>
              <w:t xml:space="preserve"> r.</w:t>
            </w:r>
            <w:r w:rsidRPr="00795F17">
              <w:t xml:space="preserve">) </w:t>
            </w:r>
          </w:p>
        </w:tc>
      </w:tr>
      <w:tr w:rsidR="0044100A" w:rsidRPr="00795F17" w14:paraId="5AE71C2E" w14:textId="77777777" w:rsidTr="00A10B90">
        <w:trPr>
          <w:trHeight w:val="454"/>
        </w:trPr>
        <w:tc>
          <w:tcPr>
            <w:tcW w:w="2547" w:type="dxa"/>
            <w:shd w:val="clear" w:color="auto" w:fill="BFBFBF" w:themeFill="background1" w:themeFillShade="BF"/>
            <w:vAlign w:val="center"/>
          </w:tcPr>
          <w:p w14:paraId="5FDA9814" w14:textId="553129B8" w:rsidR="0044100A" w:rsidRPr="0044100A" w:rsidRDefault="0044100A" w:rsidP="0044100A">
            <w:pPr>
              <w:pStyle w:val="Wykazskrotowbold"/>
            </w:pPr>
            <w:r w:rsidRPr="0044100A">
              <w:rPr>
                <w:rFonts w:ascii="Calibri" w:hAnsi="Calibri"/>
              </w:rPr>
              <w:t>Załącznik graficzny nr 17</w:t>
            </w:r>
          </w:p>
        </w:tc>
        <w:tc>
          <w:tcPr>
            <w:tcW w:w="6515" w:type="dxa"/>
            <w:shd w:val="clear" w:color="auto" w:fill="auto"/>
            <w:vAlign w:val="center"/>
          </w:tcPr>
          <w:p w14:paraId="60092BED" w14:textId="112C2636" w:rsidR="0044100A" w:rsidRPr="00795F17" w:rsidRDefault="0044100A" w:rsidP="0044100A">
            <w:pPr>
              <w:pStyle w:val="Wykazskrotow"/>
            </w:pPr>
            <w:r w:rsidRPr="00795F17">
              <w:t>Stan/potencjał ekologiczny LW (</w:t>
            </w:r>
            <w:r w:rsidR="00DF005E">
              <w:t>r.kl.jcwp</w:t>
            </w:r>
            <w:r w:rsidRPr="00795F17">
              <w:t xml:space="preserve"> do 2022</w:t>
            </w:r>
            <w:r>
              <w:rPr>
                <w:rFonts w:cstheme="minorHAnsi"/>
              </w:rPr>
              <w:t xml:space="preserve"> r.</w:t>
            </w:r>
            <w:r w:rsidRPr="00795F17">
              <w:t xml:space="preserve">) </w:t>
            </w:r>
          </w:p>
        </w:tc>
      </w:tr>
      <w:tr w:rsidR="0044100A" w:rsidRPr="00795F17" w14:paraId="2B6A50FE" w14:textId="77777777" w:rsidTr="00A10B90">
        <w:trPr>
          <w:trHeight w:val="454"/>
        </w:trPr>
        <w:tc>
          <w:tcPr>
            <w:tcW w:w="2547" w:type="dxa"/>
            <w:shd w:val="clear" w:color="auto" w:fill="BFBFBF" w:themeFill="background1" w:themeFillShade="BF"/>
            <w:vAlign w:val="center"/>
          </w:tcPr>
          <w:p w14:paraId="6F30FEEE" w14:textId="41C49554" w:rsidR="0044100A" w:rsidRPr="0044100A" w:rsidRDefault="0044100A" w:rsidP="0044100A">
            <w:pPr>
              <w:pStyle w:val="Wykazskrotowbold"/>
            </w:pPr>
            <w:r w:rsidRPr="0044100A">
              <w:rPr>
                <w:rFonts w:ascii="Calibri" w:hAnsi="Calibri"/>
              </w:rPr>
              <w:t>Załącznik graficzny nr 18</w:t>
            </w:r>
          </w:p>
        </w:tc>
        <w:tc>
          <w:tcPr>
            <w:tcW w:w="6515" w:type="dxa"/>
            <w:shd w:val="clear" w:color="auto" w:fill="auto"/>
            <w:vAlign w:val="center"/>
          </w:tcPr>
          <w:p w14:paraId="45B0D1B8" w14:textId="76D0EFDE" w:rsidR="0044100A" w:rsidRPr="00795F17" w:rsidRDefault="0044100A" w:rsidP="0044100A">
            <w:pPr>
              <w:pStyle w:val="Wykazskrotow"/>
            </w:pPr>
            <w:r>
              <w:t>P</w:t>
            </w:r>
            <w:r w:rsidRPr="00795F17">
              <w:t>otencjał ekologiczny RWr (</w:t>
            </w:r>
            <w:r w:rsidR="00DF005E">
              <w:t>r.kl.jcwp</w:t>
            </w:r>
            <w:r w:rsidRPr="00795F17">
              <w:t xml:space="preserve"> do 2022</w:t>
            </w:r>
            <w:r>
              <w:rPr>
                <w:rFonts w:cstheme="minorHAnsi"/>
              </w:rPr>
              <w:t xml:space="preserve"> r.</w:t>
            </w:r>
            <w:r w:rsidRPr="00795F17">
              <w:t xml:space="preserve">) </w:t>
            </w:r>
          </w:p>
        </w:tc>
      </w:tr>
      <w:tr w:rsidR="0044100A" w:rsidRPr="00795F17" w14:paraId="65FA5C7F" w14:textId="77777777" w:rsidTr="00A10B90">
        <w:trPr>
          <w:trHeight w:val="454"/>
        </w:trPr>
        <w:tc>
          <w:tcPr>
            <w:tcW w:w="2547" w:type="dxa"/>
            <w:shd w:val="clear" w:color="auto" w:fill="BFBFBF" w:themeFill="background1" w:themeFillShade="BF"/>
            <w:vAlign w:val="center"/>
          </w:tcPr>
          <w:p w14:paraId="28B1EF40" w14:textId="2A3B22C4" w:rsidR="0044100A" w:rsidRPr="0044100A" w:rsidRDefault="0044100A" w:rsidP="0044100A">
            <w:pPr>
              <w:pStyle w:val="Wykazskrotowbold"/>
            </w:pPr>
            <w:r w:rsidRPr="0044100A">
              <w:rPr>
                <w:rFonts w:ascii="Calibri" w:hAnsi="Calibri"/>
              </w:rPr>
              <w:t>Załącznik graficzny nr 19</w:t>
            </w:r>
          </w:p>
        </w:tc>
        <w:tc>
          <w:tcPr>
            <w:tcW w:w="6515" w:type="dxa"/>
            <w:shd w:val="clear" w:color="auto" w:fill="auto"/>
            <w:vAlign w:val="center"/>
          </w:tcPr>
          <w:p w14:paraId="4D342EF5" w14:textId="3522917A" w:rsidR="0044100A" w:rsidRPr="00795F17" w:rsidRDefault="0044100A" w:rsidP="0044100A">
            <w:pPr>
              <w:pStyle w:val="Wykazskrotow"/>
            </w:pPr>
            <w:r w:rsidRPr="00795F17">
              <w:t>Stan ekologiczny TW i CW (</w:t>
            </w:r>
            <w:r w:rsidR="00DF005E">
              <w:t>r.kl.jcwp</w:t>
            </w:r>
            <w:r w:rsidRPr="00795F17">
              <w:t xml:space="preserve"> do 2022</w:t>
            </w:r>
            <w:r>
              <w:rPr>
                <w:rFonts w:cstheme="minorHAnsi"/>
              </w:rPr>
              <w:t xml:space="preserve"> r.</w:t>
            </w:r>
            <w:r w:rsidRPr="00795F17">
              <w:t xml:space="preserve">) </w:t>
            </w:r>
          </w:p>
        </w:tc>
      </w:tr>
      <w:tr w:rsidR="0044100A" w:rsidRPr="00795F17" w14:paraId="5B785FFA" w14:textId="77777777" w:rsidTr="00A10B90">
        <w:trPr>
          <w:trHeight w:val="454"/>
        </w:trPr>
        <w:tc>
          <w:tcPr>
            <w:tcW w:w="2547" w:type="dxa"/>
            <w:shd w:val="clear" w:color="auto" w:fill="BFBFBF" w:themeFill="background1" w:themeFillShade="BF"/>
            <w:vAlign w:val="center"/>
          </w:tcPr>
          <w:p w14:paraId="16BC2EAF" w14:textId="6B82A8C1" w:rsidR="0044100A" w:rsidRPr="0044100A" w:rsidRDefault="0044100A" w:rsidP="0044100A">
            <w:pPr>
              <w:pStyle w:val="Wykazskrotowbold"/>
            </w:pPr>
            <w:r w:rsidRPr="0044100A">
              <w:rPr>
                <w:rFonts w:ascii="Calibri" w:hAnsi="Calibri"/>
              </w:rPr>
              <w:t>Załącznik graficzny nr 20</w:t>
            </w:r>
          </w:p>
        </w:tc>
        <w:tc>
          <w:tcPr>
            <w:tcW w:w="6515" w:type="dxa"/>
            <w:shd w:val="clear" w:color="auto" w:fill="auto"/>
            <w:vAlign w:val="center"/>
          </w:tcPr>
          <w:p w14:paraId="4C57B2EF" w14:textId="7F7716E2" w:rsidR="0044100A" w:rsidRPr="00795F17" w:rsidRDefault="0044100A" w:rsidP="0044100A">
            <w:pPr>
              <w:pStyle w:val="Wykazskrotow"/>
            </w:pPr>
            <w:r w:rsidRPr="00795F17">
              <w:t>Stan/potencjał ekologiczny RW (</w:t>
            </w:r>
            <w:r w:rsidR="00DF005E">
              <w:t>r.kl.jcwp</w:t>
            </w:r>
            <w:r w:rsidRPr="00795F17">
              <w:t xml:space="preserve"> od 2022 </w:t>
            </w:r>
            <w:r>
              <w:t xml:space="preserve">r. </w:t>
            </w:r>
            <w:r w:rsidRPr="00795F17">
              <w:t xml:space="preserve">ocena ekspercka) </w:t>
            </w:r>
          </w:p>
        </w:tc>
      </w:tr>
      <w:tr w:rsidR="0044100A" w:rsidRPr="00795F17" w14:paraId="53CD018A" w14:textId="77777777" w:rsidTr="00A10B90">
        <w:trPr>
          <w:trHeight w:val="454"/>
        </w:trPr>
        <w:tc>
          <w:tcPr>
            <w:tcW w:w="2547" w:type="dxa"/>
            <w:shd w:val="clear" w:color="auto" w:fill="BFBFBF" w:themeFill="background1" w:themeFillShade="BF"/>
            <w:vAlign w:val="center"/>
          </w:tcPr>
          <w:p w14:paraId="3406DBE7" w14:textId="66564312" w:rsidR="0044100A" w:rsidRPr="0044100A" w:rsidRDefault="0044100A" w:rsidP="0044100A">
            <w:pPr>
              <w:pStyle w:val="Wykazskrotowbold"/>
            </w:pPr>
            <w:r w:rsidRPr="0044100A">
              <w:rPr>
                <w:rFonts w:ascii="Calibri" w:hAnsi="Calibri"/>
              </w:rPr>
              <w:t>Załącznik graficzny nr 21</w:t>
            </w:r>
          </w:p>
        </w:tc>
        <w:tc>
          <w:tcPr>
            <w:tcW w:w="6515" w:type="dxa"/>
            <w:shd w:val="clear" w:color="auto" w:fill="auto"/>
            <w:vAlign w:val="center"/>
          </w:tcPr>
          <w:p w14:paraId="062EFDD8" w14:textId="5A1F0AAA" w:rsidR="0044100A" w:rsidRPr="00795F17" w:rsidRDefault="0044100A" w:rsidP="0044100A">
            <w:pPr>
              <w:pStyle w:val="Wykazskrotow"/>
            </w:pPr>
            <w:r>
              <w:t>P</w:t>
            </w:r>
            <w:r w:rsidRPr="00795F17">
              <w:t>otencjał ekologiczny RWr (</w:t>
            </w:r>
            <w:r w:rsidR="00DF005E">
              <w:t>r.kl.jcwp</w:t>
            </w:r>
            <w:r w:rsidRPr="00795F17">
              <w:t xml:space="preserve"> od 2022 </w:t>
            </w:r>
            <w:r>
              <w:t xml:space="preserve">r. </w:t>
            </w:r>
            <w:r w:rsidRPr="00795F17">
              <w:t xml:space="preserve">ocena ekspercka) </w:t>
            </w:r>
          </w:p>
        </w:tc>
      </w:tr>
      <w:tr w:rsidR="0044100A" w:rsidRPr="00795F17" w14:paraId="6CECC43E" w14:textId="77777777" w:rsidTr="00A10B90">
        <w:trPr>
          <w:trHeight w:val="454"/>
        </w:trPr>
        <w:tc>
          <w:tcPr>
            <w:tcW w:w="2547" w:type="dxa"/>
            <w:shd w:val="clear" w:color="auto" w:fill="BFBFBF" w:themeFill="background1" w:themeFillShade="BF"/>
            <w:vAlign w:val="center"/>
          </w:tcPr>
          <w:p w14:paraId="7AC0DC34" w14:textId="4A553160" w:rsidR="0044100A" w:rsidRPr="0044100A" w:rsidRDefault="0044100A" w:rsidP="0044100A">
            <w:pPr>
              <w:pStyle w:val="Wykazskrotowbold"/>
            </w:pPr>
            <w:r w:rsidRPr="0044100A">
              <w:rPr>
                <w:rFonts w:ascii="Calibri" w:hAnsi="Calibri"/>
              </w:rPr>
              <w:t>Załącznik graficzny nr 22</w:t>
            </w:r>
          </w:p>
        </w:tc>
        <w:tc>
          <w:tcPr>
            <w:tcW w:w="6515" w:type="dxa"/>
            <w:shd w:val="clear" w:color="auto" w:fill="auto"/>
            <w:vAlign w:val="center"/>
          </w:tcPr>
          <w:p w14:paraId="53CCA542" w14:textId="4DBAC261" w:rsidR="0044100A" w:rsidRPr="00795F17" w:rsidRDefault="0044100A" w:rsidP="0044100A">
            <w:pPr>
              <w:pStyle w:val="Wykazskrotow"/>
            </w:pPr>
            <w:r w:rsidRPr="00795F17">
              <w:t>Stan/potencjał ekologiczny LW (</w:t>
            </w:r>
            <w:r w:rsidR="00DF005E">
              <w:t>r.kl.jcwp</w:t>
            </w:r>
            <w:r w:rsidRPr="00795F17">
              <w:t xml:space="preserve"> od 2022 </w:t>
            </w:r>
            <w:r>
              <w:t xml:space="preserve">r. </w:t>
            </w:r>
            <w:r w:rsidRPr="00795F17">
              <w:t xml:space="preserve">ocena ekspercka) </w:t>
            </w:r>
          </w:p>
        </w:tc>
      </w:tr>
      <w:tr w:rsidR="0044100A" w:rsidRPr="00795F17" w14:paraId="70E487AC" w14:textId="77777777" w:rsidTr="00A10B90">
        <w:trPr>
          <w:trHeight w:val="454"/>
        </w:trPr>
        <w:tc>
          <w:tcPr>
            <w:tcW w:w="2547" w:type="dxa"/>
            <w:shd w:val="clear" w:color="auto" w:fill="BFBFBF" w:themeFill="background1" w:themeFillShade="BF"/>
            <w:vAlign w:val="center"/>
          </w:tcPr>
          <w:p w14:paraId="5231749C" w14:textId="523BC9AD" w:rsidR="0044100A" w:rsidRPr="0044100A" w:rsidRDefault="0044100A" w:rsidP="0044100A">
            <w:pPr>
              <w:pStyle w:val="Wykazskrotowbold"/>
            </w:pPr>
            <w:r w:rsidRPr="0044100A">
              <w:rPr>
                <w:rFonts w:ascii="Calibri" w:hAnsi="Calibri"/>
              </w:rPr>
              <w:t>Załącznik graficzny nr 23</w:t>
            </w:r>
          </w:p>
        </w:tc>
        <w:tc>
          <w:tcPr>
            <w:tcW w:w="6515" w:type="dxa"/>
            <w:shd w:val="clear" w:color="auto" w:fill="auto"/>
            <w:vAlign w:val="center"/>
          </w:tcPr>
          <w:p w14:paraId="4E5368B3" w14:textId="2C93CE4D" w:rsidR="0044100A" w:rsidRPr="00795F17" w:rsidRDefault="0044100A" w:rsidP="0044100A">
            <w:pPr>
              <w:pStyle w:val="Wykazskrotow"/>
            </w:pPr>
            <w:r w:rsidRPr="00795F17">
              <w:t>Stan ekologiczny TW i CW (</w:t>
            </w:r>
            <w:r w:rsidR="00DF005E">
              <w:t>r.kl.jcwp</w:t>
            </w:r>
            <w:r w:rsidRPr="00795F17">
              <w:t xml:space="preserve"> od 2022</w:t>
            </w:r>
            <w:r>
              <w:t xml:space="preserve"> r.</w:t>
            </w:r>
            <w:r w:rsidRPr="00795F17">
              <w:t xml:space="preserve">) </w:t>
            </w:r>
          </w:p>
        </w:tc>
      </w:tr>
      <w:tr w:rsidR="0044100A" w:rsidRPr="00795F17" w14:paraId="2468F003" w14:textId="77777777" w:rsidTr="00A10B90">
        <w:trPr>
          <w:trHeight w:val="454"/>
        </w:trPr>
        <w:tc>
          <w:tcPr>
            <w:tcW w:w="2547" w:type="dxa"/>
            <w:shd w:val="clear" w:color="auto" w:fill="BFBFBF" w:themeFill="background1" w:themeFillShade="BF"/>
            <w:vAlign w:val="center"/>
          </w:tcPr>
          <w:p w14:paraId="7E969D72" w14:textId="63F71C1E" w:rsidR="0044100A" w:rsidRPr="0044100A" w:rsidRDefault="0044100A" w:rsidP="0044100A">
            <w:pPr>
              <w:pStyle w:val="Wykazskrotowbold"/>
            </w:pPr>
            <w:r w:rsidRPr="0044100A">
              <w:rPr>
                <w:rFonts w:ascii="Calibri" w:hAnsi="Calibri"/>
              </w:rPr>
              <w:t>Załącznik graficzny nr 24</w:t>
            </w:r>
          </w:p>
        </w:tc>
        <w:tc>
          <w:tcPr>
            <w:tcW w:w="6515" w:type="dxa"/>
            <w:shd w:val="clear" w:color="auto" w:fill="auto"/>
            <w:vAlign w:val="center"/>
          </w:tcPr>
          <w:p w14:paraId="73231852" w14:textId="5EF45F3D" w:rsidR="0044100A" w:rsidRPr="00795F17" w:rsidRDefault="0044100A" w:rsidP="0044100A">
            <w:pPr>
              <w:pStyle w:val="Wykazskrotow"/>
            </w:pPr>
            <w:r w:rsidRPr="00795F17">
              <w:t>Stan chemiczny RW (</w:t>
            </w:r>
            <w:r w:rsidR="00DF005E">
              <w:t>r.kl.jcwp</w:t>
            </w:r>
            <w:r w:rsidRPr="00795F17">
              <w:t xml:space="preserve"> do 2022</w:t>
            </w:r>
            <w:r>
              <w:t xml:space="preserve"> r.</w:t>
            </w:r>
            <w:r w:rsidRPr="00795F17">
              <w:t xml:space="preserve">) </w:t>
            </w:r>
          </w:p>
        </w:tc>
      </w:tr>
      <w:tr w:rsidR="0044100A" w:rsidRPr="00795F17" w14:paraId="78DDEEC9" w14:textId="77777777" w:rsidTr="00A10B90">
        <w:trPr>
          <w:trHeight w:val="454"/>
        </w:trPr>
        <w:tc>
          <w:tcPr>
            <w:tcW w:w="2547" w:type="dxa"/>
            <w:shd w:val="clear" w:color="auto" w:fill="BFBFBF" w:themeFill="background1" w:themeFillShade="BF"/>
            <w:vAlign w:val="center"/>
          </w:tcPr>
          <w:p w14:paraId="68CC5E0E" w14:textId="575ED3FE" w:rsidR="0044100A" w:rsidRPr="0044100A" w:rsidRDefault="0044100A" w:rsidP="0044100A">
            <w:pPr>
              <w:pStyle w:val="Wykazskrotowbold"/>
            </w:pPr>
            <w:r w:rsidRPr="0044100A">
              <w:rPr>
                <w:rFonts w:ascii="Calibri" w:hAnsi="Calibri"/>
              </w:rPr>
              <w:t>Załącznik graficzny nr 25</w:t>
            </w:r>
          </w:p>
        </w:tc>
        <w:tc>
          <w:tcPr>
            <w:tcW w:w="6515" w:type="dxa"/>
            <w:shd w:val="clear" w:color="auto" w:fill="auto"/>
            <w:vAlign w:val="center"/>
          </w:tcPr>
          <w:p w14:paraId="03413D6B" w14:textId="10E1D61A" w:rsidR="0044100A" w:rsidRPr="00795F17" w:rsidRDefault="0044100A" w:rsidP="0044100A">
            <w:pPr>
              <w:pStyle w:val="Wykazskrotow"/>
            </w:pPr>
            <w:r w:rsidRPr="00795F17">
              <w:t>Stan chemiczny RWr (</w:t>
            </w:r>
            <w:r w:rsidR="00DF005E">
              <w:t>r.kl.jcwp</w:t>
            </w:r>
            <w:r w:rsidRPr="00795F17">
              <w:t xml:space="preserve"> do 2022</w:t>
            </w:r>
            <w:r>
              <w:t xml:space="preserve"> r.</w:t>
            </w:r>
            <w:r w:rsidRPr="00795F17">
              <w:t xml:space="preserve">) </w:t>
            </w:r>
          </w:p>
        </w:tc>
      </w:tr>
      <w:tr w:rsidR="0044100A" w:rsidRPr="00795F17" w14:paraId="65101021" w14:textId="77777777" w:rsidTr="00A10B90">
        <w:trPr>
          <w:trHeight w:val="454"/>
        </w:trPr>
        <w:tc>
          <w:tcPr>
            <w:tcW w:w="2547" w:type="dxa"/>
            <w:shd w:val="clear" w:color="auto" w:fill="BFBFBF" w:themeFill="background1" w:themeFillShade="BF"/>
            <w:vAlign w:val="center"/>
          </w:tcPr>
          <w:p w14:paraId="751E88B5" w14:textId="12648446" w:rsidR="0044100A" w:rsidRPr="0044100A" w:rsidRDefault="0044100A" w:rsidP="0044100A">
            <w:pPr>
              <w:pStyle w:val="Wykazskrotowbold"/>
            </w:pPr>
            <w:r w:rsidRPr="0044100A">
              <w:rPr>
                <w:rFonts w:ascii="Calibri" w:hAnsi="Calibri"/>
              </w:rPr>
              <w:t>Załącznik graficzny nr 26</w:t>
            </w:r>
          </w:p>
        </w:tc>
        <w:tc>
          <w:tcPr>
            <w:tcW w:w="6515" w:type="dxa"/>
            <w:shd w:val="clear" w:color="auto" w:fill="auto"/>
            <w:vAlign w:val="center"/>
          </w:tcPr>
          <w:p w14:paraId="2F6F8A0E" w14:textId="10694721" w:rsidR="0044100A" w:rsidRPr="00795F17" w:rsidRDefault="0044100A" w:rsidP="0044100A">
            <w:pPr>
              <w:pStyle w:val="Wykazskrotow"/>
            </w:pPr>
            <w:r w:rsidRPr="00795F17">
              <w:t>Stan chemiczny LW (</w:t>
            </w:r>
            <w:r w:rsidR="00DF005E">
              <w:t>r.kl.jcwp</w:t>
            </w:r>
            <w:r w:rsidRPr="00795F17">
              <w:t xml:space="preserve"> do 2022</w:t>
            </w:r>
            <w:r>
              <w:t xml:space="preserve"> r.</w:t>
            </w:r>
            <w:r w:rsidRPr="00795F17">
              <w:t xml:space="preserve">) </w:t>
            </w:r>
          </w:p>
        </w:tc>
      </w:tr>
      <w:tr w:rsidR="0044100A" w:rsidRPr="00795F17" w14:paraId="6819BF40" w14:textId="77777777" w:rsidTr="00A10B90">
        <w:trPr>
          <w:trHeight w:val="454"/>
        </w:trPr>
        <w:tc>
          <w:tcPr>
            <w:tcW w:w="2547" w:type="dxa"/>
            <w:shd w:val="clear" w:color="auto" w:fill="BFBFBF" w:themeFill="background1" w:themeFillShade="BF"/>
            <w:vAlign w:val="center"/>
          </w:tcPr>
          <w:p w14:paraId="3447A20C" w14:textId="052FF490" w:rsidR="0044100A" w:rsidRPr="0044100A" w:rsidRDefault="0044100A" w:rsidP="0044100A">
            <w:pPr>
              <w:pStyle w:val="Wykazskrotowbold"/>
            </w:pPr>
            <w:r w:rsidRPr="0044100A">
              <w:rPr>
                <w:rFonts w:ascii="Calibri" w:hAnsi="Calibri"/>
              </w:rPr>
              <w:t>Załącznik graficzny nr 27</w:t>
            </w:r>
          </w:p>
        </w:tc>
        <w:tc>
          <w:tcPr>
            <w:tcW w:w="6515" w:type="dxa"/>
            <w:shd w:val="clear" w:color="auto" w:fill="auto"/>
            <w:vAlign w:val="center"/>
          </w:tcPr>
          <w:p w14:paraId="3B207AF4" w14:textId="25330A3B" w:rsidR="0044100A" w:rsidRPr="00795F17" w:rsidRDefault="0044100A" w:rsidP="0044100A">
            <w:pPr>
              <w:pStyle w:val="Wykazskrotow"/>
            </w:pPr>
            <w:r w:rsidRPr="00795F17">
              <w:t>Stan chemiczny TW i CW (</w:t>
            </w:r>
            <w:r w:rsidR="00DF005E">
              <w:t>r.kl.jcwp</w:t>
            </w:r>
            <w:r w:rsidRPr="00795F17">
              <w:t xml:space="preserve"> do 2022</w:t>
            </w:r>
            <w:r>
              <w:t xml:space="preserve"> r.</w:t>
            </w:r>
            <w:r w:rsidRPr="00795F17">
              <w:t xml:space="preserve">) </w:t>
            </w:r>
          </w:p>
        </w:tc>
      </w:tr>
      <w:tr w:rsidR="0044100A" w:rsidRPr="00795F17" w14:paraId="796125F8" w14:textId="77777777" w:rsidTr="00A10B90">
        <w:trPr>
          <w:trHeight w:val="454"/>
        </w:trPr>
        <w:tc>
          <w:tcPr>
            <w:tcW w:w="2547" w:type="dxa"/>
            <w:shd w:val="clear" w:color="auto" w:fill="BFBFBF" w:themeFill="background1" w:themeFillShade="BF"/>
            <w:vAlign w:val="center"/>
          </w:tcPr>
          <w:p w14:paraId="424BCCC5" w14:textId="11C88382" w:rsidR="0044100A" w:rsidRPr="0044100A" w:rsidRDefault="0044100A" w:rsidP="0044100A">
            <w:pPr>
              <w:pStyle w:val="Wykazskrotowbold"/>
            </w:pPr>
            <w:r w:rsidRPr="0044100A">
              <w:rPr>
                <w:rFonts w:ascii="Calibri" w:hAnsi="Calibri"/>
              </w:rPr>
              <w:t>Załącznik graficzny nr 28</w:t>
            </w:r>
          </w:p>
        </w:tc>
        <w:tc>
          <w:tcPr>
            <w:tcW w:w="6515" w:type="dxa"/>
            <w:shd w:val="clear" w:color="auto" w:fill="auto"/>
            <w:vAlign w:val="center"/>
          </w:tcPr>
          <w:p w14:paraId="70FB7269" w14:textId="009A19CD" w:rsidR="0044100A" w:rsidRPr="00795F17" w:rsidRDefault="0044100A" w:rsidP="0044100A">
            <w:pPr>
              <w:pStyle w:val="Wykazskrotow"/>
            </w:pPr>
            <w:r w:rsidRPr="00795F17">
              <w:t>Stan chemiczny RW (</w:t>
            </w:r>
            <w:r w:rsidR="00DF005E">
              <w:t>r.kl.jcwp</w:t>
            </w:r>
            <w:r w:rsidRPr="00795F17">
              <w:t xml:space="preserve"> od 2022 </w:t>
            </w:r>
            <w:r>
              <w:t xml:space="preserve">r. </w:t>
            </w:r>
            <w:r w:rsidRPr="00795F17">
              <w:t xml:space="preserve">ocena ekspercka) </w:t>
            </w:r>
          </w:p>
        </w:tc>
      </w:tr>
      <w:tr w:rsidR="0044100A" w:rsidRPr="00795F17" w14:paraId="2E75A5FA" w14:textId="77777777" w:rsidTr="00A10B90">
        <w:trPr>
          <w:trHeight w:val="454"/>
        </w:trPr>
        <w:tc>
          <w:tcPr>
            <w:tcW w:w="2547" w:type="dxa"/>
            <w:shd w:val="clear" w:color="auto" w:fill="BFBFBF" w:themeFill="background1" w:themeFillShade="BF"/>
            <w:vAlign w:val="center"/>
          </w:tcPr>
          <w:p w14:paraId="1EFA96CD" w14:textId="79BE1174" w:rsidR="0044100A" w:rsidRPr="0044100A" w:rsidRDefault="0044100A" w:rsidP="0044100A">
            <w:pPr>
              <w:pStyle w:val="Wykazskrotowbold"/>
            </w:pPr>
            <w:r w:rsidRPr="0044100A">
              <w:rPr>
                <w:rFonts w:ascii="Calibri" w:hAnsi="Calibri"/>
              </w:rPr>
              <w:t>Załącznik graficzny nr 29</w:t>
            </w:r>
          </w:p>
        </w:tc>
        <w:tc>
          <w:tcPr>
            <w:tcW w:w="6515" w:type="dxa"/>
            <w:shd w:val="clear" w:color="auto" w:fill="auto"/>
            <w:vAlign w:val="center"/>
          </w:tcPr>
          <w:p w14:paraId="0E780C1E" w14:textId="4E351401" w:rsidR="0044100A" w:rsidRPr="00795F17" w:rsidRDefault="0044100A" w:rsidP="0044100A">
            <w:pPr>
              <w:pStyle w:val="Wykazskrotow"/>
            </w:pPr>
            <w:r w:rsidRPr="00795F17">
              <w:t>Stan chemiczny RWr (</w:t>
            </w:r>
            <w:r w:rsidR="00DF005E">
              <w:t>r.kl.jcwp</w:t>
            </w:r>
            <w:r w:rsidRPr="00795F17">
              <w:t xml:space="preserve"> od 2022 </w:t>
            </w:r>
            <w:r>
              <w:t xml:space="preserve">r. </w:t>
            </w:r>
            <w:r w:rsidRPr="00795F17">
              <w:t xml:space="preserve">ocena ekspercka) </w:t>
            </w:r>
          </w:p>
        </w:tc>
      </w:tr>
      <w:tr w:rsidR="0044100A" w:rsidRPr="00795F17" w14:paraId="7DBAB358" w14:textId="77777777" w:rsidTr="00A10B90">
        <w:trPr>
          <w:trHeight w:val="454"/>
        </w:trPr>
        <w:tc>
          <w:tcPr>
            <w:tcW w:w="2547" w:type="dxa"/>
            <w:shd w:val="clear" w:color="auto" w:fill="BFBFBF" w:themeFill="background1" w:themeFillShade="BF"/>
            <w:vAlign w:val="center"/>
          </w:tcPr>
          <w:p w14:paraId="726D41CE" w14:textId="108068D2" w:rsidR="0044100A" w:rsidRPr="0044100A" w:rsidRDefault="0044100A" w:rsidP="0044100A">
            <w:pPr>
              <w:pStyle w:val="Wykazskrotowbold"/>
            </w:pPr>
            <w:r w:rsidRPr="0044100A">
              <w:rPr>
                <w:rFonts w:ascii="Calibri" w:hAnsi="Calibri"/>
              </w:rPr>
              <w:t>Załącznik graficzny nr 30</w:t>
            </w:r>
          </w:p>
        </w:tc>
        <w:tc>
          <w:tcPr>
            <w:tcW w:w="6515" w:type="dxa"/>
            <w:shd w:val="clear" w:color="auto" w:fill="auto"/>
            <w:vAlign w:val="center"/>
          </w:tcPr>
          <w:p w14:paraId="648281CE" w14:textId="61C98ED1" w:rsidR="0044100A" w:rsidRPr="00795F17" w:rsidRDefault="0044100A" w:rsidP="0044100A">
            <w:pPr>
              <w:pStyle w:val="Wykazskrotow"/>
            </w:pPr>
            <w:r w:rsidRPr="00795F17">
              <w:t>Stan chemiczny LW (</w:t>
            </w:r>
            <w:r w:rsidR="00DF005E">
              <w:t>r.kl.jcwp</w:t>
            </w:r>
            <w:r w:rsidRPr="00795F17">
              <w:t xml:space="preserve"> od 2022 </w:t>
            </w:r>
            <w:r>
              <w:t xml:space="preserve">r. </w:t>
            </w:r>
            <w:r w:rsidRPr="00795F17">
              <w:t xml:space="preserve">ocena ekspercka) </w:t>
            </w:r>
          </w:p>
        </w:tc>
      </w:tr>
      <w:tr w:rsidR="0044100A" w:rsidRPr="00795F17" w14:paraId="236A2018" w14:textId="77777777" w:rsidTr="00A10B90">
        <w:trPr>
          <w:trHeight w:val="454"/>
        </w:trPr>
        <w:tc>
          <w:tcPr>
            <w:tcW w:w="2547" w:type="dxa"/>
            <w:shd w:val="clear" w:color="auto" w:fill="BFBFBF" w:themeFill="background1" w:themeFillShade="BF"/>
            <w:vAlign w:val="center"/>
          </w:tcPr>
          <w:p w14:paraId="7E7F2C4E" w14:textId="63D804DD" w:rsidR="0044100A" w:rsidRPr="0044100A" w:rsidRDefault="0044100A" w:rsidP="0044100A">
            <w:pPr>
              <w:pStyle w:val="Wykazskrotowbold"/>
            </w:pPr>
            <w:r w:rsidRPr="0044100A">
              <w:rPr>
                <w:rFonts w:ascii="Calibri" w:hAnsi="Calibri"/>
              </w:rPr>
              <w:t>Załącznik graficzny nr 31</w:t>
            </w:r>
          </w:p>
        </w:tc>
        <w:tc>
          <w:tcPr>
            <w:tcW w:w="6515" w:type="dxa"/>
            <w:shd w:val="clear" w:color="auto" w:fill="auto"/>
            <w:vAlign w:val="center"/>
          </w:tcPr>
          <w:p w14:paraId="6FD3978E" w14:textId="11747972" w:rsidR="0044100A" w:rsidRPr="00795F17" w:rsidRDefault="0044100A" w:rsidP="0044100A">
            <w:pPr>
              <w:pStyle w:val="Wykazskrotow"/>
            </w:pPr>
            <w:r w:rsidRPr="00795F17">
              <w:t>Stan chemiczny TW i CW (</w:t>
            </w:r>
            <w:r w:rsidR="00DF005E">
              <w:t>r.kl.jcwp</w:t>
            </w:r>
            <w:r w:rsidRPr="00795F17">
              <w:t xml:space="preserve"> od 2022</w:t>
            </w:r>
            <w:r>
              <w:t xml:space="preserve"> r.</w:t>
            </w:r>
            <w:r w:rsidRPr="00795F17">
              <w:t xml:space="preserve">) </w:t>
            </w:r>
          </w:p>
        </w:tc>
      </w:tr>
      <w:tr w:rsidR="0044100A" w:rsidRPr="00795F17" w14:paraId="61E1CB51" w14:textId="77777777" w:rsidTr="00A10B90">
        <w:trPr>
          <w:trHeight w:val="454"/>
        </w:trPr>
        <w:tc>
          <w:tcPr>
            <w:tcW w:w="2547" w:type="dxa"/>
            <w:shd w:val="clear" w:color="auto" w:fill="BFBFBF" w:themeFill="background1" w:themeFillShade="BF"/>
            <w:vAlign w:val="center"/>
          </w:tcPr>
          <w:p w14:paraId="00E80289" w14:textId="2A462C3D" w:rsidR="0044100A" w:rsidRPr="0044100A" w:rsidRDefault="0044100A" w:rsidP="0044100A">
            <w:pPr>
              <w:pStyle w:val="Wykazskrotowbold"/>
            </w:pPr>
            <w:r w:rsidRPr="0044100A">
              <w:rPr>
                <w:rFonts w:ascii="Calibri" w:hAnsi="Calibri"/>
              </w:rPr>
              <w:t>Załącznik graficzny nr 32</w:t>
            </w:r>
          </w:p>
        </w:tc>
        <w:tc>
          <w:tcPr>
            <w:tcW w:w="6515" w:type="dxa"/>
            <w:shd w:val="clear" w:color="auto" w:fill="auto"/>
            <w:vAlign w:val="center"/>
          </w:tcPr>
          <w:p w14:paraId="5FB5F0BF" w14:textId="598FA477" w:rsidR="0044100A" w:rsidRPr="00795F17" w:rsidRDefault="0044100A" w:rsidP="0044100A">
            <w:pPr>
              <w:pStyle w:val="Wykazskrotow"/>
            </w:pPr>
            <w:r w:rsidRPr="00795F17">
              <w:t>Ocena stanu RW (</w:t>
            </w:r>
            <w:r w:rsidR="00DF005E">
              <w:t>r.kl.jcwp</w:t>
            </w:r>
            <w:r w:rsidRPr="00795F17">
              <w:t xml:space="preserve"> do 2022</w:t>
            </w:r>
            <w:r>
              <w:t xml:space="preserve"> r.</w:t>
            </w:r>
            <w:r w:rsidRPr="00795F17">
              <w:t xml:space="preserve">) </w:t>
            </w:r>
          </w:p>
        </w:tc>
      </w:tr>
      <w:tr w:rsidR="0044100A" w:rsidRPr="00795F17" w14:paraId="0350AF44" w14:textId="77777777" w:rsidTr="00A10B90">
        <w:trPr>
          <w:trHeight w:val="454"/>
        </w:trPr>
        <w:tc>
          <w:tcPr>
            <w:tcW w:w="2547" w:type="dxa"/>
            <w:shd w:val="clear" w:color="auto" w:fill="BFBFBF" w:themeFill="background1" w:themeFillShade="BF"/>
            <w:vAlign w:val="center"/>
          </w:tcPr>
          <w:p w14:paraId="2E41D85D" w14:textId="0461DC94" w:rsidR="0044100A" w:rsidRPr="0044100A" w:rsidRDefault="0044100A" w:rsidP="0044100A">
            <w:pPr>
              <w:pStyle w:val="Wykazskrotowbold"/>
            </w:pPr>
            <w:r w:rsidRPr="0044100A">
              <w:rPr>
                <w:rFonts w:ascii="Calibri" w:hAnsi="Calibri"/>
              </w:rPr>
              <w:t>Załącznik graficzny nr 33</w:t>
            </w:r>
          </w:p>
        </w:tc>
        <w:tc>
          <w:tcPr>
            <w:tcW w:w="6515" w:type="dxa"/>
            <w:shd w:val="clear" w:color="auto" w:fill="auto"/>
            <w:vAlign w:val="center"/>
          </w:tcPr>
          <w:p w14:paraId="2F163DE1" w14:textId="3DC892AD" w:rsidR="0044100A" w:rsidRPr="00795F17" w:rsidRDefault="0044100A" w:rsidP="0044100A">
            <w:pPr>
              <w:pStyle w:val="Wykazskrotow"/>
            </w:pPr>
            <w:r w:rsidRPr="00795F17">
              <w:t>Ocena stanu RWr (</w:t>
            </w:r>
            <w:r w:rsidR="00DF005E">
              <w:t>r.kl.jcwp</w:t>
            </w:r>
            <w:r w:rsidRPr="00795F17">
              <w:t xml:space="preserve"> do 2022</w:t>
            </w:r>
            <w:r>
              <w:t xml:space="preserve"> r.</w:t>
            </w:r>
            <w:r w:rsidRPr="00795F17">
              <w:t xml:space="preserve">) </w:t>
            </w:r>
          </w:p>
        </w:tc>
      </w:tr>
      <w:tr w:rsidR="0044100A" w:rsidRPr="00795F17" w14:paraId="3E7D48E0" w14:textId="77777777" w:rsidTr="00A10B90">
        <w:trPr>
          <w:trHeight w:val="454"/>
        </w:trPr>
        <w:tc>
          <w:tcPr>
            <w:tcW w:w="2547" w:type="dxa"/>
            <w:shd w:val="clear" w:color="auto" w:fill="BFBFBF" w:themeFill="background1" w:themeFillShade="BF"/>
            <w:vAlign w:val="center"/>
          </w:tcPr>
          <w:p w14:paraId="496084F7" w14:textId="79DF4461" w:rsidR="0044100A" w:rsidRPr="0044100A" w:rsidRDefault="0044100A" w:rsidP="0044100A">
            <w:pPr>
              <w:pStyle w:val="Wykazskrotowbold"/>
            </w:pPr>
            <w:r w:rsidRPr="0044100A">
              <w:rPr>
                <w:rFonts w:ascii="Calibri" w:hAnsi="Calibri"/>
              </w:rPr>
              <w:t>Załącznik graficzny nr 34</w:t>
            </w:r>
          </w:p>
        </w:tc>
        <w:tc>
          <w:tcPr>
            <w:tcW w:w="6515" w:type="dxa"/>
            <w:shd w:val="clear" w:color="auto" w:fill="auto"/>
            <w:vAlign w:val="center"/>
          </w:tcPr>
          <w:p w14:paraId="16D9D998" w14:textId="3D504856" w:rsidR="0044100A" w:rsidRPr="00795F17" w:rsidRDefault="0044100A" w:rsidP="0044100A">
            <w:pPr>
              <w:pStyle w:val="Wykazskrotow"/>
            </w:pPr>
            <w:r w:rsidRPr="00795F17">
              <w:t>Ocena stanu LW (</w:t>
            </w:r>
            <w:r w:rsidR="00DF005E">
              <w:t>r.kl.jcwp</w:t>
            </w:r>
            <w:r w:rsidRPr="00795F17">
              <w:t xml:space="preserve"> do 2022</w:t>
            </w:r>
            <w:r>
              <w:t xml:space="preserve"> r.</w:t>
            </w:r>
            <w:r w:rsidRPr="00795F17">
              <w:t xml:space="preserve">) </w:t>
            </w:r>
          </w:p>
        </w:tc>
      </w:tr>
      <w:tr w:rsidR="0044100A" w:rsidRPr="00795F17" w14:paraId="507857A0" w14:textId="77777777" w:rsidTr="00A10B90">
        <w:trPr>
          <w:trHeight w:val="454"/>
        </w:trPr>
        <w:tc>
          <w:tcPr>
            <w:tcW w:w="2547" w:type="dxa"/>
            <w:shd w:val="clear" w:color="auto" w:fill="BFBFBF" w:themeFill="background1" w:themeFillShade="BF"/>
            <w:vAlign w:val="center"/>
          </w:tcPr>
          <w:p w14:paraId="67619D1A" w14:textId="4C17683F" w:rsidR="0044100A" w:rsidRPr="0044100A" w:rsidRDefault="0044100A" w:rsidP="0044100A">
            <w:pPr>
              <w:pStyle w:val="Wykazskrotowbold"/>
            </w:pPr>
            <w:r w:rsidRPr="0044100A">
              <w:rPr>
                <w:rFonts w:ascii="Calibri" w:hAnsi="Calibri"/>
              </w:rPr>
              <w:t>Załącznik graficzny nr 35</w:t>
            </w:r>
          </w:p>
        </w:tc>
        <w:tc>
          <w:tcPr>
            <w:tcW w:w="6515" w:type="dxa"/>
            <w:shd w:val="clear" w:color="auto" w:fill="auto"/>
            <w:vAlign w:val="center"/>
          </w:tcPr>
          <w:p w14:paraId="26D4E595" w14:textId="6435847E" w:rsidR="0044100A" w:rsidRPr="00795F17" w:rsidRDefault="0044100A" w:rsidP="0044100A">
            <w:pPr>
              <w:pStyle w:val="Wykazskrotow"/>
            </w:pPr>
            <w:r w:rsidRPr="00795F17">
              <w:t>Ocena stanu TW i CW (</w:t>
            </w:r>
            <w:r w:rsidR="00DF005E">
              <w:t>r.kl.jcwp</w:t>
            </w:r>
            <w:r w:rsidRPr="00795F17">
              <w:t xml:space="preserve"> do 2022</w:t>
            </w:r>
            <w:r>
              <w:t xml:space="preserve"> r.</w:t>
            </w:r>
            <w:r w:rsidRPr="00795F17">
              <w:t xml:space="preserve">) </w:t>
            </w:r>
          </w:p>
        </w:tc>
      </w:tr>
      <w:tr w:rsidR="0044100A" w:rsidRPr="00795F17" w14:paraId="2DA43F54" w14:textId="77777777" w:rsidTr="00A10B90">
        <w:trPr>
          <w:trHeight w:val="454"/>
        </w:trPr>
        <w:tc>
          <w:tcPr>
            <w:tcW w:w="2547" w:type="dxa"/>
            <w:shd w:val="clear" w:color="auto" w:fill="BFBFBF" w:themeFill="background1" w:themeFillShade="BF"/>
            <w:vAlign w:val="center"/>
          </w:tcPr>
          <w:p w14:paraId="523D2D01" w14:textId="5EB6E321" w:rsidR="0044100A" w:rsidRPr="0044100A" w:rsidRDefault="0044100A" w:rsidP="0044100A">
            <w:pPr>
              <w:pStyle w:val="Wykazskrotowbold"/>
            </w:pPr>
            <w:r w:rsidRPr="0044100A">
              <w:rPr>
                <w:rFonts w:ascii="Calibri" w:hAnsi="Calibri"/>
              </w:rPr>
              <w:t>Załącznik graficzny nr 36</w:t>
            </w:r>
          </w:p>
        </w:tc>
        <w:tc>
          <w:tcPr>
            <w:tcW w:w="6515" w:type="dxa"/>
            <w:shd w:val="clear" w:color="auto" w:fill="auto"/>
            <w:vAlign w:val="center"/>
          </w:tcPr>
          <w:p w14:paraId="0FF463C5" w14:textId="5A3BD0CE" w:rsidR="0044100A" w:rsidRPr="00795F17" w:rsidRDefault="0044100A" w:rsidP="0044100A">
            <w:pPr>
              <w:pStyle w:val="Wykazskrotow"/>
            </w:pPr>
            <w:r w:rsidRPr="00795F17">
              <w:t>Ocena stanu RW (</w:t>
            </w:r>
            <w:r w:rsidR="00DF005E">
              <w:t>r.kl.jcwp</w:t>
            </w:r>
            <w:r w:rsidRPr="00795F17">
              <w:t xml:space="preserve"> od 2022 </w:t>
            </w:r>
            <w:r>
              <w:t xml:space="preserve">r. </w:t>
            </w:r>
            <w:r w:rsidRPr="00795F17">
              <w:t xml:space="preserve">ocena ekspercka) </w:t>
            </w:r>
          </w:p>
        </w:tc>
      </w:tr>
      <w:tr w:rsidR="0044100A" w:rsidRPr="00795F17" w14:paraId="3DCBAD2E" w14:textId="77777777" w:rsidTr="00A10B90">
        <w:trPr>
          <w:trHeight w:val="454"/>
        </w:trPr>
        <w:tc>
          <w:tcPr>
            <w:tcW w:w="2547" w:type="dxa"/>
            <w:shd w:val="clear" w:color="auto" w:fill="BFBFBF" w:themeFill="background1" w:themeFillShade="BF"/>
            <w:vAlign w:val="center"/>
          </w:tcPr>
          <w:p w14:paraId="111E4D4A" w14:textId="5810CCDD" w:rsidR="0044100A" w:rsidRPr="0044100A" w:rsidRDefault="0044100A" w:rsidP="0044100A">
            <w:pPr>
              <w:pStyle w:val="Wykazskrotowbold"/>
            </w:pPr>
            <w:r w:rsidRPr="0044100A">
              <w:rPr>
                <w:rFonts w:ascii="Calibri" w:hAnsi="Calibri"/>
              </w:rPr>
              <w:t>Załącznik graficzny nr 37</w:t>
            </w:r>
          </w:p>
        </w:tc>
        <w:tc>
          <w:tcPr>
            <w:tcW w:w="6515" w:type="dxa"/>
            <w:shd w:val="clear" w:color="auto" w:fill="auto"/>
            <w:vAlign w:val="center"/>
          </w:tcPr>
          <w:p w14:paraId="5287C634" w14:textId="2C993B96" w:rsidR="0044100A" w:rsidRPr="00795F17" w:rsidRDefault="0044100A" w:rsidP="0044100A">
            <w:pPr>
              <w:pStyle w:val="Wykazskrotow"/>
            </w:pPr>
            <w:r w:rsidRPr="00795F17">
              <w:t>Ocena stanu RWr (</w:t>
            </w:r>
            <w:r w:rsidR="00DF005E">
              <w:t>r.kl.jcwp</w:t>
            </w:r>
            <w:r w:rsidRPr="00795F17">
              <w:t xml:space="preserve"> od 2022 </w:t>
            </w:r>
            <w:r>
              <w:t xml:space="preserve">r. </w:t>
            </w:r>
            <w:r w:rsidRPr="00795F17">
              <w:t xml:space="preserve">ocena ekspercka) </w:t>
            </w:r>
          </w:p>
        </w:tc>
      </w:tr>
      <w:tr w:rsidR="0044100A" w:rsidRPr="00795F17" w14:paraId="5624C8D4" w14:textId="77777777" w:rsidTr="00A10B90">
        <w:trPr>
          <w:trHeight w:val="454"/>
        </w:trPr>
        <w:tc>
          <w:tcPr>
            <w:tcW w:w="2547" w:type="dxa"/>
            <w:shd w:val="clear" w:color="auto" w:fill="BFBFBF" w:themeFill="background1" w:themeFillShade="BF"/>
            <w:vAlign w:val="center"/>
          </w:tcPr>
          <w:p w14:paraId="49BF93F4" w14:textId="0EB6F1E9" w:rsidR="0044100A" w:rsidRPr="0044100A" w:rsidRDefault="0044100A" w:rsidP="0044100A">
            <w:pPr>
              <w:pStyle w:val="Wykazskrotowbold"/>
            </w:pPr>
            <w:r w:rsidRPr="0044100A">
              <w:rPr>
                <w:rFonts w:ascii="Calibri" w:hAnsi="Calibri"/>
              </w:rPr>
              <w:t>Załącznik graficzny nr 38</w:t>
            </w:r>
          </w:p>
        </w:tc>
        <w:tc>
          <w:tcPr>
            <w:tcW w:w="6515" w:type="dxa"/>
            <w:shd w:val="clear" w:color="auto" w:fill="auto"/>
            <w:vAlign w:val="center"/>
          </w:tcPr>
          <w:p w14:paraId="559BD41A" w14:textId="5B62D24C" w:rsidR="0044100A" w:rsidRPr="00795F17" w:rsidRDefault="0044100A" w:rsidP="0044100A">
            <w:pPr>
              <w:pStyle w:val="Wykazskrotow"/>
            </w:pPr>
            <w:r w:rsidRPr="00795F17">
              <w:t>Ocena stanu LW (</w:t>
            </w:r>
            <w:r w:rsidR="00DF005E">
              <w:t>r.kl.jcwp</w:t>
            </w:r>
            <w:r w:rsidRPr="00795F17">
              <w:t xml:space="preserve"> od 2022 </w:t>
            </w:r>
            <w:r>
              <w:t xml:space="preserve">r. </w:t>
            </w:r>
            <w:r w:rsidRPr="00795F17">
              <w:t xml:space="preserve">ocena ekspercka) </w:t>
            </w:r>
          </w:p>
        </w:tc>
      </w:tr>
      <w:tr w:rsidR="0044100A" w:rsidRPr="00795F17" w14:paraId="12B04309" w14:textId="77777777" w:rsidTr="00A10B90">
        <w:trPr>
          <w:trHeight w:val="454"/>
        </w:trPr>
        <w:tc>
          <w:tcPr>
            <w:tcW w:w="2547" w:type="dxa"/>
            <w:shd w:val="clear" w:color="auto" w:fill="BFBFBF" w:themeFill="background1" w:themeFillShade="BF"/>
            <w:vAlign w:val="center"/>
          </w:tcPr>
          <w:p w14:paraId="5C394F9F" w14:textId="7A8FE85A" w:rsidR="0044100A" w:rsidRPr="0044100A" w:rsidRDefault="0044100A" w:rsidP="0044100A">
            <w:pPr>
              <w:pStyle w:val="Wykazskrotowbold"/>
            </w:pPr>
            <w:r w:rsidRPr="0044100A">
              <w:rPr>
                <w:rFonts w:ascii="Calibri" w:hAnsi="Calibri"/>
              </w:rPr>
              <w:t>Załącznik graficzny nr 39</w:t>
            </w:r>
          </w:p>
        </w:tc>
        <w:tc>
          <w:tcPr>
            <w:tcW w:w="6515" w:type="dxa"/>
            <w:shd w:val="clear" w:color="auto" w:fill="auto"/>
            <w:vAlign w:val="center"/>
          </w:tcPr>
          <w:p w14:paraId="1DB0621A" w14:textId="70810E1A" w:rsidR="0044100A" w:rsidRPr="00795F17" w:rsidRDefault="0044100A" w:rsidP="0044100A">
            <w:pPr>
              <w:pStyle w:val="Wykazskrotow"/>
            </w:pPr>
            <w:r w:rsidRPr="00795F17">
              <w:t>Ocena stanu TW i CW (</w:t>
            </w:r>
            <w:r w:rsidR="00DF005E">
              <w:t>r.kl.jcwp</w:t>
            </w:r>
            <w:r w:rsidRPr="00795F17">
              <w:t xml:space="preserve"> od 2022</w:t>
            </w:r>
            <w:r>
              <w:t xml:space="preserve"> r.</w:t>
            </w:r>
            <w:r w:rsidRPr="00795F17">
              <w:t xml:space="preserve">) </w:t>
            </w:r>
          </w:p>
        </w:tc>
      </w:tr>
      <w:tr w:rsidR="0044100A" w:rsidRPr="00795F17" w14:paraId="2901F5CE" w14:textId="77777777" w:rsidTr="00A10B90">
        <w:trPr>
          <w:trHeight w:val="454"/>
        </w:trPr>
        <w:tc>
          <w:tcPr>
            <w:tcW w:w="2547" w:type="dxa"/>
            <w:shd w:val="clear" w:color="auto" w:fill="BFBFBF" w:themeFill="background1" w:themeFillShade="BF"/>
            <w:vAlign w:val="center"/>
          </w:tcPr>
          <w:p w14:paraId="0F085D9B" w14:textId="71CF30A5" w:rsidR="0044100A" w:rsidRPr="0044100A" w:rsidRDefault="0044100A" w:rsidP="0044100A">
            <w:pPr>
              <w:pStyle w:val="Wykazskrotowbold"/>
            </w:pPr>
            <w:r w:rsidRPr="0044100A">
              <w:rPr>
                <w:rFonts w:ascii="Calibri" w:hAnsi="Calibri"/>
              </w:rPr>
              <w:t>Załącznik graficzny nr 40</w:t>
            </w:r>
          </w:p>
        </w:tc>
        <w:tc>
          <w:tcPr>
            <w:tcW w:w="6515" w:type="dxa"/>
            <w:shd w:val="clear" w:color="auto" w:fill="auto"/>
            <w:vAlign w:val="center"/>
          </w:tcPr>
          <w:p w14:paraId="4EFBB2AA" w14:textId="079166EC" w:rsidR="0044100A" w:rsidRPr="00795F17" w:rsidRDefault="0044100A" w:rsidP="0044100A">
            <w:pPr>
              <w:pStyle w:val="Wykazskrotow"/>
            </w:pPr>
            <w:r w:rsidRPr="00795F17">
              <w:t xml:space="preserve">Ocena stanu chemicznego </w:t>
            </w:r>
            <w:r w:rsidR="00DF005E">
              <w:t>JCWP</w:t>
            </w:r>
            <w:r w:rsidRPr="00795F17">
              <w:t xml:space="preserve">d </w:t>
            </w:r>
          </w:p>
        </w:tc>
      </w:tr>
      <w:tr w:rsidR="0044100A" w:rsidRPr="00795F17" w14:paraId="0B712281" w14:textId="77777777" w:rsidTr="00A10B90">
        <w:trPr>
          <w:trHeight w:val="454"/>
        </w:trPr>
        <w:tc>
          <w:tcPr>
            <w:tcW w:w="2547" w:type="dxa"/>
            <w:shd w:val="clear" w:color="auto" w:fill="BFBFBF" w:themeFill="background1" w:themeFillShade="BF"/>
            <w:vAlign w:val="center"/>
          </w:tcPr>
          <w:p w14:paraId="4B3FB5B4" w14:textId="2FD0C99C" w:rsidR="0044100A" w:rsidRPr="0044100A" w:rsidRDefault="0044100A" w:rsidP="0044100A">
            <w:pPr>
              <w:pStyle w:val="Wykazskrotowbold"/>
            </w:pPr>
            <w:r w:rsidRPr="0044100A">
              <w:rPr>
                <w:rFonts w:ascii="Calibri" w:hAnsi="Calibri"/>
              </w:rPr>
              <w:t>Załącznik graficzny nr 41</w:t>
            </w:r>
          </w:p>
        </w:tc>
        <w:tc>
          <w:tcPr>
            <w:tcW w:w="6515" w:type="dxa"/>
            <w:shd w:val="clear" w:color="auto" w:fill="auto"/>
            <w:vAlign w:val="center"/>
          </w:tcPr>
          <w:p w14:paraId="662A9A5F" w14:textId="0226452E" w:rsidR="0044100A" w:rsidRPr="00795F17" w:rsidRDefault="0044100A" w:rsidP="0044100A">
            <w:pPr>
              <w:pStyle w:val="Wykazskrotow"/>
            </w:pPr>
            <w:r w:rsidRPr="00795F17">
              <w:t xml:space="preserve">Ocena stanu ilościowego </w:t>
            </w:r>
            <w:r w:rsidR="00DF005E">
              <w:t>JCWP</w:t>
            </w:r>
            <w:r w:rsidRPr="00795F17">
              <w:t xml:space="preserve">d </w:t>
            </w:r>
          </w:p>
        </w:tc>
      </w:tr>
      <w:tr w:rsidR="0044100A" w:rsidRPr="00795F17" w14:paraId="7AB1EEF0" w14:textId="77777777" w:rsidTr="00A10B90">
        <w:trPr>
          <w:trHeight w:val="454"/>
        </w:trPr>
        <w:tc>
          <w:tcPr>
            <w:tcW w:w="2547" w:type="dxa"/>
            <w:shd w:val="clear" w:color="auto" w:fill="BFBFBF" w:themeFill="background1" w:themeFillShade="BF"/>
            <w:vAlign w:val="center"/>
          </w:tcPr>
          <w:p w14:paraId="237DF1F5" w14:textId="7ACB9DB4" w:rsidR="0044100A" w:rsidRPr="0044100A" w:rsidRDefault="0044100A" w:rsidP="0044100A">
            <w:pPr>
              <w:pStyle w:val="Wykazskrotowbold"/>
            </w:pPr>
            <w:r w:rsidRPr="0044100A">
              <w:rPr>
                <w:rFonts w:ascii="Calibri" w:hAnsi="Calibri"/>
              </w:rPr>
              <w:t>Załącznik graficzny nr 42</w:t>
            </w:r>
          </w:p>
        </w:tc>
        <w:tc>
          <w:tcPr>
            <w:tcW w:w="6515" w:type="dxa"/>
            <w:shd w:val="clear" w:color="auto" w:fill="auto"/>
            <w:vAlign w:val="center"/>
          </w:tcPr>
          <w:p w14:paraId="31B7FEAD" w14:textId="463822AE" w:rsidR="0044100A" w:rsidRPr="00795F17" w:rsidRDefault="0044100A" w:rsidP="0044100A">
            <w:pPr>
              <w:pStyle w:val="Wykazskrotow"/>
            </w:pPr>
            <w:r w:rsidRPr="00795F17">
              <w:t xml:space="preserve">Ocena ryzyka nieosiągnięcia celów środowiskowych </w:t>
            </w:r>
            <w:r w:rsidR="00DF005E">
              <w:t>JCWP</w:t>
            </w:r>
            <w:r w:rsidRPr="00795F17">
              <w:t xml:space="preserve"> RW </w:t>
            </w:r>
          </w:p>
        </w:tc>
      </w:tr>
      <w:tr w:rsidR="0044100A" w:rsidRPr="00795F17" w14:paraId="6D4B7A68" w14:textId="77777777" w:rsidTr="00A10B90">
        <w:trPr>
          <w:trHeight w:val="454"/>
        </w:trPr>
        <w:tc>
          <w:tcPr>
            <w:tcW w:w="2547" w:type="dxa"/>
            <w:shd w:val="clear" w:color="auto" w:fill="BFBFBF" w:themeFill="background1" w:themeFillShade="BF"/>
            <w:vAlign w:val="center"/>
          </w:tcPr>
          <w:p w14:paraId="172860F4" w14:textId="45FC2343" w:rsidR="0044100A" w:rsidRPr="0044100A" w:rsidRDefault="0044100A" w:rsidP="0044100A">
            <w:pPr>
              <w:pStyle w:val="Wykazskrotowbold"/>
            </w:pPr>
            <w:r w:rsidRPr="0044100A">
              <w:rPr>
                <w:rFonts w:ascii="Calibri" w:hAnsi="Calibri"/>
              </w:rPr>
              <w:t>Załącznik graficzny nr 43</w:t>
            </w:r>
          </w:p>
        </w:tc>
        <w:tc>
          <w:tcPr>
            <w:tcW w:w="6515" w:type="dxa"/>
            <w:shd w:val="clear" w:color="auto" w:fill="auto"/>
            <w:vAlign w:val="center"/>
          </w:tcPr>
          <w:p w14:paraId="031C3C8C" w14:textId="30FDAA5A" w:rsidR="0044100A" w:rsidRPr="00795F17" w:rsidRDefault="0044100A" w:rsidP="0044100A">
            <w:pPr>
              <w:pStyle w:val="Wykazskrotow"/>
            </w:pPr>
            <w:r w:rsidRPr="00795F17">
              <w:t xml:space="preserve">Ocena ryzyka nieosiągnięcia celów środowiskowych </w:t>
            </w:r>
            <w:r w:rsidR="00DF005E">
              <w:t>JCWP</w:t>
            </w:r>
            <w:r w:rsidRPr="00795F17">
              <w:t xml:space="preserve"> RWr </w:t>
            </w:r>
          </w:p>
        </w:tc>
      </w:tr>
      <w:tr w:rsidR="0044100A" w:rsidRPr="00795F17" w14:paraId="53DA97C7" w14:textId="77777777" w:rsidTr="00A10B90">
        <w:trPr>
          <w:trHeight w:val="454"/>
        </w:trPr>
        <w:tc>
          <w:tcPr>
            <w:tcW w:w="2547" w:type="dxa"/>
            <w:shd w:val="clear" w:color="auto" w:fill="BFBFBF" w:themeFill="background1" w:themeFillShade="BF"/>
            <w:vAlign w:val="center"/>
          </w:tcPr>
          <w:p w14:paraId="03A3E6CB" w14:textId="0C5BD8C9" w:rsidR="0044100A" w:rsidRPr="0044100A" w:rsidRDefault="0044100A" w:rsidP="0044100A">
            <w:pPr>
              <w:pStyle w:val="Wykazskrotowbold"/>
            </w:pPr>
            <w:r w:rsidRPr="0044100A">
              <w:rPr>
                <w:rFonts w:ascii="Calibri" w:hAnsi="Calibri"/>
              </w:rPr>
              <w:t>Załącznik graficzny nr 44</w:t>
            </w:r>
          </w:p>
        </w:tc>
        <w:tc>
          <w:tcPr>
            <w:tcW w:w="6515" w:type="dxa"/>
            <w:shd w:val="clear" w:color="auto" w:fill="auto"/>
            <w:vAlign w:val="center"/>
          </w:tcPr>
          <w:p w14:paraId="41D9994B" w14:textId="6EFDDEA1" w:rsidR="0044100A" w:rsidRPr="00795F17" w:rsidRDefault="0044100A" w:rsidP="0044100A">
            <w:pPr>
              <w:pStyle w:val="Wykazskrotow"/>
            </w:pPr>
            <w:r w:rsidRPr="00795F17">
              <w:t xml:space="preserve">Ocena ryzyka nieosiągnięcia celów środowiskowych </w:t>
            </w:r>
            <w:r w:rsidR="00DF005E">
              <w:t>JCWP</w:t>
            </w:r>
            <w:r w:rsidRPr="00795F17">
              <w:t xml:space="preserve"> LW </w:t>
            </w:r>
          </w:p>
        </w:tc>
      </w:tr>
      <w:tr w:rsidR="0044100A" w:rsidRPr="00795F17" w14:paraId="303CE115" w14:textId="77777777" w:rsidTr="00A10B90">
        <w:trPr>
          <w:trHeight w:val="454"/>
        </w:trPr>
        <w:tc>
          <w:tcPr>
            <w:tcW w:w="2547" w:type="dxa"/>
            <w:shd w:val="clear" w:color="auto" w:fill="BFBFBF" w:themeFill="background1" w:themeFillShade="BF"/>
            <w:vAlign w:val="center"/>
          </w:tcPr>
          <w:p w14:paraId="03FD9CB7" w14:textId="00043516" w:rsidR="0044100A" w:rsidRPr="0044100A" w:rsidRDefault="0044100A" w:rsidP="0044100A">
            <w:pPr>
              <w:pStyle w:val="Wykazskrotowbold"/>
            </w:pPr>
            <w:r w:rsidRPr="0044100A">
              <w:rPr>
                <w:rFonts w:ascii="Calibri" w:hAnsi="Calibri"/>
              </w:rPr>
              <w:t>Załącznik graficzny nr 45</w:t>
            </w:r>
          </w:p>
        </w:tc>
        <w:tc>
          <w:tcPr>
            <w:tcW w:w="6515" w:type="dxa"/>
            <w:shd w:val="clear" w:color="auto" w:fill="auto"/>
            <w:vAlign w:val="center"/>
          </w:tcPr>
          <w:p w14:paraId="3371CFC7" w14:textId="2E4CC9AC" w:rsidR="0044100A" w:rsidRPr="00795F17" w:rsidRDefault="0044100A" w:rsidP="0044100A">
            <w:pPr>
              <w:pStyle w:val="Wykazskrotow"/>
            </w:pPr>
            <w:r w:rsidRPr="00795F17">
              <w:t xml:space="preserve">Ocena ryzyka nieosiągnięcia celów środowiskowych </w:t>
            </w:r>
            <w:r w:rsidR="00DF005E">
              <w:t>JCWP</w:t>
            </w:r>
            <w:r w:rsidRPr="00795F17">
              <w:t xml:space="preserve"> TW i CW </w:t>
            </w:r>
          </w:p>
        </w:tc>
      </w:tr>
      <w:tr w:rsidR="0044100A" w:rsidRPr="00795F17" w14:paraId="2C764C8A" w14:textId="77777777" w:rsidTr="00A10B90">
        <w:trPr>
          <w:trHeight w:val="454"/>
        </w:trPr>
        <w:tc>
          <w:tcPr>
            <w:tcW w:w="2547" w:type="dxa"/>
            <w:shd w:val="clear" w:color="auto" w:fill="BFBFBF" w:themeFill="background1" w:themeFillShade="BF"/>
            <w:vAlign w:val="center"/>
          </w:tcPr>
          <w:p w14:paraId="2A93A9AA" w14:textId="7B87329F" w:rsidR="0044100A" w:rsidRPr="0044100A" w:rsidRDefault="0044100A" w:rsidP="0044100A">
            <w:pPr>
              <w:pStyle w:val="Wykazskrotowbold"/>
            </w:pPr>
            <w:r w:rsidRPr="0044100A">
              <w:rPr>
                <w:rFonts w:ascii="Calibri" w:hAnsi="Calibri"/>
              </w:rPr>
              <w:t>Załącznik graficzny nr 46</w:t>
            </w:r>
          </w:p>
        </w:tc>
        <w:tc>
          <w:tcPr>
            <w:tcW w:w="6515" w:type="dxa"/>
            <w:shd w:val="clear" w:color="auto" w:fill="auto"/>
            <w:vAlign w:val="center"/>
          </w:tcPr>
          <w:p w14:paraId="7DE099B9" w14:textId="30D60946" w:rsidR="0044100A" w:rsidRPr="00795F17" w:rsidRDefault="0044100A" w:rsidP="0044100A">
            <w:pPr>
              <w:pStyle w:val="Wykazskrotow"/>
            </w:pPr>
            <w:r w:rsidRPr="00795F17">
              <w:t xml:space="preserve">Ocena ryzyka nieosiągnięcia celów środowiskowych </w:t>
            </w:r>
            <w:r w:rsidR="00DF005E">
              <w:t>JCWP</w:t>
            </w:r>
            <w:r w:rsidRPr="00795F17">
              <w:t>d</w:t>
            </w:r>
          </w:p>
        </w:tc>
      </w:tr>
      <w:tr w:rsidR="0044100A" w:rsidRPr="00795F17" w14:paraId="3862CA5D" w14:textId="77777777" w:rsidTr="00A10B90">
        <w:trPr>
          <w:trHeight w:val="454"/>
        </w:trPr>
        <w:tc>
          <w:tcPr>
            <w:tcW w:w="2547" w:type="dxa"/>
            <w:shd w:val="clear" w:color="auto" w:fill="BFBFBF" w:themeFill="background1" w:themeFillShade="BF"/>
            <w:vAlign w:val="center"/>
          </w:tcPr>
          <w:p w14:paraId="51630733" w14:textId="0B398FCB" w:rsidR="0044100A" w:rsidRPr="0044100A" w:rsidRDefault="0044100A" w:rsidP="0044100A">
            <w:pPr>
              <w:pStyle w:val="Wykazskrotowbold"/>
            </w:pPr>
            <w:r w:rsidRPr="0044100A">
              <w:rPr>
                <w:rFonts w:ascii="Calibri" w:hAnsi="Calibri"/>
              </w:rPr>
              <w:t>Załącznik graficzny nr 47</w:t>
            </w:r>
          </w:p>
        </w:tc>
        <w:tc>
          <w:tcPr>
            <w:tcW w:w="6515" w:type="dxa"/>
            <w:shd w:val="clear" w:color="auto" w:fill="auto"/>
            <w:vAlign w:val="center"/>
          </w:tcPr>
          <w:p w14:paraId="5F180ACA" w14:textId="7F32D7EF" w:rsidR="0044100A" w:rsidRPr="00795F17" w:rsidRDefault="0044100A" w:rsidP="0044100A">
            <w:pPr>
              <w:pStyle w:val="Wykazskrotow"/>
            </w:pPr>
            <w:r w:rsidRPr="00795F17">
              <w:t xml:space="preserve">Punkty zrzutu </w:t>
            </w:r>
            <w:r>
              <w:t>–</w:t>
            </w:r>
            <w:r w:rsidRPr="00795F17">
              <w:t xml:space="preserve"> obszar dorzecza Odry </w:t>
            </w:r>
          </w:p>
        </w:tc>
      </w:tr>
      <w:tr w:rsidR="0044100A" w:rsidRPr="00795F17" w14:paraId="1768C274" w14:textId="77777777" w:rsidTr="00A10B90">
        <w:trPr>
          <w:trHeight w:val="454"/>
        </w:trPr>
        <w:tc>
          <w:tcPr>
            <w:tcW w:w="2547" w:type="dxa"/>
            <w:shd w:val="clear" w:color="auto" w:fill="BFBFBF" w:themeFill="background1" w:themeFillShade="BF"/>
            <w:vAlign w:val="center"/>
          </w:tcPr>
          <w:p w14:paraId="40FA299A" w14:textId="5F409056" w:rsidR="0044100A" w:rsidRPr="0044100A" w:rsidRDefault="0044100A" w:rsidP="0044100A">
            <w:pPr>
              <w:pStyle w:val="Wykazskrotowbold"/>
            </w:pPr>
            <w:r w:rsidRPr="0044100A">
              <w:rPr>
                <w:rFonts w:ascii="Calibri" w:hAnsi="Calibri"/>
              </w:rPr>
              <w:t>Załącznik graficzny nr 48</w:t>
            </w:r>
          </w:p>
        </w:tc>
        <w:tc>
          <w:tcPr>
            <w:tcW w:w="6515" w:type="dxa"/>
            <w:shd w:val="clear" w:color="auto" w:fill="auto"/>
            <w:vAlign w:val="center"/>
          </w:tcPr>
          <w:p w14:paraId="581ACE4A" w14:textId="5C92DBC4" w:rsidR="0044100A" w:rsidRPr="00795F17" w:rsidRDefault="0044100A" w:rsidP="0044100A">
            <w:pPr>
              <w:pStyle w:val="Wykazskrotow"/>
            </w:pPr>
            <w:r w:rsidRPr="00795F17">
              <w:t xml:space="preserve">Punkty poboru wód </w:t>
            </w:r>
            <w:r>
              <w:t>–</w:t>
            </w:r>
            <w:r w:rsidRPr="00795F17">
              <w:t xml:space="preserve"> obszar dorzecza Odry </w:t>
            </w:r>
          </w:p>
        </w:tc>
      </w:tr>
      <w:tr w:rsidR="0044100A" w:rsidRPr="00795F17" w14:paraId="60F6C9A7" w14:textId="77777777" w:rsidTr="00A10B90">
        <w:trPr>
          <w:trHeight w:val="454"/>
        </w:trPr>
        <w:tc>
          <w:tcPr>
            <w:tcW w:w="2547" w:type="dxa"/>
            <w:shd w:val="clear" w:color="auto" w:fill="BFBFBF" w:themeFill="background1" w:themeFillShade="BF"/>
            <w:vAlign w:val="center"/>
          </w:tcPr>
          <w:p w14:paraId="28F8A041" w14:textId="2AF6FF1A" w:rsidR="0044100A" w:rsidRPr="0044100A" w:rsidRDefault="0044100A" w:rsidP="0044100A">
            <w:pPr>
              <w:pStyle w:val="Wykazskrotowbold"/>
            </w:pPr>
            <w:r w:rsidRPr="0044100A">
              <w:rPr>
                <w:rFonts w:ascii="Calibri" w:hAnsi="Calibri"/>
              </w:rPr>
              <w:t>Załącznik graficzny nr 49</w:t>
            </w:r>
          </w:p>
        </w:tc>
        <w:tc>
          <w:tcPr>
            <w:tcW w:w="6515" w:type="dxa"/>
            <w:shd w:val="clear" w:color="auto" w:fill="auto"/>
            <w:vAlign w:val="center"/>
          </w:tcPr>
          <w:p w14:paraId="6528955C" w14:textId="78A768DA" w:rsidR="0044100A" w:rsidRPr="00795F17" w:rsidRDefault="0044100A" w:rsidP="0044100A">
            <w:pPr>
              <w:pStyle w:val="Wykazskrotow"/>
            </w:pPr>
            <w:r w:rsidRPr="00795F17">
              <w:t xml:space="preserve">Rozmieszczenie składowisk przemysłowych i komunalnych na </w:t>
            </w:r>
            <w:r w:rsidR="00DF005E">
              <w:t>JCWP</w:t>
            </w:r>
            <w:r w:rsidRPr="00795F17">
              <w:t xml:space="preserve">d na obszarze dorzecza Odry </w:t>
            </w:r>
          </w:p>
        </w:tc>
      </w:tr>
      <w:tr w:rsidR="0044100A" w:rsidRPr="00795F17" w14:paraId="5902F795" w14:textId="77777777" w:rsidTr="00A10B90">
        <w:trPr>
          <w:trHeight w:val="454"/>
        </w:trPr>
        <w:tc>
          <w:tcPr>
            <w:tcW w:w="2547" w:type="dxa"/>
            <w:shd w:val="clear" w:color="auto" w:fill="BFBFBF" w:themeFill="background1" w:themeFillShade="BF"/>
            <w:vAlign w:val="center"/>
          </w:tcPr>
          <w:p w14:paraId="76A306B2" w14:textId="42008FFA" w:rsidR="0044100A" w:rsidRPr="0044100A" w:rsidRDefault="0044100A" w:rsidP="0044100A">
            <w:pPr>
              <w:pStyle w:val="Wykazskrotowbold"/>
            </w:pPr>
            <w:r w:rsidRPr="0044100A">
              <w:rPr>
                <w:rFonts w:ascii="Calibri" w:hAnsi="Calibri"/>
              </w:rPr>
              <w:t>Załącznik graficzny nr 50</w:t>
            </w:r>
          </w:p>
        </w:tc>
        <w:tc>
          <w:tcPr>
            <w:tcW w:w="6515" w:type="dxa"/>
            <w:shd w:val="clear" w:color="auto" w:fill="auto"/>
            <w:vAlign w:val="center"/>
          </w:tcPr>
          <w:p w14:paraId="6744E49B" w14:textId="6BA8A34C" w:rsidR="0044100A" w:rsidRPr="00795F17" w:rsidRDefault="0044100A" w:rsidP="0044100A">
            <w:pPr>
              <w:pStyle w:val="Wykazskrotow"/>
            </w:pPr>
            <w:r w:rsidRPr="00795F17">
              <w:t xml:space="preserve">Zakłady przemysłowe na obszarze dorzecza </w:t>
            </w:r>
          </w:p>
        </w:tc>
      </w:tr>
      <w:tr w:rsidR="0044100A" w:rsidRPr="00795F17" w14:paraId="1F53FE1D" w14:textId="77777777" w:rsidTr="00A10B90">
        <w:trPr>
          <w:trHeight w:val="454"/>
        </w:trPr>
        <w:tc>
          <w:tcPr>
            <w:tcW w:w="2547" w:type="dxa"/>
            <w:shd w:val="clear" w:color="auto" w:fill="BFBFBF" w:themeFill="background1" w:themeFillShade="BF"/>
            <w:vAlign w:val="center"/>
          </w:tcPr>
          <w:p w14:paraId="61E0F0D5" w14:textId="63C04000" w:rsidR="0044100A" w:rsidRPr="0044100A" w:rsidRDefault="0044100A" w:rsidP="0044100A">
            <w:pPr>
              <w:pStyle w:val="Wykazskrotowbold"/>
            </w:pPr>
            <w:r w:rsidRPr="0044100A">
              <w:rPr>
                <w:rFonts w:ascii="Calibri" w:hAnsi="Calibri"/>
              </w:rPr>
              <w:t>Załącznik graficzny nr 51</w:t>
            </w:r>
          </w:p>
        </w:tc>
        <w:tc>
          <w:tcPr>
            <w:tcW w:w="6515" w:type="dxa"/>
            <w:shd w:val="clear" w:color="auto" w:fill="auto"/>
            <w:vAlign w:val="center"/>
          </w:tcPr>
          <w:p w14:paraId="0D841631" w14:textId="2EE8EF62" w:rsidR="0044100A" w:rsidRPr="00795F17" w:rsidRDefault="0044100A" w:rsidP="0044100A">
            <w:pPr>
              <w:pStyle w:val="Wykazskrotow"/>
            </w:pPr>
            <w:r w:rsidRPr="00795F17">
              <w:t xml:space="preserve">Stopień wykorzystania zasobów wód podziemnych na obszarze dorzecza Odry, z podziałem na </w:t>
            </w:r>
            <w:r w:rsidR="00DF005E">
              <w:t>JCWP</w:t>
            </w:r>
            <w:r w:rsidRPr="00795F17">
              <w:t>d</w:t>
            </w:r>
          </w:p>
        </w:tc>
      </w:tr>
      <w:tr w:rsidR="0044100A" w:rsidRPr="00795F17" w14:paraId="282B33C7" w14:textId="77777777" w:rsidTr="00A10B90">
        <w:trPr>
          <w:trHeight w:val="454"/>
        </w:trPr>
        <w:tc>
          <w:tcPr>
            <w:tcW w:w="2547" w:type="dxa"/>
            <w:shd w:val="clear" w:color="auto" w:fill="BFBFBF" w:themeFill="background1" w:themeFillShade="BF"/>
            <w:vAlign w:val="center"/>
          </w:tcPr>
          <w:p w14:paraId="74486DBB" w14:textId="5C2591E6" w:rsidR="0044100A" w:rsidRPr="0044100A" w:rsidRDefault="0044100A" w:rsidP="0044100A">
            <w:pPr>
              <w:pStyle w:val="Wykazskrotowbold"/>
            </w:pPr>
            <w:r w:rsidRPr="0044100A">
              <w:rPr>
                <w:rFonts w:ascii="Calibri" w:hAnsi="Calibri"/>
              </w:rPr>
              <w:t>Załącznik graficzny nr 52</w:t>
            </w:r>
          </w:p>
        </w:tc>
        <w:tc>
          <w:tcPr>
            <w:tcW w:w="6515" w:type="dxa"/>
            <w:shd w:val="clear" w:color="auto" w:fill="auto"/>
            <w:vAlign w:val="center"/>
          </w:tcPr>
          <w:p w14:paraId="19A69EEA" w14:textId="32993C01" w:rsidR="0044100A" w:rsidRPr="00795F17" w:rsidRDefault="0044100A" w:rsidP="0044100A">
            <w:pPr>
              <w:pStyle w:val="Wykazskrotow"/>
            </w:pPr>
            <w:r w:rsidRPr="00795F17">
              <w:t xml:space="preserve">Budowle regulacyjne na obszarze dorzecza Odry </w:t>
            </w:r>
          </w:p>
        </w:tc>
      </w:tr>
      <w:tr w:rsidR="0044100A" w:rsidRPr="00795F17" w14:paraId="4560C92A" w14:textId="77777777" w:rsidTr="00A10B90">
        <w:trPr>
          <w:trHeight w:val="454"/>
        </w:trPr>
        <w:tc>
          <w:tcPr>
            <w:tcW w:w="2547" w:type="dxa"/>
            <w:shd w:val="clear" w:color="auto" w:fill="BFBFBF" w:themeFill="background1" w:themeFillShade="BF"/>
            <w:vAlign w:val="center"/>
          </w:tcPr>
          <w:p w14:paraId="1C6E18AF" w14:textId="49F76B29" w:rsidR="0044100A" w:rsidRPr="0044100A" w:rsidRDefault="0044100A" w:rsidP="0044100A">
            <w:pPr>
              <w:pStyle w:val="Wykazskrotowbold"/>
            </w:pPr>
            <w:r w:rsidRPr="0044100A">
              <w:rPr>
                <w:rFonts w:ascii="Calibri" w:hAnsi="Calibri"/>
              </w:rPr>
              <w:t>Załącznik graficzny nr 53</w:t>
            </w:r>
          </w:p>
        </w:tc>
        <w:tc>
          <w:tcPr>
            <w:tcW w:w="6515" w:type="dxa"/>
            <w:shd w:val="clear" w:color="auto" w:fill="auto"/>
            <w:vAlign w:val="center"/>
          </w:tcPr>
          <w:p w14:paraId="46B5BEAD" w14:textId="79087F7D" w:rsidR="0044100A" w:rsidRPr="00795F17" w:rsidRDefault="0044100A" w:rsidP="0044100A">
            <w:pPr>
              <w:pStyle w:val="Wykazskrotow"/>
            </w:pPr>
            <w:r w:rsidRPr="00795F17">
              <w:t xml:space="preserve">Budowle poprzeczne na obszarze dorzecza Odry </w:t>
            </w:r>
          </w:p>
        </w:tc>
      </w:tr>
      <w:tr w:rsidR="0044100A" w:rsidRPr="00795F17" w14:paraId="2B080182" w14:textId="77777777" w:rsidTr="00A10B90">
        <w:trPr>
          <w:trHeight w:val="454"/>
        </w:trPr>
        <w:tc>
          <w:tcPr>
            <w:tcW w:w="2547" w:type="dxa"/>
            <w:shd w:val="clear" w:color="auto" w:fill="BFBFBF" w:themeFill="background1" w:themeFillShade="BF"/>
            <w:vAlign w:val="center"/>
          </w:tcPr>
          <w:p w14:paraId="2D1233B0" w14:textId="53C07595" w:rsidR="0044100A" w:rsidRPr="0044100A" w:rsidRDefault="0044100A" w:rsidP="0044100A">
            <w:pPr>
              <w:pStyle w:val="Wykazskrotowbold"/>
            </w:pPr>
            <w:r w:rsidRPr="0044100A">
              <w:rPr>
                <w:rFonts w:ascii="Calibri" w:hAnsi="Calibri"/>
              </w:rPr>
              <w:t>Załącznik graficzny nr 54</w:t>
            </w:r>
          </w:p>
        </w:tc>
        <w:tc>
          <w:tcPr>
            <w:tcW w:w="6515" w:type="dxa"/>
            <w:shd w:val="clear" w:color="auto" w:fill="auto"/>
            <w:vAlign w:val="center"/>
          </w:tcPr>
          <w:p w14:paraId="2E55C234" w14:textId="28BCCD5F" w:rsidR="0044100A" w:rsidRPr="00795F17" w:rsidRDefault="00DF005E" w:rsidP="0044100A">
            <w:pPr>
              <w:pStyle w:val="Wykazskrotow"/>
            </w:pPr>
            <w:r>
              <w:t>JCWP</w:t>
            </w:r>
            <w:r w:rsidR="0044100A" w:rsidRPr="00795F17">
              <w:t xml:space="preserve"> RW z przypisanymi celami środowiskowymi dotyczącymi drożności </w:t>
            </w:r>
            <w:r w:rsidR="0044100A">
              <w:t xml:space="preserve">dla </w:t>
            </w:r>
            <w:r w:rsidR="0044100A" w:rsidRPr="00795F17">
              <w:t xml:space="preserve">ryb </w:t>
            </w:r>
          </w:p>
        </w:tc>
      </w:tr>
      <w:tr w:rsidR="0044100A" w:rsidRPr="00795F17" w14:paraId="1736BE40" w14:textId="77777777" w:rsidTr="00A10B90">
        <w:trPr>
          <w:trHeight w:val="454"/>
        </w:trPr>
        <w:tc>
          <w:tcPr>
            <w:tcW w:w="2547" w:type="dxa"/>
            <w:shd w:val="clear" w:color="auto" w:fill="BFBFBF" w:themeFill="background1" w:themeFillShade="BF"/>
            <w:vAlign w:val="center"/>
          </w:tcPr>
          <w:p w14:paraId="6D2EB00A" w14:textId="53DF095C" w:rsidR="0044100A" w:rsidRPr="0044100A" w:rsidRDefault="0044100A" w:rsidP="0044100A">
            <w:pPr>
              <w:pStyle w:val="Wykazskrotowbold"/>
            </w:pPr>
            <w:r w:rsidRPr="0044100A">
              <w:rPr>
                <w:rFonts w:ascii="Calibri" w:hAnsi="Calibri"/>
              </w:rPr>
              <w:t>Załącznik graficzny nr 55</w:t>
            </w:r>
          </w:p>
        </w:tc>
        <w:tc>
          <w:tcPr>
            <w:tcW w:w="6515" w:type="dxa"/>
            <w:shd w:val="clear" w:color="auto" w:fill="auto"/>
            <w:vAlign w:val="center"/>
          </w:tcPr>
          <w:p w14:paraId="33246B57" w14:textId="4910C0CB" w:rsidR="0044100A" w:rsidRPr="00795F17" w:rsidRDefault="00DF005E" w:rsidP="0044100A">
            <w:pPr>
              <w:pStyle w:val="Wykazskrotow"/>
            </w:pPr>
            <w:r>
              <w:t>JCWP</w:t>
            </w:r>
            <w:r w:rsidR="0044100A" w:rsidRPr="00795F17">
              <w:t xml:space="preserve"> RW</w:t>
            </w:r>
            <w:r w:rsidR="0044100A">
              <w:t>,</w:t>
            </w:r>
            <w:r w:rsidR="0044100A" w:rsidRPr="00795F17">
              <w:t xml:space="preserve"> w których występuje presja poboru </w:t>
            </w:r>
          </w:p>
        </w:tc>
      </w:tr>
      <w:tr w:rsidR="0044100A" w:rsidRPr="00795F17" w14:paraId="756C8C78" w14:textId="77777777" w:rsidTr="00A10B90">
        <w:trPr>
          <w:trHeight w:val="454"/>
        </w:trPr>
        <w:tc>
          <w:tcPr>
            <w:tcW w:w="2547" w:type="dxa"/>
            <w:shd w:val="clear" w:color="auto" w:fill="BFBFBF" w:themeFill="background1" w:themeFillShade="BF"/>
            <w:vAlign w:val="center"/>
          </w:tcPr>
          <w:p w14:paraId="2A2D6854" w14:textId="22C1C3A0" w:rsidR="0044100A" w:rsidRPr="0044100A" w:rsidRDefault="0044100A" w:rsidP="0044100A">
            <w:pPr>
              <w:pStyle w:val="Wykazskrotowbold"/>
            </w:pPr>
            <w:r w:rsidRPr="0044100A">
              <w:rPr>
                <w:rFonts w:ascii="Calibri" w:hAnsi="Calibri"/>
              </w:rPr>
              <w:t>Załącznik graficzny nr 56</w:t>
            </w:r>
          </w:p>
        </w:tc>
        <w:tc>
          <w:tcPr>
            <w:tcW w:w="6515" w:type="dxa"/>
            <w:shd w:val="clear" w:color="auto" w:fill="auto"/>
            <w:vAlign w:val="center"/>
          </w:tcPr>
          <w:p w14:paraId="2B083882" w14:textId="400006D6" w:rsidR="0044100A" w:rsidRPr="00795F17" w:rsidRDefault="0044100A" w:rsidP="0044100A">
            <w:pPr>
              <w:pStyle w:val="Wykazskrotow"/>
            </w:pPr>
            <w:r>
              <w:t>Potencjalne oddziaływania skumulowane na zasoby wodne</w:t>
            </w:r>
            <w:r w:rsidRPr="00795F17">
              <w:t xml:space="preserve"> </w:t>
            </w:r>
          </w:p>
        </w:tc>
      </w:tr>
      <w:tr w:rsidR="0044100A" w:rsidRPr="00795F17" w14:paraId="5EDB7C99" w14:textId="77777777" w:rsidTr="00A10B90">
        <w:trPr>
          <w:trHeight w:val="454"/>
        </w:trPr>
        <w:tc>
          <w:tcPr>
            <w:tcW w:w="2547" w:type="dxa"/>
            <w:shd w:val="clear" w:color="auto" w:fill="BFBFBF" w:themeFill="background1" w:themeFillShade="BF"/>
            <w:vAlign w:val="center"/>
          </w:tcPr>
          <w:p w14:paraId="6055CF1A" w14:textId="41120D84" w:rsidR="0044100A" w:rsidRPr="0044100A" w:rsidRDefault="0044100A" w:rsidP="0044100A">
            <w:pPr>
              <w:pStyle w:val="Wykazskrotowbold"/>
            </w:pPr>
            <w:r w:rsidRPr="0044100A">
              <w:rPr>
                <w:rFonts w:ascii="Calibri" w:hAnsi="Calibri"/>
              </w:rPr>
              <w:t>Załącznik graficzny nr 57</w:t>
            </w:r>
          </w:p>
        </w:tc>
        <w:tc>
          <w:tcPr>
            <w:tcW w:w="6515" w:type="dxa"/>
            <w:shd w:val="clear" w:color="auto" w:fill="auto"/>
            <w:vAlign w:val="center"/>
          </w:tcPr>
          <w:p w14:paraId="56F70DDB" w14:textId="628A16F4" w:rsidR="0044100A" w:rsidRPr="00795F17" w:rsidRDefault="00DF005E" w:rsidP="0044100A">
            <w:pPr>
              <w:pStyle w:val="Wykazskrotow"/>
            </w:pPr>
            <w:r>
              <w:t>JCWP</w:t>
            </w:r>
            <w:r w:rsidR="0044100A" w:rsidRPr="00795F17">
              <w:t xml:space="preserve"> RW ze zbudowanym zestawem działań </w:t>
            </w:r>
          </w:p>
        </w:tc>
      </w:tr>
      <w:tr w:rsidR="0044100A" w:rsidRPr="00795F17" w14:paraId="48411316" w14:textId="77777777" w:rsidTr="00A10B90">
        <w:trPr>
          <w:trHeight w:val="454"/>
        </w:trPr>
        <w:tc>
          <w:tcPr>
            <w:tcW w:w="2547" w:type="dxa"/>
            <w:shd w:val="clear" w:color="auto" w:fill="BFBFBF" w:themeFill="background1" w:themeFillShade="BF"/>
            <w:vAlign w:val="center"/>
          </w:tcPr>
          <w:p w14:paraId="2547E4F5" w14:textId="6DC1D79F" w:rsidR="0044100A" w:rsidRPr="0044100A" w:rsidRDefault="0044100A" w:rsidP="0044100A">
            <w:pPr>
              <w:pStyle w:val="Wykazskrotowbold"/>
            </w:pPr>
            <w:r w:rsidRPr="0044100A">
              <w:rPr>
                <w:rFonts w:ascii="Calibri" w:hAnsi="Calibri"/>
              </w:rPr>
              <w:t>Załącznik graficzny nr 58</w:t>
            </w:r>
          </w:p>
        </w:tc>
        <w:tc>
          <w:tcPr>
            <w:tcW w:w="6515" w:type="dxa"/>
            <w:shd w:val="clear" w:color="auto" w:fill="auto"/>
            <w:vAlign w:val="center"/>
          </w:tcPr>
          <w:p w14:paraId="522749A5" w14:textId="11409144" w:rsidR="0044100A" w:rsidRPr="00795F17" w:rsidRDefault="00DF005E" w:rsidP="0044100A">
            <w:pPr>
              <w:pStyle w:val="Wykazskrotow"/>
            </w:pPr>
            <w:r>
              <w:t>JCWP</w:t>
            </w:r>
            <w:r w:rsidR="0044100A" w:rsidRPr="00795F17">
              <w:t xml:space="preserve"> RW z działaniami ukierunkowanymi na drożność </w:t>
            </w:r>
          </w:p>
        </w:tc>
      </w:tr>
      <w:tr w:rsidR="0044100A" w:rsidRPr="00795F17" w14:paraId="6CFF2818" w14:textId="77777777" w:rsidTr="00A10B90">
        <w:trPr>
          <w:trHeight w:val="454"/>
        </w:trPr>
        <w:tc>
          <w:tcPr>
            <w:tcW w:w="2547" w:type="dxa"/>
            <w:shd w:val="clear" w:color="auto" w:fill="BFBFBF" w:themeFill="background1" w:themeFillShade="BF"/>
            <w:vAlign w:val="center"/>
          </w:tcPr>
          <w:p w14:paraId="03860C29" w14:textId="1C5EFEB1" w:rsidR="0044100A" w:rsidRPr="0044100A" w:rsidRDefault="0044100A" w:rsidP="0044100A">
            <w:pPr>
              <w:pStyle w:val="Wykazskrotowbold"/>
            </w:pPr>
            <w:r w:rsidRPr="0044100A">
              <w:rPr>
                <w:rFonts w:ascii="Calibri" w:hAnsi="Calibri"/>
              </w:rPr>
              <w:t>Załącznik graficzny nr 59</w:t>
            </w:r>
          </w:p>
        </w:tc>
        <w:tc>
          <w:tcPr>
            <w:tcW w:w="6515" w:type="dxa"/>
            <w:shd w:val="clear" w:color="auto" w:fill="auto"/>
            <w:vAlign w:val="center"/>
          </w:tcPr>
          <w:p w14:paraId="488D3A37" w14:textId="3F48D462" w:rsidR="0044100A" w:rsidRPr="00795F17" w:rsidRDefault="00DF005E" w:rsidP="0044100A">
            <w:pPr>
              <w:pStyle w:val="Wykazskrotow"/>
            </w:pPr>
            <w:r>
              <w:t>JCWP</w:t>
            </w:r>
            <w:r w:rsidR="0044100A" w:rsidRPr="00795F17">
              <w:t xml:space="preserve"> RWr ze zbudowanym zestawem działań </w:t>
            </w:r>
          </w:p>
        </w:tc>
      </w:tr>
      <w:tr w:rsidR="0044100A" w:rsidRPr="00795F17" w14:paraId="5412C7E8" w14:textId="77777777" w:rsidTr="00A10B90">
        <w:trPr>
          <w:trHeight w:val="454"/>
        </w:trPr>
        <w:tc>
          <w:tcPr>
            <w:tcW w:w="2547" w:type="dxa"/>
            <w:shd w:val="clear" w:color="auto" w:fill="BFBFBF" w:themeFill="background1" w:themeFillShade="BF"/>
            <w:vAlign w:val="center"/>
          </w:tcPr>
          <w:p w14:paraId="13B211F0" w14:textId="390F3805" w:rsidR="0044100A" w:rsidRPr="0044100A" w:rsidRDefault="0044100A" w:rsidP="0044100A">
            <w:pPr>
              <w:pStyle w:val="Wykazskrotowbold"/>
            </w:pPr>
            <w:r w:rsidRPr="0044100A">
              <w:rPr>
                <w:rFonts w:ascii="Calibri" w:hAnsi="Calibri"/>
              </w:rPr>
              <w:t>Załącznik graficzny nr 60</w:t>
            </w:r>
          </w:p>
        </w:tc>
        <w:tc>
          <w:tcPr>
            <w:tcW w:w="6515" w:type="dxa"/>
            <w:shd w:val="clear" w:color="auto" w:fill="auto"/>
            <w:vAlign w:val="center"/>
          </w:tcPr>
          <w:p w14:paraId="3166E959" w14:textId="287518C3" w:rsidR="0044100A" w:rsidRPr="00795F17" w:rsidRDefault="00DF005E" w:rsidP="0044100A">
            <w:pPr>
              <w:pStyle w:val="Wykazskrotow"/>
            </w:pPr>
            <w:r>
              <w:t>JCWP</w:t>
            </w:r>
            <w:r w:rsidR="0044100A" w:rsidRPr="00795F17">
              <w:t xml:space="preserve"> LW ze zbudowanym zestawem działań </w:t>
            </w:r>
          </w:p>
        </w:tc>
      </w:tr>
      <w:tr w:rsidR="0044100A" w:rsidRPr="00795F17" w14:paraId="2C965192" w14:textId="77777777" w:rsidTr="00A10B90">
        <w:trPr>
          <w:trHeight w:val="454"/>
        </w:trPr>
        <w:tc>
          <w:tcPr>
            <w:tcW w:w="2547" w:type="dxa"/>
            <w:shd w:val="clear" w:color="auto" w:fill="BFBFBF" w:themeFill="background1" w:themeFillShade="BF"/>
            <w:vAlign w:val="center"/>
          </w:tcPr>
          <w:p w14:paraId="6F8C018B" w14:textId="450EEC17" w:rsidR="0044100A" w:rsidRPr="0044100A" w:rsidRDefault="0044100A" w:rsidP="0044100A">
            <w:pPr>
              <w:pStyle w:val="Wykazskrotowbold"/>
            </w:pPr>
            <w:r w:rsidRPr="0044100A">
              <w:rPr>
                <w:rFonts w:ascii="Calibri" w:hAnsi="Calibri"/>
              </w:rPr>
              <w:t>Załącznik graficzny nr 61</w:t>
            </w:r>
          </w:p>
        </w:tc>
        <w:tc>
          <w:tcPr>
            <w:tcW w:w="6515" w:type="dxa"/>
            <w:shd w:val="clear" w:color="auto" w:fill="auto"/>
            <w:vAlign w:val="center"/>
          </w:tcPr>
          <w:p w14:paraId="692431C5" w14:textId="55701624" w:rsidR="0044100A" w:rsidRPr="00795F17" w:rsidRDefault="00DF005E" w:rsidP="0044100A">
            <w:pPr>
              <w:pStyle w:val="Wykazskrotow"/>
            </w:pPr>
            <w:r>
              <w:t>JCWP</w:t>
            </w:r>
            <w:r w:rsidR="0044100A" w:rsidRPr="00795F17">
              <w:t xml:space="preserve"> TW i CW ze zbudowanym zestawem działań </w:t>
            </w:r>
          </w:p>
        </w:tc>
      </w:tr>
      <w:tr w:rsidR="0044100A" w:rsidRPr="00795F17" w14:paraId="6560BE34" w14:textId="77777777" w:rsidTr="00A10B90">
        <w:trPr>
          <w:trHeight w:val="454"/>
        </w:trPr>
        <w:tc>
          <w:tcPr>
            <w:tcW w:w="2547" w:type="dxa"/>
            <w:shd w:val="clear" w:color="auto" w:fill="BFBFBF" w:themeFill="background1" w:themeFillShade="BF"/>
            <w:vAlign w:val="center"/>
          </w:tcPr>
          <w:p w14:paraId="1DC4234F" w14:textId="2E044346" w:rsidR="0044100A" w:rsidRPr="0044100A" w:rsidRDefault="0044100A" w:rsidP="0044100A">
            <w:pPr>
              <w:pStyle w:val="Wykazskrotowbold"/>
            </w:pPr>
            <w:r w:rsidRPr="0044100A">
              <w:rPr>
                <w:rFonts w:ascii="Calibri" w:hAnsi="Calibri"/>
              </w:rPr>
              <w:t>Załącznik graficzny nr 62</w:t>
            </w:r>
          </w:p>
        </w:tc>
        <w:tc>
          <w:tcPr>
            <w:tcW w:w="6515" w:type="dxa"/>
            <w:shd w:val="clear" w:color="auto" w:fill="auto"/>
            <w:vAlign w:val="center"/>
          </w:tcPr>
          <w:p w14:paraId="088B5C4D" w14:textId="69152912" w:rsidR="0044100A" w:rsidRPr="00795F17" w:rsidRDefault="00DF005E" w:rsidP="0044100A">
            <w:pPr>
              <w:pStyle w:val="Wykazskrotow"/>
            </w:pPr>
            <w:r>
              <w:t>JCWP</w:t>
            </w:r>
            <w:r w:rsidR="0044100A" w:rsidRPr="00795F17">
              <w:t xml:space="preserve">d ze zbudowanym zestawem działań </w:t>
            </w:r>
          </w:p>
        </w:tc>
      </w:tr>
      <w:tr w:rsidR="0044100A" w:rsidRPr="00795F17" w14:paraId="74CE2B02" w14:textId="77777777" w:rsidTr="00A10B90">
        <w:trPr>
          <w:trHeight w:val="454"/>
        </w:trPr>
        <w:tc>
          <w:tcPr>
            <w:tcW w:w="2547" w:type="dxa"/>
            <w:shd w:val="clear" w:color="auto" w:fill="BFBFBF" w:themeFill="background1" w:themeFillShade="BF"/>
            <w:vAlign w:val="center"/>
          </w:tcPr>
          <w:p w14:paraId="4B6DAEA0" w14:textId="2CC444D1" w:rsidR="0044100A" w:rsidRPr="0044100A" w:rsidRDefault="0044100A" w:rsidP="0044100A">
            <w:pPr>
              <w:pStyle w:val="Wykazskrotowbold"/>
            </w:pPr>
            <w:r w:rsidRPr="0044100A">
              <w:rPr>
                <w:rFonts w:ascii="Calibri" w:hAnsi="Calibri"/>
              </w:rPr>
              <w:t>Załącznik graficzny nr 63</w:t>
            </w:r>
          </w:p>
        </w:tc>
        <w:tc>
          <w:tcPr>
            <w:tcW w:w="6515" w:type="dxa"/>
            <w:shd w:val="clear" w:color="auto" w:fill="auto"/>
            <w:vAlign w:val="center"/>
          </w:tcPr>
          <w:p w14:paraId="49D112E1" w14:textId="79178921" w:rsidR="0044100A" w:rsidRPr="00795F17" w:rsidRDefault="00DF005E" w:rsidP="0044100A">
            <w:pPr>
              <w:pStyle w:val="Wykazskrotow"/>
            </w:pPr>
            <w:r>
              <w:t>JCWP</w:t>
            </w:r>
            <w:r w:rsidR="0044100A" w:rsidRPr="00795F17">
              <w:t xml:space="preserve"> RW </w:t>
            </w:r>
            <w:r w:rsidR="0044100A">
              <w:t>–</w:t>
            </w:r>
            <w:r w:rsidR="0044100A" w:rsidRPr="00795F17">
              <w:t xml:space="preserve"> odstępstwa </w:t>
            </w:r>
          </w:p>
        </w:tc>
      </w:tr>
      <w:tr w:rsidR="0044100A" w:rsidRPr="00795F17" w14:paraId="7623EF42" w14:textId="77777777" w:rsidTr="00A10B90">
        <w:trPr>
          <w:trHeight w:val="454"/>
        </w:trPr>
        <w:tc>
          <w:tcPr>
            <w:tcW w:w="2547" w:type="dxa"/>
            <w:shd w:val="clear" w:color="auto" w:fill="BFBFBF" w:themeFill="background1" w:themeFillShade="BF"/>
            <w:vAlign w:val="center"/>
          </w:tcPr>
          <w:p w14:paraId="2454F3CC" w14:textId="511EB14A" w:rsidR="0044100A" w:rsidRPr="0044100A" w:rsidRDefault="0044100A" w:rsidP="0044100A">
            <w:pPr>
              <w:pStyle w:val="Wykazskrotowbold"/>
            </w:pPr>
            <w:r w:rsidRPr="0044100A">
              <w:rPr>
                <w:rFonts w:ascii="Calibri" w:hAnsi="Calibri"/>
              </w:rPr>
              <w:t>Załącznik graficzny nr 64</w:t>
            </w:r>
          </w:p>
        </w:tc>
        <w:tc>
          <w:tcPr>
            <w:tcW w:w="6515" w:type="dxa"/>
            <w:shd w:val="clear" w:color="auto" w:fill="auto"/>
            <w:vAlign w:val="center"/>
          </w:tcPr>
          <w:p w14:paraId="6A19AD8D" w14:textId="41D1CAD4" w:rsidR="0044100A" w:rsidRPr="00795F17" w:rsidRDefault="00DF005E" w:rsidP="0044100A">
            <w:pPr>
              <w:pStyle w:val="Wykazskrotow"/>
            </w:pPr>
            <w:r>
              <w:t>JCWP</w:t>
            </w:r>
            <w:r w:rsidR="0044100A" w:rsidRPr="00795F17">
              <w:t xml:space="preserve"> RWr </w:t>
            </w:r>
            <w:r w:rsidR="0044100A">
              <w:t>–</w:t>
            </w:r>
            <w:r w:rsidR="0044100A" w:rsidRPr="00795F17">
              <w:t xml:space="preserve"> odstępstwa </w:t>
            </w:r>
          </w:p>
        </w:tc>
      </w:tr>
      <w:tr w:rsidR="0044100A" w:rsidRPr="00795F17" w14:paraId="58F57963" w14:textId="77777777" w:rsidTr="00A10B90">
        <w:trPr>
          <w:trHeight w:val="454"/>
        </w:trPr>
        <w:tc>
          <w:tcPr>
            <w:tcW w:w="2547" w:type="dxa"/>
            <w:shd w:val="clear" w:color="auto" w:fill="BFBFBF" w:themeFill="background1" w:themeFillShade="BF"/>
            <w:vAlign w:val="center"/>
          </w:tcPr>
          <w:p w14:paraId="5B9EAC8A" w14:textId="685509F2" w:rsidR="0044100A" w:rsidRPr="0044100A" w:rsidRDefault="0044100A" w:rsidP="0044100A">
            <w:pPr>
              <w:pStyle w:val="Wykazskrotowbold"/>
            </w:pPr>
            <w:r w:rsidRPr="0044100A">
              <w:rPr>
                <w:rFonts w:ascii="Calibri" w:hAnsi="Calibri"/>
              </w:rPr>
              <w:t>Załącznik graficzny nr 65</w:t>
            </w:r>
          </w:p>
        </w:tc>
        <w:tc>
          <w:tcPr>
            <w:tcW w:w="6515" w:type="dxa"/>
            <w:shd w:val="clear" w:color="auto" w:fill="auto"/>
            <w:vAlign w:val="center"/>
          </w:tcPr>
          <w:p w14:paraId="714E03D2" w14:textId="5F7FC56D" w:rsidR="0044100A" w:rsidRPr="00795F17" w:rsidRDefault="00DF005E" w:rsidP="0044100A">
            <w:pPr>
              <w:pStyle w:val="Wykazskrotow"/>
            </w:pPr>
            <w:r>
              <w:t>JCWP</w:t>
            </w:r>
            <w:r w:rsidR="0044100A" w:rsidRPr="00795F17">
              <w:t xml:space="preserve"> LW </w:t>
            </w:r>
            <w:r w:rsidR="0044100A">
              <w:t>–</w:t>
            </w:r>
            <w:r w:rsidR="0044100A" w:rsidRPr="00795F17">
              <w:t xml:space="preserve"> odstępstwa </w:t>
            </w:r>
          </w:p>
        </w:tc>
      </w:tr>
      <w:tr w:rsidR="0044100A" w:rsidRPr="00795F17" w14:paraId="4AFD0D3F" w14:textId="77777777" w:rsidTr="00A10B90">
        <w:trPr>
          <w:trHeight w:val="454"/>
        </w:trPr>
        <w:tc>
          <w:tcPr>
            <w:tcW w:w="2547" w:type="dxa"/>
            <w:shd w:val="clear" w:color="auto" w:fill="BFBFBF" w:themeFill="background1" w:themeFillShade="BF"/>
            <w:vAlign w:val="center"/>
          </w:tcPr>
          <w:p w14:paraId="5C3EAC98" w14:textId="331990DC" w:rsidR="0044100A" w:rsidRPr="0044100A" w:rsidRDefault="0044100A" w:rsidP="0044100A">
            <w:pPr>
              <w:pStyle w:val="Wykazskrotowbold"/>
            </w:pPr>
            <w:r w:rsidRPr="0044100A">
              <w:rPr>
                <w:rFonts w:ascii="Calibri" w:hAnsi="Calibri"/>
              </w:rPr>
              <w:t>Załącznik graficzny nr 66</w:t>
            </w:r>
          </w:p>
        </w:tc>
        <w:tc>
          <w:tcPr>
            <w:tcW w:w="6515" w:type="dxa"/>
            <w:shd w:val="clear" w:color="auto" w:fill="auto"/>
            <w:vAlign w:val="center"/>
          </w:tcPr>
          <w:p w14:paraId="6B70370E" w14:textId="1923046F" w:rsidR="0044100A" w:rsidRPr="00795F17" w:rsidRDefault="00DF005E" w:rsidP="0044100A">
            <w:pPr>
              <w:pStyle w:val="Wykazskrotow"/>
            </w:pPr>
            <w:r>
              <w:t>JCWP</w:t>
            </w:r>
            <w:r w:rsidR="0044100A" w:rsidRPr="00795F17">
              <w:t xml:space="preserve"> TW i CW </w:t>
            </w:r>
            <w:r w:rsidR="0044100A">
              <w:t>–</w:t>
            </w:r>
            <w:r w:rsidR="0044100A" w:rsidRPr="00795F17">
              <w:t xml:space="preserve"> odstępstwa </w:t>
            </w:r>
          </w:p>
        </w:tc>
      </w:tr>
      <w:tr w:rsidR="0044100A" w:rsidRPr="00795F17" w14:paraId="6E3767E0" w14:textId="77777777" w:rsidTr="00A10B90">
        <w:trPr>
          <w:trHeight w:val="454"/>
        </w:trPr>
        <w:tc>
          <w:tcPr>
            <w:tcW w:w="2547" w:type="dxa"/>
            <w:shd w:val="clear" w:color="auto" w:fill="BFBFBF" w:themeFill="background1" w:themeFillShade="BF"/>
            <w:vAlign w:val="center"/>
          </w:tcPr>
          <w:p w14:paraId="68F1F8C9" w14:textId="343A3E67" w:rsidR="0044100A" w:rsidRPr="0044100A" w:rsidRDefault="0044100A" w:rsidP="0044100A">
            <w:pPr>
              <w:pStyle w:val="Wykazskrotowbold"/>
            </w:pPr>
            <w:r w:rsidRPr="0044100A">
              <w:rPr>
                <w:rFonts w:ascii="Calibri" w:hAnsi="Calibri"/>
              </w:rPr>
              <w:t>Załącznik graficzny nr 67</w:t>
            </w:r>
          </w:p>
        </w:tc>
        <w:tc>
          <w:tcPr>
            <w:tcW w:w="6515" w:type="dxa"/>
            <w:shd w:val="clear" w:color="auto" w:fill="auto"/>
            <w:vAlign w:val="center"/>
          </w:tcPr>
          <w:p w14:paraId="25E21B20" w14:textId="63002257" w:rsidR="0044100A" w:rsidRPr="00795F17" w:rsidRDefault="00DF005E" w:rsidP="0044100A">
            <w:pPr>
              <w:pStyle w:val="Wykazskrotow"/>
            </w:pPr>
            <w:r>
              <w:t>JCWP</w:t>
            </w:r>
            <w:r w:rsidR="0044100A" w:rsidRPr="00795F17">
              <w:t xml:space="preserve">d </w:t>
            </w:r>
            <w:r w:rsidR="0044100A">
              <w:t>–</w:t>
            </w:r>
            <w:r w:rsidR="0044100A" w:rsidRPr="00795F17">
              <w:t xml:space="preserve"> odstępstwa </w:t>
            </w:r>
          </w:p>
        </w:tc>
      </w:tr>
      <w:tr w:rsidR="0044100A" w:rsidRPr="006361B0" w14:paraId="617AE499" w14:textId="77777777" w:rsidTr="00A10B90">
        <w:trPr>
          <w:trHeight w:val="454"/>
        </w:trPr>
        <w:tc>
          <w:tcPr>
            <w:tcW w:w="2547" w:type="dxa"/>
            <w:shd w:val="clear" w:color="auto" w:fill="BFBFBF" w:themeFill="background1" w:themeFillShade="BF"/>
            <w:vAlign w:val="center"/>
          </w:tcPr>
          <w:p w14:paraId="711D51E5" w14:textId="6AB9A863" w:rsidR="0044100A" w:rsidRPr="0044100A" w:rsidRDefault="0044100A" w:rsidP="0044100A">
            <w:pPr>
              <w:pStyle w:val="Wykazskrotowbold"/>
            </w:pPr>
            <w:r w:rsidRPr="0044100A">
              <w:rPr>
                <w:rFonts w:ascii="Calibri" w:hAnsi="Calibri"/>
              </w:rPr>
              <w:t>Załącznik graficzny nr 68</w:t>
            </w:r>
          </w:p>
        </w:tc>
        <w:tc>
          <w:tcPr>
            <w:tcW w:w="6515" w:type="dxa"/>
            <w:shd w:val="clear" w:color="auto" w:fill="auto"/>
            <w:vAlign w:val="center"/>
          </w:tcPr>
          <w:p w14:paraId="0CDBA5F8" w14:textId="7466AC8B" w:rsidR="0044100A" w:rsidRPr="00E44A1A" w:rsidRDefault="0044100A" w:rsidP="0044100A">
            <w:pPr>
              <w:pStyle w:val="Wykazskrotow"/>
            </w:pPr>
            <w:r w:rsidRPr="00795F17">
              <w:t xml:space="preserve">Lokalizacja przestrzenna </w:t>
            </w:r>
            <w:r>
              <w:t>–</w:t>
            </w:r>
            <w:r w:rsidRPr="00795F17">
              <w:t xml:space="preserve"> potencjalnie utrudniony spływ lodu</w:t>
            </w:r>
          </w:p>
        </w:tc>
      </w:tr>
    </w:tbl>
    <w:p w14:paraId="72610C30" w14:textId="77777777" w:rsidR="00A97762" w:rsidRPr="00A97762" w:rsidRDefault="00A97762" w:rsidP="0044393D"/>
    <w:sectPr w:rsidR="00A97762" w:rsidRPr="00A97762" w:rsidSect="00332A4E">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822844" w14:textId="77777777" w:rsidR="009C595A" w:rsidRDefault="009C595A" w:rsidP="0044393D">
      <w:r>
        <w:separator/>
      </w:r>
    </w:p>
    <w:p w14:paraId="244F838F" w14:textId="77777777" w:rsidR="009C595A" w:rsidRDefault="009C595A"/>
  </w:endnote>
  <w:endnote w:type="continuationSeparator" w:id="0">
    <w:p w14:paraId="7D3180E0" w14:textId="77777777" w:rsidR="009C595A" w:rsidRDefault="009C595A" w:rsidP="0044393D">
      <w:r>
        <w:continuationSeparator/>
      </w:r>
    </w:p>
    <w:p w14:paraId="6F2A07C2" w14:textId="77777777" w:rsidR="009C595A" w:rsidRDefault="009C595A"/>
  </w:endnote>
  <w:endnote w:type="continuationNotice" w:id="1">
    <w:p w14:paraId="403A6E7A" w14:textId="77777777" w:rsidR="009C595A" w:rsidRDefault="009C595A" w:rsidP="0044393D"/>
    <w:p w14:paraId="1CAD08CD" w14:textId="77777777" w:rsidR="009C595A" w:rsidRDefault="009C59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9999999">
    <w:altName w:val="Times New Roman"/>
    <w:panose1 w:val="00000000000000000000"/>
    <w:charset w:val="00"/>
    <w:family w:val="roman"/>
    <w:notTrueType/>
    <w:pitch w:val="default"/>
  </w:font>
  <w:font w:name="Calibri">
    <w:panose1 w:val="020F0502020204030204"/>
    <w:charset w:val="EE"/>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Times">
    <w:panose1 w:val="02020603050405020304"/>
    <w:charset w:val="EE"/>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WenQuanYi Micro Hei">
    <w:altName w:val="Times New Roman"/>
    <w:panose1 w:val="00000000000000000000"/>
    <w:charset w:val="00"/>
    <w:family w:val="roman"/>
    <w:notTrueType/>
    <w:pitch w:val="default"/>
  </w:font>
  <w:font w:name="Lohit Devanagari">
    <w:altName w:val="Times New Roman"/>
    <w:charset w:val="00"/>
    <w:family w:val="auto"/>
    <w:pitch w:val="variable"/>
  </w:font>
  <w:font w:name="Liberation Serif">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EUAlbertina">
    <w:altName w:val="Calibri"/>
    <w:panose1 w:val="00000000000000000000"/>
    <w:charset w:val="EE"/>
    <w:family w:val="auto"/>
    <w:notTrueType/>
    <w:pitch w:val="default"/>
    <w:sig w:usb0="00000005" w:usb1="00000000" w:usb2="00000000" w:usb3="00000000" w:csb0="00000002" w:csb1="00000000"/>
  </w:font>
  <w:font w:name="Arial Black">
    <w:panose1 w:val="020B0A04020102020204"/>
    <w:charset w:val="EE"/>
    <w:family w:val="swiss"/>
    <w:pitch w:val="variable"/>
    <w:sig w:usb0="A00002AF" w:usb1="400078FB" w:usb2="00000000" w:usb3="00000000" w:csb0="0000009F" w:csb1="00000000"/>
  </w:font>
  <w:font w:name="Myriad Pro">
    <w:altName w:val="Arial"/>
    <w:panose1 w:val="00000000000000000000"/>
    <w:charset w:val="00"/>
    <w:family w:val="swiss"/>
    <w:notTrueType/>
    <w:pitch w:val="variable"/>
    <w:sig w:usb0="20000287" w:usb1="00000001" w:usb2="00000000" w:usb3="00000000" w:csb0="0000019F" w:csb1="00000000"/>
  </w:font>
  <w:font w:name="Tahoma">
    <w:panose1 w:val="020B0604030504040204"/>
    <w:charset w:val="EE"/>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TimesNewRoman">
    <w:altName w:val="MS Mincho"/>
    <w:panose1 w:val="00000000000000000000"/>
    <w:charset w:val="00"/>
    <w:family w:val="auto"/>
    <w:notTrueType/>
    <w:pitch w:val="default"/>
    <w:sig w:usb0="00000000" w:usb1="08070000" w:usb2="00000010" w:usb3="00000000" w:csb0="00020009"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EE"/>
    <w:family w:val="roman"/>
    <w:pitch w:val="variable"/>
    <w:sig w:usb0="E00006FF" w:usb1="420024FF" w:usb2="02000000" w:usb3="00000000" w:csb0="0000019F" w:csb1="00000000"/>
  </w:font>
  <w:font w:name="Lucida Grande">
    <w:altName w:val="Segoe UI"/>
    <w:charset w:val="00"/>
    <w:family w:val="auto"/>
    <w:pitch w:val="variable"/>
    <w:sig w:usb0="E1000AEF" w:usb1="5000A1FF" w:usb2="00000000" w:usb3="00000000" w:csb0="000001BF" w:csb1="00000000"/>
  </w:font>
  <w:font w:name="Arial Unicode MS">
    <w:panose1 w:val="020B0604020202020204"/>
    <w:charset w:val="00"/>
    <w:family w:val="roman"/>
    <w:pitch w:val="variable"/>
    <w:sig w:usb0="00000003" w:usb1="00000000" w:usb2="00000000" w:usb3="00000000" w:csb0="00000001"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22A783" w14:textId="5B15A76C" w:rsidR="00BA6B41" w:rsidRPr="008F480A" w:rsidRDefault="009C595A" w:rsidP="0044393D">
    <w:pPr>
      <w:pStyle w:val="Stopka"/>
    </w:pPr>
    <w:sdt>
      <w:sdtPr>
        <w:id w:val="-1085597708"/>
        <w:docPartObj>
          <w:docPartGallery w:val="Page Numbers (Top of Page)"/>
          <w:docPartUnique/>
        </w:docPartObj>
      </w:sdtPr>
      <w:sdtEndPr/>
      <w:sdtContent>
        <w:r w:rsidR="00BA6B41" w:rsidRPr="0070252D">
          <w:t xml:space="preserve">Strona </w:t>
        </w:r>
        <w:r w:rsidR="00BA6B41" w:rsidRPr="00197A25">
          <w:rPr>
            <w:b/>
            <w:bCs/>
          </w:rPr>
          <w:fldChar w:fldCharType="begin"/>
        </w:r>
        <w:r w:rsidR="00BA6B41" w:rsidRPr="00197A25">
          <w:rPr>
            <w:b/>
            <w:bCs/>
          </w:rPr>
          <w:instrText>PAGE</w:instrText>
        </w:r>
        <w:r w:rsidR="00BA6B41" w:rsidRPr="00197A25">
          <w:rPr>
            <w:b/>
            <w:bCs/>
          </w:rPr>
          <w:fldChar w:fldCharType="separate"/>
        </w:r>
        <w:r w:rsidR="00BA6B41">
          <w:rPr>
            <w:b/>
            <w:bCs/>
            <w:noProof/>
          </w:rPr>
          <w:t>203</w:t>
        </w:r>
        <w:r w:rsidR="00BA6B41" w:rsidRPr="00197A25">
          <w:rPr>
            <w:b/>
            <w:bCs/>
          </w:rPr>
          <w:fldChar w:fldCharType="end"/>
        </w:r>
        <w:r w:rsidR="00BA6B41" w:rsidRPr="0070252D">
          <w:t xml:space="preserve"> z </w:t>
        </w:r>
        <w:r w:rsidR="00BA6B41" w:rsidRPr="00197A25">
          <w:rPr>
            <w:b/>
            <w:bCs/>
          </w:rPr>
          <w:fldChar w:fldCharType="begin"/>
        </w:r>
        <w:r w:rsidR="00BA6B41" w:rsidRPr="00197A25">
          <w:rPr>
            <w:b/>
            <w:bCs/>
          </w:rPr>
          <w:instrText>NUMPAGES</w:instrText>
        </w:r>
        <w:r w:rsidR="00BA6B41" w:rsidRPr="00197A25">
          <w:rPr>
            <w:b/>
            <w:bCs/>
          </w:rPr>
          <w:fldChar w:fldCharType="separate"/>
        </w:r>
        <w:r w:rsidR="00BA6B41">
          <w:rPr>
            <w:b/>
            <w:bCs/>
            <w:noProof/>
          </w:rPr>
          <w:t>469</w:t>
        </w:r>
        <w:r w:rsidR="00BA6B41" w:rsidRPr="00197A25">
          <w:rPr>
            <w:b/>
            <w:bCs/>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A41ED3" w14:textId="77777777" w:rsidR="00BA6B41" w:rsidRDefault="00BA6B41" w:rsidP="00924760">
    <w:pPr>
      <w:pStyle w:val="Stopka"/>
      <w:pBdr>
        <w:top w:val="none" w:sz="0" w:space="0" w:color="auto"/>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BA077D" w14:textId="77777777" w:rsidR="009C595A" w:rsidRDefault="009C595A">
      <w:r>
        <w:separator/>
      </w:r>
    </w:p>
  </w:footnote>
  <w:footnote w:type="continuationSeparator" w:id="0">
    <w:p w14:paraId="54C8ECE0" w14:textId="77777777" w:rsidR="009C595A" w:rsidRPr="004C6091" w:rsidRDefault="009C595A" w:rsidP="004C6091">
      <w:r>
        <w:separator/>
      </w:r>
    </w:p>
  </w:footnote>
  <w:footnote w:type="continuationNotice" w:id="1">
    <w:p w14:paraId="59F6C47B" w14:textId="77777777" w:rsidR="009C595A" w:rsidRPr="00122E83" w:rsidRDefault="009C595A" w:rsidP="005842B5">
      <w:pPr>
        <w:pStyle w:val="Stopka"/>
      </w:pPr>
    </w:p>
  </w:footnote>
  <w:footnote w:id="2">
    <w:p w14:paraId="45AD8CB7" w14:textId="7F369F19" w:rsidR="00BA6B41" w:rsidRPr="0067278A" w:rsidRDefault="00BA6B41" w:rsidP="0044393D">
      <w:pPr>
        <w:pStyle w:val="Przypis"/>
      </w:pPr>
      <w:r w:rsidRPr="009D6F42">
        <w:rPr>
          <w:rStyle w:val="Odwoanieprzypisudolnego"/>
          <w:sz w:val="16"/>
          <w:szCs w:val="16"/>
        </w:rPr>
        <w:footnoteRef/>
      </w:r>
      <w:r w:rsidRPr="009D6F42">
        <w:t xml:space="preserve"> W wyniku dokonanych pr.w. zmian, </w:t>
      </w:r>
      <w:r>
        <w:t xml:space="preserve">cztery regiony wodne </w:t>
      </w:r>
      <w:r w:rsidRPr="009D6F42">
        <w:t xml:space="preserve">wskazywane w aPGW zostały podzielone na </w:t>
      </w:r>
      <w:r>
        <w:t>pięć</w:t>
      </w:r>
      <w:r w:rsidRPr="009D6F42">
        <w:t xml:space="preserve"> (</w:t>
      </w:r>
      <w:r>
        <w:t xml:space="preserve">z </w:t>
      </w:r>
      <w:r w:rsidRPr="009D6F42">
        <w:t>region</w:t>
      </w:r>
      <w:r>
        <w:t>u</w:t>
      </w:r>
      <w:r w:rsidRPr="009D6F42">
        <w:t xml:space="preserve"> wodn</w:t>
      </w:r>
      <w:r>
        <w:t>ego</w:t>
      </w:r>
      <w:r w:rsidRPr="009D6F42">
        <w:t xml:space="preserve"> </w:t>
      </w:r>
      <w:r>
        <w:t>Warty wydzielony został region wodny Noteci</w:t>
      </w:r>
      <w:r w:rsidRPr="009D6F42">
        <w:t>). Informacje dotyczące zmian i uaktualnień wprowadzonych w</w:t>
      </w:r>
      <w:r>
        <w:t> </w:t>
      </w:r>
      <w:r w:rsidRPr="009D6F42">
        <w:t>okresie od 2016</w:t>
      </w:r>
      <w:r w:rsidR="0079397E">
        <w:t>–</w:t>
      </w:r>
      <w:r w:rsidRPr="009D6F42">
        <w:t>2021 (aPGW) przestawia rozdział 23 IIaPGW.</w:t>
      </w:r>
    </w:p>
  </w:footnote>
  <w:footnote w:id="3">
    <w:p w14:paraId="2DFC1090" w14:textId="36934F4B" w:rsidR="00BA6B41" w:rsidRPr="00660529" w:rsidRDefault="00BA6B41" w:rsidP="0044393D">
      <w:pPr>
        <w:pStyle w:val="Przypis"/>
        <w:rPr>
          <w:lang w:val="en-GB"/>
        </w:rPr>
      </w:pPr>
      <w:r>
        <w:rPr>
          <w:rStyle w:val="Odwoanieprzypisudolnego"/>
        </w:rPr>
        <w:footnoteRef/>
      </w:r>
      <w:r w:rsidRPr="00660529">
        <w:rPr>
          <w:lang w:val="en-GB"/>
        </w:rPr>
        <w:t xml:space="preserve"> Corine Land Cover (CLC 2018)</w:t>
      </w:r>
      <w:r>
        <w:rPr>
          <w:lang w:val="en-GB"/>
        </w:rPr>
        <w:t xml:space="preserve">; </w:t>
      </w:r>
      <w:hyperlink r:id="rId1" w:history="1">
        <w:r w:rsidR="00885CB0" w:rsidRPr="00762D3C">
          <w:rPr>
            <w:rStyle w:val="Hipercze"/>
            <w:lang w:val="en-GB"/>
          </w:rPr>
          <w:t>https://land.copernicus.eu/pan-european/corine-land-cover</w:t>
        </w:r>
      </w:hyperlink>
      <w:r w:rsidR="00885CB0">
        <w:rPr>
          <w:lang w:val="en-GB"/>
        </w:rPr>
        <w:t xml:space="preserve"> </w:t>
      </w:r>
    </w:p>
  </w:footnote>
  <w:footnote w:id="4">
    <w:p w14:paraId="0B1787AE" w14:textId="77777777" w:rsidR="00BA6B41" w:rsidRPr="00660529" w:rsidRDefault="00BA6B41" w:rsidP="0044393D">
      <w:pPr>
        <w:pStyle w:val="Przypis"/>
        <w:rPr>
          <w:lang w:val="en-GB"/>
        </w:rPr>
      </w:pPr>
      <w:r>
        <w:rPr>
          <w:rStyle w:val="Odwoanieprzypisudolnego"/>
        </w:rPr>
        <w:footnoteRef/>
      </w:r>
      <w:r w:rsidRPr="00660529">
        <w:rPr>
          <w:lang w:val="en-GB"/>
        </w:rPr>
        <w:t xml:space="preserve"> Corine Land Cover (CLC 2018)</w:t>
      </w:r>
      <w:r>
        <w:rPr>
          <w:lang w:val="en-GB"/>
        </w:rPr>
        <w:t xml:space="preserve">; </w:t>
      </w:r>
      <w:r w:rsidRPr="00660529">
        <w:rPr>
          <w:lang w:val="en-GB"/>
        </w:rPr>
        <w:t>https://land.copernicus.eu/pan</w:t>
      </w:r>
      <w:r>
        <w:rPr>
          <w:lang w:val="en-GB"/>
        </w:rPr>
        <w:t>-</w:t>
      </w:r>
      <w:r w:rsidRPr="00660529">
        <w:rPr>
          <w:lang w:val="en-GB"/>
        </w:rPr>
        <w:t>european/corine</w:t>
      </w:r>
      <w:r>
        <w:rPr>
          <w:lang w:val="en-GB"/>
        </w:rPr>
        <w:t>-</w:t>
      </w:r>
      <w:r w:rsidRPr="00660529">
        <w:rPr>
          <w:lang w:val="en-GB"/>
        </w:rPr>
        <w:t>land-cover</w:t>
      </w:r>
    </w:p>
  </w:footnote>
  <w:footnote w:id="5">
    <w:p w14:paraId="3420012C" w14:textId="41D81DD0" w:rsidR="00BA6B41" w:rsidRPr="00660529" w:rsidRDefault="00BA6B41" w:rsidP="0044393D">
      <w:pPr>
        <w:pStyle w:val="Przypis"/>
        <w:rPr>
          <w:lang w:val="en-GB"/>
        </w:rPr>
      </w:pPr>
      <w:r>
        <w:rPr>
          <w:rStyle w:val="Odwoanieprzypisudolnego"/>
        </w:rPr>
        <w:footnoteRef/>
      </w:r>
      <w:r w:rsidRPr="00660529">
        <w:rPr>
          <w:lang w:val="en-GB"/>
        </w:rPr>
        <w:t xml:space="preserve"> Corine Land Cover (CLC 2018)</w:t>
      </w:r>
      <w:r>
        <w:rPr>
          <w:lang w:val="en-GB"/>
        </w:rPr>
        <w:t xml:space="preserve">; </w:t>
      </w:r>
      <w:r w:rsidRPr="00660529">
        <w:rPr>
          <w:lang w:val="en-GB"/>
        </w:rPr>
        <w:t>https://land.copernicus.eu/pan</w:t>
      </w:r>
      <w:r>
        <w:rPr>
          <w:lang w:val="en-GB"/>
        </w:rPr>
        <w:t>-</w:t>
      </w:r>
      <w:r w:rsidRPr="00660529">
        <w:rPr>
          <w:lang w:val="en-GB"/>
        </w:rPr>
        <w:t>european/corine</w:t>
      </w:r>
      <w:r>
        <w:rPr>
          <w:lang w:val="en-GB"/>
        </w:rPr>
        <w:t>-</w:t>
      </w:r>
      <w:r w:rsidRPr="00660529">
        <w:rPr>
          <w:lang w:val="en-GB"/>
        </w:rPr>
        <w:t>land-cover</w:t>
      </w:r>
    </w:p>
  </w:footnote>
  <w:footnote w:id="6">
    <w:p w14:paraId="4AD9B725" w14:textId="6D829085" w:rsidR="00BA6B41" w:rsidRPr="009D47C3" w:rsidRDefault="00BA6B41" w:rsidP="0044393D">
      <w:pPr>
        <w:pStyle w:val="Przypis"/>
      </w:pPr>
      <w:r>
        <w:rPr>
          <w:rStyle w:val="Odwoanieprzypisudolnego"/>
        </w:rPr>
        <w:footnoteRef/>
      </w:r>
      <w:r w:rsidRPr="009D47C3">
        <w:t xml:space="preserve"> Region wodny Warty w obecnym kształcie powstał z podzielenia regionu wodnego Warty (aPGW) na dwa regiony: region wodny Noteci i region wodny Warty, w ramach zmian obszarów dorzeczy dokonanych pr.w</w:t>
      </w:r>
      <w:r w:rsidRPr="00F01DCC">
        <w:rPr>
          <w:rFonts w:asciiTheme="minorHAnsi" w:eastAsiaTheme="minorEastAsia" w:hAnsiTheme="minorHAnsi" w:cstheme="minorBidi"/>
          <w:color w:val="000000"/>
          <w:sz w:val="22"/>
          <w:szCs w:val="22"/>
        </w:rPr>
        <w:t>.</w:t>
      </w:r>
      <w:r>
        <w:rPr>
          <w:rFonts w:asciiTheme="minorHAnsi" w:eastAsiaTheme="minorEastAsia" w:hAnsiTheme="minorHAnsi" w:cstheme="minorBidi"/>
          <w:color w:val="000000"/>
          <w:sz w:val="22"/>
          <w:szCs w:val="22"/>
        </w:rPr>
        <w:t xml:space="preserve"> </w:t>
      </w:r>
      <w:r w:rsidRPr="00710D25">
        <w:t>Informacje o zmianach i</w:t>
      </w:r>
      <w:r>
        <w:t> </w:t>
      </w:r>
      <w:r w:rsidRPr="00710D25">
        <w:t>uaktualnieniach wprowadzonych w okresie 2016-2021 (aPGW) przedstawia rozdział 23 IIaPGW</w:t>
      </w:r>
      <w:r>
        <w:t>.</w:t>
      </w:r>
    </w:p>
  </w:footnote>
  <w:footnote w:id="7">
    <w:p w14:paraId="1D53EF32" w14:textId="2015F455" w:rsidR="00BA6B41" w:rsidRPr="00660529" w:rsidRDefault="00BA6B41" w:rsidP="0044393D">
      <w:pPr>
        <w:pStyle w:val="Przypis"/>
        <w:rPr>
          <w:lang w:val="en-GB"/>
        </w:rPr>
      </w:pPr>
      <w:r>
        <w:rPr>
          <w:rStyle w:val="Odwoanieprzypisudolnego"/>
        </w:rPr>
        <w:footnoteRef/>
      </w:r>
      <w:r w:rsidRPr="00660529">
        <w:rPr>
          <w:lang w:val="en-GB"/>
        </w:rPr>
        <w:t xml:space="preserve"> Corine Land Cover (CLC 2018)</w:t>
      </w:r>
      <w:r>
        <w:rPr>
          <w:lang w:val="en-GB"/>
        </w:rPr>
        <w:t xml:space="preserve">; </w:t>
      </w:r>
      <w:r w:rsidR="00AD2F60" w:rsidRPr="00AD2F60">
        <w:rPr>
          <w:lang w:val="en-US"/>
        </w:rPr>
        <w:t xml:space="preserve">https://land.copernicus.eu/pan-european/corine-land-cover </w:t>
      </w:r>
    </w:p>
  </w:footnote>
  <w:footnote w:id="8">
    <w:p w14:paraId="380C0218" w14:textId="44EF23B2" w:rsidR="00BA6B41" w:rsidRPr="00710D25" w:rsidRDefault="00BA6B41" w:rsidP="0044393D">
      <w:pPr>
        <w:pStyle w:val="Przypis"/>
      </w:pPr>
      <w:r w:rsidRPr="00A75324">
        <w:rPr>
          <w:rStyle w:val="Odwoanieprzypisudolnego"/>
        </w:rPr>
        <w:footnoteRef/>
      </w:r>
      <w:r>
        <w:t xml:space="preserve"> </w:t>
      </w:r>
      <w:r w:rsidRPr="009D47C3">
        <w:t>Region wodny Noteci nie był wydzielony w aPGW. Powstał z regionu wodnego Warty w ramach zmian obszarów dorzeczy dokonanych pr.w.</w:t>
      </w:r>
      <w:r w:rsidRPr="00710D25">
        <w:t xml:space="preserve"> Informacje o zmianach i uaktualnieniach wprowadzonych w okresie 2016</w:t>
      </w:r>
      <w:r w:rsidR="0079397E">
        <w:t>–</w:t>
      </w:r>
      <w:r w:rsidRPr="00710D25">
        <w:t>2021 (aPGW) przedstawia rozdział 23 IIaPGW.</w:t>
      </w:r>
    </w:p>
  </w:footnote>
  <w:footnote w:id="9">
    <w:p w14:paraId="3FB91DA6" w14:textId="0E3D99FB" w:rsidR="00BA6B41" w:rsidRPr="00047727" w:rsidRDefault="00BA6B41" w:rsidP="0044393D">
      <w:pPr>
        <w:pStyle w:val="Przypis"/>
        <w:rPr>
          <w:lang w:val="en-US"/>
        </w:rPr>
      </w:pPr>
      <w:r w:rsidRPr="00710D25">
        <w:rPr>
          <w:rStyle w:val="Odwoanieprzypisudolnego"/>
          <w:sz w:val="16"/>
          <w:szCs w:val="16"/>
        </w:rPr>
        <w:footnoteRef/>
      </w:r>
      <w:r w:rsidRPr="00710D25">
        <w:rPr>
          <w:lang w:val="en-GB"/>
        </w:rPr>
        <w:t xml:space="preserve"> </w:t>
      </w:r>
      <w:r w:rsidRPr="00660529">
        <w:rPr>
          <w:lang w:val="en-GB"/>
        </w:rPr>
        <w:t>Corine Land Cover (CLC 2018)</w:t>
      </w:r>
      <w:r>
        <w:rPr>
          <w:lang w:val="en-GB"/>
        </w:rPr>
        <w:t xml:space="preserve">; </w:t>
      </w:r>
      <w:r w:rsidRPr="00660529">
        <w:rPr>
          <w:lang w:val="en-GB"/>
        </w:rPr>
        <w:t>https://land.copernicus.eu/pan</w:t>
      </w:r>
      <w:r>
        <w:rPr>
          <w:lang w:val="en-GB"/>
        </w:rPr>
        <w:t>-</w:t>
      </w:r>
      <w:r w:rsidRPr="00660529">
        <w:rPr>
          <w:lang w:val="en-GB"/>
        </w:rPr>
        <w:t>european/corine</w:t>
      </w:r>
      <w:r>
        <w:rPr>
          <w:lang w:val="en-GB"/>
        </w:rPr>
        <w:t>-</w:t>
      </w:r>
      <w:r w:rsidRPr="00660529">
        <w:rPr>
          <w:lang w:val="en-GB"/>
        </w:rPr>
        <w:t>land-cover</w:t>
      </w:r>
    </w:p>
  </w:footnote>
  <w:footnote w:id="10">
    <w:p w14:paraId="3BB3355C" w14:textId="16F26967" w:rsidR="00BA6B41" w:rsidRPr="0099626A" w:rsidRDefault="00BA6B41" w:rsidP="0044393D">
      <w:pPr>
        <w:pStyle w:val="Przypis"/>
      </w:pPr>
      <w:r w:rsidRPr="0099626A">
        <w:rPr>
          <w:rStyle w:val="Odwoanieprzypisudolnego"/>
          <w:sz w:val="16"/>
          <w:szCs w:val="16"/>
        </w:rPr>
        <w:footnoteRef/>
      </w:r>
      <w:r w:rsidRPr="0099626A">
        <w:t xml:space="preserve"> Informacje o zmianach i uaktualnieniach wprowadzonych w okresie 2016</w:t>
      </w:r>
      <w:r w:rsidR="0079397E">
        <w:t>–</w:t>
      </w:r>
      <w:r w:rsidRPr="0099626A">
        <w:t>2021 (aPGW) przedstawia rozdział 23 IIaPGW.</w:t>
      </w:r>
    </w:p>
  </w:footnote>
  <w:footnote w:id="11">
    <w:p w14:paraId="66DBCC2D" w14:textId="0456B296" w:rsidR="00C03E60" w:rsidRPr="00EC2B35" w:rsidRDefault="00C03E60">
      <w:pPr>
        <w:pStyle w:val="Tekstprzypisudolnego"/>
        <w:rPr>
          <w:szCs w:val="18"/>
        </w:rPr>
      </w:pPr>
      <w:r w:rsidRPr="00EC2B35">
        <w:rPr>
          <w:rStyle w:val="Odwoanieprzypisudolnego"/>
          <w:szCs w:val="18"/>
        </w:rPr>
        <w:footnoteRef/>
      </w:r>
      <w:r w:rsidRPr="00EC2B35">
        <w:rPr>
          <w:szCs w:val="18"/>
        </w:rPr>
        <w:t xml:space="preserve"> </w:t>
      </w:r>
      <w:r w:rsidRPr="00EC2B35">
        <w:rPr>
          <w:i/>
          <w:szCs w:val="18"/>
        </w:rPr>
        <w:t xml:space="preserve">Aktualizacja wykazu </w:t>
      </w:r>
      <w:r w:rsidR="00DF005E">
        <w:rPr>
          <w:i/>
          <w:szCs w:val="18"/>
        </w:rPr>
        <w:t>JCWP</w:t>
      </w:r>
      <w:r w:rsidRPr="00EC2B35">
        <w:rPr>
          <w:i/>
          <w:szCs w:val="18"/>
        </w:rPr>
        <w:t xml:space="preserve"> i SCWP dla potrzeb kolejnej aktualizacji planów w latach 2015–2021 wraz z weryfikacją typów wód części wód,</w:t>
      </w:r>
      <w:r w:rsidRPr="00EC2B35">
        <w:rPr>
          <w:szCs w:val="18"/>
        </w:rPr>
        <w:t xml:space="preserve"> KZGW, Warszawa 2015.</w:t>
      </w:r>
    </w:p>
  </w:footnote>
  <w:footnote w:id="12">
    <w:p w14:paraId="774BA9A5" w14:textId="2539345D" w:rsidR="00C03E60" w:rsidRDefault="00C03E60">
      <w:pPr>
        <w:pStyle w:val="Tekstprzypisudolnego"/>
      </w:pPr>
      <w:r w:rsidRPr="00EC2B35">
        <w:rPr>
          <w:rStyle w:val="Odwoanieprzypisudolnego"/>
          <w:szCs w:val="18"/>
        </w:rPr>
        <w:footnoteRef/>
      </w:r>
      <w:r w:rsidRPr="00EC2B35">
        <w:rPr>
          <w:szCs w:val="18"/>
        </w:rPr>
        <w:t xml:space="preserve"> </w:t>
      </w:r>
      <w:r w:rsidRPr="00EC2B35">
        <w:rPr>
          <w:i/>
          <w:szCs w:val="18"/>
        </w:rPr>
        <w:t>Analiza i aktualizacja jednostek do planowania z uwzględnieniem</w:t>
      </w:r>
      <w:r w:rsidRPr="00EC2B35">
        <w:rPr>
          <w:szCs w:val="18"/>
        </w:rPr>
        <w:t xml:space="preserve"> </w:t>
      </w:r>
      <w:r w:rsidRPr="00EC2B35">
        <w:rPr>
          <w:i/>
          <w:szCs w:val="18"/>
        </w:rPr>
        <w:t>MPHP10</w:t>
      </w:r>
      <w:r w:rsidR="004B67AF">
        <w:rPr>
          <w:i/>
          <w:iCs/>
          <w:szCs w:val="18"/>
        </w:rPr>
        <w:t xml:space="preserve">, </w:t>
      </w:r>
      <w:r w:rsidR="00B91A58" w:rsidRPr="00F86241">
        <w:rPr>
          <w:szCs w:val="18"/>
        </w:rPr>
        <w:t>2017</w:t>
      </w:r>
      <w:r w:rsidRPr="00F86241">
        <w:rPr>
          <w:szCs w:val="18"/>
        </w:rPr>
        <w:t>.</w:t>
      </w:r>
    </w:p>
  </w:footnote>
  <w:footnote w:id="13">
    <w:p w14:paraId="6512CBE8" w14:textId="77777777" w:rsidR="00BA6B41" w:rsidRDefault="00BA6B41" w:rsidP="0044393D">
      <w:pPr>
        <w:pStyle w:val="Przypis"/>
      </w:pPr>
      <w:r w:rsidRPr="00196916">
        <w:rPr>
          <w:rStyle w:val="Odwoanieprzypisudolnego"/>
          <w:rFonts w:asciiTheme="minorHAnsi" w:hAnsiTheme="minorHAnsi"/>
          <w:sz w:val="16"/>
          <w:szCs w:val="16"/>
        </w:rPr>
        <w:footnoteRef/>
      </w:r>
      <w:r w:rsidRPr="00196916">
        <w:t xml:space="preserve"> </w:t>
      </w:r>
      <w:r w:rsidRPr="00EC2B35">
        <w:rPr>
          <w:i/>
        </w:rPr>
        <w:t>Typologia wód powierzchniowych i wyznaczenie części wód powierzchniowych i podziemnych zgodnie z wymogami Ramowej</w:t>
      </w:r>
      <w:r w:rsidRPr="00EC2B35">
        <w:rPr>
          <w:i/>
          <w:position w:val="-6"/>
        </w:rPr>
        <w:t xml:space="preserve"> </w:t>
      </w:r>
      <w:r w:rsidRPr="00EC2B35">
        <w:rPr>
          <w:i/>
        </w:rPr>
        <w:t>Dyrektywy Wodnej 2000/60/WE</w:t>
      </w:r>
      <w:r w:rsidRPr="008D3C33">
        <w:rPr>
          <w:iCs/>
        </w:rPr>
        <w:t>,</w:t>
      </w:r>
      <w:r w:rsidRPr="008D3C33">
        <w:t xml:space="preserve"> 2004</w:t>
      </w:r>
      <w:r w:rsidRPr="00196916">
        <w:t>, IMGW-PIB, IOŚ-PIB, Instytut Morski, Warszawa 2004.</w:t>
      </w:r>
    </w:p>
  </w:footnote>
  <w:footnote w:id="14">
    <w:p w14:paraId="1D257A0C" w14:textId="67179748" w:rsidR="00BA6B41" w:rsidRPr="00196916" w:rsidRDefault="00BA6B41" w:rsidP="0044393D">
      <w:pPr>
        <w:pStyle w:val="Przypis"/>
      </w:pPr>
      <w:r w:rsidRPr="00196916">
        <w:rPr>
          <w:rStyle w:val="Odwoanieprzypisudolnego"/>
          <w:rFonts w:asciiTheme="minorHAnsi" w:hAnsiTheme="minorHAnsi"/>
          <w:sz w:val="16"/>
          <w:szCs w:val="16"/>
        </w:rPr>
        <w:footnoteRef/>
      </w:r>
      <w:r w:rsidRPr="00196916">
        <w:t xml:space="preserve"> </w:t>
      </w:r>
      <w:r w:rsidRPr="00EC2B35">
        <w:rPr>
          <w:i/>
        </w:rPr>
        <w:t xml:space="preserve">Aktualizacja wykazu </w:t>
      </w:r>
      <w:r w:rsidR="00DF005E">
        <w:rPr>
          <w:i/>
        </w:rPr>
        <w:t>JCWP</w:t>
      </w:r>
      <w:r w:rsidRPr="00EC2B35">
        <w:rPr>
          <w:i/>
        </w:rPr>
        <w:t xml:space="preserve"> i SCWP dla potrzeb kolejnej aktualizacji planów w latach 2015</w:t>
      </w:r>
      <w:r w:rsidR="0079397E" w:rsidRPr="00EC2B35">
        <w:rPr>
          <w:i/>
          <w:iCs/>
        </w:rPr>
        <w:t>–</w:t>
      </w:r>
      <w:r w:rsidRPr="00EC2B35">
        <w:rPr>
          <w:i/>
        </w:rPr>
        <w:t>2021 wraz z weryfikacją typów wód części wód,</w:t>
      </w:r>
      <w:r w:rsidRPr="00196916">
        <w:t xml:space="preserve"> KZGW, Warszawa 2015</w:t>
      </w:r>
      <w:r>
        <w:t>.</w:t>
      </w:r>
    </w:p>
  </w:footnote>
  <w:footnote w:id="15">
    <w:p w14:paraId="3F3CB98D" w14:textId="37FBC2C7" w:rsidR="00BA6B41" w:rsidRPr="002C4927" w:rsidRDefault="00BA6B41" w:rsidP="0044393D">
      <w:pPr>
        <w:pStyle w:val="Przypis"/>
      </w:pPr>
      <w:r w:rsidRPr="00EC2B35">
        <w:rPr>
          <w:rStyle w:val="Odwoanieprzypisudolnego"/>
        </w:rPr>
        <w:footnoteRef/>
      </w:r>
      <w:r w:rsidRPr="002C4927">
        <w:t xml:space="preserve"> Informacje dotyczące zmian i uaktualnień dokonanych w okresie 2016</w:t>
      </w:r>
      <w:r w:rsidR="006B5BAA" w:rsidRPr="002C4927">
        <w:t>–</w:t>
      </w:r>
      <w:r w:rsidRPr="002C4927">
        <w:t>2021 (aPGW) przedstawia rozdział 23 IIaPGW.</w:t>
      </w:r>
    </w:p>
  </w:footnote>
  <w:footnote w:id="16">
    <w:p w14:paraId="29373703" w14:textId="506C308C" w:rsidR="00BA6B41" w:rsidRPr="00996053" w:rsidRDefault="00BA6B41" w:rsidP="0044393D">
      <w:pPr>
        <w:pStyle w:val="Przypis"/>
      </w:pPr>
      <w:r w:rsidRPr="00996053">
        <w:rPr>
          <w:rStyle w:val="Odwoanieprzypisudolnego"/>
          <w:sz w:val="16"/>
          <w:szCs w:val="16"/>
        </w:rPr>
        <w:footnoteRef/>
      </w:r>
      <w:r w:rsidRPr="00996053">
        <w:t xml:space="preserve"> Informacje o zmianach i uaktualnieniach wprowadzonych w okresie 2016</w:t>
      </w:r>
      <w:r w:rsidR="006B5BAA">
        <w:t>–</w:t>
      </w:r>
      <w:r w:rsidRPr="00996053">
        <w:t>2021 (aPGW) przedstawia rozdział 23 IIaPGW.</w:t>
      </w:r>
    </w:p>
  </w:footnote>
  <w:footnote w:id="17">
    <w:p w14:paraId="6F8F8EE8" w14:textId="507F165F" w:rsidR="00BA6B41" w:rsidRDefault="00BA6B41" w:rsidP="00D62D88">
      <w:pPr>
        <w:pStyle w:val="Przypis"/>
      </w:pPr>
      <w:r>
        <w:rPr>
          <w:rStyle w:val="Odwoanieprzypisudolnego"/>
        </w:rPr>
        <w:footnoteRef/>
      </w:r>
      <w:r>
        <w:t xml:space="preserve"> </w:t>
      </w:r>
      <w:r w:rsidR="0079397E">
        <w:t xml:space="preserve">A. </w:t>
      </w:r>
      <w:r w:rsidRPr="00A27783">
        <w:rPr>
          <w:lang w:eastAsia="pl-PL"/>
        </w:rPr>
        <w:t>Kuczyńska</w:t>
      </w:r>
      <w:r w:rsidRPr="00A27783" w:rsidDel="0079397E">
        <w:rPr>
          <w:lang w:eastAsia="pl-PL"/>
        </w:rPr>
        <w:t xml:space="preserve"> </w:t>
      </w:r>
      <w:r w:rsidRPr="00A27783">
        <w:rPr>
          <w:lang w:eastAsia="pl-PL"/>
        </w:rPr>
        <w:t xml:space="preserve">i in., </w:t>
      </w:r>
      <w:r w:rsidRPr="00EC2B35">
        <w:rPr>
          <w:i/>
          <w:lang w:eastAsia="pl-PL"/>
        </w:rPr>
        <w:t>Aktualizacja programu monitoringu jednolitych części wód podziemnych w układzie dorzeczy na lata 2022</w:t>
      </w:r>
      <w:r w:rsidR="0079397E" w:rsidRPr="00EC2B35">
        <w:rPr>
          <w:i/>
          <w:iCs/>
          <w:lang w:eastAsia="pl-PL"/>
        </w:rPr>
        <w:t>–</w:t>
      </w:r>
      <w:r w:rsidRPr="00EC2B35">
        <w:rPr>
          <w:i/>
          <w:lang w:eastAsia="pl-PL"/>
        </w:rPr>
        <w:t>2027</w:t>
      </w:r>
      <w:r w:rsidRPr="00A27783">
        <w:rPr>
          <w:lang w:eastAsia="pl-PL"/>
        </w:rPr>
        <w:t>, PIG-PIB 2020.</w:t>
      </w:r>
    </w:p>
  </w:footnote>
  <w:footnote w:id="18">
    <w:p w14:paraId="46463379" w14:textId="368A1673" w:rsidR="00BA6B41" w:rsidRPr="00E81A22" w:rsidRDefault="00BA6B41" w:rsidP="0044393D">
      <w:pPr>
        <w:pStyle w:val="Przypis"/>
      </w:pPr>
      <w:r w:rsidRPr="00E81A22">
        <w:rPr>
          <w:rStyle w:val="Odwoanieprzypisudolnego"/>
          <w:sz w:val="16"/>
          <w:szCs w:val="16"/>
        </w:rPr>
        <w:footnoteRef/>
      </w:r>
      <w:r w:rsidRPr="00E81A22">
        <w:t xml:space="preserve"> Informacje o zmianach i uaktualnieniach wprowadzonych w okresie 2016</w:t>
      </w:r>
      <w:r w:rsidR="0079397E">
        <w:t>–</w:t>
      </w:r>
      <w:r w:rsidRPr="00E81A22">
        <w:t>2021 (aPGW) przedstawia rozdział 23 IIaPGW.</w:t>
      </w:r>
    </w:p>
  </w:footnote>
  <w:footnote w:id="19">
    <w:p w14:paraId="4DD6A534" w14:textId="1088187C" w:rsidR="005C6E8F" w:rsidRDefault="005C6E8F" w:rsidP="005C6E8F">
      <w:pPr>
        <w:pStyle w:val="Tekstprzypisudolnego"/>
      </w:pPr>
      <w:r>
        <w:rPr>
          <w:rStyle w:val="Odwoanieprzypisudolnego"/>
        </w:rPr>
        <w:footnoteRef/>
      </w:r>
      <w:r>
        <w:t xml:space="preserve"> W przypadku obszarów przeznaczonych do ochrony troci wędrownej wyłączone z obszarów zostały zbiorniki i jeziora kończące dany obszar oraz jeziora źródliskowe.</w:t>
      </w:r>
    </w:p>
  </w:footnote>
  <w:footnote w:id="20">
    <w:p w14:paraId="3E8CA64A" w14:textId="77777777" w:rsidR="005C6E8F" w:rsidRDefault="005C6E8F" w:rsidP="005C6E8F">
      <w:pPr>
        <w:pStyle w:val="Tekstprzypisudolnego"/>
      </w:pPr>
      <w:r>
        <w:rPr>
          <w:rStyle w:val="Odwoanieprzypisudolnego"/>
        </w:rPr>
        <w:footnoteRef/>
      </w:r>
      <w:r>
        <w:t xml:space="preserve"> W przypadku węgorza europejskiego, z uwagi na cykl rozwojowy węgorza, do obszarów przeznaczonych do ochrony tego gatunku włączane są również zbiorniki i jeziora rozpoczynające dany obszar.</w:t>
      </w:r>
    </w:p>
  </w:footnote>
  <w:footnote w:id="21">
    <w:p w14:paraId="7090250F" w14:textId="7EA9B7CB" w:rsidR="00BA6B41" w:rsidRDefault="00BA6B41" w:rsidP="0044393D">
      <w:pPr>
        <w:pStyle w:val="Przypis"/>
      </w:pPr>
      <w:r>
        <w:rPr>
          <w:rStyle w:val="Odwoanieprzypisudolnego"/>
        </w:rPr>
        <w:footnoteRef/>
      </w:r>
      <w:r>
        <w:t xml:space="preserve"> P</w:t>
      </w:r>
      <w:r w:rsidRPr="00903CCB">
        <w:t>rojekty KLIMAT 2012, KLIMADA 2013, KLIMADA 2.0, CHASE-PL 2017</w:t>
      </w:r>
      <w:r>
        <w:t>.</w:t>
      </w:r>
    </w:p>
  </w:footnote>
  <w:footnote w:id="22">
    <w:p w14:paraId="2EEB60B6" w14:textId="2A42724B" w:rsidR="00BA6B41" w:rsidRDefault="00BA6B41" w:rsidP="0044393D">
      <w:pPr>
        <w:pStyle w:val="Przypis"/>
        <w:rPr>
          <w:rFonts w:asciiTheme="minorHAnsi" w:hAnsiTheme="minorHAnsi" w:cstheme="minorHAnsi"/>
          <w:color w:val="222222"/>
          <w:shd w:val="clear" w:color="auto" w:fill="FFFFFF"/>
        </w:rPr>
      </w:pPr>
      <w:r w:rsidRPr="00FB7DD2">
        <w:rPr>
          <w:vertAlign w:val="superscript"/>
        </w:rPr>
        <w:footnoteRef/>
      </w:r>
      <w:r w:rsidRPr="008F5EEC">
        <w:t xml:space="preserve"> </w:t>
      </w:r>
      <w:r w:rsidR="000F21F2">
        <w:t xml:space="preserve">P. </w:t>
      </w:r>
      <w:r w:rsidRPr="00A75324">
        <w:t xml:space="preserve">Herbich </w:t>
      </w:r>
      <w:r w:rsidR="000F21F2">
        <w:t>i in.</w:t>
      </w:r>
      <w:r w:rsidRPr="00A75324">
        <w:t xml:space="preserve">, </w:t>
      </w:r>
      <w:r w:rsidRPr="00EC2B35">
        <w:rPr>
          <w:i/>
        </w:rPr>
        <w:t>Prognoza zagrożeń dla dostępnych do zagospodarowania zasobów wód podziemnych w warunkach spodziewanych zmian klimatycznych w perspektywie do 2030 r. i do 2050 r. wraz ze wskazaniami do programów</w:t>
      </w:r>
      <w:r w:rsidRPr="00EC2B35">
        <w:rPr>
          <w:rFonts w:asciiTheme="minorHAnsi" w:hAnsiTheme="minorHAnsi" w:cstheme="minorHAnsi"/>
          <w:i/>
          <w:color w:val="222222"/>
          <w:shd w:val="clear" w:color="auto" w:fill="FFFFFF"/>
        </w:rPr>
        <w:t xml:space="preserve"> działań łagodzących skutki lokalnych deficytów zasobów</w:t>
      </w:r>
      <w:r w:rsidR="006B5BAA">
        <w:rPr>
          <w:rFonts w:asciiTheme="minorHAnsi" w:hAnsiTheme="minorHAnsi" w:cstheme="minorHAnsi"/>
          <w:color w:val="222222"/>
          <w:shd w:val="clear" w:color="auto" w:fill="FFFFFF"/>
        </w:rPr>
        <w:t>,</w:t>
      </w:r>
      <w:r w:rsidRPr="008F5EEC">
        <w:rPr>
          <w:rFonts w:asciiTheme="minorHAnsi" w:hAnsiTheme="minorHAnsi" w:cstheme="minorHAnsi"/>
          <w:color w:val="222222"/>
          <w:shd w:val="clear" w:color="auto" w:fill="FFFFFF"/>
        </w:rPr>
        <w:t xml:space="preserve"> </w:t>
      </w:r>
      <w:r w:rsidRPr="006B5BAA">
        <w:rPr>
          <w:rFonts w:asciiTheme="minorHAnsi" w:hAnsiTheme="minorHAnsi" w:cstheme="minorHAnsi"/>
          <w:color w:val="222222"/>
          <w:shd w:val="clear" w:color="auto" w:fill="FFFFFF"/>
        </w:rPr>
        <w:t>Zadania Państwowej Służby Hydrogeologicznej. Zadanie 22: Etap II. Sprawozdanie</w:t>
      </w:r>
      <w:r w:rsidR="000F21F2" w:rsidRPr="00F86241">
        <w:rPr>
          <w:rFonts w:asciiTheme="minorHAnsi" w:hAnsiTheme="minorHAnsi" w:cstheme="minorHAnsi"/>
          <w:color w:val="222222"/>
          <w:shd w:val="clear" w:color="auto" w:fill="FFFFFF"/>
        </w:rPr>
        <w:t>,</w:t>
      </w:r>
      <w:r w:rsidRPr="008F5EEC">
        <w:rPr>
          <w:rFonts w:asciiTheme="minorHAnsi" w:hAnsiTheme="minorHAnsi" w:cstheme="minorHAnsi"/>
          <w:color w:val="222222"/>
          <w:shd w:val="clear" w:color="auto" w:fill="FFFFFF"/>
        </w:rPr>
        <w:t xml:space="preserve"> Państwowy Instytut Geologiczny</w:t>
      </w:r>
      <w:r w:rsidR="000F21F2">
        <w:rPr>
          <w:rFonts w:asciiTheme="minorHAnsi" w:hAnsiTheme="minorHAnsi" w:cstheme="minorHAnsi"/>
          <w:color w:val="222222"/>
          <w:shd w:val="clear" w:color="auto" w:fill="FFFFFF"/>
        </w:rPr>
        <w:t>,</w:t>
      </w:r>
      <w:r w:rsidRPr="008F5EEC">
        <w:rPr>
          <w:rFonts w:asciiTheme="minorHAnsi" w:hAnsiTheme="minorHAnsi" w:cstheme="minorHAnsi"/>
          <w:color w:val="222222"/>
          <w:shd w:val="clear" w:color="auto" w:fill="FFFFFF"/>
        </w:rPr>
        <w:t xml:space="preserve"> Warszawa</w:t>
      </w:r>
      <w:r w:rsidR="000F21F2">
        <w:rPr>
          <w:rFonts w:asciiTheme="minorHAnsi" w:hAnsiTheme="minorHAnsi" w:cstheme="minorHAnsi"/>
          <w:color w:val="222222"/>
          <w:shd w:val="clear" w:color="auto" w:fill="FFFFFF"/>
        </w:rPr>
        <w:t xml:space="preserve"> 20</w:t>
      </w:r>
      <w:r w:rsidR="008709C4">
        <w:rPr>
          <w:rFonts w:asciiTheme="minorHAnsi" w:hAnsiTheme="minorHAnsi" w:cstheme="minorHAnsi"/>
          <w:color w:val="222222"/>
          <w:shd w:val="clear" w:color="auto" w:fill="FFFFFF"/>
        </w:rPr>
        <w:t>1</w:t>
      </w:r>
      <w:r w:rsidR="000F21F2">
        <w:rPr>
          <w:rFonts w:asciiTheme="minorHAnsi" w:hAnsiTheme="minorHAnsi" w:cstheme="minorHAnsi"/>
          <w:color w:val="222222"/>
          <w:shd w:val="clear" w:color="auto" w:fill="FFFFFF"/>
        </w:rPr>
        <w:t>4.</w:t>
      </w:r>
    </w:p>
    <w:p w14:paraId="16E9FBBA" w14:textId="28F9A4AB" w:rsidR="00BA6B41" w:rsidRDefault="000F21F2" w:rsidP="0044393D">
      <w:pPr>
        <w:pStyle w:val="Przypis"/>
        <w:rPr>
          <w:rFonts w:asciiTheme="minorHAnsi" w:hAnsiTheme="minorHAnsi" w:cstheme="minorHAnsi"/>
        </w:rPr>
      </w:pPr>
      <w:r>
        <w:t xml:space="preserve">P. </w:t>
      </w:r>
      <w:r w:rsidR="00BA6B41" w:rsidRPr="008F5EEC">
        <w:t>Herbich,</w:t>
      </w:r>
      <w:r w:rsidR="00BA6B41" w:rsidRPr="008F5EEC" w:rsidDel="000F21F2">
        <w:t xml:space="preserve"> </w:t>
      </w:r>
      <w:r w:rsidR="00BA6B41" w:rsidRPr="00EC2B35">
        <w:rPr>
          <w:i/>
        </w:rPr>
        <w:t>Analiza trendów zróżnicowania odpływu podziemnego do rzek wybranych zlewni w wieloleciu obserwacyjnym 1951</w:t>
      </w:r>
      <w:r w:rsidRPr="00EC2B35">
        <w:rPr>
          <w:i/>
          <w:iCs/>
        </w:rPr>
        <w:t>–</w:t>
      </w:r>
      <w:r w:rsidR="00BA6B41" w:rsidRPr="00EC2B35">
        <w:rPr>
          <w:i/>
        </w:rPr>
        <w:t>2011 oraz prognoza zmian odpływu podziemnego do roku 2020, 2030 i 2050</w:t>
      </w:r>
      <w:r w:rsidR="006B5BAA">
        <w:rPr>
          <w:i/>
          <w:iCs/>
        </w:rPr>
        <w:t>,</w:t>
      </w:r>
      <w:r w:rsidR="00BA6B41" w:rsidRPr="00EC2B35">
        <w:rPr>
          <w:i/>
        </w:rPr>
        <w:t xml:space="preserve"> </w:t>
      </w:r>
      <w:r w:rsidR="00BA6B41" w:rsidRPr="006B5BAA">
        <w:t>Zadania Państwowej Służby Hydrogeologicznej. Zadanie 22: Etap II. Sprawozdanie</w:t>
      </w:r>
      <w:r w:rsidRPr="00F86241">
        <w:t>,</w:t>
      </w:r>
      <w:r w:rsidR="00BA6B41" w:rsidRPr="008F5EEC">
        <w:t xml:space="preserve"> Państwowy Instytut Geologiczny</w:t>
      </w:r>
      <w:r>
        <w:t>,</w:t>
      </w:r>
      <w:r w:rsidR="00BA6B41" w:rsidRPr="008F5EEC">
        <w:t>Warszawa</w:t>
      </w:r>
      <w:r>
        <w:t xml:space="preserve"> 20</w:t>
      </w:r>
      <w:r w:rsidR="008709C4">
        <w:t>1</w:t>
      </w:r>
      <w:r>
        <w:t>4</w:t>
      </w:r>
    </w:p>
    <w:p w14:paraId="296AC2FC" w14:textId="7072569B" w:rsidR="00BA6B41" w:rsidRPr="009734B1" w:rsidRDefault="000F21F2" w:rsidP="0044393D">
      <w:pPr>
        <w:pStyle w:val="Przypis"/>
      </w:pPr>
      <w:r>
        <w:t xml:space="preserve">P. </w:t>
      </w:r>
      <w:r w:rsidR="00BA6B41" w:rsidRPr="009734B1">
        <w:t xml:space="preserve">Herbich, </w:t>
      </w:r>
      <w:r>
        <w:t xml:space="preserve">J. </w:t>
      </w:r>
      <w:r w:rsidR="00BA6B41" w:rsidRPr="009734B1">
        <w:t xml:space="preserve">Mikołajków, </w:t>
      </w:r>
      <w:r>
        <w:t xml:space="preserve">E. </w:t>
      </w:r>
      <w:r w:rsidR="00BA6B41" w:rsidRPr="009734B1">
        <w:t>Przytuła,</w:t>
      </w:r>
      <w:r w:rsidR="00BA6B41">
        <w:t xml:space="preserve"> </w:t>
      </w:r>
      <w:r w:rsidR="00BA6B41" w:rsidRPr="00EC2B35">
        <w:rPr>
          <w:i/>
        </w:rPr>
        <w:t>Prognoza zmian zasobów wód podziemnych w warunkach możliwych zmian klimatycznych do 2050 roku</w:t>
      </w:r>
      <w:r>
        <w:t>,</w:t>
      </w:r>
      <w:r w:rsidR="00BA6B41" w:rsidRPr="009734B1">
        <w:t>PZiTS</w:t>
      </w:r>
      <w:r>
        <w:t xml:space="preserve"> 2016</w:t>
      </w:r>
      <w:r w:rsidR="00BA6B41" w:rsidRPr="009734B1">
        <w:t>, Vol. 21, Nr 1</w:t>
      </w:r>
      <w:r w:rsidR="006B5BAA">
        <w:t>.</w:t>
      </w:r>
    </w:p>
  </w:footnote>
  <w:footnote w:id="23">
    <w:p w14:paraId="7FC70669" w14:textId="77777777" w:rsidR="00BA6B41" w:rsidRPr="009734B1" w:rsidRDefault="00BA6B41" w:rsidP="0044393D">
      <w:pPr>
        <w:pStyle w:val="Przypis"/>
      </w:pPr>
      <w:r w:rsidRPr="009734B1">
        <w:rPr>
          <w:rStyle w:val="Odwoanieprzypisudolnego"/>
        </w:rPr>
        <w:footnoteRef/>
      </w:r>
      <w:r w:rsidRPr="009734B1">
        <w:t xml:space="preserve"> A. Woś, </w:t>
      </w:r>
      <w:r w:rsidRPr="009734B1">
        <w:rPr>
          <w:i/>
          <w:iCs/>
        </w:rPr>
        <w:t>Klimat Polski</w:t>
      </w:r>
      <w:r w:rsidRPr="009734B1">
        <w:t>, Warszawa 1999.</w:t>
      </w:r>
    </w:p>
  </w:footnote>
  <w:footnote w:id="24">
    <w:p w14:paraId="114DEFEF" w14:textId="77777777" w:rsidR="00BA6B41" w:rsidRPr="009734B1" w:rsidRDefault="00BA6B41" w:rsidP="0044393D">
      <w:pPr>
        <w:pStyle w:val="Przypis"/>
      </w:pPr>
      <w:r w:rsidRPr="009734B1">
        <w:rPr>
          <w:rStyle w:val="Odwoanieprzypisudolnego"/>
        </w:rPr>
        <w:footnoteRef/>
      </w:r>
      <w:r w:rsidRPr="009734B1">
        <w:t xml:space="preserve"> </w:t>
      </w:r>
      <w:r w:rsidRPr="00EC2B35">
        <w:t>Narażenie na czynniki klimatyczne</w:t>
      </w:r>
      <w:r w:rsidRPr="009734B1">
        <w:t xml:space="preserve"> jest rozumiane jako ekspozycja obszaru dorzecza/regionu wodnego na zaistnienie negatywnej konsekwencji zmian klimatu wraz ze wskazaniem, które ze składowych klimatycznych są prognozowane jako te, których przyrost/spadek wielkości/natężenia (np. liczba dni z opadem o natężeniu &gt;10 mm/doba, przyrost liczby dni gorących) będzie silnie oddziaływać na warunki obiegu wody.</w:t>
      </w:r>
    </w:p>
  </w:footnote>
  <w:footnote w:id="25">
    <w:p w14:paraId="1B650BE3" w14:textId="522775FF" w:rsidR="00BA6B41" w:rsidRDefault="00BA6B41" w:rsidP="00613B2D">
      <w:pPr>
        <w:pStyle w:val="Przypis"/>
      </w:pPr>
      <w:r w:rsidRPr="00C47268">
        <w:rPr>
          <w:rStyle w:val="Odwoanieprzypisudolnego"/>
        </w:rPr>
        <w:footnoteRef/>
      </w:r>
      <w:r w:rsidRPr="00C47268">
        <w:t xml:space="preserve"> Komunikat 02/2021 interdyscyplinarnego Zespołu doradczego do spraw kryzysu klimatycznego przy prezesie PAN na temat zmiany klimatu i wzrostu poziomu morza, Warszawa, 26 stycznia 2021 r</w:t>
      </w:r>
      <w:r>
        <w:t>.</w:t>
      </w:r>
      <w:r w:rsidR="000F21F2">
        <w:t>,</w:t>
      </w:r>
      <w:r w:rsidR="001D33CA">
        <w:tab/>
      </w:r>
      <w:r w:rsidR="001D33CA">
        <w:br/>
      </w:r>
      <w:hyperlink r:id="rId2" w:history="1">
        <w:r w:rsidR="00740E21" w:rsidRPr="0087297B">
          <w:rPr>
            <w:rStyle w:val="Hipercze"/>
            <w:sz w:val="16"/>
            <w:szCs w:val="16"/>
          </w:rPr>
          <w:t>https://informacje.pan.pl/images/2021/Komunikat_02_2021_w_sprawie_wzrostu_poziomu_morza_2001_01_26_FINAL.pdf</w:t>
        </w:r>
      </w:hyperlink>
      <w:r w:rsidR="00740E21">
        <w:rPr>
          <w:sz w:val="16"/>
          <w:szCs w:val="16"/>
        </w:rPr>
        <w:t xml:space="preserve"> </w:t>
      </w:r>
    </w:p>
  </w:footnote>
  <w:footnote w:id="26">
    <w:p w14:paraId="0E85BB84" w14:textId="62A85518" w:rsidR="00BA6B41" w:rsidRDefault="00BA6B41" w:rsidP="00613B2D">
      <w:pPr>
        <w:pStyle w:val="Przypis"/>
      </w:pPr>
      <w:r>
        <w:rPr>
          <w:rStyle w:val="Odwoanieprzypisudolnego"/>
        </w:rPr>
        <w:footnoteRef/>
      </w:r>
      <w:r>
        <w:t xml:space="preserve"> </w:t>
      </w:r>
      <w:r w:rsidRPr="00AF272E">
        <w:t>SPA 2020, KLIMADA 2013</w:t>
      </w:r>
      <w:r w:rsidR="000F21F2">
        <w:t>.</w:t>
      </w:r>
    </w:p>
  </w:footnote>
  <w:footnote w:id="27">
    <w:p w14:paraId="45E006CB" w14:textId="1DE0AA51" w:rsidR="00BA6B41" w:rsidRPr="00CA7A3B" w:rsidRDefault="00BA6B41" w:rsidP="0044393D">
      <w:pPr>
        <w:pStyle w:val="Przypis"/>
      </w:pPr>
      <w:r>
        <w:rPr>
          <w:rStyle w:val="Odwoanieprzypisudolnego"/>
        </w:rPr>
        <w:footnoteRef/>
      </w:r>
      <w:r>
        <w:t xml:space="preserve"> </w:t>
      </w:r>
      <w:r w:rsidR="00714F1F" w:rsidRPr="00947745">
        <w:t>r.m.jcw</w:t>
      </w:r>
      <w:r w:rsidR="00714F1F">
        <w:t xml:space="preserve">, </w:t>
      </w:r>
      <w:r w:rsidR="00DF005E">
        <w:t>r.kl.jcwp</w:t>
      </w:r>
      <w:r w:rsidR="00714F1F">
        <w:t xml:space="preserve">, </w:t>
      </w:r>
      <w:r w:rsidR="00DF005E">
        <w:t>r.kl.jcwp</w:t>
      </w:r>
      <w:r w:rsidR="00714F1F" w:rsidRPr="00947745">
        <w:t>d</w:t>
      </w:r>
      <w:r w:rsidR="00DF005E">
        <w:t>r.kl.jcwpr.kl.jcwp</w:t>
      </w:r>
    </w:p>
  </w:footnote>
  <w:footnote w:id="28">
    <w:p w14:paraId="23A84DAD" w14:textId="46196747" w:rsidR="00096112" w:rsidRPr="00A85A0D" w:rsidRDefault="00096112" w:rsidP="00096112">
      <w:pPr>
        <w:pStyle w:val="Przypis"/>
      </w:pPr>
      <w:r w:rsidRPr="00A85A0D">
        <w:rPr>
          <w:rStyle w:val="Odwoanieprzypisudolnego"/>
        </w:rPr>
        <w:footnoteRef/>
      </w:r>
      <w:r w:rsidRPr="00A85A0D">
        <w:t xml:space="preserve"> Rozporządzenie Ministra Gospodarki Morskiej i Żeglugi Śródlądowej z dnia 28 czerwca 2019 r. w sprawie substancji szczególnie szkodliwych dla środowiska wodnego, których wprowadzanie w ściekach przemysłowych do urządzeń kanalizacyjnych wymaga uzyskania pozwolenia wodnoprawnego (Dz.U. poz. 1220)</w:t>
      </w:r>
      <w:r>
        <w:t>.</w:t>
      </w:r>
    </w:p>
  </w:footnote>
  <w:footnote w:id="29">
    <w:p w14:paraId="0AB89BA6" w14:textId="63B21301" w:rsidR="00096112" w:rsidRDefault="00096112" w:rsidP="00096112">
      <w:pPr>
        <w:pStyle w:val="Przypis"/>
      </w:pPr>
      <w:r w:rsidRPr="00A85A0D">
        <w:rPr>
          <w:rStyle w:val="Odwoanieprzypisudolnego"/>
        </w:rPr>
        <w:footnoteRef/>
      </w:r>
      <w:r w:rsidRPr="00A85A0D">
        <w:t xml:space="preserve"> </w:t>
      </w:r>
      <w:r w:rsidR="00D4139F">
        <w:t>załącznik nr 4 do u</w:t>
      </w:r>
      <w:r w:rsidR="00D4139F" w:rsidRPr="00A85A0D">
        <w:t>staw</w:t>
      </w:r>
      <w:r w:rsidR="00D4139F">
        <w:t>y</w:t>
      </w:r>
      <w:r w:rsidRPr="00A85A0D">
        <w:t xml:space="preserve"> z dnia 14 grudnia 2012 r. o odpadach</w:t>
      </w:r>
      <w:r w:rsidR="00226E34">
        <w:t xml:space="preserve"> </w:t>
      </w:r>
      <w:r w:rsidRPr="00A85A0D">
        <w:t xml:space="preserve">(Dz.U. </w:t>
      </w:r>
      <w:r>
        <w:t xml:space="preserve">z </w:t>
      </w:r>
      <w:r w:rsidR="00226E34" w:rsidRPr="00A85A0D">
        <w:t>20</w:t>
      </w:r>
      <w:r w:rsidR="00226E34">
        <w:t xml:space="preserve">22 </w:t>
      </w:r>
      <w:r>
        <w:t>r</w:t>
      </w:r>
      <w:r w:rsidRPr="00A85A0D">
        <w:t>.</w:t>
      </w:r>
      <w:r>
        <w:t xml:space="preserve"> poz. </w:t>
      </w:r>
      <w:r w:rsidR="00226E34">
        <w:t>699).</w:t>
      </w:r>
    </w:p>
  </w:footnote>
  <w:footnote w:id="30">
    <w:p w14:paraId="281CA4CA" w14:textId="6F1E7FBD" w:rsidR="00A46D83" w:rsidRPr="00EC2B35" w:rsidRDefault="00A46D83">
      <w:pPr>
        <w:pStyle w:val="Tekstprzypisudolnego"/>
        <w:rPr>
          <w:szCs w:val="18"/>
        </w:rPr>
      </w:pPr>
      <w:r w:rsidRPr="00EC2B35">
        <w:rPr>
          <w:rStyle w:val="Odwoanieprzypisudolnego"/>
          <w:szCs w:val="18"/>
        </w:rPr>
        <w:footnoteRef/>
      </w:r>
      <w:r w:rsidRPr="00EC2B35">
        <w:rPr>
          <w:szCs w:val="18"/>
        </w:rPr>
        <w:t xml:space="preserve"> </w:t>
      </w:r>
      <w:r w:rsidR="00941685">
        <w:rPr>
          <w:i/>
          <w:szCs w:val="18"/>
        </w:rPr>
        <w:t>Analiza znaczących oddziaływań antropogenicznych wraz z oceną ich wpływu na stan wód oraz oceną ryzyka nieosiągnięcia celów środowiskowych,</w:t>
      </w:r>
      <w:r w:rsidR="00FE1344">
        <w:rPr>
          <w:i/>
          <w:iCs/>
          <w:szCs w:val="18"/>
        </w:rPr>
        <w:t xml:space="preserve"> </w:t>
      </w:r>
      <w:r w:rsidR="00CF1F73">
        <w:rPr>
          <w:szCs w:val="18"/>
        </w:rPr>
        <w:t>PGW WP, 2020</w:t>
      </w:r>
      <w:r w:rsidR="006E6EC4">
        <w:rPr>
          <w:szCs w:val="18"/>
        </w:rPr>
        <w:t>.</w:t>
      </w:r>
    </w:p>
  </w:footnote>
  <w:footnote w:id="31">
    <w:p w14:paraId="4802ED5F" w14:textId="5677AFFC" w:rsidR="00BA6B41" w:rsidRPr="004D4490" w:rsidRDefault="00BA6B41" w:rsidP="0044393D">
      <w:pPr>
        <w:pStyle w:val="Przypis"/>
      </w:pPr>
      <w:r w:rsidRPr="004D4490">
        <w:rPr>
          <w:rStyle w:val="Odwoanieprzypisudolnego"/>
        </w:rPr>
        <w:footnoteRef/>
      </w:r>
      <w:r w:rsidRPr="004D4490">
        <w:t xml:space="preserve"> Ocena z przeniesienia </w:t>
      </w:r>
      <w:r w:rsidR="001F5AA9">
        <w:t>–</w:t>
      </w:r>
      <w:r w:rsidRPr="004D4490">
        <w:t xml:space="preserve"> metoda przenoszenia ocen stanu z </w:t>
      </w:r>
      <w:r w:rsidR="00DF005E">
        <w:t>JCWP</w:t>
      </w:r>
      <w:r w:rsidRPr="004D4490">
        <w:t xml:space="preserve"> monitorowanych na niemonitorowane (GIOŚ)</w:t>
      </w:r>
      <w:r>
        <w:t>.</w:t>
      </w:r>
    </w:p>
  </w:footnote>
  <w:footnote w:id="32">
    <w:p w14:paraId="33592097" w14:textId="53BB37D2" w:rsidR="00BA6B41" w:rsidRPr="00A27783" w:rsidRDefault="00BA6B41" w:rsidP="0044393D">
      <w:pPr>
        <w:pStyle w:val="Przypis"/>
      </w:pPr>
      <w:r w:rsidRPr="00A27783">
        <w:rPr>
          <w:rStyle w:val="Odwoanieprzypisudolnego"/>
        </w:rPr>
        <w:footnoteRef/>
      </w:r>
      <w:r w:rsidRPr="00A27783">
        <w:t xml:space="preserve"> Ocena z przeniesienia </w:t>
      </w:r>
      <w:r w:rsidR="001F5AA9">
        <w:t>–</w:t>
      </w:r>
      <w:r w:rsidRPr="00A27783">
        <w:t xml:space="preserve"> metoda przenoszenia ocen stanu z </w:t>
      </w:r>
      <w:r w:rsidR="00DF005E">
        <w:t>JCWP</w:t>
      </w:r>
      <w:r w:rsidRPr="00A27783">
        <w:t xml:space="preserve"> monitorowanych na niemonitorowane (GIOŚ)</w:t>
      </w:r>
      <w:r>
        <w:t>.</w:t>
      </w:r>
    </w:p>
  </w:footnote>
  <w:footnote w:id="33">
    <w:p w14:paraId="7D441AD7" w14:textId="102C976B" w:rsidR="00BA6B41" w:rsidRPr="00A27783" w:rsidRDefault="00BA6B41" w:rsidP="0044393D">
      <w:pPr>
        <w:pStyle w:val="Przypis"/>
      </w:pPr>
      <w:r w:rsidRPr="00A27783">
        <w:rPr>
          <w:rStyle w:val="Odwoanieprzypisudolnego"/>
        </w:rPr>
        <w:footnoteRef/>
      </w:r>
      <w:r w:rsidRPr="00A27783">
        <w:t xml:space="preserve"> Ocena z przeniesienia </w:t>
      </w:r>
      <w:r w:rsidR="001F5AA9">
        <w:t>–</w:t>
      </w:r>
      <w:r w:rsidRPr="00A27783">
        <w:t xml:space="preserve"> metoda przenoszenia ocen stanu z </w:t>
      </w:r>
      <w:r w:rsidR="00DF005E">
        <w:t>JCWP</w:t>
      </w:r>
      <w:r w:rsidRPr="00A27783">
        <w:t xml:space="preserve"> monitorowanych na niemonitorowane (GIOŚ)</w:t>
      </w:r>
      <w:r>
        <w:t>.</w:t>
      </w:r>
    </w:p>
  </w:footnote>
  <w:footnote w:id="34">
    <w:p w14:paraId="2884D83D" w14:textId="466D73D9" w:rsidR="00BA6B41" w:rsidRDefault="00BA6B41" w:rsidP="001B7F16">
      <w:pPr>
        <w:pStyle w:val="Przypis"/>
      </w:pPr>
      <w:r>
        <w:rPr>
          <w:rStyle w:val="Odwoanieprzypisudolnego"/>
        </w:rPr>
        <w:footnoteRef/>
      </w:r>
      <w:r>
        <w:t xml:space="preserve"> </w:t>
      </w:r>
      <w:r w:rsidRPr="00EC2B35">
        <w:rPr>
          <w:i/>
        </w:rPr>
        <w:t>Syntetyczny raport z klasyfikacji i oceny stanu jednolitych części wód powierzchniowych wykonanej za 2019 rok na podstawie danych z lat 2014</w:t>
      </w:r>
      <w:r w:rsidR="00DA1674" w:rsidRPr="00EC2B35">
        <w:rPr>
          <w:i/>
          <w:iCs/>
        </w:rPr>
        <w:t>–</w:t>
      </w:r>
      <w:r w:rsidRPr="00EC2B35">
        <w:rPr>
          <w:i/>
        </w:rPr>
        <w:t>2019</w:t>
      </w:r>
      <w:r w:rsidR="000B1000">
        <w:rPr>
          <w:i/>
          <w:iCs/>
        </w:rPr>
        <w:t>,</w:t>
      </w:r>
      <w:r>
        <w:t xml:space="preserve"> GIOŚ</w:t>
      </w:r>
      <w:r w:rsidR="000B1000">
        <w:t>,</w:t>
      </w:r>
      <w:r>
        <w:t xml:space="preserve"> Warszawa wrzesień 2020 r.</w:t>
      </w:r>
    </w:p>
  </w:footnote>
  <w:footnote w:id="35">
    <w:p w14:paraId="38C6B014" w14:textId="1D5AC9EF" w:rsidR="00BA6B41" w:rsidRDefault="00BA6B41" w:rsidP="0044393D">
      <w:pPr>
        <w:pStyle w:val="Przypis"/>
      </w:pPr>
      <w:r>
        <w:rPr>
          <w:rStyle w:val="Odwoanieprzypisudolnego"/>
        </w:rPr>
        <w:footnoteRef/>
      </w:r>
      <w:r>
        <w:t xml:space="preserve"> </w:t>
      </w:r>
      <w:bookmarkStart w:id="205" w:name="_Hlk78220794"/>
      <w:r w:rsidR="00DA1674">
        <w:t xml:space="preserve">A. </w:t>
      </w:r>
      <w:r w:rsidRPr="00D2753B">
        <w:rPr>
          <w:lang w:eastAsia="pl-PL"/>
        </w:rPr>
        <w:t xml:space="preserve">Gryczko-Gostyńska, </w:t>
      </w:r>
      <w:r w:rsidRPr="00EC2B35">
        <w:rPr>
          <w:i/>
          <w:lang w:eastAsia="pl-PL"/>
        </w:rPr>
        <w:t>Dalsza charakterystyka wód podziemnych zgodnie z załącznikiem II.2 Ramowej Dyrektywy Wodnej wraz z oceną ryzyka</w:t>
      </w:r>
      <w:r w:rsidR="00DA1674">
        <w:rPr>
          <w:i/>
          <w:iCs/>
          <w:lang w:eastAsia="pl-PL"/>
        </w:rPr>
        <w:t>,</w:t>
      </w:r>
      <w:r w:rsidRPr="00EC2B35">
        <w:rPr>
          <w:i/>
          <w:lang w:eastAsia="pl-PL"/>
        </w:rPr>
        <w:t xml:space="preserve"> </w:t>
      </w:r>
      <w:r w:rsidRPr="00D2753B">
        <w:rPr>
          <w:lang w:eastAsia="pl-PL"/>
        </w:rPr>
        <w:t xml:space="preserve">Wersja 2, </w:t>
      </w:r>
      <w:bookmarkStart w:id="206" w:name="_Hlk78220601"/>
      <w:r>
        <w:rPr>
          <w:lang w:eastAsia="pl-PL"/>
        </w:rPr>
        <w:t>PIG</w:t>
      </w:r>
      <w:r w:rsidRPr="00D2753B">
        <w:rPr>
          <w:lang w:eastAsia="pl-PL"/>
        </w:rPr>
        <w:t>-PIB 20</w:t>
      </w:r>
      <w:r>
        <w:rPr>
          <w:lang w:eastAsia="pl-PL"/>
        </w:rPr>
        <w:t>20</w:t>
      </w:r>
      <w:bookmarkEnd w:id="206"/>
      <w:r w:rsidRPr="00D2753B">
        <w:rPr>
          <w:lang w:eastAsia="pl-PL"/>
        </w:rPr>
        <w:t>.</w:t>
      </w:r>
      <w:bookmarkEnd w:id="205"/>
    </w:p>
  </w:footnote>
  <w:footnote w:id="36">
    <w:p w14:paraId="395DC06A" w14:textId="218C9531" w:rsidR="00BA6B41" w:rsidRPr="00A27783" w:rsidRDefault="00BA6B41" w:rsidP="0044393D">
      <w:pPr>
        <w:pStyle w:val="Przypis"/>
      </w:pPr>
      <w:r w:rsidRPr="00A27783">
        <w:rPr>
          <w:rStyle w:val="Odwoanieprzypisudolnego"/>
          <w:rFonts w:asciiTheme="minorHAnsi" w:hAnsiTheme="minorHAnsi" w:cstheme="minorHAnsi"/>
        </w:rPr>
        <w:footnoteRef/>
      </w:r>
      <w:r w:rsidRPr="00A27783">
        <w:t xml:space="preserve"> </w:t>
      </w:r>
      <w:r w:rsidR="00DA1674">
        <w:t xml:space="preserve">S. </w:t>
      </w:r>
      <w:r w:rsidRPr="00A27783">
        <w:rPr>
          <w:lang w:eastAsia="pl-PL"/>
        </w:rPr>
        <w:t>Witczak</w:t>
      </w:r>
      <w:r w:rsidR="00DA1674">
        <w:rPr>
          <w:lang w:eastAsia="pl-PL"/>
        </w:rPr>
        <w:t>,</w:t>
      </w:r>
      <w:r w:rsidRPr="00A27783">
        <w:rPr>
          <w:lang w:eastAsia="pl-PL"/>
        </w:rPr>
        <w:t xml:space="preserve"> </w:t>
      </w:r>
      <w:r w:rsidR="00DA1674">
        <w:rPr>
          <w:lang w:eastAsia="pl-PL"/>
        </w:rPr>
        <w:t xml:space="preserve">J. </w:t>
      </w:r>
      <w:r w:rsidRPr="00A27783">
        <w:rPr>
          <w:lang w:eastAsia="pl-PL"/>
        </w:rPr>
        <w:t xml:space="preserve">Kania, </w:t>
      </w:r>
      <w:r w:rsidR="00DA1674">
        <w:rPr>
          <w:lang w:eastAsia="pl-PL"/>
        </w:rPr>
        <w:t xml:space="preserve">E. </w:t>
      </w:r>
      <w:r w:rsidRPr="00A27783">
        <w:rPr>
          <w:lang w:eastAsia="pl-PL"/>
        </w:rPr>
        <w:t xml:space="preserve">Kmiecik, </w:t>
      </w:r>
      <w:r w:rsidRPr="00202182">
        <w:rPr>
          <w:i/>
          <w:lang w:eastAsia="pl-PL"/>
        </w:rPr>
        <w:t>Katalog wybranych fizycznych i chemicznych wskaźników zanieczyszczeń wód podziemnych i metod ich oznaczania</w:t>
      </w:r>
      <w:r w:rsidRPr="00A27783">
        <w:rPr>
          <w:lang w:eastAsia="pl-PL"/>
        </w:rPr>
        <w:t xml:space="preserve">, Biblioteka </w:t>
      </w:r>
      <w:r w:rsidR="00DA1674">
        <w:rPr>
          <w:lang w:eastAsia="pl-PL"/>
        </w:rPr>
        <w:t>M</w:t>
      </w:r>
      <w:r w:rsidRPr="00A27783">
        <w:rPr>
          <w:lang w:eastAsia="pl-PL"/>
        </w:rPr>
        <w:t xml:space="preserve">onitoringu </w:t>
      </w:r>
      <w:r w:rsidR="00DA1674">
        <w:rPr>
          <w:lang w:eastAsia="pl-PL"/>
        </w:rPr>
        <w:t>Ś</w:t>
      </w:r>
      <w:r w:rsidRPr="00A27783">
        <w:rPr>
          <w:lang w:eastAsia="pl-PL"/>
        </w:rPr>
        <w:t>rodowiska 2013.</w:t>
      </w:r>
    </w:p>
  </w:footnote>
  <w:footnote w:id="37">
    <w:p w14:paraId="5CAB717B" w14:textId="3A6E6E6B" w:rsidR="00BA6B41" w:rsidRPr="00A27783" w:rsidRDefault="00BA6B41" w:rsidP="0044393D">
      <w:pPr>
        <w:pStyle w:val="Przypis"/>
      </w:pPr>
      <w:r w:rsidRPr="00353C63">
        <w:rPr>
          <w:rStyle w:val="Odwoanieprzypisudolnego"/>
        </w:rPr>
        <w:footnoteRef/>
      </w:r>
      <w:r w:rsidRPr="00A27783">
        <w:t xml:space="preserve"> </w:t>
      </w:r>
      <w:r w:rsidR="008C5E88">
        <w:t xml:space="preserve">A. </w:t>
      </w:r>
      <w:r w:rsidRPr="00A27783">
        <w:rPr>
          <w:lang w:eastAsia="pl-PL"/>
        </w:rPr>
        <w:t>Kuczyńska i in.,</w:t>
      </w:r>
      <w:r w:rsidRPr="00202182">
        <w:rPr>
          <w:i/>
          <w:lang w:eastAsia="pl-PL"/>
        </w:rPr>
        <w:t xml:space="preserve"> Aktualizacja programu monitoringu jednolitych części wód podziemnych w układzie dorzeczy na lata 2022</w:t>
      </w:r>
      <w:r w:rsidR="008C5E88" w:rsidRPr="00202182">
        <w:rPr>
          <w:i/>
          <w:iCs/>
          <w:lang w:eastAsia="pl-PL"/>
        </w:rPr>
        <w:t>–</w:t>
      </w:r>
      <w:r w:rsidRPr="00202182">
        <w:rPr>
          <w:i/>
          <w:lang w:eastAsia="pl-PL"/>
        </w:rPr>
        <w:t>2027</w:t>
      </w:r>
      <w:r w:rsidRPr="00A27783">
        <w:rPr>
          <w:lang w:eastAsia="pl-PL"/>
        </w:rPr>
        <w:t>, PIG-PIB 2020.</w:t>
      </w:r>
    </w:p>
  </w:footnote>
  <w:footnote w:id="38">
    <w:p w14:paraId="382D66C2" w14:textId="177102AA" w:rsidR="00BA6B41" w:rsidRPr="00A27783" w:rsidRDefault="00BA6B41" w:rsidP="0078755C">
      <w:pPr>
        <w:pStyle w:val="Przypis"/>
        <w:rPr>
          <w:lang w:eastAsia="pl-PL"/>
        </w:rPr>
      </w:pPr>
      <w:r w:rsidRPr="00353C63">
        <w:rPr>
          <w:rStyle w:val="Odwoanieprzypisudolnego"/>
        </w:rPr>
        <w:footnoteRef/>
      </w:r>
      <w:r w:rsidRPr="00A27783">
        <w:t xml:space="preserve"> </w:t>
      </w:r>
      <w:r w:rsidR="00DA1674">
        <w:t xml:space="preserve">Z. </w:t>
      </w:r>
      <w:r w:rsidRPr="00A27783">
        <w:rPr>
          <w:lang w:eastAsia="pl-PL"/>
        </w:rPr>
        <w:t xml:space="preserve">Frankowski, </w:t>
      </w:r>
      <w:r w:rsidR="00DA1674">
        <w:rPr>
          <w:lang w:eastAsia="pl-PL"/>
        </w:rPr>
        <w:t xml:space="preserve">P. </w:t>
      </w:r>
      <w:r w:rsidRPr="00A27783">
        <w:rPr>
          <w:lang w:eastAsia="pl-PL"/>
        </w:rPr>
        <w:t xml:space="preserve">Gałkowski, </w:t>
      </w:r>
      <w:r w:rsidR="00DA1674">
        <w:rPr>
          <w:lang w:eastAsia="pl-PL"/>
        </w:rPr>
        <w:t xml:space="preserve">J. </w:t>
      </w:r>
      <w:r w:rsidRPr="00A27783">
        <w:rPr>
          <w:lang w:eastAsia="pl-PL"/>
        </w:rPr>
        <w:t xml:space="preserve">Mitręga, </w:t>
      </w:r>
      <w:r w:rsidRPr="00A27783">
        <w:rPr>
          <w:i/>
          <w:iCs/>
          <w:lang w:eastAsia="pl-PL"/>
        </w:rPr>
        <w:t>Struktura poboru wód podziemnych w Polsce</w:t>
      </w:r>
      <w:r w:rsidRPr="00A27783">
        <w:rPr>
          <w:lang w:eastAsia="pl-PL"/>
        </w:rPr>
        <w:t>, PIG-PIB 2009.</w:t>
      </w:r>
    </w:p>
  </w:footnote>
  <w:footnote w:id="39">
    <w:p w14:paraId="40CBE99B" w14:textId="774F7509" w:rsidR="00BA6B41" w:rsidRDefault="00BA6B41" w:rsidP="0044393D">
      <w:pPr>
        <w:pStyle w:val="Przypis"/>
      </w:pPr>
      <w:r w:rsidRPr="00353C63">
        <w:rPr>
          <w:rStyle w:val="Odwoanieprzypisudolnego"/>
        </w:rPr>
        <w:footnoteRef/>
      </w:r>
      <w:r>
        <w:t xml:space="preserve"> </w:t>
      </w:r>
      <w:r w:rsidR="00DA1674">
        <w:t xml:space="preserve">A. </w:t>
      </w:r>
      <w:r>
        <w:rPr>
          <w:lang w:eastAsia="pl-PL"/>
        </w:rPr>
        <w:t>Kuczyńska</w:t>
      </w:r>
      <w:r w:rsidDel="00DA1674">
        <w:rPr>
          <w:lang w:eastAsia="pl-PL"/>
        </w:rPr>
        <w:t xml:space="preserve"> </w:t>
      </w:r>
      <w:r>
        <w:rPr>
          <w:lang w:eastAsia="pl-PL"/>
        </w:rPr>
        <w:t>i in.</w:t>
      </w:r>
      <w:r w:rsidRPr="00D2753B">
        <w:rPr>
          <w:lang w:eastAsia="pl-PL"/>
        </w:rPr>
        <w:t xml:space="preserve">, </w:t>
      </w:r>
      <w:r w:rsidRPr="00202182">
        <w:rPr>
          <w:i/>
          <w:lang w:eastAsia="pl-PL"/>
        </w:rPr>
        <w:t>Aktualizacja programu monitoringu jednolitych części wód podziemnych w układzie dorzeczy na lata 2022</w:t>
      </w:r>
      <w:r w:rsidR="00DA1674" w:rsidRPr="00202182">
        <w:rPr>
          <w:i/>
          <w:iCs/>
          <w:lang w:eastAsia="pl-PL"/>
        </w:rPr>
        <w:t>–</w:t>
      </w:r>
      <w:r w:rsidRPr="00202182">
        <w:rPr>
          <w:i/>
          <w:lang w:eastAsia="pl-PL"/>
        </w:rPr>
        <w:t>2027</w:t>
      </w:r>
      <w:r w:rsidRPr="00D2753B">
        <w:rPr>
          <w:lang w:eastAsia="pl-PL"/>
        </w:rPr>
        <w:t xml:space="preserve">, </w:t>
      </w:r>
      <w:r>
        <w:rPr>
          <w:lang w:eastAsia="pl-PL"/>
        </w:rPr>
        <w:t>PIG</w:t>
      </w:r>
      <w:r w:rsidRPr="00D2753B">
        <w:rPr>
          <w:lang w:eastAsia="pl-PL"/>
        </w:rPr>
        <w:t>-PIB 20</w:t>
      </w:r>
      <w:r>
        <w:rPr>
          <w:lang w:eastAsia="pl-PL"/>
        </w:rPr>
        <w:t>20</w:t>
      </w:r>
      <w:r w:rsidRPr="00D2753B">
        <w:rPr>
          <w:lang w:eastAsia="pl-PL"/>
        </w:rPr>
        <w:t>.</w:t>
      </w:r>
    </w:p>
  </w:footnote>
  <w:footnote w:id="40">
    <w:p w14:paraId="69CDC3EF" w14:textId="418FF870" w:rsidR="00BA6B41" w:rsidRPr="00D6723B" w:rsidRDefault="00BA6B41" w:rsidP="0044393D">
      <w:pPr>
        <w:pStyle w:val="Przypis"/>
      </w:pPr>
      <w:r>
        <w:rPr>
          <w:rStyle w:val="Odwoanieprzypisudolnego"/>
        </w:rPr>
        <w:footnoteRef/>
      </w:r>
      <w:r>
        <w:t xml:space="preserve"> </w:t>
      </w:r>
      <w:r w:rsidR="00DA1674">
        <w:t xml:space="preserve">T. </w:t>
      </w:r>
      <w:r w:rsidRPr="002E63CD">
        <w:rPr>
          <w:lang w:eastAsia="pl-PL"/>
        </w:rPr>
        <w:t xml:space="preserve">Dembiec, </w:t>
      </w:r>
      <w:r w:rsidR="00DA1674">
        <w:rPr>
          <w:lang w:eastAsia="pl-PL"/>
        </w:rPr>
        <w:t xml:space="preserve">D. </w:t>
      </w:r>
      <w:r w:rsidRPr="002E63CD">
        <w:rPr>
          <w:lang w:eastAsia="pl-PL"/>
        </w:rPr>
        <w:t xml:space="preserve">Russ, </w:t>
      </w:r>
      <w:r w:rsidR="00DA1674">
        <w:rPr>
          <w:lang w:eastAsia="pl-PL"/>
        </w:rPr>
        <w:t xml:space="preserve">K. </w:t>
      </w:r>
      <w:r w:rsidRPr="002E63CD">
        <w:rPr>
          <w:lang w:eastAsia="pl-PL"/>
        </w:rPr>
        <w:t>Zawistowski,</w:t>
      </w:r>
      <w:r w:rsidRPr="002E63CD" w:rsidDel="00DA1674">
        <w:rPr>
          <w:lang w:eastAsia="pl-PL"/>
        </w:rPr>
        <w:t xml:space="preserve"> K.</w:t>
      </w:r>
      <w:r w:rsidR="00DA1674">
        <w:rPr>
          <w:lang w:eastAsia="pl-PL"/>
        </w:rPr>
        <w:t xml:space="preserve"> </w:t>
      </w:r>
      <w:r w:rsidRPr="002E63CD">
        <w:rPr>
          <w:lang w:eastAsia="pl-PL"/>
        </w:rPr>
        <w:t xml:space="preserve">Horbowy, </w:t>
      </w:r>
      <w:r w:rsidR="00DA1674">
        <w:rPr>
          <w:lang w:eastAsia="pl-PL"/>
        </w:rPr>
        <w:t xml:space="preserve">A. </w:t>
      </w:r>
      <w:r w:rsidRPr="002E63CD">
        <w:rPr>
          <w:lang w:eastAsia="pl-PL"/>
        </w:rPr>
        <w:t>Krzonkalla-Maryniuk,</w:t>
      </w:r>
      <w:r w:rsidRPr="002E63CD">
        <w:t xml:space="preserve"> </w:t>
      </w:r>
      <w:r w:rsidRPr="00202182">
        <w:rPr>
          <w:i/>
          <w:lang w:eastAsia="pl-PL"/>
        </w:rPr>
        <w:t xml:space="preserve">Raport za rok hydrologiczny 2019 dla tematu: Prowadzenie monitoringu wód podziemnych w strefach granicznych RP ze szczególnym uwzględnieniem stref intensywnej antropopresji </w:t>
      </w:r>
      <w:r w:rsidR="00DA1674" w:rsidRPr="00202182">
        <w:rPr>
          <w:i/>
          <w:iCs/>
          <w:lang w:eastAsia="pl-PL"/>
        </w:rPr>
        <w:t>–</w:t>
      </w:r>
      <w:r w:rsidRPr="00202182">
        <w:rPr>
          <w:i/>
          <w:lang w:eastAsia="pl-PL"/>
        </w:rPr>
        <w:t xml:space="preserve"> rejon niecki śródsudeckiej i zapadliska Kudowy</w:t>
      </w:r>
      <w:r w:rsidRPr="002E63CD">
        <w:t xml:space="preserve">, </w:t>
      </w:r>
      <w:r w:rsidRPr="002E63CD">
        <w:rPr>
          <w:lang w:eastAsia="pl-PL"/>
        </w:rPr>
        <w:t>PIG-PIB 2020</w:t>
      </w:r>
      <w:r w:rsidRPr="002E63CD">
        <w:t>.</w:t>
      </w:r>
    </w:p>
  </w:footnote>
  <w:footnote w:id="41">
    <w:p w14:paraId="406DFCC5" w14:textId="5A50995D" w:rsidR="007C1459" w:rsidRDefault="007C1459" w:rsidP="007C1459">
      <w:pPr>
        <w:pStyle w:val="Tekstprzypisudolnego"/>
      </w:pPr>
      <w:r>
        <w:rPr>
          <w:rStyle w:val="Odwoanieprzypisudolnego"/>
        </w:rPr>
        <w:footnoteRef/>
      </w:r>
      <w:r>
        <w:t xml:space="preserve"> </w:t>
      </w:r>
      <w:r w:rsidRPr="00202182">
        <w:rPr>
          <w:szCs w:val="18"/>
        </w:rPr>
        <w:t>https://circabc.europa.eu</w:t>
      </w:r>
    </w:p>
  </w:footnote>
  <w:footnote w:id="42">
    <w:p w14:paraId="15E2A5DB" w14:textId="44962918" w:rsidR="00BA6B41" w:rsidRPr="007B0EF9" w:rsidRDefault="00BA6B41" w:rsidP="0044393D">
      <w:pPr>
        <w:pStyle w:val="Przypis"/>
      </w:pPr>
      <w:r w:rsidRPr="007B0EF9">
        <w:rPr>
          <w:rStyle w:val="Odwoanieprzypisudolnego"/>
          <w:rFonts w:asciiTheme="minorHAnsi" w:hAnsiTheme="minorHAnsi"/>
        </w:rPr>
        <w:footnoteRef/>
      </w:r>
      <w:r w:rsidRPr="007B0EF9">
        <w:t xml:space="preserve"> </w:t>
      </w:r>
      <w:r w:rsidR="00C827BA">
        <w:t xml:space="preserve">A. </w:t>
      </w:r>
      <w:r w:rsidRPr="007B0EF9">
        <w:rPr>
          <w:lang w:eastAsia="pl-PL"/>
        </w:rPr>
        <w:t>Kuczyńska</w:t>
      </w:r>
      <w:r w:rsidRPr="007B0EF9" w:rsidDel="00C827BA">
        <w:rPr>
          <w:lang w:eastAsia="pl-PL"/>
        </w:rPr>
        <w:t xml:space="preserve"> </w:t>
      </w:r>
      <w:r w:rsidRPr="007B0EF9">
        <w:rPr>
          <w:lang w:eastAsia="pl-PL"/>
        </w:rPr>
        <w:t>i in.,</w:t>
      </w:r>
      <w:r w:rsidRPr="00202182">
        <w:rPr>
          <w:i/>
          <w:lang w:eastAsia="pl-PL"/>
        </w:rPr>
        <w:t xml:space="preserve"> Aktualizacja programu monitoringu jednolitych części wód podziemnych w układzie dorzeczy na lata 2022</w:t>
      </w:r>
      <w:r w:rsidR="00C827BA">
        <w:rPr>
          <w:i/>
          <w:iCs/>
          <w:lang w:eastAsia="pl-PL"/>
        </w:rPr>
        <w:t>–</w:t>
      </w:r>
      <w:r w:rsidRPr="00202182">
        <w:rPr>
          <w:i/>
          <w:lang w:eastAsia="pl-PL"/>
        </w:rPr>
        <w:t>2027</w:t>
      </w:r>
      <w:r w:rsidRPr="007B0EF9">
        <w:rPr>
          <w:lang w:eastAsia="pl-PL"/>
        </w:rPr>
        <w:t>, PIG-PIB 2020.</w:t>
      </w:r>
    </w:p>
  </w:footnote>
  <w:footnote w:id="43">
    <w:p w14:paraId="330189F7" w14:textId="5441604B" w:rsidR="00BA6B41" w:rsidRPr="007B0EF9" w:rsidRDefault="00BA6B41" w:rsidP="0044393D">
      <w:pPr>
        <w:pStyle w:val="Przypis"/>
      </w:pPr>
      <w:r w:rsidRPr="007B0EF9">
        <w:rPr>
          <w:rStyle w:val="Odwoanieprzypisudolnego"/>
          <w:rFonts w:asciiTheme="minorHAnsi" w:hAnsiTheme="minorHAnsi"/>
        </w:rPr>
        <w:footnoteRef/>
      </w:r>
      <w:r w:rsidRPr="007B0EF9">
        <w:t xml:space="preserve"> </w:t>
      </w:r>
      <w:r w:rsidR="00C827BA">
        <w:t xml:space="preserve">A. </w:t>
      </w:r>
      <w:r w:rsidRPr="007B0EF9">
        <w:rPr>
          <w:lang w:eastAsia="pl-PL"/>
        </w:rPr>
        <w:t>Gryczko-Gostyńska,</w:t>
      </w:r>
      <w:r w:rsidRPr="00202182">
        <w:rPr>
          <w:i/>
          <w:lang w:eastAsia="pl-PL"/>
        </w:rPr>
        <w:t xml:space="preserve"> Dalsza charakterystyka wód podziemnych zgodnie z załącznikiem II.2 Ramowej Dyrektywy Wodnej wraz z oceną ryzyka</w:t>
      </w:r>
      <w:r w:rsidR="00C827BA">
        <w:rPr>
          <w:lang w:eastAsia="pl-PL"/>
        </w:rPr>
        <w:t>,</w:t>
      </w:r>
      <w:r w:rsidRPr="007B0EF9">
        <w:rPr>
          <w:lang w:eastAsia="pl-PL"/>
        </w:rPr>
        <w:t xml:space="preserve"> Wersja 2, PIG-PIB 2020.</w:t>
      </w:r>
    </w:p>
  </w:footnote>
  <w:footnote w:id="44">
    <w:p w14:paraId="1A0EB034" w14:textId="41622A46" w:rsidR="005C0DDB" w:rsidRDefault="005C0DDB">
      <w:pPr>
        <w:pStyle w:val="Tekstprzypisudolnego"/>
      </w:pPr>
      <w:r>
        <w:rPr>
          <w:rStyle w:val="Odwoanieprzypisudolnego"/>
        </w:rPr>
        <w:footnoteRef/>
      </w:r>
      <w:r>
        <w:t xml:space="preserve"> </w:t>
      </w:r>
      <w:r w:rsidRPr="00202182">
        <w:rPr>
          <w:szCs w:val="18"/>
        </w:rPr>
        <w:t>ht</w:t>
      </w:r>
      <w:r w:rsidR="006C2BDB" w:rsidRPr="00202182">
        <w:rPr>
          <w:szCs w:val="18"/>
        </w:rPr>
        <w:t>tps://op.europa.eu</w:t>
      </w:r>
    </w:p>
  </w:footnote>
  <w:footnote w:id="45">
    <w:p w14:paraId="48FFE5DB" w14:textId="003ABFA5" w:rsidR="00BA6B41" w:rsidRPr="007B0EF9" w:rsidRDefault="00BA6B41" w:rsidP="0044393D">
      <w:pPr>
        <w:pStyle w:val="Przypis"/>
      </w:pPr>
      <w:r w:rsidRPr="007B0EF9">
        <w:rPr>
          <w:rStyle w:val="Odwoanieprzypisudolnego"/>
          <w:rFonts w:asciiTheme="minorHAnsi" w:hAnsiTheme="minorHAnsi"/>
        </w:rPr>
        <w:footnoteRef/>
      </w:r>
      <w:r w:rsidRPr="007B0EF9">
        <w:t xml:space="preserve"> </w:t>
      </w:r>
      <w:bookmarkStart w:id="225" w:name="_Hlk78138723"/>
      <w:r w:rsidR="00C827BA">
        <w:t xml:space="preserve">D. </w:t>
      </w:r>
      <w:r w:rsidRPr="007B0EF9">
        <w:rPr>
          <w:lang w:eastAsia="pl-PL"/>
        </w:rPr>
        <w:t>Palak-Mazur i in.,</w:t>
      </w:r>
      <w:r w:rsidRPr="00202182">
        <w:rPr>
          <w:i/>
          <w:lang w:eastAsia="pl-PL"/>
        </w:rPr>
        <w:t xml:space="preserve"> Aktualizacja metodyki oceny stanu </w:t>
      </w:r>
      <w:r w:rsidR="00DF005E">
        <w:rPr>
          <w:i/>
          <w:lang w:eastAsia="pl-PL"/>
        </w:rPr>
        <w:t>JCWP</w:t>
      </w:r>
      <w:r w:rsidRPr="00202182">
        <w:rPr>
          <w:i/>
          <w:lang w:eastAsia="pl-PL"/>
        </w:rPr>
        <w:t>d wraz z opracowaniem metodyki analizy odwracania trendów zanieczyszczeń</w:t>
      </w:r>
      <w:r w:rsidRPr="007B0EF9">
        <w:rPr>
          <w:lang w:eastAsia="pl-PL"/>
        </w:rPr>
        <w:t>, PIG-PIB 2020.</w:t>
      </w:r>
      <w:bookmarkEnd w:id="225"/>
    </w:p>
  </w:footnote>
  <w:footnote w:id="46">
    <w:p w14:paraId="285D5C2F" w14:textId="153E33D1" w:rsidR="00BA6B41" w:rsidRPr="00BF45EA" w:rsidRDefault="00BA6B41" w:rsidP="0044393D">
      <w:pPr>
        <w:pStyle w:val="Przypis"/>
        <w:rPr>
          <w:lang w:val="en-GB"/>
        </w:rPr>
      </w:pPr>
      <w:r w:rsidRPr="00BF45EA">
        <w:rPr>
          <w:rStyle w:val="Odwoanieprzypisudolnego"/>
        </w:rPr>
        <w:footnoteRef/>
      </w:r>
      <w:r w:rsidRPr="00BF45EA">
        <w:rPr>
          <w:lang w:val="en-GB"/>
        </w:rPr>
        <w:t xml:space="preserve"> </w:t>
      </w:r>
      <w:r w:rsidRPr="00202182">
        <w:rPr>
          <w:i/>
          <w:lang w:val="en-GB"/>
        </w:rPr>
        <w:t xml:space="preserve">Guidance Document No. 28, Technical Guidance on the </w:t>
      </w:r>
      <w:r w:rsidR="006E63BB" w:rsidRPr="00202182">
        <w:rPr>
          <w:i/>
          <w:lang w:val="en-GB"/>
        </w:rPr>
        <w:t>Prep</w:t>
      </w:r>
      <w:r w:rsidR="006E63BB">
        <w:rPr>
          <w:i/>
          <w:iCs/>
          <w:lang w:val="en-GB"/>
        </w:rPr>
        <w:t>a</w:t>
      </w:r>
      <w:r w:rsidR="006E63BB" w:rsidRPr="00202182">
        <w:rPr>
          <w:i/>
          <w:lang w:val="en-GB"/>
        </w:rPr>
        <w:t xml:space="preserve">ration </w:t>
      </w:r>
      <w:r w:rsidRPr="00202182">
        <w:rPr>
          <w:i/>
          <w:lang w:val="en-GB"/>
        </w:rPr>
        <w:t xml:space="preserve">of an Inventory of Emissions, Discharges and Losses of Priority and Priority </w:t>
      </w:r>
      <w:r w:rsidR="00102AAF" w:rsidRPr="00102AAF">
        <w:rPr>
          <w:i/>
          <w:iCs/>
          <w:lang w:val="en-GB"/>
        </w:rPr>
        <w:t>Hazardous</w:t>
      </w:r>
      <w:r w:rsidRPr="00202182">
        <w:rPr>
          <w:i/>
          <w:lang w:val="en-GB"/>
        </w:rPr>
        <w:t xml:space="preserve"> Substances, Common Implementation Strategy for the Water Framework Directive (2000/60/EC</w:t>
      </w:r>
      <w:r w:rsidRPr="00BF45EA">
        <w:rPr>
          <w:lang w:val="en-GB"/>
        </w:rPr>
        <w:t>); Technical Report - 2012-058; European Communities, 2012.</w:t>
      </w:r>
    </w:p>
  </w:footnote>
  <w:footnote w:id="47">
    <w:p w14:paraId="20A64587" w14:textId="1ECE7E4A" w:rsidR="00BA6B41" w:rsidRPr="00BF45EA" w:rsidRDefault="00BA6B41" w:rsidP="0044393D">
      <w:pPr>
        <w:pStyle w:val="Przypis"/>
      </w:pPr>
      <w:r w:rsidRPr="00BF45EA">
        <w:rPr>
          <w:rStyle w:val="Odwoanieprzypisudolnego"/>
        </w:rPr>
        <w:footnoteRef/>
      </w:r>
      <w:r w:rsidRPr="00BF45EA">
        <w:t xml:space="preserve"> </w:t>
      </w:r>
      <w:r w:rsidRPr="00202182">
        <w:rPr>
          <w:i/>
        </w:rPr>
        <w:t>Przewodnik do opracowania wykazu wielkości emisji i stężeń substancji priorytetowych oraz innych zanieczyszczeń, dla których zostały określone środowiskowe normy jakości</w:t>
      </w:r>
      <w:r w:rsidRPr="00BF45EA">
        <w:t>, Instytut Ekologii Terenów Uprzemysłowionych, Katowice 2012.</w:t>
      </w:r>
    </w:p>
  </w:footnote>
  <w:footnote w:id="48">
    <w:p w14:paraId="7EA5A024" w14:textId="35320588" w:rsidR="00A571FA" w:rsidRPr="006C22FD" w:rsidRDefault="00A571FA">
      <w:pPr>
        <w:pStyle w:val="Tekstprzypisudolnego"/>
        <w:rPr>
          <w:szCs w:val="18"/>
        </w:rPr>
      </w:pPr>
      <w:r>
        <w:rPr>
          <w:rStyle w:val="Odwoanieprzypisudolnego"/>
        </w:rPr>
        <w:footnoteRef/>
      </w:r>
      <w:r>
        <w:t xml:space="preserve"> </w:t>
      </w:r>
      <w:r w:rsidRPr="006C22FD">
        <w:rPr>
          <w:szCs w:val="18"/>
        </w:rPr>
        <w:t xml:space="preserve">Metryka </w:t>
      </w:r>
      <w:r w:rsidR="00DF005E">
        <w:rPr>
          <w:szCs w:val="18"/>
        </w:rPr>
        <w:t>JCWP</w:t>
      </w:r>
      <w:r w:rsidRPr="006C22FD">
        <w:rPr>
          <w:szCs w:val="18"/>
        </w:rPr>
        <w:t xml:space="preserve"> zawiera podstawowe informacje charakteryzujące każdą z jednolitych części wód powierzchniowych tj. nazwa oraz kod </w:t>
      </w:r>
      <w:r w:rsidR="00DF005E">
        <w:rPr>
          <w:szCs w:val="18"/>
        </w:rPr>
        <w:t>JCWP</w:t>
      </w:r>
      <w:r w:rsidRPr="006C22FD">
        <w:rPr>
          <w:szCs w:val="18"/>
        </w:rPr>
        <w:t xml:space="preserve">, nazwa cieku/zbiornika wodnego, region wodny, Regionalny Zarząd Gospodarki Wodnej (RZGW), któremu podlega dana część wód, zlewnia bilansowa, powierzchnia </w:t>
      </w:r>
      <w:r w:rsidR="00DF005E">
        <w:rPr>
          <w:szCs w:val="18"/>
        </w:rPr>
        <w:t>JCWP</w:t>
      </w:r>
      <w:r w:rsidRPr="006C22FD">
        <w:rPr>
          <w:szCs w:val="18"/>
        </w:rPr>
        <w:t xml:space="preserve">, informacje czy dana </w:t>
      </w:r>
      <w:r w:rsidR="00DF005E">
        <w:rPr>
          <w:szCs w:val="18"/>
        </w:rPr>
        <w:t>JCWP</w:t>
      </w:r>
      <w:r w:rsidRPr="006C22FD">
        <w:rPr>
          <w:szCs w:val="18"/>
        </w:rPr>
        <w:t xml:space="preserve"> podlega monitoringowi czy też nie, obszar dorzecza, numer oraz kod punktu pomiarowo-kontrolnego (PPK), współrzędne GPS dla PPK oraz dane hydrologiczne tj. przepływ (SSQ (m</w:t>
      </w:r>
      <w:r w:rsidRPr="006C22FD">
        <w:rPr>
          <w:szCs w:val="18"/>
          <w:vertAlign w:val="superscript"/>
        </w:rPr>
        <w:t>3</w:t>
      </w:r>
      <w:r w:rsidRPr="006C22FD">
        <w:rPr>
          <w:szCs w:val="18"/>
        </w:rPr>
        <w:t xml:space="preserve">/s) w PPK). </w:t>
      </w:r>
      <w:r w:rsidR="00AA5374" w:rsidRPr="006C22FD">
        <w:rPr>
          <w:szCs w:val="18"/>
        </w:rPr>
        <w:t xml:space="preserve">Przepływ stanowi wartości pomierzone przez IMGW jak również wartości obliczone, które zostały zaadaptowane z projektu </w:t>
      </w:r>
      <w:r w:rsidR="00223985" w:rsidRPr="002F6504">
        <w:rPr>
          <w:i/>
          <w:iCs/>
          <w:szCs w:val="18"/>
        </w:rPr>
        <w:t>Analiza znaczących oddziaływań antropogenicznych wraz z oceną ich wpływu na stan wód oraz oceną ryzyka nieosiągnięcia celów środowiskowych</w:t>
      </w:r>
      <w:r w:rsidR="00D83B3A" w:rsidRPr="001D33CA">
        <w:rPr>
          <w:i/>
          <w:iCs/>
          <w:szCs w:val="18"/>
        </w:rPr>
        <w:t xml:space="preserve">, </w:t>
      </w:r>
      <w:r w:rsidR="00D83B3A" w:rsidRPr="001D33CA">
        <w:rPr>
          <w:szCs w:val="18"/>
        </w:rPr>
        <w:t>PGW WP, 2020</w:t>
      </w:r>
      <w:r w:rsidR="00AA5374" w:rsidRPr="006C22FD">
        <w:rPr>
          <w:rFonts w:cs="Calibri"/>
          <w:i/>
          <w:iCs/>
          <w:szCs w:val="18"/>
        </w:rPr>
        <w:t>.</w:t>
      </w:r>
    </w:p>
  </w:footnote>
  <w:footnote w:id="49">
    <w:p w14:paraId="0E7636F2" w14:textId="48A0ADD0" w:rsidR="00A57A31" w:rsidRDefault="00A57A31">
      <w:pPr>
        <w:pStyle w:val="Tekstprzypisudolnego"/>
      </w:pPr>
      <w:r w:rsidRPr="00BF45EA">
        <w:rPr>
          <w:rStyle w:val="Odwoanieprzypisudolnego"/>
          <w:szCs w:val="18"/>
        </w:rPr>
        <w:footnoteRef/>
      </w:r>
      <w:r w:rsidRPr="00BF45EA">
        <w:rPr>
          <w:szCs w:val="18"/>
        </w:rPr>
        <w:t xml:space="preserve"> </w:t>
      </w:r>
      <w:r w:rsidR="00941685" w:rsidRPr="00941685">
        <w:rPr>
          <w:i/>
          <w:iCs/>
          <w:szCs w:val="18"/>
        </w:rPr>
        <w:t>Analiza znaczących oddziaływań antropogenicznych wraz z oceną ich wpływu na stan wód oraz oceną ryzyka nieosiągnięcia celów środowiskowych,</w:t>
      </w:r>
      <w:r w:rsidR="00941685">
        <w:rPr>
          <w:i/>
          <w:iCs/>
          <w:szCs w:val="18"/>
        </w:rPr>
        <w:t xml:space="preserve"> </w:t>
      </w:r>
      <w:r w:rsidR="005D5853" w:rsidRPr="00202182">
        <w:rPr>
          <w:szCs w:val="18"/>
        </w:rPr>
        <w:t>PGW WP</w:t>
      </w:r>
      <w:r w:rsidR="00F629B9" w:rsidRPr="00202182">
        <w:rPr>
          <w:szCs w:val="18"/>
        </w:rPr>
        <w:t xml:space="preserve">, </w:t>
      </w:r>
      <w:r w:rsidR="00D11A32" w:rsidRPr="00202182">
        <w:rPr>
          <w:szCs w:val="18"/>
        </w:rPr>
        <w:t>2020</w:t>
      </w:r>
      <w:r w:rsidR="00F629B9" w:rsidRPr="00202182">
        <w:rPr>
          <w:szCs w:val="18"/>
        </w:rPr>
        <w:t>.</w:t>
      </w:r>
    </w:p>
  </w:footnote>
  <w:footnote w:id="50">
    <w:p w14:paraId="4806C1DD" w14:textId="497F0119" w:rsidR="00BC12E2" w:rsidRPr="00BF45EA" w:rsidRDefault="00BC12E2">
      <w:pPr>
        <w:pStyle w:val="Tekstprzypisudolnego"/>
        <w:rPr>
          <w:szCs w:val="18"/>
        </w:rPr>
      </w:pPr>
      <w:r w:rsidRPr="00BF45EA">
        <w:rPr>
          <w:rStyle w:val="Odwoanieprzypisudolnego"/>
          <w:szCs w:val="18"/>
        </w:rPr>
        <w:footnoteRef/>
      </w:r>
      <w:r w:rsidRPr="00BF45EA">
        <w:rPr>
          <w:szCs w:val="18"/>
        </w:rPr>
        <w:t xml:space="preserve"> </w:t>
      </w:r>
      <w:r w:rsidR="00941685">
        <w:rPr>
          <w:i/>
          <w:iCs/>
          <w:szCs w:val="18"/>
        </w:rPr>
        <w:t>Analiza znaczących oddziaływań antropogenicznych wraz z oceną ich wpływu na stan wód oraz oceną ryzyka nieosiągnięcia celów środowiskowych,</w:t>
      </w:r>
      <w:r w:rsidR="00F629B9">
        <w:rPr>
          <w:i/>
          <w:iCs/>
          <w:szCs w:val="18"/>
        </w:rPr>
        <w:t xml:space="preserve"> </w:t>
      </w:r>
      <w:r w:rsidR="00F629B9" w:rsidRPr="00202182">
        <w:rPr>
          <w:szCs w:val="18"/>
        </w:rPr>
        <w:t>PGW WP, 2020.</w:t>
      </w:r>
    </w:p>
  </w:footnote>
  <w:footnote w:id="51">
    <w:p w14:paraId="505F9CF2" w14:textId="682739AD" w:rsidR="00A57A31" w:rsidRPr="00202182" w:rsidRDefault="00A57A31">
      <w:pPr>
        <w:pStyle w:val="Tekstprzypisudolnego"/>
        <w:rPr>
          <w:szCs w:val="18"/>
        </w:rPr>
      </w:pPr>
      <w:r w:rsidRPr="00202182">
        <w:rPr>
          <w:rStyle w:val="Odwoanieprzypisudolnego"/>
          <w:szCs w:val="18"/>
        </w:rPr>
        <w:footnoteRef/>
      </w:r>
      <w:r w:rsidRPr="00202182">
        <w:rPr>
          <w:szCs w:val="18"/>
        </w:rPr>
        <w:t xml:space="preserve"> </w:t>
      </w:r>
      <w:r w:rsidR="00941685" w:rsidRPr="00F86241">
        <w:rPr>
          <w:i/>
          <w:szCs w:val="18"/>
        </w:rPr>
        <w:t xml:space="preserve">Analiza znaczących oddziaływań antropogenicznych wraz z </w:t>
      </w:r>
      <w:r w:rsidR="00941685">
        <w:rPr>
          <w:i/>
          <w:szCs w:val="18"/>
        </w:rPr>
        <w:t>oceną ich wpływu na stan wód oraz oceną ryzyka nieosiągnięcia celów środowiskowych</w:t>
      </w:r>
      <w:r w:rsidR="00F629B9">
        <w:rPr>
          <w:i/>
          <w:szCs w:val="18"/>
        </w:rPr>
        <w:t xml:space="preserve">, </w:t>
      </w:r>
      <w:r w:rsidR="00F629B9" w:rsidRPr="00373C9F">
        <w:rPr>
          <w:szCs w:val="18"/>
        </w:rPr>
        <w:t>PGW WP, 2020.</w:t>
      </w:r>
    </w:p>
  </w:footnote>
  <w:footnote w:id="52">
    <w:p w14:paraId="72F757D9" w14:textId="021C4014" w:rsidR="00A57A31" w:rsidRPr="00BF45EA" w:rsidRDefault="00A57A31">
      <w:pPr>
        <w:pStyle w:val="Tekstprzypisudolnego"/>
        <w:rPr>
          <w:szCs w:val="18"/>
        </w:rPr>
      </w:pPr>
      <w:r w:rsidRPr="00BF45EA">
        <w:rPr>
          <w:rStyle w:val="Odwoanieprzypisudolnego"/>
          <w:szCs w:val="18"/>
        </w:rPr>
        <w:footnoteRef/>
      </w:r>
      <w:r w:rsidRPr="00BF45EA">
        <w:rPr>
          <w:szCs w:val="18"/>
        </w:rPr>
        <w:t xml:space="preserve"> </w:t>
      </w:r>
      <w:r w:rsidR="00941685" w:rsidRPr="00F86241">
        <w:rPr>
          <w:i/>
          <w:szCs w:val="18"/>
        </w:rPr>
        <w:t xml:space="preserve">Analiza znaczących oddziaływań antropogenicznych wraz z </w:t>
      </w:r>
      <w:r w:rsidR="00941685">
        <w:rPr>
          <w:i/>
          <w:szCs w:val="18"/>
        </w:rPr>
        <w:t>oceną ich wpływu na stan wód oraz oceną ryzyka nieosiągnięcia celów środowiskowych</w:t>
      </w:r>
      <w:r w:rsidR="00F629B9">
        <w:rPr>
          <w:i/>
          <w:iCs/>
          <w:szCs w:val="18"/>
        </w:rPr>
        <w:t xml:space="preserve">, </w:t>
      </w:r>
      <w:r w:rsidR="00F629B9" w:rsidRPr="00373C9F">
        <w:rPr>
          <w:szCs w:val="18"/>
        </w:rPr>
        <w:t>PGW WP, 2020.</w:t>
      </w:r>
      <w:r w:rsidR="008775FD">
        <w:rPr>
          <w:i/>
          <w:iCs/>
          <w:szCs w:val="18"/>
        </w:rPr>
        <w:t xml:space="preserve"> </w:t>
      </w:r>
    </w:p>
  </w:footnote>
  <w:footnote w:id="53">
    <w:p w14:paraId="054EE8A9" w14:textId="7C90A929" w:rsidR="00A57A31" w:rsidRDefault="00A57A31">
      <w:pPr>
        <w:pStyle w:val="Tekstprzypisudolnego"/>
      </w:pPr>
      <w:r w:rsidRPr="00BF45EA">
        <w:rPr>
          <w:rStyle w:val="Odwoanieprzypisudolnego"/>
          <w:szCs w:val="18"/>
        </w:rPr>
        <w:footnoteRef/>
      </w:r>
      <w:r w:rsidRPr="00BF45EA">
        <w:rPr>
          <w:szCs w:val="18"/>
        </w:rPr>
        <w:t xml:space="preserve"> </w:t>
      </w:r>
      <w:r w:rsidR="00C158A7">
        <w:rPr>
          <w:i/>
          <w:iCs/>
          <w:szCs w:val="18"/>
        </w:rPr>
        <w:t>Ibidem</w:t>
      </w:r>
      <w:r w:rsidR="001D33CA" w:rsidRPr="00373C9F">
        <w:rPr>
          <w:szCs w:val="18"/>
        </w:rPr>
        <w:t>.</w:t>
      </w:r>
    </w:p>
  </w:footnote>
  <w:footnote w:id="54">
    <w:p w14:paraId="436E2020" w14:textId="4143E1CC" w:rsidR="00A57A31" w:rsidRPr="00CC2C62" w:rsidRDefault="00A57A31">
      <w:pPr>
        <w:pStyle w:val="Tekstprzypisudolnego"/>
        <w:rPr>
          <w:szCs w:val="18"/>
        </w:rPr>
      </w:pPr>
      <w:r w:rsidRPr="00CC2C62">
        <w:rPr>
          <w:rStyle w:val="Odwoanieprzypisudolnego"/>
          <w:szCs w:val="18"/>
        </w:rPr>
        <w:footnoteRef/>
      </w:r>
      <w:r w:rsidRPr="00CC2C62">
        <w:rPr>
          <w:szCs w:val="18"/>
        </w:rPr>
        <w:t xml:space="preserve"> </w:t>
      </w:r>
      <w:r w:rsidR="00941685" w:rsidRPr="00F86241">
        <w:rPr>
          <w:i/>
          <w:szCs w:val="18"/>
        </w:rPr>
        <w:t xml:space="preserve">Analiza znaczących oddziaływań antropogenicznych wraz z </w:t>
      </w:r>
      <w:r w:rsidR="00941685">
        <w:rPr>
          <w:i/>
          <w:szCs w:val="18"/>
        </w:rPr>
        <w:t>oceną ich wpływu na stan wód oraz oceną ryzyka nieosiągnięcia celów środowiskowych</w:t>
      </w:r>
      <w:r w:rsidR="00941685">
        <w:rPr>
          <w:szCs w:val="18"/>
        </w:rPr>
        <w:t xml:space="preserve">, </w:t>
      </w:r>
      <w:r w:rsidR="002F2407" w:rsidRPr="001C6219">
        <w:rPr>
          <w:szCs w:val="18"/>
        </w:rPr>
        <w:t>PGW WP</w:t>
      </w:r>
      <w:r w:rsidR="008361CD" w:rsidRPr="001C6219">
        <w:rPr>
          <w:szCs w:val="18"/>
        </w:rPr>
        <w:t xml:space="preserve">, </w:t>
      </w:r>
      <w:r w:rsidR="00CD2A1A" w:rsidRPr="001C6219">
        <w:rPr>
          <w:szCs w:val="18"/>
        </w:rPr>
        <w:t>2020</w:t>
      </w:r>
      <w:r w:rsidR="000C0748">
        <w:rPr>
          <w:i/>
          <w:iCs/>
          <w:szCs w:val="18"/>
        </w:rPr>
        <w:t>.</w:t>
      </w:r>
    </w:p>
  </w:footnote>
  <w:footnote w:id="55">
    <w:p w14:paraId="13F98018" w14:textId="4CA94D1B" w:rsidR="00A57A31" w:rsidRPr="005E281B" w:rsidRDefault="00A57A31">
      <w:pPr>
        <w:pStyle w:val="Tekstprzypisudolnego"/>
        <w:rPr>
          <w:szCs w:val="18"/>
        </w:rPr>
      </w:pPr>
      <w:r w:rsidRPr="005E281B">
        <w:rPr>
          <w:rStyle w:val="Odwoanieprzypisudolnego"/>
          <w:szCs w:val="18"/>
        </w:rPr>
        <w:footnoteRef/>
      </w:r>
      <w:r w:rsidRPr="005E281B">
        <w:rPr>
          <w:szCs w:val="18"/>
        </w:rPr>
        <w:t xml:space="preserve"> </w:t>
      </w:r>
      <w:r w:rsidR="00941685" w:rsidRPr="00F86241">
        <w:rPr>
          <w:i/>
          <w:szCs w:val="18"/>
        </w:rPr>
        <w:t xml:space="preserve">Analiza znaczących oddziaływań antropogenicznych wraz z </w:t>
      </w:r>
      <w:r w:rsidR="00941685">
        <w:rPr>
          <w:i/>
          <w:szCs w:val="18"/>
        </w:rPr>
        <w:t>oceną ich wpływu na stan wód oraz oceną ryzyka nieosiągnięcia celów środowiskowych</w:t>
      </w:r>
      <w:r w:rsidR="00941685">
        <w:rPr>
          <w:szCs w:val="18"/>
        </w:rPr>
        <w:t xml:space="preserve">, </w:t>
      </w:r>
      <w:r w:rsidR="000C0748" w:rsidRPr="00F86241">
        <w:rPr>
          <w:szCs w:val="18"/>
        </w:rPr>
        <w:t>PGW WP,</w:t>
      </w:r>
      <w:r w:rsidR="00AF027A" w:rsidRPr="00F86241">
        <w:rPr>
          <w:szCs w:val="18"/>
        </w:rPr>
        <w:t xml:space="preserve"> 2020.</w:t>
      </w:r>
    </w:p>
  </w:footnote>
  <w:footnote w:id="56">
    <w:p w14:paraId="20B5F4CA" w14:textId="243841BB" w:rsidR="00BA6B41" w:rsidRPr="00913851" w:rsidRDefault="00BA6B41" w:rsidP="008E191A">
      <w:pPr>
        <w:pStyle w:val="Przypis"/>
      </w:pPr>
      <w:r w:rsidRPr="00913851">
        <w:rPr>
          <w:rStyle w:val="Odwoanieprzypisudolnego"/>
        </w:rPr>
        <w:footnoteRef/>
      </w:r>
      <w:r w:rsidRPr="00913851">
        <w:t xml:space="preserve"> </w:t>
      </w:r>
      <w:bookmarkStart w:id="361" w:name="_Hlk78222961"/>
      <w:r w:rsidR="009460FE">
        <w:t xml:space="preserve">A. </w:t>
      </w:r>
      <w:r w:rsidR="0091230B">
        <w:t xml:space="preserve">Gryczko-Gostyńska i in., </w:t>
      </w:r>
      <w:r w:rsidRPr="00202182">
        <w:rPr>
          <w:i/>
        </w:rPr>
        <w:t>Dalsza charakterystyka wód podziemnych zgodnie z załącznikiem II.2 Ramowej Dyrektywy Wodnej wraz z oceną ryzyka</w:t>
      </w:r>
      <w:r w:rsidR="0091230B" w:rsidRPr="00202182">
        <w:rPr>
          <w:i/>
          <w:iCs/>
        </w:rPr>
        <w:t>,</w:t>
      </w:r>
      <w:r w:rsidRPr="00913851">
        <w:t>Wersja 2</w:t>
      </w:r>
      <w:r w:rsidR="007860FF">
        <w:t>,</w:t>
      </w:r>
      <w:r w:rsidRPr="00913851">
        <w:t xml:space="preserve"> </w:t>
      </w:r>
      <w:r w:rsidR="007860FF">
        <w:rPr>
          <w:lang w:eastAsia="pl-PL"/>
        </w:rPr>
        <w:t>PIG</w:t>
      </w:r>
      <w:r w:rsidR="007860FF" w:rsidRPr="00D2753B">
        <w:rPr>
          <w:lang w:eastAsia="pl-PL"/>
        </w:rPr>
        <w:t xml:space="preserve">-PIB </w:t>
      </w:r>
      <w:bookmarkEnd w:id="361"/>
      <w:r w:rsidRPr="00D2753B" w:rsidDel="007860FF">
        <w:rPr>
          <w:lang w:eastAsia="pl-PL"/>
        </w:rPr>
        <w:t>20</w:t>
      </w:r>
      <w:r w:rsidDel="007860FF">
        <w:rPr>
          <w:lang w:eastAsia="pl-PL"/>
        </w:rPr>
        <w:t>20</w:t>
      </w:r>
      <w:r w:rsidRPr="00913851" w:rsidDel="007860FF">
        <w:t xml:space="preserve"> </w:t>
      </w:r>
      <w:r>
        <w:t>.</w:t>
      </w:r>
    </w:p>
  </w:footnote>
  <w:footnote w:id="57">
    <w:p w14:paraId="389DDB3A" w14:textId="4B3AA9D1" w:rsidR="00BA6B41" w:rsidRDefault="00BA6B41" w:rsidP="0044393D">
      <w:pPr>
        <w:pStyle w:val="Przypis"/>
      </w:pPr>
      <w:r w:rsidRPr="00CE64E7">
        <w:rPr>
          <w:rStyle w:val="Odwoanieprzypisudolnego"/>
        </w:rPr>
        <w:footnoteRef/>
      </w:r>
      <w:r w:rsidR="008E1B58">
        <w:t xml:space="preserve"> </w:t>
      </w:r>
      <w:bookmarkStart w:id="394" w:name="_Hlk78219000"/>
      <w:r w:rsidR="008E1B58">
        <w:t xml:space="preserve">J. </w:t>
      </w:r>
      <w:r w:rsidRPr="00CE64E7">
        <w:t>Błachuta,</w:t>
      </w:r>
      <w:r w:rsidRPr="00CE64E7" w:rsidDel="008E1B58">
        <w:t xml:space="preserve"> J.</w:t>
      </w:r>
      <w:r w:rsidR="008E1B58">
        <w:t xml:space="preserve"> </w:t>
      </w:r>
      <w:r w:rsidRPr="00CE64E7">
        <w:t xml:space="preserve">Rosa, </w:t>
      </w:r>
      <w:r w:rsidR="008E1B58">
        <w:t xml:space="preserve">W. </w:t>
      </w:r>
      <w:r w:rsidRPr="00CE64E7">
        <w:t xml:space="preserve">Wiśniewolski, </w:t>
      </w:r>
      <w:r w:rsidR="008E1B58">
        <w:t xml:space="preserve">J. </w:t>
      </w:r>
      <w:r w:rsidRPr="00CE64E7">
        <w:t xml:space="preserve">Zgrabczyński, </w:t>
      </w:r>
      <w:r w:rsidR="008E1B58">
        <w:t xml:space="preserve">R. </w:t>
      </w:r>
      <w:r w:rsidRPr="00CE64E7">
        <w:t xml:space="preserve">Bartel, </w:t>
      </w:r>
      <w:r w:rsidR="008E1B58">
        <w:t xml:space="preserve">W. </w:t>
      </w:r>
      <w:r w:rsidRPr="00CE64E7">
        <w:t xml:space="preserve">Białokoz, </w:t>
      </w:r>
      <w:r w:rsidR="008E1B58">
        <w:t xml:space="preserve">I. </w:t>
      </w:r>
      <w:r w:rsidRPr="00CE64E7">
        <w:t xml:space="preserve">Borzęcka, </w:t>
      </w:r>
      <w:r w:rsidR="008E1B58">
        <w:t xml:space="preserve">Ł. </w:t>
      </w:r>
      <w:r w:rsidRPr="00CE64E7">
        <w:t xml:space="preserve">Chybowski, </w:t>
      </w:r>
      <w:r w:rsidR="008E1B58">
        <w:t xml:space="preserve">R. </w:t>
      </w:r>
      <w:r w:rsidRPr="00CE64E7">
        <w:t xml:space="preserve">Depowski, </w:t>
      </w:r>
      <w:r w:rsidR="008E1B58">
        <w:t xml:space="preserve">P. </w:t>
      </w:r>
      <w:r w:rsidRPr="00CE64E7">
        <w:t xml:space="preserve">Dębowski, </w:t>
      </w:r>
      <w:r w:rsidR="008E1B58">
        <w:t xml:space="preserve">J. </w:t>
      </w:r>
      <w:r w:rsidRPr="00CE64E7">
        <w:t xml:space="preserve">Domagała, </w:t>
      </w:r>
      <w:r w:rsidR="008E1B58">
        <w:t xml:space="preserve">K. </w:t>
      </w:r>
      <w:r w:rsidRPr="00CE64E7">
        <w:t xml:space="preserve">Drożdżyński, </w:t>
      </w:r>
      <w:r w:rsidR="008E1B58">
        <w:t xml:space="preserve">P. </w:t>
      </w:r>
      <w:r w:rsidRPr="00CE64E7">
        <w:t xml:space="preserve">Hausa, </w:t>
      </w:r>
      <w:r w:rsidR="008E1B58">
        <w:t xml:space="preserve">K. </w:t>
      </w:r>
      <w:r w:rsidRPr="00CE64E7">
        <w:t xml:space="preserve">Kukuła, </w:t>
      </w:r>
      <w:r w:rsidR="008E1B58">
        <w:t xml:space="preserve">D. </w:t>
      </w:r>
      <w:r w:rsidRPr="00CE64E7">
        <w:t xml:space="preserve">Kubacka, </w:t>
      </w:r>
      <w:r w:rsidR="008E1B58">
        <w:t xml:space="preserve">K. </w:t>
      </w:r>
      <w:r w:rsidRPr="00CE64E7">
        <w:t xml:space="preserve">Kulesza, </w:t>
      </w:r>
      <w:r w:rsidR="008E1B58">
        <w:t xml:space="preserve">J. </w:t>
      </w:r>
      <w:r w:rsidRPr="00CE64E7">
        <w:t xml:space="preserve">Ligięza, </w:t>
      </w:r>
      <w:r w:rsidR="008E1B58">
        <w:t xml:space="preserve">M. </w:t>
      </w:r>
      <w:r w:rsidRPr="00CE64E7">
        <w:t>Ludwiczak,</w:t>
      </w:r>
      <w:r w:rsidRPr="00CE64E7" w:rsidDel="008E1B58">
        <w:t xml:space="preserve"> M.</w:t>
      </w:r>
      <w:r w:rsidR="008E1B58">
        <w:t xml:space="preserve"> </w:t>
      </w:r>
      <w:r w:rsidRPr="00CE64E7">
        <w:t xml:space="preserve">Pawłowski, </w:t>
      </w:r>
      <w:r w:rsidR="008E1B58">
        <w:t xml:space="preserve">J. </w:t>
      </w:r>
      <w:r w:rsidRPr="00CE64E7">
        <w:t xml:space="preserve">Picińska-Fałtynowicz, </w:t>
      </w:r>
      <w:r w:rsidR="008E1B58">
        <w:t xml:space="preserve">K. </w:t>
      </w:r>
      <w:r w:rsidRPr="00CE64E7">
        <w:t xml:space="preserve">Lisiński, </w:t>
      </w:r>
      <w:r w:rsidR="008E1B58">
        <w:t xml:space="preserve">A. </w:t>
      </w:r>
      <w:r w:rsidRPr="00CE64E7">
        <w:t xml:space="preserve">Witkowski, </w:t>
      </w:r>
      <w:r w:rsidR="008E1B58">
        <w:t xml:space="preserve">D. </w:t>
      </w:r>
      <w:r w:rsidRPr="00CE64E7">
        <w:t xml:space="preserve">Zgrabczyński, </w:t>
      </w:r>
      <w:r w:rsidR="008E1B58">
        <w:t xml:space="preserve">M. </w:t>
      </w:r>
      <w:r w:rsidRPr="00CE64E7">
        <w:t>Zgrabczyńska</w:t>
      </w:r>
      <w:r w:rsidR="008E1B58">
        <w:t>,</w:t>
      </w:r>
      <w:r w:rsidRPr="00CE64E7">
        <w:t xml:space="preserve"> </w:t>
      </w:r>
      <w:r w:rsidRPr="00E639A7">
        <w:rPr>
          <w:i/>
        </w:rPr>
        <w:t>Ocena potrzeb i priorytetów udrożnienia ciągłości morfologicznej rzek w kontekście osiągnięcia dobrego stanu i potencjału części wód w Polsce</w:t>
      </w:r>
      <w:r w:rsidR="008E1B58">
        <w:t>,</w:t>
      </w:r>
      <w:r w:rsidRPr="00CE64E7">
        <w:t xml:space="preserve"> Krajowy Zarząd Gospodarki Wodnej, Warszawa</w:t>
      </w:r>
      <w:r w:rsidR="008E1B58">
        <w:t xml:space="preserve"> 2010</w:t>
      </w:r>
      <w:r w:rsidRPr="00CE64E7">
        <w:t>.</w:t>
      </w:r>
      <w:bookmarkEnd w:id="394"/>
    </w:p>
  </w:footnote>
  <w:footnote w:id="58">
    <w:p w14:paraId="075A0430" w14:textId="24919B8E" w:rsidR="00814C01" w:rsidRPr="0093023B" w:rsidRDefault="00814C01">
      <w:pPr>
        <w:pStyle w:val="Tekstprzypisudolnego"/>
        <w:rPr>
          <w:szCs w:val="18"/>
        </w:rPr>
      </w:pPr>
      <w:r w:rsidRPr="0093023B">
        <w:rPr>
          <w:rStyle w:val="Odwoanieprzypisudolnego"/>
          <w:szCs w:val="18"/>
        </w:rPr>
        <w:footnoteRef/>
      </w:r>
      <w:r w:rsidRPr="0093023B">
        <w:rPr>
          <w:szCs w:val="18"/>
        </w:rPr>
        <w:t xml:space="preserve"> </w:t>
      </w:r>
      <w:r w:rsidR="00925673" w:rsidRPr="0093023B">
        <w:rPr>
          <w:szCs w:val="18"/>
        </w:rPr>
        <w:t>J. Błachuta, J. Rosa, W. Wiśniewolski, J. Zgrabczyński, R. Bartel, W. Białokoz, I. Borzęcka, Ł. Chybowski, R. Depowski, P.</w:t>
      </w:r>
      <w:r w:rsidR="007C6DCA">
        <w:rPr>
          <w:szCs w:val="18"/>
        </w:rPr>
        <w:t> </w:t>
      </w:r>
      <w:r w:rsidR="00925673" w:rsidRPr="0093023B">
        <w:rPr>
          <w:szCs w:val="18"/>
        </w:rPr>
        <w:t xml:space="preserve">Dębowski, J. Domagała, K. Drożdżyński, P. Hausa, K. Kukuła, D. Kubacka, K. Kulesza, J. Ligięza, M. Ludwiczak, M. Pawłowski, J. Picińska-Fałtynowicz, K. Lisiński, A. Witkowski, D. Zgrabczyński, M. Zgrabczyńska, </w:t>
      </w:r>
      <w:r w:rsidR="00925673" w:rsidRPr="0093023B">
        <w:rPr>
          <w:i/>
          <w:iCs/>
          <w:szCs w:val="18"/>
        </w:rPr>
        <w:t>Ocena potrzeb i priorytetów udrożnienia ciągłości morfologicznej rzek w kontekście osiągnięcia dobrego stanu i potencjału części wód w Polsce</w:t>
      </w:r>
      <w:r w:rsidR="00925673" w:rsidRPr="0093023B">
        <w:rPr>
          <w:szCs w:val="18"/>
        </w:rPr>
        <w:t>, Krajowy Zarząd Gospodarki Wodnej, Warszawa 2010.</w:t>
      </w:r>
    </w:p>
  </w:footnote>
  <w:footnote w:id="59">
    <w:p w14:paraId="18F960B6" w14:textId="02DC02EE" w:rsidR="0032003A" w:rsidRPr="00E639A7" w:rsidRDefault="0032003A">
      <w:pPr>
        <w:pStyle w:val="Tekstprzypisudolnego"/>
        <w:rPr>
          <w:szCs w:val="18"/>
        </w:rPr>
      </w:pPr>
      <w:r w:rsidRPr="00E639A7">
        <w:rPr>
          <w:rStyle w:val="Odwoanieprzypisudolnego"/>
          <w:szCs w:val="18"/>
        </w:rPr>
        <w:footnoteRef/>
      </w:r>
      <w:r w:rsidRPr="00E639A7">
        <w:rPr>
          <w:szCs w:val="18"/>
        </w:rPr>
        <w:t xml:space="preserve"> </w:t>
      </w:r>
      <w:r w:rsidRPr="00E639A7">
        <w:rPr>
          <w:i/>
          <w:szCs w:val="18"/>
        </w:rPr>
        <w:t>Ustalenie celów środowiskowych dla jednolitych części wód wraz z opracowaniem rejestru wykazów obszarów chronionych</w:t>
      </w:r>
      <w:r w:rsidR="00CD3003">
        <w:rPr>
          <w:i/>
          <w:iCs/>
          <w:szCs w:val="18"/>
        </w:rPr>
        <w:t xml:space="preserve"> </w:t>
      </w:r>
      <w:r w:rsidR="00A762BD">
        <w:rPr>
          <w:szCs w:val="18"/>
        </w:rPr>
        <w:t>PGW WP, 201</w:t>
      </w:r>
      <w:r w:rsidR="00DC4FAD">
        <w:rPr>
          <w:szCs w:val="18"/>
        </w:rPr>
        <w:t>9</w:t>
      </w:r>
      <w:r w:rsidR="001E5422">
        <w:rPr>
          <w:szCs w:val="18"/>
        </w:rPr>
        <w:t>.</w:t>
      </w:r>
    </w:p>
  </w:footnote>
  <w:footnote w:id="60">
    <w:p w14:paraId="764CD300" w14:textId="6A03C656" w:rsidR="0032003A" w:rsidRDefault="0032003A">
      <w:pPr>
        <w:pStyle w:val="Tekstprzypisudolnego"/>
      </w:pPr>
      <w:r w:rsidRPr="00E639A7">
        <w:rPr>
          <w:rStyle w:val="Odwoanieprzypisudolnego"/>
          <w:szCs w:val="18"/>
        </w:rPr>
        <w:footnoteRef/>
      </w:r>
      <w:r w:rsidRPr="00E639A7">
        <w:rPr>
          <w:szCs w:val="18"/>
        </w:rPr>
        <w:t xml:space="preserve"> </w:t>
      </w:r>
      <w:bookmarkStart w:id="426" w:name="_Hlk78218240"/>
      <w:r w:rsidR="00EC3B6C">
        <w:rPr>
          <w:szCs w:val="18"/>
        </w:rPr>
        <w:t>Ibidem</w:t>
      </w:r>
      <w:bookmarkEnd w:id="426"/>
    </w:p>
  </w:footnote>
  <w:footnote w:id="61">
    <w:p w14:paraId="4E1B256E" w14:textId="2DDCB5A6" w:rsidR="0032003A" w:rsidRPr="00E639A7" w:rsidRDefault="0032003A">
      <w:pPr>
        <w:pStyle w:val="Tekstprzypisudolnego"/>
        <w:rPr>
          <w:szCs w:val="18"/>
        </w:rPr>
      </w:pPr>
      <w:r w:rsidRPr="00E639A7">
        <w:rPr>
          <w:rStyle w:val="Odwoanieprzypisudolnego"/>
          <w:szCs w:val="18"/>
        </w:rPr>
        <w:footnoteRef/>
      </w:r>
      <w:r w:rsidRPr="00E639A7">
        <w:rPr>
          <w:szCs w:val="18"/>
        </w:rPr>
        <w:t xml:space="preserve"> </w:t>
      </w:r>
      <w:r w:rsidRPr="00E639A7">
        <w:rPr>
          <w:i/>
          <w:szCs w:val="18"/>
        </w:rPr>
        <w:t>Ustalenie celów środowiskowych dla jednolitych części wód wraz z opracowaniem rejestru wykazów obszarów chronionych</w:t>
      </w:r>
      <w:r w:rsidR="00F87935">
        <w:rPr>
          <w:i/>
          <w:iCs/>
          <w:szCs w:val="18"/>
        </w:rPr>
        <w:t xml:space="preserve"> </w:t>
      </w:r>
      <w:r w:rsidR="004B3E97">
        <w:rPr>
          <w:szCs w:val="18"/>
        </w:rPr>
        <w:t>PGW WP, 201</w:t>
      </w:r>
      <w:r w:rsidR="00DC4FAD">
        <w:rPr>
          <w:szCs w:val="18"/>
        </w:rPr>
        <w:t>9</w:t>
      </w:r>
      <w:r w:rsidR="0058289E">
        <w:rPr>
          <w:szCs w:val="18"/>
        </w:rPr>
        <w:t>.</w:t>
      </w:r>
    </w:p>
  </w:footnote>
  <w:footnote w:id="62">
    <w:p w14:paraId="2B4422E3" w14:textId="07316412" w:rsidR="0032003A" w:rsidRPr="00E639A7" w:rsidRDefault="0032003A">
      <w:pPr>
        <w:pStyle w:val="Tekstprzypisudolnego"/>
        <w:rPr>
          <w:szCs w:val="18"/>
        </w:rPr>
      </w:pPr>
      <w:r w:rsidRPr="00E639A7">
        <w:rPr>
          <w:rStyle w:val="Odwoanieprzypisudolnego"/>
          <w:szCs w:val="18"/>
        </w:rPr>
        <w:footnoteRef/>
      </w:r>
      <w:r w:rsidRPr="00E639A7">
        <w:rPr>
          <w:szCs w:val="18"/>
        </w:rPr>
        <w:t xml:space="preserve"> </w:t>
      </w:r>
      <w:r w:rsidRPr="00E639A7">
        <w:rPr>
          <w:i/>
          <w:szCs w:val="18"/>
        </w:rPr>
        <w:t>Ustalenie celów środowiskowych dla jednolitych części wód wraz z opracowaniem rejestru wykazów obszarów chronionych</w:t>
      </w:r>
      <w:r w:rsidR="00F87935">
        <w:rPr>
          <w:i/>
          <w:iCs/>
          <w:szCs w:val="18"/>
        </w:rPr>
        <w:t xml:space="preserve"> </w:t>
      </w:r>
      <w:r w:rsidR="007977F3" w:rsidRPr="00E639A7">
        <w:rPr>
          <w:szCs w:val="18"/>
        </w:rPr>
        <w:t>PGW WP, 2019</w:t>
      </w:r>
      <w:r w:rsidR="0058289E">
        <w:rPr>
          <w:szCs w:val="18"/>
        </w:rPr>
        <w:t>.</w:t>
      </w:r>
    </w:p>
  </w:footnote>
  <w:footnote w:id="63">
    <w:p w14:paraId="33CCA452" w14:textId="5C681471" w:rsidR="0066667D" w:rsidRPr="00E639A7" w:rsidRDefault="0066667D">
      <w:pPr>
        <w:pStyle w:val="Tekstprzypisudolnego"/>
        <w:rPr>
          <w:szCs w:val="18"/>
        </w:rPr>
      </w:pPr>
      <w:r w:rsidRPr="00E639A7">
        <w:rPr>
          <w:rStyle w:val="Odwoanieprzypisudolnego"/>
          <w:szCs w:val="18"/>
        </w:rPr>
        <w:footnoteRef/>
      </w:r>
      <w:r w:rsidRPr="00E639A7">
        <w:rPr>
          <w:szCs w:val="18"/>
        </w:rPr>
        <w:t xml:space="preserve"> </w:t>
      </w:r>
      <w:r w:rsidRPr="00E639A7">
        <w:rPr>
          <w:i/>
          <w:szCs w:val="18"/>
        </w:rPr>
        <w:t>Warunki migracji</w:t>
      </w:r>
      <w:r w:rsidR="0061618B" w:rsidRPr="00E639A7">
        <w:rPr>
          <w:i/>
          <w:szCs w:val="18"/>
        </w:rPr>
        <w:t xml:space="preserve"> </w:t>
      </w:r>
      <w:r w:rsidRPr="00E639A7">
        <w:rPr>
          <w:szCs w:val="18"/>
        </w:rPr>
        <w:t>w:</w:t>
      </w:r>
      <w:r w:rsidRPr="00E639A7">
        <w:rPr>
          <w:i/>
          <w:szCs w:val="18"/>
        </w:rPr>
        <w:t xml:space="preserve"> Monitoring gatunków zwierząt</w:t>
      </w:r>
      <w:r w:rsidR="0061618B" w:rsidRPr="00E639A7">
        <w:rPr>
          <w:i/>
          <w:szCs w:val="18"/>
        </w:rPr>
        <w:t>.</w:t>
      </w:r>
      <w:r w:rsidRPr="00E639A7">
        <w:rPr>
          <w:i/>
          <w:szCs w:val="18"/>
        </w:rPr>
        <w:t xml:space="preserve"> Poradnik metodyczny</w:t>
      </w:r>
      <w:r w:rsidR="0061618B" w:rsidRPr="00E639A7">
        <w:rPr>
          <w:i/>
          <w:szCs w:val="18"/>
        </w:rPr>
        <w:t>.</w:t>
      </w:r>
      <w:r w:rsidRPr="00E639A7">
        <w:rPr>
          <w:i/>
          <w:szCs w:val="18"/>
        </w:rPr>
        <w:t xml:space="preserve"> </w:t>
      </w:r>
      <w:r w:rsidR="0061618B" w:rsidRPr="00E639A7">
        <w:rPr>
          <w:i/>
          <w:szCs w:val="18"/>
        </w:rPr>
        <w:t>C</w:t>
      </w:r>
      <w:r w:rsidRPr="00E639A7">
        <w:rPr>
          <w:i/>
          <w:szCs w:val="18"/>
        </w:rPr>
        <w:t>zęść trzecia</w:t>
      </w:r>
      <w:r w:rsidRPr="00E639A7">
        <w:rPr>
          <w:szCs w:val="18"/>
        </w:rPr>
        <w:t>,</w:t>
      </w:r>
      <w:r w:rsidR="0061618B" w:rsidRPr="00E639A7">
        <w:rPr>
          <w:szCs w:val="18"/>
        </w:rPr>
        <w:t xml:space="preserve"> pod red. M. Makomaskiej-Juchiewicz i P. Baran, </w:t>
      </w:r>
      <w:r w:rsidRPr="00E639A7">
        <w:rPr>
          <w:szCs w:val="18"/>
        </w:rPr>
        <w:t>IOŚ 2012</w:t>
      </w:r>
      <w:r w:rsidR="0061618B" w:rsidRPr="00E639A7">
        <w:rPr>
          <w:szCs w:val="18"/>
        </w:rPr>
        <w:t>.</w:t>
      </w:r>
    </w:p>
  </w:footnote>
  <w:footnote w:id="64">
    <w:p w14:paraId="7A3A9013" w14:textId="0CD8B3F3" w:rsidR="0032003A" w:rsidRPr="00E639A7" w:rsidRDefault="0032003A">
      <w:pPr>
        <w:pStyle w:val="Tekstprzypisudolnego"/>
        <w:rPr>
          <w:szCs w:val="18"/>
        </w:rPr>
      </w:pPr>
      <w:r w:rsidRPr="00E639A7">
        <w:rPr>
          <w:rStyle w:val="Odwoanieprzypisudolnego"/>
          <w:szCs w:val="18"/>
        </w:rPr>
        <w:footnoteRef/>
      </w:r>
      <w:r w:rsidRPr="00E639A7">
        <w:rPr>
          <w:szCs w:val="18"/>
        </w:rPr>
        <w:t xml:space="preserve"> </w:t>
      </w:r>
      <w:r w:rsidRPr="00E639A7">
        <w:rPr>
          <w:i/>
          <w:szCs w:val="18"/>
        </w:rPr>
        <w:t>Ustalenie celów środowiskowych dla jednolitych części wód wraz z opracowaniem rejestru wykazów obszarów chronionych</w:t>
      </w:r>
      <w:r w:rsidR="00CC5FDF">
        <w:rPr>
          <w:i/>
          <w:iCs/>
          <w:szCs w:val="18"/>
        </w:rPr>
        <w:t xml:space="preserve">, </w:t>
      </w:r>
      <w:r w:rsidR="007977F3">
        <w:rPr>
          <w:szCs w:val="18"/>
        </w:rPr>
        <w:t>PGW WP, 2019</w:t>
      </w:r>
      <w:r w:rsidR="0058289E">
        <w:rPr>
          <w:szCs w:val="18"/>
        </w:rPr>
        <w:t>.</w:t>
      </w:r>
    </w:p>
  </w:footnote>
  <w:footnote w:id="65">
    <w:p w14:paraId="47312A30" w14:textId="14CDEF51" w:rsidR="00BC12E2" w:rsidRPr="00E639A7" w:rsidRDefault="00BC12E2">
      <w:pPr>
        <w:pStyle w:val="Tekstprzypisudolnego"/>
        <w:rPr>
          <w:szCs w:val="18"/>
        </w:rPr>
      </w:pPr>
      <w:r w:rsidRPr="00E639A7">
        <w:rPr>
          <w:rStyle w:val="Odwoanieprzypisudolnego"/>
          <w:szCs w:val="18"/>
        </w:rPr>
        <w:footnoteRef/>
      </w:r>
      <w:r w:rsidRPr="00E639A7">
        <w:rPr>
          <w:szCs w:val="18"/>
        </w:rPr>
        <w:t xml:space="preserve"> </w:t>
      </w:r>
      <w:r w:rsidR="00941685" w:rsidRPr="00F86241">
        <w:rPr>
          <w:i/>
          <w:szCs w:val="18"/>
        </w:rPr>
        <w:t xml:space="preserve">Analiza znaczących oddziaływań antropogenicznych wraz z </w:t>
      </w:r>
      <w:r w:rsidR="00941685">
        <w:rPr>
          <w:i/>
          <w:szCs w:val="18"/>
        </w:rPr>
        <w:t>oceną ich wpływu na stan wód oraz oceną ryzyka nieosiągnięcia celów środowiskowych</w:t>
      </w:r>
      <w:r w:rsidR="00C15DD6">
        <w:rPr>
          <w:i/>
          <w:iCs/>
          <w:szCs w:val="18"/>
        </w:rPr>
        <w:t xml:space="preserve">, </w:t>
      </w:r>
      <w:r w:rsidR="00821B43" w:rsidRPr="00E639A7">
        <w:rPr>
          <w:szCs w:val="18"/>
        </w:rPr>
        <w:t>PGW WP, 2020</w:t>
      </w:r>
      <w:r w:rsidR="0058289E">
        <w:rPr>
          <w:szCs w:val="18"/>
        </w:rPr>
        <w:t>.</w:t>
      </w:r>
    </w:p>
  </w:footnote>
  <w:footnote w:id="66">
    <w:p w14:paraId="5B72EEB1" w14:textId="74F7EF48" w:rsidR="00BC12E2" w:rsidRDefault="00BC12E2">
      <w:pPr>
        <w:pStyle w:val="Tekstprzypisudolnego"/>
      </w:pPr>
      <w:r w:rsidRPr="00E639A7">
        <w:rPr>
          <w:rStyle w:val="Odwoanieprzypisudolnego"/>
          <w:szCs w:val="18"/>
        </w:rPr>
        <w:footnoteRef/>
      </w:r>
      <w:r w:rsidRPr="00E639A7">
        <w:rPr>
          <w:szCs w:val="18"/>
        </w:rPr>
        <w:t xml:space="preserve"> </w:t>
      </w:r>
      <w:r w:rsidR="008C084F" w:rsidRPr="00F86241">
        <w:rPr>
          <w:szCs w:val="18"/>
        </w:rPr>
        <w:t>Ibidem</w:t>
      </w:r>
    </w:p>
  </w:footnote>
  <w:footnote w:id="67">
    <w:p w14:paraId="6070E901" w14:textId="51E9426D" w:rsidR="00975166" w:rsidRPr="00E639A7" w:rsidRDefault="00975166">
      <w:pPr>
        <w:pStyle w:val="Tekstprzypisudolnego"/>
        <w:rPr>
          <w:szCs w:val="18"/>
        </w:rPr>
      </w:pPr>
      <w:r w:rsidRPr="00E639A7">
        <w:rPr>
          <w:rStyle w:val="Odwoanieprzypisudolnego"/>
          <w:szCs w:val="18"/>
        </w:rPr>
        <w:footnoteRef/>
      </w:r>
      <w:r w:rsidRPr="00E639A7">
        <w:rPr>
          <w:szCs w:val="18"/>
        </w:rPr>
        <w:t xml:space="preserve"> </w:t>
      </w:r>
      <w:r w:rsidR="00941685" w:rsidRPr="00F86241">
        <w:rPr>
          <w:i/>
          <w:szCs w:val="18"/>
        </w:rPr>
        <w:t xml:space="preserve">Analiza znaczących oddziaływań antropogenicznych wraz z </w:t>
      </w:r>
      <w:r w:rsidR="00941685">
        <w:rPr>
          <w:i/>
          <w:szCs w:val="18"/>
        </w:rPr>
        <w:t>oceną ich wpływu na stan wód oraz oceną ryzyka nieosiągnięcia celów środowiskowych</w:t>
      </w:r>
      <w:r w:rsidR="00EB4DCB">
        <w:rPr>
          <w:i/>
          <w:iCs/>
          <w:szCs w:val="18"/>
        </w:rPr>
        <w:t xml:space="preserve">, </w:t>
      </w:r>
      <w:r w:rsidR="00DC4FAD" w:rsidRPr="00E639A7">
        <w:rPr>
          <w:szCs w:val="18"/>
        </w:rPr>
        <w:t>PGW WP, 2020</w:t>
      </w:r>
      <w:r w:rsidR="0058289E">
        <w:rPr>
          <w:szCs w:val="18"/>
        </w:rPr>
        <w:t>.</w:t>
      </w:r>
    </w:p>
  </w:footnote>
  <w:footnote w:id="68">
    <w:p w14:paraId="2CBDE550" w14:textId="10567F6B" w:rsidR="00975166" w:rsidRPr="00E639A7" w:rsidRDefault="00975166">
      <w:pPr>
        <w:pStyle w:val="Tekstprzypisudolnego"/>
        <w:rPr>
          <w:szCs w:val="18"/>
        </w:rPr>
      </w:pPr>
      <w:r w:rsidRPr="00E639A7">
        <w:rPr>
          <w:rStyle w:val="Odwoanieprzypisudolnego"/>
          <w:szCs w:val="18"/>
        </w:rPr>
        <w:footnoteRef/>
      </w:r>
      <w:r w:rsidRPr="00E639A7">
        <w:rPr>
          <w:szCs w:val="18"/>
        </w:rPr>
        <w:t xml:space="preserve"> </w:t>
      </w:r>
      <w:r w:rsidR="00941685" w:rsidRPr="00F86241">
        <w:rPr>
          <w:i/>
          <w:szCs w:val="18"/>
        </w:rPr>
        <w:t xml:space="preserve">Analiza znaczących oddziaływań antropogenicznych wraz z </w:t>
      </w:r>
      <w:r w:rsidR="00941685">
        <w:rPr>
          <w:i/>
          <w:szCs w:val="18"/>
        </w:rPr>
        <w:t>oceną ich wpływu na stan wód oraz oceną ryzyka nieosiągnięcia celów środowiskowych</w:t>
      </w:r>
      <w:r w:rsidR="00DF75ED">
        <w:rPr>
          <w:i/>
          <w:iCs/>
          <w:szCs w:val="18"/>
        </w:rPr>
        <w:t xml:space="preserve">, </w:t>
      </w:r>
      <w:r w:rsidR="001E0EC7" w:rsidRPr="00E639A7">
        <w:rPr>
          <w:szCs w:val="18"/>
        </w:rPr>
        <w:t>PGW WP, 2020</w:t>
      </w:r>
      <w:r w:rsidR="0058289E">
        <w:rPr>
          <w:szCs w:val="18"/>
        </w:rPr>
        <w:t>.</w:t>
      </w:r>
    </w:p>
  </w:footnote>
  <w:footnote w:id="69">
    <w:p w14:paraId="4178A34E" w14:textId="503831B3" w:rsidR="00BA6B41" w:rsidRDefault="00BA6B41" w:rsidP="0044393D">
      <w:pPr>
        <w:pStyle w:val="Przypis"/>
      </w:pPr>
      <w:r>
        <w:rPr>
          <w:rStyle w:val="Odwoanieprzypisudolnego"/>
        </w:rPr>
        <w:footnoteRef/>
      </w:r>
      <w:r>
        <w:t xml:space="preserve"> </w:t>
      </w:r>
      <w:r w:rsidR="00BA657A">
        <w:t xml:space="preserve">D. </w:t>
      </w:r>
      <w:r w:rsidRPr="007B0EF9">
        <w:rPr>
          <w:lang w:eastAsia="pl-PL"/>
        </w:rPr>
        <w:t xml:space="preserve">Palak-Mazur i in., </w:t>
      </w:r>
      <w:r w:rsidRPr="00E639A7">
        <w:rPr>
          <w:i/>
          <w:lang w:eastAsia="pl-PL"/>
        </w:rPr>
        <w:t xml:space="preserve">Aktualizacja metodyki oceny stanu </w:t>
      </w:r>
      <w:r w:rsidR="00DF005E">
        <w:rPr>
          <w:i/>
          <w:lang w:eastAsia="pl-PL"/>
        </w:rPr>
        <w:t>JCWP</w:t>
      </w:r>
      <w:r w:rsidRPr="00E639A7">
        <w:rPr>
          <w:i/>
          <w:lang w:eastAsia="pl-PL"/>
        </w:rPr>
        <w:t>d wraz z opracowaniem metodyki analizy odwracania trendów zanieczyszczeń</w:t>
      </w:r>
      <w:r w:rsidRPr="007B0EF9">
        <w:rPr>
          <w:lang w:eastAsia="pl-PL"/>
        </w:rPr>
        <w:t>, PIG-PIB 2020.</w:t>
      </w:r>
    </w:p>
  </w:footnote>
  <w:footnote w:id="70">
    <w:p w14:paraId="4EBFD0DC" w14:textId="4375559A" w:rsidR="0046578F" w:rsidRDefault="0046578F">
      <w:pPr>
        <w:pStyle w:val="Tekstprzypisudolnego"/>
      </w:pPr>
      <w:r>
        <w:rPr>
          <w:rStyle w:val="Odwoanieprzypisudolnego"/>
        </w:rPr>
        <w:footnoteRef/>
      </w:r>
      <w:r>
        <w:t xml:space="preserve"> </w:t>
      </w:r>
      <w:r w:rsidRPr="005842B5">
        <w:rPr>
          <w:szCs w:val="18"/>
          <w:lang w:eastAsia="pl-PL"/>
        </w:rPr>
        <w:t>Ibidem</w:t>
      </w:r>
    </w:p>
  </w:footnote>
  <w:footnote w:id="71">
    <w:p w14:paraId="2DC93EB2" w14:textId="71A8C73A" w:rsidR="0032003A" w:rsidRPr="00E639A7" w:rsidRDefault="0032003A">
      <w:pPr>
        <w:pStyle w:val="Tekstprzypisudolnego"/>
        <w:rPr>
          <w:szCs w:val="18"/>
        </w:rPr>
      </w:pPr>
      <w:r w:rsidRPr="00E639A7">
        <w:rPr>
          <w:rStyle w:val="Odwoanieprzypisudolnego"/>
          <w:szCs w:val="18"/>
        </w:rPr>
        <w:footnoteRef/>
      </w:r>
      <w:r w:rsidRPr="00E639A7">
        <w:rPr>
          <w:szCs w:val="18"/>
        </w:rPr>
        <w:t xml:space="preserve"> </w:t>
      </w:r>
      <w:r w:rsidRPr="00E639A7">
        <w:rPr>
          <w:i/>
          <w:szCs w:val="18"/>
        </w:rPr>
        <w:t>Ustalenie celów środowiskowych dla jednolitych części wód wraz z opracowaniem rejestru wykazów obszarów chronionych</w:t>
      </w:r>
      <w:r w:rsidR="001664D2">
        <w:rPr>
          <w:i/>
          <w:iCs/>
          <w:szCs w:val="18"/>
        </w:rPr>
        <w:t xml:space="preserve">, </w:t>
      </w:r>
      <w:r w:rsidR="00914AC9" w:rsidRPr="00373C9F">
        <w:rPr>
          <w:szCs w:val="18"/>
        </w:rPr>
        <w:t>PGW WP, 20</w:t>
      </w:r>
      <w:r w:rsidR="00914AC9">
        <w:rPr>
          <w:szCs w:val="18"/>
        </w:rPr>
        <w:t>19</w:t>
      </w:r>
      <w:r w:rsidR="00914AC9" w:rsidRPr="00373C9F">
        <w:rPr>
          <w:szCs w:val="18"/>
        </w:rPr>
        <w:t>.</w:t>
      </w:r>
    </w:p>
  </w:footnote>
  <w:footnote w:id="72">
    <w:p w14:paraId="0DE195A1" w14:textId="72EFF84C" w:rsidR="0032003A" w:rsidRPr="00E639A7" w:rsidRDefault="0032003A">
      <w:pPr>
        <w:pStyle w:val="Tekstprzypisudolnego"/>
        <w:rPr>
          <w:szCs w:val="18"/>
        </w:rPr>
      </w:pPr>
      <w:r w:rsidRPr="00E639A7">
        <w:rPr>
          <w:rStyle w:val="Odwoanieprzypisudolnego"/>
          <w:szCs w:val="18"/>
        </w:rPr>
        <w:footnoteRef/>
      </w:r>
      <w:r w:rsidRPr="00E639A7">
        <w:rPr>
          <w:szCs w:val="18"/>
        </w:rPr>
        <w:t xml:space="preserve"> </w:t>
      </w:r>
      <w:r w:rsidRPr="00E639A7">
        <w:rPr>
          <w:i/>
          <w:szCs w:val="18"/>
        </w:rPr>
        <w:t>Ustalenie celów środowiskowych dla jednolitych części wód wraz z opracowaniem rejestru wykazów obszarów chronionych</w:t>
      </w:r>
      <w:r w:rsidR="00A973FF">
        <w:rPr>
          <w:i/>
          <w:iCs/>
          <w:szCs w:val="18"/>
        </w:rPr>
        <w:t xml:space="preserve">, </w:t>
      </w:r>
      <w:r w:rsidR="00914AC9" w:rsidRPr="00373C9F">
        <w:rPr>
          <w:szCs w:val="18"/>
        </w:rPr>
        <w:t>PGW WP, 20</w:t>
      </w:r>
      <w:r w:rsidR="00914AC9">
        <w:rPr>
          <w:szCs w:val="18"/>
        </w:rPr>
        <w:t>19</w:t>
      </w:r>
      <w:r w:rsidR="00914AC9" w:rsidRPr="00373C9F">
        <w:rPr>
          <w:szCs w:val="18"/>
        </w:rPr>
        <w:t>.</w:t>
      </w:r>
    </w:p>
  </w:footnote>
  <w:footnote w:id="73">
    <w:p w14:paraId="438BEE50" w14:textId="3A47E12D" w:rsidR="00057369" w:rsidRPr="00E639A7" w:rsidRDefault="00057369">
      <w:pPr>
        <w:pStyle w:val="Tekstprzypisudolnego"/>
        <w:rPr>
          <w:szCs w:val="18"/>
        </w:rPr>
      </w:pPr>
      <w:r w:rsidRPr="00E639A7">
        <w:rPr>
          <w:rStyle w:val="Odwoanieprzypisudolnego"/>
          <w:szCs w:val="18"/>
        </w:rPr>
        <w:footnoteRef/>
      </w:r>
      <w:r w:rsidRPr="00E639A7">
        <w:rPr>
          <w:szCs w:val="18"/>
        </w:rPr>
        <w:t xml:space="preserve"> </w:t>
      </w:r>
      <w:r w:rsidRPr="00E639A7">
        <w:rPr>
          <w:i/>
          <w:szCs w:val="18"/>
        </w:rPr>
        <w:t xml:space="preserve">Ocena postępu we wdrażaniu programów działań dla </w:t>
      </w:r>
      <w:r w:rsidR="00DF005E">
        <w:rPr>
          <w:i/>
          <w:szCs w:val="18"/>
        </w:rPr>
        <w:t>JCWP</w:t>
      </w:r>
      <w:r w:rsidRPr="00E639A7">
        <w:rPr>
          <w:i/>
          <w:szCs w:val="18"/>
        </w:rPr>
        <w:t xml:space="preserve"> i </w:t>
      </w:r>
      <w:r w:rsidR="00DF005E">
        <w:rPr>
          <w:i/>
          <w:szCs w:val="18"/>
        </w:rPr>
        <w:t>JCWP</w:t>
      </w:r>
      <w:r w:rsidRPr="00E639A7">
        <w:rPr>
          <w:i/>
          <w:szCs w:val="18"/>
        </w:rPr>
        <w:t>d wynikających z aPWŚK</w:t>
      </w:r>
      <w:r w:rsidR="003B5DC0">
        <w:rPr>
          <w:i/>
          <w:iCs/>
          <w:szCs w:val="18"/>
        </w:rPr>
        <w:t xml:space="preserve">, </w:t>
      </w:r>
      <w:r w:rsidR="00583445" w:rsidRPr="00373C9F">
        <w:rPr>
          <w:szCs w:val="18"/>
        </w:rPr>
        <w:t>PGW WP, 20</w:t>
      </w:r>
      <w:r w:rsidR="00583445">
        <w:rPr>
          <w:szCs w:val="18"/>
        </w:rPr>
        <w:t>18</w:t>
      </w:r>
      <w:r w:rsidR="00583445" w:rsidRPr="00373C9F">
        <w:rPr>
          <w:szCs w:val="18"/>
        </w:rPr>
        <w:t>.</w:t>
      </w:r>
    </w:p>
  </w:footnote>
  <w:footnote w:id="74">
    <w:p w14:paraId="4F923433" w14:textId="33AB8114" w:rsidR="00D57C25" w:rsidRPr="00E639A7" w:rsidRDefault="00D57C25">
      <w:pPr>
        <w:pStyle w:val="Tekstprzypisudolnego"/>
        <w:rPr>
          <w:szCs w:val="18"/>
        </w:rPr>
      </w:pPr>
      <w:r w:rsidRPr="00E639A7">
        <w:rPr>
          <w:rStyle w:val="Odwoanieprzypisudolnego"/>
          <w:szCs w:val="18"/>
        </w:rPr>
        <w:footnoteRef/>
      </w:r>
      <w:r w:rsidRPr="00E639A7">
        <w:rPr>
          <w:szCs w:val="18"/>
        </w:rPr>
        <w:t xml:space="preserve"> </w:t>
      </w:r>
      <w:bookmarkStart w:id="542" w:name="_Hlk78218388"/>
      <w:r w:rsidRPr="00E639A7">
        <w:rPr>
          <w:i/>
          <w:szCs w:val="18"/>
        </w:rPr>
        <w:t xml:space="preserve">Ocena postępu we wdrażaniu programów działań dla </w:t>
      </w:r>
      <w:r w:rsidR="00DF005E">
        <w:rPr>
          <w:i/>
          <w:szCs w:val="18"/>
        </w:rPr>
        <w:t>JCWP</w:t>
      </w:r>
      <w:r w:rsidRPr="00E639A7">
        <w:rPr>
          <w:i/>
          <w:szCs w:val="18"/>
        </w:rPr>
        <w:t xml:space="preserve"> i </w:t>
      </w:r>
      <w:r w:rsidR="00DF005E">
        <w:rPr>
          <w:i/>
          <w:szCs w:val="18"/>
        </w:rPr>
        <w:t>JCWP</w:t>
      </w:r>
      <w:r w:rsidRPr="00E639A7">
        <w:rPr>
          <w:i/>
          <w:szCs w:val="18"/>
        </w:rPr>
        <w:t>d wynikających z aPWŚK</w:t>
      </w:r>
      <w:bookmarkEnd w:id="542"/>
      <w:r w:rsidR="006C35E7">
        <w:rPr>
          <w:i/>
          <w:iCs/>
          <w:szCs w:val="18"/>
        </w:rPr>
        <w:t xml:space="preserve">, </w:t>
      </w:r>
      <w:r w:rsidR="00583445" w:rsidRPr="00373C9F">
        <w:rPr>
          <w:szCs w:val="18"/>
        </w:rPr>
        <w:t>PGW WP, 20</w:t>
      </w:r>
      <w:r w:rsidR="00583445">
        <w:rPr>
          <w:szCs w:val="18"/>
        </w:rPr>
        <w:t>18</w:t>
      </w:r>
      <w:r w:rsidR="00583445" w:rsidRPr="00373C9F">
        <w:rPr>
          <w:szCs w:val="18"/>
        </w:rPr>
        <w:t>.</w:t>
      </w:r>
    </w:p>
  </w:footnote>
  <w:footnote w:id="75">
    <w:p w14:paraId="50BC325F" w14:textId="79361E08" w:rsidR="00D57C25" w:rsidRPr="00E639A7" w:rsidRDefault="00D57C25">
      <w:pPr>
        <w:pStyle w:val="Tekstprzypisudolnego"/>
        <w:rPr>
          <w:szCs w:val="18"/>
        </w:rPr>
      </w:pPr>
      <w:r w:rsidRPr="00E639A7">
        <w:rPr>
          <w:rStyle w:val="Odwoanieprzypisudolnego"/>
          <w:szCs w:val="18"/>
        </w:rPr>
        <w:footnoteRef/>
      </w:r>
      <w:r w:rsidRPr="00E639A7">
        <w:rPr>
          <w:szCs w:val="18"/>
        </w:rPr>
        <w:t xml:space="preserve"> </w:t>
      </w:r>
      <w:r w:rsidRPr="00E639A7">
        <w:rPr>
          <w:i/>
          <w:szCs w:val="18"/>
        </w:rPr>
        <w:t xml:space="preserve">Ocena postępu we wdrażaniu programów działań dla </w:t>
      </w:r>
      <w:r w:rsidR="00DF005E">
        <w:rPr>
          <w:i/>
          <w:szCs w:val="18"/>
        </w:rPr>
        <w:t>JCWP</w:t>
      </w:r>
      <w:r w:rsidRPr="00E639A7">
        <w:rPr>
          <w:i/>
          <w:szCs w:val="18"/>
        </w:rPr>
        <w:t xml:space="preserve"> i </w:t>
      </w:r>
      <w:r w:rsidR="00DF005E">
        <w:rPr>
          <w:i/>
          <w:szCs w:val="18"/>
        </w:rPr>
        <w:t>JCWP</w:t>
      </w:r>
      <w:r w:rsidRPr="00E639A7">
        <w:rPr>
          <w:i/>
          <w:szCs w:val="18"/>
        </w:rPr>
        <w:t>d wynikających z aPWŚK</w:t>
      </w:r>
      <w:r w:rsidR="00583445">
        <w:rPr>
          <w:i/>
          <w:iCs/>
          <w:szCs w:val="18"/>
        </w:rPr>
        <w:t xml:space="preserve">, </w:t>
      </w:r>
      <w:r w:rsidR="00583445" w:rsidRPr="00373C9F">
        <w:rPr>
          <w:szCs w:val="18"/>
        </w:rPr>
        <w:t>PGW WP, 20</w:t>
      </w:r>
      <w:r w:rsidR="00583445">
        <w:rPr>
          <w:szCs w:val="18"/>
        </w:rPr>
        <w:t>18</w:t>
      </w:r>
      <w:r w:rsidR="00583445" w:rsidRPr="00373C9F">
        <w:rPr>
          <w:szCs w:val="18"/>
        </w:rPr>
        <w:t>.</w:t>
      </w:r>
    </w:p>
  </w:footnote>
  <w:footnote w:id="76">
    <w:p w14:paraId="29226B6E" w14:textId="2769409B" w:rsidR="00053DF8" w:rsidRDefault="00053DF8">
      <w:pPr>
        <w:pStyle w:val="Tekstprzypisudolnego"/>
      </w:pPr>
      <w:r>
        <w:rPr>
          <w:rStyle w:val="Odwoanieprzypisudolnego"/>
        </w:rPr>
        <w:footnoteRef/>
      </w:r>
      <w:r>
        <w:t xml:space="preserve"> </w:t>
      </w:r>
      <w:r w:rsidRPr="007F30C5">
        <w:rPr>
          <w:i/>
          <w:iCs/>
          <w:szCs w:val="18"/>
        </w:rPr>
        <w:t xml:space="preserve">Ocena postępu we wdrażaniu programów działań dla </w:t>
      </w:r>
      <w:r w:rsidR="00DF005E">
        <w:rPr>
          <w:i/>
          <w:iCs/>
          <w:szCs w:val="18"/>
        </w:rPr>
        <w:t>JCWP</w:t>
      </w:r>
      <w:r w:rsidRPr="007F30C5">
        <w:rPr>
          <w:i/>
          <w:iCs/>
          <w:szCs w:val="18"/>
        </w:rPr>
        <w:t xml:space="preserve"> i </w:t>
      </w:r>
      <w:r w:rsidR="00DF005E">
        <w:rPr>
          <w:i/>
          <w:iCs/>
          <w:szCs w:val="18"/>
        </w:rPr>
        <w:t>JCWP</w:t>
      </w:r>
      <w:r w:rsidRPr="007F30C5">
        <w:rPr>
          <w:i/>
          <w:iCs/>
          <w:szCs w:val="18"/>
        </w:rPr>
        <w:t>d wynikających z aPWŚK</w:t>
      </w:r>
      <w:r>
        <w:rPr>
          <w:i/>
          <w:iCs/>
          <w:szCs w:val="18"/>
        </w:rPr>
        <w:t xml:space="preserve">, </w:t>
      </w:r>
      <w:r w:rsidRPr="00373C9F">
        <w:rPr>
          <w:szCs w:val="18"/>
        </w:rPr>
        <w:t>PGW WP, 20</w:t>
      </w:r>
      <w:r>
        <w:rPr>
          <w:szCs w:val="18"/>
        </w:rPr>
        <w:t>18</w:t>
      </w:r>
      <w:r w:rsidRPr="00373C9F">
        <w:rPr>
          <w:szCs w:val="18"/>
        </w:rPr>
        <w:t>.</w:t>
      </w:r>
    </w:p>
  </w:footnote>
  <w:footnote w:id="77">
    <w:p w14:paraId="0D8DC45A" w14:textId="49DDD5FB" w:rsidR="008E3F39" w:rsidRDefault="008E3F39" w:rsidP="008E3F39">
      <w:pPr>
        <w:pStyle w:val="Tekstprzypisudolnego"/>
        <w:rPr>
          <w:sz w:val="20"/>
        </w:rPr>
      </w:pPr>
      <w:r>
        <w:rPr>
          <w:rStyle w:val="Odwoanieprzypisudolnego"/>
        </w:rPr>
        <w:footnoteRef/>
      </w:r>
      <w:r>
        <w:t xml:space="preserve"> </w:t>
      </w:r>
      <w:r>
        <w:rPr>
          <w:i/>
          <w:iCs/>
          <w:szCs w:val="18"/>
        </w:rPr>
        <w:t xml:space="preserve">Ocena postępu we wdrażaniu programów działań dla </w:t>
      </w:r>
      <w:r w:rsidR="00DF005E">
        <w:rPr>
          <w:i/>
          <w:iCs/>
          <w:szCs w:val="18"/>
        </w:rPr>
        <w:t>JCWP</w:t>
      </w:r>
      <w:r>
        <w:rPr>
          <w:i/>
          <w:iCs/>
          <w:szCs w:val="18"/>
        </w:rPr>
        <w:t xml:space="preserve"> i </w:t>
      </w:r>
      <w:r w:rsidR="00DF005E">
        <w:rPr>
          <w:i/>
          <w:iCs/>
          <w:szCs w:val="18"/>
        </w:rPr>
        <w:t>JCWP</w:t>
      </w:r>
      <w:r>
        <w:rPr>
          <w:i/>
          <w:iCs/>
          <w:szCs w:val="18"/>
        </w:rPr>
        <w:t>d wynikających z aPWŚK, PGW WP, 2018</w:t>
      </w:r>
    </w:p>
  </w:footnote>
  <w:footnote w:id="78">
    <w:p w14:paraId="6D599D20" w14:textId="61D05D48" w:rsidR="001F0E03" w:rsidRDefault="001F0E03">
      <w:pPr>
        <w:pStyle w:val="Tekstprzypisudolnego"/>
      </w:pPr>
      <w:r w:rsidRPr="00E639A7">
        <w:rPr>
          <w:rStyle w:val="Odwoanieprzypisudolnego"/>
          <w:szCs w:val="18"/>
        </w:rPr>
        <w:footnoteRef/>
      </w:r>
      <w:r w:rsidRPr="00E639A7" w:rsidDel="00EB35C6">
        <w:rPr>
          <w:szCs w:val="18"/>
        </w:rPr>
        <w:t xml:space="preserve"> </w:t>
      </w:r>
      <w:r w:rsidR="00D22C25" w:rsidRPr="00F86241" w:rsidDel="00EB35C6">
        <w:rPr>
          <w:szCs w:val="18"/>
        </w:rPr>
        <w:t>I</w:t>
      </w:r>
      <w:r w:rsidR="00E92512">
        <w:rPr>
          <w:szCs w:val="18"/>
        </w:rPr>
        <w:t>bidem</w:t>
      </w:r>
    </w:p>
  </w:footnote>
  <w:footnote w:id="79">
    <w:p w14:paraId="32C35E2C" w14:textId="77777777" w:rsidR="00CE3672" w:rsidRDefault="00CE3672" w:rsidP="00CE3672">
      <w:pPr>
        <w:pStyle w:val="Tekstprzypisudolnego"/>
      </w:pPr>
      <w:r>
        <w:rPr>
          <w:rStyle w:val="Odwoanieprzypisudolnego"/>
        </w:rPr>
        <w:footnoteRef/>
      </w:r>
      <w:r>
        <w:t xml:space="preserve"> </w:t>
      </w:r>
      <w:r>
        <w:rPr>
          <w:i/>
          <w:iCs/>
          <w:szCs w:val="18"/>
        </w:rPr>
        <w:t>Ocena skuteczności działań z aPWŚK kategorii gospodarka komunalna, 2018, PGW WP</w:t>
      </w:r>
    </w:p>
  </w:footnote>
  <w:footnote w:id="80">
    <w:p w14:paraId="31AF213A" w14:textId="42088FAD" w:rsidR="00BA6B41" w:rsidRPr="00572D45" w:rsidRDefault="00BA6B41" w:rsidP="00E13AEE">
      <w:pPr>
        <w:pStyle w:val="Przypis"/>
      </w:pPr>
      <w:r w:rsidRPr="00572D45">
        <w:rPr>
          <w:rStyle w:val="Odwoanieprzypisudolnego"/>
          <w:rFonts w:cs="Calibri"/>
        </w:rPr>
        <w:footnoteRef/>
      </w:r>
      <w:r w:rsidRPr="00572D45">
        <w:t xml:space="preserve"> Koszty środowiskowe zostały obliczone na podstawie metodologii zawartej w opracowaniu </w:t>
      </w:r>
      <w:r w:rsidRPr="00E639A7">
        <w:rPr>
          <w:i/>
        </w:rPr>
        <w:t>Analiza zwrotu kosztów za usługi wodne wraz z prognozą rozwoju oraz analiza zwrotu kosztów środowiskowych i zasobowych w regionach wodnych i</w:t>
      </w:r>
      <w:r w:rsidR="00E545FC">
        <w:rPr>
          <w:i/>
          <w:iCs/>
        </w:rPr>
        <w:t> </w:t>
      </w:r>
      <w:r w:rsidRPr="00E639A7">
        <w:rPr>
          <w:i/>
        </w:rPr>
        <w:t>na obszarach dorzeczy (konkluzje</w:t>
      </w:r>
      <w:r w:rsidRPr="00572D45">
        <w:t xml:space="preserve">), przygotowanym na zlecenie </w:t>
      </w:r>
      <w:r>
        <w:t>PGW WP,</w:t>
      </w:r>
      <w:r w:rsidRPr="00572D45">
        <w:t xml:space="preserve"> reprezentowanego przez RZGW </w:t>
      </w:r>
      <w:r>
        <w:t xml:space="preserve">WP w </w:t>
      </w:r>
      <w:r w:rsidRPr="00572D45">
        <w:t>Krak</w:t>
      </w:r>
      <w:r>
        <w:t>owie</w:t>
      </w:r>
      <w:r w:rsidRPr="00572D45">
        <w:t>, Gliwice 2019.</w:t>
      </w:r>
    </w:p>
  </w:footnote>
  <w:footnote w:id="81">
    <w:p w14:paraId="269A745B" w14:textId="77777777" w:rsidR="00BA6B41" w:rsidRDefault="00BA6B41" w:rsidP="00E13AEE">
      <w:pPr>
        <w:pStyle w:val="Przypis"/>
      </w:pPr>
      <w:r>
        <w:rPr>
          <w:rStyle w:val="Odwoanieprzypisudolnego"/>
          <w:rFonts w:eastAsia="MS Gothic"/>
        </w:rPr>
        <w:footnoteRef/>
      </w:r>
      <w:r>
        <w:t xml:space="preserve"> A. Markowska, </w:t>
      </w:r>
      <w:r w:rsidRPr="00E639A7">
        <w:rPr>
          <w:i/>
        </w:rPr>
        <w:t>Koszty i korzyści wdrożenia w Polsce Dyrektywy 91/271/EWG w sprawie oczyszczania ścieków komunalnych</w:t>
      </w:r>
      <w:r>
        <w:rPr>
          <w:iCs/>
        </w:rPr>
        <w:t>,</w:t>
      </w:r>
      <w:r w:rsidRPr="00201295">
        <w:rPr>
          <w:iCs/>
        </w:rPr>
        <w:t xml:space="preserve"> </w:t>
      </w:r>
      <w:r>
        <w:t>Uniwersytet Warszawski, Wydział Nauk Ekonomicznych, Warszawa 2004.</w:t>
      </w:r>
    </w:p>
  </w:footnote>
  <w:footnote w:id="82">
    <w:p w14:paraId="0E6E8913" w14:textId="77777777" w:rsidR="00BA6B41" w:rsidRPr="008D1A53" w:rsidRDefault="00BA6B41" w:rsidP="00E13AEE">
      <w:pPr>
        <w:pStyle w:val="Przypis"/>
      </w:pPr>
      <w:r w:rsidRPr="008D1A53">
        <w:rPr>
          <w:rStyle w:val="Odwoanieprzypisudolnego"/>
          <w:rFonts w:cs="Calibri"/>
        </w:rPr>
        <w:footnoteRef/>
      </w:r>
      <w:r w:rsidRPr="008D1A53">
        <w:t xml:space="preserve"> Wartość obliczona na podstawie założenia, że wzrost dochodu rozporządzalnego o 1 zł powoduje wzrost wartości wskaźnika WTP o 5 gr.</w:t>
      </w:r>
    </w:p>
  </w:footnote>
  <w:footnote w:id="83">
    <w:p w14:paraId="4EC29A67" w14:textId="2C7FD23B" w:rsidR="00BA6B41" w:rsidRDefault="00BA6B41" w:rsidP="00221C7F">
      <w:pPr>
        <w:pStyle w:val="Przypis"/>
      </w:pPr>
      <w:r>
        <w:rPr>
          <w:rStyle w:val="Odwoanieprzypisudolnego"/>
        </w:rPr>
        <w:footnoteRef/>
      </w:r>
      <w:r>
        <w:t xml:space="preserve"> </w:t>
      </w:r>
      <w:r w:rsidRPr="00221C7F">
        <w:t xml:space="preserve">Klucz podziału przyjęty na podstawie opracowania pn. </w:t>
      </w:r>
      <w:r w:rsidRPr="00221C7F">
        <w:rPr>
          <w:i/>
          <w:iCs/>
        </w:rPr>
        <w:t>Analiza zwrotu kosztów za usługi wodne wraz z prognozą rozwoju oraz analiza zwrotu kosztów środowiskowych i zasobowych w regionach wodnych i na obszarach dorzeczy (konkluzje)</w:t>
      </w:r>
      <w:r w:rsidRPr="00221C7F">
        <w:t>, Gliwice 2019, tabela 25, s. 44</w:t>
      </w:r>
      <w:r w:rsidR="005157C7">
        <w:t>.</w:t>
      </w:r>
    </w:p>
  </w:footnote>
  <w:footnote w:id="84">
    <w:p w14:paraId="418D525A" w14:textId="23743033" w:rsidR="00BA6B41" w:rsidRPr="008D1A53" w:rsidRDefault="00BA6B41" w:rsidP="00E457FB">
      <w:pPr>
        <w:pStyle w:val="Przypis"/>
      </w:pPr>
      <w:r w:rsidRPr="008D1A53">
        <w:rPr>
          <w:rStyle w:val="Odwoanieprzypisudolnego"/>
          <w:rFonts w:cs="Calibri"/>
        </w:rPr>
        <w:footnoteRef/>
      </w:r>
      <w:r w:rsidRPr="008D1A53">
        <w:t xml:space="preserve"> Zinternalizowane koszty </w:t>
      </w:r>
      <w:r>
        <w:t>środowiskowe</w:t>
      </w:r>
      <w:r w:rsidRPr="008D1A53">
        <w:t xml:space="preserve"> w postaci opłat za usługi wodne zostały już uwzględnione w kosztach finansowych</w:t>
      </w:r>
      <w:r>
        <w:t>.</w:t>
      </w:r>
    </w:p>
  </w:footnote>
  <w:footnote w:id="85">
    <w:p w14:paraId="659D263A" w14:textId="2858C486" w:rsidR="00BA6B41" w:rsidRPr="00A43F6F" w:rsidRDefault="00BA6B41" w:rsidP="00E457FB">
      <w:pPr>
        <w:pStyle w:val="Przypis"/>
        <w:rPr>
          <w:bCs/>
        </w:rPr>
      </w:pPr>
      <w:r w:rsidRPr="00A43F6F">
        <w:rPr>
          <w:rStyle w:val="Odwoanieprzypisudolnego"/>
        </w:rPr>
        <w:footnoteRef/>
      </w:r>
      <w:r w:rsidRPr="00A43F6F">
        <w:t xml:space="preserve"> „</w:t>
      </w:r>
      <w:r w:rsidRPr="00A43F6F">
        <w:rPr>
          <w:bCs/>
        </w:rPr>
        <w:t>Koszty bieżące</w:t>
      </w:r>
      <w:r w:rsidRPr="00A43F6F">
        <w:t xml:space="preserve"> ochrony środowiska netto są to koszty brutto pomniejszone o przychody i oszczędności osiągane z tytułu funkcjonowania urządzeń ochronnych, subwencje z innych sektorów oraz przychody za usługi ochrony środowiska (głównie za oczyszczanie ścieków oraz transport i unieszkodliwianie odpadów)”</w:t>
      </w:r>
      <w:r w:rsidR="00EE534C">
        <w:t>z</w:t>
      </w:r>
      <w:r>
        <w:t xml:space="preserve">a: </w:t>
      </w:r>
      <w:r w:rsidRPr="00A43F6F">
        <w:t xml:space="preserve">GUS, </w:t>
      </w:r>
      <w:r w:rsidRPr="00201295">
        <w:rPr>
          <w:i/>
          <w:iCs/>
        </w:rPr>
        <w:t>Ekonomiczne aspekty ochrony środowiska</w:t>
      </w:r>
      <w:r>
        <w:t>.</w:t>
      </w:r>
    </w:p>
  </w:footnote>
  <w:footnote w:id="86">
    <w:p w14:paraId="58D06F9D" w14:textId="77777777" w:rsidR="00BA6B41" w:rsidRPr="000F4035" w:rsidRDefault="00BA6B41" w:rsidP="00E457FB">
      <w:pPr>
        <w:pStyle w:val="Przypis"/>
      </w:pPr>
      <w:r w:rsidRPr="000F4035">
        <w:rPr>
          <w:rStyle w:val="Odwoanieprzypisudolnego"/>
        </w:rPr>
        <w:footnoteRef/>
      </w:r>
      <w:r w:rsidRPr="000F4035">
        <w:t xml:space="preserve"> </w:t>
      </w:r>
      <w:r>
        <w:t>N</w:t>
      </w:r>
      <w:r w:rsidRPr="000F4035">
        <w:t xml:space="preserve">a podstawie danych GUS: </w:t>
      </w:r>
      <w:r w:rsidRPr="00201295">
        <w:rPr>
          <w:i/>
          <w:iCs/>
        </w:rPr>
        <w:t>Ekonomiczne aspekty ochrony środowiska</w:t>
      </w:r>
      <w:r>
        <w:t>, 2020</w:t>
      </w:r>
      <w:r w:rsidRPr="000F4035">
        <w:t>, tab</w:t>
      </w:r>
      <w:r>
        <w:t>l</w:t>
      </w:r>
      <w:r w:rsidRPr="000F4035">
        <w:t xml:space="preserve">. 24. </w:t>
      </w:r>
    </w:p>
  </w:footnote>
  <w:footnote w:id="87">
    <w:p w14:paraId="423456F4" w14:textId="5DBFE096" w:rsidR="00BA6B41" w:rsidRDefault="00BA6B41" w:rsidP="00B25F88">
      <w:pPr>
        <w:pStyle w:val="Przypis"/>
      </w:pPr>
      <w:r>
        <w:rPr>
          <w:rStyle w:val="Odwoanieprzypisudolnego"/>
        </w:rPr>
        <w:footnoteRef/>
      </w:r>
      <w:r>
        <w:t xml:space="preserve"> </w:t>
      </w:r>
      <w:r w:rsidRPr="00F86241">
        <w:rPr>
          <w:i/>
        </w:rPr>
        <w:t>Analiza zwrotu kosztów za usługi wodne wraz z prognozą rozwoju oraz analiza zwrotu kosztów środowiskowych i zasobowych w regionach wodnych i na obszarach dorzeczy (konkluzje),</w:t>
      </w:r>
      <w:r w:rsidRPr="00B25F88">
        <w:t xml:space="preserve"> Gliwice 2019, s. 45</w:t>
      </w:r>
      <w:r w:rsidR="00B857A9">
        <w:t>.</w:t>
      </w:r>
    </w:p>
  </w:footnote>
  <w:footnote w:id="88">
    <w:p w14:paraId="4F56AD21" w14:textId="77777777" w:rsidR="00BA6B41" w:rsidRPr="008D1A53" w:rsidRDefault="00BA6B41" w:rsidP="00D11892">
      <w:pPr>
        <w:pStyle w:val="Przypis"/>
      </w:pPr>
      <w:r w:rsidRPr="008D1A53">
        <w:rPr>
          <w:rStyle w:val="Odwoanieprzypisudolnego"/>
          <w:rFonts w:cs="Calibri"/>
        </w:rPr>
        <w:footnoteRef/>
      </w:r>
      <w:r w:rsidRPr="008D1A53">
        <w:t xml:space="preserve"> Prognoza wskaźnika WTP jest przeprowadzana przy założeniu, że wzrost dochodu rozporządzalnego o 1 zł powoduje wzrost wartości wskaźnika WTP o 5 gr.</w:t>
      </w:r>
    </w:p>
  </w:footnote>
  <w:footnote w:id="89">
    <w:p w14:paraId="2AD7C16B" w14:textId="2BBFCCBE" w:rsidR="0058311F" w:rsidRPr="00F86241" w:rsidRDefault="0058311F">
      <w:pPr>
        <w:pStyle w:val="Tekstprzypisudolnego"/>
        <w:rPr>
          <w:szCs w:val="18"/>
        </w:rPr>
      </w:pPr>
      <w:r w:rsidRPr="00F86241">
        <w:rPr>
          <w:rStyle w:val="Odwoanieprzypisudolnego"/>
          <w:szCs w:val="18"/>
        </w:rPr>
        <w:footnoteRef/>
      </w:r>
      <w:r w:rsidRPr="00F86241">
        <w:rPr>
          <w:szCs w:val="18"/>
        </w:rPr>
        <w:t xml:space="preserve"> </w:t>
      </w:r>
      <w:r w:rsidR="00941685" w:rsidRPr="00F86241">
        <w:rPr>
          <w:i/>
          <w:szCs w:val="18"/>
        </w:rPr>
        <w:t xml:space="preserve">Analiza znaczących oddziaływań antropogenicznych wraz z </w:t>
      </w:r>
      <w:r w:rsidR="00941685">
        <w:rPr>
          <w:i/>
          <w:szCs w:val="18"/>
        </w:rPr>
        <w:t>oceną ich wpływu na stan wód oraz oceną ryzyka nieosiągnięcia celów środowiskowych</w:t>
      </w:r>
      <w:r w:rsidR="008526C7">
        <w:rPr>
          <w:i/>
          <w:iCs/>
          <w:szCs w:val="18"/>
        </w:rPr>
        <w:t xml:space="preserve">, </w:t>
      </w:r>
      <w:r w:rsidR="007C4750" w:rsidRPr="00F86241">
        <w:rPr>
          <w:szCs w:val="18"/>
        </w:rPr>
        <w:t>PGW WP 2020</w:t>
      </w:r>
      <w:r w:rsidR="00D453A6">
        <w:rPr>
          <w:szCs w:val="18"/>
        </w:rPr>
        <w:t>.</w:t>
      </w:r>
    </w:p>
  </w:footnote>
  <w:footnote w:id="90">
    <w:p w14:paraId="3683936F" w14:textId="41B56FC9" w:rsidR="00A57A31" w:rsidRPr="00F86241" w:rsidRDefault="00A57A31">
      <w:pPr>
        <w:pStyle w:val="Tekstprzypisudolnego"/>
        <w:rPr>
          <w:szCs w:val="18"/>
        </w:rPr>
      </w:pPr>
      <w:r w:rsidRPr="00F86241">
        <w:rPr>
          <w:rStyle w:val="Odwoanieprzypisudolnego"/>
          <w:szCs w:val="18"/>
        </w:rPr>
        <w:footnoteRef/>
      </w:r>
      <w:r w:rsidRPr="00F86241">
        <w:rPr>
          <w:szCs w:val="18"/>
        </w:rPr>
        <w:t xml:space="preserve"> </w:t>
      </w:r>
      <w:r w:rsidR="00941685" w:rsidRPr="00F86241">
        <w:rPr>
          <w:i/>
          <w:szCs w:val="18"/>
        </w:rPr>
        <w:t xml:space="preserve">Analiza znaczących oddziaływań antropogenicznych wraz z </w:t>
      </w:r>
      <w:r w:rsidR="00941685">
        <w:rPr>
          <w:i/>
          <w:szCs w:val="18"/>
        </w:rPr>
        <w:t>oceną ich wpływu na stan wód oraz oceną ryzyka nieosiągnięcia celów środowiskowych</w:t>
      </w:r>
      <w:r w:rsidR="008526C7" w:rsidRPr="005842B5">
        <w:rPr>
          <w:i/>
          <w:szCs w:val="18"/>
        </w:rPr>
        <w:t xml:space="preserve">, </w:t>
      </w:r>
      <w:r w:rsidR="007C4750" w:rsidRPr="001D33CA">
        <w:rPr>
          <w:szCs w:val="18"/>
        </w:rPr>
        <w:t>PGW</w:t>
      </w:r>
      <w:r w:rsidR="007C4750" w:rsidRPr="00F86241">
        <w:rPr>
          <w:szCs w:val="18"/>
        </w:rPr>
        <w:t xml:space="preserve"> WP. 2020</w:t>
      </w:r>
      <w:r w:rsidR="00D453A6">
        <w:rPr>
          <w:szCs w:val="18"/>
        </w:rPr>
        <w:t>.</w:t>
      </w:r>
    </w:p>
  </w:footnote>
  <w:footnote w:id="91">
    <w:p w14:paraId="117232CB" w14:textId="0048090D" w:rsidR="00925673" w:rsidRPr="00F86241" w:rsidRDefault="00925673">
      <w:pPr>
        <w:pStyle w:val="Tekstprzypisudolnego"/>
        <w:rPr>
          <w:szCs w:val="18"/>
        </w:rPr>
      </w:pPr>
      <w:r w:rsidRPr="00F86241">
        <w:rPr>
          <w:rStyle w:val="Odwoanieprzypisudolnego"/>
          <w:szCs w:val="18"/>
        </w:rPr>
        <w:footnoteRef/>
      </w:r>
      <w:r w:rsidRPr="00F86241">
        <w:rPr>
          <w:szCs w:val="18"/>
        </w:rPr>
        <w:t xml:space="preserve"> J. Błachuta, J. Rosa, W. Wiśniewolski, J. Zgrabczyński, R. Bartel, W. Białokoz, I. Borzęcka, Ł. Chybowski, R. Depowski, P.</w:t>
      </w:r>
      <w:r w:rsidR="008526C7">
        <w:rPr>
          <w:szCs w:val="18"/>
        </w:rPr>
        <w:t> </w:t>
      </w:r>
      <w:r w:rsidRPr="00F86241">
        <w:rPr>
          <w:szCs w:val="18"/>
        </w:rPr>
        <w:t xml:space="preserve">Dębowski, J. Domagała, K. Drożdżyński, P. Hausa, K. Kukuła, D. Kubacka, K. Kulesza, J. Ligięza, M. Ludwiczak, M. Pawłowski, J. Picińska-Fałtynowicz, K. Lisiński, A. Witkowski, D. Zgrabczyński, M. Zgrabczyńska, </w:t>
      </w:r>
      <w:r w:rsidRPr="00F86241">
        <w:rPr>
          <w:i/>
          <w:szCs w:val="18"/>
        </w:rPr>
        <w:t>Ocena potrzeb i priorytetów udrożnienia ciągłości morfologicznej rzek w kontekście osiągnięcia dobrego stanu i potencjału części wód w Polsce</w:t>
      </w:r>
      <w:r w:rsidRPr="00F86241">
        <w:rPr>
          <w:szCs w:val="18"/>
        </w:rPr>
        <w:t>, Krajowy Zarząd Gospodarki Wodnej, Warszawa 2010.</w:t>
      </w:r>
    </w:p>
  </w:footnote>
  <w:footnote w:id="92">
    <w:p w14:paraId="3445C588" w14:textId="3381AA48" w:rsidR="0032003A" w:rsidRDefault="0032003A">
      <w:pPr>
        <w:pStyle w:val="Tekstprzypisudolnego"/>
      </w:pPr>
      <w:r w:rsidRPr="00F86241">
        <w:rPr>
          <w:rStyle w:val="Odwoanieprzypisudolnego"/>
          <w:szCs w:val="18"/>
        </w:rPr>
        <w:footnoteRef/>
      </w:r>
      <w:r w:rsidRPr="00F86241">
        <w:rPr>
          <w:szCs w:val="18"/>
        </w:rPr>
        <w:t xml:space="preserve"> </w:t>
      </w:r>
      <w:r w:rsidRPr="00F86241">
        <w:rPr>
          <w:i/>
          <w:szCs w:val="18"/>
        </w:rPr>
        <w:t>Ustalenie celów środowiskowych dla jednolitych części wód wraz z opracowaniem rejestru wykazów obszarów chronionych</w:t>
      </w:r>
      <w:r w:rsidR="008526C7">
        <w:rPr>
          <w:i/>
          <w:iCs/>
          <w:szCs w:val="18"/>
        </w:rPr>
        <w:t xml:space="preserve">, </w:t>
      </w:r>
      <w:r w:rsidR="007C4750" w:rsidRPr="00F86241">
        <w:rPr>
          <w:szCs w:val="18"/>
        </w:rPr>
        <w:t>PGW WP, 2019</w:t>
      </w:r>
      <w:r w:rsidR="00D453A6">
        <w:rPr>
          <w:szCs w:val="18"/>
        </w:rPr>
        <w:t>.</w:t>
      </w:r>
    </w:p>
  </w:footnote>
  <w:footnote w:id="93">
    <w:p w14:paraId="4AFE711D" w14:textId="01096E42" w:rsidR="00925673" w:rsidRPr="00F86241" w:rsidRDefault="00925673">
      <w:pPr>
        <w:pStyle w:val="Tekstprzypisudolnego"/>
        <w:rPr>
          <w:szCs w:val="18"/>
        </w:rPr>
      </w:pPr>
      <w:r w:rsidRPr="00F86241">
        <w:rPr>
          <w:rStyle w:val="Odwoanieprzypisudolnego"/>
          <w:szCs w:val="18"/>
        </w:rPr>
        <w:footnoteRef/>
      </w:r>
      <w:r w:rsidRPr="00F86241">
        <w:rPr>
          <w:szCs w:val="18"/>
        </w:rPr>
        <w:t xml:space="preserve"> J. Błachuta, J. Rosa, W. Wiśniewolski, J. Zgrabczyński, R. Bartel, W. Białokoz, I. Borzęcka, Ł. Chybowski, R. Depowski, P.</w:t>
      </w:r>
      <w:r w:rsidR="008526C7">
        <w:rPr>
          <w:szCs w:val="18"/>
        </w:rPr>
        <w:t> </w:t>
      </w:r>
      <w:r w:rsidRPr="00F86241">
        <w:rPr>
          <w:szCs w:val="18"/>
        </w:rPr>
        <w:t xml:space="preserve">Dębowski, J. Domagała, K. Drożdżyński, P. Hausa, K. Kukuła, D. Kubacka, K. Kulesza, J. Ligięza, M. Ludwiczak, M. Pawłowski, J. Picińska-Fałtynowicz, K. Lisiński, A. Witkowski, D. Zgrabczyński, M. Zgrabczyńska, </w:t>
      </w:r>
      <w:r w:rsidRPr="00F86241">
        <w:rPr>
          <w:i/>
          <w:szCs w:val="18"/>
        </w:rPr>
        <w:t>Ocena potrzeb i priorytetów udrożnienia ciągłości morfologicznej rzek w kontekście osiągnięcia dobrego stanu i potencjału części wód w Polsce</w:t>
      </w:r>
      <w:r w:rsidRPr="00F86241">
        <w:rPr>
          <w:szCs w:val="18"/>
        </w:rPr>
        <w:t>, Krajowy Zarząd Gospodarki Wodnej, Warszawa 2010.</w:t>
      </w:r>
    </w:p>
  </w:footnote>
  <w:footnote w:id="94">
    <w:p w14:paraId="4ED491AA" w14:textId="48EBC817" w:rsidR="0032003A" w:rsidRDefault="0032003A">
      <w:pPr>
        <w:pStyle w:val="Tekstprzypisudolnego"/>
      </w:pPr>
      <w:r w:rsidRPr="00F86241">
        <w:rPr>
          <w:rStyle w:val="Odwoanieprzypisudolnego"/>
          <w:szCs w:val="18"/>
        </w:rPr>
        <w:footnoteRef/>
      </w:r>
      <w:r w:rsidRPr="00F86241">
        <w:rPr>
          <w:szCs w:val="18"/>
        </w:rPr>
        <w:t xml:space="preserve"> </w:t>
      </w:r>
      <w:r w:rsidRPr="00F86241">
        <w:rPr>
          <w:i/>
          <w:szCs w:val="18"/>
        </w:rPr>
        <w:t>Ustalenie celów środowiskowych dla jednolitych części wód wraz z opracowaniem rejestru wykazów obszarów chronionych</w:t>
      </w:r>
      <w:r w:rsidR="008526C7">
        <w:rPr>
          <w:i/>
          <w:iCs/>
          <w:szCs w:val="18"/>
        </w:rPr>
        <w:t xml:space="preserve">, </w:t>
      </w:r>
      <w:r w:rsidR="007C4750" w:rsidRPr="00F86241">
        <w:rPr>
          <w:szCs w:val="18"/>
        </w:rPr>
        <w:t>PGW WP, 2019</w:t>
      </w:r>
      <w:r w:rsidR="00D453A6">
        <w:rPr>
          <w:szCs w:val="18"/>
        </w:rPr>
        <w:t>.</w:t>
      </w:r>
    </w:p>
  </w:footnote>
  <w:footnote w:id="95">
    <w:p w14:paraId="0B718281" w14:textId="422A57C7" w:rsidR="006C01A4" w:rsidRPr="00F86241" w:rsidRDefault="006C01A4">
      <w:pPr>
        <w:pStyle w:val="Tekstprzypisudolnego"/>
        <w:rPr>
          <w:szCs w:val="18"/>
        </w:rPr>
      </w:pPr>
      <w:r w:rsidRPr="00F86241">
        <w:rPr>
          <w:rStyle w:val="Odwoanieprzypisudolnego"/>
          <w:szCs w:val="18"/>
        </w:rPr>
        <w:footnoteRef/>
      </w:r>
      <w:r w:rsidRPr="00F86241">
        <w:rPr>
          <w:szCs w:val="18"/>
        </w:rPr>
        <w:t xml:space="preserve"> </w:t>
      </w:r>
      <w:r w:rsidR="00941685">
        <w:rPr>
          <w:i/>
          <w:szCs w:val="18"/>
        </w:rPr>
        <w:t>Analiza znaczących oddziaływań antropogenicznych wraz z oceną ich wpływu na stan wód oraz oceną ryzyka nieosiągnięcia celów środowiskowych,</w:t>
      </w:r>
      <w:r w:rsidR="008526C7">
        <w:rPr>
          <w:i/>
          <w:iCs/>
          <w:szCs w:val="18"/>
        </w:rPr>
        <w:t xml:space="preserve"> </w:t>
      </w:r>
      <w:r w:rsidR="007C4750" w:rsidRPr="00F86241">
        <w:rPr>
          <w:szCs w:val="18"/>
        </w:rPr>
        <w:t>PGW WP, 2020</w:t>
      </w:r>
      <w:r w:rsidR="00D453A6">
        <w:rPr>
          <w:szCs w:val="18"/>
        </w:rPr>
        <w:t>.</w:t>
      </w:r>
    </w:p>
  </w:footnote>
  <w:footnote w:id="96">
    <w:p w14:paraId="0CDC8D9A" w14:textId="722F5217" w:rsidR="00A57A31" w:rsidRPr="00F86241" w:rsidRDefault="00A57A31">
      <w:pPr>
        <w:pStyle w:val="Tekstprzypisudolnego"/>
        <w:rPr>
          <w:szCs w:val="18"/>
        </w:rPr>
      </w:pPr>
      <w:r w:rsidRPr="00F86241">
        <w:rPr>
          <w:rStyle w:val="Odwoanieprzypisudolnego"/>
          <w:szCs w:val="18"/>
        </w:rPr>
        <w:footnoteRef/>
      </w:r>
      <w:r w:rsidRPr="00F86241">
        <w:rPr>
          <w:szCs w:val="18"/>
        </w:rPr>
        <w:t xml:space="preserve"> </w:t>
      </w:r>
      <w:r w:rsidR="004068C3">
        <w:rPr>
          <w:i/>
          <w:szCs w:val="18"/>
        </w:rPr>
        <w:t>Ibidem</w:t>
      </w:r>
      <w:r w:rsidR="00D453A6">
        <w:rPr>
          <w:szCs w:val="18"/>
        </w:rPr>
        <w:t>.</w:t>
      </w:r>
    </w:p>
  </w:footnote>
  <w:footnote w:id="97">
    <w:p w14:paraId="6D6C78D7" w14:textId="6D741672" w:rsidR="00A57A31" w:rsidRPr="00F86241" w:rsidRDefault="00A57A31">
      <w:pPr>
        <w:pStyle w:val="Tekstprzypisudolnego"/>
        <w:rPr>
          <w:szCs w:val="18"/>
        </w:rPr>
      </w:pPr>
      <w:r w:rsidRPr="00F86241">
        <w:rPr>
          <w:rStyle w:val="Odwoanieprzypisudolnego"/>
          <w:szCs w:val="18"/>
        </w:rPr>
        <w:footnoteRef/>
      </w:r>
      <w:r w:rsidRPr="00F86241">
        <w:rPr>
          <w:szCs w:val="18"/>
        </w:rPr>
        <w:t xml:space="preserve"> </w:t>
      </w:r>
      <w:r w:rsidR="00941685">
        <w:rPr>
          <w:i/>
          <w:szCs w:val="18"/>
        </w:rPr>
        <w:t>Analiza znaczących oddziaływań antropogenicznych wraz z oceną ich wpływu na stan wód oraz oceną ryzyka nieosiągnięcia celów środowiskowych,</w:t>
      </w:r>
      <w:r w:rsidR="00442826">
        <w:rPr>
          <w:i/>
          <w:iCs/>
          <w:szCs w:val="18"/>
        </w:rPr>
        <w:t xml:space="preserve"> </w:t>
      </w:r>
      <w:r w:rsidR="00EF6176" w:rsidRPr="00F86241">
        <w:rPr>
          <w:szCs w:val="18"/>
        </w:rPr>
        <w:t>PGW WP, 2020</w:t>
      </w:r>
      <w:r w:rsidR="00D453A6">
        <w:rPr>
          <w:szCs w:val="18"/>
        </w:rPr>
        <w:t>.</w:t>
      </w:r>
    </w:p>
  </w:footnote>
  <w:footnote w:id="98">
    <w:p w14:paraId="543C8093" w14:textId="75D09CFA" w:rsidR="00A57A31" w:rsidRPr="00F86241" w:rsidRDefault="00A57A31">
      <w:pPr>
        <w:pStyle w:val="Tekstprzypisudolnego"/>
        <w:rPr>
          <w:szCs w:val="18"/>
        </w:rPr>
      </w:pPr>
      <w:r w:rsidRPr="00F86241">
        <w:rPr>
          <w:rStyle w:val="Odwoanieprzypisudolnego"/>
          <w:szCs w:val="18"/>
        </w:rPr>
        <w:footnoteRef/>
      </w:r>
      <w:r w:rsidRPr="00F86241">
        <w:rPr>
          <w:szCs w:val="18"/>
        </w:rPr>
        <w:t xml:space="preserve"> </w:t>
      </w:r>
      <w:r w:rsidR="00941685">
        <w:rPr>
          <w:i/>
          <w:szCs w:val="18"/>
        </w:rPr>
        <w:t>Analiza znaczących oddziaływań antropogenicznych wraz z oceną ich wpływu na stan wód oraz oceną ryzyka nieosiągnięcia celów środowiskowych,</w:t>
      </w:r>
      <w:r w:rsidR="00C32EB3">
        <w:rPr>
          <w:i/>
          <w:iCs/>
          <w:szCs w:val="18"/>
        </w:rPr>
        <w:t xml:space="preserve"> </w:t>
      </w:r>
      <w:r w:rsidR="00EF6176" w:rsidRPr="00F86241">
        <w:rPr>
          <w:szCs w:val="18"/>
        </w:rPr>
        <w:t>PGW WP, 2020</w:t>
      </w:r>
      <w:r w:rsidR="00D453A6">
        <w:rPr>
          <w:szCs w:val="18"/>
        </w:rPr>
        <w:t>.</w:t>
      </w:r>
    </w:p>
  </w:footnote>
  <w:footnote w:id="99">
    <w:p w14:paraId="579C8121" w14:textId="12EF463A" w:rsidR="001F0E03" w:rsidRPr="00F86241" w:rsidRDefault="001F0E03">
      <w:pPr>
        <w:pStyle w:val="Tekstprzypisudolnego"/>
        <w:rPr>
          <w:szCs w:val="18"/>
        </w:rPr>
      </w:pPr>
      <w:r w:rsidRPr="00F86241">
        <w:rPr>
          <w:rStyle w:val="Odwoanieprzypisudolnego"/>
          <w:szCs w:val="18"/>
        </w:rPr>
        <w:footnoteRef/>
      </w:r>
      <w:r w:rsidRPr="00F86241">
        <w:rPr>
          <w:szCs w:val="18"/>
        </w:rPr>
        <w:t xml:space="preserve"> A. Gryczko-Gostyńska i in., </w:t>
      </w:r>
      <w:r w:rsidRPr="00F86241">
        <w:rPr>
          <w:i/>
          <w:iCs/>
          <w:szCs w:val="18"/>
        </w:rPr>
        <w:t>Dalsza charakterystyka wód podziemnych zgodnie z załącznikiem II.2 Ramowej Dyrektywy Wodnej wraz z oceną ryzyka,</w:t>
      </w:r>
      <w:r w:rsidR="007860FF" w:rsidRPr="00F86241">
        <w:rPr>
          <w:i/>
          <w:iCs/>
          <w:szCs w:val="18"/>
        </w:rPr>
        <w:t xml:space="preserve"> </w:t>
      </w:r>
      <w:r w:rsidRPr="00F86241">
        <w:rPr>
          <w:szCs w:val="18"/>
        </w:rPr>
        <w:t>Wersja 2</w:t>
      </w:r>
      <w:r w:rsidR="007860FF" w:rsidRPr="00F86241">
        <w:rPr>
          <w:szCs w:val="18"/>
        </w:rPr>
        <w:t xml:space="preserve">, </w:t>
      </w:r>
      <w:r w:rsidR="007860FF" w:rsidRPr="00F86241">
        <w:rPr>
          <w:szCs w:val="18"/>
          <w:lang w:eastAsia="pl-PL"/>
        </w:rPr>
        <w:t>PIG-PIB 2020.</w:t>
      </w:r>
    </w:p>
  </w:footnote>
  <w:footnote w:id="100">
    <w:p w14:paraId="16ACC65E" w14:textId="6062A1C1" w:rsidR="00975166" w:rsidRPr="00F86241" w:rsidRDefault="00975166">
      <w:pPr>
        <w:pStyle w:val="Tekstprzypisudolnego"/>
        <w:rPr>
          <w:szCs w:val="18"/>
        </w:rPr>
      </w:pPr>
      <w:r w:rsidRPr="00F86241">
        <w:rPr>
          <w:rStyle w:val="Odwoanieprzypisudolnego"/>
          <w:szCs w:val="18"/>
        </w:rPr>
        <w:footnoteRef/>
      </w:r>
      <w:r w:rsidRPr="00F86241">
        <w:rPr>
          <w:szCs w:val="18"/>
        </w:rPr>
        <w:t xml:space="preserve"> </w:t>
      </w:r>
      <w:r w:rsidR="00941685">
        <w:rPr>
          <w:i/>
          <w:szCs w:val="18"/>
        </w:rPr>
        <w:t>Analiza znaczących oddziaływań antropogenicznych wraz z oceną ich wpływu na stan wód oraz oceną ryzyka nieosiągnięcia celów środowiskowych,</w:t>
      </w:r>
      <w:r w:rsidR="009914B2">
        <w:rPr>
          <w:i/>
          <w:iCs/>
          <w:szCs w:val="18"/>
        </w:rPr>
        <w:t xml:space="preserve"> </w:t>
      </w:r>
      <w:r w:rsidR="003F6087">
        <w:rPr>
          <w:rFonts w:asciiTheme="minorHAnsi" w:hAnsiTheme="minorHAnsi" w:cstheme="minorHAnsi"/>
          <w:iCs/>
          <w:szCs w:val="18"/>
        </w:rPr>
        <w:t>PGW WP, 2020</w:t>
      </w:r>
      <w:r w:rsidR="00D453A6">
        <w:rPr>
          <w:rFonts w:asciiTheme="minorHAnsi" w:hAnsiTheme="minorHAnsi" w:cstheme="minorHAnsi"/>
          <w:iCs/>
          <w:szCs w:val="18"/>
        </w:rPr>
        <w:t>.</w:t>
      </w:r>
    </w:p>
  </w:footnote>
  <w:footnote w:id="101">
    <w:p w14:paraId="66C464D1" w14:textId="26A2AB6B" w:rsidR="001F0E03" w:rsidRDefault="001F0E03">
      <w:pPr>
        <w:pStyle w:val="Tekstprzypisudolnego"/>
      </w:pPr>
      <w:r w:rsidRPr="00F86241">
        <w:rPr>
          <w:rStyle w:val="Odwoanieprzypisudolnego"/>
          <w:szCs w:val="18"/>
        </w:rPr>
        <w:footnoteRef/>
      </w:r>
      <w:r w:rsidRPr="00F86241">
        <w:rPr>
          <w:szCs w:val="18"/>
        </w:rPr>
        <w:t xml:space="preserve"> A. Gryczko-Gostyńska i in., </w:t>
      </w:r>
      <w:r w:rsidRPr="00F86241">
        <w:rPr>
          <w:i/>
          <w:szCs w:val="18"/>
        </w:rPr>
        <w:t>Dalsza charakterystyka wód podziemnych zgodnie z załącznikiem II.2 Ramowej Dyrektywy Wodnej wraz z oceną ryzyka,</w:t>
      </w:r>
      <w:r w:rsidRPr="00F86241">
        <w:rPr>
          <w:szCs w:val="18"/>
        </w:rPr>
        <w:t>Wersja 2</w:t>
      </w:r>
      <w:r w:rsidR="007860FF" w:rsidRPr="00F86241">
        <w:rPr>
          <w:szCs w:val="18"/>
        </w:rPr>
        <w:t xml:space="preserve">, </w:t>
      </w:r>
      <w:r w:rsidR="007860FF" w:rsidRPr="00F86241">
        <w:rPr>
          <w:szCs w:val="18"/>
          <w:lang w:eastAsia="pl-PL"/>
        </w:rPr>
        <w:t>PIG-PIB 2020</w:t>
      </w:r>
      <w:r w:rsidRPr="00F86241">
        <w:rPr>
          <w:szCs w:val="18"/>
        </w:rPr>
        <w:t>.</w:t>
      </w:r>
      <w:r w:rsidRPr="00913851">
        <w:t xml:space="preserve"> </w:t>
      </w:r>
    </w:p>
  </w:footnote>
  <w:footnote w:id="102">
    <w:p w14:paraId="52CF8DBE" w14:textId="61D77B05" w:rsidR="00EF6176" w:rsidRPr="00373C9F" w:rsidRDefault="00EF6176" w:rsidP="00EF6176">
      <w:pPr>
        <w:pStyle w:val="Tekstprzypisudolnego"/>
        <w:rPr>
          <w:szCs w:val="18"/>
        </w:rPr>
      </w:pPr>
      <w:r w:rsidRPr="00373C9F">
        <w:rPr>
          <w:rStyle w:val="Odwoanieprzypisudolnego"/>
          <w:szCs w:val="18"/>
        </w:rPr>
        <w:footnoteRef/>
      </w:r>
      <w:r w:rsidRPr="00373C9F">
        <w:rPr>
          <w:szCs w:val="18"/>
        </w:rPr>
        <w:t xml:space="preserve"> J. Błachuta, J. Rosa, W. Wiśniewolski, J. Zgrabczyński, R. Bartel, W. Białokoz, I. Borzęcka, Ł. Chybowski, R. Depowski, P.</w:t>
      </w:r>
      <w:r>
        <w:rPr>
          <w:szCs w:val="18"/>
        </w:rPr>
        <w:t> </w:t>
      </w:r>
      <w:r w:rsidRPr="00373C9F">
        <w:rPr>
          <w:szCs w:val="18"/>
        </w:rPr>
        <w:t xml:space="preserve">Dębowski, J. Domagała, K. Drożdżyński, P. Hausa, K. Kukuła, D. Kubacka, K. Kulesza, J. Ligięza, M. Ludwiczak, M. Pawłowski, J. Picińska-Fałtynowicz, K. Lisiński, A. Witkowski, D. Zgrabczyński, M. Zgrabczyńska, </w:t>
      </w:r>
      <w:r w:rsidRPr="00373C9F">
        <w:rPr>
          <w:i/>
          <w:iCs/>
          <w:szCs w:val="18"/>
        </w:rPr>
        <w:t>Ocena potrzeb i priorytetów udrożnienia ciągłości morfologicznej rzek w kontekście osiągnięcia dobrego stanu i potencjału części wód w Polsce</w:t>
      </w:r>
      <w:r w:rsidRPr="00373C9F">
        <w:rPr>
          <w:szCs w:val="18"/>
        </w:rPr>
        <w:t>, Krajowy Zarząd Gospodarki Wodnej, Warszawa 2010.</w:t>
      </w:r>
    </w:p>
  </w:footnote>
  <w:footnote w:id="103">
    <w:p w14:paraId="11E5336A" w14:textId="646FAAF1" w:rsidR="00925673" w:rsidRPr="00F86241" w:rsidRDefault="00925673">
      <w:pPr>
        <w:pStyle w:val="Tekstprzypisudolnego"/>
        <w:rPr>
          <w:szCs w:val="18"/>
        </w:rPr>
      </w:pPr>
      <w:r w:rsidRPr="00F86241">
        <w:rPr>
          <w:rStyle w:val="Odwoanieprzypisudolnego"/>
          <w:szCs w:val="18"/>
        </w:rPr>
        <w:footnoteRef/>
      </w:r>
      <w:r w:rsidR="001E0EC7" w:rsidRPr="00373C9F">
        <w:rPr>
          <w:i/>
          <w:iCs/>
          <w:szCs w:val="18"/>
        </w:rPr>
        <w:t>Ustalenie celów środowiskowych dla jednolitych części wód wraz z opracowaniem rejestru wykazów obszarów chronionych</w:t>
      </w:r>
      <w:r w:rsidR="001E0EC7">
        <w:rPr>
          <w:i/>
          <w:iCs/>
          <w:szCs w:val="18"/>
        </w:rPr>
        <w:t xml:space="preserve">, </w:t>
      </w:r>
      <w:r w:rsidR="001E0EC7" w:rsidRPr="00373C9F">
        <w:rPr>
          <w:szCs w:val="18"/>
        </w:rPr>
        <w:t>PGW WP, 2019</w:t>
      </w:r>
      <w:r w:rsidR="00F92EB1">
        <w:rPr>
          <w:szCs w:val="18"/>
        </w:rPr>
        <w:t>.</w:t>
      </w:r>
    </w:p>
  </w:footnote>
  <w:footnote w:id="104">
    <w:p w14:paraId="7BCA1A31" w14:textId="22974CA1" w:rsidR="0032003A" w:rsidRPr="00F86241" w:rsidRDefault="0032003A">
      <w:pPr>
        <w:pStyle w:val="Tekstprzypisudolnego"/>
        <w:rPr>
          <w:szCs w:val="18"/>
        </w:rPr>
      </w:pPr>
      <w:r w:rsidRPr="00F86241">
        <w:rPr>
          <w:rStyle w:val="Odwoanieprzypisudolnego"/>
          <w:szCs w:val="18"/>
        </w:rPr>
        <w:footnoteRef/>
      </w:r>
      <w:r w:rsidRPr="00F86241">
        <w:rPr>
          <w:szCs w:val="18"/>
        </w:rPr>
        <w:t xml:space="preserve"> J. Błachuta, J. Rosa, W. Wiśniewolski, J. Zgrabczyński, R. Bartel, W. Białokoz, I. Borzęcka, Ł. Chybowski, R. Depowski, P.</w:t>
      </w:r>
      <w:r w:rsidR="00BA36AB">
        <w:rPr>
          <w:szCs w:val="18"/>
        </w:rPr>
        <w:t> </w:t>
      </w:r>
      <w:r w:rsidRPr="00F86241">
        <w:rPr>
          <w:szCs w:val="18"/>
        </w:rPr>
        <w:t xml:space="preserve">Dębowski, J. Domagała, K. Drożdżyński, P. Hausa, K. Kukuła, D. Kubacka, K. Kulesza, J. Ligięza, M. Ludwiczak, M. Pawłowski, J. Picińska-Fałtynowicz, K. Lisiński, A. Witkowski, D. Zgrabczyński, M. Zgrabczyńska, </w:t>
      </w:r>
      <w:r w:rsidRPr="00F86241">
        <w:rPr>
          <w:i/>
          <w:szCs w:val="18"/>
        </w:rPr>
        <w:t>Ocena potrzeb i priorytetów udrożnienia ciągłości morfologicznej rzek w kontekście osiągnięcia dobrego stanu i potencjału części wód w Polsce</w:t>
      </w:r>
      <w:r w:rsidRPr="00F86241">
        <w:rPr>
          <w:szCs w:val="18"/>
        </w:rPr>
        <w:t>, Krajowy Zarząd Gospodarki Wodnej, Warszawa 2010.</w:t>
      </w:r>
    </w:p>
  </w:footnote>
  <w:footnote w:id="105">
    <w:p w14:paraId="14CA1E88" w14:textId="337FEDF1" w:rsidR="0032003A" w:rsidRDefault="0032003A">
      <w:pPr>
        <w:pStyle w:val="Tekstprzypisudolnego"/>
      </w:pPr>
      <w:r w:rsidRPr="00F86241">
        <w:rPr>
          <w:rStyle w:val="Odwoanieprzypisudolnego"/>
          <w:szCs w:val="18"/>
        </w:rPr>
        <w:footnoteRef/>
      </w:r>
      <w:r w:rsidRPr="00F86241">
        <w:rPr>
          <w:szCs w:val="18"/>
        </w:rPr>
        <w:t xml:space="preserve"> </w:t>
      </w:r>
      <w:r w:rsidRPr="00F86241">
        <w:rPr>
          <w:i/>
          <w:szCs w:val="18"/>
        </w:rPr>
        <w:t>Ustalenie celów środowiskowych dla jednolitych części wód wraz z opracowaniem rejestru wykazów obszarów chronionych</w:t>
      </w:r>
      <w:r w:rsidR="00BA36AB">
        <w:rPr>
          <w:i/>
          <w:iCs/>
          <w:szCs w:val="18"/>
        </w:rPr>
        <w:t xml:space="preserve">, </w:t>
      </w:r>
      <w:r w:rsidR="00F92EB1" w:rsidRPr="00373C9F">
        <w:rPr>
          <w:szCs w:val="18"/>
        </w:rPr>
        <w:t>PGW WP, 20</w:t>
      </w:r>
      <w:r w:rsidR="00F92EB1">
        <w:rPr>
          <w:szCs w:val="18"/>
        </w:rPr>
        <w:t>19</w:t>
      </w:r>
      <w:r w:rsidR="00F92EB1" w:rsidRPr="00373C9F">
        <w:rPr>
          <w:szCs w:val="18"/>
        </w:rPr>
        <w:t>.</w:t>
      </w:r>
    </w:p>
  </w:footnote>
  <w:footnote w:id="106">
    <w:p w14:paraId="3257B0E7" w14:textId="1858FE86" w:rsidR="00D57C25" w:rsidRPr="009B18FA" w:rsidRDefault="00D57C25">
      <w:pPr>
        <w:pStyle w:val="Tekstprzypisudolnego"/>
        <w:rPr>
          <w:szCs w:val="18"/>
        </w:rPr>
      </w:pPr>
      <w:r w:rsidRPr="009B18FA">
        <w:rPr>
          <w:rStyle w:val="Odwoanieprzypisudolnego"/>
          <w:szCs w:val="18"/>
        </w:rPr>
        <w:footnoteRef/>
      </w:r>
      <w:r w:rsidRPr="009B18FA">
        <w:rPr>
          <w:szCs w:val="18"/>
        </w:rPr>
        <w:t xml:space="preserve"> </w:t>
      </w:r>
      <w:r w:rsidRPr="009B18FA">
        <w:rPr>
          <w:i/>
          <w:iCs/>
          <w:szCs w:val="18"/>
        </w:rPr>
        <w:t xml:space="preserve">Ocena postępu we wdrażaniu programów działań dla </w:t>
      </w:r>
      <w:r w:rsidR="00DF005E">
        <w:rPr>
          <w:i/>
          <w:iCs/>
          <w:szCs w:val="18"/>
        </w:rPr>
        <w:t>JCWP</w:t>
      </w:r>
      <w:r w:rsidRPr="009B18FA">
        <w:rPr>
          <w:i/>
          <w:iCs/>
          <w:szCs w:val="18"/>
        </w:rPr>
        <w:t xml:space="preserve"> i </w:t>
      </w:r>
      <w:r w:rsidR="00DF005E">
        <w:rPr>
          <w:i/>
          <w:iCs/>
          <w:szCs w:val="18"/>
        </w:rPr>
        <w:t>JCWP</w:t>
      </w:r>
      <w:r w:rsidRPr="009B18FA">
        <w:rPr>
          <w:i/>
          <w:iCs/>
          <w:szCs w:val="18"/>
        </w:rPr>
        <w:t>d wynikających z aPWŚK</w:t>
      </w:r>
      <w:r w:rsidR="00D55051">
        <w:rPr>
          <w:i/>
          <w:iCs/>
          <w:szCs w:val="18"/>
        </w:rPr>
        <w:t xml:space="preserve">, </w:t>
      </w:r>
      <w:r w:rsidR="00F92EB1" w:rsidRPr="00F86241">
        <w:rPr>
          <w:szCs w:val="18"/>
        </w:rPr>
        <w:t>PGW WP</w:t>
      </w:r>
      <w:r w:rsidR="00EB65B8">
        <w:rPr>
          <w:szCs w:val="18"/>
        </w:rPr>
        <w:t>,</w:t>
      </w:r>
      <w:r w:rsidR="00F92EB1" w:rsidRPr="00F86241">
        <w:rPr>
          <w:szCs w:val="18"/>
        </w:rPr>
        <w:t xml:space="preserve"> </w:t>
      </w:r>
      <w:r w:rsidR="00F92EB1" w:rsidRPr="001C6219">
        <w:rPr>
          <w:szCs w:val="18"/>
        </w:rPr>
        <w:t>2018</w:t>
      </w:r>
      <w:r w:rsidR="00EB65B8">
        <w:rPr>
          <w:szCs w:val="18"/>
        </w:rPr>
        <w:t>.</w:t>
      </w:r>
    </w:p>
  </w:footnote>
  <w:footnote w:id="107">
    <w:p w14:paraId="4BE7EEE4" w14:textId="0EC74E4F" w:rsidR="00A57A31" w:rsidRPr="00F86241" w:rsidRDefault="00A57A31">
      <w:pPr>
        <w:pStyle w:val="Tekstprzypisudolnego"/>
        <w:rPr>
          <w:szCs w:val="18"/>
        </w:rPr>
      </w:pPr>
      <w:r w:rsidRPr="00F86241">
        <w:rPr>
          <w:rStyle w:val="Odwoanieprzypisudolnego"/>
          <w:szCs w:val="18"/>
        </w:rPr>
        <w:footnoteRef/>
      </w:r>
      <w:r w:rsidRPr="00F86241">
        <w:rPr>
          <w:szCs w:val="18"/>
        </w:rPr>
        <w:t xml:space="preserve"> </w:t>
      </w:r>
      <w:r w:rsidRPr="00F86241">
        <w:rPr>
          <w:i/>
          <w:szCs w:val="18"/>
        </w:rPr>
        <w:t xml:space="preserve">Analiza znaczących oddziaływań antropogenicznych wraz z </w:t>
      </w:r>
      <w:r w:rsidR="000F5F73">
        <w:rPr>
          <w:i/>
          <w:szCs w:val="18"/>
        </w:rPr>
        <w:t xml:space="preserve">oceną ich wpływu na stan wód oraz </w:t>
      </w:r>
      <w:r w:rsidR="00D35F73">
        <w:rPr>
          <w:i/>
          <w:szCs w:val="18"/>
        </w:rPr>
        <w:t xml:space="preserve">oceną </w:t>
      </w:r>
      <w:r w:rsidR="00DB12F4">
        <w:rPr>
          <w:i/>
          <w:szCs w:val="18"/>
        </w:rPr>
        <w:t>ryzyka nie</w:t>
      </w:r>
      <w:r w:rsidR="00D35F73">
        <w:rPr>
          <w:i/>
          <w:szCs w:val="18"/>
        </w:rPr>
        <w:t>osiągnięci</w:t>
      </w:r>
      <w:r w:rsidR="00DB12F4">
        <w:rPr>
          <w:i/>
          <w:szCs w:val="18"/>
        </w:rPr>
        <w:t>a</w:t>
      </w:r>
      <w:r w:rsidR="00D35F73">
        <w:rPr>
          <w:i/>
          <w:szCs w:val="18"/>
        </w:rPr>
        <w:t xml:space="preserve"> celów środowiskowych</w:t>
      </w:r>
      <w:r w:rsidR="002F0F53">
        <w:rPr>
          <w:i/>
          <w:iCs/>
          <w:szCs w:val="18"/>
        </w:rPr>
        <w:t xml:space="preserve">, </w:t>
      </w:r>
      <w:r w:rsidR="0056686F" w:rsidRPr="00F86241">
        <w:rPr>
          <w:szCs w:val="18"/>
        </w:rPr>
        <w:t>PGW WP, 2020.</w:t>
      </w:r>
    </w:p>
  </w:footnote>
  <w:footnote w:id="108">
    <w:p w14:paraId="3A104E81" w14:textId="45286821" w:rsidR="00A57A31" w:rsidRPr="00F86241" w:rsidRDefault="00A57A31">
      <w:pPr>
        <w:pStyle w:val="Tekstprzypisudolnego"/>
        <w:rPr>
          <w:szCs w:val="18"/>
        </w:rPr>
      </w:pPr>
      <w:r w:rsidRPr="00F86241">
        <w:rPr>
          <w:rStyle w:val="Odwoanieprzypisudolnego"/>
          <w:szCs w:val="18"/>
        </w:rPr>
        <w:footnoteRef/>
      </w:r>
      <w:r w:rsidRPr="00F86241">
        <w:rPr>
          <w:szCs w:val="18"/>
        </w:rPr>
        <w:t xml:space="preserve"> </w:t>
      </w:r>
      <w:r w:rsidR="00DB12F4" w:rsidRPr="00F86241">
        <w:rPr>
          <w:i/>
          <w:szCs w:val="18"/>
        </w:rPr>
        <w:t xml:space="preserve">Analiza znaczących oddziaływań antropogenicznych wraz z </w:t>
      </w:r>
      <w:r w:rsidR="00DB12F4">
        <w:rPr>
          <w:i/>
          <w:szCs w:val="18"/>
        </w:rPr>
        <w:t>oceną ich wpływu na stan wód oraz oceną ryzyka nieosiągnięcia celów środowiskowych</w:t>
      </w:r>
      <w:r w:rsidR="00DA61C3">
        <w:rPr>
          <w:i/>
          <w:iCs/>
          <w:szCs w:val="18"/>
        </w:rPr>
        <w:t xml:space="preserve">, </w:t>
      </w:r>
      <w:r w:rsidR="0056686F" w:rsidRPr="00F86241">
        <w:rPr>
          <w:szCs w:val="18"/>
        </w:rPr>
        <w:t>PGW WP, 2020.</w:t>
      </w:r>
    </w:p>
  </w:footnote>
  <w:footnote w:id="109">
    <w:p w14:paraId="01BDABCA" w14:textId="4E2A3EFB" w:rsidR="00882EC2" w:rsidRPr="00F86241" w:rsidRDefault="00882EC2" w:rsidP="00882EC2">
      <w:pPr>
        <w:pStyle w:val="Tekstprzypisudolnego"/>
        <w:rPr>
          <w:szCs w:val="18"/>
        </w:rPr>
      </w:pPr>
      <w:r w:rsidRPr="00F86241">
        <w:rPr>
          <w:rStyle w:val="Odwoanieprzypisudolnego"/>
          <w:szCs w:val="18"/>
        </w:rPr>
        <w:footnoteRef/>
      </w:r>
      <w:r w:rsidRPr="00F86241">
        <w:rPr>
          <w:szCs w:val="18"/>
        </w:rPr>
        <w:t xml:space="preserve"> </w:t>
      </w:r>
      <w:r w:rsidR="00DB12F4" w:rsidRPr="00F86241">
        <w:rPr>
          <w:i/>
          <w:szCs w:val="18"/>
        </w:rPr>
        <w:t xml:space="preserve">Analiza znaczących oddziaływań antropogenicznych wraz z </w:t>
      </w:r>
      <w:r w:rsidR="00DB12F4">
        <w:rPr>
          <w:i/>
          <w:szCs w:val="18"/>
        </w:rPr>
        <w:t>oceną ich wpływu na stan wód oraz oceną ryzyka nieosiągnięcia celów środowiskowych</w:t>
      </w:r>
      <w:r>
        <w:rPr>
          <w:i/>
          <w:iCs/>
          <w:szCs w:val="18"/>
        </w:rPr>
        <w:t xml:space="preserve">, </w:t>
      </w:r>
      <w:r w:rsidRPr="00F86241">
        <w:rPr>
          <w:szCs w:val="18"/>
        </w:rPr>
        <w:t>PGW WP, 2020.</w:t>
      </w:r>
    </w:p>
  </w:footnote>
  <w:footnote w:id="110">
    <w:p w14:paraId="11C063FA" w14:textId="5463E96F" w:rsidR="00BA6B41" w:rsidRPr="00120E1D" w:rsidRDefault="00BA6B41" w:rsidP="0044393D">
      <w:pPr>
        <w:pStyle w:val="Przypis"/>
      </w:pPr>
      <w:r w:rsidRPr="00120E1D">
        <w:rPr>
          <w:rStyle w:val="Odwoanieprzypisudolnego"/>
        </w:rPr>
        <w:footnoteRef/>
      </w:r>
      <w:r w:rsidRPr="00120E1D">
        <w:t xml:space="preserve"> Opracowanie bilansu ładunków zanieczyszczeń odprowadzanych rzekami do Morza Bałtyckiego </w:t>
      </w:r>
      <w:r w:rsidR="009D4960">
        <w:t>–</w:t>
      </w:r>
      <w:r w:rsidRPr="00120E1D">
        <w:t xml:space="preserve"> PLC</w:t>
      </w:r>
      <w:r w:rsidR="00E62B46">
        <w:t>-</w:t>
      </w:r>
      <w:r w:rsidRPr="00120E1D">
        <w:t>7, PGW Wody Polskie, 2019</w:t>
      </w:r>
      <w:r w:rsidR="004A4485">
        <w:t>.</w:t>
      </w:r>
    </w:p>
  </w:footnote>
  <w:footnote w:id="111">
    <w:p w14:paraId="1CC822DF" w14:textId="30A4155E" w:rsidR="00BA6B41" w:rsidRDefault="00BA6B41" w:rsidP="0044393D">
      <w:pPr>
        <w:pStyle w:val="Przypis"/>
      </w:pPr>
      <w:r>
        <w:rPr>
          <w:rStyle w:val="Odwoanieprzypisudolnego"/>
        </w:rPr>
        <w:footnoteRef/>
      </w:r>
      <w:r w:rsidDel="004A4485">
        <w:t xml:space="preserve"> </w:t>
      </w:r>
      <w:r w:rsidR="001602B3">
        <w:t xml:space="preserve">Uchwała </w:t>
      </w:r>
      <w:r w:rsidR="00874E4B">
        <w:t xml:space="preserve">nr </w:t>
      </w:r>
      <w:r w:rsidR="001602B3">
        <w:t xml:space="preserve">170 </w:t>
      </w:r>
      <w:r>
        <w:t>Rady Ministrów</w:t>
      </w:r>
      <w:r w:rsidR="001602B3">
        <w:t xml:space="preserve"> z dnia 15 listopada 2018 r.</w:t>
      </w:r>
      <w:r>
        <w:t xml:space="preserve"> w sprawie wyrażenia</w:t>
      </w:r>
      <w:r w:rsidRPr="00427DE7">
        <w:t xml:space="preserve"> zgody na przedłożenie Komisji Europejskiej projektu aktualizacji zestawu celów środowiskowych dla wód morskich</w:t>
      </w:r>
      <w:r w:rsidR="001602B3">
        <w:t xml:space="preserve"> </w:t>
      </w:r>
      <w:r w:rsidR="00874E4B">
        <w:t>(</w:t>
      </w:r>
      <w:r w:rsidR="001602B3">
        <w:t>M.P. z 2019 r. poz. 173</w:t>
      </w:r>
      <w:r w:rsidR="00C75F7A">
        <w:t>)</w:t>
      </w:r>
      <w:r w:rsidRPr="00427DE7">
        <w:t>.</w:t>
      </w:r>
    </w:p>
  </w:footnote>
  <w:footnote w:id="112">
    <w:p w14:paraId="44EE8F91" w14:textId="72A421DE" w:rsidR="00BA6B41" w:rsidRPr="005B1055" w:rsidRDefault="00BA6B41" w:rsidP="005B1055">
      <w:pPr>
        <w:pStyle w:val="Przypis"/>
      </w:pPr>
      <w:r>
        <w:rPr>
          <w:rStyle w:val="Odwoanieprzypisudolnego"/>
        </w:rPr>
        <w:footnoteRef/>
      </w:r>
      <w:r w:rsidRPr="00427DE7" w:rsidDel="001602B3">
        <w:t xml:space="preserve"> </w:t>
      </w:r>
      <w:r>
        <w:t>Rozporządzenie Rady Ministrów z dnia 11 grudnia 2017 r. w sprawie przyjęcia Krajowego programu ochrony wód morskich</w:t>
      </w:r>
      <w:r w:rsidR="001D0DF8">
        <w:t xml:space="preserve"> (</w:t>
      </w:r>
      <w:r w:rsidR="001602B3">
        <w:t>Dz. U. z 2017 r. poz. 2469</w:t>
      </w:r>
      <w:r w:rsidR="001D0DF8">
        <w:t>)</w:t>
      </w:r>
      <w:r w:rsidR="001602B3">
        <w:t>.</w:t>
      </w:r>
    </w:p>
  </w:footnote>
  <w:footnote w:id="113">
    <w:p w14:paraId="4C81DEF8" w14:textId="4B599CB6" w:rsidR="00A57A31" w:rsidRPr="00F86241" w:rsidRDefault="00A57A31">
      <w:pPr>
        <w:pStyle w:val="Tekstprzypisudolnego"/>
        <w:rPr>
          <w:szCs w:val="18"/>
        </w:rPr>
      </w:pPr>
      <w:r w:rsidRPr="00F86241">
        <w:rPr>
          <w:rStyle w:val="Odwoanieprzypisudolnego"/>
          <w:szCs w:val="18"/>
        </w:rPr>
        <w:footnoteRef/>
      </w:r>
      <w:r w:rsidRPr="00F86241">
        <w:rPr>
          <w:szCs w:val="18"/>
        </w:rPr>
        <w:t xml:space="preserve"> </w:t>
      </w:r>
      <w:r w:rsidR="00DB12F4" w:rsidRPr="00F86241">
        <w:rPr>
          <w:i/>
          <w:szCs w:val="18"/>
        </w:rPr>
        <w:t xml:space="preserve">Analiza znaczących oddziaływań antropogenicznych wraz z </w:t>
      </w:r>
      <w:r w:rsidR="00DB12F4">
        <w:rPr>
          <w:i/>
          <w:szCs w:val="18"/>
        </w:rPr>
        <w:t>oceną ich wpływu na stan wód oraz oceną ryzyka nieosiągnięcia celów środowiskowych</w:t>
      </w:r>
      <w:r w:rsidR="00137D61">
        <w:rPr>
          <w:i/>
          <w:iCs/>
          <w:szCs w:val="18"/>
        </w:rPr>
        <w:t xml:space="preserve">, </w:t>
      </w:r>
      <w:r w:rsidR="0056686F" w:rsidRPr="00F86241">
        <w:rPr>
          <w:szCs w:val="18"/>
        </w:rPr>
        <w:t>PGW WP</w:t>
      </w:r>
      <w:r w:rsidR="00F74FF7" w:rsidRPr="00F86241">
        <w:rPr>
          <w:szCs w:val="18"/>
        </w:rPr>
        <w:t>,</w:t>
      </w:r>
      <w:r w:rsidR="0056686F" w:rsidRPr="00F86241">
        <w:rPr>
          <w:szCs w:val="18"/>
        </w:rPr>
        <w:t xml:space="preserve"> 2020.</w:t>
      </w:r>
    </w:p>
  </w:footnote>
  <w:footnote w:id="114">
    <w:p w14:paraId="0CA50E4C" w14:textId="77777777" w:rsidR="00BA6B41" w:rsidRPr="003C4376" w:rsidRDefault="00BA6B41" w:rsidP="0044393D">
      <w:pPr>
        <w:pStyle w:val="Przypis"/>
        <w:rPr>
          <w:lang w:val="en-US"/>
        </w:rPr>
      </w:pPr>
      <w:r>
        <w:rPr>
          <w:rStyle w:val="Odwoanieprzypisudolnego"/>
        </w:rPr>
        <w:footnoteRef/>
      </w:r>
      <w:r w:rsidRPr="00B20B2D">
        <w:rPr>
          <w:lang w:val="en-GB"/>
        </w:rPr>
        <w:t xml:space="preserve"> </w:t>
      </w:r>
      <w:r w:rsidRPr="00F86241">
        <w:rPr>
          <w:i/>
          <w:lang w:val="en-GB"/>
        </w:rPr>
        <w:t>Guidance Document No. 20. Guidance Document on Exemptions to the Environmental Objectives</w:t>
      </w:r>
      <w:r w:rsidRPr="00B20B2D">
        <w:rPr>
          <w:lang w:val="en-GB"/>
        </w:rPr>
        <w:t>, Common Implementation Strategy for the Water Framework Directive (2000/60/EC), 2009.</w:t>
      </w:r>
    </w:p>
  </w:footnote>
  <w:footnote w:id="115">
    <w:p w14:paraId="39587951" w14:textId="52432731" w:rsidR="00BA6B41" w:rsidRPr="00D661CC" w:rsidRDefault="00BA6B41" w:rsidP="0044393D">
      <w:pPr>
        <w:pStyle w:val="Przypis"/>
      </w:pPr>
      <w:r w:rsidRPr="00231B4D">
        <w:rPr>
          <w:rStyle w:val="Odwoanieprzypisudolnego"/>
        </w:rPr>
        <w:footnoteRef/>
      </w:r>
      <w:r w:rsidRPr="00231B4D">
        <w:t xml:space="preserve"> Gdzie poziom regionalny odnosi się do poziomu województw, a poziom lokalny </w:t>
      </w:r>
      <w:r w:rsidR="00401570">
        <w:t>t</w:t>
      </w:r>
      <w:r w:rsidRPr="00231B4D">
        <w:t>o dokumenty tworzone na poziomie gmin lub odnoszące się do obszarów chronionyc</w:t>
      </w:r>
      <w:r w:rsidRPr="00D661CC">
        <w:t>h.</w:t>
      </w:r>
      <w:r w:rsidRPr="00231B4D">
        <w:t xml:space="preserve"> </w:t>
      </w:r>
    </w:p>
  </w:footnote>
  <w:footnote w:id="116">
    <w:p w14:paraId="1232DBB7" w14:textId="7A424106" w:rsidR="00BA6B41" w:rsidRDefault="00BA6B41" w:rsidP="0044393D">
      <w:pPr>
        <w:pStyle w:val="Przypis"/>
      </w:pPr>
      <w:r w:rsidRPr="00D661CC">
        <w:rPr>
          <w:rStyle w:val="Odwoanieprzypisudolnego"/>
        </w:rPr>
        <w:footnoteRef/>
      </w:r>
      <w:r w:rsidRPr="00D661CC">
        <w:t xml:space="preserve"> </w:t>
      </w:r>
      <w:r w:rsidRPr="00231B4D">
        <w:t xml:space="preserve">Zmiany wynikające z uchwalenia ustawy z dnia 15 lipca 2020 r. o zmianie ustawy o zasadach prowadzenia polityki rozwoju oraz niektórych innych ustaw realizują postanowienia „Strategii na rzecz Odpowiedzialnego Rozwoju do roku 2020 (z perspektywą do 2030 r.)” w zakresie konsolidacji systemu zarządzania rozwojem Polski i etapowego wprowadzania systemu zintegrowanych strategii </w:t>
      </w:r>
      <w:r w:rsidR="00F80574">
        <w:t>–</w:t>
      </w:r>
      <w:r w:rsidRPr="00231B4D">
        <w:t xml:space="preserve"> krajowej, wojewódzkiej i lokalnej.</w:t>
      </w:r>
      <w:r w:rsidR="00707E43">
        <w:t xml:space="preserve"> Obecnie obowiąz</w:t>
      </w:r>
      <w:r w:rsidR="00D37510">
        <w:t>u</w:t>
      </w:r>
      <w:r w:rsidR="00707E43">
        <w:t>je</w:t>
      </w:r>
      <w:r w:rsidR="003F42F2">
        <w:t xml:space="preserve"> </w:t>
      </w:r>
      <w:r w:rsidR="003F42F2" w:rsidRPr="00F86241">
        <w:t>ustawa z dnia 6</w:t>
      </w:r>
      <w:r w:rsidR="00446E7D">
        <w:t> </w:t>
      </w:r>
      <w:r w:rsidR="003F42F2" w:rsidRPr="00F86241">
        <w:t>grudnia 2006 r. o zasadach prowadzenia polityki rozwoju (Dz. U. z 2021 r. poz. 1057).</w:t>
      </w:r>
    </w:p>
  </w:footnote>
  <w:footnote w:id="117">
    <w:p w14:paraId="28A2772D" w14:textId="77777777" w:rsidR="00BA6B41" w:rsidRPr="004530DD" w:rsidRDefault="00BA6B41" w:rsidP="0044393D">
      <w:pPr>
        <w:pStyle w:val="Tekstprzypisudolnego"/>
        <w:rPr>
          <w:szCs w:val="18"/>
        </w:rPr>
      </w:pPr>
      <w:r w:rsidRPr="004530DD">
        <w:rPr>
          <w:rStyle w:val="Odwoanieprzypisudolnego"/>
          <w:szCs w:val="18"/>
        </w:rPr>
        <w:footnoteRef/>
      </w:r>
      <w:r w:rsidRPr="004530DD">
        <w:rPr>
          <w:szCs w:val="18"/>
        </w:rPr>
        <w:t xml:space="preserve"> W rozumieniu odczuwalnych skutków zdrowotnych zanieczyszczenia środowiska, czynników stresogennych związanych ze środowiskiem.</w:t>
      </w:r>
    </w:p>
  </w:footnote>
  <w:footnote w:id="118">
    <w:p w14:paraId="7BC2C9E4" w14:textId="1BA7E184" w:rsidR="00BA6B41" w:rsidRDefault="00BA6B41" w:rsidP="00331157">
      <w:pPr>
        <w:pStyle w:val="Przypis"/>
      </w:pPr>
      <w:r w:rsidRPr="00083D3E">
        <w:rPr>
          <w:rStyle w:val="Odwoanieprzypisudolnego"/>
        </w:rPr>
        <w:footnoteRef/>
      </w:r>
      <w:r w:rsidRPr="00083D3E">
        <w:t xml:space="preserve"> Wspólna polityka rolna </w:t>
      </w:r>
      <w:r w:rsidR="008C5E88">
        <w:t>–</w:t>
      </w:r>
      <w:r w:rsidRPr="00083D3E">
        <w:t xml:space="preserve"> wszystkie przedsięwzięcia dotyczące sektora rolnego, podejmowane przez Unię Europejską w</w:t>
      </w:r>
      <w:r w:rsidR="00AB3CE3">
        <w:t> </w:t>
      </w:r>
      <w:r w:rsidRPr="00083D3E">
        <w:t xml:space="preserve">celu wypełnienia postanowień zapisanych w Traktacie o funkcjonowaniu Unii Europejskiej (TFUE) </w:t>
      </w:r>
      <w:r w:rsidR="008C5E88">
        <w:t>–</w:t>
      </w:r>
      <w:r w:rsidRPr="00083D3E">
        <w:t xml:space="preserve"> cele WPR określone w art. 39. Obejmuje: rolnictwo, leśnictwo, uprawę winorośli oraz ogrodnictwo. Jej podstawowymi filarami są dopłaty bezpośrednie oraz rozwój obszarów wiejskich wspierany ze środków Europejskiego Funduszu Rolnego na rzecz Rozwoju Obszarów Wiejskich (EFRROW)</w:t>
      </w:r>
      <w:r>
        <w:t>.</w:t>
      </w:r>
    </w:p>
  </w:footnote>
  <w:footnote w:id="119">
    <w:p w14:paraId="0EF4678F" w14:textId="5AC581CF" w:rsidR="006964D0" w:rsidRDefault="006964D0" w:rsidP="006964D0">
      <w:pPr>
        <w:pStyle w:val="Przypis"/>
      </w:pPr>
      <w:r>
        <w:rPr>
          <w:rStyle w:val="Odwoanieprzypisudolnego"/>
        </w:rPr>
        <w:footnoteRef/>
      </w:r>
      <w:r>
        <w:t xml:space="preserve"> Zawartość prognozy oddziaływania na środowisko oraz niezbędny zakres analiz i ocen, jaki powinna ona obejmować, określa art. 51 ust. 2 i ust 3 u.i.o.ś. wraz z instrukcjami wskazanymi w art. 52 ust. 1 i ust 2 u.i.o.ś.; uszczegółowiony przez Generalnego Dyrektora Ochrony Środowiska, Głównego Inspektora Sanitarnego oraz Dyrektorów Urzędów Morskich.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430ADD" w14:textId="54C33FD2" w:rsidR="00BA6B41" w:rsidRDefault="00BA6B41" w:rsidP="0065243A">
    <w:pPr>
      <w:pStyle w:val="Nagwek"/>
      <w:rPr>
        <w:rFonts w:cs="Calibri"/>
      </w:rPr>
    </w:pPr>
    <w:r>
      <w:rPr>
        <w:noProof/>
        <w:lang w:eastAsia="pl-PL"/>
      </w:rPr>
      <w:drawing>
        <wp:inline distT="0" distB="0" distL="0" distR="0" wp14:anchorId="35B77619" wp14:editId="557FA633">
          <wp:extent cx="5759998" cy="589485"/>
          <wp:effectExtent l="0" t="0" r="0" b="1270"/>
          <wp:docPr id="861924044" name="Obraz 169286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92861447"/>
                  <pic:cNvPicPr/>
                </pic:nvPicPr>
                <pic:blipFill>
                  <a:blip r:embed="rId1">
                    <a:extLst>
                      <a:ext uri="{28A0092B-C50C-407E-A947-70E740481C1C}">
                        <a14:useLocalDpi xmlns:a14="http://schemas.microsoft.com/office/drawing/2010/main" val="0"/>
                      </a:ext>
                    </a:extLst>
                  </a:blip>
                  <a:stretch>
                    <a:fillRect/>
                  </a:stretch>
                </pic:blipFill>
                <pic:spPr>
                  <a:xfrm>
                    <a:off x="0" y="0"/>
                    <a:ext cx="5759998" cy="589485"/>
                  </a:xfrm>
                  <a:prstGeom prst="rect">
                    <a:avLst/>
                  </a:prstGeom>
                </pic:spPr>
              </pic:pic>
            </a:graphicData>
          </a:graphic>
        </wp:inline>
      </w:drawing>
    </w:r>
  </w:p>
  <w:p w14:paraId="5704BA6B" w14:textId="7F70A91A" w:rsidR="00BA6B41" w:rsidRPr="0065243A" w:rsidRDefault="00BA6B41" w:rsidP="0065243A">
    <w:pPr>
      <w:pStyle w:val="Nagwek"/>
    </w:pPr>
    <w:r w:rsidRPr="0065243A">
      <w:t>Projekt „Opracowanie II aktualizacji planów gospodarowania wodami na obszarach dorzeczy wraz z dokumentami planistycznymi</w:t>
    </w:r>
    <w:r w:rsidRPr="0065243A">
      <w:br/>
      <w:t>stanowiącymi podstawę do ich opracowania”, Nr Projektu: POIS.02.01.00-00-0016/16</w:t>
    </w:r>
  </w:p>
  <w:p w14:paraId="6B7077B4" w14:textId="77777777" w:rsidR="00BA6B41" w:rsidRPr="0084307C" w:rsidRDefault="00BA6B41" w:rsidP="0065243A">
    <w:pPr>
      <w:pStyle w:val="Nagwek"/>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6F71C8" w14:textId="56B80214" w:rsidR="00BA6B41" w:rsidRDefault="00BA6B41" w:rsidP="0065243A">
    <w:pPr>
      <w:pStyle w:val="Nagwek"/>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026ADC" w14:textId="642417A9" w:rsidR="00BA6B41" w:rsidRDefault="00BA6B41" w:rsidP="0065243A">
    <w:pPr>
      <w:pStyle w:val="Nagwek"/>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ACB971" w14:textId="57AC9F9C" w:rsidR="00BA6B41" w:rsidRPr="007247C1" w:rsidRDefault="00BA6B41" w:rsidP="007247C1">
    <w:pPr>
      <w:pStyle w:val="Nagwek"/>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4EB1B1" w14:textId="7CD3CB1D" w:rsidR="00BA6B41" w:rsidRDefault="00BA6B41" w:rsidP="0065243A">
    <w:pPr>
      <w:pStyle w:val="Nagwek"/>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7CF2F2" w14:textId="4374DDDF" w:rsidR="00BA6B41" w:rsidRDefault="00BA6B41" w:rsidP="0065243A">
    <w:pPr>
      <w:pStyle w:val="Nagwek"/>
    </w:pPr>
  </w:p>
  <w:p w14:paraId="54CC538D" w14:textId="77777777" w:rsidR="00BA6B41" w:rsidRDefault="00BA6B41"/>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1806BF" w14:textId="75708408" w:rsidR="00BA6B41" w:rsidRPr="009700F0" w:rsidRDefault="00BA6B41" w:rsidP="009700F0">
    <w:pPr>
      <w:pStyle w:val="Nagwek"/>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4F037F" w14:textId="14740F1F" w:rsidR="00BA6B41" w:rsidRDefault="00BA6B41" w:rsidP="0065243A">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400DBF" w14:textId="4657346C" w:rsidR="00BA6B41" w:rsidRDefault="00BA6B41" w:rsidP="0065243A">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20ABE2" w14:textId="1A82EA01" w:rsidR="00BA6B41" w:rsidRPr="00504063" w:rsidRDefault="00BA6B41" w:rsidP="00504063">
    <w:pPr>
      <w:pStyle w:val="Nagwek"/>
      <w:jc w:val="both"/>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D146C6" w14:textId="61745113" w:rsidR="00BA6B41" w:rsidRDefault="00BA6B41" w:rsidP="0065243A">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E01E43" w14:textId="668DC246" w:rsidR="00BA6B41" w:rsidRDefault="00BA6B41" w:rsidP="0065243A">
    <w:pPr>
      <w:pStyle w:val="Nagwek"/>
    </w:pPr>
    <w:r>
      <w:rPr>
        <w:noProof/>
      </w:rPr>
      <mc:AlternateContent>
        <mc:Choice Requires="wps">
          <w:drawing>
            <wp:anchor distT="0" distB="0" distL="114300" distR="114300" simplePos="0" relativeHeight="251658241" behindDoc="1" locked="0" layoutInCell="0" allowOverlap="1" wp14:anchorId="0E318A71" wp14:editId="1AF611D3">
              <wp:simplePos x="0" y="0"/>
              <wp:positionH relativeFrom="margin">
                <wp:align>center</wp:align>
              </wp:positionH>
              <wp:positionV relativeFrom="margin">
                <wp:align>center</wp:align>
              </wp:positionV>
              <wp:extent cx="7026910" cy="1053465"/>
              <wp:effectExtent l="0" t="2324100" r="0" b="2042160"/>
              <wp:wrapNone/>
              <wp:docPr id="241"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26910" cy="10534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ED04199" w14:textId="77777777" w:rsidR="00BA6B41" w:rsidRDefault="00BA6B41" w:rsidP="00E15085">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WERSJA 01 DO UZGODNIEŃ</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0E318A71" id="_x0000_t202" coordsize="21600,21600" o:spt="202" path="m,l,21600r21600,l21600,xe">
              <v:stroke joinstyle="miter"/>
              <v:path gradientshapeok="t" o:connecttype="rect"/>
            </v:shapetype>
            <v:shape id="WordArt 4" o:spid="_x0000_s1026" type="#_x0000_t202" style="position:absolute;left:0;text-align:left;margin-left:0;margin-top:0;width:553.3pt;height:82.95pt;rotation:-45;z-index:-25165823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" o:allowincell="f" filled="f" stroked="f">
              <v:stroke joinstyle="round"/>
              <o:lock v:ext="edit" shapetype="t"/>
              <v:textbox style="mso-fit-shape-to-text:t">
                <w:txbxContent>
                  <w:p w14:paraId="5ED04199" w14:textId="77777777" w:rsidR="00BA6B41" w:rsidRDefault="00BA6B41" w:rsidP="00E15085">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WERSJA 01 DO UZGODNIEŃ</w:t>
                    </w:r>
                  </w:p>
                </w:txbxContent>
              </v:textbox>
              <w10:wrap anchorx="margin" anchory="margin"/>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3FC496" w14:textId="6762DCA8" w:rsidR="00BA6B41" w:rsidRPr="004715EF" w:rsidRDefault="00BA6B41" w:rsidP="004715EF">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154E0B" w14:textId="2B57E8E1" w:rsidR="00BA6B41" w:rsidRDefault="00BA6B41" w:rsidP="0065243A">
    <w:pPr>
      <w:pStyle w:val="Nagwek"/>
    </w:pPr>
    <w:r>
      <w:rPr>
        <w:noProof/>
      </w:rPr>
      <mc:AlternateContent>
        <mc:Choice Requires="wps">
          <w:drawing>
            <wp:anchor distT="0" distB="0" distL="114300" distR="114300" simplePos="0" relativeHeight="251658240" behindDoc="1" locked="0" layoutInCell="0" allowOverlap="1" wp14:anchorId="0A870BE6" wp14:editId="401D0332">
              <wp:simplePos x="0" y="0"/>
              <wp:positionH relativeFrom="margin">
                <wp:align>center</wp:align>
              </wp:positionH>
              <wp:positionV relativeFrom="margin">
                <wp:align>center</wp:align>
              </wp:positionV>
              <wp:extent cx="7026910" cy="1053465"/>
              <wp:effectExtent l="0" t="2324100" r="0" b="2042160"/>
              <wp:wrapNone/>
              <wp:docPr id="240"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26910" cy="10534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63F670" w14:textId="77777777" w:rsidR="00BA6B41" w:rsidRDefault="00BA6B41" w:rsidP="00E15085">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WERSJA 01 DO UZGODNIEŃ</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0A870BE6" id="_x0000_t202" coordsize="21600,21600" o:spt="202" path="m,l,21600r21600,l21600,xe">
              <v:stroke joinstyle="miter"/>
              <v:path gradientshapeok="t" o:connecttype="rect"/>
            </v:shapetype>
            <v:shape id="WordArt 3" o:spid="_x0000_s1027" type="#_x0000_t202" style="position:absolute;left:0;text-align:left;margin-left:0;margin-top:0;width:553.3pt;height:82.9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" o:allowincell="f" filled="f" stroked="f">
              <v:stroke joinstyle="round"/>
              <o:lock v:ext="edit" shapetype="t"/>
              <v:textbox style="mso-fit-shape-to-text:t">
                <w:txbxContent>
                  <w:p w14:paraId="3A63F670" w14:textId="77777777" w:rsidR="00BA6B41" w:rsidRDefault="00BA6B41" w:rsidP="00E15085">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WERSJA 01 DO UZGODNIEŃ</w:t>
                    </w:r>
                  </w:p>
                </w:txbxContent>
              </v:textbox>
              <w10:wrap anchorx="margin"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E8F1F7" w14:textId="6C34AC6E" w:rsidR="00BA6B41" w:rsidRDefault="00BA6B41" w:rsidP="0065243A">
    <w:pPr>
      <w:pStyle w:val="Nagwek"/>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F90F75" w14:textId="3BC7D8C5" w:rsidR="00BA6B41" w:rsidRPr="004715EF" w:rsidRDefault="00BA6B41" w:rsidP="004715EF">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hybridMultilevel"/>
    <w:tmpl w:val="EB18A2FA"/>
    <w:lvl w:ilvl="0" w:tplc="9028EB9C">
      <w:start w:val="1"/>
      <w:numFmt w:val="decimal"/>
      <w:pStyle w:val="Listanumerowana"/>
      <w:lvlText w:val="%1."/>
      <w:lvlJc w:val="left"/>
      <w:pPr>
        <w:tabs>
          <w:tab w:val="num" w:pos="360"/>
        </w:tabs>
        <w:ind w:left="360" w:hanging="360"/>
      </w:pPr>
      <w:rPr>
        <w:rFonts w:cs="Times New Roman"/>
      </w:rPr>
    </w:lvl>
    <w:lvl w:ilvl="1" w:tplc="73726454">
      <w:numFmt w:val="decimal"/>
      <w:lvlText w:val=""/>
      <w:lvlJc w:val="left"/>
    </w:lvl>
    <w:lvl w:ilvl="2" w:tplc="79C29C4A">
      <w:numFmt w:val="decimal"/>
      <w:lvlText w:val=""/>
      <w:lvlJc w:val="left"/>
    </w:lvl>
    <w:lvl w:ilvl="3" w:tplc="329293B2">
      <w:numFmt w:val="decimal"/>
      <w:lvlText w:val=""/>
      <w:lvlJc w:val="left"/>
    </w:lvl>
    <w:lvl w:ilvl="4" w:tplc="9BCA1176">
      <w:numFmt w:val="decimal"/>
      <w:lvlText w:val=""/>
      <w:lvlJc w:val="left"/>
    </w:lvl>
    <w:lvl w:ilvl="5" w:tplc="1EBC5488">
      <w:numFmt w:val="decimal"/>
      <w:lvlText w:val=""/>
      <w:lvlJc w:val="left"/>
    </w:lvl>
    <w:lvl w:ilvl="6" w:tplc="76AE8E32">
      <w:numFmt w:val="decimal"/>
      <w:lvlText w:val=""/>
      <w:lvlJc w:val="left"/>
    </w:lvl>
    <w:lvl w:ilvl="7" w:tplc="8842AF06">
      <w:numFmt w:val="decimal"/>
      <w:lvlText w:val=""/>
      <w:lvlJc w:val="left"/>
    </w:lvl>
    <w:lvl w:ilvl="8" w:tplc="1ED2A3EE">
      <w:numFmt w:val="decimal"/>
      <w:lvlText w:val=""/>
      <w:lvlJc w:val="left"/>
    </w:lvl>
  </w:abstractNum>
  <w:abstractNum w:abstractNumId="1" w15:restartNumberingAfterBreak="0">
    <w:nsid w:val="FFFFFF89"/>
    <w:multiLevelType w:val="hybridMultilevel"/>
    <w:tmpl w:val="6956A1B6"/>
    <w:lvl w:ilvl="0" w:tplc="928A552A">
      <w:start w:val="1"/>
      <w:numFmt w:val="bullet"/>
      <w:pStyle w:val="Listapunktowana"/>
      <w:lvlText w:val=""/>
      <w:lvlJc w:val="left"/>
      <w:pPr>
        <w:tabs>
          <w:tab w:val="num" w:pos="360"/>
        </w:tabs>
        <w:ind w:left="360" w:hanging="360"/>
      </w:pPr>
      <w:rPr>
        <w:rFonts w:ascii="Symbol" w:hAnsi="Symbol" w:hint="default"/>
        <w:color w:val="003399"/>
      </w:rPr>
    </w:lvl>
    <w:lvl w:ilvl="1" w:tplc="8B06E4E8">
      <w:numFmt w:val="decimal"/>
      <w:lvlText w:val=""/>
      <w:lvlJc w:val="left"/>
    </w:lvl>
    <w:lvl w:ilvl="2" w:tplc="1D165C9A">
      <w:numFmt w:val="decimal"/>
      <w:lvlText w:val=""/>
      <w:lvlJc w:val="left"/>
    </w:lvl>
    <w:lvl w:ilvl="3" w:tplc="EDE4F0A2">
      <w:numFmt w:val="decimal"/>
      <w:lvlText w:val=""/>
      <w:lvlJc w:val="left"/>
    </w:lvl>
    <w:lvl w:ilvl="4" w:tplc="2BC44688">
      <w:numFmt w:val="decimal"/>
      <w:lvlText w:val=""/>
      <w:lvlJc w:val="left"/>
    </w:lvl>
    <w:lvl w:ilvl="5" w:tplc="33500D6E">
      <w:numFmt w:val="decimal"/>
      <w:lvlText w:val=""/>
      <w:lvlJc w:val="left"/>
    </w:lvl>
    <w:lvl w:ilvl="6" w:tplc="730E51A2">
      <w:numFmt w:val="decimal"/>
      <w:lvlText w:val=""/>
      <w:lvlJc w:val="left"/>
    </w:lvl>
    <w:lvl w:ilvl="7" w:tplc="4692DFBC">
      <w:numFmt w:val="decimal"/>
      <w:lvlText w:val=""/>
      <w:lvlJc w:val="left"/>
    </w:lvl>
    <w:lvl w:ilvl="8" w:tplc="C73CE058">
      <w:numFmt w:val="decimal"/>
      <w:lvlText w:val=""/>
      <w:lvlJc w:val="left"/>
    </w:lvl>
  </w:abstractNum>
  <w:abstractNum w:abstractNumId="2" w15:restartNumberingAfterBreak="0">
    <w:nsid w:val="00741091"/>
    <w:multiLevelType w:val="hybridMultilevel"/>
    <w:tmpl w:val="6CF20046"/>
    <w:lvl w:ilvl="0" w:tplc="BCE0522A">
      <w:start w:val="1"/>
      <w:numFmt w:val="bullet"/>
      <w:pStyle w:val="kropkowanierozdz"/>
      <w:lvlText w:val=""/>
      <w:lvlJc w:val="left"/>
      <w:pPr>
        <w:ind w:left="720" w:hanging="360"/>
      </w:pPr>
      <w:rPr>
        <w:rFonts w:ascii="Wingdings" w:hAnsi="Wingdings" w:hint="default"/>
        <w:sz w:val="24"/>
      </w:rPr>
    </w:lvl>
    <w:lvl w:ilvl="1" w:tplc="04150003" w:tentative="1">
      <w:start w:val="1"/>
      <w:numFmt w:val="bullet"/>
      <w:pStyle w:val="kropkowanierozdz"/>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2BE51FF"/>
    <w:multiLevelType w:val="hybridMultilevel"/>
    <w:tmpl w:val="FB58EF14"/>
    <w:lvl w:ilvl="0" w:tplc="9EFA717C">
      <w:start w:val="1"/>
      <w:numFmt w:val="bullet"/>
      <w:pStyle w:val="Listapunktowana2"/>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 w15:restartNumberingAfterBreak="0">
    <w:nsid w:val="05083E55"/>
    <w:multiLevelType w:val="hybridMultilevel"/>
    <w:tmpl w:val="FC0E35B0"/>
    <w:lvl w:ilvl="0" w:tplc="E4BCBA5C">
      <w:start w:val="1"/>
      <w:numFmt w:val="decimal"/>
      <w:pStyle w:val="podsumowanie"/>
      <w:lvlText w:val="7. %1."/>
      <w:lvlJc w:val="left"/>
      <w:pPr>
        <w:ind w:left="360" w:hanging="360"/>
      </w:pPr>
      <w:rPr>
        <w:rFonts w:cs="Times New Roman" w:hint="default"/>
      </w:r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 w15:restartNumberingAfterBreak="0">
    <w:nsid w:val="05640650"/>
    <w:multiLevelType w:val="multilevel"/>
    <w:tmpl w:val="45729A72"/>
    <w:lvl w:ilvl="0">
      <w:start w:val="1"/>
      <w:numFmt w:val="decimal"/>
      <w:pStyle w:val="Listanumerowana2"/>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50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6" w15:restartNumberingAfterBreak="0">
    <w:nsid w:val="077F425A"/>
    <w:multiLevelType w:val="hybridMultilevel"/>
    <w:tmpl w:val="5C9082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 w15:restartNumberingAfterBreak="0">
    <w:nsid w:val="07C012F5"/>
    <w:multiLevelType w:val="hybridMultilevel"/>
    <w:tmpl w:val="BF662A64"/>
    <w:lvl w:ilvl="0" w:tplc="8E166D16">
      <w:start w:val="1"/>
      <w:numFmt w:val="bullet"/>
      <w:pStyle w:val="Wypunktowanie"/>
      <w:lvlText w:val=""/>
      <w:lvlJc w:val="left"/>
      <w:pPr>
        <w:ind w:left="720" w:hanging="360"/>
      </w:pPr>
      <w:rPr>
        <w:rFonts w:ascii="Symbol" w:hAnsi="Symbol" w:hint="default"/>
        <w:color w:val="auto"/>
      </w:rPr>
    </w:lvl>
    <w:lvl w:ilvl="1" w:tplc="04150003" w:tentative="1">
      <w:start w:val="1"/>
      <w:numFmt w:val="bullet"/>
      <w:pStyle w:val="Wypunktowanie"/>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8C806D5"/>
    <w:multiLevelType w:val="hybridMultilevel"/>
    <w:tmpl w:val="8CD200DA"/>
    <w:lvl w:ilvl="0" w:tplc="04150001">
      <w:start w:val="1"/>
      <w:numFmt w:val="bullet"/>
      <w:lvlText w:val=""/>
      <w:lvlJc w:val="left"/>
      <w:pPr>
        <w:ind w:left="928"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B3775E1"/>
    <w:multiLevelType w:val="hybridMultilevel"/>
    <w:tmpl w:val="16F2B3A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 w15:restartNumberingAfterBreak="0">
    <w:nsid w:val="0C8A40E5"/>
    <w:multiLevelType w:val="hybridMultilevel"/>
    <w:tmpl w:val="1528044A"/>
    <w:lvl w:ilvl="0" w:tplc="66042E64">
      <w:start w:val="1"/>
      <w:numFmt w:val="decimal"/>
      <w:pStyle w:val="3nagwek"/>
      <w:lvlText w:val="%1.2.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pStyle w:val="3nagwek"/>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 w15:restartNumberingAfterBreak="0">
    <w:nsid w:val="0DE534E4"/>
    <w:multiLevelType w:val="hybridMultilevel"/>
    <w:tmpl w:val="B162B2C4"/>
    <w:lvl w:ilvl="0" w:tplc="04150001">
      <w:start w:val="1"/>
      <w:numFmt w:val="bullet"/>
      <w:lvlText w:val=""/>
      <w:lvlJc w:val="left"/>
      <w:pPr>
        <w:ind w:left="928"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F584428"/>
    <w:multiLevelType w:val="multilevel"/>
    <w:tmpl w:val="03621AC6"/>
    <w:lvl w:ilvl="0">
      <w:start w:val="1"/>
      <w:numFmt w:val="decimal"/>
      <w:pStyle w:val="1nagwek"/>
      <w:lvlText w:val="%1."/>
      <w:lvlJc w:val="left"/>
      <w:pPr>
        <w:ind w:left="720" w:hanging="360"/>
      </w:pPr>
      <w:rPr>
        <w:rFonts w:cs="Times New Roman"/>
      </w:rPr>
    </w:lvl>
    <w:lvl w:ilvl="1">
      <w:start w:val="5"/>
      <w:numFmt w:val="decimal"/>
      <w:isLgl/>
      <w:lvlText w:val="%1.%2."/>
      <w:lvlJc w:val="left"/>
      <w:pPr>
        <w:ind w:left="1080" w:hanging="720"/>
      </w:pPr>
      <w:rPr>
        <w:rFonts w:cs="Times New Roman" w:hint="default"/>
        <w:sz w:val="28"/>
      </w:rPr>
    </w:lvl>
    <w:lvl w:ilvl="2">
      <w:start w:val="1"/>
      <w:numFmt w:val="decimal"/>
      <w:isLgl/>
      <w:lvlText w:val="%1.%2.%3."/>
      <w:lvlJc w:val="left"/>
      <w:pPr>
        <w:ind w:left="1080" w:hanging="720"/>
      </w:pPr>
      <w:rPr>
        <w:rFonts w:cs="Times New Roman" w:hint="default"/>
        <w:sz w:val="22"/>
      </w:rPr>
    </w:lvl>
    <w:lvl w:ilvl="3">
      <w:start w:val="1"/>
      <w:numFmt w:val="decimal"/>
      <w:isLgl/>
      <w:lvlText w:val="%1.%2.%3.%4."/>
      <w:lvlJc w:val="left"/>
      <w:pPr>
        <w:ind w:left="1440" w:hanging="1080"/>
      </w:pPr>
      <w:rPr>
        <w:rFonts w:cs="Times New Roman" w:hint="default"/>
        <w:sz w:val="22"/>
      </w:rPr>
    </w:lvl>
    <w:lvl w:ilvl="4">
      <w:start w:val="1"/>
      <w:numFmt w:val="decimal"/>
      <w:isLgl/>
      <w:lvlText w:val="%1.%2.%3.%4.%5."/>
      <w:lvlJc w:val="left"/>
      <w:pPr>
        <w:ind w:left="1440" w:hanging="1080"/>
      </w:pPr>
      <w:rPr>
        <w:rFonts w:cs="Times New Roman" w:hint="default"/>
        <w:sz w:val="22"/>
      </w:rPr>
    </w:lvl>
    <w:lvl w:ilvl="5">
      <w:start w:val="1"/>
      <w:numFmt w:val="decimal"/>
      <w:isLgl/>
      <w:lvlText w:val="%1.%2.%3.%4.%5.%6."/>
      <w:lvlJc w:val="left"/>
      <w:pPr>
        <w:ind w:left="1800" w:hanging="1440"/>
      </w:pPr>
      <w:rPr>
        <w:rFonts w:cs="Times New Roman" w:hint="default"/>
        <w:sz w:val="22"/>
      </w:rPr>
    </w:lvl>
    <w:lvl w:ilvl="6">
      <w:start w:val="1"/>
      <w:numFmt w:val="decimal"/>
      <w:isLgl/>
      <w:lvlText w:val="%1.%2.%3.%4.%5.%6.%7."/>
      <w:lvlJc w:val="left"/>
      <w:pPr>
        <w:ind w:left="1800" w:hanging="1440"/>
      </w:pPr>
      <w:rPr>
        <w:rFonts w:cs="Times New Roman" w:hint="default"/>
        <w:sz w:val="22"/>
      </w:rPr>
    </w:lvl>
    <w:lvl w:ilvl="7">
      <w:start w:val="1"/>
      <w:numFmt w:val="decimal"/>
      <w:isLgl/>
      <w:lvlText w:val="%1.%2.%3.%4.%5.%6.%7.%8."/>
      <w:lvlJc w:val="left"/>
      <w:pPr>
        <w:ind w:left="2160" w:hanging="1800"/>
      </w:pPr>
      <w:rPr>
        <w:rFonts w:cs="Times New Roman" w:hint="default"/>
        <w:sz w:val="22"/>
      </w:rPr>
    </w:lvl>
    <w:lvl w:ilvl="8">
      <w:start w:val="1"/>
      <w:numFmt w:val="decimal"/>
      <w:isLgl/>
      <w:lvlText w:val="%1.%2.%3.%4.%5.%6.%7.%8.%9."/>
      <w:lvlJc w:val="left"/>
      <w:pPr>
        <w:ind w:left="2160" w:hanging="1800"/>
      </w:pPr>
      <w:rPr>
        <w:rFonts w:cs="Times New Roman" w:hint="default"/>
        <w:sz w:val="22"/>
      </w:rPr>
    </w:lvl>
  </w:abstractNum>
  <w:abstractNum w:abstractNumId="13" w15:restartNumberingAfterBreak="0">
    <w:nsid w:val="0FB84108"/>
    <w:multiLevelType w:val="hybridMultilevel"/>
    <w:tmpl w:val="02303CA6"/>
    <w:lvl w:ilvl="0" w:tplc="3006C766">
      <w:start w:val="1"/>
      <w:numFmt w:val="decimal"/>
      <w:pStyle w:val="punktowanie2"/>
      <w:lvlText w:val="%1."/>
      <w:lvlJc w:val="left"/>
      <w:pPr>
        <w:ind w:left="1004" w:hanging="360"/>
      </w:pPr>
      <w:rPr>
        <w:rFonts w:cs="Times New Roman"/>
      </w:rPr>
    </w:lvl>
    <w:lvl w:ilvl="1" w:tplc="04150019" w:tentative="1">
      <w:start w:val="1"/>
      <w:numFmt w:val="lowerLetter"/>
      <w:pStyle w:val="punktowanie2"/>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14" w15:restartNumberingAfterBreak="0">
    <w:nsid w:val="101B0728"/>
    <w:multiLevelType w:val="hybridMultilevel"/>
    <w:tmpl w:val="9DD45388"/>
    <w:lvl w:ilvl="0" w:tplc="1CDA16BE">
      <w:start w:val="1"/>
      <w:numFmt w:val="bullet"/>
      <w:lvlText w:val=""/>
      <w:lvlJc w:val="left"/>
      <w:pPr>
        <w:ind w:left="720" w:hanging="360"/>
      </w:pPr>
      <w:rPr>
        <w:rFonts w:ascii="Symbol" w:hAnsi="Symbol" w:hint="default"/>
        <w:color w:val="auto"/>
      </w:rPr>
    </w:lvl>
    <w:lvl w:ilvl="1" w:tplc="04150017">
      <w:start w:val="1"/>
      <w:numFmt w:val="lowerLetter"/>
      <w:lvlText w:val="%2)"/>
      <w:lvlJc w:val="left"/>
      <w:pPr>
        <w:ind w:left="1440" w:hanging="360"/>
      </w:pPr>
      <w:rPr>
        <w:rFonts w:hint="default"/>
      </w:rPr>
    </w:lvl>
    <w:lvl w:ilvl="2" w:tplc="077A0DE4">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1D37491"/>
    <w:multiLevelType w:val="multilevel"/>
    <w:tmpl w:val="EDFEB052"/>
    <w:styleLink w:val="Styl3"/>
    <w:lvl w:ilvl="0">
      <w:start w:val="1"/>
      <w:numFmt w:val="decimal"/>
      <w:pStyle w:val="Numerowanie"/>
      <w:lvlText w:val="%1."/>
      <w:lvlJc w:val="left"/>
      <w:pPr>
        <w:ind w:left="360" w:hanging="360"/>
      </w:pPr>
      <w:rPr>
        <w:rFonts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16" w15:restartNumberingAfterBreak="0">
    <w:nsid w:val="11DE2228"/>
    <w:multiLevelType w:val="hybridMultilevel"/>
    <w:tmpl w:val="BBC89C6A"/>
    <w:lvl w:ilvl="0" w:tplc="CE341666">
      <w:start w:val="1"/>
      <w:numFmt w:val="decimal"/>
      <w:pStyle w:val="WNIOSKIdpal"/>
      <w:lvlText w:val="%1."/>
      <w:lvlJc w:val="left"/>
      <w:pPr>
        <w:ind w:left="360" w:hanging="360"/>
      </w:pPr>
    </w:lvl>
    <w:lvl w:ilvl="1" w:tplc="04150019">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7" w15:restartNumberingAfterBreak="0">
    <w:nsid w:val="12D70084"/>
    <w:multiLevelType w:val="hybridMultilevel"/>
    <w:tmpl w:val="05DC061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 w15:restartNumberingAfterBreak="0">
    <w:nsid w:val="12FB69D5"/>
    <w:multiLevelType w:val="hybridMultilevel"/>
    <w:tmpl w:val="7D8CF370"/>
    <w:lvl w:ilvl="0" w:tplc="D74C1F5C">
      <w:start w:val="1"/>
      <w:numFmt w:val="bullet"/>
      <w:pStyle w:val="Spistabel"/>
      <w:lvlText w:val=""/>
      <w:lvlJc w:val="left"/>
      <w:pPr>
        <w:ind w:left="720" w:hanging="360"/>
      </w:pPr>
      <w:rPr>
        <w:rFonts w:ascii="Symbol" w:hAnsi="Symbol" w:hint="default"/>
      </w:rPr>
    </w:lvl>
    <w:lvl w:ilvl="1" w:tplc="04150003" w:tentative="1">
      <w:start w:val="1"/>
      <w:numFmt w:val="bullet"/>
      <w:pStyle w:val="Wypunktowanie-IIpoziom"/>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32C302F"/>
    <w:multiLevelType w:val="multilevel"/>
    <w:tmpl w:val="7770A3AE"/>
    <w:styleLink w:val="Styl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none"/>
      <w:lvlText w:val=""/>
      <w:lvlJc w:val="left"/>
      <w:pPr>
        <w:ind w:left="1008" w:hanging="1008"/>
      </w:pPr>
      <w:rPr>
        <w:rFonts w:hint="default"/>
      </w:rPr>
    </w:lvl>
    <w:lvl w:ilvl="5">
      <w:start w:val="1"/>
      <w:numFmt w:val="none"/>
      <w:lvlText w:val=""/>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16F90D2A"/>
    <w:multiLevelType w:val="hybridMultilevel"/>
    <w:tmpl w:val="746E3AB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1" w15:restartNumberingAfterBreak="0">
    <w:nsid w:val="194F12C5"/>
    <w:multiLevelType w:val="hybridMultilevel"/>
    <w:tmpl w:val="9440D8E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 w15:restartNumberingAfterBreak="0">
    <w:nsid w:val="1BF704BB"/>
    <w:multiLevelType w:val="hybridMultilevel"/>
    <w:tmpl w:val="B14078E2"/>
    <w:lvl w:ilvl="0" w:tplc="D1704A4A">
      <w:start w:val="1"/>
      <w:numFmt w:val="upperLetter"/>
      <w:pStyle w:val="LITEROWANIE"/>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1D520DBD"/>
    <w:multiLevelType w:val="hybridMultilevel"/>
    <w:tmpl w:val="57084A8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1D6D17DD"/>
    <w:multiLevelType w:val="hybridMultilevel"/>
    <w:tmpl w:val="3FE82B5A"/>
    <w:name w:val="Numbered list 1"/>
    <w:lvl w:ilvl="0" w:tplc="94D405D2">
      <w:numFmt w:val="bullet"/>
      <w:lvlText w:val=""/>
      <w:lvlJc w:val="left"/>
      <w:pPr>
        <w:ind w:left="360" w:firstLine="0"/>
      </w:pPr>
      <w:rPr>
        <w:rFonts w:ascii="Symbol" w:hAnsi="Symbol"/>
        <w:color w:val="003597"/>
      </w:rPr>
    </w:lvl>
    <w:lvl w:ilvl="1" w:tplc="C12C2E3E">
      <w:numFmt w:val="bullet"/>
      <w:lvlText w:val="o"/>
      <w:lvlJc w:val="left"/>
      <w:pPr>
        <w:ind w:left="1080" w:firstLine="0"/>
      </w:pPr>
      <w:rPr>
        <w:rFonts w:ascii="Courier New" w:hAnsi="Courier New" w:cs="Courier New"/>
      </w:rPr>
    </w:lvl>
    <w:lvl w:ilvl="2" w:tplc="77906BEA">
      <w:numFmt w:val="bullet"/>
      <w:lvlText w:val=""/>
      <w:lvlJc w:val="left"/>
      <w:pPr>
        <w:ind w:left="1800" w:firstLine="0"/>
      </w:pPr>
      <w:rPr>
        <w:rFonts w:ascii="Wingdings" w:eastAsia="Wingdings" w:hAnsi="Wingdings" w:cs="Wingdings"/>
      </w:rPr>
    </w:lvl>
    <w:lvl w:ilvl="3" w:tplc="6616C8DE">
      <w:numFmt w:val="bullet"/>
      <w:lvlText w:val=""/>
      <w:lvlJc w:val="left"/>
      <w:pPr>
        <w:ind w:left="2520" w:firstLine="0"/>
      </w:pPr>
      <w:rPr>
        <w:rFonts w:ascii="Symbol" w:hAnsi="Symbol"/>
      </w:rPr>
    </w:lvl>
    <w:lvl w:ilvl="4" w:tplc="6890C128">
      <w:numFmt w:val="bullet"/>
      <w:lvlText w:val="o"/>
      <w:lvlJc w:val="left"/>
      <w:pPr>
        <w:ind w:left="3240" w:firstLine="0"/>
      </w:pPr>
      <w:rPr>
        <w:rFonts w:ascii="Courier New" w:hAnsi="Courier New" w:cs="Courier New"/>
      </w:rPr>
    </w:lvl>
    <w:lvl w:ilvl="5" w:tplc="C9DA51F6">
      <w:numFmt w:val="bullet"/>
      <w:lvlText w:val=""/>
      <w:lvlJc w:val="left"/>
      <w:pPr>
        <w:ind w:left="3960" w:firstLine="0"/>
      </w:pPr>
      <w:rPr>
        <w:rFonts w:ascii="Wingdings" w:eastAsia="Wingdings" w:hAnsi="Wingdings" w:cs="Wingdings"/>
      </w:rPr>
    </w:lvl>
    <w:lvl w:ilvl="6" w:tplc="BFC0B4FC">
      <w:numFmt w:val="bullet"/>
      <w:lvlText w:val=""/>
      <w:lvlJc w:val="left"/>
      <w:pPr>
        <w:ind w:left="4680" w:firstLine="0"/>
      </w:pPr>
      <w:rPr>
        <w:rFonts w:ascii="Symbol" w:hAnsi="Symbol"/>
      </w:rPr>
    </w:lvl>
    <w:lvl w:ilvl="7" w:tplc="B30A1A38">
      <w:numFmt w:val="bullet"/>
      <w:lvlText w:val="o"/>
      <w:lvlJc w:val="left"/>
      <w:pPr>
        <w:ind w:left="5400" w:firstLine="0"/>
      </w:pPr>
      <w:rPr>
        <w:rFonts w:ascii="Courier New" w:hAnsi="Courier New" w:cs="Courier New"/>
      </w:rPr>
    </w:lvl>
    <w:lvl w:ilvl="8" w:tplc="16808916">
      <w:numFmt w:val="bullet"/>
      <w:lvlText w:val=""/>
      <w:lvlJc w:val="left"/>
      <w:pPr>
        <w:ind w:left="6120" w:firstLine="0"/>
      </w:pPr>
      <w:rPr>
        <w:rFonts w:ascii="Wingdings" w:eastAsia="Wingdings" w:hAnsi="Wingdings" w:cs="Wingdings"/>
      </w:rPr>
    </w:lvl>
  </w:abstractNum>
  <w:abstractNum w:abstractNumId="25" w15:restartNumberingAfterBreak="0">
    <w:nsid w:val="1EAC7596"/>
    <w:multiLevelType w:val="hybridMultilevel"/>
    <w:tmpl w:val="9320AB4A"/>
    <w:lvl w:ilvl="0" w:tplc="DB0AAEF0">
      <w:start w:val="1"/>
      <w:numFmt w:val="decimal"/>
      <w:pStyle w:val="Punkty1"/>
      <w:lvlText w:val="%1."/>
      <w:lvlJc w:val="center"/>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26" w15:restartNumberingAfterBreak="0">
    <w:nsid w:val="218649ED"/>
    <w:multiLevelType w:val="hybridMultilevel"/>
    <w:tmpl w:val="8CA4F15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24267CE0"/>
    <w:multiLevelType w:val="hybridMultilevel"/>
    <w:tmpl w:val="2B0816C0"/>
    <w:styleLink w:val="Styl11"/>
    <w:lvl w:ilvl="0" w:tplc="1D3CEBF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4F16272"/>
    <w:multiLevelType w:val="hybridMultilevel"/>
    <w:tmpl w:val="8D00AE9E"/>
    <w:lvl w:ilvl="0" w:tplc="E54C331A">
      <w:start w:val="1"/>
      <w:numFmt w:val="bullet"/>
      <w:lvlText w:val=""/>
      <w:lvlJc w:val="left"/>
      <w:pPr>
        <w:tabs>
          <w:tab w:val="num" w:pos="340"/>
        </w:tabs>
        <w:ind w:left="340" w:hanging="340"/>
      </w:pPr>
      <w:rPr>
        <w:rFonts w:ascii="Symbol" w:hAnsi="Symbol" w:hint="default"/>
        <w:color w:val="auto"/>
        <w:sz w:val="22"/>
        <w:szCs w:val="22"/>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6F407DB4">
      <w:start w:val="1"/>
      <w:numFmt w:val="bullet"/>
      <w:pStyle w:val="P1"/>
      <w:lvlText w:val=""/>
      <w:lvlJc w:val="left"/>
      <w:pPr>
        <w:tabs>
          <w:tab w:val="num" w:pos="4320"/>
        </w:tabs>
        <w:ind w:left="4320" w:hanging="360"/>
      </w:pPr>
      <w:rPr>
        <w:rFonts w:ascii="Symbol" w:hAnsi="Symbol"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5DF02DC"/>
    <w:multiLevelType w:val="hybridMultilevel"/>
    <w:tmpl w:val="06AEAF1E"/>
    <w:lvl w:ilvl="0" w:tplc="7BACFA1A">
      <w:start w:val="1"/>
      <w:numFmt w:val="bullet"/>
      <w:pStyle w:val="2kropkowanie"/>
      <w:lvlText w:val="­"/>
      <w:lvlJc w:val="left"/>
      <w:pPr>
        <w:ind w:left="1494" w:hanging="360"/>
      </w:pPr>
      <w:rPr>
        <w:rFonts w:ascii="Courier New" w:hAnsi="Courier New" w:hint="default"/>
      </w:rPr>
    </w:lvl>
    <w:lvl w:ilvl="1" w:tplc="04150003" w:tentative="1">
      <w:start w:val="1"/>
      <w:numFmt w:val="bullet"/>
      <w:pStyle w:val="2kropkowanie"/>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0" w15:restartNumberingAfterBreak="0">
    <w:nsid w:val="28F028AA"/>
    <w:multiLevelType w:val="hybridMultilevel"/>
    <w:tmpl w:val="9C9CAE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1" w15:restartNumberingAfterBreak="0">
    <w:nsid w:val="29072F2E"/>
    <w:multiLevelType w:val="hybridMultilevel"/>
    <w:tmpl w:val="6EE859D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2" w15:restartNumberingAfterBreak="0">
    <w:nsid w:val="2B227A7A"/>
    <w:multiLevelType w:val="hybridMultilevel"/>
    <w:tmpl w:val="E820AD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E3972A4"/>
    <w:multiLevelType w:val="hybridMultilevel"/>
    <w:tmpl w:val="A32C420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4" w15:restartNumberingAfterBreak="0">
    <w:nsid w:val="2F71498B"/>
    <w:multiLevelType w:val="hybridMultilevel"/>
    <w:tmpl w:val="3488BFF0"/>
    <w:lvl w:ilvl="0" w:tplc="417A469C">
      <w:start w:val="1"/>
      <w:numFmt w:val="lowerLetter"/>
      <w:pStyle w:val="abwypunktowanie"/>
      <w:lvlText w:val="%1)"/>
      <w:lvlJc w:val="left"/>
      <w:pPr>
        <w:ind w:left="1287" w:hanging="360"/>
      </w:pPr>
      <w:rPr>
        <w:rFonts w:cs="Times New Roman"/>
      </w:rPr>
    </w:lvl>
    <w:lvl w:ilvl="1" w:tplc="04150019" w:tentative="1">
      <w:start w:val="1"/>
      <w:numFmt w:val="lowerLetter"/>
      <w:lvlText w:val="%2."/>
      <w:lvlJc w:val="left"/>
      <w:pPr>
        <w:ind w:left="2007" w:hanging="360"/>
      </w:pPr>
      <w:rPr>
        <w:rFonts w:cs="Times New Roman"/>
      </w:rPr>
    </w:lvl>
    <w:lvl w:ilvl="2" w:tplc="0415001B" w:tentative="1">
      <w:start w:val="1"/>
      <w:numFmt w:val="lowerRoman"/>
      <w:lvlText w:val="%3."/>
      <w:lvlJc w:val="right"/>
      <w:pPr>
        <w:ind w:left="2727" w:hanging="180"/>
      </w:pPr>
      <w:rPr>
        <w:rFonts w:cs="Times New Roman"/>
      </w:rPr>
    </w:lvl>
    <w:lvl w:ilvl="3" w:tplc="0415000F" w:tentative="1">
      <w:start w:val="1"/>
      <w:numFmt w:val="decimal"/>
      <w:lvlText w:val="%4."/>
      <w:lvlJc w:val="left"/>
      <w:pPr>
        <w:ind w:left="3447" w:hanging="360"/>
      </w:pPr>
      <w:rPr>
        <w:rFonts w:cs="Times New Roman"/>
      </w:rPr>
    </w:lvl>
    <w:lvl w:ilvl="4" w:tplc="04150019" w:tentative="1">
      <w:start w:val="1"/>
      <w:numFmt w:val="lowerLetter"/>
      <w:lvlText w:val="%5."/>
      <w:lvlJc w:val="left"/>
      <w:pPr>
        <w:ind w:left="4167" w:hanging="360"/>
      </w:pPr>
      <w:rPr>
        <w:rFonts w:cs="Times New Roman"/>
      </w:rPr>
    </w:lvl>
    <w:lvl w:ilvl="5" w:tplc="0415001B" w:tentative="1">
      <w:start w:val="1"/>
      <w:numFmt w:val="lowerRoman"/>
      <w:lvlText w:val="%6."/>
      <w:lvlJc w:val="right"/>
      <w:pPr>
        <w:ind w:left="4887" w:hanging="180"/>
      </w:pPr>
      <w:rPr>
        <w:rFonts w:cs="Times New Roman"/>
      </w:rPr>
    </w:lvl>
    <w:lvl w:ilvl="6" w:tplc="0415000F" w:tentative="1">
      <w:start w:val="1"/>
      <w:numFmt w:val="decimal"/>
      <w:lvlText w:val="%7."/>
      <w:lvlJc w:val="left"/>
      <w:pPr>
        <w:ind w:left="5607" w:hanging="360"/>
      </w:pPr>
      <w:rPr>
        <w:rFonts w:cs="Times New Roman"/>
      </w:rPr>
    </w:lvl>
    <w:lvl w:ilvl="7" w:tplc="04150019" w:tentative="1">
      <w:start w:val="1"/>
      <w:numFmt w:val="lowerLetter"/>
      <w:lvlText w:val="%8."/>
      <w:lvlJc w:val="left"/>
      <w:pPr>
        <w:ind w:left="6327" w:hanging="360"/>
      </w:pPr>
      <w:rPr>
        <w:rFonts w:cs="Times New Roman"/>
      </w:rPr>
    </w:lvl>
    <w:lvl w:ilvl="8" w:tplc="0415001B" w:tentative="1">
      <w:start w:val="1"/>
      <w:numFmt w:val="lowerRoman"/>
      <w:lvlText w:val="%9."/>
      <w:lvlJc w:val="right"/>
      <w:pPr>
        <w:ind w:left="7047" w:hanging="180"/>
      </w:pPr>
      <w:rPr>
        <w:rFonts w:cs="Times New Roman"/>
      </w:rPr>
    </w:lvl>
  </w:abstractNum>
  <w:abstractNum w:abstractNumId="35" w15:restartNumberingAfterBreak="0">
    <w:nsid w:val="2FDA07FD"/>
    <w:multiLevelType w:val="hybridMultilevel"/>
    <w:tmpl w:val="59BE2E7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6" w15:restartNumberingAfterBreak="0">
    <w:nsid w:val="313B6D51"/>
    <w:multiLevelType w:val="hybridMultilevel"/>
    <w:tmpl w:val="6C463970"/>
    <w:lvl w:ilvl="0" w:tplc="E8C806FC">
      <w:start w:val="1"/>
      <w:numFmt w:val="bullet"/>
      <w:pStyle w:val="Bullet1"/>
      <w:lvlText w:val=""/>
      <w:lvlJc w:val="left"/>
      <w:pPr>
        <w:ind w:left="720" w:hanging="360"/>
      </w:pPr>
      <w:rPr>
        <w:rFonts w:ascii="Symbol" w:hAnsi="Symbol" w:hint="default"/>
        <w:color w:val="2E74B5"/>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37" w15:restartNumberingAfterBreak="0">
    <w:nsid w:val="31DE5F17"/>
    <w:multiLevelType w:val="hybridMultilevel"/>
    <w:tmpl w:val="97AC358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8" w15:restartNumberingAfterBreak="0">
    <w:nsid w:val="32C44B3C"/>
    <w:multiLevelType w:val="hybridMultilevel"/>
    <w:tmpl w:val="E4D0A5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5287E29"/>
    <w:multiLevelType w:val="hybridMultilevel"/>
    <w:tmpl w:val="89445BE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0" w15:restartNumberingAfterBreak="0">
    <w:nsid w:val="364F3998"/>
    <w:multiLevelType w:val="multilevel"/>
    <w:tmpl w:val="728035F2"/>
    <w:lvl w:ilvl="0">
      <w:start w:val="1"/>
      <w:numFmt w:val="decimal"/>
      <w:pStyle w:val="Punkty2"/>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41" w15:restartNumberingAfterBreak="0">
    <w:nsid w:val="3B847938"/>
    <w:multiLevelType w:val="hybridMultilevel"/>
    <w:tmpl w:val="2E0A842C"/>
    <w:lvl w:ilvl="0" w:tplc="1E2607B6">
      <w:start w:val="1"/>
      <w:numFmt w:val="bullet"/>
      <w:pStyle w:val="tabela-pk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BB000B2"/>
    <w:multiLevelType w:val="hybridMultilevel"/>
    <w:tmpl w:val="BDA861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3" w15:restartNumberingAfterBreak="0">
    <w:nsid w:val="3D4D62A2"/>
    <w:multiLevelType w:val="hybridMultilevel"/>
    <w:tmpl w:val="37ECA75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4" w15:restartNumberingAfterBreak="0">
    <w:nsid w:val="3EB56E98"/>
    <w:multiLevelType w:val="hybridMultilevel"/>
    <w:tmpl w:val="25A80304"/>
    <w:lvl w:ilvl="0" w:tplc="1B96A4BE">
      <w:start w:val="1"/>
      <w:numFmt w:val="bullet"/>
      <w:pStyle w:val="awypunktowanie"/>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5" w15:restartNumberingAfterBreak="0">
    <w:nsid w:val="3EE75275"/>
    <w:multiLevelType w:val="multilevel"/>
    <w:tmpl w:val="334AE5B0"/>
    <w:lvl w:ilvl="0">
      <w:start w:val="1"/>
      <w:numFmt w:val="decimal"/>
      <w:pStyle w:val="Nagwek1"/>
      <w:lvlText w:val="%1."/>
      <w:lvlJc w:val="left"/>
      <w:pPr>
        <w:ind w:left="432" w:hanging="432"/>
      </w:pPr>
      <w:rPr>
        <w:rFonts w:hint="default"/>
      </w:rPr>
    </w:lvl>
    <w:lvl w:ilvl="1">
      <w:start w:val="1"/>
      <w:numFmt w:val="decimal"/>
      <w:pStyle w:val="Nagwek2"/>
      <w:lvlText w:val="%1.%2."/>
      <w:lvlJc w:val="left"/>
      <w:pPr>
        <w:ind w:left="576" w:hanging="576"/>
      </w:pPr>
      <w:rPr>
        <w:rFonts w:hint="default"/>
      </w:rPr>
    </w:lvl>
    <w:lvl w:ilvl="2">
      <w:start w:val="1"/>
      <w:numFmt w:val="decimal"/>
      <w:pStyle w:val="Nagwek3"/>
      <w:lvlText w:val="%1.%2.%3."/>
      <w:lvlJc w:val="left"/>
      <w:pPr>
        <w:ind w:left="720" w:hanging="720"/>
      </w:pPr>
      <w:rPr>
        <w:rFonts w:hint="default"/>
      </w:rPr>
    </w:lvl>
    <w:lvl w:ilvl="3">
      <w:start w:val="1"/>
      <w:numFmt w:val="decimal"/>
      <w:pStyle w:val="Nagwek4"/>
      <w:lvlText w:val="%1.%2.%3.%4."/>
      <w:lvlJc w:val="left"/>
      <w:pPr>
        <w:ind w:left="864" w:hanging="864"/>
      </w:pPr>
      <w:rPr>
        <w:rFonts w:hint="default"/>
      </w:rPr>
    </w:lvl>
    <w:lvl w:ilvl="4">
      <w:start w:val="1"/>
      <w:numFmt w:val="none"/>
      <w:lvlText w:val=""/>
      <w:lvlJc w:val="left"/>
      <w:pPr>
        <w:ind w:left="1134" w:hanging="1134"/>
      </w:pPr>
      <w:rPr>
        <w:rFonts w:hint="default"/>
      </w:rPr>
    </w:lvl>
    <w:lvl w:ilvl="5">
      <w:start w:val="1"/>
      <w:numFmt w:val="decimal"/>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46" w15:restartNumberingAfterBreak="0">
    <w:nsid w:val="3F2237E3"/>
    <w:multiLevelType w:val="multilevel"/>
    <w:tmpl w:val="6084FCF2"/>
    <w:lvl w:ilvl="0">
      <w:start w:val="1"/>
      <w:numFmt w:val="decimal"/>
      <w:lvlText w:val="%1"/>
      <w:lvlJc w:val="left"/>
      <w:pPr>
        <w:tabs>
          <w:tab w:val="num" w:pos="357"/>
        </w:tabs>
        <w:ind w:left="357" w:hanging="360"/>
      </w:pPr>
      <w:rPr>
        <w:rFonts w:cs="Times New Roman" w:hint="default"/>
      </w:rPr>
    </w:lvl>
    <w:lvl w:ilvl="1">
      <w:start w:val="1"/>
      <w:numFmt w:val="decimal"/>
      <w:pStyle w:val="Nagwek2Raport"/>
      <w:lvlText w:val="%1.%2."/>
      <w:lvlJc w:val="left"/>
      <w:pPr>
        <w:tabs>
          <w:tab w:val="num" w:pos="789"/>
        </w:tabs>
        <w:ind w:left="789" w:hanging="432"/>
      </w:pPr>
      <w:rPr>
        <w:rFonts w:ascii="Arial Narrow" w:hAnsi="Arial Narrow" w:cs="Times New Roman" w:hint="default"/>
        <w:b/>
        <w:i w:val="0"/>
        <w:sz w:val="24"/>
      </w:rPr>
    </w:lvl>
    <w:lvl w:ilvl="2">
      <w:start w:val="1"/>
      <w:numFmt w:val="decimal"/>
      <w:pStyle w:val="Nagowek3Raport"/>
      <w:lvlText w:val="%1.%2.%3."/>
      <w:lvlJc w:val="left"/>
      <w:pPr>
        <w:tabs>
          <w:tab w:val="num" w:pos="1221"/>
        </w:tabs>
        <w:ind w:left="1221" w:hanging="504"/>
      </w:pPr>
      <w:rPr>
        <w:rFonts w:ascii="Arial Narrow" w:hAnsi="Arial Narrow" w:cs="Times New Roman" w:hint="default"/>
        <w:b/>
        <w:i w:val="0"/>
        <w:sz w:val="20"/>
      </w:rPr>
    </w:lvl>
    <w:lvl w:ilvl="3">
      <w:start w:val="1"/>
      <w:numFmt w:val="decimal"/>
      <w:lvlText w:val="%1.%2.%3.%4."/>
      <w:lvlJc w:val="left"/>
      <w:pPr>
        <w:tabs>
          <w:tab w:val="num" w:pos="1725"/>
        </w:tabs>
        <w:ind w:left="1725" w:hanging="648"/>
      </w:pPr>
      <w:rPr>
        <w:rFonts w:cs="Times New Roman" w:hint="default"/>
      </w:rPr>
    </w:lvl>
    <w:lvl w:ilvl="4">
      <w:start w:val="1"/>
      <w:numFmt w:val="decimal"/>
      <w:lvlText w:val="%1.%2.%3.%4.%5."/>
      <w:lvlJc w:val="left"/>
      <w:pPr>
        <w:tabs>
          <w:tab w:val="num" w:pos="2229"/>
        </w:tabs>
        <w:ind w:left="2229" w:hanging="792"/>
      </w:pPr>
      <w:rPr>
        <w:rFonts w:cs="Times New Roman" w:hint="default"/>
      </w:rPr>
    </w:lvl>
    <w:lvl w:ilvl="5">
      <w:start w:val="1"/>
      <w:numFmt w:val="decimal"/>
      <w:lvlText w:val="%1.%2.%3.%4.%5.%6."/>
      <w:lvlJc w:val="left"/>
      <w:pPr>
        <w:tabs>
          <w:tab w:val="num" w:pos="2733"/>
        </w:tabs>
        <w:ind w:left="2733" w:hanging="936"/>
      </w:pPr>
      <w:rPr>
        <w:rFonts w:cs="Times New Roman" w:hint="default"/>
      </w:rPr>
    </w:lvl>
    <w:lvl w:ilvl="6">
      <w:start w:val="1"/>
      <w:numFmt w:val="decimal"/>
      <w:lvlText w:val="%1.%2.%3.%4.%5.%6.%7."/>
      <w:lvlJc w:val="left"/>
      <w:pPr>
        <w:tabs>
          <w:tab w:val="num" w:pos="3237"/>
        </w:tabs>
        <w:ind w:left="3237" w:hanging="1080"/>
      </w:pPr>
      <w:rPr>
        <w:rFonts w:cs="Times New Roman" w:hint="default"/>
      </w:rPr>
    </w:lvl>
    <w:lvl w:ilvl="7">
      <w:start w:val="1"/>
      <w:numFmt w:val="decimal"/>
      <w:lvlText w:val="%1.%2.%3.%4.%5.%6.%7.%8."/>
      <w:lvlJc w:val="left"/>
      <w:pPr>
        <w:tabs>
          <w:tab w:val="num" w:pos="3741"/>
        </w:tabs>
        <w:ind w:left="3741" w:hanging="1224"/>
      </w:pPr>
      <w:rPr>
        <w:rFonts w:cs="Times New Roman" w:hint="default"/>
      </w:rPr>
    </w:lvl>
    <w:lvl w:ilvl="8">
      <w:start w:val="1"/>
      <w:numFmt w:val="decimal"/>
      <w:lvlText w:val="%1.%2.%3.%4.%5.%6.%7.%8.%9."/>
      <w:lvlJc w:val="left"/>
      <w:pPr>
        <w:tabs>
          <w:tab w:val="num" w:pos="4317"/>
        </w:tabs>
        <w:ind w:left="4317" w:hanging="1440"/>
      </w:pPr>
      <w:rPr>
        <w:rFonts w:cs="Times New Roman" w:hint="default"/>
      </w:rPr>
    </w:lvl>
  </w:abstractNum>
  <w:abstractNum w:abstractNumId="47" w15:restartNumberingAfterBreak="0">
    <w:nsid w:val="43DE682D"/>
    <w:multiLevelType w:val="hybridMultilevel"/>
    <w:tmpl w:val="C2AAAE1C"/>
    <w:lvl w:ilvl="0" w:tplc="87065C54">
      <w:start w:val="1"/>
      <w:numFmt w:val="decimal"/>
      <w:lvlText w:val="%1."/>
      <w:lvlJc w:val="left"/>
      <w:pPr>
        <w:ind w:left="360" w:hanging="360"/>
      </w:pPr>
    </w:lvl>
    <w:lvl w:ilvl="1" w:tplc="4F4CACE2">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44552758"/>
    <w:multiLevelType w:val="hybridMultilevel"/>
    <w:tmpl w:val="90FC8BE2"/>
    <w:lvl w:ilvl="0" w:tplc="97D2F43E">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9" w15:restartNumberingAfterBreak="0">
    <w:nsid w:val="459E107B"/>
    <w:multiLevelType w:val="hybridMultilevel"/>
    <w:tmpl w:val="0C7E7B20"/>
    <w:styleLink w:val="Styl1"/>
    <w:lvl w:ilvl="0" w:tplc="077A0DE4">
      <w:start w:val="1"/>
      <w:numFmt w:val="bullet"/>
      <w:lvlText w:val=""/>
      <w:lvlJc w:val="left"/>
      <w:pPr>
        <w:ind w:left="765" w:hanging="360"/>
      </w:pPr>
      <w:rPr>
        <w:rFonts w:ascii="Symbol" w:hAnsi="Symbol" w:hint="default"/>
      </w:rPr>
    </w:lvl>
    <w:lvl w:ilvl="1" w:tplc="04150019">
      <w:start w:val="1"/>
      <w:numFmt w:val="lowerLetter"/>
      <w:lvlText w:val="%2."/>
      <w:lvlJc w:val="left"/>
      <w:pPr>
        <w:ind w:left="1485" w:hanging="360"/>
      </w:pPr>
    </w:lvl>
    <w:lvl w:ilvl="2" w:tplc="0415001B">
      <w:start w:val="1"/>
      <w:numFmt w:val="lowerRoman"/>
      <w:lvlText w:val="%3."/>
      <w:lvlJc w:val="right"/>
      <w:pPr>
        <w:ind w:left="2205" w:hanging="180"/>
      </w:pPr>
    </w:lvl>
    <w:lvl w:ilvl="3" w:tplc="0415000F">
      <w:start w:val="1"/>
      <w:numFmt w:val="decimal"/>
      <w:lvlText w:val="%4."/>
      <w:lvlJc w:val="left"/>
      <w:pPr>
        <w:ind w:left="2925" w:hanging="360"/>
      </w:pPr>
    </w:lvl>
    <w:lvl w:ilvl="4" w:tplc="04150019">
      <w:start w:val="1"/>
      <w:numFmt w:val="lowerLetter"/>
      <w:lvlText w:val="%5."/>
      <w:lvlJc w:val="left"/>
      <w:pPr>
        <w:ind w:left="3645" w:hanging="360"/>
      </w:pPr>
    </w:lvl>
    <w:lvl w:ilvl="5" w:tplc="0415001B">
      <w:start w:val="1"/>
      <w:numFmt w:val="lowerRoman"/>
      <w:lvlText w:val="%6."/>
      <w:lvlJc w:val="right"/>
      <w:pPr>
        <w:ind w:left="4365" w:hanging="180"/>
      </w:pPr>
    </w:lvl>
    <w:lvl w:ilvl="6" w:tplc="0415000F">
      <w:start w:val="1"/>
      <w:numFmt w:val="decimal"/>
      <w:lvlText w:val="%7."/>
      <w:lvlJc w:val="left"/>
      <w:pPr>
        <w:ind w:left="5085" w:hanging="360"/>
      </w:pPr>
    </w:lvl>
    <w:lvl w:ilvl="7" w:tplc="04150019">
      <w:start w:val="1"/>
      <w:numFmt w:val="lowerLetter"/>
      <w:lvlText w:val="%8."/>
      <w:lvlJc w:val="left"/>
      <w:pPr>
        <w:ind w:left="5805" w:hanging="360"/>
      </w:pPr>
    </w:lvl>
    <w:lvl w:ilvl="8" w:tplc="0415001B">
      <w:start w:val="1"/>
      <w:numFmt w:val="lowerRoman"/>
      <w:lvlText w:val="%9."/>
      <w:lvlJc w:val="right"/>
      <w:pPr>
        <w:ind w:left="6525" w:hanging="180"/>
      </w:pPr>
    </w:lvl>
  </w:abstractNum>
  <w:abstractNum w:abstractNumId="50" w15:restartNumberingAfterBreak="0">
    <w:nsid w:val="4A5E4E72"/>
    <w:multiLevelType w:val="hybridMultilevel"/>
    <w:tmpl w:val="7D08222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1" w15:restartNumberingAfterBreak="0">
    <w:nsid w:val="50C14745"/>
    <w:multiLevelType w:val="hybridMultilevel"/>
    <w:tmpl w:val="A76A3D8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2" w15:restartNumberingAfterBreak="0">
    <w:nsid w:val="530F34DD"/>
    <w:multiLevelType w:val="hybridMultilevel"/>
    <w:tmpl w:val="633C918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3" w15:restartNumberingAfterBreak="0">
    <w:nsid w:val="5359402D"/>
    <w:multiLevelType w:val="hybridMultilevel"/>
    <w:tmpl w:val="9EFCB3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48D77DE"/>
    <w:multiLevelType w:val="hybridMultilevel"/>
    <w:tmpl w:val="9ABA651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5" w15:restartNumberingAfterBreak="0">
    <w:nsid w:val="566E0BB0"/>
    <w:multiLevelType w:val="hybridMultilevel"/>
    <w:tmpl w:val="3CFE492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15:restartNumberingAfterBreak="0">
    <w:nsid w:val="59571A1D"/>
    <w:multiLevelType w:val="hybridMultilevel"/>
    <w:tmpl w:val="3C62D694"/>
    <w:lvl w:ilvl="0" w:tplc="794E40EE">
      <w:start w:val="1"/>
      <w:numFmt w:val="bullet"/>
      <w:pStyle w:val="akapitlistaglowna"/>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B732572"/>
    <w:multiLevelType w:val="hybridMultilevel"/>
    <w:tmpl w:val="777C6A94"/>
    <w:lvl w:ilvl="0" w:tplc="9FF88F16">
      <w:start w:val="1"/>
      <w:numFmt w:val="bullet"/>
      <w:pStyle w:val="M1"/>
      <w:lvlText w:val=""/>
      <w:lvlJc w:val="left"/>
      <w:pPr>
        <w:ind w:left="928"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5BD12D96"/>
    <w:multiLevelType w:val="hybridMultilevel"/>
    <w:tmpl w:val="F61063AC"/>
    <w:lvl w:ilvl="0" w:tplc="4C48C7EC">
      <w:start w:val="1"/>
      <w:numFmt w:val="bullet"/>
      <w:pStyle w:val="Akapitzlis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9" w15:restartNumberingAfterBreak="0">
    <w:nsid w:val="61205D90"/>
    <w:multiLevelType w:val="hybridMultilevel"/>
    <w:tmpl w:val="31CE11D4"/>
    <w:lvl w:ilvl="0" w:tplc="53ECF70A">
      <w:start w:val="1"/>
      <w:numFmt w:val="decimal"/>
      <w:pStyle w:val="punktowanierozdz"/>
      <w:lvlText w:val="%1."/>
      <w:lvlJc w:val="left"/>
      <w:pPr>
        <w:ind w:left="1004" w:hanging="360"/>
      </w:pPr>
      <w:rPr>
        <w:rFonts w:cs="Times New Roman"/>
      </w:rPr>
    </w:lvl>
    <w:lvl w:ilvl="1" w:tplc="04150019" w:tentative="1">
      <w:start w:val="1"/>
      <w:numFmt w:val="lowerLetter"/>
      <w:pStyle w:val="punktowanierozdz"/>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60" w15:restartNumberingAfterBreak="0">
    <w:nsid w:val="61A242F1"/>
    <w:multiLevelType w:val="multilevel"/>
    <w:tmpl w:val="412487E8"/>
    <w:lvl w:ilvl="0">
      <w:start w:val="1"/>
      <w:numFmt w:val="decimal"/>
      <w:pStyle w:val="I-tytudpal"/>
      <w:lvlText w:val="%1."/>
      <w:lvlJc w:val="left"/>
      <w:pPr>
        <w:tabs>
          <w:tab w:val="num" w:pos="360"/>
        </w:tabs>
        <w:ind w:left="360" w:hanging="360"/>
      </w:pPr>
      <w:rPr>
        <w:rFonts w:ascii="Arial Narrow" w:hAnsi="Arial Narrow" w:cs="Times New Roman" w:hint="default"/>
        <w:b/>
        <w:i w:val="0"/>
        <w:sz w:val="28"/>
      </w:rPr>
    </w:lvl>
    <w:lvl w:ilvl="1">
      <w:start w:val="1"/>
      <w:numFmt w:val="decimal"/>
      <w:pStyle w:val="TestRaportPunktowany"/>
      <w:lvlText w:val="%1.%2."/>
      <w:lvlJc w:val="left"/>
      <w:pPr>
        <w:tabs>
          <w:tab w:val="num" w:pos="792"/>
        </w:tabs>
        <w:ind w:left="792" w:hanging="432"/>
      </w:pPr>
      <w:rPr>
        <w:rFonts w:cs="Times New Roman" w:hint="default"/>
      </w:rPr>
    </w:lvl>
    <w:lvl w:ilvl="2">
      <w:start w:val="1"/>
      <w:numFmt w:val="decimal"/>
      <w:lvlText w:val="%1.%2.%3."/>
      <w:lvlJc w:val="left"/>
      <w:pPr>
        <w:tabs>
          <w:tab w:val="num" w:pos="1224"/>
        </w:tabs>
        <w:ind w:left="1224" w:hanging="504"/>
      </w:pPr>
      <w:rPr>
        <w:rFonts w:cs="Times New Roman" w:hint="default"/>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61" w15:restartNumberingAfterBreak="0">
    <w:nsid w:val="62180245"/>
    <w:multiLevelType w:val="hybridMultilevel"/>
    <w:tmpl w:val="A404D64E"/>
    <w:lvl w:ilvl="0" w:tplc="A0E60406">
      <w:start w:val="1"/>
      <w:numFmt w:val="decimal"/>
      <w:pStyle w:val="Tytulrozdz"/>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2" w15:restartNumberingAfterBreak="0">
    <w:nsid w:val="6617534C"/>
    <w:multiLevelType w:val="hybridMultilevel"/>
    <w:tmpl w:val="8A9E4A62"/>
    <w:lvl w:ilvl="0" w:tplc="237CB6D0">
      <w:start w:val="1"/>
      <w:numFmt w:val="decimal"/>
      <w:pStyle w:val="numeracja2"/>
      <w:lvlText w:val="2.%1. "/>
      <w:lvlJc w:val="left"/>
      <w:pPr>
        <w:ind w:left="1004" w:hanging="360"/>
      </w:pPr>
      <w:rPr>
        <w:rFonts w:cs="Times New Roman" w:hint="default"/>
        <w:i w:val="0"/>
        <w:iCs w:val="0"/>
        <w:caps w:val="0"/>
        <w:smallCaps w:val="0"/>
        <w:strike w:val="0"/>
        <w:dstrike w:val="0"/>
        <w:vanish w:val="0"/>
        <w:color w:val="000000"/>
        <w:spacing w:val="0"/>
        <w:kern w:val="0"/>
        <w:position w:val="0"/>
        <w:u w:val="none"/>
        <w:vertAlign w:val="baseline"/>
      </w:rPr>
    </w:lvl>
    <w:lvl w:ilvl="1" w:tplc="04150019" w:tentative="1">
      <w:start w:val="1"/>
      <w:numFmt w:val="lowerLetter"/>
      <w:pStyle w:val="numeracja2"/>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63" w15:restartNumberingAfterBreak="0">
    <w:nsid w:val="66CB4A98"/>
    <w:multiLevelType w:val="hybridMultilevel"/>
    <w:tmpl w:val="6226A48C"/>
    <w:lvl w:ilvl="0" w:tplc="1930AD92">
      <w:start w:val="1"/>
      <w:numFmt w:val="lowerLetter"/>
      <w:pStyle w:val="punktory"/>
      <w:lvlText w:val="%1)"/>
      <w:lvlJc w:val="left"/>
      <w:pPr>
        <w:ind w:left="1004" w:hanging="360"/>
      </w:pPr>
      <w:rPr>
        <w:rFonts w:cs="Times New Roman" w:hint="default"/>
      </w:rPr>
    </w:lvl>
    <w:lvl w:ilvl="1" w:tplc="04150019" w:tentative="1">
      <w:start w:val="1"/>
      <w:numFmt w:val="lowerLetter"/>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64" w15:restartNumberingAfterBreak="0">
    <w:nsid w:val="6BA72F39"/>
    <w:multiLevelType w:val="hybridMultilevel"/>
    <w:tmpl w:val="B476B30E"/>
    <w:lvl w:ilvl="0" w:tplc="C88E90AE">
      <w:start w:val="1"/>
      <w:numFmt w:val="decimal"/>
      <w:pStyle w:val="numeracja"/>
      <w:lvlText w:val="1.%1. "/>
      <w:lvlJc w:val="left"/>
      <w:pPr>
        <w:ind w:left="1004" w:hanging="360"/>
      </w:pPr>
      <w:rPr>
        <w:rFonts w:cs="Times New Roman" w:hint="default"/>
        <w:i w:val="0"/>
        <w:iCs w:val="0"/>
        <w:caps w:val="0"/>
        <w:smallCaps w:val="0"/>
        <w:strike w:val="0"/>
        <w:dstrike w:val="0"/>
        <w:vanish w:val="0"/>
        <w:color w:val="000000"/>
        <w:spacing w:val="0"/>
        <w:kern w:val="0"/>
        <w:position w:val="0"/>
        <w:u w:val="none"/>
        <w:vertAlign w:val="baseline"/>
      </w:rPr>
    </w:lvl>
    <w:lvl w:ilvl="1" w:tplc="04150019" w:tentative="1">
      <w:start w:val="1"/>
      <w:numFmt w:val="lowerLetter"/>
      <w:pStyle w:val="numeracja"/>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65" w15:restartNumberingAfterBreak="0">
    <w:nsid w:val="6BD942AA"/>
    <w:multiLevelType w:val="hybridMultilevel"/>
    <w:tmpl w:val="4B1863B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6" w15:restartNumberingAfterBreak="0">
    <w:nsid w:val="6C31608B"/>
    <w:multiLevelType w:val="hybridMultilevel"/>
    <w:tmpl w:val="B890E33C"/>
    <w:lvl w:ilvl="0" w:tplc="C0120C92">
      <w:start w:val="1"/>
      <w:numFmt w:val="decimal"/>
      <w:pStyle w:val="2nagowek"/>
      <w:lvlText w:val="2. %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7" w15:restartNumberingAfterBreak="0">
    <w:nsid w:val="6C4030FF"/>
    <w:multiLevelType w:val="singleLevel"/>
    <w:tmpl w:val="6CE2BD5C"/>
    <w:lvl w:ilvl="0">
      <w:start w:val="1"/>
      <w:numFmt w:val="bullet"/>
      <w:pStyle w:val="P2"/>
      <w:lvlText w:val="-"/>
      <w:lvlJc w:val="left"/>
      <w:pPr>
        <w:tabs>
          <w:tab w:val="num" w:pos="680"/>
        </w:tabs>
        <w:ind w:left="680" w:hanging="340"/>
      </w:pPr>
      <w:rPr>
        <w:rFonts w:ascii="9999999" w:hAnsi="9999999" w:cs="Courier New" w:hint="default"/>
      </w:rPr>
    </w:lvl>
  </w:abstractNum>
  <w:abstractNum w:abstractNumId="68" w15:restartNumberingAfterBreak="0">
    <w:nsid w:val="71911180"/>
    <w:multiLevelType w:val="hybridMultilevel"/>
    <w:tmpl w:val="093EC87E"/>
    <w:lvl w:ilvl="0" w:tplc="F78C73CC">
      <w:start w:val="1"/>
      <w:numFmt w:val="decimal"/>
      <w:pStyle w:val="NSTabelanaglowek"/>
      <w:lvlText w:val="Tab.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77137001"/>
    <w:multiLevelType w:val="hybridMultilevel"/>
    <w:tmpl w:val="710652A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0" w15:restartNumberingAfterBreak="0">
    <w:nsid w:val="77C06276"/>
    <w:multiLevelType w:val="hybridMultilevel"/>
    <w:tmpl w:val="2460E6A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1" w15:restartNumberingAfterBreak="0">
    <w:nsid w:val="783548CD"/>
    <w:multiLevelType w:val="hybridMultilevel"/>
    <w:tmpl w:val="40A09EF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2" w15:restartNumberingAfterBreak="0">
    <w:nsid w:val="79336642"/>
    <w:multiLevelType w:val="hybridMultilevel"/>
    <w:tmpl w:val="75047616"/>
    <w:lvl w:ilvl="0" w:tplc="F156FBBE">
      <w:start w:val="3"/>
      <w:numFmt w:val="decimal"/>
      <w:pStyle w:val="Podtyturozdz"/>
      <w:lvlText w:val="%1.1. "/>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3" w15:restartNumberingAfterBreak="0">
    <w:nsid w:val="7B9D1A9D"/>
    <w:multiLevelType w:val="hybridMultilevel"/>
    <w:tmpl w:val="6278234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4" w15:restartNumberingAfterBreak="0">
    <w:nsid w:val="7FA36233"/>
    <w:multiLevelType w:val="hybridMultilevel"/>
    <w:tmpl w:val="49E66D0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7FBD37D0"/>
    <w:multiLevelType w:val="hybridMultilevel"/>
    <w:tmpl w:val="01AC7336"/>
    <w:lvl w:ilvl="0" w:tplc="04150001">
      <w:start w:val="1"/>
      <w:numFmt w:val="decimal"/>
      <w:pStyle w:val="spisliteratury"/>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num w:numId="1">
    <w:abstractNumId w:val="1"/>
  </w:num>
  <w:num w:numId="2">
    <w:abstractNumId w:val="5"/>
  </w:num>
  <w:num w:numId="3">
    <w:abstractNumId w:val="63"/>
  </w:num>
  <w:num w:numId="4">
    <w:abstractNumId w:val="36"/>
  </w:num>
  <w:num w:numId="5">
    <w:abstractNumId w:val="0"/>
  </w:num>
  <w:num w:numId="6">
    <w:abstractNumId w:val="68"/>
  </w:num>
  <w:num w:numId="7">
    <w:abstractNumId w:val="57"/>
  </w:num>
  <w:num w:numId="8">
    <w:abstractNumId w:val="16"/>
  </w:num>
  <w:num w:numId="9">
    <w:abstractNumId w:val="75"/>
  </w:num>
  <w:num w:numId="10">
    <w:abstractNumId w:val="2"/>
  </w:num>
  <w:num w:numId="11">
    <w:abstractNumId w:val="61"/>
  </w:num>
  <w:num w:numId="12">
    <w:abstractNumId w:val="72"/>
  </w:num>
  <w:num w:numId="13">
    <w:abstractNumId w:val="59"/>
  </w:num>
  <w:num w:numId="14">
    <w:abstractNumId w:val="29"/>
  </w:num>
  <w:num w:numId="15">
    <w:abstractNumId w:val="64"/>
  </w:num>
  <w:num w:numId="16">
    <w:abstractNumId w:val="62"/>
  </w:num>
  <w:num w:numId="17">
    <w:abstractNumId w:val="13"/>
  </w:num>
  <w:num w:numId="18">
    <w:abstractNumId w:val="12"/>
  </w:num>
  <w:num w:numId="19">
    <w:abstractNumId w:val="66"/>
  </w:num>
  <w:num w:numId="20">
    <w:abstractNumId w:val="44"/>
  </w:num>
  <w:num w:numId="21">
    <w:abstractNumId w:val="34"/>
  </w:num>
  <w:num w:numId="22">
    <w:abstractNumId w:val="10"/>
  </w:num>
  <w:num w:numId="23">
    <w:abstractNumId w:val="60"/>
  </w:num>
  <w:num w:numId="24">
    <w:abstractNumId w:val="46"/>
  </w:num>
  <w:num w:numId="25">
    <w:abstractNumId w:val="4"/>
  </w:num>
  <w:num w:numId="26">
    <w:abstractNumId w:val="7"/>
  </w:num>
  <w:num w:numId="27">
    <w:abstractNumId w:val="25"/>
  </w:num>
  <w:num w:numId="28">
    <w:abstractNumId w:val="18"/>
  </w:num>
  <w:num w:numId="29">
    <w:abstractNumId w:val="56"/>
  </w:num>
  <w:num w:numId="30">
    <w:abstractNumId w:val="40"/>
  </w:num>
  <w:num w:numId="31">
    <w:abstractNumId w:val="14"/>
  </w:num>
  <w:num w:numId="32">
    <w:abstractNumId w:val="41"/>
  </w:num>
  <w:num w:numId="33">
    <w:abstractNumId w:val="15"/>
    <w:lvlOverride w:ilvl="0">
      <w:startOverride w:val="1"/>
    </w:lvlOverride>
  </w:num>
  <w:num w:numId="34">
    <w:abstractNumId w:val="15"/>
    <w:lvlOverride w:ilvl="0">
      <w:startOverride w:val="1"/>
    </w:lvlOverride>
  </w:num>
  <w:num w:numId="35">
    <w:abstractNumId w:val="15"/>
    <w:lvlOverride w:ilvl="0">
      <w:startOverride w:val="1"/>
    </w:lvlOverride>
  </w:num>
  <w:num w:numId="36">
    <w:abstractNumId w:val="15"/>
    <w:lvlOverride w:ilvl="0">
      <w:startOverride w:val="1"/>
    </w:lvlOverride>
  </w:num>
  <w:num w:numId="37">
    <w:abstractNumId w:val="15"/>
    <w:lvlOverride w:ilvl="0">
      <w:startOverride w:val="1"/>
    </w:lvlOverride>
  </w:num>
  <w:num w:numId="38">
    <w:abstractNumId w:val="15"/>
    <w:lvlOverride w:ilvl="0">
      <w:startOverride w:val="1"/>
    </w:lvlOverride>
  </w:num>
  <w:num w:numId="39">
    <w:abstractNumId w:val="15"/>
    <w:lvlOverride w:ilvl="0">
      <w:startOverride w:val="1"/>
    </w:lvlOverride>
  </w:num>
  <w:num w:numId="40">
    <w:abstractNumId w:val="15"/>
    <w:lvlOverride w:ilvl="0">
      <w:startOverride w:val="1"/>
    </w:lvlOverride>
  </w:num>
  <w:num w:numId="41">
    <w:abstractNumId w:val="15"/>
    <w:lvlOverride w:ilvl="0">
      <w:startOverride w:val="1"/>
    </w:lvlOverride>
  </w:num>
  <w:num w:numId="42">
    <w:abstractNumId w:val="15"/>
    <w:lvlOverride w:ilvl="0">
      <w:startOverride w:val="1"/>
    </w:lvlOverride>
  </w:num>
  <w:num w:numId="43">
    <w:abstractNumId w:val="15"/>
    <w:lvlOverride w:ilvl="0">
      <w:startOverride w:val="1"/>
    </w:lvlOverride>
  </w:num>
  <w:num w:numId="44">
    <w:abstractNumId w:val="15"/>
    <w:lvlOverride w:ilvl="0">
      <w:startOverride w:val="1"/>
    </w:lvlOverride>
  </w:num>
  <w:num w:numId="45">
    <w:abstractNumId w:val="15"/>
    <w:lvlOverride w:ilvl="0">
      <w:startOverride w:val="1"/>
    </w:lvlOverride>
  </w:num>
  <w:num w:numId="46">
    <w:abstractNumId w:val="15"/>
    <w:lvlOverride w:ilvl="0">
      <w:startOverride w:val="1"/>
    </w:lvlOverride>
  </w:num>
  <w:num w:numId="47">
    <w:abstractNumId w:val="15"/>
    <w:lvlOverride w:ilvl="0">
      <w:startOverride w:val="1"/>
    </w:lvlOverride>
  </w:num>
  <w:num w:numId="48">
    <w:abstractNumId w:val="15"/>
    <w:lvlOverride w:ilvl="0">
      <w:startOverride w:val="1"/>
    </w:lvlOverride>
  </w:num>
  <w:num w:numId="49">
    <w:abstractNumId w:val="15"/>
    <w:lvlOverride w:ilvl="0">
      <w:startOverride w:val="1"/>
    </w:lvlOverride>
  </w:num>
  <w:num w:numId="50">
    <w:abstractNumId w:val="19"/>
  </w:num>
  <w:num w:numId="51">
    <w:abstractNumId w:val="45"/>
  </w:num>
  <w:num w:numId="52">
    <w:abstractNumId w:val="15"/>
    <w:lvlOverride w:ilvl="0">
      <w:startOverride w:val="1"/>
    </w:lvlOverride>
  </w:num>
  <w:num w:numId="5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5"/>
    <w:lvlOverride w:ilvl="0">
      <w:startOverride w:val="1"/>
    </w:lvlOverride>
  </w:num>
  <w:num w:numId="55">
    <w:abstractNumId w:val="15"/>
    <w:lvlOverride w:ilvl="0">
      <w:startOverride w:val="1"/>
    </w:lvlOverride>
  </w:num>
  <w:num w:numId="56">
    <w:abstractNumId w:val="15"/>
    <w:lvlOverride w:ilvl="0">
      <w:startOverride w:val="1"/>
    </w:lvlOverride>
  </w:num>
  <w:num w:numId="57">
    <w:abstractNumId w:val="15"/>
    <w:lvlOverride w:ilvl="0">
      <w:startOverride w:val="1"/>
    </w:lvlOverride>
  </w:num>
  <w:num w:numId="58">
    <w:abstractNumId w:val="15"/>
    <w:lvlOverride w:ilvl="0">
      <w:startOverride w:val="1"/>
    </w:lvlOverride>
  </w:num>
  <w:num w:numId="59">
    <w:abstractNumId w:val="15"/>
    <w:lvlOverride w:ilvl="0">
      <w:startOverride w:val="1"/>
    </w:lvlOverride>
  </w:num>
  <w:num w:numId="60">
    <w:abstractNumId w:val="15"/>
    <w:lvlOverride w:ilvl="0">
      <w:startOverride w:val="1"/>
    </w:lvlOverride>
  </w:num>
  <w:num w:numId="61">
    <w:abstractNumId w:val="15"/>
    <w:lvlOverride w:ilvl="0">
      <w:startOverride w:val="1"/>
    </w:lvlOverride>
  </w:num>
  <w:num w:numId="62">
    <w:abstractNumId w:val="15"/>
    <w:lvlOverride w:ilvl="0">
      <w:startOverride w:val="1"/>
    </w:lvlOverride>
  </w:num>
  <w:num w:numId="63">
    <w:abstractNumId w:val="15"/>
    <w:lvlOverride w:ilvl="0">
      <w:startOverride w:val="1"/>
    </w:lvlOverride>
  </w:num>
  <w:num w:numId="64">
    <w:abstractNumId w:val="15"/>
    <w:lvlOverride w:ilvl="0">
      <w:startOverride w:val="1"/>
    </w:lvlOverride>
  </w:num>
  <w:num w:numId="65">
    <w:abstractNumId w:val="15"/>
    <w:lvlOverride w:ilvl="0">
      <w:startOverride w:val="1"/>
    </w:lvlOverride>
  </w:num>
  <w:num w:numId="66">
    <w:abstractNumId w:val="15"/>
    <w:lvlOverride w:ilvl="0">
      <w:startOverride w:val="1"/>
    </w:lvlOverride>
  </w:num>
  <w:num w:numId="67">
    <w:abstractNumId w:val="22"/>
  </w:num>
  <w:num w:numId="68">
    <w:abstractNumId w:val="15"/>
    <w:lvlOverride w:ilvl="0">
      <w:startOverride w:val="1"/>
    </w:lvlOverride>
  </w:num>
  <w:num w:numId="69">
    <w:abstractNumId w:val="15"/>
    <w:lvlOverride w:ilvl="0">
      <w:startOverride w:val="1"/>
    </w:lvlOverride>
  </w:num>
  <w:num w:numId="70">
    <w:abstractNumId w:val="15"/>
    <w:lvlOverride w:ilvl="0">
      <w:startOverride w:val="1"/>
    </w:lvlOverride>
  </w:num>
  <w:num w:numId="71">
    <w:abstractNumId w:val="15"/>
    <w:lvlOverride w:ilvl="0">
      <w:startOverride w:val="1"/>
    </w:lvlOverride>
  </w:num>
  <w:num w:numId="72">
    <w:abstractNumId w:val="22"/>
    <w:lvlOverride w:ilvl="0">
      <w:startOverride w:val="1"/>
    </w:lvlOverride>
  </w:num>
  <w:num w:numId="73">
    <w:abstractNumId w:val="15"/>
    <w:lvlOverride w:ilvl="0">
      <w:startOverride w:val="1"/>
    </w:lvlOverride>
  </w:num>
  <w:num w:numId="74">
    <w:abstractNumId w:val="15"/>
    <w:lvlOverride w:ilvl="0">
      <w:startOverride w:val="1"/>
    </w:lvlOverride>
  </w:num>
  <w:num w:numId="75">
    <w:abstractNumId w:val="15"/>
    <w:lvlOverride w:ilvl="0">
      <w:startOverride w:val="1"/>
    </w:lvlOverride>
  </w:num>
  <w:num w:numId="76">
    <w:abstractNumId w:val="15"/>
    <w:lvlOverride w:ilvl="0">
      <w:startOverride w:val="1"/>
    </w:lvlOverride>
  </w:num>
  <w:num w:numId="77">
    <w:abstractNumId w:val="15"/>
    <w:lvlOverride w:ilvl="0">
      <w:startOverride w:val="1"/>
    </w:lvlOverride>
  </w:num>
  <w:num w:numId="78">
    <w:abstractNumId w:val="15"/>
    <w:lvlOverride w:ilvl="0">
      <w:startOverride w:val="1"/>
    </w:lvlOverride>
  </w:num>
  <w:num w:numId="79">
    <w:abstractNumId w:val="15"/>
    <w:lvlOverride w:ilvl="0">
      <w:startOverride w:val="1"/>
    </w:lvlOverride>
  </w:num>
  <w:num w:numId="80">
    <w:abstractNumId w:val="15"/>
    <w:lvlOverride w:ilvl="0">
      <w:startOverride w:val="1"/>
    </w:lvlOverride>
  </w:num>
  <w:num w:numId="81">
    <w:abstractNumId w:val="15"/>
    <w:lvlOverride w:ilvl="0">
      <w:startOverride w:val="1"/>
    </w:lvlOverride>
  </w:num>
  <w:num w:numId="82">
    <w:abstractNumId w:val="15"/>
    <w:lvlOverride w:ilvl="0">
      <w:startOverride w:val="1"/>
    </w:lvlOverride>
  </w:num>
  <w:num w:numId="83">
    <w:abstractNumId w:val="15"/>
    <w:lvlOverride w:ilvl="0">
      <w:startOverride w:val="1"/>
    </w:lvlOverride>
  </w:num>
  <w:num w:numId="84">
    <w:abstractNumId w:val="15"/>
    <w:lvlOverride w:ilvl="0">
      <w:startOverride w:val="1"/>
    </w:lvlOverride>
  </w:num>
  <w:num w:numId="85">
    <w:abstractNumId w:val="15"/>
    <w:lvlOverride w:ilvl="0">
      <w:startOverride w:val="1"/>
    </w:lvlOverride>
  </w:num>
  <w:num w:numId="86">
    <w:abstractNumId w:val="15"/>
    <w:lvlOverride w:ilvl="0">
      <w:startOverride w:val="1"/>
    </w:lvlOverride>
  </w:num>
  <w:num w:numId="87">
    <w:abstractNumId w:val="15"/>
    <w:lvlOverride w:ilvl="0">
      <w:startOverride w:val="1"/>
    </w:lvlOverride>
  </w:num>
  <w:num w:numId="88">
    <w:abstractNumId w:val="15"/>
    <w:lvlOverride w:ilvl="0">
      <w:startOverride w:val="1"/>
    </w:lvlOverride>
  </w:num>
  <w:num w:numId="89">
    <w:abstractNumId w:val="27"/>
  </w:num>
  <w:num w:numId="90">
    <w:abstractNumId w:val="15"/>
    <w:lvlOverride w:ilvl="0">
      <w:lvl w:ilvl="0">
        <w:start w:val="1"/>
        <w:numFmt w:val="decimal"/>
        <w:pStyle w:val="Numerowanie"/>
        <w:lvlText w:val="%1."/>
        <w:lvlJc w:val="left"/>
        <w:pPr>
          <w:ind w:left="360" w:hanging="360"/>
        </w:pPr>
        <w:rPr>
          <w:rFonts w:hint="default"/>
          <w:b w:val="0"/>
          <w:bCs/>
        </w:r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91">
    <w:abstractNumId w:val="49"/>
  </w:num>
  <w:num w:numId="92">
    <w:abstractNumId w:val="58"/>
  </w:num>
  <w:num w:numId="93">
    <w:abstractNumId w:val="15"/>
    <w:lvlOverride w:ilvl="0">
      <w:startOverride w:val="1"/>
      <w:lvl w:ilvl="0">
        <w:start w:val="1"/>
        <w:numFmt w:val="decimal"/>
        <w:pStyle w:val="Numerowanie"/>
        <w:lvlText w:val="%1."/>
        <w:lvlJc w:val="left"/>
        <w:pPr>
          <w:ind w:left="360" w:hanging="360"/>
        </w:pPr>
        <w:rPr>
          <w:rFonts w:hint="default"/>
          <w:b w:val="0"/>
          <w:bCs/>
        </w:rPr>
      </w:lvl>
    </w:lvlOverride>
    <w:lvlOverride w:ilvl="1">
      <w:startOverride w:val="1"/>
      <w:lvl w:ilvl="1" w:tentative="1">
        <w:start w:val="1"/>
        <w:numFmt w:val="lowerLetter"/>
        <w:lvlText w:val="%2."/>
        <w:lvlJc w:val="left"/>
        <w:pPr>
          <w:ind w:left="1080" w:hanging="360"/>
        </w:pPr>
      </w:lvl>
    </w:lvlOverride>
    <w:lvlOverride w:ilvl="2">
      <w:startOverride w:val="1"/>
      <w:lvl w:ilvl="2" w:tentative="1">
        <w:start w:val="1"/>
        <w:numFmt w:val="lowerRoman"/>
        <w:lvlText w:val="%3."/>
        <w:lvlJc w:val="right"/>
        <w:pPr>
          <w:ind w:left="1800" w:hanging="180"/>
        </w:pPr>
      </w:lvl>
    </w:lvlOverride>
    <w:lvlOverride w:ilvl="3">
      <w:startOverride w:val="1"/>
      <w:lvl w:ilvl="3" w:tentative="1">
        <w:start w:val="1"/>
        <w:numFmt w:val="decimal"/>
        <w:lvlText w:val="%4."/>
        <w:lvlJc w:val="left"/>
        <w:pPr>
          <w:ind w:left="2520" w:hanging="360"/>
        </w:pPr>
      </w:lvl>
    </w:lvlOverride>
    <w:lvlOverride w:ilvl="4">
      <w:startOverride w:val="1"/>
      <w:lvl w:ilvl="4" w:tentative="1">
        <w:start w:val="1"/>
        <w:numFmt w:val="lowerLetter"/>
        <w:lvlText w:val="%5."/>
        <w:lvlJc w:val="left"/>
        <w:pPr>
          <w:ind w:left="3240" w:hanging="360"/>
        </w:pPr>
      </w:lvl>
    </w:lvlOverride>
    <w:lvlOverride w:ilvl="5">
      <w:startOverride w:val="1"/>
      <w:lvl w:ilvl="5" w:tentative="1">
        <w:start w:val="1"/>
        <w:numFmt w:val="lowerRoman"/>
        <w:lvlText w:val="%6."/>
        <w:lvlJc w:val="right"/>
        <w:pPr>
          <w:ind w:left="3960" w:hanging="180"/>
        </w:pPr>
      </w:lvl>
    </w:lvlOverride>
    <w:lvlOverride w:ilvl="6">
      <w:startOverride w:val="1"/>
      <w:lvl w:ilvl="6" w:tentative="1">
        <w:start w:val="1"/>
        <w:numFmt w:val="decimal"/>
        <w:lvlText w:val="%7."/>
        <w:lvlJc w:val="left"/>
        <w:pPr>
          <w:ind w:left="4680" w:hanging="360"/>
        </w:pPr>
      </w:lvl>
    </w:lvlOverride>
    <w:lvlOverride w:ilvl="7">
      <w:startOverride w:val="1"/>
      <w:lvl w:ilvl="7" w:tentative="1">
        <w:start w:val="1"/>
        <w:numFmt w:val="lowerLetter"/>
        <w:lvlText w:val="%8."/>
        <w:lvlJc w:val="left"/>
        <w:pPr>
          <w:ind w:left="5400" w:hanging="360"/>
        </w:pPr>
      </w:lvl>
    </w:lvlOverride>
    <w:lvlOverride w:ilvl="8">
      <w:startOverride w:val="1"/>
      <w:lvl w:ilvl="8" w:tentative="1">
        <w:start w:val="1"/>
        <w:numFmt w:val="lowerRoman"/>
        <w:lvlText w:val="%9."/>
        <w:lvlJc w:val="right"/>
        <w:pPr>
          <w:ind w:left="6120" w:hanging="180"/>
        </w:pPr>
      </w:lvl>
    </w:lvlOverride>
  </w:num>
  <w:num w:numId="94">
    <w:abstractNumId w:val="15"/>
    <w:lvlOverride w:ilvl="0">
      <w:startOverride w:val="1"/>
      <w:lvl w:ilvl="0">
        <w:start w:val="1"/>
        <w:numFmt w:val="decimal"/>
        <w:pStyle w:val="Numerowanie"/>
        <w:lvlText w:val="%1."/>
        <w:lvlJc w:val="left"/>
        <w:pPr>
          <w:ind w:left="360" w:hanging="360"/>
        </w:pPr>
        <w:rPr>
          <w:rFonts w:hint="default"/>
          <w:b w:val="0"/>
          <w:bCs/>
        </w:rPr>
      </w:lvl>
    </w:lvlOverride>
    <w:lvlOverride w:ilvl="1">
      <w:startOverride w:val="1"/>
      <w:lvl w:ilvl="1" w:tentative="1">
        <w:start w:val="1"/>
        <w:numFmt w:val="lowerLetter"/>
        <w:lvlText w:val="%2."/>
        <w:lvlJc w:val="left"/>
        <w:pPr>
          <w:ind w:left="1080" w:hanging="360"/>
        </w:pPr>
      </w:lvl>
    </w:lvlOverride>
    <w:lvlOverride w:ilvl="2">
      <w:startOverride w:val="1"/>
      <w:lvl w:ilvl="2" w:tentative="1">
        <w:start w:val="1"/>
        <w:numFmt w:val="lowerRoman"/>
        <w:lvlText w:val="%3."/>
        <w:lvlJc w:val="right"/>
        <w:pPr>
          <w:ind w:left="1800" w:hanging="180"/>
        </w:pPr>
      </w:lvl>
    </w:lvlOverride>
    <w:lvlOverride w:ilvl="3">
      <w:startOverride w:val="1"/>
      <w:lvl w:ilvl="3" w:tentative="1">
        <w:start w:val="1"/>
        <w:numFmt w:val="decimal"/>
        <w:lvlText w:val="%4."/>
        <w:lvlJc w:val="left"/>
        <w:pPr>
          <w:ind w:left="2520" w:hanging="360"/>
        </w:pPr>
      </w:lvl>
    </w:lvlOverride>
    <w:lvlOverride w:ilvl="4">
      <w:startOverride w:val="1"/>
      <w:lvl w:ilvl="4" w:tentative="1">
        <w:start w:val="1"/>
        <w:numFmt w:val="lowerLetter"/>
        <w:lvlText w:val="%5."/>
        <w:lvlJc w:val="left"/>
        <w:pPr>
          <w:ind w:left="3240" w:hanging="360"/>
        </w:pPr>
      </w:lvl>
    </w:lvlOverride>
    <w:lvlOverride w:ilvl="5">
      <w:startOverride w:val="1"/>
      <w:lvl w:ilvl="5" w:tentative="1">
        <w:start w:val="1"/>
        <w:numFmt w:val="lowerRoman"/>
        <w:lvlText w:val="%6."/>
        <w:lvlJc w:val="right"/>
        <w:pPr>
          <w:ind w:left="3960" w:hanging="180"/>
        </w:pPr>
      </w:lvl>
    </w:lvlOverride>
    <w:lvlOverride w:ilvl="6">
      <w:startOverride w:val="1"/>
      <w:lvl w:ilvl="6" w:tentative="1">
        <w:start w:val="1"/>
        <w:numFmt w:val="decimal"/>
        <w:lvlText w:val="%7."/>
        <w:lvlJc w:val="left"/>
        <w:pPr>
          <w:ind w:left="4680" w:hanging="360"/>
        </w:pPr>
      </w:lvl>
    </w:lvlOverride>
    <w:lvlOverride w:ilvl="7">
      <w:startOverride w:val="1"/>
      <w:lvl w:ilvl="7" w:tentative="1">
        <w:start w:val="1"/>
        <w:numFmt w:val="lowerLetter"/>
        <w:lvlText w:val="%8."/>
        <w:lvlJc w:val="left"/>
        <w:pPr>
          <w:ind w:left="5400" w:hanging="360"/>
        </w:pPr>
      </w:lvl>
    </w:lvlOverride>
    <w:lvlOverride w:ilvl="8">
      <w:startOverride w:val="1"/>
      <w:lvl w:ilvl="8" w:tentative="1">
        <w:start w:val="1"/>
        <w:numFmt w:val="lowerRoman"/>
        <w:lvlText w:val="%9."/>
        <w:lvlJc w:val="right"/>
        <w:pPr>
          <w:ind w:left="6120" w:hanging="180"/>
        </w:pPr>
      </w:lvl>
    </w:lvlOverride>
  </w:num>
  <w:num w:numId="95">
    <w:abstractNumId w:val="15"/>
    <w:lvlOverride w:ilvl="0">
      <w:startOverride w:val="1"/>
      <w:lvl w:ilvl="0">
        <w:start w:val="1"/>
        <w:numFmt w:val="decimal"/>
        <w:pStyle w:val="Numerowanie"/>
        <w:lvlText w:val="%1."/>
        <w:lvlJc w:val="left"/>
        <w:pPr>
          <w:ind w:left="360" w:hanging="360"/>
        </w:pPr>
        <w:rPr>
          <w:rFonts w:hint="default"/>
          <w:b w:val="0"/>
          <w:bCs/>
        </w:rPr>
      </w:lvl>
    </w:lvlOverride>
    <w:lvlOverride w:ilvl="1">
      <w:startOverride w:val="1"/>
      <w:lvl w:ilvl="1" w:tentative="1">
        <w:start w:val="1"/>
        <w:numFmt w:val="lowerLetter"/>
        <w:lvlText w:val="%2."/>
        <w:lvlJc w:val="left"/>
        <w:pPr>
          <w:ind w:left="1080" w:hanging="360"/>
        </w:pPr>
      </w:lvl>
    </w:lvlOverride>
    <w:lvlOverride w:ilvl="2">
      <w:startOverride w:val="1"/>
      <w:lvl w:ilvl="2" w:tentative="1">
        <w:start w:val="1"/>
        <w:numFmt w:val="lowerRoman"/>
        <w:lvlText w:val="%3."/>
        <w:lvlJc w:val="right"/>
        <w:pPr>
          <w:ind w:left="1800" w:hanging="180"/>
        </w:pPr>
      </w:lvl>
    </w:lvlOverride>
    <w:lvlOverride w:ilvl="3">
      <w:startOverride w:val="1"/>
      <w:lvl w:ilvl="3" w:tentative="1">
        <w:start w:val="1"/>
        <w:numFmt w:val="decimal"/>
        <w:lvlText w:val="%4."/>
        <w:lvlJc w:val="left"/>
        <w:pPr>
          <w:ind w:left="2520" w:hanging="360"/>
        </w:pPr>
      </w:lvl>
    </w:lvlOverride>
    <w:lvlOverride w:ilvl="4">
      <w:startOverride w:val="1"/>
      <w:lvl w:ilvl="4" w:tentative="1">
        <w:start w:val="1"/>
        <w:numFmt w:val="lowerLetter"/>
        <w:lvlText w:val="%5."/>
        <w:lvlJc w:val="left"/>
        <w:pPr>
          <w:ind w:left="3240" w:hanging="360"/>
        </w:pPr>
      </w:lvl>
    </w:lvlOverride>
    <w:lvlOverride w:ilvl="5">
      <w:startOverride w:val="1"/>
      <w:lvl w:ilvl="5" w:tentative="1">
        <w:start w:val="1"/>
        <w:numFmt w:val="lowerRoman"/>
        <w:lvlText w:val="%6."/>
        <w:lvlJc w:val="right"/>
        <w:pPr>
          <w:ind w:left="3960" w:hanging="180"/>
        </w:pPr>
      </w:lvl>
    </w:lvlOverride>
    <w:lvlOverride w:ilvl="6">
      <w:startOverride w:val="1"/>
      <w:lvl w:ilvl="6" w:tentative="1">
        <w:start w:val="1"/>
        <w:numFmt w:val="decimal"/>
        <w:lvlText w:val="%7."/>
        <w:lvlJc w:val="left"/>
        <w:pPr>
          <w:ind w:left="4680" w:hanging="360"/>
        </w:pPr>
      </w:lvl>
    </w:lvlOverride>
    <w:lvlOverride w:ilvl="7">
      <w:startOverride w:val="1"/>
      <w:lvl w:ilvl="7" w:tentative="1">
        <w:start w:val="1"/>
        <w:numFmt w:val="lowerLetter"/>
        <w:lvlText w:val="%8."/>
        <w:lvlJc w:val="left"/>
        <w:pPr>
          <w:ind w:left="5400" w:hanging="360"/>
        </w:pPr>
      </w:lvl>
    </w:lvlOverride>
    <w:lvlOverride w:ilvl="8">
      <w:startOverride w:val="1"/>
      <w:lvl w:ilvl="8" w:tentative="1">
        <w:start w:val="1"/>
        <w:numFmt w:val="lowerRoman"/>
        <w:lvlText w:val="%9."/>
        <w:lvlJc w:val="right"/>
        <w:pPr>
          <w:ind w:left="6120" w:hanging="180"/>
        </w:pPr>
      </w:lvl>
    </w:lvlOverride>
  </w:num>
  <w:num w:numId="96">
    <w:abstractNumId w:val="15"/>
  </w:num>
  <w:num w:numId="97">
    <w:abstractNumId w:val="55"/>
  </w:num>
  <w:num w:numId="98">
    <w:abstractNumId w:val="69"/>
  </w:num>
  <w:num w:numId="99">
    <w:abstractNumId w:val="52"/>
  </w:num>
  <w:num w:numId="100">
    <w:abstractNumId w:val="54"/>
  </w:num>
  <w:num w:numId="101">
    <w:abstractNumId w:val="42"/>
  </w:num>
  <w:num w:numId="102">
    <w:abstractNumId w:val="71"/>
  </w:num>
  <w:num w:numId="103">
    <w:abstractNumId w:val="65"/>
  </w:num>
  <w:num w:numId="104">
    <w:abstractNumId w:val="17"/>
  </w:num>
  <w:num w:numId="105">
    <w:abstractNumId w:val="21"/>
  </w:num>
  <w:num w:numId="106">
    <w:abstractNumId w:val="26"/>
  </w:num>
  <w:num w:numId="107">
    <w:abstractNumId w:val="33"/>
  </w:num>
  <w:num w:numId="108">
    <w:abstractNumId w:val="51"/>
  </w:num>
  <w:num w:numId="109">
    <w:abstractNumId w:val="20"/>
  </w:num>
  <w:num w:numId="110">
    <w:abstractNumId w:val="9"/>
  </w:num>
  <w:num w:numId="111">
    <w:abstractNumId w:val="23"/>
  </w:num>
  <w:num w:numId="112">
    <w:abstractNumId w:val="43"/>
  </w:num>
  <w:num w:numId="113">
    <w:abstractNumId w:val="6"/>
  </w:num>
  <w:num w:numId="114">
    <w:abstractNumId w:val="70"/>
  </w:num>
  <w:num w:numId="115">
    <w:abstractNumId w:val="50"/>
  </w:num>
  <w:num w:numId="116">
    <w:abstractNumId w:val="35"/>
  </w:num>
  <w:num w:numId="117">
    <w:abstractNumId w:val="11"/>
  </w:num>
  <w:num w:numId="118">
    <w:abstractNumId w:val="8"/>
  </w:num>
  <w:num w:numId="119">
    <w:abstractNumId w:val="73"/>
  </w:num>
  <w:num w:numId="120">
    <w:abstractNumId w:val="30"/>
  </w:num>
  <w:num w:numId="121">
    <w:abstractNumId w:val="37"/>
  </w:num>
  <w:num w:numId="122">
    <w:abstractNumId w:val="74"/>
  </w:num>
  <w:num w:numId="123">
    <w:abstractNumId w:val="31"/>
  </w:num>
  <w:num w:numId="124">
    <w:abstractNumId w:val="3"/>
  </w:num>
  <w:num w:numId="125">
    <w:abstractNumId w:val="28"/>
  </w:num>
  <w:num w:numId="126">
    <w:abstractNumId w:val="67"/>
  </w:num>
  <w:num w:numId="127">
    <w:abstractNumId w:val="53"/>
  </w:num>
  <w:num w:numId="128">
    <w:abstractNumId w:val="15"/>
    <w:lvlOverride w:ilvl="0">
      <w:lvl w:ilvl="0">
        <w:start w:val="1"/>
        <w:numFmt w:val="decimal"/>
        <w:pStyle w:val="Numerowanie"/>
        <w:lvlText w:val="%1."/>
        <w:lvlJc w:val="left"/>
        <w:pPr>
          <w:ind w:left="360" w:hanging="360"/>
        </w:pPr>
        <w:rPr>
          <w:rFonts w:hint="default"/>
          <w:b w:val="0"/>
          <w:bCs/>
        </w:r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129">
    <w:abstractNumId w:val="15"/>
    <w:lvlOverride w:ilvl="0">
      <w:lvl w:ilvl="0">
        <w:start w:val="1"/>
        <w:numFmt w:val="decimal"/>
        <w:pStyle w:val="Numerowanie"/>
        <w:lvlText w:val="%1."/>
        <w:lvlJc w:val="left"/>
        <w:pPr>
          <w:ind w:left="360" w:hanging="360"/>
        </w:pPr>
        <w:rPr>
          <w:rFonts w:hint="default"/>
          <w:b w:val="0"/>
          <w:bCs/>
        </w:r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130">
    <w:abstractNumId w:val="47"/>
  </w:num>
  <w:num w:numId="131">
    <w:abstractNumId w:val="32"/>
  </w:num>
  <w:num w:numId="132">
    <w:abstractNumId w:val="38"/>
  </w:num>
  <w:num w:numId="133">
    <w:abstractNumId w:val="48"/>
  </w:num>
  <w:num w:numId="13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hideSpelling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134"/>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U0NTQ2MTUzNjEzMrBU0lEKTi0uzszPAykwrAUAKjzCqSwAAAA="/>
  </w:docVars>
  <w:rsids>
    <w:rsidRoot w:val="00A377DE"/>
    <w:rsid w:val="0000029B"/>
    <w:rsid w:val="0000030A"/>
    <w:rsid w:val="00000390"/>
    <w:rsid w:val="00000446"/>
    <w:rsid w:val="0000045D"/>
    <w:rsid w:val="000004BC"/>
    <w:rsid w:val="000004C2"/>
    <w:rsid w:val="00000670"/>
    <w:rsid w:val="00000671"/>
    <w:rsid w:val="0000070F"/>
    <w:rsid w:val="000009E3"/>
    <w:rsid w:val="000009E4"/>
    <w:rsid w:val="00000AD7"/>
    <w:rsid w:val="00000D7E"/>
    <w:rsid w:val="00000FA0"/>
    <w:rsid w:val="000014C1"/>
    <w:rsid w:val="000018A2"/>
    <w:rsid w:val="00001924"/>
    <w:rsid w:val="00001AD0"/>
    <w:rsid w:val="00001B53"/>
    <w:rsid w:val="00001BEE"/>
    <w:rsid w:val="00001C92"/>
    <w:rsid w:val="00001CBF"/>
    <w:rsid w:val="00001F04"/>
    <w:rsid w:val="000020FD"/>
    <w:rsid w:val="0000233F"/>
    <w:rsid w:val="000025B2"/>
    <w:rsid w:val="00002BEA"/>
    <w:rsid w:val="0000340A"/>
    <w:rsid w:val="000035CB"/>
    <w:rsid w:val="000035FF"/>
    <w:rsid w:val="000039B3"/>
    <w:rsid w:val="00003ACD"/>
    <w:rsid w:val="0000408E"/>
    <w:rsid w:val="0000423C"/>
    <w:rsid w:val="000043B4"/>
    <w:rsid w:val="0000444A"/>
    <w:rsid w:val="000044F3"/>
    <w:rsid w:val="00004565"/>
    <w:rsid w:val="000046B6"/>
    <w:rsid w:val="00004830"/>
    <w:rsid w:val="00004AC1"/>
    <w:rsid w:val="00004CDE"/>
    <w:rsid w:val="0000508D"/>
    <w:rsid w:val="000052A6"/>
    <w:rsid w:val="00005463"/>
    <w:rsid w:val="00005688"/>
    <w:rsid w:val="0000573C"/>
    <w:rsid w:val="00005845"/>
    <w:rsid w:val="00005ABA"/>
    <w:rsid w:val="00005D06"/>
    <w:rsid w:val="00005E83"/>
    <w:rsid w:val="00006229"/>
    <w:rsid w:val="00006369"/>
    <w:rsid w:val="000063EE"/>
    <w:rsid w:val="000064EF"/>
    <w:rsid w:val="00006539"/>
    <w:rsid w:val="000067B3"/>
    <w:rsid w:val="0000688D"/>
    <w:rsid w:val="000069CD"/>
    <w:rsid w:val="00006CCD"/>
    <w:rsid w:val="00006F40"/>
    <w:rsid w:val="00007487"/>
    <w:rsid w:val="00007580"/>
    <w:rsid w:val="000075B5"/>
    <w:rsid w:val="00007980"/>
    <w:rsid w:val="000079B5"/>
    <w:rsid w:val="00007AE7"/>
    <w:rsid w:val="00010079"/>
    <w:rsid w:val="000102A5"/>
    <w:rsid w:val="0001043D"/>
    <w:rsid w:val="0001058B"/>
    <w:rsid w:val="00010608"/>
    <w:rsid w:val="0001070B"/>
    <w:rsid w:val="000108A0"/>
    <w:rsid w:val="00010A18"/>
    <w:rsid w:val="00010A40"/>
    <w:rsid w:val="00010DD9"/>
    <w:rsid w:val="00010DF1"/>
    <w:rsid w:val="000111EC"/>
    <w:rsid w:val="00011394"/>
    <w:rsid w:val="000113F6"/>
    <w:rsid w:val="00011426"/>
    <w:rsid w:val="0001156D"/>
    <w:rsid w:val="000117C8"/>
    <w:rsid w:val="00011A6C"/>
    <w:rsid w:val="00011ACA"/>
    <w:rsid w:val="00011B1B"/>
    <w:rsid w:val="00011B33"/>
    <w:rsid w:val="00011B36"/>
    <w:rsid w:val="00011C22"/>
    <w:rsid w:val="00011DDD"/>
    <w:rsid w:val="00011F78"/>
    <w:rsid w:val="00012298"/>
    <w:rsid w:val="000123AA"/>
    <w:rsid w:val="0001265E"/>
    <w:rsid w:val="00012805"/>
    <w:rsid w:val="0001283B"/>
    <w:rsid w:val="00012AB2"/>
    <w:rsid w:val="00012DF5"/>
    <w:rsid w:val="0001319D"/>
    <w:rsid w:val="000135C3"/>
    <w:rsid w:val="00013629"/>
    <w:rsid w:val="00013A78"/>
    <w:rsid w:val="00013A8B"/>
    <w:rsid w:val="00013AA9"/>
    <w:rsid w:val="00013C73"/>
    <w:rsid w:val="00013C9D"/>
    <w:rsid w:val="000142C2"/>
    <w:rsid w:val="000142EB"/>
    <w:rsid w:val="00014382"/>
    <w:rsid w:val="000143FD"/>
    <w:rsid w:val="00014685"/>
    <w:rsid w:val="00014933"/>
    <w:rsid w:val="000149A6"/>
    <w:rsid w:val="00014ADB"/>
    <w:rsid w:val="00014B68"/>
    <w:rsid w:val="0001504A"/>
    <w:rsid w:val="00015078"/>
    <w:rsid w:val="00015299"/>
    <w:rsid w:val="0001569A"/>
    <w:rsid w:val="00015D34"/>
    <w:rsid w:val="00015E50"/>
    <w:rsid w:val="00015EC1"/>
    <w:rsid w:val="000160C3"/>
    <w:rsid w:val="00016391"/>
    <w:rsid w:val="00016419"/>
    <w:rsid w:val="0001658F"/>
    <w:rsid w:val="000166C8"/>
    <w:rsid w:val="000166D9"/>
    <w:rsid w:val="00016949"/>
    <w:rsid w:val="0001697A"/>
    <w:rsid w:val="00016A41"/>
    <w:rsid w:val="00016AC4"/>
    <w:rsid w:val="00016C43"/>
    <w:rsid w:val="00016CC3"/>
    <w:rsid w:val="00016CE0"/>
    <w:rsid w:val="00017073"/>
    <w:rsid w:val="000172C3"/>
    <w:rsid w:val="00017371"/>
    <w:rsid w:val="00017438"/>
    <w:rsid w:val="0001748C"/>
    <w:rsid w:val="000174CB"/>
    <w:rsid w:val="0001750E"/>
    <w:rsid w:val="0001763B"/>
    <w:rsid w:val="000178CC"/>
    <w:rsid w:val="00017AB4"/>
    <w:rsid w:val="00017CA6"/>
    <w:rsid w:val="0002015B"/>
    <w:rsid w:val="0002039C"/>
    <w:rsid w:val="000205E2"/>
    <w:rsid w:val="0002072C"/>
    <w:rsid w:val="00020731"/>
    <w:rsid w:val="00020975"/>
    <w:rsid w:val="00020C4D"/>
    <w:rsid w:val="00020CBF"/>
    <w:rsid w:val="00020D5D"/>
    <w:rsid w:val="00020DC7"/>
    <w:rsid w:val="00020E4F"/>
    <w:rsid w:val="00021286"/>
    <w:rsid w:val="000212DC"/>
    <w:rsid w:val="0002133B"/>
    <w:rsid w:val="0002133D"/>
    <w:rsid w:val="000214FB"/>
    <w:rsid w:val="000215BD"/>
    <w:rsid w:val="000219BE"/>
    <w:rsid w:val="00021EA8"/>
    <w:rsid w:val="00022389"/>
    <w:rsid w:val="00022503"/>
    <w:rsid w:val="00022614"/>
    <w:rsid w:val="0002298F"/>
    <w:rsid w:val="00022E61"/>
    <w:rsid w:val="00022E85"/>
    <w:rsid w:val="00022F54"/>
    <w:rsid w:val="00023690"/>
    <w:rsid w:val="00023E45"/>
    <w:rsid w:val="00024125"/>
    <w:rsid w:val="0002451C"/>
    <w:rsid w:val="000247A0"/>
    <w:rsid w:val="00024A0A"/>
    <w:rsid w:val="00024A38"/>
    <w:rsid w:val="00024AF6"/>
    <w:rsid w:val="00024B53"/>
    <w:rsid w:val="00024C2A"/>
    <w:rsid w:val="000251E8"/>
    <w:rsid w:val="0002555C"/>
    <w:rsid w:val="00025573"/>
    <w:rsid w:val="0002578F"/>
    <w:rsid w:val="000257F8"/>
    <w:rsid w:val="00025AAA"/>
    <w:rsid w:val="00025D48"/>
    <w:rsid w:val="00025DE3"/>
    <w:rsid w:val="00025E8D"/>
    <w:rsid w:val="00025EE0"/>
    <w:rsid w:val="00025F07"/>
    <w:rsid w:val="00025F75"/>
    <w:rsid w:val="0002604D"/>
    <w:rsid w:val="000265E3"/>
    <w:rsid w:val="00026D72"/>
    <w:rsid w:val="00026D84"/>
    <w:rsid w:val="00026FA9"/>
    <w:rsid w:val="000270C5"/>
    <w:rsid w:val="00027273"/>
    <w:rsid w:val="0002727E"/>
    <w:rsid w:val="00027623"/>
    <w:rsid w:val="0002795B"/>
    <w:rsid w:val="000279B9"/>
    <w:rsid w:val="00027AE6"/>
    <w:rsid w:val="00027D03"/>
    <w:rsid w:val="00027F9F"/>
    <w:rsid w:val="000300E9"/>
    <w:rsid w:val="000302DF"/>
    <w:rsid w:val="000303F4"/>
    <w:rsid w:val="0003044F"/>
    <w:rsid w:val="0003066D"/>
    <w:rsid w:val="000306AD"/>
    <w:rsid w:val="000306F6"/>
    <w:rsid w:val="0003071E"/>
    <w:rsid w:val="000307E9"/>
    <w:rsid w:val="000308F2"/>
    <w:rsid w:val="00030ED9"/>
    <w:rsid w:val="00030F64"/>
    <w:rsid w:val="000315B2"/>
    <w:rsid w:val="00031E39"/>
    <w:rsid w:val="00031EED"/>
    <w:rsid w:val="00032177"/>
    <w:rsid w:val="000325F1"/>
    <w:rsid w:val="0003274E"/>
    <w:rsid w:val="00032875"/>
    <w:rsid w:val="00032C11"/>
    <w:rsid w:val="00032D30"/>
    <w:rsid w:val="00032E6C"/>
    <w:rsid w:val="00032EC7"/>
    <w:rsid w:val="00033026"/>
    <w:rsid w:val="000331D4"/>
    <w:rsid w:val="000333D5"/>
    <w:rsid w:val="0003340E"/>
    <w:rsid w:val="00033454"/>
    <w:rsid w:val="00033B23"/>
    <w:rsid w:val="00033F17"/>
    <w:rsid w:val="00034027"/>
    <w:rsid w:val="00034177"/>
    <w:rsid w:val="00034805"/>
    <w:rsid w:val="00034830"/>
    <w:rsid w:val="000349BF"/>
    <w:rsid w:val="00034DB6"/>
    <w:rsid w:val="00035198"/>
    <w:rsid w:val="000351CE"/>
    <w:rsid w:val="0003531A"/>
    <w:rsid w:val="00035453"/>
    <w:rsid w:val="000356E9"/>
    <w:rsid w:val="0003590E"/>
    <w:rsid w:val="00035B54"/>
    <w:rsid w:val="00035C5D"/>
    <w:rsid w:val="00035C66"/>
    <w:rsid w:val="000360BA"/>
    <w:rsid w:val="000362E6"/>
    <w:rsid w:val="0003632E"/>
    <w:rsid w:val="000363E1"/>
    <w:rsid w:val="000364B9"/>
    <w:rsid w:val="00036530"/>
    <w:rsid w:val="00036628"/>
    <w:rsid w:val="00036701"/>
    <w:rsid w:val="000369C2"/>
    <w:rsid w:val="00036A35"/>
    <w:rsid w:val="00036A5F"/>
    <w:rsid w:val="00036CC7"/>
    <w:rsid w:val="00036CE0"/>
    <w:rsid w:val="00036EB2"/>
    <w:rsid w:val="0003705F"/>
    <w:rsid w:val="00037228"/>
    <w:rsid w:val="000374DD"/>
    <w:rsid w:val="000376C9"/>
    <w:rsid w:val="00037E48"/>
    <w:rsid w:val="00040298"/>
    <w:rsid w:val="00040728"/>
    <w:rsid w:val="00040934"/>
    <w:rsid w:val="00040A7A"/>
    <w:rsid w:val="00040BB6"/>
    <w:rsid w:val="00040E91"/>
    <w:rsid w:val="00040F53"/>
    <w:rsid w:val="00041024"/>
    <w:rsid w:val="000412D6"/>
    <w:rsid w:val="0004179F"/>
    <w:rsid w:val="00041ABA"/>
    <w:rsid w:val="00041AC6"/>
    <w:rsid w:val="00041D10"/>
    <w:rsid w:val="00042164"/>
    <w:rsid w:val="000421A7"/>
    <w:rsid w:val="0004240F"/>
    <w:rsid w:val="000426F9"/>
    <w:rsid w:val="00042978"/>
    <w:rsid w:val="00042B91"/>
    <w:rsid w:val="00042BCB"/>
    <w:rsid w:val="00042D2F"/>
    <w:rsid w:val="00042F3D"/>
    <w:rsid w:val="000432C7"/>
    <w:rsid w:val="00043369"/>
    <w:rsid w:val="00043722"/>
    <w:rsid w:val="00043A61"/>
    <w:rsid w:val="00043E2D"/>
    <w:rsid w:val="000442A8"/>
    <w:rsid w:val="00044350"/>
    <w:rsid w:val="00044378"/>
    <w:rsid w:val="0004437D"/>
    <w:rsid w:val="0004439F"/>
    <w:rsid w:val="00044477"/>
    <w:rsid w:val="000447E7"/>
    <w:rsid w:val="0004492B"/>
    <w:rsid w:val="00044952"/>
    <w:rsid w:val="00044A9B"/>
    <w:rsid w:val="00044BBA"/>
    <w:rsid w:val="00044FB1"/>
    <w:rsid w:val="00045160"/>
    <w:rsid w:val="0004541A"/>
    <w:rsid w:val="0004541C"/>
    <w:rsid w:val="00045810"/>
    <w:rsid w:val="000458A5"/>
    <w:rsid w:val="00045962"/>
    <w:rsid w:val="000459A4"/>
    <w:rsid w:val="000464F8"/>
    <w:rsid w:val="00046623"/>
    <w:rsid w:val="00046736"/>
    <w:rsid w:val="00046828"/>
    <w:rsid w:val="000469D1"/>
    <w:rsid w:val="00046C29"/>
    <w:rsid w:val="00046CC8"/>
    <w:rsid w:val="00046CCC"/>
    <w:rsid w:val="00047161"/>
    <w:rsid w:val="00047727"/>
    <w:rsid w:val="000479FE"/>
    <w:rsid w:val="00047C3C"/>
    <w:rsid w:val="00047D5E"/>
    <w:rsid w:val="00047DA0"/>
    <w:rsid w:val="00050036"/>
    <w:rsid w:val="000500AE"/>
    <w:rsid w:val="000501EE"/>
    <w:rsid w:val="0005041F"/>
    <w:rsid w:val="000504C5"/>
    <w:rsid w:val="00050736"/>
    <w:rsid w:val="0005083A"/>
    <w:rsid w:val="00050945"/>
    <w:rsid w:val="000509AE"/>
    <w:rsid w:val="00050C45"/>
    <w:rsid w:val="00050CC2"/>
    <w:rsid w:val="00050E22"/>
    <w:rsid w:val="00051176"/>
    <w:rsid w:val="000512A8"/>
    <w:rsid w:val="000514DE"/>
    <w:rsid w:val="000515C9"/>
    <w:rsid w:val="00051C33"/>
    <w:rsid w:val="00051E8E"/>
    <w:rsid w:val="000521AD"/>
    <w:rsid w:val="000522D4"/>
    <w:rsid w:val="00052337"/>
    <w:rsid w:val="00052435"/>
    <w:rsid w:val="00052609"/>
    <w:rsid w:val="000527AD"/>
    <w:rsid w:val="000528C0"/>
    <w:rsid w:val="00052930"/>
    <w:rsid w:val="00052952"/>
    <w:rsid w:val="0005299D"/>
    <w:rsid w:val="0005299E"/>
    <w:rsid w:val="00052C37"/>
    <w:rsid w:val="000533AF"/>
    <w:rsid w:val="000533DE"/>
    <w:rsid w:val="00053557"/>
    <w:rsid w:val="00053756"/>
    <w:rsid w:val="00053DF8"/>
    <w:rsid w:val="000542A5"/>
    <w:rsid w:val="000546AD"/>
    <w:rsid w:val="00054719"/>
    <w:rsid w:val="00054E91"/>
    <w:rsid w:val="00054E96"/>
    <w:rsid w:val="0005507E"/>
    <w:rsid w:val="000553C6"/>
    <w:rsid w:val="0005540C"/>
    <w:rsid w:val="0005541D"/>
    <w:rsid w:val="0005547D"/>
    <w:rsid w:val="000554C9"/>
    <w:rsid w:val="000554F0"/>
    <w:rsid w:val="00055550"/>
    <w:rsid w:val="0005555E"/>
    <w:rsid w:val="00055681"/>
    <w:rsid w:val="00055773"/>
    <w:rsid w:val="000557DD"/>
    <w:rsid w:val="0005587C"/>
    <w:rsid w:val="00055982"/>
    <w:rsid w:val="0005599D"/>
    <w:rsid w:val="00055E86"/>
    <w:rsid w:val="00055F6D"/>
    <w:rsid w:val="0005606D"/>
    <w:rsid w:val="00056309"/>
    <w:rsid w:val="0005635C"/>
    <w:rsid w:val="00056449"/>
    <w:rsid w:val="000565B7"/>
    <w:rsid w:val="00056667"/>
    <w:rsid w:val="00056C7E"/>
    <w:rsid w:val="00056C7F"/>
    <w:rsid w:val="00057369"/>
    <w:rsid w:val="00057448"/>
    <w:rsid w:val="00057580"/>
    <w:rsid w:val="00057667"/>
    <w:rsid w:val="000576B5"/>
    <w:rsid w:val="00057772"/>
    <w:rsid w:val="000578F4"/>
    <w:rsid w:val="00057947"/>
    <w:rsid w:val="00057D5C"/>
    <w:rsid w:val="00060026"/>
    <w:rsid w:val="000603F6"/>
    <w:rsid w:val="000603FD"/>
    <w:rsid w:val="0006089C"/>
    <w:rsid w:val="0006099B"/>
    <w:rsid w:val="000609D1"/>
    <w:rsid w:val="00060D92"/>
    <w:rsid w:val="00060E6A"/>
    <w:rsid w:val="0006115A"/>
    <w:rsid w:val="00061361"/>
    <w:rsid w:val="00061365"/>
    <w:rsid w:val="00061491"/>
    <w:rsid w:val="0006165A"/>
    <w:rsid w:val="00061A8B"/>
    <w:rsid w:val="00061CD8"/>
    <w:rsid w:val="00062077"/>
    <w:rsid w:val="000620E7"/>
    <w:rsid w:val="0006224F"/>
    <w:rsid w:val="00062407"/>
    <w:rsid w:val="000624A5"/>
    <w:rsid w:val="0006251B"/>
    <w:rsid w:val="000625B2"/>
    <w:rsid w:val="00062847"/>
    <w:rsid w:val="00062A80"/>
    <w:rsid w:val="00062D9B"/>
    <w:rsid w:val="00062EA7"/>
    <w:rsid w:val="00063030"/>
    <w:rsid w:val="00063293"/>
    <w:rsid w:val="000634BA"/>
    <w:rsid w:val="000635A2"/>
    <w:rsid w:val="000636D7"/>
    <w:rsid w:val="00063801"/>
    <w:rsid w:val="0006396D"/>
    <w:rsid w:val="00063A50"/>
    <w:rsid w:val="00063B4C"/>
    <w:rsid w:val="00063CE6"/>
    <w:rsid w:val="00063FC7"/>
    <w:rsid w:val="00064334"/>
    <w:rsid w:val="0006455C"/>
    <w:rsid w:val="000645EA"/>
    <w:rsid w:val="00064748"/>
    <w:rsid w:val="000649D4"/>
    <w:rsid w:val="00064AE0"/>
    <w:rsid w:val="00064BAF"/>
    <w:rsid w:val="00064C65"/>
    <w:rsid w:val="00064E5A"/>
    <w:rsid w:val="00065276"/>
    <w:rsid w:val="00065291"/>
    <w:rsid w:val="000653AF"/>
    <w:rsid w:val="000654CD"/>
    <w:rsid w:val="00065751"/>
    <w:rsid w:val="00065762"/>
    <w:rsid w:val="0006587B"/>
    <w:rsid w:val="0006594D"/>
    <w:rsid w:val="000659E8"/>
    <w:rsid w:val="00065A35"/>
    <w:rsid w:val="00065ACD"/>
    <w:rsid w:val="00065BDC"/>
    <w:rsid w:val="00065E42"/>
    <w:rsid w:val="00065F2E"/>
    <w:rsid w:val="00066063"/>
    <w:rsid w:val="0006610E"/>
    <w:rsid w:val="00066119"/>
    <w:rsid w:val="000663C4"/>
    <w:rsid w:val="00066648"/>
    <w:rsid w:val="000666C1"/>
    <w:rsid w:val="0006678C"/>
    <w:rsid w:val="000669E8"/>
    <w:rsid w:val="00066CB7"/>
    <w:rsid w:val="00066D1D"/>
    <w:rsid w:val="00066E0A"/>
    <w:rsid w:val="000670FC"/>
    <w:rsid w:val="00067207"/>
    <w:rsid w:val="00067464"/>
    <w:rsid w:val="0006750E"/>
    <w:rsid w:val="00067539"/>
    <w:rsid w:val="00067A9D"/>
    <w:rsid w:val="00067BC0"/>
    <w:rsid w:val="00067C7E"/>
    <w:rsid w:val="00067CAD"/>
    <w:rsid w:val="00070226"/>
    <w:rsid w:val="0007034A"/>
    <w:rsid w:val="0007084D"/>
    <w:rsid w:val="000708E9"/>
    <w:rsid w:val="00070C54"/>
    <w:rsid w:val="00070DA9"/>
    <w:rsid w:val="00070EAD"/>
    <w:rsid w:val="0007103D"/>
    <w:rsid w:val="0007106E"/>
    <w:rsid w:val="000712DF"/>
    <w:rsid w:val="00071343"/>
    <w:rsid w:val="0007145C"/>
    <w:rsid w:val="0007145D"/>
    <w:rsid w:val="000714BF"/>
    <w:rsid w:val="000717B7"/>
    <w:rsid w:val="00071927"/>
    <w:rsid w:val="00071991"/>
    <w:rsid w:val="00071AA7"/>
    <w:rsid w:val="00071BBB"/>
    <w:rsid w:val="00071C01"/>
    <w:rsid w:val="00071C33"/>
    <w:rsid w:val="00071D4B"/>
    <w:rsid w:val="00071EE8"/>
    <w:rsid w:val="00072029"/>
    <w:rsid w:val="000727D8"/>
    <w:rsid w:val="00072D63"/>
    <w:rsid w:val="00072F6C"/>
    <w:rsid w:val="0007309F"/>
    <w:rsid w:val="00073368"/>
    <w:rsid w:val="00073421"/>
    <w:rsid w:val="00073599"/>
    <w:rsid w:val="000736B7"/>
    <w:rsid w:val="00073B1E"/>
    <w:rsid w:val="00073B41"/>
    <w:rsid w:val="00073BAB"/>
    <w:rsid w:val="00073C9D"/>
    <w:rsid w:val="00073CFA"/>
    <w:rsid w:val="00073D7C"/>
    <w:rsid w:val="00073EDB"/>
    <w:rsid w:val="0007405D"/>
    <w:rsid w:val="000741FC"/>
    <w:rsid w:val="000742E8"/>
    <w:rsid w:val="0007490A"/>
    <w:rsid w:val="00074AA0"/>
    <w:rsid w:val="00074BBF"/>
    <w:rsid w:val="00074D72"/>
    <w:rsid w:val="00074D90"/>
    <w:rsid w:val="00074E3F"/>
    <w:rsid w:val="00074E95"/>
    <w:rsid w:val="00075010"/>
    <w:rsid w:val="000753AB"/>
    <w:rsid w:val="00075654"/>
    <w:rsid w:val="000757F0"/>
    <w:rsid w:val="00075849"/>
    <w:rsid w:val="00075974"/>
    <w:rsid w:val="000760E6"/>
    <w:rsid w:val="00076236"/>
    <w:rsid w:val="000763A0"/>
    <w:rsid w:val="00076411"/>
    <w:rsid w:val="00076432"/>
    <w:rsid w:val="000765CF"/>
    <w:rsid w:val="000765F6"/>
    <w:rsid w:val="00076A3D"/>
    <w:rsid w:val="00076B6A"/>
    <w:rsid w:val="00076BC9"/>
    <w:rsid w:val="00076EE5"/>
    <w:rsid w:val="00077193"/>
    <w:rsid w:val="00077346"/>
    <w:rsid w:val="000773E0"/>
    <w:rsid w:val="00077402"/>
    <w:rsid w:val="000775BA"/>
    <w:rsid w:val="0007765C"/>
    <w:rsid w:val="0007769E"/>
    <w:rsid w:val="00077798"/>
    <w:rsid w:val="000779FE"/>
    <w:rsid w:val="00077F5F"/>
    <w:rsid w:val="000802C2"/>
    <w:rsid w:val="000804E3"/>
    <w:rsid w:val="00080745"/>
    <w:rsid w:val="00080DDE"/>
    <w:rsid w:val="00080E5B"/>
    <w:rsid w:val="00080F71"/>
    <w:rsid w:val="00081085"/>
    <w:rsid w:val="000811D2"/>
    <w:rsid w:val="00081216"/>
    <w:rsid w:val="00081489"/>
    <w:rsid w:val="000815D3"/>
    <w:rsid w:val="00081658"/>
    <w:rsid w:val="000816D9"/>
    <w:rsid w:val="00081AE1"/>
    <w:rsid w:val="00081CD6"/>
    <w:rsid w:val="0008203A"/>
    <w:rsid w:val="000821A3"/>
    <w:rsid w:val="0008238C"/>
    <w:rsid w:val="00082823"/>
    <w:rsid w:val="00082ACC"/>
    <w:rsid w:val="00082C37"/>
    <w:rsid w:val="00082CAA"/>
    <w:rsid w:val="00082CC0"/>
    <w:rsid w:val="00083143"/>
    <w:rsid w:val="000835C4"/>
    <w:rsid w:val="00083B13"/>
    <w:rsid w:val="00083C08"/>
    <w:rsid w:val="00083E19"/>
    <w:rsid w:val="00083E7F"/>
    <w:rsid w:val="00083EAD"/>
    <w:rsid w:val="0008401C"/>
    <w:rsid w:val="000840A3"/>
    <w:rsid w:val="00084BA1"/>
    <w:rsid w:val="00084C80"/>
    <w:rsid w:val="00084EEF"/>
    <w:rsid w:val="00084F9D"/>
    <w:rsid w:val="0008502B"/>
    <w:rsid w:val="00085097"/>
    <w:rsid w:val="000850D6"/>
    <w:rsid w:val="00085378"/>
    <w:rsid w:val="00085669"/>
    <w:rsid w:val="000856DA"/>
    <w:rsid w:val="000859C6"/>
    <w:rsid w:val="00085D6B"/>
    <w:rsid w:val="0008609B"/>
    <w:rsid w:val="0008609C"/>
    <w:rsid w:val="000860A1"/>
    <w:rsid w:val="00086243"/>
    <w:rsid w:val="00086789"/>
    <w:rsid w:val="0008699C"/>
    <w:rsid w:val="0008699F"/>
    <w:rsid w:val="000869C3"/>
    <w:rsid w:val="000869FD"/>
    <w:rsid w:val="00086B7A"/>
    <w:rsid w:val="00086BC2"/>
    <w:rsid w:val="00086CA2"/>
    <w:rsid w:val="00086CD8"/>
    <w:rsid w:val="00086D31"/>
    <w:rsid w:val="00086D86"/>
    <w:rsid w:val="00087537"/>
    <w:rsid w:val="00087543"/>
    <w:rsid w:val="000875D4"/>
    <w:rsid w:val="00087608"/>
    <w:rsid w:val="0008774B"/>
    <w:rsid w:val="00087812"/>
    <w:rsid w:val="0008792C"/>
    <w:rsid w:val="00087A12"/>
    <w:rsid w:val="00087BD5"/>
    <w:rsid w:val="00087FCE"/>
    <w:rsid w:val="0009015E"/>
    <w:rsid w:val="0009018D"/>
    <w:rsid w:val="000901E4"/>
    <w:rsid w:val="000901EE"/>
    <w:rsid w:val="000903C1"/>
    <w:rsid w:val="0009051F"/>
    <w:rsid w:val="00090737"/>
    <w:rsid w:val="000909ED"/>
    <w:rsid w:val="00090B10"/>
    <w:rsid w:val="00090C70"/>
    <w:rsid w:val="00090F43"/>
    <w:rsid w:val="00090F50"/>
    <w:rsid w:val="000914BA"/>
    <w:rsid w:val="00091540"/>
    <w:rsid w:val="000915CB"/>
    <w:rsid w:val="00091871"/>
    <w:rsid w:val="000919EF"/>
    <w:rsid w:val="00091B1D"/>
    <w:rsid w:val="00091D05"/>
    <w:rsid w:val="00091E89"/>
    <w:rsid w:val="00091F5E"/>
    <w:rsid w:val="00091FC5"/>
    <w:rsid w:val="00091FD1"/>
    <w:rsid w:val="000926B3"/>
    <w:rsid w:val="000929C5"/>
    <w:rsid w:val="00092C3F"/>
    <w:rsid w:val="00092E28"/>
    <w:rsid w:val="00092F24"/>
    <w:rsid w:val="00092F81"/>
    <w:rsid w:val="00093059"/>
    <w:rsid w:val="0009313B"/>
    <w:rsid w:val="00093441"/>
    <w:rsid w:val="00093591"/>
    <w:rsid w:val="00093608"/>
    <w:rsid w:val="0009366F"/>
    <w:rsid w:val="00093682"/>
    <w:rsid w:val="0009370C"/>
    <w:rsid w:val="0009370E"/>
    <w:rsid w:val="00093895"/>
    <w:rsid w:val="00093902"/>
    <w:rsid w:val="00093936"/>
    <w:rsid w:val="00093977"/>
    <w:rsid w:val="00093986"/>
    <w:rsid w:val="000939AC"/>
    <w:rsid w:val="00093A45"/>
    <w:rsid w:val="00093C42"/>
    <w:rsid w:val="00093CF9"/>
    <w:rsid w:val="00093DB1"/>
    <w:rsid w:val="00093F55"/>
    <w:rsid w:val="0009474D"/>
    <w:rsid w:val="0009481D"/>
    <w:rsid w:val="00094920"/>
    <w:rsid w:val="00094DA7"/>
    <w:rsid w:val="00095068"/>
    <w:rsid w:val="000955DA"/>
    <w:rsid w:val="0009563D"/>
    <w:rsid w:val="0009570C"/>
    <w:rsid w:val="000957D9"/>
    <w:rsid w:val="00095DAE"/>
    <w:rsid w:val="00095DCB"/>
    <w:rsid w:val="00096112"/>
    <w:rsid w:val="00096177"/>
    <w:rsid w:val="000962F7"/>
    <w:rsid w:val="000964B1"/>
    <w:rsid w:val="000965EB"/>
    <w:rsid w:val="0009669D"/>
    <w:rsid w:val="000966F7"/>
    <w:rsid w:val="000967C6"/>
    <w:rsid w:val="00096A88"/>
    <w:rsid w:val="00096B17"/>
    <w:rsid w:val="00096C0A"/>
    <w:rsid w:val="00096D29"/>
    <w:rsid w:val="0009725B"/>
    <w:rsid w:val="000973FE"/>
    <w:rsid w:val="0009747A"/>
    <w:rsid w:val="00097528"/>
    <w:rsid w:val="000975AD"/>
    <w:rsid w:val="00097D81"/>
    <w:rsid w:val="000A00B0"/>
    <w:rsid w:val="000A03D2"/>
    <w:rsid w:val="000A0592"/>
    <w:rsid w:val="000A0605"/>
    <w:rsid w:val="000A0C88"/>
    <w:rsid w:val="000A0D81"/>
    <w:rsid w:val="000A0F4D"/>
    <w:rsid w:val="000A1137"/>
    <w:rsid w:val="000A130D"/>
    <w:rsid w:val="000A16A6"/>
    <w:rsid w:val="000A1753"/>
    <w:rsid w:val="000A185C"/>
    <w:rsid w:val="000A1877"/>
    <w:rsid w:val="000A189B"/>
    <w:rsid w:val="000A1A27"/>
    <w:rsid w:val="000A1B09"/>
    <w:rsid w:val="000A1BBB"/>
    <w:rsid w:val="000A1BC1"/>
    <w:rsid w:val="000A1C4B"/>
    <w:rsid w:val="000A1C6A"/>
    <w:rsid w:val="000A2111"/>
    <w:rsid w:val="000A217D"/>
    <w:rsid w:val="000A2233"/>
    <w:rsid w:val="000A24AD"/>
    <w:rsid w:val="000A27DD"/>
    <w:rsid w:val="000A29E7"/>
    <w:rsid w:val="000A2AAC"/>
    <w:rsid w:val="000A2AAF"/>
    <w:rsid w:val="000A2B06"/>
    <w:rsid w:val="000A2D97"/>
    <w:rsid w:val="000A2EDC"/>
    <w:rsid w:val="000A3078"/>
    <w:rsid w:val="000A3185"/>
    <w:rsid w:val="000A31A5"/>
    <w:rsid w:val="000A3220"/>
    <w:rsid w:val="000A32CE"/>
    <w:rsid w:val="000A3372"/>
    <w:rsid w:val="000A37A2"/>
    <w:rsid w:val="000A380D"/>
    <w:rsid w:val="000A3B47"/>
    <w:rsid w:val="000A3EE4"/>
    <w:rsid w:val="000A3F6F"/>
    <w:rsid w:val="000A4095"/>
    <w:rsid w:val="000A430B"/>
    <w:rsid w:val="000A459A"/>
    <w:rsid w:val="000A468A"/>
    <w:rsid w:val="000A4B08"/>
    <w:rsid w:val="000A4BF0"/>
    <w:rsid w:val="000A4D85"/>
    <w:rsid w:val="000A5103"/>
    <w:rsid w:val="000A5210"/>
    <w:rsid w:val="000A544A"/>
    <w:rsid w:val="000A5750"/>
    <w:rsid w:val="000A5798"/>
    <w:rsid w:val="000A57C1"/>
    <w:rsid w:val="000A5835"/>
    <w:rsid w:val="000A58DB"/>
    <w:rsid w:val="000A5930"/>
    <w:rsid w:val="000A59A5"/>
    <w:rsid w:val="000A5AA9"/>
    <w:rsid w:val="000A5F10"/>
    <w:rsid w:val="000A6056"/>
    <w:rsid w:val="000A61CD"/>
    <w:rsid w:val="000A63C2"/>
    <w:rsid w:val="000A63D0"/>
    <w:rsid w:val="000A6495"/>
    <w:rsid w:val="000A64B0"/>
    <w:rsid w:val="000A66AB"/>
    <w:rsid w:val="000A66D1"/>
    <w:rsid w:val="000A689D"/>
    <w:rsid w:val="000A68A4"/>
    <w:rsid w:val="000A697F"/>
    <w:rsid w:val="000A699D"/>
    <w:rsid w:val="000A6AAF"/>
    <w:rsid w:val="000A6B22"/>
    <w:rsid w:val="000A6C6C"/>
    <w:rsid w:val="000A6EA0"/>
    <w:rsid w:val="000A72FD"/>
    <w:rsid w:val="000A7459"/>
    <w:rsid w:val="000A769A"/>
    <w:rsid w:val="000A77C5"/>
    <w:rsid w:val="000A7A39"/>
    <w:rsid w:val="000A7B7E"/>
    <w:rsid w:val="000A7B87"/>
    <w:rsid w:val="000A7C6F"/>
    <w:rsid w:val="000B010A"/>
    <w:rsid w:val="000B057A"/>
    <w:rsid w:val="000B0655"/>
    <w:rsid w:val="000B0B15"/>
    <w:rsid w:val="000B0C3D"/>
    <w:rsid w:val="000B0D8A"/>
    <w:rsid w:val="000B0D90"/>
    <w:rsid w:val="000B0F00"/>
    <w:rsid w:val="000B1000"/>
    <w:rsid w:val="000B1038"/>
    <w:rsid w:val="000B107F"/>
    <w:rsid w:val="000B1135"/>
    <w:rsid w:val="000B118A"/>
    <w:rsid w:val="000B13B3"/>
    <w:rsid w:val="000B17D9"/>
    <w:rsid w:val="000B187C"/>
    <w:rsid w:val="000B1904"/>
    <w:rsid w:val="000B1A45"/>
    <w:rsid w:val="000B1C27"/>
    <w:rsid w:val="000B1E21"/>
    <w:rsid w:val="000B1E80"/>
    <w:rsid w:val="000B23C3"/>
    <w:rsid w:val="000B2449"/>
    <w:rsid w:val="000B2849"/>
    <w:rsid w:val="000B297E"/>
    <w:rsid w:val="000B2ADC"/>
    <w:rsid w:val="000B2B90"/>
    <w:rsid w:val="000B2E42"/>
    <w:rsid w:val="000B3127"/>
    <w:rsid w:val="000B3137"/>
    <w:rsid w:val="000B318A"/>
    <w:rsid w:val="000B3552"/>
    <w:rsid w:val="000B37FD"/>
    <w:rsid w:val="000B39AC"/>
    <w:rsid w:val="000B3B3C"/>
    <w:rsid w:val="000B3C3B"/>
    <w:rsid w:val="000B3C6D"/>
    <w:rsid w:val="000B3D7D"/>
    <w:rsid w:val="000B4422"/>
    <w:rsid w:val="000B486D"/>
    <w:rsid w:val="000B4B75"/>
    <w:rsid w:val="000B4CA8"/>
    <w:rsid w:val="000B4E3E"/>
    <w:rsid w:val="000B51BA"/>
    <w:rsid w:val="000B5247"/>
    <w:rsid w:val="000B5335"/>
    <w:rsid w:val="000B542A"/>
    <w:rsid w:val="000B5450"/>
    <w:rsid w:val="000B55FD"/>
    <w:rsid w:val="000B580B"/>
    <w:rsid w:val="000B585B"/>
    <w:rsid w:val="000B5A51"/>
    <w:rsid w:val="000B5DAB"/>
    <w:rsid w:val="000B5E72"/>
    <w:rsid w:val="000B5F24"/>
    <w:rsid w:val="000B63FC"/>
    <w:rsid w:val="000B65D5"/>
    <w:rsid w:val="000B66E3"/>
    <w:rsid w:val="000B66EB"/>
    <w:rsid w:val="000B692B"/>
    <w:rsid w:val="000B6ACE"/>
    <w:rsid w:val="000B6B26"/>
    <w:rsid w:val="000B6B8C"/>
    <w:rsid w:val="000B6DAE"/>
    <w:rsid w:val="000B7257"/>
    <w:rsid w:val="000B7397"/>
    <w:rsid w:val="000B754A"/>
    <w:rsid w:val="000B795C"/>
    <w:rsid w:val="000B7992"/>
    <w:rsid w:val="000B7ABB"/>
    <w:rsid w:val="000B7AFA"/>
    <w:rsid w:val="000B7B04"/>
    <w:rsid w:val="000B7C49"/>
    <w:rsid w:val="000B7E26"/>
    <w:rsid w:val="000C003B"/>
    <w:rsid w:val="000C004E"/>
    <w:rsid w:val="000C03F8"/>
    <w:rsid w:val="000C0748"/>
    <w:rsid w:val="000C08AF"/>
    <w:rsid w:val="000C09FC"/>
    <w:rsid w:val="000C0A0A"/>
    <w:rsid w:val="000C0A6E"/>
    <w:rsid w:val="000C0CB2"/>
    <w:rsid w:val="000C0D25"/>
    <w:rsid w:val="000C0D78"/>
    <w:rsid w:val="000C10F3"/>
    <w:rsid w:val="000C1113"/>
    <w:rsid w:val="000C1356"/>
    <w:rsid w:val="000C14F6"/>
    <w:rsid w:val="000C15C2"/>
    <w:rsid w:val="000C1731"/>
    <w:rsid w:val="000C182F"/>
    <w:rsid w:val="000C19FF"/>
    <w:rsid w:val="000C1CDC"/>
    <w:rsid w:val="000C1E0D"/>
    <w:rsid w:val="000C1E5C"/>
    <w:rsid w:val="000C1EFA"/>
    <w:rsid w:val="000C231C"/>
    <w:rsid w:val="000C2405"/>
    <w:rsid w:val="000C2666"/>
    <w:rsid w:val="000C2690"/>
    <w:rsid w:val="000C2891"/>
    <w:rsid w:val="000C28C0"/>
    <w:rsid w:val="000C2F46"/>
    <w:rsid w:val="000C3225"/>
    <w:rsid w:val="000C342A"/>
    <w:rsid w:val="000C3445"/>
    <w:rsid w:val="000C345D"/>
    <w:rsid w:val="000C34DE"/>
    <w:rsid w:val="000C35A2"/>
    <w:rsid w:val="000C35DF"/>
    <w:rsid w:val="000C3619"/>
    <w:rsid w:val="000C3749"/>
    <w:rsid w:val="000C3A2E"/>
    <w:rsid w:val="000C3A64"/>
    <w:rsid w:val="000C3AC4"/>
    <w:rsid w:val="000C3E89"/>
    <w:rsid w:val="000C41D1"/>
    <w:rsid w:val="000C42B6"/>
    <w:rsid w:val="000C44D5"/>
    <w:rsid w:val="000C46A4"/>
    <w:rsid w:val="000C475F"/>
    <w:rsid w:val="000C4843"/>
    <w:rsid w:val="000C4B04"/>
    <w:rsid w:val="000C4B7B"/>
    <w:rsid w:val="000C4D07"/>
    <w:rsid w:val="000C4E4E"/>
    <w:rsid w:val="000C4FB4"/>
    <w:rsid w:val="000C5277"/>
    <w:rsid w:val="000C5571"/>
    <w:rsid w:val="000C5689"/>
    <w:rsid w:val="000C5A4B"/>
    <w:rsid w:val="000C5B1C"/>
    <w:rsid w:val="000C5DB9"/>
    <w:rsid w:val="000C5E26"/>
    <w:rsid w:val="000C5E3B"/>
    <w:rsid w:val="000C5FD3"/>
    <w:rsid w:val="000C6022"/>
    <w:rsid w:val="000C60BC"/>
    <w:rsid w:val="000C618D"/>
    <w:rsid w:val="000C641B"/>
    <w:rsid w:val="000C65A9"/>
    <w:rsid w:val="000C6661"/>
    <w:rsid w:val="000C6883"/>
    <w:rsid w:val="000C68E7"/>
    <w:rsid w:val="000C697B"/>
    <w:rsid w:val="000C6B68"/>
    <w:rsid w:val="000C6E18"/>
    <w:rsid w:val="000C7414"/>
    <w:rsid w:val="000C7A1C"/>
    <w:rsid w:val="000C7B23"/>
    <w:rsid w:val="000C7F31"/>
    <w:rsid w:val="000C7FA3"/>
    <w:rsid w:val="000D0467"/>
    <w:rsid w:val="000D05C7"/>
    <w:rsid w:val="000D05E9"/>
    <w:rsid w:val="000D0657"/>
    <w:rsid w:val="000D068C"/>
    <w:rsid w:val="000D08DE"/>
    <w:rsid w:val="000D09CB"/>
    <w:rsid w:val="000D0F32"/>
    <w:rsid w:val="000D0FFD"/>
    <w:rsid w:val="000D1171"/>
    <w:rsid w:val="000D16AD"/>
    <w:rsid w:val="000D189A"/>
    <w:rsid w:val="000D1C3C"/>
    <w:rsid w:val="000D1CFA"/>
    <w:rsid w:val="000D1FBD"/>
    <w:rsid w:val="000D21A1"/>
    <w:rsid w:val="000D21C3"/>
    <w:rsid w:val="000D22D9"/>
    <w:rsid w:val="000D2359"/>
    <w:rsid w:val="000D23DC"/>
    <w:rsid w:val="000D27A0"/>
    <w:rsid w:val="000D2965"/>
    <w:rsid w:val="000D2B07"/>
    <w:rsid w:val="000D3096"/>
    <w:rsid w:val="000D31C7"/>
    <w:rsid w:val="000D3382"/>
    <w:rsid w:val="000D3455"/>
    <w:rsid w:val="000D36E1"/>
    <w:rsid w:val="000D3861"/>
    <w:rsid w:val="000D38BF"/>
    <w:rsid w:val="000D3AF7"/>
    <w:rsid w:val="000D3C1D"/>
    <w:rsid w:val="000D3CBD"/>
    <w:rsid w:val="000D3E1E"/>
    <w:rsid w:val="000D3F7C"/>
    <w:rsid w:val="000D41A3"/>
    <w:rsid w:val="000D41E8"/>
    <w:rsid w:val="000D4298"/>
    <w:rsid w:val="000D42D8"/>
    <w:rsid w:val="000D465C"/>
    <w:rsid w:val="000D46DE"/>
    <w:rsid w:val="000D4890"/>
    <w:rsid w:val="000D4E3F"/>
    <w:rsid w:val="000D4F0B"/>
    <w:rsid w:val="000D52CF"/>
    <w:rsid w:val="000D5534"/>
    <w:rsid w:val="000D555E"/>
    <w:rsid w:val="000D5CC6"/>
    <w:rsid w:val="000D6083"/>
    <w:rsid w:val="000D612C"/>
    <w:rsid w:val="000D6198"/>
    <w:rsid w:val="000D640F"/>
    <w:rsid w:val="000D6A6C"/>
    <w:rsid w:val="000D6B8D"/>
    <w:rsid w:val="000D6C0B"/>
    <w:rsid w:val="000D6F96"/>
    <w:rsid w:val="000D7015"/>
    <w:rsid w:val="000D70AF"/>
    <w:rsid w:val="000D7177"/>
    <w:rsid w:val="000D7266"/>
    <w:rsid w:val="000D76EB"/>
    <w:rsid w:val="000D7866"/>
    <w:rsid w:val="000D7898"/>
    <w:rsid w:val="000D799B"/>
    <w:rsid w:val="000D7C7B"/>
    <w:rsid w:val="000D7E91"/>
    <w:rsid w:val="000E0211"/>
    <w:rsid w:val="000E0439"/>
    <w:rsid w:val="000E04BF"/>
    <w:rsid w:val="000E052F"/>
    <w:rsid w:val="000E0B04"/>
    <w:rsid w:val="000E0BC1"/>
    <w:rsid w:val="000E0C4E"/>
    <w:rsid w:val="000E10DE"/>
    <w:rsid w:val="000E1217"/>
    <w:rsid w:val="000E12C5"/>
    <w:rsid w:val="000E1486"/>
    <w:rsid w:val="000E1806"/>
    <w:rsid w:val="000E1A5A"/>
    <w:rsid w:val="000E1B66"/>
    <w:rsid w:val="000E1C32"/>
    <w:rsid w:val="000E1C5A"/>
    <w:rsid w:val="000E2204"/>
    <w:rsid w:val="000E22F6"/>
    <w:rsid w:val="000E2728"/>
    <w:rsid w:val="000E2766"/>
    <w:rsid w:val="000E2ABA"/>
    <w:rsid w:val="000E2C4B"/>
    <w:rsid w:val="000E305B"/>
    <w:rsid w:val="000E31C8"/>
    <w:rsid w:val="000E35FC"/>
    <w:rsid w:val="000E372F"/>
    <w:rsid w:val="000E4150"/>
    <w:rsid w:val="000E4209"/>
    <w:rsid w:val="000E4640"/>
    <w:rsid w:val="000E4658"/>
    <w:rsid w:val="000E48D7"/>
    <w:rsid w:val="000E4A06"/>
    <w:rsid w:val="000E4B1E"/>
    <w:rsid w:val="000E4B45"/>
    <w:rsid w:val="000E4CEE"/>
    <w:rsid w:val="000E4E63"/>
    <w:rsid w:val="000E50AB"/>
    <w:rsid w:val="000E51C7"/>
    <w:rsid w:val="000E53A2"/>
    <w:rsid w:val="000E547E"/>
    <w:rsid w:val="000E572A"/>
    <w:rsid w:val="000E572B"/>
    <w:rsid w:val="000E5AE1"/>
    <w:rsid w:val="000E5CF5"/>
    <w:rsid w:val="000E5D5C"/>
    <w:rsid w:val="000E5E06"/>
    <w:rsid w:val="000E6037"/>
    <w:rsid w:val="000E608E"/>
    <w:rsid w:val="000E61E1"/>
    <w:rsid w:val="000E690A"/>
    <w:rsid w:val="000E6D06"/>
    <w:rsid w:val="000E6D86"/>
    <w:rsid w:val="000E6F72"/>
    <w:rsid w:val="000E71FB"/>
    <w:rsid w:val="000E7218"/>
    <w:rsid w:val="000E7947"/>
    <w:rsid w:val="000E79DE"/>
    <w:rsid w:val="000E7D3D"/>
    <w:rsid w:val="000E7FC3"/>
    <w:rsid w:val="000F0115"/>
    <w:rsid w:val="000F03D7"/>
    <w:rsid w:val="000F041C"/>
    <w:rsid w:val="000F04A6"/>
    <w:rsid w:val="000F068F"/>
    <w:rsid w:val="000F08CE"/>
    <w:rsid w:val="000F08EF"/>
    <w:rsid w:val="000F0A88"/>
    <w:rsid w:val="000F0A9A"/>
    <w:rsid w:val="000F0C94"/>
    <w:rsid w:val="000F0F69"/>
    <w:rsid w:val="000F126F"/>
    <w:rsid w:val="000F1582"/>
    <w:rsid w:val="000F1978"/>
    <w:rsid w:val="000F1CA7"/>
    <w:rsid w:val="000F1E18"/>
    <w:rsid w:val="000F2031"/>
    <w:rsid w:val="000F2123"/>
    <w:rsid w:val="000F21F2"/>
    <w:rsid w:val="000F226C"/>
    <w:rsid w:val="000F227D"/>
    <w:rsid w:val="000F249A"/>
    <w:rsid w:val="000F26DA"/>
    <w:rsid w:val="000F2857"/>
    <w:rsid w:val="000F287A"/>
    <w:rsid w:val="000F2A0E"/>
    <w:rsid w:val="000F2CCC"/>
    <w:rsid w:val="000F2DE9"/>
    <w:rsid w:val="000F3336"/>
    <w:rsid w:val="000F3414"/>
    <w:rsid w:val="000F36E2"/>
    <w:rsid w:val="000F386B"/>
    <w:rsid w:val="000F3C3A"/>
    <w:rsid w:val="000F3E21"/>
    <w:rsid w:val="000F3ECD"/>
    <w:rsid w:val="000F3EF6"/>
    <w:rsid w:val="000F41BF"/>
    <w:rsid w:val="000F4432"/>
    <w:rsid w:val="000F47DB"/>
    <w:rsid w:val="000F48EA"/>
    <w:rsid w:val="000F49A2"/>
    <w:rsid w:val="000F49A4"/>
    <w:rsid w:val="000F49DC"/>
    <w:rsid w:val="000F4B9C"/>
    <w:rsid w:val="000F4FB0"/>
    <w:rsid w:val="000F4FB3"/>
    <w:rsid w:val="000F5134"/>
    <w:rsid w:val="000F514C"/>
    <w:rsid w:val="000F55A5"/>
    <w:rsid w:val="000F5653"/>
    <w:rsid w:val="000F565D"/>
    <w:rsid w:val="000F577E"/>
    <w:rsid w:val="000F5D7C"/>
    <w:rsid w:val="000F5DF3"/>
    <w:rsid w:val="000F5F1F"/>
    <w:rsid w:val="000F5F73"/>
    <w:rsid w:val="000F5FD0"/>
    <w:rsid w:val="000F63A2"/>
    <w:rsid w:val="000F650F"/>
    <w:rsid w:val="000F668A"/>
    <w:rsid w:val="000F6714"/>
    <w:rsid w:val="000F6A0D"/>
    <w:rsid w:val="000F6AA1"/>
    <w:rsid w:val="000F6BE9"/>
    <w:rsid w:val="000F6D01"/>
    <w:rsid w:val="000F6E08"/>
    <w:rsid w:val="000F6F46"/>
    <w:rsid w:val="000F7002"/>
    <w:rsid w:val="000F722A"/>
    <w:rsid w:val="000F73BE"/>
    <w:rsid w:val="000F7500"/>
    <w:rsid w:val="000F755C"/>
    <w:rsid w:val="000F77B0"/>
    <w:rsid w:val="000F7911"/>
    <w:rsid w:val="000F79FD"/>
    <w:rsid w:val="000F7C7E"/>
    <w:rsid w:val="000F7E73"/>
    <w:rsid w:val="000F7F47"/>
    <w:rsid w:val="000F7FD1"/>
    <w:rsid w:val="0010002A"/>
    <w:rsid w:val="00100096"/>
    <w:rsid w:val="00100154"/>
    <w:rsid w:val="00100176"/>
    <w:rsid w:val="001004E5"/>
    <w:rsid w:val="001004E6"/>
    <w:rsid w:val="001008ED"/>
    <w:rsid w:val="00100E31"/>
    <w:rsid w:val="001010CD"/>
    <w:rsid w:val="0010116F"/>
    <w:rsid w:val="00101463"/>
    <w:rsid w:val="00101540"/>
    <w:rsid w:val="00101AA2"/>
    <w:rsid w:val="00102074"/>
    <w:rsid w:val="0010220B"/>
    <w:rsid w:val="0010288C"/>
    <w:rsid w:val="001029E9"/>
    <w:rsid w:val="00102A11"/>
    <w:rsid w:val="00102AAF"/>
    <w:rsid w:val="00102D6C"/>
    <w:rsid w:val="00102ED7"/>
    <w:rsid w:val="00102F2E"/>
    <w:rsid w:val="001032C5"/>
    <w:rsid w:val="00103553"/>
    <w:rsid w:val="001037F6"/>
    <w:rsid w:val="001038E7"/>
    <w:rsid w:val="0010390E"/>
    <w:rsid w:val="00103E46"/>
    <w:rsid w:val="00104342"/>
    <w:rsid w:val="001043D1"/>
    <w:rsid w:val="001049B5"/>
    <w:rsid w:val="001049CB"/>
    <w:rsid w:val="00104ABD"/>
    <w:rsid w:val="00104B04"/>
    <w:rsid w:val="00105269"/>
    <w:rsid w:val="001054AD"/>
    <w:rsid w:val="00105834"/>
    <w:rsid w:val="00105B56"/>
    <w:rsid w:val="00105B9B"/>
    <w:rsid w:val="00106057"/>
    <w:rsid w:val="00106218"/>
    <w:rsid w:val="0010624A"/>
    <w:rsid w:val="001062DC"/>
    <w:rsid w:val="001062F7"/>
    <w:rsid w:val="00106471"/>
    <w:rsid w:val="0010654F"/>
    <w:rsid w:val="00106591"/>
    <w:rsid w:val="00106615"/>
    <w:rsid w:val="00106A1D"/>
    <w:rsid w:val="00106B0A"/>
    <w:rsid w:val="00106D7A"/>
    <w:rsid w:val="00106E4B"/>
    <w:rsid w:val="00106E77"/>
    <w:rsid w:val="00107006"/>
    <w:rsid w:val="001070BC"/>
    <w:rsid w:val="00107190"/>
    <w:rsid w:val="00107485"/>
    <w:rsid w:val="0010756D"/>
    <w:rsid w:val="001075A7"/>
    <w:rsid w:val="00107B81"/>
    <w:rsid w:val="00107BCA"/>
    <w:rsid w:val="00107CF4"/>
    <w:rsid w:val="00107DF0"/>
    <w:rsid w:val="00107E0C"/>
    <w:rsid w:val="00107EA9"/>
    <w:rsid w:val="001100A8"/>
    <w:rsid w:val="00110312"/>
    <w:rsid w:val="0011058B"/>
    <w:rsid w:val="0011078C"/>
    <w:rsid w:val="00110A64"/>
    <w:rsid w:val="00110E60"/>
    <w:rsid w:val="00110EF3"/>
    <w:rsid w:val="001111C0"/>
    <w:rsid w:val="001114E9"/>
    <w:rsid w:val="00111C47"/>
    <w:rsid w:val="00111C81"/>
    <w:rsid w:val="00112057"/>
    <w:rsid w:val="001120F7"/>
    <w:rsid w:val="001123A6"/>
    <w:rsid w:val="00112454"/>
    <w:rsid w:val="001127B7"/>
    <w:rsid w:val="00112B8C"/>
    <w:rsid w:val="00112B9F"/>
    <w:rsid w:val="00112BFF"/>
    <w:rsid w:val="00112FBE"/>
    <w:rsid w:val="00113002"/>
    <w:rsid w:val="001131CD"/>
    <w:rsid w:val="001132ED"/>
    <w:rsid w:val="0011331D"/>
    <w:rsid w:val="0011332A"/>
    <w:rsid w:val="00113341"/>
    <w:rsid w:val="0011360A"/>
    <w:rsid w:val="00113717"/>
    <w:rsid w:val="00113859"/>
    <w:rsid w:val="001138FC"/>
    <w:rsid w:val="00113BBF"/>
    <w:rsid w:val="00113CBF"/>
    <w:rsid w:val="00113D7B"/>
    <w:rsid w:val="00113E67"/>
    <w:rsid w:val="00113E7F"/>
    <w:rsid w:val="00114004"/>
    <w:rsid w:val="00114151"/>
    <w:rsid w:val="0011418E"/>
    <w:rsid w:val="00114407"/>
    <w:rsid w:val="00114441"/>
    <w:rsid w:val="001145AE"/>
    <w:rsid w:val="00114742"/>
    <w:rsid w:val="00114A10"/>
    <w:rsid w:val="0011516C"/>
    <w:rsid w:val="00115324"/>
    <w:rsid w:val="001157BD"/>
    <w:rsid w:val="001157D2"/>
    <w:rsid w:val="00115991"/>
    <w:rsid w:val="00115B37"/>
    <w:rsid w:val="00115B58"/>
    <w:rsid w:val="00115BE8"/>
    <w:rsid w:val="00115F18"/>
    <w:rsid w:val="00115FEF"/>
    <w:rsid w:val="00116423"/>
    <w:rsid w:val="001168D3"/>
    <w:rsid w:val="00116955"/>
    <w:rsid w:val="00116983"/>
    <w:rsid w:val="00116A0D"/>
    <w:rsid w:val="00116A26"/>
    <w:rsid w:val="00116B66"/>
    <w:rsid w:val="00116C89"/>
    <w:rsid w:val="00116DAF"/>
    <w:rsid w:val="00116EB6"/>
    <w:rsid w:val="001173E8"/>
    <w:rsid w:val="00117576"/>
    <w:rsid w:val="00117851"/>
    <w:rsid w:val="001178D9"/>
    <w:rsid w:val="00117D1D"/>
    <w:rsid w:val="00117E0B"/>
    <w:rsid w:val="00117E86"/>
    <w:rsid w:val="00117EBE"/>
    <w:rsid w:val="00117EC2"/>
    <w:rsid w:val="00117F2F"/>
    <w:rsid w:val="00117F70"/>
    <w:rsid w:val="00120314"/>
    <w:rsid w:val="001203DF"/>
    <w:rsid w:val="0012042B"/>
    <w:rsid w:val="00120577"/>
    <w:rsid w:val="00120D79"/>
    <w:rsid w:val="00120FAF"/>
    <w:rsid w:val="0012114F"/>
    <w:rsid w:val="0012119D"/>
    <w:rsid w:val="0012119E"/>
    <w:rsid w:val="001211C0"/>
    <w:rsid w:val="00121282"/>
    <w:rsid w:val="001213AF"/>
    <w:rsid w:val="0012140B"/>
    <w:rsid w:val="00121640"/>
    <w:rsid w:val="0012173F"/>
    <w:rsid w:val="0012174F"/>
    <w:rsid w:val="0012185C"/>
    <w:rsid w:val="001218A6"/>
    <w:rsid w:val="00121A13"/>
    <w:rsid w:val="00121C76"/>
    <w:rsid w:val="00121DF0"/>
    <w:rsid w:val="00121E2F"/>
    <w:rsid w:val="00121F02"/>
    <w:rsid w:val="001221BD"/>
    <w:rsid w:val="001221CD"/>
    <w:rsid w:val="001221ED"/>
    <w:rsid w:val="00122367"/>
    <w:rsid w:val="00122398"/>
    <w:rsid w:val="0012294D"/>
    <w:rsid w:val="00122A22"/>
    <w:rsid w:val="00122AFC"/>
    <w:rsid w:val="00122B71"/>
    <w:rsid w:val="00122D7B"/>
    <w:rsid w:val="00122E83"/>
    <w:rsid w:val="00122EF5"/>
    <w:rsid w:val="00122FBE"/>
    <w:rsid w:val="0012376B"/>
    <w:rsid w:val="001238DF"/>
    <w:rsid w:val="00123A99"/>
    <w:rsid w:val="00123C52"/>
    <w:rsid w:val="00123CCA"/>
    <w:rsid w:val="00123EEF"/>
    <w:rsid w:val="00123EFF"/>
    <w:rsid w:val="00123FE5"/>
    <w:rsid w:val="0012403A"/>
    <w:rsid w:val="001241CD"/>
    <w:rsid w:val="001241EB"/>
    <w:rsid w:val="00124725"/>
    <w:rsid w:val="00124D6A"/>
    <w:rsid w:val="00124F4B"/>
    <w:rsid w:val="00124FD3"/>
    <w:rsid w:val="00125041"/>
    <w:rsid w:val="00125157"/>
    <w:rsid w:val="001252B1"/>
    <w:rsid w:val="0012546C"/>
    <w:rsid w:val="00125575"/>
    <w:rsid w:val="00125616"/>
    <w:rsid w:val="001257B5"/>
    <w:rsid w:val="00125910"/>
    <w:rsid w:val="00125BB0"/>
    <w:rsid w:val="00125DA9"/>
    <w:rsid w:val="00125E1C"/>
    <w:rsid w:val="00125EF8"/>
    <w:rsid w:val="00126023"/>
    <w:rsid w:val="001260BB"/>
    <w:rsid w:val="001269C2"/>
    <w:rsid w:val="00126A4F"/>
    <w:rsid w:val="00126BAB"/>
    <w:rsid w:val="00126C1E"/>
    <w:rsid w:val="00126D64"/>
    <w:rsid w:val="00127007"/>
    <w:rsid w:val="00127133"/>
    <w:rsid w:val="0012719F"/>
    <w:rsid w:val="0012725F"/>
    <w:rsid w:val="0012736D"/>
    <w:rsid w:val="001277A2"/>
    <w:rsid w:val="00127A55"/>
    <w:rsid w:val="00127AB1"/>
    <w:rsid w:val="00127C03"/>
    <w:rsid w:val="00127C9F"/>
    <w:rsid w:val="00127D79"/>
    <w:rsid w:val="00127DD0"/>
    <w:rsid w:val="0013011A"/>
    <w:rsid w:val="0013040F"/>
    <w:rsid w:val="00130729"/>
    <w:rsid w:val="00130762"/>
    <w:rsid w:val="00130B6E"/>
    <w:rsid w:val="00130BAE"/>
    <w:rsid w:val="00130BC6"/>
    <w:rsid w:val="00130D42"/>
    <w:rsid w:val="00130D7B"/>
    <w:rsid w:val="00130E75"/>
    <w:rsid w:val="00130E7F"/>
    <w:rsid w:val="00130F0A"/>
    <w:rsid w:val="00130F61"/>
    <w:rsid w:val="0013107C"/>
    <w:rsid w:val="00131156"/>
    <w:rsid w:val="001311CB"/>
    <w:rsid w:val="00131383"/>
    <w:rsid w:val="00131442"/>
    <w:rsid w:val="001314AF"/>
    <w:rsid w:val="001314B3"/>
    <w:rsid w:val="0013168E"/>
    <w:rsid w:val="00131690"/>
    <w:rsid w:val="00131717"/>
    <w:rsid w:val="00131A04"/>
    <w:rsid w:val="00131C29"/>
    <w:rsid w:val="00131FDA"/>
    <w:rsid w:val="001323D5"/>
    <w:rsid w:val="001327E4"/>
    <w:rsid w:val="00132E7A"/>
    <w:rsid w:val="00132ED8"/>
    <w:rsid w:val="00132EEB"/>
    <w:rsid w:val="00132F15"/>
    <w:rsid w:val="001332EE"/>
    <w:rsid w:val="00133377"/>
    <w:rsid w:val="001337FC"/>
    <w:rsid w:val="00133906"/>
    <w:rsid w:val="001339AE"/>
    <w:rsid w:val="00133C0D"/>
    <w:rsid w:val="00133D6E"/>
    <w:rsid w:val="00134268"/>
    <w:rsid w:val="00134337"/>
    <w:rsid w:val="001344A8"/>
    <w:rsid w:val="001346F1"/>
    <w:rsid w:val="001349B9"/>
    <w:rsid w:val="00134A0A"/>
    <w:rsid w:val="00134C00"/>
    <w:rsid w:val="00134DF1"/>
    <w:rsid w:val="00134F2D"/>
    <w:rsid w:val="00135090"/>
    <w:rsid w:val="0013515F"/>
    <w:rsid w:val="001351B0"/>
    <w:rsid w:val="001352C0"/>
    <w:rsid w:val="001352C5"/>
    <w:rsid w:val="0013594C"/>
    <w:rsid w:val="0013597A"/>
    <w:rsid w:val="001359EA"/>
    <w:rsid w:val="00136075"/>
    <w:rsid w:val="00136A3D"/>
    <w:rsid w:val="00136BDB"/>
    <w:rsid w:val="00136E88"/>
    <w:rsid w:val="00136EA2"/>
    <w:rsid w:val="00136F68"/>
    <w:rsid w:val="001372C1"/>
    <w:rsid w:val="001373E7"/>
    <w:rsid w:val="001374A1"/>
    <w:rsid w:val="001374FA"/>
    <w:rsid w:val="0013752E"/>
    <w:rsid w:val="00137786"/>
    <w:rsid w:val="001379DD"/>
    <w:rsid w:val="00137A5E"/>
    <w:rsid w:val="00137A92"/>
    <w:rsid w:val="00137AB2"/>
    <w:rsid w:val="00137D61"/>
    <w:rsid w:val="00137EF1"/>
    <w:rsid w:val="00140361"/>
    <w:rsid w:val="00140385"/>
    <w:rsid w:val="0014053A"/>
    <w:rsid w:val="0014064B"/>
    <w:rsid w:val="00140A8B"/>
    <w:rsid w:val="00140CF2"/>
    <w:rsid w:val="00141031"/>
    <w:rsid w:val="00141649"/>
    <w:rsid w:val="00141833"/>
    <w:rsid w:val="0014246A"/>
    <w:rsid w:val="0014253C"/>
    <w:rsid w:val="00142566"/>
    <w:rsid w:val="001425B1"/>
    <w:rsid w:val="001425CD"/>
    <w:rsid w:val="001425FD"/>
    <w:rsid w:val="001429B0"/>
    <w:rsid w:val="00142A2B"/>
    <w:rsid w:val="00142C6B"/>
    <w:rsid w:val="00142F6E"/>
    <w:rsid w:val="001431C9"/>
    <w:rsid w:val="00143833"/>
    <w:rsid w:val="00143E0E"/>
    <w:rsid w:val="00143FDD"/>
    <w:rsid w:val="0014408F"/>
    <w:rsid w:val="00144190"/>
    <w:rsid w:val="00144221"/>
    <w:rsid w:val="00144357"/>
    <w:rsid w:val="00144411"/>
    <w:rsid w:val="001445A7"/>
    <w:rsid w:val="001445F4"/>
    <w:rsid w:val="00144804"/>
    <w:rsid w:val="0014497E"/>
    <w:rsid w:val="00144AB1"/>
    <w:rsid w:val="00144B5E"/>
    <w:rsid w:val="00144B99"/>
    <w:rsid w:val="00144E60"/>
    <w:rsid w:val="001450F0"/>
    <w:rsid w:val="001451A8"/>
    <w:rsid w:val="0014524E"/>
    <w:rsid w:val="0014532F"/>
    <w:rsid w:val="00145413"/>
    <w:rsid w:val="0014554C"/>
    <w:rsid w:val="00145645"/>
    <w:rsid w:val="001456C1"/>
    <w:rsid w:val="00145BE1"/>
    <w:rsid w:val="00145C65"/>
    <w:rsid w:val="00145CE2"/>
    <w:rsid w:val="00145E8D"/>
    <w:rsid w:val="00145F65"/>
    <w:rsid w:val="00146664"/>
    <w:rsid w:val="001467A6"/>
    <w:rsid w:val="00146831"/>
    <w:rsid w:val="00146996"/>
    <w:rsid w:val="00146B5D"/>
    <w:rsid w:val="00146D33"/>
    <w:rsid w:val="00146F98"/>
    <w:rsid w:val="00146FFB"/>
    <w:rsid w:val="001471A8"/>
    <w:rsid w:val="001472FB"/>
    <w:rsid w:val="0014774B"/>
    <w:rsid w:val="001477C3"/>
    <w:rsid w:val="0014785F"/>
    <w:rsid w:val="001479D6"/>
    <w:rsid w:val="00147A62"/>
    <w:rsid w:val="00147B57"/>
    <w:rsid w:val="00147BEE"/>
    <w:rsid w:val="001500F3"/>
    <w:rsid w:val="0015032F"/>
    <w:rsid w:val="0015036B"/>
    <w:rsid w:val="0015039B"/>
    <w:rsid w:val="0015048E"/>
    <w:rsid w:val="0015058D"/>
    <w:rsid w:val="00150712"/>
    <w:rsid w:val="00150970"/>
    <w:rsid w:val="00150A08"/>
    <w:rsid w:val="00150A7F"/>
    <w:rsid w:val="00150AA2"/>
    <w:rsid w:val="00150EDF"/>
    <w:rsid w:val="00150EE9"/>
    <w:rsid w:val="00150F46"/>
    <w:rsid w:val="001510D3"/>
    <w:rsid w:val="00151118"/>
    <w:rsid w:val="0015135B"/>
    <w:rsid w:val="001515F8"/>
    <w:rsid w:val="001516D5"/>
    <w:rsid w:val="0015174E"/>
    <w:rsid w:val="001517D6"/>
    <w:rsid w:val="001518CC"/>
    <w:rsid w:val="00151B8A"/>
    <w:rsid w:val="00151C04"/>
    <w:rsid w:val="00151DAE"/>
    <w:rsid w:val="00151E33"/>
    <w:rsid w:val="00151E80"/>
    <w:rsid w:val="00151EC8"/>
    <w:rsid w:val="0015223B"/>
    <w:rsid w:val="00152478"/>
    <w:rsid w:val="0015258B"/>
    <w:rsid w:val="0015262B"/>
    <w:rsid w:val="00152834"/>
    <w:rsid w:val="00152AB5"/>
    <w:rsid w:val="00152CAB"/>
    <w:rsid w:val="00152D4A"/>
    <w:rsid w:val="00152EB8"/>
    <w:rsid w:val="00152EC6"/>
    <w:rsid w:val="00153001"/>
    <w:rsid w:val="00153165"/>
    <w:rsid w:val="00153313"/>
    <w:rsid w:val="00153359"/>
    <w:rsid w:val="0015379A"/>
    <w:rsid w:val="001537A6"/>
    <w:rsid w:val="00153835"/>
    <w:rsid w:val="001538DD"/>
    <w:rsid w:val="00153AF1"/>
    <w:rsid w:val="00153B77"/>
    <w:rsid w:val="00153CA9"/>
    <w:rsid w:val="00153CD1"/>
    <w:rsid w:val="0015410E"/>
    <w:rsid w:val="00154184"/>
    <w:rsid w:val="00154553"/>
    <w:rsid w:val="00154605"/>
    <w:rsid w:val="00154882"/>
    <w:rsid w:val="001548E1"/>
    <w:rsid w:val="00154923"/>
    <w:rsid w:val="0015499B"/>
    <w:rsid w:val="00154BCD"/>
    <w:rsid w:val="00154D4B"/>
    <w:rsid w:val="00154E62"/>
    <w:rsid w:val="00155248"/>
    <w:rsid w:val="001554B2"/>
    <w:rsid w:val="001555D2"/>
    <w:rsid w:val="00155784"/>
    <w:rsid w:val="00155922"/>
    <w:rsid w:val="00155A01"/>
    <w:rsid w:val="00155A94"/>
    <w:rsid w:val="00155AEB"/>
    <w:rsid w:val="00155B33"/>
    <w:rsid w:val="00155B40"/>
    <w:rsid w:val="00155B4E"/>
    <w:rsid w:val="00155C30"/>
    <w:rsid w:val="00155CAD"/>
    <w:rsid w:val="00155CB5"/>
    <w:rsid w:val="00155D0F"/>
    <w:rsid w:val="00155E6E"/>
    <w:rsid w:val="00156075"/>
    <w:rsid w:val="001562B0"/>
    <w:rsid w:val="001562D9"/>
    <w:rsid w:val="00156686"/>
    <w:rsid w:val="001566FF"/>
    <w:rsid w:val="00156BA1"/>
    <w:rsid w:val="00156CA2"/>
    <w:rsid w:val="00157017"/>
    <w:rsid w:val="00157055"/>
    <w:rsid w:val="001574D1"/>
    <w:rsid w:val="0015754A"/>
    <w:rsid w:val="00157979"/>
    <w:rsid w:val="001579B1"/>
    <w:rsid w:val="00157BE2"/>
    <w:rsid w:val="00157E32"/>
    <w:rsid w:val="00157EB4"/>
    <w:rsid w:val="00157EE5"/>
    <w:rsid w:val="00157F77"/>
    <w:rsid w:val="00157F87"/>
    <w:rsid w:val="00157FE7"/>
    <w:rsid w:val="00160104"/>
    <w:rsid w:val="00160273"/>
    <w:rsid w:val="001602B3"/>
    <w:rsid w:val="0016031C"/>
    <w:rsid w:val="00160702"/>
    <w:rsid w:val="0016072C"/>
    <w:rsid w:val="00160D29"/>
    <w:rsid w:val="0016117A"/>
    <w:rsid w:val="001613F4"/>
    <w:rsid w:val="0016148B"/>
    <w:rsid w:val="00161812"/>
    <w:rsid w:val="0016182A"/>
    <w:rsid w:val="00161831"/>
    <w:rsid w:val="0016189E"/>
    <w:rsid w:val="0016225E"/>
    <w:rsid w:val="0016229D"/>
    <w:rsid w:val="0016229E"/>
    <w:rsid w:val="00162619"/>
    <w:rsid w:val="00162713"/>
    <w:rsid w:val="00162964"/>
    <w:rsid w:val="00162E02"/>
    <w:rsid w:val="001632BF"/>
    <w:rsid w:val="001632F8"/>
    <w:rsid w:val="00163455"/>
    <w:rsid w:val="0016361D"/>
    <w:rsid w:val="001637B7"/>
    <w:rsid w:val="00163868"/>
    <w:rsid w:val="00163970"/>
    <w:rsid w:val="00163A6B"/>
    <w:rsid w:val="00163BB6"/>
    <w:rsid w:val="00163C01"/>
    <w:rsid w:val="0016405C"/>
    <w:rsid w:val="001643BB"/>
    <w:rsid w:val="00164483"/>
    <w:rsid w:val="00164816"/>
    <w:rsid w:val="00164933"/>
    <w:rsid w:val="00164A2B"/>
    <w:rsid w:val="00164BDD"/>
    <w:rsid w:val="00164D8C"/>
    <w:rsid w:val="00164EAC"/>
    <w:rsid w:val="001652AF"/>
    <w:rsid w:val="00165372"/>
    <w:rsid w:val="0016568F"/>
    <w:rsid w:val="00165C3F"/>
    <w:rsid w:val="00165C5A"/>
    <w:rsid w:val="00165C96"/>
    <w:rsid w:val="00165E14"/>
    <w:rsid w:val="001664D2"/>
    <w:rsid w:val="0016656F"/>
    <w:rsid w:val="0016658E"/>
    <w:rsid w:val="001666F3"/>
    <w:rsid w:val="00166807"/>
    <w:rsid w:val="00166A55"/>
    <w:rsid w:val="00166C28"/>
    <w:rsid w:val="00166F6D"/>
    <w:rsid w:val="0016703D"/>
    <w:rsid w:val="001674D3"/>
    <w:rsid w:val="001675E9"/>
    <w:rsid w:val="001677AC"/>
    <w:rsid w:val="001677B9"/>
    <w:rsid w:val="00167863"/>
    <w:rsid w:val="00167A63"/>
    <w:rsid w:val="00167B02"/>
    <w:rsid w:val="00167F17"/>
    <w:rsid w:val="001704D8"/>
    <w:rsid w:val="00170586"/>
    <w:rsid w:val="00170636"/>
    <w:rsid w:val="00170B74"/>
    <w:rsid w:val="00170EB4"/>
    <w:rsid w:val="0017139C"/>
    <w:rsid w:val="0017143D"/>
    <w:rsid w:val="001715DD"/>
    <w:rsid w:val="001719BC"/>
    <w:rsid w:val="00171B61"/>
    <w:rsid w:val="00171CEA"/>
    <w:rsid w:val="0017229D"/>
    <w:rsid w:val="00172324"/>
    <w:rsid w:val="00172458"/>
    <w:rsid w:val="0017259B"/>
    <w:rsid w:val="00172769"/>
    <w:rsid w:val="001729D1"/>
    <w:rsid w:val="00172B2F"/>
    <w:rsid w:val="00173040"/>
    <w:rsid w:val="0017328A"/>
    <w:rsid w:val="0017397C"/>
    <w:rsid w:val="001739B1"/>
    <w:rsid w:val="001739E5"/>
    <w:rsid w:val="00173A32"/>
    <w:rsid w:val="00173C7C"/>
    <w:rsid w:val="00173E74"/>
    <w:rsid w:val="0017476C"/>
    <w:rsid w:val="00174895"/>
    <w:rsid w:val="00174B4E"/>
    <w:rsid w:val="00174D55"/>
    <w:rsid w:val="00174D63"/>
    <w:rsid w:val="00174EA7"/>
    <w:rsid w:val="00174EE3"/>
    <w:rsid w:val="00175372"/>
    <w:rsid w:val="00175386"/>
    <w:rsid w:val="00175B01"/>
    <w:rsid w:val="00175B58"/>
    <w:rsid w:val="00175E04"/>
    <w:rsid w:val="00175E18"/>
    <w:rsid w:val="00175E71"/>
    <w:rsid w:val="00175FFC"/>
    <w:rsid w:val="001761BC"/>
    <w:rsid w:val="00176266"/>
    <w:rsid w:val="00176369"/>
    <w:rsid w:val="001763B6"/>
    <w:rsid w:val="0017657B"/>
    <w:rsid w:val="001768AF"/>
    <w:rsid w:val="00176EF1"/>
    <w:rsid w:val="00176F8C"/>
    <w:rsid w:val="001773D7"/>
    <w:rsid w:val="00177536"/>
    <w:rsid w:val="0017773C"/>
    <w:rsid w:val="00177898"/>
    <w:rsid w:val="00177B08"/>
    <w:rsid w:val="00177C94"/>
    <w:rsid w:val="00177CA2"/>
    <w:rsid w:val="00177F91"/>
    <w:rsid w:val="0018010A"/>
    <w:rsid w:val="00180335"/>
    <w:rsid w:val="00180340"/>
    <w:rsid w:val="0018061D"/>
    <w:rsid w:val="001808FC"/>
    <w:rsid w:val="001809C9"/>
    <w:rsid w:val="00180A5C"/>
    <w:rsid w:val="00180C7B"/>
    <w:rsid w:val="0018130C"/>
    <w:rsid w:val="00181586"/>
    <w:rsid w:val="001815CE"/>
    <w:rsid w:val="001817DB"/>
    <w:rsid w:val="0018206C"/>
    <w:rsid w:val="001823D5"/>
    <w:rsid w:val="001824DB"/>
    <w:rsid w:val="00182791"/>
    <w:rsid w:val="001829A2"/>
    <w:rsid w:val="00182A26"/>
    <w:rsid w:val="00182A75"/>
    <w:rsid w:val="00182C0E"/>
    <w:rsid w:val="00182CED"/>
    <w:rsid w:val="001831A8"/>
    <w:rsid w:val="00183286"/>
    <w:rsid w:val="00183BA8"/>
    <w:rsid w:val="00183BF9"/>
    <w:rsid w:val="00183CD7"/>
    <w:rsid w:val="00183E4D"/>
    <w:rsid w:val="00183EF2"/>
    <w:rsid w:val="00183F9A"/>
    <w:rsid w:val="00183FBE"/>
    <w:rsid w:val="00184731"/>
    <w:rsid w:val="00184752"/>
    <w:rsid w:val="0018477C"/>
    <w:rsid w:val="001848F5"/>
    <w:rsid w:val="001849B1"/>
    <w:rsid w:val="0018569E"/>
    <w:rsid w:val="001857BB"/>
    <w:rsid w:val="0018581D"/>
    <w:rsid w:val="00185A2A"/>
    <w:rsid w:val="00185DD0"/>
    <w:rsid w:val="00185FBC"/>
    <w:rsid w:val="00186013"/>
    <w:rsid w:val="00186237"/>
    <w:rsid w:val="00186546"/>
    <w:rsid w:val="00186629"/>
    <w:rsid w:val="001866E0"/>
    <w:rsid w:val="00186779"/>
    <w:rsid w:val="00186AD6"/>
    <w:rsid w:val="00186B9C"/>
    <w:rsid w:val="00186C9F"/>
    <w:rsid w:val="00186D5F"/>
    <w:rsid w:val="00186D9B"/>
    <w:rsid w:val="00186E1B"/>
    <w:rsid w:val="00186F99"/>
    <w:rsid w:val="001873EF"/>
    <w:rsid w:val="00187712"/>
    <w:rsid w:val="0018773C"/>
    <w:rsid w:val="00187A8D"/>
    <w:rsid w:val="00187AA5"/>
    <w:rsid w:val="00187B27"/>
    <w:rsid w:val="00187DE4"/>
    <w:rsid w:val="00187EB9"/>
    <w:rsid w:val="001901B0"/>
    <w:rsid w:val="0019042A"/>
    <w:rsid w:val="00190454"/>
    <w:rsid w:val="00190485"/>
    <w:rsid w:val="0019048B"/>
    <w:rsid w:val="00190712"/>
    <w:rsid w:val="00190723"/>
    <w:rsid w:val="001907F5"/>
    <w:rsid w:val="001909E6"/>
    <w:rsid w:val="00190FE6"/>
    <w:rsid w:val="00191056"/>
    <w:rsid w:val="00191143"/>
    <w:rsid w:val="001914EC"/>
    <w:rsid w:val="001918CB"/>
    <w:rsid w:val="001919E9"/>
    <w:rsid w:val="00191A18"/>
    <w:rsid w:val="00191EA7"/>
    <w:rsid w:val="00191F57"/>
    <w:rsid w:val="001920A1"/>
    <w:rsid w:val="001920EF"/>
    <w:rsid w:val="0019240F"/>
    <w:rsid w:val="0019248A"/>
    <w:rsid w:val="0019252E"/>
    <w:rsid w:val="001926FA"/>
    <w:rsid w:val="001927FA"/>
    <w:rsid w:val="0019287A"/>
    <w:rsid w:val="00192A86"/>
    <w:rsid w:val="00192B2D"/>
    <w:rsid w:val="00192BD5"/>
    <w:rsid w:val="00192D84"/>
    <w:rsid w:val="00192DF4"/>
    <w:rsid w:val="00192E46"/>
    <w:rsid w:val="00192E7A"/>
    <w:rsid w:val="00192F70"/>
    <w:rsid w:val="0019305D"/>
    <w:rsid w:val="00193231"/>
    <w:rsid w:val="001936C3"/>
    <w:rsid w:val="001936F8"/>
    <w:rsid w:val="001937EB"/>
    <w:rsid w:val="00193843"/>
    <w:rsid w:val="00193A7B"/>
    <w:rsid w:val="00193B27"/>
    <w:rsid w:val="00193CA5"/>
    <w:rsid w:val="00193CC6"/>
    <w:rsid w:val="00193D77"/>
    <w:rsid w:val="00194095"/>
    <w:rsid w:val="001941A6"/>
    <w:rsid w:val="00194398"/>
    <w:rsid w:val="001943DF"/>
    <w:rsid w:val="0019470B"/>
    <w:rsid w:val="00194740"/>
    <w:rsid w:val="00194B65"/>
    <w:rsid w:val="00194BE8"/>
    <w:rsid w:val="00194C17"/>
    <w:rsid w:val="00194D16"/>
    <w:rsid w:val="00194D95"/>
    <w:rsid w:val="00194D97"/>
    <w:rsid w:val="00194DD2"/>
    <w:rsid w:val="00194F68"/>
    <w:rsid w:val="0019536E"/>
    <w:rsid w:val="001953EC"/>
    <w:rsid w:val="00195507"/>
    <w:rsid w:val="00195698"/>
    <w:rsid w:val="00195AE3"/>
    <w:rsid w:val="00195CA0"/>
    <w:rsid w:val="00195D4E"/>
    <w:rsid w:val="00195E00"/>
    <w:rsid w:val="0019605C"/>
    <w:rsid w:val="00196478"/>
    <w:rsid w:val="001965D8"/>
    <w:rsid w:val="00196766"/>
    <w:rsid w:val="001967AD"/>
    <w:rsid w:val="00196985"/>
    <w:rsid w:val="00196A90"/>
    <w:rsid w:val="00196AA7"/>
    <w:rsid w:val="00196EE7"/>
    <w:rsid w:val="00196FA1"/>
    <w:rsid w:val="00196FFA"/>
    <w:rsid w:val="00197011"/>
    <w:rsid w:val="00197368"/>
    <w:rsid w:val="0019765B"/>
    <w:rsid w:val="00197897"/>
    <w:rsid w:val="001979C3"/>
    <w:rsid w:val="00197A25"/>
    <w:rsid w:val="00197DD2"/>
    <w:rsid w:val="001A00CF"/>
    <w:rsid w:val="001A0192"/>
    <w:rsid w:val="001A03D1"/>
    <w:rsid w:val="001A0476"/>
    <w:rsid w:val="001A057E"/>
    <w:rsid w:val="001A0733"/>
    <w:rsid w:val="001A084F"/>
    <w:rsid w:val="001A105C"/>
    <w:rsid w:val="001A1296"/>
    <w:rsid w:val="001A1362"/>
    <w:rsid w:val="001A149E"/>
    <w:rsid w:val="001A1578"/>
    <w:rsid w:val="001A17B2"/>
    <w:rsid w:val="001A1E8B"/>
    <w:rsid w:val="001A1F0B"/>
    <w:rsid w:val="001A1F73"/>
    <w:rsid w:val="001A2314"/>
    <w:rsid w:val="001A2441"/>
    <w:rsid w:val="001A2591"/>
    <w:rsid w:val="001A2655"/>
    <w:rsid w:val="001A26F8"/>
    <w:rsid w:val="001A284B"/>
    <w:rsid w:val="001A2A3E"/>
    <w:rsid w:val="001A2CF6"/>
    <w:rsid w:val="001A2DE0"/>
    <w:rsid w:val="001A325C"/>
    <w:rsid w:val="001A34EF"/>
    <w:rsid w:val="001A35C9"/>
    <w:rsid w:val="001A37AA"/>
    <w:rsid w:val="001A3C5A"/>
    <w:rsid w:val="001A3E96"/>
    <w:rsid w:val="001A3F71"/>
    <w:rsid w:val="001A40E5"/>
    <w:rsid w:val="001A4174"/>
    <w:rsid w:val="001A43AA"/>
    <w:rsid w:val="001A469D"/>
    <w:rsid w:val="001A48DA"/>
    <w:rsid w:val="001A4E7D"/>
    <w:rsid w:val="001A51BA"/>
    <w:rsid w:val="001A528F"/>
    <w:rsid w:val="001A59DD"/>
    <w:rsid w:val="001A5D78"/>
    <w:rsid w:val="001A63CB"/>
    <w:rsid w:val="001A6557"/>
    <w:rsid w:val="001A6900"/>
    <w:rsid w:val="001A6975"/>
    <w:rsid w:val="001A6DE9"/>
    <w:rsid w:val="001A6F76"/>
    <w:rsid w:val="001A701A"/>
    <w:rsid w:val="001A72D3"/>
    <w:rsid w:val="001A7377"/>
    <w:rsid w:val="001A73DB"/>
    <w:rsid w:val="001A7507"/>
    <w:rsid w:val="001A7560"/>
    <w:rsid w:val="001A77ED"/>
    <w:rsid w:val="001A7801"/>
    <w:rsid w:val="001A7902"/>
    <w:rsid w:val="001A7A4F"/>
    <w:rsid w:val="001A7BF1"/>
    <w:rsid w:val="001A7DEB"/>
    <w:rsid w:val="001ACE25"/>
    <w:rsid w:val="001B015F"/>
    <w:rsid w:val="001B0262"/>
    <w:rsid w:val="001B0309"/>
    <w:rsid w:val="001B075C"/>
    <w:rsid w:val="001B09C7"/>
    <w:rsid w:val="001B0CD1"/>
    <w:rsid w:val="001B0DCB"/>
    <w:rsid w:val="001B126B"/>
    <w:rsid w:val="001B133D"/>
    <w:rsid w:val="001B1386"/>
    <w:rsid w:val="001B154A"/>
    <w:rsid w:val="001B15D5"/>
    <w:rsid w:val="001B1773"/>
    <w:rsid w:val="001B17BE"/>
    <w:rsid w:val="001B1956"/>
    <w:rsid w:val="001B1AAB"/>
    <w:rsid w:val="001B1AE0"/>
    <w:rsid w:val="001B1AE5"/>
    <w:rsid w:val="001B1D9B"/>
    <w:rsid w:val="001B1EF6"/>
    <w:rsid w:val="001B2097"/>
    <w:rsid w:val="001B20C2"/>
    <w:rsid w:val="001B2183"/>
    <w:rsid w:val="001B22A1"/>
    <w:rsid w:val="001B22C0"/>
    <w:rsid w:val="001B2434"/>
    <w:rsid w:val="001B24AB"/>
    <w:rsid w:val="001B2721"/>
    <w:rsid w:val="001B275A"/>
    <w:rsid w:val="001B2945"/>
    <w:rsid w:val="001B2AF3"/>
    <w:rsid w:val="001B2B12"/>
    <w:rsid w:val="001B2DA3"/>
    <w:rsid w:val="001B2E18"/>
    <w:rsid w:val="001B3171"/>
    <w:rsid w:val="001B31C0"/>
    <w:rsid w:val="001B3419"/>
    <w:rsid w:val="001B354B"/>
    <w:rsid w:val="001B3761"/>
    <w:rsid w:val="001B3847"/>
    <w:rsid w:val="001B3A82"/>
    <w:rsid w:val="001B413A"/>
    <w:rsid w:val="001B42B5"/>
    <w:rsid w:val="001B43CD"/>
    <w:rsid w:val="001B44E7"/>
    <w:rsid w:val="001B45B3"/>
    <w:rsid w:val="001B477A"/>
    <w:rsid w:val="001B4926"/>
    <w:rsid w:val="001B4E13"/>
    <w:rsid w:val="001B5455"/>
    <w:rsid w:val="001B55CA"/>
    <w:rsid w:val="001B589D"/>
    <w:rsid w:val="001B5A87"/>
    <w:rsid w:val="001B5BC5"/>
    <w:rsid w:val="001B6073"/>
    <w:rsid w:val="001B670C"/>
    <w:rsid w:val="001B6985"/>
    <w:rsid w:val="001B6CD8"/>
    <w:rsid w:val="001B6CF6"/>
    <w:rsid w:val="001B6EF4"/>
    <w:rsid w:val="001B6F3F"/>
    <w:rsid w:val="001B6FF3"/>
    <w:rsid w:val="001B7080"/>
    <w:rsid w:val="001B70F3"/>
    <w:rsid w:val="001B713C"/>
    <w:rsid w:val="001B716B"/>
    <w:rsid w:val="001B7291"/>
    <w:rsid w:val="001B72D6"/>
    <w:rsid w:val="001B733C"/>
    <w:rsid w:val="001B76A0"/>
    <w:rsid w:val="001B7A3C"/>
    <w:rsid w:val="001B7A62"/>
    <w:rsid w:val="001B7D6C"/>
    <w:rsid w:val="001B7F16"/>
    <w:rsid w:val="001C0081"/>
    <w:rsid w:val="001C0188"/>
    <w:rsid w:val="001C029D"/>
    <w:rsid w:val="001C039F"/>
    <w:rsid w:val="001C03AC"/>
    <w:rsid w:val="001C0459"/>
    <w:rsid w:val="001C04DD"/>
    <w:rsid w:val="001C0ADE"/>
    <w:rsid w:val="001C0D21"/>
    <w:rsid w:val="001C0F0A"/>
    <w:rsid w:val="001C11A8"/>
    <w:rsid w:val="001C1227"/>
    <w:rsid w:val="001C1265"/>
    <w:rsid w:val="001C12C8"/>
    <w:rsid w:val="001C167F"/>
    <w:rsid w:val="001C174E"/>
    <w:rsid w:val="001C188D"/>
    <w:rsid w:val="001C1BDC"/>
    <w:rsid w:val="001C1C38"/>
    <w:rsid w:val="001C1FE8"/>
    <w:rsid w:val="001C2219"/>
    <w:rsid w:val="001C22AA"/>
    <w:rsid w:val="001C2395"/>
    <w:rsid w:val="001C25D7"/>
    <w:rsid w:val="001C2769"/>
    <w:rsid w:val="001C295F"/>
    <w:rsid w:val="001C2A5E"/>
    <w:rsid w:val="001C2F07"/>
    <w:rsid w:val="001C2F69"/>
    <w:rsid w:val="001C31E0"/>
    <w:rsid w:val="001C358B"/>
    <w:rsid w:val="001C3764"/>
    <w:rsid w:val="001C385D"/>
    <w:rsid w:val="001C3A0F"/>
    <w:rsid w:val="001C3A88"/>
    <w:rsid w:val="001C3B7B"/>
    <w:rsid w:val="001C3D4A"/>
    <w:rsid w:val="001C3FB2"/>
    <w:rsid w:val="001C42F4"/>
    <w:rsid w:val="001C439A"/>
    <w:rsid w:val="001C43BF"/>
    <w:rsid w:val="001C440D"/>
    <w:rsid w:val="001C441E"/>
    <w:rsid w:val="001C44E1"/>
    <w:rsid w:val="001C45FD"/>
    <w:rsid w:val="001C46F7"/>
    <w:rsid w:val="001C49AC"/>
    <w:rsid w:val="001C49E3"/>
    <w:rsid w:val="001C4CF2"/>
    <w:rsid w:val="001C4D58"/>
    <w:rsid w:val="001C4D6D"/>
    <w:rsid w:val="001C4DC9"/>
    <w:rsid w:val="001C4E07"/>
    <w:rsid w:val="001C4ED0"/>
    <w:rsid w:val="001C4FE3"/>
    <w:rsid w:val="001C504B"/>
    <w:rsid w:val="001C562B"/>
    <w:rsid w:val="001C5879"/>
    <w:rsid w:val="001C58C4"/>
    <w:rsid w:val="001C58DA"/>
    <w:rsid w:val="001C59F9"/>
    <w:rsid w:val="001C5A91"/>
    <w:rsid w:val="001C5B12"/>
    <w:rsid w:val="001C5BE2"/>
    <w:rsid w:val="001C5C88"/>
    <w:rsid w:val="001C5E7B"/>
    <w:rsid w:val="001C60D4"/>
    <w:rsid w:val="001C6219"/>
    <w:rsid w:val="001C64BD"/>
    <w:rsid w:val="001C69EB"/>
    <w:rsid w:val="001C6D9C"/>
    <w:rsid w:val="001C7408"/>
    <w:rsid w:val="001C75D3"/>
    <w:rsid w:val="001C78A7"/>
    <w:rsid w:val="001C7F24"/>
    <w:rsid w:val="001D0157"/>
    <w:rsid w:val="001D01EA"/>
    <w:rsid w:val="001D0212"/>
    <w:rsid w:val="001D0424"/>
    <w:rsid w:val="001D04A2"/>
    <w:rsid w:val="001D094C"/>
    <w:rsid w:val="001D0B8B"/>
    <w:rsid w:val="001D0DF8"/>
    <w:rsid w:val="001D0E1F"/>
    <w:rsid w:val="001D0FDD"/>
    <w:rsid w:val="001D11CF"/>
    <w:rsid w:val="001D137E"/>
    <w:rsid w:val="001D18CF"/>
    <w:rsid w:val="001D193C"/>
    <w:rsid w:val="001D1A33"/>
    <w:rsid w:val="001D1B8D"/>
    <w:rsid w:val="001D1BBF"/>
    <w:rsid w:val="001D1BF2"/>
    <w:rsid w:val="001D1E6D"/>
    <w:rsid w:val="001D20AC"/>
    <w:rsid w:val="001D2124"/>
    <w:rsid w:val="001D260C"/>
    <w:rsid w:val="001D27D5"/>
    <w:rsid w:val="001D2A65"/>
    <w:rsid w:val="001D2A99"/>
    <w:rsid w:val="001D2B2D"/>
    <w:rsid w:val="001D2D8F"/>
    <w:rsid w:val="001D3347"/>
    <w:rsid w:val="001D33CA"/>
    <w:rsid w:val="001D358C"/>
    <w:rsid w:val="001D36B7"/>
    <w:rsid w:val="001D38FE"/>
    <w:rsid w:val="001D393B"/>
    <w:rsid w:val="001D3A01"/>
    <w:rsid w:val="001D3A48"/>
    <w:rsid w:val="001D3B79"/>
    <w:rsid w:val="001D3C56"/>
    <w:rsid w:val="001D3F15"/>
    <w:rsid w:val="001D412C"/>
    <w:rsid w:val="001D41A0"/>
    <w:rsid w:val="001D430B"/>
    <w:rsid w:val="001D46A6"/>
    <w:rsid w:val="001D47E6"/>
    <w:rsid w:val="001D4928"/>
    <w:rsid w:val="001D4A82"/>
    <w:rsid w:val="001D50A8"/>
    <w:rsid w:val="001D50B7"/>
    <w:rsid w:val="001D5216"/>
    <w:rsid w:val="001D534F"/>
    <w:rsid w:val="001D54C5"/>
    <w:rsid w:val="001D55D6"/>
    <w:rsid w:val="001D565B"/>
    <w:rsid w:val="001D56BB"/>
    <w:rsid w:val="001D56ED"/>
    <w:rsid w:val="001D576B"/>
    <w:rsid w:val="001D5796"/>
    <w:rsid w:val="001D57EC"/>
    <w:rsid w:val="001D5F5E"/>
    <w:rsid w:val="001D5FBD"/>
    <w:rsid w:val="001D60E7"/>
    <w:rsid w:val="001D60F0"/>
    <w:rsid w:val="001D63E2"/>
    <w:rsid w:val="001D643C"/>
    <w:rsid w:val="001D643F"/>
    <w:rsid w:val="001D64D8"/>
    <w:rsid w:val="001D6E59"/>
    <w:rsid w:val="001D6EAF"/>
    <w:rsid w:val="001D6F70"/>
    <w:rsid w:val="001D711F"/>
    <w:rsid w:val="001D7404"/>
    <w:rsid w:val="001D7DAC"/>
    <w:rsid w:val="001D7DBF"/>
    <w:rsid w:val="001D7EA8"/>
    <w:rsid w:val="001E002A"/>
    <w:rsid w:val="001E022F"/>
    <w:rsid w:val="001E035D"/>
    <w:rsid w:val="001E0699"/>
    <w:rsid w:val="001E0758"/>
    <w:rsid w:val="001E0777"/>
    <w:rsid w:val="001E0781"/>
    <w:rsid w:val="001E086B"/>
    <w:rsid w:val="001E09AB"/>
    <w:rsid w:val="001E0B26"/>
    <w:rsid w:val="001E0B2C"/>
    <w:rsid w:val="001E0B53"/>
    <w:rsid w:val="001E0EC7"/>
    <w:rsid w:val="001E0FB7"/>
    <w:rsid w:val="001E1062"/>
    <w:rsid w:val="001E126E"/>
    <w:rsid w:val="001E13E9"/>
    <w:rsid w:val="001E16CC"/>
    <w:rsid w:val="001E16EF"/>
    <w:rsid w:val="001E1928"/>
    <w:rsid w:val="001E1BDD"/>
    <w:rsid w:val="001E1C4D"/>
    <w:rsid w:val="001E1C73"/>
    <w:rsid w:val="001E1DB4"/>
    <w:rsid w:val="001E1E1D"/>
    <w:rsid w:val="001E1F63"/>
    <w:rsid w:val="001E215C"/>
    <w:rsid w:val="001E261E"/>
    <w:rsid w:val="001E28EE"/>
    <w:rsid w:val="001E2A34"/>
    <w:rsid w:val="001E2A3F"/>
    <w:rsid w:val="001E2C8A"/>
    <w:rsid w:val="001E2F4D"/>
    <w:rsid w:val="001E324B"/>
    <w:rsid w:val="001E3385"/>
    <w:rsid w:val="001E33E3"/>
    <w:rsid w:val="001E35EC"/>
    <w:rsid w:val="001E3676"/>
    <w:rsid w:val="001E36D3"/>
    <w:rsid w:val="001E3843"/>
    <w:rsid w:val="001E38D2"/>
    <w:rsid w:val="001E3903"/>
    <w:rsid w:val="001E3BDE"/>
    <w:rsid w:val="001E3C6E"/>
    <w:rsid w:val="001E3F28"/>
    <w:rsid w:val="001E3FFD"/>
    <w:rsid w:val="001E412A"/>
    <w:rsid w:val="001E4456"/>
    <w:rsid w:val="001E459B"/>
    <w:rsid w:val="001E45AD"/>
    <w:rsid w:val="001E4659"/>
    <w:rsid w:val="001E46DA"/>
    <w:rsid w:val="001E4AFB"/>
    <w:rsid w:val="001E4F10"/>
    <w:rsid w:val="001E4F1D"/>
    <w:rsid w:val="001E51B3"/>
    <w:rsid w:val="001E523D"/>
    <w:rsid w:val="001E5422"/>
    <w:rsid w:val="001E5676"/>
    <w:rsid w:val="001E5677"/>
    <w:rsid w:val="001E5A59"/>
    <w:rsid w:val="001E5FBF"/>
    <w:rsid w:val="001E6458"/>
    <w:rsid w:val="001E6461"/>
    <w:rsid w:val="001E676F"/>
    <w:rsid w:val="001E6804"/>
    <w:rsid w:val="001E6886"/>
    <w:rsid w:val="001E69A9"/>
    <w:rsid w:val="001E6AF0"/>
    <w:rsid w:val="001E727A"/>
    <w:rsid w:val="001E7299"/>
    <w:rsid w:val="001E76D0"/>
    <w:rsid w:val="001E78C9"/>
    <w:rsid w:val="001E7950"/>
    <w:rsid w:val="001E7B44"/>
    <w:rsid w:val="001F00FA"/>
    <w:rsid w:val="001F0379"/>
    <w:rsid w:val="001F05B1"/>
    <w:rsid w:val="001F066E"/>
    <w:rsid w:val="001F072D"/>
    <w:rsid w:val="001F0917"/>
    <w:rsid w:val="001F0C59"/>
    <w:rsid w:val="001F0E03"/>
    <w:rsid w:val="001F0E27"/>
    <w:rsid w:val="001F11E6"/>
    <w:rsid w:val="001F11EA"/>
    <w:rsid w:val="001F14B8"/>
    <w:rsid w:val="001F17F3"/>
    <w:rsid w:val="001F1AC0"/>
    <w:rsid w:val="001F1B01"/>
    <w:rsid w:val="001F1B4C"/>
    <w:rsid w:val="001F1BDB"/>
    <w:rsid w:val="001F1DFD"/>
    <w:rsid w:val="001F1FD6"/>
    <w:rsid w:val="001F2539"/>
    <w:rsid w:val="001F26FC"/>
    <w:rsid w:val="001F2BE9"/>
    <w:rsid w:val="001F2C62"/>
    <w:rsid w:val="001F2EA3"/>
    <w:rsid w:val="001F3378"/>
    <w:rsid w:val="001F3455"/>
    <w:rsid w:val="001F352B"/>
    <w:rsid w:val="001F3724"/>
    <w:rsid w:val="001F3773"/>
    <w:rsid w:val="001F390C"/>
    <w:rsid w:val="001F3937"/>
    <w:rsid w:val="001F3CB1"/>
    <w:rsid w:val="001F3D54"/>
    <w:rsid w:val="001F3D8D"/>
    <w:rsid w:val="001F3E93"/>
    <w:rsid w:val="001F3F3C"/>
    <w:rsid w:val="001F4069"/>
    <w:rsid w:val="001F41D1"/>
    <w:rsid w:val="001F4283"/>
    <w:rsid w:val="001F4800"/>
    <w:rsid w:val="001F4863"/>
    <w:rsid w:val="001F488F"/>
    <w:rsid w:val="001F4D03"/>
    <w:rsid w:val="001F4ED4"/>
    <w:rsid w:val="001F4FCB"/>
    <w:rsid w:val="001F51FE"/>
    <w:rsid w:val="001F522F"/>
    <w:rsid w:val="001F53D2"/>
    <w:rsid w:val="001F5594"/>
    <w:rsid w:val="001F565A"/>
    <w:rsid w:val="001F567C"/>
    <w:rsid w:val="001F56E4"/>
    <w:rsid w:val="001F5718"/>
    <w:rsid w:val="001F57C1"/>
    <w:rsid w:val="001F5949"/>
    <w:rsid w:val="001F5A68"/>
    <w:rsid w:val="001F5AA9"/>
    <w:rsid w:val="001F5AB0"/>
    <w:rsid w:val="001F5DEB"/>
    <w:rsid w:val="001F5E17"/>
    <w:rsid w:val="001F5EE2"/>
    <w:rsid w:val="001F5F67"/>
    <w:rsid w:val="001F60B4"/>
    <w:rsid w:val="001F60EA"/>
    <w:rsid w:val="001F6245"/>
    <w:rsid w:val="001F666D"/>
    <w:rsid w:val="001F6795"/>
    <w:rsid w:val="001F6970"/>
    <w:rsid w:val="001F6C20"/>
    <w:rsid w:val="001F6E8C"/>
    <w:rsid w:val="001F718B"/>
    <w:rsid w:val="001F728C"/>
    <w:rsid w:val="001F72DC"/>
    <w:rsid w:val="001F774D"/>
    <w:rsid w:val="001F7835"/>
    <w:rsid w:val="001F793F"/>
    <w:rsid w:val="001F7AA3"/>
    <w:rsid w:val="001F7B17"/>
    <w:rsid w:val="001F7B76"/>
    <w:rsid w:val="001F7BC0"/>
    <w:rsid w:val="001F7E02"/>
    <w:rsid w:val="001F7E99"/>
    <w:rsid w:val="00200226"/>
    <w:rsid w:val="00200387"/>
    <w:rsid w:val="002004D2"/>
    <w:rsid w:val="00200DB1"/>
    <w:rsid w:val="00200F04"/>
    <w:rsid w:val="002011A6"/>
    <w:rsid w:val="00201452"/>
    <w:rsid w:val="0020150D"/>
    <w:rsid w:val="002017C6"/>
    <w:rsid w:val="0020184D"/>
    <w:rsid w:val="0020199F"/>
    <w:rsid w:val="00201D4E"/>
    <w:rsid w:val="00201E46"/>
    <w:rsid w:val="00201F57"/>
    <w:rsid w:val="00201F84"/>
    <w:rsid w:val="002020A7"/>
    <w:rsid w:val="002020D0"/>
    <w:rsid w:val="00202182"/>
    <w:rsid w:val="002026C9"/>
    <w:rsid w:val="00202734"/>
    <w:rsid w:val="0020291F"/>
    <w:rsid w:val="00202A53"/>
    <w:rsid w:val="00202E9C"/>
    <w:rsid w:val="00202EC5"/>
    <w:rsid w:val="00202ECB"/>
    <w:rsid w:val="00203194"/>
    <w:rsid w:val="002031B5"/>
    <w:rsid w:val="0020326B"/>
    <w:rsid w:val="0020328E"/>
    <w:rsid w:val="002035CF"/>
    <w:rsid w:val="0020365C"/>
    <w:rsid w:val="0020372E"/>
    <w:rsid w:val="00203957"/>
    <w:rsid w:val="0020396E"/>
    <w:rsid w:val="002039C3"/>
    <w:rsid w:val="00203D49"/>
    <w:rsid w:val="00203F71"/>
    <w:rsid w:val="00204002"/>
    <w:rsid w:val="00204129"/>
    <w:rsid w:val="002041D8"/>
    <w:rsid w:val="002045E6"/>
    <w:rsid w:val="00204654"/>
    <w:rsid w:val="0020466F"/>
    <w:rsid w:val="00204674"/>
    <w:rsid w:val="00204680"/>
    <w:rsid w:val="00204682"/>
    <w:rsid w:val="002047F1"/>
    <w:rsid w:val="002049E1"/>
    <w:rsid w:val="00204CE9"/>
    <w:rsid w:val="00204DF5"/>
    <w:rsid w:val="0020515C"/>
    <w:rsid w:val="0020526E"/>
    <w:rsid w:val="0020571B"/>
    <w:rsid w:val="002058E3"/>
    <w:rsid w:val="00205F92"/>
    <w:rsid w:val="0020611E"/>
    <w:rsid w:val="002063B7"/>
    <w:rsid w:val="00206587"/>
    <w:rsid w:val="00206606"/>
    <w:rsid w:val="00206681"/>
    <w:rsid w:val="002069BC"/>
    <w:rsid w:val="002069D5"/>
    <w:rsid w:val="00206B1F"/>
    <w:rsid w:val="00206B6C"/>
    <w:rsid w:val="00207306"/>
    <w:rsid w:val="002073D8"/>
    <w:rsid w:val="002078CC"/>
    <w:rsid w:val="00207D80"/>
    <w:rsid w:val="00207FDE"/>
    <w:rsid w:val="0021006C"/>
    <w:rsid w:val="002101B4"/>
    <w:rsid w:val="00210731"/>
    <w:rsid w:val="0021086C"/>
    <w:rsid w:val="00210A75"/>
    <w:rsid w:val="00210A82"/>
    <w:rsid w:val="00210A9F"/>
    <w:rsid w:val="00210E40"/>
    <w:rsid w:val="00210F23"/>
    <w:rsid w:val="00210FA2"/>
    <w:rsid w:val="00211001"/>
    <w:rsid w:val="002113C7"/>
    <w:rsid w:val="002114CC"/>
    <w:rsid w:val="0021157C"/>
    <w:rsid w:val="00211581"/>
    <w:rsid w:val="002116ED"/>
    <w:rsid w:val="00211754"/>
    <w:rsid w:val="002117D5"/>
    <w:rsid w:val="002117E6"/>
    <w:rsid w:val="002117FD"/>
    <w:rsid w:val="002118FB"/>
    <w:rsid w:val="00211B5D"/>
    <w:rsid w:val="00211D43"/>
    <w:rsid w:val="00211F5B"/>
    <w:rsid w:val="00211F9E"/>
    <w:rsid w:val="00211FCB"/>
    <w:rsid w:val="00211FEF"/>
    <w:rsid w:val="00212144"/>
    <w:rsid w:val="0021228D"/>
    <w:rsid w:val="002124BD"/>
    <w:rsid w:val="002126FB"/>
    <w:rsid w:val="00212B02"/>
    <w:rsid w:val="00212B16"/>
    <w:rsid w:val="00212C06"/>
    <w:rsid w:val="00212C54"/>
    <w:rsid w:val="00212D52"/>
    <w:rsid w:val="00212D5F"/>
    <w:rsid w:val="00212E37"/>
    <w:rsid w:val="00212F8D"/>
    <w:rsid w:val="002131A2"/>
    <w:rsid w:val="002133B7"/>
    <w:rsid w:val="00213ADD"/>
    <w:rsid w:val="00213B00"/>
    <w:rsid w:val="00213B11"/>
    <w:rsid w:val="00213BB0"/>
    <w:rsid w:val="0021429B"/>
    <w:rsid w:val="00214543"/>
    <w:rsid w:val="00214724"/>
    <w:rsid w:val="002148DE"/>
    <w:rsid w:val="00214900"/>
    <w:rsid w:val="00214DC0"/>
    <w:rsid w:val="00214E69"/>
    <w:rsid w:val="00214FA8"/>
    <w:rsid w:val="0021526A"/>
    <w:rsid w:val="0021593A"/>
    <w:rsid w:val="00215955"/>
    <w:rsid w:val="00215A06"/>
    <w:rsid w:val="00215AED"/>
    <w:rsid w:val="00215F0B"/>
    <w:rsid w:val="002160FE"/>
    <w:rsid w:val="002161B7"/>
    <w:rsid w:val="00216278"/>
    <w:rsid w:val="0021630A"/>
    <w:rsid w:val="0021640C"/>
    <w:rsid w:val="002164C4"/>
    <w:rsid w:val="002164C5"/>
    <w:rsid w:val="002169AC"/>
    <w:rsid w:val="00216B75"/>
    <w:rsid w:val="00216C66"/>
    <w:rsid w:val="00216CA3"/>
    <w:rsid w:val="00216D44"/>
    <w:rsid w:val="00216E2C"/>
    <w:rsid w:val="00217223"/>
    <w:rsid w:val="002172FC"/>
    <w:rsid w:val="00217619"/>
    <w:rsid w:val="00217730"/>
    <w:rsid w:val="00217792"/>
    <w:rsid w:val="0021787E"/>
    <w:rsid w:val="00217D72"/>
    <w:rsid w:val="00217F4F"/>
    <w:rsid w:val="0022006C"/>
    <w:rsid w:val="0022020A"/>
    <w:rsid w:val="002203E4"/>
    <w:rsid w:val="002207F3"/>
    <w:rsid w:val="002208A6"/>
    <w:rsid w:val="00220CF2"/>
    <w:rsid w:val="002211CE"/>
    <w:rsid w:val="00221386"/>
    <w:rsid w:val="00221556"/>
    <w:rsid w:val="002216B4"/>
    <w:rsid w:val="00221864"/>
    <w:rsid w:val="002218CB"/>
    <w:rsid w:val="002218FD"/>
    <w:rsid w:val="00221B25"/>
    <w:rsid w:val="00221C7F"/>
    <w:rsid w:val="00221E4A"/>
    <w:rsid w:val="00221EB8"/>
    <w:rsid w:val="00222107"/>
    <w:rsid w:val="00222141"/>
    <w:rsid w:val="00222695"/>
    <w:rsid w:val="0022278C"/>
    <w:rsid w:val="00222943"/>
    <w:rsid w:val="00222AC0"/>
    <w:rsid w:val="0022313A"/>
    <w:rsid w:val="00223376"/>
    <w:rsid w:val="00223784"/>
    <w:rsid w:val="002237CB"/>
    <w:rsid w:val="00223893"/>
    <w:rsid w:val="00223961"/>
    <w:rsid w:val="00223979"/>
    <w:rsid w:val="00223985"/>
    <w:rsid w:val="002239BB"/>
    <w:rsid w:val="00223A5E"/>
    <w:rsid w:val="00223A8B"/>
    <w:rsid w:val="00223C12"/>
    <w:rsid w:val="00223E4E"/>
    <w:rsid w:val="00223E9B"/>
    <w:rsid w:val="0022426E"/>
    <w:rsid w:val="0022441B"/>
    <w:rsid w:val="00224420"/>
    <w:rsid w:val="00224459"/>
    <w:rsid w:val="00224472"/>
    <w:rsid w:val="00224509"/>
    <w:rsid w:val="00224694"/>
    <w:rsid w:val="002248B4"/>
    <w:rsid w:val="0022491E"/>
    <w:rsid w:val="00224B04"/>
    <w:rsid w:val="00224C07"/>
    <w:rsid w:val="00224C2C"/>
    <w:rsid w:val="00224CD9"/>
    <w:rsid w:val="00224D29"/>
    <w:rsid w:val="00224E9E"/>
    <w:rsid w:val="00224FF0"/>
    <w:rsid w:val="0022504B"/>
    <w:rsid w:val="00225114"/>
    <w:rsid w:val="002252F7"/>
    <w:rsid w:val="0022532F"/>
    <w:rsid w:val="00225344"/>
    <w:rsid w:val="002254C0"/>
    <w:rsid w:val="0022557C"/>
    <w:rsid w:val="002255F2"/>
    <w:rsid w:val="00225712"/>
    <w:rsid w:val="002258A2"/>
    <w:rsid w:val="00225ACA"/>
    <w:rsid w:val="00225B3C"/>
    <w:rsid w:val="00225B53"/>
    <w:rsid w:val="002260B6"/>
    <w:rsid w:val="002260E7"/>
    <w:rsid w:val="002263DD"/>
    <w:rsid w:val="00226687"/>
    <w:rsid w:val="00226883"/>
    <w:rsid w:val="0022689E"/>
    <w:rsid w:val="002268F6"/>
    <w:rsid w:val="00226CEE"/>
    <w:rsid w:val="00226D33"/>
    <w:rsid w:val="00226E1D"/>
    <w:rsid w:val="00226E34"/>
    <w:rsid w:val="00226E5C"/>
    <w:rsid w:val="00227134"/>
    <w:rsid w:val="002271AC"/>
    <w:rsid w:val="002273F4"/>
    <w:rsid w:val="002279FD"/>
    <w:rsid w:val="00227A71"/>
    <w:rsid w:val="00227B8E"/>
    <w:rsid w:val="00227F0F"/>
    <w:rsid w:val="002302DD"/>
    <w:rsid w:val="002305CE"/>
    <w:rsid w:val="00230721"/>
    <w:rsid w:val="00230D39"/>
    <w:rsid w:val="00231129"/>
    <w:rsid w:val="0023172F"/>
    <w:rsid w:val="00231971"/>
    <w:rsid w:val="00231C61"/>
    <w:rsid w:val="00231CE8"/>
    <w:rsid w:val="00231D08"/>
    <w:rsid w:val="00231D2D"/>
    <w:rsid w:val="00231DEA"/>
    <w:rsid w:val="002322DD"/>
    <w:rsid w:val="00232796"/>
    <w:rsid w:val="002327BC"/>
    <w:rsid w:val="00232906"/>
    <w:rsid w:val="002329A2"/>
    <w:rsid w:val="00232D8F"/>
    <w:rsid w:val="00232E6B"/>
    <w:rsid w:val="00233313"/>
    <w:rsid w:val="002336E1"/>
    <w:rsid w:val="002337B6"/>
    <w:rsid w:val="00233989"/>
    <w:rsid w:val="00233DF8"/>
    <w:rsid w:val="0023407C"/>
    <w:rsid w:val="00234278"/>
    <w:rsid w:val="00234639"/>
    <w:rsid w:val="002349B1"/>
    <w:rsid w:val="00234C9D"/>
    <w:rsid w:val="00235446"/>
    <w:rsid w:val="00235547"/>
    <w:rsid w:val="0023583D"/>
    <w:rsid w:val="0023596C"/>
    <w:rsid w:val="00235A77"/>
    <w:rsid w:val="00235D44"/>
    <w:rsid w:val="0023624A"/>
    <w:rsid w:val="00236294"/>
    <w:rsid w:val="00236365"/>
    <w:rsid w:val="00236752"/>
    <w:rsid w:val="002368CC"/>
    <w:rsid w:val="0023694E"/>
    <w:rsid w:val="00236AB3"/>
    <w:rsid w:val="00236D2A"/>
    <w:rsid w:val="00236F35"/>
    <w:rsid w:val="00237042"/>
    <w:rsid w:val="0023745B"/>
    <w:rsid w:val="00237468"/>
    <w:rsid w:val="00237726"/>
    <w:rsid w:val="0023797A"/>
    <w:rsid w:val="00237C20"/>
    <w:rsid w:val="00237C8C"/>
    <w:rsid w:val="00237CB1"/>
    <w:rsid w:val="00237E00"/>
    <w:rsid w:val="0023E6CF"/>
    <w:rsid w:val="002400ED"/>
    <w:rsid w:val="0024025E"/>
    <w:rsid w:val="002403DD"/>
    <w:rsid w:val="00240576"/>
    <w:rsid w:val="00240BD1"/>
    <w:rsid w:val="00240C3C"/>
    <w:rsid w:val="00240F21"/>
    <w:rsid w:val="002411CA"/>
    <w:rsid w:val="00241281"/>
    <w:rsid w:val="002415A8"/>
    <w:rsid w:val="002418EA"/>
    <w:rsid w:val="002419B6"/>
    <w:rsid w:val="00241A09"/>
    <w:rsid w:val="00241A22"/>
    <w:rsid w:val="00241A91"/>
    <w:rsid w:val="00241AFA"/>
    <w:rsid w:val="00241E2E"/>
    <w:rsid w:val="00241EAD"/>
    <w:rsid w:val="00241FBF"/>
    <w:rsid w:val="002423EA"/>
    <w:rsid w:val="00242403"/>
    <w:rsid w:val="002425E0"/>
    <w:rsid w:val="002428BD"/>
    <w:rsid w:val="00242A5D"/>
    <w:rsid w:val="00242A61"/>
    <w:rsid w:val="00242A93"/>
    <w:rsid w:val="00242B97"/>
    <w:rsid w:val="00242E1B"/>
    <w:rsid w:val="00243081"/>
    <w:rsid w:val="002432E8"/>
    <w:rsid w:val="002435AC"/>
    <w:rsid w:val="00243601"/>
    <w:rsid w:val="0024370B"/>
    <w:rsid w:val="00243754"/>
    <w:rsid w:val="002439C4"/>
    <w:rsid w:val="00243ADD"/>
    <w:rsid w:val="00243C9C"/>
    <w:rsid w:val="00243CBB"/>
    <w:rsid w:val="00243F70"/>
    <w:rsid w:val="00244007"/>
    <w:rsid w:val="0024404F"/>
    <w:rsid w:val="0024435A"/>
    <w:rsid w:val="00244367"/>
    <w:rsid w:val="002449C2"/>
    <w:rsid w:val="00244BB6"/>
    <w:rsid w:val="00244CC3"/>
    <w:rsid w:val="002452DC"/>
    <w:rsid w:val="002454D7"/>
    <w:rsid w:val="00245554"/>
    <w:rsid w:val="00245ABA"/>
    <w:rsid w:val="00245BD5"/>
    <w:rsid w:val="00245C7E"/>
    <w:rsid w:val="00245EE3"/>
    <w:rsid w:val="00245F51"/>
    <w:rsid w:val="00245FD0"/>
    <w:rsid w:val="00246446"/>
    <w:rsid w:val="00246456"/>
    <w:rsid w:val="0024668E"/>
    <w:rsid w:val="0024672B"/>
    <w:rsid w:val="00246CFB"/>
    <w:rsid w:val="00246D7C"/>
    <w:rsid w:val="00246E75"/>
    <w:rsid w:val="00246ED5"/>
    <w:rsid w:val="002471F1"/>
    <w:rsid w:val="00247318"/>
    <w:rsid w:val="00247328"/>
    <w:rsid w:val="00247731"/>
    <w:rsid w:val="0024777D"/>
    <w:rsid w:val="002478A6"/>
    <w:rsid w:val="00247A47"/>
    <w:rsid w:val="00247C27"/>
    <w:rsid w:val="0025014B"/>
    <w:rsid w:val="0025032F"/>
    <w:rsid w:val="00250404"/>
    <w:rsid w:val="00250622"/>
    <w:rsid w:val="002508E0"/>
    <w:rsid w:val="00250A13"/>
    <w:rsid w:val="00250B4A"/>
    <w:rsid w:val="00250C52"/>
    <w:rsid w:val="00250C5F"/>
    <w:rsid w:val="00250DE1"/>
    <w:rsid w:val="00250E11"/>
    <w:rsid w:val="00251023"/>
    <w:rsid w:val="00251342"/>
    <w:rsid w:val="00251451"/>
    <w:rsid w:val="0025161B"/>
    <w:rsid w:val="0025162E"/>
    <w:rsid w:val="00251C01"/>
    <w:rsid w:val="00251C1A"/>
    <w:rsid w:val="00251ED8"/>
    <w:rsid w:val="00251F7D"/>
    <w:rsid w:val="00251F9A"/>
    <w:rsid w:val="00252035"/>
    <w:rsid w:val="0025242E"/>
    <w:rsid w:val="002524CF"/>
    <w:rsid w:val="00252553"/>
    <w:rsid w:val="002526B9"/>
    <w:rsid w:val="0025282C"/>
    <w:rsid w:val="00252887"/>
    <w:rsid w:val="00252D88"/>
    <w:rsid w:val="00252D8D"/>
    <w:rsid w:val="00252DD1"/>
    <w:rsid w:val="00253392"/>
    <w:rsid w:val="002535B0"/>
    <w:rsid w:val="002538F5"/>
    <w:rsid w:val="00253903"/>
    <w:rsid w:val="00253A73"/>
    <w:rsid w:val="00253F77"/>
    <w:rsid w:val="002544B1"/>
    <w:rsid w:val="00254584"/>
    <w:rsid w:val="00254AF4"/>
    <w:rsid w:val="00254B64"/>
    <w:rsid w:val="00254CE1"/>
    <w:rsid w:val="00255079"/>
    <w:rsid w:val="0025535B"/>
    <w:rsid w:val="00255854"/>
    <w:rsid w:val="00255883"/>
    <w:rsid w:val="00255A6C"/>
    <w:rsid w:val="002560B7"/>
    <w:rsid w:val="002564CF"/>
    <w:rsid w:val="00256584"/>
    <w:rsid w:val="00256704"/>
    <w:rsid w:val="0025680D"/>
    <w:rsid w:val="00256B8A"/>
    <w:rsid w:val="00256C57"/>
    <w:rsid w:val="00256CF7"/>
    <w:rsid w:val="00256F86"/>
    <w:rsid w:val="00257332"/>
    <w:rsid w:val="00257400"/>
    <w:rsid w:val="002574C4"/>
    <w:rsid w:val="00257607"/>
    <w:rsid w:val="002576CA"/>
    <w:rsid w:val="00257781"/>
    <w:rsid w:val="0025788C"/>
    <w:rsid w:val="00257B83"/>
    <w:rsid w:val="00257DEF"/>
    <w:rsid w:val="00257EEB"/>
    <w:rsid w:val="0025D2E3"/>
    <w:rsid w:val="00260551"/>
    <w:rsid w:val="002605B7"/>
    <w:rsid w:val="00260677"/>
    <w:rsid w:val="002609B4"/>
    <w:rsid w:val="00260A22"/>
    <w:rsid w:val="00260A24"/>
    <w:rsid w:val="00260A6D"/>
    <w:rsid w:val="00260FFB"/>
    <w:rsid w:val="00261156"/>
    <w:rsid w:val="0026168C"/>
    <w:rsid w:val="002617CC"/>
    <w:rsid w:val="002617F8"/>
    <w:rsid w:val="0026189B"/>
    <w:rsid w:val="00261A07"/>
    <w:rsid w:val="00261D23"/>
    <w:rsid w:val="00261EE8"/>
    <w:rsid w:val="00262088"/>
    <w:rsid w:val="0026211B"/>
    <w:rsid w:val="002622E6"/>
    <w:rsid w:val="00262417"/>
    <w:rsid w:val="00262743"/>
    <w:rsid w:val="0026279F"/>
    <w:rsid w:val="002627EC"/>
    <w:rsid w:val="002629CB"/>
    <w:rsid w:val="00262C2E"/>
    <w:rsid w:val="00262DB4"/>
    <w:rsid w:val="00262FA9"/>
    <w:rsid w:val="00263360"/>
    <w:rsid w:val="002634C8"/>
    <w:rsid w:val="0026356E"/>
    <w:rsid w:val="00263912"/>
    <w:rsid w:val="00263AB4"/>
    <w:rsid w:val="00263CBB"/>
    <w:rsid w:val="00263D50"/>
    <w:rsid w:val="00263DC0"/>
    <w:rsid w:val="00263E25"/>
    <w:rsid w:val="00263EFB"/>
    <w:rsid w:val="002640AE"/>
    <w:rsid w:val="002640DE"/>
    <w:rsid w:val="00264122"/>
    <w:rsid w:val="002646B7"/>
    <w:rsid w:val="002647E6"/>
    <w:rsid w:val="00264CE3"/>
    <w:rsid w:val="00264D1A"/>
    <w:rsid w:val="00264FFA"/>
    <w:rsid w:val="00265183"/>
    <w:rsid w:val="0026528E"/>
    <w:rsid w:val="00265324"/>
    <w:rsid w:val="002653D3"/>
    <w:rsid w:val="0026546C"/>
    <w:rsid w:val="002657D0"/>
    <w:rsid w:val="0026589E"/>
    <w:rsid w:val="00265D62"/>
    <w:rsid w:val="00265F72"/>
    <w:rsid w:val="0026633B"/>
    <w:rsid w:val="0026657D"/>
    <w:rsid w:val="002668EF"/>
    <w:rsid w:val="00266D8B"/>
    <w:rsid w:val="00266EE2"/>
    <w:rsid w:val="00267110"/>
    <w:rsid w:val="002671E5"/>
    <w:rsid w:val="00267318"/>
    <w:rsid w:val="002674B3"/>
    <w:rsid w:val="002674F0"/>
    <w:rsid w:val="0026763E"/>
    <w:rsid w:val="0026764F"/>
    <w:rsid w:val="00267AF7"/>
    <w:rsid w:val="00267C23"/>
    <w:rsid w:val="0027011F"/>
    <w:rsid w:val="002701CB"/>
    <w:rsid w:val="00270263"/>
    <w:rsid w:val="002702F8"/>
    <w:rsid w:val="002703EF"/>
    <w:rsid w:val="002706A9"/>
    <w:rsid w:val="002706E4"/>
    <w:rsid w:val="00270ABF"/>
    <w:rsid w:val="002712CA"/>
    <w:rsid w:val="002715F9"/>
    <w:rsid w:val="00271661"/>
    <w:rsid w:val="002719F1"/>
    <w:rsid w:val="00271C3C"/>
    <w:rsid w:val="00271E53"/>
    <w:rsid w:val="002721E2"/>
    <w:rsid w:val="002725DA"/>
    <w:rsid w:val="00272852"/>
    <w:rsid w:val="002729DC"/>
    <w:rsid w:val="00272CAD"/>
    <w:rsid w:val="002736DE"/>
    <w:rsid w:val="002739C5"/>
    <w:rsid w:val="00273A48"/>
    <w:rsid w:val="00273AD1"/>
    <w:rsid w:val="00273D3D"/>
    <w:rsid w:val="00274012"/>
    <w:rsid w:val="00274118"/>
    <w:rsid w:val="00274350"/>
    <w:rsid w:val="00274490"/>
    <w:rsid w:val="00274721"/>
    <w:rsid w:val="002747AB"/>
    <w:rsid w:val="00274A96"/>
    <w:rsid w:val="00274B4C"/>
    <w:rsid w:val="00274B8F"/>
    <w:rsid w:val="00274C55"/>
    <w:rsid w:val="00274DF9"/>
    <w:rsid w:val="002752C0"/>
    <w:rsid w:val="002752E7"/>
    <w:rsid w:val="00275515"/>
    <w:rsid w:val="002757E9"/>
    <w:rsid w:val="002758D3"/>
    <w:rsid w:val="00275A8C"/>
    <w:rsid w:val="00275FA6"/>
    <w:rsid w:val="002760B4"/>
    <w:rsid w:val="00276239"/>
    <w:rsid w:val="002763D9"/>
    <w:rsid w:val="00276553"/>
    <w:rsid w:val="002765A6"/>
    <w:rsid w:val="0027686E"/>
    <w:rsid w:val="00276FB7"/>
    <w:rsid w:val="00276FBE"/>
    <w:rsid w:val="00277037"/>
    <w:rsid w:val="00277479"/>
    <w:rsid w:val="0027798E"/>
    <w:rsid w:val="002779EE"/>
    <w:rsid w:val="00277B76"/>
    <w:rsid w:val="00277FC7"/>
    <w:rsid w:val="00280797"/>
    <w:rsid w:val="002809C5"/>
    <w:rsid w:val="00280AF0"/>
    <w:rsid w:val="00280B02"/>
    <w:rsid w:val="00280C09"/>
    <w:rsid w:val="00280CB9"/>
    <w:rsid w:val="00280DF8"/>
    <w:rsid w:val="0028140B"/>
    <w:rsid w:val="00281443"/>
    <w:rsid w:val="0028153D"/>
    <w:rsid w:val="0028156F"/>
    <w:rsid w:val="002817FE"/>
    <w:rsid w:val="0028187C"/>
    <w:rsid w:val="00281954"/>
    <w:rsid w:val="002819B6"/>
    <w:rsid w:val="00281A6C"/>
    <w:rsid w:val="00281ACB"/>
    <w:rsid w:val="00281F5B"/>
    <w:rsid w:val="00282083"/>
    <w:rsid w:val="002820DE"/>
    <w:rsid w:val="00282193"/>
    <w:rsid w:val="002821C7"/>
    <w:rsid w:val="0028223D"/>
    <w:rsid w:val="0028234C"/>
    <w:rsid w:val="0028236F"/>
    <w:rsid w:val="00282504"/>
    <w:rsid w:val="00282581"/>
    <w:rsid w:val="00282793"/>
    <w:rsid w:val="00282A1E"/>
    <w:rsid w:val="00282AF4"/>
    <w:rsid w:val="00282C58"/>
    <w:rsid w:val="00282E69"/>
    <w:rsid w:val="00282E8D"/>
    <w:rsid w:val="00282FE0"/>
    <w:rsid w:val="002830AA"/>
    <w:rsid w:val="00283226"/>
    <w:rsid w:val="0028327A"/>
    <w:rsid w:val="002835FA"/>
    <w:rsid w:val="002836AB"/>
    <w:rsid w:val="00283709"/>
    <w:rsid w:val="00283950"/>
    <w:rsid w:val="00283DB6"/>
    <w:rsid w:val="00284090"/>
    <w:rsid w:val="00284130"/>
    <w:rsid w:val="002842C4"/>
    <w:rsid w:val="00284324"/>
    <w:rsid w:val="002843CE"/>
    <w:rsid w:val="00284406"/>
    <w:rsid w:val="0028440B"/>
    <w:rsid w:val="00284452"/>
    <w:rsid w:val="00284A42"/>
    <w:rsid w:val="00284AD5"/>
    <w:rsid w:val="00284B56"/>
    <w:rsid w:val="00284B91"/>
    <w:rsid w:val="00284BCB"/>
    <w:rsid w:val="00284DE2"/>
    <w:rsid w:val="00285239"/>
    <w:rsid w:val="00285425"/>
    <w:rsid w:val="00285823"/>
    <w:rsid w:val="0028596A"/>
    <w:rsid w:val="002859CB"/>
    <w:rsid w:val="00285C79"/>
    <w:rsid w:val="00285D58"/>
    <w:rsid w:val="00285EAC"/>
    <w:rsid w:val="0028619B"/>
    <w:rsid w:val="00286275"/>
    <w:rsid w:val="00286561"/>
    <w:rsid w:val="002865E8"/>
    <w:rsid w:val="00286764"/>
    <w:rsid w:val="002867B0"/>
    <w:rsid w:val="00286957"/>
    <w:rsid w:val="002869C3"/>
    <w:rsid w:val="00286CA1"/>
    <w:rsid w:val="00286D50"/>
    <w:rsid w:val="00286E3F"/>
    <w:rsid w:val="00286FB8"/>
    <w:rsid w:val="002870CE"/>
    <w:rsid w:val="002870D8"/>
    <w:rsid w:val="002871A3"/>
    <w:rsid w:val="00287209"/>
    <w:rsid w:val="00287250"/>
    <w:rsid w:val="002872E2"/>
    <w:rsid w:val="0028759E"/>
    <w:rsid w:val="00287692"/>
    <w:rsid w:val="00287988"/>
    <w:rsid w:val="0028798B"/>
    <w:rsid w:val="00287C7C"/>
    <w:rsid w:val="00287C7F"/>
    <w:rsid w:val="00287DA6"/>
    <w:rsid w:val="00287DDD"/>
    <w:rsid w:val="00287DF0"/>
    <w:rsid w:val="00287E0F"/>
    <w:rsid w:val="00287F07"/>
    <w:rsid w:val="00290096"/>
    <w:rsid w:val="002900A4"/>
    <w:rsid w:val="002903CB"/>
    <w:rsid w:val="00290426"/>
    <w:rsid w:val="00290505"/>
    <w:rsid w:val="00290711"/>
    <w:rsid w:val="00290741"/>
    <w:rsid w:val="00290790"/>
    <w:rsid w:val="0029084B"/>
    <w:rsid w:val="00290878"/>
    <w:rsid w:val="00290A9A"/>
    <w:rsid w:val="00290DB9"/>
    <w:rsid w:val="002912BC"/>
    <w:rsid w:val="0029135C"/>
    <w:rsid w:val="002918F3"/>
    <w:rsid w:val="00291A3F"/>
    <w:rsid w:val="00291A72"/>
    <w:rsid w:val="00291C10"/>
    <w:rsid w:val="00291F0F"/>
    <w:rsid w:val="002920BD"/>
    <w:rsid w:val="002920D8"/>
    <w:rsid w:val="00292466"/>
    <w:rsid w:val="00292499"/>
    <w:rsid w:val="00292591"/>
    <w:rsid w:val="00292D4B"/>
    <w:rsid w:val="0029308E"/>
    <w:rsid w:val="00293563"/>
    <w:rsid w:val="0029385C"/>
    <w:rsid w:val="002939FA"/>
    <w:rsid w:val="00293C25"/>
    <w:rsid w:val="00293DCE"/>
    <w:rsid w:val="00293EB6"/>
    <w:rsid w:val="00293F7C"/>
    <w:rsid w:val="0029413B"/>
    <w:rsid w:val="002941C9"/>
    <w:rsid w:val="002941D2"/>
    <w:rsid w:val="0029454D"/>
    <w:rsid w:val="0029469A"/>
    <w:rsid w:val="002946A6"/>
    <w:rsid w:val="00294BEF"/>
    <w:rsid w:val="00294C36"/>
    <w:rsid w:val="00294CA9"/>
    <w:rsid w:val="00294CCE"/>
    <w:rsid w:val="00294E79"/>
    <w:rsid w:val="00295098"/>
    <w:rsid w:val="002950E6"/>
    <w:rsid w:val="002952A0"/>
    <w:rsid w:val="002956AA"/>
    <w:rsid w:val="00295768"/>
    <w:rsid w:val="00295DBC"/>
    <w:rsid w:val="00296120"/>
    <w:rsid w:val="0029613D"/>
    <w:rsid w:val="00296251"/>
    <w:rsid w:val="002965A1"/>
    <w:rsid w:val="00296A6F"/>
    <w:rsid w:val="00296CBA"/>
    <w:rsid w:val="0029704C"/>
    <w:rsid w:val="002970AE"/>
    <w:rsid w:val="00297107"/>
    <w:rsid w:val="0029726F"/>
    <w:rsid w:val="00297721"/>
    <w:rsid w:val="0029782B"/>
    <w:rsid w:val="00297965"/>
    <w:rsid w:val="00297C6B"/>
    <w:rsid w:val="00297CB3"/>
    <w:rsid w:val="002A025D"/>
    <w:rsid w:val="002A0425"/>
    <w:rsid w:val="002A0446"/>
    <w:rsid w:val="002A0604"/>
    <w:rsid w:val="002A06B1"/>
    <w:rsid w:val="002A081A"/>
    <w:rsid w:val="002A08C2"/>
    <w:rsid w:val="002A0C30"/>
    <w:rsid w:val="002A0D54"/>
    <w:rsid w:val="002A0E14"/>
    <w:rsid w:val="002A13B9"/>
    <w:rsid w:val="002A15D1"/>
    <w:rsid w:val="002A18F7"/>
    <w:rsid w:val="002A1CA5"/>
    <w:rsid w:val="002A1E1C"/>
    <w:rsid w:val="002A1F24"/>
    <w:rsid w:val="002A1FBB"/>
    <w:rsid w:val="002A20CE"/>
    <w:rsid w:val="002A23D1"/>
    <w:rsid w:val="002A2661"/>
    <w:rsid w:val="002A27DA"/>
    <w:rsid w:val="002A2922"/>
    <w:rsid w:val="002A2A80"/>
    <w:rsid w:val="002A2CB3"/>
    <w:rsid w:val="002A2CB8"/>
    <w:rsid w:val="002A2CF3"/>
    <w:rsid w:val="002A2D2B"/>
    <w:rsid w:val="002A2FD2"/>
    <w:rsid w:val="002A304C"/>
    <w:rsid w:val="002A3119"/>
    <w:rsid w:val="002A32B3"/>
    <w:rsid w:val="002A3363"/>
    <w:rsid w:val="002A36F8"/>
    <w:rsid w:val="002A3869"/>
    <w:rsid w:val="002A38F1"/>
    <w:rsid w:val="002A398D"/>
    <w:rsid w:val="002A3B80"/>
    <w:rsid w:val="002A3BC4"/>
    <w:rsid w:val="002A3C41"/>
    <w:rsid w:val="002A3E99"/>
    <w:rsid w:val="002A417A"/>
    <w:rsid w:val="002A4278"/>
    <w:rsid w:val="002A46FA"/>
    <w:rsid w:val="002A4721"/>
    <w:rsid w:val="002A47B9"/>
    <w:rsid w:val="002A47D4"/>
    <w:rsid w:val="002A4AA7"/>
    <w:rsid w:val="002A4C24"/>
    <w:rsid w:val="002A51CE"/>
    <w:rsid w:val="002A51FA"/>
    <w:rsid w:val="002A5A73"/>
    <w:rsid w:val="002A5BE5"/>
    <w:rsid w:val="002A5E7D"/>
    <w:rsid w:val="002A5EA9"/>
    <w:rsid w:val="002A60D1"/>
    <w:rsid w:val="002A637C"/>
    <w:rsid w:val="002A6D85"/>
    <w:rsid w:val="002A6EF8"/>
    <w:rsid w:val="002A6F90"/>
    <w:rsid w:val="002A6FB3"/>
    <w:rsid w:val="002A71D9"/>
    <w:rsid w:val="002A735A"/>
    <w:rsid w:val="002A7378"/>
    <w:rsid w:val="002A753D"/>
    <w:rsid w:val="002A7729"/>
    <w:rsid w:val="002A77D4"/>
    <w:rsid w:val="002A7804"/>
    <w:rsid w:val="002A7C58"/>
    <w:rsid w:val="002B01CD"/>
    <w:rsid w:val="002B0649"/>
    <w:rsid w:val="002B081A"/>
    <w:rsid w:val="002B087A"/>
    <w:rsid w:val="002B098F"/>
    <w:rsid w:val="002B0DB3"/>
    <w:rsid w:val="002B0F67"/>
    <w:rsid w:val="002B12E8"/>
    <w:rsid w:val="002B13ED"/>
    <w:rsid w:val="002B150A"/>
    <w:rsid w:val="002B1699"/>
    <w:rsid w:val="002B196D"/>
    <w:rsid w:val="002B1A0B"/>
    <w:rsid w:val="002B1B7D"/>
    <w:rsid w:val="002B1C1D"/>
    <w:rsid w:val="002B1CA4"/>
    <w:rsid w:val="002B1E49"/>
    <w:rsid w:val="002B1E6C"/>
    <w:rsid w:val="002B1F26"/>
    <w:rsid w:val="002B1F4A"/>
    <w:rsid w:val="002B2013"/>
    <w:rsid w:val="002B2138"/>
    <w:rsid w:val="002B22C1"/>
    <w:rsid w:val="002B267F"/>
    <w:rsid w:val="002B2A5D"/>
    <w:rsid w:val="002B2CD3"/>
    <w:rsid w:val="002B2E06"/>
    <w:rsid w:val="002B2EF2"/>
    <w:rsid w:val="002B2F46"/>
    <w:rsid w:val="002B3379"/>
    <w:rsid w:val="002B3476"/>
    <w:rsid w:val="002B34AA"/>
    <w:rsid w:val="002B34BF"/>
    <w:rsid w:val="002B39D0"/>
    <w:rsid w:val="002B3A3C"/>
    <w:rsid w:val="002B3A7E"/>
    <w:rsid w:val="002B3BEB"/>
    <w:rsid w:val="002B3E14"/>
    <w:rsid w:val="002B3EED"/>
    <w:rsid w:val="002B3FF3"/>
    <w:rsid w:val="002B420B"/>
    <w:rsid w:val="002B440E"/>
    <w:rsid w:val="002B4612"/>
    <w:rsid w:val="002B4633"/>
    <w:rsid w:val="002B46E1"/>
    <w:rsid w:val="002B4890"/>
    <w:rsid w:val="002B4AB2"/>
    <w:rsid w:val="002B4B00"/>
    <w:rsid w:val="002B4DC1"/>
    <w:rsid w:val="002B4E64"/>
    <w:rsid w:val="002B5478"/>
    <w:rsid w:val="002B54A7"/>
    <w:rsid w:val="002B55CF"/>
    <w:rsid w:val="002B5604"/>
    <w:rsid w:val="002B5723"/>
    <w:rsid w:val="002B5757"/>
    <w:rsid w:val="002B5827"/>
    <w:rsid w:val="002B5833"/>
    <w:rsid w:val="002B585A"/>
    <w:rsid w:val="002B58EC"/>
    <w:rsid w:val="002B599A"/>
    <w:rsid w:val="002B5A32"/>
    <w:rsid w:val="002B5AB3"/>
    <w:rsid w:val="002B5B03"/>
    <w:rsid w:val="002B5D5A"/>
    <w:rsid w:val="002B5EFD"/>
    <w:rsid w:val="002B5F74"/>
    <w:rsid w:val="002B6022"/>
    <w:rsid w:val="002B61D5"/>
    <w:rsid w:val="002B633C"/>
    <w:rsid w:val="002B6710"/>
    <w:rsid w:val="002B672C"/>
    <w:rsid w:val="002B68AD"/>
    <w:rsid w:val="002B6A79"/>
    <w:rsid w:val="002B6B03"/>
    <w:rsid w:val="002B6D14"/>
    <w:rsid w:val="002B6E4B"/>
    <w:rsid w:val="002B6FB4"/>
    <w:rsid w:val="002B7208"/>
    <w:rsid w:val="002B7354"/>
    <w:rsid w:val="002B7BD3"/>
    <w:rsid w:val="002B7F18"/>
    <w:rsid w:val="002C01BD"/>
    <w:rsid w:val="002C0696"/>
    <w:rsid w:val="002C0762"/>
    <w:rsid w:val="002C0882"/>
    <w:rsid w:val="002C0AAF"/>
    <w:rsid w:val="002C0B65"/>
    <w:rsid w:val="002C0F35"/>
    <w:rsid w:val="002C0F84"/>
    <w:rsid w:val="002C0F85"/>
    <w:rsid w:val="002C125F"/>
    <w:rsid w:val="002C1301"/>
    <w:rsid w:val="002C14CE"/>
    <w:rsid w:val="002C1596"/>
    <w:rsid w:val="002C165A"/>
    <w:rsid w:val="002C1999"/>
    <w:rsid w:val="002C1B00"/>
    <w:rsid w:val="002C1B1D"/>
    <w:rsid w:val="002C1BC3"/>
    <w:rsid w:val="002C1F77"/>
    <w:rsid w:val="002C2383"/>
    <w:rsid w:val="002C257B"/>
    <w:rsid w:val="002C2684"/>
    <w:rsid w:val="002C2897"/>
    <w:rsid w:val="002C29C5"/>
    <w:rsid w:val="002C2B9B"/>
    <w:rsid w:val="002C2BCD"/>
    <w:rsid w:val="002C2C31"/>
    <w:rsid w:val="002C2C5D"/>
    <w:rsid w:val="002C2C9D"/>
    <w:rsid w:val="002C2CF7"/>
    <w:rsid w:val="002C2F84"/>
    <w:rsid w:val="002C31D7"/>
    <w:rsid w:val="002C3274"/>
    <w:rsid w:val="002C34DA"/>
    <w:rsid w:val="002C3577"/>
    <w:rsid w:val="002C35BE"/>
    <w:rsid w:val="002C368A"/>
    <w:rsid w:val="002C3849"/>
    <w:rsid w:val="002C3AB4"/>
    <w:rsid w:val="002C3B1B"/>
    <w:rsid w:val="002C3D4E"/>
    <w:rsid w:val="002C4005"/>
    <w:rsid w:val="002C4155"/>
    <w:rsid w:val="002C436F"/>
    <w:rsid w:val="002C464E"/>
    <w:rsid w:val="002C4927"/>
    <w:rsid w:val="002C4999"/>
    <w:rsid w:val="002C4BD6"/>
    <w:rsid w:val="002C509D"/>
    <w:rsid w:val="002C53E6"/>
    <w:rsid w:val="002C55B0"/>
    <w:rsid w:val="002C565D"/>
    <w:rsid w:val="002C5751"/>
    <w:rsid w:val="002C5762"/>
    <w:rsid w:val="002C5973"/>
    <w:rsid w:val="002C5AD4"/>
    <w:rsid w:val="002C5B8B"/>
    <w:rsid w:val="002C5BB0"/>
    <w:rsid w:val="002C5C5F"/>
    <w:rsid w:val="002C6102"/>
    <w:rsid w:val="002C6219"/>
    <w:rsid w:val="002C65BB"/>
    <w:rsid w:val="002C6611"/>
    <w:rsid w:val="002C66A0"/>
    <w:rsid w:val="002C6828"/>
    <w:rsid w:val="002C6923"/>
    <w:rsid w:val="002C6942"/>
    <w:rsid w:val="002C6979"/>
    <w:rsid w:val="002C69A2"/>
    <w:rsid w:val="002C6AF8"/>
    <w:rsid w:val="002C6B15"/>
    <w:rsid w:val="002C6B8D"/>
    <w:rsid w:val="002C6CA5"/>
    <w:rsid w:val="002C6E90"/>
    <w:rsid w:val="002C6EFD"/>
    <w:rsid w:val="002C766E"/>
    <w:rsid w:val="002C7FB3"/>
    <w:rsid w:val="002D0002"/>
    <w:rsid w:val="002D02B9"/>
    <w:rsid w:val="002D0338"/>
    <w:rsid w:val="002D041D"/>
    <w:rsid w:val="002D044C"/>
    <w:rsid w:val="002D05F9"/>
    <w:rsid w:val="002D066F"/>
    <w:rsid w:val="002D07FD"/>
    <w:rsid w:val="002D090B"/>
    <w:rsid w:val="002D0E25"/>
    <w:rsid w:val="002D1111"/>
    <w:rsid w:val="002D1369"/>
    <w:rsid w:val="002D1559"/>
    <w:rsid w:val="002D159F"/>
    <w:rsid w:val="002D1694"/>
    <w:rsid w:val="002D1890"/>
    <w:rsid w:val="002D1BE1"/>
    <w:rsid w:val="002D1F53"/>
    <w:rsid w:val="002D213F"/>
    <w:rsid w:val="002D2232"/>
    <w:rsid w:val="002D2308"/>
    <w:rsid w:val="002D2399"/>
    <w:rsid w:val="002D2701"/>
    <w:rsid w:val="002D278D"/>
    <w:rsid w:val="002D281F"/>
    <w:rsid w:val="002D2F29"/>
    <w:rsid w:val="002D2FE3"/>
    <w:rsid w:val="002D3015"/>
    <w:rsid w:val="002D3083"/>
    <w:rsid w:val="002D309E"/>
    <w:rsid w:val="002D32B6"/>
    <w:rsid w:val="002D32E2"/>
    <w:rsid w:val="002D33E2"/>
    <w:rsid w:val="002D3407"/>
    <w:rsid w:val="002D34B3"/>
    <w:rsid w:val="002D396B"/>
    <w:rsid w:val="002D3C92"/>
    <w:rsid w:val="002D3D96"/>
    <w:rsid w:val="002D3DA3"/>
    <w:rsid w:val="002D3DB7"/>
    <w:rsid w:val="002D3F2F"/>
    <w:rsid w:val="002D417C"/>
    <w:rsid w:val="002D41B5"/>
    <w:rsid w:val="002D4357"/>
    <w:rsid w:val="002D45A7"/>
    <w:rsid w:val="002D45D0"/>
    <w:rsid w:val="002D4A93"/>
    <w:rsid w:val="002D4C15"/>
    <w:rsid w:val="002D50D2"/>
    <w:rsid w:val="002D5165"/>
    <w:rsid w:val="002D536D"/>
    <w:rsid w:val="002D546B"/>
    <w:rsid w:val="002D5866"/>
    <w:rsid w:val="002D58EC"/>
    <w:rsid w:val="002D5972"/>
    <w:rsid w:val="002D59A3"/>
    <w:rsid w:val="002D5C0D"/>
    <w:rsid w:val="002D5C2F"/>
    <w:rsid w:val="002D5E57"/>
    <w:rsid w:val="002D62D6"/>
    <w:rsid w:val="002D64B6"/>
    <w:rsid w:val="002D65BF"/>
    <w:rsid w:val="002D67B6"/>
    <w:rsid w:val="002D698B"/>
    <w:rsid w:val="002D6A08"/>
    <w:rsid w:val="002D6B21"/>
    <w:rsid w:val="002D6B2D"/>
    <w:rsid w:val="002D6C8F"/>
    <w:rsid w:val="002D6CC0"/>
    <w:rsid w:val="002D6D03"/>
    <w:rsid w:val="002D6D15"/>
    <w:rsid w:val="002D6F63"/>
    <w:rsid w:val="002D7216"/>
    <w:rsid w:val="002D7369"/>
    <w:rsid w:val="002D7481"/>
    <w:rsid w:val="002D75C1"/>
    <w:rsid w:val="002D760A"/>
    <w:rsid w:val="002D7728"/>
    <w:rsid w:val="002D7828"/>
    <w:rsid w:val="002D7BDB"/>
    <w:rsid w:val="002D7E8B"/>
    <w:rsid w:val="002E0494"/>
    <w:rsid w:val="002E058D"/>
    <w:rsid w:val="002E05DC"/>
    <w:rsid w:val="002E0777"/>
    <w:rsid w:val="002E07A1"/>
    <w:rsid w:val="002E0B88"/>
    <w:rsid w:val="002E0D4F"/>
    <w:rsid w:val="002E1190"/>
    <w:rsid w:val="002E1223"/>
    <w:rsid w:val="002E1419"/>
    <w:rsid w:val="002E165F"/>
    <w:rsid w:val="002E1717"/>
    <w:rsid w:val="002E1750"/>
    <w:rsid w:val="002E1901"/>
    <w:rsid w:val="002E19CF"/>
    <w:rsid w:val="002E1C0C"/>
    <w:rsid w:val="002E1C3B"/>
    <w:rsid w:val="002E1E19"/>
    <w:rsid w:val="002E20F1"/>
    <w:rsid w:val="002E218A"/>
    <w:rsid w:val="002E21F5"/>
    <w:rsid w:val="002E28A6"/>
    <w:rsid w:val="002E2D87"/>
    <w:rsid w:val="002E2F63"/>
    <w:rsid w:val="002E2FC8"/>
    <w:rsid w:val="002E2FEF"/>
    <w:rsid w:val="002E327E"/>
    <w:rsid w:val="002E33FD"/>
    <w:rsid w:val="002E34EF"/>
    <w:rsid w:val="002E3642"/>
    <w:rsid w:val="002E365E"/>
    <w:rsid w:val="002E370A"/>
    <w:rsid w:val="002E3769"/>
    <w:rsid w:val="002E3771"/>
    <w:rsid w:val="002E3AE1"/>
    <w:rsid w:val="002E3B1C"/>
    <w:rsid w:val="002E3F94"/>
    <w:rsid w:val="002E4171"/>
    <w:rsid w:val="002E4352"/>
    <w:rsid w:val="002E43DF"/>
    <w:rsid w:val="002E462F"/>
    <w:rsid w:val="002E481A"/>
    <w:rsid w:val="002E4DDE"/>
    <w:rsid w:val="002E4E41"/>
    <w:rsid w:val="002E5227"/>
    <w:rsid w:val="002E5610"/>
    <w:rsid w:val="002E5863"/>
    <w:rsid w:val="002E58D5"/>
    <w:rsid w:val="002E591C"/>
    <w:rsid w:val="002E5BF6"/>
    <w:rsid w:val="002E5C5D"/>
    <w:rsid w:val="002E5D8B"/>
    <w:rsid w:val="002E5DDD"/>
    <w:rsid w:val="002E5FDD"/>
    <w:rsid w:val="002E6064"/>
    <w:rsid w:val="002E6204"/>
    <w:rsid w:val="002E636B"/>
    <w:rsid w:val="002E63E9"/>
    <w:rsid w:val="002E63FA"/>
    <w:rsid w:val="002E640A"/>
    <w:rsid w:val="002E6567"/>
    <w:rsid w:val="002E6574"/>
    <w:rsid w:val="002E6656"/>
    <w:rsid w:val="002E6879"/>
    <w:rsid w:val="002E6928"/>
    <w:rsid w:val="002E6EAE"/>
    <w:rsid w:val="002E7502"/>
    <w:rsid w:val="002E7595"/>
    <w:rsid w:val="002E75E9"/>
    <w:rsid w:val="002E76BB"/>
    <w:rsid w:val="002E7775"/>
    <w:rsid w:val="002E7A92"/>
    <w:rsid w:val="002E7D79"/>
    <w:rsid w:val="002E7DA4"/>
    <w:rsid w:val="002E7DED"/>
    <w:rsid w:val="002E7EC6"/>
    <w:rsid w:val="002E7F89"/>
    <w:rsid w:val="002F0036"/>
    <w:rsid w:val="002F019A"/>
    <w:rsid w:val="002F01F1"/>
    <w:rsid w:val="002F0270"/>
    <w:rsid w:val="002F0340"/>
    <w:rsid w:val="002F06C7"/>
    <w:rsid w:val="002F07FD"/>
    <w:rsid w:val="002F0A51"/>
    <w:rsid w:val="002F0B27"/>
    <w:rsid w:val="002F0C81"/>
    <w:rsid w:val="002F0D59"/>
    <w:rsid w:val="002F0E2C"/>
    <w:rsid w:val="002F0F4A"/>
    <w:rsid w:val="002F0F53"/>
    <w:rsid w:val="002F10B9"/>
    <w:rsid w:val="002F14D4"/>
    <w:rsid w:val="002F1600"/>
    <w:rsid w:val="002F1AAC"/>
    <w:rsid w:val="002F1AD2"/>
    <w:rsid w:val="002F1B19"/>
    <w:rsid w:val="002F1B53"/>
    <w:rsid w:val="002F1DEB"/>
    <w:rsid w:val="002F1EC7"/>
    <w:rsid w:val="002F20F4"/>
    <w:rsid w:val="002F2407"/>
    <w:rsid w:val="002F249A"/>
    <w:rsid w:val="002F27BC"/>
    <w:rsid w:val="002F293C"/>
    <w:rsid w:val="002F2AE4"/>
    <w:rsid w:val="002F2B1C"/>
    <w:rsid w:val="002F2B5F"/>
    <w:rsid w:val="002F2DBA"/>
    <w:rsid w:val="002F2E48"/>
    <w:rsid w:val="002F308E"/>
    <w:rsid w:val="002F3102"/>
    <w:rsid w:val="002F329F"/>
    <w:rsid w:val="002F3300"/>
    <w:rsid w:val="002F3312"/>
    <w:rsid w:val="002F36F6"/>
    <w:rsid w:val="002F377A"/>
    <w:rsid w:val="002F37B8"/>
    <w:rsid w:val="002F3837"/>
    <w:rsid w:val="002F3ACD"/>
    <w:rsid w:val="002F3BC2"/>
    <w:rsid w:val="002F3C30"/>
    <w:rsid w:val="002F3F83"/>
    <w:rsid w:val="002F4125"/>
    <w:rsid w:val="002F42CC"/>
    <w:rsid w:val="002F4409"/>
    <w:rsid w:val="002F4524"/>
    <w:rsid w:val="002F48ED"/>
    <w:rsid w:val="002F498A"/>
    <w:rsid w:val="002F4FE7"/>
    <w:rsid w:val="002F51CB"/>
    <w:rsid w:val="002F529F"/>
    <w:rsid w:val="002F53D6"/>
    <w:rsid w:val="002F5AC6"/>
    <w:rsid w:val="002F5BC1"/>
    <w:rsid w:val="002F5BFA"/>
    <w:rsid w:val="002F5D17"/>
    <w:rsid w:val="002F5FDB"/>
    <w:rsid w:val="002F6181"/>
    <w:rsid w:val="002F618D"/>
    <w:rsid w:val="002F62AD"/>
    <w:rsid w:val="002F62E2"/>
    <w:rsid w:val="002F631A"/>
    <w:rsid w:val="002F63FF"/>
    <w:rsid w:val="002F667C"/>
    <w:rsid w:val="002F673D"/>
    <w:rsid w:val="002F67A6"/>
    <w:rsid w:val="002F6942"/>
    <w:rsid w:val="002F69BA"/>
    <w:rsid w:val="002F6A1F"/>
    <w:rsid w:val="002F6BEB"/>
    <w:rsid w:val="002F703B"/>
    <w:rsid w:val="002F70B5"/>
    <w:rsid w:val="002F7132"/>
    <w:rsid w:val="002F7340"/>
    <w:rsid w:val="002F75B5"/>
    <w:rsid w:val="002F7911"/>
    <w:rsid w:val="002F7B8E"/>
    <w:rsid w:val="002F7CAD"/>
    <w:rsid w:val="002F7D4A"/>
    <w:rsid w:val="002F7DE3"/>
    <w:rsid w:val="002F7E2E"/>
    <w:rsid w:val="0030001F"/>
    <w:rsid w:val="003000F6"/>
    <w:rsid w:val="003007F7"/>
    <w:rsid w:val="003009BF"/>
    <w:rsid w:val="00300B12"/>
    <w:rsid w:val="00300C2E"/>
    <w:rsid w:val="00300C40"/>
    <w:rsid w:val="0030120A"/>
    <w:rsid w:val="00301224"/>
    <w:rsid w:val="00301277"/>
    <w:rsid w:val="003014D4"/>
    <w:rsid w:val="00301671"/>
    <w:rsid w:val="0030177B"/>
    <w:rsid w:val="003017C5"/>
    <w:rsid w:val="00301E54"/>
    <w:rsid w:val="00301E73"/>
    <w:rsid w:val="00302042"/>
    <w:rsid w:val="003024EF"/>
    <w:rsid w:val="003025DC"/>
    <w:rsid w:val="003026E2"/>
    <w:rsid w:val="003026F5"/>
    <w:rsid w:val="00302720"/>
    <w:rsid w:val="00302BE8"/>
    <w:rsid w:val="00302BF2"/>
    <w:rsid w:val="00302E12"/>
    <w:rsid w:val="00302F20"/>
    <w:rsid w:val="003038C7"/>
    <w:rsid w:val="00303A4D"/>
    <w:rsid w:val="00303B80"/>
    <w:rsid w:val="00303E80"/>
    <w:rsid w:val="00304020"/>
    <w:rsid w:val="00304135"/>
    <w:rsid w:val="003041F8"/>
    <w:rsid w:val="0030435E"/>
    <w:rsid w:val="003044FB"/>
    <w:rsid w:val="00304780"/>
    <w:rsid w:val="0030488C"/>
    <w:rsid w:val="00304912"/>
    <w:rsid w:val="00304A2A"/>
    <w:rsid w:val="003052ED"/>
    <w:rsid w:val="00305361"/>
    <w:rsid w:val="00305406"/>
    <w:rsid w:val="00305444"/>
    <w:rsid w:val="003054B9"/>
    <w:rsid w:val="00305591"/>
    <w:rsid w:val="003055EE"/>
    <w:rsid w:val="00305822"/>
    <w:rsid w:val="003058E9"/>
    <w:rsid w:val="00305A4A"/>
    <w:rsid w:val="00305BC8"/>
    <w:rsid w:val="00305D55"/>
    <w:rsid w:val="00306016"/>
    <w:rsid w:val="0030613F"/>
    <w:rsid w:val="00306193"/>
    <w:rsid w:val="003061E2"/>
    <w:rsid w:val="0030635D"/>
    <w:rsid w:val="0030645B"/>
    <w:rsid w:val="003066C2"/>
    <w:rsid w:val="003067E5"/>
    <w:rsid w:val="00306880"/>
    <w:rsid w:val="003068B0"/>
    <w:rsid w:val="00306BC0"/>
    <w:rsid w:val="00306C85"/>
    <w:rsid w:val="00306EB9"/>
    <w:rsid w:val="00306FB7"/>
    <w:rsid w:val="00307284"/>
    <w:rsid w:val="00307383"/>
    <w:rsid w:val="00307519"/>
    <w:rsid w:val="00307938"/>
    <w:rsid w:val="0030798D"/>
    <w:rsid w:val="00307E73"/>
    <w:rsid w:val="00307FD8"/>
    <w:rsid w:val="003105F2"/>
    <w:rsid w:val="00310675"/>
    <w:rsid w:val="0031078A"/>
    <w:rsid w:val="0031095D"/>
    <w:rsid w:val="00310B21"/>
    <w:rsid w:val="00310EE1"/>
    <w:rsid w:val="00310FA6"/>
    <w:rsid w:val="00310FD5"/>
    <w:rsid w:val="00311198"/>
    <w:rsid w:val="003112DC"/>
    <w:rsid w:val="0031165A"/>
    <w:rsid w:val="00311823"/>
    <w:rsid w:val="00311A0F"/>
    <w:rsid w:val="00311B39"/>
    <w:rsid w:val="00311C0E"/>
    <w:rsid w:val="00311CE4"/>
    <w:rsid w:val="00311E9B"/>
    <w:rsid w:val="00312030"/>
    <w:rsid w:val="003122EB"/>
    <w:rsid w:val="00312302"/>
    <w:rsid w:val="0031236E"/>
    <w:rsid w:val="0031238F"/>
    <w:rsid w:val="003126BA"/>
    <w:rsid w:val="0031295D"/>
    <w:rsid w:val="00312A0C"/>
    <w:rsid w:val="00312A1C"/>
    <w:rsid w:val="00312E97"/>
    <w:rsid w:val="00312F4D"/>
    <w:rsid w:val="0031315A"/>
    <w:rsid w:val="00313AAB"/>
    <w:rsid w:val="00313C2E"/>
    <w:rsid w:val="00313CEB"/>
    <w:rsid w:val="00313FBE"/>
    <w:rsid w:val="00314265"/>
    <w:rsid w:val="0031438E"/>
    <w:rsid w:val="0031445D"/>
    <w:rsid w:val="00314501"/>
    <w:rsid w:val="003145B8"/>
    <w:rsid w:val="00314627"/>
    <w:rsid w:val="003147F7"/>
    <w:rsid w:val="00314A57"/>
    <w:rsid w:val="00314B10"/>
    <w:rsid w:val="00314C12"/>
    <w:rsid w:val="00314E4B"/>
    <w:rsid w:val="00314F58"/>
    <w:rsid w:val="00315319"/>
    <w:rsid w:val="003153B7"/>
    <w:rsid w:val="003155C7"/>
    <w:rsid w:val="0031564E"/>
    <w:rsid w:val="003157AA"/>
    <w:rsid w:val="003159F1"/>
    <w:rsid w:val="00315B21"/>
    <w:rsid w:val="00315B5E"/>
    <w:rsid w:val="00315B63"/>
    <w:rsid w:val="00315B91"/>
    <w:rsid w:val="00316223"/>
    <w:rsid w:val="00316597"/>
    <w:rsid w:val="003168DD"/>
    <w:rsid w:val="00316A23"/>
    <w:rsid w:val="00316B5E"/>
    <w:rsid w:val="00316CF7"/>
    <w:rsid w:val="00316D7D"/>
    <w:rsid w:val="00316EF3"/>
    <w:rsid w:val="003170CF"/>
    <w:rsid w:val="003174D8"/>
    <w:rsid w:val="00317621"/>
    <w:rsid w:val="00317744"/>
    <w:rsid w:val="00317797"/>
    <w:rsid w:val="003177F0"/>
    <w:rsid w:val="003178CC"/>
    <w:rsid w:val="003178FE"/>
    <w:rsid w:val="003179ED"/>
    <w:rsid w:val="00317AA7"/>
    <w:rsid w:val="00317AD0"/>
    <w:rsid w:val="00317BED"/>
    <w:rsid w:val="00317CF7"/>
    <w:rsid w:val="00317D16"/>
    <w:rsid w:val="00317EFB"/>
    <w:rsid w:val="00317F80"/>
    <w:rsid w:val="0032003A"/>
    <w:rsid w:val="003205B7"/>
    <w:rsid w:val="00320892"/>
    <w:rsid w:val="003208C5"/>
    <w:rsid w:val="003208C7"/>
    <w:rsid w:val="00320970"/>
    <w:rsid w:val="00320A4C"/>
    <w:rsid w:val="00320B5B"/>
    <w:rsid w:val="00320BEF"/>
    <w:rsid w:val="00320C1D"/>
    <w:rsid w:val="00320C98"/>
    <w:rsid w:val="00320CB5"/>
    <w:rsid w:val="00320F25"/>
    <w:rsid w:val="0032105A"/>
    <w:rsid w:val="003211F6"/>
    <w:rsid w:val="0032159A"/>
    <w:rsid w:val="00321D03"/>
    <w:rsid w:val="00321D35"/>
    <w:rsid w:val="00321EF8"/>
    <w:rsid w:val="00321F0D"/>
    <w:rsid w:val="00322052"/>
    <w:rsid w:val="0032216A"/>
    <w:rsid w:val="0032236E"/>
    <w:rsid w:val="0032272B"/>
    <w:rsid w:val="00322893"/>
    <w:rsid w:val="00322895"/>
    <w:rsid w:val="00322E3E"/>
    <w:rsid w:val="0032323D"/>
    <w:rsid w:val="0032328F"/>
    <w:rsid w:val="00323578"/>
    <w:rsid w:val="00323781"/>
    <w:rsid w:val="003238F9"/>
    <w:rsid w:val="003239A0"/>
    <w:rsid w:val="00323ACA"/>
    <w:rsid w:val="00323C74"/>
    <w:rsid w:val="00323CE8"/>
    <w:rsid w:val="00323E35"/>
    <w:rsid w:val="00323F04"/>
    <w:rsid w:val="00323FA5"/>
    <w:rsid w:val="00324062"/>
    <w:rsid w:val="003241C6"/>
    <w:rsid w:val="00324347"/>
    <w:rsid w:val="00324397"/>
    <w:rsid w:val="003246C1"/>
    <w:rsid w:val="00324996"/>
    <w:rsid w:val="00324B35"/>
    <w:rsid w:val="00324D02"/>
    <w:rsid w:val="00324DF1"/>
    <w:rsid w:val="00324EC4"/>
    <w:rsid w:val="00324F0C"/>
    <w:rsid w:val="00324FF1"/>
    <w:rsid w:val="0032552E"/>
    <w:rsid w:val="00325628"/>
    <w:rsid w:val="00325721"/>
    <w:rsid w:val="00325793"/>
    <w:rsid w:val="003259D2"/>
    <w:rsid w:val="003259E3"/>
    <w:rsid w:val="00325AB7"/>
    <w:rsid w:val="00325B9B"/>
    <w:rsid w:val="00325FDB"/>
    <w:rsid w:val="003262A9"/>
    <w:rsid w:val="00326774"/>
    <w:rsid w:val="00326844"/>
    <w:rsid w:val="00326E91"/>
    <w:rsid w:val="00326EB0"/>
    <w:rsid w:val="00326FAA"/>
    <w:rsid w:val="0032700D"/>
    <w:rsid w:val="003270FB"/>
    <w:rsid w:val="00327208"/>
    <w:rsid w:val="003277C3"/>
    <w:rsid w:val="003278AB"/>
    <w:rsid w:val="003278BA"/>
    <w:rsid w:val="0032797E"/>
    <w:rsid w:val="00327BD4"/>
    <w:rsid w:val="00327BDD"/>
    <w:rsid w:val="00327CBC"/>
    <w:rsid w:val="00327D0A"/>
    <w:rsid w:val="00327D9E"/>
    <w:rsid w:val="00327E28"/>
    <w:rsid w:val="003301BB"/>
    <w:rsid w:val="003301D1"/>
    <w:rsid w:val="00330300"/>
    <w:rsid w:val="003306F0"/>
    <w:rsid w:val="00330A92"/>
    <w:rsid w:val="00330C3A"/>
    <w:rsid w:val="00330FE4"/>
    <w:rsid w:val="003310BE"/>
    <w:rsid w:val="00331157"/>
    <w:rsid w:val="0033124B"/>
    <w:rsid w:val="00331644"/>
    <w:rsid w:val="00331755"/>
    <w:rsid w:val="00331B29"/>
    <w:rsid w:val="00331BC9"/>
    <w:rsid w:val="00331E24"/>
    <w:rsid w:val="00331E69"/>
    <w:rsid w:val="00331E74"/>
    <w:rsid w:val="00331ECD"/>
    <w:rsid w:val="00331EFF"/>
    <w:rsid w:val="00331F93"/>
    <w:rsid w:val="003322AC"/>
    <w:rsid w:val="0033254A"/>
    <w:rsid w:val="003326A0"/>
    <w:rsid w:val="0033277B"/>
    <w:rsid w:val="0033287C"/>
    <w:rsid w:val="00332A4E"/>
    <w:rsid w:val="00332CA3"/>
    <w:rsid w:val="00332DD2"/>
    <w:rsid w:val="003330B6"/>
    <w:rsid w:val="0033342D"/>
    <w:rsid w:val="0033398D"/>
    <w:rsid w:val="00333A47"/>
    <w:rsid w:val="00334067"/>
    <w:rsid w:val="003342A8"/>
    <w:rsid w:val="003342F2"/>
    <w:rsid w:val="00334639"/>
    <w:rsid w:val="00334963"/>
    <w:rsid w:val="00334EA5"/>
    <w:rsid w:val="003350E3"/>
    <w:rsid w:val="003351BE"/>
    <w:rsid w:val="00335224"/>
    <w:rsid w:val="0033525E"/>
    <w:rsid w:val="003353F5"/>
    <w:rsid w:val="00335573"/>
    <w:rsid w:val="003355CA"/>
    <w:rsid w:val="003357A6"/>
    <w:rsid w:val="0033591C"/>
    <w:rsid w:val="00335994"/>
    <w:rsid w:val="00335CF9"/>
    <w:rsid w:val="00335EC1"/>
    <w:rsid w:val="00335F31"/>
    <w:rsid w:val="003360BF"/>
    <w:rsid w:val="00336142"/>
    <w:rsid w:val="00336252"/>
    <w:rsid w:val="003362C4"/>
    <w:rsid w:val="003363D1"/>
    <w:rsid w:val="00336621"/>
    <w:rsid w:val="0033672D"/>
    <w:rsid w:val="00336846"/>
    <w:rsid w:val="00336CBD"/>
    <w:rsid w:val="00336CE9"/>
    <w:rsid w:val="00336D50"/>
    <w:rsid w:val="00336DF7"/>
    <w:rsid w:val="00337203"/>
    <w:rsid w:val="003375B2"/>
    <w:rsid w:val="0033765E"/>
    <w:rsid w:val="0033779D"/>
    <w:rsid w:val="00337B89"/>
    <w:rsid w:val="00337BC2"/>
    <w:rsid w:val="00337C59"/>
    <w:rsid w:val="00337CFF"/>
    <w:rsid w:val="00337E62"/>
    <w:rsid w:val="00340518"/>
    <w:rsid w:val="0034058D"/>
    <w:rsid w:val="00340764"/>
    <w:rsid w:val="00340B3E"/>
    <w:rsid w:val="00340C0A"/>
    <w:rsid w:val="00340C5A"/>
    <w:rsid w:val="00340E83"/>
    <w:rsid w:val="0034114B"/>
    <w:rsid w:val="003411EF"/>
    <w:rsid w:val="00341286"/>
    <w:rsid w:val="003413D5"/>
    <w:rsid w:val="0034142D"/>
    <w:rsid w:val="00341EDD"/>
    <w:rsid w:val="003421A1"/>
    <w:rsid w:val="003422DD"/>
    <w:rsid w:val="0034262C"/>
    <w:rsid w:val="00342921"/>
    <w:rsid w:val="00342A54"/>
    <w:rsid w:val="00342CBB"/>
    <w:rsid w:val="00342CD5"/>
    <w:rsid w:val="00343212"/>
    <w:rsid w:val="00343286"/>
    <w:rsid w:val="003432F6"/>
    <w:rsid w:val="00343566"/>
    <w:rsid w:val="003436D2"/>
    <w:rsid w:val="00343719"/>
    <w:rsid w:val="003437E1"/>
    <w:rsid w:val="00343D62"/>
    <w:rsid w:val="00343E01"/>
    <w:rsid w:val="00343E3E"/>
    <w:rsid w:val="00343FCA"/>
    <w:rsid w:val="00343FDB"/>
    <w:rsid w:val="003440FC"/>
    <w:rsid w:val="00344244"/>
    <w:rsid w:val="003443C9"/>
    <w:rsid w:val="00344404"/>
    <w:rsid w:val="00344520"/>
    <w:rsid w:val="00344582"/>
    <w:rsid w:val="0034467D"/>
    <w:rsid w:val="00344A0F"/>
    <w:rsid w:val="00344D5E"/>
    <w:rsid w:val="00344E0A"/>
    <w:rsid w:val="00344F72"/>
    <w:rsid w:val="0034544C"/>
    <w:rsid w:val="00345578"/>
    <w:rsid w:val="003455E4"/>
    <w:rsid w:val="0034575E"/>
    <w:rsid w:val="00345812"/>
    <w:rsid w:val="003458ED"/>
    <w:rsid w:val="003458F0"/>
    <w:rsid w:val="00345A06"/>
    <w:rsid w:val="00345A52"/>
    <w:rsid w:val="00345C43"/>
    <w:rsid w:val="00345D09"/>
    <w:rsid w:val="00345EA5"/>
    <w:rsid w:val="00345EB7"/>
    <w:rsid w:val="00345F63"/>
    <w:rsid w:val="0034627D"/>
    <w:rsid w:val="00346465"/>
    <w:rsid w:val="003464B3"/>
    <w:rsid w:val="00346567"/>
    <w:rsid w:val="003466CD"/>
    <w:rsid w:val="00346706"/>
    <w:rsid w:val="003468A9"/>
    <w:rsid w:val="00346C32"/>
    <w:rsid w:val="00346D65"/>
    <w:rsid w:val="00346E87"/>
    <w:rsid w:val="00346F7A"/>
    <w:rsid w:val="0034702B"/>
    <w:rsid w:val="00347078"/>
    <w:rsid w:val="00347477"/>
    <w:rsid w:val="00347535"/>
    <w:rsid w:val="00347559"/>
    <w:rsid w:val="00347703"/>
    <w:rsid w:val="00347735"/>
    <w:rsid w:val="00347840"/>
    <w:rsid w:val="00347948"/>
    <w:rsid w:val="0035010E"/>
    <w:rsid w:val="003502EB"/>
    <w:rsid w:val="0035064C"/>
    <w:rsid w:val="00350A41"/>
    <w:rsid w:val="00350DBB"/>
    <w:rsid w:val="00351595"/>
    <w:rsid w:val="003518A4"/>
    <w:rsid w:val="00351909"/>
    <w:rsid w:val="00351978"/>
    <w:rsid w:val="00351C4B"/>
    <w:rsid w:val="00351D13"/>
    <w:rsid w:val="003520F8"/>
    <w:rsid w:val="00352172"/>
    <w:rsid w:val="003523A5"/>
    <w:rsid w:val="00352595"/>
    <w:rsid w:val="00352632"/>
    <w:rsid w:val="003526ED"/>
    <w:rsid w:val="0035282E"/>
    <w:rsid w:val="00352A73"/>
    <w:rsid w:val="00352B2C"/>
    <w:rsid w:val="00352E60"/>
    <w:rsid w:val="00352F18"/>
    <w:rsid w:val="0035352D"/>
    <w:rsid w:val="0035355A"/>
    <w:rsid w:val="0035360D"/>
    <w:rsid w:val="003537EB"/>
    <w:rsid w:val="0035384F"/>
    <w:rsid w:val="00353911"/>
    <w:rsid w:val="00353AB8"/>
    <w:rsid w:val="00353BB4"/>
    <w:rsid w:val="00353C63"/>
    <w:rsid w:val="00353DFC"/>
    <w:rsid w:val="003546DF"/>
    <w:rsid w:val="003548AC"/>
    <w:rsid w:val="003548BD"/>
    <w:rsid w:val="00354A9B"/>
    <w:rsid w:val="00354B5C"/>
    <w:rsid w:val="00354C63"/>
    <w:rsid w:val="00354C77"/>
    <w:rsid w:val="00354DA4"/>
    <w:rsid w:val="00354E19"/>
    <w:rsid w:val="00354E91"/>
    <w:rsid w:val="00355039"/>
    <w:rsid w:val="00355080"/>
    <w:rsid w:val="003553C5"/>
    <w:rsid w:val="003558E4"/>
    <w:rsid w:val="00355BCF"/>
    <w:rsid w:val="00355E57"/>
    <w:rsid w:val="00355E6A"/>
    <w:rsid w:val="00355E70"/>
    <w:rsid w:val="00355FAE"/>
    <w:rsid w:val="003561CD"/>
    <w:rsid w:val="00356931"/>
    <w:rsid w:val="00356AE4"/>
    <w:rsid w:val="0035713F"/>
    <w:rsid w:val="00357A42"/>
    <w:rsid w:val="00357A48"/>
    <w:rsid w:val="00357AEA"/>
    <w:rsid w:val="00357C00"/>
    <w:rsid w:val="00357C58"/>
    <w:rsid w:val="00357DD6"/>
    <w:rsid w:val="00357E73"/>
    <w:rsid w:val="00360275"/>
    <w:rsid w:val="00360417"/>
    <w:rsid w:val="00360520"/>
    <w:rsid w:val="00360539"/>
    <w:rsid w:val="003608F7"/>
    <w:rsid w:val="0036090C"/>
    <w:rsid w:val="00360A49"/>
    <w:rsid w:val="00360C2F"/>
    <w:rsid w:val="00360C47"/>
    <w:rsid w:val="00360EDC"/>
    <w:rsid w:val="003611B6"/>
    <w:rsid w:val="00361535"/>
    <w:rsid w:val="0036192D"/>
    <w:rsid w:val="00361BE0"/>
    <w:rsid w:val="00361E43"/>
    <w:rsid w:val="00361E81"/>
    <w:rsid w:val="00361F89"/>
    <w:rsid w:val="003620BC"/>
    <w:rsid w:val="0036250F"/>
    <w:rsid w:val="00362617"/>
    <w:rsid w:val="003628A5"/>
    <w:rsid w:val="00362BDA"/>
    <w:rsid w:val="00362ECC"/>
    <w:rsid w:val="00363077"/>
    <w:rsid w:val="00363226"/>
    <w:rsid w:val="00363324"/>
    <w:rsid w:val="00363357"/>
    <w:rsid w:val="003633DD"/>
    <w:rsid w:val="00363594"/>
    <w:rsid w:val="00363CC8"/>
    <w:rsid w:val="00363D35"/>
    <w:rsid w:val="00363D79"/>
    <w:rsid w:val="00363DD6"/>
    <w:rsid w:val="0036415A"/>
    <w:rsid w:val="00364244"/>
    <w:rsid w:val="00364402"/>
    <w:rsid w:val="00364456"/>
    <w:rsid w:val="003647CC"/>
    <w:rsid w:val="003649D3"/>
    <w:rsid w:val="00364F2B"/>
    <w:rsid w:val="003650A7"/>
    <w:rsid w:val="00365289"/>
    <w:rsid w:val="003652FD"/>
    <w:rsid w:val="003653FC"/>
    <w:rsid w:val="00365551"/>
    <w:rsid w:val="003658B8"/>
    <w:rsid w:val="003659B5"/>
    <w:rsid w:val="00365B0F"/>
    <w:rsid w:val="00365BB5"/>
    <w:rsid w:val="00365CBA"/>
    <w:rsid w:val="00365DDB"/>
    <w:rsid w:val="00366000"/>
    <w:rsid w:val="0036608D"/>
    <w:rsid w:val="00366280"/>
    <w:rsid w:val="00366304"/>
    <w:rsid w:val="003663DE"/>
    <w:rsid w:val="00366A95"/>
    <w:rsid w:val="00366CE0"/>
    <w:rsid w:val="00366F91"/>
    <w:rsid w:val="0036762B"/>
    <w:rsid w:val="003676C7"/>
    <w:rsid w:val="0036776F"/>
    <w:rsid w:val="003677A1"/>
    <w:rsid w:val="00367C0A"/>
    <w:rsid w:val="00367E1D"/>
    <w:rsid w:val="0036B8BF"/>
    <w:rsid w:val="0037007F"/>
    <w:rsid w:val="00370120"/>
    <w:rsid w:val="003702EF"/>
    <w:rsid w:val="0037043C"/>
    <w:rsid w:val="00370564"/>
    <w:rsid w:val="003706AE"/>
    <w:rsid w:val="0037078C"/>
    <w:rsid w:val="0037082A"/>
    <w:rsid w:val="00370B9A"/>
    <w:rsid w:val="00370C5A"/>
    <w:rsid w:val="00370CFD"/>
    <w:rsid w:val="00370E5D"/>
    <w:rsid w:val="003714A5"/>
    <w:rsid w:val="00371506"/>
    <w:rsid w:val="00371638"/>
    <w:rsid w:val="00371754"/>
    <w:rsid w:val="00371EC0"/>
    <w:rsid w:val="003720C6"/>
    <w:rsid w:val="00372227"/>
    <w:rsid w:val="0037224C"/>
    <w:rsid w:val="0037228B"/>
    <w:rsid w:val="00372473"/>
    <w:rsid w:val="003724C7"/>
    <w:rsid w:val="00372BC3"/>
    <w:rsid w:val="00372C1B"/>
    <w:rsid w:val="0037304E"/>
    <w:rsid w:val="003730D5"/>
    <w:rsid w:val="003730E6"/>
    <w:rsid w:val="00373109"/>
    <w:rsid w:val="003731B5"/>
    <w:rsid w:val="003733E5"/>
    <w:rsid w:val="00373596"/>
    <w:rsid w:val="003738F2"/>
    <w:rsid w:val="00373900"/>
    <w:rsid w:val="00373DBA"/>
    <w:rsid w:val="00373EAB"/>
    <w:rsid w:val="00373FCF"/>
    <w:rsid w:val="003740C6"/>
    <w:rsid w:val="00374169"/>
    <w:rsid w:val="0037434D"/>
    <w:rsid w:val="003744BF"/>
    <w:rsid w:val="00374717"/>
    <w:rsid w:val="00374E8F"/>
    <w:rsid w:val="00374EB8"/>
    <w:rsid w:val="00375258"/>
    <w:rsid w:val="0037568E"/>
    <w:rsid w:val="0037593F"/>
    <w:rsid w:val="00375A6B"/>
    <w:rsid w:val="00375A6E"/>
    <w:rsid w:val="00376128"/>
    <w:rsid w:val="0037628F"/>
    <w:rsid w:val="00376487"/>
    <w:rsid w:val="00376611"/>
    <w:rsid w:val="00376E0A"/>
    <w:rsid w:val="00377200"/>
    <w:rsid w:val="00377B88"/>
    <w:rsid w:val="00377BF7"/>
    <w:rsid w:val="00377CFF"/>
    <w:rsid w:val="00377D49"/>
    <w:rsid w:val="00377DD3"/>
    <w:rsid w:val="00380001"/>
    <w:rsid w:val="0038045B"/>
    <w:rsid w:val="00380D56"/>
    <w:rsid w:val="003812EA"/>
    <w:rsid w:val="00381418"/>
    <w:rsid w:val="0038151F"/>
    <w:rsid w:val="003816F5"/>
    <w:rsid w:val="003817EB"/>
    <w:rsid w:val="003818D1"/>
    <w:rsid w:val="003819E0"/>
    <w:rsid w:val="00381B1D"/>
    <w:rsid w:val="00381B65"/>
    <w:rsid w:val="00381C09"/>
    <w:rsid w:val="00381FB6"/>
    <w:rsid w:val="00381FE5"/>
    <w:rsid w:val="003822BD"/>
    <w:rsid w:val="003823C3"/>
    <w:rsid w:val="0038246E"/>
    <w:rsid w:val="00382740"/>
    <w:rsid w:val="00382850"/>
    <w:rsid w:val="00382906"/>
    <w:rsid w:val="003829E2"/>
    <w:rsid w:val="00382DA0"/>
    <w:rsid w:val="00383146"/>
    <w:rsid w:val="0038335A"/>
    <w:rsid w:val="0038368B"/>
    <w:rsid w:val="003836CA"/>
    <w:rsid w:val="00383707"/>
    <w:rsid w:val="00383796"/>
    <w:rsid w:val="00383957"/>
    <w:rsid w:val="00383CB8"/>
    <w:rsid w:val="00383F84"/>
    <w:rsid w:val="003840C5"/>
    <w:rsid w:val="0038435F"/>
    <w:rsid w:val="00384408"/>
    <w:rsid w:val="003844C6"/>
    <w:rsid w:val="0038455E"/>
    <w:rsid w:val="00384568"/>
    <w:rsid w:val="003847FD"/>
    <w:rsid w:val="003849C4"/>
    <w:rsid w:val="00384BA4"/>
    <w:rsid w:val="0038515A"/>
    <w:rsid w:val="0038557E"/>
    <w:rsid w:val="00385596"/>
    <w:rsid w:val="00385915"/>
    <w:rsid w:val="00385A1B"/>
    <w:rsid w:val="00385AFB"/>
    <w:rsid w:val="00385B5E"/>
    <w:rsid w:val="00385BA9"/>
    <w:rsid w:val="00385C37"/>
    <w:rsid w:val="00385D72"/>
    <w:rsid w:val="00385D87"/>
    <w:rsid w:val="00385D8E"/>
    <w:rsid w:val="0038649E"/>
    <w:rsid w:val="003865F2"/>
    <w:rsid w:val="00386732"/>
    <w:rsid w:val="00386786"/>
    <w:rsid w:val="00386B2B"/>
    <w:rsid w:val="00386C8F"/>
    <w:rsid w:val="00386DE3"/>
    <w:rsid w:val="00387031"/>
    <w:rsid w:val="00387040"/>
    <w:rsid w:val="00387270"/>
    <w:rsid w:val="003872C8"/>
    <w:rsid w:val="003872F3"/>
    <w:rsid w:val="0038750C"/>
    <w:rsid w:val="00387808"/>
    <w:rsid w:val="0038784C"/>
    <w:rsid w:val="003879E1"/>
    <w:rsid w:val="00387B6E"/>
    <w:rsid w:val="00387B78"/>
    <w:rsid w:val="00387BD9"/>
    <w:rsid w:val="00387E43"/>
    <w:rsid w:val="0039017E"/>
    <w:rsid w:val="0039033B"/>
    <w:rsid w:val="00390415"/>
    <w:rsid w:val="003905C1"/>
    <w:rsid w:val="003905EB"/>
    <w:rsid w:val="003905F4"/>
    <w:rsid w:val="0039089C"/>
    <w:rsid w:val="00390CFA"/>
    <w:rsid w:val="00390FDD"/>
    <w:rsid w:val="0039137C"/>
    <w:rsid w:val="0039138B"/>
    <w:rsid w:val="003914E5"/>
    <w:rsid w:val="0039160A"/>
    <w:rsid w:val="00391734"/>
    <w:rsid w:val="003918BC"/>
    <w:rsid w:val="00391B4C"/>
    <w:rsid w:val="00391B88"/>
    <w:rsid w:val="00391BBE"/>
    <w:rsid w:val="00391BFF"/>
    <w:rsid w:val="00391DFB"/>
    <w:rsid w:val="00391EE1"/>
    <w:rsid w:val="00392027"/>
    <w:rsid w:val="003920D1"/>
    <w:rsid w:val="003924B4"/>
    <w:rsid w:val="00392532"/>
    <w:rsid w:val="003926A7"/>
    <w:rsid w:val="003928B9"/>
    <w:rsid w:val="00392908"/>
    <w:rsid w:val="00392A8A"/>
    <w:rsid w:val="00392D43"/>
    <w:rsid w:val="00392DD8"/>
    <w:rsid w:val="00392FE8"/>
    <w:rsid w:val="0039301D"/>
    <w:rsid w:val="0039317C"/>
    <w:rsid w:val="003936A7"/>
    <w:rsid w:val="00393846"/>
    <w:rsid w:val="00393D7A"/>
    <w:rsid w:val="00393E23"/>
    <w:rsid w:val="00393FC3"/>
    <w:rsid w:val="003941C0"/>
    <w:rsid w:val="003942CD"/>
    <w:rsid w:val="003944BA"/>
    <w:rsid w:val="003944DE"/>
    <w:rsid w:val="0039487E"/>
    <w:rsid w:val="003948E8"/>
    <w:rsid w:val="00394FD9"/>
    <w:rsid w:val="00395573"/>
    <w:rsid w:val="003956FA"/>
    <w:rsid w:val="003957D0"/>
    <w:rsid w:val="00395966"/>
    <w:rsid w:val="00395B3A"/>
    <w:rsid w:val="00395B6F"/>
    <w:rsid w:val="00395E29"/>
    <w:rsid w:val="00395FF0"/>
    <w:rsid w:val="003961D2"/>
    <w:rsid w:val="0039642D"/>
    <w:rsid w:val="00396434"/>
    <w:rsid w:val="0039657B"/>
    <w:rsid w:val="003966A3"/>
    <w:rsid w:val="003968BE"/>
    <w:rsid w:val="0039694B"/>
    <w:rsid w:val="00396A11"/>
    <w:rsid w:val="00396A47"/>
    <w:rsid w:val="00396CF7"/>
    <w:rsid w:val="00396D10"/>
    <w:rsid w:val="00396FF5"/>
    <w:rsid w:val="00397011"/>
    <w:rsid w:val="00397084"/>
    <w:rsid w:val="003972F6"/>
    <w:rsid w:val="00397353"/>
    <w:rsid w:val="0039743C"/>
    <w:rsid w:val="003975DA"/>
    <w:rsid w:val="0039762A"/>
    <w:rsid w:val="003976BF"/>
    <w:rsid w:val="00397750"/>
    <w:rsid w:val="003978FF"/>
    <w:rsid w:val="0039796B"/>
    <w:rsid w:val="00397B60"/>
    <w:rsid w:val="00397B7B"/>
    <w:rsid w:val="00397BC6"/>
    <w:rsid w:val="00397EBC"/>
    <w:rsid w:val="00397EC3"/>
    <w:rsid w:val="003A0355"/>
    <w:rsid w:val="003A0410"/>
    <w:rsid w:val="003A0483"/>
    <w:rsid w:val="003A059B"/>
    <w:rsid w:val="003A06F1"/>
    <w:rsid w:val="003A0703"/>
    <w:rsid w:val="003A079E"/>
    <w:rsid w:val="003A0903"/>
    <w:rsid w:val="003A0A17"/>
    <w:rsid w:val="003A0C10"/>
    <w:rsid w:val="003A0D07"/>
    <w:rsid w:val="003A0D2E"/>
    <w:rsid w:val="003A0E37"/>
    <w:rsid w:val="003A0F30"/>
    <w:rsid w:val="003A0F47"/>
    <w:rsid w:val="003A12F2"/>
    <w:rsid w:val="003A1744"/>
    <w:rsid w:val="003A1B9D"/>
    <w:rsid w:val="003A1F5E"/>
    <w:rsid w:val="003A20E9"/>
    <w:rsid w:val="003A2448"/>
    <w:rsid w:val="003A2500"/>
    <w:rsid w:val="003A25AE"/>
    <w:rsid w:val="003A26F3"/>
    <w:rsid w:val="003A275E"/>
    <w:rsid w:val="003A2818"/>
    <w:rsid w:val="003A286C"/>
    <w:rsid w:val="003A28E6"/>
    <w:rsid w:val="003A293A"/>
    <w:rsid w:val="003A29FB"/>
    <w:rsid w:val="003A2CB3"/>
    <w:rsid w:val="003A2CD2"/>
    <w:rsid w:val="003A2D9B"/>
    <w:rsid w:val="003A2ED2"/>
    <w:rsid w:val="003A2F62"/>
    <w:rsid w:val="003A3148"/>
    <w:rsid w:val="003A31D5"/>
    <w:rsid w:val="003A31EE"/>
    <w:rsid w:val="003A3208"/>
    <w:rsid w:val="003A3A8D"/>
    <w:rsid w:val="003A3B67"/>
    <w:rsid w:val="003A3BA2"/>
    <w:rsid w:val="003A3E7C"/>
    <w:rsid w:val="003A3F47"/>
    <w:rsid w:val="003A4032"/>
    <w:rsid w:val="003A4128"/>
    <w:rsid w:val="003A418D"/>
    <w:rsid w:val="003A4278"/>
    <w:rsid w:val="003A441B"/>
    <w:rsid w:val="003A45F3"/>
    <w:rsid w:val="003A46B7"/>
    <w:rsid w:val="003A4E45"/>
    <w:rsid w:val="003A584E"/>
    <w:rsid w:val="003A5A9A"/>
    <w:rsid w:val="003A5AE8"/>
    <w:rsid w:val="003A5BBF"/>
    <w:rsid w:val="003A5CB8"/>
    <w:rsid w:val="003A5E0A"/>
    <w:rsid w:val="003A5E98"/>
    <w:rsid w:val="003A65E8"/>
    <w:rsid w:val="003A66C7"/>
    <w:rsid w:val="003A6717"/>
    <w:rsid w:val="003A67DF"/>
    <w:rsid w:val="003A67F0"/>
    <w:rsid w:val="003A693C"/>
    <w:rsid w:val="003A69B3"/>
    <w:rsid w:val="003A6AEC"/>
    <w:rsid w:val="003A6B11"/>
    <w:rsid w:val="003A6B58"/>
    <w:rsid w:val="003A6EA9"/>
    <w:rsid w:val="003A7297"/>
    <w:rsid w:val="003A7460"/>
    <w:rsid w:val="003A7585"/>
    <w:rsid w:val="003A7833"/>
    <w:rsid w:val="003A78F8"/>
    <w:rsid w:val="003A7AD1"/>
    <w:rsid w:val="003A7B46"/>
    <w:rsid w:val="003A7E9B"/>
    <w:rsid w:val="003B017A"/>
    <w:rsid w:val="003B01C0"/>
    <w:rsid w:val="003B0287"/>
    <w:rsid w:val="003B09C7"/>
    <w:rsid w:val="003B0A7B"/>
    <w:rsid w:val="003B0E62"/>
    <w:rsid w:val="003B11A5"/>
    <w:rsid w:val="003B12E3"/>
    <w:rsid w:val="003B1DA2"/>
    <w:rsid w:val="003B1DCC"/>
    <w:rsid w:val="003B1F32"/>
    <w:rsid w:val="003B1F5F"/>
    <w:rsid w:val="003B2116"/>
    <w:rsid w:val="003B2152"/>
    <w:rsid w:val="003B2369"/>
    <w:rsid w:val="003B2466"/>
    <w:rsid w:val="003B2518"/>
    <w:rsid w:val="003B263C"/>
    <w:rsid w:val="003B2654"/>
    <w:rsid w:val="003B2796"/>
    <w:rsid w:val="003B27D8"/>
    <w:rsid w:val="003B2832"/>
    <w:rsid w:val="003B28D8"/>
    <w:rsid w:val="003B2D14"/>
    <w:rsid w:val="003B2DC7"/>
    <w:rsid w:val="003B2EB6"/>
    <w:rsid w:val="003B2F49"/>
    <w:rsid w:val="003B3170"/>
    <w:rsid w:val="003B31F6"/>
    <w:rsid w:val="003B3636"/>
    <w:rsid w:val="003B3821"/>
    <w:rsid w:val="003B3996"/>
    <w:rsid w:val="003B3A63"/>
    <w:rsid w:val="003B3AA0"/>
    <w:rsid w:val="003B3BC4"/>
    <w:rsid w:val="003B3DAE"/>
    <w:rsid w:val="003B3FDE"/>
    <w:rsid w:val="003B41BD"/>
    <w:rsid w:val="003B43DD"/>
    <w:rsid w:val="003B44A7"/>
    <w:rsid w:val="003B44F7"/>
    <w:rsid w:val="003B4649"/>
    <w:rsid w:val="003B4657"/>
    <w:rsid w:val="003B4795"/>
    <w:rsid w:val="003B47B2"/>
    <w:rsid w:val="003B47E8"/>
    <w:rsid w:val="003B4804"/>
    <w:rsid w:val="003B4886"/>
    <w:rsid w:val="003B4ABB"/>
    <w:rsid w:val="003B4B04"/>
    <w:rsid w:val="003B4C5E"/>
    <w:rsid w:val="003B4E6C"/>
    <w:rsid w:val="003B5152"/>
    <w:rsid w:val="003B549A"/>
    <w:rsid w:val="003B5567"/>
    <w:rsid w:val="003B5587"/>
    <w:rsid w:val="003B567E"/>
    <w:rsid w:val="003B56F7"/>
    <w:rsid w:val="003B5ABE"/>
    <w:rsid w:val="003B5B3C"/>
    <w:rsid w:val="003B5B73"/>
    <w:rsid w:val="003B5C1B"/>
    <w:rsid w:val="003B5DC0"/>
    <w:rsid w:val="003B61C1"/>
    <w:rsid w:val="003B628D"/>
    <w:rsid w:val="003B6387"/>
    <w:rsid w:val="003B64FF"/>
    <w:rsid w:val="003B67C9"/>
    <w:rsid w:val="003B6840"/>
    <w:rsid w:val="003B6A10"/>
    <w:rsid w:val="003B6A76"/>
    <w:rsid w:val="003B6AD0"/>
    <w:rsid w:val="003B6BAE"/>
    <w:rsid w:val="003B6C60"/>
    <w:rsid w:val="003B7118"/>
    <w:rsid w:val="003B7513"/>
    <w:rsid w:val="003B757F"/>
    <w:rsid w:val="003B75A6"/>
    <w:rsid w:val="003B7828"/>
    <w:rsid w:val="003B7956"/>
    <w:rsid w:val="003B7C21"/>
    <w:rsid w:val="003B7C5B"/>
    <w:rsid w:val="003B7F8E"/>
    <w:rsid w:val="003B7FBD"/>
    <w:rsid w:val="003C019C"/>
    <w:rsid w:val="003C038D"/>
    <w:rsid w:val="003C0574"/>
    <w:rsid w:val="003C0931"/>
    <w:rsid w:val="003C0A1F"/>
    <w:rsid w:val="003C0A77"/>
    <w:rsid w:val="003C0D54"/>
    <w:rsid w:val="003C0FC5"/>
    <w:rsid w:val="003C103D"/>
    <w:rsid w:val="003C1290"/>
    <w:rsid w:val="003C12C9"/>
    <w:rsid w:val="003C1390"/>
    <w:rsid w:val="003C1604"/>
    <w:rsid w:val="003C16AA"/>
    <w:rsid w:val="003C18F3"/>
    <w:rsid w:val="003C1916"/>
    <w:rsid w:val="003C1958"/>
    <w:rsid w:val="003C1D4D"/>
    <w:rsid w:val="003C1E31"/>
    <w:rsid w:val="003C20BD"/>
    <w:rsid w:val="003C222E"/>
    <w:rsid w:val="003C223B"/>
    <w:rsid w:val="003C2294"/>
    <w:rsid w:val="003C231D"/>
    <w:rsid w:val="003C23A3"/>
    <w:rsid w:val="003C23BE"/>
    <w:rsid w:val="003C24A0"/>
    <w:rsid w:val="003C26CD"/>
    <w:rsid w:val="003C2CE8"/>
    <w:rsid w:val="003C2E5C"/>
    <w:rsid w:val="003C2FAD"/>
    <w:rsid w:val="003C3016"/>
    <w:rsid w:val="003C3355"/>
    <w:rsid w:val="003C382F"/>
    <w:rsid w:val="003C3867"/>
    <w:rsid w:val="003C389E"/>
    <w:rsid w:val="003C3A78"/>
    <w:rsid w:val="003C3D33"/>
    <w:rsid w:val="003C3DB4"/>
    <w:rsid w:val="003C3E5F"/>
    <w:rsid w:val="003C40AE"/>
    <w:rsid w:val="003C4241"/>
    <w:rsid w:val="003C4270"/>
    <w:rsid w:val="003C42AA"/>
    <w:rsid w:val="003C4376"/>
    <w:rsid w:val="003C46D7"/>
    <w:rsid w:val="003C479A"/>
    <w:rsid w:val="003C4A7D"/>
    <w:rsid w:val="003C4A8D"/>
    <w:rsid w:val="003C4B2E"/>
    <w:rsid w:val="003C4DD9"/>
    <w:rsid w:val="003C5151"/>
    <w:rsid w:val="003C53D3"/>
    <w:rsid w:val="003C5613"/>
    <w:rsid w:val="003C5B81"/>
    <w:rsid w:val="003C5DBE"/>
    <w:rsid w:val="003C60B2"/>
    <w:rsid w:val="003C670D"/>
    <w:rsid w:val="003C6907"/>
    <w:rsid w:val="003C694D"/>
    <w:rsid w:val="003C69B2"/>
    <w:rsid w:val="003C6B1C"/>
    <w:rsid w:val="003C6B91"/>
    <w:rsid w:val="003C6CFE"/>
    <w:rsid w:val="003C6D4E"/>
    <w:rsid w:val="003C6EE2"/>
    <w:rsid w:val="003C6F43"/>
    <w:rsid w:val="003C6F86"/>
    <w:rsid w:val="003C6F89"/>
    <w:rsid w:val="003C716D"/>
    <w:rsid w:val="003C71E3"/>
    <w:rsid w:val="003C7249"/>
    <w:rsid w:val="003C7378"/>
    <w:rsid w:val="003C74C0"/>
    <w:rsid w:val="003C7976"/>
    <w:rsid w:val="003C7A04"/>
    <w:rsid w:val="003C7A96"/>
    <w:rsid w:val="003C7EEB"/>
    <w:rsid w:val="003C7EF3"/>
    <w:rsid w:val="003C7F48"/>
    <w:rsid w:val="003D00FC"/>
    <w:rsid w:val="003D0267"/>
    <w:rsid w:val="003D0352"/>
    <w:rsid w:val="003D03E3"/>
    <w:rsid w:val="003D0F76"/>
    <w:rsid w:val="003D121A"/>
    <w:rsid w:val="003D1276"/>
    <w:rsid w:val="003D129D"/>
    <w:rsid w:val="003D1351"/>
    <w:rsid w:val="003D1638"/>
    <w:rsid w:val="003D16EE"/>
    <w:rsid w:val="003D17F8"/>
    <w:rsid w:val="003D1BB7"/>
    <w:rsid w:val="003D2008"/>
    <w:rsid w:val="003D207C"/>
    <w:rsid w:val="003D22E3"/>
    <w:rsid w:val="003D230F"/>
    <w:rsid w:val="003D2375"/>
    <w:rsid w:val="003D2527"/>
    <w:rsid w:val="003D26D0"/>
    <w:rsid w:val="003D271B"/>
    <w:rsid w:val="003D2778"/>
    <w:rsid w:val="003D2946"/>
    <w:rsid w:val="003D2AD4"/>
    <w:rsid w:val="003D2D4D"/>
    <w:rsid w:val="003D318E"/>
    <w:rsid w:val="003D3240"/>
    <w:rsid w:val="003D35A0"/>
    <w:rsid w:val="003D3794"/>
    <w:rsid w:val="003D3A62"/>
    <w:rsid w:val="003D3C89"/>
    <w:rsid w:val="003D3E6F"/>
    <w:rsid w:val="003D40EA"/>
    <w:rsid w:val="003D417B"/>
    <w:rsid w:val="003D42F7"/>
    <w:rsid w:val="003D43A8"/>
    <w:rsid w:val="003D43FF"/>
    <w:rsid w:val="003D456B"/>
    <w:rsid w:val="003D4581"/>
    <w:rsid w:val="003D4727"/>
    <w:rsid w:val="003D48E2"/>
    <w:rsid w:val="003D4954"/>
    <w:rsid w:val="003D499F"/>
    <w:rsid w:val="003D4B15"/>
    <w:rsid w:val="003D4C5B"/>
    <w:rsid w:val="003D4DC3"/>
    <w:rsid w:val="003D51E3"/>
    <w:rsid w:val="003D5236"/>
    <w:rsid w:val="003D561E"/>
    <w:rsid w:val="003D57E4"/>
    <w:rsid w:val="003D5BC6"/>
    <w:rsid w:val="003D5D5D"/>
    <w:rsid w:val="003D6276"/>
    <w:rsid w:val="003D637F"/>
    <w:rsid w:val="003D6761"/>
    <w:rsid w:val="003D680B"/>
    <w:rsid w:val="003D682B"/>
    <w:rsid w:val="003D6878"/>
    <w:rsid w:val="003D68DC"/>
    <w:rsid w:val="003D6BE4"/>
    <w:rsid w:val="003D6CAF"/>
    <w:rsid w:val="003D6E87"/>
    <w:rsid w:val="003D6F35"/>
    <w:rsid w:val="003D6FC1"/>
    <w:rsid w:val="003D715D"/>
    <w:rsid w:val="003D721F"/>
    <w:rsid w:val="003D742B"/>
    <w:rsid w:val="003D749A"/>
    <w:rsid w:val="003D74C3"/>
    <w:rsid w:val="003D7544"/>
    <w:rsid w:val="003D7598"/>
    <w:rsid w:val="003D762E"/>
    <w:rsid w:val="003D77BB"/>
    <w:rsid w:val="003D790B"/>
    <w:rsid w:val="003D7A37"/>
    <w:rsid w:val="003D7BC8"/>
    <w:rsid w:val="003D7BF3"/>
    <w:rsid w:val="003D7C6D"/>
    <w:rsid w:val="003D7DF9"/>
    <w:rsid w:val="003D7F6A"/>
    <w:rsid w:val="003E0115"/>
    <w:rsid w:val="003E029F"/>
    <w:rsid w:val="003E0351"/>
    <w:rsid w:val="003E0559"/>
    <w:rsid w:val="003E0757"/>
    <w:rsid w:val="003E07E2"/>
    <w:rsid w:val="003E0808"/>
    <w:rsid w:val="003E0868"/>
    <w:rsid w:val="003E09D2"/>
    <w:rsid w:val="003E0B1F"/>
    <w:rsid w:val="003E0DA1"/>
    <w:rsid w:val="003E0FD5"/>
    <w:rsid w:val="003E101F"/>
    <w:rsid w:val="003E1220"/>
    <w:rsid w:val="003E158D"/>
    <w:rsid w:val="003E17B2"/>
    <w:rsid w:val="003E1851"/>
    <w:rsid w:val="003E18E4"/>
    <w:rsid w:val="003E1A4B"/>
    <w:rsid w:val="003E1B36"/>
    <w:rsid w:val="003E1E2B"/>
    <w:rsid w:val="003E1ED6"/>
    <w:rsid w:val="003E1F77"/>
    <w:rsid w:val="003E271D"/>
    <w:rsid w:val="003E290A"/>
    <w:rsid w:val="003E2B75"/>
    <w:rsid w:val="003E2BA5"/>
    <w:rsid w:val="003E2D19"/>
    <w:rsid w:val="003E2F40"/>
    <w:rsid w:val="003E30FD"/>
    <w:rsid w:val="003E30FE"/>
    <w:rsid w:val="003E3181"/>
    <w:rsid w:val="003E34FB"/>
    <w:rsid w:val="003E3774"/>
    <w:rsid w:val="003E3841"/>
    <w:rsid w:val="003E3CCE"/>
    <w:rsid w:val="003E409F"/>
    <w:rsid w:val="003E4305"/>
    <w:rsid w:val="003E4497"/>
    <w:rsid w:val="003E4656"/>
    <w:rsid w:val="003E467F"/>
    <w:rsid w:val="003E47EB"/>
    <w:rsid w:val="003E4816"/>
    <w:rsid w:val="003E4B6B"/>
    <w:rsid w:val="003E4BFF"/>
    <w:rsid w:val="003E4D81"/>
    <w:rsid w:val="003E4DD2"/>
    <w:rsid w:val="003E5079"/>
    <w:rsid w:val="003E50D3"/>
    <w:rsid w:val="003E50FB"/>
    <w:rsid w:val="003E5238"/>
    <w:rsid w:val="003E52D2"/>
    <w:rsid w:val="003E5657"/>
    <w:rsid w:val="003E579E"/>
    <w:rsid w:val="003E5842"/>
    <w:rsid w:val="003E5928"/>
    <w:rsid w:val="003E596E"/>
    <w:rsid w:val="003E5A0E"/>
    <w:rsid w:val="003E5A89"/>
    <w:rsid w:val="003E5C2C"/>
    <w:rsid w:val="003E6167"/>
    <w:rsid w:val="003E61DA"/>
    <w:rsid w:val="003E6509"/>
    <w:rsid w:val="003E6844"/>
    <w:rsid w:val="003E69E0"/>
    <w:rsid w:val="003E6A2E"/>
    <w:rsid w:val="003E6B62"/>
    <w:rsid w:val="003E6F0B"/>
    <w:rsid w:val="003E6F1F"/>
    <w:rsid w:val="003E6FB7"/>
    <w:rsid w:val="003E7014"/>
    <w:rsid w:val="003E70F5"/>
    <w:rsid w:val="003E73D3"/>
    <w:rsid w:val="003E743B"/>
    <w:rsid w:val="003E7444"/>
    <w:rsid w:val="003E7660"/>
    <w:rsid w:val="003E766B"/>
    <w:rsid w:val="003E77F0"/>
    <w:rsid w:val="003E794A"/>
    <w:rsid w:val="003E7F50"/>
    <w:rsid w:val="003E7FE9"/>
    <w:rsid w:val="003F0145"/>
    <w:rsid w:val="003F032E"/>
    <w:rsid w:val="003F0364"/>
    <w:rsid w:val="003F042F"/>
    <w:rsid w:val="003F043D"/>
    <w:rsid w:val="003F0722"/>
    <w:rsid w:val="003F0791"/>
    <w:rsid w:val="003F0815"/>
    <w:rsid w:val="003F0995"/>
    <w:rsid w:val="003F0CFE"/>
    <w:rsid w:val="003F102B"/>
    <w:rsid w:val="003F151B"/>
    <w:rsid w:val="003F1582"/>
    <w:rsid w:val="003F16AD"/>
    <w:rsid w:val="003F17B4"/>
    <w:rsid w:val="003F188E"/>
    <w:rsid w:val="003F1A41"/>
    <w:rsid w:val="003F1A55"/>
    <w:rsid w:val="003F1AEB"/>
    <w:rsid w:val="003F1C17"/>
    <w:rsid w:val="003F1C65"/>
    <w:rsid w:val="003F1CC9"/>
    <w:rsid w:val="003F1E6B"/>
    <w:rsid w:val="003F1F0C"/>
    <w:rsid w:val="003F20BE"/>
    <w:rsid w:val="003F2157"/>
    <w:rsid w:val="003F260C"/>
    <w:rsid w:val="003F2700"/>
    <w:rsid w:val="003F2A77"/>
    <w:rsid w:val="003F2E17"/>
    <w:rsid w:val="003F2ECC"/>
    <w:rsid w:val="003F31D0"/>
    <w:rsid w:val="003F3214"/>
    <w:rsid w:val="003F32B9"/>
    <w:rsid w:val="003F32C8"/>
    <w:rsid w:val="003F331E"/>
    <w:rsid w:val="003F35C5"/>
    <w:rsid w:val="003F37EB"/>
    <w:rsid w:val="003F3A02"/>
    <w:rsid w:val="003F3EB5"/>
    <w:rsid w:val="003F3EE0"/>
    <w:rsid w:val="003F3F8F"/>
    <w:rsid w:val="003F3F95"/>
    <w:rsid w:val="003F4109"/>
    <w:rsid w:val="003F42F2"/>
    <w:rsid w:val="003F4C4C"/>
    <w:rsid w:val="003F4E8A"/>
    <w:rsid w:val="003F4F24"/>
    <w:rsid w:val="003F504A"/>
    <w:rsid w:val="003F5148"/>
    <w:rsid w:val="003F5274"/>
    <w:rsid w:val="003F53E4"/>
    <w:rsid w:val="003F5503"/>
    <w:rsid w:val="003F5575"/>
    <w:rsid w:val="003F573C"/>
    <w:rsid w:val="003F5883"/>
    <w:rsid w:val="003F58E5"/>
    <w:rsid w:val="003F59DA"/>
    <w:rsid w:val="003F5AB6"/>
    <w:rsid w:val="003F5AF0"/>
    <w:rsid w:val="003F5B81"/>
    <w:rsid w:val="003F5BBF"/>
    <w:rsid w:val="003F5D7A"/>
    <w:rsid w:val="003F5E1B"/>
    <w:rsid w:val="003F5E32"/>
    <w:rsid w:val="003F6087"/>
    <w:rsid w:val="003F64BD"/>
    <w:rsid w:val="003F6528"/>
    <w:rsid w:val="003F658A"/>
    <w:rsid w:val="003F6596"/>
    <w:rsid w:val="003F675A"/>
    <w:rsid w:val="003F6782"/>
    <w:rsid w:val="003F68F6"/>
    <w:rsid w:val="003F6CB0"/>
    <w:rsid w:val="003F6D5B"/>
    <w:rsid w:val="003F6F24"/>
    <w:rsid w:val="003F70B4"/>
    <w:rsid w:val="003F73C3"/>
    <w:rsid w:val="003F74E8"/>
    <w:rsid w:val="003F7996"/>
    <w:rsid w:val="003F7B08"/>
    <w:rsid w:val="003F7B2D"/>
    <w:rsid w:val="003F7E83"/>
    <w:rsid w:val="003F7EF9"/>
    <w:rsid w:val="003F7F71"/>
    <w:rsid w:val="00400005"/>
    <w:rsid w:val="0040006B"/>
    <w:rsid w:val="00400513"/>
    <w:rsid w:val="004005C5"/>
    <w:rsid w:val="00400719"/>
    <w:rsid w:val="00400743"/>
    <w:rsid w:val="00400802"/>
    <w:rsid w:val="00400812"/>
    <w:rsid w:val="004008F2"/>
    <w:rsid w:val="00400955"/>
    <w:rsid w:val="00400B8A"/>
    <w:rsid w:val="00400D11"/>
    <w:rsid w:val="00400F24"/>
    <w:rsid w:val="00400FF3"/>
    <w:rsid w:val="0040127D"/>
    <w:rsid w:val="004012C1"/>
    <w:rsid w:val="00401404"/>
    <w:rsid w:val="004014EC"/>
    <w:rsid w:val="00401570"/>
    <w:rsid w:val="00401626"/>
    <w:rsid w:val="004016AD"/>
    <w:rsid w:val="00401773"/>
    <w:rsid w:val="004017AC"/>
    <w:rsid w:val="004017C7"/>
    <w:rsid w:val="00401869"/>
    <w:rsid w:val="00401C31"/>
    <w:rsid w:val="00401CF5"/>
    <w:rsid w:val="00401ED1"/>
    <w:rsid w:val="004021A6"/>
    <w:rsid w:val="0040236E"/>
    <w:rsid w:val="004024AD"/>
    <w:rsid w:val="004025E9"/>
    <w:rsid w:val="0040267C"/>
    <w:rsid w:val="004026E5"/>
    <w:rsid w:val="0040277E"/>
    <w:rsid w:val="0040278F"/>
    <w:rsid w:val="004027D8"/>
    <w:rsid w:val="00402AC0"/>
    <w:rsid w:val="00402B98"/>
    <w:rsid w:val="00402D2F"/>
    <w:rsid w:val="00402D8B"/>
    <w:rsid w:val="004034B1"/>
    <w:rsid w:val="004035AC"/>
    <w:rsid w:val="00403711"/>
    <w:rsid w:val="00403861"/>
    <w:rsid w:val="0040389F"/>
    <w:rsid w:val="00403CD7"/>
    <w:rsid w:val="004046B9"/>
    <w:rsid w:val="004048E4"/>
    <w:rsid w:val="00404B64"/>
    <w:rsid w:val="00404C19"/>
    <w:rsid w:val="00404C31"/>
    <w:rsid w:val="00404DB8"/>
    <w:rsid w:val="00404E41"/>
    <w:rsid w:val="00404E68"/>
    <w:rsid w:val="00404E94"/>
    <w:rsid w:val="00404E96"/>
    <w:rsid w:val="00405038"/>
    <w:rsid w:val="00405056"/>
    <w:rsid w:val="0040564C"/>
    <w:rsid w:val="0040570E"/>
    <w:rsid w:val="00405C98"/>
    <w:rsid w:val="00405D9B"/>
    <w:rsid w:val="0040636D"/>
    <w:rsid w:val="004068C3"/>
    <w:rsid w:val="00406E42"/>
    <w:rsid w:val="00406F94"/>
    <w:rsid w:val="00406F9D"/>
    <w:rsid w:val="0040702C"/>
    <w:rsid w:val="00407164"/>
    <w:rsid w:val="00407346"/>
    <w:rsid w:val="00407349"/>
    <w:rsid w:val="004074AA"/>
    <w:rsid w:val="0040754A"/>
    <w:rsid w:val="0040770C"/>
    <w:rsid w:val="00407963"/>
    <w:rsid w:val="004079FB"/>
    <w:rsid w:val="00407ADC"/>
    <w:rsid w:val="00407C69"/>
    <w:rsid w:val="00407FCD"/>
    <w:rsid w:val="004105E7"/>
    <w:rsid w:val="004105EB"/>
    <w:rsid w:val="00410777"/>
    <w:rsid w:val="004108D6"/>
    <w:rsid w:val="00410A22"/>
    <w:rsid w:val="00410F9A"/>
    <w:rsid w:val="0041106E"/>
    <w:rsid w:val="004113BA"/>
    <w:rsid w:val="00411465"/>
    <w:rsid w:val="0041160D"/>
    <w:rsid w:val="0041189A"/>
    <w:rsid w:val="00411EDF"/>
    <w:rsid w:val="00412190"/>
    <w:rsid w:val="004121B6"/>
    <w:rsid w:val="00412360"/>
    <w:rsid w:val="004126A5"/>
    <w:rsid w:val="004127DA"/>
    <w:rsid w:val="00412AAA"/>
    <w:rsid w:val="00412B51"/>
    <w:rsid w:val="00412D4B"/>
    <w:rsid w:val="00412E1A"/>
    <w:rsid w:val="00412ED1"/>
    <w:rsid w:val="00412F80"/>
    <w:rsid w:val="00412FB1"/>
    <w:rsid w:val="0041305E"/>
    <w:rsid w:val="00413367"/>
    <w:rsid w:val="004133C0"/>
    <w:rsid w:val="0041372A"/>
    <w:rsid w:val="0041383F"/>
    <w:rsid w:val="00413A49"/>
    <w:rsid w:val="00413CB8"/>
    <w:rsid w:val="0041400D"/>
    <w:rsid w:val="00414292"/>
    <w:rsid w:val="0041446A"/>
    <w:rsid w:val="0041456B"/>
    <w:rsid w:val="0041463E"/>
    <w:rsid w:val="00414750"/>
    <w:rsid w:val="004147A9"/>
    <w:rsid w:val="00414A24"/>
    <w:rsid w:val="00414AE5"/>
    <w:rsid w:val="00414B50"/>
    <w:rsid w:val="00414CC7"/>
    <w:rsid w:val="00414EB1"/>
    <w:rsid w:val="00414EC2"/>
    <w:rsid w:val="0041502F"/>
    <w:rsid w:val="00415071"/>
    <w:rsid w:val="00415072"/>
    <w:rsid w:val="00415543"/>
    <w:rsid w:val="004158D9"/>
    <w:rsid w:val="004159BD"/>
    <w:rsid w:val="00415C1C"/>
    <w:rsid w:val="004160EE"/>
    <w:rsid w:val="0041624B"/>
    <w:rsid w:val="004163B7"/>
    <w:rsid w:val="00416629"/>
    <w:rsid w:val="00416672"/>
    <w:rsid w:val="004167A5"/>
    <w:rsid w:val="004168B2"/>
    <w:rsid w:val="00416CB0"/>
    <w:rsid w:val="00416D61"/>
    <w:rsid w:val="00416E35"/>
    <w:rsid w:val="0041701F"/>
    <w:rsid w:val="004170E7"/>
    <w:rsid w:val="004175DD"/>
    <w:rsid w:val="00417982"/>
    <w:rsid w:val="004179B5"/>
    <w:rsid w:val="00417F5C"/>
    <w:rsid w:val="00420087"/>
    <w:rsid w:val="004200F0"/>
    <w:rsid w:val="0042018E"/>
    <w:rsid w:val="0042062C"/>
    <w:rsid w:val="00420A05"/>
    <w:rsid w:val="004211B8"/>
    <w:rsid w:val="00421491"/>
    <w:rsid w:val="004214AB"/>
    <w:rsid w:val="004214B0"/>
    <w:rsid w:val="00421571"/>
    <w:rsid w:val="004215D6"/>
    <w:rsid w:val="004216F3"/>
    <w:rsid w:val="004217BF"/>
    <w:rsid w:val="0042193A"/>
    <w:rsid w:val="00421A40"/>
    <w:rsid w:val="00421C55"/>
    <w:rsid w:val="00421CD4"/>
    <w:rsid w:val="00421D97"/>
    <w:rsid w:val="00421EA4"/>
    <w:rsid w:val="00421F1B"/>
    <w:rsid w:val="00422380"/>
    <w:rsid w:val="004224EA"/>
    <w:rsid w:val="00422569"/>
    <w:rsid w:val="004227A0"/>
    <w:rsid w:val="00422888"/>
    <w:rsid w:val="00422D7D"/>
    <w:rsid w:val="00422D7F"/>
    <w:rsid w:val="00422E1C"/>
    <w:rsid w:val="00422E20"/>
    <w:rsid w:val="00422FD3"/>
    <w:rsid w:val="0042304F"/>
    <w:rsid w:val="004230D7"/>
    <w:rsid w:val="004232B5"/>
    <w:rsid w:val="004232D5"/>
    <w:rsid w:val="0042337B"/>
    <w:rsid w:val="00423568"/>
    <w:rsid w:val="0042356D"/>
    <w:rsid w:val="00423612"/>
    <w:rsid w:val="00423637"/>
    <w:rsid w:val="0042387B"/>
    <w:rsid w:val="00423E21"/>
    <w:rsid w:val="00424594"/>
    <w:rsid w:val="004247F6"/>
    <w:rsid w:val="004249F3"/>
    <w:rsid w:val="0042535C"/>
    <w:rsid w:val="0042547D"/>
    <w:rsid w:val="0042582D"/>
    <w:rsid w:val="0042583B"/>
    <w:rsid w:val="00425B78"/>
    <w:rsid w:val="00425C98"/>
    <w:rsid w:val="00425EA2"/>
    <w:rsid w:val="00425F00"/>
    <w:rsid w:val="004261AB"/>
    <w:rsid w:val="0042683D"/>
    <w:rsid w:val="004268DB"/>
    <w:rsid w:val="00426AD5"/>
    <w:rsid w:val="00426E10"/>
    <w:rsid w:val="00426F00"/>
    <w:rsid w:val="00427031"/>
    <w:rsid w:val="00427039"/>
    <w:rsid w:val="004270AA"/>
    <w:rsid w:val="004270E1"/>
    <w:rsid w:val="00427106"/>
    <w:rsid w:val="004274C7"/>
    <w:rsid w:val="004274E1"/>
    <w:rsid w:val="004274E8"/>
    <w:rsid w:val="004274F4"/>
    <w:rsid w:val="00427789"/>
    <w:rsid w:val="004277D6"/>
    <w:rsid w:val="0042781C"/>
    <w:rsid w:val="0042796F"/>
    <w:rsid w:val="00427BB6"/>
    <w:rsid w:val="00427CFE"/>
    <w:rsid w:val="00427D79"/>
    <w:rsid w:val="00427DDB"/>
    <w:rsid w:val="00427FBD"/>
    <w:rsid w:val="0043031A"/>
    <w:rsid w:val="004303AE"/>
    <w:rsid w:val="004304BD"/>
    <w:rsid w:val="00430533"/>
    <w:rsid w:val="00430754"/>
    <w:rsid w:val="004307BA"/>
    <w:rsid w:val="00430ADF"/>
    <w:rsid w:val="00430E33"/>
    <w:rsid w:val="00430FFC"/>
    <w:rsid w:val="00431630"/>
    <w:rsid w:val="004318A6"/>
    <w:rsid w:val="004318C5"/>
    <w:rsid w:val="00431A50"/>
    <w:rsid w:val="00431AFD"/>
    <w:rsid w:val="00431B1C"/>
    <w:rsid w:val="00431C9F"/>
    <w:rsid w:val="00432204"/>
    <w:rsid w:val="00432537"/>
    <w:rsid w:val="00432596"/>
    <w:rsid w:val="004326F0"/>
    <w:rsid w:val="004327C0"/>
    <w:rsid w:val="00432870"/>
    <w:rsid w:val="00432A05"/>
    <w:rsid w:val="00432A0B"/>
    <w:rsid w:val="00432E07"/>
    <w:rsid w:val="00432E42"/>
    <w:rsid w:val="00432F81"/>
    <w:rsid w:val="00432FD9"/>
    <w:rsid w:val="0043311C"/>
    <w:rsid w:val="004332AA"/>
    <w:rsid w:val="004333B1"/>
    <w:rsid w:val="0043341B"/>
    <w:rsid w:val="00433562"/>
    <w:rsid w:val="004336BF"/>
    <w:rsid w:val="004336DE"/>
    <w:rsid w:val="0043371A"/>
    <w:rsid w:val="00433EF1"/>
    <w:rsid w:val="004341D3"/>
    <w:rsid w:val="0043459B"/>
    <w:rsid w:val="00434683"/>
    <w:rsid w:val="00434728"/>
    <w:rsid w:val="00434732"/>
    <w:rsid w:val="0043476B"/>
    <w:rsid w:val="004347CB"/>
    <w:rsid w:val="004349CA"/>
    <w:rsid w:val="00434A13"/>
    <w:rsid w:val="00434A3E"/>
    <w:rsid w:val="00434D8B"/>
    <w:rsid w:val="0043518F"/>
    <w:rsid w:val="00435495"/>
    <w:rsid w:val="004354FC"/>
    <w:rsid w:val="00435504"/>
    <w:rsid w:val="00435693"/>
    <w:rsid w:val="004359B0"/>
    <w:rsid w:val="00435AC6"/>
    <w:rsid w:val="00435D71"/>
    <w:rsid w:val="0043601C"/>
    <w:rsid w:val="0043634A"/>
    <w:rsid w:val="004363D0"/>
    <w:rsid w:val="0043653A"/>
    <w:rsid w:val="0043674B"/>
    <w:rsid w:val="00436AAC"/>
    <w:rsid w:val="00436BDD"/>
    <w:rsid w:val="00436CC1"/>
    <w:rsid w:val="00436ED6"/>
    <w:rsid w:val="00437091"/>
    <w:rsid w:val="00437321"/>
    <w:rsid w:val="00437526"/>
    <w:rsid w:val="004375C6"/>
    <w:rsid w:val="0043796B"/>
    <w:rsid w:val="0043799A"/>
    <w:rsid w:val="00437D5C"/>
    <w:rsid w:val="0044013E"/>
    <w:rsid w:val="0044032F"/>
    <w:rsid w:val="0044039C"/>
    <w:rsid w:val="004403FB"/>
    <w:rsid w:val="004407C8"/>
    <w:rsid w:val="004409B8"/>
    <w:rsid w:val="00440ADE"/>
    <w:rsid w:val="00440BCD"/>
    <w:rsid w:val="00440D5E"/>
    <w:rsid w:val="00440F4C"/>
    <w:rsid w:val="0044100A"/>
    <w:rsid w:val="00441030"/>
    <w:rsid w:val="0044117A"/>
    <w:rsid w:val="0044126D"/>
    <w:rsid w:val="004414B8"/>
    <w:rsid w:val="00441783"/>
    <w:rsid w:val="0044180F"/>
    <w:rsid w:val="00441C4E"/>
    <w:rsid w:val="00441F27"/>
    <w:rsid w:val="00441F83"/>
    <w:rsid w:val="00441F93"/>
    <w:rsid w:val="00442082"/>
    <w:rsid w:val="0044209B"/>
    <w:rsid w:val="004420DF"/>
    <w:rsid w:val="00442157"/>
    <w:rsid w:val="004424BA"/>
    <w:rsid w:val="0044265C"/>
    <w:rsid w:val="004427DF"/>
    <w:rsid w:val="00442820"/>
    <w:rsid w:val="00442826"/>
    <w:rsid w:val="0044283A"/>
    <w:rsid w:val="00442850"/>
    <w:rsid w:val="00442982"/>
    <w:rsid w:val="00442A48"/>
    <w:rsid w:val="00442A6B"/>
    <w:rsid w:val="00442AC6"/>
    <w:rsid w:val="00442BEB"/>
    <w:rsid w:val="00443248"/>
    <w:rsid w:val="00443528"/>
    <w:rsid w:val="004435A8"/>
    <w:rsid w:val="0044393D"/>
    <w:rsid w:val="004441E6"/>
    <w:rsid w:val="00444270"/>
    <w:rsid w:val="004442B5"/>
    <w:rsid w:val="00444639"/>
    <w:rsid w:val="004446A2"/>
    <w:rsid w:val="004446B1"/>
    <w:rsid w:val="004446C1"/>
    <w:rsid w:val="004446E6"/>
    <w:rsid w:val="004449C6"/>
    <w:rsid w:val="00445120"/>
    <w:rsid w:val="004454E8"/>
    <w:rsid w:val="00445789"/>
    <w:rsid w:val="004459FD"/>
    <w:rsid w:val="00445D79"/>
    <w:rsid w:val="00445D9F"/>
    <w:rsid w:val="00445E4F"/>
    <w:rsid w:val="00445E5E"/>
    <w:rsid w:val="00445ECC"/>
    <w:rsid w:val="00446104"/>
    <w:rsid w:val="004461AB"/>
    <w:rsid w:val="0044636E"/>
    <w:rsid w:val="00446571"/>
    <w:rsid w:val="00446645"/>
    <w:rsid w:val="004466A5"/>
    <w:rsid w:val="004467EA"/>
    <w:rsid w:val="004468B2"/>
    <w:rsid w:val="00446C25"/>
    <w:rsid w:val="00446D2B"/>
    <w:rsid w:val="00446DA2"/>
    <w:rsid w:val="00446E6F"/>
    <w:rsid w:val="00446E7D"/>
    <w:rsid w:val="00446FE1"/>
    <w:rsid w:val="004471A6"/>
    <w:rsid w:val="004476F7"/>
    <w:rsid w:val="004478BD"/>
    <w:rsid w:val="00447A1C"/>
    <w:rsid w:val="00447DD5"/>
    <w:rsid w:val="00447F5A"/>
    <w:rsid w:val="004500B3"/>
    <w:rsid w:val="0045051B"/>
    <w:rsid w:val="0045058B"/>
    <w:rsid w:val="004505DE"/>
    <w:rsid w:val="00450970"/>
    <w:rsid w:val="00450A12"/>
    <w:rsid w:val="00450CAA"/>
    <w:rsid w:val="0045118A"/>
    <w:rsid w:val="00451321"/>
    <w:rsid w:val="0045136D"/>
    <w:rsid w:val="00451500"/>
    <w:rsid w:val="00451807"/>
    <w:rsid w:val="00451B7F"/>
    <w:rsid w:val="00451CEE"/>
    <w:rsid w:val="00451DEA"/>
    <w:rsid w:val="00451FF3"/>
    <w:rsid w:val="00451FF4"/>
    <w:rsid w:val="004520B9"/>
    <w:rsid w:val="00452499"/>
    <w:rsid w:val="00452611"/>
    <w:rsid w:val="0045261F"/>
    <w:rsid w:val="0045263B"/>
    <w:rsid w:val="004527C2"/>
    <w:rsid w:val="00452E2D"/>
    <w:rsid w:val="004530DD"/>
    <w:rsid w:val="0045325F"/>
    <w:rsid w:val="00453498"/>
    <w:rsid w:val="0045353C"/>
    <w:rsid w:val="00453632"/>
    <w:rsid w:val="00453913"/>
    <w:rsid w:val="00453AD0"/>
    <w:rsid w:val="00453D0C"/>
    <w:rsid w:val="00453D9D"/>
    <w:rsid w:val="00453FB3"/>
    <w:rsid w:val="00453FDB"/>
    <w:rsid w:val="00453FE6"/>
    <w:rsid w:val="00454148"/>
    <w:rsid w:val="004541A0"/>
    <w:rsid w:val="004541BC"/>
    <w:rsid w:val="004541F7"/>
    <w:rsid w:val="004545B0"/>
    <w:rsid w:val="004547D9"/>
    <w:rsid w:val="00454B4B"/>
    <w:rsid w:val="00454EB1"/>
    <w:rsid w:val="00455109"/>
    <w:rsid w:val="00455148"/>
    <w:rsid w:val="0045524D"/>
    <w:rsid w:val="004554AB"/>
    <w:rsid w:val="004558D5"/>
    <w:rsid w:val="00455971"/>
    <w:rsid w:val="00456177"/>
    <w:rsid w:val="004561E5"/>
    <w:rsid w:val="0045687C"/>
    <w:rsid w:val="0045687E"/>
    <w:rsid w:val="0045688C"/>
    <w:rsid w:val="00456A8F"/>
    <w:rsid w:val="00456C51"/>
    <w:rsid w:val="00456C70"/>
    <w:rsid w:val="00456C86"/>
    <w:rsid w:val="00456FD3"/>
    <w:rsid w:val="00457349"/>
    <w:rsid w:val="004576E9"/>
    <w:rsid w:val="00457704"/>
    <w:rsid w:val="00457932"/>
    <w:rsid w:val="00457997"/>
    <w:rsid w:val="004579BD"/>
    <w:rsid w:val="00457AEE"/>
    <w:rsid w:val="00457CB8"/>
    <w:rsid w:val="00457D90"/>
    <w:rsid w:val="00460098"/>
    <w:rsid w:val="004602FA"/>
    <w:rsid w:val="00460580"/>
    <w:rsid w:val="0046081A"/>
    <w:rsid w:val="00460848"/>
    <w:rsid w:val="00460985"/>
    <w:rsid w:val="00460BBF"/>
    <w:rsid w:val="00460FE9"/>
    <w:rsid w:val="0046137A"/>
    <w:rsid w:val="004614ED"/>
    <w:rsid w:val="004618BA"/>
    <w:rsid w:val="004618D2"/>
    <w:rsid w:val="00461906"/>
    <w:rsid w:val="00461954"/>
    <w:rsid w:val="00461A78"/>
    <w:rsid w:val="00461C0A"/>
    <w:rsid w:val="00461D82"/>
    <w:rsid w:val="00461F11"/>
    <w:rsid w:val="0046236A"/>
    <w:rsid w:val="004623F3"/>
    <w:rsid w:val="00462418"/>
    <w:rsid w:val="00462B3C"/>
    <w:rsid w:val="00462D76"/>
    <w:rsid w:val="00462DD4"/>
    <w:rsid w:val="00462F19"/>
    <w:rsid w:val="00462FDC"/>
    <w:rsid w:val="00463304"/>
    <w:rsid w:val="004635D6"/>
    <w:rsid w:val="00463739"/>
    <w:rsid w:val="0046398B"/>
    <w:rsid w:val="00463AA9"/>
    <w:rsid w:val="00463AD7"/>
    <w:rsid w:val="00463C23"/>
    <w:rsid w:val="00463DCF"/>
    <w:rsid w:val="00463DD3"/>
    <w:rsid w:val="00463E1D"/>
    <w:rsid w:val="00463E48"/>
    <w:rsid w:val="00463F13"/>
    <w:rsid w:val="00464189"/>
    <w:rsid w:val="0046419D"/>
    <w:rsid w:val="00464223"/>
    <w:rsid w:val="0046452D"/>
    <w:rsid w:val="00464778"/>
    <w:rsid w:val="004648F4"/>
    <w:rsid w:val="00464A44"/>
    <w:rsid w:val="00464A5D"/>
    <w:rsid w:val="00464AED"/>
    <w:rsid w:val="00464B2D"/>
    <w:rsid w:val="004654CF"/>
    <w:rsid w:val="0046562E"/>
    <w:rsid w:val="0046578F"/>
    <w:rsid w:val="00465A32"/>
    <w:rsid w:val="00465C28"/>
    <w:rsid w:val="00465D5C"/>
    <w:rsid w:val="00466104"/>
    <w:rsid w:val="004661CC"/>
    <w:rsid w:val="00466651"/>
    <w:rsid w:val="00466732"/>
    <w:rsid w:val="0046677B"/>
    <w:rsid w:val="004667BA"/>
    <w:rsid w:val="0046689A"/>
    <w:rsid w:val="004668ED"/>
    <w:rsid w:val="0046690D"/>
    <w:rsid w:val="004669C3"/>
    <w:rsid w:val="00466E4B"/>
    <w:rsid w:val="00467023"/>
    <w:rsid w:val="00467130"/>
    <w:rsid w:val="004673A8"/>
    <w:rsid w:val="004673AD"/>
    <w:rsid w:val="004673E9"/>
    <w:rsid w:val="004676AB"/>
    <w:rsid w:val="0046777C"/>
    <w:rsid w:val="00467789"/>
    <w:rsid w:val="004677C7"/>
    <w:rsid w:val="00467A0B"/>
    <w:rsid w:val="00467EAF"/>
    <w:rsid w:val="00467FE9"/>
    <w:rsid w:val="0046F1F3"/>
    <w:rsid w:val="0047005D"/>
    <w:rsid w:val="00470134"/>
    <w:rsid w:val="00470307"/>
    <w:rsid w:val="00470321"/>
    <w:rsid w:val="004703AD"/>
    <w:rsid w:val="00470422"/>
    <w:rsid w:val="0047079E"/>
    <w:rsid w:val="0047092E"/>
    <w:rsid w:val="00470B1C"/>
    <w:rsid w:val="00470BBB"/>
    <w:rsid w:val="00471392"/>
    <w:rsid w:val="00471410"/>
    <w:rsid w:val="0047142C"/>
    <w:rsid w:val="004715EF"/>
    <w:rsid w:val="0047162A"/>
    <w:rsid w:val="0047184D"/>
    <w:rsid w:val="0047198C"/>
    <w:rsid w:val="00471EA8"/>
    <w:rsid w:val="00472344"/>
    <w:rsid w:val="00472723"/>
    <w:rsid w:val="004728CF"/>
    <w:rsid w:val="0047298B"/>
    <w:rsid w:val="00472B3A"/>
    <w:rsid w:val="00472FD2"/>
    <w:rsid w:val="00473391"/>
    <w:rsid w:val="004733A7"/>
    <w:rsid w:val="0047346A"/>
    <w:rsid w:val="004734B8"/>
    <w:rsid w:val="004734F2"/>
    <w:rsid w:val="00473546"/>
    <w:rsid w:val="004738CF"/>
    <w:rsid w:val="004739D5"/>
    <w:rsid w:val="00473B43"/>
    <w:rsid w:val="00473C2F"/>
    <w:rsid w:val="00473C3F"/>
    <w:rsid w:val="00473C87"/>
    <w:rsid w:val="00473EFC"/>
    <w:rsid w:val="00473F1A"/>
    <w:rsid w:val="00474137"/>
    <w:rsid w:val="004742FB"/>
    <w:rsid w:val="00474549"/>
    <w:rsid w:val="0047458D"/>
    <w:rsid w:val="00474662"/>
    <w:rsid w:val="004748C6"/>
    <w:rsid w:val="00474996"/>
    <w:rsid w:val="004749B9"/>
    <w:rsid w:val="00474E10"/>
    <w:rsid w:val="00474E44"/>
    <w:rsid w:val="00475192"/>
    <w:rsid w:val="004752C8"/>
    <w:rsid w:val="0047553E"/>
    <w:rsid w:val="004755E7"/>
    <w:rsid w:val="004756E5"/>
    <w:rsid w:val="00475860"/>
    <w:rsid w:val="00475A19"/>
    <w:rsid w:val="00475D19"/>
    <w:rsid w:val="00475D58"/>
    <w:rsid w:val="00475E04"/>
    <w:rsid w:val="00475F39"/>
    <w:rsid w:val="00475F61"/>
    <w:rsid w:val="00475F7F"/>
    <w:rsid w:val="004761DA"/>
    <w:rsid w:val="004764FC"/>
    <w:rsid w:val="0047690A"/>
    <w:rsid w:val="00476A62"/>
    <w:rsid w:val="00476B02"/>
    <w:rsid w:val="00476EC7"/>
    <w:rsid w:val="00477018"/>
    <w:rsid w:val="0047728F"/>
    <w:rsid w:val="004772D5"/>
    <w:rsid w:val="00477346"/>
    <w:rsid w:val="00477644"/>
    <w:rsid w:val="00477A34"/>
    <w:rsid w:val="00477A75"/>
    <w:rsid w:val="00477EC6"/>
    <w:rsid w:val="00477F2E"/>
    <w:rsid w:val="00480264"/>
    <w:rsid w:val="004802A1"/>
    <w:rsid w:val="0048042D"/>
    <w:rsid w:val="0048047C"/>
    <w:rsid w:val="00480611"/>
    <w:rsid w:val="00480651"/>
    <w:rsid w:val="004806F8"/>
    <w:rsid w:val="004807CD"/>
    <w:rsid w:val="004808F0"/>
    <w:rsid w:val="00480A90"/>
    <w:rsid w:val="00480BA1"/>
    <w:rsid w:val="00480D58"/>
    <w:rsid w:val="00480FF2"/>
    <w:rsid w:val="00481096"/>
    <w:rsid w:val="004810BD"/>
    <w:rsid w:val="00481536"/>
    <w:rsid w:val="004816C3"/>
    <w:rsid w:val="0048178D"/>
    <w:rsid w:val="00481AA4"/>
    <w:rsid w:val="00481B4D"/>
    <w:rsid w:val="00481BBB"/>
    <w:rsid w:val="00481C1E"/>
    <w:rsid w:val="00481D32"/>
    <w:rsid w:val="00481D5C"/>
    <w:rsid w:val="00481F8C"/>
    <w:rsid w:val="00482092"/>
    <w:rsid w:val="00482184"/>
    <w:rsid w:val="00482280"/>
    <w:rsid w:val="004827B4"/>
    <w:rsid w:val="004827FF"/>
    <w:rsid w:val="004828D6"/>
    <w:rsid w:val="00482C11"/>
    <w:rsid w:val="00482C3D"/>
    <w:rsid w:val="00482E9D"/>
    <w:rsid w:val="00482F62"/>
    <w:rsid w:val="004831B9"/>
    <w:rsid w:val="00483221"/>
    <w:rsid w:val="004832BF"/>
    <w:rsid w:val="004836C9"/>
    <w:rsid w:val="00483948"/>
    <w:rsid w:val="00483C19"/>
    <w:rsid w:val="00483D98"/>
    <w:rsid w:val="00483E79"/>
    <w:rsid w:val="004847FF"/>
    <w:rsid w:val="004849BD"/>
    <w:rsid w:val="00484A45"/>
    <w:rsid w:val="00484C53"/>
    <w:rsid w:val="00484E73"/>
    <w:rsid w:val="00485625"/>
    <w:rsid w:val="00485643"/>
    <w:rsid w:val="00485933"/>
    <w:rsid w:val="00485C3D"/>
    <w:rsid w:val="00485E18"/>
    <w:rsid w:val="00485E22"/>
    <w:rsid w:val="00485F1F"/>
    <w:rsid w:val="00485FFD"/>
    <w:rsid w:val="004860DA"/>
    <w:rsid w:val="00486278"/>
    <w:rsid w:val="0048628F"/>
    <w:rsid w:val="00486425"/>
    <w:rsid w:val="00486692"/>
    <w:rsid w:val="004867C0"/>
    <w:rsid w:val="004867D8"/>
    <w:rsid w:val="004867E7"/>
    <w:rsid w:val="00486861"/>
    <w:rsid w:val="00486BC7"/>
    <w:rsid w:val="00486CBA"/>
    <w:rsid w:val="00486DAB"/>
    <w:rsid w:val="00486DCC"/>
    <w:rsid w:val="00486FA4"/>
    <w:rsid w:val="004871A5"/>
    <w:rsid w:val="0048728C"/>
    <w:rsid w:val="00487360"/>
    <w:rsid w:val="0048769F"/>
    <w:rsid w:val="00487DB2"/>
    <w:rsid w:val="00487F08"/>
    <w:rsid w:val="00487F67"/>
    <w:rsid w:val="004901F1"/>
    <w:rsid w:val="00490202"/>
    <w:rsid w:val="00490231"/>
    <w:rsid w:val="0049026E"/>
    <w:rsid w:val="0049030B"/>
    <w:rsid w:val="00490472"/>
    <w:rsid w:val="004904FB"/>
    <w:rsid w:val="00490665"/>
    <w:rsid w:val="004908E9"/>
    <w:rsid w:val="0049090A"/>
    <w:rsid w:val="004909AA"/>
    <w:rsid w:val="00490BE5"/>
    <w:rsid w:val="00490C3E"/>
    <w:rsid w:val="00490C84"/>
    <w:rsid w:val="00490E62"/>
    <w:rsid w:val="0049100C"/>
    <w:rsid w:val="004912C0"/>
    <w:rsid w:val="0049139C"/>
    <w:rsid w:val="004914FA"/>
    <w:rsid w:val="00491649"/>
    <w:rsid w:val="00491863"/>
    <w:rsid w:val="00491975"/>
    <w:rsid w:val="004919F6"/>
    <w:rsid w:val="00491BCE"/>
    <w:rsid w:val="00491BD7"/>
    <w:rsid w:val="00491C0A"/>
    <w:rsid w:val="00491C17"/>
    <w:rsid w:val="00491D06"/>
    <w:rsid w:val="00491E50"/>
    <w:rsid w:val="00491EA5"/>
    <w:rsid w:val="004921A3"/>
    <w:rsid w:val="00492342"/>
    <w:rsid w:val="0049257E"/>
    <w:rsid w:val="00492690"/>
    <w:rsid w:val="00492743"/>
    <w:rsid w:val="00492758"/>
    <w:rsid w:val="0049279B"/>
    <w:rsid w:val="00492AF4"/>
    <w:rsid w:val="00492B63"/>
    <w:rsid w:val="00492C94"/>
    <w:rsid w:val="00492EE4"/>
    <w:rsid w:val="00493071"/>
    <w:rsid w:val="0049359D"/>
    <w:rsid w:val="00493776"/>
    <w:rsid w:val="00493A1F"/>
    <w:rsid w:val="00493D0E"/>
    <w:rsid w:val="00493D57"/>
    <w:rsid w:val="00493EE6"/>
    <w:rsid w:val="00494003"/>
    <w:rsid w:val="00494010"/>
    <w:rsid w:val="0049402F"/>
    <w:rsid w:val="00494504"/>
    <w:rsid w:val="004948B6"/>
    <w:rsid w:val="00494ACD"/>
    <w:rsid w:val="00494B70"/>
    <w:rsid w:val="00494C15"/>
    <w:rsid w:val="00494D1A"/>
    <w:rsid w:val="00494D79"/>
    <w:rsid w:val="00494D85"/>
    <w:rsid w:val="0049510A"/>
    <w:rsid w:val="004951D3"/>
    <w:rsid w:val="004952B3"/>
    <w:rsid w:val="004956B7"/>
    <w:rsid w:val="00495936"/>
    <w:rsid w:val="00495B89"/>
    <w:rsid w:val="00495C49"/>
    <w:rsid w:val="00495CAC"/>
    <w:rsid w:val="00495F0F"/>
    <w:rsid w:val="00495FED"/>
    <w:rsid w:val="0049608C"/>
    <w:rsid w:val="004965F8"/>
    <w:rsid w:val="00496696"/>
    <w:rsid w:val="00496704"/>
    <w:rsid w:val="00496818"/>
    <w:rsid w:val="004968CF"/>
    <w:rsid w:val="00496BDC"/>
    <w:rsid w:val="00496C29"/>
    <w:rsid w:val="00496D40"/>
    <w:rsid w:val="00496DD3"/>
    <w:rsid w:val="00496EEA"/>
    <w:rsid w:val="00496FEE"/>
    <w:rsid w:val="00496FF0"/>
    <w:rsid w:val="004971CA"/>
    <w:rsid w:val="0049732D"/>
    <w:rsid w:val="00497387"/>
    <w:rsid w:val="0049767B"/>
    <w:rsid w:val="0049770B"/>
    <w:rsid w:val="004979B8"/>
    <w:rsid w:val="00497D57"/>
    <w:rsid w:val="00497DE7"/>
    <w:rsid w:val="004A0022"/>
    <w:rsid w:val="004A038D"/>
    <w:rsid w:val="004A03DA"/>
    <w:rsid w:val="004A047F"/>
    <w:rsid w:val="004A0767"/>
    <w:rsid w:val="004A07C6"/>
    <w:rsid w:val="004A07F4"/>
    <w:rsid w:val="004A096F"/>
    <w:rsid w:val="004A0F39"/>
    <w:rsid w:val="004A10F8"/>
    <w:rsid w:val="004A117C"/>
    <w:rsid w:val="004A13E8"/>
    <w:rsid w:val="004A17F5"/>
    <w:rsid w:val="004A1902"/>
    <w:rsid w:val="004A1B81"/>
    <w:rsid w:val="004A1BAD"/>
    <w:rsid w:val="004A1F89"/>
    <w:rsid w:val="004A200E"/>
    <w:rsid w:val="004A216A"/>
    <w:rsid w:val="004A2346"/>
    <w:rsid w:val="004A2404"/>
    <w:rsid w:val="004A26C2"/>
    <w:rsid w:val="004A26DC"/>
    <w:rsid w:val="004A274D"/>
    <w:rsid w:val="004A2C43"/>
    <w:rsid w:val="004A2DD7"/>
    <w:rsid w:val="004A2EC4"/>
    <w:rsid w:val="004A2F2B"/>
    <w:rsid w:val="004A301D"/>
    <w:rsid w:val="004A318B"/>
    <w:rsid w:val="004A34F1"/>
    <w:rsid w:val="004A3778"/>
    <w:rsid w:val="004A37EF"/>
    <w:rsid w:val="004A38B8"/>
    <w:rsid w:val="004A39D4"/>
    <w:rsid w:val="004A3A13"/>
    <w:rsid w:val="004A3C90"/>
    <w:rsid w:val="004A4011"/>
    <w:rsid w:val="004A4036"/>
    <w:rsid w:val="004A40F9"/>
    <w:rsid w:val="004A4485"/>
    <w:rsid w:val="004A4C0B"/>
    <w:rsid w:val="004A4CA3"/>
    <w:rsid w:val="004A4D61"/>
    <w:rsid w:val="004A4F73"/>
    <w:rsid w:val="004A4FE2"/>
    <w:rsid w:val="004A506A"/>
    <w:rsid w:val="004A53F8"/>
    <w:rsid w:val="004A5579"/>
    <w:rsid w:val="004A594A"/>
    <w:rsid w:val="004A5C64"/>
    <w:rsid w:val="004A5D42"/>
    <w:rsid w:val="004A5F08"/>
    <w:rsid w:val="004A5F85"/>
    <w:rsid w:val="004A5FBA"/>
    <w:rsid w:val="004A64F4"/>
    <w:rsid w:val="004A662B"/>
    <w:rsid w:val="004A6AAB"/>
    <w:rsid w:val="004A6AF0"/>
    <w:rsid w:val="004A6CD4"/>
    <w:rsid w:val="004A6EC9"/>
    <w:rsid w:val="004A6F00"/>
    <w:rsid w:val="004A760A"/>
    <w:rsid w:val="004A7678"/>
    <w:rsid w:val="004A7ABC"/>
    <w:rsid w:val="004A7E35"/>
    <w:rsid w:val="004A7F3A"/>
    <w:rsid w:val="004A7FFB"/>
    <w:rsid w:val="004B00D2"/>
    <w:rsid w:val="004B05CD"/>
    <w:rsid w:val="004B069E"/>
    <w:rsid w:val="004B06E7"/>
    <w:rsid w:val="004B099E"/>
    <w:rsid w:val="004B0A1E"/>
    <w:rsid w:val="004B0A77"/>
    <w:rsid w:val="004B0AD0"/>
    <w:rsid w:val="004B0CBF"/>
    <w:rsid w:val="004B117B"/>
    <w:rsid w:val="004B13CF"/>
    <w:rsid w:val="004B1458"/>
    <w:rsid w:val="004B1517"/>
    <w:rsid w:val="004B1788"/>
    <w:rsid w:val="004B1B70"/>
    <w:rsid w:val="004B1B9B"/>
    <w:rsid w:val="004B1C9B"/>
    <w:rsid w:val="004B1FF5"/>
    <w:rsid w:val="004B222B"/>
    <w:rsid w:val="004B22BF"/>
    <w:rsid w:val="004B2895"/>
    <w:rsid w:val="004B3315"/>
    <w:rsid w:val="004B33A8"/>
    <w:rsid w:val="004B345F"/>
    <w:rsid w:val="004B355F"/>
    <w:rsid w:val="004B38E4"/>
    <w:rsid w:val="004B392D"/>
    <w:rsid w:val="004B3BC5"/>
    <w:rsid w:val="004B3BCC"/>
    <w:rsid w:val="004B3E97"/>
    <w:rsid w:val="004B3EF3"/>
    <w:rsid w:val="004B40BA"/>
    <w:rsid w:val="004B4208"/>
    <w:rsid w:val="004B428A"/>
    <w:rsid w:val="004B42E2"/>
    <w:rsid w:val="004B42F9"/>
    <w:rsid w:val="004B45D0"/>
    <w:rsid w:val="004B45F2"/>
    <w:rsid w:val="004B45F6"/>
    <w:rsid w:val="004B4862"/>
    <w:rsid w:val="004B4A16"/>
    <w:rsid w:val="004B4DC8"/>
    <w:rsid w:val="004B5097"/>
    <w:rsid w:val="004B509F"/>
    <w:rsid w:val="004B518E"/>
    <w:rsid w:val="004B51B3"/>
    <w:rsid w:val="004B5313"/>
    <w:rsid w:val="004B54FD"/>
    <w:rsid w:val="004B56D0"/>
    <w:rsid w:val="004B5942"/>
    <w:rsid w:val="004B5B84"/>
    <w:rsid w:val="004B5F12"/>
    <w:rsid w:val="004B621F"/>
    <w:rsid w:val="004B624C"/>
    <w:rsid w:val="004B6313"/>
    <w:rsid w:val="004B643D"/>
    <w:rsid w:val="004B6488"/>
    <w:rsid w:val="004B65E0"/>
    <w:rsid w:val="004B67AF"/>
    <w:rsid w:val="004B6903"/>
    <w:rsid w:val="004B6B2A"/>
    <w:rsid w:val="004B6C99"/>
    <w:rsid w:val="004B6DD5"/>
    <w:rsid w:val="004B6F0C"/>
    <w:rsid w:val="004B7133"/>
    <w:rsid w:val="004B7166"/>
    <w:rsid w:val="004B758F"/>
    <w:rsid w:val="004B75D4"/>
    <w:rsid w:val="004B75D8"/>
    <w:rsid w:val="004B7734"/>
    <w:rsid w:val="004B7AE7"/>
    <w:rsid w:val="004B7B88"/>
    <w:rsid w:val="004B7BDB"/>
    <w:rsid w:val="004B7E8A"/>
    <w:rsid w:val="004B7F1D"/>
    <w:rsid w:val="004C0024"/>
    <w:rsid w:val="004C07FB"/>
    <w:rsid w:val="004C087D"/>
    <w:rsid w:val="004C0A34"/>
    <w:rsid w:val="004C0A8C"/>
    <w:rsid w:val="004C0B4C"/>
    <w:rsid w:val="004C11F1"/>
    <w:rsid w:val="004C144F"/>
    <w:rsid w:val="004C156D"/>
    <w:rsid w:val="004C15CB"/>
    <w:rsid w:val="004C16E6"/>
    <w:rsid w:val="004C1809"/>
    <w:rsid w:val="004C1857"/>
    <w:rsid w:val="004C19A4"/>
    <w:rsid w:val="004C19E6"/>
    <w:rsid w:val="004C1A38"/>
    <w:rsid w:val="004C1A8F"/>
    <w:rsid w:val="004C212F"/>
    <w:rsid w:val="004C22AF"/>
    <w:rsid w:val="004C23DA"/>
    <w:rsid w:val="004C267F"/>
    <w:rsid w:val="004C28EC"/>
    <w:rsid w:val="004C2BD0"/>
    <w:rsid w:val="004C2DA4"/>
    <w:rsid w:val="004C2E64"/>
    <w:rsid w:val="004C2FE1"/>
    <w:rsid w:val="004C33D4"/>
    <w:rsid w:val="004C35B3"/>
    <w:rsid w:val="004C374E"/>
    <w:rsid w:val="004C3AD7"/>
    <w:rsid w:val="004C3F0A"/>
    <w:rsid w:val="004C42F7"/>
    <w:rsid w:val="004C45E5"/>
    <w:rsid w:val="004C46C8"/>
    <w:rsid w:val="004C4AE9"/>
    <w:rsid w:val="004C4C9D"/>
    <w:rsid w:val="004C509D"/>
    <w:rsid w:val="004C50CC"/>
    <w:rsid w:val="004C5121"/>
    <w:rsid w:val="004C5148"/>
    <w:rsid w:val="004C5229"/>
    <w:rsid w:val="004C5440"/>
    <w:rsid w:val="004C593A"/>
    <w:rsid w:val="004C5E5B"/>
    <w:rsid w:val="004C5F96"/>
    <w:rsid w:val="004C6054"/>
    <w:rsid w:val="004C6091"/>
    <w:rsid w:val="004C6358"/>
    <w:rsid w:val="004C63E1"/>
    <w:rsid w:val="004C646D"/>
    <w:rsid w:val="004C6482"/>
    <w:rsid w:val="004C6550"/>
    <w:rsid w:val="004C6569"/>
    <w:rsid w:val="004C66C6"/>
    <w:rsid w:val="004C681E"/>
    <w:rsid w:val="004C6895"/>
    <w:rsid w:val="004C69BB"/>
    <w:rsid w:val="004C69D3"/>
    <w:rsid w:val="004C715E"/>
    <w:rsid w:val="004C7278"/>
    <w:rsid w:val="004C744E"/>
    <w:rsid w:val="004C7611"/>
    <w:rsid w:val="004C7753"/>
    <w:rsid w:val="004C77AE"/>
    <w:rsid w:val="004C787E"/>
    <w:rsid w:val="004C78B0"/>
    <w:rsid w:val="004C7AC4"/>
    <w:rsid w:val="004C7BF2"/>
    <w:rsid w:val="004CBA8C"/>
    <w:rsid w:val="004D020B"/>
    <w:rsid w:val="004D05AF"/>
    <w:rsid w:val="004D0716"/>
    <w:rsid w:val="004D0830"/>
    <w:rsid w:val="004D0884"/>
    <w:rsid w:val="004D0AD4"/>
    <w:rsid w:val="004D0C10"/>
    <w:rsid w:val="004D0C42"/>
    <w:rsid w:val="004D0CC7"/>
    <w:rsid w:val="004D0E15"/>
    <w:rsid w:val="004D1077"/>
    <w:rsid w:val="004D129E"/>
    <w:rsid w:val="004D147B"/>
    <w:rsid w:val="004D14EA"/>
    <w:rsid w:val="004D1623"/>
    <w:rsid w:val="004D184C"/>
    <w:rsid w:val="004D18BF"/>
    <w:rsid w:val="004D1A41"/>
    <w:rsid w:val="004D1A5A"/>
    <w:rsid w:val="004D1AFB"/>
    <w:rsid w:val="004D21C0"/>
    <w:rsid w:val="004D295A"/>
    <w:rsid w:val="004D2A69"/>
    <w:rsid w:val="004D2E0D"/>
    <w:rsid w:val="004D2E8E"/>
    <w:rsid w:val="004D2EE4"/>
    <w:rsid w:val="004D30B0"/>
    <w:rsid w:val="004D333E"/>
    <w:rsid w:val="004D33B7"/>
    <w:rsid w:val="004D33EC"/>
    <w:rsid w:val="004D3638"/>
    <w:rsid w:val="004D36FB"/>
    <w:rsid w:val="004D3723"/>
    <w:rsid w:val="004D3A42"/>
    <w:rsid w:val="004D3AAA"/>
    <w:rsid w:val="004D3B69"/>
    <w:rsid w:val="004D3EA8"/>
    <w:rsid w:val="004D40DF"/>
    <w:rsid w:val="004D427F"/>
    <w:rsid w:val="004D445F"/>
    <w:rsid w:val="004D44F7"/>
    <w:rsid w:val="004D4751"/>
    <w:rsid w:val="004D48FF"/>
    <w:rsid w:val="004D4C0F"/>
    <w:rsid w:val="004D4E5D"/>
    <w:rsid w:val="004D4EBE"/>
    <w:rsid w:val="004D51C6"/>
    <w:rsid w:val="004D51E5"/>
    <w:rsid w:val="004D54F1"/>
    <w:rsid w:val="004D55E3"/>
    <w:rsid w:val="004D5703"/>
    <w:rsid w:val="004D5715"/>
    <w:rsid w:val="004D57C2"/>
    <w:rsid w:val="004D5CEF"/>
    <w:rsid w:val="004D5DF4"/>
    <w:rsid w:val="004D5E01"/>
    <w:rsid w:val="004D62F7"/>
    <w:rsid w:val="004D6474"/>
    <w:rsid w:val="004D64CE"/>
    <w:rsid w:val="004D6EB5"/>
    <w:rsid w:val="004D7067"/>
    <w:rsid w:val="004D737F"/>
    <w:rsid w:val="004D763C"/>
    <w:rsid w:val="004D7705"/>
    <w:rsid w:val="004D7959"/>
    <w:rsid w:val="004D7A88"/>
    <w:rsid w:val="004D7ADF"/>
    <w:rsid w:val="004D7C30"/>
    <w:rsid w:val="004E0007"/>
    <w:rsid w:val="004E011A"/>
    <w:rsid w:val="004E01ED"/>
    <w:rsid w:val="004E02B6"/>
    <w:rsid w:val="004E038C"/>
    <w:rsid w:val="004E056A"/>
    <w:rsid w:val="004E0609"/>
    <w:rsid w:val="004E0640"/>
    <w:rsid w:val="004E0720"/>
    <w:rsid w:val="004E0769"/>
    <w:rsid w:val="004E100E"/>
    <w:rsid w:val="004E1029"/>
    <w:rsid w:val="004E10E9"/>
    <w:rsid w:val="004E131A"/>
    <w:rsid w:val="004E13FF"/>
    <w:rsid w:val="004E148E"/>
    <w:rsid w:val="004E1640"/>
    <w:rsid w:val="004E16AC"/>
    <w:rsid w:val="004E1A9D"/>
    <w:rsid w:val="004E1DA2"/>
    <w:rsid w:val="004E1DA5"/>
    <w:rsid w:val="004E1E33"/>
    <w:rsid w:val="004E1E37"/>
    <w:rsid w:val="004E2052"/>
    <w:rsid w:val="004E209C"/>
    <w:rsid w:val="004E2143"/>
    <w:rsid w:val="004E2184"/>
    <w:rsid w:val="004E21C3"/>
    <w:rsid w:val="004E234B"/>
    <w:rsid w:val="004E23BE"/>
    <w:rsid w:val="004E2477"/>
    <w:rsid w:val="004E24D2"/>
    <w:rsid w:val="004E2832"/>
    <w:rsid w:val="004E28A5"/>
    <w:rsid w:val="004E2937"/>
    <w:rsid w:val="004E2BC2"/>
    <w:rsid w:val="004E2D2B"/>
    <w:rsid w:val="004E2D6E"/>
    <w:rsid w:val="004E36E9"/>
    <w:rsid w:val="004E38B4"/>
    <w:rsid w:val="004E3939"/>
    <w:rsid w:val="004E41CB"/>
    <w:rsid w:val="004E41D7"/>
    <w:rsid w:val="004E421C"/>
    <w:rsid w:val="004E42B4"/>
    <w:rsid w:val="004E4385"/>
    <w:rsid w:val="004E4411"/>
    <w:rsid w:val="004E444B"/>
    <w:rsid w:val="004E4641"/>
    <w:rsid w:val="004E47E7"/>
    <w:rsid w:val="004E486E"/>
    <w:rsid w:val="004E4912"/>
    <w:rsid w:val="004E496F"/>
    <w:rsid w:val="004E4CD9"/>
    <w:rsid w:val="004E4DD2"/>
    <w:rsid w:val="004E4E3F"/>
    <w:rsid w:val="004E4EF6"/>
    <w:rsid w:val="004E529F"/>
    <w:rsid w:val="004E52F0"/>
    <w:rsid w:val="004E551C"/>
    <w:rsid w:val="004E5E2F"/>
    <w:rsid w:val="004E5E77"/>
    <w:rsid w:val="004E5F46"/>
    <w:rsid w:val="004E5F7B"/>
    <w:rsid w:val="004E6036"/>
    <w:rsid w:val="004E6291"/>
    <w:rsid w:val="004E62A2"/>
    <w:rsid w:val="004E64D9"/>
    <w:rsid w:val="004E66C0"/>
    <w:rsid w:val="004E6728"/>
    <w:rsid w:val="004E689E"/>
    <w:rsid w:val="004E6B71"/>
    <w:rsid w:val="004E6B9B"/>
    <w:rsid w:val="004E6C1C"/>
    <w:rsid w:val="004E6CA7"/>
    <w:rsid w:val="004E6D44"/>
    <w:rsid w:val="004E6E3B"/>
    <w:rsid w:val="004E6E82"/>
    <w:rsid w:val="004E6F04"/>
    <w:rsid w:val="004E6F18"/>
    <w:rsid w:val="004E7030"/>
    <w:rsid w:val="004E71E4"/>
    <w:rsid w:val="004E7301"/>
    <w:rsid w:val="004E74BF"/>
    <w:rsid w:val="004E7545"/>
    <w:rsid w:val="004E7598"/>
    <w:rsid w:val="004E7976"/>
    <w:rsid w:val="004E7AC8"/>
    <w:rsid w:val="004E7DAF"/>
    <w:rsid w:val="004E7FD7"/>
    <w:rsid w:val="004F010A"/>
    <w:rsid w:val="004F0140"/>
    <w:rsid w:val="004F0335"/>
    <w:rsid w:val="004F05B8"/>
    <w:rsid w:val="004F092B"/>
    <w:rsid w:val="004F09E5"/>
    <w:rsid w:val="004F0BBF"/>
    <w:rsid w:val="004F0C5C"/>
    <w:rsid w:val="004F0D02"/>
    <w:rsid w:val="004F0EDA"/>
    <w:rsid w:val="004F10FB"/>
    <w:rsid w:val="004F135A"/>
    <w:rsid w:val="004F1390"/>
    <w:rsid w:val="004F14E5"/>
    <w:rsid w:val="004F178A"/>
    <w:rsid w:val="004F1FA9"/>
    <w:rsid w:val="004F211E"/>
    <w:rsid w:val="004F215A"/>
    <w:rsid w:val="004F2504"/>
    <w:rsid w:val="004F269F"/>
    <w:rsid w:val="004F2749"/>
    <w:rsid w:val="004F29D8"/>
    <w:rsid w:val="004F2AB5"/>
    <w:rsid w:val="004F2CD4"/>
    <w:rsid w:val="004F2EA3"/>
    <w:rsid w:val="004F2F88"/>
    <w:rsid w:val="004F30DD"/>
    <w:rsid w:val="004F31EC"/>
    <w:rsid w:val="004F3211"/>
    <w:rsid w:val="004F335B"/>
    <w:rsid w:val="004F341A"/>
    <w:rsid w:val="004F3677"/>
    <w:rsid w:val="004F3826"/>
    <w:rsid w:val="004F3B76"/>
    <w:rsid w:val="004F3D7E"/>
    <w:rsid w:val="004F3E65"/>
    <w:rsid w:val="004F3FCB"/>
    <w:rsid w:val="004F4035"/>
    <w:rsid w:val="004F4133"/>
    <w:rsid w:val="004F4799"/>
    <w:rsid w:val="004F4A7D"/>
    <w:rsid w:val="004F4BAD"/>
    <w:rsid w:val="004F5268"/>
    <w:rsid w:val="004F530E"/>
    <w:rsid w:val="004F5341"/>
    <w:rsid w:val="004F53F3"/>
    <w:rsid w:val="004F5430"/>
    <w:rsid w:val="004F5439"/>
    <w:rsid w:val="004F54FE"/>
    <w:rsid w:val="004F596F"/>
    <w:rsid w:val="004F5DB8"/>
    <w:rsid w:val="004F5F16"/>
    <w:rsid w:val="004F6082"/>
    <w:rsid w:val="004F623E"/>
    <w:rsid w:val="004F63E3"/>
    <w:rsid w:val="004F64FB"/>
    <w:rsid w:val="004F66E4"/>
    <w:rsid w:val="004F6731"/>
    <w:rsid w:val="004F69CE"/>
    <w:rsid w:val="004F6C03"/>
    <w:rsid w:val="004F6C1C"/>
    <w:rsid w:val="004F6DA7"/>
    <w:rsid w:val="004F71BB"/>
    <w:rsid w:val="004F74A8"/>
    <w:rsid w:val="004F7652"/>
    <w:rsid w:val="004F7B1C"/>
    <w:rsid w:val="004F7B22"/>
    <w:rsid w:val="004F7BB7"/>
    <w:rsid w:val="004F7D93"/>
    <w:rsid w:val="0050009F"/>
    <w:rsid w:val="00500130"/>
    <w:rsid w:val="0050047A"/>
    <w:rsid w:val="005005D6"/>
    <w:rsid w:val="0050083A"/>
    <w:rsid w:val="0050084F"/>
    <w:rsid w:val="005008B1"/>
    <w:rsid w:val="00500B93"/>
    <w:rsid w:val="00500E44"/>
    <w:rsid w:val="00500E62"/>
    <w:rsid w:val="00500FCE"/>
    <w:rsid w:val="0050117D"/>
    <w:rsid w:val="00501200"/>
    <w:rsid w:val="00501292"/>
    <w:rsid w:val="00501412"/>
    <w:rsid w:val="00501453"/>
    <w:rsid w:val="005014E4"/>
    <w:rsid w:val="005016AF"/>
    <w:rsid w:val="0050185B"/>
    <w:rsid w:val="00501F27"/>
    <w:rsid w:val="00502185"/>
    <w:rsid w:val="00502514"/>
    <w:rsid w:val="005026EC"/>
    <w:rsid w:val="00502A70"/>
    <w:rsid w:val="00502DBD"/>
    <w:rsid w:val="00502F7F"/>
    <w:rsid w:val="00502FF7"/>
    <w:rsid w:val="00503893"/>
    <w:rsid w:val="00503904"/>
    <w:rsid w:val="00503A3C"/>
    <w:rsid w:val="00503B69"/>
    <w:rsid w:val="00503BE9"/>
    <w:rsid w:val="00503EFE"/>
    <w:rsid w:val="00504063"/>
    <w:rsid w:val="005041F6"/>
    <w:rsid w:val="005043D5"/>
    <w:rsid w:val="00504402"/>
    <w:rsid w:val="0050443F"/>
    <w:rsid w:val="0050483A"/>
    <w:rsid w:val="0050498E"/>
    <w:rsid w:val="00504BEE"/>
    <w:rsid w:val="00504C59"/>
    <w:rsid w:val="00504CAC"/>
    <w:rsid w:val="00504E5B"/>
    <w:rsid w:val="00504F7B"/>
    <w:rsid w:val="00505367"/>
    <w:rsid w:val="005057BC"/>
    <w:rsid w:val="00505A1E"/>
    <w:rsid w:val="00505BCF"/>
    <w:rsid w:val="00506023"/>
    <w:rsid w:val="005060AB"/>
    <w:rsid w:val="005063E3"/>
    <w:rsid w:val="00506400"/>
    <w:rsid w:val="005064A8"/>
    <w:rsid w:val="0050675A"/>
    <w:rsid w:val="00506902"/>
    <w:rsid w:val="005069A6"/>
    <w:rsid w:val="00506AF8"/>
    <w:rsid w:val="00506E7C"/>
    <w:rsid w:val="00506F06"/>
    <w:rsid w:val="00507146"/>
    <w:rsid w:val="005073B2"/>
    <w:rsid w:val="00507576"/>
    <w:rsid w:val="00507A54"/>
    <w:rsid w:val="00507A64"/>
    <w:rsid w:val="00507D24"/>
    <w:rsid w:val="00507E80"/>
    <w:rsid w:val="00507EA7"/>
    <w:rsid w:val="00510018"/>
    <w:rsid w:val="00510022"/>
    <w:rsid w:val="00510371"/>
    <w:rsid w:val="005103AC"/>
    <w:rsid w:val="005107A0"/>
    <w:rsid w:val="005108F6"/>
    <w:rsid w:val="00510B72"/>
    <w:rsid w:val="00510EC3"/>
    <w:rsid w:val="00510EC8"/>
    <w:rsid w:val="005110CE"/>
    <w:rsid w:val="005110D9"/>
    <w:rsid w:val="0051119D"/>
    <w:rsid w:val="005111D1"/>
    <w:rsid w:val="00511227"/>
    <w:rsid w:val="0051131F"/>
    <w:rsid w:val="005113B0"/>
    <w:rsid w:val="00511484"/>
    <w:rsid w:val="00511BC4"/>
    <w:rsid w:val="00511DD2"/>
    <w:rsid w:val="00511DF5"/>
    <w:rsid w:val="00511F59"/>
    <w:rsid w:val="005122A5"/>
    <w:rsid w:val="00512904"/>
    <w:rsid w:val="005129A0"/>
    <w:rsid w:val="00512A91"/>
    <w:rsid w:val="00512BC9"/>
    <w:rsid w:val="00512DA6"/>
    <w:rsid w:val="00512EDF"/>
    <w:rsid w:val="005130E9"/>
    <w:rsid w:val="005133A7"/>
    <w:rsid w:val="005133B1"/>
    <w:rsid w:val="00513501"/>
    <w:rsid w:val="00513813"/>
    <w:rsid w:val="00513899"/>
    <w:rsid w:val="00513DE6"/>
    <w:rsid w:val="005141E1"/>
    <w:rsid w:val="00514202"/>
    <w:rsid w:val="00514221"/>
    <w:rsid w:val="005142CD"/>
    <w:rsid w:val="0051461A"/>
    <w:rsid w:val="00514779"/>
    <w:rsid w:val="005147BD"/>
    <w:rsid w:val="00514A15"/>
    <w:rsid w:val="00515120"/>
    <w:rsid w:val="00515176"/>
    <w:rsid w:val="005157C7"/>
    <w:rsid w:val="005157DF"/>
    <w:rsid w:val="00515822"/>
    <w:rsid w:val="005159C9"/>
    <w:rsid w:val="00515A09"/>
    <w:rsid w:val="00515D03"/>
    <w:rsid w:val="00516156"/>
    <w:rsid w:val="00516183"/>
    <w:rsid w:val="00516304"/>
    <w:rsid w:val="00516761"/>
    <w:rsid w:val="00516991"/>
    <w:rsid w:val="00516A91"/>
    <w:rsid w:val="00516C4E"/>
    <w:rsid w:val="00516E41"/>
    <w:rsid w:val="00516FBA"/>
    <w:rsid w:val="005170A3"/>
    <w:rsid w:val="00517119"/>
    <w:rsid w:val="0051723A"/>
    <w:rsid w:val="0051724E"/>
    <w:rsid w:val="005174AB"/>
    <w:rsid w:val="00520178"/>
    <w:rsid w:val="00520274"/>
    <w:rsid w:val="00520602"/>
    <w:rsid w:val="00520B8C"/>
    <w:rsid w:val="00520C91"/>
    <w:rsid w:val="00520CA4"/>
    <w:rsid w:val="00520D77"/>
    <w:rsid w:val="00520E2B"/>
    <w:rsid w:val="00521438"/>
    <w:rsid w:val="005214A8"/>
    <w:rsid w:val="00521841"/>
    <w:rsid w:val="00521B3E"/>
    <w:rsid w:val="00521BAF"/>
    <w:rsid w:val="00521BD4"/>
    <w:rsid w:val="00521BE9"/>
    <w:rsid w:val="00521E58"/>
    <w:rsid w:val="00521FFA"/>
    <w:rsid w:val="005222EB"/>
    <w:rsid w:val="005227E5"/>
    <w:rsid w:val="005227F2"/>
    <w:rsid w:val="00522A47"/>
    <w:rsid w:val="00522A85"/>
    <w:rsid w:val="00522CBB"/>
    <w:rsid w:val="00522CDE"/>
    <w:rsid w:val="00522DC7"/>
    <w:rsid w:val="00522E32"/>
    <w:rsid w:val="00522E5F"/>
    <w:rsid w:val="00523164"/>
    <w:rsid w:val="0052350D"/>
    <w:rsid w:val="005236D9"/>
    <w:rsid w:val="0052370B"/>
    <w:rsid w:val="005238DA"/>
    <w:rsid w:val="00523948"/>
    <w:rsid w:val="00523A5B"/>
    <w:rsid w:val="00523ACF"/>
    <w:rsid w:val="00523E92"/>
    <w:rsid w:val="00523EAA"/>
    <w:rsid w:val="00523F39"/>
    <w:rsid w:val="00524120"/>
    <w:rsid w:val="00524178"/>
    <w:rsid w:val="005241E0"/>
    <w:rsid w:val="00524372"/>
    <w:rsid w:val="005243CE"/>
    <w:rsid w:val="00524831"/>
    <w:rsid w:val="0052484D"/>
    <w:rsid w:val="00524DA0"/>
    <w:rsid w:val="00524EA5"/>
    <w:rsid w:val="00524FB4"/>
    <w:rsid w:val="005251AF"/>
    <w:rsid w:val="005254EE"/>
    <w:rsid w:val="0052555A"/>
    <w:rsid w:val="0052576D"/>
    <w:rsid w:val="005257F9"/>
    <w:rsid w:val="0052599D"/>
    <w:rsid w:val="00525A26"/>
    <w:rsid w:val="00525BB6"/>
    <w:rsid w:val="00525FAB"/>
    <w:rsid w:val="00526128"/>
    <w:rsid w:val="0052619E"/>
    <w:rsid w:val="00526267"/>
    <w:rsid w:val="00526292"/>
    <w:rsid w:val="005265D8"/>
    <w:rsid w:val="005266F3"/>
    <w:rsid w:val="0052673A"/>
    <w:rsid w:val="0052678D"/>
    <w:rsid w:val="0052696C"/>
    <w:rsid w:val="00526E90"/>
    <w:rsid w:val="0052702D"/>
    <w:rsid w:val="005271E2"/>
    <w:rsid w:val="00527431"/>
    <w:rsid w:val="005275A0"/>
    <w:rsid w:val="00527686"/>
    <w:rsid w:val="00527B25"/>
    <w:rsid w:val="005300B4"/>
    <w:rsid w:val="00530119"/>
    <w:rsid w:val="0053033B"/>
    <w:rsid w:val="005305F0"/>
    <w:rsid w:val="00530718"/>
    <w:rsid w:val="00530CBB"/>
    <w:rsid w:val="0053104B"/>
    <w:rsid w:val="005310C2"/>
    <w:rsid w:val="0053124D"/>
    <w:rsid w:val="00531282"/>
    <w:rsid w:val="005313B2"/>
    <w:rsid w:val="00531668"/>
    <w:rsid w:val="00531689"/>
    <w:rsid w:val="0053187E"/>
    <w:rsid w:val="00531AAB"/>
    <w:rsid w:val="00531EE4"/>
    <w:rsid w:val="00532177"/>
    <w:rsid w:val="005321E3"/>
    <w:rsid w:val="005327AC"/>
    <w:rsid w:val="005327D0"/>
    <w:rsid w:val="00532A28"/>
    <w:rsid w:val="00532AF8"/>
    <w:rsid w:val="00532B82"/>
    <w:rsid w:val="00532CDF"/>
    <w:rsid w:val="00532EEF"/>
    <w:rsid w:val="00532FB6"/>
    <w:rsid w:val="00533130"/>
    <w:rsid w:val="0053333A"/>
    <w:rsid w:val="00533466"/>
    <w:rsid w:val="0053349C"/>
    <w:rsid w:val="00533729"/>
    <w:rsid w:val="00533FEF"/>
    <w:rsid w:val="00534084"/>
    <w:rsid w:val="00534164"/>
    <w:rsid w:val="005341DF"/>
    <w:rsid w:val="00534378"/>
    <w:rsid w:val="005343F6"/>
    <w:rsid w:val="0053441F"/>
    <w:rsid w:val="005344B0"/>
    <w:rsid w:val="005345D3"/>
    <w:rsid w:val="0053489C"/>
    <w:rsid w:val="005348F1"/>
    <w:rsid w:val="0053497E"/>
    <w:rsid w:val="00534B30"/>
    <w:rsid w:val="00534EAC"/>
    <w:rsid w:val="00535122"/>
    <w:rsid w:val="00535251"/>
    <w:rsid w:val="005352BD"/>
    <w:rsid w:val="0053530B"/>
    <w:rsid w:val="0053532E"/>
    <w:rsid w:val="00535445"/>
    <w:rsid w:val="0053569F"/>
    <w:rsid w:val="00535764"/>
    <w:rsid w:val="005357A5"/>
    <w:rsid w:val="005359AC"/>
    <w:rsid w:val="00535A3A"/>
    <w:rsid w:val="00536197"/>
    <w:rsid w:val="0053632E"/>
    <w:rsid w:val="00536463"/>
    <w:rsid w:val="0053694D"/>
    <w:rsid w:val="005369E2"/>
    <w:rsid w:val="00536B90"/>
    <w:rsid w:val="00537000"/>
    <w:rsid w:val="005374A5"/>
    <w:rsid w:val="005374DB"/>
    <w:rsid w:val="005378F8"/>
    <w:rsid w:val="00537925"/>
    <w:rsid w:val="00537A3E"/>
    <w:rsid w:val="00537C01"/>
    <w:rsid w:val="00537D36"/>
    <w:rsid w:val="00537DFE"/>
    <w:rsid w:val="00537FCA"/>
    <w:rsid w:val="005401AF"/>
    <w:rsid w:val="005401FB"/>
    <w:rsid w:val="00540381"/>
    <w:rsid w:val="00540391"/>
    <w:rsid w:val="005406A7"/>
    <w:rsid w:val="00540A1D"/>
    <w:rsid w:val="00540AD5"/>
    <w:rsid w:val="00540BCE"/>
    <w:rsid w:val="00540D5D"/>
    <w:rsid w:val="00540D8D"/>
    <w:rsid w:val="00541333"/>
    <w:rsid w:val="005414BB"/>
    <w:rsid w:val="005415BB"/>
    <w:rsid w:val="005418D4"/>
    <w:rsid w:val="00541C7D"/>
    <w:rsid w:val="00541F0B"/>
    <w:rsid w:val="00542329"/>
    <w:rsid w:val="0054243A"/>
    <w:rsid w:val="0054253C"/>
    <w:rsid w:val="0054275E"/>
    <w:rsid w:val="005428FC"/>
    <w:rsid w:val="005429B2"/>
    <w:rsid w:val="00542A32"/>
    <w:rsid w:val="00542C15"/>
    <w:rsid w:val="00542D0F"/>
    <w:rsid w:val="00542F3A"/>
    <w:rsid w:val="00543269"/>
    <w:rsid w:val="00543308"/>
    <w:rsid w:val="005433F5"/>
    <w:rsid w:val="00543467"/>
    <w:rsid w:val="005434F1"/>
    <w:rsid w:val="005435AA"/>
    <w:rsid w:val="0054360D"/>
    <w:rsid w:val="0054364D"/>
    <w:rsid w:val="005438B0"/>
    <w:rsid w:val="005438D2"/>
    <w:rsid w:val="0054392B"/>
    <w:rsid w:val="00543F12"/>
    <w:rsid w:val="00544256"/>
    <w:rsid w:val="005442A7"/>
    <w:rsid w:val="0054451F"/>
    <w:rsid w:val="0054458C"/>
    <w:rsid w:val="005448DA"/>
    <w:rsid w:val="0054495A"/>
    <w:rsid w:val="0054497A"/>
    <w:rsid w:val="005449F2"/>
    <w:rsid w:val="00544D25"/>
    <w:rsid w:val="00545003"/>
    <w:rsid w:val="0054506F"/>
    <w:rsid w:val="00545355"/>
    <w:rsid w:val="00545379"/>
    <w:rsid w:val="005453DB"/>
    <w:rsid w:val="005458EC"/>
    <w:rsid w:val="00545943"/>
    <w:rsid w:val="00545C87"/>
    <w:rsid w:val="00545C98"/>
    <w:rsid w:val="00545CB7"/>
    <w:rsid w:val="00545F0E"/>
    <w:rsid w:val="00545F53"/>
    <w:rsid w:val="005460D5"/>
    <w:rsid w:val="00546272"/>
    <w:rsid w:val="005463CC"/>
    <w:rsid w:val="00546548"/>
    <w:rsid w:val="0054675C"/>
    <w:rsid w:val="005467D4"/>
    <w:rsid w:val="00546813"/>
    <w:rsid w:val="00546825"/>
    <w:rsid w:val="00546CF0"/>
    <w:rsid w:val="00546D3A"/>
    <w:rsid w:val="00546F63"/>
    <w:rsid w:val="00547071"/>
    <w:rsid w:val="00547461"/>
    <w:rsid w:val="0054777F"/>
    <w:rsid w:val="00547936"/>
    <w:rsid w:val="005479ED"/>
    <w:rsid w:val="00547A67"/>
    <w:rsid w:val="00547DF1"/>
    <w:rsid w:val="00547ED5"/>
    <w:rsid w:val="0055004C"/>
    <w:rsid w:val="0055017D"/>
    <w:rsid w:val="00550255"/>
    <w:rsid w:val="0055026B"/>
    <w:rsid w:val="005502DB"/>
    <w:rsid w:val="00550310"/>
    <w:rsid w:val="00550571"/>
    <w:rsid w:val="0055061E"/>
    <w:rsid w:val="00550814"/>
    <w:rsid w:val="005509E5"/>
    <w:rsid w:val="00550AA2"/>
    <w:rsid w:val="00550B86"/>
    <w:rsid w:val="00550C3B"/>
    <w:rsid w:val="00550D79"/>
    <w:rsid w:val="0055151F"/>
    <w:rsid w:val="00551609"/>
    <w:rsid w:val="005516B0"/>
    <w:rsid w:val="005516E6"/>
    <w:rsid w:val="00551743"/>
    <w:rsid w:val="005517DC"/>
    <w:rsid w:val="005518BE"/>
    <w:rsid w:val="00551920"/>
    <w:rsid w:val="00551BA3"/>
    <w:rsid w:val="00551D9B"/>
    <w:rsid w:val="00552557"/>
    <w:rsid w:val="00552568"/>
    <w:rsid w:val="005525A4"/>
    <w:rsid w:val="005526F6"/>
    <w:rsid w:val="00552712"/>
    <w:rsid w:val="00552988"/>
    <w:rsid w:val="00552B1C"/>
    <w:rsid w:val="00552CF3"/>
    <w:rsid w:val="00552D0F"/>
    <w:rsid w:val="0055305F"/>
    <w:rsid w:val="00553187"/>
    <w:rsid w:val="00553279"/>
    <w:rsid w:val="005532F7"/>
    <w:rsid w:val="005533D8"/>
    <w:rsid w:val="005535E5"/>
    <w:rsid w:val="0055361A"/>
    <w:rsid w:val="00553729"/>
    <w:rsid w:val="00553CAC"/>
    <w:rsid w:val="00553CC1"/>
    <w:rsid w:val="00553DE2"/>
    <w:rsid w:val="00553FC1"/>
    <w:rsid w:val="00553FC7"/>
    <w:rsid w:val="005541E6"/>
    <w:rsid w:val="0055427E"/>
    <w:rsid w:val="00554457"/>
    <w:rsid w:val="00554514"/>
    <w:rsid w:val="00554628"/>
    <w:rsid w:val="00554693"/>
    <w:rsid w:val="00554753"/>
    <w:rsid w:val="00554BB4"/>
    <w:rsid w:val="00555019"/>
    <w:rsid w:val="00555352"/>
    <w:rsid w:val="00555358"/>
    <w:rsid w:val="005553C7"/>
    <w:rsid w:val="0055548C"/>
    <w:rsid w:val="0055565E"/>
    <w:rsid w:val="0055571A"/>
    <w:rsid w:val="0055585F"/>
    <w:rsid w:val="005558BB"/>
    <w:rsid w:val="005559AB"/>
    <w:rsid w:val="005559C5"/>
    <w:rsid w:val="00555A7A"/>
    <w:rsid w:val="00555AD6"/>
    <w:rsid w:val="00555B36"/>
    <w:rsid w:val="00555F1C"/>
    <w:rsid w:val="0055601C"/>
    <w:rsid w:val="00556030"/>
    <w:rsid w:val="005560D7"/>
    <w:rsid w:val="00556695"/>
    <w:rsid w:val="0055669E"/>
    <w:rsid w:val="00556963"/>
    <w:rsid w:val="00556B37"/>
    <w:rsid w:val="00556C5D"/>
    <w:rsid w:val="00557312"/>
    <w:rsid w:val="005573CA"/>
    <w:rsid w:val="005575E6"/>
    <w:rsid w:val="00557772"/>
    <w:rsid w:val="005577CC"/>
    <w:rsid w:val="005578E5"/>
    <w:rsid w:val="00557A0C"/>
    <w:rsid w:val="00557B61"/>
    <w:rsid w:val="00560155"/>
    <w:rsid w:val="0056048E"/>
    <w:rsid w:val="005604A9"/>
    <w:rsid w:val="00560814"/>
    <w:rsid w:val="00560A8D"/>
    <w:rsid w:val="00560F04"/>
    <w:rsid w:val="00561159"/>
    <w:rsid w:val="0056148D"/>
    <w:rsid w:val="0056187A"/>
    <w:rsid w:val="00561A7E"/>
    <w:rsid w:val="00561BF6"/>
    <w:rsid w:val="00561CA6"/>
    <w:rsid w:val="00561CD2"/>
    <w:rsid w:val="005621AD"/>
    <w:rsid w:val="00562274"/>
    <w:rsid w:val="0056244E"/>
    <w:rsid w:val="00562698"/>
    <w:rsid w:val="00562A33"/>
    <w:rsid w:val="00562A89"/>
    <w:rsid w:val="00562C8F"/>
    <w:rsid w:val="00562E85"/>
    <w:rsid w:val="005631FA"/>
    <w:rsid w:val="00563364"/>
    <w:rsid w:val="00563430"/>
    <w:rsid w:val="005635FD"/>
    <w:rsid w:val="0056365F"/>
    <w:rsid w:val="005636CC"/>
    <w:rsid w:val="005637B0"/>
    <w:rsid w:val="00563828"/>
    <w:rsid w:val="00563874"/>
    <w:rsid w:val="00563A58"/>
    <w:rsid w:val="00563A5E"/>
    <w:rsid w:val="00563A8A"/>
    <w:rsid w:val="00563AEA"/>
    <w:rsid w:val="00563E22"/>
    <w:rsid w:val="00564690"/>
    <w:rsid w:val="0056495B"/>
    <w:rsid w:val="00564B1A"/>
    <w:rsid w:val="00564DA9"/>
    <w:rsid w:val="00565142"/>
    <w:rsid w:val="00565297"/>
    <w:rsid w:val="005654E7"/>
    <w:rsid w:val="0056558D"/>
    <w:rsid w:val="005655E2"/>
    <w:rsid w:val="00565616"/>
    <w:rsid w:val="00565624"/>
    <w:rsid w:val="00565739"/>
    <w:rsid w:val="00565B90"/>
    <w:rsid w:val="00565BBC"/>
    <w:rsid w:val="005660A4"/>
    <w:rsid w:val="00566103"/>
    <w:rsid w:val="00566562"/>
    <w:rsid w:val="005665D8"/>
    <w:rsid w:val="0056686F"/>
    <w:rsid w:val="00566975"/>
    <w:rsid w:val="005669AD"/>
    <w:rsid w:val="00566BDD"/>
    <w:rsid w:val="00566C05"/>
    <w:rsid w:val="00566CA0"/>
    <w:rsid w:val="00566E6C"/>
    <w:rsid w:val="00566EA0"/>
    <w:rsid w:val="00566F95"/>
    <w:rsid w:val="00566FB1"/>
    <w:rsid w:val="00567251"/>
    <w:rsid w:val="0056733F"/>
    <w:rsid w:val="00567359"/>
    <w:rsid w:val="00567500"/>
    <w:rsid w:val="0056763E"/>
    <w:rsid w:val="00567731"/>
    <w:rsid w:val="0056776E"/>
    <w:rsid w:val="005677A7"/>
    <w:rsid w:val="005678AA"/>
    <w:rsid w:val="00567AF4"/>
    <w:rsid w:val="00567AF7"/>
    <w:rsid w:val="00567C9C"/>
    <w:rsid w:val="00567DE9"/>
    <w:rsid w:val="00567E7E"/>
    <w:rsid w:val="0057010C"/>
    <w:rsid w:val="0057038B"/>
    <w:rsid w:val="0057055D"/>
    <w:rsid w:val="00570663"/>
    <w:rsid w:val="00570687"/>
    <w:rsid w:val="00570750"/>
    <w:rsid w:val="005708ED"/>
    <w:rsid w:val="00570A42"/>
    <w:rsid w:val="00570BAA"/>
    <w:rsid w:val="00570C00"/>
    <w:rsid w:val="00570D44"/>
    <w:rsid w:val="00570F18"/>
    <w:rsid w:val="00571056"/>
    <w:rsid w:val="005711E5"/>
    <w:rsid w:val="005713BF"/>
    <w:rsid w:val="005714AD"/>
    <w:rsid w:val="005716C1"/>
    <w:rsid w:val="00571971"/>
    <w:rsid w:val="00571F7F"/>
    <w:rsid w:val="005720A1"/>
    <w:rsid w:val="005723BE"/>
    <w:rsid w:val="00572498"/>
    <w:rsid w:val="005729D6"/>
    <w:rsid w:val="005729FA"/>
    <w:rsid w:val="00572D11"/>
    <w:rsid w:val="00572D14"/>
    <w:rsid w:val="00572D22"/>
    <w:rsid w:val="0057326B"/>
    <w:rsid w:val="0057338F"/>
    <w:rsid w:val="0057373E"/>
    <w:rsid w:val="00574341"/>
    <w:rsid w:val="00574463"/>
    <w:rsid w:val="0057451E"/>
    <w:rsid w:val="0057466E"/>
    <w:rsid w:val="00574764"/>
    <w:rsid w:val="0057488F"/>
    <w:rsid w:val="00574B25"/>
    <w:rsid w:val="00574FDD"/>
    <w:rsid w:val="00575236"/>
    <w:rsid w:val="005752E4"/>
    <w:rsid w:val="00575480"/>
    <w:rsid w:val="00575528"/>
    <w:rsid w:val="00575770"/>
    <w:rsid w:val="00575789"/>
    <w:rsid w:val="00575B7A"/>
    <w:rsid w:val="00575BAF"/>
    <w:rsid w:val="00576023"/>
    <w:rsid w:val="0057606A"/>
    <w:rsid w:val="00576107"/>
    <w:rsid w:val="005761F0"/>
    <w:rsid w:val="0057628E"/>
    <w:rsid w:val="005763A0"/>
    <w:rsid w:val="005765C6"/>
    <w:rsid w:val="00576891"/>
    <w:rsid w:val="00576B29"/>
    <w:rsid w:val="00576BC4"/>
    <w:rsid w:val="00576CFD"/>
    <w:rsid w:val="0057735D"/>
    <w:rsid w:val="0057757B"/>
    <w:rsid w:val="005777B4"/>
    <w:rsid w:val="00577A57"/>
    <w:rsid w:val="00577BE5"/>
    <w:rsid w:val="00577C16"/>
    <w:rsid w:val="00577C8D"/>
    <w:rsid w:val="00577D99"/>
    <w:rsid w:val="005801BE"/>
    <w:rsid w:val="005801C2"/>
    <w:rsid w:val="005803DE"/>
    <w:rsid w:val="00580447"/>
    <w:rsid w:val="0058054B"/>
    <w:rsid w:val="00580680"/>
    <w:rsid w:val="00580684"/>
    <w:rsid w:val="005808D8"/>
    <w:rsid w:val="00580B88"/>
    <w:rsid w:val="00580B89"/>
    <w:rsid w:val="00580D00"/>
    <w:rsid w:val="00580E8B"/>
    <w:rsid w:val="005810E4"/>
    <w:rsid w:val="00581119"/>
    <w:rsid w:val="005811F7"/>
    <w:rsid w:val="005813C7"/>
    <w:rsid w:val="0058173E"/>
    <w:rsid w:val="00581A27"/>
    <w:rsid w:val="00581B57"/>
    <w:rsid w:val="00581CF1"/>
    <w:rsid w:val="00581FC7"/>
    <w:rsid w:val="005823D4"/>
    <w:rsid w:val="00582494"/>
    <w:rsid w:val="005825FD"/>
    <w:rsid w:val="00582859"/>
    <w:rsid w:val="0058289E"/>
    <w:rsid w:val="00582954"/>
    <w:rsid w:val="00582A2A"/>
    <w:rsid w:val="00582AA7"/>
    <w:rsid w:val="00582BA3"/>
    <w:rsid w:val="00582D72"/>
    <w:rsid w:val="0058311F"/>
    <w:rsid w:val="00583445"/>
    <w:rsid w:val="005834BA"/>
    <w:rsid w:val="00583524"/>
    <w:rsid w:val="005836C6"/>
    <w:rsid w:val="00583B61"/>
    <w:rsid w:val="00583DA3"/>
    <w:rsid w:val="00583E28"/>
    <w:rsid w:val="00583E3B"/>
    <w:rsid w:val="00583E66"/>
    <w:rsid w:val="005842B5"/>
    <w:rsid w:val="005843EC"/>
    <w:rsid w:val="00584651"/>
    <w:rsid w:val="00584CCC"/>
    <w:rsid w:val="00585050"/>
    <w:rsid w:val="00585137"/>
    <w:rsid w:val="005852E4"/>
    <w:rsid w:val="00585351"/>
    <w:rsid w:val="00585D34"/>
    <w:rsid w:val="005860D2"/>
    <w:rsid w:val="005860E0"/>
    <w:rsid w:val="005862B8"/>
    <w:rsid w:val="0058631E"/>
    <w:rsid w:val="00586857"/>
    <w:rsid w:val="00586D86"/>
    <w:rsid w:val="00586DE7"/>
    <w:rsid w:val="00586E77"/>
    <w:rsid w:val="00586FCE"/>
    <w:rsid w:val="00587069"/>
    <w:rsid w:val="005870DE"/>
    <w:rsid w:val="005875DD"/>
    <w:rsid w:val="00587893"/>
    <w:rsid w:val="00587AAC"/>
    <w:rsid w:val="00587D0B"/>
    <w:rsid w:val="00587F1F"/>
    <w:rsid w:val="0059000B"/>
    <w:rsid w:val="00590048"/>
    <w:rsid w:val="00590166"/>
    <w:rsid w:val="0059020D"/>
    <w:rsid w:val="0059043D"/>
    <w:rsid w:val="00590488"/>
    <w:rsid w:val="00590725"/>
    <w:rsid w:val="005907DD"/>
    <w:rsid w:val="00590CEB"/>
    <w:rsid w:val="00590DCA"/>
    <w:rsid w:val="00590EFB"/>
    <w:rsid w:val="00590F37"/>
    <w:rsid w:val="0059135D"/>
    <w:rsid w:val="005918FF"/>
    <w:rsid w:val="005919F0"/>
    <w:rsid w:val="00591CC1"/>
    <w:rsid w:val="00591E45"/>
    <w:rsid w:val="005923FC"/>
    <w:rsid w:val="00592484"/>
    <w:rsid w:val="005924BF"/>
    <w:rsid w:val="005926CA"/>
    <w:rsid w:val="00592871"/>
    <w:rsid w:val="005929F6"/>
    <w:rsid w:val="00592B0E"/>
    <w:rsid w:val="00592BD0"/>
    <w:rsid w:val="00592C17"/>
    <w:rsid w:val="00592FD3"/>
    <w:rsid w:val="005934D8"/>
    <w:rsid w:val="005935C3"/>
    <w:rsid w:val="005937A5"/>
    <w:rsid w:val="00593953"/>
    <w:rsid w:val="00593996"/>
    <w:rsid w:val="00593B0C"/>
    <w:rsid w:val="00593CD6"/>
    <w:rsid w:val="00593D47"/>
    <w:rsid w:val="00593EC5"/>
    <w:rsid w:val="0059431D"/>
    <w:rsid w:val="005943A7"/>
    <w:rsid w:val="00594433"/>
    <w:rsid w:val="0059447E"/>
    <w:rsid w:val="005946AD"/>
    <w:rsid w:val="00594745"/>
    <w:rsid w:val="00594824"/>
    <w:rsid w:val="005949A7"/>
    <w:rsid w:val="005949D5"/>
    <w:rsid w:val="00594CB6"/>
    <w:rsid w:val="00594EA3"/>
    <w:rsid w:val="00595287"/>
    <w:rsid w:val="005952EF"/>
    <w:rsid w:val="00595728"/>
    <w:rsid w:val="00595DBC"/>
    <w:rsid w:val="00595FE5"/>
    <w:rsid w:val="00596093"/>
    <w:rsid w:val="005963F6"/>
    <w:rsid w:val="0059653A"/>
    <w:rsid w:val="0059677A"/>
    <w:rsid w:val="005968BD"/>
    <w:rsid w:val="005968CF"/>
    <w:rsid w:val="00596B92"/>
    <w:rsid w:val="00596B99"/>
    <w:rsid w:val="00596D93"/>
    <w:rsid w:val="00596DD7"/>
    <w:rsid w:val="00596E78"/>
    <w:rsid w:val="00597267"/>
    <w:rsid w:val="0059726C"/>
    <w:rsid w:val="00597609"/>
    <w:rsid w:val="005977AF"/>
    <w:rsid w:val="00597D57"/>
    <w:rsid w:val="00597D8C"/>
    <w:rsid w:val="00597EDE"/>
    <w:rsid w:val="00597F45"/>
    <w:rsid w:val="005A0295"/>
    <w:rsid w:val="005A02DF"/>
    <w:rsid w:val="005A032B"/>
    <w:rsid w:val="005A042D"/>
    <w:rsid w:val="005A04E6"/>
    <w:rsid w:val="005A0594"/>
    <w:rsid w:val="005A0781"/>
    <w:rsid w:val="005A0CFC"/>
    <w:rsid w:val="005A0F3B"/>
    <w:rsid w:val="005A11DF"/>
    <w:rsid w:val="005A12D4"/>
    <w:rsid w:val="005A1311"/>
    <w:rsid w:val="005A1395"/>
    <w:rsid w:val="005A147A"/>
    <w:rsid w:val="005A147E"/>
    <w:rsid w:val="005A1504"/>
    <w:rsid w:val="005A164C"/>
    <w:rsid w:val="005A174C"/>
    <w:rsid w:val="005A17C8"/>
    <w:rsid w:val="005A1D85"/>
    <w:rsid w:val="005A1DFF"/>
    <w:rsid w:val="005A1E70"/>
    <w:rsid w:val="005A1F9E"/>
    <w:rsid w:val="005A2055"/>
    <w:rsid w:val="005A2323"/>
    <w:rsid w:val="005A2AAA"/>
    <w:rsid w:val="005A2BFF"/>
    <w:rsid w:val="005A2DFA"/>
    <w:rsid w:val="005A32E7"/>
    <w:rsid w:val="005A33C0"/>
    <w:rsid w:val="005A33CF"/>
    <w:rsid w:val="005A3598"/>
    <w:rsid w:val="005A3B6A"/>
    <w:rsid w:val="005A3DEE"/>
    <w:rsid w:val="005A4244"/>
    <w:rsid w:val="005A43A7"/>
    <w:rsid w:val="005A44C0"/>
    <w:rsid w:val="005A45A8"/>
    <w:rsid w:val="005A480E"/>
    <w:rsid w:val="005A4816"/>
    <w:rsid w:val="005A4A49"/>
    <w:rsid w:val="005A4B31"/>
    <w:rsid w:val="005A4D0D"/>
    <w:rsid w:val="005A4DA0"/>
    <w:rsid w:val="005A4EF8"/>
    <w:rsid w:val="005A5479"/>
    <w:rsid w:val="005A565D"/>
    <w:rsid w:val="005A56F6"/>
    <w:rsid w:val="005A56F7"/>
    <w:rsid w:val="005A5A35"/>
    <w:rsid w:val="005A5CB1"/>
    <w:rsid w:val="005A5D10"/>
    <w:rsid w:val="005A5DDF"/>
    <w:rsid w:val="005A5DE4"/>
    <w:rsid w:val="005A5E30"/>
    <w:rsid w:val="005A6124"/>
    <w:rsid w:val="005A63C8"/>
    <w:rsid w:val="005A64BB"/>
    <w:rsid w:val="005A6611"/>
    <w:rsid w:val="005A67CB"/>
    <w:rsid w:val="005A69F9"/>
    <w:rsid w:val="005A6ABA"/>
    <w:rsid w:val="005A6AD0"/>
    <w:rsid w:val="005A6E68"/>
    <w:rsid w:val="005A6F1B"/>
    <w:rsid w:val="005A6FA6"/>
    <w:rsid w:val="005A6FF1"/>
    <w:rsid w:val="005A7032"/>
    <w:rsid w:val="005A7093"/>
    <w:rsid w:val="005A7717"/>
    <w:rsid w:val="005A798A"/>
    <w:rsid w:val="005A7B76"/>
    <w:rsid w:val="005A7B8D"/>
    <w:rsid w:val="005A7CD9"/>
    <w:rsid w:val="005A7DF1"/>
    <w:rsid w:val="005B02A2"/>
    <w:rsid w:val="005B039D"/>
    <w:rsid w:val="005B051C"/>
    <w:rsid w:val="005B07AC"/>
    <w:rsid w:val="005B09C0"/>
    <w:rsid w:val="005B0A50"/>
    <w:rsid w:val="005B0BBB"/>
    <w:rsid w:val="005B0CFE"/>
    <w:rsid w:val="005B1055"/>
    <w:rsid w:val="005B109F"/>
    <w:rsid w:val="005B10A3"/>
    <w:rsid w:val="005B11A3"/>
    <w:rsid w:val="005B15EA"/>
    <w:rsid w:val="005B1686"/>
    <w:rsid w:val="005B1845"/>
    <w:rsid w:val="005B1904"/>
    <w:rsid w:val="005B1D01"/>
    <w:rsid w:val="005B1DB8"/>
    <w:rsid w:val="005B1DD4"/>
    <w:rsid w:val="005B1E05"/>
    <w:rsid w:val="005B1FF2"/>
    <w:rsid w:val="005B2133"/>
    <w:rsid w:val="005B2752"/>
    <w:rsid w:val="005B28CD"/>
    <w:rsid w:val="005B2C76"/>
    <w:rsid w:val="005B2DD5"/>
    <w:rsid w:val="005B2EDC"/>
    <w:rsid w:val="005B30F4"/>
    <w:rsid w:val="005B3262"/>
    <w:rsid w:val="005B3A15"/>
    <w:rsid w:val="005B3A33"/>
    <w:rsid w:val="005B3C9F"/>
    <w:rsid w:val="005B3F54"/>
    <w:rsid w:val="005B4638"/>
    <w:rsid w:val="005B46BB"/>
    <w:rsid w:val="005B4756"/>
    <w:rsid w:val="005B4818"/>
    <w:rsid w:val="005B49EE"/>
    <w:rsid w:val="005B4BC6"/>
    <w:rsid w:val="005B4C10"/>
    <w:rsid w:val="005B5079"/>
    <w:rsid w:val="005B53FC"/>
    <w:rsid w:val="005B5417"/>
    <w:rsid w:val="005B5489"/>
    <w:rsid w:val="005B5749"/>
    <w:rsid w:val="005B58B9"/>
    <w:rsid w:val="005B59CB"/>
    <w:rsid w:val="005B5CCD"/>
    <w:rsid w:val="005B5F37"/>
    <w:rsid w:val="005B5FB9"/>
    <w:rsid w:val="005B61D6"/>
    <w:rsid w:val="005B6211"/>
    <w:rsid w:val="005B624B"/>
    <w:rsid w:val="005B631A"/>
    <w:rsid w:val="005B682F"/>
    <w:rsid w:val="005B69D4"/>
    <w:rsid w:val="005B6A14"/>
    <w:rsid w:val="005B709B"/>
    <w:rsid w:val="005B7201"/>
    <w:rsid w:val="005B73B2"/>
    <w:rsid w:val="005B78BE"/>
    <w:rsid w:val="005B7A02"/>
    <w:rsid w:val="005B7B12"/>
    <w:rsid w:val="005B7FBF"/>
    <w:rsid w:val="005C02B9"/>
    <w:rsid w:val="005C02D6"/>
    <w:rsid w:val="005C0418"/>
    <w:rsid w:val="005C0872"/>
    <w:rsid w:val="005C08A7"/>
    <w:rsid w:val="005C08AE"/>
    <w:rsid w:val="005C0CE0"/>
    <w:rsid w:val="005C0DDB"/>
    <w:rsid w:val="005C0E8F"/>
    <w:rsid w:val="005C1367"/>
    <w:rsid w:val="005C1918"/>
    <w:rsid w:val="005C1B35"/>
    <w:rsid w:val="005C1C91"/>
    <w:rsid w:val="005C23C9"/>
    <w:rsid w:val="005C2614"/>
    <w:rsid w:val="005C264C"/>
    <w:rsid w:val="005C27DF"/>
    <w:rsid w:val="005C29CE"/>
    <w:rsid w:val="005C2B7F"/>
    <w:rsid w:val="005C2BE3"/>
    <w:rsid w:val="005C2D01"/>
    <w:rsid w:val="005C2F33"/>
    <w:rsid w:val="005C30CF"/>
    <w:rsid w:val="005C315C"/>
    <w:rsid w:val="005C3698"/>
    <w:rsid w:val="005C3901"/>
    <w:rsid w:val="005C398B"/>
    <w:rsid w:val="005C3A6C"/>
    <w:rsid w:val="005C3BD2"/>
    <w:rsid w:val="005C419D"/>
    <w:rsid w:val="005C460A"/>
    <w:rsid w:val="005C469B"/>
    <w:rsid w:val="005C47E2"/>
    <w:rsid w:val="005C4C7F"/>
    <w:rsid w:val="005C5057"/>
    <w:rsid w:val="005C5060"/>
    <w:rsid w:val="005C52C7"/>
    <w:rsid w:val="005C5357"/>
    <w:rsid w:val="005C53B9"/>
    <w:rsid w:val="005C53BA"/>
    <w:rsid w:val="005C53C1"/>
    <w:rsid w:val="005C56EC"/>
    <w:rsid w:val="005C577B"/>
    <w:rsid w:val="005C5B87"/>
    <w:rsid w:val="005C6029"/>
    <w:rsid w:val="005C6065"/>
    <w:rsid w:val="005C6250"/>
    <w:rsid w:val="005C63A1"/>
    <w:rsid w:val="005C65D0"/>
    <w:rsid w:val="005C6624"/>
    <w:rsid w:val="005C66ED"/>
    <w:rsid w:val="005C68FB"/>
    <w:rsid w:val="005C6956"/>
    <w:rsid w:val="005C6994"/>
    <w:rsid w:val="005C6CE3"/>
    <w:rsid w:val="005C6D17"/>
    <w:rsid w:val="005C6E8F"/>
    <w:rsid w:val="005C6E92"/>
    <w:rsid w:val="005C6FF1"/>
    <w:rsid w:val="005C718B"/>
    <w:rsid w:val="005C7311"/>
    <w:rsid w:val="005C759E"/>
    <w:rsid w:val="005C7675"/>
    <w:rsid w:val="005C7930"/>
    <w:rsid w:val="005C7973"/>
    <w:rsid w:val="005C7CE1"/>
    <w:rsid w:val="005C7DF0"/>
    <w:rsid w:val="005D0091"/>
    <w:rsid w:val="005D029A"/>
    <w:rsid w:val="005D03FD"/>
    <w:rsid w:val="005D0408"/>
    <w:rsid w:val="005D05A7"/>
    <w:rsid w:val="005D093C"/>
    <w:rsid w:val="005D0A2A"/>
    <w:rsid w:val="005D0B31"/>
    <w:rsid w:val="005D114A"/>
    <w:rsid w:val="005D1199"/>
    <w:rsid w:val="005D1399"/>
    <w:rsid w:val="005D1757"/>
    <w:rsid w:val="005D1764"/>
    <w:rsid w:val="005D17D0"/>
    <w:rsid w:val="005D1C9B"/>
    <w:rsid w:val="005D1F3B"/>
    <w:rsid w:val="005D2048"/>
    <w:rsid w:val="005D2176"/>
    <w:rsid w:val="005D219C"/>
    <w:rsid w:val="005D21D2"/>
    <w:rsid w:val="005D22F7"/>
    <w:rsid w:val="005D2531"/>
    <w:rsid w:val="005D25F3"/>
    <w:rsid w:val="005D29C4"/>
    <w:rsid w:val="005D29D7"/>
    <w:rsid w:val="005D2CBC"/>
    <w:rsid w:val="005D2DC1"/>
    <w:rsid w:val="005D2E83"/>
    <w:rsid w:val="005D2F07"/>
    <w:rsid w:val="005D2F18"/>
    <w:rsid w:val="005D30F9"/>
    <w:rsid w:val="005D32CD"/>
    <w:rsid w:val="005D361A"/>
    <w:rsid w:val="005D3659"/>
    <w:rsid w:val="005D3937"/>
    <w:rsid w:val="005D3A47"/>
    <w:rsid w:val="005D3DBB"/>
    <w:rsid w:val="005D4074"/>
    <w:rsid w:val="005D4193"/>
    <w:rsid w:val="005D42CC"/>
    <w:rsid w:val="005D44BC"/>
    <w:rsid w:val="005D45D1"/>
    <w:rsid w:val="005D476A"/>
    <w:rsid w:val="005D4942"/>
    <w:rsid w:val="005D4BBC"/>
    <w:rsid w:val="005D4D2C"/>
    <w:rsid w:val="005D4D50"/>
    <w:rsid w:val="005D4D75"/>
    <w:rsid w:val="005D4E47"/>
    <w:rsid w:val="005D51A8"/>
    <w:rsid w:val="005D5224"/>
    <w:rsid w:val="005D548D"/>
    <w:rsid w:val="005D54FA"/>
    <w:rsid w:val="005D567B"/>
    <w:rsid w:val="005D56DC"/>
    <w:rsid w:val="005D5853"/>
    <w:rsid w:val="005D59C3"/>
    <w:rsid w:val="005D5C3D"/>
    <w:rsid w:val="005D5CC0"/>
    <w:rsid w:val="005D5D58"/>
    <w:rsid w:val="005D6145"/>
    <w:rsid w:val="005D62F8"/>
    <w:rsid w:val="005D69CE"/>
    <w:rsid w:val="005D6A45"/>
    <w:rsid w:val="005D6A7D"/>
    <w:rsid w:val="005D7101"/>
    <w:rsid w:val="005D7823"/>
    <w:rsid w:val="005D789C"/>
    <w:rsid w:val="005D78BD"/>
    <w:rsid w:val="005D7912"/>
    <w:rsid w:val="005D79B3"/>
    <w:rsid w:val="005D7ABF"/>
    <w:rsid w:val="005D7D36"/>
    <w:rsid w:val="005D7E21"/>
    <w:rsid w:val="005D7E76"/>
    <w:rsid w:val="005E0525"/>
    <w:rsid w:val="005E063C"/>
    <w:rsid w:val="005E067C"/>
    <w:rsid w:val="005E0921"/>
    <w:rsid w:val="005E0A6E"/>
    <w:rsid w:val="005E0C15"/>
    <w:rsid w:val="005E0E25"/>
    <w:rsid w:val="005E0E8A"/>
    <w:rsid w:val="005E0F07"/>
    <w:rsid w:val="005E101D"/>
    <w:rsid w:val="005E10F8"/>
    <w:rsid w:val="005E1431"/>
    <w:rsid w:val="005E1500"/>
    <w:rsid w:val="005E16EE"/>
    <w:rsid w:val="005E1884"/>
    <w:rsid w:val="005E1A43"/>
    <w:rsid w:val="005E1EEA"/>
    <w:rsid w:val="005E1EFD"/>
    <w:rsid w:val="005E2031"/>
    <w:rsid w:val="005E22DF"/>
    <w:rsid w:val="005E254C"/>
    <w:rsid w:val="005E281B"/>
    <w:rsid w:val="005E282D"/>
    <w:rsid w:val="005E2B25"/>
    <w:rsid w:val="005E2BC2"/>
    <w:rsid w:val="005E2E8B"/>
    <w:rsid w:val="005E30E3"/>
    <w:rsid w:val="005E30E7"/>
    <w:rsid w:val="005E3148"/>
    <w:rsid w:val="005E329D"/>
    <w:rsid w:val="005E3417"/>
    <w:rsid w:val="005E341C"/>
    <w:rsid w:val="005E35CF"/>
    <w:rsid w:val="005E3681"/>
    <w:rsid w:val="005E3899"/>
    <w:rsid w:val="005E3920"/>
    <w:rsid w:val="005E3A92"/>
    <w:rsid w:val="005E3B67"/>
    <w:rsid w:val="005E3C95"/>
    <w:rsid w:val="005E3C9D"/>
    <w:rsid w:val="005E4053"/>
    <w:rsid w:val="005E4099"/>
    <w:rsid w:val="005E42BA"/>
    <w:rsid w:val="005E4386"/>
    <w:rsid w:val="005E446C"/>
    <w:rsid w:val="005E448F"/>
    <w:rsid w:val="005E44F3"/>
    <w:rsid w:val="005E47CE"/>
    <w:rsid w:val="005E49A4"/>
    <w:rsid w:val="005E4A11"/>
    <w:rsid w:val="005E4BE6"/>
    <w:rsid w:val="005E4D07"/>
    <w:rsid w:val="005E4DBE"/>
    <w:rsid w:val="005E4EFC"/>
    <w:rsid w:val="005E510D"/>
    <w:rsid w:val="005E51B4"/>
    <w:rsid w:val="005E5216"/>
    <w:rsid w:val="005E522A"/>
    <w:rsid w:val="005E52ED"/>
    <w:rsid w:val="005E5391"/>
    <w:rsid w:val="005E5526"/>
    <w:rsid w:val="005E588A"/>
    <w:rsid w:val="005E58CA"/>
    <w:rsid w:val="005E59D0"/>
    <w:rsid w:val="005E5A07"/>
    <w:rsid w:val="005E5A38"/>
    <w:rsid w:val="005E5C24"/>
    <w:rsid w:val="005E5C6C"/>
    <w:rsid w:val="005E5CFA"/>
    <w:rsid w:val="005E5F9E"/>
    <w:rsid w:val="005E605A"/>
    <w:rsid w:val="005E60C9"/>
    <w:rsid w:val="005E61B2"/>
    <w:rsid w:val="005E6688"/>
    <w:rsid w:val="005E6699"/>
    <w:rsid w:val="005E67AC"/>
    <w:rsid w:val="005E6B1C"/>
    <w:rsid w:val="005E6B2E"/>
    <w:rsid w:val="005E6CFA"/>
    <w:rsid w:val="005E6D44"/>
    <w:rsid w:val="005E6E2F"/>
    <w:rsid w:val="005E726B"/>
    <w:rsid w:val="005E7312"/>
    <w:rsid w:val="005E74D2"/>
    <w:rsid w:val="005E7517"/>
    <w:rsid w:val="005E762A"/>
    <w:rsid w:val="005E76B7"/>
    <w:rsid w:val="005E76BD"/>
    <w:rsid w:val="005E79FB"/>
    <w:rsid w:val="005E7A51"/>
    <w:rsid w:val="005E7BB6"/>
    <w:rsid w:val="005E7D51"/>
    <w:rsid w:val="005F00F3"/>
    <w:rsid w:val="005F019B"/>
    <w:rsid w:val="005F0257"/>
    <w:rsid w:val="005F029E"/>
    <w:rsid w:val="005F04A6"/>
    <w:rsid w:val="005F04C6"/>
    <w:rsid w:val="005F062F"/>
    <w:rsid w:val="005F0649"/>
    <w:rsid w:val="005F08C1"/>
    <w:rsid w:val="005F0BC6"/>
    <w:rsid w:val="005F0E87"/>
    <w:rsid w:val="005F0F12"/>
    <w:rsid w:val="005F16A6"/>
    <w:rsid w:val="005F18A2"/>
    <w:rsid w:val="005F1B08"/>
    <w:rsid w:val="005F1DAB"/>
    <w:rsid w:val="005F203D"/>
    <w:rsid w:val="005F239C"/>
    <w:rsid w:val="005F245E"/>
    <w:rsid w:val="005F2624"/>
    <w:rsid w:val="005F268E"/>
    <w:rsid w:val="005F275A"/>
    <w:rsid w:val="005F286E"/>
    <w:rsid w:val="005F28A6"/>
    <w:rsid w:val="005F2AE7"/>
    <w:rsid w:val="005F2B5A"/>
    <w:rsid w:val="005F2BAB"/>
    <w:rsid w:val="005F2C1C"/>
    <w:rsid w:val="005F2CAC"/>
    <w:rsid w:val="005F2CD7"/>
    <w:rsid w:val="005F2D2F"/>
    <w:rsid w:val="005F2EC2"/>
    <w:rsid w:val="005F2F6A"/>
    <w:rsid w:val="005F3008"/>
    <w:rsid w:val="005F30C2"/>
    <w:rsid w:val="005F3138"/>
    <w:rsid w:val="005F3172"/>
    <w:rsid w:val="005F33E1"/>
    <w:rsid w:val="005F3B46"/>
    <w:rsid w:val="005F3B52"/>
    <w:rsid w:val="005F3B84"/>
    <w:rsid w:val="005F3C36"/>
    <w:rsid w:val="005F3C9D"/>
    <w:rsid w:val="005F3FBE"/>
    <w:rsid w:val="005F3FF9"/>
    <w:rsid w:val="005F40CB"/>
    <w:rsid w:val="005F41D0"/>
    <w:rsid w:val="005F427E"/>
    <w:rsid w:val="005F4380"/>
    <w:rsid w:val="005F4725"/>
    <w:rsid w:val="005F4CAB"/>
    <w:rsid w:val="005F50C8"/>
    <w:rsid w:val="005F5328"/>
    <w:rsid w:val="005F5351"/>
    <w:rsid w:val="005F5415"/>
    <w:rsid w:val="005F543D"/>
    <w:rsid w:val="005F55A6"/>
    <w:rsid w:val="005F566E"/>
    <w:rsid w:val="005F5778"/>
    <w:rsid w:val="005F5841"/>
    <w:rsid w:val="005F5960"/>
    <w:rsid w:val="005F5E61"/>
    <w:rsid w:val="005F6291"/>
    <w:rsid w:val="005F63E6"/>
    <w:rsid w:val="005F65CE"/>
    <w:rsid w:val="005F671E"/>
    <w:rsid w:val="005F681C"/>
    <w:rsid w:val="005F6A35"/>
    <w:rsid w:val="005F6A3A"/>
    <w:rsid w:val="005F6C79"/>
    <w:rsid w:val="005F6C7C"/>
    <w:rsid w:val="005F729D"/>
    <w:rsid w:val="005F72B5"/>
    <w:rsid w:val="005F74FB"/>
    <w:rsid w:val="005F759E"/>
    <w:rsid w:val="005F75B4"/>
    <w:rsid w:val="005F7ACC"/>
    <w:rsid w:val="005F7B5C"/>
    <w:rsid w:val="005F7C46"/>
    <w:rsid w:val="005F7F6B"/>
    <w:rsid w:val="00600098"/>
    <w:rsid w:val="00600986"/>
    <w:rsid w:val="00600E86"/>
    <w:rsid w:val="00600F3D"/>
    <w:rsid w:val="006010F4"/>
    <w:rsid w:val="00601114"/>
    <w:rsid w:val="006012A2"/>
    <w:rsid w:val="0060133F"/>
    <w:rsid w:val="006015D0"/>
    <w:rsid w:val="006016DF"/>
    <w:rsid w:val="00601831"/>
    <w:rsid w:val="00601A7A"/>
    <w:rsid w:val="00601D04"/>
    <w:rsid w:val="00601E4A"/>
    <w:rsid w:val="00601F06"/>
    <w:rsid w:val="00602159"/>
    <w:rsid w:val="00602227"/>
    <w:rsid w:val="0060232B"/>
    <w:rsid w:val="006027A3"/>
    <w:rsid w:val="0060298C"/>
    <w:rsid w:val="00602F03"/>
    <w:rsid w:val="00602FEC"/>
    <w:rsid w:val="006031AC"/>
    <w:rsid w:val="006034BC"/>
    <w:rsid w:val="00603DA9"/>
    <w:rsid w:val="00603DDB"/>
    <w:rsid w:val="00603DEB"/>
    <w:rsid w:val="00603E63"/>
    <w:rsid w:val="00603F17"/>
    <w:rsid w:val="0060407C"/>
    <w:rsid w:val="00604144"/>
    <w:rsid w:val="00604267"/>
    <w:rsid w:val="00604269"/>
    <w:rsid w:val="006048E7"/>
    <w:rsid w:val="00604C5C"/>
    <w:rsid w:val="00604D32"/>
    <w:rsid w:val="006050A1"/>
    <w:rsid w:val="006050B8"/>
    <w:rsid w:val="00605434"/>
    <w:rsid w:val="006054F0"/>
    <w:rsid w:val="00605796"/>
    <w:rsid w:val="006057F2"/>
    <w:rsid w:val="006057FD"/>
    <w:rsid w:val="006058C2"/>
    <w:rsid w:val="006059F0"/>
    <w:rsid w:val="00605C06"/>
    <w:rsid w:val="00605E96"/>
    <w:rsid w:val="00606254"/>
    <w:rsid w:val="0060636B"/>
    <w:rsid w:val="006063CA"/>
    <w:rsid w:val="006065A7"/>
    <w:rsid w:val="00606813"/>
    <w:rsid w:val="00606DA3"/>
    <w:rsid w:val="00606DB8"/>
    <w:rsid w:val="00606DCA"/>
    <w:rsid w:val="00606F66"/>
    <w:rsid w:val="0060716F"/>
    <w:rsid w:val="0060719E"/>
    <w:rsid w:val="0060755A"/>
    <w:rsid w:val="00607597"/>
    <w:rsid w:val="00607A75"/>
    <w:rsid w:val="00607C15"/>
    <w:rsid w:val="00607C25"/>
    <w:rsid w:val="00607CB3"/>
    <w:rsid w:val="00607E65"/>
    <w:rsid w:val="00607FE8"/>
    <w:rsid w:val="00610235"/>
    <w:rsid w:val="0061057F"/>
    <w:rsid w:val="0061070A"/>
    <w:rsid w:val="00610899"/>
    <w:rsid w:val="006108CA"/>
    <w:rsid w:val="00610A41"/>
    <w:rsid w:val="00610C2B"/>
    <w:rsid w:val="00610E53"/>
    <w:rsid w:val="00611356"/>
    <w:rsid w:val="00611381"/>
    <w:rsid w:val="00611382"/>
    <w:rsid w:val="0061154D"/>
    <w:rsid w:val="00611A0F"/>
    <w:rsid w:val="0061242E"/>
    <w:rsid w:val="0061258A"/>
    <w:rsid w:val="00612814"/>
    <w:rsid w:val="0061281F"/>
    <w:rsid w:val="0061282F"/>
    <w:rsid w:val="00612A75"/>
    <w:rsid w:val="00612C4A"/>
    <w:rsid w:val="00612D4A"/>
    <w:rsid w:val="00612F35"/>
    <w:rsid w:val="006130DF"/>
    <w:rsid w:val="0061314B"/>
    <w:rsid w:val="00613368"/>
    <w:rsid w:val="0061352F"/>
    <w:rsid w:val="00613564"/>
    <w:rsid w:val="0061359B"/>
    <w:rsid w:val="00613691"/>
    <w:rsid w:val="00613696"/>
    <w:rsid w:val="006136EF"/>
    <w:rsid w:val="006137F7"/>
    <w:rsid w:val="00613AF4"/>
    <w:rsid w:val="00613B2D"/>
    <w:rsid w:val="00613D81"/>
    <w:rsid w:val="00613E94"/>
    <w:rsid w:val="006140BE"/>
    <w:rsid w:val="00614190"/>
    <w:rsid w:val="0061446C"/>
    <w:rsid w:val="0061458C"/>
    <w:rsid w:val="006148D6"/>
    <w:rsid w:val="006149B9"/>
    <w:rsid w:val="00614A78"/>
    <w:rsid w:val="00614D0C"/>
    <w:rsid w:val="00614D89"/>
    <w:rsid w:val="00614DB7"/>
    <w:rsid w:val="00614EF4"/>
    <w:rsid w:val="00614FB6"/>
    <w:rsid w:val="00615108"/>
    <w:rsid w:val="00615752"/>
    <w:rsid w:val="006159B3"/>
    <w:rsid w:val="006159DC"/>
    <w:rsid w:val="00615A74"/>
    <w:rsid w:val="00615B33"/>
    <w:rsid w:val="00615B4D"/>
    <w:rsid w:val="0061618B"/>
    <w:rsid w:val="006161BF"/>
    <w:rsid w:val="0061646D"/>
    <w:rsid w:val="00616516"/>
    <w:rsid w:val="00616662"/>
    <w:rsid w:val="006168AC"/>
    <w:rsid w:val="00616948"/>
    <w:rsid w:val="00616BD3"/>
    <w:rsid w:val="00616DDB"/>
    <w:rsid w:val="00617195"/>
    <w:rsid w:val="00617505"/>
    <w:rsid w:val="006175A1"/>
    <w:rsid w:val="00617630"/>
    <w:rsid w:val="00617B05"/>
    <w:rsid w:val="00617F48"/>
    <w:rsid w:val="0062025B"/>
    <w:rsid w:val="0062034F"/>
    <w:rsid w:val="006209C1"/>
    <w:rsid w:val="00620A81"/>
    <w:rsid w:val="00620B18"/>
    <w:rsid w:val="00620D65"/>
    <w:rsid w:val="00620DCA"/>
    <w:rsid w:val="00621026"/>
    <w:rsid w:val="00621296"/>
    <w:rsid w:val="00621B46"/>
    <w:rsid w:val="00621B6D"/>
    <w:rsid w:val="00621B82"/>
    <w:rsid w:val="00621F21"/>
    <w:rsid w:val="00621FFA"/>
    <w:rsid w:val="0062203F"/>
    <w:rsid w:val="0062238D"/>
    <w:rsid w:val="006229C2"/>
    <w:rsid w:val="00622AC9"/>
    <w:rsid w:val="00622ACC"/>
    <w:rsid w:val="00622E10"/>
    <w:rsid w:val="00622F32"/>
    <w:rsid w:val="00623000"/>
    <w:rsid w:val="006230DB"/>
    <w:rsid w:val="0062319D"/>
    <w:rsid w:val="006231CC"/>
    <w:rsid w:val="00623329"/>
    <w:rsid w:val="00623421"/>
    <w:rsid w:val="00623562"/>
    <w:rsid w:val="006236C5"/>
    <w:rsid w:val="00623782"/>
    <w:rsid w:val="006237F8"/>
    <w:rsid w:val="00623AFF"/>
    <w:rsid w:val="00623CC9"/>
    <w:rsid w:val="00623F60"/>
    <w:rsid w:val="00624323"/>
    <w:rsid w:val="006246DD"/>
    <w:rsid w:val="00624B2E"/>
    <w:rsid w:val="00624CBF"/>
    <w:rsid w:val="0062511B"/>
    <w:rsid w:val="006252D1"/>
    <w:rsid w:val="00625357"/>
    <w:rsid w:val="006254AA"/>
    <w:rsid w:val="00625862"/>
    <w:rsid w:val="00625895"/>
    <w:rsid w:val="00625897"/>
    <w:rsid w:val="00625948"/>
    <w:rsid w:val="00625958"/>
    <w:rsid w:val="00625973"/>
    <w:rsid w:val="00625E86"/>
    <w:rsid w:val="0062609E"/>
    <w:rsid w:val="006260AF"/>
    <w:rsid w:val="006261B2"/>
    <w:rsid w:val="00626268"/>
    <w:rsid w:val="006264C5"/>
    <w:rsid w:val="00626523"/>
    <w:rsid w:val="006265D4"/>
    <w:rsid w:val="006265EB"/>
    <w:rsid w:val="0062668E"/>
    <w:rsid w:val="006272B1"/>
    <w:rsid w:val="0062736D"/>
    <w:rsid w:val="006273E2"/>
    <w:rsid w:val="006273F4"/>
    <w:rsid w:val="0062743B"/>
    <w:rsid w:val="0062762E"/>
    <w:rsid w:val="0062767B"/>
    <w:rsid w:val="006276B2"/>
    <w:rsid w:val="00627785"/>
    <w:rsid w:val="00627AEF"/>
    <w:rsid w:val="00627B94"/>
    <w:rsid w:val="00627E91"/>
    <w:rsid w:val="006305E5"/>
    <w:rsid w:val="006306D8"/>
    <w:rsid w:val="006307A0"/>
    <w:rsid w:val="00630C3B"/>
    <w:rsid w:val="00630D73"/>
    <w:rsid w:val="006310DA"/>
    <w:rsid w:val="00631214"/>
    <w:rsid w:val="006314E4"/>
    <w:rsid w:val="006316DC"/>
    <w:rsid w:val="006317CD"/>
    <w:rsid w:val="0063183E"/>
    <w:rsid w:val="00631A03"/>
    <w:rsid w:val="00631B81"/>
    <w:rsid w:val="00631D1D"/>
    <w:rsid w:val="00631ED2"/>
    <w:rsid w:val="006320C0"/>
    <w:rsid w:val="006322C5"/>
    <w:rsid w:val="0063235F"/>
    <w:rsid w:val="0063281F"/>
    <w:rsid w:val="00632BB9"/>
    <w:rsid w:val="00632CDB"/>
    <w:rsid w:val="00632D1A"/>
    <w:rsid w:val="006335A7"/>
    <w:rsid w:val="0063360F"/>
    <w:rsid w:val="00633787"/>
    <w:rsid w:val="0063390E"/>
    <w:rsid w:val="00633AAC"/>
    <w:rsid w:val="00633AB1"/>
    <w:rsid w:val="00633AF0"/>
    <w:rsid w:val="00633B29"/>
    <w:rsid w:val="00633C77"/>
    <w:rsid w:val="00634040"/>
    <w:rsid w:val="0063408C"/>
    <w:rsid w:val="006340A3"/>
    <w:rsid w:val="00634422"/>
    <w:rsid w:val="006344C3"/>
    <w:rsid w:val="00634917"/>
    <w:rsid w:val="00634A03"/>
    <w:rsid w:val="00634ACC"/>
    <w:rsid w:val="00634C1B"/>
    <w:rsid w:val="00634C3B"/>
    <w:rsid w:val="00634F06"/>
    <w:rsid w:val="0063508C"/>
    <w:rsid w:val="006355C4"/>
    <w:rsid w:val="0063594F"/>
    <w:rsid w:val="006359CB"/>
    <w:rsid w:val="00635A05"/>
    <w:rsid w:val="00635EA5"/>
    <w:rsid w:val="00635EBC"/>
    <w:rsid w:val="00635F08"/>
    <w:rsid w:val="006361B0"/>
    <w:rsid w:val="00636537"/>
    <w:rsid w:val="006365A8"/>
    <w:rsid w:val="006365FD"/>
    <w:rsid w:val="00636659"/>
    <w:rsid w:val="00636A18"/>
    <w:rsid w:val="00636ACD"/>
    <w:rsid w:val="00636ED5"/>
    <w:rsid w:val="00637007"/>
    <w:rsid w:val="00637297"/>
    <w:rsid w:val="006372DD"/>
    <w:rsid w:val="006372E1"/>
    <w:rsid w:val="0063773B"/>
    <w:rsid w:val="00637950"/>
    <w:rsid w:val="00637B43"/>
    <w:rsid w:val="00637B72"/>
    <w:rsid w:val="00637D3F"/>
    <w:rsid w:val="00637DD0"/>
    <w:rsid w:val="00637FCD"/>
    <w:rsid w:val="006402CC"/>
    <w:rsid w:val="006402F8"/>
    <w:rsid w:val="006403A6"/>
    <w:rsid w:val="00640526"/>
    <w:rsid w:val="006408CF"/>
    <w:rsid w:val="00640A46"/>
    <w:rsid w:val="00640B11"/>
    <w:rsid w:val="00640E4B"/>
    <w:rsid w:val="00640EB3"/>
    <w:rsid w:val="00640FF8"/>
    <w:rsid w:val="00641289"/>
    <w:rsid w:val="006413CC"/>
    <w:rsid w:val="00641491"/>
    <w:rsid w:val="006415CC"/>
    <w:rsid w:val="0064181A"/>
    <w:rsid w:val="00641834"/>
    <w:rsid w:val="00641972"/>
    <w:rsid w:val="00641C37"/>
    <w:rsid w:val="00641CE7"/>
    <w:rsid w:val="00641FF8"/>
    <w:rsid w:val="0064249E"/>
    <w:rsid w:val="00642544"/>
    <w:rsid w:val="00642552"/>
    <w:rsid w:val="00642589"/>
    <w:rsid w:val="006426ED"/>
    <w:rsid w:val="00642780"/>
    <w:rsid w:val="006427F6"/>
    <w:rsid w:val="00642F14"/>
    <w:rsid w:val="00642FB2"/>
    <w:rsid w:val="00642FB5"/>
    <w:rsid w:val="00643238"/>
    <w:rsid w:val="00643C3A"/>
    <w:rsid w:val="00643C6E"/>
    <w:rsid w:val="00644154"/>
    <w:rsid w:val="0064425A"/>
    <w:rsid w:val="006442C6"/>
    <w:rsid w:val="00644378"/>
    <w:rsid w:val="006444C7"/>
    <w:rsid w:val="006445E5"/>
    <w:rsid w:val="006448E3"/>
    <w:rsid w:val="00644A2C"/>
    <w:rsid w:val="006454DA"/>
    <w:rsid w:val="006456CE"/>
    <w:rsid w:val="00645AC2"/>
    <w:rsid w:val="00645B8A"/>
    <w:rsid w:val="00645D58"/>
    <w:rsid w:val="00645E1F"/>
    <w:rsid w:val="00646026"/>
    <w:rsid w:val="0064608A"/>
    <w:rsid w:val="006461ED"/>
    <w:rsid w:val="006463DB"/>
    <w:rsid w:val="0064673B"/>
    <w:rsid w:val="006467C6"/>
    <w:rsid w:val="00646841"/>
    <w:rsid w:val="00646ACA"/>
    <w:rsid w:val="00646BE1"/>
    <w:rsid w:val="00646D67"/>
    <w:rsid w:val="00646D7B"/>
    <w:rsid w:val="00646EC5"/>
    <w:rsid w:val="00646F84"/>
    <w:rsid w:val="006470DC"/>
    <w:rsid w:val="0064737A"/>
    <w:rsid w:val="006479AE"/>
    <w:rsid w:val="00647EF9"/>
    <w:rsid w:val="006502AC"/>
    <w:rsid w:val="00650807"/>
    <w:rsid w:val="00650849"/>
    <w:rsid w:val="006508CC"/>
    <w:rsid w:val="00650995"/>
    <w:rsid w:val="006509EA"/>
    <w:rsid w:val="00650C6A"/>
    <w:rsid w:val="00650DEC"/>
    <w:rsid w:val="00650F34"/>
    <w:rsid w:val="00650F74"/>
    <w:rsid w:val="006511C1"/>
    <w:rsid w:val="006512A7"/>
    <w:rsid w:val="006514A2"/>
    <w:rsid w:val="00651659"/>
    <w:rsid w:val="0065177D"/>
    <w:rsid w:val="0065177F"/>
    <w:rsid w:val="00651830"/>
    <w:rsid w:val="0065184A"/>
    <w:rsid w:val="00651D7D"/>
    <w:rsid w:val="00651DB5"/>
    <w:rsid w:val="00651E6B"/>
    <w:rsid w:val="00652001"/>
    <w:rsid w:val="00652111"/>
    <w:rsid w:val="0065243A"/>
    <w:rsid w:val="0065249A"/>
    <w:rsid w:val="0065274C"/>
    <w:rsid w:val="00652808"/>
    <w:rsid w:val="00652991"/>
    <w:rsid w:val="00652B3A"/>
    <w:rsid w:val="00652E8A"/>
    <w:rsid w:val="0065310F"/>
    <w:rsid w:val="0065314C"/>
    <w:rsid w:val="0065317C"/>
    <w:rsid w:val="006532F7"/>
    <w:rsid w:val="0065345C"/>
    <w:rsid w:val="00653463"/>
    <w:rsid w:val="0065363B"/>
    <w:rsid w:val="006536B4"/>
    <w:rsid w:val="006536FA"/>
    <w:rsid w:val="00653BB8"/>
    <w:rsid w:val="00653C0A"/>
    <w:rsid w:val="00653CEF"/>
    <w:rsid w:val="00653F3A"/>
    <w:rsid w:val="00654226"/>
    <w:rsid w:val="006542F5"/>
    <w:rsid w:val="00654458"/>
    <w:rsid w:val="006544FF"/>
    <w:rsid w:val="00654814"/>
    <w:rsid w:val="0065487C"/>
    <w:rsid w:val="00654989"/>
    <w:rsid w:val="00654CD6"/>
    <w:rsid w:val="00654D83"/>
    <w:rsid w:val="00654DCC"/>
    <w:rsid w:val="00654E16"/>
    <w:rsid w:val="00654E24"/>
    <w:rsid w:val="00654E84"/>
    <w:rsid w:val="006550E8"/>
    <w:rsid w:val="006551BA"/>
    <w:rsid w:val="00655343"/>
    <w:rsid w:val="006553B4"/>
    <w:rsid w:val="006554A1"/>
    <w:rsid w:val="006554CB"/>
    <w:rsid w:val="006557FA"/>
    <w:rsid w:val="0065598A"/>
    <w:rsid w:val="00655F15"/>
    <w:rsid w:val="00656096"/>
    <w:rsid w:val="00656104"/>
    <w:rsid w:val="006566BE"/>
    <w:rsid w:val="00656791"/>
    <w:rsid w:val="0065694E"/>
    <w:rsid w:val="00656C56"/>
    <w:rsid w:val="00656D87"/>
    <w:rsid w:val="00656DC9"/>
    <w:rsid w:val="00656F63"/>
    <w:rsid w:val="00657147"/>
    <w:rsid w:val="0065720C"/>
    <w:rsid w:val="006572B7"/>
    <w:rsid w:val="006575EB"/>
    <w:rsid w:val="006579BE"/>
    <w:rsid w:val="00657AD3"/>
    <w:rsid w:val="00657C48"/>
    <w:rsid w:val="00657C88"/>
    <w:rsid w:val="00657C99"/>
    <w:rsid w:val="00657D34"/>
    <w:rsid w:val="00657D41"/>
    <w:rsid w:val="00657D49"/>
    <w:rsid w:val="00657F11"/>
    <w:rsid w:val="00660335"/>
    <w:rsid w:val="006603B0"/>
    <w:rsid w:val="00660646"/>
    <w:rsid w:val="00660653"/>
    <w:rsid w:val="006606A1"/>
    <w:rsid w:val="0066071C"/>
    <w:rsid w:val="00660779"/>
    <w:rsid w:val="0066097E"/>
    <w:rsid w:val="00660A5E"/>
    <w:rsid w:val="00660B44"/>
    <w:rsid w:val="00660E31"/>
    <w:rsid w:val="0066113F"/>
    <w:rsid w:val="006613F9"/>
    <w:rsid w:val="0066157F"/>
    <w:rsid w:val="00661634"/>
    <w:rsid w:val="006616E4"/>
    <w:rsid w:val="0066184C"/>
    <w:rsid w:val="00661A20"/>
    <w:rsid w:val="00661A8D"/>
    <w:rsid w:val="00661C39"/>
    <w:rsid w:val="00661CB2"/>
    <w:rsid w:val="00661D72"/>
    <w:rsid w:val="00661D7D"/>
    <w:rsid w:val="00661ED8"/>
    <w:rsid w:val="00662060"/>
    <w:rsid w:val="006620B6"/>
    <w:rsid w:val="00662342"/>
    <w:rsid w:val="00662503"/>
    <w:rsid w:val="006628E2"/>
    <w:rsid w:val="006629DF"/>
    <w:rsid w:val="00662A2A"/>
    <w:rsid w:val="00662C62"/>
    <w:rsid w:val="00662DF9"/>
    <w:rsid w:val="00662E66"/>
    <w:rsid w:val="00662EEB"/>
    <w:rsid w:val="00662F01"/>
    <w:rsid w:val="00663204"/>
    <w:rsid w:val="00663307"/>
    <w:rsid w:val="006634EA"/>
    <w:rsid w:val="00663560"/>
    <w:rsid w:val="00663994"/>
    <w:rsid w:val="00663AAD"/>
    <w:rsid w:val="00663AC8"/>
    <w:rsid w:val="006641AD"/>
    <w:rsid w:val="006641D0"/>
    <w:rsid w:val="00664231"/>
    <w:rsid w:val="00664366"/>
    <w:rsid w:val="0066489E"/>
    <w:rsid w:val="00664967"/>
    <w:rsid w:val="00664A0B"/>
    <w:rsid w:val="00664C50"/>
    <w:rsid w:val="00664D3D"/>
    <w:rsid w:val="00664ECC"/>
    <w:rsid w:val="00664F15"/>
    <w:rsid w:val="00664F75"/>
    <w:rsid w:val="00664FD0"/>
    <w:rsid w:val="0066506F"/>
    <w:rsid w:val="006650A2"/>
    <w:rsid w:val="006650C5"/>
    <w:rsid w:val="00665259"/>
    <w:rsid w:val="0066581A"/>
    <w:rsid w:val="00665956"/>
    <w:rsid w:val="00665E75"/>
    <w:rsid w:val="0066604D"/>
    <w:rsid w:val="00666402"/>
    <w:rsid w:val="0066645D"/>
    <w:rsid w:val="006664E1"/>
    <w:rsid w:val="00666501"/>
    <w:rsid w:val="00666616"/>
    <w:rsid w:val="0066667D"/>
    <w:rsid w:val="00666769"/>
    <w:rsid w:val="0066677A"/>
    <w:rsid w:val="006668FE"/>
    <w:rsid w:val="00666AC3"/>
    <w:rsid w:val="00666AFB"/>
    <w:rsid w:val="00666C18"/>
    <w:rsid w:val="00666C3B"/>
    <w:rsid w:val="00666C4E"/>
    <w:rsid w:val="00666CB8"/>
    <w:rsid w:val="00666DC5"/>
    <w:rsid w:val="00666FC7"/>
    <w:rsid w:val="006671B7"/>
    <w:rsid w:val="006673F9"/>
    <w:rsid w:val="0066764F"/>
    <w:rsid w:val="006676BE"/>
    <w:rsid w:val="006676F2"/>
    <w:rsid w:val="006679AD"/>
    <w:rsid w:val="00667A7F"/>
    <w:rsid w:val="00667AE8"/>
    <w:rsid w:val="006701A8"/>
    <w:rsid w:val="0067023E"/>
    <w:rsid w:val="0067047F"/>
    <w:rsid w:val="006705B6"/>
    <w:rsid w:val="006705F3"/>
    <w:rsid w:val="0067063A"/>
    <w:rsid w:val="006706CD"/>
    <w:rsid w:val="00670783"/>
    <w:rsid w:val="0067087E"/>
    <w:rsid w:val="0067095C"/>
    <w:rsid w:val="0067097B"/>
    <w:rsid w:val="00670A3B"/>
    <w:rsid w:val="006711F9"/>
    <w:rsid w:val="006715A0"/>
    <w:rsid w:val="006718DF"/>
    <w:rsid w:val="00671A3A"/>
    <w:rsid w:val="00671DC2"/>
    <w:rsid w:val="00671DEA"/>
    <w:rsid w:val="0067210D"/>
    <w:rsid w:val="00672126"/>
    <w:rsid w:val="006721DF"/>
    <w:rsid w:val="00672314"/>
    <w:rsid w:val="0067231A"/>
    <w:rsid w:val="006723A5"/>
    <w:rsid w:val="006724A9"/>
    <w:rsid w:val="0067278A"/>
    <w:rsid w:val="006727A7"/>
    <w:rsid w:val="00672D68"/>
    <w:rsid w:val="00672DAA"/>
    <w:rsid w:val="006730CD"/>
    <w:rsid w:val="00673310"/>
    <w:rsid w:val="00673423"/>
    <w:rsid w:val="0067352A"/>
    <w:rsid w:val="006735F2"/>
    <w:rsid w:val="00673A13"/>
    <w:rsid w:val="00673AAD"/>
    <w:rsid w:val="006741C9"/>
    <w:rsid w:val="00674315"/>
    <w:rsid w:val="00674613"/>
    <w:rsid w:val="006748AD"/>
    <w:rsid w:val="00674910"/>
    <w:rsid w:val="00674B40"/>
    <w:rsid w:val="00674FAC"/>
    <w:rsid w:val="0067508A"/>
    <w:rsid w:val="00675250"/>
    <w:rsid w:val="00675C4C"/>
    <w:rsid w:val="00676092"/>
    <w:rsid w:val="006763C2"/>
    <w:rsid w:val="00676728"/>
    <w:rsid w:val="00676DCE"/>
    <w:rsid w:val="00677237"/>
    <w:rsid w:val="0067743F"/>
    <w:rsid w:val="00677749"/>
    <w:rsid w:val="006778DA"/>
    <w:rsid w:val="0067795C"/>
    <w:rsid w:val="00677969"/>
    <w:rsid w:val="00677A20"/>
    <w:rsid w:val="00677E27"/>
    <w:rsid w:val="00677E3A"/>
    <w:rsid w:val="00677F61"/>
    <w:rsid w:val="00680288"/>
    <w:rsid w:val="0068028D"/>
    <w:rsid w:val="00680302"/>
    <w:rsid w:val="0068034E"/>
    <w:rsid w:val="006804C8"/>
    <w:rsid w:val="00680601"/>
    <w:rsid w:val="006807C8"/>
    <w:rsid w:val="00680888"/>
    <w:rsid w:val="006808CA"/>
    <w:rsid w:val="0068098F"/>
    <w:rsid w:val="00680D29"/>
    <w:rsid w:val="00680D66"/>
    <w:rsid w:val="00680F98"/>
    <w:rsid w:val="00681684"/>
    <w:rsid w:val="00681B50"/>
    <w:rsid w:val="00681BB0"/>
    <w:rsid w:val="00681C2F"/>
    <w:rsid w:val="00681E15"/>
    <w:rsid w:val="00682082"/>
    <w:rsid w:val="00682723"/>
    <w:rsid w:val="0068276F"/>
    <w:rsid w:val="006827D9"/>
    <w:rsid w:val="0068283E"/>
    <w:rsid w:val="0068283F"/>
    <w:rsid w:val="006830C3"/>
    <w:rsid w:val="006833CC"/>
    <w:rsid w:val="0068361F"/>
    <w:rsid w:val="0068375D"/>
    <w:rsid w:val="006837D2"/>
    <w:rsid w:val="00683C2F"/>
    <w:rsid w:val="00683FF7"/>
    <w:rsid w:val="00684170"/>
    <w:rsid w:val="006841E9"/>
    <w:rsid w:val="00684200"/>
    <w:rsid w:val="00684348"/>
    <w:rsid w:val="00684659"/>
    <w:rsid w:val="00684956"/>
    <w:rsid w:val="00684A24"/>
    <w:rsid w:val="00684B7D"/>
    <w:rsid w:val="00684F21"/>
    <w:rsid w:val="00685068"/>
    <w:rsid w:val="006850B1"/>
    <w:rsid w:val="00685145"/>
    <w:rsid w:val="006851C9"/>
    <w:rsid w:val="00685258"/>
    <w:rsid w:val="006852B4"/>
    <w:rsid w:val="00685384"/>
    <w:rsid w:val="00685496"/>
    <w:rsid w:val="006855D2"/>
    <w:rsid w:val="006856EF"/>
    <w:rsid w:val="006859CF"/>
    <w:rsid w:val="00685E2B"/>
    <w:rsid w:val="00685F47"/>
    <w:rsid w:val="00685FB9"/>
    <w:rsid w:val="0068613F"/>
    <w:rsid w:val="00686304"/>
    <w:rsid w:val="00686357"/>
    <w:rsid w:val="006864BE"/>
    <w:rsid w:val="006865DD"/>
    <w:rsid w:val="00686675"/>
    <w:rsid w:val="006866CA"/>
    <w:rsid w:val="006867AF"/>
    <w:rsid w:val="00686A2B"/>
    <w:rsid w:val="00686D2D"/>
    <w:rsid w:val="00686DA8"/>
    <w:rsid w:val="00686ED2"/>
    <w:rsid w:val="00687328"/>
    <w:rsid w:val="00687492"/>
    <w:rsid w:val="006878A8"/>
    <w:rsid w:val="006901E9"/>
    <w:rsid w:val="0069062C"/>
    <w:rsid w:val="0069099F"/>
    <w:rsid w:val="00690A2C"/>
    <w:rsid w:val="00691040"/>
    <w:rsid w:val="00691070"/>
    <w:rsid w:val="006910DB"/>
    <w:rsid w:val="00691335"/>
    <w:rsid w:val="006915A0"/>
    <w:rsid w:val="0069174C"/>
    <w:rsid w:val="00691B69"/>
    <w:rsid w:val="00691D76"/>
    <w:rsid w:val="00691DC3"/>
    <w:rsid w:val="00691FA9"/>
    <w:rsid w:val="00692541"/>
    <w:rsid w:val="0069278E"/>
    <w:rsid w:val="00692B3F"/>
    <w:rsid w:val="00692D1A"/>
    <w:rsid w:val="00692E2E"/>
    <w:rsid w:val="00692EE6"/>
    <w:rsid w:val="00692F43"/>
    <w:rsid w:val="00692FC2"/>
    <w:rsid w:val="0069347B"/>
    <w:rsid w:val="0069351C"/>
    <w:rsid w:val="0069352F"/>
    <w:rsid w:val="006936E0"/>
    <w:rsid w:val="00693883"/>
    <w:rsid w:val="0069389A"/>
    <w:rsid w:val="006938C2"/>
    <w:rsid w:val="00693A36"/>
    <w:rsid w:val="00693D2B"/>
    <w:rsid w:val="00693DAA"/>
    <w:rsid w:val="00693F43"/>
    <w:rsid w:val="006941E7"/>
    <w:rsid w:val="00694557"/>
    <w:rsid w:val="00694762"/>
    <w:rsid w:val="006947EB"/>
    <w:rsid w:val="006948B9"/>
    <w:rsid w:val="00694969"/>
    <w:rsid w:val="00694F0B"/>
    <w:rsid w:val="00695106"/>
    <w:rsid w:val="006954B0"/>
    <w:rsid w:val="006956D3"/>
    <w:rsid w:val="00695AEA"/>
    <w:rsid w:val="00695D24"/>
    <w:rsid w:val="00695D60"/>
    <w:rsid w:val="00695D8A"/>
    <w:rsid w:val="0069600E"/>
    <w:rsid w:val="006962CE"/>
    <w:rsid w:val="006964A9"/>
    <w:rsid w:val="006964D0"/>
    <w:rsid w:val="006965E2"/>
    <w:rsid w:val="00696A8F"/>
    <w:rsid w:val="00696E67"/>
    <w:rsid w:val="00696EC1"/>
    <w:rsid w:val="006971CE"/>
    <w:rsid w:val="006975FC"/>
    <w:rsid w:val="006976C8"/>
    <w:rsid w:val="00697D4E"/>
    <w:rsid w:val="006A00C0"/>
    <w:rsid w:val="006A011C"/>
    <w:rsid w:val="006A049D"/>
    <w:rsid w:val="006A0588"/>
    <w:rsid w:val="006A0BC3"/>
    <w:rsid w:val="006A1044"/>
    <w:rsid w:val="006A1079"/>
    <w:rsid w:val="006A140D"/>
    <w:rsid w:val="006A1507"/>
    <w:rsid w:val="006A1536"/>
    <w:rsid w:val="006A157E"/>
    <w:rsid w:val="006A1991"/>
    <w:rsid w:val="006A1B52"/>
    <w:rsid w:val="006A1D1F"/>
    <w:rsid w:val="006A1DAA"/>
    <w:rsid w:val="006A202A"/>
    <w:rsid w:val="006A22F9"/>
    <w:rsid w:val="006A23E0"/>
    <w:rsid w:val="006A27E4"/>
    <w:rsid w:val="006A2851"/>
    <w:rsid w:val="006A292A"/>
    <w:rsid w:val="006A2B9C"/>
    <w:rsid w:val="006A2C08"/>
    <w:rsid w:val="006A2C0F"/>
    <w:rsid w:val="006A2CB3"/>
    <w:rsid w:val="006A2D6A"/>
    <w:rsid w:val="006A2E1F"/>
    <w:rsid w:val="006A2F0F"/>
    <w:rsid w:val="006A3300"/>
    <w:rsid w:val="006A3484"/>
    <w:rsid w:val="006A34BC"/>
    <w:rsid w:val="006A3681"/>
    <w:rsid w:val="006A3748"/>
    <w:rsid w:val="006A3792"/>
    <w:rsid w:val="006A37E5"/>
    <w:rsid w:val="006A3800"/>
    <w:rsid w:val="006A381C"/>
    <w:rsid w:val="006A3BA6"/>
    <w:rsid w:val="006A3E2A"/>
    <w:rsid w:val="006A3F93"/>
    <w:rsid w:val="006A3FEB"/>
    <w:rsid w:val="006A4148"/>
    <w:rsid w:val="006A4C6F"/>
    <w:rsid w:val="006A4DB0"/>
    <w:rsid w:val="006A4E23"/>
    <w:rsid w:val="006A4E4F"/>
    <w:rsid w:val="006A504E"/>
    <w:rsid w:val="006A50E7"/>
    <w:rsid w:val="006A5164"/>
    <w:rsid w:val="006A55C6"/>
    <w:rsid w:val="006A575F"/>
    <w:rsid w:val="006A5EA2"/>
    <w:rsid w:val="006A5EB5"/>
    <w:rsid w:val="006A5EC7"/>
    <w:rsid w:val="006A5FA9"/>
    <w:rsid w:val="006A616E"/>
    <w:rsid w:val="006A6588"/>
    <w:rsid w:val="006A6700"/>
    <w:rsid w:val="006A697B"/>
    <w:rsid w:val="006A6A51"/>
    <w:rsid w:val="006A6B35"/>
    <w:rsid w:val="006A6D65"/>
    <w:rsid w:val="006A6DD0"/>
    <w:rsid w:val="006A70DD"/>
    <w:rsid w:val="006A71BE"/>
    <w:rsid w:val="006A741C"/>
    <w:rsid w:val="006A748D"/>
    <w:rsid w:val="006A75B3"/>
    <w:rsid w:val="006A75D4"/>
    <w:rsid w:val="006A77F8"/>
    <w:rsid w:val="006A78BD"/>
    <w:rsid w:val="006A7C71"/>
    <w:rsid w:val="006A7FAF"/>
    <w:rsid w:val="006B086A"/>
    <w:rsid w:val="006B09E1"/>
    <w:rsid w:val="006B0A96"/>
    <w:rsid w:val="006B0C56"/>
    <w:rsid w:val="006B0CAD"/>
    <w:rsid w:val="006B0DAA"/>
    <w:rsid w:val="006B0DB7"/>
    <w:rsid w:val="006B13AB"/>
    <w:rsid w:val="006B1649"/>
    <w:rsid w:val="006B1753"/>
    <w:rsid w:val="006B1780"/>
    <w:rsid w:val="006B18DF"/>
    <w:rsid w:val="006B1F45"/>
    <w:rsid w:val="006B2000"/>
    <w:rsid w:val="006B2310"/>
    <w:rsid w:val="006B23BC"/>
    <w:rsid w:val="006B23EE"/>
    <w:rsid w:val="006B2425"/>
    <w:rsid w:val="006B244A"/>
    <w:rsid w:val="006B2554"/>
    <w:rsid w:val="006B25F9"/>
    <w:rsid w:val="006B26A5"/>
    <w:rsid w:val="006B26FA"/>
    <w:rsid w:val="006B2779"/>
    <w:rsid w:val="006B277A"/>
    <w:rsid w:val="006B2DBB"/>
    <w:rsid w:val="006B2ECD"/>
    <w:rsid w:val="006B315A"/>
    <w:rsid w:val="006B32B4"/>
    <w:rsid w:val="006B32C4"/>
    <w:rsid w:val="006B336B"/>
    <w:rsid w:val="006B3524"/>
    <w:rsid w:val="006B35CA"/>
    <w:rsid w:val="006B36BC"/>
    <w:rsid w:val="006B3A2D"/>
    <w:rsid w:val="006B3A51"/>
    <w:rsid w:val="006B3B6E"/>
    <w:rsid w:val="006B3BA0"/>
    <w:rsid w:val="006B3BCD"/>
    <w:rsid w:val="006B3FAC"/>
    <w:rsid w:val="006B42AE"/>
    <w:rsid w:val="006B42BD"/>
    <w:rsid w:val="006B4428"/>
    <w:rsid w:val="006B450A"/>
    <w:rsid w:val="006B4632"/>
    <w:rsid w:val="006B46A4"/>
    <w:rsid w:val="006B4A9A"/>
    <w:rsid w:val="006B4AFE"/>
    <w:rsid w:val="006B4B0E"/>
    <w:rsid w:val="006B4B54"/>
    <w:rsid w:val="006B4BF3"/>
    <w:rsid w:val="006B5525"/>
    <w:rsid w:val="006B5A9E"/>
    <w:rsid w:val="006B5BAA"/>
    <w:rsid w:val="006B5CE0"/>
    <w:rsid w:val="006B6331"/>
    <w:rsid w:val="006B6623"/>
    <w:rsid w:val="006B6720"/>
    <w:rsid w:val="006B6CF8"/>
    <w:rsid w:val="006B6E04"/>
    <w:rsid w:val="006B7333"/>
    <w:rsid w:val="006B744C"/>
    <w:rsid w:val="006B7539"/>
    <w:rsid w:val="006B75C9"/>
    <w:rsid w:val="006B76A3"/>
    <w:rsid w:val="006B7AA4"/>
    <w:rsid w:val="006B7AD0"/>
    <w:rsid w:val="006B7B00"/>
    <w:rsid w:val="006B7B06"/>
    <w:rsid w:val="006B7C81"/>
    <w:rsid w:val="006B7E54"/>
    <w:rsid w:val="006C0096"/>
    <w:rsid w:val="006C01A4"/>
    <w:rsid w:val="006C0225"/>
    <w:rsid w:val="006C02F4"/>
    <w:rsid w:val="006C0306"/>
    <w:rsid w:val="006C0356"/>
    <w:rsid w:val="006C0373"/>
    <w:rsid w:val="006C0699"/>
    <w:rsid w:val="006C09BB"/>
    <w:rsid w:val="006C0DF0"/>
    <w:rsid w:val="006C0ECA"/>
    <w:rsid w:val="006C0FAB"/>
    <w:rsid w:val="006C1013"/>
    <w:rsid w:val="006C110A"/>
    <w:rsid w:val="006C112E"/>
    <w:rsid w:val="006C120E"/>
    <w:rsid w:val="006C1360"/>
    <w:rsid w:val="006C192B"/>
    <w:rsid w:val="006C1BD0"/>
    <w:rsid w:val="006C1BFB"/>
    <w:rsid w:val="006C1C75"/>
    <w:rsid w:val="006C2085"/>
    <w:rsid w:val="006C2094"/>
    <w:rsid w:val="006C20D2"/>
    <w:rsid w:val="006C22FD"/>
    <w:rsid w:val="006C24AE"/>
    <w:rsid w:val="006C26A1"/>
    <w:rsid w:val="006C28B8"/>
    <w:rsid w:val="006C2A2B"/>
    <w:rsid w:val="006C2AA4"/>
    <w:rsid w:val="006C2BDB"/>
    <w:rsid w:val="006C2E1A"/>
    <w:rsid w:val="006C2FB8"/>
    <w:rsid w:val="006C3183"/>
    <w:rsid w:val="006C321D"/>
    <w:rsid w:val="006C33E2"/>
    <w:rsid w:val="006C3530"/>
    <w:rsid w:val="006C35E7"/>
    <w:rsid w:val="006C365A"/>
    <w:rsid w:val="006C3766"/>
    <w:rsid w:val="006C3DCB"/>
    <w:rsid w:val="006C3FD8"/>
    <w:rsid w:val="006C3FE2"/>
    <w:rsid w:val="006C4167"/>
    <w:rsid w:val="006C419A"/>
    <w:rsid w:val="006C426B"/>
    <w:rsid w:val="006C4287"/>
    <w:rsid w:val="006C43DC"/>
    <w:rsid w:val="006C4550"/>
    <w:rsid w:val="006C456A"/>
    <w:rsid w:val="006C462A"/>
    <w:rsid w:val="006C47CF"/>
    <w:rsid w:val="006C4827"/>
    <w:rsid w:val="006C49A9"/>
    <w:rsid w:val="006C4A44"/>
    <w:rsid w:val="006C4CCB"/>
    <w:rsid w:val="006C4D15"/>
    <w:rsid w:val="006C4D86"/>
    <w:rsid w:val="006C50E3"/>
    <w:rsid w:val="006C5697"/>
    <w:rsid w:val="006C5732"/>
    <w:rsid w:val="006C58CF"/>
    <w:rsid w:val="006C5A08"/>
    <w:rsid w:val="006C5AD2"/>
    <w:rsid w:val="006C5AF5"/>
    <w:rsid w:val="006C5B8E"/>
    <w:rsid w:val="006C5C1D"/>
    <w:rsid w:val="006C5F9E"/>
    <w:rsid w:val="006C60D4"/>
    <w:rsid w:val="006C6155"/>
    <w:rsid w:val="006C64D0"/>
    <w:rsid w:val="006C65C8"/>
    <w:rsid w:val="006C664E"/>
    <w:rsid w:val="006C69A8"/>
    <w:rsid w:val="006C69DB"/>
    <w:rsid w:val="006C6A2C"/>
    <w:rsid w:val="006C6E4D"/>
    <w:rsid w:val="006C71C3"/>
    <w:rsid w:val="006C729E"/>
    <w:rsid w:val="006C731A"/>
    <w:rsid w:val="006C760D"/>
    <w:rsid w:val="006C7668"/>
    <w:rsid w:val="006C76B7"/>
    <w:rsid w:val="006C77CF"/>
    <w:rsid w:val="006C7810"/>
    <w:rsid w:val="006C792A"/>
    <w:rsid w:val="006C7A2D"/>
    <w:rsid w:val="006C7C1E"/>
    <w:rsid w:val="006C7E1B"/>
    <w:rsid w:val="006D00DE"/>
    <w:rsid w:val="006D0109"/>
    <w:rsid w:val="006D01C2"/>
    <w:rsid w:val="006D02B9"/>
    <w:rsid w:val="006D0529"/>
    <w:rsid w:val="006D06CF"/>
    <w:rsid w:val="006D0775"/>
    <w:rsid w:val="006D086F"/>
    <w:rsid w:val="006D08C6"/>
    <w:rsid w:val="006D0A65"/>
    <w:rsid w:val="006D0DCA"/>
    <w:rsid w:val="006D101D"/>
    <w:rsid w:val="006D117D"/>
    <w:rsid w:val="006D1291"/>
    <w:rsid w:val="006D1300"/>
    <w:rsid w:val="006D1490"/>
    <w:rsid w:val="006D15A2"/>
    <w:rsid w:val="006D1602"/>
    <w:rsid w:val="006D18F1"/>
    <w:rsid w:val="006D1DF9"/>
    <w:rsid w:val="006D1F74"/>
    <w:rsid w:val="006D20BC"/>
    <w:rsid w:val="006D2120"/>
    <w:rsid w:val="006D2376"/>
    <w:rsid w:val="006D242F"/>
    <w:rsid w:val="006D2B02"/>
    <w:rsid w:val="006D2CDF"/>
    <w:rsid w:val="006D2EB8"/>
    <w:rsid w:val="006D308A"/>
    <w:rsid w:val="006D318D"/>
    <w:rsid w:val="006D33C9"/>
    <w:rsid w:val="006D35CF"/>
    <w:rsid w:val="006D37C6"/>
    <w:rsid w:val="006D3DFC"/>
    <w:rsid w:val="006D3FA9"/>
    <w:rsid w:val="006D40F4"/>
    <w:rsid w:val="006D4377"/>
    <w:rsid w:val="006D441F"/>
    <w:rsid w:val="006D4467"/>
    <w:rsid w:val="006D44CF"/>
    <w:rsid w:val="006D4690"/>
    <w:rsid w:val="006D46B4"/>
    <w:rsid w:val="006D48EA"/>
    <w:rsid w:val="006D4B69"/>
    <w:rsid w:val="006D4DAB"/>
    <w:rsid w:val="006D4EC9"/>
    <w:rsid w:val="006D5330"/>
    <w:rsid w:val="006D5A60"/>
    <w:rsid w:val="006D5A82"/>
    <w:rsid w:val="006D5ADA"/>
    <w:rsid w:val="006D5CA4"/>
    <w:rsid w:val="006D5F5C"/>
    <w:rsid w:val="006D6313"/>
    <w:rsid w:val="006D637B"/>
    <w:rsid w:val="006D63D9"/>
    <w:rsid w:val="006D690A"/>
    <w:rsid w:val="006D6AD8"/>
    <w:rsid w:val="006D6C17"/>
    <w:rsid w:val="006D6F4D"/>
    <w:rsid w:val="006D73C8"/>
    <w:rsid w:val="006D7573"/>
    <w:rsid w:val="006D758B"/>
    <w:rsid w:val="006D772F"/>
    <w:rsid w:val="006D773A"/>
    <w:rsid w:val="006D78C0"/>
    <w:rsid w:val="006D7A34"/>
    <w:rsid w:val="006D7B3D"/>
    <w:rsid w:val="006D7D1C"/>
    <w:rsid w:val="006D7E1A"/>
    <w:rsid w:val="006D7F04"/>
    <w:rsid w:val="006E0068"/>
    <w:rsid w:val="006E017F"/>
    <w:rsid w:val="006E01FE"/>
    <w:rsid w:val="006E02CC"/>
    <w:rsid w:val="006E02F4"/>
    <w:rsid w:val="006E064A"/>
    <w:rsid w:val="006E06F2"/>
    <w:rsid w:val="006E07DC"/>
    <w:rsid w:val="006E0810"/>
    <w:rsid w:val="006E091D"/>
    <w:rsid w:val="006E092D"/>
    <w:rsid w:val="006E0BD1"/>
    <w:rsid w:val="006E0C86"/>
    <w:rsid w:val="006E0D8C"/>
    <w:rsid w:val="006E0E90"/>
    <w:rsid w:val="006E0F2B"/>
    <w:rsid w:val="006E0F49"/>
    <w:rsid w:val="006E10A0"/>
    <w:rsid w:val="006E10E6"/>
    <w:rsid w:val="006E1411"/>
    <w:rsid w:val="006E1686"/>
    <w:rsid w:val="006E16EE"/>
    <w:rsid w:val="006E1762"/>
    <w:rsid w:val="006E18E6"/>
    <w:rsid w:val="006E19AC"/>
    <w:rsid w:val="006E1BFC"/>
    <w:rsid w:val="006E1EAE"/>
    <w:rsid w:val="006E2357"/>
    <w:rsid w:val="006E24EC"/>
    <w:rsid w:val="006E25D2"/>
    <w:rsid w:val="006E26D7"/>
    <w:rsid w:val="006E270C"/>
    <w:rsid w:val="006E2743"/>
    <w:rsid w:val="006E276C"/>
    <w:rsid w:val="006E27AC"/>
    <w:rsid w:val="006E2887"/>
    <w:rsid w:val="006E2B9F"/>
    <w:rsid w:val="006E2C83"/>
    <w:rsid w:val="006E2C97"/>
    <w:rsid w:val="006E2CC0"/>
    <w:rsid w:val="006E2DD2"/>
    <w:rsid w:val="006E2F35"/>
    <w:rsid w:val="006E3196"/>
    <w:rsid w:val="006E3498"/>
    <w:rsid w:val="006E36F8"/>
    <w:rsid w:val="006E3899"/>
    <w:rsid w:val="006E3B5F"/>
    <w:rsid w:val="006E3BBD"/>
    <w:rsid w:val="006E3CC2"/>
    <w:rsid w:val="006E44EB"/>
    <w:rsid w:val="006E4670"/>
    <w:rsid w:val="006E4773"/>
    <w:rsid w:val="006E4966"/>
    <w:rsid w:val="006E49AD"/>
    <w:rsid w:val="006E49B9"/>
    <w:rsid w:val="006E4AED"/>
    <w:rsid w:val="006E4BA3"/>
    <w:rsid w:val="006E4DD0"/>
    <w:rsid w:val="006E52DE"/>
    <w:rsid w:val="006E5403"/>
    <w:rsid w:val="006E58A7"/>
    <w:rsid w:val="006E5B0D"/>
    <w:rsid w:val="006E5E6C"/>
    <w:rsid w:val="006E5F15"/>
    <w:rsid w:val="006E5FEA"/>
    <w:rsid w:val="006E6045"/>
    <w:rsid w:val="006E60EB"/>
    <w:rsid w:val="006E62FE"/>
    <w:rsid w:val="006E63BB"/>
    <w:rsid w:val="006E6438"/>
    <w:rsid w:val="006E6492"/>
    <w:rsid w:val="006E64BA"/>
    <w:rsid w:val="006E67F2"/>
    <w:rsid w:val="006E69E1"/>
    <w:rsid w:val="006E6AE7"/>
    <w:rsid w:val="006E6CAD"/>
    <w:rsid w:val="006E6E14"/>
    <w:rsid w:val="006E6EC4"/>
    <w:rsid w:val="006E70E4"/>
    <w:rsid w:val="006E719E"/>
    <w:rsid w:val="006E71B4"/>
    <w:rsid w:val="006E721C"/>
    <w:rsid w:val="006E7271"/>
    <w:rsid w:val="006E7360"/>
    <w:rsid w:val="006E7659"/>
    <w:rsid w:val="006E7733"/>
    <w:rsid w:val="006E7791"/>
    <w:rsid w:val="006E77AA"/>
    <w:rsid w:val="006E7A1B"/>
    <w:rsid w:val="006E7A56"/>
    <w:rsid w:val="006E7ECF"/>
    <w:rsid w:val="006E7F34"/>
    <w:rsid w:val="006F0025"/>
    <w:rsid w:val="006F0260"/>
    <w:rsid w:val="006F06F5"/>
    <w:rsid w:val="006F0B19"/>
    <w:rsid w:val="006F0D9F"/>
    <w:rsid w:val="006F0E34"/>
    <w:rsid w:val="006F1863"/>
    <w:rsid w:val="006F1978"/>
    <w:rsid w:val="006F1990"/>
    <w:rsid w:val="006F1BB2"/>
    <w:rsid w:val="006F1DBD"/>
    <w:rsid w:val="006F1E81"/>
    <w:rsid w:val="006F1F64"/>
    <w:rsid w:val="006F219A"/>
    <w:rsid w:val="006F22B7"/>
    <w:rsid w:val="006F2418"/>
    <w:rsid w:val="006F24C6"/>
    <w:rsid w:val="006F2580"/>
    <w:rsid w:val="006F2606"/>
    <w:rsid w:val="006F2A73"/>
    <w:rsid w:val="006F2A7C"/>
    <w:rsid w:val="006F2D5E"/>
    <w:rsid w:val="006F2DA3"/>
    <w:rsid w:val="006F2F9C"/>
    <w:rsid w:val="006F307A"/>
    <w:rsid w:val="006F326C"/>
    <w:rsid w:val="006F362E"/>
    <w:rsid w:val="006F3648"/>
    <w:rsid w:val="006F375C"/>
    <w:rsid w:val="006F3789"/>
    <w:rsid w:val="006F3D79"/>
    <w:rsid w:val="006F3E7E"/>
    <w:rsid w:val="006F3F76"/>
    <w:rsid w:val="006F4039"/>
    <w:rsid w:val="006F41A1"/>
    <w:rsid w:val="006F4402"/>
    <w:rsid w:val="006F4784"/>
    <w:rsid w:val="006F4920"/>
    <w:rsid w:val="006F4AAB"/>
    <w:rsid w:val="006F4E27"/>
    <w:rsid w:val="006F4F60"/>
    <w:rsid w:val="006F506E"/>
    <w:rsid w:val="006F52BE"/>
    <w:rsid w:val="006F5378"/>
    <w:rsid w:val="006F53F6"/>
    <w:rsid w:val="006F5470"/>
    <w:rsid w:val="006F54FE"/>
    <w:rsid w:val="006F5596"/>
    <w:rsid w:val="006F569E"/>
    <w:rsid w:val="006F5858"/>
    <w:rsid w:val="006F62E1"/>
    <w:rsid w:val="006F6447"/>
    <w:rsid w:val="006F6459"/>
    <w:rsid w:val="006F64CB"/>
    <w:rsid w:val="006F65E6"/>
    <w:rsid w:val="006F679F"/>
    <w:rsid w:val="006F69DE"/>
    <w:rsid w:val="006F6A3C"/>
    <w:rsid w:val="006F6AE3"/>
    <w:rsid w:val="006F6D47"/>
    <w:rsid w:val="006F6E57"/>
    <w:rsid w:val="006F7050"/>
    <w:rsid w:val="006F7345"/>
    <w:rsid w:val="006F734F"/>
    <w:rsid w:val="006F73EC"/>
    <w:rsid w:val="006F7711"/>
    <w:rsid w:val="006F786F"/>
    <w:rsid w:val="006F7894"/>
    <w:rsid w:val="006F7895"/>
    <w:rsid w:val="006F7CED"/>
    <w:rsid w:val="006F7D94"/>
    <w:rsid w:val="006F7E32"/>
    <w:rsid w:val="006F7E9D"/>
    <w:rsid w:val="007004A7"/>
    <w:rsid w:val="007004BD"/>
    <w:rsid w:val="00700535"/>
    <w:rsid w:val="00700568"/>
    <w:rsid w:val="00700586"/>
    <w:rsid w:val="0070060D"/>
    <w:rsid w:val="0070093B"/>
    <w:rsid w:val="00700C17"/>
    <w:rsid w:val="00700EA7"/>
    <w:rsid w:val="00700FB4"/>
    <w:rsid w:val="0070141C"/>
    <w:rsid w:val="00701465"/>
    <w:rsid w:val="007014AE"/>
    <w:rsid w:val="007014BB"/>
    <w:rsid w:val="00701570"/>
    <w:rsid w:val="007015A2"/>
    <w:rsid w:val="0070178E"/>
    <w:rsid w:val="0070181A"/>
    <w:rsid w:val="007019A0"/>
    <w:rsid w:val="00701D1C"/>
    <w:rsid w:val="00701D2E"/>
    <w:rsid w:val="00701E74"/>
    <w:rsid w:val="00702003"/>
    <w:rsid w:val="0070208F"/>
    <w:rsid w:val="00702095"/>
    <w:rsid w:val="007022CC"/>
    <w:rsid w:val="00702456"/>
    <w:rsid w:val="007029F0"/>
    <w:rsid w:val="007029FD"/>
    <w:rsid w:val="00702BC3"/>
    <w:rsid w:val="00702F10"/>
    <w:rsid w:val="00702F89"/>
    <w:rsid w:val="007031D4"/>
    <w:rsid w:val="00703291"/>
    <w:rsid w:val="00703397"/>
    <w:rsid w:val="0070364B"/>
    <w:rsid w:val="0070368C"/>
    <w:rsid w:val="007037C8"/>
    <w:rsid w:val="007039CD"/>
    <w:rsid w:val="00703C0B"/>
    <w:rsid w:val="00703CFB"/>
    <w:rsid w:val="00703DE9"/>
    <w:rsid w:val="00703E64"/>
    <w:rsid w:val="00703E81"/>
    <w:rsid w:val="00704052"/>
    <w:rsid w:val="007040F5"/>
    <w:rsid w:val="00704119"/>
    <w:rsid w:val="0070429D"/>
    <w:rsid w:val="007046F5"/>
    <w:rsid w:val="00704829"/>
    <w:rsid w:val="00704B2A"/>
    <w:rsid w:val="00704EC0"/>
    <w:rsid w:val="00704F2C"/>
    <w:rsid w:val="00704F64"/>
    <w:rsid w:val="0070506E"/>
    <w:rsid w:val="007050BC"/>
    <w:rsid w:val="00705294"/>
    <w:rsid w:val="00705704"/>
    <w:rsid w:val="0070572D"/>
    <w:rsid w:val="0070593D"/>
    <w:rsid w:val="00705AEC"/>
    <w:rsid w:val="00705B1B"/>
    <w:rsid w:val="00705BA1"/>
    <w:rsid w:val="00705DA2"/>
    <w:rsid w:val="00705E33"/>
    <w:rsid w:val="0070633E"/>
    <w:rsid w:val="0070638A"/>
    <w:rsid w:val="007064C9"/>
    <w:rsid w:val="007067DF"/>
    <w:rsid w:val="00706909"/>
    <w:rsid w:val="00706A6B"/>
    <w:rsid w:val="00706E20"/>
    <w:rsid w:val="00706EE5"/>
    <w:rsid w:val="00707175"/>
    <w:rsid w:val="0070732C"/>
    <w:rsid w:val="0070768A"/>
    <w:rsid w:val="00707691"/>
    <w:rsid w:val="00707759"/>
    <w:rsid w:val="00707760"/>
    <w:rsid w:val="00707B49"/>
    <w:rsid w:val="00707B6A"/>
    <w:rsid w:val="00707E07"/>
    <w:rsid w:val="00707E33"/>
    <w:rsid w:val="00707E43"/>
    <w:rsid w:val="0071059F"/>
    <w:rsid w:val="0071068B"/>
    <w:rsid w:val="0071069D"/>
    <w:rsid w:val="0071072E"/>
    <w:rsid w:val="00710BFA"/>
    <w:rsid w:val="00710D18"/>
    <w:rsid w:val="00710D24"/>
    <w:rsid w:val="00710DF8"/>
    <w:rsid w:val="007113E0"/>
    <w:rsid w:val="007114DD"/>
    <w:rsid w:val="0071152C"/>
    <w:rsid w:val="00711530"/>
    <w:rsid w:val="007115E7"/>
    <w:rsid w:val="0071195F"/>
    <w:rsid w:val="007119BA"/>
    <w:rsid w:val="00711A32"/>
    <w:rsid w:val="00711AE6"/>
    <w:rsid w:val="00711B89"/>
    <w:rsid w:val="00712118"/>
    <w:rsid w:val="007123E2"/>
    <w:rsid w:val="0071251C"/>
    <w:rsid w:val="00712634"/>
    <w:rsid w:val="00712776"/>
    <w:rsid w:val="0071287B"/>
    <w:rsid w:val="007129A8"/>
    <w:rsid w:val="00712A40"/>
    <w:rsid w:val="00712B6A"/>
    <w:rsid w:val="007130B4"/>
    <w:rsid w:val="007130E7"/>
    <w:rsid w:val="007134B9"/>
    <w:rsid w:val="007134CC"/>
    <w:rsid w:val="007134E5"/>
    <w:rsid w:val="007137D6"/>
    <w:rsid w:val="0071380F"/>
    <w:rsid w:val="0071397D"/>
    <w:rsid w:val="00713AAE"/>
    <w:rsid w:val="00713BF0"/>
    <w:rsid w:val="00713CCF"/>
    <w:rsid w:val="00713CF1"/>
    <w:rsid w:val="00713D2D"/>
    <w:rsid w:val="00713D6D"/>
    <w:rsid w:val="00713D7B"/>
    <w:rsid w:val="00713E46"/>
    <w:rsid w:val="00713ECF"/>
    <w:rsid w:val="00713ED8"/>
    <w:rsid w:val="00713FED"/>
    <w:rsid w:val="00713FF2"/>
    <w:rsid w:val="0071404D"/>
    <w:rsid w:val="007142CF"/>
    <w:rsid w:val="00714382"/>
    <w:rsid w:val="0071440D"/>
    <w:rsid w:val="00714478"/>
    <w:rsid w:val="0071468F"/>
    <w:rsid w:val="00714700"/>
    <w:rsid w:val="00714A9B"/>
    <w:rsid w:val="00714CA2"/>
    <w:rsid w:val="00714CF7"/>
    <w:rsid w:val="00714EAA"/>
    <w:rsid w:val="00714EEE"/>
    <w:rsid w:val="00714F1F"/>
    <w:rsid w:val="00715433"/>
    <w:rsid w:val="007155E1"/>
    <w:rsid w:val="00715693"/>
    <w:rsid w:val="00715960"/>
    <w:rsid w:val="00715A61"/>
    <w:rsid w:val="00715ABA"/>
    <w:rsid w:val="00715AC1"/>
    <w:rsid w:val="00715BB9"/>
    <w:rsid w:val="00715C71"/>
    <w:rsid w:val="00715D1B"/>
    <w:rsid w:val="00715EC1"/>
    <w:rsid w:val="00715F59"/>
    <w:rsid w:val="00716062"/>
    <w:rsid w:val="00716064"/>
    <w:rsid w:val="00716136"/>
    <w:rsid w:val="007163CA"/>
    <w:rsid w:val="00716572"/>
    <w:rsid w:val="0071660B"/>
    <w:rsid w:val="007168AF"/>
    <w:rsid w:val="0071693A"/>
    <w:rsid w:val="00716D06"/>
    <w:rsid w:val="00716E5E"/>
    <w:rsid w:val="00716F26"/>
    <w:rsid w:val="00716F37"/>
    <w:rsid w:val="00717116"/>
    <w:rsid w:val="00717184"/>
    <w:rsid w:val="0071718C"/>
    <w:rsid w:val="00717205"/>
    <w:rsid w:val="00717421"/>
    <w:rsid w:val="007174E6"/>
    <w:rsid w:val="0071760B"/>
    <w:rsid w:val="00717690"/>
    <w:rsid w:val="00717709"/>
    <w:rsid w:val="00717A1D"/>
    <w:rsid w:val="00717A94"/>
    <w:rsid w:val="00717B6E"/>
    <w:rsid w:val="00717CF5"/>
    <w:rsid w:val="00717F88"/>
    <w:rsid w:val="00720026"/>
    <w:rsid w:val="00720397"/>
    <w:rsid w:val="00720673"/>
    <w:rsid w:val="00720792"/>
    <w:rsid w:val="00720AAC"/>
    <w:rsid w:val="00720B01"/>
    <w:rsid w:val="00720D59"/>
    <w:rsid w:val="00720D7D"/>
    <w:rsid w:val="00720FBC"/>
    <w:rsid w:val="00720FEE"/>
    <w:rsid w:val="0072105A"/>
    <w:rsid w:val="00721870"/>
    <w:rsid w:val="00721972"/>
    <w:rsid w:val="00721AAF"/>
    <w:rsid w:val="00721B2A"/>
    <w:rsid w:val="00721DD0"/>
    <w:rsid w:val="00721E91"/>
    <w:rsid w:val="0072205C"/>
    <w:rsid w:val="007222DC"/>
    <w:rsid w:val="00722743"/>
    <w:rsid w:val="00722754"/>
    <w:rsid w:val="007228B1"/>
    <w:rsid w:val="00722CCA"/>
    <w:rsid w:val="00722D9A"/>
    <w:rsid w:val="00722E43"/>
    <w:rsid w:val="00722F6C"/>
    <w:rsid w:val="00723241"/>
    <w:rsid w:val="0072324B"/>
    <w:rsid w:val="00723271"/>
    <w:rsid w:val="00723274"/>
    <w:rsid w:val="0072335D"/>
    <w:rsid w:val="00723752"/>
    <w:rsid w:val="00723868"/>
    <w:rsid w:val="00723AF5"/>
    <w:rsid w:val="00723B1E"/>
    <w:rsid w:val="00723D5C"/>
    <w:rsid w:val="0072461C"/>
    <w:rsid w:val="007246BB"/>
    <w:rsid w:val="007247C1"/>
    <w:rsid w:val="00724997"/>
    <w:rsid w:val="007249E3"/>
    <w:rsid w:val="00724B25"/>
    <w:rsid w:val="00724E34"/>
    <w:rsid w:val="007253A9"/>
    <w:rsid w:val="007254EC"/>
    <w:rsid w:val="007255DE"/>
    <w:rsid w:val="007255F4"/>
    <w:rsid w:val="007256D4"/>
    <w:rsid w:val="0072582D"/>
    <w:rsid w:val="0072585E"/>
    <w:rsid w:val="00725978"/>
    <w:rsid w:val="00725A49"/>
    <w:rsid w:val="00725EB1"/>
    <w:rsid w:val="00725ED7"/>
    <w:rsid w:val="00725F0F"/>
    <w:rsid w:val="00726001"/>
    <w:rsid w:val="00726063"/>
    <w:rsid w:val="0072610A"/>
    <w:rsid w:val="0072612E"/>
    <w:rsid w:val="0072616D"/>
    <w:rsid w:val="007261AB"/>
    <w:rsid w:val="007263DB"/>
    <w:rsid w:val="00726BFC"/>
    <w:rsid w:val="00726D28"/>
    <w:rsid w:val="00727350"/>
    <w:rsid w:val="00727394"/>
    <w:rsid w:val="00727575"/>
    <w:rsid w:val="007275D1"/>
    <w:rsid w:val="00727642"/>
    <w:rsid w:val="00727649"/>
    <w:rsid w:val="007278DE"/>
    <w:rsid w:val="00727A6B"/>
    <w:rsid w:val="00727C0D"/>
    <w:rsid w:val="00727C8D"/>
    <w:rsid w:val="007302DC"/>
    <w:rsid w:val="0073037B"/>
    <w:rsid w:val="00730956"/>
    <w:rsid w:val="007309F1"/>
    <w:rsid w:val="00730A2D"/>
    <w:rsid w:val="00730A7C"/>
    <w:rsid w:val="00730B72"/>
    <w:rsid w:val="00730FC1"/>
    <w:rsid w:val="00731032"/>
    <w:rsid w:val="0073119E"/>
    <w:rsid w:val="007312EB"/>
    <w:rsid w:val="0073139B"/>
    <w:rsid w:val="0073172A"/>
    <w:rsid w:val="007319FA"/>
    <w:rsid w:val="00731ED4"/>
    <w:rsid w:val="00732225"/>
    <w:rsid w:val="00732765"/>
    <w:rsid w:val="007327DC"/>
    <w:rsid w:val="00732BC3"/>
    <w:rsid w:val="00733038"/>
    <w:rsid w:val="007331E7"/>
    <w:rsid w:val="007334BA"/>
    <w:rsid w:val="00733657"/>
    <w:rsid w:val="0073386A"/>
    <w:rsid w:val="007338EF"/>
    <w:rsid w:val="0073391A"/>
    <w:rsid w:val="00733DD5"/>
    <w:rsid w:val="0073406B"/>
    <w:rsid w:val="00734389"/>
    <w:rsid w:val="00734703"/>
    <w:rsid w:val="00734A0A"/>
    <w:rsid w:val="00734A95"/>
    <w:rsid w:val="00734ABF"/>
    <w:rsid w:val="00734BD8"/>
    <w:rsid w:val="00734CA4"/>
    <w:rsid w:val="00734F37"/>
    <w:rsid w:val="0073502B"/>
    <w:rsid w:val="0073506C"/>
    <w:rsid w:val="007352E9"/>
    <w:rsid w:val="00735387"/>
    <w:rsid w:val="007353F9"/>
    <w:rsid w:val="00735619"/>
    <w:rsid w:val="00735794"/>
    <w:rsid w:val="00735838"/>
    <w:rsid w:val="00735983"/>
    <w:rsid w:val="0073598D"/>
    <w:rsid w:val="00735A07"/>
    <w:rsid w:val="00735A7D"/>
    <w:rsid w:val="00735BF8"/>
    <w:rsid w:val="00735E5C"/>
    <w:rsid w:val="00735FDE"/>
    <w:rsid w:val="00736298"/>
    <w:rsid w:val="0073637F"/>
    <w:rsid w:val="007367C0"/>
    <w:rsid w:val="00736BA4"/>
    <w:rsid w:val="00736E5E"/>
    <w:rsid w:val="00736EB0"/>
    <w:rsid w:val="0073720A"/>
    <w:rsid w:val="007372ED"/>
    <w:rsid w:val="007375A6"/>
    <w:rsid w:val="007378CC"/>
    <w:rsid w:val="00737959"/>
    <w:rsid w:val="00737AEF"/>
    <w:rsid w:val="00737D9F"/>
    <w:rsid w:val="00737F77"/>
    <w:rsid w:val="00737F83"/>
    <w:rsid w:val="00740339"/>
    <w:rsid w:val="007404C6"/>
    <w:rsid w:val="007406DB"/>
    <w:rsid w:val="00740769"/>
    <w:rsid w:val="00740804"/>
    <w:rsid w:val="00740820"/>
    <w:rsid w:val="007408AB"/>
    <w:rsid w:val="0074092D"/>
    <w:rsid w:val="00740968"/>
    <w:rsid w:val="00740B04"/>
    <w:rsid w:val="00740B86"/>
    <w:rsid w:val="00740DE1"/>
    <w:rsid w:val="00740E21"/>
    <w:rsid w:val="00740E2E"/>
    <w:rsid w:val="00740EF8"/>
    <w:rsid w:val="00740F4D"/>
    <w:rsid w:val="0074110B"/>
    <w:rsid w:val="0074125A"/>
    <w:rsid w:val="00741477"/>
    <w:rsid w:val="007416F6"/>
    <w:rsid w:val="00741729"/>
    <w:rsid w:val="007417FA"/>
    <w:rsid w:val="00741A16"/>
    <w:rsid w:val="00741AD4"/>
    <w:rsid w:val="00741BE8"/>
    <w:rsid w:val="00741CDF"/>
    <w:rsid w:val="00741D26"/>
    <w:rsid w:val="007420E7"/>
    <w:rsid w:val="007420EC"/>
    <w:rsid w:val="00742276"/>
    <w:rsid w:val="007425B3"/>
    <w:rsid w:val="007425FA"/>
    <w:rsid w:val="00742730"/>
    <w:rsid w:val="00742B98"/>
    <w:rsid w:val="00742CEB"/>
    <w:rsid w:val="00742CF1"/>
    <w:rsid w:val="00742D1A"/>
    <w:rsid w:val="00742D93"/>
    <w:rsid w:val="00742DF1"/>
    <w:rsid w:val="00742F0C"/>
    <w:rsid w:val="00743411"/>
    <w:rsid w:val="007437CD"/>
    <w:rsid w:val="00743947"/>
    <w:rsid w:val="00743B84"/>
    <w:rsid w:val="00743EE8"/>
    <w:rsid w:val="007440CA"/>
    <w:rsid w:val="0074435C"/>
    <w:rsid w:val="007447AC"/>
    <w:rsid w:val="00744880"/>
    <w:rsid w:val="007448DE"/>
    <w:rsid w:val="007448EC"/>
    <w:rsid w:val="00744A73"/>
    <w:rsid w:val="00744D03"/>
    <w:rsid w:val="00744F9A"/>
    <w:rsid w:val="00745044"/>
    <w:rsid w:val="00745126"/>
    <w:rsid w:val="00745279"/>
    <w:rsid w:val="0074529F"/>
    <w:rsid w:val="007454D4"/>
    <w:rsid w:val="007457D3"/>
    <w:rsid w:val="00745985"/>
    <w:rsid w:val="00745B2F"/>
    <w:rsid w:val="00745D54"/>
    <w:rsid w:val="007460AE"/>
    <w:rsid w:val="007460C4"/>
    <w:rsid w:val="007461B0"/>
    <w:rsid w:val="007461EA"/>
    <w:rsid w:val="007462B6"/>
    <w:rsid w:val="007462ED"/>
    <w:rsid w:val="0074650B"/>
    <w:rsid w:val="0074656A"/>
    <w:rsid w:val="007465A0"/>
    <w:rsid w:val="007465E4"/>
    <w:rsid w:val="00746776"/>
    <w:rsid w:val="00746B92"/>
    <w:rsid w:val="00746DA6"/>
    <w:rsid w:val="00746E9F"/>
    <w:rsid w:val="00746F81"/>
    <w:rsid w:val="00746FDF"/>
    <w:rsid w:val="007471D8"/>
    <w:rsid w:val="00747295"/>
    <w:rsid w:val="0074731B"/>
    <w:rsid w:val="00747423"/>
    <w:rsid w:val="00747447"/>
    <w:rsid w:val="007474FE"/>
    <w:rsid w:val="007475CD"/>
    <w:rsid w:val="00747BC7"/>
    <w:rsid w:val="00747E38"/>
    <w:rsid w:val="0075020A"/>
    <w:rsid w:val="0075023F"/>
    <w:rsid w:val="00750321"/>
    <w:rsid w:val="00750367"/>
    <w:rsid w:val="007503B7"/>
    <w:rsid w:val="0075058B"/>
    <w:rsid w:val="0075072A"/>
    <w:rsid w:val="0075083D"/>
    <w:rsid w:val="007509CA"/>
    <w:rsid w:val="00750A84"/>
    <w:rsid w:val="00750AB8"/>
    <w:rsid w:val="00750DF1"/>
    <w:rsid w:val="00750EB1"/>
    <w:rsid w:val="00751055"/>
    <w:rsid w:val="007512A1"/>
    <w:rsid w:val="00751410"/>
    <w:rsid w:val="0075142D"/>
    <w:rsid w:val="00751B17"/>
    <w:rsid w:val="00751BB6"/>
    <w:rsid w:val="00751BF2"/>
    <w:rsid w:val="00751D31"/>
    <w:rsid w:val="007520FA"/>
    <w:rsid w:val="007526A0"/>
    <w:rsid w:val="007528A3"/>
    <w:rsid w:val="00752A51"/>
    <w:rsid w:val="00752A7E"/>
    <w:rsid w:val="00752AF8"/>
    <w:rsid w:val="00752DDA"/>
    <w:rsid w:val="00752F52"/>
    <w:rsid w:val="007531FF"/>
    <w:rsid w:val="00753209"/>
    <w:rsid w:val="0075325B"/>
    <w:rsid w:val="00753351"/>
    <w:rsid w:val="00753379"/>
    <w:rsid w:val="00753473"/>
    <w:rsid w:val="0075359F"/>
    <w:rsid w:val="0075380A"/>
    <w:rsid w:val="00753A7B"/>
    <w:rsid w:val="00753CE8"/>
    <w:rsid w:val="00753D09"/>
    <w:rsid w:val="00753E87"/>
    <w:rsid w:val="0075438E"/>
    <w:rsid w:val="00754485"/>
    <w:rsid w:val="0075448D"/>
    <w:rsid w:val="0075461D"/>
    <w:rsid w:val="007547D2"/>
    <w:rsid w:val="00754804"/>
    <w:rsid w:val="007549AF"/>
    <w:rsid w:val="00754AB3"/>
    <w:rsid w:val="00754B2D"/>
    <w:rsid w:val="00754B4F"/>
    <w:rsid w:val="00754C43"/>
    <w:rsid w:val="00754D76"/>
    <w:rsid w:val="00754DCB"/>
    <w:rsid w:val="00754E30"/>
    <w:rsid w:val="0075507B"/>
    <w:rsid w:val="0075529C"/>
    <w:rsid w:val="0075539F"/>
    <w:rsid w:val="0075564B"/>
    <w:rsid w:val="007558A4"/>
    <w:rsid w:val="007558DC"/>
    <w:rsid w:val="00755BAC"/>
    <w:rsid w:val="00755D5B"/>
    <w:rsid w:val="00755EAA"/>
    <w:rsid w:val="0075637C"/>
    <w:rsid w:val="0075637D"/>
    <w:rsid w:val="007564E0"/>
    <w:rsid w:val="007565A4"/>
    <w:rsid w:val="007565B9"/>
    <w:rsid w:val="007566E8"/>
    <w:rsid w:val="00756831"/>
    <w:rsid w:val="00756857"/>
    <w:rsid w:val="00756A96"/>
    <w:rsid w:val="00756ACE"/>
    <w:rsid w:val="00756F2E"/>
    <w:rsid w:val="00757142"/>
    <w:rsid w:val="007572B7"/>
    <w:rsid w:val="0075750F"/>
    <w:rsid w:val="007576A4"/>
    <w:rsid w:val="00757753"/>
    <w:rsid w:val="00757AFF"/>
    <w:rsid w:val="00757B59"/>
    <w:rsid w:val="00757CFC"/>
    <w:rsid w:val="00757E74"/>
    <w:rsid w:val="00757F62"/>
    <w:rsid w:val="007601A0"/>
    <w:rsid w:val="0076032B"/>
    <w:rsid w:val="007607E4"/>
    <w:rsid w:val="007608BC"/>
    <w:rsid w:val="00760A15"/>
    <w:rsid w:val="00760C71"/>
    <w:rsid w:val="00760FBE"/>
    <w:rsid w:val="00761481"/>
    <w:rsid w:val="007615B8"/>
    <w:rsid w:val="00761935"/>
    <w:rsid w:val="00761DD9"/>
    <w:rsid w:val="00761FFD"/>
    <w:rsid w:val="00762034"/>
    <w:rsid w:val="007621CA"/>
    <w:rsid w:val="00762273"/>
    <w:rsid w:val="00762314"/>
    <w:rsid w:val="007625DD"/>
    <w:rsid w:val="00762742"/>
    <w:rsid w:val="0076282A"/>
    <w:rsid w:val="00762876"/>
    <w:rsid w:val="00763327"/>
    <w:rsid w:val="0076338D"/>
    <w:rsid w:val="0076339F"/>
    <w:rsid w:val="007633B3"/>
    <w:rsid w:val="00763572"/>
    <w:rsid w:val="00763716"/>
    <w:rsid w:val="00763A65"/>
    <w:rsid w:val="00763A8F"/>
    <w:rsid w:val="00763A97"/>
    <w:rsid w:val="00763BF9"/>
    <w:rsid w:val="00763C39"/>
    <w:rsid w:val="007640EF"/>
    <w:rsid w:val="007641CD"/>
    <w:rsid w:val="00764379"/>
    <w:rsid w:val="0076448C"/>
    <w:rsid w:val="007644C2"/>
    <w:rsid w:val="0076450D"/>
    <w:rsid w:val="00764532"/>
    <w:rsid w:val="00764588"/>
    <w:rsid w:val="007649F8"/>
    <w:rsid w:val="00764B1B"/>
    <w:rsid w:val="00764B25"/>
    <w:rsid w:val="00764C6F"/>
    <w:rsid w:val="00764DFD"/>
    <w:rsid w:val="00764FD4"/>
    <w:rsid w:val="007657A5"/>
    <w:rsid w:val="00765C3D"/>
    <w:rsid w:val="00765DAC"/>
    <w:rsid w:val="00765DB9"/>
    <w:rsid w:val="00765EA8"/>
    <w:rsid w:val="00765EE9"/>
    <w:rsid w:val="00766342"/>
    <w:rsid w:val="0076685C"/>
    <w:rsid w:val="00766D22"/>
    <w:rsid w:val="00766DFE"/>
    <w:rsid w:val="00766E20"/>
    <w:rsid w:val="00766F37"/>
    <w:rsid w:val="00767047"/>
    <w:rsid w:val="007670AF"/>
    <w:rsid w:val="00767276"/>
    <w:rsid w:val="00767420"/>
    <w:rsid w:val="00767520"/>
    <w:rsid w:val="007675F2"/>
    <w:rsid w:val="00767AE2"/>
    <w:rsid w:val="00767B77"/>
    <w:rsid w:val="00767C1B"/>
    <w:rsid w:val="00767D86"/>
    <w:rsid w:val="00770153"/>
    <w:rsid w:val="00770155"/>
    <w:rsid w:val="007702DD"/>
    <w:rsid w:val="00770728"/>
    <w:rsid w:val="00770B1E"/>
    <w:rsid w:val="00770B2E"/>
    <w:rsid w:val="00770BB1"/>
    <w:rsid w:val="00771046"/>
    <w:rsid w:val="00771439"/>
    <w:rsid w:val="00771624"/>
    <w:rsid w:val="00771776"/>
    <w:rsid w:val="00771782"/>
    <w:rsid w:val="00771836"/>
    <w:rsid w:val="00771AE9"/>
    <w:rsid w:val="00771DCB"/>
    <w:rsid w:val="00771DF6"/>
    <w:rsid w:val="00771F28"/>
    <w:rsid w:val="00772066"/>
    <w:rsid w:val="00772772"/>
    <w:rsid w:val="00772846"/>
    <w:rsid w:val="00772A12"/>
    <w:rsid w:val="00772BC8"/>
    <w:rsid w:val="00772FAA"/>
    <w:rsid w:val="00772FE4"/>
    <w:rsid w:val="0077315B"/>
    <w:rsid w:val="0077319B"/>
    <w:rsid w:val="00773268"/>
    <w:rsid w:val="007732AE"/>
    <w:rsid w:val="007732BC"/>
    <w:rsid w:val="0077353B"/>
    <w:rsid w:val="0077358D"/>
    <w:rsid w:val="007736B2"/>
    <w:rsid w:val="00773748"/>
    <w:rsid w:val="0077383F"/>
    <w:rsid w:val="00773C87"/>
    <w:rsid w:val="00773DDE"/>
    <w:rsid w:val="00774128"/>
    <w:rsid w:val="0077440C"/>
    <w:rsid w:val="00774433"/>
    <w:rsid w:val="00774666"/>
    <w:rsid w:val="0077471E"/>
    <w:rsid w:val="00774852"/>
    <w:rsid w:val="007748E9"/>
    <w:rsid w:val="00774966"/>
    <w:rsid w:val="00774A33"/>
    <w:rsid w:val="00774DC9"/>
    <w:rsid w:val="007750FE"/>
    <w:rsid w:val="007754F5"/>
    <w:rsid w:val="00775576"/>
    <w:rsid w:val="007756D6"/>
    <w:rsid w:val="00775781"/>
    <w:rsid w:val="00775807"/>
    <w:rsid w:val="00775DBC"/>
    <w:rsid w:val="00775F12"/>
    <w:rsid w:val="007760AA"/>
    <w:rsid w:val="00776383"/>
    <w:rsid w:val="007763B9"/>
    <w:rsid w:val="0077648F"/>
    <w:rsid w:val="007766B4"/>
    <w:rsid w:val="007766F9"/>
    <w:rsid w:val="00776707"/>
    <w:rsid w:val="007768FB"/>
    <w:rsid w:val="00776AB2"/>
    <w:rsid w:val="00776C76"/>
    <w:rsid w:val="00776E24"/>
    <w:rsid w:val="00776EDC"/>
    <w:rsid w:val="007770B3"/>
    <w:rsid w:val="007772C5"/>
    <w:rsid w:val="0077742E"/>
    <w:rsid w:val="0077745B"/>
    <w:rsid w:val="0077760D"/>
    <w:rsid w:val="00777854"/>
    <w:rsid w:val="00777907"/>
    <w:rsid w:val="00777B9F"/>
    <w:rsid w:val="00777BB9"/>
    <w:rsid w:val="00777C3A"/>
    <w:rsid w:val="00777D50"/>
    <w:rsid w:val="00777E79"/>
    <w:rsid w:val="00777F16"/>
    <w:rsid w:val="00777FFA"/>
    <w:rsid w:val="0078039E"/>
    <w:rsid w:val="007806EF"/>
    <w:rsid w:val="00780960"/>
    <w:rsid w:val="00780BEE"/>
    <w:rsid w:val="00780C35"/>
    <w:rsid w:val="00780F66"/>
    <w:rsid w:val="007810D6"/>
    <w:rsid w:val="0078128E"/>
    <w:rsid w:val="00781433"/>
    <w:rsid w:val="00781A45"/>
    <w:rsid w:val="00781C3A"/>
    <w:rsid w:val="00781E07"/>
    <w:rsid w:val="00781F34"/>
    <w:rsid w:val="00781FE7"/>
    <w:rsid w:val="0078200C"/>
    <w:rsid w:val="00782B72"/>
    <w:rsid w:val="00782CF6"/>
    <w:rsid w:val="00782D63"/>
    <w:rsid w:val="00783078"/>
    <w:rsid w:val="007833F0"/>
    <w:rsid w:val="00783811"/>
    <w:rsid w:val="007838F3"/>
    <w:rsid w:val="00783E46"/>
    <w:rsid w:val="00783FF9"/>
    <w:rsid w:val="0078413B"/>
    <w:rsid w:val="007842B7"/>
    <w:rsid w:val="0078446C"/>
    <w:rsid w:val="00784474"/>
    <w:rsid w:val="007844BC"/>
    <w:rsid w:val="007844EF"/>
    <w:rsid w:val="007846C3"/>
    <w:rsid w:val="00784739"/>
    <w:rsid w:val="00784798"/>
    <w:rsid w:val="007848E4"/>
    <w:rsid w:val="00784A5B"/>
    <w:rsid w:val="00784DF5"/>
    <w:rsid w:val="00784EA1"/>
    <w:rsid w:val="0078550C"/>
    <w:rsid w:val="007859B0"/>
    <w:rsid w:val="00785DD3"/>
    <w:rsid w:val="00785EC3"/>
    <w:rsid w:val="007860FF"/>
    <w:rsid w:val="007861A6"/>
    <w:rsid w:val="007863FE"/>
    <w:rsid w:val="0078680C"/>
    <w:rsid w:val="007868E4"/>
    <w:rsid w:val="00786C20"/>
    <w:rsid w:val="00786D2E"/>
    <w:rsid w:val="00786D4B"/>
    <w:rsid w:val="00786F16"/>
    <w:rsid w:val="00787128"/>
    <w:rsid w:val="00787348"/>
    <w:rsid w:val="0078755C"/>
    <w:rsid w:val="0078759F"/>
    <w:rsid w:val="007875B7"/>
    <w:rsid w:val="00787825"/>
    <w:rsid w:val="007879E7"/>
    <w:rsid w:val="00787B6E"/>
    <w:rsid w:val="00787C8A"/>
    <w:rsid w:val="00787CED"/>
    <w:rsid w:val="00787DEE"/>
    <w:rsid w:val="00787EA4"/>
    <w:rsid w:val="00790146"/>
    <w:rsid w:val="0079017E"/>
    <w:rsid w:val="007901D0"/>
    <w:rsid w:val="007901EC"/>
    <w:rsid w:val="00790344"/>
    <w:rsid w:val="0079035E"/>
    <w:rsid w:val="007904F8"/>
    <w:rsid w:val="007908ED"/>
    <w:rsid w:val="00790A78"/>
    <w:rsid w:val="00790ABB"/>
    <w:rsid w:val="00790DB5"/>
    <w:rsid w:val="00790E1D"/>
    <w:rsid w:val="00791196"/>
    <w:rsid w:val="00791378"/>
    <w:rsid w:val="0079171F"/>
    <w:rsid w:val="00791F23"/>
    <w:rsid w:val="00791FA3"/>
    <w:rsid w:val="0079200A"/>
    <w:rsid w:val="00792116"/>
    <w:rsid w:val="00792136"/>
    <w:rsid w:val="0079224E"/>
    <w:rsid w:val="00792322"/>
    <w:rsid w:val="00792521"/>
    <w:rsid w:val="00792708"/>
    <w:rsid w:val="00792ABD"/>
    <w:rsid w:val="00792BE7"/>
    <w:rsid w:val="00792D62"/>
    <w:rsid w:val="00792FE9"/>
    <w:rsid w:val="00793179"/>
    <w:rsid w:val="00793409"/>
    <w:rsid w:val="007934C4"/>
    <w:rsid w:val="007935D5"/>
    <w:rsid w:val="00793620"/>
    <w:rsid w:val="00793751"/>
    <w:rsid w:val="00793788"/>
    <w:rsid w:val="007937E1"/>
    <w:rsid w:val="0079385A"/>
    <w:rsid w:val="007938AD"/>
    <w:rsid w:val="0079397E"/>
    <w:rsid w:val="007939A2"/>
    <w:rsid w:val="00793BC1"/>
    <w:rsid w:val="00793CC6"/>
    <w:rsid w:val="00793D2D"/>
    <w:rsid w:val="00793F96"/>
    <w:rsid w:val="00793FF5"/>
    <w:rsid w:val="0079410D"/>
    <w:rsid w:val="00794352"/>
    <w:rsid w:val="007946A2"/>
    <w:rsid w:val="007947D0"/>
    <w:rsid w:val="00794835"/>
    <w:rsid w:val="007949EC"/>
    <w:rsid w:val="00794DAD"/>
    <w:rsid w:val="00794EC9"/>
    <w:rsid w:val="00795390"/>
    <w:rsid w:val="007954F9"/>
    <w:rsid w:val="00795520"/>
    <w:rsid w:val="007958AE"/>
    <w:rsid w:val="00795D57"/>
    <w:rsid w:val="00795EDB"/>
    <w:rsid w:val="00795F17"/>
    <w:rsid w:val="00796035"/>
    <w:rsid w:val="0079618D"/>
    <w:rsid w:val="007963FB"/>
    <w:rsid w:val="0079649A"/>
    <w:rsid w:val="007965ED"/>
    <w:rsid w:val="0079725E"/>
    <w:rsid w:val="00797527"/>
    <w:rsid w:val="007977F3"/>
    <w:rsid w:val="007978E7"/>
    <w:rsid w:val="00797ACF"/>
    <w:rsid w:val="00797BA5"/>
    <w:rsid w:val="00797CF9"/>
    <w:rsid w:val="007A018D"/>
    <w:rsid w:val="007A02B8"/>
    <w:rsid w:val="007A047F"/>
    <w:rsid w:val="007A0493"/>
    <w:rsid w:val="007A06A3"/>
    <w:rsid w:val="007A089B"/>
    <w:rsid w:val="007A09CC"/>
    <w:rsid w:val="007A0DB1"/>
    <w:rsid w:val="007A0E56"/>
    <w:rsid w:val="007A0E8A"/>
    <w:rsid w:val="007A13FA"/>
    <w:rsid w:val="007A1419"/>
    <w:rsid w:val="007A145F"/>
    <w:rsid w:val="007A14E6"/>
    <w:rsid w:val="007A1641"/>
    <w:rsid w:val="007A177D"/>
    <w:rsid w:val="007A1919"/>
    <w:rsid w:val="007A1947"/>
    <w:rsid w:val="007A1A49"/>
    <w:rsid w:val="007A1A4C"/>
    <w:rsid w:val="007A2271"/>
    <w:rsid w:val="007A23EB"/>
    <w:rsid w:val="007A241D"/>
    <w:rsid w:val="007A2439"/>
    <w:rsid w:val="007A2590"/>
    <w:rsid w:val="007A27E6"/>
    <w:rsid w:val="007A2869"/>
    <w:rsid w:val="007A2A50"/>
    <w:rsid w:val="007A2C1B"/>
    <w:rsid w:val="007A2C6A"/>
    <w:rsid w:val="007A2DBB"/>
    <w:rsid w:val="007A2DE6"/>
    <w:rsid w:val="007A3156"/>
    <w:rsid w:val="007A31D3"/>
    <w:rsid w:val="007A3411"/>
    <w:rsid w:val="007A34AE"/>
    <w:rsid w:val="007A3553"/>
    <w:rsid w:val="007A3738"/>
    <w:rsid w:val="007A377D"/>
    <w:rsid w:val="007A3CC1"/>
    <w:rsid w:val="007A4080"/>
    <w:rsid w:val="007A408A"/>
    <w:rsid w:val="007A4694"/>
    <w:rsid w:val="007A4E19"/>
    <w:rsid w:val="007A4EF9"/>
    <w:rsid w:val="007A4FB0"/>
    <w:rsid w:val="007A56A4"/>
    <w:rsid w:val="007A5781"/>
    <w:rsid w:val="007A5968"/>
    <w:rsid w:val="007A59EE"/>
    <w:rsid w:val="007A5B60"/>
    <w:rsid w:val="007A5B65"/>
    <w:rsid w:val="007A5D66"/>
    <w:rsid w:val="007A5FFF"/>
    <w:rsid w:val="007A612F"/>
    <w:rsid w:val="007A619E"/>
    <w:rsid w:val="007A62E0"/>
    <w:rsid w:val="007A64B4"/>
    <w:rsid w:val="007A64FB"/>
    <w:rsid w:val="007A656C"/>
    <w:rsid w:val="007A6983"/>
    <w:rsid w:val="007A6B38"/>
    <w:rsid w:val="007A6BAD"/>
    <w:rsid w:val="007A6BB4"/>
    <w:rsid w:val="007A6C91"/>
    <w:rsid w:val="007A6C94"/>
    <w:rsid w:val="007A6CA2"/>
    <w:rsid w:val="007A6CF3"/>
    <w:rsid w:val="007A7000"/>
    <w:rsid w:val="007A7228"/>
    <w:rsid w:val="007A745B"/>
    <w:rsid w:val="007A7649"/>
    <w:rsid w:val="007A7848"/>
    <w:rsid w:val="007A7951"/>
    <w:rsid w:val="007A7A5E"/>
    <w:rsid w:val="007A7FB2"/>
    <w:rsid w:val="007B04D1"/>
    <w:rsid w:val="007B04E1"/>
    <w:rsid w:val="007B051B"/>
    <w:rsid w:val="007B0550"/>
    <w:rsid w:val="007B05DF"/>
    <w:rsid w:val="007B0711"/>
    <w:rsid w:val="007B0800"/>
    <w:rsid w:val="007B09D8"/>
    <w:rsid w:val="007B09FA"/>
    <w:rsid w:val="007B0A01"/>
    <w:rsid w:val="007B0D68"/>
    <w:rsid w:val="007B0DB6"/>
    <w:rsid w:val="007B0E7B"/>
    <w:rsid w:val="007B0E89"/>
    <w:rsid w:val="007B0E9C"/>
    <w:rsid w:val="007B0EDE"/>
    <w:rsid w:val="007B0F87"/>
    <w:rsid w:val="007B0F91"/>
    <w:rsid w:val="007B10AC"/>
    <w:rsid w:val="007B1246"/>
    <w:rsid w:val="007B1456"/>
    <w:rsid w:val="007B16C7"/>
    <w:rsid w:val="007B18B5"/>
    <w:rsid w:val="007B18C4"/>
    <w:rsid w:val="007B1950"/>
    <w:rsid w:val="007B19AC"/>
    <w:rsid w:val="007B19B6"/>
    <w:rsid w:val="007B1E6F"/>
    <w:rsid w:val="007B201C"/>
    <w:rsid w:val="007B22A8"/>
    <w:rsid w:val="007B2391"/>
    <w:rsid w:val="007B2488"/>
    <w:rsid w:val="007B24D9"/>
    <w:rsid w:val="007B2535"/>
    <w:rsid w:val="007B27D4"/>
    <w:rsid w:val="007B2807"/>
    <w:rsid w:val="007B2C03"/>
    <w:rsid w:val="007B2D0E"/>
    <w:rsid w:val="007B3179"/>
    <w:rsid w:val="007B31B4"/>
    <w:rsid w:val="007B320A"/>
    <w:rsid w:val="007B3369"/>
    <w:rsid w:val="007B33A2"/>
    <w:rsid w:val="007B33F0"/>
    <w:rsid w:val="007B353D"/>
    <w:rsid w:val="007B35FF"/>
    <w:rsid w:val="007B36E4"/>
    <w:rsid w:val="007B3711"/>
    <w:rsid w:val="007B3B02"/>
    <w:rsid w:val="007B3CCE"/>
    <w:rsid w:val="007B3EFE"/>
    <w:rsid w:val="007B3FF5"/>
    <w:rsid w:val="007B4039"/>
    <w:rsid w:val="007B4301"/>
    <w:rsid w:val="007B438C"/>
    <w:rsid w:val="007B446F"/>
    <w:rsid w:val="007B44F3"/>
    <w:rsid w:val="007B4786"/>
    <w:rsid w:val="007B4885"/>
    <w:rsid w:val="007B4A90"/>
    <w:rsid w:val="007B4BBF"/>
    <w:rsid w:val="007B4BCE"/>
    <w:rsid w:val="007B4EEF"/>
    <w:rsid w:val="007B50B6"/>
    <w:rsid w:val="007B5187"/>
    <w:rsid w:val="007B554F"/>
    <w:rsid w:val="007B5593"/>
    <w:rsid w:val="007B56CD"/>
    <w:rsid w:val="007B56FA"/>
    <w:rsid w:val="007B5B6A"/>
    <w:rsid w:val="007B5BF6"/>
    <w:rsid w:val="007B5D13"/>
    <w:rsid w:val="007B5ED8"/>
    <w:rsid w:val="007B5F7D"/>
    <w:rsid w:val="007B6422"/>
    <w:rsid w:val="007B6595"/>
    <w:rsid w:val="007B6599"/>
    <w:rsid w:val="007B67F3"/>
    <w:rsid w:val="007B6B80"/>
    <w:rsid w:val="007B6E04"/>
    <w:rsid w:val="007B6E70"/>
    <w:rsid w:val="007B6EC7"/>
    <w:rsid w:val="007B704E"/>
    <w:rsid w:val="007B721A"/>
    <w:rsid w:val="007B722D"/>
    <w:rsid w:val="007B731B"/>
    <w:rsid w:val="007B7386"/>
    <w:rsid w:val="007B744C"/>
    <w:rsid w:val="007B75D5"/>
    <w:rsid w:val="007B77F4"/>
    <w:rsid w:val="007B78D6"/>
    <w:rsid w:val="007B79FF"/>
    <w:rsid w:val="007B7BFD"/>
    <w:rsid w:val="007B7C4B"/>
    <w:rsid w:val="007B7E5E"/>
    <w:rsid w:val="007C0174"/>
    <w:rsid w:val="007C04C6"/>
    <w:rsid w:val="007C04D8"/>
    <w:rsid w:val="007C04D9"/>
    <w:rsid w:val="007C052B"/>
    <w:rsid w:val="007C068A"/>
    <w:rsid w:val="007C0696"/>
    <w:rsid w:val="007C0729"/>
    <w:rsid w:val="007C09B1"/>
    <w:rsid w:val="007C0D2A"/>
    <w:rsid w:val="007C0D33"/>
    <w:rsid w:val="007C106F"/>
    <w:rsid w:val="007C1268"/>
    <w:rsid w:val="007C1459"/>
    <w:rsid w:val="007C156B"/>
    <w:rsid w:val="007C161B"/>
    <w:rsid w:val="007C1831"/>
    <w:rsid w:val="007C19AE"/>
    <w:rsid w:val="007C1E5D"/>
    <w:rsid w:val="007C21B1"/>
    <w:rsid w:val="007C2398"/>
    <w:rsid w:val="007C25F5"/>
    <w:rsid w:val="007C2616"/>
    <w:rsid w:val="007C261B"/>
    <w:rsid w:val="007C263F"/>
    <w:rsid w:val="007C266F"/>
    <w:rsid w:val="007C2AA0"/>
    <w:rsid w:val="007C2DE3"/>
    <w:rsid w:val="007C2F43"/>
    <w:rsid w:val="007C2FA4"/>
    <w:rsid w:val="007C2FFC"/>
    <w:rsid w:val="007C30B8"/>
    <w:rsid w:val="007C3255"/>
    <w:rsid w:val="007C35C5"/>
    <w:rsid w:val="007C399A"/>
    <w:rsid w:val="007C39D7"/>
    <w:rsid w:val="007C3E0F"/>
    <w:rsid w:val="007C3E53"/>
    <w:rsid w:val="007C3FAD"/>
    <w:rsid w:val="007C3FBB"/>
    <w:rsid w:val="007C4106"/>
    <w:rsid w:val="007C4244"/>
    <w:rsid w:val="007C457C"/>
    <w:rsid w:val="007C45FE"/>
    <w:rsid w:val="007C4750"/>
    <w:rsid w:val="007C4A34"/>
    <w:rsid w:val="007C4BCF"/>
    <w:rsid w:val="007C4C36"/>
    <w:rsid w:val="007C502C"/>
    <w:rsid w:val="007C50CE"/>
    <w:rsid w:val="007C51EB"/>
    <w:rsid w:val="007C5235"/>
    <w:rsid w:val="007C56CB"/>
    <w:rsid w:val="007C5835"/>
    <w:rsid w:val="007C5CAE"/>
    <w:rsid w:val="007C5F63"/>
    <w:rsid w:val="007C5FB8"/>
    <w:rsid w:val="007C6199"/>
    <w:rsid w:val="007C6421"/>
    <w:rsid w:val="007C64BD"/>
    <w:rsid w:val="007C6743"/>
    <w:rsid w:val="007C6857"/>
    <w:rsid w:val="007C69B7"/>
    <w:rsid w:val="007C6AA7"/>
    <w:rsid w:val="007C6B53"/>
    <w:rsid w:val="007C6DCA"/>
    <w:rsid w:val="007C6FDA"/>
    <w:rsid w:val="007C7180"/>
    <w:rsid w:val="007C78AB"/>
    <w:rsid w:val="007C7A06"/>
    <w:rsid w:val="007C7AF7"/>
    <w:rsid w:val="007C7F10"/>
    <w:rsid w:val="007C7F30"/>
    <w:rsid w:val="007D032E"/>
    <w:rsid w:val="007D0549"/>
    <w:rsid w:val="007D05C1"/>
    <w:rsid w:val="007D07D9"/>
    <w:rsid w:val="007D0D35"/>
    <w:rsid w:val="007D0E1B"/>
    <w:rsid w:val="007D105D"/>
    <w:rsid w:val="007D1083"/>
    <w:rsid w:val="007D129E"/>
    <w:rsid w:val="007D1544"/>
    <w:rsid w:val="007D15E2"/>
    <w:rsid w:val="007D164E"/>
    <w:rsid w:val="007D1720"/>
    <w:rsid w:val="007D1791"/>
    <w:rsid w:val="007D1848"/>
    <w:rsid w:val="007D1A61"/>
    <w:rsid w:val="007D1A76"/>
    <w:rsid w:val="007D1AB0"/>
    <w:rsid w:val="007D1B44"/>
    <w:rsid w:val="007D1E0C"/>
    <w:rsid w:val="007D1EAC"/>
    <w:rsid w:val="007D1F5F"/>
    <w:rsid w:val="007D2138"/>
    <w:rsid w:val="007D2211"/>
    <w:rsid w:val="007D2489"/>
    <w:rsid w:val="007D24F3"/>
    <w:rsid w:val="007D26B3"/>
    <w:rsid w:val="007D273F"/>
    <w:rsid w:val="007D286A"/>
    <w:rsid w:val="007D2A45"/>
    <w:rsid w:val="007D2A58"/>
    <w:rsid w:val="007D2B18"/>
    <w:rsid w:val="007D2D79"/>
    <w:rsid w:val="007D2E89"/>
    <w:rsid w:val="007D2EFD"/>
    <w:rsid w:val="007D3105"/>
    <w:rsid w:val="007D3124"/>
    <w:rsid w:val="007D3374"/>
    <w:rsid w:val="007D33D3"/>
    <w:rsid w:val="007D3481"/>
    <w:rsid w:val="007D3718"/>
    <w:rsid w:val="007D37E0"/>
    <w:rsid w:val="007D381F"/>
    <w:rsid w:val="007D38E8"/>
    <w:rsid w:val="007D3922"/>
    <w:rsid w:val="007D3993"/>
    <w:rsid w:val="007D4140"/>
    <w:rsid w:val="007D4255"/>
    <w:rsid w:val="007D42E9"/>
    <w:rsid w:val="007D45E3"/>
    <w:rsid w:val="007D469B"/>
    <w:rsid w:val="007D472F"/>
    <w:rsid w:val="007D4A64"/>
    <w:rsid w:val="007D4B1C"/>
    <w:rsid w:val="007D4B31"/>
    <w:rsid w:val="007D4CBD"/>
    <w:rsid w:val="007D4FC5"/>
    <w:rsid w:val="007D516E"/>
    <w:rsid w:val="007D561F"/>
    <w:rsid w:val="007D5645"/>
    <w:rsid w:val="007D5717"/>
    <w:rsid w:val="007D57A8"/>
    <w:rsid w:val="007D5ADB"/>
    <w:rsid w:val="007D5B4C"/>
    <w:rsid w:val="007D6231"/>
    <w:rsid w:val="007D6331"/>
    <w:rsid w:val="007D65DD"/>
    <w:rsid w:val="007D6C86"/>
    <w:rsid w:val="007D6E81"/>
    <w:rsid w:val="007D6EF3"/>
    <w:rsid w:val="007D72E7"/>
    <w:rsid w:val="007D7359"/>
    <w:rsid w:val="007D7381"/>
    <w:rsid w:val="007D75D1"/>
    <w:rsid w:val="007D7649"/>
    <w:rsid w:val="007D7DDA"/>
    <w:rsid w:val="007D7EDE"/>
    <w:rsid w:val="007E0142"/>
    <w:rsid w:val="007E0250"/>
    <w:rsid w:val="007E0376"/>
    <w:rsid w:val="007E067C"/>
    <w:rsid w:val="007E078D"/>
    <w:rsid w:val="007E0A27"/>
    <w:rsid w:val="007E0AC0"/>
    <w:rsid w:val="007E0E3D"/>
    <w:rsid w:val="007E11D2"/>
    <w:rsid w:val="007E1254"/>
    <w:rsid w:val="007E1359"/>
    <w:rsid w:val="007E15E1"/>
    <w:rsid w:val="007E183F"/>
    <w:rsid w:val="007E19AE"/>
    <w:rsid w:val="007E19D7"/>
    <w:rsid w:val="007E19E0"/>
    <w:rsid w:val="007E1B00"/>
    <w:rsid w:val="007E1DA2"/>
    <w:rsid w:val="007E1E3D"/>
    <w:rsid w:val="007E1FC9"/>
    <w:rsid w:val="007E2093"/>
    <w:rsid w:val="007E23BD"/>
    <w:rsid w:val="007E24BC"/>
    <w:rsid w:val="007E2646"/>
    <w:rsid w:val="007E299A"/>
    <w:rsid w:val="007E2B51"/>
    <w:rsid w:val="007E2C76"/>
    <w:rsid w:val="007E2C90"/>
    <w:rsid w:val="007E2D18"/>
    <w:rsid w:val="007E2DAF"/>
    <w:rsid w:val="007E2E7B"/>
    <w:rsid w:val="007E3051"/>
    <w:rsid w:val="007E31A3"/>
    <w:rsid w:val="007E32E3"/>
    <w:rsid w:val="007E34EC"/>
    <w:rsid w:val="007E3520"/>
    <w:rsid w:val="007E360B"/>
    <w:rsid w:val="007E382D"/>
    <w:rsid w:val="007E3909"/>
    <w:rsid w:val="007E3A37"/>
    <w:rsid w:val="007E3CF6"/>
    <w:rsid w:val="007E3DB0"/>
    <w:rsid w:val="007E3E9A"/>
    <w:rsid w:val="007E40FA"/>
    <w:rsid w:val="007E415E"/>
    <w:rsid w:val="007E433F"/>
    <w:rsid w:val="007E4384"/>
    <w:rsid w:val="007E4558"/>
    <w:rsid w:val="007E4564"/>
    <w:rsid w:val="007E485B"/>
    <w:rsid w:val="007E4925"/>
    <w:rsid w:val="007E49CC"/>
    <w:rsid w:val="007E4AAD"/>
    <w:rsid w:val="007E4C46"/>
    <w:rsid w:val="007E4D25"/>
    <w:rsid w:val="007E4D74"/>
    <w:rsid w:val="007E4E24"/>
    <w:rsid w:val="007E4F20"/>
    <w:rsid w:val="007E53D7"/>
    <w:rsid w:val="007E5A65"/>
    <w:rsid w:val="007E5B6B"/>
    <w:rsid w:val="007E5CA0"/>
    <w:rsid w:val="007E5CBD"/>
    <w:rsid w:val="007E609C"/>
    <w:rsid w:val="007E62D3"/>
    <w:rsid w:val="007E6308"/>
    <w:rsid w:val="007E6B77"/>
    <w:rsid w:val="007E6CDD"/>
    <w:rsid w:val="007E6CF2"/>
    <w:rsid w:val="007E6F1E"/>
    <w:rsid w:val="007E6FAA"/>
    <w:rsid w:val="007E6FD6"/>
    <w:rsid w:val="007E70A1"/>
    <w:rsid w:val="007E7170"/>
    <w:rsid w:val="007E71D8"/>
    <w:rsid w:val="007E71E7"/>
    <w:rsid w:val="007E7430"/>
    <w:rsid w:val="007E7577"/>
    <w:rsid w:val="007E7802"/>
    <w:rsid w:val="007E7A2B"/>
    <w:rsid w:val="007E7BD0"/>
    <w:rsid w:val="007E7CFF"/>
    <w:rsid w:val="007E7F30"/>
    <w:rsid w:val="007F0527"/>
    <w:rsid w:val="007F05A9"/>
    <w:rsid w:val="007F05FF"/>
    <w:rsid w:val="007F0812"/>
    <w:rsid w:val="007F08A4"/>
    <w:rsid w:val="007F09A8"/>
    <w:rsid w:val="007F09EB"/>
    <w:rsid w:val="007F0B3D"/>
    <w:rsid w:val="007F0BD4"/>
    <w:rsid w:val="007F0C0A"/>
    <w:rsid w:val="007F0F06"/>
    <w:rsid w:val="007F11E3"/>
    <w:rsid w:val="007F11E8"/>
    <w:rsid w:val="007F13AD"/>
    <w:rsid w:val="007F1493"/>
    <w:rsid w:val="007F14ED"/>
    <w:rsid w:val="007F1843"/>
    <w:rsid w:val="007F18CA"/>
    <w:rsid w:val="007F196F"/>
    <w:rsid w:val="007F199B"/>
    <w:rsid w:val="007F1BE0"/>
    <w:rsid w:val="007F1D57"/>
    <w:rsid w:val="007F1EF7"/>
    <w:rsid w:val="007F1FAF"/>
    <w:rsid w:val="007F206C"/>
    <w:rsid w:val="007F2420"/>
    <w:rsid w:val="007F273C"/>
    <w:rsid w:val="007F287B"/>
    <w:rsid w:val="007F297A"/>
    <w:rsid w:val="007F2D16"/>
    <w:rsid w:val="007F2D5F"/>
    <w:rsid w:val="007F2D70"/>
    <w:rsid w:val="007F2E9D"/>
    <w:rsid w:val="007F30C4"/>
    <w:rsid w:val="007F323F"/>
    <w:rsid w:val="007F32EF"/>
    <w:rsid w:val="007F39F2"/>
    <w:rsid w:val="007F3B4C"/>
    <w:rsid w:val="007F3D2D"/>
    <w:rsid w:val="007F3D56"/>
    <w:rsid w:val="007F3D5E"/>
    <w:rsid w:val="007F3EDE"/>
    <w:rsid w:val="007F4265"/>
    <w:rsid w:val="007F4541"/>
    <w:rsid w:val="007F4635"/>
    <w:rsid w:val="007F4EE6"/>
    <w:rsid w:val="007F503F"/>
    <w:rsid w:val="007F53CA"/>
    <w:rsid w:val="007F543A"/>
    <w:rsid w:val="007F564A"/>
    <w:rsid w:val="007F5674"/>
    <w:rsid w:val="007F59BF"/>
    <w:rsid w:val="007F5A25"/>
    <w:rsid w:val="007F5A39"/>
    <w:rsid w:val="007F5A81"/>
    <w:rsid w:val="007F5AB4"/>
    <w:rsid w:val="007F5B9F"/>
    <w:rsid w:val="007F5BAF"/>
    <w:rsid w:val="007F5BC9"/>
    <w:rsid w:val="007F5BDD"/>
    <w:rsid w:val="007F5C3D"/>
    <w:rsid w:val="007F5C58"/>
    <w:rsid w:val="007F5D02"/>
    <w:rsid w:val="007F620C"/>
    <w:rsid w:val="007F629C"/>
    <w:rsid w:val="007F664C"/>
    <w:rsid w:val="007F68A2"/>
    <w:rsid w:val="007F69E4"/>
    <w:rsid w:val="007F6BCC"/>
    <w:rsid w:val="007F6D7B"/>
    <w:rsid w:val="007F6E68"/>
    <w:rsid w:val="007F6FB8"/>
    <w:rsid w:val="007F7086"/>
    <w:rsid w:val="007F7158"/>
    <w:rsid w:val="007F728C"/>
    <w:rsid w:val="007F733F"/>
    <w:rsid w:val="007F7405"/>
    <w:rsid w:val="007F7582"/>
    <w:rsid w:val="007F75BA"/>
    <w:rsid w:val="007F78BA"/>
    <w:rsid w:val="007F7A05"/>
    <w:rsid w:val="007F7B7B"/>
    <w:rsid w:val="007F7E00"/>
    <w:rsid w:val="007F7EA4"/>
    <w:rsid w:val="00800379"/>
    <w:rsid w:val="00800C9B"/>
    <w:rsid w:val="00800DB8"/>
    <w:rsid w:val="00801071"/>
    <w:rsid w:val="0080114D"/>
    <w:rsid w:val="008013C8"/>
    <w:rsid w:val="008015A0"/>
    <w:rsid w:val="008018A1"/>
    <w:rsid w:val="00801A66"/>
    <w:rsid w:val="00801A82"/>
    <w:rsid w:val="00801BA8"/>
    <w:rsid w:val="00801E5A"/>
    <w:rsid w:val="008020D8"/>
    <w:rsid w:val="0080256C"/>
    <w:rsid w:val="00802716"/>
    <w:rsid w:val="0080294B"/>
    <w:rsid w:val="008029AB"/>
    <w:rsid w:val="008029CE"/>
    <w:rsid w:val="00802AAC"/>
    <w:rsid w:val="00802BB5"/>
    <w:rsid w:val="00802C92"/>
    <w:rsid w:val="00802DF3"/>
    <w:rsid w:val="0080316A"/>
    <w:rsid w:val="008035BD"/>
    <w:rsid w:val="00803680"/>
    <w:rsid w:val="008036A0"/>
    <w:rsid w:val="00803E87"/>
    <w:rsid w:val="00804015"/>
    <w:rsid w:val="00804069"/>
    <w:rsid w:val="008041FE"/>
    <w:rsid w:val="008042C4"/>
    <w:rsid w:val="0080432A"/>
    <w:rsid w:val="00804468"/>
    <w:rsid w:val="008045C0"/>
    <w:rsid w:val="0080467B"/>
    <w:rsid w:val="00804772"/>
    <w:rsid w:val="00804D8B"/>
    <w:rsid w:val="00804DFE"/>
    <w:rsid w:val="00804EA4"/>
    <w:rsid w:val="00804F34"/>
    <w:rsid w:val="00805051"/>
    <w:rsid w:val="00805181"/>
    <w:rsid w:val="00805195"/>
    <w:rsid w:val="0080521D"/>
    <w:rsid w:val="008052A7"/>
    <w:rsid w:val="00805677"/>
    <w:rsid w:val="0080582C"/>
    <w:rsid w:val="00805AB0"/>
    <w:rsid w:val="00805E5E"/>
    <w:rsid w:val="00806533"/>
    <w:rsid w:val="008066E8"/>
    <w:rsid w:val="008067CF"/>
    <w:rsid w:val="00806802"/>
    <w:rsid w:val="00806B7F"/>
    <w:rsid w:val="00806CC6"/>
    <w:rsid w:val="008070A6"/>
    <w:rsid w:val="008071A9"/>
    <w:rsid w:val="00807298"/>
    <w:rsid w:val="008072EC"/>
    <w:rsid w:val="0080748D"/>
    <w:rsid w:val="008075BD"/>
    <w:rsid w:val="008075EE"/>
    <w:rsid w:val="00807756"/>
    <w:rsid w:val="008077CB"/>
    <w:rsid w:val="00807988"/>
    <w:rsid w:val="00807BD5"/>
    <w:rsid w:val="00807E94"/>
    <w:rsid w:val="00810280"/>
    <w:rsid w:val="00810437"/>
    <w:rsid w:val="00810444"/>
    <w:rsid w:val="008105E3"/>
    <w:rsid w:val="0081076D"/>
    <w:rsid w:val="0081095C"/>
    <w:rsid w:val="0081099F"/>
    <w:rsid w:val="00810AA0"/>
    <w:rsid w:val="00810B41"/>
    <w:rsid w:val="00810E91"/>
    <w:rsid w:val="0081146C"/>
    <w:rsid w:val="008119F4"/>
    <w:rsid w:val="00811B8E"/>
    <w:rsid w:val="00811BAC"/>
    <w:rsid w:val="0081225C"/>
    <w:rsid w:val="008122F8"/>
    <w:rsid w:val="008123DF"/>
    <w:rsid w:val="00812487"/>
    <w:rsid w:val="008125A3"/>
    <w:rsid w:val="0081265A"/>
    <w:rsid w:val="008127BA"/>
    <w:rsid w:val="008127F5"/>
    <w:rsid w:val="00812968"/>
    <w:rsid w:val="008129EC"/>
    <w:rsid w:val="008129EE"/>
    <w:rsid w:val="00812ADF"/>
    <w:rsid w:val="00812B09"/>
    <w:rsid w:val="00812C4D"/>
    <w:rsid w:val="0081307F"/>
    <w:rsid w:val="00813184"/>
    <w:rsid w:val="008132B4"/>
    <w:rsid w:val="008132C0"/>
    <w:rsid w:val="008133CC"/>
    <w:rsid w:val="00813683"/>
    <w:rsid w:val="0081384B"/>
    <w:rsid w:val="00813B5A"/>
    <w:rsid w:val="00813B6A"/>
    <w:rsid w:val="00813C08"/>
    <w:rsid w:val="00813DB5"/>
    <w:rsid w:val="00813DC4"/>
    <w:rsid w:val="00813ED9"/>
    <w:rsid w:val="008141CF"/>
    <w:rsid w:val="0081444A"/>
    <w:rsid w:val="0081455A"/>
    <w:rsid w:val="008145E5"/>
    <w:rsid w:val="0081468E"/>
    <w:rsid w:val="008146E2"/>
    <w:rsid w:val="00814783"/>
    <w:rsid w:val="00814817"/>
    <w:rsid w:val="00814A23"/>
    <w:rsid w:val="00814C01"/>
    <w:rsid w:val="00814E3F"/>
    <w:rsid w:val="00814EC7"/>
    <w:rsid w:val="00814F2C"/>
    <w:rsid w:val="0081573E"/>
    <w:rsid w:val="0081582E"/>
    <w:rsid w:val="0081585D"/>
    <w:rsid w:val="008159F3"/>
    <w:rsid w:val="00815F01"/>
    <w:rsid w:val="00816018"/>
    <w:rsid w:val="00816098"/>
    <w:rsid w:val="0081610B"/>
    <w:rsid w:val="00816251"/>
    <w:rsid w:val="008165B3"/>
    <w:rsid w:val="008167A8"/>
    <w:rsid w:val="00816892"/>
    <w:rsid w:val="008168CB"/>
    <w:rsid w:val="0081694C"/>
    <w:rsid w:val="00816E6F"/>
    <w:rsid w:val="0081764F"/>
    <w:rsid w:val="008177B7"/>
    <w:rsid w:val="00817894"/>
    <w:rsid w:val="0081790E"/>
    <w:rsid w:val="00817D05"/>
    <w:rsid w:val="00819EBA"/>
    <w:rsid w:val="00820153"/>
    <w:rsid w:val="008201B1"/>
    <w:rsid w:val="0082028D"/>
    <w:rsid w:val="008202CC"/>
    <w:rsid w:val="0082042D"/>
    <w:rsid w:val="00820471"/>
    <w:rsid w:val="0082062E"/>
    <w:rsid w:val="00820803"/>
    <w:rsid w:val="00820AF9"/>
    <w:rsid w:val="00820B2B"/>
    <w:rsid w:val="00820D9F"/>
    <w:rsid w:val="00820F29"/>
    <w:rsid w:val="0082102F"/>
    <w:rsid w:val="008213F6"/>
    <w:rsid w:val="008215D3"/>
    <w:rsid w:val="008217D6"/>
    <w:rsid w:val="0082184F"/>
    <w:rsid w:val="00821861"/>
    <w:rsid w:val="00821890"/>
    <w:rsid w:val="008218ED"/>
    <w:rsid w:val="00821B13"/>
    <w:rsid w:val="00821B43"/>
    <w:rsid w:val="00821CF7"/>
    <w:rsid w:val="00821D66"/>
    <w:rsid w:val="00821DF2"/>
    <w:rsid w:val="00821EC7"/>
    <w:rsid w:val="00822028"/>
    <w:rsid w:val="008221C1"/>
    <w:rsid w:val="008221C3"/>
    <w:rsid w:val="008221FA"/>
    <w:rsid w:val="00822253"/>
    <w:rsid w:val="00822257"/>
    <w:rsid w:val="00822318"/>
    <w:rsid w:val="00822569"/>
    <w:rsid w:val="00822584"/>
    <w:rsid w:val="008227D3"/>
    <w:rsid w:val="00822822"/>
    <w:rsid w:val="0082288F"/>
    <w:rsid w:val="00822A49"/>
    <w:rsid w:val="00822D2D"/>
    <w:rsid w:val="00822DC2"/>
    <w:rsid w:val="00822E62"/>
    <w:rsid w:val="00823020"/>
    <w:rsid w:val="00823075"/>
    <w:rsid w:val="008232B4"/>
    <w:rsid w:val="008232BB"/>
    <w:rsid w:val="008234AA"/>
    <w:rsid w:val="00823584"/>
    <w:rsid w:val="008236A9"/>
    <w:rsid w:val="00823774"/>
    <w:rsid w:val="0082387F"/>
    <w:rsid w:val="008238A5"/>
    <w:rsid w:val="008238E6"/>
    <w:rsid w:val="00823F06"/>
    <w:rsid w:val="00823F46"/>
    <w:rsid w:val="00823FDF"/>
    <w:rsid w:val="008244B7"/>
    <w:rsid w:val="00824539"/>
    <w:rsid w:val="008246C2"/>
    <w:rsid w:val="008246D5"/>
    <w:rsid w:val="00824970"/>
    <w:rsid w:val="00824996"/>
    <w:rsid w:val="00824BB4"/>
    <w:rsid w:val="00824C8C"/>
    <w:rsid w:val="00824FE0"/>
    <w:rsid w:val="0082530E"/>
    <w:rsid w:val="00825422"/>
    <w:rsid w:val="0082566F"/>
    <w:rsid w:val="00825936"/>
    <w:rsid w:val="00825CAA"/>
    <w:rsid w:val="008262F7"/>
    <w:rsid w:val="00826504"/>
    <w:rsid w:val="008267CA"/>
    <w:rsid w:val="008267E1"/>
    <w:rsid w:val="008268E2"/>
    <w:rsid w:val="008268E4"/>
    <w:rsid w:val="0082699D"/>
    <w:rsid w:val="00826F63"/>
    <w:rsid w:val="00827184"/>
    <w:rsid w:val="00827290"/>
    <w:rsid w:val="0082736D"/>
    <w:rsid w:val="0082754D"/>
    <w:rsid w:val="0082767D"/>
    <w:rsid w:val="00827871"/>
    <w:rsid w:val="00827A21"/>
    <w:rsid w:val="00827A8D"/>
    <w:rsid w:val="00827AE9"/>
    <w:rsid w:val="00827CCD"/>
    <w:rsid w:val="00827D5D"/>
    <w:rsid w:val="00827E8D"/>
    <w:rsid w:val="00830181"/>
    <w:rsid w:val="00830186"/>
    <w:rsid w:val="0083032C"/>
    <w:rsid w:val="0083060B"/>
    <w:rsid w:val="00830767"/>
    <w:rsid w:val="00830795"/>
    <w:rsid w:val="008308AA"/>
    <w:rsid w:val="00830903"/>
    <w:rsid w:val="00830AD4"/>
    <w:rsid w:val="00830BA8"/>
    <w:rsid w:val="00830C07"/>
    <w:rsid w:val="00830E6B"/>
    <w:rsid w:val="00830FD5"/>
    <w:rsid w:val="00831179"/>
    <w:rsid w:val="00831184"/>
    <w:rsid w:val="008314B4"/>
    <w:rsid w:val="008315C4"/>
    <w:rsid w:val="00831FE6"/>
    <w:rsid w:val="00832317"/>
    <w:rsid w:val="008323D3"/>
    <w:rsid w:val="008323E3"/>
    <w:rsid w:val="00832862"/>
    <w:rsid w:val="00832FCB"/>
    <w:rsid w:val="00833370"/>
    <w:rsid w:val="00833512"/>
    <w:rsid w:val="0083354E"/>
    <w:rsid w:val="008336EC"/>
    <w:rsid w:val="0083376A"/>
    <w:rsid w:val="00833780"/>
    <w:rsid w:val="008337DF"/>
    <w:rsid w:val="00833843"/>
    <w:rsid w:val="00833907"/>
    <w:rsid w:val="00833DC9"/>
    <w:rsid w:val="00834039"/>
    <w:rsid w:val="00834429"/>
    <w:rsid w:val="008345C7"/>
    <w:rsid w:val="00834690"/>
    <w:rsid w:val="008346BC"/>
    <w:rsid w:val="0083484B"/>
    <w:rsid w:val="00834907"/>
    <w:rsid w:val="00834A30"/>
    <w:rsid w:val="00834AA4"/>
    <w:rsid w:val="00834C05"/>
    <w:rsid w:val="00834DAB"/>
    <w:rsid w:val="00834E65"/>
    <w:rsid w:val="0083501B"/>
    <w:rsid w:val="0083505C"/>
    <w:rsid w:val="00835093"/>
    <w:rsid w:val="00835588"/>
    <w:rsid w:val="008355FA"/>
    <w:rsid w:val="008356C6"/>
    <w:rsid w:val="008356EC"/>
    <w:rsid w:val="00835FF7"/>
    <w:rsid w:val="00836038"/>
    <w:rsid w:val="0083617F"/>
    <w:rsid w:val="008361CD"/>
    <w:rsid w:val="008363BC"/>
    <w:rsid w:val="0083679E"/>
    <w:rsid w:val="00836948"/>
    <w:rsid w:val="008369F6"/>
    <w:rsid w:val="00836A62"/>
    <w:rsid w:val="00836A6B"/>
    <w:rsid w:val="00836B36"/>
    <w:rsid w:val="00836C6C"/>
    <w:rsid w:val="0083711D"/>
    <w:rsid w:val="0083721E"/>
    <w:rsid w:val="008374A3"/>
    <w:rsid w:val="00837594"/>
    <w:rsid w:val="00837674"/>
    <w:rsid w:val="00837720"/>
    <w:rsid w:val="008379E5"/>
    <w:rsid w:val="00837C49"/>
    <w:rsid w:val="00837D7D"/>
    <w:rsid w:val="00837D8C"/>
    <w:rsid w:val="00840924"/>
    <w:rsid w:val="00840AAE"/>
    <w:rsid w:val="00840C32"/>
    <w:rsid w:val="00840DAB"/>
    <w:rsid w:val="00840DBF"/>
    <w:rsid w:val="00840E43"/>
    <w:rsid w:val="00840E56"/>
    <w:rsid w:val="00840EEF"/>
    <w:rsid w:val="00840F4A"/>
    <w:rsid w:val="00841186"/>
    <w:rsid w:val="0084142D"/>
    <w:rsid w:val="00841438"/>
    <w:rsid w:val="00841720"/>
    <w:rsid w:val="0084194B"/>
    <w:rsid w:val="00841B58"/>
    <w:rsid w:val="00841DF2"/>
    <w:rsid w:val="00842494"/>
    <w:rsid w:val="00842721"/>
    <w:rsid w:val="00842754"/>
    <w:rsid w:val="00842866"/>
    <w:rsid w:val="00842A6C"/>
    <w:rsid w:val="00842ABE"/>
    <w:rsid w:val="0084307C"/>
    <w:rsid w:val="0084311B"/>
    <w:rsid w:val="00843155"/>
    <w:rsid w:val="008431A4"/>
    <w:rsid w:val="00843545"/>
    <w:rsid w:val="00843844"/>
    <w:rsid w:val="00843864"/>
    <w:rsid w:val="00843B02"/>
    <w:rsid w:val="00843C8C"/>
    <w:rsid w:val="00843F22"/>
    <w:rsid w:val="0084423F"/>
    <w:rsid w:val="008446E3"/>
    <w:rsid w:val="00844737"/>
    <w:rsid w:val="00844825"/>
    <w:rsid w:val="0084491F"/>
    <w:rsid w:val="0084496A"/>
    <w:rsid w:val="00844A4C"/>
    <w:rsid w:val="00844AC5"/>
    <w:rsid w:val="00844C20"/>
    <w:rsid w:val="00844C35"/>
    <w:rsid w:val="00844F81"/>
    <w:rsid w:val="00844FE8"/>
    <w:rsid w:val="00845061"/>
    <w:rsid w:val="0084510E"/>
    <w:rsid w:val="008451F0"/>
    <w:rsid w:val="00845353"/>
    <w:rsid w:val="008453FA"/>
    <w:rsid w:val="008454FE"/>
    <w:rsid w:val="0084560B"/>
    <w:rsid w:val="0084574F"/>
    <w:rsid w:val="0084581F"/>
    <w:rsid w:val="00845A31"/>
    <w:rsid w:val="00845AAD"/>
    <w:rsid w:val="00845CCA"/>
    <w:rsid w:val="0084607B"/>
    <w:rsid w:val="008462C4"/>
    <w:rsid w:val="008464CA"/>
    <w:rsid w:val="00846585"/>
    <w:rsid w:val="0084676D"/>
    <w:rsid w:val="0084678E"/>
    <w:rsid w:val="0084679A"/>
    <w:rsid w:val="008469C4"/>
    <w:rsid w:val="00846C93"/>
    <w:rsid w:val="00846CEF"/>
    <w:rsid w:val="00846DC6"/>
    <w:rsid w:val="00846E52"/>
    <w:rsid w:val="00846E88"/>
    <w:rsid w:val="00847000"/>
    <w:rsid w:val="00847211"/>
    <w:rsid w:val="008472FE"/>
    <w:rsid w:val="00847307"/>
    <w:rsid w:val="0084732F"/>
    <w:rsid w:val="008473E1"/>
    <w:rsid w:val="0084757E"/>
    <w:rsid w:val="008476F4"/>
    <w:rsid w:val="00847763"/>
    <w:rsid w:val="008477B2"/>
    <w:rsid w:val="00847FD5"/>
    <w:rsid w:val="008506D5"/>
    <w:rsid w:val="00850A4A"/>
    <w:rsid w:val="00850E95"/>
    <w:rsid w:val="00850EA0"/>
    <w:rsid w:val="00850FD5"/>
    <w:rsid w:val="00850FE7"/>
    <w:rsid w:val="00850FEF"/>
    <w:rsid w:val="008513F0"/>
    <w:rsid w:val="008514A2"/>
    <w:rsid w:val="0085190A"/>
    <w:rsid w:val="008519A1"/>
    <w:rsid w:val="00851BB9"/>
    <w:rsid w:val="00852001"/>
    <w:rsid w:val="0085205D"/>
    <w:rsid w:val="008520EC"/>
    <w:rsid w:val="00852351"/>
    <w:rsid w:val="008523AD"/>
    <w:rsid w:val="008523C7"/>
    <w:rsid w:val="008526C7"/>
    <w:rsid w:val="00852860"/>
    <w:rsid w:val="00852A8E"/>
    <w:rsid w:val="00852C04"/>
    <w:rsid w:val="00852D81"/>
    <w:rsid w:val="00853154"/>
    <w:rsid w:val="0085331C"/>
    <w:rsid w:val="00853729"/>
    <w:rsid w:val="0085375D"/>
    <w:rsid w:val="00853893"/>
    <w:rsid w:val="0085427B"/>
    <w:rsid w:val="008545D4"/>
    <w:rsid w:val="0085498A"/>
    <w:rsid w:val="00854A19"/>
    <w:rsid w:val="00854B5D"/>
    <w:rsid w:val="00855039"/>
    <w:rsid w:val="00855061"/>
    <w:rsid w:val="008552F5"/>
    <w:rsid w:val="00855539"/>
    <w:rsid w:val="008556E1"/>
    <w:rsid w:val="00855970"/>
    <w:rsid w:val="00855B2E"/>
    <w:rsid w:val="00855E9E"/>
    <w:rsid w:val="00855FF2"/>
    <w:rsid w:val="00856072"/>
    <w:rsid w:val="008561E4"/>
    <w:rsid w:val="00856522"/>
    <w:rsid w:val="008565A2"/>
    <w:rsid w:val="00856718"/>
    <w:rsid w:val="008569BD"/>
    <w:rsid w:val="00856C22"/>
    <w:rsid w:val="00856C55"/>
    <w:rsid w:val="00856EEA"/>
    <w:rsid w:val="0085708B"/>
    <w:rsid w:val="008572BF"/>
    <w:rsid w:val="008575D0"/>
    <w:rsid w:val="00857A56"/>
    <w:rsid w:val="00860332"/>
    <w:rsid w:val="008605AA"/>
    <w:rsid w:val="00860667"/>
    <w:rsid w:val="00860786"/>
    <w:rsid w:val="0086078B"/>
    <w:rsid w:val="00860824"/>
    <w:rsid w:val="00860B9A"/>
    <w:rsid w:val="00860C82"/>
    <w:rsid w:val="00861033"/>
    <w:rsid w:val="00861152"/>
    <w:rsid w:val="00861316"/>
    <w:rsid w:val="008614E0"/>
    <w:rsid w:val="008615AB"/>
    <w:rsid w:val="0086189F"/>
    <w:rsid w:val="00861A30"/>
    <w:rsid w:val="00861A64"/>
    <w:rsid w:val="00861A85"/>
    <w:rsid w:val="00861C58"/>
    <w:rsid w:val="00861EF8"/>
    <w:rsid w:val="008620AD"/>
    <w:rsid w:val="008621DA"/>
    <w:rsid w:val="008622D1"/>
    <w:rsid w:val="00862532"/>
    <w:rsid w:val="008627D8"/>
    <w:rsid w:val="008629C3"/>
    <w:rsid w:val="00862BA0"/>
    <w:rsid w:val="00862C2B"/>
    <w:rsid w:val="00862CF7"/>
    <w:rsid w:val="00862CFD"/>
    <w:rsid w:val="00862E86"/>
    <w:rsid w:val="00862EC0"/>
    <w:rsid w:val="00863266"/>
    <w:rsid w:val="008632C7"/>
    <w:rsid w:val="008632D6"/>
    <w:rsid w:val="00863316"/>
    <w:rsid w:val="00863407"/>
    <w:rsid w:val="008635FF"/>
    <w:rsid w:val="0086381F"/>
    <w:rsid w:val="008638FF"/>
    <w:rsid w:val="008639B4"/>
    <w:rsid w:val="008639CD"/>
    <w:rsid w:val="008639E4"/>
    <w:rsid w:val="00863C38"/>
    <w:rsid w:val="00863FD8"/>
    <w:rsid w:val="00864064"/>
    <w:rsid w:val="008640F2"/>
    <w:rsid w:val="0086410E"/>
    <w:rsid w:val="008642AB"/>
    <w:rsid w:val="008643EB"/>
    <w:rsid w:val="0086447F"/>
    <w:rsid w:val="00864645"/>
    <w:rsid w:val="008646A3"/>
    <w:rsid w:val="00864D07"/>
    <w:rsid w:val="00864E7C"/>
    <w:rsid w:val="00865193"/>
    <w:rsid w:val="008651C2"/>
    <w:rsid w:val="008651F5"/>
    <w:rsid w:val="00865339"/>
    <w:rsid w:val="00865390"/>
    <w:rsid w:val="00865445"/>
    <w:rsid w:val="008655AD"/>
    <w:rsid w:val="00865683"/>
    <w:rsid w:val="00865861"/>
    <w:rsid w:val="00865A76"/>
    <w:rsid w:val="00865B87"/>
    <w:rsid w:val="00865C6D"/>
    <w:rsid w:val="00865D68"/>
    <w:rsid w:val="00865ED7"/>
    <w:rsid w:val="00865EF6"/>
    <w:rsid w:val="008660D6"/>
    <w:rsid w:val="00866114"/>
    <w:rsid w:val="008661FB"/>
    <w:rsid w:val="00866282"/>
    <w:rsid w:val="008665C7"/>
    <w:rsid w:val="008665DE"/>
    <w:rsid w:val="0086660B"/>
    <w:rsid w:val="008669B5"/>
    <w:rsid w:val="00866C92"/>
    <w:rsid w:val="00866CD4"/>
    <w:rsid w:val="00866DC8"/>
    <w:rsid w:val="00866E26"/>
    <w:rsid w:val="00867093"/>
    <w:rsid w:val="008671D2"/>
    <w:rsid w:val="00867561"/>
    <w:rsid w:val="008679BC"/>
    <w:rsid w:val="00867C55"/>
    <w:rsid w:val="00867D1A"/>
    <w:rsid w:val="00867E43"/>
    <w:rsid w:val="0087030F"/>
    <w:rsid w:val="0087065D"/>
    <w:rsid w:val="008706D8"/>
    <w:rsid w:val="00870965"/>
    <w:rsid w:val="0087097D"/>
    <w:rsid w:val="008709C4"/>
    <w:rsid w:val="00870A3A"/>
    <w:rsid w:val="00870A6C"/>
    <w:rsid w:val="00870C01"/>
    <w:rsid w:val="00870C60"/>
    <w:rsid w:val="00870CE9"/>
    <w:rsid w:val="00870D92"/>
    <w:rsid w:val="00870E85"/>
    <w:rsid w:val="00870FD4"/>
    <w:rsid w:val="008710DB"/>
    <w:rsid w:val="008710E1"/>
    <w:rsid w:val="008710F5"/>
    <w:rsid w:val="0087115F"/>
    <w:rsid w:val="008711FC"/>
    <w:rsid w:val="00871C22"/>
    <w:rsid w:val="00871ED3"/>
    <w:rsid w:val="00872051"/>
    <w:rsid w:val="008721FF"/>
    <w:rsid w:val="0087248F"/>
    <w:rsid w:val="00872A95"/>
    <w:rsid w:val="00872C64"/>
    <w:rsid w:val="00872C7F"/>
    <w:rsid w:val="00872D3E"/>
    <w:rsid w:val="00873034"/>
    <w:rsid w:val="008730B9"/>
    <w:rsid w:val="0087329D"/>
    <w:rsid w:val="00873309"/>
    <w:rsid w:val="0087346E"/>
    <w:rsid w:val="00873504"/>
    <w:rsid w:val="00873746"/>
    <w:rsid w:val="00873981"/>
    <w:rsid w:val="00873B41"/>
    <w:rsid w:val="00873BA4"/>
    <w:rsid w:val="00873E3B"/>
    <w:rsid w:val="00874057"/>
    <w:rsid w:val="0087412F"/>
    <w:rsid w:val="00874476"/>
    <w:rsid w:val="0087462E"/>
    <w:rsid w:val="0087464D"/>
    <w:rsid w:val="0087464E"/>
    <w:rsid w:val="0087475A"/>
    <w:rsid w:val="0087477F"/>
    <w:rsid w:val="0087478F"/>
    <w:rsid w:val="00874B36"/>
    <w:rsid w:val="00874D9E"/>
    <w:rsid w:val="00874E4B"/>
    <w:rsid w:val="00875000"/>
    <w:rsid w:val="0087507B"/>
    <w:rsid w:val="008750C0"/>
    <w:rsid w:val="00875103"/>
    <w:rsid w:val="008752A5"/>
    <w:rsid w:val="00875330"/>
    <w:rsid w:val="00875523"/>
    <w:rsid w:val="008758BF"/>
    <w:rsid w:val="00875C94"/>
    <w:rsid w:val="00875CAA"/>
    <w:rsid w:val="00875E7A"/>
    <w:rsid w:val="008760B2"/>
    <w:rsid w:val="0087647F"/>
    <w:rsid w:val="008765A6"/>
    <w:rsid w:val="008767E4"/>
    <w:rsid w:val="0087688F"/>
    <w:rsid w:val="008769C2"/>
    <w:rsid w:val="00876A04"/>
    <w:rsid w:val="00876AE8"/>
    <w:rsid w:val="00876BEE"/>
    <w:rsid w:val="00876DAD"/>
    <w:rsid w:val="00877182"/>
    <w:rsid w:val="00877238"/>
    <w:rsid w:val="00877452"/>
    <w:rsid w:val="00877516"/>
    <w:rsid w:val="008775FD"/>
    <w:rsid w:val="00877622"/>
    <w:rsid w:val="008776F1"/>
    <w:rsid w:val="00877760"/>
    <w:rsid w:val="008777ED"/>
    <w:rsid w:val="008778E9"/>
    <w:rsid w:val="008778EA"/>
    <w:rsid w:val="0087796B"/>
    <w:rsid w:val="00877AB0"/>
    <w:rsid w:val="00877BBC"/>
    <w:rsid w:val="00877D3F"/>
    <w:rsid w:val="00880058"/>
    <w:rsid w:val="00880153"/>
    <w:rsid w:val="00880293"/>
    <w:rsid w:val="00880481"/>
    <w:rsid w:val="00880563"/>
    <w:rsid w:val="00880581"/>
    <w:rsid w:val="008807EA"/>
    <w:rsid w:val="00880AA1"/>
    <w:rsid w:val="00880ABE"/>
    <w:rsid w:val="00881011"/>
    <w:rsid w:val="00881471"/>
    <w:rsid w:val="00881983"/>
    <w:rsid w:val="00881BAC"/>
    <w:rsid w:val="00881BD1"/>
    <w:rsid w:val="00882289"/>
    <w:rsid w:val="008827E6"/>
    <w:rsid w:val="00882885"/>
    <w:rsid w:val="00882AC4"/>
    <w:rsid w:val="00882B53"/>
    <w:rsid w:val="00882C9B"/>
    <w:rsid w:val="00882EC2"/>
    <w:rsid w:val="00882EEA"/>
    <w:rsid w:val="0088347F"/>
    <w:rsid w:val="008835EA"/>
    <w:rsid w:val="00883693"/>
    <w:rsid w:val="0088387E"/>
    <w:rsid w:val="00883896"/>
    <w:rsid w:val="00883A5C"/>
    <w:rsid w:val="00883D1D"/>
    <w:rsid w:val="00883D78"/>
    <w:rsid w:val="008841C9"/>
    <w:rsid w:val="008841F6"/>
    <w:rsid w:val="0088424C"/>
    <w:rsid w:val="0088445A"/>
    <w:rsid w:val="00884768"/>
    <w:rsid w:val="00884FED"/>
    <w:rsid w:val="0088507E"/>
    <w:rsid w:val="008854DB"/>
    <w:rsid w:val="008855C9"/>
    <w:rsid w:val="00885823"/>
    <w:rsid w:val="008859E6"/>
    <w:rsid w:val="00885A5D"/>
    <w:rsid w:val="00885CB0"/>
    <w:rsid w:val="00885D26"/>
    <w:rsid w:val="0088610B"/>
    <w:rsid w:val="0088610C"/>
    <w:rsid w:val="00886110"/>
    <w:rsid w:val="00886414"/>
    <w:rsid w:val="0088677A"/>
    <w:rsid w:val="008867F1"/>
    <w:rsid w:val="0088686C"/>
    <w:rsid w:val="00886888"/>
    <w:rsid w:val="00886C92"/>
    <w:rsid w:val="00886CA0"/>
    <w:rsid w:val="00886DCB"/>
    <w:rsid w:val="00886E29"/>
    <w:rsid w:val="00886FB4"/>
    <w:rsid w:val="00886FC1"/>
    <w:rsid w:val="0088726D"/>
    <w:rsid w:val="008872A6"/>
    <w:rsid w:val="00887523"/>
    <w:rsid w:val="008876BF"/>
    <w:rsid w:val="008876CD"/>
    <w:rsid w:val="00887A4C"/>
    <w:rsid w:val="00887AE5"/>
    <w:rsid w:val="00887BCE"/>
    <w:rsid w:val="00887BD1"/>
    <w:rsid w:val="00887C2A"/>
    <w:rsid w:val="00887DE4"/>
    <w:rsid w:val="00887E05"/>
    <w:rsid w:val="00887F67"/>
    <w:rsid w:val="0089008D"/>
    <w:rsid w:val="008903D7"/>
    <w:rsid w:val="00890411"/>
    <w:rsid w:val="0089054F"/>
    <w:rsid w:val="008905E7"/>
    <w:rsid w:val="00890628"/>
    <w:rsid w:val="008908BC"/>
    <w:rsid w:val="008908E4"/>
    <w:rsid w:val="00890AB5"/>
    <w:rsid w:val="00890B3D"/>
    <w:rsid w:val="00890D3A"/>
    <w:rsid w:val="00890E4C"/>
    <w:rsid w:val="00890E4E"/>
    <w:rsid w:val="00890F0C"/>
    <w:rsid w:val="00890F3B"/>
    <w:rsid w:val="0089128B"/>
    <w:rsid w:val="00891396"/>
    <w:rsid w:val="008915CA"/>
    <w:rsid w:val="0089163C"/>
    <w:rsid w:val="00891729"/>
    <w:rsid w:val="00891BB2"/>
    <w:rsid w:val="00891C7E"/>
    <w:rsid w:val="00891D2C"/>
    <w:rsid w:val="00891DAE"/>
    <w:rsid w:val="00891ED0"/>
    <w:rsid w:val="00891F46"/>
    <w:rsid w:val="008921E1"/>
    <w:rsid w:val="008922A6"/>
    <w:rsid w:val="008928EC"/>
    <w:rsid w:val="008928EF"/>
    <w:rsid w:val="00892D66"/>
    <w:rsid w:val="00892DE9"/>
    <w:rsid w:val="008930C3"/>
    <w:rsid w:val="00893245"/>
    <w:rsid w:val="008932D7"/>
    <w:rsid w:val="008938C1"/>
    <w:rsid w:val="00893C9F"/>
    <w:rsid w:val="00893CCD"/>
    <w:rsid w:val="00893DAD"/>
    <w:rsid w:val="00893F52"/>
    <w:rsid w:val="0089400C"/>
    <w:rsid w:val="008941E1"/>
    <w:rsid w:val="008944D9"/>
    <w:rsid w:val="008945C3"/>
    <w:rsid w:val="008946B5"/>
    <w:rsid w:val="00894866"/>
    <w:rsid w:val="00894AED"/>
    <w:rsid w:val="00894BAA"/>
    <w:rsid w:val="00894CC6"/>
    <w:rsid w:val="00894D00"/>
    <w:rsid w:val="00894D25"/>
    <w:rsid w:val="00894F60"/>
    <w:rsid w:val="0089536E"/>
    <w:rsid w:val="00895459"/>
    <w:rsid w:val="00895531"/>
    <w:rsid w:val="0089574E"/>
    <w:rsid w:val="00895854"/>
    <w:rsid w:val="00895B09"/>
    <w:rsid w:val="00895B28"/>
    <w:rsid w:val="00895C81"/>
    <w:rsid w:val="00895CF1"/>
    <w:rsid w:val="00895E5A"/>
    <w:rsid w:val="00896111"/>
    <w:rsid w:val="0089629A"/>
    <w:rsid w:val="008963A6"/>
    <w:rsid w:val="008963D6"/>
    <w:rsid w:val="00896ED4"/>
    <w:rsid w:val="00896FB0"/>
    <w:rsid w:val="0089710D"/>
    <w:rsid w:val="00897377"/>
    <w:rsid w:val="00897385"/>
    <w:rsid w:val="00897487"/>
    <w:rsid w:val="008974F9"/>
    <w:rsid w:val="008975CD"/>
    <w:rsid w:val="008975DF"/>
    <w:rsid w:val="0089780E"/>
    <w:rsid w:val="00897A1A"/>
    <w:rsid w:val="00897F36"/>
    <w:rsid w:val="008A0204"/>
    <w:rsid w:val="008A03B5"/>
    <w:rsid w:val="008A072E"/>
    <w:rsid w:val="008A0C07"/>
    <w:rsid w:val="008A0E67"/>
    <w:rsid w:val="008A119B"/>
    <w:rsid w:val="008A137C"/>
    <w:rsid w:val="008A13B1"/>
    <w:rsid w:val="008A14EA"/>
    <w:rsid w:val="008A1B3B"/>
    <w:rsid w:val="008A1E7A"/>
    <w:rsid w:val="008A2145"/>
    <w:rsid w:val="008A222C"/>
    <w:rsid w:val="008A23A3"/>
    <w:rsid w:val="008A247A"/>
    <w:rsid w:val="008A24D4"/>
    <w:rsid w:val="008A2852"/>
    <w:rsid w:val="008A2988"/>
    <w:rsid w:val="008A2AE3"/>
    <w:rsid w:val="008A2C51"/>
    <w:rsid w:val="008A2D28"/>
    <w:rsid w:val="008A2E73"/>
    <w:rsid w:val="008A3014"/>
    <w:rsid w:val="008A302D"/>
    <w:rsid w:val="008A32BC"/>
    <w:rsid w:val="008A32F9"/>
    <w:rsid w:val="008A330F"/>
    <w:rsid w:val="008A34F3"/>
    <w:rsid w:val="008A3506"/>
    <w:rsid w:val="008A35C4"/>
    <w:rsid w:val="008A38E4"/>
    <w:rsid w:val="008A394E"/>
    <w:rsid w:val="008A3EBF"/>
    <w:rsid w:val="008A3F4D"/>
    <w:rsid w:val="008A3F64"/>
    <w:rsid w:val="008A4138"/>
    <w:rsid w:val="008A4225"/>
    <w:rsid w:val="008A429A"/>
    <w:rsid w:val="008A464C"/>
    <w:rsid w:val="008A4681"/>
    <w:rsid w:val="008A4851"/>
    <w:rsid w:val="008A4BE3"/>
    <w:rsid w:val="008A4D17"/>
    <w:rsid w:val="008A4E08"/>
    <w:rsid w:val="008A4EEE"/>
    <w:rsid w:val="008A523F"/>
    <w:rsid w:val="008A5281"/>
    <w:rsid w:val="008A5365"/>
    <w:rsid w:val="008A5402"/>
    <w:rsid w:val="008A5522"/>
    <w:rsid w:val="008A5718"/>
    <w:rsid w:val="008A5751"/>
    <w:rsid w:val="008A5834"/>
    <w:rsid w:val="008A58F0"/>
    <w:rsid w:val="008A59EC"/>
    <w:rsid w:val="008A5A0C"/>
    <w:rsid w:val="008A5AA5"/>
    <w:rsid w:val="008A5D45"/>
    <w:rsid w:val="008A5E01"/>
    <w:rsid w:val="008A616A"/>
    <w:rsid w:val="008A61CF"/>
    <w:rsid w:val="008A6933"/>
    <w:rsid w:val="008A7033"/>
    <w:rsid w:val="008A70AA"/>
    <w:rsid w:val="008A70E5"/>
    <w:rsid w:val="008A739A"/>
    <w:rsid w:val="008A784B"/>
    <w:rsid w:val="008A7880"/>
    <w:rsid w:val="008A7931"/>
    <w:rsid w:val="008A7B4B"/>
    <w:rsid w:val="008A7B5C"/>
    <w:rsid w:val="008A7CF6"/>
    <w:rsid w:val="008A7DD5"/>
    <w:rsid w:val="008B0294"/>
    <w:rsid w:val="008B04BE"/>
    <w:rsid w:val="008B05D6"/>
    <w:rsid w:val="008B06D3"/>
    <w:rsid w:val="008B08F4"/>
    <w:rsid w:val="008B0990"/>
    <w:rsid w:val="008B09A4"/>
    <w:rsid w:val="008B09B5"/>
    <w:rsid w:val="008B0A4C"/>
    <w:rsid w:val="008B0AD7"/>
    <w:rsid w:val="008B0EE1"/>
    <w:rsid w:val="008B0F46"/>
    <w:rsid w:val="008B0FC7"/>
    <w:rsid w:val="008B1100"/>
    <w:rsid w:val="008B12F1"/>
    <w:rsid w:val="008B1467"/>
    <w:rsid w:val="008B147C"/>
    <w:rsid w:val="008B1575"/>
    <w:rsid w:val="008B159F"/>
    <w:rsid w:val="008B1627"/>
    <w:rsid w:val="008B1C77"/>
    <w:rsid w:val="008B1E55"/>
    <w:rsid w:val="008B23C2"/>
    <w:rsid w:val="008B263F"/>
    <w:rsid w:val="008B2666"/>
    <w:rsid w:val="008B2894"/>
    <w:rsid w:val="008B29C1"/>
    <w:rsid w:val="008B2C84"/>
    <w:rsid w:val="008B2EC1"/>
    <w:rsid w:val="008B2F0F"/>
    <w:rsid w:val="008B31A2"/>
    <w:rsid w:val="008B3355"/>
    <w:rsid w:val="008B33B6"/>
    <w:rsid w:val="008B3402"/>
    <w:rsid w:val="008B3566"/>
    <w:rsid w:val="008B3610"/>
    <w:rsid w:val="008B3729"/>
    <w:rsid w:val="008B38ED"/>
    <w:rsid w:val="008B3954"/>
    <w:rsid w:val="008B3A83"/>
    <w:rsid w:val="008B4337"/>
    <w:rsid w:val="008B46BC"/>
    <w:rsid w:val="008B47EC"/>
    <w:rsid w:val="008B4921"/>
    <w:rsid w:val="008B49BA"/>
    <w:rsid w:val="008B49DA"/>
    <w:rsid w:val="008B4C5C"/>
    <w:rsid w:val="008B4E16"/>
    <w:rsid w:val="008B53F4"/>
    <w:rsid w:val="008B5C51"/>
    <w:rsid w:val="008B5C84"/>
    <w:rsid w:val="008B5D1A"/>
    <w:rsid w:val="008B5D58"/>
    <w:rsid w:val="008B5F75"/>
    <w:rsid w:val="008B6215"/>
    <w:rsid w:val="008B6373"/>
    <w:rsid w:val="008B6456"/>
    <w:rsid w:val="008B65B9"/>
    <w:rsid w:val="008B66C8"/>
    <w:rsid w:val="008B6945"/>
    <w:rsid w:val="008B6964"/>
    <w:rsid w:val="008B699D"/>
    <w:rsid w:val="008B6A33"/>
    <w:rsid w:val="008B6DB9"/>
    <w:rsid w:val="008B7061"/>
    <w:rsid w:val="008B743A"/>
    <w:rsid w:val="008B74E4"/>
    <w:rsid w:val="008B7579"/>
    <w:rsid w:val="008B7B7E"/>
    <w:rsid w:val="008B7CD2"/>
    <w:rsid w:val="008B7ED3"/>
    <w:rsid w:val="008B7EF4"/>
    <w:rsid w:val="008C0241"/>
    <w:rsid w:val="008C0342"/>
    <w:rsid w:val="008C03FF"/>
    <w:rsid w:val="008C052F"/>
    <w:rsid w:val="008C0577"/>
    <w:rsid w:val="008C05F7"/>
    <w:rsid w:val="008C06A5"/>
    <w:rsid w:val="008C084F"/>
    <w:rsid w:val="008C0AB1"/>
    <w:rsid w:val="008C0C33"/>
    <w:rsid w:val="008C0CBA"/>
    <w:rsid w:val="008C0E5A"/>
    <w:rsid w:val="008C1311"/>
    <w:rsid w:val="008C157D"/>
    <w:rsid w:val="008C1646"/>
    <w:rsid w:val="008C1879"/>
    <w:rsid w:val="008C1D1B"/>
    <w:rsid w:val="008C1DF1"/>
    <w:rsid w:val="008C1EB0"/>
    <w:rsid w:val="008C2013"/>
    <w:rsid w:val="008C2118"/>
    <w:rsid w:val="008C235F"/>
    <w:rsid w:val="008C238F"/>
    <w:rsid w:val="008C2675"/>
    <w:rsid w:val="008C27E6"/>
    <w:rsid w:val="008C2A96"/>
    <w:rsid w:val="008C2BFF"/>
    <w:rsid w:val="008C2C06"/>
    <w:rsid w:val="008C2C33"/>
    <w:rsid w:val="008C2CD0"/>
    <w:rsid w:val="008C2D5A"/>
    <w:rsid w:val="008C2DA6"/>
    <w:rsid w:val="008C2F08"/>
    <w:rsid w:val="008C3003"/>
    <w:rsid w:val="008C3122"/>
    <w:rsid w:val="008C3317"/>
    <w:rsid w:val="008C36B7"/>
    <w:rsid w:val="008C37AF"/>
    <w:rsid w:val="008C3914"/>
    <w:rsid w:val="008C3F14"/>
    <w:rsid w:val="008C40AE"/>
    <w:rsid w:val="008C45EF"/>
    <w:rsid w:val="008C48AE"/>
    <w:rsid w:val="008C4986"/>
    <w:rsid w:val="008C49F2"/>
    <w:rsid w:val="008C4EBC"/>
    <w:rsid w:val="008C4EBD"/>
    <w:rsid w:val="008C4F06"/>
    <w:rsid w:val="008C522C"/>
    <w:rsid w:val="008C5381"/>
    <w:rsid w:val="008C5632"/>
    <w:rsid w:val="008C572F"/>
    <w:rsid w:val="008C5A42"/>
    <w:rsid w:val="008C5BA0"/>
    <w:rsid w:val="008C5CAA"/>
    <w:rsid w:val="008C5E88"/>
    <w:rsid w:val="008C612B"/>
    <w:rsid w:val="008C620F"/>
    <w:rsid w:val="008C6575"/>
    <w:rsid w:val="008C66A0"/>
    <w:rsid w:val="008C66E9"/>
    <w:rsid w:val="008C6791"/>
    <w:rsid w:val="008C67DE"/>
    <w:rsid w:val="008C6825"/>
    <w:rsid w:val="008C6C33"/>
    <w:rsid w:val="008C6C3D"/>
    <w:rsid w:val="008C6C71"/>
    <w:rsid w:val="008C6DBD"/>
    <w:rsid w:val="008C700D"/>
    <w:rsid w:val="008C70B3"/>
    <w:rsid w:val="008C7156"/>
    <w:rsid w:val="008C7187"/>
    <w:rsid w:val="008C7299"/>
    <w:rsid w:val="008C739E"/>
    <w:rsid w:val="008C73D2"/>
    <w:rsid w:val="008C772B"/>
    <w:rsid w:val="008C78B5"/>
    <w:rsid w:val="008C7B88"/>
    <w:rsid w:val="008C7CD1"/>
    <w:rsid w:val="008C7E16"/>
    <w:rsid w:val="008D02DD"/>
    <w:rsid w:val="008D04FB"/>
    <w:rsid w:val="008D0574"/>
    <w:rsid w:val="008D0639"/>
    <w:rsid w:val="008D082B"/>
    <w:rsid w:val="008D0A52"/>
    <w:rsid w:val="008D0A95"/>
    <w:rsid w:val="008D0AA6"/>
    <w:rsid w:val="008D0B15"/>
    <w:rsid w:val="008D1206"/>
    <w:rsid w:val="008D14B8"/>
    <w:rsid w:val="008D19F4"/>
    <w:rsid w:val="008D1AB1"/>
    <w:rsid w:val="008D1D1F"/>
    <w:rsid w:val="008D1E9B"/>
    <w:rsid w:val="008D2202"/>
    <w:rsid w:val="008D24BB"/>
    <w:rsid w:val="008D26B3"/>
    <w:rsid w:val="008D2702"/>
    <w:rsid w:val="008D28A9"/>
    <w:rsid w:val="008D2901"/>
    <w:rsid w:val="008D2AF0"/>
    <w:rsid w:val="008D2B1D"/>
    <w:rsid w:val="008D349C"/>
    <w:rsid w:val="008D3617"/>
    <w:rsid w:val="008D3756"/>
    <w:rsid w:val="008D3759"/>
    <w:rsid w:val="008D3767"/>
    <w:rsid w:val="008D377C"/>
    <w:rsid w:val="008D37D6"/>
    <w:rsid w:val="008D37FF"/>
    <w:rsid w:val="008D38FE"/>
    <w:rsid w:val="008D3B08"/>
    <w:rsid w:val="008D3B7F"/>
    <w:rsid w:val="008D3BD8"/>
    <w:rsid w:val="008D3C7E"/>
    <w:rsid w:val="008D3D53"/>
    <w:rsid w:val="008D3DEE"/>
    <w:rsid w:val="008D3EF6"/>
    <w:rsid w:val="008D43F1"/>
    <w:rsid w:val="008D464A"/>
    <w:rsid w:val="008D470A"/>
    <w:rsid w:val="008D4897"/>
    <w:rsid w:val="008D48C3"/>
    <w:rsid w:val="008D49EA"/>
    <w:rsid w:val="008D4A5F"/>
    <w:rsid w:val="008D4C70"/>
    <w:rsid w:val="008D4D9D"/>
    <w:rsid w:val="008D4DFD"/>
    <w:rsid w:val="008D4F92"/>
    <w:rsid w:val="008D5144"/>
    <w:rsid w:val="008D5473"/>
    <w:rsid w:val="008D54EB"/>
    <w:rsid w:val="008D561A"/>
    <w:rsid w:val="008D59F5"/>
    <w:rsid w:val="008D5A1C"/>
    <w:rsid w:val="008D5C9C"/>
    <w:rsid w:val="008D6074"/>
    <w:rsid w:val="008D609D"/>
    <w:rsid w:val="008D60EC"/>
    <w:rsid w:val="008D61B8"/>
    <w:rsid w:val="008D63A4"/>
    <w:rsid w:val="008D63E3"/>
    <w:rsid w:val="008D6654"/>
    <w:rsid w:val="008D6929"/>
    <w:rsid w:val="008D6A34"/>
    <w:rsid w:val="008D6E3B"/>
    <w:rsid w:val="008D6F52"/>
    <w:rsid w:val="008D76D7"/>
    <w:rsid w:val="008D7AB3"/>
    <w:rsid w:val="008D7F4D"/>
    <w:rsid w:val="008D7FB7"/>
    <w:rsid w:val="008E02D7"/>
    <w:rsid w:val="008E0301"/>
    <w:rsid w:val="008E05C0"/>
    <w:rsid w:val="008E092C"/>
    <w:rsid w:val="008E0B08"/>
    <w:rsid w:val="008E0FE9"/>
    <w:rsid w:val="008E1211"/>
    <w:rsid w:val="008E12FD"/>
    <w:rsid w:val="008E1470"/>
    <w:rsid w:val="008E14EE"/>
    <w:rsid w:val="008E153E"/>
    <w:rsid w:val="008E15D2"/>
    <w:rsid w:val="008E16FE"/>
    <w:rsid w:val="008E1729"/>
    <w:rsid w:val="008E191A"/>
    <w:rsid w:val="008E1A46"/>
    <w:rsid w:val="008E1B58"/>
    <w:rsid w:val="008E1DDE"/>
    <w:rsid w:val="008E1DF1"/>
    <w:rsid w:val="008E1E8C"/>
    <w:rsid w:val="008E223D"/>
    <w:rsid w:val="008E2331"/>
    <w:rsid w:val="008E2623"/>
    <w:rsid w:val="008E285D"/>
    <w:rsid w:val="008E29FF"/>
    <w:rsid w:val="008E2C70"/>
    <w:rsid w:val="008E2C77"/>
    <w:rsid w:val="008E2D5C"/>
    <w:rsid w:val="008E2E28"/>
    <w:rsid w:val="008E2E6E"/>
    <w:rsid w:val="008E2E79"/>
    <w:rsid w:val="008E3020"/>
    <w:rsid w:val="008E3486"/>
    <w:rsid w:val="008E3523"/>
    <w:rsid w:val="008E35B3"/>
    <w:rsid w:val="008E3976"/>
    <w:rsid w:val="008E3B79"/>
    <w:rsid w:val="008E3DD5"/>
    <w:rsid w:val="008E3E63"/>
    <w:rsid w:val="008E3F39"/>
    <w:rsid w:val="008E4292"/>
    <w:rsid w:val="008E45C1"/>
    <w:rsid w:val="008E47F8"/>
    <w:rsid w:val="008E4D35"/>
    <w:rsid w:val="008E5000"/>
    <w:rsid w:val="008E5164"/>
    <w:rsid w:val="008E521C"/>
    <w:rsid w:val="008E5232"/>
    <w:rsid w:val="008E5542"/>
    <w:rsid w:val="008E565C"/>
    <w:rsid w:val="008E58B7"/>
    <w:rsid w:val="008E5955"/>
    <w:rsid w:val="008E59B7"/>
    <w:rsid w:val="008E5A56"/>
    <w:rsid w:val="008E64B3"/>
    <w:rsid w:val="008E66B3"/>
    <w:rsid w:val="008E6A6A"/>
    <w:rsid w:val="008E6C2A"/>
    <w:rsid w:val="008E7152"/>
    <w:rsid w:val="008E71CE"/>
    <w:rsid w:val="008E7630"/>
    <w:rsid w:val="008E7887"/>
    <w:rsid w:val="008E7BAF"/>
    <w:rsid w:val="008E7D97"/>
    <w:rsid w:val="008F008F"/>
    <w:rsid w:val="008F0392"/>
    <w:rsid w:val="008F0567"/>
    <w:rsid w:val="008F0602"/>
    <w:rsid w:val="008F075C"/>
    <w:rsid w:val="008F0816"/>
    <w:rsid w:val="008F0B37"/>
    <w:rsid w:val="008F0BB7"/>
    <w:rsid w:val="008F118B"/>
    <w:rsid w:val="008F15FC"/>
    <w:rsid w:val="008F17D7"/>
    <w:rsid w:val="008F1814"/>
    <w:rsid w:val="008F1B25"/>
    <w:rsid w:val="008F1B72"/>
    <w:rsid w:val="008F221D"/>
    <w:rsid w:val="008F2234"/>
    <w:rsid w:val="008F22DD"/>
    <w:rsid w:val="008F2501"/>
    <w:rsid w:val="008F25EA"/>
    <w:rsid w:val="008F27A8"/>
    <w:rsid w:val="008F295B"/>
    <w:rsid w:val="008F29B1"/>
    <w:rsid w:val="008F2E13"/>
    <w:rsid w:val="008F30BC"/>
    <w:rsid w:val="008F313B"/>
    <w:rsid w:val="008F333E"/>
    <w:rsid w:val="008F3518"/>
    <w:rsid w:val="008F3586"/>
    <w:rsid w:val="008F3B2B"/>
    <w:rsid w:val="008F3B3C"/>
    <w:rsid w:val="008F3BD3"/>
    <w:rsid w:val="008F3CB6"/>
    <w:rsid w:val="008F3D92"/>
    <w:rsid w:val="008F3F19"/>
    <w:rsid w:val="008F407D"/>
    <w:rsid w:val="008F41CB"/>
    <w:rsid w:val="008F43DF"/>
    <w:rsid w:val="008F4435"/>
    <w:rsid w:val="008F46DD"/>
    <w:rsid w:val="008F4805"/>
    <w:rsid w:val="008F480A"/>
    <w:rsid w:val="008F4903"/>
    <w:rsid w:val="008F495D"/>
    <w:rsid w:val="008F49E8"/>
    <w:rsid w:val="008F4C4C"/>
    <w:rsid w:val="008F4E7E"/>
    <w:rsid w:val="008F500C"/>
    <w:rsid w:val="008F57C9"/>
    <w:rsid w:val="008F584D"/>
    <w:rsid w:val="008F593A"/>
    <w:rsid w:val="008F5A12"/>
    <w:rsid w:val="008F5B24"/>
    <w:rsid w:val="008F5CDF"/>
    <w:rsid w:val="008F5D47"/>
    <w:rsid w:val="008F5E27"/>
    <w:rsid w:val="008F5E29"/>
    <w:rsid w:val="008F601D"/>
    <w:rsid w:val="008F60C8"/>
    <w:rsid w:val="008F618E"/>
    <w:rsid w:val="008F628F"/>
    <w:rsid w:val="008F635F"/>
    <w:rsid w:val="008F6380"/>
    <w:rsid w:val="008F664A"/>
    <w:rsid w:val="008F6750"/>
    <w:rsid w:val="008F687A"/>
    <w:rsid w:val="008F6BB1"/>
    <w:rsid w:val="008F6CA2"/>
    <w:rsid w:val="008F6E11"/>
    <w:rsid w:val="008F6E5F"/>
    <w:rsid w:val="008F6EB7"/>
    <w:rsid w:val="008F6ECA"/>
    <w:rsid w:val="008F7315"/>
    <w:rsid w:val="008F7504"/>
    <w:rsid w:val="008F7DC1"/>
    <w:rsid w:val="00900099"/>
    <w:rsid w:val="009002A0"/>
    <w:rsid w:val="009004AC"/>
    <w:rsid w:val="0090060B"/>
    <w:rsid w:val="009007C3"/>
    <w:rsid w:val="00900886"/>
    <w:rsid w:val="009008EF"/>
    <w:rsid w:val="00900909"/>
    <w:rsid w:val="00900961"/>
    <w:rsid w:val="0090098F"/>
    <w:rsid w:val="00900BD6"/>
    <w:rsid w:val="00901062"/>
    <w:rsid w:val="009010D7"/>
    <w:rsid w:val="00901109"/>
    <w:rsid w:val="00901310"/>
    <w:rsid w:val="0090182E"/>
    <w:rsid w:val="009018AC"/>
    <w:rsid w:val="00901E55"/>
    <w:rsid w:val="00901F3E"/>
    <w:rsid w:val="00901F4B"/>
    <w:rsid w:val="00902141"/>
    <w:rsid w:val="009021A6"/>
    <w:rsid w:val="009022B6"/>
    <w:rsid w:val="00902371"/>
    <w:rsid w:val="00902522"/>
    <w:rsid w:val="009026D9"/>
    <w:rsid w:val="0090283B"/>
    <w:rsid w:val="00902844"/>
    <w:rsid w:val="009029B6"/>
    <w:rsid w:val="00902A15"/>
    <w:rsid w:val="00902EF6"/>
    <w:rsid w:val="00902F05"/>
    <w:rsid w:val="0090323C"/>
    <w:rsid w:val="009032E6"/>
    <w:rsid w:val="009033F6"/>
    <w:rsid w:val="009035D2"/>
    <w:rsid w:val="009036AE"/>
    <w:rsid w:val="009038D3"/>
    <w:rsid w:val="00903CCB"/>
    <w:rsid w:val="00903DA1"/>
    <w:rsid w:val="00903DFB"/>
    <w:rsid w:val="0090403E"/>
    <w:rsid w:val="00904377"/>
    <w:rsid w:val="00904446"/>
    <w:rsid w:val="00904614"/>
    <w:rsid w:val="00904792"/>
    <w:rsid w:val="00904796"/>
    <w:rsid w:val="0090486C"/>
    <w:rsid w:val="00904C17"/>
    <w:rsid w:val="00904CB4"/>
    <w:rsid w:val="00904F65"/>
    <w:rsid w:val="009050E4"/>
    <w:rsid w:val="00905227"/>
    <w:rsid w:val="009052AA"/>
    <w:rsid w:val="0090550B"/>
    <w:rsid w:val="00905523"/>
    <w:rsid w:val="009055B7"/>
    <w:rsid w:val="009058FA"/>
    <w:rsid w:val="00905EC5"/>
    <w:rsid w:val="009060A7"/>
    <w:rsid w:val="0090636D"/>
    <w:rsid w:val="0090659D"/>
    <w:rsid w:val="0090669F"/>
    <w:rsid w:val="00906868"/>
    <w:rsid w:val="00906AE8"/>
    <w:rsid w:val="00906B5C"/>
    <w:rsid w:val="00906C04"/>
    <w:rsid w:val="00906C2E"/>
    <w:rsid w:val="00906C8E"/>
    <w:rsid w:val="00907002"/>
    <w:rsid w:val="0090715D"/>
    <w:rsid w:val="0090725E"/>
    <w:rsid w:val="009072F1"/>
    <w:rsid w:val="0090743E"/>
    <w:rsid w:val="009075DA"/>
    <w:rsid w:val="00907634"/>
    <w:rsid w:val="009076FA"/>
    <w:rsid w:val="00907802"/>
    <w:rsid w:val="00907928"/>
    <w:rsid w:val="00907D77"/>
    <w:rsid w:val="0091006E"/>
    <w:rsid w:val="0091050B"/>
    <w:rsid w:val="009105CD"/>
    <w:rsid w:val="00910640"/>
    <w:rsid w:val="0091073D"/>
    <w:rsid w:val="0091094F"/>
    <w:rsid w:val="009109BF"/>
    <w:rsid w:val="00910CAC"/>
    <w:rsid w:val="0091116D"/>
    <w:rsid w:val="009111E1"/>
    <w:rsid w:val="009113A6"/>
    <w:rsid w:val="00911731"/>
    <w:rsid w:val="00911C42"/>
    <w:rsid w:val="00911D1D"/>
    <w:rsid w:val="00911D43"/>
    <w:rsid w:val="00911E8C"/>
    <w:rsid w:val="0091230B"/>
    <w:rsid w:val="00912771"/>
    <w:rsid w:val="00912799"/>
    <w:rsid w:val="0091280E"/>
    <w:rsid w:val="009128C7"/>
    <w:rsid w:val="00912A79"/>
    <w:rsid w:val="00912EC6"/>
    <w:rsid w:val="00912F18"/>
    <w:rsid w:val="00912FA8"/>
    <w:rsid w:val="009130DF"/>
    <w:rsid w:val="009133EC"/>
    <w:rsid w:val="00913404"/>
    <w:rsid w:val="0091346E"/>
    <w:rsid w:val="009134AC"/>
    <w:rsid w:val="00913607"/>
    <w:rsid w:val="0091368C"/>
    <w:rsid w:val="009137B2"/>
    <w:rsid w:val="00913851"/>
    <w:rsid w:val="00913909"/>
    <w:rsid w:val="00913A8F"/>
    <w:rsid w:val="00914100"/>
    <w:rsid w:val="009141A1"/>
    <w:rsid w:val="00914216"/>
    <w:rsid w:val="00914270"/>
    <w:rsid w:val="009145CB"/>
    <w:rsid w:val="0091487A"/>
    <w:rsid w:val="00914997"/>
    <w:rsid w:val="00914AC9"/>
    <w:rsid w:val="00914B3D"/>
    <w:rsid w:val="00914CDF"/>
    <w:rsid w:val="00914DA3"/>
    <w:rsid w:val="00914DDD"/>
    <w:rsid w:val="009150E6"/>
    <w:rsid w:val="00915159"/>
    <w:rsid w:val="009152A1"/>
    <w:rsid w:val="009154FA"/>
    <w:rsid w:val="00915650"/>
    <w:rsid w:val="009156F5"/>
    <w:rsid w:val="00915935"/>
    <w:rsid w:val="00915EF7"/>
    <w:rsid w:val="009162D9"/>
    <w:rsid w:val="0091672A"/>
    <w:rsid w:val="009167F9"/>
    <w:rsid w:val="00916825"/>
    <w:rsid w:val="009168C3"/>
    <w:rsid w:val="00916922"/>
    <w:rsid w:val="00916A9F"/>
    <w:rsid w:val="00916C67"/>
    <w:rsid w:val="00917037"/>
    <w:rsid w:val="00917402"/>
    <w:rsid w:val="009175D2"/>
    <w:rsid w:val="009175F9"/>
    <w:rsid w:val="0091778C"/>
    <w:rsid w:val="00917804"/>
    <w:rsid w:val="00917876"/>
    <w:rsid w:val="00917897"/>
    <w:rsid w:val="00917B7F"/>
    <w:rsid w:val="00917C7F"/>
    <w:rsid w:val="00917CD8"/>
    <w:rsid w:val="00917DFB"/>
    <w:rsid w:val="00920165"/>
    <w:rsid w:val="009208D8"/>
    <w:rsid w:val="00920BBE"/>
    <w:rsid w:val="009210A0"/>
    <w:rsid w:val="009214DA"/>
    <w:rsid w:val="00921557"/>
    <w:rsid w:val="00921733"/>
    <w:rsid w:val="00921945"/>
    <w:rsid w:val="00921FCB"/>
    <w:rsid w:val="00921FD6"/>
    <w:rsid w:val="00922124"/>
    <w:rsid w:val="009222B9"/>
    <w:rsid w:val="00922376"/>
    <w:rsid w:val="00922581"/>
    <w:rsid w:val="009225AD"/>
    <w:rsid w:val="00922729"/>
    <w:rsid w:val="00922860"/>
    <w:rsid w:val="00922C5E"/>
    <w:rsid w:val="00922D23"/>
    <w:rsid w:val="00922EED"/>
    <w:rsid w:val="00922FAE"/>
    <w:rsid w:val="00922FD6"/>
    <w:rsid w:val="00923113"/>
    <w:rsid w:val="00923229"/>
    <w:rsid w:val="00923371"/>
    <w:rsid w:val="009235C0"/>
    <w:rsid w:val="009236BD"/>
    <w:rsid w:val="00923721"/>
    <w:rsid w:val="00924211"/>
    <w:rsid w:val="00924255"/>
    <w:rsid w:val="00924349"/>
    <w:rsid w:val="00924760"/>
    <w:rsid w:val="009247CF"/>
    <w:rsid w:val="00924876"/>
    <w:rsid w:val="009248AE"/>
    <w:rsid w:val="009249AA"/>
    <w:rsid w:val="00924B3F"/>
    <w:rsid w:val="00924D9B"/>
    <w:rsid w:val="0092501F"/>
    <w:rsid w:val="009253D0"/>
    <w:rsid w:val="0092558D"/>
    <w:rsid w:val="009255C2"/>
    <w:rsid w:val="009255EB"/>
    <w:rsid w:val="00925673"/>
    <w:rsid w:val="00925769"/>
    <w:rsid w:val="0092583C"/>
    <w:rsid w:val="00925A57"/>
    <w:rsid w:val="00925B42"/>
    <w:rsid w:val="00925B62"/>
    <w:rsid w:val="00925EC7"/>
    <w:rsid w:val="00925F41"/>
    <w:rsid w:val="009261F8"/>
    <w:rsid w:val="009262B4"/>
    <w:rsid w:val="009263D8"/>
    <w:rsid w:val="009263F2"/>
    <w:rsid w:val="009265E1"/>
    <w:rsid w:val="009269C8"/>
    <w:rsid w:val="00926C2A"/>
    <w:rsid w:val="00926D59"/>
    <w:rsid w:val="00926F2B"/>
    <w:rsid w:val="00927092"/>
    <w:rsid w:val="00927600"/>
    <w:rsid w:val="0092790D"/>
    <w:rsid w:val="00927CED"/>
    <w:rsid w:val="00927D86"/>
    <w:rsid w:val="009300CE"/>
    <w:rsid w:val="00930114"/>
    <w:rsid w:val="00930121"/>
    <w:rsid w:val="0093023B"/>
    <w:rsid w:val="0093051B"/>
    <w:rsid w:val="00930580"/>
    <w:rsid w:val="00930698"/>
    <w:rsid w:val="009308C5"/>
    <w:rsid w:val="00930C16"/>
    <w:rsid w:val="00930D0C"/>
    <w:rsid w:val="00930E12"/>
    <w:rsid w:val="00930ECE"/>
    <w:rsid w:val="00931184"/>
    <w:rsid w:val="009312AE"/>
    <w:rsid w:val="0093137F"/>
    <w:rsid w:val="00931632"/>
    <w:rsid w:val="0093184B"/>
    <w:rsid w:val="00931A72"/>
    <w:rsid w:val="00931B8B"/>
    <w:rsid w:val="00931F7A"/>
    <w:rsid w:val="0093217B"/>
    <w:rsid w:val="0093232F"/>
    <w:rsid w:val="00932393"/>
    <w:rsid w:val="0093244C"/>
    <w:rsid w:val="009325F7"/>
    <w:rsid w:val="0093286A"/>
    <w:rsid w:val="00932AD2"/>
    <w:rsid w:val="00933075"/>
    <w:rsid w:val="0093331D"/>
    <w:rsid w:val="00933463"/>
    <w:rsid w:val="00933486"/>
    <w:rsid w:val="00933791"/>
    <w:rsid w:val="00933B4B"/>
    <w:rsid w:val="00933CF7"/>
    <w:rsid w:val="00933DE7"/>
    <w:rsid w:val="009341A6"/>
    <w:rsid w:val="009342AE"/>
    <w:rsid w:val="009342E7"/>
    <w:rsid w:val="009345D8"/>
    <w:rsid w:val="009345E9"/>
    <w:rsid w:val="00934754"/>
    <w:rsid w:val="00934ADF"/>
    <w:rsid w:val="00934B62"/>
    <w:rsid w:val="00934BEF"/>
    <w:rsid w:val="00934CF9"/>
    <w:rsid w:val="0093518F"/>
    <w:rsid w:val="009353E6"/>
    <w:rsid w:val="00935625"/>
    <w:rsid w:val="009356BC"/>
    <w:rsid w:val="0093586C"/>
    <w:rsid w:val="0093591C"/>
    <w:rsid w:val="00935B42"/>
    <w:rsid w:val="009360F6"/>
    <w:rsid w:val="00936220"/>
    <w:rsid w:val="00936235"/>
    <w:rsid w:val="0093639E"/>
    <w:rsid w:val="0093656E"/>
    <w:rsid w:val="0093659C"/>
    <w:rsid w:val="00936CC9"/>
    <w:rsid w:val="00936E49"/>
    <w:rsid w:val="00936E89"/>
    <w:rsid w:val="00936F57"/>
    <w:rsid w:val="009374DA"/>
    <w:rsid w:val="00937569"/>
    <w:rsid w:val="00937C36"/>
    <w:rsid w:val="00937D24"/>
    <w:rsid w:val="00937E43"/>
    <w:rsid w:val="00937F0D"/>
    <w:rsid w:val="0094007A"/>
    <w:rsid w:val="009401F0"/>
    <w:rsid w:val="0094035F"/>
    <w:rsid w:val="00940594"/>
    <w:rsid w:val="0094077C"/>
    <w:rsid w:val="0094084A"/>
    <w:rsid w:val="0094086F"/>
    <w:rsid w:val="00940A26"/>
    <w:rsid w:val="00940D49"/>
    <w:rsid w:val="00941147"/>
    <w:rsid w:val="0094132B"/>
    <w:rsid w:val="009415C3"/>
    <w:rsid w:val="00941685"/>
    <w:rsid w:val="009418B7"/>
    <w:rsid w:val="00941B1E"/>
    <w:rsid w:val="00941C5B"/>
    <w:rsid w:val="00942003"/>
    <w:rsid w:val="00942280"/>
    <w:rsid w:val="009423C4"/>
    <w:rsid w:val="00942C68"/>
    <w:rsid w:val="00942DD2"/>
    <w:rsid w:val="00942E2F"/>
    <w:rsid w:val="00942EB2"/>
    <w:rsid w:val="009430B5"/>
    <w:rsid w:val="0094336C"/>
    <w:rsid w:val="0094339F"/>
    <w:rsid w:val="00943705"/>
    <w:rsid w:val="00943C11"/>
    <w:rsid w:val="00943C7B"/>
    <w:rsid w:val="0094423C"/>
    <w:rsid w:val="009443CF"/>
    <w:rsid w:val="0094440A"/>
    <w:rsid w:val="00944602"/>
    <w:rsid w:val="0094472E"/>
    <w:rsid w:val="00944827"/>
    <w:rsid w:val="00944DAE"/>
    <w:rsid w:val="00945207"/>
    <w:rsid w:val="0094571E"/>
    <w:rsid w:val="00945BCF"/>
    <w:rsid w:val="00945C8D"/>
    <w:rsid w:val="00945CD1"/>
    <w:rsid w:val="00945E9C"/>
    <w:rsid w:val="0094602A"/>
    <w:rsid w:val="009460FE"/>
    <w:rsid w:val="00946445"/>
    <w:rsid w:val="0094660D"/>
    <w:rsid w:val="00946922"/>
    <w:rsid w:val="00946A5E"/>
    <w:rsid w:val="00946D37"/>
    <w:rsid w:val="00946D9B"/>
    <w:rsid w:val="00946FF7"/>
    <w:rsid w:val="009472E7"/>
    <w:rsid w:val="0094732C"/>
    <w:rsid w:val="0094736A"/>
    <w:rsid w:val="00947694"/>
    <w:rsid w:val="009477E5"/>
    <w:rsid w:val="009477EA"/>
    <w:rsid w:val="009478C6"/>
    <w:rsid w:val="00947AE9"/>
    <w:rsid w:val="00947DE8"/>
    <w:rsid w:val="00947E7B"/>
    <w:rsid w:val="00947E92"/>
    <w:rsid w:val="00947EFB"/>
    <w:rsid w:val="00947F27"/>
    <w:rsid w:val="0095006D"/>
    <w:rsid w:val="009501E5"/>
    <w:rsid w:val="0095023A"/>
    <w:rsid w:val="00950326"/>
    <w:rsid w:val="009508AF"/>
    <w:rsid w:val="00950932"/>
    <w:rsid w:val="009509E4"/>
    <w:rsid w:val="00950D6D"/>
    <w:rsid w:val="00950E11"/>
    <w:rsid w:val="00950EAF"/>
    <w:rsid w:val="00950EC0"/>
    <w:rsid w:val="00950F6D"/>
    <w:rsid w:val="00950FEB"/>
    <w:rsid w:val="009510D3"/>
    <w:rsid w:val="009511B3"/>
    <w:rsid w:val="009511FD"/>
    <w:rsid w:val="009513C8"/>
    <w:rsid w:val="009514F1"/>
    <w:rsid w:val="009515E5"/>
    <w:rsid w:val="009515FD"/>
    <w:rsid w:val="00951652"/>
    <w:rsid w:val="0095168A"/>
    <w:rsid w:val="009517D2"/>
    <w:rsid w:val="00951886"/>
    <w:rsid w:val="009518B7"/>
    <w:rsid w:val="009519D5"/>
    <w:rsid w:val="00951ACF"/>
    <w:rsid w:val="00952088"/>
    <w:rsid w:val="0095231D"/>
    <w:rsid w:val="009525A6"/>
    <w:rsid w:val="00952649"/>
    <w:rsid w:val="009526FE"/>
    <w:rsid w:val="00952912"/>
    <w:rsid w:val="009529AE"/>
    <w:rsid w:val="00952BFA"/>
    <w:rsid w:val="00952C0E"/>
    <w:rsid w:val="00952CE9"/>
    <w:rsid w:val="00952DA0"/>
    <w:rsid w:val="00952E9F"/>
    <w:rsid w:val="009530E1"/>
    <w:rsid w:val="00953288"/>
    <w:rsid w:val="009532EC"/>
    <w:rsid w:val="00953316"/>
    <w:rsid w:val="0095357C"/>
    <w:rsid w:val="0095359E"/>
    <w:rsid w:val="009535E8"/>
    <w:rsid w:val="009535F2"/>
    <w:rsid w:val="00953AAC"/>
    <w:rsid w:val="00953ABE"/>
    <w:rsid w:val="00953CFA"/>
    <w:rsid w:val="00953D17"/>
    <w:rsid w:val="00953D34"/>
    <w:rsid w:val="00953E5D"/>
    <w:rsid w:val="00953F84"/>
    <w:rsid w:val="00953FF7"/>
    <w:rsid w:val="009541D9"/>
    <w:rsid w:val="00954458"/>
    <w:rsid w:val="00954465"/>
    <w:rsid w:val="00954987"/>
    <w:rsid w:val="009549F7"/>
    <w:rsid w:val="00954D7C"/>
    <w:rsid w:val="00954E37"/>
    <w:rsid w:val="009553B5"/>
    <w:rsid w:val="0095554C"/>
    <w:rsid w:val="009556FB"/>
    <w:rsid w:val="0095585A"/>
    <w:rsid w:val="00955933"/>
    <w:rsid w:val="00955A65"/>
    <w:rsid w:val="00955B93"/>
    <w:rsid w:val="00955BC5"/>
    <w:rsid w:val="00955BE3"/>
    <w:rsid w:val="00955C18"/>
    <w:rsid w:val="00955D37"/>
    <w:rsid w:val="00955D97"/>
    <w:rsid w:val="00956008"/>
    <w:rsid w:val="009560DD"/>
    <w:rsid w:val="009561AF"/>
    <w:rsid w:val="009561F8"/>
    <w:rsid w:val="00956833"/>
    <w:rsid w:val="009568FF"/>
    <w:rsid w:val="00956975"/>
    <w:rsid w:val="00956ABB"/>
    <w:rsid w:val="00956BA3"/>
    <w:rsid w:val="00957269"/>
    <w:rsid w:val="00957675"/>
    <w:rsid w:val="00957840"/>
    <w:rsid w:val="00957C47"/>
    <w:rsid w:val="00957DB2"/>
    <w:rsid w:val="00957DED"/>
    <w:rsid w:val="0096000F"/>
    <w:rsid w:val="00960067"/>
    <w:rsid w:val="0096058E"/>
    <w:rsid w:val="009607BB"/>
    <w:rsid w:val="009607F0"/>
    <w:rsid w:val="00960ACE"/>
    <w:rsid w:val="00960CFC"/>
    <w:rsid w:val="00960E1A"/>
    <w:rsid w:val="00960E2C"/>
    <w:rsid w:val="0096135E"/>
    <w:rsid w:val="009613F1"/>
    <w:rsid w:val="009619D4"/>
    <w:rsid w:val="00961C0E"/>
    <w:rsid w:val="00961DD6"/>
    <w:rsid w:val="00961E6F"/>
    <w:rsid w:val="00961E8F"/>
    <w:rsid w:val="00962025"/>
    <w:rsid w:val="0096218E"/>
    <w:rsid w:val="00962282"/>
    <w:rsid w:val="00962531"/>
    <w:rsid w:val="00962566"/>
    <w:rsid w:val="0096278C"/>
    <w:rsid w:val="00962A39"/>
    <w:rsid w:val="00962A57"/>
    <w:rsid w:val="00962ABB"/>
    <w:rsid w:val="00962CCB"/>
    <w:rsid w:val="00962CDF"/>
    <w:rsid w:val="00962DEF"/>
    <w:rsid w:val="00962E15"/>
    <w:rsid w:val="00962FC1"/>
    <w:rsid w:val="009630DC"/>
    <w:rsid w:val="0096315B"/>
    <w:rsid w:val="009631D6"/>
    <w:rsid w:val="00963483"/>
    <w:rsid w:val="009639B0"/>
    <w:rsid w:val="00963BE4"/>
    <w:rsid w:val="00963C0C"/>
    <w:rsid w:val="00963F1C"/>
    <w:rsid w:val="00963F3D"/>
    <w:rsid w:val="00964046"/>
    <w:rsid w:val="00964125"/>
    <w:rsid w:val="009641B1"/>
    <w:rsid w:val="00964299"/>
    <w:rsid w:val="0096448B"/>
    <w:rsid w:val="00964872"/>
    <w:rsid w:val="009648CE"/>
    <w:rsid w:val="00964BC5"/>
    <w:rsid w:val="00964C27"/>
    <w:rsid w:val="00964D96"/>
    <w:rsid w:val="00964E0A"/>
    <w:rsid w:val="00964E11"/>
    <w:rsid w:val="00964FF8"/>
    <w:rsid w:val="00965077"/>
    <w:rsid w:val="009651B5"/>
    <w:rsid w:val="00965363"/>
    <w:rsid w:val="00965555"/>
    <w:rsid w:val="00965591"/>
    <w:rsid w:val="00965685"/>
    <w:rsid w:val="00965A7F"/>
    <w:rsid w:val="00965AA3"/>
    <w:rsid w:val="00965C62"/>
    <w:rsid w:val="00965D3B"/>
    <w:rsid w:val="00965E61"/>
    <w:rsid w:val="00966194"/>
    <w:rsid w:val="009661D7"/>
    <w:rsid w:val="00966503"/>
    <w:rsid w:val="009666D8"/>
    <w:rsid w:val="009667F8"/>
    <w:rsid w:val="00966FAF"/>
    <w:rsid w:val="009670FC"/>
    <w:rsid w:val="0096755D"/>
    <w:rsid w:val="0096756B"/>
    <w:rsid w:val="009676C3"/>
    <w:rsid w:val="00967747"/>
    <w:rsid w:val="00967761"/>
    <w:rsid w:val="00967D55"/>
    <w:rsid w:val="00967FBF"/>
    <w:rsid w:val="009700C2"/>
    <w:rsid w:val="009700F0"/>
    <w:rsid w:val="009701AE"/>
    <w:rsid w:val="00970355"/>
    <w:rsid w:val="009703BB"/>
    <w:rsid w:val="009704E0"/>
    <w:rsid w:val="00970503"/>
    <w:rsid w:val="00970795"/>
    <w:rsid w:val="009707D8"/>
    <w:rsid w:val="00970A99"/>
    <w:rsid w:val="00970BCA"/>
    <w:rsid w:val="00970C03"/>
    <w:rsid w:val="00970E57"/>
    <w:rsid w:val="00971159"/>
    <w:rsid w:val="0097115B"/>
    <w:rsid w:val="00971325"/>
    <w:rsid w:val="009718DD"/>
    <w:rsid w:val="00971E10"/>
    <w:rsid w:val="00971ED5"/>
    <w:rsid w:val="00972236"/>
    <w:rsid w:val="00972283"/>
    <w:rsid w:val="009722AA"/>
    <w:rsid w:val="00972356"/>
    <w:rsid w:val="009723D1"/>
    <w:rsid w:val="009725C1"/>
    <w:rsid w:val="00972612"/>
    <w:rsid w:val="00972676"/>
    <w:rsid w:val="009727D8"/>
    <w:rsid w:val="00972BC7"/>
    <w:rsid w:val="009734C6"/>
    <w:rsid w:val="0097388A"/>
    <w:rsid w:val="00973A15"/>
    <w:rsid w:val="00973A31"/>
    <w:rsid w:val="00973A7B"/>
    <w:rsid w:val="00973CCD"/>
    <w:rsid w:val="009740A7"/>
    <w:rsid w:val="009741B3"/>
    <w:rsid w:val="00974311"/>
    <w:rsid w:val="009746AA"/>
    <w:rsid w:val="009747E8"/>
    <w:rsid w:val="009748EA"/>
    <w:rsid w:val="00974AAF"/>
    <w:rsid w:val="00974C61"/>
    <w:rsid w:val="00974CF0"/>
    <w:rsid w:val="00974D74"/>
    <w:rsid w:val="00974D9C"/>
    <w:rsid w:val="00974E2F"/>
    <w:rsid w:val="00974F45"/>
    <w:rsid w:val="0097508F"/>
    <w:rsid w:val="00975098"/>
    <w:rsid w:val="009750BA"/>
    <w:rsid w:val="00975166"/>
    <w:rsid w:val="009752F1"/>
    <w:rsid w:val="009752F2"/>
    <w:rsid w:val="00975462"/>
    <w:rsid w:val="009754B5"/>
    <w:rsid w:val="00975518"/>
    <w:rsid w:val="00975726"/>
    <w:rsid w:val="00975A1F"/>
    <w:rsid w:val="00975A48"/>
    <w:rsid w:val="00975C56"/>
    <w:rsid w:val="00975C91"/>
    <w:rsid w:val="00975E7B"/>
    <w:rsid w:val="0097601F"/>
    <w:rsid w:val="009762AF"/>
    <w:rsid w:val="009762DF"/>
    <w:rsid w:val="00976330"/>
    <w:rsid w:val="00976350"/>
    <w:rsid w:val="009763A7"/>
    <w:rsid w:val="009764DD"/>
    <w:rsid w:val="009764EC"/>
    <w:rsid w:val="0097654F"/>
    <w:rsid w:val="009767E8"/>
    <w:rsid w:val="0097697C"/>
    <w:rsid w:val="00976A46"/>
    <w:rsid w:val="00976A4D"/>
    <w:rsid w:val="00976A73"/>
    <w:rsid w:val="00976C28"/>
    <w:rsid w:val="00976EC9"/>
    <w:rsid w:val="00977171"/>
    <w:rsid w:val="00977233"/>
    <w:rsid w:val="009772FA"/>
    <w:rsid w:val="00977377"/>
    <w:rsid w:val="009774A7"/>
    <w:rsid w:val="00977661"/>
    <w:rsid w:val="00977684"/>
    <w:rsid w:val="00977978"/>
    <w:rsid w:val="00977C11"/>
    <w:rsid w:val="00977CAC"/>
    <w:rsid w:val="00977D9C"/>
    <w:rsid w:val="00977F72"/>
    <w:rsid w:val="0098003E"/>
    <w:rsid w:val="00980126"/>
    <w:rsid w:val="0098020B"/>
    <w:rsid w:val="00980312"/>
    <w:rsid w:val="009804FE"/>
    <w:rsid w:val="009805A1"/>
    <w:rsid w:val="00980662"/>
    <w:rsid w:val="00980802"/>
    <w:rsid w:val="009808F2"/>
    <w:rsid w:val="009809A8"/>
    <w:rsid w:val="00980A7A"/>
    <w:rsid w:val="00980C26"/>
    <w:rsid w:val="00980E47"/>
    <w:rsid w:val="00980ED4"/>
    <w:rsid w:val="00980F44"/>
    <w:rsid w:val="00981517"/>
    <w:rsid w:val="0098159F"/>
    <w:rsid w:val="0098184B"/>
    <w:rsid w:val="00981BEE"/>
    <w:rsid w:val="00981C3E"/>
    <w:rsid w:val="00981DCA"/>
    <w:rsid w:val="009822FE"/>
    <w:rsid w:val="00982439"/>
    <w:rsid w:val="00982515"/>
    <w:rsid w:val="00982555"/>
    <w:rsid w:val="00982710"/>
    <w:rsid w:val="00982C71"/>
    <w:rsid w:val="009831DF"/>
    <w:rsid w:val="00983320"/>
    <w:rsid w:val="00983513"/>
    <w:rsid w:val="009837B4"/>
    <w:rsid w:val="009838DE"/>
    <w:rsid w:val="00983AB8"/>
    <w:rsid w:val="00983B8E"/>
    <w:rsid w:val="00983D67"/>
    <w:rsid w:val="00983E75"/>
    <w:rsid w:val="00983E77"/>
    <w:rsid w:val="00983EF4"/>
    <w:rsid w:val="009843A2"/>
    <w:rsid w:val="009843FA"/>
    <w:rsid w:val="00984513"/>
    <w:rsid w:val="00984651"/>
    <w:rsid w:val="0098483A"/>
    <w:rsid w:val="00984D1E"/>
    <w:rsid w:val="00985415"/>
    <w:rsid w:val="00985419"/>
    <w:rsid w:val="00985498"/>
    <w:rsid w:val="0098559A"/>
    <w:rsid w:val="009858A1"/>
    <w:rsid w:val="00985909"/>
    <w:rsid w:val="0098592E"/>
    <w:rsid w:val="009859C9"/>
    <w:rsid w:val="00985A7E"/>
    <w:rsid w:val="00985A8F"/>
    <w:rsid w:val="00985B7B"/>
    <w:rsid w:val="00985C2D"/>
    <w:rsid w:val="00985CBE"/>
    <w:rsid w:val="00985EC1"/>
    <w:rsid w:val="00985FA3"/>
    <w:rsid w:val="00986168"/>
    <w:rsid w:val="0098619A"/>
    <w:rsid w:val="00986229"/>
    <w:rsid w:val="00986484"/>
    <w:rsid w:val="009864F1"/>
    <w:rsid w:val="0098656D"/>
    <w:rsid w:val="00986645"/>
    <w:rsid w:val="00986AA7"/>
    <w:rsid w:val="00986B31"/>
    <w:rsid w:val="00986B67"/>
    <w:rsid w:val="00986C91"/>
    <w:rsid w:val="00986D4A"/>
    <w:rsid w:val="00986E04"/>
    <w:rsid w:val="00986E29"/>
    <w:rsid w:val="00986E80"/>
    <w:rsid w:val="00986F0F"/>
    <w:rsid w:val="009871D1"/>
    <w:rsid w:val="00987223"/>
    <w:rsid w:val="00987543"/>
    <w:rsid w:val="00987564"/>
    <w:rsid w:val="00987609"/>
    <w:rsid w:val="009876BB"/>
    <w:rsid w:val="00987840"/>
    <w:rsid w:val="009878E4"/>
    <w:rsid w:val="0098794D"/>
    <w:rsid w:val="00987E99"/>
    <w:rsid w:val="00987EDF"/>
    <w:rsid w:val="009902C3"/>
    <w:rsid w:val="009904A5"/>
    <w:rsid w:val="009909E5"/>
    <w:rsid w:val="00990B8C"/>
    <w:rsid w:val="00990D36"/>
    <w:rsid w:val="00990D7F"/>
    <w:rsid w:val="009910CE"/>
    <w:rsid w:val="009911A4"/>
    <w:rsid w:val="009912F6"/>
    <w:rsid w:val="0099138B"/>
    <w:rsid w:val="009913D4"/>
    <w:rsid w:val="00991427"/>
    <w:rsid w:val="009914B2"/>
    <w:rsid w:val="009916EF"/>
    <w:rsid w:val="00991745"/>
    <w:rsid w:val="00991921"/>
    <w:rsid w:val="00991952"/>
    <w:rsid w:val="0099230E"/>
    <w:rsid w:val="009923D0"/>
    <w:rsid w:val="009932FD"/>
    <w:rsid w:val="0099345C"/>
    <w:rsid w:val="0099385D"/>
    <w:rsid w:val="00993C4F"/>
    <w:rsid w:val="00993E8D"/>
    <w:rsid w:val="00993F35"/>
    <w:rsid w:val="009944EA"/>
    <w:rsid w:val="00994655"/>
    <w:rsid w:val="00994685"/>
    <w:rsid w:val="00994994"/>
    <w:rsid w:val="00994AEC"/>
    <w:rsid w:val="00994B9B"/>
    <w:rsid w:val="00994C1C"/>
    <w:rsid w:val="00994CB4"/>
    <w:rsid w:val="00995101"/>
    <w:rsid w:val="0099516F"/>
    <w:rsid w:val="009953A7"/>
    <w:rsid w:val="009956E7"/>
    <w:rsid w:val="0099598A"/>
    <w:rsid w:val="00995AE8"/>
    <w:rsid w:val="00995DBC"/>
    <w:rsid w:val="00996274"/>
    <w:rsid w:val="0099643D"/>
    <w:rsid w:val="00996561"/>
    <w:rsid w:val="009967A0"/>
    <w:rsid w:val="00996819"/>
    <w:rsid w:val="00996902"/>
    <w:rsid w:val="00996B36"/>
    <w:rsid w:val="00996B65"/>
    <w:rsid w:val="00996B98"/>
    <w:rsid w:val="00996BF0"/>
    <w:rsid w:val="00996E77"/>
    <w:rsid w:val="00996FF4"/>
    <w:rsid w:val="009970BF"/>
    <w:rsid w:val="00997130"/>
    <w:rsid w:val="00997279"/>
    <w:rsid w:val="0099732B"/>
    <w:rsid w:val="00997336"/>
    <w:rsid w:val="00997385"/>
    <w:rsid w:val="0099739A"/>
    <w:rsid w:val="00997478"/>
    <w:rsid w:val="009978F4"/>
    <w:rsid w:val="0099799E"/>
    <w:rsid w:val="00997DA9"/>
    <w:rsid w:val="009A0100"/>
    <w:rsid w:val="009A02FB"/>
    <w:rsid w:val="009A05FB"/>
    <w:rsid w:val="009A0D34"/>
    <w:rsid w:val="009A0EE6"/>
    <w:rsid w:val="009A0FC6"/>
    <w:rsid w:val="009A123D"/>
    <w:rsid w:val="009A12E0"/>
    <w:rsid w:val="009A13A8"/>
    <w:rsid w:val="009A141A"/>
    <w:rsid w:val="009A14AE"/>
    <w:rsid w:val="009A16E1"/>
    <w:rsid w:val="009A1753"/>
    <w:rsid w:val="009A17E3"/>
    <w:rsid w:val="009A17EB"/>
    <w:rsid w:val="009A192D"/>
    <w:rsid w:val="009A1946"/>
    <w:rsid w:val="009A196D"/>
    <w:rsid w:val="009A19DF"/>
    <w:rsid w:val="009A1C46"/>
    <w:rsid w:val="009A1C8B"/>
    <w:rsid w:val="009A1E2F"/>
    <w:rsid w:val="009A1F06"/>
    <w:rsid w:val="009A1F7B"/>
    <w:rsid w:val="009A2275"/>
    <w:rsid w:val="009A24EC"/>
    <w:rsid w:val="009A2555"/>
    <w:rsid w:val="009A2A03"/>
    <w:rsid w:val="009A2A0C"/>
    <w:rsid w:val="009A2BA1"/>
    <w:rsid w:val="009A2CDA"/>
    <w:rsid w:val="009A30CB"/>
    <w:rsid w:val="009A317D"/>
    <w:rsid w:val="009A31D3"/>
    <w:rsid w:val="009A323E"/>
    <w:rsid w:val="009A3544"/>
    <w:rsid w:val="009A35E9"/>
    <w:rsid w:val="009A38BF"/>
    <w:rsid w:val="009A3D2D"/>
    <w:rsid w:val="009A3DF4"/>
    <w:rsid w:val="009A3EE8"/>
    <w:rsid w:val="009A3F2D"/>
    <w:rsid w:val="009A40DD"/>
    <w:rsid w:val="009A4298"/>
    <w:rsid w:val="009A45AF"/>
    <w:rsid w:val="009A4635"/>
    <w:rsid w:val="009A47A7"/>
    <w:rsid w:val="009A4AA4"/>
    <w:rsid w:val="009A4F51"/>
    <w:rsid w:val="009A518C"/>
    <w:rsid w:val="009A51A8"/>
    <w:rsid w:val="009A52FA"/>
    <w:rsid w:val="009A5631"/>
    <w:rsid w:val="009A5A9E"/>
    <w:rsid w:val="009A5AF5"/>
    <w:rsid w:val="009A5B87"/>
    <w:rsid w:val="009A5CF0"/>
    <w:rsid w:val="009A5D5E"/>
    <w:rsid w:val="009A614B"/>
    <w:rsid w:val="009A6194"/>
    <w:rsid w:val="009A63FE"/>
    <w:rsid w:val="009A66C6"/>
    <w:rsid w:val="009A6950"/>
    <w:rsid w:val="009A6DAF"/>
    <w:rsid w:val="009A6EF1"/>
    <w:rsid w:val="009A72CC"/>
    <w:rsid w:val="009A7358"/>
    <w:rsid w:val="009A7557"/>
    <w:rsid w:val="009A7917"/>
    <w:rsid w:val="009A7AB0"/>
    <w:rsid w:val="009B03BD"/>
    <w:rsid w:val="009B0457"/>
    <w:rsid w:val="009B0650"/>
    <w:rsid w:val="009B06B7"/>
    <w:rsid w:val="009B0ADC"/>
    <w:rsid w:val="009B0C14"/>
    <w:rsid w:val="009B0C4F"/>
    <w:rsid w:val="009B0C68"/>
    <w:rsid w:val="009B0D2E"/>
    <w:rsid w:val="009B0EDB"/>
    <w:rsid w:val="009B0F16"/>
    <w:rsid w:val="009B0F2C"/>
    <w:rsid w:val="009B0F40"/>
    <w:rsid w:val="009B16CD"/>
    <w:rsid w:val="009B1766"/>
    <w:rsid w:val="009B1809"/>
    <w:rsid w:val="009B18A6"/>
    <w:rsid w:val="009B18BE"/>
    <w:rsid w:val="009B18FA"/>
    <w:rsid w:val="009B1903"/>
    <w:rsid w:val="009B191C"/>
    <w:rsid w:val="009B19B0"/>
    <w:rsid w:val="009B1C58"/>
    <w:rsid w:val="009B1D81"/>
    <w:rsid w:val="009B2363"/>
    <w:rsid w:val="009B23BA"/>
    <w:rsid w:val="009B240F"/>
    <w:rsid w:val="009B2892"/>
    <w:rsid w:val="009B2ED9"/>
    <w:rsid w:val="009B2F27"/>
    <w:rsid w:val="009B3005"/>
    <w:rsid w:val="009B30B5"/>
    <w:rsid w:val="009B3189"/>
    <w:rsid w:val="009B3625"/>
    <w:rsid w:val="009B3686"/>
    <w:rsid w:val="009B36D9"/>
    <w:rsid w:val="009B38ED"/>
    <w:rsid w:val="009B3B0F"/>
    <w:rsid w:val="009B3B3E"/>
    <w:rsid w:val="009B3DAC"/>
    <w:rsid w:val="009B3E5B"/>
    <w:rsid w:val="009B3F05"/>
    <w:rsid w:val="009B3FB3"/>
    <w:rsid w:val="009B40CE"/>
    <w:rsid w:val="009B41A9"/>
    <w:rsid w:val="009B43D7"/>
    <w:rsid w:val="009B4467"/>
    <w:rsid w:val="009B494B"/>
    <w:rsid w:val="009B5103"/>
    <w:rsid w:val="009B512C"/>
    <w:rsid w:val="009B51EA"/>
    <w:rsid w:val="009B547C"/>
    <w:rsid w:val="009B54D3"/>
    <w:rsid w:val="009B58DC"/>
    <w:rsid w:val="009B5997"/>
    <w:rsid w:val="009B5C99"/>
    <w:rsid w:val="009B5F00"/>
    <w:rsid w:val="009B6052"/>
    <w:rsid w:val="009B6168"/>
    <w:rsid w:val="009B6303"/>
    <w:rsid w:val="009B6406"/>
    <w:rsid w:val="009B65B8"/>
    <w:rsid w:val="009B6625"/>
    <w:rsid w:val="009B666A"/>
    <w:rsid w:val="009B66ED"/>
    <w:rsid w:val="009B69EA"/>
    <w:rsid w:val="009B6C14"/>
    <w:rsid w:val="009B6D1D"/>
    <w:rsid w:val="009B6DAA"/>
    <w:rsid w:val="009B6E1C"/>
    <w:rsid w:val="009B6E33"/>
    <w:rsid w:val="009B6F33"/>
    <w:rsid w:val="009B6F84"/>
    <w:rsid w:val="009B7032"/>
    <w:rsid w:val="009B7047"/>
    <w:rsid w:val="009B7099"/>
    <w:rsid w:val="009B717D"/>
    <w:rsid w:val="009B7394"/>
    <w:rsid w:val="009B73BD"/>
    <w:rsid w:val="009B740D"/>
    <w:rsid w:val="009B768B"/>
    <w:rsid w:val="009B7793"/>
    <w:rsid w:val="009B7A73"/>
    <w:rsid w:val="009B7C75"/>
    <w:rsid w:val="009B7E1D"/>
    <w:rsid w:val="009B7F09"/>
    <w:rsid w:val="009C01B9"/>
    <w:rsid w:val="009C02DB"/>
    <w:rsid w:val="009C02EA"/>
    <w:rsid w:val="009C0517"/>
    <w:rsid w:val="009C05C4"/>
    <w:rsid w:val="009C0C55"/>
    <w:rsid w:val="009C0D9F"/>
    <w:rsid w:val="009C103E"/>
    <w:rsid w:val="009C11D5"/>
    <w:rsid w:val="009C14AE"/>
    <w:rsid w:val="009C19DC"/>
    <w:rsid w:val="009C1D76"/>
    <w:rsid w:val="009C1D9E"/>
    <w:rsid w:val="009C1F49"/>
    <w:rsid w:val="009C2220"/>
    <w:rsid w:val="009C2B1A"/>
    <w:rsid w:val="009C2C84"/>
    <w:rsid w:val="009C2DDF"/>
    <w:rsid w:val="009C2EB3"/>
    <w:rsid w:val="009C2F4B"/>
    <w:rsid w:val="009C2F69"/>
    <w:rsid w:val="009C3055"/>
    <w:rsid w:val="009C31F6"/>
    <w:rsid w:val="009C3249"/>
    <w:rsid w:val="009C32A8"/>
    <w:rsid w:val="009C32C8"/>
    <w:rsid w:val="009C33C7"/>
    <w:rsid w:val="009C3575"/>
    <w:rsid w:val="009C3781"/>
    <w:rsid w:val="009C3B51"/>
    <w:rsid w:val="009C3C55"/>
    <w:rsid w:val="009C4004"/>
    <w:rsid w:val="009C4096"/>
    <w:rsid w:val="009C430D"/>
    <w:rsid w:val="009C4478"/>
    <w:rsid w:val="009C449F"/>
    <w:rsid w:val="009C4764"/>
    <w:rsid w:val="009C4839"/>
    <w:rsid w:val="009C4C14"/>
    <w:rsid w:val="009C4DFB"/>
    <w:rsid w:val="009C4ED3"/>
    <w:rsid w:val="009C512F"/>
    <w:rsid w:val="009C521B"/>
    <w:rsid w:val="009C5278"/>
    <w:rsid w:val="009C52B9"/>
    <w:rsid w:val="009C5335"/>
    <w:rsid w:val="009C5383"/>
    <w:rsid w:val="009C5432"/>
    <w:rsid w:val="009C545E"/>
    <w:rsid w:val="009C595A"/>
    <w:rsid w:val="009C59E5"/>
    <w:rsid w:val="009C5A20"/>
    <w:rsid w:val="009C5EC9"/>
    <w:rsid w:val="009C60C2"/>
    <w:rsid w:val="009C639D"/>
    <w:rsid w:val="009C64E8"/>
    <w:rsid w:val="009C681D"/>
    <w:rsid w:val="009C6835"/>
    <w:rsid w:val="009C6BC6"/>
    <w:rsid w:val="009C6C8B"/>
    <w:rsid w:val="009C6D08"/>
    <w:rsid w:val="009C6D30"/>
    <w:rsid w:val="009C6F92"/>
    <w:rsid w:val="009C7013"/>
    <w:rsid w:val="009C7177"/>
    <w:rsid w:val="009C71A5"/>
    <w:rsid w:val="009C7554"/>
    <w:rsid w:val="009C756A"/>
    <w:rsid w:val="009C7610"/>
    <w:rsid w:val="009C785A"/>
    <w:rsid w:val="009C7C6E"/>
    <w:rsid w:val="009C7D92"/>
    <w:rsid w:val="009D0032"/>
    <w:rsid w:val="009D00D4"/>
    <w:rsid w:val="009D0138"/>
    <w:rsid w:val="009D0141"/>
    <w:rsid w:val="009D015A"/>
    <w:rsid w:val="009D0246"/>
    <w:rsid w:val="009D04FB"/>
    <w:rsid w:val="009D0622"/>
    <w:rsid w:val="009D0984"/>
    <w:rsid w:val="009D0E5A"/>
    <w:rsid w:val="009D1018"/>
    <w:rsid w:val="009D108A"/>
    <w:rsid w:val="009D10B8"/>
    <w:rsid w:val="009D155A"/>
    <w:rsid w:val="009D17CE"/>
    <w:rsid w:val="009D17E4"/>
    <w:rsid w:val="009D197D"/>
    <w:rsid w:val="009D1C7C"/>
    <w:rsid w:val="009D1D31"/>
    <w:rsid w:val="009D1DDF"/>
    <w:rsid w:val="009D2239"/>
    <w:rsid w:val="009D2364"/>
    <w:rsid w:val="009D25B6"/>
    <w:rsid w:val="009D25EC"/>
    <w:rsid w:val="009D26DC"/>
    <w:rsid w:val="009D2903"/>
    <w:rsid w:val="009D2C14"/>
    <w:rsid w:val="009D3021"/>
    <w:rsid w:val="009D3239"/>
    <w:rsid w:val="009D338A"/>
    <w:rsid w:val="009D3478"/>
    <w:rsid w:val="009D35FB"/>
    <w:rsid w:val="009D39D3"/>
    <w:rsid w:val="009D3A19"/>
    <w:rsid w:val="009D3B1E"/>
    <w:rsid w:val="009D3B31"/>
    <w:rsid w:val="009D3D8B"/>
    <w:rsid w:val="009D4151"/>
    <w:rsid w:val="009D4239"/>
    <w:rsid w:val="009D42CA"/>
    <w:rsid w:val="009D430C"/>
    <w:rsid w:val="009D4441"/>
    <w:rsid w:val="009D45A4"/>
    <w:rsid w:val="009D4960"/>
    <w:rsid w:val="009D4B68"/>
    <w:rsid w:val="009D4C75"/>
    <w:rsid w:val="009D4D7F"/>
    <w:rsid w:val="009D4E52"/>
    <w:rsid w:val="009D4F5C"/>
    <w:rsid w:val="009D4FD9"/>
    <w:rsid w:val="009D501B"/>
    <w:rsid w:val="009D5207"/>
    <w:rsid w:val="009D524C"/>
    <w:rsid w:val="009D525E"/>
    <w:rsid w:val="009D53CE"/>
    <w:rsid w:val="009D5450"/>
    <w:rsid w:val="009D5AB2"/>
    <w:rsid w:val="009D5AD7"/>
    <w:rsid w:val="009D5B4B"/>
    <w:rsid w:val="009D5EC2"/>
    <w:rsid w:val="009D6060"/>
    <w:rsid w:val="009D618B"/>
    <w:rsid w:val="009D6195"/>
    <w:rsid w:val="009D643E"/>
    <w:rsid w:val="009D67CF"/>
    <w:rsid w:val="009D6801"/>
    <w:rsid w:val="009D69BA"/>
    <w:rsid w:val="009D6BBA"/>
    <w:rsid w:val="009D6BD7"/>
    <w:rsid w:val="009D7083"/>
    <w:rsid w:val="009D729B"/>
    <w:rsid w:val="009D7622"/>
    <w:rsid w:val="009D76C6"/>
    <w:rsid w:val="009D7710"/>
    <w:rsid w:val="009D7716"/>
    <w:rsid w:val="009D7734"/>
    <w:rsid w:val="009D77DF"/>
    <w:rsid w:val="009D7AC5"/>
    <w:rsid w:val="009D7D65"/>
    <w:rsid w:val="009E00D9"/>
    <w:rsid w:val="009E0182"/>
    <w:rsid w:val="009E02DD"/>
    <w:rsid w:val="009E0425"/>
    <w:rsid w:val="009E0636"/>
    <w:rsid w:val="009E064E"/>
    <w:rsid w:val="009E0A7E"/>
    <w:rsid w:val="009E0AB3"/>
    <w:rsid w:val="009E0B30"/>
    <w:rsid w:val="009E0BBB"/>
    <w:rsid w:val="009E0E03"/>
    <w:rsid w:val="009E0ED6"/>
    <w:rsid w:val="009E1146"/>
    <w:rsid w:val="009E13C4"/>
    <w:rsid w:val="009E13D6"/>
    <w:rsid w:val="009E154D"/>
    <w:rsid w:val="009E17BE"/>
    <w:rsid w:val="009E188A"/>
    <w:rsid w:val="009E1B85"/>
    <w:rsid w:val="009E1C3C"/>
    <w:rsid w:val="009E1D30"/>
    <w:rsid w:val="009E1D7E"/>
    <w:rsid w:val="009E1FFF"/>
    <w:rsid w:val="009E20CF"/>
    <w:rsid w:val="009E2155"/>
    <w:rsid w:val="009E21F1"/>
    <w:rsid w:val="009E22EF"/>
    <w:rsid w:val="009E2485"/>
    <w:rsid w:val="009E2945"/>
    <w:rsid w:val="009E2A44"/>
    <w:rsid w:val="009E2D29"/>
    <w:rsid w:val="009E2DA4"/>
    <w:rsid w:val="009E32D3"/>
    <w:rsid w:val="009E3334"/>
    <w:rsid w:val="009E33A9"/>
    <w:rsid w:val="009E38D8"/>
    <w:rsid w:val="009E3AB3"/>
    <w:rsid w:val="009E3AB9"/>
    <w:rsid w:val="009E3EC0"/>
    <w:rsid w:val="009E3F6A"/>
    <w:rsid w:val="009E4138"/>
    <w:rsid w:val="009E431A"/>
    <w:rsid w:val="009E45CB"/>
    <w:rsid w:val="009E474B"/>
    <w:rsid w:val="009E49E3"/>
    <w:rsid w:val="009E4A8D"/>
    <w:rsid w:val="009E4BB5"/>
    <w:rsid w:val="009E4C90"/>
    <w:rsid w:val="009E4CB3"/>
    <w:rsid w:val="009E4DB3"/>
    <w:rsid w:val="009E5902"/>
    <w:rsid w:val="009E5A60"/>
    <w:rsid w:val="009E5E71"/>
    <w:rsid w:val="009E63B5"/>
    <w:rsid w:val="009E6480"/>
    <w:rsid w:val="009E6AD6"/>
    <w:rsid w:val="009E71B9"/>
    <w:rsid w:val="009E73FD"/>
    <w:rsid w:val="009E74AB"/>
    <w:rsid w:val="009E76BF"/>
    <w:rsid w:val="009E77BD"/>
    <w:rsid w:val="009E7C19"/>
    <w:rsid w:val="009E7D8E"/>
    <w:rsid w:val="009F0265"/>
    <w:rsid w:val="009F02CC"/>
    <w:rsid w:val="009F03AB"/>
    <w:rsid w:val="009F06B4"/>
    <w:rsid w:val="009F07AC"/>
    <w:rsid w:val="009F09F4"/>
    <w:rsid w:val="009F0A20"/>
    <w:rsid w:val="009F0A49"/>
    <w:rsid w:val="009F0B8D"/>
    <w:rsid w:val="009F0BB5"/>
    <w:rsid w:val="009F0E42"/>
    <w:rsid w:val="009F0F79"/>
    <w:rsid w:val="009F106C"/>
    <w:rsid w:val="009F10DE"/>
    <w:rsid w:val="009F125C"/>
    <w:rsid w:val="009F14DA"/>
    <w:rsid w:val="009F1511"/>
    <w:rsid w:val="009F1516"/>
    <w:rsid w:val="009F152D"/>
    <w:rsid w:val="009F1560"/>
    <w:rsid w:val="009F16A9"/>
    <w:rsid w:val="009F1A7B"/>
    <w:rsid w:val="009F1CD9"/>
    <w:rsid w:val="009F21F2"/>
    <w:rsid w:val="009F2265"/>
    <w:rsid w:val="009F249B"/>
    <w:rsid w:val="009F24B9"/>
    <w:rsid w:val="009F2896"/>
    <w:rsid w:val="009F2919"/>
    <w:rsid w:val="009F2A5E"/>
    <w:rsid w:val="009F2C6F"/>
    <w:rsid w:val="009F3202"/>
    <w:rsid w:val="009F329B"/>
    <w:rsid w:val="009F3729"/>
    <w:rsid w:val="009F37AD"/>
    <w:rsid w:val="009F383F"/>
    <w:rsid w:val="009F3CBB"/>
    <w:rsid w:val="009F413C"/>
    <w:rsid w:val="009F4181"/>
    <w:rsid w:val="009F4582"/>
    <w:rsid w:val="009F45D7"/>
    <w:rsid w:val="009F46C6"/>
    <w:rsid w:val="009F4946"/>
    <w:rsid w:val="009F4BAC"/>
    <w:rsid w:val="009F4BBF"/>
    <w:rsid w:val="009F4CEE"/>
    <w:rsid w:val="009F4D4F"/>
    <w:rsid w:val="009F51CE"/>
    <w:rsid w:val="009F54A4"/>
    <w:rsid w:val="009F56FA"/>
    <w:rsid w:val="009F5877"/>
    <w:rsid w:val="009F59AA"/>
    <w:rsid w:val="009F5B85"/>
    <w:rsid w:val="009F5C85"/>
    <w:rsid w:val="009F5EB0"/>
    <w:rsid w:val="009F60C7"/>
    <w:rsid w:val="009F6252"/>
    <w:rsid w:val="009F629B"/>
    <w:rsid w:val="009F6308"/>
    <w:rsid w:val="009F63EB"/>
    <w:rsid w:val="009F671D"/>
    <w:rsid w:val="009F6C72"/>
    <w:rsid w:val="009F6CD5"/>
    <w:rsid w:val="009F6D79"/>
    <w:rsid w:val="009F6D8B"/>
    <w:rsid w:val="009F6E76"/>
    <w:rsid w:val="009F6EF2"/>
    <w:rsid w:val="009F72D1"/>
    <w:rsid w:val="009F73BE"/>
    <w:rsid w:val="009F741F"/>
    <w:rsid w:val="009F74F9"/>
    <w:rsid w:val="009F78FB"/>
    <w:rsid w:val="009F798C"/>
    <w:rsid w:val="009F7BBD"/>
    <w:rsid w:val="009F7F19"/>
    <w:rsid w:val="009F7F61"/>
    <w:rsid w:val="00A0009D"/>
    <w:rsid w:val="00A0024C"/>
    <w:rsid w:val="00A0046B"/>
    <w:rsid w:val="00A007BE"/>
    <w:rsid w:val="00A007F9"/>
    <w:rsid w:val="00A00FCD"/>
    <w:rsid w:val="00A0120D"/>
    <w:rsid w:val="00A0121E"/>
    <w:rsid w:val="00A01223"/>
    <w:rsid w:val="00A0146D"/>
    <w:rsid w:val="00A014FD"/>
    <w:rsid w:val="00A016F7"/>
    <w:rsid w:val="00A01A1D"/>
    <w:rsid w:val="00A01A27"/>
    <w:rsid w:val="00A01CF7"/>
    <w:rsid w:val="00A01D62"/>
    <w:rsid w:val="00A01E1A"/>
    <w:rsid w:val="00A02109"/>
    <w:rsid w:val="00A0241D"/>
    <w:rsid w:val="00A0242F"/>
    <w:rsid w:val="00A02477"/>
    <w:rsid w:val="00A025D5"/>
    <w:rsid w:val="00A02626"/>
    <w:rsid w:val="00A026D8"/>
    <w:rsid w:val="00A02723"/>
    <w:rsid w:val="00A02759"/>
    <w:rsid w:val="00A0287E"/>
    <w:rsid w:val="00A03468"/>
    <w:rsid w:val="00A03659"/>
    <w:rsid w:val="00A03816"/>
    <w:rsid w:val="00A0394E"/>
    <w:rsid w:val="00A0398A"/>
    <w:rsid w:val="00A039DF"/>
    <w:rsid w:val="00A03AC1"/>
    <w:rsid w:val="00A03F3F"/>
    <w:rsid w:val="00A0411A"/>
    <w:rsid w:val="00A04391"/>
    <w:rsid w:val="00A04B47"/>
    <w:rsid w:val="00A04BA3"/>
    <w:rsid w:val="00A04E79"/>
    <w:rsid w:val="00A05092"/>
    <w:rsid w:val="00A053C8"/>
    <w:rsid w:val="00A0552F"/>
    <w:rsid w:val="00A05562"/>
    <w:rsid w:val="00A0593D"/>
    <w:rsid w:val="00A05C16"/>
    <w:rsid w:val="00A06516"/>
    <w:rsid w:val="00A0665E"/>
    <w:rsid w:val="00A06768"/>
    <w:rsid w:val="00A06D10"/>
    <w:rsid w:val="00A06D3B"/>
    <w:rsid w:val="00A06DD0"/>
    <w:rsid w:val="00A070D8"/>
    <w:rsid w:val="00A07204"/>
    <w:rsid w:val="00A072DD"/>
    <w:rsid w:val="00A07A22"/>
    <w:rsid w:val="00A07C73"/>
    <w:rsid w:val="00A07D3C"/>
    <w:rsid w:val="00A07F5A"/>
    <w:rsid w:val="00A10232"/>
    <w:rsid w:val="00A1028E"/>
    <w:rsid w:val="00A10A73"/>
    <w:rsid w:val="00A10B90"/>
    <w:rsid w:val="00A10CEE"/>
    <w:rsid w:val="00A11065"/>
    <w:rsid w:val="00A110EC"/>
    <w:rsid w:val="00A11169"/>
    <w:rsid w:val="00A1170E"/>
    <w:rsid w:val="00A117B2"/>
    <w:rsid w:val="00A119DC"/>
    <w:rsid w:val="00A11AE4"/>
    <w:rsid w:val="00A11CE9"/>
    <w:rsid w:val="00A12049"/>
    <w:rsid w:val="00A120BD"/>
    <w:rsid w:val="00A12287"/>
    <w:rsid w:val="00A1228C"/>
    <w:rsid w:val="00A124C2"/>
    <w:rsid w:val="00A125A6"/>
    <w:rsid w:val="00A125DF"/>
    <w:rsid w:val="00A1260A"/>
    <w:rsid w:val="00A127CC"/>
    <w:rsid w:val="00A1283B"/>
    <w:rsid w:val="00A129A5"/>
    <w:rsid w:val="00A12C53"/>
    <w:rsid w:val="00A12FA9"/>
    <w:rsid w:val="00A1308A"/>
    <w:rsid w:val="00A1309A"/>
    <w:rsid w:val="00A132D8"/>
    <w:rsid w:val="00A13395"/>
    <w:rsid w:val="00A13397"/>
    <w:rsid w:val="00A134D7"/>
    <w:rsid w:val="00A135B1"/>
    <w:rsid w:val="00A1363E"/>
    <w:rsid w:val="00A138FA"/>
    <w:rsid w:val="00A13A97"/>
    <w:rsid w:val="00A13CD1"/>
    <w:rsid w:val="00A1419A"/>
    <w:rsid w:val="00A143D3"/>
    <w:rsid w:val="00A14530"/>
    <w:rsid w:val="00A146A3"/>
    <w:rsid w:val="00A147F9"/>
    <w:rsid w:val="00A14921"/>
    <w:rsid w:val="00A1493B"/>
    <w:rsid w:val="00A14A0F"/>
    <w:rsid w:val="00A14BCC"/>
    <w:rsid w:val="00A14C8C"/>
    <w:rsid w:val="00A14DE9"/>
    <w:rsid w:val="00A1509B"/>
    <w:rsid w:val="00A1583C"/>
    <w:rsid w:val="00A159F5"/>
    <w:rsid w:val="00A15A95"/>
    <w:rsid w:val="00A15B72"/>
    <w:rsid w:val="00A15E34"/>
    <w:rsid w:val="00A15E7D"/>
    <w:rsid w:val="00A1608B"/>
    <w:rsid w:val="00A160A9"/>
    <w:rsid w:val="00A16587"/>
    <w:rsid w:val="00A165DC"/>
    <w:rsid w:val="00A1689A"/>
    <w:rsid w:val="00A16ADA"/>
    <w:rsid w:val="00A16B4F"/>
    <w:rsid w:val="00A1702B"/>
    <w:rsid w:val="00A17040"/>
    <w:rsid w:val="00A1711D"/>
    <w:rsid w:val="00A171B3"/>
    <w:rsid w:val="00A175CE"/>
    <w:rsid w:val="00A176E1"/>
    <w:rsid w:val="00A17C5F"/>
    <w:rsid w:val="00A17E52"/>
    <w:rsid w:val="00A17F36"/>
    <w:rsid w:val="00A17FF6"/>
    <w:rsid w:val="00A202F1"/>
    <w:rsid w:val="00A2035E"/>
    <w:rsid w:val="00A20382"/>
    <w:rsid w:val="00A203AD"/>
    <w:rsid w:val="00A20573"/>
    <w:rsid w:val="00A20750"/>
    <w:rsid w:val="00A20AD4"/>
    <w:rsid w:val="00A20D50"/>
    <w:rsid w:val="00A2115A"/>
    <w:rsid w:val="00A211B5"/>
    <w:rsid w:val="00A2134B"/>
    <w:rsid w:val="00A215EF"/>
    <w:rsid w:val="00A21635"/>
    <w:rsid w:val="00A21728"/>
    <w:rsid w:val="00A21817"/>
    <w:rsid w:val="00A21B5C"/>
    <w:rsid w:val="00A21C15"/>
    <w:rsid w:val="00A21C38"/>
    <w:rsid w:val="00A21C66"/>
    <w:rsid w:val="00A21DE2"/>
    <w:rsid w:val="00A223BD"/>
    <w:rsid w:val="00A224C1"/>
    <w:rsid w:val="00A22533"/>
    <w:rsid w:val="00A22552"/>
    <w:rsid w:val="00A227B8"/>
    <w:rsid w:val="00A22CDE"/>
    <w:rsid w:val="00A22EC4"/>
    <w:rsid w:val="00A22ED2"/>
    <w:rsid w:val="00A22FC8"/>
    <w:rsid w:val="00A23077"/>
    <w:rsid w:val="00A230D1"/>
    <w:rsid w:val="00A23192"/>
    <w:rsid w:val="00A2321C"/>
    <w:rsid w:val="00A23265"/>
    <w:rsid w:val="00A23266"/>
    <w:rsid w:val="00A23414"/>
    <w:rsid w:val="00A2345A"/>
    <w:rsid w:val="00A2353D"/>
    <w:rsid w:val="00A23540"/>
    <w:rsid w:val="00A2399D"/>
    <w:rsid w:val="00A239F6"/>
    <w:rsid w:val="00A23B58"/>
    <w:rsid w:val="00A23E89"/>
    <w:rsid w:val="00A24133"/>
    <w:rsid w:val="00A241EB"/>
    <w:rsid w:val="00A244C6"/>
    <w:rsid w:val="00A24552"/>
    <w:rsid w:val="00A24789"/>
    <w:rsid w:val="00A24A2A"/>
    <w:rsid w:val="00A24A37"/>
    <w:rsid w:val="00A24A4E"/>
    <w:rsid w:val="00A24D9F"/>
    <w:rsid w:val="00A24DAC"/>
    <w:rsid w:val="00A24E70"/>
    <w:rsid w:val="00A24EFC"/>
    <w:rsid w:val="00A24F99"/>
    <w:rsid w:val="00A252CF"/>
    <w:rsid w:val="00A25527"/>
    <w:rsid w:val="00A256A1"/>
    <w:rsid w:val="00A25792"/>
    <w:rsid w:val="00A258AC"/>
    <w:rsid w:val="00A25931"/>
    <w:rsid w:val="00A25AAC"/>
    <w:rsid w:val="00A25B89"/>
    <w:rsid w:val="00A25B9E"/>
    <w:rsid w:val="00A25D1E"/>
    <w:rsid w:val="00A2622E"/>
    <w:rsid w:val="00A263DB"/>
    <w:rsid w:val="00A26552"/>
    <w:rsid w:val="00A265F9"/>
    <w:rsid w:val="00A267D6"/>
    <w:rsid w:val="00A26C0A"/>
    <w:rsid w:val="00A26CE2"/>
    <w:rsid w:val="00A26FD3"/>
    <w:rsid w:val="00A2726D"/>
    <w:rsid w:val="00A272DF"/>
    <w:rsid w:val="00A27309"/>
    <w:rsid w:val="00A2734E"/>
    <w:rsid w:val="00A273A1"/>
    <w:rsid w:val="00A27509"/>
    <w:rsid w:val="00A275D0"/>
    <w:rsid w:val="00A27601"/>
    <w:rsid w:val="00A2762F"/>
    <w:rsid w:val="00A2769D"/>
    <w:rsid w:val="00A27781"/>
    <w:rsid w:val="00A279FD"/>
    <w:rsid w:val="00A27C17"/>
    <w:rsid w:val="00A27CCB"/>
    <w:rsid w:val="00A27DAB"/>
    <w:rsid w:val="00A27E13"/>
    <w:rsid w:val="00A27EC3"/>
    <w:rsid w:val="00A30065"/>
    <w:rsid w:val="00A3017E"/>
    <w:rsid w:val="00A30429"/>
    <w:rsid w:val="00A3062B"/>
    <w:rsid w:val="00A3065A"/>
    <w:rsid w:val="00A308A5"/>
    <w:rsid w:val="00A30D48"/>
    <w:rsid w:val="00A30F65"/>
    <w:rsid w:val="00A30F8C"/>
    <w:rsid w:val="00A3108D"/>
    <w:rsid w:val="00A31100"/>
    <w:rsid w:val="00A31342"/>
    <w:rsid w:val="00A31547"/>
    <w:rsid w:val="00A31690"/>
    <w:rsid w:val="00A316D6"/>
    <w:rsid w:val="00A31B09"/>
    <w:rsid w:val="00A31B58"/>
    <w:rsid w:val="00A31BD9"/>
    <w:rsid w:val="00A31DEA"/>
    <w:rsid w:val="00A32247"/>
    <w:rsid w:val="00A32974"/>
    <w:rsid w:val="00A32D4C"/>
    <w:rsid w:val="00A32DE1"/>
    <w:rsid w:val="00A3353A"/>
    <w:rsid w:val="00A33559"/>
    <w:rsid w:val="00A33645"/>
    <w:rsid w:val="00A33720"/>
    <w:rsid w:val="00A33840"/>
    <w:rsid w:val="00A338F9"/>
    <w:rsid w:val="00A33C2E"/>
    <w:rsid w:val="00A33DA4"/>
    <w:rsid w:val="00A33E43"/>
    <w:rsid w:val="00A34242"/>
    <w:rsid w:val="00A34373"/>
    <w:rsid w:val="00A3441C"/>
    <w:rsid w:val="00A344E2"/>
    <w:rsid w:val="00A34577"/>
    <w:rsid w:val="00A345CC"/>
    <w:rsid w:val="00A345D4"/>
    <w:rsid w:val="00A345E1"/>
    <w:rsid w:val="00A345FD"/>
    <w:rsid w:val="00A34627"/>
    <w:rsid w:val="00A3476E"/>
    <w:rsid w:val="00A34AD7"/>
    <w:rsid w:val="00A34F24"/>
    <w:rsid w:val="00A34FB8"/>
    <w:rsid w:val="00A34FC7"/>
    <w:rsid w:val="00A351C0"/>
    <w:rsid w:val="00A35302"/>
    <w:rsid w:val="00A3567E"/>
    <w:rsid w:val="00A35682"/>
    <w:rsid w:val="00A3597B"/>
    <w:rsid w:val="00A359CA"/>
    <w:rsid w:val="00A35C21"/>
    <w:rsid w:val="00A35CD2"/>
    <w:rsid w:val="00A35D4A"/>
    <w:rsid w:val="00A36006"/>
    <w:rsid w:val="00A360F8"/>
    <w:rsid w:val="00A36110"/>
    <w:rsid w:val="00A362E0"/>
    <w:rsid w:val="00A363C5"/>
    <w:rsid w:val="00A36467"/>
    <w:rsid w:val="00A36617"/>
    <w:rsid w:val="00A366DD"/>
    <w:rsid w:val="00A367CE"/>
    <w:rsid w:val="00A3686C"/>
    <w:rsid w:val="00A369FD"/>
    <w:rsid w:val="00A36B75"/>
    <w:rsid w:val="00A36C5C"/>
    <w:rsid w:val="00A36D84"/>
    <w:rsid w:val="00A36E76"/>
    <w:rsid w:val="00A36F5E"/>
    <w:rsid w:val="00A370FF"/>
    <w:rsid w:val="00A37413"/>
    <w:rsid w:val="00A37619"/>
    <w:rsid w:val="00A3766B"/>
    <w:rsid w:val="00A377D0"/>
    <w:rsid w:val="00A377DE"/>
    <w:rsid w:val="00A377FF"/>
    <w:rsid w:val="00A37945"/>
    <w:rsid w:val="00A3795F"/>
    <w:rsid w:val="00A379E2"/>
    <w:rsid w:val="00A37A1E"/>
    <w:rsid w:val="00A37A8E"/>
    <w:rsid w:val="00A37CE0"/>
    <w:rsid w:val="00A37E27"/>
    <w:rsid w:val="00A37FD9"/>
    <w:rsid w:val="00A37FDE"/>
    <w:rsid w:val="00A405D0"/>
    <w:rsid w:val="00A4078D"/>
    <w:rsid w:val="00A40805"/>
    <w:rsid w:val="00A40D9E"/>
    <w:rsid w:val="00A40FFE"/>
    <w:rsid w:val="00A41014"/>
    <w:rsid w:val="00A41426"/>
    <w:rsid w:val="00A414AA"/>
    <w:rsid w:val="00A417BF"/>
    <w:rsid w:val="00A41A6C"/>
    <w:rsid w:val="00A41AE9"/>
    <w:rsid w:val="00A41ED9"/>
    <w:rsid w:val="00A421AF"/>
    <w:rsid w:val="00A422AF"/>
    <w:rsid w:val="00A4272E"/>
    <w:rsid w:val="00A428CD"/>
    <w:rsid w:val="00A42935"/>
    <w:rsid w:val="00A42A62"/>
    <w:rsid w:val="00A42C28"/>
    <w:rsid w:val="00A43141"/>
    <w:rsid w:val="00A43423"/>
    <w:rsid w:val="00A43687"/>
    <w:rsid w:val="00A4385F"/>
    <w:rsid w:val="00A4391D"/>
    <w:rsid w:val="00A43AEA"/>
    <w:rsid w:val="00A43EA6"/>
    <w:rsid w:val="00A44006"/>
    <w:rsid w:val="00A4401F"/>
    <w:rsid w:val="00A4416A"/>
    <w:rsid w:val="00A444C8"/>
    <w:rsid w:val="00A44582"/>
    <w:rsid w:val="00A445A5"/>
    <w:rsid w:val="00A44637"/>
    <w:rsid w:val="00A4476F"/>
    <w:rsid w:val="00A4494B"/>
    <w:rsid w:val="00A44B5E"/>
    <w:rsid w:val="00A44C2E"/>
    <w:rsid w:val="00A44D5F"/>
    <w:rsid w:val="00A450C9"/>
    <w:rsid w:val="00A4529B"/>
    <w:rsid w:val="00A45581"/>
    <w:rsid w:val="00A458B2"/>
    <w:rsid w:val="00A45AB7"/>
    <w:rsid w:val="00A45ACE"/>
    <w:rsid w:val="00A45B64"/>
    <w:rsid w:val="00A45B92"/>
    <w:rsid w:val="00A45F6F"/>
    <w:rsid w:val="00A460C0"/>
    <w:rsid w:val="00A462FD"/>
    <w:rsid w:val="00A465DE"/>
    <w:rsid w:val="00A465FA"/>
    <w:rsid w:val="00A46826"/>
    <w:rsid w:val="00A46C03"/>
    <w:rsid w:val="00A46D83"/>
    <w:rsid w:val="00A47036"/>
    <w:rsid w:val="00A47044"/>
    <w:rsid w:val="00A47340"/>
    <w:rsid w:val="00A4745F"/>
    <w:rsid w:val="00A4762C"/>
    <w:rsid w:val="00A47744"/>
    <w:rsid w:val="00A477DD"/>
    <w:rsid w:val="00A478DF"/>
    <w:rsid w:val="00A47B31"/>
    <w:rsid w:val="00A47B74"/>
    <w:rsid w:val="00A47F01"/>
    <w:rsid w:val="00A5016B"/>
    <w:rsid w:val="00A5063D"/>
    <w:rsid w:val="00A506C9"/>
    <w:rsid w:val="00A5070C"/>
    <w:rsid w:val="00A5073D"/>
    <w:rsid w:val="00A507C6"/>
    <w:rsid w:val="00A508A9"/>
    <w:rsid w:val="00A509A2"/>
    <w:rsid w:val="00A50B12"/>
    <w:rsid w:val="00A51090"/>
    <w:rsid w:val="00A510C0"/>
    <w:rsid w:val="00A511FF"/>
    <w:rsid w:val="00A5152C"/>
    <w:rsid w:val="00A51773"/>
    <w:rsid w:val="00A51995"/>
    <w:rsid w:val="00A51B83"/>
    <w:rsid w:val="00A51C6F"/>
    <w:rsid w:val="00A51F89"/>
    <w:rsid w:val="00A52008"/>
    <w:rsid w:val="00A5218F"/>
    <w:rsid w:val="00A5288F"/>
    <w:rsid w:val="00A528D8"/>
    <w:rsid w:val="00A529E9"/>
    <w:rsid w:val="00A52A06"/>
    <w:rsid w:val="00A52C0B"/>
    <w:rsid w:val="00A52C26"/>
    <w:rsid w:val="00A52CEB"/>
    <w:rsid w:val="00A52E21"/>
    <w:rsid w:val="00A53735"/>
    <w:rsid w:val="00A53A32"/>
    <w:rsid w:val="00A53AF0"/>
    <w:rsid w:val="00A53B91"/>
    <w:rsid w:val="00A53C3B"/>
    <w:rsid w:val="00A53D70"/>
    <w:rsid w:val="00A53D9F"/>
    <w:rsid w:val="00A53FB1"/>
    <w:rsid w:val="00A5413C"/>
    <w:rsid w:val="00A54573"/>
    <w:rsid w:val="00A54665"/>
    <w:rsid w:val="00A547FA"/>
    <w:rsid w:val="00A547FE"/>
    <w:rsid w:val="00A54879"/>
    <w:rsid w:val="00A54891"/>
    <w:rsid w:val="00A54E44"/>
    <w:rsid w:val="00A54EAB"/>
    <w:rsid w:val="00A54F64"/>
    <w:rsid w:val="00A553F4"/>
    <w:rsid w:val="00A5570A"/>
    <w:rsid w:val="00A5580A"/>
    <w:rsid w:val="00A5589D"/>
    <w:rsid w:val="00A558EE"/>
    <w:rsid w:val="00A55A34"/>
    <w:rsid w:val="00A55AAE"/>
    <w:rsid w:val="00A55F44"/>
    <w:rsid w:val="00A55FB9"/>
    <w:rsid w:val="00A56280"/>
    <w:rsid w:val="00A562CC"/>
    <w:rsid w:val="00A564BE"/>
    <w:rsid w:val="00A56842"/>
    <w:rsid w:val="00A568CC"/>
    <w:rsid w:val="00A56900"/>
    <w:rsid w:val="00A56AD0"/>
    <w:rsid w:val="00A56CBF"/>
    <w:rsid w:val="00A56EA0"/>
    <w:rsid w:val="00A56F5B"/>
    <w:rsid w:val="00A571C5"/>
    <w:rsid w:val="00A571FA"/>
    <w:rsid w:val="00A57397"/>
    <w:rsid w:val="00A574A2"/>
    <w:rsid w:val="00A574C7"/>
    <w:rsid w:val="00A5797A"/>
    <w:rsid w:val="00A579BB"/>
    <w:rsid w:val="00A57A31"/>
    <w:rsid w:val="00A57CC1"/>
    <w:rsid w:val="00A57CD8"/>
    <w:rsid w:val="00A57DBE"/>
    <w:rsid w:val="00A57FAE"/>
    <w:rsid w:val="00A60025"/>
    <w:rsid w:val="00A60038"/>
    <w:rsid w:val="00A6022B"/>
    <w:rsid w:val="00A6031E"/>
    <w:rsid w:val="00A60574"/>
    <w:rsid w:val="00A605D9"/>
    <w:rsid w:val="00A6080A"/>
    <w:rsid w:val="00A60920"/>
    <w:rsid w:val="00A609DC"/>
    <w:rsid w:val="00A60B8B"/>
    <w:rsid w:val="00A612F3"/>
    <w:rsid w:val="00A61357"/>
    <w:rsid w:val="00A61AE1"/>
    <w:rsid w:val="00A61EE3"/>
    <w:rsid w:val="00A623A5"/>
    <w:rsid w:val="00A62529"/>
    <w:rsid w:val="00A62586"/>
    <w:rsid w:val="00A6263F"/>
    <w:rsid w:val="00A62769"/>
    <w:rsid w:val="00A62B86"/>
    <w:rsid w:val="00A62CE0"/>
    <w:rsid w:val="00A62E6E"/>
    <w:rsid w:val="00A6327C"/>
    <w:rsid w:val="00A63315"/>
    <w:rsid w:val="00A63334"/>
    <w:rsid w:val="00A63363"/>
    <w:rsid w:val="00A63590"/>
    <w:rsid w:val="00A63730"/>
    <w:rsid w:val="00A63808"/>
    <w:rsid w:val="00A63842"/>
    <w:rsid w:val="00A63A6A"/>
    <w:rsid w:val="00A63AFD"/>
    <w:rsid w:val="00A63B0F"/>
    <w:rsid w:val="00A63C81"/>
    <w:rsid w:val="00A63CEB"/>
    <w:rsid w:val="00A63EB5"/>
    <w:rsid w:val="00A6406B"/>
    <w:rsid w:val="00A64108"/>
    <w:rsid w:val="00A641E7"/>
    <w:rsid w:val="00A64334"/>
    <w:rsid w:val="00A644A7"/>
    <w:rsid w:val="00A6476F"/>
    <w:rsid w:val="00A648C9"/>
    <w:rsid w:val="00A64BCD"/>
    <w:rsid w:val="00A64ECE"/>
    <w:rsid w:val="00A65169"/>
    <w:rsid w:val="00A653C7"/>
    <w:rsid w:val="00A653FD"/>
    <w:rsid w:val="00A6596A"/>
    <w:rsid w:val="00A659A1"/>
    <w:rsid w:val="00A65DBE"/>
    <w:rsid w:val="00A6606B"/>
    <w:rsid w:val="00A660A7"/>
    <w:rsid w:val="00A66104"/>
    <w:rsid w:val="00A66149"/>
    <w:rsid w:val="00A661E9"/>
    <w:rsid w:val="00A666C2"/>
    <w:rsid w:val="00A666F5"/>
    <w:rsid w:val="00A66701"/>
    <w:rsid w:val="00A66BF2"/>
    <w:rsid w:val="00A66C5B"/>
    <w:rsid w:val="00A66D84"/>
    <w:rsid w:val="00A6759B"/>
    <w:rsid w:val="00A67639"/>
    <w:rsid w:val="00A67759"/>
    <w:rsid w:val="00A67835"/>
    <w:rsid w:val="00A67860"/>
    <w:rsid w:val="00A67D99"/>
    <w:rsid w:val="00A67E9F"/>
    <w:rsid w:val="00A67EDB"/>
    <w:rsid w:val="00A67FA4"/>
    <w:rsid w:val="00A70970"/>
    <w:rsid w:val="00A709AD"/>
    <w:rsid w:val="00A70BD2"/>
    <w:rsid w:val="00A70CAB"/>
    <w:rsid w:val="00A70D31"/>
    <w:rsid w:val="00A71086"/>
    <w:rsid w:val="00A71276"/>
    <w:rsid w:val="00A712EE"/>
    <w:rsid w:val="00A7166E"/>
    <w:rsid w:val="00A71777"/>
    <w:rsid w:val="00A7178E"/>
    <w:rsid w:val="00A71ADF"/>
    <w:rsid w:val="00A722DD"/>
    <w:rsid w:val="00A72327"/>
    <w:rsid w:val="00A723CB"/>
    <w:rsid w:val="00A7252B"/>
    <w:rsid w:val="00A72575"/>
    <w:rsid w:val="00A72731"/>
    <w:rsid w:val="00A72880"/>
    <w:rsid w:val="00A729BD"/>
    <w:rsid w:val="00A72CCE"/>
    <w:rsid w:val="00A734C1"/>
    <w:rsid w:val="00A736C2"/>
    <w:rsid w:val="00A738DC"/>
    <w:rsid w:val="00A73BCF"/>
    <w:rsid w:val="00A742A1"/>
    <w:rsid w:val="00A745E1"/>
    <w:rsid w:val="00A746C1"/>
    <w:rsid w:val="00A746D2"/>
    <w:rsid w:val="00A746D7"/>
    <w:rsid w:val="00A746DE"/>
    <w:rsid w:val="00A7475A"/>
    <w:rsid w:val="00A74CE8"/>
    <w:rsid w:val="00A74DCD"/>
    <w:rsid w:val="00A74E86"/>
    <w:rsid w:val="00A74F20"/>
    <w:rsid w:val="00A75324"/>
    <w:rsid w:val="00A75CCB"/>
    <w:rsid w:val="00A75DAB"/>
    <w:rsid w:val="00A75F15"/>
    <w:rsid w:val="00A75F52"/>
    <w:rsid w:val="00A76194"/>
    <w:rsid w:val="00A761E0"/>
    <w:rsid w:val="00A762BD"/>
    <w:rsid w:val="00A762CD"/>
    <w:rsid w:val="00A76878"/>
    <w:rsid w:val="00A76958"/>
    <w:rsid w:val="00A76A0A"/>
    <w:rsid w:val="00A76A84"/>
    <w:rsid w:val="00A76B7E"/>
    <w:rsid w:val="00A76D2D"/>
    <w:rsid w:val="00A76DCA"/>
    <w:rsid w:val="00A76E4C"/>
    <w:rsid w:val="00A76EAD"/>
    <w:rsid w:val="00A76FC2"/>
    <w:rsid w:val="00A7746F"/>
    <w:rsid w:val="00A77B6A"/>
    <w:rsid w:val="00A77BF1"/>
    <w:rsid w:val="00A77FA0"/>
    <w:rsid w:val="00A77FB3"/>
    <w:rsid w:val="00A80290"/>
    <w:rsid w:val="00A804BE"/>
    <w:rsid w:val="00A80501"/>
    <w:rsid w:val="00A8052F"/>
    <w:rsid w:val="00A8064A"/>
    <w:rsid w:val="00A80899"/>
    <w:rsid w:val="00A80975"/>
    <w:rsid w:val="00A80D08"/>
    <w:rsid w:val="00A80E00"/>
    <w:rsid w:val="00A80F21"/>
    <w:rsid w:val="00A81045"/>
    <w:rsid w:val="00A8143F"/>
    <w:rsid w:val="00A814F1"/>
    <w:rsid w:val="00A817BB"/>
    <w:rsid w:val="00A8196D"/>
    <w:rsid w:val="00A8199D"/>
    <w:rsid w:val="00A81DD6"/>
    <w:rsid w:val="00A81E4C"/>
    <w:rsid w:val="00A82090"/>
    <w:rsid w:val="00A82096"/>
    <w:rsid w:val="00A8249D"/>
    <w:rsid w:val="00A82917"/>
    <w:rsid w:val="00A829BB"/>
    <w:rsid w:val="00A829E3"/>
    <w:rsid w:val="00A82B75"/>
    <w:rsid w:val="00A82BFB"/>
    <w:rsid w:val="00A82C61"/>
    <w:rsid w:val="00A82F13"/>
    <w:rsid w:val="00A8302B"/>
    <w:rsid w:val="00A8339B"/>
    <w:rsid w:val="00A83430"/>
    <w:rsid w:val="00A83565"/>
    <w:rsid w:val="00A83585"/>
    <w:rsid w:val="00A835E6"/>
    <w:rsid w:val="00A83680"/>
    <w:rsid w:val="00A83789"/>
    <w:rsid w:val="00A8384C"/>
    <w:rsid w:val="00A83B8C"/>
    <w:rsid w:val="00A83C1C"/>
    <w:rsid w:val="00A83D00"/>
    <w:rsid w:val="00A83D37"/>
    <w:rsid w:val="00A84259"/>
    <w:rsid w:val="00A8442B"/>
    <w:rsid w:val="00A848CB"/>
    <w:rsid w:val="00A849B3"/>
    <w:rsid w:val="00A84A18"/>
    <w:rsid w:val="00A84A42"/>
    <w:rsid w:val="00A84B20"/>
    <w:rsid w:val="00A84B34"/>
    <w:rsid w:val="00A84C90"/>
    <w:rsid w:val="00A84D54"/>
    <w:rsid w:val="00A84EB0"/>
    <w:rsid w:val="00A84EE5"/>
    <w:rsid w:val="00A8519A"/>
    <w:rsid w:val="00A853AD"/>
    <w:rsid w:val="00A853AF"/>
    <w:rsid w:val="00A85624"/>
    <w:rsid w:val="00A85B57"/>
    <w:rsid w:val="00A85D15"/>
    <w:rsid w:val="00A85EBB"/>
    <w:rsid w:val="00A8612B"/>
    <w:rsid w:val="00A861C8"/>
    <w:rsid w:val="00A86616"/>
    <w:rsid w:val="00A86686"/>
    <w:rsid w:val="00A86746"/>
    <w:rsid w:val="00A8686A"/>
    <w:rsid w:val="00A86892"/>
    <w:rsid w:val="00A86A3C"/>
    <w:rsid w:val="00A86F6C"/>
    <w:rsid w:val="00A870F5"/>
    <w:rsid w:val="00A87133"/>
    <w:rsid w:val="00A87228"/>
    <w:rsid w:val="00A87298"/>
    <w:rsid w:val="00A875F0"/>
    <w:rsid w:val="00A87C0A"/>
    <w:rsid w:val="00A87CB5"/>
    <w:rsid w:val="00A87D05"/>
    <w:rsid w:val="00A87DE8"/>
    <w:rsid w:val="00A87E48"/>
    <w:rsid w:val="00A90101"/>
    <w:rsid w:val="00A90109"/>
    <w:rsid w:val="00A901D8"/>
    <w:rsid w:val="00A90673"/>
    <w:rsid w:val="00A909B1"/>
    <w:rsid w:val="00A90A8C"/>
    <w:rsid w:val="00A90D69"/>
    <w:rsid w:val="00A9147F"/>
    <w:rsid w:val="00A91878"/>
    <w:rsid w:val="00A918C8"/>
    <w:rsid w:val="00A91997"/>
    <w:rsid w:val="00A91B3D"/>
    <w:rsid w:val="00A9215C"/>
    <w:rsid w:val="00A921D4"/>
    <w:rsid w:val="00A92212"/>
    <w:rsid w:val="00A92312"/>
    <w:rsid w:val="00A92321"/>
    <w:rsid w:val="00A9241E"/>
    <w:rsid w:val="00A92750"/>
    <w:rsid w:val="00A9284D"/>
    <w:rsid w:val="00A928BC"/>
    <w:rsid w:val="00A9291D"/>
    <w:rsid w:val="00A929FD"/>
    <w:rsid w:val="00A92ADD"/>
    <w:rsid w:val="00A92C25"/>
    <w:rsid w:val="00A92E05"/>
    <w:rsid w:val="00A92E2F"/>
    <w:rsid w:val="00A92E4D"/>
    <w:rsid w:val="00A92E50"/>
    <w:rsid w:val="00A93041"/>
    <w:rsid w:val="00A93384"/>
    <w:rsid w:val="00A933A6"/>
    <w:rsid w:val="00A936CD"/>
    <w:rsid w:val="00A93793"/>
    <w:rsid w:val="00A938BA"/>
    <w:rsid w:val="00A938D2"/>
    <w:rsid w:val="00A939A4"/>
    <w:rsid w:val="00A944BD"/>
    <w:rsid w:val="00A94523"/>
    <w:rsid w:val="00A94587"/>
    <w:rsid w:val="00A94609"/>
    <w:rsid w:val="00A948CA"/>
    <w:rsid w:val="00A94F67"/>
    <w:rsid w:val="00A953D7"/>
    <w:rsid w:val="00A9542B"/>
    <w:rsid w:val="00A95ADF"/>
    <w:rsid w:val="00A95C7E"/>
    <w:rsid w:val="00A95C81"/>
    <w:rsid w:val="00A95D37"/>
    <w:rsid w:val="00A95DD8"/>
    <w:rsid w:val="00A95EDC"/>
    <w:rsid w:val="00A9605C"/>
    <w:rsid w:val="00A96209"/>
    <w:rsid w:val="00A96218"/>
    <w:rsid w:val="00A963DD"/>
    <w:rsid w:val="00A965EC"/>
    <w:rsid w:val="00A96635"/>
    <w:rsid w:val="00A966F7"/>
    <w:rsid w:val="00A96B4B"/>
    <w:rsid w:val="00A96D51"/>
    <w:rsid w:val="00A96E93"/>
    <w:rsid w:val="00A9721E"/>
    <w:rsid w:val="00A9728B"/>
    <w:rsid w:val="00A973FF"/>
    <w:rsid w:val="00A974A0"/>
    <w:rsid w:val="00A974D3"/>
    <w:rsid w:val="00A97538"/>
    <w:rsid w:val="00A97762"/>
    <w:rsid w:val="00A97881"/>
    <w:rsid w:val="00A9788C"/>
    <w:rsid w:val="00A978F5"/>
    <w:rsid w:val="00A97B28"/>
    <w:rsid w:val="00A97C5F"/>
    <w:rsid w:val="00A97E27"/>
    <w:rsid w:val="00A97E4C"/>
    <w:rsid w:val="00A97F1C"/>
    <w:rsid w:val="00AA02DC"/>
    <w:rsid w:val="00AA03D6"/>
    <w:rsid w:val="00AA06D5"/>
    <w:rsid w:val="00AA0761"/>
    <w:rsid w:val="00AA0881"/>
    <w:rsid w:val="00AA0960"/>
    <w:rsid w:val="00AA0975"/>
    <w:rsid w:val="00AA09D4"/>
    <w:rsid w:val="00AA0B60"/>
    <w:rsid w:val="00AA0CD5"/>
    <w:rsid w:val="00AA129C"/>
    <w:rsid w:val="00AA1353"/>
    <w:rsid w:val="00AA1601"/>
    <w:rsid w:val="00AA162B"/>
    <w:rsid w:val="00AA1752"/>
    <w:rsid w:val="00AA1A75"/>
    <w:rsid w:val="00AA1C2C"/>
    <w:rsid w:val="00AA1E1B"/>
    <w:rsid w:val="00AA1FC7"/>
    <w:rsid w:val="00AA1FDF"/>
    <w:rsid w:val="00AA2018"/>
    <w:rsid w:val="00AA2193"/>
    <w:rsid w:val="00AA2286"/>
    <w:rsid w:val="00AA2367"/>
    <w:rsid w:val="00AA25CE"/>
    <w:rsid w:val="00AA276D"/>
    <w:rsid w:val="00AA290E"/>
    <w:rsid w:val="00AA2BDA"/>
    <w:rsid w:val="00AA3293"/>
    <w:rsid w:val="00AA33EF"/>
    <w:rsid w:val="00AA3404"/>
    <w:rsid w:val="00AA36B1"/>
    <w:rsid w:val="00AA37AB"/>
    <w:rsid w:val="00AA37F1"/>
    <w:rsid w:val="00AA3830"/>
    <w:rsid w:val="00AA3836"/>
    <w:rsid w:val="00AA39C3"/>
    <w:rsid w:val="00AA3A1A"/>
    <w:rsid w:val="00AA3C14"/>
    <w:rsid w:val="00AA3F1E"/>
    <w:rsid w:val="00AA4164"/>
    <w:rsid w:val="00AA41A6"/>
    <w:rsid w:val="00AA4398"/>
    <w:rsid w:val="00AA45F5"/>
    <w:rsid w:val="00AA4630"/>
    <w:rsid w:val="00AA49AF"/>
    <w:rsid w:val="00AA49D5"/>
    <w:rsid w:val="00AA4A81"/>
    <w:rsid w:val="00AA4B4D"/>
    <w:rsid w:val="00AA4BAF"/>
    <w:rsid w:val="00AA4CE0"/>
    <w:rsid w:val="00AA4E7B"/>
    <w:rsid w:val="00AA5078"/>
    <w:rsid w:val="00AA5268"/>
    <w:rsid w:val="00AA5374"/>
    <w:rsid w:val="00AA5500"/>
    <w:rsid w:val="00AA56E9"/>
    <w:rsid w:val="00AA5770"/>
    <w:rsid w:val="00AA57AC"/>
    <w:rsid w:val="00AA5B47"/>
    <w:rsid w:val="00AA5CF8"/>
    <w:rsid w:val="00AA5DD8"/>
    <w:rsid w:val="00AA603D"/>
    <w:rsid w:val="00AA6174"/>
    <w:rsid w:val="00AA618A"/>
    <w:rsid w:val="00AA6593"/>
    <w:rsid w:val="00AA6626"/>
    <w:rsid w:val="00AA6698"/>
    <w:rsid w:val="00AA6910"/>
    <w:rsid w:val="00AA6A88"/>
    <w:rsid w:val="00AA6E14"/>
    <w:rsid w:val="00AA71F4"/>
    <w:rsid w:val="00AA7425"/>
    <w:rsid w:val="00AA7D04"/>
    <w:rsid w:val="00AA7EA2"/>
    <w:rsid w:val="00AA7ED9"/>
    <w:rsid w:val="00AB017C"/>
    <w:rsid w:val="00AB0303"/>
    <w:rsid w:val="00AB0429"/>
    <w:rsid w:val="00AB0485"/>
    <w:rsid w:val="00AB07B2"/>
    <w:rsid w:val="00AB080C"/>
    <w:rsid w:val="00AB0851"/>
    <w:rsid w:val="00AB0A65"/>
    <w:rsid w:val="00AB0BDF"/>
    <w:rsid w:val="00AB0E9E"/>
    <w:rsid w:val="00AB0EC7"/>
    <w:rsid w:val="00AB101D"/>
    <w:rsid w:val="00AB116C"/>
    <w:rsid w:val="00AB16E6"/>
    <w:rsid w:val="00AB171C"/>
    <w:rsid w:val="00AB1BA3"/>
    <w:rsid w:val="00AB1EB4"/>
    <w:rsid w:val="00AB1F6E"/>
    <w:rsid w:val="00AB2184"/>
    <w:rsid w:val="00AB21BC"/>
    <w:rsid w:val="00AB2267"/>
    <w:rsid w:val="00AB227C"/>
    <w:rsid w:val="00AB23AD"/>
    <w:rsid w:val="00AB2A1B"/>
    <w:rsid w:val="00AB2CE6"/>
    <w:rsid w:val="00AB2D5A"/>
    <w:rsid w:val="00AB2D6B"/>
    <w:rsid w:val="00AB3023"/>
    <w:rsid w:val="00AB3200"/>
    <w:rsid w:val="00AB33D6"/>
    <w:rsid w:val="00AB365F"/>
    <w:rsid w:val="00AB36EB"/>
    <w:rsid w:val="00AB37C4"/>
    <w:rsid w:val="00AB3937"/>
    <w:rsid w:val="00AB39E1"/>
    <w:rsid w:val="00AB3B7A"/>
    <w:rsid w:val="00AB3CE3"/>
    <w:rsid w:val="00AB3DBB"/>
    <w:rsid w:val="00AB3EAA"/>
    <w:rsid w:val="00AB4002"/>
    <w:rsid w:val="00AB4297"/>
    <w:rsid w:val="00AB48A7"/>
    <w:rsid w:val="00AB496F"/>
    <w:rsid w:val="00AB4996"/>
    <w:rsid w:val="00AB4C59"/>
    <w:rsid w:val="00AB4D49"/>
    <w:rsid w:val="00AB4E8E"/>
    <w:rsid w:val="00AB5045"/>
    <w:rsid w:val="00AB50E5"/>
    <w:rsid w:val="00AB5340"/>
    <w:rsid w:val="00AB5390"/>
    <w:rsid w:val="00AB54FE"/>
    <w:rsid w:val="00AB5553"/>
    <w:rsid w:val="00AB572D"/>
    <w:rsid w:val="00AB5BDB"/>
    <w:rsid w:val="00AB5CBF"/>
    <w:rsid w:val="00AB5E08"/>
    <w:rsid w:val="00AB5F3E"/>
    <w:rsid w:val="00AB606F"/>
    <w:rsid w:val="00AB6363"/>
    <w:rsid w:val="00AB6460"/>
    <w:rsid w:val="00AB64A1"/>
    <w:rsid w:val="00AB64D6"/>
    <w:rsid w:val="00AB664D"/>
    <w:rsid w:val="00AB6AD9"/>
    <w:rsid w:val="00AB6F35"/>
    <w:rsid w:val="00AB70D2"/>
    <w:rsid w:val="00AB7536"/>
    <w:rsid w:val="00AB75D6"/>
    <w:rsid w:val="00AB7617"/>
    <w:rsid w:val="00AB7630"/>
    <w:rsid w:val="00AB7A0F"/>
    <w:rsid w:val="00AB7C7F"/>
    <w:rsid w:val="00AB7CDB"/>
    <w:rsid w:val="00AB7F91"/>
    <w:rsid w:val="00AB7FA7"/>
    <w:rsid w:val="00AC0050"/>
    <w:rsid w:val="00AC0066"/>
    <w:rsid w:val="00AC01C0"/>
    <w:rsid w:val="00AC0219"/>
    <w:rsid w:val="00AC032F"/>
    <w:rsid w:val="00AC076B"/>
    <w:rsid w:val="00AC08F9"/>
    <w:rsid w:val="00AC093A"/>
    <w:rsid w:val="00AC0BAF"/>
    <w:rsid w:val="00AC0F31"/>
    <w:rsid w:val="00AC0FF3"/>
    <w:rsid w:val="00AC1200"/>
    <w:rsid w:val="00AC135F"/>
    <w:rsid w:val="00AC137B"/>
    <w:rsid w:val="00AC137D"/>
    <w:rsid w:val="00AC1872"/>
    <w:rsid w:val="00AC18B6"/>
    <w:rsid w:val="00AC193E"/>
    <w:rsid w:val="00AC19FF"/>
    <w:rsid w:val="00AC1A4A"/>
    <w:rsid w:val="00AC1A99"/>
    <w:rsid w:val="00AC1EC3"/>
    <w:rsid w:val="00AC1EFF"/>
    <w:rsid w:val="00AC1FAD"/>
    <w:rsid w:val="00AC203B"/>
    <w:rsid w:val="00AC227B"/>
    <w:rsid w:val="00AC26D7"/>
    <w:rsid w:val="00AC2805"/>
    <w:rsid w:val="00AC283C"/>
    <w:rsid w:val="00AC285E"/>
    <w:rsid w:val="00AC2A26"/>
    <w:rsid w:val="00AC30EF"/>
    <w:rsid w:val="00AC34A4"/>
    <w:rsid w:val="00AC34BF"/>
    <w:rsid w:val="00AC3538"/>
    <w:rsid w:val="00AC3565"/>
    <w:rsid w:val="00AC36C1"/>
    <w:rsid w:val="00AC3B14"/>
    <w:rsid w:val="00AC3B9C"/>
    <w:rsid w:val="00AC41DB"/>
    <w:rsid w:val="00AC42CF"/>
    <w:rsid w:val="00AC4325"/>
    <w:rsid w:val="00AC432A"/>
    <w:rsid w:val="00AC434F"/>
    <w:rsid w:val="00AC45C8"/>
    <w:rsid w:val="00AC4716"/>
    <w:rsid w:val="00AC47C1"/>
    <w:rsid w:val="00AC4915"/>
    <w:rsid w:val="00AC4BB9"/>
    <w:rsid w:val="00AC4BEA"/>
    <w:rsid w:val="00AC4D1E"/>
    <w:rsid w:val="00AC4E6D"/>
    <w:rsid w:val="00AC50A1"/>
    <w:rsid w:val="00AC50B2"/>
    <w:rsid w:val="00AC51F9"/>
    <w:rsid w:val="00AC525F"/>
    <w:rsid w:val="00AC52B8"/>
    <w:rsid w:val="00AC541D"/>
    <w:rsid w:val="00AC561C"/>
    <w:rsid w:val="00AC57D5"/>
    <w:rsid w:val="00AC5896"/>
    <w:rsid w:val="00AC5930"/>
    <w:rsid w:val="00AC5987"/>
    <w:rsid w:val="00AC5B99"/>
    <w:rsid w:val="00AC5C4A"/>
    <w:rsid w:val="00AC5F4B"/>
    <w:rsid w:val="00AC6002"/>
    <w:rsid w:val="00AC6047"/>
    <w:rsid w:val="00AC64C6"/>
    <w:rsid w:val="00AC6863"/>
    <w:rsid w:val="00AC687C"/>
    <w:rsid w:val="00AC68A9"/>
    <w:rsid w:val="00AC6C35"/>
    <w:rsid w:val="00AC6CDD"/>
    <w:rsid w:val="00AC6D57"/>
    <w:rsid w:val="00AC6DC3"/>
    <w:rsid w:val="00AC6DDB"/>
    <w:rsid w:val="00AC6E11"/>
    <w:rsid w:val="00AC6F6E"/>
    <w:rsid w:val="00AC7203"/>
    <w:rsid w:val="00AC7285"/>
    <w:rsid w:val="00AC739C"/>
    <w:rsid w:val="00AC7630"/>
    <w:rsid w:val="00AC786B"/>
    <w:rsid w:val="00AC78FE"/>
    <w:rsid w:val="00AC79C1"/>
    <w:rsid w:val="00AC7B0D"/>
    <w:rsid w:val="00AC7C39"/>
    <w:rsid w:val="00AC7FF2"/>
    <w:rsid w:val="00AD005A"/>
    <w:rsid w:val="00AD0205"/>
    <w:rsid w:val="00AD03E1"/>
    <w:rsid w:val="00AD06D9"/>
    <w:rsid w:val="00AD0976"/>
    <w:rsid w:val="00AD09B2"/>
    <w:rsid w:val="00AD0C44"/>
    <w:rsid w:val="00AD0E67"/>
    <w:rsid w:val="00AD10AF"/>
    <w:rsid w:val="00AD130E"/>
    <w:rsid w:val="00AD139E"/>
    <w:rsid w:val="00AD13AB"/>
    <w:rsid w:val="00AD15E7"/>
    <w:rsid w:val="00AD179D"/>
    <w:rsid w:val="00AD1890"/>
    <w:rsid w:val="00AD19F1"/>
    <w:rsid w:val="00AD1A79"/>
    <w:rsid w:val="00AD1DA1"/>
    <w:rsid w:val="00AD1F76"/>
    <w:rsid w:val="00AD21D5"/>
    <w:rsid w:val="00AD2387"/>
    <w:rsid w:val="00AD2641"/>
    <w:rsid w:val="00AD27C4"/>
    <w:rsid w:val="00AD2947"/>
    <w:rsid w:val="00AD2BE6"/>
    <w:rsid w:val="00AD2E46"/>
    <w:rsid w:val="00AD2EAE"/>
    <w:rsid w:val="00AD2F60"/>
    <w:rsid w:val="00AD3015"/>
    <w:rsid w:val="00AD31B3"/>
    <w:rsid w:val="00AD3249"/>
    <w:rsid w:val="00AD3571"/>
    <w:rsid w:val="00AD35CE"/>
    <w:rsid w:val="00AD3616"/>
    <w:rsid w:val="00AD3809"/>
    <w:rsid w:val="00AD383C"/>
    <w:rsid w:val="00AD3AF9"/>
    <w:rsid w:val="00AD3B9A"/>
    <w:rsid w:val="00AD3E9A"/>
    <w:rsid w:val="00AD3EF6"/>
    <w:rsid w:val="00AD3F0C"/>
    <w:rsid w:val="00AD3F8A"/>
    <w:rsid w:val="00AD417F"/>
    <w:rsid w:val="00AD41AF"/>
    <w:rsid w:val="00AD4907"/>
    <w:rsid w:val="00AD4C40"/>
    <w:rsid w:val="00AD50EE"/>
    <w:rsid w:val="00AD51CE"/>
    <w:rsid w:val="00AD521A"/>
    <w:rsid w:val="00AD52A6"/>
    <w:rsid w:val="00AD52BB"/>
    <w:rsid w:val="00AD5347"/>
    <w:rsid w:val="00AD5365"/>
    <w:rsid w:val="00AD54D8"/>
    <w:rsid w:val="00AD5692"/>
    <w:rsid w:val="00AD56ED"/>
    <w:rsid w:val="00AD5ACD"/>
    <w:rsid w:val="00AD5B4D"/>
    <w:rsid w:val="00AD5CB7"/>
    <w:rsid w:val="00AD5DBB"/>
    <w:rsid w:val="00AD60CF"/>
    <w:rsid w:val="00AD61C2"/>
    <w:rsid w:val="00AD68BB"/>
    <w:rsid w:val="00AD6916"/>
    <w:rsid w:val="00AD6A50"/>
    <w:rsid w:val="00AD6C4B"/>
    <w:rsid w:val="00AD6CCD"/>
    <w:rsid w:val="00AD6FE8"/>
    <w:rsid w:val="00AD7074"/>
    <w:rsid w:val="00AD70FE"/>
    <w:rsid w:val="00AD711A"/>
    <w:rsid w:val="00AD7457"/>
    <w:rsid w:val="00AD74FA"/>
    <w:rsid w:val="00AD7577"/>
    <w:rsid w:val="00AD7713"/>
    <w:rsid w:val="00AD7869"/>
    <w:rsid w:val="00AD7961"/>
    <w:rsid w:val="00AD796A"/>
    <w:rsid w:val="00AD7D2C"/>
    <w:rsid w:val="00AD7D5E"/>
    <w:rsid w:val="00AE0342"/>
    <w:rsid w:val="00AE039C"/>
    <w:rsid w:val="00AE0577"/>
    <w:rsid w:val="00AE07AC"/>
    <w:rsid w:val="00AE0AD0"/>
    <w:rsid w:val="00AE0C4D"/>
    <w:rsid w:val="00AE0C9E"/>
    <w:rsid w:val="00AE1287"/>
    <w:rsid w:val="00AE13F9"/>
    <w:rsid w:val="00AE1448"/>
    <w:rsid w:val="00AE155A"/>
    <w:rsid w:val="00AE15B3"/>
    <w:rsid w:val="00AE17F6"/>
    <w:rsid w:val="00AE1883"/>
    <w:rsid w:val="00AE19E1"/>
    <w:rsid w:val="00AE1C7D"/>
    <w:rsid w:val="00AE1EFB"/>
    <w:rsid w:val="00AE20DC"/>
    <w:rsid w:val="00AE20F4"/>
    <w:rsid w:val="00AE228E"/>
    <w:rsid w:val="00AE2435"/>
    <w:rsid w:val="00AE2473"/>
    <w:rsid w:val="00AE2633"/>
    <w:rsid w:val="00AE267C"/>
    <w:rsid w:val="00AE27DD"/>
    <w:rsid w:val="00AE2827"/>
    <w:rsid w:val="00AE2A4F"/>
    <w:rsid w:val="00AE2C9C"/>
    <w:rsid w:val="00AE3005"/>
    <w:rsid w:val="00AE31C2"/>
    <w:rsid w:val="00AE3251"/>
    <w:rsid w:val="00AE340B"/>
    <w:rsid w:val="00AE347D"/>
    <w:rsid w:val="00AE35FA"/>
    <w:rsid w:val="00AE3817"/>
    <w:rsid w:val="00AE3AB6"/>
    <w:rsid w:val="00AE3BF2"/>
    <w:rsid w:val="00AE3C26"/>
    <w:rsid w:val="00AE3C8A"/>
    <w:rsid w:val="00AE3CBA"/>
    <w:rsid w:val="00AE3E8A"/>
    <w:rsid w:val="00AE3EEA"/>
    <w:rsid w:val="00AE45AF"/>
    <w:rsid w:val="00AE47F2"/>
    <w:rsid w:val="00AE497E"/>
    <w:rsid w:val="00AE4BBB"/>
    <w:rsid w:val="00AE4F03"/>
    <w:rsid w:val="00AE4F97"/>
    <w:rsid w:val="00AE5123"/>
    <w:rsid w:val="00AE5253"/>
    <w:rsid w:val="00AE527F"/>
    <w:rsid w:val="00AE5387"/>
    <w:rsid w:val="00AE555B"/>
    <w:rsid w:val="00AE563A"/>
    <w:rsid w:val="00AE56D2"/>
    <w:rsid w:val="00AE5997"/>
    <w:rsid w:val="00AE59BE"/>
    <w:rsid w:val="00AE5A84"/>
    <w:rsid w:val="00AE5BCE"/>
    <w:rsid w:val="00AE5BD1"/>
    <w:rsid w:val="00AE5C0C"/>
    <w:rsid w:val="00AE5CEE"/>
    <w:rsid w:val="00AE5CFA"/>
    <w:rsid w:val="00AE5EE6"/>
    <w:rsid w:val="00AE6300"/>
    <w:rsid w:val="00AE662D"/>
    <w:rsid w:val="00AE6758"/>
    <w:rsid w:val="00AE6776"/>
    <w:rsid w:val="00AE68B9"/>
    <w:rsid w:val="00AE68D4"/>
    <w:rsid w:val="00AE69D8"/>
    <w:rsid w:val="00AE6CB0"/>
    <w:rsid w:val="00AE6D74"/>
    <w:rsid w:val="00AE6E81"/>
    <w:rsid w:val="00AE71B3"/>
    <w:rsid w:val="00AE7304"/>
    <w:rsid w:val="00AE74FE"/>
    <w:rsid w:val="00AE7A96"/>
    <w:rsid w:val="00AE7C25"/>
    <w:rsid w:val="00AE7D41"/>
    <w:rsid w:val="00AF027A"/>
    <w:rsid w:val="00AF03E1"/>
    <w:rsid w:val="00AF052B"/>
    <w:rsid w:val="00AF0869"/>
    <w:rsid w:val="00AF0919"/>
    <w:rsid w:val="00AF0E67"/>
    <w:rsid w:val="00AF0F60"/>
    <w:rsid w:val="00AF0F96"/>
    <w:rsid w:val="00AF13C9"/>
    <w:rsid w:val="00AF1591"/>
    <w:rsid w:val="00AF168E"/>
    <w:rsid w:val="00AF1794"/>
    <w:rsid w:val="00AF19E1"/>
    <w:rsid w:val="00AF1CED"/>
    <w:rsid w:val="00AF1D11"/>
    <w:rsid w:val="00AF1D47"/>
    <w:rsid w:val="00AF1FA2"/>
    <w:rsid w:val="00AF2129"/>
    <w:rsid w:val="00AF22E3"/>
    <w:rsid w:val="00AF2311"/>
    <w:rsid w:val="00AF24D7"/>
    <w:rsid w:val="00AF272E"/>
    <w:rsid w:val="00AF2A07"/>
    <w:rsid w:val="00AF2BC3"/>
    <w:rsid w:val="00AF2DA4"/>
    <w:rsid w:val="00AF2E00"/>
    <w:rsid w:val="00AF2F56"/>
    <w:rsid w:val="00AF2FD3"/>
    <w:rsid w:val="00AF33ED"/>
    <w:rsid w:val="00AF33F2"/>
    <w:rsid w:val="00AF391C"/>
    <w:rsid w:val="00AF393B"/>
    <w:rsid w:val="00AF3A41"/>
    <w:rsid w:val="00AF3AF2"/>
    <w:rsid w:val="00AF3C74"/>
    <w:rsid w:val="00AF3CFE"/>
    <w:rsid w:val="00AF3E00"/>
    <w:rsid w:val="00AF3E02"/>
    <w:rsid w:val="00AF4129"/>
    <w:rsid w:val="00AF4134"/>
    <w:rsid w:val="00AF4884"/>
    <w:rsid w:val="00AF48E5"/>
    <w:rsid w:val="00AF4971"/>
    <w:rsid w:val="00AF49BB"/>
    <w:rsid w:val="00AF4A97"/>
    <w:rsid w:val="00AF4B11"/>
    <w:rsid w:val="00AF5009"/>
    <w:rsid w:val="00AF5132"/>
    <w:rsid w:val="00AF5321"/>
    <w:rsid w:val="00AF53CB"/>
    <w:rsid w:val="00AF547B"/>
    <w:rsid w:val="00AF59F2"/>
    <w:rsid w:val="00AF5D5A"/>
    <w:rsid w:val="00AF5D88"/>
    <w:rsid w:val="00AF5DE9"/>
    <w:rsid w:val="00AF6038"/>
    <w:rsid w:val="00AF634C"/>
    <w:rsid w:val="00AF65AB"/>
    <w:rsid w:val="00AF661E"/>
    <w:rsid w:val="00AF6667"/>
    <w:rsid w:val="00AF6940"/>
    <w:rsid w:val="00AF6B32"/>
    <w:rsid w:val="00AF6BA8"/>
    <w:rsid w:val="00AF6C26"/>
    <w:rsid w:val="00AF6DA3"/>
    <w:rsid w:val="00AF701B"/>
    <w:rsid w:val="00AF7056"/>
    <w:rsid w:val="00AF70B9"/>
    <w:rsid w:val="00AF71A8"/>
    <w:rsid w:val="00AF7429"/>
    <w:rsid w:val="00AF74D3"/>
    <w:rsid w:val="00AF788B"/>
    <w:rsid w:val="00AF7AB2"/>
    <w:rsid w:val="00AF7B61"/>
    <w:rsid w:val="00AF7D41"/>
    <w:rsid w:val="00AF7E34"/>
    <w:rsid w:val="00B0022E"/>
    <w:rsid w:val="00B00757"/>
    <w:rsid w:val="00B009F4"/>
    <w:rsid w:val="00B00B5B"/>
    <w:rsid w:val="00B00D68"/>
    <w:rsid w:val="00B00E10"/>
    <w:rsid w:val="00B00F54"/>
    <w:rsid w:val="00B01022"/>
    <w:rsid w:val="00B01315"/>
    <w:rsid w:val="00B01381"/>
    <w:rsid w:val="00B01A17"/>
    <w:rsid w:val="00B01A90"/>
    <w:rsid w:val="00B02165"/>
    <w:rsid w:val="00B022EF"/>
    <w:rsid w:val="00B0241E"/>
    <w:rsid w:val="00B0282B"/>
    <w:rsid w:val="00B02B6D"/>
    <w:rsid w:val="00B02BF1"/>
    <w:rsid w:val="00B037C4"/>
    <w:rsid w:val="00B03830"/>
    <w:rsid w:val="00B03CA0"/>
    <w:rsid w:val="00B03D5C"/>
    <w:rsid w:val="00B03E8C"/>
    <w:rsid w:val="00B043FE"/>
    <w:rsid w:val="00B04717"/>
    <w:rsid w:val="00B04823"/>
    <w:rsid w:val="00B04978"/>
    <w:rsid w:val="00B04DFB"/>
    <w:rsid w:val="00B04F8D"/>
    <w:rsid w:val="00B04FB1"/>
    <w:rsid w:val="00B052EE"/>
    <w:rsid w:val="00B053A3"/>
    <w:rsid w:val="00B05456"/>
    <w:rsid w:val="00B054DF"/>
    <w:rsid w:val="00B056AC"/>
    <w:rsid w:val="00B0576D"/>
    <w:rsid w:val="00B05942"/>
    <w:rsid w:val="00B05979"/>
    <w:rsid w:val="00B059AE"/>
    <w:rsid w:val="00B05A20"/>
    <w:rsid w:val="00B05B12"/>
    <w:rsid w:val="00B05C14"/>
    <w:rsid w:val="00B05CAE"/>
    <w:rsid w:val="00B05EB2"/>
    <w:rsid w:val="00B061DC"/>
    <w:rsid w:val="00B06BED"/>
    <w:rsid w:val="00B06C05"/>
    <w:rsid w:val="00B06C30"/>
    <w:rsid w:val="00B06CEF"/>
    <w:rsid w:val="00B071C9"/>
    <w:rsid w:val="00B073E2"/>
    <w:rsid w:val="00B077E3"/>
    <w:rsid w:val="00B07890"/>
    <w:rsid w:val="00B07DB5"/>
    <w:rsid w:val="00B105EE"/>
    <w:rsid w:val="00B1060C"/>
    <w:rsid w:val="00B10637"/>
    <w:rsid w:val="00B108CB"/>
    <w:rsid w:val="00B10A19"/>
    <w:rsid w:val="00B10A55"/>
    <w:rsid w:val="00B10A61"/>
    <w:rsid w:val="00B10AFD"/>
    <w:rsid w:val="00B10EA8"/>
    <w:rsid w:val="00B10F40"/>
    <w:rsid w:val="00B11005"/>
    <w:rsid w:val="00B110D6"/>
    <w:rsid w:val="00B1124D"/>
    <w:rsid w:val="00B11253"/>
    <w:rsid w:val="00B11299"/>
    <w:rsid w:val="00B114A5"/>
    <w:rsid w:val="00B119C1"/>
    <w:rsid w:val="00B11A35"/>
    <w:rsid w:val="00B11AFB"/>
    <w:rsid w:val="00B11C51"/>
    <w:rsid w:val="00B11D51"/>
    <w:rsid w:val="00B11DE6"/>
    <w:rsid w:val="00B12091"/>
    <w:rsid w:val="00B12328"/>
    <w:rsid w:val="00B12426"/>
    <w:rsid w:val="00B12567"/>
    <w:rsid w:val="00B1260D"/>
    <w:rsid w:val="00B12668"/>
    <w:rsid w:val="00B12B10"/>
    <w:rsid w:val="00B12B41"/>
    <w:rsid w:val="00B12D32"/>
    <w:rsid w:val="00B12F3C"/>
    <w:rsid w:val="00B13212"/>
    <w:rsid w:val="00B1321B"/>
    <w:rsid w:val="00B133D8"/>
    <w:rsid w:val="00B1361A"/>
    <w:rsid w:val="00B13672"/>
    <w:rsid w:val="00B13739"/>
    <w:rsid w:val="00B138F7"/>
    <w:rsid w:val="00B1396F"/>
    <w:rsid w:val="00B13BFC"/>
    <w:rsid w:val="00B13CBC"/>
    <w:rsid w:val="00B13CCD"/>
    <w:rsid w:val="00B13FDF"/>
    <w:rsid w:val="00B14247"/>
    <w:rsid w:val="00B1434F"/>
    <w:rsid w:val="00B144DC"/>
    <w:rsid w:val="00B145C9"/>
    <w:rsid w:val="00B1471C"/>
    <w:rsid w:val="00B147B0"/>
    <w:rsid w:val="00B1480F"/>
    <w:rsid w:val="00B149BD"/>
    <w:rsid w:val="00B14C73"/>
    <w:rsid w:val="00B14CE1"/>
    <w:rsid w:val="00B14FB9"/>
    <w:rsid w:val="00B14FD9"/>
    <w:rsid w:val="00B15062"/>
    <w:rsid w:val="00B15148"/>
    <w:rsid w:val="00B15163"/>
    <w:rsid w:val="00B1519F"/>
    <w:rsid w:val="00B1520C"/>
    <w:rsid w:val="00B154F9"/>
    <w:rsid w:val="00B15524"/>
    <w:rsid w:val="00B1555E"/>
    <w:rsid w:val="00B157CB"/>
    <w:rsid w:val="00B157EA"/>
    <w:rsid w:val="00B15B35"/>
    <w:rsid w:val="00B15EE5"/>
    <w:rsid w:val="00B15FDC"/>
    <w:rsid w:val="00B16222"/>
    <w:rsid w:val="00B16B1D"/>
    <w:rsid w:val="00B16D27"/>
    <w:rsid w:val="00B1712E"/>
    <w:rsid w:val="00B171ED"/>
    <w:rsid w:val="00B172AB"/>
    <w:rsid w:val="00B172F3"/>
    <w:rsid w:val="00B17312"/>
    <w:rsid w:val="00B17351"/>
    <w:rsid w:val="00B173FF"/>
    <w:rsid w:val="00B17471"/>
    <w:rsid w:val="00B175FC"/>
    <w:rsid w:val="00B177BA"/>
    <w:rsid w:val="00B177EF"/>
    <w:rsid w:val="00B17D01"/>
    <w:rsid w:val="00B17DC1"/>
    <w:rsid w:val="00B17F2F"/>
    <w:rsid w:val="00B200D2"/>
    <w:rsid w:val="00B20410"/>
    <w:rsid w:val="00B215A8"/>
    <w:rsid w:val="00B218D5"/>
    <w:rsid w:val="00B21A74"/>
    <w:rsid w:val="00B21CC7"/>
    <w:rsid w:val="00B21D24"/>
    <w:rsid w:val="00B21D33"/>
    <w:rsid w:val="00B21EA6"/>
    <w:rsid w:val="00B21F61"/>
    <w:rsid w:val="00B21FC5"/>
    <w:rsid w:val="00B222E3"/>
    <w:rsid w:val="00B2239A"/>
    <w:rsid w:val="00B224C7"/>
    <w:rsid w:val="00B22659"/>
    <w:rsid w:val="00B228D0"/>
    <w:rsid w:val="00B22A02"/>
    <w:rsid w:val="00B22C6E"/>
    <w:rsid w:val="00B22D1E"/>
    <w:rsid w:val="00B2315B"/>
    <w:rsid w:val="00B23167"/>
    <w:rsid w:val="00B231BB"/>
    <w:rsid w:val="00B2328C"/>
    <w:rsid w:val="00B234EB"/>
    <w:rsid w:val="00B23553"/>
    <w:rsid w:val="00B23579"/>
    <w:rsid w:val="00B23595"/>
    <w:rsid w:val="00B23968"/>
    <w:rsid w:val="00B23A17"/>
    <w:rsid w:val="00B23FA5"/>
    <w:rsid w:val="00B2413C"/>
    <w:rsid w:val="00B24252"/>
    <w:rsid w:val="00B245B8"/>
    <w:rsid w:val="00B248DA"/>
    <w:rsid w:val="00B248DF"/>
    <w:rsid w:val="00B2498A"/>
    <w:rsid w:val="00B24C0E"/>
    <w:rsid w:val="00B24E0A"/>
    <w:rsid w:val="00B24F97"/>
    <w:rsid w:val="00B25194"/>
    <w:rsid w:val="00B2524D"/>
    <w:rsid w:val="00B2531C"/>
    <w:rsid w:val="00B25385"/>
    <w:rsid w:val="00B25386"/>
    <w:rsid w:val="00B253DD"/>
    <w:rsid w:val="00B25419"/>
    <w:rsid w:val="00B2547E"/>
    <w:rsid w:val="00B254CC"/>
    <w:rsid w:val="00B25657"/>
    <w:rsid w:val="00B25660"/>
    <w:rsid w:val="00B25760"/>
    <w:rsid w:val="00B25914"/>
    <w:rsid w:val="00B25A98"/>
    <w:rsid w:val="00B25D46"/>
    <w:rsid w:val="00B25F12"/>
    <w:rsid w:val="00B25F88"/>
    <w:rsid w:val="00B26115"/>
    <w:rsid w:val="00B26134"/>
    <w:rsid w:val="00B26260"/>
    <w:rsid w:val="00B26393"/>
    <w:rsid w:val="00B26519"/>
    <w:rsid w:val="00B266E2"/>
    <w:rsid w:val="00B267E1"/>
    <w:rsid w:val="00B26947"/>
    <w:rsid w:val="00B269D8"/>
    <w:rsid w:val="00B26ABE"/>
    <w:rsid w:val="00B26B86"/>
    <w:rsid w:val="00B26C2A"/>
    <w:rsid w:val="00B26C9B"/>
    <w:rsid w:val="00B26DE6"/>
    <w:rsid w:val="00B270D1"/>
    <w:rsid w:val="00B271C4"/>
    <w:rsid w:val="00B27999"/>
    <w:rsid w:val="00B27A25"/>
    <w:rsid w:val="00B27B0E"/>
    <w:rsid w:val="00B27CC0"/>
    <w:rsid w:val="00B27D40"/>
    <w:rsid w:val="00B27E35"/>
    <w:rsid w:val="00B27F1A"/>
    <w:rsid w:val="00B3010C"/>
    <w:rsid w:val="00B301E5"/>
    <w:rsid w:val="00B30640"/>
    <w:rsid w:val="00B30920"/>
    <w:rsid w:val="00B30966"/>
    <w:rsid w:val="00B30A93"/>
    <w:rsid w:val="00B30F73"/>
    <w:rsid w:val="00B30F91"/>
    <w:rsid w:val="00B31397"/>
    <w:rsid w:val="00B313AC"/>
    <w:rsid w:val="00B3154E"/>
    <w:rsid w:val="00B315D1"/>
    <w:rsid w:val="00B316C1"/>
    <w:rsid w:val="00B31814"/>
    <w:rsid w:val="00B3182B"/>
    <w:rsid w:val="00B31A4E"/>
    <w:rsid w:val="00B31AFE"/>
    <w:rsid w:val="00B31B87"/>
    <w:rsid w:val="00B31D17"/>
    <w:rsid w:val="00B31E1A"/>
    <w:rsid w:val="00B32010"/>
    <w:rsid w:val="00B32071"/>
    <w:rsid w:val="00B320E2"/>
    <w:rsid w:val="00B321C0"/>
    <w:rsid w:val="00B32358"/>
    <w:rsid w:val="00B3238C"/>
    <w:rsid w:val="00B323B9"/>
    <w:rsid w:val="00B32513"/>
    <w:rsid w:val="00B325CD"/>
    <w:rsid w:val="00B32635"/>
    <w:rsid w:val="00B32680"/>
    <w:rsid w:val="00B329A0"/>
    <w:rsid w:val="00B329EC"/>
    <w:rsid w:val="00B32E1A"/>
    <w:rsid w:val="00B32F40"/>
    <w:rsid w:val="00B3309A"/>
    <w:rsid w:val="00B33402"/>
    <w:rsid w:val="00B3360B"/>
    <w:rsid w:val="00B33B2D"/>
    <w:rsid w:val="00B33E8F"/>
    <w:rsid w:val="00B33F08"/>
    <w:rsid w:val="00B33F51"/>
    <w:rsid w:val="00B34168"/>
    <w:rsid w:val="00B342F4"/>
    <w:rsid w:val="00B3439D"/>
    <w:rsid w:val="00B34826"/>
    <w:rsid w:val="00B349C2"/>
    <w:rsid w:val="00B34A0B"/>
    <w:rsid w:val="00B34A41"/>
    <w:rsid w:val="00B34ADE"/>
    <w:rsid w:val="00B34C5E"/>
    <w:rsid w:val="00B34D59"/>
    <w:rsid w:val="00B351BB"/>
    <w:rsid w:val="00B352AD"/>
    <w:rsid w:val="00B3541D"/>
    <w:rsid w:val="00B354A7"/>
    <w:rsid w:val="00B354CB"/>
    <w:rsid w:val="00B35641"/>
    <w:rsid w:val="00B3566D"/>
    <w:rsid w:val="00B35B6F"/>
    <w:rsid w:val="00B35B79"/>
    <w:rsid w:val="00B35BF0"/>
    <w:rsid w:val="00B35C23"/>
    <w:rsid w:val="00B35DFB"/>
    <w:rsid w:val="00B360A3"/>
    <w:rsid w:val="00B36125"/>
    <w:rsid w:val="00B36264"/>
    <w:rsid w:val="00B36422"/>
    <w:rsid w:val="00B36537"/>
    <w:rsid w:val="00B367A0"/>
    <w:rsid w:val="00B3687C"/>
    <w:rsid w:val="00B36BA1"/>
    <w:rsid w:val="00B36C50"/>
    <w:rsid w:val="00B3721B"/>
    <w:rsid w:val="00B3729D"/>
    <w:rsid w:val="00B3786A"/>
    <w:rsid w:val="00B37940"/>
    <w:rsid w:val="00B37F03"/>
    <w:rsid w:val="00B403A6"/>
    <w:rsid w:val="00B4048F"/>
    <w:rsid w:val="00B4077B"/>
    <w:rsid w:val="00B40936"/>
    <w:rsid w:val="00B40DC8"/>
    <w:rsid w:val="00B40FDE"/>
    <w:rsid w:val="00B41201"/>
    <w:rsid w:val="00B41535"/>
    <w:rsid w:val="00B41594"/>
    <w:rsid w:val="00B41747"/>
    <w:rsid w:val="00B41762"/>
    <w:rsid w:val="00B4180A"/>
    <w:rsid w:val="00B41C86"/>
    <w:rsid w:val="00B41C8A"/>
    <w:rsid w:val="00B41CD9"/>
    <w:rsid w:val="00B41E67"/>
    <w:rsid w:val="00B4222F"/>
    <w:rsid w:val="00B422EF"/>
    <w:rsid w:val="00B423CA"/>
    <w:rsid w:val="00B4261F"/>
    <w:rsid w:val="00B429D0"/>
    <w:rsid w:val="00B42B34"/>
    <w:rsid w:val="00B42BA8"/>
    <w:rsid w:val="00B42BAE"/>
    <w:rsid w:val="00B42D5D"/>
    <w:rsid w:val="00B42E6B"/>
    <w:rsid w:val="00B42FA5"/>
    <w:rsid w:val="00B43017"/>
    <w:rsid w:val="00B43131"/>
    <w:rsid w:val="00B431A9"/>
    <w:rsid w:val="00B431B8"/>
    <w:rsid w:val="00B4322F"/>
    <w:rsid w:val="00B43465"/>
    <w:rsid w:val="00B437B1"/>
    <w:rsid w:val="00B43B6E"/>
    <w:rsid w:val="00B43BFD"/>
    <w:rsid w:val="00B43E7A"/>
    <w:rsid w:val="00B43F59"/>
    <w:rsid w:val="00B4404C"/>
    <w:rsid w:val="00B44165"/>
    <w:rsid w:val="00B44255"/>
    <w:rsid w:val="00B4426A"/>
    <w:rsid w:val="00B44334"/>
    <w:rsid w:val="00B44359"/>
    <w:rsid w:val="00B44A91"/>
    <w:rsid w:val="00B44BC4"/>
    <w:rsid w:val="00B44E65"/>
    <w:rsid w:val="00B4501A"/>
    <w:rsid w:val="00B4505C"/>
    <w:rsid w:val="00B45073"/>
    <w:rsid w:val="00B45716"/>
    <w:rsid w:val="00B45731"/>
    <w:rsid w:val="00B45C96"/>
    <w:rsid w:val="00B45CE7"/>
    <w:rsid w:val="00B45F36"/>
    <w:rsid w:val="00B46066"/>
    <w:rsid w:val="00B46351"/>
    <w:rsid w:val="00B464F0"/>
    <w:rsid w:val="00B466E0"/>
    <w:rsid w:val="00B469FB"/>
    <w:rsid w:val="00B46AA2"/>
    <w:rsid w:val="00B46B7F"/>
    <w:rsid w:val="00B47062"/>
    <w:rsid w:val="00B47247"/>
    <w:rsid w:val="00B47393"/>
    <w:rsid w:val="00B473D8"/>
    <w:rsid w:val="00B47726"/>
    <w:rsid w:val="00B47818"/>
    <w:rsid w:val="00B479EE"/>
    <w:rsid w:val="00B47BDD"/>
    <w:rsid w:val="00B47F30"/>
    <w:rsid w:val="00B501D2"/>
    <w:rsid w:val="00B50266"/>
    <w:rsid w:val="00B502CD"/>
    <w:rsid w:val="00B503D2"/>
    <w:rsid w:val="00B503F9"/>
    <w:rsid w:val="00B505F0"/>
    <w:rsid w:val="00B506F2"/>
    <w:rsid w:val="00B5077A"/>
    <w:rsid w:val="00B5082F"/>
    <w:rsid w:val="00B50A8E"/>
    <w:rsid w:val="00B50AE6"/>
    <w:rsid w:val="00B50BA7"/>
    <w:rsid w:val="00B50D16"/>
    <w:rsid w:val="00B50D5D"/>
    <w:rsid w:val="00B50DF7"/>
    <w:rsid w:val="00B50F60"/>
    <w:rsid w:val="00B50F9D"/>
    <w:rsid w:val="00B51107"/>
    <w:rsid w:val="00B51299"/>
    <w:rsid w:val="00B514D0"/>
    <w:rsid w:val="00B5172B"/>
    <w:rsid w:val="00B517DF"/>
    <w:rsid w:val="00B51960"/>
    <w:rsid w:val="00B51A49"/>
    <w:rsid w:val="00B51DB2"/>
    <w:rsid w:val="00B51FF5"/>
    <w:rsid w:val="00B5206E"/>
    <w:rsid w:val="00B521E5"/>
    <w:rsid w:val="00B5232F"/>
    <w:rsid w:val="00B523D1"/>
    <w:rsid w:val="00B5247B"/>
    <w:rsid w:val="00B528A1"/>
    <w:rsid w:val="00B52C62"/>
    <w:rsid w:val="00B52E04"/>
    <w:rsid w:val="00B52FEE"/>
    <w:rsid w:val="00B53041"/>
    <w:rsid w:val="00B534AF"/>
    <w:rsid w:val="00B53503"/>
    <w:rsid w:val="00B5351F"/>
    <w:rsid w:val="00B53601"/>
    <w:rsid w:val="00B5368B"/>
    <w:rsid w:val="00B53B21"/>
    <w:rsid w:val="00B53DAE"/>
    <w:rsid w:val="00B53E91"/>
    <w:rsid w:val="00B53F7C"/>
    <w:rsid w:val="00B5407E"/>
    <w:rsid w:val="00B540C3"/>
    <w:rsid w:val="00B541D6"/>
    <w:rsid w:val="00B5496F"/>
    <w:rsid w:val="00B5499F"/>
    <w:rsid w:val="00B549C3"/>
    <w:rsid w:val="00B54ACD"/>
    <w:rsid w:val="00B54D26"/>
    <w:rsid w:val="00B54EC5"/>
    <w:rsid w:val="00B54F42"/>
    <w:rsid w:val="00B54FAF"/>
    <w:rsid w:val="00B553AB"/>
    <w:rsid w:val="00B5549F"/>
    <w:rsid w:val="00B55A80"/>
    <w:rsid w:val="00B562DA"/>
    <w:rsid w:val="00B5647F"/>
    <w:rsid w:val="00B565BB"/>
    <w:rsid w:val="00B56836"/>
    <w:rsid w:val="00B5687A"/>
    <w:rsid w:val="00B569A0"/>
    <w:rsid w:val="00B56A05"/>
    <w:rsid w:val="00B56A58"/>
    <w:rsid w:val="00B56DE6"/>
    <w:rsid w:val="00B570A5"/>
    <w:rsid w:val="00B5733B"/>
    <w:rsid w:val="00B5735F"/>
    <w:rsid w:val="00B5750F"/>
    <w:rsid w:val="00B57569"/>
    <w:rsid w:val="00B57572"/>
    <w:rsid w:val="00B578A6"/>
    <w:rsid w:val="00B57CB1"/>
    <w:rsid w:val="00B57DE0"/>
    <w:rsid w:val="00B600F3"/>
    <w:rsid w:val="00B601A9"/>
    <w:rsid w:val="00B601BF"/>
    <w:rsid w:val="00B602E8"/>
    <w:rsid w:val="00B604F9"/>
    <w:rsid w:val="00B6053A"/>
    <w:rsid w:val="00B605B2"/>
    <w:rsid w:val="00B6065E"/>
    <w:rsid w:val="00B606EB"/>
    <w:rsid w:val="00B60CB3"/>
    <w:rsid w:val="00B60CF3"/>
    <w:rsid w:val="00B60EE6"/>
    <w:rsid w:val="00B610D8"/>
    <w:rsid w:val="00B6124E"/>
    <w:rsid w:val="00B6180F"/>
    <w:rsid w:val="00B6193D"/>
    <w:rsid w:val="00B61D1B"/>
    <w:rsid w:val="00B61DF5"/>
    <w:rsid w:val="00B6218C"/>
    <w:rsid w:val="00B6220B"/>
    <w:rsid w:val="00B62368"/>
    <w:rsid w:val="00B627B1"/>
    <w:rsid w:val="00B627F5"/>
    <w:rsid w:val="00B62825"/>
    <w:rsid w:val="00B62B35"/>
    <w:rsid w:val="00B62C7E"/>
    <w:rsid w:val="00B63141"/>
    <w:rsid w:val="00B633F9"/>
    <w:rsid w:val="00B63570"/>
    <w:rsid w:val="00B635B2"/>
    <w:rsid w:val="00B636B3"/>
    <w:rsid w:val="00B637D9"/>
    <w:rsid w:val="00B638B6"/>
    <w:rsid w:val="00B638ED"/>
    <w:rsid w:val="00B63918"/>
    <w:rsid w:val="00B63F6E"/>
    <w:rsid w:val="00B6409B"/>
    <w:rsid w:val="00B646C1"/>
    <w:rsid w:val="00B64973"/>
    <w:rsid w:val="00B64BC6"/>
    <w:rsid w:val="00B64D5A"/>
    <w:rsid w:val="00B64DB4"/>
    <w:rsid w:val="00B64FC0"/>
    <w:rsid w:val="00B64FFE"/>
    <w:rsid w:val="00B65121"/>
    <w:rsid w:val="00B651C2"/>
    <w:rsid w:val="00B65381"/>
    <w:rsid w:val="00B65576"/>
    <w:rsid w:val="00B6571A"/>
    <w:rsid w:val="00B65A38"/>
    <w:rsid w:val="00B660E7"/>
    <w:rsid w:val="00B66130"/>
    <w:rsid w:val="00B6617A"/>
    <w:rsid w:val="00B66238"/>
    <w:rsid w:val="00B6638D"/>
    <w:rsid w:val="00B6655A"/>
    <w:rsid w:val="00B66836"/>
    <w:rsid w:val="00B66E05"/>
    <w:rsid w:val="00B66EBE"/>
    <w:rsid w:val="00B66F5A"/>
    <w:rsid w:val="00B671D5"/>
    <w:rsid w:val="00B6737C"/>
    <w:rsid w:val="00B674D9"/>
    <w:rsid w:val="00B674F4"/>
    <w:rsid w:val="00B675DF"/>
    <w:rsid w:val="00B67BBA"/>
    <w:rsid w:val="00B67ED8"/>
    <w:rsid w:val="00B70124"/>
    <w:rsid w:val="00B701F6"/>
    <w:rsid w:val="00B7069F"/>
    <w:rsid w:val="00B709AD"/>
    <w:rsid w:val="00B70A02"/>
    <w:rsid w:val="00B70B88"/>
    <w:rsid w:val="00B70C53"/>
    <w:rsid w:val="00B70EB3"/>
    <w:rsid w:val="00B7111C"/>
    <w:rsid w:val="00B713BC"/>
    <w:rsid w:val="00B71403"/>
    <w:rsid w:val="00B714A7"/>
    <w:rsid w:val="00B7180F"/>
    <w:rsid w:val="00B71990"/>
    <w:rsid w:val="00B719F8"/>
    <w:rsid w:val="00B71A22"/>
    <w:rsid w:val="00B71B16"/>
    <w:rsid w:val="00B71FC1"/>
    <w:rsid w:val="00B72098"/>
    <w:rsid w:val="00B72200"/>
    <w:rsid w:val="00B72210"/>
    <w:rsid w:val="00B724C2"/>
    <w:rsid w:val="00B7256C"/>
    <w:rsid w:val="00B7275F"/>
    <w:rsid w:val="00B7281B"/>
    <w:rsid w:val="00B7295D"/>
    <w:rsid w:val="00B72A0D"/>
    <w:rsid w:val="00B72DF3"/>
    <w:rsid w:val="00B72E34"/>
    <w:rsid w:val="00B72EF7"/>
    <w:rsid w:val="00B72FE3"/>
    <w:rsid w:val="00B73032"/>
    <w:rsid w:val="00B73198"/>
    <w:rsid w:val="00B736AD"/>
    <w:rsid w:val="00B736BC"/>
    <w:rsid w:val="00B738BE"/>
    <w:rsid w:val="00B73B62"/>
    <w:rsid w:val="00B73FA1"/>
    <w:rsid w:val="00B740C5"/>
    <w:rsid w:val="00B74141"/>
    <w:rsid w:val="00B7432C"/>
    <w:rsid w:val="00B74351"/>
    <w:rsid w:val="00B7438C"/>
    <w:rsid w:val="00B74491"/>
    <w:rsid w:val="00B74559"/>
    <w:rsid w:val="00B74C33"/>
    <w:rsid w:val="00B74EFB"/>
    <w:rsid w:val="00B75664"/>
    <w:rsid w:val="00B757DA"/>
    <w:rsid w:val="00B757DD"/>
    <w:rsid w:val="00B7592A"/>
    <w:rsid w:val="00B7592C"/>
    <w:rsid w:val="00B75AB6"/>
    <w:rsid w:val="00B75B85"/>
    <w:rsid w:val="00B75C7C"/>
    <w:rsid w:val="00B75F4F"/>
    <w:rsid w:val="00B76027"/>
    <w:rsid w:val="00B761DC"/>
    <w:rsid w:val="00B76352"/>
    <w:rsid w:val="00B76903"/>
    <w:rsid w:val="00B769C6"/>
    <w:rsid w:val="00B76E55"/>
    <w:rsid w:val="00B76E72"/>
    <w:rsid w:val="00B76F1E"/>
    <w:rsid w:val="00B76FDE"/>
    <w:rsid w:val="00B774FB"/>
    <w:rsid w:val="00B77592"/>
    <w:rsid w:val="00B776C6"/>
    <w:rsid w:val="00B77725"/>
    <w:rsid w:val="00B77734"/>
    <w:rsid w:val="00B778B7"/>
    <w:rsid w:val="00B779C7"/>
    <w:rsid w:val="00B77A48"/>
    <w:rsid w:val="00B77B9E"/>
    <w:rsid w:val="00B77C2D"/>
    <w:rsid w:val="00B77CFF"/>
    <w:rsid w:val="00B77E1A"/>
    <w:rsid w:val="00B77FE9"/>
    <w:rsid w:val="00B8000C"/>
    <w:rsid w:val="00B80129"/>
    <w:rsid w:val="00B8036C"/>
    <w:rsid w:val="00B8039A"/>
    <w:rsid w:val="00B805A9"/>
    <w:rsid w:val="00B8070F"/>
    <w:rsid w:val="00B80865"/>
    <w:rsid w:val="00B80A55"/>
    <w:rsid w:val="00B80AC8"/>
    <w:rsid w:val="00B80C85"/>
    <w:rsid w:val="00B80EA1"/>
    <w:rsid w:val="00B80F2B"/>
    <w:rsid w:val="00B81082"/>
    <w:rsid w:val="00B810B3"/>
    <w:rsid w:val="00B8140B"/>
    <w:rsid w:val="00B81491"/>
    <w:rsid w:val="00B81544"/>
    <w:rsid w:val="00B8168F"/>
    <w:rsid w:val="00B81ACF"/>
    <w:rsid w:val="00B820A6"/>
    <w:rsid w:val="00B821D0"/>
    <w:rsid w:val="00B821E1"/>
    <w:rsid w:val="00B82428"/>
    <w:rsid w:val="00B824F2"/>
    <w:rsid w:val="00B82734"/>
    <w:rsid w:val="00B82A9F"/>
    <w:rsid w:val="00B82D64"/>
    <w:rsid w:val="00B82D98"/>
    <w:rsid w:val="00B82EBD"/>
    <w:rsid w:val="00B8301E"/>
    <w:rsid w:val="00B83345"/>
    <w:rsid w:val="00B83462"/>
    <w:rsid w:val="00B83508"/>
    <w:rsid w:val="00B83543"/>
    <w:rsid w:val="00B84094"/>
    <w:rsid w:val="00B840AE"/>
    <w:rsid w:val="00B84164"/>
    <w:rsid w:val="00B841F4"/>
    <w:rsid w:val="00B844D5"/>
    <w:rsid w:val="00B84787"/>
    <w:rsid w:val="00B84A5C"/>
    <w:rsid w:val="00B84D38"/>
    <w:rsid w:val="00B84FDA"/>
    <w:rsid w:val="00B8506F"/>
    <w:rsid w:val="00B85099"/>
    <w:rsid w:val="00B85222"/>
    <w:rsid w:val="00B8527F"/>
    <w:rsid w:val="00B853E4"/>
    <w:rsid w:val="00B854C4"/>
    <w:rsid w:val="00B855C5"/>
    <w:rsid w:val="00B855DD"/>
    <w:rsid w:val="00B857A2"/>
    <w:rsid w:val="00B857A9"/>
    <w:rsid w:val="00B85822"/>
    <w:rsid w:val="00B85AD0"/>
    <w:rsid w:val="00B85F53"/>
    <w:rsid w:val="00B860C3"/>
    <w:rsid w:val="00B86178"/>
    <w:rsid w:val="00B865B2"/>
    <w:rsid w:val="00B8685E"/>
    <w:rsid w:val="00B86B8A"/>
    <w:rsid w:val="00B86B9A"/>
    <w:rsid w:val="00B873AD"/>
    <w:rsid w:val="00B874DF"/>
    <w:rsid w:val="00B878F8"/>
    <w:rsid w:val="00B87902"/>
    <w:rsid w:val="00B87970"/>
    <w:rsid w:val="00B87A4A"/>
    <w:rsid w:val="00B87AB9"/>
    <w:rsid w:val="00B87B52"/>
    <w:rsid w:val="00B87B88"/>
    <w:rsid w:val="00B87D63"/>
    <w:rsid w:val="00B87D9A"/>
    <w:rsid w:val="00B87F49"/>
    <w:rsid w:val="00B9017C"/>
    <w:rsid w:val="00B90C3E"/>
    <w:rsid w:val="00B90E23"/>
    <w:rsid w:val="00B90E53"/>
    <w:rsid w:val="00B90F9F"/>
    <w:rsid w:val="00B91143"/>
    <w:rsid w:val="00B9133B"/>
    <w:rsid w:val="00B919F3"/>
    <w:rsid w:val="00B91A57"/>
    <w:rsid w:val="00B91A58"/>
    <w:rsid w:val="00B91B60"/>
    <w:rsid w:val="00B91F11"/>
    <w:rsid w:val="00B91F24"/>
    <w:rsid w:val="00B92091"/>
    <w:rsid w:val="00B923CC"/>
    <w:rsid w:val="00B9250A"/>
    <w:rsid w:val="00B92618"/>
    <w:rsid w:val="00B927CB"/>
    <w:rsid w:val="00B92A7E"/>
    <w:rsid w:val="00B92B73"/>
    <w:rsid w:val="00B92C0F"/>
    <w:rsid w:val="00B92EE6"/>
    <w:rsid w:val="00B93044"/>
    <w:rsid w:val="00B930CE"/>
    <w:rsid w:val="00B9329D"/>
    <w:rsid w:val="00B93566"/>
    <w:rsid w:val="00B93BC2"/>
    <w:rsid w:val="00B93CE9"/>
    <w:rsid w:val="00B93F1D"/>
    <w:rsid w:val="00B94201"/>
    <w:rsid w:val="00B94352"/>
    <w:rsid w:val="00B94A0F"/>
    <w:rsid w:val="00B94AA5"/>
    <w:rsid w:val="00B9556C"/>
    <w:rsid w:val="00B957E0"/>
    <w:rsid w:val="00B9581C"/>
    <w:rsid w:val="00B95CAA"/>
    <w:rsid w:val="00B95F0B"/>
    <w:rsid w:val="00B96066"/>
    <w:rsid w:val="00B96096"/>
    <w:rsid w:val="00B961F3"/>
    <w:rsid w:val="00B96442"/>
    <w:rsid w:val="00B96745"/>
    <w:rsid w:val="00B96F80"/>
    <w:rsid w:val="00B9709C"/>
    <w:rsid w:val="00B971E0"/>
    <w:rsid w:val="00B97388"/>
    <w:rsid w:val="00B975C0"/>
    <w:rsid w:val="00B9762B"/>
    <w:rsid w:val="00B97709"/>
    <w:rsid w:val="00B977C5"/>
    <w:rsid w:val="00B97A75"/>
    <w:rsid w:val="00B97AF8"/>
    <w:rsid w:val="00B97B07"/>
    <w:rsid w:val="00B97B60"/>
    <w:rsid w:val="00B97F74"/>
    <w:rsid w:val="00B97FE1"/>
    <w:rsid w:val="00BA0294"/>
    <w:rsid w:val="00BA05D8"/>
    <w:rsid w:val="00BA0709"/>
    <w:rsid w:val="00BA0778"/>
    <w:rsid w:val="00BA0AE3"/>
    <w:rsid w:val="00BA0B4E"/>
    <w:rsid w:val="00BA0C38"/>
    <w:rsid w:val="00BA0C92"/>
    <w:rsid w:val="00BA0EE4"/>
    <w:rsid w:val="00BA107A"/>
    <w:rsid w:val="00BA11D4"/>
    <w:rsid w:val="00BA17D9"/>
    <w:rsid w:val="00BA1D49"/>
    <w:rsid w:val="00BA1D7C"/>
    <w:rsid w:val="00BA1E62"/>
    <w:rsid w:val="00BA1FB9"/>
    <w:rsid w:val="00BA20C5"/>
    <w:rsid w:val="00BA21DE"/>
    <w:rsid w:val="00BA2386"/>
    <w:rsid w:val="00BA23BA"/>
    <w:rsid w:val="00BA254C"/>
    <w:rsid w:val="00BA2627"/>
    <w:rsid w:val="00BA26C6"/>
    <w:rsid w:val="00BA2B02"/>
    <w:rsid w:val="00BA2BD7"/>
    <w:rsid w:val="00BA2D6A"/>
    <w:rsid w:val="00BA2D7A"/>
    <w:rsid w:val="00BA3001"/>
    <w:rsid w:val="00BA3077"/>
    <w:rsid w:val="00BA30F7"/>
    <w:rsid w:val="00BA3140"/>
    <w:rsid w:val="00BA314A"/>
    <w:rsid w:val="00BA36AB"/>
    <w:rsid w:val="00BA3EF8"/>
    <w:rsid w:val="00BA3F84"/>
    <w:rsid w:val="00BA4142"/>
    <w:rsid w:val="00BA4433"/>
    <w:rsid w:val="00BA447B"/>
    <w:rsid w:val="00BA4C14"/>
    <w:rsid w:val="00BA4C22"/>
    <w:rsid w:val="00BA545B"/>
    <w:rsid w:val="00BA54B4"/>
    <w:rsid w:val="00BA58A1"/>
    <w:rsid w:val="00BA58A9"/>
    <w:rsid w:val="00BA5988"/>
    <w:rsid w:val="00BA5B89"/>
    <w:rsid w:val="00BA5CC2"/>
    <w:rsid w:val="00BA5CE2"/>
    <w:rsid w:val="00BA5CF2"/>
    <w:rsid w:val="00BA62B5"/>
    <w:rsid w:val="00BA657A"/>
    <w:rsid w:val="00BA658E"/>
    <w:rsid w:val="00BA65F1"/>
    <w:rsid w:val="00BA678D"/>
    <w:rsid w:val="00BA683E"/>
    <w:rsid w:val="00BA6A31"/>
    <w:rsid w:val="00BA6AC0"/>
    <w:rsid w:val="00BA6B1D"/>
    <w:rsid w:val="00BA6B41"/>
    <w:rsid w:val="00BA6DC1"/>
    <w:rsid w:val="00BA6FC1"/>
    <w:rsid w:val="00BA7429"/>
    <w:rsid w:val="00BA79E1"/>
    <w:rsid w:val="00BA7A47"/>
    <w:rsid w:val="00BA7BC0"/>
    <w:rsid w:val="00BA7BD1"/>
    <w:rsid w:val="00BA7C41"/>
    <w:rsid w:val="00BA7CA7"/>
    <w:rsid w:val="00BA7D94"/>
    <w:rsid w:val="00BA7FC6"/>
    <w:rsid w:val="00BB0165"/>
    <w:rsid w:val="00BB029A"/>
    <w:rsid w:val="00BB0424"/>
    <w:rsid w:val="00BB083F"/>
    <w:rsid w:val="00BB08E2"/>
    <w:rsid w:val="00BB0A33"/>
    <w:rsid w:val="00BB0FB6"/>
    <w:rsid w:val="00BB1157"/>
    <w:rsid w:val="00BB1319"/>
    <w:rsid w:val="00BB13FA"/>
    <w:rsid w:val="00BB145B"/>
    <w:rsid w:val="00BB16BD"/>
    <w:rsid w:val="00BB1857"/>
    <w:rsid w:val="00BB1860"/>
    <w:rsid w:val="00BB192F"/>
    <w:rsid w:val="00BB1A49"/>
    <w:rsid w:val="00BB23FE"/>
    <w:rsid w:val="00BB24F1"/>
    <w:rsid w:val="00BB26C3"/>
    <w:rsid w:val="00BB2854"/>
    <w:rsid w:val="00BB28D0"/>
    <w:rsid w:val="00BB2A51"/>
    <w:rsid w:val="00BB2AA1"/>
    <w:rsid w:val="00BB2DEA"/>
    <w:rsid w:val="00BB30E2"/>
    <w:rsid w:val="00BB3155"/>
    <w:rsid w:val="00BB318E"/>
    <w:rsid w:val="00BB34A5"/>
    <w:rsid w:val="00BB34E4"/>
    <w:rsid w:val="00BB350B"/>
    <w:rsid w:val="00BB355B"/>
    <w:rsid w:val="00BB3729"/>
    <w:rsid w:val="00BB38B7"/>
    <w:rsid w:val="00BB3B21"/>
    <w:rsid w:val="00BB3B64"/>
    <w:rsid w:val="00BB3DFE"/>
    <w:rsid w:val="00BB3E36"/>
    <w:rsid w:val="00BB41E9"/>
    <w:rsid w:val="00BB49E6"/>
    <w:rsid w:val="00BB4C20"/>
    <w:rsid w:val="00BB4C71"/>
    <w:rsid w:val="00BB4D5C"/>
    <w:rsid w:val="00BB4E9F"/>
    <w:rsid w:val="00BB5059"/>
    <w:rsid w:val="00BB50E8"/>
    <w:rsid w:val="00BB5260"/>
    <w:rsid w:val="00BB5278"/>
    <w:rsid w:val="00BB53CD"/>
    <w:rsid w:val="00BB58BD"/>
    <w:rsid w:val="00BB59B6"/>
    <w:rsid w:val="00BB605C"/>
    <w:rsid w:val="00BB6A8C"/>
    <w:rsid w:val="00BB6B1C"/>
    <w:rsid w:val="00BB6BB3"/>
    <w:rsid w:val="00BB6BE4"/>
    <w:rsid w:val="00BB6C69"/>
    <w:rsid w:val="00BB6E6C"/>
    <w:rsid w:val="00BB6E8F"/>
    <w:rsid w:val="00BB7063"/>
    <w:rsid w:val="00BB71AB"/>
    <w:rsid w:val="00BB73F4"/>
    <w:rsid w:val="00BB748A"/>
    <w:rsid w:val="00BB74F7"/>
    <w:rsid w:val="00BB75CD"/>
    <w:rsid w:val="00BB778A"/>
    <w:rsid w:val="00BB7844"/>
    <w:rsid w:val="00BB7ACB"/>
    <w:rsid w:val="00BB7D12"/>
    <w:rsid w:val="00BB7FD6"/>
    <w:rsid w:val="00BC00B8"/>
    <w:rsid w:val="00BC030A"/>
    <w:rsid w:val="00BC05E4"/>
    <w:rsid w:val="00BC0657"/>
    <w:rsid w:val="00BC0931"/>
    <w:rsid w:val="00BC0B31"/>
    <w:rsid w:val="00BC0CE4"/>
    <w:rsid w:val="00BC0EED"/>
    <w:rsid w:val="00BC0F48"/>
    <w:rsid w:val="00BC0FD0"/>
    <w:rsid w:val="00BC116B"/>
    <w:rsid w:val="00BC1252"/>
    <w:rsid w:val="00BC12E2"/>
    <w:rsid w:val="00BC1343"/>
    <w:rsid w:val="00BC14E7"/>
    <w:rsid w:val="00BC15FC"/>
    <w:rsid w:val="00BC1C45"/>
    <w:rsid w:val="00BC1CA2"/>
    <w:rsid w:val="00BC1DF9"/>
    <w:rsid w:val="00BC1F02"/>
    <w:rsid w:val="00BC2018"/>
    <w:rsid w:val="00BC21BA"/>
    <w:rsid w:val="00BC21C6"/>
    <w:rsid w:val="00BC22D0"/>
    <w:rsid w:val="00BC2430"/>
    <w:rsid w:val="00BC2585"/>
    <w:rsid w:val="00BC2A2D"/>
    <w:rsid w:val="00BC2A33"/>
    <w:rsid w:val="00BC2ABC"/>
    <w:rsid w:val="00BC3191"/>
    <w:rsid w:val="00BC31E5"/>
    <w:rsid w:val="00BC3204"/>
    <w:rsid w:val="00BC32D5"/>
    <w:rsid w:val="00BC32D6"/>
    <w:rsid w:val="00BC3312"/>
    <w:rsid w:val="00BC3318"/>
    <w:rsid w:val="00BC3C4C"/>
    <w:rsid w:val="00BC4087"/>
    <w:rsid w:val="00BC427C"/>
    <w:rsid w:val="00BC43A6"/>
    <w:rsid w:val="00BC45B1"/>
    <w:rsid w:val="00BC4780"/>
    <w:rsid w:val="00BC4AA4"/>
    <w:rsid w:val="00BC4B49"/>
    <w:rsid w:val="00BC4B8B"/>
    <w:rsid w:val="00BC4C50"/>
    <w:rsid w:val="00BC4C83"/>
    <w:rsid w:val="00BC4DB4"/>
    <w:rsid w:val="00BC4E3C"/>
    <w:rsid w:val="00BC51C9"/>
    <w:rsid w:val="00BC5501"/>
    <w:rsid w:val="00BC55DD"/>
    <w:rsid w:val="00BC602B"/>
    <w:rsid w:val="00BC6158"/>
    <w:rsid w:val="00BC61F8"/>
    <w:rsid w:val="00BC6202"/>
    <w:rsid w:val="00BC65EB"/>
    <w:rsid w:val="00BC69C7"/>
    <w:rsid w:val="00BC6B96"/>
    <w:rsid w:val="00BC6CFB"/>
    <w:rsid w:val="00BC715D"/>
    <w:rsid w:val="00BC7436"/>
    <w:rsid w:val="00BC74FD"/>
    <w:rsid w:val="00BC7ABB"/>
    <w:rsid w:val="00BC7B55"/>
    <w:rsid w:val="00BD0105"/>
    <w:rsid w:val="00BD04C9"/>
    <w:rsid w:val="00BD053C"/>
    <w:rsid w:val="00BD0599"/>
    <w:rsid w:val="00BD0637"/>
    <w:rsid w:val="00BD0764"/>
    <w:rsid w:val="00BD0867"/>
    <w:rsid w:val="00BD0F18"/>
    <w:rsid w:val="00BD0F23"/>
    <w:rsid w:val="00BD138C"/>
    <w:rsid w:val="00BD15F4"/>
    <w:rsid w:val="00BD186D"/>
    <w:rsid w:val="00BD19B7"/>
    <w:rsid w:val="00BD1AF5"/>
    <w:rsid w:val="00BD1C77"/>
    <w:rsid w:val="00BD1CE7"/>
    <w:rsid w:val="00BD1E60"/>
    <w:rsid w:val="00BD2143"/>
    <w:rsid w:val="00BD2181"/>
    <w:rsid w:val="00BD2223"/>
    <w:rsid w:val="00BD239C"/>
    <w:rsid w:val="00BD24E7"/>
    <w:rsid w:val="00BD254B"/>
    <w:rsid w:val="00BD2744"/>
    <w:rsid w:val="00BD285D"/>
    <w:rsid w:val="00BD29C7"/>
    <w:rsid w:val="00BD29FD"/>
    <w:rsid w:val="00BD2AF1"/>
    <w:rsid w:val="00BD2F93"/>
    <w:rsid w:val="00BD305C"/>
    <w:rsid w:val="00BD3204"/>
    <w:rsid w:val="00BD34D6"/>
    <w:rsid w:val="00BD357F"/>
    <w:rsid w:val="00BD383A"/>
    <w:rsid w:val="00BD3A5E"/>
    <w:rsid w:val="00BD3A8B"/>
    <w:rsid w:val="00BD3CF4"/>
    <w:rsid w:val="00BD3D1C"/>
    <w:rsid w:val="00BD3D2C"/>
    <w:rsid w:val="00BD3E23"/>
    <w:rsid w:val="00BD4029"/>
    <w:rsid w:val="00BD4219"/>
    <w:rsid w:val="00BD42BD"/>
    <w:rsid w:val="00BD433B"/>
    <w:rsid w:val="00BD4608"/>
    <w:rsid w:val="00BD4651"/>
    <w:rsid w:val="00BD4773"/>
    <w:rsid w:val="00BD47EB"/>
    <w:rsid w:val="00BD4897"/>
    <w:rsid w:val="00BD48C6"/>
    <w:rsid w:val="00BD4A7E"/>
    <w:rsid w:val="00BD4ABC"/>
    <w:rsid w:val="00BD4BCF"/>
    <w:rsid w:val="00BD4C0C"/>
    <w:rsid w:val="00BD4DFA"/>
    <w:rsid w:val="00BD500C"/>
    <w:rsid w:val="00BD50C0"/>
    <w:rsid w:val="00BD54D5"/>
    <w:rsid w:val="00BD56FD"/>
    <w:rsid w:val="00BD570C"/>
    <w:rsid w:val="00BD57F7"/>
    <w:rsid w:val="00BD5A63"/>
    <w:rsid w:val="00BD5AA0"/>
    <w:rsid w:val="00BD5BED"/>
    <w:rsid w:val="00BD5C49"/>
    <w:rsid w:val="00BD5C4E"/>
    <w:rsid w:val="00BD5E82"/>
    <w:rsid w:val="00BD5FDF"/>
    <w:rsid w:val="00BD619F"/>
    <w:rsid w:val="00BD6372"/>
    <w:rsid w:val="00BD6506"/>
    <w:rsid w:val="00BD6510"/>
    <w:rsid w:val="00BD6A06"/>
    <w:rsid w:val="00BD6B6E"/>
    <w:rsid w:val="00BD6E52"/>
    <w:rsid w:val="00BD6E5F"/>
    <w:rsid w:val="00BD70A7"/>
    <w:rsid w:val="00BD70F8"/>
    <w:rsid w:val="00BD74DE"/>
    <w:rsid w:val="00BD779F"/>
    <w:rsid w:val="00BD7838"/>
    <w:rsid w:val="00BD7C46"/>
    <w:rsid w:val="00BD7DCD"/>
    <w:rsid w:val="00BD7E18"/>
    <w:rsid w:val="00BD7E5F"/>
    <w:rsid w:val="00BE05AD"/>
    <w:rsid w:val="00BE0774"/>
    <w:rsid w:val="00BE0A94"/>
    <w:rsid w:val="00BE0C18"/>
    <w:rsid w:val="00BE0D33"/>
    <w:rsid w:val="00BE111C"/>
    <w:rsid w:val="00BE1213"/>
    <w:rsid w:val="00BE18E8"/>
    <w:rsid w:val="00BE1997"/>
    <w:rsid w:val="00BE1B37"/>
    <w:rsid w:val="00BE1E66"/>
    <w:rsid w:val="00BE1F96"/>
    <w:rsid w:val="00BE206D"/>
    <w:rsid w:val="00BE22B9"/>
    <w:rsid w:val="00BE254C"/>
    <w:rsid w:val="00BE2631"/>
    <w:rsid w:val="00BE2645"/>
    <w:rsid w:val="00BE27D2"/>
    <w:rsid w:val="00BE29BF"/>
    <w:rsid w:val="00BE2AA8"/>
    <w:rsid w:val="00BE3237"/>
    <w:rsid w:val="00BE341D"/>
    <w:rsid w:val="00BE3929"/>
    <w:rsid w:val="00BE3C9E"/>
    <w:rsid w:val="00BE3D6A"/>
    <w:rsid w:val="00BE3DDA"/>
    <w:rsid w:val="00BE42BC"/>
    <w:rsid w:val="00BE431F"/>
    <w:rsid w:val="00BE4327"/>
    <w:rsid w:val="00BE447C"/>
    <w:rsid w:val="00BE4555"/>
    <w:rsid w:val="00BE4727"/>
    <w:rsid w:val="00BE473C"/>
    <w:rsid w:val="00BE4ABC"/>
    <w:rsid w:val="00BE4B70"/>
    <w:rsid w:val="00BE4F2A"/>
    <w:rsid w:val="00BE51D8"/>
    <w:rsid w:val="00BE563C"/>
    <w:rsid w:val="00BE57F4"/>
    <w:rsid w:val="00BE59DD"/>
    <w:rsid w:val="00BE6122"/>
    <w:rsid w:val="00BE6405"/>
    <w:rsid w:val="00BE6837"/>
    <w:rsid w:val="00BE69F9"/>
    <w:rsid w:val="00BE6BC6"/>
    <w:rsid w:val="00BE6E77"/>
    <w:rsid w:val="00BE6FB4"/>
    <w:rsid w:val="00BE71CD"/>
    <w:rsid w:val="00BE722A"/>
    <w:rsid w:val="00BE7411"/>
    <w:rsid w:val="00BE745A"/>
    <w:rsid w:val="00BE7640"/>
    <w:rsid w:val="00BE7656"/>
    <w:rsid w:val="00BE7734"/>
    <w:rsid w:val="00BE78A4"/>
    <w:rsid w:val="00BE792A"/>
    <w:rsid w:val="00BE7AE4"/>
    <w:rsid w:val="00BE7B3A"/>
    <w:rsid w:val="00BE7E2B"/>
    <w:rsid w:val="00BE7E97"/>
    <w:rsid w:val="00BF0280"/>
    <w:rsid w:val="00BF0287"/>
    <w:rsid w:val="00BF0358"/>
    <w:rsid w:val="00BF0557"/>
    <w:rsid w:val="00BF06FD"/>
    <w:rsid w:val="00BF0749"/>
    <w:rsid w:val="00BF08E4"/>
    <w:rsid w:val="00BF09EC"/>
    <w:rsid w:val="00BF0A30"/>
    <w:rsid w:val="00BF0B71"/>
    <w:rsid w:val="00BF0DB8"/>
    <w:rsid w:val="00BF0E3C"/>
    <w:rsid w:val="00BF11DB"/>
    <w:rsid w:val="00BF131E"/>
    <w:rsid w:val="00BF1509"/>
    <w:rsid w:val="00BF154A"/>
    <w:rsid w:val="00BF16DF"/>
    <w:rsid w:val="00BF173F"/>
    <w:rsid w:val="00BF17D3"/>
    <w:rsid w:val="00BF19C9"/>
    <w:rsid w:val="00BF1BAD"/>
    <w:rsid w:val="00BF1FB3"/>
    <w:rsid w:val="00BF22A2"/>
    <w:rsid w:val="00BF2801"/>
    <w:rsid w:val="00BF2B11"/>
    <w:rsid w:val="00BF2B94"/>
    <w:rsid w:val="00BF2DAD"/>
    <w:rsid w:val="00BF2F10"/>
    <w:rsid w:val="00BF33AA"/>
    <w:rsid w:val="00BF34F0"/>
    <w:rsid w:val="00BF35D4"/>
    <w:rsid w:val="00BF3682"/>
    <w:rsid w:val="00BF3683"/>
    <w:rsid w:val="00BF36AE"/>
    <w:rsid w:val="00BF3951"/>
    <w:rsid w:val="00BF396F"/>
    <w:rsid w:val="00BF3A04"/>
    <w:rsid w:val="00BF3C83"/>
    <w:rsid w:val="00BF3D43"/>
    <w:rsid w:val="00BF3EA8"/>
    <w:rsid w:val="00BF43E3"/>
    <w:rsid w:val="00BF452B"/>
    <w:rsid w:val="00BF45E4"/>
    <w:rsid w:val="00BF45EA"/>
    <w:rsid w:val="00BF4AEB"/>
    <w:rsid w:val="00BF4E33"/>
    <w:rsid w:val="00BF4EDB"/>
    <w:rsid w:val="00BF4FDC"/>
    <w:rsid w:val="00BF5353"/>
    <w:rsid w:val="00BF555C"/>
    <w:rsid w:val="00BF55CF"/>
    <w:rsid w:val="00BF55F4"/>
    <w:rsid w:val="00BF590A"/>
    <w:rsid w:val="00BF593F"/>
    <w:rsid w:val="00BF599E"/>
    <w:rsid w:val="00BF5C91"/>
    <w:rsid w:val="00BF5F6C"/>
    <w:rsid w:val="00BF6231"/>
    <w:rsid w:val="00BF64E7"/>
    <w:rsid w:val="00BF65B3"/>
    <w:rsid w:val="00BF66AC"/>
    <w:rsid w:val="00BF6D73"/>
    <w:rsid w:val="00BF6F40"/>
    <w:rsid w:val="00BF6F81"/>
    <w:rsid w:val="00BF6F96"/>
    <w:rsid w:val="00BF73E6"/>
    <w:rsid w:val="00BF753A"/>
    <w:rsid w:val="00BF782C"/>
    <w:rsid w:val="00BF788D"/>
    <w:rsid w:val="00BF7A79"/>
    <w:rsid w:val="00BF7B35"/>
    <w:rsid w:val="00BF7B4E"/>
    <w:rsid w:val="00BF7F0A"/>
    <w:rsid w:val="00C001DE"/>
    <w:rsid w:val="00C005E4"/>
    <w:rsid w:val="00C00B56"/>
    <w:rsid w:val="00C00CA1"/>
    <w:rsid w:val="00C00D52"/>
    <w:rsid w:val="00C00DC8"/>
    <w:rsid w:val="00C010E9"/>
    <w:rsid w:val="00C0135E"/>
    <w:rsid w:val="00C0143D"/>
    <w:rsid w:val="00C015B6"/>
    <w:rsid w:val="00C018C6"/>
    <w:rsid w:val="00C01E80"/>
    <w:rsid w:val="00C02267"/>
    <w:rsid w:val="00C02401"/>
    <w:rsid w:val="00C02413"/>
    <w:rsid w:val="00C02455"/>
    <w:rsid w:val="00C024A0"/>
    <w:rsid w:val="00C025C4"/>
    <w:rsid w:val="00C02802"/>
    <w:rsid w:val="00C0290D"/>
    <w:rsid w:val="00C02C0A"/>
    <w:rsid w:val="00C02C17"/>
    <w:rsid w:val="00C02C66"/>
    <w:rsid w:val="00C02C7E"/>
    <w:rsid w:val="00C02E30"/>
    <w:rsid w:val="00C02F02"/>
    <w:rsid w:val="00C030E1"/>
    <w:rsid w:val="00C031DA"/>
    <w:rsid w:val="00C033D6"/>
    <w:rsid w:val="00C035A6"/>
    <w:rsid w:val="00C035AB"/>
    <w:rsid w:val="00C03920"/>
    <w:rsid w:val="00C0399C"/>
    <w:rsid w:val="00C03CCA"/>
    <w:rsid w:val="00C03CFA"/>
    <w:rsid w:val="00C03D95"/>
    <w:rsid w:val="00C03DF9"/>
    <w:rsid w:val="00C03E60"/>
    <w:rsid w:val="00C03E69"/>
    <w:rsid w:val="00C03F4D"/>
    <w:rsid w:val="00C040EE"/>
    <w:rsid w:val="00C043BA"/>
    <w:rsid w:val="00C04730"/>
    <w:rsid w:val="00C0489B"/>
    <w:rsid w:val="00C04A6F"/>
    <w:rsid w:val="00C04ADB"/>
    <w:rsid w:val="00C04B86"/>
    <w:rsid w:val="00C04C10"/>
    <w:rsid w:val="00C04C70"/>
    <w:rsid w:val="00C04DF7"/>
    <w:rsid w:val="00C0507D"/>
    <w:rsid w:val="00C050C8"/>
    <w:rsid w:val="00C05679"/>
    <w:rsid w:val="00C0583E"/>
    <w:rsid w:val="00C05A04"/>
    <w:rsid w:val="00C05A55"/>
    <w:rsid w:val="00C05CE9"/>
    <w:rsid w:val="00C05D41"/>
    <w:rsid w:val="00C05D4B"/>
    <w:rsid w:val="00C05EE6"/>
    <w:rsid w:val="00C05F19"/>
    <w:rsid w:val="00C05FF3"/>
    <w:rsid w:val="00C06154"/>
    <w:rsid w:val="00C0622C"/>
    <w:rsid w:val="00C06246"/>
    <w:rsid w:val="00C062F4"/>
    <w:rsid w:val="00C0630F"/>
    <w:rsid w:val="00C06679"/>
    <w:rsid w:val="00C06957"/>
    <w:rsid w:val="00C06A31"/>
    <w:rsid w:val="00C06BBD"/>
    <w:rsid w:val="00C07532"/>
    <w:rsid w:val="00C075B7"/>
    <w:rsid w:val="00C07FFA"/>
    <w:rsid w:val="00C101A6"/>
    <w:rsid w:val="00C10229"/>
    <w:rsid w:val="00C1061E"/>
    <w:rsid w:val="00C10770"/>
    <w:rsid w:val="00C10828"/>
    <w:rsid w:val="00C10991"/>
    <w:rsid w:val="00C10A8A"/>
    <w:rsid w:val="00C10A96"/>
    <w:rsid w:val="00C10BBE"/>
    <w:rsid w:val="00C10E06"/>
    <w:rsid w:val="00C10E26"/>
    <w:rsid w:val="00C10FF5"/>
    <w:rsid w:val="00C11498"/>
    <w:rsid w:val="00C11602"/>
    <w:rsid w:val="00C11710"/>
    <w:rsid w:val="00C11939"/>
    <w:rsid w:val="00C11B15"/>
    <w:rsid w:val="00C11B9A"/>
    <w:rsid w:val="00C12087"/>
    <w:rsid w:val="00C12303"/>
    <w:rsid w:val="00C1234D"/>
    <w:rsid w:val="00C1235F"/>
    <w:rsid w:val="00C12393"/>
    <w:rsid w:val="00C123DA"/>
    <w:rsid w:val="00C12798"/>
    <w:rsid w:val="00C1284B"/>
    <w:rsid w:val="00C12E4C"/>
    <w:rsid w:val="00C130E6"/>
    <w:rsid w:val="00C13287"/>
    <w:rsid w:val="00C135DB"/>
    <w:rsid w:val="00C1377D"/>
    <w:rsid w:val="00C13791"/>
    <w:rsid w:val="00C13972"/>
    <w:rsid w:val="00C13A4C"/>
    <w:rsid w:val="00C13B39"/>
    <w:rsid w:val="00C13EBF"/>
    <w:rsid w:val="00C14068"/>
    <w:rsid w:val="00C14309"/>
    <w:rsid w:val="00C14491"/>
    <w:rsid w:val="00C1455F"/>
    <w:rsid w:val="00C14656"/>
    <w:rsid w:val="00C14AAB"/>
    <w:rsid w:val="00C14AC9"/>
    <w:rsid w:val="00C14C12"/>
    <w:rsid w:val="00C14DD1"/>
    <w:rsid w:val="00C150D6"/>
    <w:rsid w:val="00C155FF"/>
    <w:rsid w:val="00C1576A"/>
    <w:rsid w:val="00C1587B"/>
    <w:rsid w:val="00C15899"/>
    <w:rsid w:val="00C158A7"/>
    <w:rsid w:val="00C1590D"/>
    <w:rsid w:val="00C159E2"/>
    <w:rsid w:val="00C15C2B"/>
    <w:rsid w:val="00C15D01"/>
    <w:rsid w:val="00C15DD6"/>
    <w:rsid w:val="00C15ED8"/>
    <w:rsid w:val="00C15F12"/>
    <w:rsid w:val="00C15FCB"/>
    <w:rsid w:val="00C15FD6"/>
    <w:rsid w:val="00C16056"/>
    <w:rsid w:val="00C160A1"/>
    <w:rsid w:val="00C160E3"/>
    <w:rsid w:val="00C16144"/>
    <w:rsid w:val="00C16181"/>
    <w:rsid w:val="00C161D8"/>
    <w:rsid w:val="00C163D0"/>
    <w:rsid w:val="00C164F6"/>
    <w:rsid w:val="00C16575"/>
    <w:rsid w:val="00C16B55"/>
    <w:rsid w:val="00C16DB4"/>
    <w:rsid w:val="00C16F09"/>
    <w:rsid w:val="00C1715C"/>
    <w:rsid w:val="00C172CB"/>
    <w:rsid w:val="00C172D8"/>
    <w:rsid w:val="00C17332"/>
    <w:rsid w:val="00C173C2"/>
    <w:rsid w:val="00C173D1"/>
    <w:rsid w:val="00C17CBC"/>
    <w:rsid w:val="00C17D52"/>
    <w:rsid w:val="00C17DD1"/>
    <w:rsid w:val="00C17E49"/>
    <w:rsid w:val="00C20154"/>
    <w:rsid w:val="00C201DA"/>
    <w:rsid w:val="00C20218"/>
    <w:rsid w:val="00C20272"/>
    <w:rsid w:val="00C2028A"/>
    <w:rsid w:val="00C208F0"/>
    <w:rsid w:val="00C20979"/>
    <w:rsid w:val="00C20E30"/>
    <w:rsid w:val="00C20FC3"/>
    <w:rsid w:val="00C20FDF"/>
    <w:rsid w:val="00C210EB"/>
    <w:rsid w:val="00C2135A"/>
    <w:rsid w:val="00C2157A"/>
    <w:rsid w:val="00C215AA"/>
    <w:rsid w:val="00C21722"/>
    <w:rsid w:val="00C21ADC"/>
    <w:rsid w:val="00C22563"/>
    <w:rsid w:val="00C2259B"/>
    <w:rsid w:val="00C228FB"/>
    <w:rsid w:val="00C22A7E"/>
    <w:rsid w:val="00C23005"/>
    <w:rsid w:val="00C23299"/>
    <w:rsid w:val="00C233BC"/>
    <w:rsid w:val="00C2353D"/>
    <w:rsid w:val="00C23664"/>
    <w:rsid w:val="00C237AA"/>
    <w:rsid w:val="00C23ACD"/>
    <w:rsid w:val="00C2402E"/>
    <w:rsid w:val="00C2409E"/>
    <w:rsid w:val="00C24526"/>
    <w:rsid w:val="00C246AE"/>
    <w:rsid w:val="00C246FC"/>
    <w:rsid w:val="00C2473B"/>
    <w:rsid w:val="00C2476B"/>
    <w:rsid w:val="00C24796"/>
    <w:rsid w:val="00C24B59"/>
    <w:rsid w:val="00C24DA3"/>
    <w:rsid w:val="00C25060"/>
    <w:rsid w:val="00C251C7"/>
    <w:rsid w:val="00C251E6"/>
    <w:rsid w:val="00C25278"/>
    <w:rsid w:val="00C25349"/>
    <w:rsid w:val="00C25457"/>
    <w:rsid w:val="00C25508"/>
    <w:rsid w:val="00C258A2"/>
    <w:rsid w:val="00C259D7"/>
    <w:rsid w:val="00C25FB8"/>
    <w:rsid w:val="00C261A9"/>
    <w:rsid w:val="00C263EB"/>
    <w:rsid w:val="00C2653F"/>
    <w:rsid w:val="00C2666A"/>
    <w:rsid w:val="00C2667B"/>
    <w:rsid w:val="00C2677F"/>
    <w:rsid w:val="00C268B8"/>
    <w:rsid w:val="00C26AA4"/>
    <w:rsid w:val="00C26BC9"/>
    <w:rsid w:val="00C26E5C"/>
    <w:rsid w:val="00C270FA"/>
    <w:rsid w:val="00C27364"/>
    <w:rsid w:val="00C2750D"/>
    <w:rsid w:val="00C275C9"/>
    <w:rsid w:val="00C2760F"/>
    <w:rsid w:val="00C276EC"/>
    <w:rsid w:val="00C276F1"/>
    <w:rsid w:val="00C276F6"/>
    <w:rsid w:val="00C27D43"/>
    <w:rsid w:val="00C30367"/>
    <w:rsid w:val="00C3045F"/>
    <w:rsid w:val="00C30788"/>
    <w:rsid w:val="00C30A54"/>
    <w:rsid w:val="00C30B72"/>
    <w:rsid w:val="00C30BEB"/>
    <w:rsid w:val="00C30C68"/>
    <w:rsid w:val="00C30DE0"/>
    <w:rsid w:val="00C30DF2"/>
    <w:rsid w:val="00C30EA4"/>
    <w:rsid w:val="00C30EE9"/>
    <w:rsid w:val="00C313EE"/>
    <w:rsid w:val="00C315F7"/>
    <w:rsid w:val="00C316EA"/>
    <w:rsid w:val="00C31955"/>
    <w:rsid w:val="00C31C17"/>
    <w:rsid w:val="00C31D24"/>
    <w:rsid w:val="00C325E4"/>
    <w:rsid w:val="00C3263B"/>
    <w:rsid w:val="00C32989"/>
    <w:rsid w:val="00C32B36"/>
    <w:rsid w:val="00C32D89"/>
    <w:rsid w:val="00C32DAA"/>
    <w:rsid w:val="00C32E6E"/>
    <w:rsid w:val="00C32EB3"/>
    <w:rsid w:val="00C32F33"/>
    <w:rsid w:val="00C33111"/>
    <w:rsid w:val="00C3322D"/>
    <w:rsid w:val="00C3333A"/>
    <w:rsid w:val="00C33495"/>
    <w:rsid w:val="00C33C28"/>
    <w:rsid w:val="00C33C30"/>
    <w:rsid w:val="00C33C75"/>
    <w:rsid w:val="00C33CF5"/>
    <w:rsid w:val="00C33DA6"/>
    <w:rsid w:val="00C34143"/>
    <w:rsid w:val="00C34689"/>
    <w:rsid w:val="00C347FC"/>
    <w:rsid w:val="00C34A6A"/>
    <w:rsid w:val="00C34C95"/>
    <w:rsid w:val="00C34D0C"/>
    <w:rsid w:val="00C34F6C"/>
    <w:rsid w:val="00C34F70"/>
    <w:rsid w:val="00C351AB"/>
    <w:rsid w:val="00C352DC"/>
    <w:rsid w:val="00C35578"/>
    <w:rsid w:val="00C35851"/>
    <w:rsid w:val="00C359AA"/>
    <w:rsid w:val="00C35F5F"/>
    <w:rsid w:val="00C35FFA"/>
    <w:rsid w:val="00C36205"/>
    <w:rsid w:val="00C3652A"/>
    <w:rsid w:val="00C365A0"/>
    <w:rsid w:val="00C366FB"/>
    <w:rsid w:val="00C3673F"/>
    <w:rsid w:val="00C36741"/>
    <w:rsid w:val="00C36A1B"/>
    <w:rsid w:val="00C36A4F"/>
    <w:rsid w:val="00C36A51"/>
    <w:rsid w:val="00C36C65"/>
    <w:rsid w:val="00C36C71"/>
    <w:rsid w:val="00C36CC5"/>
    <w:rsid w:val="00C36EEC"/>
    <w:rsid w:val="00C36F74"/>
    <w:rsid w:val="00C3703D"/>
    <w:rsid w:val="00C37097"/>
    <w:rsid w:val="00C376C8"/>
    <w:rsid w:val="00C377C5"/>
    <w:rsid w:val="00C377FB"/>
    <w:rsid w:val="00C37843"/>
    <w:rsid w:val="00C37CED"/>
    <w:rsid w:val="00C37F99"/>
    <w:rsid w:val="00C4019A"/>
    <w:rsid w:val="00C40477"/>
    <w:rsid w:val="00C40595"/>
    <w:rsid w:val="00C4085E"/>
    <w:rsid w:val="00C40AB4"/>
    <w:rsid w:val="00C40B16"/>
    <w:rsid w:val="00C40CFC"/>
    <w:rsid w:val="00C40D65"/>
    <w:rsid w:val="00C41132"/>
    <w:rsid w:val="00C41311"/>
    <w:rsid w:val="00C41485"/>
    <w:rsid w:val="00C4149B"/>
    <w:rsid w:val="00C4156E"/>
    <w:rsid w:val="00C415A5"/>
    <w:rsid w:val="00C41620"/>
    <w:rsid w:val="00C419D0"/>
    <w:rsid w:val="00C41A43"/>
    <w:rsid w:val="00C41C6A"/>
    <w:rsid w:val="00C41F73"/>
    <w:rsid w:val="00C423D5"/>
    <w:rsid w:val="00C424FC"/>
    <w:rsid w:val="00C425FF"/>
    <w:rsid w:val="00C4272F"/>
    <w:rsid w:val="00C429AD"/>
    <w:rsid w:val="00C42D5A"/>
    <w:rsid w:val="00C42E93"/>
    <w:rsid w:val="00C42F5D"/>
    <w:rsid w:val="00C431CD"/>
    <w:rsid w:val="00C43370"/>
    <w:rsid w:val="00C437CE"/>
    <w:rsid w:val="00C438FC"/>
    <w:rsid w:val="00C439C2"/>
    <w:rsid w:val="00C43A73"/>
    <w:rsid w:val="00C43A85"/>
    <w:rsid w:val="00C43B7E"/>
    <w:rsid w:val="00C43C0D"/>
    <w:rsid w:val="00C43CEF"/>
    <w:rsid w:val="00C43DFD"/>
    <w:rsid w:val="00C43E04"/>
    <w:rsid w:val="00C440E2"/>
    <w:rsid w:val="00C44321"/>
    <w:rsid w:val="00C44406"/>
    <w:rsid w:val="00C44ECB"/>
    <w:rsid w:val="00C45171"/>
    <w:rsid w:val="00C4525D"/>
    <w:rsid w:val="00C45314"/>
    <w:rsid w:val="00C4532B"/>
    <w:rsid w:val="00C45334"/>
    <w:rsid w:val="00C45335"/>
    <w:rsid w:val="00C458DD"/>
    <w:rsid w:val="00C45AA4"/>
    <w:rsid w:val="00C45D8C"/>
    <w:rsid w:val="00C460E7"/>
    <w:rsid w:val="00C4653C"/>
    <w:rsid w:val="00C465AA"/>
    <w:rsid w:val="00C4671B"/>
    <w:rsid w:val="00C46887"/>
    <w:rsid w:val="00C468A8"/>
    <w:rsid w:val="00C46AA8"/>
    <w:rsid w:val="00C46DCA"/>
    <w:rsid w:val="00C46E3D"/>
    <w:rsid w:val="00C46EF9"/>
    <w:rsid w:val="00C47399"/>
    <w:rsid w:val="00C47655"/>
    <w:rsid w:val="00C4781B"/>
    <w:rsid w:val="00C478F6"/>
    <w:rsid w:val="00C478F8"/>
    <w:rsid w:val="00C47915"/>
    <w:rsid w:val="00C47A2B"/>
    <w:rsid w:val="00C47AE1"/>
    <w:rsid w:val="00C47B27"/>
    <w:rsid w:val="00C47B37"/>
    <w:rsid w:val="00C47BF0"/>
    <w:rsid w:val="00C47BF7"/>
    <w:rsid w:val="00C47CA0"/>
    <w:rsid w:val="00C47D7B"/>
    <w:rsid w:val="00C47F41"/>
    <w:rsid w:val="00C50042"/>
    <w:rsid w:val="00C50096"/>
    <w:rsid w:val="00C500B9"/>
    <w:rsid w:val="00C50113"/>
    <w:rsid w:val="00C50446"/>
    <w:rsid w:val="00C50705"/>
    <w:rsid w:val="00C50753"/>
    <w:rsid w:val="00C5075C"/>
    <w:rsid w:val="00C50903"/>
    <w:rsid w:val="00C50A19"/>
    <w:rsid w:val="00C50B47"/>
    <w:rsid w:val="00C50B4F"/>
    <w:rsid w:val="00C50D7C"/>
    <w:rsid w:val="00C50DFD"/>
    <w:rsid w:val="00C511E0"/>
    <w:rsid w:val="00C5146A"/>
    <w:rsid w:val="00C514E2"/>
    <w:rsid w:val="00C51599"/>
    <w:rsid w:val="00C515A0"/>
    <w:rsid w:val="00C515E3"/>
    <w:rsid w:val="00C51651"/>
    <w:rsid w:val="00C516C8"/>
    <w:rsid w:val="00C51715"/>
    <w:rsid w:val="00C51A73"/>
    <w:rsid w:val="00C51AA8"/>
    <w:rsid w:val="00C51D26"/>
    <w:rsid w:val="00C52718"/>
    <w:rsid w:val="00C52803"/>
    <w:rsid w:val="00C529A6"/>
    <w:rsid w:val="00C52CC5"/>
    <w:rsid w:val="00C52CCD"/>
    <w:rsid w:val="00C52F06"/>
    <w:rsid w:val="00C52F1E"/>
    <w:rsid w:val="00C52F4D"/>
    <w:rsid w:val="00C52F55"/>
    <w:rsid w:val="00C52FF5"/>
    <w:rsid w:val="00C53284"/>
    <w:rsid w:val="00C5329A"/>
    <w:rsid w:val="00C536C2"/>
    <w:rsid w:val="00C537C6"/>
    <w:rsid w:val="00C537F9"/>
    <w:rsid w:val="00C53C86"/>
    <w:rsid w:val="00C53D54"/>
    <w:rsid w:val="00C53DD5"/>
    <w:rsid w:val="00C53E31"/>
    <w:rsid w:val="00C53E94"/>
    <w:rsid w:val="00C53EAA"/>
    <w:rsid w:val="00C53ED4"/>
    <w:rsid w:val="00C53FE0"/>
    <w:rsid w:val="00C5422E"/>
    <w:rsid w:val="00C54288"/>
    <w:rsid w:val="00C54322"/>
    <w:rsid w:val="00C54561"/>
    <w:rsid w:val="00C54767"/>
    <w:rsid w:val="00C54A6B"/>
    <w:rsid w:val="00C54BBD"/>
    <w:rsid w:val="00C54BEB"/>
    <w:rsid w:val="00C54DAD"/>
    <w:rsid w:val="00C54F34"/>
    <w:rsid w:val="00C555D6"/>
    <w:rsid w:val="00C55A23"/>
    <w:rsid w:val="00C55A7C"/>
    <w:rsid w:val="00C55BDF"/>
    <w:rsid w:val="00C55D60"/>
    <w:rsid w:val="00C56043"/>
    <w:rsid w:val="00C56122"/>
    <w:rsid w:val="00C56245"/>
    <w:rsid w:val="00C564EC"/>
    <w:rsid w:val="00C566BE"/>
    <w:rsid w:val="00C56897"/>
    <w:rsid w:val="00C569DA"/>
    <w:rsid w:val="00C56DB4"/>
    <w:rsid w:val="00C56F14"/>
    <w:rsid w:val="00C5719A"/>
    <w:rsid w:val="00C57773"/>
    <w:rsid w:val="00C57895"/>
    <w:rsid w:val="00C57A5D"/>
    <w:rsid w:val="00C57ADF"/>
    <w:rsid w:val="00C57C08"/>
    <w:rsid w:val="00C57C88"/>
    <w:rsid w:val="00C57EAC"/>
    <w:rsid w:val="00C57F4B"/>
    <w:rsid w:val="00C57FA2"/>
    <w:rsid w:val="00C601D6"/>
    <w:rsid w:val="00C603A5"/>
    <w:rsid w:val="00C6047C"/>
    <w:rsid w:val="00C60493"/>
    <w:rsid w:val="00C604DA"/>
    <w:rsid w:val="00C6053A"/>
    <w:rsid w:val="00C605CD"/>
    <w:rsid w:val="00C606F2"/>
    <w:rsid w:val="00C606FE"/>
    <w:rsid w:val="00C608F1"/>
    <w:rsid w:val="00C60915"/>
    <w:rsid w:val="00C60922"/>
    <w:rsid w:val="00C60AC1"/>
    <w:rsid w:val="00C60D72"/>
    <w:rsid w:val="00C61037"/>
    <w:rsid w:val="00C6107A"/>
    <w:rsid w:val="00C612EB"/>
    <w:rsid w:val="00C61720"/>
    <w:rsid w:val="00C6180A"/>
    <w:rsid w:val="00C61AC4"/>
    <w:rsid w:val="00C61E39"/>
    <w:rsid w:val="00C61F57"/>
    <w:rsid w:val="00C62022"/>
    <w:rsid w:val="00C62208"/>
    <w:rsid w:val="00C6225B"/>
    <w:rsid w:val="00C62601"/>
    <w:rsid w:val="00C626C2"/>
    <w:rsid w:val="00C62937"/>
    <w:rsid w:val="00C629BD"/>
    <w:rsid w:val="00C629CB"/>
    <w:rsid w:val="00C62B08"/>
    <w:rsid w:val="00C62B11"/>
    <w:rsid w:val="00C62BB0"/>
    <w:rsid w:val="00C630C9"/>
    <w:rsid w:val="00C631B0"/>
    <w:rsid w:val="00C631D1"/>
    <w:rsid w:val="00C6321E"/>
    <w:rsid w:val="00C6336E"/>
    <w:rsid w:val="00C63695"/>
    <w:rsid w:val="00C637F5"/>
    <w:rsid w:val="00C63F25"/>
    <w:rsid w:val="00C6405D"/>
    <w:rsid w:val="00C640ED"/>
    <w:rsid w:val="00C641E3"/>
    <w:rsid w:val="00C64334"/>
    <w:rsid w:val="00C64372"/>
    <w:rsid w:val="00C64421"/>
    <w:rsid w:val="00C64443"/>
    <w:rsid w:val="00C6454A"/>
    <w:rsid w:val="00C64763"/>
    <w:rsid w:val="00C64842"/>
    <w:rsid w:val="00C64AE9"/>
    <w:rsid w:val="00C64DA7"/>
    <w:rsid w:val="00C65050"/>
    <w:rsid w:val="00C65176"/>
    <w:rsid w:val="00C651FE"/>
    <w:rsid w:val="00C65453"/>
    <w:rsid w:val="00C6555F"/>
    <w:rsid w:val="00C65622"/>
    <w:rsid w:val="00C65905"/>
    <w:rsid w:val="00C65DCB"/>
    <w:rsid w:val="00C65FD1"/>
    <w:rsid w:val="00C66253"/>
    <w:rsid w:val="00C664AE"/>
    <w:rsid w:val="00C6669B"/>
    <w:rsid w:val="00C6728E"/>
    <w:rsid w:val="00C67537"/>
    <w:rsid w:val="00C676AA"/>
    <w:rsid w:val="00C67B37"/>
    <w:rsid w:val="00C67C44"/>
    <w:rsid w:val="00C67E3E"/>
    <w:rsid w:val="00C70221"/>
    <w:rsid w:val="00C70289"/>
    <w:rsid w:val="00C706FD"/>
    <w:rsid w:val="00C70750"/>
    <w:rsid w:val="00C7083C"/>
    <w:rsid w:val="00C70888"/>
    <w:rsid w:val="00C7105B"/>
    <w:rsid w:val="00C711C4"/>
    <w:rsid w:val="00C711C5"/>
    <w:rsid w:val="00C7126E"/>
    <w:rsid w:val="00C71289"/>
    <w:rsid w:val="00C713A1"/>
    <w:rsid w:val="00C71470"/>
    <w:rsid w:val="00C715B7"/>
    <w:rsid w:val="00C71659"/>
    <w:rsid w:val="00C717E2"/>
    <w:rsid w:val="00C718AB"/>
    <w:rsid w:val="00C71949"/>
    <w:rsid w:val="00C71951"/>
    <w:rsid w:val="00C719DF"/>
    <w:rsid w:val="00C71CEF"/>
    <w:rsid w:val="00C722BB"/>
    <w:rsid w:val="00C722FD"/>
    <w:rsid w:val="00C724CA"/>
    <w:rsid w:val="00C7256C"/>
    <w:rsid w:val="00C72628"/>
    <w:rsid w:val="00C727E5"/>
    <w:rsid w:val="00C72A39"/>
    <w:rsid w:val="00C72AB5"/>
    <w:rsid w:val="00C72D63"/>
    <w:rsid w:val="00C72DB0"/>
    <w:rsid w:val="00C7321F"/>
    <w:rsid w:val="00C73469"/>
    <w:rsid w:val="00C734C9"/>
    <w:rsid w:val="00C734D7"/>
    <w:rsid w:val="00C7365D"/>
    <w:rsid w:val="00C7386F"/>
    <w:rsid w:val="00C739E3"/>
    <w:rsid w:val="00C73BBE"/>
    <w:rsid w:val="00C73C57"/>
    <w:rsid w:val="00C73C73"/>
    <w:rsid w:val="00C73D21"/>
    <w:rsid w:val="00C74038"/>
    <w:rsid w:val="00C741E7"/>
    <w:rsid w:val="00C7428F"/>
    <w:rsid w:val="00C744C5"/>
    <w:rsid w:val="00C74733"/>
    <w:rsid w:val="00C74CA7"/>
    <w:rsid w:val="00C74D3C"/>
    <w:rsid w:val="00C7507E"/>
    <w:rsid w:val="00C75119"/>
    <w:rsid w:val="00C7547D"/>
    <w:rsid w:val="00C754D5"/>
    <w:rsid w:val="00C754F1"/>
    <w:rsid w:val="00C75981"/>
    <w:rsid w:val="00C75AE8"/>
    <w:rsid w:val="00C75B1E"/>
    <w:rsid w:val="00C75B95"/>
    <w:rsid w:val="00C75BCB"/>
    <w:rsid w:val="00C75BD8"/>
    <w:rsid w:val="00C75DC6"/>
    <w:rsid w:val="00C75E06"/>
    <w:rsid w:val="00C75F7A"/>
    <w:rsid w:val="00C7633E"/>
    <w:rsid w:val="00C76393"/>
    <w:rsid w:val="00C76408"/>
    <w:rsid w:val="00C7659A"/>
    <w:rsid w:val="00C76C4A"/>
    <w:rsid w:val="00C76E27"/>
    <w:rsid w:val="00C76EE8"/>
    <w:rsid w:val="00C77088"/>
    <w:rsid w:val="00C77254"/>
    <w:rsid w:val="00C774D0"/>
    <w:rsid w:val="00C774FA"/>
    <w:rsid w:val="00C77532"/>
    <w:rsid w:val="00C77570"/>
    <w:rsid w:val="00C776AE"/>
    <w:rsid w:val="00C77A3F"/>
    <w:rsid w:val="00C77AFD"/>
    <w:rsid w:val="00C77C52"/>
    <w:rsid w:val="00C77D7B"/>
    <w:rsid w:val="00C77DDE"/>
    <w:rsid w:val="00C77DFC"/>
    <w:rsid w:val="00C77E3C"/>
    <w:rsid w:val="00C77E83"/>
    <w:rsid w:val="00C790ED"/>
    <w:rsid w:val="00C800B4"/>
    <w:rsid w:val="00C80423"/>
    <w:rsid w:val="00C8068F"/>
    <w:rsid w:val="00C806E2"/>
    <w:rsid w:val="00C808FF"/>
    <w:rsid w:val="00C80A05"/>
    <w:rsid w:val="00C80BEE"/>
    <w:rsid w:val="00C80C4D"/>
    <w:rsid w:val="00C80C9E"/>
    <w:rsid w:val="00C80CFB"/>
    <w:rsid w:val="00C80E03"/>
    <w:rsid w:val="00C80EC2"/>
    <w:rsid w:val="00C811BB"/>
    <w:rsid w:val="00C812D8"/>
    <w:rsid w:val="00C8143B"/>
    <w:rsid w:val="00C816B3"/>
    <w:rsid w:val="00C8171D"/>
    <w:rsid w:val="00C817B5"/>
    <w:rsid w:val="00C81D94"/>
    <w:rsid w:val="00C81EB2"/>
    <w:rsid w:val="00C8218C"/>
    <w:rsid w:val="00C8218F"/>
    <w:rsid w:val="00C82255"/>
    <w:rsid w:val="00C827BA"/>
    <w:rsid w:val="00C827BF"/>
    <w:rsid w:val="00C82914"/>
    <w:rsid w:val="00C829F5"/>
    <w:rsid w:val="00C82A64"/>
    <w:rsid w:val="00C82A74"/>
    <w:rsid w:val="00C82FA2"/>
    <w:rsid w:val="00C830A3"/>
    <w:rsid w:val="00C83461"/>
    <w:rsid w:val="00C83563"/>
    <w:rsid w:val="00C836E6"/>
    <w:rsid w:val="00C83A3E"/>
    <w:rsid w:val="00C83A90"/>
    <w:rsid w:val="00C83BAA"/>
    <w:rsid w:val="00C8407E"/>
    <w:rsid w:val="00C84286"/>
    <w:rsid w:val="00C84403"/>
    <w:rsid w:val="00C8465D"/>
    <w:rsid w:val="00C84CB8"/>
    <w:rsid w:val="00C84FE1"/>
    <w:rsid w:val="00C85044"/>
    <w:rsid w:val="00C85302"/>
    <w:rsid w:val="00C8532E"/>
    <w:rsid w:val="00C85414"/>
    <w:rsid w:val="00C85471"/>
    <w:rsid w:val="00C85674"/>
    <w:rsid w:val="00C85782"/>
    <w:rsid w:val="00C85A64"/>
    <w:rsid w:val="00C85C78"/>
    <w:rsid w:val="00C85E74"/>
    <w:rsid w:val="00C86169"/>
    <w:rsid w:val="00C8624C"/>
    <w:rsid w:val="00C8632D"/>
    <w:rsid w:val="00C8646E"/>
    <w:rsid w:val="00C864FD"/>
    <w:rsid w:val="00C868A7"/>
    <w:rsid w:val="00C86A5D"/>
    <w:rsid w:val="00C86A78"/>
    <w:rsid w:val="00C86B9E"/>
    <w:rsid w:val="00C86F0E"/>
    <w:rsid w:val="00C86F57"/>
    <w:rsid w:val="00C870B1"/>
    <w:rsid w:val="00C8712D"/>
    <w:rsid w:val="00C87AAE"/>
    <w:rsid w:val="00C87E4F"/>
    <w:rsid w:val="00C87FE3"/>
    <w:rsid w:val="00C901C3"/>
    <w:rsid w:val="00C90234"/>
    <w:rsid w:val="00C902AB"/>
    <w:rsid w:val="00C903F6"/>
    <w:rsid w:val="00C9049E"/>
    <w:rsid w:val="00C9053B"/>
    <w:rsid w:val="00C905E6"/>
    <w:rsid w:val="00C907F9"/>
    <w:rsid w:val="00C90B17"/>
    <w:rsid w:val="00C90C6E"/>
    <w:rsid w:val="00C90DA9"/>
    <w:rsid w:val="00C90E5C"/>
    <w:rsid w:val="00C91052"/>
    <w:rsid w:val="00C91140"/>
    <w:rsid w:val="00C91214"/>
    <w:rsid w:val="00C912CB"/>
    <w:rsid w:val="00C91439"/>
    <w:rsid w:val="00C91498"/>
    <w:rsid w:val="00C914D6"/>
    <w:rsid w:val="00C9179A"/>
    <w:rsid w:val="00C91EC1"/>
    <w:rsid w:val="00C91ED8"/>
    <w:rsid w:val="00C92448"/>
    <w:rsid w:val="00C9249E"/>
    <w:rsid w:val="00C92629"/>
    <w:rsid w:val="00C9282E"/>
    <w:rsid w:val="00C92A17"/>
    <w:rsid w:val="00C92ACF"/>
    <w:rsid w:val="00C92C78"/>
    <w:rsid w:val="00C92CB9"/>
    <w:rsid w:val="00C92D48"/>
    <w:rsid w:val="00C92E29"/>
    <w:rsid w:val="00C92EDE"/>
    <w:rsid w:val="00C93579"/>
    <w:rsid w:val="00C9392B"/>
    <w:rsid w:val="00C93A10"/>
    <w:rsid w:val="00C93C18"/>
    <w:rsid w:val="00C93D4C"/>
    <w:rsid w:val="00C941BC"/>
    <w:rsid w:val="00C9436F"/>
    <w:rsid w:val="00C943B2"/>
    <w:rsid w:val="00C94422"/>
    <w:rsid w:val="00C9445F"/>
    <w:rsid w:val="00C9479C"/>
    <w:rsid w:val="00C948FB"/>
    <w:rsid w:val="00C94DE6"/>
    <w:rsid w:val="00C94FF4"/>
    <w:rsid w:val="00C9519F"/>
    <w:rsid w:val="00C95568"/>
    <w:rsid w:val="00C955B7"/>
    <w:rsid w:val="00C956AA"/>
    <w:rsid w:val="00C9590B"/>
    <w:rsid w:val="00C95C18"/>
    <w:rsid w:val="00C96211"/>
    <w:rsid w:val="00C962B8"/>
    <w:rsid w:val="00C967C1"/>
    <w:rsid w:val="00C96ADF"/>
    <w:rsid w:val="00C96BE8"/>
    <w:rsid w:val="00C96C15"/>
    <w:rsid w:val="00C96EB3"/>
    <w:rsid w:val="00C96F0C"/>
    <w:rsid w:val="00C96FA0"/>
    <w:rsid w:val="00C972EE"/>
    <w:rsid w:val="00C97585"/>
    <w:rsid w:val="00C97751"/>
    <w:rsid w:val="00C978EE"/>
    <w:rsid w:val="00C97A7A"/>
    <w:rsid w:val="00C97D84"/>
    <w:rsid w:val="00CA01DE"/>
    <w:rsid w:val="00CA038B"/>
    <w:rsid w:val="00CA058A"/>
    <w:rsid w:val="00CA07A1"/>
    <w:rsid w:val="00CA084B"/>
    <w:rsid w:val="00CA0F12"/>
    <w:rsid w:val="00CA1003"/>
    <w:rsid w:val="00CA12D5"/>
    <w:rsid w:val="00CA153F"/>
    <w:rsid w:val="00CA157E"/>
    <w:rsid w:val="00CA15C8"/>
    <w:rsid w:val="00CA1A9C"/>
    <w:rsid w:val="00CA1DBD"/>
    <w:rsid w:val="00CA1E74"/>
    <w:rsid w:val="00CA1F75"/>
    <w:rsid w:val="00CA1F84"/>
    <w:rsid w:val="00CA1FF8"/>
    <w:rsid w:val="00CA250C"/>
    <w:rsid w:val="00CA299E"/>
    <w:rsid w:val="00CA2AE2"/>
    <w:rsid w:val="00CA2C1B"/>
    <w:rsid w:val="00CA2D5A"/>
    <w:rsid w:val="00CA2E42"/>
    <w:rsid w:val="00CA2E80"/>
    <w:rsid w:val="00CA2EB8"/>
    <w:rsid w:val="00CA2EFF"/>
    <w:rsid w:val="00CA3229"/>
    <w:rsid w:val="00CA32C4"/>
    <w:rsid w:val="00CA33CD"/>
    <w:rsid w:val="00CA3419"/>
    <w:rsid w:val="00CA343C"/>
    <w:rsid w:val="00CA3646"/>
    <w:rsid w:val="00CA3738"/>
    <w:rsid w:val="00CA392F"/>
    <w:rsid w:val="00CA3CE6"/>
    <w:rsid w:val="00CA4024"/>
    <w:rsid w:val="00CA40BC"/>
    <w:rsid w:val="00CA4482"/>
    <w:rsid w:val="00CA4693"/>
    <w:rsid w:val="00CA478E"/>
    <w:rsid w:val="00CA4859"/>
    <w:rsid w:val="00CA49F2"/>
    <w:rsid w:val="00CA4C5E"/>
    <w:rsid w:val="00CA4D4F"/>
    <w:rsid w:val="00CA4F57"/>
    <w:rsid w:val="00CA4FFA"/>
    <w:rsid w:val="00CA512E"/>
    <w:rsid w:val="00CA533E"/>
    <w:rsid w:val="00CA54D3"/>
    <w:rsid w:val="00CA550B"/>
    <w:rsid w:val="00CA5668"/>
    <w:rsid w:val="00CA5767"/>
    <w:rsid w:val="00CA5930"/>
    <w:rsid w:val="00CA5993"/>
    <w:rsid w:val="00CA5C4D"/>
    <w:rsid w:val="00CA5FC0"/>
    <w:rsid w:val="00CA6072"/>
    <w:rsid w:val="00CA6097"/>
    <w:rsid w:val="00CA6203"/>
    <w:rsid w:val="00CA627B"/>
    <w:rsid w:val="00CA63AF"/>
    <w:rsid w:val="00CA6803"/>
    <w:rsid w:val="00CA68D8"/>
    <w:rsid w:val="00CA6B1A"/>
    <w:rsid w:val="00CA749E"/>
    <w:rsid w:val="00CA76C6"/>
    <w:rsid w:val="00CA7723"/>
    <w:rsid w:val="00CA77BD"/>
    <w:rsid w:val="00CA7837"/>
    <w:rsid w:val="00CA7A3B"/>
    <w:rsid w:val="00CA7A9E"/>
    <w:rsid w:val="00CA7BB6"/>
    <w:rsid w:val="00CA7C1B"/>
    <w:rsid w:val="00CA7D54"/>
    <w:rsid w:val="00CA7F39"/>
    <w:rsid w:val="00CA7F4B"/>
    <w:rsid w:val="00CA7FC4"/>
    <w:rsid w:val="00CAA185"/>
    <w:rsid w:val="00CB001D"/>
    <w:rsid w:val="00CB0087"/>
    <w:rsid w:val="00CB0297"/>
    <w:rsid w:val="00CB0551"/>
    <w:rsid w:val="00CB069F"/>
    <w:rsid w:val="00CB0700"/>
    <w:rsid w:val="00CB0824"/>
    <w:rsid w:val="00CB09EE"/>
    <w:rsid w:val="00CB0A22"/>
    <w:rsid w:val="00CB0B6D"/>
    <w:rsid w:val="00CB0B8B"/>
    <w:rsid w:val="00CB0C07"/>
    <w:rsid w:val="00CB0C80"/>
    <w:rsid w:val="00CB0E74"/>
    <w:rsid w:val="00CB12D6"/>
    <w:rsid w:val="00CB1426"/>
    <w:rsid w:val="00CB14FD"/>
    <w:rsid w:val="00CB176D"/>
    <w:rsid w:val="00CB1CBF"/>
    <w:rsid w:val="00CB1EEE"/>
    <w:rsid w:val="00CB1F6A"/>
    <w:rsid w:val="00CB21A6"/>
    <w:rsid w:val="00CB253A"/>
    <w:rsid w:val="00CB2696"/>
    <w:rsid w:val="00CB26DF"/>
    <w:rsid w:val="00CB2A52"/>
    <w:rsid w:val="00CB2AA3"/>
    <w:rsid w:val="00CB2B45"/>
    <w:rsid w:val="00CB2C0A"/>
    <w:rsid w:val="00CB31BC"/>
    <w:rsid w:val="00CB325A"/>
    <w:rsid w:val="00CB327C"/>
    <w:rsid w:val="00CB349F"/>
    <w:rsid w:val="00CB35A4"/>
    <w:rsid w:val="00CB38AB"/>
    <w:rsid w:val="00CB3963"/>
    <w:rsid w:val="00CB3B63"/>
    <w:rsid w:val="00CB3DD7"/>
    <w:rsid w:val="00CB4423"/>
    <w:rsid w:val="00CB447F"/>
    <w:rsid w:val="00CB4537"/>
    <w:rsid w:val="00CB461F"/>
    <w:rsid w:val="00CB46A3"/>
    <w:rsid w:val="00CB4718"/>
    <w:rsid w:val="00CB47F2"/>
    <w:rsid w:val="00CB48A0"/>
    <w:rsid w:val="00CB48F0"/>
    <w:rsid w:val="00CB4D8F"/>
    <w:rsid w:val="00CB4FBE"/>
    <w:rsid w:val="00CB509A"/>
    <w:rsid w:val="00CB52A1"/>
    <w:rsid w:val="00CB55FA"/>
    <w:rsid w:val="00CB56DA"/>
    <w:rsid w:val="00CB58B6"/>
    <w:rsid w:val="00CB58D9"/>
    <w:rsid w:val="00CB5AD1"/>
    <w:rsid w:val="00CB5CB8"/>
    <w:rsid w:val="00CB5DF2"/>
    <w:rsid w:val="00CB602C"/>
    <w:rsid w:val="00CB6181"/>
    <w:rsid w:val="00CB61AD"/>
    <w:rsid w:val="00CB62CC"/>
    <w:rsid w:val="00CB636B"/>
    <w:rsid w:val="00CB63C6"/>
    <w:rsid w:val="00CB646C"/>
    <w:rsid w:val="00CB6774"/>
    <w:rsid w:val="00CB6C31"/>
    <w:rsid w:val="00CB6EAB"/>
    <w:rsid w:val="00CB6F1E"/>
    <w:rsid w:val="00CB6F54"/>
    <w:rsid w:val="00CB743F"/>
    <w:rsid w:val="00CB75EE"/>
    <w:rsid w:val="00CB76CA"/>
    <w:rsid w:val="00CB7859"/>
    <w:rsid w:val="00CB7963"/>
    <w:rsid w:val="00CB7D04"/>
    <w:rsid w:val="00CB7E3F"/>
    <w:rsid w:val="00CC01D7"/>
    <w:rsid w:val="00CC04BE"/>
    <w:rsid w:val="00CC06ED"/>
    <w:rsid w:val="00CC0716"/>
    <w:rsid w:val="00CC08D7"/>
    <w:rsid w:val="00CC09D1"/>
    <w:rsid w:val="00CC0D7F"/>
    <w:rsid w:val="00CC10F7"/>
    <w:rsid w:val="00CC11D7"/>
    <w:rsid w:val="00CC123A"/>
    <w:rsid w:val="00CC1313"/>
    <w:rsid w:val="00CC13DE"/>
    <w:rsid w:val="00CC151A"/>
    <w:rsid w:val="00CC1756"/>
    <w:rsid w:val="00CC1CEA"/>
    <w:rsid w:val="00CC1D54"/>
    <w:rsid w:val="00CC2122"/>
    <w:rsid w:val="00CC23BA"/>
    <w:rsid w:val="00CC2420"/>
    <w:rsid w:val="00CC24C2"/>
    <w:rsid w:val="00CC2650"/>
    <w:rsid w:val="00CC2770"/>
    <w:rsid w:val="00CC2867"/>
    <w:rsid w:val="00CC28D4"/>
    <w:rsid w:val="00CC296D"/>
    <w:rsid w:val="00CC297D"/>
    <w:rsid w:val="00CC299B"/>
    <w:rsid w:val="00CC2A7F"/>
    <w:rsid w:val="00CC2C62"/>
    <w:rsid w:val="00CC31FD"/>
    <w:rsid w:val="00CC3224"/>
    <w:rsid w:val="00CC34A6"/>
    <w:rsid w:val="00CC387F"/>
    <w:rsid w:val="00CC3B05"/>
    <w:rsid w:val="00CC3C47"/>
    <w:rsid w:val="00CC3F5F"/>
    <w:rsid w:val="00CC42FA"/>
    <w:rsid w:val="00CC4380"/>
    <w:rsid w:val="00CC4428"/>
    <w:rsid w:val="00CC49FB"/>
    <w:rsid w:val="00CC4FEC"/>
    <w:rsid w:val="00CC513F"/>
    <w:rsid w:val="00CC55DA"/>
    <w:rsid w:val="00CC5874"/>
    <w:rsid w:val="00CC597C"/>
    <w:rsid w:val="00CC5B75"/>
    <w:rsid w:val="00CC5CE4"/>
    <w:rsid w:val="00CC5FDF"/>
    <w:rsid w:val="00CC5FF2"/>
    <w:rsid w:val="00CC61A5"/>
    <w:rsid w:val="00CC646F"/>
    <w:rsid w:val="00CC6501"/>
    <w:rsid w:val="00CC65B4"/>
    <w:rsid w:val="00CC6ADB"/>
    <w:rsid w:val="00CC6D04"/>
    <w:rsid w:val="00CC6E1B"/>
    <w:rsid w:val="00CC6E67"/>
    <w:rsid w:val="00CC6FA5"/>
    <w:rsid w:val="00CC70EC"/>
    <w:rsid w:val="00CC721A"/>
    <w:rsid w:val="00CC764D"/>
    <w:rsid w:val="00CC767F"/>
    <w:rsid w:val="00CC7945"/>
    <w:rsid w:val="00CC79B8"/>
    <w:rsid w:val="00CC7E29"/>
    <w:rsid w:val="00CC7E8D"/>
    <w:rsid w:val="00CC7EFF"/>
    <w:rsid w:val="00CD003C"/>
    <w:rsid w:val="00CD013A"/>
    <w:rsid w:val="00CD024A"/>
    <w:rsid w:val="00CD07C2"/>
    <w:rsid w:val="00CD0DF0"/>
    <w:rsid w:val="00CD0E4A"/>
    <w:rsid w:val="00CD0F18"/>
    <w:rsid w:val="00CD0F39"/>
    <w:rsid w:val="00CD1161"/>
    <w:rsid w:val="00CD1442"/>
    <w:rsid w:val="00CD14A1"/>
    <w:rsid w:val="00CD1544"/>
    <w:rsid w:val="00CD1567"/>
    <w:rsid w:val="00CD1584"/>
    <w:rsid w:val="00CD16EA"/>
    <w:rsid w:val="00CD16F6"/>
    <w:rsid w:val="00CD1856"/>
    <w:rsid w:val="00CD1B41"/>
    <w:rsid w:val="00CD1C7E"/>
    <w:rsid w:val="00CD1D02"/>
    <w:rsid w:val="00CD1ED7"/>
    <w:rsid w:val="00CD1EEF"/>
    <w:rsid w:val="00CD2417"/>
    <w:rsid w:val="00CD247B"/>
    <w:rsid w:val="00CD247D"/>
    <w:rsid w:val="00CD24D6"/>
    <w:rsid w:val="00CD264D"/>
    <w:rsid w:val="00CD28B1"/>
    <w:rsid w:val="00CD2A1A"/>
    <w:rsid w:val="00CD2A82"/>
    <w:rsid w:val="00CD2CBA"/>
    <w:rsid w:val="00CD2FA5"/>
    <w:rsid w:val="00CD2FF7"/>
    <w:rsid w:val="00CD3003"/>
    <w:rsid w:val="00CD3011"/>
    <w:rsid w:val="00CD30F8"/>
    <w:rsid w:val="00CD356D"/>
    <w:rsid w:val="00CD3582"/>
    <w:rsid w:val="00CD35ED"/>
    <w:rsid w:val="00CD37DC"/>
    <w:rsid w:val="00CD38C9"/>
    <w:rsid w:val="00CD3E76"/>
    <w:rsid w:val="00CD3EA4"/>
    <w:rsid w:val="00CD3FFD"/>
    <w:rsid w:val="00CD4059"/>
    <w:rsid w:val="00CD40F1"/>
    <w:rsid w:val="00CD41A5"/>
    <w:rsid w:val="00CD4338"/>
    <w:rsid w:val="00CD4458"/>
    <w:rsid w:val="00CD46CD"/>
    <w:rsid w:val="00CD4827"/>
    <w:rsid w:val="00CD4967"/>
    <w:rsid w:val="00CD4C71"/>
    <w:rsid w:val="00CD4CF5"/>
    <w:rsid w:val="00CD4E47"/>
    <w:rsid w:val="00CD5029"/>
    <w:rsid w:val="00CD5244"/>
    <w:rsid w:val="00CD551F"/>
    <w:rsid w:val="00CD575E"/>
    <w:rsid w:val="00CD579B"/>
    <w:rsid w:val="00CD5F49"/>
    <w:rsid w:val="00CD5FBA"/>
    <w:rsid w:val="00CD60A5"/>
    <w:rsid w:val="00CD615A"/>
    <w:rsid w:val="00CD64D4"/>
    <w:rsid w:val="00CD66F0"/>
    <w:rsid w:val="00CD6730"/>
    <w:rsid w:val="00CD67AB"/>
    <w:rsid w:val="00CD70E3"/>
    <w:rsid w:val="00CD717A"/>
    <w:rsid w:val="00CD72CC"/>
    <w:rsid w:val="00CD7395"/>
    <w:rsid w:val="00CD744C"/>
    <w:rsid w:val="00CD7791"/>
    <w:rsid w:val="00CD7972"/>
    <w:rsid w:val="00CD79FA"/>
    <w:rsid w:val="00CD7B63"/>
    <w:rsid w:val="00CD7BD1"/>
    <w:rsid w:val="00CD7C5F"/>
    <w:rsid w:val="00CE003F"/>
    <w:rsid w:val="00CE00E5"/>
    <w:rsid w:val="00CE03CA"/>
    <w:rsid w:val="00CE049F"/>
    <w:rsid w:val="00CE09C1"/>
    <w:rsid w:val="00CE0CB8"/>
    <w:rsid w:val="00CE0D70"/>
    <w:rsid w:val="00CE0FA5"/>
    <w:rsid w:val="00CE103C"/>
    <w:rsid w:val="00CE157D"/>
    <w:rsid w:val="00CE1589"/>
    <w:rsid w:val="00CE168F"/>
    <w:rsid w:val="00CE16D8"/>
    <w:rsid w:val="00CE173A"/>
    <w:rsid w:val="00CE18F7"/>
    <w:rsid w:val="00CE1A91"/>
    <w:rsid w:val="00CE1BEA"/>
    <w:rsid w:val="00CE225A"/>
    <w:rsid w:val="00CE237D"/>
    <w:rsid w:val="00CE256D"/>
    <w:rsid w:val="00CE25C2"/>
    <w:rsid w:val="00CE2645"/>
    <w:rsid w:val="00CE277B"/>
    <w:rsid w:val="00CE2940"/>
    <w:rsid w:val="00CE2988"/>
    <w:rsid w:val="00CE2BBC"/>
    <w:rsid w:val="00CE2BDE"/>
    <w:rsid w:val="00CE2EAA"/>
    <w:rsid w:val="00CE30E2"/>
    <w:rsid w:val="00CE31B7"/>
    <w:rsid w:val="00CE3555"/>
    <w:rsid w:val="00CE3656"/>
    <w:rsid w:val="00CE3672"/>
    <w:rsid w:val="00CE3A9D"/>
    <w:rsid w:val="00CE3C6C"/>
    <w:rsid w:val="00CE3CFD"/>
    <w:rsid w:val="00CE4132"/>
    <w:rsid w:val="00CE4244"/>
    <w:rsid w:val="00CE427C"/>
    <w:rsid w:val="00CE4553"/>
    <w:rsid w:val="00CE4986"/>
    <w:rsid w:val="00CE4A22"/>
    <w:rsid w:val="00CE4AEC"/>
    <w:rsid w:val="00CE4AFB"/>
    <w:rsid w:val="00CE4BE0"/>
    <w:rsid w:val="00CE4C36"/>
    <w:rsid w:val="00CE4E7B"/>
    <w:rsid w:val="00CE4FA5"/>
    <w:rsid w:val="00CE4FC7"/>
    <w:rsid w:val="00CE4FD8"/>
    <w:rsid w:val="00CE4FEB"/>
    <w:rsid w:val="00CE53CE"/>
    <w:rsid w:val="00CE5473"/>
    <w:rsid w:val="00CE552B"/>
    <w:rsid w:val="00CE578C"/>
    <w:rsid w:val="00CE584E"/>
    <w:rsid w:val="00CE591B"/>
    <w:rsid w:val="00CE597F"/>
    <w:rsid w:val="00CE5AD5"/>
    <w:rsid w:val="00CE5BC1"/>
    <w:rsid w:val="00CE5BFF"/>
    <w:rsid w:val="00CE5D5C"/>
    <w:rsid w:val="00CE5F06"/>
    <w:rsid w:val="00CE60A2"/>
    <w:rsid w:val="00CE623D"/>
    <w:rsid w:val="00CE64E7"/>
    <w:rsid w:val="00CE65CF"/>
    <w:rsid w:val="00CE660D"/>
    <w:rsid w:val="00CE669B"/>
    <w:rsid w:val="00CE68FC"/>
    <w:rsid w:val="00CE69B3"/>
    <w:rsid w:val="00CE6A0E"/>
    <w:rsid w:val="00CE6A94"/>
    <w:rsid w:val="00CE6CCF"/>
    <w:rsid w:val="00CE7089"/>
    <w:rsid w:val="00CE708C"/>
    <w:rsid w:val="00CE72CC"/>
    <w:rsid w:val="00CE7CBA"/>
    <w:rsid w:val="00CE7CE6"/>
    <w:rsid w:val="00CF0116"/>
    <w:rsid w:val="00CF01EE"/>
    <w:rsid w:val="00CF021E"/>
    <w:rsid w:val="00CF0336"/>
    <w:rsid w:val="00CF0367"/>
    <w:rsid w:val="00CF03D0"/>
    <w:rsid w:val="00CF05AC"/>
    <w:rsid w:val="00CF0C94"/>
    <w:rsid w:val="00CF0CC8"/>
    <w:rsid w:val="00CF0E6A"/>
    <w:rsid w:val="00CF0EEB"/>
    <w:rsid w:val="00CF0F39"/>
    <w:rsid w:val="00CF0F45"/>
    <w:rsid w:val="00CF0FA1"/>
    <w:rsid w:val="00CF1336"/>
    <w:rsid w:val="00CF13F5"/>
    <w:rsid w:val="00CF14AD"/>
    <w:rsid w:val="00CF1570"/>
    <w:rsid w:val="00CF1AD4"/>
    <w:rsid w:val="00CF1F73"/>
    <w:rsid w:val="00CF20DA"/>
    <w:rsid w:val="00CF2477"/>
    <w:rsid w:val="00CF27FB"/>
    <w:rsid w:val="00CF283A"/>
    <w:rsid w:val="00CF2A41"/>
    <w:rsid w:val="00CF2AAB"/>
    <w:rsid w:val="00CF2CDE"/>
    <w:rsid w:val="00CF2DCE"/>
    <w:rsid w:val="00CF2E7E"/>
    <w:rsid w:val="00CF2FE0"/>
    <w:rsid w:val="00CF3126"/>
    <w:rsid w:val="00CF3132"/>
    <w:rsid w:val="00CF35A4"/>
    <w:rsid w:val="00CF361A"/>
    <w:rsid w:val="00CF3696"/>
    <w:rsid w:val="00CF370C"/>
    <w:rsid w:val="00CF3889"/>
    <w:rsid w:val="00CF3925"/>
    <w:rsid w:val="00CF3B58"/>
    <w:rsid w:val="00CF3C06"/>
    <w:rsid w:val="00CF425F"/>
    <w:rsid w:val="00CF434F"/>
    <w:rsid w:val="00CF49AB"/>
    <w:rsid w:val="00CF49B3"/>
    <w:rsid w:val="00CF4D30"/>
    <w:rsid w:val="00CF4DD8"/>
    <w:rsid w:val="00CF53EF"/>
    <w:rsid w:val="00CF54F4"/>
    <w:rsid w:val="00CF5513"/>
    <w:rsid w:val="00CF5750"/>
    <w:rsid w:val="00CF5AF8"/>
    <w:rsid w:val="00CF5C66"/>
    <w:rsid w:val="00CF5D7D"/>
    <w:rsid w:val="00CF5DE3"/>
    <w:rsid w:val="00CF5FAE"/>
    <w:rsid w:val="00CF60E7"/>
    <w:rsid w:val="00CF642D"/>
    <w:rsid w:val="00CF651B"/>
    <w:rsid w:val="00CF6B9C"/>
    <w:rsid w:val="00CF7108"/>
    <w:rsid w:val="00CF7141"/>
    <w:rsid w:val="00CF74A6"/>
    <w:rsid w:val="00CF7539"/>
    <w:rsid w:val="00CF7718"/>
    <w:rsid w:val="00CF7744"/>
    <w:rsid w:val="00CF79DA"/>
    <w:rsid w:val="00CF7D91"/>
    <w:rsid w:val="00D001B8"/>
    <w:rsid w:val="00D001C8"/>
    <w:rsid w:val="00D001DA"/>
    <w:rsid w:val="00D00294"/>
    <w:rsid w:val="00D00831"/>
    <w:rsid w:val="00D00928"/>
    <w:rsid w:val="00D0093B"/>
    <w:rsid w:val="00D00BF3"/>
    <w:rsid w:val="00D00DAE"/>
    <w:rsid w:val="00D00E16"/>
    <w:rsid w:val="00D00FF0"/>
    <w:rsid w:val="00D01128"/>
    <w:rsid w:val="00D0123F"/>
    <w:rsid w:val="00D01336"/>
    <w:rsid w:val="00D01352"/>
    <w:rsid w:val="00D014B1"/>
    <w:rsid w:val="00D014CF"/>
    <w:rsid w:val="00D0157A"/>
    <w:rsid w:val="00D0157E"/>
    <w:rsid w:val="00D01839"/>
    <w:rsid w:val="00D01879"/>
    <w:rsid w:val="00D01994"/>
    <w:rsid w:val="00D01A99"/>
    <w:rsid w:val="00D01E9C"/>
    <w:rsid w:val="00D01EF6"/>
    <w:rsid w:val="00D01F2C"/>
    <w:rsid w:val="00D01FB1"/>
    <w:rsid w:val="00D01FFA"/>
    <w:rsid w:val="00D02020"/>
    <w:rsid w:val="00D02091"/>
    <w:rsid w:val="00D02159"/>
    <w:rsid w:val="00D02241"/>
    <w:rsid w:val="00D0240E"/>
    <w:rsid w:val="00D024A9"/>
    <w:rsid w:val="00D025C8"/>
    <w:rsid w:val="00D0282E"/>
    <w:rsid w:val="00D02FA6"/>
    <w:rsid w:val="00D02FB0"/>
    <w:rsid w:val="00D032D1"/>
    <w:rsid w:val="00D03694"/>
    <w:rsid w:val="00D0383B"/>
    <w:rsid w:val="00D03A42"/>
    <w:rsid w:val="00D03B48"/>
    <w:rsid w:val="00D03C6C"/>
    <w:rsid w:val="00D03DEB"/>
    <w:rsid w:val="00D04032"/>
    <w:rsid w:val="00D04051"/>
    <w:rsid w:val="00D04168"/>
    <w:rsid w:val="00D041AB"/>
    <w:rsid w:val="00D042BD"/>
    <w:rsid w:val="00D0435E"/>
    <w:rsid w:val="00D046F6"/>
    <w:rsid w:val="00D04838"/>
    <w:rsid w:val="00D04B6F"/>
    <w:rsid w:val="00D04BC2"/>
    <w:rsid w:val="00D04BF0"/>
    <w:rsid w:val="00D05363"/>
    <w:rsid w:val="00D053C2"/>
    <w:rsid w:val="00D05D48"/>
    <w:rsid w:val="00D05E6B"/>
    <w:rsid w:val="00D06120"/>
    <w:rsid w:val="00D06130"/>
    <w:rsid w:val="00D0654E"/>
    <w:rsid w:val="00D067E0"/>
    <w:rsid w:val="00D068E5"/>
    <w:rsid w:val="00D06A22"/>
    <w:rsid w:val="00D06BFB"/>
    <w:rsid w:val="00D07025"/>
    <w:rsid w:val="00D073F7"/>
    <w:rsid w:val="00D0741A"/>
    <w:rsid w:val="00D0746E"/>
    <w:rsid w:val="00D07786"/>
    <w:rsid w:val="00D07821"/>
    <w:rsid w:val="00D0796F"/>
    <w:rsid w:val="00D0797D"/>
    <w:rsid w:val="00D079AD"/>
    <w:rsid w:val="00D07D7F"/>
    <w:rsid w:val="00D07F02"/>
    <w:rsid w:val="00D07F9E"/>
    <w:rsid w:val="00D100A6"/>
    <w:rsid w:val="00D10312"/>
    <w:rsid w:val="00D1074F"/>
    <w:rsid w:val="00D10797"/>
    <w:rsid w:val="00D107F6"/>
    <w:rsid w:val="00D10887"/>
    <w:rsid w:val="00D10A91"/>
    <w:rsid w:val="00D10CC1"/>
    <w:rsid w:val="00D10F29"/>
    <w:rsid w:val="00D114D4"/>
    <w:rsid w:val="00D11509"/>
    <w:rsid w:val="00D11718"/>
    <w:rsid w:val="00D117C6"/>
    <w:rsid w:val="00D11892"/>
    <w:rsid w:val="00D118EA"/>
    <w:rsid w:val="00D1192A"/>
    <w:rsid w:val="00D11A32"/>
    <w:rsid w:val="00D11CDE"/>
    <w:rsid w:val="00D11E4D"/>
    <w:rsid w:val="00D11EA2"/>
    <w:rsid w:val="00D121D2"/>
    <w:rsid w:val="00D12A02"/>
    <w:rsid w:val="00D12A68"/>
    <w:rsid w:val="00D12AD3"/>
    <w:rsid w:val="00D12B8D"/>
    <w:rsid w:val="00D12CC4"/>
    <w:rsid w:val="00D12D5B"/>
    <w:rsid w:val="00D130E6"/>
    <w:rsid w:val="00D131AA"/>
    <w:rsid w:val="00D133D5"/>
    <w:rsid w:val="00D133DB"/>
    <w:rsid w:val="00D1352E"/>
    <w:rsid w:val="00D135C4"/>
    <w:rsid w:val="00D13610"/>
    <w:rsid w:val="00D13922"/>
    <w:rsid w:val="00D13933"/>
    <w:rsid w:val="00D139DD"/>
    <w:rsid w:val="00D13B56"/>
    <w:rsid w:val="00D13E37"/>
    <w:rsid w:val="00D13EDA"/>
    <w:rsid w:val="00D13F17"/>
    <w:rsid w:val="00D14012"/>
    <w:rsid w:val="00D141D7"/>
    <w:rsid w:val="00D146C3"/>
    <w:rsid w:val="00D147AA"/>
    <w:rsid w:val="00D149B9"/>
    <w:rsid w:val="00D149F1"/>
    <w:rsid w:val="00D14DB5"/>
    <w:rsid w:val="00D14F2D"/>
    <w:rsid w:val="00D150C2"/>
    <w:rsid w:val="00D1527F"/>
    <w:rsid w:val="00D1531F"/>
    <w:rsid w:val="00D1542B"/>
    <w:rsid w:val="00D15686"/>
    <w:rsid w:val="00D15762"/>
    <w:rsid w:val="00D15B36"/>
    <w:rsid w:val="00D15D08"/>
    <w:rsid w:val="00D15DC1"/>
    <w:rsid w:val="00D15E0D"/>
    <w:rsid w:val="00D15E73"/>
    <w:rsid w:val="00D15E7F"/>
    <w:rsid w:val="00D15EE2"/>
    <w:rsid w:val="00D16156"/>
    <w:rsid w:val="00D163FA"/>
    <w:rsid w:val="00D16478"/>
    <w:rsid w:val="00D166A6"/>
    <w:rsid w:val="00D168A1"/>
    <w:rsid w:val="00D168C2"/>
    <w:rsid w:val="00D16980"/>
    <w:rsid w:val="00D169CF"/>
    <w:rsid w:val="00D16BC1"/>
    <w:rsid w:val="00D16DE4"/>
    <w:rsid w:val="00D16E3E"/>
    <w:rsid w:val="00D17030"/>
    <w:rsid w:val="00D17041"/>
    <w:rsid w:val="00D17048"/>
    <w:rsid w:val="00D17260"/>
    <w:rsid w:val="00D173DE"/>
    <w:rsid w:val="00D178DA"/>
    <w:rsid w:val="00D17D9E"/>
    <w:rsid w:val="00D17F12"/>
    <w:rsid w:val="00D17F43"/>
    <w:rsid w:val="00D17FD3"/>
    <w:rsid w:val="00D2022C"/>
    <w:rsid w:val="00D20527"/>
    <w:rsid w:val="00D205BC"/>
    <w:rsid w:val="00D20865"/>
    <w:rsid w:val="00D20903"/>
    <w:rsid w:val="00D20CAD"/>
    <w:rsid w:val="00D20CD3"/>
    <w:rsid w:val="00D20F16"/>
    <w:rsid w:val="00D21191"/>
    <w:rsid w:val="00D21470"/>
    <w:rsid w:val="00D21631"/>
    <w:rsid w:val="00D21A6D"/>
    <w:rsid w:val="00D21B73"/>
    <w:rsid w:val="00D21C87"/>
    <w:rsid w:val="00D21D37"/>
    <w:rsid w:val="00D21D39"/>
    <w:rsid w:val="00D21DCB"/>
    <w:rsid w:val="00D21EAC"/>
    <w:rsid w:val="00D21FE7"/>
    <w:rsid w:val="00D22108"/>
    <w:rsid w:val="00D223B4"/>
    <w:rsid w:val="00D227F6"/>
    <w:rsid w:val="00D22C25"/>
    <w:rsid w:val="00D22E33"/>
    <w:rsid w:val="00D22EC8"/>
    <w:rsid w:val="00D22F4F"/>
    <w:rsid w:val="00D22FB8"/>
    <w:rsid w:val="00D23261"/>
    <w:rsid w:val="00D23295"/>
    <w:rsid w:val="00D237F0"/>
    <w:rsid w:val="00D23834"/>
    <w:rsid w:val="00D23927"/>
    <w:rsid w:val="00D23AF1"/>
    <w:rsid w:val="00D23D31"/>
    <w:rsid w:val="00D23DAD"/>
    <w:rsid w:val="00D23DC3"/>
    <w:rsid w:val="00D23FF8"/>
    <w:rsid w:val="00D2407C"/>
    <w:rsid w:val="00D24098"/>
    <w:rsid w:val="00D242A9"/>
    <w:rsid w:val="00D24395"/>
    <w:rsid w:val="00D24816"/>
    <w:rsid w:val="00D2486E"/>
    <w:rsid w:val="00D250A4"/>
    <w:rsid w:val="00D250B7"/>
    <w:rsid w:val="00D250F1"/>
    <w:rsid w:val="00D2537C"/>
    <w:rsid w:val="00D25590"/>
    <w:rsid w:val="00D257A4"/>
    <w:rsid w:val="00D25825"/>
    <w:rsid w:val="00D25868"/>
    <w:rsid w:val="00D258B1"/>
    <w:rsid w:val="00D25927"/>
    <w:rsid w:val="00D259C8"/>
    <w:rsid w:val="00D25E86"/>
    <w:rsid w:val="00D25F47"/>
    <w:rsid w:val="00D25F76"/>
    <w:rsid w:val="00D26115"/>
    <w:rsid w:val="00D26228"/>
    <w:rsid w:val="00D2624E"/>
    <w:rsid w:val="00D263A4"/>
    <w:rsid w:val="00D26404"/>
    <w:rsid w:val="00D264B8"/>
    <w:rsid w:val="00D26572"/>
    <w:rsid w:val="00D265E1"/>
    <w:rsid w:val="00D26706"/>
    <w:rsid w:val="00D26A1C"/>
    <w:rsid w:val="00D26B1A"/>
    <w:rsid w:val="00D26B9A"/>
    <w:rsid w:val="00D26D1A"/>
    <w:rsid w:val="00D26FB9"/>
    <w:rsid w:val="00D27061"/>
    <w:rsid w:val="00D27138"/>
    <w:rsid w:val="00D27245"/>
    <w:rsid w:val="00D272A8"/>
    <w:rsid w:val="00D27914"/>
    <w:rsid w:val="00D27954"/>
    <w:rsid w:val="00D27D48"/>
    <w:rsid w:val="00D27D66"/>
    <w:rsid w:val="00D27EF5"/>
    <w:rsid w:val="00D301F2"/>
    <w:rsid w:val="00D303DA"/>
    <w:rsid w:val="00D30445"/>
    <w:rsid w:val="00D306DE"/>
    <w:rsid w:val="00D30843"/>
    <w:rsid w:val="00D30983"/>
    <w:rsid w:val="00D30BC3"/>
    <w:rsid w:val="00D30E2A"/>
    <w:rsid w:val="00D30FA6"/>
    <w:rsid w:val="00D312AB"/>
    <w:rsid w:val="00D31326"/>
    <w:rsid w:val="00D31693"/>
    <w:rsid w:val="00D316B1"/>
    <w:rsid w:val="00D31857"/>
    <w:rsid w:val="00D318AC"/>
    <w:rsid w:val="00D31934"/>
    <w:rsid w:val="00D31D04"/>
    <w:rsid w:val="00D31D11"/>
    <w:rsid w:val="00D31D37"/>
    <w:rsid w:val="00D31ECE"/>
    <w:rsid w:val="00D31F41"/>
    <w:rsid w:val="00D32543"/>
    <w:rsid w:val="00D325AF"/>
    <w:rsid w:val="00D32670"/>
    <w:rsid w:val="00D328C1"/>
    <w:rsid w:val="00D32BE8"/>
    <w:rsid w:val="00D32C5D"/>
    <w:rsid w:val="00D32DE2"/>
    <w:rsid w:val="00D32E0C"/>
    <w:rsid w:val="00D32E32"/>
    <w:rsid w:val="00D33134"/>
    <w:rsid w:val="00D3322A"/>
    <w:rsid w:val="00D336A8"/>
    <w:rsid w:val="00D336D9"/>
    <w:rsid w:val="00D33A08"/>
    <w:rsid w:val="00D33A3D"/>
    <w:rsid w:val="00D33D75"/>
    <w:rsid w:val="00D33FFD"/>
    <w:rsid w:val="00D34362"/>
    <w:rsid w:val="00D34382"/>
    <w:rsid w:val="00D3445C"/>
    <w:rsid w:val="00D34526"/>
    <w:rsid w:val="00D34548"/>
    <w:rsid w:val="00D34663"/>
    <w:rsid w:val="00D346C1"/>
    <w:rsid w:val="00D346E0"/>
    <w:rsid w:val="00D3471E"/>
    <w:rsid w:val="00D34796"/>
    <w:rsid w:val="00D34A2C"/>
    <w:rsid w:val="00D34F7A"/>
    <w:rsid w:val="00D3529F"/>
    <w:rsid w:val="00D3543E"/>
    <w:rsid w:val="00D35455"/>
    <w:rsid w:val="00D354CD"/>
    <w:rsid w:val="00D3553A"/>
    <w:rsid w:val="00D35673"/>
    <w:rsid w:val="00D35A40"/>
    <w:rsid w:val="00D35AD5"/>
    <w:rsid w:val="00D35D1F"/>
    <w:rsid w:val="00D35E70"/>
    <w:rsid w:val="00D35F73"/>
    <w:rsid w:val="00D35FC2"/>
    <w:rsid w:val="00D3644E"/>
    <w:rsid w:val="00D369A8"/>
    <w:rsid w:val="00D36A94"/>
    <w:rsid w:val="00D37047"/>
    <w:rsid w:val="00D37389"/>
    <w:rsid w:val="00D37510"/>
    <w:rsid w:val="00D37573"/>
    <w:rsid w:val="00D376DF"/>
    <w:rsid w:val="00D378A2"/>
    <w:rsid w:val="00D37ACA"/>
    <w:rsid w:val="00D4055A"/>
    <w:rsid w:val="00D40602"/>
    <w:rsid w:val="00D40783"/>
    <w:rsid w:val="00D40A4D"/>
    <w:rsid w:val="00D40B21"/>
    <w:rsid w:val="00D40C59"/>
    <w:rsid w:val="00D40E32"/>
    <w:rsid w:val="00D40E78"/>
    <w:rsid w:val="00D40EF8"/>
    <w:rsid w:val="00D40F2A"/>
    <w:rsid w:val="00D40F8F"/>
    <w:rsid w:val="00D40FDB"/>
    <w:rsid w:val="00D4122B"/>
    <w:rsid w:val="00D4139F"/>
    <w:rsid w:val="00D4149D"/>
    <w:rsid w:val="00D41549"/>
    <w:rsid w:val="00D415A7"/>
    <w:rsid w:val="00D41818"/>
    <w:rsid w:val="00D41827"/>
    <w:rsid w:val="00D41B4F"/>
    <w:rsid w:val="00D41C3E"/>
    <w:rsid w:val="00D41C9A"/>
    <w:rsid w:val="00D41CDC"/>
    <w:rsid w:val="00D41D2D"/>
    <w:rsid w:val="00D41E28"/>
    <w:rsid w:val="00D4249C"/>
    <w:rsid w:val="00D426A9"/>
    <w:rsid w:val="00D42869"/>
    <w:rsid w:val="00D429DE"/>
    <w:rsid w:val="00D42B21"/>
    <w:rsid w:val="00D42D5B"/>
    <w:rsid w:val="00D42DF1"/>
    <w:rsid w:val="00D42E67"/>
    <w:rsid w:val="00D42E69"/>
    <w:rsid w:val="00D42FEC"/>
    <w:rsid w:val="00D43051"/>
    <w:rsid w:val="00D43109"/>
    <w:rsid w:val="00D4333C"/>
    <w:rsid w:val="00D43432"/>
    <w:rsid w:val="00D4347C"/>
    <w:rsid w:val="00D435CC"/>
    <w:rsid w:val="00D435D8"/>
    <w:rsid w:val="00D4382C"/>
    <w:rsid w:val="00D438B6"/>
    <w:rsid w:val="00D43B2D"/>
    <w:rsid w:val="00D43C5C"/>
    <w:rsid w:val="00D43CD8"/>
    <w:rsid w:val="00D44061"/>
    <w:rsid w:val="00D4412E"/>
    <w:rsid w:val="00D441CC"/>
    <w:rsid w:val="00D445DD"/>
    <w:rsid w:val="00D44823"/>
    <w:rsid w:val="00D44A48"/>
    <w:rsid w:val="00D44D26"/>
    <w:rsid w:val="00D44E2E"/>
    <w:rsid w:val="00D44EEF"/>
    <w:rsid w:val="00D44F74"/>
    <w:rsid w:val="00D45080"/>
    <w:rsid w:val="00D451C2"/>
    <w:rsid w:val="00D45271"/>
    <w:rsid w:val="00D453A6"/>
    <w:rsid w:val="00D453B1"/>
    <w:rsid w:val="00D454A8"/>
    <w:rsid w:val="00D45734"/>
    <w:rsid w:val="00D45798"/>
    <w:rsid w:val="00D4586E"/>
    <w:rsid w:val="00D45CDE"/>
    <w:rsid w:val="00D45D43"/>
    <w:rsid w:val="00D45DA0"/>
    <w:rsid w:val="00D45DE3"/>
    <w:rsid w:val="00D46029"/>
    <w:rsid w:val="00D4605D"/>
    <w:rsid w:val="00D4613F"/>
    <w:rsid w:val="00D46473"/>
    <w:rsid w:val="00D4663D"/>
    <w:rsid w:val="00D466D3"/>
    <w:rsid w:val="00D4695B"/>
    <w:rsid w:val="00D46965"/>
    <w:rsid w:val="00D46B14"/>
    <w:rsid w:val="00D46C59"/>
    <w:rsid w:val="00D46CE7"/>
    <w:rsid w:val="00D46D3A"/>
    <w:rsid w:val="00D46F33"/>
    <w:rsid w:val="00D46FC3"/>
    <w:rsid w:val="00D471F1"/>
    <w:rsid w:val="00D477B6"/>
    <w:rsid w:val="00D47A83"/>
    <w:rsid w:val="00D5003D"/>
    <w:rsid w:val="00D5010D"/>
    <w:rsid w:val="00D5028B"/>
    <w:rsid w:val="00D50291"/>
    <w:rsid w:val="00D504EC"/>
    <w:rsid w:val="00D50514"/>
    <w:rsid w:val="00D50616"/>
    <w:rsid w:val="00D507C2"/>
    <w:rsid w:val="00D509BD"/>
    <w:rsid w:val="00D50B76"/>
    <w:rsid w:val="00D510F8"/>
    <w:rsid w:val="00D511B0"/>
    <w:rsid w:val="00D513DF"/>
    <w:rsid w:val="00D51482"/>
    <w:rsid w:val="00D5156E"/>
    <w:rsid w:val="00D51906"/>
    <w:rsid w:val="00D519C0"/>
    <w:rsid w:val="00D51B2F"/>
    <w:rsid w:val="00D51CC4"/>
    <w:rsid w:val="00D52098"/>
    <w:rsid w:val="00D5218F"/>
    <w:rsid w:val="00D521AD"/>
    <w:rsid w:val="00D52352"/>
    <w:rsid w:val="00D5251C"/>
    <w:rsid w:val="00D5261B"/>
    <w:rsid w:val="00D52925"/>
    <w:rsid w:val="00D529BC"/>
    <w:rsid w:val="00D52B2D"/>
    <w:rsid w:val="00D52ECE"/>
    <w:rsid w:val="00D53138"/>
    <w:rsid w:val="00D532BA"/>
    <w:rsid w:val="00D5341A"/>
    <w:rsid w:val="00D53449"/>
    <w:rsid w:val="00D53523"/>
    <w:rsid w:val="00D53628"/>
    <w:rsid w:val="00D5381A"/>
    <w:rsid w:val="00D53AC7"/>
    <w:rsid w:val="00D53D59"/>
    <w:rsid w:val="00D53DEA"/>
    <w:rsid w:val="00D5411A"/>
    <w:rsid w:val="00D54229"/>
    <w:rsid w:val="00D5429D"/>
    <w:rsid w:val="00D5437A"/>
    <w:rsid w:val="00D5455D"/>
    <w:rsid w:val="00D545FC"/>
    <w:rsid w:val="00D546E3"/>
    <w:rsid w:val="00D54776"/>
    <w:rsid w:val="00D54AEE"/>
    <w:rsid w:val="00D54B0D"/>
    <w:rsid w:val="00D54B71"/>
    <w:rsid w:val="00D54BBE"/>
    <w:rsid w:val="00D54BC8"/>
    <w:rsid w:val="00D54CA0"/>
    <w:rsid w:val="00D54E68"/>
    <w:rsid w:val="00D54EB3"/>
    <w:rsid w:val="00D55051"/>
    <w:rsid w:val="00D5527C"/>
    <w:rsid w:val="00D5544B"/>
    <w:rsid w:val="00D55998"/>
    <w:rsid w:val="00D55CB4"/>
    <w:rsid w:val="00D56147"/>
    <w:rsid w:val="00D5623E"/>
    <w:rsid w:val="00D562CC"/>
    <w:rsid w:val="00D56381"/>
    <w:rsid w:val="00D563D2"/>
    <w:rsid w:val="00D563F4"/>
    <w:rsid w:val="00D56488"/>
    <w:rsid w:val="00D568AA"/>
    <w:rsid w:val="00D56954"/>
    <w:rsid w:val="00D56B85"/>
    <w:rsid w:val="00D56C10"/>
    <w:rsid w:val="00D56C9A"/>
    <w:rsid w:val="00D56CD9"/>
    <w:rsid w:val="00D5700B"/>
    <w:rsid w:val="00D574F8"/>
    <w:rsid w:val="00D57750"/>
    <w:rsid w:val="00D577B5"/>
    <w:rsid w:val="00D57849"/>
    <w:rsid w:val="00D578E9"/>
    <w:rsid w:val="00D57943"/>
    <w:rsid w:val="00D57C25"/>
    <w:rsid w:val="00D60159"/>
    <w:rsid w:val="00D60195"/>
    <w:rsid w:val="00D60411"/>
    <w:rsid w:val="00D60437"/>
    <w:rsid w:val="00D60508"/>
    <w:rsid w:val="00D607D1"/>
    <w:rsid w:val="00D60B80"/>
    <w:rsid w:val="00D60E10"/>
    <w:rsid w:val="00D61085"/>
    <w:rsid w:val="00D61235"/>
    <w:rsid w:val="00D613E2"/>
    <w:rsid w:val="00D6160D"/>
    <w:rsid w:val="00D616BA"/>
    <w:rsid w:val="00D617FA"/>
    <w:rsid w:val="00D61A12"/>
    <w:rsid w:val="00D61A74"/>
    <w:rsid w:val="00D61CA4"/>
    <w:rsid w:val="00D61EC3"/>
    <w:rsid w:val="00D621D3"/>
    <w:rsid w:val="00D624C5"/>
    <w:rsid w:val="00D624D5"/>
    <w:rsid w:val="00D6262D"/>
    <w:rsid w:val="00D626A4"/>
    <w:rsid w:val="00D62D88"/>
    <w:rsid w:val="00D62EB0"/>
    <w:rsid w:val="00D6310C"/>
    <w:rsid w:val="00D63239"/>
    <w:rsid w:val="00D6340B"/>
    <w:rsid w:val="00D635B0"/>
    <w:rsid w:val="00D635C4"/>
    <w:rsid w:val="00D635F8"/>
    <w:rsid w:val="00D63687"/>
    <w:rsid w:val="00D6377E"/>
    <w:rsid w:val="00D638D8"/>
    <w:rsid w:val="00D63B6E"/>
    <w:rsid w:val="00D63D1D"/>
    <w:rsid w:val="00D63D46"/>
    <w:rsid w:val="00D63D4F"/>
    <w:rsid w:val="00D63E31"/>
    <w:rsid w:val="00D63E58"/>
    <w:rsid w:val="00D63ED7"/>
    <w:rsid w:val="00D64011"/>
    <w:rsid w:val="00D6410A"/>
    <w:rsid w:val="00D641E1"/>
    <w:rsid w:val="00D644E0"/>
    <w:rsid w:val="00D647A0"/>
    <w:rsid w:val="00D64832"/>
    <w:rsid w:val="00D64A60"/>
    <w:rsid w:val="00D64AB6"/>
    <w:rsid w:val="00D64B8C"/>
    <w:rsid w:val="00D64D8A"/>
    <w:rsid w:val="00D64ED0"/>
    <w:rsid w:val="00D64F7C"/>
    <w:rsid w:val="00D651B7"/>
    <w:rsid w:val="00D652CA"/>
    <w:rsid w:val="00D655CC"/>
    <w:rsid w:val="00D65809"/>
    <w:rsid w:val="00D65A0A"/>
    <w:rsid w:val="00D65A35"/>
    <w:rsid w:val="00D65B80"/>
    <w:rsid w:val="00D65D32"/>
    <w:rsid w:val="00D65F5D"/>
    <w:rsid w:val="00D661E6"/>
    <w:rsid w:val="00D66614"/>
    <w:rsid w:val="00D66701"/>
    <w:rsid w:val="00D66A72"/>
    <w:rsid w:val="00D66C58"/>
    <w:rsid w:val="00D66CA6"/>
    <w:rsid w:val="00D66DDA"/>
    <w:rsid w:val="00D671A0"/>
    <w:rsid w:val="00D67346"/>
    <w:rsid w:val="00D6736F"/>
    <w:rsid w:val="00D674A9"/>
    <w:rsid w:val="00D67524"/>
    <w:rsid w:val="00D67630"/>
    <w:rsid w:val="00D67722"/>
    <w:rsid w:val="00D678FB"/>
    <w:rsid w:val="00D67985"/>
    <w:rsid w:val="00D67A6C"/>
    <w:rsid w:val="00D67AFD"/>
    <w:rsid w:val="00D67B63"/>
    <w:rsid w:val="00D67F8A"/>
    <w:rsid w:val="00D7005F"/>
    <w:rsid w:val="00D701A8"/>
    <w:rsid w:val="00D70334"/>
    <w:rsid w:val="00D70400"/>
    <w:rsid w:val="00D704FD"/>
    <w:rsid w:val="00D705DC"/>
    <w:rsid w:val="00D706B7"/>
    <w:rsid w:val="00D70787"/>
    <w:rsid w:val="00D7081B"/>
    <w:rsid w:val="00D70998"/>
    <w:rsid w:val="00D70D93"/>
    <w:rsid w:val="00D70E08"/>
    <w:rsid w:val="00D70ECF"/>
    <w:rsid w:val="00D711F3"/>
    <w:rsid w:val="00D714C7"/>
    <w:rsid w:val="00D71562"/>
    <w:rsid w:val="00D716A9"/>
    <w:rsid w:val="00D717CA"/>
    <w:rsid w:val="00D71F50"/>
    <w:rsid w:val="00D7266B"/>
    <w:rsid w:val="00D72837"/>
    <w:rsid w:val="00D73015"/>
    <w:rsid w:val="00D73237"/>
    <w:rsid w:val="00D732AD"/>
    <w:rsid w:val="00D73450"/>
    <w:rsid w:val="00D73601"/>
    <w:rsid w:val="00D7369E"/>
    <w:rsid w:val="00D73892"/>
    <w:rsid w:val="00D73986"/>
    <w:rsid w:val="00D73AEF"/>
    <w:rsid w:val="00D73FA3"/>
    <w:rsid w:val="00D73FAE"/>
    <w:rsid w:val="00D74096"/>
    <w:rsid w:val="00D74107"/>
    <w:rsid w:val="00D74299"/>
    <w:rsid w:val="00D743C0"/>
    <w:rsid w:val="00D7446F"/>
    <w:rsid w:val="00D74636"/>
    <w:rsid w:val="00D74645"/>
    <w:rsid w:val="00D7473C"/>
    <w:rsid w:val="00D74A37"/>
    <w:rsid w:val="00D74C7B"/>
    <w:rsid w:val="00D74CE1"/>
    <w:rsid w:val="00D74F46"/>
    <w:rsid w:val="00D74F4A"/>
    <w:rsid w:val="00D74F8A"/>
    <w:rsid w:val="00D750E9"/>
    <w:rsid w:val="00D752BE"/>
    <w:rsid w:val="00D7531D"/>
    <w:rsid w:val="00D75D29"/>
    <w:rsid w:val="00D75D74"/>
    <w:rsid w:val="00D76100"/>
    <w:rsid w:val="00D7645E"/>
    <w:rsid w:val="00D76527"/>
    <w:rsid w:val="00D76974"/>
    <w:rsid w:val="00D76DA6"/>
    <w:rsid w:val="00D77100"/>
    <w:rsid w:val="00D77131"/>
    <w:rsid w:val="00D774B9"/>
    <w:rsid w:val="00D77524"/>
    <w:rsid w:val="00D77738"/>
    <w:rsid w:val="00D777BE"/>
    <w:rsid w:val="00D77A0B"/>
    <w:rsid w:val="00D80004"/>
    <w:rsid w:val="00D8024A"/>
    <w:rsid w:val="00D8042A"/>
    <w:rsid w:val="00D8052A"/>
    <w:rsid w:val="00D805C5"/>
    <w:rsid w:val="00D806E0"/>
    <w:rsid w:val="00D8074F"/>
    <w:rsid w:val="00D8075F"/>
    <w:rsid w:val="00D8089F"/>
    <w:rsid w:val="00D809C1"/>
    <w:rsid w:val="00D80E5C"/>
    <w:rsid w:val="00D80EBC"/>
    <w:rsid w:val="00D8112B"/>
    <w:rsid w:val="00D8115B"/>
    <w:rsid w:val="00D81318"/>
    <w:rsid w:val="00D81860"/>
    <w:rsid w:val="00D818F3"/>
    <w:rsid w:val="00D81961"/>
    <w:rsid w:val="00D81B0B"/>
    <w:rsid w:val="00D81B23"/>
    <w:rsid w:val="00D81C99"/>
    <w:rsid w:val="00D81F19"/>
    <w:rsid w:val="00D81F94"/>
    <w:rsid w:val="00D820A4"/>
    <w:rsid w:val="00D82199"/>
    <w:rsid w:val="00D8234E"/>
    <w:rsid w:val="00D8246D"/>
    <w:rsid w:val="00D82620"/>
    <w:rsid w:val="00D826AA"/>
    <w:rsid w:val="00D8284C"/>
    <w:rsid w:val="00D82E46"/>
    <w:rsid w:val="00D82E72"/>
    <w:rsid w:val="00D82F31"/>
    <w:rsid w:val="00D82FE7"/>
    <w:rsid w:val="00D83072"/>
    <w:rsid w:val="00D830AB"/>
    <w:rsid w:val="00D830DC"/>
    <w:rsid w:val="00D832D5"/>
    <w:rsid w:val="00D83301"/>
    <w:rsid w:val="00D833F3"/>
    <w:rsid w:val="00D833FB"/>
    <w:rsid w:val="00D83795"/>
    <w:rsid w:val="00D837D9"/>
    <w:rsid w:val="00D83853"/>
    <w:rsid w:val="00D83B3A"/>
    <w:rsid w:val="00D83E0F"/>
    <w:rsid w:val="00D8410D"/>
    <w:rsid w:val="00D842BF"/>
    <w:rsid w:val="00D845BF"/>
    <w:rsid w:val="00D84839"/>
    <w:rsid w:val="00D84980"/>
    <w:rsid w:val="00D84BAD"/>
    <w:rsid w:val="00D84C7A"/>
    <w:rsid w:val="00D84F43"/>
    <w:rsid w:val="00D85065"/>
    <w:rsid w:val="00D851CA"/>
    <w:rsid w:val="00D857D6"/>
    <w:rsid w:val="00D85B7C"/>
    <w:rsid w:val="00D85BC4"/>
    <w:rsid w:val="00D85C81"/>
    <w:rsid w:val="00D85D00"/>
    <w:rsid w:val="00D862D0"/>
    <w:rsid w:val="00D8645F"/>
    <w:rsid w:val="00D86474"/>
    <w:rsid w:val="00D86735"/>
    <w:rsid w:val="00D86855"/>
    <w:rsid w:val="00D870B2"/>
    <w:rsid w:val="00D871DF"/>
    <w:rsid w:val="00D87448"/>
    <w:rsid w:val="00D87645"/>
    <w:rsid w:val="00D87822"/>
    <w:rsid w:val="00D87A38"/>
    <w:rsid w:val="00D87C88"/>
    <w:rsid w:val="00D87C9E"/>
    <w:rsid w:val="00D87D1A"/>
    <w:rsid w:val="00D90576"/>
    <w:rsid w:val="00D906B1"/>
    <w:rsid w:val="00D9089C"/>
    <w:rsid w:val="00D9094A"/>
    <w:rsid w:val="00D909D9"/>
    <w:rsid w:val="00D90A6A"/>
    <w:rsid w:val="00D90A87"/>
    <w:rsid w:val="00D90E6E"/>
    <w:rsid w:val="00D911C9"/>
    <w:rsid w:val="00D911E2"/>
    <w:rsid w:val="00D911E5"/>
    <w:rsid w:val="00D91256"/>
    <w:rsid w:val="00D913EC"/>
    <w:rsid w:val="00D9155D"/>
    <w:rsid w:val="00D918A3"/>
    <w:rsid w:val="00D919DF"/>
    <w:rsid w:val="00D91ACB"/>
    <w:rsid w:val="00D91E49"/>
    <w:rsid w:val="00D9209C"/>
    <w:rsid w:val="00D92141"/>
    <w:rsid w:val="00D92190"/>
    <w:rsid w:val="00D92339"/>
    <w:rsid w:val="00D92367"/>
    <w:rsid w:val="00D92771"/>
    <w:rsid w:val="00D9286D"/>
    <w:rsid w:val="00D929DD"/>
    <w:rsid w:val="00D92A8B"/>
    <w:rsid w:val="00D92B5A"/>
    <w:rsid w:val="00D92C25"/>
    <w:rsid w:val="00D92C78"/>
    <w:rsid w:val="00D93638"/>
    <w:rsid w:val="00D93866"/>
    <w:rsid w:val="00D93AE8"/>
    <w:rsid w:val="00D93B92"/>
    <w:rsid w:val="00D93C8F"/>
    <w:rsid w:val="00D93D67"/>
    <w:rsid w:val="00D93E3E"/>
    <w:rsid w:val="00D93FD2"/>
    <w:rsid w:val="00D94003"/>
    <w:rsid w:val="00D94033"/>
    <w:rsid w:val="00D94309"/>
    <w:rsid w:val="00D94731"/>
    <w:rsid w:val="00D94957"/>
    <w:rsid w:val="00D94C87"/>
    <w:rsid w:val="00D94E69"/>
    <w:rsid w:val="00D94F26"/>
    <w:rsid w:val="00D94F33"/>
    <w:rsid w:val="00D94FDD"/>
    <w:rsid w:val="00D951B4"/>
    <w:rsid w:val="00D9526D"/>
    <w:rsid w:val="00D955A1"/>
    <w:rsid w:val="00D95B9B"/>
    <w:rsid w:val="00D95D9C"/>
    <w:rsid w:val="00D960CA"/>
    <w:rsid w:val="00D9626F"/>
    <w:rsid w:val="00D9650C"/>
    <w:rsid w:val="00D9662B"/>
    <w:rsid w:val="00D9675E"/>
    <w:rsid w:val="00D9693F"/>
    <w:rsid w:val="00D9696F"/>
    <w:rsid w:val="00D9698D"/>
    <w:rsid w:val="00D96AC9"/>
    <w:rsid w:val="00D96C48"/>
    <w:rsid w:val="00D96CCC"/>
    <w:rsid w:val="00D96D71"/>
    <w:rsid w:val="00D9703B"/>
    <w:rsid w:val="00D971E8"/>
    <w:rsid w:val="00D972DA"/>
    <w:rsid w:val="00D9732C"/>
    <w:rsid w:val="00D973DC"/>
    <w:rsid w:val="00D974A5"/>
    <w:rsid w:val="00D975DF"/>
    <w:rsid w:val="00D9773F"/>
    <w:rsid w:val="00D97FDF"/>
    <w:rsid w:val="00DA032C"/>
    <w:rsid w:val="00DA0422"/>
    <w:rsid w:val="00DA048E"/>
    <w:rsid w:val="00DA062A"/>
    <w:rsid w:val="00DA093E"/>
    <w:rsid w:val="00DA099E"/>
    <w:rsid w:val="00DA0A0F"/>
    <w:rsid w:val="00DA0EE8"/>
    <w:rsid w:val="00DA0F5E"/>
    <w:rsid w:val="00DA1329"/>
    <w:rsid w:val="00DA1650"/>
    <w:rsid w:val="00DA1674"/>
    <w:rsid w:val="00DA168B"/>
    <w:rsid w:val="00DA16B6"/>
    <w:rsid w:val="00DA1755"/>
    <w:rsid w:val="00DA1A11"/>
    <w:rsid w:val="00DA1A88"/>
    <w:rsid w:val="00DA1EF7"/>
    <w:rsid w:val="00DA1F67"/>
    <w:rsid w:val="00DA209C"/>
    <w:rsid w:val="00DA20E9"/>
    <w:rsid w:val="00DA235E"/>
    <w:rsid w:val="00DA2ABB"/>
    <w:rsid w:val="00DA2AFC"/>
    <w:rsid w:val="00DA2BB5"/>
    <w:rsid w:val="00DA2C11"/>
    <w:rsid w:val="00DA2E01"/>
    <w:rsid w:val="00DA30BB"/>
    <w:rsid w:val="00DA3289"/>
    <w:rsid w:val="00DA3A8E"/>
    <w:rsid w:val="00DA3DDB"/>
    <w:rsid w:val="00DA3E0A"/>
    <w:rsid w:val="00DA3F75"/>
    <w:rsid w:val="00DA3F7A"/>
    <w:rsid w:val="00DA3FA9"/>
    <w:rsid w:val="00DA43A3"/>
    <w:rsid w:val="00DA4B81"/>
    <w:rsid w:val="00DA4DA8"/>
    <w:rsid w:val="00DA4F98"/>
    <w:rsid w:val="00DA5031"/>
    <w:rsid w:val="00DA5411"/>
    <w:rsid w:val="00DA541A"/>
    <w:rsid w:val="00DA54FD"/>
    <w:rsid w:val="00DA587D"/>
    <w:rsid w:val="00DA5B81"/>
    <w:rsid w:val="00DA5C79"/>
    <w:rsid w:val="00DA5D6B"/>
    <w:rsid w:val="00DA5FF1"/>
    <w:rsid w:val="00DA61C3"/>
    <w:rsid w:val="00DA62C5"/>
    <w:rsid w:val="00DA65DF"/>
    <w:rsid w:val="00DA6696"/>
    <w:rsid w:val="00DA6796"/>
    <w:rsid w:val="00DA67BC"/>
    <w:rsid w:val="00DA6C0F"/>
    <w:rsid w:val="00DA6F6C"/>
    <w:rsid w:val="00DA7197"/>
    <w:rsid w:val="00DA73A0"/>
    <w:rsid w:val="00DA7420"/>
    <w:rsid w:val="00DA74C0"/>
    <w:rsid w:val="00DA74F6"/>
    <w:rsid w:val="00DA75B7"/>
    <w:rsid w:val="00DA7718"/>
    <w:rsid w:val="00DA7882"/>
    <w:rsid w:val="00DA7980"/>
    <w:rsid w:val="00DA7A00"/>
    <w:rsid w:val="00DA7ABA"/>
    <w:rsid w:val="00DA7B01"/>
    <w:rsid w:val="00DA7B1F"/>
    <w:rsid w:val="00DA7FB3"/>
    <w:rsid w:val="00DB006E"/>
    <w:rsid w:val="00DB0229"/>
    <w:rsid w:val="00DB038C"/>
    <w:rsid w:val="00DB043C"/>
    <w:rsid w:val="00DB058B"/>
    <w:rsid w:val="00DB0938"/>
    <w:rsid w:val="00DB0CE5"/>
    <w:rsid w:val="00DB0DD1"/>
    <w:rsid w:val="00DB1005"/>
    <w:rsid w:val="00DB1046"/>
    <w:rsid w:val="00DB1166"/>
    <w:rsid w:val="00DB12BA"/>
    <w:rsid w:val="00DB12F4"/>
    <w:rsid w:val="00DB143F"/>
    <w:rsid w:val="00DB161E"/>
    <w:rsid w:val="00DB1662"/>
    <w:rsid w:val="00DB17C1"/>
    <w:rsid w:val="00DB1AED"/>
    <w:rsid w:val="00DB1F17"/>
    <w:rsid w:val="00DB1FFA"/>
    <w:rsid w:val="00DB223B"/>
    <w:rsid w:val="00DB2247"/>
    <w:rsid w:val="00DB2292"/>
    <w:rsid w:val="00DB22E8"/>
    <w:rsid w:val="00DB253E"/>
    <w:rsid w:val="00DB25BE"/>
    <w:rsid w:val="00DB2C53"/>
    <w:rsid w:val="00DB2CE9"/>
    <w:rsid w:val="00DB2EC1"/>
    <w:rsid w:val="00DB300D"/>
    <w:rsid w:val="00DB306E"/>
    <w:rsid w:val="00DB30F9"/>
    <w:rsid w:val="00DB3136"/>
    <w:rsid w:val="00DB3401"/>
    <w:rsid w:val="00DB3543"/>
    <w:rsid w:val="00DB38A0"/>
    <w:rsid w:val="00DB38BF"/>
    <w:rsid w:val="00DB3C91"/>
    <w:rsid w:val="00DB3CF6"/>
    <w:rsid w:val="00DB3E2E"/>
    <w:rsid w:val="00DB3F0C"/>
    <w:rsid w:val="00DB4159"/>
    <w:rsid w:val="00DB4165"/>
    <w:rsid w:val="00DB41EC"/>
    <w:rsid w:val="00DB4390"/>
    <w:rsid w:val="00DB4483"/>
    <w:rsid w:val="00DB4658"/>
    <w:rsid w:val="00DB47B3"/>
    <w:rsid w:val="00DB4824"/>
    <w:rsid w:val="00DB48CC"/>
    <w:rsid w:val="00DB4AE8"/>
    <w:rsid w:val="00DB4B80"/>
    <w:rsid w:val="00DB4D35"/>
    <w:rsid w:val="00DB4E46"/>
    <w:rsid w:val="00DB5064"/>
    <w:rsid w:val="00DB516B"/>
    <w:rsid w:val="00DB550C"/>
    <w:rsid w:val="00DB5661"/>
    <w:rsid w:val="00DB5749"/>
    <w:rsid w:val="00DB5A5A"/>
    <w:rsid w:val="00DB5DCD"/>
    <w:rsid w:val="00DB61CF"/>
    <w:rsid w:val="00DB6B47"/>
    <w:rsid w:val="00DB6C15"/>
    <w:rsid w:val="00DB6C71"/>
    <w:rsid w:val="00DB6CEF"/>
    <w:rsid w:val="00DB6E07"/>
    <w:rsid w:val="00DB7356"/>
    <w:rsid w:val="00DB744D"/>
    <w:rsid w:val="00DB7515"/>
    <w:rsid w:val="00DB75CB"/>
    <w:rsid w:val="00DB78A6"/>
    <w:rsid w:val="00DB7A45"/>
    <w:rsid w:val="00DB7A69"/>
    <w:rsid w:val="00DB7DA4"/>
    <w:rsid w:val="00DB7EAB"/>
    <w:rsid w:val="00DC018D"/>
    <w:rsid w:val="00DC03B3"/>
    <w:rsid w:val="00DC03D8"/>
    <w:rsid w:val="00DC074E"/>
    <w:rsid w:val="00DC07FA"/>
    <w:rsid w:val="00DC0A59"/>
    <w:rsid w:val="00DC0B54"/>
    <w:rsid w:val="00DC0B8D"/>
    <w:rsid w:val="00DC0D01"/>
    <w:rsid w:val="00DC0D8E"/>
    <w:rsid w:val="00DC0DEF"/>
    <w:rsid w:val="00DC0EB3"/>
    <w:rsid w:val="00DC1109"/>
    <w:rsid w:val="00DC13BD"/>
    <w:rsid w:val="00DC189E"/>
    <w:rsid w:val="00DC1914"/>
    <w:rsid w:val="00DC1929"/>
    <w:rsid w:val="00DC1BC0"/>
    <w:rsid w:val="00DC1C42"/>
    <w:rsid w:val="00DC1C81"/>
    <w:rsid w:val="00DC2106"/>
    <w:rsid w:val="00DC218A"/>
    <w:rsid w:val="00DC22D4"/>
    <w:rsid w:val="00DC2463"/>
    <w:rsid w:val="00DC2623"/>
    <w:rsid w:val="00DC2870"/>
    <w:rsid w:val="00DC28AC"/>
    <w:rsid w:val="00DC28BE"/>
    <w:rsid w:val="00DC2B4A"/>
    <w:rsid w:val="00DC2C17"/>
    <w:rsid w:val="00DC2C8E"/>
    <w:rsid w:val="00DC2D05"/>
    <w:rsid w:val="00DC2F70"/>
    <w:rsid w:val="00DC3057"/>
    <w:rsid w:val="00DC318C"/>
    <w:rsid w:val="00DC3514"/>
    <w:rsid w:val="00DC3BF1"/>
    <w:rsid w:val="00DC3CC8"/>
    <w:rsid w:val="00DC3E16"/>
    <w:rsid w:val="00DC3E57"/>
    <w:rsid w:val="00DC4240"/>
    <w:rsid w:val="00DC443F"/>
    <w:rsid w:val="00DC45FA"/>
    <w:rsid w:val="00DC47B7"/>
    <w:rsid w:val="00DC480E"/>
    <w:rsid w:val="00DC4B6D"/>
    <w:rsid w:val="00DC4C6A"/>
    <w:rsid w:val="00DC4CCC"/>
    <w:rsid w:val="00DC4DB1"/>
    <w:rsid w:val="00DC4FAD"/>
    <w:rsid w:val="00DC510A"/>
    <w:rsid w:val="00DC5211"/>
    <w:rsid w:val="00DC533D"/>
    <w:rsid w:val="00DC545D"/>
    <w:rsid w:val="00DC5550"/>
    <w:rsid w:val="00DC55EC"/>
    <w:rsid w:val="00DC55FF"/>
    <w:rsid w:val="00DC5692"/>
    <w:rsid w:val="00DC56A8"/>
    <w:rsid w:val="00DC5B05"/>
    <w:rsid w:val="00DC6038"/>
    <w:rsid w:val="00DC637E"/>
    <w:rsid w:val="00DC6745"/>
    <w:rsid w:val="00DC69B4"/>
    <w:rsid w:val="00DC6AD9"/>
    <w:rsid w:val="00DC6BD5"/>
    <w:rsid w:val="00DC700F"/>
    <w:rsid w:val="00DC70C3"/>
    <w:rsid w:val="00DC724B"/>
    <w:rsid w:val="00DC72BC"/>
    <w:rsid w:val="00DC734C"/>
    <w:rsid w:val="00DC779E"/>
    <w:rsid w:val="00DC77CB"/>
    <w:rsid w:val="00DD0306"/>
    <w:rsid w:val="00DD0838"/>
    <w:rsid w:val="00DD0AFF"/>
    <w:rsid w:val="00DD0BFA"/>
    <w:rsid w:val="00DD0C0E"/>
    <w:rsid w:val="00DD0F19"/>
    <w:rsid w:val="00DD122A"/>
    <w:rsid w:val="00DD137A"/>
    <w:rsid w:val="00DD1386"/>
    <w:rsid w:val="00DD1452"/>
    <w:rsid w:val="00DD1590"/>
    <w:rsid w:val="00DD15FC"/>
    <w:rsid w:val="00DD16F4"/>
    <w:rsid w:val="00DD1873"/>
    <w:rsid w:val="00DD1921"/>
    <w:rsid w:val="00DD1D6F"/>
    <w:rsid w:val="00DD1DFD"/>
    <w:rsid w:val="00DD1E68"/>
    <w:rsid w:val="00DD1FDE"/>
    <w:rsid w:val="00DD221D"/>
    <w:rsid w:val="00DD24D0"/>
    <w:rsid w:val="00DD250E"/>
    <w:rsid w:val="00DD27D0"/>
    <w:rsid w:val="00DD2848"/>
    <w:rsid w:val="00DD29EC"/>
    <w:rsid w:val="00DD2C4F"/>
    <w:rsid w:val="00DD2C50"/>
    <w:rsid w:val="00DD2C7E"/>
    <w:rsid w:val="00DD2E19"/>
    <w:rsid w:val="00DD2FDC"/>
    <w:rsid w:val="00DD325D"/>
    <w:rsid w:val="00DD32F2"/>
    <w:rsid w:val="00DD334F"/>
    <w:rsid w:val="00DD3357"/>
    <w:rsid w:val="00DD35FA"/>
    <w:rsid w:val="00DD3981"/>
    <w:rsid w:val="00DD3A66"/>
    <w:rsid w:val="00DD3B75"/>
    <w:rsid w:val="00DD3BED"/>
    <w:rsid w:val="00DD3D5F"/>
    <w:rsid w:val="00DD3EE5"/>
    <w:rsid w:val="00DD3EEC"/>
    <w:rsid w:val="00DD4054"/>
    <w:rsid w:val="00DD40CB"/>
    <w:rsid w:val="00DD4164"/>
    <w:rsid w:val="00DD4190"/>
    <w:rsid w:val="00DD42AA"/>
    <w:rsid w:val="00DD4ADF"/>
    <w:rsid w:val="00DD4E76"/>
    <w:rsid w:val="00DD50E9"/>
    <w:rsid w:val="00DD524E"/>
    <w:rsid w:val="00DD53C2"/>
    <w:rsid w:val="00DD53CB"/>
    <w:rsid w:val="00DD54AB"/>
    <w:rsid w:val="00DD5591"/>
    <w:rsid w:val="00DD5638"/>
    <w:rsid w:val="00DD587F"/>
    <w:rsid w:val="00DD59D3"/>
    <w:rsid w:val="00DD59F2"/>
    <w:rsid w:val="00DD6047"/>
    <w:rsid w:val="00DD6415"/>
    <w:rsid w:val="00DD65D7"/>
    <w:rsid w:val="00DD6636"/>
    <w:rsid w:val="00DD6649"/>
    <w:rsid w:val="00DD66C9"/>
    <w:rsid w:val="00DD6B0F"/>
    <w:rsid w:val="00DD6B49"/>
    <w:rsid w:val="00DD6D43"/>
    <w:rsid w:val="00DD77F1"/>
    <w:rsid w:val="00DE00B2"/>
    <w:rsid w:val="00DE0479"/>
    <w:rsid w:val="00DE0610"/>
    <w:rsid w:val="00DE0B30"/>
    <w:rsid w:val="00DE0C2C"/>
    <w:rsid w:val="00DE0E82"/>
    <w:rsid w:val="00DE112F"/>
    <w:rsid w:val="00DE128D"/>
    <w:rsid w:val="00DE136E"/>
    <w:rsid w:val="00DE15C7"/>
    <w:rsid w:val="00DE1A50"/>
    <w:rsid w:val="00DE1CE3"/>
    <w:rsid w:val="00DE2239"/>
    <w:rsid w:val="00DE2274"/>
    <w:rsid w:val="00DE22B9"/>
    <w:rsid w:val="00DE234A"/>
    <w:rsid w:val="00DE2405"/>
    <w:rsid w:val="00DE2770"/>
    <w:rsid w:val="00DE27E6"/>
    <w:rsid w:val="00DE2EE6"/>
    <w:rsid w:val="00DE2FCD"/>
    <w:rsid w:val="00DE311D"/>
    <w:rsid w:val="00DE31BE"/>
    <w:rsid w:val="00DE36A5"/>
    <w:rsid w:val="00DE36DB"/>
    <w:rsid w:val="00DE373A"/>
    <w:rsid w:val="00DE3C85"/>
    <w:rsid w:val="00DE3DAF"/>
    <w:rsid w:val="00DE3EFD"/>
    <w:rsid w:val="00DE3FFB"/>
    <w:rsid w:val="00DE4015"/>
    <w:rsid w:val="00DE4138"/>
    <w:rsid w:val="00DE436C"/>
    <w:rsid w:val="00DE442D"/>
    <w:rsid w:val="00DE4517"/>
    <w:rsid w:val="00DE4580"/>
    <w:rsid w:val="00DE45DA"/>
    <w:rsid w:val="00DE4930"/>
    <w:rsid w:val="00DE497B"/>
    <w:rsid w:val="00DE4A0F"/>
    <w:rsid w:val="00DE4B68"/>
    <w:rsid w:val="00DE4CE0"/>
    <w:rsid w:val="00DE4F0A"/>
    <w:rsid w:val="00DE5059"/>
    <w:rsid w:val="00DE51B1"/>
    <w:rsid w:val="00DE53D9"/>
    <w:rsid w:val="00DE5539"/>
    <w:rsid w:val="00DE555F"/>
    <w:rsid w:val="00DE55D6"/>
    <w:rsid w:val="00DE5853"/>
    <w:rsid w:val="00DE599C"/>
    <w:rsid w:val="00DE5A6A"/>
    <w:rsid w:val="00DE5B81"/>
    <w:rsid w:val="00DE5D00"/>
    <w:rsid w:val="00DE6220"/>
    <w:rsid w:val="00DE629C"/>
    <w:rsid w:val="00DE6368"/>
    <w:rsid w:val="00DE6428"/>
    <w:rsid w:val="00DE643D"/>
    <w:rsid w:val="00DE66D8"/>
    <w:rsid w:val="00DE6810"/>
    <w:rsid w:val="00DE6820"/>
    <w:rsid w:val="00DE6843"/>
    <w:rsid w:val="00DE68A8"/>
    <w:rsid w:val="00DE691F"/>
    <w:rsid w:val="00DE6A5C"/>
    <w:rsid w:val="00DE6B22"/>
    <w:rsid w:val="00DE6D4F"/>
    <w:rsid w:val="00DE71BD"/>
    <w:rsid w:val="00DE72C3"/>
    <w:rsid w:val="00DE7312"/>
    <w:rsid w:val="00DE749C"/>
    <w:rsid w:val="00DE765D"/>
    <w:rsid w:val="00DE78E0"/>
    <w:rsid w:val="00DE7D79"/>
    <w:rsid w:val="00DE7E37"/>
    <w:rsid w:val="00DF0030"/>
    <w:rsid w:val="00DF005E"/>
    <w:rsid w:val="00DF0064"/>
    <w:rsid w:val="00DF00EB"/>
    <w:rsid w:val="00DF030E"/>
    <w:rsid w:val="00DF0480"/>
    <w:rsid w:val="00DF05E4"/>
    <w:rsid w:val="00DF06DB"/>
    <w:rsid w:val="00DF07A6"/>
    <w:rsid w:val="00DF0827"/>
    <w:rsid w:val="00DF08E6"/>
    <w:rsid w:val="00DF096F"/>
    <w:rsid w:val="00DF0AB4"/>
    <w:rsid w:val="00DF0E64"/>
    <w:rsid w:val="00DF0EF3"/>
    <w:rsid w:val="00DF0FAC"/>
    <w:rsid w:val="00DF11D5"/>
    <w:rsid w:val="00DF1764"/>
    <w:rsid w:val="00DF17D4"/>
    <w:rsid w:val="00DF1A27"/>
    <w:rsid w:val="00DF1C23"/>
    <w:rsid w:val="00DF1D50"/>
    <w:rsid w:val="00DF1D94"/>
    <w:rsid w:val="00DF1D9E"/>
    <w:rsid w:val="00DF1DDC"/>
    <w:rsid w:val="00DF2038"/>
    <w:rsid w:val="00DF2070"/>
    <w:rsid w:val="00DF219C"/>
    <w:rsid w:val="00DF2249"/>
    <w:rsid w:val="00DF282E"/>
    <w:rsid w:val="00DF2893"/>
    <w:rsid w:val="00DF2C44"/>
    <w:rsid w:val="00DF2DD6"/>
    <w:rsid w:val="00DF32B6"/>
    <w:rsid w:val="00DF3642"/>
    <w:rsid w:val="00DF3A48"/>
    <w:rsid w:val="00DF3CE8"/>
    <w:rsid w:val="00DF42EE"/>
    <w:rsid w:val="00DF4380"/>
    <w:rsid w:val="00DF43B6"/>
    <w:rsid w:val="00DF449E"/>
    <w:rsid w:val="00DF44D2"/>
    <w:rsid w:val="00DF452C"/>
    <w:rsid w:val="00DF4B09"/>
    <w:rsid w:val="00DF4CFB"/>
    <w:rsid w:val="00DF4DC4"/>
    <w:rsid w:val="00DF4E6A"/>
    <w:rsid w:val="00DF4E7E"/>
    <w:rsid w:val="00DF51AF"/>
    <w:rsid w:val="00DF5507"/>
    <w:rsid w:val="00DF564F"/>
    <w:rsid w:val="00DF56BC"/>
    <w:rsid w:val="00DF57A7"/>
    <w:rsid w:val="00DF5B95"/>
    <w:rsid w:val="00DF5CE3"/>
    <w:rsid w:val="00DF5DD9"/>
    <w:rsid w:val="00DF5F42"/>
    <w:rsid w:val="00DF5F6A"/>
    <w:rsid w:val="00DF60D8"/>
    <w:rsid w:val="00DF61B6"/>
    <w:rsid w:val="00DF6247"/>
    <w:rsid w:val="00DF6439"/>
    <w:rsid w:val="00DF6694"/>
    <w:rsid w:val="00DF66B8"/>
    <w:rsid w:val="00DF6761"/>
    <w:rsid w:val="00DF6762"/>
    <w:rsid w:val="00DF69F0"/>
    <w:rsid w:val="00DF6ACF"/>
    <w:rsid w:val="00DF6BCA"/>
    <w:rsid w:val="00DF6C26"/>
    <w:rsid w:val="00DF6FD4"/>
    <w:rsid w:val="00DF7180"/>
    <w:rsid w:val="00DF7189"/>
    <w:rsid w:val="00DF7453"/>
    <w:rsid w:val="00DF75ED"/>
    <w:rsid w:val="00DF766E"/>
    <w:rsid w:val="00DF770C"/>
    <w:rsid w:val="00DF7789"/>
    <w:rsid w:val="00DF7817"/>
    <w:rsid w:val="00DF799B"/>
    <w:rsid w:val="00DF7B37"/>
    <w:rsid w:val="00DF7E6A"/>
    <w:rsid w:val="00DF7E74"/>
    <w:rsid w:val="00E003AE"/>
    <w:rsid w:val="00E003EA"/>
    <w:rsid w:val="00E00425"/>
    <w:rsid w:val="00E00484"/>
    <w:rsid w:val="00E004C8"/>
    <w:rsid w:val="00E00526"/>
    <w:rsid w:val="00E005C9"/>
    <w:rsid w:val="00E00879"/>
    <w:rsid w:val="00E009A6"/>
    <w:rsid w:val="00E00C7E"/>
    <w:rsid w:val="00E00D12"/>
    <w:rsid w:val="00E00E73"/>
    <w:rsid w:val="00E01083"/>
    <w:rsid w:val="00E011B4"/>
    <w:rsid w:val="00E0132E"/>
    <w:rsid w:val="00E01497"/>
    <w:rsid w:val="00E015B0"/>
    <w:rsid w:val="00E015CF"/>
    <w:rsid w:val="00E01845"/>
    <w:rsid w:val="00E01928"/>
    <w:rsid w:val="00E01B2A"/>
    <w:rsid w:val="00E01B6D"/>
    <w:rsid w:val="00E01B85"/>
    <w:rsid w:val="00E01BC3"/>
    <w:rsid w:val="00E01FE2"/>
    <w:rsid w:val="00E02065"/>
    <w:rsid w:val="00E021C2"/>
    <w:rsid w:val="00E022AB"/>
    <w:rsid w:val="00E022C7"/>
    <w:rsid w:val="00E02379"/>
    <w:rsid w:val="00E02391"/>
    <w:rsid w:val="00E02889"/>
    <w:rsid w:val="00E02963"/>
    <w:rsid w:val="00E02C8A"/>
    <w:rsid w:val="00E02FDF"/>
    <w:rsid w:val="00E031DF"/>
    <w:rsid w:val="00E03553"/>
    <w:rsid w:val="00E0367C"/>
    <w:rsid w:val="00E03C58"/>
    <w:rsid w:val="00E03D01"/>
    <w:rsid w:val="00E03D94"/>
    <w:rsid w:val="00E03F6E"/>
    <w:rsid w:val="00E0418D"/>
    <w:rsid w:val="00E0448E"/>
    <w:rsid w:val="00E045A6"/>
    <w:rsid w:val="00E046E8"/>
    <w:rsid w:val="00E0472F"/>
    <w:rsid w:val="00E0482B"/>
    <w:rsid w:val="00E04839"/>
    <w:rsid w:val="00E04A7B"/>
    <w:rsid w:val="00E04D6F"/>
    <w:rsid w:val="00E04FD7"/>
    <w:rsid w:val="00E0509E"/>
    <w:rsid w:val="00E050BC"/>
    <w:rsid w:val="00E051ED"/>
    <w:rsid w:val="00E054CB"/>
    <w:rsid w:val="00E0550E"/>
    <w:rsid w:val="00E055E8"/>
    <w:rsid w:val="00E05E63"/>
    <w:rsid w:val="00E061E3"/>
    <w:rsid w:val="00E0622F"/>
    <w:rsid w:val="00E062F3"/>
    <w:rsid w:val="00E066F9"/>
    <w:rsid w:val="00E06E0D"/>
    <w:rsid w:val="00E0707F"/>
    <w:rsid w:val="00E0715E"/>
    <w:rsid w:val="00E07242"/>
    <w:rsid w:val="00E07287"/>
    <w:rsid w:val="00E0730A"/>
    <w:rsid w:val="00E07326"/>
    <w:rsid w:val="00E07470"/>
    <w:rsid w:val="00E074C9"/>
    <w:rsid w:val="00E074D2"/>
    <w:rsid w:val="00E07878"/>
    <w:rsid w:val="00E07884"/>
    <w:rsid w:val="00E078E2"/>
    <w:rsid w:val="00E07DF1"/>
    <w:rsid w:val="00E07DF2"/>
    <w:rsid w:val="00E07E7F"/>
    <w:rsid w:val="00E10084"/>
    <w:rsid w:val="00E101E9"/>
    <w:rsid w:val="00E106F6"/>
    <w:rsid w:val="00E10751"/>
    <w:rsid w:val="00E108EC"/>
    <w:rsid w:val="00E10A21"/>
    <w:rsid w:val="00E10CE9"/>
    <w:rsid w:val="00E10F0E"/>
    <w:rsid w:val="00E10FE8"/>
    <w:rsid w:val="00E11075"/>
    <w:rsid w:val="00E110E2"/>
    <w:rsid w:val="00E1114D"/>
    <w:rsid w:val="00E11336"/>
    <w:rsid w:val="00E11489"/>
    <w:rsid w:val="00E1185C"/>
    <w:rsid w:val="00E11975"/>
    <w:rsid w:val="00E11AC2"/>
    <w:rsid w:val="00E11D55"/>
    <w:rsid w:val="00E12128"/>
    <w:rsid w:val="00E122CC"/>
    <w:rsid w:val="00E12480"/>
    <w:rsid w:val="00E12633"/>
    <w:rsid w:val="00E127B6"/>
    <w:rsid w:val="00E129BC"/>
    <w:rsid w:val="00E12D97"/>
    <w:rsid w:val="00E12DEC"/>
    <w:rsid w:val="00E12ECE"/>
    <w:rsid w:val="00E13078"/>
    <w:rsid w:val="00E131F8"/>
    <w:rsid w:val="00E133A2"/>
    <w:rsid w:val="00E13592"/>
    <w:rsid w:val="00E1367B"/>
    <w:rsid w:val="00E13AEE"/>
    <w:rsid w:val="00E13BD9"/>
    <w:rsid w:val="00E13C09"/>
    <w:rsid w:val="00E14135"/>
    <w:rsid w:val="00E14251"/>
    <w:rsid w:val="00E14588"/>
    <w:rsid w:val="00E14B44"/>
    <w:rsid w:val="00E14D38"/>
    <w:rsid w:val="00E14ED2"/>
    <w:rsid w:val="00E14FB4"/>
    <w:rsid w:val="00E14FC1"/>
    <w:rsid w:val="00E15085"/>
    <w:rsid w:val="00E15262"/>
    <w:rsid w:val="00E152FC"/>
    <w:rsid w:val="00E15594"/>
    <w:rsid w:val="00E15808"/>
    <w:rsid w:val="00E158E9"/>
    <w:rsid w:val="00E15978"/>
    <w:rsid w:val="00E15C08"/>
    <w:rsid w:val="00E15E7C"/>
    <w:rsid w:val="00E161B7"/>
    <w:rsid w:val="00E165D1"/>
    <w:rsid w:val="00E16717"/>
    <w:rsid w:val="00E168E0"/>
    <w:rsid w:val="00E16D2C"/>
    <w:rsid w:val="00E16D6B"/>
    <w:rsid w:val="00E16F5B"/>
    <w:rsid w:val="00E17242"/>
    <w:rsid w:val="00E17493"/>
    <w:rsid w:val="00E17799"/>
    <w:rsid w:val="00E178CF"/>
    <w:rsid w:val="00E17EF5"/>
    <w:rsid w:val="00E2002F"/>
    <w:rsid w:val="00E20267"/>
    <w:rsid w:val="00E2028D"/>
    <w:rsid w:val="00E205E5"/>
    <w:rsid w:val="00E20DDA"/>
    <w:rsid w:val="00E20DE4"/>
    <w:rsid w:val="00E20E7C"/>
    <w:rsid w:val="00E210CB"/>
    <w:rsid w:val="00E216BB"/>
    <w:rsid w:val="00E2187C"/>
    <w:rsid w:val="00E2198F"/>
    <w:rsid w:val="00E21A1C"/>
    <w:rsid w:val="00E21CF2"/>
    <w:rsid w:val="00E22131"/>
    <w:rsid w:val="00E22238"/>
    <w:rsid w:val="00E224F7"/>
    <w:rsid w:val="00E2281D"/>
    <w:rsid w:val="00E22860"/>
    <w:rsid w:val="00E22AD6"/>
    <w:rsid w:val="00E22B69"/>
    <w:rsid w:val="00E22C6C"/>
    <w:rsid w:val="00E22DCC"/>
    <w:rsid w:val="00E22E36"/>
    <w:rsid w:val="00E22E37"/>
    <w:rsid w:val="00E2335E"/>
    <w:rsid w:val="00E2340A"/>
    <w:rsid w:val="00E239EC"/>
    <w:rsid w:val="00E23EDC"/>
    <w:rsid w:val="00E24163"/>
    <w:rsid w:val="00E241D4"/>
    <w:rsid w:val="00E242FA"/>
    <w:rsid w:val="00E24B77"/>
    <w:rsid w:val="00E24BD5"/>
    <w:rsid w:val="00E24F77"/>
    <w:rsid w:val="00E24FAD"/>
    <w:rsid w:val="00E251B4"/>
    <w:rsid w:val="00E251B8"/>
    <w:rsid w:val="00E25448"/>
    <w:rsid w:val="00E25548"/>
    <w:rsid w:val="00E255C0"/>
    <w:rsid w:val="00E25A85"/>
    <w:rsid w:val="00E25ACD"/>
    <w:rsid w:val="00E25CEF"/>
    <w:rsid w:val="00E25F95"/>
    <w:rsid w:val="00E2633A"/>
    <w:rsid w:val="00E26501"/>
    <w:rsid w:val="00E266B6"/>
    <w:rsid w:val="00E2678B"/>
    <w:rsid w:val="00E267CE"/>
    <w:rsid w:val="00E26AAC"/>
    <w:rsid w:val="00E26B16"/>
    <w:rsid w:val="00E26C1C"/>
    <w:rsid w:val="00E26C20"/>
    <w:rsid w:val="00E26CE0"/>
    <w:rsid w:val="00E26E3E"/>
    <w:rsid w:val="00E26EBD"/>
    <w:rsid w:val="00E26FF0"/>
    <w:rsid w:val="00E2706B"/>
    <w:rsid w:val="00E2738D"/>
    <w:rsid w:val="00E27566"/>
    <w:rsid w:val="00E2758D"/>
    <w:rsid w:val="00E27615"/>
    <w:rsid w:val="00E2775D"/>
    <w:rsid w:val="00E27AA0"/>
    <w:rsid w:val="00E27B9D"/>
    <w:rsid w:val="00E27D13"/>
    <w:rsid w:val="00E302AE"/>
    <w:rsid w:val="00E302E9"/>
    <w:rsid w:val="00E303E6"/>
    <w:rsid w:val="00E30560"/>
    <w:rsid w:val="00E306F6"/>
    <w:rsid w:val="00E30765"/>
    <w:rsid w:val="00E30A41"/>
    <w:rsid w:val="00E30C07"/>
    <w:rsid w:val="00E30DDF"/>
    <w:rsid w:val="00E30E2F"/>
    <w:rsid w:val="00E30F75"/>
    <w:rsid w:val="00E31405"/>
    <w:rsid w:val="00E31890"/>
    <w:rsid w:val="00E3197D"/>
    <w:rsid w:val="00E319A3"/>
    <w:rsid w:val="00E31ABC"/>
    <w:rsid w:val="00E31B82"/>
    <w:rsid w:val="00E31B85"/>
    <w:rsid w:val="00E31D81"/>
    <w:rsid w:val="00E31F63"/>
    <w:rsid w:val="00E31FDE"/>
    <w:rsid w:val="00E32090"/>
    <w:rsid w:val="00E32104"/>
    <w:rsid w:val="00E322DA"/>
    <w:rsid w:val="00E32301"/>
    <w:rsid w:val="00E32354"/>
    <w:rsid w:val="00E3248C"/>
    <w:rsid w:val="00E324B3"/>
    <w:rsid w:val="00E329DF"/>
    <w:rsid w:val="00E32D24"/>
    <w:rsid w:val="00E32DFD"/>
    <w:rsid w:val="00E32E9B"/>
    <w:rsid w:val="00E33491"/>
    <w:rsid w:val="00E3359B"/>
    <w:rsid w:val="00E33671"/>
    <w:rsid w:val="00E33899"/>
    <w:rsid w:val="00E33D70"/>
    <w:rsid w:val="00E33D81"/>
    <w:rsid w:val="00E33F6C"/>
    <w:rsid w:val="00E34117"/>
    <w:rsid w:val="00E34352"/>
    <w:rsid w:val="00E343E5"/>
    <w:rsid w:val="00E345EC"/>
    <w:rsid w:val="00E34761"/>
    <w:rsid w:val="00E348AC"/>
    <w:rsid w:val="00E34980"/>
    <w:rsid w:val="00E349B8"/>
    <w:rsid w:val="00E34C99"/>
    <w:rsid w:val="00E34D50"/>
    <w:rsid w:val="00E34D63"/>
    <w:rsid w:val="00E34E7E"/>
    <w:rsid w:val="00E35274"/>
    <w:rsid w:val="00E3536C"/>
    <w:rsid w:val="00E35396"/>
    <w:rsid w:val="00E353D1"/>
    <w:rsid w:val="00E354B5"/>
    <w:rsid w:val="00E35549"/>
    <w:rsid w:val="00E35557"/>
    <w:rsid w:val="00E35630"/>
    <w:rsid w:val="00E35770"/>
    <w:rsid w:val="00E358E9"/>
    <w:rsid w:val="00E35C4C"/>
    <w:rsid w:val="00E35DE8"/>
    <w:rsid w:val="00E35F03"/>
    <w:rsid w:val="00E35FA0"/>
    <w:rsid w:val="00E35FC8"/>
    <w:rsid w:val="00E362FA"/>
    <w:rsid w:val="00E3671F"/>
    <w:rsid w:val="00E368C9"/>
    <w:rsid w:val="00E36C46"/>
    <w:rsid w:val="00E36D0A"/>
    <w:rsid w:val="00E370AC"/>
    <w:rsid w:val="00E370E1"/>
    <w:rsid w:val="00E37154"/>
    <w:rsid w:val="00E37377"/>
    <w:rsid w:val="00E37392"/>
    <w:rsid w:val="00E378CE"/>
    <w:rsid w:val="00E378D8"/>
    <w:rsid w:val="00E3797A"/>
    <w:rsid w:val="00E37996"/>
    <w:rsid w:val="00E37BB7"/>
    <w:rsid w:val="00E37F48"/>
    <w:rsid w:val="00E4016C"/>
    <w:rsid w:val="00E40803"/>
    <w:rsid w:val="00E4085D"/>
    <w:rsid w:val="00E40955"/>
    <w:rsid w:val="00E40C48"/>
    <w:rsid w:val="00E40CFD"/>
    <w:rsid w:val="00E40EA9"/>
    <w:rsid w:val="00E41658"/>
    <w:rsid w:val="00E41818"/>
    <w:rsid w:val="00E41CD1"/>
    <w:rsid w:val="00E41CFA"/>
    <w:rsid w:val="00E41D8B"/>
    <w:rsid w:val="00E41DA4"/>
    <w:rsid w:val="00E41DAC"/>
    <w:rsid w:val="00E41DE7"/>
    <w:rsid w:val="00E41E66"/>
    <w:rsid w:val="00E42070"/>
    <w:rsid w:val="00E42329"/>
    <w:rsid w:val="00E4243E"/>
    <w:rsid w:val="00E4249B"/>
    <w:rsid w:val="00E42876"/>
    <w:rsid w:val="00E42A77"/>
    <w:rsid w:val="00E42B58"/>
    <w:rsid w:val="00E42BEC"/>
    <w:rsid w:val="00E42C2F"/>
    <w:rsid w:val="00E42C50"/>
    <w:rsid w:val="00E4302C"/>
    <w:rsid w:val="00E43084"/>
    <w:rsid w:val="00E43586"/>
    <w:rsid w:val="00E436C6"/>
    <w:rsid w:val="00E43950"/>
    <w:rsid w:val="00E43ACF"/>
    <w:rsid w:val="00E43B92"/>
    <w:rsid w:val="00E43BFF"/>
    <w:rsid w:val="00E43C3E"/>
    <w:rsid w:val="00E43ED0"/>
    <w:rsid w:val="00E4407B"/>
    <w:rsid w:val="00E44150"/>
    <w:rsid w:val="00E441F0"/>
    <w:rsid w:val="00E441F2"/>
    <w:rsid w:val="00E44931"/>
    <w:rsid w:val="00E44A1A"/>
    <w:rsid w:val="00E44A4D"/>
    <w:rsid w:val="00E44A6A"/>
    <w:rsid w:val="00E44A84"/>
    <w:rsid w:val="00E44E92"/>
    <w:rsid w:val="00E45001"/>
    <w:rsid w:val="00E451EF"/>
    <w:rsid w:val="00E4535C"/>
    <w:rsid w:val="00E455D8"/>
    <w:rsid w:val="00E45746"/>
    <w:rsid w:val="00E457FB"/>
    <w:rsid w:val="00E4581B"/>
    <w:rsid w:val="00E45883"/>
    <w:rsid w:val="00E4591E"/>
    <w:rsid w:val="00E45BEA"/>
    <w:rsid w:val="00E45C8E"/>
    <w:rsid w:val="00E460A3"/>
    <w:rsid w:val="00E461E8"/>
    <w:rsid w:val="00E46260"/>
    <w:rsid w:val="00E46495"/>
    <w:rsid w:val="00E4649B"/>
    <w:rsid w:val="00E4665C"/>
    <w:rsid w:val="00E4666C"/>
    <w:rsid w:val="00E46741"/>
    <w:rsid w:val="00E467CA"/>
    <w:rsid w:val="00E4681F"/>
    <w:rsid w:val="00E46B20"/>
    <w:rsid w:val="00E46BB5"/>
    <w:rsid w:val="00E46D76"/>
    <w:rsid w:val="00E46FCA"/>
    <w:rsid w:val="00E4721F"/>
    <w:rsid w:val="00E47265"/>
    <w:rsid w:val="00E4726A"/>
    <w:rsid w:val="00E47303"/>
    <w:rsid w:val="00E474BB"/>
    <w:rsid w:val="00E474BE"/>
    <w:rsid w:val="00E475A9"/>
    <w:rsid w:val="00E478B0"/>
    <w:rsid w:val="00E47A1C"/>
    <w:rsid w:val="00E47B19"/>
    <w:rsid w:val="00E50358"/>
    <w:rsid w:val="00E5060C"/>
    <w:rsid w:val="00E50B20"/>
    <w:rsid w:val="00E50B73"/>
    <w:rsid w:val="00E50C44"/>
    <w:rsid w:val="00E50CE1"/>
    <w:rsid w:val="00E50D5A"/>
    <w:rsid w:val="00E50E79"/>
    <w:rsid w:val="00E5108B"/>
    <w:rsid w:val="00E51372"/>
    <w:rsid w:val="00E51484"/>
    <w:rsid w:val="00E515D0"/>
    <w:rsid w:val="00E51B54"/>
    <w:rsid w:val="00E51E16"/>
    <w:rsid w:val="00E51F2A"/>
    <w:rsid w:val="00E5235B"/>
    <w:rsid w:val="00E524AD"/>
    <w:rsid w:val="00E528CE"/>
    <w:rsid w:val="00E52C92"/>
    <w:rsid w:val="00E52F60"/>
    <w:rsid w:val="00E53211"/>
    <w:rsid w:val="00E532E1"/>
    <w:rsid w:val="00E5347B"/>
    <w:rsid w:val="00E53866"/>
    <w:rsid w:val="00E539AD"/>
    <w:rsid w:val="00E539B3"/>
    <w:rsid w:val="00E539D5"/>
    <w:rsid w:val="00E53AA2"/>
    <w:rsid w:val="00E53AD2"/>
    <w:rsid w:val="00E53BD2"/>
    <w:rsid w:val="00E53E1E"/>
    <w:rsid w:val="00E54020"/>
    <w:rsid w:val="00E540CC"/>
    <w:rsid w:val="00E545FC"/>
    <w:rsid w:val="00E546DB"/>
    <w:rsid w:val="00E549F9"/>
    <w:rsid w:val="00E54DA7"/>
    <w:rsid w:val="00E5504B"/>
    <w:rsid w:val="00E55372"/>
    <w:rsid w:val="00E55672"/>
    <w:rsid w:val="00E558CC"/>
    <w:rsid w:val="00E55C0F"/>
    <w:rsid w:val="00E55DB5"/>
    <w:rsid w:val="00E5604E"/>
    <w:rsid w:val="00E562C9"/>
    <w:rsid w:val="00E56336"/>
    <w:rsid w:val="00E56387"/>
    <w:rsid w:val="00E563DB"/>
    <w:rsid w:val="00E5658C"/>
    <w:rsid w:val="00E56706"/>
    <w:rsid w:val="00E56774"/>
    <w:rsid w:val="00E56877"/>
    <w:rsid w:val="00E568FE"/>
    <w:rsid w:val="00E56A3B"/>
    <w:rsid w:val="00E56FE3"/>
    <w:rsid w:val="00E57131"/>
    <w:rsid w:val="00E57133"/>
    <w:rsid w:val="00E57324"/>
    <w:rsid w:val="00E57610"/>
    <w:rsid w:val="00E57918"/>
    <w:rsid w:val="00E57977"/>
    <w:rsid w:val="00E57D06"/>
    <w:rsid w:val="00E57D62"/>
    <w:rsid w:val="00E57DDF"/>
    <w:rsid w:val="00E60224"/>
    <w:rsid w:val="00E60350"/>
    <w:rsid w:val="00E604C2"/>
    <w:rsid w:val="00E6073D"/>
    <w:rsid w:val="00E6076C"/>
    <w:rsid w:val="00E60B4D"/>
    <w:rsid w:val="00E60D28"/>
    <w:rsid w:val="00E60D70"/>
    <w:rsid w:val="00E60FCC"/>
    <w:rsid w:val="00E6142D"/>
    <w:rsid w:val="00E61560"/>
    <w:rsid w:val="00E6160D"/>
    <w:rsid w:val="00E61874"/>
    <w:rsid w:val="00E61983"/>
    <w:rsid w:val="00E61B33"/>
    <w:rsid w:val="00E62095"/>
    <w:rsid w:val="00E621CB"/>
    <w:rsid w:val="00E6241D"/>
    <w:rsid w:val="00E62565"/>
    <w:rsid w:val="00E62592"/>
    <w:rsid w:val="00E62648"/>
    <w:rsid w:val="00E626DE"/>
    <w:rsid w:val="00E62731"/>
    <w:rsid w:val="00E628D2"/>
    <w:rsid w:val="00E62A11"/>
    <w:rsid w:val="00E62B1D"/>
    <w:rsid w:val="00E62B46"/>
    <w:rsid w:val="00E62C12"/>
    <w:rsid w:val="00E63020"/>
    <w:rsid w:val="00E630BF"/>
    <w:rsid w:val="00E63275"/>
    <w:rsid w:val="00E632F0"/>
    <w:rsid w:val="00E63779"/>
    <w:rsid w:val="00E63918"/>
    <w:rsid w:val="00E639A7"/>
    <w:rsid w:val="00E641DB"/>
    <w:rsid w:val="00E641EC"/>
    <w:rsid w:val="00E6438D"/>
    <w:rsid w:val="00E64966"/>
    <w:rsid w:val="00E649AC"/>
    <w:rsid w:val="00E64AD0"/>
    <w:rsid w:val="00E64AFB"/>
    <w:rsid w:val="00E64BB2"/>
    <w:rsid w:val="00E64EC1"/>
    <w:rsid w:val="00E6500E"/>
    <w:rsid w:val="00E656B9"/>
    <w:rsid w:val="00E656F7"/>
    <w:rsid w:val="00E6572D"/>
    <w:rsid w:val="00E65A43"/>
    <w:rsid w:val="00E65D1F"/>
    <w:rsid w:val="00E65D34"/>
    <w:rsid w:val="00E6609C"/>
    <w:rsid w:val="00E66322"/>
    <w:rsid w:val="00E6694C"/>
    <w:rsid w:val="00E66A07"/>
    <w:rsid w:val="00E66B01"/>
    <w:rsid w:val="00E66B08"/>
    <w:rsid w:val="00E66CE9"/>
    <w:rsid w:val="00E66D60"/>
    <w:rsid w:val="00E66D76"/>
    <w:rsid w:val="00E66EAC"/>
    <w:rsid w:val="00E672EE"/>
    <w:rsid w:val="00E67373"/>
    <w:rsid w:val="00E674C5"/>
    <w:rsid w:val="00E674D1"/>
    <w:rsid w:val="00E67AA8"/>
    <w:rsid w:val="00E67BEA"/>
    <w:rsid w:val="00E67CDD"/>
    <w:rsid w:val="00E67E05"/>
    <w:rsid w:val="00E700EA"/>
    <w:rsid w:val="00E7021F"/>
    <w:rsid w:val="00E7025E"/>
    <w:rsid w:val="00E70354"/>
    <w:rsid w:val="00E7037F"/>
    <w:rsid w:val="00E703C3"/>
    <w:rsid w:val="00E7049B"/>
    <w:rsid w:val="00E704B0"/>
    <w:rsid w:val="00E70665"/>
    <w:rsid w:val="00E708D0"/>
    <w:rsid w:val="00E70C70"/>
    <w:rsid w:val="00E70D8E"/>
    <w:rsid w:val="00E70E86"/>
    <w:rsid w:val="00E7128D"/>
    <w:rsid w:val="00E7140C"/>
    <w:rsid w:val="00E71727"/>
    <w:rsid w:val="00E71762"/>
    <w:rsid w:val="00E719A9"/>
    <w:rsid w:val="00E71A1C"/>
    <w:rsid w:val="00E71BAB"/>
    <w:rsid w:val="00E71DEC"/>
    <w:rsid w:val="00E72089"/>
    <w:rsid w:val="00E72532"/>
    <w:rsid w:val="00E72586"/>
    <w:rsid w:val="00E72682"/>
    <w:rsid w:val="00E72736"/>
    <w:rsid w:val="00E72739"/>
    <w:rsid w:val="00E7285F"/>
    <w:rsid w:val="00E7312D"/>
    <w:rsid w:val="00E73201"/>
    <w:rsid w:val="00E733A0"/>
    <w:rsid w:val="00E733F0"/>
    <w:rsid w:val="00E7348E"/>
    <w:rsid w:val="00E734CF"/>
    <w:rsid w:val="00E739C7"/>
    <w:rsid w:val="00E73C82"/>
    <w:rsid w:val="00E74234"/>
    <w:rsid w:val="00E744F5"/>
    <w:rsid w:val="00E74649"/>
    <w:rsid w:val="00E748F9"/>
    <w:rsid w:val="00E74A2D"/>
    <w:rsid w:val="00E74B05"/>
    <w:rsid w:val="00E74ED2"/>
    <w:rsid w:val="00E754F9"/>
    <w:rsid w:val="00E75AAC"/>
    <w:rsid w:val="00E75AD9"/>
    <w:rsid w:val="00E75C09"/>
    <w:rsid w:val="00E75D7D"/>
    <w:rsid w:val="00E75E20"/>
    <w:rsid w:val="00E75EDE"/>
    <w:rsid w:val="00E75EEB"/>
    <w:rsid w:val="00E76356"/>
    <w:rsid w:val="00E763AA"/>
    <w:rsid w:val="00E76407"/>
    <w:rsid w:val="00E7652B"/>
    <w:rsid w:val="00E765AF"/>
    <w:rsid w:val="00E76652"/>
    <w:rsid w:val="00E76800"/>
    <w:rsid w:val="00E76A10"/>
    <w:rsid w:val="00E76AA4"/>
    <w:rsid w:val="00E76C23"/>
    <w:rsid w:val="00E77260"/>
    <w:rsid w:val="00E77385"/>
    <w:rsid w:val="00E774F5"/>
    <w:rsid w:val="00E7754B"/>
    <w:rsid w:val="00E775DE"/>
    <w:rsid w:val="00E777DD"/>
    <w:rsid w:val="00E77A29"/>
    <w:rsid w:val="00E77BA3"/>
    <w:rsid w:val="00E77D9A"/>
    <w:rsid w:val="00E80027"/>
    <w:rsid w:val="00E80258"/>
    <w:rsid w:val="00E8029B"/>
    <w:rsid w:val="00E802FD"/>
    <w:rsid w:val="00E804DA"/>
    <w:rsid w:val="00E80528"/>
    <w:rsid w:val="00E80628"/>
    <w:rsid w:val="00E806B3"/>
    <w:rsid w:val="00E807F2"/>
    <w:rsid w:val="00E808D5"/>
    <w:rsid w:val="00E80A25"/>
    <w:rsid w:val="00E80A6B"/>
    <w:rsid w:val="00E80E65"/>
    <w:rsid w:val="00E81245"/>
    <w:rsid w:val="00E81360"/>
    <w:rsid w:val="00E81515"/>
    <w:rsid w:val="00E81614"/>
    <w:rsid w:val="00E818C6"/>
    <w:rsid w:val="00E8196B"/>
    <w:rsid w:val="00E81A17"/>
    <w:rsid w:val="00E81EEA"/>
    <w:rsid w:val="00E81F11"/>
    <w:rsid w:val="00E821C7"/>
    <w:rsid w:val="00E823EC"/>
    <w:rsid w:val="00E8253A"/>
    <w:rsid w:val="00E8274D"/>
    <w:rsid w:val="00E82889"/>
    <w:rsid w:val="00E82AA9"/>
    <w:rsid w:val="00E82B09"/>
    <w:rsid w:val="00E82C23"/>
    <w:rsid w:val="00E82D72"/>
    <w:rsid w:val="00E82DD1"/>
    <w:rsid w:val="00E83308"/>
    <w:rsid w:val="00E83349"/>
    <w:rsid w:val="00E83361"/>
    <w:rsid w:val="00E835ED"/>
    <w:rsid w:val="00E8366D"/>
    <w:rsid w:val="00E836AE"/>
    <w:rsid w:val="00E83795"/>
    <w:rsid w:val="00E839E5"/>
    <w:rsid w:val="00E83AFD"/>
    <w:rsid w:val="00E83CCE"/>
    <w:rsid w:val="00E83E94"/>
    <w:rsid w:val="00E83FDE"/>
    <w:rsid w:val="00E846D1"/>
    <w:rsid w:val="00E84B45"/>
    <w:rsid w:val="00E84BE2"/>
    <w:rsid w:val="00E84C80"/>
    <w:rsid w:val="00E84DC8"/>
    <w:rsid w:val="00E84F38"/>
    <w:rsid w:val="00E84F68"/>
    <w:rsid w:val="00E84FCB"/>
    <w:rsid w:val="00E8536B"/>
    <w:rsid w:val="00E85A8F"/>
    <w:rsid w:val="00E85AAB"/>
    <w:rsid w:val="00E85AC6"/>
    <w:rsid w:val="00E85BBB"/>
    <w:rsid w:val="00E85C20"/>
    <w:rsid w:val="00E85DAF"/>
    <w:rsid w:val="00E86073"/>
    <w:rsid w:val="00E8611F"/>
    <w:rsid w:val="00E863B4"/>
    <w:rsid w:val="00E863C0"/>
    <w:rsid w:val="00E863DE"/>
    <w:rsid w:val="00E86706"/>
    <w:rsid w:val="00E8679A"/>
    <w:rsid w:val="00E86AA2"/>
    <w:rsid w:val="00E86D67"/>
    <w:rsid w:val="00E86DAD"/>
    <w:rsid w:val="00E873CB"/>
    <w:rsid w:val="00E873D4"/>
    <w:rsid w:val="00E87406"/>
    <w:rsid w:val="00E878BE"/>
    <w:rsid w:val="00E87C3E"/>
    <w:rsid w:val="00E87CA4"/>
    <w:rsid w:val="00E87CE6"/>
    <w:rsid w:val="00E87EE5"/>
    <w:rsid w:val="00E87FC2"/>
    <w:rsid w:val="00E87FD6"/>
    <w:rsid w:val="00E90033"/>
    <w:rsid w:val="00E90039"/>
    <w:rsid w:val="00E90133"/>
    <w:rsid w:val="00E90368"/>
    <w:rsid w:val="00E903B1"/>
    <w:rsid w:val="00E9045D"/>
    <w:rsid w:val="00E90461"/>
    <w:rsid w:val="00E904D9"/>
    <w:rsid w:val="00E90585"/>
    <w:rsid w:val="00E9058F"/>
    <w:rsid w:val="00E907F1"/>
    <w:rsid w:val="00E90BBA"/>
    <w:rsid w:val="00E90C4F"/>
    <w:rsid w:val="00E90CEC"/>
    <w:rsid w:val="00E9129C"/>
    <w:rsid w:val="00E91730"/>
    <w:rsid w:val="00E9175C"/>
    <w:rsid w:val="00E9195D"/>
    <w:rsid w:val="00E91B51"/>
    <w:rsid w:val="00E91DE3"/>
    <w:rsid w:val="00E91F3F"/>
    <w:rsid w:val="00E920C2"/>
    <w:rsid w:val="00E922F4"/>
    <w:rsid w:val="00E923A3"/>
    <w:rsid w:val="00E92512"/>
    <w:rsid w:val="00E925A4"/>
    <w:rsid w:val="00E926D6"/>
    <w:rsid w:val="00E927DC"/>
    <w:rsid w:val="00E92864"/>
    <w:rsid w:val="00E9298E"/>
    <w:rsid w:val="00E929CB"/>
    <w:rsid w:val="00E92A00"/>
    <w:rsid w:val="00E92A17"/>
    <w:rsid w:val="00E92AD7"/>
    <w:rsid w:val="00E92DCA"/>
    <w:rsid w:val="00E93095"/>
    <w:rsid w:val="00E932B3"/>
    <w:rsid w:val="00E932F6"/>
    <w:rsid w:val="00E93488"/>
    <w:rsid w:val="00E9352F"/>
    <w:rsid w:val="00E935DA"/>
    <w:rsid w:val="00E9374E"/>
    <w:rsid w:val="00E93DE5"/>
    <w:rsid w:val="00E93E3F"/>
    <w:rsid w:val="00E93F66"/>
    <w:rsid w:val="00E946B0"/>
    <w:rsid w:val="00E947C5"/>
    <w:rsid w:val="00E949CF"/>
    <w:rsid w:val="00E94C53"/>
    <w:rsid w:val="00E94CFE"/>
    <w:rsid w:val="00E9508D"/>
    <w:rsid w:val="00E95225"/>
    <w:rsid w:val="00E9526C"/>
    <w:rsid w:val="00E9528E"/>
    <w:rsid w:val="00E953E7"/>
    <w:rsid w:val="00E9548A"/>
    <w:rsid w:val="00E954DE"/>
    <w:rsid w:val="00E95700"/>
    <w:rsid w:val="00E95A7A"/>
    <w:rsid w:val="00E95D45"/>
    <w:rsid w:val="00E95EBF"/>
    <w:rsid w:val="00E95FBB"/>
    <w:rsid w:val="00E96086"/>
    <w:rsid w:val="00E962A2"/>
    <w:rsid w:val="00E962D5"/>
    <w:rsid w:val="00E963D1"/>
    <w:rsid w:val="00E968EC"/>
    <w:rsid w:val="00E96ADA"/>
    <w:rsid w:val="00E96DF2"/>
    <w:rsid w:val="00E97087"/>
    <w:rsid w:val="00E970B7"/>
    <w:rsid w:val="00E97349"/>
    <w:rsid w:val="00E973BB"/>
    <w:rsid w:val="00E97477"/>
    <w:rsid w:val="00E97719"/>
    <w:rsid w:val="00E97887"/>
    <w:rsid w:val="00E9790C"/>
    <w:rsid w:val="00E9796C"/>
    <w:rsid w:val="00E97F7B"/>
    <w:rsid w:val="00EA009F"/>
    <w:rsid w:val="00EA0342"/>
    <w:rsid w:val="00EA04DE"/>
    <w:rsid w:val="00EA05B7"/>
    <w:rsid w:val="00EA0AC5"/>
    <w:rsid w:val="00EA167F"/>
    <w:rsid w:val="00EA195A"/>
    <w:rsid w:val="00EA1F1D"/>
    <w:rsid w:val="00EA21F6"/>
    <w:rsid w:val="00EA2292"/>
    <w:rsid w:val="00EA234C"/>
    <w:rsid w:val="00EA23BA"/>
    <w:rsid w:val="00EA2621"/>
    <w:rsid w:val="00EA2A1C"/>
    <w:rsid w:val="00EA2A20"/>
    <w:rsid w:val="00EA2DB9"/>
    <w:rsid w:val="00EA2FD2"/>
    <w:rsid w:val="00EA3182"/>
    <w:rsid w:val="00EA3286"/>
    <w:rsid w:val="00EA3544"/>
    <w:rsid w:val="00EA35A2"/>
    <w:rsid w:val="00EA3738"/>
    <w:rsid w:val="00EA3749"/>
    <w:rsid w:val="00EA3965"/>
    <w:rsid w:val="00EA39A5"/>
    <w:rsid w:val="00EA3B4C"/>
    <w:rsid w:val="00EA3BE1"/>
    <w:rsid w:val="00EA3CBD"/>
    <w:rsid w:val="00EA3D39"/>
    <w:rsid w:val="00EA3D66"/>
    <w:rsid w:val="00EA3D97"/>
    <w:rsid w:val="00EA3DEE"/>
    <w:rsid w:val="00EA3EE1"/>
    <w:rsid w:val="00EA4003"/>
    <w:rsid w:val="00EA4350"/>
    <w:rsid w:val="00EA43B2"/>
    <w:rsid w:val="00EA43D5"/>
    <w:rsid w:val="00EA4424"/>
    <w:rsid w:val="00EA45A2"/>
    <w:rsid w:val="00EA4731"/>
    <w:rsid w:val="00EA4A6C"/>
    <w:rsid w:val="00EA4C7C"/>
    <w:rsid w:val="00EA4CE8"/>
    <w:rsid w:val="00EA4E37"/>
    <w:rsid w:val="00EA4FC5"/>
    <w:rsid w:val="00EA4FF5"/>
    <w:rsid w:val="00EA5021"/>
    <w:rsid w:val="00EA537D"/>
    <w:rsid w:val="00EA583C"/>
    <w:rsid w:val="00EA5A54"/>
    <w:rsid w:val="00EA618D"/>
    <w:rsid w:val="00EA61D8"/>
    <w:rsid w:val="00EA6259"/>
    <w:rsid w:val="00EA64C5"/>
    <w:rsid w:val="00EA6534"/>
    <w:rsid w:val="00EA666C"/>
    <w:rsid w:val="00EA66F3"/>
    <w:rsid w:val="00EA6721"/>
    <w:rsid w:val="00EA6775"/>
    <w:rsid w:val="00EA6897"/>
    <w:rsid w:val="00EA69EC"/>
    <w:rsid w:val="00EA6A1C"/>
    <w:rsid w:val="00EA6A82"/>
    <w:rsid w:val="00EA6B89"/>
    <w:rsid w:val="00EA6C26"/>
    <w:rsid w:val="00EA6C32"/>
    <w:rsid w:val="00EA6C71"/>
    <w:rsid w:val="00EA6F0A"/>
    <w:rsid w:val="00EA71BF"/>
    <w:rsid w:val="00EA7A4E"/>
    <w:rsid w:val="00EA7AEE"/>
    <w:rsid w:val="00EB035C"/>
    <w:rsid w:val="00EB0762"/>
    <w:rsid w:val="00EB099C"/>
    <w:rsid w:val="00EB0A36"/>
    <w:rsid w:val="00EB0A48"/>
    <w:rsid w:val="00EB0AC6"/>
    <w:rsid w:val="00EB0C99"/>
    <w:rsid w:val="00EB0D19"/>
    <w:rsid w:val="00EB1109"/>
    <w:rsid w:val="00EB1274"/>
    <w:rsid w:val="00EB152C"/>
    <w:rsid w:val="00EB154F"/>
    <w:rsid w:val="00EB15AA"/>
    <w:rsid w:val="00EB17DE"/>
    <w:rsid w:val="00EB19C5"/>
    <w:rsid w:val="00EB1C4B"/>
    <w:rsid w:val="00EB1D1B"/>
    <w:rsid w:val="00EB1FA2"/>
    <w:rsid w:val="00EB2004"/>
    <w:rsid w:val="00EB23E9"/>
    <w:rsid w:val="00EB248A"/>
    <w:rsid w:val="00EB2565"/>
    <w:rsid w:val="00EB2637"/>
    <w:rsid w:val="00EB2759"/>
    <w:rsid w:val="00EB289F"/>
    <w:rsid w:val="00EB2AA6"/>
    <w:rsid w:val="00EB2B40"/>
    <w:rsid w:val="00EB2B91"/>
    <w:rsid w:val="00EB2C64"/>
    <w:rsid w:val="00EB2D19"/>
    <w:rsid w:val="00EB2D52"/>
    <w:rsid w:val="00EB2FEA"/>
    <w:rsid w:val="00EB3468"/>
    <w:rsid w:val="00EB35C6"/>
    <w:rsid w:val="00EB3A09"/>
    <w:rsid w:val="00EB3A5D"/>
    <w:rsid w:val="00EB3A95"/>
    <w:rsid w:val="00EB3AC3"/>
    <w:rsid w:val="00EB3DA4"/>
    <w:rsid w:val="00EB3DF1"/>
    <w:rsid w:val="00EB3F57"/>
    <w:rsid w:val="00EB3F70"/>
    <w:rsid w:val="00EB40DC"/>
    <w:rsid w:val="00EB4182"/>
    <w:rsid w:val="00EB41B1"/>
    <w:rsid w:val="00EB4533"/>
    <w:rsid w:val="00EB4750"/>
    <w:rsid w:val="00EB4761"/>
    <w:rsid w:val="00EB4785"/>
    <w:rsid w:val="00EB4895"/>
    <w:rsid w:val="00EB4959"/>
    <w:rsid w:val="00EB4AA8"/>
    <w:rsid w:val="00EB4AC9"/>
    <w:rsid w:val="00EB4B7B"/>
    <w:rsid w:val="00EB4BEF"/>
    <w:rsid w:val="00EB4D4A"/>
    <w:rsid w:val="00EB4DCB"/>
    <w:rsid w:val="00EB4E58"/>
    <w:rsid w:val="00EB51C2"/>
    <w:rsid w:val="00EB5372"/>
    <w:rsid w:val="00EB5457"/>
    <w:rsid w:val="00EB54BB"/>
    <w:rsid w:val="00EB55CF"/>
    <w:rsid w:val="00EB5733"/>
    <w:rsid w:val="00EB57E8"/>
    <w:rsid w:val="00EB5919"/>
    <w:rsid w:val="00EB5984"/>
    <w:rsid w:val="00EB59FB"/>
    <w:rsid w:val="00EB5CA0"/>
    <w:rsid w:val="00EB5CDA"/>
    <w:rsid w:val="00EB5E1A"/>
    <w:rsid w:val="00EB5ECA"/>
    <w:rsid w:val="00EB625F"/>
    <w:rsid w:val="00EB6375"/>
    <w:rsid w:val="00EB65B4"/>
    <w:rsid w:val="00EB65B8"/>
    <w:rsid w:val="00EB6915"/>
    <w:rsid w:val="00EB6953"/>
    <w:rsid w:val="00EB6D2B"/>
    <w:rsid w:val="00EB727E"/>
    <w:rsid w:val="00EB756F"/>
    <w:rsid w:val="00EB772C"/>
    <w:rsid w:val="00EB777F"/>
    <w:rsid w:val="00EB795F"/>
    <w:rsid w:val="00EB7AA9"/>
    <w:rsid w:val="00EB7D5D"/>
    <w:rsid w:val="00EC0010"/>
    <w:rsid w:val="00EC0030"/>
    <w:rsid w:val="00EC019C"/>
    <w:rsid w:val="00EC01E2"/>
    <w:rsid w:val="00EC0267"/>
    <w:rsid w:val="00EC0728"/>
    <w:rsid w:val="00EC076C"/>
    <w:rsid w:val="00EC0A41"/>
    <w:rsid w:val="00EC0B02"/>
    <w:rsid w:val="00EC0E1F"/>
    <w:rsid w:val="00EC104C"/>
    <w:rsid w:val="00EC10C0"/>
    <w:rsid w:val="00EC1339"/>
    <w:rsid w:val="00EC136D"/>
    <w:rsid w:val="00EC143B"/>
    <w:rsid w:val="00EC1441"/>
    <w:rsid w:val="00EC1491"/>
    <w:rsid w:val="00EC1520"/>
    <w:rsid w:val="00EC1542"/>
    <w:rsid w:val="00EC15E1"/>
    <w:rsid w:val="00EC16DE"/>
    <w:rsid w:val="00EC16E6"/>
    <w:rsid w:val="00EC1887"/>
    <w:rsid w:val="00EC18E9"/>
    <w:rsid w:val="00EC18EA"/>
    <w:rsid w:val="00EC18FD"/>
    <w:rsid w:val="00EC1A1D"/>
    <w:rsid w:val="00EC1AA4"/>
    <w:rsid w:val="00EC1D56"/>
    <w:rsid w:val="00EC1E5F"/>
    <w:rsid w:val="00EC216F"/>
    <w:rsid w:val="00EC2591"/>
    <w:rsid w:val="00EC25DD"/>
    <w:rsid w:val="00EC26B5"/>
    <w:rsid w:val="00EC2780"/>
    <w:rsid w:val="00EC2792"/>
    <w:rsid w:val="00EC28B0"/>
    <w:rsid w:val="00EC2940"/>
    <w:rsid w:val="00EC29B5"/>
    <w:rsid w:val="00EC2B35"/>
    <w:rsid w:val="00EC2BC7"/>
    <w:rsid w:val="00EC2D6C"/>
    <w:rsid w:val="00EC2D97"/>
    <w:rsid w:val="00EC2DF2"/>
    <w:rsid w:val="00EC2E36"/>
    <w:rsid w:val="00EC2E54"/>
    <w:rsid w:val="00EC3008"/>
    <w:rsid w:val="00EC3085"/>
    <w:rsid w:val="00EC31EB"/>
    <w:rsid w:val="00EC3667"/>
    <w:rsid w:val="00EC3B6C"/>
    <w:rsid w:val="00EC3BAA"/>
    <w:rsid w:val="00EC3F6F"/>
    <w:rsid w:val="00EC4039"/>
    <w:rsid w:val="00EC4342"/>
    <w:rsid w:val="00EC445E"/>
    <w:rsid w:val="00EC4750"/>
    <w:rsid w:val="00EC4893"/>
    <w:rsid w:val="00EC4A0D"/>
    <w:rsid w:val="00EC4AB4"/>
    <w:rsid w:val="00EC4DFC"/>
    <w:rsid w:val="00EC4E82"/>
    <w:rsid w:val="00EC4F0E"/>
    <w:rsid w:val="00EC4FD5"/>
    <w:rsid w:val="00EC52BB"/>
    <w:rsid w:val="00EC5403"/>
    <w:rsid w:val="00EC5475"/>
    <w:rsid w:val="00EC556D"/>
    <w:rsid w:val="00EC56B7"/>
    <w:rsid w:val="00EC57FB"/>
    <w:rsid w:val="00EC586F"/>
    <w:rsid w:val="00EC58CF"/>
    <w:rsid w:val="00EC58D3"/>
    <w:rsid w:val="00EC59DB"/>
    <w:rsid w:val="00EC5C11"/>
    <w:rsid w:val="00EC5D7E"/>
    <w:rsid w:val="00EC5DB9"/>
    <w:rsid w:val="00EC6371"/>
    <w:rsid w:val="00EC63D2"/>
    <w:rsid w:val="00EC63FC"/>
    <w:rsid w:val="00EC6601"/>
    <w:rsid w:val="00EC6825"/>
    <w:rsid w:val="00EC69D0"/>
    <w:rsid w:val="00EC6A3A"/>
    <w:rsid w:val="00EC7156"/>
    <w:rsid w:val="00EC71BB"/>
    <w:rsid w:val="00EC73AA"/>
    <w:rsid w:val="00EC7522"/>
    <w:rsid w:val="00EC765D"/>
    <w:rsid w:val="00EC7A28"/>
    <w:rsid w:val="00EC7E48"/>
    <w:rsid w:val="00EC7ED7"/>
    <w:rsid w:val="00EC7F42"/>
    <w:rsid w:val="00ED006B"/>
    <w:rsid w:val="00ED00A3"/>
    <w:rsid w:val="00ED014E"/>
    <w:rsid w:val="00ED044C"/>
    <w:rsid w:val="00ED04BC"/>
    <w:rsid w:val="00ED06D9"/>
    <w:rsid w:val="00ED077C"/>
    <w:rsid w:val="00ED07F0"/>
    <w:rsid w:val="00ED0986"/>
    <w:rsid w:val="00ED0B5B"/>
    <w:rsid w:val="00ED0D96"/>
    <w:rsid w:val="00ED12FA"/>
    <w:rsid w:val="00ED15AA"/>
    <w:rsid w:val="00ED1614"/>
    <w:rsid w:val="00ED16C6"/>
    <w:rsid w:val="00ED17A7"/>
    <w:rsid w:val="00ED1926"/>
    <w:rsid w:val="00ED19CB"/>
    <w:rsid w:val="00ED19D3"/>
    <w:rsid w:val="00ED1BD6"/>
    <w:rsid w:val="00ED1C70"/>
    <w:rsid w:val="00ED1EE0"/>
    <w:rsid w:val="00ED20F9"/>
    <w:rsid w:val="00ED2376"/>
    <w:rsid w:val="00ED24A4"/>
    <w:rsid w:val="00ED27B1"/>
    <w:rsid w:val="00ED2BBD"/>
    <w:rsid w:val="00ED2C61"/>
    <w:rsid w:val="00ED2E07"/>
    <w:rsid w:val="00ED2E41"/>
    <w:rsid w:val="00ED2E48"/>
    <w:rsid w:val="00ED2E49"/>
    <w:rsid w:val="00ED2E7C"/>
    <w:rsid w:val="00ED2EAC"/>
    <w:rsid w:val="00ED2F6E"/>
    <w:rsid w:val="00ED3251"/>
    <w:rsid w:val="00ED34C1"/>
    <w:rsid w:val="00ED3604"/>
    <w:rsid w:val="00ED3632"/>
    <w:rsid w:val="00ED36C4"/>
    <w:rsid w:val="00ED384D"/>
    <w:rsid w:val="00ED3906"/>
    <w:rsid w:val="00ED3994"/>
    <w:rsid w:val="00ED3BC0"/>
    <w:rsid w:val="00ED41B3"/>
    <w:rsid w:val="00ED434E"/>
    <w:rsid w:val="00ED44D9"/>
    <w:rsid w:val="00ED47D2"/>
    <w:rsid w:val="00ED4A3E"/>
    <w:rsid w:val="00ED4AA7"/>
    <w:rsid w:val="00ED505D"/>
    <w:rsid w:val="00ED5100"/>
    <w:rsid w:val="00ED5268"/>
    <w:rsid w:val="00ED53E1"/>
    <w:rsid w:val="00ED540D"/>
    <w:rsid w:val="00ED5662"/>
    <w:rsid w:val="00ED56D9"/>
    <w:rsid w:val="00ED5755"/>
    <w:rsid w:val="00ED5840"/>
    <w:rsid w:val="00ED5895"/>
    <w:rsid w:val="00ED5C3E"/>
    <w:rsid w:val="00ED5C4A"/>
    <w:rsid w:val="00ED5D85"/>
    <w:rsid w:val="00ED5E7F"/>
    <w:rsid w:val="00ED5EBE"/>
    <w:rsid w:val="00ED601F"/>
    <w:rsid w:val="00ED6320"/>
    <w:rsid w:val="00ED6529"/>
    <w:rsid w:val="00ED6664"/>
    <w:rsid w:val="00ED6747"/>
    <w:rsid w:val="00ED675D"/>
    <w:rsid w:val="00ED68B6"/>
    <w:rsid w:val="00ED69EE"/>
    <w:rsid w:val="00ED6D62"/>
    <w:rsid w:val="00ED6F4B"/>
    <w:rsid w:val="00ED6F4C"/>
    <w:rsid w:val="00ED7113"/>
    <w:rsid w:val="00ED7BEE"/>
    <w:rsid w:val="00ED7D06"/>
    <w:rsid w:val="00ED7DCF"/>
    <w:rsid w:val="00EE0011"/>
    <w:rsid w:val="00EE0089"/>
    <w:rsid w:val="00EE00FE"/>
    <w:rsid w:val="00EE0207"/>
    <w:rsid w:val="00EE06C6"/>
    <w:rsid w:val="00EE06DA"/>
    <w:rsid w:val="00EE08C7"/>
    <w:rsid w:val="00EE0B93"/>
    <w:rsid w:val="00EE0BB3"/>
    <w:rsid w:val="00EE0C78"/>
    <w:rsid w:val="00EE1684"/>
    <w:rsid w:val="00EE182B"/>
    <w:rsid w:val="00EE18A9"/>
    <w:rsid w:val="00EE1995"/>
    <w:rsid w:val="00EE1A13"/>
    <w:rsid w:val="00EE1ED9"/>
    <w:rsid w:val="00EE1EEA"/>
    <w:rsid w:val="00EE233C"/>
    <w:rsid w:val="00EE2665"/>
    <w:rsid w:val="00EE26CA"/>
    <w:rsid w:val="00EE2868"/>
    <w:rsid w:val="00EE28D1"/>
    <w:rsid w:val="00EE29CD"/>
    <w:rsid w:val="00EE2A57"/>
    <w:rsid w:val="00EE2AD6"/>
    <w:rsid w:val="00EE2B88"/>
    <w:rsid w:val="00EE2DBE"/>
    <w:rsid w:val="00EE2E3B"/>
    <w:rsid w:val="00EE2EFA"/>
    <w:rsid w:val="00EE325E"/>
    <w:rsid w:val="00EE3290"/>
    <w:rsid w:val="00EE3325"/>
    <w:rsid w:val="00EE3A56"/>
    <w:rsid w:val="00EE3B9E"/>
    <w:rsid w:val="00EE3C95"/>
    <w:rsid w:val="00EE3D35"/>
    <w:rsid w:val="00EE4086"/>
    <w:rsid w:val="00EE4217"/>
    <w:rsid w:val="00EE44EF"/>
    <w:rsid w:val="00EE44F2"/>
    <w:rsid w:val="00EE45FA"/>
    <w:rsid w:val="00EE46B9"/>
    <w:rsid w:val="00EE4953"/>
    <w:rsid w:val="00EE497D"/>
    <w:rsid w:val="00EE4A83"/>
    <w:rsid w:val="00EE4A8B"/>
    <w:rsid w:val="00EE4D33"/>
    <w:rsid w:val="00EE5263"/>
    <w:rsid w:val="00EE5300"/>
    <w:rsid w:val="00EE530D"/>
    <w:rsid w:val="00EE534C"/>
    <w:rsid w:val="00EE53E7"/>
    <w:rsid w:val="00EE551A"/>
    <w:rsid w:val="00EE5AB9"/>
    <w:rsid w:val="00EE5D3D"/>
    <w:rsid w:val="00EE5F17"/>
    <w:rsid w:val="00EE5F1C"/>
    <w:rsid w:val="00EE5FB5"/>
    <w:rsid w:val="00EE67C4"/>
    <w:rsid w:val="00EE689E"/>
    <w:rsid w:val="00EE6934"/>
    <w:rsid w:val="00EE6C38"/>
    <w:rsid w:val="00EE6F6B"/>
    <w:rsid w:val="00EE77BD"/>
    <w:rsid w:val="00EE7DAB"/>
    <w:rsid w:val="00EE7E36"/>
    <w:rsid w:val="00EE7F6C"/>
    <w:rsid w:val="00EF00F9"/>
    <w:rsid w:val="00EF0232"/>
    <w:rsid w:val="00EF05A5"/>
    <w:rsid w:val="00EF062F"/>
    <w:rsid w:val="00EF0643"/>
    <w:rsid w:val="00EF096F"/>
    <w:rsid w:val="00EF0A65"/>
    <w:rsid w:val="00EF0B7F"/>
    <w:rsid w:val="00EF0B83"/>
    <w:rsid w:val="00EF0E41"/>
    <w:rsid w:val="00EF1352"/>
    <w:rsid w:val="00EF14D4"/>
    <w:rsid w:val="00EF155E"/>
    <w:rsid w:val="00EF15DF"/>
    <w:rsid w:val="00EF160B"/>
    <w:rsid w:val="00EF163E"/>
    <w:rsid w:val="00EF179E"/>
    <w:rsid w:val="00EF1A6C"/>
    <w:rsid w:val="00EF1C38"/>
    <w:rsid w:val="00EF1C89"/>
    <w:rsid w:val="00EF1D4D"/>
    <w:rsid w:val="00EF2005"/>
    <w:rsid w:val="00EF2164"/>
    <w:rsid w:val="00EF21AC"/>
    <w:rsid w:val="00EF22C3"/>
    <w:rsid w:val="00EF2407"/>
    <w:rsid w:val="00EF248D"/>
    <w:rsid w:val="00EF257C"/>
    <w:rsid w:val="00EF286B"/>
    <w:rsid w:val="00EF28D9"/>
    <w:rsid w:val="00EF2995"/>
    <w:rsid w:val="00EF2C54"/>
    <w:rsid w:val="00EF2D67"/>
    <w:rsid w:val="00EF2F0D"/>
    <w:rsid w:val="00EF2FF9"/>
    <w:rsid w:val="00EF3146"/>
    <w:rsid w:val="00EF31C3"/>
    <w:rsid w:val="00EF3365"/>
    <w:rsid w:val="00EF35D2"/>
    <w:rsid w:val="00EF3A41"/>
    <w:rsid w:val="00EF3B05"/>
    <w:rsid w:val="00EF3C58"/>
    <w:rsid w:val="00EF3C85"/>
    <w:rsid w:val="00EF3D72"/>
    <w:rsid w:val="00EF3F14"/>
    <w:rsid w:val="00EF3F4A"/>
    <w:rsid w:val="00EF3F53"/>
    <w:rsid w:val="00EF42E7"/>
    <w:rsid w:val="00EF4628"/>
    <w:rsid w:val="00EF482A"/>
    <w:rsid w:val="00EF4BF7"/>
    <w:rsid w:val="00EF4BFC"/>
    <w:rsid w:val="00EF4C96"/>
    <w:rsid w:val="00EF4DE3"/>
    <w:rsid w:val="00EF4EE0"/>
    <w:rsid w:val="00EF50AA"/>
    <w:rsid w:val="00EF53A8"/>
    <w:rsid w:val="00EF54AA"/>
    <w:rsid w:val="00EF54ED"/>
    <w:rsid w:val="00EF55C4"/>
    <w:rsid w:val="00EF5883"/>
    <w:rsid w:val="00EF591C"/>
    <w:rsid w:val="00EF5938"/>
    <w:rsid w:val="00EF5A51"/>
    <w:rsid w:val="00EF5AC1"/>
    <w:rsid w:val="00EF5ACF"/>
    <w:rsid w:val="00EF5B50"/>
    <w:rsid w:val="00EF6176"/>
    <w:rsid w:val="00EF626F"/>
    <w:rsid w:val="00EF6459"/>
    <w:rsid w:val="00EF6537"/>
    <w:rsid w:val="00EF6696"/>
    <w:rsid w:val="00EF6C10"/>
    <w:rsid w:val="00EF6C97"/>
    <w:rsid w:val="00EF70F7"/>
    <w:rsid w:val="00EF713B"/>
    <w:rsid w:val="00EF71F0"/>
    <w:rsid w:val="00EF7233"/>
    <w:rsid w:val="00EF7248"/>
    <w:rsid w:val="00EF725D"/>
    <w:rsid w:val="00EF7274"/>
    <w:rsid w:val="00EF72BE"/>
    <w:rsid w:val="00EF72EC"/>
    <w:rsid w:val="00EF78B7"/>
    <w:rsid w:val="00EF7D6E"/>
    <w:rsid w:val="00EF7D73"/>
    <w:rsid w:val="00EF7DB9"/>
    <w:rsid w:val="00F00069"/>
    <w:rsid w:val="00F001CD"/>
    <w:rsid w:val="00F00235"/>
    <w:rsid w:val="00F0038C"/>
    <w:rsid w:val="00F00450"/>
    <w:rsid w:val="00F00477"/>
    <w:rsid w:val="00F00519"/>
    <w:rsid w:val="00F00729"/>
    <w:rsid w:val="00F00C0F"/>
    <w:rsid w:val="00F011BF"/>
    <w:rsid w:val="00F0125E"/>
    <w:rsid w:val="00F01783"/>
    <w:rsid w:val="00F01A35"/>
    <w:rsid w:val="00F01BBD"/>
    <w:rsid w:val="00F01F15"/>
    <w:rsid w:val="00F02216"/>
    <w:rsid w:val="00F02217"/>
    <w:rsid w:val="00F02325"/>
    <w:rsid w:val="00F0232E"/>
    <w:rsid w:val="00F02A95"/>
    <w:rsid w:val="00F03159"/>
    <w:rsid w:val="00F03383"/>
    <w:rsid w:val="00F039F7"/>
    <w:rsid w:val="00F03A71"/>
    <w:rsid w:val="00F03D23"/>
    <w:rsid w:val="00F03E17"/>
    <w:rsid w:val="00F04040"/>
    <w:rsid w:val="00F043D1"/>
    <w:rsid w:val="00F04679"/>
    <w:rsid w:val="00F04784"/>
    <w:rsid w:val="00F048C7"/>
    <w:rsid w:val="00F048F7"/>
    <w:rsid w:val="00F04A9C"/>
    <w:rsid w:val="00F04C71"/>
    <w:rsid w:val="00F04D9E"/>
    <w:rsid w:val="00F0505C"/>
    <w:rsid w:val="00F0528D"/>
    <w:rsid w:val="00F052AA"/>
    <w:rsid w:val="00F05442"/>
    <w:rsid w:val="00F0564D"/>
    <w:rsid w:val="00F059B3"/>
    <w:rsid w:val="00F059BA"/>
    <w:rsid w:val="00F05AE0"/>
    <w:rsid w:val="00F05B2D"/>
    <w:rsid w:val="00F05B48"/>
    <w:rsid w:val="00F05BB5"/>
    <w:rsid w:val="00F05E29"/>
    <w:rsid w:val="00F05EFB"/>
    <w:rsid w:val="00F0607D"/>
    <w:rsid w:val="00F0612D"/>
    <w:rsid w:val="00F0614D"/>
    <w:rsid w:val="00F06199"/>
    <w:rsid w:val="00F0645E"/>
    <w:rsid w:val="00F0664C"/>
    <w:rsid w:val="00F06667"/>
    <w:rsid w:val="00F06785"/>
    <w:rsid w:val="00F06B43"/>
    <w:rsid w:val="00F06D85"/>
    <w:rsid w:val="00F06F20"/>
    <w:rsid w:val="00F070F7"/>
    <w:rsid w:val="00F071C0"/>
    <w:rsid w:val="00F0761D"/>
    <w:rsid w:val="00F07B97"/>
    <w:rsid w:val="00F07DF6"/>
    <w:rsid w:val="00F07F87"/>
    <w:rsid w:val="00F07FF4"/>
    <w:rsid w:val="00F10410"/>
    <w:rsid w:val="00F1055E"/>
    <w:rsid w:val="00F10651"/>
    <w:rsid w:val="00F10A69"/>
    <w:rsid w:val="00F11115"/>
    <w:rsid w:val="00F112D6"/>
    <w:rsid w:val="00F11311"/>
    <w:rsid w:val="00F1144E"/>
    <w:rsid w:val="00F11488"/>
    <w:rsid w:val="00F115E3"/>
    <w:rsid w:val="00F11603"/>
    <w:rsid w:val="00F11883"/>
    <w:rsid w:val="00F1197F"/>
    <w:rsid w:val="00F11A59"/>
    <w:rsid w:val="00F11A8E"/>
    <w:rsid w:val="00F11AB6"/>
    <w:rsid w:val="00F11AFD"/>
    <w:rsid w:val="00F11DA5"/>
    <w:rsid w:val="00F11F8E"/>
    <w:rsid w:val="00F1206A"/>
    <w:rsid w:val="00F1216E"/>
    <w:rsid w:val="00F12183"/>
    <w:rsid w:val="00F121C0"/>
    <w:rsid w:val="00F1249F"/>
    <w:rsid w:val="00F125BD"/>
    <w:rsid w:val="00F12D6B"/>
    <w:rsid w:val="00F13033"/>
    <w:rsid w:val="00F1336A"/>
    <w:rsid w:val="00F135E1"/>
    <w:rsid w:val="00F135F5"/>
    <w:rsid w:val="00F13686"/>
    <w:rsid w:val="00F137A1"/>
    <w:rsid w:val="00F137C6"/>
    <w:rsid w:val="00F138A0"/>
    <w:rsid w:val="00F13C4D"/>
    <w:rsid w:val="00F13D9B"/>
    <w:rsid w:val="00F14192"/>
    <w:rsid w:val="00F142D7"/>
    <w:rsid w:val="00F14648"/>
    <w:rsid w:val="00F14728"/>
    <w:rsid w:val="00F1495C"/>
    <w:rsid w:val="00F149BD"/>
    <w:rsid w:val="00F14AFC"/>
    <w:rsid w:val="00F14BDE"/>
    <w:rsid w:val="00F14C99"/>
    <w:rsid w:val="00F151CD"/>
    <w:rsid w:val="00F152C4"/>
    <w:rsid w:val="00F154F0"/>
    <w:rsid w:val="00F157B0"/>
    <w:rsid w:val="00F15C9F"/>
    <w:rsid w:val="00F15D3D"/>
    <w:rsid w:val="00F15DD4"/>
    <w:rsid w:val="00F1600D"/>
    <w:rsid w:val="00F16180"/>
    <w:rsid w:val="00F16766"/>
    <w:rsid w:val="00F1682F"/>
    <w:rsid w:val="00F16B70"/>
    <w:rsid w:val="00F16CB2"/>
    <w:rsid w:val="00F173AB"/>
    <w:rsid w:val="00F173B6"/>
    <w:rsid w:val="00F17546"/>
    <w:rsid w:val="00F1767A"/>
    <w:rsid w:val="00F178AB"/>
    <w:rsid w:val="00F17D1A"/>
    <w:rsid w:val="00F20255"/>
    <w:rsid w:val="00F2032D"/>
    <w:rsid w:val="00F2050F"/>
    <w:rsid w:val="00F205EE"/>
    <w:rsid w:val="00F20628"/>
    <w:rsid w:val="00F207B0"/>
    <w:rsid w:val="00F20933"/>
    <w:rsid w:val="00F20C3C"/>
    <w:rsid w:val="00F20D04"/>
    <w:rsid w:val="00F20D25"/>
    <w:rsid w:val="00F21415"/>
    <w:rsid w:val="00F2150D"/>
    <w:rsid w:val="00F2162C"/>
    <w:rsid w:val="00F21A87"/>
    <w:rsid w:val="00F21B18"/>
    <w:rsid w:val="00F21C8F"/>
    <w:rsid w:val="00F21D19"/>
    <w:rsid w:val="00F22090"/>
    <w:rsid w:val="00F22207"/>
    <w:rsid w:val="00F222DA"/>
    <w:rsid w:val="00F22376"/>
    <w:rsid w:val="00F225AA"/>
    <w:rsid w:val="00F22919"/>
    <w:rsid w:val="00F22A8B"/>
    <w:rsid w:val="00F22BEF"/>
    <w:rsid w:val="00F22D01"/>
    <w:rsid w:val="00F22E49"/>
    <w:rsid w:val="00F23049"/>
    <w:rsid w:val="00F231FA"/>
    <w:rsid w:val="00F233A5"/>
    <w:rsid w:val="00F234AF"/>
    <w:rsid w:val="00F23641"/>
    <w:rsid w:val="00F2393C"/>
    <w:rsid w:val="00F239B7"/>
    <w:rsid w:val="00F23B88"/>
    <w:rsid w:val="00F23BF2"/>
    <w:rsid w:val="00F23C64"/>
    <w:rsid w:val="00F23D1D"/>
    <w:rsid w:val="00F24032"/>
    <w:rsid w:val="00F240AB"/>
    <w:rsid w:val="00F240E4"/>
    <w:rsid w:val="00F2445B"/>
    <w:rsid w:val="00F2447D"/>
    <w:rsid w:val="00F245D0"/>
    <w:rsid w:val="00F247F3"/>
    <w:rsid w:val="00F24872"/>
    <w:rsid w:val="00F24892"/>
    <w:rsid w:val="00F24C85"/>
    <w:rsid w:val="00F25206"/>
    <w:rsid w:val="00F252C4"/>
    <w:rsid w:val="00F25466"/>
    <w:rsid w:val="00F25496"/>
    <w:rsid w:val="00F255AF"/>
    <w:rsid w:val="00F255EC"/>
    <w:rsid w:val="00F25652"/>
    <w:rsid w:val="00F2572A"/>
    <w:rsid w:val="00F25743"/>
    <w:rsid w:val="00F25B35"/>
    <w:rsid w:val="00F25CDF"/>
    <w:rsid w:val="00F25D74"/>
    <w:rsid w:val="00F25D7E"/>
    <w:rsid w:val="00F25DBC"/>
    <w:rsid w:val="00F25F67"/>
    <w:rsid w:val="00F2609F"/>
    <w:rsid w:val="00F265B7"/>
    <w:rsid w:val="00F2663F"/>
    <w:rsid w:val="00F2670A"/>
    <w:rsid w:val="00F26727"/>
    <w:rsid w:val="00F26A6C"/>
    <w:rsid w:val="00F26F94"/>
    <w:rsid w:val="00F27019"/>
    <w:rsid w:val="00F27115"/>
    <w:rsid w:val="00F27304"/>
    <w:rsid w:val="00F273DE"/>
    <w:rsid w:val="00F273F5"/>
    <w:rsid w:val="00F27A2A"/>
    <w:rsid w:val="00F30262"/>
    <w:rsid w:val="00F303EA"/>
    <w:rsid w:val="00F30526"/>
    <w:rsid w:val="00F30B65"/>
    <w:rsid w:val="00F30D72"/>
    <w:rsid w:val="00F30E57"/>
    <w:rsid w:val="00F30F0B"/>
    <w:rsid w:val="00F31129"/>
    <w:rsid w:val="00F31151"/>
    <w:rsid w:val="00F312B5"/>
    <w:rsid w:val="00F31454"/>
    <w:rsid w:val="00F31761"/>
    <w:rsid w:val="00F31A3A"/>
    <w:rsid w:val="00F31E1D"/>
    <w:rsid w:val="00F32079"/>
    <w:rsid w:val="00F320C1"/>
    <w:rsid w:val="00F32134"/>
    <w:rsid w:val="00F321F5"/>
    <w:rsid w:val="00F32618"/>
    <w:rsid w:val="00F326B4"/>
    <w:rsid w:val="00F326BD"/>
    <w:rsid w:val="00F32CEE"/>
    <w:rsid w:val="00F32E21"/>
    <w:rsid w:val="00F32E2F"/>
    <w:rsid w:val="00F32EC5"/>
    <w:rsid w:val="00F3315E"/>
    <w:rsid w:val="00F335A6"/>
    <w:rsid w:val="00F335C2"/>
    <w:rsid w:val="00F337FB"/>
    <w:rsid w:val="00F33956"/>
    <w:rsid w:val="00F33D39"/>
    <w:rsid w:val="00F33E3B"/>
    <w:rsid w:val="00F34179"/>
    <w:rsid w:val="00F34390"/>
    <w:rsid w:val="00F344CE"/>
    <w:rsid w:val="00F3455B"/>
    <w:rsid w:val="00F34A78"/>
    <w:rsid w:val="00F34D23"/>
    <w:rsid w:val="00F34E3F"/>
    <w:rsid w:val="00F34ECD"/>
    <w:rsid w:val="00F34EE7"/>
    <w:rsid w:val="00F34FF9"/>
    <w:rsid w:val="00F35232"/>
    <w:rsid w:val="00F353B9"/>
    <w:rsid w:val="00F3566A"/>
    <w:rsid w:val="00F35678"/>
    <w:rsid w:val="00F35723"/>
    <w:rsid w:val="00F3597F"/>
    <w:rsid w:val="00F35B22"/>
    <w:rsid w:val="00F35E7A"/>
    <w:rsid w:val="00F36069"/>
    <w:rsid w:val="00F36341"/>
    <w:rsid w:val="00F36751"/>
    <w:rsid w:val="00F3683F"/>
    <w:rsid w:val="00F36C60"/>
    <w:rsid w:val="00F36D47"/>
    <w:rsid w:val="00F3703F"/>
    <w:rsid w:val="00F37273"/>
    <w:rsid w:val="00F372EA"/>
    <w:rsid w:val="00F3734D"/>
    <w:rsid w:val="00F374A2"/>
    <w:rsid w:val="00F3757F"/>
    <w:rsid w:val="00F379FE"/>
    <w:rsid w:val="00F37B70"/>
    <w:rsid w:val="00F37BFE"/>
    <w:rsid w:val="00F37E52"/>
    <w:rsid w:val="00F400D7"/>
    <w:rsid w:val="00F400FD"/>
    <w:rsid w:val="00F406D3"/>
    <w:rsid w:val="00F40C00"/>
    <w:rsid w:val="00F40DAC"/>
    <w:rsid w:val="00F40DD5"/>
    <w:rsid w:val="00F40F22"/>
    <w:rsid w:val="00F410A2"/>
    <w:rsid w:val="00F411A7"/>
    <w:rsid w:val="00F41293"/>
    <w:rsid w:val="00F412E7"/>
    <w:rsid w:val="00F413D5"/>
    <w:rsid w:val="00F414B3"/>
    <w:rsid w:val="00F417A2"/>
    <w:rsid w:val="00F417EA"/>
    <w:rsid w:val="00F41A3D"/>
    <w:rsid w:val="00F41B11"/>
    <w:rsid w:val="00F41CEA"/>
    <w:rsid w:val="00F41DF6"/>
    <w:rsid w:val="00F41F94"/>
    <w:rsid w:val="00F421A1"/>
    <w:rsid w:val="00F42381"/>
    <w:rsid w:val="00F423B0"/>
    <w:rsid w:val="00F424C2"/>
    <w:rsid w:val="00F42734"/>
    <w:rsid w:val="00F4283D"/>
    <w:rsid w:val="00F42B9B"/>
    <w:rsid w:val="00F42BA2"/>
    <w:rsid w:val="00F42CF6"/>
    <w:rsid w:val="00F42D2D"/>
    <w:rsid w:val="00F4320E"/>
    <w:rsid w:val="00F43950"/>
    <w:rsid w:val="00F4398B"/>
    <w:rsid w:val="00F43B50"/>
    <w:rsid w:val="00F43BD6"/>
    <w:rsid w:val="00F43C59"/>
    <w:rsid w:val="00F43C8B"/>
    <w:rsid w:val="00F43D0D"/>
    <w:rsid w:val="00F43FBF"/>
    <w:rsid w:val="00F43FD3"/>
    <w:rsid w:val="00F444CC"/>
    <w:rsid w:val="00F44608"/>
    <w:rsid w:val="00F44829"/>
    <w:rsid w:val="00F44BE0"/>
    <w:rsid w:val="00F44F86"/>
    <w:rsid w:val="00F4501B"/>
    <w:rsid w:val="00F453B7"/>
    <w:rsid w:val="00F4570E"/>
    <w:rsid w:val="00F4595F"/>
    <w:rsid w:val="00F45C4C"/>
    <w:rsid w:val="00F45D0A"/>
    <w:rsid w:val="00F45DB0"/>
    <w:rsid w:val="00F45F81"/>
    <w:rsid w:val="00F46529"/>
    <w:rsid w:val="00F4652C"/>
    <w:rsid w:val="00F465B5"/>
    <w:rsid w:val="00F467E5"/>
    <w:rsid w:val="00F46936"/>
    <w:rsid w:val="00F46940"/>
    <w:rsid w:val="00F46ACF"/>
    <w:rsid w:val="00F46BDE"/>
    <w:rsid w:val="00F47167"/>
    <w:rsid w:val="00F4720E"/>
    <w:rsid w:val="00F47433"/>
    <w:rsid w:val="00F47571"/>
    <w:rsid w:val="00F476AC"/>
    <w:rsid w:val="00F47B7B"/>
    <w:rsid w:val="00F47C4F"/>
    <w:rsid w:val="00F47E98"/>
    <w:rsid w:val="00F50010"/>
    <w:rsid w:val="00F50083"/>
    <w:rsid w:val="00F50189"/>
    <w:rsid w:val="00F501A7"/>
    <w:rsid w:val="00F507C9"/>
    <w:rsid w:val="00F507D4"/>
    <w:rsid w:val="00F50A12"/>
    <w:rsid w:val="00F50D2C"/>
    <w:rsid w:val="00F50E85"/>
    <w:rsid w:val="00F50F28"/>
    <w:rsid w:val="00F51220"/>
    <w:rsid w:val="00F51444"/>
    <w:rsid w:val="00F5156E"/>
    <w:rsid w:val="00F515DE"/>
    <w:rsid w:val="00F51703"/>
    <w:rsid w:val="00F5182C"/>
    <w:rsid w:val="00F51888"/>
    <w:rsid w:val="00F51BC8"/>
    <w:rsid w:val="00F51C31"/>
    <w:rsid w:val="00F51D7F"/>
    <w:rsid w:val="00F51DC0"/>
    <w:rsid w:val="00F5202A"/>
    <w:rsid w:val="00F5213F"/>
    <w:rsid w:val="00F52267"/>
    <w:rsid w:val="00F52689"/>
    <w:rsid w:val="00F5282E"/>
    <w:rsid w:val="00F52849"/>
    <w:rsid w:val="00F52AA8"/>
    <w:rsid w:val="00F52B5D"/>
    <w:rsid w:val="00F52BC0"/>
    <w:rsid w:val="00F52D81"/>
    <w:rsid w:val="00F532BE"/>
    <w:rsid w:val="00F53374"/>
    <w:rsid w:val="00F533B2"/>
    <w:rsid w:val="00F533B9"/>
    <w:rsid w:val="00F53414"/>
    <w:rsid w:val="00F5384F"/>
    <w:rsid w:val="00F53AE6"/>
    <w:rsid w:val="00F53B3F"/>
    <w:rsid w:val="00F53B89"/>
    <w:rsid w:val="00F53CBD"/>
    <w:rsid w:val="00F53EDF"/>
    <w:rsid w:val="00F53F31"/>
    <w:rsid w:val="00F54068"/>
    <w:rsid w:val="00F54469"/>
    <w:rsid w:val="00F54791"/>
    <w:rsid w:val="00F54BAE"/>
    <w:rsid w:val="00F54BED"/>
    <w:rsid w:val="00F54D60"/>
    <w:rsid w:val="00F54D6A"/>
    <w:rsid w:val="00F54DF6"/>
    <w:rsid w:val="00F55434"/>
    <w:rsid w:val="00F55986"/>
    <w:rsid w:val="00F559C7"/>
    <w:rsid w:val="00F55A97"/>
    <w:rsid w:val="00F55C4A"/>
    <w:rsid w:val="00F55C86"/>
    <w:rsid w:val="00F55CAE"/>
    <w:rsid w:val="00F55E3F"/>
    <w:rsid w:val="00F56440"/>
    <w:rsid w:val="00F56928"/>
    <w:rsid w:val="00F56A0F"/>
    <w:rsid w:val="00F56ADB"/>
    <w:rsid w:val="00F56B73"/>
    <w:rsid w:val="00F56BBF"/>
    <w:rsid w:val="00F56C66"/>
    <w:rsid w:val="00F56CEF"/>
    <w:rsid w:val="00F56D33"/>
    <w:rsid w:val="00F56DC8"/>
    <w:rsid w:val="00F56E0F"/>
    <w:rsid w:val="00F56FEA"/>
    <w:rsid w:val="00F57064"/>
    <w:rsid w:val="00F57408"/>
    <w:rsid w:val="00F57489"/>
    <w:rsid w:val="00F57854"/>
    <w:rsid w:val="00F578C6"/>
    <w:rsid w:val="00F57AEE"/>
    <w:rsid w:val="00F57D5B"/>
    <w:rsid w:val="00F60310"/>
    <w:rsid w:val="00F604DF"/>
    <w:rsid w:val="00F60647"/>
    <w:rsid w:val="00F60B42"/>
    <w:rsid w:val="00F60C95"/>
    <w:rsid w:val="00F60CB6"/>
    <w:rsid w:val="00F60F43"/>
    <w:rsid w:val="00F60FAC"/>
    <w:rsid w:val="00F61003"/>
    <w:rsid w:val="00F6104D"/>
    <w:rsid w:val="00F610BA"/>
    <w:rsid w:val="00F61176"/>
    <w:rsid w:val="00F61285"/>
    <w:rsid w:val="00F6137B"/>
    <w:rsid w:val="00F61663"/>
    <w:rsid w:val="00F617D6"/>
    <w:rsid w:val="00F618CE"/>
    <w:rsid w:val="00F61C0D"/>
    <w:rsid w:val="00F61CDA"/>
    <w:rsid w:val="00F61D7F"/>
    <w:rsid w:val="00F61E57"/>
    <w:rsid w:val="00F61F12"/>
    <w:rsid w:val="00F61FAF"/>
    <w:rsid w:val="00F62203"/>
    <w:rsid w:val="00F622D3"/>
    <w:rsid w:val="00F62306"/>
    <w:rsid w:val="00F623DC"/>
    <w:rsid w:val="00F62475"/>
    <w:rsid w:val="00F626BD"/>
    <w:rsid w:val="00F629B9"/>
    <w:rsid w:val="00F62B29"/>
    <w:rsid w:val="00F62D5D"/>
    <w:rsid w:val="00F62D7E"/>
    <w:rsid w:val="00F62E30"/>
    <w:rsid w:val="00F63105"/>
    <w:rsid w:val="00F63134"/>
    <w:rsid w:val="00F63169"/>
    <w:rsid w:val="00F6334F"/>
    <w:rsid w:val="00F63431"/>
    <w:rsid w:val="00F634FD"/>
    <w:rsid w:val="00F637AF"/>
    <w:rsid w:val="00F638CC"/>
    <w:rsid w:val="00F63B0D"/>
    <w:rsid w:val="00F63B7B"/>
    <w:rsid w:val="00F63DD6"/>
    <w:rsid w:val="00F63E7B"/>
    <w:rsid w:val="00F64099"/>
    <w:rsid w:val="00F64111"/>
    <w:rsid w:val="00F64506"/>
    <w:rsid w:val="00F647F0"/>
    <w:rsid w:val="00F6491E"/>
    <w:rsid w:val="00F64CCD"/>
    <w:rsid w:val="00F64D7A"/>
    <w:rsid w:val="00F64DB0"/>
    <w:rsid w:val="00F64EED"/>
    <w:rsid w:val="00F64F0E"/>
    <w:rsid w:val="00F651CF"/>
    <w:rsid w:val="00F6536B"/>
    <w:rsid w:val="00F654AE"/>
    <w:rsid w:val="00F65860"/>
    <w:rsid w:val="00F65A19"/>
    <w:rsid w:val="00F65AFE"/>
    <w:rsid w:val="00F65CF1"/>
    <w:rsid w:val="00F66031"/>
    <w:rsid w:val="00F660A7"/>
    <w:rsid w:val="00F665C3"/>
    <w:rsid w:val="00F6677C"/>
    <w:rsid w:val="00F668C4"/>
    <w:rsid w:val="00F66B5F"/>
    <w:rsid w:val="00F66B7A"/>
    <w:rsid w:val="00F66F13"/>
    <w:rsid w:val="00F67010"/>
    <w:rsid w:val="00F6708F"/>
    <w:rsid w:val="00F67670"/>
    <w:rsid w:val="00F67742"/>
    <w:rsid w:val="00F677BF"/>
    <w:rsid w:val="00F679C6"/>
    <w:rsid w:val="00F67B7F"/>
    <w:rsid w:val="00F67BE1"/>
    <w:rsid w:val="00F67FAB"/>
    <w:rsid w:val="00F70060"/>
    <w:rsid w:val="00F703FD"/>
    <w:rsid w:val="00F708B3"/>
    <w:rsid w:val="00F708D5"/>
    <w:rsid w:val="00F70F01"/>
    <w:rsid w:val="00F71326"/>
    <w:rsid w:val="00F71332"/>
    <w:rsid w:val="00F7136F"/>
    <w:rsid w:val="00F71CCF"/>
    <w:rsid w:val="00F7234F"/>
    <w:rsid w:val="00F725B6"/>
    <w:rsid w:val="00F728A8"/>
    <w:rsid w:val="00F7298B"/>
    <w:rsid w:val="00F72A8F"/>
    <w:rsid w:val="00F72C4F"/>
    <w:rsid w:val="00F72C92"/>
    <w:rsid w:val="00F72D98"/>
    <w:rsid w:val="00F72F34"/>
    <w:rsid w:val="00F7336B"/>
    <w:rsid w:val="00F734C5"/>
    <w:rsid w:val="00F73547"/>
    <w:rsid w:val="00F7365A"/>
    <w:rsid w:val="00F73863"/>
    <w:rsid w:val="00F73BAC"/>
    <w:rsid w:val="00F73DFF"/>
    <w:rsid w:val="00F74226"/>
    <w:rsid w:val="00F74420"/>
    <w:rsid w:val="00F74A68"/>
    <w:rsid w:val="00F74B47"/>
    <w:rsid w:val="00F74D16"/>
    <w:rsid w:val="00F74D99"/>
    <w:rsid w:val="00F74FF7"/>
    <w:rsid w:val="00F750C9"/>
    <w:rsid w:val="00F75173"/>
    <w:rsid w:val="00F751AD"/>
    <w:rsid w:val="00F752A4"/>
    <w:rsid w:val="00F75624"/>
    <w:rsid w:val="00F756A1"/>
    <w:rsid w:val="00F75749"/>
    <w:rsid w:val="00F757C8"/>
    <w:rsid w:val="00F75A85"/>
    <w:rsid w:val="00F75D8C"/>
    <w:rsid w:val="00F75D9A"/>
    <w:rsid w:val="00F75E88"/>
    <w:rsid w:val="00F75FDB"/>
    <w:rsid w:val="00F76043"/>
    <w:rsid w:val="00F76046"/>
    <w:rsid w:val="00F760DE"/>
    <w:rsid w:val="00F761D7"/>
    <w:rsid w:val="00F763A3"/>
    <w:rsid w:val="00F7671D"/>
    <w:rsid w:val="00F768AE"/>
    <w:rsid w:val="00F769DD"/>
    <w:rsid w:val="00F76D2D"/>
    <w:rsid w:val="00F76DD5"/>
    <w:rsid w:val="00F76DD9"/>
    <w:rsid w:val="00F76E7E"/>
    <w:rsid w:val="00F7710A"/>
    <w:rsid w:val="00F772B3"/>
    <w:rsid w:val="00F7735D"/>
    <w:rsid w:val="00F774BA"/>
    <w:rsid w:val="00F77871"/>
    <w:rsid w:val="00F77920"/>
    <w:rsid w:val="00F7799B"/>
    <w:rsid w:val="00F77B65"/>
    <w:rsid w:val="00F77C42"/>
    <w:rsid w:val="00F77D10"/>
    <w:rsid w:val="00F77FEA"/>
    <w:rsid w:val="00F77FF1"/>
    <w:rsid w:val="00F80004"/>
    <w:rsid w:val="00F800DC"/>
    <w:rsid w:val="00F80574"/>
    <w:rsid w:val="00F8066D"/>
    <w:rsid w:val="00F806D2"/>
    <w:rsid w:val="00F80708"/>
    <w:rsid w:val="00F80711"/>
    <w:rsid w:val="00F80758"/>
    <w:rsid w:val="00F8079F"/>
    <w:rsid w:val="00F808F6"/>
    <w:rsid w:val="00F809C3"/>
    <w:rsid w:val="00F80A01"/>
    <w:rsid w:val="00F80BF4"/>
    <w:rsid w:val="00F80DF0"/>
    <w:rsid w:val="00F8105A"/>
    <w:rsid w:val="00F8122A"/>
    <w:rsid w:val="00F812E8"/>
    <w:rsid w:val="00F81531"/>
    <w:rsid w:val="00F815E1"/>
    <w:rsid w:val="00F815F1"/>
    <w:rsid w:val="00F816F7"/>
    <w:rsid w:val="00F819B4"/>
    <w:rsid w:val="00F81A4A"/>
    <w:rsid w:val="00F81B40"/>
    <w:rsid w:val="00F81E7C"/>
    <w:rsid w:val="00F82231"/>
    <w:rsid w:val="00F82297"/>
    <w:rsid w:val="00F82436"/>
    <w:rsid w:val="00F82451"/>
    <w:rsid w:val="00F825D9"/>
    <w:rsid w:val="00F8268F"/>
    <w:rsid w:val="00F828C2"/>
    <w:rsid w:val="00F82A65"/>
    <w:rsid w:val="00F82B37"/>
    <w:rsid w:val="00F82F05"/>
    <w:rsid w:val="00F82FE7"/>
    <w:rsid w:val="00F83012"/>
    <w:rsid w:val="00F8314B"/>
    <w:rsid w:val="00F83203"/>
    <w:rsid w:val="00F8325B"/>
    <w:rsid w:val="00F83310"/>
    <w:rsid w:val="00F833F1"/>
    <w:rsid w:val="00F834CF"/>
    <w:rsid w:val="00F835C7"/>
    <w:rsid w:val="00F836DA"/>
    <w:rsid w:val="00F837E2"/>
    <w:rsid w:val="00F83808"/>
    <w:rsid w:val="00F8389C"/>
    <w:rsid w:val="00F84206"/>
    <w:rsid w:val="00F842D2"/>
    <w:rsid w:val="00F842D6"/>
    <w:rsid w:val="00F84356"/>
    <w:rsid w:val="00F845E6"/>
    <w:rsid w:val="00F8483B"/>
    <w:rsid w:val="00F848E8"/>
    <w:rsid w:val="00F84DD5"/>
    <w:rsid w:val="00F84DE0"/>
    <w:rsid w:val="00F84E24"/>
    <w:rsid w:val="00F84E41"/>
    <w:rsid w:val="00F84F07"/>
    <w:rsid w:val="00F84F26"/>
    <w:rsid w:val="00F84F4A"/>
    <w:rsid w:val="00F85A71"/>
    <w:rsid w:val="00F85C68"/>
    <w:rsid w:val="00F86241"/>
    <w:rsid w:val="00F86282"/>
    <w:rsid w:val="00F863F7"/>
    <w:rsid w:val="00F86978"/>
    <w:rsid w:val="00F869B6"/>
    <w:rsid w:val="00F86A90"/>
    <w:rsid w:val="00F86B3B"/>
    <w:rsid w:val="00F86CA6"/>
    <w:rsid w:val="00F86E12"/>
    <w:rsid w:val="00F86F4B"/>
    <w:rsid w:val="00F871BF"/>
    <w:rsid w:val="00F87461"/>
    <w:rsid w:val="00F8779D"/>
    <w:rsid w:val="00F87935"/>
    <w:rsid w:val="00F87DB9"/>
    <w:rsid w:val="00F902B7"/>
    <w:rsid w:val="00F905E1"/>
    <w:rsid w:val="00F90606"/>
    <w:rsid w:val="00F9079B"/>
    <w:rsid w:val="00F909D0"/>
    <w:rsid w:val="00F90B12"/>
    <w:rsid w:val="00F90C4C"/>
    <w:rsid w:val="00F91100"/>
    <w:rsid w:val="00F91788"/>
    <w:rsid w:val="00F9190B"/>
    <w:rsid w:val="00F9199B"/>
    <w:rsid w:val="00F91C93"/>
    <w:rsid w:val="00F91D8F"/>
    <w:rsid w:val="00F91F72"/>
    <w:rsid w:val="00F91FE6"/>
    <w:rsid w:val="00F920E9"/>
    <w:rsid w:val="00F92148"/>
    <w:rsid w:val="00F921F5"/>
    <w:rsid w:val="00F92238"/>
    <w:rsid w:val="00F92260"/>
    <w:rsid w:val="00F92602"/>
    <w:rsid w:val="00F92820"/>
    <w:rsid w:val="00F9285E"/>
    <w:rsid w:val="00F92DBA"/>
    <w:rsid w:val="00F92EB1"/>
    <w:rsid w:val="00F93017"/>
    <w:rsid w:val="00F9320D"/>
    <w:rsid w:val="00F932DF"/>
    <w:rsid w:val="00F937AA"/>
    <w:rsid w:val="00F9395F"/>
    <w:rsid w:val="00F93B24"/>
    <w:rsid w:val="00F93E59"/>
    <w:rsid w:val="00F93E88"/>
    <w:rsid w:val="00F94028"/>
    <w:rsid w:val="00F940B1"/>
    <w:rsid w:val="00F94265"/>
    <w:rsid w:val="00F9433C"/>
    <w:rsid w:val="00F94754"/>
    <w:rsid w:val="00F947B7"/>
    <w:rsid w:val="00F94A5C"/>
    <w:rsid w:val="00F94F94"/>
    <w:rsid w:val="00F94FCB"/>
    <w:rsid w:val="00F95008"/>
    <w:rsid w:val="00F95086"/>
    <w:rsid w:val="00F95565"/>
    <w:rsid w:val="00F95622"/>
    <w:rsid w:val="00F95E33"/>
    <w:rsid w:val="00F95FA7"/>
    <w:rsid w:val="00F960BB"/>
    <w:rsid w:val="00F961CD"/>
    <w:rsid w:val="00F9696B"/>
    <w:rsid w:val="00F96C89"/>
    <w:rsid w:val="00F96C9A"/>
    <w:rsid w:val="00F96DB3"/>
    <w:rsid w:val="00F96E62"/>
    <w:rsid w:val="00F970A5"/>
    <w:rsid w:val="00F971EC"/>
    <w:rsid w:val="00F972D2"/>
    <w:rsid w:val="00F97696"/>
    <w:rsid w:val="00F97814"/>
    <w:rsid w:val="00F9781A"/>
    <w:rsid w:val="00F97C86"/>
    <w:rsid w:val="00FA011F"/>
    <w:rsid w:val="00FA0508"/>
    <w:rsid w:val="00FA05DC"/>
    <w:rsid w:val="00FA05E2"/>
    <w:rsid w:val="00FA066A"/>
    <w:rsid w:val="00FA06A2"/>
    <w:rsid w:val="00FA0796"/>
    <w:rsid w:val="00FA090C"/>
    <w:rsid w:val="00FA0A68"/>
    <w:rsid w:val="00FA0B7B"/>
    <w:rsid w:val="00FA0F6F"/>
    <w:rsid w:val="00FA1078"/>
    <w:rsid w:val="00FA10E7"/>
    <w:rsid w:val="00FA1309"/>
    <w:rsid w:val="00FA1434"/>
    <w:rsid w:val="00FA151A"/>
    <w:rsid w:val="00FA16F4"/>
    <w:rsid w:val="00FA195F"/>
    <w:rsid w:val="00FA1AF2"/>
    <w:rsid w:val="00FA1CEC"/>
    <w:rsid w:val="00FA1DED"/>
    <w:rsid w:val="00FA1E3E"/>
    <w:rsid w:val="00FA1F77"/>
    <w:rsid w:val="00FA1F8D"/>
    <w:rsid w:val="00FA1FDD"/>
    <w:rsid w:val="00FA20E4"/>
    <w:rsid w:val="00FA2750"/>
    <w:rsid w:val="00FA2A44"/>
    <w:rsid w:val="00FA2A50"/>
    <w:rsid w:val="00FA2A54"/>
    <w:rsid w:val="00FA2B7D"/>
    <w:rsid w:val="00FA2BBF"/>
    <w:rsid w:val="00FA2CE5"/>
    <w:rsid w:val="00FA2D28"/>
    <w:rsid w:val="00FA2F98"/>
    <w:rsid w:val="00FA321A"/>
    <w:rsid w:val="00FA32B8"/>
    <w:rsid w:val="00FA33D9"/>
    <w:rsid w:val="00FA34E8"/>
    <w:rsid w:val="00FA365D"/>
    <w:rsid w:val="00FA3A27"/>
    <w:rsid w:val="00FA3C25"/>
    <w:rsid w:val="00FA3DC0"/>
    <w:rsid w:val="00FA3EAB"/>
    <w:rsid w:val="00FA41AA"/>
    <w:rsid w:val="00FA42F2"/>
    <w:rsid w:val="00FA46B9"/>
    <w:rsid w:val="00FA471E"/>
    <w:rsid w:val="00FA49C7"/>
    <w:rsid w:val="00FA4A06"/>
    <w:rsid w:val="00FA4D0B"/>
    <w:rsid w:val="00FA51FC"/>
    <w:rsid w:val="00FA54BC"/>
    <w:rsid w:val="00FA55AB"/>
    <w:rsid w:val="00FA55CD"/>
    <w:rsid w:val="00FA5654"/>
    <w:rsid w:val="00FA5A90"/>
    <w:rsid w:val="00FA5AE5"/>
    <w:rsid w:val="00FA5E0B"/>
    <w:rsid w:val="00FA5E8A"/>
    <w:rsid w:val="00FA5EB2"/>
    <w:rsid w:val="00FA5F3C"/>
    <w:rsid w:val="00FA637F"/>
    <w:rsid w:val="00FA6400"/>
    <w:rsid w:val="00FA644A"/>
    <w:rsid w:val="00FA64F4"/>
    <w:rsid w:val="00FA666D"/>
    <w:rsid w:val="00FA6760"/>
    <w:rsid w:val="00FA6971"/>
    <w:rsid w:val="00FA6B45"/>
    <w:rsid w:val="00FA6CA9"/>
    <w:rsid w:val="00FA6E2D"/>
    <w:rsid w:val="00FA6F89"/>
    <w:rsid w:val="00FA706E"/>
    <w:rsid w:val="00FA7412"/>
    <w:rsid w:val="00FA7757"/>
    <w:rsid w:val="00FA7A31"/>
    <w:rsid w:val="00FA7B23"/>
    <w:rsid w:val="00FA7D8F"/>
    <w:rsid w:val="00FA7D93"/>
    <w:rsid w:val="00FA7DE8"/>
    <w:rsid w:val="00FA7E99"/>
    <w:rsid w:val="00FA7F8F"/>
    <w:rsid w:val="00FB0103"/>
    <w:rsid w:val="00FB0405"/>
    <w:rsid w:val="00FB04A0"/>
    <w:rsid w:val="00FB0573"/>
    <w:rsid w:val="00FB05E5"/>
    <w:rsid w:val="00FB07E9"/>
    <w:rsid w:val="00FB0953"/>
    <w:rsid w:val="00FB09CF"/>
    <w:rsid w:val="00FB0E13"/>
    <w:rsid w:val="00FB151B"/>
    <w:rsid w:val="00FB15D5"/>
    <w:rsid w:val="00FB19AF"/>
    <w:rsid w:val="00FB1C07"/>
    <w:rsid w:val="00FB1E1E"/>
    <w:rsid w:val="00FB1E87"/>
    <w:rsid w:val="00FB1FCC"/>
    <w:rsid w:val="00FB21CD"/>
    <w:rsid w:val="00FB2201"/>
    <w:rsid w:val="00FB25E6"/>
    <w:rsid w:val="00FB26D2"/>
    <w:rsid w:val="00FB2751"/>
    <w:rsid w:val="00FB279C"/>
    <w:rsid w:val="00FB2991"/>
    <w:rsid w:val="00FB2ABE"/>
    <w:rsid w:val="00FB2F27"/>
    <w:rsid w:val="00FB2F57"/>
    <w:rsid w:val="00FB321C"/>
    <w:rsid w:val="00FB332D"/>
    <w:rsid w:val="00FB339C"/>
    <w:rsid w:val="00FB3467"/>
    <w:rsid w:val="00FB35BC"/>
    <w:rsid w:val="00FB3C63"/>
    <w:rsid w:val="00FB3E56"/>
    <w:rsid w:val="00FB40B5"/>
    <w:rsid w:val="00FB46B6"/>
    <w:rsid w:val="00FB4793"/>
    <w:rsid w:val="00FB47F5"/>
    <w:rsid w:val="00FB4A41"/>
    <w:rsid w:val="00FB4AF3"/>
    <w:rsid w:val="00FB4DA8"/>
    <w:rsid w:val="00FB4EDF"/>
    <w:rsid w:val="00FB4FD0"/>
    <w:rsid w:val="00FB5267"/>
    <w:rsid w:val="00FB5587"/>
    <w:rsid w:val="00FB559B"/>
    <w:rsid w:val="00FB55D4"/>
    <w:rsid w:val="00FB562A"/>
    <w:rsid w:val="00FB5681"/>
    <w:rsid w:val="00FB575E"/>
    <w:rsid w:val="00FB59D6"/>
    <w:rsid w:val="00FB5AFE"/>
    <w:rsid w:val="00FB5B18"/>
    <w:rsid w:val="00FB5C31"/>
    <w:rsid w:val="00FB5D9C"/>
    <w:rsid w:val="00FB5ECA"/>
    <w:rsid w:val="00FB5ED1"/>
    <w:rsid w:val="00FB60F1"/>
    <w:rsid w:val="00FB6282"/>
    <w:rsid w:val="00FB63F4"/>
    <w:rsid w:val="00FB6494"/>
    <w:rsid w:val="00FB659D"/>
    <w:rsid w:val="00FB670C"/>
    <w:rsid w:val="00FB69BF"/>
    <w:rsid w:val="00FB6C41"/>
    <w:rsid w:val="00FB6DC8"/>
    <w:rsid w:val="00FB74A2"/>
    <w:rsid w:val="00FB7806"/>
    <w:rsid w:val="00FB78C8"/>
    <w:rsid w:val="00FB7DA7"/>
    <w:rsid w:val="00FB7DD2"/>
    <w:rsid w:val="00FB7E19"/>
    <w:rsid w:val="00FC00EF"/>
    <w:rsid w:val="00FC0115"/>
    <w:rsid w:val="00FC02AF"/>
    <w:rsid w:val="00FC0419"/>
    <w:rsid w:val="00FC0756"/>
    <w:rsid w:val="00FC0877"/>
    <w:rsid w:val="00FC0927"/>
    <w:rsid w:val="00FC095C"/>
    <w:rsid w:val="00FC0AC7"/>
    <w:rsid w:val="00FC0FEC"/>
    <w:rsid w:val="00FC1049"/>
    <w:rsid w:val="00FC1409"/>
    <w:rsid w:val="00FC1797"/>
    <w:rsid w:val="00FC1B24"/>
    <w:rsid w:val="00FC1C8F"/>
    <w:rsid w:val="00FC1F01"/>
    <w:rsid w:val="00FC1F87"/>
    <w:rsid w:val="00FC2040"/>
    <w:rsid w:val="00FC20C3"/>
    <w:rsid w:val="00FC224E"/>
    <w:rsid w:val="00FC26E2"/>
    <w:rsid w:val="00FC2877"/>
    <w:rsid w:val="00FC2A24"/>
    <w:rsid w:val="00FC2C7E"/>
    <w:rsid w:val="00FC2ED1"/>
    <w:rsid w:val="00FC31DE"/>
    <w:rsid w:val="00FC327C"/>
    <w:rsid w:val="00FC3310"/>
    <w:rsid w:val="00FC36C2"/>
    <w:rsid w:val="00FC3838"/>
    <w:rsid w:val="00FC39AE"/>
    <w:rsid w:val="00FC3B38"/>
    <w:rsid w:val="00FC482A"/>
    <w:rsid w:val="00FC49B0"/>
    <w:rsid w:val="00FC4B10"/>
    <w:rsid w:val="00FC4C40"/>
    <w:rsid w:val="00FC4CB1"/>
    <w:rsid w:val="00FC4F76"/>
    <w:rsid w:val="00FC5035"/>
    <w:rsid w:val="00FC511A"/>
    <w:rsid w:val="00FC550C"/>
    <w:rsid w:val="00FC5677"/>
    <w:rsid w:val="00FC56BF"/>
    <w:rsid w:val="00FC5A5C"/>
    <w:rsid w:val="00FC5C48"/>
    <w:rsid w:val="00FC5F2A"/>
    <w:rsid w:val="00FC61A4"/>
    <w:rsid w:val="00FC640D"/>
    <w:rsid w:val="00FC6420"/>
    <w:rsid w:val="00FC64C2"/>
    <w:rsid w:val="00FC6B04"/>
    <w:rsid w:val="00FC6B44"/>
    <w:rsid w:val="00FC6DFD"/>
    <w:rsid w:val="00FC6F27"/>
    <w:rsid w:val="00FC6F6E"/>
    <w:rsid w:val="00FC7036"/>
    <w:rsid w:val="00FC7914"/>
    <w:rsid w:val="00FC7E4F"/>
    <w:rsid w:val="00FD004B"/>
    <w:rsid w:val="00FD0102"/>
    <w:rsid w:val="00FD043B"/>
    <w:rsid w:val="00FD07DD"/>
    <w:rsid w:val="00FD0EFD"/>
    <w:rsid w:val="00FD0F77"/>
    <w:rsid w:val="00FD1080"/>
    <w:rsid w:val="00FD110E"/>
    <w:rsid w:val="00FD138A"/>
    <w:rsid w:val="00FD1457"/>
    <w:rsid w:val="00FD1896"/>
    <w:rsid w:val="00FD1B26"/>
    <w:rsid w:val="00FD1CC2"/>
    <w:rsid w:val="00FD2040"/>
    <w:rsid w:val="00FD21C8"/>
    <w:rsid w:val="00FD22C5"/>
    <w:rsid w:val="00FD26D3"/>
    <w:rsid w:val="00FD27D7"/>
    <w:rsid w:val="00FD295B"/>
    <w:rsid w:val="00FD2CC7"/>
    <w:rsid w:val="00FD2CEB"/>
    <w:rsid w:val="00FD337D"/>
    <w:rsid w:val="00FD343E"/>
    <w:rsid w:val="00FD36E8"/>
    <w:rsid w:val="00FD3B9F"/>
    <w:rsid w:val="00FD3CA2"/>
    <w:rsid w:val="00FD3F16"/>
    <w:rsid w:val="00FD41D7"/>
    <w:rsid w:val="00FD4295"/>
    <w:rsid w:val="00FD44C9"/>
    <w:rsid w:val="00FD4718"/>
    <w:rsid w:val="00FD48DD"/>
    <w:rsid w:val="00FD4A7B"/>
    <w:rsid w:val="00FD4CC5"/>
    <w:rsid w:val="00FD4E5B"/>
    <w:rsid w:val="00FD512D"/>
    <w:rsid w:val="00FD528F"/>
    <w:rsid w:val="00FD553F"/>
    <w:rsid w:val="00FD5608"/>
    <w:rsid w:val="00FD57EA"/>
    <w:rsid w:val="00FD58A6"/>
    <w:rsid w:val="00FD5928"/>
    <w:rsid w:val="00FD5A75"/>
    <w:rsid w:val="00FD5E01"/>
    <w:rsid w:val="00FD5ED2"/>
    <w:rsid w:val="00FD5F26"/>
    <w:rsid w:val="00FD63A5"/>
    <w:rsid w:val="00FD6481"/>
    <w:rsid w:val="00FD672E"/>
    <w:rsid w:val="00FD6735"/>
    <w:rsid w:val="00FD67D6"/>
    <w:rsid w:val="00FD6C6F"/>
    <w:rsid w:val="00FD6CEB"/>
    <w:rsid w:val="00FD6DDC"/>
    <w:rsid w:val="00FD6EF7"/>
    <w:rsid w:val="00FD6FC0"/>
    <w:rsid w:val="00FD7244"/>
    <w:rsid w:val="00FD7248"/>
    <w:rsid w:val="00FD7302"/>
    <w:rsid w:val="00FD73B1"/>
    <w:rsid w:val="00FD7624"/>
    <w:rsid w:val="00FD781D"/>
    <w:rsid w:val="00FD79CD"/>
    <w:rsid w:val="00FD79F2"/>
    <w:rsid w:val="00FD7C48"/>
    <w:rsid w:val="00FD7F19"/>
    <w:rsid w:val="00FE006A"/>
    <w:rsid w:val="00FE00BE"/>
    <w:rsid w:val="00FE020D"/>
    <w:rsid w:val="00FE0322"/>
    <w:rsid w:val="00FE073D"/>
    <w:rsid w:val="00FE0B67"/>
    <w:rsid w:val="00FE0C96"/>
    <w:rsid w:val="00FE0E9B"/>
    <w:rsid w:val="00FE118B"/>
    <w:rsid w:val="00FE11DE"/>
    <w:rsid w:val="00FE12C3"/>
    <w:rsid w:val="00FE1344"/>
    <w:rsid w:val="00FE15DD"/>
    <w:rsid w:val="00FE182D"/>
    <w:rsid w:val="00FE1D84"/>
    <w:rsid w:val="00FE21CA"/>
    <w:rsid w:val="00FE25D2"/>
    <w:rsid w:val="00FE25FC"/>
    <w:rsid w:val="00FE27A8"/>
    <w:rsid w:val="00FE29CB"/>
    <w:rsid w:val="00FE2C4B"/>
    <w:rsid w:val="00FE2FED"/>
    <w:rsid w:val="00FE3296"/>
    <w:rsid w:val="00FE35DB"/>
    <w:rsid w:val="00FE3818"/>
    <w:rsid w:val="00FE398A"/>
    <w:rsid w:val="00FE3D1C"/>
    <w:rsid w:val="00FE3D75"/>
    <w:rsid w:val="00FE3DD0"/>
    <w:rsid w:val="00FE3FE9"/>
    <w:rsid w:val="00FE40F3"/>
    <w:rsid w:val="00FE42BE"/>
    <w:rsid w:val="00FE453B"/>
    <w:rsid w:val="00FE45C9"/>
    <w:rsid w:val="00FE47B1"/>
    <w:rsid w:val="00FE47C2"/>
    <w:rsid w:val="00FE50BB"/>
    <w:rsid w:val="00FE5536"/>
    <w:rsid w:val="00FE55BB"/>
    <w:rsid w:val="00FE5794"/>
    <w:rsid w:val="00FE57F9"/>
    <w:rsid w:val="00FE5834"/>
    <w:rsid w:val="00FE5943"/>
    <w:rsid w:val="00FE5A0E"/>
    <w:rsid w:val="00FE5A59"/>
    <w:rsid w:val="00FE6277"/>
    <w:rsid w:val="00FE6304"/>
    <w:rsid w:val="00FE630C"/>
    <w:rsid w:val="00FE635B"/>
    <w:rsid w:val="00FE645D"/>
    <w:rsid w:val="00FE653A"/>
    <w:rsid w:val="00FE65C6"/>
    <w:rsid w:val="00FE6868"/>
    <w:rsid w:val="00FE69D0"/>
    <w:rsid w:val="00FE6AF7"/>
    <w:rsid w:val="00FE6BB2"/>
    <w:rsid w:val="00FE6EF9"/>
    <w:rsid w:val="00FE6EFA"/>
    <w:rsid w:val="00FE7601"/>
    <w:rsid w:val="00FE7705"/>
    <w:rsid w:val="00FE7766"/>
    <w:rsid w:val="00FE7AB7"/>
    <w:rsid w:val="00FE7C68"/>
    <w:rsid w:val="00FE7DE1"/>
    <w:rsid w:val="00FE7EF1"/>
    <w:rsid w:val="00FE7F92"/>
    <w:rsid w:val="00FF00BF"/>
    <w:rsid w:val="00FF01AE"/>
    <w:rsid w:val="00FF0421"/>
    <w:rsid w:val="00FF05F4"/>
    <w:rsid w:val="00FF0705"/>
    <w:rsid w:val="00FF0808"/>
    <w:rsid w:val="00FF081A"/>
    <w:rsid w:val="00FF0A1D"/>
    <w:rsid w:val="00FF0AE6"/>
    <w:rsid w:val="00FF0C71"/>
    <w:rsid w:val="00FF0E81"/>
    <w:rsid w:val="00FF10AB"/>
    <w:rsid w:val="00FF1173"/>
    <w:rsid w:val="00FF1B4A"/>
    <w:rsid w:val="00FF1E33"/>
    <w:rsid w:val="00FF1E38"/>
    <w:rsid w:val="00FF1FDC"/>
    <w:rsid w:val="00FF20D3"/>
    <w:rsid w:val="00FF246E"/>
    <w:rsid w:val="00FF286D"/>
    <w:rsid w:val="00FF2AEA"/>
    <w:rsid w:val="00FF2C88"/>
    <w:rsid w:val="00FF2E24"/>
    <w:rsid w:val="00FF3046"/>
    <w:rsid w:val="00FF3270"/>
    <w:rsid w:val="00FF3977"/>
    <w:rsid w:val="00FF3B1F"/>
    <w:rsid w:val="00FF4154"/>
    <w:rsid w:val="00FF43CA"/>
    <w:rsid w:val="00FF4536"/>
    <w:rsid w:val="00FF465D"/>
    <w:rsid w:val="00FF4721"/>
    <w:rsid w:val="00FF4835"/>
    <w:rsid w:val="00FF4932"/>
    <w:rsid w:val="00FF4C53"/>
    <w:rsid w:val="00FF4FE6"/>
    <w:rsid w:val="00FF57C5"/>
    <w:rsid w:val="00FF5AFE"/>
    <w:rsid w:val="00FF5C8A"/>
    <w:rsid w:val="00FF5DA8"/>
    <w:rsid w:val="00FF5F0E"/>
    <w:rsid w:val="00FF6123"/>
    <w:rsid w:val="00FF6387"/>
    <w:rsid w:val="00FF65B9"/>
    <w:rsid w:val="00FF66A6"/>
    <w:rsid w:val="00FF68A6"/>
    <w:rsid w:val="00FF693C"/>
    <w:rsid w:val="00FF69E0"/>
    <w:rsid w:val="00FF6D95"/>
    <w:rsid w:val="00FF6DEF"/>
    <w:rsid w:val="00FF6E01"/>
    <w:rsid w:val="00FF6E6C"/>
    <w:rsid w:val="00FF6F0E"/>
    <w:rsid w:val="00FF71AC"/>
    <w:rsid w:val="00FF7462"/>
    <w:rsid w:val="00FF74F4"/>
    <w:rsid w:val="0103731B"/>
    <w:rsid w:val="01079D95"/>
    <w:rsid w:val="010C1D98"/>
    <w:rsid w:val="0118C1FF"/>
    <w:rsid w:val="01310801"/>
    <w:rsid w:val="013C12B6"/>
    <w:rsid w:val="01549595"/>
    <w:rsid w:val="0167FAAC"/>
    <w:rsid w:val="0167FD3E"/>
    <w:rsid w:val="016D7B9D"/>
    <w:rsid w:val="0193B72C"/>
    <w:rsid w:val="01B9972C"/>
    <w:rsid w:val="01BB7ED9"/>
    <w:rsid w:val="01E8FFAE"/>
    <w:rsid w:val="01EE73AD"/>
    <w:rsid w:val="0208C0D6"/>
    <w:rsid w:val="020D5CBC"/>
    <w:rsid w:val="0211237B"/>
    <w:rsid w:val="02184FAF"/>
    <w:rsid w:val="023390D0"/>
    <w:rsid w:val="023B14D4"/>
    <w:rsid w:val="0240E689"/>
    <w:rsid w:val="024A79B8"/>
    <w:rsid w:val="0259A49E"/>
    <w:rsid w:val="0274D95D"/>
    <w:rsid w:val="027C4F09"/>
    <w:rsid w:val="027CBC5C"/>
    <w:rsid w:val="02973F8D"/>
    <w:rsid w:val="02B19139"/>
    <w:rsid w:val="02B64BFE"/>
    <w:rsid w:val="02BEE6CB"/>
    <w:rsid w:val="02C9660C"/>
    <w:rsid w:val="02D7CA0F"/>
    <w:rsid w:val="0308948F"/>
    <w:rsid w:val="031044A7"/>
    <w:rsid w:val="0346874E"/>
    <w:rsid w:val="03486217"/>
    <w:rsid w:val="034B45E4"/>
    <w:rsid w:val="03596AF1"/>
    <w:rsid w:val="03620BD8"/>
    <w:rsid w:val="036B2B56"/>
    <w:rsid w:val="038D914D"/>
    <w:rsid w:val="039014F9"/>
    <w:rsid w:val="039AB3CF"/>
    <w:rsid w:val="03E199EA"/>
    <w:rsid w:val="03E2C29B"/>
    <w:rsid w:val="03E58912"/>
    <w:rsid w:val="03F7D36D"/>
    <w:rsid w:val="0405569A"/>
    <w:rsid w:val="040A104D"/>
    <w:rsid w:val="0412F43E"/>
    <w:rsid w:val="041EBE73"/>
    <w:rsid w:val="042E6F9B"/>
    <w:rsid w:val="043A4EC2"/>
    <w:rsid w:val="043B4049"/>
    <w:rsid w:val="044BE025"/>
    <w:rsid w:val="04742540"/>
    <w:rsid w:val="04841DA2"/>
    <w:rsid w:val="04883551"/>
    <w:rsid w:val="04913247"/>
    <w:rsid w:val="04A415BC"/>
    <w:rsid w:val="04BD2F3D"/>
    <w:rsid w:val="04C8BA82"/>
    <w:rsid w:val="04F58A2C"/>
    <w:rsid w:val="04F6A322"/>
    <w:rsid w:val="04FB6DC0"/>
    <w:rsid w:val="05096D75"/>
    <w:rsid w:val="051D5A70"/>
    <w:rsid w:val="054AF297"/>
    <w:rsid w:val="059A2372"/>
    <w:rsid w:val="05A705CD"/>
    <w:rsid w:val="05B063C9"/>
    <w:rsid w:val="05B723C2"/>
    <w:rsid w:val="05B91EBD"/>
    <w:rsid w:val="05C6ACF7"/>
    <w:rsid w:val="05EA4604"/>
    <w:rsid w:val="05EB04BA"/>
    <w:rsid w:val="0616F72D"/>
    <w:rsid w:val="06201E56"/>
    <w:rsid w:val="06217716"/>
    <w:rsid w:val="062456F6"/>
    <w:rsid w:val="0624F0C9"/>
    <w:rsid w:val="0633B6E5"/>
    <w:rsid w:val="063925C8"/>
    <w:rsid w:val="06A36B17"/>
    <w:rsid w:val="06A596D6"/>
    <w:rsid w:val="06A7F11E"/>
    <w:rsid w:val="06B702D3"/>
    <w:rsid w:val="06B71B92"/>
    <w:rsid w:val="06C248AA"/>
    <w:rsid w:val="06D84035"/>
    <w:rsid w:val="0701AD95"/>
    <w:rsid w:val="0716C5B8"/>
    <w:rsid w:val="0724F559"/>
    <w:rsid w:val="0733D113"/>
    <w:rsid w:val="0741E3F7"/>
    <w:rsid w:val="0741FCC3"/>
    <w:rsid w:val="074219D6"/>
    <w:rsid w:val="074D7C56"/>
    <w:rsid w:val="075D0CB8"/>
    <w:rsid w:val="075D19AE"/>
    <w:rsid w:val="076F2031"/>
    <w:rsid w:val="0783CAF1"/>
    <w:rsid w:val="078E4667"/>
    <w:rsid w:val="07A3CC81"/>
    <w:rsid w:val="07AD7E8A"/>
    <w:rsid w:val="07D8C112"/>
    <w:rsid w:val="07E63FA1"/>
    <w:rsid w:val="07F922EB"/>
    <w:rsid w:val="07FCC63D"/>
    <w:rsid w:val="07FE8EEA"/>
    <w:rsid w:val="080103CF"/>
    <w:rsid w:val="08074CC2"/>
    <w:rsid w:val="080DD775"/>
    <w:rsid w:val="081A27B3"/>
    <w:rsid w:val="081A8A58"/>
    <w:rsid w:val="0837DC91"/>
    <w:rsid w:val="0844E983"/>
    <w:rsid w:val="08473C83"/>
    <w:rsid w:val="084FBE9D"/>
    <w:rsid w:val="08795E36"/>
    <w:rsid w:val="088972CB"/>
    <w:rsid w:val="089AAB12"/>
    <w:rsid w:val="08C8FAA2"/>
    <w:rsid w:val="08D1D5A6"/>
    <w:rsid w:val="08D66B2C"/>
    <w:rsid w:val="08EDB9B0"/>
    <w:rsid w:val="09251DE7"/>
    <w:rsid w:val="093FFC59"/>
    <w:rsid w:val="094855D1"/>
    <w:rsid w:val="0949B78A"/>
    <w:rsid w:val="097E3C40"/>
    <w:rsid w:val="099511DE"/>
    <w:rsid w:val="0997CC57"/>
    <w:rsid w:val="099DDA37"/>
    <w:rsid w:val="09A995B4"/>
    <w:rsid w:val="09B35615"/>
    <w:rsid w:val="09B5FB92"/>
    <w:rsid w:val="09C62937"/>
    <w:rsid w:val="09C6F4A3"/>
    <w:rsid w:val="09E514CF"/>
    <w:rsid w:val="09F3F2C1"/>
    <w:rsid w:val="0A04FCFE"/>
    <w:rsid w:val="0A142996"/>
    <w:rsid w:val="0A23F761"/>
    <w:rsid w:val="0A28183C"/>
    <w:rsid w:val="0A579D73"/>
    <w:rsid w:val="0A5EB95D"/>
    <w:rsid w:val="0A68B762"/>
    <w:rsid w:val="0A692D64"/>
    <w:rsid w:val="0A76D69E"/>
    <w:rsid w:val="0A7BB7EE"/>
    <w:rsid w:val="0A997BD6"/>
    <w:rsid w:val="0AB3373C"/>
    <w:rsid w:val="0AB63A67"/>
    <w:rsid w:val="0ABD252E"/>
    <w:rsid w:val="0AD4DEB5"/>
    <w:rsid w:val="0ADDC29E"/>
    <w:rsid w:val="0AFC3274"/>
    <w:rsid w:val="0B183D63"/>
    <w:rsid w:val="0B1CA292"/>
    <w:rsid w:val="0B51E9A8"/>
    <w:rsid w:val="0B561F2D"/>
    <w:rsid w:val="0B5F6837"/>
    <w:rsid w:val="0B6354F5"/>
    <w:rsid w:val="0B7C2086"/>
    <w:rsid w:val="0B98E733"/>
    <w:rsid w:val="0B9969D2"/>
    <w:rsid w:val="0BB0E5F6"/>
    <w:rsid w:val="0BBE41BC"/>
    <w:rsid w:val="0BC081A8"/>
    <w:rsid w:val="0BC7BED1"/>
    <w:rsid w:val="0BCD2FB6"/>
    <w:rsid w:val="0BE0D57C"/>
    <w:rsid w:val="0BFCCB68"/>
    <w:rsid w:val="0C047C78"/>
    <w:rsid w:val="0C08FDF4"/>
    <w:rsid w:val="0C0FA8A0"/>
    <w:rsid w:val="0C10C59C"/>
    <w:rsid w:val="0C1C3DFC"/>
    <w:rsid w:val="0C2593D2"/>
    <w:rsid w:val="0C65ED6E"/>
    <w:rsid w:val="0C995BA1"/>
    <w:rsid w:val="0CA6DFF8"/>
    <w:rsid w:val="0CB80C31"/>
    <w:rsid w:val="0CC7AA81"/>
    <w:rsid w:val="0D02100E"/>
    <w:rsid w:val="0D14645F"/>
    <w:rsid w:val="0D337DB3"/>
    <w:rsid w:val="0D3FF16B"/>
    <w:rsid w:val="0D5B4A17"/>
    <w:rsid w:val="0D76FCA2"/>
    <w:rsid w:val="0D8F3FBB"/>
    <w:rsid w:val="0D8F4E70"/>
    <w:rsid w:val="0D9F3818"/>
    <w:rsid w:val="0DA21C4D"/>
    <w:rsid w:val="0DA269FA"/>
    <w:rsid w:val="0DB4901D"/>
    <w:rsid w:val="0DC954C7"/>
    <w:rsid w:val="0DD76FC1"/>
    <w:rsid w:val="0DDE0805"/>
    <w:rsid w:val="0DECF9AE"/>
    <w:rsid w:val="0DFEFC27"/>
    <w:rsid w:val="0E20110F"/>
    <w:rsid w:val="0E4DC362"/>
    <w:rsid w:val="0E68CC24"/>
    <w:rsid w:val="0E6E0D4E"/>
    <w:rsid w:val="0E71F332"/>
    <w:rsid w:val="0E79643E"/>
    <w:rsid w:val="0E7B0D05"/>
    <w:rsid w:val="0E8AEF39"/>
    <w:rsid w:val="0E97F9CD"/>
    <w:rsid w:val="0E9E029A"/>
    <w:rsid w:val="0EB63603"/>
    <w:rsid w:val="0EBC2633"/>
    <w:rsid w:val="0EC9BCAF"/>
    <w:rsid w:val="0EE270B5"/>
    <w:rsid w:val="0EFBB4BA"/>
    <w:rsid w:val="0F154047"/>
    <w:rsid w:val="0F18DAE5"/>
    <w:rsid w:val="0F3A360F"/>
    <w:rsid w:val="0F613B27"/>
    <w:rsid w:val="0F686751"/>
    <w:rsid w:val="0F7FAF5A"/>
    <w:rsid w:val="0F827578"/>
    <w:rsid w:val="0F91B78C"/>
    <w:rsid w:val="0FBCC374"/>
    <w:rsid w:val="0FC0FAEA"/>
    <w:rsid w:val="0FCDA40F"/>
    <w:rsid w:val="0FD1C53D"/>
    <w:rsid w:val="0FDDF965"/>
    <w:rsid w:val="100C2564"/>
    <w:rsid w:val="10148CC4"/>
    <w:rsid w:val="1018DF19"/>
    <w:rsid w:val="102044E8"/>
    <w:rsid w:val="1027008D"/>
    <w:rsid w:val="10451F90"/>
    <w:rsid w:val="1050FD4F"/>
    <w:rsid w:val="105A21A3"/>
    <w:rsid w:val="1064C3C2"/>
    <w:rsid w:val="106CA810"/>
    <w:rsid w:val="10781945"/>
    <w:rsid w:val="107984E6"/>
    <w:rsid w:val="1091CE37"/>
    <w:rsid w:val="109C9374"/>
    <w:rsid w:val="10A105DC"/>
    <w:rsid w:val="10A622A1"/>
    <w:rsid w:val="10AC8A7B"/>
    <w:rsid w:val="10ACAAEE"/>
    <w:rsid w:val="10B1EBD0"/>
    <w:rsid w:val="10C38FB6"/>
    <w:rsid w:val="10C93D62"/>
    <w:rsid w:val="10E8474E"/>
    <w:rsid w:val="10F1395E"/>
    <w:rsid w:val="1100A6F2"/>
    <w:rsid w:val="1124E0F2"/>
    <w:rsid w:val="112581CD"/>
    <w:rsid w:val="1127C37D"/>
    <w:rsid w:val="1129623E"/>
    <w:rsid w:val="1134C9AB"/>
    <w:rsid w:val="11371B6A"/>
    <w:rsid w:val="113C133D"/>
    <w:rsid w:val="114A867A"/>
    <w:rsid w:val="11532CDF"/>
    <w:rsid w:val="1154EB2D"/>
    <w:rsid w:val="115A8B8A"/>
    <w:rsid w:val="117F388D"/>
    <w:rsid w:val="1183E50A"/>
    <w:rsid w:val="1184C9DE"/>
    <w:rsid w:val="1192DFB1"/>
    <w:rsid w:val="11945276"/>
    <w:rsid w:val="11A6EBB8"/>
    <w:rsid w:val="11BAD8DD"/>
    <w:rsid w:val="11DE25A0"/>
    <w:rsid w:val="11E4FE9E"/>
    <w:rsid w:val="11E8A1E1"/>
    <w:rsid w:val="12014BE6"/>
    <w:rsid w:val="120403EE"/>
    <w:rsid w:val="12314191"/>
    <w:rsid w:val="123B09B6"/>
    <w:rsid w:val="12449975"/>
    <w:rsid w:val="1246BB1F"/>
    <w:rsid w:val="1247DAA5"/>
    <w:rsid w:val="125AD3BB"/>
    <w:rsid w:val="128252F5"/>
    <w:rsid w:val="12A9F39F"/>
    <w:rsid w:val="12BE8AEA"/>
    <w:rsid w:val="130D2D3F"/>
    <w:rsid w:val="134799AC"/>
    <w:rsid w:val="13674F1B"/>
    <w:rsid w:val="138F7D97"/>
    <w:rsid w:val="1396F7FC"/>
    <w:rsid w:val="13A38C1E"/>
    <w:rsid w:val="13B9CE34"/>
    <w:rsid w:val="13C0FB59"/>
    <w:rsid w:val="13F8F923"/>
    <w:rsid w:val="1409467C"/>
    <w:rsid w:val="141FBD34"/>
    <w:rsid w:val="1429827A"/>
    <w:rsid w:val="1462D4F9"/>
    <w:rsid w:val="1466BE8A"/>
    <w:rsid w:val="1468734F"/>
    <w:rsid w:val="146BB619"/>
    <w:rsid w:val="146DACAE"/>
    <w:rsid w:val="1482BEC8"/>
    <w:rsid w:val="148E0FD6"/>
    <w:rsid w:val="14AEED31"/>
    <w:rsid w:val="14B1E422"/>
    <w:rsid w:val="14C1902B"/>
    <w:rsid w:val="14C5AC66"/>
    <w:rsid w:val="14E3C307"/>
    <w:rsid w:val="14EA7D3A"/>
    <w:rsid w:val="14F2EDCC"/>
    <w:rsid w:val="14F7098F"/>
    <w:rsid w:val="152F19BE"/>
    <w:rsid w:val="1545A166"/>
    <w:rsid w:val="154EFCA8"/>
    <w:rsid w:val="154F0344"/>
    <w:rsid w:val="15622148"/>
    <w:rsid w:val="1563DC39"/>
    <w:rsid w:val="157B20E5"/>
    <w:rsid w:val="157C9AD4"/>
    <w:rsid w:val="1585C762"/>
    <w:rsid w:val="15865A0D"/>
    <w:rsid w:val="1586BF64"/>
    <w:rsid w:val="1593C79A"/>
    <w:rsid w:val="15AC9AA4"/>
    <w:rsid w:val="15C20105"/>
    <w:rsid w:val="15CA8600"/>
    <w:rsid w:val="15CE7358"/>
    <w:rsid w:val="15E95EC5"/>
    <w:rsid w:val="15F139F6"/>
    <w:rsid w:val="1613140C"/>
    <w:rsid w:val="16213913"/>
    <w:rsid w:val="162ACD02"/>
    <w:rsid w:val="164E5758"/>
    <w:rsid w:val="1655B44A"/>
    <w:rsid w:val="16677422"/>
    <w:rsid w:val="16696C60"/>
    <w:rsid w:val="166B90F4"/>
    <w:rsid w:val="16748FCC"/>
    <w:rsid w:val="1690A866"/>
    <w:rsid w:val="16984F45"/>
    <w:rsid w:val="16B21A42"/>
    <w:rsid w:val="16B2BB4B"/>
    <w:rsid w:val="16B7DC89"/>
    <w:rsid w:val="16C481FB"/>
    <w:rsid w:val="16C95CAC"/>
    <w:rsid w:val="16DAFC2A"/>
    <w:rsid w:val="172D1947"/>
    <w:rsid w:val="17304E77"/>
    <w:rsid w:val="17356AD5"/>
    <w:rsid w:val="1738653D"/>
    <w:rsid w:val="173B28E4"/>
    <w:rsid w:val="1743426A"/>
    <w:rsid w:val="174F99E9"/>
    <w:rsid w:val="1760D811"/>
    <w:rsid w:val="176BB7F2"/>
    <w:rsid w:val="176C87A8"/>
    <w:rsid w:val="176F3514"/>
    <w:rsid w:val="17715D24"/>
    <w:rsid w:val="178D8476"/>
    <w:rsid w:val="17A9F607"/>
    <w:rsid w:val="17ABB591"/>
    <w:rsid w:val="17C2B9DD"/>
    <w:rsid w:val="17CF1943"/>
    <w:rsid w:val="17D93E5B"/>
    <w:rsid w:val="17FDD90D"/>
    <w:rsid w:val="17FF55C9"/>
    <w:rsid w:val="181BA320"/>
    <w:rsid w:val="1824243C"/>
    <w:rsid w:val="1828A69D"/>
    <w:rsid w:val="18329D0E"/>
    <w:rsid w:val="183341F5"/>
    <w:rsid w:val="1834F8AD"/>
    <w:rsid w:val="183CE4A1"/>
    <w:rsid w:val="18470C82"/>
    <w:rsid w:val="185585CD"/>
    <w:rsid w:val="185ED0C0"/>
    <w:rsid w:val="186D34F3"/>
    <w:rsid w:val="1875D6E7"/>
    <w:rsid w:val="187B5062"/>
    <w:rsid w:val="187E8056"/>
    <w:rsid w:val="188FA574"/>
    <w:rsid w:val="1896F132"/>
    <w:rsid w:val="18B25C3B"/>
    <w:rsid w:val="18BCC49E"/>
    <w:rsid w:val="18C8E0CF"/>
    <w:rsid w:val="18E5BD38"/>
    <w:rsid w:val="18FC4727"/>
    <w:rsid w:val="1901DED8"/>
    <w:rsid w:val="190C8CD8"/>
    <w:rsid w:val="1926D3D9"/>
    <w:rsid w:val="1936F429"/>
    <w:rsid w:val="1959FD32"/>
    <w:rsid w:val="195A2470"/>
    <w:rsid w:val="1965498A"/>
    <w:rsid w:val="19A01959"/>
    <w:rsid w:val="19B04067"/>
    <w:rsid w:val="19BBBADB"/>
    <w:rsid w:val="19C35934"/>
    <w:rsid w:val="19CCA9DE"/>
    <w:rsid w:val="19D95F22"/>
    <w:rsid w:val="1A147A32"/>
    <w:rsid w:val="1A1BC19C"/>
    <w:rsid w:val="1A21B1F8"/>
    <w:rsid w:val="1A24D184"/>
    <w:rsid w:val="1A2DEDFA"/>
    <w:rsid w:val="1A2EC807"/>
    <w:rsid w:val="1A32D853"/>
    <w:rsid w:val="1A4E1A34"/>
    <w:rsid w:val="1A6D8669"/>
    <w:rsid w:val="1A73B710"/>
    <w:rsid w:val="1A7C2855"/>
    <w:rsid w:val="1A8B0C0F"/>
    <w:rsid w:val="1A903D17"/>
    <w:rsid w:val="1AA703FD"/>
    <w:rsid w:val="1ABE5159"/>
    <w:rsid w:val="1ACC9DCC"/>
    <w:rsid w:val="1AD3B813"/>
    <w:rsid w:val="1AD72D65"/>
    <w:rsid w:val="1AF1D845"/>
    <w:rsid w:val="1B28384D"/>
    <w:rsid w:val="1B2C9433"/>
    <w:rsid w:val="1B2EEFF4"/>
    <w:rsid w:val="1B4E3047"/>
    <w:rsid w:val="1B73C614"/>
    <w:rsid w:val="1B7B9ECC"/>
    <w:rsid w:val="1B7EED0B"/>
    <w:rsid w:val="1B8502AC"/>
    <w:rsid w:val="1B8EED0E"/>
    <w:rsid w:val="1B949C65"/>
    <w:rsid w:val="1BC12EAC"/>
    <w:rsid w:val="1BD1C154"/>
    <w:rsid w:val="1BE004D1"/>
    <w:rsid w:val="1BED3901"/>
    <w:rsid w:val="1BFC9C5D"/>
    <w:rsid w:val="1BFEEDFA"/>
    <w:rsid w:val="1C00AA7E"/>
    <w:rsid w:val="1C046ADF"/>
    <w:rsid w:val="1C0A9102"/>
    <w:rsid w:val="1C0BA6BB"/>
    <w:rsid w:val="1C24D8A2"/>
    <w:rsid w:val="1C3AB261"/>
    <w:rsid w:val="1C474A30"/>
    <w:rsid w:val="1C5FFB98"/>
    <w:rsid w:val="1C60996F"/>
    <w:rsid w:val="1C61F836"/>
    <w:rsid w:val="1C7CEB54"/>
    <w:rsid w:val="1C8B72B9"/>
    <w:rsid w:val="1C90AB41"/>
    <w:rsid w:val="1CA0988C"/>
    <w:rsid w:val="1CA6BFDD"/>
    <w:rsid w:val="1CC767BC"/>
    <w:rsid w:val="1CFFCB29"/>
    <w:rsid w:val="1D0258DD"/>
    <w:rsid w:val="1D15F5B1"/>
    <w:rsid w:val="1D217F2C"/>
    <w:rsid w:val="1D452B46"/>
    <w:rsid w:val="1D517B1D"/>
    <w:rsid w:val="1D585E4D"/>
    <w:rsid w:val="1D6A62BD"/>
    <w:rsid w:val="1D7D4EC9"/>
    <w:rsid w:val="1D82B2B8"/>
    <w:rsid w:val="1D937C1A"/>
    <w:rsid w:val="1D9D4EC1"/>
    <w:rsid w:val="1DE6F191"/>
    <w:rsid w:val="1DE87D31"/>
    <w:rsid w:val="1E08D413"/>
    <w:rsid w:val="1E16FB76"/>
    <w:rsid w:val="1E372668"/>
    <w:rsid w:val="1E45D086"/>
    <w:rsid w:val="1E4D4289"/>
    <w:rsid w:val="1E8509FD"/>
    <w:rsid w:val="1E88115E"/>
    <w:rsid w:val="1EAB7E31"/>
    <w:rsid w:val="1EAFC2CA"/>
    <w:rsid w:val="1EBA9583"/>
    <w:rsid w:val="1ED03B94"/>
    <w:rsid w:val="1EDBC595"/>
    <w:rsid w:val="1EEB9998"/>
    <w:rsid w:val="1EEFDEFA"/>
    <w:rsid w:val="1EF1C731"/>
    <w:rsid w:val="1F0677B8"/>
    <w:rsid w:val="1F0B83AD"/>
    <w:rsid w:val="1F2DAEFF"/>
    <w:rsid w:val="1F2E396B"/>
    <w:rsid w:val="1F30A5BA"/>
    <w:rsid w:val="1F4DCCB4"/>
    <w:rsid w:val="1F4E3F30"/>
    <w:rsid w:val="1F5A58EA"/>
    <w:rsid w:val="1F627D5E"/>
    <w:rsid w:val="1F67EAEA"/>
    <w:rsid w:val="1F68ED3B"/>
    <w:rsid w:val="1F759770"/>
    <w:rsid w:val="1F82AD5E"/>
    <w:rsid w:val="1F9A348A"/>
    <w:rsid w:val="1FA1FE93"/>
    <w:rsid w:val="1FAF1E5C"/>
    <w:rsid w:val="1FC2ECC6"/>
    <w:rsid w:val="1FCA701B"/>
    <w:rsid w:val="1FCB51C8"/>
    <w:rsid w:val="1FD2F1B0"/>
    <w:rsid w:val="20206F2B"/>
    <w:rsid w:val="20599538"/>
    <w:rsid w:val="206857E7"/>
    <w:rsid w:val="208CB82D"/>
    <w:rsid w:val="2097D293"/>
    <w:rsid w:val="20A3804F"/>
    <w:rsid w:val="20AA0B02"/>
    <w:rsid w:val="20B3CCF5"/>
    <w:rsid w:val="20D1F4AB"/>
    <w:rsid w:val="20F36A1D"/>
    <w:rsid w:val="20F853AD"/>
    <w:rsid w:val="21317088"/>
    <w:rsid w:val="2134F1F1"/>
    <w:rsid w:val="2157F94F"/>
    <w:rsid w:val="215CED81"/>
    <w:rsid w:val="21636F80"/>
    <w:rsid w:val="2165EA73"/>
    <w:rsid w:val="217EC6E3"/>
    <w:rsid w:val="21A93075"/>
    <w:rsid w:val="21C8DD21"/>
    <w:rsid w:val="21F5D736"/>
    <w:rsid w:val="21F62C8C"/>
    <w:rsid w:val="21FC9C47"/>
    <w:rsid w:val="221A795E"/>
    <w:rsid w:val="221CC80A"/>
    <w:rsid w:val="22345F76"/>
    <w:rsid w:val="22397A23"/>
    <w:rsid w:val="22409D86"/>
    <w:rsid w:val="224C72BE"/>
    <w:rsid w:val="2259F567"/>
    <w:rsid w:val="22722675"/>
    <w:rsid w:val="2291B667"/>
    <w:rsid w:val="22A70FAE"/>
    <w:rsid w:val="22A813BB"/>
    <w:rsid w:val="22B191DB"/>
    <w:rsid w:val="22D22BF1"/>
    <w:rsid w:val="22D312E0"/>
    <w:rsid w:val="22EF0291"/>
    <w:rsid w:val="22FA2C75"/>
    <w:rsid w:val="23347049"/>
    <w:rsid w:val="23430B4A"/>
    <w:rsid w:val="23473978"/>
    <w:rsid w:val="238B1BD2"/>
    <w:rsid w:val="238B5699"/>
    <w:rsid w:val="239843BF"/>
    <w:rsid w:val="23B6BA4D"/>
    <w:rsid w:val="23C5DD05"/>
    <w:rsid w:val="23CB27E5"/>
    <w:rsid w:val="23D11C32"/>
    <w:rsid w:val="2417EED4"/>
    <w:rsid w:val="242954C1"/>
    <w:rsid w:val="242F7C48"/>
    <w:rsid w:val="2433C4C4"/>
    <w:rsid w:val="24504C1A"/>
    <w:rsid w:val="247858FC"/>
    <w:rsid w:val="247B07C8"/>
    <w:rsid w:val="248F09B0"/>
    <w:rsid w:val="24A6EC45"/>
    <w:rsid w:val="24AD377A"/>
    <w:rsid w:val="24B467D4"/>
    <w:rsid w:val="24DA6BDA"/>
    <w:rsid w:val="24DE72A7"/>
    <w:rsid w:val="24DFAAB6"/>
    <w:rsid w:val="2511A43A"/>
    <w:rsid w:val="25149B07"/>
    <w:rsid w:val="251D282D"/>
    <w:rsid w:val="254CD76F"/>
    <w:rsid w:val="254DCE2A"/>
    <w:rsid w:val="25575EAF"/>
    <w:rsid w:val="25660632"/>
    <w:rsid w:val="258F0D8D"/>
    <w:rsid w:val="25910915"/>
    <w:rsid w:val="259991B7"/>
    <w:rsid w:val="25A995FE"/>
    <w:rsid w:val="25C2B6C3"/>
    <w:rsid w:val="25C6D3ED"/>
    <w:rsid w:val="25C8EC34"/>
    <w:rsid w:val="25F5E92D"/>
    <w:rsid w:val="26095BC9"/>
    <w:rsid w:val="261ACBCD"/>
    <w:rsid w:val="2626025D"/>
    <w:rsid w:val="26305A63"/>
    <w:rsid w:val="2636519A"/>
    <w:rsid w:val="263E1F90"/>
    <w:rsid w:val="2673D549"/>
    <w:rsid w:val="26829D6F"/>
    <w:rsid w:val="2688369E"/>
    <w:rsid w:val="268DF18B"/>
    <w:rsid w:val="26923DD5"/>
    <w:rsid w:val="26B7A450"/>
    <w:rsid w:val="26D95132"/>
    <w:rsid w:val="27099275"/>
    <w:rsid w:val="271CB7AF"/>
    <w:rsid w:val="273EAF69"/>
    <w:rsid w:val="2768B2AE"/>
    <w:rsid w:val="27754E84"/>
    <w:rsid w:val="27A1A884"/>
    <w:rsid w:val="27ADB7A0"/>
    <w:rsid w:val="27B7082B"/>
    <w:rsid w:val="27C015D4"/>
    <w:rsid w:val="27CBDB09"/>
    <w:rsid w:val="27E7C119"/>
    <w:rsid w:val="27FA23F8"/>
    <w:rsid w:val="27FDE986"/>
    <w:rsid w:val="27FE1894"/>
    <w:rsid w:val="2809A46A"/>
    <w:rsid w:val="28107102"/>
    <w:rsid w:val="2815243D"/>
    <w:rsid w:val="28226507"/>
    <w:rsid w:val="282F916D"/>
    <w:rsid w:val="2837E962"/>
    <w:rsid w:val="2856ECB8"/>
    <w:rsid w:val="28710D14"/>
    <w:rsid w:val="288878C4"/>
    <w:rsid w:val="2898130E"/>
    <w:rsid w:val="28A4D1D8"/>
    <w:rsid w:val="28CBF380"/>
    <w:rsid w:val="291DFAF5"/>
    <w:rsid w:val="2923E55D"/>
    <w:rsid w:val="293495F5"/>
    <w:rsid w:val="294B0398"/>
    <w:rsid w:val="296DA0BB"/>
    <w:rsid w:val="2977C5CF"/>
    <w:rsid w:val="2982A363"/>
    <w:rsid w:val="2988C403"/>
    <w:rsid w:val="29894550"/>
    <w:rsid w:val="298CF02B"/>
    <w:rsid w:val="298DF88B"/>
    <w:rsid w:val="29A8E554"/>
    <w:rsid w:val="29B61CE3"/>
    <w:rsid w:val="29DB4B5C"/>
    <w:rsid w:val="29DCF4DF"/>
    <w:rsid w:val="29E89F73"/>
    <w:rsid w:val="29E9A18A"/>
    <w:rsid w:val="2A0B9858"/>
    <w:rsid w:val="2A144BB0"/>
    <w:rsid w:val="2A199448"/>
    <w:rsid w:val="2A2BC576"/>
    <w:rsid w:val="2A2C4C8B"/>
    <w:rsid w:val="2A3B0F2C"/>
    <w:rsid w:val="2A61C5F2"/>
    <w:rsid w:val="2A669455"/>
    <w:rsid w:val="2A69A3F5"/>
    <w:rsid w:val="2A6A13BA"/>
    <w:rsid w:val="2A7E75EB"/>
    <w:rsid w:val="2A81CA92"/>
    <w:rsid w:val="2AAEF94C"/>
    <w:rsid w:val="2AC08D0E"/>
    <w:rsid w:val="2AD8A99F"/>
    <w:rsid w:val="2AE57FA0"/>
    <w:rsid w:val="2B1BF5C6"/>
    <w:rsid w:val="2B27D26D"/>
    <w:rsid w:val="2B2BFE93"/>
    <w:rsid w:val="2B336EE9"/>
    <w:rsid w:val="2B60A1AE"/>
    <w:rsid w:val="2B62C07A"/>
    <w:rsid w:val="2B68CA0D"/>
    <w:rsid w:val="2B68D318"/>
    <w:rsid w:val="2B7D7AAF"/>
    <w:rsid w:val="2BAA5B88"/>
    <w:rsid w:val="2BB671CA"/>
    <w:rsid w:val="2BBC98F9"/>
    <w:rsid w:val="2BC1B4A1"/>
    <w:rsid w:val="2BC9963B"/>
    <w:rsid w:val="2BD08905"/>
    <w:rsid w:val="2BF98D32"/>
    <w:rsid w:val="2BFA4F61"/>
    <w:rsid w:val="2BFF3B3D"/>
    <w:rsid w:val="2C10B162"/>
    <w:rsid w:val="2C2392B1"/>
    <w:rsid w:val="2C33397A"/>
    <w:rsid w:val="2C5A8018"/>
    <w:rsid w:val="2C7E9504"/>
    <w:rsid w:val="2C8F6975"/>
    <w:rsid w:val="2C994D8B"/>
    <w:rsid w:val="2CA83873"/>
    <w:rsid w:val="2CD67E17"/>
    <w:rsid w:val="2CDFCFEB"/>
    <w:rsid w:val="2CDFE7EF"/>
    <w:rsid w:val="2CFF2274"/>
    <w:rsid w:val="2D16472D"/>
    <w:rsid w:val="2D19B067"/>
    <w:rsid w:val="2D205411"/>
    <w:rsid w:val="2D2A6118"/>
    <w:rsid w:val="2D2CA060"/>
    <w:rsid w:val="2D59F09A"/>
    <w:rsid w:val="2D6EEF46"/>
    <w:rsid w:val="2D70732A"/>
    <w:rsid w:val="2D8D280C"/>
    <w:rsid w:val="2D9DD3F0"/>
    <w:rsid w:val="2DA630CC"/>
    <w:rsid w:val="2DA74C88"/>
    <w:rsid w:val="2DA99B50"/>
    <w:rsid w:val="2DB8316D"/>
    <w:rsid w:val="2DB94569"/>
    <w:rsid w:val="2DC21DAC"/>
    <w:rsid w:val="2DE7CAC4"/>
    <w:rsid w:val="2DF53973"/>
    <w:rsid w:val="2E03D0C7"/>
    <w:rsid w:val="2E07A598"/>
    <w:rsid w:val="2E308F21"/>
    <w:rsid w:val="2E31B2C7"/>
    <w:rsid w:val="2E338CCC"/>
    <w:rsid w:val="2E3B18B4"/>
    <w:rsid w:val="2E680CB0"/>
    <w:rsid w:val="2E6E4F62"/>
    <w:rsid w:val="2E82301A"/>
    <w:rsid w:val="2E855D5F"/>
    <w:rsid w:val="2E86B0F5"/>
    <w:rsid w:val="2E8CDEA1"/>
    <w:rsid w:val="2E9BEAD7"/>
    <w:rsid w:val="2EA284A1"/>
    <w:rsid w:val="2EA5B815"/>
    <w:rsid w:val="2EBA751C"/>
    <w:rsid w:val="2EDDB758"/>
    <w:rsid w:val="2EEBFF67"/>
    <w:rsid w:val="2F2E3174"/>
    <w:rsid w:val="2F387A31"/>
    <w:rsid w:val="2F388E9A"/>
    <w:rsid w:val="2F3CF885"/>
    <w:rsid w:val="2F4B462D"/>
    <w:rsid w:val="2F5EDF94"/>
    <w:rsid w:val="2F78AB3D"/>
    <w:rsid w:val="2F9B4F13"/>
    <w:rsid w:val="2F9BFB0B"/>
    <w:rsid w:val="2FCAAD31"/>
    <w:rsid w:val="2FE08D67"/>
    <w:rsid w:val="2FF4EB25"/>
    <w:rsid w:val="2FF796DC"/>
    <w:rsid w:val="2FFF0494"/>
    <w:rsid w:val="30078B5A"/>
    <w:rsid w:val="301B1D31"/>
    <w:rsid w:val="302DC461"/>
    <w:rsid w:val="30677C9C"/>
    <w:rsid w:val="3076362F"/>
    <w:rsid w:val="307A29B6"/>
    <w:rsid w:val="3082ABA3"/>
    <w:rsid w:val="308762E5"/>
    <w:rsid w:val="308E017E"/>
    <w:rsid w:val="309CBC7A"/>
    <w:rsid w:val="30CA3553"/>
    <w:rsid w:val="30D27F5A"/>
    <w:rsid w:val="30D565B5"/>
    <w:rsid w:val="30DAEBE7"/>
    <w:rsid w:val="30E433F4"/>
    <w:rsid w:val="30E90477"/>
    <w:rsid w:val="30F95594"/>
    <w:rsid w:val="31017AE5"/>
    <w:rsid w:val="3101A7EB"/>
    <w:rsid w:val="3108F66F"/>
    <w:rsid w:val="310C1D1E"/>
    <w:rsid w:val="312913DE"/>
    <w:rsid w:val="31819A71"/>
    <w:rsid w:val="3195780D"/>
    <w:rsid w:val="31BC612E"/>
    <w:rsid w:val="31DD4874"/>
    <w:rsid w:val="320BCF89"/>
    <w:rsid w:val="3224856A"/>
    <w:rsid w:val="3236E2EE"/>
    <w:rsid w:val="324A7C55"/>
    <w:rsid w:val="324BE24A"/>
    <w:rsid w:val="325E9FD2"/>
    <w:rsid w:val="32632362"/>
    <w:rsid w:val="32659417"/>
    <w:rsid w:val="3278BC0E"/>
    <w:rsid w:val="32803B43"/>
    <w:rsid w:val="328CD2D7"/>
    <w:rsid w:val="32AAE7CA"/>
    <w:rsid w:val="32D3A9D2"/>
    <w:rsid w:val="32E65BE6"/>
    <w:rsid w:val="32F004A5"/>
    <w:rsid w:val="32F4B4D2"/>
    <w:rsid w:val="32F659CA"/>
    <w:rsid w:val="33283C5A"/>
    <w:rsid w:val="332B43D4"/>
    <w:rsid w:val="333EDF6A"/>
    <w:rsid w:val="33404DB1"/>
    <w:rsid w:val="334B4B3F"/>
    <w:rsid w:val="334E5EE3"/>
    <w:rsid w:val="3354F840"/>
    <w:rsid w:val="336A075F"/>
    <w:rsid w:val="336A70C2"/>
    <w:rsid w:val="336BCDC7"/>
    <w:rsid w:val="3374CF99"/>
    <w:rsid w:val="33771451"/>
    <w:rsid w:val="3378CB09"/>
    <w:rsid w:val="3398F310"/>
    <w:rsid w:val="33A9169B"/>
    <w:rsid w:val="33B1DDD2"/>
    <w:rsid w:val="33BBEA94"/>
    <w:rsid w:val="33C0103F"/>
    <w:rsid w:val="33F453F2"/>
    <w:rsid w:val="33FF4C2D"/>
    <w:rsid w:val="34183C9E"/>
    <w:rsid w:val="3428A2C4"/>
    <w:rsid w:val="3428C112"/>
    <w:rsid w:val="342969CC"/>
    <w:rsid w:val="34495CBA"/>
    <w:rsid w:val="3451BBDD"/>
    <w:rsid w:val="3452969D"/>
    <w:rsid w:val="346C7D00"/>
    <w:rsid w:val="346E39ED"/>
    <w:rsid w:val="3484307C"/>
    <w:rsid w:val="34B9493D"/>
    <w:rsid w:val="34CB17B3"/>
    <w:rsid w:val="34D9F373"/>
    <w:rsid w:val="34F67620"/>
    <w:rsid w:val="35042845"/>
    <w:rsid w:val="353085DE"/>
    <w:rsid w:val="35372B60"/>
    <w:rsid w:val="355631DF"/>
    <w:rsid w:val="3559EE0E"/>
    <w:rsid w:val="356303F3"/>
    <w:rsid w:val="35691160"/>
    <w:rsid w:val="35706EC3"/>
    <w:rsid w:val="3577B2F8"/>
    <w:rsid w:val="3577E8D7"/>
    <w:rsid w:val="358C7435"/>
    <w:rsid w:val="3592CC09"/>
    <w:rsid w:val="359549A7"/>
    <w:rsid w:val="35ABE678"/>
    <w:rsid w:val="35CB9EF7"/>
    <w:rsid w:val="35D31D63"/>
    <w:rsid w:val="35D6CB8E"/>
    <w:rsid w:val="35DCBCB3"/>
    <w:rsid w:val="35E1542D"/>
    <w:rsid w:val="35E9F51F"/>
    <w:rsid w:val="35EB4E71"/>
    <w:rsid w:val="35F2C0C9"/>
    <w:rsid w:val="360E8CBD"/>
    <w:rsid w:val="361551CE"/>
    <w:rsid w:val="36213B07"/>
    <w:rsid w:val="364146C4"/>
    <w:rsid w:val="3646BCA8"/>
    <w:rsid w:val="36533C5B"/>
    <w:rsid w:val="36612F7E"/>
    <w:rsid w:val="36A2C39C"/>
    <w:rsid w:val="36D39BB6"/>
    <w:rsid w:val="36D418A3"/>
    <w:rsid w:val="36E7B15A"/>
    <w:rsid w:val="36EFDE6E"/>
    <w:rsid w:val="373D3673"/>
    <w:rsid w:val="3747E48F"/>
    <w:rsid w:val="37656DA2"/>
    <w:rsid w:val="3766283B"/>
    <w:rsid w:val="377B71CC"/>
    <w:rsid w:val="37A7B211"/>
    <w:rsid w:val="37AB7D56"/>
    <w:rsid w:val="37CAE380"/>
    <w:rsid w:val="37E47E9C"/>
    <w:rsid w:val="38187481"/>
    <w:rsid w:val="381D139B"/>
    <w:rsid w:val="3846A0F3"/>
    <w:rsid w:val="38638C13"/>
    <w:rsid w:val="387A1927"/>
    <w:rsid w:val="389F9540"/>
    <w:rsid w:val="38A8ABFF"/>
    <w:rsid w:val="38B1DA27"/>
    <w:rsid w:val="38B31773"/>
    <w:rsid w:val="38CB889B"/>
    <w:rsid w:val="38D2394E"/>
    <w:rsid w:val="38DEE91B"/>
    <w:rsid w:val="38E380BC"/>
    <w:rsid w:val="38E44660"/>
    <w:rsid w:val="38EBAF6C"/>
    <w:rsid w:val="38EBF242"/>
    <w:rsid w:val="38F4D4CF"/>
    <w:rsid w:val="39011318"/>
    <w:rsid w:val="390B7907"/>
    <w:rsid w:val="3914CDA9"/>
    <w:rsid w:val="3917A48C"/>
    <w:rsid w:val="391FEE7A"/>
    <w:rsid w:val="39354CB4"/>
    <w:rsid w:val="39581BC6"/>
    <w:rsid w:val="396ADA7F"/>
    <w:rsid w:val="397EE351"/>
    <w:rsid w:val="39872729"/>
    <w:rsid w:val="398BD1F8"/>
    <w:rsid w:val="398DD692"/>
    <w:rsid w:val="399A6BA5"/>
    <w:rsid w:val="39A2D690"/>
    <w:rsid w:val="39A2DAA7"/>
    <w:rsid w:val="39B72AE6"/>
    <w:rsid w:val="3A037F25"/>
    <w:rsid w:val="3A0D8CF0"/>
    <w:rsid w:val="3A260B9A"/>
    <w:rsid w:val="3A3FC819"/>
    <w:rsid w:val="3A473EE7"/>
    <w:rsid w:val="3A6926F1"/>
    <w:rsid w:val="3A6F02B5"/>
    <w:rsid w:val="3AA7CA6C"/>
    <w:rsid w:val="3AB10317"/>
    <w:rsid w:val="3AB5AB76"/>
    <w:rsid w:val="3AD32DDC"/>
    <w:rsid w:val="3AD6C127"/>
    <w:rsid w:val="3B31B683"/>
    <w:rsid w:val="3B3339D3"/>
    <w:rsid w:val="3B766F75"/>
    <w:rsid w:val="3B7C16AC"/>
    <w:rsid w:val="3B8EA648"/>
    <w:rsid w:val="3BB3F55E"/>
    <w:rsid w:val="3BC56F5A"/>
    <w:rsid w:val="3BEC9EB0"/>
    <w:rsid w:val="3C01453E"/>
    <w:rsid w:val="3C0243F5"/>
    <w:rsid w:val="3C0EE296"/>
    <w:rsid w:val="3C1509B4"/>
    <w:rsid w:val="3C384D18"/>
    <w:rsid w:val="3C440D65"/>
    <w:rsid w:val="3C55483C"/>
    <w:rsid w:val="3C807422"/>
    <w:rsid w:val="3CAA3FDE"/>
    <w:rsid w:val="3CB1CF49"/>
    <w:rsid w:val="3CBC95D5"/>
    <w:rsid w:val="3CFFE302"/>
    <w:rsid w:val="3D0D1209"/>
    <w:rsid w:val="3D24F806"/>
    <w:rsid w:val="3D3FA877"/>
    <w:rsid w:val="3D6706BF"/>
    <w:rsid w:val="3D77C994"/>
    <w:rsid w:val="3D78A2D7"/>
    <w:rsid w:val="3D7D590B"/>
    <w:rsid w:val="3DB85873"/>
    <w:rsid w:val="3DBE8917"/>
    <w:rsid w:val="3DC24839"/>
    <w:rsid w:val="3DD59ABE"/>
    <w:rsid w:val="3DF21000"/>
    <w:rsid w:val="3E154DCF"/>
    <w:rsid w:val="3E29326E"/>
    <w:rsid w:val="3E2D2F1C"/>
    <w:rsid w:val="3E5A35C0"/>
    <w:rsid w:val="3E5BE672"/>
    <w:rsid w:val="3E631657"/>
    <w:rsid w:val="3E6676D4"/>
    <w:rsid w:val="3E6AB0D3"/>
    <w:rsid w:val="3E9449E4"/>
    <w:rsid w:val="3EB53483"/>
    <w:rsid w:val="3EBBF195"/>
    <w:rsid w:val="3EBEB393"/>
    <w:rsid w:val="3EBF87C4"/>
    <w:rsid w:val="3EFB2CFA"/>
    <w:rsid w:val="3F176D05"/>
    <w:rsid w:val="3F257E66"/>
    <w:rsid w:val="3F4400DB"/>
    <w:rsid w:val="3F55D298"/>
    <w:rsid w:val="3F6F1C63"/>
    <w:rsid w:val="3F7CC7FB"/>
    <w:rsid w:val="3F9D8A5E"/>
    <w:rsid w:val="3FA93A48"/>
    <w:rsid w:val="3FC6D283"/>
    <w:rsid w:val="3FCCC240"/>
    <w:rsid w:val="403C9CB5"/>
    <w:rsid w:val="4045B2F0"/>
    <w:rsid w:val="404DA1F3"/>
    <w:rsid w:val="405493C7"/>
    <w:rsid w:val="4061ADC5"/>
    <w:rsid w:val="408912AC"/>
    <w:rsid w:val="40C06A4F"/>
    <w:rsid w:val="40DD853C"/>
    <w:rsid w:val="40E444CC"/>
    <w:rsid w:val="41269CD1"/>
    <w:rsid w:val="41363C6A"/>
    <w:rsid w:val="413D5411"/>
    <w:rsid w:val="4162D12C"/>
    <w:rsid w:val="41672DD2"/>
    <w:rsid w:val="416CD453"/>
    <w:rsid w:val="417549A1"/>
    <w:rsid w:val="417C8B12"/>
    <w:rsid w:val="4197573E"/>
    <w:rsid w:val="41BF780C"/>
    <w:rsid w:val="41DB19AC"/>
    <w:rsid w:val="41EBF4BA"/>
    <w:rsid w:val="41F25538"/>
    <w:rsid w:val="421F5465"/>
    <w:rsid w:val="421F6F20"/>
    <w:rsid w:val="4239966A"/>
    <w:rsid w:val="424274FC"/>
    <w:rsid w:val="4249AC09"/>
    <w:rsid w:val="4297D710"/>
    <w:rsid w:val="429A9885"/>
    <w:rsid w:val="42A0B806"/>
    <w:rsid w:val="42BDE8DF"/>
    <w:rsid w:val="42E500CC"/>
    <w:rsid w:val="430140BD"/>
    <w:rsid w:val="431D392E"/>
    <w:rsid w:val="43273114"/>
    <w:rsid w:val="432C5DBE"/>
    <w:rsid w:val="435CD8FD"/>
    <w:rsid w:val="4362E12D"/>
    <w:rsid w:val="4375BFFB"/>
    <w:rsid w:val="437CFBA9"/>
    <w:rsid w:val="43BDECD0"/>
    <w:rsid w:val="43CCEC21"/>
    <w:rsid w:val="43CD7EE0"/>
    <w:rsid w:val="43DD0D94"/>
    <w:rsid w:val="43E29F85"/>
    <w:rsid w:val="43F2B970"/>
    <w:rsid w:val="43F39D06"/>
    <w:rsid w:val="4405928D"/>
    <w:rsid w:val="442577BE"/>
    <w:rsid w:val="442D0CC6"/>
    <w:rsid w:val="4436A3F1"/>
    <w:rsid w:val="44573114"/>
    <w:rsid w:val="4468439E"/>
    <w:rsid w:val="4469B4C7"/>
    <w:rsid w:val="446F446A"/>
    <w:rsid w:val="447BB825"/>
    <w:rsid w:val="44ABBDD1"/>
    <w:rsid w:val="44AD4786"/>
    <w:rsid w:val="44C6A212"/>
    <w:rsid w:val="44C85BD8"/>
    <w:rsid w:val="44CC03A3"/>
    <w:rsid w:val="44EB647A"/>
    <w:rsid w:val="4504D479"/>
    <w:rsid w:val="45520374"/>
    <w:rsid w:val="4572D9FB"/>
    <w:rsid w:val="457A8E43"/>
    <w:rsid w:val="45803403"/>
    <w:rsid w:val="459237A2"/>
    <w:rsid w:val="459E8BF1"/>
    <w:rsid w:val="45A2F1C5"/>
    <w:rsid w:val="45A874AC"/>
    <w:rsid w:val="45B74760"/>
    <w:rsid w:val="45B9647E"/>
    <w:rsid w:val="45BEE0A0"/>
    <w:rsid w:val="45D29D41"/>
    <w:rsid w:val="45FEB72A"/>
    <w:rsid w:val="4604245F"/>
    <w:rsid w:val="4610AB4B"/>
    <w:rsid w:val="464D7589"/>
    <w:rsid w:val="4652B249"/>
    <w:rsid w:val="46598DCD"/>
    <w:rsid w:val="4697F547"/>
    <w:rsid w:val="46C8E5FF"/>
    <w:rsid w:val="46C929E3"/>
    <w:rsid w:val="46CE1779"/>
    <w:rsid w:val="46F48D53"/>
    <w:rsid w:val="4713B23A"/>
    <w:rsid w:val="472C1F9F"/>
    <w:rsid w:val="473B21EE"/>
    <w:rsid w:val="476B6992"/>
    <w:rsid w:val="47F64CFC"/>
    <w:rsid w:val="480E1043"/>
    <w:rsid w:val="4835B92A"/>
    <w:rsid w:val="483A96B8"/>
    <w:rsid w:val="48437214"/>
    <w:rsid w:val="484C568D"/>
    <w:rsid w:val="486E44DF"/>
    <w:rsid w:val="48879A9D"/>
    <w:rsid w:val="4891331E"/>
    <w:rsid w:val="48BE3731"/>
    <w:rsid w:val="48C5D4A1"/>
    <w:rsid w:val="48E1FBF6"/>
    <w:rsid w:val="48F3CE45"/>
    <w:rsid w:val="48F52053"/>
    <w:rsid w:val="49076685"/>
    <w:rsid w:val="490DE224"/>
    <w:rsid w:val="490F45C5"/>
    <w:rsid w:val="492AEC96"/>
    <w:rsid w:val="494E8FFB"/>
    <w:rsid w:val="495610DB"/>
    <w:rsid w:val="496A19F5"/>
    <w:rsid w:val="496F104F"/>
    <w:rsid w:val="497A5789"/>
    <w:rsid w:val="49860144"/>
    <w:rsid w:val="49908416"/>
    <w:rsid w:val="4993D3F9"/>
    <w:rsid w:val="4994DF62"/>
    <w:rsid w:val="49A0BD03"/>
    <w:rsid w:val="49A0D73E"/>
    <w:rsid w:val="49A35780"/>
    <w:rsid w:val="49BE1D8E"/>
    <w:rsid w:val="49C0A5DF"/>
    <w:rsid w:val="49DDC8FF"/>
    <w:rsid w:val="49E5D243"/>
    <w:rsid w:val="49E99506"/>
    <w:rsid w:val="49F65F77"/>
    <w:rsid w:val="4A0D88BF"/>
    <w:rsid w:val="4A228F32"/>
    <w:rsid w:val="4A255537"/>
    <w:rsid w:val="4A428FE2"/>
    <w:rsid w:val="4A4AA503"/>
    <w:rsid w:val="4A765319"/>
    <w:rsid w:val="4A78BE7F"/>
    <w:rsid w:val="4A7916D2"/>
    <w:rsid w:val="4A7DB926"/>
    <w:rsid w:val="4A7EAA6A"/>
    <w:rsid w:val="4A8B0C51"/>
    <w:rsid w:val="4A91DD7F"/>
    <w:rsid w:val="4A96CBFD"/>
    <w:rsid w:val="4AD9BAF7"/>
    <w:rsid w:val="4AF4D17C"/>
    <w:rsid w:val="4B08C5A6"/>
    <w:rsid w:val="4B095861"/>
    <w:rsid w:val="4B135612"/>
    <w:rsid w:val="4B1D6C9D"/>
    <w:rsid w:val="4B25ADE2"/>
    <w:rsid w:val="4B335493"/>
    <w:rsid w:val="4B393510"/>
    <w:rsid w:val="4B4678C4"/>
    <w:rsid w:val="4B52C098"/>
    <w:rsid w:val="4B625EBC"/>
    <w:rsid w:val="4B7138A5"/>
    <w:rsid w:val="4B725FB5"/>
    <w:rsid w:val="4B74A04A"/>
    <w:rsid w:val="4B97EF3B"/>
    <w:rsid w:val="4B9A86D5"/>
    <w:rsid w:val="4B9B4A8A"/>
    <w:rsid w:val="4BAACBD4"/>
    <w:rsid w:val="4BACD760"/>
    <w:rsid w:val="4BB58E21"/>
    <w:rsid w:val="4BC35DA0"/>
    <w:rsid w:val="4BC5C615"/>
    <w:rsid w:val="4BC9934B"/>
    <w:rsid w:val="4BCB7600"/>
    <w:rsid w:val="4BDA2486"/>
    <w:rsid w:val="4BFD83CF"/>
    <w:rsid w:val="4BFEDA40"/>
    <w:rsid w:val="4C10F832"/>
    <w:rsid w:val="4C447770"/>
    <w:rsid w:val="4C482AC0"/>
    <w:rsid w:val="4C64FFE2"/>
    <w:rsid w:val="4CA1C9F6"/>
    <w:rsid w:val="4CA77B12"/>
    <w:rsid w:val="4CAF191E"/>
    <w:rsid w:val="4CB6BE8D"/>
    <w:rsid w:val="4CC9B046"/>
    <w:rsid w:val="4CCE5E18"/>
    <w:rsid w:val="4CD40D6F"/>
    <w:rsid w:val="4CEB9B89"/>
    <w:rsid w:val="4CF38927"/>
    <w:rsid w:val="4CFC05CD"/>
    <w:rsid w:val="4D56B851"/>
    <w:rsid w:val="4D57ADA4"/>
    <w:rsid w:val="4D623BD7"/>
    <w:rsid w:val="4D69E3EA"/>
    <w:rsid w:val="4D6BFC38"/>
    <w:rsid w:val="4D8C6839"/>
    <w:rsid w:val="4D8FD6B5"/>
    <w:rsid w:val="4DB4BF51"/>
    <w:rsid w:val="4DC2CD9C"/>
    <w:rsid w:val="4DF02C77"/>
    <w:rsid w:val="4DF04C8C"/>
    <w:rsid w:val="4DF3C72D"/>
    <w:rsid w:val="4E20FDFB"/>
    <w:rsid w:val="4E476E1E"/>
    <w:rsid w:val="4E5A51F6"/>
    <w:rsid w:val="4E719A53"/>
    <w:rsid w:val="4EA3352E"/>
    <w:rsid w:val="4EA3CC4A"/>
    <w:rsid w:val="4EACF47A"/>
    <w:rsid w:val="4EC71B3B"/>
    <w:rsid w:val="4ED1DF79"/>
    <w:rsid w:val="4ED6605C"/>
    <w:rsid w:val="4EFFFC9B"/>
    <w:rsid w:val="4F038F4E"/>
    <w:rsid w:val="4F304161"/>
    <w:rsid w:val="4F319BEF"/>
    <w:rsid w:val="4F3B43BE"/>
    <w:rsid w:val="4F469242"/>
    <w:rsid w:val="4F53A21B"/>
    <w:rsid w:val="4F784854"/>
    <w:rsid w:val="4F853B18"/>
    <w:rsid w:val="4F8AEDDC"/>
    <w:rsid w:val="4F9FC5D9"/>
    <w:rsid w:val="4FB1A898"/>
    <w:rsid w:val="4FE5FBB6"/>
    <w:rsid w:val="4FE9DCF1"/>
    <w:rsid w:val="4FF149C4"/>
    <w:rsid w:val="5011DBFA"/>
    <w:rsid w:val="501499D8"/>
    <w:rsid w:val="501D4EAD"/>
    <w:rsid w:val="501D6B50"/>
    <w:rsid w:val="503AA59F"/>
    <w:rsid w:val="504E0114"/>
    <w:rsid w:val="506051E8"/>
    <w:rsid w:val="5085C879"/>
    <w:rsid w:val="508B4D87"/>
    <w:rsid w:val="508BCED4"/>
    <w:rsid w:val="50985E96"/>
    <w:rsid w:val="50B65094"/>
    <w:rsid w:val="50C7CB0B"/>
    <w:rsid w:val="50DC9E6D"/>
    <w:rsid w:val="50DDC980"/>
    <w:rsid w:val="50E08EAA"/>
    <w:rsid w:val="50EA076D"/>
    <w:rsid w:val="5115B27B"/>
    <w:rsid w:val="5147FF92"/>
    <w:rsid w:val="514F030B"/>
    <w:rsid w:val="51620F2F"/>
    <w:rsid w:val="516621F2"/>
    <w:rsid w:val="5168C74A"/>
    <w:rsid w:val="516D1BC0"/>
    <w:rsid w:val="5179B1FD"/>
    <w:rsid w:val="5182E1F5"/>
    <w:rsid w:val="51A00661"/>
    <w:rsid w:val="51C10938"/>
    <w:rsid w:val="51D1BE7C"/>
    <w:rsid w:val="51D477F7"/>
    <w:rsid w:val="51DD38B3"/>
    <w:rsid w:val="51ECFDE8"/>
    <w:rsid w:val="51F3D20A"/>
    <w:rsid w:val="51F9CA74"/>
    <w:rsid w:val="520FDA58"/>
    <w:rsid w:val="5211C34C"/>
    <w:rsid w:val="5222EB4A"/>
    <w:rsid w:val="52313AB1"/>
    <w:rsid w:val="523E4B4D"/>
    <w:rsid w:val="52401216"/>
    <w:rsid w:val="52466CB1"/>
    <w:rsid w:val="52728E8E"/>
    <w:rsid w:val="5283A227"/>
    <w:rsid w:val="52853E6A"/>
    <w:rsid w:val="52ACE103"/>
    <w:rsid w:val="52EC25DB"/>
    <w:rsid w:val="52F50C71"/>
    <w:rsid w:val="52FA2C7D"/>
    <w:rsid w:val="5303A316"/>
    <w:rsid w:val="53086506"/>
    <w:rsid w:val="530DA056"/>
    <w:rsid w:val="531DC43C"/>
    <w:rsid w:val="533BFEB0"/>
    <w:rsid w:val="5347F2D7"/>
    <w:rsid w:val="534FDE05"/>
    <w:rsid w:val="53566DB1"/>
    <w:rsid w:val="535FEB7C"/>
    <w:rsid w:val="538BE00D"/>
    <w:rsid w:val="53BA44AE"/>
    <w:rsid w:val="53BD693E"/>
    <w:rsid w:val="53CEC372"/>
    <w:rsid w:val="53CFF95C"/>
    <w:rsid w:val="53E9DE45"/>
    <w:rsid w:val="540A5847"/>
    <w:rsid w:val="541390D8"/>
    <w:rsid w:val="54283561"/>
    <w:rsid w:val="543D892E"/>
    <w:rsid w:val="543DC747"/>
    <w:rsid w:val="54484FBA"/>
    <w:rsid w:val="544A2D6D"/>
    <w:rsid w:val="547EF05B"/>
    <w:rsid w:val="548DC6EA"/>
    <w:rsid w:val="5498215F"/>
    <w:rsid w:val="54A396C4"/>
    <w:rsid w:val="54CA15F5"/>
    <w:rsid w:val="54D7F3DD"/>
    <w:rsid w:val="54FE7C0E"/>
    <w:rsid w:val="550B06BC"/>
    <w:rsid w:val="5555DDDE"/>
    <w:rsid w:val="557CE9CD"/>
    <w:rsid w:val="5587FF6B"/>
    <w:rsid w:val="55B8A89B"/>
    <w:rsid w:val="55BBAD5B"/>
    <w:rsid w:val="55E44F7D"/>
    <w:rsid w:val="55ED037A"/>
    <w:rsid w:val="55FB26B7"/>
    <w:rsid w:val="56099887"/>
    <w:rsid w:val="560F671C"/>
    <w:rsid w:val="56202F67"/>
    <w:rsid w:val="56368189"/>
    <w:rsid w:val="563CF832"/>
    <w:rsid w:val="563E14B1"/>
    <w:rsid w:val="5643A861"/>
    <w:rsid w:val="56604102"/>
    <w:rsid w:val="56761398"/>
    <w:rsid w:val="56764A6B"/>
    <w:rsid w:val="56816CC5"/>
    <w:rsid w:val="569796F1"/>
    <w:rsid w:val="569AE849"/>
    <w:rsid w:val="56A63F58"/>
    <w:rsid w:val="56ABABDD"/>
    <w:rsid w:val="56ACD505"/>
    <w:rsid w:val="56BDA407"/>
    <w:rsid w:val="56DC0929"/>
    <w:rsid w:val="56DE7D6E"/>
    <w:rsid w:val="56EFB5D9"/>
    <w:rsid w:val="56F99223"/>
    <w:rsid w:val="56FF40F7"/>
    <w:rsid w:val="5703755A"/>
    <w:rsid w:val="575537B2"/>
    <w:rsid w:val="575A8B55"/>
    <w:rsid w:val="575F0A49"/>
    <w:rsid w:val="57744A8B"/>
    <w:rsid w:val="577DA0E4"/>
    <w:rsid w:val="578ADBA8"/>
    <w:rsid w:val="57A2F847"/>
    <w:rsid w:val="57A472BE"/>
    <w:rsid w:val="57C7DD5D"/>
    <w:rsid w:val="57D321FC"/>
    <w:rsid w:val="57EDABE5"/>
    <w:rsid w:val="58220D1B"/>
    <w:rsid w:val="58239753"/>
    <w:rsid w:val="582508EE"/>
    <w:rsid w:val="58369759"/>
    <w:rsid w:val="58677A77"/>
    <w:rsid w:val="5895A0B9"/>
    <w:rsid w:val="5898B5D9"/>
    <w:rsid w:val="589EF57D"/>
    <w:rsid w:val="589F1A5D"/>
    <w:rsid w:val="589FF794"/>
    <w:rsid w:val="58C97201"/>
    <w:rsid w:val="58D1395B"/>
    <w:rsid w:val="58D36989"/>
    <w:rsid w:val="58EBB378"/>
    <w:rsid w:val="58F2DAC1"/>
    <w:rsid w:val="5915442C"/>
    <w:rsid w:val="593EB689"/>
    <w:rsid w:val="59478547"/>
    <w:rsid w:val="594E2F4A"/>
    <w:rsid w:val="595823DA"/>
    <w:rsid w:val="595A0EC2"/>
    <w:rsid w:val="596B9807"/>
    <w:rsid w:val="596BB775"/>
    <w:rsid w:val="596F99C5"/>
    <w:rsid w:val="59811CB4"/>
    <w:rsid w:val="5989A78D"/>
    <w:rsid w:val="59A05E3D"/>
    <w:rsid w:val="59B21C20"/>
    <w:rsid w:val="59BDB4AF"/>
    <w:rsid w:val="59EFEA31"/>
    <w:rsid w:val="5A060DA4"/>
    <w:rsid w:val="5A094B5A"/>
    <w:rsid w:val="5A3219A2"/>
    <w:rsid w:val="5A6E9726"/>
    <w:rsid w:val="5A724B19"/>
    <w:rsid w:val="5AB4815B"/>
    <w:rsid w:val="5AC10738"/>
    <w:rsid w:val="5AC2DB46"/>
    <w:rsid w:val="5ACA6EBD"/>
    <w:rsid w:val="5AD7029C"/>
    <w:rsid w:val="5AE34F53"/>
    <w:rsid w:val="5AEDDA22"/>
    <w:rsid w:val="5B1C2070"/>
    <w:rsid w:val="5B459F6C"/>
    <w:rsid w:val="5B514372"/>
    <w:rsid w:val="5B616CAF"/>
    <w:rsid w:val="5B67F18F"/>
    <w:rsid w:val="5B783150"/>
    <w:rsid w:val="5B897636"/>
    <w:rsid w:val="5BA5B6F6"/>
    <w:rsid w:val="5BE15518"/>
    <w:rsid w:val="5BF43591"/>
    <w:rsid w:val="5C0A0353"/>
    <w:rsid w:val="5C0C71D3"/>
    <w:rsid w:val="5C0E1D54"/>
    <w:rsid w:val="5C1BE8FF"/>
    <w:rsid w:val="5C1D9C0A"/>
    <w:rsid w:val="5C27FB78"/>
    <w:rsid w:val="5C3D85AC"/>
    <w:rsid w:val="5C5E9A94"/>
    <w:rsid w:val="5C8668FA"/>
    <w:rsid w:val="5C8B0B36"/>
    <w:rsid w:val="5CABC0BC"/>
    <w:rsid w:val="5CCB02CC"/>
    <w:rsid w:val="5CCBDABB"/>
    <w:rsid w:val="5CE94DA3"/>
    <w:rsid w:val="5CEDE45B"/>
    <w:rsid w:val="5CF6E8D8"/>
    <w:rsid w:val="5CFA608A"/>
    <w:rsid w:val="5D11C0D6"/>
    <w:rsid w:val="5D2AB7DE"/>
    <w:rsid w:val="5D340AB4"/>
    <w:rsid w:val="5D3855A6"/>
    <w:rsid w:val="5D623C68"/>
    <w:rsid w:val="5D8164A3"/>
    <w:rsid w:val="5DA67392"/>
    <w:rsid w:val="5DA9D152"/>
    <w:rsid w:val="5DB17DC2"/>
    <w:rsid w:val="5DD21CA8"/>
    <w:rsid w:val="5DE9D67D"/>
    <w:rsid w:val="5DEC03B8"/>
    <w:rsid w:val="5DFC48BE"/>
    <w:rsid w:val="5E09A876"/>
    <w:rsid w:val="5E09D271"/>
    <w:rsid w:val="5E200209"/>
    <w:rsid w:val="5E2E964C"/>
    <w:rsid w:val="5E3E30E9"/>
    <w:rsid w:val="5E4426FD"/>
    <w:rsid w:val="5E4C40D5"/>
    <w:rsid w:val="5E5061B3"/>
    <w:rsid w:val="5E50658C"/>
    <w:rsid w:val="5E539FE9"/>
    <w:rsid w:val="5E5D06A2"/>
    <w:rsid w:val="5E663A3F"/>
    <w:rsid w:val="5E6FD192"/>
    <w:rsid w:val="5E708DF2"/>
    <w:rsid w:val="5E7693A6"/>
    <w:rsid w:val="5E7E4893"/>
    <w:rsid w:val="5E854FDA"/>
    <w:rsid w:val="5EAFA61B"/>
    <w:rsid w:val="5EDCF216"/>
    <w:rsid w:val="5EE2EB32"/>
    <w:rsid w:val="5EE7E65A"/>
    <w:rsid w:val="5F1E4705"/>
    <w:rsid w:val="5F55A7AD"/>
    <w:rsid w:val="5F697317"/>
    <w:rsid w:val="5F9ED30F"/>
    <w:rsid w:val="5FBE784B"/>
    <w:rsid w:val="5FCC9407"/>
    <w:rsid w:val="5FCEE829"/>
    <w:rsid w:val="5FF026AA"/>
    <w:rsid w:val="5FF7C483"/>
    <w:rsid w:val="5FF92A97"/>
    <w:rsid w:val="5FFFF898"/>
    <w:rsid w:val="600BE955"/>
    <w:rsid w:val="600CBD86"/>
    <w:rsid w:val="60224D85"/>
    <w:rsid w:val="60225ABE"/>
    <w:rsid w:val="602AB010"/>
    <w:rsid w:val="6031DF37"/>
    <w:rsid w:val="603E324A"/>
    <w:rsid w:val="603FB117"/>
    <w:rsid w:val="60569838"/>
    <w:rsid w:val="60662D55"/>
    <w:rsid w:val="60719C72"/>
    <w:rsid w:val="60790CF9"/>
    <w:rsid w:val="607CC1F3"/>
    <w:rsid w:val="608FBFC5"/>
    <w:rsid w:val="60B490F5"/>
    <w:rsid w:val="60D5ED31"/>
    <w:rsid w:val="60D8F997"/>
    <w:rsid w:val="60DB557D"/>
    <w:rsid w:val="60E57AD8"/>
    <w:rsid w:val="60E6245C"/>
    <w:rsid w:val="612708F2"/>
    <w:rsid w:val="6141B2F7"/>
    <w:rsid w:val="61443E90"/>
    <w:rsid w:val="6149D46D"/>
    <w:rsid w:val="61500776"/>
    <w:rsid w:val="61602053"/>
    <w:rsid w:val="616AE4DD"/>
    <w:rsid w:val="6189C377"/>
    <w:rsid w:val="61AFB79F"/>
    <w:rsid w:val="61C82305"/>
    <w:rsid w:val="61F29F89"/>
    <w:rsid w:val="61FCA56E"/>
    <w:rsid w:val="62060A28"/>
    <w:rsid w:val="620D6404"/>
    <w:rsid w:val="620DF004"/>
    <w:rsid w:val="6214D4FD"/>
    <w:rsid w:val="621B9213"/>
    <w:rsid w:val="621C0B26"/>
    <w:rsid w:val="621EEABE"/>
    <w:rsid w:val="62368E63"/>
    <w:rsid w:val="623A426A"/>
    <w:rsid w:val="624BB7A4"/>
    <w:rsid w:val="625BC067"/>
    <w:rsid w:val="62642BE6"/>
    <w:rsid w:val="62688773"/>
    <w:rsid w:val="626C2A7F"/>
    <w:rsid w:val="627EA9A3"/>
    <w:rsid w:val="62A3169B"/>
    <w:rsid w:val="62B38554"/>
    <w:rsid w:val="62B82B43"/>
    <w:rsid w:val="62C96D07"/>
    <w:rsid w:val="62ED63E4"/>
    <w:rsid w:val="62F2AB73"/>
    <w:rsid w:val="62F44DF4"/>
    <w:rsid w:val="631065C0"/>
    <w:rsid w:val="631A25BC"/>
    <w:rsid w:val="63286C36"/>
    <w:rsid w:val="6360D6D0"/>
    <w:rsid w:val="636E201C"/>
    <w:rsid w:val="637A3414"/>
    <w:rsid w:val="637B82BC"/>
    <w:rsid w:val="6387319C"/>
    <w:rsid w:val="6387F521"/>
    <w:rsid w:val="63912BF6"/>
    <w:rsid w:val="63ACCFA7"/>
    <w:rsid w:val="63BA2EB5"/>
    <w:rsid w:val="63C0812E"/>
    <w:rsid w:val="63C5E9F7"/>
    <w:rsid w:val="63FECCA4"/>
    <w:rsid w:val="64022E9A"/>
    <w:rsid w:val="640EB1CC"/>
    <w:rsid w:val="6419F982"/>
    <w:rsid w:val="641DF496"/>
    <w:rsid w:val="641DFA61"/>
    <w:rsid w:val="643AE809"/>
    <w:rsid w:val="6440DA7E"/>
    <w:rsid w:val="64435507"/>
    <w:rsid w:val="6480B406"/>
    <w:rsid w:val="6482528E"/>
    <w:rsid w:val="648920BB"/>
    <w:rsid w:val="648A7448"/>
    <w:rsid w:val="64905107"/>
    <w:rsid w:val="6496B9D8"/>
    <w:rsid w:val="64A05A7D"/>
    <w:rsid w:val="64A3FD46"/>
    <w:rsid w:val="64A9CF3B"/>
    <w:rsid w:val="64BE9EEF"/>
    <w:rsid w:val="64E3F0C1"/>
    <w:rsid w:val="650E94BD"/>
    <w:rsid w:val="650FFAF5"/>
    <w:rsid w:val="6517564E"/>
    <w:rsid w:val="651881FA"/>
    <w:rsid w:val="651AF7D3"/>
    <w:rsid w:val="651ECC52"/>
    <w:rsid w:val="651F1710"/>
    <w:rsid w:val="653E1BD4"/>
    <w:rsid w:val="6554FC7C"/>
    <w:rsid w:val="65562B6C"/>
    <w:rsid w:val="656B56BF"/>
    <w:rsid w:val="657B374B"/>
    <w:rsid w:val="65A09460"/>
    <w:rsid w:val="65AD77B6"/>
    <w:rsid w:val="65DD0DC7"/>
    <w:rsid w:val="65DE59C7"/>
    <w:rsid w:val="65F2339A"/>
    <w:rsid w:val="65FBB448"/>
    <w:rsid w:val="660B8DCD"/>
    <w:rsid w:val="661D25AF"/>
    <w:rsid w:val="66230ABD"/>
    <w:rsid w:val="662CF977"/>
    <w:rsid w:val="6660F49A"/>
    <w:rsid w:val="6670D694"/>
    <w:rsid w:val="6678CFB6"/>
    <w:rsid w:val="6689DCE4"/>
    <w:rsid w:val="669BD2F4"/>
    <w:rsid w:val="66A5EB89"/>
    <w:rsid w:val="66CE013D"/>
    <w:rsid w:val="66D667E4"/>
    <w:rsid w:val="66F305F1"/>
    <w:rsid w:val="671361D2"/>
    <w:rsid w:val="67360B8D"/>
    <w:rsid w:val="673A1274"/>
    <w:rsid w:val="673DF1E0"/>
    <w:rsid w:val="674E1CC8"/>
    <w:rsid w:val="675F1EFF"/>
    <w:rsid w:val="6777FFE8"/>
    <w:rsid w:val="677E16E9"/>
    <w:rsid w:val="6781A0BC"/>
    <w:rsid w:val="678D82AE"/>
    <w:rsid w:val="679E3DE4"/>
    <w:rsid w:val="67BB9BE4"/>
    <w:rsid w:val="67C9ACA1"/>
    <w:rsid w:val="67CCCFF1"/>
    <w:rsid w:val="6819BDC1"/>
    <w:rsid w:val="681B91FB"/>
    <w:rsid w:val="681C5B87"/>
    <w:rsid w:val="683AECF1"/>
    <w:rsid w:val="6846623B"/>
    <w:rsid w:val="684E6824"/>
    <w:rsid w:val="6850A474"/>
    <w:rsid w:val="686A43DA"/>
    <w:rsid w:val="687B7661"/>
    <w:rsid w:val="687F44CB"/>
    <w:rsid w:val="6884B143"/>
    <w:rsid w:val="68A6247A"/>
    <w:rsid w:val="68B68175"/>
    <w:rsid w:val="68BE7CC3"/>
    <w:rsid w:val="68C63A05"/>
    <w:rsid w:val="68C6B1E2"/>
    <w:rsid w:val="68C8819F"/>
    <w:rsid w:val="68C8B6A2"/>
    <w:rsid w:val="68C99A58"/>
    <w:rsid w:val="68D92FCB"/>
    <w:rsid w:val="68E66EE6"/>
    <w:rsid w:val="68E9011C"/>
    <w:rsid w:val="68EE96DB"/>
    <w:rsid w:val="6916257A"/>
    <w:rsid w:val="6916EFC3"/>
    <w:rsid w:val="692340F9"/>
    <w:rsid w:val="6943224C"/>
    <w:rsid w:val="69529C83"/>
    <w:rsid w:val="696E38A3"/>
    <w:rsid w:val="6975ED8D"/>
    <w:rsid w:val="6978FB56"/>
    <w:rsid w:val="697B5C70"/>
    <w:rsid w:val="697BEEF8"/>
    <w:rsid w:val="69A225E1"/>
    <w:rsid w:val="69B5E9F3"/>
    <w:rsid w:val="69C347BC"/>
    <w:rsid w:val="69C51ED1"/>
    <w:rsid w:val="69CAB266"/>
    <w:rsid w:val="69FBED61"/>
    <w:rsid w:val="6A07F542"/>
    <w:rsid w:val="6A130510"/>
    <w:rsid w:val="6A28A48D"/>
    <w:rsid w:val="6A525AA7"/>
    <w:rsid w:val="6A750DBE"/>
    <w:rsid w:val="6A803A72"/>
    <w:rsid w:val="6A8DC623"/>
    <w:rsid w:val="6A9C5631"/>
    <w:rsid w:val="6AA6D98C"/>
    <w:rsid w:val="6AAEFD61"/>
    <w:rsid w:val="6ABE9A1D"/>
    <w:rsid w:val="6ADCE299"/>
    <w:rsid w:val="6B24692A"/>
    <w:rsid w:val="6B3AB8E9"/>
    <w:rsid w:val="6B3B2F9B"/>
    <w:rsid w:val="6B448204"/>
    <w:rsid w:val="6B5CB0ED"/>
    <w:rsid w:val="6B5FBE15"/>
    <w:rsid w:val="6B6A9BE6"/>
    <w:rsid w:val="6B8BB610"/>
    <w:rsid w:val="6B8DF232"/>
    <w:rsid w:val="6BC516FE"/>
    <w:rsid w:val="6BCBE6A7"/>
    <w:rsid w:val="6BCE7240"/>
    <w:rsid w:val="6BDA1443"/>
    <w:rsid w:val="6BE20AF7"/>
    <w:rsid w:val="6BF56F32"/>
    <w:rsid w:val="6C1FD994"/>
    <w:rsid w:val="6C249B9D"/>
    <w:rsid w:val="6C28B48E"/>
    <w:rsid w:val="6C29734B"/>
    <w:rsid w:val="6C2FA735"/>
    <w:rsid w:val="6C335C79"/>
    <w:rsid w:val="6C4064D5"/>
    <w:rsid w:val="6C4A46DA"/>
    <w:rsid w:val="6C52062F"/>
    <w:rsid w:val="6C52AD57"/>
    <w:rsid w:val="6C56429C"/>
    <w:rsid w:val="6C5B5D3E"/>
    <w:rsid w:val="6C68B91E"/>
    <w:rsid w:val="6C7392DB"/>
    <w:rsid w:val="6C8B3FDF"/>
    <w:rsid w:val="6CD4CF57"/>
    <w:rsid w:val="6CD4D19C"/>
    <w:rsid w:val="6CDEE60F"/>
    <w:rsid w:val="6CDF0E45"/>
    <w:rsid w:val="6CDFFAB4"/>
    <w:rsid w:val="6CE89029"/>
    <w:rsid w:val="6CF0E0CC"/>
    <w:rsid w:val="6CF8C3C5"/>
    <w:rsid w:val="6D218D6B"/>
    <w:rsid w:val="6D26A4F4"/>
    <w:rsid w:val="6D39E088"/>
    <w:rsid w:val="6D507C51"/>
    <w:rsid w:val="6D671918"/>
    <w:rsid w:val="6D69A455"/>
    <w:rsid w:val="6D82E8B6"/>
    <w:rsid w:val="6D8C7E53"/>
    <w:rsid w:val="6DDE6D45"/>
    <w:rsid w:val="6DEBB5A5"/>
    <w:rsid w:val="6DEE2F08"/>
    <w:rsid w:val="6DF08C67"/>
    <w:rsid w:val="6DF82518"/>
    <w:rsid w:val="6E18D2DB"/>
    <w:rsid w:val="6E245550"/>
    <w:rsid w:val="6E2F45C7"/>
    <w:rsid w:val="6E386357"/>
    <w:rsid w:val="6E444AD7"/>
    <w:rsid w:val="6E44647B"/>
    <w:rsid w:val="6E5139C7"/>
    <w:rsid w:val="6E5AF1D7"/>
    <w:rsid w:val="6E8CA1E4"/>
    <w:rsid w:val="6E9DBB59"/>
    <w:rsid w:val="6ECB796F"/>
    <w:rsid w:val="6ED2DDB0"/>
    <w:rsid w:val="6EDFD84A"/>
    <w:rsid w:val="6EDFDD03"/>
    <w:rsid w:val="6F0E1B2A"/>
    <w:rsid w:val="6F1ADABD"/>
    <w:rsid w:val="6F3314A1"/>
    <w:rsid w:val="6F5499C3"/>
    <w:rsid w:val="6F5B5F01"/>
    <w:rsid w:val="6F650A54"/>
    <w:rsid w:val="6F6735A8"/>
    <w:rsid w:val="6F712580"/>
    <w:rsid w:val="6F77C118"/>
    <w:rsid w:val="6FB034AC"/>
    <w:rsid w:val="6FCA2804"/>
    <w:rsid w:val="6FE1863E"/>
    <w:rsid w:val="6FF0670F"/>
    <w:rsid w:val="6FF2CDB3"/>
    <w:rsid w:val="70068D7E"/>
    <w:rsid w:val="7007A1B1"/>
    <w:rsid w:val="700E221A"/>
    <w:rsid w:val="701BB415"/>
    <w:rsid w:val="7047140A"/>
    <w:rsid w:val="7047815A"/>
    <w:rsid w:val="704D5F7C"/>
    <w:rsid w:val="7056979D"/>
    <w:rsid w:val="705D7968"/>
    <w:rsid w:val="70677EE0"/>
    <w:rsid w:val="7095D831"/>
    <w:rsid w:val="7096D5DF"/>
    <w:rsid w:val="709AFF4E"/>
    <w:rsid w:val="70B6C457"/>
    <w:rsid w:val="70B87B0F"/>
    <w:rsid w:val="70BDDDAB"/>
    <w:rsid w:val="70C17693"/>
    <w:rsid w:val="70C43E46"/>
    <w:rsid w:val="70C56E6C"/>
    <w:rsid w:val="70F64B56"/>
    <w:rsid w:val="70FAC1F8"/>
    <w:rsid w:val="7118E3C5"/>
    <w:rsid w:val="711EA38C"/>
    <w:rsid w:val="712135DB"/>
    <w:rsid w:val="712591F9"/>
    <w:rsid w:val="71394A3D"/>
    <w:rsid w:val="71437183"/>
    <w:rsid w:val="719BA6D3"/>
    <w:rsid w:val="719CFDC7"/>
    <w:rsid w:val="71B1C310"/>
    <w:rsid w:val="71B931D4"/>
    <w:rsid w:val="71C29BB2"/>
    <w:rsid w:val="71C676BE"/>
    <w:rsid w:val="71D2F145"/>
    <w:rsid w:val="71E6FA36"/>
    <w:rsid w:val="7213C0CD"/>
    <w:rsid w:val="7214FC54"/>
    <w:rsid w:val="72205D82"/>
    <w:rsid w:val="7226EBEF"/>
    <w:rsid w:val="722AF8B4"/>
    <w:rsid w:val="728D2079"/>
    <w:rsid w:val="72A4DA22"/>
    <w:rsid w:val="72EC68CF"/>
    <w:rsid w:val="72F01B4D"/>
    <w:rsid w:val="730C22D5"/>
    <w:rsid w:val="730E4737"/>
    <w:rsid w:val="7316BD7D"/>
    <w:rsid w:val="732794C5"/>
    <w:rsid w:val="7351A0A3"/>
    <w:rsid w:val="7356AA4E"/>
    <w:rsid w:val="73598FDB"/>
    <w:rsid w:val="73615099"/>
    <w:rsid w:val="73649C90"/>
    <w:rsid w:val="736664C7"/>
    <w:rsid w:val="73716E07"/>
    <w:rsid w:val="7381857C"/>
    <w:rsid w:val="7383D151"/>
    <w:rsid w:val="739CF184"/>
    <w:rsid w:val="73A3438E"/>
    <w:rsid w:val="73B6F5EE"/>
    <w:rsid w:val="73C29363"/>
    <w:rsid w:val="74043069"/>
    <w:rsid w:val="742AD6F9"/>
    <w:rsid w:val="742E1FF6"/>
    <w:rsid w:val="7432F7ED"/>
    <w:rsid w:val="74338911"/>
    <w:rsid w:val="744D9A70"/>
    <w:rsid w:val="7450AFE6"/>
    <w:rsid w:val="748A72E8"/>
    <w:rsid w:val="74924F78"/>
    <w:rsid w:val="749AFBFF"/>
    <w:rsid w:val="74B3AEE0"/>
    <w:rsid w:val="74BB9DFC"/>
    <w:rsid w:val="74E95C5F"/>
    <w:rsid w:val="74F3BCB2"/>
    <w:rsid w:val="74F3F5A2"/>
    <w:rsid w:val="74F7A6F3"/>
    <w:rsid w:val="7521CF1C"/>
    <w:rsid w:val="75240D75"/>
    <w:rsid w:val="753022EF"/>
    <w:rsid w:val="753EEF0F"/>
    <w:rsid w:val="754FF933"/>
    <w:rsid w:val="7578EBEE"/>
    <w:rsid w:val="757B6F61"/>
    <w:rsid w:val="75806640"/>
    <w:rsid w:val="75818471"/>
    <w:rsid w:val="7598B123"/>
    <w:rsid w:val="75AC0F93"/>
    <w:rsid w:val="75B28244"/>
    <w:rsid w:val="75CE9293"/>
    <w:rsid w:val="75E8CC8A"/>
    <w:rsid w:val="763F7A85"/>
    <w:rsid w:val="7642B471"/>
    <w:rsid w:val="764E7C48"/>
    <w:rsid w:val="767E2EFF"/>
    <w:rsid w:val="768F248F"/>
    <w:rsid w:val="76A00C5D"/>
    <w:rsid w:val="76AE6C37"/>
    <w:rsid w:val="76AF272D"/>
    <w:rsid w:val="76CEA620"/>
    <w:rsid w:val="76D09EE7"/>
    <w:rsid w:val="76E0B4CC"/>
    <w:rsid w:val="76E537DD"/>
    <w:rsid w:val="76F77B3D"/>
    <w:rsid w:val="7739032A"/>
    <w:rsid w:val="7739370A"/>
    <w:rsid w:val="7740CC67"/>
    <w:rsid w:val="775092D0"/>
    <w:rsid w:val="777A0875"/>
    <w:rsid w:val="7783DA56"/>
    <w:rsid w:val="778A6ED9"/>
    <w:rsid w:val="779BB049"/>
    <w:rsid w:val="77A2F9FC"/>
    <w:rsid w:val="77BDD074"/>
    <w:rsid w:val="77C8D26D"/>
    <w:rsid w:val="77CECBA0"/>
    <w:rsid w:val="77E3B22F"/>
    <w:rsid w:val="77F8E915"/>
    <w:rsid w:val="78028F23"/>
    <w:rsid w:val="7808D8D5"/>
    <w:rsid w:val="78279F0E"/>
    <w:rsid w:val="782A5FED"/>
    <w:rsid w:val="78316D2B"/>
    <w:rsid w:val="783E37B5"/>
    <w:rsid w:val="7840FAAC"/>
    <w:rsid w:val="7864E78E"/>
    <w:rsid w:val="787D242C"/>
    <w:rsid w:val="788B7D78"/>
    <w:rsid w:val="789B9D41"/>
    <w:rsid w:val="78BEEA5C"/>
    <w:rsid w:val="78C7B960"/>
    <w:rsid w:val="78CF158D"/>
    <w:rsid w:val="78D86438"/>
    <w:rsid w:val="78DF989B"/>
    <w:rsid w:val="7911301F"/>
    <w:rsid w:val="7927C99B"/>
    <w:rsid w:val="792E0BF4"/>
    <w:rsid w:val="7937E054"/>
    <w:rsid w:val="7946991B"/>
    <w:rsid w:val="795534FB"/>
    <w:rsid w:val="795AC9D3"/>
    <w:rsid w:val="797CBD28"/>
    <w:rsid w:val="7985DFA1"/>
    <w:rsid w:val="798EE887"/>
    <w:rsid w:val="79AD68ED"/>
    <w:rsid w:val="79B5EF21"/>
    <w:rsid w:val="79BCC704"/>
    <w:rsid w:val="79D3AA0A"/>
    <w:rsid w:val="79D992BC"/>
    <w:rsid w:val="79E9976C"/>
    <w:rsid w:val="79F5DCDD"/>
    <w:rsid w:val="79F6DB3A"/>
    <w:rsid w:val="79F93A63"/>
    <w:rsid w:val="7A0665FD"/>
    <w:rsid w:val="7A382409"/>
    <w:rsid w:val="7A929F22"/>
    <w:rsid w:val="7AAAC9DE"/>
    <w:rsid w:val="7AB75AF2"/>
    <w:rsid w:val="7ACFCC63"/>
    <w:rsid w:val="7AFCF041"/>
    <w:rsid w:val="7B0AED25"/>
    <w:rsid w:val="7B148507"/>
    <w:rsid w:val="7B37F932"/>
    <w:rsid w:val="7B5A73F8"/>
    <w:rsid w:val="7B745F0F"/>
    <w:rsid w:val="7BC3754B"/>
    <w:rsid w:val="7BC4FBAC"/>
    <w:rsid w:val="7BCCCF6E"/>
    <w:rsid w:val="7BED3038"/>
    <w:rsid w:val="7BEFB973"/>
    <w:rsid w:val="7BF3887C"/>
    <w:rsid w:val="7C1F4030"/>
    <w:rsid w:val="7C2CC22F"/>
    <w:rsid w:val="7C3C68B9"/>
    <w:rsid w:val="7C49C00A"/>
    <w:rsid w:val="7C4AC6C4"/>
    <w:rsid w:val="7C5809A8"/>
    <w:rsid w:val="7CBEA8D8"/>
    <w:rsid w:val="7CD1A7BC"/>
    <w:rsid w:val="7CD77DA1"/>
    <w:rsid w:val="7CD8D2ED"/>
    <w:rsid w:val="7CE942F2"/>
    <w:rsid w:val="7CF11BB8"/>
    <w:rsid w:val="7D02D7DC"/>
    <w:rsid w:val="7D059FD2"/>
    <w:rsid w:val="7D218E34"/>
    <w:rsid w:val="7D2C918A"/>
    <w:rsid w:val="7D3A19AE"/>
    <w:rsid w:val="7D615FEC"/>
    <w:rsid w:val="7D62C828"/>
    <w:rsid w:val="7D7F4A98"/>
    <w:rsid w:val="7D9C7792"/>
    <w:rsid w:val="7DAEC95C"/>
    <w:rsid w:val="7DB58FBC"/>
    <w:rsid w:val="7DD2EFB6"/>
    <w:rsid w:val="7DE195CA"/>
    <w:rsid w:val="7DE3485D"/>
    <w:rsid w:val="7DE4573A"/>
    <w:rsid w:val="7DFA4767"/>
    <w:rsid w:val="7E050230"/>
    <w:rsid w:val="7E0E43FC"/>
    <w:rsid w:val="7E0F990A"/>
    <w:rsid w:val="7E43D39C"/>
    <w:rsid w:val="7E63FF50"/>
    <w:rsid w:val="7E6B9AD7"/>
    <w:rsid w:val="7E98D2B4"/>
    <w:rsid w:val="7E9D72D2"/>
    <w:rsid w:val="7EA630F7"/>
    <w:rsid w:val="7ECBCC23"/>
    <w:rsid w:val="7ED31E42"/>
    <w:rsid w:val="7ED89A28"/>
    <w:rsid w:val="7EEB36C0"/>
    <w:rsid w:val="7EEFC65B"/>
    <w:rsid w:val="7F069194"/>
    <w:rsid w:val="7F22E089"/>
    <w:rsid w:val="7F3AC5D4"/>
    <w:rsid w:val="7F40FDFE"/>
    <w:rsid w:val="7F4FCAAB"/>
    <w:rsid w:val="7F529B72"/>
    <w:rsid w:val="7F73475B"/>
    <w:rsid w:val="7F7D481A"/>
    <w:rsid w:val="7F7EF907"/>
    <w:rsid w:val="7FA2E0D6"/>
    <w:rsid w:val="7FB95174"/>
    <w:rsid w:val="7FBD9ECC"/>
    <w:rsid w:val="7FDB38B2"/>
    <w:rsid w:val="7FE2F4C7"/>
    <w:rsid w:val="7FED8316"/>
    <w:rsid w:val="7FFD68BA"/>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A4964E3"/>
  <w15:docId w15:val="{A10AE081-C7E3-4C22-B9AB-D769AF140A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5">
    <w:lsdException w:name="Normal" w:locked="1" w:uiPriority="0" w:qFormat="1"/>
    <w:lsdException w:name="heading 1" w:locked="1" w:uiPriority="9" w:qFormat="1"/>
    <w:lsdException w:name="heading 2" w:locked="1" w:uiPriority="9" w:unhideWhenUsed="1" w:qFormat="1"/>
    <w:lsdException w:name="heading 3" w:locked="1" w:uiPriority="9" w:unhideWhenUsed="1" w:qFormat="1"/>
    <w:lsdException w:name="heading 4" w:locked="1" w:uiPriority="9" w:unhideWhenUsed="1" w:qFormat="1"/>
    <w:lsdException w:name="heading 5" w:locked="1" w:unhideWhenUsed="1" w:qFormat="1"/>
    <w:lsdException w:name="heading 6" w:locked="1" w:semiHidden="1" w:uiPriority="9"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39" w:unhideWhenUsed="1"/>
    <w:lsdException w:name="toc 5" w:locked="1" w:uiPriority="39" w:unhideWhenUsed="1"/>
    <w:lsdException w:name="toc 6" w:locked="1" w:uiPriority="39" w:unhideWhenUsed="1"/>
    <w:lsdException w:name="toc 7" w:locked="1" w:uiPriority="39" w:unhideWhenUsed="1"/>
    <w:lsdException w:name="toc 8" w:locked="1" w:uiPriority="39" w:unhideWhenUsed="1"/>
    <w:lsdException w:name="toc 9" w:locked="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locked="1" w:unhideWhenUsed="1"/>
    <w:lsdException w:name="index heading" w:semiHidden="1" w:unhideWhenUsed="1"/>
    <w:lsdException w:name="caption" w:locked="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lsdException w:name="Closing" w:semiHidden="1" w:unhideWhenUsed="1"/>
    <w:lsdException w:name="Signature" w:semiHidden="1" w:unhideWhenUsed="1"/>
    <w:lsdException w:name="Default Paragraph Font" w:locked="1" w:uiPriority="1" w:unhideWhenUsed="1"/>
    <w:lsdException w:name="Body Text" w:locked="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locked="1"/>
    <w:lsdException w:name="Emphasis" w:locked="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Subtle Reference" w:uiPriority="31"/>
    <w:lsdException w:name="Intense Reference" w:uiPriority="32"/>
    <w:lsdException w:name="Bibliography" w:semiHidden="1" w:uiPriority="37"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157FE7"/>
    <w:pPr>
      <w:suppressAutoHyphens/>
      <w:spacing w:before="120" w:after="120"/>
      <w:jc w:val="both"/>
    </w:pPr>
    <w:rPr>
      <w:sz w:val="22"/>
      <w:szCs w:val="22"/>
      <w:lang w:eastAsia="en-US"/>
    </w:rPr>
  </w:style>
  <w:style w:type="paragraph" w:styleId="Nagwek1">
    <w:name w:val="heading 1"/>
    <w:basedOn w:val="Normalny"/>
    <w:next w:val="Normalny"/>
    <w:link w:val="Nagwek1Znak"/>
    <w:autoRedefine/>
    <w:uiPriority w:val="9"/>
    <w:qFormat/>
    <w:rsid w:val="00BA6B41"/>
    <w:pPr>
      <w:keepNext/>
      <w:widowControl w:val="0"/>
      <w:numPr>
        <w:numId w:val="51"/>
      </w:numPr>
      <w:spacing w:before="240"/>
      <w:ind w:left="709" w:hanging="709"/>
      <w:outlineLvl w:val="0"/>
    </w:pPr>
    <w:rPr>
      <w:b/>
      <w:color w:val="003399"/>
      <w:sz w:val="28"/>
      <w:szCs w:val="28"/>
    </w:rPr>
  </w:style>
  <w:style w:type="paragraph" w:styleId="Nagwek2">
    <w:name w:val="heading 2"/>
    <w:basedOn w:val="Nagwek1"/>
    <w:next w:val="Normalny"/>
    <w:link w:val="Nagwek2Znak"/>
    <w:autoRedefine/>
    <w:uiPriority w:val="9"/>
    <w:qFormat/>
    <w:rsid w:val="00A22ED2"/>
    <w:pPr>
      <w:widowControl/>
      <w:numPr>
        <w:ilvl w:val="1"/>
      </w:numPr>
      <w:ind w:left="709" w:hanging="709"/>
      <w:outlineLvl w:val="1"/>
    </w:pPr>
  </w:style>
  <w:style w:type="paragraph" w:styleId="Nagwek3">
    <w:name w:val="heading 3"/>
    <w:aliases w:val="Nagłówek 4_dpal"/>
    <w:basedOn w:val="Nagwek2"/>
    <w:next w:val="Normalny"/>
    <w:link w:val="Nagwek3Znak"/>
    <w:autoRedefine/>
    <w:uiPriority w:val="9"/>
    <w:qFormat/>
    <w:rsid w:val="007A5D66"/>
    <w:pPr>
      <w:numPr>
        <w:ilvl w:val="2"/>
      </w:numPr>
      <w:ind w:left="851" w:hanging="851"/>
      <w:outlineLvl w:val="2"/>
    </w:pPr>
    <w:rPr>
      <w:sz w:val="24"/>
    </w:rPr>
  </w:style>
  <w:style w:type="paragraph" w:styleId="Nagwek4">
    <w:name w:val="heading 4"/>
    <w:basedOn w:val="Normalny"/>
    <w:next w:val="Normalny"/>
    <w:link w:val="Nagwek4Znak"/>
    <w:uiPriority w:val="9"/>
    <w:qFormat/>
    <w:rsid w:val="00D13EDA"/>
    <w:pPr>
      <w:keepNext/>
      <w:numPr>
        <w:ilvl w:val="3"/>
        <w:numId w:val="51"/>
      </w:numPr>
      <w:spacing w:before="240"/>
      <w:outlineLvl w:val="3"/>
    </w:pPr>
    <w:rPr>
      <w:b/>
      <w:bCs/>
      <w:color w:val="003399"/>
    </w:rPr>
  </w:style>
  <w:style w:type="paragraph" w:styleId="Nagwek5">
    <w:name w:val="heading 5"/>
    <w:basedOn w:val="Normalny"/>
    <w:next w:val="Normalny"/>
    <w:link w:val="Nagwek5Znak"/>
    <w:uiPriority w:val="99"/>
    <w:qFormat/>
    <w:rsid w:val="00AB48A7"/>
    <w:pPr>
      <w:keepNext/>
      <w:spacing w:before="240" w:after="40"/>
      <w:outlineLvl w:val="4"/>
    </w:pPr>
    <w:rPr>
      <w:b/>
    </w:rPr>
  </w:style>
  <w:style w:type="paragraph" w:styleId="Nagwek6">
    <w:name w:val="heading 6"/>
    <w:basedOn w:val="Normalny"/>
    <w:next w:val="Normalny"/>
    <w:link w:val="Nagwek6Znak"/>
    <w:uiPriority w:val="9"/>
    <w:unhideWhenUsed/>
    <w:qFormat/>
    <w:locked/>
    <w:rsid w:val="00B53F7C"/>
    <w:pPr>
      <w:keepNext/>
      <w:keepLines/>
      <w:spacing w:before="240"/>
      <w:outlineLvl w:val="5"/>
    </w:pPr>
    <w:rPr>
      <w:rFonts w:asciiTheme="minorHAnsi" w:eastAsiaTheme="majorEastAsia" w:hAnsiTheme="minorHAnsi" w:cstheme="minorHAnsi"/>
      <w:bCs/>
      <w:iCs/>
      <w:u w:val="single"/>
    </w:rPr>
  </w:style>
  <w:style w:type="paragraph" w:styleId="Nagwek7">
    <w:name w:val="heading 7"/>
    <w:basedOn w:val="Normalny"/>
    <w:next w:val="Normalny"/>
    <w:link w:val="Nagwek7Znak"/>
    <w:unhideWhenUsed/>
    <w:qFormat/>
    <w:locked/>
    <w:rsid w:val="0082042D"/>
    <w:pPr>
      <w:keepNext/>
      <w:keepLines/>
      <w:numPr>
        <w:ilvl w:val="6"/>
        <w:numId w:val="51"/>
      </w:numPr>
      <w:spacing w:before="40" w:after="0"/>
      <w:outlineLvl w:val="6"/>
    </w:pPr>
    <w:rPr>
      <w:rFonts w:asciiTheme="majorHAnsi" w:eastAsiaTheme="majorEastAsia" w:hAnsiTheme="majorHAnsi" w:cstheme="majorBidi"/>
      <w:i/>
      <w:iCs/>
      <w:color w:val="243F60" w:themeColor="accent1" w:themeShade="7F"/>
    </w:rPr>
  </w:style>
  <w:style w:type="paragraph" w:styleId="Nagwek8">
    <w:name w:val="heading 8"/>
    <w:basedOn w:val="Normalny"/>
    <w:next w:val="Normalny"/>
    <w:link w:val="Nagwek8Znak"/>
    <w:unhideWhenUsed/>
    <w:qFormat/>
    <w:locked/>
    <w:rsid w:val="0082042D"/>
    <w:pPr>
      <w:keepNext/>
      <w:keepLines/>
      <w:numPr>
        <w:ilvl w:val="7"/>
        <w:numId w:val="51"/>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nhideWhenUsed/>
    <w:qFormat/>
    <w:locked/>
    <w:rsid w:val="0082042D"/>
    <w:pPr>
      <w:keepNext/>
      <w:keepLines/>
      <w:numPr>
        <w:ilvl w:val="8"/>
        <w:numId w:val="5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locked/>
    <w:rsid w:val="00BA6B41"/>
    <w:rPr>
      <w:b/>
      <w:color w:val="003399"/>
      <w:sz w:val="28"/>
      <w:szCs w:val="28"/>
      <w:lang w:eastAsia="en-US"/>
    </w:rPr>
  </w:style>
  <w:style w:type="character" w:customStyle="1" w:styleId="Nagwek2Znak">
    <w:name w:val="Nagłówek 2 Znak"/>
    <w:link w:val="Nagwek2"/>
    <w:uiPriority w:val="9"/>
    <w:locked/>
    <w:rsid w:val="00A22ED2"/>
    <w:rPr>
      <w:b/>
      <w:color w:val="003399"/>
      <w:sz w:val="28"/>
      <w:szCs w:val="28"/>
      <w:lang w:eastAsia="en-US"/>
    </w:rPr>
  </w:style>
  <w:style w:type="character" w:customStyle="1" w:styleId="Nagwek3Znak">
    <w:name w:val="Nagłówek 3 Znak"/>
    <w:aliases w:val="Nagłówek 4_dpal Znak"/>
    <w:link w:val="Nagwek3"/>
    <w:uiPriority w:val="9"/>
    <w:locked/>
    <w:rsid w:val="007A5D66"/>
    <w:rPr>
      <w:b/>
      <w:color w:val="003399"/>
      <w:sz w:val="24"/>
      <w:szCs w:val="28"/>
      <w:lang w:eastAsia="en-US"/>
    </w:rPr>
  </w:style>
  <w:style w:type="character" w:customStyle="1" w:styleId="Nagwek4Znak">
    <w:name w:val="Nagłówek 4 Znak"/>
    <w:link w:val="Nagwek4"/>
    <w:uiPriority w:val="9"/>
    <w:locked/>
    <w:rsid w:val="00D13EDA"/>
    <w:rPr>
      <w:b/>
      <w:bCs/>
      <w:color w:val="003399"/>
      <w:sz w:val="22"/>
      <w:szCs w:val="22"/>
      <w:lang w:eastAsia="en-US"/>
    </w:rPr>
  </w:style>
  <w:style w:type="character" w:customStyle="1" w:styleId="Nagwek5Znak">
    <w:name w:val="Nagłówek 5 Znak"/>
    <w:link w:val="Nagwek5"/>
    <w:uiPriority w:val="99"/>
    <w:locked/>
    <w:rsid w:val="00AB48A7"/>
    <w:rPr>
      <w:b/>
      <w:sz w:val="22"/>
      <w:szCs w:val="22"/>
      <w:lang w:eastAsia="en-US"/>
    </w:rPr>
  </w:style>
  <w:style w:type="paragraph" w:styleId="Akapitzlist">
    <w:name w:val="List Paragraph"/>
    <w:aliases w:val="WYPUNKTOWANIE Akapit z listą,List_Paragraph,Multilevel para_II,List Paragraph1,Akapit z listą BS,Bullet1,Bullets,List Paragraph 1,References,List Paragraph (numbered (a)),IBL List Paragraph,List Paragraph nowy,Numbered List Paragraph,L1"/>
    <w:basedOn w:val="Punkty"/>
    <w:link w:val="AkapitzlistZnak"/>
    <w:uiPriority w:val="34"/>
    <w:qFormat/>
    <w:rsid w:val="00222943"/>
    <w:pPr>
      <w:numPr>
        <w:numId w:val="92"/>
      </w:numPr>
      <w:suppressAutoHyphens w:val="0"/>
      <w:ind w:left="567" w:hanging="283"/>
    </w:pPr>
  </w:style>
  <w:style w:type="character" w:customStyle="1" w:styleId="AkapitzlistZnak">
    <w:name w:val="Akapit z listą Znak"/>
    <w:aliases w:val="WYPUNKTOWANIE Akapit z listą Znak,List_Paragraph Znak,Multilevel para_II Znak,List Paragraph1 Znak,Akapit z listą BS Znak,Bullet1 Znak,Bullets Znak,List Paragraph 1 Znak,References Znak,List Paragraph (numbered (a)) Znak,L1 Znak"/>
    <w:link w:val="Akapitzlist"/>
    <w:uiPriority w:val="34"/>
    <w:qFormat/>
    <w:locked/>
    <w:rsid w:val="003E158D"/>
    <w:rPr>
      <w:sz w:val="22"/>
      <w:szCs w:val="22"/>
      <w:lang w:eastAsia="en-US"/>
    </w:rPr>
  </w:style>
  <w:style w:type="paragraph" w:styleId="Nagwekspisutreci">
    <w:name w:val="TOC Heading"/>
    <w:basedOn w:val="Nagwek1"/>
    <w:next w:val="Normalny"/>
    <w:uiPriority w:val="99"/>
    <w:rsid w:val="00A46C03"/>
    <w:pPr>
      <w:keepLines/>
      <w:spacing w:after="0" w:line="259" w:lineRule="auto"/>
      <w:ind w:left="0" w:firstLine="0"/>
      <w:outlineLvl w:val="9"/>
    </w:pPr>
    <w:rPr>
      <w:rFonts w:eastAsia="Times New Roman" w:cs="Calibri"/>
      <w:b w:val="0"/>
      <w:color w:val="2F5496"/>
      <w:lang w:eastAsia="pl-PL"/>
    </w:rPr>
  </w:style>
  <w:style w:type="paragraph" w:styleId="Spistreci1">
    <w:name w:val="toc 1"/>
    <w:basedOn w:val="Normalny"/>
    <w:next w:val="Normalny"/>
    <w:autoRedefine/>
    <w:uiPriority w:val="39"/>
    <w:rsid w:val="00BE0C18"/>
    <w:pPr>
      <w:tabs>
        <w:tab w:val="left" w:pos="567"/>
        <w:tab w:val="right" w:leader="dot" w:pos="9062"/>
      </w:tabs>
      <w:ind w:left="567" w:hanging="567"/>
    </w:pPr>
    <w:rPr>
      <w:b/>
      <w:smallCaps/>
      <w:noProof/>
      <w:sz w:val="18"/>
      <w:szCs w:val="20"/>
    </w:rPr>
  </w:style>
  <w:style w:type="paragraph" w:styleId="Spistreci2">
    <w:name w:val="toc 2"/>
    <w:basedOn w:val="Normalny"/>
    <w:next w:val="Normalny"/>
    <w:autoRedefine/>
    <w:uiPriority w:val="39"/>
    <w:rsid w:val="00BE0C18"/>
    <w:pPr>
      <w:tabs>
        <w:tab w:val="left" w:pos="851"/>
        <w:tab w:val="right" w:leader="dot" w:pos="9062"/>
      </w:tabs>
      <w:ind w:left="851" w:hanging="567"/>
    </w:pPr>
    <w:rPr>
      <w:noProof/>
      <w:sz w:val="18"/>
      <w:szCs w:val="20"/>
    </w:rPr>
  </w:style>
  <w:style w:type="paragraph" w:styleId="Spistreci3">
    <w:name w:val="toc 3"/>
    <w:basedOn w:val="Normalny"/>
    <w:next w:val="Normalny"/>
    <w:autoRedefine/>
    <w:uiPriority w:val="39"/>
    <w:rsid w:val="00150A08"/>
    <w:pPr>
      <w:tabs>
        <w:tab w:val="left" w:pos="1276"/>
        <w:tab w:val="right" w:leader="dot" w:pos="9062"/>
      </w:tabs>
      <w:ind w:left="1276" w:hanging="709"/>
      <w:contextualSpacing/>
    </w:pPr>
    <w:rPr>
      <w:i/>
      <w:noProof/>
      <w:sz w:val="18"/>
      <w:szCs w:val="20"/>
    </w:rPr>
  </w:style>
  <w:style w:type="character" w:styleId="Hipercze">
    <w:name w:val="Hyperlink"/>
    <w:uiPriority w:val="99"/>
    <w:rsid w:val="007E433F"/>
    <w:rPr>
      <w:rFonts w:cs="Times New Roman"/>
      <w:color w:val="0563C1"/>
      <w:u w:val="single"/>
    </w:rPr>
  </w:style>
  <w:style w:type="paragraph" w:styleId="Nagwek">
    <w:name w:val="header"/>
    <w:basedOn w:val="Normalny"/>
    <w:link w:val="NagwekZnak"/>
    <w:uiPriority w:val="99"/>
    <w:rsid w:val="0065243A"/>
    <w:pPr>
      <w:tabs>
        <w:tab w:val="center" w:pos="4536"/>
        <w:tab w:val="right" w:pos="9072"/>
      </w:tabs>
      <w:jc w:val="center"/>
    </w:pPr>
    <w:rPr>
      <w:i/>
      <w:iCs/>
      <w:sz w:val="16"/>
      <w:szCs w:val="16"/>
    </w:rPr>
  </w:style>
  <w:style w:type="character" w:customStyle="1" w:styleId="NagwekZnak">
    <w:name w:val="Nagłówek Znak"/>
    <w:link w:val="Nagwek"/>
    <w:uiPriority w:val="99"/>
    <w:locked/>
    <w:rsid w:val="0065243A"/>
    <w:rPr>
      <w:i/>
      <w:iCs/>
      <w:sz w:val="16"/>
      <w:szCs w:val="16"/>
      <w:lang w:eastAsia="en-US"/>
    </w:rPr>
  </w:style>
  <w:style w:type="paragraph" w:styleId="Listapunktowana">
    <w:name w:val="List Bullet"/>
    <w:basedOn w:val="Normalny"/>
    <w:uiPriority w:val="99"/>
    <w:rsid w:val="00E75EDE"/>
    <w:pPr>
      <w:numPr>
        <w:numId w:val="1"/>
      </w:numPr>
      <w:contextualSpacing/>
    </w:pPr>
  </w:style>
  <w:style w:type="paragraph" w:customStyle="1" w:styleId="Punktowanie">
    <w:name w:val="Punktowanie"/>
    <w:basedOn w:val="Akapitzlist"/>
    <w:link w:val="PunktowanieZnak"/>
    <w:uiPriority w:val="99"/>
    <w:rsid w:val="00F64DB0"/>
    <w:pPr>
      <w:ind w:left="0"/>
    </w:pPr>
  </w:style>
  <w:style w:type="character" w:customStyle="1" w:styleId="PunktowanieZnak">
    <w:name w:val="Punktowanie Znak"/>
    <w:link w:val="Punktowanie"/>
    <w:uiPriority w:val="99"/>
    <w:locked/>
    <w:rsid w:val="00F64DB0"/>
    <w:rPr>
      <w:sz w:val="22"/>
      <w:szCs w:val="22"/>
      <w:lang w:eastAsia="en-US"/>
    </w:rPr>
  </w:style>
  <w:style w:type="table" w:styleId="Tabela-Siatka">
    <w:name w:val="Table Grid"/>
    <w:aliases w:val="IIaPGW"/>
    <w:basedOn w:val="Standardowy"/>
    <w:uiPriority w:val="39"/>
    <w:rsid w:val="00440F4C"/>
    <w:pPr>
      <w:spacing w:before="40" w:after="40"/>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spacing w:beforeLines="0" w:before="40" w:beforeAutospacing="0" w:afterLines="0" w:after="40" w:afterAutospacing="0" w:line="240" w:lineRule="auto"/>
      </w:pPr>
      <w:rPr>
        <w:rFonts w:asciiTheme="minorHAnsi" w:hAnsiTheme="minorHAnsi"/>
        <w:b/>
        <w:sz w:val="20"/>
      </w:rPr>
      <w:tblPr/>
      <w:trPr>
        <w:tblHeader/>
      </w:trPr>
      <w:tcPr>
        <w:shd w:val="clear" w:color="auto" w:fill="BFBFBF" w:themeFill="background1" w:themeFillShade="BF"/>
      </w:tcPr>
    </w:tblStylePr>
  </w:style>
  <w:style w:type="paragraph" w:styleId="Legenda">
    <w:name w:val="caption"/>
    <w:aliases w:val="Tabela/Rysunek,TABELA,Legend,rysunek,Podpis nad obiektem,Legenda Znak Znak Znak,Legenda Znak Znak,Legenda Znak Znak Znak Znak,Legenda Znak Znak Znak Znak Znak Znak,Legenda Znak Znak Znak Znak Znak Znak Znak"/>
    <w:basedOn w:val="Normalny"/>
    <w:next w:val="Normalny"/>
    <w:link w:val="LegendaZnak"/>
    <w:autoRedefine/>
    <w:uiPriority w:val="35"/>
    <w:rsid w:val="00D60159"/>
    <w:pPr>
      <w:keepNext/>
      <w:spacing w:before="40" w:after="0"/>
      <w:ind w:left="1276" w:hanging="1276"/>
      <w:jc w:val="left"/>
    </w:pPr>
    <w:rPr>
      <w:b/>
      <w:iCs/>
      <w:sz w:val="20"/>
      <w:szCs w:val="18"/>
    </w:rPr>
  </w:style>
  <w:style w:type="character" w:customStyle="1" w:styleId="LegendaZnak">
    <w:name w:val="Legenda Znak"/>
    <w:aliases w:val="Tabela/Rysunek Znak,TABELA Znak,Legend Znak,rysunek Znak,Podpis nad obiektem Znak,Legenda Znak Znak Znak Znak1,Legenda Znak Znak Znak1,Legenda Znak Znak Znak Znak Znak,Legenda Znak Znak Znak Znak Znak Znak Znak1"/>
    <w:link w:val="Legenda"/>
    <w:uiPriority w:val="35"/>
    <w:locked/>
    <w:rsid w:val="004D7705"/>
    <w:rPr>
      <w:b/>
      <w:iCs/>
      <w:szCs w:val="18"/>
      <w:lang w:eastAsia="en-US"/>
    </w:rPr>
  </w:style>
  <w:style w:type="paragraph" w:styleId="Tekstprzypisudolnego">
    <w:name w:val="footnote text"/>
    <w:aliases w:val="Podrozdział,~FootnoteText,przypis dolny_R,Tekst przypisu,Footnote,Podrozdzia3,-E Fuﬂnotentext,Fuﬂnotentext Ursprung,footnote text,Fußnotentext Ursprung,-E Fußnotentext,Fußnote,Footnote text,Tekst przypisu Znak Znak Znak Znak,Znak"/>
    <w:basedOn w:val="Normalny"/>
    <w:link w:val="TekstprzypisudolnegoZnak"/>
    <w:uiPriority w:val="99"/>
    <w:qFormat/>
    <w:rsid w:val="006C22FD"/>
    <w:rPr>
      <w:sz w:val="18"/>
      <w:szCs w:val="20"/>
    </w:rPr>
  </w:style>
  <w:style w:type="character" w:customStyle="1" w:styleId="TekstprzypisudolnegoZnak">
    <w:name w:val="Tekst przypisu dolnego Znak"/>
    <w:aliases w:val="Podrozdział Znak,~FootnoteText Znak,przypis dolny_R Znak,Tekst przypisu Znak,Footnote Znak,Podrozdzia3 Znak,-E Fuﬂnotentext Znak,Fuﬂnotentext Ursprung Znak,footnote text Znak,Fußnotentext Ursprung Znak,-E Fußnotentext Znak"/>
    <w:link w:val="Tekstprzypisudolnego"/>
    <w:uiPriority w:val="99"/>
    <w:qFormat/>
    <w:locked/>
    <w:rsid w:val="006C22FD"/>
    <w:rPr>
      <w:sz w:val="18"/>
      <w:lang w:eastAsia="en-US"/>
    </w:rPr>
  </w:style>
  <w:style w:type="character" w:styleId="Odwoanieprzypisudolnego">
    <w:name w:val="footnote reference"/>
    <w:aliases w:val="Odwołanie przypisu,EN Footnote Reference,Times 10 Point,Exposant 3 Point,Footnote symbol,Footnote reference number,note TESI,stylish,Footnote Reference Number,SUPERS,Footnote number,K_Odwołanie przypisu dolnego,Ref,number,16 P"/>
    <w:link w:val="Nota"/>
    <w:uiPriority w:val="99"/>
    <w:qFormat/>
    <w:rsid w:val="00A377DE"/>
    <w:rPr>
      <w:rFonts w:cs="Times New Roman"/>
      <w:vertAlign w:val="superscript"/>
    </w:rPr>
  </w:style>
  <w:style w:type="paragraph" w:customStyle="1" w:styleId="Przypisdolny">
    <w:name w:val="Przypis dolny"/>
    <w:basedOn w:val="Tekstprzypisudolnego"/>
    <w:link w:val="PrzypisdolnyZnak"/>
    <w:uiPriority w:val="99"/>
    <w:rsid w:val="00A377DE"/>
  </w:style>
  <w:style w:type="character" w:customStyle="1" w:styleId="PrzypisdolnyZnak">
    <w:name w:val="Przypis dolny Znak"/>
    <w:link w:val="Przypisdolny"/>
    <w:uiPriority w:val="99"/>
    <w:locked/>
    <w:rsid w:val="00A377DE"/>
    <w:rPr>
      <w:sz w:val="18"/>
      <w:lang w:eastAsia="en-US"/>
    </w:rPr>
  </w:style>
  <w:style w:type="paragraph" w:customStyle="1" w:styleId="Teksttabelilewy">
    <w:name w:val="Tekst tabeli lewy"/>
    <w:basedOn w:val="Normalny"/>
    <w:link w:val="TeksttabelilewyZnak"/>
    <w:uiPriority w:val="99"/>
    <w:rsid w:val="006575EB"/>
    <w:pPr>
      <w:spacing w:before="40" w:after="40"/>
      <w:jc w:val="left"/>
    </w:pPr>
    <w:rPr>
      <w:sz w:val="20"/>
    </w:rPr>
  </w:style>
  <w:style w:type="paragraph" w:customStyle="1" w:styleId="Teksttabeliprawy">
    <w:name w:val="Tekst tabeli prawy"/>
    <w:basedOn w:val="Teksttabelilewy"/>
    <w:link w:val="TeksttabeliprawyZnak"/>
    <w:autoRedefine/>
    <w:uiPriority w:val="99"/>
    <w:qFormat/>
    <w:rsid w:val="00F11AFD"/>
    <w:pPr>
      <w:keepNext/>
      <w:jc w:val="center"/>
    </w:pPr>
    <w:rPr>
      <w:bCs/>
      <w:lang w:eastAsia="pl-PL"/>
    </w:rPr>
  </w:style>
  <w:style w:type="paragraph" w:customStyle="1" w:styleId="Teksttabelisrodek">
    <w:name w:val="Tekst tabeli srodek"/>
    <w:basedOn w:val="Teksttabeliprawy"/>
    <w:uiPriority w:val="99"/>
    <w:rsid w:val="00E67CDD"/>
    <w:pPr>
      <w:keepNext w:val="0"/>
    </w:pPr>
  </w:style>
  <w:style w:type="paragraph" w:customStyle="1" w:styleId="Teksttabelinaglowek">
    <w:name w:val="Tekst tabeli naglowek"/>
    <w:basedOn w:val="Normalny"/>
    <w:rsid w:val="00CE7CBA"/>
    <w:pPr>
      <w:spacing w:before="40" w:after="40"/>
      <w:jc w:val="center"/>
    </w:pPr>
    <w:rPr>
      <w:rFonts w:asciiTheme="minorHAnsi" w:hAnsiTheme="minorHAnsi"/>
      <w:b/>
      <w:sz w:val="20"/>
      <w:lang w:eastAsia="pl-PL"/>
    </w:rPr>
  </w:style>
  <w:style w:type="paragraph" w:styleId="Listapunktowana2">
    <w:name w:val="List Bullet 2"/>
    <w:basedOn w:val="Punkty"/>
    <w:uiPriority w:val="99"/>
    <w:rsid w:val="00117E86"/>
    <w:pPr>
      <w:numPr>
        <w:numId w:val="124"/>
      </w:numPr>
    </w:pPr>
  </w:style>
  <w:style w:type="paragraph" w:styleId="Listapunktowana3">
    <w:name w:val="List Bullet 3"/>
    <w:basedOn w:val="M1"/>
    <w:uiPriority w:val="99"/>
    <w:rsid w:val="0050009F"/>
    <w:pPr>
      <w:ind w:left="1134" w:hanging="283"/>
    </w:pPr>
  </w:style>
  <w:style w:type="paragraph" w:styleId="Tekstkomentarza">
    <w:name w:val="annotation text"/>
    <w:basedOn w:val="Normalny"/>
    <w:link w:val="TekstkomentarzaZnak"/>
    <w:rsid w:val="00875CAA"/>
    <w:pPr>
      <w:spacing w:before="0" w:after="160"/>
      <w:jc w:val="left"/>
    </w:pPr>
    <w:rPr>
      <w:sz w:val="20"/>
      <w:szCs w:val="20"/>
    </w:rPr>
  </w:style>
  <w:style w:type="character" w:customStyle="1" w:styleId="TekstkomentarzaZnak">
    <w:name w:val="Tekst komentarza Znak"/>
    <w:link w:val="Tekstkomentarza"/>
    <w:locked/>
    <w:rsid w:val="00FA6971"/>
    <w:rPr>
      <w:lang w:eastAsia="en-US"/>
    </w:rPr>
  </w:style>
  <w:style w:type="paragraph" w:styleId="Tematkomentarza">
    <w:name w:val="annotation subject"/>
    <w:basedOn w:val="Tekstkomentarza"/>
    <w:next w:val="Tekstkomentarza"/>
    <w:link w:val="TematkomentarzaZnak"/>
    <w:uiPriority w:val="99"/>
    <w:rsid w:val="00363D79"/>
    <w:pPr>
      <w:spacing w:before="120" w:after="120"/>
      <w:jc w:val="both"/>
    </w:pPr>
    <w:rPr>
      <w:b/>
      <w:bCs/>
    </w:rPr>
  </w:style>
  <w:style w:type="character" w:customStyle="1" w:styleId="TematkomentarzaZnak">
    <w:name w:val="Temat komentarza Znak"/>
    <w:link w:val="Tematkomentarza"/>
    <w:uiPriority w:val="99"/>
    <w:locked/>
    <w:rsid w:val="00363D79"/>
    <w:rPr>
      <w:b/>
      <w:bCs/>
      <w:lang w:eastAsia="en-US"/>
    </w:rPr>
  </w:style>
  <w:style w:type="paragraph" w:styleId="Stopka">
    <w:name w:val="footer"/>
    <w:aliases w:val="stand"/>
    <w:basedOn w:val="Normalny"/>
    <w:link w:val="StopkaZnak"/>
    <w:uiPriority w:val="99"/>
    <w:rsid w:val="00E35770"/>
    <w:pPr>
      <w:pBdr>
        <w:top w:val="single" w:sz="4" w:space="1" w:color="auto"/>
      </w:pBdr>
      <w:tabs>
        <w:tab w:val="center" w:pos="4536"/>
        <w:tab w:val="right" w:pos="9072"/>
      </w:tabs>
      <w:jc w:val="center"/>
    </w:pPr>
    <w:rPr>
      <w:sz w:val="18"/>
      <w:szCs w:val="18"/>
    </w:rPr>
  </w:style>
  <w:style w:type="character" w:customStyle="1" w:styleId="StopkaZnak">
    <w:name w:val="Stopka Znak"/>
    <w:aliases w:val="stand Znak"/>
    <w:link w:val="Stopka"/>
    <w:uiPriority w:val="99"/>
    <w:locked/>
    <w:rsid w:val="00E35770"/>
    <w:rPr>
      <w:sz w:val="18"/>
      <w:lang w:eastAsia="en-US"/>
    </w:rPr>
  </w:style>
  <w:style w:type="paragraph" w:customStyle="1" w:styleId="Nagwekstrony">
    <w:name w:val="Nagłówek strony"/>
    <w:basedOn w:val="Tytu"/>
    <w:uiPriority w:val="99"/>
    <w:rsid w:val="002A6D85"/>
    <w:pPr>
      <w:pBdr>
        <w:bottom w:val="single" w:sz="4" w:space="1" w:color="003399"/>
      </w:pBdr>
      <w:spacing w:before="0" w:after="0"/>
    </w:pPr>
    <w:rPr>
      <w:b w:val="0"/>
      <w:bCs/>
      <w:spacing w:val="-10"/>
      <w:sz w:val="14"/>
      <w:szCs w:val="14"/>
    </w:rPr>
  </w:style>
  <w:style w:type="paragraph" w:styleId="Tytu">
    <w:name w:val="Title"/>
    <w:aliases w:val="Tytuł szcw"/>
    <w:basedOn w:val="Normalny"/>
    <w:next w:val="Normalny"/>
    <w:link w:val="TytuZnak"/>
    <w:uiPriority w:val="99"/>
    <w:rsid w:val="00217D72"/>
    <w:pPr>
      <w:keepNext/>
      <w:spacing w:before="240"/>
      <w:jc w:val="left"/>
    </w:pPr>
    <w:rPr>
      <w:b/>
      <w:color w:val="003399"/>
      <w:sz w:val="28"/>
      <w:szCs w:val="28"/>
    </w:rPr>
  </w:style>
  <w:style w:type="character" w:customStyle="1" w:styleId="TytuZnak">
    <w:name w:val="Tytuł Znak"/>
    <w:aliases w:val="Tytuł szcw Znak"/>
    <w:link w:val="Tytu"/>
    <w:uiPriority w:val="99"/>
    <w:locked/>
    <w:rsid w:val="006B2425"/>
    <w:rPr>
      <w:b/>
      <w:color w:val="003399"/>
      <w:sz w:val="28"/>
      <w:szCs w:val="28"/>
      <w:lang w:eastAsia="en-US"/>
    </w:rPr>
  </w:style>
  <w:style w:type="paragraph" w:styleId="Spisilustracji">
    <w:name w:val="table of figures"/>
    <w:basedOn w:val="Normalny"/>
    <w:next w:val="Normalny"/>
    <w:uiPriority w:val="99"/>
    <w:rsid w:val="00C2259B"/>
    <w:pPr>
      <w:tabs>
        <w:tab w:val="left" w:pos="1134"/>
        <w:tab w:val="right" w:leader="dot" w:pos="9072"/>
      </w:tabs>
      <w:spacing w:before="40" w:after="40"/>
      <w:ind w:left="1134" w:hanging="1134"/>
    </w:pPr>
    <w:rPr>
      <w:noProof/>
      <w:sz w:val="18"/>
    </w:rPr>
  </w:style>
  <w:style w:type="character" w:styleId="Tytuksiki">
    <w:name w:val="Book Title"/>
    <w:uiPriority w:val="99"/>
    <w:rsid w:val="00DF7789"/>
    <w:rPr>
      <w:b/>
      <w:color w:val="2F5496"/>
      <w:sz w:val="28"/>
    </w:rPr>
  </w:style>
  <w:style w:type="character" w:styleId="Odwoaniedokomentarza">
    <w:name w:val="annotation reference"/>
    <w:uiPriority w:val="99"/>
    <w:rsid w:val="00FA6971"/>
    <w:rPr>
      <w:rFonts w:cs="Times New Roman"/>
      <w:sz w:val="16"/>
    </w:rPr>
  </w:style>
  <w:style w:type="paragraph" w:styleId="Tekstdymka">
    <w:name w:val="Balloon Text"/>
    <w:basedOn w:val="Normalny"/>
    <w:link w:val="TekstdymkaZnak"/>
    <w:uiPriority w:val="99"/>
    <w:rsid w:val="00FA6971"/>
    <w:pPr>
      <w:spacing w:before="0" w:after="0"/>
    </w:pPr>
    <w:rPr>
      <w:rFonts w:ascii="Segoe UI" w:hAnsi="Segoe UI"/>
      <w:sz w:val="18"/>
      <w:szCs w:val="18"/>
    </w:rPr>
  </w:style>
  <w:style w:type="character" w:customStyle="1" w:styleId="TekstdymkaZnak">
    <w:name w:val="Tekst dymka Znak"/>
    <w:link w:val="Tekstdymka"/>
    <w:uiPriority w:val="99"/>
    <w:locked/>
    <w:rsid w:val="00FA6971"/>
    <w:rPr>
      <w:rFonts w:ascii="Segoe UI" w:hAnsi="Segoe UI"/>
      <w:sz w:val="18"/>
      <w:lang w:eastAsia="en-US"/>
    </w:rPr>
  </w:style>
  <w:style w:type="paragraph" w:styleId="Tekstpodstawowy">
    <w:name w:val="Body Text"/>
    <w:basedOn w:val="Normalny"/>
    <w:link w:val="TekstpodstawowyZnak"/>
    <w:uiPriority w:val="99"/>
    <w:rsid w:val="00B41CD9"/>
    <w:pPr>
      <w:spacing w:before="0" w:after="0" w:line="276" w:lineRule="auto"/>
    </w:pPr>
  </w:style>
  <w:style w:type="character" w:customStyle="1" w:styleId="TekstpodstawowyZnak">
    <w:name w:val="Tekst podstawowy Znak"/>
    <w:link w:val="Tekstpodstawowy"/>
    <w:uiPriority w:val="99"/>
    <w:locked/>
    <w:rsid w:val="00B41CD9"/>
    <w:rPr>
      <w:sz w:val="22"/>
      <w:lang w:eastAsia="en-US"/>
    </w:rPr>
  </w:style>
  <w:style w:type="paragraph" w:customStyle="1" w:styleId="punktory">
    <w:name w:val="punktory"/>
    <w:basedOn w:val="Tekstpodstawowy"/>
    <w:link w:val="punktoryZnak"/>
    <w:uiPriority w:val="99"/>
    <w:rsid w:val="00B41CD9"/>
    <w:pPr>
      <w:numPr>
        <w:numId w:val="3"/>
      </w:numPr>
      <w:tabs>
        <w:tab w:val="left" w:pos="567"/>
      </w:tabs>
      <w:contextualSpacing/>
    </w:pPr>
  </w:style>
  <w:style w:type="character" w:customStyle="1" w:styleId="punktoryZnak">
    <w:name w:val="punktory Znak"/>
    <w:link w:val="punktory"/>
    <w:uiPriority w:val="99"/>
    <w:locked/>
    <w:rsid w:val="00B41CD9"/>
    <w:rPr>
      <w:sz w:val="22"/>
      <w:szCs w:val="22"/>
      <w:lang w:eastAsia="en-US"/>
    </w:rPr>
  </w:style>
  <w:style w:type="paragraph" w:customStyle="1" w:styleId="OZNRODZAKTUtznustawalubrozporzdzenieiorganwydajcy">
    <w:name w:val="OZN_RODZ_AKTU – tzn. ustawa lub rozporządzenie i organ wydający"/>
    <w:next w:val="Normalny"/>
    <w:uiPriority w:val="99"/>
    <w:rsid w:val="00D23261"/>
    <w:pPr>
      <w:keepNext/>
      <w:suppressAutoHyphens/>
      <w:spacing w:after="120" w:line="360" w:lineRule="auto"/>
      <w:jc w:val="center"/>
    </w:pPr>
    <w:rPr>
      <w:rFonts w:ascii="Times" w:eastAsia="Times New Roman" w:hAnsi="Times"/>
      <w:b/>
      <w:bCs/>
      <w:caps/>
      <w:spacing w:val="54"/>
      <w:kern w:val="24"/>
      <w:sz w:val="24"/>
      <w:szCs w:val="24"/>
    </w:rPr>
  </w:style>
  <w:style w:type="paragraph" w:customStyle="1" w:styleId="paragraphscxw238505274bcx2">
    <w:name w:val="paragraph scxw238505274 bcx2"/>
    <w:basedOn w:val="Normalny"/>
    <w:uiPriority w:val="99"/>
    <w:rsid w:val="004D05AF"/>
    <w:pPr>
      <w:spacing w:before="100" w:beforeAutospacing="1" w:after="100" w:afterAutospacing="1"/>
      <w:jc w:val="left"/>
    </w:pPr>
    <w:rPr>
      <w:rFonts w:ascii="Times New Roman" w:eastAsia="Times New Roman" w:hAnsi="Times New Roman"/>
      <w:sz w:val="24"/>
      <w:szCs w:val="24"/>
      <w:lang w:eastAsia="pl-PL"/>
    </w:rPr>
  </w:style>
  <w:style w:type="paragraph" w:styleId="Listanumerowana2">
    <w:name w:val="List Number 2"/>
    <w:basedOn w:val="Normalny"/>
    <w:uiPriority w:val="99"/>
    <w:rsid w:val="00C04A6F"/>
    <w:pPr>
      <w:numPr>
        <w:numId w:val="2"/>
      </w:numPr>
      <w:contextualSpacing/>
    </w:pPr>
  </w:style>
  <w:style w:type="paragraph" w:styleId="Listanumerowana">
    <w:name w:val="List Number"/>
    <w:basedOn w:val="Normalny"/>
    <w:uiPriority w:val="99"/>
    <w:rsid w:val="0077315B"/>
    <w:pPr>
      <w:numPr>
        <w:numId w:val="5"/>
      </w:numPr>
      <w:contextualSpacing/>
    </w:pPr>
    <w:rPr>
      <w:b/>
    </w:rPr>
  </w:style>
  <w:style w:type="character" w:customStyle="1" w:styleId="spellingerrorscxw238505274bcx2">
    <w:name w:val="spellingerror scxw238505274 bcx2"/>
    <w:uiPriority w:val="99"/>
    <w:rsid w:val="004D05AF"/>
    <w:rPr>
      <w:rFonts w:cs="Times New Roman"/>
    </w:rPr>
  </w:style>
  <w:style w:type="paragraph" w:customStyle="1" w:styleId="Bullet1">
    <w:name w:val="~Bullet1"/>
    <w:basedOn w:val="Tekstpodstawowy"/>
    <w:uiPriority w:val="99"/>
    <w:rsid w:val="004D05AF"/>
    <w:pPr>
      <w:numPr>
        <w:numId w:val="4"/>
      </w:numPr>
      <w:tabs>
        <w:tab w:val="left" w:pos="284"/>
      </w:tabs>
    </w:pPr>
    <w:rPr>
      <w:rFonts w:eastAsia="Times New Roman"/>
    </w:rPr>
  </w:style>
  <w:style w:type="character" w:customStyle="1" w:styleId="eop">
    <w:name w:val="eop"/>
    <w:rsid w:val="004D05AF"/>
  </w:style>
  <w:style w:type="character" w:customStyle="1" w:styleId="spellingerror">
    <w:name w:val="spellingerror"/>
    <w:uiPriority w:val="99"/>
    <w:rsid w:val="004D05AF"/>
  </w:style>
  <w:style w:type="character" w:styleId="Pogrubienie">
    <w:name w:val="Strong"/>
    <w:uiPriority w:val="99"/>
    <w:rsid w:val="00FD7F19"/>
    <w:rPr>
      <w:rFonts w:asciiTheme="minorHAnsi" w:hAnsiTheme="minorHAnsi"/>
      <w:b/>
    </w:rPr>
  </w:style>
  <w:style w:type="paragraph" w:styleId="Tekstprzypisukocowego">
    <w:name w:val="endnote text"/>
    <w:basedOn w:val="Normalny"/>
    <w:link w:val="TekstprzypisukocowegoZnak"/>
    <w:uiPriority w:val="99"/>
    <w:rsid w:val="00914B3D"/>
    <w:rPr>
      <w:sz w:val="20"/>
      <w:szCs w:val="20"/>
    </w:rPr>
  </w:style>
  <w:style w:type="character" w:customStyle="1" w:styleId="TekstprzypisukocowegoZnak">
    <w:name w:val="Tekst przypisu końcowego Znak"/>
    <w:link w:val="Tekstprzypisukocowego"/>
    <w:uiPriority w:val="99"/>
    <w:locked/>
    <w:rsid w:val="00914B3D"/>
    <w:rPr>
      <w:lang w:eastAsia="en-US"/>
    </w:rPr>
  </w:style>
  <w:style w:type="character" w:styleId="Odwoanieprzypisukocowego">
    <w:name w:val="endnote reference"/>
    <w:uiPriority w:val="99"/>
    <w:rsid w:val="00914B3D"/>
    <w:rPr>
      <w:rFonts w:cs="Times New Roman"/>
      <w:vertAlign w:val="superscript"/>
    </w:rPr>
  </w:style>
  <w:style w:type="paragraph" w:styleId="Poprawka">
    <w:name w:val="Revision"/>
    <w:hidden/>
    <w:uiPriority w:val="99"/>
    <w:semiHidden/>
    <w:rsid w:val="00082CC0"/>
    <w:rPr>
      <w:sz w:val="22"/>
      <w:szCs w:val="22"/>
      <w:lang w:eastAsia="en-US"/>
    </w:rPr>
  </w:style>
  <w:style w:type="character" w:customStyle="1" w:styleId="Nierozpoznanawzmianka1">
    <w:name w:val="Nierozpoznana wzmianka1"/>
    <w:uiPriority w:val="99"/>
    <w:rsid w:val="00960E1A"/>
    <w:rPr>
      <w:rFonts w:cs="Times New Roman"/>
      <w:color w:val="605E5C"/>
      <w:shd w:val="clear" w:color="auto" w:fill="E1DFDD"/>
    </w:rPr>
  </w:style>
  <w:style w:type="character" w:customStyle="1" w:styleId="Wzmianka1">
    <w:name w:val="Wzmianka1"/>
    <w:uiPriority w:val="99"/>
    <w:rsid w:val="00960E1A"/>
    <w:rPr>
      <w:rFonts w:cs="Times New Roman"/>
      <w:color w:val="2B579A"/>
      <w:shd w:val="clear" w:color="auto" w:fill="E1DFDD"/>
    </w:rPr>
  </w:style>
  <w:style w:type="paragraph" w:customStyle="1" w:styleId="paragraph">
    <w:name w:val="paragraph"/>
    <w:basedOn w:val="Normalny"/>
    <w:rsid w:val="00AC2A26"/>
    <w:pPr>
      <w:spacing w:before="100" w:beforeAutospacing="1" w:after="100" w:afterAutospacing="1"/>
      <w:jc w:val="left"/>
    </w:pPr>
    <w:rPr>
      <w:rFonts w:ascii="Times New Roman" w:eastAsia="Times New Roman" w:hAnsi="Times New Roman"/>
      <w:sz w:val="24"/>
      <w:szCs w:val="24"/>
      <w:lang w:eastAsia="pl-PL"/>
    </w:rPr>
  </w:style>
  <w:style w:type="character" w:customStyle="1" w:styleId="Nagwek6Znak">
    <w:name w:val="Nagłówek 6 Znak"/>
    <w:basedOn w:val="Domylnaczcionkaakapitu"/>
    <w:link w:val="Nagwek6"/>
    <w:rsid w:val="005B1E05"/>
    <w:rPr>
      <w:rFonts w:asciiTheme="minorHAnsi" w:eastAsiaTheme="majorEastAsia" w:hAnsiTheme="minorHAnsi" w:cstheme="minorHAnsi"/>
      <w:bCs/>
      <w:iCs/>
      <w:sz w:val="22"/>
      <w:szCs w:val="22"/>
      <w:u w:val="single"/>
      <w:lang w:eastAsia="en-US"/>
    </w:rPr>
  </w:style>
  <w:style w:type="character" w:customStyle="1" w:styleId="Nagwek7Znak">
    <w:name w:val="Nagłówek 7 Znak"/>
    <w:basedOn w:val="Domylnaczcionkaakapitu"/>
    <w:link w:val="Nagwek7"/>
    <w:rsid w:val="0082042D"/>
    <w:rPr>
      <w:rFonts w:asciiTheme="majorHAnsi" w:eastAsiaTheme="majorEastAsia" w:hAnsiTheme="majorHAnsi" w:cstheme="majorBidi"/>
      <w:i/>
      <w:iCs/>
      <w:color w:val="243F60" w:themeColor="accent1" w:themeShade="7F"/>
      <w:sz w:val="22"/>
      <w:szCs w:val="22"/>
      <w:lang w:eastAsia="en-US"/>
    </w:rPr>
  </w:style>
  <w:style w:type="character" w:customStyle="1" w:styleId="Nagwek8Znak">
    <w:name w:val="Nagłówek 8 Znak"/>
    <w:basedOn w:val="Domylnaczcionkaakapitu"/>
    <w:link w:val="Nagwek8"/>
    <w:rsid w:val="0082042D"/>
    <w:rPr>
      <w:rFonts w:asciiTheme="majorHAnsi" w:eastAsiaTheme="majorEastAsia" w:hAnsiTheme="majorHAnsi" w:cstheme="majorBidi"/>
      <w:color w:val="272727" w:themeColor="text1" w:themeTint="D8"/>
      <w:sz w:val="21"/>
      <w:szCs w:val="21"/>
      <w:lang w:eastAsia="en-US"/>
    </w:rPr>
  </w:style>
  <w:style w:type="character" w:customStyle="1" w:styleId="Nagwek9Znak">
    <w:name w:val="Nagłówek 9 Znak"/>
    <w:basedOn w:val="Domylnaczcionkaakapitu"/>
    <w:link w:val="Nagwek9"/>
    <w:rsid w:val="0082042D"/>
    <w:rPr>
      <w:rFonts w:asciiTheme="majorHAnsi" w:eastAsiaTheme="majorEastAsia" w:hAnsiTheme="majorHAnsi" w:cstheme="majorBidi"/>
      <w:i/>
      <w:iCs/>
      <w:color w:val="272727" w:themeColor="text1" w:themeTint="D8"/>
      <w:sz w:val="21"/>
      <w:szCs w:val="21"/>
      <w:lang w:eastAsia="en-US"/>
    </w:rPr>
  </w:style>
  <w:style w:type="paragraph" w:customStyle="1" w:styleId="Tytuzaacznika">
    <w:name w:val="Tytuł załacznika"/>
    <w:basedOn w:val="Nagwek2"/>
    <w:autoRedefine/>
    <w:qFormat/>
    <w:rsid w:val="006B2425"/>
    <w:pPr>
      <w:numPr>
        <w:ilvl w:val="0"/>
        <w:numId w:val="0"/>
      </w:numPr>
      <w:jc w:val="center"/>
    </w:pPr>
  </w:style>
  <w:style w:type="paragraph" w:styleId="Spistreci4">
    <w:name w:val="toc 4"/>
    <w:basedOn w:val="Normalny"/>
    <w:next w:val="Normalny"/>
    <w:autoRedefine/>
    <w:uiPriority w:val="39"/>
    <w:unhideWhenUsed/>
    <w:locked/>
    <w:rsid w:val="00584651"/>
    <w:pPr>
      <w:tabs>
        <w:tab w:val="right" w:leader="dot" w:pos="9062"/>
      </w:tabs>
      <w:spacing w:after="100"/>
      <w:ind w:left="1701" w:hanging="1134"/>
    </w:pPr>
    <w:rPr>
      <w:noProof/>
    </w:rPr>
  </w:style>
  <w:style w:type="character" w:styleId="Wyrnienieintensywne">
    <w:name w:val="Intense Emphasis"/>
    <w:basedOn w:val="Domylnaczcionkaakapitu"/>
    <w:uiPriority w:val="99"/>
    <w:rsid w:val="00D20527"/>
    <w:rPr>
      <w:i/>
      <w:iCs/>
      <w:color w:val="4F81BD" w:themeColor="accent1"/>
    </w:rPr>
  </w:style>
  <w:style w:type="paragraph" w:customStyle="1" w:styleId="Default">
    <w:name w:val="Default"/>
    <w:rsid w:val="0062762E"/>
    <w:pPr>
      <w:autoSpaceDE w:val="0"/>
      <w:autoSpaceDN w:val="0"/>
      <w:adjustRightInd w:val="0"/>
    </w:pPr>
    <w:rPr>
      <w:rFonts w:ascii="Times New Roman" w:eastAsiaTheme="minorHAnsi" w:hAnsi="Times New Roman"/>
      <w:color w:val="000000"/>
      <w:sz w:val="24"/>
      <w:szCs w:val="24"/>
      <w:lang w:eastAsia="en-US"/>
    </w:rPr>
  </w:style>
  <w:style w:type="paragraph" w:customStyle="1" w:styleId="m1292144548206604748msolistparagraph">
    <w:name w:val="m_1292144548206604748msolistparagraph"/>
    <w:basedOn w:val="Normalny"/>
    <w:rsid w:val="009D35FB"/>
    <w:pPr>
      <w:spacing w:before="100" w:beforeAutospacing="1" w:after="100" w:afterAutospacing="1" w:line="276" w:lineRule="auto"/>
      <w:jc w:val="left"/>
    </w:pPr>
    <w:rPr>
      <w:rFonts w:ascii="Times New Roman" w:eastAsia="Times New Roman" w:hAnsi="Times New Roman"/>
      <w:sz w:val="24"/>
      <w:szCs w:val="24"/>
      <w:lang w:eastAsia="pl-PL"/>
    </w:rPr>
  </w:style>
  <w:style w:type="paragraph" w:styleId="Spistreci5">
    <w:name w:val="toc 5"/>
    <w:basedOn w:val="Normalny"/>
    <w:next w:val="Normalny"/>
    <w:autoRedefine/>
    <w:uiPriority w:val="39"/>
    <w:unhideWhenUsed/>
    <w:locked/>
    <w:rsid w:val="008D60EC"/>
    <w:pPr>
      <w:spacing w:before="0" w:after="100" w:line="259" w:lineRule="auto"/>
      <w:ind w:left="880"/>
      <w:jc w:val="left"/>
    </w:pPr>
    <w:rPr>
      <w:rFonts w:asciiTheme="minorHAnsi" w:eastAsiaTheme="minorEastAsia" w:hAnsiTheme="minorHAnsi" w:cstheme="minorBidi"/>
      <w:lang w:val="de-DE" w:eastAsia="ja-JP"/>
    </w:rPr>
  </w:style>
  <w:style w:type="paragraph" w:styleId="Spistreci6">
    <w:name w:val="toc 6"/>
    <w:basedOn w:val="Normalny"/>
    <w:next w:val="Normalny"/>
    <w:autoRedefine/>
    <w:uiPriority w:val="39"/>
    <w:unhideWhenUsed/>
    <w:locked/>
    <w:rsid w:val="008D60EC"/>
    <w:pPr>
      <w:spacing w:before="0" w:after="100" w:line="259" w:lineRule="auto"/>
      <w:ind w:left="1100"/>
      <w:jc w:val="left"/>
    </w:pPr>
    <w:rPr>
      <w:rFonts w:asciiTheme="minorHAnsi" w:eastAsiaTheme="minorEastAsia" w:hAnsiTheme="minorHAnsi" w:cstheme="minorBidi"/>
      <w:lang w:val="de-DE" w:eastAsia="ja-JP"/>
    </w:rPr>
  </w:style>
  <w:style w:type="paragraph" w:styleId="Spistreci7">
    <w:name w:val="toc 7"/>
    <w:basedOn w:val="Normalny"/>
    <w:next w:val="Normalny"/>
    <w:autoRedefine/>
    <w:uiPriority w:val="39"/>
    <w:unhideWhenUsed/>
    <w:locked/>
    <w:rsid w:val="008D60EC"/>
    <w:pPr>
      <w:spacing w:before="0" w:after="100" w:line="259" w:lineRule="auto"/>
      <w:ind w:left="1320"/>
      <w:jc w:val="left"/>
    </w:pPr>
    <w:rPr>
      <w:rFonts w:asciiTheme="minorHAnsi" w:eastAsiaTheme="minorEastAsia" w:hAnsiTheme="minorHAnsi" w:cstheme="minorBidi"/>
      <w:lang w:val="de-DE" w:eastAsia="ja-JP"/>
    </w:rPr>
  </w:style>
  <w:style w:type="paragraph" w:styleId="Spistreci8">
    <w:name w:val="toc 8"/>
    <w:basedOn w:val="Normalny"/>
    <w:next w:val="Normalny"/>
    <w:autoRedefine/>
    <w:uiPriority w:val="39"/>
    <w:unhideWhenUsed/>
    <w:locked/>
    <w:rsid w:val="008D60EC"/>
    <w:pPr>
      <w:spacing w:before="0" w:after="100" w:line="259" w:lineRule="auto"/>
      <w:ind w:left="1540"/>
      <w:jc w:val="left"/>
    </w:pPr>
    <w:rPr>
      <w:rFonts w:asciiTheme="minorHAnsi" w:eastAsiaTheme="minorEastAsia" w:hAnsiTheme="minorHAnsi" w:cstheme="minorBidi"/>
      <w:lang w:val="de-DE" w:eastAsia="ja-JP"/>
    </w:rPr>
  </w:style>
  <w:style w:type="paragraph" w:styleId="Spistreci9">
    <w:name w:val="toc 9"/>
    <w:basedOn w:val="Normalny"/>
    <w:next w:val="Normalny"/>
    <w:autoRedefine/>
    <w:uiPriority w:val="39"/>
    <w:unhideWhenUsed/>
    <w:locked/>
    <w:rsid w:val="008D60EC"/>
    <w:pPr>
      <w:spacing w:before="0" w:after="100" w:line="259" w:lineRule="auto"/>
      <w:ind w:left="1760"/>
      <w:jc w:val="left"/>
    </w:pPr>
    <w:rPr>
      <w:rFonts w:asciiTheme="minorHAnsi" w:eastAsiaTheme="minorEastAsia" w:hAnsiTheme="minorHAnsi" w:cstheme="minorBidi"/>
      <w:lang w:val="de-DE" w:eastAsia="ja-JP"/>
    </w:rPr>
  </w:style>
  <w:style w:type="character" w:customStyle="1" w:styleId="Nierozpoznanawzmianka2">
    <w:name w:val="Nierozpoznana wzmianka2"/>
    <w:basedOn w:val="Domylnaczcionkaakapitu"/>
    <w:uiPriority w:val="99"/>
    <w:semiHidden/>
    <w:unhideWhenUsed/>
    <w:rsid w:val="008D60EC"/>
    <w:rPr>
      <w:color w:val="605E5C"/>
      <w:shd w:val="clear" w:color="auto" w:fill="E1DFDD"/>
    </w:rPr>
  </w:style>
  <w:style w:type="character" w:customStyle="1" w:styleId="tabLebaZnak">
    <w:name w:val="tab_Leba Znak"/>
    <w:basedOn w:val="Domylnaczcionkaakapitu"/>
    <w:link w:val="tabLeba"/>
    <w:uiPriority w:val="99"/>
    <w:locked/>
    <w:rsid w:val="00EB6915"/>
    <w:rPr>
      <w:rFonts w:ascii="Times New Roman" w:eastAsia="Times New Roman" w:hAnsi="Times New Roman"/>
      <w:sz w:val="24"/>
    </w:rPr>
  </w:style>
  <w:style w:type="paragraph" w:customStyle="1" w:styleId="tabLeba">
    <w:name w:val="tab_Leba"/>
    <w:basedOn w:val="Normalny"/>
    <w:link w:val="tabLebaZnak"/>
    <w:uiPriority w:val="99"/>
    <w:rsid w:val="00EB6915"/>
    <w:pPr>
      <w:spacing w:after="0" w:line="264" w:lineRule="auto"/>
    </w:pPr>
    <w:rPr>
      <w:rFonts w:ascii="Times New Roman" w:eastAsia="Times New Roman" w:hAnsi="Times New Roman"/>
      <w:sz w:val="24"/>
      <w:szCs w:val="20"/>
      <w:lang w:eastAsia="pl-PL"/>
    </w:rPr>
  </w:style>
  <w:style w:type="paragraph" w:customStyle="1" w:styleId="NSTabelanaglowek">
    <w:name w:val="NS_Tabela_naglowek"/>
    <w:basedOn w:val="Normalny"/>
    <w:autoRedefine/>
    <w:rsid w:val="00332A4E"/>
    <w:pPr>
      <w:numPr>
        <w:numId w:val="6"/>
      </w:numPr>
      <w:spacing w:before="240" w:line="276" w:lineRule="auto"/>
      <w:ind w:left="567" w:firstLine="0"/>
    </w:pPr>
    <w:rPr>
      <w:rFonts w:ascii="Arial" w:eastAsia="WenQuanYi Micro Hei" w:hAnsi="Arial" w:cs="Lohit Devanagari"/>
      <w:szCs w:val="24"/>
      <w:lang w:eastAsia="zh-CN" w:bidi="hi-IN"/>
    </w:rPr>
  </w:style>
  <w:style w:type="paragraph" w:customStyle="1" w:styleId="akapitlistaglowna">
    <w:name w:val="akapit lista glowna"/>
    <w:basedOn w:val="Akapitzlist"/>
    <w:link w:val="akapitlistaglownaZnak"/>
    <w:autoRedefine/>
    <w:rsid w:val="00332A4E"/>
    <w:pPr>
      <w:numPr>
        <w:numId w:val="29"/>
      </w:numPr>
      <w:spacing w:after="160"/>
    </w:pPr>
    <w:rPr>
      <w:rFonts w:asciiTheme="minorHAnsi" w:eastAsiaTheme="minorHAnsi" w:hAnsiTheme="minorHAnsi" w:cstheme="minorBidi"/>
      <w:bCs/>
      <w:caps/>
      <w:color w:val="003399"/>
      <w:lang w:eastAsia="pl-PL"/>
    </w:rPr>
  </w:style>
  <w:style w:type="character" w:customStyle="1" w:styleId="akapitlistaglownaZnak">
    <w:name w:val="akapit lista glowna Znak"/>
    <w:basedOn w:val="AkapitzlistZnak"/>
    <w:link w:val="akapitlistaglowna"/>
    <w:rsid w:val="00332A4E"/>
    <w:rPr>
      <w:rFonts w:asciiTheme="minorHAnsi" w:eastAsiaTheme="minorHAnsi" w:hAnsiTheme="minorHAnsi" w:cstheme="minorBidi"/>
      <w:bCs/>
      <w:caps/>
      <w:color w:val="003399"/>
      <w:sz w:val="22"/>
      <w:szCs w:val="22"/>
      <w:lang w:eastAsia="en-US"/>
    </w:rPr>
  </w:style>
  <w:style w:type="paragraph" w:customStyle="1" w:styleId="Akapitzlist1">
    <w:name w:val="Akapit z listą1"/>
    <w:basedOn w:val="Normalny"/>
    <w:link w:val="ListParagraphChar"/>
    <w:autoRedefine/>
    <w:rsid w:val="00332A4E"/>
    <w:pPr>
      <w:spacing w:before="0" w:after="160" w:line="276" w:lineRule="auto"/>
      <w:ind w:left="720" w:hanging="360"/>
    </w:pPr>
    <w:rPr>
      <w:rFonts w:eastAsia="Times New Roman"/>
      <w:lang w:eastAsia="pl-PL"/>
    </w:rPr>
  </w:style>
  <w:style w:type="character" w:customStyle="1" w:styleId="ListParagraphChar">
    <w:name w:val="List Paragraph Char"/>
    <w:basedOn w:val="Domylnaczcionkaakapitu"/>
    <w:link w:val="Akapitzlist1"/>
    <w:locked/>
    <w:rsid w:val="00332A4E"/>
    <w:rPr>
      <w:rFonts w:eastAsia="Times New Roman"/>
      <w:sz w:val="22"/>
      <w:szCs w:val="22"/>
    </w:rPr>
  </w:style>
  <w:style w:type="paragraph" w:styleId="NormalnyWeb">
    <w:name w:val="Normal (Web)"/>
    <w:basedOn w:val="Normalny"/>
    <w:uiPriority w:val="99"/>
    <w:unhideWhenUsed/>
    <w:rsid w:val="00DF4E7E"/>
    <w:pPr>
      <w:spacing w:before="100" w:beforeAutospacing="1" w:after="100" w:afterAutospacing="1"/>
      <w:jc w:val="left"/>
    </w:pPr>
    <w:rPr>
      <w:rFonts w:ascii="Times New Roman" w:eastAsia="Times New Roman" w:hAnsi="Times New Roman"/>
      <w:sz w:val="24"/>
      <w:szCs w:val="24"/>
      <w:lang w:eastAsia="pl-PL"/>
    </w:rPr>
  </w:style>
  <w:style w:type="paragraph" w:customStyle="1" w:styleId="gmail-m8141832117258590531gmail-m-4193680487846415356msolistparagraph">
    <w:name w:val="gmail-m_8141832117258590531gmail-m-4193680487846415356msolistparagraph"/>
    <w:basedOn w:val="Normalny"/>
    <w:rsid w:val="005F7C46"/>
    <w:pPr>
      <w:spacing w:before="100" w:beforeAutospacing="1" w:after="100" w:afterAutospacing="1"/>
      <w:jc w:val="left"/>
    </w:pPr>
    <w:rPr>
      <w:rFonts w:eastAsiaTheme="minorHAnsi" w:cs="Calibri"/>
      <w:lang w:eastAsia="pl-PL"/>
    </w:rPr>
  </w:style>
  <w:style w:type="paragraph" w:styleId="Bezodstpw">
    <w:name w:val="No Spacing"/>
    <w:link w:val="BezodstpwZnak"/>
    <w:uiPriority w:val="1"/>
    <w:rsid w:val="00532A28"/>
    <w:rPr>
      <w:rFonts w:asciiTheme="minorHAnsi" w:eastAsiaTheme="minorHAnsi" w:hAnsiTheme="minorHAnsi" w:cstheme="minorBidi"/>
      <w:sz w:val="22"/>
      <w:szCs w:val="22"/>
      <w:lang w:eastAsia="en-US"/>
    </w:rPr>
  </w:style>
  <w:style w:type="paragraph" w:customStyle="1" w:styleId="rdo">
    <w:name w:val="Żródło"/>
    <w:basedOn w:val="Normalny"/>
    <w:link w:val="rdoZnak"/>
    <w:qFormat/>
    <w:rsid w:val="00D316B1"/>
    <w:pPr>
      <w:spacing w:before="40"/>
      <w:jc w:val="right"/>
    </w:pPr>
    <w:rPr>
      <w:rFonts w:asciiTheme="minorHAnsi" w:hAnsiTheme="minorHAnsi" w:cstheme="minorHAnsi"/>
      <w:i/>
      <w:iCs/>
      <w:color w:val="003399"/>
      <w:sz w:val="18"/>
      <w:szCs w:val="18"/>
    </w:rPr>
  </w:style>
  <w:style w:type="character" w:customStyle="1" w:styleId="rdoZnak">
    <w:name w:val="Żródło Znak"/>
    <w:basedOn w:val="Domylnaczcionkaakapitu"/>
    <w:link w:val="rdo"/>
    <w:rsid w:val="00D316B1"/>
    <w:rPr>
      <w:rFonts w:asciiTheme="minorHAnsi" w:hAnsiTheme="minorHAnsi" w:cstheme="minorHAnsi"/>
      <w:i/>
      <w:iCs/>
      <w:color w:val="003399"/>
      <w:sz w:val="18"/>
      <w:szCs w:val="18"/>
      <w:lang w:eastAsia="en-US"/>
    </w:rPr>
  </w:style>
  <w:style w:type="table" w:customStyle="1" w:styleId="Tabela-Siatka1">
    <w:name w:val="Tabela - Siatka1"/>
    <w:basedOn w:val="Standardowy"/>
    <w:next w:val="Tabela-Siatka"/>
    <w:uiPriority w:val="39"/>
    <w:rsid w:val="000046B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ysunek">
    <w:name w:val="Rysunek"/>
    <w:basedOn w:val="Legenda"/>
    <w:link w:val="RysunekZnak"/>
    <w:uiPriority w:val="2"/>
    <w:qFormat/>
    <w:rsid w:val="005B631A"/>
    <w:rPr>
      <w:bCs/>
    </w:rPr>
  </w:style>
  <w:style w:type="character" w:customStyle="1" w:styleId="scxw98406075">
    <w:name w:val="scxw98406075"/>
    <w:basedOn w:val="Domylnaczcionkaakapitu"/>
    <w:rsid w:val="00BA6AC0"/>
  </w:style>
  <w:style w:type="character" w:customStyle="1" w:styleId="RysunekZnak">
    <w:name w:val="Rysunek Znak"/>
    <w:basedOn w:val="LegendaZnak"/>
    <w:link w:val="Rysunek"/>
    <w:uiPriority w:val="2"/>
    <w:rsid w:val="006B2425"/>
    <w:rPr>
      <w:b/>
      <w:bCs/>
      <w:iCs/>
      <w:szCs w:val="18"/>
      <w:lang w:eastAsia="en-US"/>
    </w:rPr>
  </w:style>
  <w:style w:type="paragraph" w:customStyle="1" w:styleId="Tabela">
    <w:name w:val="Tabela"/>
    <w:basedOn w:val="Legenda"/>
    <w:link w:val="TabelaZnak"/>
    <w:qFormat/>
    <w:rsid w:val="009A7917"/>
    <w:pPr>
      <w:spacing w:before="120" w:after="40"/>
    </w:pPr>
  </w:style>
  <w:style w:type="character" w:customStyle="1" w:styleId="TabelaZnak">
    <w:name w:val="Tabela Znak"/>
    <w:basedOn w:val="LegendaZnak"/>
    <w:link w:val="Tabela"/>
    <w:qFormat/>
    <w:rsid w:val="009A7917"/>
    <w:rPr>
      <w:b/>
      <w:iCs/>
      <w:szCs w:val="18"/>
      <w:lang w:eastAsia="en-US"/>
    </w:rPr>
  </w:style>
  <w:style w:type="paragraph" w:customStyle="1" w:styleId="Standard">
    <w:name w:val="Standard"/>
    <w:rsid w:val="000046B6"/>
    <w:pPr>
      <w:suppressAutoHyphens/>
      <w:autoSpaceDN w:val="0"/>
      <w:textAlignment w:val="baseline"/>
    </w:pPr>
    <w:rPr>
      <w:rFonts w:ascii="Liberation Serif" w:eastAsia="SimSun" w:hAnsi="Liberation Serif" w:cs="Mangal"/>
      <w:kern w:val="3"/>
      <w:sz w:val="24"/>
      <w:szCs w:val="24"/>
      <w:lang w:val="en-US" w:eastAsia="zh-CN" w:bidi="hi-IN"/>
    </w:rPr>
  </w:style>
  <w:style w:type="paragraph" w:customStyle="1" w:styleId="Numerowanie">
    <w:name w:val="Numerowanie"/>
    <w:basedOn w:val="Normalny"/>
    <w:link w:val="NumerowanieZnak"/>
    <w:uiPriority w:val="2"/>
    <w:qFormat/>
    <w:rsid w:val="00646D67"/>
    <w:pPr>
      <w:numPr>
        <w:numId w:val="90"/>
      </w:numPr>
    </w:pPr>
    <w:rPr>
      <w:rFonts w:asciiTheme="minorHAnsi" w:hAnsiTheme="minorHAnsi" w:cstheme="minorHAnsi"/>
    </w:rPr>
  </w:style>
  <w:style w:type="paragraph" w:customStyle="1" w:styleId="Przypis">
    <w:name w:val="Przypis"/>
    <w:basedOn w:val="Tekstprzypisudolnego"/>
    <w:link w:val="PrzypisZnak"/>
    <w:uiPriority w:val="2"/>
    <w:qFormat/>
    <w:rsid w:val="000046B6"/>
    <w:rPr>
      <w:szCs w:val="18"/>
    </w:rPr>
  </w:style>
  <w:style w:type="character" w:customStyle="1" w:styleId="NumerowanieZnak">
    <w:name w:val="Numerowanie Znak"/>
    <w:basedOn w:val="AkapitzlistZnak"/>
    <w:link w:val="Numerowanie"/>
    <w:uiPriority w:val="2"/>
    <w:rsid w:val="00646D67"/>
    <w:rPr>
      <w:rFonts w:asciiTheme="minorHAnsi" w:hAnsiTheme="minorHAnsi" w:cstheme="minorHAnsi"/>
      <w:sz w:val="22"/>
      <w:szCs w:val="22"/>
      <w:lang w:eastAsia="en-US"/>
    </w:rPr>
  </w:style>
  <w:style w:type="character" w:customStyle="1" w:styleId="PrzypisZnak">
    <w:name w:val="Przypis Znak"/>
    <w:basedOn w:val="Domylnaczcionkaakapitu"/>
    <w:link w:val="Przypis"/>
    <w:uiPriority w:val="2"/>
    <w:rsid w:val="000046B6"/>
    <w:rPr>
      <w:sz w:val="18"/>
      <w:szCs w:val="18"/>
      <w:lang w:eastAsia="en-US"/>
    </w:rPr>
  </w:style>
  <w:style w:type="paragraph" w:customStyle="1" w:styleId="Wykres">
    <w:name w:val="Wykres"/>
    <w:basedOn w:val="Normalny"/>
    <w:link w:val="WykresZnak"/>
    <w:uiPriority w:val="2"/>
    <w:qFormat/>
    <w:rsid w:val="00B479EE"/>
    <w:pPr>
      <w:widowControl w:val="0"/>
      <w:autoSpaceDE w:val="0"/>
      <w:autoSpaceDN w:val="0"/>
      <w:adjustRightInd w:val="0"/>
      <w:spacing w:before="40" w:after="40"/>
      <w:ind w:left="1418" w:hanging="1418"/>
    </w:pPr>
    <w:rPr>
      <w:rFonts w:asciiTheme="minorHAnsi" w:hAnsiTheme="minorHAnsi" w:cstheme="minorHAnsi"/>
      <w:b/>
      <w:bCs/>
      <w:sz w:val="20"/>
      <w:szCs w:val="20"/>
    </w:rPr>
  </w:style>
  <w:style w:type="character" w:customStyle="1" w:styleId="WykresZnak">
    <w:name w:val="Wykres Znak"/>
    <w:basedOn w:val="Domylnaczcionkaakapitu"/>
    <w:link w:val="Wykres"/>
    <w:uiPriority w:val="2"/>
    <w:qFormat/>
    <w:rsid w:val="00B479EE"/>
    <w:rPr>
      <w:rFonts w:asciiTheme="minorHAnsi" w:hAnsiTheme="minorHAnsi" w:cstheme="minorHAnsi"/>
      <w:b/>
      <w:bCs/>
      <w:lang w:eastAsia="en-US"/>
    </w:rPr>
  </w:style>
  <w:style w:type="character" w:customStyle="1" w:styleId="Nierozpoznanawzmianka21">
    <w:name w:val="Nierozpoznana wzmianka21"/>
    <w:basedOn w:val="Domylnaczcionkaakapitu"/>
    <w:uiPriority w:val="99"/>
    <w:semiHidden/>
    <w:unhideWhenUsed/>
    <w:rsid w:val="0008774B"/>
    <w:rPr>
      <w:color w:val="605E5C"/>
      <w:shd w:val="clear" w:color="auto" w:fill="E1DFDD"/>
    </w:rPr>
  </w:style>
  <w:style w:type="paragraph" w:customStyle="1" w:styleId="tekst">
    <w:name w:val="tekst"/>
    <w:basedOn w:val="Normalny"/>
    <w:link w:val="tekstZnak1"/>
    <w:uiPriority w:val="99"/>
    <w:rsid w:val="0008774B"/>
    <w:pPr>
      <w:spacing w:before="0" w:after="22"/>
      <w:ind w:firstLine="425"/>
    </w:pPr>
    <w:rPr>
      <w:rFonts w:ascii="Arial" w:eastAsia="Times New Roman" w:hAnsi="Arial" w:cs="Arial"/>
      <w:sz w:val="20"/>
      <w:szCs w:val="20"/>
      <w:lang w:eastAsia="pl-PL"/>
    </w:rPr>
  </w:style>
  <w:style w:type="character" w:customStyle="1" w:styleId="tekstZnak1">
    <w:name w:val="tekst Znak1"/>
    <w:basedOn w:val="Domylnaczcionkaakapitu"/>
    <w:link w:val="tekst"/>
    <w:uiPriority w:val="99"/>
    <w:rsid w:val="0008774B"/>
    <w:rPr>
      <w:rFonts w:ascii="Arial" w:eastAsia="Times New Roman" w:hAnsi="Arial" w:cs="Arial"/>
    </w:rPr>
  </w:style>
  <w:style w:type="paragraph" w:customStyle="1" w:styleId="M1">
    <w:name w:val="M_1"/>
    <w:basedOn w:val="Normalny"/>
    <w:link w:val="M1Znak"/>
    <w:qFormat/>
    <w:rsid w:val="001848F5"/>
    <w:pPr>
      <w:numPr>
        <w:numId w:val="7"/>
      </w:numPr>
    </w:pPr>
    <w:rPr>
      <w:rFonts w:asciiTheme="minorHAnsi" w:hAnsiTheme="minorHAnsi" w:cs="Arial"/>
      <w:szCs w:val="20"/>
      <w:lang w:eastAsia="pl-PL"/>
    </w:rPr>
  </w:style>
  <w:style w:type="character" w:customStyle="1" w:styleId="M1Znak">
    <w:name w:val="M_1 Znak"/>
    <w:link w:val="M1"/>
    <w:rsid w:val="001848F5"/>
    <w:rPr>
      <w:rFonts w:asciiTheme="minorHAnsi" w:hAnsiTheme="minorHAnsi" w:cs="Arial"/>
      <w:sz w:val="22"/>
    </w:rPr>
  </w:style>
  <w:style w:type="paragraph" w:customStyle="1" w:styleId="Textbody">
    <w:name w:val="Text body"/>
    <w:basedOn w:val="Standard"/>
    <w:rsid w:val="008B3402"/>
    <w:pPr>
      <w:spacing w:after="140" w:line="288" w:lineRule="auto"/>
    </w:pPr>
  </w:style>
  <w:style w:type="paragraph" w:customStyle="1" w:styleId="Tab">
    <w:name w:val="Tab."/>
    <w:basedOn w:val="Legenda"/>
    <w:rsid w:val="008B3402"/>
    <w:pPr>
      <w:keepNext w:val="0"/>
      <w:suppressLineNumbers/>
      <w:autoSpaceDN w:val="0"/>
      <w:spacing w:after="120"/>
      <w:ind w:left="0" w:firstLine="0"/>
      <w:textAlignment w:val="baseline"/>
    </w:pPr>
    <w:rPr>
      <w:rFonts w:ascii="Liberation Serif" w:eastAsia="SimSun" w:hAnsi="Liberation Serif" w:cs="Mangal"/>
      <w:b w:val="0"/>
      <w:i/>
      <w:kern w:val="3"/>
      <w:sz w:val="24"/>
      <w:szCs w:val="24"/>
      <w:lang w:val="en-US" w:eastAsia="zh-CN" w:bidi="hi-IN"/>
    </w:rPr>
  </w:style>
  <w:style w:type="paragraph" w:customStyle="1" w:styleId="TableContents">
    <w:name w:val="Table Contents"/>
    <w:basedOn w:val="Standard"/>
    <w:rsid w:val="008B3402"/>
    <w:pPr>
      <w:suppressLineNumbers/>
    </w:pPr>
  </w:style>
  <w:style w:type="paragraph" w:customStyle="1" w:styleId="Rys">
    <w:name w:val="Rys."/>
    <w:basedOn w:val="Legenda"/>
    <w:rsid w:val="008B3402"/>
    <w:pPr>
      <w:keepNext w:val="0"/>
      <w:suppressLineNumbers/>
      <w:autoSpaceDN w:val="0"/>
      <w:spacing w:after="120"/>
      <w:ind w:left="0" w:firstLine="0"/>
      <w:textAlignment w:val="baseline"/>
    </w:pPr>
    <w:rPr>
      <w:rFonts w:ascii="Liberation Serif" w:eastAsia="SimSun" w:hAnsi="Liberation Serif" w:cs="Mangal"/>
      <w:b w:val="0"/>
      <w:i/>
      <w:kern w:val="3"/>
      <w:sz w:val="24"/>
      <w:szCs w:val="24"/>
      <w:lang w:val="en-US" w:eastAsia="zh-CN" w:bidi="hi-IN"/>
    </w:rPr>
  </w:style>
  <w:style w:type="paragraph" w:styleId="Zwykytekst">
    <w:name w:val="Plain Text"/>
    <w:basedOn w:val="Normalny"/>
    <w:link w:val="ZwykytekstZnak"/>
    <w:uiPriority w:val="99"/>
    <w:unhideWhenUsed/>
    <w:rsid w:val="008B3402"/>
    <w:pPr>
      <w:spacing w:before="0" w:after="0"/>
      <w:jc w:val="left"/>
    </w:pPr>
    <w:rPr>
      <w:rFonts w:eastAsiaTheme="minorHAnsi" w:cstheme="minorBidi"/>
      <w:szCs w:val="21"/>
    </w:rPr>
  </w:style>
  <w:style w:type="character" w:customStyle="1" w:styleId="ZwykytekstZnak">
    <w:name w:val="Zwykły tekst Znak"/>
    <w:basedOn w:val="Domylnaczcionkaakapitu"/>
    <w:link w:val="Zwykytekst"/>
    <w:uiPriority w:val="99"/>
    <w:rsid w:val="008B3402"/>
    <w:rPr>
      <w:rFonts w:eastAsiaTheme="minorHAnsi" w:cstheme="minorBidi"/>
      <w:sz w:val="22"/>
      <w:szCs w:val="21"/>
      <w:lang w:eastAsia="en-US"/>
    </w:rPr>
  </w:style>
  <w:style w:type="character" w:customStyle="1" w:styleId="normaltextrunscxw162028371bcx2">
    <w:name w:val="normaltextrun scxw162028371 bcx2"/>
    <w:basedOn w:val="Domylnaczcionkaakapitu"/>
    <w:rsid w:val="00CD1161"/>
  </w:style>
  <w:style w:type="paragraph" w:styleId="Podtytu">
    <w:name w:val="Subtitle"/>
    <w:basedOn w:val="Normalny"/>
    <w:next w:val="Normalny"/>
    <w:link w:val="PodtytuZnak"/>
    <w:uiPriority w:val="11"/>
    <w:locked/>
    <w:rsid w:val="00CD1161"/>
    <w:pPr>
      <w:numPr>
        <w:ilvl w:val="1"/>
      </w:numPr>
      <w:spacing w:before="0" w:after="160"/>
      <w:jc w:val="left"/>
    </w:pPr>
    <w:rPr>
      <w:rFonts w:asciiTheme="minorHAnsi" w:eastAsiaTheme="minorEastAsia" w:hAnsiTheme="minorHAnsi" w:cstheme="minorBidi"/>
      <w:color w:val="5A5A5A" w:themeColor="text1" w:themeTint="A5"/>
      <w:spacing w:val="15"/>
      <w:lang w:eastAsia="pl-PL"/>
    </w:rPr>
  </w:style>
  <w:style w:type="character" w:customStyle="1" w:styleId="PodtytuZnak">
    <w:name w:val="Podtytuł Znak"/>
    <w:basedOn w:val="Domylnaczcionkaakapitu"/>
    <w:link w:val="Podtytu"/>
    <w:uiPriority w:val="11"/>
    <w:rsid w:val="00CD1161"/>
    <w:rPr>
      <w:rFonts w:asciiTheme="minorHAnsi" w:eastAsiaTheme="minorEastAsia" w:hAnsiTheme="minorHAnsi" w:cstheme="minorBidi"/>
      <w:color w:val="5A5A5A" w:themeColor="text1" w:themeTint="A5"/>
      <w:spacing w:val="15"/>
      <w:sz w:val="22"/>
      <w:szCs w:val="22"/>
    </w:rPr>
  </w:style>
  <w:style w:type="character" w:customStyle="1" w:styleId="UnresolvedMention1">
    <w:name w:val="Unresolved Mention1"/>
    <w:basedOn w:val="Domylnaczcionkaakapitu"/>
    <w:uiPriority w:val="99"/>
    <w:semiHidden/>
    <w:unhideWhenUsed/>
    <w:rsid w:val="00396434"/>
    <w:rPr>
      <w:color w:val="605E5C"/>
      <w:shd w:val="clear" w:color="auto" w:fill="E1DFDD"/>
    </w:rPr>
  </w:style>
  <w:style w:type="character" w:customStyle="1" w:styleId="Raport-tekstpodstawowyZnak">
    <w:name w:val="Raport - tekst podstawowy Znak"/>
    <w:basedOn w:val="Domylnaczcionkaakapitu"/>
    <w:link w:val="Raport-tekstpodstawowy"/>
    <w:uiPriority w:val="99"/>
    <w:locked/>
    <w:rsid w:val="00396434"/>
  </w:style>
  <w:style w:type="paragraph" w:customStyle="1" w:styleId="Raport-tekstpodstawowy">
    <w:name w:val="Raport - tekst podstawowy"/>
    <w:basedOn w:val="Normalny"/>
    <w:link w:val="Raport-tekstpodstawowyZnak"/>
    <w:uiPriority w:val="99"/>
    <w:rsid w:val="00396434"/>
    <w:pPr>
      <w:spacing w:before="0" w:line="276" w:lineRule="auto"/>
      <w:ind w:firstLine="709"/>
    </w:pPr>
    <w:rPr>
      <w:sz w:val="20"/>
      <w:szCs w:val="20"/>
      <w:lang w:eastAsia="pl-PL"/>
    </w:rPr>
  </w:style>
  <w:style w:type="character" w:styleId="Numerstrony">
    <w:name w:val="page number"/>
    <w:basedOn w:val="Domylnaczcionkaakapitu"/>
    <w:uiPriority w:val="99"/>
    <w:rsid w:val="00396434"/>
  </w:style>
  <w:style w:type="paragraph" w:customStyle="1" w:styleId="raporttekst">
    <w:name w:val="raport tekst"/>
    <w:basedOn w:val="Normalny"/>
    <w:link w:val="raporttekstZnak"/>
    <w:uiPriority w:val="99"/>
    <w:rsid w:val="00396434"/>
    <w:pPr>
      <w:spacing w:before="240" w:line="276" w:lineRule="auto"/>
    </w:pPr>
  </w:style>
  <w:style w:type="character" w:customStyle="1" w:styleId="raporttekstZnak">
    <w:name w:val="raport tekst Znak"/>
    <w:link w:val="raporttekst"/>
    <w:uiPriority w:val="99"/>
    <w:locked/>
    <w:rsid w:val="00396434"/>
    <w:rPr>
      <w:sz w:val="22"/>
      <w:szCs w:val="22"/>
      <w:lang w:eastAsia="en-US"/>
    </w:rPr>
  </w:style>
  <w:style w:type="paragraph" w:customStyle="1" w:styleId="Normalny1">
    <w:name w:val="Normalny1"/>
    <w:basedOn w:val="Normalny"/>
    <w:link w:val="Normalny1Znak"/>
    <w:rsid w:val="00396434"/>
    <w:pPr>
      <w:spacing w:line="336" w:lineRule="auto"/>
      <w:ind w:firstLine="851"/>
    </w:pPr>
    <w:rPr>
      <w:rFonts w:asciiTheme="minorHAnsi" w:eastAsiaTheme="minorHAnsi" w:hAnsiTheme="minorHAnsi" w:cstheme="minorBidi"/>
    </w:rPr>
  </w:style>
  <w:style w:type="character" w:customStyle="1" w:styleId="Normalny1Znak">
    <w:name w:val="Normalny1 Znak"/>
    <w:basedOn w:val="Domylnaczcionkaakapitu"/>
    <w:link w:val="Normalny1"/>
    <w:rsid w:val="00396434"/>
    <w:rPr>
      <w:rFonts w:asciiTheme="minorHAnsi" w:eastAsiaTheme="minorHAnsi" w:hAnsiTheme="minorHAnsi" w:cstheme="minorBidi"/>
      <w:sz w:val="22"/>
      <w:szCs w:val="22"/>
      <w:lang w:eastAsia="en-US"/>
    </w:rPr>
  </w:style>
  <w:style w:type="character" w:customStyle="1" w:styleId="BezodstpwZnak">
    <w:name w:val="Bez odstępów Znak"/>
    <w:link w:val="Bezodstpw"/>
    <w:uiPriority w:val="1"/>
    <w:locked/>
    <w:rsid w:val="00396434"/>
    <w:rPr>
      <w:rFonts w:asciiTheme="minorHAnsi" w:eastAsiaTheme="minorHAnsi" w:hAnsiTheme="minorHAnsi" w:cstheme="minorBidi"/>
      <w:sz w:val="22"/>
      <w:szCs w:val="22"/>
      <w:lang w:eastAsia="en-US"/>
    </w:rPr>
  </w:style>
  <w:style w:type="paragraph" w:customStyle="1" w:styleId="RysunkiDPAL">
    <w:name w:val="Rysunki_DPAL"/>
    <w:basedOn w:val="Normalny"/>
    <w:rsid w:val="00396434"/>
    <w:pPr>
      <w:keepNext/>
      <w:spacing w:before="240"/>
      <w:jc w:val="center"/>
    </w:pPr>
    <w:rPr>
      <w:rFonts w:asciiTheme="minorHAnsi" w:eastAsiaTheme="minorHAnsi" w:hAnsiTheme="minorHAnsi" w:cstheme="minorBidi"/>
      <w:b/>
      <w:bCs/>
      <w:color w:val="365F91" w:themeColor="accent1" w:themeShade="BF"/>
      <w:szCs w:val="18"/>
    </w:rPr>
  </w:style>
  <w:style w:type="paragraph" w:customStyle="1" w:styleId="LegendaTABELE">
    <w:name w:val="Legenda TABELE"/>
    <w:basedOn w:val="Normalny"/>
    <w:rsid w:val="00396434"/>
    <w:pPr>
      <w:keepNext/>
      <w:ind w:left="1134" w:hanging="1134"/>
      <w:jc w:val="left"/>
    </w:pPr>
    <w:rPr>
      <w:rFonts w:asciiTheme="minorHAnsi" w:eastAsiaTheme="minorEastAsia" w:hAnsiTheme="minorHAnsi" w:cstheme="minorBidi"/>
      <w:b/>
      <w:bCs/>
      <w:color w:val="365F91" w:themeColor="accent1" w:themeShade="BF"/>
      <w:szCs w:val="20"/>
    </w:rPr>
  </w:style>
  <w:style w:type="paragraph" w:customStyle="1" w:styleId="WNIOSKIdpal">
    <w:name w:val="WNIOSKI_dpal"/>
    <w:basedOn w:val="Normalny"/>
    <w:rsid w:val="00396434"/>
    <w:pPr>
      <w:numPr>
        <w:numId w:val="8"/>
      </w:numPr>
      <w:spacing w:before="0" w:after="240" w:line="276" w:lineRule="auto"/>
      <w:ind w:left="1004"/>
    </w:pPr>
    <w:rPr>
      <w:rFonts w:ascii="Arial Narrow" w:eastAsiaTheme="minorHAnsi" w:hAnsi="Arial Narrow" w:cstheme="minorBidi"/>
    </w:rPr>
  </w:style>
  <w:style w:type="paragraph" w:customStyle="1" w:styleId="TekstRaport">
    <w:name w:val="Tekst Raport"/>
    <w:basedOn w:val="Tekstpodstawowy"/>
    <w:link w:val="TekstRaportZnak"/>
    <w:uiPriority w:val="99"/>
    <w:rsid w:val="00396434"/>
    <w:pPr>
      <w:spacing w:before="120" w:after="120" w:line="360" w:lineRule="auto"/>
    </w:pPr>
    <w:rPr>
      <w:rFonts w:ascii="Arial Narrow" w:eastAsia="Times New Roman" w:hAnsi="Arial Narrow"/>
      <w:sz w:val="20"/>
      <w:szCs w:val="24"/>
      <w:lang w:eastAsia="pl-PL"/>
    </w:rPr>
  </w:style>
  <w:style w:type="character" w:customStyle="1" w:styleId="TekstRaportZnak">
    <w:name w:val="Tekst Raport Znak"/>
    <w:basedOn w:val="Domylnaczcionkaakapitu"/>
    <w:link w:val="TekstRaport"/>
    <w:uiPriority w:val="99"/>
    <w:locked/>
    <w:rsid w:val="00396434"/>
    <w:rPr>
      <w:rFonts w:ascii="Arial Narrow" w:eastAsia="Times New Roman" w:hAnsi="Arial Narrow"/>
      <w:szCs w:val="24"/>
    </w:rPr>
  </w:style>
  <w:style w:type="paragraph" w:customStyle="1" w:styleId="CM1">
    <w:name w:val="CM1"/>
    <w:basedOn w:val="Default"/>
    <w:next w:val="Default"/>
    <w:uiPriority w:val="99"/>
    <w:rsid w:val="00396434"/>
    <w:rPr>
      <w:rFonts w:ascii="EUAlbertina" w:eastAsia="Calibri" w:hAnsi="EUAlbertina"/>
      <w:color w:val="auto"/>
    </w:rPr>
  </w:style>
  <w:style w:type="paragraph" w:customStyle="1" w:styleId="CM4">
    <w:name w:val="CM4"/>
    <w:basedOn w:val="Default"/>
    <w:next w:val="Default"/>
    <w:uiPriority w:val="99"/>
    <w:rsid w:val="00396434"/>
    <w:rPr>
      <w:rFonts w:ascii="EUAlbertina" w:eastAsia="Calibri" w:hAnsi="EUAlbertina"/>
      <w:color w:val="auto"/>
    </w:rPr>
  </w:style>
  <w:style w:type="paragraph" w:customStyle="1" w:styleId="tekstpodstawowy0">
    <w:name w:val="tekst_podstawowy"/>
    <w:basedOn w:val="Normalny"/>
    <w:link w:val="tekstpodstawowyZnak0"/>
    <w:uiPriority w:val="99"/>
    <w:rsid w:val="00396434"/>
    <w:pPr>
      <w:spacing w:before="0" w:line="360" w:lineRule="auto"/>
      <w:ind w:firstLine="709"/>
    </w:pPr>
    <w:rPr>
      <w:rFonts w:ascii="Arial" w:eastAsia="Times New Roman" w:hAnsi="Arial"/>
      <w:lang w:eastAsia="pl-PL"/>
    </w:rPr>
  </w:style>
  <w:style w:type="character" w:customStyle="1" w:styleId="tekstpodstawowyZnak0">
    <w:name w:val="tekst_podstawowy Znak"/>
    <w:basedOn w:val="Domylnaczcionkaakapitu"/>
    <w:link w:val="tekstpodstawowy0"/>
    <w:uiPriority w:val="99"/>
    <w:locked/>
    <w:rsid w:val="00396434"/>
    <w:rPr>
      <w:rFonts w:ascii="Arial" w:eastAsia="Times New Roman" w:hAnsi="Arial"/>
      <w:sz w:val="22"/>
      <w:szCs w:val="22"/>
    </w:rPr>
  </w:style>
  <w:style w:type="paragraph" w:styleId="Tekstpodstawowy2">
    <w:name w:val="Body Text 2"/>
    <w:basedOn w:val="Normalny"/>
    <w:link w:val="Tekstpodstawowy2Znak"/>
    <w:uiPriority w:val="99"/>
    <w:rsid w:val="00396434"/>
    <w:pPr>
      <w:spacing w:before="0" w:line="480" w:lineRule="auto"/>
    </w:pPr>
    <w:rPr>
      <w:rFonts w:ascii="Arial" w:hAnsi="Arial"/>
    </w:rPr>
  </w:style>
  <w:style w:type="character" w:customStyle="1" w:styleId="Tekstpodstawowy2Znak">
    <w:name w:val="Tekst podstawowy 2 Znak"/>
    <w:basedOn w:val="Domylnaczcionkaakapitu"/>
    <w:link w:val="Tekstpodstawowy2"/>
    <w:uiPriority w:val="99"/>
    <w:rsid w:val="00396434"/>
    <w:rPr>
      <w:rFonts w:ascii="Arial" w:hAnsi="Arial"/>
      <w:sz w:val="22"/>
      <w:szCs w:val="22"/>
      <w:lang w:eastAsia="en-US"/>
    </w:rPr>
  </w:style>
  <w:style w:type="paragraph" w:styleId="Tekstpodstawowywcity2">
    <w:name w:val="Body Text Indent 2"/>
    <w:basedOn w:val="Normalny"/>
    <w:link w:val="Tekstpodstawowywcity2Znak"/>
    <w:uiPriority w:val="99"/>
    <w:semiHidden/>
    <w:rsid w:val="00396434"/>
    <w:pPr>
      <w:spacing w:before="0" w:line="480" w:lineRule="auto"/>
      <w:ind w:left="283"/>
    </w:pPr>
    <w:rPr>
      <w:rFonts w:ascii="Arial" w:hAnsi="Arial"/>
    </w:rPr>
  </w:style>
  <w:style w:type="character" w:customStyle="1" w:styleId="Tekstpodstawowywcity2Znak">
    <w:name w:val="Tekst podstawowy wcięty 2 Znak"/>
    <w:basedOn w:val="Domylnaczcionkaakapitu"/>
    <w:link w:val="Tekstpodstawowywcity2"/>
    <w:uiPriority w:val="99"/>
    <w:semiHidden/>
    <w:rsid w:val="00396434"/>
    <w:rPr>
      <w:rFonts w:ascii="Arial" w:hAnsi="Arial"/>
      <w:sz w:val="22"/>
      <w:szCs w:val="22"/>
      <w:lang w:eastAsia="en-US"/>
    </w:rPr>
  </w:style>
  <w:style w:type="paragraph" w:customStyle="1" w:styleId="tekstwtabeli">
    <w:name w:val="tekst_w_tabeli"/>
    <w:basedOn w:val="Normalny"/>
    <w:uiPriority w:val="99"/>
    <w:rsid w:val="00396434"/>
    <w:pPr>
      <w:spacing w:before="0" w:after="0" w:line="360" w:lineRule="auto"/>
    </w:pPr>
    <w:rPr>
      <w:rFonts w:ascii="Arial" w:eastAsia="Times New Roman" w:hAnsi="Arial"/>
      <w:color w:val="0000FF"/>
      <w:sz w:val="20"/>
      <w:szCs w:val="24"/>
      <w:lang w:eastAsia="pl-PL"/>
    </w:rPr>
  </w:style>
  <w:style w:type="paragraph" w:customStyle="1" w:styleId="TytuRaportu">
    <w:name w:val="Tytuł Raportu"/>
    <w:basedOn w:val="Normalny"/>
    <w:uiPriority w:val="99"/>
    <w:rsid w:val="00396434"/>
    <w:pPr>
      <w:spacing w:before="240" w:after="240" w:line="360" w:lineRule="auto"/>
      <w:jc w:val="center"/>
    </w:pPr>
    <w:rPr>
      <w:rFonts w:ascii="Arial Black" w:eastAsia="Times New Roman" w:hAnsi="Arial Black"/>
      <w:sz w:val="24"/>
      <w:szCs w:val="24"/>
      <w:lang w:eastAsia="pl-PL"/>
    </w:rPr>
  </w:style>
  <w:style w:type="paragraph" w:styleId="Tekstpodstawowywcity">
    <w:name w:val="Body Text Indent"/>
    <w:basedOn w:val="Normalny"/>
    <w:link w:val="TekstpodstawowywcityZnak"/>
    <w:uiPriority w:val="99"/>
    <w:rsid w:val="00396434"/>
    <w:pPr>
      <w:spacing w:before="0" w:line="276" w:lineRule="auto"/>
      <w:ind w:left="283"/>
    </w:pPr>
    <w:rPr>
      <w:rFonts w:ascii="Arial" w:hAnsi="Arial"/>
    </w:rPr>
  </w:style>
  <w:style w:type="character" w:customStyle="1" w:styleId="TekstpodstawowywcityZnak">
    <w:name w:val="Tekst podstawowy wcięty Znak"/>
    <w:basedOn w:val="Domylnaczcionkaakapitu"/>
    <w:link w:val="Tekstpodstawowywcity"/>
    <w:uiPriority w:val="99"/>
    <w:rsid w:val="00396434"/>
    <w:rPr>
      <w:rFonts w:ascii="Arial" w:hAnsi="Arial"/>
      <w:sz w:val="22"/>
      <w:szCs w:val="22"/>
      <w:lang w:eastAsia="en-US"/>
    </w:rPr>
  </w:style>
  <w:style w:type="character" w:styleId="Tekstzastpczy">
    <w:name w:val="Placeholder Text"/>
    <w:basedOn w:val="Domylnaczcionkaakapitu"/>
    <w:uiPriority w:val="99"/>
    <w:semiHidden/>
    <w:rsid w:val="00396434"/>
    <w:rPr>
      <w:rFonts w:cs="Times New Roman"/>
      <w:color w:val="808080"/>
    </w:rPr>
  </w:style>
  <w:style w:type="paragraph" w:customStyle="1" w:styleId="spisliteratury">
    <w:name w:val="spis literatury"/>
    <w:basedOn w:val="Normalny"/>
    <w:uiPriority w:val="99"/>
    <w:rsid w:val="00396434"/>
    <w:pPr>
      <w:numPr>
        <w:numId w:val="9"/>
      </w:numPr>
      <w:ind w:left="1004"/>
    </w:pPr>
    <w:rPr>
      <w:rFonts w:ascii="Arial" w:eastAsia="Times New Roman" w:hAnsi="Arial" w:cs="Arial"/>
      <w:lang w:eastAsia="pl-PL"/>
    </w:rPr>
  </w:style>
  <w:style w:type="paragraph" w:customStyle="1" w:styleId="Pa02">
    <w:name w:val="Pa0+2"/>
    <w:basedOn w:val="Default"/>
    <w:next w:val="Default"/>
    <w:uiPriority w:val="99"/>
    <w:rsid w:val="00396434"/>
    <w:pPr>
      <w:spacing w:line="241" w:lineRule="atLeast"/>
    </w:pPr>
    <w:rPr>
      <w:rFonts w:ascii="Myriad Pro" w:eastAsia="Calibri" w:hAnsi="Myriad Pro"/>
      <w:color w:val="auto"/>
    </w:rPr>
  </w:style>
  <w:style w:type="character" w:customStyle="1" w:styleId="A12">
    <w:name w:val="A1+2"/>
    <w:uiPriority w:val="99"/>
    <w:rsid w:val="00396434"/>
    <w:rPr>
      <w:color w:val="000000"/>
      <w:sz w:val="28"/>
    </w:rPr>
  </w:style>
  <w:style w:type="paragraph" w:customStyle="1" w:styleId="Tytulrozdz">
    <w:name w:val="Tytul_rozdz"/>
    <w:basedOn w:val="Tytu"/>
    <w:uiPriority w:val="99"/>
    <w:rsid w:val="00396434"/>
    <w:pPr>
      <w:keepNext w:val="0"/>
      <w:numPr>
        <w:numId w:val="11"/>
      </w:numPr>
      <w:overflowPunct w:val="0"/>
      <w:autoSpaceDE w:val="0"/>
      <w:autoSpaceDN w:val="0"/>
      <w:adjustRightInd w:val="0"/>
      <w:spacing w:before="0" w:after="200"/>
      <w:textAlignment w:val="baseline"/>
    </w:pPr>
    <w:rPr>
      <w:rFonts w:ascii="Arial" w:eastAsia="Times New Roman" w:hAnsi="Arial"/>
      <w:bCs/>
      <w:color w:val="auto"/>
      <w:sz w:val="26"/>
      <w:szCs w:val="20"/>
      <w:lang w:eastAsia="pl-PL"/>
    </w:rPr>
  </w:style>
  <w:style w:type="paragraph" w:customStyle="1" w:styleId="Podtyturozdz">
    <w:name w:val="Podtytuł_rozdz"/>
    <w:basedOn w:val="Podtytu"/>
    <w:uiPriority w:val="99"/>
    <w:rsid w:val="00396434"/>
    <w:pPr>
      <w:numPr>
        <w:ilvl w:val="0"/>
        <w:numId w:val="12"/>
      </w:numPr>
      <w:spacing w:after="200"/>
      <w:ind w:left="1287"/>
      <w:jc w:val="both"/>
    </w:pPr>
    <w:rPr>
      <w:rFonts w:ascii="Arial" w:eastAsia="Times New Roman" w:hAnsi="Arial" w:cs="Times New Roman"/>
      <w:b/>
      <w:iCs/>
      <w:color w:val="auto"/>
      <w:spacing w:val="0"/>
      <w:szCs w:val="24"/>
      <w:lang w:eastAsia="en-US"/>
    </w:rPr>
  </w:style>
  <w:style w:type="paragraph" w:customStyle="1" w:styleId="Rozdzial">
    <w:name w:val="Rozdzial"/>
    <w:basedOn w:val="Normalny"/>
    <w:link w:val="RozdzialZnak"/>
    <w:uiPriority w:val="99"/>
    <w:rsid w:val="00396434"/>
    <w:pPr>
      <w:spacing w:before="0" w:line="276" w:lineRule="auto"/>
    </w:pPr>
    <w:rPr>
      <w:rFonts w:ascii="Arial" w:hAnsi="Arial"/>
      <w:szCs w:val="20"/>
    </w:rPr>
  </w:style>
  <w:style w:type="paragraph" w:customStyle="1" w:styleId="kropkowanierozdz">
    <w:name w:val="kropkowanie_rozdz"/>
    <w:basedOn w:val="Akapitzlist"/>
    <w:link w:val="kropkowanierozdzZnak"/>
    <w:uiPriority w:val="99"/>
    <w:rsid w:val="00396434"/>
    <w:pPr>
      <w:numPr>
        <w:ilvl w:val="1"/>
        <w:numId w:val="10"/>
      </w:numPr>
      <w:spacing w:after="80" w:line="271" w:lineRule="auto"/>
    </w:pPr>
    <w:rPr>
      <w:rFonts w:ascii="Arial" w:hAnsi="Arial"/>
      <w:szCs w:val="24"/>
    </w:rPr>
  </w:style>
  <w:style w:type="paragraph" w:customStyle="1" w:styleId="punktowanierozdz">
    <w:name w:val="punktowanie_rozdz"/>
    <w:basedOn w:val="kropkowanierozdz"/>
    <w:uiPriority w:val="99"/>
    <w:rsid w:val="00396434"/>
    <w:pPr>
      <w:numPr>
        <w:numId w:val="13"/>
      </w:numPr>
    </w:pPr>
    <w:rPr>
      <w:b/>
      <w:bCs/>
    </w:rPr>
  </w:style>
  <w:style w:type="paragraph" w:customStyle="1" w:styleId="Tabelatytu">
    <w:name w:val="Tabela_tytuł"/>
    <w:basedOn w:val="Legenda"/>
    <w:uiPriority w:val="99"/>
    <w:rsid w:val="00396434"/>
    <w:pPr>
      <w:spacing w:before="240" w:after="120"/>
      <w:ind w:left="680" w:hanging="680"/>
    </w:pPr>
    <w:rPr>
      <w:rFonts w:ascii="Arial Narrow" w:hAnsi="Arial Narrow"/>
      <w:bCs/>
      <w:iCs w:val="0"/>
      <w:sz w:val="18"/>
      <w:szCs w:val="22"/>
    </w:rPr>
  </w:style>
  <w:style w:type="paragraph" w:customStyle="1" w:styleId="2kropkowanie">
    <w:name w:val="2_kropkowanie"/>
    <w:basedOn w:val="kropkowanierozdz"/>
    <w:uiPriority w:val="99"/>
    <w:rsid w:val="00396434"/>
    <w:pPr>
      <w:numPr>
        <w:numId w:val="14"/>
      </w:numPr>
      <w:tabs>
        <w:tab w:val="num" w:pos="432"/>
      </w:tabs>
    </w:pPr>
    <w:rPr>
      <w:b/>
      <w:bCs/>
    </w:rPr>
  </w:style>
  <w:style w:type="paragraph" w:customStyle="1" w:styleId="opistabela">
    <w:name w:val="opis_tabela"/>
    <w:basedOn w:val="Normalny"/>
    <w:uiPriority w:val="99"/>
    <w:rsid w:val="00396434"/>
    <w:pPr>
      <w:spacing w:before="0" w:after="60"/>
    </w:pPr>
    <w:rPr>
      <w:rFonts w:ascii="Arial" w:hAnsi="Arial" w:cs="Arial"/>
      <w:iCs/>
      <w:sz w:val="16"/>
      <w:szCs w:val="20"/>
    </w:rPr>
  </w:style>
  <w:style w:type="paragraph" w:customStyle="1" w:styleId="3kropkowane">
    <w:name w:val="3_kropkowane"/>
    <w:basedOn w:val="2kropkowanie"/>
    <w:uiPriority w:val="99"/>
    <w:rsid w:val="00396434"/>
    <w:pPr>
      <w:ind w:left="1434"/>
    </w:pPr>
  </w:style>
  <w:style w:type="paragraph" w:customStyle="1" w:styleId="Spistabel">
    <w:name w:val="Spis_tabel"/>
    <w:basedOn w:val="Akapitzlist"/>
    <w:uiPriority w:val="99"/>
    <w:rsid w:val="00462DD4"/>
    <w:pPr>
      <w:numPr>
        <w:numId w:val="28"/>
      </w:numPr>
    </w:pPr>
    <w:rPr>
      <w:rFonts w:ascii="Arial" w:hAnsi="Arial"/>
      <w:b/>
      <w:bCs/>
    </w:rPr>
  </w:style>
  <w:style w:type="paragraph" w:customStyle="1" w:styleId="numeracja">
    <w:name w:val="numeracja"/>
    <w:basedOn w:val="kropkowanierozdz"/>
    <w:uiPriority w:val="99"/>
    <w:rsid w:val="00396434"/>
    <w:pPr>
      <w:numPr>
        <w:numId w:val="15"/>
      </w:numPr>
      <w:tabs>
        <w:tab w:val="num" w:pos="360"/>
      </w:tabs>
    </w:pPr>
    <w:rPr>
      <w:b/>
      <w:bCs/>
    </w:rPr>
  </w:style>
  <w:style w:type="paragraph" w:customStyle="1" w:styleId="numeracja2">
    <w:name w:val="numeracja 2"/>
    <w:basedOn w:val="kropkowanierozdz"/>
    <w:uiPriority w:val="99"/>
    <w:rsid w:val="00396434"/>
    <w:pPr>
      <w:numPr>
        <w:numId w:val="16"/>
      </w:numPr>
      <w:tabs>
        <w:tab w:val="num" w:pos="357"/>
      </w:tabs>
    </w:pPr>
    <w:rPr>
      <w:b/>
      <w:bCs/>
    </w:rPr>
  </w:style>
  <w:style w:type="paragraph" w:customStyle="1" w:styleId="TabelaRaport">
    <w:name w:val="Tabela Raport"/>
    <w:basedOn w:val="TekstRaport"/>
    <w:autoRedefine/>
    <w:uiPriority w:val="99"/>
    <w:rsid w:val="00ED5E7F"/>
    <w:pPr>
      <w:spacing w:before="0" w:after="0" w:line="240" w:lineRule="auto"/>
      <w:jc w:val="center"/>
    </w:pPr>
    <w:rPr>
      <w:sz w:val="16"/>
    </w:rPr>
  </w:style>
  <w:style w:type="paragraph" w:customStyle="1" w:styleId="RaportPodpisTabeli">
    <w:name w:val="Raport Podpis Tabeli"/>
    <w:basedOn w:val="Legenda"/>
    <w:uiPriority w:val="99"/>
    <w:rsid w:val="00396434"/>
    <w:pPr>
      <w:keepNext w:val="0"/>
      <w:spacing w:before="0" w:after="240"/>
      <w:ind w:left="0" w:firstLine="0"/>
    </w:pPr>
    <w:rPr>
      <w:rFonts w:ascii="Arial Narrow" w:eastAsia="Times New Roman" w:hAnsi="Arial Narrow"/>
      <w:bCs/>
      <w:iCs w:val="0"/>
      <w:sz w:val="16"/>
      <w:szCs w:val="20"/>
      <w:lang w:eastAsia="pl-PL"/>
    </w:rPr>
  </w:style>
  <w:style w:type="table" w:styleId="Jasnecieniowanieakcent4">
    <w:name w:val="Light Shading Accent 4"/>
    <w:basedOn w:val="Standardowy"/>
    <w:uiPriority w:val="99"/>
    <w:rsid w:val="00396434"/>
    <w:rPr>
      <w:color w:val="5F497A"/>
    </w:rPr>
    <w:tblPr>
      <w:tblStyleRowBandSize w:val="1"/>
      <w:tblStyleColBandSize w:val="1"/>
      <w:tblBorders>
        <w:top w:val="single" w:sz="8" w:space="0" w:color="8064A2"/>
        <w:bottom w:val="single" w:sz="8" w:space="0" w:color="8064A2"/>
      </w:tblBorders>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character" w:styleId="UyteHipercze">
    <w:name w:val="FollowedHyperlink"/>
    <w:basedOn w:val="Domylnaczcionkaakapitu"/>
    <w:uiPriority w:val="99"/>
    <w:rsid w:val="00396434"/>
    <w:rPr>
      <w:rFonts w:cs="Times New Roman"/>
      <w:color w:val="800080"/>
      <w:u w:val="single"/>
    </w:rPr>
  </w:style>
  <w:style w:type="paragraph" w:customStyle="1" w:styleId="xl65">
    <w:name w:val="xl65"/>
    <w:basedOn w:val="Normalny"/>
    <w:uiPriority w:val="99"/>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0"/>
      <w:szCs w:val="20"/>
      <w:lang w:eastAsia="pl-PL"/>
    </w:rPr>
  </w:style>
  <w:style w:type="paragraph" w:customStyle="1" w:styleId="xl66">
    <w:name w:val="xl66"/>
    <w:basedOn w:val="Normalny"/>
    <w:uiPriority w:val="99"/>
    <w:rsid w:val="00396434"/>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paragraph" w:customStyle="1" w:styleId="xl67">
    <w:name w:val="xl67"/>
    <w:basedOn w:val="Normalny"/>
    <w:uiPriority w:val="99"/>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paragraph" w:customStyle="1" w:styleId="xl68">
    <w:name w:val="xl68"/>
    <w:basedOn w:val="Normalny"/>
    <w:uiPriority w:val="99"/>
    <w:rsid w:val="00396434"/>
    <w:pPr>
      <w:pBdr>
        <w:left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paragraph" w:customStyle="1" w:styleId="xl69">
    <w:name w:val="xl69"/>
    <w:basedOn w:val="Normalny"/>
    <w:uiPriority w:val="99"/>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0">
    <w:name w:val="xl70"/>
    <w:basedOn w:val="Normalny"/>
    <w:uiPriority w:val="99"/>
    <w:rsid w:val="00396434"/>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1">
    <w:name w:val="xl71"/>
    <w:basedOn w:val="Normalny"/>
    <w:uiPriority w:val="99"/>
    <w:rsid w:val="00396434"/>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2">
    <w:name w:val="xl72"/>
    <w:basedOn w:val="Normalny"/>
    <w:uiPriority w:val="99"/>
    <w:rsid w:val="00396434"/>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3">
    <w:name w:val="xl73"/>
    <w:basedOn w:val="Normalny"/>
    <w:uiPriority w:val="99"/>
    <w:rsid w:val="00396434"/>
    <w:pPr>
      <w:pBdr>
        <w:top w:val="single" w:sz="8" w:space="0" w:color="auto"/>
        <w:left w:val="single" w:sz="8" w:space="0" w:color="auto"/>
        <w:bottom w:val="single" w:sz="4" w:space="0" w:color="auto"/>
        <w:right w:val="single" w:sz="8"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74">
    <w:name w:val="xl74"/>
    <w:basedOn w:val="Normalny"/>
    <w:uiPriority w:val="99"/>
    <w:rsid w:val="00396434"/>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5">
    <w:name w:val="xl75"/>
    <w:basedOn w:val="Normalny"/>
    <w:uiPriority w:val="99"/>
    <w:rsid w:val="00396434"/>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6">
    <w:name w:val="xl76"/>
    <w:basedOn w:val="Normalny"/>
    <w:uiPriority w:val="99"/>
    <w:rsid w:val="00396434"/>
    <w:pPr>
      <w:pBdr>
        <w:top w:val="single" w:sz="8" w:space="0" w:color="auto"/>
        <w:left w:val="single" w:sz="8"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77">
    <w:name w:val="xl77"/>
    <w:basedOn w:val="Normalny"/>
    <w:uiPriority w:val="99"/>
    <w:rsid w:val="00396434"/>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8">
    <w:name w:val="xl78"/>
    <w:basedOn w:val="Normalny"/>
    <w:uiPriority w:val="99"/>
    <w:rsid w:val="00396434"/>
    <w:pPr>
      <w:pBdr>
        <w:top w:val="single" w:sz="4"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9">
    <w:name w:val="xl79"/>
    <w:basedOn w:val="Normalny"/>
    <w:uiPriority w:val="99"/>
    <w:rsid w:val="00396434"/>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Narrow" w:eastAsia="Times New Roman" w:hAnsi="Arial Narrow"/>
      <w:b/>
      <w:bCs/>
      <w:sz w:val="16"/>
      <w:szCs w:val="16"/>
      <w:lang w:eastAsia="pl-PL"/>
    </w:rPr>
  </w:style>
  <w:style w:type="paragraph" w:customStyle="1" w:styleId="xl80">
    <w:name w:val="xl80"/>
    <w:basedOn w:val="Normalny"/>
    <w:uiPriority w:val="99"/>
    <w:rsid w:val="00396434"/>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Narrow" w:eastAsia="Times New Roman" w:hAnsi="Arial Narrow"/>
      <w:b/>
      <w:bCs/>
      <w:sz w:val="16"/>
      <w:szCs w:val="16"/>
      <w:lang w:eastAsia="pl-PL"/>
    </w:rPr>
  </w:style>
  <w:style w:type="paragraph" w:customStyle="1" w:styleId="xl81">
    <w:name w:val="xl81"/>
    <w:basedOn w:val="Normalny"/>
    <w:uiPriority w:val="99"/>
    <w:rsid w:val="00396434"/>
    <w:pPr>
      <w:pBdr>
        <w:top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pl-PL"/>
    </w:rPr>
  </w:style>
  <w:style w:type="paragraph" w:customStyle="1" w:styleId="xl82">
    <w:name w:val="xl82"/>
    <w:basedOn w:val="Normalny"/>
    <w:uiPriority w:val="99"/>
    <w:rsid w:val="00396434"/>
    <w:pPr>
      <w:pBdr>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pl-PL"/>
    </w:rPr>
  </w:style>
  <w:style w:type="paragraph" w:customStyle="1" w:styleId="xl83">
    <w:name w:val="xl83"/>
    <w:basedOn w:val="Normalny"/>
    <w:uiPriority w:val="99"/>
    <w:rsid w:val="0039643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4">
    <w:name w:val="xl84"/>
    <w:basedOn w:val="Normalny"/>
    <w:uiPriority w:val="99"/>
    <w:rsid w:val="00396434"/>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5">
    <w:name w:val="xl85"/>
    <w:basedOn w:val="Normalny"/>
    <w:uiPriority w:val="99"/>
    <w:rsid w:val="00396434"/>
    <w:pPr>
      <w:pBdr>
        <w:top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6">
    <w:name w:val="xl86"/>
    <w:basedOn w:val="Normalny"/>
    <w:uiPriority w:val="99"/>
    <w:rsid w:val="0039643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7">
    <w:name w:val="xl87"/>
    <w:basedOn w:val="Normalny"/>
    <w:uiPriority w:val="99"/>
    <w:rsid w:val="00396434"/>
    <w:pPr>
      <w:pBdr>
        <w:top w:val="single" w:sz="4" w:space="0" w:color="auto"/>
        <w:left w:val="single" w:sz="4"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8">
    <w:name w:val="xl88"/>
    <w:basedOn w:val="Normalny"/>
    <w:uiPriority w:val="99"/>
    <w:rsid w:val="00396434"/>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89">
    <w:name w:val="xl89"/>
    <w:basedOn w:val="Normalny"/>
    <w:uiPriority w:val="99"/>
    <w:rsid w:val="00396434"/>
    <w:pPr>
      <w:pBdr>
        <w:top w:val="single" w:sz="4" w:space="0" w:color="auto"/>
        <w:bottom w:val="single" w:sz="4"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0">
    <w:name w:val="xl90"/>
    <w:basedOn w:val="Normalny"/>
    <w:uiPriority w:val="99"/>
    <w:rsid w:val="00396434"/>
    <w:pPr>
      <w:pBdr>
        <w:top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1">
    <w:name w:val="xl91"/>
    <w:basedOn w:val="Normalny"/>
    <w:uiPriority w:val="99"/>
    <w:rsid w:val="00396434"/>
    <w:pPr>
      <w:pBdr>
        <w:top w:val="single" w:sz="4" w:space="0" w:color="auto"/>
        <w:left w:val="single" w:sz="4"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2">
    <w:name w:val="xl92"/>
    <w:basedOn w:val="Normalny"/>
    <w:uiPriority w:val="99"/>
    <w:rsid w:val="00396434"/>
    <w:pPr>
      <w:pBdr>
        <w:top w:val="single" w:sz="4"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3">
    <w:name w:val="xl93"/>
    <w:basedOn w:val="Normalny"/>
    <w:uiPriority w:val="99"/>
    <w:rsid w:val="00396434"/>
    <w:pPr>
      <w:pBdr>
        <w:top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4">
    <w:name w:val="xl94"/>
    <w:basedOn w:val="Normalny"/>
    <w:uiPriority w:val="99"/>
    <w:rsid w:val="00396434"/>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5">
    <w:name w:val="xl95"/>
    <w:basedOn w:val="Normalny"/>
    <w:uiPriority w:val="99"/>
    <w:rsid w:val="00396434"/>
    <w:pPr>
      <w:pBdr>
        <w:left w:val="single" w:sz="8" w:space="0" w:color="auto"/>
        <w:bottom w:val="single" w:sz="4" w:space="0" w:color="auto"/>
        <w:right w:val="single" w:sz="8" w:space="0" w:color="auto"/>
      </w:pBdr>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6">
    <w:name w:val="xl96"/>
    <w:basedOn w:val="Normalny"/>
    <w:uiPriority w:val="99"/>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b/>
      <w:bCs/>
      <w:sz w:val="20"/>
      <w:szCs w:val="20"/>
      <w:lang w:eastAsia="pl-PL"/>
    </w:rPr>
  </w:style>
  <w:style w:type="paragraph" w:styleId="Mapadokumentu">
    <w:name w:val="Document Map"/>
    <w:basedOn w:val="Normalny"/>
    <w:link w:val="MapadokumentuZnak"/>
    <w:uiPriority w:val="99"/>
    <w:rsid w:val="00396434"/>
    <w:pPr>
      <w:spacing w:before="0" w:after="0"/>
      <w:jc w:val="left"/>
    </w:pPr>
    <w:rPr>
      <w:rFonts w:ascii="Tahoma" w:hAnsi="Tahoma" w:cs="Tahoma"/>
      <w:sz w:val="16"/>
      <w:szCs w:val="16"/>
    </w:rPr>
  </w:style>
  <w:style w:type="character" w:customStyle="1" w:styleId="MapadokumentuZnak">
    <w:name w:val="Mapa dokumentu Znak"/>
    <w:basedOn w:val="Domylnaczcionkaakapitu"/>
    <w:link w:val="Mapadokumentu"/>
    <w:uiPriority w:val="99"/>
    <w:rsid w:val="00396434"/>
    <w:rPr>
      <w:rFonts w:ascii="Tahoma" w:hAnsi="Tahoma" w:cs="Tahoma"/>
      <w:sz w:val="16"/>
      <w:szCs w:val="16"/>
      <w:lang w:eastAsia="en-US"/>
    </w:rPr>
  </w:style>
  <w:style w:type="paragraph" w:customStyle="1" w:styleId="xl63">
    <w:name w:val="xl63"/>
    <w:basedOn w:val="Normalny"/>
    <w:uiPriority w:val="99"/>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0"/>
      <w:szCs w:val="20"/>
      <w:lang w:eastAsia="pl-PL"/>
    </w:rPr>
  </w:style>
  <w:style w:type="paragraph" w:customStyle="1" w:styleId="xl64">
    <w:name w:val="xl64"/>
    <w:basedOn w:val="Normalny"/>
    <w:uiPriority w:val="99"/>
    <w:rsid w:val="00396434"/>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character" w:customStyle="1" w:styleId="h2">
    <w:name w:val="h2"/>
    <w:basedOn w:val="Domylnaczcionkaakapitu"/>
    <w:uiPriority w:val="99"/>
    <w:rsid w:val="00396434"/>
    <w:rPr>
      <w:rFonts w:cs="Times New Roman"/>
    </w:rPr>
  </w:style>
  <w:style w:type="character" w:customStyle="1" w:styleId="h1">
    <w:name w:val="h1"/>
    <w:basedOn w:val="Domylnaczcionkaakapitu"/>
    <w:uiPriority w:val="99"/>
    <w:rsid w:val="00396434"/>
    <w:rPr>
      <w:rFonts w:cs="Times New Roman"/>
    </w:rPr>
  </w:style>
  <w:style w:type="paragraph" w:customStyle="1" w:styleId="punktowanie2">
    <w:name w:val="punktowanie2"/>
    <w:basedOn w:val="kropkowanierozdz"/>
    <w:uiPriority w:val="99"/>
    <w:rsid w:val="00396434"/>
    <w:pPr>
      <w:numPr>
        <w:numId w:val="17"/>
      </w:numPr>
    </w:pPr>
    <w:rPr>
      <w:b/>
      <w:bCs/>
    </w:rPr>
  </w:style>
  <w:style w:type="table" w:customStyle="1" w:styleId="rednialista11">
    <w:name w:val="Średnia lista 11"/>
    <w:uiPriority w:val="99"/>
    <w:rsid w:val="0039643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podpisy">
    <w:name w:val="podpisy"/>
    <w:basedOn w:val="TekstRaport"/>
    <w:link w:val="podpisyZnak"/>
    <w:uiPriority w:val="99"/>
    <w:rsid w:val="00396434"/>
    <w:pPr>
      <w:spacing w:before="240" w:after="0"/>
    </w:pPr>
    <w:rPr>
      <w:rFonts w:ascii="Arial" w:hAnsi="Arial" w:cs="Arial"/>
      <w:sz w:val="18"/>
      <w:szCs w:val="18"/>
    </w:rPr>
  </w:style>
  <w:style w:type="character" w:customStyle="1" w:styleId="podpisyZnak">
    <w:name w:val="podpisy Znak"/>
    <w:basedOn w:val="TekstRaportZnak"/>
    <w:link w:val="podpisy"/>
    <w:uiPriority w:val="99"/>
    <w:locked/>
    <w:rsid w:val="00396434"/>
    <w:rPr>
      <w:rFonts w:ascii="Arial" w:eastAsia="Times New Roman" w:hAnsi="Arial" w:cs="Arial"/>
      <w:sz w:val="18"/>
      <w:szCs w:val="18"/>
    </w:rPr>
  </w:style>
  <w:style w:type="paragraph" w:customStyle="1" w:styleId="Mojspistresci">
    <w:name w:val="Moj_spis_tresci"/>
    <w:basedOn w:val="Spistreci1"/>
    <w:uiPriority w:val="99"/>
    <w:rsid w:val="00396434"/>
    <w:pPr>
      <w:tabs>
        <w:tab w:val="clear" w:pos="567"/>
        <w:tab w:val="clear" w:pos="9062"/>
        <w:tab w:val="right" w:leader="dot" w:pos="709"/>
        <w:tab w:val="left" w:pos="901"/>
        <w:tab w:val="right" w:leader="dot" w:pos="9205"/>
      </w:tabs>
      <w:spacing w:before="0" w:afterLines="50" w:after="200"/>
      <w:ind w:left="284" w:hanging="284"/>
      <w:jc w:val="left"/>
    </w:pPr>
    <w:rPr>
      <w:rFonts w:ascii="Arial Narrow" w:hAnsi="Arial Narrow"/>
      <w:smallCaps w:val="0"/>
      <w:sz w:val="28"/>
      <w:szCs w:val="22"/>
    </w:rPr>
  </w:style>
  <w:style w:type="paragraph" w:customStyle="1" w:styleId="rycinyspis">
    <w:name w:val="rycinyspis"/>
    <w:basedOn w:val="Spisilustracji"/>
    <w:uiPriority w:val="99"/>
    <w:rsid w:val="00462DD4"/>
    <w:pPr>
      <w:tabs>
        <w:tab w:val="clear" w:pos="1134"/>
        <w:tab w:val="clear" w:pos="9072"/>
        <w:tab w:val="right" w:leader="dot" w:pos="9205"/>
      </w:tabs>
      <w:spacing w:before="0"/>
      <w:ind w:left="851" w:hanging="794"/>
    </w:pPr>
    <w:rPr>
      <w:rFonts w:ascii="Arial" w:hAnsi="Arial" w:cs="Arial"/>
      <w:i/>
      <w:sz w:val="20"/>
      <w:szCs w:val="20"/>
    </w:rPr>
  </w:style>
  <w:style w:type="paragraph" w:customStyle="1" w:styleId="zanum">
    <w:name w:val="zał_num"/>
    <w:basedOn w:val="kropkowanierozdz"/>
    <w:uiPriority w:val="99"/>
    <w:rsid w:val="00396434"/>
  </w:style>
  <w:style w:type="paragraph" w:customStyle="1" w:styleId="1nagwek">
    <w:name w:val="1. nagłówek"/>
    <w:basedOn w:val="Nagwek1"/>
    <w:next w:val="atpodstawowy"/>
    <w:uiPriority w:val="99"/>
    <w:rsid w:val="00396434"/>
    <w:pPr>
      <w:keepLines/>
      <w:numPr>
        <w:numId w:val="18"/>
      </w:numPr>
      <w:spacing w:before="360" w:line="276" w:lineRule="auto"/>
      <w:ind w:left="765"/>
    </w:pPr>
    <w:rPr>
      <w:rFonts w:ascii="Arial Narrow" w:eastAsia="Times New Roman" w:hAnsi="Arial Narrow" w:cs="Arial"/>
      <w:bCs/>
      <w:smallCaps/>
      <w:color w:val="auto"/>
      <w:sz w:val="32"/>
      <w:szCs w:val="24"/>
    </w:rPr>
  </w:style>
  <w:style w:type="paragraph" w:customStyle="1" w:styleId="atpodstawowy">
    <w:name w:val="a_t_podstawowy"/>
    <w:basedOn w:val="Normalny"/>
    <w:uiPriority w:val="99"/>
    <w:rsid w:val="00396434"/>
    <w:pPr>
      <w:spacing w:before="0" w:after="80" w:line="276" w:lineRule="auto"/>
      <w:ind w:firstLine="567"/>
    </w:pPr>
    <w:rPr>
      <w:rFonts w:ascii="Arial Narrow" w:hAnsi="Arial Narrow"/>
    </w:rPr>
  </w:style>
  <w:style w:type="paragraph" w:customStyle="1" w:styleId="2nagowek">
    <w:name w:val="2. nagłowek"/>
    <w:basedOn w:val="Nagwek2"/>
    <w:next w:val="atpodstawowy"/>
    <w:uiPriority w:val="99"/>
    <w:rsid w:val="00396434"/>
    <w:pPr>
      <w:keepLines/>
      <w:numPr>
        <w:ilvl w:val="0"/>
        <w:numId w:val="19"/>
      </w:numPr>
      <w:spacing w:before="360" w:line="276" w:lineRule="auto"/>
      <w:ind w:left="360"/>
    </w:pPr>
    <w:rPr>
      <w:rFonts w:ascii="Arial" w:eastAsia="Times New Roman" w:hAnsi="Arial"/>
      <w:bCs/>
      <w:color w:val="215868"/>
      <w:sz w:val="24"/>
      <w:szCs w:val="26"/>
    </w:rPr>
  </w:style>
  <w:style w:type="paragraph" w:customStyle="1" w:styleId="awypunktowanie">
    <w:name w:val="a_wypunktowanie"/>
    <w:basedOn w:val="atpodstawowy"/>
    <w:uiPriority w:val="99"/>
    <w:rsid w:val="00396434"/>
    <w:pPr>
      <w:numPr>
        <w:numId w:val="20"/>
      </w:numPr>
    </w:pPr>
  </w:style>
  <w:style w:type="paragraph" w:customStyle="1" w:styleId="abwypunktowanie">
    <w:name w:val="ab_wypunktowanie"/>
    <w:basedOn w:val="awypunktowanie"/>
    <w:uiPriority w:val="99"/>
    <w:rsid w:val="00396434"/>
    <w:pPr>
      <w:numPr>
        <w:numId w:val="21"/>
      </w:numPr>
    </w:pPr>
  </w:style>
  <w:style w:type="paragraph" w:customStyle="1" w:styleId="3nagwek">
    <w:name w:val="3. nagłówek"/>
    <w:basedOn w:val="Nagwek3"/>
    <w:next w:val="atpodstawowy"/>
    <w:uiPriority w:val="99"/>
    <w:rsid w:val="00396434"/>
    <w:pPr>
      <w:keepLines/>
      <w:numPr>
        <w:numId w:val="22"/>
      </w:numPr>
      <w:spacing w:line="276" w:lineRule="auto"/>
      <w:ind w:left="1440"/>
    </w:pPr>
    <w:rPr>
      <w:rFonts w:ascii="Arial Narrow" w:eastAsia="Times New Roman" w:hAnsi="Arial Narrow"/>
      <w:bCs/>
      <w:color w:val="215868"/>
      <w:sz w:val="22"/>
      <w:szCs w:val="22"/>
    </w:rPr>
  </w:style>
  <w:style w:type="paragraph" w:customStyle="1" w:styleId="I-tytudpal">
    <w:name w:val="I - tytuł _dpal"/>
    <w:basedOn w:val="Normalny"/>
    <w:link w:val="I-tytudpalZnak"/>
    <w:autoRedefine/>
    <w:uiPriority w:val="99"/>
    <w:rsid w:val="00396434"/>
    <w:pPr>
      <w:numPr>
        <w:numId w:val="23"/>
      </w:numPr>
      <w:spacing w:after="240"/>
      <w:jc w:val="left"/>
    </w:pPr>
    <w:rPr>
      <w:rFonts w:ascii="Arial Narrow" w:eastAsia="Times New Roman" w:hAnsi="Arial Narrow"/>
      <w:b/>
      <w:sz w:val="28"/>
      <w:szCs w:val="24"/>
      <w:lang w:eastAsia="pl-PL"/>
    </w:rPr>
  </w:style>
  <w:style w:type="character" w:customStyle="1" w:styleId="I-tytudpalZnak">
    <w:name w:val="I - tytuł _dpal Znak"/>
    <w:basedOn w:val="Domylnaczcionkaakapitu"/>
    <w:link w:val="I-tytudpal"/>
    <w:uiPriority w:val="99"/>
    <w:locked/>
    <w:rsid w:val="00396434"/>
    <w:rPr>
      <w:rFonts w:ascii="Arial Narrow" w:eastAsia="Times New Roman" w:hAnsi="Arial Narrow"/>
      <w:b/>
      <w:sz w:val="28"/>
      <w:szCs w:val="24"/>
    </w:rPr>
  </w:style>
  <w:style w:type="paragraph" w:customStyle="1" w:styleId="TableText">
    <w:name w:val="TableText"/>
    <w:basedOn w:val="Normalny"/>
    <w:uiPriority w:val="99"/>
    <w:rsid w:val="00396434"/>
    <w:pPr>
      <w:spacing w:before="0" w:after="0"/>
      <w:jc w:val="center"/>
    </w:pPr>
    <w:rPr>
      <w:rFonts w:ascii="Arial Narrow" w:eastAsia="Times New Roman" w:hAnsi="Arial Narrow"/>
      <w:sz w:val="16"/>
      <w:szCs w:val="20"/>
      <w:lang w:val="en-GB" w:eastAsia="ar-SA"/>
    </w:rPr>
  </w:style>
  <w:style w:type="paragraph" w:customStyle="1" w:styleId="TestRaportPunktowany">
    <w:name w:val="Test Raport Punktowany"/>
    <w:basedOn w:val="TekstRaport"/>
    <w:autoRedefine/>
    <w:uiPriority w:val="99"/>
    <w:rsid w:val="00396434"/>
    <w:pPr>
      <w:numPr>
        <w:ilvl w:val="1"/>
        <w:numId w:val="23"/>
      </w:numPr>
      <w:tabs>
        <w:tab w:val="clear" w:pos="792"/>
      </w:tabs>
      <w:ind w:left="1440" w:hanging="360"/>
    </w:pPr>
  </w:style>
  <w:style w:type="paragraph" w:customStyle="1" w:styleId="JCWPd-nagwek">
    <w:name w:val="JCWPd-nagłówek"/>
    <w:basedOn w:val="Tekstpodstawowy"/>
    <w:link w:val="JCWPd-nagwekZnak"/>
    <w:uiPriority w:val="99"/>
    <w:rsid w:val="00396434"/>
    <w:pPr>
      <w:spacing w:before="360" w:after="240"/>
      <w:jc w:val="left"/>
    </w:pPr>
    <w:rPr>
      <w:rFonts w:ascii="Arial Narrow" w:hAnsi="Arial Narrow"/>
      <w:b/>
      <w:sz w:val="24"/>
      <w:u w:val="single"/>
    </w:rPr>
  </w:style>
  <w:style w:type="character" w:customStyle="1" w:styleId="JCWPd-nagwekZnak">
    <w:name w:val="JCWPd-nagłówek Znak"/>
    <w:basedOn w:val="Domylnaczcionkaakapitu"/>
    <w:link w:val="JCWPd-nagwek"/>
    <w:uiPriority w:val="99"/>
    <w:locked/>
    <w:rsid w:val="00396434"/>
    <w:rPr>
      <w:rFonts w:ascii="Arial Narrow" w:hAnsi="Arial Narrow"/>
      <w:b/>
      <w:sz w:val="24"/>
      <w:szCs w:val="22"/>
      <w:u w:val="single"/>
      <w:lang w:eastAsia="en-US"/>
    </w:rPr>
  </w:style>
  <w:style w:type="character" w:customStyle="1" w:styleId="RozdzialZnak">
    <w:name w:val="Rozdzial Znak"/>
    <w:basedOn w:val="Domylnaczcionkaakapitu"/>
    <w:link w:val="Rozdzial"/>
    <w:uiPriority w:val="99"/>
    <w:locked/>
    <w:rsid w:val="00396434"/>
    <w:rPr>
      <w:rFonts w:ascii="Arial" w:hAnsi="Arial"/>
      <w:sz w:val="22"/>
      <w:lang w:eastAsia="en-US"/>
    </w:rPr>
  </w:style>
  <w:style w:type="character" w:customStyle="1" w:styleId="kropkowanierozdzZnak">
    <w:name w:val="kropkowanie_rozdz Znak"/>
    <w:basedOn w:val="Domylnaczcionkaakapitu"/>
    <w:link w:val="kropkowanierozdz"/>
    <w:uiPriority w:val="99"/>
    <w:locked/>
    <w:rsid w:val="00396434"/>
    <w:rPr>
      <w:rFonts w:ascii="Arial" w:hAnsi="Arial"/>
      <w:sz w:val="22"/>
      <w:szCs w:val="24"/>
      <w:lang w:eastAsia="en-US"/>
    </w:rPr>
  </w:style>
  <w:style w:type="paragraph" w:customStyle="1" w:styleId="APodpispodfigury">
    <w:name w:val="APodpis pod figury"/>
    <w:basedOn w:val="Rozdzial"/>
    <w:uiPriority w:val="99"/>
    <w:rsid w:val="00396434"/>
    <w:pPr>
      <w:spacing w:before="240" w:after="480" w:line="260" w:lineRule="exact"/>
      <w:jc w:val="center"/>
    </w:pPr>
    <w:rPr>
      <w:b/>
      <w:sz w:val="20"/>
    </w:rPr>
  </w:style>
  <w:style w:type="paragraph" w:customStyle="1" w:styleId="aRaportPodpisTabeli">
    <w:name w:val="a_Raport Podpis Tabeli"/>
    <w:basedOn w:val="Legenda"/>
    <w:uiPriority w:val="99"/>
    <w:rsid w:val="00396434"/>
    <w:pPr>
      <w:spacing w:before="0"/>
      <w:ind w:left="0" w:firstLine="0"/>
    </w:pPr>
    <w:rPr>
      <w:rFonts w:ascii="Arial Narrow" w:eastAsia="Times New Roman" w:hAnsi="Arial Narrow"/>
      <w:bCs/>
      <w:iCs w:val="0"/>
      <w:sz w:val="16"/>
      <w:szCs w:val="20"/>
      <w:lang w:eastAsia="pl-PL"/>
    </w:rPr>
  </w:style>
  <w:style w:type="paragraph" w:customStyle="1" w:styleId="NormalnyPW">
    <w:name w:val="Normalny PW"/>
    <w:basedOn w:val="Normalny"/>
    <w:uiPriority w:val="99"/>
    <w:rsid w:val="00396434"/>
    <w:pPr>
      <w:spacing w:before="0" w:line="360" w:lineRule="auto"/>
    </w:pPr>
    <w:rPr>
      <w:rFonts w:ascii="Times New Roman" w:eastAsia="Times New Roman" w:hAnsi="Times New Roman"/>
      <w:sz w:val="24"/>
    </w:rPr>
  </w:style>
  <w:style w:type="paragraph" w:customStyle="1" w:styleId="Nagwek2Raport">
    <w:name w:val="Nagłówek 2 Raport"/>
    <w:basedOn w:val="I-tytudpal"/>
    <w:uiPriority w:val="99"/>
    <w:rsid w:val="00396434"/>
    <w:pPr>
      <w:numPr>
        <w:ilvl w:val="1"/>
        <w:numId w:val="24"/>
      </w:numPr>
      <w:spacing w:before="240"/>
      <w:ind w:left="1080"/>
    </w:pPr>
    <w:rPr>
      <w:b w:val="0"/>
    </w:rPr>
  </w:style>
  <w:style w:type="paragraph" w:customStyle="1" w:styleId="Nagowek3Raport">
    <w:name w:val="Nagłowek 3 Raport"/>
    <w:basedOn w:val="Nagwek2Raport"/>
    <w:uiPriority w:val="99"/>
    <w:rsid w:val="00396434"/>
    <w:pPr>
      <w:numPr>
        <w:ilvl w:val="2"/>
      </w:numPr>
      <w:ind w:left="1800"/>
    </w:pPr>
    <w:rPr>
      <w:b/>
      <w:sz w:val="20"/>
    </w:rPr>
  </w:style>
  <w:style w:type="paragraph" w:customStyle="1" w:styleId="TabelaRaportNagwk">
    <w:name w:val="Tabela Raport Nagłówk"/>
    <w:basedOn w:val="TabelaRaport"/>
    <w:uiPriority w:val="99"/>
    <w:rsid w:val="00396434"/>
    <w:pPr>
      <w:ind w:hanging="70"/>
    </w:pPr>
    <w:rPr>
      <w:szCs w:val="16"/>
    </w:rPr>
  </w:style>
  <w:style w:type="paragraph" w:customStyle="1" w:styleId="StylSpistreci1Zprawej-146cm">
    <w:name w:val="Styl Spis treści 1 + Z prawej:  -1.46 cm"/>
    <w:basedOn w:val="Spistreci1"/>
    <w:autoRedefine/>
    <w:uiPriority w:val="99"/>
    <w:rsid w:val="00396434"/>
    <w:pPr>
      <w:tabs>
        <w:tab w:val="clear" w:pos="567"/>
        <w:tab w:val="clear" w:pos="9062"/>
        <w:tab w:val="right" w:leader="dot" w:pos="709"/>
        <w:tab w:val="left" w:pos="1260"/>
        <w:tab w:val="right" w:leader="dot" w:pos="9498"/>
      </w:tabs>
      <w:spacing w:afterLines="50" w:after="200" w:line="360" w:lineRule="auto"/>
      <w:ind w:left="539" w:right="-829" w:hanging="359"/>
      <w:jc w:val="left"/>
    </w:pPr>
    <w:rPr>
      <w:rFonts w:ascii="Arial Narrow" w:eastAsia="Times New Roman" w:hAnsi="Arial Narrow"/>
      <w:b w:val="0"/>
      <w:smallCaps w:val="0"/>
      <w:sz w:val="28"/>
      <w:lang w:eastAsia="pl-PL"/>
    </w:rPr>
  </w:style>
  <w:style w:type="paragraph" w:customStyle="1" w:styleId="RaportBibliografia">
    <w:name w:val="Raport Bibliografia"/>
    <w:basedOn w:val="TekstRaport"/>
    <w:uiPriority w:val="99"/>
    <w:rsid w:val="00396434"/>
  </w:style>
  <w:style w:type="paragraph" w:customStyle="1" w:styleId="BodyText21">
    <w:name w:val="Body Text 21"/>
    <w:basedOn w:val="Normalny"/>
    <w:uiPriority w:val="99"/>
    <w:rsid w:val="00396434"/>
    <w:pPr>
      <w:tabs>
        <w:tab w:val="num" w:pos="1728"/>
      </w:tabs>
      <w:spacing w:before="0" w:after="0" w:line="360" w:lineRule="auto"/>
      <w:ind w:left="1728" w:hanging="648"/>
    </w:pPr>
    <w:rPr>
      <w:rFonts w:ascii="Arial" w:eastAsia="Times New Roman" w:hAnsi="Arial"/>
      <w:sz w:val="24"/>
      <w:szCs w:val="20"/>
      <w:lang w:eastAsia="pl-PL"/>
    </w:rPr>
  </w:style>
  <w:style w:type="paragraph" w:customStyle="1" w:styleId="RaportNagwek4">
    <w:name w:val="Raport Nagłówek 4"/>
    <w:basedOn w:val="I-tytudpal"/>
    <w:autoRedefine/>
    <w:uiPriority w:val="99"/>
    <w:rsid w:val="00396434"/>
    <w:pPr>
      <w:numPr>
        <w:numId w:val="0"/>
      </w:numPr>
      <w:tabs>
        <w:tab w:val="num" w:pos="1418"/>
      </w:tabs>
      <w:spacing w:after="360"/>
      <w:ind w:left="1417" w:hanging="992"/>
    </w:pPr>
  </w:style>
  <w:style w:type="paragraph" w:customStyle="1" w:styleId="standard1">
    <w:name w:val="standard1"/>
    <w:basedOn w:val="Normalny"/>
    <w:uiPriority w:val="99"/>
    <w:rsid w:val="00396434"/>
    <w:pPr>
      <w:spacing w:before="0" w:after="0" w:line="360" w:lineRule="auto"/>
      <w:ind w:firstLine="709"/>
    </w:pPr>
    <w:rPr>
      <w:rFonts w:ascii="Times New Roman" w:eastAsia="Times New Roman" w:hAnsi="Times New Roman"/>
      <w:sz w:val="24"/>
      <w:szCs w:val="20"/>
      <w:lang w:eastAsia="pl-PL"/>
    </w:rPr>
  </w:style>
  <w:style w:type="paragraph" w:customStyle="1" w:styleId="Rysunektytu">
    <w:name w:val="Rysunek_tytuł"/>
    <w:basedOn w:val="Tabelatytu"/>
    <w:next w:val="atpodstawowy"/>
    <w:uiPriority w:val="99"/>
    <w:rsid w:val="00396434"/>
    <w:pPr>
      <w:keepNext w:val="0"/>
      <w:spacing w:before="120" w:after="240"/>
      <w:ind w:left="0" w:firstLine="0"/>
      <w:jc w:val="center"/>
    </w:pPr>
    <w:rPr>
      <w:szCs w:val="20"/>
    </w:rPr>
  </w:style>
  <w:style w:type="paragraph" w:customStyle="1" w:styleId="standard12">
    <w:name w:val="standard12"/>
    <w:basedOn w:val="Normalny"/>
    <w:uiPriority w:val="99"/>
    <w:rsid w:val="00396434"/>
    <w:pPr>
      <w:spacing w:before="0" w:after="0" w:line="360" w:lineRule="auto"/>
      <w:jc w:val="left"/>
    </w:pPr>
    <w:rPr>
      <w:rFonts w:ascii="Times New Roman" w:eastAsia="Times New Roman" w:hAnsi="Times New Roman"/>
      <w:sz w:val="24"/>
      <w:szCs w:val="20"/>
      <w:lang w:eastAsia="pl-PL"/>
    </w:rPr>
  </w:style>
  <w:style w:type="paragraph" w:customStyle="1" w:styleId="podsumowanie">
    <w:name w:val="podsumowanie"/>
    <w:basedOn w:val="atpodstawowy"/>
    <w:uiPriority w:val="99"/>
    <w:rsid w:val="00396434"/>
    <w:pPr>
      <w:numPr>
        <w:numId w:val="25"/>
      </w:numPr>
    </w:pPr>
  </w:style>
  <w:style w:type="paragraph" w:customStyle="1" w:styleId="II-tytu-dpal">
    <w:name w:val="II - tytuł - dpal"/>
    <w:basedOn w:val="Normalny"/>
    <w:uiPriority w:val="99"/>
    <w:rsid w:val="00396434"/>
    <w:pPr>
      <w:spacing w:before="480" w:after="240"/>
    </w:pPr>
    <w:rPr>
      <w:rFonts w:ascii="Arial Narrow" w:hAnsi="Arial Narrow"/>
      <w:b/>
      <w:smallCaps/>
      <w:sz w:val="28"/>
    </w:rPr>
  </w:style>
  <w:style w:type="paragraph" w:customStyle="1" w:styleId="III-tytu-dpal">
    <w:name w:val="III - tytuł - dpal"/>
    <w:basedOn w:val="II-tytu-dpal"/>
    <w:uiPriority w:val="99"/>
    <w:rsid w:val="00396434"/>
    <w:rPr>
      <w:smallCaps w:val="0"/>
      <w:sz w:val="24"/>
    </w:rPr>
  </w:style>
  <w:style w:type="character" w:customStyle="1" w:styleId="apple-converted-space">
    <w:name w:val="apple-converted-space"/>
    <w:basedOn w:val="Domylnaczcionkaakapitu"/>
    <w:uiPriority w:val="99"/>
    <w:rsid w:val="00396434"/>
    <w:rPr>
      <w:rFonts w:cs="Times New Roman"/>
    </w:rPr>
  </w:style>
  <w:style w:type="paragraph" w:customStyle="1" w:styleId="Tekstraportdpal">
    <w:name w:val="Tekst raport_dpal"/>
    <w:basedOn w:val="TekstRaport"/>
    <w:uiPriority w:val="99"/>
    <w:rsid w:val="00396434"/>
    <w:pPr>
      <w:spacing w:before="0"/>
      <w:ind w:firstLine="709"/>
    </w:pPr>
    <w:rPr>
      <w:sz w:val="22"/>
      <w:szCs w:val="20"/>
    </w:rPr>
  </w:style>
  <w:style w:type="paragraph" w:customStyle="1" w:styleId="Nagowek1Raport">
    <w:name w:val="Nagłowek 1 Raport"/>
    <w:basedOn w:val="Normalny"/>
    <w:link w:val="Nagowek1RaportZnak"/>
    <w:autoRedefine/>
    <w:uiPriority w:val="99"/>
    <w:rsid w:val="00396434"/>
    <w:pPr>
      <w:spacing w:before="480" w:after="360"/>
      <w:jc w:val="center"/>
      <w:outlineLvl w:val="0"/>
    </w:pPr>
    <w:rPr>
      <w:rFonts w:ascii="Arial Narrow" w:eastAsia="Times New Roman" w:hAnsi="Arial Narrow"/>
      <w:b/>
      <w:sz w:val="28"/>
      <w:szCs w:val="24"/>
      <w:lang w:eastAsia="pl-PL"/>
    </w:rPr>
  </w:style>
  <w:style w:type="character" w:customStyle="1" w:styleId="Nagowek1RaportZnak">
    <w:name w:val="Nagłowek 1 Raport Znak"/>
    <w:basedOn w:val="Domylnaczcionkaakapitu"/>
    <w:link w:val="Nagowek1Raport"/>
    <w:uiPriority w:val="99"/>
    <w:locked/>
    <w:rsid w:val="00396434"/>
    <w:rPr>
      <w:rFonts w:ascii="Arial Narrow" w:eastAsia="Times New Roman" w:hAnsi="Arial Narrow"/>
      <w:b/>
      <w:sz w:val="28"/>
      <w:szCs w:val="24"/>
    </w:rPr>
  </w:style>
  <w:style w:type="paragraph" w:customStyle="1" w:styleId="StylNagwek1aciskiArialNarrowPo12pt">
    <w:name w:val="Styl Nagłówek 1 + (Łaciński) Arial Narrow Po:  12 pt"/>
    <w:basedOn w:val="Nagwek1"/>
    <w:uiPriority w:val="99"/>
    <w:rsid w:val="00396434"/>
    <w:pPr>
      <w:keepLines/>
      <w:spacing w:before="480"/>
      <w:ind w:left="0" w:firstLine="0"/>
    </w:pPr>
    <w:rPr>
      <w:rFonts w:ascii="Arial Narrow" w:eastAsia="Times New Roman" w:hAnsi="Arial Narrow"/>
      <w:bCs/>
      <w:color w:val="365F91"/>
      <w:szCs w:val="20"/>
      <w:lang w:eastAsia="pl-PL"/>
    </w:rPr>
  </w:style>
  <w:style w:type="paragraph" w:customStyle="1" w:styleId="Tekstpodstawowy21">
    <w:name w:val="Tekst podstawowy 21"/>
    <w:basedOn w:val="Normalny"/>
    <w:uiPriority w:val="99"/>
    <w:rsid w:val="00396434"/>
    <w:pPr>
      <w:spacing w:before="0" w:after="0" w:line="360" w:lineRule="auto"/>
    </w:pPr>
    <w:rPr>
      <w:rFonts w:ascii="Arial" w:eastAsia="Times New Roman" w:hAnsi="Arial"/>
      <w:sz w:val="24"/>
      <w:szCs w:val="20"/>
      <w:lang w:eastAsia="pl-PL"/>
    </w:rPr>
  </w:style>
  <w:style w:type="character" w:customStyle="1" w:styleId="odkryjnastepnyblok">
    <w:name w:val="odkryjnastepnyblok"/>
    <w:basedOn w:val="Domylnaczcionkaakapitu"/>
    <w:uiPriority w:val="99"/>
    <w:rsid w:val="00396434"/>
    <w:rPr>
      <w:rFonts w:cs="Times New Roman"/>
    </w:rPr>
  </w:style>
  <w:style w:type="paragraph" w:customStyle="1" w:styleId="Nagwek2dpal">
    <w:name w:val="Nagłówek 2_dpal"/>
    <w:basedOn w:val="Nagwek1"/>
    <w:uiPriority w:val="99"/>
    <w:rsid w:val="00396434"/>
    <w:pPr>
      <w:keepLines/>
      <w:spacing w:before="480" w:after="360"/>
      <w:ind w:left="0" w:firstLine="0"/>
    </w:pPr>
    <w:rPr>
      <w:rFonts w:ascii="Arial Narrow" w:eastAsia="Times New Roman" w:hAnsi="Arial Narrow"/>
      <w:bCs/>
      <w:color w:val="365F91"/>
      <w:sz w:val="26"/>
      <w:szCs w:val="20"/>
      <w:lang w:eastAsia="pl-PL"/>
    </w:rPr>
  </w:style>
  <w:style w:type="paragraph" w:customStyle="1" w:styleId="Nagwek3dpal">
    <w:name w:val="Nagłówek 3_dpal"/>
    <w:basedOn w:val="Nagwek2"/>
    <w:uiPriority w:val="99"/>
    <w:rsid w:val="00396434"/>
    <w:pPr>
      <w:numPr>
        <w:ilvl w:val="0"/>
        <w:numId w:val="0"/>
      </w:numPr>
      <w:spacing w:before="360"/>
      <w:ind w:left="578" w:hanging="578"/>
    </w:pPr>
    <w:rPr>
      <w:rFonts w:ascii="Arial Narrow" w:eastAsia="Times New Roman" w:hAnsi="Arial Narrow"/>
      <w:bCs/>
      <w:color w:val="1F497D"/>
      <w:sz w:val="24"/>
      <w:szCs w:val="20"/>
      <w:lang w:eastAsia="pl-PL"/>
    </w:rPr>
  </w:style>
  <w:style w:type="paragraph" w:customStyle="1" w:styleId="StylLegendaWyjustowany">
    <w:name w:val="Styl Legenda + Wyjustowany"/>
    <w:basedOn w:val="Legenda"/>
    <w:uiPriority w:val="99"/>
    <w:rsid w:val="00396434"/>
    <w:pPr>
      <w:keepNext w:val="0"/>
      <w:spacing w:after="360"/>
      <w:ind w:left="0" w:firstLine="0"/>
    </w:pPr>
    <w:rPr>
      <w:rFonts w:ascii="Arial Narrow" w:eastAsia="Times New Roman" w:hAnsi="Arial Narrow"/>
      <w:bCs/>
      <w:iCs w:val="0"/>
      <w:szCs w:val="20"/>
      <w:lang w:eastAsia="pl-PL"/>
    </w:rPr>
  </w:style>
  <w:style w:type="paragraph" w:customStyle="1" w:styleId="1nagoweksprawozdanie2010">
    <w:name w:val="1. nagłowek sprawozdanie 2010"/>
    <w:basedOn w:val="Nagwek1"/>
    <w:uiPriority w:val="99"/>
    <w:rsid w:val="00396434"/>
    <w:pPr>
      <w:spacing w:before="360" w:after="360" w:line="360" w:lineRule="auto"/>
      <w:ind w:left="0" w:firstLine="0"/>
    </w:pPr>
    <w:rPr>
      <w:rFonts w:ascii="Arial Narrow" w:eastAsia="Times New Roman" w:hAnsi="Arial Narrow" w:cs="Arial"/>
      <w:color w:val="000000"/>
      <w:kern w:val="32"/>
      <w:szCs w:val="22"/>
      <w:lang w:eastAsia="pl-PL"/>
    </w:rPr>
  </w:style>
  <w:style w:type="paragraph" w:customStyle="1" w:styleId="tekstsprawozdanie2010">
    <w:name w:val="tekst sprawozdanie 2010"/>
    <w:basedOn w:val="Normalny"/>
    <w:uiPriority w:val="99"/>
    <w:rsid w:val="00396434"/>
    <w:pPr>
      <w:spacing w:before="0" w:after="0" w:line="360" w:lineRule="auto"/>
      <w:ind w:firstLine="680"/>
    </w:pPr>
    <w:rPr>
      <w:rFonts w:ascii="Arial Narrow" w:eastAsia="Times New Roman" w:hAnsi="Arial Narrow" w:cs="Arial"/>
      <w:color w:val="000000"/>
      <w:sz w:val="24"/>
      <w:lang w:eastAsia="pl-PL"/>
    </w:rPr>
  </w:style>
  <w:style w:type="paragraph" w:customStyle="1" w:styleId="2nagweksprawozdanie2010">
    <w:name w:val="2 nagłówek sprawozdanie 2010"/>
    <w:basedOn w:val="Nagwek"/>
    <w:uiPriority w:val="99"/>
    <w:rsid w:val="00396434"/>
    <w:pPr>
      <w:tabs>
        <w:tab w:val="left" w:pos="708"/>
      </w:tabs>
      <w:spacing w:after="360"/>
      <w:ind w:left="709"/>
      <w:jc w:val="left"/>
    </w:pPr>
    <w:rPr>
      <w:rFonts w:ascii="Arial Narrow" w:eastAsia="Times New Roman" w:hAnsi="Arial Narrow" w:cs="Arial"/>
      <w:b/>
      <w:color w:val="000000"/>
      <w:sz w:val="24"/>
      <w:szCs w:val="24"/>
      <w:lang w:eastAsia="pl-PL"/>
    </w:rPr>
  </w:style>
  <w:style w:type="paragraph" w:customStyle="1" w:styleId="3nagweksprawozdanie2010">
    <w:name w:val="3 nagłówek sprawozdanie 2010"/>
    <w:basedOn w:val="1nagoweksprawozdanie2010"/>
    <w:uiPriority w:val="99"/>
    <w:rsid w:val="00396434"/>
    <w:rPr>
      <w:sz w:val="22"/>
    </w:rPr>
  </w:style>
  <w:style w:type="paragraph" w:customStyle="1" w:styleId="StylNagwek1aciskiArialNarrowPo12pt1">
    <w:name w:val="Styl Nagłówek 1 + (Łaciński) Arial Narrow Po:  12 pt1"/>
    <w:basedOn w:val="Nagwek1"/>
    <w:uiPriority w:val="99"/>
    <w:rsid w:val="00396434"/>
    <w:pPr>
      <w:keepLines/>
      <w:spacing w:before="840"/>
      <w:ind w:left="0" w:firstLine="0"/>
    </w:pPr>
    <w:rPr>
      <w:rFonts w:ascii="Arial Narrow" w:eastAsia="Times New Roman" w:hAnsi="Arial Narrow"/>
      <w:bCs/>
      <w:color w:val="365F91"/>
      <w:szCs w:val="20"/>
      <w:lang w:eastAsia="pl-PL"/>
    </w:rPr>
  </w:style>
  <w:style w:type="character" w:customStyle="1" w:styleId="bn">
    <w:name w:val="bn"/>
    <w:basedOn w:val="Domylnaczcionkaakapitu"/>
    <w:uiPriority w:val="99"/>
    <w:rsid w:val="00396434"/>
    <w:rPr>
      <w:rFonts w:cs="Times New Roman"/>
    </w:rPr>
  </w:style>
  <w:style w:type="paragraph" w:customStyle="1" w:styleId="StylLegendaArialNarrow10ptAutomatycznyPrzed18ptP">
    <w:name w:val="Styl Legenda + Arial Narrow 10 pt Automatyczny Przed:  18 pt P..."/>
    <w:basedOn w:val="Legenda"/>
    <w:uiPriority w:val="99"/>
    <w:rsid w:val="00396434"/>
    <w:pPr>
      <w:keepNext w:val="0"/>
      <w:spacing w:before="360" w:after="120"/>
      <w:ind w:left="794" w:hanging="794"/>
    </w:pPr>
    <w:rPr>
      <w:rFonts w:ascii="Arial Narrow" w:eastAsia="Times New Roman" w:hAnsi="Arial Narrow"/>
      <w:bCs/>
      <w:iCs w:val="0"/>
      <w:szCs w:val="20"/>
      <w:lang w:eastAsia="pl-PL"/>
    </w:rPr>
  </w:style>
  <w:style w:type="paragraph" w:customStyle="1" w:styleId="StylNagwek1aciskiArialNarrowAutomatycznyPo12pt">
    <w:name w:val="Styl Nagłówek 1 + (Łaciński) Arial Narrow Automatyczny Po:  12 pt"/>
    <w:basedOn w:val="Nagwek1"/>
    <w:uiPriority w:val="99"/>
    <w:rsid w:val="00396434"/>
    <w:pPr>
      <w:keepLines/>
      <w:spacing w:after="480"/>
      <w:ind w:left="0" w:firstLine="0"/>
    </w:pPr>
    <w:rPr>
      <w:rFonts w:ascii="Arial Narrow" w:eastAsia="Times New Roman" w:hAnsi="Arial Narrow"/>
      <w:bCs/>
      <w:color w:val="auto"/>
      <w:szCs w:val="20"/>
      <w:lang w:eastAsia="pl-PL"/>
    </w:rPr>
  </w:style>
  <w:style w:type="paragraph" w:customStyle="1" w:styleId="Azotany">
    <w:name w:val="Azotany"/>
    <w:basedOn w:val="Normalny"/>
    <w:link w:val="AzotanyZnak"/>
    <w:uiPriority w:val="99"/>
    <w:rsid w:val="00396434"/>
    <w:pPr>
      <w:spacing w:before="0" w:line="360" w:lineRule="auto"/>
    </w:pPr>
    <w:rPr>
      <w:rFonts w:ascii="Arial Narrow" w:eastAsia="Times New Roman" w:hAnsi="Arial Narrow"/>
      <w:szCs w:val="20"/>
      <w:lang w:eastAsia="pl-PL"/>
    </w:rPr>
  </w:style>
  <w:style w:type="character" w:customStyle="1" w:styleId="AzotanyZnak">
    <w:name w:val="Azotany Znak"/>
    <w:basedOn w:val="Domylnaczcionkaakapitu"/>
    <w:link w:val="Azotany"/>
    <w:uiPriority w:val="99"/>
    <w:locked/>
    <w:rsid w:val="00396434"/>
    <w:rPr>
      <w:rFonts w:ascii="Arial Narrow" w:eastAsia="Times New Roman" w:hAnsi="Arial Narrow"/>
      <w:sz w:val="22"/>
    </w:rPr>
  </w:style>
  <w:style w:type="paragraph" w:customStyle="1" w:styleId="celp">
    <w:name w:val="cel_p"/>
    <w:basedOn w:val="Normalny"/>
    <w:uiPriority w:val="99"/>
    <w:rsid w:val="00396434"/>
    <w:pPr>
      <w:spacing w:before="100" w:beforeAutospacing="1" w:after="100" w:afterAutospacing="1"/>
      <w:jc w:val="left"/>
    </w:pPr>
    <w:rPr>
      <w:rFonts w:ascii="Times New Roman" w:eastAsia="Times New Roman" w:hAnsi="Times New Roman"/>
      <w:sz w:val="24"/>
      <w:szCs w:val="24"/>
      <w:lang w:eastAsia="pl-PL"/>
    </w:rPr>
  </w:style>
  <w:style w:type="numbering" w:customStyle="1" w:styleId="Styl1">
    <w:name w:val="Styl1"/>
    <w:rsid w:val="00396434"/>
    <w:pPr>
      <w:numPr>
        <w:numId w:val="91"/>
      </w:numPr>
    </w:pPr>
  </w:style>
  <w:style w:type="character" w:customStyle="1" w:styleId="st">
    <w:name w:val="st"/>
    <w:basedOn w:val="Domylnaczcionkaakapitu"/>
    <w:rsid w:val="00396434"/>
  </w:style>
  <w:style w:type="character" w:styleId="Uwydatnienie">
    <w:name w:val="Emphasis"/>
    <w:basedOn w:val="Domylnaczcionkaakapitu"/>
    <w:uiPriority w:val="20"/>
    <w:locked/>
    <w:rsid w:val="00396434"/>
    <w:rPr>
      <w:i/>
      <w:iCs/>
    </w:rPr>
  </w:style>
  <w:style w:type="paragraph" w:customStyle="1" w:styleId="font5">
    <w:name w:val="font5"/>
    <w:basedOn w:val="Normalny"/>
    <w:rsid w:val="00396434"/>
    <w:pPr>
      <w:spacing w:before="100" w:beforeAutospacing="1" w:after="100" w:afterAutospacing="1"/>
      <w:jc w:val="left"/>
    </w:pPr>
    <w:rPr>
      <w:rFonts w:eastAsia="Times New Roman"/>
      <w:color w:val="000000"/>
      <w:sz w:val="16"/>
      <w:szCs w:val="16"/>
      <w:lang w:eastAsia="pl-PL"/>
    </w:rPr>
  </w:style>
  <w:style w:type="paragraph" w:customStyle="1" w:styleId="font6">
    <w:name w:val="font6"/>
    <w:basedOn w:val="Normalny"/>
    <w:rsid w:val="00396434"/>
    <w:pPr>
      <w:spacing w:before="100" w:beforeAutospacing="1" w:after="100" w:afterAutospacing="1"/>
      <w:jc w:val="left"/>
    </w:pPr>
    <w:rPr>
      <w:rFonts w:eastAsia="Times New Roman"/>
      <w:b/>
      <w:bCs/>
      <w:sz w:val="16"/>
      <w:szCs w:val="16"/>
      <w:lang w:eastAsia="pl-PL"/>
    </w:rPr>
  </w:style>
  <w:style w:type="paragraph" w:customStyle="1" w:styleId="font7">
    <w:name w:val="font7"/>
    <w:basedOn w:val="Normalny"/>
    <w:rsid w:val="00396434"/>
    <w:pPr>
      <w:spacing w:before="100" w:beforeAutospacing="1" w:after="100" w:afterAutospacing="1"/>
      <w:jc w:val="left"/>
    </w:pPr>
    <w:rPr>
      <w:rFonts w:eastAsia="Times New Roman"/>
      <w:i/>
      <w:iCs/>
      <w:sz w:val="16"/>
      <w:szCs w:val="16"/>
      <w:lang w:eastAsia="pl-PL"/>
    </w:rPr>
  </w:style>
  <w:style w:type="paragraph" w:customStyle="1" w:styleId="font8">
    <w:name w:val="font8"/>
    <w:basedOn w:val="Normalny"/>
    <w:rsid w:val="00396434"/>
    <w:pPr>
      <w:spacing w:before="100" w:beforeAutospacing="1" w:after="100" w:afterAutospacing="1"/>
      <w:jc w:val="left"/>
    </w:pPr>
    <w:rPr>
      <w:rFonts w:eastAsia="Times New Roman"/>
      <w:color w:val="000000"/>
      <w:sz w:val="16"/>
      <w:szCs w:val="16"/>
      <w:u w:val="single"/>
      <w:lang w:eastAsia="pl-PL"/>
    </w:rPr>
  </w:style>
  <w:style w:type="paragraph" w:customStyle="1" w:styleId="xl157">
    <w:name w:val="xl157"/>
    <w:basedOn w:val="Normalny"/>
    <w:rsid w:val="00396434"/>
    <w:pPr>
      <w:spacing w:before="100" w:beforeAutospacing="1" w:after="100" w:afterAutospacing="1"/>
      <w:jc w:val="center"/>
      <w:textAlignment w:val="center"/>
    </w:pPr>
    <w:rPr>
      <w:rFonts w:eastAsia="Times New Roman"/>
      <w:sz w:val="16"/>
      <w:szCs w:val="16"/>
      <w:lang w:eastAsia="pl-PL"/>
    </w:rPr>
  </w:style>
  <w:style w:type="paragraph" w:customStyle="1" w:styleId="xl158">
    <w:name w:val="xl158"/>
    <w:basedOn w:val="Normalny"/>
    <w:rsid w:val="0039643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59">
    <w:name w:val="xl159"/>
    <w:basedOn w:val="Normalny"/>
    <w:rsid w:val="0039643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sz w:val="16"/>
      <w:szCs w:val="16"/>
      <w:lang w:eastAsia="pl-PL"/>
    </w:rPr>
  </w:style>
  <w:style w:type="paragraph" w:customStyle="1" w:styleId="xl160">
    <w:name w:val="xl160"/>
    <w:basedOn w:val="Normalny"/>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1">
    <w:name w:val="xl161"/>
    <w:basedOn w:val="Normalny"/>
    <w:rsid w:val="00396434"/>
    <w:pPr>
      <w:pBdr>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2">
    <w:name w:val="xl162"/>
    <w:basedOn w:val="Normalny"/>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3">
    <w:name w:val="xl163"/>
    <w:basedOn w:val="Normalny"/>
    <w:rsid w:val="00396434"/>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4">
    <w:name w:val="xl164"/>
    <w:basedOn w:val="Normalny"/>
    <w:rsid w:val="0039643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i/>
      <w:iCs/>
      <w:sz w:val="16"/>
      <w:szCs w:val="16"/>
      <w:lang w:eastAsia="pl-PL"/>
    </w:rPr>
  </w:style>
  <w:style w:type="paragraph" w:customStyle="1" w:styleId="xl165">
    <w:name w:val="xl165"/>
    <w:basedOn w:val="Normalny"/>
    <w:rsid w:val="0039643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sz w:val="16"/>
      <w:szCs w:val="16"/>
      <w:lang w:eastAsia="pl-PL"/>
    </w:rPr>
  </w:style>
  <w:style w:type="paragraph" w:customStyle="1" w:styleId="xl166">
    <w:name w:val="xl166"/>
    <w:basedOn w:val="Normalny"/>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6"/>
      <w:szCs w:val="16"/>
      <w:lang w:eastAsia="pl-PL"/>
    </w:rPr>
  </w:style>
  <w:style w:type="paragraph" w:customStyle="1" w:styleId="xl167">
    <w:name w:val="xl167"/>
    <w:basedOn w:val="Normalny"/>
    <w:rsid w:val="0039643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68">
    <w:name w:val="xl168"/>
    <w:basedOn w:val="Normalny"/>
    <w:rsid w:val="0039643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69">
    <w:name w:val="xl169"/>
    <w:basedOn w:val="Normalny"/>
    <w:rsid w:val="00396434"/>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0">
    <w:name w:val="xl170"/>
    <w:basedOn w:val="Normalny"/>
    <w:rsid w:val="00396434"/>
    <w:pPr>
      <w:pBdr>
        <w:top w:val="single" w:sz="4" w:space="0" w:color="auto"/>
        <w:bottom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1">
    <w:name w:val="xl171"/>
    <w:basedOn w:val="Normalny"/>
    <w:rsid w:val="00396434"/>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2">
    <w:name w:val="xl172"/>
    <w:basedOn w:val="Normalny"/>
    <w:rsid w:val="00396434"/>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3">
    <w:name w:val="xl173"/>
    <w:basedOn w:val="Normalny"/>
    <w:rsid w:val="00396434"/>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4">
    <w:name w:val="xl174"/>
    <w:basedOn w:val="Normalny"/>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6"/>
      <w:szCs w:val="16"/>
      <w:lang w:eastAsia="pl-PL"/>
    </w:rPr>
  </w:style>
  <w:style w:type="paragraph" w:customStyle="1" w:styleId="xl175">
    <w:name w:val="xl175"/>
    <w:basedOn w:val="Normalny"/>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76">
    <w:name w:val="xl176"/>
    <w:basedOn w:val="Normalny"/>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Normalny2">
    <w:name w:val="Normalny2"/>
    <w:rsid w:val="00396434"/>
    <w:pPr>
      <w:suppressAutoHyphens/>
      <w:autoSpaceDN w:val="0"/>
      <w:spacing w:after="160" w:line="254" w:lineRule="auto"/>
      <w:textAlignment w:val="baseline"/>
    </w:pPr>
    <w:rPr>
      <w:sz w:val="22"/>
      <w:szCs w:val="22"/>
      <w:lang w:eastAsia="en-US"/>
    </w:rPr>
  </w:style>
  <w:style w:type="character" w:customStyle="1" w:styleId="Domylnaczcionkaakapitu1">
    <w:name w:val="Domyślna czcionka akapitu1"/>
    <w:rsid w:val="00396434"/>
  </w:style>
  <w:style w:type="paragraph" w:customStyle="1" w:styleId="Akapitzlist2">
    <w:name w:val="Akapit z listą2"/>
    <w:basedOn w:val="Normalny2"/>
    <w:rsid w:val="00396434"/>
    <w:pPr>
      <w:ind w:left="720"/>
    </w:pPr>
  </w:style>
  <w:style w:type="paragraph" w:customStyle="1" w:styleId="Normalny3">
    <w:name w:val="Normalny3"/>
    <w:uiPriority w:val="99"/>
    <w:rsid w:val="00396434"/>
    <w:pPr>
      <w:suppressAutoHyphens/>
      <w:autoSpaceDN w:val="0"/>
      <w:spacing w:after="160" w:line="254" w:lineRule="auto"/>
      <w:textAlignment w:val="baseline"/>
    </w:pPr>
    <w:rPr>
      <w:sz w:val="22"/>
      <w:szCs w:val="22"/>
      <w:lang w:eastAsia="en-US"/>
    </w:rPr>
  </w:style>
  <w:style w:type="character" w:customStyle="1" w:styleId="Domylnaczcionkaakapitu2">
    <w:name w:val="Domyślna czcionka akapitu2"/>
    <w:rsid w:val="00396434"/>
  </w:style>
  <w:style w:type="paragraph" w:customStyle="1" w:styleId="Akapitzlist3">
    <w:name w:val="Akapit z listą3"/>
    <w:basedOn w:val="Normalny3"/>
    <w:uiPriority w:val="99"/>
    <w:rsid w:val="00396434"/>
    <w:pPr>
      <w:ind w:left="720"/>
    </w:pPr>
  </w:style>
  <w:style w:type="table" w:customStyle="1" w:styleId="TableGrid0">
    <w:name w:val="Table Grid0"/>
    <w:rsid w:val="00714700"/>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scxw147901900">
    <w:name w:val="scxw147901900"/>
    <w:basedOn w:val="Domylnaczcionkaakapitu"/>
    <w:rsid w:val="006C5C1D"/>
  </w:style>
  <w:style w:type="paragraph" w:customStyle="1" w:styleId="Punkty3">
    <w:name w:val="Punkty3"/>
    <w:basedOn w:val="Normalny"/>
    <w:link w:val="Punkty3Znak"/>
    <w:rsid w:val="006F0E34"/>
    <w:pPr>
      <w:spacing w:before="60" w:after="60"/>
      <w:ind w:left="1080" w:hanging="360"/>
      <w:jc w:val="left"/>
    </w:pPr>
  </w:style>
  <w:style w:type="character" w:customStyle="1" w:styleId="Punkty3Znak">
    <w:name w:val="Punkty3 Znak"/>
    <w:basedOn w:val="Domylnaczcionkaakapitu"/>
    <w:link w:val="Punkty3"/>
    <w:rsid w:val="006C5C1D"/>
    <w:rPr>
      <w:sz w:val="22"/>
      <w:szCs w:val="22"/>
      <w:lang w:eastAsia="en-US"/>
    </w:rPr>
  </w:style>
  <w:style w:type="table" w:customStyle="1" w:styleId="TableGrid00">
    <w:name w:val="Table Grid00"/>
    <w:rsid w:val="006C5C1D"/>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Literowanie0">
    <w:name w:val="Literowanie"/>
    <w:basedOn w:val="Akapitzlist"/>
    <w:link w:val="LiterowanieZnak"/>
    <w:uiPriority w:val="2"/>
    <w:qFormat/>
    <w:rsid w:val="001B15D5"/>
    <w:pPr>
      <w:ind w:left="0" w:firstLine="0"/>
    </w:pPr>
  </w:style>
  <w:style w:type="character" w:customStyle="1" w:styleId="LiterowanieZnak">
    <w:name w:val="Literowanie Znak"/>
    <w:basedOn w:val="AkapitzlistZnak"/>
    <w:link w:val="Literowanie0"/>
    <w:uiPriority w:val="2"/>
    <w:rsid w:val="001B15D5"/>
    <w:rPr>
      <w:sz w:val="22"/>
      <w:szCs w:val="22"/>
      <w:lang w:eastAsia="en-US"/>
    </w:rPr>
  </w:style>
  <w:style w:type="paragraph" w:customStyle="1" w:styleId="Wypunktowanie-IIpoziom">
    <w:name w:val="Wypunktowanie - II poziom"/>
    <w:basedOn w:val="Akapitzlist"/>
    <w:link w:val="Wypunktowanie-IIpoziomZnak"/>
    <w:uiPriority w:val="2"/>
    <w:qFormat/>
    <w:rsid w:val="00BE0C18"/>
    <w:pPr>
      <w:numPr>
        <w:ilvl w:val="1"/>
        <w:numId w:val="28"/>
      </w:numPr>
      <w:ind w:left="1493"/>
    </w:pPr>
    <w:rPr>
      <w:bCs/>
    </w:rPr>
  </w:style>
  <w:style w:type="character" w:customStyle="1" w:styleId="Wypunktowanie-IIpoziomZnak">
    <w:name w:val="Wypunktowanie - II poziom Znak"/>
    <w:basedOn w:val="Domylnaczcionkaakapitu"/>
    <w:link w:val="Wypunktowanie-IIpoziom"/>
    <w:uiPriority w:val="2"/>
    <w:rsid w:val="006C5C1D"/>
    <w:rPr>
      <w:bCs/>
      <w:sz w:val="22"/>
      <w:szCs w:val="22"/>
      <w:lang w:eastAsia="en-US"/>
    </w:rPr>
  </w:style>
  <w:style w:type="character" w:customStyle="1" w:styleId="tabchar">
    <w:name w:val="tabchar"/>
    <w:basedOn w:val="Domylnaczcionkaakapitu"/>
    <w:rsid w:val="00504F7B"/>
  </w:style>
  <w:style w:type="paragraph" w:customStyle="1" w:styleId="Teksttabelipunkty">
    <w:name w:val="Tekst tabeli punkty"/>
    <w:basedOn w:val="tabela-pkt"/>
    <w:uiPriority w:val="2"/>
    <w:rsid w:val="00CA07A1"/>
  </w:style>
  <w:style w:type="paragraph" w:customStyle="1" w:styleId="Wypunktowanie">
    <w:name w:val="Wypunktowanie"/>
    <w:basedOn w:val="Akapitzlist"/>
    <w:link w:val="WypunktowanieZnak"/>
    <w:uiPriority w:val="2"/>
    <w:rsid w:val="00AD1DA1"/>
    <w:pPr>
      <w:numPr>
        <w:ilvl w:val="1"/>
        <w:numId w:val="26"/>
      </w:numPr>
    </w:pPr>
    <w:rPr>
      <w:b/>
    </w:rPr>
  </w:style>
  <w:style w:type="paragraph" w:customStyle="1" w:styleId="Tabela-tekst">
    <w:name w:val="Tabela - tekst"/>
    <w:basedOn w:val="Normalny"/>
    <w:link w:val="Tabela-tekstZnak"/>
    <w:uiPriority w:val="2"/>
    <w:qFormat/>
    <w:rsid w:val="006C5C1D"/>
    <w:pPr>
      <w:spacing w:before="40" w:after="40"/>
      <w:jc w:val="left"/>
    </w:pPr>
    <w:rPr>
      <w:rFonts w:asciiTheme="minorHAnsi" w:hAnsiTheme="minorHAnsi"/>
      <w:bCs/>
      <w:sz w:val="20"/>
      <w:szCs w:val="20"/>
    </w:rPr>
  </w:style>
  <w:style w:type="character" w:customStyle="1" w:styleId="WypunktowanieZnak">
    <w:name w:val="Wypunktowanie Znak"/>
    <w:basedOn w:val="AkapitzlistZnak"/>
    <w:link w:val="Wypunktowanie"/>
    <w:uiPriority w:val="2"/>
    <w:rsid w:val="006C5C1D"/>
    <w:rPr>
      <w:b/>
      <w:sz w:val="22"/>
      <w:szCs w:val="22"/>
      <w:lang w:eastAsia="en-US"/>
    </w:rPr>
  </w:style>
  <w:style w:type="character" w:customStyle="1" w:styleId="Tabela-tekstZnak">
    <w:name w:val="Tabela - tekst Znak"/>
    <w:basedOn w:val="Domylnaczcionkaakapitu"/>
    <w:link w:val="Tabela-tekst"/>
    <w:uiPriority w:val="2"/>
    <w:rsid w:val="006C5C1D"/>
    <w:rPr>
      <w:rFonts w:asciiTheme="minorHAnsi" w:hAnsiTheme="minorHAnsi"/>
      <w:bCs/>
      <w:lang w:eastAsia="en-US"/>
    </w:rPr>
  </w:style>
  <w:style w:type="paragraph" w:customStyle="1" w:styleId="Wyp-IIpoziom">
    <w:name w:val="Wyp - II poziom"/>
    <w:basedOn w:val="Akapitzlist"/>
    <w:link w:val="Wyp-IIpoziomZnak"/>
    <w:uiPriority w:val="2"/>
    <w:qFormat/>
    <w:rsid w:val="00780BEE"/>
    <w:rPr>
      <w:bCs/>
    </w:rPr>
  </w:style>
  <w:style w:type="character" w:customStyle="1" w:styleId="Wyp-IIpoziomZnak">
    <w:name w:val="Wyp - II poziom Znak"/>
    <w:basedOn w:val="AkapitzlistZnak"/>
    <w:link w:val="Wyp-IIpoziom"/>
    <w:uiPriority w:val="2"/>
    <w:rsid w:val="006C5C1D"/>
    <w:rPr>
      <w:bCs/>
      <w:sz w:val="22"/>
      <w:szCs w:val="22"/>
      <w:lang w:eastAsia="en-US"/>
    </w:rPr>
  </w:style>
  <w:style w:type="character" w:customStyle="1" w:styleId="font71">
    <w:name w:val="font71"/>
    <w:basedOn w:val="Domylnaczcionkaakapitu"/>
    <w:rsid w:val="006C5C1D"/>
    <w:rPr>
      <w:rFonts w:ascii="Times New Roman" w:hAnsi="Times New Roman" w:cs="Times New Roman" w:hint="default"/>
      <w:b w:val="0"/>
      <w:bCs w:val="0"/>
      <w:i w:val="0"/>
      <w:iCs w:val="0"/>
      <w:strike w:val="0"/>
      <w:dstrike w:val="0"/>
      <w:color w:val="auto"/>
      <w:sz w:val="14"/>
      <w:szCs w:val="14"/>
      <w:u w:val="none"/>
      <w:effect w:val="none"/>
    </w:rPr>
  </w:style>
  <w:style w:type="character" w:customStyle="1" w:styleId="font51">
    <w:name w:val="font51"/>
    <w:basedOn w:val="Domylnaczcionkaakapitu"/>
    <w:rsid w:val="006C5C1D"/>
    <w:rPr>
      <w:rFonts w:ascii="Calibri" w:hAnsi="Calibri" w:cs="Calibri" w:hint="default"/>
      <w:b w:val="0"/>
      <w:bCs w:val="0"/>
      <w:i w:val="0"/>
      <w:iCs w:val="0"/>
      <w:strike w:val="0"/>
      <w:dstrike w:val="0"/>
      <w:color w:val="auto"/>
      <w:sz w:val="22"/>
      <w:szCs w:val="22"/>
      <w:u w:val="none"/>
      <w:effect w:val="none"/>
    </w:rPr>
  </w:style>
  <w:style w:type="character" w:customStyle="1" w:styleId="font101">
    <w:name w:val="font101"/>
    <w:basedOn w:val="Domylnaczcionkaakapitu"/>
    <w:rsid w:val="006C5C1D"/>
    <w:rPr>
      <w:rFonts w:ascii="Times New Roman" w:hAnsi="Times New Roman" w:cs="Times New Roman" w:hint="default"/>
      <w:b/>
      <w:bCs/>
      <w:i w:val="0"/>
      <w:iCs w:val="0"/>
      <w:strike w:val="0"/>
      <w:dstrike w:val="0"/>
      <w:color w:val="auto"/>
      <w:sz w:val="14"/>
      <w:szCs w:val="14"/>
      <w:u w:val="none"/>
      <w:effect w:val="none"/>
    </w:rPr>
  </w:style>
  <w:style w:type="character" w:customStyle="1" w:styleId="font61">
    <w:name w:val="font61"/>
    <w:basedOn w:val="Domylnaczcionkaakapitu"/>
    <w:rsid w:val="006C5C1D"/>
    <w:rPr>
      <w:rFonts w:ascii="Calibri" w:hAnsi="Calibri" w:cs="Calibri" w:hint="default"/>
      <w:b/>
      <w:bCs/>
      <w:i w:val="0"/>
      <w:iCs w:val="0"/>
      <w:strike w:val="0"/>
      <w:dstrike w:val="0"/>
      <w:color w:val="auto"/>
      <w:sz w:val="22"/>
      <w:szCs w:val="22"/>
      <w:u w:val="none"/>
      <w:effect w:val="none"/>
    </w:rPr>
  </w:style>
  <w:style w:type="paragraph" w:customStyle="1" w:styleId="Punkty">
    <w:name w:val="Punkty"/>
    <w:basedOn w:val="Normalny"/>
    <w:link w:val="PunktyZnak"/>
    <w:qFormat/>
    <w:rsid w:val="006C5C1D"/>
  </w:style>
  <w:style w:type="character" w:customStyle="1" w:styleId="PunktyZnak">
    <w:name w:val="Punkty Znak"/>
    <w:link w:val="Punkty"/>
    <w:rsid w:val="006C5C1D"/>
    <w:rPr>
      <w:sz w:val="22"/>
      <w:szCs w:val="22"/>
      <w:lang w:eastAsia="en-US"/>
    </w:rPr>
  </w:style>
  <w:style w:type="character" w:customStyle="1" w:styleId="Przypisdolny1Znak">
    <w:name w:val="Przypis dolny1 Znak"/>
    <w:basedOn w:val="Domylnaczcionkaakapitu"/>
    <w:link w:val="Przypisdolny1"/>
    <w:locked/>
    <w:rsid w:val="006C5C1D"/>
    <w:rPr>
      <w:rFonts w:ascii="Times New Roman" w:eastAsia="Times New Roman" w:hAnsi="Times New Roman"/>
      <w:sz w:val="16"/>
      <w:szCs w:val="16"/>
    </w:rPr>
  </w:style>
  <w:style w:type="paragraph" w:customStyle="1" w:styleId="Przypisdolny1">
    <w:name w:val="Przypis dolny1"/>
    <w:basedOn w:val="NormalnyWeb"/>
    <w:link w:val="Przypisdolny1Znak"/>
    <w:rsid w:val="006C5C1D"/>
    <w:pPr>
      <w:autoSpaceDN w:val="0"/>
      <w:spacing w:before="40" w:beforeAutospacing="0" w:after="40" w:afterAutospacing="0"/>
      <w:jc w:val="both"/>
    </w:pPr>
    <w:rPr>
      <w:sz w:val="16"/>
      <w:szCs w:val="16"/>
    </w:rPr>
  </w:style>
  <w:style w:type="character" w:customStyle="1" w:styleId="Punkty1Znak">
    <w:name w:val="Punkty 1 Znak"/>
    <w:aliases w:val="2 Znak,3 Znak"/>
    <w:basedOn w:val="Domylnaczcionkaakapitu"/>
    <w:link w:val="Punkty1"/>
    <w:locked/>
    <w:rsid w:val="000B542A"/>
    <w:rPr>
      <w:sz w:val="22"/>
    </w:rPr>
  </w:style>
  <w:style w:type="paragraph" w:customStyle="1" w:styleId="Punkty1">
    <w:name w:val="Punkty 1"/>
    <w:aliases w:val="2,3"/>
    <w:basedOn w:val="Normalny"/>
    <w:next w:val="Normalny"/>
    <w:link w:val="Punkty1Znak"/>
    <w:qFormat/>
    <w:rsid w:val="000B542A"/>
    <w:pPr>
      <w:numPr>
        <w:numId w:val="27"/>
      </w:numPr>
      <w:autoSpaceDN w:val="0"/>
      <w:ind w:left="426" w:hanging="284"/>
    </w:pPr>
    <w:rPr>
      <w:szCs w:val="20"/>
      <w:lang w:eastAsia="pl-PL"/>
    </w:rPr>
  </w:style>
  <w:style w:type="table" w:customStyle="1" w:styleId="PlainTable21">
    <w:name w:val="Plain Table 21"/>
    <w:basedOn w:val="Standardowy"/>
    <w:uiPriority w:val="42"/>
    <w:rsid w:val="006C5C1D"/>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msonormal0">
    <w:name w:val="msonormal"/>
    <w:basedOn w:val="Standard"/>
    <w:rsid w:val="006C5C1D"/>
    <w:pPr>
      <w:suppressAutoHyphens w:val="0"/>
      <w:spacing w:before="280" w:after="119"/>
      <w:textAlignment w:val="auto"/>
    </w:pPr>
    <w:rPr>
      <w:rFonts w:ascii="Times New Roman" w:eastAsia="Times New Roman" w:hAnsi="Times New Roman" w:cs="Times New Roman"/>
      <w:color w:val="000000"/>
    </w:rPr>
  </w:style>
  <w:style w:type="paragraph" w:styleId="Tekstpodstawowywcity3">
    <w:name w:val="Body Text Indent 3"/>
    <w:basedOn w:val="Normalny"/>
    <w:link w:val="Tekstpodstawowywcity3Znak"/>
    <w:rsid w:val="006C5C1D"/>
    <w:pPr>
      <w:spacing w:before="0"/>
      <w:ind w:left="283"/>
      <w:jc w:val="left"/>
    </w:pPr>
    <w:rPr>
      <w:rFonts w:ascii="Times New Roman" w:eastAsia="Times New Roman" w:hAnsi="Times New Roman"/>
      <w:sz w:val="16"/>
      <w:szCs w:val="16"/>
      <w:lang w:eastAsia="pl-PL"/>
    </w:rPr>
  </w:style>
  <w:style w:type="character" w:customStyle="1" w:styleId="Tekstpodstawowywcity3Znak">
    <w:name w:val="Tekst podstawowy wcięty 3 Znak"/>
    <w:basedOn w:val="Domylnaczcionkaakapitu"/>
    <w:link w:val="Tekstpodstawowywcity3"/>
    <w:rsid w:val="006C5C1D"/>
    <w:rPr>
      <w:rFonts w:ascii="Times New Roman" w:eastAsia="Times New Roman" w:hAnsi="Times New Roman"/>
      <w:sz w:val="16"/>
      <w:szCs w:val="16"/>
    </w:rPr>
  </w:style>
  <w:style w:type="paragraph" w:styleId="Lista2">
    <w:name w:val="List 2"/>
    <w:basedOn w:val="Normalny"/>
    <w:uiPriority w:val="99"/>
    <w:semiHidden/>
    <w:unhideWhenUsed/>
    <w:rsid w:val="006C5C1D"/>
    <w:pPr>
      <w:spacing w:before="0" w:after="0"/>
      <w:ind w:left="566" w:hanging="283"/>
      <w:contextualSpacing/>
      <w:jc w:val="left"/>
    </w:pPr>
    <w:rPr>
      <w:rFonts w:ascii="Times New Roman" w:eastAsia="Times New Roman" w:hAnsi="Times New Roman"/>
      <w:sz w:val="24"/>
      <w:szCs w:val="24"/>
      <w:lang w:eastAsia="pl-PL"/>
    </w:rPr>
  </w:style>
  <w:style w:type="paragraph" w:customStyle="1" w:styleId="Bullet2">
    <w:name w:val="~Bullet2"/>
    <w:basedOn w:val="Bullet1"/>
    <w:rsid w:val="00E823EC"/>
    <w:pPr>
      <w:numPr>
        <w:numId w:val="0"/>
      </w:numPr>
      <w:tabs>
        <w:tab w:val="clear" w:pos="284"/>
        <w:tab w:val="num" w:pos="567"/>
      </w:tabs>
      <w:spacing w:line="260" w:lineRule="exact"/>
      <w:ind w:left="567" w:hanging="283"/>
      <w:jc w:val="left"/>
    </w:pPr>
    <w:rPr>
      <w:rFonts w:ascii="Arial" w:hAnsi="Arial" w:cs="Arial"/>
      <w:sz w:val="20"/>
      <w:szCs w:val="24"/>
      <w:lang w:val="en-GB" w:eastAsia="en-GB"/>
    </w:rPr>
  </w:style>
  <w:style w:type="paragraph" w:customStyle="1" w:styleId="Bullet3">
    <w:name w:val="~Bullet3"/>
    <w:basedOn w:val="Bullet2"/>
    <w:rsid w:val="006C5C1D"/>
    <w:pPr>
      <w:tabs>
        <w:tab w:val="clear" w:pos="567"/>
        <w:tab w:val="num" w:pos="851"/>
        <w:tab w:val="num" w:pos="3011"/>
      </w:tabs>
      <w:ind w:left="851" w:hanging="284"/>
    </w:pPr>
  </w:style>
  <w:style w:type="table" w:customStyle="1" w:styleId="TableGrid1">
    <w:name w:val="Table Grid1"/>
    <w:rsid w:val="006C5C1D"/>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Cytat">
    <w:name w:val="Quote"/>
    <w:basedOn w:val="Normalny"/>
    <w:next w:val="Normalny"/>
    <w:link w:val="CytatZnak"/>
    <w:uiPriority w:val="29"/>
    <w:rsid w:val="006C5C1D"/>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6C5C1D"/>
    <w:rPr>
      <w:i/>
      <w:iCs/>
      <w:color w:val="404040" w:themeColor="text1" w:themeTint="BF"/>
      <w:sz w:val="22"/>
      <w:szCs w:val="22"/>
      <w:lang w:eastAsia="en-US"/>
    </w:rPr>
  </w:style>
  <w:style w:type="character" w:customStyle="1" w:styleId="contextualspellingandgrammarerror">
    <w:name w:val="contextualspellingandgrammarerror"/>
    <w:basedOn w:val="Domylnaczcionkaakapitu"/>
    <w:rsid w:val="009A123D"/>
  </w:style>
  <w:style w:type="table" w:customStyle="1" w:styleId="Tabelasiatki5ciemnaakcent51">
    <w:name w:val="Tabela siatki 5 — ciemna — akcent 51"/>
    <w:basedOn w:val="Standardowy"/>
    <w:uiPriority w:val="50"/>
    <w:rsid w:val="009A123D"/>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style>
  <w:style w:type="table" w:customStyle="1" w:styleId="Tabelasiatki5ciemnaakcent11">
    <w:name w:val="Tabela siatki 5 — ciemna — akcent 11"/>
    <w:basedOn w:val="Standardowy"/>
    <w:uiPriority w:val="50"/>
    <w:rsid w:val="009A123D"/>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elasiatki4akcent51">
    <w:name w:val="Tabela siatki 4 — akcent 51"/>
    <w:basedOn w:val="Standardowy"/>
    <w:uiPriority w:val="49"/>
    <w:rsid w:val="009A123D"/>
    <w:rPr>
      <w:rFonts w:asciiTheme="minorHAnsi" w:eastAsiaTheme="minorHAnsi" w:hAnsiTheme="minorHAnsi" w:cstheme="minorBidi"/>
      <w:sz w:val="22"/>
      <w:szCs w:val="22"/>
      <w:lang w:val="en-US"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5Dark-Accent11">
    <w:name w:val="Grid Table 5 Dark - Accent 11"/>
    <w:basedOn w:val="Standardowy"/>
    <w:uiPriority w:val="50"/>
    <w:rsid w:val="009A123D"/>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4-Accent51">
    <w:name w:val="Grid Table 4 - Accent 51"/>
    <w:basedOn w:val="Standardowy"/>
    <w:uiPriority w:val="49"/>
    <w:rsid w:val="009A123D"/>
    <w:rPr>
      <w:rFonts w:asciiTheme="minorHAnsi" w:eastAsiaTheme="minorHAnsi" w:hAnsiTheme="minorHAnsi" w:cstheme="minorBidi"/>
      <w:sz w:val="22"/>
      <w:szCs w:val="22"/>
      <w:lang w:val="en-US"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Grid10">
    <w:name w:val="Table Grid10"/>
    <w:rsid w:val="009A123D"/>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tabela-pkt">
    <w:name w:val="tabela -pkt"/>
    <w:basedOn w:val="Akapitzlist"/>
    <w:link w:val="tabela-pktZnak"/>
    <w:uiPriority w:val="99"/>
    <w:qFormat/>
    <w:rsid w:val="00391EE1"/>
    <w:pPr>
      <w:numPr>
        <w:numId w:val="32"/>
      </w:numPr>
      <w:spacing w:before="40" w:after="40"/>
      <w:ind w:left="159" w:hanging="159"/>
    </w:pPr>
    <w:rPr>
      <w:rFonts w:asciiTheme="minorHAnsi" w:hAnsiTheme="minorHAnsi"/>
      <w:sz w:val="20"/>
      <w:szCs w:val="20"/>
    </w:rPr>
  </w:style>
  <w:style w:type="character" w:customStyle="1" w:styleId="tabela-pktZnak">
    <w:name w:val="tabela -pkt Znak"/>
    <w:basedOn w:val="AkapitzlistZnak"/>
    <w:link w:val="tabela-pkt"/>
    <w:uiPriority w:val="99"/>
    <w:rsid w:val="00391EE1"/>
    <w:rPr>
      <w:rFonts w:asciiTheme="minorHAnsi" w:hAnsiTheme="minorHAnsi"/>
      <w:sz w:val="22"/>
      <w:szCs w:val="22"/>
      <w:lang w:eastAsia="en-US"/>
    </w:rPr>
  </w:style>
  <w:style w:type="paragraph" w:customStyle="1" w:styleId="Punkty2">
    <w:name w:val="Punkty 2"/>
    <w:basedOn w:val="Normalny"/>
    <w:next w:val="Normalny"/>
    <w:link w:val="Punkty2Znak"/>
    <w:uiPriority w:val="99"/>
    <w:rsid w:val="008C620F"/>
    <w:pPr>
      <w:numPr>
        <w:numId w:val="30"/>
      </w:numPr>
    </w:pPr>
    <w:rPr>
      <w:szCs w:val="20"/>
    </w:rPr>
  </w:style>
  <w:style w:type="character" w:customStyle="1" w:styleId="Punkty2Znak">
    <w:name w:val="Punkty 2 Znak"/>
    <w:link w:val="Punkty2"/>
    <w:uiPriority w:val="99"/>
    <w:locked/>
    <w:rsid w:val="008C620F"/>
    <w:rPr>
      <w:sz w:val="22"/>
      <w:lang w:eastAsia="en-US"/>
    </w:rPr>
  </w:style>
  <w:style w:type="character" w:customStyle="1" w:styleId="acopre">
    <w:name w:val="acopre"/>
    <w:basedOn w:val="Domylnaczcionkaakapitu"/>
    <w:uiPriority w:val="99"/>
    <w:rsid w:val="008C620F"/>
    <w:rPr>
      <w:rFonts w:cs="Times New Roman"/>
    </w:rPr>
  </w:style>
  <w:style w:type="table" w:customStyle="1" w:styleId="Tabelasiatki41">
    <w:name w:val="Tabela siatki 41"/>
    <w:basedOn w:val="Standardowy"/>
    <w:uiPriority w:val="49"/>
    <w:rsid w:val="002A398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aPGW">
    <w:name w:val="aPGW"/>
    <w:basedOn w:val="Standardowy"/>
    <w:uiPriority w:val="99"/>
    <w:rsid w:val="001B075C"/>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40" w:beforeAutospacing="0" w:afterLines="0" w:after="40" w:afterAutospacing="0" w:line="240" w:lineRule="auto"/>
      </w:pPr>
      <w:rPr>
        <w:rFonts w:asciiTheme="minorHAnsi" w:hAnsiTheme="minorHAnsi"/>
        <w:b/>
        <w:sz w:val="20"/>
      </w:rPr>
      <w:tblPr/>
      <w:trPr>
        <w:tblHeader/>
      </w:trPr>
      <w:tcPr>
        <w:shd w:val="clear" w:color="auto" w:fill="BFBFBF" w:themeFill="background1" w:themeFillShade="BF"/>
      </w:tcPr>
    </w:tblStylePr>
  </w:style>
  <w:style w:type="table" w:customStyle="1" w:styleId="Styl2">
    <w:name w:val="Styl2"/>
    <w:basedOn w:val="Standardowy"/>
    <w:uiPriority w:val="99"/>
    <w:rsid w:val="009075DA"/>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Theme="minorHAnsi" w:hAnsiTheme="minorHAnsi"/>
        <w:b/>
        <w:sz w:val="20"/>
      </w:rPr>
      <w:tblPr/>
      <w:trPr>
        <w:tblHeader/>
      </w:trPr>
      <w:tcPr>
        <w:shd w:val="clear" w:color="auto" w:fill="BFBFBF" w:themeFill="background1" w:themeFillShade="BF"/>
      </w:tcPr>
    </w:tblStylePr>
  </w:style>
  <w:style w:type="character" w:customStyle="1" w:styleId="TeksttabelilewyZnak">
    <w:name w:val="Tekst tabeli lewy Znak"/>
    <w:basedOn w:val="Domylnaczcionkaakapitu"/>
    <w:link w:val="Teksttabelilewy"/>
    <w:uiPriority w:val="99"/>
    <w:rsid w:val="006575EB"/>
    <w:rPr>
      <w:szCs w:val="22"/>
      <w:lang w:eastAsia="en-US"/>
    </w:rPr>
  </w:style>
  <w:style w:type="character" w:customStyle="1" w:styleId="TeksttabeliprawyZnak">
    <w:name w:val="Tekst tabeli prawy Znak"/>
    <w:basedOn w:val="TeksttabelilewyZnak"/>
    <w:link w:val="Teksttabeliprawy"/>
    <w:uiPriority w:val="99"/>
    <w:rsid w:val="00F11AFD"/>
    <w:rPr>
      <w:bCs/>
      <w:szCs w:val="22"/>
      <w:lang w:eastAsia="en-US"/>
    </w:rPr>
  </w:style>
  <w:style w:type="paragraph" w:customStyle="1" w:styleId="Telsttabelilewybold">
    <w:name w:val="Telst tabeli lewy bold"/>
    <w:basedOn w:val="Teksttabelisrodek"/>
    <w:uiPriority w:val="99"/>
    <w:rsid w:val="00C83563"/>
    <w:pPr>
      <w:jc w:val="left"/>
    </w:pPr>
    <w:rPr>
      <w:b/>
    </w:rPr>
  </w:style>
  <w:style w:type="paragraph" w:customStyle="1" w:styleId="Teksttabelilewybold">
    <w:name w:val="Tekst tabeli lewy bold"/>
    <w:basedOn w:val="Teksttabelilewy"/>
    <w:uiPriority w:val="99"/>
    <w:qFormat/>
    <w:rsid w:val="00B6065E"/>
    <w:rPr>
      <w:b/>
    </w:rPr>
  </w:style>
  <w:style w:type="numbering" w:customStyle="1" w:styleId="Styl3">
    <w:name w:val="Styl3"/>
    <w:uiPriority w:val="99"/>
    <w:rsid w:val="002763D9"/>
    <w:pPr>
      <w:numPr>
        <w:numId w:val="96"/>
      </w:numPr>
    </w:pPr>
  </w:style>
  <w:style w:type="numbering" w:customStyle="1" w:styleId="Styl4">
    <w:name w:val="Styl4"/>
    <w:uiPriority w:val="99"/>
    <w:rsid w:val="004921A3"/>
    <w:pPr>
      <w:numPr>
        <w:numId w:val="50"/>
      </w:numPr>
    </w:pPr>
  </w:style>
  <w:style w:type="paragraph" w:customStyle="1" w:styleId="Objasnienia">
    <w:name w:val="Objasnienia"/>
    <w:basedOn w:val="Normalny"/>
    <w:rsid w:val="0065243A"/>
    <w:rPr>
      <w:sz w:val="16"/>
      <w:szCs w:val="16"/>
      <w:lang w:eastAsia="zh-CN"/>
    </w:rPr>
  </w:style>
  <w:style w:type="paragraph" w:customStyle="1" w:styleId="wykrespolozenie">
    <w:name w:val="wykres polozenie"/>
    <w:basedOn w:val="Normalny"/>
    <w:link w:val="wykrespolozenieZnak"/>
    <w:qFormat/>
    <w:rsid w:val="009175D2"/>
    <w:pPr>
      <w:jc w:val="center"/>
    </w:pPr>
  </w:style>
  <w:style w:type="paragraph" w:customStyle="1" w:styleId="Tabela-wyjasnieniapod">
    <w:name w:val="Tabela - wyjasnienia pod"/>
    <w:basedOn w:val="Normalny"/>
    <w:link w:val="Tabela-wyjasnieniapodZnak"/>
    <w:qFormat/>
    <w:rsid w:val="00E13AEE"/>
    <w:pPr>
      <w:spacing w:before="40" w:after="40"/>
    </w:pPr>
    <w:rPr>
      <w:i/>
      <w:iCs/>
      <w:sz w:val="18"/>
      <w:szCs w:val="18"/>
      <w:lang w:eastAsia="pl-PL"/>
    </w:rPr>
  </w:style>
  <w:style w:type="character" w:customStyle="1" w:styleId="wykrespolozenieZnak">
    <w:name w:val="wykres polozenie Znak"/>
    <w:basedOn w:val="Domylnaczcionkaakapitu"/>
    <w:link w:val="wykrespolozenie"/>
    <w:rsid w:val="009175D2"/>
    <w:rPr>
      <w:sz w:val="22"/>
      <w:szCs w:val="22"/>
      <w:lang w:eastAsia="en-US"/>
    </w:rPr>
  </w:style>
  <w:style w:type="character" w:customStyle="1" w:styleId="Tabela-wyjasnieniapodZnak">
    <w:name w:val="Tabela - wyjasnienia pod Znak"/>
    <w:basedOn w:val="Domylnaczcionkaakapitu"/>
    <w:link w:val="Tabela-wyjasnieniapod"/>
    <w:rsid w:val="00E13AEE"/>
    <w:rPr>
      <w:i/>
      <w:iCs/>
      <w:sz w:val="18"/>
      <w:szCs w:val="18"/>
    </w:rPr>
  </w:style>
  <w:style w:type="character" w:customStyle="1" w:styleId="normaltextrun">
    <w:name w:val="normaltextrun"/>
    <w:basedOn w:val="Domylnaczcionkaakapitu"/>
    <w:rsid w:val="00E6142D"/>
  </w:style>
  <w:style w:type="character" w:customStyle="1" w:styleId="scxw236380522">
    <w:name w:val="scxw236380522"/>
    <w:basedOn w:val="Domylnaczcionkaakapitu"/>
    <w:rsid w:val="00E6142D"/>
  </w:style>
  <w:style w:type="paragraph" w:customStyle="1" w:styleId="LITEROWANIE">
    <w:name w:val="LITEROWANIE"/>
    <w:basedOn w:val="Akapitzlist"/>
    <w:link w:val="LITEROWANIEZnak0"/>
    <w:qFormat/>
    <w:rsid w:val="00EC7E48"/>
    <w:pPr>
      <w:numPr>
        <w:numId w:val="67"/>
      </w:numPr>
      <w:spacing w:before="240"/>
    </w:pPr>
    <w:rPr>
      <w:b/>
    </w:rPr>
  </w:style>
  <w:style w:type="paragraph" w:customStyle="1" w:styleId="M2">
    <w:name w:val="M_2"/>
    <w:basedOn w:val="Akapitzlist"/>
    <w:link w:val="M2Znak"/>
    <w:qFormat/>
    <w:rsid w:val="00D81C99"/>
    <w:pPr>
      <w:ind w:left="1560" w:hanging="426"/>
    </w:pPr>
  </w:style>
  <w:style w:type="character" w:customStyle="1" w:styleId="LITEROWANIEZnak0">
    <w:name w:val="LITEROWANIE Znak"/>
    <w:basedOn w:val="AkapitzlistZnak"/>
    <w:link w:val="LITEROWANIE"/>
    <w:rsid w:val="00EC7E48"/>
    <w:rPr>
      <w:b/>
      <w:sz w:val="22"/>
      <w:szCs w:val="22"/>
      <w:lang w:eastAsia="en-US"/>
    </w:rPr>
  </w:style>
  <w:style w:type="character" w:customStyle="1" w:styleId="M2Znak">
    <w:name w:val="M_2 Znak"/>
    <w:basedOn w:val="AkapitzlistZnak"/>
    <w:link w:val="M2"/>
    <w:rsid w:val="00D81C99"/>
    <w:rPr>
      <w:sz w:val="22"/>
      <w:szCs w:val="22"/>
      <w:lang w:eastAsia="en-US"/>
    </w:rPr>
  </w:style>
  <w:style w:type="paragraph" w:customStyle="1" w:styleId="punktowanie-italic">
    <w:name w:val="punktowanie - italic"/>
    <w:basedOn w:val="Akapitzlist"/>
    <w:link w:val="punktowanie-italicZnak"/>
    <w:rsid w:val="00213B00"/>
    <w:rPr>
      <w:i/>
      <w:iCs/>
    </w:rPr>
  </w:style>
  <w:style w:type="paragraph" w:customStyle="1" w:styleId="literowanie-italic">
    <w:name w:val="literowanie - italic"/>
    <w:basedOn w:val="Literowanie0"/>
    <w:link w:val="literowanie-italicZnak"/>
    <w:qFormat/>
    <w:rsid w:val="00213B00"/>
    <w:rPr>
      <w:i/>
      <w:iCs/>
    </w:rPr>
  </w:style>
  <w:style w:type="character" w:customStyle="1" w:styleId="punktowanie-italicZnak">
    <w:name w:val="punktowanie - italic Znak"/>
    <w:basedOn w:val="AkapitzlistZnak"/>
    <w:link w:val="punktowanie-italic"/>
    <w:rsid w:val="00213B00"/>
    <w:rPr>
      <w:i/>
      <w:iCs/>
      <w:sz w:val="22"/>
      <w:szCs w:val="22"/>
      <w:lang w:eastAsia="en-US"/>
    </w:rPr>
  </w:style>
  <w:style w:type="table" w:customStyle="1" w:styleId="Siatkatabelijasna1">
    <w:name w:val="Siatka tabeli — jasna1"/>
    <w:basedOn w:val="Standardowy"/>
    <w:uiPriority w:val="40"/>
    <w:rsid w:val="001C75D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literowanie-italicZnak">
    <w:name w:val="literowanie - italic Znak"/>
    <w:basedOn w:val="LiterowanieZnak"/>
    <w:link w:val="literowanie-italic"/>
    <w:rsid w:val="00213B00"/>
    <w:rPr>
      <w:i/>
      <w:iCs/>
      <w:sz w:val="22"/>
      <w:szCs w:val="22"/>
      <w:lang w:eastAsia="en-US"/>
    </w:rPr>
  </w:style>
  <w:style w:type="paragraph" w:customStyle="1" w:styleId="rdo0">
    <w:name w:val="Źródło"/>
    <w:basedOn w:val="rdo"/>
    <w:link w:val="rdoZnak0"/>
    <w:uiPriority w:val="99"/>
    <w:rsid w:val="008D19F4"/>
    <w:pPr>
      <w:suppressAutoHyphens w:val="0"/>
    </w:pPr>
  </w:style>
  <w:style w:type="character" w:customStyle="1" w:styleId="rdoZnak0">
    <w:name w:val="Źródło Znak"/>
    <w:link w:val="rdo0"/>
    <w:uiPriority w:val="99"/>
    <w:locked/>
    <w:rsid w:val="008D19F4"/>
    <w:rPr>
      <w:rFonts w:asciiTheme="minorHAnsi" w:hAnsiTheme="minorHAnsi" w:cstheme="minorHAnsi"/>
      <w:i/>
      <w:iCs/>
      <w:color w:val="003399"/>
      <w:sz w:val="18"/>
      <w:szCs w:val="18"/>
      <w:lang w:eastAsia="en-US"/>
    </w:rPr>
  </w:style>
  <w:style w:type="paragraph" w:customStyle="1" w:styleId="pawe">
    <w:name w:val="paweł"/>
    <w:basedOn w:val="Normalny"/>
    <w:link w:val="paweZnak"/>
    <w:rsid w:val="008D19F4"/>
    <w:pPr>
      <w:ind w:left="567" w:hanging="567"/>
      <w:jc w:val="center"/>
    </w:pPr>
    <w:rPr>
      <w:rFonts w:ascii="Times New Roman" w:eastAsia="Times New Roman" w:hAnsi="Times New Roman"/>
      <w:noProof/>
      <w:sz w:val="24"/>
      <w:szCs w:val="24"/>
      <w:lang w:eastAsia="pl-PL"/>
    </w:rPr>
  </w:style>
  <w:style w:type="character" w:customStyle="1" w:styleId="paweZnak">
    <w:name w:val="paweł Znak"/>
    <w:basedOn w:val="Domylnaczcionkaakapitu"/>
    <w:link w:val="pawe"/>
    <w:rsid w:val="008D19F4"/>
    <w:rPr>
      <w:rFonts w:ascii="Times New Roman" w:eastAsia="Times New Roman" w:hAnsi="Times New Roman"/>
      <w:noProof/>
      <w:sz w:val="24"/>
      <w:szCs w:val="24"/>
    </w:rPr>
  </w:style>
  <w:style w:type="paragraph" w:customStyle="1" w:styleId="Tablenagwek">
    <w:name w:val="Table_nagłówek"/>
    <w:basedOn w:val="Teksttabeliprawy"/>
    <w:link w:val="TablenagwekZnak"/>
    <w:qFormat/>
    <w:rsid w:val="008D19F4"/>
    <w:pPr>
      <w:keepNext w:val="0"/>
      <w:suppressAutoHyphens w:val="0"/>
      <w:jc w:val="right"/>
    </w:pPr>
    <w:rPr>
      <w:b/>
      <w:bCs w:val="0"/>
      <w:lang w:eastAsia="en-US"/>
    </w:rPr>
  </w:style>
  <w:style w:type="character" w:customStyle="1" w:styleId="TablenagwekZnak">
    <w:name w:val="Table_nagłówek Znak"/>
    <w:basedOn w:val="TeksttabeliprawyZnak"/>
    <w:link w:val="Tablenagwek"/>
    <w:rsid w:val="008D19F4"/>
    <w:rPr>
      <w:b/>
      <w:bCs w:val="0"/>
      <w:szCs w:val="22"/>
      <w:lang w:eastAsia="en-US"/>
    </w:rPr>
  </w:style>
  <w:style w:type="character" w:customStyle="1" w:styleId="fn-ref">
    <w:name w:val="fn-ref"/>
    <w:basedOn w:val="Domylnaczcionkaakapitu"/>
    <w:rsid w:val="008D19F4"/>
  </w:style>
  <w:style w:type="paragraph" w:customStyle="1" w:styleId="Wykazskrotow">
    <w:name w:val="Wykaz skrotow"/>
    <w:basedOn w:val="Normalny"/>
    <w:qFormat/>
    <w:rsid w:val="001C6219"/>
    <w:pPr>
      <w:suppressAutoHyphens w:val="0"/>
      <w:spacing w:before="0" w:after="0"/>
    </w:pPr>
    <w:rPr>
      <w:rFonts w:eastAsiaTheme="minorHAnsi" w:cs="Calibri"/>
      <w:sz w:val="18"/>
      <w:szCs w:val="18"/>
    </w:rPr>
  </w:style>
  <w:style w:type="paragraph" w:customStyle="1" w:styleId="Wykazskrotowbold">
    <w:name w:val="Wykaz skrotow bold"/>
    <w:basedOn w:val="Wykazskrotow"/>
    <w:qFormat/>
    <w:rsid w:val="001C6219"/>
    <w:pPr>
      <w:jc w:val="left"/>
    </w:pPr>
    <w:rPr>
      <w:rFonts w:asciiTheme="minorHAnsi" w:hAnsiTheme="minorHAnsi"/>
      <w:b/>
      <w:bCs/>
    </w:rPr>
  </w:style>
  <w:style w:type="character" w:customStyle="1" w:styleId="Nagwek3Znak1">
    <w:name w:val="Nagłówek 3 Znak1"/>
    <w:aliases w:val="Nagłówek 4_dpal Znak1"/>
    <w:basedOn w:val="Domylnaczcionkaakapitu"/>
    <w:uiPriority w:val="99"/>
    <w:semiHidden/>
    <w:rsid w:val="00134DF1"/>
    <w:rPr>
      <w:rFonts w:asciiTheme="majorHAnsi" w:eastAsiaTheme="majorEastAsia" w:hAnsiTheme="majorHAnsi" w:cstheme="majorBidi"/>
      <w:color w:val="243F60" w:themeColor="accent1" w:themeShade="7F"/>
      <w:sz w:val="24"/>
      <w:szCs w:val="24"/>
      <w:lang w:eastAsia="en-US"/>
    </w:rPr>
  </w:style>
  <w:style w:type="character" w:customStyle="1" w:styleId="TekstprzypisudolnegoZnak1">
    <w:name w:val="Tekst przypisu dolnego Znak1"/>
    <w:aliases w:val="Podrozdział Znak1"/>
    <w:basedOn w:val="Domylnaczcionkaakapitu"/>
    <w:uiPriority w:val="99"/>
    <w:semiHidden/>
    <w:rsid w:val="00134DF1"/>
    <w:rPr>
      <w:rFonts w:ascii="Calibri" w:eastAsia="Calibri" w:hAnsi="Calibri" w:cs="Times New Roman"/>
      <w:sz w:val="20"/>
      <w:szCs w:val="20"/>
    </w:rPr>
  </w:style>
  <w:style w:type="character" w:customStyle="1" w:styleId="StopkaZnak1">
    <w:name w:val="Stopka Znak1"/>
    <w:aliases w:val="stand Znak1"/>
    <w:basedOn w:val="Domylnaczcionkaakapitu"/>
    <w:uiPriority w:val="99"/>
    <w:semiHidden/>
    <w:rsid w:val="00134DF1"/>
    <w:rPr>
      <w:rFonts w:ascii="Calibri" w:eastAsia="Calibri" w:hAnsi="Calibri" w:cs="Times New Roman"/>
    </w:rPr>
  </w:style>
  <w:style w:type="character" w:customStyle="1" w:styleId="nm">
    <w:name w:val="nm"/>
    <w:basedOn w:val="Domylnaczcionkaakapitu"/>
    <w:uiPriority w:val="99"/>
    <w:rsid w:val="00134DF1"/>
    <w:rPr>
      <w:rFonts w:cs="Times New Roman"/>
    </w:rPr>
  </w:style>
  <w:style w:type="character" w:customStyle="1" w:styleId="rdo1Znak">
    <w:name w:val="Źródło1 Znak"/>
    <w:basedOn w:val="Domylnaczcionkaakapitu"/>
    <w:link w:val="rdo1"/>
    <w:locked/>
    <w:rsid w:val="00134DF1"/>
    <w:rPr>
      <w:rFonts w:ascii="Symbol" w:hAnsi="Symbol" w:cs="Symbol"/>
      <w:i/>
      <w:iCs/>
      <w:color w:val="003399"/>
      <w:lang w:eastAsia="zh-CN"/>
    </w:rPr>
  </w:style>
  <w:style w:type="paragraph" w:customStyle="1" w:styleId="rdo1">
    <w:name w:val="Źródło1"/>
    <w:basedOn w:val="Normalny"/>
    <w:next w:val="Normalny"/>
    <w:link w:val="rdo1Znak"/>
    <w:rsid w:val="00134DF1"/>
    <w:pPr>
      <w:suppressAutoHyphens w:val="0"/>
      <w:spacing w:before="40" w:after="240"/>
      <w:jc w:val="right"/>
    </w:pPr>
    <w:rPr>
      <w:rFonts w:ascii="Symbol" w:hAnsi="Symbol" w:cs="Symbol"/>
      <w:i/>
      <w:iCs/>
      <w:color w:val="003399"/>
      <w:sz w:val="20"/>
      <w:szCs w:val="20"/>
      <w:lang w:eastAsia="zh-CN"/>
    </w:rPr>
  </w:style>
  <w:style w:type="table" w:customStyle="1" w:styleId="Tabelasiatki1jasna1">
    <w:name w:val="Tabela siatki 1 — jasna1"/>
    <w:basedOn w:val="Standardowy"/>
    <w:uiPriority w:val="46"/>
    <w:rsid w:val="00134DF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Numerowanie-IIpoziom">
    <w:name w:val="Numerowanie - II poziom"/>
    <w:basedOn w:val="Numerowanie"/>
    <w:link w:val="Numerowanie-IIpoziomZnak"/>
    <w:uiPriority w:val="2"/>
    <w:rsid w:val="00134DF1"/>
    <w:pPr>
      <w:widowControl w:val="0"/>
      <w:numPr>
        <w:numId w:val="0"/>
      </w:numPr>
      <w:autoSpaceDE w:val="0"/>
      <w:autoSpaceDN w:val="0"/>
      <w:adjustRightInd w:val="0"/>
      <w:ind w:left="567" w:right="113" w:hanging="283"/>
      <w:textAlignment w:val="baseline"/>
    </w:pPr>
    <w:rPr>
      <w:color w:val="000000"/>
    </w:rPr>
  </w:style>
  <w:style w:type="paragraph" w:customStyle="1" w:styleId="N4">
    <w:name w:val="N4"/>
    <w:basedOn w:val="Normalny"/>
    <w:link w:val="N4Znak"/>
    <w:uiPriority w:val="2"/>
    <w:rsid w:val="00134DF1"/>
    <w:pPr>
      <w:tabs>
        <w:tab w:val="left" w:pos="567"/>
      </w:tabs>
      <w:suppressAutoHyphens w:val="0"/>
      <w:spacing w:before="240"/>
    </w:pPr>
    <w:rPr>
      <w:rFonts w:asciiTheme="minorHAnsi" w:hAnsiTheme="minorHAnsi" w:cstheme="minorHAnsi"/>
      <w:b/>
      <w:bCs/>
    </w:rPr>
  </w:style>
  <w:style w:type="character" w:customStyle="1" w:styleId="Numerowanie-IIpoziomZnak">
    <w:name w:val="Numerowanie - II poziom Znak"/>
    <w:basedOn w:val="NumerowanieZnak"/>
    <w:link w:val="Numerowanie-IIpoziom"/>
    <w:uiPriority w:val="2"/>
    <w:rsid w:val="00134DF1"/>
    <w:rPr>
      <w:rFonts w:asciiTheme="minorHAnsi" w:hAnsiTheme="minorHAnsi" w:cstheme="minorHAnsi"/>
      <w:color w:val="000000"/>
      <w:sz w:val="22"/>
      <w:szCs w:val="22"/>
      <w:lang w:eastAsia="en-US"/>
    </w:rPr>
  </w:style>
  <w:style w:type="character" w:customStyle="1" w:styleId="N4Znak">
    <w:name w:val="N4 Znak"/>
    <w:basedOn w:val="Domylnaczcionkaakapitu"/>
    <w:link w:val="N4"/>
    <w:uiPriority w:val="2"/>
    <w:rsid w:val="00134DF1"/>
    <w:rPr>
      <w:rFonts w:asciiTheme="minorHAnsi" w:hAnsiTheme="minorHAnsi" w:cstheme="minorHAnsi"/>
      <w:b/>
      <w:bCs/>
      <w:sz w:val="22"/>
      <w:szCs w:val="22"/>
      <w:lang w:eastAsia="en-US"/>
    </w:rPr>
  </w:style>
  <w:style w:type="paragraph" w:customStyle="1" w:styleId="tekstzwykly">
    <w:name w:val="tekst zwykly"/>
    <w:basedOn w:val="Normalny"/>
    <w:link w:val="tekstzwyklyZnak"/>
    <w:uiPriority w:val="2"/>
    <w:rsid w:val="00134DF1"/>
    <w:pPr>
      <w:suppressAutoHyphens w:val="0"/>
    </w:pPr>
  </w:style>
  <w:style w:type="character" w:customStyle="1" w:styleId="tekstzwyklyZnak">
    <w:name w:val="tekst zwykly Znak"/>
    <w:basedOn w:val="Domylnaczcionkaakapitu"/>
    <w:link w:val="tekstzwykly"/>
    <w:uiPriority w:val="2"/>
    <w:rsid w:val="00134DF1"/>
    <w:rPr>
      <w:sz w:val="22"/>
      <w:szCs w:val="22"/>
      <w:lang w:eastAsia="en-US"/>
    </w:rPr>
  </w:style>
  <w:style w:type="numbering" w:customStyle="1" w:styleId="Styl11">
    <w:name w:val="Styl11"/>
    <w:rsid w:val="004A6CD4"/>
    <w:pPr>
      <w:numPr>
        <w:numId w:val="89"/>
      </w:numPr>
    </w:pPr>
  </w:style>
  <w:style w:type="character" w:customStyle="1" w:styleId="gmail-il">
    <w:name w:val="gmail-il"/>
    <w:basedOn w:val="Domylnaczcionkaakapitu"/>
    <w:rsid w:val="0094086F"/>
  </w:style>
  <w:style w:type="character" w:styleId="Nierozpoznanawzmianka">
    <w:name w:val="Unresolved Mention"/>
    <w:basedOn w:val="Domylnaczcionkaakapitu"/>
    <w:uiPriority w:val="99"/>
    <w:unhideWhenUsed/>
    <w:rsid w:val="00435693"/>
    <w:rPr>
      <w:color w:val="605E5C"/>
      <w:shd w:val="clear" w:color="auto" w:fill="E1DFDD"/>
    </w:rPr>
  </w:style>
  <w:style w:type="character" w:customStyle="1" w:styleId="TABELANagwekZnak">
    <w:name w:val="TABELA_Nagłówek Znak"/>
    <w:basedOn w:val="Domylnaczcionkaakapitu"/>
    <w:link w:val="TABELANagwek"/>
    <w:qFormat/>
    <w:rsid w:val="00E73C82"/>
    <w:rPr>
      <w:rFonts w:cs="Calibri"/>
      <w:b/>
      <w:bCs/>
    </w:rPr>
  </w:style>
  <w:style w:type="character" w:customStyle="1" w:styleId="TABELAwysrodkowaneZnak">
    <w:name w:val="TABELA_wysrodkowane Znak"/>
    <w:basedOn w:val="Domylnaczcionkaakapitu"/>
    <w:link w:val="TABELAwysrodkowane"/>
    <w:qFormat/>
    <w:rsid w:val="00E73C82"/>
    <w:rPr>
      <w:rFonts w:cs="Calibri"/>
    </w:rPr>
  </w:style>
  <w:style w:type="character" w:customStyle="1" w:styleId="TABELAdolewejZnak">
    <w:name w:val="TABELA_do lewej Znak"/>
    <w:basedOn w:val="Domylnaczcionkaakapitu"/>
    <w:link w:val="TABELAdolewej"/>
    <w:qFormat/>
    <w:rsid w:val="00E73C82"/>
    <w:rPr>
      <w:rFonts w:cs="Calibri"/>
    </w:rPr>
  </w:style>
  <w:style w:type="paragraph" w:customStyle="1" w:styleId="Listapunktowana1">
    <w:name w:val="Lista punktowana 1"/>
    <w:basedOn w:val="Akapitzlist"/>
    <w:qFormat/>
    <w:rsid w:val="00F60F43"/>
    <w:pPr>
      <w:ind w:left="426" w:hanging="284"/>
      <w:contextualSpacing/>
    </w:pPr>
    <w:rPr>
      <w:rFonts w:cs="Calibri"/>
      <w:lang w:eastAsia="pl-PL"/>
    </w:rPr>
  </w:style>
  <w:style w:type="paragraph" w:customStyle="1" w:styleId="TABELANagwek">
    <w:name w:val="TABELA_Nagłówek"/>
    <w:basedOn w:val="Normalny"/>
    <w:link w:val="TABELANagwekZnak"/>
    <w:qFormat/>
    <w:rsid w:val="00E73C82"/>
    <w:pPr>
      <w:spacing w:before="40" w:after="40"/>
      <w:jc w:val="center"/>
    </w:pPr>
    <w:rPr>
      <w:rFonts w:cs="Calibri"/>
      <w:b/>
      <w:bCs/>
      <w:sz w:val="20"/>
      <w:szCs w:val="20"/>
      <w:lang w:eastAsia="pl-PL"/>
    </w:rPr>
  </w:style>
  <w:style w:type="paragraph" w:customStyle="1" w:styleId="TABELAwysrodkowane">
    <w:name w:val="TABELA_wysrodkowane"/>
    <w:basedOn w:val="Normalny"/>
    <w:link w:val="TABELAwysrodkowaneZnak"/>
    <w:qFormat/>
    <w:rsid w:val="00E73C82"/>
    <w:pPr>
      <w:spacing w:before="40" w:after="40"/>
      <w:jc w:val="center"/>
    </w:pPr>
    <w:rPr>
      <w:rFonts w:cs="Calibri"/>
      <w:sz w:val="20"/>
      <w:szCs w:val="20"/>
      <w:lang w:eastAsia="pl-PL"/>
    </w:rPr>
  </w:style>
  <w:style w:type="paragraph" w:customStyle="1" w:styleId="TABELAdolewej">
    <w:name w:val="TABELA_do lewej"/>
    <w:basedOn w:val="Normalny"/>
    <w:link w:val="TABELAdolewejZnak"/>
    <w:qFormat/>
    <w:rsid w:val="00E73C82"/>
    <w:pPr>
      <w:spacing w:before="40" w:after="40"/>
      <w:jc w:val="left"/>
    </w:pPr>
    <w:rPr>
      <w:rFonts w:cs="Calibri"/>
      <w:sz w:val="20"/>
      <w:szCs w:val="20"/>
      <w:lang w:eastAsia="pl-PL"/>
    </w:rPr>
  </w:style>
  <w:style w:type="character" w:styleId="Wzmianka">
    <w:name w:val="Mention"/>
    <w:basedOn w:val="Domylnaczcionkaakapitu"/>
    <w:uiPriority w:val="99"/>
    <w:unhideWhenUsed/>
    <w:rsid w:val="00EF2F0D"/>
    <w:rPr>
      <w:color w:val="2B579A"/>
      <w:shd w:val="clear" w:color="auto" w:fill="E1DFDD"/>
    </w:rPr>
  </w:style>
  <w:style w:type="character" w:customStyle="1" w:styleId="TekstpodstawowyAzotany2013Znak">
    <w:name w:val="Tekst podstawowy Azotany 2013 Znak"/>
    <w:basedOn w:val="Domylnaczcionkaakapitu"/>
    <w:link w:val="TekstpodstawowyAzotany2013"/>
    <w:locked/>
    <w:rsid w:val="00EF2F0D"/>
    <w:rPr>
      <w:rFonts w:ascii="Arial Narrow" w:hAnsi="Arial Narrow"/>
    </w:rPr>
  </w:style>
  <w:style w:type="paragraph" w:customStyle="1" w:styleId="TekstpodstawowyAzotany2013">
    <w:name w:val="Tekst podstawowy Azotany 2013"/>
    <w:basedOn w:val="Normalny"/>
    <w:link w:val="TekstpodstawowyAzotany2013Znak"/>
    <w:rsid w:val="00EF2F0D"/>
    <w:pPr>
      <w:spacing w:before="0" w:after="0" w:line="360" w:lineRule="auto"/>
      <w:ind w:firstLine="709"/>
    </w:pPr>
    <w:rPr>
      <w:rFonts w:ascii="Arial Narrow" w:hAnsi="Arial Narrow"/>
      <w:sz w:val="20"/>
      <w:szCs w:val="20"/>
      <w:lang w:eastAsia="pl-PL"/>
    </w:rPr>
  </w:style>
  <w:style w:type="character" w:customStyle="1" w:styleId="cf01">
    <w:name w:val="cf01"/>
    <w:basedOn w:val="Domylnaczcionkaakapitu"/>
    <w:rsid w:val="00EF2F0D"/>
    <w:rPr>
      <w:rFonts w:ascii="Segoe UI" w:hAnsi="Segoe UI" w:cs="Segoe UI" w:hint="default"/>
      <w:sz w:val="18"/>
      <w:szCs w:val="18"/>
    </w:rPr>
  </w:style>
  <w:style w:type="character" w:customStyle="1" w:styleId="cf11">
    <w:name w:val="cf11"/>
    <w:basedOn w:val="Domylnaczcionkaakapitu"/>
    <w:rsid w:val="00EF2F0D"/>
    <w:rPr>
      <w:rFonts w:ascii="Segoe UI" w:hAnsi="Segoe UI" w:cs="Segoe UI" w:hint="default"/>
      <w:sz w:val="18"/>
      <w:szCs w:val="18"/>
    </w:rPr>
  </w:style>
  <w:style w:type="paragraph" w:customStyle="1" w:styleId="Nota">
    <w:name w:val="Nota"/>
    <w:aliases w:val="Char1,(NECG) Footnote Reference,fr,Appel note de bas de p,o,Style 6,Signature Ch"/>
    <w:basedOn w:val="Normalny"/>
    <w:link w:val="Odwoanieprzypisudolnego"/>
    <w:uiPriority w:val="99"/>
    <w:rsid w:val="004318C5"/>
    <w:pPr>
      <w:suppressAutoHyphens w:val="0"/>
      <w:autoSpaceDN w:val="0"/>
      <w:spacing w:before="0" w:after="160" w:line="240" w:lineRule="exact"/>
      <w:jc w:val="left"/>
    </w:pPr>
    <w:rPr>
      <w:sz w:val="20"/>
      <w:szCs w:val="20"/>
      <w:vertAlign w:val="superscript"/>
      <w:lang w:eastAsia="pl-PL"/>
    </w:rPr>
  </w:style>
  <w:style w:type="character" w:styleId="Wyrnieniedelikatne">
    <w:name w:val="Subtle Emphasis"/>
    <w:uiPriority w:val="19"/>
    <w:rsid w:val="005842B5"/>
    <w:rPr>
      <w:i/>
      <w:iCs/>
      <w:color w:val="404040" w:themeColor="text1" w:themeTint="BF"/>
    </w:rPr>
  </w:style>
  <w:style w:type="table" w:styleId="Siatkatabelijasna">
    <w:name w:val="Grid Table Light"/>
    <w:basedOn w:val="Standardowy"/>
    <w:uiPriority w:val="40"/>
    <w:rsid w:val="00E5148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1">
    <w:name w:val="P1"/>
    <w:basedOn w:val="Normalny"/>
    <w:link w:val="P1Znak"/>
    <w:uiPriority w:val="99"/>
    <w:qFormat/>
    <w:rsid w:val="006964D0"/>
    <w:pPr>
      <w:numPr>
        <w:ilvl w:val="5"/>
        <w:numId w:val="125"/>
      </w:numPr>
      <w:tabs>
        <w:tab w:val="clear" w:pos="4320"/>
      </w:tabs>
      <w:suppressAutoHyphens w:val="0"/>
      <w:spacing w:before="80" w:after="80" w:line="264" w:lineRule="auto"/>
      <w:ind w:left="426" w:hanging="284"/>
    </w:pPr>
    <w:rPr>
      <w:rFonts w:asciiTheme="minorHAnsi" w:eastAsia="Times New Roman" w:hAnsiTheme="minorHAnsi"/>
      <w:szCs w:val="20"/>
    </w:rPr>
  </w:style>
  <w:style w:type="character" w:customStyle="1" w:styleId="P1Znak">
    <w:name w:val="P1 Znak"/>
    <w:link w:val="P1"/>
    <w:uiPriority w:val="99"/>
    <w:rsid w:val="006964D0"/>
    <w:rPr>
      <w:rFonts w:asciiTheme="minorHAnsi" w:eastAsia="Times New Roman" w:hAnsiTheme="minorHAnsi"/>
      <w:sz w:val="22"/>
      <w:lang w:eastAsia="en-US"/>
    </w:rPr>
  </w:style>
  <w:style w:type="paragraph" w:customStyle="1" w:styleId="P2">
    <w:name w:val="P2"/>
    <w:basedOn w:val="Normalny"/>
    <w:link w:val="P2Znak"/>
    <w:uiPriority w:val="99"/>
    <w:qFormat/>
    <w:rsid w:val="006964D0"/>
    <w:pPr>
      <w:numPr>
        <w:numId w:val="126"/>
      </w:numPr>
      <w:suppressAutoHyphens w:val="0"/>
      <w:spacing w:line="276" w:lineRule="auto"/>
      <w:contextualSpacing/>
    </w:pPr>
    <w:rPr>
      <w:rFonts w:ascii="Times New Roman" w:eastAsia="Times New Roman" w:hAnsi="Times New Roman"/>
      <w:szCs w:val="20"/>
    </w:rPr>
  </w:style>
  <w:style w:type="character" w:customStyle="1" w:styleId="P2Znak">
    <w:name w:val="P2 Znak"/>
    <w:link w:val="P2"/>
    <w:uiPriority w:val="99"/>
    <w:rsid w:val="006964D0"/>
    <w:rPr>
      <w:rFonts w:ascii="Times New Roman" w:eastAsia="Times New Roman" w:hAnsi="Times New Roman"/>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56328">
      <w:bodyDiv w:val="1"/>
      <w:marLeft w:val="0"/>
      <w:marRight w:val="0"/>
      <w:marTop w:val="0"/>
      <w:marBottom w:val="0"/>
      <w:divBdr>
        <w:top w:val="none" w:sz="0" w:space="0" w:color="auto"/>
        <w:left w:val="none" w:sz="0" w:space="0" w:color="auto"/>
        <w:bottom w:val="none" w:sz="0" w:space="0" w:color="auto"/>
        <w:right w:val="none" w:sz="0" w:space="0" w:color="auto"/>
      </w:divBdr>
      <w:divsChild>
        <w:div w:id="1498613390">
          <w:marLeft w:val="0"/>
          <w:marRight w:val="0"/>
          <w:marTop w:val="0"/>
          <w:marBottom w:val="0"/>
          <w:divBdr>
            <w:top w:val="none" w:sz="0" w:space="0" w:color="auto"/>
            <w:left w:val="none" w:sz="0" w:space="0" w:color="auto"/>
            <w:bottom w:val="none" w:sz="0" w:space="0" w:color="auto"/>
            <w:right w:val="none" w:sz="0" w:space="0" w:color="auto"/>
          </w:divBdr>
          <w:divsChild>
            <w:div w:id="678040006">
              <w:marLeft w:val="0"/>
              <w:marRight w:val="0"/>
              <w:marTop w:val="0"/>
              <w:marBottom w:val="0"/>
              <w:divBdr>
                <w:top w:val="none" w:sz="0" w:space="0" w:color="auto"/>
                <w:left w:val="none" w:sz="0" w:space="0" w:color="auto"/>
                <w:bottom w:val="none" w:sz="0" w:space="0" w:color="auto"/>
                <w:right w:val="none" w:sz="0" w:space="0" w:color="auto"/>
              </w:divBdr>
              <w:divsChild>
                <w:div w:id="1664160630">
                  <w:marLeft w:val="0"/>
                  <w:marRight w:val="0"/>
                  <w:marTop w:val="0"/>
                  <w:marBottom w:val="0"/>
                  <w:divBdr>
                    <w:top w:val="none" w:sz="0" w:space="0" w:color="auto"/>
                    <w:left w:val="none" w:sz="0" w:space="0" w:color="auto"/>
                    <w:bottom w:val="none" w:sz="0" w:space="0" w:color="auto"/>
                    <w:right w:val="none" w:sz="0" w:space="0" w:color="auto"/>
                  </w:divBdr>
                  <w:divsChild>
                    <w:div w:id="383061112">
                      <w:marLeft w:val="0"/>
                      <w:marRight w:val="0"/>
                      <w:marTop w:val="0"/>
                      <w:marBottom w:val="0"/>
                      <w:divBdr>
                        <w:top w:val="none" w:sz="0" w:space="0" w:color="auto"/>
                        <w:left w:val="none" w:sz="0" w:space="0" w:color="auto"/>
                        <w:bottom w:val="none" w:sz="0" w:space="0" w:color="auto"/>
                        <w:right w:val="none" w:sz="0" w:space="0" w:color="auto"/>
                      </w:divBdr>
                      <w:divsChild>
                        <w:div w:id="1098326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81784">
      <w:bodyDiv w:val="1"/>
      <w:marLeft w:val="0"/>
      <w:marRight w:val="0"/>
      <w:marTop w:val="0"/>
      <w:marBottom w:val="0"/>
      <w:divBdr>
        <w:top w:val="none" w:sz="0" w:space="0" w:color="auto"/>
        <w:left w:val="none" w:sz="0" w:space="0" w:color="auto"/>
        <w:bottom w:val="none" w:sz="0" w:space="0" w:color="auto"/>
        <w:right w:val="none" w:sz="0" w:space="0" w:color="auto"/>
      </w:divBdr>
    </w:div>
    <w:div w:id="32656233">
      <w:bodyDiv w:val="1"/>
      <w:marLeft w:val="0"/>
      <w:marRight w:val="0"/>
      <w:marTop w:val="0"/>
      <w:marBottom w:val="0"/>
      <w:divBdr>
        <w:top w:val="none" w:sz="0" w:space="0" w:color="auto"/>
        <w:left w:val="none" w:sz="0" w:space="0" w:color="auto"/>
        <w:bottom w:val="none" w:sz="0" w:space="0" w:color="auto"/>
        <w:right w:val="none" w:sz="0" w:space="0" w:color="auto"/>
      </w:divBdr>
    </w:div>
    <w:div w:id="48724879">
      <w:bodyDiv w:val="1"/>
      <w:marLeft w:val="0"/>
      <w:marRight w:val="0"/>
      <w:marTop w:val="0"/>
      <w:marBottom w:val="0"/>
      <w:divBdr>
        <w:top w:val="none" w:sz="0" w:space="0" w:color="auto"/>
        <w:left w:val="none" w:sz="0" w:space="0" w:color="auto"/>
        <w:bottom w:val="none" w:sz="0" w:space="0" w:color="auto"/>
        <w:right w:val="none" w:sz="0" w:space="0" w:color="auto"/>
      </w:divBdr>
      <w:divsChild>
        <w:div w:id="1562640684">
          <w:marLeft w:val="0"/>
          <w:marRight w:val="0"/>
          <w:marTop w:val="0"/>
          <w:marBottom w:val="0"/>
          <w:divBdr>
            <w:top w:val="none" w:sz="0" w:space="0" w:color="auto"/>
            <w:left w:val="none" w:sz="0" w:space="0" w:color="auto"/>
            <w:bottom w:val="none" w:sz="0" w:space="0" w:color="auto"/>
            <w:right w:val="none" w:sz="0" w:space="0" w:color="auto"/>
          </w:divBdr>
        </w:div>
      </w:divsChild>
    </w:div>
    <w:div w:id="78330115">
      <w:bodyDiv w:val="1"/>
      <w:marLeft w:val="0"/>
      <w:marRight w:val="0"/>
      <w:marTop w:val="0"/>
      <w:marBottom w:val="0"/>
      <w:divBdr>
        <w:top w:val="none" w:sz="0" w:space="0" w:color="auto"/>
        <w:left w:val="none" w:sz="0" w:space="0" w:color="auto"/>
        <w:bottom w:val="none" w:sz="0" w:space="0" w:color="auto"/>
        <w:right w:val="none" w:sz="0" w:space="0" w:color="auto"/>
      </w:divBdr>
    </w:div>
    <w:div w:id="107091789">
      <w:bodyDiv w:val="1"/>
      <w:marLeft w:val="0"/>
      <w:marRight w:val="0"/>
      <w:marTop w:val="0"/>
      <w:marBottom w:val="0"/>
      <w:divBdr>
        <w:top w:val="none" w:sz="0" w:space="0" w:color="auto"/>
        <w:left w:val="none" w:sz="0" w:space="0" w:color="auto"/>
        <w:bottom w:val="none" w:sz="0" w:space="0" w:color="auto"/>
        <w:right w:val="none" w:sz="0" w:space="0" w:color="auto"/>
      </w:divBdr>
    </w:div>
    <w:div w:id="121505911">
      <w:bodyDiv w:val="1"/>
      <w:marLeft w:val="0"/>
      <w:marRight w:val="0"/>
      <w:marTop w:val="0"/>
      <w:marBottom w:val="0"/>
      <w:divBdr>
        <w:top w:val="none" w:sz="0" w:space="0" w:color="auto"/>
        <w:left w:val="none" w:sz="0" w:space="0" w:color="auto"/>
        <w:bottom w:val="none" w:sz="0" w:space="0" w:color="auto"/>
        <w:right w:val="none" w:sz="0" w:space="0" w:color="auto"/>
      </w:divBdr>
    </w:div>
    <w:div w:id="135539190">
      <w:bodyDiv w:val="1"/>
      <w:marLeft w:val="0"/>
      <w:marRight w:val="0"/>
      <w:marTop w:val="0"/>
      <w:marBottom w:val="0"/>
      <w:divBdr>
        <w:top w:val="none" w:sz="0" w:space="0" w:color="auto"/>
        <w:left w:val="none" w:sz="0" w:space="0" w:color="auto"/>
        <w:bottom w:val="none" w:sz="0" w:space="0" w:color="auto"/>
        <w:right w:val="none" w:sz="0" w:space="0" w:color="auto"/>
      </w:divBdr>
    </w:div>
    <w:div w:id="172886026">
      <w:bodyDiv w:val="1"/>
      <w:marLeft w:val="0"/>
      <w:marRight w:val="0"/>
      <w:marTop w:val="0"/>
      <w:marBottom w:val="0"/>
      <w:divBdr>
        <w:top w:val="none" w:sz="0" w:space="0" w:color="auto"/>
        <w:left w:val="none" w:sz="0" w:space="0" w:color="auto"/>
        <w:bottom w:val="none" w:sz="0" w:space="0" w:color="auto"/>
        <w:right w:val="none" w:sz="0" w:space="0" w:color="auto"/>
      </w:divBdr>
    </w:div>
    <w:div w:id="184828488">
      <w:bodyDiv w:val="1"/>
      <w:marLeft w:val="0"/>
      <w:marRight w:val="0"/>
      <w:marTop w:val="0"/>
      <w:marBottom w:val="0"/>
      <w:divBdr>
        <w:top w:val="none" w:sz="0" w:space="0" w:color="auto"/>
        <w:left w:val="none" w:sz="0" w:space="0" w:color="auto"/>
        <w:bottom w:val="none" w:sz="0" w:space="0" w:color="auto"/>
        <w:right w:val="none" w:sz="0" w:space="0" w:color="auto"/>
      </w:divBdr>
      <w:divsChild>
        <w:div w:id="1620139385">
          <w:marLeft w:val="0"/>
          <w:marRight w:val="0"/>
          <w:marTop w:val="0"/>
          <w:marBottom w:val="0"/>
          <w:divBdr>
            <w:top w:val="none" w:sz="0" w:space="0" w:color="auto"/>
            <w:left w:val="none" w:sz="0" w:space="0" w:color="auto"/>
            <w:bottom w:val="none" w:sz="0" w:space="0" w:color="auto"/>
            <w:right w:val="none" w:sz="0" w:space="0" w:color="auto"/>
          </w:divBdr>
        </w:div>
      </w:divsChild>
    </w:div>
    <w:div w:id="248003597">
      <w:bodyDiv w:val="1"/>
      <w:marLeft w:val="0"/>
      <w:marRight w:val="0"/>
      <w:marTop w:val="0"/>
      <w:marBottom w:val="0"/>
      <w:divBdr>
        <w:top w:val="none" w:sz="0" w:space="0" w:color="auto"/>
        <w:left w:val="none" w:sz="0" w:space="0" w:color="auto"/>
        <w:bottom w:val="none" w:sz="0" w:space="0" w:color="auto"/>
        <w:right w:val="none" w:sz="0" w:space="0" w:color="auto"/>
      </w:divBdr>
    </w:div>
    <w:div w:id="271209439">
      <w:bodyDiv w:val="1"/>
      <w:marLeft w:val="0"/>
      <w:marRight w:val="0"/>
      <w:marTop w:val="0"/>
      <w:marBottom w:val="0"/>
      <w:divBdr>
        <w:top w:val="none" w:sz="0" w:space="0" w:color="auto"/>
        <w:left w:val="none" w:sz="0" w:space="0" w:color="auto"/>
        <w:bottom w:val="none" w:sz="0" w:space="0" w:color="auto"/>
        <w:right w:val="none" w:sz="0" w:space="0" w:color="auto"/>
      </w:divBdr>
      <w:divsChild>
        <w:div w:id="443112206">
          <w:marLeft w:val="0"/>
          <w:marRight w:val="0"/>
          <w:marTop w:val="0"/>
          <w:marBottom w:val="0"/>
          <w:divBdr>
            <w:top w:val="none" w:sz="0" w:space="0" w:color="auto"/>
            <w:left w:val="none" w:sz="0" w:space="0" w:color="auto"/>
            <w:bottom w:val="none" w:sz="0" w:space="0" w:color="auto"/>
            <w:right w:val="none" w:sz="0" w:space="0" w:color="auto"/>
          </w:divBdr>
        </w:div>
        <w:div w:id="1014575306">
          <w:marLeft w:val="0"/>
          <w:marRight w:val="0"/>
          <w:marTop w:val="0"/>
          <w:marBottom w:val="0"/>
          <w:divBdr>
            <w:top w:val="none" w:sz="0" w:space="0" w:color="auto"/>
            <w:left w:val="none" w:sz="0" w:space="0" w:color="auto"/>
            <w:bottom w:val="none" w:sz="0" w:space="0" w:color="auto"/>
            <w:right w:val="none" w:sz="0" w:space="0" w:color="auto"/>
          </w:divBdr>
        </w:div>
        <w:div w:id="1435242868">
          <w:marLeft w:val="0"/>
          <w:marRight w:val="0"/>
          <w:marTop w:val="0"/>
          <w:marBottom w:val="0"/>
          <w:divBdr>
            <w:top w:val="none" w:sz="0" w:space="0" w:color="auto"/>
            <w:left w:val="none" w:sz="0" w:space="0" w:color="auto"/>
            <w:bottom w:val="none" w:sz="0" w:space="0" w:color="auto"/>
            <w:right w:val="none" w:sz="0" w:space="0" w:color="auto"/>
          </w:divBdr>
        </w:div>
      </w:divsChild>
    </w:div>
    <w:div w:id="277879758">
      <w:bodyDiv w:val="1"/>
      <w:marLeft w:val="0"/>
      <w:marRight w:val="0"/>
      <w:marTop w:val="0"/>
      <w:marBottom w:val="0"/>
      <w:divBdr>
        <w:top w:val="none" w:sz="0" w:space="0" w:color="auto"/>
        <w:left w:val="none" w:sz="0" w:space="0" w:color="auto"/>
        <w:bottom w:val="none" w:sz="0" w:space="0" w:color="auto"/>
        <w:right w:val="none" w:sz="0" w:space="0" w:color="auto"/>
      </w:divBdr>
    </w:div>
    <w:div w:id="344481320">
      <w:bodyDiv w:val="1"/>
      <w:marLeft w:val="0"/>
      <w:marRight w:val="0"/>
      <w:marTop w:val="0"/>
      <w:marBottom w:val="0"/>
      <w:divBdr>
        <w:top w:val="none" w:sz="0" w:space="0" w:color="auto"/>
        <w:left w:val="none" w:sz="0" w:space="0" w:color="auto"/>
        <w:bottom w:val="none" w:sz="0" w:space="0" w:color="auto"/>
        <w:right w:val="none" w:sz="0" w:space="0" w:color="auto"/>
      </w:divBdr>
      <w:divsChild>
        <w:div w:id="651757237">
          <w:marLeft w:val="0"/>
          <w:marRight w:val="0"/>
          <w:marTop w:val="0"/>
          <w:marBottom w:val="0"/>
          <w:divBdr>
            <w:top w:val="none" w:sz="0" w:space="0" w:color="auto"/>
            <w:left w:val="none" w:sz="0" w:space="0" w:color="auto"/>
            <w:bottom w:val="none" w:sz="0" w:space="0" w:color="auto"/>
            <w:right w:val="none" w:sz="0" w:space="0" w:color="auto"/>
          </w:divBdr>
        </w:div>
        <w:div w:id="769013258">
          <w:marLeft w:val="0"/>
          <w:marRight w:val="0"/>
          <w:marTop w:val="0"/>
          <w:marBottom w:val="0"/>
          <w:divBdr>
            <w:top w:val="none" w:sz="0" w:space="0" w:color="auto"/>
            <w:left w:val="none" w:sz="0" w:space="0" w:color="auto"/>
            <w:bottom w:val="none" w:sz="0" w:space="0" w:color="auto"/>
            <w:right w:val="none" w:sz="0" w:space="0" w:color="auto"/>
          </w:divBdr>
        </w:div>
        <w:div w:id="1079015865">
          <w:marLeft w:val="0"/>
          <w:marRight w:val="0"/>
          <w:marTop w:val="0"/>
          <w:marBottom w:val="0"/>
          <w:divBdr>
            <w:top w:val="none" w:sz="0" w:space="0" w:color="auto"/>
            <w:left w:val="none" w:sz="0" w:space="0" w:color="auto"/>
            <w:bottom w:val="none" w:sz="0" w:space="0" w:color="auto"/>
            <w:right w:val="none" w:sz="0" w:space="0" w:color="auto"/>
          </w:divBdr>
        </w:div>
        <w:div w:id="1263564302">
          <w:marLeft w:val="0"/>
          <w:marRight w:val="0"/>
          <w:marTop w:val="0"/>
          <w:marBottom w:val="0"/>
          <w:divBdr>
            <w:top w:val="none" w:sz="0" w:space="0" w:color="auto"/>
            <w:left w:val="none" w:sz="0" w:space="0" w:color="auto"/>
            <w:bottom w:val="none" w:sz="0" w:space="0" w:color="auto"/>
            <w:right w:val="none" w:sz="0" w:space="0" w:color="auto"/>
          </w:divBdr>
        </w:div>
        <w:div w:id="1289165609">
          <w:marLeft w:val="0"/>
          <w:marRight w:val="0"/>
          <w:marTop w:val="0"/>
          <w:marBottom w:val="0"/>
          <w:divBdr>
            <w:top w:val="none" w:sz="0" w:space="0" w:color="auto"/>
            <w:left w:val="none" w:sz="0" w:space="0" w:color="auto"/>
            <w:bottom w:val="none" w:sz="0" w:space="0" w:color="auto"/>
            <w:right w:val="none" w:sz="0" w:space="0" w:color="auto"/>
          </w:divBdr>
          <w:divsChild>
            <w:div w:id="231619437">
              <w:marLeft w:val="0"/>
              <w:marRight w:val="0"/>
              <w:marTop w:val="0"/>
              <w:marBottom w:val="0"/>
              <w:divBdr>
                <w:top w:val="none" w:sz="0" w:space="0" w:color="auto"/>
                <w:left w:val="none" w:sz="0" w:space="0" w:color="auto"/>
                <w:bottom w:val="none" w:sz="0" w:space="0" w:color="auto"/>
                <w:right w:val="none" w:sz="0" w:space="0" w:color="auto"/>
              </w:divBdr>
            </w:div>
            <w:div w:id="812871413">
              <w:marLeft w:val="0"/>
              <w:marRight w:val="0"/>
              <w:marTop w:val="0"/>
              <w:marBottom w:val="0"/>
              <w:divBdr>
                <w:top w:val="none" w:sz="0" w:space="0" w:color="auto"/>
                <w:left w:val="none" w:sz="0" w:space="0" w:color="auto"/>
                <w:bottom w:val="none" w:sz="0" w:space="0" w:color="auto"/>
                <w:right w:val="none" w:sz="0" w:space="0" w:color="auto"/>
              </w:divBdr>
            </w:div>
            <w:div w:id="1301497868">
              <w:marLeft w:val="0"/>
              <w:marRight w:val="0"/>
              <w:marTop w:val="0"/>
              <w:marBottom w:val="0"/>
              <w:divBdr>
                <w:top w:val="none" w:sz="0" w:space="0" w:color="auto"/>
                <w:left w:val="none" w:sz="0" w:space="0" w:color="auto"/>
                <w:bottom w:val="none" w:sz="0" w:space="0" w:color="auto"/>
                <w:right w:val="none" w:sz="0" w:space="0" w:color="auto"/>
              </w:divBdr>
            </w:div>
            <w:div w:id="1435904005">
              <w:marLeft w:val="0"/>
              <w:marRight w:val="0"/>
              <w:marTop w:val="0"/>
              <w:marBottom w:val="0"/>
              <w:divBdr>
                <w:top w:val="none" w:sz="0" w:space="0" w:color="auto"/>
                <w:left w:val="none" w:sz="0" w:space="0" w:color="auto"/>
                <w:bottom w:val="none" w:sz="0" w:space="0" w:color="auto"/>
                <w:right w:val="none" w:sz="0" w:space="0" w:color="auto"/>
              </w:divBdr>
            </w:div>
          </w:divsChild>
        </w:div>
        <w:div w:id="1373917285">
          <w:marLeft w:val="0"/>
          <w:marRight w:val="0"/>
          <w:marTop w:val="0"/>
          <w:marBottom w:val="0"/>
          <w:divBdr>
            <w:top w:val="none" w:sz="0" w:space="0" w:color="auto"/>
            <w:left w:val="none" w:sz="0" w:space="0" w:color="auto"/>
            <w:bottom w:val="none" w:sz="0" w:space="0" w:color="auto"/>
            <w:right w:val="none" w:sz="0" w:space="0" w:color="auto"/>
          </w:divBdr>
          <w:divsChild>
            <w:div w:id="58410664">
              <w:marLeft w:val="0"/>
              <w:marRight w:val="0"/>
              <w:marTop w:val="0"/>
              <w:marBottom w:val="0"/>
              <w:divBdr>
                <w:top w:val="none" w:sz="0" w:space="0" w:color="auto"/>
                <w:left w:val="none" w:sz="0" w:space="0" w:color="auto"/>
                <w:bottom w:val="none" w:sz="0" w:space="0" w:color="auto"/>
                <w:right w:val="none" w:sz="0" w:space="0" w:color="auto"/>
              </w:divBdr>
            </w:div>
            <w:div w:id="1153251670">
              <w:marLeft w:val="0"/>
              <w:marRight w:val="0"/>
              <w:marTop w:val="0"/>
              <w:marBottom w:val="0"/>
              <w:divBdr>
                <w:top w:val="none" w:sz="0" w:space="0" w:color="auto"/>
                <w:left w:val="none" w:sz="0" w:space="0" w:color="auto"/>
                <w:bottom w:val="none" w:sz="0" w:space="0" w:color="auto"/>
                <w:right w:val="none" w:sz="0" w:space="0" w:color="auto"/>
              </w:divBdr>
            </w:div>
            <w:div w:id="1417558025">
              <w:marLeft w:val="0"/>
              <w:marRight w:val="0"/>
              <w:marTop w:val="0"/>
              <w:marBottom w:val="0"/>
              <w:divBdr>
                <w:top w:val="none" w:sz="0" w:space="0" w:color="auto"/>
                <w:left w:val="none" w:sz="0" w:space="0" w:color="auto"/>
                <w:bottom w:val="none" w:sz="0" w:space="0" w:color="auto"/>
                <w:right w:val="none" w:sz="0" w:space="0" w:color="auto"/>
              </w:divBdr>
            </w:div>
          </w:divsChild>
        </w:div>
        <w:div w:id="1762264099">
          <w:marLeft w:val="0"/>
          <w:marRight w:val="0"/>
          <w:marTop w:val="0"/>
          <w:marBottom w:val="0"/>
          <w:divBdr>
            <w:top w:val="none" w:sz="0" w:space="0" w:color="auto"/>
            <w:left w:val="none" w:sz="0" w:space="0" w:color="auto"/>
            <w:bottom w:val="none" w:sz="0" w:space="0" w:color="auto"/>
            <w:right w:val="none" w:sz="0" w:space="0" w:color="auto"/>
          </w:divBdr>
          <w:divsChild>
            <w:div w:id="1369407469">
              <w:marLeft w:val="0"/>
              <w:marRight w:val="0"/>
              <w:marTop w:val="0"/>
              <w:marBottom w:val="0"/>
              <w:divBdr>
                <w:top w:val="none" w:sz="0" w:space="0" w:color="auto"/>
                <w:left w:val="none" w:sz="0" w:space="0" w:color="auto"/>
                <w:bottom w:val="none" w:sz="0" w:space="0" w:color="auto"/>
                <w:right w:val="none" w:sz="0" w:space="0" w:color="auto"/>
              </w:divBdr>
            </w:div>
            <w:div w:id="1430589083">
              <w:marLeft w:val="0"/>
              <w:marRight w:val="0"/>
              <w:marTop w:val="0"/>
              <w:marBottom w:val="0"/>
              <w:divBdr>
                <w:top w:val="none" w:sz="0" w:space="0" w:color="auto"/>
                <w:left w:val="none" w:sz="0" w:space="0" w:color="auto"/>
                <w:bottom w:val="none" w:sz="0" w:space="0" w:color="auto"/>
                <w:right w:val="none" w:sz="0" w:space="0" w:color="auto"/>
              </w:divBdr>
            </w:div>
          </w:divsChild>
        </w:div>
        <w:div w:id="1768310747">
          <w:marLeft w:val="0"/>
          <w:marRight w:val="0"/>
          <w:marTop w:val="0"/>
          <w:marBottom w:val="0"/>
          <w:divBdr>
            <w:top w:val="none" w:sz="0" w:space="0" w:color="auto"/>
            <w:left w:val="none" w:sz="0" w:space="0" w:color="auto"/>
            <w:bottom w:val="none" w:sz="0" w:space="0" w:color="auto"/>
            <w:right w:val="none" w:sz="0" w:space="0" w:color="auto"/>
          </w:divBdr>
        </w:div>
      </w:divsChild>
    </w:div>
    <w:div w:id="411125693">
      <w:bodyDiv w:val="1"/>
      <w:marLeft w:val="0"/>
      <w:marRight w:val="0"/>
      <w:marTop w:val="0"/>
      <w:marBottom w:val="0"/>
      <w:divBdr>
        <w:top w:val="none" w:sz="0" w:space="0" w:color="auto"/>
        <w:left w:val="none" w:sz="0" w:space="0" w:color="auto"/>
        <w:bottom w:val="none" w:sz="0" w:space="0" w:color="auto"/>
        <w:right w:val="none" w:sz="0" w:space="0" w:color="auto"/>
      </w:divBdr>
    </w:div>
    <w:div w:id="432745616">
      <w:bodyDiv w:val="1"/>
      <w:marLeft w:val="0"/>
      <w:marRight w:val="0"/>
      <w:marTop w:val="0"/>
      <w:marBottom w:val="0"/>
      <w:divBdr>
        <w:top w:val="none" w:sz="0" w:space="0" w:color="auto"/>
        <w:left w:val="none" w:sz="0" w:space="0" w:color="auto"/>
        <w:bottom w:val="none" w:sz="0" w:space="0" w:color="auto"/>
        <w:right w:val="none" w:sz="0" w:space="0" w:color="auto"/>
      </w:divBdr>
    </w:div>
    <w:div w:id="447815219">
      <w:bodyDiv w:val="1"/>
      <w:marLeft w:val="0"/>
      <w:marRight w:val="0"/>
      <w:marTop w:val="0"/>
      <w:marBottom w:val="0"/>
      <w:divBdr>
        <w:top w:val="none" w:sz="0" w:space="0" w:color="auto"/>
        <w:left w:val="none" w:sz="0" w:space="0" w:color="auto"/>
        <w:bottom w:val="none" w:sz="0" w:space="0" w:color="auto"/>
        <w:right w:val="none" w:sz="0" w:space="0" w:color="auto"/>
      </w:divBdr>
    </w:div>
    <w:div w:id="461727413">
      <w:bodyDiv w:val="1"/>
      <w:marLeft w:val="0"/>
      <w:marRight w:val="0"/>
      <w:marTop w:val="0"/>
      <w:marBottom w:val="0"/>
      <w:divBdr>
        <w:top w:val="none" w:sz="0" w:space="0" w:color="auto"/>
        <w:left w:val="none" w:sz="0" w:space="0" w:color="auto"/>
        <w:bottom w:val="none" w:sz="0" w:space="0" w:color="auto"/>
        <w:right w:val="none" w:sz="0" w:space="0" w:color="auto"/>
      </w:divBdr>
    </w:div>
    <w:div w:id="471679965">
      <w:bodyDiv w:val="1"/>
      <w:marLeft w:val="0"/>
      <w:marRight w:val="0"/>
      <w:marTop w:val="0"/>
      <w:marBottom w:val="0"/>
      <w:divBdr>
        <w:top w:val="none" w:sz="0" w:space="0" w:color="auto"/>
        <w:left w:val="none" w:sz="0" w:space="0" w:color="auto"/>
        <w:bottom w:val="none" w:sz="0" w:space="0" w:color="auto"/>
        <w:right w:val="none" w:sz="0" w:space="0" w:color="auto"/>
      </w:divBdr>
    </w:div>
    <w:div w:id="488063072">
      <w:bodyDiv w:val="1"/>
      <w:marLeft w:val="0"/>
      <w:marRight w:val="0"/>
      <w:marTop w:val="0"/>
      <w:marBottom w:val="0"/>
      <w:divBdr>
        <w:top w:val="none" w:sz="0" w:space="0" w:color="auto"/>
        <w:left w:val="none" w:sz="0" w:space="0" w:color="auto"/>
        <w:bottom w:val="none" w:sz="0" w:space="0" w:color="auto"/>
        <w:right w:val="none" w:sz="0" w:space="0" w:color="auto"/>
      </w:divBdr>
    </w:div>
    <w:div w:id="494344334">
      <w:bodyDiv w:val="1"/>
      <w:marLeft w:val="0"/>
      <w:marRight w:val="0"/>
      <w:marTop w:val="0"/>
      <w:marBottom w:val="0"/>
      <w:divBdr>
        <w:top w:val="none" w:sz="0" w:space="0" w:color="auto"/>
        <w:left w:val="none" w:sz="0" w:space="0" w:color="auto"/>
        <w:bottom w:val="none" w:sz="0" w:space="0" w:color="auto"/>
        <w:right w:val="none" w:sz="0" w:space="0" w:color="auto"/>
      </w:divBdr>
    </w:div>
    <w:div w:id="509955171">
      <w:bodyDiv w:val="1"/>
      <w:marLeft w:val="0"/>
      <w:marRight w:val="0"/>
      <w:marTop w:val="0"/>
      <w:marBottom w:val="0"/>
      <w:divBdr>
        <w:top w:val="none" w:sz="0" w:space="0" w:color="auto"/>
        <w:left w:val="none" w:sz="0" w:space="0" w:color="auto"/>
        <w:bottom w:val="none" w:sz="0" w:space="0" w:color="auto"/>
        <w:right w:val="none" w:sz="0" w:space="0" w:color="auto"/>
      </w:divBdr>
    </w:div>
    <w:div w:id="519583821">
      <w:bodyDiv w:val="1"/>
      <w:marLeft w:val="0"/>
      <w:marRight w:val="0"/>
      <w:marTop w:val="0"/>
      <w:marBottom w:val="0"/>
      <w:divBdr>
        <w:top w:val="none" w:sz="0" w:space="0" w:color="auto"/>
        <w:left w:val="none" w:sz="0" w:space="0" w:color="auto"/>
        <w:bottom w:val="none" w:sz="0" w:space="0" w:color="auto"/>
        <w:right w:val="none" w:sz="0" w:space="0" w:color="auto"/>
      </w:divBdr>
    </w:div>
    <w:div w:id="530345231">
      <w:bodyDiv w:val="1"/>
      <w:marLeft w:val="0"/>
      <w:marRight w:val="0"/>
      <w:marTop w:val="0"/>
      <w:marBottom w:val="0"/>
      <w:divBdr>
        <w:top w:val="none" w:sz="0" w:space="0" w:color="auto"/>
        <w:left w:val="none" w:sz="0" w:space="0" w:color="auto"/>
        <w:bottom w:val="none" w:sz="0" w:space="0" w:color="auto"/>
        <w:right w:val="none" w:sz="0" w:space="0" w:color="auto"/>
      </w:divBdr>
    </w:div>
    <w:div w:id="561719747">
      <w:bodyDiv w:val="1"/>
      <w:marLeft w:val="0"/>
      <w:marRight w:val="0"/>
      <w:marTop w:val="0"/>
      <w:marBottom w:val="0"/>
      <w:divBdr>
        <w:top w:val="none" w:sz="0" w:space="0" w:color="auto"/>
        <w:left w:val="none" w:sz="0" w:space="0" w:color="auto"/>
        <w:bottom w:val="none" w:sz="0" w:space="0" w:color="auto"/>
        <w:right w:val="none" w:sz="0" w:space="0" w:color="auto"/>
      </w:divBdr>
    </w:div>
    <w:div w:id="618535954">
      <w:bodyDiv w:val="1"/>
      <w:marLeft w:val="0"/>
      <w:marRight w:val="0"/>
      <w:marTop w:val="0"/>
      <w:marBottom w:val="0"/>
      <w:divBdr>
        <w:top w:val="none" w:sz="0" w:space="0" w:color="auto"/>
        <w:left w:val="none" w:sz="0" w:space="0" w:color="auto"/>
        <w:bottom w:val="none" w:sz="0" w:space="0" w:color="auto"/>
        <w:right w:val="none" w:sz="0" w:space="0" w:color="auto"/>
      </w:divBdr>
      <w:divsChild>
        <w:div w:id="522671458">
          <w:marLeft w:val="0"/>
          <w:marRight w:val="0"/>
          <w:marTop w:val="0"/>
          <w:marBottom w:val="0"/>
          <w:divBdr>
            <w:top w:val="none" w:sz="0" w:space="0" w:color="auto"/>
            <w:left w:val="none" w:sz="0" w:space="0" w:color="auto"/>
            <w:bottom w:val="none" w:sz="0" w:space="0" w:color="auto"/>
            <w:right w:val="none" w:sz="0" w:space="0" w:color="auto"/>
          </w:divBdr>
        </w:div>
      </w:divsChild>
    </w:div>
    <w:div w:id="645205628">
      <w:bodyDiv w:val="1"/>
      <w:marLeft w:val="0"/>
      <w:marRight w:val="0"/>
      <w:marTop w:val="0"/>
      <w:marBottom w:val="0"/>
      <w:divBdr>
        <w:top w:val="none" w:sz="0" w:space="0" w:color="auto"/>
        <w:left w:val="none" w:sz="0" w:space="0" w:color="auto"/>
        <w:bottom w:val="none" w:sz="0" w:space="0" w:color="auto"/>
        <w:right w:val="none" w:sz="0" w:space="0" w:color="auto"/>
      </w:divBdr>
    </w:div>
    <w:div w:id="650525720">
      <w:bodyDiv w:val="1"/>
      <w:marLeft w:val="0"/>
      <w:marRight w:val="0"/>
      <w:marTop w:val="0"/>
      <w:marBottom w:val="0"/>
      <w:divBdr>
        <w:top w:val="none" w:sz="0" w:space="0" w:color="auto"/>
        <w:left w:val="none" w:sz="0" w:space="0" w:color="auto"/>
        <w:bottom w:val="none" w:sz="0" w:space="0" w:color="auto"/>
        <w:right w:val="none" w:sz="0" w:space="0" w:color="auto"/>
      </w:divBdr>
    </w:div>
    <w:div w:id="663363460">
      <w:bodyDiv w:val="1"/>
      <w:marLeft w:val="0"/>
      <w:marRight w:val="0"/>
      <w:marTop w:val="0"/>
      <w:marBottom w:val="0"/>
      <w:divBdr>
        <w:top w:val="none" w:sz="0" w:space="0" w:color="auto"/>
        <w:left w:val="none" w:sz="0" w:space="0" w:color="auto"/>
        <w:bottom w:val="none" w:sz="0" w:space="0" w:color="auto"/>
        <w:right w:val="none" w:sz="0" w:space="0" w:color="auto"/>
      </w:divBdr>
    </w:div>
    <w:div w:id="766926310">
      <w:bodyDiv w:val="1"/>
      <w:marLeft w:val="0"/>
      <w:marRight w:val="0"/>
      <w:marTop w:val="0"/>
      <w:marBottom w:val="0"/>
      <w:divBdr>
        <w:top w:val="none" w:sz="0" w:space="0" w:color="auto"/>
        <w:left w:val="none" w:sz="0" w:space="0" w:color="auto"/>
        <w:bottom w:val="none" w:sz="0" w:space="0" w:color="auto"/>
        <w:right w:val="none" w:sz="0" w:space="0" w:color="auto"/>
      </w:divBdr>
    </w:div>
    <w:div w:id="815687368">
      <w:bodyDiv w:val="1"/>
      <w:marLeft w:val="0"/>
      <w:marRight w:val="0"/>
      <w:marTop w:val="0"/>
      <w:marBottom w:val="0"/>
      <w:divBdr>
        <w:top w:val="none" w:sz="0" w:space="0" w:color="auto"/>
        <w:left w:val="none" w:sz="0" w:space="0" w:color="auto"/>
        <w:bottom w:val="none" w:sz="0" w:space="0" w:color="auto"/>
        <w:right w:val="none" w:sz="0" w:space="0" w:color="auto"/>
      </w:divBdr>
    </w:div>
    <w:div w:id="822428912">
      <w:bodyDiv w:val="1"/>
      <w:marLeft w:val="0"/>
      <w:marRight w:val="0"/>
      <w:marTop w:val="0"/>
      <w:marBottom w:val="0"/>
      <w:divBdr>
        <w:top w:val="none" w:sz="0" w:space="0" w:color="auto"/>
        <w:left w:val="none" w:sz="0" w:space="0" w:color="auto"/>
        <w:bottom w:val="none" w:sz="0" w:space="0" w:color="auto"/>
        <w:right w:val="none" w:sz="0" w:space="0" w:color="auto"/>
      </w:divBdr>
    </w:div>
    <w:div w:id="912541743">
      <w:bodyDiv w:val="1"/>
      <w:marLeft w:val="0"/>
      <w:marRight w:val="0"/>
      <w:marTop w:val="0"/>
      <w:marBottom w:val="0"/>
      <w:divBdr>
        <w:top w:val="none" w:sz="0" w:space="0" w:color="auto"/>
        <w:left w:val="none" w:sz="0" w:space="0" w:color="auto"/>
        <w:bottom w:val="none" w:sz="0" w:space="0" w:color="auto"/>
        <w:right w:val="none" w:sz="0" w:space="0" w:color="auto"/>
      </w:divBdr>
      <w:divsChild>
        <w:div w:id="313607474">
          <w:marLeft w:val="0"/>
          <w:marRight w:val="0"/>
          <w:marTop w:val="0"/>
          <w:marBottom w:val="0"/>
          <w:divBdr>
            <w:top w:val="none" w:sz="0" w:space="0" w:color="auto"/>
            <w:left w:val="none" w:sz="0" w:space="0" w:color="auto"/>
            <w:bottom w:val="none" w:sz="0" w:space="0" w:color="auto"/>
            <w:right w:val="none" w:sz="0" w:space="0" w:color="auto"/>
          </w:divBdr>
        </w:div>
        <w:div w:id="662777857">
          <w:marLeft w:val="0"/>
          <w:marRight w:val="0"/>
          <w:marTop w:val="0"/>
          <w:marBottom w:val="0"/>
          <w:divBdr>
            <w:top w:val="none" w:sz="0" w:space="0" w:color="auto"/>
            <w:left w:val="none" w:sz="0" w:space="0" w:color="auto"/>
            <w:bottom w:val="none" w:sz="0" w:space="0" w:color="auto"/>
            <w:right w:val="none" w:sz="0" w:space="0" w:color="auto"/>
          </w:divBdr>
        </w:div>
        <w:div w:id="988556381">
          <w:marLeft w:val="0"/>
          <w:marRight w:val="0"/>
          <w:marTop w:val="0"/>
          <w:marBottom w:val="0"/>
          <w:divBdr>
            <w:top w:val="none" w:sz="0" w:space="0" w:color="auto"/>
            <w:left w:val="none" w:sz="0" w:space="0" w:color="auto"/>
            <w:bottom w:val="none" w:sz="0" w:space="0" w:color="auto"/>
            <w:right w:val="none" w:sz="0" w:space="0" w:color="auto"/>
          </w:divBdr>
        </w:div>
        <w:div w:id="1528104044">
          <w:marLeft w:val="0"/>
          <w:marRight w:val="0"/>
          <w:marTop w:val="0"/>
          <w:marBottom w:val="0"/>
          <w:divBdr>
            <w:top w:val="none" w:sz="0" w:space="0" w:color="auto"/>
            <w:left w:val="none" w:sz="0" w:space="0" w:color="auto"/>
            <w:bottom w:val="none" w:sz="0" w:space="0" w:color="auto"/>
            <w:right w:val="none" w:sz="0" w:space="0" w:color="auto"/>
          </w:divBdr>
        </w:div>
        <w:div w:id="1583643022">
          <w:marLeft w:val="0"/>
          <w:marRight w:val="0"/>
          <w:marTop w:val="0"/>
          <w:marBottom w:val="0"/>
          <w:divBdr>
            <w:top w:val="none" w:sz="0" w:space="0" w:color="auto"/>
            <w:left w:val="none" w:sz="0" w:space="0" w:color="auto"/>
            <w:bottom w:val="none" w:sz="0" w:space="0" w:color="auto"/>
            <w:right w:val="none" w:sz="0" w:space="0" w:color="auto"/>
          </w:divBdr>
        </w:div>
      </w:divsChild>
    </w:div>
    <w:div w:id="923690091">
      <w:bodyDiv w:val="1"/>
      <w:marLeft w:val="0"/>
      <w:marRight w:val="0"/>
      <w:marTop w:val="0"/>
      <w:marBottom w:val="0"/>
      <w:divBdr>
        <w:top w:val="none" w:sz="0" w:space="0" w:color="auto"/>
        <w:left w:val="none" w:sz="0" w:space="0" w:color="auto"/>
        <w:bottom w:val="none" w:sz="0" w:space="0" w:color="auto"/>
        <w:right w:val="none" w:sz="0" w:space="0" w:color="auto"/>
      </w:divBdr>
      <w:divsChild>
        <w:div w:id="259147409">
          <w:marLeft w:val="0"/>
          <w:marRight w:val="0"/>
          <w:marTop w:val="0"/>
          <w:marBottom w:val="0"/>
          <w:divBdr>
            <w:top w:val="none" w:sz="0" w:space="0" w:color="auto"/>
            <w:left w:val="none" w:sz="0" w:space="0" w:color="auto"/>
            <w:bottom w:val="none" w:sz="0" w:space="0" w:color="auto"/>
            <w:right w:val="none" w:sz="0" w:space="0" w:color="auto"/>
          </w:divBdr>
        </w:div>
        <w:div w:id="339159326">
          <w:marLeft w:val="0"/>
          <w:marRight w:val="0"/>
          <w:marTop w:val="0"/>
          <w:marBottom w:val="0"/>
          <w:divBdr>
            <w:top w:val="none" w:sz="0" w:space="0" w:color="auto"/>
            <w:left w:val="none" w:sz="0" w:space="0" w:color="auto"/>
            <w:bottom w:val="none" w:sz="0" w:space="0" w:color="auto"/>
            <w:right w:val="none" w:sz="0" w:space="0" w:color="auto"/>
          </w:divBdr>
          <w:divsChild>
            <w:div w:id="808743534">
              <w:marLeft w:val="-75"/>
              <w:marRight w:val="0"/>
              <w:marTop w:val="30"/>
              <w:marBottom w:val="30"/>
              <w:divBdr>
                <w:top w:val="none" w:sz="0" w:space="0" w:color="auto"/>
                <w:left w:val="none" w:sz="0" w:space="0" w:color="auto"/>
                <w:bottom w:val="none" w:sz="0" w:space="0" w:color="auto"/>
                <w:right w:val="none" w:sz="0" w:space="0" w:color="auto"/>
              </w:divBdr>
              <w:divsChild>
                <w:div w:id="1159998223">
                  <w:marLeft w:val="0"/>
                  <w:marRight w:val="0"/>
                  <w:marTop w:val="0"/>
                  <w:marBottom w:val="0"/>
                  <w:divBdr>
                    <w:top w:val="none" w:sz="0" w:space="0" w:color="auto"/>
                    <w:left w:val="none" w:sz="0" w:space="0" w:color="auto"/>
                    <w:bottom w:val="none" w:sz="0" w:space="0" w:color="auto"/>
                    <w:right w:val="none" w:sz="0" w:space="0" w:color="auto"/>
                  </w:divBdr>
                  <w:divsChild>
                    <w:div w:id="1869484632">
                      <w:marLeft w:val="0"/>
                      <w:marRight w:val="0"/>
                      <w:marTop w:val="0"/>
                      <w:marBottom w:val="0"/>
                      <w:divBdr>
                        <w:top w:val="none" w:sz="0" w:space="0" w:color="auto"/>
                        <w:left w:val="none" w:sz="0" w:space="0" w:color="auto"/>
                        <w:bottom w:val="none" w:sz="0" w:space="0" w:color="auto"/>
                        <w:right w:val="none" w:sz="0" w:space="0" w:color="auto"/>
                      </w:divBdr>
                    </w:div>
                  </w:divsChild>
                </w:div>
                <w:div w:id="1253395780">
                  <w:marLeft w:val="0"/>
                  <w:marRight w:val="0"/>
                  <w:marTop w:val="0"/>
                  <w:marBottom w:val="0"/>
                  <w:divBdr>
                    <w:top w:val="none" w:sz="0" w:space="0" w:color="auto"/>
                    <w:left w:val="none" w:sz="0" w:space="0" w:color="auto"/>
                    <w:bottom w:val="none" w:sz="0" w:space="0" w:color="auto"/>
                    <w:right w:val="none" w:sz="0" w:space="0" w:color="auto"/>
                  </w:divBdr>
                  <w:divsChild>
                    <w:div w:id="375081981">
                      <w:marLeft w:val="0"/>
                      <w:marRight w:val="0"/>
                      <w:marTop w:val="0"/>
                      <w:marBottom w:val="0"/>
                      <w:divBdr>
                        <w:top w:val="none" w:sz="0" w:space="0" w:color="auto"/>
                        <w:left w:val="none" w:sz="0" w:space="0" w:color="auto"/>
                        <w:bottom w:val="none" w:sz="0" w:space="0" w:color="auto"/>
                        <w:right w:val="none" w:sz="0" w:space="0" w:color="auto"/>
                      </w:divBdr>
                    </w:div>
                  </w:divsChild>
                </w:div>
                <w:div w:id="1283809658">
                  <w:marLeft w:val="0"/>
                  <w:marRight w:val="0"/>
                  <w:marTop w:val="0"/>
                  <w:marBottom w:val="0"/>
                  <w:divBdr>
                    <w:top w:val="none" w:sz="0" w:space="0" w:color="auto"/>
                    <w:left w:val="none" w:sz="0" w:space="0" w:color="auto"/>
                    <w:bottom w:val="none" w:sz="0" w:space="0" w:color="auto"/>
                    <w:right w:val="none" w:sz="0" w:space="0" w:color="auto"/>
                  </w:divBdr>
                  <w:divsChild>
                    <w:div w:id="1631202439">
                      <w:marLeft w:val="0"/>
                      <w:marRight w:val="0"/>
                      <w:marTop w:val="0"/>
                      <w:marBottom w:val="0"/>
                      <w:divBdr>
                        <w:top w:val="none" w:sz="0" w:space="0" w:color="auto"/>
                        <w:left w:val="none" w:sz="0" w:space="0" w:color="auto"/>
                        <w:bottom w:val="none" w:sz="0" w:space="0" w:color="auto"/>
                        <w:right w:val="none" w:sz="0" w:space="0" w:color="auto"/>
                      </w:divBdr>
                    </w:div>
                  </w:divsChild>
                </w:div>
                <w:div w:id="1906916220">
                  <w:marLeft w:val="0"/>
                  <w:marRight w:val="0"/>
                  <w:marTop w:val="0"/>
                  <w:marBottom w:val="0"/>
                  <w:divBdr>
                    <w:top w:val="none" w:sz="0" w:space="0" w:color="auto"/>
                    <w:left w:val="none" w:sz="0" w:space="0" w:color="auto"/>
                    <w:bottom w:val="none" w:sz="0" w:space="0" w:color="auto"/>
                    <w:right w:val="none" w:sz="0" w:space="0" w:color="auto"/>
                  </w:divBdr>
                  <w:divsChild>
                    <w:div w:id="64207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591748">
          <w:marLeft w:val="0"/>
          <w:marRight w:val="0"/>
          <w:marTop w:val="0"/>
          <w:marBottom w:val="0"/>
          <w:divBdr>
            <w:top w:val="none" w:sz="0" w:space="0" w:color="auto"/>
            <w:left w:val="none" w:sz="0" w:space="0" w:color="auto"/>
            <w:bottom w:val="none" w:sz="0" w:space="0" w:color="auto"/>
            <w:right w:val="none" w:sz="0" w:space="0" w:color="auto"/>
          </w:divBdr>
        </w:div>
        <w:div w:id="670790712">
          <w:marLeft w:val="0"/>
          <w:marRight w:val="0"/>
          <w:marTop w:val="0"/>
          <w:marBottom w:val="0"/>
          <w:divBdr>
            <w:top w:val="none" w:sz="0" w:space="0" w:color="auto"/>
            <w:left w:val="none" w:sz="0" w:space="0" w:color="auto"/>
            <w:bottom w:val="none" w:sz="0" w:space="0" w:color="auto"/>
            <w:right w:val="none" w:sz="0" w:space="0" w:color="auto"/>
          </w:divBdr>
          <w:divsChild>
            <w:div w:id="63190811">
              <w:marLeft w:val="0"/>
              <w:marRight w:val="0"/>
              <w:marTop w:val="0"/>
              <w:marBottom w:val="0"/>
              <w:divBdr>
                <w:top w:val="none" w:sz="0" w:space="0" w:color="auto"/>
                <w:left w:val="none" w:sz="0" w:space="0" w:color="auto"/>
                <w:bottom w:val="none" w:sz="0" w:space="0" w:color="auto"/>
                <w:right w:val="none" w:sz="0" w:space="0" w:color="auto"/>
              </w:divBdr>
            </w:div>
            <w:div w:id="1062564524">
              <w:marLeft w:val="0"/>
              <w:marRight w:val="0"/>
              <w:marTop w:val="0"/>
              <w:marBottom w:val="0"/>
              <w:divBdr>
                <w:top w:val="none" w:sz="0" w:space="0" w:color="auto"/>
                <w:left w:val="none" w:sz="0" w:space="0" w:color="auto"/>
                <w:bottom w:val="none" w:sz="0" w:space="0" w:color="auto"/>
                <w:right w:val="none" w:sz="0" w:space="0" w:color="auto"/>
              </w:divBdr>
            </w:div>
            <w:div w:id="1135953687">
              <w:marLeft w:val="0"/>
              <w:marRight w:val="0"/>
              <w:marTop w:val="0"/>
              <w:marBottom w:val="0"/>
              <w:divBdr>
                <w:top w:val="none" w:sz="0" w:space="0" w:color="auto"/>
                <w:left w:val="none" w:sz="0" w:space="0" w:color="auto"/>
                <w:bottom w:val="none" w:sz="0" w:space="0" w:color="auto"/>
                <w:right w:val="none" w:sz="0" w:space="0" w:color="auto"/>
              </w:divBdr>
            </w:div>
            <w:div w:id="1620529981">
              <w:marLeft w:val="0"/>
              <w:marRight w:val="0"/>
              <w:marTop w:val="0"/>
              <w:marBottom w:val="0"/>
              <w:divBdr>
                <w:top w:val="none" w:sz="0" w:space="0" w:color="auto"/>
                <w:left w:val="none" w:sz="0" w:space="0" w:color="auto"/>
                <w:bottom w:val="none" w:sz="0" w:space="0" w:color="auto"/>
                <w:right w:val="none" w:sz="0" w:space="0" w:color="auto"/>
              </w:divBdr>
            </w:div>
            <w:div w:id="1900245343">
              <w:marLeft w:val="0"/>
              <w:marRight w:val="0"/>
              <w:marTop w:val="0"/>
              <w:marBottom w:val="0"/>
              <w:divBdr>
                <w:top w:val="none" w:sz="0" w:space="0" w:color="auto"/>
                <w:left w:val="none" w:sz="0" w:space="0" w:color="auto"/>
                <w:bottom w:val="none" w:sz="0" w:space="0" w:color="auto"/>
                <w:right w:val="none" w:sz="0" w:space="0" w:color="auto"/>
              </w:divBdr>
            </w:div>
          </w:divsChild>
        </w:div>
        <w:div w:id="1133718230">
          <w:marLeft w:val="0"/>
          <w:marRight w:val="0"/>
          <w:marTop w:val="0"/>
          <w:marBottom w:val="0"/>
          <w:divBdr>
            <w:top w:val="none" w:sz="0" w:space="0" w:color="auto"/>
            <w:left w:val="none" w:sz="0" w:space="0" w:color="auto"/>
            <w:bottom w:val="none" w:sz="0" w:space="0" w:color="auto"/>
            <w:right w:val="none" w:sz="0" w:space="0" w:color="auto"/>
          </w:divBdr>
        </w:div>
        <w:div w:id="1305425297">
          <w:marLeft w:val="0"/>
          <w:marRight w:val="0"/>
          <w:marTop w:val="0"/>
          <w:marBottom w:val="0"/>
          <w:divBdr>
            <w:top w:val="none" w:sz="0" w:space="0" w:color="auto"/>
            <w:left w:val="none" w:sz="0" w:space="0" w:color="auto"/>
            <w:bottom w:val="none" w:sz="0" w:space="0" w:color="auto"/>
            <w:right w:val="none" w:sz="0" w:space="0" w:color="auto"/>
          </w:divBdr>
          <w:divsChild>
            <w:div w:id="1391919598">
              <w:marLeft w:val="0"/>
              <w:marRight w:val="0"/>
              <w:marTop w:val="0"/>
              <w:marBottom w:val="0"/>
              <w:divBdr>
                <w:top w:val="none" w:sz="0" w:space="0" w:color="auto"/>
                <w:left w:val="none" w:sz="0" w:space="0" w:color="auto"/>
                <w:bottom w:val="none" w:sz="0" w:space="0" w:color="auto"/>
                <w:right w:val="none" w:sz="0" w:space="0" w:color="auto"/>
              </w:divBdr>
            </w:div>
            <w:div w:id="2111393393">
              <w:marLeft w:val="0"/>
              <w:marRight w:val="0"/>
              <w:marTop w:val="0"/>
              <w:marBottom w:val="0"/>
              <w:divBdr>
                <w:top w:val="none" w:sz="0" w:space="0" w:color="auto"/>
                <w:left w:val="none" w:sz="0" w:space="0" w:color="auto"/>
                <w:bottom w:val="none" w:sz="0" w:space="0" w:color="auto"/>
                <w:right w:val="none" w:sz="0" w:space="0" w:color="auto"/>
              </w:divBdr>
            </w:div>
            <w:div w:id="2142071374">
              <w:marLeft w:val="0"/>
              <w:marRight w:val="0"/>
              <w:marTop w:val="0"/>
              <w:marBottom w:val="0"/>
              <w:divBdr>
                <w:top w:val="none" w:sz="0" w:space="0" w:color="auto"/>
                <w:left w:val="none" w:sz="0" w:space="0" w:color="auto"/>
                <w:bottom w:val="none" w:sz="0" w:space="0" w:color="auto"/>
                <w:right w:val="none" w:sz="0" w:space="0" w:color="auto"/>
              </w:divBdr>
            </w:div>
          </w:divsChild>
        </w:div>
        <w:div w:id="1308362122">
          <w:marLeft w:val="0"/>
          <w:marRight w:val="0"/>
          <w:marTop w:val="0"/>
          <w:marBottom w:val="0"/>
          <w:divBdr>
            <w:top w:val="none" w:sz="0" w:space="0" w:color="auto"/>
            <w:left w:val="none" w:sz="0" w:space="0" w:color="auto"/>
            <w:bottom w:val="none" w:sz="0" w:space="0" w:color="auto"/>
            <w:right w:val="none" w:sz="0" w:space="0" w:color="auto"/>
          </w:divBdr>
        </w:div>
        <w:div w:id="1589266414">
          <w:marLeft w:val="0"/>
          <w:marRight w:val="0"/>
          <w:marTop w:val="0"/>
          <w:marBottom w:val="0"/>
          <w:divBdr>
            <w:top w:val="none" w:sz="0" w:space="0" w:color="auto"/>
            <w:left w:val="none" w:sz="0" w:space="0" w:color="auto"/>
            <w:bottom w:val="none" w:sz="0" w:space="0" w:color="auto"/>
            <w:right w:val="none" w:sz="0" w:space="0" w:color="auto"/>
          </w:divBdr>
        </w:div>
        <w:div w:id="2098360037">
          <w:marLeft w:val="0"/>
          <w:marRight w:val="0"/>
          <w:marTop w:val="0"/>
          <w:marBottom w:val="0"/>
          <w:divBdr>
            <w:top w:val="none" w:sz="0" w:space="0" w:color="auto"/>
            <w:left w:val="none" w:sz="0" w:space="0" w:color="auto"/>
            <w:bottom w:val="none" w:sz="0" w:space="0" w:color="auto"/>
            <w:right w:val="none" w:sz="0" w:space="0" w:color="auto"/>
          </w:divBdr>
        </w:div>
      </w:divsChild>
    </w:div>
    <w:div w:id="925505231">
      <w:bodyDiv w:val="1"/>
      <w:marLeft w:val="0"/>
      <w:marRight w:val="0"/>
      <w:marTop w:val="0"/>
      <w:marBottom w:val="0"/>
      <w:divBdr>
        <w:top w:val="none" w:sz="0" w:space="0" w:color="auto"/>
        <w:left w:val="none" w:sz="0" w:space="0" w:color="auto"/>
        <w:bottom w:val="none" w:sz="0" w:space="0" w:color="auto"/>
        <w:right w:val="none" w:sz="0" w:space="0" w:color="auto"/>
      </w:divBdr>
    </w:div>
    <w:div w:id="927956736">
      <w:bodyDiv w:val="1"/>
      <w:marLeft w:val="0"/>
      <w:marRight w:val="0"/>
      <w:marTop w:val="0"/>
      <w:marBottom w:val="0"/>
      <w:divBdr>
        <w:top w:val="none" w:sz="0" w:space="0" w:color="auto"/>
        <w:left w:val="none" w:sz="0" w:space="0" w:color="auto"/>
        <w:bottom w:val="none" w:sz="0" w:space="0" w:color="auto"/>
        <w:right w:val="none" w:sz="0" w:space="0" w:color="auto"/>
      </w:divBdr>
    </w:div>
    <w:div w:id="934442851">
      <w:bodyDiv w:val="1"/>
      <w:marLeft w:val="0"/>
      <w:marRight w:val="0"/>
      <w:marTop w:val="0"/>
      <w:marBottom w:val="0"/>
      <w:divBdr>
        <w:top w:val="none" w:sz="0" w:space="0" w:color="auto"/>
        <w:left w:val="none" w:sz="0" w:space="0" w:color="auto"/>
        <w:bottom w:val="none" w:sz="0" w:space="0" w:color="auto"/>
        <w:right w:val="none" w:sz="0" w:space="0" w:color="auto"/>
      </w:divBdr>
    </w:div>
    <w:div w:id="946810125">
      <w:bodyDiv w:val="1"/>
      <w:marLeft w:val="0"/>
      <w:marRight w:val="0"/>
      <w:marTop w:val="0"/>
      <w:marBottom w:val="0"/>
      <w:divBdr>
        <w:top w:val="none" w:sz="0" w:space="0" w:color="auto"/>
        <w:left w:val="none" w:sz="0" w:space="0" w:color="auto"/>
        <w:bottom w:val="none" w:sz="0" w:space="0" w:color="auto"/>
        <w:right w:val="none" w:sz="0" w:space="0" w:color="auto"/>
      </w:divBdr>
    </w:div>
    <w:div w:id="953025630">
      <w:bodyDiv w:val="1"/>
      <w:marLeft w:val="0"/>
      <w:marRight w:val="0"/>
      <w:marTop w:val="0"/>
      <w:marBottom w:val="0"/>
      <w:divBdr>
        <w:top w:val="none" w:sz="0" w:space="0" w:color="auto"/>
        <w:left w:val="none" w:sz="0" w:space="0" w:color="auto"/>
        <w:bottom w:val="none" w:sz="0" w:space="0" w:color="auto"/>
        <w:right w:val="none" w:sz="0" w:space="0" w:color="auto"/>
      </w:divBdr>
    </w:div>
    <w:div w:id="953705378">
      <w:bodyDiv w:val="1"/>
      <w:marLeft w:val="0"/>
      <w:marRight w:val="0"/>
      <w:marTop w:val="0"/>
      <w:marBottom w:val="0"/>
      <w:divBdr>
        <w:top w:val="none" w:sz="0" w:space="0" w:color="auto"/>
        <w:left w:val="none" w:sz="0" w:space="0" w:color="auto"/>
        <w:bottom w:val="none" w:sz="0" w:space="0" w:color="auto"/>
        <w:right w:val="none" w:sz="0" w:space="0" w:color="auto"/>
      </w:divBdr>
      <w:divsChild>
        <w:div w:id="186145662">
          <w:marLeft w:val="0"/>
          <w:marRight w:val="0"/>
          <w:marTop w:val="0"/>
          <w:marBottom w:val="0"/>
          <w:divBdr>
            <w:top w:val="none" w:sz="0" w:space="0" w:color="auto"/>
            <w:left w:val="none" w:sz="0" w:space="0" w:color="auto"/>
            <w:bottom w:val="none" w:sz="0" w:space="0" w:color="auto"/>
            <w:right w:val="none" w:sz="0" w:space="0" w:color="auto"/>
          </w:divBdr>
          <w:divsChild>
            <w:div w:id="2033727505">
              <w:marLeft w:val="0"/>
              <w:marRight w:val="0"/>
              <w:marTop w:val="0"/>
              <w:marBottom w:val="0"/>
              <w:divBdr>
                <w:top w:val="none" w:sz="0" w:space="0" w:color="auto"/>
                <w:left w:val="none" w:sz="0" w:space="0" w:color="auto"/>
                <w:bottom w:val="none" w:sz="0" w:space="0" w:color="auto"/>
                <w:right w:val="none" w:sz="0" w:space="0" w:color="auto"/>
              </w:divBdr>
            </w:div>
          </w:divsChild>
        </w:div>
        <w:div w:id="489180747">
          <w:marLeft w:val="0"/>
          <w:marRight w:val="0"/>
          <w:marTop w:val="0"/>
          <w:marBottom w:val="0"/>
          <w:divBdr>
            <w:top w:val="none" w:sz="0" w:space="0" w:color="auto"/>
            <w:left w:val="none" w:sz="0" w:space="0" w:color="auto"/>
            <w:bottom w:val="none" w:sz="0" w:space="0" w:color="auto"/>
            <w:right w:val="none" w:sz="0" w:space="0" w:color="auto"/>
          </w:divBdr>
          <w:divsChild>
            <w:div w:id="1300570742">
              <w:marLeft w:val="0"/>
              <w:marRight w:val="0"/>
              <w:marTop w:val="0"/>
              <w:marBottom w:val="0"/>
              <w:divBdr>
                <w:top w:val="none" w:sz="0" w:space="0" w:color="auto"/>
                <w:left w:val="none" w:sz="0" w:space="0" w:color="auto"/>
                <w:bottom w:val="none" w:sz="0" w:space="0" w:color="auto"/>
                <w:right w:val="none" w:sz="0" w:space="0" w:color="auto"/>
              </w:divBdr>
            </w:div>
          </w:divsChild>
        </w:div>
        <w:div w:id="537008088">
          <w:marLeft w:val="0"/>
          <w:marRight w:val="0"/>
          <w:marTop w:val="0"/>
          <w:marBottom w:val="0"/>
          <w:divBdr>
            <w:top w:val="none" w:sz="0" w:space="0" w:color="auto"/>
            <w:left w:val="none" w:sz="0" w:space="0" w:color="auto"/>
            <w:bottom w:val="none" w:sz="0" w:space="0" w:color="auto"/>
            <w:right w:val="none" w:sz="0" w:space="0" w:color="auto"/>
          </w:divBdr>
          <w:divsChild>
            <w:div w:id="98912966">
              <w:marLeft w:val="0"/>
              <w:marRight w:val="0"/>
              <w:marTop w:val="0"/>
              <w:marBottom w:val="0"/>
              <w:divBdr>
                <w:top w:val="none" w:sz="0" w:space="0" w:color="auto"/>
                <w:left w:val="none" w:sz="0" w:space="0" w:color="auto"/>
                <w:bottom w:val="none" w:sz="0" w:space="0" w:color="auto"/>
                <w:right w:val="none" w:sz="0" w:space="0" w:color="auto"/>
              </w:divBdr>
            </w:div>
          </w:divsChild>
        </w:div>
        <w:div w:id="560361196">
          <w:marLeft w:val="0"/>
          <w:marRight w:val="0"/>
          <w:marTop w:val="0"/>
          <w:marBottom w:val="0"/>
          <w:divBdr>
            <w:top w:val="none" w:sz="0" w:space="0" w:color="auto"/>
            <w:left w:val="none" w:sz="0" w:space="0" w:color="auto"/>
            <w:bottom w:val="none" w:sz="0" w:space="0" w:color="auto"/>
            <w:right w:val="none" w:sz="0" w:space="0" w:color="auto"/>
          </w:divBdr>
          <w:divsChild>
            <w:div w:id="1883708015">
              <w:marLeft w:val="0"/>
              <w:marRight w:val="0"/>
              <w:marTop w:val="0"/>
              <w:marBottom w:val="0"/>
              <w:divBdr>
                <w:top w:val="none" w:sz="0" w:space="0" w:color="auto"/>
                <w:left w:val="none" w:sz="0" w:space="0" w:color="auto"/>
                <w:bottom w:val="none" w:sz="0" w:space="0" w:color="auto"/>
                <w:right w:val="none" w:sz="0" w:space="0" w:color="auto"/>
              </w:divBdr>
            </w:div>
          </w:divsChild>
        </w:div>
        <w:div w:id="707148552">
          <w:marLeft w:val="0"/>
          <w:marRight w:val="0"/>
          <w:marTop w:val="0"/>
          <w:marBottom w:val="0"/>
          <w:divBdr>
            <w:top w:val="none" w:sz="0" w:space="0" w:color="auto"/>
            <w:left w:val="none" w:sz="0" w:space="0" w:color="auto"/>
            <w:bottom w:val="none" w:sz="0" w:space="0" w:color="auto"/>
            <w:right w:val="none" w:sz="0" w:space="0" w:color="auto"/>
          </w:divBdr>
          <w:divsChild>
            <w:div w:id="1009524943">
              <w:marLeft w:val="0"/>
              <w:marRight w:val="0"/>
              <w:marTop w:val="0"/>
              <w:marBottom w:val="0"/>
              <w:divBdr>
                <w:top w:val="none" w:sz="0" w:space="0" w:color="auto"/>
                <w:left w:val="none" w:sz="0" w:space="0" w:color="auto"/>
                <w:bottom w:val="none" w:sz="0" w:space="0" w:color="auto"/>
                <w:right w:val="none" w:sz="0" w:space="0" w:color="auto"/>
              </w:divBdr>
            </w:div>
          </w:divsChild>
        </w:div>
        <w:div w:id="791366833">
          <w:marLeft w:val="0"/>
          <w:marRight w:val="0"/>
          <w:marTop w:val="0"/>
          <w:marBottom w:val="0"/>
          <w:divBdr>
            <w:top w:val="none" w:sz="0" w:space="0" w:color="auto"/>
            <w:left w:val="none" w:sz="0" w:space="0" w:color="auto"/>
            <w:bottom w:val="none" w:sz="0" w:space="0" w:color="auto"/>
            <w:right w:val="none" w:sz="0" w:space="0" w:color="auto"/>
          </w:divBdr>
          <w:divsChild>
            <w:div w:id="1874146539">
              <w:marLeft w:val="0"/>
              <w:marRight w:val="0"/>
              <w:marTop w:val="0"/>
              <w:marBottom w:val="0"/>
              <w:divBdr>
                <w:top w:val="none" w:sz="0" w:space="0" w:color="auto"/>
                <w:left w:val="none" w:sz="0" w:space="0" w:color="auto"/>
                <w:bottom w:val="none" w:sz="0" w:space="0" w:color="auto"/>
                <w:right w:val="none" w:sz="0" w:space="0" w:color="auto"/>
              </w:divBdr>
            </w:div>
          </w:divsChild>
        </w:div>
        <w:div w:id="943465778">
          <w:marLeft w:val="0"/>
          <w:marRight w:val="0"/>
          <w:marTop w:val="0"/>
          <w:marBottom w:val="0"/>
          <w:divBdr>
            <w:top w:val="none" w:sz="0" w:space="0" w:color="auto"/>
            <w:left w:val="none" w:sz="0" w:space="0" w:color="auto"/>
            <w:bottom w:val="none" w:sz="0" w:space="0" w:color="auto"/>
            <w:right w:val="none" w:sz="0" w:space="0" w:color="auto"/>
          </w:divBdr>
          <w:divsChild>
            <w:div w:id="1274478817">
              <w:marLeft w:val="0"/>
              <w:marRight w:val="0"/>
              <w:marTop w:val="0"/>
              <w:marBottom w:val="0"/>
              <w:divBdr>
                <w:top w:val="none" w:sz="0" w:space="0" w:color="auto"/>
                <w:left w:val="none" w:sz="0" w:space="0" w:color="auto"/>
                <w:bottom w:val="none" w:sz="0" w:space="0" w:color="auto"/>
                <w:right w:val="none" w:sz="0" w:space="0" w:color="auto"/>
              </w:divBdr>
            </w:div>
          </w:divsChild>
        </w:div>
        <w:div w:id="996614275">
          <w:marLeft w:val="0"/>
          <w:marRight w:val="0"/>
          <w:marTop w:val="0"/>
          <w:marBottom w:val="0"/>
          <w:divBdr>
            <w:top w:val="none" w:sz="0" w:space="0" w:color="auto"/>
            <w:left w:val="none" w:sz="0" w:space="0" w:color="auto"/>
            <w:bottom w:val="none" w:sz="0" w:space="0" w:color="auto"/>
            <w:right w:val="none" w:sz="0" w:space="0" w:color="auto"/>
          </w:divBdr>
          <w:divsChild>
            <w:div w:id="840049881">
              <w:marLeft w:val="0"/>
              <w:marRight w:val="0"/>
              <w:marTop w:val="0"/>
              <w:marBottom w:val="0"/>
              <w:divBdr>
                <w:top w:val="none" w:sz="0" w:space="0" w:color="auto"/>
                <w:left w:val="none" w:sz="0" w:space="0" w:color="auto"/>
                <w:bottom w:val="none" w:sz="0" w:space="0" w:color="auto"/>
                <w:right w:val="none" w:sz="0" w:space="0" w:color="auto"/>
              </w:divBdr>
            </w:div>
          </w:divsChild>
        </w:div>
        <w:div w:id="1025982109">
          <w:marLeft w:val="0"/>
          <w:marRight w:val="0"/>
          <w:marTop w:val="0"/>
          <w:marBottom w:val="0"/>
          <w:divBdr>
            <w:top w:val="none" w:sz="0" w:space="0" w:color="auto"/>
            <w:left w:val="none" w:sz="0" w:space="0" w:color="auto"/>
            <w:bottom w:val="none" w:sz="0" w:space="0" w:color="auto"/>
            <w:right w:val="none" w:sz="0" w:space="0" w:color="auto"/>
          </w:divBdr>
          <w:divsChild>
            <w:div w:id="1739553599">
              <w:marLeft w:val="0"/>
              <w:marRight w:val="0"/>
              <w:marTop w:val="0"/>
              <w:marBottom w:val="0"/>
              <w:divBdr>
                <w:top w:val="none" w:sz="0" w:space="0" w:color="auto"/>
                <w:left w:val="none" w:sz="0" w:space="0" w:color="auto"/>
                <w:bottom w:val="none" w:sz="0" w:space="0" w:color="auto"/>
                <w:right w:val="none" w:sz="0" w:space="0" w:color="auto"/>
              </w:divBdr>
            </w:div>
          </w:divsChild>
        </w:div>
        <w:div w:id="1121533696">
          <w:marLeft w:val="0"/>
          <w:marRight w:val="0"/>
          <w:marTop w:val="0"/>
          <w:marBottom w:val="0"/>
          <w:divBdr>
            <w:top w:val="none" w:sz="0" w:space="0" w:color="auto"/>
            <w:left w:val="none" w:sz="0" w:space="0" w:color="auto"/>
            <w:bottom w:val="none" w:sz="0" w:space="0" w:color="auto"/>
            <w:right w:val="none" w:sz="0" w:space="0" w:color="auto"/>
          </w:divBdr>
          <w:divsChild>
            <w:div w:id="1440877687">
              <w:marLeft w:val="0"/>
              <w:marRight w:val="0"/>
              <w:marTop w:val="0"/>
              <w:marBottom w:val="0"/>
              <w:divBdr>
                <w:top w:val="none" w:sz="0" w:space="0" w:color="auto"/>
                <w:left w:val="none" w:sz="0" w:space="0" w:color="auto"/>
                <w:bottom w:val="none" w:sz="0" w:space="0" w:color="auto"/>
                <w:right w:val="none" w:sz="0" w:space="0" w:color="auto"/>
              </w:divBdr>
            </w:div>
          </w:divsChild>
        </w:div>
        <w:div w:id="1247568801">
          <w:marLeft w:val="0"/>
          <w:marRight w:val="0"/>
          <w:marTop w:val="0"/>
          <w:marBottom w:val="0"/>
          <w:divBdr>
            <w:top w:val="none" w:sz="0" w:space="0" w:color="auto"/>
            <w:left w:val="none" w:sz="0" w:space="0" w:color="auto"/>
            <w:bottom w:val="none" w:sz="0" w:space="0" w:color="auto"/>
            <w:right w:val="none" w:sz="0" w:space="0" w:color="auto"/>
          </w:divBdr>
          <w:divsChild>
            <w:div w:id="1855147576">
              <w:marLeft w:val="0"/>
              <w:marRight w:val="0"/>
              <w:marTop w:val="0"/>
              <w:marBottom w:val="0"/>
              <w:divBdr>
                <w:top w:val="none" w:sz="0" w:space="0" w:color="auto"/>
                <w:left w:val="none" w:sz="0" w:space="0" w:color="auto"/>
                <w:bottom w:val="none" w:sz="0" w:space="0" w:color="auto"/>
                <w:right w:val="none" w:sz="0" w:space="0" w:color="auto"/>
              </w:divBdr>
            </w:div>
          </w:divsChild>
        </w:div>
        <w:div w:id="1313295954">
          <w:marLeft w:val="0"/>
          <w:marRight w:val="0"/>
          <w:marTop w:val="0"/>
          <w:marBottom w:val="0"/>
          <w:divBdr>
            <w:top w:val="none" w:sz="0" w:space="0" w:color="auto"/>
            <w:left w:val="none" w:sz="0" w:space="0" w:color="auto"/>
            <w:bottom w:val="none" w:sz="0" w:space="0" w:color="auto"/>
            <w:right w:val="none" w:sz="0" w:space="0" w:color="auto"/>
          </w:divBdr>
          <w:divsChild>
            <w:div w:id="1547378729">
              <w:marLeft w:val="0"/>
              <w:marRight w:val="0"/>
              <w:marTop w:val="0"/>
              <w:marBottom w:val="0"/>
              <w:divBdr>
                <w:top w:val="none" w:sz="0" w:space="0" w:color="auto"/>
                <w:left w:val="none" w:sz="0" w:space="0" w:color="auto"/>
                <w:bottom w:val="none" w:sz="0" w:space="0" w:color="auto"/>
                <w:right w:val="none" w:sz="0" w:space="0" w:color="auto"/>
              </w:divBdr>
            </w:div>
          </w:divsChild>
        </w:div>
        <w:div w:id="1316182148">
          <w:marLeft w:val="0"/>
          <w:marRight w:val="0"/>
          <w:marTop w:val="0"/>
          <w:marBottom w:val="0"/>
          <w:divBdr>
            <w:top w:val="none" w:sz="0" w:space="0" w:color="auto"/>
            <w:left w:val="none" w:sz="0" w:space="0" w:color="auto"/>
            <w:bottom w:val="none" w:sz="0" w:space="0" w:color="auto"/>
            <w:right w:val="none" w:sz="0" w:space="0" w:color="auto"/>
          </w:divBdr>
          <w:divsChild>
            <w:div w:id="1642078292">
              <w:marLeft w:val="0"/>
              <w:marRight w:val="0"/>
              <w:marTop w:val="0"/>
              <w:marBottom w:val="0"/>
              <w:divBdr>
                <w:top w:val="none" w:sz="0" w:space="0" w:color="auto"/>
                <w:left w:val="none" w:sz="0" w:space="0" w:color="auto"/>
                <w:bottom w:val="none" w:sz="0" w:space="0" w:color="auto"/>
                <w:right w:val="none" w:sz="0" w:space="0" w:color="auto"/>
              </w:divBdr>
            </w:div>
          </w:divsChild>
        </w:div>
        <w:div w:id="1395198816">
          <w:marLeft w:val="0"/>
          <w:marRight w:val="0"/>
          <w:marTop w:val="0"/>
          <w:marBottom w:val="0"/>
          <w:divBdr>
            <w:top w:val="none" w:sz="0" w:space="0" w:color="auto"/>
            <w:left w:val="none" w:sz="0" w:space="0" w:color="auto"/>
            <w:bottom w:val="none" w:sz="0" w:space="0" w:color="auto"/>
            <w:right w:val="none" w:sz="0" w:space="0" w:color="auto"/>
          </w:divBdr>
          <w:divsChild>
            <w:div w:id="1190559261">
              <w:marLeft w:val="0"/>
              <w:marRight w:val="0"/>
              <w:marTop w:val="0"/>
              <w:marBottom w:val="0"/>
              <w:divBdr>
                <w:top w:val="none" w:sz="0" w:space="0" w:color="auto"/>
                <w:left w:val="none" w:sz="0" w:space="0" w:color="auto"/>
                <w:bottom w:val="none" w:sz="0" w:space="0" w:color="auto"/>
                <w:right w:val="none" w:sz="0" w:space="0" w:color="auto"/>
              </w:divBdr>
            </w:div>
          </w:divsChild>
        </w:div>
        <w:div w:id="1514222501">
          <w:marLeft w:val="0"/>
          <w:marRight w:val="0"/>
          <w:marTop w:val="0"/>
          <w:marBottom w:val="0"/>
          <w:divBdr>
            <w:top w:val="none" w:sz="0" w:space="0" w:color="auto"/>
            <w:left w:val="none" w:sz="0" w:space="0" w:color="auto"/>
            <w:bottom w:val="none" w:sz="0" w:space="0" w:color="auto"/>
            <w:right w:val="none" w:sz="0" w:space="0" w:color="auto"/>
          </w:divBdr>
          <w:divsChild>
            <w:div w:id="1359549420">
              <w:marLeft w:val="0"/>
              <w:marRight w:val="0"/>
              <w:marTop w:val="0"/>
              <w:marBottom w:val="0"/>
              <w:divBdr>
                <w:top w:val="none" w:sz="0" w:space="0" w:color="auto"/>
                <w:left w:val="none" w:sz="0" w:space="0" w:color="auto"/>
                <w:bottom w:val="none" w:sz="0" w:space="0" w:color="auto"/>
                <w:right w:val="none" w:sz="0" w:space="0" w:color="auto"/>
              </w:divBdr>
            </w:div>
          </w:divsChild>
        </w:div>
        <w:div w:id="1539006313">
          <w:marLeft w:val="0"/>
          <w:marRight w:val="0"/>
          <w:marTop w:val="0"/>
          <w:marBottom w:val="0"/>
          <w:divBdr>
            <w:top w:val="none" w:sz="0" w:space="0" w:color="auto"/>
            <w:left w:val="none" w:sz="0" w:space="0" w:color="auto"/>
            <w:bottom w:val="none" w:sz="0" w:space="0" w:color="auto"/>
            <w:right w:val="none" w:sz="0" w:space="0" w:color="auto"/>
          </w:divBdr>
          <w:divsChild>
            <w:div w:id="866255854">
              <w:marLeft w:val="0"/>
              <w:marRight w:val="0"/>
              <w:marTop w:val="0"/>
              <w:marBottom w:val="0"/>
              <w:divBdr>
                <w:top w:val="none" w:sz="0" w:space="0" w:color="auto"/>
                <w:left w:val="none" w:sz="0" w:space="0" w:color="auto"/>
                <w:bottom w:val="none" w:sz="0" w:space="0" w:color="auto"/>
                <w:right w:val="none" w:sz="0" w:space="0" w:color="auto"/>
              </w:divBdr>
            </w:div>
          </w:divsChild>
        </w:div>
        <w:div w:id="1852912766">
          <w:marLeft w:val="0"/>
          <w:marRight w:val="0"/>
          <w:marTop w:val="0"/>
          <w:marBottom w:val="0"/>
          <w:divBdr>
            <w:top w:val="none" w:sz="0" w:space="0" w:color="auto"/>
            <w:left w:val="none" w:sz="0" w:space="0" w:color="auto"/>
            <w:bottom w:val="none" w:sz="0" w:space="0" w:color="auto"/>
            <w:right w:val="none" w:sz="0" w:space="0" w:color="auto"/>
          </w:divBdr>
          <w:divsChild>
            <w:div w:id="331565427">
              <w:marLeft w:val="0"/>
              <w:marRight w:val="0"/>
              <w:marTop w:val="0"/>
              <w:marBottom w:val="0"/>
              <w:divBdr>
                <w:top w:val="none" w:sz="0" w:space="0" w:color="auto"/>
                <w:left w:val="none" w:sz="0" w:space="0" w:color="auto"/>
                <w:bottom w:val="none" w:sz="0" w:space="0" w:color="auto"/>
                <w:right w:val="none" w:sz="0" w:space="0" w:color="auto"/>
              </w:divBdr>
            </w:div>
          </w:divsChild>
        </w:div>
        <w:div w:id="1857647002">
          <w:marLeft w:val="0"/>
          <w:marRight w:val="0"/>
          <w:marTop w:val="0"/>
          <w:marBottom w:val="0"/>
          <w:divBdr>
            <w:top w:val="none" w:sz="0" w:space="0" w:color="auto"/>
            <w:left w:val="none" w:sz="0" w:space="0" w:color="auto"/>
            <w:bottom w:val="none" w:sz="0" w:space="0" w:color="auto"/>
            <w:right w:val="none" w:sz="0" w:space="0" w:color="auto"/>
          </w:divBdr>
          <w:divsChild>
            <w:div w:id="1016612862">
              <w:marLeft w:val="0"/>
              <w:marRight w:val="0"/>
              <w:marTop w:val="0"/>
              <w:marBottom w:val="0"/>
              <w:divBdr>
                <w:top w:val="none" w:sz="0" w:space="0" w:color="auto"/>
                <w:left w:val="none" w:sz="0" w:space="0" w:color="auto"/>
                <w:bottom w:val="none" w:sz="0" w:space="0" w:color="auto"/>
                <w:right w:val="none" w:sz="0" w:space="0" w:color="auto"/>
              </w:divBdr>
            </w:div>
          </w:divsChild>
        </w:div>
        <w:div w:id="1890652333">
          <w:marLeft w:val="0"/>
          <w:marRight w:val="0"/>
          <w:marTop w:val="0"/>
          <w:marBottom w:val="0"/>
          <w:divBdr>
            <w:top w:val="none" w:sz="0" w:space="0" w:color="auto"/>
            <w:left w:val="none" w:sz="0" w:space="0" w:color="auto"/>
            <w:bottom w:val="none" w:sz="0" w:space="0" w:color="auto"/>
            <w:right w:val="none" w:sz="0" w:space="0" w:color="auto"/>
          </w:divBdr>
          <w:divsChild>
            <w:div w:id="1698696042">
              <w:marLeft w:val="0"/>
              <w:marRight w:val="0"/>
              <w:marTop w:val="0"/>
              <w:marBottom w:val="0"/>
              <w:divBdr>
                <w:top w:val="none" w:sz="0" w:space="0" w:color="auto"/>
                <w:left w:val="none" w:sz="0" w:space="0" w:color="auto"/>
                <w:bottom w:val="none" w:sz="0" w:space="0" w:color="auto"/>
                <w:right w:val="none" w:sz="0" w:space="0" w:color="auto"/>
              </w:divBdr>
            </w:div>
          </w:divsChild>
        </w:div>
        <w:div w:id="1962565717">
          <w:marLeft w:val="0"/>
          <w:marRight w:val="0"/>
          <w:marTop w:val="0"/>
          <w:marBottom w:val="0"/>
          <w:divBdr>
            <w:top w:val="none" w:sz="0" w:space="0" w:color="auto"/>
            <w:left w:val="none" w:sz="0" w:space="0" w:color="auto"/>
            <w:bottom w:val="none" w:sz="0" w:space="0" w:color="auto"/>
            <w:right w:val="none" w:sz="0" w:space="0" w:color="auto"/>
          </w:divBdr>
          <w:divsChild>
            <w:div w:id="756900060">
              <w:marLeft w:val="0"/>
              <w:marRight w:val="0"/>
              <w:marTop w:val="0"/>
              <w:marBottom w:val="0"/>
              <w:divBdr>
                <w:top w:val="none" w:sz="0" w:space="0" w:color="auto"/>
                <w:left w:val="none" w:sz="0" w:space="0" w:color="auto"/>
                <w:bottom w:val="none" w:sz="0" w:space="0" w:color="auto"/>
                <w:right w:val="none" w:sz="0" w:space="0" w:color="auto"/>
              </w:divBdr>
            </w:div>
          </w:divsChild>
        </w:div>
        <w:div w:id="2018380026">
          <w:marLeft w:val="0"/>
          <w:marRight w:val="0"/>
          <w:marTop w:val="0"/>
          <w:marBottom w:val="0"/>
          <w:divBdr>
            <w:top w:val="none" w:sz="0" w:space="0" w:color="auto"/>
            <w:left w:val="none" w:sz="0" w:space="0" w:color="auto"/>
            <w:bottom w:val="none" w:sz="0" w:space="0" w:color="auto"/>
            <w:right w:val="none" w:sz="0" w:space="0" w:color="auto"/>
          </w:divBdr>
          <w:divsChild>
            <w:div w:id="128970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070126">
      <w:bodyDiv w:val="1"/>
      <w:marLeft w:val="0"/>
      <w:marRight w:val="0"/>
      <w:marTop w:val="0"/>
      <w:marBottom w:val="0"/>
      <w:divBdr>
        <w:top w:val="none" w:sz="0" w:space="0" w:color="auto"/>
        <w:left w:val="none" w:sz="0" w:space="0" w:color="auto"/>
        <w:bottom w:val="none" w:sz="0" w:space="0" w:color="auto"/>
        <w:right w:val="none" w:sz="0" w:space="0" w:color="auto"/>
      </w:divBdr>
    </w:div>
    <w:div w:id="1066222041">
      <w:bodyDiv w:val="1"/>
      <w:marLeft w:val="0"/>
      <w:marRight w:val="0"/>
      <w:marTop w:val="0"/>
      <w:marBottom w:val="0"/>
      <w:divBdr>
        <w:top w:val="none" w:sz="0" w:space="0" w:color="auto"/>
        <w:left w:val="none" w:sz="0" w:space="0" w:color="auto"/>
        <w:bottom w:val="none" w:sz="0" w:space="0" w:color="auto"/>
        <w:right w:val="none" w:sz="0" w:space="0" w:color="auto"/>
      </w:divBdr>
    </w:div>
    <w:div w:id="1078013367">
      <w:bodyDiv w:val="1"/>
      <w:marLeft w:val="0"/>
      <w:marRight w:val="0"/>
      <w:marTop w:val="0"/>
      <w:marBottom w:val="0"/>
      <w:divBdr>
        <w:top w:val="none" w:sz="0" w:space="0" w:color="auto"/>
        <w:left w:val="none" w:sz="0" w:space="0" w:color="auto"/>
        <w:bottom w:val="none" w:sz="0" w:space="0" w:color="auto"/>
        <w:right w:val="none" w:sz="0" w:space="0" w:color="auto"/>
      </w:divBdr>
    </w:div>
    <w:div w:id="1105344155">
      <w:bodyDiv w:val="1"/>
      <w:marLeft w:val="0"/>
      <w:marRight w:val="0"/>
      <w:marTop w:val="0"/>
      <w:marBottom w:val="0"/>
      <w:divBdr>
        <w:top w:val="none" w:sz="0" w:space="0" w:color="auto"/>
        <w:left w:val="none" w:sz="0" w:space="0" w:color="auto"/>
        <w:bottom w:val="none" w:sz="0" w:space="0" w:color="auto"/>
        <w:right w:val="none" w:sz="0" w:space="0" w:color="auto"/>
      </w:divBdr>
    </w:div>
    <w:div w:id="1134837400">
      <w:bodyDiv w:val="1"/>
      <w:marLeft w:val="0"/>
      <w:marRight w:val="0"/>
      <w:marTop w:val="0"/>
      <w:marBottom w:val="0"/>
      <w:divBdr>
        <w:top w:val="none" w:sz="0" w:space="0" w:color="auto"/>
        <w:left w:val="none" w:sz="0" w:space="0" w:color="auto"/>
        <w:bottom w:val="none" w:sz="0" w:space="0" w:color="auto"/>
        <w:right w:val="none" w:sz="0" w:space="0" w:color="auto"/>
      </w:divBdr>
    </w:div>
    <w:div w:id="1141312020">
      <w:bodyDiv w:val="1"/>
      <w:marLeft w:val="0"/>
      <w:marRight w:val="0"/>
      <w:marTop w:val="0"/>
      <w:marBottom w:val="0"/>
      <w:divBdr>
        <w:top w:val="none" w:sz="0" w:space="0" w:color="auto"/>
        <w:left w:val="none" w:sz="0" w:space="0" w:color="auto"/>
        <w:bottom w:val="none" w:sz="0" w:space="0" w:color="auto"/>
        <w:right w:val="none" w:sz="0" w:space="0" w:color="auto"/>
      </w:divBdr>
    </w:div>
    <w:div w:id="1144392781">
      <w:bodyDiv w:val="1"/>
      <w:marLeft w:val="0"/>
      <w:marRight w:val="0"/>
      <w:marTop w:val="0"/>
      <w:marBottom w:val="0"/>
      <w:divBdr>
        <w:top w:val="none" w:sz="0" w:space="0" w:color="auto"/>
        <w:left w:val="none" w:sz="0" w:space="0" w:color="auto"/>
        <w:bottom w:val="none" w:sz="0" w:space="0" w:color="auto"/>
        <w:right w:val="none" w:sz="0" w:space="0" w:color="auto"/>
      </w:divBdr>
      <w:divsChild>
        <w:div w:id="880096171">
          <w:marLeft w:val="0"/>
          <w:marRight w:val="0"/>
          <w:marTop w:val="0"/>
          <w:marBottom w:val="0"/>
          <w:divBdr>
            <w:top w:val="none" w:sz="0" w:space="0" w:color="auto"/>
            <w:left w:val="none" w:sz="0" w:space="0" w:color="auto"/>
            <w:bottom w:val="none" w:sz="0" w:space="0" w:color="auto"/>
            <w:right w:val="none" w:sz="0" w:space="0" w:color="auto"/>
          </w:divBdr>
        </w:div>
      </w:divsChild>
    </w:div>
    <w:div w:id="1170096276">
      <w:bodyDiv w:val="1"/>
      <w:marLeft w:val="0"/>
      <w:marRight w:val="0"/>
      <w:marTop w:val="0"/>
      <w:marBottom w:val="0"/>
      <w:divBdr>
        <w:top w:val="none" w:sz="0" w:space="0" w:color="auto"/>
        <w:left w:val="none" w:sz="0" w:space="0" w:color="auto"/>
        <w:bottom w:val="none" w:sz="0" w:space="0" w:color="auto"/>
        <w:right w:val="none" w:sz="0" w:space="0" w:color="auto"/>
      </w:divBdr>
    </w:div>
    <w:div w:id="1200509575">
      <w:bodyDiv w:val="1"/>
      <w:marLeft w:val="0"/>
      <w:marRight w:val="0"/>
      <w:marTop w:val="0"/>
      <w:marBottom w:val="0"/>
      <w:divBdr>
        <w:top w:val="none" w:sz="0" w:space="0" w:color="auto"/>
        <w:left w:val="none" w:sz="0" w:space="0" w:color="auto"/>
        <w:bottom w:val="none" w:sz="0" w:space="0" w:color="auto"/>
        <w:right w:val="none" w:sz="0" w:space="0" w:color="auto"/>
      </w:divBdr>
      <w:divsChild>
        <w:div w:id="1870294075">
          <w:marLeft w:val="0"/>
          <w:marRight w:val="0"/>
          <w:marTop w:val="0"/>
          <w:marBottom w:val="0"/>
          <w:divBdr>
            <w:top w:val="none" w:sz="0" w:space="0" w:color="auto"/>
            <w:left w:val="none" w:sz="0" w:space="0" w:color="auto"/>
            <w:bottom w:val="none" w:sz="0" w:space="0" w:color="auto"/>
            <w:right w:val="none" w:sz="0" w:space="0" w:color="auto"/>
          </w:divBdr>
        </w:div>
      </w:divsChild>
    </w:div>
    <w:div w:id="1250116426">
      <w:bodyDiv w:val="1"/>
      <w:marLeft w:val="0"/>
      <w:marRight w:val="0"/>
      <w:marTop w:val="0"/>
      <w:marBottom w:val="0"/>
      <w:divBdr>
        <w:top w:val="none" w:sz="0" w:space="0" w:color="auto"/>
        <w:left w:val="none" w:sz="0" w:space="0" w:color="auto"/>
        <w:bottom w:val="none" w:sz="0" w:space="0" w:color="auto"/>
        <w:right w:val="none" w:sz="0" w:space="0" w:color="auto"/>
      </w:divBdr>
      <w:divsChild>
        <w:div w:id="1321157338">
          <w:marLeft w:val="547"/>
          <w:marRight w:val="0"/>
          <w:marTop w:val="120"/>
          <w:marBottom w:val="120"/>
          <w:divBdr>
            <w:top w:val="none" w:sz="0" w:space="0" w:color="auto"/>
            <w:left w:val="none" w:sz="0" w:space="0" w:color="auto"/>
            <w:bottom w:val="none" w:sz="0" w:space="0" w:color="auto"/>
            <w:right w:val="none" w:sz="0" w:space="0" w:color="auto"/>
          </w:divBdr>
        </w:div>
      </w:divsChild>
    </w:div>
    <w:div w:id="1267692252">
      <w:bodyDiv w:val="1"/>
      <w:marLeft w:val="0"/>
      <w:marRight w:val="0"/>
      <w:marTop w:val="0"/>
      <w:marBottom w:val="0"/>
      <w:divBdr>
        <w:top w:val="none" w:sz="0" w:space="0" w:color="auto"/>
        <w:left w:val="none" w:sz="0" w:space="0" w:color="auto"/>
        <w:bottom w:val="none" w:sz="0" w:space="0" w:color="auto"/>
        <w:right w:val="none" w:sz="0" w:space="0" w:color="auto"/>
      </w:divBdr>
    </w:div>
    <w:div w:id="1304119346">
      <w:bodyDiv w:val="1"/>
      <w:marLeft w:val="0"/>
      <w:marRight w:val="0"/>
      <w:marTop w:val="0"/>
      <w:marBottom w:val="0"/>
      <w:divBdr>
        <w:top w:val="none" w:sz="0" w:space="0" w:color="auto"/>
        <w:left w:val="none" w:sz="0" w:space="0" w:color="auto"/>
        <w:bottom w:val="none" w:sz="0" w:space="0" w:color="auto"/>
        <w:right w:val="none" w:sz="0" w:space="0" w:color="auto"/>
      </w:divBdr>
      <w:divsChild>
        <w:div w:id="554043851">
          <w:marLeft w:val="547"/>
          <w:marRight w:val="0"/>
          <w:marTop w:val="120"/>
          <w:marBottom w:val="120"/>
          <w:divBdr>
            <w:top w:val="none" w:sz="0" w:space="0" w:color="auto"/>
            <w:left w:val="none" w:sz="0" w:space="0" w:color="auto"/>
            <w:bottom w:val="none" w:sz="0" w:space="0" w:color="auto"/>
            <w:right w:val="none" w:sz="0" w:space="0" w:color="auto"/>
          </w:divBdr>
        </w:div>
      </w:divsChild>
    </w:div>
    <w:div w:id="1328171299">
      <w:bodyDiv w:val="1"/>
      <w:marLeft w:val="0"/>
      <w:marRight w:val="0"/>
      <w:marTop w:val="0"/>
      <w:marBottom w:val="0"/>
      <w:divBdr>
        <w:top w:val="none" w:sz="0" w:space="0" w:color="auto"/>
        <w:left w:val="none" w:sz="0" w:space="0" w:color="auto"/>
        <w:bottom w:val="none" w:sz="0" w:space="0" w:color="auto"/>
        <w:right w:val="none" w:sz="0" w:space="0" w:color="auto"/>
      </w:divBdr>
    </w:div>
    <w:div w:id="1337922669">
      <w:bodyDiv w:val="1"/>
      <w:marLeft w:val="0"/>
      <w:marRight w:val="0"/>
      <w:marTop w:val="0"/>
      <w:marBottom w:val="0"/>
      <w:divBdr>
        <w:top w:val="none" w:sz="0" w:space="0" w:color="auto"/>
        <w:left w:val="none" w:sz="0" w:space="0" w:color="auto"/>
        <w:bottom w:val="none" w:sz="0" w:space="0" w:color="auto"/>
        <w:right w:val="none" w:sz="0" w:space="0" w:color="auto"/>
      </w:divBdr>
    </w:div>
    <w:div w:id="1343704665">
      <w:bodyDiv w:val="1"/>
      <w:marLeft w:val="0"/>
      <w:marRight w:val="0"/>
      <w:marTop w:val="0"/>
      <w:marBottom w:val="0"/>
      <w:divBdr>
        <w:top w:val="none" w:sz="0" w:space="0" w:color="auto"/>
        <w:left w:val="none" w:sz="0" w:space="0" w:color="auto"/>
        <w:bottom w:val="none" w:sz="0" w:space="0" w:color="auto"/>
        <w:right w:val="none" w:sz="0" w:space="0" w:color="auto"/>
      </w:divBdr>
    </w:div>
    <w:div w:id="1418405354">
      <w:bodyDiv w:val="1"/>
      <w:marLeft w:val="0"/>
      <w:marRight w:val="0"/>
      <w:marTop w:val="0"/>
      <w:marBottom w:val="0"/>
      <w:divBdr>
        <w:top w:val="none" w:sz="0" w:space="0" w:color="auto"/>
        <w:left w:val="none" w:sz="0" w:space="0" w:color="auto"/>
        <w:bottom w:val="none" w:sz="0" w:space="0" w:color="auto"/>
        <w:right w:val="none" w:sz="0" w:space="0" w:color="auto"/>
      </w:divBdr>
    </w:div>
    <w:div w:id="1438671710">
      <w:bodyDiv w:val="1"/>
      <w:marLeft w:val="0"/>
      <w:marRight w:val="0"/>
      <w:marTop w:val="0"/>
      <w:marBottom w:val="0"/>
      <w:divBdr>
        <w:top w:val="none" w:sz="0" w:space="0" w:color="auto"/>
        <w:left w:val="none" w:sz="0" w:space="0" w:color="auto"/>
        <w:bottom w:val="none" w:sz="0" w:space="0" w:color="auto"/>
        <w:right w:val="none" w:sz="0" w:space="0" w:color="auto"/>
      </w:divBdr>
      <w:divsChild>
        <w:div w:id="1685474745">
          <w:marLeft w:val="0"/>
          <w:marRight w:val="0"/>
          <w:marTop w:val="0"/>
          <w:marBottom w:val="0"/>
          <w:divBdr>
            <w:top w:val="none" w:sz="0" w:space="0" w:color="auto"/>
            <w:left w:val="none" w:sz="0" w:space="0" w:color="auto"/>
            <w:bottom w:val="none" w:sz="0" w:space="0" w:color="auto"/>
            <w:right w:val="none" w:sz="0" w:space="0" w:color="auto"/>
          </w:divBdr>
          <w:divsChild>
            <w:div w:id="494032604">
              <w:marLeft w:val="0"/>
              <w:marRight w:val="0"/>
              <w:marTop w:val="0"/>
              <w:marBottom w:val="0"/>
              <w:divBdr>
                <w:top w:val="none" w:sz="0" w:space="0" w:color="auto"/>
                <w:left w:val="none" w:sz="0" w:space="0" w:color="auto"/>
                <w:bottom w:val="none" w:sz="0" w:space="0" w:color="auto"/>
                <w:right w:val="none" w:sz="0" w:space="0" w:color="auto"/>
              </w:divBdr>
              <w:divsChild>
                <w:div w:id="960577087">
                  <w:marLeft w:val="0"/>
                  <w:marRight w:val="0"/>
                  <w:marTop w:val="0"/>
                  <w:marBottom w:val="0"/>
                  <w:divBdr>
                    <w:top w:val="none" w:sz="0" w:space="0" w:color="auto"/>
                    <w:left w:val="none" w:sz="0" w:space="0" w:color="auto"/>
                    <w:bottom w:val="none" w:sz="0" w:space="0" w:color="auto"/>
                    <w:right w:val="none" w:sz="0" w:space="0" w:color="auto"/>
                  </w:divBdr>
                  <w:divsChild>
                    <w:div w:id="752241277">
                      <w:marLeft w:val="0"/>
                      <w:marRight w:val="0"/>
                      <w:marTop w:val="0"/>
                      <w:marBottom w:val="0"/>
                      <w:divBdr>
                        <w:top w:val="none" w:sz="0" w:space="0" w:color="auto"/>
                        <w:left w:val="none" w:sz="0" w:space="0" w:color="auto"/>
                        <w:bottom w:val="none" w:sz="0" w:space="0" w:color="auto"/>
                        <w:right w:val="none" w:sz="0" w:space="0" w:color="auto"/>
                      </w:divBdr>
                      <w:divsChild>
                        <w:div w:id="199289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1972970">
      <w:bodyDiv w:val="1"/>
      <w:marLeft w:val="0"/>
      <w:marRight w:val="0"/>
      <w:marTop w:val="0"/>
      <w:marBottom w:val="0"/>
      <w:divBdr>
        <w:top w:val="none" w:sz="0" w:space="0" w:color="auto"/>
        <w:left w:val="none" w:sz="0" w:space="0" w:color="auto"/>
        <w:bottom w:val="none" w:sz="0" w:space="0" w:color="auto"/>
        <w:right w:val="none" w:sz="0" w:space="0" w:color="auto"/>
      </w:divBdr>
    </w:div>
    <w:div w:id="1468015451">
      <w:bodyDiv w:val="1"/>
      <w:marLeft w:val="0"/>
      <w:marRight w:val="0"/>
      <w:marTop w:val="0"/>
      <w:marBottom w:val="0"/>
      <w:divBdr>
        <w:top w:val="none" w:sz="0" w:space="0" w:color="auto"/>
        <w:left w:val="none" w:sz="0" w:space="0" w:color="auto"/>
        <w:bottom w:val="none" w:sz="0" w:space="0" w:color="auto"/>
        <w:right w:val="none" w:sz="0" w:space="0" w:color="auto"/>
      </w:divBdr>
    </w:div>
    <w:div w:id="1507746237">
      <w:bodyDiv w:val="1"/>
      <w:marLeft w:val="0"/>
      <w:marRight w:val="0"/>
      <w:marTop w:val="0"/>
      <w:marBottom w:val="0"/>
      <w:divBdr>
        <w:top w:val="none" w:sz="0" w:space="0" w:color="auto"/>
        <w:left w:val="none" w:sz="0" w:space="0" w:color="auto"/>
        <w:bottom w:val="none" w:sz="0" w:space="0" w:color="auto"/>
        <w:right w:val="none" w:sz="0" w:space="0" w:color="auto"/>
      </w:divBdr>
      <w:divsChild>
        <w:div w:id="149947922">
          <w:marLeft w:val="0"/>
          <w:marRight w:val="0"/>
          <w:marTop w:val="0"/>
          <w:marBottom w:val="0"/>
          <w:divBdr>
            <w:top w:val="none" w:sz="0" w:space="0" w:color="auto"/>
            <w:left w:val="none" w:sz="0" w:space="0" w:color="auto"/>
            <w:bottom w:val="none" w:sz="0" w:space="0" w:color="auto"/>
            <w:right w:val="none" w:sz="0" w:space="0" w:color="auto"/>
          </w:divBdr>
        </w:div>
        <w:div w:id="431248035">
          <w:marLeft w:val="0"/>
          <w:marRight w:val="0"/>
          <w:marTop w:val="0"/>
          <w:marBottom w:val="0"/>
          <w:divBdr>
            <w:top w:val="none" w:sz="0" w:space="0" w:color="auto"/>
            <w:left w:val="none" w:sz="0" w:space="0" w:color="auto"/>
            <w:bottom w:val="none" w:sz="0" w:space="0" w:color="auto"/>
            <w:right w:val="none" w:sz="0" w:space="0" w:color="auto"/>
          </w:divBdr>
        </w:div>
        <w:div w:id="1970237992">
          <w:marLeft w:val="0"/>
          <w:marRight w:val="0"/>
          <w:marTop w:val="0"/>
          <w:marBottom w:val="0"/>
          <w:divBdr>
            <w:top w:val="none" w:sz="0" w:space="0" w:color="auto"/>
            <w:left w:val="none" w:sz="0" w:space="0" w:color="auto"/>
            <w:bottom w:val="none" w:sz="0" w:space="0" w:color="auto"/>
            <w:right w:val="none" w:sz="0" w:space="0" w:color="auto"/>
          </w:divBdr>
        </w:div>
      </w:divsChild>
    </w:div>
    <w:div w:id="1518737688">
      <w:bodyDiv w:val="1"/>
      <w:marLeft w:val="0"/>
      <w:marRight w:val="0"/>
      <w:marTop w:val="0"/>
      <w:marBottom w:val="0"/>
      <w:divBdr>
        <w:top w:val="none" w:sz="0" w:space="0" w:color="auto"/>
        <w:left w:val="none" w:sz="0" w:space="0" w:color="auto"/>
        <w:bottom w:val="none" w:sz="0" w:space="0" w:color="auto"/>
        <w:right w:val="none" w:sz="0" w:space="0" w:color="auto"/>
      </w:divBdr>
      <w:divsChild>
        <w:div w:id="1587886950">
          <w:marLeft w:val="0"/>
          <w:marRight w:val="0"/>
          <w:marTop w:val="0"/>
          <w:marBottom w:val="0"/>
          <w:divBdr>
            <w:top w:val="none" w:sz="0" w:space="0" w:color="auto"/>
            <w:left w:val="none" w:sz="0" w:space="0" w:color="auto"/>
            <w:bottom w:val="none" w:sz="0" w:space="0" w:color="auto"/>
            <w:right w:val="none" w:sz="0" w:space="0" w:color="auto"/>
          </w:divBdr>
        </w:div>
      </w:divsChild>
    </w:div>
    <w:div w:id="1525710642">
      <w:bodyDiv w:val="1"/>
      <w:marLeft w:val="0"/>
      <w:marRight w:val="0"/>
      <w:marTop w:val="0"/>
      <w:marBottom w:val="0"/>
      <w:divBdr>
        <w:top w:val="none" w:sz="0" w:space="0" w:color="auto"/>
        <w:left w:val="none" w:sz="0" w:space="0" w:color="auto"/>
        <w:bottom w:val="none" w:sz="0" w:space="0" w:color="auto"/>
        <w:right w:val="none" w:sz="0" w:space="0" w:color="auto"/>
      </w:divBdr>
    </w:div>
    <w:div w:id="1580213474">
      <w:bodyDiv w:val="1"/>
      <w:marLeft w:val="0"/>
      <w:marRight w:val="0"/>
      <w:marTop w:val="0"/>
      <w:marBottom w:val="0"/>
      <w:divBdr>
        <w:top w:val="none" w:sz="0" w:space="0" w:color="auto"/>
        <w:left w:val="none" w:sz="0" w:space="0" w:color="auto"/>
        <w:bottom w:val="none" w:sz="0" w:space="0" w:color="auto"/>
        <w:right w:val="none" w:sz="0" w:space="0" w:color="auto"/>
      </w:divBdr>
      <w:divsChild>
        <w:div w:id="14620491">
          <w:marLeft w:val="0"/>
          <w:marRight w:val="0"/>
          <w:marTop w:val="0"/>
          <w:marBottom w:val="0"/>
          <w:divBdr>
            <w:top w:val="none" w:sz="0" w:space="0" w:color="auto"/>
            <w:left w:val="none" w:sz="0" w:space="0" w:color="auto"/>
            <w:bottom w:val="none" w:sz="0" w:space="0" w:color="auto"/>
            <w:right w:val="none" w:sz="0" w:space="0" w:color="auto"/>
          </w:divBdr>
          <w:divsChild>
            <w:div w:id="1870096041">
              <w:marLeft w:val="0"/>
              <w:marRight w:val="0"/>
              <w:marTop w:val="0"/>
              <w:marBottom w:val="0"/>
              <w:divBdr>
                <w:top w:val="none" w:sz="0" w:space="0" w:color="auto"/>
                <w:left w:val="none" w:sz="0" w:space="0" w:color="auto"/>
                <w:bottom w:val="none" w:sz="0" w:space="0" w:color="auto"/>
                <w:right w:val="none" w:sz="0" w:space="0" w:color="auto"/>
              </w:divBdr>
            </w:div>
          </w:divsChild>
        </w:div>
        <w:div w:id="29769199">
          <w:marLeft w:val="0"/>
          <w:marRight w:val="0"/>
          <w:marTop w:val="0"/>
          <w:marBottom w:val="0"/>
          <w:divBdr>
            <w:top w:val="none" w:sz="0" w:space="0" w:color="auto"/>
            <w:left w:val="none" w:sz="0" w:space="0" w:color="auto"/>
            <w:bottom w:val="none" w:sz="0" w:space="0" w:color="auto"/>
            <w:right w:val="none" w:sz="0" w:space="0" w:color="auto"/>
          </w:divBdr>
          <w:divsChild>
            <w:div w:id="1351881519">
              <w:marLeft w:val="0"/>
              <w:marRight w:val="0"/>
              <w:marTop w:val="0"/>
              <w:marBottom w:val="0"/>
              <w:divBdr>
                <w:top w:val="none" w:sz="0" w:space="0" w:color="auto"/>
                <w:left w:val="none" w:sz="0" w:space="0" w:color="auto"/>
                <w:bottom w:val="none" w:sz="0" w:space="0" w:color="auto"/>
                <w:right w:val="none" w:sz="0" w:space="0" w:color="auto"/>
              </w:divBdr>
            </w:div>
          </w:divsChild>
        </w:div>
        <w:div w:id="52317811">
          <w:marLeft w:val="0"/>
          <w:marRight w:val="0"/>
          <w:marTop w:val="0"/>
          <w:marBottom w:val="0"/>
          <w:divBdr>
            <w:top w:val="none" w:sz="0" w:space="0" w:color="auto"/>
            <w:left w:val="none" w:sz="0" w:space="0" w:color="auto"/>
            <w:bottom w:val="none" w:sz="0" w:space="0" w:color="auto"/>
            <w:right w:val="none" w:sz="0" w:space="0" w:color="auto"/>
          </w:divBdr>
          <w:divsChild>
            <w:div w:id="901066025">
              <w:marLeft w:val="0"/>
              <w:marRight w:val="0"/>
              <w:marTop w:val="0"/>
              <w:marBottom w:val="0"/>
              <w:divBdr>
                <w:top w:val="none" w:sz="0" w:space="0" w:color="auto"/>
                <w:left w:val="none" w:sz="0" w:space="0" w:color="auto"/>
                <w:bottom w:val="none" w:sz="0" w:space="0" w:color="auto"/>
                <w:right w:val="none" w:sz="0" w:space="0" w:color="auto"/>
              </w:divBdr>
            </w:div>
          </w:divsChild>
        </w:div>
        <w:div w:id="69233771">
          <w:marLeft w:val="0"/>
          <w:marRight w:val="0"/>
          <w:marTop w:val="0"/>
          <w:marBottom w:val="0"/>
          <w:divBdr>
            <w:top w:val="none" w:sz="0" w:space="0" w:color="auto"/>
            <w:left w:val="none" w:sz="0" w:space="0" w:color="auto"/>
            <w:bottom w:val="none" w:sz="0" w:space="0" w:color="auto"/>
            <w:right w:val="none" w:sz="0" w:space="0" w:color="auto"/>
          </w:divBdr>
          <w:divsChild>
            <w:div w:id="1930112166">
              <w:marLeft w:val="0"/>
              <w:marRight w:val="0"/>
              <w:marTop w:val="0"/>
              <w:marBottom w:val="0"/>
              <w:divBdr>
                <w:top w:val="none" w:sz="0" w:space="0" w:color="auto"/>
                <w:left w:val="none" w:sz="0" w:space="0" w:color="auto"/>
                <w:bottom w:val="none" w:sz="0" w:space="0" w:color="auto"/>
                <w:right w:val="none" w:sz="0" w:space="0" w:color="auto"/>
              </w:divBdr>
            </w:div>
          </w:divsChild>
        </w:div>
        <w:div w:id="99840681">
          <w:marLeft w:val="0"/>
          <w:marRight w:val="0"/>
          <w:marTop w:val="0"/>
          <w:marBottom w:val="0"/>
          <w:divBdr>
            <w:top w:val="none" w:sz="0" w:space="0" w:color="auto"/>
            <w:left w:val="none" w:sz="0" w:space="0" w:color="auto"/>
            <w:bottom w:val="none" w:sz="0" w:space="0" w:color="auto"/>
            <w:right w:val="none" w:sz="0" w:space="0" w:color="auto"/>
          </w:divBdr>
          <w:divsChild>
            <w:div w:id="1817642401">
              <w:marLeft w:val="0"/>
              <w:marRight w:val="0"/>
              <w:marTop w:val="0"/>
              <w:marBottom w:val="0"/>
              <w:divBdr>
                <w:top w:val="none" w:sz="0" w:space="0" w:color="auto"/>
                <w:left w:val="none" w:sz="0" w:space="0" w:color="auto"/>
                <w:bottom w:val="none" w:sz="0" w:space="0" w:color="auto"/>
                <w:right w:val="none" w:sz="0" w:space="0" w:color="auto"/>
              </w:divBdr>
            </w:div>
          </w:divsChild>
        </w:div>
        <w:div w:id="106707176">
          <w:marLeft w:val="0"/>
          <w:marRight w:val="0"/>
          <w:marTop w:val="0"/>
          <w:marBottom w:val="0"/>
          <w:divBdr>
            <w:top w:val="none" w:sz="0" w:space="0" w:color="auto"/>
            <w:left w:val="none" w:sz="0" w:space="0" w:color="auto"/>
            <w:bottom w:val="none" w:sz="0" w:space="0" w:color="auto"/>
            <w:right w:val="none" w:sz="0" w:space="0" w:color="auto"/>
          </w:divBdr>
          <w:divsChild>
            <w:div w:id="1371875244">
              <w:marLeft w:val="0"/>
              <w:marRight w:val="0"/>
              <w:marTop w:val="0"/>
              <w:marBottom w:val="0"/>
              <w:divBdr>
                <w:top w:val="none" w:sz="0" w:space="0" w:color="auto"/>
                <w:left w:val="none" w:sz="0" w:space="0" w:color="auto"/>
                <w:bottom w:val="none" w:sz="0" w:space="0" w:color="auto"/>
                <w:right w:val="none" w:sz="0" w:space="0" w:color="auto"/>
              </w:divBdr>
            </w:div>
          </w:divsChild>
        </w:div>
        <w:div w:id="107823618">
          <w:marLeft w:val="0"/>
          <w:marRight w:val="0"/>
          <w:marTop w:val="0"/>
          <w:marBottom w:val="0"/>
          <w:divBdr>
            <w:top w:val="none" w:sz="0" w:space="0" w:color="auto"/>
            <w:left w:val="none" w:sz="0" w:space="0" w:color="auto"/>
            <w:bottom w:val="none" w:sz="0" w:space="0" w:color="auto"/>
            <w:right w:val="none" w:sz="0" w:space="0" w:color="auto"/>
          </w:divBdr>
          <w:divsChild>
            <w:div w:id="759327431">
              <w:marLeft w:val="0"/>
              <w:marRight w:val="0"/>
              <w:marTop w:val="0"/>
              <w:marBottom w:val="0"/>
              <w:divBdr>
                <w:top w:val="none" w:sz="0" w:space="0" w:color="auto"/>
                <w:left w:val="none" w:sz="0" w:space="0" w:color="auto"/>
                <w:bottom w:val="none" w:sz="0" w:space="0" w:color="auto"/>
                <w:right w:val="none" w:sz="0" w:space="0" w:color="auto"/>
              </w:divBdr>
            </w:div>
          </w:divsChild>
        </w:div>
        <w:div w:id="119231821">
          <w:marLeft w:val="0"/>
          <w:marRight w:val="0"/>
          <w:marTop w:val="0"/>
          <w:marBottom w:val="0"/>
          <w:divBdr>
            <w:top w:val="none" w:sz="0" w:space="0" w:color="auto"/>
            <w:left w:val="none" w:sz="0" w:space="0" w:color="auto"/>
            <w:bottom w:val="none" w:sz="0" w:space="0" w:color="auto"/>
            <w:right w:val="none" w:sz="0" w:space="0" w:color="auto"/>
          </w:divBdr>
          <w:divsChild>
            <w:div w:id="804278398">
              <w:marLeft w:val="0"/>
              <w:marRight w:val="0"/>
              <w:marTop w:val="0"/>
              <w:marBottom w:val="0"/>
              <w:divBdr>
                <w:top w:val="none" w:sz="0" w:space="0" w:color="auto"/>
                <w:left w:val="none" w:sz="0" w:space="0" w:color="auto"/>
                <w:bottom w:val="none" w:sz="0" w:space="0" w:color="auto"/>
                <w:right w:val="none" w:sz="0" w:space="0" w:color="auto"/>
              </w:divBdr>
            </w:div>
          </w:divsChild>
        </w:div>
        <w:div w:id="123743367">
          <w:marLeft w:val="0"/>
          <w:marRight w:val="0"/>
          <w:marTop w:val="0"/>
          <w:marBottom w:val="0"/>
          <w:divBdr>
            <w:top w:val="none" w:sz="0" w:space="0" w:color="auto"/>
            <w:left w:val="none" w:sz="0" w:space="0" w:color="auto"/>
            <w:bottom w:val="none" w:sz="0" w:space="0" w:color="auto"/>
            <w:right w:val="none" w:sz="0" w:space="0" w:color="auto"/>
          </w:divBdr>
          <w:divsChild>
            <w:div w:id="1650136362">
              <w:marLeft w:val="0"/>
              <w:marRight w:val="0"/>
              <w:marTop w:val="0"/>
              <w:marBottom w:val="0"/>
              <w:divBdr>
                <w:top w:val="none" w:sz="0" w:space="0" w:color="auto"/>
                <w:left w:val="none" w:sz="0" w:space="0" w:color="auto"/>
                <w:bottom w:val="none" w:sz="0" w:space="0" w:color="auto"/>
                <w:right w:val="none" w:sz="0" w:space="0" w:color="auto"/>
              </w:divBdr>
            </w:div>
          </w:divsChild>
        </w:div>
        <w:div w:id="177428480">
          <w:marLeft w:val="0"/>
          <w:marRight w:val="0"/>
          <w:marTop w:val="0"/>
          <w:marBottom w:val="0"/>
          <w:divBdr>
            <w:top w:val="none" w:sz="0" w:space="0" w:color="auto"/>
            <w:left w:val="none" w:sz="0" w:space="0" w:color="auto"/>
            <w:bottom w:val="none" w:sz="0" w:space="0" w:color="auto"/>
            <w:right w:val="none" w:sz="0" w:space="0" w:color="auto"/>
          </w:divBdr>
          <w:divsChild>
            <w:div w:id="1100106687">
              <w:marLeft w:val="0"/>
              <w:marRight w:val="0"/>
              <w:marTop w:val="0"/>
              <w:marBottom w:val="0"/>
              <w:divBdr>
                <w:top w:val="none" w:sz="0" w:space="0" w:color="auto"/>
                <w:left w:val="none" w:sz="0" w:space="0" w:color="auto"/>
                <w:bottom w:val="none" w:sz="0" w:space="0" w:color="auto"/>
                <w:right w:val="none" w:sz="0" w:space="0" w:color="auto"/>
              </w:divBdr>
            </w:div>
          </w:divsChild>
        </w:div>
        <w:div w:id="193469853">
          <w:marLeft w:val="0"/>
          <w:marRight w:val="0"/>
          <w:marTop w:val="0"/>
          <w:marBottom w:val="0"/>
          <w:divBdr>
            <w:top w:val="none" w:sz="0" w:space="0" w:color="auto"/>
            <w:left w:val="none" w:sz="0" w:space="0" w:color="auto"/>
            <w:bottom w:val="none" w:sz="0" w:space="0" w:color="auto"/>
            <w:right w:val="none" w:sz="0" w:space="0" w:color="auto"/>
          </w:divBdr>
          <w:divsChild>
            <w:div w:id="1291326272">
              <w:marLeft w:val="0"/>
              <w:marRight w:val="0"/>
              <w:marTop w:val="0"/>
              <w:marBottom w:val="0"/>
              <w:divBdr>
                <w:top w:val="none" w:sz="0" w:space="0" w:color="auto"/>
                <w:left w:val="none" w:sz="0" w:space="0" w:color="auto"/>
                <w:bottom w:val="none" w:sz="0" w:space="0" w:color="auto"/>
                <w:right w:val="none" w:sz="0" w:space="0" w:color="auto"/>
              </w:divBdr>
            </w:div>
          </w:divsChild>
        </w:div>
        <w:div w:id="207764164">
          <w:marLeft w:val="0"/>
          <w:marRight w:val="0"/>
          <w:marTop w:val="0"/>
          <w:marBottom w:val="0"/>
          <w:divBdr>
            <w:top w:val="none" w:sz="0" w:space="0" w:color="auto"/>
            <w:left w:val="none" w:sz="0" w:space="0" w:color="auto"/>
            <w:bottom w:val="none" w:sz="0" w:space="0" w:color="auto"/>
            <w:right w:val="none" w:sz="0" w:space="0" w:color="auto"/>
          </w:divBdr>
          <w:divsChild>
            <w:div w:id="185752783">
              <w:marLeft w:val="0"/>
              <w:marRight w:val="0"/>
              <w:marTop w:val="0"/>
              <w:marBottom w:val="0"/>
              <w:divBdr>
                <w:top w:val="none" w:sz="0" w:space="0" w:color="auto"/>
                <w:left w:val="none" w:sz="0" w:space="0" w:color="auto"/>
                <w:bottom w:val="none" w:sz="0" w:space="0" w:color="auto"/>
                <w:right w:val="none" w:sz="0" w:space="0" w:color="auto"/>
              </w:divBdr>
            </w:div>
          </w:divsChild>
        </w:div>
        <w:div w:id="215821081">
          <w:marLeft w:val="0"/>
          <w:marRight w:val="0"/>
          <w:marTop w:val="0"/>
          <w:marBottom w:val="0"/>
          <w:divBdr>
            <w:top w:val="none" w:sz="0" w:space="0" w:color="auto"/>
            <w:left w:val="none" w:sz="0" w:space="0" w:color="auto"/>
            <w:bottom w:val="none" w:sz="0" w:space="0" w:color="auto"/>
            <w:right w:val="none" w:sz="0" w:space="0" w:color="auto"/>
          </w:divBdr>
          <w:divsChild>
            <w:div w:id="441731921">
              <w:marLeft w:val="0"/>
              <w:marRight w:val="0"/>
              <w:marTop w:val="0"/>
              <w:marBottom w:val="0"/>
              <w:divBdr>
                <w:top w:val="none" w:sz="0" w:space="0" w:color="auto"/>
                <w:left w:val="none" w:sz="0" w:space="0" w:color="auto"/>
                <w:bottom w:val="none" w:sz="0" w:space="0" w:color="auto"/>
                <w:right w:val="none" w:sz="0" w:space="0" w:color="auto"/>
              </w:divBdr>
            </w:div>
          </w:divsChild>
        </w:div>
        <w:div w:id="217398952">
          <w:marLeft w:val="0"/>
          <w:marRight w:val="0"/>
          <w:marTop w:val="0"/>
          <w:marBottom w:val="0"/>
          <w:divBdr>
            <w:top w:val="none" w:sz="0" w:space="0" w:color="auto"/>
            <w:left w:val="none" w:sz="0" w:space="0" w:color="auto"/>
            <w:bottom w:val="none" w:sz="0" w:space="0" w:color="auto"/>
            <w:right w:val="none" w:sz="0" w:space="0" w:color="auto"/>
          </w:divBdr>
          <w:divsChild>
            <w:div w:id="1670714299">
              <w:marLeft w:val="0"/>
              <w:marRight w:val="0"/>
              <w:marTop w:val="0"/>
              <w:marBottom w:val="0"/>
              <w:divBdr>
                <w:top w:val="none" w:sz="0" w:space="0" w:color="auto"/>
                <w:left w:val="none" w:sz="0" w:space="0" w:color="auto"/>
                <w:bottom w:val="none" w:sz="0" w:space="0" w:color="auto"/>
                <w:right w:val="none" w:sz="0" w:space="0" w:color="auto"/>
              </w:divBdr>
            </w:div>
          </w:divsChild>
        </w:div>
        <w:div w:id="238634884">
          <w:marLeft w:val="0"/>
          <w:marRight w:val="0"/>
          <w:marTop w:val="0"/>
          <w:marBottom w:val="0"/>
          <w:divBdr>
            <w:top w:val="none" w:sz="0" w:space="0" w:color="auto"/>
            <w:left w:val="none" w:sz="0" w:space="0" w:color="auto"/>
            <w:bottom w:val="none" w:sz="0" w:space="0" w:color="auto"/>
            <w:right w:val="none" w:sz="0" w:space="0" w:color="auto"/>
          </w:divBdr>
          <w:divsChild>
            <w:div w:id="2102329691">
              <w:marLeft w:val="0"/>
              <w:marRight w:val="0"/>
              <w:marTop w:val="0"/>
              <w:marBottom w:val="0"/>
              <w:divBdr>
                <w:top w:val="none" w:sz="0" w:space="0" w:color="auto"/>
                <w:left w:val="none" w:sz="0" w:space="0" w:color="auto"/>
                <w:bottom w:val="none" w:sz="0" w:space="0" w:color="auto"/>
                <w:right w:val="none" w:sz="0" w:space="0" w:color="auto"/>
              </w:divBdr>
            </w:div>
          </w:divsChild>
        </w:div>
        <w:div w:id="246773465">
          <w:marLeft w:val="0"/>
          <w:marRight w:val="0"/>
          <w:marTop w:val="0"/>
          <w:marBottom w:val="0"/>
          <w:divBdr>
            <w:top w:val="none" w:sz="0" w:space="0" w:color="auto"/>
            <w:left w:val="none" w:sz="0" w:space="0" w:color="auto"/>
            <w:bottom w:val="none" w:sz="0" w:space="0" w:color="auto"/>
            <w:right w:val="none" w:sz="0" w:space="0" w:color="auto"/>
          </w:divBdr>
          <w:divsChild>
            <w:div w:id="1257396317">
              <w:marLeft w:val="0"/>
              <w:marRight w:val="0"/>
              <w:marTop w:val="0"/>
              <w:marBottom w:val="0"/>
              <w:divBdr>
                <w:top w:val="none" w:sz="0" w:space="0" w:color="auto"/>
                <w:left w:val="none" w:sz="0" w:space="0" w:color="auto"/>
                <w:bottom w:val="none" w:sz="0" w:space="0" w:color="auto"/>
                <w:right w:val="none" w:sz="0" w:space="0" w:color="auto"/>
              </w:divBdr>
            </w:div>
          </w:divsChild>
        </w:div>
        <w:div w:id="259413916">
          <w:marLeft w:val="0"/>
          <w:marRight w:val="0"/>
          <w:marTop w:val="0"/>
          <w:marBottom w:val="0"/>
          <w:divBdr>
            <w:top w:val="none" w:sz="0" w:space="0" w:color="auto"/>
            <w:left w:val="none" w:sz="0" w:space="0" w:color="auto"/>
            <w:bottom w:val="none" w:sz="0" w:space="0" w:color="auto"/>
            <w:right w:val="none" w:sz="0" w:space="0" w:color="auto"/>
          </w:divBdr>
          <w:divsChild>
            <w:div w:id="947273462">
              <w:marLeft w:val="0"/>
              <w:marRight w:val="0"/>
              <w:marTop w:val="0"/>
              <w:marBottom w:val="0"/>
              <w:divBdr>
                <w:top w:val="none" w:sz="0" w:space="0" w:color="auto"/>
                <w:left w:val="none" w:sz="0" w:space="0" w:color="auto"/>
                <w:bottom w:val="none" w:sz="0" w:space="0" w:color="auto"/>
                <w:right w:val="none" w:sz="0" w:space="0" w:color="auto"/>
              </w:divBdr>
            </w:div>
          </w:divsChild>
        </w:div>
        <w:div w:id="276377165">
          <w:marLeft w:val="0"/>
          <w:marRight w:val="0"/>
          <w:marTop w:val="0"/>
          <w:marBottom w:val="0"/>
          <w:divBdr>
            <w:top w:val="none" w:sz="0" w:space="0" w:color="auto"/>
            <w:left w:val="none" w:sz="0" w:space="0" w:color="auto"/>
            <w:bottom w:val="none" w:sz="0" w:space="0" w:color="auto"/>
            <w:right w:val="none" w:sz="0" w:space="0" w:color="auto"/>
          </w:divBdr>
          <w:divsChild>
            <w:div w:id="2029870537">
              <w:marLeft w:val="0"/>
              <w:marRight w:val="0"/>
              <w:marTop w:val="0"/>
              <w:marBottom w:val="0"/>
              <w:divBdr>
                <w:top w:val="none" w:sz="0" w:space="0" w:color="auto"/>
                <w:left w:val="none" w:sz="0" w:space="0" w:color="auto"/>
                <w:bottom w:val="none" w:sz="0" w:space="0" w:color="auto"/>
                <w:right w:val="none" w:sz="0" w:space="0" w:color="auto"/>
              </w:divBdr>
            </w:div>
          </w:divsChild>
        </w:div>
        <w:div w:id="296690183">
          <w:marLeft w:val="0"/>
          <w:marRight w:val="0"/>
          <w:marTop w:val="0"/>
          <w:marBottom w:val="0"/>
          <w:divBdr>
            <w:top w:val="none" w:sz="0" w:space="0" w:color="auto"/>
            <w:left w:val="none" w:sz="0" w:space="0" w:color="auto"/>
            <w:bottom w:val="none" w:sz="0" w:space="0" w:color="auto"/>
            <w:right w:val="none" w:sz="0" w:space="0" w:color="auto"/>
          </w:divBdr>
          <w:divsChild>
            <w:div w:id="1521965223">
              <w:marLeft w:val="0"/>
              <w:marRight w:val="0"/>
              <w:marTop w:val="0"/>
              <w:marBottom w:val="0"/>
              <w:divBdr>
                <w:top w:val="none" w:sz="0" w:space="0" w:color="auto"/>
                <w:left w:val="none" w:sz="0" w:space="0" w:color="auto"/>
                <w:bottom w:val="none" w:sz="0" w:space="0" w:color="auto"/>
                <w:right w:val="none" w:sz="0" w:space="0" w:color="auto"/>
              </w:divBdr>
            </w:div>
          </w:divsChild>
        </w:div>
        <w:div w:id="328410212">
          <w:marLeft w:val="0"/>
          <w:marRight w:val="0"/>
          <w:marTop w:val="0"/>
          <w:marBottom w:val="0"/>
          <w:divBdr>
            <w:top w:val="none" w:sz="0" w:space="0" w:color="auto"/>
            <w:left w:val="none" w:sz="0" w:space="0" w:color="auto"/>
            <w:bottom w:val="none" w:sz="0" w:space="0" w:color="auto"/>
            <w:right w:val="none" w:sz="0" w:space="0" w:color="auto"/>
          </w:divBdr>
          <w:divsChild>
            <w:div w:id="430248184">
              <w:marLeft w:val="0"/>
              <w:marRight w:val="0"/>
              <w:marTop w:val="0"/>
              <w:marBottom w:val="0"/>
              <w:divBdr>
                <w:top w:val="none" w:sz="0" w:space="0" w:color="auto"/>
                <w:left w:val="none" w:sz="0" w:space="0" w:color="auto"/>
                <w:bottom w:val="none" w:sz="0" w:space="0" w:color="auto"/>
                <w:right w:val="none" w:sz="0" w:space="0" w:color="auto"/>
              </w:divBdr>
            </w:div>
          </w:divsChild>
        </w:div>
        <w:div w:id="330451080">
          <w:marLeft w:val="0"/>
          <w:marRight w:val="0"/>
          <w:marTop w:val="0"/>
          <w:marBottom w:val="0"/>
          <w:divBdr>
            <w:top w:val="none" w:sz="0" w:space="0" w:color="auto"/>
            <w:left w:val="none" w:sz="0" w:space="0" w:color="auto"/>
            <w:bottom w:val="none" w:sz="0" w:space="0" w:color="auto"/>
            <w:right w:val="none" w:sz="0" w:space="0" w:color="auto"/>
          </w:divBdr>
          <w:divsChild>
            <w:div w:id="1385838600">
              <w:marLeft w:val="0"/>
              <w:marRight w:val="0"/>
              <w:marTop w:val="0"/>
              <w:marBottom w:val="0"/>
              <w:divBdr>
                <w:top w:val="none" w:sz="0" w:space="0" w:color="auto"/>
                <w:left w:val="none" w:sz="0" w:space="0" w:color="auto"/>
                <w:bottom w:val="none" w:sz="0" w:space="0" w:color="auto"/>
                <w:right w:val="none" w:sz="0" w:space="0" w:color="auto"/>
              </w:divBdr>
            </w:div>
          </w:divsChild>
        </w:div>
        <w:div w:id="354229921">
          <w:marLeft w:val="0"/>
          <w:marRight w:val="0"/>
          <w:marTop w:val="0"/>
          <w:marBottom w:val="0"/>
          <w:divBdr>
            <w:top w:val="none" w:sz="0" w:space="0" w:color="auto"/>
            <w:left w:val="none" w:sz="0" w:space="0" w:color="auto"/>
            <w:bottom w:val="none" w:sz="0" w:space="0" w:color="auto"/>
            <w:right w:val="none" w:sz="0" w:space="0" w:color="auto"/>
          </w:divBdr>
          <w:divsChild>
            <w:div w:id="1770588515">
              <w:marLeft w:val="0"/>
              <w:marRight w:val="0"/>
              <w:marTop w:val="0"/>
              <w:marBottom w:val="0"/>
              <w:divBdr>
                <w:top w:val="none" w:sz="0" w:space="0" w:color="auto"/>
                <w:left w:val="none" w:sz="0" w:space="0" w:color="auto"/>
                <w:bottom w:val="none" w:sz="0" w:space="0" w:color="auto"/>
                <w:right w:val="none" w:sz="0" w:space="0" w:color="auto"/>
              </w:divBdr>
            </w:div>
          </w:divsChild>
        </w:div>
        <w:div w:id="369495771">
          <w:marLeft w:val="0"/>
          <w:marRight w:val="0"/>
          <w:marTop w:val="0"/>
          <w:marBottom w:val="0"/>
          <w:divBdr>
            <w:top w:val="none" w:sz="0" w:space="0" w:color="auto"/>
            <w:left w:val="none" w:sz="0" w:space="0" w:color="auto"/>
            <w:bottom w:val="none" w:sz="0" w:space="0" w:color="auto"/>
            <w:right w:val="none" w:sz="0" w:space="0" w:color="auto"/>
          </w:divBdr>
          <w:divsChild>
            <w:div w:id="1451048057">
              <w:marLeft w:val="0"/>
              <w:marRight w:val="0"/>
              <w:marTop w:val="0"/>
              <w:marBottom w:val="0"/>
              <w:divBdr>
                <w:top w:val="none" w:sz="0" w:space="0" w:color="auto"/>
                <w:left w:val="none" w:sz="0" w:space="0" w:color="auto"/>
                <w:bottom w:val="none" w:sz="0" w:space="0" w:color="auto"/>
                <w:right w:val="none" w:sz="0" w:space="0" w:color="auto"/>
              </w:divBdr>
            </w:div>
          </w:divsChild>
        </w:div>
        <w:div w:id="391118970">
          <w:marLeft w:val="0"/>
          <w:marRight w:val="0"/>
          <w:marTop w:val="0"/>
          <w:marBottom w:val="0"/>
          <w:divBdr>
            <w:top w:val="none" w:sz="0" w:space="0" w:color="auto"/>
            <w:left w:val="none" w:sz="0" w:space="0" w:color="auto"/>
            <w:bottom w:val="none" w:sz="0" w:space="0" w:color="auto"/>
            <w:right w:val="none" w:sz="0" w:space="0" w:color="auto"/>
          </w:divBdr>
          <w:divsChild>
            <w:div w:id="285619107">
              <w:marLeft w:val="0"/>
              <w:marRight w:val="0"/>
              <w:marTop w:val="0"/>
              <w:marBottom w:val="0"/>
              <w:divBdr>
                <w:top w:val="none" w:sz="0" w:space="0" w:color="auto"/>
                <w:left w:val="none" w:sz="0" w:space="0" w:color="auto"/>
                <w:bottom w:val="none" w:sz="0" w:space="0" w:color="auto"/>
                <w:right w:val="none" w:sz="0" w:space="0" w:color="auto"/>
              </w:divBdr>
            </w:div>
          </w:divsChild>
        </w:div>
        <w:div w:id="422914683">
          <w:marLeft w:val="0"/>
          <w:marRight w:val="0"/>
          <w:marTop w:val="0"/>
          <w:marBottom w:val="0"/>
          <w:divBdr>
            <w:top w:val="none" w:sz="0" w:space="0" w:color="auto"/>
            <w:left w:val="none" w:sz="0" w:space="0" w:color="auto"/>
            <w:bottom w:val="none" w:sz="0" w:space="0" w:color="auto"/>
            <w:right w:val="none" w:sz="0" w:space="0" w:color="auto"/>
          </w:divBdr>
          <w:divsChild>
            <w:div w:id="1760831635">
              <w:marLeft w:val="0"/>
              <w:marRight w:val="0"/>
              <w:marTop w:val="0"/>
              <w:marBottom w:val="0"/>
              <w:divBdr>
                <w:top w:val="none" w:sz="0" w:space="0" w:color="auto"/>
                <w:left w:val="none" w:sz="0" w:space="0" w:color="auto"/>
                <w:bottom w:val="none" w:sz="0" w:space="0" w:color="auto"/>
                <w:right w:val="none" w:sz="0" w:space="0" w:color="auto"/>
              </w:divBdr>
            </w:div>
          </w:divsChild>
        </w:div>
        <w:div w:id="464929896">
          <w:marLeft w:val="0"/>
          <w:marRight w:val="0"/>
          <w:marTop w:val="0"/>
          <w:marBottom w:val="0"/>
          <w:divBdr>
            <w:top w:val="none" w:sz="0" w:space="0" w:color="auto"/>
            <w:left w:val="none" w:sz="0" w:space="0" w:color="auto"/>
            <w:bottom w:val="none" w:sz="0" w:space="0" w:color="auto"/>
            <w:right w:val="none" w:sz="0" w:space="0" w:color="auto"/>
          </w:divBdr>
          <w:divsChild>
            <w:div w:id="2059091479">
              <w:marLeft w:val="0"/>
              <w:marRight w:val="0"/>
              <w:marTop w:val="0"/>
              <w:marBottom w:val="0"/>
              <w:divBdr>
                <w:top w:val="none" w:sz="0" w:space="0" w:color="auto"/>
                <w:left w:val="none" w:sz="0" w:space="0" w:color="auto"/>
                <w:bottom w:val="none" w:sz="0" w:space="0" w:color="auto"/>
                <w:right w:val="none" w:sz="0" w:space="0" w:color="auto"/>
              </w:divBdr>
            </w:div>
          </w:divsChild>
        </w:div>
        <w:div w:id="473762918">
          <w:marLeft w:val="0"/>
          <w:marRight w:val="0"/>
          <w:marTop w:val="0"/>
          <w:marBottom w:val="0"/>
          <w:divBdr>
            <w:top w:val="none" w:sz="0" w:space="0" w:color="auto"/>
            <w:left w:val="none" w:sz="0" w:space="0" w:color="auto"/>
            <w:bottom w:val="none" w:sz="0" w:space="0" w:color="auto"/>
            <w:right w:val="none" w:sz="0" w:space="0" w:color="auto"/>
          </w:divBdr>
          <w:divsChild>
            <w:div w:id="759252047">
              <w:marLeft w:val="0"/>
              <w:marRight w:val="0"/>
              <w:marTop w:val="0"/>
              <w:marBottom w:val="0"/>
              <w:divBdr>
                <w:top w:val="none" w:sz="0" w:space="0" w:color="auto"/>
                <w:left w:val="none" w:sz="0" w:space="0" w:color="auto"/>
                <w:bottom w:val="none" w:sz="0" w:space="0" w:color="auto"/>
                <w:right w:val="none" w:sz="0" w:space="0" w:color="auto"/>
              </w:divBdr>
            </w:div>
          </w:divsChild>
        </w:div>
        <w:div w:id="488719280">
          <w:marLeft w:val="0"/>
          <w:marRight w:val="0"/>
          <w:marTop w:val="0"/>
          <w:marBottom w:val="0"/>
          <w:divBdr>
            <w:top w:val="none" w:sz="0" w:space="0" w:color="auto"/>
            <w:left w:val="none" w:sz="0" w:space="0" w:color="auto"/>
            <w:bottom w:val="none" w:sz="0" w:space="0" w:color="auto"/>
            <w:right w:val="none" w:sz="0" w:space="0" w:color="auto"/>
          </w:divBdr>
          <w:divsChild>
            <w:div w:id="702634801">
              <w:marLeft w:val="0"/>
              <w:marRight w:val="0"/>
              <w:marTop w:val="0"/>
              <w:marBottom w:val="0"/>
              <w:divBdr>
                <w:top w:val="none" w:sz="0" w:space="0" w:color="auto"/>
                <w:left w:val="none" w:sz="0" w:space="0" w:color="auto"/>
                <w:bottom w:val="none" w:sz="0" w:space="0" w:color="auto"/>
                <w:right w:val="none" w:sz="0" w:space="0" w:color="auto"/>
              </w:divBdr>
            </w:div>
          </w:divsChild>
        </w:div>
        <w:div w:id="494953671">
          <w:marLeft w:val="0"/>
          <w:marRight w:val="0"/>
          <w:marTop w:val="0"/>
          <w:marBottom w:val="0"/>
          <w:divBdr>
            <w:top w:val="none" w:sz="0" w:space="0" w:color="auto"/>
            <w:left w:val="none" w:sz="0" w:space="0" w:color="auto"/>
            <w:bottom w:val="none" w:sz="0" w:space="0" w:color="auto"/>
            <w:right w:val="none" w:sz="0" w:space="0" w:color="auto"/>
          </w:divBdr>
          <w:divsChild>
            <w:div w:id="543101040">
              <w:marLeft w:val="0"/>
              <w:marRight w:val="0"/>
              <w:marTop w:val="0"/>
              <w:marBottom w:val="0"/>
              <w:divBdr>
                <w:top w:val="none" w:sz="0" w:space="0" w:color="auto"/>
                <w:left w:val="none" w:sz="0" w:space="0" w:color="auto"/>
                <w:bottom w:val="none" w:sz="0" w:space="0" w:color="auto"/>
                <w:right w:val="none" w:sz="0" w:space="0" w:color="auto"/>
              </w:divBdr>
            </w:div>
          </w:divsChild>
        </w:div>
        <w:div w:id="497355217">
          <w:marLeft w:val="0"/>
          <w:marRight w:val="0"/>
          <w:marTop w:val="0"/>
          <w:marBottom w:val="0"/>
          <w:divBdr>
            <w:top w:val="none" w:sz="0" w:space="0" w:color="auto"/>
            <w:left w:val="none" w:sz="0" w:space="0" w:color="auto"/>
            <w:bottom w:val="none" w:sz="0" w:space="0" w:color="auto"/>
            <w:right w:val="none" w:sz="0" w:space="0" w:color="auto"/>
          </w:divBdr>
          <w:divsChild>
            <w:div w:id="756443895">
              <w:marLeft w:val="0"/>
              <w:marRight w:val="0"/>
              <w:marTop w:val="0"/>
              <w:marBottom w:val="0"/>
              <w:divBdr>
                <w:top w:val="none" w:sz="0" w:space="0" w:color="auto"/>
                <w:left w:val="none" w:sz="0" w:space="0" w:color="auto"/>
                <w:bottom w:val="none" w:sz="0" w:space="0" w:color="auto"/>
                <w:right w:val="none" w:sz="0" w:space="0" w:color="auto"/>
              </w:divBdr>
            </w:div>
          </w:divsChild>
        </w:div>
        <w:div w:id="510072473">
          <w:marLeft w:val="0"/>
          <w:marRight w:val="0"/>
          <w:marTop w:val="0"/>
          <w:marBottom w:val="0"/>
          <w:divBdr>
            <w:top w:val="none" w:sz="0" w:space="0" w:color="auto"/>
            <w:left w:val="none" w:sz="0" w:space="0" w:color="auto"/>
            <w:bottom w:val="none" w:sz="0" w:space="0" w:color="auto"/>
            <w:right w:val="none" w:sz="0" w:space="0" w:color="auto"/>
          </w:divBdr>
          <w:divsChild>
            <w:div w:id="1697458927">
              <w:marLeft w:val="0"/>
              <w:marRight w:val="0"/>
              <w:marTop w:val="0"/>
              <w:marBottom w:val="0"/>
              <w:divBdr>
                <w:top w:val="none" w:sz="0" w:space="0" w:color="auto"/>
                <w:left w:val="none" w:sz="0" w:space="0" w:color="auto"/>
                <w:bottom w:val="none" w:sz="0" w:space="0" w:color="auto"/>
                <w:right w:val="none" w:sz="0" w:space="0" w:color="auto"/>
              </w:divBdr>
            </w:div>
          </w:divsChild>
        </w:div>
        <w:div w:id="510602376">
          <w:marLeft w:val="0"/>
          <w:marRight w:val="0"/>
          <w:marTop w:val="0"/>
          <w:marBottom w:val="0"/>
          <w:divBdr>
            <w:top w:val="none" w:sz="0" w:space="0" w:color="auto"/>
            <w:left w:val="none" w:sz="0" w:space="0" w:color="auto"/>
            <w:bottom w:val="none" w:sz="0" w:space="0" w:color="auto"/>
            <w:right w:val="none" w:sz="0" w:space="0" w:color="auto"/>
          </w:divBdr>
          <w:divsChild>
            <w:div w:id="679695847">
              <w:marLeft w:val="0"/>
              <w:marRight w:val="0"/>
              <w:marTop w:val="0"/>
              <w:marBottom w:val="0"/>
              <w:divBdr>
                <w:top w:val="none" w:sz="0" w:space="0" w:color="auto"/>
                <w:left w:val="none" w:sz="0" w:space="0" w:color="auto"/>
                <w:bottom w:val="none" w:sz="0" w:space="0" w:color="auto"/>
                <w:right w:val="none" w:sz="0" w:space="0" w:color="auto"/>
              </w:divBdr>
            </w:div>
          </w:divsChild>
        </w:div>
        <w:div w:id="511843816">
          <w:marLeft w:val="0"/>
          <w:marRight w:val="0"/>
          <w:marTop w:val="0"/>
          <w:marBottom w:val="0"/>
          <w:divBdr>
            <w:top w:val="none" w:sz="0" w:space="0" w:color="auto"/>
            <w:left w:val="none" w:sz="0" w:space="0" w:color="auto"/>
            <w:bottom w:val="none" w:sz="0" w:space="0" w:color="auto"/>
            <w:right w:val="none" w:sz="0" w:space="0" w:color="auto"/>
          </w:divBdr>
          <w:divsChild>
            <w:div w:id="1918712383">
              <w:marLeft w:val="0"/>
              <w:marRight w:val="0"/>
              <w:marTop w:val="0"/>
              <w:marBottom w:val="0"/>
              <w:divBdr>
                <w:top w:val="none" w:sz="0" w:space="0" w:color="auto"/>
                <w:left w:val="none" w:sz="0" w:space="0" w:color="auto"/>
                <w:bottom w:val="none" w:sz="0" w:space="0" w:color="auto"/>
                <w:right w:val="none" w:sz="0" w:space="0" w:color="auto"/>
              </w:divBdr>
            </w:div>
          </w:divsChild>
        </w:div>
        <w:div w:id="519854255">
          <w:marLeft w:val="0"/>
          <w:marRight w:val="0"/>
          <w:marTop w:val="0"/>
          <w:marBottom w:val="0"/>
          <w:divBdr>
            <w:top w:val="none" w:sz="0" w:space="0" w:color="auto"/>
            <w:left w:val="none" w:sz="0" w:space="0" w:color="auto"/>
            <w:bottom w:val="none" w:sz="0" w:space="0" w:color="auto"/>
            <w:right w:val="none" w:sz="0" w:space="0" w:color="auto"/>
          </w:divBdr>
          <w:divsChild>
            <w:div w:id="457183170">
              <w:marLeft w:val="0"/>
              <w:marRight w:val="0"/>
              <w:marTop w:val="0"/>
              <w:marBottom w:val="0"/>
              <w:divBdr>
                <w:top w:val="none" w:sz="0" w:space="0" w:color="auto"/>
                <w:left w:val="none" w:sz="0" w:space="0" w:color="auto"/>
                <w:bottom w:val="none" w:sz="0" w:space="0" w:color="auto"/>
                <w:right w:val="none" w:sz="0" w:space="0" w:color="auto"/>
              </w:divBdr>
            </w:div>
          </w:divsChild>
        </w:div>
        <w:div w:id="535119009">
          <w:marLeft w:val="0"/>
          <w:marRight w:val="0"/>
          <w:marTop w:val="0"/>
          <w:marBottom w:val="0"/>
          <w:divBdr>
            <w:top w:val="none" w:sz="0" w:space="0" w:color="auto"/>
            <w:left w:val="none" w:sz="0" w:space="0" w:color="auto"/>
            <w:bottom w:val="none" w:sz="0" w:space="0" w:color="auto"/>
            <w:right w:val="none" w:sz="0" w:space="0" w:color="auto"/>
          </w:divBdr>
          <w:divsChild>
            <w:div w:id="2014916015">
              <w:marLeft w:val="0"/>
              <w:marRight w:val="0"/>
              <w:marTop w:val="0"/>
              <w:marBottom w:val="0"/>
              <w:divBdr>
                <w:top w:val="none" w:sz="0" w:space="0" w:color="auto"/>
                <w:left w:val="none" w:sz="0" w:space="0" w:color="auto"/>
                <w:bottom w:val="none" w:sz="0" w:space="0" w:color="auto"/>
                <w:right w:val="none" w:sz="0" w:space="0" w:color="auto"/>
              </w:divBdr>
            </w:div>
          </w:divsChild>
        </w:div>
        <w:div w:id="557130208">
          <w:marLeft w:val="0"/>
          <w:marRight w:val="0"/>
          <w:marTop w:val="0"/>
          <w:marBottom w:val="0"/>
          <w:divBdr>
            <w:top w:val="none" w:sz="0" w:space="0" w:color="auto"/>
            <w:left w:val="none" w:sz="0" w:space="0" w:color="auto"/>
            <w:bottom w:val="none" w:sz="0" w:space="0" w:color="auto"/>
            <w:right w:val="none" w:sz="0" w:space="0" w:color="auto"/>
          </w:divBdr>
          <w:divsChild>
            <w:div w:id="1512914072">
              <w:marLeft w:val="0"/>
              <w:marRight w:val="0"/>
              <w:marTop w:val="0"/>
              <w:marBottom w:val="0"/>
              <w:divBdr>
                <w:top w:val="none" w:sz="0" w:space="0" w:color="auto"/>
                <w:left w:val="none" w:sz="0" w:space="0" w:color="auto"/>
                <w:bottom w:val="none" w:sz="0" w:space="0" w:color="auto"/>
                <w:right w:val="none" w:sz="0" w:space="0" w:color="auto"/>
              </w:divBdr>
            </w:div>
          </w:divsChild>
        </w:div>
        <w:div w:id="586497716">
          <w:marLeft w:val="0"/>
          <w:marRight w:val="0"/>
          <w:marTop w:val="0"/>
          <w:marBottom w:val="0"/>
          <w:divBdr>
            <w:top w:val="none" w:sz="0" w:space="0" w:color="auto"/>
            <w:left w:val="none" w:sz="0" w:space="0" w:color="auto"/>
            <w:bottom w:val="none" w:sz="0" w:space="0" w:color="auto"/>
            <w:right w:val="none" w:sz="0" w:space="0" w:color="auto"/>
          </w:divBdr>
          <w:divsChild>
            <w:div w:id="1007829818">
              <w:marLeft w:val="0"/>
              <w:marRight w:val="0"/>
              <w:marTop w:val="0"/>
              <w:marBottom w:val="0"/>
              <w:divBdr>
                <w:top w:val="none" w:sz="0" w:space="0" w:color="auto"/>
                <w:left w:val="none" w:sz="0" w:space="0" w:color="auto"/>
                <w:bottom w:val="none" w:sz="0" w:space="0" w:color="auto"/>
                <w:right w:val="none" w:sz="0" w:space="0" w:color="auto"/>
              </w:divBdr>
            </w:div>
          </w:divsChild>
        </w:div>
        <w:div w:id="616833896">
          <w:marLeft w:val="0"/>
          <w:marRight w:val="0"/>
          <w:marTop w:val="0"/>
          <w:marBottom w:val="0"/>
          <w:divBdr>
            <w:top w:val="none" w:sz="0" w:space="0" w:color="auto"/>
            <w:left w:val="none" w:sz="0" w:space="0" w:color="auto"/>
            <w:bottom w:val="none" w:sz="0" w:space="0" w:color="auto"/>
            <w:right w:val="none" w:sz="0" w:space="0" w:color="auto"/>
          </w:divBdr>
          <w:divsChild>
            <w:div w:id="249434714">
              <w:marLeft w:val="0"/>
              <w:marRight w:val="0"/>
              <w:marTop w:val="0"/>
              <w:marBottom w:val="0"/>
              <w:divBdr>
                <w:top w:val="none" w:sz="0" w:space="0" w:color="auto"/>
                <w:left w:val="none" w:sz="0" w:space="0" w:color="auto"/>
                <w:bottom w:val="none" w:sz="0" w:space="0" w:color="auto"/>
                <w:right w:val="none" w:sz="0" w:space="0" w:color="auto"/>
              </w:divBdr>
            </w:div>
          </w:divsChild>
        </w:div>
        <w:div w:id="636911459">
          <w:marLeft w:val="0"/>
          <w:marRight w:val="0"/>
          <w:marTop w:val="0"/>
          <w:marBottom w:val="0"/>
          <w:divBdr>
            <w:top w:val="none" w:sz="0" w:space="0" w:color="auto"/>
            <w:left w:val="none" w:sz="0" w:space="0" w:color="auto"/>
            <w:bottom w:val="none" w:sz="0" w:space="0" w:color="auto"/>
            <w:right w:val="none" w:sz="0" w:space="0" w:color="auto"/>
          </w:divBdr>
          <w:divsChild>
            <w:div w:id="2036075165">
              <w:marLeft w:val="0"/>
              <w:marRight w:val="0"/>
              <w:marTop w:val="0"/>
              <w:marBottom w:val="0"/>
              <w:divBdr>
                <w:top w:val="none" w:sz="0" w:space="0" w:color="auto"/>
                <w:left w:val="none" w:sz="0" w:space="0" w:color="auto"/>
                <w:bottom w:val="none" w:sz="0" w:space="0" w:color="auto"/>
                <w:right w:val="none" w:sz="0" w:space="0" w:color="auto"/>
              </w:divBdr>
            </w:div>
          </w:divsChild>
        </w:div>
        <w:div w:id="650867841">
          <w:marLeft w:val="0"/>
          <w:marRight w:val="0"/>
          <w:marTop w:val="0"/>
          <w:marBottom w:val="0"/>
          <w:divBdr>
            <w:top w:val="none" w:sz="0" w:space="0" w:color="auto"/>
            <w:left w:val="none" w:sz="0" w:space="0" w:color="auto"/>
            <w:bottom w:val="none" w:sz="0" w:space="0" w:color="auto"/>
            <w:right w:val="none" w:sz="0" w:space="0" w:color="auto"/>
          </w:divBdr>
          <w:divsChild>
            <w:div w:id="1318419996">
              <w:marLeft w:val="0"/>
              <w:marRight w:val="0"/>
              <w:marTop w:val="0"/>
              <w:marBottom w:val="0"/>
              <w:divBdr>
                <w:top w:val="none" w:sz="0" w:space="0" w:color="auto"/>
                <w:left w:val="none" w:sz="0" w:space="0" w:color="auto"/>
                <w:bottom w:val="none" w:sz="0" w:space="0" w:color="auto"/>
                <w:right w:val="none" w:sz="0" w:space="0" w:color="auto"/>
              </w:divBdr>
            </w:div>
          </w:divsChild>
        </w:div>
        <w:div w:id="658920847">
          <w:marLeft w:val="0"/>
          <w:marRight w:val="0"/>
          <w:marTop w:val="0"/>
          <w:marBottom w:val="0"/>
          <w:divBdr>
            <w:top w:val="none" w:sz="0" w:space="0" w:color="auto"/>
            <w:left w:val="none" w:sz="0" w:space="0" w:color="auto"/>
            <w:bottom w:val="none" w:sz="0" w:space="0" w:color="auto"/>
            <w:right w:val="none" w:sz="0" w:space="0" w:color="auto"/>
          </w:divBdr>
          <w:divsChild>
            <w:div w:id="1580484924">
              <w:marLeft w:val="0"/>
              <w:marRight w:val="0"/>
              <w:marTop w:val="0"/>
              <w:marBottom w:val="0"/>
              <w:divBdr>
                <w:top w:val="none" w:sz="0" w:space="0" w:color="auto"/>
                <w:left w:val="none" w:sz="0" w:space="0" w:color="auto"/>
                <w:bottom w:val="none" w:sz="0" w:space="0" w:color="auto"/>
                <w:right w:val="none" w:sz="0" w:space="0" w:color="auto"/>
              </w:divBdr>
            </w:div>
          </w:divsChild>
        </w:div>
        <w:div w:id="666980488">
          <w:marLeft w:val="0"/>
          <w:marRight w:val="0"/>
          <w:marTop w:val="0"/>
          <w:marBottom w:val="0"/>
          <w:divBdr>
            <w:top w:val="none" w:sz="0" w:space="0" w:color="auto"/>
            <w:left w:val="none" w:sz="0" w:space="0" w:color="auto"/>
            <w:bottom w:val="none" w:sz="0" w:space="0" w:color="auto"/>
            <w:right w:val="none" w:sz="0" w:space="0" w:color="auto"/>
          </w:divBdr>
          <w:divsChild>
            <w:div w:id="191186416">
              <w:marLeft w:val="0"/>
              <w:marRight w:val="0"/>
              <w:marTop w:val="0"/>
              <w:marBottom w:val="0"/>
              <w:divBdr>
                <w:top w:val="none" w:sz="0" w:space="0" w:color="auto"/>
                <w:left w:val="none" w:sz="0" w:space="0" w:color="auto"/>
                <w:bottom w:val="none" w:sz="0" w:space="0" w:color="auto"/>
                <w:right w:val="none" w:sz="0" w:space="0" w:color="auto"/>
              </w:divBdr>
            </w:div>
          </w:divsChild>
        </w:div>
        <w:div w:id="672999250">
          <w:marLeft w:val="0"/>
          <w:marRight w:val="0"/>
          <w:marTop w:val="0"/>
          <w:marBottom w:val="0"/>
          <w:divBdr>
            <w:top w:val="none" w:sz="0" w:space="0" w:color="auto"/>
            <w:left w:val="none" w:sz="0" w:space="0" w:color="auto"/>
            <w:bottom w:val="none" w:sz="0" w:space="0" w:color="auto"/>
            <w:right w:val="none" w:sz="0" w:space="0" w:color="auto"/>
          </w:divBdr>
          <w:divsChild>
            <w:div w:id="2094625764">
              <w:marLeft w:val="0"/>
              <w:marRight w:val="0"/>
              <w:marTop w:val="0"/>
              <w:marBottom w:val="0"/>
              <w:divBdr>
                <w:top w:val="none" w:sz="0" w:space="0" w:color="auto"/>
                <w:left w:val="none" w:sz="0" w:space="0" w:color="auto"/>
                <w:bottom w:val="none" w:sz="0" w:space="0" w:color="auto"/>
                <w:right w:val="none" w:sz="0" w:space="0" w:color="auto"/>
              </w:divBdr>
            </w:div>
          </w:divsChild>
        </w:div>
        <w:div w:id="697118374">
          <w:marLeft w:val="0"/>
          <w:marRight w:val="0"/>
          <w:marTop w:val="0"/>
          <w:marBottom w:val="0"/>
          <w:divBdr>
            <w:top w:val="none" w:sz="0" w:space="0" w:color="auto"/>
            <w:left w:val="none" w:sz="0" w:space="0" w:color="auto"/>
            <w:bottom w:val="none" w:sz="0" w:space="0" w:color="auto"/>
            <w:right w:val="none" w:sz="0" w:space="0" w:color="auto"/>
          </w:divBdr>
          <w:divsChild>
            <w:div w:id="1770926244">
              <w:marLeft w:val="0"/>
              <w:marRight w:val="0"/>
              <w:marTop w:val="0"/>
              <w:marBottom w:val="0"/>
              <w:divBdr>
                <w:top w:val="none" w:sz="0" w:space="0" w:color="auto"/>
                <w:left w:val="none" w:sz="0" w:space="0" w:color="auto"/>
                <w:bottom w:val="none" w:sz="0" w:space="0" w:color="auto"/>
                <w:right w:val="none" w:sz="0" w:space="0" w:color="auto"/>
              </w:divBdr>
            </w:div>
          </w:divsChild>
        </w:div>
        <w:div w:id="702246642">
          <w:marLeft w:val="0"/>
          <w:marRight w:val="0"/>
          <w:marTop w:val="0"/>
          <w:marBottom w:val="0"/>
          <w:divBdr>
            <w:top w:val="none" w:sz="0" w:space="0" w:color="auto"/>
            <w:left w:val="none" w:sz="0" w:space="0" w:color="auto"/>
            <w:bottom w:val="none" w:sz="0" w:space="0" w:color="auto"/>
            <w:right w:val="none" w:sz="0" w:space="0" w:color="auto"/>
          </w:divBdr>
          <w:divsChild>
            <w:div w:id="423502574">
              <w:marLeft w:val="0"/>
              <w:marRight w:val="0"/>
              <w:marTop w:val="0"/>
              <w:marBottom w:val="0"/>
              <w:divBdr>
                <w:top w:val="none" w:sz="0" w:space="0" w:color="auto"/>
                <w:left w:val="none" w:sz="0" w:space="0" w:color="auto"/>
                <w:bottom w:val="none" w:sz="0" w:space="0" w:color="auto"/>
                <w:right w:val="none" w:sz="0" w:space="0" w:color="auto"/>
              </w:divBdr>
            </w:div>
          </w:divsChild>
        </w:div>
        <w:div w:id="718170076">
          <w:marLeft w:val="0"/>
          <w:marRight w:val="0"/>
          <w:marTop w:val="0"/>
          <w:marBottom w:val="0"/>
          <w:divBdr>
            <w:top w:val="none" w:sz="0" w:space="0" w:color="auto"/>
            <w:left w:val="none" w:sz="0" w:space="0" w:color="auto"/>
            <w:bottom w:val="none" w:sz="0" w:space="0" w:color="auto"/>
            <w:right w:val="none" w:sz="0" w:space="0" w:color="auto"/>
          </w:divBdr>
          <w:divsChild>
            <w:div w:id="423110977">
              <w:marLeft w:val="0"/>
              <w:marRight w:val="0"/>
              <w:marTop w:val="0"/>
              <w:marBottom w:val="0"/>
              <w:divBdr>
                <w:top w:val="none" w:sz="0" w:space="0" w:color="auto"/>
                <w:left w:val="none" w:sz="0" w:space="0" w:color="auto"/>
                <w:bottom w:val="none" w:sz="0" w:space="0" w:color="auto"/>
                <w:right w:val="none" w:sz="0" w:space="0" w:color="auto"/>
              </w:divBdr>
            </w:div>
          </w:divsChild>
        </w:div>
        <w:div w:id="729962652">
          <w:marLeft w:val="0"/>
          <w:marRight w:val="0"/>
          <w:marTop w:val="0"/>
          <w:marBottom w:val="0"/>
          <w:divBdr>
            <w:top w:val="none" w:sz="0" w:space="0" w:color="auto"/>
            <w:left w:val="none" w:sz="0" w:space="0" w:color="auto"/>
            <w:bottom w:val="none" w:sz="0" w:space="0" w:color="auto"/>
            <w:right w:val="none" w:sz="0" w:space="0" w:color="auto"/>
          </w:divBdr>
          <w:divsChild>
            <w:div w:id="528184032">
              <w:marLeft w:val="0"/>
              <w:marRight w:val="0"/>
              <w:marTop w:val="0"/>
              <w:marBottom w:val="0"/>
              <w:divBdr>
                <w:top w:val="none" w:sz="0" w:space="0" w:color="auto"/>
                <w:left w:val="none" w:sz="0" w:space="0" w:color="auto"/>
                <w:bottom w:val="none" w:sz="0" w:space="0" w:color="auto"/>
                <w:right w:val="none" w:sz="0" w:space="0" w:color="auto"/>
              </w:divBdr>
            </w:div>
          </w:divsChild>
        </w:div>
        <w:div w:id="740367640">
          <w:marLeft w:val="0"/>
          <w:marRight w:val="0"/>
          <w:marTop w:val="0"/>
          <w:marBottom w:val="0"/>
          <w:divBdr>
            <w:top w:val="none" w:sz="0" w:space="0" w:color="auto"/>
            <w:left w:val="none" w:sz="0" w:space="0" w:color="auto"/>
            <w:bottom w:val="none" w:sz="0" w:space="0" w:color="auto"/>
            <w:right w:val="none" w:sz="0" w:space="0" w:color="auto"/>
          </w:divBdr>
          <w:divsChild>
            <w:div w:id="1157645768">
              <w:marLeft w:val="0"/>
              <w:marRight w:val="0"/>
              <w:marTop w:val="0"/>
              <w:marBottom w:val="0"/>
              <w:divBdr>
                <w:top w:val="none" w:sz="0" w:space="0" w:color="auto"/>
                <w:left w:val="none" w:sz="0" w:space="0" w:color="auto"/>
                <w:bottom w:val="none" w:sz="0" w:space="0" w:color="auto"/>
                <w:right w:val="none" w:sz="0" w:space="0" w:color="auto"/>
              </w:divBdr>
            </w:div>
          </w:divsChild>
        </w:div>
        <w:div w:id="755789928">
          <w:marLeft w:val="0"/>
          <w:marRight w:val="0"/>
          <w:marTop w:val="0"/>
          <w:marBottom w:val="0"/>
          <w:divBdr>
            <w:top w:val="none" w:sz="0" w:space="0" w:color="auto"/>
            <w:left w:val="none" w:sz="0" w:space="0" w:color="auto"/>
            <w:bottom w:val="none" w:sz="0" w:space="0" w:color="auto"/>
            <w:right w:val="none" w:sz="0" w:space="0" w:color="auto"/>
          </w:divBdr>
          <w:divsChild>
            <w:div w:id="624889588">
              <w:marLeft w:val="0"/>
              <w:marRight w:val="0"/>
              <w:marTop w:val="0"/>
              <w:marBottom w:val="0"/>
              <w:divBdr>
                <w:top w:val="none" w:sz="0" w:space="0" w:color="auto"/>
                <w:left w:val="none" w:sz="0" w:space="0" w:color="auto"/>
                <w:bottom w:val="none" w:sz="0" w:space="0" w:color="auto"/>
                <w:right w:val="none" w:sz="0" w:space="0" w:color="auto"/>
              </w:divBdr>
            </w:div>
          </w:divsChild>
        </w:div>
        <w:div w:id="762411118">
          <w:marLeft w:val="0"/>
          <w:marRight w:val="0"/>
          <w:marTop w:val="0"/>
          <w:marBottom w:val="0"/>
          <w:divBdr>
            <w:top w:val="none" w:sz="0" w:space="0" w:color="auto"/>
            <w:left w:val="none" w:sz="0" w:space="0" w:color="auto"/>
            <w:bottom w:val="none" w:sz="0" w:space="0" w:color="auto"/>
            <w:right w:val="none" w:sz="0" w:space="0" w:color="auto"/>
          </w:divBdr>
          <w:divsChild>
            <w:div w:id="1896617967">
              <w:marLeft w:val="0"/>
              <w:marRight w:val="0"/>
              <w:marTop w:val="0"/>
              <w:marBottom w:val="0"/>
              <w:divBdr>
                <w:top w:val="none" w:sz="0" w:space="0" w:color="auto"/>
                <w:left w:val="none" w:sz="0" w:space="0" w:color="auto"/>
                <w:bottom w:val="none" w:sz="0" w:space="0" w:color="auto"/>
                <w:right w:val="none" w:sz="0" w:space="0" w:color="auto"/>
              </w:divBdr>
            </w:div>
          </w:divsChild>
        </w:div>
        <w:div w:id="780492002">
          <w:marLeft w:val="0"/>
          <w:marRight w:val="0"/>
          <w:marTop w:val="0"/>
          <w:marBottom w:val="0"/>
          <w:divBdr>
            <w:top w:val="none" w:sz="0" w:space="0" w:color="auto"/>
            <w:left w:val="none" w:sz="0" w:space="0" w:color="auto"/>
            <w:bottom w:val="none" w:sz="0" w:space="0" w:color="auto"/>
            <w:right w:val="none" w:sz="0" w:space="0" w:color="auto"/>
          </w:divBdr>
          <w:divsChild>
            <w:div w:id="262568433">
              <w:marLeft w:val="0"/>
              <w:marRight w:val="0"/>
              <w:marTop w:val="0"/>
              <w:marBottom w:val="0"/>
              <w:divBdr>
                <w:top w:val="none" w:sz="0" w:space="0" w:color="auto"/>
                <w:left w:val="none" w:sz="0" w:space="0" w:color="auto"/>
                <w:bottom w:val="none" w:sz="0" w:space="0" w:color="auto"/>
                <w:right w:val="none" w:sz="0" w:space="0" w:color="auto"/>
              </w:divBdr>
            </w:div>
          </w:divsChild>
        </w:div>
        <w:div w:id="786200119">
          <w:marLeft w:val="0"/>
          <w:marRight w:val="0"/>
          <w:marTop w:val="0"/>
          <w:marBottom w:val="0"/>
          <w:divBdr>
            <w:top w:val="none" w:sz="0" w:space="0" w:color="auto"/>
            <w:left w:val="none" w:sz="0" w:space="0" w:color="auto"/>
            <w:bottom w:val="none" w:sz="0" w:space="0" w:color="auto"/>
            <w:right w:val="none" w:sz="0" w:space="0" w:color="auto"/>
          </w:divBdr>
          <w:divsChild>
            <w:div w:id="425879864">
              <w:marLeft w:val="0"/>
              <w:marRight w:val="0"/>
              <w:marTop w:val="0"/>
              <w:marBottom w:val="0"/>
              <w:divBdr>
                <w:top w:val="none" w:sz="0" w:space="0" w:color="auto"/>
                <w:left w:val="none" w:sz="0" w:space="0" w:color="auto"/>
                <w:bottom w:val="none" w:sz="0" w:space="0" w:color="auto"/>
                <w:right w:val="none" w:sz="0" w:space="0" w:color="auto"/>
              </w:divBdr>
            </w:div>
          </w:divsChild>
        </w:div>
        <w:div w:id="828331292">
          <w:marLeft w:val="0"/>
          <w:marRight w:val="0"/>
          <w:marTop w:val="0"/>
          <w:marBottom w:val="0"/>
          <w:divBdr>
            <w:top w:val="none" w:sz="0" w:space="0" w:color="auto"/>
            <w:left w:val="none" w:sz="0" w:space="0" w:color="auto"/>
            <w:bottom w:val="none" w:sz="0" w:space="0" w:color="auto"/>
            <w:right w:val="none" w:sz="0" w:space="0" w:color="auto"/>
          </w:divBdr>
          <w:divsChild>
            <w:div w:id="149179185">
              <w:marLeft w:val="0"/>
              <w:marRight w:val="0"/>
              <w:marTop w:val="0"/>
              <w:marBottom w:val="0"/>
              <w:divBdr>
                <w:top w:val="none" w:sz="0" w:space="0" w:color="auto"/>
                <w:left w:val="none" w:sz="0" w:space="0" w:color="auto"/>
                <w:bottom w:val="none" w:sz="0" w:space="0" w:color="auto"/>
                <w:right w:val="none" w:sz="0" w:space="0" w:color="auto"/>
              </w:divBdr>
            </w:div>
          </w:divsChild>
        </w:div>
        <w:div w:id="841167419">
          <w:marLeft w:val="0"/>
          <w:marRight w:val="0"/>
          <w:marTop w:val="0"/>
          <w:marBottom w:val="0"/>
          <w:divBdr>
            <w:top w:val="none" w:sz="0" w:space="0" w:color="auto"/>
            <w:left w:val="none" w:sz="0" w:space="0" w:color="auto"/>
            <w:bottom w:val="none" w:sz="0" w:space="0" w:color="auto"/>
            <w:right w:val="none" w:sz="0" w:space="0" w:color="auto"/>
          </w:divBdr>
          <w:divsChild>
            <w:div w:id="1423912971">
              <w:marLeft w:val="0"/>
              <w:marRight w:val="0"/>
              <w:marTop w:val="0"/>
              <w:marBottom w:val="0"/>
              <w:divBdr>
                <w:top w:val="none" w:sz="0" w:space="0" w:color="auto"/>
                <w:left w:val="none" w:sz="0" w:space="0" w:color="auto"/>
                <w:bottom w:val="none" w:sz="0" w:space="0" w:color="auto"/>
                <w:right w:val="none" w:sz="0" w:space="0" w:color="auto"/>
              </w:divBdr>
            </w:div>
          </w:divsChild>
        </w:div>
        <w:div w:id="842166576">
          <w:marLeft w:val="0"/>
          <w:marRight w:val="0"/>
          <w:marTop w:val="0"/>
          <w:marBottom w:val="0"/>
          <w:divBdr>
            <w:top w:val="none" w:sz="0" w:space="0" w:color="auto"/>
            <w:left w:val="none" w:sz="0" w:space="0" w:color="auto"/>
            <w:bottom w:val="none" w:sz="0" w:space="0" w:color="auto"/>
            <w:right w:val="none" w:sz="0" w:space="0" w:color="auto"/>
          </w:divBdr>
          <w:divsChild>
            <w:div w:id="111049831">
              <w:marLeft w:val="0"/>
              <w:marRight w:val="0"/>
              <w:marTop w:val="0"/>
              <w:marBottom w:val="0"/>
              <w:divBdr>
                <w:top w:val="none" w:sz="0" w:space="0" w:color="auto"/>
                <w:left w:val="none" w:sz="0" w:space="0" w:color="auto"/>
                <w:bottom w:val="none" w:sz="0" w:space="0" w:color="auto"/>
                <w:right w:val="none" w:sz="0" w:space="0" w:color="auto"/>
              </w:divBdr>
            </w:div>
          </w:divsChild>
        </w:div>
        <w:div w:id="849222330">
          <w:marLeft w:val="0"/>
          <w:marRight w:val="0"/>
          <w:marTop w:val="0"/>
          <w:marBottom w:val="0"/>
          <w:divBdr>
            <w:top w:val="none" w:sz="0" w:space="0" w:color="auto"/>
            <w:left w:val="none" w:sz="0" w:space="0" w:color="auto"/>
            <w:bottom w:val="none" w:sz="0" w:space="0" w:color="auto"/>
            <w:right w:val="none" w:sz="0" w:space="0" w:color="auto"/>
          </w:divBdr>
          <w:divsChild>
            <w:div w:id="462625675">
              <w:marLeft w:val="0"/>
              <w:marRight w:val="0"/>
              <w:marTop w:val="0"/>
              <w:marBottom w:val="0"/>
              <w:divBdr>
                <w:top w:val="none" w:sz="0" w:space="0" w:color="auto"/>
                <w:left w:val="none" w:sz="0" w:space="0" w:color="auto"/>
                <w:bottom w:val="none" w:sz="0" w:space="0" w:color="auto"/>
                <w:right w:val="none" w:sz="0" w:space="0" w:color="auto"/>
              </w:divBdr>
            </w:div>
          </w:divsChild>
        </w:div>
        <w:div w:id="850140892">
          <w:marLeft w:val="0"/>
          <w:marRight w:val="0"/>
          <w:marTop w:val="0"/>
          <w:marBottom w:val="0"/>
          <w:divBdr>
            <w:top w:val="none" w:sz="0" w:space="0" w:color="auto"/>
            <w:left w:val="none" w:sz="0" w:space="0" w:color="auto"/>
            <w:bottom w:val="none" w:sz="0" w:space="0" w:color="auto"/>
            <w:right w:val="none" w:sz="0" w:space="0" w:color="auto"/>
          </w:divBdr>
          <w:divsChild>
            <w:div w:id="685862411">
              <w:marLeft w:val="0"/>
              <w:marRight w:val="0"/>
              <w:marTop w:val="0"/>
              <w:marBottom w:val="0"/>
              <w:divBdr>
                <w:top w:val="none" w:sz="0" w:space="0" w:color="auto"/>
                <w:left w:val="none" w:sz="0" w:space="0" w:color="auto"/>
                <w:bottom w:val="none" w:sz="0" w:space="0" w:color="auto"/>
                <w:right w:val="none" w:sz="0" w:space="0" w:color="auto"/>
              </w:divBdr>
            </w:div>
          </w:divsChild>
        </w:div>
        <w:div w:id="871572875">
          <w:marLeft w:val="0"/>
          <w:marRight w:val="0"/>
          <w:marTop w:val="0"/>
          <w:marBottom w:val="0"/>
          <w:divBdr>
            <w:top w:val="none" w:sz="0" w:space="0" w:color="auto"/>
            <w:left w:val="none" w:sz="0" w:space="0" w:color="auto"/>
            <w:bottom w:val="none" w:sz="0" w:space="0" w:color="auto"/>
            <w:right w:val="none" w:sz="0" w:space="0" w:color="auto"/>
          </w:divBdr>
          <w:divsChild>
            <w:div w:id="1864973327">
              <w:marLeft w:val="0"/>
              <w:marRight w:val="0"/>
              <w:marTop w:val="0"/>
              <w:marBottom w:val="0"/>
              <w:divBdr>
                <w:top w:val="none" w:sz="0" w:space="0" w:color="auto"/>
                <w:left w:val="none" w:sz="0" w:space="0" w:color="auto"/>
                <w:bottom w:val="none" w:sz="0" w:space="0" w:color="auto"/>
                <w:right w:val="none" w:sz="0" w:space="0" w:color="auto"/>
              </w:divBdr>
            </w:div>
          </w:divsChild>
        </w:div>
        <w:div w:id="876744388">
          <w:marLeft w:val="0"/>
          <w:marRight w:val="0"/>
          <w:marTop w:val="0"/>
          <w:marBottom w:val="0"/>
          <w:divBdr>
            <w:top w:val="none" w:sz="0" w:space="0" w:color="auto"/>
            <w:left w:val="none" w:sz="0" w:space="0" w:color="auto"/>
            <w:bottom w:val="none" w:sz="0" w:space="0" w:color="auto"/>
            <w:right w:val="none" w:sz="0" w:space="0" w:color="auto"/>
          </w:divBdr>
          <w:divsChild>
            <w:div w:id="669216804">
              <w:marLeft w:val="0"/>
              <w:marRight w:val="0"/>
              <w:marTop w:val="0"/>
              <w:marBottom w:val="0"/>
              <w:divBdr>
                <w:top w:val="none" w:sz="0" w:space="0" w:color="auto"/>
                <w:left w:val="none" w:sz="0" w:space="0" w:color="auto"/>
                <w:bottom w:val="none" w:sz="0" w:space="0" w:color="auto"/>
                <w:right w:val="none" w:sz="0" w:space="0" w:color="auto"/>
              </w:divBdr>
            </w:div>
          </w:divsChild>
        </w:div>
        <w:div w:id="876815326">
          <w:marLeft w:val="0"/>
          <w:marRight w:val="0"/>
          <w:marTop w:val="0"/>
          <w:marBottom w:val="0"/>
          <w:divBdr>
            <w:top w:val="none" w:sz="0" w:space="0" w:color="auto"/>
            <w:left w:val="none" w:sz="0" w:space="0" w:color="auto"/>
            <w:bottom w:val="none" w:sz="0" w:space="0" w:color="auto"/>
            <w:right w:val="none" w:sz="0" w:space="0" w:color="auto"/>
          </w:divBdr>
          <w:divsChild>
            <w:div w:id="647980931">
              <w:marLeft w:val="0"/>
              <w:marRight w:val="0"/>
              <w:marTop w:val="0"/>
              <w:marBottom w:val="0"/>
              <w:divBdr>
                <w:top w:val="none" w:sz="0" w:space="0" w:color="auto"/>
                <w:left w:val="none" w:sz="0" w:space="0" w:color="auto"/>
                <w:bottom w:val="none" w:sz="0" w:space="0" w:color="auto"/>
                <w:right w:val="none" w:sz="0" w:space="0" w:color="auto"/>
              </w:divBdr>
            </w:div>
          </w:divsChild>
        </w:div>
        <w:div w:id="891885758">
          <w:marLeft w:val="0"/>
          <w:marRight w:val="0"/>
          <w:marTop w:val="0"/>
          <w:marBottom w:val="0"/>
          <w:divBdr>
            <w:top w:val="none" w:sz="0" w:space="0" w:color="auto"/>
            <w:left w:val="none" w:sz="0" w:space="0" w:color="auto"/>
            <w:bottom w:val="none" w:sz="0" w:space="0" w:color="auto"/>
            <w:right w:val="none" w:sz="0" w:space="0" w:color="auto"/>
          </w:divBdr>
          <w:divsChild>
            <w:div w:id="430588874">
              <w:marLeft w:val="0"/>
              <w:marRight w:val="0"/>
              <w:marTop w:val="0"/>
              <w:marBottom w:val="0"/>
              <w:divBdr>
                <w:top w:val="none" w:sz="0" w:space="0" w:color="auto"/>
                <w:left w:val="none" w:sz="0" w:space="0" w:color="auto"/>
                <w:bottom w:val="none" w:sz="0" w:space="0" w:color="auto"/>
                <w:right w:val="none" w:sz="0" w:space="0" w:color="auto"/>
              </w:divBdr>
            </w:div>
          </w:divsChild>
        </w:div>
        <w:div w:id="897130867">
          <w:marLeft w:val="0"/>
          <w:marRight w:val="0"/>
          <w:marTop w:val="0"/>
          <w:marBottom w:val="0"/>
          <w:divBdr>
            <w:top w:val="none" w:sz="0" w:space="0" w:color="auto"/>
            <w:left w:val="none" w:sz="0" w:space="0" w:color="auto"/>
            <w:bottom w:val="none" w:sz="0" w:space="0" w:color="auto"/>
            <w:right w:val="none" w:sz="0" w:space="0" w:color="auto"/>
          </w:divBdr>
          <w:divsChild>
            <w:div w:id="201291128">
              <w:marLeft w:val="0"/>
              <w:marRight w:val="0"/>
              <w:marTop w:val="0"/>
              <w:marBottom w:val="0"/>
              <w:divBdr>
                <w:top w:val="none" w:sz="0" w:space="0" w:color="auto"/>
                <w:left w:val="none" w:sz="0" w:space="0" w:color="auto"/>
                <w:bottom w:val="none" w:sz="0" w:space="0" w:color="auto"/>
                <w:right w:val="none" w:sz="0" w:space="0" w:color="auto"/>
              </w:divBdr>
            </w:div>
          </w:divsChild>
        </w:div>
        <w:div w:id="902525741">
          <w:marLeft w:val="0"/>
          <w:marRight w:val="0"/>
          <w:marTop w:val="0"/>
          <w:marBottom w:val="0"/>
          <w:divBdr>
            <w:top w:val="none" w:sz="0" w:space="0" w:color="auto"/>
            <w:left w:val="none" w:sz="0" w:space="0" w:color="auto"/>
            <w:bottom w:val="none" w:sz="0" w:space="0" w:color="auto"/>
            <w:right w:val="none" w:sz="0" w:space="0" w:color="auto"/>
          </w:divBdr>
          <w:divsChild>
            <w:div w:id="609161779">
              <w:marLeft w:val="0"/>
              <w:marRight w:val="0"/>
              <w:marTop w:val="0"/>
              <w:marBottom w:val="0"/>
              <w:divBdr>
                <w:top w:val="none" w:sz="0" w:space="0" w:color="auto"/>
                <w:left w:val="none" w:sz="0" w:space="0" w:color="auto"/>
                <w:bottom w:val="none" w:sz="0" w:space="0" w:color="auto"/>
                <w:right w:val="none" w:sz="0" w:space="0" w:color="auto"/>
              </w:divBdr>
            </w:div>
          </w:divsChild>
        </w:div>
        <w:div w:id="911817864">
          <w:marLeft w:val="0"/>
          <w:marRight w:val="0"/>
          <w:marTop w:val="0"/>
          <w:marBottom w:val="0"/>
          <w:divBdr>
            <w:top w:val="none" w:sz="0" w:space="0" w:color="auto"/>
            <w:left w:val="none" w:sz="0" w:space="0" w:color="auto"/>
            <w:bottom w:val="none" w:sz="0" w:space="0" w:color="auto"/>
            <w:right w:val="none" w:sz="0" w:space="0" w:color="auto"/>
          </w:divBdr>
          <w:divsChild>
            <w:div w:id="1829982565">
              <w:marLeft w:val="0"/>
              <w:marRight w:val="0"/>
              <w:marTop w:val="0"/>
              <w:marBottom w:val="0"/>
              <w:divBdr>
                <w:top w:val="none" w:sz="0" w:space="0" w:color="auto"/>
                <w:left w:val="none" w:sz="0" w:space="0" w:color="auto"/>
                <w:bottom w:val="none" w:sz="0" w:space="0" w:color="auto"/>
                <w:right w:val="none" w:sz="0" w:space="0" w:color="auto"/>
              </w:divBdr>
            </w:div>
          </w:divsChild>
        </w:div>
        <w:div w:id="916019313">
          <w:marLeft w:val="0"/>
          <w:marRight w:val="0"/>
          <w:marTop w:val="0"/>
          <w:marBottom w:val="0"/>
          <w:divBdr>
            <w:top w:val="none" w:sz="0" w:space="0" w:color="auto"/>
            <w:left w:val="none" w:sz="0" w:space="0" w:color="auto"/>
            <w:bottom w:val="none" w:sz="0" w:space="0" w:color="auto"/>
            <w:right w:val="none" w:sz="0" w:space="0" w:color="auto"/>
          </w:divBdr>
          <w:divsChild>
            <w:div w:id="1709258280">
              <w:marLeft w:val="0"/>
              <w:marRight w:val="0"/>
              <w:marTop w:val="0"/>
              <w:marBottom w:val="0"/>
              <w:divBdr>
                <w:top w:val="none" w:sz="0" w:space="0" w:color="auto"/>
                <w:left w:val="none" w:sz="0" w:space="0" w:color="auto"/>
                <w:bottom w:val="none" w:sz="0" w:space="0" w:color="auto"/>
                <w:right w:val="none" w:sz="0" w:space="0" w:color="auto"/>
              </w:divBdr>
            </w:div>
          </w:divsChild>
        </w:div>
        <w:div w:id="920795359">
          <w:marLeft w:val="0"/>
          <w:marRight w:val="0"/>
          <w:marTop w:val="0"/>
          <w:marBottom w:val="0"/>
          <w:divBdr>
            <w:top w:val="none" w:sz="0" w:space="0" w:color="auto"/>
            <w:left w:val="none" w:sz="0" w:space="0" w:color="auto"/>
            <w:bottom w:val="none" w:sz="0" w:space="0" w:color="auto"/>
            <w:right w:val="none" w:sz="0" w:space="0" w:color="auto"/>
          </w:divBdr>
          <w:divsChild>
            <w:div w:id="2135981203">
              <w:marLeft w:val="0"/>
              <w:marRight w:val="0"/>
              <w:marTop w:val="0"/>
              <w:marBottom w:val="0"/>
              <w:divBdr>
                <w:top w:val="none" w:sz="0" w:space="0" w:color="auto"/>
                <w:left w:val="none" w:sz="0" w:space="0" w:color="auto"/>
                <w:bottom w:val="none" w:sz="0" w:space="0" w:color="auto"/>
                <w:right w:val="none" w:sz="0" w:space="0" w:color="auto"/>
              </w:divBdr>
            </w:div>
          </w:divsChild>
        </w:div>
        <w:div w:id="963999094">
          <w:marLeft w:val="0"/>
          <w:marRight w:val="0"/>
          <w:marTop w:val="0"/>
          <w:marBottom w:val="0"/>
          <w:divBdr>
            <w:top w:val="none" w:sz="0" w:space="0" w:color="auto"/>
            <w:left w:val="none" w:sz="0" w:space="0" w:color="auto"/>
            <w:bottom w:val="none" w:sz="0" w:space="0" w:color="auto"/>
            <w:right w:val="none" w:sz="0" w:space="0" w:color="auto"/>
          </w:divBdr>
          <w:divsChild>
            <w:div w:id="336005112">
              <w:marLeft w:val="0"/>
              <w:marRight w:val="0"/>
              <w:marTop w:val="0"/>
              <w:marBottom w:val="0"/>
              <w:divBdr>
                <w:top w:val="none" w:sz="0" w:space="0" w:color="auto"/>
                <w:left w:val="none" w:sz="0" w:space="0" w:color="auto"/>
                <w:bottom w:val="none" w:sz="0" w:space="0" w:color="auto"/>
                <w:right w:val="none" w:sz="0" w:space="0" w:color="auto"/>
              </w:divBdr>
            </w:div>
          </w:divsChild>
        </w:div>
        <w:div w:id="984316412">
          <w:marLeft w:val="0"/>
          <w:marRight w:val="0"/>
          <w:marTop w:val="0"/>
          <w:marBottom w:val="0"/>
          <w:divBdr>
            <w:top w:val="none" w:sz="0" w:space="0" w:color="auto"/>
            <w:left w:val="none" w:sz="0" w:space="0" w:color="auto"/>
            <w:bottom w:val="none" w:sz="0" w:space="0" w:color="auto"/>
            <w:right w:val="none" w:sz="0" w:space="0" w:color="auto"/>
          </w:divBdr>
          <w:divsChild>
            <w:div w:id="1991129847">
              <w:marLeft w:val="0"/>
              <w:marRight w:val="0"/>
              <w:marTop w:val="0"/>
              <w:marBottom w:val="0"/>
              <w:divBdr>
                <w:top w:val="none" w:sz="0" w:space="0" w:color="auto"/>
                <w:left w:val="none" w:sz="0" w:space="0" w:color="auto"/>
                <w:bottom w:val="none" w:sz="0" w:space="0" w:color="auto"/>
                <w:right w:val="none" w:sz="0" w:space="0" w:color="auto"/>
              </w:divBdr>
            </w:div>
          </w:divsChild>
        </w:div>
        <w:div w:id="1005666963">
          <w:marLeft w:val="0"/>
          <w:marRight w:val="0"/>
          <w:marTop w:val="0"/>
          <w:marBottom w:val="0"/>
          <w:divBdr>
            <w:top w:val="none" w:sz="0" w:space="0" w:color="auto"/>
            <w:left w:val="none" w:sz="0" w:space="0" w:color="auto"/>
            <w:bottom w:val="none" w:sz="0" w:space="0" w:color="auto"/>
            <w:right w:val="none" w:sz="0" w:space="0" w:color="auto"/>
          </w:divBdr>
          <w:divsChild>
            <w:div w:id="1091127389">
              <w:marLeft w:val="0"/>
              <w:marRight w:val="0"/>
              <w:marTop w:val="0"/>
              <w:marBottom w:val="0"/>
              <w:divBdr>
                <w:top w:val="none" w:sz="0" w:space="0" w:color="auto"/>
                <w:left w:val="none" w:sz="0" w:space="0" w:color="auto"/>
                <w:bottom w:val="none" w:sz="0" w:space="0" w:color="auto"/>
                <w:right w:val="none" w:sz="0" w:space="0" w:color="auto"/>
              </w:divBdr>
            </w:div>
          </w:divsChild>
        </w:div>
        <w:div w:id="1033963693">
          <w:marLeft w:val="0"/>
          <w:marRight w:val="0"/>
          <w:marTop w:val="0"/>
          <w:marBottom w:val="0"/>
          <w:divBdr>
            <w:top w:val="none" w:sz="0" w:space="0" w:color="auto"/>
            <w:left w:val="none" w:sz="0" w:space="0" w:color="auto"/>
            <w:bottom w:val="none" w:sz="0" w:space="0" w:color="auto"/>
            <w:right w:val="none" w:sz="0" w:space="0" w:color="auto"/>
          </w:divBdr>
          <w:divsChild>
            <w:div w:id="769591385">
              <w:marLeft w:val="0"/>
              <w:marRight w:val="0"/>
              <w:marTop w:val="0"/>
              <w:marBottom w:val="0"/>
              <w:divBdr>
                <w:top w:val="none" w:sz="0" w:space="0" w:color="auto"/>
                <w:left w:val="none" w:sz="0" w:space="0" w:color="auto"/>
                <w:bottom w:val="none" w:sz="0" w:space="0" w:color="auto"/>
                <w:right w:val="none" w:sz="0" w:space="0" w:color="auto"/>
              </w:divBdr>
            </w:div>
          </w:divsChild>
        </w:div>
        <w:div w:id="1041709984">
          <w:marLeft w:val="0"/>
          <w:marRight w:val="0"/>
          <w:marTop w:val="0"/>
          <w:marBottom w:val="0"/>
          <w:divBdr>
            <w:top w:val="none" w:sz="0" w:space="0" w:color="auto"/>
            <w:left w:val="none" w:sz="0" w:space="0" w:color="auto"/>
            <w:bottom w:val="none" w:sz="0" w:space="0" w:color="auto"/>
            <w:right w:val="none" w:sz="0" w:space="0" w:color="auto"/>
          </w:divBdr>
          <w:divsChild>
            <w:div w:id="1163738134">
              <w:marLeft w:val="0"/>
              <w:marRight w:val="0"/>
              <w:marTop w:val="0"/>
              <w:marBottom w:val="0"/>
              <w:divBdr>
                <w:top w:val="none" w:sz="0" w:space="0" w:color="auto"/>
                <w:left w:val="none" w:sz="0" w:space="0" w:color="auto"/>
                <w:bottom w:val="none" w:sz="0" w:space="0" w:color="auto"/>
                <w:right w:val="none" w:sz="0" w:space="0" w:color="auto"/>
              </w:divBdr>
            </w:div>
          </w:divsChild>
        </w:div>
        <w:div w:id="1044521516">
          <w:marLeft w:val="0"/>
          <w:marRight w:val="0"/>
          <w:marTop w:val="0"/>
          <w:marBottom w:val="0"/>
          <w:divBdr>
            <w:top w:val="none" w:sz="0" w:space="0" w:color="auto"/>
            <w:left w:val="none" w:sz="0" w:space="0" w:color="auto"/>
            <w:bottom w:val="none" w:sz="0" w:space="0" w:color="auto"/>
            <w:right w:val="none" w:sz="0" w:space="0" w:color="auto"/>
          </w:divBdr>
          <w:divsChild>
            <w:div w:id="831071166">
              <w:marLeft w:val="0"/>
              <w:marRight w:val="0"/>
              <w:marTop w:val="0"/>
              <w:marBottom w:val="0"/>
              <w:divBdr>
                <w:top w:val="none" w:sz="0" w:space="0" w:color="auto"/>
                <w:left w:val="none" w:sz="0" w:space="0" w:color="auto"/>
                <w:bottom w:val="none" w:sz="0" w:space="0" w:color="auto"/>
                <w:right w:val="none" w:sz="0" w:space="0" w:color="auto"/>
              </w:divBdr>
            </w:div>
          </w:divsChild>
        </w:div>
        <w:div w:id="1055347972">
          <w:marLeft w:val="0"/>
          <w:marRight w:val="0"/>
          <w:marTop w:val="0"/>
          <w:marBottom w:val="0"/>
          <w:divBdr>
            <w:top w:val="none" w:sz="0" w:space="0" w:color="auto"/>
            <w:left w:val="none" w:sz="0" w:space="0" w:color="auto"/>
            <w:bottom w:val="none" w:sz="0" w:space="0" w:color="auto"/>
            <w:right w:val="none" w:sz="0" w:space="0" w:color="auto"/>
          </w:divBdr>
          <w:divsChild>
            <w:div w:id="2099515304">
              <w:marLeft w:val="0"/>
              <w:marRight w:val="0"/>
              <w:marTop w:val="0"/>
              <w:marBottom w:val="0"/>
              <w:divBdr>
                <w:top w:val="none" w:sz="0" w:space="0" w:color="auto"/>
                <w:left w:val="none" w:sz="0" w:space="0" w:color="auto"/>
                <w:bottom w:val="none" w:sz="0" w:space="0" w:color="auto"/>
                <w:right w:val="none" w:sz="0" w:space="0" w:color="auto"/>
              </w:divBdr>
            </w:div>
          </w:divsChild>
        </w:div>
        <w:div w:id="1065445915">
          <w:marLeft w:val="0"/>
          <w:marRight w:val="0"/>
          <w:marTop w:val="0"/>
          <w:marBottom w:val="0"/>
          <w:divBdr>
            <w:top w:val="none" w:sz="0" w:space="0" w:color="auto"/>
            <w:left w:val="none" w:sz="0" w:space="0" w:color="auto"/>
            <w:bottom w:val="none" w:sz="0" w:space="0" w:color="auto"/>
            <w:right w:val="none" w:sz="0" w:space="0" w:color="auto"/>
          </w:divBdr>
          <w:divsChild>
            <w:div w:id="1241138236">
              <w:marLeft w:val="0"/>
              <w:marRight w:val="0"/>
              <w:marTop w:val="0"/>
              <w:marBottom w:val="0"/>
              <w:divBdr>
                <w:top w:val="none" w:sz="0" w:space="0" w:color="auto"/>
                <w:left w:val="none" w:sz="0" w:space="0" w:color="auto"/>
                <w:bottom w:val="none" w:sz="0" w:space="0" w:color="auto"/>
                <w:right w:val="none" w:sz="0" w:space="0" w:color="auto"/>
              </w:divBdr>
            </w:div>
          </w:divsChild>
        </w:div>
        <w:div w:id="1072701393">
          <w:marLeft w:val="0"/>
          <w:marRight w:val="0"/>
          <w:marTop w:val="0"/>
          <w:marBottom w:val="0"/>
          <w:divBdr>
            <w:top w:val="none" w:sz="0" w:space="0" w:color="auto"/>
            <w:left w:val="none" w:sz="0" w:space="0" w:color="auto"/>
            <w:bottom w:val="none" w:sz="0" w:space="0" w:color="auto"/>
            <w:right w:val="none" w:sz="0" w:space="0" w:color="auto"/>
          </w:divBdr>
          <w:divsChild>
            <w:div w:id="1003513418">
              <w:marLeft w:val="0"/>
              <w:marRight w:val="0"/>
              <w:marTop w:val="0"/>
              <w:marBottom w:val="0"/>
              <w:divBdr>
                <w:top w:val="none" w:sz="0" w:space="0" w:color="auto"/>
                <w:left w:val="none" w:sz="0" w:space="0" w:color="auto"/>
                <w:bottom w:val="none" w:sz="0" w:space="0" w:color="auto"/>
                <w:right w:val="none" w:sz="0" w:space="0" w:color="auto"/>
              </w:divBdr>
            </w:div>
          </w:divsChild>
        </w:div>
        <w:div w:id="1093626754">
          <w:marLeft w:val="0"/>
          <w:marRight w:val="0"/>
          <w:marTop w:val="0"/>
          <w:marBottom w:val="0"/>
          <w:divBdr>
            <w:top w:val="none" w:sz="0" w:space="0" w:color="auto"/>
            <w:left w:val="none" w:sz="0" w:space="0" w:color="auto"/>
            <w:bottom w:val="none" w:sz="0" w:space="0" w:color="auto"/>
            <w:right w:val="none" w:sz="0" w:space="0" w:color="auto"/>
          </w:divBdr>
          <w:divsChild>
            <w:div w:id="2099328606">
              <w:marLeft w:val="0"/>
              <w:marRight w:val="0"/>
              <w:marTop w:val="0"/>
              <w:marBottom w:val="0"/>
              <w:divBdr>
                <w:top w:val="none" w:sz="0" w:space="0" w:color="auto"/>
                <w:left w:val="none" w:sz="0" w:space="0" w:color="auto"/>
                <w:bottom w:val="none" w:sz="0" w:space="0" w:color="auto"/>
                <w:right w:val="none" w:sz="0" w:space="0" w:color="auto"/>
              </w:divBdr>
            </w:div>
          </w:divsChild>
        </w:div>
        <w:div w:id="1094545444">
          <w:marLeft w:val="0"/>
          <w:marRight w:val="0"/>
          <w:marTop w:val="0"/>
          <w:marBottom w:val="0"/>
          <w:divBdr>
            <w:top w:val="none" w:sz="0" w:space="0" w:color="auto"/>
            <w:left w:val="none" w:sz="0" w:space="0" w:color="auto"/>
            <w:bottom w:val="none" w:sz="0" w:space="0" w:color="auto"/>
            <w:right w:val="none" w:sz="0" w:space="0" w:color="auto"/>
          </w:divBdr>
          <w:divsChild>
            <w:div w:id="1429426654">
              <w:marLeft w:val="0"/>
              <w:marRight w:val="0"/>
              <w:marTop w:val="0"/>
              <w:marBottom w:val="0"/>
              <w:divBdr>
                <w:top w:val="none" w:sz="0" w:space="0" w:color="auto"/>
                <w:left w:val="none" w:sz="0" w:space="0" w:color="auto"/>
                <w:bottom w:val="none" w:sz="0" w:space="0" w:color="auto"/>
                <w:right w:val="none" w:sz="0" w:space="0" w:color="auto"/>
              </w:divBdr>
            </w:div>
          </w:divsChild>
        </w:div>
        <w:div w:id="1098870232">
          <w:marLeft w:val="0"/>
          <w:marRight w:val="0"/>
          <w:marTop w:val="0"/>
          <w:marBottom w:val="0"/>
          <w:divBdr>
            <w:top w:val="none" w:sz="0" w:space="0" w:color="auto"/>
            <w:left w:val="none" w:sz="0" w:space="0" w:color="auto"/>
            <w:bottom w:val="none" w:sz="0" w:space="0" w:color="auto"/>
            <w:right w:val="none" w:sz="0" w:space="0" w:color="auto"/>
          </w:divBdr>
          <w:divsChild>
            <w:div w:id="1720473955">
              <w:marLeft w:val="0"/>
              <w:marRight w:val="0"/>
              <w:marTop w:val="0"/>
              <w:marBottom w:val="0"/>
              <w:divBdr>
                <w:top w:val="none" w:sz="0" w:space="0" w:color="auto"/>
                <w:left w:val="none" w:sz="0" w:space="0" w:color="auto"/>
                <w:bottom w:val="none" w:sz="0" w:space="0" w:color="auto"/>
                <w:right w:val="none" w:sz="0" w:space="0" w:color="auto"/>
              </w:divBdr>
            </w:div>
          </w:divsChild>
        </w:div>
        <w:div w:id="1107238202">
          <w:marLeft w:val="0"/>
          <w:marRight w:val="0"/>
          <w:marTop w:val="0"/>
          <w:marBottom w:val="0"/>
          <w:divBdr>
            <w:top w:val="none" w:sz="0" w:space="0" w:color="auto"/>
            <w:left w:val="none" w:sz="0" w:space="0" w:color="auto"/>
            <w:bottom w:val="none" w:sz="0" w:space="0" w:color="auto"/>
            <w:right w:val="none" w:sz="0" w:space="0" w:color="auto"/>
          </w:divBdr>
          <w:divsChild>
            <w:div w:id="1638486490">
              <w:marLeft w:val="0"/>
              <w:marRight w:val="0"/>
              <w:marTop w:val="0"/>
              <w:marBottom w:val="0"/>
              <w:divBdr>
                <w:top w:val="none" w:sz="0" w:space="0" w:color="auto"/>
                <w:left w:val="none" w:sz="0" w:space="0" w:color="auto"/>
                <w:bottom w:val="none" w:sz="0" w:space="0" w:color="auto"/>
                <w:right w:val="none" w:sz="0" w:space="0" w:color="auto"/>
              </w:divBdr>
            </w:div>
          </w:divsChild>
        </w:div>
        <w:div w:id="1168062240">
          <w:marLeft w:val="0"/>
          <w:marRight w:val="0"/>
          <w:marTop w:val="0"/>
          <w:marBottom w:val="0"/>
          <w:divBdr>
            <w:top w:val="none" w:sz="0" w:space="0" w:color="auto"/>
            <w:left w:val="none" w:sz="0" w:space="0" w:color="auto"/>
            <w:bottom w:val="none" w:sz="0" w:space="0" w:color="auto"/>
            <w:right w:val="none" w:sz="0" w:space="0" w:color="auto"/>
          </w:divBdr>
          <w:divsChild>
            <w:div w:id="589850870">
              <w:marLeft w:val="0"/>
              <w:marRight w:val="0"/>
              <w:marTop w:val="0"/>
              <w:marBottom w:val="0"/>
              <w:divBdr>
                <w:top w:val="none" w:sz="0" w:space="0" w:color="auto"/>
                <w:left w:val="none" w:sz="0" w:space="0" w:color="auto"/>
                <w:bottom w:val="none" w:sz="0" w:space="0" w:color="auto"/>
                <w:right w:val="none" w:sz="0" w:space="0" w:color="auto"/>
              </w:divBdr>
            </w:div>
          </w:divsChild>
        </w:div>
        <w:div w:id="1205362310">
          <w:marLeft w:val="0"/>
          <w:marRight w:val="0"/>
          <w:marTop w:val="0"/>
          <w:marBottom w:val="0"/>
          <w:divBdr>
            <w:top w:val="none" w:sz="0" w:space="0" w:color="auto"/>
            <w:left w:val="none" w:sz="0" w:space="0" w:color="auto"/>
            <w:bottom w:val="none" w:sz="0" w:space="0" w:color="auto"/>
            <w:right w:val="none" w:sz="0" w:space="0" w:color="auto"/>
          </w:divBdr>
          <w:divsChild>
            <w:div w:id="1460798776">
              <w:marLeft w:val="0"/>
              <w:marRight w:val="0"/>
              <w:marTop w:val="0"/>
              <w:marBottom w:val="0"/>
              <w:divBdr>
                <w:top w:val="none" w:sz="0" w:space="0" w:color="auto"/>
                <w:left w:val="none" w:sz="0" w:space="0" w:color="auto"/>
                <w:bottom w:val="none" w:sz="0" w:space="0" w:color="auto"/>
                <w:right w:val="none" w:sz="0" w:space="0" w:color="auto"/>
              </w:divBdr>
            </w:div>
          </w:divsChild>
        </w:div>
        <w:div w:id="1223713784">
          <w:marLeft w:val="0"/>
          <w:marRight w:val="0"/>
          <w:marTop w:val="0"/>
          <w:marBottom w:val="0"/>
          <w:divBdr>
            <w:top w:val="none" w:sz="0" w:space="0" w:color="auto"/>
            <w:left w:val="none" w:sz="0" w:space="0" w:color="auto"/>
            <w:bottom w:val="none" w:sz="0" w:space="0" w:color="auto"/>
            <w:right w:val="none" w:sz="0" w:space="0" w:color="auto"/>
          </w:divBdr>
          <w:divsChild>
            <w:div w:id="730226036">
              <w:marLeft w:val="0"/>
              <w:marRight w:val="0"/>
              <w:marTop w:val="0"/>
              <w:marBottom w:val="0"/>
              <w:divBdr>
                <w:top w:val="none" w:sz="0" w:space="0" w:color="auto"/>
                <w:left w:val="none" w:sz="0" w:space="0" w:color="auto"/>
                <w:bottom w:val="none" w:sz="0" w:space="0" w:color="auto"/>
                <w:right w:val="none" w:sz="0" w:space="0" w:color="auto"/>
              </w:divBdr>
            </w:div>
          </w:divsChild>
        </w:div>
        <w:div w:id="1226992752">
          <w:marLeft w:val="0"/>
          <w:marRight w:val="0"/>
          <w:marTop w:val="0"/>
          <w:marBottom w:val="0"/>
          <w:divBdr>
            <w:top w:val="none" w:sz="0" w:space="0" w:color="auto"/>
            <w:left w:val="none" w:sz="0" w:space="0" w:color="auto"/>
            <w:bottom w:val="none" w:sz="0" w:space="0" w:color="auto"/>
            <w:right w:val="none" w:sz="0" w:space="0" w:color="auto"/>
          </w:divBdr>
          <w:divsChild>
            <w:div w:id="2072539439">
              <w:marLeft w:val="0"/>
              <w:marRight w:val="0"/>
              <w:marTop w:val="0"/>
              <w:marBottom w:val="0"/>
              <w:divBdr>
                <w:top w:val="none" w:sz="0" w:space="0" w:color="auto"/>
                <w:left w:val="none" w:sz="0" w:space="0" w:color="auto"/>
                <w:bottom w:val="none" w:sz="0" w:space="0" w:color="auto"/>
                <w:right w:val="none" w:sz="0" w:space="0" w:color="auto"/>
              </w:divBdr>
            </w:div>
          </w:divsChild>
        </w:div>
        <w:div w:id="1241911892">
          <w:marLeft w:val="0"/>
          <w:marRight w:val="0"/>
          <w:marTop w:val="0"/>
          <w:marBottom w:val="0"/>
          <w:divBdr>
            <w:top w:val="none" w:sz="0" w:space="0" w:color="auto"/>
            <w:left w:val="none" w:sz="0" w:space="0" w:color="auto"/>
            <w:bottom w:val="none" w:sz="0" w:space="0" w:color="auto"/>
            <w:right w:val="none" w:sz="0" w:space="0" w:color="auto"/>
          </w:divBdr>
          <w:divsChild>
            <w:div w:id="1601180095">
              <w:marLeft w:val="0"/>
              <w:marRight w:val="0"/>
              <w:marTop w:val="0"/>
              <w:marBottom w:val="0"/>
              <w:divBdr>
                <w:top w:val="none" w:sz="0" w:space="0" w:color="auto"/>
                <w:left w:val="none" w:sz="0" w:space="0" w:color="auto"/>
                <w:bottom w:val="none" w:sz="0" w:space="0" w:color="auto"/>
                <w:right w:val="none" w:sz="0" w:space="0" w:color="auto"/>
              </w:divBdr>
            </w:div>
          </w:divsChild>
        </w:div>
        <w:div w:id="1266574044">
          <w:marLeft w:val="0"/>
          <w:marRight w:val="0"/>
          <w:marTop w:val="0"/>
          <w:marBottom w:val="0"/>
          <w:divBdr>
            <w:top w:val="none" w:sz="0" w:space="0" w:color="auto"/>
            <w:left w:val="none" w:sz="0" w:space="0" w:color="auto"/>
            <w:bottom w:val="none" w:sz="0" w:space="0" w:color="auto"/>
            <w:right w:val="none" w:sz="0" w:space="0" w:color="auto"/>
          </w:divBdr>
          <w:divsChild>
            <w:div w:id="2100054730">
              <w:marLeft w:val="0"/>
              <w:marRight w:val="0"/>
              <w:marTop w:val="0"/>
              <w:marBottom w:val="0"/>
              <w:divBdr>
                <w:top w:val="none" w:sz="0" w:space="0" w:color="auto"/>
                <w:left w:val="none" w:sz="0" w:space="0" w:color="auto"/>
                <w:bottom w:val="none" w:sz="0" w:space="0" w:color="auto"/>
                <w:right w:val="none" w:sz="0" w:space="0" w:color="auto"/>
              </w:divBdr>
            </w:div>
          </w:divsChild>
        </w:div>
        <w:div w:id="1268193876">
          <w:marLeft w:val="0"/>
          <w:marRight w:val="0"/>
          <w:marTop w:val="0"/>
          <w:marBottom w:val="0"/>
          <w:divBdr>
            <w:top w:val="none" w:sz="0" w:space="0" w:color="auto"/>
            <w:left w:val="none" w:sz="0" w:space="0" w:color="auto"/>
            <w:bottom w:val="none" w:sz="0" w:space="0" w:color="auto"/>
            <w:right w:val="none" w:sz="0" w:space="0" w:color="auto"/>
          </w:divBdr>
          <w:divsChild>
            <w:div w:id="792286426">
              <w:marLeft w:val="0"/>
              <w:marRight w:val="0"/>
              <w:marTop w:val="0"/>
              <w:marBottom w:val="0"/>
              <w:divBdr>
                <w:top w:val="none" w:sz="0" w:space="0" w:color="auto"/>
                <w:left w:val="none" w:sz="0" w:space="0" w:color="auto"/>
                <w:bottom w:val="none" w:sz="0" w:space="0" w:color="auto"/>
                <w:right w:val="none" w:sz="0" w:space="0" w:color="auto"/>
              </w:divBdr>
            </w:div>
          </w:divsChild>
        </w:div>
        <w:div w:id="1290433898">
          <w:marLeft w:val="0"/>
          <w:marRight w:val="0"/>
          <w:marTop w:val="0"/>
          <w:marBottom w:val="0"/>
          <w:divBdr>
            <w:top w:val="none" w:sz="0" w:space="0" w:color="auto"/>
            <w:left w:val="none" w:sz="0" w:space="0" w:color="auto"/>
            <w:bottom w:val="none" w:sz="0" w:space="0" w:color="auto"/>
            <w:right w:val="none" w:sz="0" w:space="0" w:color="auto"/>
          </w:divBdr>
          <w:divsChild>
            <w:div w:id="1189292477">
              <w:marLeft w:val="0"/>
              <w:marRight w:val="0"/>
              <w:marTop w:val="0"/>
              <w:marBottom w:val="0"/>
              <w:divBdr>
                <w:top w:val="none" w:sz="0" w:space="0" w:color="auto"/>
                <w:left w:val="none" w:sz="0" w:space="0" w:color="auto"/>
                <w:bottom w:val="none" w:sz="0" w:space="0" w:color="auto"/>
                <w:right w:val="none" w:sz="0" w:space="0" w:color="auto"/>
              </w:divBdr>
            </w:div>
          </w:divsChild>
        </w:div>
        <w:div w:id="1300528983">
          <w:marLeft w:val="0"/>
          <w:marRight w:val="0"/>
          <w:marTop w:val="0"/>
          <w:marBottom w:val="0"/>
          <w:divBdr>
            <w:top w:val="none" w:sz="0" w:space="0" w:color="auto"/>
            <w:left w:val="none" w:sz="0" w:space="0" w:color="auto"/>
            <w:bottom w:val="none" w:sz="0" w:space="0" w:color="auto"/>
            <w:right w:val="none" w:sz="0" w:space="0" w:color="auto"/>
          </w:divBdr>
          <w:divsChild>
            <w:div w:id="1339041590">
              <w:marLeft w:val="0"/>
              <w:marRight w:val="0"/>
              <w:marTop w:val="0"/>
              <w:marBottom w:val="0"/>
              <w:divBdr>
                <w:top w:val="none" w:sz="0" w:space="0" w:color="auto"/>
                <w:left w:val="none" w:sz="0" w:space="0" w:color="auto"/>
                <w:bottom w:val="none" w:sz="0" w:space="0" w:color="auto"/>
                <w:right w:val="none" w:sz="0" w:space="0" w:color="auto"/>
              </w:divBdr>
            </w:div>
          </w:divsChild>
        </w:div>
        <w:div w:id="1318876734">
          <w:marLeft w:val="0"/>
          <w:marRight w:val="0"/>
          <w:marTop w:val="0"/>
          <w:marBottom w:val="0"/>
          <w:divBdr>
            <w:top w:val="none" w:sz="0" w:space="0" w:color="auto"/>
            <w:left w:val="none" w:sz="0" w:space="0" w:color="auto"/>
            <w:bottom w:val="none" w:sz="0" w:space="0" w:color="auto"/>
            <w:right w:val="none" w:sz="0" w:space="0" w:color="auto"/>
          </w:divBdr>
          <w:divsChild>
            <w:div w:id="524442219">
              <w:marLeft w:val="0"/>
              <w:marRight w:val="0"/>
              <w:marTop w:val="0"/>
              <w:marBottom w:val="0"/>
              <w:divBdr>
                <w:top w:val="none" w:sz="0" w:space="0" w:color="auto"/>
                <w:left w:val="none" w:sz="0" w:space="0" w:color="auto"/>
                <w:bottom w:val="none" w:sz="0" w:space="0" w:color="auto"/>
                <w:right w:val="none" w:sz="0" w:space="0" w:color="auto"/>
              </w:divBdr>
            </w:div>
          </w:divsChild>
        </w:div>
        <w:div w:id="1328173447">
          <w:marLeft w:val="0"/>
          <w:marRight w:val="0"/>
          <w:marTop w:val="0"/>
          <w:marBottom w:val="0"/>
          <w:divBdr>
            <w:top w:val="none" w:sz="0" w:space="0" w:color="auto"/>
            <w:left w:val="none" w:sz="0" w:space="0" w:color="auto"/>
            <w:bottom w:val="none" w:sz="0" w:space="0" w:color="auto"/>
            <w:right w:val="none" w:sz="0" w:space="0" w:color="auto"/>
          </w:divBdr>
          <w:divsChild>
            <w:div w:id="86270568">
              <w:marLeft w:val="0"/>
              <w:marRight w:val="0"/>
              <w:marTop w:val="0"/>
              <w:marBottom w:val="0"/>
              <w:divBdr>
                <w:top w:val="none" w:sz="0" w:space="0" w:color="auto"/>
                <w:left w:val="none" w:sz="0" w:space="0" w:color="auto"/>
                <w:bottom w:val="none" w:sz="0" w:space="0" w:color="auto"/>
                <w:right w:val="none" w:sz="0" w:space="0" w:color="auto"/>
              </w:divBdr>
            </w:div>
          </w:divsChild>
        </w:div>
        <w:div w:id="1354265029">
          <w:marLeft w:val="0"/>
          <w:marRight w:val="0"/>
          <w:marTop w:val="0"/>
          <w:marBottom w:val="0"/>
          <w:divBdr>
            <w:top w:val="none" w:sz="0" w:space="0" w:color="auto"/>
            <w:left w:val="none" w:sz="0" w:space="0" w:color="auto"/>
            <w:bottom w:val="none" w:sz="0" w:space="0" w:color="auto"/>
            <w:right w:val="none" w:sz="0" w:space="0" w:color="auto"/>
          </w:divBdr>
          <w:divsChild>
            <w:div w:id="534118852">
              <w:marLeft w:val="0"/>
              <w:marRight w:val="0"/>
              <w:marTop w:val="0"/>
              <w:marBottom w:val="0"/>
              <w:divBdr>
                <w:top w:val="none" w:sz="0" w:space="0" w:color="auto"/>
                <w:left w:val="none" w:sz="0" w:space="0" w:color="auto"/>
                <w:bottom w:val="none" w:sz="0" w:space="0" w:color="auto"/>
                <w:right w:val="none" w:sz="0" w:space="0" w:color="auto"/>
              </w:divBdr>
            </w:div>
          </w:divsChild>
        </w:div>
        <w:div w:id="1365138460">
          <w:marLeft w:val="0"/>
          <w:marRight w:val="0"/>
          <w:marTop w:val="0"/>
          <w:marBottom w:val="0"/>
          <w:divBdr>
            <w:top w:val="none" w:sz="0" w:space="0" w:color="auto"/>
            <w:left w:val="none" w:sz="0" w:space="0" w:color="auto"/>
            <w:bottom w:val="none" w:sz="0" w:space="0" w:color="auto"/>
            <w:right w:val="none" w:sz="0" w:space="0" w:color="auto"/>
          </w:divBdr>
          <w:divsChild>
            <w:div w:id="781612426">
              <w:marLeft w:val="0"/>
              <w:marRight w:val="0"/>
              <w:marTop w:val="0"/>
              <w:marBottom w:val="0"/>
              <w:divBdr>
                <w:top w:val="none" w:sz="0" w:space="0" w:color="auto"/>
                <w:left w:val="none" w:sz="0" w:space="0" w:color="auto"/>
                <w:bottom w:val="none" w:sz="0" w:space="0" w:color="auto"/>
                <w:right w:val="none" w:sz="0" w:space="0" w:color="auto"/>
              </w:divBdr>
            </w:div>
          </w:divsChild>
        </w:div>
        <w:div w:id="1384061447">
          <w:marLeft w:val="0"/>
          <w:marRight w:val="0"/>
          <w:marTop w:val="0"/>
          <w:marBottom w:val="0"/>
          <w:divBdr>
            <w:top w:val="none" w:sz="0" w:space="0" w:color="auto"/>
            <w:left w:val="none" w:sz="0" w:space="0" w:color="auto"/>
            <w:bottom w:val="none" w:sz="0" w:space="0" w:color="auto"/>
            <w:right w:val="none" w:sz="0" w:space="0" w:color="auto"/>
          </w:divBdr>
          <w:divsChild>
            <w:div w:id="922446811">
              <w:marLeft w:val="0"/>
              <w:marRight w:val="0"/>
              <w:marTop w:val="0"/>
              <w:marBottom w:val="0"/>
              <w:divBdr>
                <w:top w:val="none" w:sz="0" w:space="0" w:color="auto"/>
                <w:left w:val="none" w:sz="0" w:space="0" w:color="auto"/>
                <w:bottom w:val="none" w:sz="0" w:space="0" w:color="auto"/>
                <w:right w:val="none" w:sz="0" w:space="0" w:color="auto"/>
              </w:divBdr>
            </w:div>
          </w:divsChild>
        </w:div>
        <w:div w:id="1399013203">
          <w:marLeft w:val="0"/>
          <w:marRight w:val="0"/>
          <w:marTop w:val="0"/>
          <w:marBottom w:val="0"/>
          <w:divBdr>
            <w:top w:val="none" w:sz="0" w:space="0" w:color="auto"/>
            <w:left w:val="none" w:sz="0" w:space="0" w:color="auto"/>
            <w:bottom w:val="none" w:sz="0" w:space="0" w:color="auto"/>
            <w:right w:val="none" w:sz="0" w:space="0" w:color="auto"/>
          </w:divBdr>
          <w:divsChild>
            <w:div w:id="616447229">
              <w:marLeft w:val="0"/>
              <w:marRight w:val="0"/>
              <w:marTop w:val="0"/>
              <w:marBottom w:val="0"/>
              <w:divBdr>
                <w:top w:val="none" w:sz="0" w:space="0" w:color="auto"/>
                <w:left w:val="none" w:sz="0" w:space="0" w:color="auto"/>
                <w:bottom w:val="none" w:sz="0" w:space="0" w:color="auto"/>
                <w:right w:val="none" w:sz="0" w:space="0" w:color="auto"/>
              </w:divBdr>
            </w:div>
          </w:divsChild>
        </w:div>
        <w:div w:id="1401824648">
          <w:marLeft w:val="0"/>
          <w:marRight w:val="0"/>
          <w:marTop w:val="0"/>
          <w:marBottom w:val="0"/>
          <w:divBdr>
            <w:top w:val="none" w:sz="0" w:space="0" w:color="auto"/>
            <w:left w:val="none" w:sz="0" w:space="0" w:color="auto"/>
            <w:bottom w:val="none" w:sz="0" w:space="0" w:color="auto"/>
            <w:right w:val="none" w:sz="0" w:space="0" w:color="auto"/>
          </w:divBdr>
          <w:divsChild>
            <w:div w:id="1450390300">
              <w:marLeft w:val="0"/>
              <w:marRight w:val="0"/>
              <w:marTop w:val="0"/>
              <w:marBottom w:val="0"/>
              <w:divBdr>
                <w:top w:val="none" w:sz="0" w:space="0" w:color="auto"/>
                <w:left w:val="none" w:sz="0" w:space="0" w:color="auto"/>
                <w:bottom w:val="none" w:sz="0" w:space="0" w:color="auto"/>
                <w:right w:val="none" w:sz="0" w:space="0" w:color="auto"/>
              </w:divBdr>
            </w:div>
          </w:divsChild>
        </w:div>
        <w:div w:id="1403524017">
          <w:marLeft w:val="0"/>
          <w:marRight w:val="0"/>
          <w:marTop w:val="0"/>
          <w:marBottom w:val="0"/>
          <w:divBdr>
            <w:top w:val="none" w:sz="0" w:space="0" w:color="auto"/>
            <w:left w:val="none" w:sz="0" w:space="0" w:color="auto"/>
            <w:bottom w:val="none" w:sz="0" w:space="0" w:color="auto"/>
            <w:right w:val="none" w:sz="0" w:space="0" w:color="auto"/>
          </w:divBdr>
          <w:divsChild>
            <w:div w:id="1533038079">
              <w:marLeft w:val="0"/>
              <w:marRight w:val="0"/>
              <w:marTop w:val="0"/>
              <w:marBottom w:val="0"/>
              <w:divBdr>
                <w:top w:val="none" w:sz="0" w:space="0" w:color="auto"/>
                <w:left w:val="none" w:sz="0" w:space="0" w:color="auto"/>
                <w:bottom w:val="none" w:sz="0" w:space="0" w:color="auto"/>
                <w:right w:val="none" w:sz="0" w:space="0" w:color="auto"/>
              </w:divBdr>
            </w:div>
          </w:divsChild>
        </w:div>
        <w:div w:id="1423532381">
          <w:marLeft w:val="0"/>
          <w:marRight w:val="0"/>
          <w:marTop w:val="0"/>
          <w:marBottom w:val="0"/>
          <w:divBdr>
            <w:top w:val="none" w:sz="0" w:space="0" w:color="auto"/>
            <w:left w:val="none" w:sz="0" w:space="0" w:color="auto"/>
            <w:bottom w:val="none" w:sz="0" w:space="0" w:color="auto"/>
            <w:right w:val="none" w:sz="0" w:space="0" w:color="auto"/>
          </w:divBdr>
          <w:divsChild>
            <w:div w:id="1977179061">
              <w:marLeft w:val="0"/>
              <w:marRight w:val="0"/>
              <w:marTop w:val="0"/>
              <w:marBottom w:val="0"/>
              <w:divBdr>
                <w:top w:val="none" w:sz="0" w:space="0" w:color="auto"/>
                <w:left w:val="none" w:sz="0" w:space="0" w:color="auto"/>
                <w:bottom w:val="none" w:sz="0" w:space="0" w:color="auto"/>
                <w:right w:val="none" w:sz="0" w:space="0" w:color="auto"/>
              </w:divBdr>
            </w:div>
          </w:divsChild>
        </w:div>
        <w:div w:id="1436706685">
          <w:marLeft w:val="0"/>
          <w:marRight w:val="0"/>
          <w:marTop w:val="0"/>
          <w:marBottom w:val="0"/>
          <w:divBdr>
            <w:top w:val="none" w:sz="0" w:space="0" w:color="auto"/>
            <w:left w:val="none" w:sz="0" w:space="0" w:color="auto"/>
            <w:bottom w:val="none" w:sz="0" w:space="0" w:color="auto"/>
            <w:right w:val="none" w:sz="0" w:space="0" w:color="auto"/>
          </w:divBdr>
          <w:divsChild>
            <w:div w:id="1875919055">
              <w:marLeft w:val="0"/>
              <w:marRight w:val="0"/>
              <w:marTop w:val="0"/>
              <w:marBottom w:val="0"/>
              <w:divBdr>
                <w:top w:val="none" w:sz="0" w:space="0" w:color="auto"/>
                <w:left w:val="none" w:sz="0" w:space="0" w:color="auto"/>
                <w:bottom w:val="none" w:sz="0" w:space="0" w:color="auto"/>
                <w:right w:val="none" w:sz="0" w:space="0" w:color="auto"/>
              </w:divBdr>
            </w:div>
          </w:divsChild>
        </w:div>
        <w:div w:id="1436750572">
          <w:marLeft w:val="0"/>
          <w:marRight w:val="0"/>
          <w:marTop w:val="0"/>
          <w:marBottom w:val="0"/>
          <w:divBdr>
            <w:top w:val="none" w:sz="0" w:space="0" w:color="auto"/>
            <w:left w:val="none" w:sz="0" w:space="0" w:color="auto"/>
            <w:bottom w:val="none" w:sz="0" w:space="0" w:color="auto"/>
            <w:right w:val="none" w:sz="0" w:space="0" w:color="auto"/>
          </w:divBdr>
          <w:divsChild>
            <w:div w:id="944845660">
              <w:marLeft w:val="0"/>
              <w:marRight w:val="0"/>
              <w:marTop w:val="0"/>
              <w:marBottom w:val="0"/>
              <w:divBdr>
                <w:top w:val="none" w:sz="0" w:space="0" w:color="auto"/>
                <w:left w:val="none" w:sz="0" w:space="0" w:color="auto"/>
                <w:bottom w:val="none" w:sz="0" w:space="0" w:color="auto"/>
                <w:right w:val="none" w:sz="0" w:space="0" w:color="auto"/>
              </w:divBdr>
            </w:div>
          </w:divsChild>
        </w:div>
        <w:div w:id="1445617712">
          <w:marLeft w:val="0"/>
          <w:marRight w:val="0"/>
          <w:marTop w:val="0"/>
          <w:marBottom w:val="0"/>
          <w:divBdr>
            <w:top w:val="none" w:sz="0" w:space="0" w:color="auto"/>
            <w:left w:val="none" w:sz="0" w:space="0" w:color="auto"/>
            <w:bottom w:val="none" w:sz="0" w:space="0" w:color="auto"/>
            <w:right w:val="none" w:sz="0" w:space="0" w:color="auto"/>
          </w:divBdr>
          <w:divsChild>
            <w:div w:id="288048582">
              <w:marLeft w:val="0"/>
              <w:marRight w:val="0"/>
              <w:marTop w:val="0"/>
              <w:marBottom w:val="0"/>
              <w:divBdr>
                <w:top w:val="none" w:sz="0" w:space="0" w:color="auto"/>
                <w:left w:val="none" w:sz="0" w:space="0" w:color="auto"/>
                <w:bottom w:val="none" w:sz="0" w:space="0" w:color="auto"/>
                <w:right w:val="none" w:sz="0" w:space="0" w:color="auto"/>
              </w:divBdr>
            </w:div>
          </w:divsChild>
        </w:div>
        <w:div w:id="1450977859">
          <w:marLeft w:val="0"/>
          <w:marRight w:val="0"/>
          <w:marTop w:val="0"/>
          <w:marBottom w:val="0"/>
          <w:divBdr>
            <w:top w:val="none" w:sz="0" w:space="0" w:color="auto"/>
            <w:left w:val="none" w:sz="0" w:space="0" w:color="auto"/>
            <w:bottom w:val="none" w:sz="0" w:space="0" w:color="auto"/>
            <w:right w:val="none" w:sz="0" w:space="0" w:color="auto"/>
          </w:divBdr>
          <w:divsChild>
            <w:div w:id="1472673815">
              <w:marLeft w:val="0"/>
              <w:marRight w:val="0"/>
              <w:marTop w:val="0"/>
              <w:marBottom w:val="0"/>
              <w:divBdr>
                <w:top w:val="none" w:sz="0" w:space="0" w:color="auto"/>
                <w:left w:val="none" w:sz="0" w:space="0" w:color="auto"/>
                <w:bottom w:val="none" w:sz="0" w:space="0" w:color="auto"/>
                <w:right w:val="none" w:sz="0" w:space="0" w:color="auto"/>
              </w:divBdr>
            </w:div>
          </w:divsChild>
        </w:div>
        <w:div w:id="1472821303">
          <w:marLeft w:val="0"/>
          <w:marRight w:val="0"/>
          <w:marTop w:val="0"/>
          <w:marBottom w:val="0"/>
          <w:divBdr>
            <w:top w:val="none" w:sz="0" w:space="0" w:color="auto"/>
            <w:left w:val="none" w:sz="0" w:space="0" w:color="auto"/>
            <w:bottom w:val="none" w:sz="0" w:space="0" w:color="auto"/>
            <w:right w:val="none" w:sz="0" w:space="0" w:color="auto"/>
          </w:divBdr>
          <w:divsChild>
            <w:div w:id="1569342818">
              <w:marLeft w:val="0"/>
              <w:marRight w:val="0"/>
              <w:marTop w:val="0"/>
              <w:marBottom w:val="0"/>
              <w:divBdr>
                <w:top w:val="none" w:sz="0" w:space="0" w:color="auto"/>
                <w:left w:val="none" w:sz="0" w:space="0" w:color="auto"/>
                <w:bottom w:val="none" w:sz="0" w:space="0" w:color="auto"/>
                <w:right w:val="none" w:sz="0" w:space="0" w:color="auto"/>
              </w:divBdr>
            </w:div>
          </w:divsChild>
        </w:div>
        <w:div w:id="1490752558">
          <w:marLeft w:val="0"/>
          <w:marRight w:val="0"/>
          <w:marTop w:val="0"/>
          <w:marBottom w:val="0"/>
          <w:divBdr>
            <w:top w:val="none" w:sz="0" w:space="0" w:color="auto"/>
            <w:left w:val="none" w:sz="0" w:space="0" w:color="auto"/>
            <w:bottom w:val="none" w:sz="0" w:space="0" w:color="auto"/>
            <w:right w:val="none" w:sz="0" w:space="0" w:color="auto"/>
          </w:divBdr>
          <w:divsChild>
            <w:div w:id="858735806">
              <w:marLeft w:val="0"/>
              <w:marRight w:val="0"/>
              <w:marTop w:val="0"/>
              <w:marBottom w:val="0"/>
              <w:divBdr>
                <w:top w:val="none" w:sz="0" w:space="0" w:color="auto"/>
                <w:left w:val="none" w:sz="0" w:space="0" w:color="auto"/>
                <w:bottom w:val="none" w:sz="0" w:space="0" w:color="auto"/>
                <w:right w:val="none" w:sz="0" w:space="0" w:color="auto"/>
              </w:divBdr>
            </w:div>
          </w:divsChild>
        </w:div>
        <w:div w:id="1509321993">
          <w:marLeft w:val="0"/>
          <w:marRight w:val="0"/>
          <w:marTop w:val="0"/>
          <w:marBottom w:val="0"/>
          <w:divBdr>
            <w:top w:val="none" w:sz="0" w:space="0" w:color="auto"/>
            <w:left w:val="none" w:sz="0" w:space="0" w:color="auto"/>
            <w:bottom w:val="none" w:sz="0" w:space="0" w:color="auto"/>
            <w:right w:val="none" w:sz="0" w:space="0" w:color="auto"/>
          </w:divBdr>
          <w:divsChild>
            <w:div w:id="1147355953">
              <w:marLeft w:val="0"/>
              <w:marRight w:val="0"/>
              <w:marTop w:val="0"/>
              <w:marBottom w:val="0"/>
              <w:divBdr>
                <w:top w:val="none" w:sz="0" w:space="0" w:color="auto"/>
                <w:left w:val="none" w:sz="0" w:space="0" w:color="auto"/>
                <w:bottom w:val="none" w:sz="0" w:space="0" w:color="auto"/>
                <w:right w:val="none" w:sz="0" w:space="0" w:color="auto"/>
              </w:divBdr>
            </w:div>
          </w:divsChild>
        </w:div>
        <w:div w:id="1519194210">
          <w:marLeft w:val="0"/>
          <w:marRight w:val="0"/>
          <w:marTop w:val="0"/>
          <w:marBottom w:val="0"/>
          <w:divBdr>
            <w:top w:val="none" w:sz="0" w:space="0" w:color="auto"/>
            <w:left w:val="none" w:sz="0" w:space="0" w:color="auto"/>
            <w:bottom w:val="none" w:sz="0" w:space="0" w:color="auto"/>
            <w:right w:val="none" w:sz="0" w:space="0" w:color="auto"/>
          </w:divBdr>
          <w:divsChild>
            <w:div w:id="1790273082">
              <w:marLeft w:val="0"/>
              <w:marRight w:val="0"/>
              <w:marTop w:val="0"/>
              <w:marBottom w:val="0"/>
              <w:divBdr>
                <w:top w:val="none" w:sz="0" w:space="0" w:color="auto"/>
                <w:left w:val="none" w:sz="0" w:space="0" w:color="auto"/>
                <w:bottom w:val="none" w:sz="0" w:space="0" w:color="auto"/>
                <w:right w:val="none" w:sz="0" w:space="0" w:color="auto"/>
              </w:divBdr>
            </w:div>
          </w:divsChild>
        </w:div>
        <w:div w:id="1531918081">
          <w:marLeft w:val="0"/>
          <w:marRight w:val="0"/>
          <w:marTop w:val="0"/>
          <w:marBottom w:val="0"/>
          <w:divBdr>
            <w:top w:val="none" w:sz="0" w:space="0" w:color="auto"/>
            <w:left w:val="none" w:sz="0" w:space="0" w:color="auto"/>
            <w:bottom w:val="none" w:sz="0" w:space="0" w:color="auto"/>
            <w:right w:val="none" w:sz="0" w:space="0" w:color="auto"/>
          </w:divBdr>
          <w:divsChild>
            <w:div w:id="885994822">
              <w:marLeft w:val="0"/>
              <w:marRight w:val="0"/>
              <w:marTop w:val="0"/>
              <w:marBottom w:val="0"/>
              <w:divBdr>
                <w:top w:val="none" w:sz="0" w:space="0" w:color="auto"/>
                <w:left w:val="none" w:sz="0" w:space="0" w:color="auto"/>
                <w:bottom w:val="none" w:sz="0" w:space="0" w:color="auto"/>
                <w:right w:val="none" w:sz="0" w:space="0" w:color="auto"/>
              </w:divBdr>
            </w:div>
          </w:divsChild>
        </w:div>
        <w:div w:id="1535384502">
          <w:marLeft w:val="0"/>
          <w:marRight w:val="0"/>
          <w:marTop w:val="0"/>
          <w:marBottom w:val="0"/>
          <w:divBdr>
            <w:top w:val="none" w:sz="0" w:space="0" w:color="auto"/>
            <w:left w:val="none" w:sz="0" w:space="0" w:color="auto"/>
            <w:bottom w:val="none" w:sz="0" w:space="0" w:color="auto"/>
            <w:right w:val="none" w:sz="0" w:space="0" w:color="auto"/>
          </w:divBdr>
          <w:divsChild>
            <w:div w:id="1834299294">
              <w:marLeft w:val="0"/>
              <w:marRight w:val="0"/>
              <w:marTop w:val="0"/>
              <w:marBottom w:val="0"/>
              <w:divBdr>
                <w:top w:val="none" w:sz="0" w:space="0" w:color="auto"/>
                <w:left w:val="none" w:sz="0" w:space="0" w:color="auto"/>
                <w:bottom w:val="none" w:sz="0" w:space="0" w:color="auto"/>
                <w:right w:val="none" w:sz="0" w:space="0" w:color="auto"/>
              </w:divBdr>
            </w:div>
          </w:divsChild>
        </w:div>
        <w:div w:id="1545294687">
          <w:marLeft w:val="0"/>
          <w:marRight w:val="0"/>
          <w:marTop w:val="0"/>
          <w:marBottom w:val="0"/>
          <w:divBdr>
            <w:top w:val="none" w:sz="0" w:space="0" w:color="auto"/>
            <w:left w:val="none" w:sz="0" w:space="0" w:color="auto"/>
            <w:bottom w:val="none" w:sz="0" w:space="0" w:color="auto"/>
            <w:right w:val="none" w:sz="0" w:space="0" w:color="auto"/>
          </w:divBdr>
          <w:divsChild>
            <w:div w:id="1190490603">
              <w:marLeft w:val="0"/>
              <w:marRight w:val="0"/>
              <w:marTop w:val="0"/>
              <w:marBottom w:val="0"/>
              <w:divBdr>
                <w:top w:val="none" w:sz="0" w:space="0" w:color="auto"/>
                <w:left w:val="none" w:sz="0" w:space="0" w:color="auto"/>
                <w:bottom w:val="none" w:sz="0" w:space="0" w:color="auto"/>
                <w:right w:val="none" w:sz="0" w:space="0" w:color="auto"/>
              </w:divBdr>
            </w:div>
          </w:divsChild>
        </w:div>
        <w:div w:id="1551576033">
          <w:marLeft w:val="0"/>
          <w:marRight w:val="0"/>
          <w:marTop w:val="0"/>
          <w:marBottom w:val="0"/>
          <w:divBdr>
            <w:top w:val="none" w:sz="0" w:space="0" w:color="auto"/>
            <w:left w:val="none" w:sz="0" w:space="0" w:color="auto"/>
            <w:bottom w:val="none" w:sz="0" w:space="0" w:color="auto"/>
            <w:right w:val="none" w:sz="0" w:space="0" w:color="auto"/>
          </w:divBdr>
          <w:divsChild>
            <w:div w:id="1829780510">
              <w:marLeft w:val="0"/>
              <w:marRight w:val="0"/>
              <w:marTop w:val="0"/>
              <w:marBottom w:val="0"/>
              <w:divBdr>
                <w:top w:val="none" w:sz="0" w:space="0" w:color="auto"/>
                <w:left w:val="none" w:sz="0" w:space="0" w:color="auto"/>
                <w:bottom w:val="none" w:sz="0" w:space="0" w:color="auto"/>
                <w:right w:val="none" w:sz="0" w:space="0" w:color="auto"/>
              </w:divBdr>
            </w:div>
          </w:divsChild>
        </w:div>
        <w:div w:id="1574316386">
          <w:marLeft w:val="0"/>
          <w:marRight w:val="0"/>
          <w:marTop w:val="0"/>
          <w:marBottom w:val="0"/>
          <w:divBdr>
            <w:top w:val="none" w:sz="0" w:space="0" w:color="auto"/>
            <w:left w:val="none" w:sz="0" w:space="0" w:color="auto"/>
            <w:bottom w:val="none" w:sz="0" w:space="0" w:color="auto"/>
            <w:right w:val="none" w:sz="0" w:space="0" w:color="auto"/>
          </w:divBdr>
          <w:divsChild>
            <w:div w:id="1413351297">
              <w:marLeft w:val="0"/>
              <w:marRight w:val="0"/>
              <w:marTop w:val="0"/>
              <w:marBottom w:val="0"/>
              <w:divBdr>
                <w:top w:val="none" w:sz="0" w:space="0" w:color="auto"/>
                <w:left w:val="none" w:sz="0" w:space="0" w:color="auto"/>
                <w:bottom w:val="none" w:sz="0" w:space="0" w:color="auto"/>
                <w:right w:val="none" w:sz="0" w:space="0" w:color="auto"/>
              </w:divBdr>
            </w:div>
          </w:divsChild>
        </w:div>
        <w:div w:id="1583679095">
          <w:marLeft w:val="0"/>
          <w:marRight w:val="0"/>
          <w:marTop w:val="0"/>
          <w:marBottom w:val="0"/>
          <w:divBdr>
            <w:top w:val="none" w:sz="0" w:space="0" w:color="auto"/>
            <w:left w:val="none" w:sz="0" w:space="0" w:color="auto"/>
            <w:bottom w:val="none" w:sz="0" w:space="0" w:color="auto"/>
            <w:right w:val="none" w:sz="0" w:space="0" w:color="auto"/>
          </w:divBdr>
          <w:divsChild>
            <w:div w:id="1118644199">
              <w:marLeft w:val="0"/>
              <w:marRight w:val="0"/>
              <w:marTop w:val="0"/>
              <w:marBottom w:val="0"/>
              <w:divBdr>
                <w:top w:val="none" w:sz="0" w:space="0" w:color="auto"/>
                <w:left w:val="none" w:sz="0" w:space="0" w:color="auto"/>
                <w:bottom w:val="none" w:sz="0" w:space="0" w:color="auto"/>
                <w:right w:val="none" w:sz="0" w:space="0" w:color="auto"/>
              </w:divBdr>
            </w:div>
          </w:divsChild>
        </w:div>
        <w:div w:id="1604537912">
          <w:marLeft w:val="0"/>
          <w:marRight w:val="0"/>
          <w:marTop w:val="0"/>
          <w:marBottom w:val="0"/>
          <w:divBdr>
            <w:top w:val="none" w:sz="0" w:space="0" w:color="auto"/>
            <w:left w:val="none" w:sz="0" w:space="0" w:color="auto"/>
            <w:bottom w:val="none" w:sz="0" w:space="0" w:color="auto"/>
            <w:right w:val="none" w:sz="0" w:space="0" w:color="auto"/>
          </w:divBdr>
          <w:divsChild>
            <w:div w:id="2094431213">
              <w:marLeft w:val="0"/>
              <w:marRight w:val="0"/>
              <w:marTop w:val="0"/>
              <w:marBottom w:val="0"/>
              <w:divBdr>
                <w:top w:val="none" w:sz="0" w:space="0" w:color="auto"/>
                <w:left w:val="none" w:sz="0" w:space="0" w:color="auto"/>
                <w:bottom w:val="none" w:sz="0" w:space="0" w:color="auto"/>
                <w:right w:val="none" w:sz="0" w:space="0" w:color="auto"/>
              </w:divBdr>
            </w:div>
          </w:divsChild>
        </w:div>
        <w:div w:id="1606233516">
          <w:marLeft w:val="0"/>
          <w:marRight w:val="0"/>
          <w:marTop w:val="0"/>
          <w:marBottom w:val="0"/>
          <w:divBdr>
            <w:top w:val="none" w:sz="0" w:space="0" w:color="auto"/>
            <w:left w:val="none" w:sz="0" w:space="0" w:color="auto"/>
            <w:bottom w:val="none" w:sz="0" w:space="0" w:color="auto"/>
            <w:right w:val="none" w:sz="0" w:space="0" w:color="auto"/>
          </w:divBdr>
          <w:divsChild>
            <w:div w:id="1320428909">
              <w:marLeft w:val="0"/>
              <w:marRight w:val="0"/>
              <w:marTop w:val="0"/>
              <w:marBottom w:val="0"/>
              <w:divBdr>
                <w:top w:val="none" w:sz="0" w:space="0" w:color="auto"/>
                <w:left w:val="none" w:sz="0" w:space="0" w:color="auto"/>
                <w:bottom w:val="none" w:sz="0" w:space="0" w:color="auto"/>
                <w:right w:val="none" w:sz="0" w:space="0" w:color="auto"/>
              </w:divBdr>
            </w:div>
          </w:divsChild>
        </w:div>
        <w:div w:id="1636252828">
          <w:marLeft w:val="0"/>
          <w:marRight w:val="0"/>
          <w:marTop w:val="0"/>
          <w:marBottom w:val="0"/>
          <w:divBdr>
            <w:top w:val="none" w:sz="0" w:space="0" w:color="auto"/>
            <w:left w:val="none" w:sz="0" w:space="0" w:color="auto"/>
            <w:bottom w:val="none" w:sz="0" w:space="0" w:color="auto"/>
            <w:right w:val="none" w:sz="0" w:space="0" w:color="auto"/>
          </w:divBdr>
          <w:divsChild>
            <w:div w:id="574778141">
              <w:marLeft w:val="0"/>
              <w:marRight w:val="0"/>
              <w:marTop w:val="0"/>
              <w:marBottom w:val="0"/>
              <w:divBdr>
                <w:top w:val="none" w:sz="0" w:space="0" w:color="auto"/>
                <w:left w:val="none" w:sz="0" w:space="0" w:color="auto"/>
                <w:bottom w:val="none" w:sz="0" w:space="0" w:color="auto"/>
                <w:right w:val="none" w:sz="0" w:space="0" w:color="auto"/>
              </w:divBdr>
            </w:div>
          </w:divsChild>
        </w:div>
        <w:div w:id="1643272625">
          <w:marLeft w:val="0"/>
          <w:marRight w:val="0"/>
          <w:marTop w:val="0"/>
          <w:marBottom w:val="0"/>
          <w:divBdr>
            <w:top w:val="none" w:sz="0" w:space="0" w:color="auto"/>
            <w:left w:val="none" w:sz="0" w:space="0" w:color="auto"/>
            <w:bottom w:val="none" w:sz="0" w:space="0" w:color="auto"/>
            <w:right w:val="none" w:sz="0" w:space="0" w:color="auto"/>
          </w:divBdr>
          <w:divsChild>
            <w:div w:id="82072724">
              <w:marLeft w:val="0"/>
              <w:marRight w:val="0"/>
              <w:marTop w:val="0"/>
              <w:marBottom w:val="0"/>
              <w:divBdr>
                <w:top w:val="none" w:sz="0" w:space="0" w:color="auto"/>
                <w:left w:val="none" w:sz="0" w:space="0" w:color="auto"/>
                <w:bottom w:val="none" w:sz="0" w:space="0" w:color="auto"/>
                <w:right w:val="none" w:sz="0" w:space="0" w:color="auto"/>
              </w:divBdr>
            </w:div>
          </w:divsChild>
        </w:div>
        <w:div w:id="1667785067">
          <w:marLeft w:val="0"/>
          <w:marRight w:val="0"/>
          <w:marTop w:val="0"/>
          <w:marBottom w:val="0"/>
          <w:divBdr>
            <w:top w:val="none" w:sz="0" w:space="0" w:color="auto"/>
            <w:left w:val="none" w:sz="0" w:space="0" w:color="auto"/>
            <w:bottom w:val="none" w:sz="0" w:space="0" w:color="auto"/>
            <w:right w:val="none" w:sz="0" w:space="0" w:color="auto"/>
          </w:divBdr>
          <w:divsChild>
            <w:div w:id="140659480">
              <w:marLeft w:val="0"/>
              <w:marRight w:val="0"/>
              <w:marTop w:val="0"/>
              <w:marBottom w:val="0"/>
              <w:divBdr>
                <w:top w:val="none" w:sz="0" w:space="0" w:color="auto"/>
                <w:left w:val="none" w:sz="0" w:space="0" w:color="auto"/>
                <w:bottom w:val="none" w:sz="0" w:space="0" w:color="auto"/>
                <w:right w:val="none" w:sz="0" w:space="0" w:color="auto"/>
              </w:divBdr>
            </w:div>
          </w:divsChild>
        </w:div>
        <w:div w:id="1711149391">
          <w:marLeft w:val="0"/>
          <w:marRight w:val="0"/>
          <w:marTop w:val="0"/>
          <w:marBottom w:val="0"/>
          <w:divBdr>
            <w:top w:val="none" w:sz="0" w:space="0" w:color="auto"/>
            <w:left w:val="none" w:sz="0" w:space="0" w:color="auto"/>
            <w:bottom w:val="none" w:sz="0" w:space="0" w:color="auto"/>
            <w:right w:val="none" w:sz="0" w:space="0" w:color="auto"/>
          </w:divBdr>
          <w:divsChild>
            <w:div w:id="903370957">
              <w:marLeft w:val="0"/>
              <w:marRight w:val="0"/>
              <w:marTop w:val="0"/>
              <w:marBottom w:val="0"/>
              <w:divBdr>
                <w:top w:val="none" w:sz="0" w:space="0" w:color="auto"/>
                <w:left w:val="none" w:sz="0" w:space="0" w:color="auto"/>
                <w:bottom w:val="none" w:sz="0" w:space="0" w:color="auto"/>
                <w:right w:val="none" w:sz="0" w:space="0" w:color="auto"/>
              </w:divBdr>
            </w:div>
          </w:divsChild>
        </w:div>
        <w:div w:id="1715421507">
          <w:marLeft w:val="0"/>
          <w:marRight w:val="0"/>
          <w:marTop w:val="0"/>
          <w:marBottom w:val="0"/>
          <w:divBdr>
            <w:top w:val="none" w:sz="0" w:space="0" w:color="auto"/>
            <w:left w:val="none" w:sz="0" w:space="0" w:color="auto"/>
            <w:bottom w:val="none" w:sz="0" w:space="0" w:color="auto"/>
            <w:right w:val="none" w:sz="0" w:space="0" w:color="auto"/>
          </w:divBdr>
          <w:divsChild>
            <w:div w:id="538786145">
              <w:marLeft w:val="0"/>
              <w:marRight w:val="0"/>
              <w:marTop w:val="0"/>
              <w:marBottom w:val="0"/>
              <w:divBdr>
                <w:top w:val="none" w:sz="0" w:space="0" w:color="auto"/>
                <w:left w:val="none" w:sz="0" w:space="0" w:color="auto"/>
                <w:bottom w:val="none" w:sz="0" w:space="0" w:color="auto"/>
                <w:right w:val="none" w:sz="0" w:space="0" w:color="auto"/>
              </w:divBdr>
            </w:div>
          </w:divsChild>
        </w:div>
        <w:div w:id="1729567052">
          <w:marLeft w:val="0"/>
          <w:marRight w:val="0"/>
          <w:marTop w:val="0"/>
          <w:marBottom w:val="0"/>
          <w:divBdr>
            <w:top w:val="none" w:sz="0" w:space="0" w:color="auto"/>
            <w:left w:val="none" w:sz="0" w:space="0" w:color="auto"/>
            <w:bottom w:val="none" w:sz="0" w:space="0" w:color="auto"/>
            <w:right w:val="none" w:sz="0" w:space="0" w:color="auto"/>
          </w:divBdr>
          <w:divsChild>
            <w:div w:id="1090157953">
              <w:marLeft w:val="0"/>
              <w:marRight w:val="0"/>
              <w:marTop w:val="0"/>
              <w:marBottom w:val="0"/>
              <w:divBdr>
                <w:top w:val="none" w:sz="0" w:space="0" w:color="auto"/>
                <w:left w:val="none" w:sz="0" w:space="0" w:color="auto"/>
                <w:bottom w:val="none" w:sz="0" w:space="0" w:color="auto"/>
                <w:right w:val="none" w:sz="0" w:space="0" w:color="auto"/>
              </w:divBdr>
            </w:div>
          </w:divsChild>
        </w:div>
        <w:div w:id="1729569904">
          <w:marLeft w:val="0"/>
          <w:marRight w:val="0"/>
          <w:marTop w:val="0"/>
          <w:marBottom w:val="0"/>
          <w:divBdr>
            <w:top w:val="none" w:sz="0" w:space="0" w:color="auto"/>
            <w:left w:val="none" w:sz="0" w:space="0" w:color="auto"/>
            <w:bottom w:val="none" w:sz="0" w:space="0" w:color="auto"/>
            <w:right w:val="none" w:sz="0" w:space="0" w:color="auto"/>
          </w:divBdr>
          <w:divsChild>
            <w:div w:id="1701198414">
              <w:marLeft w:val="0"/>
              <w:marRight w:val="0"/>
              <w:marTop w:val="0"/>
              <w:marBottom w:val="0"/>
              <w:divBdr>
                <w:top w:val="none" w:sz="0" w:space="0" w:color="auto"/>
                <w:left w:val="none" w:sz="0" w:space="0" w:color="auto"/>
                <w:bottom w:val="none" w:sz="0" w:space="0" w:color="auto"/>
                <w:right w:val="none" w:sz="0" w:space="0" w:color="auto"/>
              </w:divBdr>
            </w:div>
          </w:divsChild>
        </w:div>
        <w:div w:id="1766805242">
          <w:marLeft w:val="0"/>
          <w:marRight w:val="0"/>
          <w:marTop w:val="0"/>
          <w:marBottom w:val="0"/>
          <w:divBdr>
            <w:top w:val="none" w:sz="0" w:space="0" w:color="auto"/>
            <w:left w:val="none" w:sz="0" w:space="0" w:color="auto"/>
            <w:bottom w:val="none" w:sz="0" w:space="0" w:color="auto"/>
            <w:right w:val="none" w:sz="0" w:space="0" w:color="auto"/>
          </w:divBdr>
          <w:divsChild>
            <w:div w:id="1241134553">
              <w:marLeft w:val="0"/>
              <w:marRight w:val="0"/>
              <w:marTop w:val="0"/>
              <w:marBottom w:val="0"/>
              <w:divBdr>
                <w:top w:val="none" w:sz="0" w:space="0" w:color="auto"/>
                <w:left w:val="none" w:sz="0" w:space="0" w:color="auto"/>
                <w:bottom w:val="none" w:sz="0" w:space="0" w:color="auto"/>
                <w:right w:val="none" w:sz="0" w:space="0" w:color="auto"/>
              </w:divBdr>
            </w:div>
          </w:divsChild>
        </w:div>
        <w:div w:id="1768573002">
          <w:marLeft w:val="0"/>
          <w:marRight w:val="0"/>
          <w:marTop w:val="0"/>
          <w:marBottom w:val="0"/>
          <w:divBdr>
            <w:top w:val="none" w:sz="0" w:space="0" w:color="auto"/>
            <w:left w:val="none" w:sz="0" w:space="0" w:color="auto"/>
            <w:bottom w:val="none" w:sz="0" w:space="0" w:color="auto"/>
            <w:right w:val="none" w:sz="0" w:space="0" w:color="auto"/>
          </w:divBdr>
          <w:divsChild>
            <w:div w:id="722215664">
              <w:marLeft w:val="0"/>
              <w:marRight w:val="0"/>
              <w:marTop w:val="0"/>
              <w:marBottom w:val="0"/>
              <w:divBdr>
                <w:top w:val="none" w:sz="0" w:space="0" w:color="auto"/>
                <w:left w:val="none" w:sz="0" w:space="0" w:color="auto"/>
                <w:bottom w:val="none" w:sz="0" w:space="0" w:color="auto"/>
                <w:right w:val="none" w:sz="0" w:space="0" w:color="auto"/>
              </w:divBdr>
            </w:div>
          </w:divsChild>
        </w:div>
        <w:div w:id="1769085429">
          <w:marLeft w:val="0"/>
          <w:marRight w:val="0"/>
          <w:marTop w:val="0"/>
          <w:marBottom w:val="0"/>
          <w:divBdr>
            <w:top w:val="none" w:sz="0" w:space="0" w:color="auto"/>
            <w:left w:val="none" w:sz="0" w:space="0" w:color="auto"/>
            <w:bottom w:val="none" w:sz="0" w:space="0" w:color="auto"/>
            <w:right w:val="none" w:sz="0" w:space="0" w:color="auto"/>
          </w:divBdr>
          <w:divsChild>
            <w:div w:id="1664893055">
              <w:marLeft w:val="0"/>
              <w:marRight w:val="0"/>
              <w:marTop w:val="0"/>
              <w:marBottom w:val="0"/>
              <w:divBdr>
                <w:top w:val="none" w:sz="0" w:space="0" w:color="auto"/>
                <w:left w:val="none" w:sz="0" w:space="0" w:color="auto"/>
                <w:bottom w:val="none" w:sz="0" w:space="0" w:color="auto"/>
                <w:right w:val="none" w:sz="0" w:space="0" w:color="auto"/>
              </w:divBdr>
            </w:div>
          </w:divsChild>
        </w:div>
        <w:div w:id="1778254932">
          <w:marLeft w:val="0"/>
          <w:marRight w:val="0"/>
          <w:marTop w:val="0"/>
          <w:marBottom w:val="0"/>
          <w:divBdr>
            <w:top w:val="none" w:sz="0" w:space="0" w:color="auto"/>
            <w:left w:val="none" w:sz="0" w:space="0" w:color="auto"/>
            <w:bottom w:val="none" w:sz="0" w:space="0" w:color="auto"/>
            <w:right w:val="none" w:sz="0" w:space="0" w:color="auto"/>
          </w:divBdr>
          <w:divsChild>
            <w:div w:id="2017611270">
              <w:marLeft w:val="0"/>
              <w:marRight w:val="0"/>
              <w:marTop w:val="0"/>
              <w:marBottom w:val="0"/>
              <w:divBdr>
                <w:top w:val="none" w:sz="0" w:space="0" w:color="auto"/>
                <w:left w:val="none" w:sz="0" w:space="0" w:color="auto"/>
                <w:bottom w:val="none" w:sz="0" w:space="0" w:color="auto"/>
                <w:right w:val="none" w:sz="0" w:space="0" w:color="auto"/>
              </w:divBdr>
            </w:div>
          </w:divsChild>
        </w:div>
        <w:div w:id="1781219701">
          <w:marLeft w:val="0"/>
          <w:marRight w:val="0"/>
          <w:marTop w:val="0"/>
          <w:marBottom w:val="0"/>
          <w:divBdr>
            <w:top w:val="none" w:sz="0" w:space="0" w:color="auto"/>
            <w:left w:val="none" w:sz="0" w:space="0" w:color="auto"/>
            <w:bottom w:val="none" w:sz="0" w:space="0" w:color="auto"/>
            <w:right w:val="none" w:sz="0" w:space="0" w:color="auto"/>
          </w:divBdr>
          <w:divsChild>
            <w:div w:id="1072234665">
              <w:marLeft w:val="0"/>
              <w:marRight w:val="0"/>
              <w:marTop w:val="0"/>
              <w:marBottom w:val="0"/>
              <w:divBdr>
                <w:top w:val="none" w:sz="0" w:space="0" w:color="auto"/>
                <w:left w:val="none" w:sz="0" w:space="0" w:color="auto"/>
                <w:bottom w:val="none" w:sz="0" w:space="0" w:color="auto"/>
                <w:right w:val="none" w:sz="0" w:space="0" w:color="auto"/>
              </w:divBdr>
            </w:div>
          </w:divsChild>
        </w:div>
        <w:div w:id="1789740812">
          <w:marLeft w:val="0"/>
          <w:marRight w:val="0"/>
          <w:marTop w:val="0"/>
          <w:marBottom w:val="0"/>
          <w:divBdr>
            <w:top w:val="none" w:sz="0" w:space="0" w:color="auto"/>
            <w:left w:val="none" w:sz="0" w:space="0" w:color="auto"/>
            <w:bottom w:val="none" w:sz="0" w:space="0" w:color="auto"/>
            <w:right w:val="none" w:sz="0" w:space="0" w:color="auto"/>
          </w:divBdr>
          <w:divsChild>
            <w:div w:id="863442338">
              <w:marLeft w:val="0"/>
              <w:marRight w:val="0"/>
              <w:marTop w:val="0"/>
              <w:marBottom w:val="0"/>
              <w:divBdr>
                <w:top w:val="none" w:sz="0" w:space="0" w:color="auto"/>
                <w:left w:val="none" w:sz="0" w:space="0" w:color="auto"/>
                <w:bottom w:val="none" w:sz="0" w:space="0" w:color="auto"/>
                <w:right w:val="none" w:sz="0" w:space="0" w:color="auto"/>
              </w:divBdr>
            </w:div>
          </w:divsChild>
        </w:div>
        <w:div w:id="1795831268">
          <w:marLeft w:val="0"/>
          <w:marRight w:val="0"/>
          <w:marTop w:val="0"/>
          <w:marBottom w:val="0"/>
          <w:divBdr>
            <w:top w:val="none" w:sz="0" w:space="0" w:color="auto"/>
            <w:left w:val="none" w:sz="0" w:space="0" w:color="auto"/>
            <w:bottom w:val="none" w:sz="0" w:space="0" w:color="auto"/>
            <w:right w:val="none" w:sz="0" w:space="0" w:color="auto"/>
          </w:divBdr>
          <w:divsChild>
            <w:div w:id="1426726273">
              <w:marLeft w:val="0"/>
              <w:marRight w:val="0"/>
              <w:marTop w:val="0"/>
              <w:marBottom w:val="0"/>
              <w:divBdr>
                <w:top w:val="none" w:sz="0" w:space="0" w:color="auto"/>
                <w:left w:val="none" w:sz="0" w:space="0" w:color="auto"/>
                <w:bottom w:val="none" w:sz="0" w:space="0" w:color="auto"/>
                <w:right w:val="none" w:sz="0" w:space="0" w:color="auto"/>
              </w:divBdr>
            </w:div>
          </w:divsChild>
        </w:div>
        <w:div w:id="1808081311">
          <w:marLeft w:val="0"/>
          <w:marRight w:val="0"/>
          <w:marTop w:val="0"/>
          <w:marBottom w:val="0"/>
          <w:divBdr>
            <w:top w:val="none" w:sz="0" w:space="0" w:color="auto"/>
            <w:left w:val="none" w:sz="0" w:space="0" w:color="auto"/>
            <w:bottom w:val="none" w:sz="0" w:space="0" w:color="auto"/>
            <w:right w:val="none" w:sz="0" w:space="0" w:color="auto"/>
          </w:divBdr>
          <w:divsChild>
            <w:div w:id="2026442285">
              <w:marLeft w:val="0"/>
              <w:marRight w:val="0"/>
              <w:marTop w:val="0"/>
              <w:marBottom w:val="0"/>
              <w:divBdr>
                <w:top w:val="none" w:sz="0" w:space="0" w:color="auto"/>
                <w:left w:val="none" w:sz="0" w:space="0" w:color="auto"/>
                <w:bottom w:val="none" w:sz="0" w:space="0" w:color="auto"/>
                <w:right w:val="none" w:sz="0" w:space="0" w:color="auto"/>
              </w:divBdr>
            </w:div>
          </w:divsChild>
        </w:div>
        <w:div w:id="1818300114">
          <w:marLeft w:val="0"/>
          <w:marRight w:val="0"/>
          <w:marTop w:val="0"/>
          <w:marBottom w:val="0"/>
          <w:divBdr>
            <w:top w:val="none" w:sz="0" w:space="0" w:color="auto"/>
            <w:left w:val="none" w:sz="0" w:space="0" w:color="auto"/>
            <w:bottom w:val="none" w:sz="0" w:space="0" w:color="auto"/>
            <w:right w:val="none" w:sz="0" w:space="0" w:color="auto"/>
          </w:divBdr>
          <w:divsChild>
            <w:div w:id="2029407760">
              <w:marLeft w:val="0"/>
              <w:marRight w:val="0"/>
              <w:marTop w:val="0"/>
              <w:marBottom w:val="0"/>
              <w:divBdr>
                <w:top w:val="none" w:sz="0" w:space="0" w:color="auto"/>
                <w:left w:val="none" w:sz="0" w:space="0" w:color="auto"/>
                <w:bottom w:val="none" w:sz="0" w:space="0" w:color="auto"/>
                <w:right w:val="none" w:sz="0" w:space="0" w:color="auto"/>
              </w:divBdr>
            </w:div>
          </w:divsChild>
        </w:div>
        <w:div w:id="1837191083">
          <w:marLeft w:val="0"/>
          <w:marRight w:val="0"/>
          <w:marTop w:val="0"/>
          <w:marBottom w:val="0"/>
          <w:divBdr>
            <w:top w:val="none" w:sz="0" w:space="0" w:color="auto"/>
            <w:left w:val="none" w:sz="0" w:space="0" w:color="auto"/>
            <w:bottom w:val="none" w:sz="0" w:space="0" w:color="auto"/>
            <w:right w:val="none" w:sz="0" w:space="0" w:color="auto"/>
          </w:divBdr>
          <w:divsChild>
            <w:div w:id="190655707">
              <w:marLeft w:val="0"/>
              <w:marRight w:val="0"/>
              <w:marTop w:val="0"/>
              <w:marBottom w:val="0"/>
              <w:divBdr>
                <w:top w:val="none" w:sz="0" w:space="0" w:color="auto"/>
                <w:left w:val="none" w:sz="0" w:space="0" w:color="auto"/>
                <w:bottom w:val="none" w:sz="0" w:space="0" w:color="auto"/>
                <w:right w:val="none" w:sz="0" w:space="0" w:color="auto"/>
              </w:divBdr>
            </w:div>
          </w:divsChild>
        </w:div>
        <w:div w:id="1887791146">
          <w:marLeft w:val="0"/>
          <w:marRight w:val="0"/>
          <w:marTop w:val="0"/>
          <w:marBottom w:val="0"/>
          <w:divBdr>
            <w:top w:val="none" w:sz="0" w:space="0" w:color="auto"/>
            <w:left w:val="none" w:sz="0" w:space="0" w:color="auto"/>
            <w:bottom w:val="none" w:sz="0" w:space="0" w:color="auto"/>
            <w:right w:val="none" w:sz="0" w:space="0" w:color="auto"/>
          </w:divBdr>
          <w:divsChild>
            <w:div w:id="795878105">
              <w:marLeft w:val="0"/>
              <w:marRight w:val="0"/>
              <w:marTop w:val="0"/>
              <w:marBottom w:val="0"/>
              <w:divBdr>
                <w:top w:val="none" w:sz="0" w:space="0" w:color="auto"/>
                <w:left w:val="none" w:sz="0" w:space="0" w:color="auto"/>
                <w:bottom w:val="none" w:sz="0" w:space="0" w:color="auto"/>
                <w:right w:val="none" w:sz="0" w:space="0" w:color="auto"/>
              </w:divBdr>
            </w:div>
          </w:divsChild>
        </w:div>
        <w:div w:id="1942881840">
          <w:marLeft w:val="0"/>
          <w:marRight w:val="0"/>
          <w:marTop w:val="0"/>
          <w:marBottom w:val="0"/>
          <w:divBdr>
            <w:top w:val="none" w:sz="0" w:space="0" w:color="auto"/>
            <w:left w:val="none" w:sz="0" w:space="0" w:color="auto"/>
            <w:bottom w:val="none" w:sz="0" w:space="0" w:color="auto"/>
            <w:right w:val="none" w:sz="0" w:space="0" w:color="auto"/>
          </w:divBdr>
          <w:divsChild>
            <w:div w:id="1632397796">
              <w:marLeft w:val="0"/>
              <w:marRight w:val="0"/>
              <w:marTop w:val="0"/>
              <w:marBottom w:val="0"/>
              <w:divBdr>
                <w:top w:val="none" w:sz="0" w:space="0" w:color="auto"/>
                <w:left w:val="none" w:sz="0" w:space="0" w:color="auto"/>
                <w:bottom w:val="none" w:sz="0" w:space="0" w:color="auto"/>
                <w:right w:val="none" w:sz="0" w:space="0" w:color="auto"/>
              </w:divBdr>
            </w:div>
          </w:divsChild>
        </w:div>
        <w:div w:id="1944920064">
          <w:marLeft w:val="0"/>
          <w:marRight w:val="0"/>
          <w:marTop w:val="0"/>
          <w:marBottom w:val="0"/>
          <w:divBdr>
            <w:top w:val="none" w:sz="0" w:space="0" w:color="auto"/>
            <w:left w:val="none" w:sz="0" w:space="0" w:color="auto"/>
            <w:bottom w:val="none" w:sz="0" w:space="0" w:color="auto"/>
            <w:right w:val="none" w:sz="0" w:space="0" w:color="auto"/>
          </w:divBdr>
          <w:divsChild>
            <w:div w:id="202792486">
              <w:marLeft w:val="0"/>
              <w:marRight w:val="0"/>
              <w:marTop w:val="0"/>
              <w:marBottom w:val="0"/>
              <w:divBdr>
                <w:top w:val="none" w:sz="0" w:space="0" w:color="auto"/>
                <w:left w:val="none" w:sz="0" w:space="0" w:color="auto"/>
                <w:bottom w:val="none" w:sz="0" w:space="0" w:color="auto"/>
                <w:right w:val="none" w:sz="0" w:space="0" w:color="auto"/>
              </w:divBdr>
            </w:div>
          </w:divsChild>
        </w:div>
        <w:div w:id="1953127773">
          <w:marLeft w:val="0"/>
          <w:marRight w:val="0"/>
          <w:marTop w:val="0"/>
          <w:marBottom w:val="0"/>
          <w:divBdr>
            <w:top w:val="none" w:sz="0" w:space="0" w:color="auto"/>
            <w:left w:val="none" w:sz="0" w:space="0" w:color="auto"/>
            <w:bottom w:val="none" w:sz="0" w:space="0" w:color="auto"/>
            <w:right w:val="none" w:sz="0" w:space="0" w:color="auto"/>
          </w:divBdr>
          <w:divsChild>
            <w:div w:id="862011746">
              <w:marLeft w:val="0"/>
              <w:marRight w:val="0"/>
              <w:marTop w:val="0"/>
              <w:marBottom w:val="0"/>
              <w:divBdr>
                <w:top w:val="none" w:sz="0" w:space="0" w:color="auto"/>
                <w:left w:val="none" w:sz="0" w:space="0" w:color="auto"/>
                <w:bottom w:val="none" w:sz="0" w:space="0" w:color="auto"/>
                <w:right w:val="none" w:sz="0" w:space="0" w:color="auto"/>
              </w:divBdr>
            </w:div>
          </w:divsChild>
        </w:div>
        <w:div w:id="2025589987">
          <w:marLeft w:val="0"/>
          <w:marRight w:val="0"/>
          <w:marTop w:val="0"/>
          <w:marBottom w:val="0"/>
          <w:divBdr>
            <w:top w:val="none" w:sz="0" w:space="0" w:color="auto"/>
            <w:left w:val="none" w:sz="0" w:space="0" w:color="auto"/>
            <w:bottom w:val="none" w:sz="0" w:space="0" w:color="auto"/>
            <w:right w:val="none" w:sz="0" w:space="0" w:color="auto"/>
          </w:divBdr>
          <w:divsChild>
            <w:div w:id="1250851688">
              <w:marLeft w:val="0"/>
              <w:marRight w:val="0"/>
              <w:marTop w:val="0"/>
              <w:marBottom w:val="0"/>
              <w:divBdr>
                <w:top w:val="none" w:sz="0" w:space="0" w:color="auto"/>
                <w:left w:val="none" w:sz="0" w:space="0" w:color="auto"/>
                <w:bottom w:val="none" w:sz="0" w:space="0" w:color="auto"/>
                <w:right w:val="none" w:sz="0" w:space="0" w:color="auto"/>
              </w:divBdr>
            </w:div>
          </w:divsChild>
        </w:div>
        <w:div w:id="2100984967">
          <w:marLeft w:val="0"/>
          <w:marRight w:val="0"/>
          <w:marTop w:val="0"/>
          <w:marBottom w:val="0"/>
          <w:divBdr>
            <w:top w:val="none" w:sz="0" w:space="0" w:color="auto"/>
            <w:left w:val="none" w:sz="0" w:space="0" w:color="auto"/>
            <w:bottom w:val="none" w:sz="0" w:space="0" w:color="auto"/>
            <w:right w:val="none" w:sz="0" w:space="0" w:color="auto"/>
          </w:divBdr>
          <w:divsChild>
            <w:div w:id="507520476">
              <w:marLeft w:val="0"/>
              <w:marRight w:val="0"/>
              <w:marTop w:val="0"/>
              <w:marBottom w:val="0"/>
              <w:divBdr>
                <w:top w:val="none" w:sz="0" w:space="0" w:color="auto"/>
                <w:left w:val="none" w:sz="0" w:space="0" w:color="auto"/>
                <w:bottom w:val="none" w:sz="0" w:space="0" w:color="auto"/>
                <w:right w:val="none" w:sz="0" w:space="0" w:color="auto"/>
              </w:divBdr>
            </w:div>
          </w:divsChild>
        </w:div>
        <w:div w:id="2109616812">
          <w:marLeft w:val="0"/>
          <w:marRight w:val="0"/>
          <w:marTop w:val="0"/>
          <w:marBottom w:val="0"/>
          <w:divBdr>
            <w:top w:val="none" w:sz="0" w:space="0" w:color="auto"/>
            <w:left w:val="none" w:sz="0" w:space="0" w:color="auto"/>
            <w:bottom w:val="none" w:sz="0" w:space="0" w:color="auto"/>
            <w:right w:val="none" w:sz="0" w:space="0" w:color="auto"/>
          </w:divBdr>
          <w:divsChild>
            <w:div w:id="133838828">
              <w:marLeft w:val="0"/>
              <w:marRight w:val="0"/>
              <w:marTop w:val="0"/>
              <w:marBottom w:val="0"/>
              <w:divBdr>
                <w:top w:val="none" w:sz="0" w:space="0" w:color="auto"/>
                <w:left w:val="none" w:sz="0" w:space="0" w:color="auto"/>
                <w:bottom w:val="none" w:sz="0" w:space="0" w:color="auto"/>
                <w:right w:val="none" w:sz="0" w:space="0" w:color="auto"/>
              </w:divBdr>
            </w:div>
          </w:divsChild>
        </w:div>
        <w:div w:id="2114862354">
          <w:marLeft w:val="0"/>
          <w:marRight w:val="0"/>
          <w:marTop w:val="0"/>
          <w:marBottom w:val="0"/>
          <w:divBdr>
            <w:top w:val="none" w:sz="0" w:space="0" w:color="auto"/>
            <w:left w:val="none" w:sz="0" w:space="0" w:color="auto"/>
            <w:bottom w:val="none" w:sz="0" w:space="0" w:color="auto"/>
            <w:right w:val="none" w:sz="0" w:space="0" w:color="auto"/>
          </w:divBdr>
          <w:divsChild>
            <w:div w:id="1800880079">
              <w:marLeft w:val="0"/>
              <w:marRight w:val="0"/>
              <w:marTop w:val="0"/>
              <w:marBottom w:val="0"/>
              <w:divBdr>
                <w:top w:val="none" w:sz="0" w:space="0" w:color="auto"/>
                <w:left w:val="none" w:sz="0" w:space="0" w:color="auto"/>
                <w:bottom w:val="none" w:sz="0" w:space="0" w:color="auto"/>
                <w:right w:val="none" w:sz="0" w:space="0" w:color="auto"/>
              </w:divBdr>
            </w:div>
          </w:divsChild>
        </w:div>
        <w:div w:id="2132046442">
          <w:marLeft w:val="0"/>
          <w:marRight w:val="0"/>
          <w:marTop w:val="0"/>
          <w:marBottom w:val="0"/>
          <w:divBdr>
            <w:top w:val="none" w:sz="0" w:space="0" w:color="auto"/>
            <w:left w:val="none" w:sz="0" w:space="0" w:color="auto"/>
            <w:bottom w:val="none" w:sz="0" w:space="0" w:color="auto"/>
            <w:right w:val="none" w:sz="0" w:space="0" w:color="auto"/>
          </w:divBdr>
          <w:divsChild>
            <w:div w:id="1987734298">
              <w:marLeft w:val="0"/>
              <w:marRight w:val="0"/>
              <w:marTop w:val="0"/>
              <w:marBottom w:val="0"/>
              <w:divBdr>
                <w:top w:val="none" w:sz="0" w:space="0" w:color="auto"/>
                <w:left w:val="none" w:sz="0" w:space="0" w:color="auto"/>
                <w:bottom w:val="none" w:sz="0" w:space="0" w:color="auto"/>
                <w:right w:val="none" w:sz="0" w:space="0" w:color="auto"/>
              </w:divBdr>
            </w:div>
          </w:divsChild>
        </w:div>
        <w:div w:id="2138208866">
          <w:marLeft w:val="0"/>
          <w:marRight w:val="0"/>
          <w:marTop w:val="0"/>
          <w:marBottom w:val="0"/>
          <w:divBdr>
            <w:top w:val="none" w:sz="0" w:space="0" w:color="auto"/>
            <w:left w:val="none" w:sz="0" w:space="0" w:color="auto"/>
            <w:bottom w:val="none" w:sz="0" w:space="0" w:color="auto"/>
            <w:right w:val="none" w:sz="0" w:space="0" w:color="auto"/>
          </w:divBdr>
          <w:divsChild>
            <w:div w:id="1315833519">
              <w:marLeft w:val="0"/>
              <w:marRight w:val="0"/>
              <w:marTop w:val="0"/>
              <w:marBottom w:val="0"/>
              <w:divBdr>
                <w:top w:val="none" w:sz="0" w:space="0" w:color="auto"/>
                <w:left w:val="none" w:sz="0" w:space="0" w:color="auto"/>
                <w:bottom w:val="none" w:sz="0" w:space="0" w:color="auto"/>
                <w:right w:val="none" w:sz="0" w:space="0" w:color="auto"/>
              </w:divBdr>
            </w:div>
          </w:divsChild>
        </w:div>
        <w:div w:id="2139907050">
          <w:marLeft w:val="0"/>
          <w:marRight w:val="0"/>
          <w:marTop w:val="0"/>
          <w:marBottom w:val="0"/>
          <w:divBdr>
            <w:top w:val="none" w:sz="0" w:space="0" w:color="auto"/>
            <w:left w:val="none" w:sz="0" w:space="0" w:color="auto"/>
            <w:bottom w:val="none" w:sz="0" w:space="0" w:color="auto"/>
            <w:right w:val="none" w:sz="0" w:space="0" w:color="auto"/>
          </w:divBdr>
          <w:divsChild>
            <w:div w:id="1333992657">
              <w:marLeft w:val="0"/>
              <w:marRight w:val="0"/>
              <w:marTop w:val="0"/>
              <w:marBottom w:val="0"/>
              <w:divBdr>
                <w:top w:val="none" w:sz="0" w:space="0" w:color="auto"/>
                <w:left w:val="none" w:sz="0" w:space="0" w:color="auto"/>
                <w:bottom w:val="none" w:sz="0" w:space="0" w:color="auto"/>
                <w:right w:val="none" w:sz="0" w:space="0" w:color="auto"/>
              </w:divBdr>
            </w:div>
          </w:divsChild>
        </w:div>
        <w:div w:id="2143503178">
          <w:marLeft w:val="0"/>
          <w:marRight w:val="0"/>
          <w:marTop w:val="0"/>
          <w:marBottom w:val="0"/>
          <w:divBdr>
            <w:top w:val="none" w:sz="0" w:space="0" w:color="auto"/>
            <w:left w:val="none" w:sz="0" w:space="0" w:color="auto"/>
            <w:bottom w:val="none" w:sz="0" w:space="0" w:color="auto"/>
            <w:right w:val="none" w:sz="0" w:space="0" w:color="auto"/>
          </w:divBdr>
          <w:divsChild>
            <w:div w:id="75428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388244">
      <w:bodyDiv w:val="1"/>
      <w:marLeft w:val="0"/>
      <w:marRight w:val="0"/>
      <w:marTop w:val="0"/>
      <w:marBottom w:val="0"/>
      <w:divBdr>
        <w:top w:val="none" w:sz="0" w:space="0" w:color="auto"/>
        <w:left w:val="none" w:sz="0" w:space="0" w:color="auto"/>
        <w:bottom w:val="none" w:sz="0" w:space="0" w:color="auto"/>
        <w:right w:val="none" w:sz="0" w:space="0" w:color="auto"/>
      </w:divBdr>
      <w:divsChild>
        <w:div w:id="392504568">
          <w:marLeft w:val="0"/>
          <w:marRight w:val="0"/>
          <w:marTop w:val="0"/>
          <w:marBottom w:val="0"/>
          <w:divBdr>
            <w:top w:val="none" w:sz="0" w:space="0" w:color="auto"/>
            <w:left w:val="none" w:sz="0" w:space="0" w:color="auto"/>
            <w:bottom w:val="none" w:sz="0" w:space="0" w:color="auto"/>
            <w:right w:val="none" w:sz="0" w:space="0" w:color="auto"/>
          </w:divBdr>
        </w:div>
      </w:divsChild>
    </w:div>
    <w:div w:id="1603948614">
      <w:bodyDiv w:val="1"/>
      <w:marLeft w:val="0"/>
      <w:marRight w:val="0"/>
      <w:marTop w:val="0"/>
      <w:marBottom w:val="0"/>
      <w:divBdr>
        <w:top w:val="none" w:sz="0" w:space="0" w:color="auto"/>
        <w:left w:val="none" w:sz="0" w:space="0" w:color="auto"/>
        <w:bottom w:val="none" w:sz="0" w:space="0" w:color="auto"/>
        <w:right w:val="none" w:sz="0" w:space="0" w:color="auto"/>
      </w:divBdr>
    </w:div>
    <w:div w:id="1641883532">
      <w:bodyDiv w:val="1"/>
      <w:marLeft w:val="0"/>
      <w:marRight w:val="0"/>
      <w:marTop w:val="0"/>
      <w:marBottom w:val="0"/>
      <w:divBdr>
        <w:top w:val="none" w:sz="0" w:space="0" w:color="auto"/>
        <w:left w:val="none" w:sz="0" w:space="0" w:color="auto"/>
        <w:bottom w:val="none" w:sz="0" w:space="0" w:color="auto"/>
        <w:right w:val="none" w:sz="0" w:space="0" w:color="auto"/>
      </w:divBdr>
      <w:divsChild>
        <w:div w:id="372269673">
          <w:marLeft w:val="0"/>
          <w:marRight w:val="0"/>
          <w:marTop w:val="0"/>
          <w:marBottom w:val="0"/>
          <w:divBdr>
            <w:top w:val="none" w:sz="0" w:space="0" w:color="auto"/>
            <w:left w:val="none" w:sz="0" w:space="0" w:color="auto"/>
            <w:bottom w:val="none" w:sz="0" w:space="0" w:color="auto"/>
            <w:right w:val="none" w:sz="0" w:space="0" w:color="auto"/>
          </w:divBdr>
        </w:div>
        <w:div w:id="1290821634">
          <w:marLeft w:val="0"/>
          <w:marRight w:val="0"/>
          <w:marTop w:val="0"/>
          <w:marBottom w:val="0"/>
          <w:divBdr>
            <w:top w:val="none" w:sz="0" w:space="0" w:color="auto"/>
            <w:left w:val="none" w:sz="0" w:space="0" w:color="auto"/>
            <w:bottom w:val="none" w:sz="0" w:space="0" w:color="auto"/>
            <w:right w:val="none" w:sz="0" w:space="0" w:color="auto"/>
          </w:divBdr>
        </w:div>
        <w:div w:id="1704015224">
          <w:marLeft w:val="0"/>
          <w:marRight w:val="0"/>
          <w:marTop w:val="0"/>
          <w:marBottom w:val="0"/>
          <w:divBdr>
            <w:top w:val="none" w:sz="0" w:space="0" w:color="auto"/>
            <w:left w:val="none" w:sz="0" w:space="0" w:color="auto"/>
            <w:bottom w:val="none" w:sz="0" w:space="0" w:color="auto"/>
            <w:right w:val="none" w:sz="0" w:space="0" w:color="auto"/>
          </w:divBdr>
        </w:div>
      </w:divsChild>
    </w:div>
    <w:div w:id="1687364876">
      <w:bodyDiv w:val="1"/>
      <w:marLeft w:val="0"/>
      <w:marRight w:val="0"/>
      <w:marTop w:val="0"/>
      <w:marBottom w:val="0"/>
      <w:divBdr>
        <w:top w:val="none" w:sz="0" w:space="0" w:color="auto"/>
        <w:left w:val="none" w:sz="0" w:space="0" w:color="auto"/>
        <w:bottom w:val="none" w:sz="0" w:space="0" w:color="auto"/>
        <w:right w:val="none" w:sz="0" w:space="0" w:color="auto"/>
      </w:divBdr>
      <w:divsChild>
        <w:div w:id="1849250634">
          <w:marLeft w:val="0"/>
          <w:marRight w:val="0"/>
          <w:marTop w:val="0"/>
          <w:marBottom w:val="0"/>
          <w:divBdr>
            <w:top w:val="none" w:sz="0" w:space="0" w:color="auto"/>
            <w:left w:val="none" w:sz="0" w:space="0" w:color="auto"/>
            <w:bottom w:val="none" w:sz="0" w:space="0" w:color="auto"/>
            <w:right w:val="none" w:sz="0" w:space="0" w:color="auto"/>
          </w:divBdr>
        </w:div>
      </w:divsChild>
    </w:div>
    <w:div w:id="1696424328">
      <w:bodyDiv w:val="1"/>
      <w:marLeft w:val="0"/>
      <w:marRight w:val="0"/>
      <w:marTop w:val="0"/>
      <w:marBottom w:val="0"/>
      <w:divBdr>
        <w:top w:val="none" w:sz="0" w:space="0" w:color="auto"/>
        <w:left w:val="none" w:sz="0" w:space="0" w:color="auto"/>
        <w:bottom w:val="none" w:sz="0" w:space="0" w:color="auto"/>
        <w:right w:val="none" w:sz="0" w:space="0" w:color="auto"/>
      </w:divBdr>
    </w:div>
    <w:div w:id="1698893301">
      <w:bodyDiv w:val="1"/>
      <w:marLeft w:val="0"/>
      <w:marRight w:val="0"/>
      <w:marTop w:val="0"/>
      <w:marBottom w:val="0"/>
      <w:divBdr>
        <w:top w:val="none" w:sz="0" w:space="0" w:color="auto"/>
        <w:left w:val="none" w:sz="0" w:space="0" w:color="auto"/>
        <w:bottom w:val="none" w:sz="0" w:space="0" w:color="auto"/>
        <w:right w:val="none" w:sz="0" w:space="0" w:color="auto"/>
      </w:divBdr>
      <w:divsChild>
        <w:div w:id="3090685">
          <w:marLeft w:val="0"/>
          <w:marRight w:val="0"/>
          <w:marTop w:val="0"/>
          <w:marBottom w:val="0"/>
          <w:divBdr>
            <w:top w:val="none" w:sz="0" w:space="0" w:color="auto"/>
            <w:left w:val="none" w:sz="0" w:space="0" w:color="auto"/>
            <w:bottom w:val="none" w:sz="0" w:space="0" w:color="auto"/>
            <w:right w:val="none" w:sz="0" w:space="0" w:color="auto"/>
          </w:divBdr>
          <w:divsChild>
            <w:div w:id="324937994">
              <w:marLeft w:val="0"/>
              <w:marRight w:val="0"/>
              <w:marTop w:val="0"/>
              <w:marBottom w:val="0"/>
              <w:divBdr>
                <w:top w:val="none" w:sz="0" w:space="0" w:color="auto"/>
                <w:left w:val="none" w:sz="0" w:space="0" w:color="auto"/>
                <w:bottom w:val="none" w:sz="0" w:space="0" w:color="auto"/>
                <w:right w:val="none" w:sz="0" w:space="0" w:color="auto"/>
              </w:divBdr>
            </w:div>
          </w:divsChild>
        </w:div>
        <w:div w:id="20713765">
          <w:marLeft w:val="0"/>
          <w:marRight w:val="0"/>
          <w:marTop w:val="0"/>
          <w:marBottom w:val="0"/>
          <w:divBdr>
            <w:top w:val="none" w:sz="0" w:space="0" w:color="auto"/>
            <w:left w:val="none" w:sz="0" w:space="0" w:color="auto"/>
            <w:bottom w:val="none" w:sz="0" w:space="0" w:color="auto"/>
            <w:right w:val="none" w:sz="0" w:space="0" w:color="auto"/>
          </w:divBdr>
          <w:divsChild>
            <w:div w:id="1943613360">
              <w:marLeft w:val="0"/>
              <w:marRight w:val="0"/>
              <w:marTop w:val="0"/>
              <w:marBottom w:val="0"/>
              <w:divBdr>
                <w:top w:val="none" w:sz="0" w:space="0" w:color="auto"/>
                <w:left w:val="none" w:sz="0" w:space="0" w:color="auto"/>
                <w:bottom w:val="none" w:sz="0" w:space="0" w:color="auto"/>
                <w:right w:val="none" w:sz="0" w:space="0" w:color="auto"/>
              </w:divBdr>
            </w:div>
          </w:divsChild>
        </w:div>
        <w:div w:id="45567439">
          <w:marLeft w:val="0"/>
          <w:marRight w:val="0"/>
          <w:marTop w:val="0"/>
          <w:marBottom w:val="0"/>
          <w:divBdr>
            <w:top w:val="none" w:sz="0" w:space="0" w:color="auto"/>
            <w:left w:val="none" w:sz="0" w:space="0" w:color="auto"/>
            <w:bottom w:val="none" w:sz="0" w:space="0" w:color="auto"/>
            <w:right w:val="none" w:sz="0" w:space="0" w:color="auto"/>
          </w:divBdr>
          <w:divsChild>
            <w:div w:id="1923296916">
              <w:marLeft w:val="0"/>
              <w:marRight w:val="0"/>
              <w:marTop w:val="0"/>
              <w:marBottom w:val="0"/>
              <w:divBdr>
                <w:top w:val="none" w:sz="0" w:space="0" w:color="auto"/>
                <w:left w:val="none" w:sz="0" w:space="0" w:color="auto"/>
                <w:bottom w:val="none" w:sz="0" w:space="0" w:color="auto"/>
                <w:right w:val="none" w:sz="0" w:space="0" w:color="auto"/>
              </w:divBdr>
            </w:div>
          </w:divsChild>
        </w:div>
        <w:div w:id="78601062">
          <w:marLeft w:val="0"/>
          <w:marRight w:val="0"/>
          <w:marTop w:val="0"/>
          <w:marBottom w:val="0"/>
          <w:divBdr>
            <w:top w:val="none" w:sz="0" w:space="0" w:color="auto"/>
            <w:left w:val="none" w:sz="0" w:space="0" w:color="auto"/>
            <w:bottom w:val="none" w:sz="0" w:space="0" w:color="auto"/>
            <w:right w:val="none" w:sz="0" w:space="0" w:color="auto"/>
          </w:divBdr>
          <w:divsChild>
            <w:div w:id="1562717007">
              <w:marLeft w:val="0"/>
              <w:marRight w:val="0"/>
              <w:marTop w:val="0"/>
              <w:marBottom w:val="0"/>
              <w:divBdr>
                <w:top w:val="none" w:sz="0" w:space="0" w:color="auto"/>
                <w:left w:val="none" w:sz="0" w:space="0" w:color="auto"/>
                <w:bottom w:val="none" w:sz="0" w:space="0" w:color="auto"/>
                <w:right w:val="none" w:sz="0" w:space="0" w:color="auto"/>
              </w:divBdr>
            </w:div>
          </w:divsChild>
        </w:div>
        <w:div w:id="97871449">
          <w:marLeft w:val="0"/>
          <w:marRight w:val="0"/>
          <w:marTop w:val="0"/>
          <w:marBottom w:val="0"/>
          <w:divBdr>
            <w:top w:val="none" w:sz="0" w:space="0" w:color="auto"/>
            <w:left w:val="none" w:sz="0" w:space="0" w:color="auto"/>
            <w:bottom w:val="none" w:sz="0" w:space="0" w:color="auto"/>
            <w:right w:val="none" w:sz="0" w:space="0" w:color="auto"/>
          </w:divBdr>
          <w:divsChild>
            <w:div w:id="624967081">
              <w:marLeft w:val="0"/>
              <w:marRight w:val="0"/>
              <w:marTop w:val="0"/>
              <w:marBottom w:val="0"/>
              <w:divBdr>
                <w:top w:val="none" w:sz="0" w:space="0" w:color="auto"/>
                <w:left w:val="none" w:sz="0" w:space="0" w:color="auto"/>
                <w:bottom w:val="none" w:sz="0" w:space="0" w:color="auto"/>
                <w:right w:val="none" w:sz="0" w:space="0" w:color="auto"/>
              </w:divBdr>
            </w:div>
          </w:divsChild>
        </w:div>
        <w:div w:id="99228052">
          <w:marLeft w:val="0"/>
          <w:marRight w:val="0"/>
          <w:marTop w:val="0"/>
          <w:marBottom w:val="0"/>
          <w:divBdr>
            <w:top w:val="none" w:sz="0" w:space="0" w:color="auto"/>
            <w:left w:val="none" w:sz="0" w:space="0" w:color="auto"/>
            <w:bottom w:val="none" w:sz="0" w:space="0" w:color="auto"/>
            <w:right w:val="none" w:sz="0" w:space="0" w:color="auto"/>
          </w:divBdr>
          <w:divsChild>
            <w:div w:id="1902402550">
              <w:marLeft w:val="0"/>
              <w:marRight w:val="0"/>
              <w:marTop w:val="0"/>
              <w:marBottom w:val="0"/>
              <w:divBdr>
                <w:top w:val="none" w:sz="0" w:space="0" w:color="auto"/>
                <w:left w:val="none" w:sz="0" w:space="0" w:color="auto"/>
                <w:bottom w:val="none" w:sz="0" w:space="0" w:color="auto"/>
                <w:right w:val="none" w:sz="0" w:space="0" w:color="auto"/>
              </w:divBdr>
            </w:div>
          </w:divsChild>
        </w:div>
        <w:div w:id="113141312">
          <w:marLeft w:val="0"/>
          <w:marRight w:val="0"/>
          <w:marTop w:val="0"/>
          <w:marBottom w:val="0"/>
          <w:divBdr>
            <w:top w:val="none" w:sz="0" w:space="0" w:color="auto"/>
            <w:left w:val="none" w:sz="0" w:space="0" w:color="auto"/>
            <w:bottom w:val="none" w:sz="0" w:space="0" w:color="auto"/>
            <w:right w:val="none" w:sz="0" w:space="0" w:color="auto"/>
          </w:divBdr>
          <w:divsChild>
            <w:div w:id="1990745001">
              <w:marLeft w:val="0"/>
              <w:marRight w:val="0"/>
              <w:marTop w:val="0"/>
              <w:marBottom w:val="0"/>
              <w:divBdr>
                <w:top w:val="none" w:sz="0" w:space="0" w:color="auto"/>
                <w:left w:val="none" w:sz="0" w:space="0" w:color="auto"/>
                <w:bottom w:val="none" w:sz="0" w:space="0" w:color="auto"/>
                <w:right w:val="none" w:sz="0" w:space="0" w:color="auto"/>
              </w:divBdr>
            </w:div>
          </w:divsChild>
        </w:div>
        <w:div w:id="142506205">
          <w:marLeft w:val="0"/>
          <w:marRight w:val="0"/>
          <w:marTop w:val="0"/>
          <w:marBottom w:val="0"/>
          <w:divBdr>
            <w:top w:val="none" w:sz="0" w:space="0" w:color="auto"/>
            <w:left w:val="none" w:sz="0" w:space="0" w:color="auto"/>
            <w:bottom w:val="none" w:sz="0" w:space="0" w:color="auto"/>
            <w:right w:val="none" w:sz="0" w:space="0" w:color="auto"/>
          </w:divBdr>
          <w:divsChild>
            <w:div w:id="280847120">
              <w:marLeft w:val="0"/>
              <w:marRight w:val="0"/>
              <w:marTop w:val="0"/>
              <w:marBottom w:val="0"/>
              <w:divBdr>
                <w:top w:val="none" w:sz="0" w:space="0" w:color="auto"/>
                <w:left w:val="none" w:sz="0" w:space="0" w:color="auto"/>
                <w:bottom w:val="none" w:sz="0" w:space="0" w:color="auto"/>
                <w:right w:val="none" w:sz="0" w:space="0" w:color="auto"/>
              </w:divBdr>
            </w:div>
          </w:divsChild>
        </w:div>
        <w:div w:id="145438194">
          <w:marLeft w:val="0"/>
          <w:marRight w:val="0"/>
          <w:marTop w:val="0"/>
          <w:marBottom w:val="0"/>
          <w:divBdr>
            <w:top w:val="none" w:sz="0" w:space="0" w:color="auto"/>
            <w:left w:val="none" w:sz="0" w:space="0" w:color="auto"/>
            <w:bottom w:val="none" w:sz="0" w:space="0" w:color="auto"/>
            <w:right w:val="none" w:sz="0" w:space="0" w:color="auto"/>
          </w:divBdr>
          <w:divsChild>
            <w:div w:id="1611280241">
              <w:marLeft w:val="0"/>
              <w:marRight w:val="0"/>
              <w:marTop w:val="0"/>
              <w:marBottom w:val="0"/>
              <w:divBdr>
                <w:top w:val="none" w:sz="0" w:space="0" w:color="auto"/>
                <w:left w:val="none" w:sz="0" w:space="0" w:color="auto"/>
                <w:bottom w:val="none" w:sz="0" w:space="0" w:color="auto"/>
                <w:right w:val="none" w:sz="0" w:space="0" w:color="auto"/>
              </w:divBdr>
            </w:div>
          </w:divsChild>
        </w:div>
        <w:div w:id="160632743">
          <w:marLeft w:val="0"/>
          <w:marRight w:val="0"/>
          <w:marTop w:val="0"/>
          <w:marBottom w:val="0"/>
          <w:divBdr>
            <w:top w:val="none" w:sz="0" w:space="0" w:color="auto"/>
            <w:left w:val="none" w:sz="0" w:space="0" w:color="auto"/>
            <w:bottom w:val="none" w:sz="0" w:space="0" w:color="auto"/>
            <w:right w:val="none" w:sz="0" w:space="0" w:color="auto"/>
          </w:divBdr>
          <w:divsChild>
            <w:div w:id="1651906955">
              <w:marLeft w:val="0"/>
              <w:marRight w:val="0"/>
              <w:marTop w:val="0"/>
              <w:marBottom w:val="0"/>
              <w:divBdr>
                <w:top w:val="none" w:sz="0" w:space="0" w:color="auto"/>
                <w:left w:val="none" w:sz="0" w:space="0" w:color="auto"/>
                <w:bottom w:val="none" w:sz="0" w:space="0" w:color="auto"/>
                <w:right w:val="none" w:sz="0" w:space="0" w:color="auto"/>
              </w:divBdr>
            </w:div>
          </w:divsChild>
        </w:div>
        <w:div w:id="168062822">
          <w:marLeft w:val="0"/>
          <w:marRight w:val="0"/>
          <w:marTop w:val="0"/>
          <w:marBottom w:val="0"/>
          <w:divBdr>
            <w:top w:val="none" w:sz="0" w:space="0" w:color="auto"/>
            <w:left w:val="none" w:sz="0" w:space="0" w:color="auto"/>
            <w:bottom w:val="none" w:sz="0" w:space="0" w:color="auto"/>
            <w:right w:val="none" w:sz="0" w:space="0" w:color="auto"/>
          </w:divBdr>
          <w:divsChild>
            <w:div w:id="207648860">
              <w:marLeft w:val="0"/>
              <w:marRight w:val="0"/>
              <w:marTop w:val="0"/>
              <w:marBottom w:val="0"/>
              <w:divBdr>
                <w:top w:val="none" w:sz="0" w:space="0" w:color="auto"/>
                <w:left w:val="none" w:sz="0" w:space="0" w:color="auto"/>
                <w:bottom w:val="none" w:sz="0" w:space="0" w:color="auto"/>
                <w:right w:val="none" w:sz="0" w:space="0" w:color="auto"/>
              </w:divBdr>
            </w:div>
          </w:divsChild>
        </w:div>
        <w:div w:id="200479063">
          <w:marLeft w:val="0"/>
          <w:marRight w:val="0"/>
          <w:marTop w:val="0"/>
          <w:marBottom w:val="0"/>
          <w:divBdr>
            <w:top w:val="none" w:sz="0" w:space="0" w:color="auto"/>
            <w:left w:val="none" w:sz="0" w:space="0" w:color="auto"/>
            <w:bottom w:val="none" w:sz="0" w:space="0" w:color="auto"/>
            <w:right w:val="none" w:sz="0" w:space="0" w:color="auto"/>
          </w:divBdr>
          <w:divsChild>
            <w:div w:id="1632974345">
              <w:marLeft w:val="0"/>
              <w:marRight w:val="0"/>
              <w:marTop w:val="0"/>
              <w:marBottom w:val="0"/>
              <w:divBdr>
                <w:top w:val="none" w:sz="0" w:space="0" w:color="auto"/>
                <w:left w:val="none" w:sz="0" w:space="0" w:color="auto"/>
                <w:bottom w:val="none" w:sz="0" w:space="0" w:color="auto"/>
                <w:right w:val="none" w:sz="0" w:space="0" w:color="auto"/>
              </w:divBdr>
            </w:div>
          </w:divsChild>
        </w:div>
        <w:div w:id="217859039">
          <w:marLeft w:val="0"/>
          <w:marRight w:val="0"/>
          <w:marTop w:val="0"/>
          <w:marBottom w:val="0"/>
          <w:divBdr>
            <w:top w:val="none" w:sz="0" w:space="0" w:color="auto"/>
            <w:left w:val="none" w:sz="0" w:space="0" w:color="auto"/>
            <w:bottom w:val="none" w:sz="0" w:space="0" w:color="auto"/>
            <w:right w:val="none" w:sz="0" w:space="0" w:color="auto"/>
          </w:divBdr>
          <w:divsChild>
            <w:div w:id="153422292">
              <w:marLeft w:val="0"/>
              <w:marRight w:val="0"/>
              <w:marTop w:val="0"/>
              <w:marBottom w:val="0"/>
              <w:divBdr>
                <w:top w:val="none" w:sz="0" w:space="0" w:color="auto"/>
                <w:left w:val="none" w:sz="0" w:space="0" w:color="auto"/>
                <w:bottom w:val="none" w:sz="0" w:space="0" w:color="auto"/>
                <w:right w:val="none" w:sz="0" w:space="0" w:color="auto"/>
              </w:divBdr>
            </w:div>
          </w:divsChild>
        </w:div>
        <w:div w:id="223297136">
          <w:marLeft w:val="0"/>
          <w:marRight w:val="0"/>
          <w:marTop w:val="0"/>
          <w:marBottom w:val="0"/>
          <w:divBdr>
            <w:top w:val="none" w:sz="0" w:space="0" w:color="auto"/>
            <w:left w:val="none" w:sz="0" w:space="0" w:color="auto"/>
            <w:bottom w:val="none" w:sz="0" w:space="0" w:color="auto"/>
            <w:right w:val="none" w:sz="0" w:space="0" w:color="auto"/>
          </w:divBdr>
          <w:divsChild>
            <w:div w:id="735935457">
              <w:marLeft w:val="0"/>
              <w:marRight w:val="0"/>
              <w:marTop w:val="0"/>
              <w:marBottom w:val="0"/>
              <w:divBdr>
                <w:top w:val="none" w:sz="0" w:space="0" w:color="auto"/>
                <w:left w:val="none" w:sz="0" w:space="0" w:color="auto"/>
                <w:bottom w:val="none" w:sz="0" w:space="0" w:color="auto"/>
                <w:right w:val="none" w:sz="0" w:space="0" w:color="auto"/>
              </w:divBdr>
            </w:div>
          </w:divsChild>
        </w:div>
        <w:div w:id="225990088">
          <w:marLeft w:val="0"/>
          <w:marRight w:val="0"/>
          <w:marTop w:val="0"/>
          <w:marBottom w:val="0"/>
          <w:divBdr>
            <w:top w:val="none" w:sz="0" w:space="0" w:color="auto"/>
            <w:left w:val="none" w:sz="0" w:space="0" w:color="auto"/>
            <w:bottom w:val="none" w:sz="0" w:space="0" w:color="auto"/>
            <w:right w:val="none" w:sz="0" w:space="0" w:color="auto"/>
          </w:divBdr>
          <w:divsChild>
            <w:div w:id="1425034693">
              <w:marLeft w:val="0"/>
              <w:marRight w:val="0"/>
              <w:marTop w:val="0"/>
              <w:marBottom w:val="0"/>
              <w:divBdr>
                <w:top w:val="none" w:sz="0" w:space="0" w:color="auto"/>
                <w:left w:val="none" w:sz="0" w:space="0" w:color="auto"/>
                <w:bottom w:val="none" w:sz="0" w:space="0" w:color="auto"/>
                <w:right w:val="none" w:sz="0" w:space="0" w:color="auto"/>
              </w:divBdr>
            </w:div>
          </w:divsChild>
        </w:div>
        <w:div w:id="247155304">
          <w:marLeft w:val="0"/>
          <w:marRight w:val="0"/>
          <w:marTop w:val="0"/>
          <w:marBottom w:val="0"/>
          <w:divBdr>
            <w:top w:val="none" w:sz="0" w:space="0" w:color="auto"/>
            <w:left w:val="none" w:sz="0" w:space="0" w:color="auto"/>
            <w:bottom w:val="none" w:sz="0" w:space="0" w:color="auto"/>
            <w:right w:val="none" w:sz="0" w:space="0" w:color="auto"/>
          </w:divBdr>
          <w:divsChild>
            <w:div w:id="919564019">
              <w:marLeft w:val="0"/>
              <w:marRight w:val="0"/>
              <w:marTop w:val="0"/>
              <w:marBottom w:val="0"/>
              <w:divBdr>
                <w:top w:val="none" w:sz="0" w:space="0" w:color="auto"/>
                <w:left w:val="none" w:sz="0" w:space="0" w:color="auto"/>
                <w:bottom w:val="none" w:sz="0" w:space="0" w:color="auto"/>
                <w:right w:val="none" w:sz="0" w:space="0" w:color="auto"/>
              </w:divBdr>
            </w:div>
          </w:divsChild>
        </w:div>
        <w:div w:id="258949319">
          <w:marLeft w:val="0"/>
          <w:marRight w:val="0"/>
          <w:marTop w:val="0"/>
          <w:marBottom w:val="0"/>
          <w:divBdr>
            <w:top w:val="none" w:sz="0" w:space="0" w:color="auto"/>
            <w:left w:val="none" w:sz="0" w:space="0" w:color="auto"/>
            <w:bottom w:val="none" w:sz="0" w:space="0" w:color="auto"/>
            <w:right w:val="none" w:sz="0" w:space="0" w:color="auto"/>
          </w:divBdr>
          <w:divsChild>
            <w:div w:id="1156148095">
              <w:marLeft w:val="0"/>
              <w:marRight w:val="0"/>
              <w:marTop w:val="0"/>
              <w:marBottom w:val="0"/>
              <w:divBdr>
                <w:top w:val="none" w:sz="0" w:space="0" w:color="auto"/>
                <w:left w:val="none" w:sz="0" w:space="0" w:color="auto"/>
                <w:bottom w:val="none" w:sz="0" w:space="0" w:color="auto"/>
                <w:right w:val="none" w:sz="0" w:space="0" w:color="auto"/>
              </w:divBdr>
            </w:div>
          </w:divsChild>
        </w:div>
        <w:div w:id="261453130">
          <w:marLeft w:val="0"/>
          <w:marRight w:val="0"/>
          <w:marTop w:val="0"/>
          <w:marBottom w:val="0"/>
          <w:divBdr>
            <w:top w:val="none" w:sz="0" w:space="0" w:color="auto"/>
            <w:left w:val="none" w:sz="0" w:space="0" w:color="auto"/>
            <w:bottom w:val="none" w:sz="0" w:space="0" w:color="auto"/>
            <w:right w:val="none" w:sz="0" w:space="0" w:color="auto"/>
          </w:divBdr>
          <w:divsChild>
            <w:div w:id="718675904">
              <w:marLeft w:val="0"/>
              <w:marRight w:val="0"/>
              <w:marTop w:val="0"/>
              <w:marBottom w:val="0"/>
              <w:divBdr>
                <w:top w:val="none" w:sz="0" w:space="0" w:color="auto"/>
                <w:left w:val="none" w:sz="0" w:space="0" w:color="auto"/>
                <w:bottom w:val="none" w:sz="0" w:space="0" w:color="auto"/>
                <w:right w:val="none" w:sz="0" w:space="0" w:color="auto"/>
              </w:divBdr>
            </w:div>
          </w:divsChild>
        </w:div>
        <w:div w:id="281158167">
          <w:marLeft w:val="0"/>
          <w:marRight w:val="0"/>
          <w:marTop w:val="0"/>
          <w:marBottom w:val="0"/>
          <w:divBdr>
            <w:top w:val="none" w:sz="0" w:space="0" w:color="auto"/>
            <w:left w:val="none" w:sz="0" w:space="0" w:color="auto"/>
            <w:bottom w:val="none" w:sz="0" w:space="0" w:color="auto"/>
            <w:right w:val="none" w:sz="0" w:space="0" w:color="auto"/>
          </w:divBdr>
          <w:divsChild>
            <w:div w:id="437871924">
              <w:marLeft w:val="0"/>
              <w:marRight w:val="0"/>
              <w:marTop w:val="0"/>
              <w:marBottom w:val="0"/>
              <w:divBdr>
                <w:top w:val="none" w:sz="0" w:space="0" w:color="auto"/>
                <w:left w:val="none" w:sz="0" w:space="0" w:color="auto"/>
                <w:bottom w:val="none" w:sz="0" w:space="0" w:color="auto"/>
                <w:right w:val="none" w:sz="0" w:space="0" w:color="auto"/>
              </w:divBdr>
            </w:div>
          </w:divsChild>
        </w:div>
        <w:div w:id="286356683">
          <w:marLeft w:val="0"/>
          <w:marRight w:val="0"/>
          <w:marTop w:val="0"/>
          <w:marBottom w:val="0"/>
          <w:divBdr>
            <w:top w:val="none" w:sz="0" w:space="0" w:color="auto"/>
            <w:left w:val="none" w:sz="0" w:space="0" w:color="auto"/>
            <w:bottom w:val="none" w:sz="0" w:space="0" w:color="auto"/>
            <w:right w:val="none" w:sz="0" w:space="0" w:color="auto"/>
          </w:divBdr>
          <w:divsChild>
            <w:div w:id="138690595">
              <w:marLeft w:val="0"/>
              <w:marRight w:val="0"/>
              <w:marTop w:val="0"/>
              <w:marBottom w:val="0"/>
              <w:divBdr>
                <w:top w:val="none" w:sz="0" w:space="0" w:color="auto"/>
                <w:left w:val="none" w:sz="0" w:space="0" w:color="auto"/>
                <w:bottom w:val="none" w:sz="0" w:space="0" w:color="auto"/>
                <w:right w:val="none" w:sz="0" w:space="0" w:color="auto"/>
              </w:divBdr>
            </w:div>
          </w:divsChild>
        </w:div>
        <w:div w:id="292180960">
          <w:marLeft w:val="0"/>
          <w:marRight w:val="0"/>
          <w:marTop w:val="0"/>
          <w:marBottom w:val="0"/>
          <w:divBdr>
            <w:top w:val="none" w:sz="0" w:space="0" w:color="auto"/>
            <w:left w:val="none" w:sz="0" w:space="0" w:color="auto"/>
            <w:bottom w:val="none" w:sz="0" w:space="0" w:color="auto"/>
            <w:right w:val="none" w:sz="0" w:space="0" w:color="auto"/>
          </w:divBdr>
          <w:divsChild>
            <w:div w:id="100615647">
              <w:marLeft w:val="0"/>
              <w:marRight w:val="0"/>
              <w:marTop w:val="0"/>
              <w:marBottom w:val="0"/>
              <w:divBdr>
                <w:top w:val="none" w:sz="0" w:space="0" w:color="auto"/>
                <w:left w:val="none" w:sz="0" w:space="0" w:color="auto"/>
                <w:bottom w:val="none" w:sz="0" w:space="0" w:color="auto"/>
                <w:right w:val="none" w:sz="0" w:space="0" w:color="auto"/>
              </w:divBdr>
            </w:div>
          </w:divsChild>
        </w:div>
        <w:div w:id="321009377">
          <w:marLeft w:val="0"/>
          <w:marRight w:val="0"/>
          <w:marTop w:val="0"/>
          <w:marBottom w:val="0"/>
          <w:divBdr>
            <w:top w:val="none" w:sz="0" w:space="0" w:color="auto"/>
            <w:left w:val="none" w:sz="0" w:space="0" w:color="auto"/>
            <w:bottom w:val="none" w:sz="0" w:space="0" w:color="auto"/>
            <w:right w:val="none" w:sz="0" w:space="0" w:color="auto"/>
          </w:divBdr>
          <w:divsChild>
            <w:div w:id="888153878">
              <w:marLeft w:val="0"/>
              <w:marRight w:val="0"/>
              <w:marTop w:val="0"/>
              <w:marBottom w:val="0"/>
              <w:divBdr>
                <w:top w:val="none" w:sz="0" w:space="0" w:color="auto"/>
                <w:left w:val="none" w:sz="0" w:space="0" w:color="auto"/>
                <w:bottom w:val="none" w:sz="0" w:space="0" w:color="auto"/>
                <w:right w:val="none" w:sz="0" w:space="0" w:color="auto"/>
              </w:divBdr>
            </w:div>
          </w:divsChild>
        </w:div>
        <w:div w:id="322858565">
          <w:marLeft w:val="0"/>
          <w:marRight w:val="0"/>
          <w:marTop w:val="0"/>
          <w:marBottom w:val="0"/>
          <w:divBdr>
            <w:top w:val="none" w:sz="0" w:space="0" w:color="auto"/>
            <w:left w:val="none" w:sz="0" w:space="0" w:color="auto"/>
            <w:bottom w:val="none" w:sz="0" w:space="0" w:color="auto"/>
            <w:right w:val="none" w:sz="0" w:space="0" w:color="auto"/>
          </w:divBdr>
          <w:divsChild>
            <w:div w:id="41102386">
              <w:marLeft w:val="0"/>
              <w:marRight w:val="0"/>
              <w:marTop w:val="0"/>
              <w:marBottom w:val="0"/>
              <w:divBdr>
                <w:top w:val="none" w:sz="0" w:space="0" w:color="auto"/>
                <w:left w:val="none" w:sz="0" w:space="0" w:color="auto"/>
                <w:bottom w:val="none" w:sz="0" w:space="0" w:color="auto"/>
                <w:right w:val="none" w:sz="0" w:space="0" w:color="auto"/>
              </w:divBdr>
            </w:div>
          </w:divsChild>
        </w:div>
        <w:div w:id="323361636">
          <w:marLeft w:val="0"/>
          <w:marRight w:val="0"/>
          <w:marTop w:val="0"/>
          <w:marBottom w:val="0"/>
          <w:divBdr>
            <w:top w:val="none" w:sz="0" w:space="0" w:color="auto"/>
            <w:left w:val="none" w:sz="0" w:space="0" w:color="auto"/>
            <w:bottom w:val="none" w:sz="0" w:space="0" w:color="auto"/>
            <w:right w:val="none" w:sz="0" w:space="0" w:color="auto"/>
          </w:divBdr>
          <w:divsChild>
            <w:div w:id="144471088">
              <w:marLeft w:val="0"/>
              <w:marRight w:val="0"/>
              <w:marTop w:val="0"/>
              <w:marBottom w:val="0"/>
              <w:divBdr>
                <w:top w:val="none" w:sz="0" w:space="0" w:color="auto"/>
                <w:left w:val="none" w:sz="0" w:space="0" w:color="auto"/>
                <w:bottom w:val="none" w:sz="0" w:space="0" w:color="auto"/>
                <w:right w:val="none" w:sz="0" w:space="0" w:color="auto"/>
              </w:divBdr>
            </w:div>
          </w:divsChild>
        </w:div>
        <w:div w:id="347685372">
          <w:marLeft w:val="0"/>
          <w:marRight w:val="0"/>
          <w:marTop w:val="0"/>
          <w:marBottom w:val="0"/>
          <w:divBdr>
            <w:top w:val="none" w:sz="0" w:space="0" w:color="auto"/>
            <w:left w:val="none" w:sz="0" w:space="0" w:color="auto"/>
            <w:bottom w:val="none" w:sz="0" w:space="0" w:color="auto"/>
            <w:right w:val="none" w:sz="0" w:space="0" w:color="auto"/>
          </w:divBdr>
          <w:divsChild>
            <w:div w:id="2132700071">
              <w:marLeft w:val="0"/>
              <w:marRight w:val="0"/>
              <w:marTop w:val="0"/>
              <w:marBottom w:val="0"/>
              <w:divBdr>
                <w:top w:val="none" w:sz="0" w:space="0" w:color="auto"/>
                <w:left w:val="none" w:sz="0" w:space="0" w:color="auto"/>
                <w:bottom w:val="none" w:sz="0" w:space="0" w:color="auto"/>
                <w:right w:val="none" w:sz="0" w:space="0" w:color="auto"/>
              </w:divBdr>
            </w:div>
          </w:divsChild>
        </w:div>
        <w:div w:id="351417926">
          <w:marLeft w:val="0"/>
          <w:marRight w:val="0"/>
          <w:marTop w:val="0"/>
          <w:marBottom w:val="0"/>
          <w:divBdr>
            <w:top w:val="none" w:sz="0" w:space="0" w:color="auto"/>
            <w:left w:val="none" w:sz="0" w:space="0" w:color="auto"/>
            <w:bottom w:val="none" w:sz="0" w:space="0" w:color="auto"/>
            <w:right w:val="none" w:sz="0" w:space="0" w:color="auto"/>
          </w:divBdr>
          <w:divsChild>
            <w:div w:id="1251311418">
              <w:marLeft w:val="0"/>
              <w:marRight w:val="0"/>
              <w:marTop w:val="0"/>
              <w:marBottom w:val="0"/>
              <w:divBdr>
                <w:top w:val="none" w:sz="0" w:space="0" w:color="auto"/>
                <w:left w:val="none" w:sz="0" w:space="0" w:color="auto"/>
                <w:bottom w:val="none" w:sz="0" w:space="0" w:color="auto"/>
                <w:right w:val="none" w:sz="0" w:space="0" w:color="auto"/>
              </w:divBdr>
            </w:div>
          </w:divsChild>
        </w:div>
        <w:div w:id="364446929">
          <w:marLeft w:val="0"/>
          <w:marRight w:val="0"/>
          <w:marTop w:val="0"/>
          <w:marBottom w:val="0"/>
          <w:divBdr>
            <w:top w:val="none" w:sz="0" w:space="0" w:color="auto"/>
            <w:left w:val="none" w:sz="0" w:space="0" w:color="auto"/>
            <w:bottom w:val="none" w:sz="0" w:space="0" w:color="auto"/>
            <w:right w:val="none" w:sz="0" w:space="0" w:color="auto"/>
          </w:divBdr>
          <w:divsChild>
            <w:div w:id="1181046841">
              <w:marLeft w:val="0"/>
              <w:marRight w:val="0"/>
              <w:marTop w:val="0"/>
              <w:marBottom w:val="0"/>
              <w:divBdr>
                <w:top w:val="none" w:sz="0" w:space="0" w:color="auto"/>
                <w:left w:val="none" w:sz="0" w:space="0" w:color="auto"/>
                <w:bottom w:val="none" w:sz="0" w:space="0" w:color="auto"/>
                <w:right w:val="none" w:sz="0" w:space="0" w:color="auto"/>
              </w:divBdr>
            </w:div>
          </w:divsChild>
        </w:div>
        <w:div w:id="382366524">
          <w:marLeft w:val="0"/>
          <w:marRight w:val="0"/>
          <w:marTop w:val="0"/>
          <w:marBottom w:val="0"/>
          <w:divBdr>
            <w:top w:val="none" w:sz="0" w:space="0" w:color="auto"/>
            <w:left w:val="none" w:sz="0" w:space="0" w:color="auto"/>
            <w:bottom w:val="none" w:sz="0" w:space="0" w:color="auto"/>
            <w:right w:val="none" w:sz="0" w:space="0" w:color="auto"/>
          </w:divBdr>
          <w:divsChild>
            <w:div w:id="522401159">
              <w:marLeft w:val="0"/>
              <w:marRight w:val="0"/>
              <w:marTop w:val="0"/>
              <w:marBottom w:val="0"/>
              <w:divBdr>
                <w:top w:val="none" w:sz="0" w:space="0" w:color="auto"/>
                <w:left w:val="none" w:sz="0" w:space="0" w:color="auto"/>
                <w:bottom w:val="none" w:sz="0" w:space="0" w:color="auto"/>
                <w:right w:val="none" w:sz="0" w:space="0" w:color="auto"/>
              </w:divBdr>
            </w:div>
          </w:divsChild>
        </w:div>
        <w:div w:id="429085866">
          <w:marLeft w:val="0"/>
          <w:marRight w:val="0"/>
          <w:marTop w:val="0"/>
          <w:marBottom w:val="0"/>
          <w:divBdr>
            <w:top w:val="none" w:sz="0" w:space="0" w:color="auto"/>
            <w:left w:val="none" w:sz="0" w:space="0" w:color="auto"/>
            <w:bottom w:val="none" w:sz="0" w:space="0" w:color="auto"/>
            <w:right w:val="none" w:sz="0" w:space="0" w:color="auto"/>
          </w:divBdr>
          <w:divsChild>
            <w:div w:id="1971857725">
              <w:marLeft w:val="0"/>
              <w:marRight w:val="0"/>
              <w:marTop w:val="0"/>
              <w:marBottom w:val="0"/>
              <w:divBdr>
                <w:top w:val="none" w:sz="0" w:space="0" w:color="auto"/>
                <w:left w:val="none" w:sz="0" w:space="0" w:color="auto"/>
                <w:bottom w:val="none" w:sz="0" w:space="0" w:color="auto"/>
                <w:right w:val="none" w:sz="0" w:space="0" w:color="auto"/>
              </w:divBdr>
            </w:div>
          </w:divsChild>
        </w:div>
        <w:div w:id="439494691">
          <w:marLeft w:val="0"/>
          <w:marRight w:val="0"/>
          <w:marTop w:val="0"/>
          <w:marBottom w:val="0"/>
          <w:divBdr>
            <w:top w:val="none" w:sz="0" w:space="0" w:color="auto"/>
            <w:left w:val="none" w:sz="0" w:space="0" w:color="auto"/>
            <w:bottom w:val="none" w:sz="0" w:space="0" w:color="auto"/>
            <w:right w:val="none" w:sz="0" w:space="0" w:color="auto"/>
          </w:divBdr>
          <w:divsChild>
            <w:div w:id="415588476">
              <w:marLeft w:val="0"/>
              <w:marRight w:val="0"/>
              <w:marTop w:val="0"/>
              <w:marBottom w:val="0"/>
              <w:divBdr>
                <w:top w:val="none" w:sz="0" w:space="0" w:color="auto"/>
                <w:left w:val="none" w:sz="0" w:space="0" w:color="auto"/>
                <w:bottom w:val="none" w:sz="0" w:space="0" w:color="auto"/>
                <w:right w:val="none" w:sz="0" w:space="0" w:color="auto"/>
              </w:divBdr>
            </w:div>
          </w:divsChild>
        </w:div>
        <w:div w:id="457533338">
          <w:marLeft w:val="0"/>
          <w:marRight w:val="0"/>
          <w:marTop w:val="0"/>
          <w:marBottom w:val="0"/>
          <w:divBdr>
            <w:top w:val="none" w:sz="0" w:space="0" w:color="auto"/>
            <w:left w:val="none" w:sz="0" w:space="0" w:color="auto"/>
            <w:bottom w:val="none" w:sz="0" w:space="0" w:color="auto"/>
            <w:right w:val="none" w:sz="0" w:space="0" w:color="auto"/>
          </w:divBdr>
          <w:divsChild>
            <w:div w:id="1432312065">
              <w:marLeft w:val="0"/>
              <w:marRight w:val="0"/>
              <w:marTop w:val="0"/>
              <w:marBottom w:val="0"/>
              <w:divBdr>
                <w:top w:val="none" w:sz="0" w:space="0" w:color="auto"/>
                <w:left w:val="none" w:sz="0" w:space="0" w:color="auto"/>
                <w:bottom w:val="none" w:sz="0" w:space="0" w:color="auto"/>
                <w:right w:val="none" w:sz="0" w:space="0" w:color="auto"/>
              </w:divBdr>
            </w:div>
          </w:divsChild>
        </w:div>
        <w:div w:id="461383402">
          <w:marLeft w:val="0"/>
          <w:marRight w:val="0"/>
          <w:marTop w:val="0"/>
          <w:marBottom w:val="0"/>
          <w:divBdr>
            <w:top w:val="none" w:sz="0" w:space="0" w:color="auto"/>
            <w:left w:val="none" w:sz="0" w:space="0" w:color="auto"/>
            <w:bottom w:val="none" w:sz="0" w:space="0" w:color="auto"/>
            <w:right w:val="none" w:sz="0" w:space="0" w:color="auto"/>
          </w:divBdr>
          <w:divsChild>
            <w:div w:id="187108554">
              <w:marLeft w:val="0"/>
              <w:marRight w:val="0"/>
              <w:marTop w:val="0"/>
              <w:marBottom w:val="0"/>
              <w:divBdr>
                <w:top w:val="none" w:sz="0" w:space="0" w:color="auto"/>
                <w:left w:val="none" w:sz="0" w:space="0" w:color="auto"/>
                <w:bottom w:val="none" w:sz="0" w:space="0" w:color="auto"/>
                <w:right w:val="none" w:sz="0" w:space="0" w:color="auto"/>
              </w:divBdr>
            </w:div>
          </w:divsChild>
        </w:div>
        <w:div w:id="478231077">
          <w:marLeft w:val="0"/>
          <w:marRight w:val="0"/>
          <w:marTop w:val="0"/>
          <w:marBottom w:val="0"/>
          <w:divBdr>
            <w:top w:val="none" w:sz="0" w:space="0" w:color="auto"/>
            <w:left w:val="none" w:sz="0" w:space="0" w:color="auto"/>
            <w:bottom w:val="none" w:sz="0" w:space="0" w:color="auto"/>
            <w:right w:val="none" w:sz="0" w:space="0" w:color="auto"/>
          </w:divBdr>
          <w:divsChild>
            <w:div w:id="233972686">
              <w:marLeft w:val="0"/>
              <w:marRight w:val="0"/>
              <w:marTop w:val="0"/>
              <w:marBottom w:val="0"/>
              <w:divBdr>
                <w:top w:val="none" w:sz="0" w:space="0" w:color="auto"/>
                <w:left w:val="none" w:sz="0" w:space="0" w:color="auto"/>
                <w:bottom w:val="none" w:sz="0" w:space="0" w:color="auto"/>
                <w:right w:val="none" w:sz="0" w:space="0" w:color="auto"/>
              </w:divBdr>
            </w:div>
          </w:divsChild>
        </w:div>
        <w:div w:id="481235161">
          <w:marLeft w:val="0"/>
          <w:marRight w:val="0"/>
          <w:marTop w:val="0"/>
          <w:marBottom w:val="0"/>
          <w:divBdr>
            <w:top w:val="none" w:sz="0" w:space="0" w:color="auto"/>
            <w:left w:val="none" w:sz="0" w:space="0" w:color="auto"/>
            <w:bottom w:val="none" w:sz="0" w:space="0" w:color="auto"/>
            <w:right w:val="none" w:sz="0" w:space="0" w:color="auto"/>
          </w:divBdr>
          <w:divsChild>
            <w:div w:id="824903391">
              <w:marLeft w:val="0"/>
              <w:marRight w:val="0"/>
              <w:marTop w:val="0"/>
              <w:marBottom w:val="0"/>
              <w:divBdr>
                <w:top w:val="none" w:sz="0" w:space="0" w:color="auto"/>
                <w:left w:val="none" w:sz="0" w:space="0" w:color="auto"/>
                <w:bottom w:val="none" w:sz="0" w:space="0" w:color="auto"/>
                <w:right w:val="none" w:sz="0" w:space="0" w:color="auto"/>
              </w:divBdr>
            </w:div>
          </w:divsChild>
        </w:div>
        <w:div w:id="532231362">
          <w:marLeft w:val="0"/>
          <w:marRight w:val="0"/>
          <w:marTop w:val="0"/>
          <w:marBottom w:val="0"/>
          <w:divBdr>
            <w:top w:val="none" w:sz="0" w:space="0" w:color="auto"/>
            <w:left w:val="none" w:sz="0" w:space="0" w:color="auto"/>
            <w:bottom w:val="none" w:sz="0" w:space="0" w:color="auto"/>
            <w:right w:val="none" w:sz="0" w:space="0" w:color="auto"/>
          </w:divBdr>
          <w:divsChild>
            <w:div w:id="21130045">
              <w:marLeft w:val="0"/>
              <w:marRight w:val="0"/>
              <w:marTop w:val="0"/>
              <w:marBottom w:val="0"/>
              <w:divBdr>
                <w:top w:val="none" w:sz="0" w:space="0" w:color="auto"/>
                <w:left w:val="none" w:sz="0" w:space="0" w:color="auto"/>
                <w:bottom w:val="none" w:sz="0" w:space="0" w:color="auto"/>
                <w:right w:val="none" w:sz="0" w:space="0" w:color="auto"/>
              </w:divBdr>
            </w:div>
          </w:divsChild>
        </w:div>
        <w:div w:id="537013088">
          <w:marLeft w:val="0"/>
          <w:marRight w:val="0"/>
          <w:marTop w:val="0"/>
          <w:marBottom w:val="0"/>
          <w:divBdr>
            <w:top w:val="none" w:sz="0" w:space="0" w:color="auto"/>
            <w:left w:val="none" w:sz="0" w:space="0" w:color="auto"/>
            <w:bottom w:val="none" w:sz="0" w:space="0" w:color="auto"/>
            <w:right w:val="none" w:sz="0" w:space="0" w:color="auto"/>
          </w:divBdr>
          <w:divsChild>
            <w:div w:id="1312363989">
              <w:marLeft w:val="0"/>
              <w:marRight w:val="0"/>
              <w:marTop w:val="0"/>
              <w:marBottom w:val="0"/>
              <w:divBdr>
                <w:top w:val="none" w:sz="0" w:space="0" w:color="auto"/>
                <w:left w:val="none" w:sz="0" w:space="0" w:color="auto"/>
                <w:bottom w:val="none" w:sz="0" w:space="0" w:color="auto"/>
                <w:right w:val="none" w:sz="0" w:space="0" w:color="auto"/>
              </w:divBdr>
            </w:div>
          </w:divsChild>
        </w:div>
        <w:div w:id="553540539">
          <w:marLeft w:val="0"/>
          <w:marRight w:val="0"/>
          <w:marTop w:val="0"/>
          <w:marBottom w:val="0"/>
          <w:divBdr>
            <w:top w:val="none" w:sz="0" w:space="0" w:color="auto"/>
            <w:left w:val="none" w:sz="0" w:space="0" w:color="auto"/>
            <w:bottom w:val="none" w:sz="0" w:space="0" w:color="auto"/>
            <w:right w:val="none" w:sz="0" w:space="0" w:color="auto"/>
          </w:divBdr>
          <w:divsChild>
            <w:div w:id="1312369975">
              <w:marLeft w:val="0"/>
              <w:marRight w:val="0"/>
              <w:marTop w:val="0"/>
              <w:marBottom w:val="0"/>
              <w:divBdr>
                <w:top w:val="none" w:sz="0" w:space="0" w:color="auto"/>
                <w:left w:val="none" w:sz="0" w:space="0" w:color="auto"/>
                <w:bottom w:val="none" w:sz="0" w:space="0" w:color="auto"/>
                <w:right w:val="none" w:sz="0" w:space="0" w:color="auto"/>
              </w:divBdr>
            </w:div>
          </w:divsChild>
        </w:div>
        <w:div w:id="561137544">
          <w:marLeft w:val="0"/>
          <w:marRight w:val="0"/>
          <w:marTop w:val="0"/>
          <w:marBottom w:val="0"/>
          <w:divBdr>
            <w:top w:val="none" w:sz="0" w:space="0" w:color="auto"/>
            <w:left w:val="none" w:sz="0" w:space="0" w:color="auto"/>
            <w:bottom w:val="none" w:sz="0" w:space="0" w:color="auto"/>
            <w:right w:val="none" w:sz="0" w:space="0" w:color="auto"/>
          </w:divBdr>
          <w:divsChild>
            <w:div w:id="516887391">
              <w:marLeft w:val="0"/>
              <w:marRight w:val="0"/>
              <w:marTop w:val="0"/>
              <w:marBottom w:val="0"/>
              <w:divBdr>
                <w:top w:val="none" w:sz="0" w:space="0" w:color="auto"/>
                <w:left w:val="none" w:sz="0" w:space="0" w:color="auto"/>
                <w:bottom w:val="none" w:sz="0" w:space="0" w:color="auto"/>
                <w:right w:val="none" w:sz="0" w:space="0" w:color="auto"/>
              </w:divBdr>
            </w:div>
          </w:divsChild>
        </w:div>
        <w:div w:id="575894205">
          <w:marLeft w:val="0"/>
          <w:marRight w:val="0"/>
          <w:marTop w:val="0"/>
          <w:marBottom w:val="0"/>
          <w:divBdr>
            <w:top w:val="none" w:sz="0" w:space="0" w:color="auto"/>
            <w:left w:val="none" w:sz="0" w:space="0" w:color="auto"/>
            <w:bottom w:val="none" w:sz="0" w:space="0" w:color="auto"/>
            <w:right w:val="none" w:sz="0" w:space="0" w:color="auto"/>
          </w:divBdr>
          <w:divsChild>
            <w:div w:id="1225222042">
              <w:marLeft w:val="0"/>
              <w:marRight w:val="0"/>
              <w:marTop w:val="0"/>
              <w:marBottom w:val="0"/>
              <w:divBdr>
                <w:top w:val="none" w:sz="0" w:space="0" w:color="auto"/>
                <w:left w:val="none" w:sz="0" w:space="0" w:color="auto"/>
                <w:bottom w:val="none" w:sz="0" w:space="0" w:color="auto"/>
                <w:right w:val="none" w:sz="0" w:space="0" w:color="auto"/>
              </w:divBdr>
            </w:div>
          </w:divsChild>
        </w:div>
        <w:div w:id="576331985">
          <w:marLeft w:val="0"/>
          <w:marRight w:val="0"/>
          <w:marTop w:val="0"/>
          <w:marBottom w:val="0"/>
          <w:divBdr>
            <w:top w:val="none" w:sz="0" w:space="0" w:color="auto"/>
            <w:left w:val="none" w:sz="0" w:space="0" w:color="auto"/>
            <w:bottom w:val="none" w:sz="0" w:space="0" w:color="auto"/>
            <w:right w:val="none" w:sz="0" w:space="0" w:color="auto"/>
          </w:divBdr>
          <w:divsChild>
            <w:div w:id="292060343">
              <w:marLeft w:val="0"/>
              <w:marRight w:val="0"/>
              <w:marTop w:val="0"/>
              <w:marBottom w:val="0"/>
              <w:divBdr>
                <w:top w:val="none" w:sz="0" w:space="0" w:color="auto"/>
                <w:left w:val="none" w:sz="0" w:space="0" w:color="auto"/>
                <w:bottom w:val="none" w:sz="0" w:space="0" w:color="auto"/>
                <w:right w:val="none" w:sz="0" w:space="0" w:color="auto"/>
              </w:divBdr>
            </w:div>
          </w:divsChild>
        </w:div>
        <w:div w:id="579487687">
          <w:marLeft w:val="0"/>
          <w:marRight w:val="0"/>
          <w:marTop w:val="0"/>
          <w:marBottom w:val="0"/>
          <w:divBdr>
            <w:top w:val="none" w:sz="0" w:space="0" w:color="auto"/>
            <w:left w:val="none" w:sz="0" w:space="0" w:color="auto"/>
            <w:bottom w:val="none" w:sz="0" w:space="0" w:color="auto"/>
            <w:right w:val="none" w:sz="0" w:space="0" w:color="auto"/>
          </w:divBdr>
          <w:divsChild>
            <w:div w:id="708266867">
              <w:marLeft w:val="0"/>
              <w:marRight w:val="0"/>
              <w:marTop w:val="0"/>
              <w:marBottom w:val="0"/>
              <w:divBdr>
                <w:top w:val="none" w:sz="0" w:space="0" w:color="auto"/>
                <w:left w:val="none" w:sz="0" w:space="0" w:color="auto"/>
                <w:bottom w:val="none" w:sz="0" w:space="0" w:color="auto"/>
                <w:right w:val="none" w:sz="0" w:space="0" w:color="auto"/>
              </w:divBdr>
            </w:div>
          </w:divsChild>
        </w:div>
        <w:div w:id="598365877">
          <w:marLeft w:val="0"/>
          <w:marRight w:val="0"/>
          <w:marTop w:val="0"/>
          <w:marBottom w:val="0"/>
          <w:divBdr>
            <w:top w:val="none" w:sz="0" w:space="0" w:color="auto"/>
            <w:left w:val="none" w:sz="0" w:space="0" w:color="auto"/>
            <w:bottom w:val="none" w:sz="0" w:space="0" w:color="auto"/>
            <w:right w:val="none" w:sz="0" w:space="0" w:color="auto"/>
          </w:divBdr>
          <w:divsChild>
            <w:div w:id="924221240">
              <w:marLeft w:val="0"/>
              <w:marRight w:val="0"/>
              <w:marTop w:val="0"/>
              <w:marBottom w:val="0"/>
              <w:divBdr>
                <w:top w:val="none" w:sz="0" w:space="0" w:color="auto"/>
                <w:left w:val="none" w:sz="0" w:space="0" w:color="auto"/>
                <w:bottom w:val="none" w:sz="0" w:space="0" w:color="auto"/>
                <w:right w:val="none" w:sz="0" w:space="0" w:color="auto"/>
              </w:divBdr>
            </w:div>
          </w:divsChild>
        </w:div>
        <w:div w:id="616914378">
          <w:marLeft w:val="0"/>
          <w:marRight w:val="0"/>
          <w:marTop w:val="0"/>
          <w:marBottom w:val="0"/>
          <w:divBdr>
            <w:top w:val="none" w:sz="0" w:space="0" w:color="auto"/>
            <w:left w:val="none" w:sz="0" w:space="0" w:color="auto"/>
            <w:bottom w:val="none" w:sz="0" w:space="0" w:color="auto"/>
            <w:right w:val="none" w:sz="0" w:space="0" w:color="auto"/>
          </w:divBdr>
          <w:divsChild>
            <w:div w:id="847602729">
              <w:marLeft w:val="0"/>
              <w:marRight w:val="0"/>
              <w:marTop w:val="0"/>
              <w:marBottom w:val="0"/>
              <w:divBdr>
                <w:top w:val="none" w:sz="0" w:space="0" w:color="auto"/>
                <w:left w:val="none" w:sz="0" w:space="0" w:color="auto"/>
                <w:bottom w:val="none" w:sz="0" w:space="0" w:color="auto"/>
                <w:right w:val="none" w:sz="0" w:space="0" w:color="auto"/>
              </w:divBdr>
            </w:div>
          </w:divsChild>
        </w:div>
        <w:div w:id="631667178">
          <w:marLeft w:val="0"/>
          <w:marRight w:val="0"/>
          <w:marTop w:val="0"/>
          <w:marBottom w:val="0"/>
          <w:divBdr>
            <w:top w:val="none" w:sz="0" w:space="0" w:color="auto"/>
            <w:left w:val="none" w:sz="0" w:space="0" w:color="auto"/>
            <w:bottom w:val="none" w:sz="0" w:space="0" w:color="auto"/>
            <w:right w:val="none" w:sz="0" w:space="0" w:color="auto"/>
          </w:divBdr>
          <w:divsChild>
            <w:div w:id="286161032">
              <w:marLeft w:val="0"/>
              <w:marRight w:val="0"/>
              <w:marTop w:val="0"/>
              <w:marBottom w:val="0"/>
              <w:divBdr>
                <w:top w:val="none" w:sz="0" w:space="0" w:color="auto"/>
                <w:left w:val="none" w:sz="0" w:space="0" w:color="auto"/>
                <w:bottom w:val="none" w:sz="0" w:space="0" w:color="auto"/>
                <w:right w:val="none" w:sz="0" w:space="0" w:color="auto"/>
              </w:divBdr>
            </w:div>
          </w:divsChild>
        </w:div>
        <w:div w:id="650256596">
          <w:marLeft w:val="0"/>
          <w:marRight w:val="0"/>
          <w:marTop w:val="0"/>
          <w:marBottom w:val="0"/>
          <w:divBdr>
            <w:top w:val="none" w:sz="0" w:space="0" w:color="auto"/>
            <w:left w:val="none" w:sz="0" w:space="0" w:color="auto"/>
            <w:bottom w:val="none" w:sz="0" w:space="0" w:color="auto"/>
            <w:right w:val="none" w:sz="0" w:space="0" w:color="auto"/>
          </w:divBdr>
          <w:divsChild>
            <w:div w:id="42559743">
              <w:marLeft w:val="0"/>
              <w:marRight w:val="0"/>
              <w:marTop w:val="0"/>
              <w:marBottom w:val="0"/>
              <w:divBdr>
                <w:top w:val="none" w:sz="0" w:space="0" w:color="auto"/>
                <w:left w:val="none" w:sz="0" w:space="0" w:color="auto"/>
                <w:bottom w:val="none" w:sz="0" w:space="0" w:color="auto"/>
                <w:right w:val="none" w:sz="0" w:space="0" w:color="auto"/>
              </w:divBdr>
            </w:div>
          </w:divsChild>
        </w:div>
        <w:div w:id="650409591">
          <w:marLeft w:val="0"/>
          <w:marRight w:val="0"/>
          <w:marTop w:val="0"/>
          <w:marBottom w:val="0"/>
          <w:divBdr>
            <w:top w:val="none" w:sz="0" w:space="0" w:color="auto"/>
            <w:left w:val="none" w:sz="0" w:space="0" w:color="auto"/>
            <w:bottom w:val="none" w:sz="0" w:space="0" w:color="auto"/>
            <w:right w:val="none" w:sz="0" w:space="0" w:color="auto"/>
          </w:divBdr>
          <w:divsChild>
            <w:div w:id="1612977368">
              <w:marLeft w:val="0"/>
              <w:marRight w:val="0"/>
              <w:marTop w:val="0"/>
              <w:marBottom w:val="0"/>
              <w:divBdr>
                <w:top w:val="none" w:sz="0" w:space="0" w:color="auto"/>
                <w:left w:val="none" w:sz="0" w:space="0" w:color="auto"/>
                <w:bottom w:val="none" w:sz="0" w:space="0" w:color="auto"/>
                <w:right w:val="none" w:sz="0" w:space="0" w:color="auto"/>
              </w:divBdr>
            </w:div>
          </w:divsChild>
        </w:div>
        <w:div w:id="657535182">
          <w:marLeft w:val="0"/>
          <w:marRight w:val="0"/>
          <w:marTop w:val="0"/>
          <w:marBottom w:val="0"/>
          <w:divBdr>
            <w:top w:val="none" w:sz="0" w:space="0" w:color="auto"/>
            <w:left w:val="none" w:sz="0" w:space="0" w:color="auto"/>
            <w:bottom w:val="none" w:sz="0" w:space="0" w:color="auto"/>
            <w:right w:val="none" w:sz="0" w:space="0" w:color="auto"/>
          </w:divBdr>
          <w:divsChild>
            <w:div w:id="1916015612">
              <w:marLeft w:val="0"/>
              <w:marRight w:val="0"/>
              <w:marTop w:val="0"/>
              <w:marBottom w:val="0"/>
              <w:divBdr>
                <w:top w:val="none" w:sz="0" w:space="0" w:color="auto"/>
                <w:left w:val="none" w:sz="0" w:space="0" w:color="auto"/>
                <w:bottom w:val="none" w:sz="0" w:space="0" w:color="auto"/>
                <w:right w:val="none" w:sz="0" w:space="0" w:color="auto"/>
              </w:divBdr>
            </w:div>
          </w:divsChild>
        </w:div>
        <w:div w:id="660037549">
          <w:marLeft w:val="0"/>
          <w:marRight w:val="0"/>
          <w:marTop w:val="0"/>
          <w:marBottom w:val="0"/>
          <w:divBdr>
            <w:top w:val="none" w:sz="0" w:space="0" w:color="auto"/>
            <w:left w:val="none" w:sz="0" w:space="0" w:color="auto"/>
            <w:bottom w:val="none" w:sz="0" w:space="0" w:color="auto"/>
            <w:right w:val="none" w:sz="0" w:space="0" w:color="auto"/>
          </w:divBdr>
          <w:divsChild>
            <w:div w:id="452090240">
              <w:marLeft w:val="0"/>
              <w:marRight w:val="0"/>
              <w:marTop w:val="0"/>
              <w:marBottom w:val="0"/>
              <w:divBdr>
                <w:top w:val="none" w:sz="0" w:space="0" w:color="auto"/>
                <w:left w:val="none" w:sz="0" w:space="0" w:color="auto"/>
                <w:bottom w:val="none" w:sz="0" w:space="0" w:color="auto"/>
                <w:right w:val="none" w:sz="0" w:space="0" w:color="auto"/>
              </w:divBdr>
            </w:div>
          </w:divsChild>
        </w:div>
        <w:div w:id="667287991">
          <w:marLeft w:val="0"/>
          <w:marRight w:val="0"/>
          <w:marTop w:val="0"/>
          <w:marBottom w:val="0"/>
          <w:divBdr>
            <w:top w:val="none" w:sz="0" w:space="0" w:color="auto"/>
            <w:left w:val="none" w:sz="0" w:space="0" w:color="auto"/>
            <w:bottom w:val="none" w:sz="0" w:space="0" w:color="auto"/>
            <w:right w:val="none" w:sz="0" w:space="0" w:color="auto"/>
          </w:divBdr>
          <w:divsChild>
            <w:div w:id="71203830">
              <w:marLeft w:val="0"/>
              <w:marRight w:val="0"/>
              <w:marTop w:val="0"/>
              <w:marBottom w:val="0"/>
              <w:divBdr>
                <w:top w:val="none" w:sz="0" w:space="0" w:color="auto"/>
                <w:left w:val="none" w:sz="0" w:space="0" w:color="auto"/>
                <w:bottom w:val="none" w:sz="0" w:space="0" w:color="auto"/>
                <w:right w:val="none" w:sz="0" w:space="0" w:color="auto"/>
              </w:divBdr>
            </w:div>
          </w:divsChild>
        </w:div>
        <w:div w:id="673842303">
          <w:marLeft w:val="0"/>
          <w:marRight w:val="0"/>
          <w:marTop w:val="0"/>
          <w:marBottom w:val="0"/>
          <w:divBdr>
            <w:top w:val="none" w:sz="0" w:space="0" w:color="auto"/>
            <w:left w:val="none" w:sz="0" w:space="0" w:color="auto"/>
            <w:bottom w:val="none" w:sz="0" w:space="0" w:color="auto"/>
            <w:right w:val="none" w:sz="0" w:space="0" w:color="auto"/>
          </w:divBdr>
          <w:divsChild>
            <w:div w:id="864946821">
              <w:marLeft w:val="0"/>
              <w:marRight w:val="0"/>
              <w:marTop w:val="0"/>
              <w:marBottom w:val="0"/>
              <w:divBdr>
                <w:top w:val="none" w:sz="0" w:space="0" w:color="auto"/>
                <w:left w:val="none" w:sz="0" w:space="0" w:color="auto"/>
                <w:bottom w:val="none" w:sz="0" w:space="0" w:color="auto"/>
                <w:right w:val="none" w:sz="0" w:space="0" w:color="auto"/>
              </w:divBdr>
            </w:div>
          </w:divsChild>
        </w:div>
        <w:div w:id="676422505">
          <w:marLeft w:val="0"/>
          <w:marRight w:val="0"/>
          <w:marTop w:val="0"/>
          <w:marBottom w:val="0"/>
          <w:divBdr>
            <w:top w:val="none" w:sz="0" w:space="0" w:color="auto"/>
            <w:left w:val="none" w:sz="0" w:space="0" w:color="auto"/>
            <w:bottom w:val="none" w:sz="0" w:space="0" w:color="auto"/>
            <w:right w:val="none" w:sz="0" w:space="0" w:color="auto"/>
          </w:divBdr>
          <w:divsChild>
            <w:div w:id="2097624616">
              <w:marLeft w:val="0"/>
              <w:marRight w:val="0"/>
              <w:marTop w:val="0"/>
              <w:marBottom w:val="0"/>
              <w:divBdr>
                <w:top w:val="none" w:sz="0" w:space="0" w:color="auto"/>
                <w:left w:val="none" w:sz="0" w:space="0" w:color="auto"/>
                <w:bottom w:val="none" w:sz="0" w:space="0" w:color="auto"/>
                <w:right w:val="none" w:sz="0" w:space="0" w:color="auto"/>
              </w:divBdr>
            </w:div>
          </w:divsChild>
        </w:div>
        <w:div w:id="693112900">
          <w:marLeft w:val="0"/>
          <w:marRight w:val="0"/>
          <w:marTop w:val="0"/>
          <w:marBottom w:val="0"/>
          <w:divBdr>
            <w:top w:val="none" w:sz="0" w:space="0" w:color="auto"/>
            <w:left w:val="none" w:sz="0" w:space="0" w:color="auto"/>
            <w:bottom w:val="none" w:sz="0" w:space="0" w:color="auto"/>
            <w:right w:val="none" w:sz="0" w:space="0" w:color="auto"/>
          </w:divBdr>
          <w:divsChild>
            <w:div w:id="1730811253">
              <w:marLeft w:val="0"/>
              <w:marRight w:val="0"/>
              <w:marTop w:val="0"/>
              <w:marBottom w:val="0"/>
              <w:divBdr>
                <w:top w:val="none" w:sz="0" w:space="0" w:color="auto"/>
                <w:left w:val="none" w:sz="0" w:space="0" w:color="auto"/>
                <w:bottom w:val="none" w:sz="0" w:space="0" w:color="auto"/>
                <w:right w:val="none" w:sz="0" w:space="0" w:color="auto"/>
              </w:divBdr>
            </w:div>
          </w:divsChild>
        </w:div>
        <w:div w:id="716589109">
          <w:marLeft w:val="0"/>
          <w:marRight w:val="0"/>
          <w:marTop w:val="0"/>
          <w:marBottom w:val="0"/>
          <w:divBdr>
            <w:top w:val="none" w:sz="0" w:space="0" w:color="auto"/>
            <w:left w:val="none" w:sz="0" w:space="0" w:color="auto"/>
            <w:bottom w:val="none" w:sz="0" w:space="0" w:color="auto"/>
            <w:right w:val="none" w:sz="0" w:space="0" w:color="auto"/>
          </w:divBdr>
          <w:divsChild>
            <w:div w:id="1850489244">
              <w:marLeft w:val="0"/>
              <w:marRight w:val="0"/>
              <w:marTop w:val="0"/>
              <w:marBottom w:val="0"/>
              <w:divBdr>
                <w:top w:val="none" w:sz="0" w:space="0" w:color="auto"/>
                <w:left w:val="none" w:sz="0" w:space="0" w:color="auto"/>
                <w:bottom w:val="none" w:sz="0" w:space="0" w:color="auto"/>
                <w:right w:val="none" w:sz="0" w:space="0" w:color="auto"/>
              </w:divBdr>
            </w:div>
          </w:divsChild>
        </w:div>
        <w:div w:id="737484216">
          <w:marLeft w:val="0"/>
          <w:marRight w:val="0"/>
          <w:marTop w:val="0"/>
          <w:marBottom w:val="0"/>
          <w:divBdr>
            <w:top w:val="none" w:sz="0" w:space="0" w:color="auto"/>
            <w:left w:val="none" w:sz="0" w:space="0" w:color="auto"/>
            <w:bottom w:val="none" w:sz="0" w:space="0" w:color="auto"/>
            <w:right w:val="none" w:sz="0" w:space="0" w:color="auto"/>
          </w:divBdr>
          <w:divsChild>
            <w:div w:id="1867525121">
              <w:marLeft w:val="0"/>
              <w:marRight w:val="0"/>
              <w:marTop w:val="0"/>
              <w:marBottom w:val="0"/>
              <w:divBdr>
                <w:top w:val="none" w:sz="0" w:space="0" w:color="auto"/>
                <w:left w:val="none" w:sz="0" w:space="0" w:color="auto"/>
                <w:bottom w:val="none" w:sz="0" w:space="0" w:color="auto"/>
                <w:right w:val="none" w:sz="0" w:space="0" w:color="auto"/>
              </w:divBdr>
            </w:div>
          </w:divsChild>
        </w:div>
        <w:div w:id="746615974">
          <w:marLeft w:val="0"/>
          <w:marRight w:val="0"/>
          <w:marTop w:val="0"/>
          <w:marBottom w:val="0"/>
          <w:divBdr>
            <w:top w:val="none" w:sz="0" w:space="0" w:color="auto"/>
            <w:left w:val="none" w:sz="0" w:space="0" w:color="auto"/>
            <w:bottom w:val="none" w:sz="0" w:space="0" w:color="auto"/>
            <w:right w:val="none" w:sz="0" w:space="0" w:color="auto"/>
          </w:divBdr>
          <w:divsChild>
            <w:div w:id="1943218724">
              <w:marLeft w:val="0"/>
              <w:marRight w:val="0"/>
              <w:marTop w:val="0"/>
              <w:marBottom w:val="0"/>
              <w:divBdr>
                <w:top w:val="none" w:sz="0" w:space="0" w:color="auto"/>
                <w:left w:val="none" w:sz="0" w:space="0" w:color="auto"/>
                <w:bottom w:val="none" w:sz="0" w:space="0" w:color="auto"/>
                <w:right w:val="none" w:sz="0" w:space="0" w:color="auto"/>
              </w:divBdr>
            </w:div>
          </w:divsChild>
        </w:div>
        <w:div w:id="771055256">
          <w:marLeft w:val="0"/>
          <w:marRight w:val="0"/>
          <w:marTop w:val="0"/>
          <w:marBottom w:val="0"/>
          <w:divBdr>
            <w:top w:val="none" w:sz="0" w:space="0" w:color="auto"/>
            <w:left w:val="none" w:sz="0" w:space="0" w:color="auto"/>
            <w:bottom w:val="none" w:sz="0" w:space="0" w:color="auto"/>
            <w:right w:val="none" w:sz="0" w:space="0" w:color="auto"/>
          </w:divBdr>
          <w:divsChild>
            <w:div w:id="1049957091">
              <w:marLeft w:val="0"/>
              <w:marRight w:val="0"/>
              <w:marTop w:val="0"/>
              <w:marBottom w:val="0"/>
              <w:divBdr>
                <w:top w:val="none" w:sz="0" w:space="0" w:color="auto"/>
                <w:left w:val="none" w:sz="0" w:space="0" w:color="auto"/>
                <w:bottom w:val="none" w:sz="0" w:space="0" w:color="auto"/>
                <w:right w:val="none" w:sz="0" w:space="0" w:color="auto"/>
              </w:divBdr>
            </w:div>
          </w:divsChild>
        </w:div>
        <w:div w:id="778329516">
          <w:marLeft w:val="0"/>
          <w:marRight w:val="0"/>
          <w:marTop w:val="0"/>
          <w:marBottom w:val="0"/>
          <w:divBdr>
            <w:top w:val="none" w:sz="0" w:space="0" w:color="auto"/>
            <w:left w:val="none" w:sz="0" w:space="0" w:color="auto"/>
            <w:bottom w:val="none" w:sz="0" w:space="0" w:color="auto"/>
            <w:right w:val="none" w:sz="0" w:space="0" w:color="auto"/>
          </w:divBdr>
          <w:divsChild>
            <w:div w:id="971210388">
              <w:marLeft w:val="0"/>
              <w:marRight w:val="0"/>
              <w:marTop w:val="0"/>
              <w:marBottom w:val="0"/>
              <w:divBdr>
                <w:top w:val="none" w:sz="0" w:space="0" w:color="auto"/>
                <w:left w:val="none" w:sz="0" w:space="0" w:color="auto"/>
                <w:bottom w:val="none" w:sz="0" w:space="0" w:color="auto"/>
                <w:right w:val="none" w:sz="0" w:space="0" w:color="auto"/>
              </w:divBdr>
            </w:div>
          </w:divsChild>
        </w:div>
        <w:div w:id="804541150">
          <w:marLeft w:val="0"/>
          <w:marRight w:val="0"/>
          <w:marTop w:val="0"/>
          <w:marBottom w:val="0"/>
          <w:divBdr>
            <w:top w:val="none" w:sz="0" w:space="0" w:color="auto"/>
            <w:left w:val="none" w:sz="0" w:space="0" w:color="auto"/>
            <w:bottom w:val="none" w:sz="0" w:space="0" w:color="auto"/>
            <w:right w:val="none" w:sz="0" w:space="0" w:color="auto"/>
          </w:divBdr>
          <w:divsChild>
            <w:div w:id="945846175">
              <w:marLeft w:val="0"/>
              <w:marRight w:val="0"/>
              <w:marTop w:val="0"/>
              <w:marBottom w:val="0"/>
              <w:divBdr>
                <w:top w:val="none" w:sz="0" w:space="0" w:color="auto"/>
                <w:left w:val="none" w:sz="0" w:space="0" w:color="auto"/>
                <w:bottom w:val="none" w:sz="0" w:space="0" w:color="auto"/>
                <w:right w:val="none" w:sz="0" w:space="0" w:color="auto"/>
              </w:divBdr>
            </w:div>
          </w:divsChild>
        </w:div>
        <w:div w:id="817961023">
          <w:marLeft w:val="0"/>
          <w:marRight w:val="0"/>
          <w:marTop w:val="0"/>
          <w:marBottom w:val="0"/>
          <w:divBdr>
            <w:top w:val="none" w:sz="0" w:space="0" w:color="auto"/>
            <w:left w:val="none" w:sz="0" w:space="0" w:color="auto"/>
            <w:bottom w:val="none" w:sz="0" w:space="0" w:color="auto"/>
            <w:right w:val="none" w:sz="0" w:space="0" w:color="auto"/>
          </w:divBdr>
          <w:divsChild>
            <w:div w:id="1537543127">
              <w:marLeft w:val="0"/>
              <w:marRight w:val="0"/>
              <w:marTop w:val="0"/>
              <w:marBottom w:val="0"/>
              <w:divBdr>
                <w:top w:val="none" w:sz="0" w:space="0" w:color="auto"/>
                <w:left w:val="none" w:sz="0" w:space="0" w:color="auto"/>
                <w:bottom w:val="none" w:sz="0" w:space="0" w:color="auto"/>
                <w:right w:val="none" w:sz="0" w:space="0" w:color="auto"/>
              </w:divBdr>
            </w:div>
          </w:divsChild>
        </w:div>
        <w:div w:id="818884006">
          <w:marLeft w:val="0"/>
          <w:marRight w:val="0"/>
          <w:marTop w:val="0"/>
          <w:marBottom w:val="0"/>
          <w:divBdr>
            <w:top w:val="none" w:sz="0" w:space="0" w:color="auto"/>
            <w:left w:val="none" w:sz="0" w:space="0" w:color="auto"/>
            <w:bottom w:val="none" w:sz="0" w:space="0" w:color="auto"/>
            <w:right w:val="none" w:sz="0" w:space="0" w:color="auto"/>
          </w:divBdr>
          <w:divsChild>
            <w:div w:id="1222519388">
              <w:marLeft w:val="0"/>
              <w:marRight w:val="0"/>
              <w:marTop w:val="0"/>
              <w:marBottom w:val="0"/>
              <w:divBdr>
                <w:top w:val="none" w:sz="0" w:space="0" w:color="auto"/>
                <w:left w:val="none" w:sz="0" w:space="0" w:color="auto"/>
                <w:bottom w:val="none" w:sz="0" w:space="0" w:color="auto"/>
                <w:right w:val="none" w:sz="0" w:space="0" w:color="auto"/>
              </w:divBdr>
            </w:div>
          </w:divsChild>
        </w:div>
        <w:div w:id="819080882">
          <w:marLeft w:val="0"/>
          <w:marRight w:val="0"/>
          <w:marTop w:val="0"/>
          <w:marBottom w:val="0"/>
          <w:divBdr>
            <w:top w:val="none" w:sz="0" w:space="0" w:color="auto"/>
            <w:left w:val="none" w:sz="0" w:space="0" w:color="auto"/>
            <w:bottom w:val="none" w:sz="0" w:space="0" w:color="auto"/>
            <w:right w:val="none" w:sz="0" w:space="0" w:color="auto"/>
          </w:divBdr>
          <w:divsChild>
            <w:div w:id="496770908">
              <w:marLeft w:val="0"/>
              <w:marRight w:val="0"/>
              <w:marTop w:val="0"/>
              <w:marBottom w:val="0"/>
              <w:divBdr>
                <w:top w:val="none" w:sz="0" w:space="0" w:color="auto"/>
                <w:left w:val="none" w:sz="0" w:space="0" w:color="auto"/>
                <w:bottom w:val="none" w:sz="0" w:space="0" w:color="auto"/>
                <w:right w:val="none" w:sz="0" w:space="0" w:color="auto"/>
              </w:divBdr>
            </w:div>
          </w:divsChild>
        </w:div>
        <w:div w:id="824321370">
          <w:marLeft w:val="0"/>
          <w:marRight w:val="0"/>
          <w:marTop w:val="0"/>
          <w:marBottom w:val="0"/>
          <w:divBdr>
            <w:top w:val="none" w:sz="0" w:space="0" w:color="auto"/>
            <w:left w:val="none" w:sz="0" w:space="0" w:color="auto"/>
            <w:bottom w:val="none" w:sz="0" w:space="0" w:color="auto"/>
            <w:right w:val="none" w:sz="0" w:space="0" w:color="auto"/>
          </w:divBdr>
          <w:divsChild>
            <w:div w:id="169104338">
              <w:marLeft w:val="0"/>
              <w:marRight w:val="0"/>
              <w:marTop w:val="0"/>
              <w:marBottom w:val="0"/>
              <w:divBdr>
                <w:top w:val="none" w:sz="0" w:space="0" w:color="auto"/>
                <w:left w:val="none" w:sz="0" w:space="0" w:color="auto"/>
                <w:bottom w:val="none" w:sz="0" w:space="0" w:color="auto"/>
                <w:right w:val="none" w:sz="0" w:space="0" w:color="auto"/>
              </w:divBdr>
            </w:div>
          </w:divsChild>
        </w:div>
        <w:div w:id="826359775">
          <w:marLeft w:val="0"/>
          <w:marRight w:val="0"/>
          <w:marTop w:val="0"/>
          <w:marBottom w:val="0"/>
          <w:divBdr>
            <w:top w:val="none" w:sz="0" w:space="0" w:color="auto"/>
            <w:left w:val="none" w:sz="0" w:space="0" w:color="auto"/>
            <w:bottom w:val="none" w:sz="0" w:space="0" w:color="auto"/>
            <w:right w:val="none" w:sz="0" w:space="0" w:color="auto"/>
          </w:divBdr>
          <w:divsChild>
            <w:div w:id="1716276007">
              <w:marLeft w:val="0"/>
              <w:marRight w:val="0"/>
              <w:marTop w:val="0"/>
              <w:marBottom w:val="0"/>
              <w:divBdr>
                <w:top w:val="none" w:sz="0" w:space="0" w:color="auto"/>
                <w:left w:val="none" w:sz="0" w:space="0" w:color="auto"/>
                <w:bottom w:val="none" w:sz="0" w:space="0" w:color="auto"/>
                <w:right w:val="none" w:sz="0" w:space="0" w:color="auto"/>
              </w:divBdr>
            </w:div>
          </w:divsChild>
        </w:div>
        <w:div w:id="853810410">
          <w:marLeft w:val="0"/>
          <w:marRight w:val="0"/>
          <w:marTop w:val="0"/>
          <w:marBottom w:val="0"/>
          <w:divBdr>
            <w:top w:val="none" w:sz="0" w:space="0" w:color="auto"/>
            <w:left w:val="none" w:sz="0" w:space="0" w:color="auto"/>
            <w:bottom w:val="none" w:sz="0" w:space="0" w:color="auto"/>
            <w:right w:val="none" w:sz="0" w:space="0" w:color="auto"/>
          </w:divBdr>
          <w:divsChild>
            <w:div w:id="1153713421">
              <w:marLeft w:val="0"/>
              <w:marRight w:val="0"/>
              <w:marTop w:val="0"/>
              <w:marBottom w:val="0"/>
              <w:divBdr>
                <w:top w:val="none" w:sz="0" w:space="0" w:color="auto"/>
                <w:left w:val="none" w:sz="0" w:space="0" w:color="auto"/>
                <w:bottom w:val="none" w:sz="0" w:space="0" w:color="auto"/>
                <w:right w:val="none" w:sz="0" w:space="0" w:color="auto"/>
              </w:divBdr>
            </w:div>
          </w:divsChild>
        </w:div>
        <w:div w:id="868025682">
          <w:marLeft w:val="0"/>
          <w:marRight w:val="0"/>
          <w:marTop w:val="0"/>
          <w:marBottom w:val="0"/>
          <w:divBdr>
            <w:top w:val="none" w:sz="0" w:space="0" w:color="auto"/>
            <w:left w:val="none" w:sz="0" w:space="0" w:color="auto"/>
            <w:bottom w:val="none" w:sz="0" w:space="0" w:color="auto"/>
            <w:right w:val="none" w:sz="0" w:space="0" w:color="auto"/>
          </w:divBdr>
          <w:divsChild>
            <w:div w:id="1290745624">
              <w:marLeft w:val="0"/>
              <w:marRight w:val="0"/>
              <w:marTop w:val="0"/>
              <w:marBottom w:val="0"/>
              <w:divBdr>
                <w:top w:val="none" w:sz="0" w:space="0" w:color="auto"/>
                <w:left w:val="none" w:sz="0" w:space="0" w:color="auto"/>
                <w:bottom w:val="none" w:sz="0" w:space="0" w:color="auto"/>
                <w:right w:val="none" w:sz="0" w:space="0" w:color="auto"/>
              </w:divBdr>
            </w:div>
          </w:divsChild>
        </w:div>
        <w:div w:id="887767403">
          <w:marLeft w:val="0"/>
          <w:marRight w:val="0"/>
          <w:marTop w:val="0"/>
          <w:marBottom w:val="0"/>
          <w:divBdr>
            <w:top w:val="none" w:sz="0" w:space="0" w:color="auto"/>
            <w:left w:val="none" w:sz="0" w:space="0" w:color="auto"/>
            <w:bottom w:val="none" w:sz="0" w:space="0" w:color="auto"/>
            <w:right w:val="none" w:sz="0" w:space="0" w:color="auto"/>
          </w:divBdr>
          <w:divsChild>
            <w:div w:id="1991324367">
              <w:marLeft w:val="0"/>
              <w:marRight w:val="0"/>
              <w:marTop w:val="0"/>
              <w:marBottom w:val="0"/>
              <w:divBdr>
                <w:top w:val="none" w:sz="0" w:space="0" w:color="auto"/>
                <w:left w:val="none" w:sz="0" w:space="0" w:color="auto"/>
                <w:bottom w:val="none" w:sz="0" w:space="0" w:color="auto"/>
                <w:right w:val="none" w:sz="0" w:space="0" w:color="auto"/>
              </w:divBdr>
            </w:div>
          </w:divsChild>
        </w:div>
        <w:div w:id="902764261">
          <w:marLeft w:val="0"/>
          <w:marRight w:val="0"/>
          <w:marTop w:val="0"/>
          <w:marBottom w:val="0"/>
          <w:divBdr>
            <w:top w:val="none" w:sz="0" w:space="0" w:color="auto"/>
            <w:left w:val="none" w:sz="0" w:space="0" w:color="auto"/>
            <w:bottom w:val="none" w:sz="0" w:space="0" w:color="auto"/>
            <w:right w:val="none" w:sz="0" w:space="0" w:color="auto"/>
          </w:divBdr>
          <w:divsChild>
            <w:div w:id="131027678">
              <w:marLeft w:val="0"/>
              <w:marRight w:val="0"/>
              <w:marTop w:val="0"/>
              <w:marBottom w:val="0"/>
              <w:divBdr>
                <w:top w:val="none" w:sz="0" w:space="0" w:color="auto"/>
                <w:left w:val="none" w:sz="0" w:space="0" w:color="auto"/>
                <w:bottom w:val="none" w:sz="0" w:space="0" w:color="auto"/>
                <w:right w:val="none" w:sz="0" w:space="0" w:color="auto"/>
              </w:divBdr>
            </w:div>
          </w:divsChild>
        </w:div>
        <w:div w:id="916674346">
          <w:marLeft w:val="0"/>
          <w:marRight w:val="0"/>
          <w:marTop w:val="0"/>
          <w:marBottom w:val="0"/>
          <w:divBdr>
            <w:top w:val="none" w:sz="0" w:space="0" w:color="auto"/>
            <w:left w:val="none" w:sz="0" w:space="0" w:color="auto"/>
            <w:bottom w:val="none" w:sz="0" w:space="0" w:color="auto"/>
            <w:right w:val="none" w:sz="0" w:space="0" w:color="auto"/>
          </w:divBdr>
          <w:divsChild>
            <w:div w:id="1855652582">
              <w:marLeft w:val="0"/>
              <w:marRight w:val="0"/>
              <w:marTop w:val="0"/>
              <w:marBottom w:val="0"/>
              <w:divBdr>
                <w:top w:val="none" w:sz="0" w:space="0" w:color="auto"/>
                <w:left w:val="none" w:sz="0" w:space="0" w:color="auto"/>
                <w:bottom w:val="none" w:sz="0" w:space="0" w:color="auto"/>
                <w:right w:val="none" w:sz="0" w:space="0" w:color="auto"/>
              </w:divBdr>
            </w:div>
          </w:divsChild>
        </w:div>
        <w:div w:id="926962079">
          <w:marLeft w:val="0"/>
          <w:marRight w:val="0"/>
          <w:marTop w:val="0"/>
          <w:marBottom w:val="0"/>
          <w:divBdr>
            <w:top w:val="none" w:sz="0" w:space="0" w:color="auto"/>
            <w:left w:val="none" w:sz="0" w:space="0" w:color="auto"/>
            <w:bottom w:val="none" w:sz="0" w:space="0" w:color="auto"/>
            <w:right w:val="none" w:sz="0" w:space="0" w:color="auto"/>
          </w:divBdr>
          <w:divsChild>
            <w:div w:id="745227053">
              <w:marLeft w:val="0"/>
              <w:marRight w:val="0"/>
              <w:marTop w:val="0"/>
              <w:marBottom w:val="0"/>
              <w:divBdr>
                <w:top w:val="none" w:sz="0" w:space="0" w:color="auto"/>
                <w:left w:val="none" w:sz="0" w:space="0" w:color="auto"/>
                <w:bottom w:val="none" w:sz="0" w:space="0" w:color="auto"/>
                <w:right w:val="none" w:sz="0" w:space="0" w:color="auto"/>
              </w:divBdr>
            </w:div>
          </w:divsChild>
        </w:div>
        <w:div w:id="939484662">
          <w:marLeft w:val="0"/>
          <w:marRight w:val="0"/>
          <w:marTop w:val="0"/>
          <w:marBottom w:val="0"/>
          <w:divBdr>
            <w:top w:val="none" w:sz="0" w:space="0" w:color="auto"/>
            <w:left w:val="none" w:sz="0" w:space="0" w:color="auto"/>
            <w:bottom w:val="none" w:sz="0" w:space="0" w:color="auto"/>
            <w:right w:val="none" w:sz="0" w:space="0" w:color="auto"/>
          </w:divBdr>
          <w:divsChild>
            <w:div w:id="422535336">
              <w:marLeft w:val="0"/>
              <w:marRight w:val="0"/>
              <w:marTop w:val="0"/>
              <w:marBottom w:val="0"/>
              <w:divBdr>
                <w:top w:val="none" w:sz="0" w:space="0" w:color="auto"/>
                <w:left w:val="none" w:sz="0" w:space="0" w:color="auto"/>
                <w:bottom w:val="none" w:sz="0" w:space="0" w:color="auto"/>
                <w:right w:val="none" w:sz="0" w:space="0" w:color="auto"/>
              </w:divBdr>
            </w:div>
          </w:divsChild>
        </w:div>
        <w:div w:id="948395651">
          <w:marLeft w:val="0"/>
          <w:marRight w:val="0"/>
          <w:marTop w:val="0"/>
          <w:marBottom w:val="0"/>
          <w:divBdr>
            <w:top w:val="none" w:sz="0" w:space="0" w:color="auto"/>
            <w:left w:val="none" w:sz="0" w:space="0" w:color="auto"/>
            <w:bottom w:val="none" w:sz="0" w:space="0" w:color="auto"/>
            <w:right w:val="none" w:sz="0" w:space="0" w:color="auto"/>
          </w:divBdr>
          <w:divsChild>
            <w:div w:id="1866626535">
              <w:marLeft w:val="0"/>
              <w:marRight w:val="0"/>
              <w:marTop w:val="0"/>
              <w:marBottom w:val="0"/>
              <w:divBdr>
                <w:top w:val="none" w:sz="0" w:space="0" w:color="auto"/>
                <w:left w:val="none" w:sz="0" w:space="0" w:color="auto"/>
                <w:bottom w:val="none" w:sz="0" w:space="0" w:color="auto"/>
                <w:right w:val="none" w:sz="0" w:space="0" w:color="auto"/>
              </w:divBdr>
            </w:div>
          </w:divsChild>
        </w:div>
        <w:div w:id="959605717">
          <w:marLeft w:val="0"/>
          <w:marRight w:val="0"/>
          <w:marTop w:val="0"/>
          <w:marBottom w:val="0"/>
          <w:divBdr>
            <w:top w:val="none" w:sz="0" w:space="0" w:color="auto"/>
            <w:left w:val="none" w:sz="0" w:space="0" w:color="auto"/>
            <w:bottom w:val="none" w:sz="0" w:space="0" w:color="auto"/>
            <w:right w:val="none" w:sz="0" w:space="0" w:color="auto"/>
          </w:divBdr>
          <w:divsChild>
            <w:div w:id="1065882550">
              <w:marLeft w:val="0"/>
              <w:marRight w:val="0"/>
              <w:marTop w:val="0"/>
              <w:marBottom w:val="0"/>
              <w:divBdr>
                <w:top w:val="none" w:sz="0" w:space="0" w:color="auto"/>
                <w:left w:val="none" w:sz="0" w:space="0" w:color="auto"/>
                <w:bottom w:val="none" w:sz="0" w:space="0" w:color="auto"/>
                <w:right w:val="none" w:sz="0" w:space="0" w:color="auto"/>
              </w:divBdr>
            </w:div>
          </w:divsChild>
        </w:div>
        <w:div w:id="959843166">
          <w:marLeft w:val="0"/>
          <w:marRight w:val="0"/>
          <w:marTop w:val="0"/>
          <w:marBottom w:val="0"/>
          <w:divBdr>
            <w:top w:val="none" w:sz="0" w:space="0" w:color="auto"/>
            <w:left w:val="none" w:sz="0" w:space="0" w:color="auto"/>
            <w:bottom w:val="none" w:sz="0" w:space="0" w:color="auto"/>
            <w:right w:val="none" w:sz="0" w:space="0" w:color="auto"/>
          </w:divBdr>
          <w:divsChild>
            <w:div w:id="785780208">
              <w:marLeft w:val="0"/>
              <w:marRight w:val="0"/>
              <w:marTop w:val="0"/>
              <w:marBottom w:val="0"/>
              <w:divBdr>
                <w:top w:val="none" w:sz="0" w:space="0" w:color="auto"/>
                <w:left w:val="none" w:sz="0" w:space="0" w:color="auto"/>
                <w:bottom w:val="none" w:sz="0" w:space="0" w:color="auto"/>
                <w:right w:val="none" w:sz="0" w:space="0" w:color="auto"/>
              </w:divBdr>
            </w:div>
          </w:divsChild>
        </w:div>
        <w:div w:id="962734257">
          <w:marLeft w:val="0"/>
          <w:marRight w:val="0"/>
          <w:marTop w:val="0"/>
          <w:marBottom w:val="0"/>
          <w:divBdr>
            <w:top w:val="none" w:sz="0" w:space="0" w:color="auto"/>
            <w:left w:val="none" w:sz="0" w:space="0" w:color="auto"/>
            <w:bottom w:val="none" w:sz="0" w:space="0" w:color="auto"/>
            <w:right w:val="none" w:sz="0" w:space="0" w:color="auto"/>
          </w:divBdr>
          <w:divsChild>
            <w:div w:id="1404598078">
              <w:marLeft w:val="0"/>
              <w:marRight w:val="0"/>
              <w:marTop w:val="0"/>
              <w:marBottom w:val="0"/>
              <w:divBdr>
                <w:top w:val="none" w:sz="0" w:space="0" w:color="auto"/>
                <w:left w:val="none" w:sz="0" w:space="0" w:color="auto"/>
                <w:bottom w:val="none" w:sz="0" w:space="0" w:color="auto"/>
                <w:right w:val="none" w:sz="0" w:space="0" w:color="auto"/>
              </w:divBdr>
            </w:div>
          </w:divsChild>
        </w:div>
        <w:div w:id="981423259">
          <w:marLeft w:val="0"/>
          <w:marRight w:val="0"/>
          <w:marTop w:val="0"/>
          <w:marBottom w:val="0"/>
          <w:divBdr>
            <w:top w:val="none" w:sz="0" w:space="0" w:color="auto"/>
            <w:left w:val="none" w:sz="0" w:space="0" w:color="auto"/>
            <w:bottom w:val="none" w:sz="0" w:space="0" w:color="auto"/>
            <w:right w:val="none" w:sz="0" w:space="0" w:color="auto"/>
          </w:divBdr>
          <w:divsChild>
            <w:div w:id="1666320876">
              <w:marLeft w:val="0"/>
              <w:marRight w:val="0"/>
              <w:marTop w:val="0"/>
              <w:marBottom w:val="0"/>
              <w:divBdr>
                <w:top w:val="none" w:sz="0" w:space="0" w:color="auto"/>
                <w:left w:val="none" w:sz="0" w:space="0" w:color="auto"/>
                <w:bottom w:val="none" w:sz="0" w:space="0" w:color="auto"/>
                <w:right w:val="none" w:sz="0" w:space="0" w:color="auto"/>
              </w:divBdr>
            </w:div>
          </w:divsChild>
        </w:div>
        <w:div w:id="984310263">
          <w:marLeft w:val="0"/>
          <w:marRight w:val="0"/>
          <w:marTop w:val="0"/>
          <w:marBottom w:val="0"/>
          <w:divBdr>
            <w:top w:val="none" w:sz="0" w:space="0" w:color="auto"/>
            <w:left w:val="none" w:sz="0" w:space="0" w:color="auto"/>
            <w:bottom w:val="none" w:sz="0" w:space="0" w:color="auto"/>
            <w:right w:val="none" w:sz="0" w:space="0" w:color="auto"/>
          </w:divBdr>
          <w:divsChild>
            <w:div w:id="1607075568">
              <w:marLeft w:val="0"/>
              <w:marRight w:val="0"/>
              <w:marTop w:val="0"/>
              <w:marBottom w:val="0"/>
              <w:divBdr>
                <w:top w:val="none" w:sz="0" w:space="0" w:color="auto"/>
                <w:left w:val="none" w:sz="0" w:space="0" w:color="auto"/>
                <w:bottom w:val="none" w:sz="0" w:space="0" w:color="auto"/>
                <w:right w:val="none" w:sz="0" w:space="0" w:color="auto"/>
              </w:divBdr>
            </w:div>
          </w:divsChild>
        </w:div>
        <w:div w:id="989940857">
          <w:marLeft w:val="0"/>
          <w:marRight w:val="0"/>
          <w:marTop w:val="0"/>
          <w:marBottom w:val="0"/>
          <w:divBdr>
            <w:top w:val="none" w:sz="0" w:space="0" w:color="auto"/>
            <w:left w:val="none" w:sz="0" w:space="0" w:color="auto"/>
            <w:bottom w:val="none" w:sz="0" w:space="0" w:color="auto"/>
            <w:right w:val="none" w:sz="0" w:space="0" w:color="auto"/>
          </w:divBdr>
          <w:divsChild>
            <w:div w:id="1875655335">
              <w:marLeft w:val="0"/>
              <w:marRight w:val="0"/>
              <w:marTop w:val="0"/>
              <w:marBottom w:val="0"/>
              <w:divBdr>
                <w:top w:val="none" w:sz="0" w:space="0" w:color="auto"/>
                <w:left w:val="none" w:sz="0" w:space="0" w:color="auto"/>
                <w:bottom w:val="none" w:sz="0" w:space="0" w:color="auto"/>
                <w:right w:val="none" w:sz="0" w:space="0" w:color="auto"/>
              </w:divBdr>
            </w:div>
          </w:divsChild>
        </w:div>
        <w:div w:id="992561120">
          <w:marLeft w:val="0"/>
          <w:marRight w:val="0"/>
          <w:marTop w:val="0"/>
          <w:marBottom w:val="0"/>
          <w:divBdr>
            <w:top w:val="none" w:sz="0" w:space="0" w:color="auto"/>
            <w:left w:val="none" w:sz="0" w:space="0" w:color="auto"/>
            <w:bottom w:val="none" w:sz="0" w:space="0" w:color="auto"/>
            <w:right w:val="none" w:sz="0" w:space="0" w:color="auto"/>
          </w:divBdr>
          <w:divsChild>
            <w:div w:id="756941829">
              <w:marLeft w:val="0"/>
              <w:marRight w:val="0"/>
              <w:marTop w:val="0"/>
              <w:marBottom w:val="0"/>
              <w:divBdr>
                <w:top w:val="none" w:sz="0" w:space="0" w:color="auto"/>
                <w:left w:val="none" w:sz="0" w:space="0" w:color="auto"/>
                <w:bottom w:val="none" w:sz="0" w:space="0" w:color="auto"/>
                <w:right w:val="none" w:sz="0" w:space="0" w:color="auto"/>
              </w:divBdr>
            </w:div>
          </w:divsChild>
        </w:div>
        <w:div w:id="1024094742">
          <w:marLeft w:val="0"/>
          <w:marRight w:val="0"/>
          <w:marTop w:val="0"/>
          <w:marBottom w:val="0"/>
          <w:divBdr>
            <w:top w:val="none" w:sz="0" w:space="0" w:color="auto"/>
            <w:left w:val="none" w:sz="0" w:space="0" w:color="auto"/>
            <w:bottom w:val="none" w:sz="0" w:space="0" w:color="auto"/>
            <w:right w:val="none" w:sz="0" w:space="0" w:color="auto"/>
          </w:divBdr>
          <w:divsChild>
            <w:div w:id="1309675506">
              <w:marLeft w:val="0"/>
              <w:marRight w:val="0"/>
              <w:marTop w:val="0"/>
              <w:marBottom w:val="0"/>
              <w:divBdr>
                <w:top w:val="none" w:sz="0" w:space="0" w:color="auto"/>
                <w:left w:val="none" w:sz="0" w:space="0" w:color="auto"/>
                <w:bottom w:val="none" w:sz="0" w:space="0" w:color="auto"/>
                <w:right w:val="none" w:sz="0" w:space="0" w:color="auto"/>
              </w:divBdr>
            </w:div>
          </w:divsChild>
        </w:div>
        <w:div w:id="1027488754">
          <w:marLeft w:val="0"/>
          <w:marRight w:val="0"/>
          <w:marTop w:val="0"/>
          <w:marBottom w:val="0"/>
          <w:divBdr>
            <w:top w:val="none" w:sz="0" w:space="0" w:color="auto"/>
            <w:left w:val="none" w:sz="0" w:space="0" w:color="auto"/>
            <w:bottom w:val="none" w:sz="0" w:space="0" w:color="auto"/>
            <w:right w:val="none" w:sz="0" w:space="0" w:color="auto"/>
          </w:divBdr>
          <w:divsChild>
            <w:div w:id="569462344">
              <w:marLeft w:val="0"/>
              <w:marRight w:val="0"/>
              <w:marTop w:val="0"/>
              <w:marBottom w:val="0"/>
              <w:divBdr>
                <w:top w:val="none" w:sz="0" w:space="0" w:color="auto"/>
                <w:left w:val="none" w:sz="0" w:space="0" w:color="auto"/>
                <w:bottom w:val="none" w:sz="0" w:space="0" w:color="auto"/>
                <w:right w:val="none" w:sz="0" w:space="0" w:color="auto"/>
              </w:divBdr>
            </w:div>
          </w:divsChild>
        </w:div>
        <w:div w:id="1068723872">
          <w:marLeft w:val="0"/>
          <w:marRight w:val="0"/>
          <w:marTop w:val="0"/>
          <w:marBottom w:val="0"/>
          <w:divBdr>
            <w:top w:val="none" w:sz="0" w:space="0" w:color="auto"/>
            <w:left w:val="none" w:sz="0" w:space="0" w:color="auto"/>
            <w:bottom w:val="none" w:sz="0" w:space="0" w:color="auto"/>
            <w:right w:val="none" w:sz="0" w:space="0" w:color="auto"/>
          </w:divBdr>
          <w:divsChild>
            <w:div w:id="1858688868">
              <w:marLeft w:val="0"/>
              <w:marRight w:val="0"/>
              <w:marTop w:val="0"/>
              <w:marBottom w:val="0"/>
              <w:divBdr>
                <w:top w:val="none" w:sz="0" w:space="0" w:color="auto"/>
                <w:left w:val="none" w:sz="0" w:space="0" w:color="auto"/>
                <w:bottom w:val="none" w:sz="0" w:space="0" w:color="auto"/>
                <w:right w:val="none" w:sz="0" w:space="0" w:color="auto"/>
              </w:divBdr>
            </w:div>
          </w:divsChild>
        </w:div>
        <w:div w:id="1084034956">
          <w:marLeft w:val="0"/>
          <w:marRight w:val="0"/>
          <w:marTop w:val="0"/>
          <w:marBottom w:val="0"/>
          <w:divBdr>
            <w:top w:val="none" w:sz="0" w:space="0" w:color="auto"/>
            <w:left w:val="none" w:sz="0" w:space="0" w:color="auto"/>
            <w:bottom w:val="none" w:sz="0" w:space="0" w:color="auto"/>
            <w:right w:val="none" w:sz="0" w:space="0" w:color="auto"/>
          </w:divBdr>
          <w:divsChild>
            <w:div w:id="1513296735">
              <w:marLeft w:val="0"/>
              <w:marRight w:val="0"/>
              <w:marTop w:val="0"/>
              <w:marBottom w:val="0"/>
              <w:divBdr>
                <w:top w:val="none" w:sz="0" w:space="0" w:color="auto"/>
                <w:left w:val="none" w:sz="0" w:space="0" w:color="auto"/>
                <w:bottom w:val="none" w:sz="0" w:space="0" w:color="auto"/>
                <w:right w:val="none" w:sz="0" w:space="0" w:color="auto"/>
              </w:divBdr>
            </w:div>
          </w:divsChild>
        </w:div>
        <w:div w:id="1084643955">
          <w:marLeft w:val="0"/>
          <w:marRight w:val="0"/>
          <w:marTop w:val="0"/>
          <w:marBottom w:val="0"/>
          <w:divBdr>
            <w:top w:val="none" w:sz="0" w:space="0" w:color="auto"/>
            <w:left w:val="none" w:sz="0" w:space="0" w:color="auto"/>
            <w:bottom w:val="none" w:sz="0" w:space="0" w:color="auto"/>
            <w:right w:val="none" w:sz="0" w:space="0" w:color="auto"/>
          </w:divBdr>
          <w:divsChild>
            <w:div w:id="937719778">
              <w:marLeft w:val="0"/>
              <w:marRight w:val="0"/>
              <w:marTop w:val="0"/>
              <w:marBottom w:val="0"/>
              <w:divBdr>
                <w:top w:val="none" w:sz="0" w:space="0" w:color="auto"/>
                <w:left w:val="none" w:sz="0" w:space="0" w:color="auto"/>
                <w:bottom w:val="none" w:sz="0" w:space="0" w:color="auto"/>
                <w:right w:val="none" w:sz="0" w:space="0" w:color="auto"/>
              </w:divBdr>
            </w:div>
          </w:divsChild>
        </w:div>
        <w:div w:id="1105883953">
          <w:marLeft w:val="0"/>
          <w:marRight w:val="0"/>
          <w:marTop w:val="0"/>
          <w:marBottom w:val="0"/>
          <w:divBdr>
            <w:top w:val="none" w:sz="0" w:space="0" w:color="auto"/>
            <w:left w:val="none" w:sz="0" w:space="0" w:color="auto"/>
            <w:bottom w:val="none" w:sz="0" w:space="0" w:color="auto"/>
            <w:right w:val="none" w:sz="0" w:space="0" w:color="auto"/>
          </w:divBdr>
          <w:divsChild>
            <w:div w:id="2020812407">
              <w:marLeft w:val="0"/>
              <w:marRight w:val="0"/>
              <w:marTop w:val="0"/>
              <w:marBottom w:val="0"/>
              <w:divBdr>
                <w:top w:val="none" w:sz="0" w:space="0" w:color="auto"/>
                <w:left w:val="none" w:sz="0" w:space="0" w:color="auto"/>
                <w:bottom w:val="none" w:sz="0" w:space="0" w:color="auto"/>
                <w:right w:val="none" w:sz="0" w:space="0" w:color="auto"/>
              </w:divBdr>
            </w:div>
          </w:divsChild>
        </w:div>
        <w:div w:id="1134562998">
          <w:marLeft w:val="0"/>
          <w:marRight w:val="0"/>
          <w:marTop w:val="0"/>
          <w:marBottom w:val="0"/>
          <w:divBdr>
            <w:top w:val="none" w:sz="0" w:space="0" w:color="auto"/>
            <w:left w:val="none" w:sz="0" w:space="0" w:color="auto"/>
            <w:bottom w:val="none" w:sz="0" w:space="0" w:color="auto"/>
            <w:right w:val="none" w:sz="0" w:space="0" w:color="auto"/>
          </w:divBdr>
          <w:divsChild>
            <w:div w:id="1241980935">
              <w:marLeft w:val="0"/>
              <w:marRight w:val="0"/>
              <w:marTop w:val="0"/>
              <w:marBottom w:val="0"/>
              <w:divBdr>
                <w:top w:val="none" w:sz="0" w:space="0" w:color="auto"/>
                <w:left w:val="none" w:sz="0" w:space="0" w:color="auto"/>
                <w:bottom w:val="none" w:sz="0" w:space="0" w:color="auto"/>
                <w:right w:val="none" w:sz="0" w:space="0" w:color="auto"/>
              </w:divBdr>
            </w:div>
          </w:divsChild>
        </w:div>
        <w:div w:id="1180776257">
          <w:marLeft w:val="0"/>
          <w:marRight w:val="0"/>
          <w:marTop w:val="0"/>
          <w:marBottom w:val="0"/>
          <w:divBdr>
            <w:top w:val="none" w:sz="0" w:space="0" w:color="auto"/>
            <w:left w:val="none" w:sz="0" w:space="0" w:color="auto"/>
            <w:bottom w:val="none" w:sz="0" w:space="0" w:color="auto"/>
            <w:right w:val="none" w:sz="0" w:space="0" w:color="auto"/>
          </w:divBdr>
          <w:divsChild>
            <w:div w:id="822353654">
              <w:marLeft w:val="0"/>
              <w:marRight w:val="0"/>
              <w:marTop w:val="0"/>
              <w:marBottom w:val="0"/>
              <w:divBdr>
                <w:top w:val="none" w:sz="0" w:space="0" w:color="auto"/>
                <w:left w:val="none" w:sz="0" w:space="0" w:color="auto"/>
                <w:bottom w:val="none" w:sz="0" w:space="0" w:color="auto"/>
                <w:right w:val="none" w:sz="0" w:space="0" w:color="auto"/>
              </w:divBdr>
            </w:div>
          </w:divsChild>
        </w:div>
        <w:div w:id="1191919528">
          <w:marLeft w:val="0"/>
          <w:marRight w:val="0"/>
          <w:marTop w:val="0"/>
          <w:marBottom w:val="0"/>
          <w:divBdr>
            <w:top w:val="none" w:sz="0" w:space="0" w:color="auto"/>
            <w:left w:val="none" w:sz="0" w:space="0" w:color="auto"/>
            <w:bottom w:val="none" w:sz="0" w:space="0" w:color="auto"/>
            <w:right w:val="none" w:sz="0" w:space="0" w:color="auto"/>
          </w:divBdr>
          <w:divsChild>
            <w:div w:id="1775204205">
              <w:marLeft w:val="0"/>
              <w:marRight w:val="0"/>
              <w:marTop w:val="0"/>
              <w:marBottom w:val="0"/>
              <w:divBdr>
                <w:top w:val="none" w:sz="0" w:space="0" w:color="auto"/>
                <w:left w:val="none" w:sz="0" w:space="0" w:color="auto"/>
                <w:bottom w:val="none" w:sz="0" w:space="0" w:color="auto"/>
                <w:right w:val="none" w:sz="0" w:space="0" w:color="auto"/>
              </w:divBdr>
            </w:div>
          </w:divsChild>
        </w:div>
        <w:div w:id="1223977473">
          <w:marLeft w:val="0"/>
          <w:marRight w:val="0"/>
          <w:marTop w:val="0"/>
          <w:marBottom w:val="0"/>
          <w:divBdr>
            <w:top w:val="none" w:sz="0" w:space="0" w:color="auto"/>
            <w:left w:val="none" w:sz="0" w:space="0" w:color="auto"/>
            <w:bottom w:val="none" w:sz="0" w:space="0" w:color="auto"/>
            <w:right w:val="none" w:sz="0" w:space="0" w:color="auto"/>
          </w:divBdr>
          <w:divsChild>
            <w:div w:id="185993619">
              <w:marLeft w:val="0"/>
              <w:marRight w:val="0"/>
              <w:marTop w:val="0"/>
              <w:marBottom w:val="0"/>
              <w:divBdr>
                <w:top w:val="none" w:sz="0" w:space="0" w:color="auto"/>
                <w:left w:val="none" w:sz="0" w:space="0" w:color="auto"/>
                <w:bottom w:val="none" w:sz="0" w:space="0" w:color="auto"/>
                <w:right w:val="none" w:sz="0" w:space="0" w:color="auto"/>
              </w:divBdr>
            </w:div>
          </w:divsChild>
        </w:div>
        <w:div w:id="1226836528">
          <w:marLeft w:val="0"/>
          <w:marRight w:val="0"/>
          <w:marTop w:val="0"/>
          <w:marBottom w:val="0"/>
          <w:divBdr>
            <w:top w:val="none" w:sz="0" w:space="0" w:color="auto"/>
            <w:left w:val="none" w:sz="0" w:space="0" w:color="auto"/>
            <w:bottom w:val="none" w:sz="0" w:space="0" w:color="auto"/>
            <w:right w:val="none" w:sz="0" w:space="0" w:color="auto"/>
          </w:divBdr>
          <w:divsChild>
            <w:div w:id="377315316">
              <w:marLeft w:val="0"/>
              <w:marRight w:val="0"/>
              <w:marTop w:val="0"/>
              <w:marBottom w:val="0"/>
              <w:divBdr>
                <w:top w:val="none" w:sz="0" w:space="0" w:color="auto"/>
                <w:left w:val="none" w:sz="0" w:space="0" w:color="auto"/>
                <w:bottom w:val="none" w:sz="0" w:space="0" w:color="auto"/>
                <w:right w:val="none" w:sz="0" w:space="0" w:color="auto"/>
              </w:divBdr>
            </w:div>
          </w:divsChild>
        </w:div>
        <w:div w:id="1231690094">
          <w:marLeft w:val="0"/>
          <w:marRight w:val="0"/>
          <w:marTop w:val="0"/>
          <w:marBottom w:val="0"/>
          <w:divBdr>
            <w:top w:val="none" w:sz="0" w:space="0" w:color="auto"/>
            <w:left w:val="none" w:sz="0" w:space="0" w:color="auto"/>
            <w:bottom w:val="none" w:sz="0" w:space="0" w:color="auto"/>
            <w:right w:val="none" w:sz="0" w:space="0" w:color="auto"/>
          </w:divBdr>
          <w:divsChild>
            <w:div w:id="1060132118">
              <w:marLeft w:val="0"/>
              <w:marRight w:val="0"/>
              <w:marTop w:val="0"/>
              <w:marBottom w:val="0"/>
              <w:divBdr>
                <w:top w:val="none" w:sz="0" w:space="0" w:color="auto"/>
                <w:left w:val="none" w:sz="0" w:space="0" w:color="auto"/>
                <w:bottom w:val="none" w:sz="0" w:space="0" w:color="auto"/>
                <w:right w:val="none" w:sz="0" w:space="0" w:color="auto"/>
              </w:divBdr>
            </w:div>
          </w:divsChild>
        </w:div>
        <w:div w:id="1232738324">
          <w:marLeft w:val="0"/>
          <w:marRight w:val="0"/>
          <w:marTop w:val="0"/>
          <w:marBottom w:val="0"/>
          <w:divBdr>
            <w:top w:val="none" w:sz="0" w:space="0" w:color="auto"/>
            <w:left w:val="none" w:sz="0" w:space="0" w:color="auto"/>
            <w:bottom w:val="none" w:sz="0" w:space="0" w:color="auto"/>
            <w:right w:val="none" w:sz="0" w:space="0" w:color="auto"/>
          </w:divBdr>
          <w:divsChild>
            <w:div w:id="2048292484">
              <w:marLeft w:val="0"/>
              <w:marRight w:val="0"/>
              <w:marTop w:val="0"/>
              <w:marBottom w:val="0"/>
              <w:divBdr>
                <w:top w:val="none" w:sz="0" w:space="0" w:color="auto"/>
                <w:left w:val="none" w:sz="0" w:space="0" w:color="auto"/>
                <w:bottom w:val="none" w:sz="0" w:space="0" w:color="auto"/>
                <w:right w:val="none" w:sz="0" w:space="0" w:color="auto"/>
              </w:divBdr>
            </w:div>
          </w:divsChild>
        </w:div>
        <w:div w:id="1242249861">
          <w:marLeft w:val="0"/>
          <w:marRight w:val="0"/>
          <w:marTop w:val="0"/>
          <w:marBottom w:val="0"/>
          <w:divBdr>
            <w:top w:val="none" w:sz="0" w:space="0" w:color="auto"/>
            <w:left w:val="none" w:sz="0" w:space="0" w:color="auto"/>
            <w:bottom w:val="none" w:sz="0" w:space="0" w:color="auto"/>
            <w:right w:val="none" w:sz="0" w:space="0" w:color="auto"/>
          </w:divBdr>
          <w:divsChild>
            <w:div w:id="502933288">
              <w:marLeft w:val="0"/>
              <w:marRight w:val="0"/>
              <w:marTop w:val="0"/>
              <w:marBottom w:val="0"/>
              <w:divBdr>
                <w:top w:val="none" w:sz="0" w:space="0" w:color="auto"/>
                <w:left w:val="none" w:sz="0" w:space="0" w:color="auto"/>
                <w:bottom w:val="none" w:sz="0" w:space="0" w:color="auto"/>
                <w:right w:val="none" w:sz="0" w:space="0" w:color="auto"/>
              </w:divBdr>
            </w:div>
          </w:divsChild>
        </w:div>
        <w:div w:id="1306736666">
          <w:marLeft w:val="0"/>
          <w:marRight w:val="0"/>
          <w:marTop w:val="0"/>
          <w:marBottom w:val="0"/>
          <w:divBdr>
            <w:top w:val="none" w:sz="0" w:space="0" w:color="auto"/>
            <w:left w:val="none" w:sz="0" w:space="0" w:color="auto"/>
            <w:bottom w:val="none" w:sz="0" w:space="0" w:color="auto"/>
            <w:right w:val="none" w:sz="0" w:space="0" w:color="auto"/>
          </w:divBdr>
          <w:divsChild>
            <w:div w:id="709261779">
              <w:marLeft w:val="0"/>
              <w:marRight w:val="0"/>
              <w:marTop w:val="0"/>
              <w:marBottom w:val="0"/>
              <w:divBdr>
                <w:top w:val="none" w:sz="0" w:space="0" w:color="auto"/>
                <w:left w:val="none" w:sz="0" w:space="0" w:color="auto"/>
                <w:bottom w:val="none" w:sz="0" w:space="0" w:color="auto"/>
                <w:right w:val="none" w:sz="0" w:space="0" w:color="auto"/>
              </w:divBdr>
            </w:div>
          </w:divsChild>
        </w:div>
        <w:div w:id="1325816558">
          <w:marLeft w:val="0"/>
          <w:marRight w:val="0"/>
          <w:marTop w:val="0"/>
          <w:marBottom w:val="0"/>
          <w:divBdr>
            <w:top w:val="none" w:sz="0" w:space="0" w:color="auto"/>
            <w:left w:val="none" w:sz="0" w:space="0" w:color="auto"/>
            <w:bottom w:val="none" w:sz="0" w:space="0" w:color="auto"/>
            <w:right w:val="none" w:sz="0" w:space="0" w:color="auto"/>
          </w:divBdr>
          <w:divsChild>
            <w:div w:id="1843204966">
              <w:marLeft w:val="0"/>
              <w:marRight w:val="0"/>
              <w:marTop w:val="0"/>
              <w:marBottom w:val="0"/>
              <w:divBdr>
                <w:top w:val="none" w:sz="0" w:space="0" w:color="auto"/>
                <w:left w:val="none" w:sz="0" w:space="0" w:color="auto"/>
                <w:bottom w:val="none" w:sz="0" w:space="0" w:color="auto"/>
                <w:right w:val="none" w:sz="0" w:space="0" w:color="auto"/>
              </w:divBdr>
            </w:div>
          </w:divsChild>
        </w:div>
        <w:div w:id="1361391103">
          <w:marLeft w:val="0"/>
          <w:marRight w:val="0"/>
          <w:marTop w:val="0"/>
          <w:marBottom w:val="0"/>
          <w:divBdr>
            <w:top w:val="none" w:sz="0" w:space="0" w:color="auto"/>
            <w:left w:val="none" w:sz="0" w:space="0" w:color="auto"/>
            <w:bottom w:val="none" w:sz="0" w:space="0" w:color="auto"/>
            <w:right w:val="none" w:sz="0" w:space="0" w:color="auto"/>
          </w:divBdr>
          <w:divsChild>
            <w:div w:id="211310687">
              <w:marLeft w:val="0"/>
              <w:marRight w:val="0"/>
              <w:marTop w:val="0"/>
              <w:marBottom w:val="0"/>
              <w:divBdr>
                <w:top w:val="none" w:sz="0" w:space="0" w:color="auto"/>
                <w:left w:val="none" w:sz="0" w:space="0" w:color="auto"/>
                <w:bottom w:val="none" w:sz="0" w:space="0" w:color="auto"/>
                <w:right w:val="none" w:sz="0" w:space="0" w:color="auto"/>
              </w:divBdr>
            </w:div>
          </w:divsChild>
        </w:div>
        <w:div w:id="1368598521">
          <w:marLeft w:val="0"/>
          <w:marRight w:val="0"/>
          <w:marTop w:val="0"/>
          <w:marBottom w:val="0"/>
          <w:divBdr>
            <w:top w:val="none" w:sz="0" w:space="0" w:color="auto"/>
            <w:left w:val="none" w:sz="0" w:space="0" w:color="auto"/>
            <w:bottom w:val="none" w:sz="0" w:space="0" w:color="auto"/>
            <w:right w:val="none" w:sz="0" w:space="0" w:color="auto"/>
          </w:divBdr>
          <w:divsChild>
            <w:div w:id="524442759">
              <w:marLeft w:val="0"/>
              <w:marRight w:val="0"/>
              <w:marTop w:val="0"/>
              <w:marBottom w:val="0"/>
              <w:divBdr>
                <w:top w:val="none" w:sz="0" w:space="0" w:color="auto"/>
                <w:left w:val="none" w:sz="0" w:space="0" w:color="auto"/>
                <w:bottom w:val="none" w:sz="0" w:space="0" w:color="auto"/>
                <w:right w:val="none" w:sz="0" w:space="0" w:color="auto"/>
              </w:divBdr>
            </w:div>
          </w:divsChild>
        </w:div>
        <w:div w:id="1374185351">
          <w:marLeft w:val="0"/>
          <w:marRight w:val="0"/>
          <w:marTop w:val="0"/>
          <w:marBottom w:val="0"/>
          <w:divBdr>
            <w:top w:val="none" w:sz="0" w:space="0" w:color="auto"/>
            <w:left w:val="none" w:sz="0" w:space="0" w:color="auto"/>
            <w:bottom w:val="none" w:sz="0" w:space="0" w:color="auto"/>
            <w:right w:val="none" w:sz="0" w:space="0" w:color="auto"/>
          </w:divBdr>
          <w:divsChild>
            <w:div w:id="264072195">
              <w:marLeft w:val="0"/>
              <w:marRight w:val="0"/>
              <w:marTop w:val="0"/>
              <w:marBottom w:val="0"/>
              <w:divBdr>
                <w:top w:val="none" w:sz="0" w:space="0" w:color="auto"/>
                <w:left w:val="none" w:sz="0" w:space="0" w:color="auto"/>
                <w:bottom w:val="none" w:sz="0" w:space="0" w:color="auto"/>
                <w:right w:val="none" w:sz="0" w:space="0" w:color="auto"/>
              </w:divBdr>
            </w:div>
          </w:divsChild>
        </w:div>
        <w:div w:id="1386679920">
          <w:marLeft w:val="0"/>
          <w:marRight w:val="0"/>
          <w:marTop w:val="0"/>
          <w:marBottom w:val="0"/>
          <w:divBdr>
            <w:top w:val="none" w:sz="0" w:space="0" w:color="auto"/>
            <w:left w:val="none" w:sz="0" w:space="0" w:color="auto"/>
            <w:bottom w:val="none" w:sz="0" w:space="0" w:color="auto"/>
            <w:right w:val="none" w:sz="0" w:space="0" w:color="auto"/>
          </w:divBdr>
          <w:divsChild>
            <w:div w:id="648436267">
              <w:marLeft w:val="0"/>
              <w:marRight w:val="0"/>
              <w:marTop w:val="0"/>
              <w:marBottom w:val="0"/>
              <w:divBdr>
                <w:top w:val="none" w:sz="0" w:space="0" w:color="auto"/>
                <w:left w:val="none" w:sz="0" w:space="0" w:color="auto"/>
                <w:bottom w:val="none" w:sz="0" w:space="0" w:color="auto"/>
                <w:right w:val="none" w:sz="0" w:space="0" w:color="auto"/>
              </w:divBdr>
            </w:div>
          </w:divsChild>
        </w:div>
        <w:div w:id="1387290601">
          <w:marLeft w:val="0"/>
          <w:marRight w:val="0"/>
          <w:marTop w:val="0"/>
          <w:marBottom w:val="0"/>
          <w:divBdr>
            <w:top w:val="none" w:sz="0" w:space="0" w:color="auto"/>
            <w:left w:val="none" w:sz="0" w:space="0" w:color="auto"/>
            <w:bottom w:val="none" w:sz="0" w:space="0" w:color="auto"/>
            <w:right w:val="none" w:sz="0" w:space="0" w:color="auto"/>
          </w:divBdr>
          <w:divsChild>
            <w:div w:id="1637681912">
              <w:marLeft w:val="0"/>
              <w:marRight w:val="0"/>
              <w:marTop w:val="0"/>
              <w:marBottom w:val="0"/>
              <w:divBdr>
                <w:top w:val="none" w:sz="0" w:space="0" w:color="auto"/>
                <w:left w:val="none" w:sz="0" w:space="0" w:color="auto"/>
                <w:bottom w:val="none" w:sz="0" w:space="0" w:color="auto"/>
                <w:right w:val="none" w:sz="0" w:space="0" w:color="auto"/>
              </w:divBdr>
            </w:div>
          </w:divsChild>
        </w:div>
        <w:div w:id="1396467379">
          <w:marLeft w:val="0"/>
          <w:marRight w:val="0"/>
          <w:marTop w:val="0"/>
          <w:marBottom w:val="0"/>
          <w:divBdr>
            <w:top w:val="none" w:sz="0" w:space="0" w:color="auto"/>
            <w:left w:val="none" w:sz="0" w:space="0" w:color="auto"/>
            <w:bottom w:val="none" w:sz="0" w:space="0" w:color="auto"/>
            <w:right w:val="none" w:sz="0" w:space="0" w:color="auto"/>
          </w:divBdr>
          <w:divsChild>
            <w:div w:id="595555825">
              <w:marLeft w:val="0"/>
              <w:marRight w:val="0"/>
              <w:marTop w:val="0"/>
              <w:marBottom w:val="0"/>
              <w:divBdr>
                <w:top w:val="none" w:sz="0" w:space="0" w:color="auto"/>
                <w:left w:val="none" w:sz="0" w:space="0" w:color="auto"/>
                <w:bottom w:val="none" w:sz="0" w:space="0" w:color="auto"/>
                <w:right w:val="none" w:sz="0" w:space="0" w:color="auto"/>
              </w:divBdr>
            </w:div>
          </w:divsChild>
        </w:div>
        <w:div w:id="1413623467">
          <w:marLeft w:val="0"/>
          <w:marRight w:val="0"/>
          <w:marTop w:val="0"/>
          <w:marBottom w:val="0"/>
          <w:divBdr>
            <w:top w:val="none" w:sz="0" w:space="0" w:color="auto"/>
            <w:left w:val="none" w:sz="0" w:space="0" w:color="auto"/>
            <w:bottom w:val="none" w:sz="0" w:space="0" w:color="auto"/>
            <w:right w:val="none" w:sz="0" w:space="0" w:color="auto"/>
          </w:divBdr>
          <w:divsChild>
            <w:div w:id="1874807098">
              <w:marLeft w:val="0"/>
              <w:marRight w:val="0"/>
              <w:marTop w:val="0"/>
              <w:marBottom w:val="0"/>
              <w:divBdr>
                <w:top w:val="none" w:sz="0" w:space="0" w:color="auto"/>
                <w:left w:val="none" w:sz="0" w:space="0" w:color="auto"/>
                <w:bottom w:val="none" w:sz="0" w:space="0" w:color="auto"/>
                <w:right w:val="none" w:sz="0" w:space="0" w:color="auto"/>
              </w:divBdr>
            </w:div>
          </w:divsChild>
        </w:div>
        <w:div w:id="1416632599">
          <w:marLeft w:val="0"/>
          <w:marRight w:val="0"/>
          <w:marTop w:val="0"/>
          <w:marBottom w:val="0"/>
          <w:divBdr>
            <w:top w:val="none" w:sz="0" w:space="0" w:color="auto"/>
            <w:left w:val="none" w:sz="0" w:space="0" w:color="auto"/>
            <w:bottom w:val="none" w:sz="0" w:space="0" w:color="auto"/>
            <w:right w:val="none" w:sz="0" w:space="0" w:color="auto"/>
          </w:divBdr>
          <w:divsChild>
            <w:div w:id="1552767705">
              <w:marLeft w:val="0"/>
              <w:marRight w:val="0"/>
              <w:marTop w:val="0"/>
              <w:marBottom w:val="0"/>
              <w:divBdr>
                <w:top w:val="none" w:sz="0" w:space="0" w:color="auto"/>
                <w:left w:val="none" w:sz="0" w:space="0" w:color="auto"/>
                <w:bottom w:val="none" w:sz="0" w:space="0" w:color="auto"/>
                <w:right w:val="none" w:sz="0" w:space="0" w:color="auto"/>
              </w:divBdr>
            </w:div>
          </w:divsChild>
        </w:div>
        <w:div w:id="1417900376">
          <w:marLeft w:val="0"/>
          <w:marRight w:val="0"/>
          <w:marTop w:val="0"/>
          <w:marBottom w:val="0"/>
          <w:divBdr>
            <w:top w:val="none" w:sz="0" w:space="0" w:color="auto"/>
            <w:left w:val="none" w:sz="0" w:space="0" w:color="auto"/>
            <w:bottom w:val="none" w:sz="0" w:space="0" w:color="auto"/>
            <w:right w:val="none" w:sz="0" w:space="0" w:color="auto"/>
          </w:divBdr>
          <w:divsChild>
            <w:div w:id="1834833007">
              <w:marLeft w:val="0"/>
              <w:marRight w:val="0"/>
              <w:marTop w:val="0"/>
              <w:marBottom w:val="0"/>
              <w:divBdr>
                <w:top w:val="none" w:sz="0" w:space="0" w:color="auto"/>
                <w:left w:val="none" w:sz="0" w:space="0" w:color="auto"/>
                <w:bottom w:val="none" w:sz="0" w:space="0" w:color="auto"/>
                <w:right w:val="none" w:sz="0" w:space="0" w:color="auto"/>
              </w:divBdr>
            </w:div>
          </w:divsChild>
        </w:div>
        <w:div w:id="1425423166">
          <w:marLeft w:val="0"/>
          <w:marRight w:val="0"/>
          <w:marTop w:val="0"/>
          <w:marBottom w:val="0"/>
          <w:divBdr>
            <w:top w:val="none" w:sz="0" w:space="0" w:color="auto"/>
            <w:left w:val="none" w:sz="0" w:space="0" w:color="auto"/>
            <w:bottom w:val="none" w:sz="0" w:space="0" w:color="auto"/>
            <w:right w:val="none" w:sz="0" w:space="0" w:color="auto"/>
          </w:divBdr>
          <w:divsChild>
            <w:div w:id="1406296863">
              <w:marLeft w:val="0"/>
              <w:marRight w:val="0"/>
              <w:marTop w:val="0"/>
              <w:marBottom w:val="0"/>
              <w:divBdr>
                <w:top w:val="none" w:sz="0" w:space="0" w:color="auto"/>
                <w:left w:val="none" w:sz="0" w:space="0" w:color="auto"/>
                <w:bottom w:val="none" w:sz="0" w:space="0" w:color="auto"/>
                <w:right w:val="none" w:sz="0" w:space="0" w:color="auto"/>
              </w:divBdr>
            </w:div>
          </w:divsChild>
        </w:div>
        <w:div w:id="1463692108">
          <w:marLeft w:val="0"/>
          <w:marRight w:val="0"/>
          <w:marTop w:val="0"/>
          <w:marBottom w:val="0"/>
          <w:divBdr>
            <w:top w:val="none" w:sz="0" w:space="0" w:color="auto"/>
            <w:left w:val="none" w:sz="0" w:space="0" w:color="auto"/>
            <w:bottom w:val="none" w:sz="0" w:space="0" w:color="auto"/>
            <w:right w:val="none" w:sz="0" w:space="0" w:color="auto"/>
          </w:divBdr>
          <w:divsChild>
            <w:div w:id="1799952284">
              <w:marLeft w:val="0"/>
              <w:marRight w:val="0"/>
              <w:marTop w:val="0"/>
              <w:marBottom w:val="0"/>
              <w:divBdr>
                <w:top w:val="none" w:sz="0" w:space="0" w:color="auto"/>
                <w:left w:val="none" w:sz="0" w:space="0" w:color="auto"/>
                <w:bottom w:val="none" w:sz="0" w:space="0" w:color="auto"/>
                <w:right w:val="none" w:sz="0" w:space="0" w:color="auto"/>
              </w:divBdr>
            </w:div>
          </w:divsChild>
        </w:div>
        <w:div w:id="1486701256">
          <w:marLeft w:val="0"/>
          <w:marRight w:val="0"/>
          <w:marTop w:val="0"/>
          <w:marBottom w:val="0"/>
          <w:divBdr>
            <w:top w:val="none" w:sz="0" w:space="0" w:color="auto"/>
            <w:left w:val="none" w:sz="0" w:space="0" w:color="auto"/>
            <w:bottom w:val="none" w:sz="0" w:space="0" w:color="auto"/>
            <w:right w:val="none" w:sz="0" w:space="0" w:color="auto"/>
          </w:divBdr>
          <w:divsChild>
            <w:div w:id="873809120">
              <w:marLeft w:val="0"/>
              <w:marRight w:val="0"/>
              <w:marTop w:val="0"/>
              <w:marBottom w:val="0"/>
              <w:divBdr>
                <w:top w:val="none" w:sz="0" w:space="0" w:color="auto"/>
                <w:left w:val="none" w:sz="0" w:space="0" w:color="auto"/>
                <w:bottom w:val="none" w:sz="0" w:space="0" w:color="auto"/>
                <w:right w:val="none" w:sz="0" w:space="0" w:color="auto"/>
              </w:divBdr>
            </w:div>
          </w:divsChild>
        </w:div>
        <w:div w:id="1491558816">
          <w:marLeft w:val="0"/>
          <w:marRight w:val="0"/>
          <w:marTop w:val="0"/>
          <w:marBottom w:val="0"/>
          <w:divBdr>
            <w:top w:val="none" w:sz="0" w:space="0" w:color="auto"/>
            <w:left w:val="none" w:sz="0" w:space="0" w:color="auto"/>
            <w:bottom w:val="none" w:sz="0" w:space="0" w:color="auto"/>
            <w:right w:val="none" w:sz="0" w:space="0" w:color="auto"/>
          </w:divBdr>
          <w:divsChild>
            <w:div w:id="629631596">
              <w:marLeft w:val="0"/>
              <w:marRight w:val="0"/>
              <w:marTop w:val="0"/>
              <w:marBottom w:val="0"/>
              <w:divBdr>
                <w:top w:val="none" w:sz="0" w:space="0" w:color="auto"/>
                <w:left w:val="none" w:sz="0" w:space="0" w:color="auto"/>
                <w:bottom w:val="none" w:sz="0" w:space="0" w:color="auto"/>
                <w:right w:val="none" w:sz="0" w:space="0" w:color="auto"/>
              </w:divBdr>
            </w:div>
          </w:divsChild>
        </w:div>
        <w:div w:id="1519390558">
          <w:marLeft w:val="0"/>
          <w:marRight w:val="0"/>
          <w:marTop w:val="0"/>
          <w:marBottom w:val="0"/>
          <w:divBdr>
            <w:top w:val="none" w:sz="0" w:space="0" w:color="auto"/>
            <w:left w:val="none" w:sz="0" w:space="0" w:color="auto"/>
            <w:bottom w:val="none" w:sz="0" w:space="0" w:color="auto"/>
            <w:right w:val="none" w:sz="0" w:space="0" w:color="auto"/>
          </w:divBdr>
          <w:divsChild>
            <w:div w:id="199324732">
              <w:marLeft w:val="0"/>
              <w:marRight w:val="0"/>
              <w:marTop w:val="0"/>
              <w:marBottom w:val="0"/>
              <w:divBdr>
                <w:top w:val="none" w:sz="0" w:space="0" w:color="auto"/>
                <w:left w:val="none" w:sz="0" w:space="0" w:color="auto"/>
                <w:bottom w:val="none" w:sz="0" w:space="0" w:color="auto"/>
                <w:right w:val="none" w:sz="0" w:space="0" w:color="auto"/>
              </w:divBdr>
            </w:div>
          </w:divsChild>
        </w:div>
        <w:div w:id="1529951515">
          <w:marLeft w:val="0"/>
          <w:marRight w:val="0"/>
          <w:marTop w:val="0"/>
          <w:marBottom w:val="0"/>
          <w:divBdr>
            <w:top w:val="none" w:sz="0" w:space="0" w:color="auto"/>
            <w:left w:val="none" w:sz="0" w:space="0" w:color="auto"/>
            <w:bottom w:val="none" w:sz="0" w:space="0" w:color="auto"/>
            <w:right w:val="none" w:sz="0" w:space="0" w:color="auto"/>
          </w:divBdr>
          <w:divsChild>
            <w:div w:id="1543517604">
              <w:marLeft w:val="0"/>
              <w:marRight w:val="0"/>
              <w:marTop w:val="0"/>
              <w:marBottom w:val="0"/>
              <w:divBdr>
                <w:top w:val="none" w:sz="0" w:space="0" w:color="auto"/>
                <w:left w:val="none" w:sz="0" w:space="0" w:color="auto"/>
                <w:bottom w:val="none" w:sz="0" w:space="0" w:color="auto"/>
                <w:right w:val="none" w:sz="0" w:space="0" w:color="auto"/>
              </w:divBdr>
            </w:div>
          </w:divsChild>
        </w:div>
        <w:div w:id="1531064341">
          <w:marLeft w:val="0"/>
          <w:marRight w:val="0"/>
          <w:marTop w:val="0"/>
          <w:marBottom w:val="0"/>
          <w:divBdr>
            <w:top w:val="none" w:sz="0" w:space="0" w:color="auto"/>
            <w:left w:val="none" w:sz="0" w:space="0" w:color="auto"/>
            <w:bottom w:val="none" w:sz="0" w:space="0" w:color="auto"/>
            <w:right w:val="none" w:sz="0" w:space="0" w:color="auto"/>
          </w:divBdr>
          <w:divsChild>
            <w:div w:id="1233809665">
              <w:marLeft w:val="0"/>
              <w:marRight w:val="0"/>
              <w:marTop w:val="0"/>
              <w:marBottom w:val="0"/>
              <w:divBdr>
                <w:top w:val="none" w:sz="0" w:space="0" w:color="auto"/>
                <w:left w:val="none" w:sz="0" w:space="0" w:color="auto"/>
                <w:bottom w:val="none" w:sz="0" w:space="0" w:color="auto"/>
                <w:right w:val="none" w:sz="0" w:space="0" w:color="auto"/>
              </w:divBdr>
            </w:div>
          </w:divsChild>
        </w:div>
        <w:div w:id="1554777719">
          <w:marLeft w:val="0"/>
          <w:marRight w:val="0"/>
          <w:marTop w:val="0"/>
          <w:marBottom w:val="0"/>
          <w:divBdr>
            <w:top w:val="none" w:sz="0" w:space="0" w:color="auto"/>
            <w:left w:val="none" w:sz="0" w:space="0" w:color="auto"/>
            <w:bottom w:val="none" w:sz="0" w:space="0" w:color="auto"/>
            <w:right w:val="none" w:sz="0" w:space="0" w:color="auto"/>
          </w:divBdr>
          <w:divsChild>
            <w:div w:id="16742190">
              <w:marLeft w:val="0"/>
              <w:marRight w:val="0"/>
              <w:marTop w:val="0"/>
              <w:marBottom w:val="0"/>
              <w:divBdr>
                <w:top w:val="none" w:sz="0" w:space="0" w:color="auto"/>
                <w:left w:val="none" w:sz="0" w:space="0" w:color="auto"/>
                <w:bottom w:val="none" w:sz="0" w:space="0" w:color="auto"/>
                <w:right w:val="none" w:sz="0" w:space="0" w:color="auto"/>
              </w:divBdr>
            </w:div>
          </w:divsChild>
        </w:div>
        <w:div w:id="1563832594">
          <w:marLeft w:val="0"/>
          <w:marRight w:val="0"/>
          <w:marTop w:val="0"/>
          <w:marBottom w:val="0"/>
          <w:divBdr>
            <w:top w:val="none" w:sz="0" w:space="0" w:color="auto"/>
            <w:left w:val="none" w:sz="0" w:space="0" w:color="auto"/>
            <w:bottom w:val="none" w:sz="0" w:space="0" w:color="auto"/>
            <w:right w:val="none" w:sz="0" w:space="0" w:color="auto"/>
          </w:divBdr>
          <w:divsChild>
            <w:div w:id="1112552394">
              <w:marLeft w:val="0"/>
              <w:marRight w:val="0"/>
              <w:marTop w:val="0"/>
              <w:marBottom w:val="0"/>
              <w:divBdr>
                <w:top w:val="none" w:sz="0" w:space="0" w:color="auto"/>
                <w:left w:val="none" w:sz="0" w:space="0" w:color="auto"/>
                <w:bottom w:val="none" w:sz="0" w:space="0" w:color="auto"/>
                <w:right w:val="none" w:sz="0" w:space="0" w:color="auto"/>
              </w:divBdr>
            </w:div>
          </w:divsChild>
        </w:div>
        <w:div w:id="1581526531">
          <w:marLeft w:val="0"/>
          <w:marRight w:val="0"/>
          <w:marTop w:val="0"/>
          <w:marBottom w:val="0"/>
          <w:divBdr>
            <w:top w:val="none" w:sz="0" w:space="0" w:color="auto"/>
            <w:left w:val="none" w:sz="0" w:space="0" w:color="auto"/>
            <w:bottom w:val="none" w:sz="0" w:space="0" w:color="auto"/>
            <w:right w:val="none" w:sz="0" w:space="0" w:color="auto"/>
          </w:divBdr>
          <w:divsChild>
            <w:div w:id="1326784727">
              <w:marLeft w:val="0"/>
              <w:marRight w:val="0"/>
              <w:marTop w:val="0"/>
              <w:marBottom w:val="0"/>
              <w:divBdr>
                <w:top w:val="none" w:sz="0" w:space="0" w:color="auto"/>
                <w:left w:val="none" w:sz="0" w:space="0" w:color="auto"/>
                <w:bottom w:val="none" w:sz="0" w:space="0" w:color="auto"/>
                <w:right w:val="none" w:sz="0" w:space="0" w:color="auto"/>
              </w:divBdr>
            </w:div>
          </w:divsChild>
        </w:div>
        <w:div w:id="1601910629">
          <w:marLeft w:val="0"/>
          <w:marRight w:val="0"/>
          <w:marTop w:val="0"/>
          <w:marBottom w:val="0"/>
          <w:divBdr>
            <w:top w:val="none" w:sz="0" w:space="0" w:color="auto"/>
            <w:left w:val="none" w:sz="0" w:space="0" w:color="auto"/>
            <w:bottom w:val="none" w:sz="0" w:space="0" w:color="auto"/>
            <w:right w:val="none" w:sz="0" w:space="0" w:color="auto"/>
          </w:divBdr>
          <w:divsChild>
            <w:div w:id="1370645467">
              <w:marLeft w:val="0"/>
              <w:marRight w:val="0"/>
              <w:marTop w:val="0"/>
              <w:marBottom w:val="0"/>
              <w:divBdr>
                <w:top w:val="none" w:sz="0" w:space="0" w:color="auto"/>
                <w:left w:val="none" w:sz="0" w:space="0" w:color="auto"/>
                <w:bottom w:val="none" w:sz="0" w:space="0" w:color="auto"/>
                <w:right w:val="none" w:sz="0" w:space="0" w:color="auto"/>
              </w:divBdr>
            </w:div>
          </w:divsChild>
        </w:div>
        <w:div w:id="1617371910">
          <w:marLeft w:val="0"/>
          <w:marRight w:val="0"/>
          <w:marTop w:val="0"/>
          <w:marBottom w:val="0"/>
          <w:divBdr>
            <w:top w:val="none" w:sz="0" w:space="0" w:color="auto"/>
            <w:left w:val="none" w:sz="0" w:space="0" w:color="auto"/>
            <w:bottom w:val="none" w:sz="0" w:space="0" w:color="auto"/>
            <w:right w:val="none" w:sz="0" w:space="0" w:color="auto"/>
          </w:divBdr>
          <w:divsChild>
            <w:div w:id="1179388738">
              <w:marLeft w:val="0"/>
              <w:marRight w:val="0"/>
              <w:marTop w:val="0"/>
              <w:marBottom w:val="0"/>
              <w:divBdr>
                <w:top w:val="none" w:sz="0" w:space="0" w:color="auto"/>
                <w:left w:val="none" w:sz="0" w:space="0" w:color="auto"/>
                <w:bottom w:val="none" w:sz="0" w:space="0" w:color="auto"/>
                <w:right w:val="none" w:sz="0" w:space="0" w:color="auto"/>
              </w:divBdr>
            </w:div>
          </w:divsChild>
        </w:div>
        <w:div w:id="1628122879">
          <w:marLeft w:val="0"/>
          <w:marRight w:val="0"/>
          <w:marTop w:val="0"/>
          <w:marBottom w:val="0"/>
          <w:divBdr>
            <w:top w:val="none" w:sz="0" w:space="0" w:color="auto"/>
            <w:left w:val="none" w:sz="0" w:space="0" w:color="auto"/>
            <w:bottom w:val="none" w:sz="0" w:space="0" w:color="auto"/>
            <w:right w:val="none" w:sz="0" w:space="0" w:color="auto"/>
          </w:divBdr>
          <w:divsChild>
            <w:div w:id="1774781192">
              <w:marLeft w:val="0"/>
              <w:marRight w:val="0"/>
              <w:marTop w:val="0"/>
              <w:marBottom w:val="0"/>
              <w:divBdr>
                <w:top w:val="none" w:sz="0" w:space="0" w:color="auto"/>
                <w:left w:val="none" w:sz="0" w:space="0" w:color="auto"/>
                <w:bottom w:val="none" w:sz="0" w:space="0" w:color="auto"/>
                <w:right w:val="none" w:sz="0" w:space="0" w:color="auto"/>
              </w:divBdr>
            </w:div>
          </w:divsChild>
        </w:div>
        <w:div w:id="1632250385">
          <w:marLeft w:val="0"/>
          <w:marRight w:val="0"/>
          <w:marTop w:val="0"/>
          <w:marBottom w:val="0"/>
          <w:divBdr>
            <w:top w:val="none" w:sz="0" w:space="0" w:color="auto"/>
            <w:left w:val="none" w:sz="0" w:space="0" w:color="auto"/>
            <w:bottom w:val="none" w:sz="0" w:space="0" w:color="auto"/>
            <w:right w:val="none" w:sz="0" w:space="0" w:color="auto"/>
          </w:divBdr>
          <w:divsChild>
            <w:div w:id="277227705">
              <w:marLeft w:val="0"/>
              <w:marRight w:val="0"/>
              <w:marTop w:val="0"/>
              <w:marBottom w:val="0"/>
              <w:divBdr>
                <w:top w:val="none" w:sz="0" w:space="0" w:color="auto"/>
                <w:left w:val="none" w:sz="0" w:space="0" w:color="auto"/>
                <w:bottom w:val="none" w:sz="0" w:space="0" w:color="auto"/>
                <w:right w:val="none" w:sz="0" w:space="0" w:color="auto"/>
              </w:divBdr>
            </w:div>
          </w:divsChild>
        </w:div>
        <w:div w:id="1644775356">
          <w:marLeft w:val="0"/>
          <w:marRight w:val="0"/>
          <w:marTop w:val="0"/>
          <w:marBottom w:val="0"/>
          <w:divBdr>
            <w:top w:val="none" w:sz="0" w:space="0" w:color="auto"/>
            <w:left w:val="none" w:sz="0" w:space="0" w:color="auto"/>
            <w:bottom w:val="none" w:sz="0" w:space="0" w:color="auto"/>
            <w:right w:val="none" w:sz="0" w:space="0" w:color="auto"/>
          </w:divBdr>
          <w:divsChild>
            <w:div w:id="1526481453">
              <w:marLeft w:val="0"/>
              <w:marRight w:val="0"/>
              <w:marTop w:val="0"/>
              <w:marBottom w:val="0"/>
              <w:divBdr>
                <w:top w:val="none" w:sz="0" w:space="0" w:color="auto"/>
                <w:left w:val="none" w:sz="0" w:space="0" w:color="auto"/>
                <w:bottom w:val="none" w:sz="0" w:space="0" w:color="auto"/>
                <w:right w:val="none" w:sz="0" w:space="0" w:color="auto"/>
              </w:divBdr>
            </w:div>
          </w:divsChild>
        </w:div>
        <w:div w:id="1653175713">
          <w:marLeft w:val="0"/>
          <w:marRight w:val="0"/>
          <w:marTop w:val="0"/>
          <w:marBottom w:val="0"/>
          <w:divBdr>
            <w:top w:val="none" w:sz="0" w:space="0" w:color="auto"/>
            <w:left w:val="none" w:sz="0" w:space="0" w:color="auto"/>
            <w:bottom w:val="none" w:sz="0" w:space="0" w:color="auto"/>
            <w:right w:val="none" w:sz="0" w:space="0" w:color="auto"/>
          </w:divBdr>
          <w:divsChild>
            <w:div w:id="1166701165">
              <w:marLeft w:val="0"/>
              <w:marRight w:val="0"/>
              <w:marTop w:val="0"/>
              <w:marBottom w:val="0"/>
              <w:divBdr>
                <w:top w:val="none" w:sz="0" w:space="0" w:color="auto"/>
                <w:left w:val="none" w:sz="0" w:space="0" w:color="auto"/>
                <w:bottom w:val="none" w:sz="0" w:space="0" w:color="auto"/>
                <w:right w:val="none" w:sz="0" w:space="0" w:color="auto"/>
              </w:divBdr>
            </w:div>
          </w:divsChild>
        </w:div>
        <w:div w:id="1654261520">
          <w:marLeft w:val="0"/>
          <w:marRight w:val="0"/>
          <w:marTop w:val="0"/>
          <w:marBottom w:val="0"/>
          <w:divBdr>
            <w:top w:val="none" w:sz="0" w:space="0" w:color="auto"/>
            <w:left w:val="none" w:sz="0" w:space="0" w:color="auto"/>
            <w:bottom w:val="none" w:sz="0" w:space="0" w:color="auto"/>
            <w:right w:val="none" w:sz="0" w:space="0" w:color="auto"/>
          </w:divBdr>
          <w:divsChild>
            <w:div w:id="301930297">
              <w:marLeft w:val="0"/>
              <w:marRight w:val="0"/>
              <w:marTop w:val="0"/>
              <w:marBottom w:val="0"/>
              <w:divBdr>
                <w:top w:val="none" w:sz="0" w:space="0" w:color="auto"/>
                <w:left w:val="none" w:sz="0" w:space="0" w:color="auto"/>
                <w:bottom w:val="none" w:sz="0" w:space="0" w:color="auto"/>
                <w:right w:val="none" w:sz="0" w:space="0" w:color="auto"/>
              </w:divBdr>
            </w:div>
          </w:divsChild>
        </w:div>
        <w:div w:id="1670016628">
          <w:marLeft w:val="0"/>
          <w:marRight w:val="0"/>
          <w:marTop w:val="0"/>
          <w:marBottom w:val="0"/>
          <w:divBdr>
            <w:top w:val="none" w:sz="0" w:space="0" w:color="auto"/>
            <w:left w:val="none" w:sz="0" w:space="0" w:color="auto"/>
            <w:bottom w:val="none" w:sz="0" w:space="0" w:color="auto"/>
            <w:right w:val="none" w:sz="0" w:space="0" w:color="auto"/>
          </w:divBdr>
          <w:divsChild>
            <w:div w:id="212810692">
              <w:marLeft w:val="0"/>
              <w:marRight w:val="0"/>
              <w:marTop w:val="0"/>
              <w:marBottom w:val="0"/>
              <w:divBdr>
                <w:top w:val="none" w:sz="0" w:space="0" w:color="auto"/>
                <w:left w:val="none" w:sz="0" w:space="0" w:color="auto"/>
                <w:bottom w:val="none" w:sz="0" w:space="0" w:color="auto"/>
                <w:right w:val="none" w:sz="0" w:space="0" w:color="auto"/>
              </w:divBdr>
            </w:div>
          </w:divsChild>
        </w:div>
        <w:div w:id="1673141306">
          <w:marLeft w:val="0"/>
          <w:marRight w:val="0"/>
          <w:marTop w:val="0"/>
          <w:marBottom w:val="0"/>
          <w:divBdr>
            <w:top w:val="none" w:sz="0" w:space="0" w:color="auto"/>
            <w:left w:val="none" w:sz="0" w:space="0" w:color="auto"/>
            <w:bottom w:val="none" w:sz="0" w:space="0" w:color="auto"/>
            <w:right w:val="none" w:sz="0" w:space="0" w:color="auto"/>
          </w:divBdr>
          <w:divsChild>
            <w:div w:id="1392078314">
              <w:marLeft w:val="0"/>
              <w:marRight w:val="0"/>
              <w:marTop w:val="0"/>
              <w:marBottom w:val="0"/>
              <w:divBdr>
                <w:top w:val="none" w:sz="0" w:space="0" w:color="auto"/>
                <w:left w:val="none" w:sz="0" w:space="0" w:color="auto"/>
                <w:bottom w:val="none" w:sz="0" w:space="0" w:color="auto"/>
                <w:right w:val="none" w:sz="0" w:space="0" w:color="auto"/>
              </w:divBdr>
            </w:div>
          </w:divsChild>
        </w:div>
        <w:div w:id="1685861797">
          <w:marLeft w:val="0"/>
          <w:marRight w:val="0"/>
          <w:marTop w:val="0"/>
          <w:marBottom w:val="0"/>
          <w:divBdr>
            <w:top w:val="none" w:sz="0" w:space="0" w:color="auto"/>
            <w:left w:val="none" w:sz="0" w:space="0" w:color="auto"/>
            <w:bottom w:val="none" w:sz="0" w:space="0" w:color="auto"/>
            <w:right w:val="none" w:sz="0" w:space="0" w:color="auto"/>
          </w:divBdr>
          <w:divsChild>
            <w:div w:id="748386088">
              <w:marLeft w:val="0"/>
              <w:marRight w:val="0"/>
              <w:marTop w:val="0"/>
              <w:marBottom w:val="0"/>
              <w:divBdr>
                <w:top w:val="none" w:sz="0" w:space="0" w:color="auto"/>
                <w:left w:val="none" w:sz="0" w:space="0" w:color="auto"/>
                <w:bottom w:val="none" w:sz="0" w:space="0" w:color="auto"/>
                <w:right w:val="none" w:sz="0" w:space="0" w:color="auto"/>
              </w:divBdr>
            </w:div>
          </w:divsChild>
        </w:div>
        <w:div w:id="1688217560">
          <w:marLeft w:val="0"/>
          <w:marRight w:val="0"/>
          <w:marTop w:val="0"/>
          <w:marBottom w:val="0"/>
          <w:divBdr>
            <w:top w:val="none" w:sz="0" w:space="0" w:color="auto"/>
            <w:left w:val="none" w:sz="0" w:space="0" w:color="auto"/>
            <w:bottom w:val="none" w:sz="0" w:space="0" w:color="auto"/>
            <w:right w:val="none" w:sz="0" w:space="0" w:color="auto"/>
          </w:divBdr>
          <w:divsChild>
            <w:div w:id="1628781968">
              <w:marLeft w:val="0"/>
              <w:marRight w:val="0"/>
              <w:marTop w:val="0"/>
              <w:marBottom w:val="0"/>
              <w:divBdr>
                <w:top w:val="none" w:sz="0" w:space="0" w:color="auto"/>
                <w:left w:val="none" w:sz="0" w:space="0" w:color="auto"/>
                <w:bottom w:val="none" w:sz="0" w:space="0" w:color="auto"/>
                <w:right w:val="none" w:sz="0" w:space="0" w:color="auto"/>
              </w:divBdr>
            </w:div>
          </w:divsChild>
        </w:div>
        <w:div w:id="1720083733">
          <w:marLeft w:val="0"/>
          <w:marRight w:val="0"/>
          <w:marTop w:val="0"/>
          <w:marBottom w:val="0"/>
          <w:divBdr>
            <w:top w:val="none" w:sz="0" w:space="0" w:color="auto"/>
            <w:left w:val="none" w:sz="0" w:space="0" w:color="auto"/>
            <w:bottom w:val="none" w:sz="0" w:space="0" w:color="auto"/>
            <w:right w:val="none" w:sz="0" w:space="0" w:color="auto"/>
          </w:divBdr>
          <w:divsChild>
            <w:div w:id="1774082287">
              <w:marLeft w:val="0"/>
              <w:marRight w:val="0"/>
              <w:marTop w:val="0"/>
              <w:marBottom w:val="0"/>
              <w:divBdr>
                <w:top w:val="none" w:sz="0" w:space="0" w:color="auto"/>
                <w:left w:val="none" w:sz="0" w:space="0" w:color="auto"/>
                <w:bottom w:val="none" w:sz="0" w:space="0" w:color="auto"/>
                <w:right w:val="none" w:sz="0" w:space="0" w:color="auto"/>
              </w:divBdr>
            </w:div>
          </w:divsChild>
        </w:div>
        <w:div w:id="1737436349">
          <w:marLeft w:val="0"/>
          <w:marRight w:val="0"/>
          <w:marTop w:val="0"/>
          <w:marBottom w:val="0"/>
          <w:divBdr>
            <w:top w:val="none" w:sz="0" w:space="0" w:color="auto"/>
            <w:left w:val="none" w:sz="0" w:space="0" w:color="auto"/>
            <w:bottom w:val="none" w:sz="0" w:space="0" w:color="auto"/>
            <w:right w:val="none" w:sz="0" w:space="0" w:color="auto"/>
          </w:divBdr>
          <w:divsChild>
            <w:div w:id="918369053">
              <w:marLeft w:val="0"/>
              <w:marRight w:val="0"/>
              <w:marTop w:val="0"/>
              <w:marBottom w:val="0"/>
              <w:divBdr>
                <w:top w:val="none" w:sz="0" w:space="0" w:color="auto"/>
                <w:left w:val="none" w:sz="0" w:space="0" w:color="auto"/>
                <w:bottom w:val="none" w:sz="0" w:space="0" w:color="auto"/>
                <w:right w:val="none" w:sz="0" w:space="0" w:color="auto"/>
              </w:divBdr>
            </w:div>
          </w:divsChild>
        </w:div>
        <w:div w:id="1737900666">
          <w:marLeft w:val="0"/>
          <w:marRight w:val="0"/>
          <w:marTop w:val="0"/>
          <w:marBottom w:val="0"/>
          <w:divBdr>
            <w:top w:val="none" w:sz="0" w:space="0" w:color="auto"/>
            <w:left w:val="none" w:sz="0" w:space="0" w:color="auto"/>
            <w:bottom w:val="none" w:sz="0" w:space="0" w:color="auto"/>
            <w:right w:val="none" w:sz="0" w:space="0" w:color="auto"/>
          </w:divBdr>
          <w:divsChild>
            <w:div w:id="194970393">
              <w:marLeft w:val="0"/>
              <w:marRight w:val="0"/>
              <w:marTop w:val="0"/>
              <w:marBottom w:val="0"/>
              <w:divBdr>
                <w:top w:val="none" w:sz="0" w:space="0" w:color="auto"/>
                <w:left w:val="none" w:sz="0" w:space="0" w:color="auto"/>
                <w:bottom w:val="none" w:sz="0" w:space="0" w:color="auto"/>
                <w:right w:val="none" w:sz="0" w:space="0" w:color="auto"/>
              </w:divBdr>
            </w:div>
          </w:divsChild>
        </w:div>
        <w:div w:id="1770734970">
          <w:marLeft w:val="0"/>
          <w:marRight w:val="0"/>
          <w:marTop w:val="0"/>
          <w:marBottom w:val="0"/>
          <w:divBdr>
            <w:top w:val="none" w:sz="0" w:space="0" w:color="auto"/>
            <w:left w:val="none" w:sz="0" w:space="0" w:color="auto"/>
            <w:bottom w:val="none" w:sz="0" w:space="0" w:color="auto"/>
            <w:right w:val="none" w:sz="0" w:space="0" w:color="auto"/>
          </w:divBdr>
          <w:divsChild>
            <w:div w:id="1599488107">
              <w:marLeft w:val="0"/>
              <w:marRight w:val="0"/>
              <w:marTop w:val="0"/>
              <w:marBottom w:val="0"/>
              <w:divBdr>
                <w:top w:val="none" w:sz="0" w:space="0" w:color="auto"/>
                <w:left w:val="none" w:sz="0" w:space="0" w:color="auto"/>
                <w:bottom w:val="none" w:sz="0" w:space="0" w:color="auto"/>
                <w:right w:val="none" w:sz="0" w:space="0" w:color="auto"/>
              </w:divBdr>
            </w:div>
          </w:divsChild>
        </w:div>
        <w:div w:id="1788740744">
          <w:marLeft w:val="0"/>
          <w:marRight w:val="0"/>
          <w:marTop w:val="0"/>
          <w:marBottom w:val="0"/>
          <w:divBdr>
            <w:top w:val="none" w:sz="0" w:space="0" w:color="auto"/>
            <w:left w:val="none" w:sz="0" w:space="0" w:color="auto"/>
            <w:bottom w:val="none" w:sz="0" w:space="0" w:color="auto"/>
            <w:right w:val="none" w:sz="0" w:space="0" w:color="auto"/>
          </w:divBdr>
          <w:divsChild>
            <w:div w:id="1370453069">
              <w:marLeft w:val="0"/>
              <w:marRight w:val="0"/>
              <w:marTop w:val="0"/>
              <w:marBottom w:val="0"/>
              <w:divBdr>
                <w:top w:val="none" w:sz="0" w:space="0" w:color="auto"/>
                <w:left w:val="none" w:sz="0" w:space="0" w:color="auto"/>
                <w:bottom w:val="none" w:sz="0" w:space="0" w:color="auto"/>
                <w:right w:val="none" w:sz="0" w:space="0" w:color="auto"/>
              </w:divBdr>
            </w:div>
          </w:divsChild>
        </w:div>
        <w:div w:id="1799685265">
          <w:marLeft w:val="0"/>
          <w:marRight w:val="0"/>
          <w:marTop w:val="0"/>
          <w:marBottom w:val="0"/>
          <w:divBdr>
            <w:top w:val="none" w:sz="0" w:space="0" w:color="auto"/>
            <w:left w:val="none" w:sz="0" w:space="0" w:color="auto"/>
            <w:bottom w:val="none" w:sz="0" w:space="0" w:color="auto"/>
            <w:right w:val="none" w:sz="0" w:space="0" w:color="auto"/>
          </w:divBdr>
          <w:divsChild>
            <w:div w:id="631717011">
              <w:marLeft w:val="0"/>
              <w:marRight w:val="0"/>
              <w:marTop w:val="0"/>
              <w:marBottom w:val="0"/>
              <w:divBdr>
                <w:top w:val="none" w:sz="0" w:space="0" w:color="auto"/>
                <w:left w:val="none" w:sz="0" w:space="0" w:color="auto"/>
                <w:bottom w:val="none" w:sz="0" w:space="0" w:color="auto"/>
                <w:right w:val="none" w:sz="0" w:space="0" w:color="auto"/>
              </w:divBdr>
            </w:div>
          </w:divsChild>
        </w:div>
        <w:div w:id="1804498047">
          <w:marLeft w:val="0"/>
          <w:marRight w:val="0"/>
          <w:marTop w:val="0"/>
          <w:marBottom w:val="0"/>
          <w:divBdr>
            <w:top w:val="none" w:sz="0" w:space="0" w:color="auto"/>
            <w:left w:val="none" w:sz="0" w:space="0" w:color="auto"/>
            <w:bottom w:val="none" w:sz="0" w:space="0" w:color="auto"/>
            <w:right w:val="none" w:sz="0" w:space="0" w:color="auto"/>
          </w:divBdr>
          <w:divsChild>
            <w:div w:id="1999113163">
              <w:marLeft w:val="0"/>
              <w:marRight w:val="0"/>
              <w:marTop w:val="0"/>
              <w:marBottom w:val="0"/>
              <w:divBdr>
                <w:top w:val="none" w:sz="0" w:space="0" w:color="auto"/>
                <w:left w:val="none" w:sz="0" w:space="0" w:color="auto"/>
                <w:bottom w:val="none" w:sz="0" w:space="0" w:color="auto"/>
                <w:right w:val="none" w:sz="0" w:space="0" w:color="auto"/>
              </w:divBdr>
            </w:div>
          </w:divsChild>
        </w:div>
        <w:div w:id="1810510237">
          <w:marLeft w:val="0"/>
          <w:marRight w:val="0"/>
          <w:marTop w:val="0"/>
          <w:marBottom w:val="0"/>
          <w:divBdr>
            <w:top w:val="none" w:sz="0" w:space="0" w:color="auto"/>
            <w:left w:val="none" w:sz="0" w:space="0" w:color="auto"/>
            <w:bottom w:val="none" w:sz="0" w:space="0" w:color="auto"/>
            <w:right w:val="none" w:sz="0" w:space="0" w:color="auto"/>
          </w:divBdr>
          <w:divsChild>
            <w:div w:id="1372608831">
              <w:marLeft w:val="0"/>
              <w:marRight w:val="0"/>
              <w:marTop w:val="0"/>
              <w:marBottom w:val="0"/>
              <w:divBdr>
                <w:top w:val="none" w:sz="0" w:space="0" w:color="auto"/>
                <w:left w:val="none" w:sz="0" w:space="0" w:color="auto"/>
                <w:bottom w:val="none" w:sz="0" w:space="0" w:color="auto"/>
                <w:right w:val="none" w:sz="0" w:space="0" w:color="auto"/>
              </w:divBdr>
            </w:div>
          </w:divsChild>
        </w:div>
        <w:div w:id="1818305942">
          <w:marLeft w:val="0"/>
          <w:marRight w:val="0"/>
          <w:marTop w:val="0"/>
          <w:marBottom w:val="0"/>
          <w:divBdr>
            <w:top w:val="none" w:sz="0" w:space="0" w:color="auto"/>
            <w:left w:val="none" w:sz="0" w:space="0" w:color="auto"/>
            <w:bottom w:val="none" w:sz="0" w:space="0" w:color="auto"/>
            <w:right w:val="none" w:sz="0" w:space="0" w:color="auto"/>
          </w:divBdr>
          <w:divsChild>
            <w:div w:id="1650791331">
              <w:marLeft w:val="0"/>
              <w:marRight w:val="0"/>
              <w:marTop w:val="0"/>
              <w:marBottom w:val="0"/>
              <w:divBdr>
                <w:top w:val="none" w:sz="0" w:space="0" w:color="auto"/>
                <w:left w:val="none" w:sz="0" w:space="0" w:color="auto"/>
                <w:bottom w:val="none" w:sz="0" w:space="0" w:color="auto"/>
                <w:right w:val="none" w:sz="0" w:space="0" w:color="auto"/>
              </w:divBdr>
            </w:div>
          </w:divsChild>
        </w:div>
        <w:div w:id="1831675275">
          <w:marLeft w:val="0"/>
          <w:marRight w:val="0"/>
          <w:marTop w:val="0"/>
          <w:marBottom w:val="0"/>
          <w:divBdr>
            <w:top w:val="none" w:sz="0" w:space="0" w:color="auto"/>
            <w:left w:val="none" w:sz="0" w:space="0" w:color="auto"/>
            <w:bottom w:val="none" w:sz="0" w:space="0" w:color="auto"/>
            <w:right w:val="none" w:sz="0" w:space="0" w:color="auto"/>
          </w:divBdr>
          <w:divsChild>
            <w:div w:id="1668747041">
              <w:marLeft w:val="0"/>
              <w:marRight w:val="0"/>
              <w:marTop w:val="0"/>
              <w:marBottom w:val="0"/>
              <w:divBdr>
                <w:top w:val="none" w:sz="0" w:space="0" w:color="auto"/>
                <w:left w:val="none" w:sz="0" w:space="0" w:color="auto"/>
                <w:bottom w:val="none" w:sz="0" w:space="0" w:color="auto"/>
                <w:right w:val="none" w:sz="0" w:space="0" w:color="auto"/>
              </w:divBdr>
            </w:div>
          </w:divsChild>
        </w:div>
        <w:div w:id="1838107304">
          <w:marLeft w:val="0"/>
          <w:marRight w:val="0"/>
          <w:marTop w:val="0"/>
          <w:marBottom w:val="0"/>
          <w:divBdr>
            <w:top w:val="none" w:sz="0" w:space="0" w:color="auto"/>
            <w:left w:val="none" w:sz="0" w:space="0" w:color="auto"/>
            <w:bottom w:val="none" w:sz="0" w:space="0" w:color="auto"/>
            <w:right w:val="none" w:sz="0" w:space="0" w:color="auto"/>
          </w:divBdr>
          <w:divsChild>
            <w:div w:id="1221751629">
              <w:marLeft w:val="0"/>
              <w:marRight w:val="0"/>
              <w:marTop w:val="0"/>
              <w:marBottom w:val="0"/>
              <w:divBdr>
                <w:top w:val="none" w:sz="0" w:space="0" w:color="auto"/>
                <w:left w:val="none" w:sz="0" w:space="0" w:color="auto"/>
                <w:bottom w:val="none" w:sz="0" w:space="0" w:color="auto"/>
                <w:right w:val="none" w:sz="0" w:space="0" w:color="auto"/>
              </w:divBdr>
            </w:div>
          </w:divsChild>
        </w:div>
        <w:div w:id="1838108292">
          <w:marLeft w:val="0"/>
          <w:marRight w:val="0"/>
          <w:marTop w:val="0"/>
          <w:marBottom w:val="0"/>
          <w:divBdr>
            <w:top w:val="none" w:sz="0" w:space="0" w:color="auto"/>
            <w:left w:val="none" w:sz="0" w:space="0" w:color="auto"/>
            <w:bottom w:val="none" w:sz="0" w:space="0" w:color="auto"/>
            <w:right w:val="none" w:sz="0" w:space="0" w:color="auto"/>
          </w:divBdr>
          <w:divsChild>
            <w:div w:id="53549938">
              <w:marLeft w:val="0"/>
              <w:marRight w:val="0"/>
              <w:marTop w:val="0"/>
              <w:marBottom w:val="0"/>
              <w:divBdr>
                <w:top w:val="none" w:sz="0" w:space="0" w:color="auto"/>
                <w:left w:val="none" w:sz="0" w:space="0" w:color="auto"/>
                <w:bottom w:val="none" w:sz="0" w:space="0" w:color="auto"/>
                <w:right w:val="none" w:sz="0" w:space="0" w:color="auto"/>
              </w:divBdr>
            </w:div>
          </w:divsChild>
        </w:div>
        <w:div w:id="1858228102">
          <w:marLeft w:val="0"/>
          <w:marRight w:val="0"/>
          <w:marTop w:val="0"/>
          <w:marBottom w:val="0"/>
          <w:divBdr>
            <w:top w:val="none" w:sz="0" w:space="0" w:color="auto"/>
            <w:left w:val="none" w:sz="0" w:space="0" w:color="auto"/>
            <w:bottom w:val="none" w:sz="0" w:space="0" w:color="auto"/>
            <w:right w:val="none" w:sz="0" w:space="0" w:color="auto"/>
          </w:divBdr>
          <w:divsChild>
            <w:div w:id="594168460">
              <w:marLeft w:val="0"/>
              <w:marRight w:val="0"/>
              <w:marTop w:val="0"/>
              <w:marBottom w:val="0"/>
              <w:divBdr>
                <w:top w:val="none" w:sz="0" w:space="0" w:color="auto"/>
                <w:left w:val="none" w:sz="0" w:space="0" w:color="auto"/>
                <w:bottom w:val="none" w:sz="0" w:space="0" w:color="auto"/>
                <w:right w:val="none" w:sz="0" w:space="0" w:color="auto"/>
              </w:divBdr>
            </w:div>
          </w:divsChild>
        </w:div>
        <w:div w:id="1920019479">
          <w:marLeft w:val="0"/>
          <w:marRight w:val="0"/>
          <w:marTop w:val="0"/>
          <w:marBottom w:val="0"/>
          <w:divBdr>
            <w:top w:val="none" w:sz="0" w:space="0" w:color="auto"/>
            <w:left w:val="none" w:sz="0" w:space="0" w:color="auto"/>
            <w:bottom w:val="none" w:sz="0" w:space="0" w:color="auto"/>
            <w:right w:val="none" w:sz="0" w:space="0" w:color="auto"/>
          </w:divBdr>
          <w:divsChild>
            <w:div w:id="997345515">
              <w:marLeft w:val="0"/>
              <w:marRight w:val="0"/>
              <w:marTop w:val="0"/>
              <w:marBottom w:val="0"/>
              <w:divBdr>
                <w:top w:val="none" w:sz="0" w:space="0" w:color="auto"/>
                <w:left w:val="none" w:sz="0" w:space="0" w:color="auto"/>
                <w:bottom w:val="none" w:sz="0" w:space="0" w:color="auto"/>
                <w:right w:val="none" w:sz="0" w:space="0" w:color="auto"/>
              </w:divBdr>
            </w:div>
          </w:divsChild>
        </w:div>
        <w:div w:id="1925187622">
          <w:marLeft w:val="0"/>
          <w:marRight w:val="0"/>
          <w:marTop w:val="0"/>
          <w:marBottom w:val="0"/>
          <w:divBdr>
            <w:top w:val="none" w:sz="0" w:space="0" w:color="auto"/>
            <w:left w:val="none" w:sz="0" w:space="0" w:color="auto"/>
            <w:bottom w:val="none" w:sz="0" w:space="0" w:color="auto"/>
            <w:right w:val="none" w:sz="0" w:space="0" w:color="auto"/>
          </w:divBdr>
          <w:divsChild>
            <w:div w:id="1865292087">
              <w:marLeft w:val="0"/>
              <w:marRight w:val="0"/>
              <w:marTop w:val="0"/>
              <w:marBottom w:val="0"/>
              <w:divBdr>
                <w:top w:val="none" w:sz="0" w:space="0" w:color="auto"/>
                <w:left w:val="none" w:sz="0" w:space="0" w:color="auto"/>
                <w:bottom w:val="none" w:sz="0" w:space="0" w:color="auto"/>
                <w:right w:val="none" w:sz="0" w:space="0" w:color="auto"/>
              </w:divBdr>
            </w:div>
          </w:divsChild>
        </w:div>
        <w:div w:id="1950626867">
          <w:marLeft w:val="0"/>
          <w:marRight w:val="0"/>
          <w:marTop w:val="0"/>
          <w:marBottom w:val="0"/>
          <w:divBdr>
            <w:top w:val="none" w:sz="0" w:space="0" w:color="auto"/>
            <w:left w:val="none" w:sz="0" w:space="0" w:color="auto"/>
            <w:bottom w:val="none" w:sz="0" w:space="0" w:color="auto"/>
            <w:right w:val="none" w:sz="0" w:space="0" w:color="auto"/>
          </w:divBdr>
          <w:divsChild>
            <w:div w:id="1746223195">
              <w:marLeft w:val="0"/>
              <w:marRight w:val="0"/>
              <w:marTop w:val="0"/>
              <w:marBottom w:val="0"/>
              <w:divBdr>
                <w:top w:val="none" w:sz="0" w:space="0" w:color="auto"/>
                <w:left w:val="none" w:sz="0" w:space="0" w:color="auto"/>
                <w:bottom w:val="none" w:sz="0" w:space="0" w:color="auto"/>
                <w:right w:val="none" w:sz="0" w:space="0" w:color="auto"/>
              </w:divBdr>
            </w:div>
          </w:divsChild>
        </w:div>
        <w:div w:id="1965187605">
          <w:marLeft w:val="0"/>
          <w:marRight w:val="0"/>
          <w:marTop w:val="0"/>
          <w:marBottom w:val="0"/>
          <w:divBdr>
            <w:top w:val="none" w:sz="0" w:space="0" w:color="auto"/>
            <w:left w:val="none" w:sz="0" w:space="0" w:color="auto"/>
            <w:bottom w:val="none" w:sz="0" w:space="0" w:color="auto"/>
            <w:right w:val="none" w:sz="0" w:space="0" w:color="auto"/>
          </w:divBdr>
          <w:divsChild>
            <w:div w:id="836532973">
              <w:marLeft w:val="0"/>
              <w:marRight w:val="0"/>
              <w:marTop w:val="0"/>
              <w:marBottom w:val="0"/>
              <w:divBdr>
                <w:top w:val="none" w:sz="0" w:space="0" w:color="auto"/>
                <w:left w:val="none" w:sz="0" w:space="0" w:color="auto"/>
                <w:bottom w:val="none" w:sz="0" w:space="0" w:color="auto"/>
                <w:right w:val="none" w:sz="0" w:space="0" w:color="auto"/>
              </w:divBdr>
            </w:div>
          </w:divsChild>
        </w:div>
        <w:div w:id="1970358959">
          <w:marLeft w:val="0"/>
          <w:marRight w:val="0"/>
          <w:marTop w:val="0"/>
          <w:marBottom w:val="0"/>
          <w:divBdr>
            <w:top w:val="none" w:sz="0" w:space="0" w:color="auto"/>
            <w:left w:val="none" w:sz="0" w:space="0" w:color="auto"/>
            <w:bottom w:val="none" w:sz="0" w:space="0" w:color="auto"/>
            <w:right w:val="none" w:sz="0" w:space="0" w:color="auto"/>
          </w:divBdr>
          <w:divsChild>
            <w:div w:id="500386734">
              <w:marLeft w:val="0"/>
              <w:marRight w:val="0"/>
              <w:marTop w:val="0"/>
              <w:marBottom w:val="0"/>
              <w:divBdr>
                <w:top w:val="none" w:sz="0" w:space="0" w:color="auto"/>
                <w:left w:val="none" w:sz="0" w:space="0" w:color="auto"/>
                <w:bottom w:val="none" w:sz="0" w:space="0" w:color="auto"/>
                <w:right w:val="none" w:sz="0" w:space="0" w:color="auto"/>
              </w:divBdr>
            </w:div>
          </w:divsChild>
        </w:div>
        <w:div w:id="1981422909">
          <w:marLeft w:val="0"/>
          <w:marRight w:val="0"/>
          <w:marTop w:val="0"/>
          <w:marBottom w:val="0"/>
          <w:divBdr>
            <w:top w:val="none" w:sz="0" w:space="0" w:color="auto"/>
            <w:left w:val="none" w:sz="0" w:space="0" w:color="auto"/>
            <w:bottom w:val="none" w:sz="0" w:space="0" w:color="auto"/>
            <w:right w:val="none" w:sz="0" w:space="0" w:color="auto"/>
          </w:divBdr>
          <w:divsChild>
            <w:div w:id="1395276934">
              <w:marLeft w:val="0"/>
              <w:marRight w:val="0"/>
              <w:marTop w:val="0"/>
              <w:marBottom w:val="0"/>
              <w:divBdr>
                <w:top w:val="none" w:sz="0" w:space="0" w:color="auto"/>
                <w:left w:val="none" w:sz="0" w:space="0" w:color="auto"/>
                <w:bottom w:val="none" w:sz="0" w:space="0" w:color="auto"/>
                <w:right w:val="none" w:sz="0" w:space="0" w:color="auto"/>
              </w:divBdr>
            </w:div>
          </w:divsChild>
        </w:div>
        <w:div w:id="2006937077">
          <w:marLeft w:val="0"/>
          <w:marRight w:val="0"/>
          <w:marTop w:val="0"/>
          <w:marBottom w:val="0"/>
          <w:divBdr>
            <w:top w:val="none" w:sz="0" w:space="0" w:color="auto"/>
            <w:left w:val="none" w:sz="0" w:space="0" w:color="auto"/>
            <w:bottom w:val="none" w:sz="0" w:space="0" w:color="auto"/>
            <w:right w:val="none" w:sz="0" w:space="0" w:color="auto"/>
          </w:divBdr>
          <w:divsChild>
            <w:div w:id="100733219">
              <w:marLeft w:val="0"/>
              <w:marRight w:val="0"/>
              <w:marTop w:val="0"/>
              <w:marBottom w:val="0"/>
              <w:divBdr>
                <w:top w:val="none" w:sz="0" w:space="0" w:color="auto"/>
                <w:left w:val="none" w:sz="0" w:space="0" w:color="auto"/>
                <w:bottom w:val="none" w:sz="0" w:space="0" w:color="auto"/>
                <w:right w:val="none" w:sz="0" w:space="0" w:color="auto"/>
              </w:divBdr>
            </w:div>
          </w:divsChild>
        </w:div>
        <w:div w:id="2019581665">
          <w:marLeft w:val="0"/>
          <w:marRight w:val="0"/>
          <w:marTop w:val="0"/>
          <w:marBottom w:val="0"/>
          <w:divBdr>
            <w:top w:val="none" w:sz="0" w:space="0" w:color="auto"/>
            <w:left w:val="none" w:sz="0" w:space="0" w:color="auto"/>
            <w:bottom w:val="none" w:sz="0" w:space="0" w:color="auto"/>
            <w:right w:val="none" w:sz="0" w:space="0" w:color="auto"/>
          </w:divBdr>
          <w:divsChild>
            <w:div w:id="1685131925">
              <w:marLeft w:val="0"/>
              <w:marRight w:val="0"/>
              <w:marTop w:val="0"/>
              <w:marBottom w:val="0"/>
              <w:divBdr>
                <w:top w:val="none" w:sz="0" w:space="0" w:color="auto"/>
                <w:left w:val="none" w:sz="0" w:space="0" w:color="auto"/>
                <w:bottom w:val="none" w:sz="0" w:space="0" w:color="auto"/>
                <w:right w:val="none" w:sz="0" w:space="0" w:color="auto"/>
              </w:divBdr>
            </w:div>
          </w:divsChild>
        </w:div>
        <w:div w:id="2040354927">
          <w:marLeft w:val="0"/>
          <w:marRight w:val="0"/>
          <w:marTop w:val="0"/>
          <w:marBottom w:val="0"/>
          <w:divBdr>
            <w:top w:val="none" w:sz="0" w:space="0" w:color="auto"/>
            <w:left w:val="none" w:sz="0" w:space="0" w:color="auto"/>
            <w:bottom w:val="none" w:sz="0" w:space="0" w:color="auto"/>
            <w:right w:val="none" w:sz="0" w:space="0" w:color="auto"/>
          </w:divBdr>
          <w:divsChild>
            <w:div w:id="1767579850">
              <w:marLeft w:val="0"/>
              <w:marRight w:val="0"/>
              <w:marTop w:val="0"/>
              <w:marBottom w:val="0"/>
              <w:divBdr>
                <w:top w:val="none" w:sz="0" w:space="0" w:color="auto"/>
                <w:left w:val="none" w:sz="0" w:space="0" w:color="auto"/>
                <w:bottom w:val="none" w:sz="0" w:space="0" w:color="auto"/>
                <w:right w:val="none" w:sz="0" w:space="0" w:color="auto"/>
              </w:divBdr>
            </w:div>
          </w:divsChild>
        </w:div>
        <w:div w:id="2047558799">
          <w:marLeft w:val="0"/>
          <w:marRight w:val="0"/>
          <w:marTop w:val="0"/>
          <w:marBottom w:val="0"/>
          <w:divBdr>
            <w:top w:val="none" w:sz="0" w:space="0" w:color="auto"/>
            <w:left w:val="none" w:sz="0" w:space="0" w:color="auto"/>
            <w:bottom w:val="none" w:sz="0" w:space="0" w:color="auto"/>
            <w:right w:val="none" w:sz="0" w:space="0" w:color="auto"/>
          </w:divBdr>
          <w:divsChild>
            <w:div w:id="1709717845">
              <w:marLeft w:val="0"/>
              <w:marRight w:val="0"/>
              <w:marTop w:val="0"/>
              <w:marBottom w:val="0"/>
              <w:divBdr>
                <w:top w:val="none" w:sz="0" w:space="0" w:color="auto"/>
                <w:left w:val="none" w:sz="0" w:space="0" w:color="auto"/>
                <w:bottom w:val="none" w:sz="0" w:space="0" w:color="auto"/>
                <w:right w:val="none" w:sz="0" w:space="0" w:color="auto"/>
              </w:divBdr>
            </w:div>
          </w:divsChild>
        </w:div>
        <w:div w:id="2047824270">
          <w:marLeft w:val="0"/>
          <w:marRight w:val="0"/>
          <w:marTop w:val="0"/>
          <w:marBottom w:val="0"/>
          <w:divBdr>
            <w:top w:val="none" w:sz="0" w:space="0" w:color="auto"/>
            <w:left w:val="none" w:sz="0" w:space="0" w:color="auto"/>
            <w:bottom w:val="none" w:sz="0" w:space="0" w:color="auto"/>
            <w:right w:val="none" w:sz="0" w:space="0" w:color="auto"/>
          </w:divBdr>
          <w:divsChild>
            <w:div w:id="192427258">
              <w:marLeft w:val="0"/>
              <w:marRight w:val="0"/>
              <w:marTop w:val="0"/>
              <w:marBottom w:val="0"/>
              <w:divBdr>
                <w:top w:val="none" w:sz="0" w:space="0" w:color="auto"/>
                <w:left w:val="none" w:sz="0" w:space="0" w:color="auto"/>
                <w:bottom w:val="none" w:sz="0" w:space="0" w:color="auto"/>
                <w:right w:val="none" w:sz="0" w:space="0" w:color="auto"/>
              </w:divBdr>
            </w:div>
          </w:divsChild>
        </w:div>
        <w:div w:id="2071806145">
          <w:marLeft w:val="0"/>
          <w:marRight w:val="0"/>
          <w:marTop w:val="0"/>
          <w:marBottom w:val="0"/>
          <w:divBdr>
            <w:top w:val="none" w:sz="0" w:space="0" w:color="auto"/>
            <w:left w:val="none" w:sz="0" w:space="0" w:color="auto"/>
            <w:bottom w:val="none" w:sz="0" w:space="0" w:color="auto"/>
            <w:right w:val="none" w:sz="0" w:space="0" w:color="auto"/>
          </w:divBdr>
          <w:divsChild>
            <w:div w:id="1707752912">
              <w:marLeft w:val="0"/>
              <w:marRight w:val="0"/>
              <w:marTop w:val="0"/>
              <w:marBottom w:val="0"/>
              <w:divBdr>
                <w:top w:val="none" w:sz="0" w:space="0" w:color="auto"/>
                <w:left w:val="none" w:sz="0" w:space="0" w:color="auto"/>
                <w:bottom w:val="none" w:sz="0" w:space="0" w:color="auto"/>
                <w:right w:val="none" w:sz="0" w:space="0" w:color="auto"/>
              </w:divBdr>
            </w:div>
          </w:divsChild>
        </w:div>
        <w:div w:id="2082360463">
          <w:marLeft w:val="0"/>
          <w:marRight w:val="0"/>
          <w:marTop w:val="0"/>
          <w:marBottom w:val="0"/>
          <w:divBdr>
            <w:top w:val="none" w:sz="0" w:space="0" w:color="auto"/>
            <w:left w:val="none" w:sz="0" w:space="0" w:color="auto"/>
            <w:bottom w:val="none" w:sz="0" w:space="0" w:color="auto"/>
            <w:right w:val="none" w:sz="0" w:space="0" w:color="auto"/>
          </w:divBdr>
          <w:divsChild>
            <w:div w:id="1178814639">
              <w:marLeft w:val="0"/>
              <w:marRight w:val="0"/>
              <w:marTop w:val="0"/>
              <w:marBottom w:val="0"/>
              <w:divBdr>
                <w:top w:val="none" w:sz="0" w:space="0" w:color="auto"/>
                <w:left w:val="none" w:sz="0" w:space="0" w:color="auto"/>
                <w:bottom w:val="none" w:sz="0" w:space="0" w:color="auto"/>
                <w:right w:val="none" w:sz="0" w:space="0" w:color="auto"/>
              </w:divBdr>
            </w:div>
          </w:divsChild>
        </w:div>
        <w:div w:id="2090497372">
          <w:marLeft w:val="0"/>
          <w:marRight w:val="0"/>
          <w:marTop w:val="0"/>
          <w:marBottom w:val="0"/>
          <w:divBdr>
            <w:top w:val="none" w:sz="0" w:space="0" w:color="auto"/>
            <w:left w:val="none" w:sz="0" w:space="0" w:color="auto"/>
            <w:bottom w:val="none" w:sz="0" w:space="0" w:color="auto"/>
            <w:right w:val="none" w:sz="0" w:space="0" w:color="auto"/>
          </w:divBdr>
          <w:divsChild>
            <w:div w:id="1488746421">
              <w:marLeft w:val="0"/>
              <w:marRight w:val="0"/>
              <w:marTop w:val="0"/>
              <w:marBottom w:val="0"/>
              <w:divBdr>
                <w:top w:val="none" w:sz="0" w:space="0" w:color="auto"/>
                <w:left w:val="none" w:sz="0" w:space="0" w:color="auto"/>
                <w:bottom w:val="none" w:sz="0" w:space="0" w:color="auto"/>
                <w:right w:val="none" w:sz="0" w:space="0" w:color="auto"/>
              </w:divBdr>
            </w:div>
          </w:divsChild>
        </w:div>
        <w:div w:id="2092703256">
          <w:marLeft w:val="0"/>
          <w:marRight w:val="0"/>
          <w:marTop w:val="0"/>
          <w:marBottom w:val="0"/>
          <w:divBdr>
            <w:top w:val="none" w:sz="0" w:space="0" w:color="auto"/>
            <w:left w:val="none" w:sz="0" w:space="0" w:color="auto"/>
            <w:bottom w:val="none" w:sz="0" w:space="0" w:color="auto"/>
            <w:right w:val="none" w:sz="0" w:space="0" w:color="auto"/>
          </w:divBdr>
          <w:divsChild>
            <w:div w:id="40833098">
              <w:marLeft w:val="0"/>
              <w:marRight w:val="0"/>
              <w:marTop w:val="0"/>
              <w:marBottom w:val="0"/>
              <w:divBdr>
                <w:top w:val="none" w:sz="0" w:space="0" w:color="auto"/>
                <w:left w:val="none" w:sz="0" w:space="0" w:color="auto"/>
                <w:bottom w:val="none" w:sz="0" w:space="0" w:color="auto"/>
                <w:right w:val="none" w:sz="0" w:space="0" w:color="auto"/>
              </w:divBdr>
            </w:div>
          </w:divsChild>
        </w:div>
        <w:div w:id="2125345727">
          <w:marLeft w:val="0"/>
          <w:marRight w:val="0"/>
          <w:marTop w:val="0"/>
          <w:marBottom w:val="0"/>
          <w:divBdr>
            <w:top w:val="none" w:sz="0" w:space="0" w:color="auto"/>
            <w:left w:val="none" w:sz="0" w:space="0" w:color="auto"/>
            <w:bottom w:val="none" w:sz="0" w:space="0" w:color="auto"/>
            <w:right w:val="none" w:sz="0" w:space="0" w:color="auto"/>
          </w:divBdr>
          <w:divsChild>
            <w:div w:id="982737566">
              <w:marLeft w:val="0"/>
              <w:marRight w:val="0"/>
              <w:marTop w:val="0"/>
              <w:marBottom w:val="0"/>
              <w:divBdr>
                <w:top w:val="none" w:sz="0" w:space="0" w:color="auto"/>
                <w:left w:val="none" w:sz="0" w:space="0" w:color="auto"/>
                <w:bottom w:val="none" w:sz="0" w:space="0" w:color="auto"/>
                <w:right w:val="none" w:sz="0" w:space="0" w:color="auto"/>
              </w:divBdr>
            </w:div>
          </w:divsChild>
        </w:div>
        <w:div w:id="2131969260">
          <w:marLeft w:val="0"/>
          <w:marRight w:val="0"/>
          <w:marTop w:val="0"/>
          <w:marBottom w:val="0"/>
          <w:divBdr>
            <w:top w:val="none" w:sz="0" w:space="0" w:color="auto"/>
            <w:left w:val="none" w:sz="0" w:space="0" w:color="auto"/>
            <w:bottom w:val="none" w:sz="0" w:space="0" w:color="auto"/>
            <w:right w:val="none" w:sz="0" w:space="0" w:color="auto"/>
          </w:divBdr>
          <w:divsChild>
            <w:div w:id="189781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330594">
      <w:bodyDiv w:val="1"/>
      <w:marLeft w:val="0"/>
      <w:marRight w:val="0"/>
      <w:marTop w:val="0"/>
      <w:marBottom w:val="0"/>
      <w:divBdr>
        <w:top w:val="none" w:sz="0" w:space="0" w:color="auto"/>
        <w:left w:val="none" w:sz="0" w:space="0" w:color="auto"/>
        <w:bottom w:val="none" w:sz="0" w:space="0" w:color="auto"/>
        <w:right w:val="none" w:sz="0" w:space="0" w:color="auto"/>
      </w:divBdr>
    </w:div>
    <w:div w:id="1719159763">
      <w:bodyDiv w:val="1"/>
      <w:marLeft w:val="0"/>
      <w:marRight w:val="0"/>
      <w:marTop w:val="0"/>
      <w:marBottom w:val="0"/>
      <w:divBdr>
        <w:top w:val="none" w:sz="0" w:space="0" w:color="auto"/>
        <w:left w:val="none" w:sz="0" w:space="0" w:color="auto"/>
        <w:bottom w:val="none" w:sz="0" w:space="0" w:color="auto"/>
        <w:right w:val="none" w:sz="0" w:space="0" w:color="auto"/>
      </w:divBdr>
    </w:div>
    <w:div w:id="1719819077">
      <w:bodyDiv w:val="1"/>
      <w:marLeft w:val="0"/>
      <w:marRight w:val="0"/>
      <w:marTop w:val="0"/>
      <w:marBottom w:val="0"/>
      <w:divBdr>
        <w:top w:val="none" w:sz="0" w:space="0" w:color="auto"/>
        <w:left w:val="none" w:sz="0" w:space="0" w:color="auto"/>
        <w:bottom w:val="none" w:sz="0" w:space="0" w:color="auto"/>
        <w:right w:val="none" w:sz="0" w:space="0" w:color="auto"/>
      </w:divBdr>
    </w:div>
    <w:div w:id="1779060165">
      <w:bodyDiv w:val="1"/>
      <w:marLeft w:val="0"/>
      <w:marRight w:val="0"/>
      <w:marTop w:val="0"/>
      <w:marBottom w:val="0"/>
      <w:divBdr>
        <w:top w:val="none" w:sz="0" w:space="0" w:color="auto"/>
        <w:left w:val="none" w:sz="0" w:space="0" w:color="auto"/>
        <w:bottom w:val="none" w:sz="0" w:space="0" w:color="auto"/>
        <w:right w:val="none" w:sz="0" w:space="0" w:color="auto"/>
      </w:divBdr>
      <w:divsChild>
        <w:div w:id="627517789">
          <w:marLeft w:val="0"/>
          <w:marRight w:val="0"/>
          <w:marTop w:val="0"/>
          <w:marBottom w:val="0"/>
          <w:divBdr>
            <w:top w:val="none" w:sz="0" w:space="0" w:color="auto"/>
            <w:left w:val="none" w:sz="0" w:space="0" w:color="auto"/>
            <w:bottom w:val="none" w:sz="0" w:space="0" w:color="auto"/>
            <w:right w:val="none" w:sz="0" w:space="0" w:color="auto"/>
          </w:divBdr>
        </w:div>
      </w:divsChild>
    </w:div>
    <w:div w:id="1809399000">
      <w:bodyDiv w:val="1"/>
      <w:marLeft w:val="0"/>
      <w:marRight w:val="0"/>
      <w:marTop w:val="0"/>
      <w:marBottom w:val="0"/>
      <w:divBdr>
        <w:top w:val="none" w:sz="0" w:space="0" w:color="auto"/>
        <w:left w:val="none" w:sz="0" w:space="0" w:color="auto"/>
        <w:bottom w:val="none" w:sz="0" w:space="0" w:color="auto"/>
        <w:right w:val="none" w:sz="0" w:space="0" w:color="auto"/>
      </w:divBdr>
    </w:div>
    <w:div w:id="1825930128">
      <w:bodyDiv w:val="1"/>
      <w:marLeft w:val="0"/>
      <w:marRight w:val="0"/>
      <w:marTop w:val="0"/>
      <w:marBottom w:val="0"/>
      <w:divBdr>
        <w:top w:val="none" w:sz="0" w:space="0" w:color="auto"/>
        <w:left w:val="none" w:sz="0" w:space="0" w:color="auto"/>
        <w:bottom w:val="none" w:sz="0" w:space="0" w:color="auto"/>
        <w:right w:val="none" w:sz="0" w:space="0" w:color="auto"/>
      </w:divBdr>
      <w:divsChild>
        <w:div w:id="759645235">
          <w:marLeft w:val="0"/>
          <w:marRight w:val="0"/>
          <w:marTop w:val="0"/>
          <w:marBottom w:val="0"/>
          <w:divBdr>
            <w:top w:val="none" w:sz="0" w:space="0" w:color="auto"/>
            <w:left w:val="none" w:sz="0" w:space="0" w:color="auto"/>
            <w:bottom w:val="none" w:sz="0" w:space="0" w:color="auto"/>
            <w:right w:val="none" w:sz="0" w:space="0" w:color="auto"/>
          </w:divBdr>
        </w:div>
      </w:divsChild>
    </w:div>
    <w:div w:id="1855225283">
      <w:bodyDiv w:val="1"/>
      <w:marLeft w:val="0"/>
      <w:marRight w:val="0"/>
      <w:marTop w:val="0"/>
      <w:marBottom w:val="0"/>
      <w:divBdr>
        <w:top w:val="none" w:sz="0" w:space="0" w:color="auto"/>
        <w:left w:val="none" w:sz="0" w:space="0" w:color="auto"/>
        <w:bottom w:val="none" w:sz="0" w:space="0" w:color="auto"/>
        <w:right w:val="none" w:sz="0" w:space="0" w:color="auto"/>
      </w:divBdr>
    </w:div>
    <w:div w:id="1870410211">
      <w:bodyDiv w:val="1"/>
      <w:marLeft w:val="0"/>
      <w:marRight w:val="0"/>
      <w:marTop w:val="0"/>
      <w:marBottom w:val="0"/>
      <w:divBdr>
        <w:top w:val="none" w:sz="0" w:space="0" w:color="auto"/>
        <w:left w:val="none" w:sz="0" w:space="0" w:color="auto"/>
        <w:bottom w:val="none" w:sz="0" w:space="0" w:color="auto"/>
        <w:right w:val="none" w:sz="0" w:space="0" w:color="auto"/>
      </w:divBdr>
      <w:divsChild>
        <w:div w:id="1528179144">
          <w:marLeft w:val="0"/>
          <w:marRight w:val="0"/>
          <w:marTop w:val="0"/>
          <w:marBottom w:val="0"/>
          <w:divBdr>
            <w:top w:val="none" w:sz="0" w:space="0" w:color="auto"/>
            <w:left w:val="none" w:sz="0" w:space="0" w:color="auto"/>
            <w:bottom w:val="none" w:sz="0" w:space="0" w:color="auto"/>
            <w:right w:val="none" w:sz="0" w:space="0" w:color="auto"/>
          </w:divBdr>
        </w:div>
      </w:divsChild>
    </w:div>
    <w:div w:id="1883132012">
      <w:bodyDiv w:val="1"/>
      <w:marLeft w:val="0"/>
      <w:marRight w:val="0"/>
      <w:marTop w:val="0"/>
      <w:marBottom w:val="0"/>
      <w:divBdr>
        <w:top w:val="none" w:sz="0" w:space="0" w:color="auto"/>
        <w:left w:val="none" w:sz="0" w:space="0" w:color="auto"/>
        <w:bottom w:val="none" w:sz="0" w:space="0" w:color="auto"/>
        <w:right w:val="none" w:sz="0" w:space="0" w:color="auto"/>
      </w:divBdr>
    </w:div>
    <w:div w:id="1898928652">
      <w:bodyDiv w:val="1"/>
      <w:marLeft w:val="0"/>
      <w:marRight w:val="0"/>
      <w:marTop w:val="0"/>
      <w:marBottom w:val="0"/>
      <w:divBdr>
        <w:top w:val="none" w:sz="0" w:space="0" w:color="auto"/>
        <w:left w:val="none" w:sz="0" w:space="0" w:color="auto"/>
        <w:bottom w:val="none" w:sz="0" w:space="0" w:color="auto"/>
        <w:right w:val="none" w:sz="0" w:space="0" w:color="auto"/>
      </w:divBdr>
    </w:div>
    <w:div w:id="1912546370">
      <w:bodyDiv w:val="1"/>
      <w:marLeft w:val="0"/>
      <w:marRight w:val="0"/>
      <w:marTop w:val="0"/>
      <w:marBottom w:val="0"/>
      <w:divBdr>
        <w:top w:val="none" w:sz="0" w:space="0" w:color="auto"/>
        <w:left w:val="none" w:sz="0" w:space="0" w:color="auto"/>
        <w:bottom w:val="none" w:sz="0" w:space="0" w:color="auto"/>
        <w:right w:val="none" w:sz="0" w:space="0" w:color="auto"/>
      </w:divBdr>
    </w:div>
    <w:div w:id="1936591612">
      <w:marLeft w:val="0"/>
      <w:marRight w:val="0"/>
      <w:marTop w:val="0"/>
      <w:marBottom w:val="0"/>
      <w:divBdr>
        <w:top w:val="none" w:sz="0" w:space="0" w:color="auto"/>
        <w:left w:val="none" w:sz="0" w:space="0" w:color="auto"/>
        <w:bottom w:val="none" w:sz="0" w:space="0" w:color="auto"/>
        <w:right w:val="none" w:sz="0" w:space="0" w:color="auto"/>
      </w:divBdr>
    </w:div>
    <w:div w:id="1936591613">
      <w:marLeft w:val="0"/>
      <w:marRight w:val="0"/>
      <w:marTop w:val="0"/>
      <w:marBottom w:val="0"/>
      <w:divBdr>
        <w:top w:val="none" w:sz="0" w:space="0" w:color="auto"/>
        <w:left w:val="none" w:sz="0" w:space="0" w:color="auto"/>
        <w:bottom w:val="none" w:sz="0" w:space="0" w:color="auto"/>
        <w:right w:val="none" w:sz="0" w:space="0" w:color="auto"/>
      </w:divBdr>
    </w:div>
    <w:div w:id="1936591614">
      <w:marLeft w:val="0"/>
      <w:marRight w:val="0"/>
      <w:marTop w:val="0"/>
      <w:marBottom w:val="0"/>
      <w:divBdr>
        <w:top w:val="none" w:sz="0" w:space="0" w:color="auto"/>
        <w:left w:val="none" w:sz="0" w:space="0" w:color="auto"/>
        <w:bottom w:val="none" w:sz="0" w:space="0" w:color="auto"/>
        <w:right w:val="none" w:sz="0" w:space="0" w:color="auto"/>
      </w:divBdr>
    </w:div>
    <w:div w:id="1936591615">
      <w:marLeft w:val="0"/>
      <w:marRight w:val="0"/>
      <w:marTop w:val="0"/>
      <w:marBottom w:val="0"/>
      <w:divBdr>
        <w:top w:val="none" w:sz="0" w:space="0" w:color="auto"/>
        <w:left w:val="none" w:sz="0" w:space="0" w:color="auto"/>
        <w:bottom w:val="none" w:sz="0" w:space="0" w:color="auto"/>
        <w:right w:val="none" w:sz="0" w:space="0" w:color="auto"/>
      </w:divBdr>
    </w:div>
    <w:div w:id="1936591616">
      <w:marLeft w:val="0"/>
      <w:marRight w:val="0"/>
      <w:marTop w:val="0"/>
      <w:marBottom w:val="0"/>
      <w:divBdr>
        <w:top w:val="none" w:sz="0" w:space="0" w:color="auto"/>
        <w:left w:val="none" w:sz="0" w:space="0" w:color="auto"/>
        <w:bottom w:val="none" w:sz="0" w:space="0" w:color="auto"/>
        <w:right w:val="none" w:sz="0" w:space="0" w:color="auto"/>
      </w:divBdr>
    </w:div>
    <w:div w:id="1936591617">
      <w:marLeft w:val="0"/>
      <w:marRight w:val="0"/>
      <w:marTop w:val="0"/>
      <w:marBottom w:val="0"/>
      <w:divBdr>
        <w:top w:val="none" w:sz="0" w:space="0" w:color="auto"/>
        <w:left w:val="none" w:sz="0" w:space="0" w:color="auto"/>
        <w:bottom w:val="none" w:sz="0" w:space="0" w:color="auto"/>
        <w:right w:val="none" w:sz="0" w:space="0" w:color="auto"/>
      </w:divBdr>
    </w:div>
    <w:div w:id="1936591618">
      <w:marLeft w:val="0"/>
      <w:marRight w:val="0"/>
      <w:marTop w:val="0"/>
      <w:marBottom w:val="0"/>
      <w:divBdr>
        <w:top w:val="none" w:sz="0" w:space="0" w:color="auto"/>
        <w:left w:val="none" w:sz="0" w:space="0" w:color="auto"/>
        <w:bottom w:val="none" w:sz="0" w:space="0" w:color="auto"/>
        <w:right w:val="none" w:sz="0" w:space="0" w:color="auto"/>
      </w:divBdr>
    </w:div>
    <w:div w:id="1936591619">
      <w:marLeft w:val="0"/>
      <w:marRight w:val="0"/>
      <w:marTop w:val="0"/>
      <w:marBottom w:val="0"/>
      <w:divBdr>
        <w:top w:val="none" w:sz="0" w:space="0" w:color="auto"/>
        <w:left w:val="none" w:sz="0" w:space="0" w:color="auto"/>
        <w:bottom w:val="none" w:sz="0" w:space="0" w:color="auto"/>
        <w:right w:val="none" w:sz="0" w:space="0" w:color="auto"/>
      </w:divBdr>
    </w:div>
    <w:div w:id="1936591620">
      <w:marLeft w:val="0"/>
      <w:marRight w:val="0"/>
      <w:marTop w:val="0"/>
      <w:marBottom w:val="0"/>
      <w:divBdr>
        <w:top w:val="none" w:sz="0" w:space="0" w:color="auto"/>
        <w:left w:val="none" w:sz="0" w:space="0" w:color="auto"/>
        <w:bottom w:val="none" w:sz="0" w:space="0" w:color="auto"/>
        <w:right w:val="none" w:sz="0" w:space="0" w:color="auto"/>
      </w:divBdr>
    </w:div>
    <w:div w:id="1936591621">
      <w:marLeft w:val="0"/>
      <w:marRight w:val="0"/>
      <w:marTop w:val="0"/>
      <w:marBottom w:val="0"/>
      <w:divBdr>
        <w:top w:val="none" w:sz="0" w:space="0" w:color="auto"/>
        <w:left w:val="none" w:sz="0" w:space="0" w:color="auto"/>
        <w:bottom w:val="none" w:sz="0" w:space="0" w:color="auto"/>
        <w:right w:val="none" w:sz="0" w:space="0" w:color="auto"/>
      </w:divBdr>
    </w:div>
    <w:div w:id="1936591622">
      <w:marLeft w:val="0"/>
      <w:marRight w:val="0"/>
      <w:marTop w:val="0"/>
      <w:marBottom w:val="0"/>
      <w:divBdr>
        <w:top w:val="none" w:sz="0" w:space="0" w:color="auto"/>
        <w:left w:val="none" w:sz="0" w:space="0" w:color="auto"/>
        <w:bottom w:val="none" w:sz="0" w:space="0" w:color="auto"/>
        <w:right w:val="none" w:sz="0" w:space="0" w:color="auto"/>
      </w:divBdr>
    </w:div>
    <w:div w:id="1936591623">
      <w:marLeft w:val="0"/>
      <w:marRight w:val="0"/>
      <w:marTop w:val="0"/>
      <w:marBottom w:val="0"/>
      <w:divBdr>
        <w:top w:val="none" w:sz="0" w:space="0" w:color="auto"/>
        <w:left w:val="none" w:sz="0" w:space="0" w:color="auto"/>
        <w:bottom w:val="none" w:sz="0" w:space="0" w:color="auto"/>
        <w:right w:val="none" w:sz="0" w:space="0" w:color="auto"/>
      </w:divBdr>
    </w:div>
    <w:div w:id="1936591624">
      <w:marLeft w:val="0"/>
      <w:marRight w:val="0"/>
      <w:marTop w:val="0"/>
      <w:marBottom w:val="0"/>
      <w:divBdr>
        <w:top w:val="none" w:sz="0" w:space="0" w:color="auto"/>
        <w:left w:val="none" w:sz="0" w:space="0" w:color="auto"/>
        <w:bottom w:val="none" w:sz="0" w:space="0" w:color="auto"/>
        <w:right w:val="none" w:sz="0" w:space="0" w:color="auto"/>
      </w:divBdr>
    </w:div>
    <w:div w:id="1936591625">
      <w:marLeft w:val="0"/>
      <w:marRight w:val="0"/>
      <w:marTop w:val="0"/>
      <w:marBottom w:val="0"/>
      <w:divBdr>
        <w:top w:val="none" w:sz="0" w:space="0" w:color="auto"/>
        <w:left w:val="none" w:sz="0" w:space="0" w:color="auto"/>
        <w:bottom w:val="none" w:sz="0" w:space="0" w:color="auto"/>
        <w:right w:val="none" w:sz="0" w:space="0" w:color="auto"/>
      </w:divBdr>
    </w:div>
    <w:div w:id="1936591626">
      <w:marLeft w:val="0"/>
      <w:marRight w:val="0"/>
      <w:marTop w:val="0"/>
      <w:marBottom w:val="0"/>
      <w:divBdr>
        <w:top w:val="none" w:sz="0" w:space="0" w:color="auto"/>
        <w:left w:val="none" w:sz="0" w:space="0" w:color="auto"/>
        <w:bottom w:val="none" w:sz="0" w:space="0" w:color="auto"/>
        <w:right w:val="none" w:sz="0" w:space="0" w:color="auto"/>
      </w:divBdr>
    </w:div>
    <w:div w:id="1936591627">
      <w:marLeft w:val="0"/>
      <w:marRight w:val="0"/>
      <w:marTop w:val="0"/>
      <w:marBottom w:val="0"/>
      <w:divBdr>
        <w:top w:val="none" w:sz="0" w:space="0" w:color="auto"/>
        <w:left w:val="none" w:sz="0" w:space="0" w:color="auto"/>
        <w:bottom w:val="none" w:sz="0" w:space="0" w:color="auto"/>
        <w:right w:val="none" w:sz="0" w:space="0" w:color="auto"/>
      </w:divBdr>
    </w:div>
    <w:div w:id="1936591628">
      <w:marLeft w:val="0"/>
      <w:marRight w:val="0"/>
      <w:marTop w:val="0"/>
      <w:marBottom w:val="0"/>
      <w:divBdr>
        <w:top w:val="none" w:sz="0" w:space="0" w:color="auto"/>
        <w:left w:val="none" w:sz="0" w:space="0" w:color="auto"/>
        <w:bottom w:val="none" w:sz="0" w:space="0" w:color="auto"/>
        <w:right w:val="none" w:sz="0" w:space="0" w:color="auto"/>
      </w:divBdr>
    </w:div>
    <w:div w:id="1936591629">
      <w:marLeft w:val="0"/>
      <w:marRight w:val="0"/>
      <w:marTop w:val="0"/>
      <w:marBottom w:val="0"/>
      <w:divBdr>
        <w:top w:val="none" w:sz="0" w:space="0" w:color="auto"/>
        <w:left w:val="none" w:sz="0" w:space="0" w:color="auto"/>
        <w:bottom w:val="none" w:sz="0" w:space="0" w:color="auto"/>
        <w:right w:val="none" w:sz="0" w:space="0" w:color="auto"/>
      </w:divBdr>
    </w:div>
    <w:div w:id="1936591630">
      <w:marLeft w:val="0"/>
      <w:marRight w:val="0"/>
      <w:marTop w:val="0"/>
      <w:marBottom w:val="0"/>
      <w:divBdr>
        <w:top w:val="none" w:sz="0" w:space="0" w:color="auto"/>
        <w:left w:val="none" w:sz="0" w:space="0" w:color="auto"/>
        <w:bottom w:val="none" w:sz="0" w:space="0" w:color="auto"/>
        <w:right w:val="none" w:sz="0" w:space="0" w:color="auto"/>
      </w:divBdr>
    </w:div>
    <w:div w:id="1936591631">
      <w:marLeft w:val="0"/>
      <w:marRight w:val="0"/>
      <w:marTop w:val="0"/>
      <w:marBottom w:val="0"/>
      <w:divBdr>
        <w:top w:val="none" w:sz="0" w:space="0" w:color="auto"/>
        <w:left w:val="none" w:sz="0" w:space="0" w:color="auto"/>
        <w:bottom w:val="none" w:sz="0" w:space="0" w:color="auto"/>
        <w:right w:val="none" w:sz="0" w:space="0" w:color="auto"/>
      </w:divBdr>
    </w:div>
    <w:div w:id="1936591632">
      <w:marLeft w:val="0"/>
      <w:marRight w:val="0"/>
      <w:marTop w:val="0"/>
      <w:marBottom w:val="0"/>
      <w:divBdr>
        <w:top w:val="none" w:sz="0" w:space="0" w:color="auto"/>
        <w:left w:val="none" w:sz="0" w:space="0" w:color="auto"/>
        <w:bottom w:val="none" w:sz="0" w:space="0" w:color="auto"/>
        <w:right w:val="none" w:sz="0" w:space="0" w:color="auto"/>
      </w:divBdr>
    </w:div>
    <w:div w:id="1961839494">
      <w:bodyDiv w:val="1"/>
      <w:marLeft w:val="0"/>
      <w:marRight w:val="0"/>
      <w:marTop w:val="0"/>
      <w:marBottom w:val="0"/>
      <w:divBdr>
        <w:top w:val="none" w:sz="0" w:space="0" w:color="auto"/>
        <w:left w:val="none" w:sz="0" w:space="0" w:color="auto"/>
        <w:bottom w:val="none" w:sz="0" w:space="0" w:color="auto"/>
        <w:right w:val="none" w:sz="0" w:space="0" w:color="auto"/>
      </w:divBdr>
    </w:div>
    <w:div w:id="1974676060">
      <w:bodyDiv w:val="1"/>
      <w:marLeft w:val="0"/>
      <w:marRight w:val="0"/>
      <w:marTop w:val="0"/>
      <w:marBottom w:val="0"/>
      <w:divBdr>
        <w:top w:val="none" w:sz="0" w:space="0" w:color="auto"/>
        <w:left w:val="none" w:sz="0" w:space="0" w:color="auto"/>
        <w:bottom w:val="none" w:sz="0" w:space="0" w:color="auto"/>
        <w:right w:val="none" w:sz="0" w:space="0" w:color="auto"/>
      </w:divBdr>
      <w:divsChild>
        <w:div w:id="582639562">
          <w:marLeft w:val="0"/>
          <w:marRight w:val="0"/>
          <w:marTop w:val="0"/>
          <w:marBottom w:val="0"/>
          <w:divBdr>
            <w:top w:val="none" w:sz="0" w:space="0" w:color="auto"/>
            <w:left w:val="none" w:sz="0" w:space="0" w:color="auto"/>
            <w:bottom w:val="none" w:sz="0" w:space="0" w:color="auto"/>
            <w:right w:val="none" w:sz="0" w:space="0" w:color="auto"/>
          </w:divBdr>
        </w:div>
      </w:divsChild>
    </w:div>
    <w:div w:id="1975913491">
      <w:bodyDiv w:val="1"/>
      <w:marLeft w:val="0"/>
      <w:marRight w:val="0"/>
      <w:marTop w:val="0"/>
      <w:marBottom w:val="0"/>
      <w:divBdr>
        <w:top w:val="none" w:sz="0" w:space="0" w:color="auto"/>
        <w:left w:val="none" w:sz="0" w:space="0" w:color="auto"/>
        <w:bottom w:val="none" w:sz="0" w:space="0" w:color="auto"/>
        <w:right w:val="none" w:sz="0" w:space="0" w:color="auto"/>
      </w:divBdr>
      <w:divsChild>
        <w:div w:id="28773217">
          <w:marLeft w:val="0"/>
          <w:marRight w:val="0"/>
          <w:marTop w:val="0"/>
          <w:marBottom w:val="0"/>
          <w:divBdr>
            <w:top w:val="none" w:sz="0" w:space="0" w:color="auto"/>
            <w:left w:val="none" w:sz="0" w:space="0" w:color="auto"/>
            <w:bottom w:val="none" w:sz="0" w:space="0" w:color="auto"/>
            <w:right w:val="none" w:sz="0" w:space="0" w:color="auto"/>
          </w:divBdr>
          <w:divsChild>
            <w:div w:id="948660234">
              <w:marLeft w:val="0"/>
              <w:marRight w:val="0"/>
              <w:marTop w:val="0"/>
              <w:marBottom w:val="0"/>
              <w:divBdr>
                <w:top w:val="none" w:sz="0" w:space="0" w:color="auto"/>
                <w:left w:val="none" w:sz="0" w:space="0" w:color="auto"/>
                <w:bottom w:val="none" w:sz="0" w:space="0" w:color="auto"/>
                <w:right w:val="none" w:sz="0" w:space="0" w:color="auto"/>
              </w:divBdr>
            </w:div>
          </w:divsChild>
        </w:div>
        <w:div w:id="46689258">
          <w:marLeft w:val="0"/>
          <w:marRight w:val="0"/>
          <w:marTop w:val="0"/>
          <w:marBottom w:val="0"/>
          <w:divBdr>
            <w:top w:val="none" w:sz="0" w:space="0" w:color="auto"/>
            <w:left w:val="none" w:sz="0" w:space="0" w:color="auto"/>
            <w:bottom w:val="none" w:sz="0" w:space="0" w:color="auto"/>
            <w:right w:val="none" w:sz="0" w:space="0" w:color="auto"/>
          </w:divBdr>
          <w:divsChild>
            <w:div w:id="1900440563">
              <w:marLeft w:val="0"/>
              <w:marRight w:val="0"/>
              <w:marTop w:val="0"/>
              <w:marBottom w:val="0"/>
              <w:divBdr>
                <w:top w:val="none" w:sz="0" w:space="0" w:color="auto"/>
                <w:left w:val="none" w:sz="0" w:space="0" w:color="auto"/>
                <w:bottom w:val="none" w:sz="0" w:space="0" w:color="auto"/>
                <w:right w:val="none" w:sz="0" w:space="0" w:color="auto"/>
              </w:divBdr>
            </w:div>
          </w:divsChild>
        </w:div>
        <w:div w:id="166754464">
          <w:marLeft w:val="0"/>
          <w:marRight w:val="0"/>
          <w:marTop w:val="0"/>
          <w:marBottom w:val="0"/>
          <w:divBdr>
            <w:top w:val="none" w:sz="0" w:space="0" w:color="auto"/>
            <w:left w:val="none" w:sz="0" w:space="0" w:color="auto"/>
            <w:bottom w:val="none" w:sz="0" w:space="0" w:color="auto"/>
            <w:right w:val="none" w:sz="0" w:space="0" w:color="auto"/>
          </w:divBdr>
          <w:divsChild>
            <w:div w:id="1732314993">
              <w:marLeft w:val="0"/>
              <w:marRight w:val="0"/>
              <w:marTop w:val="0"/>
              <w:marBottom w:val="0"/>
              <w:divBdr>
                <w:top w:val="none" w:sz="0" w:space="0" w:color="auto"/>
                <w:left w:val="none" w:sz="0" w:space="0" w:color="auto"/>
                <w:bottom w:val="none" w:sz="0" w:space="0" w:color="auto"/>
                <w:right w:val="none" w:sz="0" w:space="0" w:color="auto"/>
              </w:divBdr>
            </w:div>
          </w:divsChild>
        </w:div>
        <w:div w:id="170532414">
          <w:marLeft w:val="0"/>
          <w:marRight w:val="0"/>
          <w:marTop w:val="0"/>
          <w:marBottom w:val="0"/>
          <w:divBdr>
            <w:top w:val="none" w:sz="0" w:space="0" w:color="auto"/>
            <w:left w:val="none" w:sz="0" w:space="0" w:color="auto"/>
            <w:bottom w:val="none" w:sz="0" w:space="0" w:color="auto"/>
            <w:right w:val="none" w:sz="0" w:space="0" w:color="auto"/>
          </w:divBdr>
          <w:divsChild>
            <w:div w:id="2125299214">
              <w:marLeft w:val="0"/>
              <w:marRight w:val="0"/>
              <w:marTop w:val="0"/>
              <w:marBottom w:val="0"/>
              <w:divBdr>
                <w:top w:val="none" w:sz="0" w:space="0" w:color="auto"/>
                <w:left w:val="none" w:sz="0" w:space="0" w:color="auto"/>
                <w:bottom w:val="none" w:sz="0" w:space="0" w:color="auto"/>
                <w:right w:val="none" w:sz="0" w:space="0" w:color="auto"/>
              </w:divBdr>
            </w:div>
          </w:divsChild>
        </w:div>
        <w:div w:id="176236876">
          <w:marLeft w:val="0"/>
          <w:marRight w:val="0"/>
          <w:marTop w:val="0"/>
          <w:marBottom w:val="0"/>
          <w:divBdr>
            <w:top w:val="none" w:sz="0" w:space="0" w:color="auto"/>
            <w:left w:val="none" w:sz="0" w:space="0" w:color="auto"/>
            <w:bottom w:val="none" w:sz="0" w:space="0" w:color="auto"/>
            <w:right w:val="none" w:sz="0" w:space="0" w:color="auto"/>
          </w:divBdr>
          <w:divsChild>
            <w:div w:id="1134250466">
              <w:marLeft w:val="0"/>
              <w:marRight w:val="0"/>
              <w:marTop w:val="0"/>
              <w:marBottom w:val="0"/>
              <w:divBdr>
                <w:top w:val="none" w:sz="0" w:space="0" w:color="auto"/>
                <w:left w:val="none" w:sz="0" w:space="0" w:color="auto"/>
                <w:bottom w:val="none" w:sz="0" w:space="0" w:color="auto"/>
                <w:right w:val="none" w:sz="0" w:space="0" w:color="auto"/>
              </w:divBdr>
            </w:div>
          </w:divsChild>
        </w:div>
        <w:div w:id="177156183">
          <w:marLeft w:val="0"/>
          <w:marRight w:val="0"/>
          <w:marTop w:val="0"/>
          <w:marBottom w:val="0"/>
          <w:divBdr>
            <w:top w:val="none" w:sz="0" w:space="0" w:color="auto"/>
            <w:left w:val="none" w:sz="0" w:space="0" w:color="auto"/>
            <w:bottom w:val="none" w:sz="0" w:space="0" w:color="auto"/>
            <w:right w:val="none" w:sz="0" w:space="0" w:color="auto"/>
          </w:divBdr>
          <w:divsChild>
            <w:div w:id="361171759">
              <w:marLeft w:val="0"/>
              <w:marRight w:val="0"/>
              <w:marTop w:val="0"/>
              <w:marBottom w:val="0"/>
              <w:divBdr>
                <w:top w:val="none" w:sz="0" w:space="0" w:color="auto"/>
                <w:left w:val="none" w:sz="0" w:space="0" w:color="auto"/>
                <w:bottom w:val="none" w:sz="0" w:space="0" w:color="auto"/>
                <w:right w:val="none" w:sz="0" w:space="0" w:color="auto"/>
              </w:divBdr>
            </w:div>
          </w:divsChild>
        </w:div>
        <w:div w:id="192885306">
          <w:marLeft w:val="0"/>
          <w:marRight w:val="0"/>
          <w:marTop w:val="0"/>
          <w:marBottom w:val="0"/>
          <w:divBdr>
            <w:top w:val="none" w:sz="0" w:space="0" w:color="auto"/>
            <w:left w:val="none" w:sz="0" w:space="0" w:color="auto"/>
            <w:bottom w:val="none" w:sz="0" w:space="0" w:color="auto"/>
            <w:right w:val="none" w:sz="0" w:space="0" w:color="auto"/>
          </w:divBdr>
          <w:divsChild>
            <w:div w:id="1841237367">
              <w:marLeft w:val="0"/>
              <w:marRight w:val="0"/>
              <w:marTop w:val="0"/>
              <w:marBottom w:val="0"/>
              <w:divBdr>
                <w:top w:val="none" w:sz="0" w:space="0" w:color="auto"/>
                <w:left w:val="none" w:sz="0" w:space="0" w:color="auto"/>
                <w:bottom w:val="none" w:sz="0" w:space="0" w:color="auto"/>
                <w:right w:val="none" w:sz="0" w:space="0" w:color="auto"/>
              </w:divBdr>
            </w:div>
          </w:divsChild>
        </w:div>
        <w:div w:id="234241216">
          <w:marLeft w:val="0"/>
          <w:marRight w:val="0"/>
          <w:marTop w:val="0"/>
          <w:marBottom w:val="0"/>
          <w:divBdr>
            <w:top w:val="none" w:sz="0" w:space="0" w:color="auto"/>
            <w:left w:val="none" w:sz="0" w:space="0" w:color="auto"/>
            <w:bottom w:val="none" w:sz="0" w:space="0" w:color="auto"/>
            <w:right w:val="none" w:sz="0" w:space="0" w:color="auto"/>
          </w:divBdr>
          <w:divsChild>
            <w:div w:id="1892225813">
              <w:marLeft w:val="0"/>
              <w:marRight w:val="0"/>
              <w:marTop w:val="0"/>
              <w:marBottom w:val="0"/>
              <w:divBdr>
                <w:top w:val="none" w:sz="0" w:space="0" w:color="auto"/>
                <w:left w:val="none" w:sz="0" w:space="0" w:color="auto"/>
                <w:bottom w:val="none" w:sz="0" w:space="0" w:color="auto"/>
                <w:right w:val="none" w:sz="0" w:space="0" w:color="auto"/>
              </w:divBdr>
            </w:div>
          </w:divsChild>
        </w:div>
        <w:div w:id="322045908">
          <w:marLeft w:val="0"/>
          <w:marRight w:val="0"/>
          <w:marTop w:val="0"/>
          <w:marBottom w:val="0"/>
          <w:divBdr>
            <w:top w:val="none" w:sz="0" w:space="0" w:color="auto"/>
            <w:left w:val="none" w:sz="0" w:space="0" w:color="auto"/>
            <w:bottom w:val="none" w:sz="0" w:space="0" w:color="auto"/>
            <w:right w:val="none" w:sz="0" w:space="0" w:color="auto"/>
          </w:divBdr>
          <w:divsChild>
            <w:div w:id="1197160022">
              <w:marLeft w:val="0"/>
              <w:marRight w:val="0"/>
              <w:marTop w:val="0"/>
              <w:marBottom w:val="0"/>
              <w:divBdr>
                <w:top w:val="none" w:sz="0" w:space="0" w:color="auto"/>
                <w:left w:val="none" w:sz="0" w:space="0" w:color="auto"/>
                <w:bottom w:val="none" w:sz="0" w:space="0" w:color="auto"/>
                <w:right w:val="none" w:sz="0" w:space="0" w:color="auto"/>
              </w:divBdr>
            </w:div>
          </w:divsChild>
        </w:div>
        <w:div w:id="335230159">
          <w:marLeft w:val="0"/>
          <w:marRight w:val="0"/>
          <w:marTop w:val="0"/>
          <w:marBottom w:val="0"/>
          <w:divBdr>
            <w:top w:val="none" w:sz="0" w:space="0" w:color="auto"/>
            <w:left w:val="none" w:sz="0" w:space="0" w:color="auto"/>
            <w:bottom w:val="none" w:sz="0" w:space="0" w:color="auto"/>
            <w:right w:val="none" w:sz="0" w:space="0" w:color="auto"/>
          </w:divBdr>
          <w:divsChild>
            <w:div w:id="1299601998">
              <w:marLeft w:val="0"/>
              <w:marRight w:val="0"/>
              <w:marTop w:val="0"/>
              <w:marBottom w:val="0"/>
              <w:divBdr>
                <w:top w:val="none" w:sz="0" w:space="0" w:color="auto"/>
                <w:left w:val="none" w:sz="0" w:space="0" w:color="auto"/>
                <w:bottom w:val="none" w:sz="0" w:space="0" w:color="auto"/>
                <w:right w:val="none" w:sz="0" w:space="0" w:color="auto"/>
              </w:divBdr>
            </w:div>
          </w:divsChild>
        </w:div>
        <w:div w:id="356197470">
          <w:marLeft w:val="0"/>
          <w:marRight w:val="0"/>
          <w:marTop w:val="0"/>
          <w:marBottom w:val="0"/>
          <w:divBdr>
            <w:top w:val="none" w:sz="0" w:space="0" w:color="auto"/>
            <w:left w:val="none" w:sz="0" w:space="0" w:color="auto"/>
            <w:bottom w:val="none" w:sz="0" w:space="0" w:color="auto"/>
            <w:right w:val="none" w:sz="0" w:space="0" w:color="auto"/>
          </w:divBdr>
          <w:divsChild>
            <w:div w:id="217716268">
              <w:marLeft w:val="0"/>
              <w:marRight w:val="0"/>
              <w:marTop w:val="0"/>
              <w:marBottom w:val="0"/>
              <w:divBdr>
                <w:top w:val="none" w:sz="0" w:space="0" w:color="auto"/>
                <w:left w:val="none" w:sz="0" w:space="0" w:color="auto"/>
                <w:bottom w:val="none" w:sz="0" w:space="0" w:color="auto"/>
                <w:right w:val="none" w:sz="0" w:space="0" w:color="auto"/>
              </w:divBdr>
            </w:div>
          </w:divsChild>
        </w:div>
        <w:div w:id="369383305">
          <w:marLeft w:val="0"/>
          <w:marRight w:val="0"/>
          <w:marTop w:val="0"/>
          <w:marBottom w:val="0"/>
          <w:divBdr>
            <w:top w:val="none" w:sz="0" w:space="0" w:color="auto"/>
            <w:left w:val="none" w:sz="0" w:space="0" w:color="auto"/>
            <w:bottom w:val="none" w:sz="0" w:space="0" w:color="auto"/>
            <w:right w:val="none" w:sz="0" w:space="0" w:color="auto"/>
          </w:divBdr>
          <w:divsChild>
            <w:div w:id="841816250">
              <w:marLeft w:val="0"/>
              <w:marRight w:val="0"/>
              <w:marTop w:val="0"/>
              <w:marBottom w:val="0"/>
              <w:divBdr>
                <w:top w:val="none" w:sz="0" w:space="0" w:color="auto"/>
                <w:left w:val="none" w:sz="0" w:space="0" w:color="auto"/>
                <w:bottom w:val="none" w:sz="0" w:space="0" w:color="auto"/>
                <w:right w:val="none" w:sz="0" w:space="0" w:color="auto"/>
              </w:divBdr>
            </w:div>
          </w:divsChild>
        </w:div>
        <w:div w:id="373232787">
          <w:marLeft w:val="0"/>
          <w:marRight w:val="0"/>
          <w:marTop w:val="0"/>
          <w:marBottom w:val="0"/>
          <w:divBdr>
            <w:top w:val="none" w:sz="0" w:space="0" w:color="auto"/>
            <w:left w:val="none" w:sz="0" w:space="0" w:color="auto"/>
            <w:bottom w:val="none" w:sz="0" w:space="0" w:color="auto"/>
            <w:right w:val="none" w:sz="0" w:space="0" w:color="auto"/>
          </w:divBdr>
          <w:divsChild>
            <w:div w:id="61871092">
              <w:marLeft w:val="0"/>
              <w:marRight w:val="0"/>
              <w:marTop w:val="0"/>
              <w:marBottom w:val="0"/>
              <w:divBdr>
                <w:top w:val="none" w:sz="0" w:space="0" w:color="auto"/>
                <w:left w:val="none" w:sz="0" w:space="0" w:color="auto"/>
                <w:bottom w:val="none" w:sz="0" w:space="0" w:color="auto"/>
                <w:right w:val="none" w:sz="0" w:space="0" w:color="auto"/>
              </w:divBdr>
            </w:div>
          </w:divsChild>
        </w:div>
        <w:div w:id="411852699">
          <w:marLeft w:val="0"/>
          <w:marRight w:val="0"/>
          <w:marTop w:val="0"/>
          <w:marBottom w:val="0"/>
          <w:divBdr>
            <w:top w:val="none" w:sz="0" w:space="0" w:color="auto"/>
            <w:left w:val="none" w:sz="0" w:space="0" w:color="auto"/>
            <w:bottom w:val="none" w:sz="0" w:space="0" w:color="auto"/>
            <w:right w:val="none" w:sz="0" w:space="0" w:color="auto"/>
          </w:divBdr>
          <w:divsChild>
            <w:div w:id="1681085186">
              <w:marLeft w:val="0"/>
              <w:marRight w:val="0"/>
              <w:marTop w:val="0"/>
              <w:marBottom w:val="0"/>
              <w:divBdr>
                <w:top w:val="none" w:sz="0" w:space="0" w:color="auto"/>
                <w:left w:val="none" w:sz="0" w:space="0" w:color="auto"/>
                <w:bottom w:val="none" w:sz="0" w:space="0" w:color="auto"/>
                <w:right w:val="none" w:sz="0" w:space="0" w:color="auto"/>
              </w:divBdr>
            </w:div>
          </w:divsChild>
        </w:div>
        <w:div w:id="545918628">
          <w:marLeft w:val="0"/>
          <w:marRight w:val="0"/>
          <w:marTop w:val="0"/>
          <w:marBottom w:val="0"/>
          <w:divBdr>
            <w:top w:val="none" w:sz="0" w:space="0" w:color="auto"/>
            <w:left w:val="none" w:sz="0" w:space="0" w:color="auto"/>
            <w:bottom w:val="none" w:sz="0" w:space="0" w:color="auto"/>
            <w:right w:val="none" w:sz="0" w:space="0" w:color="auto"/>
          </w:divBdr>
          <w:divsChild>
            <w:div w:id="627248563">
              <w:marLeft w:val="0"/>
              <w:marRight w:val="0"/>
              <w:marTop w:val="0"/>
              <w:marBottom w:val="0"/>
              <w:divBdr>
                <w:top w:val="none" w:sz="0" w:space="0" w:color="auto"/>
                <w:left w:val="none" w:sz="0" w:space="0" w:color="auto"/>
                <w:bottom w:val="none" w:sz="0" w:space="0" w:color="auto"/>
                <w:right w:val="none" w:sz="0" w:space="0" w:color="auto"/>
              </w:divBdr>
            </w:div>
          </w:divsChild>
        </w:div>
        <w:div w:id="581374931">
          <w:marLeft w:val="0"/>
          <w:marRight w:val="0"/>
          <w:marTop w:val="0"/>
          <w:marBottom w:val="0"/>
          <w:divBdr>
            <w:top w:val="none" w:sz="0" w:space="0" w:color="auto"/>
            <w:left w:val="none" w:sz="0" w:space="0" w:color="auto"/>
            <w:bottom w:val="none" w:sz="0" w:space="0" w:color="auto"/>
            <w:right w:val="none" w:sz="0" w:space="0" w:color="auto"/>
          </w:divBdr>
          <w:divsChild>
            <w:div w:id="1790078671">
              <w:marLeft w:val="0"/>
              <w:marRight w:val="0"/>
              <w:marTop w:val="0"/>
              <w:marBottom w:val="0"/>
              <w:divBdr>
                <w:top w:val="none" w:sz="0" w:space="0" w:color="auto"/>
                <w:left w:val="none" w:sz="0" w:space="0" w:color="auto"/>
                <w:bottom w:val="none" w:sz="0" w:space="0" w:color="auto"/>
                <w:right w:val="none" w:sz="0" w:space="0" w:color="auto"/>
              </w:divBdr>
            </w:div>
          </w:divsChild>
        </w:div>
        <w:div w:id="596905965">
          <w:marLeft w:val="0"/>
          <w:marRight w:val="0"/>
          <w:marTop w:val="0"/>
          <w:marBottom w:val="0"/>
          <w:divBdr>
            <w:top w:val="none" w:sz="0" w:space="0" w:color="auto"/>
            <w:left w:val="none" w:sz="0" w:space="0" w:color="auto"/>
            <w:bottom w:val="none" w:sz="0" w:space="0" w:color="auto"/>
            <w:right w:val="none" w:sz="0" w:space="0" w:color="auto"/>
          </w:divBdr>
          <w:divsChild>
            <w:div w:id="1596203071">
              <w:marLeft w:val="0"/>
              <w:marRight w:val="0"/>
              <w:marTop w:val="0"/>
              <w:marBottom w:val="0"/>
              <w:divBdr>
                <w:top w:val="none" w:sz="0" w:space="0" w:color="auto"/>
                <w:left w:val="none" w:sz="0" w:space="0" w:color="auto"/>
                <w:bottom w:val="none" w:sz="0" w:space="0" w:color="auto"/>
                <w:right w:val="none" w:sz="0" w:space="0" w:color="auto"/>
              </w:divBdr>
            </w:div>
          </w:divsChild>
        </w:div>
        <w:div w:id="614218902">
          <w:marLeft w:val="0"/>
          <w:marRight w:val="0"/>
          <w:marTop w:val="0"/>
          <w:marBottom w:val="0"/>
          <w:divBdr>
            <w:top w:val="none" w:sz="0" w:space="0" w:color="auto"/>
            <w:left w:val="none" w:sz="0" w:space="0" w:color="auto"/>
            <w:bottom w:val="none" w:sz="0" w:space="0" w:color="auto"/>
            <w:right w:val="none" w:sz="0" w:space="0" w:color="auto"/>
          </w:divBdr>
          <w:divsChild>
            <w:div w:id="399786960">
              <w:marLeft w:val="0"/>
              <w:marRight w:val="0"/>
              <w:marTop w:val="0"/>
              <w:marBottom w:val="0"/>
              <w:divBdr>
                <w:top w:val="none" w:sz="0" w:space="0" w:color="auto"/>
                <w:left w:val="none" w:sz="0" w:space="0" w:color="auto"/>
                <w:bottom w:val="none" w:sz="0" w:space="0" w:color="auto"/>
                <w:right w:val="none" w:sz="0" w:space="0" w:color="auto"/>
              </w:divBdr>
            </w:div>
          </w:divsChild>
        </w:div>
        <w:div w:id="634408685">
          <w:marLeft w:val="0"/>
          <w:marRight w:val="0"/>
          <w:marTop w:val="0"/>
          <w:marBottom w:val="0"/>
          <w:divBdr>
            <w:top w:val="none" w:sz="0" w:space="0" w:color="auto"/>
            <w:left w:val="none" w:sz="0" w:space="0" w:color="auto"/>
            <w:bottom w:val="none" w:sz="0" w:space="0" w:color="auto"/>
            <w:right w:val="none" w:sz="0" w:space="0" w:color="auto"/>
          </w:divBdr>
          <w:divsChild>
            <w:div w:id="1104231836">
              <w:marLeft w:val="0"/>
              <w:marRight w:val="0"/>
              <w:marTop w:val="0"/>
              <w:marBottom w:val="0"/>
              <w:divBdr>
                <w:top w:val="none" w:sz="0" w:space="0" w:color="auto"/>
                <w:left w:val="none" w:sz="0" w:space="0" w:color="auto"/>
                <w:bottom w:val="none" w:sz="0" w:space="0" w:color="auto"/>
                <w:right w:val="none" w:sz="0" w:space="0" w:color="auto"/>
              </w:divBdr>
            </w:div>
          </w:divsChild>
        </w:div>
        <w:div w:id="654574189">
          <w:marLeft w:val="0"/>
          <w:marRight w:val="0"/>
          <w:marTop w:val="0"/>
          <w:marBottom w:val="0"/>
          <w:divBdr>
            <w:top w:val="none" w:sz="0" w:space="0" w:color="auto"/>
            <w:left w:val="none" w:sz="0" w:space="0" w:color="auto"/>
            <w:bottom w:val="none" w:sz="0" w:space="0" w:color="auto"/>
            <w:right w:val="none" w:sz="0" w:space="0" w:color="auto"/>
          </w:divBdr>
          <w:divsChild>
            <w:div w:id="573206110">
              <w:marLeft w:val="0"/>
              <w:marRight w:val="0"/>
              <w:marTop w:val="0"/>
              <w:marBottom w:val="0"/>
              <w:divBdr>
                <w:top w:val="none" w:sz="0" w:space="0" w:color="auto"/>
                <w:left w:val="none" w:sz="0" w:space="0" w:color="auto"/>
                <w:bottom w:val="none" w:sz="0" w:space="0" w:color="auto"/>
                <w:right w:val="none" w:sz="0" w:space="0" w:color="auto"/>
              </w:divBdr>
            </w:div>
          </w:divsChild>
        </w:div>
        <w:div w:id="655181178">
          <w:marLeft w:val="0"/>
          <w:marRight w:val="0"/>
          <w:marTop w:val="0"/>
          <w:marBottom w:val="0"/>
          <w:divBdr>
            <w:top w:val="none" w:sz="0" w:space="0" w:color="auto"/>
            <w:left w:val="none" w:sz="0" w:space="0" w:color="auto"/>
            <w:bottom w:val="none" w:sz="0" w:space="0" w:color="auto"/>
            <w:right w:val="none" w:sz="0" w:space="0" w:color="auto"/>
          </w:divBdr>
          <w:divsChild>
            <w:div w:id="87507273">
              <w:marLeft w:val="0"/>
              <w:marRight w:val="0"/>
              <w:marTop w:val="0"/>
              <w:marBottom w:val="0"/>
              <w:divBdr>
                <w:top w:val="none" w:sz="0" w:space="0" w:color="auto"/>
                <w:left w:val="none" w:sz="0" w:space="0" w:color="auto"/>
                <w:bottom w:val="none" w:sz="0" w:space="0" w:color="auto"/>
                <w:right w:val="none" w:sz="0" w:space="0" w:color="auto"/>
              </w:divBdr>
            </w:div>
          </w:divsChild>
        </w:div>
        <w:div w:id="686910984">
          <w:marLeft w:val="0"/>
          <w:marRight w:val="0"/>
          <w:marTop w:val="0"/>
          <w:marBottom w:val="0"/>
          <w:divBdr>
            <w:top w:val="none" w:sz="0" w:space="0" w:color="auto"/>
            <w:left w:val="none" w:sz="0" w:space="0" w:color="auto"/>
            <w:bottom w:val="none" w:sz="0" w:space="0" w:color="auto"/>
            <w:right w:val="none" w:sz="0" w:space="0" w:color="auto"/>
          </w:divBdr>
          <w:divsChild>
            <w:div w:id="505444822">
              <w:marLeft w:val="0"/>
              <w:marRight w:val="0"/>
              <w:marTop w:val="0"/>
              <w:marBottom w:val="0"/>
              <w:divBdr>
                <w:top w:val="none" w:sz="0" w:space="0" w:color="auto"/>
                <w:left w:val="none" w:sz="0" w:space="0" w:color="auto"/>
                <w:bottom w:val="none" w:sz="0" w:space="0" w:color="auto"/>
                <w:right w:val="none" w:sz="0" w:space="0" w:color="auto"/>
              </w:divBdr>
            </w:div>
          </w:divsChild>
        </w:div>
        <w:div w:id="714082420">
          <w:marLeft w:val="0"/>
          <w:marRight w:val="0"/>
          <w:marTop w:val="0"/>
          <w:marBottom w:val="0"/>
          <w:divBdr>
            <w:top w:val="none" w:sz="0" w:space="0" w:color="auto"/>
            <w:left w:val="none" w:sz="0" w:space="0" w:color="auto"/>
            <w:bottom w:val="none" w:sz="0" w:space="0" w:color="auto"/>
            <w:right w:val="none" w:sz="0" w:space="0" w:color="auto"/>
          </w:divBdr>
          <w:divsChild>
            <w:div w:id="439490332">
              <w:marLeft w:val="0"/>
              <w:marRight w:val="0"/>
              <w:marTop w:val="0"/>
              <w:marBottom w:val="0"/>
              <w:divBdr>
                <w:top w:val="none" w:sz="0" w:space="0" w:color="auto"/>
                <w:left w:val="none" w:sz="0" w:space="0" w:color="auto"/>
                <w:bottom w:val="none" w:sz="0" w:space="0" w:color="auto"/>
                <w:right w:val="none" w:sz="0" w:space="0" w:color="auto"/>
              </w:divBdr>
            </w:div>
          </w:divsChild>
        </w:div>
        <w:div w:id="755784738">
          <w:marLeft w:val="0"/>
          <w:marRight w:val="0"/>
          <w:marTop w:val="0"/>
          <w:marBottom w:val="0"/>
          <w:divBdr>
            <w:top w:val="none" w:sz="0" w:space="0" w:color="auto"/>
            <w:left w:val="none" w:sz="0" w:space="0" w:color="auto"/>
            <w:bottom w:val="none" w:sz="0" w:space="0" w:color="auto"/>
            <w:right w:val="none" w:sz="0" w:space="0" w:color="auto"/>
          </w:divBdr>
          <w:divsChild>
            <w:div w:id="146938776">
              <w:marLeft w:val="0"/>
              <w:marRight w:val="0"/>
              <w:marTop w:val="0"/>
              <w:marBottom w:val="0"/>
              <w:divBdr>
                <w:top w:val="none" w:sz="0" w:space="0" w:color="auto"/>
                <w:left w:val="none" w:sz="0" w:space="0" w:color="auto"/>
                <w:bottom w:val="none" w:sz="0" w:space="0" w:color="auto"/>
                <w:right w:val="none" w:sz="0" w:space="0" w:color="auto"/>
              </w:divBdr>
            </w:div>
          </w:divsChild>
        </w:div>
        <w:div w:id="761101028">
          <w:marLeft w:val="0"/>
          <w:marRight w:val="0"/>
          <w:marTop w:val="0"/>
          <w:marBottom w:val="0"/>
          <w:divBdr>
            <w:top w:val="none" w:sz="0" w:space="0" w:color="auto"/>
            <w:left w:val="none" w:sz="0" w:space="0" w:color="auto"/>
            <w:bottom w:val="none" w:sz="0" w:space="0" w:color="auto"/>
            <w:right w:val="none" w:sz="0" w:space="0" w:color="auto"/>
          </w:divBdr>
          <w:divsChild>
            <w:div w:id="1487673794">
              <w:marLeft w:val="0"/>
              <w:marRight w:val="0"/>
              <w:marTop w:val="0"/>
              <w:marBottom w:val="0"/>
              <w:divBdr>
                <w:top w:val="none" w:sz="0" w:space="0" w:color="auto"/>
                <w:left w:val="none" w:sz="0" w:space="0" w:color="auto"/>
                <w:bottom w:val="none" w:sz="0" w:space="0" w:color="auto"/>
                <w:right w:val="none" w:sz="0" w:space="0" w:color="auto"/>
              </w:divBdr>
            </w:div>
          </w:divsChild>
        </w:div>
        <w:div w:id="797334158">
          <w:marLeft w:val="0"/>
          <w:marRight w:val="0"/>
          <w:marTop w:val="0"/>
          <w:marBottom w:val="0"/>
          <w:divBdr>
            <w:top w:val="none" w:sz="0" w:space="0" w:color="auto"/>
            <w:left w:val="none" w:sz="0" w:space="0" w:color="auto"/>
            <w:bottom w:val="none" w:sz="0" w:space="0" w:color="auto"/>
            <w:right w:val="none" w:sz="0" w:space="0" w:color="auto"/>
          </w:divBdr>
          <w:divsChild>
            <w:div w:id="1202665260">
              <w:marLeft w:val="0"/>
              <w:marRight w:val="0"/>
              <w:marTop w:val="0"/>
              <w:marBottom w:val="0"/>
              <w:divBdr>
                <w:top w:val="none" w:sz="0" w:space="0" w:color="auto"/>
                <w:left w:val="none" w:sz="0" w:space="0" w:color="auto"/>
                <w:bottom w:val="none" w:sz="0" w:space="0" w:color="auto"/>
                <w:right w:val="none" w:sz="0" w:space="0" w:color="auto"/>
              </w:divBdr>
            </w:div>
          </w:divsChild>
        </w:div>
        <w:div w:id="862743503">
          <w:marLeft w:val="0"/>
          <w:marRight w:val="0"/>
          <w:marTop w:val="0"/>
          <w:marBottom w:val="0"/>
          <w:divBdr>
            <w:top w:val="none" w:sz="0" w:space="0" w:color="auto"/>
            <w:left w:val="none" w:sz="0" w:space="0" w:color="auto"/>
            <w:bottom w:val="none" w:sz="0" w:space="0" w:color="auto"/>
            <w:right w:val="none" w:sz="0" w:space="0" w:color="auto"/>
          </w:divBdr>
          <w:divsChild>
            <w:div w:id="1967933219">
              <w:marLeft w:val="0"/>
              <w:marRight w:val="0"/>
              <w:marTop w:val="0"/>
              <w:marBottom w:val="0"/>
              <w:divBdr>
                <w:top w:val="none" w:sz="0" w:space="0" w:color="auto"/>
                <w:left w:val="none" w:sz="0" w:space="0" w:color="auto"/>
                <w:bottom w:val="none" w:sz="0" w:space="0" w:color="auto"/>
                <w:right w:val="none" w:sz="0" w:space="0" w:color="auto"/>
              </w:divBdr>
            </w:div>
          </w:divsChild>
        </w:div>
        <w:div w:id="939141403">
          <w:marLeft w:val="0"/>
          <w:marRight w:val="0"/>
          <w:marTop w:val="0"/>
          <w:marBottom w:val="0"/>
          <w:divBdr>
            <w:top w:val="none" w:sz="0" w:space="0" w:color="auto"/>
            <w:left w:val="none" w:sz="0" w:space="0" w:color="auto"/>
            <w:bottom w:val="none" w:sz="0" w:space="0" w:color="auto"/>
            <w:right w:val="none" w:sz="0" w:space="0" w:color="auto"/>
          </w:divBdr>
          <w:divsChild>
            <w:div w:id="1725526219">
              <w:marLeft w:val="0"/>
              <w:marRight w:val="0"/>
              <w:marTop w:val="0"/>
              <w:marBottom w:val="0"/>
              <w:divBdr>
                <w:top w:val="none" w:sz="0" w:space="0" w:color="auto"/>
                <w:left w:val="none" w:sz="0" w:space="0" w:color="auto"/>
                <w:bottom w:val="none" w:sz="0" w:space="0" w:color="auto"/>
                <w:right w:val="none" w:sz="0" w:space="0" w:color="auto"/>
              </w:divBdr>
            </w:div>
          </w:divsChild>
        </w:div>
        <w:div w:id="1015226653">
          <w:marLeft w:val="0"/>
          <w:marRight w:val="0"/>
          <w:marTop w:val="0"/>
          <w:marBottom w:val="0"/>
          <w:divBdr>
            <w:top w:val="none" w:sz="0" w:space="0" w:color="auto"/>
            <w:left w:val="none" w:sz="0" w:space="0" w:color="auto"/>
            <w:bottom w:val="none" w:sz="0" w:space="0" w:color="auto"/>
            <w:right w:val="none" w:sz="0" w:space="0" w:color="auto"/>
          </w:divBdr>
          <w:divsChild>
            <w:div w:id="700127449">
              <w:marLeft w:val="0"/>
              <w:marRight w:val="0"/>
              <w:marTop w:val="0"/>
              <w:marBottom w:val="0"/>
              <w:divBdr>
                <w:top w:val="none" w:sz="0" w:space="0" w:color="auto"/>
                <w:left w:val="none" w:sz="0" w:space="0" w:color="auto"/>
                <w:bottom w:val="none" w:sz="0" w:space="0" w:color="auto"/>
                <w:right w:val="none" w:sz="0" w:space="0" w:color="auto"/>
              </w:divBdr>
            </w:div>
          </w:divsChild>
        </w:div>
        <w:div w:id="1033921648">
          <w:marLeft w:val="0"/>
          <w:marRight w:val="0"/>
          <w:marTop w:val="0"/>
          <w:marBottom w:val="0"/>
          <w:divBdr>
            <w:top w:val="none" w:sz="0" w:space="0" w:color="auto"/>
            <w:left w:val="none" w:sz="0" w:space="0" w:color="auto"/>
            <w:bottom w:val="none" w:sz="0" w:space="0" w:color="auto"/>
            <w:right w:val="none" w:sz="0" w:space="0" w:color="auto"/>
          </w:divBdr>
          <w:divsChild>
            <w:div w:id="1331526556">
              <w:marLeft w:val="0"/>
              <w:marRight w:val="0"/>
              <w:marTop w:val="0"/>
              <w:marBottom w:val="0"/>
              <w:divBdr>
                <w:top w:val="none" w:sz="0" w:space="0" w:color="auto"/>
                <w:left w:val="none" w:sz="0" w:space="0" w:color="auto"/>
                <w:bottom w:val="none" w:sz="0" w:space="0" w:color="auto"/>
                <w:right w:val="none" w:sz="0" w:space="0" w:color="auto"/>
              </w:divBdr>
            </w:div>
          </w:divsChild>
        </w:div>
        <w:div w:id="1052849855">
          <w:marLeft w:val="0"/>
          <w:marRight w:val="0"/>
          <w:marTop w:val="0"/>
          <w:marBottom w:val="0"/>
          <w:divBdr>
            <w:top w:val="none" w:sz="0" w:space="0" w:color="auto"/>
            <w:left w:val="none" w:sz="0" w:space="0" w:color="auto"/>
            <w:bottom w:val="none" w:sz="0" w:space="0" w:color="auto"/>
            <w:right w:val="none" w:sz="0" w:space="0" w:color="auto"/>
          </w:divBdr>
          <w:divsChild>
            <w:div w:id="1785495069">
              <w:marLeft w:val="0"/>
              <w:marRight w:val="0"/>
              <w:marTop w:val="0"/>
              <w:marBottom w:val="0"/>
              <w:divBdr>
                <w:top w:val="none" w:sz="0" w:space="0" w:color="auto"/>
                <w:left w:val="none" w:sz="0" w:space="0" w:color="auto"/>
                <w:bottom w:val="none" w:sz="0" w:space="0" w:color="auto"/>
                <w:right w:val="none" w:sz="0" w:space="0" w:color="auto"/>
              </w:divBdr>
            </w:div>
          </w:divsChild>
        </w:div>
        <w:div w:id="1090737086">
          <w:marLeft w:val="0"/>
          <w:marRight w:val="0"/>
          <w:marTop w:val="0"/>
          <w:marBottom w:val="0"/>
          <w:divBdr>
            <w:top w:val="none" w:sz="0" w:space="0" w:color="auto"/>
            <w:left w:val="none" w:sz="0" w:space="0" w:color="auto"/>
            <w:bottom w:val="none" w:sz="0" w:space="0" w:color="auto"/>
            <w:right w:val="none" w:sz="0" w:space="0" w:color="auto"/>
          </w:divBdr>
          <w:divsChild>
            <w:div w:id="822308179">
              <w:marLeft w:val="0"/>
              <w:marRight w:val="0"/>
              <w:marTop w:val="0"/>
              <w:marBottom w:val="0"/>
              <w:divBdr>
                <w:top w:val="none" w:sz="0" w:space="0" w:color="auto"/>
                <w:left w:val="none" w:sz="0" w:space="0" w:color="auto"/>
                <w:bottom w:val="none" w:sz="0" w:space="0" w:color="auto"/>
                <w:right w:val="none" w:sz="0" w:space="0" w:color="auto"/>
              </w:divBdr>
            </w:div>
          </w:divsChild>
        </w:div>
        <w:div w:id="1091320158">
          <w:marLeft w:val="0"/>
          <w:marRight w:val="0"/>
          <w:marTop w:val="0"/>
          <w:marBottom w:val="0"/>
          <w:divBdr>
            <w:top w:val="none" w:sz="0" w:space="0" w:color="auto"/>
            <w:left w:val="none" w:sz="0" w:space="0" w:color="auto"/>
            <w:bottom w:val="none" w:sz="0" w:space="0" w:color="auto"/>
            <w:right w:val="none" w:sz="0" w:space="0" w:color="auto"/>
          </w:divBdr>
          <w:divsChild>
            <w:div w:id="1473712401">
              <w:marLeft w:val="0"/>
              <w:marRight w:val="0"/>
              <w:marTop w:val="0"/>
              <w:marBottom w:val="0"/>
              <w:divBdr>
                <w:top w:val="none" w:sz="0" w:space="0" w:color="auto"/>
                <w:left w:val="none" w:sz="0" w:space="0" w:color="auto"/>
                <w:bottom w:val="none" w:sz="0" w:space="0" w:color="auto"/>
                <w:right w:val="none" w:sz="0" w:space="0" w:color="auto"/>
              </w:divBdr>
            </w:div>
          </w:divsChild>
        </w:div>
        <w:div w:id="1092434026">
          <w:marLeft w:val="0"/>
          <w:marRight w:val="0"/>
          <w:marTop w:val="0"/>
          <w:marBottom w:val="0"/>
          <w:divBdr>
            <w:top w:val="none" w:sz="0" w:space="0" w:color="auto"/>
            <w:left w:val="none" w:sz="0" w:space="0" w:color="auto"/>
            <w:bottom w:val="none" w:sz="0" w:space="0" w:color="auto"/>
            <w:right w:val="none" w:sz="0" w:space="0" w:color="auto"/>
          </w:divBdr>
          <w:divsChild>
            <w:div w:id="777600700">
              <w:marLeft w:val="0"/>
              <w:marRight w:val="0"/>
              <w:marTop w:val="0"/>
              <w:marBottom w:val="0"/>
              <w:divBdr>
                <w:top w:val="none" w:sz="0" w:space="0" w:color="auto"/>
                <w:left w:val="none" w:sz="0" w:space="0" w:color="auto"/>
                <w:bottom w:val="none" w:sz="0" w:space="0" w:color="auto"/>
                <w:right w:val="none" w:sz="0" w:space="0" w:color="auto"/>
              </w:divBdr>
            </w:div>
          </w:divsChild>
        </w:div>
        <w:div w:id="1109423308">
          <w:marLeft w:val="0"/>
          <w:marRight w:val="0"/>
          <w:marTop w:val="0"/>
          <w:marBottom w:val="0"/>
          <w:divBdr>
            <w:top w:val="none" w:sz="0" w:space="0" w:color="auto"/>
            <w:left w:val="none" w:sz="0" w:space="0" w:color="auto"/>
            <w:bottom w:val="none" w:sz="0" w:space="0" w:color="auto"/>
            <w:right w:val="none" w:sz="0" w:space="0" w:color="auto"/>
          </w:divBdr>
          <w:divsChild>
            <w:div w:id="1445492452">
              <w:marLeft w:val="0"/>
              <w:marRight w:val="0"/>
              <w:marTop w:val="0"/>
              <w:marBottom w:val="0"/>
              <w:divBdr>
                <w:top w:val="none" w:sz="0" w:space="0" w:color="auto"/>
                <w:left w:val="none" w:sz="0" w:space="0" w:color="auto"/>
                <w:bottom w:val="none" w:sz="0" w:space="0" w:color="auto"/>
                <w:right w:val="none" w:sz="0" w:space="0" w:color="auto"/>
              </w:divBdr>
            </w:div>
          </w:divsChild>
        </w:div>
        <w:div w:id="1141070318">
          <w:marLeft w:val="0"/>
          <w:marRight w:val="0"/>
          <w:marTop w:val="0"/>
          <w:marBottom w:val="0"/>
          <w:divBdr>
            <w:top w:val="none" w:sz="0" w:space="0" w:color="auto"/>
            <w:left w:val="none" w:sz="0" w:space="0" w:color="auto"/>
            <w:bottom w:val="none" w:sz="0" w:space="0" w:color="auto"/>
            <w:right w:val="none" w:sz="0" w:space="0" w:color="auto"/>
          </w:divBdr>
          <w:divsChild>
            <w:div w:id="937903531">
              <w:marLeft w:val="0"/>
              <w:marRight w:val="0"/>
              <w:marTop w:val="0"/>
              <w:marBottom w:val="0"/>
              <w:divBdr>
                <w:top w:val="none" w:sz="0" w:space="0" w:color="auto"/>
                <w:left w:val="none" w:sz="0" w:space="0" w:color="auto"/>
                <w:bottom w:val="none" w:sz="0" w:space="0" w:color="auto"/>
                <w:right w:val="none" w:sz="0" w:space="0" w:color="auto"/>
              </w:divBdr>
            </w:div>
          </w:divsChild>
        </w:div>
        <w:div w:id="1146774369">
          <w:marLeft w:val="0"/>
          <w:marRight w:val="0"/>
          <w:marTop w:val="0"/>
          <w:marBottom w:val="0"/>
          <w:divBdr>
            <w:top w:val="none" w:sz="0" w:space="0" w:color="auto"/>
            <w:left w:val="none" w:sz="0" w:space="0" w:color="auto"/>
            <w:bottom w:val="none" w:sz="0" w:space="0" w:color="auto"/>
            <w:right w:val="none" w:sz="0" w:space="0" w:color="auto"/>
          </w:divBdr>
          <w:divsChild>
            <w:div w:id="1350447089">
              <w:marLeft w:val="0"/>
              <w:marRight w:val="0"/>
              <w:marTop w:val="0"/>
              <w:marBottom w:val="0"/>
              <w:divBdr>
                <w:top w:val="none" w:sz="0" w:space="0" w:color="auto"/>
                <w:left w:val="none" w:sz="0" w:space="0" w:color="auto"/>
                <w:bottom w:val="none" w:sz="0" w:space="0" w:color="auto"/>
                <w:right w:val="none" w:sz="0" w:space="0" w:color="auto"/>
              </w:divBdr>
            </w:div>
          </w:divsChild>
        </w:div>
        <w:div w:id="1166700812">
          <w:marLeft w:val="0"/>
          <w:marRight w:val="0"/>
          <w:marTop w:val="0"/>
          <w:marBottom w:val="0"/>
          <w:divBdr>
            <w:top w:val="none" w:sz="0" w:space="0" w:color="auto"/>
            <w:left w:val="none" w:sz="0" w:space="0" w:color="auto"/>
            <w:bottom w:val="none" w:sz="0" w:space="0" w:color="auto"/>
            <w:right w:val="none" w:sz="0" w:space="0" w:color="auto"/>
          </w:divBdr>
          <w:divsChild>
            <w:div w:id="603880185">
              <w:marLeft w:val="0"/>
              <w:marRight w:val="0"/>
              <w:marTop w:val="0"/>
              <w:marBottom w:val="0"/>
              <w:divBdr>
                <w:top w:val="none" w:sz="0" w:space="0" w:color="auto"/>
                <w:left w:val="none" w:sz="0" w:space="0" w:color="auto"/>
                <w:bottom w:val="none" w:sz="0" w:space="0" w:color="auto"/>
                <w:right w:val="none" w:sz="0" w:space="0" w:color="auto"/>
              </w:divBdr>
            </w:div>
          </w:divsChild>
        </w:div>
        <w:div w:id="1167405399">
          <w:marLeft w:val="0"/>
          <w:marRight w:val="0"/>
          <w:marTop w:val="0"/>
          <w:marBottom w:val="0"/>
          <w:divBdr>
            <w:top w:val="none" w:sz="0" w:space="0" w:color="auto"/>
            <w:left w:val="none" w:sz="0" w:space="0" w:color="auto"/>
            <w:bottom w:val="none" w:sz="0" w:space="0" w:color="auto"/>
            <w:right w:val="none" w:sz="0" w:space="0" w:color="auto"/>
          </w:divBdr>
          <w:divsChild>
            <w:div w:id="421685514">
              <w:marLeft w:val="0"/>
              <w:marRight w:val="0"/>
              <w:marTop w:val="0"/>
              <w:marBottom w:val="0"/>
              <w:divBdr>
                <w:top w:val="none" w:sz="0" w:space="0" w:color="auto"/>
                <w:left w:val="none" w:sz="0" w:space="0" w:color="auto"/>
                <w:bottom w:val="none" w:sz="0" w:space="0" w:color="auto"/>
                <w:right w:val="none" w:sz="0" w:space="0" w:color="auto"/>
              </w:divBdr>
            </w:div>
          </w:divsChild>
        </w:div>
        <w:div w:id="1330867919">
          <w:marLeft w:val="0"/>
          <w:marRight w:val="0"/>
          <w:marTop w:val="0"/>
          <w:marBottom w:val="0"/>
          <w:divBdr>
            <w:top w:val="none" w:sz="0" w:space="0" w:color="auto"/>
            <w:left w:val="none" w:sz="0" w:space="0" w:color="auto"/>
            <w:bottom w:val="none" w:sz="0" w:space="0" w:color="auto"/>
            <w:right w:val="none" w:sz="0" w:space="0" w:color="auto"/>
          </w:divBdr>
          <w:divsChild>
            <w:div w:id="1950504644">
              <w:marLeft w:val="0"/>
              <w:marRight w:val="0"/>
              <w:marTop w:val="0"/>
              <w:marBottom w:val="0"/>
              <w:divBdr>
                <w:top w:val="none" w:sz="0" w:space="0" w:color="auto"/>
                <w:left w:val="none" w:sz="0" w:space="0" w:color="auto"/>
                <w:bottom w:val="none" w:sz="0" w:space="0" w:color="auto"/>
                <w:right w:val="none" w:sz="0" w:space="0" w:color="auto"/>
              </w:divBdr>
            </w:div>
          </w:divsChild>
        </w:div>
        <w:div w:id="1372455217">
          <w:marLeft w:val="0"/>
          <w:marRight w:val="0"/>
          <w:marTop w:val="0"/>
          <w:marBottom w:val="0"/>
          <w:divBdr>
            <w:top w:val="none" w:sz="0" w:space="0" w:color="auto"/>
            <w:left w:val="none" w:sz="0" w:space="0" w:color="auto"/>
            <w:bottom w:val="none" w:sz="0" w:space="0" w:color="auto"/>
            <w:right w:val="none" w:sz="0" w:space="0" w:color="auto"/>
          </w:divBdr>
          <w:divsChild>
            <w:div w:id="559556900">
              <w:marLeft w:val="0"/>
              <w:marRight w:val="0"/>
              <w:marTop w:val="0"/>
              <w:marBottom w:val="0"/>
              <w:divBdr>
                <w:top w:val="none" w:sz="0" w:space="0" w:color="auto"/>
                <w:left w:val="none" w:sz="0" w:space="0" w:color="auto"/>
                <w:bottom w:val="none" w:sz="0" w:space="0" w:color="auto"/>
                <w:right w:val="none" w:sz="0" w:space="0" w:color="auto"/>
              </w:divBdr>
            </w:div>
          </w:divsChild>
        </w:div>
        <w:div w:id="1406302357">
          <w:marLeft w:val="0"/>
          <w:marRight w:val="0"/>
          <w:marTop w:val="0"/>
          <w:marBottom w:val="0"/>
          <w:divBdr>
            <w:top w:val="none" w:sz="0" w:space="0" w:color="auto"/>
            <w:left w:val="none" w:sz="0" w:space="0" w:color="auto"/>
            <w:bottom w:val="none" w:sz="0" w:space="0" w:color="auto"/>
            <w:right w:val="none" w:sz="0" w:space="0" w:color="auto"/>
          </w:divBdr>
          <w:divsChild>
            <w:div w:id="1531451689">
              <w:marLeft w:val="0"/>
              <w:marRight w:val="0"/>
              <w:marTop w:val="0"/>
              <w:marBottom w:val="0"/>
              <w:divBdr>
                <w:top w:val="none" w:sz="0" w:space="0" w:color="auto"/>
                <w:left w:val="none" w:sz="0" w:space="0" w:color="auto"/>
                <w:bottom w:val="none" w:sz="0" w:space="0" w:color="auto"/>
                <w:right w:val="none" w:sz="0" w:space="0" w:color="auto"/>
              </w:divBdr>
            </w:div>
          </w:divsChild>
        </w:div>
        <w:div w:id="1410466069">
          <w:marLeft w:val="0"/>
          <w:marRight w:val="0"/>
          <w:marTop w:val="0"/>
          <w:marBottom w:val="0"/>
          <w:divBdr>
            <w:top w:val="none" w:sz="0" w:space="0" w:color="auto"/>
            <w:left w:val="none" w:sz="0" w:space="0" w:color="auto"/>
            <w:bottom w:val="none" w:sz="0" w:space="0" w:color="auto"/>
            <w:right w:val="none" w:sz="0" w:space="0" w:color="auto"/>
          </w:divBdr>
          <w:divsChild>
            <w:div w:id="699087394">
              <w:marLeft w:val="0"/>
              <w:marRight w:val="0"/>
              <w:marTop w:val="0"/>
              <w:marBottom w:val="0"/>
              <w:divBdr>
                <w:top w:val="none" w:sz="0" w:space="0" w:color="auto"/>
                <w:left w:val="none" w:sz="0" w:space="0" w:color="auto"/>
                <w:bottom w:val="none" w:sz="0" w:space="0" w:color="auto"/>
                <w:right w:val="none" w:sz="0" w:space="0" w:color="auto"/>
              </w:divBdr>
            </w:div>
          </w:divsChild>
        </w:div>
        <w:div w:id="1417824754">
          <w:marLeft w:val="0"/>
          <w:marRight w:val="0"/>
          <w:marTop w:val="0"/>
          <w:marBottom w:val="0"/>
          <w:divBdr>
            <w:top w:val="none" w:sz="0" w:space="0" w:color="auto"/>
            <w:left w:val="none" w:sz="0" w:space="0" w:color="auto"/>
            <w:bottom w:val="none" w:sz="0" w:space="0" w:color="auto"/>
            <w:right w:val="none" w:sz="0" w:space="0" w:color="auto"/>
          </w:divBdr>
          <w:divsChild>
            <w:div w:id="1132595143">
              <w:marLeft w:val="0"/>
              <w:marRight w:val="0"/>
              <w:marTop w:val="0"/>
              <w:marBottom w:val="0"/>
              <w:divBdr>
                <w:top w:val="none" w:sz="0" w:space="0" w:color="auto"/>
                <w:left w:val="none" w:sz="0" w:space="0" w:color="auto"/>
                <w:bottom w:val="none" w:sz="0" w:space="0" w:color="auto"/>
                <w:right w:val="none" w:sz="0" w:space="0" w:color="auto"/>
              </w:divBdr>
            </w:div>
          </w:divsChild>
        </w:div>
        <w:div w:id="1550923798">
          <w:marLeft w:val="0"/>
          <w:marRight w:val="0"/>
          <w:marTop w:val="0"/>
          <w:marBottom w:val="0"/>
          <w:divBdr>
            <w:top w:val="none" w:sz="0" w:space="0" w:color="auto"/>
            <w:left w:val="none" w:sz="0" w:space="0" w:color="auto"/>
            <w:bottom w:val="none" w:sz="0" w:space="0" w:color="auto"/>
            <w:right w:val="none" w:sz="0" w:space="0" w:color="auto"/>
          </w:divBdr>
          <w:divsChild>
            <w:div w:id="159271603">
              <w:marLeft w:val="0"/>
              <w:marRight w:val="0"/>
              <w:marTop w:val="0"/>
              <w:marBottom w:val="0"/>
              <w:divBdr>
                <w:top w:val="none" w:sz="0" w:space="0" w:color="auto"/>
                <w:left w:val="none" w:sz="0" w:space="0" w:color="auto"/>
                <w:bottom w:val="none" w:sz="0" w:space="0" w:color="auto"/>
                <w:right w:val="none" w:sz="0" w:space="0" w:color="auto"/>
              </w:divBdr>
            </w:div>
          </w:divsChild>
        </w:div>
        <w:div w:id="1653211535">
          <w:marLeft w:val="0"/>
          <w:marRight w:val="0"/>
          <w:marTop w:val="0"/>
          <w:marBottom w:val="0"/>
          <w:divBdr>
            <w:top w:val="none" w:sz="0" w:space="0" w:color="auto"/>
            <w:left w:val="none" w:sz="0" w:space="0" w:color="auto"/>
            <w:bottom w:val="none" w:sz="0" w:space="0" w:color="auto"/>
            <w:right w:val="none" w:sz="0" w:space="0" w:color="auto"/>
          </w:divBdr>
          <w:divsChild>
            <w:div w:id="179634939">
              <w:marLeft w:val="0"/>
              <w:marRight w:val="0"/>
              <w:marTop w:val="0"/>
              <w:marBottom w:val="0"/>
              <w:divBdr>
                <w:top w:val="none" w:sz="0" w:space="0" w:color="auto"/>
                <w:left w:val="none" w:sz="0" w:space="0" w:color="auto"/>
                <w:bottom w:val="none" w:sz="0" w:space="0" w:color="auto"/>
                <w:right w:val="none" w:sz="0" w:space="0" w:color="auto"/>
              </w:divBdr>
            </w:div>
          </w:divsChild>
        </w:div>
        <w:div w:id="1806047628">
          <w:marLeft w:val="0"/>
          <w:marRight w:val="0"/>
          <w:marTop w:val="0"/>
          <w:marBottom w:val="0"/>
          <w:divBdr>
            <w:top w:val="none" w:sz="0" w:space="0" w:color="auto"/>
            <w:left w:val="none" w:sz="0" w:space="0" w:color="auto"/>
            <w:bottom w:val="none" w:sz="0" w:space="0" w:color="auto"/>
            <w:right w:val="none" w:sz="0" w:space="0" w:color="auto"/>
          </w:divBdr>
          <w:divsChild>
            <w:div w:id="2003389752">
              <w:marLeft w:val="0"/>
              <w:marRight w:val="0"/>
              <w:marTop w:val="0"/>
              <w:marBottom w:val="0"/>
              <w:divBdr>
                <w:top w:val="none" w:sz="0" w:space="0" w:color="auto"/>
                <w:left w:val="none" w:sz="0" w:space="0" w:color="auto"/>
                <w:bottom w:val="none" w:sz="0" w:space="0" w:color="auto"/>
                <w:right w:val="none" w:sz="0" w:space="0" w:color="auto"/>
              </w:divBdr>
            </w:div>
          </w:divsChild>
        </w:div>
        <w:div w:id="1824199609">
          <w:marLeft w:val="0"/>
          <w:marRight w:val="0"/>
          <w:marTop w:val="0"/>
          <w:marBottom w:val="0"/>
          <w:divBdr>
            <w:top w:val="none" w:sz="0" w:space="0" w:color="auto"/>
            <w:left w:val="none" w:sz="0" w:space="0" w:color="auto"/>
            <w:bottom w:val="none" w:sz="0" w:space="0" w:color="auto"/>
            <w:right w:val="none" w:sz="0" w:space="0" w:color="auto"/>
          </w:divBdr>
          <w:divsChild>
            <w:div w:id="664747819">
              <w:marLeft w:val="0"/>
              <w:marRight w:val="0"/>
              <w:marTop w:val="0"/>
              <w:marBottom w:val="0"/>
              <w:divBdr>
                <w:top w:val="none" w:sz="0" w:space="0" w:color="auto"/>
                <w:left w:val="none" w:sz="0" w:space="0" w:color="auto"/>
                <w:bottom w:val="none" w:sz="0" w:space="0" w:color="auto"/>
                <w:right w:val="none" w:sz="0" w:space="0" w:color="auto"/>
              </w:divBdr>
            </w:div>
          </w:divsChild>
        </w:div>
        <w:div w:id="1874272023">
          <w:marLeft w:val="0"/>
          <w:marRight w:val="0"/>
          <w:marTop w:val="0"/>
          <w:marBottom w:val="0"/>
          <w:divBdr>
            <w:top w:val="none" w:sz="0" w:space="0" w:color="auto"/>
            <w:left w:val="none" w:sz="0" w:space="0" w:color="auto"/>
            <w:bottom w:val="none" w:sz="0" w:space="0" w:color="auto"/>
            <w:right w:val="none" w:sz="0" w:space="0" w:color="auto"/>
          </w:divBdr>
          <w:divsChild>
            <w:div w:id="1059980284">
              <w:marLeft w:val="0"/>
              <w:marRight w:val="0"/>
              <w:marTop w:val="0"/>
              <w:marBottom w:val="0"/>
              <w:divBdr>
                <w:top w:val="none" w:sz="0" w:space="0" w:color="auto"/>
                <w:left w:val="none" w:sz="0" w:space="0" w:color="auto"/>
                <w:bottom w:val="none" w:sz="0" w:space="0" w:color="auto"/>
                <w:right w:val="none" w:sz="0" w:space="0" w:color="auto"/>
              </w:divBdr>
            </w:div>
          </w:divsChild>
        </w:div>
        <w:div w:id="1943686189">
          <w:marLeft w:val="0"/>
          <w:marRight w:val="0"/>
          <w:marTop w:val="0"/>
          <w:marBottom w:val="0"/>
          <w:divBdr>
            <w:top w:val="none" w:sz="0" w:space="0" w:color="auto"/>
            <w:left w:val="none" w:sz="0" w:space="0" w:color="auto"/>
            <w:bottom w:val="none" w:sz="0" w:space="0" w:color="auto"/>
            <w:right w:val="none" w:sz="0" w:space="0" w:color="auto"/>
          </w:divBdr>
          <w:divsChild>
            <w:div w:id="1727871136">
              <w:marLeft w:val="0"/>
              <w:marRight w:val="0"/>
              <w:marTop w:val="0"/>
              <w:marBottom w:val="0"/>
              <w:divBdr>
                <w:top w:val="none" w:sz="0" w:space="0" w:color="auto"/>
                <w:left w:val="none" w:sz="0" w:space="0" w:color="auto"/>
                <w:bottom w:val="none" w:sz="0" w:space="0" w:color="auto"/>
                <w:right w:val="none" w:sz="0" w:space="0" w:color="auto"/>
              </w:divBdr>
            </w:div>
          </w:divsChild>
        </w:div>
        <w:div w:id="1977954680">
          <w:marLeft w:val="0"/>
          <w:marRight w:val="0"/>
          <w:marTop w:val="0"/>
          <w:marBottom w:val="0"/>
          <w:divBdr>
            <w:top w:val="none" w:sz="0" w:space="0" w:color="auto"/>
            <w:left w:val="none" w:sz="0" w:space="0" w:color="auto"/>
            <w:bottom w:val="none" w:sz="0" w:space="0" w:color="auto"/>
            <w:right w:val="none" w:sz="0" w:space="0" w:color="auto"/>
          </w:divBdr>
          <w:divsChild>
            <w:div w:id="1343581028">
              <w:marLeft w:val="0"/>
              <w:marRight w:val="0"/>
              <w:marTop w:val="0"/>
              <w:marBottom w:val="0"/>
              <w:divBdr>
                <w:top w:val="none" w:sz="0" w:space="0" w:color="auto"/>
                <w:left w:val="none" w:sz="0" w:space="0" w:color="auto"/>
                <w:bottom w:val="none" w:sz="0" w:space="0" w:color="auto"/>
                <w:right w:val="none" w:sz="0" w:space="0" w:color="auto"/>
              </w:divBdr>
            </w:div>
          </w:divsChild>
        </w:div>
        <w:div w:id="2010717814">
          <w:marLeft w:val="0"/>
          <w:marRight w:val="0"/>
          <w:marTop w:val="0"/>
          <w:marBottom w:val="0"/>
          <w:divBdr>
            <w:top w:val="none" w:sz="0" w:space="0" w:color="auto"/>
            <w:left w:val="none" w:sz="0" w:space="0" w:color="auto"/>
            <w:bottom w:val="none" w:sz="0" w:space="0" w:color="auto"/>
            <w:right w:val="none" w:sz="0" w:space="0" w:color="auto"/>
          </w:divBdr>
          <w:divsChild>
            <w:div w:id="967515228">
              <w:marLeft w:val="0"/>
              <w:marRight w:val="0"/>
              <w:marTop w:val="0"/>
              <w:marBottom w:val="0"/>
              <w:divBdr>
                <w:top w:val="none" w:sz="0" w:space="0" w:color="auto"/>
                <w:left w:val="none" w:sz="0" w:space="0" w:color="auto"/>
                <w:bottom w:val="none" w:sz="0" w:space="0" w:color="auto"/>
                <w:right w:val="none" w:sz="0" w:space="0" w:color="auto"/>
              </w:divBdr>
            </w:div>
          </w:divsChild>
        </w:div>
        <w:div w:id="2021274299">
          <w:marLeft w:val="0"/>
          <w:marRight w:val="0"/>
          <w:marTop w:val="0"/>
          <w:marBottom w:val="0"/>
          <w:divBdr>
            <w:top w:val="none" w:sz="0" w:space="0" w:color="auto"/>
            <w:left w:val="none" w:sz="0" w:space="0" w:color="auto"/>
            <w:bottom w:val="none" w:sz="0" w:space="0" w:color="auto"/>
            <w:right w:val="none" w:sz="0" w:space="0" w:color="auto"/>
          </w:divBdr>
          <w:divsChild>
            <w:div w:id="1943564819">
              <w:marLeft w:val="0"/>
              <w:marRight w:val="0"/>
              <w:marTop w:val="0"/>
              <w:marBottom w:val="0"/>
              <w:divBdr>
                <w:top w:val="none" w:sz="0" w:space="0" w:color="auto"/>
                <w:left w:val="none" w:sz="0" w:space="0" w:color="auto"/>
                <w:bottom w:val="none" w:sz="0" w:space="0" w:color="auto"/>
                <w:right w:val="none" w:sz="0" w:space="0" w:color="auto"/>
              </w:divBdr>
            </w:div>
          </w:divsChild>
        </w:div>
        <w:div w:id="2027976408">
          <w:marLeft w:val="0"/>
          <w:marRight w:val="0"/>
          <w:marTop w:val="0"/>
          <w:marBottom w:val="0"/>
          <w:divBdr>
            <w:top w:val="none" w:sz="0" w:space="0" w:color="auto"/>
            <w:left w:val="none" w:sz="0" w:space="0" w:color="auto"/>
            <w:bottom w:val="none" w:sz="0" w:space="0" w:color="auto"/>
            <w:right w:val="none" w:sz="0" w:space="0" w:color="auto"/>
          </w:divBdr>
          <w:divsChild>
            <w:div w:id="1096948941">
              <w:marLeft w:val="0"/>
              <w:marRight w:val="0"/>
              <w:marTop w:val="0"/>
              <w:marBottom w:val="0"/>
              <w:divBdr>
                <w:top w:val="none" w:sz="0" w:space="0" w:color="auto"/>
                <w:left w:val="none" w:sz="0" w:space="0" w:color="auto"/>
                <w:bottom w:val="none" w:sz="0" w:space="0" w:color="auto"/>
                <w:right w:val="none" w:sz="0" w:space="0" w:color="auto"/>
              </w:divBdr>
            </w:div>
          </w:divsChild>
        </w:div>
        <w:div w:id="2070035524">
          <w:marLeft w:val="0"/>
          <w:marRight w:val="0"/>
          <w:marTop w:val="0"/>
          <w:marBottom w:val="0"/>
          <w:divBdr>
            <w:top w:val="none" w:sz="0" w:space="0" w:color="auto"/>
            <w:left w:val="none" w:sz="0" w:space="0" w:color="auto"/>
            <w:bottom w:val="none" w:sz="0" w:space="0" w:color="auto"/>
            <w:right w:val="none" w:sz="0" w:space="0" w:color="auto"/>
          </w:divBdr>
          <w:divsChild>
            <w:div w:id="871652328">
              <w:marLeft w:val="0"/>
              <w:marRight w:val="0"/>
              <w:marTop w:val="0"/>
              <w:marBottom w:val="0"/>
              <w:divBdr>
                <w:top w:val="none" w:sz="0" w:space="0" w:color="auto"/>
                <w:left w:val="none" w:sz="0" w:space="0" w:color="auto"/>
                <w:bottom w:val="none" w:sz="0" w:space="0" w:color="auto"/>
                <w:right w:val="none" w:sz="0" w:space="0" w:color="auto"/>
              </w:divBdr>
            </w:div>
          </w:divsChild>
        </w:div>
        <w:div w:id="2104033484">
          <w:marLeft w:val="0"/>
          <w:marRight w:val="0"/>
          <w:marTop w:val="0"/>
          <w:marBottom w:val="0"/>
          <w:divBdr>
            <w:top w:val="none" w:sz="0" w:space="0" w:color="auto"/>
            <w:left w:val="none" w:sz="0" w:space="0" w:color="auto"/>
            <w:bottom w:val="none" w:sz="0" w:space="0" w:color="auto"/>
            <w:right w:val="none" w:sz="0" w:space="0" w:color="auto"/>
          </w:divBdr>
          <w:divsChild>
            <w:div w:id="1277905208">
              <w:marLeft w:val="0"/>
              <w:marRight w:val="0"/>
              <w:marTop w:val="0"/>
              <w:marBottom w:val="0"/>
              <w:divBdr>
                <w:top w:val="none" w:sz="0" w:space="0" w:color="auto"/>
                <w:left w:val="none" w:sz="0" w:space="0" w:color="auto"/>
                <w:bottom w:val="none" w:sz="0" w:space="0" w:color="auto"/>
                <w:right w:val="none" w:sz="0" w:space="0" w:color="auto"/>
              </w:divBdr>
            </w:div>
          </w:divsChild>
        </w:div>
        <w:div w:id="2126843056">
          <w:marLeft w:val="0"/>
          <w:marRight w:val="0"/>
          <w:marTop w:val="0"/>
          <w:marBottom w:val="0"/>
          <w:divBdr>
            <w:top w:val="none" w:sz="0" w:space="0" w:color="auto"/>
            <w:left w:val="none" w:sz="0" w:space="0" w:color="auto"/>
            <w:bottom w:val="none" w:sz="0" w:space="0" w:color="auto"/>
            <w:right w:val="none" w:sz="0" w:space="0" w:color="auto"/>
          </w:divBdr>
          <w:divsChild>
            <w:div w:id="1467042981">
              <w:marLeft w:val="0"/>
              <w:marRight w:val="0"/>
              <w:marTop w:val="0"/>
              <w:marBottom w:val="0"/>
              <w:divBdr>
                <w:top w:val="none" w:sz="0" w:space="0" w:color="auto"/>
                <w:left w:val="none" w:sz="0" w:space="0" w:color="auto"/>
                <w:bottom w:val="none" w:sz="0" w:space="0" w:color="auto"/>
                <w:right w:val="none" w:sz="0" w:space="0" w:color="auto"/>
              </w:divBdr>
            </w:div>
          </w:divsChild>
        </w:div>
        <w:div w:id="2133552337">
          <w:marLeft w:val="0"/>
          <w:marRight w:val="0"/>
          <w:marTop w:val="0"/>
          <w:marBottom w:val="0"/>
          <w:divBdr>
            <w:top w:val="none" w:sz="0" w:space="0" w:color="auto"/>
            <w:left w:val="none" w:sz="0" w:space="0" w:color="auto"/>
            <w:bottom w:val="none" w:sz="0" w:space="0" w:color="auto"/>
            <w:right w:val="none" w:sz="0" w:space="0" w:color="auto"/>
          </w:divBdr>
          <w:divsChild>
            <w:div w:id="806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663641">
      <w:bodyDiv w:val="1"/>
      <w:marLeft w:val="0"/>
      <w:marRight w:val="0"/>
      <w:marTop w:val="0"/>
      <w:marBottom w:val="0"/>
      <w:divBdr>
        <w:top w:val="none" w:sz="0" w:space="0" w:color="auto"/>
        <w:left w:val="none" w:sz="0" w:space="0" w:color="auto"/>
        <w:bottom w:val="none" w:sz="0" w:space="0" w:color="auto"/>
        <w:right w:val="none" w:sz="0" w:space="0" w:color="auto"/>
      </w:divBdr>
      <w:divsChild>
        <w:div w:id="163863955">
          <w:marLeft w:val="0"/>
          <w:marRight w:val="0"/>
          <w:marTop w:val="0"/>
          <w:marBottom w:val="0"/>
          <w:divBdr>
            <w:top w:val="none" w:sz="0" w:space="0" w:color="auto"/>
            <w:left w:val="none" w:sz="0" w:space="0" w:color="auto"/>
            <w:bottom w:val="none" w:sz="0" w:space="0" w:color="auto"/>
            <w:right w:val="none" w:sz="0" w:space="0" w:color="auto"/>
          </w:divBdr>
        </w:div>
        <w:div w:id="815683166">
          <w:marLeft w:val="0"/>
          <w:marRight w:val="0"/>
          <w:marTop w:val="0"/>
          <w:marBottom w:val="0"/>
          <w:divBdr>
            <w:top w:val="none" w:sz="0" w:space="0" w:color="auto"/>
            <w:left w:val="none" w:sz="0" w:space="0" w:color="auto"/>
            <w:bottom w:val="none" w:sz="0" w:space="0" w:color="auto"/>
            <w:right w:val="none" w:sz="0" w:space="0" w:color="auto"/>
          </w:divBdr>
          <w:divsChild>
            <w:div w:id="1197815996">
              <w:marLeft w:val="0"/>
              <w:marRight w:val="0"/>
              <w:marTop w:val="0"/>
              <w:marBottom w:val="0"/>
              <w:divBdr>
                <w:top w:val="none" w:sz="0" w:space="0" w:color="auto"/>
                <w:left w:val="none" w:sz="0" w:space="0" w:color="auto"/>
                <w:bottom w:val="none" w:sz="0" w:space="0" w:color="auto"/>
                <w:right w:val="none" w:sz="0" w:space="0" w:color="auto"/>
              </w:divBdr>
            </w:div>
            <w:div w:id="1898275548">
              <w:marLeft w:val="0"/>
              <w:marRight w:val="0"/>
              <w:marTop w:val="0"/>
              <w:marBottom w:val="0"/>
              <w:divBdr>
                <w:top w:val="none" w:sz="0" w:space="0" w:color="auto"/>
                <w:left w:val="none" w:sz="0" w:space="0" w:color="auto"/>
                <w:bottom w:val="none" w:sz="0" w:space="0" w:color="auto"/>
                <w:right w:val="none" w:sz="0" w:space="0" w:color="auto"/>
              </w:divBdr>
            </w:div>
          </w:divsChild>
        </w:div>
        <w:div w:id="1041713526">
          <w:marLeft w:val="0"/>
          <w:marRight w:val="0"/>
          <w:marTop w:val="0"/>
          <w:marBottom w:val="0"/>
          <w:divBdr>
            <w:top w:val="none" w:sz="0" w:space="0" w:color="auto"/>
            <w:left w:val="none" w:sz="0" w:space="0" w:color="auto"/>
            <w:bottom w:val="none" w:sz="0" w:space="0" w:color="auto"/>
            <w:right w:val="none" w:sz="0" w:space="0" w:color="auto"/>
          </w:divBdr>
          <w:divsChild>
            <w:div w:id="1950771219">
              <w:marLeft w:val="0"/>
              <w:marRight w:val="0"/>
              <w:marTop w:val="0"/>
              <w:marBottom w:val="0"/>
              <w:divBdr>
                <w:top w:val="none" w:sz="0" w:space="0" w:color="auto"/>
                <w:left w:val="none" w:sz="0" w:space="0" w:color="auto"/>
                <w:bottom w:val="none" w:sz="0" w:space="0" w:color="auto"/>
                <w:right w:val="none" w:sz="0" w:space="0" w:color="auto"/>
              </w:divBdr>
            </w:div>
          </w:divsChild>
        </w:div>
        <w:div w:id="1626305183">
          <w:marLeft w:val="0"/>
          <w:marRight w:val="0"/>
          <w:marTop w:val="0"/>
          <w:marBottom w:val="0"/>
          <w:divBdr>
            <w:top w:val="none" w:sz="0" w:space="0" w:color="auto"/>
            <w:left w:val="none" w:sz="0" w:space="0" w:color="auto"/>
            <w:bottom w:val="none" w:sz="0" w:space="0" w:color="auto"/>
            <w:right w:val="none" w:sz="0" w:space="0" w:color="auto"/>
          </w:divBdr>
          <w:divsChild>
            <w:div w:id="1781876900">
              <w:marLeft w:val="0"/>
              <w:marRight w:val="0"/>
              <w:marTop w:val="0"/>
              <w:marBottom w:val="0"/>
              <w:divBdr>
                <w:top w:val="none" w:sz="0" w:space="0" w:color="auto"/>
                <w:left w:val="none" w:sz="0" w:space="0" w:color="auto"/>
                <w:bottom w:val="none" w:sz="0" w:space="0" w:color="auto"/>
                <w:right w:val="none" w:sz="0" w:space="0" w:color="auto"/>
              </w:divBdr>
            </w:div>
          </w:divsChild>
        </w:div>
        <w:div w:id="1685283402">
          <w:marLeft w:val="0"/>
          <w:marRight w:val="0"/>
          <w:marTop w:val="0"/>
          <w:marBottom w:val="0"/>
          <w:divBdr>
            <w:top w:val="none" w:sz="0" w:space="0" w:color="auto"/>
            <w:left w:val="none" w:sz="0" w:space="0" w:color="auto"/>
            <w:bottom w:val="none" w:sz="0" w:space="0" w:color="auto"/>
            <w:right w:val="none" w:sz="0" w:space="0" w:color="auto"/>
          </w:divBdr>
        </w:div>
        <w:div w:id="1712419781">
          <w:marLeft w:val="0"/>
          <w:marRight w:val="0"/>
          <w:marTop w:val="0"/>
          <w:marBottom w:val="0"/>
          <w:divBdr>
            <w:top w:val="none" w:sz="0" w:space="0" w:color="auto"/>
            <w:left w:val="none" w:sz="0" w:space="0" w:color="auto"/>
            <w:bottom w:val="none" w:sz="0" w:space="0" w:color="auto"/>
            <w:right w:val="none" w:sz="0" w:space="0" w:color="auto"/>
          </w:divBdr>
        </w:div>
      </w:divsChild>
    </w:div>
    <w:div w:id="2140949542">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85.xml"/><Relationship Id="rId21" Type="http://schemas.openxmlformats.org/officeDocument/2006/relationships/header" Target="header5.xml"/><Relationship Id="rId42" Type="http://schemas.openxmlformats.org/officeDocument/2006/relationships/chart" Target="charts/chart18.xml"/><Relationship Id="rId63" Type="http://schemas.openxmlformats.org/officeDocument/2006/relationships/chart" Target="charts/chart38.xml"/><Relationship Id="rId84" Type="http://schemas.openxmlformats.org/officeDocument/2006/relationships/chart" Target="charts/chart58.xml"/><Relationship Id="rId138" Type="http://schemas.openxmlformats.org/officeDocument/2006/relationships/chart" Target="charts/chart103.xml"/><Relationship Id="rId159" Type="http://schemas.openxmlformats.org/officeDocument/2006/relationships/image" Target="media/image14.jpeg"/><Relationship Id="rId170" Type="http://schemas.openxmlformats.org/officeDocument/2006/relationships/hyperlink" Target="https://www.wody.gov.pl" TargetMode="External"/><Relationship Id="rId107" Type="http://schemas.openxmlformats.org/officeDocument/2006/relationships/chart" Target="charts/chart75.xml"/><Relationship Id="rId11" Type="http://schemas.openxmlformats.org/officeDocument/2006/relationships/endnotes" Target="endnotes.xml"/><Relationship Id="rId32" Type="http://schemas.openxmlformats.org/officeDocument/2006/relationships/chart" Target="charts/chart9.xml"/><Relationship Id="rId53" Type="http://schemas.openxmlformats.org/officeDocument/2006/relationships/chart" Target="charts/chart29.xml"/><Relationship Id="rId74" Type="http://schemas.openxmlformats.org/officeDocument/2006/relationships/chart" Target="charts/chart48.xml"/><Relationship Id="rId128" Type="http://schemas.openxmlformats.org/officeDocument/2006/relationships/chart" Target="charts/chart96.xml"/><Relationship Id="rId149" Type="http://schemas.openxmlformats.org/officeDocument/2006/relationships/chart" Target="charts/chart114.xml"/><Relationship Id="rId5" Type="http://schemas.openxmlformats.org/officeDocument/2006/relationships/customXml" Target="../customXml/item5.xml"/><Relationship Id="rId95" Type="http://schemas.openxmlformats.org/officeDocument/2006/relationships/image" Target="media/image8.png"/><Relationship Id="rId160" Type="http://schemas.openxmlformats.org/officeDocument/2006/relationships/hyperlink" Target="http://www.apgw.gov.pl" TargetMode="External"/><Relationship Id="rId22" Type="http://schemas.openxmlformats.org/officeDocument/2006/relationships/header" Target="header6.xml"/><Relationship Id="rId43" Type="http://schemas.openxmlformats.org/officeDocument/2006/relationships/chart" Target="charts/chart19.xml"/><Relationship Id="rId64" Type="http://schemas.openxmlformats.org/officeDocument/2006/relationships/chart" Target="charts/chart39.xml"/><Relationship Id="rId118" Type="http://schemas.openxmlformats.org/officeDocument/2006/relationships/chart" Target="charts/chart86.xml"/><Relationship Id="rId139" Type="http://schemas.openxmlformats.org/officeDocument/2006/relationships/chart" Target="charts/chart104.xml"/><Relationship Id="rId85" Type="http://schemas.openxmlformats.org/officeDocument/2006/relationships/chart" Target="charts/chart59.xml"/><Relationship Id="rId150" Type="http://schemas.openxmlformats.org/officeDocument/2006/relationships/chart" Target="charts/chart115.xml"/><Relationship Id="rId171" Type="http://schemas.openxmlformats.org/officeDocument/2006/relationships/hyperlink" Target="https://www.ums.gov.pl/plany-morskie/9-informacje/147-projekty-planow-zagospodarowania-przestrzennego-polskich-obszarow-morskich-morskich-wod-wewnetrznych-dla-zalewu-szczecinskiego-i-zalewu-kamienskiego-projekt-powr-02-19-00-00-pm01-16" TargetMode="External"/><Relationship Id="rId12" Type="http://schemas.openxmlformats.org/officeDocument/2006/relationships/header" Target="header1.xml"/><Relationship Id="rId33" Type="http://schemas.openxmlformats.org/officeDocument/2006/relationships/chart" Target="charts/chart10.xml"/><Relationship Id="rId108" Type="http://schemas.openxmlformats.org/officeDocument/2006/relationships/chart" Target="charts/chart76.xml"/><Relationship Id="rId129" Type="http://schemas.openxmlformats.org/officeDocument/2006/relationships/chart" Target="charts/chart97.xml"/><Relationship Id="rId54" Type="http://schemas.openxmlformats.org/officeDocument/2006/relationships/chart" Target="charts/chart30.xml"/><Relationship Id="rId75" Type="http://schemas.openxmlformats.org/officeDocument/2006/relationships/chart" Target="charts/chart49.xml"/><Relationship Id="rId96" Type="http://schemas.openxmlformats.org/officeDocument/2006/relationships/chart" Target="charts/chart68.xml"/><Relationship Id="rId140" Type="http://schemas.openxmlformats.org/officeDocument/2006/relationships/chart" Target="charts/chart105.xml"/><Relationship Id="rId161" Type="http://schemas.openxmlformats.org/officeDocument/2006/relationships/hyperlink" Target="http://www.gov.pl/web/infrastruktura"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eader" Target="header7.xml"/><Relationship Id="rId28" Type="http://schemas.openxmlformats.org/officeDocument/2006/relationships/chart" Target="charts/chart5.xml"/><Relationship Id="rId49" Type="http://schemas.openxmlformats.org/officeDocument/2006/relationships/chart" Target="charts/chart25.xml"/><Relationship Id="rId114" Type="http://schemas.openxmlformats.org/officeDocument/2006/relationships/chart" Target="charts/chart82.xml"/><Relationship Id="rId119" Type="http://schemas.openxmlformats.org/officeDocument/2006/relationships/chart" Target="charts/chart87.xml"/><Relationship Id="rId44" Type="http://schemas.openxmlformats.org/officeDocument/2006/relationships/chart" Target="charts/chart20.xml"/><Relationship Id="rId60" Type="http://schemas.openxmlformats.org/officeDocument/2006/relationships/image" Target="media/image6.png"/><Relationship Id="rId65" Type="http://schemas.openxmlformats.org/officeDocument/2006/relationships/chart" Target="charts/chart40.xml"/><Relationship Id="rId81" Type="http://schemas.openxmlformats.org/officeDocument/2006/relationships/chart" Target="charts/chart55.xml"/><Relationship Id="rId86" Type="http://schemas.openxmlformats.org/officeDocument/2006/relationships/chart" Target="charts/chart60.xml"/><Relationship Id="rId130" Type="http://schemas.openxmlformats.org/officeDocument/2006/relationships/chart" Target="charts/chart98.xml"/><Relationship Id="rId135" Type="http://schemas.openxmlformats.org/officeDocument/2006/relationships/chart" Target="charts/chart100.xml"/><Relationship Id="rId151" Type="http://schemas.openxmlformats.org/officeDocument/2006/relationships/chart" Target="charts/chart116.xml"/><Relationship Id="rId156" Type="http://schemas.openxmlformats.org/officeDocument/2006/relationships/header" Target="header12.xml"/><Relationship Id="rId172"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image" Target="media/image2.png"/><Relationship Id="rId39" Type="http://schemas.openxmlformats.org/officeDocument/2006/relationships/chart" Target="charts/chart15.xml"/><Relationship Id="rId109" Type="http://schemas.openxmlformats.org/officeDocument/2006/relationships/chart" Target="charts/chart77.xml"/><Relationship Id="rId34" Type="http://schemas.openxmlformats.org/officeDocument/2006/relationships/chart" Target="charts/chart11.xml"/><Relationship Id="rId50" Type="http://schemas.openxmlformats.org/officeDocument/2006/relationships/chart" Target="charts/chart26.xml"/><Relationship Id="rId55" Type="http://schemas.openxmlformats.org/officeDocument/2006/relationships/chart" Target="charts/chart31.xml"/><Relationship Id="rId76" Type="http://schemas.openxmlformats.org/officeDocument/2006/relationships/chart" Target="charts/chart50.xml"/><Relationship Id="rId97" Type="http://schemas.openxmlformats.org/officeDocument/2006/relationships/image" Target="media/image9.png"/><Relationship Id="rId104" Type="http://schemas.openxmlformats.org/officeDocument/2006/relationships/chart" Target="charts/chart72.xml"/><Relationship Id="rId120" Type="http://schemas.openxmlformats.org/officeDocument/2006/relationships/chart" Target="charts/chart88.xml"/><Relationship Id="rId125" Type="http://schemas.openxmlformats.org/officeDocument/2006/relationships/chart" Target="charts/chart93.xml"/><Relationship Id="rId141" Type="http://schemas.openxmlformats.org/officeDocument/2006/relationships/chart" Target="charts/chart106.xml"/><Relationship Id="rId146" Type="http://schemas.openxmlformats.org/officeDocument/2006/relationships/chart" Target="charts/chart111.xml"/><Relationship Id="rId167" Type="http://schemas.openxmlformats.org/officeDocument/2006/relationships/header" Target="header14.xml"/><Relationship Id="rId7" Type="http://schemas.openxmlformats.org/officeDocument/2006/relationships/styles" Target="styles.xml"/><Relationship Id="rId71" Type="http://schemas.openxmlformats.org/officeDocument/2006/relationships/chart" Target="charts/chart46.xml"/><Relationship Id="rId92" Type="http://schemas.openxmlformats.org/officeDocument/2006/relationships/chart" Target="charts/chart65.xml"/><Relationship Id="rId162" Type="http://schemas.openxmlformats.org/officeDocument/2006/relationships/hyperlink" Target="http://isap.sejm.gov.pl/isap.nsf/DocDetails.xsp?id=WDU20200001220" TargetMode="External"/><Relationship Id="rId2" Type="http://schemas.openxmlformats.org/officeDocument/2006/relationships/customXml" Target="../customXml/item2.xml"/><Relationship Id="rId29" Type="http://schemas.openxmlformats.org/officeDocument/2006/relationships/chart" Target="charts/chart6.xml"/><Relationship Id="rId24" Type="http://schemas.openxmlformats.org/officeDocument/2006/relationships/chart" Target="charts/chart1.xml"/><Relationship Id="rId40" Type="http://schemas.openxmlformats.org/officeDocument/2006/relationships/chart" Target="charts/chart16.xml"/><Relationship Id="rId45" Type="http://schemas.openxmlformats.org/officeDocument/2006/relationships/chart" Target="charts/chart21.xml"/><Relationship Id="rId66" Type="http://schemas.openxmlformats.org/officeDocument/2006/relationships/chart" Target="charts/chart41.xml"/><Relationship Id="rId87" Type="http://schemas.openxmlformats.org/officeDocument/2006/relationships/chart" Target="charts/chart61.xml"/><Relationship Id="rId110" Type="http://schemas.openxmlformats.org/officeDocument/2006/relationships/chart" Target="charts/chart78.xml"/><Relationship Id="rId115" Type="http://schemas.openxmlformats.org/officeDocument/2006/relationships/chart" Target="charts/chart83.xml"/><Relationship Id="rId131" Type="http://schemas.openxmlformats.org/officeDocument/2006/relationships/header" Target="header8.xml"/><Relationship Id="rId136" Type="http://schemas.openxmlformats.org/officeDocument/2006/relationships/chart" Target="charts/chart101.xml"/><Relationship Id="rId157" Type="http://schemas.openxmlformats.org/officeDocument/2006/relationships/header" Target="header13.xml"/><Relationship Id="rId61" Type="http://schemas.openxmlformats.org/officeDocument/2006/relationships/chart" Target="charts/chart36.xml"/><Relationship Id="rId82" Type="http://schemas.openxmlformats.org/officeDocument/2006/relationships/chart" Target="charts/chart56.xml"/><Relationship Id="rId152" Type="http://schemas.openxmlformats.org/officeDocument/2006/relationships/chart" Target="charts/chart117.xml"/><Relationship Id="rId173" Type="http://schemas.openxmlformats.org/officeDocument/2006/relationships/theme" Target="theme/theme1.xml"/><Relationship Id="rId19" Type="http://schemas.openxmlformats.org/officeDocument/2006/relationships/image" Target="media/image3.png"/><Relationship Id="rId14" Type="http://schemas.openxmlformats.org/officeDocument/2006/relationships/footer" Target="footer2.xml"/><Relationship Id="rId30" Type="http://schemas.openxmlformats.org/officeDocument/2006/relationships/chart" Target="charts/chart7.xml"/><Relationship Id="rId35" Type="http://schemas.openxmlformats.org/officeDocument/2006/relationships/chart" Target="charts/chart12.xml"/><Relationship Id="rId56" Type="http://schemas.openxmlformats.org/officeDocument/2006/relationships/chart" Target="charts/chart32.xml"/><Relationship Id="rId77" Type="http://schemas.openxmlformats.org/officeDocument/2006/relationships/chart" Target="charts/chart51.xml"/><Relationship Id="rId100" Type="http://schemas.openxmlformats.org/officeDocument/2006/relationships/image" Target="media/image12.png"/><Relationship Id="rId105" Type="http://schemas.openxmlformats.org/officeDocument/2006/relationships/chart" Target="charts/chart73.xml"/><Relationship Id="rId126" Type="http://schemas.openxmlformats.org/officeDocument/2006/relationships/chart" Target="charts/chart94.xml"/><Relationship Id="rId147" Type="http://schemas.openxmlformats.org/officeDocument/2006/relationships/chart" Target="charts/chart112.xml"/><Relationship Id="rId168" Type="http://schemas.openxmlformats.org/officeDocument/2006/relationships/header" Target="header15.xml"/><Relationship Id="rId8" Type="http://schemas.openxmlformats.org/officeDocument/2006/relationships/settings" Target="settings.xml"/><Relationship Id="rId51" Type="http://schemas.openxmlformats.org/officeDocument/2006/relationships/chart" Target="charts/chart27.xml"/><Relationship Id="rId72" Type="http://schemas.openxmlformats.org/officeDocument/2006/relationships/chart" Target="charts/chart47.xml"/><Relationship Id="rId93" Type="http://schemas.openxmlformats.org/officeDocument/2006/relationships/chart" Target="charts/chart66.xml"/><Relationship Id="rId98" Type="http://schemas.openxmlformats.org/officeDocument/2006/relationships/image" Target="media/image10.png"/><Relationship Id="rId121" Type="http://schemas.openxmlformats.org/officeDocument/2006/relationships/chart" Target="charts/chart89.xml"/><Relationship Id="rId142" Type="http://schemas.openxmlformats.org/officeDocument/2006/relationships/chart" Target="charts/chart107.xml"/><Relationship Id="rId163" Type="http://schemas.openxmlformats.org/officeDocument/2006/relationships/hyperlink" Target="https://www.gov.pl/web/infrastruktura" TargetMode="External"/><Relationship Id="rId3" Type="http://schemas.openxmlformats.org/officeDocument/2006/relationships/customXml" Target="../customXml/item3.xml"/><Relationship Id="rId25" Type="http://schemas.openxmlformats.org/officeDocument/2006/relationships/chart" Target="charts/chart2.xml"/><Relationship Id="rId46" Type="http://schemas.openxmlformats.org/officeDocument/2006/relationships/chart" Target="charts/chart22.xml"/><Relationship Id="rId67" Type="http://schemas.openxmlformats.org/officeDocument/2006/relationships/chart" Target="charts/chart42.xml"/><Relationship Id="rId116" Type="http://schemas.openxmlformats.org/officeDocument/2006/relationships/chart" Target="charts/chart84.xml"/><Relationship Id="rId137" Type="http://schemas.openxmlformats.org/officeDocument/2006/relationships/chart" Target="charts/chart102.xml"/><Relationship Id="rId158" Type="http://schemas.openxmlformats.org/officeDocument/2006/relationships/image" Target="media/image13.png"/><Relationship Id="rId20" Type="http://schemas.openxmlformats.org/officeDocument/2006/relationships/image" Target="media/image4.png"/><Relationship Id="rId41" Type="http://schemas.openxmlformats.org/officeDocument/2006/relationships/chart" Target="charts/chart17.xml"/><Relationship Id="rId62" Type="http://schemas.openxmlformats.org/officeDocument/2006/relationships/chart" Target="charts/chart37.xml"/><Relationship Id="rId83" Type="http://schemas.openxmlformats.org/officeDocument/2006/relationships/chart" Target="charts/chart57.xml"/><Relationship Id="rId88" Type="http://schemas.openxmlformats.org/officeDocument/2006/relationships/chart" Target="charts/chart62.xml"/><Relationship Id="rId111" Type="http://schemas.openxmlformats.org/officeDocument/2006/relationships/chart" Target="charts/chart79.xml"/><Relationship Id="rId132" Type="http://schemas.openxmlformats.org/officeDocument/2006/relationships/header" Target="header9.xml"/><Relationship Id="rId153" Type="http://schemas.openxmlformats.org/officeDocument/2006/relationships/hyperlink" Target="https://isap.sejm.gov.pl/isap.nsf/DocDetails.xsp?id=WDU20070860579" TargetMode="External"/><Relationship Id="rId15" Type="http://schemas.openxmlformats.org/officeDocument/2006/relationships/header" Target="header2.xml"/><Relationship Id="rId36" Type="http://schemas.openxmlformats.org/officeDocument/2006/relationships/chart" Target="charts/chart13.xml"/><Relationship Id="rId57" Type="http://schemas.openxmlformats.org/officeDocument/2006/relationships/chart" Target="charts/chart33.xml"/><Relationship Id="rId106" Type="http://schemas.openxmlformats.org/officeDocument/2006/relationships/chart" Target="charts/chart74.xml"/><Relationship Id="rId127" Type="http://schemas.openxmlformats.org/officeDocument/2006/relationships/chart" Target="charts/chart95.xml"/><Relationship Id="rId10" Type="http://schemas.openxmlformats.org/officeDocument/2006/relationships/footnotes" Target="footnotes.xml"/><Relationship Id="rId31" Type="http://schemas.openxmlformats.org/officeDocument/2006/relationships/chart" Target="charts/chart8.xml"/><Relationship Id="rId52" Type="http://schemas.openxmlformats.org/officeDocument/2006/relationships/chart" Target="charts/chart28.xml"/><Relationship Id="rId73" Type="http://schemas.openxmlformats.org/officeDocument/2006/relationships/hyperlink" Target="https://www.gios.gov.pl/images/dokumenty/pms/monitoring_wod/metodyka_hydromorfologia_2018.pdf" TargetMode="External"/><Relationship Id="rId78" Type="http://schemas.openxmlformats.org/officeDocument/2006/relationships/chart" Target="charts/chart52.xml"/><Relationship Id="rId94" Type="http://schemas.openxmlformats.org/officeDocument/2006/relationships/chart" Target="charts/chart67.xml"/><Relationship Id="rId99" Type="http://schemas.openxmlformats.org/officeDocument/2006/relationships/image" Target="media/image11.png"/><Relationship Id="rId101" Type="http://schemas.openxmlformats.org/officeDocument/2006/relationships/chart" Target="charts/chart69.xml"/><Relationship Id="rId122" Type="http://schemas.openxmlformats.org/officeDocument/2006/relationships/chart" Target="charts/chart90.xml"/><Relationship Id="rId143" Type="http://schemas.openxmlformats.org/officeDocument/2006/relationships/chart" Target="charts/chart108.xml"/><Relationship Id="rId148" Type="http://schemas.openxmlformats.org/officeDocument/2006/relationships/chart" Target="charts/chart113.xml"/><Relationship Id="rId164" Type="http://schemas.openxmlformats.org/officeDocument/2006/relationships/hyperlink" Target="https://www.gov.pl/web/infrastruktura" TargetMode="External"/><Relationship Id="rId169" Type="http://schemas.openxmlformats.org/officeDocument/2006/relationships/header" Target="header16.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chart" Target="charts/chart3.xml"/><Relationship Id="rId47" Type="http://schemas.openxmlformats.org/officeDocument/2006/relationships/chart" Target="charts/chart23.xml"/><Relationship Id="rId68" Type="http://schemas.openxmlformats.org/officeDocument/2006/relationships/chart" Target="charts/chart43.xml"/><Relationship Id="rId89" Type="http://schemas.openxmlformats.org/officeDocument/2006/relationships/chart" Target="charts/chart63.xml"/><Relationship Id="rId112" Type="http://schemas.openxmlformats.org/officeDocument/2006/relationships/chart" Target="charts/chart80.xml"/><Relationship Id="rId133" Type="http://schemas.openxmlformats.org/officeDocument/2006/relationships/header" Target="header10.xml"/><Relationship Id="rId154" Type="http://schemas.openxmlformats.org/officeDocument/2006/relationships/chart" Target="charts/chart118.xml"/><Relationship Id="rId16" Type="http://schemas.openxmlformats.org/officeDocument/2006/relationships/header" Target="header3.xml"/><Relationship Id="rId37" Type="http://schemas.openxmlformats.org/officeDocument/2006/relationships/image" Target="media/image5.jpeg"/><Relationship Id="rId58" Type="http://schemas.openxmlformats.org/officeDocument/2006/relationships/chart" Target="charts/chart34.xml"/><Relationship Id="rId79" Type="http://schemas.openxmlformats.org/officeDocument/2006/relationships/chart" Target="charts/chart53.xml"/><Relationship Id="rId102" Type="http://schemas.openxmlformats.org/officeDocument/2006/relationships/chart" Target="charts/chart70.xml"/><Relationship Id="rId123" Type="http://schemas.openxmlformats.org/officeDocument/2006/relationships/chart" Target="charts/chart91.xml"/><Relationship Id="rId144" Type="http://schemas.openxmlformats.org/officeDocument/2006/relationships/chart" Target="charts/chart109.xml"/><Relationship Id="rId90" Type="http://schemas.openxmlformats.org/officeDocument/2006/relationships/chart" Target="charts/chart64.xml"/><Relationship Id="rId165" Type="http://schemas.openxmlformats.org/officeDocument/2006/relationships/hyperlink" Target="http://isap.sejm.gov.pl/isap.nsf/DocDetails.xsp?id=WDU20170002506" TargetMode="External"/><Relationship Id="rId27" Type="http://schemas.openxmlformats.org/officeDocument/2006/relationships/chart" Target="charts/chart4.xml"/><Relationship Id="rId48" Type="http://schemas.openxmlformats.org/officeDocument/2006/relationships/chart" Target="charts/chart24.xml"/><Relationship Id="rId69" Type="http://schemas.openxmlformats.org/officeDocument/2006/relationships/chart" Target="charts/chart44.xml"/><Relationship Id="rId113" Type="http://schemas.openxmlformats.org/officeDocument/2006/relationships/chart" Target="charts/chart81.xml"/><Relationship Id="rId134" Type="http://schemas.openxmlformats.org/officeDocument/2006/relationships/chart" Target="charts/chart99.xml"/><Relationship Id="rId80" Type="http://schemas.openxmlformats.org/officeDocument/2006/relationships/chart" Target="charts/chart54.xml"/><Relationship Id="rId155" Type="http://schemas.openxmlformats.org/officeDocument/2006/relationships/header" Target="header11.xml"/><Relationship Id="rId17" Type="http://schemas.openxmlformats.org/officeDocument/2006/relationships/header" Target="header4.xml"/><Relationship Id="rId38" Type="http://schemas.openxmlformats.org/officeDocument/2006/relationships/chart" Target="charts/chart14.xml"/><Relationship Id="rId59" Type="http://schemas.openxmlformats.org/officeDocument/2006/relationships/chart" Target="charts/chart35.xml"/><Relationship Id="rId103" Type="http://schemas.openxmlformats.org/officeDocument/2006/relationships/chart" Target="charts/chart71.xml"/><Relationship Id="rId124" Type="http://schemas.openxmlformats.org/officeDocument/2006/relationships/chart" Target="charts/chart92.xml"/><Relationship Id="rId70" Type="http://schemas.openxmlformats.org/officeDocument/2006/relationships/chart" Target="charts/chart45.xml"/><Relationship Id="rId91" Type="http://schemas.openxmlformats.org/officeDocument/2006/relationships/image" Target="media/image7.png"/><Relationship Id="rId145" Type="http://schemas.openxmlformats.org/officeDocument/2006/relationships/chart" Target="charts/chart110.xml"/><Relationship Id="rId166" Type="http://schemas.openxmlformats.org/officeDocument/2006/relationships/hyperlink" Target="https://www.wody.gov.pl"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informacje.pan.pl/images/2021/Komunikat_02_2021_w_sprawie_wzrostu_poziomu_morza_2001_01_26_FINAL.pdf" TargetMode="External"/><Relationship Id="rId1" Type="http://schemas.openxmlformats.org/officeDocument/2006/relationships/hyperlink" Target="https://land.copernicus.eu/pan-european/corine-land-cove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100.xml.rels><?xml version="1.0" encoding="UTF-8" standalone="yes"?>
<Relationships xmlns="http://schemas.openxmlformats.org/package/2006/relationships"><Relationship Id="rId1" Type="http://schemas.openxmlformats.org/officeDocument/2006/relationships/oleObject" Target="file:///C:\Users\wilkosgladkie\AppData\Roaming\Microsoft\Excel\aPGW%20-%20podsumowania%20(version%201).xlsb" TargetMode="External"/></Relationships>
</file>

<file path=word/charts/_rels/chart101.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GOTOWE_Rozdzialy\13.3_Info_PozWod_ver02\Zestawienia_Rozdzialy_wszystkie%20dorzecza.xlsx" TargetMode="External"/><Relationship Id="rId2" Type="http://schemas.microsoft.com/office/2011/relationships/chartColorStyle" Target="colors37.xml"/><Relationship Id="rId1" Type="http://schemas.microsoft.com/office/2011/relationships/chartStyle" Target="style37.xml"/></Relationships>
</file>

<file path=word/charts/_rels/chart102.xml.rels><?xml version="1.0" encoding="UTF-8" standalone="yes"?>
<Relationships xmlns="http://schemas.openxmlformats.org/package/2006/relationships"><Relationship Id="rId1" Type="http://schemas.openxmlformats.org/officeDocument/2006/relationships/oleObject" Target="file:///C:\Users\janix\Documents\_en4\_ekovert\2020_CDM_aPGW_priorytety\_E1P5_pgw\tre&#347;&#263;_punkty\p13.6_skutki%20awarii\13.6_awarie_v02\Awarie_2016_19_rejestry%20i%20posumowanie_poprawiony.xlsx" TargetMode="External"/></Relationships>
</file>

<file path=word/charts/_rels/chart103.xml.rels><?xml version="1.0" encoding="UTF-8" standalone="yes"?>
<Relationships xmlns="http://schemas.openxmlformats.org/package/2006/relationships"><Relationship Id="rId1" Type="http://schemas.openxmlformats.org/officeDocument/2006/relationships/oleObject" Target="file:///C:\Users\ostrowskao\Desktop\Ostrowska\07_03_2021_wykresy_rzgw\podzia&#322;_%20prac_utrzymaniowych_kateogrie%2020200121.xlsx" TargetMode="External"/></Relationships>
</file>

<file path=word/charts/_rels/chart104.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41.xml"/></Relationships>
</file>

<file path=word/charts/_rels/chart105.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42.xml"/></Relationships>
</file>

<file path=word/charts/_rels/chart106.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43.xml"/></Relationships>
</file>

<file path=word/charts/_rels/chart107.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44.xml"/></Relationships>
</file>

<file path=word/charts/_rels/chart108.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45.xml"/></Relationships>
</file>

<file path=word/charts/_rels/chart109.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46.xml"/></Relationships>
</file>

<file path=word/charts/_rels/chart11.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110.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47.xml"/></Relationships>
</file>

<file path=word/charts/_rels/chart111.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48.xml"/></Relationships>
</file>

<file path=word/charts/_rels/chart112.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49.xml"/></Relationships>
</file>

<file path=word/charts/_rels/chart113.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50.xml"/></Relationships>
</file>

<file path=word/charts/_rels/chart114.xml.rels><?xml version="1.0" encoding="UTF-8" standalone="yes"?>
<Relationships xmlns="http://schemas.openxmlformats.org/package/2006/relationships"><Relationship Id="rId1" Type="http://schemas.openxmlformats.org/officeDocument/2006/relationships/oleObject" Target="file:///C:\Users\ostrowskao\Desktop\Ostrowska\07_03_2021_wykresy_rzgw\Kopia%20pliku%20podzia&#322;_%20prac_utrzymaniowych_kateogrie%2020200121_2_odraodra.xlsx" TargetMode="External"/></Relationships>
</file>

<file path=word/charts/_rels/chart115.xml.rels><?xml version="1.0" encoding="UTF-8" standalone="yes"?>
<Relationships xmlns="http://schemas.openxmlformats.org/package/2006/relationships"><Relationship Id="rId1" Type="http://schemas.openxmlformats.org/officeDocument/2006/relationships/oleObject" Target="file:///C:\Users\ostrowskao\Desktop\Ostrowska\07_03_2021_wykresy_rzgw\Kopia%20pliku%20podzia&#322;_%20prac_utrzymaniowych_kateogrie%2020200121_2_odraodra.xlsx" TargetMode="External"/></Relationships>
</file>

<file path=word/charts/_rels/chart116.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Roz_17_UtrudnSplywWod/Zatory_3.xls" TargetMode="External"/></Relationships>
</file>

<file path=word/charts/_rels/chart117.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Roz_17_UtrudnSplywWod/Zatory_3.xls" TargetMode="External"/></Relationships>
</file>

<file path=word/charts/_rels/chart118.xml.rels><?xml version="1.0" encoding="UTF-8" standalone="yes"?>
<Relationships xmlns="http://schemas.openxmlformats.org/package/2006/relationships"><Relationship Id="rId1" Type="http://schemas.openxmlformats.org/officeDocument/2006/relationships/oleObject" Target="file:///C:\Users\lukowskaa\Downloads\Wykaz_budowli_20210304_al.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13.xml.rels><?xml version="1.0" encoding="UTF-8" standalone="yes"?>
<Relationships xmlns="http://schemas.openxmlformats.org/package/2006/relationships"><Relationship Id="rId1" Type="http://schemas.openxmlformats.org/officeDocument/2006/relationships/oleObject" Target="file:///C:\Users\tkaczykd\Desktop\IIaPGW_ver02\roboczy.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cdmsmithonline.sharepoint.com/sites/Extranet/Projects/001-251260/Internal/01_Zesp&#243;&#322;/0_CDM/001_PROJEKTY%20IIaPGW/00_IIaPGW%20-%20Projekty/Projekt_IIaPGW_OD_ver03/Robocze_ver03/Statusy_Podsumowanie.xlsx" TargetMode="External"/></Relationships>
</file>

<file path=word/charts/_rels/chart15.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themeOverride" Target="../theme/themeOverride2.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18.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5_Monitoring/Dane/SIE&#262;%202022-2027_liczbaJCWP.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5_Monitoring/Dane/SIE&#262;%202022-2027_liczbaJCWP.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20.xml.rels><?xml version="1.0" encoding="UTF-8" standalone="yes"?>
<Relationships xmlns="http://schemas.openxmlformats.org/package/2006/relationships"><Relationship Id="rId3" Type="http://schemas.openxmlformats.org/officeDocument/2006/relationships/oleObject" Target="file:///C:\Users\klukowskak\Documents\2aPGW\Monitoring%20&#346;rodowiska\Dane\Ocena_RW_do2022%20(Repaired).xlsx" TargetMode="External"/><Relationship Id="rId2" Type="http://schemas.microsoft.com/office/2011/relationships/chartColorStyle" Target="colors3.xml"/><Relationship Id="rId1" Type="http://schemas.microsoft.com/office/2011/relationships/chartStyle" Target="style3.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klukowskak\Documents\2aPGW\Monitoring%20&#346;rodowiska\Dane\Ocena_RW_do2022%20(Repaired).xlsx" TargetMode="External"/><Relationship Id="rId2" Type="http://schemas.microsoft.com/office/2011/relationships/chartColorStyle" Target="colors4.xml"/><Relationship Id="rId1" Type="http://schemas.microsoft.com/office/2011/relationships/chartStyle" Target="style4.xml"/></Relationships>
</file>

<file path=word/charts/_rels/chart22.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5_Monitoring/Dane/DaneOcenaStanu_GIO&#346;_do2022/Ocena_RWZb_do2022.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5_Monitoring/Dane/DaneOcenaStanu_po2022/RWr_dane.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klukowskak\AppData\Roaming\Microsoft\Excel\Ocena_LW_do2022%20(version%201).xlsb" TargetMode="External"/></Relationships>
</file>

<file path=word/charts/_rels/chart25.xml.rels><?xml version="1.0" encoding="UTF-8" standalone="yes"?>
<Relationships xmlns="http://schemas.openxmlformats.org/package/2006/relationships"><Relationship Id="rId3" Type="http://schemas.openxmlformats.org/officeDocument/2006/relationships/oleObject" Target="file:///C:\Users\klukowskak\AppData\Roaming\Microsoft\Excel\Ocena_RW_do2022%20(Repaired)%20(version%201).xlsb" TargetMode="External"/><Relationship Id="rId2" Type="http://schemas.microsoft.com/office/2011/relationships/chartColorStyle" Target="colors5.xml"/><Relationship Id="rId1" Type="http://schemas.microsoft.com/office/2011/relationships/chartStyle" Target="style5.xml"/></Relationships>
</file>

<file path=word/charts/_rels/chart26.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3_Charakterystyka/Dane%20&#378;r&#243;d&#322;owe/Wykresy.xlsb"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wilkosgladkie\Documents\1%20Projekty\KZGW\01_2020_IIaPGW\2_Konsultacje%20spoleczne_IIaPGW\00_WersjaOstateczna_robocze\WYKRESY\wykresy_presje_roz7IIaPGW.xlsx" TargetMode="External"/></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tkaczykd\Desktop\Nowy%20Arkusz%20programu%20Microsoft%20Excel.xlsx" TargetMode="Externa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41.xml.rels><?xml version="1.0" encoding="UTF-8" standalone="yes"?>
<Relationships xmlns="http://schemas.openxmlformats.org/package/2006/relationships"><Relationship Id="rId1" Type="http://schemas.openxmlformats.org/officeDocument/2006/relationships/oleObject" Target="../embeddings/oleObject8.bin"/></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wilkosgladkie\Documents\1%20Projekty\KZGW\01_2020_IIaPGW\2_Konsultacje%20spoleczne_IIaPGW\00_WersjaOstateczna_robocze\WYKRESY\wykresy_presje_roz7IIaPGW.xlsx" TargetMode="Externa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wilkosgladkie\Documents\1%20Projekty\KZGW\01_2020_IIaPGW\2_Konsultacje%20spoleczne_IIaPGW\00_WersjaOstateczna_robocze\WYKRESY\wykresy_presje_roz7IIaPGW.xlsx" TargetMode="External"/></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48.xml.rels><?xml version="1.0" encoding="UTF-8" standalone="yes"?>
<Relationships xmlns="http://schemas.openxmlformats.org/package/2006/relationships"><Relationship Id="rId1" Type="http://schemas.openxmlformats.org/officeDocument/2006/relationships/oleObject" Target="file:///C:\Users\mjarm\AppData\Local\Microsoft\Windows\INetCache\Content.Outlook\26BRQOB3\Kopia%20POBORY_Ca&#322;a_2018_BAZA_MB_3.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II_aPGW\xls\skladowiska_DW.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3_Charakterystyka/Dane%20&#378;r&#243;d&#322;owe/Wykresy.xlsb"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C:\!!II_aPGW\xls\skladowiska_DW.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Users\wilkosgladkie\Documents\1%20Projekty\KZGW\01_2020_IIaPGW\Projekty_IIaPGW\Roz_ver03_korekty\Wykres_7_16.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2_Etapy/Etap%20I%20(P1-P5)/EI.P5_Projekty%20IIaPGW,%20w%20tym%20wykaz%20kierunkowych%20inwestycji/Ver_01_20210310_Projekty%20IIaPGW_robocze/Roz_08_CeleSrod/Roz_8_wsadyEkspertow"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2_Etapy/Etap%20I%20(P1-P5)/EI.P5_Projekty%20IIaPGW,%20w%20tym%20wykaz%20kierunkowych%20inwestycji/Ver_01_20210310_Projekty%20IIaPGW_robocze/Roz_08_CeleSrod/Roz_8_wsadyEkspertow"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2_Etapy/Etap%20I%20(P1-P5)/EI.P5_Projekty%20IIaPGW,%20w%20tym%20wykaz%20kierunkowych%20inwestycji/Ver_01_20210310_Projekty%20IIaPGW_robocze/Roz_08_CeleSrod/Roz_8_wsadyEkspertow" TargetMode="Externa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9.bin"/></Relationships>
</file>

<file path=word/charts/_rels/chart56.xml.rels><?xml version="1.0" encoding="UTF-8" standalone="yes"?>
<Relationships xmlns="http://schemas.openxmlformats.org/package/2006/relationships"><Relationship Id="rId1" Type="http://schemas.openxmlformats.org/officeDocument/2006/relationships/oleObject" Target="file:///C:\Users\brodnickaa\Desktop\zbiorniki_morskie.xlsx" TargetMode="External"/></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embeddings/oleObject10.bin"/></Relationships>
</file>

<file path=word/charts/_rels/chart58.xml.rels><?xml version="1.0" encoding="UTF-8" standalone="yes"?>
<Relationships xmlns="http://schemas.openxmlformats.org/package/2006/relationships"><Relationship Id="rId1" Type="http://schemas.openxmlformats.org/officeDocument/2006/relationships/oleObject" Target="file:///C:\Users\brodnickaa\Desktop\zbiorniki_morskie.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https://cdmsmithonline-my.sharepoint.com/personal/gebkak_cdmsmith_com/Documents/Pliki%20z%20czat&#243;w%20w%20aplikacji%20Microsoft%20Teams/Plik%20roboczy_prof.%20go&#322;dyn.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3_Charakterystyka/Dane%20&#378;r&#243;d&#322;owe/Wykresy.xlsb" TargetMode="Externa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61.xml.rels><?xml version="1.0" encoding="UTF-8" standalone="yes"?>
<Relationships xmlns="http://schemas.openxmlformats.org/package/2006/relationships"><Relationship Id="rId1" Type="http://schemas.openxmlformats.org/officeDocument/2006/relationships/oleObject" Target="https://cdmsmithonline-my.sharepoint.com/personal/gebkak_cdmsmith_com/Documents/Pliki%20z%20czat&#243;w%20w%20aplikacji%20Microsoft%20Teams/Plik%20roboczy_prof.%20go&#322;dyn.xlsx" TargetMode="External"/></Relationships>
</file>

<file path=word/charts/_rels/chart62.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00_IIaPGW%20-%20Projekty/Projekt_IIaPGW_OD_ver03/Robocze_ver03/Plany_tab_rozb_UWAGI_wspolne.xlsx" TargetMode="External"/><Relationship Id="rId2" Type="http://schemas.microsoft.com/office/2011/relationships/chartColorStyle" Target="colors12.xml"/><Relationship Id="rId1" Type="http://schemas.microsoft.com/office/2011/relationships/chartStyle" Target="style12.xml"/></Relationships>
</file>

<file path=word/charts/_rels/chart63.xml.rels><?xml version="1.0" encoding="UTF-8" standalone="yes"?>
<Relationships xmlns="http://schemas.openxmlformats.org/package/2006/relationships"><Relationship Id="rId1" Type="http://schemas.openxmlformats.org/officeDocument/2006/relationships/oleObject" Target="file:///C:\II%20aPGW\statystyki.xlsx" TargetMode="External"/></Relationships>
</file>

<file path=word/charts/_rels/chart64.xml.rels><?xml version="1.0" encoding="UTF-8" standalone="yes"?>
<Relationships xmlns="http://schemas.openxmlformats.org/package/2006/relationships"><Relationship Id="rId3" Type="http://schemas.openxmlformats.org/officeDocument/2006/relationships/oleObject" Target="file:///D:\IIaPGW\Cele_och_analizy\Ocena%20osiagnieca%20celow_statystyki.xlsx" TargetMode="External"/><Relationship Id="rId2" Type="http://schemas.microsoft.com/office/2011/relationships/chartColorStyle" Target="colors13.xml"/><Relationship Id="rId1" Type="http://schemas.microsoft.com/office/2011/relationships/chartStyle" Target="style13.xml"/></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1.xlsx"/></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2.xlsx"/></Relationships>
</file>

<file path=word/charts/_rels/chart67.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aPGW%20-%20podsumowania.xlsx" TargetMode="External"/><Relationship Id="rId2" Type="http://schemas.microsoft.com/office/2011/relationships/chartColorStyle" Target="colors16.xml"/><Relationship Id="rId1" Type="http://schemas.microsoft.com/office/2011/relationships/chartStyle" Target="style16.xml"/></Relationships>
</file>

<file path=word/charts/_rels/chart68.xml.rels><?xml version="1.0" encoding="UTF-8" standalone="yes"?>
<Relationships xmlns="http://schemas.openxmlformats.org/package/2006/relationships"><Relationship Id="rId1" Type="http://schemas.openxmlformats.org/officeDocument/2006/relationships/oleObject" Target="file:///C:\Users\wilkosgladkie\Documents\1%20Projekty\KZGW\01_2020_IIaPGW\Projekty_IIaPGW\aPGW%20-%20podsumowania.xlsx" TargetMode="External"/></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3.xlsx"/></Relationships>
</file>

<file path=word/charts/_rels/chart7.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3_Charakterystyka/Dane%20&#378;r&#243;d&#322;owe/Wykresy.xlsb" TargetMode="Externa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4.xlsx"/></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5.xlsx"/></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https://cdmsmithonline.sharepoint.com/sites/Extranet/Projects/001-251260/Internal/01_Zesp&#243;&#322;/0_CDM/001_PROJEKTY%20IIaPGW/01_Statystyki/ZestawieniaTabelaryczne_Wisla_3.xlsx" TargetMode="External"/></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https://cdmsmithonline.sharepoint.com/sites/Extranet/Projects/001-251260/Internal/01_Zesp&#243;&#322;/0_CDM/001_PROJEKTY%20IIaPGW/01_Statystyki/ZestawieniaTabelaryczne_Wisla_3.xlsx" TargetMode="External"/></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https://cdmsmithonline.sharepoint.com/sites/Extranet/Projects/001-251260/Internal/01_Zesp&#243;&#322;/0_CDM/001_PROJEKTY%20IIaPGW/01_Statystyki/ZestawieniaTabelaryczne_Wisla_3.xlsx" TargetMode="External"/></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16.xlsx"/></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17.xlsx"/></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18.xlsx"/></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19.xlsx"/></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0.xlsx"/></Relationships>
</file>

<file path=word/charts/_rels/chart8.xml.rels><?xml version="1.0" encoding="UTF-8" standalone="yes"?>
<Relationships xmlns="http://schemas.openxmlformats.org/package/2006/relationships"><Relationship Id="rId1" Type="http://schemas.openxmlformats.org/officeDocument/2006/relationships/oleObject" Target="file:///C:\Users\brodnickaa\AppData\Roaming\Microsoft\Excel\Wykresy%20(version%201).xlsb" TargetMode="External"/></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21.xlsx"/></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embeddings/oleObject11.bin"/></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https://cdmsmithonline.sharepoint.com/sites/Extranet/Projects/001-251260/Internal/01_Zesp&#243;&#322;/0_CDM/001_PROJEKTY%20IIaPGW/01_Statystyki/ZestawieniaTabelaryczne_20211106.xlsx" TargetMode="External"/></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https://cdmsmithonline.sharepoint.com/sites/Extranet/Projects/001-251260/Internal/01_Zesp&#243;&#322;/0_CDM/001_PROJEKTY%20IIaPGW/01_Statystyki/ZestawieniaTabelaryczne_20211106.xlsx" TargetMode="External"/></Relationships>
</file>

<file path=word/charts/_rels/chart84.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themeOverride" Target="../theme/themeOverride31.xml"/></Relationships>
</file>

<file path=word/charts/_rels/chart85.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themeOverride" Target="../theme/themeOverride32.xml"/></Relationships>
</file>

<file path=word/charts/_rels/chart86.xml.rels><?xml version="1.0" encoding="UTF-8" standalone="yes"?>
<Relationships xmlns="http://schemas.openxmlformats.org/package/2006/relationships"><Relationship Id="rId2" Type="http://schemas.openxmlformats.org/officeDocument/2006/relationships/oleObject" Target="../embeddings/oleObject14.bin"/><Relationship Id="rId1" Type="http://schemas.openxmlformats.org/officeDocument/2006/relationships/themeOverride" Target="../theme/themeOverride33.xml"/></Relationships>
</file>

<file path=word/charts/_rels/chart87.xml.rels><?xml version="1.0" encoding="UTF-8" standalone="yes"?>
<Relationships xmlns="http://schemas.openxmlformats.org/package/2006/relationships"><Relationship Id="rId2" Type="http://schemas.openxmlformats.org/officeDocument/2006/relationships/oleObject" Target="../embeddings/oleObject15.bin"/><Relationship Id="rId1" Type="http://schemas.openxmlformats.org/officeDocument/2006/relationships/themeOverride" Target="../theme/themeOverride34.xml"/></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embeddings/oleObject16.bin"/></Relationships>
</file>

<file path=word/charts/_rels/chart89.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file:///C:\Users\wilkosgladkie\Documents\1%20Projekty\KZGW\01_2020_IIaPGW\2_Konsultacje%20spoleczne_IIaPGW\00_WersjaOstateczna_robocze\EWG_R&#243;&#380;ne\Wykres%20w%20programie%20Microsoft%20Word.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90.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37.xml"/></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23.xlsx"/></Relationships>
</file>

<file path=word/charts/_rels/chart92.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39.xml"/></Relationships>
</file>

<file path=word/charts/_rels/chart93.xml.rels><?xml version="1.0" encoding="UTF-8" standalone="yes"?>
<Relationships xmlns="http://schemas.openxmlformats.org/package/2006/relationships"><Relationship Id="rId3" Type="http://schemas.openxmlformats.org/officeDocument/2006/relationships/oleObject" Target="file:///C:\Users\wilkosgladkie\Documents\1%20Projekty\KZGW\01_2020_IIaPGW\2_Konsultacje%20spoleczne_IIaPGW\00_WersjaOstateczna_robocze\EWG_R&#243;&#380;ne\Wykres%20w%20programie%20Microsoft%20Word.xlsx" TargetMode="External"/><Relationship Id="rId2" Type="http://schemas.microsoft.com/office/2011/relationships/chartColorStyle" Target="colors35.xml"/><Relationship Id="rId1" Type="http://schemas.microsoft.com/office/2011/relationships/chartStyle" Target="style35.xml"/></Relationships>
</file>

<file path=word/charts/_rels/chart94.xml.rels><?xml version="1.0" encoding="UTF-8" standalone="yes"?>
<Relationships xmlns="http://schemas.openxmlformats.org/package/2006/relationships"><Relationship Id="rId3" Type="http://schemas.openxmlformats.org/officeDocument/2006/relationships/oleObject" Target="file:///C:\Users\wilkosgladkie\Documents\1%20Projekty\KZGW\01_2020_IIaPGW\2_Konsultacje%20spoleczne_IIaPGW\00_WersjaOstateczna_robocze\EWG_R&#243;&#380;ne\Wykres%20w%20programie%20Microsoft%20Word.xlsx" TargetMode="External"/><Relationship Id="rId2" Type="http://schemas.microsoft.com/office/2011/relationships/chartColorStyle" Target="colors36.xml"/><Relationship Id="rId1" Type="http://schemas.microsoft.com/office/2011/relationships/chartStyle" Target="style36.xml"/></Relationships>
</file>

<file path=word/charts/_rels/chart95.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40.xml"/></Relationships>
</file>

<file path=word/charts/_rels/chart96.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Wykres%20w%20programie%20Microsoft%20Word" TargetMode="External"/></Relationships>
</file>

<file path=word/charts/_rels/chart97.xml.rels><?xml version="1.0" encoding="UTF-8" standalone="yes"?>
<Relationships xmlns="http://schemas.openxmlformats.org/package/2006/relationships"><Relationship Id="rId1" Type="http://schemas.openxmlformats.org/officeDocument/2006/relationships/oleObject" Target="file:///C:\Users\wilkosgladkie\Documents\1%20Projekty\KZGW\01_2020_IIaPGW\Projekty_IIaPGW\aPGW%20-%20podsumowania.xlsx" TargetMode="External"/></Relationships>
</file>

<file path=word/charts/_rels/chart98.xml.rels><?xml version="1.0" encoding="UTF-8" standalone="yes"?>
<Relationships xmlns="http://schemas.openxmlformats.org/package/2006/relationships"><Relationship Id="rId1" Type="http://schemas.openxmlformats.org/officeDocument/2006/relationships/oleObject" Target="file:///C:\Users\wilkosgladkie\Documents\1%20Projekty\KZGW\01_2020_IIaPGW\Projekty_IIaPGW\aPGW%20-%20podsumowania.xlsx" TargetMode="External"/></Relationships>
</file>

<file path=word/charts/_rels/chart99.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WilkosGladki%20Ewa/3O+H/Baza_presja/DANE_PRESJA/DANE_PRESJA_DORZECZ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537034957944678E-2"/>
          <c:y val="3.7298387096774188E-2"/>
          <c:w val="0.54564162869322352"/>
          <c:h val="0.93548387096774177"/>
        </c:manualLayout>
      </c:layout>
      <c:pieChart>
        <c:varyColors val="1"/>
        <c:ser>
          <c:idx val="0"/>
          <c:order val="0"/>
          <c:spPr>
            <a:ln w="1270">
              <a:solidFill>
                <a:schemeClr val="tx1">
                  <a:lumMod val="75000"/>
                  <a:lumOff val="25000"/>
                </a:schemeClr>
              </a:solidFill>
            </a:ln>
          </c:spPr>
          <c:dPt>
            <c:idx val="0"/>
            <c:bubble3D val="0"/>
            <c:spPr>
              <a:solidFill>
                <a:schemeClr val="accent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337-4A31-9B98-443895EE5CAC}"/>
              </c:ext>
            </c:extLst>
          </c:dPt>
          <c:dPt>
            <c:idx val="1"/>
            <c:bubble3D val="0"/>
            <c:spPr>
              <a:solidFill>
                <a:schemeClr val="accent2"/>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337-4A31-9B98-443895EE5CAC}"/>
              </c:ext>
            </c:extLst>
          </c:dPt>
          <c:dPt>
            <c:idx val="2"/>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337-4A31-9B98-443895EE5CAC}"/>
              </c:ext>
            </c:extLst>
          </c:dPt>
          <c:dPt>
            <c:idx val="3"/>
            <c:bubble3D val="0"/>
            <c:spPr>
              <a:solidFill>
                <a:schemeClr val="accent4"/>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337-4A31-9B98-443895EE5CAC}"/>
              </c:ext>
            </c:extLst>
          </c:dPt>
          <c:dPt>
            <c:idx val="4"/>
            <c:bubble3D val="0"/>
            <c:spPr>
              <a:solidFill>
                <a:schemeClr val="accent5"/>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0337-4A31-9B98-443895EE5CAC}"/>
              </c:ext>
            </c:extLst>
          </c:dPt>
          <c:dLbls>
            <c:dLbl>
              <c:idx val="0"/>
              <c:tx>
                <c:rich>
                  <a:bodyPr/>
                  <a:lstStyle/>
                  <a:p>
                    <a:r>
                      <a:rPr lang="en-US"/>
                      <a:t>17%</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337-4A31-9B98-443895EE5CAC}"/>
                </c:ext>
              </c:extLst>
            </c:dLbl>
            <c:dLbl>
              <c:idx val="1"/>
              <c:tx>
                <c:rich>
                  <a:bodyPr/>
                  <a:lstStyle/>
                  <a:p>
                    <a:r>
                      <a:rPr lang="en-US"/>
                      <a:t>8%</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337-4A31-9B98-443895EE5CAC}"/>
                </c:ext>
              </c:extLst>
            </c:dLbl>
            <c:dLbl>
              <c:idx val="2"/>
              <c:tx>
                <c:rich>
                  <a:bodyPr/>
                  <a:lstStyle/>
                  <a:p>
                    <a:r>
                      <a:rPr lang="en-US"/>
                      <a:t>15%</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337-4A31-9B98-443895EE5CAC}"/>
                </c:ext>
              </c:extLst>
            </c:dLbl>
            <c:dLbl>
              <c:idx val="3"/>
              <c:tx>
                <c:rich>
                  <a:bodyPr/>
                  <a:lstStyle/>
                  <a:p>
                    <a:r>
                      <a:rPr lang="en-US"/>
                      <a:t>29%</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337-4A31-9B98-443895EE5CAC}"/>
                </c:ext>
              </c:extLst>
            </c:dLbl>
            <c:dLbl>
              <c:idx val="4"/>
              <c:tx>
                <c:rich>
                  <a:bodyPr/>
                  <a:lstStyle/>
                  <a:p>
                    <a:r>
                      <a:rPr lang="en-US"/>
                      <a:t>31%</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337-4A31-9B98-443895EE5CAC}"/>
                </c:ext>
              </c:extLst>
            </c:dLbl>
            <c:numFmt formatCode="0.0%" sourceLinked="0"/>
            <c:spPr>
              <a:solidFill>
                <a:srgbClr val="000000">
                  <a:alpha val="50000"/>
                </a:srgbClr>
              </a:solid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lang="en-US" sz="1000" b="1" i="0" u="none" strike="noStrike" kern="1200" baseline="0">
                    <a:solidFill>
                      <a:schemeClr val="lt1"/>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Regiony_Wodne!$B$11:$B$28</c:f>
              <c:strCache>
                <c:ptCount val="5"/>
                <c:pt idx="0">
                  <c:v>Region wodny Dolnej Odry i Przymorza Zachodniego</c:v>
                </c:pt>
                <c:pt idx="1">
                  <c:v>Region wodny Górnej Odry</c:v>
                </c:pt>
                <c:pt idx="2">
                  <c:v>Region wodny Noteci</c:v>
                </c:pt>
                <c:pt idx="3">
                  <c:v>Region wodny Środkowej Odry</c:v>
                </c:pt>
                <c:pt idx="4">
                  <c:v>Region wodny Warty</c:v>
                </c:pt>
              </c:strCache>
            </c:strRef>
          </c:cat>
          <c:val>
            <c:numRef>
              <c:f>Regiony_Wodne!$E$11:$E$28</c:f>
              <c:numCache>
                <c:formatCode>0</c:formatCode>
                <c:ptCount val="5"/>
                <c:pt idx="0">
                  <c:v>20405.95</c:v>
                </c:pt>
                <c:pt idx="1">
                  <c:v>9425.44</c:v>
                </c:pt>
                <c:pt idx="2">
                  <c:v>17306.48</c:v>
                </c:pt>
                <c:pt idx="3">
                  <c:v>33703.46</c:v>
                </c:pt>
                <c:pt idx="4">
                  <c:v>37173.490000000005</c:v>
                </c:pt>
              </c:numCache>
            </c:numRef>
          </c:val>
          <c:extLst>
            <c:ext xmlns:c16="http://schemas.microsoft.com/office/drawing/2014/chart" uri="{C3380CC4-5D6E-409C-BE32-E72D297353CC}">
              <c16:uniqueId val="{0000000A-0337-4A31-9B98-443895EE5CA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lang="en-US" sz="8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lang="en-US"/>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sz="1800" b="1" i="0" u="none" strike="noStrike" kern="1200" baseline="0">
                <a:solidFill>
                  <a:sysClr val="windowText" lastClr="000000"/>
                </a:solidFill>
                <a:latin typeface="+mn-lt"/>
                <a:ea typeface="+mn-ea"/>
                <a:cs typeface="+mn-cs"/>
              </a:rPr>
              <a:t>JCWP</a:t>
            </a:r>
            <a:r>
              <a:rPr lang="pl-PL" baseline="0"/>
              <a:t> RWr</a:t>
            </a:r>
            <a:endParaRPr lang="pl-PL"/>
          </a:p>
        </c:rich>
      </c:tx>
      <c:layout>
        <c:manualLayout>
          <c:xMode val="edge"/>
          <c:yMode val="edge"/>
          <c:x val="0.37845252774352645"/>
          <c:y val="0"/>
        </c:manualLayout>
      </c:layout>
      <c:overlay val="0"/>
    </c:title>
    <c:autoTitleDeleted val="0"/>
    <c:plotArea>
      <c:layout>
        <c:manualLayout>
          <c:layoutTarget val="inner"/>
          <c:xMode val="edge"/>
          <c:yMode val="edge"/>
          <c:x val="0.12901977727506628"/>
          <c:y val="0.15843044064523648"/>
          <c:w val="0.45692034719457847"/>
          <c:h val="0.7834300244710426"/>
        </c:manualLayout>
      </c:layout>
      <c:pieChart>
        <c:varyColors val="1"/>
        <c:ser>
          <c:idx val="0"/>
          <c:order val="0"/>
          <c:tx>
            <c:strRef>
              <c:f>Regiony_Wodne!$O$35:$O$37</c:f>
              <c:strCache>
                <c:ptCount val="3"/>
                <c:pt idx="0">
                  <c:v>Region wodny Górnej Odry</c:v>
                </c:pt>
                <c:pt idx="1">
                  <c:v>Region wodny Środkowej Odry</c:v>
                </c:pt>
                <c:pt idx="2">
                  <c:v>Region wodny Warty</c:v>
                </c:pt>
              </c:strCache>
            </c:strRef>
          </c:tx>
          <c:spPr>
            <a:ln w="1270">
              <a:solidFill>
                <a:schemeClr val="tx1">
                  <a:lumMod val="75000"/>
                  <a:lumOff val="25000"/>
                </a:schemeClr>
              </a:solidFill>
            </a:ln>
          </c:spPr>
          <c:dPt>
            <c:idx val="0"/>
            <c:bubble3D val="0"/>
            <c:spPr>
              <a:solidFill>
                <a:schemeClr val="accent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527-4628-AA2E-27DA1D1089B2}"/>
              </c:ext>
            </c:extLst>
          </c:dPt>
          <c:dPt>
            <c:idx val="1"/>
            <c:bubble3D val="0"/>
            <c:spPr>
              <a:solidFill>
                <a:schemeClr val="accent2"/>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527-4628-AA2E-27DA1D1089B2}"/>
              </c:ext>
            </c:extLst>
          </c:dPt>
          <c:dPt>
            <c:idx val="2"/>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527-4628-AA2E-27DA1D1089B2}"/>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Regiony_Wodne!$O$35:$O$37</c:f>
              <c:strCache>
                <c:ptCount val="3"/>
                <c:pt idx="0">
                  <c:v>Region wodny Górnej Odry</c:v>
                </c:pt>
                <c:pt idx="1">
                  <c:v>Region wodny Środkowej Odry</c:v>
                </c:pt>
                <c:pt idx="2">
                  <c:v>Region wodny Warty</c:v>
                </c:pt>
              </c:strCache>
            </c:strRef>
          </c:cat>
          <c:val>
            <c:numRef>
              <c:f>Regiony_Wodne!$N$35:$N$37</c:f>
              <c:numCache>
                <c:formatCode>0</c:formatCode>
                <c:ptCount val="3"/>
                <c:pt idx="0">
                  <c:v>5</c:v>
                </c:pt>
                <c:pt idx="1">
                  <c:v>12</c:v>
                </c:pt>
                <c:pt idx="2">
                  <c:v>2</c:v>
                </c:pt>
              </c:numCache>
            </c:numRef>
          </c:val>
          <c:extLst>
            <c:ext xmlns:c16="http://schemas.microsoft.com/office/drawing/2014/chart" uri="{C3380CC4-5D6E-409C-BE32-E72D297353CC}">
              <c16:uniqueId val="{00000006-B527-4628-AA2E-27DA1D1089B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1287065340557256"/>
          <c:y val="0.29019478663957327"/>
          <c:w val="0.36949006980477578"/>
          <c:h val="0.419610426720853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243673182627855E-2"/>
          <c:y val="1.5120967741935484E-2"/>
          <c:w val="0.55681317066000291"/>
          <c:h val="0.95463709677419351"/>
        </c:manualLayout>
      </c:layout>
      <c:pieChart>
        <c:varyColors val="1"/>
        <c:ser>
          <c:idx val="0"/>
          <c:order val="0"/>
          <c:spPr>
            <a:ln w="1270">
              <a:noFill/>
            </a:ln>
          </c:spPr>
          <c:dPt>
            <c:idx val="0"/>
            <c:bubble3D val="0"/>
            <c:spPr>
              <a:solidFill>
                <a:schemeClr val="accent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8B0-4AAE-8BBA-67F4946346FE}"/>
              </c:ext>
            </c:extLst>
          </c:dPt>
          <c:dPt>
            <c:idx val="1"/>
            <c:bubble3D val="0"/>
            <c:spPr>
              <a:solidFill>
                <a:schemeClr val="accent2"/>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8B0-4AAE-8BBA-67F4946346FE}"/>
              </c:ext>
            </c:extLst>
          </c:dPt>
          <c:dPt>
            <c:idx val="2"/>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8B0-4AAE-8BBA-67F4946346FE}"/>
              </c:ext>
            </c:extLst>
          </c:dPt>
          <c:dPt>
            <c:idx val="3"/>
            <c:bubble3D val="0"/>
            <c:spPr>
              <a:solidFill>
                <a:schemeClr val="tx1">
                  <a:lumMod val="75000"/>
                  <a:lumOff val="25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8B0-4AAE-8BBA-67F4946346FE}"/>
              </c:ext>
            </c:extLst>
          </c:dPt>
          <c:dLbls>
            <c:dLbl>
              <c:idx val="1"/>
              <c:tx>
                <c:rich>
                  <a:bodyPr/>
                  <a:lstStyle/>
                  <a:p>
                    <a:r>
                      <a:rPr lang="en-US"/>
                      <a:t>16%</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8B0-4AAE-8BBA-67F4946346FE}"/>
                </c:ext>
              </c:extLst>
            </c:dLbl>
            <c:dLbl>
              <c:idx val="3"/>
              <c:tx>
                <c:rich>
                  <a:bodyPr/>
                  <a:lstStyle/>
                  <a:p>
                    <a:r>
                      <a:rPr lang="en-US"/>
                      <a:t>7%</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8B0-4AAE-8BBA-67F4946346FE}"/>
                </c:ext>
              </c:extLst>
            </c:dLbl>
            <c:spPr>
              <a:solidFill>
                <a:schemeClr val="dk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PWP!$H$3:$H$6</c:f>
              <c:strCache>
                <c:ptCount val="4"/>
                <c:pt idx="0">
                  <c:v>Zrzut</c:v>
                </c:pt>
                <c:pt idx="1">
                  <c:v>Pobór</c:v>
                </c:pt>
                <c:pt idx="2">
                  <c:v>Retencjonowanie</c:v>
                </c:pt>
                <c:pt idx="3">
                  <c:v>Regulacja</c:v>
                </c:pt>
              </c:strCache>
            </c:strRef>
          </c:cat>
          <c:val>
            <c:numRef>
              <c:f>PWP!$I$3:$I$6</c:f>
              <c:numCache>
                <c:formatCode>0%</c:formatCode>
                <c:ptCount val="4"/>
                <c:pt idx="0">
                  <c:v>0.75331393469123831</c:v>
                </c:pt>
                <c:pt idx="1">
                  <c:v>0.14718719689621726</c:v>
                </c:pt>
                <c:pt idx="2">
                  <c:v>2.4167474943420628E-2</c:v>
                </c:pt>
                <c:pt idx="3">
                  <c:v>7.5331393469123833E-2</c:v>
                </c:pt>
              </c:numCache>
            </c:numRef>
          </c:val>
          <c:extLst>
            <c:ext xmlns:c16="http://schemas.microsoft.com/office/drawing/2014/chart" uri="{C3380CC4-5D6E-409C-BE32-E72D297353CC}">
              <c16:uniqueId val="{00000008-98B0-4AAE-8BBA-67F4946346F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65579408182989E-2"/>
          <c:y val="4.3564356435643561E-2"/>
          <c:w val="0.89652866965907596"/>
          <c:h val="0.84085818975598348"/>
        </c:manualLayout>
      </c:layout>
      <c:barChart>
        <c:barDir val="col"/>
        <c:grouping val="stacked"/>
        <c:varyColors val="0"/>
        <c:ser>
          <c:idx val="0"/>
          <c:order val="0"/>
          <c:tx>
            <c:strRef>
              <c:f>PWP_Odra!$C$13</c:f>
              <c:strCache>
                <c:ptCount val="1"/>
                <c:pt idx="0">
                  <c:v>Zrzut</c:v>
                </c:pt>
              </c:strCache>
            </c:strRef>
          </c:tx>
          <c:spPr>
            <a:solidFill>
              <a:schemeClr val="accent2"/>
            </a:solidFill>
            <a:ln w="1270">
              <a:noFill/>
            </a:ln>
            <a:effectLst/>
          </c:spPr>
          <c:invertIfNegative val="0"/>
          <c:cat>
            <c:strRef>
              <c:f>PWP_Odra!$B$14:$B$20</c:f>
              <c:strCache>
                <c:ptCount val="5"/>
                <c:pt idx="0">
                  <c:v>RZGW Bydgoszcz</c:v>
                </c:pt>
                <c:pt idx="1">
                  <c:v>RZGW Gliwice</c:v>
                </c:pt>
                <c:pt idx="2">
                  <c:v>RZGW Poznań</c:v>
                </c:pt>
                <c:pt idx="3">
                  <c:v>RZGW Szczecin</c:v>
                </c:pt>
                <c:pt idx="4">
                  <c:v>RZGW Wrocław</c:v>
                </c:pt>
              </c:strCache>
            </c:strRef>
          </c:cat>
          <c:val>
            <c:numRef>
              <c:f>PWP_Odra!$C$14:$C$20</c:f>
              <c:numCache>
                <c:formatCode>General</c:formatCode>
                <c:ptCount val="7"/>
                <c:pt idx="0">
                  <c:v>1459</c:v>
                </c:pt>
                <c:pt idx="1">
                  <c:v>429</c:v>
                </c:pt>
                <c:pt idx="2">
                  <c:v>3451</c:v>
                </c:pt>
                <c:pt idx="3" formatCode="#,##0">
                  <c:v>1787</c:v>
                </c:pt>
                <c:pt idx="4" formatCode="#,##0">
                  <c:v>3653</c:v>
                </c:pt>
              </c:numCache>
            </c:numRef>
          </c:val>
          <c:extLst>
            <c:ext xmlns:c16="http://schemas.microsoft.com/office/drawing/2014/chart" uri="{C3380CC4-5D6E-409C-BE32-E72D297353CC}">
              <c16:uniqueId val="{00000000-D789-45E5-8056-E9BEE634D030}"/>
            </c:ext>
          </c:extLst>
        </c:ser>
        <c:ser>
          <c:idx val="1"/>
          <c:order val="1"/>
          <c:tx>
            <c:strRef>
              <c:f>PWP_Odra!$D$13</c:f>
              <c:strCache>
                <c:ptCount val="1"/>
                <c:pt idx="0">
                  <c:v>Pobór</c:v>
                </c:pt>
              </c:strCache>
            </c:strRef>
          </c:tx>
          <c:spPr>
            <a:solidFill>
              <a:schemeClr val="accent1"/>
            </a:solidFill>
            <a:ln w="1270">
              <a:noFill/>
            </a:ln>
            <a:effectLst/>
          </c:spPr>
          <c:invertIfNegative val="0"/>
          <c:cat>
            <c:strRef>
              <c:f>PWP_Odra!$B$14:$B$20</c:f>
              <c:strCache>
                <c:ptCount val="5"/>
                <c:pt idx="0">
                  <c:v>RZGW Bydgoszcz</c:v>
                </c:pt>
                <c:pt idx="1">
                  <c:v>RZGW Gliwice</c:v>
                </c:pt>
                <c:pt idx="2">
                  <c:v>RZGW Poznań</c:v>
                </c:pt>
                <c:pt idx="3">
                  <c:v>RZGW Szczecin</c:v>
                </c:pt>
                <c:pt idx="4">
                  <c:v>RZGW Wrocław</c:v>
                </c:pt>
              </c:strCache>
            </c:strRef>
          </c:cat>
          <c:val>
            <c:numRef>
              <c:f>PWP_Odra!$D$14:$D$20</c:f>
              <c:numCache>
                <c:formatCode>General</c:formatCode>
                <c:ptCount val="7"/>
                <c:pt idx="0">
                  <c:v>523</c:v>
                </c:pt>
                <c:pt idx="1">
                  <c:v>89</c:v>
                </c:pt>
                <c:pt idx="2">
                  <c:v>1079</c:v>
                </c:pt>
                <c:pt idx="3">
                  <c:v>326</c:v>
                </c:pt>
                <c:pt idx="4">
                  <c:v>327</c:v>
                </c:pt>
              </c:numCache>
            </c:numRef>
          </c:val>
          <c:extLst>
            <c:ext xmlns:c16="http://schemas.microsoft.com/office/drawing/2014/chart" uri="{C3380CC4-5D6E-409C-BE32-E72D297353CC}">
              <c16:uniqueId val="{00000001-D789-45E5-8056-E9BEE634D030}"/>
            </c:ext>
          </c:extLst>
        </c:ser>
        <c:ser>
          <c:idx val="2"/>
          <c:order val="2"/>
          <c:tx>
            <c:strRef>
              <c:f>PWP_Odra!$E$13</c:f>
              <c:strCache>
                <c:ptCount val="1"/>
                <c:pt idx="0">
                  <c:v>Retencjonowanie</c:v>
                </c:pt>
              </c:strCache>
            </c:strRef>
          </c:tx>
          <c:spPr>
            <a:solidFill>
              <a:schemeClr val="accent6"/>
            </a:solidFill>
            <a:ln w="1270">
              <a:noFill/>
            </a:ln>
            <a:effectLst/>
          </c:spPr>
          <c:invertIfNegative val="0"/>
          <c:cat>
            <c:strRef>
              <c:f>PWP_Odra!$B$14:$B$20</c:f>
              <c:strCache>
                <c:ptCount val="5"/>
                <c:pt idx="0">
                  <c:v>RZGW Bydgoszcz</c:v>
                </c:pt>
                <c:pt idx="1">
                  <c:v>RZGW Gliwice</c:v>
                </c:pt>
                <c:pt idx="2">
                  <c:v>RZGW Poznań</c:v>
                </c:pt>
                <c:pt idx="3">
                  <c:v>RZGW Szczecin</c:v>
                </c:pt>
                <c:pt idx="4">
                  <c:v>RZGW Wrocław</c:v>
                </c:pt>
              </c:strCache>
            </c:strRef>
          </c:cat>
          <c:val>
            <c:numRef>
              <c:f>PWP_Odra!$E$14:$E$20</c:f>
              <c:numCache>
                <c:formatCode>General</c:formatCode>
                <c:ptCount val="7"/>
                <c:pt idx="0">
                  <c:v>45</c:v>
                </c:pt>
                <c:pt idx="1">
                  <c:v>42</c:v>
                </c:pt>
                <c:pt idx="2">
                  <c:v>136</c:v>
                </c:pt>
                <c:pt idx="3">
                  <c:v>0</c:v>
                </c:pt>
                <c:pt idx="4">
                  <c:v>121</c:v>
                </c:pt>
              </c:numCache>
            </c:numRef>
          </c:val>
          <c:extLst>
            <c:ext xmlns:c16="http://schemas.microsoft.com/office/drawing/2014/chart" uri="{C3380CC4-5D6E-409C-BE32-E72D297353CC}">
              <c16:uniqueId val="{00000002-D789-45E5-8056-E9BEE634D030}"/>
            </c:ext>
          </c:extLst>
        </c:ser>
        <c:ser>
          <c:idx val="3"/>
          <c:order val="3"/>
          <c:tx>
            <c:strRef>
              <c:f>PWP_Odra!$F$13</c:f>
              <c:strCache>
                <c:ptCount val="1"/>
                <c:pt idx="0">
                  <c:v>Regulacja</c:v>
                </c:pt>
              </c:strCache>
            </c:strRef>
          </c:tx>
          <c:spPr>
            <a:solidFill>
              <a:schemeClr val="tx1"/>
            </a:solidFill>
            <a:ln w="1270">
              <a:noFill/>
            </a:ln>
            <a:effectLst/>
          </c:spPr>
          <c:invertIfNegative val="0"/>
          <c:cat>
            <c:strRef>
              <c:f>PWP_Odra!$B$14:$B$20</c:f>
              <c:strCache>
                <c:ptCount val="5"/>
                <c:pt idx="0">
                  <c:v>RZGW Bydgoszcz</c:v>
                </c:pt>
                <c:pt idx="1">
                  <c:v>RZGW Gliwice</c:v>
                </c:pt>
                <c:pt idx="2">
                  <c:v>RZGW Poznań</c:v>
                </c:pt>
                <c:pt idx="3">
                  <c:v>RZGW Szczecin</c:v>
                </c:pt>
                <c:pt idx="4">
                  <c:v>RZGW Wrocław</c:v>
                </c:pt>
              </c:strCache>
            </c:strRef>
          </c:cat>
          <c:val>
            <c:numRef>
              <c:f>PWP_Odra!$F$14:$F$20</c:f>
              <c:numCache>
                <c:formatCode>General</c:formatCode>
                <c:ptCount val="7"/>
                <c:pt idx="0">
                  <c:v>14</c:v>
                </c:pt>
                <c:pt idx="1">
                  <c:v>4</c:v>
                </c:pt>
                <c:pt idx="2">
                  <c:v>927</c:v>
                </c:pt>
                <c:pt idx="3">
                  <c:v>0</c:v>
                </c:pt>
                <c:pt idx="4">
                  <c:v>1</c:v>
                </c:pt>
              </c:numCache>
            </c:numRef>
          </c:val>
          <c:extLst>
            <c:ext xmlns:c16="http://schemas.microsoft.com/office/drawing/2014/chart" uri="{C3380CC4-5D6E-409C-BE32-E72D297353CC}">
              <c16:uniqueId val="{00000003-D789-45E5-8056-E9BEE634D030}"/>
            </c:ext>
          </c:extLst>
        </c:ser>
        <c:dLbls>
          <c:showLegendKey val="0"/>
          <c:showVal val="0"/>
          <c:showCatName val="0"/>
          <c:showSerName val="0"/>
          <c:showPercent val="0"/>
          <c:showBubbleSize val="0"/>
        </c:dLbls>
        <c:gapWidth val="150"/>
        <c:overlap val="100"/>
        <c:axId val="743766992"/>
        <c:axId val="743767320"/>
      </c:barChart>
      <c:catAx>
        <c:axId val="743766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43767320"/>
        <c:crosses val="autoZero"/>
        <c:auto val="1"/>
        <c:lblAlgn val="ctr"/>
        <c:lblOffset val="100"/>
        <c:noMultiLvlLbl val="0"/>
      </c:catAx>
      <c:valAx>
        <c:axId val="743767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43766992"/>
        <c:crosses val="autoZero"/>
        <c:crossBetween val="between"/>
      </c:valAx>
      <c:spPr>
        <a:noFill/>
        <a:ln>
          <a:noFill/>
        </a:ln>
        <a:effectLst/>
      </c:spPr>
    </c:plotArea>
    <c:legend>
      <c:legendPos val="b"/>
      <c:layout>
        <c:manualLayout>
          <c:xMode val="edge"/>
          <c:yMode val="edge"/>
          <c:x val="0.74711762170542306"/>
          <c:y val="0.11256908974791274"/>
          <c:w val="0.22549351479811572"/>
          <c:h val="0.7098215048784315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565705917918715"/>
          <c:y val="6.4007490636704134E-2"/>
          <c:w val="0.72378735614106826"/>
          <c:h val="0.70596714736500632"/>
        </c:manualLayout>
      </c:layout>
      <c:barChart>
        <c:barDir val="bar"/>
        <c:grouping val="stacked"/>
        <c:varyColors val="0"/>
        <c:ser>
          <c:idx val="0"/>
          <c:order val="0"/>
          <c:tx>
            <c:strRef>
              <c:f>ODRA!$J$32</c:f>
              <c:strCache>
                <c:ptCount val="1"/>
                <c:pt idx="0">
                  <c:v>Zdarzenia stwarzające zagrożenie dla wód</c:v>
                </c:pt>
              </c:strCache>
            </c:strRef>
          </c:tx>
          <c:spPr>
            <a:solidFill>
              <a:schemeClr val="accent1"/>
            </a:solidFill>
            <a:ln w="1270">
              <a:noFill/>
            </a:ln>
            <a:effectLst/>
          </c:spPr>
          <c:invertIfNegative val="0"/>
          <c:cat>
            <c:strRef>
              <c:f>ODRA!$I$33:$I$39</c:f>
              <c:strCache>
                <c:ptCount val="7"/>
                <c:pt idx="0">
                  <c:v>Dolnośląskie</c:v>
                </c:pt>
                <c:pt idx="1">
                  <c:v>Kujawsko - Pomorskie</c:v>
                </c:pt>
                <c:pt idx="2">
                  <c:v>Lubuskie</c:v>
                </c:pt>
                <c:pt idx="3">
                  <c:v>Łódzkie</c:v>
                </c:pt>
                <c:pt idx="4">
                  <c:v>Śląskie</c:v>
                </c:pt>
                <c:pt idx="5">
                  <c:v>Wielkopolskie</c:v>
                </c:pt>
                <c:pt idx="6">
                  <c:v>Zachodniopomorskie</c:v>
                </c:pt>
              </c:strCache>
            </c:strRef>
          </c:cat>
          <c:val>
            <c:numRef>
              <c:f>ODRA!$J$33:$J$39</c:f>
              <c:numCache>
                <c:formatCode>General</c:formatCode>
                <c:ptCount val="7"/>
                <c:pt idx="0">
                  <c:v>18</c:v>
                </c:pt>
                <c:pt idx="1">
                  <c:v>2</c:v>
                </c:pt>
                <c:pt idx="2">
                  <c:v>7</c:v>
                </c:pt>
                <c:pt idx="3">
                  <c:v>2</c:v>
                </c:pt>
                <c:pt idx="4">
                  <c:v>6</c:v>
                </c:pt>
                <c:pt idx="5">
                  <c:v>0</c:v>
                </c:pt>
                <c:pt idx="6">
                  <c:v>3</c:v>
                </c:pt>
              </c:numCache>
            </c:numRef>
          </c:val>
          <c:extLst>
            <c:ext xmlns:c16="http://schemas.microsoft.com/office/drawing/2014/chart" uri="{C3380CC4-5D6E-409C-BE32-E72D297353CC}">
              <c16:uniqueId val="{00000000-D8DE-4F1B-8D17-9B9CDE9983A1}"/>
            </c:ext>
          </c:extLst>
        </c:ser>
        <c:ser>
          <c:idx val="1"/>
          <c:order val="1"/>
          <c:tx>
            <c:strRef>
              <c:f>ODRA!$K$32</c:f>
              <c:strCache>
                <c:ptCount val="1"/>
                <c:pt idx="0">
                  <c:v>Pozostałe zdarzenia</c:v>
                </c:pt>
              </c:strCache>
            </c:strRef>
          </c:tx>
          <c:spPr>
            <a:solidFill>
              <a:schemeClr val="accent2"/>
            </a:solidFill>
            <a:ln w="1270">
              <a:noFill/>
            </a:ln>
            <a:effectLst/>
          </c:spPr>
          <c:invertIfNegative val="0"/>
          <c:cat>
            <c:strRef>
              <c:f>ODRA!$I$33:$I$39</c:f>
              <c:strCache>
                <c:ptCount val="7"/>
                <c:pt idx="0">
                  <c:v>Dolnośląskie</c:v>
                </c:pt>
                <c:pt idx="1">
                  <c:v>Kujawsko - Pomorskie</c:v>
                </c:pt>
                <c:pt idx="2">
                  <c:v>Lubuskie</c:v>
                </c:pt>
                <c:pt idx="3">
                  <c:v>Łódzkie</c:v>
                </c:pt>
                <c:pt idx="4">
                  <c:v>Śląskie</c:v>
                </c:pt>
                <c:pt idx="5">
                  <c:v>Wielkopolskie</c:v>
                </c:pt>
                <c:pt idx="6">
                  <c:v>Zachodniopomorskie</c:v>
                </c:pt>
              </c:strCache>
            </c:strRef>
          </c:cat>
          <c:val>
            <c:numRef>
              <c:f>ODRA!$K$33:$K$39</c:f>
              <c:numCache>
                <c:formatCode>General</c:formatCode>
                <c:ptCount val="7"/>
                <c:pt idx="0">
                  <c:v>8</c:v>
                </c:pt>
                <c:pt idx="1">
                  <c:v>0</c:v>
                </c:pt>
                <c:pt idx="2">
                  <c:v>0</c:v>
                </c:pt>
                <c:pt idx="3">
                  <c:v>1</c:v>
                </c:pt>
                <c:pt idx="4">
                  <c:v>1</c:v>
                </c:pt>
                <c:pt idx="5">
                  <c:v>1</c:v>
                </c:pt>
                <c:pt idx="6">
                  <c:v>1</c:v>
                </c:pt>
              </c:numCache>
            </c:numRef>
          </c:val>
          <c:extLst>
            <c:ext xmlns:c16="http://schemas.microsoft.com/office/drawing/2014/chart" uri="{C3380CC4-5D6E-409C-BE32-E72D297353CC}">
              <c16:uniqueId val="{00000001-D8DE-4F1B-8D17-9B9CDE9983A1}"/>
            </c:ext>
          </c:extLst>
        </c:ser>
        <c:dLbls>
          <c:showLegendKey val="0"/>
          <c:showVal val="0"/>
          <c:showCatName val="0"/>
          <c:showSerName val="0"/>
          <c:showPercent val="0"/>
          <c:showBubbleSize val="0"/>
        </c:dLbls>
        <c:gapWidth val="150"/>
        <c:overlap val="100"/>
        <c:axId val="330305024"/>
        <c:axId val="329956096"/>
      </c:barChart>
      <c:catAx>
        <c:axId val="330305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9956096"/>
        <c:crosses val="autoZero"/>
        <c:auto val="1"/>
        <c:lblAlgn val="ctr"/>
        <c:lblOffset val="100"/>
        <c:noMultiLvlLbl val="0"/>
      </c:catAx>
      <c:valAx>
        <c:axId val="3299560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Liczba zdarzeń</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0305024"/>
        <c:crosses val="autoZero"/>
        <c:crossBetween val="between"/>
      </c:valAx>
      <c:spPr>
        <a:noFill/>
        <a:ln>
          <a:noFill/>
        </a:ln>
        <a:effectLst/>
      </c:spPr>
    </c:plotArea>
    <c:legend>
      <c:legendPos val="b"/>
      <c:layout>
        <c:manualLayout>
          <c:xMode val="edge"/>
          <c:yMode val="edge"/>
          <c:x val="0"/>
          <c:y val="0.93305199209649359"/>
          <c:w val="1"/>
          <c:h val="6.320268955144653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RZGW_2018!$A$3</c:f>
              <c:strCache>
                <c:ptCount val="1"/>
                <c:pt idx="0">
                  <c:v>1. - 3.</c:v>
                </c:pt>
              </c:strCache>
            </c:strRef>
          </c:tx>
          <c:spPr>
            <a:solidFill>
              <a:schemeClr val="accent2"/>
            </a:solidFill>
            <a:ln w="12700">
              <a:solidFill>
                <a:schemeClr val="tx1">
                  <a:lumMod val="75000"/>
                  <a:lumOff val="25000"/>
                </a:scheme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0-277B-4054-BCB1-2C0E693966A2}"/>
              </c:ext>
            </c:extLst>
          </c:dPt>
          <c:dPt>
            <c:idx val="1"/>
            <c:invertIfNegative val="0"/>
            <c:bubble3D val="0"/>
            <c:extLst>
              <c:ext xmlns:c16="http://schemas.microsoft.com/office/drawing/2014/chart" uri="{C3380CC4-5D6E-409C-BE32-E72D297353CC}">
                <c16:uniqueId val="{00000001-277B-4054-BCB1-2C0E693966A2}"/>
              </c:ext>
            </c:extLst>
          </c:dPt>
          <c:dPt>
            <c:idx val="2"/>
            <c:invertIfNegative val="0"/>
            <c:bubble3D val="0"/>
            <c:extLst>
              <c:ext xmlns:c16="http://schemas.microsoft.com/office/drawing/2014/chart" uri="{C3380CC4-5D6E-409C-BE32-E72D297353CC}">
                <c16:uniqueId val="{00000002-277B-4054-BCB1-2C0E693966A2}"/>
              </c:ext>
            </c:extLst>
          </c:dPt>
          <c:dPt>
            <c:idx val="3"/>
            <c:invertIfNegative val="0"/>
            <c:bubble3D val="0"/>
            <c:extLst>
              <c:ext xmlns:c16="http://schemas.microsoft.com/office/drawing/2014/chart" uri="{C3380CC4-5D6E-409C-BE32-E72D297353CC}">
                <c16:uniqueId val="{00000003-277B-4054-BCB1-2C0E693966A2}"/>
              </c:ext>
            </c:extLst>
          </c:dPt>
          <c:dPt>
            <c:idx val="4"/>
            <c:invertIfNegative val="0"/>
            <c:bubble3D val="0"/>
            <c:extLst>
              <c:ext xmlns:c16="http://schemas.microsoft.com/office/drawing/2014/chart" uri="{C3380CC4-5D6E-409C-BE32-E72D297353CC}">
                <c16:uniqueId val="{00000004-277B-4054-BCB1-2C0E693966A2}"/>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RZGW_2018!$B$2:$F$2</c:f>
              <c:strCache>
                <c:ptCount val="5"/>
                <c:pt idx="0">
                  <c:v>Bydgoszcz</c:v>
                </c:pt>
                <c:pt idx="1">
                  <c:v>Gliwice</c:v>
                </c:pt>
                <c:pt idx="2">
                  <c:v>Poznań</c:v>
                </c:pt>
                <c:pt idx="3">
                  <c:v>Szczecin</c:v>
                </c:pt>
                <c:pt idx="4">
                  <c:v>Wrocław</c:v>
                </c:pt>
              </c:strCache>
            </c:strRef>
          </c:cat>
          <c:val>
            <c:numRef>
              <c:f>RZGW_2018!$B$3:$F$3</c:f>
              <c:numCache>
                <c:formatCode>General</c:formatCode>
                <c:ptCount val="5"/>
                <c:pt idx="0">
                  <c:v>136</c:v>
                </c:pt>
                <c:pt idx="1">
                  <c:v>43</c:v>
                </c:pt>
                <c:pt idx="2">
                  <c:v>185</c:v>
                </c:pt>
                <c:pt idx="3">
                  <c:v>82</c:v>
                </c:pt>
                <c:pt idx="4">
                  <c:v>313</c:v>
                </c:pt>
              </c:numCache>
            </c:numRef>
          </c:val>
          <c:extLst>
            <c:ext xmlns:c16="http://schemas.microsoft.com/office/drawing/2014/chart" uri="{C3380CC4-5D6E-409C-BE32-E72D297353CC}">
              <c16:uniqueId val="{00000005-277B-4054-BCB1-2C0E693966A2}"/>
            </c:ext>
          </c:extLst>
        </c:ser>
        <c:dLbls>
          <c:showLegendKey val="0"/>
          <c:showVal val="0"/>
          <c:showCatName val="0"/>
          <c:showSerName val="0"/>
          <c:showPercent val="0"/>
          <c:showBubbleSize val="0"/>
        </c:dLbls>
        <c:gapWidth val="100"/>
        <c:axId val="331207168"/>
        <c:axId val="331113024"/>
      </c:barChart>
      <c:valAx>
        <c:axId val="33111302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207168"/>
        <c:crosses val="autoZero"/>
        <c:crossBetween val="between"/>
      </c:valAx>
      <c:catAx>
        <c:axId val="33120716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113024"/>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RZGW_2018!$A$4</c:f>
              <c:strCache>
                <c:ptCount val="1"/>
                <c:pt idx="0">
                  <c:v>4.</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0-BF3E-4A3C-8164-563E19DC9D3D}"/>
              </c:ext>
            </c:extLst>
          </c:dPt>
          <c:dPt>
            <c:idx val="1"/>
            <c:invertIfNegative val="0"/>
            <c:bubble3D val="0"/>
            <c:extLst>
              <c:ext xmlns:c16="http://schemas.microsoft.com/office/drawing/2014/chart" uri="{C3380CC4-5D6E-409C-BE32-E72D297353CC}">
                <c16:uniqueId val="{00000001-BF3E-4A3C-8164-563E19DC9D3D}"/>
              </c:ext>
            </c:extLst>
          </c:dPt>
          <c:dPt>
            <c:idx val="2"/>
            <c:invertIfNegative val="0"/>
            <c:bubble3D val="0"/>
            <c:extLst>
              <c:ext xmlns:c16="http://schemas.microsoft.com/office/drawing/2014/chart" uri="{C3380CC4-5D6E-409C-BE32-E72D297353CC}">
                <c16:uniqueId val="{00000002-BF3E-4A3C-8164-563E19DC9D3D}"/>
              </c:ext>
            </c:extLst>
          </c:dPt>
          <c:dPt>
            <c:idx val="3"/>
            <c:invertIfNegative val="0"/>
            <c:bubble3D val="0"/>
            <c:extLst>
              <c:ext xmlns:c16="http://schemas.microsoft.com/office/drawing/2014/chart" uri="{C3380CC4-5D6E-409C-BE32-E72D297353CC}">
                <c16:uniqueId val="{00000003-BF3E-4A3C-8164-563E19DC9D3D}"/>
              </c:ext>
            </c:extLst>
          </c:dPt>
          <c:dPt>
            <c:idx val="4"/>
            <c:invertIfNegative val="0"/>
            <c:bubble3D val="0"/>
            <c:extLst>
              <c:ext xmlns:c16="http://schemas.microsoft.com/office/drawing/2014/chart" uri="{C3380CC4-5D6E-409C-BE32-E72D297353CC}">
                <c16:uniqueId val="{00000004-BF3E-4A3C-8164-563E19DC9D3D}"/>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RZGW_2018!$B$2:$F$2</c:f>
              <c:strCache>
                <c:ptCount val="5"/>
                <c:pt idx="0">
                  <c:v>Bydgoszcz</c:v>
                </c:pt>
                <c:pt idx="1">
                  <c:v>Gliwice</c:v>
                </c:pt>
                <c:pt idx="2">
                  <c:v>Poznań</c:v>
                </c:pt>
                <c:pt idx="3">
                  <c:v>Szczecin</c:v>
                </c:pt>
                <c:pt idx="4">
                  <c:v>Wrocław</c:v>
                </c:pt>
              </c:strCache>
            </c:strRef>
          </c:cat>
          <c:val>
            <c:numRef>
              <c:f>RZGW_2018!$B$4:$F$4</c:f>
              <c:numCache>
                <c:formatCode>General</c:formatCode>
                <c:ptCount val="5"/>
                <c:pt idx="0">
                  <c:v>3</c:v>
                </c:pt>
                <c:pt idx="1">
                  <c:v>2</c:v>
                </c:pt>
                <c:pt idx="2">
                  <c:v>3</c:v>
                </c:pt>
                <c:pt idx="3">
                  <c:v>11</c:v>
                </c:pt>
                <c:pt idx="4">
                  <c:v>12</c:v>
                </c:pt>
              </c:numCache>
            </c:numRef>
          </c:val>
          <c:extLst>
            <c:ext xmlns:c16="http://schemas.microsoft.com/office/drawing/2014/chart" uri="{C3380CC4-5D6E-409C-BE32-E72D297353CC}">
              <c16:uniqueId val="{00000005-BF3E-4A3C-8164-563E19DC9D3D}"/>
            </c:ext>
          </c:extLst>
        </c:ser>
        <c:dLbls>
          <c:showLegendKey val="0"/>
          <c:showVal val="0"/>
          <c:showCatName val="0"/>
          <c:showSerName val="0"/>
          <c:showPercent val="0"/>
          <c:showBubbleSize val="0"/>
        </c:dLbls>
        <c:gapWidth val="100"/>
        <c:axId val="331209728"/>
        <c:axId val="331115904"/>
      </c:barChart>
      <c:valAx>
        <c:axId val="3311159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209728"/>
        <c:crosses val="autoZero"/>
        <c:crossBetween val="between"/>
      </c:valAx>
      <c:catAx>
        <c:axId val="33120972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11590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RZGW_2018!$A$5</c:f>
              <c:strCache>
                <c:ptCount val="1"/>
                <c:pt idx="0">
                  <c:v>5.</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0-C1E6-434C-8621-BD14E7D7C33F}"/>
              </c:ext>
            </c:extLst>
          </c:dPt>
          <c:dPt>
            <c:idx val="1"/>
            <c:invertIfNegative val="0"/>
            <c:bubble3D val="0"/>
            <c:extLst>
              <c:ext xmlns:c16="http://schemas.microsoft.com/office/drawing/2014/chart" uri="{C3380CC4-5D6E-409C-BE32-E72D297353CC}">
                <c16:uniqueId val="{00000001-C1E6-434C-8621-BD14E7D7C33F}"/>
              </c:ext>
            </c:extLst>
          </c:dPt>
          <c:dPt>
            <c:idx val="2"/>
            <c:invertIfNegative val="0"/>
            <c:bubble3D val="0"/>
            <c:extLst>
              <c:ext xmlns:c16="http://schemas.microsoft.com/office/drawing/2014/chart" uri="{C3380CC4-5D6E-409C-BE32-E72D297353CC}">
                <c16:uniqueId val="{00000002-C1E6-434C-8621-BD14E7D7C33F}"/>
              </c:ext>
            </c:extLst>
          </c:dPt>
          <c:dPt>
            <c:idx val="3"/>
            <c:invertIfNegative val="0"/>
            <c:bubble3D val="0"/>
            <c:extLst>
              <c:ext xmlns:c16="http://schemas.microsoft.com/office/drawing/2014/chart" uri="{C3380CC4-5D6E-409C-BE32-E72D297353CC}">
                <c16:uniqueId val="{00000003-C1E6-434C-8621-BD14E7D7C33F}"/>
              </c:ext>
            </c:extLst>
          </c:dPt>
          <c:dPt>
            <c:idx val="4"/>
            <c:invertIfNegative val="0"/>
            <c:bubble3D val="0"/>
            <c:extLst>
              <c:ext xmlns:c16="http://schemas.microsoft.com/office/drawing/2014/chart" uri="{C3380CC4-5D6E-409C-BE32-E72D297353CC}">
                <c16:uniqueId val="{00000004-C1E6-434C-8621-BD14E7D7C33F}"/>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RZGW_2018!$B$2:$F$2</c:f>
              <c:strCache>
                <c:ptCount val="5"/>
                <c:pt idx="0">
                  <c:v>Bydgoszcz</c:v>
                </c:pt>
                <c:pt idx="1">
                  <c:v>Gliwice</c:v>
                </c:pt>
                <c:pt idx="2">
                  <c:v>Poznań</c:v>
                </c:pt>
                <c:pt idx="3">
                  <c:v>Szczecin</c:v>
                </c:pt>
                <c:pt idx="4">
                  <c:v>Wrocław</c:v>
                </c:pt>
              </c:strCache>
            </c:strRef>
          </c:cat>
          <c:val>
            <c:numRef>
              <c:f>RZGW_2018!$B$5:$F$5</c:f>
              <c:numCache>
                <c:formatCode>General</c:formatCode>
                <c:ptCount val="5"/>
                <c:pt idx="0">
                  <c:v>4</c:v>
                </c:pt>
                <c:pt idx="1">
                  <c:v>6</c:v>
                </c:pt>
                <c:pt idx="2">
                  <c:v>7</c:v>
                </c:pt>
                <c:pt idx="3">
                  <c:v>11</c:v>
                </c:pt>
                <c:pt idx="4">
                  <c:v>38</c:v>
                </c:pt>
              </c:numCache>
            </c:numRef>
          </c:val>
          <c:extLst>
            <c:ext xmlns:c16="http://schemas.microsoft.com/office/drawing/2014/chart" uri="{C3380CC4-5D6E-409C-BE32-E72D297353CC}">
              <c16:uniqueId val="{00000005-C1E6-434C-8621-BD14E7D7C33F}"/>
            </c:ext>
          </c:extLst>
        </c:ser>
        <c:dLbls>
          <c:showLegendKey val="0"/>
          <c:showVal val="0"/>
          <c:showCatName val="0"/>
          <c:showSerName val="0"/>
          <c:showPercent val="0"/>
          <c:showBubbleSize val="0"/>
        </c:dLbls>
        <c:gapWidth val="100"/>
        <c:axId val="331490304"/>
        <c:axId val="331117632"/>
      </c:barChart>
      <c:valAx>
        <c:axId val="33111763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490304"/>
        <c:crosses val="autoZero"/>
        <c:crossBetween val="between"/>
      </c:valAx>
      <c:catAx>
        <c:axId val="331490304"/>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117632"/>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RZGW_2018!$A$6</c:f>
              <c:strCache>
                <c:ptCount val="1"/>
                <c:pt idx="0">
                  <c:v>6.</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1-DF63-4129-9467-806C42F6D418}"/>
              </c:ext>
            </c:extLst>
          </c:dPt>
          <c:dPt>
            <c:idx val="1"/>
            <c:invertIfNegative val="0"/>
            <c:bubble3D val="0"/>
            <c:extLst>
              <c:ext xmlns:c16="http://schemas.microsoft.com/office/drawing/2014/chart" uri="{C3380CC4-5D6E-409C-BE32-E72D297353CC}">
                <c16:uniqueId val="{00000003-DF63-4129-9467-806C42F6D418}"/>
              </c:ext>
            </c:extLst>
          </c:dPt>
          <c:dPt>
            <c:idx val="2"/>
            <c:invertIfNegative val="0"/>
            <c:bubble3D val="0"/>
            <c:extLst>
              <c:ext xmlns:c16="http://schemas.microsoft.com/office/drawing/2014/chart" uri="{C3380CC4-5D6E-409C-BE32-E72D297353CC}">
                <c16:uniqueId val="{00000005-DF63-4129-9467-806C42F6D418}"/>
              </c:ext>
            </c:extLst>
          </c:dPt>
          <c:dPt>
            <c:idx val="3"/>
            <c:invertIfNegative val="0"/>
            <c:bubble3D val="0"/>
            <c:extLst>
              <c:ext xmlns:c16="http://schemas.microsoft.com/office/drawing/2014/chart" uri="{C3380CC4-5D6E-409C-BE32-E72D297353CC}">
                <c16:uniqueId val="{00000007-DF63-4129-9467-806C42F6D418}"/>
              </c:ext>
            </c:extLst>
          </c:dPt>
          <c:dPt>
            <c:idx val="4"/>
            <c:invertIfNegative val="0"/>
            <c:bubble3D val="0"/>
            <c:extLst>
              <c:ext xmlns:c16="http://schemas.microsoft.com/office/drawing/2014/chart" uri="{C3380CC4-5D6E-409C-BE32-E72D297353CC}">
                <c16:uniqueId val="{00000009-DF63-4129-9467-806C42F6D418}"/>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RZGW_2018!$B$2:$F$2</c:f>
              <c:strCache>
                <c:ptCount val="5"/>
                <c:pt idx="0">
                  <c:v>Bydgoszcz</c:v>
                </c:pt>
                <c:pt idx="1">
                  <c:v>Gliwice</c:v>
                </c:pt>
                <c:pt idx="2">
                  <c:v>Poznań</c:v>
                </c:pt>
                <c:pt idx="3">
                  <c:v>Szczecin</c:v>
                </c:pt>
                <c:pt idx="4">
                  <c:v>Wrocław</c:v>
                </c:pt>
              </c:strCache>
            </c:strRef>
          </c:cat>
          <c:val>
            <c:numRef>
              <c:f>RZGW_2018!$B$6:$F$6</c:f>
              <c:numCache>
                <c:formatCode>General</c:formatCode>
                <c:ptCount val="5"/>
                <c:pt idx="0">
                  <c:v>14</c:v>
                </c:pt>
                <c:pt idx="1">
                  <c:v>5</c:v>
                </c:pt>
                <c:pt idx="2">
                  <c:v>119</c:v>
                </c:pt>
                <c:pt idx="3">
                  <c:v>17</c:v>
                </c:pt>
                <c:pt idx="4">
                  <c:v>77</c:v>
                </c:pt>
              </c:numCache>
            </c:numRef>
          </c:val>
          <c:extLst>
            <c:ext xmlns:c16="http://schemas.microsoft.com/office/drawing/2014/chart" uri="{C3380CC4-5D6E-409C-BE32-E72D297353CC}">
              <c16:uniqueId val="{0000000A-DF63-4129-9467-806C42F6D418}"/>
            </c:ext>
          </c:extLst>
        </c:ser>
        <c:dLbls>
          <c:showLegendKey val="0"/>
          <c:showVal val="0"/>
          <c:showCatName val="0"/>
          <c:showSerName val="0"/>
          <c:showPercent val="0"/>
          <c:showBubbleSize val="0"/>
        </c:dLbls>
        <c:gapWidth val="100"/>
        <c:axId val="331492352"/>
        <c:axId val="331119360"/>
      </c:barChart>
      <c:valAx>
        <c:axId val="33111936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492352"/>
        <c:crosses val="autoZero"/>
        <c:crossBetween val="between"/>
      </c:valAx>
      <c:catAx>
        <c:axId val="331492352"/>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119360"/>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RZGW_2018!$A$7</c:f>
              <c:strCache>
                <c:ptCount val="1"/>
                <c:pt idx="0">
                  <c:v>7.</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0-D44A-4E3F-A79E-F7204DE0FDDE}"/>
              </c:ext>
            </c:extLst>
          </c:dPt>
          <c:dPt>
            <c:idx val="1"/>
            <c:invertIfNegative val="0"/>
            <c:bubble3D val="0"/>
            <c:extLst>
              <c:ext xmlns:c16="http://schemas.microsoft.com/office/drawing/2014/chart" uri="{C3380CC4-5D6E-409C-BE32-E72D297353CC}">
                <c16:uniqueId val="{00000001-D44A-4E3F-A79E-F7204DE0FDDE}"/>
              </c:ext>
            </c:extLst>
          </c:dPt>
          <c:dPt>
            <c:idx val="2"/>
            <c:invertIfNegative val="0"/>
            <c:bubble3D val="0"/>
            <c:extLst>
              <c:ext xmlns:c16="http://schemas.microsoft.com/office/drawing/2014/chart" uri="{C3380CC4-5D6E-409C-BE32-E72D297353CC}">
                <c16:uniqueId val="{00000002-D44A-4E3F-A79E-F7204DE0FDDE}"/>
              </c:ext>
            </c:extLst>
          </c:dPt>
          <c:dPt>
            <c:idx val="3"/>
            <c:invertIfNegative val="0"/>
            <c:bubble3D val="0"/>
            <c:extLst>
              <c:ext xmlns:c16="http://schemas.microsoft.com/office/drawing/2014/chart" uri="{C3380CC4-5D6E-409C-BE32-E72D297353CC}">
                <c16:uniqueId val="{00000003-D44A-4E3F-A79E-F7204DE0FDDE}"/>
              </c:ext>
            </c:extLst>
          </c:dPt>
          <c:dPt>
            <c:idx val="4"/>
            <c:invertIfNegative val="0"/>
            <c:bubble3D val="0"/>
            <c:extLst>
              <c:ext xmlns:c16="http://schemas.microsoft.com/office/drawing/2014/chart" uri="{C3380CC4-5D6E-409C-BE32-E72D297353CC}">
                <c16:uniqueId val="{00000004-D44A-4E3F-A79E-F7204DE0FDDE}"/>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RZGW_2018!$B$2:$F$2</c:f>
              <c:strCache>
                <c:ptCount val="5"/>
                <c:pt idx="0">
                  <c:v>Bydgoszcz</c:v>
                </c:pt>
                <c:pt idx="1">
                  <c:v>Gliwice</c:v>
                </c:pt>
                <c:pt idx="2">
                  <c:v>Poznań</c:v>
                </c:pt>
                <c:pt idx="3">
                  <c:v>Szczecin</c:v>
                </c:pt>
                <c:pt idx="4">
                  <c:v>Wrocław</c:v>
                </c:pt>
              </c:strCache>
            </c:strRef>
          </c:cat>
          <c:val>
            <c:numRef>
              <c:f>RZGW_2018!$B$7:$F$7</c:f>
              <c:numCache>
                <c:formatCode>General</c:formatCode>
                <c:ptCount val="5"/>
                <c:pt idx="0">
                  <c:v>18</c:v>
                </c:pt>
                <c:pt idx="1">
                  <c:v>23</c:v>
                </c:pt>
                <c:pt idx="2">
                  <c:v>143</c:v>
                </c:pt>
                <c:pt idx="3">
                  <c:v>109</c:v>
                </c:pt>
                <c:pt idx="4">
                  <c:v>134</c:v>
                </c:pt>
              </c:numCache>
            </c:numRef>
          </c:val>
          <c:extLst>
            <c:ext xmlns:c16="http://schemas.microsoft.com/office/drawing/2014/chart" uri="{C3380CC4-5D6E-409C-BE32-E72D297353CC}">
              <c16:uniqueId val="{00000005-D44A-4E3F-A79E-F7204DE0FDDE}"/>
            </c:ext>
          </c:extLst>
        </c:ser>
        <c:dLbls>
          <c:showLegendKey val="0"/>
          <c:showVal val="0"/>
          <c:showCatName val="0"/>
          <c:showSerName val="0"/>
          <c:showPercent val="0"/>
          <c:showBubbleSize val="0"/>
        </c:dLbls>
        <c:gapWidth val="100"/>
        <c:axId val="331625472"/>
        <c:axId val="331440704"/>
      </c:barChart>
      <c:valAx>
        <c:axId val="3314407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625472"/>
        <c:crosses val="autoZero"/>
        <c:crossBetween val="between"/>
      </c:valAx>
      <c:catAx>
        <c:axId val="331625472"/>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44070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RZGW_2018!$A$8</c:f>
              <c:strCache>
                <c:ptCount val="1"/>
                <c:pt idx="0">
                  <c:v>8.</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1-FDB5-4C85-A99E-4249F165DCED}"/>
              </c:ext>
            </c:extLst>
          </c:dPt>
          <c:dPt>
            <c:idx val="1"/>
            <c:invertIfNegative val="0"/>
            <c:bubble3D val="0"/>
            <c:extLst>
              <c:ext xmlns:c16="http://schemas.microsoft.com/office/drawing/2014/chart" uri="{C3380CC4-5D6E-409C-BE32-E72D297353CC}">
                <c16:uniqueId val="{00000003-FDB5-4C85-A99E-4249F165DCED}"/>
              </c:ext>
            </c:extLst>
          </c:dPt>
          <c:dPt>
            <c:idx val="2"/>
            <c:invertIfNegative val="0"/>
            <c:bubble3D val="0"/>
            <c:extLst>
              <c:ext xmlns:c16="http://schemas.microsoft.com/office/drawing/2014/chart" uri="{C3380CC4-5D6E-409C-BE32-E72D297353CC}">
                <c16:uniqueId val="{00000005-FDB5-4C85-A99E-4249F165DCED}"/>
              </c:ext>
            </c:extLst>
          </c:dPt>
          <c:dPt>
            <c:idx val="3"/>
            <c:invertIfNegative val="0"/>
            <c:bubble3D val="0"/>
            <c:extLst>
              <c:ext xmlns:c16="http://schemas.microsoft.com/office/drawing/2014/chart" uri="{C3380CC4-5D6E-409C-BE32-E72D297353CC}">
                <c16:uniqueId val="{00000007-FDB5-4C85-A99E-4249F165DCED}"/>
              </c:ext>
            </c:extLst>
          </c:dPt>
          <c:dPt>
            <c:idx val="4"/>
            <c:invertIfNegative val="0"/>
            <c:bubble3D val="0"/>
            <c:extLst>
              <c:ext xmlns:c16="http://schemas.microsoft.com/office/drawing/2014/chart" uri="{C3380CC4-5D6E-409C-BE32-E72D297353CC}">
                <c16:uniqueId val="{00000009-FDB5-4C85-A99E-4249F165DCED}"/>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RZGW_2018!$B$2:$F$2</c:f>
              <c:strCache>
                <c:ptCount val="5"/>
                <c:pt idx="0">
                  <c:v>Bydgoszcz</c:v>
                </c:pt>
                <c:pt idx="1">
                  <c:v>Gliwice</c:v>
                </c:pt>
                <c:pt idx="2">
                  <c:v>Poznań</c:v>
                </c:pt>
                <c:pt idx="3">
                  <c:v>Szczecin</c:v>
                </c:pt>
                <c:pt idx="4">
                  <c:v>Wrocław</c:v>
                </c:pt>
              </c:strCache>
            </c:strRef>
          </c:cat>
          <c:val>
            <c:numRef>
              <c:f>RZGW_2018!$B$8:$F$8</c:f>
              <c:numCache>
                <c:formatCode>General</c:formatCode>
                <c:ptCount val="5"/>
                <c:pt idx="0">
                  <c:v>3</c:v>
                </c:pt>
                <c:pt idx="1">
                  <c:v>0</c:v>
                </c:pt>
                <c:pt idx="2">
                  <c:v>1</c:v>
                </c:pt>
                <c:pt idx="3">
                  <c:v>4</c:v>
                </c:pt>
                <c:pt idx="4">
                  <c:v>45</c:v>
                </c:pt>
              </c:numCache>
            </c:numRef>
          </c:val>
          <c:extLst>
            <c:ext xmlns:c16="http://schemas.microsoft.com/office/drawing/2014/chart" uri="{C3380CC4-5D6E-409C-BE32-E72D297353CC}">
              <c16:uniqueId val="{0000000A-FDB5-4C85-A99E-4249F165DCED}"/>
            </c:ext>
          </c:extLst>
        </c:ser>
        <c:dLbls>
          <c:showLegendKey val="0"/>
          <c:showVal val="0"/>
          <c:showCatName val="0"/>
          <c:showSerName val="0"/>
          <c:showPercent val="0"/>
          <c:showBubbleSize val="0"/>
        </c:dLbls>
        <c:gapWidth val="100"/>
        <c:axId val="331627520"/>
        <c:axId val="331119936"/>
      </c:barChart>
      <c:valAx>
        <c:axId val="33111993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627520"/>
        <c:crosses val="autoZero"/>
        <c:crossBetween val="between"/>
      </c:valAx>
      <c:catAx>
        <c:axId val="331627520"/>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119936"/>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RZGW_2019!$A$4</c:f>
              <c:strCache>
                <c:ptCount val="1"/>
                <c:pt idx="0">
                  <c:v>1.-4.</c:v>
                </c:pt>
              </c:strCache>
            </c:strRef>
          </c:tx>
          <c:spPr>
            <a:solidFill>
              <a:srgbClr val="4F81BD"/>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1-79DF-4C09-B209-903193B6EEA9}"/>
              </c:ext>
            </c:extLst>
          </c:dPt>
          <c:dPt>
            <c:idx val="1"/>
            <c:invertIfNegative val="0"/>
            <c:bubble3D val="0"/>
            <c:extLst>
              <c:ext xmlns:c16="http://schemas.microsoft.com/office/drawing/2014/chart" uri="{C3380CC4-5D6E-409C-BE32-E72D297353CC}">
                <c16:uniqueId val="{00000003-79DF-4C09-B209-903193B6EEA9}"/>
              </c:ext>
            </c:extLst>
          </c:dPt>
          <c:dPt>
            <c:idx val="2"/>
            <c:invertIfNegative val="0"/>
            <c:bubble3D val="0"/>
            <c:extLst>
              <c:ext xmlns:c16="http://schemas.microsoft.com/office/drawing/2014/chart" uri="{C3380CC4-5D6E-409C-BE32-E72D297353CC}">
                <c16:uniqueId val="{00000005-79DF-4C09-B209-903193B6EEA9}"/>
              </c:ext>
            </c:extLst>
          </c:dPt>
          <c:dPt>
            <c:idx val="3"/>
            <c:invertIfNegative val="0"/>
            <c:bubble3D val="0"/>
            <c:extLst>
              <c:ext xmlns:c16="http://schemas.microsoft.com/office/drawing/2014/chart" uri="{C3380CC4-5D6E-409C-BE32-E72D297353CC}">
                <c16:uniqueId val="{00000007-79DF-4C09-B209-903193B6EEA9}"/>
              </c:ext>
            </c:extLst>
          </c:dPt>
          <c:dPt>
            <c:idx val="4"/>
            <c:invertIfNegative val="0"/>
            <c:bubble3D val="0"/>
            <c:extLst>
              <c:ext xmlns:c16="http://schemas.microsoft.com/office/drawing/2014/chart" uri="{C3380CC4-5D6E-409C-BE32-E72D297353CC}">
                <c16:uniqueId val="{00000009-79DF-4C09-B209-903193B6EEA9}"/>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RZGW_2019!$B$3:$F$3</c:f>
              <c:strCache>
                <c:ptCount val="5"/>
                <c:pt idx="0">
                  <c:v>Bydgoszcz</c:v>
                </c:pt>
                <c:pt idx="1">
                  <c:v>Gliwice</c:v>
                </c:pt>
                <c:pt idx="2">
                  <c:v>Poznań</c:v>
                </c:pt>
                <c:pt idx="3">
                  <c:v>Szczecin</c:v>
                </c:pt>
                <c:pt idx="4">
                  <c:v>Wrocław</c:v>
                </c:pt>
              </c:strCache>
            </c:strRef>
          </c:cat>
          <c:val>
            <c:numRef>
              <c:f>RZGW_2019!$B$4:$F$4</c:f>
              <c:numCache>
                <c:formatCode>General</c:formatCode>
                <c:ptCount val="5"/>
                <c:pt idx="0">
                  <c:v>327</c:v>
                </c:pt>
                <c:pt idx="1">
                  <c:v>233</c:v>
                </c:pt>
                <c:pt idx="2">
                  <c:v>278</c:v>
                </c:pt>
                <c:pt idx="3">
                  <c:v>153</c:v>
                </c:pt>
                <c:pt idx="4">
                  <c:v>525</c:v>
                </c:pt>
              </c:numCache>
            </c:numRef>
          </c:val>
          <c:extLst>
            <c:ext xmlns:c16="http://schemas.microsoft.com/office/drawing/2014/chart" uri="{C3380CC4-5D6E-409C-BE32-E72D297353CC}">
              <c16:uniqueId val="{0000000A-79DF-4C09-B209-903193B6EEA9}"/>
            </c:ext>
          </c:extLst>
        </c:ser>
        <c:dLbls>
          <c:showLegendKey val="0"/>
          <c:showVal val="0"/>
          <c:showCatName val="0"/>
          <c:showSerName val="0"/>
          <c:showPercent val="0"/>
          <c:showBubbleSize val="0"/>
        </c:dLbls>
        <c:gapWidth val="100"/>
        <c:axId val="331740160"/>
        <c:axId val="331444160"/>
      </c:barChart>
      <c:valAx>
        <c:axId val="33144416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740160"/>
        <c:crosses val="autoZero"/>
        <c:crossBetween val="between"/>
      </c:valAx>
      <c:catAx>
        <c:axId val="331740160"/>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444160"/>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sz="1800" b="1" i="0" u="none" strike="noStrike" kern="1200" baseline="0">
                <a:solidFill>
                  <a:sysClr val="windowText" lastClr="000000"/>
                </a:solidFill>
                <a:latin typeface="+mn-lt"/>
                <a:ea typeface="+mn-ea"/>
                <a:cs typeface="+mn-cs"/>
              </a:rPr>
              <a:t>JCWP</a:t>
            </a:r>
            <a:r>
              <a:rPr lang="pl-PL" baseline="0"/>
              <a:t> LW</a:t>
            </a:r>
            <a:endParaRPr lang="pl-PL"/>
          </a:p>
        </c:rich>
      </c:tx>
      <c:layout>
        <c:manualLayout>
          <c:xMode val="edge"/>
          <c:yMode val="edge"/>
          <c:x val="0.40365465742670403"/>
          <c:y val="0"/>
        </c:manualLayout>
      </c:layout>
      <c:overlay val="0"/>
    </c:title>
    <c:autoTitleDeleted val="0"/>
    <c:plotArea>
      <c:layout>
        <c:manualLayout>
          <c:layoutTarget val="inner"/>
          <c:xMode val="edge"/>
          <c:yMode val="edge"/>
          <c:x val="0.10571062272153552"/>
          <c:y val="0.14262560281175926"/>
          <c:w val="0.47225365274289638"/>
          <c:h val="0.80979654251696043"/>
        </c:manualLayout>
      </c:layout>
      <c:pieChart>
        <c:varyColors val="1"/>
        <c:ser>
          <c:idx val="0"/>
          <c:order val="0"/>
          <c:tx>
            <c:strRef>
              <c:f>Regiony_Wodne!$B$11:$B$28</c:f>
              <c:strCache>
                <c:ptCount val="18"/>
                <c:pt idx="0">
                  <c:v>Region wodny Dolnej Odry i Przymorza Zachodniego</c:v>
                </c:pt>
                <c:pt idx="1">
                  <c:v>region wodny Dolnej Wisły</c:v>
                </c:pt>
                <c:pt idx="2">
                  <c:v>Region wodny Górnej Odry</c:v>
                </c:pt>
                <c:pt idx="3">
                  <c:v>region wodny Górnej-Wschodniej Wisły</c:v>
                </c:pt>
                <c:pt idx="4">
                  <c:v>region wodny Górnej-Zachodniej Wisły</c:v>
                </c:pt>
                <c:pt idx="5">
                  <c:v>region wodny Izery</c:v>
                </c:pt>
                <c:pt idx="6">
                  <c:v>region wodny Łaby i Ostrożnicy (Upa)</c:v>
                </c:pt>
                <c:pt idx="7">
                  <c:v>region wodny Łyny i Węgorapy</c:v>
                </c:pt>
                <c:pt idx="8">
                  <c:v>region wodny Małej Wisły</c:v>
                </c:pt>
                <c:pt idx="9">
                  <c:v>region wodny Metuje</c:v>
                </c:pt>
                <c:pt idx="10">
                  <c:v>region wodny Narwi</c:v>
                </c:pt>
                <c:pt idx="11">
                  <c:v>region wodny Niemna</c:v>
                </c:pt>
                <c:pt idx="12">
                  <c:v>Region wodny Noteci</c:v>
                </c:pt>
                <c:pt idx="13">
                  <c:v>region wodny Orlicy</c:v>
                </c:pt>
                <c:pt idx="14">
                  <c:v>Region wodny Środkowej Odry</c:v>
                </c:pt>
                <c:pt idx="15">
                  <c:v>region wodny Środkowej Wisły</c:v>
                </c:pt>
                <c:pt idx="16">
                  <c:v>region wodny Świeżej</c:v>
                </c:pt>
                <c:pt idx="17">
                  <c:v>Region wodny Warty</c:v>
                </c:pt>
              </c:strCache>
            </c:strRef>
          </c:tx>
          <c:spPr>
            <a:ln w="1270">
              <a:solidFill>
                <a:schemeClr val="tx1">
                  <a:lumMod val="75000"/>
                  <a:lumOff val="25000"/>
                </a:schemeClr>
              </a:solidFill>
            </a:ln>
          </c:spPr>
          <c:dPt>
            <c:idx val="0"/>
            <c:bubble3D val="0"/>
            <c:spPr>
              <a:solidFill>
                <a:schemeClr val="accent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72D-4CE9-8DE6-BA287941CD53}"/>
              </c:ext>
            </c:extLst>
          </c:dPt>
          <c:dPt>
            <c:idx val="1"/>
            <c:bubble3D val="0"/>
            <c:spPr>
              <a:solidFill>
                <a:schemeClr val="accent2"/>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72D-4CE9-8DE6-BA287941CD53}"/>
              </c:ext>
            </c:extLst>
          </c:dPt>
          <c:dPt>
            <c:idx val="2"/>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72D-4CE9-8DE6-BA287941CD53}"/>
              </c:ext>
            </c:extLst>
          </c:dPt>
          <c:dPt>
            <c:idx val="3"/>
            <c:bubble3D val="0"/>
            <c:spPr>
              <a:solidFill>
                <a:schemeClr val="accent4"/>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72D-4CE9-8DE6-BA287941CD53}"/>
              </c:ext>
            </c:extLst>
          </c:dPt>
          <c:dPt>
            <c:idx val="4"/>
            <c:bubble3D val="0"/>
            <c:spPr>
              <a:solidFill>
                <a:schemeClr val="bg1">
                  <a:lumMod val="75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972D-4CE9-8DE6-BA287941CD53}"/>
              </c:ext>
            </c:extLst>
          </c:dPt>
          <c:dLbls>
            <c:dLbl>
              <c:idx val="4"/>
              <c:tx>
                <c:rich>
                  <a:bodyPr/>
                  <a:lstStyle/>
                  <a:p>
                    <a:r>
                      <a:rPr lang="en-US" baseline="0"/>
                      <a:t>29,1%</a:t>
                    </a:r>
                    <a:endParaRPr lang="en-US"/>
                  </a:p>
                </c:rich>
              </c:tx>
              <c:dLblPos val="inEnd"/>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72D-4CE9-8DE6-BA287941CD53}"/>
                </c:ext>
              </c:extLst>
            </c:dLbl>
            <c:numFmt formatCode="0.0%" sourceLinked="0"/>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Regiony_Wodne!$B$11:$B$28</c:f>
              <c:strCache>
                <c:ptCount val="5"/>
                <c:pt idx="0">
                  <c:v>Region wodny Dolnej Odry i Przymorza Zachodniego</c:v>
                </c:pt>
                <c:pt idx="1">
                  <c:v>Region wodny Górnej Odry</c:v>
                </c:pt>
                <c:pt idx="2">
                  <c:v>Region wodny Noteci</c:v>
                </c:pt>
                <c:pt idx="3">
                  <c:v>Region wodny Środkowej Odry</c:v>
                </c:pt>
                <c:pt idx="4">
                  <c:v>Region wodny Warty</c:v>
                </c:pt>
              </c:strCache>
            </c:strRef>
          </c:cat>
          <c:val>
            <c:numRef>
              <c:f>Regiony_Wodne!$G$11:$G$28</c:f>
              <c:numCache>
                <c:formatCode>0</c:formatCode>
                <c:ptCount val="5"/>
                <c:pt idx="0">
                  <c:v>109</c:v>
                </c:pt>
                <c:pt idx="1">
                  <c:v>1</c:v>
                </c:pt>
                <c:pt idx="2">
                  <c:v>166</c:v>
                </c:pt>
                <c:pt idx="3">
                  <c:v>27</c:v>
                </c:pt>
                <c:pt idx="4">
                  <c:v>124</c:v>
                </c:pt>
              </c:numCache>
            </c:numRef>
          </c:val>
          <c:extLst>
            <c:ext xmlns:c16="http://schemas.microsoft.com/office/drawing/2014/chart" uri="{C3380CC4-5D6E-409C-BE32-E72D297353CC}">
              <c16:uniqueId val="{0000000A-972D-4CE9-8DE6-BA287941CD5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1726172219065001"/>
          <c:y val="0.23954514143924374"/>
          <c:w val="0.38273827780935005"/>
          <c:h val="0.67061953166922283"/>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RZGW_2019!$A$5</c:f>
              <c:strCache>
                <c:ptCount val="1"/>
                <c:pt idx="0">
                  <c:v>5.</c:v>
                </c:pt>
              </c:strCache>
            </c:strRef>
          </c:tx>
          <c:spPr>
            <a:solidFill>
              <a:srgbClr val="4F81BD"/>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0-8E87-49D0-8698-D2FAB0AF74B1}"/>
              </c:ext>
            </c:extLst>
          </c:dPt>
          <c:dPt>
            <c:idx val="1"/>
            <c:invertIfNegative val="0"/>
            <c:bubble3D val="0"/>
            <c:extLst>
              <c:ext xmlns:c16="http://schemas.microsoft.com/office/drawing/2014/chart" uri="{C3380CC4-5D6E-409C-BE32-E72D297353CC}">
                <c16:uniqueId val="{00000001-8E87-49D0-8698-D2FAB0AF74B1}"/>
              </c:ext>
            </c:extLst>
          </c:dPt>
          <c:dPt>
            <c:idx val="2"/>
            <c:invertIfNegative val="0"/>
            <c:bubble3D val="0"/>
            <c:extLst>
              <c:ext xmlns:c16="http://schemas.microsoft.com/office/drawing/2014/chart" uri="{C3380CC4-5D6E-409C-BE32-E72D297353CC}">
                <c16:uniqueId val="{00000002-8E87-49D0-8698-D2FAB0AF74B1}"/>
              </c:ext>
            </c:extLst>
          </c:dPt>
          <c:dPt>
            <c:idx val="3"/>
            <c:invertIfNegative val="0"/>
            <c:bubble3D val="0"/>
            <c:extLst>
              <c:ext xmlns:c16="http://schemas.microsoft.com/office/drawing/2014/chart" uri="{C3380CC4-5D6E-409C-BE32-E72D297353CC}">
                <c16:uniqueId val="{00000003-8E87-49D0-8698-D2FAB0AF74B1}"/>
              </c:ext>
            </c:extLst>
          </c:dPt>
          <c:dPt>
            <c:idx val="4"/>
            <c:invertIfNegative val="0"/>
            <c:bubble3D val="0"/>
            <c:extLst>
              <c:ext xmlns:c16="http://schemas.microsoft.com/office/drawing/2014/chart" uri="{C3380CC4-5D6E-409C-BE32-E72D297353CC}">
                <c16:uniqueId val="{00000004-8E87-49D0-8698-D2FAB0AF74B1}"/>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RZGW_2019!$B$3:$F$3</c:f>
              <c:strCache>
                <c:ptCount val="5"/>
                <c:pt idx="0">
                  <c:v>Bydgoszcz</c:v>
                </c:pt>
                <c:pt idx="1">
                  <c:v>Gliwice</c:v>
                </c:pt>
                <c:pt idx="2">
                  <c:v>Poznań</c:v>
                </c:pt>
                <c:pt idx="3">
                  <c:v>Szczecin</c:v>
                </c:pt>
                <c:pt idx="4">
                  <c:v>Wrocław</c:v>
                </c:pt>
              </c:strCache>
            </c:strRef>
          </c:cat>
          <c:val>
            <c:numRef>
              <c:f>RZGW_2019!$B$5:$F$5</c:f>
              <c:numCache>
                <c:formatCode>General</c:formatCode>
                <c:ptCount val="5"/>
                <c:pt idx="0">
                  <c:v>14</c:v>
                </c:pt>
                <c:pt idx="1">
                  <c:v>7</c:v>
                </c:pt>
                <c:pt idx="2">
                  <c:v>8</c:v>
                </c:pt>
                <c:pt idx="3">
                  <c:v>12</c:v>
                </c:pt>
                <c:pt idx="4">
                  <c:v>36</c:v>
                </c:pt>
              </c:numCache>
            </c:numRef>
          </c:val>
          <c:extLst>
            <c:ext xmlns:c16="http://schemas.microsoft.com/office/drawing/2014/chart" uri="{C3380CC4-5D6E-409C-BE32-E72D297353CC}">
              <c16:uniqueId val="{00000005-8E87-49D0-8698-D2FAB0AF74B1}"/>
            </c:ext>
          </c:extLst>
        </c:ser>
        <c:dLbls>
          <c:showLegendKey val="0"/>
          <c:showVal val="0"/>
          <c:showCatName val="0"/>
          <c:showSerName val="0"/>
          <c:showPercent val="0"/>
          <c:showBubbleSize val="0"/>
        </c:dLbls>
        <c:gapWidth val="100"/>
        <c:axId val="331742208"/>
        <c:axId val="331445888"/>
      </c:barChart>
      <c:valAx>
        <c:axId val="3314458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742208"/>
        <c:crosses val="autoZero"/>
        <c:crossBetween val="between"/>
      </c:valAx>
      <c:catAx>
        <c:axId val="33174220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445888"/>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RZGW_2019!$A$6</c:f>
              <c:strCache>
                <c:ptCount val="1"/>
                <c:pt idx="0">
                  <c:v>6.</c:v>
                </c:pt>
              </c:strCache>
            </c:strRef>
          </c:tx>
          <c:spPr>
            <a:solidFill>
              <a:srgbClr val="4F81BD"/>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1-0B16-469E-8A68-6E91692212F7}"/>
              </c:ext>
            </c:extLst>
          </c:dPt>
          <c:dPt>
            <c:idx val="1"/>
            <c:invertIfNegative val="0"/>
            <c:bubble3D val="0"/>
            <c:extLst>
              <c:ext xmlns:c16="http://schemas.microsoft.com/office/drawing/2014/chart" uri="{C3380CC4-5D6E-409C-BE32-E72D297353CC}">
                <c16:uniqueId val="{00000003-0B16-469E-8A68-6E91692212F7}"/>
              </c:ext>
            </c:extLst>
          </c:dPt>
          <c:dPt>
            <c:idx val="2"/>
            <c:invertIfNegative val="0"/>
            <c:bubble3D val="0"/>
            <c:extLst>
              <c:ext xmlns:c16="http://schemas.microsoft.com/office/drawing/2014/chart" uri="{C3380CC4-5D6E-409C-BE32-E72D297353CC}">
                <c16:uniqueId val="{00000005-0B16-469E-8A68-6E91692212F7}"/>
              </c:ext>
            </c:extLst>
          </c:dPt>
          <c:dPt>
            <c:idx val="3"/>
            <c:invertIfNegative val="0"/>
            <c:bubble3D val="0"/>
            <c:extLst>
              <c:ext xmlns:c16="http://schemas.microsoft.com/office/drawing/2014/chart" uri="{C3380CC4-5D6E-409C-BE32-E72D297353CC}">
                <c16:uniqueId val="{00000007-0B16-469E-8A68-6E91692212F7}"/>
              </c:ext>
            </c:extLst>
          </c:dPt>
          <c:dPt>
            <c:idx val="4"/>
            <c:invertIfNegative val="0"/>
            <c:bubble3D val="0"/>
            <c:extLst>
              <c:ext xmlns:c16="http://schemas.microsoft.com/office/drawing/2014/chart" uri="{C3380CC4-5D6E-409C-BE32-E72D297353CC}">
                <c16:uniqueId val="{00000009-0B16-469E-8A68-6E91692212F7}"/>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RZGW_2019!$B$3:$F$3</c:f>
              <c:strCache>
                <c:ptCount val="5"/>
                <c:pt idx="0">
                  <c:v>Bydgoszcz</c:v>
                </c:pt>
                <c:pt idx="1">
                  <c:v>Gliwice</c:v>
                </c:pt>
                <c:pt idx="2">
                  <c:v>Poznań</c:v>
                </c:pt>
                <c:pt idx="3">
                  <c:v>Szczecin</c:v>
                </c:pt>
                <c:pt idx="4">
                  <c:v>Wrocław</c:v>
                </c:pt>
              </c:strCache>
            </c:strRef>
          </c:cat>
          <c:val>
            <c:numRef>
              <c:f>RZGW_2019!$B$6:$F$6</c:f>
              <c:numCache>
                <c:formatCode>General</c:formatCode>
                <c:ptCount val="5"/>
                <c:pt idx="0">
                  <c:v>9</c:v>
                </c:pt>
                <c:pt idx="1">
                  <c:v>6</c:v>
                </c:pt>
                <c:pt idx="2">
                  <c:v>8</c:v>
                </c:pt>
                <c:pt idx="3">
                  <c:v>39</c:v>
                </c:pt>
                <c:pt idx="4">
                  <c:v>73</c:v>
                </c:pt>
              </c:numCache>
            </c:numRef>
          </c:val>
          <c:extLst>
            <c:ext xmlns:c16="http://schemas.microsoft.com/office/drawing/2014/chart" uri="{C3380CC4-5D6E-409C-BE32-E72D297353CC}">
              <c16:uniqueId val="{0000000A-0B16-469E-8A68-6E91692212F7}"/>
            </c:ext>
          </c:extLst>
        </c:ser>
        <c:dLbls>
          <c:showLegendKey val="0"/>
          <c:showVal val="0"/>
          <c:showCatName val="0"/>
          <c:showSerName val="0"/>
          <c:showPercent val="0"/>
          <c:showBubbleSize val="0"/>
        </c:dLbls>
        <c:gapWidth val="100"/>
        <c:axId val="331932672"/>
        <c:axId val="331447616"/>
      </c:barChart>
      <c:valAx>
        <c:axId val="33144761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932672"/>
        <c:crosses val="autoZero"/>
        <c:crossBetween val="between"/>
      </c:valAx>
      <c:catAx>
        <c:axId val="331932672"/>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447616"/>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RZGW_2019!$A$7</c:f>
              <c:strCache>
                <c:ptCount val="1"/>
                <c:pt idx="0">
                  <c:v>7.</c:v>
                </c:pt>
              </c:strCache>
            </c:strRef>
          </c:tx>
          <c:spPr>
            <a:solidFill>
              <a:srgbClr val="4F81BD"/>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1-D923-4387-A5AE-7FB269595BF4}"/>
              </c:ext>
            </c:extLst>
          </c:dPt>
          <c:dPt>
            <c:idx val="1"/>
            <c:invertIfNegative val="0"/>
            <c:bubble3D val="0"/>
            <c:extLst>
              <c:ext xmlns:c16="http://schemas.microsoft.com/office/drawing/2014/chart" uri="{C3380CC4-5D6E-409C-BE32-E72D297353CC}">
                <c16:uniqueId val="{00000003-D923-4387-A5AE-7FB269595BF4}"/>
              </c:ext>
            </c:extLst>
          </c:dPt>
          <c:dPt>
            <c:idx val="2"/>
            <c:invertIfNegative val="0"/>
            <c:bubble3D val="0"/>
            <c:extLst>
              <c:ext xmlns:c16="http://schemas.microsoft.com/office/drawing/2014/chart" uri="{C3380CC4-5D6E-409C-BE32-E72D297353CC}">
                <c16:uniqueId val="{00000005-D923-4387-A5AE-7FB269595BF4}"/>
              </c:ext>
            </c:extLst>
          </c:dPt>
          <c:dPt>
            <c:idx val="3"/>
            <c:invertIfNegative val="0"/>
            <c:bubble3D val="0"/>
            <c:extLst>
              <c:ext xmlns:c16="http://schemas.microsoft.com/office/drawing/2014/chart" uri="{C3380CC4-5D6E-409C-BE32-E72D297353CC}">
                <c16:uniqueId val="{00000007-D923-4387-A5AE-7FB269595BF4}"/>
              </c:ext>
            </c:extLst>
          </c:dPt>
          <c:dPt>
            <c:idx val="4"/>
            <c:invertIfNegative val="0"/>
            <c:bubble3D val="0"/>
            <c:extLst>
              <c:ext xmlns:c16="http://schemas.microsoft.com/office/drawing/2014/chart" uri="{C3380CC4-5D6E-409C-BE32-E72D297353CC}">
                <c16:uniqueId val="{00000009-D923-4387-A5AE-7FB269595BF4}"/>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RZGW_2019!$B$3:$F$3</c:f>
              <c:strCache>
                <c:ptCount val="5"/>
                <c:pt idx="0">
                  <c:v>Bydgoszcz</c:v>
                </c:pt>
                <c:pt idx="1">
                  <c:v>Gliwice</c:v>
                </c:pt>
                <c:pt idx="2">
                  <c:v>Poznań</c:v>
                </c:pt>
                <c:pt idx="3">
                  <c:v>Szczecin</c:v>
                </c:pt>
                <c:pt idx="4">
                  <c:v>Wrocław</c:v>
                </c:pt>
              </c:strCache>
            </c:strRef>
          </c:cat>
          <c:val>
            <c:numRef>
              <c:f>RZGW_2019!$B$7:$F$7</c:f>
              <c:numCache>
                <c:formatCode>General</c:formatCode>
                <c:ptCount val="5"/>
                <c:pt idx="0">
                  <c:v>59</c:v>
                </c:pt>
                <c:pt idx="1">
                  <c:v>63</c:v>
                </c:pt>
                <c:pt idx="2">
                  <c:v>179</c:v>
                </c:pt>
                <c:pt idx="3">
                  <c:v>209</c:v>
                </c:pt>
                <c:pt idx="4">
                  <c:v>194</c:v>
                </c:pt>
              </c:numCache>
            </c:numRef>
          </c:val>
          <c:extLst>
            <c:ext xmlns:c16="http://schemas.microsoft.com/office/drawing/2014/chart" uri="{C3380CC4-5D6E-409C-BE32-E72D297353CC}">
              <c16:uniqueId val="{0000000A-D923-4387-A5AE-7FB269595BF4}"/>
            </c:ext>
          </c:extLst>
        </c:ser>
        <c:dLbls>
          <c:showLegendKey val="0"/>
          <c:showVal val="0"/>
          <c:showCatName val="0"/>
          <c:showSerName val="0"/>
          <c:showPercent val="0"/>
          <c:showBubbleSize val="0"/>
        </c:dLbls>
        <c:gapWidth val="100"/>
        <c:axId val="331934720"/>
        <c:axId val="331446464"/>
      </c:barChart>
      <c:valAx>
        <c:axId val="33144646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934720"/>
        <c:crosses val="autoZero"/>
        <c:crossBetween val="between"/>
      </c:valAx>
      <c:catAx>
        <c:axId val="331934720"/>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44646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RZGW_2019!$A$8</c:f>
              <c:strCache>
                <c:ptCount val="1"/>
                <c:pt idx="0">
                  <c:v>8.</c:v>
                </c:pt>
              </c:strCache>
            </c:strRef>
          </c:tx>
          <c:spPr>
            <a:solidFill>
              <a:srgbClr val="4F81BD"/>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0-BBB1-4D47-AC52-8E6AE68771A0}"/>
              </c:ext>
            </c:extLst>
          </c:dPt>
          <c:dPt>
            <c:idx val="1"/>
            <c:invertIfNegative val="0"/>
            <c:bubble3D val="0"/>
            <c:extLst>
              <c:ext xmlns:c16="http://schemas.microsoft.com/office/drawing/2014/chart" uri="{C3380CC4-5D6E-409C-BE32-E72D297353CC}">
                <c16:uniqueId val="{00000001-BBB1-4D47-AC52-8E6AE68771A0}"/>
              </c:ext>
            </c:extLst>
          </c:dPt>
          <c:dPt>
            <c:idx val="2"/>
            <c:invertIfNegative val="0"/>
            <c:bubble3D val="0"/>
            <c:extLst>
              <c:ext xmlns:c16="http://schemas.microsoft.com/office/drawing/2014/chart" uri="{C3380CC4-5D6E-409C-BE32-E72D297353CC}">
                <c16:uniqueId val="{00000002-BBB1-4D47-AC52-8E6AE68771A0}"/>
              </c:ext>
            </c:extLst>
          </c:dPt>
          <c:dPt>
            <c:idx val="3"/>
            <c:invertIfNegative val="0"/>
            <c:bubble3D val="0"/>
            <c:extLst>
              <c:ext xmlns:c16="http://schemas.microsoft.com/office/drawing/2014/chart" uri="{C3380CC4-5D6E-409C-BE32-E72D297353CC}">
                <c16:uniqueId val="{00000003-BBB1-4D47-AC52-8E6AE68771A0}"/>
              </c:ext>
            </c:extLst>
          </c:dPt>
          <c:dPt>
            <c:idx val="4"/>
            <c:invertIfNegative val="0"/>
            <c:bubble3D val="0"/>
            <c:extLst>
              <c:ext xmlns:c16="http://schemas.microsoft.com/office/drawing/2014/chart" uri="{C3380CC4-5D6E-409C-BE32-E72D297353CC}">
                <c16:uniqueId val="{00000004-BBB1-4D47-AC52-8E6AE68771A0}"/>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RZGW_2019!$B$3:$F$3</c:f>
              <c:strCache>
                <c:ptCount val="5"/>
                <c:pt idx="0">
                  <c:v>Bydgoszcz</c:v>
                </c:pt>
                <c:pt idx="1">
                  <c:v>Gliwice</c:v>
                </c:pt>
                <c:pt idx="2">
                  <c:v>Poznań</c:v>
                </c:pt>
                <c:pt idx="3">
                  <c:v>Szczecin</c:v>
                </c:pt>
                <c:pt idx="4">
                  <c:v>Wrocław</c:v>
                </c:pt>
              </c:strCache>
            </c:strRef>
          </c:cat>
          <c:val>
            <c:numRef>
              <c:f>RZGW_2019!$B$8:$F$8</c:f>
              <c:numCache>
                <c:formatCode>General</c:formatCode>
                <c:ptCount val="5"/>
                <c:pt idx="0">
                  <c:v>0</c:v>
                </c:pt>
                <c:pt idx="1">
                  <c:v>1</c:v>
                </c:pt>
                <c:pt idx="2">
                  <c:v>6</c:v>
                </c:pt>
                <c:pt idx="3">
                  <c:v>5</c:v>
                </c:pt>
                <c:pt idx="4">
                  <c:v>60</c:v>
                </c:pt>
              </c:numCache>
            </c:numRef>
          </c:val>
          <c:extLst>
            <c:ext xmlns:c16="http://schemas.microsoft.com/office/drawing/2014/chart" uri="{C3380CC4-5D6E-409C-BE32-E72D297353CC}">
              <c16:uniqueId val="{00000005-BBB1-4D47-AC52-8E6AE68771A0}"/>
            </c:ext>
          </c:extLst>
        </c:ser>
        <c:dLbls>
          <c:showLegendKey val="0"/>
          <c:showVal val="0"/>
          <c:showCatName val="0"/>
          <c:showSerName val="0"/>
          <c:showPercent val="0"/>
          <c:showBubbleSize val="0"/>
        </c:dLbls>
        <c:gapWidth val="100"/>
        <c:axId val="332063744"/>
        <c:axId val="331787072"/>
      </c:barChart>
      <c:valAx>
        <c:axId val="3317870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2063744"/>
        <c:crosses val="autoZero"/>
        <c:crossBetween val="between"/>
      </c:valAx>
      <c:catAx>
        <c:axId val="332063744"/>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787072"/>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RZGW_2018!$A$3</c:f>
              <c:strCache>
                <c:ptCount val="1"/>
                <c:pt idx="0">
                  <c:v>1. - 3.</c:v>
                </c:pt>
              </c:strCache>
            </c:strRef>
          </c:tx>
          <c:spPr>
            <a:solidFill>
              <a:schemeClr val="accent1"/>
            </a:solidFill>
            <a:ln w="1270">
              <a:solidFill>
                <a:sysClr val="windowText" lastClr="000000">
                  <a:lumMod val="75000"/>
                  <a:lumOff val="25000"/>
                </a:sysClr>
              </a:solidFill>
            </a:ln>
            <a:effectLst/>
          </c:spPr>
          <c:invertIfNegative val="0"/>
          <c:cat>
            <c:strRef>
              <c:f>RZGW_2018!$B$2:$F$2</c:f>
              <c:strCache>
                <c:ptCount val="5"/>
                <c:pt idx="0">
                  <c:v>Bydgoszcz</c:v>
                </c:pt>
                <c:pt idx="1">
                  <c:v>Gliwice</c:v>
                </c:pt>
                <c:pt idx="2">
                  <c:v>Poznań</c:v>
                </c:pt>
                <c:pt idx="3">
                  <c:v>Szczecin</c:v>
                </c:pt>
                <c:pt idx="4">
                  <c:v>Wrocław</c:v>
                </c:pt>
              </c:strCache>
            </c:strRef>
          </c:cat>
          <c:val>
            <c:numRef>
              <c:f>RZGW_2018!$B$3:$F$3</c:f>
              <c:numCache>
                <c:formatCode>General</c:formatCode>
                <c:ptCount val="5"/>
                <c:pt idx="0">
                  <c:v>136</c:v>
                </c:pt>
                <c:pt idx="1">
                  <c:v>43</c:v>
                </c:pt>
                <c:pt idx="2">
                  <c:v>185</c:v>
                </c:pt>
                <c:pt idx="3">
                  <c:v>82</c:v>
                </c:pt>
                <c:pt idx="4">
                  <c:v>313</c:v>
                </c:pt>
              </c:numCache>
            </c:numRef>
          </c:val>
          <c:extLst>
            <c:ext xmlns:c16="http://schemas.microsoft.com/office/drawing/2014/chart" uri="{C3380CC4-5D6E-409C-BE32-E72D297353CC}">
              <c16:uniqueId val="{00000000-890A-4B66-9624-7BF4510AAE67}"/>
            </c:ext>
          </c:extLst>
        </c:ser>
        <c:ser>
          <c:idx val="1"/>
          <c:order val="1"/>
          <c:tx>
            <c:strRef>
              <c:f>RZGW_2018!$A$4</c:f>
              <c:strCache>
                <c:ptCount val="1"/>
                <c:pt idx="0">
                  <c:v>4.</c:v>
                </c:pt>
              </c:strCache>
            </c:strRef>
          </c:tx>
          <c:spPr>
            <a:solidFill>
              <a:schemeClr val="accent2"/>
            </a:solidFill>
            <a:ln w="1270">
              <a:solidFill>
                <a:sysClr val="windowText" lastClr="000000">
                  <a:lumMod val="75000"/>
                  <a:lumOff val="25000"/>
                </a:sysClr>
              </a:solidFill>
            </a:ln>
            <a:effectLst/>
          </c:spPr>
          <c:invertIfNegative val="0"/>
          <c:cat>
            <c:strRef>
              <c:f>RZGW_2018!$B$2:$F$2</c:f>
              <c:strCache>
                <c:ptCount val="5"/>
                <c:pt idx="0">
                  <c:v>Bydgoszcz</c:v>
                </c:pt>
                <c:pt idx="1">
                  <c:v>Gliwice</c:v>
                </c:pt>
                <c:pt idx="2">
                  <c:v>Poznań</c:v>
                </c:pt>
                <c:pt idx="3">
                  <c:v>Szczecin</c:v>
                </c:pt>
                <c:pt idx="4">
                  <c:v>Wrocław</c:v>
                </c:pt>
              </c:strCache>
            </c:strRef>
          </c:cat>
          <c:val>
            <c:numRef>
              <c:f>RZGW_2018!$B$4:$F$4</c:f>
              <c:numCache>
                <c:formatCode>General</c:formatCode>
                <c:ptCount val="5"/>
                <c:pt idx="0">
                  <c:v>3</c:v>
                </c:pt>
                <c:pt idx="1">
                  <c:v>2</c:v>
                </c:pt>
                <c:pt idx="2">
                  <c:v>3</c:v>
                </c:pt>
                <c:pt idx="3">
                  <c:v>11</c:v>
                </c:pt>
                <c:pt idx="4">
                  <c:v>12</c:v>
                </c:pt>
              </c:numCache>
            </c:numRef>
          </c:val>
          <c:extLst>
            <c:ext xmlns:c16="http://schemas.microsoft.com/office/drawing/2014/chart" uri="{C3380CC4-5D6E-409C-BE32-E72D297353CC}">
              <c16:uniqueId val="{00000001-890A-4B66-9624-7BF4510AAE67}"/>
            </c:ext>
          </c:extLst>
        </c:ser>
        <c:ser>
          <c:idx val="2"/>
          <c:order val="2"/>
          <c:tx>
            <c:strRef>
              <c:f>RZGW_2018!$A$5</c:f>
              <c:strCache>
                <c:ptCount val="1"/>
                <c:pt idx="0">
                  <c:v>5.</c:v>
                </c:pt>
              </c:strCache>
            </c:strRef>
          </c:tx>
          <c:spPr>
            <a:solidFill>
              <a:schemeClr val="accent3"/>
            </a:solidFill>
            <a:ln w="1270">
              <a:solidFill>
                <a:sysClr val="windowText" lastClr="000000">
                  <a:lumMod val="75000"/>
                  <a:lumOff val="25000"/>
                </a:sysClr>
              </a:solidFill>
            </a:ln>
            <a:effectLst/>
          </c:spPr>
          <c:invertIfNegative val="0"/>
          <c:cat>
            <c:strRef>
              <c:f>RZGW_2018!$B$2:$F$2</c:f>
              <c:strCache>
                <c:ptCount val="5"/>
                <c:pt idx="0">
                  <c:v>Bydgoszcz</c:v>
                </c:pt>
                <c:pt idx="1">
                  <c:v>Gliwice</c:v>
                </c:pt>
                <c:pt idx="2">
                  <c:v>Poznań</c:v>
                </c:pt>
                <c:pt idx="3">
                  <c:v>Szczecin</c:v>
                </c:pt>
                <c:pt idx="4">
                  <c:v>Wrocław</c:v>
                </c:pt>
              </c:strCache>
            </c:strRef>
          </c:cat>
          <c:val>
            <c:numRef>
              <c:f>RZGW_2018!$B$5:$F$5</c:f>
              <c:numCache>
                <c:formatCode>General</c:formatCode>
                <c:ptCount val="5"/>
                <c:pt idx="0">
                  <c:v>4</c:v>
                </c:pt>
                <c:pt idx="1">
                  <c:v>6</c:v>
                </c:pt>
                <c:pt idx="2">
                  <c:v>7</c:v>
                </c:pt>
                <c:pt idx="3">
                  <c:v>11</c:v>
                </c:pt>
                <c:pt idx="4">
                  <c:v>38</c:v>
                </c:pt>
              </c:numCache>
            </c:numRef>
          </c:val>
          <c:extLst>
            <c:ext xmlns:c16="http://schemas.microsoft.com/office/drawing/2014/chart" uri="{C3380CC4-5D6E-409C-BE32-E72D297353CC}">
              <c16:uniqueId val="{00000002-890A-4B66-9624-7BF4510AAE67}"/>
            </c:ext>
          </c:extLst>
        </c:ser>
        <c:ser>
          <c:idx val="3"/>
          <c:order val="3"/>
          <c:tx>
            <c:strRef>
              <c:f>RZGW_2018!$A$6</c:f>
              <c:strCache>
                <c:ptCount val="1"/>
                <c:pt idx="0">
                  <c:v>6.</c:v>
                </c:pt>
              </c:strCache>
            </c:strRef>
          </c:tx>
          <c:spPr>
            <a:solidFill>
              <a:schemeClr val="accent4"/>
            </a:solidFill>
            <a:ln w="1270">
              <a:solidFill>
                <a:sysClr val="windowText" lastClr="000000">
                  <a:lumMod val="75000"/>
                  <a:lumOff val="25000"/>
                </a:sysClr>
              </a:solidFill>
            </a:ln>
            <a:effectLst/>
          </c:spPr>
          <c:invertIfNegative val="0"/>
          <c:cat>
            <c:strRef>
              <c:f>RZGW_2018!$B$2:$F$2</c:f>
              <c:strCache>
                <c:ptCount val="5"/>
                <c:pt idx="0">
                  <c:v>Bydgoszcz</c:v>
                </c:pt>
                <c:pt idx="1">
                  <c:v>Gliwice</c:v>
                </c:pt>
                <c:pt idx="2">
                  <c:v>Poznań</c:v>
                </c:pt>
                <c:pt idx="3">
                  <c:v>Szczecin</c:v>
                </c:pt>
                <c:pt idx="4">
                  <c:v>Wrocław</c:v>
                </c:pt>
              </c:strCache>
            </c:strRef>
          </c:cat>
          <c:val>
            <c:numRef>
              <c:f>RZGW_2018!$B$6:$F$6</c:f>
              <c:numCache>
                <c:formatCode>General</c:formatCode>
                <c:ptCount val="5"/>
                <c:pt idx="0">
                  <c:v>14</c:v>
                </c:pt>
                <c:pt idx="1">
                  <c:v>5</c:v>
                </c:pt>
                <c:pt idx="2">
                  <c:v>119</c:v>
                </c:pt>
                <c:pt idx="3">
                  <c:v>17</c:v>
                </c:pt>
                <c:pt idx="4">
                  <c:v>77</c:v>
                </c:pt>
              </c:numCache>
            </c:numRef>
          </c:val>
          <c:extLst>
            <c:ext xmlns:c16="http://schemas.microsoft.com/office/drawing/2014/chart" uri="{C3380CC4-5D6E-409C-BE32-E72D297353CC}">
              <c16:uniqueId val="{00000003-890A-4B66-9624-7BF4510AAE67}"/>
            </c:ext>
          </c:extLst>
        </c:ser>
        <c:ser>
          <c:idx val="4"/>
          <c:order val="4"/>
          <c:tx>
            <c:strRef>
              <c:f>RZGW_2018!$A$7</c:f>
              <c:strCache>
                <c:ptCount val="1"/>
                <c:pt idx="0">
                  <c:v>7.</c:v>
                </c:pt>
              </c:strCache>
            </c:strRef>
          </c:tx>
          <c:spPr>
            <a:solidFill>
              <a:schemeClr val="accent5"/>
            </a:solidFill>
            <a:ln w="1270">
              <a:solidFill>
                <a:sysClr val="windowText" lastClr="000000">
                  <a:lumMod val="75000"/>
                  <a:lumOff val="25000"/>
                </a:sysClr>
              </a:solidFill>
            </a:ln>
            <a:effectLst/>
          </c:spPr>
          <c:invertIfNegative val="0"/>
          <c:cat>
            <c:strRef>
              <c:f>RZGW_2018!$B$2:$F$2</c:f>
              <c:strCache>
                <c:ptCount val="5"/>
                <c:pt idx="0">
                  <c:v>Bydgoszcz</c:v>
                </c:pt>
                <c:pt idx="1">
                  <c:v>Gliwice</c:v>
                </c:pt>
                <c:pt idx="2">
                  <c:v>Poznań</c:v>
                </c:pt>
                <c:pt idx="3">
                  <c:v>Szczecin</c:v>
                </c:pt>
                <c:pt idx="4">
                  <c:v>Wrocław</c:v>
                </c:pt>
              </c:strCache>
            </c:strRef>
          </c:cat>
          <c:val>
            <c:numRef>
              <c:f>RZGW_2018!$B$7:$F$7</c:f>
              <c:numCache>
                <c:formatCode>General</c:formatCode>
                <c:ptCount val="5"/>
                <c:pt idx="0">
                  <c:v>18</c:v>
                </c:pt>
                <c:pt idx="1">
                  <c:v>23</c:v>
                </c:pt>
                <c:pt idx="2">
                  <c:v>143</c:v>
                </c:pt>
                <c:pt idx="3">
                  <c:v>109</c:v>
                </c:pt>
                <c:pt idx="4">
                  <c:v>134</c:v>
                </c:pt>
              </c:numCache>
            </c:numRef>
          </c:val>
          <c:extLst>
            <c:ext xmlns:c16="http://schemas.microsoft.com/office/drawing/2014/chart" uri="{C3380CC4-5D6E-409C-BE32-E72D297353CC}">
              <c16:uniqueId val="{00000004-890A-4B66-9624-7BF4510AAE67}"/>
            </c:ext>
          </c:extLst>
        </c:ser>
        <c:ser>
          <c:idx val="5"/>
          <c:order val="5"/>
          <c:tx>
            <c:strRef>
              <c:f>RZGW_2018!$A$8</c:f>
              <c:strCache>
                <c:ptCount val="1"/>
                <c:pt idx="0">
                  <c:v>8.</c:v>
                </c:pt>
              </c:strCache>
            </c:strRef>
          </c:tx>
          <c:spPr>
            <a:solidFill>
              <a:schemeClr val="accent6"/>
            </a:solidFill>
            <a:ln w="1270">
              <a:solidFill>
                <a:sysClr val="windowText" lastClr="000000">
                  <a:lumMod val="75000"/>
                  <a:lumOff val="25000"/>
                </a:sysClr>
              </a:solidFill>
            </a:ln>
            <a:effectLst/>
          </c:spPr>
          <c:invertIfNegative val="0"/>
          <c:cat>
            <c:strRef>
              <c:f>RZGW_2018!$B$2:$F$2</c:f>
              <c:strCache>
                <c:ptCount val="5"/>
                <c:pt idx="0">
                  <c:v>Bydgoszcz</c:v>
                </c:pt>
                <c:pt idx="1">
                  <c:v>Gliwice</c:v>
                </c:pt>
                <c:pt idx="2">
                  <c:v>Poznań</c:v>
                </c:pt>
                <c:pt idx="3">
                  <c:v>Szczecin</c:v>
                </c:pt>
                <c:pt idx="4">
                  <c:v>Wrocław</c:v>
                </c:pt>
              </c:strCache>
            </c:strRef>
          </c:cat>
          <c:val>
            <c:numRef>
              <c:f>RZGW_2018!$B$8:$F$8</c:f>
              <c:numCache>
                <c:formatCode>General</c:formatCode>
                <c:ptCount val="5"/>
                <c:pt idx="0">
                  <c:v>3</c:v>
                </c:pt>
                <c:pt idx="1">
                  <c:v>0</c:v>
                </c:pt>
                <c:pt idx="2">
                  <c:v>1</c:v>
                </c:pt>
                <c:pt idx="3">
                  <c:v>4</c:v>
                </c:pt>
                <c:pt idx="4">
                  <c:v>45</c:v>
                </c:pt>
              </c:numCache>
            </c:numRef>
          </c:val>
          <c:extLst>
            <c:ext xmlns:c16="http://schemas.microsoft.com/office/drawing/2014/chart" uri="{C3380CC4-5D6E-409C-BE32-E72D297353CC}">
              <c16:uniqueId val="{00000005-890A-4B66-9624-7BF4510AAE67}"/>
            </c:ext>
          </c:extLst>
        </c:ser>
        <c:dLbls>
          <c:showLegendKey val="0"/>
          <c:showVal val="0"/>
          <c:showCatName val="0"/>
          <c:showSerName val="0"/>
          <c:showPercent val="0"/>
          <c:showBubbleSize val="0"/>
        </c:dLbls>
        <c:gapWidth val="219"/>
        <c:overlap val="-27"/>
        <c:axId val="332064256"/>
        <c:axId val="331787648"/>
      </c:barChart>
      <c:catAx>
        <c:axId val="33206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1787648"/>
        <c:crosses val="autoZero"/>
        <c:auto val="1"/>
        <c:lblAlgn val="ctr"/>
        <c:lblOffset val="100"/>
        <c:noMultiLvlLbl val="0"/>
      </c:catAx>
      <c:valAx>
        <c:axId val="331787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2064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RZGW_2019!$A$4</c:f>
              <c:strCache>
                <c:ptCount val="1"/>
                <c:pt idx="0">
                  <c:v>1.-4.</c:v>
                </c:pt>
              </c:strCache>
            </c:strRef>
          </c:tx>
          <c:spPr>
            <a:solidFill>
              <a:schemeClr val="accent1"/>
            </a:solidFill>
            <a:ln w="1270">
              <a:solidFill>
                <a:sysClr val="windowText" lastClr="000000">
                  <a:lumMod val="75000"/>
                  <a:lumOff val="25000"/>
                </a:sysClr>
              </a:solidFill>
            </a:ln>
            <a:effectLst/>
          </c:spPr>
          <c:invertIfNegative val="0"/>
          <c:cat>
            <c:strRef>
              <c:f>RZGW_2019!$B$3:$F$3</c:f>
              <c:strCache>
                <c:ptCount val="5"/>
                <c:pt idx="0">
                  <c:v>Bydgoszcz</c:v>
                </c:pt>
                <c:pt idx="1">
                  <c:v>Gliwice</c:v>
                </c:pt>
                <c:pt idx="2">
                  <c:v>Poznań</c:v>
                </c:pt>
                <c:pt idx="3">
                  <c:v>Szczecin</c:v>
                </c:pt>
                <c:pt idx="4">
                  <c:v>Wrocław</c:v>
                </c:pt>
              </c:strCache>
            </c:strRef>
          </c:cat>
          <c:val>
            <c:numRef>
              <c:f>RZGW_2019!$B$4:$F$4</c:f>
              <c:numCache>
                <c:formatCode>General</c:formatCode>
                <c:ptCount val="5"/>
                <c:pt idx="0">
                  <c:v>327</c:v>
                </c:pt>
                <c:pt idx="1">
                  <c:v>233</c:v>
                </c:pt>
                <c:pt idx="2">
                  <c:v>278</c:v>
                </c:pt>
                <c:pt idx="3">
                  <c:v>153</c:v>
                </c:pt>
                <c:pt idx="4">
                  <c:v>525</c:v>
                </c:pt>
              </c:numCache>
            </c:numRef>
          </c:val>
          <c:extLst>
            <c:ext xmlns:c16="http://schemas.microsoft.com/office/drawing/2014/chart" uri="{C3380CC4-5D6E-409C-BE32-E72D297353CC}">
              <c16:uniqueId val="{00000000-E577-4F70-B49D-E0D511E42976}"/>
            </c:ext>
          </c:extLst>
        </c:ser>
        <c:ser>
          <c:idx val="1"/>
          <c:order val="1"/>
          <c:tx>
            <c:strRef>
              <c:f>RZGW_2019!$A$5</c:f>
              <c:strCache>
                <c:ptCount val="1"/>
                <c:pt idx="0">
                  <c:v>5.</c:v>
                </c:pt>
              </c:strCache>
            </c:strRef>
          </c:tx>
          <c:spPr>
            <a:solidFill>
              <a:schemeClr val="accent3"/>
            </a:solidFill>
            <a:ln w="1270">
              <a:solidFill>
                <a:sysClr val="windowText" lastClr="000000">
                  <a:lumMod val="75000"/>
                  <a:lumOff val="25000"/>
                </a:sysClr>
              </a:solidFill>
            </a:ln>
            <a:effectLst/>
          </c:spPr>
          <c:invertIfNegative val="0"/>
          <c:cat>
            <c:strRef>
              <c:f>RZGW_2019!$B$3:$F$3</c:f>
              <c:strCache>
                <c:ptCount val="5"/>
                <c:pt idx="0">
                  <c:v>Bydgoszcz</c:v>
                </c:pt>
                <c:pt idx="1">
                  <c:v>Gliwice</c:v>
                </c:pt>
                <c:pt idx="2">
                  <c:v>Poznań</c:v>
                </c:pt>
                <c:pt idx="3">
                  <c:v>Szczecin</c:v>
                </c:pt>
                <c:pt idx="4">
                  <c:v>Wrocław</c:v>
                </c:pt>
              </c:strCache>
            </c:strRef>
          </c:cat>
          <c:val>
            <c:numRef>
              <c:f>RZGW_2019!$B$5:$F$5</c:f>
              <c:numCache>
                <c:formatCode>General</c:formatCode>
                <c:ptCount val="5"/>
                <c:pt idx="0">
                  <c:v>14</c:v>
                </c:pt>
                <c:pt idx="1">
                  <c:v>7</c:v>
                </c:pt>
                <c:pt idx="2">
                  <c:v>8</c:v>
                </c:pt>
                <c:pt idx="3">
                  <c:v>12</c:v>
                </c:pt>
                <c:pt idx="4">
                  <c:v>36</c:v>
                </c:pt>
              </c:numCache>
            </c:numRef>
          </c:val>
          <c:extLst>
            <c:ext xmlns:c16="http://schemas.microsoft.com/office/drawing/2014/chart" uri="{C3380CC4-5D6E-409C-BE32-E72D297353CC}">
              <c16:uniqueId val="{00000001-E577-4F70-B49D-E0D511E42976}"/>
            </c:ext>
          </c:extLst>
        </c:ser>
        <c:ser>
          <c:idx val="2"/>
          <c:order val="2"/>
          <c:tx>
            <c:strRef>
              <c:f>RZGW_2019!$A$6</c:f>
              <c:strCache>
                <c:ptCount val="1"/>
                <c:pt idx="0">
                  <c:v>6.</c:v>
                </c:pt>
              </c:strCache>
            </c:strRef>
          </c:tx>
          <c:spPr>
            <a:solidFill>
              <a:schemeClr val="accent4"/>
            </a:solidFill>
            <a:ln w="1270">
              <a:solidFill>
                <a:sysClr val="windowText" lastClr="000000">
                  <a:lumMod val="75000"/>
                  <a:lumOff val="25000"/>
                </a:sysClr>
              </a:solidFill>
            </a:ln>
            <a:effectLst/>
          </c:spPr>
          <c:invertIfNegative val="0"/>
          <c:cat>
            <c:strRef>
              <c:f>RZGW_2019!$B$3:$F$3</c:f>
              <c:strCache>
                <c:ptCount val="5"/>
                <c:pt idx="0">
                  <c:v>Bydgoszcz</c:v>
                </c:pt>
                <c:pt idx="1">
                  <c:v>Gliwice</c:v>
                </c:pt>
                <c:pt idx="2">
                  <c:v>Poznań</c:v>
                </c:pt>
                <c:pt idx="3">
                  <c:v>Szczecin</c:v>
                </c:pt>
                <c:pt idx="4">
                  <c:v>Wrocław</c:v>
                </c:pt>
              </c:strCache>
            </c:strRef>
          </c:cat>
          <c:val>
            <c:numRef>
              <c:f>RZGW_2019!$B$6:$F$6</c:f>
              <c:numCache>
                <c:formatCode>General</c:formatCode>
                <c:ptCount val="5"/>
                <c:pt idx="0">
                  <c:v>9</c:v>
                </c:pt>
                <c:pt idx="1">
                  <c:v>6</c:v>
                </c:pt>
                <c:pt idx="2">
                  <c:v>8</c:v>
                </c:pt>
                <c:pt idx="3">
                  <c:v>39</c:v>
                </c:pt>
                <c:pt idx="4">
                  <c:v>73</c:v>
                </c:pt>
              </c:numCache>
            </c:numRef>
          </c:val>
          <c:extLst>
            <c:ext xmlns:c16="http://schemas.microsoft.com/office/drawing/2014/chart" uri="{C3380CC4-5D6E-409C-BE32-E72D297353CC}">
              <c16:uniqueId val="{00000002-E577-4F70-B49D-E0D511E42976}"/>
            </c:ext>
          </c:extLst>
        </c:ser>
        <c:ser>
          <c:idx val="3"/>
          <c:order val="3"/>
          <c:tx>
            <c:strRef>
              <c:f>RZGW_2019!$A$7</c:f>
              <c:strCache>
                <c:ptCount val="1"/>
                <c:pt idx="0">
                  <c:v>7.</c:v>
                </c:pt>
              </c:strCache>
            </c:strRef>
          </c:tx>
          <c:spPr>
            <a:solidFill>
              <a:schemeClr val="accent5"/>
            </a:solidFill>
            <a:ln w="1270">
              <a:solidFill>
                <a:sysClr val="windowText" lastClr="000000">
                  <a:lumMod val="75000"/>
                  <a:lumOff val="25000"/>
                </a:sysClr>
              </a:solidFill>
            </a:ln>
            <a:effectLst/>
          </c:spPr>
          <c:invertIfNegative val="0"/>
          <c:cat>
            <c:strRef>
              <c:f>RZGW_2019!$B$3:$F$3</c:f>
              <c:strCache>
                <c:ptCount val="5"/>
                <c:pt idx="0">
                  <c:v>Bydgoszcz</c:v>
                </c:pt>
                <c:pt idx="1">
                  <c:v>Gliwice</c:v>
                </c:pt>
                <c:pt idx="2">
                  <c:v>Poznań</c:v>
                </c:pt>
                <c:pt idx="3">
                  <c:v>Szczecin</c:v>
                </c:pt>
                <c:pt idx="4">
                  <c:v>Wrocław</c:v>
                </c:pt>
              </c:strCache>
            </c:strRef>
          </c:cat>
          <c:val>
            <c:numRef>
              <c:f>RZGW_2019!$B$7:$F$7</c:f>
              <c:numCache>
                <c:formatCode>General</c:formatCode>
                <c:ptCount val="5"/>
                <c:pt idx="0">
                  <c:v>59</c:v>
                </c:pt>
                <c:pt idx="1">
                  <c:v>63</c:v>
                </c:pt>
                <c:pt idx="2">
                  <c:v>179</c:v>
                </c:pt>
                <c:pt idx="3">
                  <c:v>209</c:v>
                </c:pt>
                <c:pt idx="4">
                  <c:v>194</c:v>
                </c:pt>
              </c:numCache>
            </c:numRef>
          </c:val>
          <c:extLst>
            <c:ext xmlns:c16="http://schemas.microsoft.com/office/drawing/2014/chart" uri="{C3380CC4-5D6E-409C-BE32-E72D297353CC}">
              <c16:uniqueId val="{00000003-E577-4F70-B49D-E0D511E42976}"/>
            </c:ext>
          </c:extLst>
        </c:ser>
        <c:ser>
          <c:idx val="4"/>
          <c:order val="4"/>
          <c:tx>
            <c:strRef>
              <c:f>RZGW_2019!$A$8</c:f>
              <c:strCache>
                <c:ptCount val="1"/>
                <c:pt idx="0">
                  <c:v>8.</c:v>
                </c:pt>
              </c:strCache>
            </c:strRef>
          </c:tx>
          <c:spPr>
            <a:solidFill>
              <a:schemeClr val="accent6"/>
            </a:solidFill>
            <a:ln w="1270">
              <a:solidFill>
                <a:sysClr val="windowText" lastClr="000000">
                  <a:lumMod val="75000"/>
                  <a:lumOff val="25000"/>
                </a:sysClr>
              </a:solidFill>
            </a:ln>
            <a:effectLst/>
          </c:spPr>
          <c:invertIfNegative val="0"/>
          <c:cat>
            <c:strRef>
              <c:f>RZGW_2019!$B$3:$F$3</c:f>
              <c:strCache>
                <c:ptCount val="5"/>
                <c:pt idx="0">
                  <c:v>Bydgoszcz</c:v>
                </c:pt>
                <c:pt idx="1">
                  <c:v>Gliwice</c:v>
                </c:pt>
                <c:pt idx="2">
                  <c:v>Poznań</c:v>
                </c:pt>
                <c:pt idx="3">
                  <c:v>Szczecin</c:v>
                </c:pt>
                <c:pt idx="4">
                  <c:v>Wrocław</c:v>
                </c:pt>
              </c:strCache>
            </c:strRef>
          </c:cat>
          <c:val>
            <c:numRef>
              <c:f>RZGW_2019!$B$8:$F$8</c:f>
              <c:numCache>
                <c:formatCode>General</c:formatCode>
                <c:ptCount val="5"/>
                <c:pt idx="0">
                  <c:v>0</c:v>
                </c:pt>
                <c:pt idx="1">
                  <c:v>1</c:v>
                </c:pt>
                <c:pt idx="2">
                  <c:v>6</c:v>
                </c:pt>
                <c:pt idx="3">
                  <c:v>5</c:v>
                </c:pt>
                <c:pt idx="4">
                  <c:v>60</c:v>
                </c:pt>
              </c:numCache>
            </c:numRef>
          </c:val>
          <c:extLst>
            <c:ext xmlns:c16="http://schemas.microsoft.com/office/drawing/2014/chart" uri="{C3380CC4-5D6E-409C-BE32-E72D297353CC}">
              <c16:uniqueId val="{00000004-E577-4F70-B49D-E0D511E42976}"/>
            </c:ext>
          </c:extLst>
        </c:ser>
        <c:dLbls>
          <c:showLegendKey val="0"/>
          <c:showVal val="0"/>
          <c:showCatName val="0"/>
          <c:showSerName val="0"/>
          <c:showPercent val="0"/>
          <c:showBubbleSize val="0"/>
        </c:dLbls>
        <c:gapWidth val="219"/>
        <c:overlap val="-27"/>
        <c:axId val="332066304"/>
        <c:axId val="331789376"/>
      </c:barChart>
      <c:catAx>
        <c:axId val="332066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1789376"/>
        <c:crosses val="autoZero"/>
        <c:auto val="1"/>
        <c:lblAlgn val="ctr"/>
        <c:lblOffset val="100"/>
        <c:noMultiLvlLbl val="0"/>
      </c:catAx>
      <c:valAx>
        <c:axId val="331789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2066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b="0" i="0" u="none" strike="noStrike" baseline="0">
                <a:effectLst/>
              </a:rPr>
              <a:t>Liczba </a:t>
            </a:r>
            <a:r>
              <a:rPr lang="en-US" sz="1100" b="0" i="0" u="none" strike="noStrike" kern="1200" spc="0" baseline="0">
                <a:solidFill>
                  <a:sysClr val="windowText" lastClr="000000">
                    <a:lumMod val="65000"/>
                    <a:lumOff val="35000"/>
                  </a:sysClr>
                </a:solidFill>
                <a:effectLst/>
                <a:latin typeface="+mn-lt"/>
                <a:ea typeface="+mn-ea"/>
                <a:cs typeface="+mn-cs"/>
              </a:rPr>
              <a:t>JCWP</a:t>
            </a:r>
            <a:r>
              <a:rPr lang="en-US" sz="1100" b="0" i="0" u="none" strike="noStrike" baseline="0">
                <a:effectLst/>
              </a:rPr>
              <a:t> </a:t>
            </a:r>
            <a:r>
              <a:rPr lang="pl-PL" sz="1100" b="0" i="0" u="none" strike="noStrike" baseline="0">
                <a:effectLst/>
              </a:rPr>
              <a:t>z odcinkami potencjalnego zagrożenia dla </a:t>
            </a:r>
            <a:r>
              <a:rPr lang="pl-PL" sz="1100" baseline="0"/>
              <a:t>swobodnego spływu lodu, PUW 2016</a:t>
            </a:r>
            <a:endParaRPr lang="en-US" sz="1100"/>
          </a:p>
        </c:rich>
      </c:tx>
      <c:overlay val="0"/>
      <c:spPr>
        <a:noFill/>
        <a:ln w="25400">
          <a:noFill/>
        </a:ln>
      </c:spPr>
    </c:title>
    <c:autoTitleDeleted val="0"/>
    <c:plotArea>
      <c:layout/>
      <c:barChart>
        <c:barDir val="bar"/>
        <c:grouping val="clustered"/>
        <c:varyColors val="0"/>
        <c:ser>
          <c:idx val="0"/>
          <c:order val="0"/>
          <c:spPr>
            <a:solidFill>
              <a:srgbClr val="4472C4"/>
            </a:solidFill>
            <a:ln w="25400">
              <a:noFill/>
            </a:ln>
          </c:spPr>
          <c:invertIfNegative val="0"/>
          <c:cat>
            <c:strRef>
              <c:f>Odra!$C$17:$C$21</c:f>
              <c:strCache>
                <c:ptCount val="5"/>
                <c:pt idx="0">
                  <c:v>Region wodny Dolnej Odry i Przymorza Zachodniego</c:v>
                </c:pt>
                <c:pt idx="1">
                  <c:v>Region wodny Górnej Odry</c:v>
                </c:pt>
                <c:pt idx="2">
                  <c:v>Region wodny Noteci</c:v>
                </c:pt>
                <c:pt idx="3">
                  <c:v>Region wodny Środkowej Odry</c:v>
                </c:pt>
                <c:pt idx="4">
                  <c:v>Region wodny Warty</c:v>
                </c:pt>
              </c:strCache>
            </c:strRef>
          </c:cat>
          <c:val>
            <c:numRef>
              <c:f>Odra!$E$17:$E$21</c:f>
              <c:numCache>
                <c:formatCode>General</c:formatCode>
                <c:ptCount val="5"/>
                <c:pt idx="0">
                  <c:v>238</c:v>
                </c:pt>
                <c:pt idx="1">
                  <c:v>75</c:v>
                </c:pt>
                <c:pt idx="2">
                  <c:v>42</c:v>
                </c:pt>
                <c:pt idx="3">
                  <c:v>375</c:v>
                </c:pt>
                <c:pt idx="4">
                  <c:v>141</c:v>
                </c:pt>
              </c:numCache>
            </c:numRef>
          </c:val>
          <c:extLst>
            <c:ext xmlns:c16="http://schemas.microsoft.com/office/drawing/2014/chart" uri="{C3380CC4-5D6E-409C-BE32-E72D297353CC}">
              <c16:uniqueId val="{00000000-1F06-4A24-A8DD-60BDBD48C4C6}"/>
            </c:ext>
          </c:extLst>
        </c:ser>
        <c:dLbls>
          <c:showLegendKey val="0"/>
          <c:showVal val="0"/>
          <c:showCatName val="0"/>
          <c:showSerName val="0"/>
          <c:showPercent val="0"/>
          <c:showBubbleSize val="0"/>
        </c:dLbls>
        <c:gapWidth val="182"/>
        <c:axId val="837247040"/>
        <c:axId val="1"/>
      </c:barChart>
      <c:catAx>
        <c:axId val="8372470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724704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Liczba </a:t>
            </a:r>
            <a:r>
              <a:rPr lang="en-US" sz="1100" b="0" i="0" u="none" strike="noStrike" kern="1200" spc="0" baseline="0">
                <a:solidFill>
                  <a:sysClr val="windowText" lastClr="000000">
                    <a:lumMod val="65000"/>
                    <a:lumOff val="35000"/>
                  </a:sysClr>
                </a:solidFill>
                <a:latin typeface="+mn-lt"/>
                <a:ea typeface="+mn-ea"/>
                <a:cs typeface="+mn-cs"/>
              </a:rPr>
              <a:t>JCWP</a:t>
            </a:r>
            <a:r>
              <a:rPr lang="en-US" sz="1100"/>
              <a:t> </a:t>
            </a:r>
            <a:r>
              <a:rPr lang="pl-PL" sz="1100" b="0" i="0" u="none" strike="noStrike" baseline="0">
                <a:effectLst/>
              </a:rPr>
              <a:t>z odcinkami potencjalnego </a:t>
            </a:r>
            <a:r>
              <a:rPr lang="pl-PL" sz="1100" baseline="0"/>
              <a:t>zagrożenia dla swobodnego spływu lodu, oszacowanie PGWWP, 2020</a:t>
            </a:r>
            <a:endParaRPr lang="en-US" sz="1100"/>
          </a:p>
        </c:rich>
      </c:tx>
      <c:overlay val="0"/>
      <c:spPr>
        <a:noFill/>
        <a:ln w="25400">
          <a:noFill/>
        </a:ln>
      </c:spPr>
    </c:title>
    <c:autoTitleDeleted val="0"/>
    <c:plotArea>
      <c:layout/>
      <c:barChart>
        <c:barDir val="bar"/>
        <c:grouping val="clustered"/>
        <c:varyColors val="0"/>
        <c:ser>
          <c:idx val="0"/>
          <c:order val="0"/>
          <c:spPr>
            <a:solidFill>
              <a:srgbClr val="4472C4"/>
            </a:solidFill>
            <a:ln w="25400">
              <a:noFill/>
            </a:ln>
          </c:spPr>
          <c:invertIfNegative val="0"/>
          <c:cat>
            <c:strRef>
              <c:f>Odra!$C$17:$C$21</c:f>
              <c:strCache>
                <c:ptCount val="5"/>
                <c:pt idx="0">
                  <c:v>Region wodny Dolnej Odry i Przymorza Zachodniego</c:v>
                </c:pt>
                <c:pt idx="1">
                  <c:v>Region wodny Górnej Odry</c:v>
                </c:pt>
                <c:pt idx="2">
                  <c:v>Region wodny Noteci</c:v>
                </c:pt>
                <c:pt idx="3">
                  <c:v>Region wodny Środkowej Odry</c:v>
                </c:pt>
                <c:pt idx="4">
                  <c:v>Region wodny Warty</c:v>
                </c:pt>
              </c:strCache>
            </c:strRef>
          </c:cat>
          <c:val>
            <c:numRef>
              <c:f>Odra!$H$17:$H$21</c:f>
              <c:numCache>
                <c:formatCode>General</c:formatCode>
                <c:ptCount val="5"/>
                <c:pt idx="0">
                  <c:v>2</c:v>
                </c:pt>
                <c:pt idx="1">
                  <c:v>12</c:v>
                </c:pt>
                <c:pt idx="2">
                  <c:v>9</c:v>
                </c:pt>
                <c:pt idx="3">
                  <c:v>45</c:v>
                </c:pt>
                <c:pt idx="4">
                  <c:v>48</c:v>
                </c:pt>
              </c:numCache>
            </c:numRef>
          </c:val>
          <c:extLst>
            <c:ext xmlns:c16="http://schemas.microsoft.com/office/drawing/2014/chart" uri="{C3380CC4-5D6E-409C-BE32-E72D297353CC}">
              <c16:uniqueId val="{00000000-A4F1-459B-8A0B-47CB9F103889}"/>
            </c:ext>
          </c:extLst>
        </c:ser>
        <c:dLbls>
          <c:showLegendKey val="0"/>
          <c:showVal val="0"/>
          <c:showCatName val="0"/>
          <c:showSerName val="0"/>
          <c:showPercent val="0"/>
          <c:showBubbleSize val="0"/>
        </c:dLbls>
        <c:gapWidth val="182"/>
        <c:axId val="837247040"/>
        <c:axId val="1"/>
      </c:barChart>
      <c:catAx>
        <c:axId val="8372470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724704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Wykresy!$E$69:$E$73</c:f>
              <c:strCache>
                <c:ptCount val="5"/>
                <c:pt idx="0">
                  <c:v>14%</c:v>
                </c:pt>
                <c:pt idx="1">
                  <c:v>7%</c:v>
                </c:pt>
                <c:pt idx="2">
                  <c:v>11%</c:v>
                </c:pt>
                <c:pt idx="3">
                  <c:v>30%</c:v>
                </c:pt>
                <c:pt idx="4">
                  <c:v>37%</c:v>
                </c:pt>
              </c:strCache>
            </c:strRef>
          </c:tx>
          <c:spPr>
            <a:ln w="1270">
              <a:noFill/>
            </a:ln>
          </c:spPr>
          <c:dPt>
            <c:idx val="0"/>
            <c:bubble3D val="0"/>
            <c:spPr>
              <a:solidFill>
                <a:schemeClr val="accent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603-4936-A593-20E6903AAFA6}"/>
              </c:ext>
            </c:extLst>
          </c:dPt>
          <c:dPt>
            <c:idx val="1"/>
            <c:bubble3D val="0"/>
            <c:spPr>
              <a:solidFill>
                <a:schemeClr val="accent2"/>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603-4936-A593-20E6903AAFA6}"/>
              </c:ext>
            </c:extLst>
          </c:dPt>
          <c:dPt>
            <c:idx val="2"/>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603-4936-A593-20E6903AAFA6}"/>
              </c:ext>
            </c:extLst>
          </c:dPt>
          <c:dPt>
            <c:idx val="3"/>
            <c:bubble3D val="0"/>
            <c:spPr>
              <a:solidFill>
                <a:schemeClr val="accent4"/>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603-4936-A593-20E6903AAFA6}"/>
              </c:ext>
            </c:extLst>
          </c:dPt>
          <c:dPt>
            <c:idx val="4"/>
            <c:bubble3D val="0"/>
            <c:spPr>
              <a:solidFill>
                <a:schemeClr val="accent5"/>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A603-4936-A593-20E6903AAFA6}"/>
              </c:ext>
            </c:extLst>
          </c:dPt>
          <c:dLbls>
            <c:dLbl>
              <c:idx val="0"/>
              <c:tx>
                <c:rich>
                  <a:bodyPr/>
                  <a:lstStyle/>
                  <a:p>
                    <a:r>
                      <a:rPr lang="en-US"/>
                      <a:t>14,4%</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603-4936-A593-20E6903AAFA6}"/>
                </c:ext>
              </c:extLst>
            </c:dLbl>
            <c:dLbl>
              <c:idx val="1"/>
              <c:tx>
                <c:rich>
                  <a:bodyPr/>
                  <a:lstStyle/>
                  <a:p>
                    <a:r>
                      <a:rPr lang="en-US"/>
                      <a:t>7,2%</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603-4936-A593-20E6903AAFA6}"/>
                </c:ext>
              </c:extLst>
            </c:dLbl>
            <c:dLbl>
              <c:idx val="2"/>
              <c:tx>
                <c:rich>
                  <a:bodyPr/>
                  <a:lstStyle/>
                  <a:p>
                    <a:r>
                      <a:rPr lang="en-US"/>
                      <a:t>11,0%</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603-4936-A593-20E6903AAFA6}"/>
                </c:ext>
              </c:extLst>
            </c:dLbl>
            <c:dLbl>
              <c:idx val="3"/>
              <c:tx>
                <c:rich>
                  <a:bodyPr/>
                  <a:lstStyle/>
                  <a:p>
                    <a:r>
                      <a:rPr lang="en-US"/>
                      <a:t>29,9%</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603-4936-A593-20E6903AAFA6}"/>
                </c:ext>
              </c:extLst>
            </c:dLbl>
            <c:dLbl>
              <c:idx val="4"/>
              <c:tx>
                <c:rich>
                  <a:bodyPr/>
                  <a:lstStyle/>
                  <a:p>
                    <a:r>
                      <a:rPr lang="en-US"/>
                      <a:t>37,5%</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603-4936-A593-20E6903AAFA6}"/>
                </c:ext>
              </c:extLst>
            </c:dLbl>
            <c:numFmt formatCode="0%" sourceLinked="0"/>
            <c:spPr>
              <a:pattFill prst="pct75">
                <a:fgClr>
                  <a:srgbClr val="404040"/>
                </a:fgClr>
                <a:bgClr>
                  <a:srgbClr val="595959"/>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Wykresy!$C$69:$C$73</c:f>
              <c:strCache>
                <c:ptCount val="5"/>
                <c:pt idx="0">
                  <c:v>Region wodny Dolnej Odry i Przymorza Zachodniego</c:v>
                </c:pt>
                <c:pt idx="1">
                  <c:v>Region wodny Górnej Odry
</c:v>
                </c:pt>
                <c:pt idx="2">
                  <c:v>Region wodny Noteci</c:v>
                </c:pt>
                <c:pt idx="3">
                  <c:v>Region wodny Środkowej Odry</c:v>
                </c:pt>
                <c:pt idx="4">
                  <c:v>Region wodny Warty</c:v>
                </c:pt>
              </c:strCache>
            </c:strRef>
          </c:cat>
          <c:val>
            <c:numRef>
              <c:f>Wykresy!$E$69:$E$73</c:f>
              <c:numCache>
                <c:formatCode>0%</c:formatCode>
                <c:ptCount val="5"/>
                <c:pt idx="0">
                  <c:v>0.14411917547202494</c:v>
                </c:pt>
                <c:pt idx="1">
                  <c:v>7.1597667301807263E-2</c:v>
                </c:pt>
                <c:pt idx="2">
                  <c:v>0.11016802355794214</c:v>
                </c:pt>
                <c:pt idx="3">
                  <c:v>0.2992089612564236</c:v>
                </c:pt>
                <c:pt idx="4">
                  <c:v>0.37490617241180207</c:v>
                </c:pt>
              </c:numCache>
            </c:numRef>
          </c:val>
          <c:extLst>
            <c:ext xmlns:c16="http://schemas.microsoft.com/office/drawing/2014/chart" uri="{C3380CC4-5D6E-409C-BE32-E72D297353CC}">
              <c16:uniqueId val="{0000000A-A603-4936-A593-20E6903AAFA6}"/>
            </c:ext>
          </c:extLst>
        </c:ser>
        <c:dLbls>
          <c:dLblPos val="ctr"/>
          <c:showLegendKey val="0"/>
          <c:showVal val="0"/>
          <c:showCatName val="0"/>
          <c:showSerName val="0"/>
          <c:showPercent val="1"/>
          <c:showBubbleSize val="0"/>
          <c:showLeaderLines val="1"/>
        </c:dLbls>
        <c:firstSliceAng val="0"/>
      </c:pieChart>
      <c:spPr>
        <a:solidFill>
          <a:schemeClr val="bg1"/>
        </a:solidFill>
        <a:ln>
          <a:noFill/>
        </a:ln>
        <a:effectLst/>
      </c:spPr>
    </c:plotArea>
    <c:legend>
      <c:legendPos val="r"/>
      <c:layout>
        <c:manualLayout>
          <c:xMode val="edge"/>
          <c:yMode val="edge"/>
          <c:x val="0.60492927506507665"/>
          <c:y val="0.1503246443992888"/>
          <c:w val="0.37743144814527169"/>
          <c:h val="0.69935071120142245"/>
        </c:manualLayout>
      </c:layout>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sz="1800" b="1" i="0" u="none" strike="noStrike" kern="1200" baseline="0">
                <a:solidFill>
                  <a:sysClr val="windowText" lastClr="000000"/>
                </a:solidFill>
                <a:latin typeface="+mn-lt"/>
                <a:ea typeface="+mn-ea"/>
                <a:cs typeface="+mn-cs"/>
              </a:rPr>
              <a:t>JCWP</a:t>
            </a:r>
            <a:r>
              <a:rPr lang="pl-PL" baseline="0"/>
              <a:t> RW</a:t>
            </a:r>
            <a:endParaRPr lang="pl-PL"/>
          </a:p>
        </c:rich>
      </c:tx>
      <c:layout>
        <c:manualLayout>
          <c:xMode val="edge"/>
          <c:yMode val="edge"/>
          <c:x val="0.40808869850069296"/>
          <c:y val="0"/>
        </c:manualLayout>
      </c:layout>
      <c:overlay val="0"/>
    </c:title>
    <c:autoTitleDeleted val="0"/>
    <c:plotArea>
      <c:layout>
        <c:manualLayout>
          <c:layoutTarget val="inner"/>
          <c:xMode val="edge"/>
          <c:yMode val="edge"/>
          <c:x val="0.14321085635997655"/>
          <c:y val="0.32084747996808771"/>
          <c:w val="0.45272703643555201"/>
          <c:h val="0.63317964549585481"/>
        </c:manualLayout>
      </c:layout>
      <c:doughnutChart>
        <c:varyColors val="1"/>
        <c:ser>
          <c:idx val="0"/>
          <c:order val="0"/>
          <c:spPr>
            <a:ln w="1270">
              <a:noFill/>
            </a:ln>
          </c:spPr>
          <c:dPt>
            <c:idx val="0"/>
            <c:bubble3D val="0"/>
            <c:spPr>
              <a:solidFill>
                <a:schemeClr val="accent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DDD-4285-B6CA-C9E83DEF3B52}"/>
              </c:ext>
            </c:extLst>
          </c:dPt>
          <c:dPt>
            <c:idx val="1"/>
            <c:bubble3D val="0"/>
            <c:spPr>
              <a:solidFill>
                <a:schemeClr val="accent2"/>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DDD-4285-B6CA-C9E83DEF3B52}"/>
              </c:ext>
            </c:extLst>
          </c:dPt>
          <c:dPt>
            <c:idx val="2"/>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DDD-4285-B6CA-C9E83DEF3B52}"/>
              </c:ext>
            </c:extLst>
          </c:dPt>
          <c:dPt>
            <c:idx val="3"/>
            <c:bubble3D val="0"/>
            <c:spPr>
              <a:solidFill>
                <a:schemeClr val="accent4"/>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DDD-4285-B6CA-C9E83DEF3B52}"/>
              </c:ext>
            </c:extLst>
          </c:dPt>
          <c:dPt>
            <c:idx val="4"/>
            <c:bubble3D val="0"/>
            <c:spPr>
              <a:solidFill>
                <a:schemeClr val="accent5"/>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CDDD-4285-B6CA-C9E83DEF3B52}"/>
              </c:ext>
            </c:extLst>
          </c:dPt>
          <c:dPt>
            <c:idx val="5"/>
            <c:bubble3D val="0"/>
            <c:spPr>
              <a:solidFill>
                <a:schemeClr val="accent6"/>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CDDD-4285-B6CA-C9E83DEF3B52}"/>
              </c:ext>
            </c:extLst>
          </c:dPt>
          <c:dPt>
            <c:idx val="6"/>
            <c:bubble3D val="0"/>
            <c:spPr>
              <a:solidFill>
                <a:schemeClr val="accent1">
                  <a:lumMod val="60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CDDD-4285-B6CA-C9E83DEF3B52}"/>
              </c:ext>
            </c:extLst>
          </c:dPt>
          <c:dPt>
            <c:idx val="7"/>
            <c:bubble3D val="0"/>
            <c:spPr>
              <a:solidFill>
                <a:schemeClr val="accent2">
                  <a:lumMod val="60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CDDD-4285-B6CA-C9E83DEF3B52}"/>
              </c:ext>
            </c:extLst>
          </c:dPt>
          <c:dPt>
            <c:idx val="8"/>
            <c:bubble3D val="0"/>
            <c:spPr>
              <a:solidFill>
                <a:schemeClr val="accent3">
                  <a:lumMod val="60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CDDD-4285-B6CA-C9E83DEF3B52}"/>
              </c:ext>
            </c:extLst>
          </c:dPt>
          <c:dPt>
            <c:idx val="9"/>
            <c:bubble3D val="0"/>
            <c:spPr>
              <a:solidFill>
                <a:schemeClr val="accent4">
                  <a:lumMod val="60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CDDD-4285-B6CA-C9E83DEF3B52}"/>
              </c:ext>
            </c:extLst>
          </c:dPt>
          <c:dPt>
            <c:idx val="10"/>
            <c:bubble3D val="0"/>
            <c:spPr>
              <a:solidFill>
                <a:schemeClr val="accent5">
                  <a:lumMod val="60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5-CDDD-4285-B6CA-C9E83DEF3B52}"/>
              </c:ext>
            </c:extLst>
          </c:dPt>
          <c:dPt>
            <c:idx val="11"/>
            <c:bubble3D val="0"/>
            <c:spPr>
              <a:solidFill>
                <a:schemeClr val="accent6">
                  <a:lumMod val="60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7-CDDD-4285-B6CA-C9E83DEF3B52}"/>
              </c:ext>
            </c:extLst>
          </c:dPt>
          <c:dPt>
            <c:idx val="12"/>
            <c:bubble3D val="0"/>
            <c:spPr>
              <a:solidFill>
                <a:schemeClr val="accent1">
                  <a:lumMod val="80000"/>
                  <a:lumOff val="20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9-CDDD-4285-B6CA-C9E83DEF3B52}"/>
              </c:ext>
            </c:extLst>
          </c:dPt>
          <c:dPt>
            <c:idx val="13"/>
            <c:bubble3D val="0"/>
            <c:spPr>
              <a:solidFill>
                <a:schemeClr val="accent2">
                  <a:lumMod val="80000"/>
                  <a:lumOff val="20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B-CDDD-4285-B6CA-C9E83DEF3B52}"/>
              </c:ext>
            </c:extLst>
          </c:dPt>
          <c:dPt>
            <c:idx val="14"/>
            <c:bubble3D val="0"/>
            <c:spPr>
              <a:solidFill>
                <a:schemeClr val="accent3">
                  <a:lumMod val="80000"/>
                  <a:lumOff val="20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D-CDDD-4285-B6CA-C9E83DEF3B52}"/>
              </c:ext>
            </c:extLst>
          </c:dPt>
          <c:dPt>
            <c:idx val="15"/>
            <c:bubble3D val="0"/>
            <c:spPr>
              <a:solidFill>
                <a:schemeClr val="accent4">
                  <a:lumMod val="80000"/>
                  <a:lumOff val="20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F-CDDD-4285-B6CA-C9E83DEF3B52}"/>
              </c:ext>
            </c:extLst>
          </c:dPt>
          <c:dPt>
            <c:idx val="16"/>
            <c:bubble3D val="0"/>
            <c:spPr>
              <a:solidFill>
                <a:schemeClr val="accent5">
                  <a:lumMod val="80000"/>
                  <a:lumOff val="20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1-CDDD-4285-B6CA-C9E83DEF3B52}"/>
              </c:ext>
            </c:extLst>
          </c:dPt>
          <c:dPt>
            <c:idx val="17"/>
            <c:bubble3D val="0"/>
            <c:spPr>
              <a:solidFill>
                <a:schemeClr val="accent6">
                  <a:lumMod val="80000"/>
                  <a:lumOff val="20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3-CDDD-4285-B6CA-C9E83DEF3B52}"/>
              </c:ext>
            </c:extLst>
          </c:dPt>
          <c:dPt>
            <c:idx val="18"/>
            <c:bubble3D val="0"/>
            <c:spPr>
              <a:solidFill>
                <a:schemeClr val="accent1">
                  <a:lumMod val="80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5-CDDD-4285-B6CA-C9E83DEF3B52}"/>
              </c:ext>
            </c:extLst>
          </c:dPt>
          <c:dLbls>
            <c:dLbl>
              <c:idx val="0"/>
              <c:layout>
                <c:manualLayout>
                  <c:x val="0.1361111111111111"/>
                  <c:y val="-0.259619842373667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DDD-4285-B6CA-C9E83DEF3B52}"/>
                </c:ext>
              </c:extLst>
            </c:dLbl>
            <c:dLbl>
              <c:idx val="1"/>
              <c:layout>
                <c:manualLayout>
                  <c:x val="0.22777777777777777"/>
                  <c:y val="-0.176170607324988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DDD-4285-B6CA-C9E83DEF3B52}"/>
                </c:ext>
              </c:extLst>
            </c:dLbl>
            <c:dLbl>
              <c:idx val="2"/>
              <c:layout>
                <c:manualLayout>
                  <c:x val="0.18888888888888888"/>
                  <c:y val="-0.12053778395920264"/>
                </c:manualLayout>
              </c:layout>
              <c:tx>
                <c:rich>
                  <a:bodyPr/>
                  <a:lstStyle/>
                  <a:p>
                    <a:r>
                      <a:rPr lang="en-US"/>
                      <a:t>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DDD-4285-B6CA-C9E83DEF3B52}"/>
                </c:ext>
              </c:extLst>
            </c:dLbl>
            <c:dLbl>
              <c:idx val="3"/>
              <c:layout>
                <c:manualLayout>
                  <c:x val="0.17777777777777778"/>
                  <c:y val="6.02688919796013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DDD-4285-B6CA-C9E83DEF3B52}"/>
                </c:ext>
              </c:extLst>
            </c:dLbl>
            <c:dLbl>
              <c:idx val="4"/>
              <c:layout>
                <c:manualLayout>
                  <c:x val="0.18055555555555544"/>
                  <c:y val="0.157626332869726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DDD-4285-B6CA-C9E83DEF3B52}"/>
                </c:ext>
              </c:extLst>
            </c:dLbl>
            <c:dLbl>
              <c:idx val="5"/>
              <c:layout>
                <c:manualLayout>
                  <c:x val="0.17499999999999991"/>
                  <c:y val="-3.70885489105239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DDD-4285-B6CA-C9E83DEF3B52}"/>
                </c:ext>
              </c:extLst>
            </c:dLbl>
            <c:dLbl>
              <c:idx val="6"/>
              <c:layout>
                <c:manualLayout>
                  <c:x val="0.125"/>
                  <c:y val="0.180806675938803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DDD-4285-B6CA-C9E83DEF3B52}"/>
                </c:ext>
              </c:extLst>
            </c:dLbl>
            <c:dLbl>
              <c:idx val="8"/>
              <c:layout>
                <c:manualLayout>
                  <c:x val="-0.11944444444444445"/>
                  <c:y val="6.02688919796012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DDD-4285-B6CA-C9E83DEF3B52}"/>
                </c:ext>
              </c:extLst>
            </c:dLbl>
            <c:dLbl>
              <c:idx val="9"/>
              <c:layout>
                <c:manualLayout>
                  <c:x val="-0.15000000000000002"/>
                  <c:y val="4.17246175243393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DDD-4285-B6CA-C9E83DEF3B52}"/>
                </c:ext>
              </c:extLst>
            </c:dLbl>
            <c:dLbl>
              <c:idx val="10"/>
              <c:layout>
                <c:manualLayout>
                  <c:x val="-0.15277777777777779"/>
                  <c:y val="-4.17246175243394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DDD-4285-B6CA-C9E83DEF3B52}"/>
                </c:ext>
              </c:extLst>
            </c:dLbl>
            <c:dLbl>
              <c:idx val="11"/>
              <c:layout>
                <c:manualLayout>
                  <c:x val="-0.15277777777777779"/>
                  <c:y val="-0.134445989800649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CDDD-4285-B6CA-C9E83DEF3B52}"/>
                </c:ext>
              </c:extLst>
            </c:dLbl>
            <c:dLbl>
              <c:idx val="12"/>
              <c:layout>
                <c:manualLayout>
                  <c:x val="-0.18055555555555555"/>
                  <c:y val="-0.19007881316643485"/>
                </c:manualLayout>
              </c:layout>
              <c:tx>
                <c:rich>
                  <a:bodyPr/>
                  <a:lstStyle/>
                  <a:p>
                    <a:r>
                      <a:rPr lang="en-US"/>
                      <a:t>7,1%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CDDD-4285-B6CA-C9E83DEF3B52}"/>
                </c:ext>
              </c:extLst>
            </c:dLbl>
            <c:dLbl>
              <c:idx val="13"/>
              <c:layout>
                <c:manualLayout>
                  <c:x val="-0.21944444444444444"/>
                  <c:y val="-0.24107556791840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CDDD-4285-B6CA-C9E83DEF3B52}"/>
                </c:ext>
              </c:extLst>
            </c:dLbl>
            <c:dLbl>
              <c:idx val="14"/>
              <c:layout>
                <c:manualLayout>
                  <c:x val="-9.444444444444447E-2"/>
                  <c:y val="-0.190078813166434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CDDD-4285-B6CA-C9E83DEF3B52}"/>
                </c:ext>
              </c:extLst>
            </c:dLbl>
            <c:dLbl>
              <c:idx val="15"/>
              <c:layout>
                <c:manualLayout>
                  <c:x val="-8.0555555555555575E-2"/>
                  <c:y val="-0.273528048215113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CDDD-4285-B6CA-C9E83DEF3B52}"/>
                </c:ext>
              </c:extLst>
            </c:dLbl>
            <c:dLbl>
              <c:idx val="16"/>
              <c:layout>
                <c:manualLayout>
                  <c:x val="-5.0925337632079971E-17"/>
                  <c:y val="-0.273528048215113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CDDD-4285-B6CA-C9E83DEF3B52}"/>
                </c:ext>
              </c:extLst>
            </c:dLbl>
            <c:dLbl>
              <c:idx val="17"/>
              <c:layout>
                <c:manualLayout>
                  <c:x val="2.7777777777777728E-2"/>
                  <c:y val="-0.185442744552619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CDDD-4285-B6CA-C9E83DEF3B52}"/>
                </c:ext>
              </c:extLst>
            </c:dLbl>
            <c:dLbl>
              <c:idx val="18"/>
              <c:layout>
                <c:manualLayout>
                  <c:x val="0.125"/>
                  <c:y val="-0.162262401483541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CDDD-4285-B6CA-C9E83DEF3B52}"/>
                </c:ext>
              </c:extLst>
            </c:dLbl>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Arkusz1!$F$5:$F$23</c:f>
              <c:strCache>
                <c:ptCount val="19"/>
                <c:pt idx="0">
                  <c:v>PGS</c:v>
                </c:pt>
                <c:pt idx="1">
                  <c:v>RW_krz</c:v>
                </c:pt>
                <c:pt idx="2">
                  <c:v>RW_wap </c:v>
                </c:pt>
                <c:pt idx="3">
                  <c:v>RWf_krz</c:v>
                </c:pt>
                <c:pt idx="4">
                  <c:v>RWf_wap</c:v>
                </c:pt>
                <c:pt idx="5">
                  <c:v>RsW_krz</c:v>
                </c:pt>
                <c:pt idx="6">
                  <c:v>PN</c:v>
                </c:pt>
                <c:pt idx="7">
                  <c:v>PNp</c:v>
                </c:pt>
                <c:pt idx="8">
                  <c:v>RzN</c:v>
                </c:pt>
                <c:pt idx="9">
                  <c:v>RwN</c:v>
                </c:pt>
                <c:pt idx="10">
                  <c:v>PN_uj</c:v>
                </c:pt>
                <c:pt idx="11">
                  <c:v>RzN_uj</c:v>
                </c:pt>
                <c:pt idx="12">
                  <c:v>P_org</c:v>
                </c:pt>
                <c:pt idx="13">
                  <c:v>Rz_org</c:v>
                </c:pt>
                <c:pt idx="14">
                  <c:v>P_poj</c:v>
                </c:pt>
                <c:pt idx="15">
                  <c:v>Pl_poj</c:v>
                </c:pt>
                <c:pt idx="16">
                  <c:v>R_poj</c:v>
                </c:pt>
                <c:pt idx="17">
                  <c:v>Rl_poj</c:v>
                </c:pt>
                <c:pt idx="18">
                  <c:v>Typu nie określa się</c:v>
                </c:pt>
              </c:strCache>
            </c:strRef>
          </c:cat>
          <c:val>
            <c:numRef>
              <c:f>Arkusz1!$I$5:$I$23</c:f>
              <c:numCache>
                <c:formatCode>0.0%</c:formatCode>
                <c:ptCount val="19"/>
                <c:pt idx="0">
                  <c:v>6.2893081761006293E-3</c:v>
                </c:pt>
                <c:pt idx="1">
                  <c:v>5.1886792452830191E-2</c:v>
                </c:pt>
                <c:pt idx="2">
                  <c:v>3.7735849056603772E-2</c:v>
                </c:pt>
                <c:pt idx="3">
                  <c:v>1.5723270440251573E-3</c:v>
                </c:pt>
                <c:pt idx="4">
                  <c:v>7.8616352201257866E-4</c:v>
                </c:pt>
                <c:pt idx="5">
                  <c:v>1.5723270440251573E-3</c:v>
                </c:pt>
                <c:pt idx="6">
                  <c:v>0.19575471698113209</c:v>
                </c:pt>
                <c:pt idx="7">
                  <c:v>0.40566037735849059</c:v>
                </c:pt>
                <c:pt idx="8">
                  <c:v>0.12185534591194969</c:v>
                </c:pt>
                <c:pt idx="9">
                  <c:v>2.0440251572327043E-2</c:v>
                </c:pt>
                <c:pt idx="10">
                  <c:v>7.8616352201257866E-4</c:v>
                </c:pt>
                <c:pt idx="11">
                  <c:v>7.0754716981132077E-3</c:v>
                </c:pt>
                <c:pt idx="12">
                  <c:v>7.1540880503144652E-2</c:v>
                </c:pt>
                <c:pt idx="13">
                  <c:v>3.3018867924528301E-2</c:v>
                </c:pt>
                <c:pt idx="14">
                  <c:v>2.3584905660377358E-3</c:v>
                </c:pt>
                <c:pt idx="15">
                  <c:v>4.7169811320754715E-3</c:v>
                </c:pt>
                <c:pt idx="16">
                  <c:v>3.0660377358490566E-2</c:v>
                </c:pt>
                <c:pt idx="17">
                  <c:v>3.1446540880503146E-3</c:v>
                </c:pt>
                <c:pt idx="18">
                  <c:v>3.1446540880503146E-3</c:v>
                </c:pt>
              </c:numCache>
            </c:numRef>
          </c:val>
          <c:extLst>
            <c:ext xmlns:c16="http://schemas.microsoft.com/office/drawing/2014/chart" uri="{C3380CC4-5D6E-409C-BE32-E72D297353CC}">
              <c16:uniqueId val="{00000026-CDDD-4285-B6CA-C9E83DEF3B52}"/>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76161801747819202"/>
          <c:y val="3.141897229770204E-2"/>
          <c:w val="0.2207430761340041"/>
          <c:h val="0.94653031105400687"/>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sz="1800" b="1" i="0" u="none" strike="noStrike" kern="1200" baseline="0">
                <a:solidFill>
                  <a:sysClr val="windowText" lastClr="000000"/>
                </a:solidFill>
                <a:latin typeface="+mn-lt"/>
                <a:ea typeface="+mn-ea"/>
                <a:cs typeface="+mn-cs"/>
              </a:rPr>
              <a:t>JCWP</a:t>
            </a:r>
            <a:r>
              <a:rPr lang="pl-PL" baseline="0"/>
              <a:t> LW</a:t>
            </a:r>
            <a:endParaRPr lang="pl-PL"/>
          </a:p>
        </c:rich>
      </c:tx>
      <c:layout>
        <c:manualLayout>
          <c:xMode val="edge"/>
          <c:yMode val="edge"/>
          <c:x val="0.42244545877525674"/>
          <c:y val="0"/>
        </c:manualLayout>
      </c:layout>
      <c:overlay val="0"/>
    </c:title>
    <c:autoTitleDeleted val="0"/>
    <c:plotArea>
      <c:layout>
        <c:manualLayout>
          <c:layoutTarget val="inner"/>
          <c:xMode val="edge"/>
          <c:yMode val="edge"/>
          <c:x val="0.17275890154652931"/>
          <c:y val="0.20562374556121663"/>
          <c:w val="0.47191634118684639"/>
          <c:h val="0.76503267973856204"/>
        </c:manualLayout>
      </c:layout>
      <c:doughnutChart>
        <c:varyColors val="1"/>
        <c:ser>
          <c:idx val="0"/>
          <c:order val="0"/>
          <c:spPr>
            <a:ln w="1270">
              <a:noFill/>
            </a:ln>
          </c:spPr>
          <c:dPt>
            <c:idx val="0"/>
            <c:bubble3D val="0"/>
            <c:spPr>
              <a:solidFill>
                <a:schemeClr val="accent1"/>
              </a:solidFill>
              <a:ln w="1270">
                <a:noFill/>
              </a:ln>
              <a:effectLst/>
            </c:spPr>
            <c:extLst>
              <c:ext xmlns:c16="http://schemas.microsoft.com/office/drawing/2014/chart" uri="{C3380CC4-5D6E-409C-BE32-E72D297353CC}">
                <c16:uniqueId val="{00000001-7F8B-4BAC-B5E9-21FDB01152D5}"/>
              </c:ext>
            </c:extLst>
          </c:dPt>
          <c:dPt>
            <c:idx val="1"/>
            <c:bubble3D val="0"/>
            <c:spPr>
              <a:solidFill>
                <a:schemeClr val="accent2"/>
              </a:solidFill>
              <a:ln w="1270">
                <a:noFill/>
              </a:ln>
              <a:effectLst/>
            </c:spPr>
            <c:extLst>
              <c:ext xmlns:c16="http://schemas.microsoft.com/office/drawing/2014/chart" uri="{C3380CC4-5D6E-409C-BE32-E72D297353CC}">
                <c16:uniqueId val="{00000003-7F8B-4BAC-B5E9-21FDB01152D5}"/>
              </c:ext>
            </c:extLst>
          </c:dPt>
          <c:dPt>
            <c:idx val="2"/>
            <c:bubble3D val="0"/>
            <c:spPr>
              <a:solidFill>
                <a:schemeClr val="accent3"/>
              </a:solidFill>
              <a:ln w="1270">
                <a:noFill/>
              </a:ln>
              <a:effectLst/>
            </c:spPr>
            <c:extLst>
              <c:ext xmlns:c16="http://schemas.microsoft.com/office/drawing/2014/chart" uri="{C3380CC4-5D6E-409C-BE32-E72D297353CC}">
                <c16:uniqueId val="{00000005-7F8B-4BAC-B5E9-21FDB01152D5}"/>
              </c:ext>
            </c:extLst>
          </c:dPt>
          <c:dPt>
            <c:idx val="3"/>
            <c:bubble3D val="0"/>
            <c:spPr>
              <a:solidFill>
                <a:schemeClr val="accent4"/>
              </a:solidFill>
              <a:ln w="1270">
                <a:noFill/>
              </a:ln>
              <a:effectLst/>
            </c:spPr>
            <c:extLst>
              <c:ext xmlns:c16="http://schemas.microsoft.com/office/drawing/2014/chart" uri="{C3380CC4-5D6E-409C-BE32-E72D297353CC}">
                <c16:uniqueId val="{00000007-7F8B-4BAC-B5E9-21FDB01152D5}"/>
              </c:ext>
            </c:extLst>
          </c:dPt>
          <c:dPt>
            <c:idx val="4"/>
            <c:bubble3D val="0"/>
            <c:spPr>
              <a:solidFill>
                <a:schemeClr val="accent5"/>
              </a:solidFill>
              <a:ln w="1270">
                <a:noFill/>
              </a:ln>
              <a:effectLst/>
            </c:spPr>
            <c:extLst>
              <c:ext xmlns:c16="http://schemas.microsoft.com/office/drawing/2014/chart" uri="{C3380CC4-5D6E-409C-BE32-E72D297353CC}">
                <c16:uniqueId val="{00000009-7F8B-4BAC-B5E9-21FDB01152D5}"/>
              </c:ext>
            </c:extLst>
          </c:dPt>
          <c:dPt>
            <c:idx val="5"/>
            <c:bubble3D val="0"/>
            <c:spPr>
              <a:solidFill>
                <a:schemeClr val="accent6"/>
              </a:solidFill>
              <a:ln w="1270">
                <a:noFill/>
              </a:ln>
              <a:effectLst/>
            </c:spPr>
            <c:extLst>
              <c:ext xmlns:c16="http://schemas.microsoft.com/office/drawing/2014/chart" uri="{C3380CC4-5D6E-409C-BE32-E72D297353CC}">
                <c16:uniqueId val="{0000000B-7F8B-4BAC-B5E9-21FDB01152D5}"/>
              </c:ext>
            </c:extLst>
          </c:dPt>
          <c:dPt>
            <c:idx val="6"/>
            <c:bubble3D val="0"/>
            <c:spPr>
              <a:solidFill>
                <a:schemeClr val="accent1">
                  <a:lumMod val="60000"/>
                </a:schemeClr>
              </a:solidFill>
              <a:ln w="1270">
                <a:noFill/>
              </a:ln>
              <a:effectLst/>
            </c:spPr>
            <c:extLst>
              <c:ext xmlns:c16="http://schemas.microsoft.com/office/drawing/2014/chart" uri="{C3380CC4-5D6E-409C-BE32-E72D297353CC}">
                <c16:uniqueId val="{0000000D-7F8B-4BAC-B5E9-21FDB01152D5}"/>
              </c:ext>
            </c:extLst>
          </c:dPt>
          <c:dLbls>
            <c:dLbl>
              <c:idx val="0"/>
              <c:layout>
                <c:manualLayout>
                  <c:x val="-3.0945419103313884E-2"/>
                  <c:y val="-0.17348486653482961"/>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F8B-4BAC-B5E9-21FDB01152D5}"/>
                </c:ext>
              </c:extLst>
            </c:dLbl>
            <c:dLbl>
              <c:idx val="1"/>
              <c:layout>
                <c:manualLayout>
                  <c:x val="4.7608337082021203E-2"/>
                  <c:y val="-0.1694503347549498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F8B-4BAC-B5E9-21FDB01152D5}"/>
                </c:ext>
              </c:extLst>
            </c:dLbl>
            <c:dLbl>
              <c:idx val="2"/>
              <c:layout>
                <c:manualLayout>
                  <c:x val="0.12140125955915429"/>
                  <c:y val="-0.14524314407567129"/>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F8B-4BAC-B5E9-21FDB01152D5}"/>
                </c:ext>
              </c:extLst>
            </c:dLbl>
            <c:dLbl>
              <c:idx val="3"/>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effectLst/>
                        <a:latin typeface="+mn-lt"/>
                        <a:ea typeface="+mn-ea"/>
                        <a:cs typeface="+mn-cs"/>
                      </a:defRPr>
                    </a:pPr>
                    <a:fld id="{EB8A599E-B691-4137-9543-17B0C78D4179}" type="VALUE">
                      <a:rPr lang="en-US"/>
                      <a:pPr>
                        <a:defRPr sz="900" b="1" i="0" u="none" strike="noStrike" kern="1200" baseline="0">
                          <a:solidFill>
                            <a:schemeClr val="bg1"/>
                          </a:solidFill>
                          <a:effectLst/>
                          <a:latin typeface="+mn-lt"/>
                          <a:ea typeface="+mn-ea"/>
                          <a:cs typeface="+mn-cs"/>
                        </a:defRPr>
                      </a:pPr>
                      <a:t>[WARTOŚĆ]</a:t>
                    </a:fld>
                    <a:r>
                      <a:rPr lang="en-US"/>
                      <a:t>%</a:t>
                    </a:r>
                  </a:p>
                </c:rich>
              </c:tx>
              <c:numFmt formatCode="0%" sourceLinked="0"/>
              <c:spPr>
                <a:solidFill>
                  <a:schemeClr val="tx1">
                    <a:alpha val="50000"/>
                  </a:schemeClr>
                </a:solidFill>
                <a:ln>
                  <a:noFill/>
                </a:ln>
                <a:effectLst>
                  <a:outerShdw blurRad="50800" dist="38100" dir="2700000" algn="tl" rotWithShape="0">
                    <a:prstClr val="black">
                      <a:alpha val="40000"/>
                    </a:prstClr>
                  </a:outerShdw>
                </a:effectLst>
              </c:spP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7F8B-4BAC-B5E9-21FDB01152D5}"/>
                </c:ext>
              </c:extLst>
            </c:dLbl>
            <c:dLbl>
              <c:idx val="4"/>
              <c:numFmt formatCode="0%" sourceLinked="0"/>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effectLst/>
                      <a:latin typeface="+mn-lt"/>
                      <a:ea typeface="+mn-ea"/>
                      <a:cs typeface="+mn-cs"/>
                    </a:defRPr>
                  </a:pPr>
                  <a:endParaRPr lang="pl-PL"/>
                </a:p>
              </c:txPr>
              <c:showLegendKey val="0"/>
              <c:showVal val="0"/>
              <c:showCatName val="0"/>
              <c:showSerName val="0"/>
              <c:showPercent val="1"/>
              <c:showBubbleSize val="0"/>
              <c:extLst>
                <c:ext xmlns:c16="http://schemas.microsoft.com/office/drawing/2014/chart" uri="{C3380CC4-5D6E-409C-BE32-E72D297353CC}">
                  <c16:uniqueId val="{00000009-7F8B-4BAC-B5E9-21FDB01152D5}"/>
                </c:ext>
              </c:extLst>
            </c:dLbl>
            <c:dLbl>
              <c:idx val="6"/>
              <c:layout>
                <c:manualLayout>
                  <c:x val="-9.0455840455840458E-2"/>
                  <c:y val="-0.1492776758555510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7F8B-4BAC-B5E9-21FDB01152D5}"/>
                </c:ext>
              </c:extLst>
            </c:dLbl>
            <c:numFmt formatCode="0.0%" sourceLinked="0"/>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effectLst/>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Tabelle1!$C$2:$C$8</c:f>
              <c:strCache>
                <c:ptCount val="7"/>
                <c:pt idx="0">
                  <c:v>K_a</c:v>
                </c:pt>
                <c:pt idx="1">
                  <c:v>K_b</c:v>
                </c:pt>
                <c:pt idx="2">
                  <c:v>WSm_a</c:v>
                </c:pt>
                <c:pt idx="3">
                  <c:v>WSm_b</c:v>
                </c:pt>
                <c:pt idx="4">
                  <c:v>WSd_a</c:v>
                </c:pt>
                <c:pt idx="5">
                  <c:v>WSd_b</c:v>
                </c:pt>
                <c:pt idx="6">
                  <c:v>Kond</c:v>
                </c:pt>
              </c:strCache>
            </c:strRef>
          </c:cat>
          <c:val>
            <c:numRef>
              <c:f>Tabelle1!$D$2:$D$8</c:f>
              <c:numCache>
                <c:formatCode>0.0</c:formatCode>
                <c:ptCount val="7"/>
                <c:pt idx="0">
                  <c:v>2.3419203747072599</c:v>
                </c:pt>
                <c:pt idx="1">
                  <c:v>0.46838407494145201</c:v>
                </c:pt>
                <c:pt idx="2">
                  <c:v>17.096018735362996</c:v>
                </c:pt>
                <c:pt idx="3">
                  <c:v>3.5128805620608898</c:v>
                </c:pt>
                <c:pt idx="4">
                  <c:v>33.957845433255272</c:v>
                </c:pt>
                <c:pt idx="5">
                  <c:v>40.983606557377051</c:v>
                </c:pt>
                <c:pt idx="6">
                  <c:v>1.639344262295082</c:v>
                </c:pt>
              </c:numCache>
            </c:numRef>
          </c:val>
          <c:extLst>
            <c:ext xmlns:c16="http://schemas.microsoft.com/office/drawing/2014/chart" uri="{C3380CC4-5D6E-409C-BE32-E72D297353CC}">
              <c16:uniqueId val="{0000000E-7F8B-4BAC-B5E9-21FDB01152D5}"/>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layout>
        <c:manualLayout>
          <c:xMode val="edge"/>
          <c:yMode val="edge"/>
          <c:x val="0.78236654670865202"/>
          <c:y val="0.17895054521772971"/>
          <c:w val="0.13669928025191183"/>
          <c:h val="0.557273037732402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7281363826287837E-2"/>
          <c:y val="3.3038719202438407E-2"/>
          <c:w val="0.55091373537149557"/>
          <c:h val="0.94452271717043457"/>
        </c:manualLayout>
      </c:layout>
      <c:pieChart>
        <c:varyColors val="1"/>
        <c:ser>
          <c:idx val="0"/>
          <c:order val="0"/>
          <c:tx>
            <c:strRef>
              <c:f>Odra!$U$4:$U$6</c:f>
              <c:strCache>
                <c:ptCount val="1"/>
                <c:pt idx="0">
                  <c:v>NAT - naturalna część wód SCW - sztuczna część wód SZCW - silnie zmieniona część wód</c:v>
                </c:pt>
              </c:strCache>
            </c:strRef>
          </c:tx>
          <c:spPr>
            <a:ln w="1270">
              <a:noFill/>
            </a:ln>
          </c:spPr>
          <c:dPt>
            <c:idx val="0"/>
            <c:bubble3D val="0"/>
            <c:spPr>
              <a:solidFill>
                <a:srgbClr val="70AD47"/>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D1A-4D7E-B409-5CC3AC64D37D}"/>
              </c:ext>
            </c:extLst>
          </c:dPt>
          <c:dPt>
            <c:idx val="1"/>
            <c:bubble3D val="0"/>
            <c:spPr>
              <a:solidFill>
                <a:sysClr val="window" lastClr="FFFFFF">
                  <a:lumMod val="75000"/>
                </a:sys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D1A-4D7E-B409-5CC3AC64D37D}"/>
              </c:ext>
            </c:extLst>
          </c:dPt>
          <c:dPt>
            <c:idx val="2"/>
            <c:bubble3D val="0"/>
            <c:spPr>
              <a:solidFill>
                <a:sysClr val="windowText" lastClr="000000"/>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D1A-4D7E-B409-5CC3AC64D37D}"/>
              </c:ext>
            </c:extLst>
          </c:dPt>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Odra!$U$4:$U$6</c:f>
              <c:strCache>
                <c:ptCount val="3"/>
                <c:pt idx="0">
                  <c:v>NAT - naturalna część wód</c:v>
                </c:pt>
                <c:pt idx="1">
                  <c:v>SCW - sztuczna część wód</c:v>
                </c:pt>
                <c:pt idx="2">
                  <c:v>SZCW - silnie zmieniona część wód</c:v>
                </c:pt>
              </c:strCache>
            </c:strRef>
          </c:cat>
          <c:val>
            <c:numRef>
              <c:f>Odra!$C$12:$E$12</c:f>
              <c:numCache>
                <c:formatCode>General</c:formatCode>
                <c:ptCount val="3"/>
                <c:pt idx="0">
                  <c:v>910</c:v>
                </c:pt>
                <c:pt idx="1">
                  <c:v>40</c:v>
                </c:pt>
                <c:pt idx="2">
                  <c:v>322</c:v>
                </c:pt>
              </c:numCache>
            </c:numRef>
          </c:val>
          <c:extLst>
            <c:ext xmlns:c16="http://schemas.microsoft.com/office/drawing/2014/chart" uri="{C3380CC4-5D6E-409C-BE32-E72D297353CC}">
              <c16:uniqueId val="{00000006-8D1A-4D7E-B409-5CC3AC64D37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2845618132806157E-2"/>
          <c:y val="2.5201612903225805E-2"/>
          <c:w val="0.55681317066000291"/>
          <c:h val="0.95463709677419351"/>
        </c:manualLayout>
      </c:layout>
      <c:pieChart>
        <c:varyColors val="1"/>
        <c:ser>
          <c:idx val="0"/>
          <c:order val="0"/>
          <c:tx>
            <c:strRef>
              <c:f>Regiony_Wodne!$K$32:$M$32</c:f>
              <c:strCache>
                <c:ptCount val="3"/>
                <c:pt idx="0">
                  <c:v>NAT - naturalna część wód</c:v>
                </c:pt>
                <c:pt idx="1">
                  <c:v>SCW - sztuczna część wód</c:v>
                </c:pt>
                <c:pt idx="2">
                  <c:v>SZCW - silnie zmieniona część wód</c:v>
                </c:pt>
              </c:strCache>
            </c:strRef>
          </c:tx>
          <c:spPr>
            <a:solidFill>
              <a:schemeClr val="accent6"/>
            </a:solidFill>
            <a:ln w="1270">
              <a:noFill/>
            </a:ln>
          </c:spPr>
          <c:dPt>
            <c:idx val="0"/>
            <c:bubble3D val="0"/>
            <c:spPr>
              <a:solidFill>
                <a:schemeClr val="accent6"/>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69E-4664-8AF5-060420B6AFA6}"/>
              </c:ext>
            </c:extLst>
          </c:dPt>
          <c:dPt>
            <c:idx val="1"/>
            <c:bubble3D val="0"/>
            <c:spPr>
              <a:solidFill>
                <a:schemeClr val="accent6"/>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69E-4664-8AF5-060420B6AFA6}"/>
              </c:ext>
            </c:extLst>
          </c:dPt>
          <c:dPt>
            <c:idx val="2"/>
            <c:bubble3D val="0"/>
            <c:spPr>
              <a:solidFill>
                <a:schemeClr val="tx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69E-4664-8AF5-060420B6AFA6}"/>
              </c:ext>
            </c:extLst>
          </c:dPt>
          <c:dLbls>
            <c:dLbl>
              <c:idx val="1"/>
              <c:delete val="1"/>
              <c:extLst>
                <c:ext xmlns:c15="http://schemas.microsoft.com/office/drawing/2012/chart" uri="{CE6537A1-D6FC-4f65-9D91-7224C49458BB}"/>
                <c:ext xmlns:c16="http://schemas.microsoft.com/office/drawing/2014/chart" uri="{C3380CC4-5D6E-409C-BE32-E72D297353CC}">
                  <c16:uniqueId val="{00000003-769E-4664-8AF5-060420B6AFA6}"/>
                </c:ext>
              </c:extLst>
            </c:dLbl>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Regiony_Wodne!$K$32:$M$32</c:f>
              <c:strCache>
                <c:ptCount val="3"/>
                <c:pt idx="0">
                  <c:v>NAT - naturalna część wód</c:v>
                </c:pt>
                <c:pt idx="1">
                  <c:v>SCW - sztuczna część wód</c:v>
                </c:pt>
                <c:pt idx="2">
                  <c:v>SZCW - silnie zmieniona część wód</c:v>
                </c:pt>
              </c:strCache>
            </c:strRef>
          </c:cat>
          <c:val>
            <c:numRef>
              <c:f>Regiony_Wodne!$N$31:$P$31</c:f>
              <c:numCache>
                <c:formatCode>0</c:formatCode>
                <c:ptCount val="3"/>
                <c:pt idx="0">
                  <c:v>342</c:v>
                </c:pt>
                <c:pt idx="1">
                  <c:v>0</c:v>
                </c:pt>
                <c:pt idx="2">
                  <c:v>85</c:v>
                </c:pt>
              </c:numCache>
            </c:numRef>
          </c:val>
          <c:extLst>
            <c:ext xmlns:c16="http://schemas.microsoft.com/office/drawing/2014/chart" uri="{C3380CC4-5D6E-409C-BE32-E72D297353CC}">
              <c16:uniqueId val="{00000006-769E-4664-8AF5-060420B6AFA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0227273516431503E-2"/>
          <c:y val="2.0161290322580645E-2"/>
          <c:w val="0.55681317066000291"/>
          <c:h val="0.95463709677419351"/>
        </c:manualLayout>
      </c:layout>
      <c:pieChart>
        <c:varyColors val="1"/>
        <c:ser>
          <c:idx val="0"/>
          <c:order val="0"/>
          <c:spPr>
            <a:ln w="1270">
              <a:noFill/>
            </a:ln>
          </c:spPr>
          <c:dPt>
            <c:idx val="0"/>
            <c:bubble3D val="0"/>
            <c:spPr>
              <a:solidFill>
                <a:schemeClr val="accent1"/>
              </a:solidFill>
              <a:ln w="1270">
                <a:noFill/>
              </a:ln>
              <a:effectLst/>
            </c:spPr>
            <c:extLst>
              <c:ext xmlns:c16="http://schemas.microsoft.com/office/drawing/2014/chart" uri="{C3380CC4-5D6E-409C-BE32-E72D297353CC}">
                <c16:uniqueId val="{00000001-5B70-406F-B82B-BB6BC50A1776}"/>
              </c:ext>
            </c:extLst>
          </c:dPt>
          <c:dPt>
            <c:idx val="1"/>
            <c:bubble3D val="0"/>
            <c:spPr>
              <a:solidFill>
                <a:schemeClr val="accent2"/>
              </a:solidFill>
              <a:ln w="1270">
                <a:noFill/>
              </a:ln>
              <a:effectLst/>
            </c:spPr>
            <c:extLst>
              <c:ext xmlns:c16="http://schemas.microsoft.com/office/drawing/2014/chart" uri="{C3380CC4-5D6E-409C-BE32-E72D297353CC}">
                <c16:uniqueId val="{00000003-5B70-406F-B82B-BB6BC50A1776}"/>
              </c:ext>
            </c:extLst>
          </c:dPt>
          <c:dPt>
            <c:idx val="2"/>
            <c:bubble3D val="0"/>
            <c:spPr>
              <a:solidFill>
                <a:schemeClr val="accent3"/>
              </a:solidFill>
              <a:ln w="1270">
                <a:noFill/>
              </a:ln>
              <a:effectLst/>
            </c:spPr>
            <c:extLst>
              <c:ext xmlns:c16="http://schemas.microsoft.com/office/drawing/2014/chart" uri="{C3380CC4-5D6E-409C-BE32-E72D297353CC}">
                <c16:uniqueId val="{00000005-5B70-406F-B82B-BB6BC50A1776}"/>
              </c:ext>
            </c:extLst>
          </c:dPt>
          <c:dPt>
            <c:idx val="3"/>
            <c:bubble3D val="0"/>
            <c:spPr>
              <a:solidFill>
                <a:schemeClr val="accent4"/>
              </a:solidFill>
              <a:ln w="1270">
                <a:noFill/>
              </a:ln>
              <a:effectLst/>
            </c:spPr>
            <c:extLst>
              <c:ext xmlns:c16="http://schemas.microsoft.com/office/drawing/2014/chart" uri="{C3380CC4-5D6E-409C-BE32-E72D297353CC}">
                <c16:uniqueId val="{00000007-5B70-406F-B82B-BB6BC50A1776}"/>
              </c:ext>
            </c:extLst>
          </c:dPt>
          <c:dPt>
            <c:idx val="4"/>
            <c:bubble3D val="0"/>
            <c:spPr>
              <a:solidFill>
                <a:schemeClr val="accent5"/>
              </a:solidFill>
              <a:ln w="1270">
                <a:noFill/>
              </a:ln>
              <a:effectLst/>
            </c:spPr>
            <c:extLst>
              <c:ext xmlns:c16="http://schemas.microsoft.com/office/drawing/2014/chart" uri="{C3380CC4-5D6E-409C-BE32-E72D297353CC}">
                <c16:uniqueId val="{00000009-5B70-406F-B82B-BB6BC50A1776}"/>
              </c:ext>
            </c:extLst>
          </c:dPt>
          <c:dLbls>
            <c:numFmt formatCode="0.00%" sourceLinked="0"/>
            <c:spPr>
              <a:solidFill>
                <a:sysClr val="windowText" lastClr="000000">
                  <a:alpha val="50000"/>
                </a:sys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Arkusz1!$D$27:$D$31</c:f>
              <c:strCache>
                <c:ptCount val="5"/>
                <c:pt idx="0">
                  <c:v>Region wodny Górnej Odry</c:v>
                </c:pt>
                <c:pt idx="1">
                  <c:v>Region wodny Środkowej Odry</c:v>
                </c:pt>
                <c:pt idx="2">
                  <c:v>Region wodny Dolnej Odry i Przymorza Zachodniego</c:v>
                </c:pt>
                <c:pt idx="3">
                  <c:v>Region wodny Warty</c:v>
                </c:pt>
                <c:pt idx="4">
                  <c:v>Region wodny Noteci</c:v>
                </c:pt>
              </c:strCache>
            </c:strRef>
          </c:cat>
          <c:val>
            <c:numRef>
              <c:f>Arkusz1!$H$27:$H$31</c:f>
              <c:numCache>
                <c:formatCode>0.00</c:formatCode>
                <c:ptCount val="5"/>
                <c:pt idx="0">
                  <c:v>19.117647058823529</c:v>
                </c:pt>
                <c:pt idx="1">
                  <c:v>30.882352941176471</c:v>
                </c:pt>
                <c:pt idx="2">
                  <c:v>17.647058823529413</c:v>
                </c:pt>
                <c:pt idx="3">
                  <c:v>23.529411764705884</c:v>
                </c:pt>
                <c:pt idx="4">
                  <c:v>8.8235294117647065</c:v>
                </c:pt>
              </c:numCache>
            </c:numRef>
          </c:val>
          <c:extLst>
            <c:ext xmlns:c16="http://schemas.microsoft.com/office/drawing/2014/chart" uri="{C3380CC4-5D6E-409C-BE32-E72D297353CC}">
              <c16:uniqueId val="{0000000A-5B70-406F-B82B-BB6BC50A1776}"/>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1"/>
          <c:order val="0"/>
          <c:tx>
            <c:strRef>
              <c:f>wykresy!$C$53</c:f>
              <c:strCache>
                <c:ptCount val="1"/>
                <c:pt idx="0">
                  <c:v>1. Ekstremalna temperatura dodatnia</c:v>
                </c:pt>
              </c:strCache>
            </c:strRef>
          </c:tx>
          <c:spPr>
            <a:solidFill>
              <a:srgbClr val="FF0000"/>
            </a:solidFill>
            <a:ln>
              <a:solidFill>
                <a:schemeClr val="tx1"/>
              </a:solidFill>
            </a:ln>
            <a:effectLst/>
          </c:spPr>
          <c:invertIfNegative val="0"/>
          <c:dLbls>
            <c:dLbl>
              <c:idx val="0"/>
              <c:tx>
                <c:rich>
                  <a:bodyPr/>
                  <a:lstStyle/>
                  <a:p>
                    <a:fld id="{913E1E07-10AE-41C2-88B7-2E1822B0014E}" type="CELLRANGE">
                      <a:rPr lang="en-US"/>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AA35-4435-8984-11B1643EF76F}"/>
                </c:ext>
              </c:extLst>
            </c:dLbl>
            <c:dLbl>
              <c:idx val="1"/>
              <c:tx>
                <c:rich>
                  <a:bodyPr/>
                  <a:lstStyle/>
                  <a:p>
                    <a:fld id="{1BE2666D-B1CB-4DCC-A759-E0B226CE07BD}"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AA35-4435-8984-11B1643EF76F}"/>
                </c:ext>
              </c:extLst>
            </c:dLbl>
            <c:dLbl>
              <c:idx val="2"/>
              <c:tx>
                <c:rich>
                  <a:bodyPr/>
                  <a:lstStyle/>
                  <a:p>
                    <a:fld id="{A51033BC-18BA-43EC-9BB9-A6A30F829D91}"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AA35-4435-8984-11B1643EF76F}"/>
                </c:ext>
              </c:extLst>
            </c:dLbl>
            <c:dLbl>
              <c:idx val="3"/>
              <c:tx>
                <c:rich>
                  <a:bodyPr/>
                  <a:lstStyle/>
                  <a:p>
                    <a:fld id="{1292F9A6-A574-4304-A18B-268AF002109A}"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AA35-4435-8984-11B1643EF76F}"/>
                </c:ext>
              </c:extLst>
            </c:dLbl>
            <c:dLbl>
              <c:idx val="4"/>
              <c:tx>
                <c:rich>
                  <a:bodyPr/>
                  <a:lstStyle/>
                  <a:p>
                    <a:fld id="{AE8CD118-BED8-4B8A-B844-A3C8F1D942A0}"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AA35-4435-8984-11B1643EF76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wykresy!$B$15:$B$19</c:f>
              <c:strCache>
                <c:ptCount val="5"/>
                <c:pt idx="0">
                  <c:v>Region wodny Górnej Odry</c:v>
                </c:pt>
                <c:pt idx="1">
                  <c:v>Region wodny Środkowej Odry</c:v>
                </c:pt>
                <c:pt idx="2">
                  <c:v>Region wodny Dolnej Odry i Przymorza Zachodniego</c:v>
                </c:pt>
                <c:pt idx="3">
                  <c:v>Region wodny Warty</c:v>
                </c:pt>
                <c:pt idx="4">
                  <c:v>Region wodny Noteci</c:v>
                </c:pt>
              </c:strCache>
            </c:strRef>
          </c:cat>
          <c:val>
            <c:numRef>
              <c:f>wykresy!$D$15:$D$19</c:f>
              <c:numCache>
                <c:formatCode>General</c:formatCode>
                <c:ptCount val="5"/>
                <c:pt idx="0">
                  <c:v>12</c:v>
                </c:pt>
                <c:pt idx="1">
                  <c:v>12</c:v>
                </c:pt>
                <c:pt idx="2">
                  <c:v>11</c:v>
                </c:pt>
                <c:pt idx="3">
                  <c:v>55</c:v>
                </c:pt>
                <c:pt idx="4">
                  <c:v>11</c:v>
                </c:pt>
              </c:numCache>
            </c:numRef>
          </c:val>
          <c:extLst>
            <c:ext xmlns:c15="http://schemas.microsoft.com/office/drawing/2012/chart" uri="{02D57815-91ED-43cb-92C2-25804820EDAC}">
              <c15:datalabelsRange>
                <c15:f>wykresy!$K$76:$K$80</c15:f>
                <c15:dlblRangeCache>
                  <c:ptCount val="5"/>
                  <c:pt idx="0">
                    <c:v>1</c:v>
                  </c:pt>
                  <c:pt idx="1">
                    <c:v>1</c:v>
                  </c:pt>
                  <c:pt idx="2">
                    <c:v>1</c:v>
                  </c:pt>
                  <c:pt idx="3">
                    <c:v>1</c:v>
                  </c:pt>
                  <c:pt idx="4">
                    <c:v>1</c:v>
                  </c:pt>
                </c15:dlblRangeCache>
              </c15:datalabelsRange>
            </c:ext>
            <c:ext xmlns:c16="http://schemas.microsoft.com/office/drawing/2014/chart" uri="{C3380CC4-5D6E-409C-BE32-E72D297353CC}">
              <c16:uniqueId val="{00000005-AA35-4435-8984-11B1643EF76F}"/>
            </c:ext>
          </c:extLst>
        </c:ser>
        <c:ser>
          <c:idx val="2"/>
          <c:order val="1"/>
          <c:tx>
            <c:strRef>
              <c:f>wykresy!$F$53</c:f>
              <c:strCache>
                <c:ptCount val="1"/>
                <c:pt idx="0">
                  <c:v>2. Opady nawalne (powyżej 10 mm na dobę)</c:v>
                </c:pt>
              </c:strCache>
            </c:strRef>
          </c:tx>
          <c:spPr>
            <a:solidFill>
              <a:srgbClr val="FFFF00"/>
            </a:solidFill>
            <a:ln>
              <a:solidFill>
                <a:schemeClr val="tx1"/>
              </a:solidFill>
            </a:ln>
            <a:effectLst/>
          </c:spPr>
          <c:invertIfNegative val="0"/>
          <c:dPt>
            <c:idx val="3"/>
            <c:invertIfNegative val="0"/>
            <c:bubble3D val="0"/>
            <c:spPr>
              <a:solidFill>
                <a:srgbClr val="FFFF00"/>
              </a:solidFill>
              <a:ln>
                <a:solidFill>
                  <a:schemeClr val="tx1"/>
                </a:solidFill>
              </a:ln>
              <a:effectLst/>
            </c:spPr>
            <c:extLst>
              <c:ext xmlns:c16="http://schemas.microsoft.com/office/drawing/2014/chart" uri="{C3380CC4-5D6E-409C-BE32-E72D297353CC}">
                <c16:uniqueId val="{00000007-AA35-4435-8984-11B1643EF76F}"/>
              </c:ext>
            </c:extLst>
          </c:dPt>
          <c:dLbls>
            <c:dLbl>
              <c:idx val="0"/>
              <c:tx>
                <c:rich>
                  <a:bodyPr/>
                  <a:lstStyle/>
                  <a:p>
                    <a:fld id="{9A246931-B221-4223-BA25-9383D1AEBDCF}" type="CELLRANGE">
                      <a:rPr lang="en-US"/>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AA35-4435-8984-11B1643EF76F}"/>
                </c:ext>
              </c:extLst>
            </c:dLbl>
            <c:dLbl>
              <c:idx val="1"/>
              <c:tx>
                <c:rich>
                  <a:bodyPr/>
                  <a:lstStyle/>
                  <a:p>
                    <a:fld id="{D539D1FA-DA52-4D1C-AF9B-F88D756CF9B0}"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AA35-4435-8984-11B1643EF76F}"/>
                </c:ext>
              </c:extLst>
            </c:dLbl>
            <c:dLbl>
              <c:idx val="2"/>
              <c:tx>
                <c:rich>
                  <a:bodyPr/>
                  <a:lstStyle/>
                  <a:p>
                    <a:fld id="{E5515946-54DB-4AD0-B490-ACE399C44B3E}"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AA35-4435-8984-11B1643EF76F}"/>
                </c:ext>
              </c:extLst>
            </c:dLbl>
            <c:dLbl>
              <c:idx val="3"/>
              <c:tx>
                <c:rich>
                  <a:bodyPr/>
                  <a:lstStyle/>
                  <a:p>
                    <a:fld id="{D6C8B79F-BCCD-4116-AEA8-F82965EA8F31}"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AA35-4435-8984-11B1643EF76F}"/>
                </c:ext>
              </c:extLst>
            </c:dLbl>
            <c:dLbl>
              <c:idx val="4"/>
              <c:tx>
                <c:rich>
                  <a:bodyPr/>
                  <a:lstStyle/>
                  <a:p>
                    <a:fld id="{7E70BDE0-620E-4ACF-8A6D-81F724694BAA}"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AA35-4435-8984-11B1643EF76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wykresy!$B$15:$B$19</c:f>
              <c:strCache>
                <c:ptCount val="5"/>
                <c:pt idx="0">
                  <c:v>Region wodny Górnej Odry</c:v>
                </c:pt>
                <c:pt idx="1">
                  <c:v>Region wodny Środkowej Odry</c:v>
                </c:pt>
                <c:pt idx="2">
                  <c:v>Region wodny Dolnej Odry i Przymorza Zachodniego</c:v>
                </c:pt>
                <c:pt idx="3">
                  <c:v>Region wodny Warty</c:v>
                </c:pt>
                <c:pt idx="4">
                  <c:v>Region wodny Noteci</c:v>
                </c:pt>
              </c:strCache>
            </c:strRef>
          </c:cat>
          <c:val>
            <c:numRef>
              <c:f>wykresy!$G$15:$G$19</c:f>
              <c:numCache>
                <c:formatCode>General</c:formatCode>
                <c:ptCount val="5"/>
                <c:pt idx="0">
                  <c:v>2</c:v>
                </c:pt>
                <c:pt idx="1">
                  <c:v>2.5</c:v>
                </c:pt>
                <c:pt idx="2">
                  <c:v>2.2999999999999998</c:v>
                </c:pt>
                <c:pt idx="3">
                  <c:v>5</c:v>
                </c:pt>
                <c:pt idx="4">
                  <c:v>1.1000000000000001</c:v>
                </c:pt>
              </c:numCache>
            </c:numRef>
          </c:val>
          <c:extLst>
            <c:ext xmlns:c15="http://schemas.microsoft.com/office/drawing/2012/chart" uri="{02D57815-91ED-43cb-92C2-25804820EDAC}">
              <c15:datalabelsRange>
                <c15:f>wykresy!$L$76:$L$80</c15:f>
                <c15:dlblRangeCache>
                  <c:ptCount val="5"/>
                  <c:pt idx="0">
                    <c:v>2</c:v>
                  </c:pt>
                  <c:pt idx="1">
                    <c:v>2</c:v>
                  </c:pt>
                  <c:pt idx="2">
                    <c:v>2</c:v>
                  </c:pt>
                  <c:pt idx="3">
                    <c:v>2</c:v>
                  </c:pt>
                  <c:pt idx="4">
                    <c:v>2</c:v>
                  </c:pt>
                </c15:dlblRangeCache>
              </c15:datalabelsRange>
            </c:ext>
            <c:ext xmlns:c16="http://schemas.microsoft.com/office/drawing/2014/chart" uri="{C3380CC4-5D6E-409C-BE32-E72D297353CC}">
              <c16:uniqueId val="{0000000C-AA35-4435-8984-11B1643EF76F}"/>
            </c:ext>
          </c:extLst>
        </c:ser>
        <c:ser>
          <c:idx val="3"/>
          <c:order val="2"/>
          <c:tx>
            <c:strRef>
              <c:f>wykresy!$I$53</c:f>
              <c:strCache>
                <c:ptCount val="1"/>
                <c:pt idx="0">
                  <c:v>3. Susza</c:v>
                </c:pt>
              </c:strCache>
            </c:strRef>
          </c:tx>
          <c:spPr>
            <a:solidFill>
              <a:srgbClr val="FFFF00"/>
            </a:solidFill>
            <a:ln>
              <a:solidFill>
                <a:schemeClr val="tx1"/>
              </a:solidFill>
              <a:prstDash val="dash"/>
            </a:ln>
            <a:effectLst/>
          </c:spPr>
          <c:invertIfNegative val="0"/>
          <c:dLbls>
            <c:dLbl>
              <c:idx val="0"/>
              <c:tx>
                <c:rich>
                  <a:bodyPr/>
                  <a:lstStyle/>
                  <a:p>
                    <a:fld id="{D2B39F1B-080F-41FD-9EB1-67A8360A4DD2}" type="CELLRANGE">
                      <a:rPr lang="en-US"/>
                      <a:pPr/>
                      <a:t>[ZAKRES KOMÓREK]</a:t>
                    </a:fld>
                    <a:endParaRPr lang="pl-PL"/>
                  </a:p>
                </c:rich>
              </c:tx>
              <c:dLblPos val="in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AA35-4435-8984-11B1643EF76F}"/>
                </c:ext>
              </c:extLst>
            </c:dLbl>
            <c:dLbl>
              <c:idx val="1"/>
              <c:layout>
                <c:manualLayout>
                  <c:x val="0"/>
                  <c:y val="7.9664303202705955E-2"/>
                </c:manualLayout>
              </c:layout>
              <c:tx>
                <c:rich>
                  <a:bodyPr/>
                  <a:lstStyle/>
                  <a:p>
                    <a:fld id="{F691136C-5A7C-4793-9811-B45A94A91C34}" type="CELLRANGE">
                      <a:rPr lang="en-US"/>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E-AA35-4435-8984-11B1643EF76F}"/>
                </c:ext>
              </c:extLst>
            </c:dLbl>
            <c:dLbl>
              <c:idx val="2"/>
              <c:layout>
                <c:manualLayout>
                  <c:x val="-1.6168794698185392E-16"/>
                  <c:y val="7.4063676334542652E-2"/>
                </c:manualLayout>
              </c:layout>
              <c:tx>
                <c:rich>
                  <a:bodyPr/>
                  <a:lstStyle/>
                  <a:p>
                    <a:fld id="{E3EE999F-4368-4CAC-883C-6ECDF5C8F03C}" type="CELLRANGE">
                      <a:rPr lang="en-US"/>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F-AA35-4435-8984-11B1643EF76F}"/>
                </c:ext>
              </c:extLst>
            </c:dLbl>
            <c:dLbl>
              <c:idx val="3"/>
              <c:layout>
                <c:manualLayout>
                  <c:x val="-8.0843973490926958E-17"/>
                  <c:y val="6.6530514044024602E-2"/>
                </c:manualLayout>
              </c:layout>
              <c:tx>
                <c:rich>
                  <a:bodyPr/>
                  <a:lstStyle/>
                  <a:p>
                    <a:fld id="{B2191436-BF81-40C6-B0AD-508D832F1BC4}" type="CELLRANGE">
                      <a:rPr lang="en-US"/>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0-AA35-4435-8984-11B1643EF76F}"/>
                </c:ext>
              </c:extLst>
            </c:dLbl>
            <c:dLbl>
              <c:idx val="4"/>
              <c:layout>
                <c:manualLayout>
                  <c:x val="0"/>
                  <c:y val="7.7424167985879866E-2"/>
                </c:manualLayout>
              </c:layout>
              <c:tx>
                <c:rich>
                  <a:bodyPr/>
                  <a:lstStyle/>
                  <a:p>
                    <a:fld id="{7E216BFF-FE14-4B36-BA0A-CC3D6634DA9C}" type="CELLRANGE">
                      <a:rPr lang="en-US"/>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1-AA35-4435-8984-11B1643EF76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wykresy!$B$15:$B$19</c:f>
              <c:strCache>
                <c:ptCount val="5"/>
                <c:pt idx="0">
                  <c:v>Region wodny Górnej Odry</c:v>
                </c:pt>
                <c:pt idx="1">
                  <c:v>Region wodny Środkowej Odry</c:v>
                </c:pt>
                <c:pt idx="2">
                  <c:v>Region wodny Dolnej Odry i Przymorza Zachodniego</c:v>
                </c:pt>
                <c:pt idx="3">
                  <c:v>Region wodny Warty</c:v>
                </c:pt>
                <c:pt idx="4">
                  <c:v>Region wodny Noteci</c:v>
                </c:pt>
              </c:strCache>
            </c:strRef>
          </c:cat>
          <c:val>
            <c:numRef>
              <c:f>wykresy!$J$15:$J$19</c:f>
              <c:numCache>
                <c:formatCode>General</c:formatCode>
                <c:ptCount val="5"/>
                <c:pt idx="0">
                  <c:v>1</c:v>
                </c:pt>
                <c:pt idx="1">
                  <c:v>-2.2000000000000002</c:v>
                </c:pt>
                <c:pt idx="2">
                  <c:v>-1.7</c:v>
                </c:pt>
                <c:pt idx="3">
                  <c:v>-0.7</c:v>
                </c:pt>
                <c:pt idx="4">
                  <c:v>-2</c:v>
                </c:pt>
              </c:numCache>
            </c:numRef>
          </c:val>
          <c:extLst>
            <c:ext xmlns:c15="http://schemas.microsoft.com/office/drawing/2012/chart" uri="{02D57815-91ED-43cb-92C2-25804820EDAC}">
              <c15:datalabelsRange>
                <c15:f>wykresy!$J$76:$J$80</c15:f>
                <c15:dlblRangeCache>
                  <c:ptCount val="5"/>
                  <c:pt idx="0">
                    <c:v>3</c:v>
                  </c:pt>
                  <c:pt idx="1">
                    <c:v>3</c:v>
                  </c:pt>
                  <c:pt idx="2">
                    <c:v>3</c:v>
                  </c:pt>
                  <c:pt idx="3">
                    <c:v>3</c:v>
                  </c:pt>
                  <c:pt idx="4">
                    <c:v>3</c:v>
                  </c:pt>
                </c15:dlblRangeCache>
              </c15:datalabelsRange>
            </c:ext>
            <c:ext xmlns:c16="http://schemas.microsoft.com/office/drawing/2014/chart" uri="{C3380CC4-5D6E-409C-BE32-E72D297353CC}">
              <c16:uniqueId val="{00000012-AA35-4435-8984-11B1643EF76F}"/>
            </c:ext>
          </c:extLst>
        </c:ser>
        <c:dLbls>
          <c:showLegendKey val="0"/>
          <c:showVal val="0"/>
          <c:showCatName val="0"/>
          <c:showSerName val="0"/>
          <c:showPercent val="0"/>
          <c:showBubbleSize val="0"/>
        </c:dLbls>
        <c:gapWidth val="219"/>
        <c:overlap val="-27"/>
        <c:axId val="511071864"/>
        <c:axId val="511076456"/>
      </c:barChart>
      <c:catAx>
        <c:axId val="5110718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składowa klimatyczna</a:t>
                </a:r>
              </a:p>
            </c:rich>
          </c:tx>
          <c:layout>
            <c:manualLayout>
              <c:xMode val="edge"/>
              <c:yMode val="edge"/>
              <c:x val="0.45000346280281517"/>
              <c:y val="0.9340292309340839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t" anchorCtr="0"/>
          <a:lstStyle/>
          <a:p>
            <a:pPr>
              <a:defRPr sz="800" b="0" i="0" u="none" strike="noStrike" kern="1200" baseline="0">
                <a:solidFill>
                  <a:schemeClr val="tx1">
                    <a:lumMod val="65000"/>
                    <a:lumOff val="35000"/>
                  </a:schemeClr>
                </a:solidFill>
                <a:latin typeface="+mn-lt"/>
                <a:ea typeface="+mn-ea"/>
                <a:cs typeface="+mn-cs"/>
              </a:defRPr>
            </a:pPr>
            <a:endParaRPr lang="pl-PL"/>
          </a:p>
        </c:txPr>
        <c:crossAx val="511076456"/>
        <c:crossesAt val="0"/>
        <c:auto val="1"/>
        <c:lblAlgn val="ctr"/>
        <c:lblOffset val="300"/>
        <c:noMultiLvlLbl val="0"/>
      </c:catAx>
      <c:valAx>
        <c:axId val="51107645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0"/>
              <a:lstStyle/>
              <a:p>
                <a:pPr>
                  <a:defRPr sz="900" b="0" i="0" u="none" strike="noStrike" kern="1200" baseline="0">
                    <a:solidFill>
                      <a:schemeClr val="tx1">
                        <a:lumMod val="65000"/>
                        <a:lumOff val="35000"/>
                      </a:schemeClr>
                    </a:solidFill>
                    <a:latin typeface="+mn-lt"/>
                    <a:ea typeface="+mn-ea"/>
                    <a:cs typeface="+mn-cs"/>
                  </a:defRPr>
                </a:pPr>
                <a:r>
                  <a:rPr lang="pl-PL" sz="900"/>
                  <a:t>liczba dni w roku,</a:t>
                </a:r>
                <a:r>
                  <a:rPr lang="pl-PL" sz="900" baseline="0"/>
                  <a:t> o które zmieni się składowa klimatyczna</a:t>
                </a:r>
              </a:p>
              <a:p>
                <a:pPr>
                  <a:defRPr sz="900"/>
                </a:pPr>
                <a:r>
                  <a:rPr lang="pl-PL" sz="900" baseline="0"/>
                  <a:t>tendencja wzrostowa/spadkowa</a:t>
                </a:r>
                <a:endParaRPr lang="pl-PL" sz="900"/>
              </a:p>
            </c:rich>
          </c:tx>
          <c:layout>
            <c:manualLayout>
              <c:xMode val="edge"/>
              <c:yMode val="edge"/>
              <c:x val="2.8836805555555556E-2"/>
              <c:y val="9.4271461833076761E-2"/>
            </c:manualLayout>
          </c:layout>
          <c:overlay val="0"/>
          <c:spPr>
            <a:noFill/>
            <a:ln>
              <a:noFill/>
            </a:ln>
            <a:effectLst/>
          </c:spPr>
          <c:txPr>
            <a:bodyPr rot="-5400000" spcFirstLastPara="1" vertOverflow="ellipsis" vert="horz" wrap="square" anchor="ctr" anchorCtr="0"/>
            <a:lstStyle/>
            <a:p>
              <a:pPr>
                <a:defRPr sz="9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1071864"/>
        <c:crosses val="autoZero"/>
        <c:crossBetween val="between"/>
      </c:valAx>
      <c:spPr>
        <a:noFill/>
        <a:ln>
          <a:noFill/>
        </a:ln>
        <a:effectLst/>
      </c:spPr>
    </c:plotArea>
    <c:legend>
      <c:legendPos val="t"/>
      <c:layout>
        <c:manualLayout>
          <c:xMode val="edge"/>
          <c:yMode val="edge"/>
          <c:x val="8.9678955653385753E-2"/>
          <c:y val="1.8340457229042852E-2"/>
          <c:w val="0.8999999826425924"/>
          <c:h val="6.189947638716676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459959188917369E-2"/>
          <c:y val="2.21774193548387E-2"/>
          <c:w val="0.56034102601793323"/>
          <c:h val="0.96068548387096775"/>
        </c:manualLayout>
      </c:layout>
      <c:doughnutChart>
        <c:varyColors val="1"/>
        <c:ser>
          <c:idx val="0"/>
          <c:order val="0"/>
          <c:spPr>
            <a:solidFill>
              <a:schemeClr val="accent3"/>
            </a:solidFill>
            <a:ln w="1270">
              <a:noFill/>
            </a:ln>
          </c:spPr>
          <c:dPt>
            <c:idx val="0"/>
            <c:bubble3D val="0"/>
            <c:spPr>
              <a:solidFill>
                <a:schemeClr val="tx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9FC-4151-A1F2-5B28A4A59567}"/>
              </c:ext>
            </c:extLst>
          </c:dPt>
          <c:dPt>
            <c:idx val="1"/>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9FC-4151-A1F2-5B28A4A59567}"/>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Dorzecze_RegWod!$M$4:$N$4</c:f>
              <c:strCache>
                <c:ptCount val="2"/>
                <c:pt idx="0">
                  <c:v>jcwp nieobjęte monitoringiem</c:v>
                </c:pt>
                <c:pt idx="1">
                  <c:v>jcwp planowane do monitoringu</c:v>
                </c:pt>
              </c:strCache>
            </c:strRef>
          </c:cat>
          <c:val>
            <c:numRef>
              <c:f>Dorzecze_RegWod!$M$5:$N$5</c:f>
              <c:numCache>
                <c:formatCode>0.0%</c:formatCode>
                <c:ptCount val="2"/>
                <c:pt idx="0">
                  <c:v>3.2091690544412632E-2</c:v>
                </c:pt>
                <c:pt idx="1">
                  <c:v>0.96790830945558737</c:v>
                </c:pt>
              </c:numCache>
            </c:numRef>
          </c:val>
          <c:extLst>
            <c:ext xmlns:c16="http://schemas.microsoft.com/office/drawing/2014/chart" uri="{C3380CC4-5D6E-409C-BE32-E72D297353CC}">
              <c16:uniqueId val="{00000004-69FC-4151-A1F2-5B28A4A59567}"/>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52007972397543E-2"/>
          <c:y val="1.713709677419354E-2"/>
          <c:w val="0.55740114655299133"/>
          <c:h val="0.95564516129032262"/>
        </c:manualLayout>
      </c:layout>
      <c:doughnutChart>
        <c:varyColors val="1"/>
        <c:ser>
          <c:idx val="0"/>
          <c:order val="0"/>
          <c:spPr>
            <a:ln w="1270">
              <a:noFill/>
            </a:ln>
          </c:spPr>
          <c:dPt>
            <c:idx val="0"/>
            <c:bubble3D val="0"/>
            <c:spPr>
              <a:solidFill>
                <a:schemeClr val="tx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AAA-45DE-B9F5-F1C541A9723B}"/>
              </c:ext>
            </c:extLst>
          </c:dPt>
          <c:dPt>
            <c:idx val="1"/>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AAA-45DE-B9F5-F1C541A9723B}"/>
              </c:ext>
            </c:extLst>
          </c:dPt>
          <c:dLbls>
            <c:numFmt formatCode="General" sourceLinked="0"/>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Dorzecze_RegWod!$M$4:$N$4</c:f>
              <c:strCache>
                <c:ptCount val="2"/>
                <c:pt idx="0">
                  <c:v>jcwp nieobjęte monitoringiem</c:v>
                </c:pt>
                <c:pt idx="1">
                  <c:v>jcwp planowane do monitoringu</c:v>
                </c:pt>
              </c:strCache>
            </c:strRef>
          </c:cat>
          <c:val>
            <c:numRef>
              <c:f>Dorzecze_RegWod!$M$19:$N$19</c:f>
              <c:numCache>
                <c:formatCode>0.0%</c:formatCode>
                <c:ptCount val="2"/>
                <c:pt idx="0" formatCode="0%">
                  <c:v>9.1334894613583129E-2</c:v>
                </c:pt>
                <c:pt idx="1">
                  <c:v>0.90866510538641687</c:v>
                </c:pt>
              </c:numCache>
            </c:numRef>
          </c:val>
          <c:extLst>
            <c:ext xmlns:c16="http://schemas.microsoft.com/office/drawing/2014/chart" uri="{C3380CC4-5D6E-409C-BE32-E72D297353CC}">
              <c16:uniqueId val="{00000004-FAAA-45DE-B9F5-F1C541A9723B}"/>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541629966399729E-2"/>
          <c:y val="2.7217741935483864E-2"/>
          <c:w val="0.54858150815816553"/>
          <c:h val="0.94052419354838712"/>
        </c:manualLayout>
      </c:layout>
      <c:pieChart>
        <c:varyColors val="1"/>
        <c:ser>
          <c:idx val="0"/>
          <c:order val="0"/>
          <c:spPr>
            <a:ln w="1270">
              <a:solidFill>
                <a:schemeClr val="tx1">
                  <a:lumMod val="75000"/>
                  <a:lumOff val="25000"/>
                </a:schemeClr>
              </a:solidFill>
            </a:ln>
          </c:spPr>
          <c:dPt>
            <c:idx val="0"/>
            <c:bubble3D val="0"/>
            <c:spPr>
              <a:solidFill>
                <a:schemeClr val="accent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C23-48C9-B220-B47B8EF583AC}"/>
              </c:ext>
            </c:extLst>
          </c:dPt>
          <c:dPt>
            <c:idx val="1"/>
            <c:bubble3D val="0"/>
            <c:spPr>
              <a:solidFill>
                <a:schemeClr val="accent2"/>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C23-48C9-B220-B47B8EF583AC}"/>
              </c:ext>
            </c:extLst>
          </c:dPt>
          <c:dLbls>
            <c:numFmt formatCode="0%" sourceLinked="0"/>
            <c:spPr>
              <a:solidFill>
                <a:srgbClr val="000000">
                  <a:alpha val="50000"/>
                </a:srgb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ln>
                      <a:noFill/>
                    </a:ln>
                    <a:solidFill>
                      <a:schemeClr val="lt1"/>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Regiony_Wodne!$Z$35:$Z$36</c:f>
              <c:strCache>
                <c:ptCount val="2"/>
                <c:pt idx="0">
                  <c:v>Równiny Wschodnie</c:v>
                </c:pt>
                <c:pt idx="1">
                  <c:v>Karpaty</c:v>
                </c:pt>
              </c:strCache>
            </c:strRef>
          </c:cat>
          <c:val>
            <c:numRef>
              <c:f>Regiony_Wodne!$AA$35:$AA$36</c:f>
              <c:numCache>
                <c:formatCode>General</c:formatCode>
                <c:ptCount val="2"/>
                <c:pt idx="0">
                  <c:v>82.6</c:v>
                </c:pt>
                <c:pt idx="1">
                  <c:v>17.399999999999999</c:v>
                </c:pt>
              </c:numCache>
            </c:numRef>
          </c:val>
          <c:extLst>
            <c:ext xmlns:c16="http://schemas.microsoft.com/office/drawing/2014/chart" uri="{C3380CC4-5D6E-409C-BE32-E72D297353CC}">
              <c16:uniqueId val="{00000004-4C23-48C9-B220-B47B8EF583AC}"/>
            </c:ext>
          </c:extLst>
        </c:ser>
        <c:dLbls>
          <c:dLblPos val="bestFit"/>
          <c:showLegendKey val="0"/>
          <c:showVal val="1"/>
          <c:showCatName val="0"/>
          <c:showSerName val="0"/>
          <c:showPercent val="0"/>
          <c:showBubbleSize val="0"/>
          <c:showLeaderLines val="1"/>
        </c:dLbls>
        <c:firstSliceAng val="0"/>
      </c:pieChart>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chemeClr val="accent3"/>
            </a:solidFill>
          </c:spPr>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F2D-492F-B5A0-E49AF32243DC}"/>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F2D-492F-B5A0-E49AF32243D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Arkusz1!$E$4:$E$5</c:f>
              <c:strCache>
                <c:ptCount val="2"/>
                <c:pt idx="0">
                  <c:v>jcwp bez oceny stanu</c:v>
                </c:pt>
                <c:pt idx="1">
                  <c:v>jcwp z oceną stanu</c:v>
                </c:pt>
              </c:strCache>
            </c:strRef>
          </c:cat>
          <c:val>
            <c:numRef>
              <c:f>Arkusz1!$F$4:$F$5</c:f>
              <c:numCache>
                <c:formatCode>0.0%</c:formatCode>
                <c:ptCount val="2"/>
                <c:pt idx="0">
                  <c:v>0.33647798742138363</c:v>
                </c:pt>
                <c:pt idx="1">
                  <c:v>0.66352201257861632</c:v>
                </c:pt>
              </c:numCache>
            </c:numRef>
          </c:val>
          <c:extLst>
            <c:ext xmlns:c16="http://schemas.microsoft.com/office/drawing/2014/chart" uri="{C3380CC4-5D6E-409C-BE32-E72D297353CC}">
              <c16:uniqueId val="{00000004-EF2D-492F-B5A0-E49AF32243D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chemeClr val="accent1"/>
            </a:solidFill>
          </c:spPr>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334-4E32-BA2C-CBE5CD73C1AF}"/>
              </c:ext>
            </c:extLst>
          </c:dPt>
          <c:dPt>
            <c:idx val="1"/>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334-4E32-BA2C-CBE5CD73C1A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Arkusz1!$E$4:$E$5</c:f>
              <c:strCache>
                <c:ptCount val="2"/>
                <c:pt idx="0">
                  <c:v>jcwp bez oceny stanu</c:v>
                </c:pt>
                <c:pt idx="1">
                  <c:v>jcwp z oceną stanu</c:v>
                </c:pt>
              </c:strCache>
            </c:strRef>
          </c:cat>
          <c:val>
            <c:numRef>
              <c:f>Arkusz1!$G$4:$G$5</c:f>
              <c:numCache>
                <c:formatCode>0.0%</c:formatCode>
                <c:ptCount val="2"/>
                <c:pt idx="0">
                  <c:v>0.28852201257861637</c:v>
                </c:pt>
                <c:pt idx="1">
                  <c:v>0.71147798742138368</c:v>
                </c:pt>
              </c:numCache>
            </c:numRef>
          </c:val>
          <c:extLst>
            <c:ext xmlns:c16="http://schemas.microsoft.com/office/drawing/2014/chart" uri="{C3380CC4-5D6E-409C-BE32-E72D297353CC}">
              <c16:uniqueId val="{00000004-4334-4E32-BA2C-CBE5CD73C1AF}"/>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152920029491384E-2"/>
          <c:y val="3.2258064516129017E-2"/>
          <c:w val="0.55446126708804944"/>
          <c:h val="0.95060483870967738"/>
        </c:manualLayout>
      </c:layout>
      <c:doughnutChart>
        <c:varyColors val="1"/>
        <c:ser>
          <c:idx val="0"/>
          <c:order val="0"/>
          <c:spPr>
            <a:solidFill>
              <a:schemeClr val="accent3"/>
            </a:solidFill>
            <a:ln w="1270">
              <a:solidFill>
                <a:schemeClr val="tx1">
                  <a:lumMod val="75000"/>
                  <a:lumOff val="25000"/>
                </a:schemeClr>
              </a:solidFill>
            </a:ln>
          </c:spPr>
          <c:dPt>
            <c:idx val="0"/>
            <c:bubble3D val="0"/>
            <c:spPr>
              <a:solidFill>
                <a:schemeClr val="tx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4F0-4EB5-835A-F6175E014509}"/>
              </c:ext>
            </c:extLst>
          </c:dPt>
          <c:dPt>
            <c:idx val="1"/>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4F0-4EB5-835A-F6175E014509}"/>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Przestawna!$J$5:$J$6</c:f>
              <c:strCache>
                <c:ptCount val="2"/>
                <c:pt idx="0">
                  <c:v>jcwp bez oceny stanu</c:v>
                </c:pt>
                <c:pt idx="1">
                  <c:v>jcwp z oceną stanu</c:v>
                </c:pt>
              </c:strCache>
            </c:strRef>
          </c:cat>
          <c:val>
            <c:numRef>
              <c:f>Przestawna!$L$5:$L$6</c:f>
              <c:numCache>
                <c:formatCode>0.0%</c:formatCode>
                <c:ptCount val="2"/>
                <c:pt idx="1">
                  <c:v>1</c:v>
                </c:pt>
              </c:numCache>
            </c:numRef>
          </c:val>
          <c:extLst>
            <c:ext xmlns:c16="http://schemas.microsoft.com/office/drawing/2014/chart" uri="{C3380CC4-5D6E-409C-BE32-E72D297353CC}">
              <c16:uniqueId val="{00000004-64F0-4EB5-835A-F6175E014509}"/>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213040564549446E-2"/>
          <c:y val="2.7217741935483864E-2"/>
          <c:w val="0.55446126708804944"/>
          <c:h val="0.95060483870967738"/>
        </c:manualLayout>
      </c:layout>
      <c:doughnutChart>
        <c:varyColors val="1"/>
        <c:ser>
          <c:idx val="0"/>
          <c:order val="0"/>
          <c:spPr>
            <a:solidFill>
              <a:schemeClr val="accent1"/>
            </a:solidFill>
            <a:ln w="1270">
              <a:noFill/>
            </a:ln>
          </c:spPr>
          <c:dPt>
            <c:idx val="0"/>
            <c:bubble3D val="0"/>
            <c:spPr>
              <a:solidFill>
                <a:schemeClr val="tx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3A3-4E76-ACB2-25383F969B1B}"/>
              </c:ext>
            </c:extLst>
          </c:dPt>
          <c:dPt>
            <c:idx val="1"/>
            <c:bubble3D val="0"/>
            <c:spPr>
              <a:solidFill>
                <a:schemeClr val="accent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3A3-4E76-ACB2-25383F969B1B}"/>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[2]IIaPGW!$A$3:$A$4</c:f>
              <c:strCache>
                <c:ptCount val="2"/>
                <c:pt idx="0">
                  <c:v>jcwp bez oceny stanu</c:v>
                </c:pt>
                <c:pt idx="1">
                  <c:v>jcwp z oceną stanu</c:v>
                </c:pt>
              </c:strCache>
            </c:strRef>
          </c:cat>
          <c:val>
            <c:numRef>
              <c:f>'IIaPGW - Wykresy'!$P$11:$P$12</c:f>
              <c:numCache>
                <c:formatCode>0.00%</c:formatCode>
                <c:ptCount val="2"/>
                <c:pt idx="0">
                  <c:v>5.2631578947368418E-2</c:v>
                </c:pt>
                <c:pt idx="1">
                  <c:v>0.94736842105263164</c:v>
                </c:pt>
              </c:numCache>
            </c:numRef>
          </c:val>
          <c:extLst>
            <c:ext xmlns:c16="http://schemas.microsoft.com/office/drawing/2014/chart" uri="{C3380CC4-5D6E-409C-BE32-E72D297353CC}">
              <c16:uniqueId val="{00000004-E3A3-4E76-ACB2-25383F969B1B}"/>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273161099607521E-2"/>
          <c:y val="2.21774193548387E-2"/>
          <c:w val="0.55446126708804944"/>
          <c:h val="0.95060483870967738"/>
        </c:manualLayout>
      </c:layout>
      <c:doughnutChart>
        <c:varyColors val="1"/>
        <c:ser>
          <c:idx val="0"/>
          <c:order val="0"/>
          <c:spPr>
            <a:ln w="1270">
              <a:noFill/>
            </a:ln>
          </c:spPr>
          <c:dPt>
            <c:idx val="0"/>
            <c:bubble3D val="0"/>
            <c:spPr>
              <a:solidFill>
                <a:schemeClr val="tx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7D8-443F-B7EB-AF51C4ED2E45}"/>
              </c:ext>
            </c:extLst>
          </c:dPt>
          <c:dPt>
            <c:idx val="1"/>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7D8-443F-B7EB-AF51C4ED2E45}"/>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[1]Przestawna!$J$5:$J$6</c:f>
              <c:strCache>
                <c:ptCount val="2"/>
                <c:pt idx="0">
                  <c:v>jcwp bez oceny stanu</c:v>
                </c:pt>
                <c:pt idx="1">
                  <c:v>jcwp z oceną stanu</c:v>
                </c:pt>
              </c:strCache>
            </c:strRef>
          </c:cat>
          <c:val>
            <c:numRef>
              <c:f>Sheet1!$G$3:$G$4</c:f>
              <c:numCache>
                <c:formatCode>0.0%</c:formatCode>
                <c:ptCount val="2"/>
                <c:pt idx="0">
                  <c:v>0.31147540983606559</c:v>
                </c:pt>
                <c:pt idx="1">
                  <c:v>0.68852459016393441</c:v>
                </c:pt>
              </c:numCache>
            </c:numRef>
          </c:val>
          <c:extLst>
            <c:ext xmlns:c16="http://schemas.microsoft.com/office/drawing/2014/chart" uri="{C3380CC4-5D6E-409C-BE32-E72D297353CC}">
              <c16:uniqueId val="{00000004-F7D8-443F-B7EB-AF51C4ED2E45}"/>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0C7-49AC-909B-76E2B72D8495}"/>
              </c:ext>
            </c:extLst>
          </c:dPt>
          <c:dPt>
            <c:idx val="1"/>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0C7-49AC-909B-76E2B72D849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Arkusz1!$E$4:$E$5</c:f>
              <c:strCache>
                <c:ptCount val="2"/>
                <c:pt idx="0">
                  <c:v>jcwp bez oceny stanu</c:v>
                </c:pt>
                <c:pt idx="1">
                  <c:v>jcwp z oceną stanu</c:v>
                </c:pt>
              </c:strCache>
            </c:strRef>
          </c:cat>
          <c:val>
            <c:numRef>
              <c:f>Arkusz1!$G$4:$G$5</c:f>
              <c:numCache>
                <c:formatCode>0.0%</c:formatCode>
                <c:ptCount val="2"/>
                <c:pt idx="0">
                  <c:v>0.31615925058548011</c:v>
                </c:pt>
                <c:pt idx="1">
                  <c:v>0.68384074941451989</c:v>
                </c:pt>
              </c:numCache>
            </c:numRef>
          </c:val>
          <c:extLst>
            <c:ext xmlns:c16="http://schemas.microsoft.com/office/drawing/2014/chart" uri="{C3380CC4-5D6E-409C-BE32-E72D297353CC}">
              <c16:uniqueId val="{00000004-00C7-49AC-909B-76E2B72D8495}"/>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206514958083573E-2"/>
          <c:y val="2.7217741935483864E-2"/>
          <c:w val="0.55446126708804944"/>
          <c:h val="0.95060483870967738"/>
        </c:manualLayout>
      </c:layout>
      <c:doughnutChart>
        <c:varyColors val="1"/>
        <c:ser>
          <c:idx val="0"/>
          <c:order val="0"/>
          <c:spPr>
            <a:ln w="1270">
              <a:solidFill>
                <a:schemeClr val="tx1">
                  <a:lumMod val="75000"/>
                  <a:lumOff val="25000"/>
                </a:schemeClr>
              </a:solidFill>
            </a:ln>
          </c:spPr>
          <c:dPt>
            <c:idx val="0"/>
            <c:bubble3D val="0"/>
            <c:spPr>
              <a:solidFill>
                <a:srgbClr val="FF0000"/>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B15-4FE8-B9CE-78CC846D9B8C}"/>
              </c:ext>
            </c:extLst>
          </c:dPt>
          <c:dPt>
            <c:idx val="1"/>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B15-4FE8-B9CE-78CC846D9B8C}"/>
              </c:ext>
            </c:extLst>
          </c:dPt>
          <c:dLbls>
            <c:numFmt formatCode="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Odry'!$B$3:$C$3</c:f>
              <c:strCache>
                <c:ptCount val="2"/>
                <c:pt idx="0">
                  <c:v>słaby stan chemiczny</c:v>
                </c:pt>
                <c:pt idx="1">
                  <c:v>dobry stan chemiczny</c:v>
                </c:pt>
              </c:strCache>
            </c:strRef>
          </c:cat>
          <c:val>
            <c:numRef>
              <c:f>'dorzecze Odry'!$B$4:$C$4</c:f>
              <c:numCache>
                <c:formatCode>0.0%</c:formatCode>
                <c:ptCount val="2"/>
                <c:pt idx="0">
                  <c:v>0.19900000000000001</c:v>
                </c:pt>
                <c:pt idx="1">
                  <c:v>0.80099999999999993</c:v>
                </c:pt>
              </c:numCache>
            </c:numRef>
          </c:val>
          <c:extLst>
            <c:ext xmlns:c16="http://schemas.microsoft.com/office/drawing/2014/chart" uri="{C3380CC4-5D6E-409C-BE32-E72D297353CC}">
              <c16:uniqueId val="{00000004-BB15-4FE8-B9CE-78CC846D9B8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206514958083573E-2"/>
          <c:y val="2.7217741935483864E-2"/>
          <c:w val="0.55152138762310743"/>
          <c:h val="0.94556451612903225"/>
        </c:manualLayout>
      </c:layout>
      <c:doughnutChart>
        <c:varyColors val="1"/>
        <c:ser>
          <c:idx val="0"/>
          <c:order val="0"/>
          <c:spPr>
            <a:ln w="1270">
              <a:noFill/>
            </a:ln>
          </c:spPr>
          <c:dPt>
            <c:idx val="0"/>
            <c:bubble3D val="0"/>
            <c:spPr>
              <a:solidFill>
                <a:srgbClr val="FF0000"/>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3BA-4135-8B6B-BA383B090B80}"/>
              </c:ext>
            </c:extLst>
          </c:dPt>
          <c:dPt>
            <c:idx val="1"/>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3BA-4135-8B6B-BA383B090B80}"/>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Odry'!$B$3:$C$3</c:f>
              <c:strCache>
                <c:ptCount val="2"/>
                <c:pt idx="0">
                  <c:v>słaby stan chemiczny</c:v>
                </c:pt>
                <c:pt idx="1">
                  <c:v>dobry stan chemiczny</c:v>
                </c:pt>
              </c:strCache>
            </c:strRef>
          </c:cat>
          <c:val>
            <c:numRef>
              <c:f>'dorzecze Odry'!$B$5:$C$5</c:f>
              <c:numCache>
                <c:formatCode>0.0%</c:formatCode>
                <c:ptCount val="2"/>
                <c:pt idx="0">
                  <c:v>0.11</c:v>
                </c:pt>
                <c:pt idx="1">
                  <c:v>0.89</c:v>
                </c:pt>
              </c:numCache>
            </c:numRef>
          </c:val>
          <c:extLst>
            <c:ext xmlns:c16="http://schemas.microsoft.com/office/drawing/2014/chart" uri="{C3380CC4-5D6E-409C-BE32-E72D297353CC}">
              <c16:uniqueId val="{00000004-53BA-4135-8B6B-BA383B090B80}"/>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26663549314162E-2"/>
          <c:y val="2.21774193548387E-2"/>
          <c:w val="0.56034102601793323"/>
          <c:h val="0.96068548387096775"/>
        </c:manualLayout>
      </c:layout>
      <c:doughnutChart>
        <c:varyColors val="1"/>
        <c:ser>
          <c:idx val="0"/>
          <c:order val="0"/>
          <c:spPr>
            <a:ln w="1270">
              <a:noFill/>
            </a:ln>
          </c:spPr>
          <c:dPt>
            <c:idx val="0"/>
            <c:bubble3D val="0"/>
            <c:spPr>
              <a:solidFill>
                <a:srgbClr val="FF0000"/>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6DC-445F-A793-14553550F882}"/>
              </c:ext>
            </c:extLst>
          </c:dPt>
          <c:dPt>
            <c:idx val="1"/>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6DC-445F-A793-14553550F882}"/>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Odry'!$B$3:$C$3</c:f>
              <c:strCache>
                <c:ptCount val="2"/>
                <c:pt idx="0">
                  <c:v>słaby stan chemiczny</c:v>
                </c:pt>
                <c:pt idx="1">
                  <c:v>dobry stan chemiczny</c:v>
                </c:pt>
              </c:strCache>
            </c:strRef>
          </c:cat>
          <c:val>
            <c:numRef>
              <c:f>'dorzecze Odry'!$B$6:$C$6</c:f>
              <c:numCache>
                <c:formatCode>0.0%</c:formatCode>
                <c:ptCount val="2"/>
                <c:pt idx="0">
                  <c:v>6.0000000000000001E-3</c:v>
                </c:pt>
                <c:pt idx="1">
                  <c:v>0.99399999999999999</c:v>
                </c:pt>
              </c:numCache>
            </c:numRef>
          </c:val>
          <c:extLst>
            <c:ext xmlns:c16="http://schemas.microsoft.com/office/drawing/2014/chart" uri="{C3380CC4-5D6E-409C-BE32-E72D297353CC}">
              <c16:uniqueId val="{00000004-96DC-445F-A793-14553550F882}"/>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26663549314162E-2"/>
          <c:y val="2.21774193548387E-2"/>
          <c:w val="0.55446126708804944"/>
          <c:h val="0.95060483870967738"/>
        </c:manualLayout>
      </c:layout>
      <c:doughnutChart>
        <c:varyColors val="1"/>
        <c:ser>
          <c:idx val="0"/>
          <c:order val="0"/>
          <c:spPr>
            <a:ln w="1270">
              <a:noFill/>
            </a:ln>
          </c:spPr>
          <c:dPt>
            <c:idx val="0"/>
            <c:bubble3D val="0"/>
            <c:spPr>
              <a:solidFill>
                <a:srgbClr val="FF0000"/>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BA3-48A1-8CCE-93CE2A3A84DE}"/>
              </c:ext>
            </c:extLst>
          </c:dPt>
          <c:dPt>
            <c:idx val="1"/>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BA3-48A1-8CCE-93CE2A3A84DE}"/>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Odry'!$B$3:$C$3</c:f>
              <c:strCache>
                <c:ptCount val="2"/>
                <c:pt idx="0">
                  <c:v>słaby stan chemiczny</c:v>
                </c:pt>
                <c:pt idx="1">
                  <c:v>dobry stan chemiczny</c:v>
                </c:pt>
              </c:strCache>
            </c:strRef>
          </c:cat>
          <c:val>
            <c:numRef>
              <c:f>'dorzecze Odry'!$B$7:$C$7</c:f>
              <c:numCache>
                <c:formatCode>0.0%</c:formatCode>
                <c:ptCount val="2"/>
                <c:pt idx="0">
                  <c:v>3.4000000000000002E-2</c:v>
                </c:pt>
                <c:pt idx="1">
                  <c:v>0.96599999999999997</c:v>
                </c:pt>
              </c:numCache>
            </c:numRef>
          </c:val>
          <c:extLst>
            <c:ext xmlns:c16="http://schemas.microsoft.com/office/drawing/2014/chart" uri="{C3380CC4-5D6E-409C-BE32-E72D297353CC}">
              <c16:uniqueId val="{00000004-5BA3-48A1-8CCE-93CE2A3A84DE}"/>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8008926122217958E-2"/>
          <c:y val="1.7933626492252986E-2"/>
          <c:w val="0.55680576308969754"/>
          <c:h val="0.95462439674879351"/>
        </c:manualLayout>
      </c:layout>
      <c:pieChart>
        <c:varyColors val="1"/>
        <c:ser>
          <c:idx val="2"/>
          <c:order val="0"/>
          <c:spPr>
            <a:ln w="1270">
              <a:solidFill>
                <a:schemeClr val="tx1">
                  <a:lumMod val="75000"/>
                  <a:lumOff val="25000"/>
                </a:schemeClr>
              </a:solidFill>
            </a:ln>
          </c:spPr>
          <c:dPt>
            <c:idx val="0"/>
            <c:bubble3D val="0"/>
            <c:spPr>
              <a:solidFill>
                <a:schemeClr val="accent1"/>
              </a:solidFill>
              <a:ln w="1270">
                <a:noFill/>
              </a:ln>
              <a:effectLst/>
            </c:spPr>
            <c:extLst>
              <c:ext xmlns:c16="http://schemas.microsoft.com/office/drawing/2014/chart" uri="{C3380CC4-5D6E-409C-BE32-E72D297353CC}">
                <c16:uniqueId val="{00000001-ACF4-4E98-9A73-7256924B2B50}"/>
              </c:ext>
            </c:extLst>
          </c:dPt>
          <c:dPt>
            <c:idx val="1"/>
            <c:bubble3D val="0"/>
            <c:spPr>
              <a:solidFill>
                <a:schemeClr val="accent2"/>
              </a:solidFill>
              <a:ln w="1270">
                <a:noFill/>
              </a:ln>
              <a:effectLst/>
            </c:spPr>
            <c:extLst>
              <c:ext xmlns:c16="http://schemas.microsoft.com/office/drawing/2014/chart" uri="{C3380CC4-5D6E-409C-BE32-E72D297353CC}">
                <c16:uniqueId val="{00000003-ACF4-4E98-9A73-7256924B2B50}"/>
              </c:ext>
            </c:extLst>
          </c:dPt>
          <c:dPt>
            <c:idx val="2"/>
            <c:bubble3D val="0"/>
            <c:spPr>
              <a:solidFill>
                <a:schemeClr val="accent3"/>
              </a:solidFill>
              <a:ln w="1270">
                <a:noFill/>
              </a:ln>
              <a:effectLst/>
            </c:spPr>
            <c:extLst>
              <c:ext xmlns:c16="http://schemas.microsoft.com/office/drawing/2014/chart" uri="{C3380CC4-5D6E-409C-BE32-E72D297353CC}">
                <c16:uniqueId val="{00000005-ACF4-4E98-9A73-7256924B2B50}"/>
              </c:ext>
            </c:extLst>
          </c:dPt>
          <c:dPt>
            <c:idx val="3"/>
            <c:bubble3D val="0"/>
            <c:spPr>
              <a:solidFill>
                <a:schemeClr val="accent4"/>
              </a:solidFill>
              <a:ln w="1270">
                <a:noFill/>
              </a:ln>
              <a:effectLst/>
            </c:spPr>
            <c:extLst>
              <c:ext xmlns:c16="http://schemas.microsoft.com/office/drawing/2014/chart" uri="{C3380CC4-5D6E-409C-BE32-E72D297353CC}">
                <c16:uniqueId val="{00000006-ACF4-4E98-9A73-7256924B2B50}"/>
              </c:ext>
            </c:extLst>
          </c:dPt>
          <c:dLbls>
            <c:dLbl>
              <c:idx val="0"/>
              <c:tx>
                <c:rich>
                  <a:bodyPr/>
                  <a:lstStyle/>
                  <a:p>
                    <a:r>
                      <a:rPr lang="en-US"/>
                      <a:t>59%</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CF4-4E98-9A73-7256924B2B50}"/>
                </c:ext>
              </c:extLst>
            </c:dLbl>
            <c:dLbl>
              <c:idx val="1"/>
              <c:tx>
                <c:rich>
                  <a:bodyPr/>
                  <a:lstStyle/>
                  <a:p>
                    <a:r>
                      <a:rPr lang="en-US"/>
                      <a:t>12%</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CF4-4E98-9A73-7256924B2B50}"/>
                </c:ext>
              </c:extLst>
            </c:dLbl>
            <c:dLbl>
              <c:idx val="2"/>
              <c:tx>
                <c:rich>
                  <a:bodyPr/>
                  <a:lstStyle/>
                  <a:p>
                    <a:r>
                      <a:rPr lang="en-US"/>
                      <a:t>26%</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CF4-4E98-9A73-7256924B2B50}"/>
                </c:ext>
              </c:extLst>
            </c:dLbl>
            <c:dLbl>
              <c:idx val="3"/>
              <c:layout>
                <c:manualLayout>
                  <c:x val="1.5319694275752188E-2"/>
                  <c:y val="5.1825767369309494E-2"/>
                </c:manualLayout>
              </c:layout>
              <c:tx>
                <c:rich>
                  <a:bodyPr/>
                  <a:lstStyle/>
                  <a:p>
                    <a:r>
                      <a:rPr lang="en-US"/>
                      <a:t>3%</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ACF4-4E98-9A73-7256924B2B50}"/>
                </c:ext>
              </c:extLst>
            </c:dLbl>
            <c:spPr>
              <a:solidFill>
                <a:srgbClr val="000000">
                  <a:alpha val="50000"/>
                </a:srgb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dk1">
                      <a:lumMod val="35000"/>
                      <a:lumOff val="65000"/>
                    </a:schemeClr>
                  </a:solidFill>
                  <a:prstDash val="solid"/>
                  <a:round/>
                </a:ln>
                <a:effectLst/>
              </c:spPr>
            </c:leaderLines>
            <c:extLst>
              <c:ext xmlns:c15="http://schemas.microsoft.com/office/drawing/2012/chart" uri="{CE6537A1-D6FC-4f65-9D91-7224C49458BB}"/>
            </c:extLst>
          </c:dLbls>
          <c:cat>
            <c:strRef>
              <c:f>Odra!$J$9:$J$12</c:f>
              <c:strCache>
                <c:ptCount val="4"/>
                <c:pt idx="0">
                  <c:v>Tereny rolne</c:v>
                </c:pt>
                <c:pt idx="1">
                  <c:v>Tereny przekształcone antopogenicznie</c:v>
                </c:pt>
                <c:pt idx="2">
                  <c:v>Tereny leśne</c:v>
                </c:pt>
                <c:pt idx="3">
                  <c:v>Tereny pozostałe</c:v>
                </c:pt>
              </c:strCache>
            </c:strRef>
          </c:cat>
          <c:val>
            <c:numRef>
              <c:f>IIaPGWCLC!$F$23:$I$23</c:f>
              <c:numCache>
                <c:formatCode>0.0</c:formatCode>
                <c:ptCount val="4"/>
                <c:pt idx="0">
                  <c:v>58.857061777617147</c:v>
                </c:pt>
                <c:pt idx="1">
                  <c:v>11.90833254815143</c:v>
                </c:pt>
                <c:pt idx="2">
                  <c:v>26.402974887286195</c:v>
                </c:pt>
                <c:pt idx="3">
                  <c:v>2.831630786945226</c:v>
                </c:pt>
              </c:numCache>
            </c:numRef>
          </c:val>
          <c:extLst>
            <c:ext xmlns:c16="http://schemas.microsoft.com/office/drawing/2014/chart" uri="{C3380CC4-5D6E-409C-BE32-E72D297353CC}">
              <c16:uniqueId val="{00000007-ACF4-4E98-9A73-7256924B2B50}"/>
            </c:ext>
          </c:extLst>
        </c:ser>
        <c:ser>
          <c:idx val="1"/>
          <c:order val="1"/>
          <c:tx>
            <c:strRef>
              <c:f>IIaPGWCLC!$F$15:$I$15</c:f>
              <c:strCache>
                <c:ptCount val="4"/>
                <c:pt idx="0">
                  <c:v>Udz_rol%</c:v>
                </c:pt>
                <c:pt idx="1">
                  <c:v>Udz_pow_antrop%</c:v>
                </c:pt>
                <c:pt idx="2">
                  <c:v>Udz_les%</c:v>
                </c:pt>
                <c:pt idx="3">
                  <c:v>Udz_poz%</c:v>
                </c:pt>
              </c:strCache>
            </c:strRef>
          </c:tx>
          <c:dPt>
            <c:idx val="0"/>
            <c:bubble3D val="0"/>
            <c:spPr>
              <a:solidFill>
                <a:schemeClr val="accent1"/>
              </a:solidFill>
              <a:ln>
                <a:noFill/>
              </a:ln>
              <a:effectLst/>
            </c:spPr>
            <c:extLst>
              <c:ext xmlns:c16="http://schemas.microsoft.com/office/drawing/2014/chart" uri="{C3380CC4-5D6E-409C-BE32-E72D297353CC}">
                <c16:uniqueId val="{00000008-ACF4-4E98-9A73-7256924B2B50}"/>
              </c:ext>
            </c:extLst>
          </c:dPt>
          <c:dPt>
            <c:idx val="1"/>
            <c:bubble3D val="0"/>
            <c:spPr>
              <a:solidFill>
                <a:schemeClr val="accent2"/>
              </a:solidFill>
              <a:ln>
                <a:noFill/>
              </a:ln>
              <a:effectLst/>
            </c:spPr>
            <c:extLst>
              <c:ext xmlns:c16="http://schemas.microsoft.com/office/drawing/2014/chart" uri="{C3380CC4-5D6E-409C-BE32-E72D297353CC}">
                <c16:uniqueId val="{00000009-ACF4-4E98-9A73-7256924B2B50}"/>
              </c:ext>
            </c:extLst>
          </c:dPt>
          <c:dPt>
            <c:idx val="2"/>
            <c:bubble3D val="0"/>
            <c:spPr>
              <a:solidFill>
                <a:schemeClr val="accent3"/>
              </a:solidFill>
              <a:ln>
                <a:noFill/>
              </a:ln>
              <a:effectLst/>
            </c:spPr>
            <c:extLst>
              <c:ext xmlns:c16="http://schemas.microsoft.com/office/drawing/2014/chart" uri="{C3380CC4-5D6E-409C-BE32-E72D297353CC}">
                <c16:uniqueId val="{0000000B-ACF4-4E98-9A73-7256924B2B50}"/>
              </c:ext>
            </c:extLst>
          </c:dPt>
          <c:dPt>
            <c:idx val="3"/>
            <c:bubble3D val="0"/>
            <c:spPr>
              <a:solidFill>
                <a:schemeClr val="accent4"/>
              </a:solidFill>
              <a:ln>
                <a:noFill/>
              </a:ln>
              <a:effectLst/>
            </c:spPr>
            <c:extLst>
              <c:ext xmlns:c16="http://schemas.microsoft.com/office/drawing/2014/chart" uri="{C3380CC4-5D6E-409C-BE32-E72D297353CC}">
                <c16:uniqueId val="{0000000D-ACF4-4E98-9A73-7256924B2B50}"/>
              </c:ext>
            </c:extLst>
          </c:dPt>
          <c:dLbls>
            <c:dLbl>
              <c:idx val="1"/>
              <c:delete val="1"/>
              <c:extLst>
                <c:ext xmlns:c15="http://schemas.microsoft.com/office/drawing/2012/chart" uri="{CE6537A1-D6FC-4f65-9D91-7224C49458BB}"/>
                <c:ext xmlns:c16="http://schemas.microsoft.com/office/drawing/2014/chart" uri="{C3380CC4-5D6E-409C-BE32-E72D297353CC}">
                  <c16:uniqueId val="{00000009-ACF4-4E98-9A73-7256924B2B5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prstDash val="solid"/>
                  <a:round/>
                </a:ln>
                <a:effectLst/>
              </c:spPr>
            </c:leaderLines>
            <c:extLst>
              <c:ext xmlns:c15="http://schemas.microsoft.com/office/drawing/2012/chart" uri="{CE6537A1-D6FC-4f65-9D91-7224C49458BB}"/>
            </c:extLst>
          </c:dLbls>
          <c:cat>
            <c:strRef>
              <c:f>Odra!$J$9:$J$12</c:f>
              <c:strCache>
                <c:ptCount val="4"/>
                <c:pt idx="0">
                  <c:v>Tereny rolne</c:v>
                </c:pt>
                <c:pt idx="1">
                  <c:v>Tereny przekształcone antopogenicznie</c:v>
                </c:pt>
                <c:pt idx="2">
                  <c:v>Tereny leśne</c:v>
                </c:pt>
                <c:pt idx="3">
                  <c:v>Tereny pozostałe</c:v>
                </c:pt>
              </c:strCache>
            </c:strRef>
          </c:cat>
          <c:val>
            <c:numRef>
              <c:f>IIaPGWCLC!$F$34:$I$34</c:f>
              <c:numCache>
                <c:formatCode>0.0</c:formatCode>
                <c:ptCount val="4"/>
                <c:pt idx="0">
                  <c:v>27</c:v>
                </c:pt>
                <c:pt idx="1">
                  <c:v>0</c:v>
                </c:pt>
                <c:pt idx="2">
                  <c:v>68</c:v>
                </c:pt>
                <c:pt idx="3">
                  <c:v>5</c:v>
                </c:pt>
              </c:numCache>
            </c:numRef>
          </c:val>
          <c:extLst>
            <c:ext xmlns:c16="http://schemas.microsoft.com/office/drawing/2014/chart" uri="{C3380CC4-5D6E-409C-BE32-E72D297353CC}">
              <c16:uniqueId val="{0000000E-ACF4-4E98-9A73-7256924B2B50}"/>
            </c:ext>
          </c:extLst>
        </c:ser>
        <c:ser>
          <c:idx val="0"/>
          <c:order val="2"/>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0-ACF4-4E98-9A73-7256924B2B50}"/>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2-ACF4-4E98-9A73-7256924B2B50}"/>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4-ACF4-4E98-9A73-7256924B2B50}"/>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6-ACF4-4E98-9A73-7256924B2B5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prstDash val="solid"/>
                  <a:round/>
                </a:ln>
                <a:effectLst/>
              </c:spPr>
            </c:leaderLines>
            <c:extLst>
              <c:ext xmlns:c15="http://schemas.microsoft.com/office/drawing/2012/chart" uri="{CE6537A1-D6FC-4f65-9D91-7224C49458BB}"/>
            </c:extLst>
          </c:dLbls>
          <c:cat>
            <c:strRef>
              <c:f>Odra!$J$9:$J$12</c:f>
              <c:strCache>
                <c:ptCount val="4"/>
                <c:pt idx="0">
                  <c:v>Tereny rolne</c:v>
                </c:pt>
                <c:pt idx="1">
                  <c:v>Tereny przekształcone antopogenicznie</c:v>
                </c:pt>
                <c:pt idx="2">
                  <c:v>Tereny leśne</c:v>
                </c:pt>
                <c:pt idx="3">
                  <c:v>Tereny pozostałe</c:v>
                </c:pt>
              </c:strCache>
            </c:strRef>
          </c:cat>
          <c:val>
            <c:numRef>
              <c:f>IIaPGWCLC!$F$22:$I$22</c:f>
              <c:numCache>
                <c:formatCode>0.0</c:formatCode>
                <c:ptCount val="4"/>
                <c:pt idx="0">
                  <c:v>57.4</c:v>
                </c:pt>
                <c:pt idx="1">
                  <c:v>4.8</c:v>
                </c:pt>
                <c:pt idx="2">
                  <c:v>34</c:v>
                </c:pt>
                <c:pt idx="3">
                  <c:v>3.8000000000000114</c:v>
                </c:pt>
              </c:numCache>
            </c:numRef>
          </c:val>
          <c:extLst>
            <c:ext xmlns:c16="http://schemas.microsoft.com/office/drawing/2014/chart" uri="{C3380CC4-5D6E-409C-BE32-E72D297353CC}">
              <c16:uniqueId val="{00000017-ACF4-4E98-9A73-7256924B2B50}"/>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9543774689489701"/>
          <c:y val="0.19505810261620521"/>
          <c:w val="0.28692297631545138"/>
          <c:h val="0.640125730251460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dk1">
          <a:lumMod val="15000"/>
          <a:lumOff val="85000"/>
        </a:schemeClr>
      </a:solidFill>
      <a:prstDash val="solid"/>
      <a:round/>
    </a:ln>
    <a:effectLst/>
  </c:spPr>
  <c:txPr>
    <a:bodyPr/>
    <a:lstStyle/>
    <a:p>
      <a:pPr>
        <a:defRPr/>
      </a:pPr>
      <a:endParaRPr lang="pl-PL"/>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26663549314162E-2"/>
          <c:y val="2.21774193548387E-2"/>
          <c:w val="0.55446126708804944"/>
          <c:h val="0.95060483870967738"/>
        </c:manualLayout>
      </c:layout>
      <c:doughnutChart>
        <c:varyColors val="1"/>
        <c:ser>
          <c:idx val="0"/>
          <c:order val="0"/>
          <c:spPr>
            <a:ln w="1270">
              <a:noFill/>
            </a:ln>
          </c:spPr>
          <c:dPt>
            <c:idx val="0"/>
            <c:bubble3D val="0"/>
            <c:spPr>
              <a:solidFill>
                <a:srgbClr val="FF0000"/>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6AE-4804-97A5-D678226490A2}"/>
              </c:ext>
            </c:extLst>
          </c:dPt>
          <c:dPt>
            <c:idx val="1"/>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6AE-4804-97A5-D678226490A2}"/>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Odry'!$B$3:$C$3</c:f>
              <c:strCache>
                <c:ptCount val="2"/>
                <c:pt idx="0">
                  <c:v>słaby stan chemiczny</c:v>
                </c:pt>
                <c:pt idx="1">
                  <c:v>dobry stan chemiczny</c:v>
                </c:pt>
              </c:strCache>
            </c:strRef>
          </c:cat>
          <c:val>
            <c:numRef>
              <c:f>'dorzecze Odry'!$B$8:$C$8</c:f>
              <c:numCache>
                <c:formatCode>0.0%</c:formatCode>
                <c:ptCount val="2"/>
                <c:pt idx="0">
                  <c:v>0.21199999999999999</c:v>
                </c:pt>
                <c:pt idx="1">
                  <c:v>0.78800000000000003</c:v>
                </c:pt>
              </c:numCache>
            </c:numRef>
          </c:val>
          <c:extLst>
            <c:ext xmlns:c16="http://schemas.microsoft.com/office/drawing/2014/chart" uri="{C3380CC4-5D6E-409C-BE32-E72D297353CC}">
              <c16:uniqueId val="{00000004-F6AE-4804-97A5-D678226490A2}"/>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431210871535363E-2"/>
          <c:y val="2.7217741935483864E-2"/>
          <c:w val="0.55152138762310743"/>
          <c:h val="0.94556451612903225"/>
        </c:manualLayout>
      </c:layout>
      <c:doughnutChart>
        <c:varyColors val="1"/>
        <c:ser>
          <c:idx val="0"/>
          <c:order val="0"/>
          <c:spPr>
            <a:ln w="1270">
              <a:noFill/>
            </a:ln>
          </c:spPr>
          <c:dPt>
            <c:idx val="0"/>
            <c:bubble3D val="0"/>
            <c:spPr>
              <a:solidFill>
                <a:srgbClr val="FF0000"/>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0FB-4D28-908F-1D2DA16FE3A2}"/>
              </c:ext>
            </c:extLst>
          </c:dPt>
          <c:dPt>
            <c:idx val="1"/>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0FB-4D28-908F-1D2DA16FE3A2}"/>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Odry'!$H$3:$I$3</c:f>
              <c:strCache>
                <c:ptCount val="2"/>
                <c:pt idx="0">
                  <c:v>słaby stan ilościowy</c:v>
                </c:pt>
                <c:pt idx="1">
                  <c:v>dobry stan ilościowy</c:v>
                </c:pt>
              </c:strCache>
            </c:strRef>
          </c:cat>
          <c:val>
            <c:numRef>
              <c:f>'dorzecze Odry'!$H$4:$I$4</c:f>
              <c:numCache>
                <c:formatCode>0.0%</c:formatCode>
                <c:ptCount val="2"/>
                <c:pt idx="0">
                  <c:v>8.5999999999999993E-2</c:v>
                </c:pt>
                <c:pt idx="1">
                  <c:v>0.91400000000000003</c:v>
                </c:pt>
              </c:numCache>
            </c:numRef>
          </c:val>
          <c:extLst>
            <c:ext xmlns:c16="http://schemas.microsoft.com/office/drawing/2014/chart" uri="{C3380CC4-5D6E-409C-BE32-E72D297353CC}">
              <c16:uniqueId val="{00000004-A0FB-4D28-908F-1D2DA16FE3A2}"/>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491331406593438E-2"/>
          <c:y val="2.21774193548387E-2"/>
          <c:w val="0.55446126708804944"/>
          <c:h val="0.95060483870967738"/>
        </c:manualLayout>
      </c:layout>
      <c:doughnutChart>
        <c:varyColors val="1"/>
        <c:ser>
          <c:idx val="0"/>
          <c:order val="0"/>
          <c:spPr>
            <a:ln w="1270">
              <a:noFill/>
            </a:ln>
          </c:spPr>
          <c:dPt>
            <c:idx val="0"/>
            <c:bubble3D val="0"/>
            <c:spPr>
              <a:solidFill>
                <a:srgbClr val="FF0000"/>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B79-4865-A0B2-46FBA7C84EC7}"/>
              </c:ext>
            </c:extLst>
          </c:dPt>
          <c:dPt>
            <c:idx val="1"/>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B79-4865-A0B2-46FBA7C84EC7}"/>
              </c:ext>
            </c:extLst>
          </c:dPt>
          <c:dLbls>
            <c:spPr>
              <a:solidFill>
                <a:schemeClr val="dk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Odry'!$H$3:$I$3</c:f>
              <c:strCache>
                <c:ptCount val="2"/>
                <c:pt idx="0">
                  <c:v>słaby stan ilościowy</c:v>
                </c:pt>
                <c:pt idx="1">
                  <c:v>dobry stan ilościowy</c:v>
                </c:pt>
              </c:strCache>
            </c:strRef>
          </c:cat>
          <c:val>
            <c:numRef>
              <c:f>'dorzecze Odry'!$H$5:$I$5</c:f>
              <c:numCache>
                <c:formatCode>0.0%</c:formatCode>
                <c:ptCount val="2"/>
                <c:pt idx="0">
                  <c:v>0.121</c:v>
                </c:pt>
                <c:pt idx="1">
                  <c:v>0.879</c:v>
                </c:pt>
              </c:numCache>
            </c:numRef>
          </c:val>
          <c:extLst>
            <c:ext xmlns:c16="http://schemas.microsoft.com/office/drawing/2014/chart" uri="{C3380CC4-5D6E-409C-BE32-E72D297353CC}">
              <c16:uniqueId val="{00000004-AB79-4865-A0B2-46FBA7C84EC7}"/>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431210871535363E-2"/>
          <c:y val="2.7217741935483864E-2"/>
          <c:w val="0.55152138762310743"/>
          <c:h val="0.94556451612903225"/>
        </c:manualLayout>
      </c:layout>
      <c:doughnutChart>
        <c:varyColors val="1"/>
        <c:ser>
          <c:idx val="0"/>
          <c:order val="0"/>
          <c:spPr>
            <a:ln w="1270">
              <a:noFill/>
            </a:ln>
          </c:spPr>
          <c:dPt>
            <c:idx val="0"/>
            <c:bubble3D val="0"/>
            <c:spPr>
              <a:solidFill>
                <a:srgbClr val="FF0000"/>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470-48C9-8D85-7333E8F621AB}"/>
              </c:ext>
            </c:extLst>
          </c:dPt>
          <c:dPt>
            <c:idx val="1"/>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470-48C9-8D85-7333E8F621AB}"/>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Odry'!$H$3:$I$3</c:f>
              <c:strCache>
                <c:ptCount val="2"/>
                <c:pt idx="0">
                  <c:v>słaby stan ilościowy</c:v>
                </c:pt>
                <c:pt idx="1">
                  <c:v>dobry stan ilościowy</c:v>
                </c:pt>
              </c:strCache>
            </c:strRef>
          </c:cat>
          <c:val>
            <c:numRef>
              <c:f>'dorzecze Odry'!$H$6:$I$6</c:f>
              <c:numCache>
                <c:formatCode>0.0%</c:formatCode>
                <c:ptCount val="2"/>
                <c:pt idx="0">
                  <c:v>0.217</c:v>
                </c:pt>
                <c:pt idx="1">
                  <c:v>0.78300000000000003</c:v>
                </c:pt>
              </c:numCache>
            </c:numRef>
          </c:val>
          <c:extLst>
            <c:ext xmlns:c16="http://schemas.microsoft.com/office/drawing/2014/chart" uri="{C3380CC4-5D6E-409C-BE32-E72D297353CC}">
              <c16:uniqueId val="{00000004-E470-48C9-8D85-7333E8F621AB}"/>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551451941651499E-2"/>
          <c:y val="1.713709677419354E-2"/>
          <c:w val="0.56034102601793323"/>
          <c:h val="0.96068548387096775"/>
        </c:manualLayout>
      </c:layout>
      <c:doughnutChart>
        <c:varyColors val="1"/>
        <c:ser>
          <c:idx val="0"/>
          <c:order val="0"/>
          <c:spPr>
            <a:ln>
              <a:noFill/>
            </a:ln>
          </c:spPr>
          <c:dPt>
            <c:idx val="0"/>
            <c:bubble3D val="0"/>
            <c:spPr>
              <a:solidFill>
                <a:srgbClr val="FF0000"/>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2F9-4354-9001-BF243483223D}"/>
              </c:ext>
            </c:extLst>
          </c:dPt>
          <c:dPt>
            <c:idx val="1"/>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2F9-4354-9001-BF243483223D}"/>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Odry'!$H$3:$I$3</c:f>
              <c:strCache>
                <c:ptCount val="2"/>
                <c:pt idx="0">
                  <c:v>słaby stan ilościowy</c:v>
                </c:pt>
                <c:pt idx="1">
                  <c:v>dobry stan ilościowy</c:v>
                </c:pt>
              </c:strCache>
            </c:strRef>
          </c:cat>
          <c:val>
            <c:numRef>
              <c:f>'dorzecze Odry'!$H$7:$I$7</c:f>
              <c:numCache>
                <c:formatCode>0.0%</c:formatCode>
                <c:ptCount val="2"/>
                <c:pt idx="0">
                  <c:v>0.115</c:v>
                </c:pt>
                <c:pt idx="1">
                  <c:v>0.88500000000000001</c:v>
                </c:pt>
              </c:numCache>
            </c:numRef>
          </c:val>
          <c:extLst>
            <c:ext xmlns:c16="http://schemas.microsoft.com/office/drawing/2014/chart" uri="{C3380CC4-5D6E-409C-BE32-E72D297353CC}">
              <c16:uniqueId val="{00000004-42F9-4354-9001-BF243483223D}"/>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431210871535363E-2"/>
          <c:y val="2.7217741935483864E-2"/>
          <c:w val="0.55446126708804944"/>
          <c:h val="0.95060483870967738"/>
        </c:manualLayout>
      </c:layout>
      <c:doughnutChart>
        <c:varyColors val="1"/>
        <c:ser>
          <c:idx val="0"/>
          <c:order val="0"/>
          <c:spPr>
            <a:ln w="1270">
              <a:noFill/>
            </a:ln>
          </c:spPr>
          <c:dPt>
            <c:idx val="0"/>
            <c:bubble3D val="0"/>
            <c:spPr>
              <a:solidFill>
                <a:srgbClr val="FF0000"/>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167-4581-8971-62F2E5DF487C}"/>
              </c:ext>
            </c:extLst>
          </c:dPt>
          <c:dPt>
            <c:idx val="1"/>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167-4581-8971-62F2E5DF487C}"/>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Odry'!$H$3:$I$3</c:f>
              <c:strCache>
                <c:ptCount val="2"/>
                <c:pt idx="0">
                  <c:v>słaby stan ilościowy</c:v>
                </c:pt>
                <c:pt idx="1">
                  <c:v>dobry stan ilościowy</c:v>
                </c:pt>
              </c:strCache>
            </c:strRef>
          </c:cat>
          <c:val>
            <c:numRef>
              <c:f>'dorzecze Odry'!$H$8:$I$8</c:f>
              <c:numCache>
                <c:formatCode>0.0%</c:formatCode>
                <c:ptCount val="2"/>
                <c:pt idx="0">
                  <c:v>0.23599999999999999</c:v>
                </c:pt>
                <c:pt idx="1">
                  <c:v>0.76400000000000001</c:v>
                </c:pt>
              </c:numCache>
            </c:numRef>
          </c:val>
          <c:extLst>
            <c:ext xmlns:c16="http://schemas.microsoft.com/office/drawing/2014/chart" uri="{C3380CC4-5D6E-409C-BE32-E72D297353CC}">
              <c16:uniqueId val="{00000004-7167-4581-8971-62F2E5DF487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Arkusz1!$B$218</c:f>
              <c:strCache>
                <c:ptCount val="1"/>
                <c:pt idx="0">
                  <c:v>BIO_HM – presja na elementy biologiczne zależne od hydromorfologii</c:v>
                </c:pt>
              </c:strCache>
            </c:strRef>
          </c:tx>
          <c:spPr>
            <a:solidFill>
              <a:schemeClr val="accent1"/>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Arkusz1!$C$218</c:f>
              <c:numCache>
                <c:formatCode>0%</c:formatCode>
                <c:ptCount val="1"/>
                <c:pt idx="0">
                  <c:v>0.8</c:v>
                </c:pt>
              </c:numCache>
            </c:numRef>
          </c:val>
          <c:extLst>
            <c:ext xmlns:c16="http://schemas.microsoft.com/office/drawing/2014/chart" uri="{C3380CC4-5D6E-409C-BE32-E72D297353CC}">
              <c16:uniqueId val="{00000000-1B38-44F2-95CB-9E589CBA7037}"/>
            </c:ext>
          </c:extLst>
        </c:ser>
        <c:ser>
          <c:idx val="1"/>
          <c:order val="1"/>
          <c:tx>
            <c:strRef>
              <c:f>Arkusz1!$B$219</c:f>
              <c:strCache>
                <c:ptCount val="1"/>
                <c:pt idx="0">
                  <c:v>BIO_FIZ – presja na elementy biologiczne zależne od fizykochemii</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Arkusz1!$C$219</c:f>
              <c:numCache>
                <c:formatCode>0%</c:formatCode>
                <c:ptCount val="1"/>
                <c:pt idx="0">
                  <c:v>0.35</c:v>
                </c:pt>
              </c:numCache>
            </c:numRef>
          </c:val>
          <c:extLst>
            <c:ext xmlns:c16="http://schemas.microsoft.com/office/drawing/2014/chart" uri="{C3380CC4-5D6E-409C-BE32-E72D297353CC}">
              <c16:uniqueId val="{00000001-1B38-44F2-95CB-9E589CBA7037}"/>
            </c:ext>
          </c:extLst>
        </c:ser>
        <c:ser>
          <c:idx val="2"/>
          <c:order val="2"/>
          <c:tx>
            <c:strRef>
              <c:f>Arkusz1!$B$220</c:f>
              <c:strCache>
                <c:ptCount val="1"/>
                <c:pt idx="0">
                  <c:v>FIZ – presja na elementy fizykochemiczne</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Arkusz1!$C$220</c:f>
              <c:numCache>
                <c:formatCode>0%</c:formatCode>
                <c:ptCount val="1"/>
                <c:pt idx="0">
                  <c:v>0.6</c:v>
                </c:pt>
              </c:numCache>
            </c:numRef>
          </c:val>
          <c:extLst>
            <c:ext xmlns:c16="http://schemas.microsoft.com/office/drawing/2014/chart" uri="{C3380CC4-5D6E-409C-BE32-E72D297353CC}">
              <c16:uniqueId val="{00000002-1B38-44F2-95CB-9E589CBA7037}"/>
            </c:ext>
          </c:extLst>
        </c:ser>
        <c:ser>
          <c:idx val="3"/>
          <c:order val="3"/>
          <c:tx>
            <c:strRef>
              <c:f>Arkusz1!$B$221</c:f>
              <c:strCache>
                <c:ptCount val="1"/>
                <c:pt idx="0">
                  <c:v>CHEM – presja na cechy chemiczne (woda, substancje dozwolone</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Arkusz1!$C$221</c:f>
              <c:numCache>
                <c:formatCode>0%</c:formatCode>
                <c:ptCount val="1"/>
                <c:pt idx="0">
                  <c:v>0.4</c:v>
                </c:pt>
              </c:numCache>
            </c:numRef>
          </c:val>
          <c:extLst>
            <c:ext xmlns:c16="http://schemas.microsoft.com/office/drawing/2014/chart" uri="{C3380CC4-5D6E-409C-BE32-E72D297353CC}">
              <c16:uniqueId val="{00000003-1B38-44F2-95CB-9E589CBA7037}"/>
            </c:ext>
          </c:extLst>
        </c:ser>
        <c:ser>
          <c:idx val="4"/>
          <c:order val="4"/>
          <c:tx>
            <c:strRef>
              <c:f>Arkusz1!$B$222</c:f>
              <c:strCache>
                <c:ptCount val="1"/>
                <c:pt idx="0">
                  <c:v>CHEM_B – presja na cechy chemiczne (biota, substancje dozwolone)</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Arkusz1!$C$222</c:f>
              <c:numCache>
                <c:formatCode>0%</c:formatCode>
                <c:ptCount val="1"/>
                <c:pt idx="0">
                  <c:v>0.3</c:v>
                </c:pt>
              </c:numCache>
            </c:numRef>
          </c:val>
          <c:extLst>
            <c:ext xmlns:c16="http://schemas.microsoft.com/office/drawing/2014/chart" uri="{C3380CC4-5D6E-409C-BE32-E72D297353CC}">
              <c16:uniqueId val="{00000004-1B38-44F2-95CB-9E589CBA7037}"/>
            </c:ext>
          </c:extLst>
        </c:ser>
        <c:ser>
          <c:idx val="5"/>
          <c:order val="5"/>
          <c:tx>
            <c:strRef>
              <c:f>Arkusz1!$B$223</c:f>
              <c:strCache>
                <c:ptCount val="1"/>
                <c:pt idx="0">
                  <c:v>CHEM_SZ – presja na cechy chemiczne (substancje zakazane, biota i woda)</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Arkusz1!$C$223</c:f>
              <c:numCache>
                <c:formatCode>0%</c:formatCode>
                <c:ptCount val="1"/>
                <c:pt idx="0">
                  <c:v>0.01</c:v>
                </c:pt>
              </c:numCache>
            </c:numRef>
          </c:val>
          <c:extLst>
            <c:ext xmlns:c16="http://schemas.microsoft.com/office/drawing/2014/chart" uri="{C3380CC4-5D6E-409C-BE32-E72D297353CC}">
              <c16:uniqueId val="{00000005-1B38-44F2-95CB-9E589CBA7037}"/>
            </c:ext>
          </c:extLst>
        </c:ser>
        <c:ser>
          <c:idx val="6"/>
          <c:order val="6"/>
          <c:tx>
            <c:strRef>
              <c:f>Arkusz1!$B$224</c:f>
              <c:strCache>
                <c:ptCount val="1"/>
                <c:pt idx="0">
                  <c:v>OCH – presja na obszary chronione w rozumieniu ustawy pr.w.</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Arkusz1!$C$224</c:f>
              <c:numCache>
                <c:formatCode>0%</c:formatCode>
                <c:ptCount val="1"/>
                <c:pt idx="0">
                  <c:v>0.89</c:v>
                </c:pt>
              </c:numCache>
            </c:numRef>
          </c:val>
          <c:extLst>
            <c:ext xmlns:c16="http://schemas.microsoft.com/office/drawing/2014/chart" uri="{C3380CC4-5D6E-409C-BE32-E72D297353CC}">
              <c16:uniqueId val="{00000006-1B38-44F2-95CB-9E589CBA7037}"/>
            </c:ext>
          </c:extLst>
        </c:ser>
        <c:ser>
          <c:idx val="7"/>
          <c:order val="7"/>
          <c:tx>
            <c:strRef>
              <c:f>Arkusz1!$B$225</c:f>
              <c:strCache>
                <c:ptCount val="1"/>
                <c:pt idx="0">
                  <c:v>IL – presja ilościowa na zasoby wodne</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Arkusz1!$C$225</c:f>
              <c:numCache>
                <c:formatCode>0%</c:formatCode>
                <c:ptCount val="1"/>
                <c:pt idx="0">
                  <c:v>0.13</c:v>
                </c:pt>
              </c:numCache>
            </c:numRef>
          </c:val>
          <c:extLst>
            <c:ext xmlns:c16="http://schemas.microsoft.com/office/drawing/2014/chart" uri="{C3380CC4-5D6E-409C-BE32-E72D297353CC}">
              <c16:uniqueId val="{00000007-1B38-44F2-95CB-9E589CBA7037}"/>
            </c:ext>
          </c:extLst>
        </c:ser>
        <c:dLbls>
          <c:dLblPos val="outEnd"/>
          <c:showLegendKey val="0"/>
          <c:showVal val="1"/>
          <c:showCatName val="0"/>
          <c:showSerName val="0"/>
          <c:showPercent val="0"/>
          <c:showBubbleSize val="0"/>
        </c:dLbls>
        <c:gapWidth val="150"/>
        <c:axId val="837449376"/>
        <c:axId val="837450032"/>
      </c:barChart>
      <c:catAx>
        <c:axId val="837449376"/>
        <c:scaling>
          <c:orientation val="minMax"/>
        </c:scaling>
        <c:delete val="1"/>
        <c:axPos val="b"/>
        <c:majorTickMark val="out"/>
        <c:minorTickMark val="none"/>
        <c:tickLblPos val="nextTo"/>
        <c:crossAx val="837450032"/>
        <c:crosses val="autoZero"/>
        <c:auto val="1"/>
        <c:lblAlgn val="ctr"/>
        <c:lblOffset val="100"/>
        <c:noMultiLvlLbl val="0"/>
      </c:catAx>
      <c:valAx>
        <c:axId val="837450032"/>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837449376"/>
        <c:crosses val="autoZero"/>
        <c:crossBetween val="between"/>
      </c:valAx>
      <c:spPr>
        <a:solidFill>
          <a:schemeClr val="bg1"/>
        </a:solidFill>
        <a:ln>
          <a:noFill/>
        </a:ln>
        <a:effectLst/>
      </c:spPr>
    </c:plotArea>
    <c:legend>
      <c:legendPos val="r"/>
      <c:layout>
        <c:manualLayout>
          <c:xMode val="edge"/>
          <c:yMode val="edge"/>
          <c:x val="0.59158141648167684"/>
          <c:y val="8.1230107294335926E-2"/>
          <c:w val="0.33802426621063636"/>
          <c:h val="0.76982615188617154"/>
        </c:manualLayout>
      </c:layout>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pivotSource>
    <c:name>[Wykres w programie Microsoft Word]Hymo_Odra!Tabela przestawna4</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pivotFmt>
      <c:pivotFmt>
        <c:idx val="21"/>
        <c:spPr>
          <a:solidFill>
            <a:schemeClr val="accent1"/>
          </a:solidFill>
          <a:ln>
            <a:noFill/>
          </a:ln>
          <a:effectLst/>
        </c:spPr>
        <c:marker>
          <c:symbol val="none"/>
        </c:marker>
      </c:pivotFmt>
      <c:pivotFmt>
        <c:idx val="22"/>
        <c:spPr>
          <a:solidFill>
            <a:schemeClr val="accent1"/>
          </a:solidFill>
          <a:ln>
            <a:noFill/>
          </a:ln>
          <a:effectLst/>
        </c:spPr>
        <c:marker>
          <c:symbol val="none"/>
        </c:marker>
      </c:pivotFmt>
      <c:pivotFmt>
        <c:idx val="23"/>
        <c:spPr>
          <a:solidFill>
            <a:schemeClr val="accent1"/>
          </a:solidFill>
          <a:ln>
            <a:noFill/>
          </a:ln>
          <a:effectLst/>
        </c:spPr>
        <c:marker>
          <c:symbol val="none"/>
        </c:marker>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pivotFmt>
      <c:pivotFmt>
        <c:idx val="32"/>
        <c:spPr>
          <a:solidFill>
            <a:schemeClr val="accent1"/>
          </a:solidFill>
          <a:ln>
            <a:noFill/>
          </a:ln>
          <a:effectLst/>
        </c:spPr>
        <c:marker>
          <c:symbol val="none"/>
        </c:marker>
      </c:pivotFmt>
      <c:pivotFmt>
        <c:idx val="33"/>
        <c:spPr>
          <a:solidFill>
            <a:schemeClr val="accent1"/>
          </a:solidFill>
          <a:ln>
            <a:noFill/>
          </a:ln>
          <a:effectLst/>
        </c:spPr>
        <c:marker>
          <c:symbol val="none"/>
        </c:marker>
      </c:pivotFmt>
      <c:pivotFmt>
        <c:idx val="34"/>
        <c:spPr>
          <a:solidFill>
            <a:schemeClr val="accent1"/>
          </a:solidFill>
          <a:ln>
            <a:noFill/>
          </a:ln>
          <a:effectLst/>
        </c:spPr>
        <c:marker>
          <c:symbol val="none"/>
        </c:marker>
      </c:pivotFmt>
      <c:pivotFmt>
        <c:idx val="35"/>
        <c:spPr>
          <a:solidFill>
            <a:schemeClr val="accent1"/>
          </a:solidFill>
          <a:ln>
            <a:noFill/>
          </a:ln>
          <a:effectLst/>
        </c:spPr>
        <c:marker>
          <c:symbol val="none"/>
        </c:marker>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0"/>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1"/>
        <c:marker>
          <c:symbol val="none"/>
        </c:marker>
      </c:pivotFmt>
      <c:pivotFmt>
        <c:idx val="42"/>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3"/>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4"/>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5"/>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6"/>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7"/>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8"/>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9"/>
        <c:marker>
          <c:symbol val="none"/>
        </c:marker>
      </c:pivotFmt>
      <c:pivotFmt>
        <c:idx val="50"/>
        <c:marker>
          <c:symbol val="none"/>
        </c:marker>
      </c:pivotFmt>
      <c:pivotFmt>
        <c:idx val="51"/>
        <c:marker>
          <c:symbol val="none"/>
        </c:marker>
      </c:pivotFmt>
      <c:pivotFmt>
        <c:idx val="52"/>
        <c:marker>
          <c:symbol val="none"/>
        </c:marker>
      </c:pivotFmt>
      <c:pivotFmt>
        <c:idx val="53"/>
        <c:marker>
          <c:symbol val="none"/>
        </c:marker>
      </c:pivotFmt>
      <c:pivotFmt>
        <c:idx val="54"/>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55"/>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56"/>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57"/>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58"/>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59"/>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0"/>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1"/>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2"/>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3"/>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4"/>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5"/>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7"/>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8"/>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70"/>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71"/>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72"/>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73"/>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74"/>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5.7059422318361107E-2"/>
          <c:y val="3.9350860791271418E-2"/>
          <c:w val="0.93069966492768375"/>
          <c:h val="0.5941636617681193"/>
        </c:manualLayout>
      </c:layout>
      <c:barChart>
        <c:barDir val="col"/>
        <c:grouping val="percentStacked"/>
        <c:varyColors val="0"/>
        <c:ser>
          <c:idx val="0"/>
          <c:order val="0"/>
          <c:tx>
            <c:strRef>
              <c:f>Hymo_Odra!$B$3:$B$4</c:f>
              <c:strCache>
                <c:ptCount val="1"/>
                <c:pt idx="0">
                  <c:v>budowle piętrzące</c:v>
                </c:pt>
              </c:strCache>
            </c:strRef>
          </c:tx>
          <c:spPr>
            <a:solidFill>
              <a:schemeClr val="tx2"/>
            </a:solidFill>
            <a:ln w="1270">
              <a:no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Hymo_Odra!$B$5:$B$10</c:f>
              <c:numCache>
                <c:formatCode>General</c:formatCode>
                <c:ptCount val="5"/>
                <c:pt idx="0">
                  <c:v>175</c:v>
                </c:pt>
                <c:pt idx="1">
                  <c:v>59</c:v>
                </c:pt>
                <c:pt idx="2">
                  <c:v>168</c:v>
                </c:pt>
                <c:pt idx="3">
                  <c:v>130</c:v>
                </c:pt>
                <c:pt idx="4">
                  <c:v>61</c:v>
                </c:pt>
              </c:numCache>
            </c:numRef>
          </c:val>
          <c:extLst>
            <c:ext xmlns:c16="http://schemas.microsoft.com/office/drawing/2014/chart" uri="{C3380CC4-5D6E-409C-BE32-E72D297353CC}">
              <c16:uniqueId val="{00000000-34EC-4926-BD62-5AF950993B43}"/>
            </c:ext>
          </c:extLst>
        </c:ser>
        <c:ser>
          <c:idx val="1"/>
          <c:order val="1"/>
          <c:tx>
            <c:strRef>
              <c:f>Hymo_Odra!$C$3:$C$4</c:f>
              <c:strCache>
                <c:ptCount val="1"/>
                <c:pt idx="0">
                  <c:v>budowle regulacyjne (opaski brzegowe, ostrogi, tamy podłużne)</c:v>
                </c:pt>
              </c:strCache>
            </c:strRef>
          </c:tx>
          <c:spPr>
            <a:solidFill>
              <a:srgbClr val="0070C0"/>
            </a:solidFill>
            <a:ln w="1270">
              <a:no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Hymo_Odra!$C$5:$C$10</c:f>
              <c:numCache>
                <c:formatCode>General</c:formatCode>
                <c:ptCount val="5"/>
                <c:pt idx="0">
                  <c:v>79</c:v>
                </c:pt>
                <c:pt idx="1">
                  <c:v>32</c:v>
                </c:pt>
                <c:pt idx="2">
                  <c:v>24</c:v>
                </c:pt>
                <c:pt idx="3">
                  <c:v>13</c:v>
                </c:pt>
                <c:pt idx="4">
                  <c:v>41</c:v>
                </c:pt>
              </c:numCache>
            </c:numRef>
          </c:val>
          <c:extLst>
            <c:ext xmlns:c16="http://schemas.microsoft.com/office/drawing/2014/chart" uri="{C3380CC4-5D6E-409C-BE32-E72D297353CC}">
              <c16:uniqueId val="{00000001-34EC-4926-BD62-5AF950993B43}"/>
            </c:ext>
          </c:extLst>
        </c:ser>
        <c:ser>
          <c:idx val="2"/>
          <c:order val="2"/>
          <c:tx>
            <c:strRef>
              <c:f>Hymo_Odra!$D$3:$D$4</c:f>
              <c:strCache>
                <c:ptCount val="1"/>
                <c:pt idx="0">
                  <c:v>górnictwo</c:v>
                </c:pt>
              </c:strCache>
            </c:strRef>
          </c:tx>
          <c:spPr>
            <a:solidFill>
              <a:schemeClr val="tx1"/>
            </a:solidFill>
            <a:ln w="1270">
              <a:no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Hymo_Odra!$D$5:$D$10</c:f>
              <c:numCache>
                <c:formatCode>General</c:formatCode>
                <c:ptCount val="5"/>
                <c:pt idx="0">
                  <c:v>26</c:v>
                </c:pt>
                <c:pt idx="1">
                  <c:v>7</c:v>
                </c:pt>
                <c:pt idx="2">
                  <c:v>73</c:v>
                </c:pt>
                <c:pt idx="3">
                  <c:v>25</c:v>
                </c:pt>
                <c:pt idx="4">
                  <c:v>17</c:v>
                </c:pt>
              </c:numCache>
            </c:numRef>
          </c:val>
          <c:extLst>
            <c:ext xmlns:c16="http://schemas.microsoft.com/office/drawing/2014/chart" uri="{C3380CC4-5D6E-409C-BE32-E72D297353CC}">
              <c16:uniqueId val="{00000002-34EC-4926-BD62-5AF950993B43}"/>
            </c:ext>
          </c:extLst>
        </c:ser>
        <c:ser>
          <c:idx val="3"/>
          <c:order val="3"/>
          <c:tx>
            <c:strRef>
              <c:f>Hymo_Odra!$E$3:$E$4</c:f>
              <c:strCache>
                <c:ptCount val="1"/>
                <c:pt idx="0">
                  <c:v>niezidentyfikowane</c:v>
                </c:pt>
              </c:strCache>
            </c:strRef>
          </c:tx>
          <c:spPr>
            <a:solidFill>
              <a:schemeClr val="bg1">
                <a:lumMod val="65000"/>
              </a:schemeClr>
            </a:solidFill>
            <a:ln w="1270">
              <a:no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Hymo_Odra!$E$5:$E$10</c:f>
              <c:numCache>
                <c:formatCode>General</c:formatCode>
                <c:ptCount val="5"/>
                <c:pt idx="0">
                  <c:v>4</c:v>
                </c:pt>
                <c:pt idx="1">
                  <c:v>5</c:v>
                </c:pt>
                <c:pt idx="2">
                  <c:v>8</c:v>
                </c:pt>
                <c:pt idx="3">
                  <c:v>9</c:v>
                </c:pt>
              </c:numCache>
            </c:numRef>
          </c:val>
          <c:extLst>
            <c:ext xmlns:c16="http://schemas.microsoft.com/office/drawing/2014/chart" uri="{C3380CC4-5D6E-409C-BE32-E72D297353CC}">
              <c16:uniqueId val="{00000003-34EC-4926-BD62-5AF950993B43}"/>
            </c:ext>
          </c:extLst>
        </c:ser>
        <c:ser>
          <c:idx val="4"/>
          <c:order val="4"/>
          <c:tx>
            <c:strRef>
              <c:f>Hymo_Odra!$F$3:$F$4</c:f>
              <c:strCache>
                <c:ptCount val="1"/>
                <c:pt idx="0">
                  <c:v>obiekty gospodarki wodnej (zbiorniki, stawy rybne)</c:v>
                </c:pt>
              </c:strCache>
            </c:strRef>
          </c:tx>
          <c:spPr>
            <a:solidFill>
              <a:schemeClr val="accent3"/>
            </a:solidFill>
            <a:ln w="1270">
              <a:no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Hymo_Odra!$F$5:$F$10</c:f>
              <c:numCache>
                <c:formatCode>General</c:formatCode>
                <c:ptCount val="5"/>
                <c:pt idx="0">
                  <c:v>26</c:v>
                </c:pt>
                <c:pt idx="1">
                  <c:v>8</c:v>
                </c:pt>
                <c:pt idx="2">
                  <c:v>18</c:v>
                </c:pt>
                <c:pt idx="3">
                  <c:v>13</c:v>
                </c:pt>
                <c:pt idx="4">
                  <c:v>5</c:v>
                </c:pt>
              </c:numCache>
            </c:numRef>
          </c:val>
          <c:extLst>
            <c:ext xmlns:c16="http://schemas.microsoft.com/office/drawing/2014/chart" uri="{C3380CC4-5D6E-409C-BE32-E72D297353CC}">
              <c16:uniqueId val="{00000004-34EC-4926-BD62-5AF950993B43}"/>
            </c:ext>
          </c:extLst>
        </c:ser>
        <c:ser>
          <c:idx val="5"/>
          <c:order val="5"/>
          <c:tx>
            <c:strRef>
              <c:f>Hymo_Odra!$G$3:$G$4</c:f>
              <c:strCache>
                <c:ptCount val="1"/>
                <c:pt idx="0">
                  <c:v>obiekty mostowe</c:v>
                </c:pt>
              </c:strCache>
            </c:strRef>
          </c:tx>
          <c:spPr>
            <a:solidFill>
              <a:schemeClr val="bg2">
                <a:lumMod val="50000"/>
              </a:schemeClr>
            </a:solidFill>
            <a:ln w="1270">
              <a:no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Hymo_Odra!$G$5:$G$10</c:f>
              <c:numCache>
                <c:formatCode>General</c:formatCode>
                <c:ptCount val="5"/>
                <c:pt idx="0">
                  <c:v>41</c:v>
                </c:pt>
                <c:pt idx="1">
                  <c:v>7</c:v>
                </c:pt>
                <c:pt idx="2">
                  <c:v>192</c:v>
                </c:pt>
                <c:pt idx="3">
                  <c:v>16</c:v>
                </c:pt>
                <c:pt idx="4">
                  <c:v>70</c:v>
                </c:pt>
              </c:numCache>
            </c:numRef>
          </c:val>
          <c:extLst>
            <c:ext xmlns:c16="http://schemas.microsoft.com/office/drawing/2014/chart" uri="{C3380CC4-5D6E-409C-BE32-E72D297353CC}">
              <c16:uniqueId val="{00000005-34EC-4926-BD62-5AF950993B43}"/>
            </c:ext>
          </c:extLst>
        </c:ser>
        <c:ser>
          <c:idx val="6"/>
          <c:order val="6"/>
          <c:tx>
            <c:strRef>
              <c:f>Hymo_Odra!$H$3:$H$4</c:f>
              <c:strCache>
                <c:ptCount val="1"/>
                <c:pt idx="0">
                  <c:v>prostowanie koryta</c:v>
                </c:pt>
              </c:strCache>
            </c:strRef>
          </c:tx>
          <c:spPr>
            <a:solidFill>
              <a:schemeClr val="accent1">
                <a:lumMod val="40000"/>
                <a:lumOff val="60000"/>
              </a:schemeClr>
            </a:solidFill>
            <a:ln w="1270">
              <a:no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Hymo_Odra!$H$5:$H$10</c:f>
              <c:numCache>
                <c:formatCode>General</c:formatCode>
                <c:ptCount val="5"/>
                <c:pt idx="0">
                  <c:v>179</c:v>
                </c:pt>
                <c:pt idx="1">
                  <c:v>74</c:v>
                </c:pt>
                <c:pt idx="2">
                  <c:v>274</c:v>
                </c:pt>
                <c:pt idx="3">
                  <c:v>126</c:v>
                </c:pt>
                <c:pt idx="4">
                  <c:v>94</c:v>
                </c:pt>
              </c:numCache>
            </c:numRef>
          </c:val>
          <c:extLst>
            <c:ext xmlns:c16="http://schemas.microsoft.com/office/drawing/2014/chart" uri="{C3380CC4-5D6E-409C-BE32-E72D297353CC}">
              <c16:uniqueId val="{00000006-34EC-4926-BD62-5AF950993B43}"/>
            </c:ext>
          </c:extLst>
        </c:ser>
        <c:ser>
          <c:idx val="7"/>
          <c:order val="7"/>
          <c:tx>
            <c:strRef>
              <c:f>Hymo_Odra!$I$3:$I$4</c:f>
              <c:strCache>
                <c:ptCount val="1"/>
                <c:pt idx="0">
                  <c:v>wały przeciwpowodziowe</c:v>
                </c:pt>
              </c:strCache>
            </c:strRef>
          </c:tx>
          <c:spPr>
            <a:solidFill>
              <a:srgbClr val="00B0F0"/>
            </a:solidFill>
            <a:ln w="1270">
              <a:no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Hymo_Odra!$I$5:$I$10</c:f>
              <c:numCache>
                <c:formatCode>General</c:formatCode>
                <c:ptCount val="5"/>
                <c:pt idx="0">
                  <c:v>19</c:v>
                </c:pt>
                <c:pt idx="1">
                  <c:v>5</c:v>
                </c:pt>
                <c:pt idx="2">
                  <c:v>37</c:v>
                </c:pt>
                <c:pt idx="3">
                  <c:v>18</c:v>
                </c:pt>
                <c:pt idx="4">
                  <c:v>5</c:v>
                </c:pt>
              </c:numCache>
            </c:numRef>
          </c:val>
          <c:extLst>
            <c:ext xmlns:c16="http://schemas.microsoft.com/office/drawing/2014/chart" uri="{C3380CC4-5D6E-409C-BE32-E72D297353CC}">
              <c16:uniqueId val="{00000007-34EC-4926-BD62-5AF950993B43}"/>
            </c:ext>
          </c:extLst>
        </c:ser>
        <c:ser>
          <c:idx val="8"/>
          <c:order val="8"/>
          <c:tx>
            <c:strRef>
              <c:f>Hymo_Odra!$J$3:$J$4</c:f>
              <c:strCache>
                <c:ptCount val="1"/>
                <c:pt idx="0">
                  <c:v>zapora powyżej</c:v>
                </c:pt>
              </c:strCache>
            </c:strRef>
          </c:tx>
          <c:spPr>
            <a:solidFill>
              <a:srgbClr val="953735"/>
            </a:solidFill>
            <a:ln w="1270">
              <a:no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Hymo_Odra!$J$5:$J$10</c:f>
              <c:numCache>
                <c:formatCode>General</c:formatCode>
                <c:ptCount val="5"/>
                <c:pt idx="0">
                  <c:v>1</c:v>
                </c:pt>
                <c:pt idx="2">
                  <c:v>5</c:v>
                </c:pt>
                <c:pt idx="4">
                  <c:v>1</c:v>
                </c:pt>
              </c:numCache>
            </c:numRef>
          </c:val>
          <c:extLst>
            <c:ext xmlns:c16="http://schemas.microsoft.com/office/drawing/2014/chart" uri="{C3380CC4-5D6E-409C-BE32-E72D297353CC}">
              <c16:uniqueId val="{00000008-34EC-4926-BD62-5AF950993B43}"/>
            </c:ext>
          </c:extLst>
        </c:ser>
        <c:ser>
          <c:idx val="9"/>
          <c:order val="9"/>
          <c:tx>
            <c:strRef>
              <c:f>Hymo_Odra!$K$3:$K$4</c:f>
              <c:strCache>
                <c:ptCount val="1"/>
                <c:pt idx="0">
                  <c:v>eksploatacja zasobów wodnych (zrzuty,pobory,przerzuty)</c:v>
                </c:pt>
              </c:strCache>
            </c:strRef>
          </c:tx>
          <c:spPr>
            <a:solidFill>
              <a:schemeClr val="accent6">
                <a:lumMod val="40000"/>
                <a:lumOff val="60000"/>
              </a:schemeClr>
            </a:solidFill>
            <a:ln w="1270">
              <a:no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Hymo_Odra!$K$5:$K$10</c:f>
              <c:numCache>
                <c:formatCode>General</c:formatCode>
                <c:ptCount val="5"/>
                <c:pt idx="2">
                  <c:v>5</c:v>
                </c:pt>
                <c:pt idx="3">
                  <c:v>3</c:v>
                </c:pt>
                <c:pt idx="4">
                  <c:v>2</c:v>
                </c:pt>
              </c:numCache>
            </c:numRef>
          </c:val>
          <c:extLst>
            <c:ext xmlns:c16="http://schemas.microsoft.com/office/drawing/2014/chart" uri="{C3380CC4-5D6E-409C-BE32-E72D297353CC}">
              <c16:uniqueId val="{00000009-34EC-4926-BD62-5AF950993B43}"/>
            </c:ext>
          </c:extLst>
        </c:ser>
        <c:dLbls>
          <c:showLegendKey val="0"/>
          <c:showVal val="0"/>
          <c:showCatName val="0"/>
          <c:showSerName val="0"/>
          <c:showPercent val="0"/>
          <c:showBubbleSize val="0"/>
        </c:dLbls>
        <c:gapWidth val="219"/>
        <c:overlap val="100"/>
        <c:axId val="303468032"/>
        <c:axId val="302955264"/>
      </c:barChart>
      <c:catAx>
        <c:axId val="303468032"/>
        <c:scaling>
          <c:orientation val="minMax"/>
        </c:scaling>
        <c:delete val="0"/>
        <c:axPos val="b"/>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02955264"/>
        <c:crosses val="autoZero"/>
        <c:auto val="1"/>
        <c:lblAlgn val="ctr"/>
        <c:lblOffset val="100"/>
        <c:noMultiLvlLbl val="0"/>
      </c:catAx>
      <c:valAx>
        <c:axId val="302955264"/>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out"/>
        <c:minorTickMark val="none"/>
        <c:tickLblPos val="nextTo"/>
        <c:spPr>
          <a:noFill/>
          <a:ln w="9525" cap="flat" cmpd="sng" algn="ctr">
            <a:solidFill>
              <a:schemeClr val="bg1">
                <a:lumMod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3468032"/>
        <c:crosses val="autoZero"/>
        <c:crossBetween val="between"/>
      </c:valAx>
      <c:spPr>
        <a:noFill/>
        <a:ln>
          <a:noFill/>
        </a:ln>
        <a:effectLst/>
      </c:spPr>
    </c:plotArea>
    <c:legend>
      <c:legendPos val="r"/>
      <c:layout>
        <c:manualLayout>
          <c:xMode val="edge"/>
          <c:yMode val="edge"/>
          <c:x val="0"/>
          <c:y val="0.71622392482532216"/>
          <c:w val="0.65167548500881844"/>
          <c:h val="0.268656992588570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bg1">
          <a:lumMod val="85000"/>
        </a:schemeClr>
      </a:solidFill>
      <a:prstDash val="solid"/>
      <a:round/>
    </a:ln>
    <a:effectLst/>
  </c:spPr>
  <c:txPr>
    <a:bodyPr/>
    <a:lstStyle/>
    <a:p>
      <a:pPr>
        <a:defRPr/>
      </a:pPr>
      <a:endParaRPr lang="pl-PL"/>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pivotSource>
    <c:name>[Wykresy_tabele_rozdzial_7MR.xlsx]Trof_Odra!Tabela przestawna5</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pivotFmt>
      <c:pivotFmt>
        <c:idx val="21"/>
        <c:spPr>
          <a:solidFill>
            <a:schemeClr val="accent1"/>
          </a:solidFill>
          <a:ln>
            <a:noFill/>
          </a:ln>
          <a:effectLst/>
        </c:spPr>
        <c:marker>
          <c:symbol val="none"/>
        </c:marker>
      </c:pivotFmt>
      <c:pivotFmt>
        <c:idx val="22"/>
        <c:spPr>
          <a:solidFill>
            <a:schemeClr val="accent1"/>
          </a:solidFill>
          <a:ln>
            <a:noFill/>
          </a:ln>
          <a:effectLst/>
        </c:spPr>
        <c:marker>
          <c:symbol val="none"/>
        </c:marker>
      </c:pivotFmt>
      <c:pivotFmt>
        <c:idx val="23"/>
        <c:spPr>
          <a:solidFill>
            <a:schemeClr val="accent1"/>
          </a:solidFill>
          <a:ln>
            <a:noFill/>
          </a:ln>
          <a:effectLst/>
        </c:spPr>
        <c:marker>
          <c:symbol val="none"/>
        </c:marker>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pivotFmt>
      <c:pivotFmt>
        <c:idx val="28"/>
        <c:spPr>
          <a:solidFill>
            <a:schemeClr val="accent1"/>
          </a:solidFill>
          <a:ln>
            <a:noFill/>
          </a:ln>
          <a:effectLst/>
        </c:spPr>
        <c:marker>
          <c:symbol val="none"/>
        </c:marker>
      </c:pivotFmt>
      <c:pivotFmt>
        <c:idx val="29"/>
        <c:marker>
          <c:symbol val="none"/>
        </c:marker>
      </c:pivotFmt>
      <c:pivotFmt>
        <c:idx val="30"/>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1"/>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6"/>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7"/>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8"/>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9"/>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0"/>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1"/>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3"/>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4"/>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5"/>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6"/>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7"/>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8"/>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9"/>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50"/>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2.0198829132493622E-2"/>
          <c:y val="4.6111651773865343E-2"/>
          <c:w val="0.93976326198661786"/>
          <c:h val="0.57437653344068917"/>
        </c:manualLayout>
      </c:layout>
      <c:barChart>
        <c:barDir val="col"/>
        <c:grouping val="percentStacked"/>
        <c:varyColors val="0"/>
        <c:ser>
          <c:idx val="0"/>
          <c:order val="0"/>
          <c:tx>
            <c:strRef>
              <c:f>Trof_Odra!$B$3:$B$4</c:f>
              <c:strCache>
                <c:ptCount val="1"/>
                <c:pt idx="0">
                  <c:v>nawożenie i depozycja</c:v>
                </c:pt>
              </c:strCache>
            </c:strRef>
          </c:tx>
          <c:spPr>
            <a:solidFill>
              <a:schemeClr val="accent5">
                <a:lumMod val="50000"/>
              </a:schemeClr>
            </a:solidFill>
            <a:ln w="1270">
              <a:noFill/>
            </a:ln>
            <a:effectLst/>
          </c:spPr>
          <c:invertIfNegative val="0"/>
          <c:cat>
            <c:strRef>
              <c:f>Trof_Odra!$A$5:$A$10</c:f>
              <c:strCache>
                <c:ptCount val="5"/>
                <c:pt idx="0">
                  <c:v>Region wodny Górnej Odry_x000d_
</c:v>
                </c:pt>
                <c:pt idx="1">
                  <c:v>Region wodny Noteci</c:v>
                </c:pt>
                <c:pt idx="2">
                  <c:v>Region wodny Warty</c:v>
                </c:pt>
                <c:pt idx="3">
                  <c:v>Region wodny Dolnej Odry i Przymorza Zachodniego</c:v>
                </c:pt>
                <c:pt idx="4">
                  <c:v>Region wodny Środkowej Odry</c:v>
                </c:pt>
              </c:strCache>
            </c:strRef>
          </c:cat>
          <c:val>
            <c:numRef>
              <c:f>Trof_Odra!$B$5:$B$10</c:f>
              <c:numCache>
                <c:formatCode>General</c:formatCode>
                <c:ptCount val="5"/>
                <c:pt idx="0">
                  <c:v>28</c:v>
                </c:pt>
                <c:pt idx="1">
                  <c:v>18</c:v>
                </c:pt>
                <c:pt idx="2">
                  <c:v>74</c:v>
                </c:pt>
                <c:pt idx="3">
                  <c:v>56</c:v>
                </c:pt>
                <c:pt idx="4">
                  <c:v>112</c:v>
                </c:pt>
              </c:numCache>
            </c:numRef>
          </c:val>
          <c:extLst>
            <c:ext xmlns:c16="http://schemas.microsoft.com/office/drawing/2014/chart" uri="{C3380CC4-5D6E-409C-BE32-E72D297353CC}">
              <c16:uniqueId val="{00000000-8BDB-421D-BE1D-0414CA23B549}"/>
            </c:ext>
          </c:extLst>
        </c:ser>
        <c:ser>
          <c:idx val="1"/>
          <c:order val="1"/>
          <c:tx>
            <c:strRef>
              <c:f>Trof_Odra!$C$3:$C$4</c:f>
              <c:strCache>
                <c:ptCount val="1"/>
                <c:pt idx="0">
                  <c:v>niezidentyfikowane</c:v>
                </c:pt>
              </c:strCache>
            </c:strRef>
          </c:tx>
          <c:spPr>
            <a:solidFill>
              <a:schemeClr val="bg1">
                <a:lumMod val="65000"/>
              </a:schemeClr>
            </a:solidFill>
            <a:ln w="1270">
              <a:noFill/>
            </a:ln>
            <a:effectLst/>
          </c:spPr>
          <c:invertIfNegative val="0"/>
          <c:cat>
            <c:strRef>
              <c:f>Trof_Odra!$A$5:$A$10</c:f>
              <c:strCache>
                <c:ptCount val="5"/>
                <c:pt idx="0">
                  <c:v>Region wodny Górnej Odry_x000d_
</c:v>
                </c:pt>
                <c:pt idx="1">
                  <c:v>Region wodny Noteci</c:v>
                </c:pt>
                <c:pt idx="2">
                  <c:v>Region wodny Warty</c:v>
                </c:pt>
                <c:pt idx="3">
                  <c:v>Region wodny Dolnej Odry i Przymorza Zachodniego</c:v>
                </c:pt>
                <c:pt idx="4">
                  <c:v>Region wodny Środkowej Odry</c:v>
                </c:pt>
              </c:strCache>
            </c:strRef>
          </c:cat>
          <c:val>
            <c:numRef>
              <c:f>Trof_Odra!$C$5:$C$10</c:f>
              <c:numCache>
                <c:formatCode>General</c:formatCode>
                <c:ptCount val="5"/>
                <c:pt idx="0">
                  <c:v>5</c:v>
                </c:pt>
                <c:pt idx="1">
                  <c:v>8</c:v>
                </c:pt>
                <c:pt idx="2">
                  <c:v>6</c:v>
                </c:pt>
                <c:pt idx="3">
                  <c:v>16</c:v>
                </c:pt>
                <c:pt idx="4">
                  <c:v>23</c:v>
                </c:pt>
              </c:numCache>
            </c:numRef>
          </c:val>
          <c:extLst>
            <c:ext xmlns:c16="http://schemas.microsoft.com/office/drawing/2014/chart" uri="{C3380CC4-5D6E-409C-BE32-E72D297353CC}">
              <c16:uniqueId val="{00000001-8BDB-421D-BE1D-0414CA23B549}"/>
            </c:ext>
          </c:extLst>
        </c:ser>
        <c:ser>
          <c:idx val="2"/>
          <c:order val="2"/>
          <c:tx>
            <c:strRef>
              <c:f>Trof_Odra!$D$3:$D$4</c:f>
              <c:strCache>
                <c:ptCount val="1"/>
                <c:pt idx="0">
                  <c:v>odpływ miejski (wody opadowe)</c:v>
                </c:pt>
              </c:strCache>
            </c:strRef>
          </c:tx>
          <c:spPr>
            <a:solidFill>
              <a:schemeClr val="accent3">
                <a:lumMod val="75000"/>
              </a:schemeClr>
            </a:solidFill>
            <a:ln w="1270">
              <a:noFill/>
            </a:ln>
            <a:effectLst/>
          </c:spPr>
          <c:invertIfNegative val="0"/>
          <c:cat>
            <c:strRef>
              <c:f>Trof_Odra!$A$5:$A$10</c:f>
              <c:strCache>
                <c:ptCount val="5"/>
                <c:pt idx="0">
                  <c:v>Region wodny Górnej Odry_x000d_
</c:v>
                </c:pt>
                <c:pt idx="1">
                  <c:v>Region wodny Noteci</c:v>
                </c:pt>
                <c:pt idx="2">
                  <c:v>Region wodny Warty</c:v>
                </c:pt>
                <c:pt idx="3">
                  <c:v>Region wodny Dolnej Odry i Przymorza Zachodniego</c:v>
                </c:pt>
                <c:pt idx="4">
                  <c:v>Region wodny Środkowej Odry</c:v>
                </c:pt>
              </c:strCache>
            </c:strRef>
          </c:cat>
          <c:val>
            <c:numRef>
              <c:f>Trof_Odra!$D$5:$D$10</c:f>
              <c:numCache>
                <c:formatCode>General</c:formatCode>
                <c:ptCount val="5"/>
                <c:pt idx="0">
                  <c:v>34</c:v>
                </c:pt>
                <c:pt idx="1">
                  <c:v>18</c:v>
                </c:pt>
                <c:pt idx="2">
                  <c:v>68</c:v>
                </c:pt>
                <c:pt idx="3">
                  <c:v>25</c:v>
                </c:pt>
                <c:pt idx="4">
                  <c:v>86</c:v>
                </c:pt>
              </c:numCache>
            </c:numRef>
          </c:val>
          <c:extLst>
            <c:ext xmlns:c16="http://schemas.microsoft.com/office/drawing/2014/chart" uri="{C3380CC4-5D6E-409C-BE32-E72D297353CC}">
              <c16:uniqueId val="{00000002-8BDB-421D-BE1D-0414CA23B549}"/>
            </c:ext>
          </c:extLst>
        </c:ser>
        <c:ser>
          <c:idx val="3"/>
          <c:order val="3"/>
          <c:tx>
            <c:strRef>
              <c:f>Trof_Odra!$E$3:$E$4</c:f>
              <c:strCache>
                <c:ptCount val="1"/>
                <c:pt idx="0">
                  <c:v>źródła bytowe i komunalne (punktowe i rozproszone)</c:v>
                </c:pt>
              </c:strCache>
            </c:strRef>
          </c:tx>
          <c:spPr>
            <a:solidFill>
              <a:schemeClr val="accent5">
                <a:lumMod val="75000"/>
              </a:schemeClr>
            </a:solidFill>
            <a:ln w="1270">
              <a:noFill/>
            </a:ln>
            <a:effectLst/>
          </c:spPr>
          <c:invertIfNegative val="0"/>
          <c:cat>
            <c:strRef>
              <c:f>Trof_Odra!$A$5:$A$10</c:f>
              <c:strCache>
                <c:ptCount val="5"/>
                <c:pt idx="0">
                  <c:v>Region wodny Górnej Odry_x000d_
</c:v>
                </c:pt>
                <c:pt idx="1">
                  <c:v>Region wodny Noteci</c:v>
                </c:pt>
                <c:pt idx="2">
                  <c:v>Region wodny Warty</c:v>
                </c:pt>
                <c:pt idx="3">
                  <c:v>Region wodny Dolnej Odry i Przymorza Zachodniego</c:v>
                </c:pt>
                <c:pt idx="4">
                  <c:v>Region wodny Środkowej Odry</c:v>
                </c:pt>
              </c:strCache>
            </c:strRef>
          </c:cat>
          <c:val>
            <c:numRef>
              <c:f>Trof_Odra!$E$5:$E$10</c:f>
              <c:numCache>
                <c:formatCode>General</c:formatCode>
                <c:ptCount val="5"/>
                <c:pt idx="0">
                  <c:v>15</c:v>
                </c:pt>
                <c:pt idx="1">
                  <c:v>10</c:v>
                </c:pt>
                <c:pt idx="2">
                  <c:v>30</c:v>
                </c:pt>
                <c:pt idx="3">
                  <c:v>13</c:v>
                </c:pt>
                <c:pt idx="4">
                  <c:v>39</c:v>
                </c:pt>
              </c:numCache>
            </c:numRef>
          </c:val>
          <c:extLst>
            <c:ext xmlns:c16="http://schemas.microsoft.com/office/drawing/2014/chart" uri="{C3380CC4-5D6E-409C-BE32-E72D297353CC}">
              <c16:uniqueId val="{00000003-8BDB-421D-BE1D-0414CA23B549}"/>
            </c:ext>
          </c:extLst>
        </c:ser>
        <c:ser>
          <c:idx val="4"/>
          <c:order val="4"/>
          <c:tx>
            <c:strRef>
              <c:f>Trof_Odra!$F$3:$F$4</c:f>
              <c:strCache>
                <c:ptCount val="1"/>
                <c:pt idx="0">
                  <c:v>źródła bytowe i komunalne (punktowe)</c:v>
                </c:pt>
              </c:strCache>
            </c:strRef>
          </c:tx>
          <c:spPr>
            <a:solidFill>
              <a:schemeClr val="accent5">
                <a:lumMod val="40000"/>
                <a:lumOff val="60000"/>
              </a:schemeClr>
            </a:solidFill>
            <a:ln w="1270">
              <a:noFill/>
            </a:ln>
            <a:effectLst/>
          </c:spPr>
          <c:invertIfNegative val="0"/>
          <c:cat>
            <c:strRef>
              <c:f>Trof_Odra!$A$5:$A$10</c:f>
              <c:strCache>
                <c:ptCount val="5"/>
                <c:pt idx="0">
                  <c:v>Region wodny Górnej Odry_x000d_
</c:v>
                </c:pt>
                <c:pt idx="1">
                  <c:v>Region wodny Noteci</c:v>
                </c:pt>
                <c:pt idx="2">
                  <c:v>Region wodny Warty</c:v>
                </c:pt>
                <c:pt idx="3">
                  <c:v>Region wodny Dolnej Odry i Przymorza Zachodniego</c:v>
                </c:pt>
                <c:pt idx="4">
                  <c:v>Region wodny Środkowej Odry</c:v>
                </c:pt>
              </c:strCache>
            </c:strRef>
          </c:cat>
          <c:val>
            <c:numRef>
              <c:f>Trof_Odra!$F$5:$F$10</c:f>
              <c:numCache>
                <c:formatCode>General</c:formatCode>
                <c:ptCount val="5"/>
                <c:pt idx="0">
                  <c:v>2</c:v>
                </c:pt>
                <c:pt idx="1">
                  <c:v>4</c:v>
                </c:pt>
                <c:pt idx="2">
                  <c:v>4</c:v>
                </c:pt>
                <c:pt idx="3">
                  <c:v>30</c:v>
                </c:pt>
                <c:pt idx="4">
                  <c:v>10</c:v>
                </c:pt>
              </c:numCache>
            </c:numRef>
          </c:val>
          <c:extLst>
            <c:ext xmlns:c16="http://schemas.microsoft.com/office/drawing/2014/chart" uri="{C3380CC4-5D6E-409C-BE32-E72D297353CC}">
              <c16:uniqueId val="{00000004-8BDB-421D-BE1D-0414CA23B549}"/>
            </c:ext>
          </c:extLst>
        </c:ser>
        <c:ser>
          <c:idx val="5"/>
          <c:order val="5"/>
          <c:tx>
            <c:strRef>
              <c:f>Trof_Odra!$G$3:$G$4</c:f>
              <c:strCache>
                <c:ptCount val="1"/>
                <c:pt idx="0">
                  <c:v>źródła bytowe i komunalne (rozproszone)</c:v>
                </c:pt>
              </c:strCache>
            </c:strRef>
          </c:tx>
          <c:spPr>
            <a:solidFill>
              <a:schemeClr val="accent5">
                <a:lumMod val="20000"/>
                <a:lumOff val="80000"/>
              </a:schemeClr>
            </a:solidFill>
            <a:ln w="1270">
              <a:noFill/>
            </a:ln>
            <a:effectLst/>
          </c:spPr>
          <c:invertIfNegative val="0"/>
          <c:cat>
            <c:strRef>
              <c:f>Trof_Odra!$A$5:$A$10</c:f>
              <c:strCache>
                <c:ptCount val="5"/>
                <c:pt idx="0">
                  <c:v>Region wodny Górnej Odry_x000d_
</c:v>
                </c:pt>
                <c:pt idx="1">
                  <c:v>Region wodny Noteci</c:v>
                </c:pt>
                <c:pt idx="2">
                  <c:v>Region wodny Warty</c:v>
                </c:pt>
                <c:pt idx="3">
                  <c:v>Region wodny Dolnej Odry i Przymorza Zachodniego</c:v>
                </c:pt>
                <c:pt idx="4">
                  <c:v>Region wodny Środkowej Odry</c:v>
                </c:pt>
              </c:strCache>
            </c:strRef>
          </c:cat>
          <c:val>
            <c:numRef>
              <c:f>Trof_Odra!$G$5:$G$10</c:f>
              <c:numCache>
                <c:formatCode>General</c:formatCode>
                <c:ptCount val="5"/>
                <c:pt idx="0">
                  <c:v>9</c:v>
                </c:pt>
                <c:pt idx="1">
                  <c:v>2</c:v>
                </c:pt>
                <c:pt idx="2">
                  <c:v>8</c:v>
                </c:pt>
                <c:pt idx="3">
                  <c:v>16</c:v>
                </c:pt>
                <c:pt idx="4">
                  <c:v>44</c:v>
                </c:pt>
              </c:numCache>
            </c:numRef>
          </c:val>
          <c:extLst>
            <c:ext xmlns:c16="http://schemas.microsoft.com/office/drawing/2014/chart" uri="{C3380CC4-5D6E-409C-BE32-E72D297353CC}">
              <c16:uniqueId val="{00000005-8BDB-421D-BE1D-0414CA23B549}"/>
            </c:ext>
          </c:extLst>
        </c:ser>
        <c:ser>
          <c:idx val="6"/>
          <c:order val="6"/>
          <c:tx>
            <c:strRef>
              <c:f>Trof_Odra!$H$3:$H$4</c:f>
              <c:strCache>
                <c:ptCount val="1"/>
                <c:pt idx="0">
                  <c:v>źródła przemysłowe</c:v>
                </c:pt>
              </c:strCache>
            </c:strRef>
          </c:tx>
          <c:spPr>
            <a:solidFill>
              <a:schemeClr val="accent5"/>
            </a:solidFill>
            <a:ln w="1270">
              <a:noFill/>
            </a:ln>
            <a:effectLst/>
          </c:spPr>
          <c:invertIfNegative val="0"/>
          <c:cat>
            <c:strRef>
              <c:f>Trof_Odra!$A$5:$A$10</c:f>
              <c:strCache>
                <c:ptCount val="5"/>
                <c:pt idx="0">
                  <c:v>Region wodny Górnej Odry_x000d_
</c:v>
                </c:pt>
                <c:pt idx="1">
                  <c:v>Region wodny Noteci</c:v>
                </c:pt>
                <c:pt idx="2">
                  <c:v>Region wodny Warty</c:v>
                </c:pt>
                <c:pt idx="3">
                  <c:v>Region wodny Dolnej Odry i Przymorza Zachodniego</c:v>
                </c:pt>
                <c:pt idx="4">
                  <c:v>Region wodny Środkowej Odry</c:v>
                </c:pt>
              </c:strCache>
            </c:strRef>
          </c:cat>
          <c:val>
            <c:numRef>
              <c:f>Trof_Odra!$H$5:$H$10</c:f>
              <c:numCache>
                <c:formatCode>General</c:formatCode>
                <c:ptCount val="5"/>
                <c:pt idx="0">
                  <c:v>17</c:v>
                </c:pt>
                <c:pt idx="1">
                  <c:v>5</c:v>
                </c:pt>
                <c:pt idx="2">
                  <c:v>28</c:v>
                </c:pt>
                <c:pt idx="3">
                  <c:v>40</c:v>
                </c:pt>
                <c:pt idx="4">
                  <c:v>38</c:v>
                </c:pt>
              </c:numCache>
            </c:numRef>
          </c:val>
          <c:extLst>
            <c:ext xmlns:c16="http://schemas.microsoft.com/office/drawing/2014/chart" uri="{C3380CC4-5D6E-409C-BE32-E72D297353CC}">
              <c16:uniqueId val="{00000006-8BDB-421D-BE1D-0414CA23B549}"/>
            </c:ext>
          </c:extLst>
        </c:ser>
        <c:dLbls>
          <c:showLegendKey val="0"/>
          <c:showVal val="0"/>
          <c:showCatName val="0"/>
          <c:showSerName val="0"/>
          <c:showPercent val="0"/>
          <c:showBubbleSize val="0"/>
        </c:dLbls>
        <c:gapWidth val="219"/>
        <c:overlap val="100"/>
        <c:axId val="303767552"/>
        <c:axId val="301663360"/>
      </c:barChart>
      <c:catAx>
        <c:axId val="303767552"/>
        <c:scaling>
          <c:orientation val="minMax"/>
        </c:scaling>
        <c:delete val="0"/>
        <c:axPos val="b"/>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01663360"/>
        <c:crosses val="autoZero"/>
        <c:auto val="1"/>
        <c:lblAlgn val="ctr"/>
        <c:lblOffset val="100"/>
        <c:noMultiLvlLbl val="0"/>
      </c:catAx>
      <c:valAx>
        <c:axId val="301663360"/>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out"/>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3767552"/>
        <c:crosses val="autoZero"/>
        <c:crossBetween val="between"/>
      </c:valAx>
      <c:spPr>
        <a:noFill/>
        <a:ln>
          <a:noFill/>
        </a:ln>
        <a:effectLst/>
      </c:spPr>
    </c:plotArea>
    <c:legend>
      <c:legendPos val="r"/>
      <c:layout>
        <c:manualLayout>
          <c:xMode val="edge"/>
          <c:yMode val="edge"/>
          <c:x val="0"/>
          <c:y val="0.71223463515340801"/>
          <c:w val="0.62280468828173541"/>
          <c:h val="0.2573538267399074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bg1">
          <a:lumMod val="85000"/>
        </a:schemeClr>
      </a:solidFill>
      <a:prstDash val="solid"/>
      <a:round/>
    </a:ln>
    <a:effectLst/>
  </c:spPr>
  <c:txPr>
    <a:bodyPr/>
    <a:lstStyle/>
    <a:p>
      <a:pPr>
        <a:defRPr/>
      </a:pPr>
      <a:endParaRPr lang="pl-PL"/>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6"/>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7"/>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8"/>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9"/>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0"/>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1"/>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2"/>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3"/>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4"/>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5"/>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6"/>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7"/>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8"/>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9"/>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6.9274889685110877E-2"/>
          <c:y val="4.5035027555862084E-2"/>
          <c:w val="0.89008115617346972"/>
          <c:h val="0.65997742602993736"/>
        </c:manualLayout>
      </c:layout>
      <c:barChart>
        <c:barDir val="col"/>
        <c:grouping val="percentStacked"/>
        <c:varyColors val="0"/>
        <c:ser>
          <c:idx val="0"/>
          <c:order val="0"/>
          <c:tx>
            <c:strRef>
              <c:f>RYZ_Odra!$N$17</c:f>
              <c:strCache>
                <c:ptCount val="1"/>
                <c:pt idx="0">
                  <c:v>ryzyko znaczące bardzo silne</c:v>
                </c:pt>
              </c:strCache>
            </c:strRef>
          </c:tx>
          <c:spPr>
            <a:solidFill>
              <a:schemeClr val="accent2">
                <a:lumMod val="50000"/>
              </a:schemeClr>
            </a:solidFill>
            <a:ln w="1270">
              <a:noFill/>
            </a:ln>
            <a:effectLst>
              <a:outerShdw blurRad="50800" dist="38100" dir="2700000" algn="tl" rotWithShape="0">
                <a:prstClr val="black">
                  <a:alpha val="40000"/>
                </a:prstClr>
              </a:outerShdw>
            </a:effectLst>
          </c:spPr>
          <c:invertIfNegative val="0"/>
          <c:cat>
            <c:strLit>
              <c:ptCount val="5"/>
              <c:pt idx="0">
                <c:v>Region wodny Dolnej Odry i Przymorza Zachodniego</c:v>
              </c:pt>
              <c:pt idx="1">
                <c:v>Region wodny Środkowej Odry</c:v>
              </c:pt>
              <c:pt idx="2">
                <c:v>Region wodny Warty</c:v>
              </c:pt>
              <c:pt idx="3">
                <c:v>Region wodny Noteci</c:v>
              </c:pt>
              <c:pt idx="4">
                <c:v>Region wodny Górnej Odry_x000d_
</c:v>
              </c:pt>
            </c:strLit>
          </c:cat>
          <c:val>
            <c:numRef>
              <c:f>RYZ_Odra!$N$18:$N$22</c:f>
              <c:numCache>
                <c:formatCode>General</c:formatCode>
                <c:ptCount val="5"/>
                <c:pt idx="0">
                  <c:v>63</c:v>
                </c:pt>
                <c:pt idx="1">
                  <c:v>124</c:v>
                </c:pt>
                <c:pt idx="2">
                  <c:v>112</c:v>
                </c:pt>
                <c:pt idx="3">
                  <c:v>23</c:v>
                </c:pt>
                <c:pt idx="4">
                  <c:v>47</c:v>
                </c:pt>
              </c:numCache>
            </c:numRef>
          </c:val>
          <c:extLst>
            <c:ext xmlns:c16="http://schemas.microsoft.com/office/drawing/2014/chart" uri="{C3380CC4-5D6E-409C-BE32-E72D297353CC}">
              <c16:uniqueId val="{00000000-E2E9-4CD6-AB87-36885275BFB4}"/>
            </c:ext>
          </c:extLst>
        </c:ser>
        <c:ser>
          <c:idx val="1"/>
          <c:order val="1"/>
          <c:tx>
            <c:strRef>
              <c:f>RYZ_Odra!$O$17</c:f>
              <c:strCache>
                <c:ptCount val="1"/>
                <c:pt idx="0">
                  <c:v>ryzyko znaczące silne</c:v>
                </c:pt>
              </c:strCache>
            </c:strRef>
          </c:tx>
          <c:spPr>
            <a:solidFill>
              <a:schemeClr val="accent2">
                <a:lumMod val="75000"/>
              </a:schemeClr>
            </a:solidFill>
            <a:ln w="1270">
              <a:noFill/>
            </a:ln>
            <a:effectLst>
              <a:outerShdw blurRad="50800" dist="38100" dir="2700000" algn="tl" rotWithShape="0">
                <a:prstClr val="black">
                  <a:alpha val="40000"/>
                </a:prstClr>
              </a:outerShdw>
            </a:effectLst>
          </c:spPr>
          <c:invertIfNegative val="0"/>
          <c:cat>
            <c:strLit>
              <c:ptCount val="5"/>
              <c:pt idx="0">
                <c:v>Region wodny Dolnej Odry i Przymorza Zachodniego</c:v>
              </c:pt>
              <c:pt idx="1">
                <c:v>Region wodny Środkowej Odry</c:v>
              </c:pt>
              <c:pt idx="2">
                <c:v>Region wodny Warty</c:v>
              </c:pt>
              <c:pt idx="3">
                <c:v>Region wodny Noteci</c:v>
              </c:pt>
              <c:pt idx="4">
                <c:v>Region wodny Górnej Odry_x000d_
</c:v>
              </c:pt>
            </c:strLit>
          </c:cat>
          <c:val>
            <c:numRef>
              <c:f>RYZ_Odra!$O$18:$O$22</c:f>
              <c:numCache>
                <c:formatCode>General</c:formatCode>
                <c:ptCount val="5"/>
                <c:pt idx="0">
                  <c:v>69</c:v>
                </c:pt>
                <c:pt idx="1">
                  <c:v>169</c:v>
                </c:pt>
                <c:pt idx="2">
                  <c:v>93</c:v>
                </c:pt>
                <c:pt idx="3">
                  <c:v>46</c:v>
                </c:pt>
                <c:pt idx="4">
                  <c:v>53</c:v>
                </c:pt>
              </c:numCache>
            </c:numRef>
          </c:val>
          <c:extLst>
            <c:ext xmlns:c16="http://schemas.microsoft.com/office/drawing/2014/chart" uri="{C3380CC4-5D6E-409C-BE32-E72D297353CC}">
              <c16:uniqueId val="{00000001-E2E9-4CD6-AB87-36885275BFB4}"/>
            </c:ext>
          </c:extLst>
        </c:ser>
        <c:ser>
          <c:idx val="2"/>
          <c:order val="2"/>
          <c:tx>
            <c:strRef>
              <c:f>RYZ_Odra!$P$17</c:f>
              <c:strCache>
                <c:ptCount val="1"/>
                <c:pt idx="0">
                  <c:v>ryzyko znaczące umiarkowane</c:v>
                </c:pt>
              </c:strCache>
            </c:strRef>
          </c:tx>
          <c:spPr>
            <a:solidFill>
              <a:schemeClr val="accent2">
                <a:lumMod val="60000"/>
                <a:lumOff val="40000"/>
              </a:schemeClr>
            </a:solidFill>
            <a:ln w="1270">
              <a:noFill/>
            </a:ln>
            <a:effectLst>
              <a:outerShdw blurRad="50800" dist="38100" dir="2700000" algn="tl" rotWithShape="0">
                <a:prstClr val="black">
                  <a:alpha val="40000"/>
                </a:prstClr>
              </a:outerShdw>
            </a:effectLst>
          </c:spPr>
          <c:invertIfNegative val="0"/>
          <c:cat>
            <c:strLit>
              <c:ptCount val="5"/>
              <c:pt idx="0">
                <c:v>Region wodny Dolnej Odry i Przymorza Zachodniego</c:v>
              </c:pt>
              <c:pt idx="1">
                <c:v>Region wodny Środkowej Odry</c:v>
              </c:pt>
              <c:pt idx="2">
                <c:v>Region wodny Warty</c:v>
              </c:pt>
              <c:pt idx="3">
                <c:v>Region wodny Noteci</c:v>
              </c:pt>
              <c:pt idx="4">
                <c:v>Region wodny Górnej Odry_x000d_
</c:v>
              </c:pt>
            </c:strLit>
          </c:cat>
          <c:val>
            <c:numRef>
              <c:f>RYZ_Odra!$P$18:$P$22</c:f>
              <c:numCache>
                <c:formatCode>General</c:formatCode>
                <c:ptCount val="5"/>
                <c:pt idx="0">
                  <c:v>75</c:v>
                </c:pt>
                <c:pt idx="1">
                  <c:v>107</c:v>
                </c:pt>
                <c:pt idx="2">
                  <c:v>40</c:v>
                </c:pt>
                <c:pt idx="3">
                  <c:v>30</c:v>
                </c:pt>
                <c:pt idx="4">
                  <c:v>26</c:v>
                </c:pt>
              </c:numCache>
            </c:numRef>
          </c:val>
          <c:extLst>
            <c:ext xmlns:c16="http://schemas.microsoft.com/office/drawing/2014/chart" uri="{C3380CC4-5D6E-409C-BE32-E72D297353CC}">
              <c16:uniqueId val="{00000002-E2E9-4CD6-AB87-36885275BFB4}"/>
            </c:ext>
          </c:extLst>
        </c:ser>
        <c:ser>
          <c:idx val="3"/>
          <c:order val="3"/>
          <c:tx>
            <c:strRef>
              <c:f>RYZ_Odra!$Q$17</c:f>
              <c:strCache>
                <c:ptCount val="1"/>
                <c:pt idx="0">
                  <c:v>ryzyko nieznaczące</c:v>
                </c:pt>
              </c:strCache>
            </c:strRef>
          </c:tx>
          <c:spPr>
            <a:solidFill>
              <a:schemeClr val="accent2">
                <a:lumMod val="40000"/>
                <a:lumOff val="60000"/>
              </a:schemeClr>
            </a:solidFill>
            <a:ln w="1270">
              <a:noFill/>
            </a:ln>
            <a:effectLst>
              <a:outerShdw blurRad="50800" dist="38100" dir="2700000" algn="tl" rotWithShape="0">
                <a:prstClr val="black">
                  <a:alpha val="40000"/>
                </a:prstClr>
              </a:outerShdw>
            </a:effectLst>
          </c:spPr>
          <c:invertIfNegative val="0"/>
          <c:cat>
            <c:strLit>
              <c:ptCount val="5"/>
              <c:pt idx="0">
                <c:v>Region wodny Dolnej Odry i Przymorza Zachodniego</c:v>
              </c:pt>
              <c:pt idx="1">
                <c:v>Region wodny Środkowej Odry</c:v>
              </c:pt>
              <c:pt idx="2">
                <c:v>Region wodny Warty</c:v>
              </c:pt>
              <c:pt idx="3">
                <c:v>Region wodny Noteci</c:v>
              </c:pt>
              <c:pt idx="4">
                <c:v>Region wodny Górnej Odry_x000d_
</c:v>
              </c:pt>
            </c:strLit>
          </c:cat>
          <c:val>
            <c:numRef>
              <c:f>RYZ_Odra!$Q$18:$Q$22</c:f>
              <c:numCache>
                <c:formatCode>General</c:formatCode>
                <c:ptCount val="5"/>
                <c:pt idx="0">
                  <c:v>35</c:v>
                </c:pt>
                <c:pt idx="1">
                  <c:v>24</c:v>
                </c:pt>
                <c:pt idx="2">
                  <c:v>19</c:v>
                </c:pt>
                <c:pt idx="3">
                  <c:v>12</c:v>
                </c:pt>
                <c:pt idx="4">
                  <c:v>6</c:v>
                </c:pt>
              </c:numCache>
            </c:numRef>
          </c:val>
          <c:extLst>
            <c:ext xmlns:c16="http://schemas.microsoft.com/office/drawing/2014/chart" uri="{C3380CC4-5D6E-409C-BE32-E72D297353CC}">
              <c16:uniqueId val="{00000003-E2E9-4CD6-AB87-36885275BFB4}"/>
            </c:ext>
          </c:extLst>
        </c:ser>
        <c:ser>
          <c:idx val="4"/>
          <c:order val="4"/>
          <c:tx>
            <c:strRef>
              <c:f>RYZ_Odra!$R$17</c:f>
              <c:strCache>
                <c:ptCount val="1"/>
                <c:pt idx="0">
                  <c:v>brak ryzyka</c:v>
                </c:pt>
              </c:strCache>
            </c:strRef>
          </c:tx>
          <c:spPr>
            <a:solidFill>
              <a:schemeClr val="bg1">
                <a:lumMod val="75000"/>
              </a:schemeClr>
            </a:solidFill>
            <a:ln w="1270">
              <a:noFill/>
            </a:ln>
            <a:effectLst>
              <a:outerShdw blurRad="50800" dist="38100" dir="2700000" algn="tl" rotWithShape="0">
                <a:prstClr val="black">
                  <a:alpha val="40000"/>
                </a:prstClr>
              </a:outerShdw>
            </a:effectLst>
          </c:spPr>
          <c:invertIfNegative val="0"/>
          <c:cat>
            <c:strLit>
              <c:ptCount val="5"/>
              <c:pt idx="0">
                <c:v>Region wodny Dolnej Odry i Przymorza Zachodniego</c:v>
              </c:pt>
              <c:pt idx="1">
                <c:v>Region wodny Środkowej Odry</c:v>
              </c:pt>
              <c:pt idx="2">
                <c:v>Region wodny Warty</c:v>
              </c:pt>
              <c:pt idx="3">
                <c:v>Region wodny Noteci</c:v>
              </c:pt>
              <c:pt idx="4">
                <c:v>Region wodny Górnej Odry_x000d_
</c:v>
              </c:pt>
            </c:strLit>
          </c:cat>
          <c:val>
            <c:numRef>
              <c:f>RYZ_Odra!$R$18:$R$22</c:f>
              <c:numCache>
                <c:formatCode>General</c:formatCode>
                <c:ptCount val="5"/>
                <c:pt idx="0">
                  <c:v>28</c:v>
                </c:pt>
                <c:pt idx="1">
                  <c:v>22</c:v>
                </c:pt>
                <c:pt idx="2">
                  <c:v>15</c:v>
                </c:pt>
                <c:pt idx="3">
                  <c:v>24</c:v>
                </c:pt>
                <c:pt idx="4">
                  <c:v>10</c:v>
                </c:pt>
              </c:numCache>
            </c:numRef>
          </c:val>
          <c:extLst>
            <c:ext xmlns:c16="http://schemas.microsoft.com/office/drawing/2014/chart" uri="{C3380CC4-5D6E-409C-BE32-E72D297353CC}">
              <c16:uniqueId val="{00000004-E2E9-4CD6-AB87-36885275BFB4}"/>
            </c:ext>
          </c:extLst>
        </c:ser>
        <c:dLbls>
          <c:showLegendKey val="0"/>
          <c:showVal val="0"/>
          <c:showCatName val="0"/>
          <c:showSerName val="0"/>
          <c:showPercent val="0"/>
          <c:showBubbleSize val="0"/>
        </c:dLbls>
        <c:gapWidth val="150"/>
        <c:overlap val="100"/>
        <c:axId val="303466496"/>
        <c:axId val="301665088"/>
      </c:barChart>
      <c:catAx>
        <c:axId val="303466496"/>
        <c:scaling>
          <c:orientation val="minMax"/>
        </c:scaling>
        <c:delete val="0"/>
        <c:axPos val="b"/>
        <c:numFmt formatCode="General" sourceLinked="0"/>
        <c:majorTickMark val="out"/>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01665088"/>
        <c:crosses val="autoZero"/>
        <c:auto val="1"/>
        <c:lblAlgn val="ctr"/>
        <c:lblOffset val="100"/>
        <c:noMultiLvlLbl val="0"/>
      </c:catAx>
      <c:valAx>
        <c:axId val="301665088"/>
        <c:scaling>
          <c:orientation val="minMax"/>
        </c:scaling>
        <c:delete val="0"/>
        <c:axPos val="l"/>
        <c:majorGridlines>
          <c:spPr>
            <a:ln w="9525" cap="flat" cmpd="sng" algn="ctr">
              <a:solidFill>
                <a:schemeClr val="bg1">
                  <a:lumMod val="85000"/>
                </a:schemeClr>
              </a:solidFill>
              <a:prstDash val="solid"/>
              <a:round/>
            </a:ln>
            <a:effectLst/>
          </c:spPr>
        </c:majorGridlines>
        <c:numFmt formatCode="0%" sourceLinked="1"/>
        <c:majorTickMark val="out"/>
        <c:minorTickMark val="none"/>
        <c:tickLblPos val="nextTo"/>
        <c:spPr>
          <a:noFill/>
          <a:ln w="9525" cap="flat" cmpd="sng" algn="ctr">
            <a:solidFill>
              <a:schemeClr val="bg1">
                <a:lumMod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3466496"/>
        <c:crosses val="autoZero"/>
        <c:crossBetween val="between"/>
      </c:valAx>
      <c:spPr>
        <a:solidFill>
          <a:schemeClr val="bg1"/>
        </a:solidFill>
        <a:ln>
          <a:noFill/>
        </a:ln>
        <a:effectLst/>
      </c:spPr>
    </c:plotArea>
    <c:legend>
      <c:legendPos val="r"/>
      <c:layout>
        <c:manualLayout>
          <c:xMode val="edge"/>
          <c:yMode val="edge"/>
          <c:x val="5.9158252958181771E-2"/>
          <c:y val="0.83854493580599143"/>
          <c:w val="0.93863319386331934"/>
          <c:h val="9.587650851497912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bg1">
          <a:lumMod val="85000"/>
        </a:schemeClr>
      </a:solidFill>
      <a:prstDash val="solid"/>
      <a:round/>
    </a:ln>
    <a:effectLst/>
  </c:spPr>
  <c:txPr>
    <a:bodyPr/>
    <a:lstStyle/>
    <a:p>
      <a:pPr>
        <a:defRPr/>
      </a:pPr>
      <a:endParaRPr lang="pl-PL"/>
    </a:p>
  </c:txPr>
  <c:externalData r:id="rId2">
    <c:autoUpdate val="0"/>
  </c:externalData>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97952501270283E-2"/>
          <c:y val="2.7217741935483864E-2"/>
          <c:w val="0.54858150815816553"/>
          <c:h val="0.94052419354838712"/>
        </c:manualLayout>
      </c:layout>
      <c:pieChart>
        <c:varyColors val="1"/>
        <c:ser>
          <c:idx val="0"/>
          <c:order val="0"/>
          <c:spPr>
            <a:ln w="1270">
              <a:solidFill>
                <a:schemeClr val="tx1">
                  <a:lumMod val="75000"/>
                  <a:lumOff val="25000"/>
                </a:schemeClr>
              </a:solidFill>
            </a:ln>
          </c:spPr>
          <c:dPt>
            <c:idx val="0"/>
            <c:bubble3D val="0"/>
            <c:spPr>
              <a:solidFill>
                <a:schemeClr val="accent1"/>
              </a:solidFill>
              <a:ln w="1270">
                <a:noFill/>
              </a:ln>
              <a:effectLst/>
            </c:spPr>
            <c:extLst>
              <c:ext xmlns:c16="http://schemas.microsoft.com/office/drawing/2014/chart" uri="{C3380CC4-5D6E-409C-BE32-E72D297353CC}">
                <c16:uniqueId val="{00000001-791C-47D7-BC73-D9DBBDF992A7}"/>
              </c:ext>
            </c:extLst>
          </c:dPt>
          <c:dPt>
            <c:idx val="1"/>
            <c:bubble3D val="0"/>
            <c:spPr>
              <a:solidFill>
                <a:schemeClr val="accent2"/>
              </a:solidFill>
              <a:ln w="1270">
                <a:noFill/>
              </a:ln>
              <a:effectLst/>
            </c:spPr>
            <c:extLst>
              <c:ext xmlns:c16="http://schemas.microsoft.com/office/drawing/2014/chart" uri="{C3380CC4-5D6E-409C-BE32-E72D297353CC}">
                <c16:uniqueId val="{00000003-791C-47D7-BC73-D9DBBDF992A7}"/>
              </c:ext>
            </c:extLst>
          </c:dPt>
          <c:dLbls>
            <c:spPr>
              <a:solidFill>
                <a:schemeClr val="tx1">
                  <a:alpha val="5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Tabelle1!$B$17:$B$18</c:f>
              <c:strCache>
                <c:ptCount val="2"/>
                <c:pt idx="0">
                  <c:v>Równiny Centralne</c:v>
                </c:pt>
                <c:pt idx="1">
                  <c:v>Wyżyny Centralne</c:v>
                </c:pt>
              </c:strCache>
            </c:strRef>
          </c:cat>
          <c:val>
            <c:numRef>
              <c:f>Tabelle1!$C$17:$C$18</c:f>
              <c:numCache>
                <c:formatCode>General</c:formatCode>
                <c:ptCount val="2"/>
                <c:pt idx="0">
                  <c:v>90</c:v>
                </c:pt>
                <c:pt idx="1">
                  <c:v>10</c:v>
                </c:pt>
              </c:numCache>
            </c:numRef>
          </c:val>
          <c:extLst>
            <c:ext xmlns:c16="http://schemas.microsoft.com/office/drawing/2014/chart" uri="{C3380CC4-5D6E-409C-BE32-E72D297353CC}">
              <c16:uniqueId val="{00000004-791C-47D7-BC73-D9DBBDF992A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6"/>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7"/>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8"/>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9"/>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0"/>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1"/>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2"/>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3"/>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4"/>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5"/>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6"/>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7"/>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8"/>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9"/>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6.9274889685110877E-2"/>
          <c:y val="4.5035027555862084E-2"/>
          <c:w val="0.89008115617346972"/>
          <c:h val="0.65997742602993736"/>
        </c:manualLayout>
      </c:layout>
      <c:barChart>
        <c:barDir val="col"/>
        <c:grouping val="percentStacked"/>
        <c:varyColors val="0"/>
        <c:ser>
          <c:idx val="0"/>
          <c:order val="0"/>
          <c:tx>
            <c:strRef>
              <c:f>RYZ_Odra!$O$50</c:f>
              <c:strCache>
                <c:ptCount val="1"/>
                <c:pt idx="0">
                  <c:v>ryzyko znaczące bardzo silne</c:v>
                </c:pt>
              </c:strCache>
            </c:strRef>
          </c:tx>
          <c:spPr>
            <a:solidFill>
              <a:schemeClr val="accent2">
                <a:lumMod val="50000"/>
              </a:schemeClr>
            </a:solidFill>
            <a:ln w="1270">
              <a:noFill/>
            </a:ln>
            <a:effectLst>
              <a:outerShdw blurRad="50800" dist="38100" dir="2700000" algn="tl" rotWithShape="0">
                <a:prstClr val="black">
                  <a:alpha val="40000"/>
                </a:prstClr>
              </a:outerShdw>
            </a:effectLst>
          </c:spPr>
          <c:invertIfNegative val="0"/>
          <c:cat>
            <c:strRef>
              <c:f>RYZ_Odra!$N$51:$N$55</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RYZ_Odra!$O$51:$O$55</c:f>
              <c:numCache>
                <c:formatCode>General</c:formatCode>
                <c:ptCount val="5"/>
                <c:pt idx="0">
                  <c:v>6</c:v>
                </c:pt>
                <c:pt idx="1">
                  <c:v>34</c:v>
                </c:pt>
                <c:pt idx="2">
                  <c:v>18</c:v>
                </c:pt>
                <c:pt idx="3">
                  <c:v>7</c:v>
                </c:pt>
                <c:pt idx="4">
                  <c:v>17</c:v>
                </c:pt>
              </c:numCache>
            </c:numRef>
          </c:val>
          <c:extLst>
            <c:ext xmlns:c16="http://schemas.microsoft.com/office/drawing/2014/chart" uri="{C3380CC4-5D6E-409C-BE32-E72D297353CC}">
              <c16:uniqueId val="{00000000-0223-4FB5-84FE-AE67F90F792D}"/>
            </c:ext>
          </c:extLst>
        </c:ser>
        <c:ser>
          <c:idx val="1"/>
          <c:order val="1"/>
          <c:tx>
            <c:strRef>
              <c:f>RYZ_Odra!$P$50</c:f>
              <c:strCache>
                <c:ptCount val="1"/>
                <c:pt idx="0">
                  <c:v>ryzyko znaczące silne</c:v>
                </c:pt>
              </c:strCache>
            </c:strRef>
          </c:tx>
          <c:spPr>
            <a:solidFill>
              <a:schemeClr val="accent2">
                <a:lumMod val="75000"/>
              </a:schemeClr>
            </a:solidFill>
            <a:ln w="1270">
              <a:noFill/>
            </a:ln>
            <a:effectLst>
              <a:outerShdw blurRad="50800" dist="38100" dir="2700000" algn="tl" rotWithShape="0">
                <a:prstClr val="black">
                  <a:alpha val="40000"/>
                </a:prstClr>
              </a:outerShdw>
            </a:effectLst>
          </c:spPr>
          <c:invertIfNegative val="0"/>
          <c:cat>
            <c:strRef>
              <c:f>RYZ_Odra!$N$51:$N$55</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RYZ_Odra!$P$51:$P$55</c:f>
              <c:numCache>
                <c:formatCode>General</c:formatCode>
                <c:ptCount val="5"/>
                <c:pt idx="0">
                  <c:v>30</c:v>
                </c:pt>
                <c:pt idx="1">
                  <c:v>76</c:v>
                </c:pt>
                <c:pt idx="2">
                  <c:v>56</c:v>
                </c:pt>
                <c:pt idx="3">
                  <c:v>9</c:v>
                </c:pt>
                <c:pt idx="4">
                  <c:v>26</c:v>
                </c:pt>
              </c:numCache>
            </c:numRef>
          </c:val>
          <c:extLst>
            <c:ext xmlns:c16="http://schemas.microsoft.com/office/drawing/2014/chart" uri="{C3380CC4-5D6E-409C-BE32-E72D297353CC}">
              <c16:uniqueId val="{00000001-0223-4FB5-84FE-AE67F90F792D}"/>
            </c:ext>
          </c:extLst>
        </c:ser>
        <c:ser>
          <c:idx val="2"/>
          <c:order val="2"/>
          <c:tx>
            <c:strRef>
              <c:f>RYZ_Odra!$Q$50</c:f>
              <c:strCache>
                <c:ptCount val="1"/>
                <c:pt idx="0">
                  <c:v>ryzyko znaczące umiarkowane</c:v>
                </c:pt>
              </c:strCache>
            </c:strRef>
          </c:tx>
          <c:spPr>
            <a:solidFill>
              <a:schemeClr val="accent2">
                <a:lumMod val="60000"/>
                <a:lumOff val="40000"/>
              </a:schemeClr>
            </a:solidFill>
            <a:ln w="1270">
              <a:noFill/>
            </a:ln>
            <a:effectLst>
              <a:outerShdw blurRad="50800" dist="38100" dir="2700000" algn="tl" rotWithShape="0">
                <a:prstClr val="black">
                  <a:alpha val="40000"/>
                </a:prstClr>
              </a:outerShdw>
            </a:effectLst>
          </c:spPr>
          <c:invertIfNegative val="0"/>
          <c:cat>
            <c:strRef>
              <c:f>RYZ_Odra!$N$51:$N$55</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RYZ_Odra!$Q$51:$Q$55</c:f>
              <c:numCache>
                <c:formatCode>General</c:formatCode>
                <c:ptCount val="5"/>
                <c:pt idx="0">
                  <c:v>43</c:v>
                </c:pt>
                <c:pt idx="1">
                  <c:v>75</c:v>
                </c:pt>
                <c:pt idx="2">
                  <c:v>83</c:v>
                </c:pt>
                <c:pt idx="3">
                  <c:v>20</c:v>
                </c:pt>
                <c:pt idx="4">
                  <c:v>16</c:v>
                </c:pt>
              </c:numCache>
            </c:numRef>
          </c:val>
          <c:extLst>
            <c:ext xmlns:c16="http://schemas.microsoft.com/office/drawing/2014/chart" uri="{C3380CC4-5D6E-409C-BE32-E72D297353CC}">
              <c16:uniqueId val="{00000002-0223-4FB5-84FE-AE67F90F792D}"/>
            </c:ext>
          </c:extLst>
        </c:ser>
        <c:ser>
          <c:idx val="3"/>
          <c:order val="3"/>
          <c:tx>
            <c:strRef>
              <c:f>RYZ_Odra!$R$50</c:f>
              <c:strCache>
                <c:ptCount val="1"/>
                <c:pt idx="0">
                  <c:v>ryzyko nieznaczące</c:v>
                </c:pt>
              </c:strCache>
            </c:strRef>
          </c:tx>
          <c:spPr>
            <a:solidFill>
              <a:schemeClr val="accent2">
                <a:lumMod val="40000"/>
                <a:lumOff val="60000"/>
              </a:schemeClr>
            </a:solidFill>
            <a:ln w="1270">
              <a:noFill/>
            </a:ln>
            <a:effectLst>
              <a:outerShdw blurRad="50800" dist="38100" dir="2700000" algn="tl" rotWithShape="0">
                <a:prstClr val="black">
                  <a:alpha val="40000"/>
                </a:prstClr>
              </a:outerShdw>
            </a:effectLst>
          </c:spPr>
          <c:invertIfNegative val="0"/>
          <c:cat>
            <c:strRef>
              <c:f>RYZ_Odra!$N$51:$N$55</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RYZ_Odra!$R$51:$R$55</c:f>
              <c:numCache>
                <c:formatCode>General</c:formatCode>
                <c:ptCount val="5"/>
                <c:pt idx="0">
                  <c:v>47</c:v>
                </c:pt>
                <c:pt idx="1">
                  <c:v>99</c:v>
                </c:pt>
                <c:pt idx="2">
                  <c:v>53</c:v>
                </c:pt>
                <c:pt idx="3">
                  <c:v>23</c:v>
                </c:pt>
                <c:pt idx="4">
                  <c:v>27</c:v>
                </c:pt>
              </c:numCache>
            </c:numRef>
          </c:val>
          <c:extLst>
            <c:ext xmlns:c16="http://schemas.microsoft.com/office/drawing/2014/chart" uri="{C3380CC4-5D6E-409C-BE32-E72D297353CC}">
              <c16:uniqueId val="{00000003-0223-4FB5-84FE-AE67F90F792D}"/>
            </c:ext>
          </c:extLst>
        </c:ser>
        <c:ser>
          <c:idx val="4"/>
          <c:order val="4"/>
          <c:tx>
            <c:strRef>
              <c:f>RYZ_Odra!$S$50</c:f>
              <c:strCache>
                <c:ptCount val="1"/>
                <c:pt idx="0">
                  <c:v>brak ryzyka</c:v>
                </c:pt>
              </c:strCache>
            </c:strRef>
          </c:tx>
          <c:spPr>
            <a:solidFill>
              <a:schemeClr val="bg1">
                <a:lumMod val="65000"/>
              </a:schemeClr>
            </a:solidFill>
            <a:ln w="1270">
              <a:noFill/>
            </a:ln>
            <a:effectLst>
              <a:outerShdw blurRad="50800" dist="38100" dir="2700000" algn="tl" rotWithShape="0">
                <a:prstClr val="black">
                  <a:alpha val="40000"/>
                </a:prstClr>
              </a:outerShdw>
            </a:effectLst>
          </c:spPr>
          <c:invertIfNegative val="0"/>
          <c:cat>
            <c:strRef>
              <c:f>RYZ_Odra!$N$51:$N$55</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RYZ_Odra!$S$51:$S$55</c:f>
              <c:numCache>
                <c:formatCode>General</c:formatCode>
                <c:ptCount val="5"/>
                <c:pt idx="0">
                  <c:v>107</c:v>
                </c:pt>
                <c:pt idx="1">
                  <c:v>153</c:v>
                </c:pt>
                <c:pt idx="2">
                  <c:v>65</c:v>
                </c:pt>
                <c:pt idx="3">
                  <c:v>76</c:v>
                </c:pt>
                <c:pt idx="4">
                  <c:v>54</c:v>
                </c:pt>
              </c:numCache>
            </c:numRef>
          </c:val>
          <c:extLst>
            <c:ext xmlns:c16="http://schemas.microsoft.com/office/drawing/2014/chart" uri="{C3380CC4-5D6E-409C-BE32-E72D297353CC}">
              <c16:uniqueId val="{00000004-0223-4FB5-84FE-AE67F90F792D}"/>
            </c:ext>
          </c:extLst>
        </c:ser>
        <c:ser>
          <c:idx val="5"/>
          <c:order val="5"/>
          <c:tx>
            <c:strRef>
              <c:f>RYZ_Odra!$T$50</c:f>
              <c:strCache>
                <c:ptCount val="1"/>
                <c:pt idx="0">
                  <c:v>brak możliwości oceny ryzyka</c:v>
                </c:pt>
              </c:strCache>
            </c:strRef>
          </c:tx>
          <c:spPr>
            <a:solidFill>
              <a:schemeClr val="bg1">
                <a:lumMod val="85000"/>
              </a:schemeClr>
            </a:solidFill>
            <a:effectLst>
              <a:outerShdw blurRad="50800" dist="50800" dir="2700000" algn="ctr" rotWithShape="0">
                <a:schemeClr val="tx1">
                  <a:alpha val="40000"/>
                </a:schemeClr>
              </a:outerShdw>
            </a:effectLst>
          </c:spPr>
          <c:invertIfNegative val="0"/>
          <c:cat>
            <c:strRef>
              <c:f>RYZ_Odra!$N$51:$N$55</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RYZ_Odra!$T$51:$T$55</c:f>
              <c:numCache>
                <c:formatCode>General</c:formatCode>
                <c:ptCount val="5"/>
                <c:pt idx="0">
                  <c:v>37</c:v>
                </c:pt>
                <c:pt idx="1">
                  <c:v>9</c:v>
                </c:pt>
                <c:pt idx="2">
                  <c:v>4</c:v>
                </c:pt>
                <c:pt idx="4">
                  <c:v>2</c:v>
                </c:pt>
              </c:numCache>
            </c:numRef>
          </c:val>
          <c:extLst>
            <c:ext xmlns:c16="http://schemas.microsoft.com/office/drawing/2014/chart" uri="{C3380CC4-5D6E-409C-BE32-E72D297353CC}">
              <c16:uniqueId val="{00000005-0223-4FB5-84FE-AE67F90F792D}"/>
            </c:ext>
          </c:extLst>
        </c:ser>
        <c:dLbls>
          <c:showLegendKey val="0"/>
          <c:showVal val="0"/>
          <c:showCatName val="0"/>
          <c:showSerName val="0"/>
          <c:showPercent val="0"/>
          <c:showBubbleSize val="0"/>
        </c:dLbls>
        <c:gapWidth val="150"/>
        <c:overlap val="100"/>
        <c:axId val="303466496"/>
        <c:axId val="301665088"/>
      </c:barChart>
      <c:catAx>
        <c:axId val="303466496"/>
        <c:scaling>
          <c:orientation val="minMax"/>
        </c:scaling>
        <c:delete val="0"/>
        <c:axPos val="b"/>
        <c:numFmt formatCode="General" sourceLinked="0"/>
        <c:majorTickMark val="out"/>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01665088"/>
        <c:crosses val="autoZero"/>
        <c:auto val="1"/>
        <c:lblAlgn val="ctr"/>
        <c:lblOffset val="100"/>
        <c:noMultiLvlLbl val="0"/>
      </c:catAx>
      <c:valAx>
        <c:axId val="301665088"/>
        <c:scaling>
          <c:orientation val="minMax"/>
        </c:scaling>
        <c:delete val="0"/>
        <c:axPos val="l"/>
        <c:majorGridlines>
          <c:spPr>
            <a:ln w="9525" cap="flat" cmpd="sng" algn="ctr">
              <a:solidFill>
                <a:schemeClr val="bg1">
                  <a:lumMod val="85000"/>
                </a:schemeClr>
              </a:solidFill>
              <a:prstDash val="solid"/>
              <a:round/>
            </a:ln>
            <a:effectLst/>
          </c:spPr>
        </c:majorGridlines>
        <c:numFmt formatCode="0%" sourceLinked="1"/>
        <c:majorTickMark val="out"/>
        <c:minorTickMark val="none"/>
        <c:tickLblPos val="nextTo"/>
        <c:spPr>
          <a:noFill/>
          <a:ln w="9525" cap="flat" cmpd="sng" algn="ctr">
            <a:solidFill>
              <a:schemeClr val="bg1">
                <a:lumMod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3466496"/>
        <c:crosses val="autoZero"/>
        <c:crossBetween val="between"/>
      </c:valAx>
      <c:spPr>
        <a:solidFill>
          <a:schemeClr val="bg1"/>
        </a:solidFill>
        <a:ln>
          <a:noFill/>
        </a:ln>
        <a:effectLst/>
      </c:spPr>
    </c:plotArea>
    <c:legend>
      <c:legendPos val="r"/>
      <c:layout>
        <c:manualLayout>
          <c:xMode val="edge"/>
          <c:yMode val="edge"/>
          <c:x val="5.9158252958181771E-2"/>
          <c:y val="0.83854493580599143"/>
          <c:w val="0.91350612423447064"/>
          <c:h val="0.1614550524934383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bg1">
          <a:lumMod val="85000"/>
        </a:schemeClr>
      </a:solidFill>
      <a:prstDash val="solid"/>
      <a:round/>
    </a:ln>
    <a:effectLst/>
  </c:spPr>
  <c:txPr>
    <a:bodyPr/>
    <a:lstStyle/>
    <a:p>
      <a:pPr>
        <a:defRPr/>
      </a:pPr>
      <a:endParaRPr lang="pl-PL"/>
    </a:p>
  </c:txPr>
  <c:externalData r:id="rId2">
    <c:autoUpdate val="0"/>
  </c:externalData>
  <c:extLst/>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8363148154867736E-2"/>
          <c:y val="5.5341689048045359E-2"/>
          <c:w val="0.94956750797855338"/>
          <c:h val="0.63401049312691837"/>
        </c:manualLayout>
      </c:layout>
      <c:barChart>
        <c:barDir val="col"/>
        <c:grouping val="percentStacked"/>
        <c:varyColors val="0"/>
        <c:ser>
          <c:idx val="0"/>
          <c:order val="0"/>
          <c:tx>
            <c:strRef>
              <c:f>[dorzecza_zrodla_presji_FIZ_rodz_7_typy_wod_osobno.xlsx]ODRA!$I$34</c:f>
              <c:strCache>
                <c:ptCount val="1"/>
                <c:pt idx="0">
                  <c:v>dopływ z innego jcwp</c:v>
                </c:pt>
              </c:strCache>
            </c:strRef>
          </c:tx>
          <c:spPr>
            <a:solidFill>
              <a:schemeClr val="accent1"/>
            </a:solidFill>
            <a:ln w="1270">
              <a:noFill/>
            </a:ln>
            <a:effectLst/>
          </c:spPr>
          <c:invertIfNegative val="0"/>
          <c:cat>
            <c:strRef>
              <c:f>[dorzecza_zrodla_presji_FIZ_rodz_7_typy_wod_osobno.xlsx]ODRA!$A$35:$B$39</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[dorzecza_zrodla_presji_FIZ_rodz_7_typy_wod_osobno.xlsx]ODRA!$I$35:$I$39</c:f>
              <c:numCache>
                <c:formatCode>General</c:formatCode>
                <c:ptCount val="5"/>
                <c:pt idx="0">
                  <c:v>14</c:v>
                </c:pt>
                <c:pt idx="1">
                  <c:v>39</c:v>
                </c:pt>
                <c:pt idx="2">
                  <c:v>50</c:v>
                </c:pt>
                <c:pt idx="3">
                  <c:v>5</c:v>
                </c:pt>
                <c:pt idx="4">
                  <c:v>17</c:v>
                </c:pt>
              </c:numCache>
            </c:numRef>
          </c:val>
          <c:extLst>
            <c:ext xmlns:c16="http://schemas.microsoft.com/office/drawing/2014/chart" uri="{C3380CC4-5D6E-409C-BE32-E72D297353CC}">
              <c16:uniqueId val="{00000000-D470-469F-8C56-D34EDFC41DEF}"/>
            </c:ext>
          </c:extLst>
        </c:ser>
        <c:ser>
          <c:idx val="1"/>
          <c:order val="1"/>
          <c:tx>
            <c:strRef>
              <c:f>[dorzecza_zrodla_presji_FIZ_rodz_7_typy_wod_osobno.xlsx]ODRA!$C$34</c:f>
              <c:strCache>
                <c:ptCount val="1"/>
                <c:pt idx="0">
                  <c:v>odpływ miejski</c:v>
                </c:pt>
              </c:strCache>
            </c:strRef>
          </c:tx>
          <c:spPr>
            <a:solidFill>
              <a:schemeClr val="accent3">
                <a:lumMod val="75000"/>
              </a:schemeClr>
            </a:solidFill>
            <a:ln w="1270">
              <a:noFill/>
            </a:ln>
            <a:effectLst/>
          </c:spPr>
          <c:invertIfNegative val="0"/>
          <c:cat>
            <c:strRef>
              <c:f>[dorzecza_zrodla_presji_FIZ_rodz_7_typy_wod_osobno.xlsx]ODRA!$A$35:$B$39</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[dorzecza_zrodla_presji_FIZ_rodz_7_typy_wod_osobno.xlsx]ODRA!$C$35:$C$39</c:f>
              <c:numCache>
                <c:formatCode>General</c:formatCode>
                <c:ptCount val="5"/>
                <c:pt idx="0">
                  <c:v>61</c:v>
                </c:pt>
                <c:pt idx="1">
                  <c:v>149</c:v>
                </c:pt>
                <c:pt idx="2">
                  <c:v>132</c:v>
                </c:pt>
                <c:pt idx="3">
                  <c:v>28</c:v>
                </c:pt>
                <c:pt idx="4">
                  <c:v>18</c:v>
                </c:pt>
              </c:numCache>
            </c:numRef>
          </c:val>
          <c:extLst>
            <c:ext xmlns:c16="http://schemas.microsoft.com/office/drawing/2014/chart" uri="{C3380CC4-5D6E-409C-BE32-E72D297353CC}">
              <c16:uniqueId val="{00000001-D470-469F-8C56-D34EDFC41DEF}"/>
            </c:ext>
          </c:extLst>
        </c:ser>
        <c:ser>
          <c:idx val="2"/>
          <c:order val="2"/>
          <c:tx>
            <c:strRef>
              <c:f>[dorzecza_zrodla_presji_FIZ_rodz_7_typy_wod_osobno.xlsx]ODRA!$G$34</c:f>
              <c:strCache>
                <c:ptCount val="1"/>
                <c:pt idx="0">
                  <c:v>presja skumulowana - dopływ z innego jcwp oraz źródła presji w jcwp</c:v>
                </c:pt>
              </c:strCache>
            </c:strRef>
          </c:tx>
          <c:spPr>
            <a:solidFill>
              <a:schemeClr val="bg2">
                <a:lumMod val="25000"/>
              </a:schemeClr>
            </a:solidFill>
            <a:ln w="1270">
              <a:noFill/>
            </a:ln>
            <a:effectLst/>
          </c:spPr>
          <c:invertIfNegative val="0"/>
          <c:cat>
            <c:strRef>
              <c:f>[dorzecza_zrodla_presji_FIZ_rodz_7_typy_wod_osobno.xlsx]ODRA!$A$35:$B$39</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[dorzecza_zrodla_presji_FIZ_rodz_7_typy_wod_osobno.xlsx]ODRA!$G$35:$G$39</c:f>
              <c:numCache>
                <c:formatCode>General</c:formatCode>
                <c:ptCount val="5"/>
                <c:pt idx="0">
                  <c:v>1</c:v>
                </c:pt>
                <c:pt idx="1">
                  <c:v>4</c:v>
                </c:pt>
                <c:pt idx="2">
                  <c:v>4</c:v>
                </c:pt>
                <c:pt idx="3">
                  <c:v>1</c:v>
                </c:pt>
                <c:pt idx="4">
                  <c:v>1</c:v>
                </c:pt>
              </c:numCache>
            </c:numRef>
          </c:val>
          <c:extLst>
            <c:ext xmlns:c16="http://schemas.microsoft.com/office/drawing/2014/chart" uri="{C3380CC4-5D6E-409C-BE32-E72D297353CC}">
              <c16:uniqueId val="{00000002-D470-469F-8C56-D34EDFC41DEF}"/>
            </c:ext>
          </c:extLst>
        </c:ser>
        <c:ser>
          <c:idx val="3"/>
          <c:order val="3"/>
          <c:tx>
            <c:strRef>
              <c:f>[dorzecza_zrodla_presji_FIZ_rodz_7_typy_wod_osobno.xlsx]ODRA!$H$34</c:f>
              <c:strCache>
                <c:ptCount val="1"/>
                <c:pt idx="0">
                  <c:v>presja skumulowana w jcwp - zrzuty ścieków i źródła obszarowe</c:v>
                </c:pt>
              </c:strCache>
            </c:strRef>
          </c:tx>
          <c:spPr>
            <a:solidFill>
              <a:srgbClr val="FFCC00"/>
            </a:solidFill>
            <a:ln w="1270">
              <a:noFill/>
            </a:ln>
            <a:effectLst/>
          </c:spPr>
          <c:invertIfNegative val="0"/>
          <c:cat>
            <c:strRef>
              <c:f>[dorzecza_zrodla_presji_FIZ_rodz_7_typy_wod_osobno.xlsx]ODRA!$A$35:$B$39</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[dorzecza_zrodla_presji_FIZ_rodz_7_typy_wod_osobno.xlsx]ODRA!$H$35:$H$39</c:f>
              <c:numCache>
                <c:formatCode>General</c:formatCode>
                <c:ptCount val="5"/>
                <c:pt idx="0">
                  <c:v>8</c:v>
                </c:pt>
                <c:pt idx="1">
                  <c:v>14</c:v>
                </c:pt>
                <c:pt idx="2">
                  <c:v>15</c:v>
                </c:pt>
                <c:pt idx="3">
                  <c:v>5</c:v>
                </c:pt>
                <c:pt idx="4">
                  <c:v>2</c:v>
                </c:pt>
              </c:numCache>
            </c:numRef>
          </c:val>
          <c:extLst>
            <c:ext xmlns:c16="http://schemas.microsoft.com/office/drawing/2014/chart" uri="{C3380CC4-5D6E-409C-BE32-E72D297353CC}">
              <c16:uniqueId val="{00000003-D470-469F-8C56-D34EDFC41DEF}"/>
            </c:ext>
          </c:extLst>
        </c:ser>
        <c:ser>
          <c:idx val="5"/>
          <c:order val="5"/>
          <c:tx>
            <c:strRef>
              <c:f>[dorzecza_zrodla_presji_FIZ_rodz_7_typy_wod_osobno.xlsx]ODRA!$D$34</c:f>
              <c:strCache>
                <c:ptCount val="1"/>
                <c:pt idx="0">
                  <c:v>rolnictwo i depozycja</c:v>
                </c:pt>
              </c:strCache>
            </c:strRef>
          </c:tx>
          <c:spPr>
            <a:solidFill>
              <a:srgbClr val="948A54"/>
            </a:solidFill>
            <a:ln w="1270">
              <a:noFill/>
            </a:ln>
            <a:effectLst/>
          </c:spPr>
          <c:invertIfNegative val="0"/>
          <c:cat>
            <c:strRef>
              <c:f>[dorzecza_zrodla_presji_FIZ_rodz_7_typy_wod_osobno.xlsx]ODRA!$A$35:$B$39</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[dorzecza_zrodla_presji_FIZ_rodz_7_typy_wod_osobno.xlsx]ODRA!$D$35:$D$39</c:f>
              <c:numCache>
                <c:formatCode>General</c:formatCode>
                <c:ptCount val="5"/>
                <c:pt idx="0">
                  <c:v>25</c:v>
                </c:pt>
                <c:pt idx="1">
                  <c:v>102</c:v>
                </c:pt>
                <c:pt idx="2">
                  <c:v>70</c:v>
                </c:pt>
                <c:pt idx="3">
                  <c:v>30</c:v>
                </c:pt>
                <c:pt idx="4">
                  <c:v>52</c:v>
                </c:pt>
              </c:numCache>
            </c:numRef>
          </c:val>
          <c:extLst>
            <c:ext xmlns:c16="http://schemas.microsoft.com/office/drawing/2014/chart" uri="{C3380CC4-5D6E-409C-BE32-E72D297353CC}">
              <c16:uniqueId val="{00000004-D470-469F-8C56-D34EDFC41DEF}"/>
            </c:ext>
          </c:extLst>
        </c:ser>
        <c:ser>
          <c:idx val="6"/>
          <c:order val="6"/>
          <c:tx>
            <c:strRef>
              <c:f>[dorzecza_zrodla_presji_FIZ_rodz_7_typy_wod_osobno.xlsx]ODRA!$E$34</c:f>
              <c:strCache>
                <c:ptCount val="1"/>
                <c:pt idx="0">
                  <c:v>rolnictwo i depozycja oraz odpływ miejski</c:v>
                </c:pt>
              </c:strCache>
            </c:strRef>
          </c:tx>
          <c:spPr>
            <a:solidFill>
              <a:srgbClr val="31859C"/>
            </a:solidFill>
            <a:ln w="1270">
              <a:noFill/>
            </a:ln>
            <a:effectLst/>
          </c:spPr>
          <c:invertIfNegative val="0"/>
          <c:cat>
            <c:strRef>
              <c:f>[dorzecza_zrodla_presji_FIZ_rodz_7_typy_wod_osobno.xlsx]ODRA!$A$35:$B$39</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[dorzecza_zrodla_presji_FIZ_rodz_7_typy_wod_osobno.xlsx]ODRA!$E$35:$E$39</c:f>
              <c:numCache>
                <c:formatCode>General</c:formatCode>
                <c:ptCount val="5"/>
                <c:pt idx="0">
                  <c:v>12</c:v>
                </c:pt>
                <c:pt idx="1">
                  <c:v>34</c:v>
                </c:pt>
                <c:pt idx="2">
                  <c:v>33</c:v>
                </c:pt>
                <c:pt idx="3">
                  <c:v>5</c:v>
                </c:pt>
                <c:pt idx="4">
                  <c:v>9</c:v>
                </c:pt>
              </c:numCache>
            </c:numRef>
          </c:val>
          <c:extLst>
            <c:ext xmlns:c16="http://schemas.microsoft.com/office/drawing/2014/chart" uri="{C3380CC4-5D6E-409C-BE32-E72D297353CC}">
              <c16:uniqueId val="{00000005-D470-469F-8C56-D34EDFC41DEF}"/>
            </c:ext>
          </c:extLst>
        </c:ser>
        <c:ser>
          <c:idx val="7"/>
          <c:order val="7"/>
          <c:tx>
            <c:strRef>
              <c:f>[dorzecza_zrodla_presji_FIZ_rodz_7_typy_wod_osobno.xlsx]ODRA!$F$34</c:f>
              <c:strCache>
                <c:ptCount val="1"/>
                <c:pt idx="0">
                  <c:v>zrzuty ścieków przemysłowych i komunalnych</c:v>
                </c:pt>
              </c:strCache>
            </c:strRef>
          </c:tx>
          <c:spPr>
            <a:solidFill>
              <a:srgbClr val="00B0F0"/>
            </a:solidFill>
            <a:ln w="1270">
              <a:noFill/>
            </a:ln>
            <a:effectLst/>
          </c:spPr>
          <c:invertIfNegative val="0"/>
          <c:cat>
            <c:strRef>
              <c:f>[dorzecza_zrodla_presji_FIZ_rodz_7_typy_wod_osobno.xlsx]ODRA!$A$35:$B$39</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[dorzecza_zrodla_presji_FIZ_rodz_7_typy_wod_osobno.xlsx]ODRA!$F$35:$F$39</c:f>
              <c:numCache>
                <c:formatCode>General</c:formatCode>
                <c:ptCount val="5"/>
                <c:pt idx="0">
                  <c:v>5</c:v>
                </c:pt>
                <c:pt idx="1">
                  <c:v>12</c:v>
                </c:pt>
                <c:pt idx="2">
                  <c:v>13</c:v>
                </c:pt>
              </c:numCache>
            </c:numRef>
          </c:val>
          <c:extLst>
            <c:ext xmlns:c16="http://schemas.microsoft.com/office/drawing/2014/chart" uri="{C3380CC4-5D6E-409C-BE32-E72D297353CC}">
              <c16:uniqueId val="{00000006-D470-469F-8C56-D34EDFC41DEF}"/>
            </c:ext>
          </c:extLst>
        </c:ser>
        <c:dLbls>
          <c:showLegendKey val="0"/>
          <c:showVal val="0"/>
          <c:showCatName val="0"/>
          <c:showSerName val="0"/>
          <c:showPercent val="0"/>
          <c:showBubbleSize val="0"/>
        </c:dLbls>
        <c:gapWidth val="150"/>
        <c:overlap val="100"/>
        <c:axId val="320798720"/>
        <c:axId val="301668544"/>
        <c:extLst>
          <c:ext xmlns:c15="http://schemas.microsoft.com/office/drawing/2012/chart" uri="{02D57815-91ED-43cb-92C2-25804820EDAC}">
            <c15:filteredBarSeries>
              <c15:ser>
                <c:idx val="4"/>
                <c:order val="4"/>
                <c:tx>
                  <c:strRef>
                    <c:extLst>
                      <c:ext uri="{02D57815-91ED-43cb-92C2-25804820EDAC}">
                        <c15:formulaRef>
                          <c15:sqref>'ODRA-1'!#REF!</c15:sqref>
                        </c15:formulaRef>
                      </c:ext>
                    </c:extLst>
                    <c:strCache>
                      <c:ptCount val="1"/>
                      <c:pt idx="0">
                        <c:v>#REF!</c:v>
                      </c:pt>
                    </c:strCache>
                  </c:strRef>
                </c:tx>
                <c:spPr>
                  <a:solidFill>
                    <a:schemeClr val="accent5"/>
                  </a:solidFill>
                  <a:ln>
                    <a:noFill/>
                  </a:ln>
                  <a:effectLst/>
                </c:spPr>
                <c:invertIfNegative val="0"/>
                <c:cat>
                  <c:strRef>
                    <c:extLst>
                      <c:ext uri="{02D57815-91ED-43cb-92C2-25804820EDAC}">
                        <c15:formulaRef>
                          <c15:sqref>[dorzecza_zrodla_presji_FIZ_rodz_7_typy_wod_osobno.xlsx]ODRA!$A$35:$B$39</c15:sqref>
                        </c15:formulaRef>
                      </c:ext>
                    </c:extLst>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extLst>
                      <c:ext uri="{02D57815-91ED-43cb-92C2-25804820EDAC}">
                        <c15:formulaRef>
                          <c15:sqref>'ODRA-1'!#REF!</c15:sqref>
                        </c15:formulaRef>
                      </c:ext>
                    </c:extLst>
                    <c:numCache>
                      <c:formatCode>General</c:formatCode>
                      <c:ptCount val="1"/>
                      <c:pt idx="0">
                        <c:v>1</c:v>
                      </c:pt>
                    </c:numCache>
                  </c:numRef>
                </c:val>
                <c:extLst>
                  <c:ext xmlns:c16="http://schemas.microsoft.com/office/drawing/2014/chart" uri="{C3380CC4-5D6E-409C-BE32-E72D297353CC}">
                    <c16:uniqueId val="{00000007-D470-469F-8C56-D34EDFC41DEF}"/>
                  </c:ext>
                </c:extLst>
              </c15:ser>
            </c15:filteredBarSeries>
          </c:ext>
        </c:extLst>
      </c:barChart>
      <c:catAx>
        <c:axId val="32079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01668544"/>
        <c:crosses val="autoZero"/>
        <c:auto val="1"/>
        <c:lblAlgn val="ctr"/>
        <c:lblOffset val="100"/>
        <c:noMultiLvlLbl val="0"/>
      </c:catAx>
      <c:valAx>
        <c:axId val="301668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20798720"/>
        <c:crosses val="autoZero"/>
        <c:crossBetween val="between"/>
        <c:majorUnit val="0.1"/>
      </c:valAx>
      <c:spPr>
        <a:noFill/>
        <a:ln>
          <a:noFill/>
        </a:ln>
        <a:effectLst/>
      </c:spPr>
    </c:plotArea>
    <c:legend>
      <c:legendPos val="b"/>
      <c:layout>
        <c:manualLayout>
          <c:xMode val="edge"/>
          <c:yMode val="edge"/>
          <c:x val="0"/>
          <c:y val="0.77775394618447047"/>
          <c:w val="0.74223154622049026"/>
          <c:h val="0.199567513012144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8959352115382"/>
          <c:y val="2.1948818897637796E-2"/>
          <c:w val="0.55597611521549661"/>
          <c:h val="0.95320199390398785"/>
        </c:manualLayout>
      </c:layout>
      <c:doughnutChart>
        <c:varyColors val="1"/>
        <c:ser>
          <c:idx val="0"/>
          <c:order val="0"/>
          <c:spPr>
            <a:ln w="1270">
              <a:noFill/>
            </a:ln>
          </c:spPr>
          <c:dPt>
            <c:idx val="0"/>
            <c:bubble3D val="0"/>
            <c:spPr>
              <a:solidFill>
                <a:schemeClr val="accent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16F-4FDB-AE79-2AA4878304EC}"/>
              </c:ext>
            </c:extLst>
          </c:dPt>
          <c:dPt>
            <c:idx val="1"/>
            <c:bubble3D val="0"/>
            <c:spPr>
              <a:solidFill>
                <a:schemeClr val="accent2"/>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16F-4FDB-AE79-2AA4878304EC}"/>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RW!$Q$2:$R$2</c:f>
              <c:strCache>
                <c:ptCount val="2"/>
                <c:pt idx="0">
                  <c:v>jcwp niezagrożone nieosiągnięciem celów środowiskowych</c:v>
                </c:pt>
                <c:pt idx="1">
                  <c:v>jcwp zagrożone nieosiągnięciem celów środowiskowych</c:v>
                </c:pt>
              </c:strCache>
            </c:strRef>
          </c:cat>
          <c:val>
            <c:numRef>
              <c:f>RW!$Q$15:$R$15</c:f>
              <c:numCache>
                <c:formatCode>0%</c:formatCode>
                <c:ptCount val="2"/>
                <c:pt idx="0">
                  <c:v>4.7955974842767257E-2</c:v>
                </c:pt>
                <c:pt idx="1">
                  <c:v>0.95204402515723274</c:v>
                </c:pt>
              </c:numCache>
            </c:numRef>
          </c:val>
          <c:extLst>
            <c:ext xmlns:c16="http://schemas.microsoft.com/office/drawing/2014/chart" uri="{C3380CC4-5D6E-409C-BE32-E72D297353CC}">
              <c16:uniqueId val="{00000004-A16F-4FDB-AE79-2AA4878304E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Arkusz2!$B$19</c:f>
              <c:strCache>
                <c:ptCount val="1"/>
                <c:pt idx="0">
                  <c:v>Udział jcwp zagrożonych nieosiągnięciem celów środowiskowych w ogólnej liczbie jcwp RW danego regionu wodnego</c:v>
                </c:pt>
              </c:strCache>
            </c:strRef>
          </c:tx>
          <c:spPr>
            <a:solidFill>
              <a:srgbClr val="C00000"/>
            </a:solidFill>
          </c:spPr>
          <c:invertIfNegative val="0"/>
          <c:dLbls>
            <c:spPr>
              <a:solidFill>
                <a:schemeClr val="tx1"/>
              </a:solidFill>
              <a:ln>
                <a:noFill/>
              </a:ln>
              <a:effectLst/>
            </c:spPr>
            <c:txPr>
              <a:bodyPr wrap="square" lIns="38100" tIns="19050" rIns="38100" bIns="19050" anchor="ctr">
                <a:spAutoFit/>
              </a:bodyPr>
              <a:lstStyle/>
              <a:p>
                <a:pPr>
                  <a:defRPr b="1">
                    <a:solidFill>
                      <a:schemeClr val="bg1"/>
                    </a:solidFill>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Arkusz2!$A$20:$A$24</c:f>
              <c:strCache>
                <c:ptCount val="5"/>
                <c:pt idx="0">
                  <c:v>Region wodny Dolnej Odry i Przymorza Zachodniego</c:v>
                </c:pt>
                <c:pt idx="1">
                  <c:v>Region wodny Górnej Odry</c:v>
                </c:pt>
                <c:pt idx="2">
                  <c:v>Region wodny Noteci</c:v>
                </c:pt>
                <c:pt idx="3">
                  <c:v>Region wodny Środkowej Odry</c:v>
                </c:pt>
                <c:pt idx="4">
                  <c:v>Region wodny Warty</c:v>
                </c:pt>
              </c:strCache>
            </c:strRef>
          </c:cat>
          <c:val>
            <c:numRef>
              <c:f>Arkusz2!$B$20:$B$24</c:f>
              <c:numCache>
                <c:formatCode>0%</c:formatCode>
                <c:ptCount val="5"/>
                <c:pt idx="0">
                  <c:v>0.91481481481481486</c:v>
                </c:pt>
                <c:pt idx="1">
                  <c:v>0.94</c:v>
                </c:pt>
                <c:pt idx="2">
                  <c:v>0.9</c:v>
                </c:pt>
                <c:pt idx="3">
                  <c:v>0.97</c:v>
                </c:pt>
                <c:pt idx="4">
                  <c:v>0.97</c:v>
                </c:pt>
              </c:numCache>
            </c:numRef>
          </c:val>
          <c:extLst>
            <c:ext xmlns:c16="http://schemas.microsoft.com/office/drawing/2014/chart" uri="{C3380CC4-5D6E-409C-BE32-E72D297353CC}">
              <c16:uniqueId val="{00000000-763A-4110-AB0E-DDB9077782FC}"/>
            </c:ext>
          </c:extLst>
        </c:ser>
        <c:dLbls>
          <c:showLegendKey val="0"/>
          <c:showVal val="0"/>
          <c:showCatName val="0"/>
          <c:showSerName val="0"/>
          <c:showPercent val="0"/>
          <c:showBubbleSize val="0"/>
        </c:dLbls>
        <c:gapWidth val="80"/>
        <c:overlap val="25"/>
        <c:axId val="321037312"/>
        <c:axId val="309601408"/>
      </c:barChart>
      <c:catAx>
        <c:axId val="32103731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pl-PL"/>
          </a:p>
        </c:txPr>
        <c:crossAx val="309601408"/>
        <c:crosses val="autoZero"/>
        <c:auto val="1"/>
        <c:lblAlgn val="ctr"/>
        <c:lblOffset val="100"/>
        <c:noMultiLvlLbl val="0"/>
      </c:catAx>
      <c:valAx>
        <c:axId val="309601408"/>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pl-PL"/>
          </a:p>
        </c:txPr>
        <c:crossAx val="321037312"/>
        <c:crosses val="autoZero"/>
        <c:crossBetween val="between"/>
      </c:valAx>
      <c:spPr>
        <a:noFill/>
        <a:ln>
          <a:noFill/>
        </a:ln>
        <a:effectLst/>
      </c:spPr>
    </c:plotArea>
    <c:legend>
      <c:legendPos val="b"/>
      <c:layout>
        <c:manualLayout>
          <c:xMode val="edge"/>
          <c:yMode val="edge"/>
          <c:x val="0"/>
          <c:y val="0.9430080831224531"/>
          <c:w val="0.99922805128961967"/>
          <c:h val="5.699191687754692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Arkusz1!$B$229</c:f>
              <c:strCache>
                <c:ptCount val="1"/>
                <c:pt idx="0">
                  <c:v>BIO_HM – presja na elementy biologiczne zależne od hydromorfologii</c:v>
                </c:pt>
              </c:strCache>
            </c:strRef>
          </c:tx>
          <c:spPr>
            <a:solidFill>
              <a:schemeClr val="accent1"/>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Arkusz1!$C$229</c:f>
              <c:numCache>
                <c:formatCode>0%</c:formatCode>
                <c:ptCount val="1"/>
                <c:pt idx="0">
                  <c:v>0.21</c:v>
                </c:pt>
              </c:numCache>
            </c:numRef>
          </c:val>
          <c:extLst>
            <c:ext xmlns:c16="http://schemas.microsoft.com/office/drawing/2014/chart" uri="{C3380CC4-5D6E-409C-BE32-E72D297353CC}">
              <c16:uniqueId val="{00000000-C2D6-4FA7-82E8-7626EED12BDC}"/>
            </c:ext>
          </c:extLst>
        </c:ser>
        <c:ser>
          <c:idx val="1"/>
          <c:order val="1"/>
          <c:tx>
            <c:strRef>
              <c:f>Arkusz1!$B$230</c:f>
              <c:strCache>
                <c:ptCount val="1"/>
                <c:pt idx="0">
                  <c:v>BIO_FIZ – presja na elementy biologiczne zależne od fizykochemii</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Arkusz1!$C$230</c:f>
              <c:numCache>
                <c:formatCode>0%</c:formatCode>
                <c:ptCount val="1"/>
                <c:pt idx="0">
                  <c:v>0.63</c:v>
                </c:pt>
              </c:numCache>
            </c:numRef>
          </c:val>
          <c:extLst>
            <c:ext xmlns:c16="http://schemas.microsoft.com/office/drawing/2014/chart" uri="{C3380CC4-5D6E-409C-BE32-E72D297353CC}">
              <c16:uniqueId val="{00000001-C2D6-4FA7-82E8-7626EED12BDC}"/>
            </c:ext>
          </c:extLst>
        </c:ser>
        <c:ser>
          <c:idx val="2"/>
          <c:order val="2"/>
          <c:tx>
            <c:strRef>
              <c:f>Arkusz1!$B$231</c:f>
              <c:strCache>
                <c:ptCount val="1"/>
                <c:pt idx="0">
                  <c:v>FIZ – presja na elementy fizykochemiczne</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Arkusz1!$C$231</c:f>
              <c:numCache>
                <c:formatCode>0%</c:formatCode>
                <c:ptCount val="1"/>
                <c:pt idx="0">
                  <c:v>0.47</c:v>
                </c:pt>
              </c:numCache>
            </c:numRef>
          </c:val>
          <c:extLst>
            <c:ext xmlns:c16="http://schemas.microsoft.com/office/drawing/2014/chart" uri="{C3380CC4-5D6E-409C-BE32-E72D297353CC}">
              <c16:uniqueId val="{00000002-C2D6-4FA7-82E8-7626EED12BDC}"/>
            </c:ext>
          </c:extLst>
        </c:ser>
        <c:ser>
          <c:idx val="3"/>
          <c:order val="3"/>
          <c:tx>
            <c:strRef>
              <c:f>Arkusz1!$B$232</c:f>
              <c:strCache>
                <c:ptCount val="1"/>
                <c:pt idx="0">
                  <c:v>CHEM – presja na cechy chemiczne (woda, substancje dozwolone</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Arkusz1!$C$232</c:f>
              <c:numCache>
                <c:formatCode>0%</c:formatCode>
                <c:ptCount val="1"/>
                <c:pt idx="0">
                  <c:v>0.74</c:v>
                </c:pt>
              </c:numCache>
            </c:numRef>
          </c:val>
          <c:extLst>
            <c:ext xmlns:c16="http://schemas.microsoft.com/office/drawing/2014/chart" uri="{C3380CC4-5D6E-409C-BE32-E72D297353CC}">
              <c16:uniqueId val="{00000003-C2D6-4FA7-82E8-7626EED12BDC}"/>
            </c:ext>
          </c:extLst>
        </c:ser>
        <c:ser>
          <c:idx val="4"/>
          <c:order val="4"/>
          <c:tx>
            <c:strRef>
              <c:f>Arkusz1!$B$233</c:f>
              <c:strCache>
                <c:ptCount val="1"/>
                <c:pt idx="0">
                  <c:v>CHEM_B – presja na cechy chemiczne (biota, substancje dozwolone)</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Arkusz1!$C$233</c:f>
              <c:numCache>
                <c:formatCode>0%</c:formatCode>
                <c:ptCount val="1"/>
                <c:pt idx="0">
                  <c:v>0.84</c:v>
                </c:pt>
              </c:numCache>
            </c:numRef>
          </c:val>
          <c:extLst>
            <c:ext xmlns:c16="http://schemas.microsoft.com/office/drawing/2014/chart" uri="{C3380CC4-5D6E-409C-BE32-E72D297353CC}">
              <c16:uniqueId val="{00000004-C2D6-4FA7-82E8-7626EED12BDC}"/>
            </c:ext>
          </c:extLst>
        </c:ser>
        <c:ser>
          <c:idx val="6"/>
          <c:order val="5"/>
          <c:tx>
            <c:strRef>
              <c:f>Arkusz1!$B$234</c:f>
              <c:strCache>
                <c:ptCount val="1"/>
                <c:pt idx="0">
                  <c:v>OCH – presja na obszary chronione w rozumieniu ustawy pr.w.</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Arkusz1!$C$234</c:f>
              <c:numCache>
                <c:formatCode>0%</c:formatCode>
                <c:ptCount val="1"/>
                <c:pt idx="0">
                  <c:v>0.84</c:v>
                </c:pt>
              </c:numCache>
            </c:numRef>
          </c:val>
          <c:extLst>
            <c:ext xmlns:c16="http://schemas.microsoft.com/office/drawing/2014/chart" uri="{C3380CC4-5D6E-409C-BE32-E72D297353CC}">
              <c16:uniqueId val="{00000005-C2D6-4FA7-82E8-7626EED12BDC}"/>
            </c:ext>
          </c:extLst>
        </c:ser>
        <c:dLbls>
          <c:dLblPos val="outEnd"/>
          <c:showLegendKey val="0"/>
          <c:showVal val="1"/>
          <c:showCatName val="0"/>
          <c:showSerName val="0"/>
          <c:showPercent val="0"/>
          <c:showBubbleSize val="0"/>
        </c:dLbls>
        <c:gapWidth val="150"/>
        <c:axId val="837449376"/>
        <c:axId val="837450032"/>
      </c:barChart>
      <c:catAx>
        <c:axId val="837449376"/>
        <c:scaling>
          <c:orientation val="minMax"/>
        </c:scaling>
        <c:delete val="1"/>
        <c:axPos val="b"/>
        <c:majorTickMark val="out"/>
        <c:minorTickMark val="none"/>
        <c:tickLblPos val="nextTo"/>
        <c:crossAx val="837450032"/>
        <c:crosses val="autoZero"/>
        <c:auto val="1"/>
        <c:lblAlgn val="ctr"/>
        <c:lblOffset val="100"/>
        <c:noMultiLvlLbl val="0"/>
      </c:catAx>
      <c:valAx>
        <c:axId val="837450032"/>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837449376"/>
        <c:crosses val="autoZero"/>
        <c:crossBetween val="between"/>
      </c:valAx>
      <c:spPr>
        <a:solidFill>
          <a:schemeClr val="bg1"/>
        </a:solidFill>
        <a:ln>
          <a:noFill/>
        </a:ln>
        <a:effectLst/>
      </c:spPr>
    </c:plotArea>
    <c:legend>
      <c:legendPos val="r"/>
      <c:layout>
        <c:manualLayout>
          <c:xMode val="edge"/>
          <c:yMode val="edge"/>
          <c:x val="0.59158141648167684"/>
          <c:y val="8.1230107294335926E-2"/>
          <c:w val="0.33789838924075377"/>
          <c:h val="0.77074783949831671"/>
        </c:manualLayout>
      </c:layout>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Arkusz1!$B$241</c:f>
              <c:strCache>
                <c:ptCount val="1"/>
                <c:pt idx="0">
                  <c:v>BIO_HM – presja na elementy biologiczne zależne od hydromorfologii</c:v>
                </c:pt>
              </c:strCache>
            </c:strRef>
          </c:tx>
          <c:spPr>
            <a:solidFill>
              <a:schemeClr val="accent1"/>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Arkusz1!$C$241</c:f>
              <c:numCache>
                <c:formatCode>0%</c:formatCode>
                <c:ptCount val="1"/>
                <c:pt idx="0">
                  <c:v>0.31</c:v>
                </c:pt>
              </c:numCache>
            </c:numRef>
          </c:val>
          <c:extLst>
            <c:ext xmlns:c16="http://schemas.microsoft.com/office/drawing/2014/chart" uri="{C3380CC4-5D6E-409C-BE32-E72D297353CC}">
              <c16:uniqueId val="{00000000-70FD-4993-9227-E1BC39BC24C3}"/>
            </c:ext>
          </c:extLst>
        </c:ser>
        <c:ser>
          <c:idx val="1"/>
          <c:order val="1"/>
          <c:tx>
            <c:strRef>
              <c:f>Arkusz1!$B$242</c:f>
              <c:strCache>
                <c:ptCount val="1"/>
                <c:pt idx="0">
                  <c:v>BIO_FIZ – presja na elementy biologiczne zależne od fizykochemii</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Arkusz1!$C$242</c:f>
              <c:numCache>
                <c:formatCode>0%</c:formatCode>
                <c:ptCount val="1"/>
                <c:pt idx="0">
                  <c:v>0.41</c:v>
                </c:pt>
              </c:numCache>
            </c:numRef>
          </c:val>
          <c:extLst>
            <c:ext xmlns:c16="http://schemas.microsoft.com/office/drawing/2014/chart" uri="{C3380CC4-5D6E-409C-BE32-E72D297353CC}">
              <c16:uniqueId val="{00000001-70FD-4993-9227-E1BC39BC24C3}"/>
            </c:ext>
          </c:extLst>
        </c:ser>
        <c:ser>
          <c:idx val="2"/>
          <c:order val="2"/>
          <c:tx>
            <c:strRef>
              <c:f>Arkusz1!$B$243</c:f>
              <c:strCache>
                <c:ptCount val="1"/>
                <c:pt idx="0">
                  <c:v>FIZ – presja na elementy fizykochemiczne</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Arkusz1!$C$243</c:f>
              <c:numCache>
                <c:formatCode>0%</c:formatCode>
                <c:ptCount val="1"/>
                <c:pt idx="0">
                  <c:v>0.49</c:v>
                </c:pt>
              </c:numCache>
            </c:numRef>
          </c:val>
          <c:extLst>
            <c:ext xmlns:c16="http://schemas.microsoft.com/office/drawing/2014/chart" uri="{C3380CC4-5D6E-409C-BE32-E72D297353CC}">
              <c16:uniqueId val="{00000002-70FD-4993-9227-E1BC39BC24C3}"/>
            </c:ext>
          </c:extLst>
        </c:ser>
        <c:ser>
          <c:idx val="3"/>
          <c:order val="3"/>
          <c:tx>
            <c:strRef>
              <c:f>Arkusz1!$B$244</c:f>
              <c:strCache>
                <c:ptCount val="1"/>
                <c:pt idx="0">
                  <c:v>CHEM – presja na cechy chemiczne (woda, substancje dozwolone</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Arkusz1!$C$244</c:f>
              <c:numCache>
                <c:formatCode>0%</c:formatCode>
                <c:ptCount val="1"/>
                <c:pt idx="0">
                  <c:v>0.37</c:v>
                </c:pt>
              </c:numCache>
            </c:numRef>
          </c:val>
          <c:extLst>
            <c:ext xmlns:c16="http://schemas.microsoft.com/office/drawing/2014/chart" uri="{C3380CC4-5D6E-409C-BE32-E72D297353CC}">
              <c16:uniqueId val="{00000003-70FD-4993-9227-E1BC39BC24C3}"/>
            </c:ext>
          </c:extLst>
        </c:ser>
        <c:ser>
          <c:idx val="4"/>
          <c:order val="4"/>
          <c:tx>
            <c:strRef>
              <c:f>Arkusz1!$B$245</c:f>
              <c:strCache>
                <c:ptCount val="1"/>
                <c:pt idx="0">
                  <c:v>CHEM_B – presja na cechy chemiczne (biota, substancje dozwolone)</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Arkusz1!$C$245</c:f>
              <c:numCache>
                <c:formatCode>0%</c:formatCode>
                <c:ptCount val="1"/>
                <c:pt idx="0">
                  <c:v>0.33</c:v>
                </c:pt>
              </c:numCache>
            </c:numRef>
          </c:val>
          <c:extLst>
            <c:ext xmlns:c16="http://schemas.microsoft.com/office/drawing/2014/chart" uri="{C3380CC4-5D6E-409C-BE32-E72D297353CC}">
              <c16:uniqueId val="{00000004-70FD-4993-9227-E1BC39BC24C3}"/>
            </c:ext>
          </c:extLst>
        </c:ser>
        <c:ser>
          <c:idx val="6"/>
          <c:order val="5"/>
          <c:tx>
            <c:strRef>
              <c:f>Arkusz1!$B$246</c:f>
              <c:strCache>
                <c:ptCount val="1"/>
                <c:pt idx="0">
                  <c:v>OCH – presja na obszary chronione w rozumieniu ustawy pr.w.</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Arkusz1!$C$246</c:f>
              <c:numCache>
                <c:formatCode>0%</c:formatCode>
                <c:ptCount val="1"/>
                <c:pt idx="0">
                  <c:v>0.56000000000000005</c:v>
                </c:pt>
              </c:numCache>
            </c:numRef>
          </c:val>
          <c:extLst>
            <c:ext xmlns:c16="http://schemas.microsoft.com/office/drawing/2014/chart" uri="{C3380CC4-5D6E-409C-BE32-E72D297353CC}">
              <c16:uniqueId val="{00000005-70FD-4993-9227-E1BC39BC24C3}"/>
            </c:ext>
          </c:extLst>
        </c:ser>
        <c:dLbls>
          <c:dLblPos val="outEnd"/>
          <c:showLegendKey val="0"/>
          <c:showVal val="1"/>
          <c:showCatName val="0"/>
          <c:showSerName val="0"/>
          <c:showPercent val="0"/>
          <c:showBubbleSize val="0"/>
        </c:dLbls>
        <c:gapWidth val="150"/>
        <c:axId val="837449376"/>
        <c:axId val="837450032"/>
      </c:barChart>
      <c:catAx>
        <c:axId val="837449376"/>
        <c:scaling>
          <c:orientation val="minMax"/>
        </c:scaling>
        <c:delete val="1"/>
        <c:axPos val="b"/>
        <c:majorTickMark val="out"/>
        <c:minorTickMark val="none"/>
        <c:tickLblPos val="nextTo"/>
        <c:crossAx val="837450032"/>
        <c:crosses val="autoZero"/>
        <c:auto val="1"/>
        <c:lblAlgn val="ctr"/>
        <c:lblOffset val="100"/>
        <c:noMultiLvlLbl val="0"/>
      </c:catAx>
      <c:valAx>
        <c:axId val="837450032"/>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837449376"/>
        <c:crosses val="autoZero"/>
        <c:crossBetween val="between"/>
      </c:valAx>
      <c:spPr>
        <a:solidFill>
          <a:schemeClr val="bg1"/>
        </a:solidFill>
        <a:ln>
          <a:noFill/>
        </a:ln>
        <a:effectLst/>
      </c:spPr>
    </c:plotArea>
    <c:legend>
      <c:legendPos val="r"/>
      <c:layout>
        <c:manualLayout>
          <c:xMode val="edge"/>
          <c:yMode val="edge"/>
          <c:x val="0.59158141648167684"/>
          <c:y val="8.1230107294335926E-2"/>
          <c:w val="0.38505060611064268"/>
          <c:h val="0.8811719206477282"/>
        </c:manualLayout>
      </c:layout>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335620806476074E-2"/>
          <c:y val="1.2024542799085597E-2"/>
          <c:w val="0.56653444925293506"/>
          <c:h val="0.97130389573279163"/>
        </c:manualLayout>
      </c:layout>
      <c:doughnutChart>
        <c:varyColors val="1"/>
        <c:ser>
          <c:idx val="0"/>
          <c:order val="0"/>
          <c:spPr>
            <a:ln w="1270">
              <a:noFill/>
            </a:ln>
          </c:spPr>
          <c:dPt>
            <c:idx val="0"/>
            <c:bubble3D val="0"/>
            <c:spPr>
              <a:solidFill>
                <a:schemeClr val="accent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9EC-48B9-9524-762E7563CC95}"/>
              </c:ext>
            </c:extLst>
          </c:dPt>
          <c:dPt>
            <c:idx val="1"/>
            <c:bubble3D val="0"/>
            <c:spPr>
              <a:solidFill>
                <a:schemeClr val="accent2"/>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9EC-48B9-9524-762E7563CC95}"/>
              </c:ext>
            </c:extLst>
          </c:dPt>
          <c:dLbls>
            <c:dLbl>
              <c:idx val="0"/>
              <c:tx>
                <c:rich>
                  <a:bodyPr/>
                  <a:lstStyle/>
                  <a:p>
                    <a:r>
                      <a:rPr lang="en-US"/>
                      <a:t>33%</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9EC-48B9-9524-762E7563CC95}"/>
                </c:ext>
              </c:extLst>
            </c:dLbl>
            <c:dLbl>
              <c:idx val="1"/>
              <c:tx>
                <c:rich>
                  <a:bodyPr/>
                  <a:lstStyle/>
                  <a:p>
                    <a:r>
                      <a:rPr lang="en-US"/>
                      <a:t>67%</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9EC-48B9-9524-762E7563CC95}"/>
                </c:ext>
              </c:extLst>
            </c:dLbl>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LW!$P$2:$Q$2</c:f>
              <c:strCache>
                <c:ptCount val="2"/>
                <c:pt idx="0">
                  <c:v>jcwp niezagrożone nieosiągnięciem celów środowiskowych</c:v>
                </c:pt>
                <c:pt idx="1">
                  <c:v>jcwp zagrożone nieosiągnięciem celów środowiskowych</c:v>
                </c:pt>
              </c:strCache>
            </c:strRef>
          </c:cat>
          <c:val>
            <c:numRef>
              <c:f>LW!$P$15:$Q$15</c:f>
              <c:numCache>
                <c:formatCode>0%</c:formatCode>
                <c:ptCount val="2"/>
                <c:pt idx="0">
                  <c:v>0.33</c:v>
                </c:pt>
                <c:pt idx="1">
                  <c:v>0.67</c:v>
                </c:pt>
              </c:numCache>
            </c:numRef>
          </c:val>
          <c:extLst>
            <c:ext xmlns:c16="http://schemas.microsoft.com/office/drawing/2014/chart" uri="{C3380CC4-5D6E-409C-BE32-E72D297353CC}">
              <c16:uniqueId val="{00000004-49EC-48B9-9524-762E7563CC95}"/>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LW!$E$33</c:f>
              <c:strCache>
                <c:ptCount val="1"/>
                <c:pt idx="0">
                  <c:v>Udział jcwp zagrożonych w ogólnej liczbie jcwp LW danego regionu wodnego</c:v>
                </c:pt>
              </c:strCache>
            </c:strRef>
          </c:tx>
          <c:spPr>
            <a:solidFill>
              <a:srgbClr val="C0504D"/>
            </a:solidFill>
            <a:ln w="1270">
              <a:noFill/>
            </a:ln>
            <a:effectLst/>
          </c:spPr>
          <c:invertIfNegative val="0"/>
          <c:dLbls>
            <c:dLbl>
              <c:idx val="0"/>
              <c:layout>
                <c:manualLayout>
                  <c:x val="0"/>
                  <c:y val="0.172421143122310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51F-4FDA-A194-5DA3684C8C68}"/>
                </c:ext>
              </c:extLst>
            </c:dLbl>
            <c:dLbl>
              <c:idx val="1"/>
              <c:layout>
                <c:manualLayout>
                  <c:x val="0"/>
                  <c:y val="0.33676698338959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51F-4FDA-A194-5DA3684C8C68}"/>
                </c:ext>
              </c:extLst>
            </c:dLbl>
            <c:dLbl>
              <c:idx val="2"/>
              <c:layout>
                <c:manualLayout>
                  <c:x val="-2.669681935775861E-3"/>
                  <c:y val="0.193111680296987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51F-4FDA-A194-5DA3684C8C68}"/>
                </c:ext>
              </c:extLst>
            </c:dLbl>
            <c:dLbl>
              <c:idx val="3"/>
              <c:layout>
                <c:manualLayout>
                  <c:x val="-9.7887206843748409E-17"/>
                  <c:y val="0.23229609566721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51F-4FDA-A194-5DA3684C8C68}"/>
                </c:ext>
              </c:extLst>
            </c:dLbl>
            <c:dLbl>
              <c:idx val="4"/>
              <c:layout>
                <c:manualLayout>
                  <c:x val="0"/>
                  <c:y val="0.210960640196239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51F-4FDA-A194-5DA3684C8C68}"/>
                </c:ext>
              </c:extLst>
            </c:dLbl>
            <c:spPr>
              <a:solidFill>
                <a:sysClr val="windowText" lastClr="000000">
                  <a:alpha val="50000"/>
                </a:sys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LW!$B$40:$B$44</c:f>
              <c:strCache>
                <c:ptCount val="5"/>
                <c:pt idx="0">
                  <c:v>Region wodny Dolnej Odry i Przymorza Zachodniego</c:v>
                </c:pt>
                <c:pt idx="1">
                  <c:v>Region wodny Górnej Odry</c:v>
                </c:pt>
                <c:pt idx="2">
                  <c:v>Region wodny Noteci</c:v>
                </c:pt>
                <c:pt idx="3">
                  <c:v>Region wodny Środkowej Odry</c:v>
                </c:pt>
                <c:pt idx="4">
                  <c:v>Region wodny Warty</c:v>
                </c:pt>
              </c:strCache>
            </c:strRef>
          </c:cat>
          <c:val>
            <c:numRef>
              <c:f>LW!$E$40:$E$44</c:f>
              <c:numCache>
                <c:formatCode>0%</c:formatCode>
                <c:ptCount val="5"/>
                <c:pt idx="0">
                  <c:v>0.5</c:v>
                </c:pt>
                <c:pt idx="1">
                  <c:v>1</c:v>
                </c:pt>
                <c:pt idx="2">
                  <c:v>0.64</c:v>
                </c:pt>
                <c:pt idx="3">
                  <c:v>0.78</c:v>
                </c:pt>
                <c:pt idx="4">
                  <c:v>0.84</c:v>
                </c:pt>
              </c:numCache>
            </c:numRef>
          </c:val>
          <c:extLst>
            <c:ext xmlns:c16="http://schemas.microsoft.com/office/drawing/2014/chart" uri="{C3380CC4-5D6E-409C-BE32-E72D297353CC}">
              <c16:uniqueId val="{00000005-051F-4FDA-A194-5DA3684C8C68}"/>
            </c:ext>
          </c:extLst>
        </c:ser>
        <c:dLbls>
          <c:showLegendKey val="0"/>
          <c:showVal val="0"/>
          <c:showCatName val="0"/>
          <c:showSerName val="0"/>
          <c:showPercent val="0"/>
          <c:showBubbleSize val="0"/>
        </c:dLbls>
        <c:gapWidth val="80"/>
        <c:overlap val="25"/>
        <c:axId val="304559616"/>
        <c:axId val="322208320"/>
      </c:barChart>
      <c:catAx>
        <c:axId val="30455961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cap="none" spc="20" normalizeH="0" baseline="0">
                <a:solidFill>
                  <a:schemeClr val="tx1">
                    <a:lumMod val="65000"/>
                    <a:lumOff val="35000"/>
                  </a:schemeClr>
                </a:solidFill>
                <a:latin typeface="+mn-lt"/>
                <a:ea typeface="+mn-ea"/>
                <a:cs typeface="+mn-cs"/>
              </a:defRPr>
            </a:pPr>
            <a:endParaRPr lang="pl-PL"/>
          </a:p>
        </c:txPr>
        <c:crossAx val="322208320"/>
        <c:crosses val="autoZero"/>
        <c:auto val="1"/>
        <c:lblAlgn val="ctr"/>
        <c:lblOffset val="100"/>
        <c:noMultiLvlLbl val="0"/>
      </c:catAx>
      <c:valAx>
        <c:axId val="322208320"/>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pl-PL"/>
          </a:p>
        </c:txPr>
        <c:crossAx val="304559616"/>
        <c:crosses val="autoZero"/>
        <c:crossBetween val="between"/>
      </c:valAx>
      <c:spPr>
        <a:noFill/>
        <a:ln>
          <a:noFill/>
        </a:ln>
        <a:effectLst/>
      </c:spPr>
    </c:plotArea>
    <c:legend>
      <c:legendPos val="b"/>
      <c:layout>
        <c:manualLayout>
          <c:xMode val="edge"/>
          <c:yMode val="edge"/>
          <c:x val="9.8054264333406679E-2"/>
          <c:y val="0.9430080831224531"/>
          <c:w val="0.89999981080994151"/>
          <c:h val="5.699191687754692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w="1270">
              <a:noFill/>
            </a:ln>
          </c:spPr>
          <c:dPt>
            <c:idx val="0"/>
            <c:bubble3D val="0"/>
            <c:spPr>
              <a:solidFill>
                <a:schemeClr val="accent1"/>
              </a:solidFill>
              <a:ln w="1270">
                <a:noFill/>
              </a:ln>
              <a:effectLst/>
            </c:spPr>
            <c:extLst>
              <c:ext xmlns:c16="http://schemas.microsoft.com/office/drawing/2014/chart" uri="{C3380CC4-5D6E-409C-BE32-E72D297353CC}">
                <c16:uniqueId val="{00000001-EE4D-4B2B-A04C-E63C6508DB29}"/>
              </c:ext>
            </c:extLst>
          </c:dPt>
          <c:dPt>
            <c:idx val="1"/>
            <c:bubble3D val="0"/>
            <c:spPr>
              <a:solidFill>
                <a:schemeClr val="accent2"/>
              </a:solidFill>
              <a:ln w="1270">
                <a:noFill/>
              </a:ln>
              <a:effectLst/>
            </c:spPr>
            <c:extLst>
              <c:ext xmlns:c16="http://schemas.microsoft.com/office/drawing/2014/chart" uri="{C3380CC4-5D6E-409C-BE32-E72D297353CC}">
                <c16:uniqueId val="{00000003-EE4D-4B2B-A04C-E63C6508DB29}"/>
              </c:ext>
            </c:extLst>
          </c:dPt>
          <c:dLbls>
            <c:spPr>
              <a:solidFill>
                <a:sysClr val="windowText" lastClr="000000">
                  <a:alpha val="50000"/>
                </a:sys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Arkusz6!$E$11:$E$12</c:f>
              <c:strCache>
                <c:ptCount val="2"/>
                <c:pt idx="0">
                  <c:v>jcwpd niezagrożone</c:v>
                </c:pt>
                <c:pt idx="1">
                  <c:v>jcwpd zagrożone</c:v>
                </c:pt>
              </c:strCache>
            </c:strRef>
          </c:cat>
          <c:val>
            <c:numRef>
              <c:f>Arkusz6!$F$11:$F$12</c:f>
              <c:numCache>
                <c:formatCode>0%</c:formatCode>
                <c:ptCount val="2"/>
                <c:pt idx="0">
                  <c:v>0.68</c:v>
                </c:pt>
                <c:pt idx="1">
                  <c:v>0.32</c:v>
                </c:pt>
              </c:numCache>
            </c:numRef>
          </c:val>
          <c:extLst>
            <c:ext xmlns:c16="http://schemas.microsoft.com/office/drawing/2014/chart" uri="{C3380CC4-5D6E-409C-BE32-E72D297353CC}">
              <c16:uniqueId val="{00000000-3279-4675-8DAF-D7B801D7DFD7}"/>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bg1">
          <a:lumMod val="85000"/>
        </a:schemeClr>
      </a:solidFill>
      <a:prstDash val="solid"/>
      <a:round/>
    </a:ln>
    <a:effectLst/>
  </c:spPr>
  <c:txPr>
    <a:bodyPr/>
    <a:lstStyle/>
    <a:p>
      <a:pPr>
        <a:defRPr/>
      </a:pPr>
      <a:endParaRPr lang="pl-PL"/>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4449299232274783E-2"/>
          <c:y val="3.9762588900177802E-2"/>
          <c:w val="0.62058371735791096"/>
          <c:h val="0.93518518518518523"/>
        </c:manualLayout>
      </c:layout>
      <c:pieChart>
        <c:varyColors val="1"/>
        <c:ser>
          <c:idx val="0"/>
          <c:order val="0"/>
          <c:spPr>
            <a:ln w="1270">
              <a:noFill/>
            </a:ln>
          </c:spPr>
          <c:dPt>
            <c:idx val="0"/>
            <c:bubble3D val="0"/>
            <c:spPr>
              <a:solidFill>
                <a:schemeClr val="accent1"/>
              </a:solidFill>
              <a:ln w="1270">
                <a:noFill/>
              </a:ln>
              <a:effectLst/>
            </c:spPr>
            <c:extLst>
              <c:ext xmlns:c16="http://schemas.microsoft.com/office/drawing/2014/chart" uri="{C3380CC4-5D6E-409C-BE32-E72D297353CC}">
                <c16:uniqueId val="{00000000-17D2-4A8B-87DF-8D7300EB8D63}"/>
              </c:ext>
            </c:extLst>
          </c:dPt>
          <c:dPt>
            <c:idx val="1"/>
            <c:bubble3D val="0"/>
            <c:spPr>
              <a:solidFill>
                <a:schemeClr val="accent2"/>
              </a:solidFill>
              <a:ln w="1270">
                <a:noFill/>
              </a:ln>
              <a:effectLst/>
            </c:spPr>
            <c:extLst>
              <c:ext xmlns:c16="http://schemas.microsoft.com/office/drawing/2014/chart" uri="{C3380CC4-5D6E-409C-BE32-E72D297353CC}">
                <c16:uniqueId val="{00000001-17D2-4A8B-87DF-8D7300EB8D63}"/>
              </c:ext>
            </c:extLst>
          </c:dPt>
          <c:dPt>
            <c:idx val="2"/>
            <c:bubble3D val="0"/>
            <c:spPr>
              <a:solidFill>
                <a:schemeClr val="accent3"/>
              </a:solidFill>
              <a:ln w="1270">
                <a:noFill/>
              </a:ln>
              <a:effectLst/>
            </c:spPr>
            <c:extLst>
              <c:ext xmlns:c16="http://schemas.microsoft.com/office/drawing/2014/chart" uri="{C3380CC4-5D6E-409C-BE32-E72D297353CC}">
                <c16:uniqueId val="{00000000-C97A-4B93-948C-42159112AB42}"/>
              </c:ext>
            </c:extLst>
          </c:dPt>
          <c:dLbls>
            <c:dLbl>
              <c:idx val="0"/>
              <c:layout>
                <c:manualLayout>
                  <c:x val="-0.12485611595847811"/>
                  <c:y val="-0.157066200058326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D2-4A8B-87DF-8D7300EB8D63}"/>
                </c:ext>
              </c:extLst>
            </c:dLbl>
            <c:dLbl>
              <c:idx val="1"/>
              <c:layout>
                <c:manualLayout>
                  <c:x val="0.13259251377361611"/>
                  <c:y val="0.1202646544181977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D2-4A8B-87DF-8D7300EB8D63}"/>
                </c:ext>
              </c:extLst>
            </c:dLbl>
            <c:dLbl>
              <c:idx val="2"/>
              <c:layout>
                <c:manualLayout>
                  <c:x val="2.1363257012228309E-2"/>
                  <c:y val="9.00721784776902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97A-4B93-948C-42159112AB42}"/>
                </c:ext>
              </c:extLst>
            </c:dLbl>
            <c:spPr>
              <a:solidFill>
                <a:schemeClr val="tx1">
                  <a:alpha val="5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Arkusz1!$F$15:$F$17</c:f>
              <c:strCache>
                <c:ptCount val="3"/>
                <c:pt idx="0">
                  <c:v>komunalne</c:v>
                </c:pt>
                <c:pt idx="1">
                  <c:v>przemysłowe</c:v>
                </c:pt>
                <c:pt idx="2">
                  <c:v>inne</c:v>
                </c:pt>
              </c:strCache>
            </c:strRef>
          </c:cat>
          <c:val>
            <c:numRef>
              <c:f>Arkusz1!$G$15:$G$17</c:f>
              <c:numCache>
                <c:formatCode>0%</c:formatCode>
                <c:ptCount val="3"/>
                <c:pt idx="0">
                  <c:v>0.64054514480408864</c:v>
                </c:pt>
                <c:pt idx="1">
                  <c:v>0.31516183986371382</c:v>
                </c:pt>
                <c:pt idx="2">
                  <c:v>4.4293015332197615E-2</c:v>
                </c:pt>
              </c:numCache>
            </c:numRef>
          </c:val>
          <c:extLst>
            <c:ext xmlns:c16="http://schemas.microsoft.com/office/drawing/2014/chart" uri="{C3380CC4-5D6E-409C-BE32-E72D297353CC}">
              <c16:uniqueId val="{00000002-17D2-4A8B-87DF-8D7300EB8D63}"/>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3175" cap="flat" cmpd="sng" algn="ctr">
      <a:solidFill>
        <a:schemeClr val="bg1">
          <a:lumMod val="85000"/>
        </a:schemeClr>
      </a:solidFill>
      <a:prstDash val="solid"/>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150637571891042E-2"/>
          <c:y val="2.1047117094234187E-2"/>
          <c:w val="0.55430316175934424"/>
          <c:h val="0.95033377254254503"/>
        </c:manualLayout>
      </c:layout>
      <c:pieChart>
        <c:varyColors val="1"/>
        <c:ser>
          <c:idx val="3"/>
          <c:order val="0"/>
          <c:spPr>
            <a:ln w="1270">
              <a:solidFill>
                <a:schemeClr val="tx1">
                  <a:lumMod val="75000"/>
                  <a:lumOff val="25000"/>
                </a:schemeClr>
              </a:solidFill>
            </a:ln>
          </c:spPr>
          <c:dPt>
            <c:idx val="0"/>
            <c:bubble3D val="0"/>
            <c:spPr>
              <a:solidFill>
                <a:schemeClr val="accent1"/>
              </a:solidFill>
              <a:ln w="1270">
                <a:noFill/>
              </a:ln>
              <a:effectLst/>
            </c:spPr>
            <c:extLst>
              <c:ext xmlns:c16="http://schemas.microsoft.com/office/drawing/2014/chart" uri="{C3380CC4-5D6E-409C-BE32-E72D297353CC}">
                <c16:uniqueId val="{00000001-58EC-4129-B0C8-C04CF4AB4382}"/>
              </c:ext>
            </c:extLst>
          </c:dPt>
          <c:dPt>
            <c:idx val="1"/>
            <c:bubble3D val="0"/>
            <c:spPr>
              <a:solidFill>
                <a:schemeClr val="accent2"/>
              </a:solidFill>
              <a:ln w="1270">
                <a:noFill/>
              </a:ln>
              <a:effectLst/>
            </c:spPr>
            <c:extLst>
              <c:ext xmlns:c16="http://schemas.microsoft.com/office/drawing/2014/chart" uri="{C3380CC4-5D6E-409C-BE32-E72D297353CC}">
                <c16:uniqueId val="{00000003-58EC-4129-B0C8-C04CF4AB4382}"/>
              </c:ext>
            </c:extLst>
          </c:dPt>
          <c:dPt>
            <c:idx val="2"/>
            <c:bubble3D val="0"/>
            <c:spPr>
              <a:solidFill>
                <a:schemeClr val="accent3"/>
              </a:solidFill>
              <a:ln w="1270">
                <a:noFill/>
              </a:ln>
              <a:effectLst/>
            </c:spPr>
            <c:extLst>
              <c:ext xmlns:c16="http://schemas.microsoft.com/office/drawing/2014/chart" uri="{C3380CC4-5D6E-409C-BE32-E72D297353CC}">
                <c16:uniqueId val="{00000005-58EC-4129-B0C8-C04CF4AB4382}"/>
              </c:ext>
            </c:extLst>
          </c:dPt>
          <c:dPt>
            <c:idx val="3"/>
            <c:bubble3D val="0"/>
            <c:spPr>
              <a:solidFill>
                <a:schemeClr val="accent4"/>
              </a:solidFill>
              <a:ln w="1270">
                <a:noFill/>
              </a:ln>
              <a:effectLst/>
            </c:spPr>
            <c:extLst>
              <c:ext xmlns:c16="http://schemas.microsoft.com/office/drawing/2014/chart" uri="{C3380CC4-5D6E-409C-BE32-E72D297353CC}">
                <c16:uniqueId val="{00000006-58EC-4129-B0C8-C04CF4AB4382}"/>
              </c:ext>
            </c:extLst>
          </c:dPt>
          <c:dLbls>
            <c:dLbl>
              <c:idx val="0"/>
              <c:tx>
                <c:rich>
                  <a:bodyPr/>
                  <a:lstStyle/>
                  <a:p>
                    <a:r>
                      <a:rPr lang="en-US"/>
                      <a:t>56%</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8EC-4129-B0C8-C04CF4AB4382}"/>
                </c:ext>
              </c:extLst>
            </c:dLbl>
            <c:dLbl>
              <c:idx val="1"/>
              <c:layout>
                <c:manualLayout>
                  <c:x val="8.0740259691695598E-2"/>
                  <c:y val="-0.16747871237940576"/>
                </c:manualLayout>
              </c:layout>
              <c:tx>
                <c:rich>
                  <a:bodyPr/>
                  <a:lstStyle/>
                  <a:p>
                    <a:r>
                      <a:rPr lang="en-US"/>
                      <a:t>7%</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8EC-4129-B0C8-C04CF4AB4382}"/>
                </c:ext>
              </c:extLst>
            </c:dLbl>
            <c:dLbl>
              <c:idx val="2"/>
              <c:tx>
                <c:rich>
                  <a:bodyPr/>
                  <a:lstStyle/>
                  <a:p>
                    <a:r>
                      <a:rPr lang="en-US"/>
                      <a:t>34%</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8EC-4129-B0C8-C04CF4AB4382}"/>
                </c:ext>
              </c:extLst>
            </c:dLbl>
            <c:dLbl>
              <c:idx val="3"/>
              <c:layout>
                <c:manualLayout>
                  <c:x val="1.7612018063991802E-2"/>
                  <c:y val="8.4638083740210895E-2"/>
                </c:manualLayout>
              </c:layout>
              <c:tx>
                <c:rich>
                  <a:bodyPr/>
                  <a:lstStyle/>
                  <a:p>
                    <a:r>
                      <a:rPr lang="en-US"/>
                      <a:t>3%</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58EC-4129-B0C8-C04CF4AB4382}"/>
                </c:ext>
              </c:extLst>
            </c:dLbl>
            <c:spPr>
              <a:solidFill>
                <a:schemeClr val="tx1">
                  <a:alpha val="5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extLst>
          </c:dLbls>
          <c:cat>
            <c:strRef>
              <c:f>Odra!$J$9:$J$12</c:f>
              <c:strCache>
                <c:ptCount val="4"/>
                <c:pt idx="0">
                  <c:v>Tereny rolne</c:v>
                </c:pt>
                <c:pt idx="1">
                  <c:v>Tereny przekształcone antopogenicznie</c:v>
                </c:pt>
                <c:pt idx="2">
                  <c:v>Tereny leśne</c:v>
                </c:pt>
                <c:pt idx="3">
                  <c:v>Tereny pozostałe</c:v>
                </c:pt>
              </c:strCache>
            </c:strRef>
          </c:cat>
          <c:val>
            <c:numRef>
              <c:f>IIaPGWCLC!$F$35:$I$35</c:f>
              <c:numCache>
                <c:formatCode>0.0</c:formatCode>
                <c:ptCount val="4"/>
                <c:pt idx="0">
                  <c:v>55.619411457315096</c:v>
                </c:pt>
                <c:pt idx="1">
                  <c:v>7.1188791964354445</c:v>
                </c:pt>
                <c:pt idx="2">
                  <c:v>33.922901055034892</c:v>
                </c:pt>
                <c:pt idx="3">
                  <c:v>3.3388082912145762</c:v>
                </c:pt>
              </c:numCache>
            </c:numRef>
          </c:val>
          <c:extLst>
            <c:ext xmlns:c16="http://schemas.microsoft.com/office/drawing/2014/chart" uri="{C3380CC4-5D6E-409C-BE32-E72D297353CC}">
              <c16:uniqueId val="{00000007-58EC-4129-B0C8-C04CF4AB4382}"/>
            </c:ext>
          </c:extLst>
        </c:ser>
        <c:ser>
          <c:idx val="2"/>
          <c:order val="1"/>
          <c:dPt>
            <c:idx val="0"/>
            <c:bubble3D val="0"/>
            <c:spPr>
              <a:solidFill>
                <a:schemeClr val="accent1"/>
              </a:solidFill>
              <a:ln>
                <a:noFill/>
              </a:ln>
              <a:effectLst/>
            </c:spPr>
            <c:extLst>
              <c:ext xmlns:c16="http://schemas.microsoft.com/office/drawing/2014/chart" uri="{C3380CC4-5D6E-409C-BE32-E72D297353CC}">
                <c16:uniqueId val="{00000009-58EC-4129-B0C8-C04CF4AB4382}"/>
              </c:ext>
            </c:extLst>
          </c:dPt>
          <c:dPt>
            <c:idx val="1"/>
            <c:bubble3D val="0"/>
            <c:spPr>
              <a:solidFill>
                <a:schemeClr val="accent2"/>
              </a:solidFill>
              <a:ln>
                <a:noFill/>
              </a:ln>
              <a:effectLst/>
            </c:spPr>
            <c:extLst>
              <c:ext xmlns:c16="http://schemas.microsoft.com/office/drawing/2014/chart" uri="{C3380CC4-5D6E-409C-BE32-E72D297353CC}">
                <c16:uniqueId val="{0000000B-58EC-4129-B0C8-C04CF4AB4382}"/>
              </c:ext>
            </c:extLst>
          </c:dPt>
          <c:dPt>
            <c:idx val="2"/>
            <c:bubble3D val="0"/>
            <c:spPr>
              <a:solidFill>
                <a:schemeClr val="accent3"/>
              </a:solidFill>
              <a:ln>
                <a:noFill/>
              </a:ln>
              <a:effectLst/>
            </c:spPr>
            <c:extLst>
              <c:ext xmlns:c16="http://schemas.microsoft.com/office/drawing/2014/chart" uri="{C3380CC4-5D6E-409C-BE32-E72D297353CC}">
                <c16:uniqueId val="{0000000D-58EC-4129-B0C8-C04CF4AB4382}"/>
              </c:ext>
            </c:extLst>
          </c:dPt>
          <c:dPt>
            <c:idx val="3"/>
            <c:bubble3D val="0"/>
            <c:spPr>
              <a:solidFill>
                <a:schemeClr val="accent4"/>
              </a:solidFill>
              <a:ln>
                <a:noFill/>
              </a:ln>
              <a:effectLst/>
            </c:spPr>
            <c:extLst>
              <c:ext xmlns:c16="http://schemas.microsoft.com/office/drawing/2014/chart" uri="{C3380CC4-5D6E-409C-BE32-E72D297353CC}">
                <c16:uniqueId val="{0000000E-58EC-4129-B0C8-C04CF4AB4382}"/>
              </c:ext>
            </c:extLst>
          </c:dPt>
          <c:dLbls>
            <c:dLbl>
              <c:idx val="0"/>
              <c:tx>
                <c:rich>
                  <a:bodyPr/>
                  <a:lstStyle/>
                  <a:p>
                    <a:r>
                      <a:rPr lang="en-US"/>
                      <a:t>58,9%</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8EC-4129-B0C8-C04CF4AB4382}"/>
                </c:ext>
              </c:extLst>
            </c:dLbl>
            <c:dLbl>
              <c:idx val="1"/>
              <c:tx>
                <c:rich>
                  <a:bodyPr/>
                  <a:lstStyle/>
                  <a:p>
                    <a:r>
                      <a:rPr lang="en-US"/>
                      <a:t>11,9%</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58EC-4129-B0C8-C04CF4AB4382}"/>
                </c:ext>
              </c:extLst>
            </c:dLbl>
            <c:dLbl>
              <c:idx val="2"/>
              <c:tx>
                <c:rich>
                  <a:bodyPr/>
                  <a:lstStyle/>
                  <a:p>
                    <a:r>
                      <a:rPr lang="en-US"/>
                      <a:t>26,4%</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58EC-4129-B0C8-C04CF4AB4382}"/>
                </c:ext>
              </c:extLst>
            </c:dLbl>
            <c:dLbl>
              <c:idx val="3"/>
              <c:tx>
                <c:rich>
                  <a:bodyPr/>
                  <a:lstStyle/>
                  <a:p>
                    <a:r>
                      <a:rPr lang="en-US"/>
                      <a:t>2,8%</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E-58EC-4129-B0C8-C04CF4AB438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extLst>
          </c:dLbls>
          <c:cat>
            <c:strRef>
              <c:f>Odra!$J$9:$J$12</c:f>
              <c:strCache>
                <c:ptCount val="4"/>
                <c:pt idx="0">
                  <c:v>Tereny rolne</c:v>
                </c:pt>
                <c:pt idx="1">
                  <c:v>Tereny przekształcone antopogenicznie</c:v>
                </c:pt>
                <c:pt idx="2">
                  <c:v>Tereny leśne</c:v>
                </c:pt>
                <c:pt idx="3">
                  <c:v>Tereny pozostałe</c:v>
                </c:pt>
              </c:strCache>
            </c:strRef>
          </c:cat>
          <c:val>
            <c:numRef>
              <c:f>IIaPGWCLC!$F$23:$I$23</c:f>
              <c:numCache>
                <c:formatCode>0.0</c:formatCode>
                <c:ptCount val="4"/>
                <c:pt idx="0">
                  <c:v>58.857061777617147</c:v>
                </c:pt>
                <c:pt idx="1">
                  <c:v>11.90833254815143</c:v>
                </c:pt>
                <c:pt idx="2">
                  <c:v>26.402974887286195</c:v>
                </c:pt>
                <c:pt idx="3">
                  <c:v>2.831630786945226</c:v>
                </c:pt>
              </c:numCache>
            </c:numRef>
          </c:val>
          <c:extLst>
            <c:ext xmlns:c16="http://schemas.microsoft.com/office/drawing/2014/chart" uri="{C3380CC4-5D6E-409C-BE32-E72D297353CC}">
              <c16:uniqueId val="{0000000F-58EC-4129-B0C8-C04CF4AB4382}"/>
            </c:ext>
          </c:extLst>
        </c:ser>
        <c:ser>
          <c:idx val="1"/>
          <c:order val="2"/>
          <c:tx>
            <c:strRef>
              <c:f>IIaPGWCLC!$F$15:$I$15</c:f>
              <c:strCache>
                <c:ptCount val="4"/>
                <c:pt idx="0">
                  <c:v>Udz_rol%</c:v>
                </c:pt>
                <c:pt idx="1">
                  <c:v>Udz_pow_antrop%</c:v>
                </c:pt>
                <c:pt idx="2">
                  <c:v>Udz_les%</c:v>
                </c:pt>
                <c:pt idx="3">
                  <c:v>Udz_poz%</c:v>
                </c:pt>
              </c:strCache>
            </c:strRef>
          </c:tx>
          <c:dPt>
            <c:idx val="0"/>
            <c:bubble3D val="0"/>
            <c:spPr>
              <a:solidFill>
                <a:schemeClr val="accent1"/>
              </a:solidFill>
              <a:ln>
                <a:noFill/>
              </a:ln>
              <a:effectLst/>
            </c:spPr>
            <c:extLst>
              <c:ext xmlns:c16="http://schemas.microsoft.com/office/drawing/2014/chart" uri="{C3380CC4-5D6E-409C-BE32-E72D297353CC}">
                <c16:uniqueId val="{00000010-58EC-4129-B0C8-C04CF4AB4382}"/>
              </c:ext>
            </c:extLst>
          </c:dPt>
          <c:dPt>
            <c:idx val="1"/>
            <c:bubble3D val="0"/>
            <c:spPr>
              <a:solidFill>
                <a:schemeClr val="accent2"/>
              </a:solidFill>
              <a:ln>
                <a:noFill/>
              </a:ln>
              <a:effectLst/>
            </c:spPr>
            <c:extLst>
              <c:ext xmlns:c16="http://schemas.microsoft.com/office/drawing/2014/chart" uri="{C3380CC4-5D6E-409C-BE32-E72D297353CC}">
                <c16:uniqueId val="{00000011-58EC-4129-B0C8-C04CF4AB4382}"/>
              </c:ext>
            </c:extLst>
          </c:dPt>
          <c:dPt>
            <c:idx val="2"/>
            <c:bubble3D val="0"/>
            <c:spPr>
              <a:solidFill>
                <a:schemeClr val="accent3"/>
              </a:solidFill>
              <a:ln>
                <a:noFill/>
              </a:ln>
              <a:effectLst/>
            </c:spPr>
            <c:extLst>
              <c:ext xmlns:c16="http://schemas.microsoft.com/office/drawing/2014/chart" uri="{C3380CC4-5D6E-409C-BE32-E72D297353CC}">
                <c16:uniqueId val="{00000013-58EC-4129-B0C8-C04CF4AB4382}"/>
              </c:ext>
            </c:extLst>
          </c:dPt>
          <c:dPt>
            <c:idx val="3"/>
            <c:bubble3D val="0"/>
            <c:spPr>
              <a:solidFill>
                <a:schemeClr val="accent4"/>
              </a:solidFill>
              <a:ln>
                <a:noFill/>
              </a:ln>
              <a:effectLst/>
            </c:spPr>
            <c:extLst>
              <c:ext xmlns:c16="http://schemas.microsoft.com/office/drawing/2014/chart" uri="{C3380CC4-5D6E-409C-BE32-E72D297353CC}">
                <c16:uniqueId val="{00000015-58EC-4129-B0C8-C04CF4AB4382}"/>
              </c:ext>
            </c:extLst>
          </c:dPt>
          <c:dLbls>
            <c:delete val="1"/>
          </c:dLbls>
          <c:cat>
            <c:strRef>
              <c:f>Odra!$J$9:$J$12</c:f>
              <c:strCache>
                <c:ptCount val="4"/>
                <c:pt idx="0">
                  <c:v>Tereny rolne</c:v>
                </c:pt>
                <c:pt idx="1">
                  <c:v>Tereny przekształcone antopogenicznie</c:v>
                </c:pt>
                <c:pt idx="2">
                  <c:v>Tereny leśne</c:v>
                </c:pt>
                <c:pt idx="3">
                  <c:v>Tereny pozostałe</c:v>
                </c:pt>
              </c:strCache>
            </c:strRef>
          </c:cat>
          <c:val>
            <c:numRef>
              <c:f>IIaPGWCLC!$F$34:$I$34</c:f>
              <c:numCache>
                <c:formatCode>0.0</c:formatCode>
                <c:ptCount val="4"/>
                <c:pt idx="0">
                  <c:v>27</c:v>
                </c:pt>
                <c:pt idx="1">
                  <c:v>0</c:v>
                </c:pt>
                <c:pt idx="2">
                  <c:v>68</c:v>
                </c:pt>
                <c:pt idx="3">
                  <c:v>5</c:v>
                </c:pt>
              </c:numCache>
            </c:numRef>
          </c:val>
          <c:extLst>
            <c:ext xmlns:c16="http://schemas.microsoft.com/office/drawing/2014/chart" uri="{C3380CC4-5D6E-409C-BE32-E72D297353CC}">
              <c16:uniqueId val="{00000016-58EC-4129-B0C8-C04CF4AB4382}"/>
            </c:ext>
          </c:extLst>
        </c:ser>
        <c:ser>
          <c:idx val="0"/>
          <c:order val="3"/>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8-58EC-4129-B0C8-C04CF4AB4382}"/>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A-58EC-4129-B0C8-C04CF4AB4382}"/>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C-58EC-4129-B0C8-C04CF4AB4382}"/>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E-58EC-4129-B0C8-C04CF4AB4382}"/>
              </c:ext>
            </c:extLst>
          </c:dPt>
          <c:dLbls>
            <c:delete val="1"/>
          </c:dLbls>
          <c:cat>
            <c:strRef>
              <c:f>Odra!$J$9:$J$12</c:f>
              <c:strCache>
                <c:ptCount val="4"/>
                <c:pt idx="0">
                  <c:v>Tereny rolne</c:v>
                </c:pt>
                <c:pt idx="1">
                  <c:v>Tereny przekształcone antopogenicznie</c:v>
                </c:pt>
                <c:pt idx="2">
                  <c:v>Tereny leśne</c:v>
                </c:pt>
                <c:pt idx="3">
                  <c:v>Tereny pozostałe</c:v>
                </c:pt>
              </c:strCache>
            </c:strRef>
          </c:cat>
          <c:val>
            <c:numRef>
              <c:f>IIaPGWCLC!$F$22:$I$22</c:f>
              <c:numCache>
                <c:formatCode>0.0</c:formatCode>
                <c:ptCount val="4"/>
                <c:pt idx="0">
                  <c:v>57.4</c:v>
                </c:pt>
                <c:pt idx="1">
                  <c:v>4.8</c:v>
                </c:pt>
                <c:pt idx="2">
                  <c:v>34</c:v>
                </c:pt>
                <c:pt idx="3">
                  <c:v>3.8000000000000114</c:v>
                </c:pt>
              </c:numCache>
            </c:numRef>
          </c:val>
          <c:extLst>
            <c:ext xmlns:c16="http://schemas.microsoft.com/office/drawing/2014/chart" uri="{C3380CC4-5D6E-409C-BE32-E72D297353CC}">
              <c16:uniqueId val="{0000001F-58EC-4129-B0C8-C04CF4AB438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dk1">
          <a:lumMod val="15000"/>
          <a:lumOff val="85000"/>
        </a:schemeClr>
      </a:solidFill>
      <a:prstDash val="solid"/>
      <a:round/>
    </a:ln>
    <a:effectLst/>
  </c:spPr>
  <c:txPr>
    <a:bodyPr/>
    <a:lstStyle/>
    <a:p>
      <a:pPr>
        <a:defRPr/>
      </a:pPr>
      <a:endParaRPr lang="pl-PL"/>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154943222131043"/>
          <c:y val="2.7217741935483878E-2"/>
          <c:w val="0.55563721887402617"/>
          <c:h val="0.9526209677419355"/>
        </c:manualLayout>
      </c:layout>
      <c:pieChart>
        <c:varyColors val="1"/>
        <c:ser>
          <c:idx val="0"/>
          <c:order val="0"/>
          <c:spPr>
            <a:ln w="1270">
              <a:noFill/>
            </a:ln>
          </c:spPr>
          <c:dLbls>
            <c:spPr>
              <a:solidFill>
                <a:schemeClr val="tx1">
                  <a:alpha val="50000"/>
                </a:schemeClr>
              </a:solidFill>
              <a:ln>
                <a:noFill/>
              </a:ln>
              <a:effectLst/>
            </c:spPr>
            <c:txPr>
              <a:bodyPr wrap="square" lIns="38100" tIns="19050" rIns="38100" bIns="19050" anchor="ctr">
                <a:spAutoFit/>
              </a:bodyPr>
              <a:lstStyle/>
              <a:p>
                <a:pPr>
                  <a:defRPr b="1">
                    <a:solidFill>
                      <a:schemeClr val="bg1"/>
                    </a:solidFill>
                  </a:defRPr>
                </a:pPr>
                <a:endParaRPr lang="pl-PL"/>
              </a:p>
            </c:txPr>
            <c:showLegendKey val="0"/>
            <c:showVal val="1"/>
            <c:showCatName val="0"/>
            <c:showSerName val="0"/>
            <c:showPercent val="0"/>
            <c:showBubbleSize val="0"/>
            <c:showLeaderLines val="1"/>
            <c:extLst>
              <c:ext xmlns:c15="http://schemas.microsoft.com/office/drawing/2012/chart" uri="{CE6537A1-D6FC-4f65-9D91-7224C49458BB}"/>
            </c:extLst>
          </c:dLbls>
          <c:cat>
            <c:strRef>
              <c:f>Arkusz4!$H$14:$H$15</c:f>
              <c:strCache>
                <c:ptCount val="2"/>
                <c:pt idx="0">
                  <c:v>ścieki komunalne</c:v>
                </c:pt>
                <c:pt idx="1">
                  <c:v>ścieki przemysłowe</c:v>
                </c:pt>
              </c:strCache>
            </c:strRef>
          </c:cat>
          <c:val>
            <c:numRef>
              <c:f>Arkusz4!$I$14:$I$15</c:f>
              <c:numCache>
                <c:formatCode>0%</c:formatCode>
                <c:ptCount val="2"/>
                <c:pt idx="0">
                  <c:v>0.92149165848871439</c:v>
                </c:pt>
                <c:pt idx="1">
                  <c:v>7.8508341511285579E-2</c:v>
                </c:pt>
              </c:numCache>
            </c:numRef>
          </c:val>
          <c:extLst>
            <c:ext xmlns:c16="http://schemas.microsoft.com/office/drawing/2014/chart" uri="{C3380CC4-5D6E-409C-BE32-E72D297353CC}">
              <c16:uniqueId val="{00000000-0DEB-41E2-9A6E-47110B03EA53}"/>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w="3175">
      <a:solidFill>
        <a:schemeClr val="bg1">
          <a:lumMod val="85000"/>
        </a:schemeClr>
      </a:solidFill>
    </a:ln>
  </c:sp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wykres_7_16!$A$2</c:f>
              <c:strCache>
                <c:ptCount val="1"/>
                <c:pt idx="0">
                  <c:v>Region wodny Dolnej Odry i Przymorza Zachodniego</c:v>
                </c:pt>
              </c:strCache>
            </c:strRef>
          </c:tx>
          <c:spPr>
            <a:ln w="1270">
              <a:noFill/>
            </a:ln>
          </c:spPr>
          <c:invertIfNegative val="0"/>
          <c:dLbls>
            <c:spPr>
              <a:solidFill>
                <a:schemeClr val="tx1">
                  <a:alpha val="70000"/>
                </a:schemeClr>
              </a:solidFill>
              <a:ln>
                <a:noFill/>
              </a:ln>
              <a:effectLst/>
            </c:spPr>
            <c:txPr>
              <a:bodyPr wrap="square" lIns="38100" tIns="19050" rIns="38100" bIns="19050" anchor="ctr">
                <a:spAutoFit/>
              </a:bodyPr>
              <a:lstStyle/>
              <a:p>
                <a:pPr>
                  <a:defRPr b="1">
                    <a:solidFill>
                      <a:schemeClr val="bg1"/>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wykres_7_16!$B$2</c:f>
              <c:numCache>
                <c:formatCode>0%</c:formatCode>
                <c:ptCount val="1"/>
                <c:pt idx="0">
                  <c:v>9.5283827106606725E-2</c:v>
                </c:pt>
              </c:numCache>
            </c:numRef>
          </c:val>
          <c:extLst>
            <c:ext xmlns:c16="http://schemas.microsoft.com/office/drawing/2014/chart" uri="{C3380CC4-5D6E-409C-BE32-E72D297353CC}">
              <c16:uniqueId val="{00000000-EF25-485E-8517-B507C7683A56}"/>
            </c:ext>
          </c:extLst>
        </c:ser>
        <c:ser>
          <c:idx val="1"/>
          <c:order val="1"/>
          <c:tx>
            <c:strRef>
              <c:f>wykres_7_16!$A$3</c:f>
              <c:strCache>
                <c:ptCount val="1"/>
                <c:pt idx="0">
                  <c:v>Region wodny Górnej Odry </c:v>
                </c:pt>
              </c:strCache>
            </c:strRef>
          </c:tx>
          <c:spPr>
            <a:ln w="1270">
              <a:noFill/>
            </a:ln>
          </c:spPr>
          <c:invertIfNegative val="0"/>
          <c:dLbls>
            <c:spPr>
              <a:solidFill>
                <a:schemeClr val="tx1">
                  <a:alpha val="70000"/>
                </a:schemeClr>
              </a:solidFill>
              <a:ln>
                <a:noFill/>
              </a:ln>
              <a:effectLst/>
            </c:spPr>
            <c:txPr>
              <a:bodyPr wrap="square" lIns="38100" tIns="19050" rIns="38100" bIns="19050" anchor="ctr">
                <a:spAutoFit/>
              </a:bodyPr>
              <a:lstStyle/>
              <a:p>
                <a:pPr>
                  <a:defRPr b="1">
                    <a:solidFill>
                      <a:schemeClr val="bg1"/>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wykres_7_16!$B$3</c:f>
              <c:numCache>
                <c:formatCode>0%</c:formatCode>
                <c:ptCount val="1"/>
                <c:pt idx="0">
                  <c:v>0.68004702625128655</c:v>
                </c:pt>
              </c:numCache>
            </c:numRef>
          </c:val>
          <c:extLst>
            <c:ext xmlns:c16="http://schemas.microsoft.com/office/drawing/2014/chart" uri="{C3380CC4-5D6E-409C-BE32-E72D297353CC}">
              <c16:uniqueId val="{00000001-EF25-485E-8517-B507C7683A56}"/>
            </c:ext>
          </c:extLst>
        </c:ser>
        <c:ser>
          <c:idx val="2"/>
          <c:order val="2"/>
          <c:tx>
            <c:strRef>
              <c:f>wykres_7_16!$A$4</c:f>
              <c:strCache>
                <c:ptCount val="1"/>
                <c:pt idx="0">
                  <c:v>Region wodny Środkowej Odry</c:v>
                </c:pt>
              </c:strCache>
            </c:strRef>
          </c:tx>
          <c:spPr>
            <a:ln w="1270">
              <a:noFill/>
            </a:ln>
          </c:spPr>
          <c:invertIfNegative val="0"/>
          <c:dLbls>
            <c:spPr>
              <a:solidFill>
                <a:schemeClr val="tx1">
                  <a:alpha val="70000"/>
                </a:schemeClr>
              </a:solidFill>
              <a:ln>
                <a:noFill/>
              </a:ln>
              <a:effectLst/>
            </c:spPr>
            <c:txPr>
              <a:bodyPr wrap="square" lIns="38100" tIns="19050" rIns="38100" bIns="19050" anchor="ctr">
                <a:spAutoFit/>
              </a:bodyPr>
              <a:lstStyle/>
              <a:p>
                <a:pPr>
                  <a:defRPr b="1">
                    <a:solidFill>
                      <a:schemeClr val="bg1"/>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wykres_7_16!$B$4</c:f>
              <c:numCache>
                <c:formatCode>0%</c:formatCode>
                <c:ptCount val="1"/>
                <c:pt idx="0">
                  <c:v>0.17955820237013065</c:v>
                </c:pt>
              </c:numCache>
            </c:numRef>
          </c:val>
          <c:extLst>
            <c:ext xmlns:c16="http://schemas.microsoft.com/office/drawing/2014/chart" uri="{C3380CC4-5D6E-409C-BE32-E72D297353CC}">
              <c16:uniqueId val="{00000002-EF25-485E-8517-B507C7683A56}"/>
            </c:ext>
          </c:extLst>
        </c:ser>
        <c:ser>
          <c:idx val="3"/>
          <c:order val="3"/>
          <c:tx>
            <c:strRef>
              <c:f>wykres_7_16!$A$5</c:f>
              <c:strCache>
                <c:ptCount val="1"/>
                <c:pt idx="0">
                  <c:v>Region wodny Warty</c:v>
                </c:pt>
              </c:strCache>
            </c:strRef>
          </c:tx>
          <c:spPr>
            <a:ln w="1270">
              <a:noFill/>
            </a:ln>
          </c:spPr>
          <c:invertIfNegative val="0"/>
          <c:dLbls>
            <c:dLbl>
              <c:idx val="0"/>
              <c:spPr>
                <a:solidFill>
                  <a:schemeClr val="tx1">
                    <a:alpha val="70000"/>
                  </a:schemeClr>
                </a:solidFill>
                <a:ln>
                  <a:noFill/>
                </a:ln>
                <a:effectLst/>
              </c:spPr>
              <c:txPr>
                <a:bodyPr wrap="square" lIns="38100" tIns="19050" rIns="38100" bIns="19050" anchor="ctr">
                  <a:spAutoFit/>
                </a:bodyPr>
                <a:lstStyle/>
                <a:p>
                  <a:pPr>
                    <a:defRPr b="1">
                      <a:solidFill>
                        <a:schemeClr val="bg1"/>
                      </a:solidFill>
                    </a:defRPr>
                  </a:pPr>
                  <a:endParaRPr lang="pl-PL"/>
                </a:p>
              </c:txPr>
              <c:showLegendKey val="0"/>
              <c:showVal val="1"/>
              <c:showCatName val="0"/>
              <c:showSerName val="0"/>
              <c:showPercent val="0"/>
              <c:showBubbleSize val="0"/>
              <c:extLst>
                <c:ext xmlns:c16="http://schemas.microsoft.com/office/drawing/2014/chart" uri="{C3380CC4-5D6E-409C-BE32-E72D297353CC}">
                  <c16:uniqueId val="{00000000-67E3-4731-A92D-E7E2B5B8D071}"/>
                </c:ext>
              </c:extLst>
            </c:dLbl>
            <c:spPr>
              <a:solidFill>
                <a:schemeClr val="tx1">
                  <a:alpha val="70000"/>
                </a:schemeClr>
              </a:solidFill>
              <a:ln>
                <a:noFill/>
              </a:ln>
              <a:effectLst/>
            </c:spPr>
            <c:txPr>
              <a:bodyPr wrap="square" lIns="38100" tIns="19050" rIns="38100" bIns="19050" anchor="ctr">
                <a:spAutoFit/>
              </a:bodyPr>
              <a:lstStyle/>
              <a:p>
                <a:pPr>
                  <a:defRPr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wykres_7_16!$B$5</c:f>
              <c:numCache>
                <c:formatCode>0%</c:formatCode>
                <c:ptCount val="1"/>
                <c:pt idx="0">
                  <c:v>0.46030876376705643</c:v>
                </c:pt>
              </c:numCache>
            </c:numRef>
          </c:val>
          <c:extLst>
            <c:ext xmlns:c16="http://schemas.microsoft.com/office/drawing/2014/chart" uri="{C3380CC4-5D6E-409C-BE32-E72D297353CC}">
              <c16:uniqueId val="{00000003-EF25-485E-8517-B507C7683A56}"/>
            </c:ext>
          </c:extLst>
        </c:ser>
        <c:ser>
          <c:idx val="4"/>
          <c:order val="4"/>
          <c:tx>
            <c:strRef>
              <c:f>wykres_7_16!$A$6</c:f>
              <c:strCache>
                <c:ptCount val="1"/>
                <c:pt idx="0">
                  <c:v>Region wodny Noteci</c:v>
                </c:pt>
              </c:strCache>
            </c:strRef>
          </c:tx>
          <c:spPr>
            <a:ln w="1270">
              <a:noFill/>
            </a:ln>
          </c:spPr>
          <c:invertIfNegative val="0"/>
          <c:dLbls>
            <c:spPr>
              <a:solidFill>
                <a:schemeClr val="tx1">
                  <a:alpha val="70000"/>
                </a:schemeClr>
              </a:solidFill>
              <a:ln>
                <a:noFill/>
              </a:ln>
              <a:effectLst/>
            </c:spPr>
            <c:txPr>
              <a:bodyPr wrap="square" lIns="38100" tIns="19050" rIns="38100" bIns="19050" anchor="ctr">
                <a:spAutoFit/>
              </a:bodyPr>
              <a:lstStyle/>
              <a:p>
                <a:pPr>
                  <a:defRPr b="1">
                    <a:solidFill>
                      <a:schemeClr val="bg1"/>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wykres_7_16!$B$6</c:f>
              <c:numCache>
                <c:formatCode>0%</c:formatCode>
                <c:ptCount val="1"/>
                <c:pt idx="0">
                  <c:v>0.12885554333156504</c:v>
                </c:pt>
              </c:numCache>
            </c:numRef>
          </c:val>
          <c:extLst>
            <c:ext xmlns:c16="http://schemas.microsoft.com/office/drawing/2014/chart" uri="{C3380CC4-5D6E-409C-BE32-E72D297353CC}">
              <c16:uniqueId val="{00000004-EF25-485E-8517-B507C7683A56}"/>
            </c:ext>
          </c:extLst>
        </c:ser>
        <c:dLbls>
          <c:showLegendKey val="0"/>
          <c:showVal val="0"/>
          <c:showCatName val="0"/>
          <c:showSerName val="0"/>
          <c:showPercent val="0"/>
          <c:showBubbleSize val="0"/>
        </c:dLbls>
        <c:gapWidth val="100"/>
        <c:axId val="62699143"/>
        <c:axId val="62704391"/>
      </c:barChart>
      <c:valAx>
        <c:axId val="62704391"/>
        <c:scaling>
          <c:orientation val="minMax"/>
        </c:scaling>
        <c:delete val="0"/>
        <c:axPos val="b"/>
        <c:majorGridlines>
          <c:spPr>
            <a:ln>
              <a:solidFill>
                <a:schemeClr val="bg1">
                  <a:lumMod val="85000"/>
                </a:schemeClr>
              </a:solidFill>
            </a:ln>
          </c:spPr>
        </c:majorGridlines>
        <c:numFmt formatCode="0%" sourceLinked="1"/>
        <c:majorTickMark val="out"/>
        <c:minorTickMark val="none"/>
        <c:tickLblPos val="nextTo"/>
        <c:spPr>
          <a:ln>
            <a:solidFill>
              <a:schemeClr val="bg1">
                <a:lumMod val="85000"/>
              </a:schemeClr>
            </a:solidFill>
          </a:ln>
        </c:spPr>
        <c:txPr>
          <a:bodyPr/>
          <a:lstStyle/>
          <a:p>
            <a:pPr>
              <a:defRPr sz="900"/>
            </a:pPr>
            <a:endParaRPr lang="pl-PL"/>
          </a:p>
        </c:txPr>
        <c:crossAx val="62699143"/>
        <c:crosses val="autoZero"/>
        <c:crossBetween val="between"/>
      </c:valAx>
      <c:catAx>
        <c:axId val="62699143"/>
        <c:scaling>
          <c:orientation val="minMax"/>
        </c:scaling>
        <c:delete val="1"/>
        <c:axPos val="l"/>
        <c:majorTickMark val="out"/>
        <c:minorTickMark val="none"/>
        <c:tickLblPos val="nextTo"/>
        <c:crossAx val="62704391"/>
        <c:crosses val="autoZero"/>
        <c:auto val="1"/>
        <c:lblAlgn val="ctr"/>
        <c:lblOffset val="100"/>
        <c:noMultiLvlLbl val="0"/>
      </c:catAx>
    </c:plotArea>
    <c:legend>
      <c:legendPos val="r"/>
      <c:overlay val="0"/>
      <c:txPr>
        <a:bodyPr/>
        <a:lstStyle/>
        <a:p>
          <a:pPr>
            <a:defRPr sz="900"/>
          </a:pPr>
          <a:endParaRPr lang="pl-PL"/>
        </a:p>
      </c:txPr>
    </c:legend>
    <c:plotVisOnly val="1"/>
    <c:dispBlanksAs val="gap"/>
    <c:showDLblsOverMax val="0"/>
  </c:chart>
  <c:spPr>
    <a:ln w="3175">
      <a:solidFill>
        <a:schemeClr val="bg1">
          <a:lumMod val="85000"/>
        </a:schemeClr>
      </a:solidFill>
    </a:ln>
  </c:sp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baseline="0"/>
              <a:t>Ocena osiągnięcia celów środowiskowych wyznaczonych</a:t>
            </a:r>
            <a:r>
              <a:rPr lang="pl-PL" sz="1100" b="0" i="0" u="none" strike="noStrike" kern="1200" spc="0" baseline="0">
                <a:solidFill>
                  <a:sysClr val="windowText" lastClr="000000">
                    <a:lumMod val="65000"/>
                    <a:lumOff val="35000"/>
                  </a:sysClr>
                </a:solidFill>
                <a:latin typeface="+mn-lt"/>
                <a:ea typeface="+mn-ea"/>
                <a:cs typeface="+mn-cs"/>
              </a:rPr>
              <a:t> </a:t>
            </a:r>
            <a:br>
              <a:rPr lang="pl-PL" sz="1100" b="0" i="0" u="none" strike="noStrike" kern="1200" spc="0" baseline="0">
                <a:solidFill>
                  <a:sysClr val="windowText" lastClr="000000">
                    <a:lumMod val="65000"/>
                    <a:lumOff val="35000"/>
                  </a:sysClr>
                </a:solidFill>
                <a:latin typeface="+mn-lt"/>
                <a:ea typeface="+mn-ea"/>
                <a:cs typeface="+mn-cs"/>
              </a:rPr>
            </a:br>
            <a:r>
              <a:rPr lang="en-US" sz="1100" baseline="0"/>
              <a:t>w aPGW dla stanu/potencjału ekologicznego</a:t>
            </a:r>
          </a:p>
        </c:rich>
      </c:tx>
      <c:overlay val="0"/>
      <c:spPr>
        <a:noFill/>
        <a:ln>
          <a:noFill/>
        </a:ln>
        <a:effectLst/>
      </c:spPr>
    </c:title>
    <c:autoTitleDeleted val="0"/>
    <c:plotArea>
      <c:layout>
        <c:manualLayout>
          <c:layoutTarget val="inner"/>
          <c:xMode val="edge"/>
          <c:yMode val="edge"/>
          <c:x val="7.7098507670003216E-2"/>
          <c:y val="0.1716298180395226"/>
          <c:w val="0.8986457040168766"/>
          <c:h val="0.6033184562553825"/>
        </c:manualLayout>
      </c:layout>
      <c:barChart>
        <c:barDir val="col"/>
        <c:grouping val="percentStacked"/>
        <c:varyColors val="0"/>
        <c:ser>
          <c:idx val="0"/>
          <c:order val="0"/>
          <c:tx>
            <c:strRef>
              <c:f>'[2apgw_cele_srodowiskowe_rzeki_rozdz_8.xlsx]ODRA'!$U$34</c:f>
              <c:strCache>
                <c:ptCount val="1"/>
                <c:pt idx="0">
                  <c:v>brak oceny</c:v>
                </c:pt>
              </c:strCache>
            </c:strRef>
          </c:tx>
          <c:spPr>
            <a:solidFill>
              <a:schemeClr val="bg1">
                <a:lumMod val="50000"/>
              </a:schemeClr>
            </a:solidFill>
            <a:ln w="1270">
              <a:no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'[2apgw_cele_srodowiskowe_rzeki_rozdz_8.xlsx]ODRA'!$U$35:$U$40</c:f>
              <c:numCache>
                <c:formatCode>0.00%</c:formatCode>
                <c:ptCount val="6"/>
                <c:pt idx="0">
                  <c:v>2.5943396226415096E-2</c:v>
                </c:pt>
                <c:pt idx="1">
                  <c:v>4.2253521126760563E-2</c:v>
                </c:pt>
                <c:pt idx="2">
                  <c:v>4.2600896860986545E-2</c:v>
                </c:pt>
                <c:pt idx="3">
                  <c:v>1.4336917562724014E-2</c:v>
                </c:pt>
                <c:pt idx="4">
                  <c:v>7.4074074074074077E-3</c:v>
                </c:pt>
                <c:pt idx="5">
                  <c:v>1.1111111111111112E-2</c:v>
                </c:pt>
              </c:numCache>
            </c:numRef>
          </c:val>
          <c:extLst>
            <c:ext xmlns:c16="http://schemas.microsoft.com/office/drawing/2014/chart" uri="{C3380CC4-5D6E-409C-BE32-E72D297353CC}">
              <c16:uniqueId val="{00000000-33F3-4902-AB0B-7F786BD7017A}"/>
            </c:ext>
          </c:extLst>
        </c:ser>
        <c:ser>
          <c:idx val="1"/>
          <c:order val="1"/>
          <c:tx>
            <c:strRef>
              <c:f>'[2apgw_cele_srodowiskowe_rzeki_rozdz_8.xlsx]ODRA'!$V$34</c:f>
              <c:strCache>
                <c:ptCount val="1"/>
                <c:pt idx="0">
                  <c:v>NIE</c:v>
                </c:pt>
              </c:strCache>
            </c:strRef>
          </c:tx>
          <c:spPr>
            <a:solidFill>
              <a:srgbClr val="FF0000"/>
            </a:solidFill>
            <a:ln w="1270">
              <a:no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'[2apgw_cele_srodowiskowe_rzeki_rozdz_8.xlsx]ODRA'!$V$35:$V$40</c:f>
              <c:numCache>
                <c:formatCode>0.00%</c:formatCode>
                <c:ptCount val="6"/>
                <c:pt idx="0">
                  <c:v>0.59827044025157228</c:v>
                </c:pt>
                <c:pt idx="1">
                  <c:v>0.53521126760563376</c:v>
                </c:pt>
                <c:pt idx="2">
                  <c:v>0.5358744394618834</c:v>
                </c:pt>
                <c:pt idx="3">
                  <c:v>0.89247311827956988</c:v>
                </c:pt>
                <c:pt idx="4">
                  <c:v>0.61481481481481481</c:v>
                </c:pt>
                <c:pt idx="5">
                  <c:v>0.42222222222222222</c:v>
                </c:pt>
              </c:numCache>
            </c:numRef>
          </c:val>
          <c:extLst>
            <c:ext xmlns:c16="http://schemas.microsoft.com/office/drawing/2014/chart" uri="{C3380CC4-5D6E-409C-BE32-E72D297353CC}">
              <c16:uniqueId val="{00000001-33F3-4902-AB0B-7F786BD7017A}"/>
            </c:ext>
          </c:extLst>
        </c:ser>
        <c:ser>
          <c:idx val="2"/>
          <c:order val="2"/>
          <c:tx>
            <c:strRef>
              <c:f>'[2apgw_cele_srodowiskowe_rzeki_rozdz_8.xlsx]ODRA'!$W$34</c:f>
              <c:strCache>
                <c:ptCount val="1"/>
                <c:pt idx="0">
                  <c:v>TAK</c:v>
                </c:pt>
              </c:strCache>
            </c:strRef>
          </c:tx>
          <c:spPr>
            <a:solidFill>
              <a:srgbClr val="00B0F0"/>
            </a:solidFill>
            <a:ln w="1270">
              <a:no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'[2apgw_cele_srodowiskowe_rzeki_rozdz_8.xlsx]ODRA'!$W$35:$W$40</c:f>
              <c:numCache>
                <c:formatCode>0.00%</c:formatCode>
                <c:ptCount val="6"/>
                <c:pt idx="0">
                  <c:v>5.1100628930817613E-2</c:v>
                </c:pt>
                <c:pt idx="1">
                  <c:v>4.2253521126760563E-2</c:v>
                </c:pt>
                <c:pt idx="2">
                  <c:v>3.811659192825112E-2</c:v>
                </c:pt>
                <c:pt idx="3">
                  <c:v>4.3010752688172046E-2</c:v>
                </c:pt>
                <c:pt idx="4">
                  <c:v>0.13333333333333333</c:v>
                </c:pt>
                <c:pt idx="5">
                  <c:v>4.4444444444444446E-2</c:v>
                </c:pt>
              </c:numCache>
            </c:numRef>
          </c:val>
          <c:extLst>
            <c:ext xmlns:c16="http://schemas.microsoft.com/office/drawing/2014/chart" uri="{C3380CC4-5D6E-409C-BE32-E72D297353CC}">
              <c16:uniqueId val="{00000002-33F3-4902-AB0B-7F786BD7017A}"/>
            </c:ext>
          </c:extLst>
        </c:ser>
        <c:ser>
          <c:idx val="3"/>
          <c:order val="3"/>
          <c:tx>
            <c:strRef>
              <c:f>'[2apgw_cele_srodowiskowe_rzeki_rozdz_8.xlsx]ODRA'!$X$34</c:f>
              <c:strCache>
                <c:ptCount val="1"/>
                <c:pt idx="0">
                  <c:v>brak oceny - cel nie został wyznaczony</c:v>
                </c:pt>
              </c:strCache>
            </c:strRef>
          </c:tx>
          <c:spPr>
            <a:solidFill>
              <a:srgbClr val="D9D9D9"/>
            </a:solidFill>
            <a:ln w="1270">
              <a:no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'[2apgw_cele_srodowiskowe_rzeki_rozdz_8.xlsx]ODRA'!$X$35:$X$40</c:f>
              <c:numCache>
                <c:formatCode>0.00%</c:formatCode>
                <c:ptCount val="6"/>
                <c:pt idx="0">
                  <c:v>0.32468553459119498</c:v>
                </c:pt>
                <c:pt idx="1">
                  <c:v>0.38028169014084506</c:v>
                </c:pt>
                <c:pt idx="2">
                  <c:v>0.38340807174887892</c:v>
                </c:pt>
                <c:pt idx="3">
                  <c:v>5.0179211469534052E-2</c:v>
                </c:pt>
                <c:pt idx="4">
                  <c:v>0.24444444444444444</c:v>
                </c:pt>
                <c:pt idx="5">
                  <c:v>0.52222222222222225</c:v>
                </c:pt>
              </c:numCache>
            </c:numRef>
          </c:val>
          <c:extLst>
            <c:ext xmlns:c16="http://schemas.microsoft.com/office/drawing/2014/chart" uri="{C3380CC4-5D6E-409C-BE32-E72D297353CC}">
              <c16:uniqueId val="{00000003-33F3-4902-AB0B-7F786BD7017A}"/>
            </c:ext>
          </c:extLst>
        </c:ser>
        <c:dLbls>
          <c:showLegendKey val="0"/>
          <c:showVal val="0"/>
          <c:showCatName val="0"/>
          <c:showSerName val="0"/>
          <c:showPercent val="0"/>
          <c:showBubbleSize val="0"/>
        </c:dLbls>
        <c:gapWidth val="150"/>
        <c:overlap val="100"/>
        <c:axId val="308040192"/>
        <c:axId val="322214080"/>
      </c:barChart>
      <c:catAx>
        <c:axId val="308040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22214080"/>
        <c:crosses val="autoZero"/>
        <c:auto val="1"/>
        <c:lblAlgn val="ctr"/>
        <c:lblOffset val="100"/>
        <c:noMultiLvlLbl val="0"/>
      </c:catAx>
      <c:valAx>
        <c:axId val="322214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8040192"/>
        <c:crosses val="autoZero"/>
        <c:crossBetween val="between"/>
      </c:valAx>
      <c:spPr>
        <a:noFill/>
        <a:ln>
          <a:noFill/>
        </a:ln>
        <a:effectLst/>
      </c:spPr>
    </c:plotArea>
    <c:legend>
      <c:legendPos val="b"/>
      <c:layout>
        <c:manualLayout>
          <c:xMode val="edge"/>
          <c:yMode val="edge"/>
          <c:x val="0.16723176692218875"/>
          <c:y val="0.92000640890344587"/>
          <c:w val="0.65230603616664784"/>
          <c:h val="5.953472609009074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lang="pl-PL" sz="1100" b="0" i="0" u="none" strike="noStrike" kern="1200" spc="0" baseline="0">
                <a:solidFill>
                  <a:schemeClr val="tx1">
                    <a:lumMod val="65000"/>
                    <a:lumOff val="35000"/>
                  </a:schemeClr>
                </a:solidFill>
                <a:latin typeface="+mn-lt"/>
                <a:ea typeface="+mn-ea"/>
                <a:cs typeface="+mn-cs"/>
              </a:defRPr>
            </a:pPr>
            <a:r>
              <a:rPr lang="pl-PL" sz="1100"/>
              <a:t>Ocena osiągnięcia celów środowiskowych wyznaczonych</a:t>
            </a:r>
            <a:r>
              <a:rPr lang="pl-PL" sz="1100" baseline="0"/>
              <a:t> </a:t>
            </a:r>
            <a:br>
              <a:rPr lang="pl-PL" sz="1100" baseline="0"/>
            </a:br>
            <a:r>
              <a:rPr lang="pl-PL" sz="1100"/>
              <a:t>w aPGW dla migracji ryb</a:t>
            </a:r>
          </a:p>
        </c:rich>
      </c:tx>
      <c:overlay val="0"/>
      <c:spPr>
        <a:noFill/>
        <a:ln>
          <a:noFill/>
        </a:ln>
        <a:effectLst/>
      </c:spPr>
    </c:title>
    <c:autoTitleDeleted val="0"/>
    <c:plotArea>
      <c:layout/>
      <c:barChart>
        <c:barDir val="col"/>
        <c:grouping val="percentStacked"/>
        <c:varyColors val="0"/>
        <c:ser>
          <c:idx val="0"/>
          <c:order val="0"/>
          <c:tx>
            <c:strRef>
              <c:f>'[2apgw_cele_srodowiskowe_rzeki_rozdz_8.xlsx]ODRA'!$AB$34</c:f>
              <c:strCache>
                <c:ptCount val="1"/>
                <c:pt idx="0">
                  <c:v>NIE</c:v>
                </c:pt>
              </c:strCache>
            </c:strRef>
          </c:tx>
          <c:spPr>
            <a:solidFill>
              <a:srgbClr val="FF0000"/>
            </a:solidFill>
            <a:ln w="1270">
              <a:no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'[2apgw_cele_srodowiskowe_rzeki_rozdz_8.xlsx]ODRA'!$AB$35:$AB$40</c:f>
              <c:numCache>
                <c:formatCode>0%</c:formatCode>
                <c:ptCount val="6"/>
                <c:pt idx="0">
                  <c:v>0.74757281553398058</c:v>
                </c:pt>
                <c:pt idx="1">
                  <c:v>1</c:v>
                </c:pt>
                <c:pt idx="2">
                  <c:v>0.84848484848484851</c:v>
                </c:pt>
                <c:pt idx="3">
                  <c:v>0.52941176470588236</c:v>
                </c:pt>
                <c:pt idx="4">
                  <c:v>0.65217391304347827</c:v>
                </c:pt>
                <c:pt idx="5">
                  <c:v>0.8</c:v>
                </c:pt>
              </c:numCache>
            </c:numRef>
          </c:val>
          <c:extLst>
            <c:ext xmlns:c16="http://schemas.microsoft.com/office/drawing/2014/chart" uri="{C3380CC4-5D6E-409C-BE32-E72D297353CC}">
              <c16:uniqueId val="{00000000-2EBB-40DE-BA23-B43FCE05FD7D}"/>
            </c:ext>
          </c:extLst>
        </c:ser>
        <c:ser>
          <c:idx val="1"/>
          <c:order val="1"/>
          <c:tx>
            <c:strRef>
              <c:f>'[2apgw_cele_srodowiskowe_rzeki_rozdz_8.xlsx]ODRA'!$AC$34</c:f>
              <c:strCache>
                <c:ptCount val="1"/>
                <c:pt idx="0">
                  <c:v>TAK</c:v>
                </c:pt>
              </c:strCache>
            </c:strRef>
          </c:tx>
          <c:spPr>
            <a:solidFill>
              <a:srgbClr val="00B0F0"/>
            </a:solidFill>
            <a:ln w="1270">
              <a:no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'[2apgw_cele_srodowiskowe_rzeki_rozdz_8.xlsx]ODRA'!$AC$35:$AC$40</c:f>
              <c:numCache>
                <c:formatCode>0%</c:formatCode>
                <c:ptCount val="6"/>
                <c:pt idx="0">
                  <c:v>0.25242718446601942</c:v>
                </c:pt>
                <c:pt idx="1">
                  <c:v>0</c:v>
                </c:pt>
                <c:pt idx="2">
                  <c:v>0.15151515151515152</c:v>
                </c:pt>
                <c:pt idx="3">
                  <c:v>0.47058823529411764</c:v>
                </c:pt>
                <c:pt idx="4">
                  <c:v>0.34782608695652173</c:v>
                </c:pt>
                <c:pt idx="5">
                  <c:v>0.2</c:v>
                </c:pt>
              </c:numCache>
            </c:numRef>
          </c:val>
          <c:extLst>
            <c:ext xmlns:c16="http://schemas.microsoft.com/office/drawing/2014/chart" uri="{C3380CC4-5D6E-409C-BE32-E72D297353CC}">
              <c16:uniqueId val="{00000001-2EBB-40DE-BA23-B43FCE05FD7D}"/>
            </c:ext>
          </c:extLst>
        </c:ser>
        <c:dLbls>
          <c:showLegendKey val="0"/>
          <c:showVal val="0"/>
          <c:showCatName val="0"/>
          <c:showSerName val="0"/>
          <c:showPercent val="0"/>
          <c:showBubbleSize val="0"/>
        </c:dLbls>
        <c:gapWidth val="150"/>
        <c:overlap val="100"/>
        <c:axId val="320799232"/>
        <c:axId val="322338816"/>
      </c:barChart>
      <c:catAx>
        <c:axId val="320799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22338816"/>
        <c:crosses val="autoZero"/>
        <c:auto val="1"/>
        <c:lblAlgn val="ctr"/>
        <c:lblOffset val="100"/>
        <c:noMultiLvlLbl val="0"/>
      </c:catAx>
      <c:valAx>
        <c:axId val="322338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0799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aseline="0"/>
              <a:t>Ocena osiągnięcia celów środowiskowych wyznaczonych</a:t>
            </a:r>
            <a:br>
              <a:rPr lang="pl-PL" sz="1100" baseline="0"/>
            </a:br>
            <a:r>
              <a:rPr lang="pl-PL" sz="1100" baseline="0"/>
              <a:t>w aPGW dla stanu chemicznego</a:t>
            </a:r>
          </a:p>
        </c:rich>
      </c:tx>
      <c:overlay val="0"/>
      <c:spPr>
        <a:noFill/>
        <a:ln>
          <a:noFill/>
        </a:ln>
        <a:effectLst/>
      </c:spPr>
    </c:title>
    <c:autoTitleDeleted val="0"/>
    <c:plotArea>
      <c:layout/>
      <c:barChart>
        <c:barDir val="col"/>
        <c:grouping val="percentStacked"/>
        <c:varyColors val="0"/>
        <c:ser>
          <c:idx val="0"/>
          <c:order val="0"/>
          <c:tx>
            <c:strRef>
              <c:f>'[2apgw_cele_srodowiskowe_rzeki_rozdz_8.xlsx]ODRA'!$AH$34</c:f>
              <c:strCache>
                <c:ptCount val="1"/>
                <c:pt idx="0">
                  <c:v>brak oceny</c:v>
                </c:pt>
              </c:strCache>
            </c:strRef>
          </c:tx>
          <c:spPr>
            <a:solidFill>
              <a:schemeClr val="bg1">
                <a:lumMod val="50000"/>
              </a:schemeClr>
            </a:solidFill>
            <a:ln w="1270">
              <a:no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'[2apgw_cele_srodowiskowe_rzeki_rozdz_8.xlsx]ODRA'!$AH$35:$AH$40</c:f>
              <c:numCache>
                <c:formatCode>0%</c:formatCode>
                <c:ptCount val="6"/>
                <c:pt idx="0">
                  <c:v>0.23113207547169812</c:v>
                </c:pt>
                <c:pt idx="1">
                  <c:v>0.26760563380281688</c:v>
                </c:pt>
                <c:pt idx="2">
                  <c:v>0.21300448430493274</c:v>
                </c:pt>
                <c:pt idx="3">
                  <c:v>0.28315412186379929</c:v>
                </c:pt>
                <c:pt idx="4">
                  <c:v>0.19259259259259259</c:v>
                </c:pt>
                <c:pt idx="5">
                  <c:v>0.2074074074074074</c:v>
                </c:pt>
              </c:numCache>
            </c:numRef>
          </c:val>
          <c:extLst>
            <c:ext xmlns:c16="http://schemas.microsoft.com/office/drawing/2014/chart" uri="{C3380CC4-5D6E-409C-BE32-E72D297353CC}">
              <c16:uniqueId val="{00000000-B3A6-47E0-9052-DCB646892ED9}"/>
            </c:ext>
          </c:extLst>
        </c:ser>
        <c:ser>
          <c:idx val="1"/>
          <c:order val="1"/>
          <c:tx>
            <c:strRef>
              <c:f>'[2apgw_cele_srodowiskowe_rzeki_rozdz_8.xlsx]ODRA'!$AI$34</c:f>
              <c:strCache>
                <c:ptCount val="1"/>
                <c:pt idx="0">
                  <c:v>brak oceny - cel nie został wyznaczony</c:v>
                </c:pt>
              </c:strCache>
            </c:strRef>
          </c:tx>
          <c:spPr>
            <a:solidFill>
              <a:schemeClr val="bg1">
                <a:lumMod val="75000"/>
              </a:schemeClr>
            </a:solidFill>
            <a:ln w="1270">
              <a:no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'[2apgw_cele_srodowiskowe_rzeki_rozdz_8.xlsx]ODRA'!$AI$35:$AI$40</c:f>
              <c:numCache>
                <c:formatCode>0%</c:formatCode>
                <c:ptCount val="6"/>
                <c:pt idx="0">
                  <c:v>0.32468553459119498</c:v>
                </c:pt>
                <c:pt idx="1">
                  <c:v>0.38028169014084506</c:v>
                </c:pt>
                <c:pt idx="2">
                  <c:v>0.38340807174887892</c:v>
                </c:pt>
                <c:pt idx="3">
                  <c:v>5.0179211469534052E-2</c:v>
                </c:pt>
                <c:pt idx="4">
                  <c:v>0.24444444444444444</c:v>
                </c:pt>
                <c:pt idx="5">
                  <c:v>0.52222222222222225</c:v>
                </c:pt>
              </c:numCache>
            </c:numRef>
          </c:val>
          <c:extLst>
            <c:ext xmlns:c16="http://schemas.microsoft.com/office/drawing/2014/chart" uri="{C3380CC4-5D6E-409C-BE32-E72D297353CC}">
              <c16:uniqueId val="{00000001-B3A6-47E0-9052-DCB646892ED9}"/>
            </c:ext>
          </c:extLst>
        </c:ser>
        <c:ser>
          <c:idx val="2"/>
          <c:order val="2"/>
          <c:tx>
            <c:strRef>
              <c:f>'[2apgw_cele_srodowiskowe_rzeki_rozdz_8.xlsx]ODRA'!$AJ$34</c:f>
              <c:strCache>
                <c:ptCount val="1"/>
                <c:pt idx="0">
                  <c:v>NIE</c:v>
                </c:pt>
              </c:strCache>
            </c:strRef>
          </c:tx>
          <c:spPr>
            <a:solidFill>
              <a:srgbClr val="FF0000"/>
            </a:solidFill>
            <a:ln w="1270">
              <a:no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'[2apgw_cele_srodowiskowe_rzeki_rozdz_8.xlsx]ODRA'!$AJ$35:$AJ$40</c:f>
              <c:numCache>
                <c:formatCode>0%</c:formatCode>
                <c:ptCount val="6"/>
                <c:pt idx="0">
                  <c:v>0.40566037735849059</c:v>
                </c:pt>
                <c:pt idx="1">
                  <c:v>0.33098591549295775</c:v>
                </c:pt>
                <c:pt idx="2">
                  <c:v>0.37892376681614348</c:v>
                </c:pt>
                <c:pt idx="3">
                  <c:v>0.56630824372759858</c:v>
                </c:pt>
                <c:pt idx="4">
                  <c:v>0.54074074074074074</c:v>
                </c:pt>
                <c:pt idx="5">
                  <c:v>0.25555555555555554</c:v>
                </c:pt>
              </c:numCache>
            </c:numRef>
          </c:val>
          <c:extLst>
            <c:ext xmlns:c16="http://schemas.microsoft.com/office/drawing/2014/chart" uri="{C3380CC4-5D6E-409C-BE32-E72D297353CC}">
              <c16:uniqueId val="{00000002-B3A6-47E0-9052-DCB646892ED9}"/>
            </c:ext>
          </c:extLst>
        </c:ser>
        <c:ser>
          <c:idx val="3"/>
          <c:order val="3"/>
          <c:tx>
            <c:strRef>
              <c:f>'[2apgw_cele_srodowiskowe_rzeki_rozdz_8.xlsx]ODRA'!$AK$34</c:f>
              <c:strCache>
                <c:ptCount val="1"/>
                <c:pt idx="0">
                  <c:v>TAK</c:v>
                </c:pt>
              </c:strCache>
            </c:strRef>
          </c:tx>
          <c:spPr>
            <a:solidFill>
              <a:srgbClr val="00B0F0"/>
            </a:solidFill>
            <a:ln w="1270">
              <a:no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'[2apgw_cele_srodowiskowe_rzeki_rozdz_8.xlsx]ODRA'!$AK$35:$AK$40</c:f>
              <c:numCache>
                <c:formatCode>0.0%</c:formatCode>
                <c:ptCount val="6"/>
                <c:pt idx="0">
                  <c:v>3.8522012578616351E-2</c:v>
                </c:pt>
                <c:pt idx="1">
                  <c:v>2.1126760563380281E-2</c:v>
                </c:pt>
                <c:pt idx="2">
                  <c:v>2.4663677130044841E-2</c:v>
                </c:pt>
                <c:pt idx="3">
                  <c:v>0.1003584229390681</c:v>
                </c:pt>
                <c:pt idx="4">
                  <c:v>2.2222222222222223E-2</c:v>
                </c:pt>
                <c:pt idx="5">
                  <c:v>1.4814814814814815E-2</c:v>
                </c:pt>
              </c:numCache>
            </c:numRef>
          </c:val>
          <c:extLst>
            <c:ext xmlns:c16="http://schemas.microsoft.com/office/drawing/2014/chart" uri="{C3380CC4-5D6E-409C-BE32-E72D297353CC}">
              <c16:uniqueId val="{00000003-B3A6-47E0-9052-DCB646892ED9}"/>
            </c:ext>
          </c:extLst>
        </c:ser>
        <c:dLbls>
          <c:showLegendKey val="0"/>
          <c:showVal val="0"/>
          <c:showCatName val="0"/>
          <c:showSerName val="0"/>
          <c:showPercent val="0"/>
          <c:showBubbleSize val="0"/>
        </c:dLbls>
        <c:gapWidth val="150"/>
        <c:overlap val="100"/>
        <c:axId val="321036800"/>
        <c:axId val="322340544"/>
      </c:barChart>
      <c:catAx>
        <c:axId val="321036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22340544"/>
        <c:crosses val="autoZero"/>
        <c:auto val="1"/>
        <c:lblAlgn val="ctr"/>
        <c:lblOffset val="100"/>
        <c:noMultiLvlLbl val="0"/>
      </c:catAx>
      <c:valAx>
        <c:axId val="322340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1036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aseline="0"/>
              <a:t>Ocena osiągnięcia celów środowiskowych wyznaczonych                                              w aPGW dla stanu ogólnego wód</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7.7081510644502776E-2"/>
          <c:y val="0.17269209508015479"/>
          <c:w val="0.89866804843838965"/>
          <c:h val="0.59134511171178228"/>
        </c:manualLayout>
      </c:layout>
      <c:barChart>
        <c:barDir val="col"/>
        <c:grouping val="percentStacked"/>
        <c:varyColors val="0"/>
        <c:ser>
          <c:idx val="0"/>
          <c:order val="0"/>
          <c:tx>
            <c:strRef>
              <c:f>'[2apgw_cele_srodowiskowe_rzeki_rozdz_8.xlsx]ODRA'!$AO$34</c:f>
              <c:strCache>
                <c:ptCount val="1"/>
                <c:pt idx="0">
                  <c:v>brak możliwości oceny</c:v>
                </c:pt>
              </c:strCache>
            </c:strRef>
          </c:tx>
          <c:spPr>
            <a:solidFill>
              <a:schemeClr val="bg1">
                <a:lumMod val="50000"/>
              </a:schemeClr>
            </a:solidFill>
            <a:ln>
              <a:no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'[2apgw_cele_srodowiskowe_rzeki_rozdz_8.xlsx]ODRA'!$AO$35:$AO$40</c:f>
              <c:numCache>
                <c:formatCode>0.00%</c:formatCode>
                <c:ptCount val="6"/>
                <c:pt idx="0">
                  <c:v>0.36084905660377359</c:v>
                </c:pt>
                <c:pt idx="1">
                  <c:v>0.44366197183098594</c:v>
                </c:pt>
                <c:pt idx="2">
                  <c:v>0.42600896860986548</c:v>
                </c:pt>
                <c:pt idx="3">
                  <c:v>7.5268817204301078E-2</c:v>
                </c:pt>
                <c:pt idx="4">
                  <c:v>0.25925925925925924</c:v>
                </c:pt>
                <c:pt idx="5">
                  <c:v>0.55555555555555558</c:v>
                </c:pt>
              </c:numCache>
            </c:numRef>
          </c:val>
          <c:extLst>
            <c:ext xmlns:c16="http://schemas.microsoft.com/office/drawing/2014/chart" uri="{C3380CC4-5D6E-409C-BE32-E72D297353CC}">
              <c16:uniqueId val="{00000000-FE18-41BF-812A-E2EB9E971B1F}"/>
            </c:ext>
          </c:extLst>
        </c:ser>
        <c:ser>
          <c:idx val="1"/>
          <c:order val="1"/>
          <c:tx>
            <c:strRef>
              <c:f>'[2apgw_cele_srodowiskowe_rzeki_rozdz_8.xlsx]ODRA'!$AP$34</c:f>
              <c:strCache>
                <c:ptCount val="1"/>
                <c:pt idx="0">
                  <c:v>NIE</c:v>
                </c:pt>
              </c:strCache>
            </c:strRef>
          </c:tx>
          <c:spPr>
            <a:solidFill>
              <a:srgbClr val="FF0000"/>
            </a:solidFill>
            <a:ln>
              <a:no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'[2apgw_cele_srodowiskowe_rzeki_rozdz_8.xlsx]ODRA'!$AP$35:$AP$40</c:f>
              <c:numCache>
                <c:formatCode>0.00%</c:formatCode>
                <c:ptCount val="6"/>
                <c:pt idx="0">
                  <c:v>0.63836477987421381</c:v>
                </c:pt>
                <c:pt idx="1">
                  <c:v>0.55633802816901412</c:v>
                </c:pt>
                <c:pt idx="2">
                  <c:v>0.57399103139013452</c:v>
                </c:pt>
                <c:pt idx="3">
                  <c:v>0.92473118279569888</c:v>
                </c:pt>
                <c:pt idx="4">
                  <c:v>0.7407407407407407</c:v>
                </c:pt>
                <c:pt idx="5">
                  <c:v>0.44074074074074077</c:v>
                </c:pt>
              </c:numCache>
            </c:numRef>
          </c:val>
          <c:extLst>
            <c:ext xmlns:c16="http://schemas.microsoft.com/office/drawing/2014/chart" uri="{C3380CC4-5D6E-409C-BE32-E72D297353CC}">
              <c16:uniqueId val="{00000001-FE18-41BF-812A-E2EB9E971B1F}"/>
            </c:ext>
          </c:extLst>
        </c:ser>
        <c:ser>
          <c:idx val="2"/>
          <c:order val="2"/>
          <c:tx>
            <c:strRef>
              <c:f>'[2apgw_cele_srodowiskowe_rzeki_rozdz_8.xlsx]ODRA'!$AQ$34</c:f>
              <c:strCache>
                <c:ptCount val="1"/>
                <c:pt idx="0">
                  <c:v>TAK</c:v>
                </c:pt>
              </c:strCache>
            </c:strRef>
          </c:tx>
          <c:spPr>
            <a:solidFill>
              <a:srgbClr val="00B0F0"/>
            </a:solidFill>
            <a:ln>
              <a:no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'[2apgw_cele_srodowiskowe_rzeki_rozdz_8.xlsx]ODRA'!$AQ$35:$AQ$40</c:f>
              <c:numCache>
                <c:formatCode>0.00%</c:formatCode>
                <c:ptCount val="6"/>
                <c:pt idx="0">
                  <c:v>7.8616352201257866E-4</c:v>
                </c:pt>
                <c:pt idx="1">
                  <c:v>0</c:v>
                </c:pt>
                <c:pt idx="2">
                  <c:v>0</c:v>
                </c:pt>
                <c:pt idx="3">
                  <c:v>0</c:v>
                </c:pt>
                <c:pt idx="4">
                  <c:v>0</c:v>
                </c:pt>
                <c:pt idx="5">
                  <c:v>3.7037037037037038E-3</c:v>
                </c:pt>
              </c:numCache>
            </c:numRef>
          </c:val>
          <c:extLst>
            <c:ext xmlns:c16="http://schemas.microsoft.com/office/drawing/2014/chart" uri="{C3380CC4-5D6E-409C-BE32-E72D297353CC}">
              <c16:uniqueId val="{00000002-FE18-41BF-812A-E2EB9E971B1F}"/>
            </c:ext>
          </c:extLst>
        </c:ser>
        <c:dLbls>
          <c:showLegendKey val="0"/>
          <c:showVal val="0"/>
          <c:showCatName val="0"/>
          <c:showSerName val="0"/>
          <c:showPercent val="0"/>
          <c:showBubbleSize val="0"/>
        </c:dLbls>
        <c:gapWidth val="150"/>
        <c:overlap val="100"/>
        <c:axId val="689818128"/>
        <c:axId val="689812880"/>
      </c:barChart>
      <c:catAx>
        <c:axId val="68981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2880"/>
        <c:crosses val="autoZero"/>
        <c:auto val="1"/>
        <c:lblAlgn val="ctr"/>
        <c:lblOffset val="100"/>
        <c:noMultiLvlLbl val="0"/>
      </c:catAx>
      <c:valAx>
        <c:axId val="689812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aseline="0">
                <a:solidFill>
                  <a:schemeClr val="bg1">
                    <a:lumMod val="50000"/>
                  </a:schemeClr>
                </a:solidFill>
                <a:latin typeface="Calibri" panose="020F0502020204030204" pitchFamily="34" charset="0"/>
              </a:defRPr>
            </a:pPr>
            <a:r>
              <a:rPr lang="pl-PL" sz="1100" b="0" baseline="0">
                <a:solidFill>
                  <a:schemeClr val="tx1">
                    <a:lumMod val="65000"/>
                    <a:lumOff val="35000"/>
                  </a:schemeClr>
                </a:solidFill>
                <a:latin typeface="Calibri" panose="020F0502020204030204" pitchFamily="34" charset="0"/>
              </a:rPr>
              <a:t>Ocena osiągnięcia celów środowiskowych wyznaczonych </a:t>
            </a:r>
            <a:br>
              <a:rPr lang="pl-PL" sz="1100" b="0" baseline="0">
                <a:solidFill>
                  <a:schemeClr val="tx1">
                    <a:lumMod val="65000"/>
                    <a:lumOff val="35000"/>
                  </a:schemeClr>
                </a:solidFill>
                <a:latin typeface="Calibri" panose="020F0502020204030204" pitchFamily="34" charset="0"/>
              </a:rPr>
            </a:br>
            <a:r>
              <a:rPr lang="pl-PL" sz="1100" b="0" baseline="0">
                <a:solidFill>
                  <a:schemeClr val="tx1">
                    <a:lumMod val="65000"/>
                    <a:lumOff val="35000"/>
                  </a:schemeClr>
                </a:solidFill>
                <a:latin typeface="Calibri" panose="020F0502020204030204" pitchFamily="34" charset="0"/>
              </a:rPr>
              <a:t>w aPGW dla stanu/potencjału ekologicznego</a:t>
            </a:r>
            <a:endParaRPr lang="en-US" sz="1100" b="0" baseline="0">
              <a:solidFill>
                <a:schemeClr val="tx1">
                  <a:lumMod val="65000"/>
                  <a:lumOff val="35000"/>
                </a:schemeClr>
              </a:solidFill>
              <a:latin typeface="Calibri" panose="020F0502020204030204" pitchFamily="34" charset="0"/>
            </a:endParaRPr>
          </a:p>
        </c:rich>
      </c:tx>
      <c:layout>
        <c:manualLayout>
          <c:xMode val="edge"/>
          <c:yMode val="edge"/>
          <c:x val="0.18097005790483464"/>
          <c:y val="2.4741271426448302E-2"/>
        </c:manualLayout>
      </c:layout>
      <c:overlay val="0"/>
    </c:title>
    <c:autoTitleDeleted val="0"/>
    <c:plotArea>
      <c:layout>
        <c:manualLayout>
          <c:layoutTarget val="inner"/>
          <c:xMode val="edge"/>
          <c:yMode val="edge"/>
          <c:x val="0.13222529929073087"/>
          <c:y val="0.17118865971425759"/>
          <c:w val="0.78270355676323256"/>
          <c:h val="0.6410854893138358"/>
        </c:manualLayout>
      </c:layout>
      <c:barChart>
        <c:barDir val="col"/>
        <c:grouping val="percentStacked"/>
        <c:varyColors val="0"/>
        <c:ser>
          <c:idx val="0"/>
          <c:order val="0"/>
          <c:tx>
            <c:strRef>
              <c:f>'aJCWP zbiorniki - spełnienie CŚ'!$B$74</c:f>
              <c:strCache>
                <c:ptCount val="1"/>
                <c:pt idx="0">
                  <c:v>brak oceny</c:v>
                </c:pt>
              </c:strCache>
            </c:strRef>
          </c:tx>
          <c:spPr>
            <a:solidFill>
              <a:schemeClr val="bg1">
                <a:lumMod val="50000"/>
              </a:schemeClr>
            </a:solidFill>
            <a:ln w="1270">
              <a:noFill/>
            </a:ln>
          </c:spPr>
          <c:invertIfNegative val="0"/>
          <c:cat>
            <c:strRef>
              <c:f>'aJCWP zbiorniki - spełnienie CŚ'!$A$75:$A$78</c:f>
              <c:strCache>
                <c:ptCount val="4"/>
                <c:pt idx="0">
                  <c:v>Obszar dorzecza Odry</c:v>
                </c:pt>
                <c:pt idx="1">
                  <c:v>Region wodny Środkowej Odry</c:v>
                </c:pt>
                <c:pt idx="2">
                  <c:v>Region wodny Warty</c:v>
                </c:pt>
                <c:pt idx="3">
                  <c:v>Region wodny Górnej Odry</c:v>
                </c:pt>
              </c:strCache>
            </c:strRef>
          </c:cat>
          <c:val>
            <c:numRef>
              <c:f>'aJCWP zbiorniki - spełnienie CŚ'!$B$75:$B$78</c:f>
              <c:numCache>
                <c:formatCode>General</c:formatCode>
                <c:ptCount val="4"/>
                <c:pt idx="0">
                  <c:v>0.10526315789473684</c:v>
                </c:pt>
                <c:pt idx="1">
                  <c:v>0</c:v>
                </c:pt>
                <c:pt idx="2">
                  <c:v>0</c:v>
                </c:pt>
                <c:pt idx="3">
                  <c:v>0.4</c:v>
                </c:pt>
              </c:numCache>
            </c:numRef>
          </c:val>
          <c:extLst>
            <c:ext xmlns:c16="http://schemas.microsoft.com/office/drawing/2014/chart" uri="{C3380CC4-5D6E-409C-BE32-E72D297353CC}">
              <c16:uniqueId val="{00000000-91D6-48EB-950A-450BF91D217D}"/>
            </c:ext>
          </c:extLst>
        </c:ser>
        <c:ser>
          <c:idx val="1"/>
          <c:order val="1"/>
          <c:tx>
            <c:strRef>
              <c:f>'aJCWP zbiorniki - spełnienie CŚ'!$C$74</c:f>
              <c:strCache>
                <c:ptCount val="1"/>
                <c:pt idx="0">
                  <c:v>NIE</c:v>
                </c:pt>
              </c:strCache>
            </c:strRef>
          </c:tx>
          <c:spPr>
            <a:solidFill>
              <a:srgbClr val="FF0000"/>
            </a:solidFill>
            <a:ln w="1270">
              <a:noFill/>
            </a:ln>
          </c:spPr>
          <c:invertIfNegative val="0"/>
          <c:cat>
            <c:strRef>
              <c:f>'aJCWP zbiorniki - spełnienie CŚ'!$A$75:$A$78</c:f>
              <c:strCache>
                <c:ptCount val="4"/>
                <c:pt idx="0">
                  <c:v>Obszar dorzecza Odry</c:v>
                </c:pt>
                <c:pt idx="1">
                  <c:v>Region wodny Środkowej Odry</c:v>
                </c:pt>
                <c:pt idx="2">
                  <c:v>Region wodny Warty</c:v>
                </c:pt>
                <c:pt idx="3">
                  <c:v>Region wodny Górnej Odry</c:v>
                </c:pt>
              </c:strCache>
            </c:strRef>
          </c:cat>
          <c:val>
            <c:numRef>
              <c:f>'aJCWP zbiorniki - spełnienie CŚ'!$C$75:$C$78</c:f>
              <c:numCache>
                <c:formatCode>General</c:formatCode>
                <c:ptCount val="4"/>
                <c:pt idx="0">
                  <c:v>0.52631578947368418</c:v>
                </c:pt>
                <c:pt idx="1">
                  <c:v>0.5</c:v>
                </c:pt>
                <c:pt idx="2">
                  <c:v>1</c:v>
                </c:pt>
                <c:pt idx="3">
                  <c:v>0.4</c:v>
                </c:pt>
              </c:numCache>
            </c:numRef>
          </c:val>
          <c:extLst>
            <c:ext xmlns:c16="http://schemas.microsoft.com/office/drawing/2014/chart" uri="{C3380CC4-5D6E-409C-BE32-E72D297353CC}">
              <c16:uniqueId val="{00000001-91D6-48EB-950A-450BF91D217D}"/>
            </c:ext>
          </c:extLst>
        </c:ser>
        <c:ser>
          <c:idx val="2"/>
          <c:order val="2"/>
          <c:tx>
            <c:strRef>
              <c:f>'aJCWP zbiorniki - spełnienie CŚ'!$D$74</c:f>
              <c:strCache>
                <c:ptCount val="1"/>
                <c:pt idx="0">
                  <c:v>TAK</c:v>
                </c:pt>
              </c:strCache>
            </c:strRef>
          </c:tx>
          <c:spPr>
            <a:solidFill>
              <a:srgbClr val="00B0F0"/>
            </a:solidFill>
            <a:ln w="1270">
              <a:noFill/>
            </a:ln>
          </c:spPr>
          <c:invertIfNegative val="0"/>
          <c:cat>
            <c:strRef>
              <c:f>'aJCWP zbiorniki - spełnienie CŚ'!$A$75:$A$78</c:f>
              <c:strCache>
                <c:ptCount val="4"/>
                <c:pt idx="0">
                  <c:v>Obszar dorzecza Odry</c:v>
                </c:pt>
                <c:pt idx="1">
                  <c:v>Region wodny Środkowej Odry</c:v>
                </c:pt>
                <c:pt idx="2">
                  <c:v>Region wodny Warty</c:v>
                </c:pt>
                <c:pt idx="3">
                  <c:v>Region wodny Górnej Odry</c:v>
                </c:pt>
              </c:strCache>
            </c:strRef>
          </c:cat>
          <c:val>
            <c:numRef>
              <c:f>'aJCWP zbiorniki - spełnienie CŚ'!$D$75:$D$78</c:f>
              <c:numCache>
                <c:formatCode>General</c:formatCode>
                <c:ptCount val="4"/>
                <c:pt idx="0">
                  <c:v>0.36842105263157893</c:v>
                </c:pt>
                <c:pt idx="1">
                  <c:v>0.5</c:v>
                </c:pt>
                <c:pt idx="2">
                  <c:v>0</c:v>
                </c:pt>
                <c:pt idx="3">
                  <c:v>0.2</c:v>
                </c:pt>
              </c:numCache>
            </c:numRef>
          </c:val>
          <c:extLst>
            <c:ext xmlns:c16="http://schemas.microsoft.com/office/drawing/2014/chart" uri="{C3380CC4-5D6E-409C-BE32-E72D297353CC}">
              <c16:uniqueId val="{00000002-91D6-48EB-950A-450BF91D217D}"/>
            </c:ext>
          </c:extLst>
        </c:ser>
        <c:dLbls>
          <c:showLegendKey val="0"/>
          <c:showVal val="0"/>
          <c:showCatName val="0"/>
          <c:showSerName val="0"/>
          <c:showPercent val="0"/>
          <c:showBubbleSize val="0"/>
        </c:dLbls>
        <c:gapWidth val="150"/>
        <c:overlap val="100"/>
        <c:axId val="321612800"/>
        <c:axId val="322344000"/>
      </c:barChart>
      <c:catAx>
        <c:axId val="321612800"/>
        <c:scaling>
          <c:orientation val="minMax"/>
        </c:scaling>
        <c:delete val="0"/>
        <c:axPos val="b"/>
        <c:numFmt formatCode="General" sourceLinked="0"/>
        <c:majorTickMark val="none"/>
        <c:minorTickMark val="none"/>
        <c:tickLblPos val="nextTo"/>
        <c:spPr>
          <a:ln>
            <a:solidFill>
              <a:schemeClr val="bg1">
                <a:lumMod val="85000"/>
              </a:schemeClr>
            </a:solidFill>
          </a:ln>
        </c:spPr>
        <c:txPr>
          <a:bodyPr/>
          <a:lstStyle/>
          <a:p>
            <a:pPr>
              <a:defRPr sz="800">
                <a:solidFill>
                  <a:schemeClr val="tx1">
                    <a:lumMod val="65000"/>
                    <a:lumOff val="35000"/>
                  </a:schemeClr>
                </a:solidFill>
              </a:defRPr>
            </a:pPr>
            <a:endParaRPr lang="pl-PL"/>
          </a:p>
        </c:txPr>
        <c:crossAx val="322344000"/>
        <c:crosses val="autoZero"/>
        <c:auto val="1"/>
        <c:lblAlgn val="ctr"/>
        <c:lblOffset val="100"/>
        <c:noMultiLvlLbl val="0"/>
      </c:catAx>
      <c:valAx>
        <c:axId val="322344000"/>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spPr>
          <a:ln>
            <a:solidFill>
              <a:schemeClr val="bg1">
                <a:lumMod val="85000"/>
              </a:schemeClr>
            </a:solidFill>
          </a:ln>
        </c:spPr>
        <c:txPr>
          <a:bodyPr/>
          <a:lstStyle/>
          <a:p>
            <a:pPr>
              <a:defRPr sz="900">
                <a:solidFill>
                  <a:schemeClr val="tx1">
                    <a:lumMod val="65000"/>
                    <a:lumOff val="35000"/>
                  </a:schemeClr>
                </a:solidFill>
              </a:defRPr>
            </a:pPr>
            <a:endParaRPr lang="pl-PL"/>
          </a:p>
        </c:txPr>
        <c:crossAx val="321612800"/>
        <c:crosses val="autoZero"/>
        <c:crossBetween val="between"/>
        <c:majorUnit val="0.1"/>
      </c:valAx>
    </c:plotArea>
    <c:legend>
      <c:legendPos val="r"/>
      <c:layout>
        <c:manualLayout>
          <c:xMode val="edge"/>
          <c:yMode val="edge"/>
          <c:x val="0.39232687148946516"/>
          <c:y val="0.86031884574752593"/>
          <c:w val="0.27691237878616881"/>
          <c:h val="0.1373149579688818"/>
        </c:manualLayout>
      </c:layout>
      <c:overlay val="0"/>
      <c:txPr>
        <a:bodyPr/>
        <a:lstStyle/>
        <a:p>
          <a:pPr>
            <a:defRPr sz="900" baseline="0">
              <a:solidFill>
                <a:schemeClr val="tx1">
                  <a:lumMod val="65000"/>
                  <a:lumOff val="35000"/>
                </a:schemeClr>
              </a:solidFill>
            </a:defRPr>
          </a:pPr>
          <a:endParaRPr lang="pl-PL"/>
        </a:p>
      </c:txPr>
    </c:legend>
    <c:plotVisOnly val="1"/>
    <c:dispBlanksAs val="gap"/>
    <c:showDLblsOverMax val="0"/>
  </c:chart>
  <c:spPr>
    <a:ln>
      <a:solidFill>
        <a:schemeClr val="bg1">
          <a:lumMod val="85000"/>
        </a:schemeClr>
      </a:solidFill>
    </a:ln>
  </c:sp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aseline="0"/>
              <a:t>Ocena osiągnięcia celów środowiskowych wyznaczonych </a:t>
            </a:r>
          </a:p>
          <a:p>
            <a:pPr>
              <a:defRPr sz="1100"/>
            </a:pPr>
            <a:r>
              <a:rPr lang="pl-PL" sz="1100" baseline="0"/>
              <a:t>w aPGW dla stanu chemicznego</a:t>
            </a:r>
            <a:r>
              <a:rPr lang="pl-PL" sz="1100" b="0" i="0" u="none" strike="noStrike" kern="1200" spc="0" baseline="0">
                <a:solidFill>
                  <a:sysClr val="windowText" lastClr="000000">
                    <a:lumMod val="65000"/>
                    <a:lumOff val="35000"/>
                  </a:sysClr>
                </a:solidFill>
                <a:latin typeface="+mn-lt"/>
                <a:ea typeface="+mn-ea"/>
                <a:cs typeface="+mn-cs"/>
              </a:rPr>
              <a:t> </a:t>
            </a:r>
            <a:endParaRPr lang="pl-PL" sz="1100" baseline="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'aJCWP zbiorniki - spełnienie CŚ'!$G$65</c:f>
              <c:strCache>
                <c:ptCount val="1"/>
                <c:pt idx="0">
                  <c:v>NIE</c:v>
                </c:pt>
              </c:strCache>
            </c:strRef>
          </c:tx>
          <c:spPr>
            <a:solidFill>
              <a:srgbClr val="FF0000"/>
            </a:solidFill>
            <a:ln w="1270">
              <a:noFill/>
            </a:ln>
            <a:effectLst/>
          </c:spPr>
          <c:invertIfNegative val="0"/>
          <c:dPt>
            <c:idx val="1"/>
            <c:invertIfNegative val="0"/>
            <c:bubble3D val="0"/>
            <c:spPr>
              <a:solidFill>
                <a:srgbClr val="FF0000"/>
              </a:solidFill>
              <a:ln w="1270">
                <a:noFill/>
              </a:ln>
              <a:effectLst/>
            </c:spPr>
            <c:extLst>
              <c:ext xmlns:c16="http://schemas.microsoft.com/office/drawing/2014/chart" uri="{C3380CC4-5D6E-409C-BE32-E72D297353CC}">
                <c16:uniqueId val="{00000001-FBD8-4790-95ED-DC6935437292}"/>
              </c:ext>
            </c:extLst>
          </c:dPt>
          <c:cat>
            <c:strRef>
              <c:f>'aJCWP zbiorniki - spełnienie CŚ'!$F$66:$F$69</c:f>
              <c:strCache>
                <c:ptCount val="4"/>
                <c:pt idx="0">
                  <c:v>Obszar dorzecza Odry</c:v>
                </c:pt>
                <c:pt idx="1">
                  <c:v>Region wodny Górnej Odry</c:v>
                </c:pt>
                <c:pt idx="2">
                  <c:v>Region wodny Środkowej Odry</c:v>
                </c:pt>
                <c:pt idx="3">
                  <c:v>Region wodny Warty</c:v>
                </c:pt>
              </c:strCache>
            </c:strRef>
          </c:cat>
          <c:val>
            <c:numRef>
              <c:f>'aJCWP zbiorniki - spełnienie CŚ'!$G$66:$G$69</c:f>
              <c:numCache>
                <c:formatCode>General</c:formatCode>
                <c:ptCount val="4"/>
                <c:pt idx="0">
                  <c:v>18</c:v>
                </c:pt>
                <c:pt idx="1">
                  <c:v>4</c:v>
                </c:pt>
                <c:pt idx="2">
                  <c:v>12</c:v>
                </c:pt>
                <c:pt idx="3">
                  <c:v>2</c:v>
                </c:pt>
              </c:numCache>
            </c:numRef>
          </c:val>
          <c:extLst>
            <c:ext xmlns:c16="http://schemas.microsoft.com/office/drawing/2014/chart" uri="{C3380CC4-5D6E-409C-BE32-E72D297353CC}">
              <c16:uniqueId val="{00000002-FBD8-4790-95ED-DC6935437292}"/>
            </c:ext>
          </c:extLst>
        </c:ser>
        <c:ser>
          <c:idx val="1"/>
          <c:order val="1"/>
          <c:tx>
            <c:strRef>
              <c:f>'aJCWP zbiorniki - spełnienie CŚ'!$H$65</c:f>
              <c:strCache>
                <c:ptCount val="1"/>
                <c:pt idx="0">
                  <c:v>TAK</c:v>
                </c:pt>
              </c:strCache>
            </c:strRef>
          </c:tx>
          <c:spPr>
            <a:solidFill>
              <a:srgbClr val="00B0F0"/>
            </a:solidFill>
            <a:ln w="1270">
              <a:noFill/>
            </a:ln>
            <a:effectLst/>
          </c:spPr>
          <c:invertIfNegative val="0"/>
          <c:cat>
            <c:strRef>
              <c:f>'aJCWP zbiorniki - spełnienie CŚ'!$F$66:$F$69</c:f>
              <c:strCache>
                <c:ptCount val="4"/>
                <c:pt idx="0">
                  <c:v>Obszar dorzecza Odry</c:v>
                </c:pt>
                <c:pt idx="1">
                  <c:v>Region wodny Górnej Odry</c:v>
                </c:pt>
                <c:pt idx="2">
                  <c:v>Region wodny Środkowej Odry</c:v>
                </c:pt>
                <c:pt idx="3">
                  <c:v>Region wodny Warty</c:v>
                </c:pt>
              </c:strCache>
            </c:strRef>
          </c:cat>
          <c:val>
            <c:numRef>
              <c:f>'aJCWP zbiorniki - spełnienie CŚ'!$H$66:$H$69</c:f>
              <c:numCache>
                <c:formatCode>General</c:formatCode>
                <c:ptCount val="4"/>
                <c:pt idx="0">
                  <c:v>1</c:v>
                </c:pt>
                <c:pt idx="1">
                  <c:v>1</c:v>
                </c:pt>
              </c:numCache>
            </c:numRef>
          </c:val>
          <c:extLst>
            <c:ext xmlns:c16="http://schemas.microsoft.com/office/drawing/2014/chart" uri="{C3380CC4-5D6E-409C-BE32-E72D297353CC}">
              <c16:uniqueId val="{00000003-FBD8-4790-95ED-DC6935437292}"/>
            </c:ext>
          </c:extLst>
        </c:ser>
        <c:dLbls>
          <c:showLegendKey val="0"/>
          <c:showVal val="0"/>
          <c:showCatName val="0"/>
          <c:showSerName val="0"/>
          <c:showPercent val="0"/>
          <c:showBubbleSize val="0"/>
        </c:dLbls>
        <c:gapWidth val="150"/>
        <c:overlap val="100"/>
        <c:axId val="449002496"/>
        <c:axId val="449004464"/>
      </c:barChart>
      <c:catAx>
        <c:axId val="449002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449004464"/>
        <c:crosses val="autoZero"/>
        <c:auto val="1"/>
        <c:lblAlgn val="ctr"/>
        <c:lblOffset val="100"/>
        <c:noMultiLvlLbl val="0"/>
      </c:catAx>
      <c:valAx>
        <c:axId val="4490044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49002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aseline="0">
                <a:solidFill>
                  <a:schemeClr val="tx1">
                    <a:lumMod val="65000"/>
                    <a:lumOff val="35000"/>
                  </a:schemeClr>
                </a:solidFill>
              </a:defRPr>
            </a:pPr>
            <a:r>
              <a:rPr lang="pl-PL" sz="1100" b="0" baseline="0">
                <a:solidFill>
                  <a:schemeClr val="tx1">
                    <a:lumMod val="65000"/>
                    <a:lumOff val="35000"/>
                  </a:schemeClr>
                </a:solidFill>
              </a:rPr>
              <a:t>Ocena osiągnięcia celów środowiskowych wyznaczonych </a:t>
            </a:r>
            <a:br>
              <a:rPr lang="pl-PL" sz="1100" b="0" baseline="0">
                <a:solidFill>
                  <a:schemeClr val="tx1">
                    <a:lumMod val="65000"/>
                    <a:lumOff val="35000"/>
                  </a:schemeClr>
                </a:solidFill>
              </a:rPr>
            </a:br>
            <a:r>
              <a:rPr lang="pl-PL" sz="1100" b="0" baseline="0">
                <a:solidFill>
                  <a:schemeClr val="tx1">
                    <a:lumMod val="65000"/>
                    <a:lumOff val="35000"/>
                  </a:schemeClr>
                </a:solidFill>
              </a:rPr>
              <a:t>w aPGW</a:t>
            </a:r>
            <a:r>
              <a:rPr lang="pl-PL" sz="1100" b="0" i="0" u="none" strike="noStrike" kern="1200" baseline="0">
                <a:solidFill>
                  <a:schemeClr val="tx1">
                    <a:lumMod val="65000"/>
                    <a:lumOff val="35000"/>
                  </a:schemeClr>
                </a:solidFill>
                <a:latin typeface="+mn-lt"/>
                <a:ea typeface="+mn-ea"/>
                <a:cs typeface="+mn-cs"/>
              </a:rPr>
              <a:t> </a:t>
            </a:r>
            <a:r>
              <a:rPr lang="pl-PL" sz="1100" b="0" baseline="0">
                <a:solidFill>
                  <a:schemeClr val="tx1">
                    <a:lumMod val="65000"/>
                    <a:lumOff val="35000"/>
                  </a:schemeClr>
                </a:solidFill>
              </a:rPr>
              <a:t>dla stanu ogólnego wód</a:t>
            </a:r>
            <a:endParaRPr lang="en-US" sz="1100" b="0" baseline="0">
              <a:solidFill>
                <a:schemeClr val="tx1">
                  <a:lumMod val="65000"/>
                  <a:lumOff val="35000"/>
                </a:schemeClr>
              </a:solidFill>
            </a:endParaRPr>
          </a:p>
        </c:rich>
      </c:tx>
      <c:overlay val="0"/>
    </c:title>
    <c:autoTitleDeleted val="0"/>
    <c:plotArea>
      <c:layout>
        <c:manualLayout>
          <c:layoutTarget val="inner"/>
          <c:xMode val="edge"/>
          <c:yMode val="edge"/>
          <c:x val="0.17446169923204041"/>
          <c:y val="0.17500874890638671"/>
          <c:w val="0.69657172125810629"/>
          <c:h val="0.60624170964341229"/>
        </c:manualLayout>
      </c:layout>
      <c:barChart>
        <c:barDir val="col"/>
        <c:grouping val="percentStacked"/>
        <c:varyColors val="0"/>
        <c:ser>
          <c:idx val="0"/>
          <c:order val="0"/>
          <c:tx>
            <c:strRef>
              <c:f>'aJCWP zbiorniki - spełnienie CŚ'!$W$63</c:f>
              <c:strCache>
                <c:ptCount val="1"/>
                <c:pt idx="0">
                  <c:v>brak możliwości oceny</c:v>
                </c:pt>
              </c:strCache>
            </c:strRef>
          </c:tx>
          <c:spPr>
            <a:solidFill>
              <a:schemeClr val="bg1">
                <a:lumMod val="50000"/>
              </a:schemeClr>
            </a:solidFill>
            <a:ln w="1270">
              <a:noFill/>
            </a:ln>
          </c:spPr>
          <c:invertIfNegative val="0"/>
          <c:cat>
            <c:strRef>
              <c:f>'aJCWP zbiorniki - spełnienie CŚ'!$V$64:$V$67</c:f>
              <c:strCache>
                <c:ptCount val="4"/>
                <c:pt idx="0">
                  <c:v>Obszar dorzecza Odry</c:v>
                </c:pt>
                <c:pt idx="1">
                  <c:v>Region wodny Górnej Odry</c:v>
                </c:pt>
                <c:pt idx="2">
                  <c:v>Region wodny Środkowej Odry</c:v>
                </c:pt>
                <c:pt idx="3">
                  <c:v>Region wodny Warty</c:v>
                </c:pt>
              </c:strCache>
            </c:strRef>
          </c:cat>
          <c:val>
            <c:numRef>
              <c:f>'aJCWP zbiorniki - spełnienie CŚ'!$W$64:$W$67</c:f>
              <c:numCache>
                <c:formatCode>0.00%</c:formatCode>
                <c:ptCount val="4"/>
                <c:pt idx="0">
                  <c:v>5.2631578947368418E-2</c:v>
                </c:pt>
                <c:pt idx="1">
                  <c:v>0.2</c:v>
                </c:pt>
                <c:pt idx="2">
                  <c:v>0</c:v>
                </c:pt>
                <c:pt idx="3">
                  <c:v>0</c:v>
                </c:pt>
              </c:numCache>
            </c:numRef>
          </c:val>
          <c:extLst>
            <c:ext xmlns:c16="http://schemas.microsoft.com/office/drawing/2014/chart" uri="{C3380CC4-5D6E-409C-BE32-E72D297353CC}">
              <c16:uniqueId val="{00000000-BA12-434A-9880-7D72FA369E5D}"/>
            </c:ext>
          </c:extLst>
        </c:ser>
        <c:ser>
          <c:idx val="1"/>
          <c:order val="1"/>
          <c:tx>
            <c:strRef>
              <c:f>'aJCWP zbiorniki - spełnienie CŚ'!$X$63</c:f>
              <c:strCache>
                <c:ptCount val="1"/>
                <c:pt idx="0">
                  <c:v>NIE</c:v>
                </c:pt>
              </c:strCache>
            </c:strRef>
          </c:tx>
          <c:spPr>
            <a:solidFill>
              <a:srgbClr val="FF0000"/>
            </a:solidFill>
            <a:ln w="1270">
              <a:noFill/>
            </a:ln>
          </c:spPr>
          <c:invertIfNegative val="0"/>
          <c:cat>
            <c:strRef>
              <c:f>'aJCWP zbiorniki - spełnienie CŚ'!$V$64:$V$67</c:f>
              <c:strCache>
                <c:ptCount val="4"/>
                <c:pt idx="0">
                  <c:v>Obszar dorzecza Odry</c:v>
                </c:pt>
                <c:pt idx="1">
                  <c:v>Region wodny Górnej Odry</c:v>
                </c:pt>
                <c:pt idx="2">
                  <c:v>Region wodny Środkowej Odry</c:v>
                </c:pt>
                <c:pt idx="3">
                  <c:v>Region wodny Warty</c:v>
                </c:pt>
              </c:strCache>
            </c:strRef>
          </c:cat>
          <c:val>
            <c:numRef>
              <c:f>'aJCWP zbiorniki - spełnienie CŚ'!$X$64:$X$67</c:f>
              <c:numCache>
                <c:formatCode>0.00%</c:formatCode>
                <c:ptCount val="4"/>
                <c:pt idx="0">
                  <c:v>0.94736842105263153</c:v>
                </c:pt>
                <c:pt idx="1">
                  <c:v>0.8</c:v>
                </c:pt>
                <c:pt idx="2">
                  <c:v>1</c:v>
                </c:pt>
                <c:pt idx="3">
                  <c:v>1</c:v>
                </c:pt>
              </c:numCache>
            </c:numRef>
          </c:val>
          <c:extLst>
            <c:ext xmlns:c16="http://schemas.microsoft.com/office/drawing/2014/chart" uri="{C3380CC4-5D6E-409C-BE32-E72D297353CC}">
              <c16:uniqueId val="{00000001-BA12-434A-9880-7D72FA369E5D}"/>
            </c:ext>
          </c:extLst>
        </c:ser>
        <c:dLbls>
          <c:showLegendKey val="0"/>
          <c:showVal val="0"/>
          <c:showCatName val="0"/>
          <c:showSerName val="0"/>
          <c:showPercent val="0"/>
          <c:showBubbleSize val="0"/>
        </c:dLbls>
        <c:gapWidth val="150"/>
        <c:overlap val="100"/>
        <c:axId val="323013120"/>
        <c:axId val="323731456"/>
      </c:barChart>
      <c:catAx>
        <c:axId val="323013120"/>
        <c:scaling>
          <c:orientation val="minMax"/>
        </c:scaling>
        <c:delete val="0"/>
        <c:axPos val="b"/>
        <c:numFmt formatCode="General" sourceLinked="0"/>
        <c:majorTickMark val="none"/>
        <c:minorTickMark val="none"/>
        <c:tickLblPos val="nextTo"/>
        <c:spPr>
          <a:ln>
            <a:solidFill>
              <a:schemeClr val="bg1">
                <a:lumMod val="85000"/>
              </a:schemeClr>
            </a:solidFill>
          </a:ln>
        </c:spPr>
        <c:txPr>
          <a:bodyPr/>
          <a:lstStyle/>
          <a:p>
            <a:pPr>
              <a:defRPr sz="800">
                <a:solidFill>
                  <a:schemeClr val="tx1">
                    <a:lumMod val="65000"/>
                    <a:lumOff val="35000"/>
                  </a:schemeClr>
                </a:solidFill>
              </a:defRPr>
            </a:pPr>
            <a:endParaRPr lang="pl-PL"/>
          </a:p>
        </c:txPr>
        <c:crossAx val="323731456"/>
        <c:crosses val="autoZero"/>
        <c:auto val="1"/>
        <c:lblAlgn val="ctr"/>
        <c:lblOffset val="100"/>
        <c:noMultiLvlLbl val="0"/>
      </c:catAx>
      <c:valAx>
        <c:axId val="323731456"/>
        <c:scaling>
          <c:orientation val="minMax"/>
        </c:scaling>
        <c:delete val="0"/>
        <c:axPos val="l"/>
        <c:majorGridlines>
          <c:spPr>
            <a:ln w="3175">
              <a:solidFill>
                <a:schemeClr val="bg1">
                  <a:lumMod val="85000"/>
                </a:schemeClr>
              </a:solidFill>
            </a:ln>
          </c:spPr>
        </c:majorGridlines>
        <c:numFmt formatCode="0%" sourceLinked="1"/>
        <c:majorTickMark val="out"/>
        <c:minorTickMark val="none"/>
        <c:tickLblPos val="nextTo"/>
        <c:spPr>
          <a:ln>
            <a:solidFill>
              <a:schemeClr val="bg1">
                <a:lumMod val="85000"/>
              </a:schemeClr>
            </a:solidFill>
          </a:ln>
        </c:spPr>
        <c:txPr>
          <a:bodyPr/>
          <a:lstStyle/>
          <a:p>
            <a:pPr>
              <a:defRPr sz="900">
                <a:solidFill>
                  <a:schemeClr val="tx1">
                    <a:lumMod val="65000"/>
                    <a:lumOff val="35000"/>
                  </a:schemeClr>
                </a:solidFill>
              </a:defRPr>
            </a:pPr>
            <a:endParaRPr lang="pl-PL"/>
          </a:p>
        </c:txPr>
        <c:crossAx val="323013120"/>
        <c:crosses val="autoZero"/>
        <c:crossBetween val="between"/>
        <c:majorUnit val="0.1"/>
      </c:valAx>
    </c:plotArea>
    <c:legend>
      <c:legendPos val="r"/>
      <c:layout>
        <c:manualLayout>
          <c:xMode val="edge"/>
          <c:yMode val="edge"/>
          <c:x val="0.28680564235026179"/>
          <c:y val="0.8428691121604508"/>
          <c:w val="0.39352945465150191"/>
          <c:h val="0.15450924103237096"/>
        </c:manualLayout>
      </c:layout>
      <c:overlay val="0"/>
      <c:txPr>
        <a:bodyPr/>
        <a:lstStyle/>
        <a:p>
          <a:pPr>
            <a:defRPr sz="900">
              <a:solidFill>
                <a:schemeClr val="tx1">
                  <a:lumMod val="65000"/>
                  <a:lumOff val="35000"/>
                </a:schemeClr>
              </a:solidFill>
            </a:defRPr>
          </a:pPr>
          <a:endParaRPr lang="pl-PL"/>
        </a:p>
      </c:txPr>
    </c:legend>
    <c:plotVisOnly val="1"/>
    <c:dispBlanksAs val="gap"/>
    <c:showDLblsOverMax val="0"/>
  </c:chart>
  <c:spPr>
    <a:ln>
      <a:solidFill>
        <a:schemeClr val="bg1">
          <a:lumMod val="85000"/>
        </a:schemeClr>
      </a:solidFill>
    </a:ln>
  </c:sp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0" i="0" baseline="0">
                <a:effectLst/>
              </a:rPr>
              <a:t>Ocena osiągnięcia celów środowiskowych wyznaczonych </a:t>
            </a:r>
            <a:br>
              <a:rPr lang="pl-PL" sz="1100" b="0" i="0" baseline="0">
                <a:effectLst/>
              </a:rPr>
            </a:br>
            <a:r>
              <a:rPr lang="pl-PL" sz="1100" b="0" i="0" baseline="0">
                <a:effectLst/>
              </a:rPr>
              <a:t>w</a:t>
            </a:r>
            <a:r>
              <a:rPr lang="pl-PL" sz="1100" b="0" i="0" u="none" strike="noStrike" kern="1200" spc="0" baseline="0">
                <a:solidFill>
                  <a:sysClr val="windowText" lastClr="000000">
                    <a:lumMod val="65000"/>
                    <a:lumOff val="35000"/>
                  </a:sysClr>
                </a:solidFill>
                <a:effectLst/>
                <a:latin typeface="+mn-lt"/>
                <a:ea typeface="+mn-ea"/>
                <a:cs typeface="+mn-cs"/>
              </a:rPr>
              <a:t> </a:t>
            </a:r>
            <a:r>
              <a:rPr lang="pl-PL" sz="1100" b="0" i="0" baseline="0">
                <a:effectLst/>
              </a:rPr>
              <a:t>aPGW dla stanu/potencjału ekologicznego</a:t>
            </a:r>
            <a:endParaRPr lang="pl-PL" sz="1100">
              <a:effectLst/>
            </a:endParaRPr>
          </a:p>
        </c:rich>
      </c:tx>
      <c:overlay val="0"/>
      <c:spPr>
        <a:noFill/>
        <a:ln>
          <a:noFill/>
        </a:ln>
        <a:effectLst/>
      </c:spPr>
    </c:title>
    <c:autoTitleDeleted val="0"/>
    <c:plotArea>
      <c:layout>
        <c:manualLayout>
          <c:layoutTarget val="inner"/>
          <c:xMode val="edge"/>
          <c:yMode val="edge"/>
          <c:x val="7.8807803864029038E-2"/>
          <c:y val="0.17216453206507082"/>
          <c:w val="0.8953374918012641"/>
          <c:h val="0.58689348042021061"/>
        </c:manualLayout>
      </c:layout>
      <c:barChart>
        <c:barDir val="col"/>
        <c:grouping val="percentStacked"/>
        <c:varyColors val="0"/>
        <c:ser>
          <c:idx val="0"/>
          <c:order val="0"/>
          <c:tx>
            <c:strRef>
              <c:f>Odra!$Q$13</c:f>
              <c:strCache>
                <c:ptCount val="1"/>
                <c:pt idx="0">
                  <c:v>brak oceny</c:v>
                </c:pt>
              </c:strCache>
            </c:strRef>
          </c:tx>
          <c:spPr>
            <a:solidFill>
              <a:schemeClr val="tx1">
                <a:lumMod val="50000"/>
                <a:lumOff val="50000"/>
              </a:schemeClr>
            </a:solidFill>
            <a:ln w="1270">
              <a:noFill/>
            </a:ln>
            <a:effectLst/>
          </c:spPr>
          <c:invertIfNegative val="0"/>
          <c:cat>
            <c:strRef>
              <c:f>Odra!$R$12:$W$12</c:f>
              <c:strCache>
                <c:ptCount val="6"/>
                <c:pt idx="0">
                  <c:v>Obszar dorzecza Odry</c:v>
                </c:pt>
                <c:pt idx="1">
                  <c:v>Region wodny wodny Górnej Odry</c:v>
                </c:pt>
                <c:pt idx="2">
                  <c:v>Region wodny Środkowej Odry</c:v>
                </c:pt>
                <c:pt idx="3">
                  <c:v>Region wodny Warty</c:v>
                </c:pt>
                <c:pt idx="4">
                  <c:v>Region wodny Noteci</c:v>
                </c:pt>
                <c:pt idx="5">
                  <c:v>Region wodny Dolnej Odry i Przymorza Zachodniego</c:v>
                </c:pt>
              </c:strCache>
            </c:strRef>
          </c:cat>
          <c:val>
            <c:numRef>
              <c:f>Odra!$R$6:$W$6</c:f>
              <c:numCache>
                <c:formatCode>General</c:formatCode>
                <c:ptCount val="6"/>
                <c:pt idx="0">
                  <c:v>26</c:v>
                </c:pt>
                <c:pt idx="1">
                  <c:v>0</c:v>
                </c:pt>
                <c:pt idx="2">
                  <c:v>2</c:v>
                </c:pt>
                <c:pt idx="3">
                  <c:v>0</c:v>
                </c:pt>
                <c:pt idx="4">
                  <c:v>13</c:v>
                </c:pt>
                <c:pt idx="5">
                  <c:v>11</c:v>
                </c:pt>
              </c:numCache>
            </c:numRef>
          </c:val>
          <c:extLst>
            <c:ext xmlns:c16="http://schemas.microsoft.com/office/drawing/2014/chart" uri="{C3380CC4-5D6E-409C-BE32-E72D297353CC}">
              <c16:uniqueId val="{00000000-EB06-433D-9C15-4F36934DB95E}"/>
            </c:ext>
          </c:extLst>
        </c:ser>
        <c:ser>
          <c:idx val="1"/>
          <c:order val="1"/>
          <c:tx>
            <c:strRef>
              <c:f>Odra!$Q$14</c:f>
              <c:strCache>
                <c:ptCount val="1"/>
                <c:pt idx="0">
                  <c:v>NIE</c:v>
                </c:pt>
              </c:strCache>
            </c:strRef>
          </c:tx>
          <c:spPr>
            <a:solidFill>
              <a:srgbClr val="FF0000"/>
            </a:solidFill>
            <a:ln w="1270">
              <a:noFill/>
            </a:ln>
            <a:effectLst/>
          </c:spPr>
          <c:invertIfNegative val="0"/>
          <c:cat>
            <c:strRef>
              <c:f>Odra!$R$12:$W$12</c:f>
              <c:strCache>
                <c:ptCount val="6"/>
                <c:pt idx="0">
                  <c:v>Obszar dorzecza Odry</c:v>
                </c:pt>
                <c:pt idx="1">
                  <c:v>Region wodny wodny Górnej Odry</c:v>
                </c:pt>
                <c:pt idx="2">
                  <c:v>Region wodny Środkowej Odry</c:v>
                </c:pt>
                <c:pt idx="3">
                  <c:v>Region wodny Warty</c:v>
                </c:pt>
                <c:pt idx="4">
                  <c:v>Region wodny Noteci</c:v>
                </c:pt>
                <c:pt idx="5">
                  <c:v>Region wodny Dolnej Odry i Przymorza Zachodniego</c:v>
                </c:pt>
              </c:strCache>
            </c:strRef>
          </c:cat>
          <c:val>
            <c:numRef>
              <c:f>Odra!$R$7:$W$7</c:f>
              <c:numCache>
                <c:formatCode>General</c:formatCode>
                <c:ptCount val="6"/>
                <c:pt idx="0">
                  <c:v>300</c:v>
                </c:pt>
                <c:pt idx="1">
                  <c:v>0</c:v>
                </c:pt>
                <c:pt idx="2">
                  <c:v>18</c:v>
                </c:pt>
                <c:pt idx="3">
                  <c:v>107</c:v>
                </c:pt>
                <c:pt idx="4">
                  <c:v>103</c:v>
                </c:pt>
                <c:pt idx="5">
                  <c:v>72</c:v>
                </c:pt>
              </c:numCache>
            </c:numRef>
          </c:val>
          <c:extLst>
            <c:ext xmlns:c16="http://schemas.microsoft.com/office/drawing/2014/chart" uri="{C3380CC4-5D6E-409C-BE32-E72D297353CC}">
              <c16:uniqueId val="{00000001-EB06-433D-9C15-4F36934DB95E}"/>
            </c:ext>
          </c:extLst>
        </c:ser>
        <c:ser>
          <c:idx val="2"/>
          <c:order val="2"/>
          <c:tx>
            <c:strRef>
              <c:f>Odra!$Q$8</c:f>
              <c:strCache>
                <c:ptCount val="1"/>
                <c:pt idx="0">
                  <c:v>TAK</c:v>
                </c:pt>
              </c:strCache>
            </c:strRef>
          </c:tx>
          <c:spPr>
            <a:solidFill>
              <a:srgbClr val="00B0F0"/>
            </a:solidFill>
            <a:ln w="1270">
              <a:noFill/>
            </a:ln>
            <a:effectLst/>
          </c:spPr>
          <c:invertIfNegative val="0"/>
          <c:cat>
            <c:strRef>
              <c:f>Odra!$R$12:$W$12</c:f>
              <c:strCache>
                <c:ptCount val="6"/>
                <c:pt idx="0">
                  <c:v>Obszar dorzecza Odry</c:v>
                </c:pt>
                <c:pt idx="1">
                  <c:v>Region wodny wodny Górnej Odry</c:v>
                </c:pt>
                <c:pt idx="2">
                  <c:v>Region wodny Środkowej Odry</c:v>
                </c:pt>
                <c:pt idx="3">
                  <c:v>Region wodny Warty</c:v>
                </c:pt>
                <c:pt idx="4">
                  <c:v>Region wodny Noteci</c:v>
                </c:pt>
                <c:pt idx="5">
                  <c:v>Region wodny Dolnej Odry i Przymorza Zachodniego</c:v>
                </c:pt>
              </c:strCache>
            </c:strRef>
          </c:cat>
          <c:val>
            <c:numRef>
              <c:f>Odra!$R$8:$W$8</c:f>
              <c:numCache>
                <c:formatCode>General</c:formatCode>
                <c:ptCount val="6"/>
                <c:pt idx="0">
                  <c:v>80</c:v>
                </c:pt>
                <c:pt idx="1">
                  <c:v>0</c:v>
                </c:pt>
                <c:pt idx="2">
                  <c:v>5</c:v>
                </c:pt>
                <c:pt idx="3">
                  <c:v>10</c:v>
                </c:pt>
                <c:pt idx="4">
                  <c:v>45</c:v>
                </c:pt>
                <c:pt idx="5">
                  <c:v>20</c:v>
                </c:pt>
              </c:numCache>
            </c:numRef>
          </c:val>
          <c:extLst>
            <c:ext xmlns:c16="http://schemas.microsoft.com/office/drawing/2014/chart" uri="{C3380CC4-5D6E-409C-BE32-E72D297353CC}">
              <c16:uniqueId val="{00000002-EB06-433D-9C15-4F36934DB95E}"/>
            </c:ext>
          </c:extLst>
        </c:ser>
        <c:ser>
          <c:idx val="3"/>
          <c:order val="3"/>
          <c:tx>
            <c:strRef>
              <c:f>Odra!$Q$9</c:f>
              <c:strCache>
                <c:ptCount val="1"/>
                <c:pt idx="0">
                  <c:v>brak oceny - cel nie został określony</c:v>
                </c:pt>
              </c:strCache>
            </c:strRef>
          </c:tx>
          <c:spPr>
            <a:solidFill>
              <a:schemeClr val="bg1">
                <a:lumMod val="75000"/>
              </a:schemeClr>
            </a:solidFill>
            <a:ln w="1270">
              <a:noFill/>
            </a:ln>
            <a:effectLst/>
          </c:spPr>
          <c:invertIfNegative val="0"/>
          <c:cat>
            <c:strRef>
              <c:f>Odra!$R$12:$W$12</c:f>
              <c:strCache>
                <c:ptCount val="6"/>
                <c:pt idx="0">
                  <c:v>Obszar dorzecza Odry</c:v>
                </c:pt>
                <c:pt idx="1">
                  <c:v>Region wodny wodny Górnej Odry</c:v>
                </c:pt>
                <c:pt idx="2">
                  <c:v>Region wodny Środkowej Odry</c:v>
                </c:pt>
                <c:pt idx="3">
                  <c:v>Region wodny Warty</c:v>
                </c:pt>
                <c:pt idx="4">
                  <c:v>Region wodny Noteci</c:v>
                </c:pt>
                <c:pt idx="5">
                  <c:v>Region wodny Dolnej Odry i Przymorza Zachodniego</c:v>
                </c:pt>
              </c:strCache>
            </c:strRef>
          </c:cat>
          <c:val>
            <c:numRef>
              <c:f>Odra!$R$9:$W$9</c:f>
              <c:numCache>
                <c:formatCode>General</c:formatCode>
                <c:ptCount val="6"/>
                <c:pt idx="0">
                  <c:v>21</c:v>
                </c:pt>
                <c:pt idx="1">
                  <c:v>1</c:v>
                </c:pt>
                <c:pt idx="2">
                  <c:v>2</c:v>
                </c:pt>
                <c:pt idx="3">
                  <c:v>7</c:v>
                </c:pt>
                <c:pt idx="4">
                  <c:v>5</c:v>
                </c:pt>
                <c:pt idx="5">
                  <c:v>6</c:v>
                </c:pt>
              </c:numCache>
            </c:numRef>
          </c:val>
          <c:extLst>
            <c:ext xmlns:c16="http://schemas.microsoft.com/office/drawing/2014/chart" uri="{C3380CC4-5D6E-409C-BE32-E72D297353CC}">
              <c16:uniqueId val="{00000003-EB06-433D-9C15-4F36934DB95E}"/>
            </c:ext>
          </c:extLst>
        </c:ser>
        <c:dLbls>
          <c:showLegendKey val="0"/>
          <c:showVal val="0"/>
          <c:showCatName val="0"/>
          <c:showSerName val="0"/>
          <c:showPercent val="0"/>
          <c:showBubbleSize val="0"/>
        </c:dLbls>
        <c:gapWidth val="150"/>
        <c:overlap val="100"/>
        <c:axId val="323998720"/>
        <c:axId val="323734912"/>
      </c:barChart>
      <c:catAx>
        <c:axId val="32399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23734912"/>
        <c:crosses val="autoZero"/>
        <c:auto val="1"/>
        <c:lblAlgn val="ctr"/>
        <c:lblOffset val="100"/>
        <c:noMultiLvlLbl val="0"/>
      </c:catAx>
      <c:valAx>
        <c:axId val="3237349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3998720"/>
        <c:crosses val="autoZero"/>
        <c:crossBetween val="between"/>
      </c:valAx>
      <c:spPr>
        <a:noFill/>
        <a:ln>
          <a:solidFill>
            <a:schemeClr val="bg1">
              <a:lumMod val="85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3175" cap="flat" cmpd="sng" algn="ctr">
      <a:solidFill>
        <a:schemeClr val="bg1">
          <a:lumMod val="85000"/>
        </a:schemeClr>
      </a:solid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959308132933478E-2"/>
          <c:y val="1.637469837439675E-2"/>
          <c:w val="0.5577018476100748"/>
          <c:h val="0.95616070294640587"/>
        </c:manualLayout>
      </c:layout>
      <c:pieChart>
        <c:varyColors val="1"/>
        <c:ser>
          <c:idx val="1"/>
          <c:order val="0"/>
          <c:spPr>
            <a:ln w="1270">
              <a:solidFill>
                <a:schemeClr val="tx1">
                  <a:lumMod val="75000"/>
                  <a:lumOff val="25000"/>
                </a:schemeClr>
              </a:solidFill>
            </a:ln>
          </c:spPr>
          <c:dPt>
            <c:idx val="0"/>
            <c:bubble3D val="0"/>
            <c:spPr>
              <a:solidFill>
                <a:schemeClr val="accent1"/>
              </a:solidFill>
              <a:ln w="1270">
                <a:noFill/>
              </a:ln>
              <a:effectLst/>
            </c:spPr>
            <c:extLst>
              <c:ext xmlns:c16="http://schemas.microsoft.com/office/drawing/2014/chart" uri="{C3380CC4-5D6E-409C-BE32-E72D297353CC}">
                <c16:uniqueId val="{00000001-224C-4035-9DB8-B8442390CA81}"/>
              </c:ext>
            </c:extLst>
          </c:dPt>
          <c:dPt>
            <c:idx val="1"/>
            <c:bubble3D val="0"/>
            <c:spPr>
              <a:solidFill>
                <a:schemeClr val="accent2"/>
              </a:solidFill>
              <a:ln w="1270">
                <a:noFill/>
              </a:ln>
              <a:effectLst/>
            </c:spPr>
            <c:extLst>
              <c:ext xmlns:c16="http://schemas.microsoft.com/office/drawing/2014/chart" uri="{C3380CC4-5D6E-409C-BE32-E72D297353CC}">
                <c16:uniqueId val="{00000003-224C-4035-9DB8-B8442390CA81}"/>
              </c:ext>
            </c:extLst>
          </c:dPt>
          <c:dPt>
            <c:idx val="2"/>
            <c:bubble3D val="0"/>
            <c:spPr>
              <a:solidFill>
                <a:schemeClr val="accent3"/>
              </a:solidFill>
              <a:ln w="1270">
                <a:noFill/>
              </a:ln>
              <a:effectLst/>
            </c:spPr>
            <c:extLst>
              <c:ext xmlns:c16="http://schemas.microsoft.com/office/drawing/2014/chart" uri="{C3380CC4-5D6E-409C-BE32-E72D297353CC}">
                <c16:uniqueId val="{00000005-224C-4035-9DB8-B8442390CA81}"/>
              </c:ext>
            </c:extLst>
          </c:dPt>
          <c:dPt>
            <c:idx val="3"/>
            <c:bubble3D val="0"/>
            <c:spPr>
              <a:solidFill>
                <a:schemeClr val="accent4"/>
              </a:solidFill>
              <a:ln w="1270">
                <a:noFill/>
              </a:ln>
              <a:effectLst/>
            </c:spPr>
            <c:extLst>
              <c:ext xmlns:c16="http://schemas.microsoft.com/office/drawing/2014/chart" uri="{C3380CC4-5D6E-409C-BE32-E72D297353CC}">
                <c16:uniqueId val="{00000007-224C-4035-9DB8-B8442390CA81}"/>
              </c:ext>
            </c:extLst>
          </c:dPt>
          <c:dLbls>
            <c:dLbl>
              <c:idx val="0"/>
              <c:tx>
                <c:rich>
                  <a:bodyPr/>
                  <a:lstStyle/>
                  <a:p>
                    <a:r>
                      <a:rPr lang="en-US"/>
                      <a:t>58%</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24C-4035-9DB8-B8442390CA81}"/>
                </c:ext>
              </c:extLst>
            </c:dLbl>
            <c:dLbl>
              <c:idx val="1"/>
              <c:tx>
                <c:rich>
                  <a:bodyPr/>
                  <a:lstStyle/>
                  <a:p>
                    <a:r>
                      <a:rPr lang="en-US"/>
                      <a:t>5%</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24C-4035-9DB8-B8442390CA81}"/>
                </c:ext>
              </c:extLst>
            </c:dLbl>
            <c:dLbl>
              <c:idx val="2"/>
              <c:tx>
                <c:rich>
                  <a:bodyPr/>
                  <a:lstStyle/>
                  <a:p>
                    <a:r>
                      <a:rPr lang="en-US"/>
                      <a:t>33%</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24C-4035-9DB8-B8442390CA81}"/>
                </c:ext>
              </c:extLst>
            </c:dLbl>
            <c:dLbl>
              <c:idx val="3"/>
              <c:tx>
                <c:rich>
                  <a:bodyPr/>
                  <a:lstStyle/>
                  <a:p>
                    <a:r>
                      <a:rPr lang="en-US"/>
                      <a:t>4%</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24C-4035-9DB8-B8442390CA81}"/>
                </c:ext>
              </c:extLst>
            </c:dLbl>
            <c:spPr>
              <a:solidFill>
                <a:schemeClr val="tx1">
                  <a:alpha val="5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Odra!$J$9:$J$12</c:f>
              <c:strCache>
                <c:ptCount val="4"/>
                <c:pt idx="0">
                  <c:v>Tereny rolne</c:v>
                </c:pt>
                <c:pt idx="1">
                  <c:v>Tereny przekształcone antopogenicznie</c:v>
                </c:pt>
                <c:pt idx="2">
                  <c:v>Tereny leśne</c:v>
                </c:pt>
                <c:pt idx="3">
                  <c:v>Tereny pozostałe</c:v>
                </c:pt>
              </c:strCache>
            </c:strRef>
          </c:cat>
          <c:val>
            <c:numRef>
              <c:f>IIaPGWCLC!$F$21:$I$21</c:f>
              <c:numCache>
                <c:formatCode>0.0</c:formatCode>
                <c:ptCount val="4"/>
                <c:pt idx="0">
                  <c:v>58.381201895849536</c:v>
                </c:pt>
                <c:pt idx="1">
                  <c:v>4.6198999897573794</c:v>
                </c:pt>
                <c:pt idx="2">
                  <c:v>32.462076808637988</c:v>
                </c:pt>
                <c:pt idx="3">
                  <c:v>4.5368213057550975</c:v>
                </c:pt>
              </c:numCache>
            </c:numRef>
          </c:val>
          <c:extLst>
            <c:ext xmlns:c16="http://schemas.microsoft.com/office/drawing/2014/chart" uri="{C3380CC4-5D6E-409C-BE32-E72D297353CC}">
              <c16:uniqueId val="{00000008-224C-4035-9DB8-B8442390CA81}"/>
            </c:ext>
          </c:extLst>
        </c:ser>
        <c:dLbls>
          <c:dLblPos val="inEnd"/>
          <c:showLegendKey val="0"/>
          <c:showVal val="0"/>
          <c:showCatName val="0"/>
          <c:showSerName val="0"/>
          <c:showPercent val="1"/>
          <c:showBubbleSize val="0"/>
          <c:showLeaderLines val="1"/>
        </c:dLbls>
        <c:firstSliceAng val="0"/>
        <c:extLst>
          <c:ext xmlns:c15="http://schemas.microsoft.com/office/drawing/2012/chart" uri="{02D57815-91ED-43cb-92C2-25804820EDAC}">
            <c15:filteredPieSeries>
              <c15:ser>
                <c:idx val="0"/>
                <c:order val="1"/>
                <c:tx>
                  <c:strRef>
                    <c:extLst>
                      <c:ext uri="{02D57815-91ED-43cb-92C2-25804820EDAC}">
                        <c15:formulaRef>
                          <c15:sqref>IIaPGWCLC!$F$15:$I$15</c15:sqref>
                        </c15:formulaRef>
                      </c:ext>
                    </c:extLst>
                    <c:strCache>
                      <c:ptCount val="4"/>
                      <c:pt idx="0">
                        <c:v>Udz_rol%</c:v>
                      </c:pt>
                      <c:pt idx="1">
                        <c:v>Udz_pow_antrop%</c:v>
                      </c:pt>
                      <c:pt idx="2">
                        <c:v>Udz_les%</c:v>
                      </c:pt>
                      <c:pt idx="3">
                        <c:v>Udz_poz%</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A-224C-4035-9DB8-B8442390CA81}"/>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C-224C-4035-9DB8-B8442390CA81}"/>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E-224C-4035-9DB8-B8442390CA81}"/>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0-224C-4035-9DB8-B8442390CA81}"/>
                    </c:ext>
                  </c:extLst>
                </c:dPt>
                <c:dLbls>
                  <c:dLbl>
                    <c:idx val="0"/>
                    <c:tx>
                      <c:rich>
                        <a:bodyPr/>
                        <a:lstStyle/>
                        <a:p>
                          <a:r>
                            <a:rPr lang="en-US"/>
                            <a:t>58,4%</a:t>
                          </a:r>
                        </a:p>
                      </c:rich>
                    </c:tx>
                    <c:dLblPos val="inEnd"/>
                    <c:showLegendKey val="0"/>
                    <c:showVal val="0"/>
                    <c:showCatName val="0"/>
                    <c:showSerName val="0"/>
                    <c:showPercent val="1"/>
                    <c:showBubbleSize val="0"/>
                    <c:extLst>
                      <c:ext uri="{CE6537A1-D6FC-4f65-9D91-7224C49458BB}"/>
                      <c:ext xmlns:c16="http://schemas.microsoft.com/office/drawing/2014/chart" uri="{C3380CC4-5D6E-409C-BE32-E72D297353CC}">
                        <c16:uniqueId val="{0000000A-224C-4035-9DB8-B8442390CA81}"/>
                      </c:ext>
                    </c:extLst>
                  </c:dLbl>
                  <c:dLbl>
                    <c:idx val="1"/>
                    <c:tx>
                      <c:rich>
                        <a:bodyPr/>
                        <a:lstStyle/>
                        <a:p>
                          <a:r>
                            <a:rPr lang="en-US"/>
                            <a:t>4,6%</a:t>
                          </a:r>
                        </a:p>
                      </c:rich>
                    </c:tx>
                    <c:dLblPos val="inEnd"/>
                    <c:showLegendKey val="0"/>
                    <c:showVal val="0"/>
                    <c:showCatName val="0"/>
                    <c:showSerName val="0"/>
                    <c:showPercent val="1"/>
                    <c:showBubbleSize val="0"/>
                    <c:extLst>
                      <c:ext uri="{CE6537A1-D6FC-4f65-9D91-7224C49458BB}"/>
                      <c:ext xmlns:c16="http://schemas.microsoft.com/office/drawing/2014/chart" uri="{C3380CC4-5D6E-409C-BE32-E72D297353CC}">
                        <c16:uniqueId val="{0000000C-224C-4035-9DB8-B8442390CA81}"/>
                      </c:ext>
                    </c:extLst>
                  </c:dLbl>
                  <c:dLbl>
                    <c:idx val="2"/>
                    <c:tx>
                      <c:rich>
                        <a:bodyPr/>
                        <a:lstStyle/>
                        <a:p>
                          <a:r>
                            <a:rPr lang="en-US"/>
                            <a:t>34%</a:t>
                          </a:r>
                        </a:p>
                      </c:rich>
                    </c:tx>
                    <c:dLblPos val="inEnd"/>
                    <c:showLegendKey val="0"/>
                    <c:showVal val="0"/>
                    <c:showCatName val="0"/>
                    <c:showSerName val="0"/>
                    <c:showPercent val="1"/>
                    <c:showBubbleSize val="0"/>
                    <c:extLst>
                      <c:ext uri="{CE6537A1-D6FC-4f65-9D91-7224C49458BB}"/>
                      <c:ext xmlns:c16="http://schemas.microsoft.com/office/drawing/2014/chart" uri="{C3380CC4-5D6E-409C-BE32-E72D297353CC}">
                        <c16:uniqueId val="{0000000E-224C-4035-9DB8-B8442390CA81}"/>
                      </c:ext>
                    </c:extLst>
                  </c:dLbl>
                  <c:dLbl>
                    <c:idx val="3"/>
                    <c:tx>
                      <c:rich>
                        <a:bodyPr/>
                        <a:lstStyle/>
                        <a:p>
                          <a:r>
                            <a:rPr lang="en-US"/>
                            <a:t>4,5%</a:t>
                          </a:r>
                        </a:p>
                      </c:rich>
                    </c:tx>
                    <c:dLblPos val="inEnd"/>
                    <c:showLegendKey val="0"/>
                    <c:showVal val="0"/>
                    <c:showCatName val="0"/>
                    <c:showSerName val="0"/>
                    <c:showPercent val="1"/>
                    <c:showBubbleSize val="0"/>
                    <c:extLst>
                      <c:ext uri="{CE6537A1-D6FC-4f65-9D91-7224C49458BB}"/>
                      <c:ext xmlns:c16="http://schemas.microsoft.com/office/drawing/2014/chart" uri="{C3380CC4-5D6E-409C-BE32-E72D297353CC}">
                        <c16:uniqueId val="{00000010-224C-4035-9DB8-B8442390CA8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prstDash val="solid"/>
                        <a:round/>
                      </a:ln>
                      <a:effectLst/>
                    </c:spPr>
                  </c:leaderLines>
                  <c:extLst>
                    <c:ext uri="{CE6537A1-D6FC-4f65-9D91-7224C49458BB}"/>
                  </c:extLst>
                </c:dLbls>
                <c:cat>
                  <c:strRef>
                    <c:extLst>
                      <c:ext uri="{02D57815-91ED-43cb-92C2-25804820EDAC}">
                        <c15:formulaRef>
                          <c15:sqref>Odra!$J$9:$J$12</c15:sqref>
                        </c15:formulaRef>
                      </c:ext>
                    </c:extLst>
                    <c:strCache>
                      <c:ptCount val="4"/>
                      <c:pt idx="0">
                        <c:v>Tereny rolne</c:v>
                      </c:pt>
                      <c:pt idx="1">
                        <c:v>Tereny przekształcone antopogenicznie</c:v>
                      </c:pt>
                      <c:pt idx="2">
                        <c:v>Tereny leśne</c:v>
                      </c:pt>
                      <c:pt idx="3">
                        <c:v>Tereny pozostałe</c:v>
                      </c:pt>
                    </c:strCache>
                  </c:strRef>
                </c:cat>
                <c:val>
                  <c:numRef>
                    <c:extLst>
                      <c:ext uri="{02D57815-91ED-43cb-92C2-25804820EDAC}">
                        <c15:formulaRef>
                          <c15:sqref>IIaPGWCLC!$F$21:$I$21</c15:sqref>
                        </c15:formulaRef>
                      </c:ext>
                    </c:extLst>
                    <c:numCache>
                      <c:formatCode>0.0</c:formatCode>
                      <c:ptCount val="4"/>
                      <c:pt idx="0">
                        <c:v>58.381201895849536</c:v>
                      </c:pt>
                      <c:pt idx="1">
                        <c:v>4.6198999897573794</c:v>
                      </c:pt>
                      <c:pt idx="2">
                        <c:v>32.462076808637988</c:v>
                      </c:pt>
                      <c:pt idx="3">
                        <c:v>4.5368213057550975</c:v>
                      </c:pt>
                    </c:numCache>
                  </c:numRef>
                </c:val>
                <c:extLst>
                  <c:ext xmlns:c16="http://schemas.microsoft.com/office/drawing/2014/chart" uri="{C3380CC4-5D6E-409C-BE32-E72D297353CC}">
                    <c16:uniqueId val="{00000011-224C-4035-9DB8-B8442390CA81}"/>
                  </c:ext>
                </c:extLst>
              </c15:ser>
            </c15:filteredPieSeries>
          </c:ext>
        </c:extLst>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extLst/>
  </c:chart>
  <c:spPr>
    <a:noFill/>
    <a:ln w="9525" cap="flat" cmpd="sng" algn="ctr">
      <a:solidFill>
        <a:schemeClr val="dk1">
          <a:lumMod val="15000"/>
          <a:lumOff val="85000"/>
        </a:schemeClr>
      </a:solidFill>
      <a:prstDash val="solid"/>
      <a:round/>
    </a:ln>
    <a:effectLst/>
  </c:spPr>
  <c:txPr>
    <a:bodyPr/>
    <a:lstStyle/>
    <a:p>
      <a:pPr>
        <a:defRPr/>
      </a:pPr>
      <a:endParaRPr lang="pl-PL"/>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0" i="0" baseline="0">
                <a:effectLst/>
              </a:rPr>
              <a:t>Ocena osiągnięcia celów środowiskowych wyznaczonych                             w aPGW dla stanu chemicznego                     </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Odra!$I$15</c:f>
              <c:strCache>
                <c:ptCount val="1"/>
                <c:pt idx="0">
                  <c:v>brak oceny - cel nie został wyznaczony</c:v>
                </c:pt>
              </c:strCache>
            </c:strRef>
          </c:tx>
          <c:spPr>
            <a:solidFill>
              <a:schemeClr val="bg1">
                <a:lumMod val="50000"/>
              </a:schemeClr>
            </a:solidFill>
            <a:ln>
              <a:noFill/>
            </a:ln>
            <a:effectLst/>
          </c:spPr>
          <c:invertIfNegative val="0"/>
          <c:cat>
            <c:strRef>
              <c:f>Odra!$H$16:$H$21</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Odra!$I$16:$I$21</c:f>
              <c:numCache>
                <c:formatCode>General</c:formatCode>
                <c:ptCount val="6"/>
                <c:pt idx="0">
                  <c:v>21</c:v>
                </c:pt>
                <c:pt idx="1">
                  <c:v>1</c:v>
                </c:pt>
                <c:pt idx="2">
                  <c:v>2</c:v>
                </c:pt>
                <c:pt idx="3">
                  <c:v>7</c:v>
                </c:pt>
                <c:pt idx="4">
                  <c:v>5</c:v>
                </c:pt>
                <c:pt idx="5">
                  <c:v>6</c:v>
                </c:pt>
              </c:numCache>
            </c:numRef>
          </c:val>
          <c:extLst>
            <c:ext xmlns:c16="http://schemas.microsoft.com/office/drawing/2014/chart" uri="{C3380CC4-5D6E-409C-BE32-E72D297353CC}">
              <c16:uniqueId val="{00000000-3ADC-4AE5-B49A-34E8D8AED4DA}"/>
            </c:ext>
          </c:extLst>
        </c:ser>
        <c:ser>
          <c:idx val="1"/>
          <c:order val="1"/>
          <c:tx>
            <c:strRef>
              <c:f>Odra!$J$15</c:f>
              <c:strCache>
                <c:ptCount val="1"/>
                <c:pt idx="0">
                  <c:v>NIE</c:v>
                </c:pt>
              </c:strCache>
            </c:strRef>
          </c:tx>
          <c:spPr>
            <a:solidFill>
              <a:srgbClr val="FF0000"/>
            </a:solidFill>
            <a:ln>
              <a:noFill/>
            </a:ln>
            <a:effectLst/>
          </c:spPr>
          <c:invertIfNegative val="0"/>
          <c:cat>
            <c:strRef>
              <c:f>Odra!$H$16:$H$21</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Odra!$J$16:$J$21</c:f>
              <c:numCache>
                <c:formatCode>General</c:formatCode>
                <c:ptCount val="6"/>
                <c:pt idx="0">
                  <c:v>258</c:v>
                </c:pt>
                <c:pt idx="2">
                  <c:v>19</c:v>
                </c:pt>
                <c:pt idx="3">
                  <c:v>78</c:v>
                </c:pt>
                <c:pt idx="4">
                  <c:v>107</c:v>
                </c:pt>
                <c:pt idx="5">
                  <c:v>54</c:v>
                </c:pt>
              </c:numCache>
            </c:numRef>
          </c:val>
          <c:extLst>
            <c:ext xmlns:c16="http://schemas.microsoft.com/office/drawing/2014/chart" uri="{C3380CC4-5D6E-409C-BE32-E72D297353CC}">
              <c16:uniqueId val="{00000001-3ADC-4AE5-B49A-34E8D8AED4DA}"/>
            </c:ext>
          </c:extLst>
        </c:ser>
        <c:ser>
          <c:idx val="2"/>
          <c:order val="2"/>
          <c:tx>
            <c:strRef>
              <c:f>Odra!$K$15</c:f>
              <c:strCache>
                <c:ptCount val="1"/>
                <c:pt idx="0">
                  <c:v>TAK</c:v>
                </c:pt>
              </c:strCache>
            </c:strRef>
          </c:tx>
          <c:spPr>
            <a:solidFill>
              <a:srgbClr val="00B0F0"/>
            </a:solidFill>
            <a:ln>
              <a:noFill/>
            </a:ln>
            <a:effectLst/>
          </c:spPr>
          <c:invertIfNegative val="0"/>
          <c:cat>
            <c:strRef>
              <c:f>Odra!$H$16:$H$21</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Odra!$K$16:$K$21</c:f>
              <c:numCache>
                <c:formatCode>General</c:formatCode>
                <c:ptCount val="6"/>
                <c:pt idx="0">
                  <c:v>148</c:v>
                </c:pt>
                <c:pt idx="2" formatCode="0.0">
                  <c:v>6</c:v>
                </c:pt>
                <c:pt idx="3" formatCode="0.0">
                  <c:v>39</c:v>
                </c:pt>
                <c:pt idx="4" formatCode="0.0">
                  <c:v>54</c:v>
                </c:pt>
                <c:pt idx="5" formatCode="0.0">
                  <c:v>49</c:v>
                </c:pt>
              </c:numCache>
            </c:numRef>
          </c:val>
          <c:extLst>
            <c:ext xmlns:c16="http://schemas.microsoft.com/office/drawing/2014/chart" uri="{C3380CC4-5D6E-409C-BE32-E72D297353CC}">
              <c16:uniqueId val="{00000002-3ADC-4AE5-B49A-34E8D8AED4DA}"/>
            </c:ext>
          </c:extLst>
        </c:ser>
        <c:dLbls>
          <c:showLegendKey val="0"/>
          <c:showVal val="0"/>
          <c:showCatName val="0"/>
          <c:showSerName val="0"/>
          <c:showPercent val="0"/>
          <c:showBubbleSize val="0"/>
        </c:dLbls>
        <c:gapWidth val="150"/>
        <c:overlap val="100"/>
        <c:axId val="922868600"/>
        <c:axId val="922866960"/>
      </c:barChart>
      <c:catAx>
        <c:axId val="922868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22866960"/>
        <c:crosses val="autoZero"/>
        <c:auto val="1"/>
        <c:lblAlgn val="ctr"/>
        <c:lblOffset val="100"/>
        <c:noMultiLvlLbl val="0"/>
      </c:catAx>
      <c:valAx>
        <c:axId val="922866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22868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0" i="0" baseline="0">
                <a:effectLst/>
              </a:rPr>
              <a:t>Ocena osiągnięcia celów środowiskowych wyznaczonych </a:t>
            </a:r>
            <a:br>
              <a:rPr lang="pl-PL" sz="1100" b="0" i="0" baseline="0">
                <a:effectLst/>
              </a:rPr>
            </a:br>
            <a:r>
              <a:rPr lang="pl-PL" sz="1100" b="0" i="0" baseline="0">
                <a:effectLst/>
              </a:rPr>
              <a:t>w</a:t>
            </a:r>
            <a:r>
              <a:rPr lang="pl-PL" sz="1100" b="0" i="0" u="none" strike="noStrike" kern="1200" spc="0" baseline="0">
                <a:solidFill>
                  <a:sysClr val="windowText" lastClr="000000">
                    <a:lumMod val="65000"/>
                    <a:lumOff val="35000"/>
                  </a:sysClr>
                </a:solidFill>
                <a:effectLst/>
                <a:latin typeface="+mn-lt"/>
                <a:ea typeface="+mn-ea"/>
                <a:cs typeface="+mn-cs"/>
              </a:rPr>
              <a:t> </a:t>
            </a:r>
            <a:r>
              <a:rPr lang="pl-PL" sz="1100" b="0" i="0" baseline="0">
                <a:effectLst/>
              </a:rPr>
              <a:t>aPGW dla stanu ogólnego wód</a:t>
            </a:r>
            <a:endParaRPr lang="pl-PL" sz="1100">
              <a:effectLst/>
            </a:endParaRPr>
          </a:p>
        </c:rich>
      </c:tx>
      <c:layout>
        <c:manualLayout>
          <c:xMode val="edge"/>
          <c:yMode val="edge"/>
          <c:x val="0.23225082256118207"/>
          <c:y val="2.3276751721963487E-2"/>
        </c:manualLayout>
      </c:layout>
      <c:overlay val="0"/>
      <c:spPr>
        <a:noFill/>
        <a:ln>
          <a:noFill/>
        </a:ln>
        <a:effectLst/>
      </c:spPr>
    </c:title>
    <c:autoTitleDeleted val="0"/>
    <c:plotArea>
      <c:layout>
        <c:manualLayout>
          <c:layoutTarget val="inner"/>
          <c:xMode val="edge"/>
          <c:yMode val="edge"/>
          <c:x val="7.4840600619226358E-2"/>
          <c:y val="0.17833038312915156"/>
          <c:w val="0.90161396613300393"/>
          <c:h val="0.62074853116115369"/>
        </c:manualLayout>
      </c:layout>
      <c:barChart>
        <c:barDir val="col"/>
        <c:grouping val="percentStacked"/>
        <c:varyColors val="0"/>
        <c:ser>
          <c:idx val="0"/>
          <c:order val="0"/>
          <c:tx>
            <c:strRef>
              <c:f>Odra!$AS$6</c:f>
              <c:strCache>
                <c:ptCount val="1"/>
                <c:pt idx="0">
                  <c:v>brak możliwości oceny</c:v>
                </c:pt>
              </c:strCache>
            </c:strRef>
          </c:tx>
          <c:spPr>
            <a:solidFill>
              <a:schemeClr val="bg1">
                <a:lumMod val="75000"/>
              </a:schemeClr>
            </a:solidFill>
            <a:ln w="1270">
              <a:noFill/>
            </a:ln>
            <a:effectLst/>
          </c:spPr>
          <c:invertIfNegative val="0"/>
          <c:cat>
            <c:strRef>
              <c:f>Odra!$AT$5:$AY$5</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Odra!$AT$6:$AY$6</c:f>
              <c:numCache>
                <c:formatCode>General</c:formatCode>
                <c:ptCount val="6"/>
                <c:pt idx="0">
                  <c:v>47</c:v>
                </c:pt>
                <c:pt idx="1">
                  <c:v>1</c:v>
                </c:pt>
                <c:pt idx="2">
                  <c:v>4</c:v>
                </c:pt>
                <c:pt idx="3">
                  <c:v>7</c:v>
                </c:pt>
                <c:pt idx="4">
                  <c:v>18</c:v>
                </c:pt>
                <c:pt idx="5">
                  <c:v>17</c:v>
                </c:pt>
              </c:numCache>
            </c:numRef>
          </c:val>
          <c:extLst>
            <c:ext xmlns:c16="http://schemas.microsoft.com/office/drawing/2014/chart" uri="{C3380CC4-5D6E-409C-BE32-E72D297353CC}">
              <c16:uniqueId val="{00000000-E15F-4542-AFDA-880CA393923B}"/>
            </c:ext>
          </c:extLst>
        </c:ser>
        <c:ser>
          <c:idx val="1"/>
          <c:order val="1"/>
          <c:tx>
            <c:strRef>
              <c:f>Odra!$AS$7</c:f>
              <c:strCache>
                <c:ptCount val="1"/>
                <c:pt idx="0">
                  <c:v>NIE</c:v>
                </c:pt>
              </c:strCache>
            </c:strRef>
          </c:tx>
          <c:spPr>
            <a:solidFill>
              <a:srgbClr val="FF0000"/>
            </a:solidFill>
            <a:ln w="1270">
              <a:noFill/>
            </a:ln>
            <a:effectLst/>
          </c:spPr>
          <c:invertIfNegative val="0"/>
          <c:cat>
            <c:strRef>
              <c:f>Odra!$AT$5:$AY$5</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Odra!$AT$7:$AY$7</c:f>
              <c:numCache>
                <c:formatCode>General</c:formatCode>
                <c:ptCount val="6"/>
                <c:pt idx="0">
                  <c:v>346</c:v>
                </c:pt>
                <c:pt idx="1">
                  <c:v>0</c:v>
                </c:pt>
                <c:pt idx="2">
                  <c:v>22</c:v>
                </c:pt>
                <c:pt idx="3">
                  <c:v>113</c:v>
                </c:pt>
                <c:pt idx="4">
                  <c:v>127</c:v>
                </c:pt>
                <c:pt idx="5">
                  <c:v>84</c:v>
                </c:pt>
              </c:numCache>
            </c:numRef>
          </c:val>
          <c:extLst>
            <c:ext xmlns:c16="http://schemas.microsoft.com/office/drawing/2014/chart" uri="{C3380CC4-5D6E-409C-BE32-E72D297353CC}">
              <c16:uniqueId val="{00000001-E15F-4542-AFDA-880CA393923B}"/>
            </c:ext>
          </c:extLst>
        </c:ser>
        <c:ser>
          <c:idx val="2"/>
          <c:order val="2"/>
          <c:tx>
            <c:strRef>
              <c:f>Odra!$AS$8</c:f>
              <c:strCache>
                <c:ptCount val="1"/>
                <c:pt idx="0">
                  <c:v>TAK</c:v>
                </c:pt>
              </c:strCache>
            </c:strRef>
          </c:tx>
          <c:spPr>
            <a:solidFill>
              <a:srgbClr val="00B0F0"/>
            </a:solidFill>
            <a:ln w="1270">
              <a:noFill/>
            </a:ln>
            <a:effectLst/>
          </c:spPr>
          <c:invertIfNegative val="0"/>
          <c:cat>
            <c:strRef>
              <c:f>Odra!$AT$5:$AY$5</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Odra!$AT$8:$AY$8</c:f>
              <c:numCache>
                <c:formatCode>General</c:formatCode>
                <c:ptCount val="6"/>
                <c:pt idx="0">
                  <c:v>34</c:v>
                </c:pt>
                <c:pt idx="1">
                  <c:v>0</c:v>
                </c:pt>
                <c:pt idx="2">
                  <c:v>1</c:v>
                </c:pt>
                <c:pt idx="3">
                  <c:v>4</c:v>
                </c:pt>
                <c:pt idx="4">
                  <c:v>21</c:v>
                </c:pt>
                <c:pt idx="5">
                  <c:v>8</c:v>
                </c:pt>
              </c:numCache>
            </c:numRef>
          </c:val>
          <c:extLst>
            <c:ext xmlns:c16="http://schemas.microsoft.com/office/drawing/2014/chart" uri="{C3380CC4-5D6E-409C-BE32-E72D297353CC}">
              <c16:uniqueId val="{00000002-E15F-4542-AFDA-880CA393923B}"/>
            </c:ext>
          </c:extLst>
        </c:ser>
        <c:dLbls>
          <c:showLegendKey val="0"/>
          <c:showVal val="0"/>
          <c:showCatName val="0"/>
          <c:showSerName val="0"/>
          <c:showPercent val="0"/>
          <c:showBubbleSize val="0"/>
        </c:dLbls>
        <c:gapWidth val="150"/>
        <c:overlap val="100"/>
        <c:axId val="324001280"/>
        <c:axId val="323738368"/>
      </c:barChart>
      <c:catAx>
        <c:axId val="32400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23738368"/>
        <c:crosses val="autoZero"/>
        <c:auto val="1"/>
        <c:lblAlgn val="ctr"/>
        <c:lblOffset val="100"/>
        <c:noMultiLvlLbl val="0"/>
      </c:catAx>
      <c:valAx>
        <c:axId val="323738368"/>
        <c:scaling>
          <c:orientation val="minMax"/>
        </c:scaling>
        <c:delete val="0"/>
        <c:axPos val="l"/>
        <c:majorGridlines>
          <c:spPr>
            <a:ln w="9525" cap="flat" cmpd="sng" algn="ctr">
              <a:solidFill>
                <a:schemeClr val="bg1">
                  <a:lumMod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4001280"/>
        <c:crosses val="autoZero"/>
        <c:crossBetween val="between"/>
      </c:valAx>
      <c:spPr>
        <a:noFill/>
        <a:ln>
          <a:noFill/>
        </a:ln>
        <a:effectLst/>
      </c:spPr>
    </c:plotArea>
    <c:legend>
      <c:legendPos val="b"/>
      <c:layout>
        <c:manualLayout>
          <c:xMode val="edge"/>
          <c:yMode val="edge"/>
          <c:x val="0.21083359597924226"/>
          <c:y val="0.92470785203538175"/>
          <c:w val="0.46274613573428214"/>
          <c:h val="5.554348981078090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bg1">
          <a:lumMod val="85000"/>
        </a:schemeClr>
      </a:solidFill>
      <a:round/>
    </a:ln>
    <a:effectLst/>
  </c:spPr>
  <c:txPr>
    <a:bodyPr/>
    <a:lstStyle/>
    <a:p>
      <a:pPr>
        <a:defRPr/>
      </a:pPr>
      <a:endParaRPr lang="pl-PL"/>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Arkusz1!$B$5</c:f>
              <c:strCache>
                <c:ptCount val="1"/>
                <c:pt idx="0">
                  <c:v>stan dobry (osiągnięty cel środowiskowy)</c:v>
                </c:pt>
              </c:strCache>
            </c:strRef>
          </c:tx>
          <c:spPr>
            <a:solidFill>
              <a:schemeClr val="accent1"/>
            </a:solidFill>
            <a:ln w="1270">
              <a:noFill/>
            </a:ln>
            <a:effectLst>
              <a:outerShdw blurRad="254000" sx="102000" sy="102000" algn="ctr" rotWithShape="0">
                <a:prstClr val="black">
                  <a:alpha val="20000"/>
                </a:prstClr>
              </a:outerShdw>
            </a:effectLst>
          </c:spPr>
          <c:invertIfNegative val="0"/>
          <c:dLbls>
            <c:spPr>
              <a:solidFill>
                <a:schemeClr val="tx1">
                  <a:alpha val="8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Arkusz1!$C$5</c:f>
              <c:numCache>
                <c:formatCode>0</c:formatCode>
                <c:ptCount val="1"/>
                <c:pt idx="0">
                  <c:v>54</c:v>
                </c:pt>
              </c:numCache>
            </c:numRef>
          </c:val>
          <c:extLst>
            <c:ext xmlns:c16="http://schemas.microsoft.com/office/drawing/2014/chart" uri="{C3380CC4-5D6E-409C-BE32-E72D297353CC}">
              <c16:uniqueId val="{00000000-FBB9-48C9-95FD-5E8ED5A4F0ED}"/>
            </c:ext>
          </c:extLst>
        </c:ser>
        <c:ser>
          <c:idx val="1"/>
          <c:order val="1"/>
          <c:tx>
            <c:strRef>
              <c:f>Arkusz1!$B$6</c:f>
              <c:strCache>
                <c:ptCount val="1"/>
                <c:pt idx="0">
                  <c:v>słaby stan chemiczny (nieosiągnięty cel środowiskowy)</c:v>
                </c:pt>
              </c:strCache>
            </c:strRef>
          </c:tx>
          <c:spPr>
            <a:solidFill>
              <a:schemeClr val="accent2"/>
            </a:solidFill>
            <a:ln w="1270">
              <a:noFill/>
            </a:ln>
            <a:effectLst>
              <a:outerShdw blurRad="254000" sx="102000" sy="102000" algn="ctr" rotWithShape="0">
                <a:prstClr val="black">
                  <a:alpha val="20000"/>
                </a:prstClr>
              </a:outerShdw>
            </a:effectLst>
          </c:spPr>
          <c:invertIfNegative val="0"/>
          <c:dLbls>
            <c:dLbl>
              <c:idx val="0"/>
              <c:spPr>
                <a:solidFill>
                  <a:schemeClr val="tx1">
                    <a:alpha val="8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0-35D4-4E6F-8B8D-7430CBBCCE50}"/>
                </c:ext>
              </c:extLst>
            </c:dLbl>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Arkusz1!$C$6</c:f>
              <c:numCache>
                <c:formatCode>0</c:formatCode>
                <c:ptCount val="1"/>
                <c:pt idx="0">
                  <c:v>2</c:v>
                </c:pt>
              </c:numCache>
            </c:numRef>
          </c:val>
          <c:extLst>
            <c:ext xmlns:c16="http://schemas.microsoft.com/office/drawing/2014/chart" uri="{C3380CC4-5D6E-409C-BE32-E72D297353CC}">
              <c16:uniqueId val="{00000001-FBB9-48C9-95FD-5E8ED5A4F0ED}"/>
            </c:ext>
          </c:extLst>
        </c:ser>
        <c:ser>
          <c:idx val="2"/>
          <c:order val="2"/>
          <c:tx>
            <c:strRef>
              <c:f>Arkusz1!$B$7</c:f>
              <c:strCache>
                <c:ptCount val="1"/>
                <c:pt idx="0">
                  <c:v>słaby stan ilościowy (nieosiągnięty cel środowiskowy)</c:v>
                </c:pt>
              </c:strCache>
            </c:strRef>
          </c:tx>
          <c:spPr>
            <a:solidFill>
              <a:schemeClr val="accent3"/>
            </a:solidFill>
            <a:ln w="1270">
              <a:noFill/>
            </a:ln>
            <a:effectLst>
              <a:outerShdw blurRad="254000" sx="102000" sy="102000" algn="ctr" rotWithShape="0">
                <a:prstClr val="black">
                  <a:alpha val="20000"/>
                </a:prstClr>
              </a:outerShdw>
            </a:effectLst>
          </c:spPr>
          <c:invertIfNegative val="0"/>
          <c:dLbls>
            <c:dLbl>
              <c:idx val="0"/>
              <c:spPr>
                <a:solidFill>
                  <a:schemeClr val="tx1">
                    <a:alpha val="8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1-35D4-4E6F-8B8D-7430CBBCCE50}"/>
                </c:ext>
              </c:extLst>
            </c:dLbl>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Arkusz1!$C$7</c:f>
              <c:numCache>
                <c:formatCode>0</c:formatCode>
                <c:ptCount val="1"/>
                <c:pt idx="0">
                  <c:v>7</c:v>
                </c:pt>
              </c:numCache>
            </c:numRef>
          </c:val>
          <c:extLst>
            <c:ext xmlns:c16="http://schemas.microsoft.com/office/drawing/2014/chart" uri="{C3380CC4-5D6E-409C-BE32-E72D297353CC}">
              <c16:uniqueId val="{00000002-FBB9-48C9-95FD-5E8ED5A4F0ED}"/>
            </c:ext>
          </c:extLst>
        </c:ser>
        <c:ser>
          <c:idx val="3"/>
          <c:order val="3"/>
          <c:tx>
            <c:strRef>
              <c:f>Arkusz1!$B$8</c:f>
              <c:strCache>
                <c:ptCount val="1"/>
                <c:pt idx="0">
                  <c:v>słaby stan chemiczny i ilościowy (nieosiągnięty cel środowiskowy)</c:v>
                </c:pt>
              </c:strCache>
            </c:strRef>
          </c:tx>
          <c:spPr>
            <a:solidFill>
              <a:schemeClr val="accent4"/>
            </a:solidFill>
            <a:ln w="1270">
              <a:noFill/>
            </a:ln>
            <a:effectLst>
              <a:outerShdw blurRad="254000" sx="102000" sy="102000" algn="ctr" rotWithShape="0">
                <a:prstClr val="black">
                  <a:alpha val="20000"/>
                </a:prstClr>
              </a:outerShdw>
            </a:effectLst>
          </c:spPr>
          <c:invertIfNegative val="0"/>
          <c:dLbls>
            <c:spPr>
              <a:solidFill>
                <a:schemeClr val="tx1">
                  <a:alpha val="8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Arkusz1!$C$8</c:f>
              <c:numCache>
                <c:formatCode>0</c:formatCode>
                <c:ptCount val="1"/>
                <c:pt idx="0">
                  <c:v>3</c:v>
                </c:pt>
              </c:numCache>
            </c:numRef>
          </c:val>
          <c:extLst>
            <c:ext xmlns:c16="http://schemas.microsoft.com/office/drawing/2014/chart" uri="{C3380CC4-5D6E-409C-BE32-E72D297353CC}">
              <c16:uniqueId val="{00000003-FBB9-48C9-95FD-5E8ED5A4F0ED}"/>
            </c:ext>
          </c:extLst>
        </c:ser>
        <c:dLbls>
          <c:showLegendKey val="0"/>
          <c:showVal val="0"/>
          <c:showCatName val="0"/>
          <c:showSerName val="0"/>
          <c:showPercent val="0"/>
          <c:showBubbleSize val="0"/>
        </c:dLbls>
        <c:gapWidth val="150"/>
        <c:axId val="1016426040"/>
        <c:axId val="1016428992"/>
      </c:barChart>
      <c:catAx>
        <c:axId val="1016426040"/>
        <c:scaling>
          <c:orientation val="minMax"/>
        </c:scaling>
        <c:delete val="1"/>
        <c:axPos val="b"/>
        <c:majorTickMark val="out"/>
        <c:minorTickMark val="none"/>
        <c:tickLblPos val="nextTo"/>
        <c:crossAx val="1016428992"/>
        <c:crosses val="autoZero"/>
        <c:auto val="1"/>
        <c:lblAlgn val="ctr"/>
        <c:lblOffset val="100"/>
        <c:noMultiLvlLbl val="0"/>
      </c:catAx>
      <c:valAx>
        <c:axId val="1016428992"/>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016426040"/>
        <c:crosses val="autoZero"/>
        <c:crossBetween val="between"/>
      </c:valAx>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aseline="0">
                <a:solidFill>
                  <a:schemeClr val="tx1">
                    <a:lumMod val="65000"/>
                    <a:lumOff val="35000"/>
                  </a:schemeClr>
                </a:solidFill>
              </a:defRPr>
            </a:pPr>
            <a:r>
              <a:rPr lang="pl-PL" sz="1100" b="0" i="0" baseline="0">
                <a:solidFill>
                  <a:schemeClr val="tx1">
                    <a:lumMod val="65000"/>
                    <a:lumOff val="35000"/>
                  </a:schemeClr>
                </a:solidFill>
                <a:effectLst/>
              </a:rPr>
              <a:t>Ocena osiągnięcia celów środowiskowych                                            wyznaczonych w aPGW dla </a:t>
            </a:r>
            <a:r>
              <a:rPr lang="pl-PL" sz="1100" b="0" i="0" u="none" strike="noStrike" kern="1200" baseline="0">
                <a:solidFill>
                  <a:schemeClr val="tx1">
                    <a:lumMod val="65000"/>
                    <a:lumOff val="35000"/>
                  </a:schemeClr>
                </a:solidFill>
                <a:effectLst/>
                <a:latin typeface="+mn-lt"/>
                <a:ea typeface="+mn-ea"/>
                <a:cs typeface="+mn-cs"/>
              </a:rPr>
              <a:t>JCWP</a:t>
            </a:r>
            <a:r>
              <a:rPr lang="pl-PL" sz="1100" b="0" i="0" baseline="0">
                <a:solidFill>
                  <a:schemeClr val="tx1">
                    <a:lumMod val="65000"/>
                    <a:lumOff val="35000"/>
                  </a:schemeClr>
                </a:solidFill>
                <a:effectLst/>
              </a:rPr>
              <a:t>d</a:t>
            </a:r>
            <a:endParaRPr lang="pl-PL" sz="1100" baseline="0">
              <a:solidFill>
                <a:schemeClr val="tx1">
                  <a:lumMod val="65000"/>
                  <a:lumOff val="35000"/>
                </a:schemeClr>
              </a:solidFill>
              <a:effectLst/>
            </a:endParaRPr>
          </a:p>
        </c:rich>
      </c:tx>
      <c:overlay val="0"/>
    </c:title>
    <c:autoTitleDeleted val="0"/>
    <c:plotArea>
      <c:layout>
        <c:manualLayout>
          <c:layoutTarget val="inner"/>
          <c:xMode val="edge"/>
          <c:yMode val="edge"/>
          <c:x val="0.10023082490733226"/>
          <c:y val="0.15188629965248754"/>
          <c:w val="0.86054048293416729"/>
          <c:h val="0.62646348353921211"/>
        </c:manualLayout>
      </c:layout>
      <c:barChart>
        <c:barDir val="col"/>
        <c:grouping val="percentStacked"/>
        <c:varyColors val="0"/>
        <c:ser>
          <c:idx val="0"/>
          <c:order val="0"/>
          <c:tx>
            <c:strRef>
              <c:f>'odra cele'!$R$18</c:f>
              <c:strCache>
                <c:ptCount val="1"/>
                <c:pt idx="0">
                  <c:v>TAK</c:v>
                </c:pt>
              </c:strCache>
            </c:strRef>
          </c:tx>
          <c:spPr>
            <a:solidFill>
              <a:srgbClr val="00B0F0"/>
            </a:solidFill>
            <a:ln w="1270">
              <a:noFill/>
            </a:ln>
          </c:spPr>
          <c:invertIfNegative val="0"/>
          <c:cat>
            <c:strRef>
              <c:f>'odra cele'!$Q$19:$Q$24</c:f>
              <c:strCache>
                <c:ptCount val="6"/>
                <c:pt idx="0">
                  <c:v>Obszar dorzecza Odry</c:v>
                </c:pt>
                <c:pt idx="1">
                  <c:v>Region wodny Górnej Odry</c:v>
                </c:pt>
                <c:pt idx="2">
                  <c:v>Region wodny Środkowej Odry</c:v>
                </c:pt>
                <c:pt idx="3">
                  <c:v>Region wodny  Dolnej Odry i Przymorza Zachodniego</c:v>
                </c:pt>
                <c:pt idx="4">
                  <c:v>Region wodny Warty</c:v>
                </c:pt>
                <c:pt idx="5">
                  <c:v>Region wodny Noteci</c:v>
                </c:pt>
              </c:strCache>
            </c:strRef>
          </c:cat>
          <c:val>
            <c:numRef>
              <c:f>'odra cele'!$R$19:$R$24</c:f>
              <c:numCache>
                <c:formatCode>0</c:formatCode>
                <c:ptCount val="6"/>
                <c:pt idx="0">
                  <c:v>76.92307692307692</c:v>
                </c:pt>
                <c:pt idx="1">
                  <c:v>85.714285714285708</c:v>
                </c:pt>
                <c:pt idx="2">
                  <c:v>83.333333333333329</c:v>
                </c:pt>
                <c:pt idx="3">
                  <c:v>81.25</c:v>
                </c:pt>
                <c:pt idx="4">
                  <c:v>66.666666666666671</c:v>
                </c:pt>
                <c:pt idx="5">
                  <c:v>80.882352941176464</c:v>
                </c:pt>
              </c:numCache>
            </c:numRef>
          </c:val>
          <c:extLst>
            <c:ext xmlns:c16="http://schemas.microsoft.com/office/drawing/2014/chart" uri="{C3380CC4-5D6E-409C-BE32-E72D297353CC}">
              <c16:uniqueId val="{00000000-0A42-4A35-8231-13A445777420}"/>
            </c:ext>
          </c:extLst>
        </c:ser>
        <c:ser>
          <c:idx val="1"/>
          <c:order val="1"/>
          <c:tx>
            <c:strRef>
              <c:f>'odra cele'!$S$18</c:f>
              <c:strCache>
                <c:ptCount val="1"/>
                <c:pt idx="0">
                  <c:v>NIE</c:v>
                </c:pt>
              </c:strCache>
            </c:strRef>
          </c:tx>
          <c:spPr>
            <a:solidFill>
              <a:srgbClr val="FF0000"/>
            </a:solidFill>
            <a:ln w="1270">
              <a:noFill/>
            </a:ln>
          </c:spPr>
          <c:invertIfNegative val="0"/>
          <c:cat>
            <c:strRef>
              <c:f>'odra cele'!$Q$19:$Q$24</c:f>
              <c:strCache>
                <c:ptCount val="6"/>
                <c:pt idx="0">
                  <c:v>Obszar dorzecza Odry</c:v>
                </c:pt>
                <c:pt idx="1">
                  <c:v>Region wodny Górnej Odry</c:v>
                </c:pt>
                <c:pt idx="2">
                  <c:v>Region wodny Środkowej Odry</c:v>
                </c:pt>
                <c:pt idx="3">
                  <c:v>Region wodny  Dolnej Odry i Przymorza Zachodniego</c:v>
                </c:pt>
                <c:pt idx="4">
                  <c:v>Region wodny Warty</c:v>
                </c:pt>
                <c:pt idx="5">
                  <c:v>Region wodny Noteci</c:v>
                </c:pt>
              </c:strCache>
            </c:strRef>
          </c:cat>
          <c:val>
            <c:numRef>
              <c:f>'odra cele'!$S$19:$S$24</c:f>
              <c:numCache>
                <c:formatCode>0</c:formatCode>
                <c:ptCount val="6"/>
                <c:pt idx="0">
                  <c:v>23.076923076923077</c:v>
                </c:pt>
                <c:pt idx="1">
                  <c:v>14.285714285714286</c:v>
                </c:pt>
                <c:pt idx="2">
                  <c:v>16.666666666666668</c:v>
                </c:pt>
                <c:pt idx="3">
                  <c:v>18.75</c:v>
                </c:pt>
                <c:pt idx="4">
                  <c:v>33.333333333333336</c:v>
                </c:pt>
                <c:pt idx="5">
                  <c:v>19.117647058823529</c:v>
                </c:pt>
              </c:numCache>
            </c:numRef>
          </c:val>
          <c:extLst>
            <c:ext xmlns:c16="http://schemas.microsoft.com/office/drawing/2014/chart" uri="{C3380CC4-5D6E-409C-BE32-E72D297353CC}">
              <c16:uniqueId val="{00000001-0A42-4A35-8231-13A445777420}"/>
            </c:ext>
          </c:extLst>
        </c:ser>
        <c:dLbls>
          <c:showLegendKey val="0"/>
          <c:showVal val="0"/>
          <c:showCatName val="0"/>
          <c:showSerName val="0"/>
          <c:showPercent val="0"/>
          <c:showBubbleSize val="0"/>
        </c:dLbls>
        <c:gapWidth val="150"/>
        <c:overlap val="100"/>
        <c:axId val="472489984"/>
        <c:axId val="291653312"/>
      </c:barChart>
      <c:catAx>
        <c:axId val="472489984"/>
        <c:scaling>
          <c:orientation val="minMax"/>
        </c:scaling>
        <c:delete val="0"/>
        <c:axPos val="b"/>
        <c:numFmt formatCode="General" sourceLinked="0"/>
        <c:majorTickMark val="none"/>
        <c:minorTickMark val="none"/>
        <c:tickLblPos val="nextTo"/>
        <c:txPr>
          <a:bodyPr rot="0" vert="horz"/>
          <a:lstStyle/>
          <a:p>
            <a:pPr>
              <a:defRPr sz="800">
                <a:solidFill>
                  <a:schemeClr val="tx1">
                    <a:lumMod val="65000"/>
                    <a:lumOff val="35000"/>
                  </a:schemeClr>
                </a:solidFill>
              </a:defRPr>
            </a:pPr>
            <a:endParaRPr lang="pl-PL"/>
          </a:p>
        </c:txPr>
        <c:crossAx val="291653312"/>
        <c:crosses val="autoZero"/>
        <c:auto val="1"/>
        <c:lblAlgn val="ctr"/>
        <c:lblOffset val="100"/>
        <c:noMultiLvlLbl val="0"/>
      </c:catAx>
      <c:valAx>
        <c:axId val="291653312"/>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spPr>
          <a:ln>
            <a:solidFill>
              <a:schemeClr val="bg1">
                <a:lumMod val="85000"/>
              </a:schemeClr>
            </a:solidFill>
          </a:ln>
        </c:spPr>
        <c:txPr>
          <a:bodyPr/>
          <a:lstStyle/>
          <a:p>
            <a:pPr>
              <a:defRPr sz="900">
                <a:solidFill>
                  <a:schemeClr val="tx1">
                    <a:lumMod val="65000"/>
                    <a:lumOff val="35000"/>
                  </a:schemeClr>
                </a:solidFill>
              </a:defRPr>
            </a:pPr>
            <a:endParaRPr lang="pl-PL"/>
          </a:p>
        </c:txPr>
        <c:crossAx val="472489984"/>
        <c:crosses val="autoZero"/>
        <c:crossBetween val="between"/>
      </c:valAx>
    </c:plotArea>
    <c:legend>
      <c:legendPos val="r"/>
      <c:legendEntry>
        <c:idx val="0"/>
        <c:txPr>
          <a:bodyPr/>
          <a:lstStyle/>
          <a:p>
            <a:pPr>
              <a:defRPr>
                <a:solidFill>
                  <a:schemeClr val="bg1">
                    <a:lumMod val="50000"/>
                  </a:schemeClr>
                </a:solidFill>
              </a:defRPr>
            </a:pPr>
            <a:endParaRPr lang="pl-PL"/>
          </a:p>
        </c:txPr>
      </c:legendEntry>
      <c:legendEntry>
        <c:idx val="1"/>
        <c:txPr>
          <a:bodyPr/>
          <a:lstStyle/>
          <a:p>
            <a:pPr>
              <a:defRPr>
                <a:solidFill>
                  <a:schemeClr val="bg1">
                    <a:lumMod val="50000"/>
                  </a:schemeClr>
                </a:solidFill>
              </a:defRPr>
            </a:pPr>
            <a:endParaRPr lang="pl-PL"/>
          </a:p>
        </c:txPr>
      </c:legendEntry>
      <c:layout>
        <c:manualLayout>
          <c:xMode val="edge"/>
          <c:yMode val="edge"/>
          <c:x val="0.43188004935093682"/>
          <c:y val="0.92017084498101098"/>
          <c:w val="0.14958793607332138"/>
          <c:h val="6.7158560625466365E-2"/>
        </c:manualLayout>
      </c:layout>
      <c:overlay val="0"/>
    </c:legend>
    <c:plotVisOnly val="1"/>
    <c:dispBlanksAs val="gap"/>
    <c:showDLblsOverMax val="0"/>
  </c:chart>
  <c:spPr>
    <a:ln>
      <a:solidFill>
        <a:schemeClr val="bg1">
          <a:lumMod val="85000"/>
        </a:schemeClr>
      </a:solidFill>
    </a:ln>
  </c:sp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0070C0"/>
              </a:solidFill>
              <a:ln>
                <a:noFill/>
              </a:ln>
              <a:effectLst/>
            </c:spPr>
            <c:extLst>
              <c:ext xmlns:c16="http://schemas.microsoft.com/office/drawing/2014/chart" uri="{C3380CC4-5D6E-409C-BE32-E72D297353CC}">
                <c16:uniqueId val="{00000001-B710-4E61-BDEC-FED252E80C6C}"/>
              </c:ext>
            </c:extLst>
          </c:dPt>
          <c:dPt>
            <c:idx val="1"/>
            <c:bubble3D val="0"/>
            <c:spPr>
              <a:solidFill>
                <a:schemeClr val="accent1">
                  <a:lumMod val="60000"/>
                  <a:lumOff val="40000"/>
                </a:schemeClr>
              </a:solidFill>
              <a:ln>
                <a:noFill/>
              </a:ln>
              <a:effectLst/>
            </c:spPr>
            <c:extLst>
              <c:ext xmlns:c16="http://schemas.microsoft.com/office/drawing/2014/chart" uri="{C3380CC4-5D6E-409C-BE32-E72D297353CC}">
                <c16:uniqueId val="{00000003-B710-4E61-BDEC-FED252E80C6C}"/>
              </c:ext>
            </c:extLst>
          </c:dPt>
          <c:dPt>
            <c:idx val="2"/>
            <c:bubble3D val="0"/>
            <c:spPr>
              <a:solidFill>
                <a:srgbClr val="C00000"/>
              </a:solidFill>
              <a:ln>
                <a:noFill/>
              </a:ln>
              <a:effectLst/>
            </c:spPr>
            <c:extLst>
              <c:ext xmlns:c16="http://schemas.microsoft.com/office/drawing/2014/chart" uri="{C3380CC4-5D6E-409C-BE32-E72D297353CC}">
                <c16:uniqueId val="{00000005-B710-4E61-BDEC-FED252E80C6C}"/>
              </c:ext>
            </c:extLst>
          </c:dPt>
          <c:dPt>
            <c:idx val="3"/>
            <c:bubble3D val="0"/>
            <c:spPr>
              <a:solidFill>
                <a:schemeClr val="bg1">
                  <a:lumMod val="75000"/>
                </a:schemeClr>
              </a:solidFill>
              <a:ln>
                <a:noFill/>
              </a:ln>
              <a:effectLst/>
            </c:spPr>
            <c:extLst>
              <c:ext xmlns:c16="http://schemas.microsoft.com/office/drawing/2014/chart" uri="{C3380CC4-5D6E-409C-BE32-E72D297353CC}">
                <c16:uniqueId val="{00000007-B710-4E61-BDEC-FED252E80C6C}"/>
              </c:ext>
            </c:extLst>
          </c:dPt>
          <c:dLbls>
            <c:spPr>
              <a:solidFill>
                <a:schemeClr val="tx1">
                  <a:alpha val="5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Odra!$S$786:$V$786</c:f>
              <c:strCache>
                <c:ptCount val="4"/>
                <c:pt idx="0">
                  <c:v>Cel środowiskowy osiągnięty</c:v>
                </c:pt>
                <c:pt idx="1">
                  <c:v>Cel środowiskowy częściowo osiągnięty</c:v>
                </c:pt>
                <c:pt idx="2">
                  <c:v>Cel środowiskowy nieosiągnięty</c:v>
                </c:pt>
                <c:pt idx="3">
                  <c:v>Brak danych</c:v>
                </c:pt>
              </c:strCache>
            </c:strRef>
          </c:cat>
          <c:val>
            <c:numRef>
              <c:f>Odra!$S$787:$V$787</c:f>
              <c:numCache>
                <c:formatCode>General</c:formatCode>
                <c:ptCount val="4"/>
                <c:pt idx="0">
                  <c:v>37</c:v>
                </c:pt>
                <c:pt idx="1">
                  <c:v>67</c:v>
                </c:pt>
                <c:pt idx="2">
                  <c:v>48</c:v>
                </c:pt>
                <c:pt idx="3">
                  <c:v>517</c:v>
                </c:pt>
              </c:numCache>
            </c:numRef>
          </c:val>
          <c:extLst>
            <c:ext xmlns:c16="http://schemas.microsoft.com/office/drawing/2014/chart" uri="{C3380CC4-5D6E-409C-BE32-E72D297353CC}">
              <c16:uniqueId val="{00000008-B710-4E61-BDEC-FED252E80C6C}"/>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8574768385739865E-2"/>
          <c:y val="5.360623781676413E-2"/>
          <c:w val="0.52207505518763797"/>
          <c:h val="0.92202729044834308"/>
        </c:manualLayout>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637-440C-80BB-D24EE0A1BE60}"/>
              </c:ext>
            </c:extLst>
          </c:dPt>
          <c:dPt>
            <c:idx val="1"/>
            <c:bubble3D val="0"/>
            <c:spPr>
              <a:solidFill>
                <a:schemeClr val="bg1">
                  <a:lumMod val="5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637-440C-80BB-D24EE0A1BE60}"/>
              </c:ext>
            </c:extLst>
          </c:dPt>
          <c:dPt>
            <c:idx val="2"/>
            <c:bubble3D val="0"/>
            <c:spPr>
              <a:solidFill>
                <a:schemeClr val="accent1">
                  <a:lumMod val="60000"/>
                  <a:lumOff val="4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637-440C-80BB-D24EE0A1BE60}"/>
              </c:ext>
            </c:extLst>
          </c:dPt>
          <c:dLbls>
            <c:dLbl>
              <c:idx val="1"/>
              <c:layout>
                <c:manualLayout>
                  <c:x val="4.4495685327837271E-2"/>
                  <c:y val="0.1563185331000291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637-440C-80BB-D24EE0A1BE60}"/>
                </c:ext>
              </c:extLst>
            </c:dLbl>
            <c:dLbl>
              <c:idx val="2"/>
              <c:layout>
                <c:manualLayout>
                  <c:x val="1.6107476804011211E-2"/>
                  <c:y val="9.774424030329542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637-440C-80BB-D24EE0A1BE60}"/>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'roz.10_dzialaniakrajowe'!$B$6:$B$8</c:f>
              <c:strCache>
                <c:ptCount val="3"/>
                <c:pt idx="0">
                  <c:v>działania krajowe ciągłe</c:v>
                </c:pt>
                <c:pt idx="1">
                  <c:v>działania krajowe z terminem realizacji - niezrealizowane</c:v>
                </c:pt>
                <c:pt idx="2">
                  <c:v>działania krajowe z terminem realizacji - zrealizowane</c:v>
                </c:pt>
              </c:strCache>
            </c:strRef>
          </c:cat>
          <c:val>
            <c:numRef>
              <c:f>'roz.10_dzialaniakrajowe'!$C$6:$C$8</c:f>
              <c:numCache>
                <c:formatCode>General</c:formatCode>
                <c:ptCount val="3"/>
                <c:pt idx="0">
                  <c:v>92</c:v>
                </c:pt>
                <c:pt idx="1">
                  <c:v>5</c:v>
                </c:pt>
                <c:pt idx="2">
                  <c:v>3</c:v>
                </c:pt>
              </c:numCache>
            </c:numRef>
          </c:val>
          <c:extLst>
            <c:ext xmlns:c16="http://schemas.microsoft.com/office/drawing/2014/chart" uri="{C3380CC4-5D6E-409C-BE32-E72D297353CC}">
              <c16:uniqueId val="{00000006-C637-440C-80BB-D24EE0A1BE6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209076003266807E-2"/>
          <c:y val="3.7991858887381276E-2"/>
          <c:w val="0.54552652414885194"/>
          <c:h val="0.93487109905020349"/>
        </c:manualLayout>
      </c:layout>
      <c:pieChart>
        <c:varyColors val="1"/>
        <c:ser>
          <c:idx val="0"/>
          <c:order val="0"/>
          <c:spPr>
            <a:solidFill>
              <a:schemeClr val="bg1">
                <a:lumMod val="75000"/>
              </a:schemeClr>
            </a:solidFill>
            <a:ln w="1270">
              <a:noFill/>
            </a:ln>
          </c:spPr>
          <c:dPt>
            <c:idx val="0"/>
            <c:bubble3D val="0"/>
            <c:spPr>
              <a:solidFill>
                <a:schemeClr val="bg1">
                  <a:lumMod val="75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C79-41AB-B844-AA5EF741CB5B}"/>
              </c:ext>
            </c:extLst>
          </c:dPt>
          <c:dPt>
            <c:idx val="1"/>
            <c:bubble3D val="0"/>
            <c:spPr>
              <a:solidFill>
                <a:schemeClr val="accent6"/>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C79-41AB-B844-AA5EF741CB5B}"/>
              </c:ext>
            </c:extLst>
          </c:dPt>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ZL!$C$24:$C$25</c:f>
              <c:strCache>
                <c:ptCount val="2"/>
                <c:pt idx="0">
                  <c:v>działania krajowe z terminem realizacji -niezrealizowane</c:v>
                </c:pt>
                <c:pt idx="1">
                  <c:v>działania krajowe z terminem realizacji - zrealizowane</c:v>
                </c:pt>
              </c:strCache>
            </c:strRef>
          </c:cat>
          <c:val>
            <c:numRef>
              <c:f>ZL!$D$24:$D$25</c:f>
              <c:numCache>
                <c:formatCode>General</c:formatCode>
                <c:ptCount val="2"/>
                <c:pt idx="0">
                  <c:v>29</c:v>
                </c:pt>
                <c:pt idx="1">
                  <c:v>71</c:v>
                </c:pt>
              </c:numCache>
            </c:numRef>
          </c:val>
          <c:extLst>
            <c:ext xmlns:c16="http://schemas.microsoft.com/office/drawing/2014/chart" uri="{C3380CC4-5D6E-409C-BE32-E72D297353CC}">
              <c16:uniqueId val="{00000004-AC79-41AB-B844-AA5EF741CB5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003-4F59-A01D-EB1F09CA1F4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003-4F59-A01D-EB1F09CA1F4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003-4F59-A01D-EB1F09CA1F45}"/>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003-4F59-A01D-EB1F09CA1F45}"/>
              </c:ext>
            </c:extLst>
          </c:dPt>
          <c:dLbls>
            <c:dLbl>
              <c:idx val="2"/>
              <c:layout>
                <c:manualLayout>
                  <c:x val="7.9776902887139081E-2"/>
                  <c:y val="7.333989501312336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003-4F59-A01D-EB1F09CA1F45}"/>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ZL!$A$40:$A$43</c:f>
              <c:strCache>
                <c:ptCount val="4"/>
                <c:pt idx="0">
                  <c:v>jcwp RW</c:v>
                </c:pt>
                <c:pt idx="1">
                  <c:v>jcwp LW</c:v>
                </c:pt>
                <c:pt idx="2">
                  <c:v>jcwp TW i CW</c:v>
                </c:pt>
                <c:pt idx="3">
                  <c:v>jcwpd</c:v>
                </c:pt>
              </c:strCache>
            </c:strRef>
          </c:cat>
          <c:val>
            <c:numRef>
              <c:f>ZL!$B$40:$B$43</c:f>
              <c:numCache>
                <c:formatCode>0%</c:formatCode>
                <c:ptCount val="4"/>
                <c:pt idx="0">
                  <c:v>0.82206719589447519</c:v>
                </c:pt>
                <c:pt idx="1">
                  <c:v>3.1272552321385615E-2</c:v>
                </c:pt>
                <c:pt idx="2">
                  <c:v>6.9360917328201424E-3</c:v>
                </c:pt>
                <c:pt idx="3">
                  <c:v>0.13972416005131907</c:v>
                </c:pt>
              </c:numCache>
            </c:numRef>
          </c:val>
          <c:extLst>
            <c:ext xmlns:c16="http://schemas.microsoft.com/office/drawing/2014/chart" uri="{C3380CC4-5D6E-409C-BE32-E72D297353CC}">
              <c16:uniqueId val="{00000008-0003-4F59-A01D-EB1F09CA1F4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710138964220916E-2"/>
          <c:y val="3.2564450474898234E-2"/>
          <c:w val="0.55186064924782263"/>
          <c:h val="0.94572591587516963"/>
        </c:manualLayout>
      </c:layout>
      <c:pieChart>
        <c:varyColors val="1"/>
        <c:ser>
          <c:idx val="0"/>
          <c:order val="0"/>
          <c:spPr>
            <a:ln w="1270">
              <a:noFill/>
            </a:ln>
          </c:spPr>
          <c:dPt>
            <c:idx val="0"/>
            <c:bubble3D val="0"/>
            <c:spPr>
              <a:solidFill>
                <a:schemeClr val="accent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014-479E-9E19-2A8C422D066F}"/>
              </c:ext>
            </c:extLst>
          </c:dPt>
          <c:dPt>
            <c:idx val="1"/>
            <c:bubble3D val="0"/>
            <c:spPr>
              <a:solidFill>
                <a:schemeClr val="accent2"/>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014-479E-9E19-2A8C422D066F}"/>
              </c:ext>
            </c:extLst>
          </c:dPt>
          <c:dPt>
            <c:idx val="2"/>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014-479E-9E19-2A8C422D066F}"/>
              </c:ext>
            </c:extLst>
          </c:dPt>
          <c:dPt>
            <c:idx val="3"/>
            <c:bubble3D val="0"/>
            <c:spPr>
              <a:solidFill>
                <a:schemeClr val="accent4"/>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014-479E-9E19-2A8C422D066F}"/>
              </c:ext>
            </c:extLst>
          </c:dPt>
          <c:dPt>
            <c:idx val="4"/>
            <c:bubble3D val="0"/>
            <c:spPr>
              <a:solidFill>
                <a:schemeClr val="accent5"/>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9014-479E-9E19-2A8C422D066F}"/>
              </c:ext>
            </c:extLst>
          </c:dPt>
          <c:dPt>
            <c:idx val="5"/>
            <c:bubble3D val="0"/>
            <c:spPr>
              <a:solidFill>
                <a:schemeClr val="accent6"/>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9014-479E-9E19-2A8C422D066F}"/>
              </c:ext>
            </c:extLst>
          </c:dPt>
          <c:dLbls>
            <c:dLbl>
              <c:idx val="2"/>
              <c:delete val="1"/>
              <c:extLst>
                <c:ext xmlns:c15="http://schemas.microsoft.com/office/drawing/2012/chart" uri="{CE6537A1-D6FC-4f65-9D91-7224C49458BB}"/>
                <c:ext xmlns:c16="http://schemas.microsoft.com/office/drawing/2014/chart" uri="{C3380CC4-5D6E-409C-BE32-E72D297353CC}">
                  <c16:uniqueId val="{00000005-9014-479E-9E19-2A8C422D066F}"/>
                </c:ext>
              </c:extLst>
            </c:dLbl>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ZL!$C$71:$C$76</c:f>
              <c:strCache>
                <c:ptCount val="6"/>
                <c:pt idx="0">
                  <c:v>gospodarka komunalna</c:v>
                </c:pt>
                <c:pt idx="1">
                  <c:v>rolnictwo</c:v>
                </c:pt>
                <c:pt idx="2">
                  <c:v>działania kontrolne - 100% jcwp LW</c:v>
                </c:pt>
                <c:pt idx="3">
                  <c:v>monioring</c:v>
                </c:pt>
                <c:pt idx="4">
                  <c:v>działania organizacyjno-prawne i edukacyjne</c:v>
                </c:pt>
                <c:pt idx="5">
                  <c:v>rekultywacja</c:v>
                </c:pt>
              </c:strCache>
            </c:strRef>
          </c:cat>
          <c:val>
            <c:numRef>
              <c:f>ZL!$E$71:$E$76</c:f>
              <c:numCache>
                <c:formatCode>0%</c:formatCode>
                <c:ptCount val="6"/>
                <c:pt idx="0">
                  <c:v>0.59167750325097535</c:v>
                </c:pt>
                <c:pt idx="1">
                  <c:v>8.9726918075422629E-2</c:v>
                </c:pt>
                <c:pt idx="2">
                  <c:v>0</c:v>
                </c:pt>
                <c:pt idx="3">
                  <c:v>0.46684005201560469</c:v>
                </c:pt>
                <c:pt idx="4">
                  <c:v>0.11053315994798439</c:v>
                </c:pt>
                <c:pt idx="5">
                  <c:v>0.10273081924577374</c:v>
                </c:pt>
              </c:numCache>
            </c:numRef>
          </c:val>
          <c:extLst>
            <c:ext xmlns:c16="http://schemas.microsoft.com/office/drawing/2014/chart" uri="{C3380CC4-5D6E-409C-BE32-E72D297353CC}">
              <c16:uniqueId val="{0000000C-9014-479E-9E19-2A8C422D066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3969712119318422E-2"/>
          <c:y val="5.7284730679721702E-2"/>
          <c:w val="0.4740084572761738"/>
          <c:h val="0.78999433263797625"/>
        </c:manualLayout>
      </c:layout>
      <c:barChart>
        <c:barDir val="bar"/>
        <c:grouping val="clustered"/>
        <c:varyColors val="0"/>
        <c:ser>
          <c:idx val="0"/>
          <c:order val="0"/>
          <c:tx>
            <c:strRef>
              <c:f>'dzialania krajowe (2)'!$B$29</c:f>
              <c:strCache>
                <c:ptCount val="1"/>
                <c:pt idx="0">
                  <c:v>przemysł</c:v>
                </c:pt>
              </c:strCache>
            </c:strRef>
          </c:tx>
          <c:spPr>
            <a:solidFill>
              <a:schemeClr val="accent1"/>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 (2)'!$G$29</c:f>
              <c:numCache>
                <c:formatCode>0.0%</c:formatCode>
                <c:ptCount val="1"/>
                <c:pt idx="0">
                  <c:v>0.2558139534883721</c:v>
                </c:pt>
              </c:numCache>
            </c:numRef>
          </c:val>
          <c:extLst>
            <c:ext xmlns:c16="http://schemas.microsoft.com/office/drawing/2014/chart" uri="{C3380CC4-5D6E-409C-BE32-E72D297353CC}">
              <c16:uniqueId val="{00000000-303F-4B97-BD6D-B9802F0D60D1}"/>
            </c:ext>
          </c:extLst>
        </c:ser>
        <c:ser>
          <c:idx val="1"/>
          <c:order val="1"/>
          <c:tx>
            <c:strRef>
              <c:f>'dzialania krajowe (2)'!$B$30</c:f>
              <c:strCache>
                <c:ptCount val="1"/>
                <c:pt idx="0">
                  <c:v>gospodarka komunalna</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 (2)'!$G$30</c:f>
              <c:numCache>
                <c:formatCode>0.0%</c:formatCode>
                <c:ptCount val="1"/>
                <c:pt idx="0">
                  <c:v>0.20348837209302326</c:v>
                </c:pt>
              </c:numCache>
            </c:numRef>
          </c:val>
          <c:extLst>
            <c:ext xmlns:c16="http://schemas.microsoft.com/office/drawing/2014/chart" uri="{C3380CC4-5D6E-409C-BE32-E72D297353CC}">
              <c16:uniqueId val="{00000001-303F-4B97-BD6D-B9802F0D60D1}"/>
            </c:ext>
          </c:extLst>
        </c:ser>
        <c:ser>
          <c:idx val="2"/>
          <c:order val="2"/>
          <c:tx>
            <c:strRef>
              <c:f>'dzialania krajowe (2)'!$B$31</c:f>
              <c:strCache>
                <c:ptCount val="1"/>
                <c:pt idx="0">
                  <c:v>rolnictwo</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 (2)'!$G$31</c:f>
              <c:numCache>
                <c:formatCode>0.0%</c:formatCode>
                <c:ptCount val="1"/>
                <c:pt idx="0">
                  <c:v>0.14534883720930233</c:v>
                </c:pt>
              </c:numCache>
            </c:numRef>
          </c:val>
          <c:extLst>
            <c:ext xmlns:c16="http://schemas.microsoft.com/office/drawing/2014/chart" uri="{C3380CC4-5D6E-409C-BE32-E72D297353CC}">
              <c16:uniqueId val="{00000002-303F-4B97-BD6D-B9802F0D60D1}"/>
            </c:ext>
          </c:extLst>
        </c:ser>
        <c:ser>
          <c:idx val="3"/>
          <c:order val="3"/>
          <c:tx>
            <c:strRef>
              <c:f>'dzialania krajowe (2)'!$B$32</c:f>
              <c:strCache>
                <c:ptCount val="1"/>
                <c:pt idx="0">
                  <c:v>kształtowanie naturalnych warunków hydromorfologicznych</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 (2)'!$G$32</c:f>
              <c:numCache>
                <c:formatCode>0.0%</c:formatCode>
                <c:ptCount val="1"/>
                <c:pt idx="0">
                  <c:v>0.11627906976744186</c:v>
                </c:pt>
              </c:numCache>
            </c:numRef>
          </c:val>
          <c:extLst>
            <c:ext xmlns:c16="http://schemas.microsoft.com/office/drawing/2014/chart" uri="{C3380CC4-5D6E-409C-BE32-E72D297353CC}">
              <c16:uniqueId val="{00000003-303F-4B97-BD6D-B9802F0D60D1}"/>
            </c:ext>
          </c:extLst>
        </c:ser>
        <c:ser>
          <c:idx val="4"/>
          <c:order val="4"/>
          <c:tx>
            <c:strRef>
              <c:f>'dzialania krajowe (2)'!$B$33</c:f>
              <c:strCache>
                <c:ptCount val="1"/>
                <c:pt idx="0">
                  <c:v>ochrona siedlisk i gatunków</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 (2)'!$G$33</c:f>
              <c:numCache>
                <c:formatCode>0.0%</c:formatCode>
                <c:ptCount val="1"/>
                <c:pt idx="0">
                  <c:v>0.11046511627906977</c:v>
                </c:pt>
              </c:numCache>
            </c:numRef>
          </c:val>
          <c:extLst>
            <c:ext xmlns:c16="http://schemas.microsoft.com/office/drawing/2014/chart" uri="{C3380CC4-5D6E-409C-BE32-E72D297353CC}">
              <c16:uniqueId val="{00000004-303F-4B97-BD6D-B9802F0D60D1}"/>
            </c:ext>
          </c:extLst>
        </c:ser>
        <c:ser>
          <c:idx val="5"/>
          <c:order val="5"/>
          <c:tx>
            <c:strRef>
              <c:f>'dzialania krajowe (2)'!$B$34</c:f>
              <c:strCache>
                <c:ptCount val="1"/>
                <c:pt idx="0">
                  <c:v>kształtowanie naturalnych warunków hydrologicznych</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 (2)'!$G$34</c:f>
              <c:numCache>
                <c:formatCode>0.0%</c:formatCode>
                <c:ptCount val="1"/>
                <c:pt idx="0">
                  <c:v>9.8837209302325577E-2</c:v>
                </c:pt>
              </c:numCache>
            </c:numRef>
          </c:val>
          <c:extLst>
            <c:ext xmlns:c16="http://schemas.microsoft.com/office/drawing/2014/chart" uri="{C3380CC4-5D6E-409C-BE32-E72D297353CC}">
              <c16:uniqueId val="{00000005-303F-4B97-BD6D-B9802F0D60D1}"/>
            </c:ext>
          </c:extLst>
        </c:ser>
        <c:ser>
          <c:idx val="6"/>
          <c:order val="6"/>
          <c:tx>
            <c:strRef>
              <c:f>'dzialania krajowe (2)'!$B$35</c:f>
              <c:strCache>
                <c:ptCount val="1"/>
                <c:pt idx="0">
                  <c:v>monitoring i ewaluacja</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 (2)'!$G$35</c:f>
              <c:numCache>
                <c:formatCode>0.0%</c:formatCode>
                <c:ptCount val="1"/>
                <c:pt idx="0">
                  <c:v>9.3023255813953487E-2</c:v>
                </c:pt>
              </c:numCache>
            </c:numRef>
          </c:val>
          <c:extLst>
            <c:ext xmlns:c16="http://schemas.microsoft.com/office/drawing/2014/chart" uri="{C3380CC4-5D6E-409C-BE32-E72D297353CC}">
              <c16:uniqueId val="{00000006-303F-4B97-BD6D-B9802F0D60D1}"/>
            </c:ext>
          </c:extLst>
        </c:ser>
        <c:ser>
          <c:idx val="7"/>
          <c:order val="7"/>
          <c:tx>
            <c:strRef>
              <c:f>'dzialania krajowe (2)'!$B$36</c:f>
              <c:strCache>
                <c:ptCount val="1"/>
                <c:pt idx="0">
                  <c:v>działania kontrolne i nadzorcze</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 (2)'!$G$36</c:f>
              <c:numCache>
                <c:formatCode>0.0%</c:formatCode>
                <c:ptCount val="1"/>
                <c:pt idx="0">
                  <c:v>5.232558139534884E-2</c:v>
                </c:pt>
              </c:numCache>
            </c:numRef>
          </c:val>
          <c:extLst>
            <c:ext xmlns:c16="http://schemas.microsoft.com/office/drawing/2014/chart" uri="{C3380CC4-5D6E-409C-BE32-E72D297353CC}">
              <c16:uniqueId val="{00000007-303F-4B97-BD6D-B9802F0D60D1}"/>
            </c:ext>
          </c:extLst>
        </c:ser>
        <c:ser>
          <c:idx val="8"/>
          <c:order val="8"/>
          <c:tx>
            <c:strRef>
              <c:f>'dzialania krajowe (2)'!$B$37</c:f>
              <c:strCache>
                <c:ptCount val="1"/>
                <c:pt idx="0">
                  <c:v>działania organizacyjno-prawne, informacyjne i edukacyjne</c:v>
                </c:pt>
              </c:strCache>
            </c:strRef>
          </c:tx>
          <c:spPr>
            <a:solidFill>
              <a:schemeClr val="accent3">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 (2)'!$G$37</c:f>
              <c:numCache>
                <c:formatCode>0.0%</c:formatCode>
                <c:ptCount val="1"/>
                <c:pt idx="0">
                  <c:v>2.3255813953488372E-2</c:v>
                </c:pt>
              </c:numCache>
            </c:numRef>
          </c:val>
          <c:extLst>
            <c:ext xmlns:c16="http://schemas.microsoft.com/office/drawing/2014/chart" uri="{C3380CC4-5D6E-409C-BE32-E72D297353CC}">
              <c16:uniqueId val="{00000008-303F-4B97-BD6D-B9802F0D60D1}"/>
            </c:ext>
          </c:extLst>
        </c:ser>
        <c:ser>
          <c:idx val="9"/>
          <c:order val="9"/>
          <c:tx>
            <c:strRef>
              <c:f>'dzialania krajowe (2)'!$B$38</c:f>
              <c:strCache>
                <c:ptCount val="1"/>
                <c:pt idx="0">
                  <c:v>projekty badawczo-rozwojowe</c:v>
                </c:pt>
              </c:strCache>
            </c:strRef>
          </c:tx>
          <c:spPr>
            <a:solidFill>
              <a:schemeClr val="accent4">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 (2)'!$G$38</c:f>
              <c:numCache>
                <c:formatCode>0.0%</c:formatCode>
                <c:ptCount val="1"/>
                <c:pt idx="0">
                  <c:v>1.1627906976744186E-2</c:v>
                </c:pt>
              </c:numCache>
            </c:numRef>
          </c:val>
          <c:extLst>
            <c:ext xmlns:c16="http://schemas.microsoft.com/office/drawing/2014/chart" uri="{C3380CC4-5D6E-409C-BE32-E72D297353CC}">
              <c16:uniqueId val="{00000009-303F-4B97-BD6D-B9802F0D60D1}"/>
            </c:ext>
          </c:extLst>
        </c:ser>
        <c:ser>
          <c:idx val="10"/>
          <c:order val="10"/>
          <c:tx>
            <c:strRef>
              <c:f>'dzialania krajowe (2)'!$B$39</c:f>
              <c:strCache>
                <c:ptCount val="1"/>
                <c:pt idx="0">
                  <c:v>kształtowanie stosunków wodnych oraz ochrona ekosystemów od wód zależnych (w tym morfologia i zachowanie ciągłości biologicznej cieków)</c:v>
                </c:pt>
              </c:strCache>
            </c:strRef>
          </c:tx>
          <c:spPr>
            <a:solidFill>
              <a:schemeClr val="accent4">
                <a:lumMod val="75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 (2)'!$G$39</c:f>
              <c:numCache>
                <c:formatCode>0.0%</c:formatCode>
                <c:ptCount val="1"/>
                <c:pt idx="0">
                  <c:v>1.1627906976744186E-2</c:v>
                </c:pt>
              </c:numCache>
            </c:numRef>
          </c:val>
          <c:extLst>
            <c:ext xmlns:c16="http://schemas.microsoft.com/office/drawing/2014/chart" uri="{C3380CC4-5D6E-409C-BE32-E72D297353CC}">
              <c16:uniqueId val="{0000000A-303F-4B97-BD6D-B9802F0D60D1}"/>
            </c:ext>
          </c:extLst>
        </c:ser>
        <c:dLbls>
          <c:showLegendKey val="0"/>
          <c:showVal val="0"/>
          <c:showCatName val="0"/>
          <c:showSerName val="0"/>
          <c:showPercent val="0"/>
          <c:showBubbleSize val="0"/>
        </c:dLbls>
        <c:gapWidth val="150"/>
        <c:axId val="816856544"/>
        <c:axId val="816864088"/>
      </c:barChart>
      <c:valAx>
        <c:axId val="8168640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816856544"/>
        <c:crosses val="autoZero"/>
        <c:crossBetween val="between"/>
      </c:valAx>
      <c:catAx>
        <c:axId val="816856544"/>
        <c:scaling>
          <c:orientation val="minMax"/>
        </c:scaling>
        <c:delete val="1"/>
        <c:axPos val="l"/>
        <c:numFmt formatCode="General" sourceLinked="1"/>
        <c:majorTickMark val="out"/>
        <c:minorTickMark val="none"/>
        <c:tickLblPos val="nextTo"/>
        <c:crossAx val="816864088"/>
        <c:crosses val="autoZero"/>
        <c:auto val="1"/>
        <c:lblAlgn val="ctr"/>
        <c:lblOffset val="100"/>
        <c:noMultiLvlLbl val="0"/>
      </c:catAx>
      <c:spPr>
        <a:noFill/>
        <a:ln>
          <a:noFill/>
        </a:ln>
        <a:effectLst/>
      </c:spPr>
    </c:plotArea>
    <c:legend>
      <c:legendPos val="r"/>
      <c:layout>
        <c:manualLayout>
          <c:xMode val="edge"/>
          <c:yMode val="edge"/>
          <c:x val="0.54065099501451208"/>
          <c:y val="5.2943049040768832E-2"/>
          <c:w val="0.45706422113902428"/>
          <c:h val="0.94486983154670745"/>
        </c:manualLayout>
      </c:layout>
      <c:overlay val="0"/>
      <c:spPr>
        <a:solidFill>
          <a:sysClr val="window" lastClr="FFFFFF"/>
        </a:solid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15473719908192"/>
          <c:y val="2.7686452247904489E-2"/>
          <c:w val="0.54789052074061817"/>
          <c:h val="0.93933951930403858"/>
        </c:manualLayout>
      </c:layout>
      <c:pieChart>
        <c:varyColors val="1"/>
        <c:ser>
          <c:idx val="0"/>
          <c:order val="0"/>
          <c:spPr>
            <a:ln w="1270">
              <a:noFill/>
            </a:ln>
          </c:spPr>
          <c:dPt>
            <c:idx val="0"/>
            <c:bubble3D val="0"/>
            <c:spPr>
              <a:solidFill>
                <a:schemeClr val="accent1"/>
              </a:solidFill>
              <a:ln w="1270">
                <a:noFill/>
              </a:ln>
              <a:effectLst>
                <a:outerShdw blurRad="317500" algn="ctr" rotWithShape="0">
                  <a:prstClr val="black">
                    <a:alpha val="25000"/>
                  </a:prstClr>
                </a:outerShdw>
              </a:effectLst>
            </c:spPr>
            <c:extLst>
              <c:ext xmlns:c16="http://schemas.microsoft.com/office/drawing/2014/chart" uri="{C3380CC4-5D6E-409C-BE32-E72D297353CC}">
                <c16:uniqueId val="{00000001-74A1-449B-AA0D-8F9FFC498548}"/>
              </c:ext>
            </c:extLst>
          </c:dPt>
          <c:dPt>
            <c:idx val="1"/>
            <c:bubble3D val="0"/>
            <c:spPr>
              <a:solidFill>
                <a:schemeClr val="accent2"/>
              </a:solidFill>
              <a:ln w="1270">
                <a:noFill/>
              </a:ln>
              <a:effectLst>
                <a:outerShdw blurRad="317500" algn="ctr" rotWithShape="0">
                  <a:prstClr val="black">
                    <a:alpha val="25000"/>
                  </a:prstClr>
                </a:outerShdw>
              </a:effectLst>
            </c:spPr>
            <c:extLst>
              <c:ext xmlns:c16="http://schemas.microsoft.com/office/drawing/2014/chart" uri="{C3380CC4-5D6E-409C-BE32-E72D297353CC}">
                <c16:uniqueId val="{00000003-74A1-449B-AA0D-8F9FFC498548}"/>
              </c:ext>
            </c:extLst>
          </c:dPt>
          <c:dPt>
            <c:idx val="2"/>
            <c:bubble3D val="0"/>
            <c:spPr>
              <a:solidFill>
                <a:schemeClr val="accent3"/>
              </a:solidFill>
              <a:ln w="1270">
                <a:noFill/>
              </a:ln>
              <a:effectLst>
                <a:outerShdw blurRad="317500" algn="ctr" rotWithShape="0">
                  <a:prstClr val="black">
                    <a:alpha val="25000"/>
                  </a:prstClr>
                </a:outerShdw>
              </a:effectLst>
            </c:spPr>
            <c:extLst>
              <c:ext xmlns:c16="http://schemas.microsoft.com/office/drawing/2014/chart" uri="{C3380CC4-5D6E-409C-BE32-E72D297353CC}">
                <c16:uniqueId val="{00000005-74A1-449B-AA0D-8F9FFC498548}"/>
              </c:ext>
            </c:extLst>
          </c:dPt>
          <c:dPt>
            <c:idx val="3"/>
            <c:bubble3D val="0"/>
            <c:spPr>
              <a:solidFill>
                <a:schemeClr val="accent4"/>
              </a:solidFill>
              <a:ln w="1270">
                <a:noFill/>
              </a:ln>
              <a:effectLst>
                <a:outerShdw blurRad="317500" algn="ctr" rotWithShape="0">
                  <a:prstClr val="black">
                    <a:alpha val="25000"/>
                  </a:prstClr>
                </a:outerShdw>
              </a:effectLst>
            </c:spPr>
            <c:extLst>
              <c:ext xmlns:c16="http://schemas.microsoft.com/office/drawing/2014/chart" uri="{C3380CC4-5D6E-409C-BE32-E72D297353CC}">
                <c16:uniqueId val="{00000007-74A1-449B-AA0D-8F9FFC498548}"/>
              </c:ext>
            </c:extLst>
          </c:dPt>
          <c:dLbls>
            <c:dLbl>
              <c:idx val="0"/>
              <c:tx>
                <c:rich>
                  <a:bodyPr/>
                  <a:lstStyle/>
                  <a:p>
                    <a:r>
                      <a:rPr lang="en-US"/>
                      <a:t>65%</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4A1-449B-AA0D-8F9FFC498548}"/>
                </c:ext>
              </c:extLst>
            </c:dLbl>
            <c:dLbl>
              <c:idx val="1"/>
              <c:tx>
                <c:rich>
                  <a:bodyPr/>
                  <a:lstStyle/>
                  <a:p>
                    <a:r>
                      <a:rPr lang="en-US"/>
                      <a:t>6%</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4A1-449B-AA0D-8F9FFC498548}"/>
                </c:ext>
              </c:extLst>
            </c:dLbl>
            <c:dLbl>
              <c:idx val="2"/>
              <c:tx>
                <c:rich>
                  <a:bodyPr/>
                  <a:lstStyle/>
                  <a:p>
                    <a:r>
                      <a:rPr lang="en-US"/>
                      <a:t>26%</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4A1-449B-AA0D-8F9FFC498548}"/>
                </c:ext>
              </c:extLst>
            </c:dLbl>
            <c:dLbl>
              <c:idx val="3"/>
              <c:tx>
                <c:rich>
                  <a:bodyPr/>
                  <a:lstStyle/>
                  <a:p>
                    <a:r>
                      <a:rPr lang="en-US"/>
                      <a:t>3%</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4A1-449B-AA0D-8F9FFC498548}"/>
                </c:ext>
              </c:extLst>
            </c:dLbl>
            <c:spPr>
              <a:solidFill>
                <a:sysClr val="windowText" lastClr="000000">
                  <a:alpha val="50000"/>
                </a:sys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extLst>
          </c:dLbls>
          <c:cat>
            <c:strRef>
              <c:f>Odra!$J$9:$J$12</c:f>
              <c:strCache>
                <c:ptCount val="4"/>
                <c:pt idx="0">
                  <c:v>Tereny rolne</c:v>
                </c:pt>
                <c:pt idx="1">
                  <c:v>Tereny przekształcone antopogenicznie</c:v>
                </c:pt>
                <c:pt idx="2">
                  <c:v>Tereny leśne</c:v>
                </c:pt>
                <c:pt idx="3">
                  <c:v>Tereny pozostałe</c:v>
                </c:pt>
              </c:strCache>
            </c:strRef>
          </c:cat>
          <c:val>
            <c:numRef>
              <c:f>IIaPGWCLC!$F$38:$I$38</c:f>
              <c:numCache>
                <c:formatCode>0.0</c:formatCode>
                <c:ptCount val="4"/>
                <c:pt idx="0">
                  <c:v>65.163182985956411</c:v>
                </c:pt>
                <c:pt idx="1">
                  <c:v>6.1929639417150693</c:v>
                </c:pt>
                <c:pt idx="2">
                  <c:v>26.199718112184222</c:v>
                </c:pt>
                <c:pt idx="3">
                  <c:v>2.4441349601443108</c:v>
                </c:pt>
              </c:numCache>
            </c:numRef>
          </c:val>
          <c:extLst>
            <c:ext xmlns:c16="http://schemas.microsoft.com/office/drawing/2014/chart" uri="{C3380CC4-5D6E-409C-BE32-E72D297353CC}">
              <c16:uniqueId val="{00000008-74A1-449B-AA0D-8F9FFC498548}"/>
            </c:ext>
          </c:extLst>
        </c:ser>
        <c:dLbls>
          <c:dLblPos val="inEnd"/>
          <c:showLegendKey val="0"/>
          <c:showVal val="0"/>
          <c:showCatName val="0"/>
          <c:showSerName val="0"/>
          <c:showPercent val="1"/>
          <c:showBubbleSize val="0"/>
          <c:showLeaderLines val="1"/>
        </c:dLbls>
        <c:firstSliceAng val="0"/>
      </c:pieChart>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15000"/>
          <a:lumOff val="85000"/>
        </a:schemeClr>
      </a:solidFill>
      <a:round/>
    </a:ln>
    <a:effectLst/>
  </c:spPr>
  <c:txPr>
    <a:bodyPr/>
    <a:lstStyle/>
    <a:p>
      <a:pPr>
        <a:defRPr/>
      </a:pPr>
      <a:endParaRPr lang="pl-PL"/>
    </a:p>
  </c:tx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1F497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C86-495A-B157-DC560E81E05C}"/>
              </c:ext>
            </c:extLst>
          </c:dPt>
          <c:dPt>
            <c:idx val="1"/>
            <c:bubble3D val="0"/>
            <c:spPr>
              <a:solidFill>
                <a:srgbClr val="1F497D">
                  <a:lumMod val="40000"/>
                  <a:lumOff val="60000"/>
                </a:srgb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C86-495A-B157-DC560E81E05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'dzialania krajowe (2)'!$B$6:$B$7</c:f>
              <c:strCache>
                <c:ptCount val="2"/>
                <c:pt idx="0">
                  <c:v>działania z prolongacji</c:v>
                </c:pt>
                <c:pt idx="1">
                  <c:v>działania nowe</c:v>
                </c:pt>
              </c:strCache>
            </c:strRef>
          </c:cat>
          <c:val>
            <c:numRef>
              <c:f>'dzialania krajowe (2)'!$C$6:$C$7</c:f>
              <c:numCache>
                <c:formatCode>0.0%</c:formatCode>
                <c:ptCount val="2"/>
                <c:pt idx="0">
                  <c:v>0.56395348837209303</c:v>
                </c:pt>
                <c:pt idx="1">
                  <c:v>0.43604651162790697</c:v>
                </c:pt>
              </c:numCache>
            </c:numRef>
          </c:val>
          <c:extLst>
            <c:ext xmlns:c16="http://schemas.microsoft.com/office/drawing/2014/chart" uri="{C3380CC4-5D6E-409C-BE32-E72D297353CC}">
              <c16:uniqueId val="{00000004-0C86-495A-B157-DC560E81E05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50000"/>
              </a:schemeClr>
            </a:solidFill>
            <a:ln w="1270">
              <a:noFill/>
            </a:ln>
          </c:spPr>
          <c:dPt>
            <c:idx val="0"/>
            <c:bubble3D val="0"/>
            <c:spPr>
              <a:solidFill>
                <a:srgbClr val="1F497D">
                  <a:lumMod val="40000"/>
                  <a:lumOff val="60000"/>
                </a:srgb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204-46BA-AC0C-347B48140A24}"/>
              </c:ext>
            </c:extLst>
          </c:dPt>
          <c:dPt>
            <c:idx val="1"/>
            <c:bubble3D val="0"/>
            <c:spPr>
              <a:solidFill>
                <a:srgbClr val="1F497D"/>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204-46BA-AC0C-347B48140A24}"/>
              </c:ext>
            </c:extLst>
          </c:dPt>
          <c:dLbls>
            <c:dLbl>
              <c:idx val="0"/>
              <c:tx>
                <c:rich>
                  <a:bodyPr/>
                  <a:lstStyle/>
                  <a:p>
                    <a:r>
                      <a:rPr lang="en-US" baseline="0"/>
                      <a:t> </a:t>
                    </a:r>
                    <a:fld id="{2A32EDB9-98F0-4FEE-AA81-08ED7CDCA019}" type="PERCENTAGE">
                      <a:rPr lang="en-US" baseline="0"/>
                      <a:pPr/>
                      <a:t>[PROCENTOWE]</a:t>
                    </a:fld>
                    <a:endParaRPr lang="en-US" baseline="0"/>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204-46BA-AC0C-347B48140A24}"/>
                </c:ext>
              </c:extLst>
            </c:dLbl>
            <c:dLbl>
              <c:idx val="1"/>
              <c:tx>
                <c:rich>
                  <a:bodyPr/>
                  <a:lstStyle/>
                  <a:p>
                    <a:fld id="{356E75D4-5E89-4B54-83F2-C6AB7FEC2CCF}" type="PERCENTAGE">
                      <a:rPr lang="en-US" baseline="0"/>
                      <a:pPr/>
                      <a:t>[PROCENTOWE]</a:t>
                    </a:fld>
                    <a:endParaRPr lang="pl-PL"/>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204-46BA-AC0C-347B48140A24}"/>
                </c:ext>
              </c:extLst>
            </c:dLbl>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'dzialania krajowe'!$B$16:$B$17</c:f>
              <c:strCache>
                <c:ptCount val="2"/>
                <c:pt idx="0">
                  <c:v>działania ciągłe bez określonego terminu realizacji</c:v>
                </c:pt>
                <c:pt idx="1">
                  <c:v>działania z określonym terminem realizacji</c:v>
                </c:pt>
              </c:strCache>
            </c:strRef>
          </c:cat>
          <c:val>
            <c:numRef>
              <c:f>'dzialania krajowe'!$C$16:$C$17</c:f>
              <c:numCache>
                <c:formatCode>0.0%</c:formatCode>
                <c:ptCount val="2"/>
                <c:pt idx="0">
                  <c:v>0.92</c:v>
                </c:pt>
                <c:pt idx="1">
                  <c:v>0.08</c:v>
                </c:pt>
              </c:numCache>
            </c:numRef>
          </c:val>
          <c:extLst>
            <c:ext xmlns:c16="http://schemas.microsoft.com/office/drawing/2014/chart" uri="{C3380CC4-5D6E-409C-BE32-E72D297353CC}">
              <c16:uniqueId val="{00000004-F204-46BA-AC0C-347B48140A2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katalog_RW!$B$14</c:f>
              <c:strCache>
                <c:ptCount val="1"/>
                <c:pt idx="0">
                  <c:v>adaptacja do zmian klimatu</c:v>
                </c:pt>
              </c:strCache>
            </c:strRef>
          </c:tx>
          <c:spPr>
            <a:solidFill>
              <a:schemeClr val="accent1"/>
            </a:solidFill>
            <a:ln>
              <a:noFill/>
            </a:ln>
            <a:effectLst>
              <a:outerShdw blurRad="254000" sx="102000" sy="102000" algn="ctr" rotWithShape="0">
                <a:prstClr val="black">
                  <a:alpha val="20000"/>
                </a:prstClr>
              </a:outerShdw>
            </a:effectLst>
          </c:spPr>
          <c:invertIfNegative val="0"/>
          <c:dLbls>
            <c:dLbl>
              <c:idx val="0"/>
              <c:layout>
                <c:manualLayout>
                  <c:x val="-1.4010860532443785E-3"/>
                  <c:y val="-3.484098792581448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2DD-4EAF-B840-62FD0C40F232}"/>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katalog_RW!$C$14</c:f>
              <c:numCache>
                <c:formatCode>0%</c:formatCode>
                <c:ptCount val="1"/>
                <c:pt idx="0">
                  <c:v>0.1875</c:v>
                </c:pt>
              </c:numCache>
            </c:numRef>
          </c:val>
          <c:extLst>
            <c:ext xmlns:c16="http://schemas.microsoft.com/office/drawing/2014/chart" uri="{C3380CC4-5D6E-409C-BE32-E72D297353CC}">
              <c16:uniqueId val="{00000001-02DD-4EAF-B840-62FD0C40F232}"/>
            </c:ext>
          </c:extLst>
        </c:ser>
        <c:ser>
          <c:idx val="1"/>
          <c:order val="1"/>
          <c:tx>
            <c:strRef>
              <c:f>katalog_RW!$B$15</c:f>
              <c:strCache>
                <c:ptCount val="1"/>
                <c:pt idx="0">
                  <c:v>edukacja i informacja</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katalog_RW!$C$15</c:f>
              <c:numCache>
                <c:formatCode>0%</c:formatCode>
                <c:ptCount val="1"/>
                <c:pt idx="0">
                  <c:v>3.125E-2</c:v>
                </c:pt>
              </c:numCache>
            </c:numRef>
          </c:val>
          <c:extLst>
            <c:ext xmlns:c16="http://schemas.microsoft.com/office/drawing/2014/chart" uri="{C3380CC4-5D6E-409C-BE32-E72D297353CC}">
              <c16:uniqueId val="{00000002-02DD-4EAF-B840-62FD0C40F232}"/>
            </c:ext>
          </c:extLst>
        </c:ser>
        <c:ser>
          <c:idx val="2"/>
          <c:order val="2"/>
          <c:tx>
            <c:strRef>
              <c:f>katalog_RW!$B$16</c:f>
              <c:strCache>
                <c:ptCount val="1"/>
                <c:pt idx="0">
                  <c:v>gospodarka ściekowa</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katalog_RW!$C$16</c:f>
              <c:numCache>
                <c:formatCode>0%</c:formatCode>
                <c:ptCount val="1"/>
                <c:pt idx="0">
                  <c:v>0.125</c:v>
                </c:pt>
              </c:numCache>
            </c:numRef>
          </c:val>
          <c:extLst>
            <c:ext xmlns:c16="http://schemas.microsoft.com/office/drawing/2014/chart" uri="{C3380CC4-5D6E-409C-BE32-E72D297353CC}">
              <c16:uniqueId val="{00000003-02DD-4EAF-B840-62FD0C40F232}"/>
            </c:ext>
          </c:extLst>
        </c:ser>
        <c:ser>
          <c:idx val="3"/>
          <c:order val="3"/>
          <c:tx>
            <c:strRef>
              <c:f>katalog_RW!$B$17</c:f>
              <c:strCache>
                <c:ptCount val="1"/>
                <c:pt idx="0">
                  <c:v>kształtowanie stosunków wodnych w zlewni jcwp</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katalog_RW!$C$17</c:f>
              <c:numCache>
                <c:formatCode>0%</c:formatCode>
                <c:ptCount val="1"/>
                <c:pt idx="0">
                  <c:v>6.25E-2</c:v>
                </c:pt>
              </c:numCache>
            </c:numRef>
          </c:val>
          <c:extLst>
            <c:ext xmlns:c16="http://schemas.microsoft.com/office/drawing/2014/chart" uri="{C3380CC4-5D6E-409C-BE32-E72D297353CC}">
              <c16:uniqueId val="{00000004-02DD-4EAF-B840-62FD0C40F232}"/>
            </c:ext>
          </c:extLst>
        </c:ser>
        <c:ser>
          <c:idx val="4"/>
          <c:order val="4"/>
          <c:tx>
            <c:strRef>
              <c:f>katalog_RW!$B$18</c:f>
              <c:strCache>
                <c:ptCount val="1"/>
                <c:pt idx="0">
                  <c:v>ograniczenie zanieczyszczeń rozproszonych z rolnictwa</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katalog_RW!$C$18</c:f>
              <c:numCache>
                <c:formatCode>0%</c:formatCode>
                <c:ptCount val="1"/>
                <c:pt idx="0">
                  <c:v>3.125E-2</c:v>
                </c:pt>
              </c:numCache>
            </c:numRef>
          </c:val>
          <c:extLst>
            <c:ext xmlns:c16="http://schemas.microsoft.com/office/drawing/2014/chart" uri="{C3380CC4-5D6E-409C-BE32-E72D297353CC}">
              <c16:uniqueId val="{00000005-02DD-4EAF-B840-62FD0C40F232}"/>
            </c:ext>
          </c:extLst>
        </c:ser>
        <c:ser>
          <c:idx val="5"/>
          <c:order val="5"/>
          <c:tx>
            <c:strRef>
              <c:f>katalog_RW!$B$19</c:f>
              <c:strCache>
                <c:ptCount val="1"/>
                <c:pt idx="0">
                  <c:v>poprawa warunków dla obszarów chronionych</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katalog_RW!$C$19</c:f>
              <c:numCache>
                <c:formatCode>0%</c:formatCode>
                <c:ptCount val="1"/>
                <c:pt idx="0">
                  <c:v>6.25E-2</c:v>
                </c:pt>
              </c:numCache>
            </c:numRef>
          </c:val>
          <c:extLst>
            <c:ext xmlns:c16="http://schemas.microsoft.com/office/drawing/2014/chart" uri="{C3380CC4-5D6E-409C-BE32-E72D297353CC}">
              <c16:uniqueId val="{00000006-02DD-4EAF-B840-62FD0C40F232}"/>
            </c:ext>
          </c:extLst>
        </c:ser>
        <c:ser>
          <c:idx val="6"/>
          <c:order val="6"/>
          <c:tx>
            <c:strRef>
              <c:f>katalog_RW!$B$20</c:f>
              <c:strCache>
                <c:ptCount val="1"/>
                <c:pt idx="0">
                  <c:v>poprawa warunków hydromorfologicznych rzek i potoków</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katalog_RW!$C$20</c:f>
              <c:numCache>
                <c:formatCode>0%</c:formatCode>
                <c:ptCount val="1"/>
                <c:pt idx="0">
                  <c:v>0.125</c:v>
                </c:pt>
              </c:numCache>
            </c:numRef>
          </c:val>
          <c:extLst>
            <c:ext xmlns:c16="http://schemas.microsoft.com/office/drawing/2014/chart" uri="{C3380CC4-5D6E-409C-BE32-E72D297353CC}">
              <c16:uniqueId val="{00000007-02DD-4EAF-B840-62FD0C40F232}"/>
            </c:ext>
          </c:extLst>
        </c:ser>
        <c:ser>
          <c:idx val="7"/>
          <c:order val="7"/>
          <c:tx>
            <c:strRef>
              <c:f>katalog_RW!$B$21</c:f>
              <c:strCache>
                <c:ptCount val="1"/>
                <c:pt idx="0">
                  <c:v>redukcja emisji i zrzutów substancji priorytetowych</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katalog_RW!$C$21</c:f>
              <c:numCache>
                <c:formatCode>0%</c:formatCode>
                <c:ptCount val="1"/>
                <c:pt idx="0">
                  <c:v>6.25E-2</c:v>
                </c:pt>
              </c:numCache>
            </c:numRef>
          </c:val>
          <c:extLst>
            <c:ext xmlns:c16="http://schemas.microsoft.com/office/drawing/2014/chart" uri="{C3380CC4-5D6E-409C-BE32-E72D297353CC}">
              <c16:uniqueId val="{00000008-02DD-4EAF-B840-62FD0C40F232}"/>
            </c:ext>
          </c:extLst>
        </c:ser>
        <c:ser>
          <c:idx val="8"/>
          <c:order val="8"/>
          <c:tx>
            <c:strRef>
              <c:f>katalog_RW!$B$22</c:f>
              <c:strCache>
                <c:ptCount val="1"/>
                <c:pt idx="0">
                  <c:v>weryfikacja programu ochrony środowiska</c:v>
                </c:pt>
              </c:strCache>
            </c:strRef>
          </c:tx>
          <c:spPr>
            <a:solidFill>
              <a:schemeClr val="accent3">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katalog_RW!$C$22</c:f>
              <c:numCache>
                <c:formatCode>0%</c:formatCode>
                <c:ptCount val="1"/>
                <c:pt idx="0">
                  <c:v>3.125E-2</c:v>
                </c:pt>
              </c:numCache>
            </c:numRef>
          </c:val>
          <c:extLst>
            <c:ext xmlns:c16="http://schemas.microsoft.com/office/drawing/2014/chart" uri="{C3380CC4-5D6E-409C-BE32-E72D297353CC}">
              <c16:uniqueId val="{00000009-02DD-4EAF-B840-62FD0C40F232}"/>
            </c:ext>
          </c:extLst>
        </c:ser>
        <c:ser>
          <c:idx val="9"/>
          <c:order val="9"/>
          <c:tx>
            <c:strRef>
              <c:f>katalog_RW!$B$23</c:f>
              <c:strCache>
                <c:ptCount val="1"/>
                <c:pt idx="0">
                  <c:v>zapewnienie ciągłości biologicznej i morfologicznej rzek i potoków </c:v>
                </c:pt>
              </c:strCache>
            </c:strRef>
          </c:tx>
          <c:spPr>
            <a:solidFill>
              <a:schemeClr val="accent4">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katalog_RW!$C$23</c:f>
              <c:numCache>
                <c:formatCode>0%</c:formatCode>
                <c:ptCount val="1"/>
                <c:pt idx="0">
                  <c:v>6.25E-2</c:v>
                </c:pt>
              </c:numCache>
            </c:numRef>
          </c:val>
          <c:extLst>
            <c:ext xmlns:c16="http://schemas.microsoft.com/office/drawing/2014/chart" uri="{C3380CC4-5D6E-409C-BE32-E72D297353CC}">
              <c16:uniqueId val="{0000000A-02DD-4EAF-B840-62FD0C40F232}"/>
            </c:ext>
          </c:extLst>
        </c:ser>
        <c:ser>
          <c:idx val="10"/>
          <c:order val="10"/>
          <c:tx>
            <c:strRef>
              <c:f>katalog_RW!$B$24</c:f>
              <c:strCache>
                <c:ptCount val="1"/>
                <c:pt idx="0">
                  <c:v>zapewnienie ciągłości biologicznej rzek i potoków </c:v>
                </c:pt>
              </c:strCache>
            </c:strRef>
          </c:tx>
          <c:spPr>
            <a:solidFill>
              <a:schemeClr val="accent6">
                <a:lumMod val="60000"/>
                <a:lumOff val="4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katalog_RW!$C$24</c:f>
              <c:numCache>
                <c:formatCode>0%</c:formatCode>
                <c:ptCount val="1"/>
                <c:pt idx="0">
                  <c:v>0.21875</c:v>
                </c:pt>
              </c:numCache>
            </c:numRef>
          </c:val>
          <c:extLst>
            <c:ext xmlns:c16="http://schemas.microsoft.com/office/drawing/2014/chart" uri="{C3380CC4-5D6E-409C-BE32-E72D297353CC}">
              <c16:uniqueId val="{0000000B-02DD-4EAF-B840-62FD0C40F232}"/>
            </c:ext>
          </c:extLst>
        </c:ser>
        <c:dLbls>
          <c:showLegendKey val="0"/>
          <c:showVal val="0"/>
          <c:showCatName val="0"/>
          <c:showSerName val="0"/>
          <c:showPercent val="0"/>
          <c:showBubbleSize val="0"/>
        </c:dLbls>
        <c:gapWidth val="150"/>
        <c:axId val="792121840"/>
        <c:axId val="792124792"/>
      </c:barChart>
      <c:valAx>
        <c:axId val="79212479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792121840"/>
        <c:crosses val="autoZero"/>
        <c:crossBetween val="between"/>
      </c:valAx>
      <c:catAx>
        <c:axId val="792121840"/>
        <c:scaling>
          <c:orientation val="minMax"/>
        </c:scaling>
        <c:delete val="1"/>
        <c:axPos val="l"/>
        <c:majorTickMark val="out"/>
        <c:minorTickMark val="none"/>
        <c:tickLblPos val="nextTo"/>
        <c:crossAx val="792124792"/>
        <c:crosses val="autoZero"/>
        <c:auto val="1"/>
        <c:lblAlgn val="ctr"/>
        <c:lblOffset val="100"/>
        <c:noMultiLvlLbl val="0"/>
      </c:catAx>
      <c:spPr>
        <a:noFill/>
        <a:ln>
          <a:noFill/>
        </a:ln>
        <a:effectLst/>
      </c:spPr>
    </c:plotArea>
    <c:legend>
      <c:legendPos val="r"/>
      <c:layout>
        <c:manualLayout>
          <c:xMode val="edge"/>
          <c:yMode val="edge"/>
          <c:x val="0.61704430768423069"/>
          <c:y val="6.6879059523770337E-2"/>
          <c:w val="0.36768639297277544"/>
          <c:h val="0.86624188095245935"/>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65000"/>
              </a:schemeClr>
            </a:solidFill>
          </c:spPr>
          <c:dPt>
            <c:idx val="0"/>
            <c:bubble3D val="0"/>
            <c:spPr>
              <a:solidFill>
                <a:schemeClr val="accent5">
                  <a:lumMod val="60000"/>
                  <a:lumOff val="4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FEF-48D7-BDD0-6D85EF31C23D}"/>
              </c:ext>
            </c:extLst>
          </c:dPt>
          <c:dPt>
            <c:idx val="1"/>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FEF-48D7-BDD0-6D85EF31C23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katalog_RW!$B$3:$B$4</c:f>
              <c:strCache>
                <c:ptCount val="2"/>
                <c:pt idx="0">
                  <c:v>działania podstawowe</c:v>
                </c:pt>
                <c:pt idx="1">
                  <c:v>działania uzupełniające</c:v>
                </c:pt>
              </c:strCache>
            </c:strRef>
          </c:cat>
          <c:val>
            <c:numRef>
              <c:f>katalog_RW!$C$3:$C$4</c:f>
              <c:numCache>
                <c:formatCode>0%</c:formatCode>
                <c:ptCount val="2"/>
                <c:pt idx="0">
                  <c:v>0.64516129032258063</c:v>
                </c:pt>
                <c:pt idx="1">
                  <c:v>0.38709677419354838</c:v>
                </c:pt>
              </c:numCache>
            </c:numRef>
          </c:val>
          <c:extLst>
            <c:ext xmlns:c16="http://schemas.microsoft.com/office/drawing/2014/chart" uri="{C3380CC4-5D6E-409C-BE32-E72D297353CC}">
              <c16:uniqueId val="{00000004-CFEF-48D7-BDD0-6D85EF31C23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478871391076117"/>
          <c:y val="8.7962962962962965E-2"/>
          <c:w val="0.46666666666666667"/>
          <c:h val="0.77777777777777779"/>
        </c:manualLayout>
      </c:layout>
      <c:pieChart>
        <c:varyColors val="1"/>
        <c:ser>
          <c:idx val="0"/>
          <c:order val="0"/>
          <c:dPt>
            <c:idx val="0"/>
            <c:bubble3D val="0"/>
            <c:spPr>
              <a:solidFill>
                <a:srgbClr val="31859C"/>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69A-4A6E-B9D4-9CCE873DB015}"/>
              </c:ext>
            </c:extLst>
          </c:dPt>
          <c:dPt>
            <c:idx val="1"/>
            <c:bubble3D val="0"/>
            <c:spPr>
              <a:solidFill>
                <a:srgbClr val="DBEEF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69A-4A6E-B9D4-9CCE873DB015}"/>
              </c:ext>
            </c:extLst>
          </c:dPt>
          <c:dPt>
            <c:idx val="2"/>
            <c:bubble3D val="0"/>
            <c:spPr>
              <a:solidFill>
                <a:srgbClr val="4BACC6">
                  <a:lumMod val="40000"/>
                  <a:lumOff val="60000"/>
                </a:srgb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69A-4A6E-B9D4-9CCE873DB015}"/>
              </c:ext>
            </c:extLst>
          </c:dPt>
          <c:dPt>
            <c:idx val="3"/>
            <c:bubble3D val="0"/>
            <c:spPr>
              <a:solidFill>
                <a:srgbClr val="93CDD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69A-4A6E-B9D4-9CCE873DB01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katalog_RW!$C$36:$C$39</c:f>
              <c:strCache>
                <c:ptCount val="4"/>
                <c:pt idx="0">
                  <c:v>presje skumulowane wód</c:v>
                </c:pt>
                <c:pt idx="1">
                  <c:v>presje chemiczne i fizykochemiczne</c:v>
                </c:pt>
                <c:pt idx="2">
                  <c:v>presje hydrologiczne</c:v>
                </c:pt>
                <c:pt idx="3">
                  <c:v>presje hydromofologiczne</c:v>
                </c:pt>
              </c:strCache>
            </c:strRef>
          </c:cat>
          <c:val>
            <c:numRef>
              <c:f>katalog_RW!$D$36:$D$39</c:f>
              <c:numCache>
                <c:formatCode>General</c:formatCode>
                <c:ptCount val="4"/>
                <c:pt idx="0">
                  <c:v>8</c:v>
                </c:pt>
                <c:pt idx="1">
                  <c:v>9</c:v>
                </c:pt>
                <c:pt idx="2">
                  <c:v>2</c:v>
                </c:pt>
                <c:pt idx="3">
                  <c:v>13</c:v>
                </c:pt>
              </c:numCache>
            </c:numRef>
          </c:val>
          <c:extLst>
            <c:ext xmlns:c16="http://schemas.microsoft.com/office/drawing/2014/chart" uri="{C3380CC4-5D6E-409C-BE32-E72D297353CC}">
              <c16:uniqueId val="{00000008-569A-4A6E-B9D4-9CCE873DB01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katalog_RWr!$B$14</c:f>
              <c:strCache>
                <c:ptCount val="1"/>
                <c:pt idx="0">
                  <c:v>adaptacja do zmian klimatu</c:v>
                </c:pt>
              </c:strCache>
            </c:strRef>
          </c:tx>
          <c:spPr>
            <a:solidFill>
              <a:schemeClr val="accent1"/>
            </a:solidFill>
            <a:ln w="1270">
              <a:noFill/>
            </a:ln>
            <a:effectLst>
              <a:outerShdw blurRad="254000" sx="102000" sy="102000" algn="ctr" rotWithShape="0">
                <a:prstClr val="black">
                  <a:alpha val="20000"/>
                </a:prstClr>
              </a:outerShdw>
            </a:effectLst>
          </c:spPr>
          <c:invertIfNegative val="0"/>
          <c:dLbls>
            <c:dLbl>
              <c:idx val="0"/>
              <c:layout>
                <c:manualLayout>
                  <c:x val="-1.4355844408341889E-4"/>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931-49A8-BA30-5C4473390A52}"/>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katalog_RWr!$C$14</c:f>
              <c:numCache>
                <c:formatCode>0%</c:formatCode>
                <c:ptCount val="1"/>
                <c:pt idx="0">
                  <c:v>0.13333333333333333</c:v>
                </c:pt>
              </c:numCache>
            </c:numRef>
          </c:val>
          <c:extLst>
            <c:ext xmlns:c16="http://schemas.microsoft.com/office/drawing/2014/chart" uri="{C3380CC4-5D6E-409C-BE32-E72D297353CC}">
              <c16:uniqueId val="{00000001-5931-49A8-BA30-5C4473390A52}"/>
            </c:ext>
          </c:extLst>
        </c:ser>
        <c:ser>
          <c:idx val="1"/>
          <c:order val="1"/>
          <c:tx>
            <c:strRef>
              <c:f>katalog_RWr!$B$15</c:f>
              <c:strCache>
                <c:ptCount val="1"/>
                <c:pt idx="0">
                  <c:v>edukacja i informacja</c:v>
                </c:pt>
              </c:strCache>
            </c:strRef>
          </c:tx>
          <c:spPr>
            <a:solidFill>
              <a:schemeClr val="accent2"/>
            </a:solidFill>
            <a:ln w="1270">
              <a:noFill/>
            </a:ln>
            <a:effectLst>
              <a:outerShdw blurRad="254000" sx="102000" sy="102000" algn="ctr" rotWithShape="0">
                <a:prstClr val="black">
                  <a:alpha val="20000"/>
                </a:prstClr>
              </a:outerShdw>
            </a:effectLst>
          </c:spPr>
          <c:invertIfNegative val="0"/>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katalog_RWr!$C$15</c:f>
              <c:numCache>
                <c:formatCode>0%</c:formatCode>
                <c:ptCount val="1"/>
                <c:pt idx="0">
                  <c:v>6.6666666666666666E-2</c:v>
                </c:pt>
              </c:numCache>
            </c:numRef>
          </c:val>
          <c:extLst>
            <c:ext xmlns:c16="http://schemas.microsoft.com/office/drawing/2014/chart" uri="{C3380CC4-5D6E-409C-BE32-E72D297353CC}">
              <c16:uniqueId val="{00000002-5931-49A8-BA30-5C4473390A52}"/>
            </c:ext>
          </c:extLst>
        </c:ser>
        <c:ser>
          <c:idx val="2"/>
          <c:order val="2"/>
          <c:tx>
            <c:strRef>
              <c:f>katalog_RWr!$B$16</c:f>
              <c:strCache>
                <c:ptCount val="1"/>
                <c:pt idx="0">
                  <c:v>gospodarka ściekowa</c:v>
                </c:pt>
              </c:strCache>
            </c:strRef>
          </c:tx>
          <c:spPr>
            <a:solidFill>
              <a:schemeClr val="accent3"/>
            </a:solidFill>
            <a:ln w="1270">
              <a:noFill/>
            </a:ln>
            <a:effectLst>
              <a:outerShdw blurRad="254000" sx="102000" sy="102000" algn="ctr" rotWithShape="0">
                <a:prstClr val="black">
                  <a:alpha val="20000"/>
                </a:prstClr>
              </a:outerShdw>
            </a:effectLst>
          </c:spPr>
          <c:invertIfNegative val="0"/>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katalog_RWr!$C$16</c:f>
              <c:numCache>
                <c:formatCode>0%</c:formatCode>
                <c:ptCount val="1"/>
                <c:pt idx="0">
                  <c:v>0.2</c:v>
                </c:pt>
              </c:numCache>
            </c:numRef>
          </c:val>
          <c:extLst>
            <c:ext xmlns:c16="http://schemas.microsoft.com/office/drawing/2014/chart" uri="{C3380CC4-5D6E-409C-BE32-E72D297353CC}">
              <c16:uniqueId val="{00000003-5931-49A8-BA30-5C4473390A52}"/>
            </c:ext>
          </c:extLst>
        </c:ser>
        <c:ser>
          <c:idx val="3"/>
          <c:order val="3"/>
          <c:tx>
            <c:strRef>
              <c:f>katalog_RWr!$B$17</c:f>
              <c:strCache>
                <c:ptCount val="1"/>
                <c:pt idx="0">
                  <c:v>ograniczenie zanieczyszczeń rozproszonych z rolnictwa</c:v>
                </c:pt>
              </c:strCache>
            </c:strRef>
          </c:tx>
          <c:spPr>
            <a:solidFill>
              <a:schemeClr val="accent4"/>
            </a:solidFill>
            <a:ln w="1270">
              <a:noFill/>
            </a:ln>
            <a:effectLst>
              <a:outerShdw blurRad="254000" sx="102000" sy="102000" algn="ctr" rotWithShape="0">
                <a:prstClr val="black">
                  <a:alpha val="20000"/>
                </a:prstClr>
              </a:outerShdw>
            </a:effectLst>
          </c:spPr>
          <c:invertIfNegative val="0"/>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katalog_RWr!$C$17</c:f>
              <c:numCache>
                <c:formatCode>0%</c:formatCode>
                <c:ptCount val="1"/>
                <c:pt idx="0">
                  <c:v>0.13333333333333333</c:v>
                </c:pt>
              </c:numCache>
            </c:numRef>
          </c:val>
          <c:extLst>
            <c:ext xmlns:c16="http://schemas.microsoft.com/office/drawing/2014/chart" uri="{C3380CC4-5D6E-409C-BE32-E72D297353CC}">
              <c16:uniqueId val="{00000004-5931-49A8-BA30-5C4473390A52}"/>
            </c:ext>
          </c:extLst>
        </c:ser>
        <c:ser>
          <c:idx val="4"/>
          <c:order val="4"/>
          <c:tx>
            <c:strRef>
              <c:f>katalog_RWr!$B$18</c:f>
              <c:strCache>
                <c:ptCount val="1"/>
                <c:pt idx="0">
                  <c:v>ograniczenie zanieczyszczeń rozproszonych związanych z rozwojem obszarów zurbanizowanych, turystyki i transportu</c:v>
                </c:pt>
              </c:strCache>
            </c:strRef>
          </c:tx>
          <c:spPr>
            <a:solidFill>
              <a:schemeClr val="accent5"/>
            </a:solidFill>
            <a:ln w="1270">
              <a:noFill/>
            </a:ln>
            <a:effectLst>
              <a:outerShdw blurRad="254000" sx="102000" sy="102000" algn="ctr" rotWithShape="0">
                <a:prstClr val="black">
                  <a:alpha val="20000"/>
                </a:prstClr>
              </a:outerShdw>
            </a:effectLst>
          </c:spPr>
          <c:invertIfNegative val="0"/>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katalog_RWr!$C$18</c:f>
              <c:numCache>
                <c:formatCode>0%</c:formatCode>
                <c:ptCount val="1"/>
                <c:pt idx="0">
                  <c:v>6.6666666666666666E-2</c:v>
                </c:pt>
              </c:numCache>
            </c:numRef>
          </c:val>
          <c:extLst>
            <c:ext xmlns:c16="http://schemas.microsoft.com/office/drawing/2014/chart" uri="{C3380CC4-5D6E-409C-BE32-E72D297353CC}">
              <c16:uniqueId val="{00000005-5931-49A8-BA30-5C4473390A52}"/>
            </c:ext>
          </c:extLst>
        </c:ser>
        <c:ser>
          <c:idx val="5"/>
          <c:order val="5"/>
          <c:tx>
            <c:strRef>
              <c:f>katalog_RWr!$B$19</c:f>
              <c:strCache>
                <c:ptCount val="1"/>
                <c:pt idx="0">
                  <c:v>poprawa warunków dla obszarów chronionych</c:v>
                </c:pt>
              </c:strCache>
            </c:strRef>
          </c:tx>
          <c:spPr>
            <a:solidFill>
              <a:schemeClr val="accent6"/>
            </a:solidFill>
            <a:ln w="1270">
              <a:noFill/>
            </a:ln>
            <a:effectLst>
              <a:outerShdw blurRad="254000" sx="102000" sy="102000" algn="ctr" rotWithShape="0">
                <a:prstClr val="black">
                  <a:alpha val="20000"/>
                </a:prstClr>
              </a:outerShdw>
            </a:effectLst>
          </c:spPr>
          <c:invertIfNegative val="0"/>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katalog_RWr!$C$19</c:f>
              <c:numCache>
                <c:formatCode>0%</c:formatCode>
                <c:ptCount val="1"/>
                <c:pt idx="0">
                  <c:v>6.6666666666666666E-2</c:v>
                </c:pt>
              </c:numCache>
            </c:numRef>
          </c:val>
          <c:extLst>
            <c:ext xmlns:c16="http://schemas.microsoft.com/office/drawing/2014/chart" uri="{C3380CC4-5D6E-409C-BE32-E72D297353CC}">
              <c16:uniqueId val="{00000006-5931-49A8-BA30-5C4473390A52}"/>
            </c:ext>
          </c:extLst>
        </c:ser>
        <c:ser>
          <c:idx val="6"/>
          <c:order val="6"/>
          <c:tx>
            <c:strRef>
              <c:f>katalog_RWr!$B$20</c:f>
              <c:strCache>
                <c:ptCount val="1"/>
                <c:pt idx="0">
                  <c:v>redukcja emisji i zrzutów substancji priorytetowych</c:v>
                </c:pt>
              </c:strCache>
            </c:strRef>
          </c:tx>
          <c:spPr>
            <a:solidFill>
              <a:schemeClr val="accent1">
                <a:lumMod val="60000"/>
              </a:schemeClr>
            </a:solidFill>
            <a:ln w="12700">
              <a:noFill/>
            </a:ln>
            <a:effectLst>
              <a:outerShdw blurRad="254000" sx="102000" sy="102000" algn="ctr" rotWithShape="0">
                <a:prstClr val="black">
                  <a:alpha val="20000"/>
                </a:prstClr>
              </a:outerShdw>
            </a:effectLst>
          </c:spPr>
          <c:invertIfNegative val="0"/>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katalog_RWr!$C$20</c:f>
              <c:numCache>
                <c:formatCode>0%</c:formatCode>
                <c:ptCount val="1"/>
                <c:pt idx="0">
                  <c:v>6.6666666666666666E-2</c:v>
                </c:pt>
              </c:numCache>
            </c:numRef>
          </c:val>
          <c:extLst>
            <c:ext xmlns:c16="http://schemas.microsoft.com/office/drawing/2014/chart" uri="{C3380CC4-5D6E-409C-BE32-E72D297353CC}">
              <c16:uniqueId val="{00000007-5931-49A8-BA30-5C4473390A52}"/>
            </c:ext>
          </c:extLst>
        </c:ser>
        <c:ser>
          <c:idx val="7"/>
          <c:order val="7"/>
          <c:tx>
            <c:strRef>
              <c:f>katalog_RWr!$B$21</c:f>
              <c:strCache>
                <c:ptCount val="1"/>
                <c:pt idx="0">
                  <c:v>weryfikacja programu ochrony środowiska</c:v>
                </c:pt>
              </c:strCache>
            </c:strRef>
          </c:tx>
          <c:spPr>
            <a:solidFill>
              <a:schemeClr val="accent2">
                <a:lumMod val="60000"/>
              </a:schemeClr>
            </a:solidFill>
            <a:ln w="1270">
              <a:noFill/>
            </a:ln>
            <a:effectLst>
              <a:outerShdw blurRad="254000" sx="102000" sy="102000" algn="ctr" rotWithShape="0">
                <a:prstClr val="black">
                  <a:alpha val="20000"/>
                </a:prstClr>
              </a:outerShdw>
            </a:effectLst>
          </c:spPr>
          <c:invertIfNegative val="0"/>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katalog_RWr!$C$21</c:f>
              <c:numCache>
                <c:formatCode>0%</c:formatCode>
                <c:ptCount val="1"/>
                <c:pt idx="0">
                  <c:v>6.6666666666666666E-2</c:v>
                </c:pt>
              </c:numCache>
            </c:numRef>
          </c:val>
          <c:extLst>
            <c:ext xmlns:c16="http://schemas.microsoft.com/office/drawing/2014/chart" uri="{C3380CC4-5D6E-409C-BE32-E72D297353CC}">
              <c16:uniqueId val="{00000008-5931-49A8-BA30-5C4473390A52}"/>
            </c:ext>
          </c:extLst>
        </c:ser>
        <c:ser>
          <c:idx val="8"/>
          <c:order val="8"/>
          <c:tx>
            <c:strRef>
              <c:f>katalog_RWr!$B$22</c:f>
              <c:strCache>
                <c:ptCount val="1"/>
                <c:pt idx="0">
                  <c:v>zapewnienie ciągłości biologicznej rzek i potoków </c:v>
                </c:pt>
              </c:strCache>
            </c:strRef>
          </c:tx>
          <c:spPr>
            <a:solidFill>
              <a:schemeClr val="accent3">
                <a:lumMod val="60000"/>
              </a:schemeClr>
            </a:solidFill>
            <a:ln w="1270">
              <a:noFill/>
            </a:ln>
            <a:effectLst>
              <a:outerShdw blurRad="254000" sx="102000" sy="102000" algn="ctr" rotWithShape="0">
                <a:prstClr val="black">
                  <a:alpha val="20000"/>
                </a:prstClr>
              </a:outerShdw>
            </a:effectLst>
          </c:spPr>
          <c:invertIfNegative val="0"/>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katalog_RWr!$C$22</c:f>
              <c:numCache>
                <c:formatCode>0%</c:formatCode>
                <c:ptCount val="1"/>
                <c:pt idx="0">
                  <c:v>0.2</c:v>
                </c:pt>
              </c:numCache>
            </c:numRef>
          </c:val>
          <c:extLst>
            <c:ext xmlns:c16="http://schemas.microsoft.com/office/drawing/2014/chart" uri="{C3380CC4-5D6E-409C-BE32-E72D297353CC}">
              <c16:uniqueId val="{00000009-5931-49A8-BA30-5C4473390A52}"/>
            </c:ext>
          </c:extLst>
        </c:ser>
        <c:dLbls>
          <c:showLegendKey val="0"/>
          <c:showVal val="0"/>
          <c:showCatName val="0"/>
          <c:showSerName val="0"/>
          <c:showPercent val="0"/>
          <c:showBubbleSize val="0"/>
        </c:dLbls>
        <c:gapWidth val="150"/>
        <c:axId val="991531448"/>
        <c:axId val="991533744"/>
      </c:barChart>
      <c:valAx>
        <c:axId val="99153374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991531448"/>
        <c:crosses val="autoZero"/>
        <c:crossBetween val="between"/>
      </c:valAx>
      <c:catAx>
        <c:axId val="991531448"/>
        <c:scaling>
          <c:orientation val="minMax"/>
        </c:scaling>
        <c:delete val="1"/>
        <c:axPos val="l"/>
        <c:majorTickMark val="out"/>
        <c:minorTickMark val="none"/>
        <c:tickLblPos val="nextTo"/>
        <c:crossAx val="991533744"/>
        <c:crosses val="autoZero"/>
        <c:auto val="1"/>
        <c:lblAlgn val="ctr"/>
        <c:lblOffset val="100"/>
        <c:noMultiLvlLbl val="0"/>
      </c:catAx>
      <c:spPr>
        <a:noFill/>
        <a:ln>
          <a:noFill/>
        </a:ln>
        <a:effectLst/>
      </c:spPr>
    </c:plotArea>
    <c:legend>
      <c:legendPos val="r"/>
      <c:layout>
        <c:manualLayout>
          <c:xMode val="edge"/>
          <c:yMode val="edge"/>
          <c:x val="0.57993384785005508"/>
          <c:y val="3.8453087172535254E-2"/>
          <c:w val="0.40793427031298507"/>
          <c:h val="0.9587740958362077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520609828225383E-2"/>
          <c:y val="2.0161290322580645E-2"/>
          <c:w val="0.55681317066000291"/>
          <c:h val="0.95463709677419351"/>
        </c:manualLayout>
      </c:layout>
      <c:pieChart>
        <c:varyColors val="1"/>
        <c:ser>
          <c:idx val="0"/>
          <c:order val="0"/>
          <c:spPr>
            <a:solidFill>
              <a:schemeClr val="bg1">
                <a:lumMod val="65000"/>
              </a:schemeClr>
            </a:solidFill>
            <a:ln w="1270">
              <a:noFill/>
            </a:ln>
          </c:spPr>
          <c:dPt>
            <c:idx val="0"/>
            <c:bubble3D val="0"/>
            <c:spPr>
              <a:solidFill>
                <a:srgbClr val="4472C4">
                  <a:lumMod val="60000"/>
                  <a:lumOff val="40000"/>
                </a:srgb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E08-43BB-A52D-D9F0F5484F63}"/>
              </c:ext>
            </c:extLst>
          </c:dPt>
          <c:dPt>
            <c:idx val="1"/>
            <c:bubble3D val="0"/>
            <c:spPr>
              <a:solidFill>
                <a:schemeClr val="accent1">
                  <a:lumMod val="75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E08-43BB-A52D-D9F0F5484F63}"/>
              </c:ext>
            </c:extLst>
          </c:dPt>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katalog_RWr!$B$3:$B$4</c:f>
              <c:strCache>
                <c:ptCount val="2"/>
                <c:pt idx="0">
                  <c:v>działania podstawowe</c:v>
                </c:pt>
                <c:pt idx="1">
                  <c:v>działania uzupełniające</c:v>
                </c:pt>
              </c:strCache>
            </c:strRef>
          </c:cat>
          <c:val>
            <c:numRef>
              <c:f>katalog_RWr!$C$3:$C$4</c:f>
              <c:numCache>
                <c:formatCode>0%</c:formatCode>
                <c:ptCount val="2"/>
                <c:pt idx="0">
                  <c:v>0.6</c:v>
                </c:pt>
                <c:pt idx="1">
                  <c:v>0.4</c:v>
                </c:pt>
              </c:numCache>
            </c:numRef>
          </c:val>
          <c:extLst>
            <c:ext xmlns:c16="http://schemas.microsoft.com/office/drawing/2014/chart" uri="{C3380CC4-5D6E-409C-BE32-E72D297353CC}">
              <c16:uniqueId val="{00000004-EE08-43BB-A52D-D9F0F5484F6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w="1270">
              <a:noFill/>
            </a:ln>
          </c:spPr>
          <c:dPt>
            <c:idx val="0"/>
            <c:bubble3D val="0"/>
            <c:spPr>
              <a:solidFill>
                <a:srgbClr val="31859C"/>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0FC-416C-AA34-25D439608C48}"/>
              </c:ext>
            </c:extLst>
          </c:dPt>
          <c:dPt>
            <c:idx val="1"/>
            <c:bubble3D val="0"/>
            <c:spPr>
              <a:solidFill>
                <a:srgbClr val="DBEEF4"/>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0FC-416C-AA34-25D439608C48}"/>
              </c:ext>
            </c:extLst>
          </c:dPt>
          <c:dPt>
            <c:idx val="2"/>
            <c:bubble3D val="0"/>
            <c:spPr>
              <a:solidFill>
                <a:srgbClr val="93CDDD"/>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0FC-416C-AA34-25D439608C4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katalog_RWr!$B$48:$B$50</c:f>
              <c:strCache>
                <c:ptCount val="3"/>
                <c:pt idx="0">
                  <c:v>presje skumulowane wód</c:v>
                </c:pt>
                <c:pt idx="1">
                  <c:v>presje chemiczne i fizykochemiczne</c:v>
                </c:pt>
                <c:pt idx="2">
                  <c:v>presje hydromofologiczne</c:v>
                </c:pt>
              </c:strCache>
            </c:strRef>
          </c:cat>
          <c:val>
            <c:numRef>
              <c:f>katalog_RWr!$C$48:$C$50</c:f>
              <c:numCache>
                <c:formatCode>General</c:formatCode>
                <c:ptCount val="3"/>
                <c:pt idx="0">
                  <c:v>20</c:v>
                </c:pt>
                <c:pt idx="1">
                  <c:v>60</c:v>
                </c:pt>
                <c:pt idx="2">
                  <c:v>20</c:v>
                </c:pt>
              </c:numCache>
            </c:numRef>
          </c:val>
          <c:extLst>
            <c:ext xmlns:c16="http://schemas.microsoft.com/office/drawing/2014/chart" uri="{C3380CC4-5D6E-409C-BE32-E72D297353CC}">
              <c16:uniqueId val="{00000006-C0FC-416C-AA34-25D439608C4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katalog_LW!$B$14</c:f>
              <c:strCache>
                <c:ptCount val="1"/>
                <c:pt idx="0">
                  <c:v>kształtowanie stref buforowych</c:v>
                </c:pt>
              </c:strCache>
            </c:strRef>
          </c:tx>
          <c:spPr>
            <a:solidFill>
              <a:schemeClr val="accent1"/>
            </a:solidFill>
            <a:ln>
              <a:noFill/>
            </a:ln>
            <a:effectLst>
              <a:outerShdw blurRad="254000" sx="102000" sy="102000" algn="ctr" rotWithShape="0">
                <a:prstClr val="black">
                  <a:alpha val="20000"/>
                </a:prstClr>
              </a:outerShdw>
            </a:effectLst>
          </c:spPr>
          <c:invertIfNegative val="0"/>
          <c:dLbls>
            <c:numFmt formatCode="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katalog_LW!$C$14</c:f>
              <c:numCache>
                <c:formatCode>0%</c:formatCode>
                <c:ptCount val="1"/>
                <c:pt idx="0">
                  <c:v>0.125</c:v>
                </c:pt>
              </c:numCache>
            </c:numRef>
          </c:val>
          <c:extLst>
            <c:ext xmlns:c16="http://schemas.microsoft.com/office/drawing/2014/chart" uri="{C3380CC4-5D6E-409C-BE32-E72D297353CC}">
              <c16:uniqueId val="{00000000-1D33-4198-90C2-04FCCC18031E}"/>
            </c:ext>
          </c:extLst>
        </c:ser>
        <c:ser>
          <c:idx val="1"/>
          <c:order val="1"/>
          <c:tx>
            <c:strRef>
              <c:f>katalog_LW!$B$15</c:f>
              <c:strCache>
                <c:ptCount val="1"/>
                <c:pt idx="0">
                  <c:v>zintegrowany system monitoringu suszy </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katalog_LW!$C$15</c:f>
              <c:numCache>
                <c:formatCode>0%</c:formatCode>
                <c:ptCount val="1"/>
                <c:pt idx="0">
                  <c:v>8.3299999999999999E-2</c:v>
                </c:pt>
              </c:numCache>
            </c:numRef>
          </c:val>
          <c:extLst>
            <c:ext xmlns:c16="http://schemas.microsoft.com/office/drawing/2014/chart" uri="{C3380CC4-5D6E-409C-BE32-E72D297353CC}">
              <c16:uniqueId val="{00000001-1D33-4198-90C2-04FCCC18031E}"/>
            </c:ext>
          </c:extLst>
        </c:ser>
        <c:ser>
          <c:idx val="2"/>
          <c:order val="2"/>
          <c:tx>
            <c:strRef>
              <c:f>katalog_LW!$B$16</c:f>
              <c:strCache>
                <c:ptCount val="1"/>
                <c:pt idx="0">
                  <c:v>indywidualne programy poprawy stanu jcwp</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katalog_LW!$C$16</c:f>
              <c:numCache>
                <c:formatCode>0%</c:formatCode>
                <c:ptCount val="1"/>
                <c:pt idx="0">
                  <c:v>0.25</c:v>
                </c:pt>
              </c:numCache>
            </c:numRef>
          </c:val>
          <c:extLst>
            <c:ext xmlns:c16="http://schemas.microsoft.com/office/drawing/2014/chart" uri="{C3380CC4-5D6E-409C-BE32-E72D297353CC}">
              <c16:uniqueId val="{00000002-1D33-4198-90C2-04FCCC18031E}"/>
            </c:ext>
          </c:extLst>
        </c:ser>
        <c:ser>
          <c:idx val="3"/>
          <c:order val="3"/>
          <c:tx>
            <c:strRef>
              <c:f>katalog_LW!$B$17</c:f>
              <c:strCache>
                <c:ptCount val="1"/>
                <c:pt idx="0">
                  <c:v>edukacja i informacja</c:v>
                </c:pt>
              </c:strCache>
            </c:strRef>
          </c:tx>
          <c:spPr>
            <a:solidFill>
              <a:schemeClr val="accent4"/>
            </a:solidFill>
            <a:ln>
              <a:noFill/>
            </a:ln>
            <a:effectLst>
              <a:outerShdw blurRad="254000" sx="102000" sy="102000" algn="ctr" rotWithShape="0">
                <a:prstClr val="black">
                  <a:alpha val="20000"/>
                </a:prstClr>
              </a:outerShdw>
            </a:effectLst>
          </c:spPr>
          <c:invertIfNegative val="0"/>
          <c:dLbls>
            <c:dLbl>
              <c:idx val="0"/>
              <c:layout>
                <c:manualLayout>
                  <c:x val="-1.9081364829396453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D33-4198-90C2-04FCCC18031E}"/>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katalog_LW!$C$17</c:f>
              <c:numCache>
                <c:formatCode>0%</c:formatCode>
                <c:ptCount val="1"/>
                <c:pt idx="0">
                  <c:v>4.1700000000000001E-2</c:v>
                </c:pt>
              </c:numCache>
            </c:numRef>
          </c:val>
          <c:extLst>
            <c:ext xmlns:c16="http://schemas.microsoft.com/office/drawing/2014/chart" uri="{C3380CC4-5D6E-409C-BE32-E72D297353CC}">
              <c16:uniqueId val="{00000004-1D33-4198-90C2-04FCCC18031E}"/>
            </c:ext>
          </c:extLst>
        </c:ser>
        <c:ser>
          <c:idx val="4"/>
          <c:order val="4"/>
          <c:tx>
            <c:strRef>
              <c:f>katalog_LW!$B$18</c:f>
              <c:strCache>
                <c:ptCount val="1"/>
                <c:pt idx="0">
                  <c:v>gospodarka ściekowa</c:v>
                </c:pt>
              </c:strCache>
            </c:strRef>
          </c:tx>
          <c:spPr>
            <a:solidFill>
              <a:schemeClr val="accent5"/>
            </a:solidFill>
            <a:ln>
              <a:noFill/>
            </a:ln>
            <a:effectLst>
              <a:outerShdw blurRad="254000" sx="102000" sy="102000" algn="ctr" rotWithShape="0">
                <a:prstClr val="black">
                  <a:alpha val="20000"/>
                </a:prstClr>
              </a:outerShdw>
            </a:effectLst>
          </c:spPr>
          <c:invertIfNegative val="0"/>
          <c:dLbls>
            <c:numFmt formatCode="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katalog_LW!$C$18</c:f>
              <c:numCache>
                <c:formatCode>0%</c:formatCode>
                <c:ptCount val="1"/>
                <c:pt idx="0">
                  <c:v>0.125</c:v>
                </c:pt>
              </c:numCache>
            </c:numRef>
          </c:val>
          <c:extLst>
            <c:ext xmlns:c16="http://schemas.microsoft.com/office/drawing/2014/chart" uri="{C3380CC4-5D6E-409C-BE32-E72D297353CC}">
              <c16:uniqueId val="{00000005-1D33-4198-90C2-04FCCC18031E}"/>
            </c:ext>
          </c:extLst>
        </c:ser>
        <c:ser>
          <c:idx val="5"/>
          <c:order val="5"/>
          <c:tx>
            <c:strRef>
              <c:f>katalog_LW!$B$19</c:f>
              <c:strCache>
                <c:ptCount val="1"/>
                <c:pt idx="0">
                  <c:v>redukcja emisji i zrzutów substancji priorytetowych</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katalog_LW!$C$19</c:f>
              <c:numCache>
                <c:formatCode>0%</c:formatCode>
                <c:ptCount val="1"/>
                <c:pt idx="0">
                  <c:v>4.1700000000000001E-2</c:v>
                </c:pt>
              </c:numCache>
            </c:numRef>
          </c:val>
          <c:extLst>
            <c:ext xmlns:c16="http://schemas.microsoft.com/office/drawing/2014/chart" uri="{C3380CC4-5D6E-409C-BE32-E72D297353CC}">
              <c16:uniqueId val="{00000006-1D33-4198-90C2-04FCCC18031E}"/>
            </c:ext>
          </c:extLst>
        </c:ser>
        <c:ser>
          <c:idx val="6"/>
          <c:order val="6"/>
          <c:tx>
            <c:strRef>
              <c:f>katalog_LW!$B$20</c:f>
              <c:strCache>
                <c:ptCount val="1"/>
                <c:pt idx="0">
                  <c:v>ograniczenie zanieczyszczeń rozproszonych z rolnictwa</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katalog_LW!$C$20</c:f>
              <c:numCache>
                <c:formatCode>0%</c:formatCode>
                <c:ptCount val="1"/>
                <c:pt idx="0">
                  <c:v>8.3299999999999999E-2</c:v>
                </c:pt>
              </c:numCache>
            </c:numRef>
          </c:val>
          <c:extLst>
            <c:ext xmlns:c16="http://schemas.microsoft.com/office/drawing/2014/chart" uri="{C3380CC4-5D6E-409C-BE32-E72D297353CC}">
              <c16:uniqueId val="{00000007-1D33-4198-90C2-04FCCC18031E}"/>
            </c:ext>
          </c:extLst>
        </c:ser>
        <c:ser>
          <c:idx val="7"/>
          <c:order val="7"/>
          <c:tx>
            <c:strRef>
              <c:f>katalog_LW!$B$21</c:f>
              <c:strCache>
                <c:ptCount val="1"/>
                <c:pt idx="0">
                  <c:v>weryfikacja programu ochrony środowiska</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katalog_LW!$C$21</c:f>
              <c:numCache>
                <c:formatCode>0%</c:formatCode>
                <c:ptCount val="1"/>
                <c:pt idx="0">
                  <c:v>4.1700000000000001E-2</c:v>
                </c:pt>
              </c:numCache>
            </c:numRef>
          </c:val>
          <c:extLst>
            <c:ext xmlns:c16="http://schemas.microsoft.com/office/drawing/2014/chart" uri="{C3380CC4-5D6E-409C-BE32-E72D297353CC}">
              <c16:uniqueId val="{00000008-1D33-4198-90C2-04FCCC18031E}"/>
            </c:ext>
          </c:extLst>
        </c:ser>
        <c:ser>
          <c:idx val="8"/>
          <c:order val="8"/>
          <c:tx>
            <c:strRef>
              <c:f>katalog_LW!$B$22</c:f>
              <c:strCache>
                <c:ptCount val="1"/>
                <c:pt idx="0">
                  <c:v>monitoring</c:v>
                </c:pt>
              </c:strCache>
            </c:strRef>
          </c:tx>
          <c:spPr>
            <a:solidFill>
              <a:schemeClr val="accent3">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katalog_LW!$C$22</c:f>
              <c:numCache>
                <c:formatCode>0%</c:formatCode>
                <c:ptCount val="1"/>
                <c:pt idx="0">
                  <c:v>4.1700000000000001E-2</c:v>
                </c:pt>
              </c:numCache>
            </c:numRef>
          </c:val>
          <c:extLst>
            <c:ext xmlns:c16="http://schemas.microsoft.com/office/drawing/2014/chart" uri="{C3380CC4-5D6E-409C-BE32-E72D297353CC}">
              <c16:uniqueId val="{00000009-1D33-4198-90C2-04FCCC18031E}"/>
            </c:ext>
          </c:extLst>
        </c:ser>
        <c:ser>
          <c:idx val="9"/>
          <c:order val="9"/>
          <c:tx>
            <c:strRef>
              <c:f>katalog_LW!$B$23</c:f>
              <c:strCache>
                <c:ptCount val="1"/>
                <c:pt idx="0">
                  <c:v>poprawa warunków dla obszarów chronionych</c:v>
                </c:pt>
              </c:strCache>
            </c:strRef>
          </c:tx>
          <c:spPr>
            <a:solidFill>
              <a:schemeClr val="accent4">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katalog_LW!$C$23</c:f>
              <c:numCache>
                <c:formatCode>0%</c:formatCode>
                <c:ptCount val="1"/>
                <c:pt idx="0">
                  <c:v>0.16670000000000001</c:v>
                </c:pt>
              </c:numCache>
            </c:numRef>
          </c:val>
          <c:extLst>
            <c:ext xmlns:c16="http://schemas.microsoft.com/office/drawing/2014/chart" uri="{C3380CC4-5D6E-409C-BE32-E72D297353CC}">
              <c16:uniqueId val="{0000000A-1D33-4198-90C2-04FCCC18031E}"/>
            </c:ext>
          </c:extLst>
        </c:ser>
        <c:dLbls>
          <c:showLegendKey val="0"/>
          <c:showVal val="0"/>
          <c:showCatName val="0"/>
          <c:showSerName val="0"/>
          <c:showPercent val="0"/>
          <c:showBubbleSize val="0"/>
        </c:dLbls>
        <c:gapWidth val="150"/>
        <c:axId val="791256208"/>
        <c:axId val="791264408"/>
      </c:barChart>
      <c:valAx>
        <c:axId val="79126440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791256208"/>
        <c:crosses val="autoZero"/>
        <c:crossBetween val="between"/>
      </c:valAx>
      <c:catAx>
        <c:axId val="791256208"/>
        <c:scaling>
          <c:orientation val="minMax"/>
        </c:scaling>
        <c:delete val="1"/>
        <c:axPos val="l"/>
        <c:majorTickMark val="out"/>
        <c:minorTickMark val="none"/>
        <c:tickLblPos val="nextTo"/>
        <c:crossAx val="791264408"/>
        <c:crosses val="autoZero"/>
        <c:auto val="1"/>
        <c:lblAlgn val="ctr"/>
        <c:lblOffset val="100"/>
        <c:noMultiLvlLbl val="0"/>
      </c:catAx>
      <c:spPr>
        <a:noFill/>
        <a:ln>
          <a:noFill/>
        </a:ln>
        <a:effectLst/>
      </c:spPr>
    </c:plotArea>
    <c:legend>
      <c:legendPos val="r"/>
      <c:layout>
        <c:manualLayout>
          <c:xMode val="edge"/>
          <c:yMode val="edge"/>
          <c:x val="0.59908605174353213"/>
          <c:y val="5.3836606267590043E-2"/>
          <c:w val="0.3883983252093488"/>
          <c:h val="0.92606864626534346"/>
        </c:manualLayout>
      </c:layout>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65000"/>
              </a:schemeClr>
            </a:solidFill>
            <a:ln w="1270">
              <a:noFill/>
            </a:ln>
          </c:spPr>
          <c:dPt>
            <c:idx val="0"/>
            <c:bubble3D val="0"/>
            <c:spPr>
              <a:solidFill>
                <a:srgbClr val="4472C4">
                  <a:lumMod val="60000"/>
                  <a:lumOff val="40000"/>
                </a:srgb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10A-44CD-A0CE-B0014AAD1CBB}"/>
              </c:ext>
            </c:extLst>
          </c:dPt>
          <c:dPt>
            <c:idx val="1"/>
            <c:bubble3D val="0"/>
            <c:spPr>
              <a:solidFill>
                <a:schemeClr val="accent1">
                  <a:lumMod val="75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10A-44CD-A0CE-B0014AAD1CB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katalog_LW!$B$3:$B$4</c:f>
              <c:strCache>
                <c:ptCount val="2"/>
                <c:pt idx="0">
                  <c:v>działania podstawowe</c:v>
                </c:pt>
                <c:pt idx="1">
                  <c:v>działania uzupełniające</c:v>
                </c:pt>
              </c:strCache>
            </c:strRef>
          </c:cat>
          <c:val>
            <c:numRef>
              <c:f>katalog_LW!$C$3:$C$4</c:f>
              <c:numCache>
                <c:formatCode>0%</c:formatCode>
                <c:ptCount val="2"/>
                <c:pt idx="0">
                  <c:v>0.625</c:v>
                </c:pt>
                <c:pt idx="1">
                  <c:v>0.375</c:v>
                </c:pt>
              </c:numCache>
            </c:numRef>
          </c:val>
          <c:extLst>
            <c:ext xmlns:c16="http://schemas.microsoft.com/office/drawing/2014/chart" uri="{C3380CC4-5D6E-409C-BE32-E72D297353CC}">
              <c16:uniqueId val="{00000004-D10A-44CD-A0CE-B0014AAD1CB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455339874372255E-2"/>
          <c:y val="3.272677482854966E-2"/>
          <c:w val="0.55083040020556007"/>
          <c:h val="0.94437984188468382"/>
        </c:manualLayout>
      </c:layout>
      <c:pieChart>
        <c:varyColors val="1"/>
        <c:ser>
          <c:idx val="0"/>
          <c:order val="0"/>
          <c:tx>
            <c:strRef>
              <c:f>IIaPGWCLC!$F$15:$I$15</c:f>
              <c:strCache>
                <c:ptCount val="4"/>
                <c:pt idx="0">
                  <c:v>Udz_rol%</c:v>
                </c:pt>
                <c:pt idx="1">
                  <c:v>Udz_pow_antrop%</c:v>
                </c:pt>
                <c:pt idx="2">
                  <c:v>Udz_les%</c:v>
                </c:pt>
                <c:pt idx="3">
                  <c:v>Udz_poz%</c:v>
                </c:pt>
              </c:strCache>
            </c:strRef>
          </c:tx>
          <c:spPr>
            <a:ln w="1270">
              <a:solidFill>
                <a:schemeClr val="tx1">
                  <a:lumMod val="75000"/>
                  <a:lumOff val="25000"/>
                </a:schemeClr>
              </a:solidFill>
            </a:ln>
          </c:spPr>
          <c:dPt>
            <c:idx val="0"/>
            <c:bubble3D val="0"/>
            <c:spPr>
              <a:solidFill>
                <a:schemeClr val="accent1"/>
              </a:solidFill>
              <a:ln w="1270">
                <a:noFill/>
              </a:ln>
              <a:effectLst>
                <a:outerShdw blurRad="317500" algn="ctr" rotWithShape="0">
                  <a:prstClr val="black">
                    <a:alpha val="25000"/>
                  </a:prstClr>
                </a:outerShdw>
              </a:effectLst>
            </c:spPr>
            <c:extLst>
              <c:ext xmlns:c16="http://schemas.microsoft.com/office/drawing/2014/chart" uri="{C3380CC4-5D6E-409C-BE32-E72D297353CC}">
                <c16:uniqueId val="{00000001-DEB9-4CB1-A671-DE1E72F47FB2}"/>
              </c:ext>
            </c:extLst>
          </c:dPt>
          <c:dPt>
            <c:idx val="1"/>
            <c:bubble3D val="0"/>
            <c:spPr>
              <a:solidFill>
                <a:schemeClr val="accent2"/>
              </a:solidFill>
              <a:ln w="1270">
                <a:noFill/>
              </a:ln>
              <a:effectLst>
                <a:outerShdw blurRad="317500" algn="ctr" rotWithShape="0">
                  <a:prstClr val="black">
                    <a:alpha val="25000"/>
                  </a:prstClr>
                </a:outerShdw>
              </a:effectLst>
            </c:spPr>
            <c:extLst>
              <c:ext xmlns:c16="http://schemas.microsoft.com/office/drawing/2014/chart" uri="{C3380CC4-5D6E-409C-BE32-E72D297353CC}">
                <c16:uniqueId val="{00000003-DEB9-4CB1-A671-DE1E72F47FB2}"/>
              </c:ext>
            </c:extLst>
          </c:dPt>
          <c:dPt>
            <c:idx val="2"/>
            <c:bubble3D val="0"/>
            <c:spPr>
              <a:solidFill>
                <a:schemeClr val="accent3"/>
              </a:solidFill>
              <a:ln w="1270">
                <a:noFill/>
              </a:ln>
              <a:effectLst>
                <a:outerShdw blurRad="317500" algn="ctr" rotWithShape="0">
                  <a:prstClr val="black">
                    <a:alpha val="25000"/>
                  </a:prstClr>
                </a:outerShdw>
              </a:effectLst>
            </c:spPr>
            <c:extLst>
              <c:ext xmlns:c16="http://schemas.microsoft.com/office/drawing/2014/chart" uri="{C3380CC4-5D6E-409C-BE32-E72D297353CC}">
                <c16:uniqueId val="{00000005-DEB9-4CB1-A671-DE1E72F47FB2}"/>
              </c:ext>
            </c:extLst>
          </c:dPt>
          <c:dPt>
            <c:idx val="3"/>
            <c:bubble3D val="0"/>
            <c:spPr>
              <a:solidFill>
                <a:schemeClr val="accent4"/>
              </a:solidFill>
              <a:ln w="1270">
                <a:noFill/>
              </a:ln>
              <a:effectLst>
                <a:outerShdw blurRad="317500" algn="ctr" rotWithShape="0">
                  <a:prstClr val="black">
                    <a:alpha val="25000"/>
                  </a:prstClr>
                </a:outerShdw>
              </a:effectLst>
            </c:spPr>
            <c:extLst>
              <c:ext xmlns:c16="http://schemas.microsoft.com/office/drawing/2014/chart" uri="{C3380CC4-5D6E-409C-BE32-E72D297353CC}">
                <c16:uniqueId val="{00000007-DEB9-4CB1-A671-DE1E72F47FB2}"/>
              </c:ext>
            </c:extLst>
          </c:dPt>
          <c:dLbls>
            <c:dLbl>
              <c:idx val="0"/>
              <c:tx>
                <c:rich>
                  <a:bodyPr/>
                  <a:lstStyle/>
                  <a:p>
                    <a:r>
                      <a:rPr lang="en-US"/>
                      <a:t>52%</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EB9-4CB1-A671-DE1E72F47FB2}"/>
                </c:ext>
              </c:extLst>
            </c:dLbl>
            <c:dLbl>
              <c:idx val="1"/>
              <c:tx>
                <c:rich>
                  <a:bodyPr/>
                  <a:lstStyle/>
                  <a:p>
                    <a:r>
                      <a:rPr lang="en-US"/>
                      <a:t>2%</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EB9-4CB1-A671-DE1E72F47FB2}"/>
                </c:ext>
              </c:extLst>
            </c:dLbl>
            <c:dLbl>
              <c:idx val="2"/>
              <c:tx>
                <c:rich>
                  <a:bodyPr/>
                  <a:lstStyle/>
                  <a:p>
                    <a:r>
                      <a:rPr lang="en-US"/>
                      <a:t>41%</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EB9-4CB1-A671-DE1E72F47FB2}"/>
                </c:ext>
              </c:extLst>
            </c:dLbl>
            <c:dLbl>
              <c:idx val="3"/>
              <c:tx>
                <c:rich>
                  <a:bodyPr/>
                  <a:lstStyle/>
                  <a:p>
                    <a:r>
                      <a:rPr lang="en-US"/>
                      <a:t>5%</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EB9-4CB1-A671-DE1E72F47FB2}"/>
                </c:ext>
              </c:extLst>
            </c:dLbl>
            <c:spPr>
              <a:solidFill>
                <a:sysClr val="windowText" lastClr="000000">
                  <a:alpha val="50000"/>
                </a:sys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Odra!$J$9:$J$12</c:f>
              <c:strCache>
                <c:ptCount val="4"/>
                <c:pt idx="0">
                  <c:v>Tereny rolne</c:v>
                </c:pt>
                <c:pt idx="1">
                  <c:v>Tereny przekształcone antopogenicznie</c:v>
                </c:pt>
                <c:pt idx="2">
                  <c:v>Tereny leśne</c:v>
                </c:pt>
                <c:pt idx="3">
                  <c:v>Tereny pozostałe</c:v>
                </c:pt>
              </c:strCache>
            </c:strRef>
          </c:cat>
          <c:val>
            <c:numRef>
              <c:f>IIaPGWCLC!$F$33:$I$33</c:f>
              <c:numCache>
                <c:formatCode>0.0</c:formatCode>
                <c:ptCount val="4"/>
                <c:pt idx="0">
                  <c:v>52.018200341477105</c:v>
                </c:pt>
                <c:pt idx="1">
                  <c:v>2.5486757903794341</c:v>
                </c:pt>
                <c:pt idx="2">
                  <c:v>40.61061309913724</c:v>
                </c:pt>
                <c:pt idx="3">
                  <c:v>4.8225107690062146</c:v>
                </c:pt>
              </c:numCache>
            </c:numRef>
          </c:val>
          <c:extLst>
            <c:ext xmlns:c16="http://schemas.microsoft.com/office/drawing/2014/chart" uri="{C3380CC4-5D6E-409C-BE32-E72D297353CC}">
              <c16:uniqueId val="{00000008-DEB9-4CB1-A671-DE1E72F47FB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15000"/>
          <a:lumOff val="85000"/>
        </a:schemeClr>
      </a:solidFill>
      <a:round/>
    </a:ln>
    <a:effectLst/>
  </c:spPr>
  <c:txPr>
    <a:bodyPr/>
    <a:lstStyle/>
    <a:p>
      <a:pPr>
        <a:defRPr/>
      </a:pPr>
      <a:endParaRPr lang="pl-PL"/>
    </a:p>
  </c:txPr>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w="1270">
              <a:noFill/>
            </a:ln>
          </c:spPr>
          <c:dPt>
            <c:idx val="0"/>
            <c:bubble3D val="0"/>
            <c:spPr>
              <a:solidFill>
                <a:srgbClr val="31859C"/>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544-4F8C-AB5B-B617675938B2}"/>
              </c:ext>
            </c:extLst>
          </c:dPt>
          <c:dPt>
            <c:idx val="1"/>
            <c:bubble3D val="0"/>
            <c:spPr>
              <a:solidFill>
                <a:srgbClr val="DBEEF4"/>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544-4F8C-AB5B-B617675938B2}"/>
              </c:ext>
            </c:extLst>
          </c:dPt>
          <c:dPt>
            <c:idx val="2"/>
            <c:bubble3D val="0"/>
            <c:spPr>
              <a:solidFill>
                <a:srgbClr val="4BACC6">
                  <a:lumMod val="40000"/>
                  <a:lumOff val="60000"/>
                </a:srgb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544-4F8C-AB5B-B617675938B2}"/>
              </c:ext>
            </c:extLst>
          </c:dPt>
          <c:dPt>
            <c:idx val="3"/>
            <c:bubble3D val="0"/>
            <c:spPr>
              <a:solidFill>
                <a:srgbClr val="93CDDD"/>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544-4F8C-AB5B-B617675938B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katalog_LW!$B$49:$B$52</c:f>
              <c:strCache>
                <c:ptCount val="4"/>
                <c:pt idx="0">
                  <c:v>presje skumulowane wód</c:v>
                </c:pt>
                <c:pt idx="1">
                  <c:v>presje chemiczne i fizykochemiczne</c:v>
                </c:pt>
                <c:pt idx="2">
                  <c:v>presje hydrologiczne</c:v>
                </c:pt>
                <c:pt idx="3">
                  <c:v>presje hydromofologiczne</c:v>
                </c:pt>
              </c:strCache>
            </c:strRef>
          </c:cat>
          <c:val>
            <c:numRef>
              <c:f>katalog_LW!$C$49:$C$52</c:f>
              <c:numCache>
                <c:formatCode>General</c:formatCode>
                <c:ptCount val="4"/>
                <c:pt idx="0">
                  <c:v>50</c:v>
                </c:pt>
                <c:pt idx="1">
                  <c:v>29</c:v>
                </c:pt>
                <c:pt idx="2">
                  <c:v>8</c:v>
                </c:pt>
                <c:pt idx="3">
                  <c:v>13</c:v>
                </c:pt>
              </c:numCache>
            </c:numRef>
          </c:val>
          <c:extLst>
            <c:ext xmlns:c16="http://schemas.microsoft.com/office/drawing/2014/chart" uri="{C3380CC4-5D6E-409C-BE32-E72D297353CC}">
              <c16:uniqueId val="{00000008-C544-4F8C-AB5B-B617675938B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'[ZestawieniaTabelaryczne_20211106.xlsx]katalog_TW i CW'!$B$10</c:f>
              <c:strCache>
                <c:ptCount val="1"/>
                <c:pt idx="0">
                  <c:v>gospodarka ściekowa</c:v>
                </c:pt>
              </c:strCache>
            </c:strRef>
          </c:tx>
          <c:spPr>
            <a:solidFill>
              <a:schemeClr val="accent1"/>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'[ZestawieniaTabelaryczne_20211106.xlsx]katalog_TW i CW'!$C$10</c:f>
              <c:numCache>
                <c:formatCode>0%</c:formatCode>
                <c:ptCount val="1"/>
                <c:pt idx="0">
                  <c:v>0.23076923076923078</c:v>
                </c:pt>
              </c:numCache>
            </c:numRef>
          </c:val>
          <c:extLst>
            <c:ext xmlns:c16="http://schemas.microsoft.com/office/drawing/2014/chart" uri="{C3380CC4-5D6E-409C-BE32-E72D297353CC}">
              <c16:uniqueId val="{00000000-0CA6-40F0-B0F2-825FBBDE431A}"/>
            </c:ext>
          </c:extLst>
        </c:ser>
        <c:ser>
          <c:idx val="1"/>
          <c:order val="1"/>
          <c:tx>
            <c:strRef>
              <c:f>'[ZestawieniaTabelaryczne_20211106.xlsx]katalog_TW i CW'!$B$11</c:f>
              <c:strCache>
                <c:ptCount val="1"/>
                <c:pt idx="0">
                  <c:v>gospodarka odpadami</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'[ZestawieniaTabelaryczne_20211106.xlsx]katalog_TW i CW'!$C$11</c:f>
              <c:numCache>
                <c:formatCode>0%</c:formatCode>
                <c:ptCount val="1"/>
                <c:pt idx="0">
                  <c:v>7.6923076923076927E-2</c:v>
                </c:pt>
              </c:numCache>
            </c:numRef>
          </c:val>
          <c:extLst>
            <c:ext xmlns:c16="http://schemas.microsoft.com/office/drawing/2014/chart" uri="{C3380CC4-5D6E-409C-BE32-E72D297353CC}">
              <c16:uniqueId val="{00000001-0CA6-40F0-B0F2-825FBBDE431A}"/>
            </c:ext>
          </c:extLst>
        </c:ser>
        <c:ser>
          <c:idx val="2"/>
          <c:order val="2"/>
          <c:tx>
            <c:strRef>
              <c:f>'[ZestawieniaTabelaryczne_20211106.xlsx]katalog_TW i CW'!$B$12</c:f>
              <c:strCache>
                <c:ptCount val="1"/>
                <c:pt idx="0">
                  <c:v>gospodarowanie wodami opadowymi</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'[ZestawieniaTabelaryczne_20211106.xlsx]katalog_TW i CW'!$C$12</c:f>
              <c:numCache>
                <c:formatCode>0%</c:formatCode>
                <c:ptCount val="1"/>
                <c:pt idx="0">
                  <c:v>0.15384615384615385</c:v>
                </c:pt>
              </c:numCache>
            </c:numRef>
          </c:val>
          <c:extLst>
            <c:ext xmlns:c16="http://schemas.microsoft.com/office/drawing/2014/chart" uri="{C3380CC4-5D6E-409C-BE32-E72D297353CC}">
              <c16:uniqueId val="{00000002-0CA6-40F0-B0F2-825FBBDE431A}"/>
            </c:ext>
          </c:extLst>
        </c:ser>
        <c:ser>
          <c:idx val="3"/>
          <c:order val="3"/>
          <c:tx>
            <c:strRef>
              <c:f>'[ZestawieniaTabelaryczne_20211106.xlsx]katalog_TW i CW'!$B$13</c:f>
              <c:strCache>
                <c:ptCount val="1"/>
                <c:pt idx="0">
                  <c:v>ograniczenie zanieczyszczeń rozproszonych związanych z rozwojem obszarów zurbanizowanych, turystyki i transportu</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'[ZestawieniaTabelaryczne_20211106.xlsx]katalog_TW i CW'!$C$13</c:f>
              <c:numCache>
                <c:formatCode>0%</c:formatCode>
                <c:ptCount val="1"/>
                <c:pt idx="0">
                  <c:v>7.6923076923076927E-2</c:v>
                </c:pt>
              </c:numCache>
            </c:numRef>
          </c:val>
          <c:extLst>
            <c:ext xmlns:c16="http://schemas.microsoft.com/office/drawing/2014/chart" uri="{C3380CC4-5D6E-409C-BE32-E72D297353CC}">
              <c16:uniqueId val="{00000003-0CA6-40F0-B0F2-825FBBDE431A}"/>
            </c:ext>
          </c:extLst>
        </c:ser>
        <c:ser>
          <c:idx val="4"/>
          <c:order val="4"/>
          <c:tx>
            <c:strRef>
              <c:f>'[ZestawieniaTabelaryczne_20211106.xlsx]katalog_TW i CW'!$B$14</c:f>
              <c:strCache>
                <c:ptCount val="1"/>
                <c:pt idx="0">
                  <c:v>poprawa stanu elementów hydromorfologicznych i warunków siedliskowych strefy brzegowej</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'[ZestawieniaTabelaryczne_20211106.xlsx]katalog_TW i CW'!$C$14</c:f>
              <c:numCache>
                <c:formatCode>0%</c:formatCode>
                <c:ptCount val="1"/>
                <c:pt idx="0">
                  <c:v>0.15384615384615385</c:v>
                </c:pt>
              </c:numCache>
            </c:numRef>
          </c:val>
          <c:extLst>
            <c:ext xmlns:c16="http://schemas.microsoft.com/office/drawing/2014/chart" uri="{C3380CC4-5D6E-409C-BE32-E72D297353CC}">
              <c16:uniqueId val="{00000004-0CA6-40F0-B0F2-825FBBDE431A}"/>
            </c:ext>
          </c:extLst>
        </c:ser>
        <c:ser>
          <c:idx val="5"/>
          <c:order val="5"/>
          <c:tx>
            <c:strRef>
              <c:f>'[ZestawieniaTabelaryczne_20211106.xlsx]katalog_TW i CW'!$B$15</c:f>
              <c:strCache>
                <c:ptCount val="1"/>
                <c:pt idx="0">
                  <c:v>ochrona i odtwarzanie naturalnych procesów hydromorfologicznych w strefie brzegowej</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'[ZestawieniaTabelaryczne_20211106.xlsx]katalog_TW i CW'!$C$15</c:f>
              <c:numCache>
                <c:formatCode>0%</c:formatCode>
                <c:ptCount val="1"/>
                <c:pt idx="0">
                  <c:v>7.6923076923076927E-2</c:v>
                </c:pt>
              </c:numCache>
            </c:numRef>
          </c:val>
          <c:extLst>
            <c:ext xmlns:c16="http://schemas.microsoft.com/office/drawing/2014/chart" uri="{C3380CC4-5D6E-409C-BE32-E72D297353CC}">
              <c16:uniqueId val="{00000005-0CA6-40F0-B0F2-825FBBDE431A}"/>
            </c:ext>
          </c:extLst>
        </c:ser>
        <c:ser>
          <c:idx val="6"/>
          <c:order val="6"/>
          <c:tx>
            <c:strRef>
              <c:f>'[ZestawieniaTabelaryczne_20211106.xlsx]katalog_TW i CW'!$B$16</c:f>
              <c:strCache>
                <c:ptCount val="1"/>
                <c:pt idx="0">
                  <c:v>adaptacja do zmian klimatu</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'[ZestawieniaTabelaryczne_20211106.xlsx]katalog_TW i CW'!$C$16</c:f>
              <c:numCache>
                <c:formatCode>0%</c:formatCode>
                <c:ptCount val="1"/>
                <c:pt idx="0">
                  <c:v>7.6923076923076927E-2</c:v>
                </c:pt>
              </c:numCache>
            </c:numRef>
          </c:val>
          <c:extLst>
            <c:ext xmlns:c16="http://schemas.microsoft.com/office/drawing/2014/chart" uri="{C3380CC4-5D6E-409C-BE32-E72D297353CC}">
              <c16:uniqueId val="{00000006-0CA6-40F0-B0F2-825FBBDE431A}"/>
            </c:ext>
          </c:extLst>
        </c:ser>
        <c:ser>
          <c:idx val="7"/>
          <c:order val="7"/>
          <c:tx>
            <c:strRef>
              <c:f>'[ZestawieniaTabelaryczne_20211106.xlsx]katalog_TW i CW'!$B$17</c:f>
              <c:strCache>
                <c:ptCount val="1"/>
                <c:pt idx="0">
                  <c:v>poprawa warunków obszarów chronionych</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'[ZestawieniaTabelaryczne_20211106.xlsx]katalog_TW i CW'!$C$17</c:f>
              <c:numCache>
                <c:formatCode>0%</c:formatCode>
                <c:ptCount val="1"/>
                <c:pt idx="0">
                  <c:v>0.15384615384615385</c:v>
                </c:pt>
              </c:numCache>
            </c:numRef>
          </c:val>
          <c:extLst>
            <c:ext xmlns:c16="http://schemas.microsoft.com/office/drawing/2014/chart" uri="{C3380CC4-5D6E-409C-BE32-E72D297353CC}">
              <c16:uniqueId val="{00000007-0CA6-40F0-B0F2-825FBBDE431A}"/>
            </c:ext>
          </c:extLst>
        </c:ser>
        <c:dLbls>
          <c:showLegendKey val="0"/>
          <c:showVal val="0"/>
          <c:showCatName val="0"/>
          <c:showSerName val="0"/>
          <c:showPercent val="0"/>
          <c:showBubbleSize val="0"/>
        </c:dLbls>
        <c:gapWidth val="150"/>
        <c:axId val="1312107600"/>
        <c:axId val="1312107928"/>
      </c:barChart>
      <c:valAx>
        <c:axId val="131210792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312107600"/>
        <c:crosses val="autoZero"/>
        <c:crossBetween val="between"/>
      </c:valAx>
      <c:catAx>
        <c:axId val="1312107600"/>
        <c:scaling>
          <c:orientation val="minMax"/>
        </c:scaling>
        <c:delete val="1"/>
        <c:axPos val="l"/>
        <c:majorTickMark val="out"/>
        <c:minorTickMark val="none"/>
        <c:tickLblPos val="nextTo"/>
        <c:crossAx val="1312107928"/>
        <c:crosses val="autoZero"/>
        <c:auto val="1"/>
        <c:lblAlgn val="ctr"/>
        <c:lblOffset val="100"/>
        <c:noMultiLvlLbl val="0"/>
      </c:catAx>
      <c:spPr>
        <a:noFill/>
        <a:ln>
          <a:noFill/>
        </a:ln>
        <a:effectLst/>
      </c:spPr>
    </c:plotArea>
    <c:legend>
      <c:legendPos val="r"/>
      <c:layout>
        <c:manualLayout>
          <c:xMode val="edge"/>
          <c:yMode val="edge"/>
          <c:x val="0.63320730741990583"/>
          <c:y val="3.589492576276717E-2"/>
          <c:w val="0.35356517935258092"/>
          <c:h val="0.960197743270343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46077785177476"/>
          <c:y val="6.7419761506189682E-2"/>
          <c:w val="0.4824346506955019"/>
          <c:h val="0.87281418562837121"/>
        </c:manualLayout>
      </c:layout>
      <c:pieChart>
        <c:varyColors val="1"/>
        <c:ser>
          <c:idx val="0"/>
          <c:order val="0"/>
          <c:spPr>
            <a:solidFill>
              <a:schemeClr val="bg1">
                <a:lumMod val="65000"/>
              </a:schemeClr>
            </a:solidFill>
          </c:spPr>
          <c:dPt>
            <c:idx val="0"/>
            <c:bubble3D val="0"/>
            <c:spPr>
              <a:solidFill>
                <a:schemeClr val="accent1">
                  <a:lumMod val="60000"/>
                  <a:lumOff val="4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8B6-440B-B5DE-7BCED1471ED3}"/>
              </c:ext>
            </c:extLst>
          </c:dPt>
          <c:dPt>
            <c:idx val="1"/>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8B6-440B-B5DE-7BCED1471ED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'katalog_TW i CW'!$B$3:$B$4</c:f>
              <c:strCache>
                <c:ptCount val="2"/>
                <c:pt idx="0">
                  <c:v>działania podstawowe</c:v>
                </c:pt>
                <c:pt idx="1">
                  <c:v>działania uzupełniające</c:v>
                </c:pt>
              </c:strCache>
            </c:strRef>
          </c:cat>
          <c:val>
            <c:numRef>
              <c:f>'katalog_TW i CW'!$C$3:$C$4</c:f>
              <c:numCache>
                <c:formatCode>0%</c:formatCode>
                <c:ptCount val="2"/>
                <c:pt idx="0">
                  <c:v>0.25</c:v>
                </c:pt>
                <c:pt idx="1">
                  <c:v>0.75</c:v>
                </c:pt>
              </c:numCache>
            </c:numRef>
          </c:val>
          <c:extLst>
            <c:ext xmlns:c16="http://schemas.microsoft.com/office/drawing/2014/chart" uri="{C3380CC4-5D6E-409C-BE32-E72D297353CC}">
              <c16:uniqueId val="{00000004-B8B6-440B-B5DE-7BCED1471ED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31859C"/>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5F8-4CAA-A09F-B04F1180CB21}"/>
              </c:ext>
            </c:extLst>
          </c:dPt>
          <c:dPt>
            <c:idx val="1"/>
            <c:bubble3D val="0"/>
            <c:spPr>
              <a:solidFill>
                <a:srgbClr val="93CDD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5F8-4CAA-A09F-B04F1180CB21}"/>
              </c:ext>
            </c:extLst>
          </c:dPt>
          <c:dPt>
            <c:idx val="2"/>
            <c:bubble3D val="0"/>
            <c:spPr>
              <a:solidFill>
                <a:srgbClr val="DBEEF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5F8-4CAA-A09F-B04F1180CB2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'katalog_TW i CW'!$B$40:$B$42</c:f>
              <c:strCache>
                <c:ptCount val="3"/>
                <c:pt idx="0">
                  <c:v>presje skumulowane wód</c:v>
                </c:pt>
                <c:pt idx="1">
                  <c:v>presje chemiczne i fizykochemiczne</c:v>
                </c:pt>
                <c:pt idx="2">
                  <c:v>presje hydromofologiczne</c:v>
                </c:pt>
              </c:strCache>
            </c:strRef>
          </c:cat>
          <c:val>
            <c:numRef>
              <c:f>'katalog_TW i CW'!$C$40:$C$42</c:f>
              <c:numCache>
                <c:formatCode>General</c:formatCode>
                <c:ptCount val="3"/>
                <c:pt idx="0">
                  <c:v>3</c:v>
                </c:pt>
                <c:pt idx="1">
                  <c:v>6</c:v>
                </c:pt>
                <c:pt idx="2">
                  <c:v>3</c:v>
                </c:pt>
              </c:numCache>
            </c:numRef>
          </c:val>
          <c:extLst>
            <c:ext xmlns:c16="http://schemas.microsoft.com/office/drawing/2014/chart" uri="{C3380CC4-5D6E-409C-BE32-E72D297353CC}">
              <c16:uniqueId val="{00000006-05F8-4CAA-A09F-B04F1180CB21}"/>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5617507792416729"/>
          <c:y val="0.29019478663957327"/>
          <c:w val="0.32618564528618105"/>
          <c:h val="0.5052959105918212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752777777777778E-2"/>
          <c:y val="5.0925925925925923E-2"/>
          <c:w val="0.60629177602799655"/>
          <c:h val="0.83309419655876349"/>
        </c:manualLayout>
      </c:layout>
      <c:barChart>
        <c:barDir val="bar"/>
        <c:grouping val="stacked"/>
        <c:varyColors val="0"/>
        <c:ser>
          <c:idx val="0"/>
          <c:order val="0"/>
          <c:spPr>
            <a:solidFill>
              <a:schemeClr val="tx2">
                <a:lumMod val="40000"/>
                <a:lumOff val="60000"/>
              </a:schemeClr>
            </a:solidFill>
            <a:effectLst>
              <a:outerShdw blurRad="63500" sx="102000" sy="102000" algn="ctr" rotWithShape="0">
                <a:prstClr val="black">
                  <a:alpha val="40000"/>
                </a:prstClr>
              </a:outerShdw>
            </a:effectLst>
          </c:spPr>
          <c:invertIfNegative val="0"/>
          <c:dPt>
            <c:idx val="0"/>
            <c:invertIfNegative val="0"/>
            <c:bubble3D val="0"/>
            <c:spPr>
              <a:solidFill>
                <a:schemeClr val="tx2">
                  <a:lumMod val="60000"/>
                  <a:lumOff val="40000"/>
                </a:schemeClr>
              </a:solidFill>
              <a:effectLst>
                <a:outerShdw blurRad="63500" sx="102000" sy="102000" algn="ctr" rotWithShape="0">
                  <a:prstClr val="black">
                    <a:alpha val="40000"/>
                  </a:prstClr>
                </a:outerShdw>
              </a:effectLst>
            </c:spPr>
            <c:extLst>
              <c:ext xmlns:c16="http://schemas.microsoft.com/office/drawing/2014/chart" uri="{C3380CC4-5D6E-409C-BE32-E72D297353CC}">
                <c16:uniqueId val="{00000001-1DCC-4612-95D8-802FB1EB9CDB}"/>
              </c:ext>
            </c:extLst>
          </c:dPt>
          <c:dPt>
            <c:idx val="1"/>
            <c:invertIfNegative val="0"/>
            <c:bubble3D val="0"/>
            <c:spPr>
              <a:solidFill>
                <a:schemeClr val="accent6">
                  <a:lumMod val="75000"/>
                </a:schemeClr>
              </a:solidFill>
              <a:effectLst>
                <a:outerShdw blurRad="63500" sx="102000" sy="102000" algn="ctr" rotWithShape="0">
                  <a:prstClr val="black">
                    <a:alpha val="40000"/>
                  </a:prstClr>
                </a:outerShdw>
              </a:effectLst>
            </c:spPr>
            <c:extLst>
              <c:ext xmlns:c16="http://schemas.microsoft.com/office/drawing/2014/chart" uri="{C3380CC4-5D6E-409C-BE32-E72D297353CC}">
                <c16:uniqueId val="{00000003-1DCC-4612-95D8-802FB1EB9CDB}"/>
              </c:ext>
            </c:extLst>
          </c:dPt>
          <c:dPt>
            <c:idx val="2"/>
            <c:invertIfNegative val="0"/>
            <c:bubble3D val="0"/>
            <c:spPr>
              <a:solidFill>
                <a:schemeClr val="bg1">
                  <a:lumMod val="75000"/>
                </a:schemeClr>
              </a:solidFill>
              <a:effectLst>
                <a:outerShdw blurRad="63500" sx="102000" sy="102000" algn="ctr" rotWithShape="0">
                  <a:prstClr val="black">
                    <a:alpha val="40000"/>
                  </a:prstClr>
                </a:outerShdw>
              </a:effectLst>
            </c:spPr>
            <c:extLst>
              <c:ext xmlns:c16="http://schemas.microsoft.com/office/drawing/2014/chart" uri="{C3380CC4-5D6E-409C-BE32-E72D297353CC}">
                <c16:uniqueId val="{00000005-1DCC-4612-95D8-802FB1EB9CDB}"/>
              </c:ext>
            </c:extLst>
          </c:dPt>
          <c:dPt>
            <c:idx val="3"/>
            <c:invertIfNegative val="0"/>
            <c:bubble3D val="0"/>
            <c:spPr>
              <a:solidFill>
                <a:srgbClr val="FFC000"/>
              </a:solidFill>
              <a:effectLst>
                <a:outerShdw blurRad="63500" sx="102000" sy="102000" algn="ctr" rotWithShape="0">
                  <a:prstClr val="black">
                    <a:alpha val="40000"/>
                  </a:prstClr>
                </a:outerShdw>
              </a:effectLst>
            </c:spPr>
            <c:extLst>
              <c:ext xmlns:c16="http://schemas.microsoft.com/office/drawing/2014/chart" uri="{C3380CC4-5D6E-409C-BE32-E72D297353CC}">
                <c16:uniqueId val="{00000007-1DCC-4612-95D8-802FB1EB9CDB}"/>
              </c:ext>
            </c:extLst>
          </c:dPt>
          <c:dLbls>
            <c:dLbl>
              <c:idx val="0"/>
              <c:layout>
                <c:manualLayout>
                  <c:x val="0.30361127946190541"/>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DCC-4612-95D8-802FB1EB9CDB}"/>
                </c:ext>
              </c:extLst>
            </c:dLbl>
            <c:dLbl>
              <c:idx val="1"/>
              <c:layout>
                <c:manualLayout>
                  <c:x val="0.1861111111111111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DCC-4612-95D8-802FB1EB9CDB}"/>
                </c:ext>
              </c:extLst>
            </c:dLbl>
            <c:dLbl>
              <c:idx val="2"/>
              <c:layout>
                <c:manualLayout>
                  <c:x val="0.125"/>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DCC-4612-95D8-802FB1EB9CDB}"/>
                </c:ext>
              </c:extLst>
            </c:dLbl>
            <c:dLbl>
              <c:idx val="3"/>
              <c:layout>
                <c:manualLayout>
                  <c:x val="5.8333333333333348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DCC-4612-95D8-802FB1EB9CDB}"/>
                </c:ext>
              </c:extLst>
            </c:dLbl>
            <c:dLbl>
              <c:idx val="4"/>
              <c:layout>
                <c:manualLayout>
                  <c:x val="0.29166666666666669"/>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DCC-4612-95D8-802FB1EB9CDB}"/>
                </c:ext>
              </c:extLst>
            </c:dLbl>
            <c:spPr>
              <a:solidFill>
                <a:schemeClr val="tx1"/>
              </a:solidFill>
              <a:effectLst>
                <a:outerShdw blurRad="50800" dist="38100" dir="2700000" algn="tl" rotWithShape="0">
                  <a:prstClr val="black">
                    <a:alpha val="40000"/>
                  </a:prstClr>
                </a:outerShdw>
              </a:effectLst>
            </c:spPr>
            <c:txPr>
              <a:bodyPr/>
              <a:lstStyle/>
              <a:p>
                <a:pPr>
                  <a:defRPr sz="1100" b="1">
                    <a:solidFill>
                      <a:schemeClr val="bg1"/>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jcwpd_VER01.xlsx]katalog działań'!$B$2:$B$6</c:f>
              <c:strCache>
                <c:ptCount val="5"/>
                <c:pt idx="0">
                  <c:v>gospodarka komunalna</c:v>
                </c:pt>
                <c:pt idx="1">
                  <c:v>przemysł</c:v>
                </c:pt>
                <c:pt idx="2">
                  <c:v>rolnictwo</c:v>
                </c:pt>
                <c:pt idx="3">
                  <c:v>leśnictwo</c:v>
                </c:pt>
                <c:pt idx="4">
                  <c:v>inne</c:v>
                </c:pt>
              </c:strCache>
            </c:strRef>
          </c:cat>
          <c:val>
            <c:numRef>
              <c:f>'[wykresy jcwpd_VER01.xlsx]katalog działań'!$D$2:$D$6</c:f>
              <c:numCache>
                <c:formatCode>0%</c:formatCode>
                <c:ptCount val="5"/>
                <c:pt idx="0">
                  <c:v>0.35135135135135137</c:v>
                </c:pt>
                <c:pt idx="1">
                  <c:v>0.1891891891891892</c:v>
                </c:pt>
                <c:pt idx="2">
                  <c:v>0.10810810810810811</c:v>
                </c:pt>
                <c:pt idx="3">
                  <c:v>2.7027027027027029E-2</c:v>
                </c:pt>
                <c:pt idx="4">
                  <c:v>0.32432432432432434</c:v>
                </c:pt>
              </c:numCache>
            </c:numRef>
          </c:val>
          <c:extLst>
            <c:ext xmlns:c16="http://schemas.microsoft.com/office/drawing/2014/chart" uri="{C3380CC4-5D6E-409C-BE32-E72D297353CC}">
              <c16:uniqueId val="{00000009-1DCC-4612-95D8-802FB1EB9CDB}"/>
            </c:ext>
          </c:extLst>
        </c:ser>
        <c:dLbls>
          <c:showLegendKey val="0"/>
          <c:showVal val="1"/>
          <c:showCatName val="0"/>
          <c:showSerName val="0"/>
          <c:showPercent val="0"/>
          <c:showBubbleSize val="0"/>
        </c:dLbls>
        <c:gapWidth val="0"/>
        <c:overlap val="100"/>
        <c:axId val="259061248"/>
        <c:axId val="260412544"/>
      </c:barChart>
      <c:catAx>
        <c:axId val="259061248"/>
        <c:scaling>
          <c:orientation val="minMax"/>
        </c:scaling>
        <c:delete val="1"/>
        <c:axPos val="l"/>
        <c:numFmt formatCode="General" sourceLinked="0"/>
        <c:majorTickMark val="out"/>
        <c:minorTickMark val="none"/>
        <c:tickLblPos val="nextTo"/>
        <c:crossAx val="260412544"/>
        <c:crossesAt val="0"/>
        <c:auto val="1"/>
        <c:lblAlgn val="ctr"/>
        <c:lblOffset val="100"/>
        <c:noMultiLvlLbl val="0"/>
      </c:catAx>
      <c:valAx>
        <c:axId val="260412544"/>
        <c:scaling>
          <c:orientation val="minMax"/>
        </c:scaling>
        <c:delete val="0"/>
        <c:axPos val="b"/>
        <c:majorGridlines/>
        <c:numFmt formatCode="0%" sourceLinked="0"/>
        <c:majorTickMark val="out"/>
        <c:minorTickMark val="none"/>
        <c:tickLblPos val="nextTo"/>
        <c:crossAx val="259061248"/>
        <c:crosses val="autoZero"/>
        <c:crossBetween val="between"/>
      </c:valAx>
    </c:plotArea>
    <c:legend>
      <c:legendPos val="r"/>
      <c:overlay val="0"/>
    </c:legend>
    <c:plotVisOnly val="1"/>
    <c:dispBlanksAs val="gap"/>
    <c:showDLblsOverMax val="0"/>
  </c:chart>
  <c:spPr>
    <a:ln w="12700">
      <a:solidFill>
        <a:schemeClr val="bg1">
          <a:lumMod val="95000"/>
        </a:schemeClr>
      </a:solidFill>
    </a:ln>
  </c:spPr>
  <c:externalData r:id="rId2">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9"/>
    </mc:Choice>
    <mc:Fallback>
      <c:style val="9"/>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82353307498474"/>
          <c:y val="0.16145219347581555"/>
          <c:w val="0.462294934087224"/>
          <c:h val="0.75709973753280835"/>
        </c:manualLayout>
      </c:layout>
      <c:pieChart>
        <c:varyColors val="1"/>
        <c:ser>
          <c:idx val="0"/>
          <c:order val="0"/>
          <c:spPr>
            <a:solidFill>
              <a:schemeClr val="accent1">
                <a:lumMod val="75000"/>
              </a:schemeClr>
            </a:solidFill>
            <a:ln>
              <a:noFill/>
            </a:ln>
            <a:effectLst>
              <a:glow>
                <a:schemeClr val="bg1"/>
              </a:glow>
              <a:softEdge rad="0"/>
            </a:effectLst>
          </c:spPr>
          <c:dPt>
            <c:idx val="0"/>
            <c:bubble3D val="0"/>
            <c:spPr>
              <a:solidFill>
                <a:srgbClr val="4472C4">
                  <a:lumMod val="60000"/>
                  <a:lumOff val="40000"/>
                </a:srgbClr>
              </a:solidFill>
              <a:ln>
                <a:noFill/>
              </a:ln>
              <a:effectLst>
                <a:glow>
                  <a:schemeClr val="bg1"/>
                </a:glow>
                <a:softEdge rad="0"/>
              </a:effectLst>
            </c:spPr>
            <c:extLst>
              <c:ext xmlns:c16="http://schemas.microsoft.com/office/drawing/2014/chart" uri="{C3380CC4-5D6E-409C-BE32-E72D297353CC}">
                <c16:uniqueId val="{00000001-D33B-4F2E-858C-DEAC5375E2FC}"/>
              </c:ext>
            </c:extLst>
          </c:dPt>
          <c:dPt>
            <c:idx val="1"/>
            <c:bubble3D val="0"/>
            <c:spPr>
              <a:solidFill>
                <a:schemeClr val="accent1">
                  <a:lumMod val="75000"/>
                </a:schemeClr>
              </a:solidFill>
              <a:ln w="12700">
                <a:noFill/>
              </a:ln>
              <a:effectLst>
                <a:glow>
                  <a:schemeClr val="bg1"/>
                </a:glow>
                <a:softEdge rad="0"/>
              </a:effectLst>
            </c:spPr>
            <c:extLst>
              <c:ext xmlns:c16="http://schemas.microsoft.com/office/drawing/2014/chart" uri="{C3380CC4-5D6E-409C-BE32-E72D297353CC}">
                <c16:uniqueId val="{00000003-D33B-4F2E-858C-DEAC5375E2FC}"/>
              </c:ext>
            </c:extLst>
          </c:dPt>
          <c:dLbls>
            <c:dLbl>
              <c:idx val="0"/>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33B-4F2E-858C-DEAC5375E2FC}"/>
                </c:ext>
              </c:extLst>
            </c:dLbl>
            <c:dLbl>
              <c:idx val="1"/>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33B-4F2E-858C-DEAC5375E2FC}"/>
                </c:ext>
              </c:extLst>
            </c:dLbl>
            <c:spPr>
              <a:solidFill>
                <a:schemeClr val="tx1">
                  <a:lumMod val="65000"/>
                  <a:lumOff val="35000"/>
                </a:schemeClr>
              </a:solidFill>
              <a:effectLst>
                <a:outerShdw blurRad="50800" dist="38100" dir="2700000" algn="tl" rotWithShape="0">
                  <a:prstClr val="black">
                    <a:alpha val="40000"/>
                  </a:prstClr>
                </a:outerShdw>
              </a:effectLst>
            </c:spPr>
            <c:txPr>
              <a:bodyPr/>
              <a:lstStyle/>
              <a:p>
                <a:pPr>
                  <a:defRPr b="1">
                    <a:solidFill>
                      <a:schemeClr val="bg1"/>
                    </a:solidFill>
                  </a:defRPr>
                </a:pPr>
                <a:endParaRPr lang="pl-PL"/>
              </a:p>
            </c:txPr>
            <c:dLblPos val="ctr"/>
            <c:showLegendKey val="0"/>
            <c:showVal val="0"/>
            <c:showCatName val="0"/>
            <c:showSerName val="0"/>
            <c:showPercent val="0"/>
            <c:showBubbleSize val="0"/>
            <c:extLst>
              <c:ext xmlns:c15="http://schemas.microsoft.com/office/drawing/2012/chart" uri="{CE6537A1-D6FC-4f65-9D91-7224C49458BB}"/>
            </c:extLst>
          </c:dLbls>
          <c:cat>
            <c:strRef>
              <c:f>'[wykresy jcwpd_VER01.xlsx]katalog działań'!$M$3:$M$4</c:f>
              <c:strCache>
                <c:ptCount val="2"/>
                <c:pt idx="0">
                  <c:v>działania podstawowe</c:v>
                </c:pt>
                <c:pt idx="1">
                  <c:v>działania uzupełniające</c:v>
                </c:pt>
              </c:strCache>
            </c:strRef>
          </c:cat>
          <c:val>
            <c:numRef>
              <c:f>'[wykresy jcwpd_VER01.xlsx]katalog działań'!$O$3:$O$4</c:f>
              <c:numCache>
                <c:formatCode>0%</c:formatCode>
                <c:ptCount val="2"/>
                <c:pt idx="0">
                  <c:v>0.24324324324324326</c:v>
                </c:pt>
                <c:pt idx="1">
                  <c:v>0.7567567567567568</c:v>
                </c:pt>
              </c:numCache>
            </c:numRef>
          </c:val>
          <c:extLst>
            <c:ext xmlns:c16="http://schemas.microsoft.com/office/drawing/2014/chart" uri="{C3380CC4-5D6E-409C-BE32-E72D297353CC}">
              <c16:uniqueId val="{00000004-D33B-4F2E-858C-DEAC5375E2FC}"/>
            </c:ext>
          </c:extLst>
        </c:ser>
        <c:dLbls>
          <c:dLblPos val="ctr"/>
          <c:showLegendKey val="0"/>
          <c:showVal val="1"/>
          <c:showCatName val="0"/>
          <c:showSerName val="0"/>
          <c:showPercent val="0"/>
          <c:showBubbleSize val="0"/>
          <c:showLeaderLines val="1"/>
        </c:dLbls>
        <c:firstSliceAng val="0"/>
      </c:pieChart>
    </c:plotArea>
    <c:legend>
      <c:legendPos val="r"/>
      <c:overlay val="0"/>
      <c:txPr>
        <a:bodyPr/>
        <a:lstStyle/>
        <a:p>
          <a:pPr>
            <a:defRPr>
              <a:solidFill>
                <a:schemeClr val="tx1">
                  <a:lumMod val="65000"/>
                  <a:lumOff val="35000"/>
                </a:schemeClr>
              </a:solidFill>
            </a:defRPr>
          </a:pPr>
          <a:endParaRPr lang="pl-PL"/>
        </a:p>
      </c:txPr>
    </c:legend>
    <c:plotVisOnly val="1"/>
    <c:dispBlanksAs val="gap"/>
    <c:showDLblsOverMax val="0"/>
  </c:chart>
  <c:spPr>
    <a:ln w="12700" cmpd="sng">
      <a:solidFill>
        <a:schemeClr val="bg1">
          <a:lumMod val="85000"/>
        </a:schemeClr>
      </a:solidFill>
    </a:ln>
  </c:spPr>
  <c:externalData r:id="rId2">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8548535091650131E-2"/>
          <c:y val="7.6895728836347974E-2"/>
          <c:w val="0.51768688888888892"/>
          <c:h val="0.86281148148148146"/>
        </c:manualLayout>
      </c:layout>
      <c:pieChart>
        <c:varyColors val="1"/>
        <c:ser>
          <c:idx val="0"/>
          <c:order val="0"/>
          <c:dLbls>
            <c:dLbl>
              <c:idx val="0"/>
              <c:layout>
                <c:manualLayout>
                  <c:x val="-6.1550761334518672E-2"/>
                  <c:y val="0.2091409447919137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885-49B2-9677-05B9745580DD}"/>
                </c:ext>
              </c:extLst>
            </c:dLbl>
            <c:dLbl>
              <c:idx val="1"/>
              <c:layout>
                <c:manualLayout>
                  <c:x val="-0.12745123140207512"/>
                  <c:y val="8.280815933114667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885-49B2-9677-05B9745580DD}"/>
                </c:ext>
              </c:extLst>
            </c:dLbl>
            <c:dLbl>
              <c:idx val="2"/>
              <c:layout>
                <c:manualLayout>
                  <c:x val="-8.8355619477948982E-2"/>
                  <c:y val="-0.1781131296434961"/>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885-49B2-9677-05B9745580DD}"/>
                </c:ext>
              </c:extLst>
            </c:dLbl>
            <c:dLbl>
              <c:idx val="3"/>
              <c:layout>
                <c:manualLayout>
                  <c:x val="4.914187105236064E-2"/>
                  <c:y val="-0.14439939343318448"/>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885-49B2-9677-05B9745580DD}"/>
                </c:ext>
              </c:extLst>
            </c:dLbl>
            <c:dLbl>
              <c:idx val="4"/>
              <c:layout>
                <c:manualLayout>
                  <c:x val="4.918506735180575E-2"/>
                  <c:y val="-0.1270995308733268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885-49B2-9677-05B9745580DD}"/>
                </c:ext>
              </c:extLst>
            </c:dLbl>
            <c:dLbl>
              <c:idx val="5"/>
              <c:layout>
                <c:manualLayout>
                  <c:x val="0.14169005666862208"/>
                  <c:y val="8.2808159331146672E-2"/>
                </c:manualLayout>
              </c:layout>
              <c:tx>
                <c:rich>
                  <a:bodyPr/>
                  <a:lstStyle/>
                  <a:p>
                    <a:r>
                      <a:rPr lang="en-US"/>
                      <a:t>40%</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885-49B2-9677-05B9745580DD}"/>
                </c:ext>
              </c:extLst>
            </c:dLbl>
            <c:spPr>
              <a:solidFill>
                <a:schemeClr val="tx1">
                  <a:lumMod val="65000"/>
                  <a:lumOff val="35000"/>
                </a:schemeClr>
              </a:solidFill>
              <a:effectLst>
                <a:outerShdw blurRad="50800" dist="38100" dir="2700000" algn="tl" rotWithShape="0">
                  <a:prstClr val="black">
                    <a:alpha val="40000"/>
                  </a:prstClr>
                </a:outerShdw>
              </a:effectLst>
            </c:spPr>
            <c:txPr>
              <a:bodyPr/>
              <a:lstStyle/>
              <a:p>
                <a:pPr>
                  <a:defRPr b="1">
                    <a:solidFill>
                      <a:schemeClr val="bg1"/>
                    </a:solidFill>
                  </a:defRPr>
                </a:pPr>
                <a:endParaRPr lang="pl-PL"/>
              </a:p>
            </c:tx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'katalog działań'!$B$32:$B$37</c:f>
              <c:strCache>
                <c:ptCount val="6"/>
                <c:pt idx="0">
                  <c:v>organizacyjno-prawne</c:v>
                </c:pt>
                <c:pt idx="1">
                  <c:v>monitoring środowiska</c:v>
                </c:pt>
                <c:pt idx="2">
                  <c:v>administracyjne</c:v>
                </c:pt>
                <c:pt idx="3">
                  <c:v>edukacyjne</c:v>
                </c:pt>
                <c:pt idx="4">
                  <c:v>naukowo-badawcze</c:v>
                </c:pt>
                <c:pt idx="5">
                  <c:v>pozostałe</c:v>
                </c:pt>
              </c:strCache>
            </c:strRef>
          </c:cat>
          <c:val>
            <c:numRef>
              <c:f>'katalog działań'!$D$32:$D$37</c:f>
              <c:numCache>
                <c:formatCode>0%</c:formatCode>
                <c:ptCount val="6"/>
                <c:pt idx="0">
                  <c:v>0.10810810810810811</c:v>
                </c:pt>
                <c:pt idx="1">
                  <c:v>0.1891891891891892</c:v>
                </c:pt>
                <c:pt idx="2">
                  <c:v>0.21621621621621623</c:v>
                </c:pt>
                <c:pt idx="3">
                  <c:v>5.4054054054054057E-2</c:v>
                </c:pt>
                <c:pt idx="4">
                  <c:v>2.7027027027027029E-2</c:v>
                </c:pt>
                <c:pt idx="5">
                  <c:v>0.40540540540540543</c:v>
                </c:pt>
              </c:numCache>
            </c:numRef>
          </c:val>
          <c:extLst>
            <c:ext xmlns:c16="http://schemas.microsoft.com/office/drawing/2014/chart" uri="{C3380CC4-5D6E-409C-BE32-E72D297353CC}">
              <c16:uniqueId val="{00000006-1885-49B2-9677-05B9745580DD}"/>
            </c:ext>
          </c:extLst>
        </c:ser>
        <c:dLbls>
          <c:dLblPos val="inEnd"/>
          <c:showLegendKey val="0"/>
          <c:showVal val="1"/>
          <c:showCatName val="0"/>
          <c:showSerName val="0"/>
          <c:showPercent val="0"/>
          <c:showBubbleSize val="0"/>
          <c:showLeaderLines val="1"/>
        </c:dLbls>
        <c:firstSliceAng val="0"/>
      </c:pieChart>
    </c:plotArea>
    <c:legend>
      <c:legendPos val="r"/>
      <c:layout>
        <c:manualLayout>
          <c:xMode val="edge"/>
          <c:yMode val="edge"/>
          <c:x val="0.65939488888888886"/>
          <c:y val="0.33499851851851858"/>
          <c:w val="0.30106444794575771"/>
          <c:h val="0.35729143491904458"/>
        </c:manualLayout>
      </c:layout>
      <c:overlay val="0"/>
    </c:legend>
    <c:plotVisOnly val="1"/>
    <c:dispBlanksAs val="gap"/>
    <c:showDLblsOverMax val="0"/>
  </c:chart>
  <c:spPr>
    <a:ln w="12700">
      <a:solidFill>
        <a:schemeClr val="bg1">
          <a:lumMod val="85000"/>
        </a:schemeClr>
      </a:solidFill>
    </a:ln>
  </c:spPr>
  <c:externalData r:id="rId2">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8029026211124135E-2"/>
          <c:y val="4.1033439560759111E-2"/>
          <c:w val="0.5446180639312036"/>
          <c:h val="0.89969603662925557"/>
        </c:manualLayout>
      </c:layout>
      <c:pieChart>
        <c:varyColors val="1"/>
        <c:ser>
          <c:idx val="0"/>
          <c:order val="0"/>
          <c:dLbls>
            <c:spPr>
              <a:solidFill>
                <a:schemeClr val="tx1"/>
              </a:solidFill>
            </c:spPr>
            <c:txPr>
              <a:bodyPr/>
              <a:lstStyle/>
              <a:p>
                <a:pPr>
                  <a:defRPr b="1">
                    <a:solidFill>
                      <a:schemeClr val="bg1"/>
                    </a:solidFill>
                  </a:defRPr>
                </a:pPr>
                <a:endParaRPr lang="pl-PL"/>
              </a:p>
            </c:tx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'[wykresy jcwpd_VER01.xlsx]katalog działań'!$M$34:$M$38</c:f>
              <c:strCache>
                <c:ptCount val="5"/>
                <c:pt idx="0">
                  <c:v>Presje ilościowe</c:v>
                </c:pt>
                <c:pt idx="1">
                  <c:v>Presje chemiczne A (rolnictwo i gospodarka komunalna)</c:v>
                </c:pt>
                <c:pt idx="2">
                  <c:v>Presje chemiczne B (przemysł i urbanizacja)</c:v>
                </c:pt>
                <c:pt idx="3">
                  <c:v>Presje chemiczne i ilościowe</c:v>
                </c:pt>
                <c:pt idx="4">
                  <c:v>Presje chemiczne</c:v>
                </c:pt>
              </c:strCache>
            </c:strRef>
          </c:cat>
          <c:val>
            <c:numRef>
              <c:f>'[wykresy jcwpd_VER01.xlsx]katalog działań'!$O$34:$O$38</c:f>
              <c:numCache>
                <c:formatCode>0%</c:formatCode>
                <c:ptCount val="5"/>
                <c:pt idx="0">
                  <c:v>0.51351351351351349</c:v>
                </c:pt>
                <c:pt idx="1">
                  <c:v>8.1081081081081086E-2</c:v>
                </c:pt>
                <c:pt idx="2">
                  <c:v>0.10810810810810811</c:v>
                </c:pt>
                <c:pt idx="3">
                  <c:v>0.13513513513513514</c:v>
                </c:pt>
                <c:pt idx="4">
                  <c:v>0.16216216216216217</c:v>
                </c:pt>
              </c:numCache>
            </c:numRef>
          </c:val>
          <c:extLst>
            <c:ext xmlns:c16="http://schemas.microsoft.com/office/drawing/2014/chart" uri="{C3380CC4-5D6E-409C-BE32-E72D297353CC}">
              <c16:uniqueId val="{00000000-096F-4260-B948-01E7438944C0}"/>
            </c:ext>
          </c:extLst>
        </c:ser>
        <c:dLbls>
          <c:dLblPos val="ctr"/>
          <c:showLegendKey val="0"/>
          <c:showVal val="1"/>
          <c:showCatName val="0"/>
          <c:showSerName val="0"/>
          <c:showPercent val="0"/>
          <c:showBubbleSize val="0"/>
          <c:showLeaderLines val="1"/>
        </c:dLbls>
        <c:firstSliceAng val="0"/>
      </c:pieChart>
    </c:plotArea>
    <c:legend>
      <c:legendPos val="r"/>
      <c:layout>
        <c:manualLayout>
          <c:xMode val="edge"/>
          <c:yMode val="edge"/>
          <c:x val="0.66615676409342717"/>
          <c:y val="8.344826381543323E-2"/>
          <c:w val="0.31699876650735898"/>
          <c:h val="0.87254109258033652"/>
        </c:manualLayout>
      </c:layout>
      <c:overlay val="0"/>
      <c:txPr>
        <a:bodyPr/>
        <a:lstStyle/>
        <a:p>
          <a:pPr rtl="0">
            <a:defRPr/>
          </a:pPr>
          <a:endParaRPr lang="pl-PL"/>
        </a:p>
      </c:txPr>
    </c:legend>
    <c:plotVisOnly val="1"/>
    <c:dispBlanksAs val="gap"/>
    <c:showDLblsOverMax val="0"/>
  </c:chart>
  <c:spPr>
    <a:ln w="12700">
      <a:solidFill>
        <a:schemeClr val="bg1">
          <a:lumMod val="85000"/>
        </a:schemeClr>
      </a:solidFill>
    </a:ln>
  </c:spPr>
  <c:externalData r:id="rId2">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[ZestawieniaTabelaryczne_Odra.xlsx]RW!$F$4</c:f>
              <c:strCache>
                <c:ptCount val="1"/>
                <c:pt idx="0">
                  <c:v>% jcwp z zestawem działań</c:v>
                </c:pt>
              </c:strCache>
            </c:strRef>
          </c:tx>
          <c:spPr>
            <a:solidFill>
              <a:schemeClr val="accent3"/>
            </a:solidFill>
            <a:ln w="1270">
              <a:noFill/>
            </a:ln>
            <a:effectLst/>
          </c:spPr>
          <c:invertIfNegative val="0"/>
          <c:cat>
            <c:strRef>
              <c:f>[ZestawieniaTabelaryczne_Odra.xlsx]RW!$B$6:$B$10</c:f>
              <c:strCache>
                <c:ptCount val="5"/>
                <c:pt idx="0">
                  <c:v>Region wodny Górnej Odry</c:v>
                </c:pt>
                <c:pt idx="1">
                  <c:v>Region wodny Środkowej Odry</c:v>
                </c:pt>
                <c:pt idx="2">
                  <c:v>Region wodny Dolnej Odry i Przymorza Zachodniego</c:v>
                </c:pt>
                <c:pt idx="3">
                  <c:v>Region wodny Warty</c:v>
                </c:pt>
                <c:pt idx="4">
                  <c:v>Region wodny Noteci</c:v>
                </c:pt>
              </c:strCache>
            </c:strRef>
          </c:cat>
          <c:val>
            <c:numRef>
              <c:f>[ZestawieniaTabelaryczne_Odra.xlsx]RW!$F$6:$F$10</c:f>
              <c:numCache>
                <c:formatCode>0.00%</c:formatCode>
                <c:ptCount val="5"/>
                <c:pt idx="0">
                  <c:v>0.82399999999999995</c:v>
                </c:pt>
                <c:pt idx="1">
                  <c:v>0.82499999999999996</c:v>
                </c:pt>
                <c:pt idx="2">
                  <c:v>0.95599999999999996</c:v>
                </c:pt>
                <c:pt idx="3">
                  <c:v>0.92800000000000005</c:v>
                </c:pt>
                <c:pt idx="4">
                  <c:v>0.91100000000000003</c:v>
                </c:pt>
              </c:numCache>
            </c:numRef>
          </c:val>
          <c:extLst>
            <c:ext xmlns:c16="http://schemas.microsoft.com/office/drawing/2014/chart" uri="{C3380CC4-5D6E-409C-BE32-E72D297353CC}">
              <c16:uniqueId val="{00000000-0594-472F-805C-799104ACC955}"/>
            </c:ext>
          </c:extLst>
        </c:ser>
        <c:ser>
          <c:idx val="1"/>
          <c:order val="1"/>
          <c:tx>
            <c:strRef>
              <c:f>[ZestawieniaTabelaryczne_Odra.xlsx]RW!$G$4</c:f>
              <c:strCache>
                <c:ptCount val="1"/>
                <c:pt idx="0">
                  <c:v>% jcwp bez zestawu działań (realizacja działań krajowych)</c:v>
                </c:pt>
              </c:strCache>
            </c:strRef>
          </c:tx>
          <c:spPr>
            <a:solidFill>
              <a:schemeClr val="accent6"/>
            </a:solidFill>
            <a:ln w="1270">
              <a:noFill/>
            </a:ln>
            <a:effectLst/>
          </c:spPr>
          <c:invertIfNegative val="0"/>
          <c:cat>
            <c:strRef>
              <c:f>[ZestawieniaTabelaryczne_Odra.xlsx]RW!$B$6:$B$10</c:f>
              <c:strCache>
                <c:ptCount val="5"/>
                <c:pt idx="0">
                  <c:v>Region wodny Górnej Odry</c:v>
                </c:pt>
                <c:pt idx="1">
                  <c:v>Region wodny Środkowej Odry</c:v>
                </c:pt>
                <c:pt idx="2">
                  <c:v>Region wodny Dolnej Odry i Przymorza Zachodniego</c:v>
                </c:pt>
                <c:pt idx="3">
                  <c:v>Region wodny Warty</c:v>
                </c:pt>
                <c:pt idx="4">
                  <c:v>Region wodny Noteci</c:v>
                </c:pt>
              </c:strCache>
            </c:strRef>
          </c:cat>
          <c:val>
            <c:numRef>
              <c:f>[ZestawieniaTabelaryczne_Odra.xlsx]RW!$G$6:$G$10</c:f>
              <c:numCache>
                <c:formatCode>0.00%</c:formatCode>
                <c:ptCount val="5"/>
                <c:pt idx="0">
                  <c:v>0.17600000000000005</c:v>
                </c:pt>
                <c:pt idx="1">
                  <c:v>0.17500000000000004</c:v>
                </c:pt>
                <c:pt idx="2">
                  <c:v>4.4000000000000039E-2</c:v>
                </c:pt>
                <c:pt idx="3">
                  <c:v>7.1999999999999953E-2</c:v>
                </c:pt>
                <c:pt idx="4">
                  <c:v>8.8999999999999968E-2</c:v>
                </c:pt>
              </c:numCache>
            </c:numRef>
          </c:val>
          <c:extLst>
            <c:ext xmlns:c16="http://schemas.microsoft.com/office/drawing/2014/chart" uri="{C3380CC4-5D6E-409C-BE32-E72D297353CC}">
              <c16:uniqueId val="{00000001-0594-472F-805C-799104ACC955}"/>
            </c:ext>
          </c:extLst>
        </c:ser>
        <c:dLbls>
          <c:showLegendKey val="0"/>
          <c:showVal val="0"/>
          <c:showCatName val="0"/>
          <c:showSerName val="0"/>
          <c:showPercent val="0"/>
          <c:showBubbleSize val="0"/>
        </c:dLbls>
        <c:gapWidth val="150"/>
        <c:overlap val="100"/>
        <c:axId val="1044447480"/>
        <c:axId val="1044451416"/>
      </c:barChart>
      <c:catAx>
        <c:axId val="1044447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044451416"/>
        <c:crosses val="autoZero"/>
        <c:auto val="1"/>
        <c:lblAlgn val="ctr"/>
        <c:lblOffset val="100"/>
        <c:noMultiLvlLbl val="0"/>
      </c:catAx>
      <c:valAx>
        <c:axId val="104445141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44447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ODRA!$B$29</c:f>
              <c:strCache>
                <c:ptCount val="1"/>
                <c:pt idx="0">
                  <c:v>podstawowe</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ODRA!$C$29:$E$29</c:f>
              <c:numCache>
                <c:formatCode>General</c:formatCode>
                <c:ptCount val="3"/>
                <c:pt idx="0">
                  <c:v>5850</c:v>
                </c:pt>
              </c:numCache>
            </c:numRef>
          </c:val>
          <c:extLst>
            <c:ext xmlns:c16="http://schemas.microsoft.com/office/drawing/2014/chart" uri="{C3380CC4-5D6E-409C-BE32-E72D297353CC}">
              <c16:uniqueId val="{00000000-BE69-4617-A4DD-3E4648E6258F}"/>
            </c:ext>
          </c:extLst>
        </c:ser>
        <c:ser>
          <c:idx val="1"/>
          <c:order val="1"/>
          <c:tx>
            <c:strRef>
              <c:f>ODRA!$B$30</c:f>
              <c:strCache>
                <c:ptCount val="1"/>
                <c:pt idx="0">
                  <c:v>uzupełniające</c:v>
                </c:pt>
              </c:strCache>
            </c:strRef>
          </c:tx>
          <c:spPr>
            <a:solidFill>
              <a:srgbClr val="558ED5"/>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ODRA!$C$30:$E$30</c:f>
              <c:numCache>
                <c:formatCode>General</c:formatCode>
                <c:ptCount val="3"/>
                <c:pt idx="0">
                  <c:v>1933</c:v>
                </c:pt>
              </c:numCache>
            </c:numRef>
          </c:val>
          <c:extLst>
            <c:ext xmlns:c16="http://schemas.microsoft.com/office/drawing/2014/chart" uri="{C3380CC4-5D6E-409C-BE32-E72D297353CC}">
              <c16:uniqueId val="{00000001-BE69-4617-A4DD-3E4648E6258F}"/>
            </c:ext>
          </c:extLst>
        </c:ser>
        <c:ser>
          <c:idx val="2"/>
          <c:order val="2"/>
          <c:tx>
            <c:strRef>
              <c:f>ODRA!$B$31</c:f>
              <c:strCache>
                <c:ptCount val="1"/>
                <c:pt idx="0">
                  <c:v>nietechniczne</c:v>
                </c:pt>
              </c:strCache>
            </c:strRef>
          </c:tx>
          <c:spPr>
            <a:solidFill>
              <a:srgbClr val="C3D69B"/>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ODRA!$C$31:$E$31</c:f>
              <c:numCache>
                <c:formatCode>General</c:formatCode>
                <c:ptCount val="3"/>
                <c:pt idx="1">
                  <c:v>2921</c:v>
                </c:pt>
              </c:numCache>
            </c:numRef>
          </c:val>
          <c:extLst>
            <c:ext xmlns:c16="http://schemas.microsoft.com/office/drawing/2014/chart" uri="{C3380CC4-5D6E-409C-BE32-E72D297353CC}">
              <c16:uniqueId val="{00000002-BE69-4617-A4DD-3E4648E6258F}"/>
            </c:ext>
          </c:extLst>
        </c:ser>
        <c:ser>
          <c:idx val="3"/>
          <c:order val="3"/>
          <c:tx>
            <c:strRef>
              <c:f>ODRA!$B$32</c:f>
              <c:strCache>
                <c:ptCount val="1"/>
                <c:pt idx="0">
                  <c:v>techniczne</c:v>
                </c:pt>
              </c:strCache>
            </c:strRef>
          </c:tx>
          <c:spPr>
            <a:solidFill>
              <a:srgbClr val="948A54"/>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ODRA!$C$32:$E$32</c:f>
              <c:numCache>
                <c:formatCode>General</c:formatCode>
                <c:ptCount val="3"/>
                <c:pt idx="1">
                  <c:v>1302</c:v>
                </c:pt>
              </c:numCache>
            </c:numRef>
          </c:val>
          <c:extLst>
            <c:ext xmlns:c16="http://schemas.microsoft.com/office/drawing/2014/chart" uri="{C3380CC4-5D6E-409C-BE32-E72D297353CC}">
              <c16:uniqueId val="{00000003-BE69-4617-A4DD-3E4648E6258F}"/>
            </c:ext>
          </c:extLst>
        </c:ser>
        <c:ser>
          <c:idx val="4"/>
          <c:order val="4"/>
          <c:tx>
            <c:strRef>
              <c:f>ODRA!$B$33</c:f>
              <c:strCache>
                <c:ptCount val="1"/>
                <c:pt idx="0">
                  <c:v>techniczne / nietechniczne</c:v>
                </c:pt>
              </c:strCache>
            </c:strRef>
          </c:tx>
          <c:spPr>
            <a:solidFill>
              <a:srgbClr val="DDD9C3"/>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ODRA!$C$33:$E$33</c:f>
              <c:numCache>
                <c:formatCode>General</c:formatCode>
                <c:ptCount val="3"/>
                <c:pt idx="1">
                  <c:v>3560</c:v>
                </c:pt>
              </c:numCache>
            </c:numRef>
          </c:val>
          <c:extLst>
            <c:ext xmlns:c16="http://schemas.microsoft.com/office/drawing/2014/chart" uri="{C3380CC4-5D6E-409C-BE32-E72D297353CC}">
              <c16:uniqueId val="{00000004-BE69-4617-A4DD-3E4648E6258F}"/>
            </c:ext>
          </c:extLst>
        </c:ser>
        <c:ser>
          <c:idx val="5"/>
          <c:order val="5"/>
          <c:tx>
            <c:strRef>
              <c:f>ODRA!$B$34</c:f>
              <c:strCache>
                <c:ptCount val="1"/>
                <c:pt idx="0">
                  <c:v>skumulowane</c:v>
                </c:pt>
              </c:strCache>
            </c:strRef>
          </c:tx>
          <c:spPr>
            <a:solidFill>
              <a:srgbClr val="31859C"/>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ODRA!$C$34:$E$34</c:f>
              <c:numCache>
                <c:formatCode>General</c:formatCode>
                <c:ptCount val="3"/>
                <c:pt idx="2" formatCode="0">
                  <c:v>3872</c:v>
                </c:pt>
              </c:numCache>
            </c:numRef>
          </c:val>
          <c:extLst>
            <c:ext xmlns:c16="http://schemas.microsoft.com/office/drawing/2014/chart" uri="{C3380CC4-5D6E-409C-BE32-E72D297353CC}">
              <c16:uniqueId val="{00000005-BE69-4617-A4DD-3E4648E6258F}"/>
            </c:ext>
          </c:extLst>
        </c:ser>
        <c:ser>
          <c:idx val="6"/>
          <c:order val="6"/>
          <c:tx>
            <c:strRef>
              <c:f>ODRA!$B$35</c:f>
              <c:strCache>
                <c:ptCount val="1"/>
                <c:pt idx="0">
                  <c:v>hydromorfologiczne</c:v>
                </c:pt>
              </c:strCache>
            </c:strRef>
          </c:tx>
          <c:spPr>
            <a:solidFill>
              <a:srgbClr val="93CDDD"/>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ODRA!$C$35:$E$35</c:f>
              <c:numCache>
                <c:formatCode>General</c:formatCode>
                <c:ptCount val="3"/>
                <c:pt idx="2" formatCode="0">
                  <c:v>1498</c:v>
                </c:pt>
              </c:numCache>
            </c:numRef>
          </c:val>
          <c:extLst>
            <c:ext xmlns:c16="http://schemas.microsoft.com/office/drawing/2014/chart" uri="{C3380CC4-5D6E-409C-BE32-E72D297353CC}">
              <c16:uniqueId val="{00000006-BE69-4617-A4DD-3E4648E6258F}"/>
            </c:ext>
          </c:extLst>
        </c:ser>
        <c:ser>
          <c:idx val="7"/>
          <c:order val="7"/>
          <c:tx>
            <c:strRef>
              <c:f>ODRA!$B$36</c:f>
              <c:strCache>
                <c:ptCount val="1"/>
                <c:pt idx="0">
                  <c:v>hydrologiczne</c:v>
                </c:pt>
              </c:strCache>
            </c:strRef>
          </c:tx>
          <c:spPr>
            <a:solidFill>
              <a:srgbClr val="C3D69B"/>
            </a:solidFill>
            <a:ln>
              <a:noFill/>
            </a:ln>
            <a:effectLst/>
          </c:spPr>
          <c:invertIfNegative val="0"/>
          <c:dLbls>
            <c:dLbl>
              <c:idx val="2"/>
              <c:layout>
                <c:manualLayout>
                  <c:x val="0"/>
                  <c:y val="0"/>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7-BE69-4617-A4DD-3E4648E6258F}"/>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ODRA!$C$36:$E$36</c:f>
              <c:numCache>
                <c:formatCode>General</c:formatCode>
                <c:ptCount val="3"/>
                <c:pt idx="2" formatCode="0">
                  <c:v>309</c:v>
                </c:pt>
              </c:numCache>
            </c:numRef>
          </c:val>
          <c:extLst>
            <c:ext xmlns:c16="http://schemas.microsoft.com/office/drawing/2014/chart" uri="{C3380CC4-5D6E-409C-BE32-E72D297353CC}">
              <c16:uniqueId val="{00000008-BE69-4617-A4DD-3E4648E6258F}"/>
            </c:ext>
          </c:extLst>
        </c:ser>
        <c:ser>
          <c:idx val="8"/>
          <c:order val="8"/>
          <c:tx>
            <c:strRef>
              <c:f>ODRA!$B$37</c:f>
              <c:strCache>
                <c:ptCount val="1"/>
                <c:pt idx="0">
                  <c:v>fizykochemiczne i chemiczne</c:v>
                </c:pt>
              </c:strCache>
            </c:strRef>
          </c:tx>
          <c:spPr>
            <a:solidFill>
              <a:srgbClr val="DBEEF4"/>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ODRA!$C$37:$E$37</c:f>
              <c:numCache>
                <c:formatCode>General</c:formatCode>
                <c:ptCount val="3"/>
                <c:pt idx="2" formatCode="0">
                  <c:v>2104</c:v>
                </c:pt>
              </c:numCache>
            </c:numRef>
          </c:val>
          <c:extLst>
            <c:ext xmlns:c16="http://schemas.microsoft.com/office/drawing/2014/chart" uri="{C3380CC4-5D6E-409C-BE32-E72D297353CC}">
              <c16:uniqueId val="{00000009-BE69-4617-A4DD-3E4648E6258F}"/>
            </c:ext>
          </c:extLst>
        </c:ser>
        <c:dLbls>
          <c:showLegendKey val="0"/>
          <c:showVal val="0"/>
          <c:showCatName val="0"/>
          <c:showSerName val="0"/>
          <c:showPercent val="0"/>
          <c:showBubbleSize val="0"/>
        </c:dLbls>
        <c:gapWidth val="150"/>
        <c:overlap val="100"/>
        <c:axId val="690133280"/>
        <c:axId val="690131312"/>
      </c:barChart>
      <c:catAx>
        <c:axId val="690133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690131312"/>
        <c:crosses val="autoZero"/>
        <c:auto val="1"/>
        <c:lblAlgn val="ctr"/>
        <c:lblOffset val="100"/>
        <c:noMultiLvlLbl val="0"/>
      </c:catAx>
      <c:valAx>
        <c:axId val="6901313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działań</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690133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sz="1800" b="1" i="0" u="none" strike="noStrike" kern="1200" baseline="0">
                <a:solidFill>
                  <a:sysClr val="windowText" lastClr="000000"/>
                </a:solidFill>
                <a:latin typeface="+mn-lt"/>
                <a:ea typeface="+mn-ea"/>
                <a:cs typeface="+mn-cs"/>
              </a:rPr>
              <a:t>JCWP</a:t>
            </a:r>
            <a:r>
              <a:rPr lang="pl-PL"/>
              <a:t> RW</a:t>
            </a:r>
          </a:p>
        </c:rich>
      </c:tx>
      <c:layout>
        <c:manualLayout>
          <c:xMode val="edge"/>
          <c:yMode val="edge"/>
          <c:x val="0.39233675456728756"/>
          <c:y val="0"/>
        </c:manualLayout>
      </c:layout>
      <c:overlay val="0"/>
    </c:title>
    <c:autoTitleDeleted val="0"/>
    <c:plotArea>
      <c:layout>
        <c:manualLayout>
          <c:layoutTarget val="inner"/>
          <c:xMode val="edge"/>
          <c:yMode val="edge"/>
          <c:x val="0.10848505848756766"/>
          <c:y val="0.15079385568607204"/>
          <c:w val="0.46183599584194618"/>
          <c:h val="0.79195920182108381"/>
        </c:manualLayout>
      </c:layout>
      <c:pieChart>
        <c:varyColors val="1"/>
        <c:ser>
          <c:idx val="0"/>
          <c:order val="0"/>
          <c:tx>
            <c:strRef>
              <c:f>Regiony_Wodne!$B$11:$B$28</c:f>
              <c:strCache>
                <c:ptCount val="18"/>
                <c:pt idx="0">
                  <c:v>Region wodny Dolnej Odry i Przymorza Zachodniego</c:v>
                </c:pt>
                <c:pt idx="1">
                  <c:v>region wodny Dolnej Wisły</c:v>
                </c:pt>
                <c:pt idx="2">
                  <c:v>Region wodny Górnej Odry</c:v>
                </c:pt>
                <c:pt idx="3">
                  <c:v>region wodny Górnej-Wschodniej Wisły</c:v>
                </c:pt>
                <c:pt idx="4">
                  <c:v>region wodny Górnej-Zachodniej Wisły</c:v>
                </c:pt>
                <c:pt idx="5">
                  <c:v>region wodny Izery</c:v>
                </c:pt>
                <c:pt idx="6">
                  <c:v>region wodny Łaby i Ostrożnicy (Upa)</c:v>
                </c:pt>
                <c:pt idx="7">
                  <c:v>region wodny Łyny i Węgorapy</c:v>
                </c:pt>
                <c:pt idx="8">
                  <c:v>region wodny Małej Wisły</c:v>
                </c:pt>
                <c:pt idx="9">
                  <c:v>region wodny Metuje</c:v>
                </c:pt>
                <c:pt idx="10">
                  <c:v>region wodny Narwi</c:v>
                </c:pt>
                <c:pt idx="11">
                  <c:v>region wodny Niemna</c:v>
                </c:pt>
                <c:pt idx="12">
                  <c:v>Region wodny Noteci</c:v>
                </c:pt>
                <c:pt idx="13">
                  <c:v>region wodny Orlicy</c:v>
                </c:pt>
                <c:pt idx="14">
                  <c:v>Region wodny Środkowej Odry</c:v>
                </c:pt>
                <c:pt idx="15">
                  <c:v>region wodny Środkowej Wisły</c:v>
                </c:pt>
                <c:pt idx="16">
                  <c:v>region wodny Świeżej</c:v>
                </c:pt>
                <c:pt idx="17">
                  <c:v>Region wodny Warty</c:v>
                </c:pt>
              </c:strCache>
            </c:strRef>
          </c:tx>
          <c:spPr>
            <a:ln w="1270">
              <a:noFill/>
            </a:ln>
          </c:spPr>
          <c:dPt>
            <c:idx val="0"/>
            <c:bubble3D val="0"/>
            <c:spPr>
              <a:solidFill>
                <a:schemeClr val="accent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C19-4E1C-888F-E70807A259F9}"/>
              </c:ext>
            </c:extLst>
          </c:dPt>
          <c:dPt>
            <c:idx val="1"/>
            <c:bubble3D val="0"/>
            <c:spPr>
              <a:solidFill>
                <a:schemeClr val="accent2"/>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C19-4E1C-888F-E70807A259F9}"/>
              </c:ext>
            </c:extLst>
          </c:dPt>
          <c:dPt>
            <c:idx val="2"/>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C19-4E1C-888F-E70807A259F9}"/>
              </c:ext>
            </c:extLst>
          </c:dPt>
          <c:dPt>
            <c:idx val="3"/>
            <c:bubble3D val="0"/>
            <c:spPr>
              <a:solidFill>
                <a:schemeClr val="accent4"/>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C19-4E1C-888F-E70807A259F9}"/>
              </c:ext>
            </c:extLst>
          </c:dPt>
          <c:dPt>
            <c:idx val="4"/>
            <c:bubble3D val="0"/>
            <c:spPr>
              <a:solidFill>
                <a:schemeClr val="bg1">
                  <a:lumMod val="65000"/>
                </a:schemeClr>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9C19-4E1C-888F-E70807A259F9}"/>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Regiony_Wodne!$B$11:$B$28</c:f>
              <c:strCache>
                <c:ptCount val="5"/>
                <c:pt idx="0">
                  <c:v>Region wodny Dolnej Odry i Przymorza Zachodniego</c:v>
                </c:pt>
                <c:pt idx="1">
                  <c:v>Region wodny Górnej Odry</c:v>
                </c:pt>
                <c:pt idx="2">
                  <c:v>Region wodny Noteci</c:v>
                </c:pt>
                <c:pt idx="3">
                  <c:v>Region wodny Środkowej Odry</c:v>
                </c:pt>
                <c:pt idx="4">
                  <c:v>Region wodny Warty</c:v>
                </c:pt>
              </c:strCache>
            </c:strRef>
          </c:cat>
          <c:val>
            <c:numRef>
              <c:f>Regiony_Wodne!$F$11:$F$28</c:f>
              <c:numCache>
                <c:formatCode>0</c:formatCode>
                <c:ptCount val="5"/>
                <c:pt idx="0">
                  <c:v>270</c:v>
                </c:pt>
                <c:pt idx="1">
                  <c:v>142</c:v>
                </c:pt>
                <c:pt idx="2">
                  <c:v>135</c:v>
                </c:pt>
                <c:pt idx="3">
                  <c:v>446</c:v>
                </c:pt>
                <c:pt idx="4">
                  <c:v>279</c:v>
                </c:pt>
              </c:numCache>
            </c:numRef>
          </c:val>
          <c:extLst>
            <c:ext xmlns:c16="http://schemas.microsoft.com/office/drawing/2014/chart" uri="{C3380CC4-5D6E-409C-BE32-E72D297353CC}">
              <c16:uniqueId val="{0000000A-9C19-4E1C-888F-E70807A259F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1681171229459908"/>
          <c:y val="0.24129567817464967"/>
          <c:w val="0.36573373720023938"/>
          <c:h val="0.666112247250898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RWr!$F$5</c:f>
              <c:strCache>
                <c:ptCount val="1"/>
                <c:pt idx="0">
                  <c:v>% jcwp z zestawem działań</c:v>
                </c:pt>
              </c:strCache>
            </c:strRef>
          </c:tx>
          <c:spPr>
            <a:solidFill>
              <a:schemeClr val="accent3"/>
            </a:solidFill>
            <a:ln w="1270">
              <a:noFill/>
            </a:ln>
            <a:effectLst/>
          </c:spPr>
          <c:invertIfNegative val="0"/>
          <c:cat>
            <c:strRef>
              <c:f>RW!$B$6:$B$10</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RWr!$F$7:$F$9</c:f>
              <c:numCache>
                <c:formatCode>General</c:formatCode>
                <c:ptCount val="3"/>
                <c:pt idx="0">
                  <c:v>40</c:v>
                </c:pt>
                <c:pt idx="1">
                  <c:v>8.2999999999999972</c:v>
                </c:pt>
                <c:pt idx="2">
                  <c:v>0</c:v>
                </c:pt>
              </c:numCache>
            </c:numRef>
          </c:val>
          <c:extLst>
            <c:ext xmlns:c16="http://schemas.microsoft.com/office/drawing/2014/chart" uri="{C3380CC4-5D6E-409C-BE32-E72D297353CC}">
              <c16:uniqueId val="{00000000-5AD6-46D9-8C82-FA85A405E64A}"/>
            </c:ext>
          </c:extLst>
        </c:ser>
        <c:ser>
          <c:idx val="1"/>
          <c:order val="1"/>
          <c:tx>
            <c:strRef>
              <c:f>RWr!$G$5</c:f>
              <c:strCache>
                <c:ptCount val="1"/>
                <c:pt idx="0">
                  <c:v>% jcwp bez zestawu działań (realizacja działań krajowych)</c:v>
                </c:pt>
              </c:strCache>
            </c:strRef>
          </c:tx>
          <c:spPr>
            <a:solidFill>
              <a:schemeClr val="accent6"/>
            </a:solidFill>
            <a:ln w="1270">
              <a:noFill/>
            </a:ln>
            <a:effectLst/>
          </c:spPr>
          <c:invertIfNegative val="0"/>
          <c:cat>
            <c:strRef>
              <c:f>RW!$B$6:$B$10</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RWr!$G$7:$G$9</c:f>
              <c:numCache>
                <c:formatCode>General</c:formatCode>
                <c:ptCount val="3"/>
                <c:pt idx="0">
                  <c:v>60</c:v>
                </c:pt>
                <c:pt idx="1">
                  <c:v>91.7</c:v>
                </c:pt>
                <c:pt idx="2">
                  <c:v>100</c:v>
                </c:pt>
              </c:numCache>
            </c:numRef>
          </c:val>
          <c:extLst>
            <c:ext xmlns:c16="http://schemas.microsoft.com/office/drawing/2014/chart" uri="{C3380CC4-5D6E-409C-BE32-E72D297353CC}">
              <c16:uniqueId val="{00000001-5AD6-46D9-8C82-FA85A405E64A}"/>
            </c:ext>
          </c:extLst>
        </c:ser>
        <c:dLbls>
          <c:showLegendKey val="0"/>
          <c:showVal val="0"/>
          <c:showCatName val="0"/>
          <c:showSerName val="0"/>
          <c:showPercent val="0"/>
          <c:showBubbleSize val="0"/>
        </c:dLbls>
        <c:gapWidth val="150"/>
        <c:overlap val="100"/>
        <c:axId val="178276864"/>
        <c:axId val="201919872"/>
      </c:barChart>
      <c:catAx>
        <c:axId val="178276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01919872"/>
        <c:crosses val="autoZero"/>
        <c:auto val="1"/>
        <c:lblAlgn val="ctr"/>
        <c:lblOffset val="100"/>
        <c:noMultiLvlLbl val="0"/>
      </c:catAx>
      <c:valAx>
        <c:axId val="20191987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8276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ODRA!$U$29</c:f>
              <c:strCache>
                <c:ptCount val="1"/>
                <c:pt idx="0">
                  <c:v>podstawowe</c:v>
                </c:pt>
              </c:strCache>
            </c:strRef>
          </c:tx>
          <c:spPr>
            <a:solidFill>
              <a:schemeClr val="accent1">
                <a:lumMod val="40000"/>
                <a:lumOff val="60000"/>
              </a:schemeClr>
            </a:solidFill>
            <a:ln>
              <a:noFill/>
            </a:ln>
            <a:effectLst/>
          </c:spPr>
          <c:invertIfNegative val="0"/>
          <c:dLbls>
            <c:dLbl>
              <c:idx val="0"/>
              <c:layout>
                <c:manualLayout>
                  <c:x val="2.1351497729450485E-5"/>
                  <c:y val="0"/>
                </c:manualLayout>
              </c:layout>
              <c:tx>
                <c:rich>
                  <a:bodyPr/>
                  <a:lstStyle/>
                  <a:p>
                    <a:fld id="{1EED935E-3C49-4594-BD61-FC8060B9E3DD}"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08E2-4FFF-B45A-18AF5A235615}"/>
                </c:ext>
              </c:extLst>
            </c:dLbl>
            <c:spPr>
              <a:noFill/>
              <a:ln>
                <a:noFill/>
              </a:ln>
              <a:effectLst/>
            </c:spPr>
            <c:txPr>
              <a:bodyPr rot="0" spcFirstLastPara="1" vertOverflow="ellipsis" vert="horz" wrap="square" anchor="ctr" anchorCtr="1"/>
              <a:lstStyle/>
              <a:p>
                <a:pPr algn="ctr" rtl="0">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ODRA!$V$28:$X$28</c:f>
              <c:strCache>
                <c:ptCount val="3"/>
                <c:pt idx="0">
                  <c:v>rodzaj działania</c:v>
                </c:pt>
                <c:pt idx="1">
                  <c:v>typ działania</c:v>
                </c:pt>
                <c:pt idx="2">
                  <c:v>wpływ na rodzaj presji</c:v>
                </c:pt>
              </c:strCache>
            </c:strRef>
          </c:cat>
          <c:val>
            <c:numRef>
              <c:f>ODRA!$V$29:$X$29</c:f>
              <c:numCache>
                <c:formatCode>General</c:formatCode>
                <c:ptCount val="3"/>
                <c:pt idx="0">
                  <c:v>20</c:v>
                </c:pt>
              </c:numCache>
            </c:numRef>
          </c:val>
          <c:extLst>
            <c:ext xmlns:c16="http://schemas.microsoft.com/office/drawing/2014/chart" uri="{C3380CC4-5D6E-409C-BE32-E72D297353CC}">
              <c16:uniqueId val="{00000001-08E2-4FFF-B45A-18AF5A235615}"/>
            </c:ext>
          </c:extLst>
        </c:ser>
        <c:ser>
          <c:idx val="1"/>
          <c:order val="1"/>
          <c:tx>
            <c:strRef>
              <c:f>ODRA!$U$30</c:f>
              <c:strCache>
                <c:ptCount val="1"/>
                <c:pt idx="0">
                  <c:v>uzupełniające</c:v>
                </c:pt>
              </c:strCache>
            </c:strRef>
          </c:tx>
          <c:spPr>
            <a:solidFill>
              <a:srgbClr val="558ED5"/>
            </a:solidFill>
            <a:ln>
              <a:noFill/>
            </a:ln>
            <a:effectLst/>
          </c:spPr>
          <c:invertIfNegative val="0"/>
          <c:dLbls>
            <c:dLbl>
              <c:idx val="0"/>
              <c:tx>
                <c:rich>
                  <a:bodyPr/>
                  <a:lstStyle/>
                  <a:p>
                    <a:fld id="{55E1A2BF-3AA5-4A64-A9A2-05BF62A2B2FF}" type="SERIESNAME">
                      <a:rPr lang="en-US"/>
                      <a:pPr/>
                      <a:t>[NAZWA SERII]</a:t>
                    </a:fld>
                    <a:r>
                      <a:rPr lang="en-US" baseline="0"/>
                      <a:t> </a:t>
                    </a:r>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08E2-4FFF-B45A-18AF5A235615}"/>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ODRA!$V$28:$X$28</c:f>
              <c:strCache>
                <c:ptCount val="3"/>
                <c:pt idx="0">
                  <c:v>rodzaj działania</c:v>
                </c:pt>
                <c:pt idx="1">
                  <c:v>typ działania</c:v>
                </c:pt>
                <c:pt idx="2">
                  <c:v>wpływ na rodzaj presji</c:v>
                </c:pt>
              </c:strCache>
            </c:strRef>
          </c:cat>
          <c:val>
            <c:numRef>
              <c:f>ODRA!$V$30:$X$30</c:f>
              <c:numCache>
                <c:formatCode>General</c:formatCode>
                <c:ptCount val="3"/>
                <c:pt idx="0">
                  <c:v>33</c:v>
                </c:pt>
              </c:numCache>
            </c:numRef>
          </c:val>
          <c:extLst>
            <c:ext xmlns:c16="http://schemas.microsoft.com/office/drawing/2014/chart" uri="{C3380CC4-5D6E-409C-BE32-E72D297353CC}">
              <c16:uniqueId val="{00000003-08E2-4FFF-B45A-18AF5A235615}"/>
            </c:ext>
          </c:extLst>
        </c:ser>
        <c:ser>
          <c:idx val="2"/>
          <c:order val="2"/>
          <c:tx>
            <c:strRef>
              <c:f>ODRA!$U$31</c:f>
              <c:strCache>
                <c:ptCount val="1"/>
                <c:pt idx="0">
                  <c:v>nietechniczne</c:v>
                </c:pt>
              </c:strCache>
            </c:strRef>
          </c:tx>
          <c:spPr>
            <a:solidFill>
              <a:srgbClr val="C3D69B"/>
            </a:solidFill>
            <a:ln>
              <a:noFill/>
            </a:ln>
            <a:effectLst/>
          </c:spPr>
          <c:invertIfNegative val="0"/>
          <c:dLbls>
            <c:dLbl>
              <c:idx val="1"/>
              <c:tx>
                <c:rich>
                  <a:bodyPr/>
                  <a:lstStyle/>
                  <a:p>
                    <a:fld id="{BDE1A48F-54E4-40D6-A8F3-B1B808130C80}" type="CATEGORYNAME">
                      <a:rPr lang="en-US"/>
                      <a:pPr/>
                      <a:t>[NAZWA KATEGORII]</a:t>
                    </a:fld>
                    <a:endParaRPr lang="pl-PL"/>
                  </a:p>
                </c:rich>
              </c:tx>
              <c:dLblPos val="ctr"/>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08E2-4FFF-B45A-18AF5A235615}"/>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ODRA!$V$28:$X$28</c:f>
              <c:strCache>
                <c:ptCount val="3"/>
                <c:pt idx="0">
                  <c:v>rodzaj działania</c:v>
                </c:pt>
                <c:pt idx="1">
                  <c:v>typ działania</c:v>
                </c:pt>
                <c:pt idx="2">
                  <c:v>wpływ na rodzaj presji</c:v>
                </c:pt>
              </c:strCache>
            </c:strRef>
          </c:cat>
          <c:val>
            <c:numRef>
              <c:f>ODRA!$V$31:$X$31</c:f>
              <c:numCache>
                <c:formatCode>General</c:formatCode>
                <c:ptCount val="3"/>
                <c:pt idx="1">
                  <c:v>32</c:v>
                </c:pt>
              </c:numCache>
            </c:numRef>
          </c:val>
          <c:extLst>
            <c:ext xmlns:c16="http://schemas.microsoft.com/office/drawing/2014/chart" uri="{C3380CC4-5D6E-409C-BE32-E72D297353CC}">
              <c16:uniqueId val="{00000005-08E2-4FFF-B45A-18AF5A235615}"/>
            </c:ext>
          </c:extLst>
        </c:ser>
        <c:ser>
          <c:idx val="3"/>
          <c:order val="3"/>
          <c:tx>
            <c:strRef>
              <c:f>ODRA!$U$32</c:f>
              <c:strCache>
                <c:ptCount val="1"/>
                <c:pt idx="0">
                  <c:v>techniczne</c:v>
                </c:pt>
              </c:strCache>
            </c:strRef>
          </c:tx>
          <c:spPr>
            <a:solidFill>
              <a:srgbClr val="948A54"/>
            </a:solidFill>
            <a:ln>
              <a:noFill/>
            </a:ln>
            <a:effectLst/>
          </c:spPr>
          <c:invertIfNegative val="0"/>
          <c:dLbls>
            <c:dLbl>
              <c:idx val="1"/>
              <c:tx>
                <c:rich>
                  <a:bodyPr/>
                  <a:lstStyle/>
                  <a:p>
                    <a:fld id="{B50C1F30-6730-4B18-AF43-D5AA76FD19FE}"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08E2-4FFF-B45A-18AF5A235615}"/>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ODRA!$V$28:$X$28</c:f>
              <c:strCache>
                <c:ptCount val="3"/>
                <c:pt idx="0">
                  <c:v>rodzaj działania</c:v>
                </c:pt>
                <c:pt idx="1">
                  <c:v>typ działania</c:v>
                </c:pt>
                <c:pt idx="2">
                  <c:v>wpływ na rodzaj presji</c:v>
                </c:pt>
              </c:strCache>
            </c:strRef>
          </c:cat>
          <c:val>
            <c:numRef>
              <c:f>ODRA!$V$32:$X$32</c:f>
              <c:numCache>
                <c:formatCode>General</c:formatCode>
                <c:ptCount val="3"/>
                <c:pt idx="1">
                  <c:v>13</c:v>
                </c:pt>
              </c:numCache>
            </c:numRef>
          </c:val>
          <c:extLst>
            <c:ext xmlns:c16="http://schemas.microsoft.com/office/drawing/2014/chart" uri="{C3380CC4-5D6E-409C-BE32-E72D297353CC}">
              <c16:uniqueId val="{00000007-08E2-4FFF-B45A-18AF5A235615}"/>
            </c:ext>
          </c:extLst>
        </c:ser>
        <c:ser>
          <c:idx val="4"/>
          <c:order val="4"/>
          <c:tx>
            <c:strRef>
              <c:f>ODRA!$U$33</c:f>
              <c:strCache>
                <c:ptCount val="1"/>
                <c:pt idx="0">
                  <c:v>techniczne / nietechniczne</c:v>
                </c:pt>
              </c:strCache>
            </c:strRef>
          </c:tx>
          <c:spPr>
            <a:solidFill>
              <a:srgbClr val="DDD9C3"/>
            </a:solidFill>
            <a:ln>
              <a:noFill/>
            </a:ln>
            <a:effectLst/>
          </c:spPr>
          <c:invertIfNegative val="0"/>
          <c:dLbls>
            <c:dLbl>
              <c:idx val="1"/>
              <c:tx>
                <c:rich>
                  <a:bodyPr/>
                  <a:lstStyle/>
                  <a:p>
                    <a:fld id="{776DAD76-6535-4584-BC70-EC217F8C4355}"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08E2-4FFF-B45A-18AF5A235615}"/>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ODRA!$V$28:$X$28</c:f>
              <c:strCache>
                <c:ptCount val="3"/>
                <c:pt idx="0">
                  <c:v>rodzaj działania</c:v>
                </c:pt>
                <c:pt idx="1">
                  <c:v>typ działania</c:v>
                </c:pt>
                <c:pt idx="2">
                  <c:v>wpływ na rodzaj presji</c:v>
                </c:pt>
              </c:strCache>
            </c:strRef>
          </c:cat>
          <c:val>
            <c:numRef>
              <c:f>ODRA!$V$33:$X$33</c:f>
              <c:numCache>
                <c:formatCode>General</c:formatCode>
                <c:ptCount val="3"/>
                <c:pt idx="1">
                  <c:v>8</c:v>
                </c:pt>
              </c:numCache>
            </c:numRef>
          </c:val>
          <c:extLst>
            <c:ext xmlns:c16="http://schemas.microsoft.com/office/drawing/2014/chart" uri="{C3380CC4-5D6E-409C-BE32-E72D297353CC}">
              <c16:uniqueId val="{00000009-08E2-4FFF-B45A-18AF5A235615}"/>
            </c:ext>
          </c:extLst>
        </c:ser>
        <c:ser>
          <c:idx val="5"/>
          <c:order val="5"/>
          <c:tx>
            <c:strRef>
              <c:f>ODRA!$U$34</c:f>
              <c:strCache>
                <c:ptCount val="1"/>
                <c:pt idx="0">
                  <c:v>skumulowane</c:v>
                </c:pt>
              </c:strCache>
            </c:strRef>
          </c:tx>
          <c:spPr>
            <a:solidFill>
              <a:srgbClr val="31859C"/>
            </a:solidFill>
            <a:ln>
              <a:noFill/>
            </a:ln>
            <a:effectLst/>
          </c:spPr>
          <c:invertIfNegative val="0"/>
          <c:dLbls>
            <c:dLbl>
              <c:idx val="2"/>
              <c:tx>
                <c:rich>
                  <a:bodyPr/>
                  <a:lstStyle/>
                  <a:p>
                    <a:fld id="{0BB72B9A-4F04-4954-9F46-EFE5C135A69B}"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08E2-4FFF-B45A-18AF5A235615}"/>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ODRA!$V$28:$X$28</c:f>
              <c:strCache>
                <c:ptCount val="3"/>
                <c:pt idx="0">
                  <c:v>rodzaj działania</c:v>
                </c:pt>
                <c:pt idx="1">
                  <c:v>typ działania</c:v>
                </c:pt>
                <c:pt idx="2">
                  <c:v>wpływ na rodzaj presji</c:v>
                </c:pt>
              </c:strCache>
            </c:strRef>
          </c:cat>
          <c:val>
            <c:numRef>
              <c:f>ODRA!$V$34:$X$34</c:f>
              <c:numCache>
                <c:formatCode>General</c:formatCode>
                <c:ptCount val="3"/>
                <c:pt idx="2">
                  <c:v>21</c:v>
                </c:pt>
              </c:numCache>
            </c:numRef>
          </c:val>
          <c:extLst>
            <c:ext xmlns:c16="http://schemas.microsoft.com/office/drawing/2014/chart" uri="{C3380CC4-5D6E-409C-BE32-E72D297353CC}">
              <c16:uniqueId val="{0000000B-08E2-4FFF-B45A-18AF5A235615}"/>
            </c:ext>
          </c:extLst>
        </c:ser>
        <c:ser>
          <c:idx val="6"/>
          <c:order val="6"/>
          <c:tx>
            <c:strRef>
              <c:f>ODRA!$U$35</c:f>
              <c:strCache>
                <c:ptCount val="1"/>
                <c:pt idx="0">
                  <c:v>hydromorfologiczne</c:v>
                </c:pt>
              </c:strCache>
            </c:strRef>
          </c:tx>
          <c:spPr>
            <a:solidFill>
              <a:schemeClr val="accent1">
                <a:lumMod val="60000"/>
              </a:schemeClr>
            </a:solidFill>
            <a:ln>
              <a:noFill/>
            </a:ln>
            <a:effectLst/>
          </c:spPr>
          <c:invertIfNegative val="0"/>
          <c:dPt>
            <c:idx val="2"/>
            <c:invertIfNegative val="0"/>
            <c:bubble3D val="0"/>
            <c:spPr>
              <a:solidFill>
                <a:srgbClr val="93CDDD"/>
              </a:solidFill>
              <a:ln>
                <a:noFill/>
              </a:ln>
              <a:effectLst/>
            </c:spPr>
            <c:extLst>
              <c:ext xmlns:c16="http://schemas.microsoft.com/office/drawing/2014/chart" uri="{C3380CC4-5D6E-409C-BE32-E72D297353CC}">
                <c16:uniqueId val="{0000000D-08E2-4FFF-B45A-18AF5A235615}"/>
              </c:ext>
            </c:extLst>
          </c:dPt>
          <c:dLbls>
            <c:dLbl>
              <c:idx val="2"/>
              <c:layout>
                <c:manualLayout>
                  <c:x val="5.3310283081246443E-4"/>
                  <c:y val="-4.3358393600533235E-4"/>
                </c:manualLayout>
              </c:layout>
              <c:tx>
                <c:rich>
                  <a:bodyPr/>
                  <a:lstStyle/>
                  <a:p>
                    <a:fld id="{B5C0A93B-F85E-4868-B97C-A482B88179ED}"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08E2-4FFF-B45A-18AF5A235615}"/>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ODRA!$V$28:$X$28</c:f>
              <c:strCache>
                <c:ptCount val="3"/>
                <c:pt idx="0">
                  <c:v>rodzaj działania</c:v>
                </c:pt>
                <c:pt idx="1">
                  <c:v>typ działania</c:v>
                </c:pt>
                <c:pt idx="2">
                  <c:v>wpływ na rodzaj presji</c:v>
                </c:pt>
              </c:strCache>
            </c:strRef>
          </c:cat>
          <c:val>
            <c:numRef>
              <c:f>ODRA!$V$35:$X$35</c:f>
              <c:numCache>
                <c:formatCode>General</c:formatCode>
                <c:ptCount val="3"/>
                <c:pt idx="2" formatCode="0">
                  <c:v>5</c:v>
                </c:pt>
              </c:numCache>
            </c:numRef>
          </c:val>
          <c:extLst>
            <c:ext xmlns:c16="http://schemas.microsoft.com/office/drawing/2014/chart" uri="{C3380CC4-5D6E-409C-BE32-E72D297353CC}">
              <c16:uniqueId val="{0000000E-08E2-4FFF-B45A-18AF5A235615}"/>
            </c:ext>
          </c:extLst>
        </c:ser>
        <c:ser>
          <c:idx val="7"/>
          <c:order val="7"/>
          <c:tx>
            <c:strRef>
              <c:f>ODRA!$U$36</c:f>
              <c:strCache>
                <c:ptCount val="1"/>
                <c:pt idx="0">
                  <c:v>fizykochemiczne i chemiczne</c:v>
                </c:pt>
              </c:strCache>
            </c:strRef>
          </c:tx>
          <c:spPr>
            <a:solidFill>
              <a:srgbClr val="DBEEF4"/>
            </a:solidFill>
            <a:ln>
              <a:noFill/>
            </a:ln>
            <a:effectLst/>
          </c:spPr>
          <c:invertIfNegative val="0"/>
          <c:dLbls>
            <c:dLbl>
              <c:idx val="2"/>
              <c:tx>
                <c:rich>
                  <a:bodyPr/>
                  <a:lstStyle/>
                  <a:p>
                    <a:fld id="{1B6865FA-ED37-4552-86CE-6E2D2F9DFAF7}"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08E2-4FFF-B45A-18AF5A235615}"/>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ODRA!$V$28:$X$28</c:f>
              <c:strCache>
                <c:ptCount val="3"/>
                <c:pt idx="0">
                  <c:v>rodzaj działania</c:v>
                </c:pt>
                <c:pt idx="1">
                  <c:v>typ działania</c:v>
                </c:pt>
                <c:pt idx="2">
                  <c:v>wpływ na rodzaj presji</c:v>
                </c:pt>
              </c:strCache>
            </c:strRef>
          </c:cat>
          <c:val>
            <c:numRef>
              <c:f>ODRA!$V$36:$X$36</c:f>
              <c:numCache>
                <c:formatCode>General</c:formatCode>
                <c:ptCount val="3"/>
                <c:pt idx="2" formatCode="0">
                  <c:v>27</c:v>
                </c:pt>
              </c:numCache>
            </c:numRef>
          </c:val>
          <c:extLst>
            <c:ext xmlns:c16="http://schemas.microsoft.com/office/drawing/2014/chart" uri="{C3380CC4-5D6E-409C-BE32-E72D297353CC}">
              <c16:uniqueId val="{00000010-08E2-4FFF-B45A-18AF5A235615}"/>
            </c:ext>
          </c:extLst>
        </c:ser>
        <c:dLbls>
          <c:dLblPos val="ctr"/>
          <c:showLegendKey val="0"/>
          <c:showVal val="1"/>
          <c:showCatName val="0"/>
          <c:showSerName val="0"/>
          <c:showPercent val="0"/>
          <c:showBubbleSize val="0"/>
        </c:dLbls>
        <c:gapWidth val="150"/>
        <c:overlap val="100"/>
        <c:axId val="690133280"/>
        <c:axId val="690131312"/>
      </c:barChart>
      <c:catAx>
        <c:axId val="690133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690131312"/>
        <c:crosses val="autoZero"/>
        <c:auto val="1"/>
        <c:lblAlgn val="ctr"/>
        <c:lblOffset val="100"/>
        <c:noMultiLvlLbl val="0"/>
      </c:catAx>
      <c:valAx>
        <c:axId val="6901313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działań</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690133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pl-PL"/>
    </a:p>
  </c:txPr>
  <c:externalData r:id="rId4">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706262562250881E-2"/>
          <c:y val="6.5543075993325969E-2"/>
          <c:w val="0.8749397945984424"/>
          <c:h val="0.65484028070588307"/>
        </c:manualLayout>
      </c:layout>
      <c:barChart>
        <c:barDir val="col"/>
        <c:grouping val="percentStacked"/>
        <c:varyColors val="0"/>
        <c:ser>
          <c:idx val="0"/>
          <c:order val="0"/>
          <c:tx>
            <c:strRef>
              <c:f>'LW ODRA'!$F$4</c:f>
              <c:strCache>
                <c:ptCount val="1"/>
                <c:pt idx="0">
                  <c:v>% jcwp z zestawem działań</c:v>
                </c:pt>
              </c:strCache>
            </c:strRef>
          </c:tx>
          <c:spPr>
            <a:solidFill>
              <a:sysClr val="window" lastClr="FFFFFF">
                <a:lumMod val="65000"/>
              </a:sysClr>
            </a:solidFill>
            <a:ln w="1270">
              <a:noFill/>
            </a:ln>
          </c:spPr>
          <c:invertIfNegative val="0"/>
          <c:cat>
            <c:strRef>
              <c:f>'LW ODRA'!$B$6:$B$10</c:f>
              <c:strCache>
                <c:ptCount val="5"/>
                <c:pt idx="0">
                  <c:v>Region wodny Górnej Odry
</c:v>
                </c:pt>
                <c:pt idx="1">
                  <c:v>Region wodny Środkowej Odry</c:v>
                </c:pt>
                <c:pt idx="2">
                  <c:v>Region wodny Dolnej Odry i Przymorza Zachodniego</c:v>
                </c:pt>
                <c:pt idx="3">
                  <c:v>Region wodny Warty</c:v>
                </c:pt>
                <c:pt idx="4">
                  <c:v>Region wodny Noteci</c:v>
                </c:pt>
              </c:strCache>
            </c:strRef>
          </c:cat>
          <c:val>
            <c:numRef>
              <c:f>'LW ODRA'!$F$6:$F$10</c:f>
              <c:numCache>
                <c:formatCode>0.0%</c:formatCode>
                <c:ptCount val="5"/>
                <c:pt idx="0">
                  <c:v>1</c:v>
                </c:pt>
                <c:pt idx="1">
                  <c:v>0.77777777777777779</c:v>
                </c:pt>
                <c:pt idx="2">
                  <c:v>0.75229357798165142</c:v>
                </c:pt>
                <c:pt idx="3">
                  <c:v>0.84677419354838712</c:v>
                </c:pt>
                <c:pt idx="4">
                  <c:v>0.73493975903614461</c:v>
                </c:pt>
              </c:numCache>
            </c:numRef>
          </c:val>
          <c:extLst>
            <c:ext xmlns:c16="http://schemas.microsoft.com/office/drawing/2014/chart" uri="{C3380CC4-5D6E-409C-BE32-E72D297353CC}">
              <c16:uniqueId val="{00000000-8362-47BF-9563-01C290CD1AD7}"/>
            </c:ext>
          </c:extLst>
        </c:ser>
        <c:ser>
          <c:idx val="1"/>
          <c:order val="1"/>
          <c:tx>
            <c:strRef>
              <c:f>'LW ODRA'!$G$4</c:f>
              <c:strCache>
                <c:ptCount val="1"/>
                <c:pt idx="0">
                  <c:v>% jcwp bez zestawu działań (realizacja działań krajowych)</c:v>
                </c:pt>
              </c:strCache>
            </c:strRef>
          </c:tx>
          <c:spPr>
            <a:solidFill>
              <a:srgbClr val="9BBB59"/>
            </a:solidFill>
            <a:ln w="1270">
              <a:noFill/>
            </a:ln>
          </c:spPr>
          <c:invertIfNegative val="0"/>
          <c:cat>
            <c:strRef>
              <c:f>'LW ODRA'!$B$6:$B$10</c:f>
              <c:strCache>
                <c:ptCount val="5"/>
                <c:pt idx="0">
                  <c:v>Region wodny Górnej Odry
</c:v>
                </c:pt>
                <c:pt idx="1">
                  <c:v>Region wodny Środkowej Odry</c:v>
                </c:pt>
                <c:pt idx="2">
                  <c:v>Region wodny Dolnej Odry i Przymorza Zachodniego</c:v>
                </c:pt>
                <c:pt idx="3">
                  <c:v>Region wodny Warty</c:v>
                </c:pt>
                <c:pt idx="4">
                  <c:v>Region wodny Noteci</c:v>
                </c:pt>
              </c:strCache>
            </c:strRef>
          </c:cat>
          <c:val>
            <c:numRef>
              <c:f>'LW ODRA'!$G$6:$G$10</c:f>
              <c:numCache>
                <c:formatCode>0.0%</c:formatCode>
                <c:ptCount val="5"/>
                <c:pt idx="0">
                  <c:v>0</c:v>
                </c:pt>
                <c:pt idx="1">
                  <c:v>0.22222222222222221</c:v>
                </c:pt>
                <c:pt idx="2">
                  <c:v>0.24770642201834864</c:v>
                </c:pt>
                <c:pt idx="3">
                  <c:v>0.15322580645161291</c:v>
                </c:pt>
                <c:pt idx="4">
                  <c:v>0.26506024096385544</c:v>
                </c:pt>
              </c:numCache>
            </c:numRef>
          </c:val>
          <c:extLst>
            <c:ext xmlns:c16="http://schemas.microsoft.com/office/drawing/2014/chart" uri="{C3380CC4-5D6E-409C-BE32-E72D297353CC}">
              <c16:uniqueId val="{00000001-8362-47BF-9563-01C290CD1AD7}"/>
            </c:ext>
          </c:extLst>
        </c:ser>
        <c:dLbls>
          <c:showLegendKey val="0"/>
          <c:showVal val="0"/>
          <c:showCatName val="0"/>
          <c:showSerName val="0"/>
          <c:showPercent val="0"/>
          <c:showBubbleSize val="0"/>
        </c:dLbls>
        <c:gapWidth val="150"/>
        <c:overlap val="100"/>
        <c:axId val="1222315512"/>
        <c:axId val="1"/>
      </c:barChart>
      <c:catAx>
        <c:axId val="1222315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22315512"/>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ODRA!$K$29</c:f>
              <c:strCache>
                <c:ptCount val="1"/>
                <c:pt idx="0">
                  <c:v>podstawowe</c:v>
                </c:pt>
              </c:strCache>
            </c:strRef>
          </c:tx>
          <c:spPr>
            <a:solidFill>
              <a:schemeClr val="accent1">
                <a:lumMod val="40000"/>
                <a:lumOff val="60000"/>
              </a:schemeClr>
            </a:solidFill>
            <a:ln>
              <a:noFill/>
            </a:ln>
            <a:effectLst/>
          </c:spPr>
          <c:invertIfNegative val="0"/>
          <c:dLbls>
            <c:dLbl>
              <c:idx val="0"/>
              <c:tx>
                <c:rich>
                  <a:bodyPr/>
                  <a:lstStyle/>
                  <a:p>
                    <a:fld id="{0DEE0019-0949-4D25-BBAD-7AC5079D925B}"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6A85-4821-86E6-CB19EC260154}"/>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ODRA!$L$28:$N$28</c:f>
              <c:strCache>
                <c:ptCount val="3"/>
                <c:pt idx="0">
                  <c:v>rodzaj działania</c:v>
                </c:pt>
                <c:pt idx="1">
                  <c:v>typ działania</c:v>
                </c:pt>
                <c:pt idx="2">
                  <c:v>wpływ na rodzaj presji</c:v>
                </c:pt>
              </c:strCache>
            </c:strRef>
          </c:cat>
          <c:val>
            <c:numRef>
              <c:f>ODRA!$L$29:$N$29</c:f>
              <c:numCache>
                <c:formatCode>General</c:formatCode>
                <c:ptCount val="3"/>
                <c:pt idx="0">
                  <c:v>1628</c:v>
                </c:pt>
              </c:numCache>
            </c:numRef>
          </c:val>
          <c:extLst>
            <c:ext xmlns:c16="http://schemas.microsoft.com/office/drawing/2014/chart" uri="{C3380CC4-5D6E-409C-BE32-E72D297353CC}">
              <c16:uniqueId val="{00000001-6A85-4821-86E6-CB19EC260154}"/>
            </c:ext>
          </c:extLst>
        </c:ser>
        <c:ser>
          <c:idx val="1"/>
          <c:order val="1"/>
          <c:tx>
            <c:strRef>
              <c:f>ODRA!$K$30</c:f>
              <c:strCache>
                <c:ptCount val="1"/>
                <c:pt idx="0">
                  <c:v>uzupełniające</c:v>
                </c:pt>
              </c:strCache>
            </c:strRef>
          </c:tx>
          <c:spPr>
            <a:solidFill>
              <a:srgbClr val="558ED5"/>
            </a:solidFill>
            <a:ln>
              <a:noFill/>
            </a:ln>
            <a:effectLst/>
          </c:spPr>
          <c:invertIfNegative val="0"/>
          <c:dLbls>
            <c:dLbl>
              <c:idx val="0"/>
              <c:tx>
                <c:rich>
                  <a:bodyPr/>
                  <a:lstStyle/>
                  <a:p>
                    <a:fld id="{5B1C6178-01E3-4BFF-B21B-0A73D1C33C08}"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6A85-4821-86E6-CB19EC260154}"/>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ODRA!$L$28:$N$28</c:f>
              <c:strCache>
                <c:ptCount val="3"/>
                <c:pt idx="0">
                  <c:v>rodzaj działania</c:v>
                </c:pt>
                <c:pt idx="1">
                  <c:v>typ działania</c:v>
                </c:pt>
                <c:pt idx="2">
                  <c:v>wpływ na rodzaj presji</c:v>
                </c:pt>
              </c:strCache>
            </c:strRef>
          </c:cat>
          <c:val>
            <c:numRef>
              <c:f>ODRA!$L$30:$N$30</c:f>
              <c:numCache>
                <c:formatCode>General</c:formatCode>
                <c:ptCount val="3"/>
                <c:pt idx="0">
                  <c:v>768</c:v>
                </c:pt>
              </c:numCache>
            </c:numRef>
          </c:val>
          <c:extLst>
            <c:ext xmlns:c16="http://schemas.microsoft.com/office/drawing/2014/chart" uri="{C3380CC4-5D6E-409C-BE32-E72D297353CC}">
              <c16:uniqueId val="{00000003-6A85-4821-86E6-CB19EC260154}"/>
            </c:ext>
          </c:extLst>
        </c:ser>
        <c:ser>
          <c:idx val="2"/>
          <c:order val="2"/>
          <c:tx>
            <c:strRef>
              <c:f>ODRA!$K$31</c:f>
              <c:strCache>
                <c:ptCount val="1"/>
                <c:pt idx="0">
                  <c:v>nietechniczne</c:v>
                </c:pt>
              </c:strCache>
            </c:strRef>
          </c:tx>
          <c:spPr>
            <a:solidFill>
              <a:srgbClr val="C3D69B"/>
            </a:solidFill>
            <a:ln>
              <a:noFill/>
            </a:ln>
            <a:effectLst/>
          </c:spPr>
          <c:invertIfNegative val="0"/>
          <c:dLbls>
            <c:dLbl>
              <c:idx val="0"/>
              <c:tx>
                <c:rich>
                  <a:bodyPr/>
                  <a:lstStyle/>
                  <a:p>
                    <a:fld id="{EE9D01E9-FE70-4380-A329-52BB7A3B1636}"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6A85-4821-86E6-CB19EC260154}"/>
                </c:ext>
              </c:extLst>
            </c:dLbl>
            <c:dLbl>
              <c:idx val="1"/>
              <c:tx>
                <c:rich>
                  <a:bodyPr/>
                  <a:lstStyle/>
                  <a:p>
                    <a:fld id="{27DA0FBE-4C9D-4B42-8067-C774D3D162E8}"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A85-4821-86E6-CB19EC260154}"/>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ODRA!$L$28:$N$28</c:f>
              <c:strCache>
                <c:ptCount val="3"/>
                <c:pt idx="0">
                  <c:v>rodzaj działania</c:v>
                </c:pt>
                <c:pt idx="1">
                  <c:v>typ działania</c:v>
                </c:pt>
                <c:pt idx="2">
                  <c:v>wpływ na rodzaj presji</c:v>
                </c:pt>
              </c:strCache>
            </c:strRef>
          </c:cat>
          <c:val>
            <c:numRef>
              <c:f>ODRA!$L$31:$N$31</c:f>
              <c:numCache>
                <c:formatCode>General</c:formatCode>
                <c:ptCount val="3"/>
                <c:pt idx="1">
                  <c:v>1307</c:v>
                </c:pt>
              </c:numCache>
            </c:numRef>
          </c:val>
          <c:extLst>
            <c:ext xmlns:c16="http://schemas.microsoft.com/office/drawing/2014/chart" uri="{C3380CC4-5D6E-409C-BE32-E72D297353CC}">
              <c16:uniqueId val="{00000006-6A85-4821-86E6-CB19EC260154}"/>
            </c:ext>
          </c:extLst>
        </c:ser>
        <c:ser>
          <c:idx val="3"/>
          <c:order val="3"/>
          <c:tx>
            <c:strRef>
              <c:f>ODRA!$K$32</c:f>
              <c:strCache>
                <c:ptCount val="1"/>
                <c:pt idx="0">
                  <c:v>techniczne</c:v>
                </c:pt>
              </c:strCache>
            </c:strRef>
          </c:tx>
          <c:spPr>
            <a:solidFill>
              <a:srgbClr val="948A54"/>
            </a:solidFill>
            <a:ln>
              <a:noFill/>
            </a:ln>
            <a:effectLst/>
          </c:spPr>
          <c:invertIfNegative val="0"/>
          <c:dLbls>
            <c:dLbl>
              <c:idx val="0"/>
              <c:tx>
                <c:rich>
                  <a:bodyPr/>
                  <a:lstStyle/>
                  <a:p>
                    <a:fld id="{B4979462-FF83-44F8-995F-84EF649738A8}"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A85-4821-86E6-CB19EC260154}"/>
                </c:ext>
              </c:extLst>
            </c:dLbl>
            <c:dLbl>
              <c:idx val="1"/>
              <c:tx>
                <c:rich>
                  <a:bodyPr/>
                  <a:lstStyle/>
                  <a:p>
                    <a:fld id="{5788F9A6-A612-44F9-AA77-920D1392D279}"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6A85-4821-86E6-CB19EC260154}"/>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ODRA!$L$28:$N$28</c:f>
              <c:strCache>
                <c:ptCount val="3"/>
                <c:pt idx="0">
                  <c:v>rodzaj działania</c:v>
                </c:pt>
                <c:pt idx="1">
                  <c:v>typ działania</c:v>
                </c:pt>
                <c:pt idx="2">
                  <c:v>wpływ na rodzaj presji</c:v>
                </c:pt>
              </c:strCache>
            </c:strRef>
          </c:cat>
          <c:val>
            <c:numRef>
              <c:f>ODRA!$L$32:$N$32</c:f>
              <c:numCache>
                <c:formatCode>General</c:formatCode>
                <c:ptCount val="3"/>
                <c:pt idx="1">
                  <c:v>1089</c:v>
                </c:pt>
              </c:numCache>
            </c:numRef>
          </c:val>
          <c:extLst>
            <c:ext xmlns:c16="http://schemas.microsoft.com/office/drawing/2014/chart" uri="{C3380CC4-5D6E-409C-BE32-E72D297353CC}">
              <c16:uniqueId val="{00000009-6A85-4821-86E6-CB19EC260154}"/>
            </c:ext>
          </c:extLst>
        </c:ser>
        <c:ser>
          <c:idx val="4"/>
          <c:order val="4"/>
          <c:tx>
            <c:strRef>
              <c:f>ODRA!$K$33</c:f>
              <c:strCache>
                <c:ptCount val="1"/>
                <c:pt idx="0">
                  <c:v>techniczne / nietechniczne</c:v>
                </c:pt>
              </c:strCache>
            </c:strRef>
          </c:tx>
          <c:spPr>
            <a:solidFill>
              <a:srgbClr val="DDD9C3"/>
            </a:solidFill>
            <a:ln>
              <a:noFill/>
            </a:ln>
            <a:effectLst/>
          </c:spPr>
          <c:invertIfNegative val="0"/>
          <c:dLbls>
            <c:dLbl>
              <c:idx val="0"/>
              <c:tx>
                <c:rich>
                  <a:bodyPr/>
                  <a:lstStyle/>
                  <a:p>
                    <a:fld id="{8D2717D2-DBD5-4EBB-9C3F-439B85D11649}"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6A85-4821-86E6-CB19EC260154}"/>
                </c:ext>
              </c:extLst>
            </c:dLbl>
            <c:dLbl>
              <c:idx val="1"/>
              <c:delete val="1"/>
              <c:extLst>
                <c:ext xmlns:c15="http://schemas.microsoft.com/office/drawing/2012/chart" uri="{CE6537A1-D6FC-4f65-9D91-7224C49458BB}"/>
                <c:ext xmlns:c16="http://schemas.microsoft.com/office/drawing/2014/chart" uri="{C3380CC4-5D6E-409C-BE32-E72D297353CC}">
                  <c16:uniqueId val="{0000000B-6A85-4821-86E6-CB19EC260154}"/>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ODRA!$L$28:$N$28</c:f>
              <c:strCache>
                <c:ptCount val="3"/>
                <c:pt idx="0">
                  <c:v>rodzaj działania</c:v>
                </c:pt>
                <c:pt idx="1">
                  <c:v>typ działania</c:v>
                </c:pt>
                <c:pt idx="2">
                  <c:v>wpływ na rodzaj presji</c:v>
                </c:pt>
              </c:strCache>
            </c:strRef>
          </c:cat>
          <c:val>
            <c:numRef>
              <c:f>ODRA!$L$33:$N$33</c:f>
              <c:numCache>
                <c:formatCode>General</c:formatCode>
                <c:ptCount val="3"/>
                <c:pt idx="1">
                  <c:v>0</c:v>
                </c:pt>
              </c:numCache>
            </c:numRef>
          </c:val>
          <c:extLst>
            <c:ext xmlns:c16="http://schemas.microsoft.com/office/drawing/2014/chart" uri="{C3380CC4-5D6E-409C-BE32-E72D297353CC}">
              <c16:uniqueId val="{0000000C-6A85-4821-86E6-CB19EC260154}"/>
            </c:ext>
          </c:extLst>
        </c:ser>
        <c:ser>
          <c:idx val="5"/>
          <c:order val="5"/>
          <c:tx>
            <c:strRef>
              <c:f>ODRA!$K$34</c:f>
              <c:strCache>
                <c:ptCount val="1"/>
                <c:pt idx="0">
                  <c:v>skumulowane</c:v>
                </c:pt>
              </c:strCache>
            </c:strRef>
          </c:tx>
          <c:spPr>
            <a:solidFill>
              <a:srgbClr val="31859C"/>
            </a:solidFill>
            <a:ln>
              <a:noFill/>
            </a:ln>
            <a:effectLst/>
          </c:spPr>
          <c:invertIfNegative val="0"/>
          <c:dLbls>
            <c:dLbl>
              <c:idx val="1"/>
              <c:tx>
                <c:rich>
                  <a:bodyPr/>
                  <a:lstStyle/>
                  <a:p>
                    <a:fld id="{2E6A1F61-0AB3-45FD-A650-CDF9A77BDA39}"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6A85-4821-86E6-CB19EC260154}"/>
                </c:ext>
              </c:extLst>
            </c:dLbl>
            <c:dLbl>
              <c:idx val="2"/>
              <c:tx>
                <c:rich>
                  <a:bodyPr/>
                  <a:lstStyle/>
                  <a:p>
                    <a:fld id="{6C0E0AE8-261E-42C4-95A9-425BE79673C0}"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6A85-4821-86E6-CB19EC260154}"/>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ODRA!$L$28:$N$28</c:f>
              <c:strCache>
                <c:ptCount val="3"/>
                <c:pt idx="0">
                  <c:v>rodzaj działania</c:v>
                </c:pt>
                <c:pt idx="1">
                  <c:v>typ działania</c:v>
                </c:pt>
                <c:pt idx="2">
                  <c:v>wpływ na rodzaj presji</c:v>
                </c:pt>
              </c:strCache>
            </c:strRef>
          </c:cat>
          <c:val>
            <c:numRef>
              <c:f>ODRA!$L$34:$N$34</c:f>
              <c:numCache>
                <c:formatCode>General</c:formatCode>
                <c:ptCount val="3"/>
                <c:pt idx="2">
                  <c:v>1338</c:v>
                </c:pt>
              </c:numCache>
            </c:numRef>
          </c:val>
          <c:extLst>
            <c:ext xmlns:c16="http://schemas.microsoft.com/office/drawing/2014/chart" uri="{C3380CC4-5D6E-409C-BE32-E72D297353CC}">
              <c16:uniqueId val="{0000000F-6A85-4821-86E6-CB19EC260154}"/>
            </c:ext>
          </c:extLst>
        </c:ser>
        <c:ser>
          <c:idx val="6"/>
          <c:order val="6"/>
          <c:tx>
            <c:strRef>
              <c:f>ODRA!$K$35</c:f>
              <c:strCache>
                <c:ptCount val="1"/>
                <c:pt idx="0">
                  <c:v>hydromorfologiczne</c:v>
                </c:pt>
              </c:strCache>
            </c:strRef>
          </c:tx>
          <c:spPr>
            <a:solidFill>
              <a:srgbClr val="93CDDD"/>
            </a:solidFill>
            <a:ln>
              <a:noFill/>
            </a:ln>
            <a:effectLst/>
          </c:spPr>
          <c:invertIfNegative val="0"/>
          <c:dLbls>
            <c:dLbl>
              <c:idx val="1"/>
              <c:layout>
                <c:manualLayout>
                  <c:x val="0"/>
                  <c:y val="-5.1668127884719047E-3"/>
                </c:manualLayout>
              </c:layout>
              <c:tx>
                <c:rich>
                  <a:bodyPr/>
                  <a:lstStyle/>
                  <a:p>
                    <a:fld id="{57C54F98-DAB7-46F0-9B6D-E73F181E1D51}"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6A85-4821-86E6-CB19EC260154}"/>
                </c:ext>
              </c:extLst>
            </c:dLbl>
            <c:dLbl>
              <c:idx val="2"/>
              <c:layout>
                <c:manualLayout>
                  <c:x val="-0.26105174353205857"/>
                  <c:y val="-0.36531782421284964"/>
                </c:manualLayout>
              </c:layout>
              <c:tx>
                <c:rich>
                  <a:bodyPr/>
                  <a:lstStyle/>
                  <a:p>
                    <a:fld id="{ECE7C816-7828-418A-BDAF-026CF79C0109}"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6A85-4821-86E6-CB19EC260154}"/>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ODRA!$L$28:$N$28</c:f>
              <c:strCache>
                <c:ptCount val="3"/>
                <c:pt idx="0">
                  <c:v>rodzaj działania</c:v>
                </c:pt>
                <c:pt idx="1">
                  <c:v>typ działania</c:v>
                </c:pt>
                <c:pt idx="2">
                  <c:v>wpływ na rodzaj presji</c:v>
                </c:pt>
              </c:strCache>
            </c:strRef>
          </c:cat>
          <c:val>
            <c:numRef>
              <c:f>ODRA!$L$35:$N$35</c:f>
              <c:numCache>
                <c:formatCode>General</c:formatCode>
                <c:ptCount val="3"/>
                <c:pt idx="2" formatCode="0">
                  <c:v>38</c:v>
                </c:pt>
              </c:numCache>
            </c:numRef>
          </c:val>
          <c:extLst>
            <c:ext xmlns:c16="http://schemas.microsoft.com/office/drawing/2014/chart" uri="{C3380CC4-5D6E-409C-BE32-E72D297353CC}">
              <c16:uniqueId val="{00000012-6A85-4821-86E6-CB19EC260154}"/>
            </c:ext>
          </c:extLst>
        </c:ser>
        <c:ser>
          <c:idx val="7"/>
          <c:order val="7"/>
          <c:tx>
            <c:strRef>
              <c:f>ODRA!$K$36</c:f>
              <c:strCache>
                <c:ptCount val="1"/>
                <c:pt idx="0">
                  <c:v>hydrologiczne</c:v>
                </c:pt>
              </c:strCache>
            </c:strRef>
          </c:tx>
          <c:spPr>
            <a:solidFill>
              <a:schemeClr val="accent6"/>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13-6A85-4821-86E6-CB19EC260154}"/>
                </c:ext>
              </c:extLst>
            </c:dLbl>
            <c:dLbl>
              <c:idx val="2"/>
              <c:layout>
                <c:manualLayout>
                  <c:x val="-0.20158313544140316"/>
                  <c:y val="-0.42633625496940486"/>
                </c:manualLayout>
              </c:layout>
              <c:tx>
                <c:rich>
                  <a:bodyPr/>
                  <a:lstStyle/>
                  <a:p>
                    <a:fld id="{AD475C21-E958-4E52-9E6A-552E104AD7A8}"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6A85-4821-86E6-CB19EC260154}"/>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ODRA!$L$28:$N$28</c:f>
              <c:strCache>
                <c:ptCount val="3"/>
                <c:pt idx="0">
                  <c:v>rodzaj działania</c:v>
                </c:pt>
                <c:pt idx="1">
                  <c:v>typ działania</c:v>
                </c:pt>
                <c:pt idx="2">
                  <c:v>wpływ na rodzaj presji</c:v>
                </c:pt>
              </c:strCache>
            </c:strRef>
          </c:cat>
          <c:val>
            <c:numRef>
              <c:f>ODRA!$L$36:$N$36</c:f>
              <c:numCache>
                <c:formatCode>General</c:formatCode>
                <c:ptCount val="3"/>
                <c:pt idx="2" formatCode="0">
                  <c:v>13</c:v>
                </c:pt>
              </c:numCache>
            </c:numRef>
          </c:val>
          <c:extLst>
            <c:ext xmlns:c16="http://schemas.microsoft.com/office/drawing/2014/chart" uri="{C3380CC4-5D6E-409C-BE32-E72D297353CC}">
              <c16:uniqueId val="{00000015-6A85-4821-86E6-CB19EC260154}"/>
            </c:ext>
          </c:extLst>
        </c:ser>
        <c:ser>
          <c:idx val="8"/>
          <c:order val="8"/>
          <c:tx>
            <c:strRef>
              <c:f>ODRA!$K$37</c:f>
              <c:strCache>
                <c:ptCount val="1"/>
                <c:pt idx="0">
                  <c:v>fizykochemiczne i chemiczne</c:v>
                </c:pt>
              </c:strCache>
            </c:strRef>
          </c:tx>
          <c:spPr>
            <a:solidFill>
              <a:srgbClr val="DBEEF4"/>
            </a:solidFill>
            <a:ln>
              <a:noFill/>
            </a:ln>
            <a:effectLst/>
          </c:spPr>
          <c:invertIfNegative val="0"/>
          <c:dLbls>
            <c:dLbl>
              <c:idx val="1"/>
              <c:tx>
                <c:rich>
                  <a:bodyPr/>
                  <a:lstStyle/>
                  <a:p>
                    <a:fld id="{50B574DE-D598-414F-98BD-B7237CFD1975}"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6-6A85-4821-86E6-CB19EC260154}"/>
                </c:ext>
              </c:extLst>
            </c:dLbl>
            <c:dLbl>
              <c:idx val="2"/>
              <c:tx>
                <c:rich>
                  <a:bodyPr/>
                  <a:lstStyle/>
                  <a:p>
                    <a:fld id="{22B373CC-CC7E-4E29-9A91-5D216F827908}"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7-6A85-4821-86E6-CB19EC260154}"/>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ODRA!$L$28:$N$28</c:f>
              <c:strCache>
                <c:ptCount val="3"/>
                <c:pt idx="0">
                  <c:v>rodzaj działania</c:v>
                </c:pt>
                <c:pt idx="1">
                  <c:v>typ działania</c:v>
                </c:pt>
                <c:pt idx="2">
                  <c:v>wpływ na rodzaj presji</c:v>
                </c:pt>
              </c:strCache>
            </c:strRef>
          </c:cat>
          <c:val>
            <c:numRef>
              <c:f>ODRA!$L$37:$N$37</c:f>
              <c:numCache>
                <c:formatCode>General</c:formatCode>
                <c:ptCount val="3"/>
                <c:pt idx="2" formatCode="0">
                  <c:v>1007</c:v>
                </c:pt>
              </c:numCache>
            </c:numRef>
          </c:val>
          <c:extLst>
            <c:ext xmlns:c16="http://schemas.microsoft.com/office/drawing/2014/chart" uri="{C3380CC4-5D6E-409C-BE32-E72D297353CC}">
              <c16:uniqueId val="{00000018-6A85-4821-86E6-CB19EC260154}"/>
            </c:ext>
          </c:extLst>
        </c:ser>
        <c:ser>
          <c:idx val="9"/>
          <c:order val="9"/>
          <c:tx>
            <c:strRef>
              <c:f>ODRA!$K$38</c:f>
              <c:strCache>
                <c:ptCount val="1"/>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ODRA!$L$28:$N$28</c:f>
              <c:strCache>
                <c:ptCount val="3"/>
                <c:pt idx="0">
                  <c:v>rodzaj działania</c:v>
                </c:pt>
                <c:pt idx="1">
                  <c:v>typ działania</c:v>
                </c:pt>
                <c:pt idx="2">
                  <c:v>wpływ na rodzaj presji</c:v>
                </c:pt>
              </c:strCache>
            </c:strRef>
          </c:cat>
          <c:val>
            <c:numRef>
              <c:f>ODRA!$L$38:$N$38</c:f>
              <c:numCache>
                <c:formatCode>General</c:formatCode>
                <c:ptCount val="3"/>
              </c:numCache>
            </c:numRef>
          </c:val>
          <c:extLst>
            <c:ext xmlns:c16="http://schemas.microsoft.com/office/drawing/2014/chart" uri="{C3380CC4-5D6E-409C-BE32-E72D297353CC}">
              <c16:uniqueId val="{00000019-6A85-4821-86E6-CB19EC260154}"/>
            </c:ext>
          </c:extLst>
        </c:ser>
        <c:dLbls>
          <c:dLblPos val="ctr"/>
          <c:showLegendKey val="0"/>
          <c:showVal val="1"/>
          <c:showCatName val="0"/>
          <c:showSerName val="0"/>
          <c:showPercent val="0"/>
          <c:showBubbleSize val="0"/>
        </c:dLbls>
        <c:gapWidth val="150"/>
        <c:overlap val="100"/>
        <c:axId val="690133280"/>
        <c:axId val="690131312"/>
      </c:barChart>
      <c:catAx>
        <c:axId val="690133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690131312"/>
        <c:crosses val="autoZero"/>
        <c:auto val="1"/>
        <c:lblAlgn val="ctr"/>
        <c:lblOffset val="100"/>
        <c:noMultiLvlLbl val="0"/>
      </c:catAx>
      <c:valAx>
        <c:axId val="6901313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działań</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690133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pl-PL"/>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ODRA!$AO$29</c:f>
              <c:strCache>
                <c:ptCount val="1"/>
                <c:pt idx="0">
                  <c:v>podstawowe</c:v>
                </c:pt>
              </c:strCache>
            </c:strRef>
          </c:tx>
          <c:spPr>
            <a:solidFill>
              <a:schemeClr val="accent1">
                <a:lumMod val="60000"/>
                <a:lumOff val="40000"/>
              </a:schemeClr>
            </a:solidFill>
            <a:ln>
              <a:noFill/>
            </a:ln>
            <a:effectLst/>
          </c:spPr>
          <c:invertIfNegative val="0"/>
          <c:dLbls>
            <c:dLbl>
              <c:idx val="0"/>
              <c:tx>
                <c:rich>
                  <a:bodyPr/>
                  <a:lstStyle/>
                  <a:p>
                    <a:fld id="{6DE94BEF-9E01-4F49-A570-5ACFD0C533AE}"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3EBD-4A34-AAD6-915D21A56FF5}"/>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ODRA!$AP$28:$AR$28</c:f>
              <c:strCache>
                <c:ptCount val="3"/>
                <c:pt idx="0">
                  <c:v>rodzaj działania</c:v>
                </c:pt>
                <c:pt idx="1">
                  <c:v>typ działania</c:v>
                </c:pt>
                <c:pt idx="2">
                  <c:v>wpływ na rodzaj presji</c:v>
                </c:pt>
              </c:strCache>
            </c:strRef>
          </c:cat>
          <c:val>
            <c:numRef>
              <c:f>ODRA!$AP$29:$AR$29</c:f>
              <c:numCache>
                <c:formatCode>General</c:formatCode>
                <c:ptCount val="3"/>
                <c:pt idx="0">
                  <c:v>43</c:v>
                </c:pt>
              </c:numCache>
            </c:numRef>
          </c:val>
          <c:extLst>
            <c:ext xmlns:c16="http://schemas.microsoft.com/office/drawing/2014/chart" uri="{C3380CC4-5D6E-409C-BE32-E72D297353CC}">
              <c16:uniqueId val="{00000001-3EBD-4A34-AAD6-915D21A56FF5}"/>
            </c:ext>
          </c:extLst>
        </c:ser>
        <c:ser>
          <c:idx val="1"/>
          <c:order val="1"/>
          <c:tx>
            <c:strRef>
              <c:f>ODRA!$AO$30</c:f>
              <c:strCache>
                <c:ptCount val="1"/>
                <c:pt idx="0">
                  <c:v>uzupełniające</c:v>
                </c:pt>
              </c:strCache>
            </c:strRef>
          </c:tx>
          <c:spPr>
            <a:solidFill>
              <a:srgbClr val="558ED5"/>
            </a:solidFill>
            <a:ln>
              <a:noFill/>
            </a:ln>
            <a:effectLst/>
          </c:spPr>
          <c:invertIfNegative val="0"/>
          <c:dLbls>
            <c:dLbl>
              <c:idx val="0"/>
              <c:tx>
                <c:rich>
                  <a:bodyPr/>
                  <a:lstStyle/>
                  <a:p>
                    <a:fld id="{2E7D55DA-2075-4629-B4CF-BCC4B4B33DB8}" type="SERIESNAME">
                      <a:rPr lang="en-US"/>
                      <a:pPr/>
                      <a:t>[NAZWA SERII]</a:t>
                    </a:fld>
                    <a:r>
                      <a:rPr lang="en-US" baseline="0"/>
                      <a:t>;</a:t>
                    </a:r>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3EBD-4A34-AAD6-915D21A56FF5}"/>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ODRA!$AP$28:$AR$28</c:f>
              <c:strCache>
                <c:ptCount val="3"/>
                <c:pt idx="0">
                  <c:v>rodzaj działania</c:v>
                </c:pt>
                <c:pt idx="1">
                  <c:v>typ działania</c:v>
                </c:pt>
                <c:pt idx="2">
                  <c:v>wpływ na rodzaj presji</c:v>
                </c:pt>
              </c:strCache>
            </c:strRef>
          </c:cat>
          <c:val>
            <c:numRef>
              <c:f>ODRA!$AP$30:$AR$30</c:f>
              <c:numCache>
                <c:formatCode>General</c:formatCode>
                <c:ptCount val="3"/>
                <c:pt idx="0">
                  <c:v>18</c:v>
                </c:pt>
              </c:numCache>
            </c:numRef>
          </c:val>
          <c:extLst>
            <c:ext xmlns:c16="http://schemas.microsoft.com/office/drawing/2014/chart" uri="{C3380CC4-5D6E-409C-BE32-E72D297353CC}">
              <c16:uniqueId val="{00000003-3EBD-4A34-AAD6-915D21A56FF5}"/>
            </c:ext>
          </c:extLst>
        </c:ser>
        <c:ser>
          <c:idx val="2"/>
          <c:order val="2"/>
          <c:tx>
            <c:strRef>
              <c:f>ODRA!$AO$31</c:f>
              <c:strCache>
                <c:ptCount val="1"/>
                <c:pt idx="0">
                  <c:v>nietechniczne</c:v>
                </c:pt>
              </c:strCache>
            </c:strRef>
          </c:tx>
          <c:spPr>
            <a:solidFill>
              <a:srgbClr val="C3D69B"/>
            </a:solidFill>
            <a:ln>
              <a:noFill/>
            </a:ln>
            <a:effectLst/>
          </c:spPr>
          <c:invertIfNegative val="0"/>
          <c:dLbls>
            <c:dLbl>
              <c:idx val="1"/>
              <c:tx>
                <c:rich>
                  <a:bodyPr/>
                  <a:lstStyle/>
                  <a:p>
                    <a:fld id="{9CEF69F5-DE5B-4DC3-A128-2AA79352A396}"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3EBD-4A34-AAD6-915D21A56FF5}"/>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ODRA!$AP$28:$AR$28</c:f>
              <c:strCache>
                <c:ptCount val="3"/>
                <c:pt idx="0">
                  <c:v>rodzaj działania</c:v>
                </c:pt>
                <c:pt idx="1">
                  <c:v>typ działania</c:v>
                </c:pt>
                <c:pt idx="2">
                  <c:v>wpływ na rodzaj presji</c:v>
                </c:pt>
              </c:strCache>
            </c:strRef>
          </c:cat>
          <c:val>
            <c:numRef>
              <c:f>ODRA!$AP$31:$AR$31</c:f>
              <c:numCache>
                <c:formatCode>General</c:formatCode>
                <c:ptCount val="3"/>
                <c:pt idx="1">
                  <c:v>17</c:v>
                </c:pt>
              </c:numCache>
            </c:numRef>
          </c:val>
          <c:extLst>
            <c:ext xmlns:c16="http://schemas.microsoft.com/office/drawing/2014/chart" uri="{C3380CC4-5D6E-409C-BE32-E72D297353CC}">
              <c16:uniqueId val="{00000005-3EBD-4A34-AAD6-915D21A56FF5}"/>
            </c:ext>
          </c:extLst>
        </c:ser>
        <c:ser>
          <c:idx val="3"/>
          <c:order val="3"/>
          <c:tx>
            <c:strRef>
              <c:f>ODRA!$AO$32</c:f>
              <c:strCache>
                <c:ptCount val="1"/>
                <c:pt idx="0">
                  <c:v>techniczne</c:v>
                </c:pt>
              </c:strCache>
            </c:strRef>
          </c:tx>
          <c:spPr>
            <a:solidFill>
              <a:srgbClr val="948A54"/>
            </a:solidFill>
            <a:ln>
              <a:noFill/>
            </a:ln>
            <a:effectLst/>
          </c:spPr>
          <c:invertIfNegative val="0"/>
          <c:dLbls>
            <c:dLbl>
              <c:idx val="1"/>
              <c:tx>
                <c:rich>
                  <a:bodyPr/>
                  <a:lstStyle/>
                  <a:p>
                    <a:fld id="{36CA1F80-E366-4D7A-87BF-181AE1E35474}"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3EBD-4A34-AAD6-915D21A56FF5}"/>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ODRA!$AP$28:$AR$28</c:f>
              <c:strCache>
                <c:ptCount val="3"/>
                <c:pt idx="0">
                  <c:v>rodzaj działania</c:v>
                </c:pt>
                <c:pt idx="1">
                  <c:v>typ działania</c:v>
                </c:pt>
                <c:pt idx="2">
                  <c:v>wpływ na rodzaj presji</c:v>
                </c:pt>
              </c:strCache>
            </c:strRef>
          </c:cat>
          <c:val>
            <c:numRef>
              <c:f>ODRA!$AP$32:$AR$32</c:f>
              <c:numCache>
                <c:formatCode>General</c:formatCode>
                <c:ptCount val="3"/>
                <c:pt idx="1">
                  <c:v>44</c:v>
                </c:pt>
              </c:numCache>
            </c:numRef>
          </c:val>
          <c:extLst>
            <c:ext xmlns:c16="http://schemas.microsoft.com/office/drawing/2014/chart" uri="{C3380CC4-5D6E-409C-BE32-E72D297353CC}">
              <c16:uniqueId val="{00000007-3EBD-4A34-AAD6-915D21A56FF5}"/>
            </c:ext>
          </c:extLst>
        </c:ser>
        <c:ser>
          <c:idx val="4"/>
          <c:order val="4"/>
          <c:tx>
            <c:strRef>
              <c:f>ODRA!$AO$33</c:f>
              <c:strCache>
                <c:ptCount val="1"/>
              </c:strCache>
            </c:strRef>
          </c:tx>
          <c:spPr>
            <a:solidFill>
              <a:srgbClr val="DDD9C3"/>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ODRA!$AP$28:$AR$28</c:f>
              <c:strCache>
                <c:ptCount val="3"/>
                <c:pt idx="0">
                  <c:v>rodzaj działania</c:v>
                </c:pt>
                <c:pt idx="1">
                  <c:v>typ działania</c:v>
                </c:pt>
                <c:pt idx="2">
                  <c:v>wpływ na rodzaj presji</c:v>
                </c:pt>
              </c:strCache>
            </c:strRef>
          </c:cat>
          <c:val>
            <c:numRef>
              <c:f>ODRA!$AP$33:$AR$33</c:f>
              <c:numCache>
                <c:formatCode>General</c:formatCode>
                <c:ptCount val="3"/>
              </c:numCache>
            </c:numRef>
          </c:val>
          <c:extLst>
            <c:ext xmlns:c16="http://schemas.microsoft.com/office/drawing/2014/chart" uri="{C3380CC4-5D6E-409C-BE32-E72D297353CC}">
              <c16:uniqueId val="{00000008-3EBD-4A34-AAD6-915D21A56FF5}"/>
            </c:ext>
          </c:extLst>
        </c:ser>
        <c:ser>
          <c:idx val="5"/>
          <c:order val="5"/>
          <c:tx>
            <c:strRef>
              <c:f>ODRA!$AO$34</c:f>
              <c:strCache>
                <c:ptCount val="1"/>
                <c:pt idx="0">
                  <c:v>skumulowane</c:v>
                </c:pt>
              </c:strCache>
            </c:strRef>
          </c:tx>
          <c:spPr>
            <a:solidFill>
              <a:srgbClr val="31859C"/>
            </a:solidFill>
            <a:ln>
              <a:noFill/>
            </a:ln>
            <a:effectLst/>
          </c:spPr>
          <c:invertIfNegative val="0"/>
          <c:dLbls>
            <c:dLbl>
              <c:idx val="2"/>
              <c:tx>
                <c:rich>
                  <a:bodyPr/>
                  <a:lstStyle/>
                  <a:p>
                    <a:fld id="{FA5BC5F9-244A-483E-A3DA-17A4CF2CBB7B}"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3EBD-4A34-AAD6-915D21A56FF5}"/>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ODRA!$AP$28:$AR$28</c:f>
              <c:strCache>
                <c:ptCount val="3"/>
                <c:pt idx="0">
                  <c:v>rodzaj działania</c:v>
                </c:pt>
                <c:pt idx="1">
                  <c:v>typ działania</c:v>
                </c:pt>
                <c:pt idx="2">
                  <c:v>wpływ na rodzaj presji</c:v>
                </c:pt>
              </c:strCache>
            </c:strRef>
          </c:cat>
          <c:val>
            <c:numRef>
              <c:f>ODRA!$AP$34:$AR$34</c:f>
              <c:numCache>
                <c:formatCode>General</c:formatCode>
                <c:ptCount val="3"/>
                <c:pt idx="2">
                  <c:v>41</c:v>
                </c:pt>
              </c:numCache>
            </c:numRef>
          </c:val>
          <c:extLst>
            <c:ext xmlns:c16="http://schemas.microsoft.com/office/drawing/2014/chart" uri="{C3380CC4-5D6E-409C-BE32-E72D297353CC}">
              <c16:uniqueId val="{0000000A-3EBD-4A34-AAD6-915D21A56FF5}"/>
            </c:ext>
          </c:extLst>
        </c:ser>
        <c:ser>
          <c:idx val="6"/>
          <c:order val="6"/>
          <c:tx>
            <c:strRef>
              <c:f>ODRA!$AO$35</c:f>
              <c:strCache>
                <c:ptCount val="1"/>
                <c:pt idx="0">
                  <c:v>hydromorfologiczne</c:v>
                </c:pt>
              </c:strCache>
            </c:strRef>
          </c:tx>
          <c:spPr>
            <a:solidFill>
              <a:srgbClr val="93CDDD"/>
            </a:solidFill>
            <a:ln>
              <a:noFill/>
            </a:ln>
            <a:effectLst/>
          </c:spPr>
          <c:invertIfNegative val="0"/>
          <c:dLbls>
            <c:dLbl>
              <c:idx val="2"/>
              <c:tx>
                <c:rich>
                  <a:bodyPr/>
                  <a:lstStyle/>
                  <a:p>
                    <a:fld id="{93D759A9-80AB-4C47-962B-8153E18D6708}"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3EBD-4A34-AAD6-915D21A56FF5}"/>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ODRA!$AP$28:$AR$28</c:f>
              <c:strCache>
                <c:ptCount val="3"/>
                <c:pt idx="0">
                  <c:v>rodzaj działania</c:v>
                </c:pt>
                <c:pt idx="1">
                  <c:v>typ działania</c:v>
                </c:pt>
                <c:pt idx="2">
                  <c:v>wpływ na rodzaj presji</c:v>
                </c:pt>
              </c:strCache>
            </c:strRef>
          </c:cat>
          <c:val>
            <c:numRef>
              <c:f>ODRA!$AP$35:$AR$35</c:f>
              <c:numCache>
                <c:formatCode>General</c:formatCode>
                <c:ptCount val="3"/>
                <c:pt idx="2" formatCode="0">
                  <c:v>5</c:v>
                </c:pt>
              </c:numCache>
            </c:numRef>
          </c:val>
          <c:extLst>
            <c:ext xmlns:c16="http://schemas.microsoft.com/office/drawing/2014/chart" uri="{C3380CC4-5D6E-409C-BE32-E72D297353CC}">
              <c16:uniqueId val="{0000000C-3EBD-4A34-AAD6-915D21A56FF5}"/>
            </c:ext>
          </c:extLst>
        </c:ser>
        <c:ser>
          <c:idx val="7"/>
          <c:order val="7"/>
          <c:tx>
            <c:strRef>
              <c:f>ODRA!$AO$36</c:f>
              <c:strCache>
                <c:ptCount val="1"/>
                <c:pt idx="0">
                  <c:v>fizykochemiczne i chemiczne</c:v>
                </c:pt>
              </c:strCache>
            </c:strRef>
          </c:tx>
          <c:spPr>
            <a:solidFill>
              <a:srgbClr val="DBEEF4"/>
            </a:solidFill>
            <a:ln>
              <a:noFill/>
            </a:ln>
            <a:effectLst/>
          </c:spPr>
          <c:invertIfNegative val="0"/>
          <c:dLbls>
            <c:dLbl>
              <c:idx val="2"/>
              <c:tx>
                <c:rich>
                  <a:bodyPr/>
                  <a:lstStyle/>
                  <a:p>
                    <a:fld id="{5A0F3EBD-B715-495B-81C5-9351140B4C1B}" type="SERIESNAME">
                      <a:rPr lang="en-US"/>
                      <a:pPr/>
                      <a:t>[NAZWA SERII]</a:t>
                    </a:fld>
                    <a:endParaRPr lang="pl-PL"/>
                  </a:p>
                </c:rich>
              </c:tx>
              <c:dLblPos val="ct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3EBD-4A34-AAD6-915D21A56FF5}"/>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ODRA!$AP$28:$AR$28</c:f>
              <c:strCache>
                <c:ptCount val="3"/>
                <c:pt idx="0">
                  <c:v>rodzaj działania</c:v>
                </c:pt>
                <c:pt idx="1">
                  <c:v>typ działania</c:v>
                </c:pt>
                <c:pt idx="2">
                  <c:v>wpływ na rodzaj presji</c:v>
                </c:pt>
              </c:strCache>
            </c:strRef>
          </c:cat>
          <c:val>
            <c:numRef>
              <c:f>ODRA!$AP$36:$AR$36</c:f>
              <c:numCache>
                <c:formatCode>General</c:formatCode>
                <c:ptCount val="3"/>
                <c:pt idx="2" formatCode="0">
                  <c:v>15</c:v>
                </c:pt>
              </c:numCache>
            </c:numRef>
          </c:val>
          <c:extLst>
            <c:ext xmlns:c16="http://schemas.microsoft.com/office/drawing/2014/chart" uri="{C3380CC4-5D6E-409C-BE32-E72D297353CC}">
              <c16:uniqueId val="{0000000E-3EBD-4A34-AAD6-915D21A56FF5}"/>
            </c:ext>
          </c:extLst>
        </c:ser>
        <c:dLbls>
          <c:dLblPos val="ctr"/>
          <c:showLegendKey val="0"/>
          <c:showVal val="1"/>
          <c:showCatName val="0"/>
          <c:showSerName val="0"/>
          <c:showPercent val="0"/>
          <c:showBubbleSize val="0"/>
        </c:dLbls>
        <c:gapWidth val="150"/>
        <c:overlap val="100"/>
        <c:axId val="690133280"/>
        <c:axId val="690131312"/>
      </c:barChart>
      <c:catAx>
        <c:axId val="690133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690131312"/>
        <c:crosses val="autoZero"/>
        <c:auto val="1"/>
        <c:lblAlgn val="ctr"/>
        <c:lblOffset val="100"/>
        <c:noMultiLvlLbl val="0"/>
      </c:catAx>
      <c:valAx>
        <c:axId val="6901313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działań</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690133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pl-PL"/>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156233617897328"/>
          <c:y val="3.7962708473521907E-2"/>
          <c:w val="0.81224411740690872"/>
          <c:h val="0.68059625679393254"/>
        </c:manualLayout>
      </c:layout>
      <c:barChart>
        <c:barDir val="col"/>
        <c:grouping val="percentStacked"/>
        <c:varyColors val="0"/>
        <c:ser>
          <c:idx val="0"/>
          <c:order val="0"/>
          <c:tx>
            <c:strRef>
              <c:f>'zestaw kraj'!$C$45</c:f>
              <c:strCache>
                <c:ptCount val="1"/>
                <c:pt idx="0">
                  <c:v>% jcwpd z zestawem działań</c:v>
                </c:pt>
              </c:strCache>
            </c:strRef>
          </c:tx>
          <c:spPr>
            <a:solidFill>
              <a:schemeClr val="bg1">
                <a:lumMod val="65000"/>
              </a:schemeClr>
            </a:solidFill>
            <a:ln w="1270">
              <a:noFill/>
            </a:ln>
          </c:spPr>
          <c:invertIfNegative val="0"/>
          <c:cat>
            <c:strRef>
              <c:f>'zestaw kraj'!$B$47:$B$51</c:f>
              <c:strCache>
                <c:ptCount val="5"/>
                <c:pt idx="0">
                  <c:v>Region wodny Górnej Odry</c:v>
                </c:pt>
                <c:pt idx="1">
                  <c:v>Region wodny Środkowej Odry</c:v>
                </c:pt>
                <c:pt idx="2">
                  <c:v>Region wodny  Dolnej Odry i Przymorza Zachodniego</c:v>
                </c:pt>
                <c:pt idx="3">
                  <c:v>Region wodny Warty</c:v>
                </c:pt>
                <c:pt idx="4">
                  <c:v>Region wodny Noteci</c:v>
                </c:pt>
              </c:strCache>
            </c:strRef>
          </c:cat>
          <c:val>
            <c:numRef>
              <c:f>'zestaw kraj'!$C$47:$C$51</c:f>
              <c:numCache>
                <c:formatCode>General</c:formatCode>
                <c:ptCount val="5"/>
                <c:pt idx="0">
                  <c:v>85</c:v>
                </c:pt>
                <c:pt idx="1">
                  <c:v>95</c:v>
                </c:pt>
                <c:pt idx="2">
                  <c:v>83</c:v>
                </c:pt>
                <c:pt idx="3">
                  <c:v>63</c:v>
                </c:pt>
                <c:pt idx="4">
                  <c:v>100</c:v>
                </c:pt>
              </c:numCache>
            </c:numRef>
          </c:val>
          <c:extLst>
            <c:ext xmlns:c16="http://schemas.microsoft.com/office/drawing/2014/chart" uri="{C3380CC4-5D6E-409C-BE32-E72D297353CC}">
              <c16:uniqueId val="{00000000-1D0A-44C4-B92D-8096EB352224}"/>
            </c:ext>
          </c:extLst>
        </c:ser>
        <c:ser>
          <c:idx val="1"/>
          <c:order val="1"/>
          <c:tx>
            <c:strRef>
              <c:f>'zestaw kraj'!$D$45</c:f>
              <c:strCache>
                <c:ptCount val="1"/>
                <c:pt idx="0">
                  <c:v>% jcwpd bez zestawu działań (realizacja działań krajowych)</c:v>
                </c:pt>
              </c:strCache>
            </c:strRef>
          </c:tx>
          <c:spPr>
            <a:solidFill>
              <a:srgbClr val="529F33"/>
            </a:solidFill>
            <a:ln w="1270">
              <a:noFill/>
            </a:ln>
          </c:spPr>
          <c:invertIfNegative val="0"/>
          <c:cat>
            <c:strRef>
              <c:f>'zestaw kraj'!$B$47:$B$51</c:f>
              <c:strCache>
                <c:ptCount val="5"/>
                <c:pt idx="0">
                  <c:v>Region wodny Górnej Odry</c:v>
                </c:pt>
                <c:pt idx="1">
                  <c:v>Region wodny Środkowej Odry</c:v>
                </c:pt>
                <c:pt idx="2">
                  <c:v>Region wodny  Dolnej Odry i Przymorza Zachodniego</c:v>
                </c:pt>
                <c:pt idx="3">
                  <c:v>Region wodny Warty</c:v>
                </c:pt>
                <c:pt idx="4">
                  <c:v>Region wodny Noteci</c:v>
                </c:pt>
              </c:strCache>
            </c:strRef>
          </c:cat>
          <c:val>
            <c:numRef>
              <c:f>'zestaw kraj'!$D$47:$D$51</c:f>
              <c:numCache>
                <c:formatCode>General</c:formatCode>
                <c:ptCount val="5"/>
                <c:pt idx="0">
                  <c:v>15</c:v>
                </c:pt>
                <c:pt idx="1">
                  <c:v>5</c:v>
                </c:pt>
                <c:pt idx="2">
                  <c:v>17</c:v>
                </c:pt>
                <c:pt idx="3">
                  <c:v>38</c:v>
                </c:pt>
                <c:pt idx="4">
                  <c:v>0</c:v>
                </c:pt>
              </c:numCache>
            </c:numRef>
          </c:val>
          <c:extLst>
            <c:ext xmlns:c16="http://schemas.microsoft.com/office/drawing/2014/chart" uri="{C3380CC4-5D6E-409C-BE32-E72D297353CC}">
              <c16:uniqueId val="{00000001-1D0A-44C4-B92D-8096EB352224}"/>
            </c:ext>
          </c:extLst>
        </c:ser>
        <c:dLbls>
          <c:showLegendKey val="0"/>
          <c:showVal val="0"/>
          <c:showCatName val="0"/>
          <c:showSerName val="0"/>
          <c:showPercent val="0"/>
          <c:showBubbleSize val="0"/>
        </c:dLbls>
        <c:gapWidth val="150"/>
        <c:overlap val="100"/>
        <c:axId val="206098944"/>
        <c:axId val="274812864"/>
      </c:barChart>
      <c:catAx>
        <c:axId val="206098944"/>
        <c:scaling>
          <c:orientation val="minMax"/>
        </c:scaling>
        <c:delete val="0"/>
        <c:axPos val="b"/>
        <c:numFmt formatCode="General" sourceLinked="0"/>
        <c:majorTickMark val="none"/>
        <c:minorTickMark val="none"/>
        <c:tickLblPos val="nextTo"/>
        <c:txPr>
          <a:bodyPr rot="0" vert="horz"/>
          <a:lstStyle/>
          <a:p>
            <a:pPr>
              <a:defRPr sz="800">
                <a:solidFill>
                  <a:schemeClr val="tx1">
                    <a:lumMod val="65000"/>
                    <a:lumOff val="35000"/>
                  </a:schemeClr>
                </a:solidFill>
              </a:defRPr>
            </a:pPr>
            <a:endParaRPr lang="pl-PL"/>
          </a:p>
        </c:txPr>
        <c:crossAx val="274812864"/>
        <c:crosses val="autoZero"/>
        <c:auto val="1"/>
        <c:lblAlgn val="ctr"/>
        <c:lblOffset val="100"/>
        <c:noMultiLvlLbl val="0"/>
      </c:catAx>
      <c:valAx>
        <c:axId val="274812864"/>
        <c:scaling>
          <c:orientation val="minMax"/>
        </c:scaling>
        <c:delete val="0"/>
        <c:axPos val="l"/>
        <c:majorGridlines>
          <c:spPr>
            <a:ln>
              <a:solidFill>
                <a:sysClr val="window" lastClr="FFFFFF">
                  <a:lumMod val="85000"/>
                </a:sysClr>
              </a:solidFill>
            </a:ln>
          </c:spPr>
        </c:majorGridlines>
        <c:numFmt formatCode="0%" sourceLinked="1"/>
        <c:majorTickMark val="out"/>
        <c:minorTickMark val="none"/>
        <c:tickLblPos val="nextTo"/>
        <c:spPr>
          <a:ln>
            <a:solidFill>
              <a:sysClr val="window" lastClr="FFFFFF">
                <a:lumMod val="85000"/>
              </a:sysClr>
            </a:solidFill>
          </a:ln>
        </c:spPr>
        <c:txPr>
          <a:bodyPr/>
          <a:lstStyle/>
          <a:p>
            <a:pPr>
              <a:defRPr sz="900">
                <a:solidFill>
                  <a:schemeClr val="tx1">
                    <a:lumMod val="65000"/>
                    <a:lumOff val="35000"/>
                  </a:schemeClr>
                </a:solidFill>
              </a:defRPr>
            </a:pPr>
            <a:endParaRPr lang="pl-PL"/>
          </a:p>
        </c:txPr>
        <c:crossAx val="206098944"/>
        <c:crosses val="autoZero"/>
        <c:crossBetween val="between"/>
      </c:valAx>
    </c:plotArea>
    <c:legend>
      <c:legendPos val="r"/>
      <c:layout>
        <c:manualLayout>
          <c:xMode val="edge"/>
          <c:yMode val="edge"/>
          <c:x val="5.0942220432366001E-2"/>
          <c:y val="0.93617369210773438"/>
          <c:w val="0.87747667904434579"/>
          <c:h val="6.3587074866965174E-2"/>
        </c:manualLayout>
      </c:layout>
      <c:overlay val="0"/>
      <c:txPr>
        <a:bodyPr/>
        <a:lstStyle/>
        <a:p>
          <a:pPr>
            <a:defRPr sz="900">
              <a:solidFill>
                <a:schemeClr val="tx1">
                  <a:lumMod val="65000"/>
                  <a:lumOff val="35000"/>
                </a:schemeClr>
              </a:solidFill>
            </a:defRPr>
          </a:pPr>
          <a:endParaRPr lang="pl-PL"/>
        </a:p>
      </c:txPr>
    </c:legend>
    <c:plotVisOnly val="1"/>
    <c:dispBlanksAs val="gap"/>
    <c:showDLblsOverMax val="0"/>
  </c:chart>
  <c:spPr>
    <a:ln>
      <a:solidFill>
        <a:sysClr val="window" lastClr="FFFFFF">
          <a:lumMod val="85000"/>
        </a:sysClr>
      </a:solidFill>
    </a:ln>
  </c:spPr>
  <c:externalData r:id="rId2">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007939300301368E-2"/>
          <c:y val="6.1592398829539798E-2"/>
          <c:w val="0.87355056250590868"/>
          <c:h val="0.86085780715815907"/>
        </c:manualLayout>
      </c:layout>
      <c:barChart>
        <c:barDir val="col"/>
        <c:grouping val="stacked"/>
        <c:varyColors val="0"/>
        <c:ser>
          <c:idx val="0"/>
          <c:order val="0"/>
          <c:spPr>
            <a:solidFill>
              <a:schemeClr val="accent1"/>
            </a:solidFill>
          </c:spPr>
          <c:invertIfNegative val="0"/>
          <c:dPt>
            <c:idx val="0"/>
            <c:invertIfNegative val="0"/>
            <c:bubble3D val="0"/>
            <c:spPr>
              <a:solidFill>
                <a:srgbClr val="8EB4E3"/>
              </a:solidFill>
            </c:spPr>
            <c:extLst>
              <c:ext xmlns:c16="http://schemas.microsoft.com/office/drawing/2014/chart" uri="{C3380CC4-5D6E-409C-BE32-E72D297353CC}">
                <c16:uniqueId val="{00000001-16E6-4543-BB81-8B8BDBADF5AD}"/>
              </c:ext>
            </c:extLst>
          </c:dPt>
          <c:dPt>
            <c:idx val="1"/>
            <c:invertIfNegative val="0"/>
            <c:bubble3D val="0"/>
            <c:spPr>
              <a:solidFill>
                <a:srgbClr val="C3D69B"/>
              </a:solidFill>
            </c:spPr>
            <c:extLst>
              <c:ext xmlns:c16="http://schemas.microsoft.com/office/drawing/2014/chart" uri="{C3380CC4-5D6E-409C-BE32-E72D297353CC}">
                <c16:uniqueId val="{00000003-16E6-4543-BB81-8B8BDBADF5AD}"/>
              </c:ext>
            </c:extLst>
          </c:dPt>
          <c:dPt>
            <c:idx val="2"/>
            <c:invertIfNegative val="0"/>
            <c:bubble3D val="0"/>
            <c:spPr>
              <a:solidFill>
                <a:srgbClr val="B7DEE8"/>
              </a:solidFill>
            </c:spPr>
            <c:extLst>
              <c:ext xmlns:c16="http://schemas.microsoft.com/office/drawing/2014/chart" uri="{C3380CC4-5D6E-409C-BE32-E72D297353CC}">
                <c16:uniqueId val="{00000005-16E6-4543-BB81-8B8BDBADF5AD}"/>
              </c:ext>
            </c:extLst>
          </c:dPt>
          <c:dLbls>
            <c:dLbl>
              <c:idx val="0"/>
              <c:tx>
                <c:rich>
                  <a:bodyPr wrap="square" lIns="38100" tIns="19050" rIns="38100" bIns="19050" anchor="ctr">
                    <a:spAutoFit/>
                  </a:bodyPr>
                  <a:lstStyle/>
                  <a:p>
                    <a:pPr>
                      <a:defRPr sz="1000">
                        <a:solidFill>
                          <a:schemeClr val="tx1">
                            <a:lumMod val="75000"/>
                            <a:lumOff val="25000"/>
                          </a:schemeClr>
                        </a:solidFill>
                      </a:defRPr>
                    </a:pPr>
                    <a:r>
                      <a:rPr lang="en-US" sz="1000"/>
                      <a:t>podstawowe</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6E6-4543-BB81-8B8BDBADF5AD}"/>
                </c:ext>
              </c:extLst>
            </c:dLbl>
            <c:dLbl>
              <c:idx val="1"/>
              <c:tx>
                <c:rich>
                  <a:bodyPr wrap="square" lIns="38100" tIns="19050" rIns="38100" bIns="19050" anchor="ctr">
                    <a:spAutoFit/>
                  </a:bodyPr>
                  <a:lstStyle/>
                  <a:p>
                    <a:pPr>
                      <a:defRPr sz="1000">
                        <a:solidFill>
                          <a:schemeClr val="tx1">
                            <a:lumMod val="75000"/>
                            <a:lumOff val="25000"/>
                          </a:schemeClr>
                        </a:solidFill>
                      </a:defRPr>
                    </a:pPr>
                    <a:r>
                      <a:rPr lang="en-US" sz="1000"/>
                      <a:t>nietechniczne</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6E6-4543-BB81-8B8BDBADF5AD}"/>
                </c:ext>
              </c:extLst>
            </c:dLbl>
            <c:dLbl>
              <c:idx val="2"/>
              <c:tx>
                <c:rich>
                  <a:bodyPr wrap="square" lIns="38100" tIns="19050" rIns="38100" bIns="19050" anchor="ctr">
                    <a:spAutoFit/>
                  </a:bodyPr>
                  <a:lstStyle/>
                  <a:p>
                    <a:pPr>
                      <a:defRPr sz="1000">
                        <a:solidFill>
                          <a:schemeClr val="tx1">
                            <a:lumMod val="75000"/>
                            <a:lumOff val="25000"/>
                          </a:schemeClr>
                        </a:solidFill>
                      </a:defRPr>
                    </a:pPr>
                    <a:r>
                      <a:rPr lang="en-US" sz="1000"/>
                      <a:t>ilościowa</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6E6-4543-BB81-8B8BDBADF5AD}"/>
                </c:ext>
              </c:extLst>
            </c:dLbl>
            <c:spPr>
              <a:noFill/>
              <a:ln>
                <a:noFill/>
              </a:ln>
              <a:effectLst/>
            </c:spPr>
            <c:txPr>
              <a:bodyPr wrap="square" lIns="38100" tIns="19050" rIns="38100" bIns="19050" anchor="ctr">
                <a:spAutoFit/>
              </a:bodyPr>
              <a:lstStyle/>
              <a:p>
                <a:pPr>
                  <a:defRPr>
                    <a:solidFill>
                      <a:schemeClr val="tx1">
                        <a:lumMod val="75000"/>
                        <a:lumOff val="25000"/>
                      </a:schemeClr>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'[Wykres w programie Microsoft Word]katalog działań'!$A$51:$A$53</c:f>
              <c:strCache>
                <c:ptCount val="3"/>
                <c:pt idx="0">
                  <c:v>rodzaj działania</c:v>
                </c:pt>
                <c:pt idx="1">
                  <c:v>typ działania</c:v>
                </c:pt>
                <c:pt idx="2">
                  <c:v>wpływ na rodzaj presji</c:v>
                </c:pt>
              </c:strCache>
            </c:strRef>
          </c:cat>
          <c:val>
            <c:numRef>
              <c:f>'[Wykres w programie Microsoft Word]katalog działań'!$B$51:$B$53</c:f>
              <c:numCache>
                <c:formatCode>General</c:formatCode>
                <c:ptCount val="3"/>
                <c:pt idx="0">
                  <c:v>60</c:v>
                </c:pt>
                <c:pt idx="1">
                  <c:v>234</c:v>
                </c:pt>
                <c:pt idx="2">
                  <c:v>138</c:v>
                </c:pt>
              </c:numCache>
            </c:numRef>
          </c:val>
          <c:extLst>
            <c:ext xmlns:c16="http://schemas.microsoft.com/office/drawing/2014/chart" uri="{C3380CC4-5D6E-409C-BE32-E72D297353CC}">
              <c16:uniqueId val="{00000006-16E6-4543-BB81-8B8BDBADF5AD}"/>
            </c:ext>
          </c:extLst>
        </c:ser>
        <c:ser>
          <c:idx val="1"/>
          <c:order val="1"/>
          <c:invertIfNegative val="0"/>
          <c:dPt>
            <c:idx val="0"/>
            <c:invertIfNegative val="0"/>
            <c:bubble3D val="0"/>
            <c:spPr>
              <a:solidFill>
                <a:srgbClr val="558ED5"/>
              </a:solidFill>
            </c:spPr>
            <c:extLst>
              <c:ext xmlns:c16="http://schemas.microsoft.com/office/drawing/2014/chart" uri="{C3380CC4-5D6E-409C-BE32-E72D297353CC}">
                <c16:uniqueId val="{00000008-16E6-4543-BB81-8B8BDBADF5AD}"/>
              </c:ext>
            </c:extLst>
          </c:dPt>
          <c:dPt>
            <c:idx val="1"/>
            <c:invertIfNegative val="0"/>
            <c:bubble3D val="0"/>
            <c:spPr>
              <a:solidFill>
                <a:srgbClr val="948A54"/>
              </a:solidFill>
            </c:spPr>
            <c:extLst>
              <c:ext xmlns:c16="http://schemas.microsoft.com/office/drawing/2014/chart" uri="{C3380CC4-5D6E-409C-BE32-E72D297353CC}">
                <c16:uniqueId val="{0000000A-16E6-4543-BB81-8B8BDBADF5AD}"/>
              </c:ext>
            </c:extLst>
          </c:dPt>
          <c:dPt>
            <c:idx val="2"/>
            <c:invertIfNegative val="0"/>
            <c:bubble3D val="0"/>
            <c:spPr>
              <a:solidFill>
                <a:srgbClr val="DBEEF4"/>
              </a:solidFill>
            </c:spPr>
            <c:extLst>
              <c:ext xmlns:c16="http://schemas.microsoft.com/office/drawing/2014/chart" uri="{C3380CC4-5D6E-409C-BE32-E72D297353CC}">
                <c16:uniqueId val="{0000000C-16E6-4543-BB81-8B8BDBADF5AD}"/>
              </c:ext>
            </c:extLst>
          </c:dPt>
          <c:dPt>
            <c:idx val="3"/>
            <c:invertIfNegative val="0"/>
            <c:bubble3D val="0"/>
            <c:spPr>
              <a:solidFill>
                <a:schemeClr val="accent6">
                  <a:lumMod val="75000"/>
                </a:schemeClr>
              </a:solidFill>
            </c:spPr>
            <c:extLst>
              <c:ext xmlns:c16="http://schemas.microsoft.com/office/drawing/2014/chart" uri="{C3380CC4-5D6E-409C-BE32-E72D297353CC}">
                <c16:uniqueId val="{0000000E-16E6-4543-BB81-8B8BDBADF5AD}"/>
              </c:ext>
            </c:extLst>
          </c:dPt>
          <c:dLbls>
            <c:dLbl>
              <c:idx val="0"/>
              <c:tx>
                <c:rich>
                  <a:bodyPr/>
                  <a:lstStyle/>
                  <a:p>
                    <a:r>
                      <a:rPr lang="en-US" sz="1000"/>
                      <a:t>uzupełniające</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6E6-4543-BB81-8B8BDBADF5AD}"/>
                </c:ext>
              </c:extLst>
            </c:dLbl>
            <c:dLbl>
              <c:idx val="1"/>
              <c:tx>
                <c:rich>
                  <a:bodyPr/>
                  <a:lstStyle/>
                  <a:p>
                    <a:r>
                      <a:rPr lang="en-US" sz="1000"/>
                      <a:t>techniczne</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6E6-4543-BB81-8B8BDBADF5AD}"/>
                </c:ext>
              </c:extLst>
            </c:dLbl>
            <c:spPr>
              <a:noFill/>
              <a:ln>
                <a:noFill/>
              </a:ln>
              <a:effectLst/>
            </c:spPr>
            <c:txPr>
              <a:bodyPr wrap="square" lIns="38100" tIns="19050" rIns="38100" bIns="19050" anchor="ctr">
                <a:spAutoFit/>
              </a:bodyPr>
              <a:lstStyle/>
              <a:p>
                <a:pPr>
                  <a:defRPr sz="1000">
                    <a:solidFill>
                      <a:schemeClr val="tx1">
                        <a:lumMod val="75000"/>
                        <a:lumOff val="25000"/>
                      </a:schemeClr>
                    </a:solidFill>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'[Wykres w programie Microsoft Word]katalog działań'!$A$51:$A$53</c:f>
              <c:strCache>
                <c:ptCount val="3"/>
                <c:pt idx="0">
                  <c:v>rodzaj działania</c:v>
                </c:pt>
                <c:pt idx="1">
                  <c:v>typ działania</c:v>
                </c:pt>
                <c:pt idx="2">
                  <c:v>wpływ na rodzaj presji</c:v>
                </c:pt>
              </c:strCache>
            </c:strRef>
          </c:cat>
          <c:val>
            <c:numRef>
              <c:f>'[Wykres w programie Microsoft Word]katalog działań'!$C$51:$C$53</c:f>
              <c:numCache>
                <c:formatCode>General</c:formatCode>
                <c:ptCount val="3"/>
                <c:pt idx="0">
                  <c:v>214</c:v>
                </c:pt>
                <c:pt idx="1">
                  <c:v>40</c:v>
                </c:pt>
                <c:pt idx="2">
                  <c:v>81</c:v>
                </c:pt>
              </c:numCache>
            </c:numRef>
          </c:val>
          <c:extLst>
            <c:ext xmlns:c16="http://schemas.microsoft.com/office/drawing/2014/chart" uri="{C3380CC4-5D6E-409C-BE32-E72D297353CC}">
              <c16:uniqueId val="{0000000F-16E6-4543-BB81-8B8BDBADF5AD}"/>
            </c:ext>
          </c:extLst>
        </c:ser>
        <c:ser>
          <c:idx val="2"/>
          <c:order val="2"/>
          <c:spPr>
            <a:solidFill>
              <a:srgbClr val="C7DDF1"/>
            </a:solidFill>
          </c:spPr>
          <c:invertIfNegative val="0"/>
          <c:cat>
            <c:strRef>
              <c:f>'[Wykres w programie Microsoft Word]katalog działań'!$A$51:$A$53</c:f>
              <c:strCache>
                <c:ptCount val="3"/>
                <c:pt idx="0">
                  <c:v>rodzaj działania</c:v>
                </c:pt>
                <c:pt idx="1">
                  <c:v>typ działania</c:v>
                </c:pt>
                <c:pt idx="2">
                  <c:v>wpływ na rodzaj presji</c:v>
                </c:pt>
              </c:strCache>
            </c:strRef>
          </c:cat>
          <c:val>
            <c:numRef>
              <c:f>'[Wykres w programie Microsoft Word]katalog działań'!$D$51:$D$53</c:f>
              <c:numCache>
                <c:formatCode>General</c:formatCode>
                <c:ptCount val="3"/>
                <c:pt idx="2">
                  <c:v>43</c:v>
                </c:pt>
              </c:numCache>
            </c:numRef>
          </c:val>
          <c:extLst>
            <c:ext xmlns:c16="http://schemas.microsoft.com/office/drawing/2014/chart" uri="{C3380CC4-5D6E-409C-BE32-E72D297353CC}">
              <c16:uniqueId val="{00000010-16E6-4543-BB81-8B8BDBADF5AD}"/>
            </c:ext>
          </c:extLst>
        </c:ser>
        <c:ser>
          <c:idx val="3"/>
          <c:order val="3"/>
          <c:spPr>
            <a:solidFill>
              <a:srgbClr val="3EC0BA"/>
            </a:solidFill>
          </c:spPr>
          <c:invertIfNegative val="0"/>
          <c:dLbls>
            <c:dLbl>
              <c:idx val="2"/>
              <c:layout>
                <c:manualLayout>
                  <c:x val="0.10802469135802469"/>
                  <c:y val="-7.5614366729678639E-2"/>
                </c:manualLayout>
              </c:layout>
              <c:tx>
                <c:rich>
                  <a:bodyPr wrap="square" lIns="38100" tIns="19050" rIns="38100" bIns="19050" anchor="ctr">
                    <a:spAutoFit/>
                  </a:bodyPr>
                  <a:lstStyle/>
                  <a:p>
                    <a:pPr>
                      <a:defRPr sz="1000"/>
                    </a:pPr>
                    <a:r>
                      <a:rPr lang="en-US" sz="1000">
                        <a:solidFill>
                          <a:schemeClr val="tx1">
                            <a:lumMod val="75000"/>
                            <a:lumOff val="25000"/>
                          </a:schemeClr>
                        </a:solidFill>
                      </a:rPr>
                      <a:t>chemiczna</a:t>
                    </a:r>
                  </a:p>
                  <a:p>
                    <a:pPr>
                      <a:defRPr sz="1000"/>
                    </a:pPr>
                    <a:r>
                      <a:rPr lang="en-US" sz="1000">
                        <a:solidFill>
                          <a:schemeClr val="tx1">
                            <a:lumMod val="75000"/>
                            <a:lumOff val="25000"/>
                          </a:schemeClr>
                        </a:solidFill>
                      </a:rPr>
                      <a:t>typu</a:t>
                    </a:r>
                    <a:r>
                      <a:rPr lang="en-US" sz="1000" baseline="0">
                        <a:solidFill>
                          <a:schemeClr val="tx1">
                            <a:lumMod val="75000"/>
                            <a:lumOff val="25000"/>
                          </a:schemeClr>
                        </a:solidFill>
                      </a:rPr>
                      <a:t> B</a:t>
                    </a:r>
                    <a:endParaRPr lang="en-US" sz="1000">
                      <a:solidFill>
                        <a:schemeClr val="tx1">
                          <a:lumMod val="75000"/>
                          <a:lumOff val="25000"/>
                        </a:schemeClr>
                      </a:solidFill>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6E6-4543-BB81-8B8BDBADF5A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'[Wykres w programie Microsoft Word]katalog działań'!$A$51:$A$53</c:f>
              <c:strCache>
                <c:ptCount val="3"/>
                <c:pt idx="0">
                  <c:v>rodzaj działania</c:v>
                </c:pt>
                <c:pt idx="1">
                  <c:v>typ działania</c:v>
                </c:pt>
                <c:pt idx="2">
                  <c:v>wpływ na rodzaj presji</c:v>
                </c:pt>
              </c:strCache>
            </c:strRef>
          </c:cat>
          <c:val>
            <c:numRef>
              <c:f>'[Wykres w programie Microsoft Word]katalog działań'!$E$51:$E$53</c:f>
              <c:numCache>
                <c:formatCode>General</c:formatCode>
                <c:ptCount val="3"/>
                <c:pt idx="2">
                  <c:v>9</c:v>
                </c:pt>
              </c:numCache>
            </c:numRef>
          </c:val>
          <c:extLst>
            <c:ext xmlns:c16="http://schemas.microsoft.com/office/drawing/2014/chart" uri="{C3380CC4-5D6E-409C-BE32-E72D297353CC}">
              <c16:uniqueId val="{00000012-16E6-4543-BB81-8B8BDBADF5AD}"/>
            </c:ext>
          </c:extLst>
        </c:ser>
        <c:ser>
          <c:idx val="4"/>
          <c:order val="4"/>
          <c:spPr>
            <a:solidFill>
              <a:srgbClr val="31859C"/>
            </a:solidFill>
          </c:spPr>
          <c:invertIfNegative val="0"/>
          <c:dLbls>
            <c:dLbl>
              <c:idx val="2"/>
              <c:layout>
                <c:manualLayout>
                  <c:x val="-0.12786596119929453"/>
                  <c:y val="-4.5368620037807186E-2"/>
                </c:manualLayout>
              </c:layout>
              <c:tx>
                <c:rich>
                  <a:bodyPr wrap="square" lIns="38100" tIns="19050" rIns="38100" bIns="19050" anchor="ctr">
                    <a:spAutoFit/>
                  </a:bodyPr>
                  <a:lstStyle/>
                  <a:p>
                    <a:pPr>
                      <a:defRPr sz="1000"/>
                    </a:pPr>
                    <a:r>
                      <a:rPr lang="en-US" sz="1000">
                        <a:solidFill>
                          <a:schemeClr val="tx1">
                            <a:lumMod val="75000"/>
                            <a:lumOff val="25000"/>
                          </a:schemeClr>
                        </a:solidFill>
                      </a:rPr>
                      <a:t>ilościowa</a:t>
                    </a:r>
                    <a:r>
                      <a:rPr lang="en-US" sz="1000" baseline="0">
                        <a:solidFill>
                          <a:schemeClr val="tx1">
                            <a:lumMod val="75000"/>
                            <a:lumOff val="25000"/>
                          </a:schemeClr>
                        </a:solidFill>
                      </a:rPr>
                      <a:t> </a:t>
                    </a:r>
                    <a:r>
                      <a:rPr lang="en-US" sz="1000">
                        <a:solidFill>
                          <a:schemeClr val="tx1">
                            <a:lumMod val="75000"/>
                            <a:lumOff val="25000"/>
                          </a:schemeClr>
                        </a:solidFill>
                      </a:rPr>
                      <a:t>i</a:t>
                    </a:r>
                  </a:p>
                  <a:p>
                    <a:pPr>
                      <a:defRPr sz="1000"/>
                    </a:pPr>
                    <a:r>
                      <a:rPr lang="en-US" sz="1000" baseline="0">
                        <a:solidFill>
                          <a:schemeClr val="tx1">
                            <a:lumMod val="75000"/>
                            <a:lumOff val="25000"/>
                          </a:schemeClr>
                        </a:solidFill>
                      </a:rPr>
                      <a:t>chemiczna</a:t>
                    </a:r>
                    <a:endParaRPr lang="en-US" sz="1000">
                      <a:solidFill>
                        <a:schemeClr val="tx1">
                          <a:lumMod val="75000"/>
                          <a:lumOff val="25000"/>
                        </a:schemeClr>
                      </a:solidFill>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16E6-4543-BB81-8B8BDBADF5A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'[Wykres w programie Microsoft Word]katalog działań'!$A$51:$A$53</c:f>
              <c:strCache>
                <c:ptCount val="3"/>
                <c:pt idx="0">
                  <c:v>rodzaj działania</c:v>
                </c:pt>
                <c:pt idx="1">
                  <c:v>typ działania</c:v>
                </c:pt>
                <c:pt idx="2">
                  <c:v>wpływ na rodzaj presji</c:v>
                </c:pt>
              </c:strCache>
            </c:strRef>
          </c:cat>
          <c:val>
            <c:numRef>
              <c:f>'[Wykres w programie Microsoft Word]katalog działań'!$F$51:$F$53</c:f>
              <c:numCache>
                <c:formatCode>General</c:formatCode>
                <c:ptCount val="3"/>
                <c:pt idx="2">
                  <c:v>3</c:v>
                </c:pt>
              </c:numCache>
            </c:numRef>
          </c:val>
          <c:extLst>
            <c:ext xmlns:c16="http://schemas.microsoft.com/office/drawing/2014/chart" uri="{C3380CC4-5D6E-409C-BE32-E72D297353CC}">
              <c16:uniqueId val="{00000014-16E6-4543-BB81-8B8BDBADF5AD}"/>
            </c:ext>
          </c:extLst>
        </c:ser>
        <c:dLbls>
          <c:showLegendKey val="0"/>
          <c:showVal val="0"/>
          <c:showCatName val="0"/>
          <c:showSerName val="0"/>
          <c:showPercent val="0"/>
          <c:showBubbleSize val="0"/>
        </c:dLbls>
        <c:gapWidth val="102"/>
        <c:overlap val="100"/>
        <c:axId val="191188480"/>
        <c:axId val="245491392"/>
      </c:barChart>
      <c:catAx>
        <c:axId val="191188480"/>
        <c:scaling>
          <c:orientation val="minMax"/>
        </c:scaling>
        <c:delete val="0"/>
        <c:axPos val="b"/>
        <c:numFmt formatCode="General" sourceLinked="0"/>
        <c:majorTickMark val="none"/>
        <c:minorTickMark val="none"/>
        <c:tickLblPos val="nextTo"/>
        <c:txPr>
          <a:bodyPr/>
          <a:lstStyle/>
          <a:p>
            <a:pPr>
              <a:defRPr sz="1000">
                <a:solidFill>
                  <a:schemeClr val="tx1">
                    <a:lumMod val="65000"/>
                    <a:lumOff val="35000"/>
                  </a:schemeClr>
                </a:solidFill>
              </a:defRPr>
            </a:pPr>
            <a:endParaRPr lang="pl-PL"/>
          </a:p>
        </c:txPr>
        <c:crossAx val="245491392"/>
        <c:crosses val="autoZero"/>
        <c:auto val="1"/>
        <c:lblAlgn val="ctr"/>
        <c:lblOffset val="100"/>
        <c:noMultiLvlLbl val="0"/>
      </c:catAx>
      <c:valAx>
        <c:axId val="245491392"/>
        <c:scaling>
          <c:orientation val="minMax"/>
          <c:max val="300"/>
        </c:scaling>
        <c:delete val="0"/>
        <c:axPos val="l"/>
        <c:majorGridlines>
          <c:spPr>
            <a:ln>
              <a:solidFill>
                <a:schemeClr val="bg1">
                  <a:lumMod val="75000"/>
                </a:schemeClr>
              </a:solidFill>
            </a:ln>
          </c:spPr>
        </c:majorGridlines>
        <c:title>
          <c:tx>
            <c:rich>
              <a:bodyPr rot="-5400000" vert="horz"/>
              <a:lstStyle/>
              <a:p>
                <a:pPr>
                  <a:defRPr sz="1000">
                    <a:solidFill>
                      <a:schemeClr val="tx1">
                        <a:lumMod val="65000"/>
                        <a:lumOff val="35000"/>
                      </a:schemeClr>
                    </a:solidFill>
                  </a:defRPr>
                </a:pPr>
                <a:r>
                  <a:rPr lang="pl-PL" sz="1000" b="0" i="0" u="none" strike="noStrike" baseline="0">
                    <a:solidFill>
                      <a:schemeClr val="tx1">
                        <a:lumMod val="65000"/>
                        <a:lumOff val="35000"/>
                      </a:schemeClr>
                    </a:solidFill>
                    <a:effectLst/>
                  </a:rPr>
                  <a:t>Liczba działań</a:t>
                </a:r>
                <a:endParaRPr lang="pl-PL" sz="1000">
                  <a:solidFill>
                    <a:schemeClr val="tx1">
                      <a:lumMod val="65000"/>
                      <a:lumOff val="35000"/>
                    </a:schemeClr>
                  </a:solidFill>
                </a:endParaRPr>
              </a:p>
            </c:rich>
          </c:tx>
          <c:overlay val="0"/>
        </c:title>
        <c:numFmt formatCode="General" sourceLinked="1"/>
        <c:majorTickMark val="out"/>
        <c:minorTickMark val="none"/>
        <c:tickLblPos val="nextTo"/>
        <c:txPr>
          <a:bodyPr/>
          <a:lstStyle/>
          <a:p>
            <a:pPr>
              <a:defRPr>
                <a:solidFill>
                  <a:schemeClr val="tx1">
                    <a:lumMod val="65000"/>
                    <a:lumOff val="35000"/>
                  </a:schemeClr>
                </a:solidFill>
              </a:defRPr>
            </a:pPr>
            <a:endParaRPr lang="pl-PL"/>
          </a:p>
        </c:txPr>
        <c:crossAx val="191188480"/>
        <c:crosses val="autoZero"/>
        <c:crossBetween val="between"/>
      </c:valAx>
    </c:plotArea>
    <c:plotVisOnly val="1"/>
    <c:dispBlanksAs val="gap"/>
    <c:showDLblsOverMax val="0"/>
  </c:chart>
  <c:externalData r:id="rId1">
    <c:autoUpdate val="0"/>
  </c:externalData>
  <c:userShapes r:id="rId2"/>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rgbClr val="404040"/>
                </a:solidFill>
              </a:defRPr>
            </a:pPr>
            <a:r>
              <a:rPr lang="pl-PL" sz="1000">
                <a:solidFill>
                  <a:srgbClr val="404040"/>
                </a:solidFill>
              </a:rPr>
              <a:t>Status</a:t>
            </a:r>
            <a:r>
              <a:rPr lang="pl-PL" sz="1000" baseline="0">
                <a:solidFill>
                  <a:srgbClr val="404040"/>
                </a:solidFill>
              </a:rPr>
              <a:t> działań - dostęp do informacji</a:t>
            </a:r>
            <a:endParaRPr lang="pl-PL" sz="1000">
              <a:solidFill>
                <a:srgbClr val="404040"/>
              </a:solidFill>
            </a:endParaRPr>
          </a:p>
        </c:rich>
      </c:tx>
      <c:overlay val="1"/>
    </c:title>
    <c:autoTitleDeleted val="0"/>
    <c:plotArea>
      <c:layout>
        <c:manualLayout>
          <c:layoutTarget val="inner"/>
          <c:xMode val="edge"/>
          <c:yMode val="edge"/>
          <c:x val="0.14479346189325923"/>
          <c:y val="0.12600806451612903"/>
          <c:w val="0.49507570189622224"/>
          <c:h val="0.84879032258064513"/>
        </c:manualLayout>
      </c:layout>
      <c:pieChart>
        <c:varyColors val="1"/>
        <c:ser>
          <c:idx val="0"/>
          <c:order val="0"/>
          <c:spPr>
            <a:ln w="1270">
              <a:noFill/>
            </a:ln>
          </c:spPr>
          <c:dPt>
            <c:idx val="0"/>
            <c:bubble3D val="0"/>
            <c:spPr>
              <a:solidFill>
                <a:schemeClr val="accent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63B-4317-AAA4-904EA4EDCA7A}"/>
              </c:ext>
            </c:extLst>
          </c:dPt>
          <c:dPt>
            <c:idx val="1"/>
            <c:bubble3D val="0"/>
            <c:spPr>
              <a:solidFill>
                <a:schemeClr val="accent2"/>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63B-4317-AAA4-904EA4EDCA7A}"/>
              </c:ext>
            </c:extLst>
          </c:dPt>
          <c:dPt>
            <c:idx val="2"/>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63B-4317-AAA4-904EA4EDCA7A}"/>
              </c:ext>
            </c:extLst>
          </c:dPt>
          <c:dPt>
            <c:idx val="3"/>
            <c:bubble3D val="0"/>
            <c:spPr>
              <a:solidFill>
                <a:schemeClr val="accent4"/>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863B-4317-AAA4-904EA4EDCA7A}"/>
              </c:ext>
            </c:extLst>
          </c:dPt>
          <c:dLbls>
            <c:spPr>
              <a:pattFill prst="pct75">
                <a:fgClr>
                  <a:srgbClr val="404040"/>
                </a:fgClr>
                <a:bgClr>
                  <a:srgbClr val="595959"/>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ZL!$C$6:$C$9</c:f>
              <c:strCache>
                <c:ptCount val="4"/>
                <c:pt idx="0">
                  <c:v>zakończone</c:v>
                </c:pt>
                <c:pt idx="1">
                  <c:v>w trakcie realizacji</c:v>
                </c:pt>
                <c:pt idx="2">
                  <c:v>brak danych</c:v>
                </c:pt>
                <c:pt idx="3">
                  <c:v>nierozpoczęte</c:v>
                </c:pt>
              </c:strCache>
            </c:strRef>
          </c:cat>
          <c:val>
            <c:numRef>
              <c:f>ZL!$D$6:$D$9</c:f>
              <c:numCache>
                <c:formatCode>General</c:formatCode>
                <c:ptCount val="4"/>
                <c:pt idx="0">
                  <c:v>29</c:v>
                </c:pt>
                <c:pt idx="1">
                  <c:v>22</c:v>
                </c:pt>
                <c:pt idx="2">
                  <c:v>29.5</c:v>
                </c:pt>
                <c:pt idx="3">
                  <c:v>19</c:v>
                </c:pt>
              </c:numCache>
            </c:numRef>
          </c:val>
          <c:extLst>
            <c:ext xmlns:c16="http://schemas.microsoft.com/office/drawing/2014/chart" uri="{C3380CC4-5D6E-409C-BE32-E72D297353CC}">
              <c16:uniqueId val="{00000008-863B-4317-AAA4-904EA4EDCA7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rgbClr val="404040"/>
                </a:solidFill>
              </a:defRPr>
            </a:pPr>
            <a:r>
              <a:rPr lang="pl-PL" sz="1000">
                <a:solidFill>
                  <a:srgbClr val="404040"/>
                </a:solidFill>
              </a:rPr>
              <a:t>Status</a:t>
            </a:r>
            <a:r>
              <a:rPr lang="pl-PL" sz="1000" baseline="0">
                <a:solidFill>
                  <a:srgbClr val="404040"/>
                </a:solidFill>
              </a:rPr>
              <a:t> działań - organizacyjno-prawne</a:t>
            </a:r>
            <a:endParaRPr lang="pl-PL" sz="1000">
              <a:solidFill>
                <a:srgbClr val="404040"/>
              </a:solidFill>
            </a:endParaRPr>
          </a:p>
        </c:rich>
      </c:tx>
      <c:overlay val="1"/>
    </c:title>
    <c:autoTitleDeleted val="0"/>
    <c:plotArea>
      <c:layout>
        <c:manualLayout>
          <c:layoutTarget val="inner"/>
          <c:xMode val="edge"/>
          <c:yMode val="edge"/>
          <c:x val="0.10951490831395598"/>
          <c:y val="0.13104838709677419"/>
          <c:w val="0.48919594296633839"/>
          <c:h val="0.83870967741935487"/>
        </c:manualLayout>
      </c:layout>
      <c:pieChart>
        <c:varyColors val="1"/>
        <c:ser>
          <c:idx val="0"/>
          <c:order val="0"/>
          <c:spPr>
            <a:ln w="1270">
              <a:noFill/>
            </a:ln>
          </c:spPr>
          <c:dPt>
            <c:idx val="0"/>
            <c:bubble3D val="0"/>
            <c:spPr>
              <a:solidFill>
                <a:schemeClr val="accent1"/>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CD1-4961-832D-BDFCD06D2A70}"/>
              </c:ext>
            </c:extLst>
          </c:dPt>
          <c:dPt>
            <c:idx val="1"/>
            <c:bubble3D val="0"/>
            <c:spPr>
              <a:solidFill>
                <a:schemeClr val="accent3"/>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CD1-4961-832D-BDFCD06D2A70}"/>
              </c:ext>
            </c:extLst>
          </c:dPt>
          <c:dPt>
            <c:idx val="2"/>
            <c:bubble3D val="0"/>
            <c:spPr>
              <a:solidFill>
                <a:schemeClr val="accent4"/>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CD1-4961-832D-BDFCD06D2A70}"/>
              </c:ext>
            </c:extLst>
          </c:dPt>
          <c:dPt>
            <c:idx val="3"/>
            <c:bubble3D val="0"/>
            <c:spPr>
              <a:solidFill>
                <a:schemeClr val="accent2"/>
              </a:solidFill>
              <a:ln w="1270">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8CD1-4961-832D-BDFCD06D2A70}"/>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ZL!$C$11:$C$14</c:f>
              <c:strCache>
                <c:ptCount val="4"/>
                <c:pt idx="0">
                  <c:v>zakończone</c:v>
                </c:pt>
                <c:pt idx="1">
                  <c:v>brak danych</c:v>
                </c:pt>
                <c:pt idx="2">
                  <c:v>nierozpoczęte</c:v>
                </c:pt>
                <c:pt idx="3">
                  <c:v>w trakcie realizacji</c:v>
                </c:pt>
              </c:strCache>
            </c:strRef>
          </c:cat>
          <c:val>
            <c:numRef>
              <c:f>ZL!$D$11:$D$14</c:f>
              <c:numCache>
                <c:formatCode>General</c:formatCode>
                <c:ptCount val="4"/>
                <c:pt idx="0">
                  <c:v>42</c:v>
                </c:pt>
                <c:pt idx="1">
                  <c:v>22</c:v>
                </c:pt>
                <c:pt idx="2">
                  <c:v>26</c:v>
                </c:pt>
                <c:pt idx="3">
                  <c:v>10</c:v>
                </c:pt>
              </c:numCache>
            </c:numRef>
          </c:val>
          <c:extLst>
            <c:ext xmlns:c16="http://schemas.microsoft.com/office/drawing/2014/chart" uri="{C3380CC4-5D6E-409C-BE32-E72D297353CC}">
              <c16:uniqueId val="{00000008-8CD1-4961-832D-BDFCD06D2A7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4477080551846907E-2"/>
          <c:y val="3.4203980099502485E-2"/>
          <c:w val="0.65688214206868989"/>
          <c:h val="0.92848258706467657"/>
        </c:manualLayout>
      </c:layout>
      <c:ofPieChart>
        <c:ofPieType val="pie"/>
        <c:varyColors val="1"/>
        <c:ser>
          <c:idx val="0"/>
          <c:order val="0"/>
          <c:tx>
            <c:strRef>
              <c:f>ODRA_DAT!$I$25</c:f>
              <c:strCache>
                <c:ptCount val="1"/>
                <c:pt idx="0">
                  <c:v>Obszar Dorzecza Wisły</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D9C-4317-B920-41563404D80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D9C-4317-B920-41563404D80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2D9C-4317-B920-41563404D80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2D9C-4317-B920-41563404D80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2D9C-4317-B920-41563404D80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2D9C-4317-B920-41563404D80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2D9C-4317-B920-41563404D80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2D9C-4317-B920-41563404D80B}"/>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2D9C-4317-B920-41563404D80B}"/>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2D9C-4317-B920-41563404D80B}"/>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5-2D9C-4317-B920-41563404D80B}"/>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7-2D9C-4317-B920-41563404D80B}"/>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9-2D9C-4317-B920-41563404D80B}"/>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B-2D9C-4317-B920-41563404D80B}"/>
              </c:ext>
            </c:extLst>
          </c:dPt>
          <c:dPt>
            <c:idx val="14"/>
            <c:bubble3D val="0"/>
            <c:spPr>
              <a:solidFill>
                <a:schemeClr val="bg2">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D-2D9C-4317-B920-41563404D80B}"/>
              </c:ext>
            </c:extLst>
          </c:dPt>
          <c:dPt>
            <c:idx val="15"/>
            <c:bubble3D val="0"/>
            <c:spPr>
              <a:solidFill>
                <a:schemeClr val="accent2">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F-2D9C-4317-B920-41563404D80B}"/>
              </c:ext>
            </c:extLst>
          </c:dPt>
          <c:dLbls>
            <c:dLbl>
              <c:idx val="0"/>
              <c:delete val="1"/>
              <c:extLst>
                <c:ext xmlns:c15="http://schemas.microsoft.com/office/drawing/2012/chart" uri="{CE6537A1-D6FC-4f65-9D91-7224C49458BB}"/>
                <c:ext xmlns:c16="http://schemas.microsoft.com/office/drawing/2014/chart" uri="{C3380CC4-5D6E-409C-BE32-E72D297353CC}">
                  <c16:uniqueId val="{00000001-2D9C-4317-B920-41563404D80B}"/>
                </c:ext>
              </c:extLst>
            </c:dLbl>
            <c:dLbl>
              <c:idx val="1"/>
              <c:layout>
                <c:manualLayout>
                  <c:x val="7.1086832895888019E-2"/>
                  <c:y val="-0.1371123146001543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D9C-4317-B920-41563404D80B}"/>
                </c:ext>
              </c:extLst>
            </c:dLbl>
            <c:dLbl>
              <c:idx val="4"/>
              <c:delete val="1"/>
              <c:extLst>
                <c:ext xmlns:c15="http://schemas.microsoft.com/office/drawing/2012/chart" uri="{CE6537A1-D6FC-4f65-9D91-7224C49458BB}"/>
                <c:ext xmlns:c16="http://schemas.microsoft.com/office/drawing/2014/chart" uri="{C3380CC4-5D6E-409C-BE32-E72D297353CC}">
                  <c16:uniqueId val="{00000009-2D9C-4317-B920-41563404D80B}"/>
                </c:ext>
              </c:extLst>
            </c:dLbl>
            <c:dLbl>
              <c:idx val="5"/>
              <c:delete val="1"/>
              <c:extLst>
                <c:ext xmlns:c15="http://schemas.microsoft.com/office/drawing/2012/chart" uri="{CE6537A1-D6FC-4f65-9D91-7224C49458BB}"/>
                <c:ext xmlns:c16="http://schemas.microsoft.com/office/drawing/2014/chart" uri="{C3380CC4-5D6E-409C-BE32-E72D297353CC}">
                  <c16:uniqueId val="{0000000B-2D9C-4317-B920-41563404D80B}"/>
                </c:ext>
              </c:extLst>
            </c:dLbl>
            <c:dLbl>
              <c:idx val="6"/>
              <c:delete val="1"/>
              <c:extLst>
                <c:ext xmlns:c15="http://schemas.microsoft.com/office/drawing/2012/chart" uri="{CE6537A1-D6FC-4f65-9D91-7224C49458BB}"/>
                <c:ext xmlns:c16="http://schemas.microsoft.com/office/drawing/2014/chart" uri="{C3380CC4-5D6E-409C-BE32-E72D297353CC}">
                  <c16:uniqueId val="{0000000D-2D9C-4317-B920-41563404D80B}"/>
                </c:ext>
              </c:extLst>
            </c:dLbl>
            <c:dLbl>
              <c:idx val="7"/>
              <c:delete val="1"/>
              <c:extLst>
                <c:ext xmlns:c15="http://schemas.microsoft.com/office/drawing/2012/chart" uri="{CE6537A1-D6FC-4f65-9D91-7224C49458BB}"/>
                <c:ext xmlns:c16="http://schemas.microsoft.com/office/drawing/2014/chart" uri="{C3380CC4-5D6E-409C-BE32-E72D297353CC}">
                  <c16:uniqueId val="{0000000F-2D9C-4317-B920-41563404D80B}"/>
                </c:ext>
              </c:extLst>
            </c:dLbl>
            <c:dLbl>
              <c:idx val="8"/>
              <c:layout>
                <c:manualLayout>
                  <c:x val="4.265376202974628E-2"/>
                  <c:y val="-0.1136073360687399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2D9C-4317-B920-41563404D80B}"/>
                </c:ext>
              </c:extLst>
            </c:dLbl>
            <c:dLbl>
              <c:idx val="9"/>
              <c:layout>
                <c:manualLayout>
                  <c:x val="6.3387795275590603E-2"/>
                  <c:y val="9.9169919865535246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3-2D9C-4317-B920-41563404D80B}"/>
                </c:ext>
              </c:extLst>
            </c:dLbl>
            <c:dLbl>
              <c:idx val="10"/>
              <c:delete val="1"/>
              <c:extLst>
                <c:ext xmlns:c15="http://schemas.microsoft.com/office/drawing/2012/chart" uri="{CE6537A1-D6FC-4f65-9D91-7224C49458BB}"/>
                <c:ext xmlns:c16="http://schemas.microsoft.com/office/drawing/2014/chart" uri="{C3380CC4-5D6E-409C-BE32-E72D297353CC}">
                  <c16:uniqueId val="{00000015-2D9C-4317-B920-41563404D80B}"/>
                </c:ext>
              </c:extLst>
            </c:dLbl>
            <c:dLbl>
              <c:idx val="11"/>
              <c:delete val="1"/>
              <c:extLst>
                <c:ext xmlns:c15="http://schemas.microsoft.com/office/drawing/2012/chart" uri="{CE6537A1-D6FC-4f65-9D91-7224C49458BB}"/>
                <c:ext xmlns:c16="http://schemas.microsoft.com/office/drawing/2014/chart" uri="{C3380CC4-5D6E-409C-BE32-E72D297353CC}">
                  <c16:uniqueId val="{00000017-2D9C-4317-B920-41563404D80B}"/>
                </c:ext>
              </c:extLst>
            </c:dLbl>
            <c:dLbl>
              <c:idx val="12"/>
              <c:layout>
                <c:manualLayout>
                  <c:x val="4.3577865266841591E-2"/>
                  <c:y val="5.312599500233570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9-2D9C-4317-B920-41563404D80B}"/>
                </c:ext>
              </c:extLst>
            </c:dLbl>
            <c:dLbl>
              <c:idx val="14"/>
              <c:layout>
                <c:manualLayout>
                  <c:x val="-7.0365704286964231E-2"/>
                  <c:y val="6.570968349810511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D-2D9C-4317-B920-41563404D80B}"/>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ODRA_DAT!$J$24:$X$24</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4">
                  <c:v>Zrzuty - stawy</c:v>
                </c:pt>
              </c:strCache>
            </c:strRef>
          </c:cat>
          <c:val>
            <c:numRef>
              <c:f>ODRA_DAT!$J$25:$X$25</c:f>
              <c:numCache>
                <c:formatCode>General</c:formatCode>
                <c:ptCount val="15"/>
                <c:pt idx="0">
                  <c:v>10</c:v>
                </c:pt>
                <c:pt idx="1">
                  <c:v>3295</c:v>
                </c:pt>
                <c:pt idx="2">
                  <c:v>2514</c:v>
                </c:pt>
                <c:pt idx="3">
                  <c:v>806</c:v>
                </c:pt>
                <c:pt idx="4">
                  <c:v>8</c:v>
                </c:pt>
                <c:pt idx="5">
                  <c:v>19</c:v>
                </c:pt>
                <c:pt idx="6">
                  <c:v>5</c:v>
                </c:pt>
                <c:pt idx="7">
                  <c:v>3</c:v>
                </c:pt>
                <c:pt idx="8">
                  <c:v>809</c:v>
                </c:pt>
                <c:pt idx="9">
                  <c:v>529</c:v>
                </c:pt>
                <c:pt idx="10">
                  <c:v>1</c:v>
                </c:pt>
                <c:pt idx="11">
                  <c:v>25</c:v>
                </c:pt>
                <c:pt idx="12">
                  <c:v>160</c:v>
                </c:pt>
                <c:pt idx="14">
                  <c:v>1593</c:v>
                </c:pt>
              </c:numCache>
            </c:numRef>
          </c:val>
          <c:extLst>
            <c:ext xmlns:c16="http://schemas.microsoft.com/office/drawing/2014/chart" uri="{C3380CC4-5D6E-409C-BE32-E72D297353CC}">
              <c16:uniqueId val="{00000020-2D9C-4317-B920-41563404D80B}"/>
            </c:ext>
          </c:extLst>
        </c:ser>
        <c:ser>
          <c:idx val="1"/>
          <c:order val="1"/>
          <c:tx>
            <c:strRef>
              <c:f>ODRA_DAT!$I$26</c:f>
              <c:strCache>
                <c:ptCount val="1"/>
                <c:pt idx="0">
                  <c:v>region wodny Dolnej Odry i Przymorza Zachodniego</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2-2D9C-4317-B920-41563404D80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4-2D9C-4317-B920-41563404D80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6-2D9C-4317-B920-41563404D80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8-2D9C-4317-B920-41563404D80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A-2D9C-4317-B920-41563404D80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C-2D9C-4317-B920-41563404D80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E-2D9C-4317-B920-41563404D80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0-2D9C-4317-B920-41563404D80B}"/>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2-2D9C-4317-B920-41563404D80B}"/>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4-2D9C-4317-B920-41563404D80B}"/>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6-2D9C-4317-B920-41563404D80B}"/>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8-2D9C-4317-B920-41563404D80B}"/>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A-2D9C-4317-B920-41563404D80B}"/>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C-2D9C-4317-B920-41563404D80B}"/>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E-2D9C-4317-B920-41563404D80B}"/>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0-2D9C-4317-B920-41563404D80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ODRA_DAT!$J$24:$X$24</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4">
                  <c:v>Zrzuty - stawy</c:v>
                </c:pt>
              </c:strCache>
            </c:strRef>
          </c:cat>
          <c:val>
            <c:numRef>
              <c:f>ODRA_DAT!$J$26:$X$26</c:f>
              <c:numCache>
                <c:formatCode>General</c:formatCode>
                <c:ptCount val="15"/>
                <c:pt idx="1">
                  <c:v>618</c:v>
                </c:pt>
                <c:pt idx="2">
                  <c:v>245</c:v>
                </c:pt>
                <c:pt idx="3">
                  <c:v>13</c:v>
                </c:pt>
                <c:pt idx="5">
                  <c:v>16</c:v>
                </c:pt>
                <c:pt idx="8">
                  <c:v>13</c:v>
                </c:pt>
                <c:pt idx="9">
                  <c:v>121</c:v>
                </c:pt>
                <c:pt idx="11">
                  <c:v>5</c:v>
                </c:pt>
                <c:pt idx="12">
                  <c:v>50</c:v>
                </c:pt>
                <c:pt idx="14">
                  <c:v>128</c:v>
                </c:pt>
              </c:numCache>
            </c:numRef>
          </c:val>
          <c:extLst>
            <c:ext xmlns:c16="http://schemas.microsoft.com/office/drawing/2014/chart" uri="{C3380CC4-5D6E-409C-BE32-E72D297353CC}">
              <c16:uniqueId val="{00000041-2D9C-4317-B920-41563404D80B}"/>
            </c:ext>
          </c:extLst>
        </c:ser>
        <c:ser>
          <c:idx val="2"/>
          <c:order val="2"/>
          <c:tx>
            <c:strRef>
              <c:f>ODRA_DAT!$I$27</c:f>
              <c:strCache>
                <c:ptCount val="1"/>
                <c:pt idx="0">
                  <c:v>region wodny Górnej Odry</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3-2D9C-4317-B920-41563404D80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5-2D9C-4317-B920-41563404D80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7-2D9C-4317-B920-41563404D80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9-2D9C-4317-B920-41563404D80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B-2D9C-4317-B920-41563404D80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D-2D9C-4317-B920-41563404D80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F-2D9C-4317-B920-41563404D80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1-2D9C-4317-B920-41563404D80B}"/>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3-2D9C-4317-B920-41563404D80B}"/>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5-2D9C-4317-B920-41563404D80B}"/>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7-2D9C-4317-B920-41563404D80B}"/>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9-2D9C-4317-B920-41563404D80B}"/>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B-2D9C-4317-B920-41563404D80B}"/>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D-2D9C-4317-B920-41563404D80B}"/>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F-2D9C-4317-B920-41563404D80B}"/>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1-2D9C-4317-B920-41563404D80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ODRA_DAT!$J$24:$X$24</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4">
                  <c:v>Zrzuty - stawy</c:v>
                </c:pt>
              </c:strCache>
            </c:strRef>
          </c:cat>
          <c:val>
            <c:numRef>
              <c:f>ODRA_DAT!$J$27:$X$27</c:f>
              <c:numCache>
                <c:formatCode>General</c:formatCode>
                <c:ptCount val="15"/>
                <c:pt idx="0">
                  <c:v>6</c:v>
                </c:pt>
                <c:pt idx="1">
                  <c:v>338</c:v>
                </c:pt>
                <c:pt idx="2">
                  <c:v>345</c:v>
                </c:pt>
                <c:pt idx="3">
                  <c:v>506</c:v>
                </c:pt>
                <c:pt idx="5">
                  <c:v>2</c:v>
                </c:pt>
                <c:pt idx="8">
                  <c:v>509</c:v>
                </c:pt>
                <c:pt idx="9">
                  <c:v>44</c:v>
                </c:pt>
                <c:pt idx="11">
                  <c:v>1</c:v>
                </c:pt>
                <c:pt idx="12">
                  <c:v>18</c:v>
                </c:pt>
                <c:pt idx="14">
                  <c:v>369</c:v>
                </c:pt>
              </c:numCache>
            </c:numRef>
          </c:val>
          <c:extLst>
            <c:ext xmlns:c16="http://schemas.microsoft.com/office/drawing/2014/chart" uri="{C3380CC4-5D6E-409C-BE32-E72D297353CC}">
              <c16:uniqueId val="{00000062-2D9C-4317-B920-41563404D80B}"/>
            </c:ext>
          </c:extLst>
        </c:ser>
        <c:ser>
          <c:idx val="3"/>
          <c:order val="3"/>
          <c:tx>
            <c:strRef>
              <c:f>ODRA_DAT!$I$28</c:f>
              <c:strCache>
                <c:ptCount val="1"/>
                <c:pt idx="0">
                  <c:v>region wodny Noteci</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4-2D9C-4317-B920-41563404D80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6-2D9C-4317-B920-41563404D80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8-2D9C-4317-B920-41563404D80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A-2D9C-4317-B920-41563404D80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C-2D9C-4317-B920-41563404D80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E-2D9C-4317-B920-41563404D80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0-2D9C-4317-B920-41563404D80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2-2D9C-4317-B920-41563404D80B}"/>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4-2D9C-4317-B920-41563404D80B}"/>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6-2D9C-4317-B920-41563404D80B}"/>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8-2D9C-4317-B920-41563404D80B}"/>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A-2D9C-4317-B920-41563404D80B}"/>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C-2D9C-4317-B920-41563404D80B}"/>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E-2D9C-4317-B920-41563404D80B}"/>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0-2D9C-4317-B920-41563404D80B}"/>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2-2D9C-4317-B920-41563404D80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ODRA_DAT!$J$24:$X$24</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4">
                  <c:v>Zrzuty - stawy</c:v>
                </c:pt>
              </c:strCache>
            </c:strRef>
          </c:cat>
          <c:val>
            <c:numRef>
              <c:f>ODRA_DAT!$J$28:$X$28</c:f>
              <c:numCache>
                <c:formatCode>General</c:formatCode>
                <c:ptCount val="15"/>
                <c:pt idx="1">
                  <c:v>323</c:v>
                </c:pt>
                <c:pt idx="2">
                  <c:v>168</c:v>
                </c:pt>
                <c:pt idx="3">
                  <c:v>8</c:v>
                </c:pt>
                <c:pt idx="8">
                  <c:v>8</c:v>
                </c:pt>
                <c:pt idx="9">
                  <c:v>13</c:v>
                </c:pt>
                <c:pt idx="11">
                  <c:v>1</c:v>
                </c:pt>
                <c:pt idx="12">
                  <c:v>11</c:v>
                </c:pt>
                <c:pt idx="14">
                  <c:v>83</c:v>
                </c:pt>
              </c:numCache>
            </c:numRef>
          </c:val>
          <c:extLst>
            <c:ext xmlns:c16="http://schemas.microsoft.com/office/drawing/2014/chart" uri="{C3380CC4-5D6E-409C-BE32-E72D297353CC}">
              <c16:uniqueId val="{00000083-2D9C-4317-B920-41563404D80B}"/>
            </c:ext>
          </c:extLst>
        </c:ser>
        <c:ser>
          <c:idx val="4"/>
          <c:order val="4"/>
          <c:tx>
            <c:strRef>
              <c:f>ODRA_DAT!$I$29</c:f>
              <c:strCache>
                <c:ptCount val="1"/>
                <c:pt idx="0">
                  <c:v>region wodny Środkowej Odry</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5-2D9C-4317-B920-41563404D80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7-2D9C-4317-B920-41563404D80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9-2D9C-4317-B920-41563404D80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B-2D9C-4317-B920-41563404D80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D-2D9C-4317-B920-41563404D80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F-2D9C-4317-B920-41563404D80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91-2D9C-4317-B920-41563404D80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93-2D9C-4317-B920-41563404D80B}"/>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95-2D9C-4317-B920-41563404D80B}"/>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97-2D9C-4317-B920-41563404D80B}"/>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99-2D9C-4317-B920-41563404D80B}"/>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9B-2D9C-4317-B920-41563404D80B}"/>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9D-2D9C-4317-B920-41563404D80B}"/>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9F-2D9C-4317-B920-41563404D80B}"/>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A1-2D9C-4317-B920-41563404D80B}"/>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A3-2D9C-4317-B920-41563404D80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ODRA_DAT!$J$24:$X$24</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4">
                  <c:v>Zrzuty - stawy</c:v>
                </c:pt>
              </c:strCache>
            </c:strRef>
          </c:cat>
          <c:val>
            <c:numRef>
              <c:f>ODRA_DAT!$J$29:$X$29</c:f>
              <c:numCache>
                <c:formatCode>General</c:formatCode>
                <c:ptCount val="15"/>
                <c:pt idx="0">
                  <c:v>2</c:v>
                </c:pt>
                <c:pt idx="1">
                  <c:v>998</c:v>
                </c:pt>
                <c:pt idx="2">
                  <c:v>1256</c:v>
                </c:pt>
                <c:pt idx="3">
                  <c:v>256</c:v>
                </c:pt>
                <c:pt idx="4">
                  <c:v>4</c:v>
                </c:pt>
                <c:pt idx="5">
                  <c:v>1</c:v>
                </c:pt>
                <c:pt idx="6">
                  <c:v>5</c:v>
                </c:pt>
                <c:pt idx="7">
                  <c:v>2</c:v>
                </c:pt>
                <c:pt idx="8">
                  <c:v>256</c:v>
                </c:pt>
                <c:pt idx="9">
                  <c:v>282</c:v>
                </c:pt>
                <c:pt idx="10">
                  <c:v>1</c:v>
                </c:pt>
                <c:pt idx="11">
                  <c:v>13</c:v>
                </c:pt>
                <c:pt idx="12">
                  <c:v>32</c:v>
                </c:pt>
                <c:pt idx="14">
                  <c:v>784</c:v>
                </c:pt>
              </c:numCache>
            </c:numRef>
          </c:val>
          <c:extLst>
            <c:ext xmlns:c16="http://schemas.microsoft.com/office/drawing/2014/chart" uri="{C3380CC4-5D6E-409C-BE32-E72D297353CC}">
              <c16:uniqueId val="{000000A4-2D9C-4317-B920-41563404D80B}"/>
            </c:ext>
          </c:extLst>
        </c:ser>
        <c:ser>
          <c:idx val="5"/>
          <c:order val="5"/>
          <c:tx>
            <c:strRef>
              <c:f>ODRA_DAT!$I$30</c:f>
              <c:strCache>
                <c:ptCount val="1"/>
                <c:pt idx="0">
                  <c:v>region wodny Warty</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A6-2D9C-4317-B920-41563404D80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A8-2D9C-4317-B920-41563404D80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AA-2D9C-4317-B920-41563404D80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AC-2D9C-4317-B920-41563404D80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AE-2D9C-4317-B920-41563404D80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B0-2D9C-4317-B920-41563404D80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B2-2D9C-4317-B920-41563404D80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B4-2D9C-4317-B920-41563404D80B}"/>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B6-2D9C-4317-B920-41563404D80B}"/>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B8-2D9C-4317-B920-41563404D80B}"/>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BA-2D9C-4317-B920-41563404D80B}"/>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BC-2D9C-4317-B920-41563404D80B}"/>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BE-2D9C-4317-B920-41563404D80B}"/>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C0-2D9C-4317-B920-41563404D80B}"/>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C2-2D9C-4317-B920-41563404D80B}"/>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C4-2D9C-4317-B920-41563404D80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ODRA_DAT!$J$24:$X$24</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4">
                  <c:v>Zrzuty - stawy</c:v>
                </c:pt>
              </c:strCache>
            </c:strRef>
          </c:cat>
          <c:val>
            <c:numRef>
              <c:f>ODRA_DAT!$J$30:$X$30</c:f>
              <c:numCache>
                <c:formatCode>General</c:formatCode>
                <c:ptCount val="15"/>
                <c:pt idx="0">
                  <c:v>2</c:v>
                </c:pt>
                <c:pt idx="1">
                  <c:v>1018</c:v>
                </c:pt>
                <c:pt idx="2">
                  <c:v>500</c:v>
                </c:pt>
                <c:pt idx="3">
                  <c:v>23</c:v>
                </c:pt>
                <c:pt idx="4">
                  <c:v>4</c:v>
                </c:pt>
                <c:pt idx="7">
                  <c:v>1</c:v>
                </c:pt>
                <c:pt idx="8">
                  <c:v>23</c:v>
                </c:pt>
                <c:pt idx="9">
                  <c:v>69</c:v>
                </c:pt>
                <c:pt idx="11">
                  <c:v>5</c:v>
                </c:pt>
                <c:pt idx="12">
                  <c:v>49</c:v>
                </c:pt>
                <c:pt idx="14">
                  <c:v>229</c:v>
                </c:pt>
              </c:numCache>
            </c:numRef>
          </c:val>
          <c:extLst>
            <c:ext xmlns:c16="http://schemas.microsoft.com/office/drawing/2014/chart" uri="{C3380CC4-5D6E-409C-BE32-E72D297353CC}">
              <c16:uniqueId val="{000000C5-2D9C-4317-B920-41563404D80B}"/>
            </c:ext>
          </c:extLst>
        </c:ser>
        <c:dLbls>
          <c:dLblPos val="ctr"/>
          <c:showLegendKey val="0"/>
          <c:showVal val="0"/>
          <c:showCatName val="0"/>
          <c:showSerName val="0"/>
          <c:showPercent val="1"/>
          <c:showBubbleSize val="0"/>
          <c:showLeaderLines val="1"/>
        </c:dLbls>
        <c:gapWidth val="100"/>
        <c:splitType val="pos"/>
        <c:splitPos val="11"/>
        <c:secondPieSize val="75"/>
        <c:serLines>
          <c:spPr>
            <a:ln w="9525">
              <a:solidFill>
                <a:schemeClr val="dk1">
                  <a:lumMod val="50000"/>
                  <a:lumOff val="50000"/>
                </a:schemeClr>
              </a:solidFill>
              <a:round/>
            </a:ln>
            <a:effectLst/>
          </c:spPr>
        </c:serLines>
      </c:ofPieChart>
      <c:spPr>
        <a:noFill/>
        <a:ln>
          <a:noFill/>
        </a:ln>
        <a:effectLst/>
      </c:spPr>
    </c:plotArea>
    <c:legend>
      <c:legendPos val="r"/>
      <c:legendEntry>
        <c:idx val="13"/>
        <c:delete val="1"/>
      </c:legendEntry>
      <c:layout>
        <c:manualLayout>
          <c:xMode val="edge"/>
          <c:yMode val="edge"/>
          <c:x val="0.67956470394471724"/>
          <c:y val="0"/>
          <c:w val="0.31489457567804024"/>
          <c:h val="1"/>
        </c:manualLayout>
      </c:layout>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0.35708</cdr:x>
      <cdr:y>0.7774</cdr:y>
    </cdr:from>
    <cdr:to>
      <cdr:x>0.49662</cdr:x>
      <cdr:y>0.88179</cdr:y>
    </cdr:to>
    <cdr:sp macro="" textlink="">
      <cdr:nvSpPr>
        <cdr:cNvPr id="4" name="pole tekstowe 1"/>
        <cdr:cNvSpPr txBox="1"/>
      </cdr:nvSpPr>
      <cdr:spPr>
        <a:xfrm xmlns:a="http://schemas.openxmlformats.org/drawingml/2006/main">
          <a:off x="2334244" y="2968270"/>
          <a:ext cx="912187" cy="39858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endParaRPr lang="pl-PL" sz="900">
            <a:solidFill>
              <a:schemeClr val="tx1">
                <a:lumMod val="75000"/>
                <a:lumOff val="25000"/>
              </a:schemeClr>
            </a:solidFill>
          </a:endParaRPr>
        </a:p>
      </cdr:txBody>
    </cdr:sp>
  </cdr:relSizeAnchor>
  <cdr:relSizeAnchor xmlns:cdr="http://schemas.openxmlformats.org/drawingml/2006/chartDrawing">
    <cdr:from>
      <cdr:x>0.36024</cdr:x>
      <cdr:y>0.34178</cdr:y>
    </cdr:from>
    <cdr:to>
      <cdr:x>0.49978</cdr:x>
      <cdr:y>0.44618</cdr:y>
    </cdr:to>
    <cdr:sp macro="" textlink="">
      <cdr:nvSpPr>
        <cdr:cNvPr id="5" name="pole tekstowe 1"/>
        <cdr:cNvSpPr txBox="1"/>
      </cdr:nvSpPr>
      <cdr:spPr>
        <a:xfrm xmlns:a="http://schemas.openxmlformats.org/drawingml/2006/main">
          <a:off x="2354956" y="1304994"/>
          <a:ext cx="912187" cy="398619"/>
        </a:xfrm>
        <a:prstGeom xmlns:a="http://schemas.openxmlformats.org/drawingml/2006/main" prst="rect">
          <a:avLst/>
        </a:prstGeom>
      </cdr:spPr>
      <cdr:txBody>
        <a:bodyPr xmlns:a="http://schemas.openxmlformats.org/drawingml/2006/main" wrap="non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endParaRPr lang="pl-PL" sz="900">
            <a:solidFill>
              <a:schemeClr val="tx1">
                <a:lumMod val="75000"/>
                <a:lumOff val="25000"/>
              </a:schemeClr>
            </a:solidFill>
          </a:endParaRPr>
        </a:p>
      </cdr:txBody>
    </cdr:sp>
  </cdr:relSizeAnchor>
  <cdr:relSizeAnchor xmlns:cdr="http://schemas.openxmlformats.org/drawingml/2006/chartDrawing">
    <cdr:from>
      <cdr:x>0.57839</cdr:x>
      <cdr:y>0.48258</cdr:y>
    </cdr:from>
    <cdr:to>
      <cdr:x>0.71793</cdr:x>
      <cdr:y>0.58698</cdr:y>
    </cdr:to>
    <cdr:sp macro="" textlink="">
      <cdr:nvSpPr>
        <cdr:cNvPr id="6" name="pole tekstowe 1"/>
        <cdr:cNvSpPr txBox="1"/>
      </cdr:nvSpPr>
      <cdr:spPr>
        <a:xfrm xmlns:a="http://schemas.openxmlformats.org/drawingml/2006/main">
          <a:off x="3780984" y="1842567"/>
          <a:ext cx="912187" cy="398618"/>
        </a:xfrm>
        <a:prstGeom xmlns:a="http://schemas.openxmlformats.org/drawingml/2006/main" prst="rect">
          <a:avLst/>
        </a:prstGeom>
      </cdr:spPr>
      <cdr:txBody>
        <a:bodyPr xmlns:a="http://schemas.openxmlformats.org/drawingml/2006/main" wrap="non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endParaRPr lang="pl-PL" sz="900">
            <a:solidFill>
              <a:schemeClr val="tx1">
                <a:lumMod val="75000"/>
                <a:lumOff val="25000"/>
              </a:schemeClr>
            </a:solidFill>
          </a:endParaRPr>
        </a:p>
      </cdr:txBody>
    </cdr:sp>
  </cdr:relSizeAnchor>
  <cdr:relSizeAnchor xmlns:cdr="http://schemas.openxmlformats.org/drawingml/2006/chartDrawing">
    <cdr:from>
      <cdr:x>0.57864</cdr:x>
      <cdr:y>0.14599</cdr:y>
    </cdr:from>
    <cdr:to>
      <cdr:x>0.71817</cdr:x>
      <cdr:y>0.25038</cdr:y>
    </cdr:to>
    <cdr:sp macro="" textlink="">
      <cdr:nvSpPr>
        <cdr:cNvPr id="7" name="pole tekstowe 1"/>
        <cdr:cNvSpPr txBox="1"/>
      </cdr:nvSpPr>
      <cdr:spPr>
        <a:xfrm xmlns:a="http://schemas.openxmlformats.org/drawingml/2006/main">
          <a:off x="3782627" y="557409"/>
          <a:ext cx="912122" cy="398581"/>
        </a:xfrm>
        <a:prstGeom xmlns:a="http://schemas.openxmlformats.org/drawingml/2006/main" prst="rect">
          <a:avLst/>
        </a:prstGeom>
      </cdr:spPr>
      <cdr:txBody>
        <a:bodyPr xmlns:a="http://schemas.openxmlformats.org/drawingml/2006/main" wrap="non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endParaRPr lang="pl-PL" sz="900">
            <a:solidFill>
              <a:schemeClr val="tx1">
                <a:lumMod val="75000"/>
                <a:lumOff val="25000"/>
              </a:schemeClr>
            </a:solidFill>
          </a:endParaRPr>
        </a:p>
      </cdr:txBody>
    </cdr:sp>
  </cdr:relSizeAnchor>
  <cdr:relSizeAnchor xmlns:cdr="http://schemas.openxmlformats.org/drawingml/2006/chartDrawing">
    <cdr:from>
      <cdr:x>0.73546</cdr:x>
      <cdr:y>0.63873</cdr:y>
    </cdr:from>
    <cdr:to>
      <cdr:x>0.87499</cdr:x>
      <cdr:y>0.74312</cdr:y>
    </cdr:to>
    <cdr:sp macro="" textlink="">
      <cdr:nvSpPr>
        <cdr:cNvPr id="8" name="pole tekstowe 1"/>
        <cdr:cNvSpPr txBox="1"/>
      </cdr:nvSpPr>
      <cdr:spPr>
        <a:xfrm xmlns:a="http://schemas.openxmlformats.org/drawingml/2006/main">
          <a:off x="4807778" y="2434746"/>
          <a:ext cx="912122" cy="397917"/>
        </a:xfrm>
        <a:prstGeom xmlns:a="http://schemas.openxmlformats.org/drawingml/2006/main" prst="rect">
          <a:avLst/>
        </a:prstGeom>
      </cdr:spPr>
      <cdr:txBody>
        <a:bodyPr xmlns:a="http://schemas.openxmlformats.org/drawingml/2006/main" wrap="non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endParaRPr lang="pl-PL" sz="900">
            <a:solidFill>
              <a:schemeClr val="tx1">
                <a:lumMod val="75000"/>
                <a:lumOff val="25000"/>
              </a:schemeClr>
            </a:solidFill>
          </a:endParaRPr>
        </a:p>
      </cdr:txBody>
    </cdr:sp>
  </cdr:relSizeAnchor>
  <cdr:relSizeAnchor xmlns:cdr="http://schemas.openxmlformats.org/drawingml/2006/chartDrawing">
    <cdr:from>
      <cdr:x>0.72249</cdr:x>
      <cdr:y>0.1872</cdr:y>
    </cdr:from>
    <cdr:to>
      <cdr:x>0.89248</cdr:x>
      <cdr:y>0.28903</cdr:y>
    </cdr:to>
    <cdr:sp macro="" textlink="">
      <cdr:nvSpPr>
        <cdr:cNvPr id="9" name="pole tekstowe 1"/>
        <cdr:cNvSpPr txBox="1"/>
      </cdr:nvSpPr>
      <cdr:spPr>
        <a:xfrm xmlns:a="http://schemas.openxmlformats.org/drawingml/2006/main">
          <a:off x="4722989" y="713575"/>
          <a:ext cx="1111250" cy="3881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1000">
              <a:solidFill>
                <a:schemeClr val="tx1">
                  <a:lumMod val="75000"/>
                  <a:lumOff val="25000"/>
                </a:schemeClr>
              </a:solidFill>
            </a:rPr>
            <a:t>chemiczna</a:t>
          </a:r>
        </a:p>
        <a:p xmlns:a="http://schemas.openxmlformats.org/drawingml/2006/main">
          <a:pPr algn="ctr"/>
          <a:r>
            <a:rPr lang="pl-PL" sz="1000">
              <a:solidFill>
                <a:schemeClr val="tx1">
                  <a:lumMod val="75000"/>
                  <a:lumOff val="25000"/>
                </a:schemeClr>
              </a:solidFill>
            </a:rPr>
            <a:t>typu</a:t>
          </a:r>
          <a:r>
            <a:rPr lang="pl-PL" sz="1000" baseline="0">
              <a:solidFill>
                <a:schemeClr val="tx1">
                  <a:lumMod val="75000"/>
                  <a:lumOff val="25000"/>
                </a:schemeClr>
              </a:solidFill>
            </a:rPr>
            <a:t> A</a:t>
          </a:r>
          <a:endParaRPr lang="pl-PL" sz="1000">
            <a:solidFill>
              <a:schemeClr val="tx1">
                <a:lumMod val="75000"/>
                <a:lumOff val="25000"/>
              </a:schemeClr>
            </a:solidFill>
          </a:endParaRPr>
        </a:p>
      </cdr:txBody>
    </cdr:sp>
  </cdr:relSizeAnchor>
  <cdr:relSizeAnchor xmlns:cdr="http://schemas.openxmlformats.org/drawingml/2006/chartDrawing">
    <cdr:from>
      <cdr:x>0.80937</cdr:x>
      <cdr:y>0.05017</cdr:y>
    </cdr:from>
    <cdr:to>
      <cdr:x>1</cdr:x>
      <cdr:y>0.15456</cdr:y>
    </cdr:to>
    <cdr:sp macro="" textlink="">
      <cdr:nvSpPr>
        <cdr:cNvPr id="10" name="pole tekstowe 1"/>
        <cdr:cNvSpPr txBox="1"/>
      </cdr:nvSpPr>
      <cdr:spPr>
        <a:xfrm xmlns:a="http://schemas.openxmlformats.org/drawingml/2006/main">
          <a:off x="4662534" y="168529"/>
          <a:ext cx="1098186" cy="35066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endParaRPr lang="pl-PL" sz="800">
            <a:solidFill>
              <a:schemeClr val="tx1">
                <a:lumMod val="75000"/>
                <a:lumOff val="25000"/>
              </a:schemeClr>
            </a:solidFill>
          </a:endParaRPr>
        </a:p>
      </cdr:txBody>
    </cdr:sp>
  </cdr:relSizeAnchor>
  <cdr:relSizeAnchor xmlns:cdr="http://schemas.openxmlformats.org/drawingml/2006/chartDrawing">
    <cdr:from>
      <cdr:x>0.72418</cdr:x>
      <cdr:y>0.01497</cdr:y>
    </cdr:from>
    <cdr:to>
      <cdr:x>0.82678</cdr:x>
      <cdr:y>0.11936</cdr:y>
    </cdr:to>
    <cdr:sp macro="" textlink="">
      <cdr:nvSpPr>
        <cdr:cNvPr id="11" name="pole tekstowe 1"/>
        <cdr:cNvSpPr txBox="1"/>
      </cdr:nvSpPr>
      <cdr:spPr>
        <a:xfrm xmlns:a="http://schemas.openxmlformats.org/drawingml/2006/main">
          <a:off x="4734039" y="57150"/>
          <a:ext cx="670707" cy="39858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endParaRPr lang="pl-PL" sz="800">
            <a:solidFill>
              <a:schemeClr val="tx1">
                <a:lumMod val="75000"/>
                <a:lumOff val="25000"/>
              </a:schemeClr>
            </a:solidFill>
          </a:endParaRPr>
        </a:p>
      </cdr:txBody>
    </cdr:sp>
  </cdr:relSizeAnchor>
  <cdr:relSizeAnchor xmlns:cdr="http://schemas.openxmlformats.org/drawingml/2006/chartDrawing">
    <cdr:from>
      <cdr:x>0.74039</cdr:x>
      <cdr:y>0.37755</cdr:y>
    </cdr:from>
    <cdr:to>
      <cdr:x>0.87936</cdr:x>
      <cdr:y>0.43791</cdr:y>
    </cdr:to>
    <cdr:sp macro="" textlink="">
      <cdr:nvSpPr>
        <cdr:cNvPr id="12" name="pole tekstowe 1"/>
        <cdr:cNvSpPr txBox="1"/>
      </cdr:nvSpPr>
      <cdr:spPr>
        <a:xfrm xmlns:a="http://schemas.openxmlformats.org/drawingml/2006/main">
          <a:off x="4840024" y="1439166"/>
          <a:ext cx="908461" cy="23008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1000">
              <a:solidFill>
                <a:schemeClr val="tx1">
                  <a:lumMod val="75000"/>
                  <a:lumOff val="25000"/>
                </a:schemeClr>
              </a:solidFill>
            </a:rPr>
            <a:t>chemiczna</a:t>
          </a:r>
        </a:p>
      </cdr:txBody>
    </cdr:sp>
  </cdr:relSizeAnchor>
  <cdr:relSizeAnchor xmlns:cdr="http://schemas.openxmlformats.org/drawingml/2006/chartDrawing">
    <cdr:from>
      <cdr:x>0.16805</cdr:x>
      <cdr:y>0.56046</cdr:y>
    </cdr:from>
    <cdr:to>
      <cdr:x>0.25055</cdr:x>
      <cdr:y>0.66527</cdr:y>
    </cdr:to>
    <cdr:sp macro="" textlink="">
      <cdr:nvSpPr>
        <cdr:cNvPr id="13" name="pole tekstowe 1"/>
        <cdr:cNvSpPr txBox="1"/>
      </cdr:nvSpPr>
      <cdr:spPr>
        <a:xfrm xmlns:a="http://schemas.openxmlformats.org/drawingml/2006/main">
          <a:off x="1098550" y="2139950"/>
          <a:ext cx="539288" cy="40019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endParaRPr lang="pl-PL" sz="900">
            <a:solidFill>
              <a:schemeClr val="tx1">
                <a:lumMod val="75000"/>
                <a:lumOff val="25000"/>
              </a:schemeClr>
            </a:solidFill>
          </a:endParaRPr>
        </a:p>
      </cdr:txBody>
    </cdr:sp>
  </cdr:relSizeAnchor>
  <cdr:relSizeAnchor xmlns:cdr="http://schemas.openxmlformats.org/drawingml/2006/chartDrawing">
    <cdr:from>
      <cdr:x>0.17096</cdr:x>
      <cdr:y>0.17296</cdr:y>
    </cdr:from>
    <cdr:to>
      <cdr:x>0.25345</cdr:x>
      <cdr:y>0.27778</cdr:y>
    </cdr:to>
    <cdr:sp macro="" textlink="">
      <cdr:nvSpPr>
        <cdr:cNvPr id="14" name="pole tekstowe 1"/>
        <cdr:cNvSpPr txBox="1"/>
      </cdr:nvSpPr>
      <cdr:spPr>
        <a:xfrm xmlns:a="http://schemas.openxmlformats.org/drawingml/2006/main">
          <a:off x="1117600" y="660400"/>
          <a:ext cx="539223" cy="4002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endParaRPr lang="pl-PL" sz="900">
            <a:solidFill>
              <a:schemeClr val="tx1">
                <a:lumMod val="75000"/>
                <a:lumOff val="25000"/>
              </a:schemeClr>
            </a:solidFill>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5a445d0-5d19-4ba4-b755-822631e11c1e" xsi:nil="true"/>
    <lcf76f155ced4ddcb4097134ff3c332f xmlns="6f613be0-efef-4148-8d6c-4c6445522e24">
      <Terms xmlns="http://schemas.microsoft.com/office/infopath/2007/PartnerControls"/>
    </lcf76f155ced4ddcb4097134ff3c332f>
    <_x0067_m02 xmlns="6f613be0-efef-4148-8d6c-4c6445522e24">2021-03-26T13:50:30+00:00</_x0067_m02>
    <PublishingExpirationDate xmlns="http://schemas.microsoft.com/sharepoint/v3" xsi:nil="true"/>
    <TranslationStateStartTime xmlns="http://schemas.microsoft.com/sharepoint/v3" xsi:nil="true"/>
    <PublishingStartDate xmlns="http://schemas.microsoft.com/sharepoint/v3" xsi:nil="true"/>
    <Godzina_x0020_Dodania xmlns="6f613be0-efef-4148-8d6c-4c6445522e24">2021-03-26T13:50:30+00:00</Godzina_x0020_Dodania>
  </documentManagement>
</p:properties>
</file>

<file path=customXml/item2.xml><?xml version="1.0" encoding="utf-8"?>
<?mso-contentType ?>
<SharedContentType xmlns="Microsoft.SharePoint.Taxonomy.ContentTypeSync" SourceId="10f259f9-296d-45ec-b40f-2b565e2e2123" ContentTypeId="0x01" PreviousValue="false"/>
</file>

<file path=customXml/item3.xml><?xml version="1.0" encoding="utf-8"?>
<ct:contentTypeSchema xmlns:ct="http://schemas.microsoft.com/office/2006/metadata/contentType" xmlns:ma="http://schemas.microsoft.com/office/2006/metadata/properties/metaAttributes" ct:_="" ma:_="" ma:contentTypeName="Document" ma:contentTypeID="0x010100931B5C08652FC1429372B5E78D97DA0F" ma:contentTypeVersion="20" ma:contentTypeDescription="Create a new document." ma:contentTypeScope="" ma:versionID="cf1b93eebcc3854adc59ab5355008bfb">
  <xsd:schema xmlns:xsd="http://www.w3.org/2001/XMLSchema" xmlns:xs="http://www.w3.org/2001/XMLSchema" xmlns:p="http://schemas.microsoft.com/office/2006/metadata/properties" xmlns:ns1="http://schemas.microsoft.com/sharepoint/v3" xmlns:ns2="6f613be0-efef-4148-8d6c-4c6445522e24" xmlns:ns3="c947fafa-9138-486d-ae8b-4def84560bfe" xmlns:ns4="c5a445d0-5d19-4ba4-b755-822631e11c1e" targetNamespace="http://schemas.microsoft.com/office/2006/metadata/properties" ma:root="true" ma:fieldsID="6442dca07c623177a622810a68ab8acc" ns1:_="" ns2:_="" ns3:_="" ns4:_="">
    <xsd:import namespace="http://schemas.microsoft.com/sharepoint/v3"/>
    <xsd:import namespace="6f613be0-efef-4148-8d6c-4c6445522e24"/>
    <xsd:import namespace="c947fafa-9138-486d-ae8b-4def84560bfe"/>
    <xsd:import namespace="c5a445d0-5d19-4ba4-b755-822631e11c1e"/>
    <xsd:element name="properties">
      <xsd:complexType>
        <xsd:sequence>
          <xsd:element name="documentManagement">
            <xsd:complexType>
              <xsd:all>
                <xsd:element ref="ns1:PublishingStartDate" minOccurs="0"/>
                <xsd:element ref="ns1:PublishingExpirationDate" minOccurs="0"/>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_x0067_m02" minOccurs="0"/>
                <xsd:element ref="ns2:Godzina_x0020_Dodania" minOccurs="0"/>
                <xsd:element ref="ns1:TranslationStateStartTime" minOccurs="0"/>
                <xsd:element ref="ns2:MediaServiceLocation" minOccurs="0"/>
                <xsd:element ref="ns3:SharedWithUsers" minOccurs="0"/>
                <xsd:element ref="ns3:SharedWithDetails" minOccurs="0"/>
                <xsd:element ref="ns2:MediaLengthInSeconds"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element name="TranslationStateStartTime" ma:index="20" nillable="true" ma:displayName="Submission Time" ma:description="" ma:indexed="true" ma:internalName="TranslationStateStartTim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6f613be0-efef-4148-8d6c-4c6445522e2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_x0067_m02" ma:index="18" nillable="true" ma:displayName="Data i godzina" ma:default="[today]" ma:format="DateTime" ma:internalName="_x0067_m02">
      <xsd:simpleType>
        <xsd:restriction base="dms:DateTime"/>
      </xsd:simpleType>
    </xsd:element>
    <xsd:element name="Godzina_x0020_Dodania" ma:index="19" nillable="true" ma:displayName="Godzina Dodania" ma:default="[today]" ma:format="DateTime" ma:internalName="Godzina_x0020_Dodania">
      <xsd:simpleType>
        <xsd:restriction base="dms:DateTime"/>
      </xsd:simpleType>
    </xsd:element>
    <xsd:element name="MediaServiceLocation" ma:index="21" nillable="true" ma:displayName="Location" ma:internalName="MediaServiceLocation" ma:readOnly="true">
      <xsd:simpleType>
        <xsd:restriction base="dms:Text"/>
      </xsd:simpleType>
    </xsd:element>
    <xsd:element name="MediaLengthInSeconds" ma:index="24" nillable="true" ma:displayName="Length (seconds)" ma:internalName="MediaLengthInSeconds" ma:readOnly="true">
      <xsd:simpleType>
        <xsd:restriction base="dms:Unknow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10f259f9-296d-45ec-b40f-2b565e2e212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947fafa-9138-486d-ae8b-4def84560bfe" elementFormDefault="qualified">
    <xsd:import namespace="http://schemas.microsoft.com/office/2006/documentManagement/types"/>
    <xsd:import namespace="http://schemas.microsoft.com/office/infopath/2007/PartnerControls"/>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5a445d0-5d19-4ba4-b755-822631e11c1e"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6453cc47-13e0-4380-a8c3-08ddacfb2b2f}" ma:internalName="TaxCatchAll" ma:showField="CatchAllData" ma:web="c947fafa-9138-486d-ae8b-4def84560bf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777299-3E2C-4842-A4D7-1755E46F15DC}">
  <ds:schemaRefs>
    <ds:schemaRef ds:uri="http://schemas.microsoft.com/office/2006/metadata/properties"/>
    <ds:schemaRef ds:uri="http://schemas.microsoft.com/office/infopath/2007/PartnerControls"/>
    <ds:schemaRef ds:uri="c5a445d0-5d19-4ba4-b755-822631e11c1e"/>
    <ds:schemaRef ds:uri="6f613be0-efef-4148-8d6c-4c6445522e24"/>
    <ds:schemaRef ds:uri="http://schemas.microsoft.com/sharepoint/v3"/>
  </ds:schemaRefs>
</ds:datastoreItem>
</file>

<file path=customXml/itemProps2.xml><?xml version="1.0" encoding="utf-8"?>
<ds:datastoreItem xmlns:ds="http://schemas.openxmlformats.org/officeDocument/2006/customXml" ds:itemID="{9CE43E1D-2D6C-4A67-95FC-09A463B8A3B6}">
  <ds:schemaRefs>
    <ds:schemaRef ds:uri="Microsoft.SharePoint.Taxonomy.ContentTypeSync"/>
  </ds:schemaRefs>
</ds:datastoreItem>
</file>

<file path=customXml/itemProps3.xml><?xml version="1.0" encoding="utf-8"?>
<ds:datastoreItem xmlns:ds="http://schemas.openxmlformats.org/officeDocument/2006/customXml" ds:itemID="{F9CDC6D3-B73E-42D0-B774-5A47FADB5C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f613be0-efef-4148-8d6c-4c6445522e24"/>
    <ds:schemaRef ds:uri="c947fafa-9138-486d-ae8b-4def84560bfe"/>
    <ds:schemaRef ds:uri="c5a445d0-5d19-4ba4-b755-822631e11c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32F3CF1-8671-4FF1-BBE5-FEC05B22D657}">
  <ds:schemaRefs>
    <ds:schemaRef ds:uri="http://schemas.microsoft.com/sharepoint/v3/contenttype/forms"/>
  </ds:schemaRefs>
</ds:datastoreItem>
</file>

<file path=customXml/itemProps5.xml><?xml version="1.0" encoding="utf-8"?>
<ds:datastoreItem xmlns:ds="http://schemas.openxmlformats.org/officeDocument/2006/customXml" ds:itemID="{880B1B75-2BB8-4055-94D3-A1042FC440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153929</Words>
  <Characters>923577</Characters>
  <Application>Microsoft Office Word</Application>
  <DocSecurity>0</DocSecurity>
  <Lines>7696</Lines>
  <Paragraphs>2150</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PGI</Company>
  <LinksUpToDate>false</LinksUpToDate>
  <CharactersWithSpaces>1075356</CharactersWithSpaces>
  <SharedDoc>false</SharedDoc>
  <HLinks>
    <vt:vector size="2634" baseType="variant">
      <vt:variant>
        <vt:i4>3866670</vt:i4>
      </vt:variant>
      <vt:variant>
        <vt:i4>4410</vt:i4>
      </vt:variant>
      <vt:variant>
        <vt:i4>0</vt:i4>
      </vt:variant>
      <vt:variant>
        <vt:i4>5</vt:i4>
      </vt:variant>
      <vt:variant>
        <vt:lpwstr>https://www.ums.gov.pl/plany-morskie/9-informacje/147-projekty-planow-zagospodarowania-przestrzennego-polskich-obszarow-morskich-morskich-wod-wewnetrznych-dla-zalewu-szczecinskiego-i-zalewu-kamienskiego-projekt-powr-02-19-00-00-pm01-16</vt:lpwstr>
      </vt:variant>
      <vt:variant>
        <vt:lpwstr/>
      </vt:variant>
      <vt:variant>
        <vt:i4>1048656</vt:i4>
      </vt:variant>
      <vt:variant>
        <vt:i4>4401</vt:i4>
      </vt:variant>
      <vt:variant>
        <vt:i4>0</vt:i4>
      </vt:variant>
      <vt:variant>
        <vt:i4>5</vt:i4>
      </vt:variant>
      <vt:variant>
        <vt:lpwstr>https://www.wody.gov.pl/</vt:lpwstr>
      </vt:variant>
      <vt:variant>
        <vt:lpwstr/>
      </vt:variant>
      <vt:variant>
        <vt:i4>1048656</vt:i4>
      </vt:variant>
      <vt:variant>
        <vt:i4>4386</vt:i4>
      </vt:variant>
      <vt:variant>
        <vt:i4>0</vt:i4>
      </vt:variant>
      <vt:variant>
        <vt:i4>5</vt:i4>
      </vt:variant>
      <vt:variant>
        <vt:lpwstr>https://www.wody.gov.pl/</vt:lpwstr>
      </vt:variant>
      <vt:variant>
        <vt:lpwstr/>
      </vt:variant>
      <vt:variant>
        <vt:i4>1966081</vt:i4>
      </vt:variant>
      <vt:variant>
        <vt:i4>4383</vt:i4>
      </vt:variant>
      <vt:variant>
        <vt:i4>0</vt:i4>
      </vt:variant>
      <vt:variant>
        <vt:i4>5</vt:i4>
      </vt:variant>
      <vt:variant>
        <vt:lpwstr>http://isap.sejm.gov.pl/isap.nsf/DocDetails.xsp?id=WDU20170002506</vt:lpwstr>
      </vt:variant>
      <vt:variant>
        <vt:lpwstr/>
      </vt:variant>
      <vt:variant>
        <vt:i4>1638471</vt:i4>
      </vt:variant>
      <vt:variant>
        <vt:i4>4380</vt:i4>
      </vt:variant>
      <vt:variant>
        <vt:i4>0</vt:i4>
      </vt:variant>
      <vt:variant>
        <vt:i4>5</vt:i4>
      </vt:variant>
      <vt:variant>
        <vt:lpwstr>https://www.gov.pl/web/infrastruktura</vt:lpwstr>
      </vt:variant>
      <vt:variant>
        <vt:lpwstr/>
      </vt:variant>
      <vt:variant>
        <vt:i4>1638471</vt:i4>
      </vt:variant>
      <vt:variant>
        <vt:i4>4377</vt:i4>
      </vt:variant>
      <vt:variant>
        <vt:i4>0</vt:i4>
      </vt:variant>
      <vt:variant>
        <vt:i4>5</vt:i4>
      </vt:variant>
      <vt:variant>
        <vt:lpwstr>https://www.gov.pl/web/infrastruktura</vt:lpwstr>
      </vt:variant>
      <vt:variant>
        <vt:lpwstr/>
      </vt:variant>
      <vt:variant>
        <vt:i4>1572869</vt:i4>
      </vt:variant>
      <vt:variant>
        <vt:i4>4374</vt:i4>
      </vt:variant>
      <vt:variant>
        <vt:i4>0</vt:i4>
      </vt:variant>
      <vt:variant>
        <vt:i4>5</vt:i4>
      </vt:variant>
      <vt:variant>
        <vt:lpwstr>http://isap.sejm.gov.pl/isap.nsf/DocDetails.xsp?id=WDU20200001220</vt:lpwstr>
      </vt:variant>
      <vt:variant>
        <vt:lpwstr/>
      </vt:variant>
      <vt:variant>
        <vt:i4>5046273</vt:i4>
      </vt:variant>
      <vt:variant>
        <vt:i4>4362</vt:i4>
      </vt:variant>
      <vt:variant>
        <vt:i4>0</vt:i4>
      </vt:variant>
      <vt:variant>
        <vt:i4>5</vt:i4>
      </vt:variant>
      <vt:variant>
        <vt:lpwstr>http://www.gov.pl/web/infrastruktura</vt:lpwstr>
      </vt:variant>
      <vt:variant>
        <vt:lpwstr/>
      </vt:variant>
      <vt:variant>
        <vt:i4>3014710</vt:i4>
      </vt:variant>
      <vt:variant>
        <vt:i4>4359</vt:i4>
      </vt:variant>
      <vt:variant>
        <vt:i4>0</vt:i4>
      </vt:variant>
      <vt:variant>
        <vt:i4>5</vt:i4>
      </vt:variant>
      <vt:variant>
        <vt:lpwstr>http://www.apgw.gov.pl/</vt:lpwstr>
      </vt:variant>
      <vt:variant>
        <vt:lpwstr/>
      </vt:variant>
      <vt:variant>
        <vt:i4>2556024</vt:i4>
      </vt:variant>
      <vt:variant>
        <vt:i4>4329</vt:i4>
      </vt:variant>
      <vt:variant>
        <vt:i4>0</vt:i4>
      </vt:variant>
      <vt:variant>
        <vt:i4>5</vt:i4>
      </vt:variant>
      <vt:variant>
        <vt:lpwstr>https://isap.sejm.gov.pl/isap.nsf/DocDetails.xsp?id=WDU20070860579</vt:lpwstr>
      </vt:variant>
      <vt:variant>
        <vt:lpwstr/>
      </vt:variant>
      <vt:variant>
        <vt:i4>3932168</vt:i4>
      </vt:variant>
      <vt:variant>
        <vt:i4>3234</vt:i4>
      </vt:variant>
      <vt:variant>
        <vt:i4>0</vt:i4>
      </vt:variant>
      <vt:variant>
        <vt:i4>5</vt:i4>
      </vt:variant>
      <vt:variant>
        <vt:lpwstr>https://www.gios.gov.pl/images/dokumenty/pms/monitoring_wod/metodyka_hydromorfologia_2018.pdf</vt:lpwstr>
      </vt:variant>
      <vt:variant>
        <vt:lpwstr/>
      </vt:variant>
      <vt:variant>
        <vt:i4>1376308</vt:i4>
      </vt:variant>
      <vt:variant>
        <vt:i4>2561</vt:i4>
      </vt:variant>
      <vt:variant>
        <vt:i4>0</vt:i4>
      </vt:variant>
      <vt:variant>
        <vt:i4>5</vt:i4>
      </vt:variant>
      <vt:variant>
        <vt:lpwstr/>
      </vt:variant>
      <vt:variant>
        <vt:lpwstr>_Toc105400067</vt:lpwstr>
      </vt:variant>
      <vt:variant>
        <vt:i4>1376308</vt:i4>
      </vt:variant>
      <vt:variant>
        <vt:i4>2555</vt:i4>
      </vt:variant>
      <vt:variant>
        <vt:i4>0</vt:i4>
      </vt:variant>
      <vt:variant>
        <vt:i4>5</vt:i4>
      </vt:variant>
      <vt:variant>
        <vt:lpwstr/>
      </vt:variant>
      <vt:variant>
        <vt:lpwstr>_Toc105400066</vt:lpwstr>
      </vt:variant>
      <vt:variant>
        <vt:i4>1376308</vt:i4>
      </vt:variant>
      <vt:variant>
        <vt:i4>2549</vt:i4>
      </vt:variant>
      <vt:variant>
        <vt:i4>0</vt:i4>
      </vt:variant>
      <vt:variant>
        <vt:i4>5</vt:i4>
      </vt:variant>
      <vt:variant>
        <vt:lpwstr/>
      </vt:variant>
      <vt:variant>
        <vt:lpwstr>_Toc105400065</vt:lpwstr>
      </vt:variant>
      <vt:variant>
        <vt:i4>1376308</vt:i4>
      </vt:variant>
      <vt:variant>
        <vt:i4>2543</vt:i4>
      </vt:variant>
      <vt:variant>
        <vt:i4>0</vt:i4>
      </vt:variant>
      <vt:variant>
        <vt:i4>5</vt:i4>
      </vt:variant>
      <vt:variant>
        <vt:lpwstr/>
      </vt:variant>
      <vt:variant>
        <vt:lpwstr>_Toc105400064</vt:lpwstr>
      </vt:variant>
      <vt:variant>
        <vt:i4>1376308</vt:i4>
      </vt:variant>
      <vt:variant>
        <vt:i4>2537</vt:i4>
      </vt:variant>
      <vt:variant>
        <vt:i4>0</vt:i4>
      </vt:variant>
      <vt:variant>
        <vt:i4>5</vt:i4>
      </vt:variant>
      <vt:variant>
        <vt:lpwstr/>
      </vt:variant>
      <vt:variant>
        <vt:lpwstr>_Toc105400063</vt:lpwstr>
      </vt:variant>
      <vt:variant>
        <vt:i4>1376308</vt:i4>
      </vt:variant>
      <vt:variant>
        <vt:i4>2531</vt:i4>
      </vt:variant>
      <vt:variant>
        <vt:i4>0</vt:i4>
      </vt:variant>
      <vt:variant>
        <vt:i4>5</vt:i4>
      </vt:variant>
      <vt:variant>
        <vt:lpwstr/>
      </vt:variant>
      <vt:variant>
        <vt:lpwstr>_Toc105400062</vt:lpwstr>
      </vt:variant>
      <vt:variant>
        <vt:i4>1376308</vt:i4>
      </vt:variant>
      <vt:variant>
        <vt:i4>2525</vt:i4>
      </vt:variant>
      <vt:variant>
        <vt:i4>0</vt:i4>
      </vt:variant>
      <vt:variant>
        <vt:i4>5</vt:i4>
      </vt:variant>
      <vt:variant>
        <vt:lpwstr/>
      </vt:variant>
      <vt:variant>
        <vt:lpwstr>_Toc105400061</vt:lpwstr>
      </vt:variant>
      <vt:variant>
        <vt:i4>1376308</vt:i4>
      </vt:variant>
      <vt:variant>
        <vt:i4>2519</vt:i4>
      </vt:variant>
      <vt:variant>
        <vt:i4>0</vt:i4>
      </vt:variant>
      <vt:variant>
        <vt:i4>5</vt:i4>
      </vt:variant>
      <vt:variant>
        <vt:lpwstr/>
      </vt:variant>
      <vt:variant>
        <vt:lpwstr>_Toc105400060</vt:lpwstr>
      </vt:variant>
      <vt:variant>
        <vt:i4>1441844</vt:i4>
      </vt:variant>
      <vt:variant>
        <vt:i4>2513</vt:i4>
      </vt:variant>
      <vt:variant>
        <vt:i4>0</vt:i4>
      </vt:variant>
      <vt:variant>
        <vt:i4>5</vt:i4>
      </vt:variant>
      <vt:variant>
        <vt:lpwstr/>
      </vt:variant>
      <vt:variant>
        <vt:lpwstr>_Toc105400059</vt:lpwstr>
      </vt:variant>
      <vt:variant>
        <vt:i4>1441844</vt:i4>
      </vt:variant>
      <vt:variant>
        <vt:i4>2507</vt:i4>
      </vt:variant>
      <vt:variant>
        <vt:i4>0</vt:i4>
      </vt:variant>
      <vt:variant>
        <vt:i4>5</vt:i4>
      </vt:variant>
      <vt:variant>
        <vt:lpwstr/>
      </vt:variant>
      <vt:variant>
        <vt:lpwstr>_Toc105400058</vt:lpwstr>
      </vt:variant>
      <vt:variant>
        <vt:i4>1441844</vt:i4>
      </vt:variant>
      <vt:variant>
        <vt:i4>2501</vt:i4>
      </vt:variant>
      <vt:variant>
        <vt:i4>0</vt:i4>
      </vt:variant>
      <vt:variant>
        <vt:i4>5</vt:i4>
      </vt:variant>
      <vt:variant>
        <vt:lpwstr/>
      </vt:variant>
      <vt:variant>
        <vt:lpwstr>_Toc105400057</vt:lpwstr>
      </vt:variant>
      <vt:variant>
        <vt:i4>1441844</vt:i4>
      </vt:variant>
      <vt:variant>
        <vt:i4>2495</vt:i4>
      </vt:variant>
      <vt:variant>
        <vt:i4>0</vt:i4>
      </vt:variant>
      <vt:variant>
        <vt:i4>5</vt:i4>
      </vt:variant>
      <vt:variant>
        <vt:lpwstr/>
      </vt:variant>
      <vt:variant>
        <vt:lpwstr>_Toc105400056</vt:lpwstr>
      </vt:variant>
      <vt:variant>
        <vt:i4>1441844</vt:i4>
      </vt:variant>
      <vt:variant>
        <vt:i4>2489</vt:i4>
      </vt:variant>
      <vt:variant>
        <vt:i4>0</vt:i4>
      </vt:variant>
      <vt:variant>
        <vt:i4>5</vt:i4>
      </vt:variant>
      <vt:variant>
        <vt:lpwstr/>
      </vt:variant>
      <vt:variant>
        <vt:lpwstr>_Toc105400055</vt:lpwstr>
      </vt:variant>
      <vt:variant>
        <vt:i4>1441844</vt:i4>
      </vt:variant>
      <vt:variant>
        <vt:i4>2483</vt:i4>
      </vt:variant>
      <vt:variant>
        <vt:i4>0</vt:i4>
      </vt:variant>
      <vt:variant>
        <vt:i4>5</vt:i4>
      </vt:variant>
      <vt:variant>
        <vt:lpwstr/>
      </vt:variant>
      <vt:variant>
        <vt:lpwstr>_Toc105400054</vt:lpwstr>
      </vt:variant>
      <vt:variant>
        <vt:i4>1441844</vt:i4>
      </vt:variant>
      <vt:variant>
        <vt:i4>2477</vt:i4>
      </vt:variant>
      <vt:variant>
        <vt:i4>0</vt:i4>
      </vt:variant>
      <vt:variant>
        <vt:i4>5</vt:i4>
      </vt:variant>
      <vt:variant>
        <vt:lpwstr/>
      </vt:variant>
      <vt:variant>
        <vt:lpwstr>_Toc105400053</vt:lpwstr>
      </vt:variant>
      <vt:variant>
        <vt:i4>1441844</vt:i4>
      </vt:variant>
      <vt:variant>
        <vt:i4>2471</vt:i4>
      </vt:variant>
      <vt:variant>
        <vt:i4>0</vt:i4>
      </vt:variant>
      <vt:variant>
        <vt:i4>5</vt:i4>
      </vt:variant>
      <vt:variant>
        <vt:lpwstr/>
      </vt:variant>
      <vt:variant>
        <vt:lpwstr>_Toc105400052</vt:lpwstr>
      </vt:variant>
      <vt:variant>
        <vt:i4>1441844</vt:i4>
      </vt:variant>
      <vt:variant>
        <vt:i4>2465</vt:i4>
      </vt:variant>
      <vt:variant>
        <vt:i4>0</vt:i4>
      </vt:variant>
      <vt:variant>
        <vt:i4>5</vt:i4>
      </vt:variant>
      <vt:variant>
        <vt:lpwstr/>
      </vt:variant>
      <vt:variant>
        <vt:lpwstr>_Toc105400051</vt:lpwstr>
      </vt:variant>
      <vt:variant>
        <vt:i4>1441844</vt:i4>
      </vt:variant>
      <vt:variant>
        <vt:i4>2459</vt:i4>
      </vt:variant>
      <vt:variant>
        <vt:i4>0</vt:i4>
      </vt:variant>
      <vt:variant>
        <vt:i4>5</vt:i4>
      </vt:variant>
      <vt:variant>
        <vt:lpwstr/>
      </vt:variant>
      <vt:variant>
        <vt:lpwstr>_Toc105400050</vt:lpwstr>
      </vt:variant>
      <vt:variant>
        <vt:i4>1507380</vt:i4>
      </vt:variant>
      <vt:variant>
        <vt:i4>2453</vt:i4>
      </vt:variant>
      <vt:variant>
        <vt:i4>0</vt:i4>
      </vt:variant>
      <vt:variant>
        <vt:i4>5</vt:i4>
      </vt:variant>
      <vt:variant>
        <vt:lpwstr/>
      </vt:variant>
      <vt:variant>
        <vt:lpwstr>_Toc105400049</vt:lpwstr>
      </vt:variant>
      <vt:variant>
        <vt:i4>1507380</vt:i4>
      </vt:variant>
      <vt:variant>
        <vt:i4>2447</vt:i4>
      </vt:variant>
      <vt:variant>
        <vt:i4>0</vt:i4>
      </vt:variant>
      <vt:variant>
        <vt:i4>5</vt:i4>
      </vt:variant>
      <vt:variant>
        <vt:lpwstr/>
      </vt:variant>
      <vt:variant>
        <vt:lpwstr>_Toc105400048</vt:lpwstr>
      </vt:variant>
      <vt:variant>
        <vt:i4>1507380</vt:i4>
      </vt:variant>
      <vt:variant>
        <vt:i4>2441</vt:i4>
      </vt:variant>
      <vt:variant>
        <vt:i4>0</vt:i4>
      </vt:variant>
      <vt:variant>
        <vt:i4>5</vt:i4>
      </vt:variant>
      <vt:variant>
        <vt:lpwstr/>
      </vt:variant>
      <vt:variant>
        <vt:lpwstr>_Toc105400047</vt:lpwstr>
      </vt:variant>
      <vt:variant>
        <vt:i4>1507380</vt:i4>
      </vt:variant>
      <vt:variant>
        <vt:i4>2435</vt:i4>
      </vt:variant>
      <vt:variant>
        <vt:i4>0</vt:i4>
      </vt:variant>
      <vt:variant>
        <vt:i4>5</vt:i4>
      </vt:variant>
      <vt:variant>
        <vt:lpwstr/>
      </vt:variant>
      <vt:variant>
        <vt:lpwstr>_Toc105400046</vt:lpwstr>
      </vt:variant>
      <vt:variant>
        <vt:i4>1507380</vt:i4>
      </vt:variant>
      <vt:variant>
        <vt:i4>2429</vt:i4>
      </vt:variant>
      <vt:variant>
        <vt:i4>0</vt:i4>
      </vt:variant>
      <vt:variant>
        <vt:i4>5</vt:i4>
      </vt:variant>
      <vt:variant>
        <vt:lpwstr/>
      </vt:variant>
      <vt:variant>
        <vt:lpwstr>_Toc105400045</vt:lpwstr>
      </vt:variant>
      <vt:variant>
        <vt:i4>1507380</vt:i4>
      </vt:variant>
      <vt:variant>
        <vt:i4>2423</vt:i4>
      </vt:variant>
      <vt:variant>
        <vt:i4>0</vt:i4>
      </vt:variant>
      <vt:variant>
        <vt:i4>5</vt:i4>
      </vt:variant>
      <vt:variant>
        <vt:lpwstr/>
      </vt:variant>
      <vt:variant>
        <vt:lpwstr>_Toc105400044</vt:lpwstr>
      </vt:variant>
      <vt:variant>
        <vt:i4>1507380</vt:i4>
      </vt:variant>
      <vt:variant>
        <vt:i4>2417</vt:i4>
      </vt:variant>
      <vt:variant>
        <vt:i4>0</vt:i4>
      </vt:variant>
      <vt:variant>
        <vt:i4>5</vt:i4>
      </vt:variant>
      <vt:variant>
        <vt:lpwstr/>
      </vt:variant>
      <vt:variant>
        <vt:lpwstr>_Toc105400043</vt:lpwstr>
      </vt:variant>
      <vt:variant>
        <vt:i4>1507380</vt:i4>
      </vt:variant>
      <vt:variant>
        <vt:i4>2411</vt:i4>
      </vt:variant>
      <vt:variant>
        <vt:i4>0</vt:i4>
      </vt:variant>
      <vt:variant>
        <vt:i4>5</vt:i4>
      </vt:variant>
      <vt:variant>
        <vt:lpwstr/>
      </vt:variant>
      <vt:variant>
        <vt:lpwstr>_Toc105400042</vt:lpwstr>
      </vt:variant>
      <vt:variant>
        <vt:i4>1507380</vt:i4>
      </vt:variant>
      <vt:variant>
        <vt:i4>2405</vt:i4>
      </vt:variant>
      <vt:variant>
        <vt:i4>0</vt:i4>
      </vt:variant>
      <vt:variant>
        <vt:i4>5</vt:i4>
      </vt:variant>
      <vt:variant>
        <vt:lpwstr/>
      </vt:variant>
      <vt:variant>
        <vt:lpwstr>_Toc105400041</vt:lpwstr>
      </vt:variant>
      <vt:variant>
        <vt:i4>1507380</vt:i4>
      </vt:variant>
      <vt:variant>
        <vt:i4>2399</vt:i4>
      </vt:variant>
      <vt:variant>
        <vt:i4>0</vt:i4>
      </vt:variant>
      <vt:variant>
        <vt:i4>5</vt:i4>
      </vt:variant>
      <vt:variant>
        <vt:lpwstr/>
      </vt:variant>
      <vt:variant>
        <vt:lpwstr>_Toc105400040</vt:lpwstr>
      </vt:variant>
      <vt:variant>
        <vt:i4>1048628</vt:i4>
      </vt:variant>
      <vt:variant>
        <vt:i4>2393</vt:i4>
      </vt:variant>
      <vt:variant>
        <vt:i4>0</vt:i4>
      </vt:variant>
      <vt:variant>
        <vt:i4>5</vt:i4>
      </vt:variant>
      <vt:variant>
        <vt:lpwstr/>
      </vt:variant>
      <vt:variant>
        <vt:lpwstr>_Toc105400039</vt:lpwstr>
      </vt:variant>
      <vt:variant>
        <vt:i4>1048628</vt:i4>
      </vt:variant>
      <vt:variant>
        <vt:i4>2387</vt:i4>
      </vt:variant>
      <vt:variant>
        <vt:i4>0</vt:i4>
      </vt:variant>
      <vt:variant>
        <vt:i4>5</vt:i4>
      </vt:variant>
      <vt:variant>
        <vt:lpwstr/>
      </vt:variant>
      <vt:variant>
        <vt:lpwstr>_Toc105400038</vt:lpwstr>
      </vt:variant>
      <vt:variant>
        <vt:i4>1048628</vt:i4>
      </vt:variant>
      <vt:variant>
        <vt:i4>2381</vt:i4>
      </vt:variant>
      <vt:variant>
        <vt:i4>0</vt:i4>
      </vt:variant>
      <vt:variant>
        <vt:i4>5</vt:i4>
      </vt:variant>
      <vt:variant>
        <vt:lpwstr/>
      </vt:variant>
      <vt:variant>
        <vt:lpwstr>_Toc105400037</vt:lpwstr>
      </vt:variant>
      <vt:variant>
        <vt:i4>1048628</vt:i4>
      </vt:variant>
      <vt:variant>
        <vt:i4>2375</vt:i4>
      </vt:variant>
      <vt:variant>
        <vt:i4>0</vt:i4>
      </vt:variant>
      <vt:variant>
        <vt:i4>5</vt:i4>
      </vt:variant>
      <vt:variant>
        <vt:lpwstr/>
      </vt:variant>
      <vt:variant>
        <vt:lpwstr>_Toc105400036</vt:lpwstr>
      </vt:variant>
      <vt:variant>
        <vt:i4>1048628</vt:i4>
      </vt:variant>
      <vt:variant>
        <vt:i4>2369</vt:i4>
      </vt:variant>
      <vt:variant>
        <vt:i4>0</vt:i4>
      </vt:variant>
      <vt:variant>
        <vt:i4>5</vt:i4>
      </vt:variant>
      <vt:variant>
        <vt:lpwstr/>
      </vt:variant>
      <vt:variant>
        <vt:lpwstr>_Toc105400035</vt:lpwstr>
      </vt:variant>
      <vt:variant>
        <vt:i4>1048628</vt:i4>
      </vt:variant>
      <vt:variant>
        <vt:i4>2363</vt:i4>
      </vt:variant>
      <vt:variant>
        <vt:i4>0</vt:i4>
      </vt:variant>
      <vt:variant>
        <vt:i4>5</vt:i4>
      </vt:variant>
      <vt:variant>
        <vt:lpwstr/>
      </vt:variant>
      <vt:variant>
        <vt:lpwstr>_Toc105400034</vt:lpwstr>
      </vt:variant>
      <vt:variant>
        <vt:i4>1048628</vt:i4>
      </vt:variant>
      <vt:variant>
        <vt:i4>2357</vt:i4>
      </vt:variant>
      <vt:variant>
        <vt:i4>0</vt:i4>
      </vt:variant>
      <vt:variant>
        <vt:i4>5</vt:i4>
      </vt:variant>
      <vt:variant>
        <vt:lpwstr/>
      </vt:variant>
      <vt:variant>
        <vt:lpwstr>_Toc105400033</vt:lpwstr>
      </vt:variant>
      <vt:variant>
        <vt:i4>1048628</vt:i4>
      </vt:variant>
      <vt:variant>
        <vt:i4>2351</vt:i4>
      </vt:variant>
      <vt:variant>
        <vt:i4>0</vt:i4>
      </vt:variant>
      <vt:variant>
        <vt:i4>5</vt:i4>
      </vt:variant>
      <vt:variant>
        <vt:lpwstr/>
      </vt:variant>
      <vt:variant>
        <vt:lpwstr>_Toc105400032</vt:lpwstr>
      </vt:variant>
      <vt:variant>
        <vt:i4>1048628</vt:i4>
      </vt:variant>
      <vt:variant>
        <vt:i4>2345</vt:i4>
      </vt:variant>
      <vt:variant>
        <vt:i4>0</vt:i4>
      </vt:variant>
      <vt:variant>
        <vt:i4>5</vt:i4>
      </vt:variant>
      <vt:variant>
        <vt:lpwstr/>
      </vt:variant>
      <vt:variant>
        <vt:lpwstr>_Toc105400031</vt:lpwstr>
      </vt:variant>
      <vt:variant>
        <vt:i4>1048628</vt:i4>
      </vt:variant>
      <vt:variant>
        <vt:i4>2339</vt:i4>
      </vt:variant>
      <vt:variant>
        <vt:i4>0</vt:i4>
      </vt:variant>
      <vt:variant>
        <vt:i4>5</vt:i4>
      </vt:variant>
      <vt:variant>
        <vt:lpwstr/>
      </vt:variant>
      <vt:variant>
        <vt:lpwstr>_Toc105400030</vt:lpwstr>
      </vt:variant>
      <vt:variant>
        <vt:i4>1114164</vt:i4>
      </vt:variant>
      <vt:variant>
        <vt:i4>2333</vt:i4>
      </vt:variant>
      <vt:variant>
        <vt:i4>0</vt:i4>
      </vt:variant>
      <vt:variant>
        <vt:i4>5</vt:i4>
      </vt:variant>
      <vt:variant>
        <vt:lpwstr/>
      </vt:variant>
      <vt:variant>
        <vt:lpwstr>_Toc105400029</vt:lpwstr>
      </vt:variant>
      <vt:variant>
        <vt:i4>1114164</vt:i4>
      </vt:variant>
      <vt:variant>
        <vt:i4>2327</vt:i4>
      </vt:variant>
      <vt:variant>
        <vt:i4>0</vt:i4>
      </vt:variant>
      <vt:variant>
        <vt:i4>5</vt:i4>
      </vt:variant>
      <vt:variant>
        <vt:lpwstr/>
      </vt:variant>
      <vt:variant>
        <vt:lpwstr>_Toc105400028</vt:lpwstr>
      </vt:variant>
      <vt:variant>
        <vt:i4>1114164</vt:i4>
      </vt:variant>
      <vt:variant>
        <vt:i4>2321</vt:i4>
      </vt:variant>
      <vt:variant>
        <vt:i4>0</vt:i4>
      </vt:variant>
      <vt:variant>
        <vt:i4>5</vt:i4>
      </vt:variant>
      <vt:variant>
        <vt:lpwstr/>
      </vt:variant>
      <vt:variant>
        <vt:lpwstr>_Toc105400027</vt:lpwstr>
      </vt:variant>
      <vt:variant>
        <vt:i4>1114164</vt:i4>
      </vt:variant>
      <vt:variant>
        <vt:i4>2315</vt:i4>
      </vt:variant>
      <vt:variant>
        <vt:i4>0</vt:i4>
      </vt:variant>
      <vt:variant>
        <vt:i4>5</vt:i4>
      </vt:variant>
      <vt:variant>
        <vt:lpwstr/>
      </vt:variant>
      <vt:variant>
        <vt:lpwstr>_Toc105400026</vt:lpwstr>
      </vt:variant>
      <vt:variant>
        <vt:i4>1114164</vt:i4>
      </vt:variant>
      <vt:variant>
        <vt:i4>2309</vt:i4>
      </vt:variant>
      <vt:variant>
        <vt:i4>0</vt:i4>
      </vt:variant>
      <vt:variant>
        <vt:i4>5</vt:i4>
      </vt:variant>
      <vt:variant>
        <vt:lpwstr/>
      </vt:variant>
      <vt:variant>
        <vt:lpwstr>_Toc105400025</vt:lpwstr>
      </vt:variant>
      <vt:variant>
        <vt:i4>1114164</vt:i4>
      </vt:variant>
      <vt:variant>
        <vt:i4>2303</vt:i4>
      </vt:variant>
      <vt:variant>
        <vt:i4>0</vt:i4>
      </vt:variant>
      <vt:variant>
        <vt:i4>5</vt:i4>
      </vt:variant>
      <vt:variant>
        <vt:lpwstr/>
      </vt:variant>
      <vt:variant>
        <vt:lpwstr>_Toc105400024</vt:lpwstr>
      </vt:variant>
      <vt:variant>
        <vt:i4>1114164</vt:i4>
      </vt:variant>
      <vt:variant>
        <vt:i4>2297</vt:i4>
      </vt:variant>
      <vt:variant>
        <vt:i4>0</vt:i4>
      </vt:variant>
      <vt:variant>
        <vt:i4>5</vt:i4>
      </vt:variant>
      <vt:variant>
        <vt:lpwstr/>
      </vt:variant>
      <vt:variant>
        <vt:lpwstr>_Toc105400023</vt:lpwstr>
      </vt:variant>
      <vt:variant>
        <vt:i4>1114164</vt:i4>
      </vt:variant>
      <vt:variant>
        <vt:i4>2291</vt:i4>
      </vt:variant>
      <vt:variant>
        <vt:i4>0</vt:i4>
      </vt:variant>
      <vt:variant>
        <vt:i4>5</vt:i4>
      </vt:variant>
      <vt:variant>
        <vt:lpwstr/>
      </vt:variant>
      <vt:variant>
        <vt:lpwstr>_Toc105400022</vt:lpwstr>
      </vt:variant>
      <vt:variant>
        <vt:i4>1114164</vt:i4>
      </vt:variant>
      <vt:variant>
        <vt:i4>2285</vt:i4>
      </vt:variant>
      <vt:variant>
        <vt:i4>0</vt:i4>
      </vt:variant>
      <vt:variant>
        <vt:i4>5</vt:i4>
      </vt:variant>
      <vt:variant>
        <vt:lpwstr/>
      </vt:variant>
      <vt:variant>
        <vt:lpwstr>_Toc105400021</vt:lpwstr>
      </vt:variant>
      <vt:variant>
        <vt:i4>1114164</vt:i4>
      </vt:variant>
      <vt:variant>
        <vt:i4>2279</vt:i4>
      </vt:variant>
      <vt:variant>
        <vt:i4>0</vt:i4>
      </vt:variant>
      <vt:variant>
        <vt:i4>5</vt:i4>
      </vt:variant>
      <vt:variant>
        <vt:lpwstr/>
      </vt:variant>
      <vt:variant>
        <vt:lpwstr>_Toc105400020</vt:lpwstr>
      </vt:variant>
      <vt:variant>
        <vt:i4>1179700</vt:i4>
      </vt:variant>
      <vt:variant>
        <vt:i4>2273</vt:i4>
      </vt:variant>
      <vt:variant>
        <vt:i4>0</vt:i4>
      </vt:variant>
      <vt:variant>
        <vt:i4>5</vt:i4>
      </vt:variant>
      <vt:variant>
        <vt:lpwstr/>
      </vt:variant>
      <vt:variant>
        <vt:lpwstr>_Toc105400019</vt:lpwstr>
      </vt:variant>
      <vt:variant>
        <vt:i4>1179700</vt:i4>
      </vt:variant>
      <vt:variant>
        <vt:i4>2267</vt:i4>
      </vt:variant>
      <vt:variant>
        <vt:i4>0</vt:i4>
      </vt:variant>
      <vt:variant>
        <vt:i4>5</vt:i4>
      </vt:variant>
      <vt:variant>
        <vt:lpwstr/>
      </vt:variant>
      <vt:variant>
        <vt:lpwstr>_Toc105400018</vt:lpwstr>
      </vt:variant>
      <vt:variant>
        <vt:i4>1179700</vt:i4>
      </vt:variant>
      <vt:variant>
        <vt:i4>2261</vt:i4>
      </vt:variant>
      <vt:variant>
        <vt:i4>0</vt:i4>
      </vt:variant>
      <vt:variant>
        <vt:i4>5</vt:i4>
      </vt:variant>
      <vt:variant>
        <vt:lpwstr/>
      </vt:variant>
      <vt:variant>
        <vt:lpwstr>_Toc105400017</vt:lpwstr>
      </vt:variant>
      <vt:variant>
        <vt:i4>1179700</vt:i4>
      </vt:variant>
      <vt:variant>
        <vt:i4>2255</vt:i4>
      </vt:variant>
      <vt:variant>
        <vt:i4>0</vt:i4>
      </vt:variant>
      <vt:variant>
        <vt:i4>5</vt:i4>
      </vt:variant>
      <vt:variant>
        <vt:lpwstr/>
      </vt:variant>
      <vt:variant>
        <vt:lpwstr>_Toc105400016</vt:lpwstr>
      </vt:variant>
      <vt:variant>
        <vt:i4>1179700</vt:i4>
      </vt:variant>
      <vt:variant>
        <vt:i4>2249</vt:i4>
      </vt:variant>
      <vt:variant>
        <vt:i4>0</vt:i4>
      </vt:variant>
      <vt:variant>
        <vt:i4>5</vt:i4>
      </vt:variant>
      <vt:variant>
        <vt:lpwstr/>
      </vt:variant>
      <vt:variant>
        <vt:lpwstr>_Toc105400015</vt:lpwstr>
      </vt:variant>
      <vt:variant>
        <vt:i4>1179700</vt:i4>
      </vt:variant>
      <vt:variant>
        <vt:i4>2243</vt:i4>
      </vt:variant>
      <vt:variant>
        <vt:i4>0</vt:i4>
      </vt:variant>
      <vt:variant>
        <vt:i4>5</vt:i4>
      </vt:variant>
      <vt:variant>
        <vt:lpwstr/>
      </vt:variant>
      <vt:variant>
        <vt:lpwstr>_Toc105400014</vt:lpwstr>
      </vt:variant>
      <vt:variant>
        <vt:i4>1179700</vt:i4>
      </vt:variant>
      <vt:variant>
        <vt:i4>2237</vt:i4>
      </vt:variant>
      <vt:variant>
        <vt:i4>0</vt:i4>
      </vt:variant>
      <vt:variant>
        <vt:i4>5</vt:i4>
      </vt:variant>
      <vt:variant>
        <vt:lpwstr/>
      </vt:variant>
      <vt:variant>
        <vt:lpwstr>_Toc105400013</vt:lpwstr>
      </vt:variant>
      <vt:variant>
        <vt:i4>1179700</vt:i4>
      </vt:variant>
      <vt:variant>
        <vt:i4>2231</vt:i4>
      </vt:variant>
      <vt:variant>
        <vt:i4>0</vt:i4>
      </vt:variant>
      <vt:variant>
        <vt:i4>5</vt:i4>
      </vt:variant>
      <vt:variant>
        <vt:lpwstr/>
      </vt:variant>
      <vt:variant>
        <vt:lpwstr>_Toc105400012</vt:lpwstr>
      </vt:variant>
      <vt:variant>
        <vt:i4>1179700</vt:i4>
      </vt:variant>
      <vt:variant>
        <vt:i4>2225</vt:i4>
      </vt:variant>
      <vt:variant>
        <vt:i4>0</vt:i4>
      </vt:variant>
      <vt:variant>
        <vt:i4>5</vt:i4>
      </vt:variant>
      <vt:variant>
        <vt:lpwstr/>
      </vt:variant>
      <vt:variant>
        <vt:lpwstr>_Toc105400011</vt:lpwstr>
      </vt:variant>
      <vt:variant>
        <vt:i4>1179700</vt:i4>
      </vt:variant>
      <vt:variant>
        <vt:i4>2219</vt:i4>
      </vt:variant>
      <vt:variant>
        <vt:i4>0</vt:i4>
      </vt:variant>
      <vt:variant>
        <vt:i4>5</vt:i4>
      </vt:variant>
      <vt:variant>
        <vt:lpwstr/>
      </vt:variant>
      <vt:variant>
        <vt:lpwstr>_Toc105400010</vt:lpwstr>
      </vt:variant>
      <vt:variant>
        <vt:i4>1245236</vt:i4>
      </vt:variant>
      <vt:variant>
        <vt:i4>2213</vt:i4>
      </vt:variant>
      <vt:variant>
        <vt:i4>0</vt:i4>
      </vt:variant>
      <vt:variant>
        <vt:i4>5</vt:i4>
      </vt:variant>
      <vt:variant>
        <vt:lpwstr/>
      </vt:variant>
      <vt:variant>
        <vt:lpwstr>_Toc105400009</vt:lpwstr>
      </vt:variant>
      <vt:variant>
        <vt:i4>1245236</vt:i4>
      </vt:variant>
      <vt:variant>
        <vt:i4>2207</vt:i4>
      </vt:variant>
      <vt:variant>
        <vt:i4>0</vt:i4>
      </vt:variant>
      <vt:variant>
        <vt:i4>5</vt:i4>
      </vt:variant>
      <vt:variant>
        <vt:lpwstr/>
      </vt:variant>
      <vt:variant>
        <vt:lpwstr>_Toc105400008</vt:lpwstr>
      </vt:variant>
      <vt:variant>
        <vt:i4>1245236</vt:i4>
      </vt:variant>
      <vt:variant>
        <vt:i4>2201</vt:i4>
      </vt:variant>
      <vt:variant>
        <vt:i4>0</vt:i4>
      </vt:variant>
      <vt:variant>
        <vt:i4>5</vt:i4>
      </vt:variant>
      <vt:variant>
        <vt:lpwstr/>
      </vt:variant>
      <vt:variant>
        <vt:lpwstr>_Toc105400007</vt:lpwstr>
      </vt:variant>
      <vt:variant>
        <vt:i4>1245236</vt:i4>
      </vt:variant>
      <vt:variant>
        <vt:i4>2195</vt:i4>
      </vt:variant>
      <vt:variant>
        <vt:i4>0</vt:i4>
      </vt:variant>
      <vt:variant>
        <vt:i4>5</vt:i4>
      </vt:variant>
      <vt:variant>
        <vt:lpwstr/>
      </vt:variant>
      <vt:variant>
        <vt:lpwstr>_Toc105400006</vt:lpwstr>
      </vt:variant>
      <vt:variant>
        <vt:i4>1245236</vt:i4>
      </vt:variant>
      <vt:variant>
        <vt:i4>2189</vt:i4>
      </vt:variant>
      <vt:variant>
        <vt:i4>0</vt:i4>
      </vt:variant>
      <vt:variant>
        <vt:i4>5</vt:i4>
      </vt:variant>
      <vt:variant>
        <vt:lpwstr/>
      </vt:variant>
      <vt:variant>
        <vt:lpwstr>_Toc105400005</vt:lpwstr>
      </vt:variant>
      <vt:variant>
        <vt:i4>1245236</vt:i4>
      </vt:variant>
      <vt:variant>
        <vt:i4>2183</vt:i4>
      </vt:variant>
      <vt:variant>
        <vt:i4>0</vt:i4>
      </vt:variant>
      <vt:variant>
        <vt:i4>5</vt:i4>
      </vt:variant>
      <vt:variant>
        <vt:lpwstr/>
      </vt:variant>
      <vt:variant>
        <vt:lpwstr>_Toc105400004</vt:lpwstr>
      </vt:variant>
      <vt:variant>
        <vt:i4>1245236</vt:i4>
      </vt:variant>
      <vt:variant>
        <vt:i4>2177</vt:i4>
      </vt:variant>
      <vt:variant>
        <vt:i4>0</vt:i4>
      </vt:variant>
      <vt:variant>
        <vt:i4>5</vt:i4>
      </vt:variant>
      <vt:variant>
        <vt:lpwstr/>
      </vt:variant>
      <vt:variant>
        <vt:lpwstr>_Toc105400003</vt:lpwstr>
      </vt:variant>
      <vt:variant>
        <vt:i4>1245236</vt:i4>
      </vt:variant>
      <vt:variant>
        <vt:i4>2171</vt:i4>
      </vt:variant>
      <vt:variant>
        <vt:i4>0</vt:i4>
      </vt:variant>
      <vt:variant>
        <vt:i4>5</vt:i4>
      </vt:variant>
      <vt:variant>
        <vt:lpwstr/>
      </vt:variant>
      <vt:variant>
        <vt:lpwstr>_Toc105400002</vt:lpwstr>
      </vt:variant>
      <vt:variant>
        <vt:i4>1245236</vt:i4>
      </vt:variant>
      <vt:variant>
        <vt:i4>2165</vt:i4>
      </vt:variant>
      <vt:variant>
        <vt:i4>0</vt:i4>
      </vt:variant>
      <vt:variant>
        <vt:i4>5</vt:i4>
      </vt:variant>
      <vt:variant>
        <vt:lpwstr/>
      </vt:variant>
      <vt:variant>
        <vt:lpwstr>_Toc105400001</vt:lpwstr>
      </vt:variant>
      <vt:variant>
        <vt:i4>1245236</vt:i4>
      </vt:variant>
      <vt:variant>
        <vt:i4>2159</vt:i4>
      </vt:variant>
      <vt:variant>
        <vt:i4>0</vt:i4>
      </vt:variant>
      <vt:variant>
        <vt:i4>5</vt:i4>
      </vt:variant>
      <vt:variant>
        <vt:lpwstr/>
      </vt:variant>
      <vt:variant>
        <vt:lpwstr>_Toc105400000</vt:lpwstr>
      </vt:variant>
      <vt:variant>
        <vt:i4>1310772</vt:i4>
      </vt:variant>
      <vt:variant>
        <vt:i4>2153</vt:i4>
      </vt:variant>
      <vt:variant>
        <vt:i4>0</vt:i4>
      </vt:variant>
      <vt:variant>
        <vt:i4>5</vt:i4>
      </vt:variant>
      <vt:variant>
        <vt:lpwstr/>
      </vt:variant>
      <vt:variant>
        <vt:lpwstr>_Toc105399999</vt:lpwstr>
      </vt:variant>
      <vt:variant>
        <vt:i4>1310772</vt:i4>
      </vt:variant>
      <vt:variant>
        <vt:i4>2147</vt:i4>
      </vt:variant>
      <vt:variant>
        <vt:i4>0</vt:i4>
      </vt:variant>
      <vt:variant>
        <vt:i4>5</vt:i4>
      </vt:variant>
      <vt:variant>
        <vt:lpwstr/>
      </vt:variant>
      <vt:variant>
        <vt:lpwstr>_Toc105399998</vt:lpwstr>
      </vt:variant>
      <vt:variant>
        <vt:i4>1310772</vt:i4>
      </vt:variant>
      <vt:variant>
        <vt:i4>2141</vt:i4>
      </vt:variant>
      <vt:variant>
        <vt:i4>0</vt:i4>
      </vt:variant>
      <vt:variant>
        <vt:i4>5</vt:i4>
      </vt:variant>
      <vt:variant>
        <vt:lpwstr/>
      </vt:variant>
      <vt:variant>
        <vt:lpwstr>_Toc105399997</vt:lpwstr>
      </vt:variant>
      <vt:variant>
        <vt:i4>1310772</vt:i4>
      </vt:variant>
      <vt:variant>
        <vt:i4>2135</vt:i4>
      </vt:variant>
      <vt:variant>
        <vt:i4>0</vt:i4>
      </vt:variant>
      <vt:variant>
        <vt:i4>5</vt:i4>
      </vt:variant>
      <vt:variant>
        <vt:lpwstr/>
      </vt:variant>
      <vt:variant>
        <vt:lpwstr>_Toc105399996</vt:lpwstr>
      </vt:variant>
      <vt:variant>
        <vt:i4>1310772</vt:i4>
      </vt:variant>
      <vt:variant>
        <vt:i4>2129</vt:i4>
      </vt:variant>
      <vt:variant>
        <vt:i4>0</vt:i4>
      </vt:variant>
      <vt:variant>
        <vt:i4>5</vt:i4>
      </vt:variant>
      <vt:variant>
        <vt:lpwstr/>
      </vt:variant>
      <vt:variant>
        <vt:lpwstr>_Toc105399995</vt:lpwstr>
      </vt:variant>
      <vt:variant>
        <vt:i4>1310772</vt:i4>
      </vt:variant>
      <vt:variant>
        <vt:i4>2123</vt:i4>
      </vt:variant>
      <vt:variant>
        <vt:i4>0</vt:i4>
      </vt:variant>
      <vt:variant>
        <vt:i4>5</vt:i4>
      </vt:variant>
      <vt:variant>
        <vt:lpwstr/>
      </vt:variant>
      <vt:variant>
        <vt:lpwstr>_Toc105399994</vt:lpwstr>
      </vt:variant>
      <vt:variant>
        <vt:i4>1310772</vt:i4>
      </vt:variant>
      <vt:variant>
        <vt:i4>2117</vt:i4>
      </vt:variant>
      <vt:variant>
        <vt:i4>0</vt:i4>
      </vt:variant>
      <vt:variant>
        <vt:i4>5</vt:i4>
      </vt:variant>
      <vt:variant>
        <vt:lpwstr/>
      </vt:variant>
      <vt:variant>
        <vt:lpwstr>_Toc105399993</vt:lpwstr>
      </vt:variant>
      <vt:variant>
        <vt:i4>1310772</vt:i4>
      </vt:variant>
      <vt:variant>
        <vt:i4>2111</vt:i4>
      </vt:variant>
      <vt:variant>
        <vt:i4>0</vt:i4>
      </vt:variant>
      <vt:variant>
        <vt:i4>5</vt:i4>
      </vt:variant>
      <vt:variant>
        <vt:lpwstr/>
      </vt:variant>
      <vt:variant>
        <vt:lpwstr>_Toc105399992</vt:lpwstr>
      </vt:variant>
      <vt:variant>
        <vt:i4>1310772</vt:i4>
      </vt:variant>
      <vt:variant>
        <vt:i4>2105</vt:i4>
      </vt:variant>
      <vt:variant>
        <vt:i4>0</vt:i4>
      </vt:variant>
      <vt:variant>
        <vt:i4>5</vt:i4>
      </vt:variant>
      <vt:variant>
        <vt:lpwstr/>
      </vt:variant>
      <vt:variant>
        <vt:lpwstr>_Toc105399991</vt:lpwstr>
      </vt:variant>
      <vt:variant>
        <vt:i4>1310772</vt:i4>
      </vt:variant>
      <vt:variant>
        <vt:i4>2099</vt:i4>
      </vt:variant>
      <vt:variant>
        <vt:i4>0</vt:i4>
      </vt:variant>
      <vt:variant>
        <vt:i4>5</vt:i4>
      </vt:variant>
      <vt:variant>
        <vt:lpwstr/>
      </vt:variant>
      <vt:variant>
        <vt:lpwstr>_Toc105399990</vt:lpwstr>
      </vt:variant>
      <vt:variant>
        <vt:i4>1376308</vt:i4>
      </vt:variant>
      <vt:variant>
        <vt:i4>2093</vt:i4>
      </vt:variant>
      <vt:variant>
        <vt:i4>0</vt:i4>
      </vt:variant>
      <vt:variant>
        <vt:i4>5</vt:i4>
      </vt:variant>
      <vt:variant>
        <vt:lpwstr/>
      </vt:variant>
      <vt:variant>
        <vt:lpwstr>_Toc105399989</vt:lpwstr>
      </vt:variant>
      <vt:variant>
        <vt:i4>1376308</vt:i4>
      </vt:variant>
      <vt:variant>
        <vt:i4>2087</vt:i4>
      </vt:variant>
      <vt:variant>
        <vt:i4>0</vt:i4>
      </vt:variant>
      <vt:variant>
        <vt:i4>5</vt:i4>
      </vt:variant>
      <vt:variant>
        <vt:lpwstr/>
      </vt:variant>
      <vt:variant>
        <vt:lpwstr>_Toc105399988</vt:lpwstr>
      </vt:variant>
      <vt:variant>
        <vt:i4>1376308</vt:i4>
      </vt:variant>
      <vt:variant>
        <vt:i4>2081</vt:i4>
      </vt:variant>
      <vt:variant>
        <vt:i4>0</vt:i4>
      </vt:variant>
      <vt:variant>
        <vt:i4>5</vt:i4>
      </vt:variant>
      <vt:variant>
        <vt:lpwstr/>
      </vt:variant>
      <vt:variant>
        <vt:lpwstr>_Toc105399987</vt:lpwstr>
      </vt:variant>
      <vt:variant>
        <vt:i4>1376308</vt:i4>
      </vt:variant>
      <vt:variant>
        <vt:i4>2075</vt:i4>
      </vt:variant>
      <vt:variant>
        <vt:i4>0</vt:i4>
      </vt:variant>
      <vt:variant>
        <vt:i4>5</vt:i4>
      </vt:variant>
      <vt:variant>
        <vt:lpwstr/>
      </vt:variant>
      <vt:variant>
        <vt:lpwstr>_Toc105399986</vt:lpwstr>
      </vt:variant>
      <vt:variant>
        <vt:i4>1376308</vt:i4>
      </vt:variant>
      <vt:variant>
        <vt:i4>2069</vt:i4>
      </vt:variant>
      <vt:variant>
        <vt:i4>0</vt:i4>
      </vt:variant>
      <vt:variant>
        <vt:i4>5</vt:i4>
      </vt:variant>
      <vt:variant>
        <vt:lpwstr/>
      </vt:variant>
      <vt:variant>
        <vt:lpwstr>_Toc105399985</vt:lpwstr>
      </vt:variant>
      <vt:variant>
        <vt:i4>1376308</vt:i4>
      </vt:variant>
      <vt:variant>
        <vt:i4>2063</vt:i4>
      </vt:variant>
      <vt:variant>
        <vt:i4>0</vt:i4>
      </vt:variant>
      <vt:variant>
        <vt:i4>5</vt:i4>
      </vt:variant>
      <vt:variant>
        <vt:lpwstr/>
      </vt:variant>
      <vt:variant>
        <vt:lpwstr>_Toc105399984</vt:lpwstr>
      </vt:variant>
      <vt:variant>
        <vt:i4>1376308</vt:i4>
      </vt:variant>
      <vt:variant>
        <vt:i4>2057</vt:i4>
      </vt:variant>
      <vt:variant>
        <vt:i4>0</vt:i4>
      </vt:variant>
      <vt:variant>
        <vt:i4>5</vt:i4>
      </vt:variant>
      <vt:variant>
        <vt:lpwstr/>
      </vt:variant>
      <vt:variant>
        <vt:lpwstr>_Toc105399983</vt:lpwstr>
      </vt:variant>
      <vt:variant>
        <vt:i4>1376308</vt:i4>
      </vt:variant>
      <vt:variant>
        <vt:i4>2051</vt:i4>
      </vt:variant>
      <vt:variant>
        <vt:i4>0</vt:i4>
      </vt:variant>
      <vt:variant>
        <vt:i4>5</vt:i4>
      </vt:variant>
      <vt:variant>
        <vt:lpwstr/>
      </vt:variant>
      <vt:variant>
        <vt:lpwstr>_Toc105399982</vt:lpwstr>
      </vt:variant>
      <vt:variant>
        <vt:i4>1376308</vt:i4>
      </vt:variant>
      <vt:variant>
        <vt:i4>2045</vt:i4>
      </vt:variant>
      <vt:variant>
        <vt:i4>0</vt:i4>
      </vt:variant>
      <vt:variant>
        <vt:i4>5</vt:i4>
      </vt:variant>
      <vt:variant>
        <vt:lpwstr/>
      </vt:variant>
      <vt:variant>
        <vt:lpwstr>_Toc105399981</vt:lpwstr>
      </vt:variant>
      <vt:variant>
        <vt:i4>1376308</vt:i4>
      </vt:variant>
      <vt:variant>
        <vt:i4>2039</vt:i4>
      </vt:variant>
      <vt:variant>
        <vt:i4>0</vt:i4>
      </vt:variant>
      <vt:variant>
        <vt:i4>5</vt:i4>
      </vt:variant>
      <vt:variant>
        <vt:lpwstr/>
      </vt:variant>
      <vt:variant>
        <vt:lpwstr>_Toc105399980</vt:lpwstr>
      </vt:variant>
      <vt:variant>
        <vt:i4>1703988</vt:i4>
      </vt:variant>
      <vt:variant>
        <vt:i4>2033</vt:i4>
      </vt:variant>
      <vt:variant>
        <vt:i4>0</vt:i4>
      </vt:variant>
      <vt:variant>
        <vt:i4>5</vt:i4>
      </vt:variant>
      <vt:variant>
        <vt:lpwstr/>
      </vt:variant>
      <vt:variant>
        <vt:lpwstr>_Toc105399979</vt:lpwstr>
      </vt:variant>
      <vt:variant>
        <vt:i4>1703988</vt:i4>
      </vt:variant>
      <vt:variant>
        <vt:i4>2027</vt:i4>
      </vt:variant>
      <vt:variant>
        <vt:i4>0</vt:i4>
      </vt:variant>
      <vt:variant>
        <vt:i4>5</vt:i4>
      </vt:variant>
      <vt:variant>
        <vt:lpwstr/>
      </vt:variant>
      <vt:variant>
        <vt:lpwstr>_Toc105399978</vt:lpwstr>
      </vt:variant>
      <vt:variant>
        <vt:i4>1703988</vt:i4>
      </vt:variant>
      <vt:variant>
        <vt:i4>2021</vt:i4>
      </vt:variant>
      <vt:variant>
        <vt:i4>0</vt:i4>
      </vt:variant>
      <vt:variant>
        <vt:i4>5</vt:i4>
      </vt:variant>
      <vt:variant>
        <vt:lpwstr/>
      </vt:variant>
      <vt:variant>
        <vt:lpwstr>_Toc105399977</vt:lpwstr>
      </vt:variant>
      <vt:variant>
        <vt:i4>1703988</vt:i4>
      </vt:variant>
      <vt:variant>
        <vt:i4>2015</vt:i4>
      </vt:variant>
      <vt:variant>
        <vt:i4>0</vt:i4>
      </vt:variant>
      <vt:variant>
        <vt:i4>5</vt:i4>
      </vt:variant>
      <vt:variant>
        <vt:lpwstr/>
      </vt:variant>
      <vt:variant>
        <vt:lpwstr>_Toc105399976</vt:lpwstr>
      </vt:variant>
      <vt:variant>
        <vt:i4>1703988</vt:i4>
      </vt:variant>
      <vt:variant>
        <vt:i4>2009</vt:i4>
      </vt:variant>
      <vt:variant>
        <vt:i4>0</vt:i4>
      </vt:variant>
      <vt:variant>
        <vt:i4>5</vt:i4>
      </vt:variant>
      <vt:variant>
        <vt:lpwstr/>
      </vt:variant>
      <vt:variant>
        <vt:lpwstr>_Toc105399975</vt:lpwstr>
      </vt:variant>
      <vt:variant>
        <vt:i4>1703988</vt:i4>
      </vt:variant>
      <vt:variant>
        <vt:i4>2003</vt:i4>
      </vt:variant>
      <vt:variant>
        <vt:i4>0</vt:i4>
      </vt:variant>
      <vt:variant>
        <vt:i4>5</vt:i4>
      </vt:variant>
      <vt:variant>
        <vt:lpwstr/>
      </vt:variant>
      <vt:variant>
        <vt:lpwstr>_Toc105399974</vt:lpwstr>
      </vt:variant>
      <vt:variant>
        <vt:i4>1703988</vt:i4>
      </vt:variant>
      <vt:variant>
        <vt:i4>1997</vt:i4>
      </vt:variant>
      <vt:variant>
        <vt:i4>0</vt:i4>
      </vt:variant>
      <vt:variant>
        <vt:i4>5</vt:i4>
      </vt:variant>
      <vt:variant>
        <vt:lpwstr/>
      </vt:variant>
      <vt:variant>
        <vt:lpwstr>_Toc105399973</vt:lpwstr>
      </vt:variant>
      <vt:variant>
        <vt:i4>1703988</vt:i4>
      </vt:variant>
      <vt:variant>
        <vt:i4>1991</vt:i4>
      </vt:variant>
      <vt:variant>
        <vt:i4>0</vt:i4>
      </vt:variant>
      <vt:variant>
        <vt:i4>5</vt:i4>
      </vt:variant>
      <vt:variant>
        <vt:lpwstr/>
      </vt:variant>
      <vt:variant>
        <vt:lpwstr>_Toc105399972</vt:lpwstr>
      </vt:variant>
      <vt:variant>
        <vt:i4>1703988</vt:i4>
      </vt:variant>
      <vt:variant>
        <vt:i4>1985</vt:i4>
      </vt:variant>
      <vt:variant>
        <vt:i4>0</vt:i4>
      </vt:variant>
      <vt:variant>
        <vt:i4>5</vt:i4>
      </vt:variant>
      <vt:variant>
        <vt:lpwstr/>
      </vt:variant>
      <vt:variant>
        <vt:lpwstr>_Toc105399971</vt:lpwstr>
      </vt:variant>
      <vt:variant>
        <vt:i4>1703988</vt:i4>
      </vt:variant>
      <vt:variant>
        <vt:i4>1979</vt:i4>
      </vt:variant>
      <vt:variant>
        <vt:i4>0</vt:i4>
      </vt:variant>
      <vt:variant>
        <vt:i4>5</vt:i4>
      </vt:variant>
      <vt:variant>
        <vt:lpwstr/>
      </vt:variant>
      <vt:variant>
        <vt:lpwstr>_Toc105399970</vt:lpwstr>
      </vt:variant>
      <vt:variant>
        <vt:i4>1769524</vt:i4>
      </vt:variant>
      <vt:variant>
        <vt:i4>1973</vt:i4>
      </vt:variant>
      <vt:variant>
        <vt:i4>0</vt:i4>
      </vt:variant>
      <vt:variant>
        <vt:i4>5</vt:i4>
      </vt:variant>
      <vt:variant>
        <vt:lpwstr/>
      </vt:variant>
      <vt:variant>
        <vt:lpwstr>_Toc105399969</vt:lpwstr>
      </vt:variant>
      <vt:variant>
        <vt:i4>1769524</vt:i4>
      </vt:variant>
      <vt:variant>
        <vt:i4>1967</vt:i4>
      </vt:variant>
      <vt:variant>
        <vt:i4>0</vt:i4>
      </vt:variant>
      <vt:variant>
        <vt:i4>5</vt:i4>
      </vt:variant>
      <vt:variant>
        <vt:lpwstr/>
      </vt:variant>
      <vt:variant>
        <vt:lpwstr>_Toc105399968</vt:lpwstr>
      </vt:variant>
      <vt:variant>
        <vt:i4>1769524</vt:i4>
      </vt:variant>
      <vt:variant>
        <vt:i4>1961</vt:i4>
      </vt:variant>
      <vt:variant>
        <vt:i4>0</vt:i4>
      </vt:variant>
      <vt:variant>
        <vt:i4>5</vt:i4>
      </vt:variant>
      <vt:variant>
        <vt:lpwstr/>
      </vt:variant>
      <vt:variant>
        <vt:lpwstr>_Toc105399967</vt:lpwstr>
      </vt:variant>
      <vt:variant>
        <vt:i4>1769524</vt:i4>
      </vt:variant>
      <vt:variant>
        <vt:i4>1955</vt:i4>
      </vt:variant>
      <vt:variant>
        <vt:i4>0</vt:i4>
      </vt:variant>
      <vt:variant>
        <vt:i4>5</vt:i4>
      </vt:variant>
      <vt:variant>
        <vt:lpwstr/>
      </vt:variant>
      <vt:variant>
        <vt:lpwstr>_Toc105399966</vt:lpwstr>
      </vt:variant>
      <vt:variant>
        <vt:i4>1769524</vt:i4>
      </vt:variant>
      <vt:variant>
        <vt:i4>1949</vt:i4>
      </vt:variant>
      <vt:variant>
        <vt:i4>0</vt:i4>
      </vt:variant>
      <vt:variant>
        <vt:i4>5</vt:i4>
      </vt:variant>
      <vt:variant>
        <vt:lpwstr/>
      </vt:variant>
      <vt:variant>
        <vt:lpwstr>_Toc105399965</vt:lpwstr>
      </vt:variant>
      <vt:variant>
        <vt:i4>1769524</vt:i4>
      </vt:variant>
      <vt:variant>
        <vt:i4>1943</vt:i4>
      </vt:variant>
      <vt:variant>
        <vt:i4>0</vt:i4>
      </vt:variant>
      <vt:variant>
        <vt:i4>5</vt:i4>
      </vt:variant>
      <vt:variant>
        <vt:lpwstr/>
      </vt:variant>
      <vt:variant>
        <vt:lpwstr>_Toc105399964</vt:lpwstr>
      </vt:variant>
      <vt:variant>
        <vt:i4>1769524</vt:i4>
      </vt:variant>
      <vt:variant>
        <vt:i4>1937</vt:i4>
      </vt:variant>
      <vt:variant>
        <vt:i4>0</vt:i4>
      </vt:variant>
      <vt:variant>
        <vt:i4>5</vt:i4>
      </vt:variant>
      <vt:variant>
        <vt:lpwstr/>
      </vt:variant>
      <vt:variant>
        <vt:lpwstr>_Toc105399963</vt:lpwstr>
      </vt:variant>
      <vt:variant>
        <vt:i4>1769524</vt:i4>
      </vt:variant>
      <vt:variant>
        <vt:i4>1931</vt:i4>
      </vt:variant>
      <vt:variant>
        <vt:i4>0</vt:i4>
      </vt:variant>
      <vt:variant>
        <vt:i4>5</vt:i4>
      </vt:variant>
      <vt:variant>
        <vt:lpwstr/>
      </vt:variant>
      <vt:variant>
        <vt:lpwstr>_Toc105399962</vt:lpwstr>
      </vt:variant>
      <vt:variant>
        <vt:i4>1769524</vt:i4>
      </vt:variant>
      <vt:variant>
        <vt:i4>1925</vt:i4>
      </vt:variant>
      <vt:variant>
        <vt:i4>0</vt:i4>
      </vt:variant>
      <vt:variant>
        <vt:i4>5</vt:i4>
      </vt:variant>
      <vt:variant>
        <vt:lpwstr/>
      </vt:variant>
      <vt:variant>
        <vt:lpwstr>_Toc105399961</vt:lpwstr>
      </vt:variant>
      <vt:variant>
        <vt:i4>1769524</vt:i4>
      </vt:variant>
      <vt:variant>
        <vt:i4>1919</vt:i4>
      </vt:variant>
      <vt:variant>
        <vt:i4>0</vt:i4>
      </vt:variant>
      <vt:variant>
        <vt:i4>5</vt:i4>
      </vt:variant>
      <vt:variant>
        <vt:lpwstr/>
      </vt:variant>
      <vt:variant>
        <vt:lpwstr>_Toc105399960</vt:lpwstr>
      </vt:variant>
      <vt:variant>
        <vt:i4>1572916</vt:i4>
      </vt:variant>
      <vt:variant>
        <vt:i4>1913</vt:i4>
      </vt:variant>
      <vt:variant>
        <vt:i4>0</vt:i4>
      </vt:variant>
      <vt:variant>
        <vt:i4>5</vt:i4>
      </vt:variant>
      <vt:variant>
        <vt:lpwstr/>
      </vt:variant>
      <vt:variant>
        <vt:lpwstr>_Toc105399959</vt:lpwstr>
      </vt:variant>
      <vt:variant>
        <vt:i4>1572916</vt:i4>
      </vt:variant>
      <vt:variant>
        <vt:i4>1907</vt:i4>
      </vt:variant>
      <vt:variant>
        <vt:i4>0</vt:i4>
      </vt:variant>
      <vt:variant>
        <vt:i4>5</vt:i4>
      </vt:variant>
      <vt:variant>
        <vt:lpwstr/>
      </vt:variant>
      <vt:variant>
        <vt:lpwstr>_Toc105399958</vt:lpwstr>
      </vt:variant>
      <vt:variant>
        <vt:i4>1572916</vt:i4>
      </vt:variant>
      <vt:variant>
        <vt:i4>1901</vt:i4>
      </vt:variant>
      <vt:variant>
        <vt:i4>0</vt:i4>
      </vt:variant>
      <vt:variant>
        <vt:i4>5</vt:i4>
      </vt:variant>
      <vt:variant>
        <vt:lpwstr/>
      </vt:variant>
      <vt:variant>
        <vt:lpwstr>_Toc105399957</vt:lpwstr>
      </vt:variant>
      <vt:variant>
        <vt:i4>1572916</vt:i4>
      </vt:variant>
      <vt:variant>
        <vt:i4>1895</vt:i4>
      </vt:variant>
      <vt:variant>
        <vt:i4>0</vt:i4>
      </vt:variant>
      <vt:variant>
        <vt:i4>5</vt:i4>
      </vt:variant>
      <vt:variant>
        <vt:lpwstr/>
      </vt:variant>
      <vt:variant>
        <vt:lpwstr>_Toc105399956</vt:lpwstr>
      </vt:variant>
      <vt:variant>
        <vt:i4>1572916</vt:i4>
      </vt:variant>
      <vt:variant>
        <vt:i4>1889</vt:i4>
      </vt:variant>
      <vt:variant>
        <vt:i4>0</vt:i4>
      </vt:variant>
      <vt:variant>
        <vt:i4>5</vt:i4>
      </vt:variant>
      <vt:variant>
        <vt:lpwstr/>
      </vt:variant>
      <vt:variant>
        <vt:lpwstr>_Toc105399955</vt:lpwstr>
      </vt:variant>
      <vt:variant>
        <vt:i4>1572916</vt:i4>
      </vt:variant>
      <vt:variant>
        <vt:i4>1883</vt:i4>
      </vt:variant>
      <vt:variant>
        <vt:i4>0</vt:i4>
      </vt:variant>
      <vt:variant>
        <vt:i4>5</vt:i4>
      </vt:variant>
      <vt:variant>
        <vt:lpwstr/>
      </vt:variant>
      <vt:variant>
        <vt:lpwstr>_Toc105399954</vt:lpwstr>
      </vt:variant>
      <vt:variant>
        <vt:i4>1572916</vt:i4>
      </vt:variant>
      <vt:variant>
        <vt:i4>1877</vt:i4>
      </vt:variant>
      <vt:variant>
        <vt:i4>0</vt:i4>
      </vt:variant>
      <vt:variant>
        <vt:i4>5</vt:i4>
      </vt:variant>
      <vt:variant>
        <vt:lpwstr/>
      </vt:variant>
      <vt:variant>
        <vt:lpwstr>_Toc105399953</vt:lpwstr>
      </vt:variant>
      <vt:variant>
        <vt:i4>1572916</vt:i4>
      </vt:variant>
      <vt:variant>
        <vt:i4>1871</vt:i4>
      </vt:variant>
      <vt:variant>
        <vt:i4>0</vt:i4>
      </vt:variant>
      <vt:variant>
        <vt:i4>5</vt:i4>
      </vt:variant>
      <vt:variant>
        <vt:lpwstr/>
      </vt:variant>
      <vt:variant>
        <vt:lpwstr>_Toc105399952</vt:lpwstr>
      </vt:variant>
      <vt:variant>
        <vt:i4>1572916</vt:i4>
      </vt:variant>
      <vt:variant>
        <vt:i4>1865</vt:i4>
      </vt:variant>
      <vt:variant>
        <vt:i4>0</vt:i4>
      </vt:variant>
      <vt:variant>
        <vt:i4>5</vt:i4>
      </vt:variant>
      <vt:variant>
        <vt:lpwstr/>
      </vt:variant>
      <vt:variant>
        <vt:lpwstr>_Toc105399951</vt:lpwstr>
      </vt:variant>
      <vt:variant>
        <vt:i4>1572916</vt:i4>
      </vt:variant>
      <vt:variant>
        <vt:i4>1859</vt:i4>
      </vt:variant>
      <vt:variant>
        <vt:i4>0</vt:i4>
      </vt:variant>
      <vt:variant>
        <vt:i4>5</vt:i4>
      </vt:variant>
      <vt:variant>
        <vt:lpwstr/>
      </vt:variant>
      <vt:variant>
        <vt:lpwstr>_Toc105399950</vt:lpwstr>
      </vt:variant>
      <vt:variant>
        <vt:i4>1638452</vt:i4>
      </vt:variant>
      <vt:variant>
        <vt:i4>1853</vt:i4>
      </vt:variant>
      <vt:variant>
        <vt:i4>0</vt:i4>
      </vt:variant>
      <vt:variant>
        <vt:i4>5</vt:i4>
      </vt:variant>
      <vt:variant>
        <vt:lpwstr/>
      </vt:variant>
      <vt:variant>
        <vt:lpwstr>_Toc105399949</vt:lpwstr>
      </vt:variant>
      <vt:variant>
        <vt:i4>1638452</vt:i4>
      </vt:variant>
      <vt:variant>
        <vt:i4>1847</vt:i4>
      </vt:variant>
      <vt:variant>
        <vt:i4>0</vt:i4>
      </vt:variant>
      <vt:variant>
        <vt:i4>5</vt:i4>
      </vt:variant>
      <vt:variant>
        <vt:lpwstr/>
      </vt:variant>
      <vt:variant>
        <vt:lpwstr>_Toc105399948</vt:lpwstr>
      </vt:variant>
      <vt:variant>
        <vt:i4>1638452</vt:i4>
      </vt:variant>
      <vt:variant>
        <vt:i4>1841</vt:i4>
      </vt:variant>
      <vt:variant>
        <vt:i4>0</vt:i4>
      </vt:variant>
      <vt:variant>
        <vt:i4>5</vt:i4>
      </vt:variant>
      <vt:variant>
        <vt:lpwstr/>
      </vt:variant>
      <vt:variant>
        <vt:lpwstr>_Toc105399947</vt:lpwstr>
      </vt:variant>
      <vt:variant>
        <vt:i4>1638452</vt:i4>
      </vt:variant>
      <vt:variant>
        <vt:i4>1835</vt:i4>
      </vt:variant>
      <vt:variant>
        <vt:i4>0</vt:i4>
      </vt:variant>
      <vt:variant>
        <vt:i4>5</vt:i4>
      </vt:variant>
      <vt:variant>
        <vt:lpwstr/>
      </vt:variant>
      <vt:variant>
        <vt:lpwstr>_Toc105399946</vt:lpwstr>
      </vt:variant>
      <vt:variant>
        <vt:i4>1638452</vt:i4>
      </vt:variant>
      <vt:variant>
        <vt:i4>1826</vt:i4>
      </vt:variant>
      <vt:variant>
        <vt:i4>0</vt:i4>
      </vt:variant>
      <vt:variant>
        <vt:i4>5</vt:i4>
      </vt:variant>
      <vt:variant>
        <vt:lpwstr/>
      </vt:variant>
      <vt:variant>
        <vt:lpwstr>_Toc105399945</vt:lpwstr>
      </vt:variant>
      <vt:variant>
        <vt:i4>1638452</vt:i4>
      </vt:variant>
      <vt:variant>
        <vt:i4>1820</vt:i4>
      </vt:variant>
      <vt:variant>
        <vt:i4>0</vt:i4>
      </vt:variant>
      <vt:variant>
        <vt:i4>5</vt:i4>
      </vt:variant>
      <vt:variant>
        <vt:lpwstr/>
      </vt:variant>
      <vt:variant>
        <vt:lpwstr>_Toc105399944</vt:lpwstr>
      </vt:variant>
      <vt:variant>
        <vt:i4>1638452</vt:i4>
      </vt:variant>
      <vt:variant>
        <vt:i4>1814</vt:i4>
      </vt:variant>
      <vt:variant>
        <vt:i4>0</vt:i4>
      </vt:variant>
      <vt:variant>
        <vt:i4>5</vt:i4>
      </vt:variant>
      <vt:variant>
        <vt:lpwstr/>
      </vt:variant>
      <vt:variant>
        <vt:lpwstr>_Toc105399943</vt:lpwstr>
      </vt:variant>
      <vt:variant>
        <vt:i4>1638452</vt:i4>
      </vt:variant>
      <vt:variant>
        <vt:i4>1808</vt:i4>
      </vt:variant>
      <vt:variant>
        <vt:i4>0</vt:i4>
      </vt:variant>
      <vt:variant>
        <vt:i4>5</vt:i4>
      </vt:variant>
      <vt:variant>
        <vt:lpwstr/>
      </vt:variant>
      <vt:variant>
        <vt:lpwstr>_Toc105399942</vt:lpwstr>
      </vt:variant>
      <vt:variant>
        <vt:i4>1638452</vt:i4>
      </vt:variant>
      <vt:variant>
        <vt:i4>1802</vt:i4>
      </vt:variant>
      <vt:variant>
        <vt:i4>0</vt:i4>
      </vt:variant>
      <vt:variant>
        <vt:i4>5</vt:i4>
      </vt:variant>
      <vt:variant>
        <vt:lpwstr/>
      </vt:variant>
      <vt:variant>
        <vt:lpwstr>_Toc105399941</vt:lpwstr>
      </vt:variant>
      <vt:variant>
        <vt:i4>1638452</vt:i4>
      </vt:variant>
      <vt:variant>
        <vt:i4>1796</vt:i4>
      </vt:variant>
      <vt:variant>
        <vt:i4>0</vt:i4>
      </vt:variant>
      <vt:variant>
        <vt:i4>5</vt:i4>
      </vt:variant>
      <vt:variant>
        <vt:lpwstr/>
      </vt:variant>
      <vt:variant>
        <vt:lpwstr>_Toc105399940</vt:lpwstr>
      </vt:variant>
      <vt:variant>
        <vt:i4>1966132</vt:i4>
      </vt:variant>
      <vt:variant>
        <vt:i4>1790</vt:i4>
      </vt:variant>
      <vt:variant>
        <vt:i4>0</vt:i4>
      </vt:variant>
      <vt:variant>
        <vt:i4>5</vt:i4>
      </vt:variant>
      <vt:variant>
        <vt:lpwstr/>
      </vt:variant>
      <vt:variant>
        <vt:lpwstr>_Toc105399939</vt:lpwstr>
      </vt:variant>
      <vt:variant>
        <vt:i4>1966132</vt:i4>
      </vt:variant>
      <vt:variant>
        <vt:i4>1784</vt:i4>
      </vt:variant>
      <vt:variant>
        <vt:i4>0</vt:i4>
      </vt:variant>
      <vt:variant>
        <vt:i4>5</vt:i4>
      </vt:variant>
      <vt:variant>
        <vt:lpwstr/>
      </vt:variant>
      <vt:variant>
        <vt:lpwstr>_Toc105399938</vt:lpwstr>
      </vt:variant>
      <vt:variant>
        <vt:i4>1966132</vt:i4>
      </vt:variant>
      <vt:variant>
        <vt:i4>1778</vt:i4>
      </vt:variant>
      <vt:variant>
        <vt:i4>0</vt:i4>
      </vt:variant>
      <vt:variant>
        <vt:i4>5</vt:i4>
      </vt:variant>
      <vt:variant>
        <vt:lpwstr/>
      </vt:variant>
      <vt:variant>
        <vt:lpwstr>_Toc105399937</vt:lpwstr>
      </vt:variant>
      <vt:variant>
        <vt:i4>1966132</vt:i4>
      </vt:variant>
      <vt:variant>
        <vt:i4>1769</vt:i4>
      </vt:variant>
      <vt:variant>
        <vt:i4>0</vt:i4>
      </vt:variant>
      <vt:variant>
        <vt:i4>5</vt:i4>
      </vt:variant>
      <vt:variant>
        <vt:lpwstr/>
      </vt:variant>
      <vt:variant>
        <vt:lpwstr>_Toc105399936</vt:lpwstr>
      </vt:variant>
      <vt:variant>
        <vt:i4>1966132</vt:i4>
      </vt:variant>
      <vt:variant>
        <vt:i4>1763</vt:i4>
      </vt:variant>
      <vt:variant>
        <vt:i4>0</vt:i4>
      </vt:variant>
      <vt:variant>
        <vt:i4>5</vt:i4>
      </vt:variant>
      <vt:variant>
        <vt:lpwstr/>
      </vt:variant>
      <vt:variant>
        <vt:lpwstr>_Toc105399935</vt:lpwstr>
      </vt:variant>
      <vt:variant>
        <vt:i4>1966132</vt:i4>
      </vt:variant>
      <vt:variant>
        <vt:i4>1757</vt:i4>
      </vt:variant>
      <vt:variant>
        <vt:i4>0</vt:i4>
      </vt:variant>
      <vt:variant>
        <vt:i4>5</vt:i4>
      </vt:variant>
      <vt:variant>
        <vt:lpwstr/>
      </vt:variant>
      <vt:variant>
        <vt:lpwstr>_Toc105399934</vt:lpwstr>
      </vt:variant>
      <vt:variant>
        <vt:i4>1966132</vt:i4>
      </vt:variant>
      <vt:variant>
        <vt:i4>1751</vt:i4>
      </vt:variant>
      <vt:variant>
        <vt:i4>0</vt:i4>
      </vt:variant>
      <vt:variant>
        <vt:i4>5</vt:i4>
      </vt:variant>
      <vt:variant>
        <vt:lpwstr/>
      </vt:variant>
      <vt:variant>
        <vt:lpwstr>_Toc105399933</vt:lpwstr>
      </vt:variant>
      <vt:variant>
        <vt:i4>1966132</vt:i4>
      </vt:variant>
      <vt:variant>
        <vt:i4>1745</vt:i4>
      </vt:variant>
      <vt:variant>
        <vt:i4>0</vt:i4>
      </vt:variant>
      <vt:variant>
        <vt:i4>5</vt:i4>
      </vt:variant>
      <vt:variant>
        <vt:lpwstr/>
      </vt:variant>
      <vt:variant>
        <vt:lpwstr>_Toc105399932</vt:lpwstr>
      </vt:variant>
      <vt:variant>
        <vt:i4>1966132</vt:i4>
      </vt:variant>
      <vt:variant>
        <vt:i4>1739</vt:i4>
      </vt:variant>
      <vt:variant>
        <vt:i4>0</vt:i4>
      </vt:variant>
      <vt:variant>
        <vt:i4>5</vt:i4>
      </vt:variant>
      <vt:variant>
        <vt:lpwstr/>
      </vt:variant>
      <vt:variant>
        <vt:lpwstr>_Toc105399931</vt:lpwstr>
      </vt:variant>
      <vt:variant>
        <vt:i4>1966132</vt:i4>
      </vt:variant>
      <vt:variant>
        <vt:i4>1733</vt:i4>
      </vt:variant>
      <vt:variant>
        <vt:i4>0</vt:i4>
      </vt:variant>
      <vt:variant>
        <vt:i4>5</vt:i4>
      </vt:variant>
      <vt:variant>
        <vt:lpwstr/>
      </vt:variant>
      <vt:variant>
        <vt:lpwstr>_Toc105399930</vt:lpwstr>
      </vt:variant>
      <vt:variant>
        <vt:i4>2031668</vt:i4>
      </vt:variant>
      <vt:variant>
        <vt:i4>1727</vt:i4>
      </vt:variant>
      <vt:variant>
        <vt:i4>0</vt:i4>
      </vt:variant>
      <vt:variant>
        <vt:i4>5</vt:i4>
      </vt:variant>
      <vt:variant>
        <vt:lpwstr/>
      </vt:variant>
      <vt:variant>
        <vt:lpwstr>_Toc105399929</vt:lpwstr>
      </vt:variant>
      <vt:variant>
        <vt:i4>2031668</vt:i4>
      </vt:variant>
      <vt:variant>
        <vt:i4>1721</vt:i4>
      </vt:variant>
      <vt:variant>
        <vt:i4>0</vt:i4>
      </vt:variant>
      <vt:variant>
        <vt:i4>5</vt:i4>
      </vt:variant>
      <vt:variant>
        <vt:lpwstr/>
      </vt:variant>
      <vt:variant>
        <vt:lpwstr>_Toc105399928</vt:lpwstr>
      </vt:variant>
      <vt:variant>
        <vt:i4>2031668</vt:i4>
      </vt:variant>
      <vt:variant>
        <vt:i4>1715</vt:i4>
      </vt:variant>
      <vt:variant>
        <vt:i4>0</vt:i4>
      </vt:variant>
      <vt:variant>
        <vt:i4>5</vt:i4>
      </vt:variant>
      <vt:variant>
        <vt:lpwstr/>
      </vt:variant>
      <vt:variant>
        <vt:lpwstr>_Toc105399927</vt:lpwstr>
      </vt:variant>
      <vt:variant>
        <vt:i4>2031668</vt:i4>
      </vt:variant>
      <vt:variant>
        <vt:i4>1709</vt:i4>
      </vt:variant>
      <vt:variant>
        <vt:i4>0</vt:i4>
      </vt:variant>
      <vt:variant>
        <vt:i4>5</vt:i4>
      </vt:variant>
      <vt:variant>
        <vt:lpwstr/>
      </vt:variant>
      <vt:variant>
        <vt:lpwstr>_Toc105399926</vt:lpwstr>
      </vt:variant>
      <vt:variant>
        <vt:i4>2031668</vt:i4>
      </vt:variant>
      <vt:variant>
        <vt:i4>1703</vt:i4>
      </vt:variant>
      <vt:variant>
        <vt:i4>0</vt:i4>
      </vt:variant>
      <vt:variant>
        <vt:i4>5</vt:i4>
      </vt:variant>
      <vt:variant>
        <vt:lpwstr/>
      </vt:variant>
      <vt:variant>
        <vt:lpwstr>_Toc105399925</vt:lpwstr>
      </vt:variant>
      <vt:variant>
        <vt:i4>2031668</vt:i4>
      </vt:variant>
      <vt:variant>
        <vt:i4>1697</vt:i4>
      </vt:variant>
      <vt:variant>
        <vt:i4>0</vt:i4>
      </vt:variant>
      <vt:variant>
        <vt:i4>5</vt:i4>
      </vt:variant>
      <vt:variant>
        <vt:lpwstr/>
      </vt:variant>
      <vt:variant>
        <vt:lpwstr>_Toc105399924</vt:lpwstr>
      </vt:variant>
      <vt:variant>
        <vt:i4>2031668</vt:i4>
      </vt:variant>
      <vt:variant>
        <vt:i4>1691</vt:i4>
      </vt:variant>
      <vt:variant>
        <vt:i4>0</vt:i4>
      </vt:variant>
      <vt:variant>
        <vt:i4>5</vt:i4>
      </vt:variant>
      <vt:variant>
        <vt:lpwstr/>
      </vt:variant>
      <vt:variant>
        <vt:lpwstr>_Toc105399923</vt:lpwstr>
      </vt:variant>
      <vt:variant>
        <vt:i4>2031668</vt:i4>
      </vt:variant>
      <vt:variant>
        <vt:i4>1685</vt:i4>
      </vt:variant>
      <vt:variant>
        <vt:i4>0</vt:i4>
      </vt:variant>
      <vt:variant>
        <vt:i4>5</vt:i4>
      </vt:variant>
      <vt:variant>
        <vt:lpwstr/>
      </vt:variant>
      <vt:variant>
        <vt:lpwstr>_Toc105399922</vt:lpwstr>
      </vt:variant>
      <vt:variant>
        <vt:i4>2031668</vt:i4>
      </vt:variant>
      <vt:variant>
        <vt:i4>1679</vt:i4>
      </vt:variant>
      <vt:variant>
        <vt:i4>0</vt:i4>
      </vt:variant>
      <vt:variant>
        <vt:i4>5</vt:i4>
      </vt:variant>
      <vt:variant>
        <vt:lpwstr/>
      </vt:variant>
      <vt:variant>
        <vt:lpwstr>_Toc105399921</vt:lpwstr>
      </vt:variant>
      <vt:variant>
        <vt:i4>2031668</vt:i4>
      </vt:variant>
      <vt:variant>
        <vt:i4>1673</vt:i4>
      </vt:variant>
      <vt:variant>
        <vt:i4>0</vt:i4>
      </vt:variant>
      <vt:variant>
        <vt:i4>5</vt:i4>
      </vt:variant>
      <vt:variant>
        <vt:lpwstr/>
      </vt:variant>
      <vt:variant>
        <vt:lpwstr>_Toc105399920</vt:lpwstr>
      </vt:variant>
      <vt:variant>
        <vt:i4>1835060</vt:i4>
      </vt:variant>
      <vt:variant>
        <vt:i4>1667</vt:i4>
      </vt:variant>
      <vt:variant>
        <vt:i4>0</vt:i4>
      </vt:variant>
      <vt:variant>
        <vt:i4>5</vt:i4>
      </vt:variant>
      <vt:variant>
        <vt:lpwstr/>
      </vt:variant>
      <vt:variant>
        <vt:lpwstr>_Toc105399919</vt:lpwstr>
      </vt:variant>
      <vt:variant>
        <vt:i4>1835060</vt:i4>
      </vt:variant>
      <vt:variant>
        <vt:i4>1661</vt:i4>
      </vt:variant>
      <vt:variant>
        <vt:i4>0</vt:i4>
      </vt:variant>
      <vt:variant>
        <vt:i4>5</vt:i4>
      </vt:variant>
      <vt:variant>
        <vt:lpwstr/>
      </vt:variant>
      <vt:variant>
        <vt:lpwstr>_Toc105399918</vt:lpwstr>
      </vt:variant>
      <vt:variant>
        <vt:i4>1835060</vt:i4>
      </vt:variant>
      <vt:variant>
        <vt:i4>1655</vt:i4>
      </vt:variant>
      <vt:variant>
        <vt:i4>0</vt:i4>
      </vt:variant>
      <vt:variant>
        <vt:i4>5</vt:i4>
      </vt:variant>
      <vt:variant>
        <vt:lpwstr/>
      </vt:variant>
      <vt:variant>
        <vt:lpwstr>_Toc105399917</vt:lpwstr>
      </vt:variant>
      <vt:variant>
        <vt:i4>1835060</vt:i4>
      </vt:variant>
      <vt:variant>
        <vt:i4>1649</vt:i4>
      </vt:variant>
      <vt:variant>
        <vt:i4>0</vt:i4>
      </vt:variant>
      <vt:variant>
        <vt:i4>5</vt:i4>
      </vt:variant>
      <vt:variant>
        <vt:lpwstr/>
      </vt:variant>
      <vt:variant>
        <vt:lpwstr>_Toc105399916</vt:lpwstr>
      </vt:variant>
      <vt:variant>
        <vt:i4>1835060</vt:i4>
      </vt:variant>
      <vt:variant>
        <vt:i4>1643</vt:i4>
      </vt:variant>
      <vt:variant>
        <vt:i4>0</vt:i4>
      </vt:variant>
      <vt:variant>
        <vt:i4>5</vt:i4>
      </vt:variant>
      <vt:variant>
        <vt:lpwstr/>
      </vt:variant>
      <vt:variant>
        <vt:lpwstr>_Toc105399915</vt:lpwstr>
      </vt:variant>
      <vt:variant>
        <vt:i4>1835060</vt:i4>
      </vt:variant>
      <vt:variant>
        <vt:i4>1637</vt:i4>
      </vt:variant>
      <vt:variant>
        <vt:i4>0</vt:i4>
      </vt:variant>
      <vt:variant>
        <vt:i4>5</vt:i4>
      </vt:variant>
      <vt:variant>
        <vt:lpwstr/>
      </vt:variant>
      <vt:variant>
        <vt:lpwstr>_Toc105399914</vt:lpwstr>
      </vt:variant>
      <vt:variant>
        <vt:i4>1835060</vt:i4>
      </vt:variant>
      <vt:variant>
        <vt:i4>1631</vt:i4>
      </vt:variant>
      <vt:variant>
        <vt:i4>0</vt:i4>
      </vt:variant>
      <vt:variant>
        <vt:i4>5</vt:i4>
      </vt:variant>
      <vt:variant>
        <vt:lpwstr/>
      </vt:variant>
      <vt:variant>
        <vt:lpwstr>_Toc105399913</vt:lpwstr>
      </vt:variant>
      <vt:variant>
        <vt:i4>1835060</vt:i4>
      </vt:variant>
      <vt:variant>
        <vt:i4>1625</vt:i4>
      </vt:variant>
      <vt:variant>
        <vt:i4>0</vt:i4>
      </vt:variant>
      <vt:variant>
        <vt:i4>5</vt:i4>
      </vt:variant>
      <vt:variant>
        <vt:lpwstr/>
      </vt:variant>
      <vt:variant>
        <vt:lpwstr>_Toc105399912</vt:lpwstr>
      </vt:variant>
      <vt:variant>
        <vt:i4>1835060</vt:i4>
      </vt:variant>
      <vt:variant>
        <vt:i4>1619</vt:i4>
      </vt:variant>
      <vt:variant>
        <vt:i4>0</vt:i4>
      </vt:variant>
      <vt:variant>
        <vt:i4>5</vt:i4>
      </vt:variant>
      <vt:variant>
        <vt:lpwstr/>
      </vt:variant>
      <vt:variant>
        <vt:lpwstr>_Toc105399911</vt:lpwstr>
      </vt:variant>
      <vt:variant>
        <vt:i4>1835060</vt:i4>
      </vt:variant>
      <vt:variant>
        <vt:i4>1613</vt:i4>
      </vt:variant>
      <vt:variant>
        <vt:i4>0</vt:i4>
      </vt:variant>
      <vt:variant>
        <vt:i4>5</vt:i4>
      </vt:variant>
      <vt:variant>
        <vt:lpwstr/>
      </vt:variant>
      <vt:variant>
        <vt:lpwstr>_Toc105399910</vt:lpwstr>
      </vt:variant>
      <vt:variant>
        <vt:i4>1900596</vt:i4>
      </vt:variant>
      <vt:variant>
        <vt:i4>1607</vt:i4>
      </vt:variant>
      <vt:variant>
        <vt:i4>0</vt:i4>
      </vt:variant>
      <vt:variant>
        <vt:i4>5</vt:i4>
      </vt:variant>
      <vt:variant>
        <vt:lpwstr/>
      </vt:variant>
      <vt:variant>
        <vt:lpwstr>_Toc105399909</vt:lpwstr>
      </vt:variant>
      <vt:variant>
        <vt:i4>1900596</vt:i4>
      </vt:variant>
      <vt:variant>
        <vt:i4>1601</vt:i4>
      </vt:variant>
      <vt:variant>
        <vt:i4>0</vt:i4>
      </vt:variant>
      <vt:variant>
        <vt:i4>5</vt:i4>
      </vt:variant>
      <vt:variant>
        <vt:lpwstr/>
      </vt:variant>
      <vt:variant>
        <vt:lpwstr>_Toc105399908</vt:lpwstr>
      </vt:variant>
      <vt:variant>
        <vt:i4>1900596</vt:i4>
      </vt:variant>
      <vt:variant>
        <vt:i4>1595</vt:i4>
      </vt:variant>
      <vt:variant>
        <vt:i4>0</vt:i4>
      </vt:variant>
      <vt:variant>
        <vt:i4>5</vt:i4>
      </vt:variant>
      <vt:variant>
        <vt:lpwstr/>
      </vt:variant>
      <vt:variant>
        <vt:lpwstr>_Toc105399907</vt:lpwstr>
      </vt:variant>
      <vt:variant>
        <vt:i4>1900596</vt:i4>
      </vt:variant>
      <vt:variant>
        <vt:i4>1589</vt:i4>
      </vt:variant>
      <vt:variant>
        <vt:i4>0</vt:i4>
      </vt:variant>
      <vt:variant>
        <vt:i4>5</vt:i4>
      </vt:variant>
      <vt:variant>
        <vt:lpwstr/>
      </vt:variant>
      <vt:variant>
        <vt:lpwstr>_Toc105399906</vt:lpwstr>
      </vt:variant>
      <vt:variant>
        <vt:i4>1900596</vt:i4>
      </vt:variant>
      <vt:variant>
        <vt:i4>1583</vt:i4>
      </vt:variant>
      <vt:variant>
        <vt:i4>0</vt:i4>
      </vt:variant>
      <vt:variant>
        <vt:i4>5</vt:i4>
      </vt:variant>
      <vt:variant>
        <vt:lpwstr/>
      </vt:variant>
      <vt:variant>
        <vt:lpwstr>_Toc105399905</vt:lpwstr>
      </vt:variant>
      <vt:variant>
        <vt:i4>1900596</vt:i4>
      </vt:variant>
      <vt:variant>
        <vt:i4>1577</vt:i4>
      </vt:variant>
      <vt:variant>
        <vt:i4>0</vt:i4>
      </vt:variant>
      <vt:variant>
        <vt:i4>5</vt:i4>
      </vt:variant>
      <vt:variant>
        <vt:lpwstr/>
      </vt:variant>
      <vt:variant>
        <vt:lpwstr>_Toc105399904</vt:lpwstr>
      </vt:variant>
      <vt:variant>
        <vt:i4>1900596</vt:i4>
      </vt:variant>
      <vt:variant>
        <vt:i4>1571</vt:i4>
      </vt:variant>
      <vt:variant>
        <vt:i4>0</vt:i4>
      </vt:variant>
      <vt:variant>
        <vt:i4>5</vt:i4>
      </vt:variant>
      <vt:variant>
        <vt:lpwstr/>
      </vt:variant>
      <vt:variant>
        <vt:lpwstr>_Toc105399903</vt:lpwstr>
      </vt:variant>
      <vt:variant>
        <vt:i4>1900596</vt:i4>
      </vt:variant>
      <vt:variant>
        <vt:i4>1565</vt:i4>
      </vt:variant>
      <vt:variant>
        <vt:i4>0</vt:i4>
      </vt:variant>
      <vt:variant>
        <vt:i4>5</vt:i4>
      </vt:variant>
      <vt:variant>
        <vt:lpwstr/>
      </vt:variant>
      <vt:variant>
        <vt:lpwstr>_Toc105399902</vt:lpwstr>
      </vt:variant>
      <vt:variant>
        <vt:i4>1900596</vt:i4>
      </vt:variant>
      <vt:variant>
        <vt:i4>1559</vt:i4>
      </vt:variant>
      <vt:variant>
        <vt:i4>0</vt:i4>
      </vt:variant>
      <vt:variant>
        <vt:i4>5</vt:i4>
      </vt:variant>
      <vt:variant>
        <vt:lpwstr/>
      </vt:variant>
      <vt:variant>
        <vt:lpwstr>_Toc105399901</vt:lpwstr>
      </vt:variant>
      <vt:variant>
        <vt:i4>1900596</vt:i4>
      </vt:variant>
      <vt:variant>
        <vt:i4>1553</vt:i4>
      </vt:variant>
      <vt:variant>
        <vt:i4>0</vt:i4>
      </vt:variant>
      <vt:variant>
        <vt:i4>5</vt:i4>
      </vt:variant>
      <vt:variant>
        <vt:lpwstr/>
      </vt:variant>
      <vt:variant>
        <vt:lpwstr>_Toc105399900</vt:lpwstr>
      </vt:variant>
      <vt:variant>
        <vt:i4>1310773</vt:i4>
      </vt:variant>
      <vt:variant>
        <vt:i4>1547</vt:i4>
      </vt:variant>
      <vt:variant>
        <vt:i4>0</vt:i4>
      </vt:variant>
      <vt:variant>
        <vt:i4>5</vt:i4>
      </vt:variant>
      <vt:variant>
        <vt:lpwstr/>
      </vt:variant>
      <vt:variant>
        <vt:lpwstr>_Toc105399899</vt:lpwstr>
      </vt:variant>
      <vt:variant>
        <vt:i4>1310773</vt:i4>
      </vt:variant>
      <vt:variant>
        <vt:i4>1541</vt:i4>
      </vt:variant>
      <vt:variant>
        <vt:i4>0</vt:i4>
      </vt:variant>
      <vt:variant>
        <vt:i4>5</vt:i4>
      </vt:variant>
      <vt:variant>
        <vt:lpwstr/>
      </vt:variant>
      <vt:variant>
        <vt:lpwstr>_Toc105399898</vt:lpwstr>
      </vt:variant>
      <vt:variant>
        <vt:i4>1310773</vt:i4>
      </vt:variant>
      <vt:variant>
        <vt:i4>1535</vt:i4>
      </vt:variant>
      <vt:variant>
        <vt:i4>0</vt:i4>
      </vt:variant>
      <vt:variant>
        <vt:i4>5</vt:i4>
      </vt:variant>
      <vt:variant>
        <vt:lpwstr/>
      </vt:variant>
      <vt:variant>
        <vt:lpwstr>_Toc105399897</vt:lpwstr>
      </vt:variant>
      <vt:variant>
        <vt:i4>1310773</vt:i4>
      </vt:variant>
      <vt:variant>
        <vt:i4>1529</vt:i4>
      </vt:variant>
      <vt:variant>
        <vt:i4>0</vt:i4>
      </vt:variant>
      <vt:variant>
        <vt:i4>5</vt:i4>
      </vt:variant>
      <vt:variant>
        <vt:lpwstr/>
      </vt:variant>
      <vt:variant>
        <vt:lpwstr>_Toc105399896</vt:lpwstr>
      </vt:variant>
      <vt:variant>
        <vt:i4>1310773</vt:i4>
      </vt:variant>
      <vt:variant>
        <vt:i4>1523</vt:i4>
      </vt:variant>
      <vt:variant>
        <vt:i4>0</vt:i4>
      </vt:variant>
      <vt:variant>
        <vt:i4>5</vt:i4>
      </vt:variant>
      <vt:variant>
        <vt:lpwstr/>
      </vt:variant>
      <vt:variant>
        <vt:lpwstr>_Toc105399895</vt:lpwstr>
      </vt:variant>
      <vt:variant>
        <vt:i4>1310773</vt:i4>
      </vt:variant>
      <vt:variant>
        <vt:i4>1517</vt:i4>
      </vt:variant>
      <vt:variant>
        <vt:i4>0</vt:i4>
      </vt:variant>
      <vt:variant>
        <vt:i4>5</vt:i4>
      </vt:variant>
      <vt:variant>
        <vt:lpwstr/>
      </vt:variant>
      <vt:variant>
        <vt:lpwstr>_Toc105399894</vt:lpwstr>
      </vt:variant>
      <vt:variant>
        <vt:i4>1310773</vt:i4>
      </vt:variant>
      <vt:variant>
        <vt:i4>1511</vt:i4>
      </vt:variant>
      <vt:variant>
        <vt:i4>0</vt:i4>
      </vt:variant>
      <vt:variant>
        <vt:i4>5</vt:i4>
      </vt:variant>
      <vt:variant>
        <vt:lpwstr/>
      </vt:variant>
      <vt:variant>
        <vt:lpwstr>_Toc105399893</vt:lpwstr>
      </vt:variant>
      <vt:variant>
        <vt:i4>1310773</vt:i4>
      </vt:variant>
      <vt:variant>
        <vt:i4>1505</vt:i4>
      </vt:variant>
      <vt:variant>
        <vt:i4>0</vt:i4>
      </vt:variant>
      <vt:variant>
        <vt:i4>5</vt:i4>
      </vt:variant>
      <vt:variant>
        <vt:lpwstr/>
      </vt:variant>
      <vt:variant>
        <vt:lpwstr>_Toc105399892</vt:lpwstr>
      </vt:variant>
      <vt:variant>
        <vt:i4>1310773</vt:i4>
      </vt:variant>
      <vt:variant>
        <vt:i4>1499</vt:i4>
      </vt:variant>
      <vt:variant>
        <vt:i4>0</vt:i4>
      </vt:variant>
      <vt:variant>
        <vt:i4>5</vt:i4>
      </vt:variant>
      <vt:variant>
        <vt:lpwstr/>
      </vt:variant>
      <vt:variant>
        <vt:lpwstr>_Toc105399891</vt:lpwstr>
      </vt:variant>
      <vt:variant>
        <vt:i4>1310773</vt:i4>
      </vt:variant>
      <vt:variant>
        <vt:i4>1493</vt:i4>
      </vt:variant>
      <vt:variant>
        <vt:i4>0</vt:i4>
      </vt:variant>
      <vt:variant>
        <vt:i4>5</vt:i4>
      </vt:variant>
      <vt:variant>
        <vt:lpwstr/>
      </vt:variant>
      <vt:variant>
        <vt:lpwstr>_Toc105399890</vt:lpwstr>
      </vt:variant>
      <vt:variant>
        <vt:i4>1376309</vt:i4>
      </vt:variant>
      <vt:variant>
        <vt:i4>1487</vt:i4>
      </vt:variant>
      <vt:variant>
        <vt:i4>0</vt:i4>
      </vt:variant>
      <vt:variant>
        <vt:i4>5</vt:i4>
      </vt:variant>
      <vt:variant>
        <vt:lpwstr/>
      </vt:variant>
      <vt:variant>
        <vt:lpwstr>_Toc105399889</vt:lpwstr>
      </vt:variant>
      <vt:variant>
        <vt:i4>1376309</vt:i4>
      </vt:variant>
      <vt:variant>
        <vt:i4>1481</vt:i4>
      </vt:variant>
      <vt:variant>
        <vt:i4>0</vt:i4>
      </vt:variant>
      <vt:variant>
        <vt:i4>5</vt:i4>
      </vt:variant>
      <vt:variant>
        <vt:lpwstr/>
      </vt:variant>
      <vt:variant>
        <vt:lpwstr>_Toc105399888</vt:lpwstr>
      </vt:variant>
      <vt:variant>
        <vt:i4>1376309</vt:i4>
      </vt:variant>
      <vt:variant>
        <vt:i4>1475</vt:i4>
      </vt:variant>
      <vt:variant>
        <vt:i4>0</vt:i4>
      </vt:variant>
      <vt:variant>
        <vt:i4>5</vt:i4>
      </vt:variant>
      <vt:variant>
        <vt:lpwstr/>
      </vt:variant>
      <vt:variant>
        <vt:lpwstr>_Toc105399887</vt:lpwstr>
      </vt:variant>
      <vt:variant>
        <vt:i4>1376309</vt:i4>
      </vt:variant>
      <vt:variant>
        <vt:i4>1469</vt:i4>
      </vt:variant>
      <vt:variant>
        <vt:i4>0</vt:i4>
      </vt:variant>
      <vt:variant>
        <vt:i4>5</vt:i4>
      </vt:variant>
      <vt:variant>
        <vt:lpwstr/>
      </vt:variant>
      <vt:variant>
        <vt:lpwstr>_Toc105399886</vt:lpwstr>
      </vt:variant>
      <vt:variant>
        <vt:i4>1376309</vt:i4>
      </vt:variant>
      <vt:variant>
        <vt:i4>1463</vt:i4>
      </vt:variant>
      <vt:variant>
        <vt:i4>0</vt:i4>
      </vt:variant>
      <vt:variant>
        <vt:i4>5</vt:i4>
      </vt:variant>
      <vt:variant>
        <vt:lpwstr/>
      </vt:variant>
      <vt:variant>
        <vt:lpwstr>_Toc105399885</vt:lpwstr>
      </vt:variant>
      <vt:variant>
        <vt:i4>1376309</vt:i4>
      </vt:variant>
      <vt:variant>
        <vt:i4>1457</vt:i4>
      </vt:variant>
      <vt:variant>
        <vt:i4>0</vt:i4>
      </vt:variant>
      <vt:variant>
        <vt:i4>5</vt:i4>
      </vt:variant>
      <vt:variant>
        <vt:lpwstr/>
      </vt:variant>
      <vt:variant>
        <vt:lpwstr>_Toc105399884</vt:lpwstr>
      </vt:variant>
      <vt:variant>
        <vt:i4>1376309</vt:i4>
      </vt:variant>
      <vt:variant>
        <vt:i4>1451</vt:i4>
      </vt:variant>
      <vt:variant>
        <vt:i4>0</vt:i4>
      </vt:variant>
      <vt:variant>
        <vt:i4>5</vt:i4>
      </vt:variant>
      <vt:variant>
        <vt:lpwstr/>
      </vt:variant>
      <vt:variant>
        <vt:lpwstr>_Toc105399883</vt:lpwstr>
      </vt:variant>
      <vt:variant>
        <vt:i4>1376309</vt:i4>
      </vt:variant>
      <vt:variant>
        <vt:i4>1445</vt:i4>
      </vt:variant>
      <vt:variant>
        <vt:i4>0</vt:i4>
      </vt:variant>
      <vt:variant>
        <vt:i4>5</vt:i4>
      </vt:variant>
      <vt:variant>
        <vt:lpwstr/>
      </vt:variant>
      <vt:variant>
        <vt:lpwstr>_Toc105399882</vt:lpwstr>
      </vt:variant>
      <vt:variant>
        <vt:i4>1376309</vt:i4>
      </vt:variant>
      <vt:variant>
        <vt:i4>1439</vt:i4>
      </vt:variant>
      <vt:variant>
        <vt:i4>0</vt:i4>
      </vt:variant>
      <vt:variant>
        <vt:i4>5</vt:i4>
      </vt:variant>
      <vt:variant>
        <vt:lpwstr/>
      </vt:variant>
      <vt:variant>
        <vt:lpwstr>_Toc105399881</vt:lpwstr>
      </vt:variant>
      <vt:variant>
        <vt:i4>1376309</vt:i4>
      </vt:variant>
      <vt:variant>
        <vt:i4>1433</vt:i4>
      </vt:variant>
      <vt:variant>
        <vt:i4>0</vt:i4>
      </vt:variant>
      <vt:variant>
        <vt:i4>5</vt:i4>
      </vt:variant>
      <vt:variant>
        <vt:lpwstr/>
      </vt:variant>
      <vt:variant>
        <vt:lpwstr>_Toc105399880</vt:lpwstr>
      </vt:variant>
      <vt:variant>
        <vt:i4>1703989</vt:i4>
      </vt:variant>
      <vt:variant>
        <vt:i4>1427</vt:i4>
      </vt:variant>
      <vt:variant>
        <vt:i4>0</vt:i4>
      </vt:variant>
      <vt:variant>
        <vt:i4>5</vt:i4>
      </vt:variant>
      <vt:variant>
        <vt:lpwstr/>
      </vt:variant>
      <vt:variant>
        <vt:lpwstr>_Toc105399879</vt:lpwstr>
      </vt:variant>
      <vt:variant>
        <vt:i4>1703989</vt:i4>
      </vt:variant>
      <vt:variant>
        <vt:i4>1421</vt:i4>
      </vt:variant>
      <vt:variant>
        <vt:i4>0</vt:i4>
      </vt:variant>
      <vt:variant>
        <vt:i4>5</vt:i4>
      </vt:variant>
      <vt:variant>
        <vt:lpwstr/>
      </vt:variant>
      <vt:variant>
        <vt:lpwstr>_Toc105399878</vt:lpwstr>
      </vt:variant>
      <vt:variant>
        <vt:i4>1703989</vt:i4>
      </vt:variant>
      <vt:variant>
        <vt:i4>1415</vt:i4>
      </vt:variant>
      <vt:variant>
        <vt:i4>0</vt:i4>
      </vt:variant>
      <vt:variant>
        <vt:i4>5</vt:i4>
      </vt:variant>
      <vt:variant>
        <vt:lpwstr/>
      </vt:variant>
      <vt:variant>
        <vt:lpwstr>_Toc105399877</vt:lpwstr>
      </vt:variant>
      <vt:variant>
        <vt:i4>1703989</vt:i4>
      </vt:variant>
      <vt:variant>
        <vt:i4>1409</vt:i4>
      </vt:variant>
      <vt:variant>
        <vt:i4>0</vt:i4>
      </vt:variant>
      <vt:variant>
        <vt:i4>5</vt:i4>
      </vt:variant>
      <vt:variant>
        <vt:lpwstr/>
      </vt:variant>
      <vt:variant>
        <vt:lpwstr>_Toc105399876</vt:lpwstr>
      </vt:variant>
      <vt:variant>
        <vt:i4>1703989</vt:i4>
      </vt:variant>
      <vt:variant>
        <vt:i4>1403</vt:i4>
      </vt:variant>
      <vt:variant>
        <vt:i4>0</vt:i4>
      </vt:variant>
      <vt:variant>
        <vt:i4>5</vt:i4>
      </vt:variant>
      <vt:variant>
        <vt:lpwstr/>
      </vt:variant>
      <vt:variant>
        <vt:lpwstr>_Toc105399875</vt:lpwstr>
      </vt:variant>
      <vt:variant>
        <vt:i4>1703989</vt:i4>
      </vt:variant>
      <vt:variant>
        <vt:i4>1397</vt:i4>
      </vt:variant>
      <vt:variant>
        <vt:i4>0</vt:i4>
      </vt:variant>
      <vt:variant>
        <vt:i4>5</vt:i4>
      </vt:variant>
      <vt:variant>
        <vt:lpwstr/>
      </vt:variant>
      <vt:variant>
        <vt:lpwstr>_Toc105399874</vt:lpwstr>
      </vt:variant>
      <vt:variant>
        <vt:i4>1703989</vt:i4>
      </vt:variant>
      <vt:variant>
        <vt:i4>1391</vt:i4>
      </vt:variant>
      <vt:variant>
        <vt:i4>0</vt:i4>
      </vt:variant>
      <vt:variant>
        <vt:i4>5</vt:i4>
      </vt:variant>
      <vt:variant>
        <vt:lpwstr/>
      </vt:variant>
      <vt:variant>
        <vt:lpwstr>_Toc105399873</vt:lpwstr>
      </vt:variant>
      <vt:variant>
        <vt:i4>1703989</vt:i4>
      </vt:variant>
      <vt:variant>
        <vt:i4>1385</vt:i4>
      </vt:variant>
      <vt:variant>
        <vt:i4>0</vt:i4>
      </vt:variant>
      <vt:variant>
        <vt:i4>5</vt:i4>
      </vt:variant>
      <vt:variant>
        <vt:lpwstr/>
      </vt:variant>
      <vt:variant>
        <vt:lpwstr>_Toc105399872</vt:lpwstr>
      </vt:variant>
      <vt:variant>
        <vt:i4>1703989</vt:i4>
      </vt:variant>
      <vt:variant>
        <vt:i4>1379</vt:i4>
      </vt:variant>
      <vt:variant>
        <vt:i4>0</vt:i4>
      </vt:variant>
      <vt:variant>
        <vt:i4>5</vt:i4>
      </vt:variant>
      <vt:variant>
        <vt:lpwstr/>
      </vt:variant>
      <vt:variant>
        <vt:lpwstr>_Toc105399871</vt:lpwstr>
      </vt:variant>
      <vt:variant>
        <vt:i4>1703989</vt:i4>
      </vt:variant>
      <vt:variant>
        <vt:i4>1373</vt:i4>
      </vt:variant>
      <vt:variant>
        <vt:i4>0</vt:i4>
      </vt:variant>
      <vt:variant>
        <vt:i4>5</vt:i4>
      </vt:variant>
      <vt:variant>
        <vt:lpwstr/>
      </vt:variant>
      <vt:variant>
        <vt:lpwstr>_Toc105399870</vt:lpwstr>
      </vt:variant>
      <vt:variant>
        <vt:i4>1769525</vt:i4>
      </vt:variant>
      <vt:variant>
        <vt:i4>1367</vt:i4>
      </vt:variant>
      <vt:variant>
        <vt:i4>0</vt:i4>
      </vt:variant>
      <vt:variant>
        <vt:i4>5</vt:i4>
      </vt:variant>
      <vt:variant>
        <vt:lpwstr/>
      </vt:variant>
      <vt:variant>
        <vt:lpwstr>_Toc105399869</vt:lpwstr>
      </vt:variant>
      <vt:variant>
        <vt:i4>1769525</vt:i4>
      </vt:variant>
      <vt:variant>
        <vt:i4>1361</vt:i4>
      </vt:variant>
      <vt:variant>
        <vt:i4>0</vt:i4>
      </vt:variant>
      <vt:variant>
        <vt:i4>5</vt:i4>
      </vt:variant>
      <vt:variant>
        <vt:lpwstr/>
      </vt:variant>
      <vt:variant>
        <vt:lpwstr>_Toc105399868</vt:lpwstr>
      </vt:variant>
      <vt:variant>
        <vt:i4>1769525</vt:i4>
      </vt:variant>
      <vt:variant>
        <vt:i4>1355</vt:i4>
      </vt:variant>
      <vt:variant>
        <vt:i4>0</vt:i4>
      </vt:variant>
      <vt:variant>
        <vt:i4>5</vt:i4>
      </vt:variant>
      <vt:variant>
        <vt:lpwstr/>
      </vt:variant>
      <vt:variant>
        <vt:lpwstr>_Toc105399867</vt:lpwstr>
      </vt:variant>
      <vt:variant>
        <vt:i4>1769525</vt:i4>
      </vt:variant>
      <vt:variant>
        <vt:i4>1349</vt:i4>
      </vt:variant>
      <vt:variant>
        <vt:i4>0</vt:i4>
      </vt:variant>
      <vt:variant>
        <vt:i4>5</vt:i4>
      </vt:variant>
      <vt:variant>
        <vt:lpwstr/>
      </vt:variant>
      <vt:variant>
        <vt:lpwstr>_Toc105399866</vt:lpwstr>
      </vt:variant>
      <vt:variant>
        <vt:i4>1769525</vt:i4>
      </vt:variant>
      <vt:variant>
        <vt:i4>1343</vt:i4>
      </vt:variant>
      <vt:variant>
        <vt:i4>0</vt:i4>
      </vt:variant>
      <vt:variant>
        <vt:i4>5</vt:i4>
      </vt:variant>
      <vt:variant>
        <vt:lpwstr/>
      </vt:variant>
      <vt:variant>
        <vt:lpwstr>_Toc105399865</vt:lpwstr>
      </vt:variant>
      <vt:variant>
        <vt:i4>1769525</vt:i4>
      </vt:variant>
      <vt:variant>
        <vt:i4>1337</vt:i4>
      </vt:variant>
      <vt:variant>
        <vt:i4>0</vt:i4>
      </vt:variant>
      <vt:variant>
        <vt:i4>5</vt:i4>
      </vt:variant>
      <vt:variant>
        <vt:lpwstr/>
      </vt:variant>
      <vt:variant>
        <vt:lpwstr>_Toc105399864</vt:lpwstr>
      </vt:variant>
      <vt:variant>
        <vt:i4>1769525</vt:i4>
      </vt:variant>
      <vt:variant>
        <vt:i4>1331</vt:i4>
      </vt:variant>
      <vt:variant>
        <vt:i4>0</vt:i4>
      </vt:variant>
      <vt:variant>
        <vt:i4>5</vt:i4>
      </vt:variant>
      <vt:variant>
        <vt:lpwstr/>
      </vt:variant>
      <vt:variant>
        <vt:lpwstr>_Toc105399863</vt:lpwstr>
      </vt:variant>
      <vt:variant>
        <vt:i4>1769525</vt:i4>
      </vt:variant>
      <vt:variant>
        <vt:i4>1325</vt:i4>
      </vt:variant>
      <vt:variant>
        <vt:i4>0</vt:i4>
      </vt:variant>
      <vt:variant>
        <vt:i4>5</vt:i4>
      </vt:variant>
      <vt:variant>
        <vt:lpwstr/>
      </vt:variant>
      <vt:variant>
        <vt:lpwstr>_Toc105399862</vt:lpwstr>
      </vt:variant>
      <vt:variant>
        <vt:i4>1769525</vt:i4>
      </vt:variant>
      <vt:variant>
        <vt:i4>1319</vt:i4>
      </vt:variant>
      <vt:variant>
        <vt:i4>0</vt:i4>
      </vt:variant>
      <vt:variant>
        <vt:i4>5</vt:i4>
      </vt:variant>
      <vt:variant>
        <vt:lpwstr/>
      </vt:variant>
      <vt:variant>
        <vt:lpwstr>_Toc105399861</vt:lpwstr>
      </vt:variant>
      <vt:variant>
        <vt:i4>1769525</vt:i4>
      </vt:variant>
      <vt:variant>
        <vt:i4>1313</vt:i4>
      </vt:variant>
      <vt:variant>
        <vt:i4>0</vt:i4>
      </vt:variant>
      <vt:variant>
        <vt:i4>5</vt:i4>
      </vt:variant>
      <vt:variant>
        <vt:lpwstr/>
      </vt:variant>
      <vt:variant>
        <vt:lpwstr>_Toc105399860</vt:lpwstr>
      </vt:variant>
      <vt:variant>
        <vt:i4>1572917</vt:i4>
      </vt:variant>
      <vt:variant>
        <vt:i4>1307</vt:i4>
      </vt:variant>
      <vt:variant>
        <vt:i4>0</vt:i4>
      </vt:variant>
      <vt:variant>
        <vt:i4>5</vt:i4>
      </vt:variant>
      <vt:variant>
        <vt:lpwstr/>
      </vt:variant>
      <vt:variant>
        <vt:lpwstr>_Toc105399859</vt:lpwstr>
      </vt:variant>
      <vt:variant>
        <vt:i4>1572917</vt:i4>
      </vt:variant>
      <vt:variant>
        <vt:i4>1301</vt:i4>
      </vt:variant>
      <vt:variant>
        <vt:i4>0</vt:i4>
      </vt:variant>
      <vt:variant>
        <vt:i4>5</vt:i4>
      </vt:variant>
      <vt:variant>
        <vt:lpwstr/>
      </vt:variant>
      <vt:variant>
        <vt:lpwstr>_Toc105399858</vt:lpwstr>
      </vt:variant>
      <vt:variant>
        <vt:i4>1572917</vt:i4>
      </vt:variant>
      <vt:variant>
        <vt:i4>1295</vt:i4>
      </vt:variant>
      <vt:variant>
        <vt:i4>0</vt:i4>
      </vt:variant>
      <vt:variant>
        <vt:i4>5</vt:i4>
      </vt:variant>
      <vt:variant>
        <vt:lpwstr/>
      </vt:variant>
      <vt:variant>
        <vt:lpwstr>_Toc105399857</vt:lpwstr>
      </vt:variant>
      <vt:variant>
        <vt:i4>1572917</vt:i4>
      </vt:variant>
      <vt:variant>
        <vt:i4>1289</vt:i4>
      </vt:variant>
      <vt:variant>
        <vt:i4>0</vt:i4>
      </vt:variant>
      <vt:variant>
        <vt:i4>5</vt:i4>
      </vt:variant>
      <vt:variant>
        <vt:lpwstr/>
      </vt:variant>
      <vt:variant>
        <vt:lpwstr>_Toc105399856</vt:lpwstr>
      </vt:variant>
      <vt:variant>
        <vt:i4>1572917</vt:i4>
      </vt:variant>
      <vt:variant>
        <vt:i4>1283</vt:i4>
      </vt:variant>
      <vt:variant>
        <vt:i4>0</vt:i4>
      </vt:variant>
      <vt:variant>
        <vt:i4>5</vt:i4>
      </vt:variant>
      <vt:variant>
        <vt:lpwstr/>
      </vt:variant>
      <vt:variant>
        <vt:lpwstr>_Toc105399855</vt:lpwstr>
      </vt:variant>
      <vt:variant>
        <vt:i4>1572917</vt:i4>
      </vt:variant>
      <vt:variant>
        <vt:i4>1277</vt:i4>
      </vt:variant>
      <vt:variant>
        <vt:i4>0</vt:i4>
      </vt:variant>
      <vt:variant>
        <vt:i4>5</vt:i4>
      </vt:variant>
      <vt:variant>
        <vt:lpwstr/>
      </vt:variant>
      <vt:variant>
        <vt:lpwstr>_Toc105399854</vt:lpwstr>
      </vt:variant>
      <vt:variant>
        <vt:i4>1572917</vt:i4>
      </vt:variant>
      <vt:variant>
        <vt:i4>1271</vt:i4>
      </vt:variant>
      <vt:variant>
        <vt:i4>0</vt:i4>
      </vt:variant>
      <vt:variant>
        <vt:i4>5</vt:i4>
      </vt:variant>
      <vt:variant>
        <vt:lpwstr/>
      </vt:variant>
      <vt:variant>
        <vt:lpwstr>_Toc105399853</vt:lpwstr>
      </vt:variant>
      <vt:variant>
        <vt:i4>1572917</vt:i4>
      </vt:variant>
      <vt:variant>
        <vt:i4>1265</vt:i4>
      </vt:variant>
      <vt:variant>
        <vt:i4>0</vt:i4>
      </vt:variant>
      <vt:variant>
        <vt:i4>5</vt:i4>
      </vt:variant>
      <vt:variant>
        <vt:lpwstr/>
      </vt:variant>
      <vt:variant>
        <vt:lpwstr>_Toc105399852</vt:lpwstr>
      </vt:variant>
      <vt:variant>
        <vt:i4>1572917</vt:i4>
      </vt:variant>
      <vt:variant>
        <vt:i4>1259</vt:i4>
      </vt:variant>
      <vt:variant>
        <vt:i4>0</vt:i4>
      </vt:variant>
      <vt:variant>
        <vt:i4>5</vt:i4>
      </vt:variant>
      <vt:variant>
        <vt:lpwstr/>
      </vt:variant>
      <vt:variant>
        <vt:lpwstr>_Toc105399851</vt:lpwstr>
      </vt:variant>
      <vt:variant>
        <vt:i4>1572917</vt:i4>
      </vt:variant>
      <vt:variant>
        <vt:i4>1253</vt:i4>
      </vt:variant>
      <vt:variant>
        <vt:i4>0</vt:i4>
      </vt:variant>
      <vt:variant>
        <vt:i4>5</vt:i4>
      </vt:variant>
      <vt:variant>
        <vt:lpwstr/>
      </vt:variant>
      <vt:variant>
        <vt:lpwstr>_Toc105399850</vt:lpwstr>
      </vt:variant>
      <vt:variant>
        <vt:i4>1638453</vt:i4>
      </vt:variant>
      <vt:variant>
        <vt:i4>1247</vt:i4>
      </vt:variant>
      <vt:variant>
        <vt:i4>0</vt:i4>
      </vt:variant>
      <vt:variant>
        <vt:i4>5</vt:i4>
      </vt:variant>
      <vt:variant>
        <vt:lpwstr/>
      </vt:variant>
      <vt:variant>
        <vt:lpwstr>_Toc105399849</vt:lpwstr>
      </vt:variant>
      <vt:variant>
        <vt:i4>1638453</vt:i4>
      </vt:variant>
      <vt:variant>
        <vt:i4>1241</vt:i4>
      </vt:variant>
      <vt:variant>
        <vt:i4>0</vt:i4>
      </vt:variant>
      <vt:variant>
        <vt:i4>5</vt:i4>
      </vt:variant>
      <vt:variant>
        <vt:lpwstr/>
      </vt:variant>
      <vt:variant>
        <vt:lpwstr>_Toc105399848</vt:lpwstr>
      </vt:variant>
      <vt:variant>
        <vt:i4>1638453</vt:i4>
      </vt:variant>
      <vt:variant>
        <vt:i4>1235</vt:i4>
      </vt:variant>
      <vt:variant>
        <vt:i4>0</vt:i4>
      </vt:variant>
      <vt:variant>
        <vt:i4>5</vt:i4>
      </vt:variant>
      <vt:variant>
        <vt:lpwstr/>
      </vt:variant>
      <vt:variant>
        <vt:lpwstr>_Toc105399847</vt:lpwstr>
      </vt:variant>
      <vt:variant>
        <vt:i4>1638453</vt:i4>
      </vt:variant>
      <vt:variant>
        <vt:i4>1229</vt:i4>
      </vt:variant>
      <vt:variant>
        <vt:i4>0</vt:i4>
      </vt:variant>
      <vt:variant>
        <vt:i4>5</vt:i4>
      </vt:variant>
      <vt:variant>
        <vt:lpwstr/>
      </vt:variant>
      <vt:variant>
        <vt:lpwstr>_Toc105399846</vt:lpwstr>
      </vt:variant>
      <vt:variant>
        <vt:i4>1638453</vt:i4>
      </vt:variant>
      <vt:variant>
        <vt:i4>1223</vt:i4>
      </vt:variant>
      <vt:variant>
        <vt:i4>0</vt:i4>
      </vt:variant>
      <vt:variant>
        <vt:i4>5</vt:i4>
      </vt:variant>
      <vt:variant>
        <vt:lpwstr/>
      </vt:variant>
      <vt:variant>
        <vt:lpwstr>_Toc105399845</vt:lpwstr>
      </vt:variant>
      <vt:variant>
        <vt:i4>1638453</vt:i4>
      </vt:variant>
      <vt:variant>
        <vt:i4>1217</vt:i4>
      </vt:variant>
      <vt:variant>
        <vt:i4>0</vt:i4>
      </vt:variant>
      <vt:variant>
        <vt:i4>5</vt:i4>
      </vt:variant>
      <vt:variant>
        <vt:lpwstr/>
      </vt:variant>
      <vt:variant>
        <vt:lpwstr>_Toc105399844</vt:lpwstr>
      </vt:variant>
      <vt:variant>
        <vt:i4>1638453</vt:i4>
      </vt:variant>
      <vt:variant>
        <vt:i4>1211</vt:i4>
      </vt:variant>
      <vt:variant>
        <vt:i4>0</vt:i4>
      </vt:variant>
      <vt:variant>
        <vt:i4>5</vt:i4>
      </vt:variant>
      <vt:variant>
        <vt:lpwstr/>
      </vt:variant>
      <vt:variant>
        <vt:lpwstr>_Toc105399843</vt:lpwstr>
      </vt:variant>
      <vt:variant>
        <vt:i4>1638453</vt:i4>
      </vt:variant>
      <vt:variant>
        <vt:i4>1205</vt:i4>
      </vt:variant>
      <vt:variant>
        <vt:i4>0</vt:i4>
      </vt:variant>
      <vt:variant>
        <vt:i4>5</vt:i4>
      </vt:variant>
      <vt:variant>
        <vt:lpwstr/>
      </vt:variant>
      <vt:variant>
        <vt:lpwstr>_Toc105399842</vt:lpwstr>
      </vt:variant>
      <vt:variant>
        <vt:i4>1638453</vt:i4>
      </vt:variant>
      <vt:variant>
        <vt:i4>1199</vt:i4>
      </vt:variant>
      <vt:variant>
        <vt:i4>0</vt:i4>
      </vt:variant>
      <vt:variant>
        <vt:i4>5</vt:i4>
      </vt:variant>
      <vt:variant>
        <vt:lpwstr/>
      </vt:variant>
      <vt:variant>
        <vt:lpwstr>_Toc105399841</vt:lpwstr>
      </vt:variant>
      <vt:variant>
        <vt:i4>1638453</vt:i4>
      </vt:variant>
      <vt:variant>
        <vt:i4>1193</vt:i4>
      </vt:variant>
      <vt:variant>
        <vt:i4>0</vt:i4>
      </vt:variant>
      <vt:variant>
        <vt:i4>5</vt:i4>
      </vt:variant>
      <vt:variant>
        <vt:lpwstr/>
      </vt:variant>
      <vt:variant>
        <vt:lpwstr>_Toc105399840</vt:lpwstr>
      </vt:variant>
      <vt:variant>
        <vt:i4>1966133</vt:i4>
      </vt:variant>
      <vt:variant>
        <vt:i4>1187</vt:i4>
      </vt:variant>
      <vt:variant>
        <vt:i4>0</vt:i4>
      </vt:variant>
      <vt:variant>
        <vt:i4>5</vt:i4>
      </vt:variant>
      <vt:variant>
        <vt:lpwstr/>
      </vt:variant>
      <vt:variant>
        <vt:lpwstr>_Toc105399839</vt:lpwstr>
      </vt:variant>
      <vt:variant>
        <vt:i4>1966133</vt:i4>
      </vt:variant>
      <vt:variant>
        <vt:i4>1181</vt:i4>
      </vt:variant>
      <vt:variant>
        <vt:i4>0</vt:i4>
      </vt:variant>
      <vt:variant>
        <vt:i4>5</vt:i4>
      </vt:variant>
      <vt:variant>
        <vt:lpwstr/>
      </vt:variant>
      <vt:variant>
        <vt:lpwstr>_Toc105399838</vt:lpwstr>
      </vt:variant>
      <vt:variant>
        <vt:i4>1966133</vt:i4>
      </vt:variant>
      <vt:variant>
        <vt:i4>1175</vt:i4>
      </vt:variant>
      <vt:variant>
        <vt:i4>0</vt:i4>
      </vt:variant>
      <vt:variant>
        <vt:i4>5</vt:i4>
      </vt:variant>
      <vt:variant>
        <vt:lpwstr/>
      </vt:variant>
      <vt:variant>
        <vt:lpwstr>_Toc105399837</vt:lpwstr>
      </vt:variant>
      <vt:variant>
        <vt:i4>1966133</vt:i4>
      </vt:variant>
      <vt:variant>
        <vt:i4>1169</vt:i4>
      </vt:variant>
      <vt:variant>
        <vt:i4>0</vt:i4>
      </vt:variant>
      <vt:variant>
        <vt:i4>5</vt:i4>
      </vt:variant>
      <vt:variant>
        <vt:lpwstr/>
      </vt:variant>
      <vt:variant>
        <vt:lpwstr>_Toc105399836</vt:lpwstr>
      </vt:variant>
      <vt:variant>
        <vt:i4>1966133</vt:i4>
      </vt:variant>
      <vt:variant>
        <vt:i4>1163</vt:i4>
      </vt:variant>
      <vt:variant>
        <vt:i4>0</vt:i4>
      </vt:variant>
      <vt:variant>
        <vt:i4>5</vt:i4>
      </vt:variant>
      <vt:variant>
        <vt:lpwstr/>
      </vt:variant>
      <vt:variant>
        <vt:lpwstr>_Toc105399835</vt:lpwstr>
      </vt:variant>
      <vt:variant>
        <vt:i4>1966133</vt:i4>
      </vt:variant>
      <vt:variant>
        <vt:i4>1157</vt:i4>
      </vt:variant>
      <vt:variant>
        <vt:i4>0</vt:i4>
      </vt:variant>
      <vt:variant>
        <vt:i4>5</vt:i4>
      </vt:variant>
      <vt:variant>
        <vt:lpwstr/>
      </vt:variant>
      <vt:variant>
        <vt:lpwstr>_Toc105399834</vt:lpwstr>
      </vt:variant>
      <vt:variant>
        <vt:i4>1966133</vt:i4>
      </vt:variant>
      <vt:variant>
        <vt:i4>1151</vt:i4>
      </vt:variant>
      <vt:variant>
        <vt:i4>0</vt:i4>
      </vt:variant>
      <vt:variant>
        <vt:i4>5</vt:i4>
      </vt:variant>
      <vt:variant>
        <vt:lpwstr/>
      </vt:variant>
      <vt:variant>
        <vt:lpwstr>_Toc105399833</vt:lpwstr>
      </vt:variant>
      <vt:variant>
        <vt:i4>1966133</vt:i4>
      </vt:variant>
      <vt:variant>
        <vt:i4>1145</vt:i4>
      </vt:variant>
      <vt:variant>
        <vt:i4>0</vt:i4>
      </vt:variant>
      <vt:variant>
        <vt:i4>5</vt:i4>
      </vt:variant>
      <vt:variant>
        <vt:lpwstr/>
      </vt:variant>
      <vt:variant>
        <vt:lpwstr>_Toc105399832</vt:lpwstr>
      </vt:variant>
      <vt:variant>
        <vt:i4>1966133</vt:i4>
      </vt:variant>
      <vt:variant>
        <vt:i4>1139</vt:i4>
      </vt:variant>
      <vt:variant>
        <vt:i4>0</vt:i4>
      </vt:variant>
      <vt:variant>
        <vt:i4>5</vt:i4>
      </vt:variant>
      <vt:variant>
        <vt:lpwstr/>
      </vt:variant>
      <vt:variant>
        <vt:lpwstr>_Toc105399831</vt:lpwstr>
      </vt:variant>
      <vt:variant>
        <vt:i4>1966133</vt:i4>
      </vt:variant>
      <vt:variant>
        <vt:i4>1133</vt:i4>
      </vt:variant>
      <vt:variant>
        <vt:i4>0</vt:i4>
      </vt:variant>
      <vt:variant>
        <vt:i4>5</vt:i4>
      </vt:variant>
      <vt:variant>
        <vt:lpwstr/>
      </vt:variant>
      <vt:variant>
        <vt:lpwstr>_Toc105399830</vt:lpwstr>
      </vt:variant>
      <vt:variant>
        <vt:i4>2031669</vt:i4>
      </vt:variant>
      <vt:variant>
        <vt:i4>1127</vt:i4>
      </vt:variant>
      <vt:variant>
        <vt:i4>0</vt:i4>
      </vt:variant>
      <vt:variant>
        <vt:i4>5</vt:i4>
      </vt:variant>
      <vt:variant>
        <vt:lpwstr/>
      </vt:variant>
      <vt:variant>
        <vt:lpwstr>_Toc105399829</vt:lpwstr>
      </vt:variant>
      <vt:variant>
        <vt:i4>2031669</vt:i4>
      </vt:variant>
      <vt:variant>
        <vt:i4>1121</vt:i4>
      </vt:variant>
      <vt:variant>
        <vt:i4>0</vt:i4>
      </vt:variant>
      <vt:variant>
        <vt:i4>5</vt:i4>
      </vt:variant>
      <vt:variant>
        <vt:lpwstr/>
      </vt:variant>
      <vt:variant>
        <vt:lpwstr>_Toc105399828</vt:lpwstr>
      </vt:variant>
      <vt:variant>
        <vt:i4>2031669</vt:i4>
      </vt:variant>
      <vt:variant>
        <vt:i4>1115</vt:i4>
      </vt:variant>
      <vt:variant>
        <vt:i4>0</vt:i4>
      </vt:variant>
      <vt:variant>
        <vt:i4>5</vt:i4>
      </vt:variant>
      <vt:variant>
        <vt:lpwstr/>
      </vt:variant>
      <vt:variant>
        <vt:lpwstr>_Toc105399827</vt:lpwstr>
      </vt:variant>
      <vt:variant>
        <vt:i4>2031669</vt:i4>
      </vt:variant>
      <vt:variant>
        <vt:i4>1109</vt:i4>
      </vt:variant>
      <vt:variant>
        <vt:i4>0</vt:i4>
      </vt:variant>
      <vt:variant>
        <vt:i4>5</vt:i4>
      </vt:variant>
      <vt:variant>
        <vt:lpwstr/>
      </vt:variant>
      <vt:variant>
        <vt:lpwstr>_Toc105399826</vt:lpwstr>
      </vt:variant>
      <vt:variant>
        <vt:i4>2031669</vt:i4>
      </vt:variant>
      <vt:variant>
        <vt:i4>1103</vt:i4>
      </vt:variant>
      <vt:variant>
        <vt:i4>0</vt:i4>
      </vt:variant>
      <vt:variant>
        <vt:i4>5</vt:i4>
      </vt:variant>
      <vt:variant>
        <vt:lpwstr/>
      </vt:variant>
      <vt:variant>
        <vt:lpwstr>_Toc105399825</vt:lpwstr>
      </vt:variant>
      <vt:variant>
        <vt:i4>2031669</vt:i4>
      </vt:variant>
      <vt:variant>
        <vt:i4>1097</vt:i4>
      </vt:variant>
      <vt:variant>
        <vt:i4>0</vt:i4>
      </vt:variant>
      <vt:variant>
        <vt:i4>5</vt:i4>
      </vt:variant>
      <vt:variant>
        <vt:lpwstr/>
      </vt:variant>
      <vt:variant>
        <vt:lpwstr>_Toc105399824</vt:lpwstr>
      </vt:variant>
      <vt:variant>
        <vt:i4>2031669</vt:i4>
      </vt:variant>
      <vt:variant>
        <vt:i4>1091</vt:i4>
      </vt:variant>
      <vt:variant>
        <vt:i4>0</vt:i4>
      </vt:variant>
      <vt:variant>
        <vt:i4>5</vt:i4>
      </vt:variant>
      <vt:variant>
        <vt:lpwstr/>
      </vt:variant>
      <vt:variant>
        <vt:lpwstr>_Toc105399823</vt:lpwstr>
      </vt:variant>
      <vt:variant>
        <vt:i4>2031669</vt:i4>
      </vt:variant>
      <vt:variant>
        <vt:i4>1085</vt:i4>
      </vt:variant>
      <vt:variant>
        <vt:i4>0</vt:i4>
      </vt:variant>
      <vt:variant>
        <vt:i4>5</vt:i4>
      </vt:variant>
      <vt:variant>
        <vt:lpwstr/>
      </vt:variant>
      <vt:variant>
        <vt:lpwstr>_Toc105399822</vt:lpwstr>
      </vt:variant>
      <vt:variant>
        <vt:i4>2031669</vt:i4>
      </vt:variant>
      <vt:variant>
        <vt:i4>1079</vt:i4>
      </vt:variant>
      <vt:variant>
        <vt:i4>0</vt:i4>
      </vt:variant>
      <vt:variant>
        <vt:i4>5</vt:i4>
      </vt:variant>
      <vt:variant>
        <vt:lpwstr/>
      </vt:variant>
      <vt:variant>
        <vt:lpwstr>_Toc105399821</vt:lpwstr>
      </vt:variant>
      <vt:variant>
        <vt:i4>2031669</vt:i4>
      </vt:variant>
      <vt:variant>
        <vt:i4>1073</vt:i4>
      </vt:variant>
      <vt:variant>
        <vt:i4>0</vt:i4>
      </vt:variant>
      <vt:variant>
        <vt:i4>5</vt:i4>
      </vt:variant>
      <vt:variant>
        <vt:lpwstr/>
      </vt:variant>
      <vt:variant>
        <vt:lpwstr>_Toc105399820</vt:lpwstr>
      </vt:variant>
      <vt:variant>
        <vt:i4>1835061</vt:i4>
      </vt:variant>
      <vt:variant>
        <vt:i4>1067</vt:i4>
      </vt:variant>
      <vt:variant>
        <vt:i4>0</vt:i4>
      </vt:variant>
      <vt:variant>
        <vt:i4>5</vt:i4>
      </vt:variant>
      <vt:variant>
        <vt:lpwstr/>
      </vt:variant>
      <vt:variant>
        <vt:lpwstr>_Toc105399819</vt:lpwstr>
      </vt:variant>
      <vt:variant>
        <vt:i4>1835061</vt:i4>
      </vt:variant>
      <vt:variant>
        <vt:i4>1061</vt:i4>
      </vt:variant>
      <vt:variant>
        <vt:i4>0</vt:i4>
      </vt:variant>
      <vt:variant>
        <vt:i4>5</vt:i4>
      </vt:variant>
      <vt:variant>
        <vt:lpwstr/>
      </vt:variant>
      <vt:variant>
        <vt:lpwstr>_Toc105399818</vt:lpwstr>
      </vt:variant>
      <vt:variant>
        <vt:i4>1835061</vt:i4>
      </vt:variant>
      <vt:variant>
        <vt:i4>1055</vt:i4>
      </vt:variant>
      <vt:variant>
        <vt:i4>0</vt:i4>
      </vt:variant>
      <vt:variant>
        <vt:i4>5</vt:i4>
      </vt:variant>
      <vt:variant>
        <vt:lpwstr/>
      </vt:variant>
      <vt:variant>
        <vt:lpwstr>_Toc105399817</vt:lpwstr>
      </vt:variant>
      <vt:variant>
        <vt:i4>1835061</vt:i4>
      </vt:variant>
      <vt:variant>
        <vt:i4>1049</vt:i4>
      </vt:variant>
      <vt:variant>
        <vt:i4>0</vt:i4>
      </vt:variant>
      <vt:variant>
        <vt:i4>5</vt:i4>
      </vt:variant>
      <vt:variant>
        <vt:lpwstr/>
      </vt:variant>
      <vt:variant>
        <vt:lpwstr>_Toc105399816</vt:lpwstr>
      </vt:variant>
      <vt:variant>
        <vt:i4>1835061</vt:i4>
      </vt:variant>
      <vt:variant>
        <vt:i4>1043</vt:i4>
      </vt:variant>
      <vt:variant>
        <vt:i4>0</vt:i4>
      </vt:variant>
      <vt:variant>
        <vt:i4>5</vt:i4>
      </vt:variant>
      <vt:variant>
        <vt:lpwstr/>
      </vt:variant>
      <vt:variant>
        <vt:lpwstr>_Toc105399815</vt:lpwstr>
      </vt:variant>
      <vt:variant>
        <vt:i4>1835061</vt:i4>
      </vt:variant>
      <vt:variant>
        <vt:i4>1037</vt:i4>
      </vt:variant>
      <vt:variant>
        <vt:i4>0</vt:i4>
      </vt:variant>
      <vt:variant>
        <vt:i4>5</vt:i4>
      </vt:variant>
      <vt:variant>
        <vt:lpwstr/>
      </vt:variant>
      <vt:variant>
        <vt:lpwstr>_Toc105399814</vt:lpwstr>
      </vt:variant>
      <vt:variant>
        <vt:i4>1835061</vt:i4>
      </vt:variant>
      <vt:variant>
        <vt:i4>1031</vt:i4>
      </vt:variant>
      <vt:variant>
        <vt:i4>0</vt:i4>
      </vt:variant>
      <vt:variant>
        <vt:i4>5</vt:i4>
      </vt:variant>
      <vt:variant>
        <vt:lpwstr/>
      </vt:variant>
      <vt:variant>
        <vt:lpwstr>_Toc105399813</vt:lpwstr>
      </vt:variant>
      <vt:variant>
        <vt:i4>1835061</vt:i4>
      </vt:variant>
      <vt:variant>
        <vt:i4>1025</vt:i4>
      </vt:variant>
      <vt:variant>
        <vt:i4>0</vt:i4>
      </vt:variant>
      <vt:variant>
        <vt:i4>5</vt:i4>
      </vt:variant>
      <vt:variant>
        <vt:lpwstr/>
      </vt:variant>
      <vt:variant>
        <vt:lpwstr>_Toc105399812</vt:lpwstr>
      </vt:variant>
      <vt:variant>
        <vt:i4>1835061</vt:i4>
      </vt:variant>
      <vt:variant>
        <vt:i4>1019</vt:i4>
      </vt:variant>
      <vt:variant>
        <vt:i4>0</vt:i4>
      </vt:variant>
      <vt:variant>
        <vt:i4>5</vt:i4>
      </vt:variant>
      <vt:variant>
        <vt:lpwstr/>
      </vt:variant>
      <vt:variant>
        <vt:lpwstr>_Toc105399811</vt:lpwstr>
      </vt:variant>
      <vt:variant>
        <vt:i4>1835061</vt:i4>
      </vt:variant>
      <vt:variant>
        <vt:i4>1013</vt:i4>
      </vt:variant>
      <vt:variant>
        <vt:i4>0</vt:i4>
      </vt:variant>
      <vt:variant>
        <vt:i4>5</vt:i4>
      </vt:variant>
      <vt:variant>
        <vt:lpwstr/>
      </vt:variant>
      <vt:variant>
        <vt:lpwstr>_Toc105399810</vt:lpwstr>
      </vt:variant>
      <vt:variant>
        <vt:i4>1900597</vt:i4>
      </vt:variant>
      <vt:variant>
        <vt:i4>1007</vt:i4>
      </vt:variant>
      <vt:variant>
        <vt:i4>0</vt:i4>
      </vt:variant>
      <vt:variant>
        <vt:i4>5</vt:i4>
      </vt:variant>
      <vt:variant>
        <vt:lpwstr/>
      </vt:variant>
      <vt:variant>
        <vt:lpwstr>_Toc105399809</vt:lpwstr>
      </vt:variant>
      <vt:variant>
        <vt:i4>1900597</vt:i4>
      </vt:variant>
      <vt:variant>
        <vt:i4>1001</vt:i4>
      </vt:variant>
      <vt:variant>
        <vt:i4>0</vt:i4>
      </vt:variant>
      <vt:variant>
        <vt:i4>5</vt:i4>
      </vt:variant>
      <vt:variant>
        <vt:lpwstr/>
      </vt:variant>
      <vt:variant>
        <vt:lpwstr>_Toc105399808</vt:lpwstr>
      </vt:variant>
      <vt:variant>
        <vt:i4>1900597</vt:i4>
      </vt:variant>
      <vt:variant>
        <vt:i4>995</vt:i4>
      </vt:variant>
      <vt:variant>
        <vt:i4>0</vt:i4>
      </vt:variant>
      <vt:variant>
        <vt:i4>5</vt:i4>
      </vt:variant>
      <vt:variant>
        <vt:lpwstr/>
      </vt:variant>
      <vt:variant>
        <vt:lpwstr>_Toc105399807</vt:lpwstr>
      </vt:variant>
      <vt:variant>
        <vt:i4>1900597</vt:i4>
      </vt:variant>
      <vt:variant>
        <vt:i4>989</vt:i4>
      </vt:variant>
      <vt:variant>
        <vt:i4>0</vt:i4>
      </vt:variant>
      <vt:variant>
        <vt:i4>5</vt:i4>
      </vt:variant>
      <vt:variant>
        <vt:lpwstr/>
      </vt:variant>
      <vt:variant>
        <vt:lpwstr>_Toc105399806</vt:lpwstr>
      </vt:variant>
      <vt:variant>
        <vt:i4>1900597</vt:i4>
      </vt:variant>
      <vt:variant>
        <vt:i4>983</vt:i4>
      </vt:variant>
      <vt:variant>
        <vt:i4>0</vt:i4>
      </vt:variant>
      <vt:variant>
        <vt:i4>5</vt:i4>
      </vt:variant>
      <vt:variant>
        <vt:lpwstr/>
      </vt:variant>
      <vt:variant>
        <vt:lpwstr>_Toc105399805</vt:lpwstr>
      </vt:variant>
      <vt:variant>
        <vt:i4>1900597</vt:i4>
      </vt:variant>
      <vt:variant>
        <vt:i4>977</vt:i4>
      </vt:variant>
      <vt:variant>
        <vt:i4>0</vt:i4>
      </vt:variant>
      <vt:variant>
        <vt:i4>5</vt:i4>
      </vt:variant>
      <vt:variant>
        <vt:lpwstr/>
      </vt:variant>
      <vt:variant>
        <vt:lpwstr>_Toc105399804</vt:lpwstr>
      </vt:variant>
      <vt:variant>
        <vt:i4>1900597</vt:i4>
      </vt:variant>
      <vt:variant>
        <vt:i4>971</vt:i4>
      </vt:variant>
      <vt:variant>
        <vt:i4>0</vt:i4>
      </vt:variant>
      <vt:variant>
        <vt:i4>5</vt:i4>
      </vt:variant>
      <vt:variant>
        <vt:lpwstr/>
      </vt:variant>
      <vt:variant>
        <vt:lpwstr>_Toc105399803</vt:lpwstr>
      </vt:variant>
      <vt:variant>
        <vt:i4>1900597</vt:i4>
      </vt:variant>
      <vt:variant>
        <vt:i4>965</vt:i4>
      </vt:variant>
      <vt:variant>
        <vt:i4>0</vt:i4>
      </vt:variant>
      <vt:variant>
        <vt:i4>5</vt:i4>
      </vt:variant>
      <vt:variant>
        <vt:lpwstr/>
      </vt:variant>
      <vt:variant>
        <vt:lpwstr>_Toc105399802</vt:lpwstr>
      </vt:variant>
      <vt:variant>
        <vt:i4>1900597</vt:i4>
      </vt:variant>
      <vt:variant>
        <vt:i4>959</vt:i4>
      </vt:variant>
      <vt:variant>
        <vt:i4>0</vt:i4>
      </vt:variant>
      <vt:variant>
        <vt:i4>5</vt:i4>
      </vt:variant>
      <vt:variant>
        <vt:lpwstr/>
      </vt:variant>
      <vt:variant>
        <vt:lpwstr>_Toc105399801</vt:lpwstr>
      </vt:variant>
      <vt:variant>
        <vt:i4>1900597</vt:i4>
      </vt:variant>
      <vt:variant>
        <vt:i4>953</vt:i4>
      </vt:variant>
      <vt:variant>
        <vt:i4>0</vt:i4>
      </vt:variant>
      <vt:variant>
        <vt:i4>5</vt:i4>
      </vt:variant>
      <vt:variant>
        <vt:lpwstr/>
      </vt:variant>
      <vt:variant>
        <vt:lpwstr>_Toc105399800</vt:lpwstr>
      </vt:variant>
      <vt:variant>
        <vt:i4>1310778</vt:i4>
      </vt:variant>
      <vt:variant>
        <vt:i4>947</vt:i4>
      </vt:variant>
      <vt:variant>
        <vt:i4>0</vt:i4>
      </vt:variant>
      <vt:variant>
        <vt:i4>5</vt:i4>
      </vt:variant>
      <vt:variant>
        <vt:lpwstr/>
      </vt:variant>
      <vt:variant>
        <vt:lpwstr>_Toc105399799</vt:lpwstr>
      </vt:variant>
      <vt:variant>
        <vt:i4>1310778</vt:i4>
      </vt:variant>
      <vt:variant>
        <vt:i4>941</vt:i4>
      </vt:variant>
      <vt:variant>
        <vt:i4>0</vt:i4>
      </vt:variant>
      <vt:variant>
        <vt:i4>5</vt:i4>
      </vt:variant>
      <vt:variant>
        <vt:lpwstr/>
      </vt:variant>
      <vt:variant>
        <vt:lpwstr>_Toc105399798</vt:lpwstr>
      </vt:variant>
      <vt:variant>
        <vt:i4>1310778</vt:i4>
      </vt:variant>
      <vt:variant>
        <vt:i4>935</vt:i4>
      </vt:variant>
      <vt:variant>
        <vt:i4>0</vt:i4>
      </vt:variant>
      <vt:variant>
        <vt:i4>5</vt:i4>
      </vt:variant>
      <vt:variant>
        <vt:lpwstr/>
      </vt:variant>
      <vt:variant>
        <vt:lpwstr>_Toc105399797</vt:lpwstr>
      </vt:variant>
      <vt:variant>
        <vt:i4>1310778</vt:i4>
      </vt:variant>
      <vt:variant>
        <vt:i4>929</vt:i4>
      </vt:variant>
      <vt:variant>
        <vt:i4>0</vt:i4>
      </vt:variant>
      <vt:variant>
        <vt:i4>5</vt:i4>
      </vt:variant>
      <vt:variant>
        <vt:lpwstr/>
      </vt:variant>
      <vt:variant>
        <vt:lpwstr>_Toc105399796</vt:lpwstr>
      </vt:variant>
      <vt:variant>
        <vt:i4>1310778</vt:i4>
      </vt:variant>
      <vt:variant>
        <vt:i4>923</vt:i4>
      </vt:variant>
      <vt:variant>
        <vt:i4>0</vt:i4>
      </vt:variant>
      <vt:variant>
        <vt:i4>5</vt:i4>
      </vt:variant>
      <vt:variant>
        <vt:lpwstr/>
      </vt:variant>
      <vt:variant>
        <vt:lpwstr>_Toc105399795</vt:lpwstr>
      </vt:variant>
      <vt:variant>
        <vt:i4>1310778</vt:i4>
      </vt:variant>
      <vt:variant>
        <vt:i4>917</vt:i4>
      </vt:variant>
      <vt:variant>
        <vt:i4>0</vt:i4>
      </vt:variant>
      <vt:variant>
        <vt:i4>5</vt:i4>
      </vt:variant>
      <vt:variant>
        <vt:lpwstr/>
      </vt:variant>
      <vt:variant>
        <vt:lpwstr>_Toc105399794</vt:lpwstr>
      </vt:variant>
      <vt:variant>
        <vt:i4>1310778</vt:i4>
      </vt:variant>
      <vt:variant>
        <vt:i4>911</vt:i4>
      </vt:variant>
      <vt:variant>
        <vt:i4>0</vt:i4>
      </vt:variant>
      <vt:variant>
        <vt:i4>5</vt:i4>
      </vt:variant>
      <vt:variant>
        <vt:lpwstr/>
      </vt:variant>
      <vt:variant>
        <vt:lpwstr>_Toc105399793</vt:lpwstr>
      </vt:variant>
      <vt:variant>
        <vt:i4>1310778</vt:i4>
      </vt:variant>
      <vt:variant>
        <vt:i4>905</vt:i4>
      </vt:variant>
      <vt:variant>
        <vt:i4>0</vt:i4>
      </vt:variant>
      <vt:variant>
        <vt:i4>5</vt:i4>
      </vt:variant>
      <vt:variant>
        <vt:lpwstr/>
      </vt:variant>
      <vt:variant>
        <vt:lpwstr>_Toc105399792</vt:lpwstr>
      </vt:variant>
      <vt:variant>
        <vt:i4>1310778</vt:i4>
      </vt:variant>
      <vt:variant>
        <vt:i4>899</vt:i4>
      </vt:variant>
      <vt:variant>
        <vt:i4>0</vt:i4>
      </vt:variant>
      <vt:variant>
        <vt:i4>5</vt:i4>
      </vt:variant>
      <vt:variant>
        <vt:lpwstr/>
      </vt:variant>
      <vt:variant>
        <vt:lpwstr>_Toc105399791</vt:lpwstr>
      </vt:variant>
      <vt:variant>
        <vt:i4>1310778</vt:i4>
      </vt:variant>
      <vt:variant>
        <vt:i4>893</vt:i4>
      </vt:variant>
      <vt:variant>
        <vt:i4>0</vt:i4>
      </vt:variant>
      <vt:variant>
        <vt:i4>5</vt:i4>
      </vt:variant>
      <vt:variant>
        <vt:lpwstr/>
      </vt:variant>
      <vt:variant>
        <vt:lpwstr>_Toc105399790</vt:lpwstr>
      </vt:variant>
      <vt:variant>
        <vt:i4>1376314</vt:i4>
      </vt:variant>
      <vt:variant>
        <vt:i4>887</vt:i4>
      </vt:variant>
      <vt:variant>
        <vt:i4>0</vt:i4>
      </vt:variant>
      <vt:variant>
        <vt:i4>5</vt:i4>
      </vt:variant>
      <vt:variant>
        <vt:lpwstr/>
      </vt:variant>
      <vt:variant>
        <vt:lpwstr>_Toc105399789</vt:lpwstr>
      </vt:variant>
      <vt:variant>
        <vt:i4>1376314</vt:i4>
      </vt:variant>
      <vt:variant>
        <vt:i4>881</vt:i4>
      </vt:variant>
      <vt:variant>
        <vt:i4>0</vt:i4>
      </vt:variant>
      <vt:variant>
        <vt:i4>5</vt:i4>
      </vt:variant>
      <vt:variant>
        <vt:lpwstr/>
      </vt:variant>
      <vt:variant>
        <vt:lpwstr>_Toc105399788</vt:lpwstr>
      </vt:variant>
      <vt:variant>
        <vt:i4>1376314</vt:i4>
      </vt:variant>
      <vt:variant>
        <vt:i4>875</vt:i4>
      </vt:variant>
      <vt:variant>
        <vt:i4>0</vt:i4>
      </vt:variant>
      <vt:variant>
        <vt:i4>5</vt:i4>
      </vt:variant>
      <vt:variant>
        <vt:lpwstr/>
      </vt:variant>
      <vt:variant>
        <vt:lpwstr>_Toc105399787</vt:lpwstr>
      </vt:variant>
      <vt:variant>
        <vt:i4>1376314</vt:i4>
      </vt:variant>
      <vt:variant>
        <vt:i4>869</vt:i4>
      </vt:variant>
      <vt:variant>
        <vt:i4>0</vt:i4>
      </vt:variant>
      <vt:variant>
        <vt:i4>5</vt:i4>
      </vt:variant>
      <vt:variant>
        <vt:lpwstr/>
      </vt:variant>
      <vt:variant>
        <vt:lpwstr>_Toc105399786</vt:lpwstr>
      </vt:variant>
      <vt:variant>
        <vt:i4>1376314</vt:i4>
      </vt:variant>
      <vt:variant>
        <vt:i4>863</vt:i4>
      </vt:variant>
      <vt:variant>
        <vt:i4>0</vt:i4>
      </vt:variant>
      <vt:variant>
        <vt:i4>5</vt:i4>
      </vt:variant>
      <vt:variant>
        <vt:lpwstr/>
      </vt:variant>
      <vt:variant>
        <vt:lpwstr>_Toc105399785</vt:lpwstr>
      </vt:variant>
      <vt:variant>
        <vt:i4>1376314</vt:i4>
      </vt:variant>
      <vt:variant>
        <vt:i4>857</vt:i4>
      </vt:variant>
      <vt:variant>
        <vt:i4>0</vt:i4>
      </vt:variant>
      <vt:variant>
        <vt:i4>5</vt:i4>
      </vt:variant>
      <vt:variant>
        <vt:lpwstr/>
      </vt:variant>
      <vt:variant>
        <vt:lpwstr>_Toc105399784</vt:lpwstr>
      </vt:variant>
      <vt:variant>
        <vt:i4>1376314</vt:i4>
      </vt:variant>
      <vt:variant>
        <vt:i4>851</vt:i4>
      </vt:variant>
      <vt:variant>
        <vt:i4>0</vt:i4>
      </vt:variant>
      <vt:variant>
        <vt:i4>5</vt:i4>
      </vt:variant>
      <vt:variant>
        <vt:lpwstr/>
      </vt:variant>
      <vt:variant>
        <vt:lpwstr>_Toc105399783</vt:lpwstr>
      </vt:variant>
      <vt:variant>
        <vt:i4>1376314</vt:i4>
      </vt:variant>
      <vt:variant>
        <vt:i4>845</vt:i4>
      </vt:variant>
      <vt:variant>
        <vt:i4>0</vt:i4>
      </vt:variant>
      <vt:variant>
        <vt:i4>5</vt:i4>
      </vt:variant>
      <vt:variant>
        <vt:lpwstr/>
      </vt:variant>
      <vt:variant>
        <vt:lpwstr>_Toc105399782</vt:lpwstr>
      </vt:variant>
      <vt:variant>
        <vt:i4>1376314</vt:i4>
      </vt:variant>
      <vt:variant>
        <vt:i4>839</vt:i4>
      </vt:variant>
      <vt:variant>
        <vt:i4>0</vt:i4>
      </vt:variant>
      <vt:variant>
        <vt:i4>5</vt:i4>
      </vt:variant>
      <vt:variant>
        <vt:lpwstr/>
      </vt:variant>
      <vt:variant>
        <vt:lpwstr>_Toc105399781</vt:lpwstr>
      </vt:variant>
      <vt:variant>
        <vt:i4>1376314</vt:i4>
      </vt:variant>
      <vt:variant>
        <vt:i4>833</vt:i4>
      </vt:variant>
      <vt:variant>
        <vt:i4>0</vt:i4>
      </vt:variant>
      <vt:variant>
        <vt:i4>5</vt:i4>
      </vt:variant>
      <vt:variant>
        <vt:lpwstr/>
      </vt:variant>
      <vt:variant>
        <vt:lpwstr>_Toc105399780</vt:lpwstr>
      </vt:variant>
      <vt:variant>
        <vt:i4>1703994</vt:i4>
      </vt:variant>
      <vt:variant>
        <vt:i4>827</vt:i4>
      </vt:variant>
      <vt:variant>
        <vt:i4>0</vt:i4>
      </vt:variant>
      <vt:variant>
        <vt:i4>5</vt:i4>
      </vt:variant>
      <vt:variant>
        <vt:lpwstr/>
      </vt:variant>
      <vt:variant>
        <vt:lpwstr>_Toc105399779</vt:lpwstr>
      </vt:variant>
      <vt:variant>
        <vt:i4>1703994</vt:i4>
      </vt:variant>
      <vt:variant>
        <vt:i4>821</vt:i4>
      </vt:variant>
      <vt:variant>
        <vt:i4>0</vt:i4>
      </vt:variant>
      <vt:variant>
        <vt:i4>5</vt:i4>
      </vt:variant>
      <vt:variant>
        <vt:lpwstr/>
      </vt:variant>
      <vt:variant>
        <vt:lpwstr>_Toc105399778</vt:lpwstr>
      </vt:variant>
      <vt:variant>
        <vt:i4>1703994</vt:i4>
      </vt:variant>
      <vt:variant>
        <vt:i4>815</vt:i4>
      </vt:variant>
      <vt:variant>
        <vt:i4>0</vt:i4>
      </vt:variant>
      <vt:variant>
        <vt:i4>5</vt:i4>
      </vt:variant>
      <vt:variant>
        <vt:lpwstr/>
      </vt:variant>
      <vt:variant>
        <vt:lpwstr>_Toc105399777</vt:lpwstr>
      </vt:variant>
      <vt:variant>
        <vt:i4>1703994</vt:i4>
      </vt:variant>
      <vt:variant>
        <vt:i4>809</vt:i4>
      </vt:variant>
      <vt:variant>
        <vt:i4>0</vt:i4>
      </vt:variant>
      <vt:variant>
        <vt:i4>5</vt:i4>
      </vt:variant>
      <vt:variant>
        <vt:lpwstr/>
      </vt:variant>
      <vt:variant>
        <vt:lpwstr>_Toc105399776</vt:lpwstr>
      </vt:variant>
      <vt:variant>
        <vt:i4>1703994</vt:i4>
      </vt:variant>
      <vt:variant>
        <vt:i4>803</vt:i4>
      </vt:variant>
      <vt:variant>
        <vt:i4>0</vt:i4>
      </vt:variant>
      <vt:variant>
        <vt:i4>5</vt:i4>
      </vt:variant>
      <vt:variant>
        <vt:lpwstr/>
      </vt:variant>
      <vt:variant>
        <vt:lpwstr>_Toc105399775</vt:lpwstr>
      </vt:variant>
      <vt:variant>
        <vt:i4>1703994</vt:i4>
      </vt:variant>
      <vt:variant>
        <vt:i4>797</vt:i4>
      </vt:variant>
      <vt:variant>
        <vt:i4>0</vt:i4>
      </vt:variant>
      <vt:variant>
        <vt:i4>5</vt:i4>
      </vt:variant>
      <vt:variant>
        <vt:lpwstr/>
      </vt:variant>
      <vt:variant>
        <vt:lpwstr>_Toc105399774</vt:lpwstr>
      </vt:variant>
      <vt:variant>
        <vt:i4>1703994</vt:i4>
      </vt:variant>
      <vt:variant>
        <vt:i4>791</vt:i4>
      </vt:variant>
      <vt:variant>
        <vt:i4>0</vt:i4>
      </vt:variant>
      <vt:variant>
        <vt:i4>5</vt:i4>
      </vt:variant>
      <vt:variant>
        <vt:lpwstr/>
      </vt:variant>
      <vt:variant>
        <vt:lpwstr>_Toc105399773</vt:lpwstr>
      </vt:variant>
      <vt:variant>
        <vt:i4>1703994</vt:i4>
      </vt:variant>
      <vt:variant>
        <vt:i4>785</vt:i4>
      </vt:variant>
      <vt:variant>
        <vt:i4>0</vt:i4>
      </vt:variant>
      <vt:variant>
        <vt:i4>5</vt:i4>
      </vt:variant>
      <vt:variant>
        <vt:lpwstr/>
      </vt:variant>
      <vt:variant>
        <vt:lpwstr>_Toc105399772</vt:lpwstr>
      </vt:variant>
      <vt:variant>
        <vt:i4>1703994</vt:i4>
      </vt:variant>
      <vt:variant>
        <vt:i4>779</vt:i4>
      </vt:variant>
      <vt:variant>
        <vt:i4>0</vt:i4>
      </vt:variant>
      <vt:variant>
        <vt:i4>5</vt:i4>
      </vt:variant>
      <vt:variant>
        <vt:lpwstr/>
      </vt:variant>
      <vt:variant>
        <vt:lpwstr>_Toc105399771</vt:lpwstr>
      </vt:variant>
      <vt:variant>
        <vt:i4>1703994</vt:i4>
      </vt:variant>
      <vt:variant>
        <vt:i4>773</vt:i4>
      </vt:variant>
      <vt:variant>
        <vt:i4>0</vt:i4>
      </vt:variant>
      <vt:variant>
        <vt:i4>5</vt:i4>
      </vt:variant>
      <vt:variant>
        <vt:lpwstr/>
      </vt:variant>
      <vt:variant>
        <vt:lpwstr>_Toc105399770</vt:lpwstr>
      </vt:variant>
      <vt:variant>
        <vt:i4>1769530</vt:i4>
      </vt:variant>
      <vt:variant>
        <vt:i4>767</vt:i4>
      </vt:variant>
      <vt:variant>
        <vt:i4>0</vt:i4>
      </vt:variant>
      <vt:variant>
        <vt:i4>5</vt:i4>
      </vt:variant>
      <vt:variant>
        <vt:lpwstr/>
      </vt:variant>
      <vt:variant>
        <vt:lpwstr>_Toc105399769</vt:lpwstr>
      </vt:variant>
      <vt:variant>
        <vt:i4>1769530</vt:i4>
      </vt:variant>
      <vt:variant>
        <vt:i4>761</vt:i4>
      </vt:variant>
      <vt:variant>
        <vt:i4>0</vt:i4>
      </vt:variant>
      <vt:variant>
        <vt:i4>5</vt:i4>
      </vt:variant>
      <vt:variant>
        <vt:lpwstr/>
      </vt:variant>
      <vt:variant>
        <vt:lpwstr>_Toc105399768</vt:lpwstr>
      </vt:variant>
      <vt:variant>
        <vt:i4>1769530</vt:i4>
      </vt:variant>
      <vt:variant>
        <vt:i4>755</vt:i4>
      </vt:variant>
      <vt:variant>
        <vt:i4>0</vt:i4>
      </vt:variant>
      <vt:variant>
        <vt:i4>5</vt:i4>
      </vt:variant>
      <vt:variant>
        <vt:lpwstr/>
      </vt:variant>
      <vt:variant>
        <vt:lpwstr>_Toc105399767</vt:lpwstr>
      </vt:variant>
      <vt:variant>
        <vt:i4>1310774</vt:i4>
      </vt:variant>
      <vt:variant>
        <vt:i4>746</vt:i4>
      </vt:variant>
      <vt:variant>
        <vt:i4>0</vt:i4>
      </vt:variant>
      <vt:variant>
        <vt:i4>5</vt:i4>
      </vt:variant>
      <vt:variant>
        <vt:lpwstr/>
      </vt:variant>
      <vt:variant>
        <vt:lpwstr>_Toc105417307</vt:lpwstr>
      </vt:variant>
      <vt:variant>
        <vt:i4>1310774</vt:i4>
      </vt:variant>
      <vt:variant>
        <vt:i4>740</vt:i4>
      </vt:variant>
      <vt:variant>
        <vt:i4>0</vt:i4>
      </vt:variant>
      <vt:variant>
        <vt:i4>5</vt:i4>
      </vt:variant>
      <vt:variant>
        <vt:lpwstr/>
      </vt:variant>
      <vt:variant>
        <vt:lpwstr>_Toc105417306</vt:lpwstr>
      </vt:variant>
      <vt:variant>
        <vt:i4>1310774</vt:i4>
      </vt:variant>
      <vt:variant>
        <vt:i4>734</vt:i4>
      </vt:variant>
      <vt:variant>
        <vt:i4>0</vt:i4>
      </vt:variant>
      <vt:variant>
        <vt:i4>5</vt:i4>
      </vt:variant>
      <vt:variant>
        <vt:lpwstr/>
      </vt:variant>
      <vt:variant>
        <vt:lpwstr>_Toc105417305</vt:lpwstr>
      </vt:variant>
      <vt:variant>
        <vt:i4>1310774</vt:i4>
      </vt:variant>
      <vt:variant>
        <vt:i4>728</vt:i4>
      </vt:variant>
      <vt:variant>
        <vt:i4>0</vt:i4>
      </vt:variant>
      <vt:variant>
        <vt:i4>5</vt:i4>
      </vt:variant>
      <vt:variant>
        <vt:lpwstr/>
      </vt:variant>
      <vt:variant>
        <vt:lpwstr>_Toc105417304</vt:lpwstr>
      </vt:variant>
      <vt:variant>
        <vt:i4>1310774</vt:i4>
      </vt:variant>
      <vt:variant>
        <vt:i4>722</vt:i4>
      </vt:variant>
      <vt:variant>
        <vt:i4>0</vt:i4>
      </vt:variant>
      <vt:variant>
        <vt:i4>5</vt:i4>
      </vt:variant>
      <vt:variant>
        <vt:lpwstr/>
      </vt:variant>
      <vt:variant>
        <vt:lpwstr>_Toc105417303</vt:lpwstr>
      </vt:variant>
      <vt:variant>
        <vt:i4>1310774</vt:i4>
      </vt:variant>
      <vt:variant>
        <vt:i4>716</vt:i4>
      </vt:variant>
      <vt:variant>
        <vt:i4>0</vt:i4>
      </vt:variant>
      <vt:variant>
        <vt:i4>5</vt:i4>
      </vt:variant>
      <vt:variant>
        <vt:lpwstr/>
      </vt:variant>
      <vt:variant>
        <vt:lpwstr>_Toc105417302</vt:lpwstr>
      </vt:variant>
      <vt:variant>
        <vt:i4>1310774</vt:i4>
      </vt:variant>
      <vt:variant>
        <vt:i4>710</vt:i4>
      </vt:variant>
      <vt:variant>
        <vt:i4>0</vt:i4>
      </vt:variant>
      <vt:variant>
        <vt:i4>5</vt:i4>
      </vt:variant>
      <vt:variant>
        <vt:lpwstr/>
      </vt:variant>
      <vt:variant>
        <vt:lpwstr>_Toc105417301</vt:lpwstr>
      </vt:variant>
      <vt:variant>
        <vt:i4>1310774</vt:i4>
      </vt:variant>
      <vt:variant>
        <vt:i4>704</vt:i4>
      </vt:variant>
      <vt:variant>
        <vt:i4>0</vt:i4>
      </vt:variant>
      <vt:variant>
        <vt:i4>5</vt:i4>
      </vt:variant>
      <vt:variant>
        <vt:lpwstr/>
      </vt:variant>
      <vt:variant>
        <vt:lpwstr>_Toc105417300</vt:lpwstr>
      </vt:variant>
      <vt:variant>
        <vt:i4>1900599</vt:i4>
      </vt:variant>
      <vt:variant>
        <vt:i4>698</vt:i4>
      </vt:variant>
      <vt:variant>
        <vt:i4>0</vt:i4>
      </vt:variant>
      <vt:variant>
        <vt:i4>5</vt:i4>
      </vt:variant>
      <vt:variant>
        <vt:lpwstr/>
      </vt:variant>
      <vt:variant>
        <vt:lpwstr>_Toc105417299</vt:lpwstr>
      </vt:variant>
      <vt:variant>
        <vt:i4>1900599</vt:i4>
      </vt:variant>
      <vt:variant>
        <vt:i4>692</vt:i4>
      </vt:variant>
      <vt:variant>
        <vt:i4>0</vt:i4>
      </vt:variant>
      <vt:variant>
        <vt:i4>5</vt:i4>
      </vt:variant>
      <vt:variant>
        <vt:lpwstr/>
      </vt:variant>
      <vt:variant>
        <vt:lpwstr>_Toc105417298</vt:lpwstr>
      </vt:variant>
      <vt:variant>
        <vt:i4>1900599</vt:i4>
      </vt:variant>
      <vt:variant>
        <vt:i4>686</vt:i4>
      </vt:variant>
      <vt:variant>
        <vt:i4>0</vt:i4>
      </vt:variant>
      <vt:variant>
        <vt:i4>5</vt:i4>
      </vt:variant>
      <vt:variant>
        <vt:lpwstr/>
      </vt:variant>
      <vt:variant>
        <vt:lpwstr>_Toc105417297</vt:lpwstr>
      </vt:variant>
      <vt:variant>
        <vt:i4>1900599</vt:i4>
      </vt:variant>
      <vt:variant>
        <vt:i4>680</vt:i4>
      </vt:variant>
      <vt:variant>
        <vt:i4>0</vt:i4>
      </vt:variant>
      <vt:variant>
        <vt:i4>5</vt:i4>
      </vt:variant>
      <vt:variant>
        <vt:lpwstr/>
      </vt:variant>
      <vt:variant>
        <vt:lpwstr>_Toc105417296</vt:lpwstr>
      </vt:variant>
      <vt:variant>
        <vt:i4>1900599</vt:i4>
      </vt:variant>
      <vt:variant>
        <vt:i4>674</vt:i4>
      </vt:variant>
      <vt:variant>
        <vt:i4>0</vt:i4>
      </vt:variant>
      <vt:variant>
        <vt:i4>5</vt:i4>
      </vt:variant>
      <vt:variant>
        <vt:lpwstr/>
      </vt:variant>
      <vt:variant>
        <vt:lpwstr>_Toc105417295</vt:lpwstr>
      </vt:variant>
      <vt:variant>
        <vt:i4>1900599</vt:i4>
      </vt:variant>
      <vt:variant>
        <vt:i4>668</vt:i4>
      </vt:variant>
      <vt:variant>
        <vt:i4>0</vt:i4>
      </vt:variant>
      <vt:variant>
        <vt:i4>5</vt:i4>
      </vt:variant>
      <vt:variant>
        <vt:lpwstr/>
      </vt:variant>
      <vt:variant>
        <vt:lpwstr>_Toc105417294</vt:lpwstr>
      </vt:variant>
      <vt:variant>
        <vt:i4>1900599</vt:i4>
      </vt:variant>
      <vt:variant>
        <vt:i4>662</vt:i4>
      </vt:variant>
      <vt:variant>
        <vt:i4>0</vt:i4>
      </vt:variant>
      <vt:variant>
        <vt:i4>5</vt:i4>
      </vt:variant>
      <vt:variant>
        <vt:lpwstr/>
      </vt:variant>
      <vt:variant>
        <vt:lpwstr>_Toc105417293</vt:lpwstr>
      </vt:variant>
      <vt:variant>
        <vt:i4>1900599</vt:i4>
      </vt:variant>
      <vt:variant>
        <vt:i4>656</vt:i4>
      </vt:variant>
      <vt:variant>
        <vt:i4>0</vt:i4>
      </vt:variant>
      <vt:variant>
        <vt:i4>5</vt:i4>
      </vt:variant>
      <vt:variant>
        <vt:lpwstr/>
      </vt:variant>
      <vt:variant>
        <vt:lpwstr>_Toc105417292</vt:lpwstr>
      </vt:variant>
      <vt:variant>
        <vt:i4>1900599</vt:i4>
      </vt:variant>
      <vt:variant>
        <vt:i4>650</vt:i4>
      </vt:variant>
      <vt:variant>
        <vt:i4>0</vt:i4>
      </vt:variant>
      <vt:variant>
        <vt:i4>5</vt:i4>
      </vt:variant>
      <vt:variant>
        <vt:lpwstr/>
      </vt:variant>
      <vt:variant>
        <vt:lpwstr>_Toc105417291</vt:lpwstr>
      </vt:variant>
      <vt:variant>
        <vt:i4>1900599</vt:i4>
      </vt:variant>
      <vt:variant>
        <vt:i4>644</vt:i4>
      </vt:variant>
      <vt:variant>
        <vt:i4>0</vt:i4>
      </vt:variant>
      <vt:variant>
        <vt:i4>5</vt:i4>
      </vt:variant>
      <vt:variant>
        <vt:lpwstr/>
      </vt:variant>
      <vt:variant>
        <vt:lpwstr>_Toc105417290</vt:lpwstr>
      </vt:variant>
      <vt:variant>
        <vt:i4>1835063</vt:i4>
      </vt:variant>
      <vt:variant>
        <vt:i4>638</vt:i4>
      </vt:variant>
      <vt:variant>
        <vt:i4>0</vt:i4>
      </vt:variant>
      <vt:variant>
        <vt:i4>5</vt:i4>
      </vt:variant>
      <vt:variant>
        <vt:lpwstr/>
      </vt:variant>
      <vt:variant>
        <vt:lpwstr>_Toc105417289</vt:lpwstr>
      </vt:variant>
      <vt:variant>
        <vt:i4>1835063</vt:i4>
      </vt:variant>
      <vt:variant>
        <vt:i4>632</vt:i4>
      </vt:variant>
      <vt:variant>
        <vt:i4>0</vt:i4>
      </vt:variant>
      <vt:variant>
        <vt:i4>5</vt:i4>
      </vt:variant>
      <vt:variant>
        <vt:lpwstr/>
      </vt:variant>
      <vt:variant>
        <vt:lpwstr>_Toc105417288</vt:lpwstr>
      </vt:variant>
      <vt:variant>
        <vt:i4>1835063</vt:i4>
      </vt:variant>
      <vt:variant>
        <vt:i4>626</vt:i4>
      </vt:variant>
      <vt:variant>
        <vt:i4>0</vt:i4>
      </vt:variant>
      <vt:variant>
        <vt:i4>5</vt:i4>
      </vt:variant>
      <vt:variant>
        <vt:lpwstr/>
      </vt:variant>
      <vt:variant>
        <vt:lpwstr>_Toc105417287</vt:lpwstr>
      </vt:variant>
      <vt:variant>
        <vt:i4>1835063</vt:i4>
      </vt:variant>
      <vt:variant>
        <vt:i4>620</vt:i4>
      </vt:variant>
      <vt:variant>
        <vt:i4>0</vt:i4>
      </vt:variant>
      <vt:variant>
        <vt:i4>5</vt:i4>
      </vt:variant>
      <vt:variant>
        <vt:lpwstr/>
      </vt:variant>
      <vt:variant>
        <vt:lpwstr>_Toc105417286</vt:lpwstr>
      </vt:variant>
      <vt:variant>
        <vt:i4>1835063</vt:i4>
      </vt:variant>
      <vt:variant>
        <vt:i4>614</vt:i4>
      </vt:variant>
      <vt:variant>
        <vt:i4>0</vt:i4>
      </vt:variant>
      <vt:variant>
        <vt:i4>5</vt:i4>
      </vt:variant>
      <vt:variant>
        <vt:lpwstr/>
      </vt:variant>
      <vt:variant>
        <vt:lpwstr>_Toc105417285</vt:lpwstr>
      </vt:variant>
      <vt:variant>
        <vt:i4>1835063</vt:i4>
      </vt:variant>
      <vt:variant>
        <vt:i4>608</vt:i4>
      </vt:variant>
      <vt:variant>
        <vt:i4>0</vt:i4>
      </vt:variant>
      <vt:variant>
        <vt:i4>5</vt:i4>
      </vt:variant>
      <vt:variant>
        <vt:lpwstr/>
      </vt:variant>
      <vt:variant>
        <vt:lpwstr>_Toc105417284</vt:lpwstr>
      </vt:variant>
      <vt:variant>
        <vt:i4>1835063</vt:i4>
      </vt:variant>
      <vt:variant>
        <vt:i4>602</vt:i4>
      </vt:variant>
      <vt:variant>
        <vt:i4>0</vt:i4>
      </vt:variant>
      <vt:variant>
        <vt:i4>5</vt:i4>
      </vt:variant>
      <vt:variant>
        <vt:lpwstr/>
      </vt:variant>
      <vt:variant>
        <vt:lpwstr>_Toc105417283</vt:lpwstr>
      </vt:variant>
      <vt:variant>
        <vt:i4>1835063</vt:i4>
      </vt:variant>
      <vt:variant>
        <vt:i4>596</vt:i4>
      </vt:variant>
      <vt:variant>
        <vt:i4>0</vt:i4>
      </vt:variant>
      <vt:variant>
        <vt:i4>5</vt:i4>
      </vt:variant>
      <vt:variant>
        <vt:lpwstr/>
      </vt:variant>
      <vt:variant>
        <vt:lpwstr>_Toc105417282</vt:lpwstr>
      </vt:variant>
      <vt:variant>
        <vt:i4>1835063</vt:i4>
      </vt:variant>
      <vt:variant>
        <vt:i4>590</vt:i4>
      </vt:variant>
      <vt:variant>
        <vt:i4>0</vt:i4>
      </vt:variant>
      <vt:variant>
        <vt:i4>5</vt:i4>
      </vt:variant>
      <vt:variant>
        <vt:lpwstr/>
      </vt:variant>
      <vt:variant>
        <vt:lpwstr>_Toc105417281</vt:lpwstr>
      </vt:variant>
      <vt:variant>
        <vt:i4>1835063</vt:i4>
      </vt:variant>
      <vt:variant>
        <vt:i4>584</vt:i4>
      </vt:variant>
      <vt:variant>
        <vt:i4>0</vt:i4>
      </vt:variant>
      <vt:variant>
        <vt:i4>5</vt:i4>
      </vt:variant>
      <vt:variant>
        <vt:lpwstr/>
      </vt:variant>
      <vt:variant>
        <vt:lpwstr>_Toc105417280</vt:lpwstr>
      </vt:variant>
      <vt:variant>
        <vt:i4>1245239</vt:i4>
      </vt:variant>
      <vt:variant>
        <vt:i4>578</vt:i4>
      </vt:variant>
      <vt:variant>
        <vt:i4>0</vt:i4>
      </vt:variant>
      <vt:variant>
        <vt:i4>5</vt:i4>
      </vt:variant>
      <vt:variant>
        <vt:lpwstr/>
      </vt:variant>
      <vt:variant>
        <vt:lpwstr>_Toc105417279</vt:lpwstr>
      </vt:variant>
      <vt:variant>
        <vt:i4>1245239</vt:i4>
      </vt:variant>
      <vt:variant>
        <vt:i4>572</vt:i4>
      </vt:variant>
      <vt:variant>
        <vt:i4>0</vt:i4>
      </vt:variant>
      <vt:variant>
        <vt:i4>5</vt:i4>
      </vt:variant>
      <vt:variant>
        <vt:lpwstr/>
      </vt:variant>
      <vt:variant>
        <vt:lpwstr>_Toc105417278</vt:lpwstr>
      </vt:variant>
      <vt:variant>
        <vt:i4>1245239</vt:i4>
      </vt:variant>
      <vt:variant>
        <vt:i4>566</vt:i4>
      </vt:variant>
      <vt:variant>
        <vt:i4>0</vt:i4>
      </vt:variant>
      <vt:variant>
        <vt:i4>5</vt:i4>
      </vt:variant>
      <vt:variant>
        <vt:lpwstr/>
      </vt:variant>
      <vt:variant>
        <vt:lpwstr>_Toc105417277</vt:lpwstr>
      </vt:variant>
      <vt:variant>
        <vt:i4>1245239</vt:i4>
      </vt:variant>
      <vt:variant>
        <vt:i4>560</vt:i4>
      </vt:variant>
      <vt:variant>
        <vt:i4>0</vt:i4>
      </vt:variant>
      <vt:variant>
        <vt:i4>5</vt:i4>
      </vt:variant>
      <vt:variant>
        <vt:lpwstr/>
      </vt:variant>
      <vt:variant>
        <vt:lpwstr>_Toc105417276</vt:lpwstr>
      </vt:variant>
      <vt:variant>
        <vt:i4>1245239</vt:i4>
      </vt:variant>
      <vt:variant>
        <vt:i4>554</vt:i4>
      </vt:variant>
      <vt:variant>
        <vt:i4>0</vt:i4>
      </vt:variant>
      <vt:variant>
        <vt:i4>5</vt:i4>
      </vt:variant>
      <vt:variant>
        <vt:lpwstr/>
      </vt:variant>
      <vt:variant>
        <vt:lpwstr>_Toc105417275</vt:lpwstr>
      </vt:variant>
      <vt:variant>
        <vt:i4>1245239</vt:i4>
      </vt:variant>
      <vt:variant>
        <vt:i4>548</vt:i4>
      </vt:variant>
      <vt:variant>
        <vt:i4>0</vt:i4>
      </vt:variant>
      <vt:variant>
        <vt:i4>5</vt:i4>
      </vt:variant>
      <vt:variant>
        <vt:lpwstr/>
      </vt:variant>
      <vt:variant>
        <vt:lpwstr>_Toc105417274</vt:lpwstr>
      </vt:variant>
      <vt:variant>
        <vt:i4>1245239</vt:i4>
      </vt:variant>
      <vt:variant>
        <vt:i4>542</vt:i4>
      </vt:variant>
      <vt:variant>
        <vt:i4>0</vt:i4>
      </vt:variant>
      <vt:variant>
        <vt:i4>5</vt:i4>
      </vt:variant>
      <vt:variant>
        <vt:lpwstr/>
      </vt:variant>
      <vt:variant>
        <vt:lpwstr>_Toc105417273</vt:lpwstr>
      </vt:variant>
      <vt:variant>
        <vt:i4>1245239</vt:i4>
      </vt:variant>
      <vt:variant>
        <vt:i4>536</vt:i4>
      </vt:variant>
      <vt:variant>
        <vt:i4>0</vt:i4>
      </vt:variant>
      <vt:variant>
        <vt:i4>5</vt:i4>
      </vt:variant>
      <vt:variant>
        <vt:lpwstr/>
      </vt:variant>
      <vt:variant>
        <vt:lpwstr>_Toc105417272</vt:lpwstr>
      </vt:variant>
      <vt:variant>
        <vt:i4>1245239</vt:i4>
      </vt:variant>
      <vt:variant>
        <vt:i4>530</vt:i4>
      </vt:variant>
      <vt:variant>
        <vt:i4>0</vt:i4>
      </vt:variant>
      <vt:variant>
        <vt:i4>5</vt:i4>
      </vt:variant>
      <vt:variant>
        <vt:lpwstr/>
      </vt:variant>
      <vt:variant>
        <vt:lpwstr>_Toc105417271</vt:lpwstr>
      </vt:variant>
      <vt:variant>
        <vt:i4>1245239</vt:i4>
      </vt:variant>
      <vt:variant>
        <vt:i4>524</vt:i4>
      </vt:variant>
      <vt:variant>
        <vt:i4>0</vt:i4>
      </vt:variant>
      <vt:variant>
        <vt:i4>5</vt:i4>
      </vt:variant>
      <vt:variant>
        <vt:lpwstr/>
      </vt:variant>
      <vt:variant>
        <vt:lpwstr>_Toc105417270</vt:lpwstr>
      </vt:variant>
      <vt:variant>
        <vt:i4>1179703</vt:i4>
      </vt:variant>
      <vt:variant>
        <vt:i4>518</vt:i4>
      </vt:variant>
      <vt:variant>
        <vt:i4>0</vt:i4>
      </vt:variant>
      <vt:variant>
        <vt:i4>5</vt:i4>
      </vt:variant>
      <vt:variant>
        <vt:lpwstr/>
      </vt:variant>
      <vt:variant>
        <vt:lpwstr>_Toc105417269</vt:lpwstr>
      </vt:variant>
      <vt:variant>
        <vt:i4>1179703</vt:i4>
      </vt:variant>
      <vt:variant>
        <vt:i4>512</vt:i4>
      </vt:variant>
      <vt:variant>
        <vt:i4>0</vt:i4>
      </vt:variant>
      <vt:variant>
        <vt:i4>5</vt:i4>
      </vt:variant>
      <vt:variant>
        <vt:lpwstr/>
      </vt:variant>
      <vt:variant>
        <vt:lpwstr>_Toc105417268</vt:lpwstr>
      </vt:variant>
      <vt:variant>
        <vt:i4>1179703</vt:i4>
      </vt:variant>
      <vt:variant>
        <vt:i4>506</vt:i4>
      </vt:variant>
      <vt:variant>
        <vt:i4>0</vt:i4>
      </vt:variant>
      <vt:variant>
        <vt:i4>5</vt:i4>
      </vt:variant>
      <vt:variant>
        <vt:lpwstr/>
      </vt:variant>
      <vt:variant>
        <vt:lpwstr>_Toc105417267</vt:lpwstr>
      </vt:variant>
      <vt:variant>
        <vt:i4>1179703</vt:i4>
      </vt:variant>
      <vt:variant>
        <vt:i4>500</vt:i4>
      </vt:variant>
      <vt:variant>
        <vt:i4>0</vt:i4>
      </vt:variant>
      <vt:variant>
        <vt:i4>5</vt:i4>
      </vt:variant>
      <vt:variant>
        <vt:lpwstr/>
      </vt:variant>
      <vt:variant>
        <vt:lpwstr>_Toc105417266</vt:lpwstr>
      </vt:variant>
      <vt:variant>
        <vt:i4>1179703</vt:i4>
      </vt:variant>
      <vt:variant>
        <vt:i4>494</vt:i4>
      </vt:variant>
      <vt:variant>
        <vt:i4>0</vt:i4>
      </vt:variant>
      <vt:variant>
        <vt:i4>5</vt:i4>
      </vt:variant>
      <vt:variant>
        <vt:lpwstr/>
      </vt:variant>
      <vt:variant>
        <vt:lpwstr>_Toc105417265</vt:lpwstr>
      </vt:variant>
      <vt:variant>
        <vt:i4>1179703</vt:i4>
      </vt:variant>
      <vt:variant>
        <vt:i4>488</vt:i4>
      </vt:variant>
      <vt:variant>
        <vt:i4>0</vt:i4>
      </vt:variant>
      <vt:variant>
        <vt:i4>5</vt:i4>
      </vt:variant>
      <vt:variant>
        <vt:lpwstr/>
      </vt:variant>
      <vt:variant>
        <vt:lpwstr>_Toc105417264</vt:lpwstr>
      </vt:variant>
      <vt:variant>
        <vt:i4>1179703</vt:i4>
      </vt:variant>
      <vt:variant>
        <vt:i4>482</vt:i4>
      </vt:variant>
      <vt:variant>
        <vt:i4>0</vt:i4>
      </vt:variant>
      <vt:variant>
        <vt:i4>5</vt:i4>
      </vt:variant>
      <vt:variant>
        <vt:lpwstr/>
      </vt:variant>
      <vt:variant>
        <vt:lpwstr>_Toc105417263</vt:lpwstr>
      </vt:variant>
      <vt:variant>
        <vt:i4>1179703</vt:i4>
      </vt:variant>
      <vt:variant>
        <vt:i4>476</vt:i4>
      </vt:variant>
      <vt:variant>
        <vt:i4>0</vt:i4>
      </vt:variant>
      <vt:variant>
        <vt:i4>5</vt:i4>
      </vt:variant>
      <vt:variant>
        <vt:lpwstr/>
      </vt:variant>
      <vt:variant>
        <vt:lpwstr>_Toc105417262</vt:lpwstr>
      </vt:variant>
      <vt:variant>
        <vt:i4>1179703</vt:i4>
      </vt:variant>
      <vt:variant>
        <vt:i4>470</vt:i4>
      </vt:variant>
      <vt:variant>
        <vt:i4>0</vt:i4>
      </vt:variant>
      <vt:variant>
        <vt:i4>5</vt:i4>
      </vt:variant>
      <vt:variant>
        <vt:lpwstr/>
      </vt:variant>
      <vt:variant>
        <vt:lpwstr>_Toc105417261</vt:lpwstr>
      </vt:variant>
      <vt:variant>
        <vt:i4>1179703</vt:i4>
      </vt:variant>
      <vt:variant>
        <vt:i4>464</vt:i4>
      </vt:variant>
      <vt:variant>
        <vt:i4>0</vt:i4>
      </vt:variant>
      <vt:variant>
        <vt:i4>5</vt:i4>
      </vt:variant>
      <vt:variant>
        <vt:lpwstr/>
      </vt:variant>
      <vt:variant>
        <vt:lpwstr>_Toc105417260</vt:lpwstr>
      </vt:variant>
      <vt:variant>
        <vt:i4>1114167</vt:i4>
      </vt:variant>
      <vt:variant>
        <vt:i4>458</vt:i4>
      </vt:variant>
      <vt:variant>
        <vt:i4>0</vt:i4>
      </vt:variant>
      <vt:variant>
        <vt:i4>5</vt:i4>
      </vt:variant>
      <vt:variant>
        <vt:lpwstr/>
      </vt:variant>
      <vt:variant>
        <vt:lpwstr>_Toc105417259</vt:lpwstr>
      </vt:variant>
      <vt:variant>
        <vt:i4>1114167</vt:i4>
      </vt:variant>
      <vt:variant>
        <vt:i4>452</vt:i4>
      </vt:variant>
      <vt:variant>
        <vt:i4>0</vt:i4>
      </vt:variant>
      <vt:variant>
        <vt:i4>5</vt:i4>
      </vt:variant>
      <vt:variant>
        <vt:lpwstr/>
      </vt:variant>
      <vt:variant>
        <vt:lpwstr>_Toc105417258</vt:lpwstr>
      </vt:variant>
      <vt:variant>
        <vt:i4>1114167</vt:i4>
      </vt:variant>
      <vt:variant>
        <vt:i4>446</vt:i4>
      </vt:variant>
      <vt:variant>
        <vt:i4>0</vt:i4>
      </vt:variant>
      <vt:variant>
        <vt:i4>5</vt:i4>
      </vt:variant>
      <vt:variant>
        <vt:lpwstr/>
      </vt:variant>
      <vt:variant>
        <vt:lpwstr>_Toc105417257</vt:lpwstr>
      </vt:variant>
      <vt:variant>
        <vt:i4>1114167</vt:i4>
      </vt:variant>
      <vt:variant>
        <vt:i4>440</vt:i4>
      </vt:variant>
      <vt:variant>
        <vt:i4>0</vt:i4>
      </vt:variant>
      <vt:variant>
        <vt:i4>5</vt:i4>
      </vt:variant>
      <vt:variant>
        <vt:lpwstr/>
      </vt:variant>
      <vt:variant>
        <vt:lpwstr>_Toc105417256</vt:lpwstr>
      </vt:variant>
      <vt:variant>
        <vt:i4>1114167</vt:i4>
      </vt:variant>
      <vt:variant>
        <vt:i4>434</vt:i4>
      </vt:variant>
      <vt:variant>
        <vt:i4>0</vt:i4>
      </vt:variant>
      <vt:variant>
        <vt:i4>5</vt:i4>
      </vt:variant>
      <vt:variant>
        <vt:lpwstr/>
      </vt:variant>
      <vt:variant>
        <vt:lpwstr>_Toc105417255</vt:lpwstr>
      </vt:variant>
      <vt:variant>
        <vt:i4>1114167</vt:i4>
      </vt:variant>
      <vt:variant>
        <vt:i4>428</vt:i4>
      </vt:variant>
      <vt:variant>
        <vt:i4>0</vt:i4>
      </vt:variant>
      <vt:variant>
        <vt:i4>5</vt:i4>
      </vt:variant>
      <vt:variant>
        <vt:lpwstr/>
      </vt:variant>
      <vt:variant>
        <vt:lpwstr>_Toc105417254</vt:lpwstr>
      </vt:variant>
      <vt:variant>
        <vt:i4>1114167</vt:i4>
      </vt:variant>
      <vt:variant>
        <vt:i4>422</vt:i4>
      </vt:variant>
      <vt:variant>
        <vt:i4>0</vt:i4>
      </vt:variant>
      <vt:variant>
        <vt:i4>5</vt:i4>
      </vt:variant>
      <vt:variant>
        <vt:lpwstr/>
      </vt:variant>
      <vt:variant>
        <vt:lpwstr>_Toc105417253</vt:lpwstr>
      </vt:variant>
      <vt:variant>
        <vt:i4>1114167</vt:i4>
      </vt:variant>
      <vt:variant>
        <vt:i4>416</vt:i4>
      </vt:variant>
      <vt:variant>
        <vt:i4>0</vt:i4>
      </vt:variant>
      <vt:variant>
        <vt:i4>5</vt:i4>
      </vt:variant>
      <vt:variant>
        <vt:lpwstr/>
      </vt:variant>
      <vt:variant>
        <vt:lpwstr>_Toc105417252</vt:lpwstr>
      </vt:variant>
      <vt:variant>
        <vt:i4>1114167</vt:i4>
      </vt:variant>
      <vt:variant>
        <vt:i4>410</vt:i4>
      </vt:variant>
      <vt:variant>
        <vt:i4>0</vt:i4>
      </vt:variant>
      <vt:variant>
        <vt:i4>5</vt:i4>
      </vt:variant>
      <vt:variant>
        <vt:lpwstr/>
      </vt:variant>
      <vt:variant>
        <vt:lpwstr>_Toc105417251</vt:lpwstr>
      </vt:variant>
      <vt:variant>
        <vt:i4>1114167</vt:i4>
      </vt:variant>
      <vt:variant>
        <vt:i4>404</vt:i4>
      </vt:variant>
      <vt:variant>
        <vt:i4>0</vt:i4>
      </vt:variant>
      <vt:variant>
        <vt:i4>5</vt:i4>
      </vt:variant>
      <vt:variant>
        <vt:lpwstr/>
      </vt:variant>
      <vt:variant>
        <vt:lpwstr>_Toc105417250</vt:lpwstr>
      </vt:variant>
      <vt:variant>
        <vt:i4>1048631</vt:i4>
      </vt:variant>
      <vt:variant>
        <vt:i4>398</vt:i4>
      </vt:variant>
      <vt:variant>
        <vt:i4>0</vt:i4>
      </vt:variant>
      <vt:variant>
        <vt:i4>5</vt:i4>
      </vt:variant>
      <vt:variant>
        <vt:lpwstr/>
      </vt:variant>
      <vt:variant>
        <vt:lpwstr>_Toc105417249</vt:lpwstr>
      </vt:variant>
      <vt:variant>
        <vt:i4>1048631</vt:i4>
      </vt:variant>
      <vt:variant>
        <vt:i4>392</vt:i4>
      </vt:variant>
      <vt:variant>
        <vt:i4>0</vt:i4>
      </vt:variant>
      <vt:variant>
        <vt:i4>5</vt:i4>
      </vt:variant>
      <vt:variant>
        <vt:lpwstr/>
      </vt:variant>
      <vt:variant>
        <vt:lpwstr>_Toc105417248</vt:lpwstr>
      </vt:variant>
      <vt:variant>
        <vt:i4>1048631</vt:i4>
      </vt:variant>
      <vt:variant>
        <vt:i4>386</vt:i4>
      </vt:variant>
      <vt:variant>
        <vt:i4>0</vt:i4>
      </vt:variant>
      <vt:variant>
        <vt:i4>5</vt:i4>
      </vt:variant>
      <vt:variant>
        <vt:lpwstr/>
      </vt:variant>
      <vt:variant>
        <vt:lpwstr>_Toc105417247</vt:lpwstr>
      </vt:variant>
      <vt:variant>
        <vt:i4>1048631</vt:i4>
      </vt:variant>
      <vt:variant>
        <vt:i4>380</vt:i4>
      </vt:variant>
      <vt:variant>
        <vt:i4>0</vt:i4>
      </vt:variant>
      <vt:variant>
        <vt:i4>5</vt:i4>
      </vt:variant>
      <vt:variant>
        <vt:lpwstr/>
      </vt:variant>
      <vt:variant>
        <vt:lpwstr>_Toc105417246</vt:lpwstr>
      </vt:variant>
      <vt:variant>
        <vt:i4>1048631</vt:i4>
      </vt:variant>
      <vt:variant>
        <vt:i4>374</vt:i4>
      </vt:variant>
      <vt:variant>
        <vt:i4>0</vt:i4>
      </vt:variant>
      <vt:variant>
        <vt:i4>5</vt:i4>
      </vt:variant>
      <vt:variant>
        <vt:lpwstr/>
      </vt:variant>
      <vt:variant>
        <vt:lpwstr>_Toc105417245</vt:lpwstr>
      </vt:variant>
      <vt:variant>
        <vt:i4>1048631</vt:i4>
      </vt:variant>
      <vt:variant>
        <vt:i4>368</vt:i4>
      </vt:variant>
      <vt:variant>
        <vt:i4>0</vt:i4>
      </vt:variant>
      <vt:variant>
        <vt:i4>5</vt:i4>
      </vt:variant>
      <vt:variant>
        <vt:lpwstr/>
      </vt:variant>
      <vt:variant>
        <vt:lpwstr>_Toc105417244</vt:lpwstr>
      </vt:variant>
      <vt:variant>
        <vt:i4>1048631</vt:i4>
      </vt:variant>
      <vt:variant>
        <vt:i4>362</vt:i4>
      </vt:variant>
      <vt:variant>
        <vt:i4>0</vt:i4>
      </vt:variant>
      <vt:variant>
        <vt:i4>5</vt:i4>
      </vt:variant>
      <vt:variant>
        <vt:lpwstr/>
      </vt:variant>
      <vt:variant>
        <vt:lpwstr>_Toc105417243</vt:lpwstr>
      </vt:variant>
      <vt:variant>
        <vt:i4>1048631</vt:i4>
      </vt:variant>
      <vt:variant>
        <vt:i4>356</vt:i4>
      </vt:variant>
      <vt:variant>
        <vt:i4>0</vt:i4>
      </vt:variant>
      <vt:variant>
        <vt:i4>5</vt:i4>
      </vt:variant>
      <vt:variant>
        <vt:lpwstr/>
      </vt:variant>
      <vt:variant>
        <vt:lpwstr>_Toc105417242</vt:lpwstr>
      </vt:variant>
      <vt:variant>
        <vt:i4>1048631</vt:i4>
      </vt:variant>
      <vt:variant>
        <vt:i4>350</vt:i4>
      </vt:variant>
      <vt:variant>
        <vt:i4>0</vt:i4>
      </vt:variant>
      <vt:variant>
        <vt:i4>5</vt:i4>
      </vt:variant>
      <vt:variant>
        <vt:lpwstr/>
      </vt:variant>
      <vt:variant>
        <vt:lpwstr>_Toc105417241</vt:lpwstr>
      </vt:variant>
      <vt:variant>
        <vt:i4>1048631</vt:i4>
      </vt:variant>
      <vt:variant>
        <vt:i4>344</vt:i4>
      </vt:variant>
      <vt:variant>
        <vt:i4>0</vt:i4>
      </vt:variant>
      <vt:variant>
        <vt:i4>5</vt:i4>
      </vt:variant>
      <vt:variant>
        <vt:lpwstr/>
      </vt:variant>
      <vt:variant>
        <vt:lpwstr>_Toc105417240</vt:lpwstr>
      </vt:variant>
      <vt:variant>
        <vt:i4>1507383</vt:i4>
      </vt:variant>
      <vt:variant>
        <vt:i4>338</vt:i4>
      </vt:variant>
      <vt:variant>
        <vt:i4>0</vt:i4>
      </vt:variant>
      <vt:variant>
        <vt:i4>5</vt:i4>
      </vt:variant>
      <vt:variant>
        <vt:lpwstr/>
      </vt:variant>
      <vt:variant>
        <vt:lpwstr>_Toc105417239</vt:lpwstr>
      </vt:variant>
      <vt:variant>
        <vt:i4>1507383</vt:i4>
      </vt:variant>
      <vt:variant>
        <vt:i4>332</vt:i4>
      </vt:variant>
      <vt:variant>
        <vt:i4>0</vt:i4>
      </vt:variant>
      <vt:variant>
        <vt:i4>5</vt:i4>
      </vt:variant>
      <vt:variant>
        <vt:lpwstr/>
      </vt:variant>
      <vt:variant>
        <vt:lpwstr>_Toc105417238</vt:lpwstr>
      </vt:variant>
      <vt:variant>
        <vt:i4>1507383</vt:i4>
      </vt:variant>
      <vt:variant>
        <vt:i4>326</vt:i4>
      </vt:variant>
      <vt:variant>
        <vt:i4>0</vt:i4>
      </vt:variant>
      <vt:variant>
        <vt:i4>5</vt:i4>
      </vt:variant>
      <vt:variant>
        <vt:lpwstr/>
      </vt:variant>
      <vt:variant>
        <vt:lpwstr>_Toc105417237</vt:lpwstr>
      </vt:variant>
      <vt:variant>
        <vt:i4>1507383</vt:i4>
      </vt:variant>
      <vt:variant>
        <vt:i4>320</vt:i4>
      </vt:variant>
      <vt:variant>
        <vt:i4>0</vt:i4>
      </vt:variant>
      <vt:variant>
        <vt:i4>5</vt:i4>
      </vt:variant>
      <vt:variant>
        <vt:lpwstr/>
      </vt:variant>
      <vt:variant>
        <vt:lpwstr>_Toc105417236</vt:lpwstr>
      </vt:variant>
      <vt:variant>
        <vt:i4>1507383</vt:i4>
      </vt:variant>
      <vt:variant>
        <vt:i4>314</vt:i4>
      </vt:variant>
      <vt:variant>
        <vt:i4>0</vt:i4>
      </vt:variant>
      <vt:variant>
        <vt:i4>5</vt:i4>
      </vt:variant>
      <vt:variant>
        <vt:lpwstr/>
      </vt:variant>
      <vt:variant>
        <vt:lpwstr>_Toc105417235</vt:lpwstr>
      </vt:variant>
      <vt:variant>
        <vt:i4>1507383</vt:i4>
      </vt:variant>
      <vt:variant>
        <vt:i4>308</vt:i4>
      </vt:variant>
      <vt:variant>
        <vt:i4>0</vt:i4>
      </vt:variant>
      <vt:variant>
        <vt:i4>5</vt:i4>
      </vt:variant>
      <vt:variant>
        <vt:lpwstr/>
      </vt:variant>
      <vt:variant>
        <vt:lpwstr>_Toc105417234</vt:lpwstr>
      </vt:variant>
      <vt:variant>
        <vt:i4>1507383</vt:i4>
      </vt:variant>
      <vt:variant>
        <vt:i4>302</vt:i4>
      </vt:variant>
      <vt:variant>
        <vt:i4>0</vt:i4>
      </vt:variant>
      <vt:variant>
        <vt:i4>5</vt:i4>
      </vt:variant>
      <vt:variant>
        <vt:lpwstr/>
      </vt:variant>
      <vt:variant>
        <vt:lpwstr>_Toc105417233</vt:lpwstr>
      </vt:variant>
      <vt:variant>
        <vt:i4>1507383</vt:i4>
      </vt:variant>
      <vt:variant>
        <vt:i4>296</vt:i4>
      </vt:variant>
      <vt:variant>
        <vt:i4>0</vt:i4>
      </vt:variant>
      <vt:variant>
        <vt:i4>5</vt:i4>
      </vt:variant>
      <vt:variant>
        <vt:lpwstr/>
      </vt:variant>
      <vt:variant>
        <vt:lpwstr>_Toc105417232</vt:lpwstr>
      </vt:variant>
      <vt:variant>
        <vt:i4>1507383</vt:i4>
      </vt:variant>
      <vt:variant>
        <vt:i4>290</vt:i4>
      </vt:variant>
      <vt:variant>
        <vt:i4>0</vt:i4>
      </vt:variant>
      <vt:variant>
        <vt:i4>5</vt:i4>
      </vt:variant>
      <vt:variant>
        <vt:lpwstr/>
      </vt:variant>
      <vt:variant>
        <vt:lpwstr>_Toc105417231</vt:lpwstr>
      </vt:variant>
      <vt:variant>
        <vt:i4>1507383</vt:i4>
      </vt:variant>
      <vt:variant>
        <vt:i4>284</vt:i4>
      </vt:variant>
      <vt:variant>
        <vt:i4>0</vt:i4>
      </vt:variant>
      <vt:variant>
        <vt:i4>5</vt:i4>
      </vt:variant>
      <vt:variant>
        <vt:lpwstr/>
      </vt:variant>
      <vt:variant>
        <vt:lpwstr>_Toc105417230</vt:lpwstr>
      </vt:variant>
      <vt:variant>
        <vt:i4>1441847</vt:i4>
      </vt:variant>
      <vt:variant>
        <vt:i4>278</vt:i4>
      </vt:variant>
      <vt:variant>
        <vt:i4>0</vt:i4>
      </vt:variant>
      <vt:variant>
        <vt:i4>5</vt:i4>
      </vt:variant>
      <vt:variant>
        <vt:lpwstr/>
      </vt:variant>
      <vt:variant>
        <vt:lpwstr>_Toc105417229</vt:lpwstr>
      </vt:variant>
      <vt:variant>
        <vt:i4>1441847</vt:i4>
      </vt:variant>
      <vt:variant>
        <vt:i4>272</vt:i4>
      </vt:variant>
      <vt:variant>
        <vt:i4>0</vt:i4>
      </vt:variant>
      <vt:variant>
        <vt:i4>5</vt:i4>
      </vt:variant>
      <vt:variant>
        <vt:lpwstr/>
      </vt:variant>
      <vt:variant>
        <vt:lpwstr>_Toc105417228</vt:lpwstr>
      </vt:variant>
      <vt:variant>
        <vt:i4>1441847</vt:i4>
      </vt:variant>
      <vt:variant>
        <vt:i4>266</vt:i4>
      </vt:variant>
      <vt:variant>
        <vt:i4>0</vt:i4>
      </vt:variant>
      <vt:variant>
        <vt:i4>5</vt:i4>
      </vt:variant>
      <vt:variant>
        <vt:lpwstr/>
      </vt:variant>
      <vt:variant>
        <vt:lpwstr>_Toc105417227</vt:lpwstr>
      </vt:variant>
      <vt:variant>
        <vt:i4>1441847</vt:i4>
      </vt:variant>
      <vt:variant>
        <vt:i4>260</vt:i4>
      </vt:variant>
      <vt:variant>
        <vt:i4>0</vt:i4>
      </vt:variant>
      <vt:variant>
        <vt:i4>5</vt:i4>
      </vt:variant>
      <vt:variant>
        <vt:lpwstr/>
      </vt:variant>
      <vt:variant>
        <vt:lpwstr>_Toc105417226</vt:lpwstr>
      </vt:variant>
      <vt:variant>
        <vt:i4>1441847</vt:i4>
      </vt:variant>
      <vt:variant>
        <vt:i4>254</vt:i4>
      </vt:variant>
      <vt:variant>
        <vt:i4>0</vt:i4>
      </vt:variant>
      <vt:variant>
        <vt:i4>5</vt:i4>
      </vt:variant>
      <vt:variant>
        <vt:lpwstr/>
      </vt:variant>
      <vt:variant>
        <vt:lpwstr>_Toc105417225</vt:lpwstr>
      </vt:variant>
      <vt:variant>
        <vt:i4>1441847</vt:i4>
      </vt:variant>
      <vt:variant>
        <vt:i4>248</vt:i4>
      </vt:variant>
      <vt:variant>
        <vt:i4>0</vt:i4>
      </vt:variant>
      <vt:variant>
        <vt:i4>5</vt:i4>
      </vt:variant>
      <vt:variant>
        <vt:lpwstr/>
      </vt:variant>
      <vt:variant>
        <vt:lpwstr>_Toc105417224</vt:lpwstr>
      </vt:variant>
      <vt:variant>
        <vt:i4>1441847</vt:i4>
      </vt:variant>
      <vt:variant>
        <vt:i4>242</vt:i4>
      </vt:variant>
      <vt:variant>
        <vt:i4>0</vt:i4>
      </vt:variant>
      <vt:variant>
        <vt:i4>5</vt:i4>
      </vt:variant>
      <vt:variant>
        <vt:lpwstr/>
      </vt:variant>
      <vt:variant>
        <vt:lpwstr>_Toc105417223</vt:lpwstr>
      </vt:variant>
      <vt:variant>
        <vt:i4>1441847</vt:i4>
      </vt:variant>
      <vt:variant>
        <vt:i4>236</vt:i4>
      </vt:variant>
      <vt:variant>
        <vt:i4>0</vt:i4>
      </vt:variant>
      <vt:variant>
        <vt:i4>5</vt:i4>
      </vt:variant>
      <vt:variant>
        <vt:lpwstr/>
      </vt:variant>
      <vt:variant>
        <vt:lpwstr>_Toc105417222</vt:lpwstr>
      </vt:variant>
      <vt:variant>
        <vt:i4>1441847</vt:i4>
      </vt:variant>
      <vt:variant>
        <vt:i4>230</vt:i4>
      </vt:variant>
      <vt:variant>
        <vt:i4>0</vt:i4>
      </vt:variant>
      <vt:variant>
        <vt:i4>5</vt:i4>
      </vt:variant>
      <vt:variant>
        <vt:lpwstr/>
      </vt:variant>
      <vt:variant>
        <vt:lpwstr>_Toc105417221</vt:lpwstr>
      </vt:variant>
      <vt:variant>
        <vt:i4>1441847</vt:i4>
      </vt:variant>
      <vt:variant>
        <vt:i4>224</vt:i4>
      </vt:variant>
      <vt:variant>
        <vt:i4>0</vt:i4>
      </vt:variant>
      <vt:variant>
        <vt:i4>5</vt:i4>
      </vt:variant>
      <vt:variant>
        <vt:lpwstr/>
      </vt:variant>
      <vt:variant>
        <vt:lpwstr>_Toc105417220</vt:lpwstr>
      </vt:variant>
      <vt:variant>
        <vt:i4>1376311</vt:i4>
      </vt:variant>
      <vt:variant>
        <vt:i4>218</vt:i4>
      </vt:variant>
      <vt:variant>
        <vt:i4>0</vt:i4>
      </vt:variant>
      <vt:variant>
        <vt:i4>5</vt:i4>
      </vt:variant>
      <vt:variant>
        <vt:lpwstr/>
      </vt:variant>
      <vt:variant>
        <vt:lpwstr>_Toc105417219</vt:lpwstr>
      </vt:variant>
      <vt:variant>
        <vt:i4>1376311</vt:i4>
      </vt:variant>
      <vt:variant>
        <vt:i4>212</vt:i4>
      </vt:variant>
      <vt:variant>
        <vt:i4>0</vt:i4>
      </vt:variant>
      <vt:variant>
        <vt:i4>5</vt:i4>
      </vt:variant>
      <vt:variant>
        <vt:lpwstr/>
      </vt:variant>
      <vt:variant>
        <vt:lpwstr>_Toc105417218</vt:lpwstr>
      </vt:variant>
      <vt:variant>
        <vt:i4>1376311</vt:i4>
      </vt:variant>
      <vt:variant>
        <vt:i4>206</vt:i4>
      </vt:variant>
      <vt:variant>
        <vt:i4>0</vt:i4>
      </vt:variant>
      <vt:variant>
        <vt:i4>5</vt:i4>
      </vt:variant>
      <vt:variant>
        <vt:lpwstr/>
      </vt:variant>
      <vt:variant>
        <vt:lpwstr>_Toc105417217</vt:lpwstr>
      </vt:variant>
      <vt:variant>
        <vt:i4>1376311</vt:i4>
      </vt:variant>
      <vt:variant>
        <vt:i4>200</vt:i4>
      </vt:variant>
      <vt:variant>
        <vt:i4>0</vt:i4>
      </vt:variant>
      <vt:variant>
        <vt:i4>5</vt:i4>
      </vt:variant>
      <vt:variant>
        <vt:lpwstr/>
      </vt:variant>
      <vt:variant>
        <vt:lpwstr>_Toc105417216</vt:lpwstr>
      </vt:variant>
      <vt:variant>
        <vt:i4>1376311</vt:i4>
      </vt:variant>
      <vt:variant>
        <vt:i4>194</vt:i4>
      </vt:variant>
      <vt:variant>
        <vt:i4>0</vt:i4>
      </vt:variant>
      <vt:variant>
        <vt:i4>5</vt:i4>
      </vt:variant>
      <vt:variant>
        <vt:lpwstr/>
      </vt:variant>
      <vt:variant>
        <vt:lpwstr>_Toc105417215</vt:lpwstr>
      </vt:variant>
      <vt:variant>
        <vt:i4>1376311</vt:i4>
      </vt:variant>
      <vt:variant>
        <vt:i4>188</vt:i4>
      </vt:variant>
      <vt:variant>
        <vt:i4>0</vt:i4>
      </vt:variant>
      <vt:variant>
        <vt:i4>5</vt:i4>
      </vt:variant>
      <vt:variant>
        <vt:lpwstr/>
      </vt:variant>
      <vt:variant>
        <vt:lpwstr>_Toc105417214</vt:lpwstr>
      </vt:variant>
      <vt:variant>
        <vt:i4>1376311</vt:i4>
      </vt:variant>
      <vt:variant>
        <vt:i4>182</vt:i4>
      </vt:variant>
      <vt:variant>
        <vt:i4>0</vt:i4>
      </vt:variant>
      <vt:variant>
        <vt:i4>5</vt:i4>
      </vt:variant>
      <vt:variant>
        <vt:lpwstr/>
      </vt:variant>
      <vt:variant>
        <vt:lpwstr>_Toc105417213</vt:lpwstr>
      </vt:variant>
      <vt:variant>
        <vt:i4>1376311</vt:i4>
      </vt:variant>
      <vt:variant>
        <vt:i4>176</vt:i4>
      </vt:variant>
      <vt:variant>
        <vt:i4>0</vt:i4>
      </vt:variant>
      <vt:variant>
        <vt:i4>5</vt:i4>
      </vt:variant>
      <vt:variant>
        <vt:lpwstr/>
      </vt:variant>
      <vt:variant>
        <vt:lpwstr>_Toc105417212</vt:lpwstr>
      </vt:variant>
      <vt:variant>
        <vt:i4>1376311</vt:i4>
      </vt:variant>
      <vt:variant>
        <vt:i4>170</vt:i4>
      </vt:variant>
      <vt:variant>
        <vt:i4>0</vt:i4>
      </vt:variant>
      <vt:variant>
        <vt:i4>5</vt:i4>
      </vt:variant>
      <vt:variant>
        <vt:lpwstr/>
      </vt:variant>
      <vt:variant>
        <vt:lpwstr>_Toc105417211</vt:lpwstr>
      </vt:variant>
      <vt:variant>
        <vt:i4>1376311</vt:i4>
      </vt:variant>
      <vt:variant>
        <vt:i4>164</vt:i4>
      </vt:variant>
      <vt:variant>
        <vt:i4>0</vt:i4>
      </vt:variant>
      <vt:variant>
        <vt:i4>5</vt:i4>
      </vt:variant>
      <vt:variant>
        <vt:lpwstr/>
      </vt:variant>
      <vt:variant>
        <vt:lpwstr>_Toc105417210</vt:lpwstr>
      </vt:variant>
      <vt:variant>
        <vt:i4>1310775</vt:i4>
      </vt:variant>
      <vt:variant>
        <vt:i4>158</vt:i4>
      </vt:variant>
      <vt:variant>
        <vt:i4>0</vt:i4>
      </vt:variant>
      <vt:variant>
        <vt:i4>5</vt:i4>
      </vt:variant>
      <vt:variant>
        <vt:lpwstr/>
      </vt:variant>
      <vt:variant>
        <vt:lpwstr>_Toc105417209</vt:lpwstr>
      </vt:variant>
      <vt:variant>
        <vt:i4>1310775</vt:i4>
      </vt:variant>
      <vt:variant>
        <vt:i4>152</vt:i4>
      </vt:variant>
      <vt:variant>
        <vt:i4>0</vt:i4>
      </vt:variant>
      <vt:variant>
        <vt:i4>5</vt:i4>
      </vt:variant>
      <vt:variant>
        <vt:lpwstr/>
      </vt:variant>
      <vt:variant>
        <vt:lpwstr>_Toc105417208</vt:lpwstr>
      </vt:variant>
      <vt:variant>
        <vt:i4>1310775</vt:i4>
      </vt:variant>
      <vt:variant>
        <vt:i4>146</vt:i4>
      </vt:variant>
      <vt:variant>
        <vt:i4>0</vt:i4>
      </vt:variant>
      <vt:variant>
        <vt:i4>5</vt:i4>
      </vt:variant>
      <vt:variant>
        <vt:lpwstr/>
      </vt:variant>
      <vt:variant>
        <vt:lpwstr>_Toc105417207</vt:lpwstr>
      </vt:variant>
      <vt:variant>
        <vt:i4>1310775</vt:i4>
      </vt:variant>
      <vt:variant>
        <vt:i4>140</vt:i4>
      </vt:variant>
      <vt:variant>
        <vt:i4>0</vt:i4>
      </vt:variant>
      <vt:variant>
        <vt:i4>5</vt:i4>
      </vt:variant>
      <vt:variant>
        <vt:lpwstr/>
      </vt:variant>
      <vt:variant>
        <vt:lpwstr>_Toc105417206</vt:lpwstr>
      </vt:variant>
      <vt:variant>
        <vt:i4>1310775</vt:i4>
      </vt:variant>
      <vt:variant>
        <vt:i4>134</vt:i4>
      </vt:variant>
      <vt:variant>
        <vt:i4>0</vt:i4>
      </vt:variant>
      <vt:variant>
        <vt:i4>5</vt:i4>
      </vt:variant>
      <vt:variant>
        <vt:lpwstr/>
      </vt:variant>
      <vt:variant>
        <vt:lpwstr>_Toc105417205</vt:lpwstr>
      </vt:variant>
      <vt:variant>
        <vt:i4>1310775</vt:i4>
      </vt:variant>
      <vt:variant>
        <vt:i4>128</vt:i4>
      </vt:variant>
      <vt:variant>
        <vt:i4>0</vt:i4>
      </vt:variant>
      <vt:variant>
        <vt:i4>5</vt:i4>
      </vt:variant>
      <vt:variant>
        <vt:lpwstr/>
      </vt:variant>
      <vt:variant>
        <vt:lpwstr>_Toc105417204</vt:lpwstr>
      </vt:variant>
      <vt:variant>
        <vt:i4>1310775</vt:i4>
      </vt:variant>
      <vt:variant>
        <vt:i4>122</vt:i4>
      </vt:variant>
      <vt:variant>
        <vt:i4>0</vt:i4>
      </vt:variant>
      <vt:variant>
        <vt:i4>5</vt:i4>
      </vt:variant>
      <vt:variant>
        <vt:lpwstr/>
      </vt:variant>
      <vt:variant>
        <vt:lpwstr>_Toc105417203</vt:lpwstr>
      </vt:variant>
      <vt:variant>
        <vt:i4>1310775</vt:i4>
      </vt:variant>
      <vt:variant>
        <vt:i4>116</vt:i4>
      </vt:variant>
      <vt:variant>
        <vt:i4>0</vt:i4>
      </vt:variant>
      <vt:variant>
        <vt:i4>5</vt:i4>
      </vt:variant>
      <vt:variant>
        <vt:lpwstr/>
      </vt:variant>
      <vt:variant>
        <vt:lpwstr>_Toc105417202</vt:lpwstr>
      </vt:variant>
      <vt:variant>
        <vt:i4>1310775</vt:i4>
      </vt:variant>
      <vt:variant>
        <vt:i4>110</vt:i4>
      </vt:variant>
      <vt:variant>
        <vt:i4>0</vt:i4>
      </vt:variant>
      <vt:variant>
        <vt:i4>5</vt:i4>
      </vt:variant>
      <vt:variant>
        <vt:lpwstr/>
      </vt:variant>
      <vt:variant>
        <vt:lpwstr>_Toc105417201</vt:lpwstr>
      </vt:variant>
      <vt:variant>
        <vt:i4>1310775</vt:i4>
      </vt:variant>
      <vt:variant>
        <vt:i4>104</vt:i4>
      </vt:variant>
      <vt:variant>
        <vt:i4>0</vt:i4>
      </vt:variant>
      <vt:variant>
        <vt:i4>5</vt:i4>
      </vt:variant>
      <vt:variant>
        <vt:lpwstr/>
      </vt:variant>
      <vt:variant>
        <vt:lpwstr>_Toc105417200</vt:lpwstr>
      </vt:variant>
      <vt:variant>
        <vt:i4>1900596</vt:i4>
      </vt:variant>
      <vt:variant>
        <vt:i4>98</vt:i4>
      </vt:variant>
      <vt:variant>
        <vt:i4>0</vt:i4>
      </vt:variant>
      <vt:variant>
        <vt:i4>5</vt:i4>
      </vt:variant>
      <vt:variant>
        <vt:lpwstr/>
      </vt:variant>
      <vt:variant>
        <vt:lpwstr>_Toc105417199</vt:lpwstr>
      </vt:variant>
      <vt:variant>
        <vt:i4>1900596</vt:i4>
      </vt:variant>
      <vt:variant>
        <vt:i4>92</vt:i4>
      </vt:variant>
      <vt:variant>
        <vt:i4>0</vt:i4>
      </vt:variant>
      <vt:variant>
        <vt:i4>5</vt:i4>
      </vt:variant>
      <vt:variant>
        <vt:lpwstr/>
      </vt:variant>
      <vt:variant>
        <vt:lpwstr>_Toc105417198</vt:lpwstr>
      </vt:variant>
      <vt:variant>
        <vt:i4>1900596</vt:i4>
      </vt:variant>
      <vt:variant>
        <vt:i4>86</vt:i4>
      </vt:variant>
      <vt:variant>
        <vt:i4>0</vt:i4>
      </vt:variant>
      <vt:variant>
        <vt:i4>5</vt:i4>
      </vt:variant>
      <vt:variant>
        <vt:lpwstr/>
      </vt:variant>
      <vt:variant>
        <vt:lpwstr>_Toc105417197</vt:lpwstr>
      </vt:variant>
      <vt:variant>
        <vt:i4>1900596</vt:i4>
      </vt:variant>
      <vt:variant>
        <vt:i4>80</vt:i4>
      </vt:variant>
      <vt:variant>
        <vt:i4>0</vt:i4>
      </vt:variant>
      <vt:variant>
        <vt:i4>5</vt:i4>
      </vt:variant>
      <vt:variant>
        <vt:lpwstr/>
      </vt:variant>
      <vt:variant>
        <vt:lpwstr>_Toc105417196</vt:lpwstr>
      </vt:variant>
      <vt:variant>
        <vt:i4>1900596</vt:i4>
      </vt:variant>
      <vt:variant>
        <vt:i4>74</vt:i4>
      </vt:variant>
      <vt:variant>
        <vt:i4>0</vt:i4>
      </vt:variant>
      <vt:variant>
        <vt:i4>5</vt:i4>
      </vt:variant>
      <vt:variant>
        <vt:lpwstr/>
      </vt:variant>
      <vt:variant>
        <vt:lpwstr>_Toc105417195</vt:lpwstr>
      </vt:variant>
      <vt:variant>
        <vt:i4>1900596</vt:i4>
      </vt:variant>
      <vt:variant>
        <vt:i4>68</vt:i4>
      </vt:variant>
      <vt:variant>
        <vt:i4>0</vt:i4>
      </vt:variant>
      <vt:variant>
        <vt:i4>5</vt:i4>
      </vt:variant>
      <vt:variant>
        <vt:lpwstr/>
      </vt:variant>
      <vt:variant>
        <vt:lpwstr>_Toc105417194</vt:lpwstr>
      </vt:variant>
      <vt:variant>
        <vt:i4>1900596</vt:i4>
      </vt:variant>
      <vt:variant>
        <vt:i4>62</vt:i4>
      </vt:variant>
      <vt:variant>
        <vt:i4>0</vt:i4>
      </vt:variant>
      <vt:variant>
        <vt:i4>5</vt:i4>
      </vt:variant>
      <vt:variant>
        <vt:lpwstr/>
      </vt:variant>
      <vt:variant>
        <vt:lpwstr>_Toc105417193</vt:lpwstr>
      </vt:variant>
      <vt:variant>
        <vt:i4>1900596</vt:i4>
      </vt:variant>
      <vt:variant>
        <vt:i4>56</vt:i4>
      </vt:variant>
      <vt:variant>
        <vt:i4>0</vt:i4>
      </vt:variant>
      <vt:variant>
        <vt:i4>5</vt:i4>
      </vt:variant>
      <vt:variant>
        <vt:lpwstr/>
      </vt:variant>
      <vt:variant>
        <vt:lpwstr>_Toc105417192</vt:lpwstr>
      </vt:variant>
      <vt:variant>
        <vt:i4>1900596</vt:i4>
      </vt:variant>
      <vt:variant>
        <vt:i4>50</vt:i4>
      </vt:variant>
      <vt:variant>
        <vt:i4>0</vt:i4>
      </vt:variant>
      <vt:variant>
        <vt:i4>5</vt:i4>
      </vt:variant>
      <vt:variant>
        <vt:lpwstr/>
      </vt:variant>
      <vt:variant>
        <vt:lpwstr>_Toc105417191</vt:lpwstr>
      </vt:variant>
      <vt:variant>
        <vt:i4>1900596</vt:i4>
      </vt:variant>
      <vt:variant>
        <vt:i4>44</vt:i4>
      </vt:variant>
      <vt:variant>
        <vt:i4>0</vt:i4>
      </vt:variant>
      <vt:variant>
        <vt:i4>5</vt:i4>
      </vt:variant>
      <vt:variant>
        <vt:lpwstr/>
      </vt:variant>
      <vt:variant>
        <vt:lpwstr>_Toc105417190</vt:lpwstr>
      </vt:variant>
      <vt:variant>
        <vt:i4>1835060</vt:i4>
      </vt:variant>
      <vt:variant>
        <vt:i4>38</vt:i4>
      </vt:variant>
      <vt:variant>
        <vt:i4>0</vt:i4>
      </vt:variant>
      <vt:variant>
        <vt:i4>5</vt:i4>
      </vt:variant>
      <vt:variant>
        <vt:lpwstr/>
      </vt:variant>
      <vt:variant>
        <vt:lpwstr>_Toc105417189</vt:lpwstr>
      </vt:variant>
      <vt:variant>
        <vt:i4>1835060</vt:i4>
      </vt:variant>
      <vt:variant>
        <vt:i4>32</vt:i4>
      </vt:variant>
      <vt:variant>
        <vt:i4>0</vt:i4>
      </vt:variant>
      <vt:variant>
        <vt:i4>5</vt:i4>
      </vt:variant>
      <vt:variant>
        <vt:lpwstr/>
      </vt:variant>
      <vt:variant>
        <vt:lpwstr>_Toc105417188</vt:lpwstr>
      </vt:variant>
      <vt:variant>
        <vt:i4>1835060</vt:i4>
      </vt:variant>
      <vt:variant>
        <vt:i4>26</vt:i4>
      </vt:variant>
      <vt:variant>
        <vt:i4>0</vt:i4>
      </vt:variant>
      <vt:variant>
        <vt:i4>5</vt:i4>
      </vt:variant>
      <vt:variant>
        <vt:lpwstr/>
      </vt:variant>
      <vt:variant>
        <vt:lpwstr>_Toc105417187</vt:lpwstr>
      </vt:variant>
      <vt:variant>
        <vt:i4>1835060</vt:i4>
      </vt:variant>
      <vt:variant>
        <vt:i4>20</vt:i4>
      </vt:variant>
      <vt:variant>
        <vt:i4>0</vt:i4>
      </vt:variant>
      <vt:variant>
        <vt:i4>5</vt:i4>
      </vt:variant>
      <vt:variant>
        <vt:lpwstr/>
      </vt:variant>
      <vt:variant>
        <vt:lpwstr>_Toc105417186</vt:lpwstr>
      </vt:variant>
      <vt:variant>
        <vt:i4>1835060</vt:i4>
      </vt:variant>
      <vt:variant>
        <vt:i4>14</vt:i4>
      </vt:variant>
      <vt:variant>
        <vt:i4>0</vt:i4>
      </vt:variant>
      <vt:variant>
        <vt:i4>5</vt:i4>
      </vt:variant>
      <vt:variant>
        <vt:lpwstr/>
      </vt:variant>
      <vt:variant>
        <vt:lpwstr>_Toc105417185</vt:lpwstr>
      </vt:variant>
      <vt:variant>
        <vt:i4>1835060</vt:i4>
      </vt:variant>
      <vt:variant>
        <vt:i4>8</vt:i4>
      </vt:variant>
      <vt:variant>
        <vt:i4>0</vt:i4>
      </vt:variant>
      <vt:variant>
        <vt:i4>5</vt:i4>
      </vt:variant>
      <vt:variant>
        <vt:lpwstr/>
      </vt:variant>
      <vt:variant>
        <vt:lpwstr>_Toc105417184</vt:lpwstr>
      </vt:variant>
      <vt:variant>
        <vt:i4>1835060</vt:i4>
      </vt:variant>
      <vt:variant>
        <vt:i4>2</vt:i4>
      </vt:variant>
      <vt:variant>
        <vt:i4>0</vt:i4>
      </vt:variant>
      <vt:variant>
        <vt:i4>5</vt:i4>
      </vt:variant>
      <vt:variant>
        <vt:lpwstr/>
      </vt:variant>
      <vt:variant>
        <vt:lpwstr>_Toc105417183</vt:lpwstr>
      </vt:variant>
      <vt:variant>
        <vt:i4>6160427</vt:i4>
      </vt:variant>
      <vt:variant>
        <vt:i4>3</vt:i4>
      </vt:variant>
      <vt:variant>
        <vt:i4>0</vt:i4>
      </vt:variant>
      <vt:variant>
        <vt:i4>5</vt:i4>
      </vt:variant>
      <vt:variant>
        <vt:lpwstr>https://informacje.pan.pl/images/2021/Komunikat_02_2021_w_sprawie_wzrostu_poziomu_morza_2001_01_26_FINAL.pdf</vt:lpwstr>
      </vt:variant>
      <vt:variant>
        <vt:lpwstr/>
      </vt:variant>
      <vt:variant>
        <vt:i4>4390989</vt:i4>
      </vt:variant>
      <vt:variant>
        <vt:i4>0</vt:i4>
      </vt:variant>
      <vt:variant>
        <vt:i4>0</vt:i4>
      </vt:variant>
      <vt:variant>
        <vt:i4>5</vt:i4>
      </vt:variant>
      <vt:variant>
        <vt:lpwstr>https://land.copernicus.eu/pan-european/corine-land-cover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Dorota.Rudnicka@cdmsmith.com</dc:creator>
  <cp:keywords/>
  <dc:description/>
  <cp:lastModifiedBy>Brzozowska Patrycja</cp:lastModifiedBy>
  <cp:revision>2</cp:revision>
  <cp:lastPrinted>2022-06-07T14:45:00Z</cp:lastPrinted>
  <dcterms:created xsi:type="dcterms:W3CDTF">2022-06-09T07:44:00Z</dcterms:created>
  <dcterms:modified xsi:type="dcterms:W3CDTF">2022-06-09T07:44:00Z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0x010100931B5C08652FC1429372B5E78D97DA0F</vt:lpwstr>
  </property>
  <property fmtid="{D5CDD505-2E9C-101B-9397-08002B2CF9AE}" pid="3" name="DataiGodzina">
    <vt:filetime>2020-10-06T21:14:57Z</vt:filetime>
  </property>
  <property fmtid="{D5CDD505-2E9C-101B-9397-08002B2CF9AE}" pid="4" name="gm02">
    <vt:filetime>2021-03-26T13:50:30Z</vt:filetime>
  </property>
  <property fmtid="{D5CDD505-2E9C-101B-9397-08002B2CF9AE}" pid="5" name="Godzina Dodania">
    <vt:filetime>2021-03-26T13:50:30Z</vt:filetime>
  </property>
  <property fmtid="{D5CDD505-2E9C-101B-9397-08002B2CF9AE}" pid="6" name="MediaServiceImageTags">
    <vt:lpwstr/>
  </property>
</Properties>
</file>